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99276C" w:rsidTr="000156D1">
        <w:trPr>
          <w:trHeight w:val="756"/>
        </w:trPr>
        <w:tc>
          <w:tcPr>
            <w:tcW w:w="2660" w:type="dxa"/>
            <w:vAlign w:val="center"/>
          </w:tcPr>
          <w:p w:rsidR="00D735FF" w:rsidRPr="0099276C" w:rsidRDefault="00D735FF" w:rsidP="002E76E8">
            <w:pPr>
              <w:pStyle w:val="Header"/>
              <w:rPr>
                <w:rFonts w:ascii="Arial" w:hAnsi="Arial" w:cs="Arial"/>
                <w:b/>
                <w:sz w:val="28"/>
                <w:szCs w:val="28"/>
              </w:rPr>
            </w:pPr>
            <w:r w:rsidRPr="0099276C">
              <w:rPr>
                <w:rFonts w:ascii="Arial" w:hAnsi="Arial" w:cs="Arial"/>
                <w:b/>
                <w:sz w:val="28"/>
                <w:szCs w:val="28"/>
              </w:rPr>
              <w:t>Submission to:</w:t>
            </w:r>
          </w:p>
        </w:tc>
        <w:tc>
          <w:tcPr>
            <w:tcW w:w="6379" w:type="dxa"/>
            <w:vAlign w:val="center"/>
          </w:tcPr>
          <w:p w:rsidR="00D735FF" w:rsidRPr="0099276C" w:rsidRDefault="00B751A7" w:rsidP="002E76E8">
            <w:pPr>
              <w:pStyle w:val="Header"/>
              <w:rPr>
                <w:rFonts w:ascii="Arial" w:hAnsi="Arial" w:cs="Arial"/>
                <w:sz w:val="28"/>
                <w:szCs w:val="28"/>
              </w:rPr>
            </w:pPr>
            <w:r w:rsidRPr="0099276C">
              <w:rPr>
                <w:rFonts w:ascii="Arial" w:hAnsi="Arial" w:cs="Arial"/>
                <w:sz w:val="28"/>
                <w:szCs w:val="28"/>
              </w:rPr>
              <w:t xml:space="preserve">The Productivity Commission </w:t>
            </w:r>
          </w:p>
        </w:tc>
      </w:tr>
      <w:tr w:rsidR="00D735FF" w:rsidRPr="0099276C" w:rsidTr="000156D1">
        <w:trPr>
          <w:trHeight w:val="756"/>
        </w:trPr>
        <w:tc>
          <w:tcPr>
            <w:tcW w:w="2660" w:type="dxa"/>
            <w:vAlign w:val="center"/>
          </w:tcPr>
          <w:p w:rsidR="00D735FF" w:rsidRPr="0099276C" w:rsidRDefault="00D735FF" w:rsidP="002E76E8">
            <w:pPr>
              <w:pStyle w:val="Header"/>
              <w:rPr>
                <w:rFonts w:ascii="Arial" w:hAnsi="Arial" w:cs="Arial"/>
                <w:b/>
                <w:sz w:val="28"/>
                <w:szCs w:val="28"/>
              </w:rPr>
            </w:pPr>
            <w:r w:rsidRPr="0099276C">
              <w:rPr>
                <w:rFonts w:ascii="Arial" w:hAnsi="Arial" w:cs="Arial"/>
                <w:b/>
                <w:sz w:val="28"/>
                <w:szCs w:val="28"/>
              </w:rPr>
              <w:t>Title:</w:t>
            </w:r>
          </w:p>
        </w:tc>
        <w:tc>
          <w:tcPr>
            <w:tcW w:w="6379" w:type="dxa"/>
            <w:vAlign w:val="center"/>
          </w:tcPr>
          <w:p w:rsidR="00D735FF" w:rsidRPr="0099276C" w:rsidRDefault="009333F1" w:rsidP="002E76E8">
            <w:pPr>
              <w:pStyle w:val="Header"/>
              <w:rPr>
                <w:rFonts w:ascii="Arial" w:hAnsi="Arial" w:cs="Arial"/>
                <w:sz w:val="28"/>
                <w:szCs w:val="28"/>
              </w:rPr>
            </w:pPr>
            <w:r w:rsidRPr="0099276C">
              <w:rPr>
                <w:rFonts w:ascii="Arial" w:hAnsi="Arial" w:cs="Arial"/>
                <w:sz w:val="28"/>
                <w:szCs w:val="28"/>
              </w:rPr>
              <w:t xml:space="preserve">Business Regulation Benchmarking: Role of </w:t>
            </w:r>
            <w:r w:rsidR="006104D6" w:rsidRPr="0099276C">
              <w:rPr>
                <w:rFonts w:ascii="Arial" w:hAnsi="Arial" w:cs="Arial"/>
                <w:sz w:val="28"/>
                <w:szCs w:val="28"/>
              </w:rPr>
              <w:t>Local Government as</w:t>
            </w:r>
            <w:r w:rsidRPr="0099276C">
              <w:rPr>
                <w:rFonts w:ascii="Arial" w:hAnsi="Arial" w:cs="Arial"/>
                <w:sz w:val="28"/>
                <w:szCs w:val="28"/>
              </w:rPr>
              <w:t xml:space="preserve"> Regulator</w:t>
            </w:r>
          </w:p>
        </w:tc>
      </w:tr>
      <w:tr w:rsidR="00D735FF" w:rsidRPr="0099276C" w:rsidTr="000156D1">
        <w:trPr>
          <w:trHeight w:val="756"/>
        </w:trPr>
        <w:tc>
          <w:tcPr>
            <w:tcW w:w="2660" w:type="dxa"/>
            <w:vAlign w:val="center"/>
          </w:tcPr>
          <w:p w:rsidR="00D735FF" w:rsidRPr="0099276C" w:rsidRDefault="00D735FF" w:rsidP="002E76E8">
            <w:pPr>
              <w:pStyle w:val="Header"/>
              <w:rPr>
                <w:rFonts w:ascii="Arial" w:hAnsi="Arial" w:cs="Arial"/>
                <w:b/>
                <w:sz w:val="28"/>
                <w:szCs w:val="28"/>
              </w:rPr>
            </w:pPr>
            <w:r w:rsidRPr="0099276C">
              <w:rPr>
                <w:rFonts w:ascii="Arial" w:hAnsi="Arial" w:cs="Arial"/>
                <w:b/>
                <w:sz w:val="28"/>
                <w:szCs w:val="28"/>
              </w:rPr>
              <w:t>Date:</w:t>
            </w:r>
          </w:p>
        </w:tc>
        <w:tc>
          <w:tcPr>
            <w:tcW w:w="6379" w:type="dxa"/>
            <w:vAlign w:val="center"/>
          </w:tcPr>
          <w:p w:rsidR="00D735FF" w:rsidRPr="0099276C" w:rsidRDefault="00D00B75" w:rsidP="002E76E8">
            <w:pPr>
              <w:pStyle w:val="Header"/>
              <w:rPr>
                <w:rFonts w:ascii="Arial" w:hAnsi="Arial" w:cs="Arial"/>
                <w:sz w:val="28"/>
                <w:szCs w:val="28"/>
              </w:rPr>
            </w:pPr>
            <w:r>
              <w:rPr>
                <w:rFonts w:ascii="Arial" w:hAnsi="Arial" w:cs="Arial"/>
                <w:sz w:val="28"/>
                <w:szCs w:val="28"/>
              </w:rPr>
              <w:t>21 October 2011</w:t>
            </w:r>
          </w:p>
        </w:tc>
      </w:tr>
    </w:tbl>
    <w:p w:rsidR="00D735FF" w:rsidRPr="00927E47" w:rsidRDefault="00D735FF" w:rsidP="002E76E8">
      <w:pPr>
        <w:pStyle w:val="Header"/>
        <w:rPr>
          <w:rFonts w:ascii="Arial" w:hAnsi="Arial" w:cs="Arial"/>
          <w:sz w:val="20"/>
          <w:szCs w:val="20"/>
        </w:rPr>
      </w:pPr>
    </w:p>
    <w:p w:rsidR="00D735FF" w:rsidRPr="00927E47" w:rsidRDefault="00D735FF" w:rsidP="002E76E8">
      <w:pPr>
        <w:pStyle w:val="Header"/>
        <w:rPr>
          <w:rFonts w:ascii="Arial" w:hAnsi="Arial" w:cs="Arial"/>
          <w:sz w:val="20"/>
          <w:szCs w:val="20"/>
        </w:rPr>
      </w:pPr>
    </w:p>
    <w:p w:rsidR="00576ED0" w:rsidRPr="00927E47" w:rsidRDefault="00576ED0" w:rsidP="002E76E8">
      <w:pPr>
        <w:pStyle w:val="Header"/>
        <w:rPr>
          <w:rFonts w:ascii="Arial" w:hAnsi="Arial" w:cs="Arial"/>
          <w:sz w:val="20"/>
          <w:szCs w:val="20"/>
        </w:rPr>
      </w:pPr>
    </w:p>
    <w:p w:rsidR="00576ED0" w:rsidRPr="00927E47" w:rsidRDefault="00576ED0" w:rsidP="002E76E8">
      <w:pPr>
        <w:rPr>
          <w:rFonts w:ascii="Arial" w:hAnsi="Arial" w:cs="Arial"/>
          <w:sz w:val="20"/>
          <w:szCs w:val="20"/>
          <w:lang w:val="en-GB"/>
        </w:rPr>
        <w:sectPr w:rsidR="00576ED0" w:rsidRPr="00927E47"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927E47" w:rsidRDefault="00576ED0" w:rsidP="002E76E8">
      <w:pPr>
        <w:rPr>
          <w:rFonts w:ascii="Arial" w:hAnsi="Arial" w:cs="Arial"/>
          <w:sz w:val="20"/>
          <w:szCs w:val="20"/>
        </w:rPr>
      </w:pPr>
    </w:p>
    <w:p w:rsidR="0035493A" w:rsidRPr="00927E47" w:rsidRDefault="0035493A" w:rsidP="002E76E8">
      <w:pPr>
        <w:rPr>
          <w:rFonts w:ascii="Arial" w:hAnsi="Arial" w:cs="Arial"/>
          <w:sz w:val="20"/>
          <w:szCs w:val="20"/>
        </w:rPr>
      </w:pPr>
    </w:p>
    <w:p w:rsidR="0035493A" w:rsidRPr="00927E47" w:rsidRDefault="0035493A" w:rsidP="002E76E8">
      <w:pPr>
        <w:rPr>
          <w:rFonts w:ascii="Arial" w:hAnsi="Arial" w:cs="Arial"/>
          <w:sz w:val="20"/>
          <w:szCs w:val="20"/>
        </w:rPr>
      </w:pPr>
    </w:p>
    <w:p w:rsidR="0035493A" w:rsidRPr="00927E47" w:rsidRDefault="0035493A" w:rsidP="002E76E8">
      <w:pPr>
        <w:rPr>
          <w:rFonts w:ascii="Arial" w:hAnsi="Arial" w:cs="Arial"/>
          <w:sz w:val="20"/>
          <w:szCs w:val="20"/>
        </w:rPr>
      </w:pPr>
    </w:p>
    <w:p w:rsidR="0035493A" w:rsidRPr="00F330FD" w:rsidRDefault="0035493A" w:rsidP="002E76E8">
      <w:pPr>
        <w:rPr>
          <w:rFonts w:ascii="Arial" w:hAnsi="Arial" w:cs="Arial"/>
          <w:sz w:val="24"/>
          <w:szCs w:val="24"/>
        </w:rPr>
      </w:pPr>
    </w:p>
    <w:p w:rsidR="0035493A" w:rsidRPr="004A1802" w:rsidRDefault="003B74E4" w:rsidP="002E76E8">
      <w:pPr>
        <w:rPr>
          <w:rFonts w:ascii="Arial" w:hAnsi="Arial" w:cs="Arial"/>
          <w:b/>
          <w:color w:val="000064"/>
          <w:sz w:val="28"/>
          <w:szCs w:val="28"/>
        </w:rPr>
      </w:pPr>
      <w:r w:rsidRPr="004A1802">
        <w:rPr>
          <w:rFonts w:ascii="Arial" w:hAnsi="Arial" w:cs="Arial"/>
          <w:b/>
          <w:color w:val="000064"/>
          <w:sz w:val="28"/>
          <w:szCs w:val="28"/>
        </w:rPr>
        <w:t>Contents</w:t>
      </w:r>
    </w:p>
    <w:p w:rsidR="00576ED0" w:rsidRPr="00F330FD" w:rsidRDefault="00576ED0" w:rsidP="002E76E8">
      <w:pPr>
        <w:rPr>
          <w:rFonts w:ascii="Arial" w:hAnsi="Arial" w:cs="Arial"/>
          <w:sz w:val="24"/>
          <w:szCs w:val="24"/>
        </w:rPr>
      </w:pPr>
    </w:p>
    <w:p w:rsidR="009B0520" w:rsidRPr="00F330FD" w:rsidRDefault="009B0520" w:rsidP="002E76E8">
      <w:pPr>
        <w:rPr>
          <w:rFonts w:ascii="Arial" w:hAnsi="Arial" w:cs="Arial"/>
          <w:sz w:val="24"/>
          <w:szCs w:val="24"/>
        </w:rPr>
      </w:pPr>
    </w:p>
    <w:p w:rsidR="001955E5" w:rsidRDefault="00585E54">
      <w:pPr>
        <w:pStyle w:val="TOC1"/>
        <w:tabs>
          <w:tab w:val="left" w:pos="442"/>
        </w:tabs>
        <w:rPr>
          <w:rFonts w:asciiTheme="minorHAnsi" w:eastAsiaTheme="minorEastAsia" w:hAnsiTheme="minorHAnsi" w:cstheme="minorBidi"/>
          <w:b w:val="0"/>
          <w:sz w:val="22"/>
          <w:szCs w:val="22"/>
          <w:lang w:eastAsia="en-AU"/>
        </w:rPr>
      </w:pPr>
      <w:r w:rsidRPr="00585E54">
        <w:rPr>
          <w:sz w:val="24"/>
          <w:szCs w:val="24"/>
        </w:rPr>
        <w:fldChar w:fldCharType="begin"/>
      </w:r>
      <w:r w:rsidR="0035493A" w:rsidRPr="00F330FD">
        <w:rPr>
          <w:sz w:val="24"/>
          <w:szCs w:val="24"/>
        </w:rPr>
        <w:instrText xml:space="preserve"> TOC \o "1-2" \t "ATA Heading 2,2" </w:instrText>
      </w:r>
      <w:r w:rsidRPr="00585E54">
        <w:rPr>
          <w:sz w:val="24"/>
          <w:szCs w:val="24"/>
        </w:rPr>
        <w:fldChar w:fldCharType="separate"/>
      </w:r>
      <w:r w:rsidR="001955E5" w:rsidRPr="00C0659D">
        <w:rPr>
          <w:rFonts w:cs="Times New Roman"/>
        </w:rPr>
        <w:t>1.</w:t>
      </w:r>
      <w:r w:rsidR="001955E5">
        <w:rPr>
          <w:rFonts w:asciiTheme="minorHAnsi" w:eastAsiaTheme="minorEastAsia" w:hAnsiTheme="minorHAnsi" w:cstheme="minorBidi"/>
          <w:b w:val="0"/>
          <w:sz w:val="22"/>
          <w:szCs w:val="22"/>
          <w:lang w:eastAsia="en-AU"/>
        </w:rPr>
        <w:tab/>
      </w:r>
      <w:r w:rsidR="001955E5" w:rsidRPr="004A1802">
        <w:rPr>
          <w:sz w:val="24"/>
          <w:szCs w:val="24"/>
        </w:rPr>
        <w:t>Introduction</w:t>
      </w:r>
      <w:r w:rsidR="001955E5">
        <w:tab/>
      </w:r>
      <w:r>
        <w:fldChar w:fldCharType="begin"/>
      </w:r>
      <w:r w:rsidR="001955E5">
        <w:instrText xml:space="preserve"> PAGEREF _Toc306957632 \h </w:instrText>
      </w:r>
      <w:r>
        <w:fldChar w:fldCharType="separate"/>
      </w:r>
      <w:r w:rsidR="00240A94">
        <w:t>3</w:t>
      </w:r>
      <w:r>
        <w:fldChar w:fldCharType="end"/>
      </w:r>
    </w:p>
    <w:p w:rsidR="001955E5" w:rsidRDefault="001955E5">
      <w:pPr>
        <w:pStyle w:val="TOC1"/>
        <w:tabs>
          <w:tab w:val="left" w:pos="442"/>
        </w:tabs>
        <w:rPr>
          <w:rFonts w:asciiTheme="minorHAnsi" w:eastAsiaTheme="minorEastAsia" w:hAnsiTheme="minorHAnsi" w:cstheme="minorBidi"/>
          <w:b w:val="0"/>
          <w:sz w:val="22"/>
          <w:szCs w:val="22"/>
          <w:lang w:eastAsia="en-AU"/>
        </w:rPr>
      </w:pPr>
      <w:r w:rsidRPr="00C0659D">
        <w:rPr>
          <w:rFonts w:cs="Times New Roman"/>
        </w:rPr>
        <w:t>2.</w:t>
      </w:r>
      <w:r>
        <w:rPr>
          <w:rFonts w:asciiTheme="minorHAnsi" w:eastAsiaTheme="minorEastAsia" w:hAnsiTheme="minorHAnsi" w:cstheme="minorBidi"/>
          <w:b w:val="0"/>
          <w:sz w:val="22"/>
          <w:szCs w:val="22"/>
          <w:lang w:eastAsia="en-AU"/>
        </w:rPr>
        <w:tab/>
      </w:r>
      <w:r>
        <w:t>The Australian Trucking Association</w:t>
      </w:r>
      <w:r>
        <w:tab/>
      </w:r>
      <w:r w:rsidR="00585E54">
        <w:fldChar w:fldCharType="begin"/>
      </w:r>
      <w:r>
        <w:instrText xml:space="preserve"> PAGEREF _Toc306957633 \h </w:instrText>
      </w:r>
      <w:r w:rsidR="00585E54">
        <w:fldChar w:fldCharType="separate"/>
      </w:r>
      <w:r w:rsidR="00240A94">
        <w:t>3</w:t>
      </w:r>
      <w:r w:rsidR="00585E54">
        <w:fldChar w:fldCharType="end"/>
      </w:r>
    </w:p>
    <w:p w:rsidR="001955E5" w:rsidRDefault="001955E5">
      <w:pPr>
        <w:pStyle w:val="TOC1"/>
        <w:tabs>
          <w:tab w:val="left" w:pos="442"/>
        </w:tabs>
        <w:rPr>
          <w:rFonts w:asciiTheme="minorHAnsi" w:eastAsiaTheme="minorEastAsia" w:hAnsiTheme="minorHAnsi" w:cstheme="minorBidi"/>
          <w:b w:val="0"/>
          <w:sz w:val="22"/>
          <w:szCs w:val="22"/>
          <w:lang w:eastAsia="en-AU"/>
        </w:rPr>
      </w:pPr>
      <w:r w:rsidRPr="00C0659D">
        <w:rPr>
          <w:rFonts w:cs="Times New Roman"/>
        </w:rPr>
        <w:t>3.</w:t>
      </w:r>
      <w:r>
        <w:rPr>
          <w:rFonts w:asciiTheme="minorHAnsi" w:eastAsiaTheme="minorEastAsia" w:hAnsiTheme="minorHAnsi" w:cstheme="minorBidi"/>
          <w:b w:val="0"/>
          <w:sz w:val="22"/>
          <w:szCs w:val="22"/>
          <w:lang w:eastAsia="en-AU"/>
        </w:rPr>
        <w:tab/>
      </w:r>
      <w:r>
        <w:t>Overview</w:t>
      </w:r>
      <w:r>
        <w:tab/>
      </w:r>
      <w:r w:rsidR="00585E54">
        <w:fldChar w:fldCharType="begin"/>
      </w:r>
      <w:r>
        <w:instrText xml:space="preserve"> PAGEREF _Toc306957634 \h </w:instrText>
      </w:r>
      <w:r w:rsidR="00585E54">
        <w:fldChar w:fldCharType="separate"/>
      </w:r>
      <w:r w:rsidR="00240A94">
        <w:t>3</w:t>
      </w:r>
      <w:r w:rsidR="00585E54">
        <w:fldChar w:fldCharType="end"/>
      </w:r>
    </w:p>
    <w:p w:rsidR="001955E5" w:rsidRDefault="001955E5">
      <w:pPr>
        <w:pStyle w:val="TOC1"/>
        <w:tabs>
          <w:tab w:val="left" w:pos="442"/>
        </w:tabs>
        <w:rPr>
          <w:rFonts w:asciiTheme="minorHAnsi" w:eastAsiaTheme="minorEastAsia" w:hAnsiTheme="minorHAnsi" w:cstheme="minorBidi"/>
          <w:b w:val="0"/>
          <w:sz w:val="22"/>
          <w:szCs w:val="22"/>
          <w:lang w:eastAsia="en-AU"/>
        </w:rPr>
      </w:pPr>
      <w:r w:rsidRPr="00C0659D">
        <w:rPr>
          <w:rFonts w:cs="Times New Roman"/>
        </w:rPr>
        <w:t>4.</w:t>
      </w:r>
      <w:r>
        <w:rPr>
          <w:rFonts w:asciiTheme="minorHAnsi" w:eastAsiaTheme="minorEastAsia" w:hAnsiTheme="minorHAnsi" w:cstheme="minorBidi"/>
          <w:b w:val="0"/>
          <w:sz w:val="22"/>
          <w:szCs w:val="22"/>
          <w:lang w:eastAsia="en-AU"/>
        </w:rPr>
        <w:tab/>
      </w:r>
      <w:r>
        <w:t>Recommendations</w:t>
      </w:r>
      <w:r>
        <w:tab/>
      </w:r>
      <w:r w:rsidR="00585E54">
        <w:fldChar w:fldCharType="begin"/>
      </w:r>
      <w:r>
        <w:instrText xml:space="preserve"> PAGEREF _Toc306957635 \h </w:instrText>
      </w:r>
      <w:r w:rsidR="00585E54">
        <w:fldChar w:fldCharType="separate"/>
      </w:r>
      <w:r w:rsidR="00240A94">
        <w:t>4</w:t>
      </w:r>
      <w:r w:rsidR="00585E54">
        <w:fldChar w:fldCharType="end"/>
      </w:r>
    </w:p>
    <w:p w:rsidR="001955E5" w:rsidRDefault="001955E5">
      <w:pPr>
        <w:pStyle w:val="TOC1"/>
        <w:tabs>
          <w:tab w:val="left" w:pos="442"/>
        </w:tabs>
        <w:rPr>
          <w:rFonts w:asciiTheme="minorHAnsi" w:eastAsiaTheme="minorEastAsia" w:hAnsiTheme="minorHAnsi" w:cstheme="minorBidi"/>
          <w:b w:val="0"/>
          <w:sz w:val="22"/>
          <w:szCs w:val="22"/>
          <w:lang w:eastAsia="en-AU"/>
        </w:rPr>
      </w:pPr>
      <w:r w:rsidRPr="00C0659D">
        <w:rPr>
          <w:rFonts w:cs="Times New Roman"/>
        </w:rPr>
        <w:t>5.</w:t>
      </w:r>
      <w:r>
        <w:rPr>
          <w:rFonts w:asciiTheme="minorHAnsi" w:eastAsiaTheme="minorEastAsia" w:hAnsiTheme="minorHAnsi" w:cstheme="minorBidi"/>
          <w:b w:val="0"/>
          <w:sz w:val="22"/>
          <w:szCs w:val="22"/>
          <w:lang w:eastAsia="en-AU"/>
        </w:rPr>
        <w:tab/>
      </w:r>
      <w:r>
        <w:t>Cost inducing regulations and procedures of local governments</w:t>
      </w:r>
      <w:r>
        <w:tab/>
      </w:r>
      <w:r w:rsidR="00585E54">
        <w:fldChar w:fldCharType="begin"/>
      </w:r>
      <w:r>
        <w:instrText xml:space="preserve"> PAGEREF _Toc306957636 \h </w:instrText>
      </w:r>
      <w:r w:rsidR="00585E54">
        <w:fldChar w:fldCharType="separate"/>
      </w:r>
      <w:r w:rsidR="00240A94">
        <w:t>5</w:t>
      </w:r>
      <w:r w:rsidR="00585E54">
        <w:fldChar w:fldCharType="end"/>
      </w:r>
    </w:p>
    <w:p w:rsidR="001955E5" w:rsidRDefault="001955E5">
      <w:pPr>
        <w:pStyle w:val="TOC2"/>
        <w:tabs>
          <w:tab w:val="left" w:pos="880"/>
        </w:tabs>
        <w:rPr>
          <w:rFonts w:asciiTheme="minorHAnsi" w:eastAsiaTheme="minorEastAsia" w:hAnsiTheme="minorHAnsi" w:cstheme="minorBidi"/>
          <w:noProof/>
          <w:sz w:val="22"/>
          <w:lang w:eastAsia="en-AU"/>
        </w:rPr>
      </w:pPr>
      <w:r w:rsidRPr="00C0659D">
        <w:rPr>
          <w:noProof/>
        </w:rPr>
        <w:t>5.1.</w:t>
      </w:r>
      <w:r>
        <w:rPr>
          <w:rFonts w:asciiTheme="minorHAnsi" w:eastAsiaTheme="minorEastAsia" w:hAnsiTheme="minorHAnsi" w:cstheme="minorBidi"/>
          <w:noProof/>
          <w:sz w:val="22"/>
          <w:lang w:eastAsia="en-AU"/>
        </w:rPr>
        <w:tab/>
      </w:r>
      <w:r>
        <w:rPr>
          <w:noProof/>
        </w:rPr>
        <w:t>Higher mass limits and allowing access</w:t>
      </w:r>
      <w:r>
        <w:rPr>
          <w:noProof/>
        </w:rPr>
        <w:tab/>
      </w:r>
      <w:r w:rsidR="00585E54">
        <w:rPr>
          <w:noProof/>
        </w:rPr>
        <w:fldChar w:fldCharType="begin"/>
      </w:r>
      <w:r>
        <w:rPr>
          <w:noProof/>
        </w:rPr>
        <w:instrText xml:space="preserve"> PAGEREF _Toc306957637 \h </w:instrText>
      </w:r>
      <w:r w:rsidR="00585E54">
        <w:rPr>
          <w:noProof/>
        </w:rPr>
      </w:r>
      <w:r w:rsidR="00585E54">
        <w:rPr>
          <w:noProof/>
        </w:rPr>
        <w:fldChar w:fldCharType="separate"/>
      </w:r>
      <w:r w:rsidR="00240A94">
        <w:rPr>
          <w:noProof/>
        </w:rPr>
        <w:t>5</w:t>
      </w:r>
      <w:r w:rsidR="00585E54">
        <w:rPr>
          <w:noProof/>
        </w:rPr>
        <w:fldChar w:fldCharType="end"/>
      </w:r>
    </w:p>
    <w:p w:rsidR="001955E5" w:rsidRDefault="001955E5">
      <w:pPr>
        <w:pStyle w:val="TOC2"/>
        <w:tabs>
          <w:tab w:val="left" w:pos="880"/>
        </w:tabs>
        <w:rPr>
          <w:rFonts w:asciiTheme="minorHAnsi" w:eastAsiaTheme="minorEastAsia" w:hAnsiTheme="minorHAnsi" w:cstheme="minorBidi"/>
          <w:noProof/>
          <w:sz w:val="22"/>
          <w:lang w:eastAsia="en-AU"/>
        </w:rPr>
      </w:pPr>
      <w:r w:rsidRPr="00C0659D">
        <w:rPr>
          <w:noProof/>
        </w:rPr>
        <w:t>5.2.</w:t>
      </w:r>
      <w:r>
        <w:rPr>
          <w:rFonts w:asciiTheme="minorHAnsi" w:eastAsiaTheme="minorEastAsia" w:hAnsiTheme="minorHAnsi" w:cstheme="minorBidi"/>
          <w:noProof/>
          <w:sz w:val="22"/>
          <w:lang w:eastAsia="en-AU"/>
        </w:rPr>
        <w:tab/>
      </w:r>
      <w:r>
        <w:rPr>
          <w:noProof/>
        </w:rPr>
        <w:t>Performance Based Standards</w:t>
      </w:r>
      <w:r>
        <w:rPr>
          <w:noProof/>
        </w:rPr>
        <w:tab/>
      </w:r>
      <w:r w:rsidR="00585E54">
        <w:rPr>
          <w:noProof/>
        </w:rPr>
        <w:fldChar w:fldCharType="begin"/>
      </w:r>
      <w:r>
        <w:rPr>
          <w:noProof/>
        </w:rPr>
        <w:instrText xml:space="preserve"> PAGEREF _Toc306957638 \h </w:instrText>
      </w:r>
      <w:r w:rsidR="00585E54">
        <w:rPr>
          <w:noProof/>
        </w:rPr>
      </w:r>
      <w:r w:rsidR="00585E54">
        <w:rPr>
          <w:noProof/>
        </w:rPr>
        <w:fldChar w:fldCharType="separate"/>
      </w:r>
      <w:r w:rsidR="00240A94">
        <w:rPr>
          <w:noProof/>
        </w:rPr>
        <w:t>6</w:t>
      </w:r>
      <w:r w:rsidR="00585E54">
        <w:rPr>
          <w:noProof/>
        </w:rPr>
        <w:fldChar w:fldCharType="end"/>
      </w:r>
    </w:p>
    <w:p w:rsidR="001955E5" w:rsidRDefault="001955E5">
      <w:pPr>
        <w:pStyle w:val="TOC2"/>
        <w:tabs>
          <w:tab w:val="left" w:pos="880"/>
        </w:tabs>
        <w:rPr>
          <w:rFonts w:asciiTheme="minorHAnsi" w:eastAsiaTheme="minorEastAsia" w:hAnsiTheme="minorHAnsi" w:cstheme="minorBidi"/>
          <w:noProof/>
          <w:sz w:val="22"/>
          <w:lang w:eastAsia="en-AU"/>
        </w:rPr>
      </w:pPr>
      <w:r w:rsidRPr="00C0659D">
        <w:rPr>
          <w:noProof/>
        </w:rPr>
        <w:t>5.3.</w:t>
      </w:r>
      <w:r>
        <w:rPr>
          <w:rFonts w:asciiTheme="minorHAnsi" w:eastAsiaTheme="minorEastAsia" w:hAnsiTheme="minorHAnsi" w:cstheme="minorBidi"/>
          <w:noProof/>
          <w:sz w:val="22"/>
          <w:lang w:eastAsia="en-AU"/>
        </w:rPr>
        <w:tab/>
      </w:r>
      <w:r>
        <w:rPr>
          <w:noProof/>
        </w:rPr>
        <w:t>Local government planning</w:t>
      </w:r>
      <w:r>
        <w:rPr>
          <w:noProof/>
        </w:rPr>
        <w:tab/>
      </w:r>
      <w:r w:rsidR="00585E54">
        <w:rPr>
          <w:noProof/>
        </w:rPr>
        <w:fldChar w:fldCharType="begin"/>
      </w:r>
      <w:r>
        <w:rPr>
          <w:noProof/>
        </w:rPr>
        <w:instrText xml:space="preserve"> PAGEREF _Toc306957639 \h </w:instrText>
      </w:r>
      <w:r w:rsidR="00585E54">
        <w:rPr>
          <w:noProof/>
        </w:rPr>
      </w:r>
      <w:r w:rsidR="00585E54">
        <w:rPr>
          <w:noProof/>
        </w:rPr>
        <w:fldChar w:fldCharType="separate"/>
      </w:r>
      <w:r w:rsidR="00240A94">
        <w:rPr>
          <w:noProof/>
        </w:rPr>
        <w:t>6</w:t>
      </w:r>
      <w:r w:rsidR="00585E54">
        <w:rPr>
          <w:noProof/>
        </w:rPr>
        <w:fldChar w:fldCharType="end"/>
      </w:r>
    </w:p>
    <w:p w:rsidR="001955E5" w:rsidRDefault="001955E5">
      <w:pPr>
        <w:pStyle w:val="TOC2"/>
        <w:tabs>
          <w:tab w:val="left" w:pos="880"/>
        </w:tabs>
        <w:rPr>
          <w:rFonts w:asciiTheme="minorHAnsi" w:eastAsiaTheme="minorEastAsia" w:hAnsiTheme="minorHAnsi" w:cstheme="minorBidi"/>
          <w:noProof/>
          <w:sz w:val="22"/>
          <w:lang w:eastAsia="en-AU"/>
        </w:rPr>
      </w:pPr>
      <w:r w:rsidRPr="00C0659D">
        <w:rPr>
          <w:noProof/>
        </w:rPr>
        <w:t>5.4.</w:t>
      </w:r>
      <w:r>
        <w:rPr>
          <w:rFonts w:asciiTheme="minorHAnsi" w:eastAsiaTheme="minorEastAsia" w:hAnsiTheme="minorHAnsi" w:cstheme="minorBidi"/>
          <w:noProof/>
          <w:sz w:val="22"/>
          <w:lang w:eastAsia="en-AU"/>
        </w:rPr>
        <w:tab/>
      </w:r>
      <w:r>
        <w:rPr>
          <w:noProof/>
        </w:rPr>
        <w:t>Case Study: audit report on the management of the Strategic Regional Program.</w:t>
      </w:r>
      <w:r>
        <w:rPr>
          <w:noProof/>
        </w:rPr>
        <w:tab/>
      </w:r>
      <w:r w:rsidR="00585E54">
        <w:rPr>
          <w:noProof/>
        </w:rPr>
        <w:fldChar w:fldCharType="begin"/>
      </w:r>
      <w:r>
        <w:rPr>
          <w:noProof/>
        </w:rPr>
        <w:instrText xml:space="preserve"> PAGEREF _Toc306957640 \h </w:instrText>
      </w:r>
      <w:r w:rsidR="00585E54">
        <w:rPr>
          <w:noProof/>
        </w:rPr>
      </w:r>
      <w:r w:rsidR="00585E54">
        <w:rPr>
          <w:noProof/>
        </w:rPr>
        <w:fldChar w:fldCharType="separate"/>
      </w:r>
      <w:r w:rsidR="00240A94">
        <w:rPr>
          <w:noProof/>
        </w:rPr>
        <w:t>7</w:t>
      </w:r>
      <w:r w:rsidR="00585E54">
        <w:rPr>
          <w:noProof/>
        </w:rPr>
        <w:fldChar w:fldCharType="end"/>
      </w:r>
    </w:p>
    <w:p w:rsidR="001955E5" w:rsidRDefault="001955E5">
      <w:pPr>
        <w:pStyle w:val="TOC2"/>
        <w:tabs>
          <w:tab w:val="left" w:pos="880"/>
        </w:tabs>
        <w:rPr>
          <w:rFonts w:asciiTheme="minorHAnsi" w:eastAsiaTheme="minorEastAsia" w:hAnsiTheme="minorHAnsi" w:cstheme="minorBidi"/>
          <w:noProof/>
          <w:sz w:val="22"/>
          <w:lang w:eastAsia="en-AU"/>
        </w:rPr>
      </w:pPr>
      <w:r w:rsidRPr="00C0659D">
        <w:rPr>
          <w:noProof/>
        </w:rPr>
        <w:t>5.5.</w:t>
      </w:r>
      <w:r>
        <w:rPr>
          <w:rFonts w:asciiTheme="minorHAnsi" w:eastAsiaTheme="minorEastAsia" w:hAnsiTheme="minorHAnsi" w:cstheme="minorBidi"/>
          <w:noProof/>
          <w:sz w:val="22"/>
          <w:lang w:eastAsia="en-AU"/>
        </w:rPr>
        <w:tab/>
      </w:r>
      <w:r>
        <w:rPr>
          <w:noProof/>
        </w:rPr>
        <w:t>Result of excessive regulation</w:t>
      </w:r>
      <w:r>
        <w:rPr>
          <w:noProof/>
        </w:rPr>
        <w:tab/>
      </w:r>
      <w:r w:rsidR="00585E54">
        <w:rPr>
          <w:noProof/>
        </w:rPr>
        <w:fldChar w:fldCharType="begin"/>
      </w:r>
      <w:r>
        <w:rPr>
          <w:noProof/>
        </w:rPr>
        <w:instrText xml:space="preserve"> PAGEREF _Toc306957641 \h </w:instrText>
      </w:r>
      <w:r w:rsidR="00585E54">
        <w:rPr>
          <w:noProof/>
        </w:rPr>
      </w:r>
      <w:r w:rsidR="00585E54">
        <w:rPr>
          <w:noProof/>
        </w:rPr>
        <w:fldChar w:fldCharType="separate"/>
      </w:r>
      <w:r w:rsidR="00240A94">
        <w:rPr>
          <w:noProof/>
        </w:rPr>
        <w:t>8</w:t>
      </w:r>
      <w:r w:rsidR="00585E54">
        <w:rPr>
          <w:noProof/>
        </w:rPr>
        <w:fldChar w:fldCharType="end"/>
      </w:r>
    </w:p>
    <w:p w:rsidR="001955E5" w:rsidRDefault="001955E5">
      <w:pPr>
        <w:pStyle w:val="TOC1"/>
        <w:tabs>
          <w:tab w:val="left" w:pos="442"/>
        </w:tabs>
        <w:rPr>
          <w:rFonts w:asciiTheme="minorHAnsi" w:eastAsiaTheme="minorEastAsia" w:hAnsiTheme="minorHAnsi" w:cstheme="minorBidi"/>
          <w:b w:val="0"/>
          <w:sz w:val="22"/>
          <w:szCs w:val="22"/>
          <w:lang w:eastAsia="en-AU"/>
        </w:rPr>
      </w:pPr>
      <w:r w:rsidRPr="00C0659D">
        <w:rPr>
          <w:rFonts w:cs="Times New Roman"/>
        </w:rPr>
        <w:t>6.</w:t>
      </w:r>
      <w:r>
        <w:rPr>
          <w:rFonts w:asciiTheme="minorHAnsi" w:eastAsiaTheme="minorEastAsia" w:hAnsiTheme="minorHAnsi" w:cstheme="minorBidi"/>
          <w:b w:val="0"/>
          <w:sz w:val="22"/>
          <w:szCs w:val="22"/>
          <w:lang w:eastAsia="en-AU"/>
        </w:rPr>
        <w:tab/>
      </w:r>
      <w:r>
        <w:t>What industry needs</w:t>
      </w:r>
      <w:r>
        <w:tab/>
      </w:r>
      <w:r w:rsidR="00585E54">
        <w:fldChar w:fldCharType="begin"/>
      </w:r>
      <w:r>
        <w:instrText xml:space="preserve"> PAGEREF _Toc306957642 \h </w:instrText>
      </w:r>
      <w:r w:rsidR="00585E54">
        <w:fldChar w:fldCharType="separate"/>
      </w:r>
      <w:r w:rsidR="00240A94">
        <w:t>8</w:t>
      </w:r>
      <w:r w:rsidR="00585E54">
        <w:fldChar w:fldCharType="end"/>
      </w:r>
    </w:p>
    <w:p w:rsidR="001955E5" w:rsidRDefault="001955E5">
      <w:pPr>
        <w:pStyle w:val="TOC1"/>
        <w:tabs>
          <w:tab w:val="left" w:pos="442"/>
        </w:tabs>
        <w:rPr>
          <w:rFonts w:asciiTheme="minorHAnsi" w:eastAsiaTheme="minorEastAsia" w:hAnsiTheme="minorHAnsi" w:cstheme="minorBidi"/>
          <w:b w:val="0"/>
          <w:sz w:val="22"/>
          <w:szCs w:val="22"/>
          <w:lang w:eastAsia="en-AU"/>
        </w:rPr>
      </w:pPr>
      <w:r w:rsidRPr="00C0659D">
        <w:rPr>
          <w:rFonts w:cs="Times New Roman"/>
        </w:rPr>
        <w:t>7.</w:t>
      </w:r>
      <w:r>
        <w:rPr>
          <w:rFonts w:asciiTheme="minorHAnsi" w:eastAsiaTheme="minorEastAsia" w:hAnsiTheme="minorHAnsi" w:cstheme="minorBidi"/>
          <w:b w:val="0"/>
          <w:sz w:val="22"/>
          <w:szCs w:val="22"/>
          <w:lang w:eastAsia="en-AU"/>
        </w:rPr>
        <w:tab/>
      </w:r>
      <w:r>
        <w:t>Conclusion</w:t>
      </w:r>
      <w:r>
        <w:tab/>
      </w:r>
      <w:r w:rsidR="00585E54">
        <w:fldChar w:fldCharType="begin"/>
      </w:r>
      <w:r>
        <w:instrText xml:space="preserve"> PAGEREF _Toc306957643 \h </w:instrText>
      </w:r>
      <w:r w:rsidR="00585E54">
        <w:fldChar w:fldCharType="separate"/>
      </w:r>
      <w:r w:rsidR="00240A94">
        <w:t>10</w:t>
      </w:r>
      <w:r w:rsidR="00585E54">
        <w:fldChar w:fldCharType="end"/>
      </w:r>
    </w:p>
    <w:p w:rsidR="001955E5" w:rsidRDefault="001955E5">
      <w:pPr>
        <w:pStyle w:val="TOC1"/>
        <w:rPr>
          <w:rFonts w:asciiTheme="minorHAnsi" w:eastAsiaTheme="minorEastAsia" w:hAnsiTheme="minorHAnsi" w:cstheme="minorBidi"/>
          <w:b w:val="0"/>
          <w:sz w:val="22"/>
          <w:szCs w:val="22"/>
          <w:lang w:eastAsia="en-AU"/>
        </w:rPr>
      </w:pPr>
      <w:r>
        <w:t>APPENDIX A: The ATA and Barkwood Consulting Pty Ltd Truck Impact Chart</w:t>
      </w:r>
      <w:r>
        <w:tab/>
      </w:r>
      <w:r w:rsidR="00585E54">
        <w:fldChar w:fldCharType="begin"/>
      </w:r>
      <w:r>
        <w:instrText xml:space="preserve"> PAGEREF _Toc306957644 \h </w:instrText>
      </w:r>
      <w:r w:rsidR="00585E54">
        <w:fldChar w:fldCharType="separate"/>
      </w:r>
      <w:r w:rsidR="00240A94">
        <w:t>11</w:t>
      </w:r>
      <w:r w:rsidR="00585E54">
        <w:fldChar w:fldCharType="end"/>
      </w:r>
    </w:p>
    <w:p w:rsidR="00241C15" w:rsidRPr="00F330FD" w:rsidRDefault="00585E54" w:rsidP="002E76E8">
      <w:pPr>
        <w:tabs>
          <w:tab w:val="right" w:leader="dot" w:pos="9645"/>
        </w:tabs>
        <w:rPr>
          <w:rFonts w:ascii="Arial" w:hAnsi="Arial" w:cs="Arial"/>
          <w:sz w:val="24"/>
          <w:szCs w:val="24"/>
        </w:rPr>
      </w:pPr>
      <w:r w:rsidRPr="00F330FD">
        <w:rPr>
          <w:rFonts w:ascii="Arial" w:hAnsi="Arial" w:cs="Arial"/>
          <w:sz w:val="24"/>
          <w:szCs w:val="24"/>
        </w:rPr>
        <w:fldChar w:fldCharType="end"/>
      </w:r>
    </w:p>
    <w:p w:rsidR="00576ED0" w:rsidRPr="00F330FD" w:rsidRDefault="00576ED0" w:rsidP="002E76E8">
      <w:pPr>
        <w:rPr>
          <w:rFonts w:ascii="Arial" w:hAnsi="Arial" w:cs="Arial"/>
          <w:sz w:val="24"/>
          <w:szCs w:val="24"/>
        </w:rPr>
      </w:pPr>
      <w:r w:rsidRPr="00F330FD">
        <w:rPr>
          <w:rFonts w:ascii="Arial" w:hAnsi="Arial" w:cs="Arial"/>
          <w:sz w:val="24"/>
          <w:szCs w:val="24"/>
        </w:rPr>
        <w:br w:type="page"/>
      </w:r>
    </w:p>
    <w:p w:rsidR="00576ED0" w:rsidRPr="004A1802" w:rsidRDefault="00576ED0" w:rsidP="002E76E8">
      <w:pPr>
        <w:pStyle w:val="Heading1"/>
      </w:pPr>
      <w:bookmarkStart w:id="0" w:name="_Toc306957632"/>
      <w:r w:rsidRPr="004A1802">
        <w:lastRenderedPageBreak/>
        <w:t>Introduction</w:t>
      </w:r>
      <w:bookmarkEnd w:id="0"/>
    </w:p>
    <w:p w:rsidR="00D17563" w:rsidRPr="00927E47" w:rsidRDefault="00D17563" w:rsidP="002E76E8">
      <w:pPr>
        <w:rPr>
          <w:rFonts w:ascii="Arial" w:hAnsi="Arial" w:cs="Arial"/>
          <w:sz w:val="20"/>
          <w:szCs w:val="20"/>
        </w:rPr>
      </w:pPr>
    </w:p>
    <w:p w:rsidR="008C3057" w:rsidRPr="00927E47" w:rsidRDefault="00BC0B49" w:rsidP="002E76E8">
      <w:pPr>
        <w:rPr>
          <w:rFonts w:ascii="Arial" w:hAnsi="Arial" w:cs="Arial"/>
          <w:sz w:val="20"/>
          <w:szCs w:val="20"/>
        </w:rPr>
      </w:pPr>
      <w:r w:rsidRPr="00927E47">
        <w:rPr>
          <w:rFonts w:ascii="Arial" w:hAnsi="Arial" w:cs="Arial"/>
          <w:sz w:val="20"/>
          <w:szCs w:val="20"/>
        </w:rPr>
        <w:t xml:space="preserve">The Productivity </w:t>
      </w:r>
      <w:r w:rsidR="007A5771" w:rsidRPr="00927E47">
        <w:rPr>
          <w:rFonts w:ascii="Arial" w:hAnsi="Arial" w:cs="Arial"/>
          <w:sz w:val="20"/>
          <w:szCs w:val="20"/>
        </w:rPr>
        <w:t>C</w:t>
      </w:r>
      <w:r w:rsidRPr="00927E47">
        <w:rPr>
          <w:rFonts w:ascii="Arial" w:hAnsi="Arial" w:cs="Arial"/>
          <w:sz w:val="20"/>
          <w:szCs w:val="20"/>
        </w:rPr>
        <w:t xml:space="preserve">ommission is </w:t>
      </w:r>
      <w:r w:rsidR="00BF5C66" w:rsidRPr="00927E47">
        <w:rPr>
          <w:rFonts w:ascii="Arial" w:hAnsi="Arial" w:cs="Arial"/>
          <w:sz w:val="20"/>
          <w:szCs w:val="20"/>
        </w:rPr>
        <w:t>intending</w:t>
      </w:r>
      <w:r w:rsidRPr="00927E47">
        <w:rPr>
          <w:rFonts w:ascii="Arial" w:hAnsi="Arial" w:cs="Arial"/>
          <w:sz w:val="20"/>
          <w:szCs w:val="20"/>
        </w:rPr>
        <w:t xml:space="preserve"> to identify regulatory activities which </w:t>
      </w:r>
      <w:r w:rsidR="00F17EC7" w:rsidRPr="00927E47">
        <w:rPr>
          <w:rFonts w:ascii="Arial" w:hAnsi="Arial" w:cs="Arial"/>
          <w:sz w:val="20"/>
          <w:szCs w:val="20"/>
        </w:rPr>
        <w:t>cause</w:t>
      </w:r>
      <w:r w:rsidRPr="00927E47">
        <w:rPr>
          <w:rFonts w:ascii="Arial" w:hAnsi="Arial" w:cs="Arial"/>
          <w:sz w:val="20"/>
          <w:szCs w:val="20"/>
        </w:rPr>
        <w:t xml:space="preserve"> u</w:t>
      </w:r>
      <w:r w:rsidR="008551B5" w:rsidRPr="00927E47">
        <w:rPr>
          <w:rFonts w:ascii="Arial" w:hAnsi="Arial" w:cs="Arial"/>
          <w:sz w:val="20"/>
          <w:szCs w:val="20"/>
        </w:rPr>
        <w:t xml:space="preserve">nnecessary costs </w:t>
      </w:r>
      <w:r w:rsidR="001508D5" w:rsidRPr="00927E47">
        <w:rPr>
          <w:rFonts w:ascii="Arial" w:hAnsi="Arial" w:cs="Arial"/>
          <w:sz w:val="20"/>
          <w:szCs w:val="20"/>
        </w:rPr>
        <w:t>for</w:t>
      </w:r>
      <w:r w:rsidR="008C3057" w:rsidRPr="00927E47">
        <w:rPr>
          <w:rFonts w:ascii="Arial" w:hAnsi="Arial" w:cs="Arial"/>
          <w:sz w:val="20"/>
          <w:szCs w:val="20"/>
        </w:rPr>
        <w:t xml:space="preserve"> businesses. In Australia</w:t>
      </w:r>
      <w:r w:rsidR="00F0387F" w:rsidRPr="00927E47">
        <w:rPr>
          <w:rFonts w:ascii="Arial" w:hAnsi="Arial" w:cs="Arial"/>
          <w:sz w:val="20"/>
          <w:szCs w:val="20"/>
        </w:rPr>
        <w:t>,</w:t>
      </w:r>
      <w:r w:rsidR="008C3057" w:rsidRPr="00927E47">
        <w:rPr>
          <w:rFonts w:ascii="Arial" w:hAnsi="Arial" w:cs="Arial"/>
          <w:sz w:val="20"/>
          <w:szCs w:val="20"/>
        </w:rPr>
        <w:t xml:space="preserve"> the political separation of powers means that </w:t>
      </w:r>
      <w:r w:rsidRPr="00927E47">
        <w:rPr>
          <w:rFonts w:ascii="Arial" w:hAnsi="Arial" w:cs="Arial"/>
          <w:sz w:val="20"/>
          <w:szCs w:val="20"/>
        </w:rPr>
        <w:t xml:space="preserve">regulations can </w:t>
      </w:r>
      <w:r w:rsidR="006B506B" w:rsidRPr="00927E47">
        <w:rPr>
          <w:rFonts w:ascii="Arial" w:hAnsi="Arial" w:cs="Arial"/>
          <w:sz w:val="20"/>
          <w:szCs w:val="20"/>
        </w:rPr>
        <w:t>vary</w:t>
      </w:r>
      <w:r w:rsidRPr="00927E47">
        <w:rPr>
          <w:rFonts w:ascii="Arial" w:hAnsi="Arial" w:cs="Arial"/>
          <w:sz w:val="20"/>
          <w:szCs w:val="20"/>
        </w:rPr>
        <w:t xml:space="preserve"> significantly </w:t>
      </w:r>
      <w:r w:rsidR="00BF5C66" w:rsidRPr="00927E47">
        <w:rPr>
          <w:rFonts w:ascii="Arial" w:hAnsi="Arial" w:cs="Arial"/>
          <w:sz w:val="20"/>
          <w:szCs w:val="20"/>
        </w:rPr>
        <w:t xml:space="preserve">from </w:t>
      </w:r>
      <w:r w:rsidR="008C3057" w:rsidRPr="00927E47">
        <w:rPr>
          <w:rFonts w:ascii="Arial" w:hAnsi="Arial" w:cs="Arial"/>
          <w:sz w:val="20"/>
          <w:szCs w:val="20"/>
        </w:rPr>
        <w:t>different local governments</w:t>
      </w:r>
      <w:r w:rsidRPr="00927E47">
        <w:rPr>
          <w:rFonts w:ascii="Arial" w:hAnsi="Arial" w:cs="Arial"/>
          <w:sz w:val="20"/>
          <w:szCs w:val="20"/>
        </w:rPr>
        <w:t xml:space="preserve">. </w:t>
      </w:r>
      <w:r w:rsidR="001B57AE">
        <w:rPr>
          <w:rFonts w:ascii="Arial" w:hAnsi="Arial" w:cs="Arial"/>
          <w:sz w:val="20"/>
          <w:szCs w:val="20"/>
        </w:rPr>
        <w:t>This has the</w:t>
      </w:r>
      <w:r w:rsidR="008C3057" w:rsidRPr="00927E47">
        <w:rPr>
          <w:rFonts w:ascii="Arial" w:hAnsi="Arial" w:cs="Arial"/>
          <w:sz w:val="20"/>
          <w:szCs w:val="20"/>
        </w:rPr>
        <w:t xml:space="preserve"> potential to</w:t>
      </w:r>
      <w:r w:rsidR="00897602">
        <w:rPr>
          <w:rFonts w:ascii="Arial" w:hAnsi="Arial" w:cs="Arial"/>
          <w:sz w:val="20"/>
          <w:szCs w:val="20"/>
        </w:rPr>
        <w:t xml:space="preserve"> impose</w:t>
      </w:r>
      <w:r w:rsidR="008C3057" w:rsidRPr="00927E47">
        <w:rPr>
          <w:rFonts w:ascii="Arial" w:hAnsi="Arial" w:cs="Arial"/>
          <w:sz w:val="20"/>
          <w:szCs w:val="20"/>
        </w:rPr>
        <w:t xml:space="preserve"> excessive costs and </w:t>
      </w:r>
      <w:r w:rsidR="00F0387F" w:rsidRPr="00927E47">
        <w:rPr>
          <w:rFonts w:ascii="Arial" w:hAnsi="Arial" w:cs="Arial"/>
          <w:sz w:val="20"/>
          <w:szCs w:val="20"/>
        </w:rPr>
        <w:t>requirements</w:t>
      </w:r>
      <w:r w:rsidR="008C3057" w:rsidRPr="00927E47">
        <w:rPr>
          <w:rFonts w:ascii="Arial" w:hAnsi="Arial" w:cs="Arial"/>
          <w:sz w:val="20"/>
          <w:szCs w:val="20"/>
        </w:rPr>
        <w:t xml:space="preserve"> on businesses. </w:t>
      </w:r>
    </w:p>
    <w:p w:rsidR="008C3057" w:rsidRPr="00927E47" w:rsidRDefault="008C3057" w:rsidP="002E76E8">
      <w:pPr>
        <w:rPr>
          <w:rFonts w:ascii="Arial" w:hAnsi="Arial" w:cs="Arial"/>
          <w:sz w:val="20"/>
          <w:szCs w:val="20"/>
        </w:rPr>
      </w:pPr>
    </w:p>
    <w:p w:rsidR="008C3057" w:rsidRPr="00927E47" w:rsidRDefault="00B50E5E" w:rsidP="002E76E8">
      <w:pPr>
        <w:rPr>
          <w:rFonts w:ascii="Arial" w:hAnsi="Arial" w:cs="Arial"/>
          <w:sz w:val="20"/>
          <w:szCs w:val="20"/>
        </w:rPr>
      </w:pPr>
      <w:r w:rsidRPr="00927E47">
        <w:rPr>
          <w:rFonts w:ascii="Arial" w:hAnsi="Arial" w:cs="Arial"/>
          <w:sz w:val="20"/>
          <w:szCs w:val="20"/>
        </w:rPr>
        <w:t>Local g</w:t>
      </w:r>
      <w:r w:rsidR="008C3057" w:rsidRPr="00927E47">
        <w:rPr>
          <w:rFonts w:ascii="Arial" w:hAnsi="Arial" w:cs="Arial"/>
          <w:sz w:val="20"/>
          <w:szCs w:val="20"/>
        </w:rPr>
        <w:t xml:space="preserve">overnments are </w:t>
      </w:r>
      <w:r w:rsidR="00E0007A" w:rsidRPr="00927E47">
        <w:rPr>
          <w:rFonts w:ascii="Arial" w:hAnsi="Arial" w:cs="Arial"/>
          <w:sz w:val="20"/>
          <w:szCs w:val="20"/>
        </w:rPr>
        <w:t>a variation of the states and territories</w:t>
      </w:r>
      <w:r w:rsidR="00897602">
        <w:rPr>
          <w:rFonts w:ascii="Arial" w:hAnsi="Arial" w:cs="Arial"/>
          <w:sz w:val="20"/>
          <w:szCs w:val="20"/>
        </w:rPr>
        <w:t xml:space="preserve"> </w:t>
      </w:r>
      <w:r w:rsidR="001B57AE">
        <w:rPr>
          <w:rFonts w:ascii="Arial" w:hAnsi="Arial" w:cs="Arial"/>
          <w:sz w:val="20"/>
          <w:szCs w:val="20"/>
        </w:rPr>
        <w:t>and are therefore limited in their powers by</w:t>
      </w:r>
      <w:r w:rsidR="00E0007A" w:rsidRPr="00927E47">
        <w:rPr>
          <w:rFonts w:ascii="Arial" w:hAnsi="Arial" w:cs="Arial"/>
          <w:sz w:val="20"/>
          <w:szCs w:val="20"/>
        </w:rPr>
        <w:t xml:space="preserve"> state and territory laws. The C</w:t>
      </w:r>
      <w:r w:rsidR="00004DB4" w:rsidRPr="00927E47">
        <w:rPr>
          <w:rFonts w:ascii="Arial" w:hAnsi="Arial" w:cs="Arial"/>
          <w:sz w:val="20"/>
          <w:szCs w:val="20"/>
        </w:rPr>
        <w:t xml:space="preserve">ommonwealth </w:t>
      </w:r>
      <w:r w:rsidRPr="00927E47">
        <w:rPr>
          <w:rFonts w:ascii="Arial" w:hAnsi="Arial" w:cs="Arial"/>
          <w:sz w:val="20"/>
          <w:szCs w:val="20"/>
        </w:rPr>
        <w:t>provides</w:t>
      </w:r>
      <w:r w:rsidR="00E0007A" w:rsidRPr="00927E47">
        <w:rPr>
          <w:rFonts w:ascii="Arial" w:hAnsi="Arial" w:cs="Arial"/>
          <w:sz w:val="20"/>
          <w:szCs w:val="20"/>
        </w:rPr>
        <w:t xml:space="preserve"> </w:t>
      </w:r>
      <w:r w:rsidR="00004DB4" w:rsidRPr="00927E47">
        <w:rPr>
          <w:rFonts w:ascii="Arial" w:hAnsi="Arial" w:cs="Arial"/>
          <w:sz w:val="20"/>
          <w:szCs w:val="20"/>
        </w:rPr>
        <w:t>gran</w:t>
      </w:r>
      <w:r w:rsidR="00E0007A" w:rsidRPr="00927E47">
        <w:rPr>
          <w:rFonts w:ascii="Arial" w:hAnsi="Arial" w:cs="Arial"/>
          <w:sz w:val="20"/>
          <w:szCs w:val="20"/>
        </w:rPr>
        <w:t>ts for infrastructure an</w:t>
      </w:r>
      <w:r w:rsidR="001B57AE">
        <w:rPr>
          <w:rFonts w:ascii="Arial" w:hAnsi="Arial" w:cs="Arial"/>
          <w:sz w:val="20"/>
          <w:szCs w:val="20"/>
        </w:rPr>
        <w:t>d other services; however, local government</w:t>
      </w:r>
      <w:r w:rsidR="00E0007A" w:rsidRPr="00927E47">
        <w:rPr>
          <w:rFonts w:ascii="Arial" w:hAnsi="Arial" w:cs="Arial"/>
          <w:sz w:val="20"/>
          <w:szCs w:val="20"/>
        </w:rPr>
        <w:t xml:space="preserve"> accountability to the Commonwealth for this spending is limited. </w:t>
      </w:r>
    </w:p>
    <w:p w:rsidR="00E0007A" w:rsidRPr="00927E47" w:rsidRDefault="00E0007A" w:rsidP="002E76E8">
      <w:pPr>
        <w:rPr>
          <w:rFonts w:ascii="Arial" w:hAnsi="Arial" w:cs="Arial"/>
          <w:sz w:val="20"/>
          <w:szCs w:val="20"/>
        </w:rPr>
      </w:pPr>
    </w:p>
    <w:p w:rsidR="008C3057" w:rsidRPr="00927E47" w:rsidRDefault="001B57AE" w:rsidP="002E76E8">
      <w:pPr>
        <w:rPr>
          <w:rFonts w:ascii="Arial" w:hAnsi="Arial" w:cs="Arial"/>
          <w:sz w:val="20"/>
          <w:szCs w:val="20"/>
        </w:rPr>
      </w:pPr>
      <w:r>
        <w:rPr>
          <w:rFonts w:ascii="Arial" w:hAnsi="Arial" w:cs="Arial"/>
          <w:sz w:val="20"/>
          <w:szCs w:val="20"/>
        </w:rPr>
        <w:t>Having policy which</w:t>
      </w:r>
      <w:r w:rsidR="008C3057" w:rsidRPr="00927E47">
        <w:rPr>
          <w:rFonts w:ascii="Arial" w:hAnsi="Arial" w:cs="Arial"/>
          <w:sz w:val="20"/>
          <w:szCs w:val="20"/>
        </w:rPr>
        <w:t xml:space="preserve"> is consistent throughout Australia can</w:t>
      </w:r>
      <w:r w:rsidR="00B50E5E" w:rsidRPr="00927E47">
        <w:rPr>
          <w:rFonts w:ascii="Arial" w:hAnsi="Arial" w:cs="Arial"/>
          <w:sz w:val="20"/>
          <w:szCs w:val="20"/>
        </w:rPr>
        <w:t xml:space="preserve"> lead to the removal of</w:t>
      </w:r>
      <w:r w:rsidR="008C3057" w:rsidRPr="00927E47">
        <w:rPr>
          <w:rFonts w:ascii="Arial" w:hAnsi="Arial" w:cs="Arial"/>
          <w:sz w:val="20"/>
          <w:szCs w:val="20"/>
        </w:rPr>
        <w:t xml:space="preserve"> the inefficiencies that disconnected regulation and enforcement cause in the economy. </w:t>
      </w:r>
    </w:p>
    <w:p w:rsidR="007A5771" w:rsidRPr="00927E47" w:rsidRDefault="007A5771" w:rsidP="002E76E8">
      <w:pPr>
        <w:rPr>
          <w:rFonts w:ascii="Arial" w:hAnsi="Arial" w:cs="Arial"/>
          <w:sz w:val="20"/>
          <w:szCs w:val="20"/>
        </w:rPr>
      </w:pPr>
    </w:p>
    <w:p w:rsidR="00F91F03" w:rsidRPr="00927E47" w:rsidRDefault="00F91F03" w:rsidP="002E76E8">
      <w:pPr>
        <w:rPr>
          <w:rFonts w:ascii="Arial" w:hAnsi="Arial" w:cs="Arial"/>
          <w:sz w:val="20"/>
          <w:szCs w:val="20"/>
        </w:rPr>
      </w:pPr>
    </w:p>
    <w:p w:rsidR="00576ED0" w:rsidRPr="004A1802" w:rsidRDefault="00632686" w:rsidP="002E76E8">
      <w:pPr>
        <w:pStyle w:val="Heading1"/>
      </w:pPr>
      <w:bookmarkStart w:id="1" w:name="_Toc306957633"/>
      <w:r w:rsidRPr="004A1802">
        <w:t xml:space="preserve">The </w:t>
      </w:r>
      <w:r w:rsidR="00576ED0" w:rsidRPr="004A1802">
        <w:t>Australian Trucking Association</w:t>
      </w:r>
      <w:bookmarkEnd w:id="1"/>
    </w:p>
    <w:p w:rsidR="004008C7" w:rsidRPr="00927E47" w:rsidRDefault="004008C7" w:rsidP="002E76E8">
      <w:pPr>
        <w:pStyle w:val="BodyText2"/>
        <w:rPr>
          <w:b w:val="0"/>
          <w:sz w:val="20"/>
        </w:rPr>
      </w:pPr>
    </w:p>
    <w:p w:rsidR="004008C7" w:rsidRPr="00927E47" w:rsidRDefault="004008C7" w:rsidP="002E76E8">
      <w:pPr>
        <w:pStyle w:val="BodyText2"/>
        <w:rPr>
          <w:b w:val="0"/>
          <w:sz w:val="20"/>
        </w:rPr>
      </w:pPr>
      <w:r w:rsidRPr="00927E47">
        <w:rPr>
          <w:b w:val="0"/>
          <w:sz w:val="20"/>
        </w:rPr>
        <w:t>The Australian Trucking Association (ATA) is the peak body that represents the trucking industry. Its members include the state and sect</w:t>
      </w:r>
      <w:r w:rsidR="00F95EE5" w:rsidRPr="00927E47">
        <w:rPr>
          <w:b w:val="0"/>
          <w:sz w:val="20"/>
        </w:rPr>
        <w:t>or based trucking associations</w:t>
      </w:r>
      <w:r w:rsidRPr="00927E47">
        <w:rPr>
          <w:b w:val="0"/>
          <w:sz w:val="20"/>
        </w:rPr>
        <w:t>, some of the nation’s largest transport companies, and businesses with leading expertise in truck technology.</w:t>
      </w:r>
    </w:p>
    <w:p w:rsidR="00CC28C6" w:rsidRPr="00927E47" w:rsidRDefault="00CC28C6" w:rsidP="002E76E8">
      <w:pPr>
        <w:pStyle w:val="BodyText2"/>
        <w:rPr>
          <w:b w:val="0"/>
          <w:sz w:val="20"/>
        </w:rPr>
      </w:pPr>
    </w:p>
    <w:p w:rsidR="00576ED0" w:rsidRPr="00927E47" w:rsidRDefault="00576ED0" w:rsidP="002E76E8">
      <w:pPr>
        <w:rPr>
          <w:rFonts w:ascii="Arial" w:hAnsi="Arial" w:cs="Arial"/>
          <w:sz w:val="20"/>
          <w:szCs w:val="20"/>
        </w:rPr>
      </w:pPr>
    </w:p>
    <w:p w:rsidR="00532BFB" w:rsidRPr="004A1802" w:rsidRDefault="004008C7" w:rsidP="002E76E8">
      <w:pPr>
        <w:pStyle w:val="Heading1"/>
      </w:pPr>
      <w:bookmarkStart w:id="2" w:name="_Toc306957634"/>
      <w:r w:rsidRPr="004A1802">
        <w:t>Overview</w:t>
      </w:r>
      <w:bookmarkEnd w:id="2"/>
    </w:p>
    <w:p w:rsidR="00532BFB" w:rsidRPr="00927E47" w:rsidRDefault="00532BFB" w:rsidP="002E76E8">
      <w:pPr>
        <w:pStyle w:val="BodyText2"/>
        <w:rPr>
          <w:b w:val="0"/>
          <w:color w:val="000000" w:themeColor="text1"/>
          <w:sz w:val="20"/>
        </w:rPr>
      </w:pPr>
    </w:p>
    <w:p w:rsidR="000D528B" w:rsidRPr="00927E47" w:rsidRDefault="00BF5C66" w:rsidP="002E76E8">
      <w:pPr>
        <w:pStyle w:val="BodyText2"/>
        <w:rPr>
          <w:b w:val="0"/>
          <w:color w:val="000000" w:themeColor="text1"/>
          <w:sz w:val="20"/>
        </w:rPr>
      </w:pPr>
      <w:r w:rsidRPr="00927E47">
        <w:rPr>
          <w:b w:val="0"/>
          <w:color w:val="000000" w:themeColor="text1"/>
          <w:sz w:val="20"/>
        </w:rPr>
        <w:t xml:space="preserve">The heavy vehicle industry experiences regulation and compliance on a daily basis. </w:t>
      </w:r>
      <w:r w:rsidR="000D528B" w:rsidRPr="00927E47">
        <w:rPr>
          <w:b w:val="0"/>
          <w:color w:val="000000" w:themeColor="text1"/>
          <w:sz w:val="20"/>
        </w:rPr>
        <w:t xml:space="preserve">As Australia </w:t>
      </w:r>
      <w:r w:rsidR="00F17EC7" w:rsidRPr="00927E47">
        <w:rPr>
          <w:b w:val="0"/>
          <w:color w:val="000000" w:themeColor="text1"/>
          <w:sz w:val="20"/>
        </w:rPr>
        <w:t xml:space="preserve">is </w:t>
      </w:r>
      <w:r w:rsidR="00252BD7" w:rsidRPr="00927E47">
        <w:rPr>
          <w:b w:val="0"/>
          <w:color w:val="000000" w:themeColor="text1"/>
          <w:sz w:val="20"/>
        </w:rPr>
        <w:t>vast with many hubs of commerce far apart</w:t>
      </w:r>
      <w:r w:rsidR="001B57AE">
        <w:rPr>
          <w:b w:val="0"/>
          <w:color w:val="000000" w:themeColor="text1"/>
          <w:sz w:val="20"/>
        </w:rPr>
        <w:t>, it</w:t>
      </w:r>
      <w:r w:rsidR="00252BD7" w:rsidRPr="00927E47">
        <w:rPr>
          <w:b w:val="0"/>
          <w:color w:val="000000" w:themeColor="text1"/>
          <w:sz w:val="20"/>
        </w:rPr>
        <w:t xml:space="preserve"> is necessary for the industry to</w:t>
      </w:r>
      <w:r w:rsidR="00F17EC7" w:rsidRPr="00927E47">
        <w:rPr>
          <w:b w:val="0"/>
          <w:color w:val="000000" w:themeColor="text1"/>
          <w:sz w:val="20"/>
        </w:rPr>
        <w:t xml:space="preserve"> o</w:t>
      </w:r>
      <w:r w:rsidR="000D528B" w:rsidRPr="00927E47">
        <w:rPr>
          <w:b w:val="0"/>
          <w:color w:val="000000" w:themeColor="text1"/>
          <w:sz w:val="20"/>
        </w:rPr>
        <w:t>perat</w:t>
      </w:r>
      <w:r w:rsidR="00F17EC7" w:rsidRPr="00927E47">
        <w:rPr>
          <w:b w:val="0"/>
          <w:color w:val="000000" w:themeColor="text1"/>
          <w:sz w:val="20"/>
        </w:rPr>
        <w:t>e</w:t>
      </w:r>
      <w:r w:rsidR="000D528B" w:rsidRPr="00927E47">
        <w:rPr>
          <w:b w:val="0"/>
          <w:color w:val="000000" w:themeColor="text1"/>
          <w:sz w:val="20"/>
        </w:rPr>
        <w:t xml:space="preserve"> in different </w:t>
      </w:r>
      <w:r w:rsidR="006104D6" w:rsidRPr="00927E47">
        <w:rPr>
          <w:b w:val="0"/>
          <w:color w:val="000000" w:themeColor="text1"/>
          <w:sz w:val="20"/>
        </w:rPr>
        <w:t>local government jurisdictions</w:t>
      </w:r>
      <w:r w:rsidR="001B57AE">
        <w:rPr>
          <w:b w:val="0"/>
          <w:color w:val="000000" w:themeColor="text1"/>
          <w:sz w:val="20"/>
        </w:rPr>
        <w:t>. The heavy vehicle which</w:t>
      </w:r>
      <w:r w:rsidR="00F17EC7" w:rsidRPr="00927E47">
        <w:rPr>
          <w:b w:val="0"/>
          <w:color w:val="000000" w:themeColor="text1"/>
          <w:sz w:val="20"/>
        </w:rPr>
        <w:t xml:space="preserve"> is the industry</w:t>
      </w:r>
      <w:r w:rsidR="001508D5" w:rsidRPr="00927E47">
        <w:rPr>
          <w:b w:val="0"/>
          <w:color w:val="000000" w:themeColor="text1"/>
          <w:sz w:val="20"/>
        </w:rPr>
        <w:t>’s</w:t>
      </w:r>
      <w:r w:rsidR="00F17EC7" w:rsidRPr="00927E47">
        <w:rPr>
          <w:b w:val="0"/>
          <w:color w:val="000000" w:themeColor="text1"/>
          <w:sz w:val="20"/>
        </w:rPr>
        <w:t xml:space="preserve"> work </w:t>
      </w:r>
      <w:r w:rsidR="00746F36" w:rsidRPr="00927E47">
        <w:rPr>
          <w:b w:val="0"/>
          <w:color w:val="000000" w:themeColor="text1"/>
          <w:sz w:val="20"/>
        </w:rPr>
        <w:t>horse is</w:t>
      </w:r>
      <w:r w:rsidR="00B75AB6" w:rsidRPr="00927E47">
        <w:rPr>
          <w:b w:val="0"/>
          <w:color w:val="000000" w:themeColor="text1"/>
          <w:sz w:val="20"/>
        </w:rPr>
        <w:t xml:space="preserve"> the</w:t>
      </w:r>
      <w:r w:rsidR="001B57AE">
        <w:rPr>
          <w:b w:val="0"/>
          <w:color w:val="000000" w:themeColor="text1"/>
          <w:sz w:val="20"/>
        </w:rPr>
        <w:t xml:space="preserve"> B-double. This vehicle</w:t>
      </w:r>
      <w:r w:rsidR="00252BD7" w:rsidRPr="00927E47">
        <w:rPr>
          <w:b w:val="0"/>
          <w:color w:val="000000" w:themeColor="text1"/>
          <w:sz w:val="20"/>
        </w:rPr>
        <w:t xml:space="preserve"> allow</w:t>
      </w:r>
      <w:r w:rsidR="001B57AE">
        <w:rPr>
          <w:b w:val="0"/>
          <w:color w:val="000000" w:themeColor="text1"/>
          <w:sz w:val="20"/>
        </w:rPr>
        <w:t>s</w:t>
      </w:r>
      <w:r w:rsidR="00252BD7" w:rsidRPr="00927E47">
        <w:rPr>
          <w:b w:val="0"/>
          <w:color w:val="000000" w:themeColor="text1"/>
          <w:sz w:val="20"/>
        </w:rPr>
        <w:t xml:space="preserve"> for</w:t>
      </w:r>
      <w:r w:rsidR="001B57AE">
        <w:rPr>
          <w:b w:val="0"/>
          <w:color w:val="000000" w:themeColor="text1"/>
          <w:sz w:val="20"/>
        </w:rPr>
        <w:t xml:space="preserve"> improved productivity due its</w:t>
      </w:r>
      <w:r w:rsidR="00252BD7" w:rsidRPr="00927E47">
        <w:rPr>
          <w:b w:val="0"/>
          <w:color w:val="000000" w:themeColor="text1"/>
          <w:sz w:val="20"/>
        </w:rPr>
        <w:t xml:space="preserve"> </w:t>
      </w:r>
      <w:r w:rsidR="001B57AE">
        <w:rPr>
          <w:b w:val="0"/>
          <w:color w:val="000000" w:themeColor="text1"/>
          <w:sz w:val="20"/>
        </w:rPr>
        <w:t xml:space="preserve">size compared to a semi </w:t>
      </w:r>
      <w:r w:rsidR="00CA321A">
        <w:rPr>
          <w:b w:val="0"/>
          <w:color w:val="000000" w:themeColor="text1"/>
          <w:sz w:val="20"/>
        </w:rPr>
        <w:t xml:space="preserve">trailer. It also provides </w:t>
      </w:r>
      <w:r w:rsidR="00252BD7" w:rsidRPr="00927E47">
        <w:rPr>
          <w:b w:val="0"/>
          <w:color w:val="000000" w:themeColor="text1"/>
          <w:sz w:val="20"/>
        </w:rPr>
        <w:t xml:space="preserve">improved safety due to increased stability because of </w:t>
      </w:r>
      <w:r w:rsidR="00CA321A">
        <w:rPr>
          <w:b w:val="0"/>
          <w:color w:val="000000" w:themeColor="text1"/>
          <w:sz w:val="20"/>
        </w:rPr>
        <w:t>the way trailers are</w:t>
      </w:r>
      <w:r w:rsidR="00252BD7" w:rsidRPr="00927E47">
        <w:rPr>
          <w:b w:val="0"/>
          <w:color w:val="000000" w:themeColor="text1"/>
          <w:sz w:val="20"/>
        </w:rPr>
        <w:t xml:space="preserve"> combined</w:t>
      </w:r>
      <w:r w:rsidR="00F95EE5" w:rsidRPr="00927E47">
        <w:rPr>
          <w:b w:val="0"/>
          <w:color w:val="000000" w:themeColor="text1"/>
          <w:sz w:val="20"/>
        </w:rPr>
        <w:t>,</w:t>
      </w:r>
      <w:r w:rsidR="00252BD7" w:rsidRPr="00927E47">
        <w:rPr>
          <w:b w:val="0"/>
          <w:color w:val="000000" w:themeColor="text1"/>
          <w:sz w:val="20"/>
        </w:rPr>
        <w:t xml:space="preserve"> and ha</w:t>
      </w:r>
      <w:r w:rsidR="005C4E82">
        <w:rPr>
          <w:b w:val="0"/>
          <w:color w:val="000000" w:themeColor="text1"/>
          <w:sz w:val="20"/>
        </w:rPr>
        <w:t>s</w:t>
      </w:r>
      <w:r w:rsidR="00252BD7" w:rsidRPr="00927E47">
        <w:rPr>
          <w:b w:val="0"/>
          <w:color w:val="000000" w:themeColor="text1"/>
          <w:sz w:val="20"/>
        </w:rPr>
        <w:t xml:space="preserve"> been </w:t>
      </w:r>
      <w:r w:rsidR="00CA321A">
        <w:rPr>
          <w:b w:val="0"/>
          <w:color w:val="000000" w:themeColor="text1"/>
          <w:sz w:val="20"/>
        </w:rPr>
        <w:t xml:space="preserve">the main contributor to </w:t>
      </w:r>
      <w:r w:rsidR="00252BD7" w:rsidRPr="00927E47">
        <w:rPr>
          <w:b w:val="0"/>
          <w:color w:val="000000" w:themeColor="text1"/>
          <w:sz w:val="20"/>
        </w:rPr>
        <w:t>industry’s productivity</w:t>
      </w:r>
      <w:r w:rsidR="00B50E5E" w:rsidRPr="00927E47">
        <w:rPr>
          <w:b w:val="0"/>
          <w:color w:val="000000" w:themeColor="text1"/>
          <w:sz w:val="20"/>
        </w:rPr>
        <w:t xml:space="preserve"> gains over the past 2</w:t>
      </w:r>
      <w:r w:rsidR="00252BD7" w:rsidRPr="00927E47">
        <w:rPr>
          <w:b w:val="0"/>
          <w:color w:val="000000" w:themeColor="text1"/>
          <w:sz w:val="20"/>
        </w:rPr>
        <w:t xml:space="preserve">0 years. Below we have provided a comparison of </w:t>
      </w:r>
      <w:r w:rsidR="001B57AE">
        <w:rPr>
          <w:b w:val="0"/>
          <w:color w:val="000000" w:themeColor="text1"/>
          <w:sz w:val="20"/>
        </w:rPr>
        <w:t>the heavy vehicles so</w:t>
      </w:r>
      <w:r w:rsidR="00F95EE5" w:rsidRPr="00927E47">
        <w:rPr>
          <w:b w:val="0"/>
          <w:color w:val="000000" w:themeColor="text1"/>
          <w:sz w:val="20"/>
        </w:rPr>
        <w:t xml:space="preserve"> the Productivity C</w:t>
      </w:r>
      <w:r w:rsidR="00252BD7" w:rsidRPr="00927E47">
        <w:rPr>
          <w:b w:val="0"/>
          <w:color w:val="000000" w:themeColor="text1"/>
          <w:sz w:val="20"/>
        </w:rPr>
        <w:t>ommission can see why the industry and government ent</w:t>
      </w:r>
      <w:r w:rsidR="00F17EC7" w:rsidRPr="00927E47">
        <w:rPr>
          <w:b w:val="0"/>
          <w:color w:val="000000" w:themeColor="text1"/>
          <w:sz w:val="20"/>
        </w:rPr>
        <w:t>ities,</w:t>
      </w:r>
      <w:r w:rsidR="00252BD7" w:rsidRPr="00927E47">
        <w:rPr>
          <w:b w:val="0"/>
          <w:color w:val="000000" w:themeColor="text1"/>
          <w:sz w:val="20"/>
        </w:rPr>
        <w:t xml:space="preserve"> like Infrastructure Australia</w:t>
      </w:r>
      <w:r w:rsidR="00F17EC7" w:rsidRPr="00927E47">
        <w:rPr>
          <w:b w:val="0"/>
          <w:color w:val="000000" w:themeColor="text1"/>
          <w:sz w:val="20"/>
        </w:rPr>
        <w:t>,</w:t>
      </w:r>
      <w:r w:rsidR="00252BD7" w:rsidRPr="00927E47">
        <w:rPr>
          <w:b w:val="0"/>
          <w:color w:val="000000" w:themeColor="text1"/>
          <w:sz w:val="20"/>
        </w:rPr>
        <w:t xml:space="preserve"> want to encourage access to these high productivity vehicles. </w:t>
      </w:r>
    </w:p>
    <w:p w:rsidR="000D528B" w:rsidRPr="00927E47" w:rsidRDefault="000D528B" w:rsidP="002E76E8">
      <w:pPr>
        <w:pStyle w:val="BodyText2"/>
        <w:rPr>
          <w:b w:val="0"/>
          <w:color w:val="000000" w:themeColor="text1"/>
          <w:sz w:val="20"/>
        </w:rPr>
      </w:pPr>
    </w:p>
    <w:tbl>
      <w:tblPr>
        <w:tblStyle w:val="LightList-Accent11"/>
        <w:tblpPr w:leftFromText="180" w:rightFromText="180" w:vertAnchor="text" w:horzAnchor="margin" w:tblpXSpec="center" w:tblpY="159"/>
        <w:tblW w:w="7540" w:type="dxa"/>
        <w:tblLook w:val="04A0"/>
      </w:tblPr>
      <w:tblGrid>
        <w:gridCol w:w="2740"/>
        <w:gridCol w:w="2760"/>
        <w:gridCol w:w="2040"/>
      </w:tblGrid>
      <w:tr w:rsidR="005C74C9" w:rsidRPr="00927E47" w:rsidTr="0051276D">
        <w:trPr>
          <w:cnfStyle w:val="100000000000"/>
          <w:trHeight w:val="300"/>
        </w:trPr>
        <w:tc>
          <w:tcPr>
            <w:cnfStyle w:val="001000000000"/>
            <w:tcW w:w="2740" w:type="dxa"/>
            <w:noWrap/>
            <w:hideMark/>
          </w:tcPr>
          <w:p w:rsidR="005C74C9" w:rsidRPr="00927E47" w:rsidRDefault="001508D5" w:rsidP="0051276D">
            <w:pPr>
              <w:pStyle w:val="BodyText2"/>
              <w:rPr>
                <w:color w:val="000000" w:themeColor="text1"/>
                <w:sz w:val="20"/>
              </w:rPr>
            </w:pPr>
            <w:r w:rsidRPr="00927E47">
              <w:rPr>
                <w:color w:val="000000" w:themeColor="text1"/>
                <w:sz w:val="20"/>
              </w:rPr>
              <w:t>Heavy v</w:t>
            </w:r>
            <w:r w:rsidR="005C74C9" w:rsidRPr="00927E47">
              <w:rPr>
                <w:color w:val="000000" w:themeColor="text1"/>
                <w:sz w:val="20"/>
              </w:rPr>
              <w:t>ehicle</w:t>
            </w:r>
          </w:p>
        </w:tc>
        <w:tc>
          <w:tcPr>
            <w:tcW w:w="2760" w:type="dxa"/>
            <w:noWrap/>
            <w:hideMark/>
          </w:tcPr>
          <w:p w:rsidR="005C74C9" w:rsidRPr="00927E47" w:rsidRDefault="005C74C9" w:rsidP="0051276D">
            <w:pPr>
              <w:pStyle w:val="BodyText2"/>
              <w:cnfStyle w:val="100000000000"/>
              <w:rPr>
                <w:color w:val="000000" w:themeColor="text1"/>
                <w:sz w:val="20"/>
              </w:rPr>
            </w:pPr>
            <w:r w:rsidRPr="00927E47">
              <w:rPr>
                <w:color w:val="000000" w:themeColor="text1"/>
                <w:sz w:val="20"/>
              </w:rPr>
              <w:t>No. of trips per 1000 tonnes</w:t>
            </w:r>
          </w:p>
        </w:tc>
        <w:tc>
          <w:tcPr>
            <w:tcW w:w="2040" w:type="dxa"/>
            <w:noWrap/>
            <w:hideMark/>
          </w:tcPr>
          <w:p w:rsidR="005C74C9" w:rsidRPr="00927E47" w:rsidRDefault="00B50E5E" w:rsidP="00FB4B2F">
            <w:pPr>
              <w:pStyle w:val="BodyText2"/>
              <w:cnfStyle w:val="100000000000"/>
              <w:rPr>
                <w:color w:val="000000" w:themeColor="text1"/>
                <w:sz w:val="20"/>
              </w:rPr>
            </w:pPr>
            <w:r w:rsidRPr="00927E47">
              <w:rPr>
                <w:color w:val="000000" w:themeColor="text1"/>
                <w:sz w:val="20"/>
              </w:rPr>
              <w:t xml:space="preserve">Equivalent </w:t>
            </w:r>
            <w:r w:rsidR="005C74C9" w:rsidRPr="00927E47">
              <w:rPr>
                <w:color w:val="000000" w:themeColor="text1"/>
                <w:sz w:val="20"/>
              </w:rPr>
              <w:t>S</w:t>
            </w:r>
            <w:r w:rsidRPr="00927E47">
              <w:rPr>
                <w:color w:val="000000" w:themeColor="text1"/>
                <w:sz w:val="20"/>
              </w:rPr>
              <w:t xml:space="preserve">tandard </w:t>
            </w:r>
            <w:r w:rsidR="005C74C9" w:rsidRPr="00927E47">
              <w:rPr>
                <w:color w:val="000000" w:themeColor="text1"/>
                <w:sz w:val="20"/>
              </w:rPr>
              <w:t>A</w:t>
            </w:r>
            <w:r w:rsidRPr="00927E47">
              <w:rPr>
                <w:color w:val="000000" w:themeColor="text1"/>
                <w:sz w:val="20"/>
              </w:rPr>
              <w:t xml:space="preserve">xle </w:t>
            </w:r>
            <w:r w:rsidR="005C74C9" w:rsidRPr="00927E47">
              <w:rPr>
                <w:color w:val="000000" w:themeColor="text1"/>
                <w:sz w:val="20"/>
              </w:rPr>
              <w:t>per 1000 tonnes</w:t>
            </w:r>
            <w:r w:rsidR="00FB4B2F">
              <w:rPr>
                <w:color w:val="000000" w:themeColor="text1"/>
                <w:sz w:val="20"/>
              </w:rPr>
              <w:t xml:space="preserve"> (ESA)</w:t>
            </w:r>
            <w:r w:rsidR="0051276D">
              <w:rPr>
                <w:color w:val="000000" w:themeColor="text1"/>
                <w:sz w:val="20"/>
              </w:rPr>
              <w:t xml:space="preserve"> </w:t>
            </w:r>
          </w:p>
        </w:tc>
      </w:tr>
      <w:tr w:rsidR="005C74C9" w:rsidRPr="00927E47" w:rsidTr="0051276D">
        <w:trPr>
          <w:cnfStyle w:val="000000100000"/>
          <w:trHeight w:val="300"/>
        </w:trPr>
        <w:tc>
          <w:tcPr>
            <w:cnfStyle w:val="001000000000"/>
            <w:tcW w:w="2740" w:type="dxa"/>
            <w:noWrap/>
            <w:hideMark/>
          </w:tcPr>
          <w:p w:rsidR="005C74C9" w:rsidRPr="00927E47" w:rsidRDefault="00B50E5E" w:rsidP="0051276D">
            <w:pPr>
              <w:pStyle w:val="BodyText2"/>
              <w:rPr>
                <w:color w:val="000000" w:themeColor="text1"/>
                <w:sz w:val="20"/>
              </w:rPr>
            </w:pPr>
            <w:r w:rsidRPr="00927E47">
              <w:rPr>
                <w:color w:val="000000" w:themeColor="text1"/>
                <w:sz w:val="20"/>
              </w:rPr>
              <w:t xml:space="preserve">Traditional </w:t>
            </w:r>
            <w:r w:rsidR="005C74C9" w:rsidRPr="00927E47">
              <w:rPr>
                <w:color w:val="000000" w:themeColor="text1"/>
                <w:sz w:val="20"/>
              </w:rPr>
              <w:t xml:space="preserve">3 axle rigid </w:t>
            </w:r>
          </w:p>
        </w:tc>
        <w:tc>
          <w:tcPr>
            <w:tcW w:w="2760" w:type="dxa"/>
            <w:noWrap/>
            <w:hideMark/>
          </w:tcPr>
          <w:p w:rsidR="005C74C9" w:rsidRPr="00927E47" w:rsidRDefault="005C74C9" w:rsidP="0051276D">
            <w:pPr>
              <w:pStyle w:val="BodyText2"/>
              <w:jc w:val="center"/>
              <w:cnfStyle w:val="000000100000"/>
              <w:rPr>
                <w:color w:val="000000" w:themeColor="text1"/>
                <w:sz w:val="20"/>
              </w:rPr>
            </w:pPr>
            <w:r w:rsidRPr="00927E47">
              <w:rPr>
                <w:color w:val="000000" w:themeColor="text1"/>
                <w:sz w:val="20"/>
              </w:rPr>
              <w:t>77</w:t>
            </w:r>
          </w:p>
        </w:tc>
        <w:tc>
          <w:tcPr>
            <w:tcW w:w="2040" w:type="dxa"/>
            <w:noWrap/>
            <w:hideMark/>
          </w:tcPr>
          <w:p w:rsidR="005C74C9" w:rsidRPr="00927E47" w:rsidRDefault="005C74C9" w:rsidP="0051276D">
            <w:pPr>
              <w:pStyle w:val="BodyText2"/>
              <w:jc w:val="center"/>
              <w:cnfStyle w:val="000000100000"/>
              <w:rPr>
                <w:color w:val="000000" w:themeColor="text1"/>
                <w:sz w:val="20"/>
              </w:rPr>
            </w:pPr>
            <w:r w:rsidRPr="00927E47">
              <w:rPr>
                <w:color w:val="000000" w:themeColor="text1"/>
                <w:sz w:val="20"/>
              </w:rPr>
              <w:t>316</w:t>
            </w:r>
          </w:p>
        </w:tc>
      </w:tr>
      <w:tr w:rsidR="005C74C9" w:rsidRPr="00927E47" w:rsidTr="0051276D">
        <w:trPr>
          <w:trHeight w:val="300"/>
        </w:trPr>
        <w:tc>
          <w:tcPr>
            <w:cnfStyle w:val="001000000000"/>
            <w:tcW w:w="2740" w:type="dxa"/>
            <w:noWrap/>
            <w:hideMark/>
          </w:tcPr>
          <w:p w:rsidR="005C74C9" w:rsidRPr="00927E47" w:rsidRDefault="00B50E5E" w:rsidP="0051276D">
            <w:pPr>
              <w:pStyle w:val="BodyText2"/>
              <w:rPr>
                <w:color w:val="000000" w:themeColor="text1"/>
                <w:sz w:val="20"/>
              </w:rPr>
            </w:pPr>
            <w:r w:rsidRPr="00927E47">
              <w:rPr>
                <w:color w:val="000000" w:themeColor="text1"/>
                <w:sz w:val="20"/>
              </w:rPr>
              <w:t xml:space="preserve">Traditional </w:t>
            </w:r>
            <w:r w:rsidR="005C74C9" w:rsidRPr="00927E47">
              <w:rPr>
                <w:color w:val="000000" w:themeColor="text1"/>
                <w:sz w:val="20"/>
              </w:rPr>
              <w:t>6 axle semi-trailer</w:t>
            </w:r>
          </w:p>
        </w:tc>
        <w:tc>
          <w:tcPr>
            <w:tcW w:w="2760" w:type="dxa"/>
            <w:noWrap/>
            <w:hideMark/>
          </w:tcPr>
          <w:p w:rsidR="005C74C9" w:rsidRPr="00927E47" w:rsidRDefault="005C74C9" w:rsidP="0051276D">
            <w:pPr>
              <w:pStyle w:val="BodyText2"/>
              <w:jc w:val="center"/>
              <w:cnfStyle w:val="000000000000"/>
              <w:rPr>
                <w:color w:val="000000" w:themeColor="text1"/>
                <w:sz w:val="20"/>
              </w:rPr>
            </w:pPr>
            <w:r w:rsidRPr="00927E47">
              <w:rPr>
                <w:color w:val="000000" w:themeColor="text1"/>
                <w:sz w:val="20"/>
              </w:rPr>
              <w:t>42</w:t>
            </w:r>
          </w:p>
        </w:tc>
        <w:tc>
          <w:tcPr>
            <w:tcW w:w="2040" w:type="dxa"/>
            <w:noWrap/>
            <w:hideMark/>
          </w:tcPr>
          <w:p w:rsidR="005C74C9" w:rsidRPr="00927E47" w:rsidRDefault="005C74C9" w:rsidP="0051276D">
            <w:pPr>
              <w:pStyle w:val="BodyText2"/>
              <w:jc w:val="center"/>
              <w:cnfStyle w:val="000000000000"/>
              <w:rPr>
                <w:color w:val="000000" w:themeColor="text1"/>
                <w:sz w:val="20"/>
              </w:rPr>
            </w:pPr>
            <w:r w:rsidRPr="00927E47">
              <w:rPr>
                <w:color w:val="000000" w:themeColor="text1"/>
                <w:sz w:val="20"/>
              </w:rPr>
              <w:t>257</w:t>
            </w:r>
          </w:p>
        </w:tc>
      </w:tr>
      <w:tr w:rsidR="005C74C9" w:rsidRPr="00927E47" w:rsidTr="0051276D">
        <w:trPr>
          <w:cnfStyle w:val="000000100000"/>
          <w:trHeight w:val="300"/>
        </w:trPr>
        <w:tc>
          <w:tcPr>
            <w:cnfStyle w:val="001000000000"/>
            <w:tcW w:w="2740" w:type="dxa"/>
            <w:noWrap/>
            <w:hideMark/>
          </w:tcPr>
          <w:p w:rsidR="005C74C9" w:rsidRPr="00927E47" w:rsidRDefault="00B50E5E" w:rsidP="0051276D">
            <w:pPr>
              <w:pStyle w:val="BodyText2"/>
              <w:rPr>
                <w:color w:val="000000" w:themeColor="text1"/>
                <w:sz w:val="20"/>
              </w:rPr>
            </w:pPr>
            <w:r w:rsidRPr="00927E47">
              <w:rPr>
                <w:color w:val="000000" w:themeColor="text1"/>
                <w:sz w:val="20"/>
              </w:rPr>
              <w:t xml:space="preserve">Innovative </w:t>
            </w:r>
            <w:r w:rsidR="005C74C9" w:rsidRPr="00927E47">
              <w:rPr>
                <w:color w:val="000000" w:themeColor="text1"/>
                <w:sz w:val="20"/>
              </w:rPr>
              <w:t xml:space="preserve">9 axle B-double </w:t>
            </w:r>
          </w:p>
        </w:tc>
        <w:tc>
          <w:tcPr>
            <w:tcW w:w="2760" w:type="dxa"/>
            <w:noWrap/>
            <w:hideMark/>
          </w:tcPr>
          <w:p w:rsidR="005C74C9" w:rsidRPr="00927E47" w:rsidRDefault="005C74C9" w:rsidP="0051276D">
            <w:pPr>
              <w:pStyle w:val="BodyText2"/>
              <w:jc w:val="center"/>
              <w:cnfStyle w:val="000000100000"/>
              <w:rPr>
                <w:color w:val="000000" w:themeColor="text1"/>
                <w:sz w:val="20"/>
              </w:rPr>
            </w:pPr>
            <w:r w:rsidRPr="00927E47">
              <w:rPr>
                <w:color w:val="000000" w:themeColor="text1"/>
                <w:sz w:val="20"/>
              </w:rPr>
              <w:t>26</w:t>
            </w:r>
          </w:p>
        </w:tc>
        <w:tc>
          <w:tcPr>
            <w:tcW w:w="2040" w:type="dxa"/>
            <w:noWrap/>
            <w:hideMark/>
          </w:tcPr>
          <w:p w:rsidR="005C74C9" w:rsidRPr="00927E47" w:rsidRDefault="005C74C9" w:rsidP="0051276D">
            <w:pPr>
              <w:pStyle w:val="BodyText2"/>
              <w:jc w:val="center"/>
              <w:cnfStyle w:val="000000100000"/>
              <w:rPr>
                <w:color w:val="000000" w:themeColor="text1"/>
                <w:sz w:val="20"/>
              </w:rPr>
            </w:pPr>
            <w:r w:rsidRPr="00927E47">
              <w:rPr>
                <w:color w:val="000000" w:themeColor="text1"/>
                <w:sz w:val="20"/>
              </w:rPr>
              <w:t>195</w:t>
            </w:r>
          </w:p>
        </w:tc>
      </w:tr>
      <w:tr w:rsidR="005C74C9" w:rsidRPr="00927E47" w:rsidTr="0051276D">
        <w:trPr>
          <w:trHeight w:val="300"/>
        </w:trPr>
        <w:tc>
          <w:tcPr>
            <w:cnfStyle w:val="001000000000"/>
            <w:tcW w:w="2740" w:type="dxa"/>
            <w:noWrap/>
            <w:hideMark/>
          </w:tcPr>
          <w:p w:rsidR="005C74C9" w:rsidRPr="00927E47" w:rsidRDefault="00B50E5E" w:rsidP="0051276D">
            <w:pPr>
              <w:pStyle w:val="BodyText2"/>
              <w:rPr>
                <w:color w:val="000000" w:themeColor="text1"/>
                <w:sz w:val="20"/>
              </w:rPr>
            </w:pPr>
            <w:r w:rsidRPr="00927E47">
              <w:rPr>
                <w:color w:val="000000" w:themeColor="text1"/>
                <w:sz w:val="20"/>
              </w:rPr>
              <w:t xml:space="preserve">Innovative </w:t>
            </w:r>
            <w:r w:rsidR="005C74C9" w:rsidRPr="00927E47">
              <w:rPr>
                <w:color w:val="000000" w:themeColor="text1"/>
                <w:sz w:val="20"/>
              </w:rPr>
              <w:t xml:space="preserve">12 axle B-triple </w:t>
            </w:r>
          </w:p>
        </w:tc>
        <w:tc>
          <w:tcPr>
            <w:tcW w:w="2760" w:type="dxa"/>
            <w:noWrap/>
            <w:hideMark/>
          </w:tcPr>
          <w:p w:rsidR="005C74C9" w:rsidRPr="00927E47" w:rsidRDefault="005C74C9" w:rsidP="0051276D">
            <w:pPr>
              <w:pStyle w:val="BodyText2"/>
              <w:jc w:val="center"/>
              <w:cnfStyle w:val="000000000000"/>
              <w:rPr>
                <w:color w:val="000000" w:themeColor="text1"/>
                <w:sz w:val="20"/>
              </w:rPr>
            </w:pPr>
            <w:r w:rsidRPr="00927E47">
              <w:rPr>
                <w:color w:val="000000" w:themeColor="text1"/>
                <w:sz w:val="20"/>
              </w:rPr>
              <w:t>20</w:t>
            </w:r>
          </w:p>
        </w:tc>
        <w:tc>
          <w:tcPr>
            <w:tcW w:w="2040" w:type="dxa"/>
            <w:noWrap/>
            <w:hideMark/>
          </w:tcPr>
          <w:p w:rsidR="005C74C9" w:rsidRPr="00927E47" w:rsidRDefault="005C74C9" w:rsidP="0051276D">
            <w:pPr>
              <w:pStyle w:val="BodyText2"/>
              <w:jc w:val="center"/>
              <w:cnfStyle w:val="000000000000"/>
              <w:rPr>
                <w:color w:val="000000" w:themeColor="text1"/>
                <w:sz w:val="20"/>
              </w:rPr>
            </w:pPr>
            <w:r w:rsidRPr="00927E47">
              <w:rPr>
                <w:color w:val="000000" w:themeColor="text1"/>
                <w:sz w:val="20"/>
              </w:rPr>
              <w:t>178</w:t>
            </w:r>
          </w:p>
        </w:tc>
      </w:tr>
      <w:tr w:rsidR="005C74C9" w:rsidRPr="00927E47" w:rsidTr="0051276D">
        <w:trPr>
          <w:cnfStyle w:val="000000100000"/>
          <w:trHeight w:val="300"/>
        </w:trPr>
        <w:tc>
          <w:tcPr>
            <w:cnfStyle w:val="001000000000"/>
            <w:tcW w:w="2740" w:type="dxa"/>
            <w:noWrap/>
            <w:hideMark/>
          </w:tcPr>
          <w:p w:rsidR="005C74C9" w:rsidRPr="00927E47" w:rsidRDefault="00B50E5E" w:rsidP="0051276D">
            <w:pPr>
              <w:pStyle w:val="BodyText2"/>
              <w:rPr>
                <w:color w:val="000000" w:themeColor="text1"/>
                <w:sz w:val="20"/>
              </w:rPr>
            </w:pPr>
            <w:r w:rsidRPr="00927E47">
              <w:rPr>
                <w:color w:val="000000" w:themeColor="text1"/>
                <w:sz w:val="20"/>
              </w:rPr>
              <w:t xml:space="preserve">Traditional </w:t>
            </w:r>
            <w:r w:rsidR="005C74C9" w:rsidRPr="00927E47">
              <w:rPr>
                <w:color w:val="000000" w:themeColor="text1"/>
                <w:sz w:val="20"/>
              </w:rPr>
              <w:t xml:space="preserve">16 axle Road train </w:t>
            </w:r>
          </w:p>
        </w:tc>
        <w:tc>
          <w:tcPr>
            <w:tcW w:w="2760" w:type="dxa"/>
            <w:noWrap/>
            <w:hideMark/>
          </w:tcPr>
          <w:p w:rsidR="005C74C9" w:rsidRPr="00927E47" w:rsidRDefault="005C74C9" w:rsidP="0051276D">
            <w:pPr>
              <w:pStyle w:val="BodyText2"/>
              <w:jc w:val="center"/>
              <w:cnfStyle w:val="000000100000"/>
              <w:rPr>
                <w:color w:val="000000" w:themeColor="text1"/>
                <w:sz w:val="20"/>
              </w:rPr>
            </w:pPr>
            <w:r w:rsidRPr="00927E47">
              <w:rPr>
                <w:color w:val="000000" w:themeColor="text1"/>
                <w:sz w:val="20"/>
              </w:rPr>
              <w:t>15</w:t>
            </w:r>
          </w:p>
        </w:tc>
        <w:tc>
          <w:tcPr>
            <w:tcW w:w="2040" w:type="dxa"/>
            <w:noWrap/>
            <w:hideMark/>
          </w:tcPr>
          <w:p w:rsidR="005C74C9" w:rsidRPr="00927E47" w:rsidRDefault="005C74C9" w:rsidP="0051276D">
            <w:pPr>
              <w:pStyle w:val="BodyText2"/>
              <w:jc w:val="center"/>
              <w:cnfStyle w:val="000000100000"/>
              <w:rPr>
                <w:color w:val="000000" w:themeColor="text1"/>
                <w:sz w:val="20"/>
              </w:rPr>
            </w:pPr>
            <w:r w:rsidRPr="00927E47">
              <w:rPr>
                <w:color w:val="000000" w:themeColor="text1"/>
                <w:sz w:val="20"/>
              </w:rPr>
              <w:t>197</w:t>
            </w:r>
          </w:p>
        </w:tc>
      </w:tr>
    </w:tbl>
    <w:p w:rsidR="00252BD7" w:rsidRPr="00927E47" w:rsidRDefault="00252BD7"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C74C9" w:rsidRPr="00927E47" w:rsidRDefault="005C74C9" w:rsidP="002E76E8">
      <w:pPr>
        <w:pStyle w:val="BodyText2"/>
        <w:rPr>
          <w:b w:val="0"/>
          <w:color w:val="000000" w:themeColor="text1"/>
          <w:sz w:val="20"/>
        </w:rPr>
      </w:pPr>
    </w:p>
    <w:p w:rsidR="0051276D" w:rsidRDefault="0051276D" w:rsidP="002E76E8">
      <w:pPr>
        <w:rPr>
          <w:rFonts w:ascii="Arial" w:eastAsia="Times New Roman" w:hAnsi="Arial" w:cs="Arial"/>
          <w:bCs/>
          <w:color w:val="000000" w:themeColor="text1"/>
          <w:sz w:val="20"/>
          <w:szCs w:val="20"/>
        </w:rPr>
      </w:pPr>
    </w:p>
    <w:p w:rsidR="005C4E82" w:rsidRDefault="005C4E82" w:rsidP="002E76E8">
      <w:pPr>
        <w:rPr>
          <w:sz w:val="16"/>
          <w:szCs w:val="16"/>
        </w:rPr>
      </w:pPr>
    </w:p>
    <w:p w:rsidR="001B57AE" w:rsidRDefault="001B57AE" w:rsidP="002E76E8">
      <w:pPr>
        <w:rPr>
          <w:sz w:val="16"/>
          <w:szCs w:val="16"/>
        </w:rPr>
      </w:pPr>
      <w:r w:rsidRPr="001B57AE">
        <w:rPr>
          <w:sz w:val="16"/>
          <w:szCs w:val="16"/>
        </w:rPr>
        <w:t>Source: The ATA and Barkwood Consulting Pty Ltd Truck Impact Chart</w:t>
      </w:r>
    </w:p>
    <w:p w:rsidR="0051276D" w:rsidRDefault="0051276D" w:rsidP="0051276D">
      <w:pPr>
        <w:rPr>
          <w:sz w:val="16"/>
          <w:szCs w:val="16"/>
        </w:rPr>
      </w:pPr>
    </w:p>
    <w:p w:rsidR="00C23DBC" w:rsidRPr="0051276D" w:rsidRDefault="00C23DBC" w:rsidP="0051276D">
      <w:pPr>
        <w:rPr>
          <w:rFonts w:ascii="Arial" w:hAnsi="Arial" w:cs="Arial"/>
          <w:sz w:val="16"/>
          <w:szCs w:val="16"/>
        </w:rPr>
      </w:pPr>
      <w:r w:rsidRPr="0051276D">
        <w:rPr>
          <w:rFonts w:ascii="Arial" w:hAnsi="Arial" w:cs="Arial"/>
          <w:color w:val="000000" w:themeColor="text1"/>
          <w:sz w:val="20"/>
        </w:rPr>
        <w:t>What ca</w:t>
      </w:r>
      <w:r w:rsidR="001B57AE" w:rsidRPr="0051276D">
        <w:rPr>
          <w:rFonts w:ascii="Arial" w:hAnsi="Arial" w:cs="Arial"/>
          <w:color w:val="000000" w:themeColor="text1"/>
          <w:sz w:val="20"/>
        </w:rPr>
        <w:t>n be seen from the table is</w:t>
      </w:r>
      <w:r w:rsidRPr="0051276D">
        <w:rPr>
          <w:rFonts w:ascii="Arial" w:hAnsi="Arial" w:cs="Arial"/>
          <w:color w:val="000000" w:themeColor="text1"/>
          <w:sz w:val="20"/>
        </w:rPr>
        <w:t xml:space="preserve"> the more productive vehicles (B-doubles and B-triples) </w:t>
      </w:r>
      <w:r w:rsidR="00F95EE5" w:rsidRPr="0051276D">
        <w:rPr>
          <w:rFonts w:ascii="Arial" w:hAnsi="Arial" w:cs="Arial"/>
          <w:color w:val="000000" w:themeColor="text1"/>
          <w:sz w:val="20"/>
        </w:rPr>
        <w:t>take fewer trips to complete a</w:t>
      </w:r>
      <w:r w:rsidRPr="0051276D">
        <w:rPr>
          <w:rFonts w:ascii="Arial" w:hAnsi="Arial" w:cs="Arial"/>
          <w:color w:val="000000" w:themeColor="text1"/>
          <w:sz w:val="20"/>
        </w:rPr>
        <w:t xml:space="preserve"> freight </w:t>
      </w:r>
      <w:r w:rsidR="00B50E5E" w:rsidRPr="0051276D">
        <w:rPr>
          <w:rFonts w:ascii="Arial" w:hAnsi="Arial" w:cs="Arial"/>
          <w:color w:val="000000" w:themeColor="text1"/>
          <w:sz w:val="20"/>
        </w:rPr>
        <w:t>task of moving 1000 tonnes</w:t>
      </w:r>
      <w:r w:rsidR="00CA321A" w:rsidRPr="0051276D">
        <w:rPr>
          <w:rFonts w:ascii="Arial" w:hAnsi="Arial" w:cs="Arial"/>
          <w:color w:val="000000" w:themeColor="text1"/>
          <w:sz w:val="20"/>
        </w:rPr>
        <w:t xml:space="preserve"> and impact to infrastructure </w:t>
      </w:r>
      <w:r w:rsidR="00FB4B2F">
        <w:rPr>
          <w:rFonts w:ascii="Arial" w:hAnsi="Arial" w:cs="Arial"/>
          <w:color w:val="000000" w:themeColor="text1"/>
          <w:sz w:val="20"/>
        </w:rPr>
        <w:t xml:space="preserve">(ESA) </w:t>
      </w:r>
      <w:r w:rsidR="00CA321A" w:rsidRPr="0051276D">
        <w:rPr>
          <w:rFonts w:ascii="Arial" w:hAnsi="Arial" w:cs="Arial"/>
          <w:color w:val="000000" w:themeColor="text1"/>
          <w:sz w:val="20"/>
        </w:rPr>
        <w:t>is</w:t>
      </w:r>
      <w:r w:rsidRPr="0051276D">
        <w:rPr>
          <w:rFonts w:ascii="Arial" w:hAnsi="Arial" w:cs="Arial"/>
          <w:color w:val="000000" w:themeColor="text1"/>
          <w:sz w:val="20"/>
        </w:rPr>
        <w:t xml:space="preserve"> </w:t>
      </w:r>
      <w:r w:rsidR="00B50E5E" w:rsidRPr="0051276D">
        <w:rPr>
          <w:rFonts w:ascii="Arial" w:hAnsi="Arial" w:cs="Arial"/>
          <w:color w:val="000000" w:themeColor="text1"/>
          <w:sz w:val="20"/>
        </w:rPr>
        <w:t xml:space="preserve">reduced over traditional vehicles. </w:t>
      </w:r>
    </w:p>
    <w:p w:rsidR="00C23DBC" w:rsidRPr="00927E47" w:rsidRDefault="00C23DBC" w:rsidP="002E76E8">
      <w:pPr>
        <w:pStyle w:val="BodyText2"/>
        <w:rPr>
          <w:b w:val="0"/>
          <w:color w:val="000000" w:themeColor="text1"/>
          <w:sz w:val="20"/>
        </w:rPr>
      </w:pPr>
    </w:p>
    <w:p w:rsidR="009A2660" w:rsidRPr="001955E5" w:rsidRDefault="00C23DBC" w:rsidP="001955E5">
      <w:pPr>
        <w:pStyle w:val="BodyText2"/>
        <w:rPr>
          <w:b w:val="0"/>
          <w:color w:val="000000" w:themeColor="text1"/>
          <w:sz w:val="20"/>
        </w:rPr>
      </w:pPr>
      <w:r w:rsidRPr="00927E47">
        <w:rPr>
          <w:b w:val="0"/>
          <w:color w:val="000000" w:themeColor="text1"/>
          <w:sz w:val="20"/>
        </w:rPr>
        <w:t>T</w:t>
      </w:r>
      <w:r w:rsidR="001B57AE">
        <w:rPr>
          <w:b w:val="0"/>
          <w:color w:val="000000" w:themeColor="text1"/>
          <w:sz w:val="20"/>
        </w:rPr>
        <w:t>he main concern</w:t>
      </w:r>
      <w:r w:rsidR="00252BD7" w:rsidRPr="00927E47">
        <w:rPr>
          <w:b w:val="0"/>
          <w:color w:val="000000" w:themeColor="text1"/>
          <w:sz w:val="20"/>
        </w:rPr>
        <w:t xml:space="preserve"> the heavy vehicl</w:t>
      </w:r>
      <w:r w:rsidR="00F95EE5" w:rsidRPr="00927E47">
        <w:rPr>
          <w:b w:val="0"/>
          <w:color w:val="000000" w:themeColor="text1"/>
          <w:sz w:val="20"/>
        </w:rPr>
        <w:t>e industry has is that access for</w:t>
      </w:r>
      <w:r w:rsidR="00252BD7" w:rsidRPr="00927E47">
        <w:rPr>
          <w:b w:val="0"/>
          <w:color w:val="000000" w:themeColor="text1"/>
          <w:sz w:val="20"/>
        </w:rPr>
        <w:t xml:space="preserve"> these higher productivity vehicles needs to happen more readily</w:t>
      </w:r>
      <w:r w:rsidR="004F3FD4">
        <w:rPr>
          <w:b w:val="0"/>
          <w:color w:val="000000" w:themeColor="text1"/>
          <w:sz w:val="20"/>
        </w:rPr>
        <w:t>.</w:t>
      </w:r>
      <w:r w:rsidR="001508D5" w:rsidRPr="00927E47">
        <w:rPr>
          <w:b w:val="0"/>
          <w:color w:val="000000" w:themeColor="text1"/>
          <w:sz w:val="20"/>
        </w:rPr>
        <w:t xml:space="preserve"> L</w:t>
      </w:r>
      <w:r w:rsidR="00865E5E" w:rsidRPr="00927E47">
        <w:rPr>
          <w:b w:val="0"/>
          <w:color w:val="000000" w:themeColor="text1"/>
          <w:sz w:val="20"/>
        </w:rPr>
        <w:t>ocal g</w:t>
      </w:r>
      <w:r w:rsidR="00B75AB6" w:rsidRPr="00927E47">
        <w:rPr>
          <w:b w:val="0"/>
          <w:color w:val="000000" w:themeColor="text1"/>
          <w:sz w:val="20"/>
        </w:rPr>
        <w:t>overnments are coming under increasing pressure to allow high produc</w:t>
      </w:r>
      <w:r w:rsidR="00FB4B2F">
        <w:rPr>
          <w:b w:val="0"/>
          <w:color w:val="000000" w:themeColor="text1"/>
          <w:sz w:val="20"/>
        </w:rPr>
        <w:t>tivity vehicles on their roads</w:t>
      </w:r>
      <w:r w:rsidR="005C4E82">
        <w:rPr>
          <w:b w:val="0"/>
          <w:color w:val="000000" w:themeColor="text1"/>
          <w:sz w:val="20"/>
        </w:rPr>
        <w:t xml:space="preserve"> in the face of safety, productivity and economic gains.</w:t>
      </w:r>
    </w:p>
    <w:p w:rsidR="009A2660" w:rsidRPr="009A2660" w:rsidRDefault="009A2660" w:rsidP="009A2660">
      <w:pPr>
        <w:pStyle w:val="BodyText2"/>
        <w:rPr>
          <w:b w:val="0"/>
          <w:color w:val="000000" w:themeColor="text1"/>
          <w:sz w:val="20"/>
        </w:rPr>
      </w:pPr>
    </w:p>
    <w:p w:rsidR="00252BD7" w:rsidRPr="00927E47" w:rsidRDefault="00252BD7" w:rsidP="002E76E8">
      <w:pPr>
        <w:pStyle w:val="BodyText2"/>
        <w:rPr>
          <w:b w:val="0"/>
          <w:color w:val="000000" w:themeColor="text1"/>
          <w:sz w:val="20"/>
        </w:rPr>
      </w:pPr>
      <w:r w:rsidRPr="00927E47">
        <w:rPr>
          <w:b w:val="0"/>
          <w:color w:val="000000" w:themeColor="text1"/>
          <w:sz w:val="20"/>
        </w:rPr>
        <w:t xml:space="preserve">While access restrictions cause the industry to lose productive potential, when access is granted there are cases where excessive </w:t>
      </w:r>
      <w:r w:rsidR="00F95EE5" w:rsidRPr="00927E47">
        <w:rPr>
          <w:b w:val="0"/>
          <w:color w:val="000000" w:themeColor="text1"/>
          <w:sz w:val="20"/>
        </w:rPr>
        <w:t xml:space="preserve">and unnecessary </w:t>
      </w:r>
      <w:r w:rsidRPr="00927E47">
        <w:rPr>
          <w:b w:val="0"/>
          <w:color w:val="000000" w:themeColor="text1"/>
          <w:sz w:val="20"/>
        </w:rPr>
        <w:t xml:space="preserve">costs are </w:t>
      </w:r>
      <w:r w:rsidR="009D327F" w:rsidRPr="00927E47">
        <w:rPr>
          <w:b w:val="0"/>
          <w:color w:val="000000" w:themeColor="text1"/>
          <w:sz w:val="20"/>
        </w:rPr>
        <w:t>forced on</w:t>
      </w:r>
      <w:r w:rsidR="00B04383" w:rsidRPr="00927E47">
        <w:rPr>
          <w:b w:val="0"/>
          <w:color w:val="000000" w:themeColor="text1"/>
          <w:sz w:val="20"/>
        </w:rPr>
        <w:t>to</w:t>
      </w:r>
      <w:r w:rsidR="009D327F" w:rsidRPr="00927E47">
        <w:rPr>
          <w:b w:val="0"/>
          <w:color w:val="000000" w:themeColor="text1"/>
          <w:sz w:val="20"/>
        </w:rPr>
        <w:t xml:space="preserve"> operators in order to access </w:t>
      </w:r>
      <w:r w:rsidR="006104D6" w:rsidRPr="00927E47">
        <w:rPr>
          <w:b w:val="0"/>
          <w:color w:val="000000" w:themeColor="text1"/>
          <w:sz w:val="20"/>
        </w:rPr>
        <w:t>local government jurisdiction</w:t>
      </w:r>
      <w:r w:rsidR="009D327F" w:rsidRPr="00927E47">
        <w:rPr>
          <w:b w:val="0"/>
          <w:color w:val="000000" w:themeColor="text1"/>
          <w:sz w:val="20"/>
        </w:rPr>
        <w:t xml:space="preserve"> routes. For instance</w:t>
      </w:r>
      <w:r w:rsidR="00A276DF">
        <w:rPr>
          <w:b w:val="0"/>
          <w:color w:val="000000" w:themeColor="text1"/>
          <w:sz w:val="20"/>
        </w:rPr>
        <w:t>,</w:t>
      </w:r>
      <w:r w:rsidR="009D327F" w:rsidRPr="00927E47">
        <w:rPr>
          <w:b w:val="0"/>
          <w:color w:val="000000" w:themeColor="text1"/>
          <w:sz w:val="20"/>
        </w:rPr>
        <w:t xml:space="preserve"> the use of permits for carrying dangerous goods vary in cost and the number needed in some local government</w:t>
      </w:r>
      <w:r w:rsidR="00B75AB6" w:rsidRPr="00927E47">
        <w:rPr>
          <w:b w:val="0"/>
          <w:color w:val="000000" w:themeColor="text1"/>
          <w:sz w:val="20"/>
        </w:rPr>
        <w:t>s</w:t>
      </w:r>
      <w:r w:rsidR="009F09A5" w:rsidRPr="00927E47">
        <w:rPr>
          <w:b w:val="0"/>
          <w:color w:val="000000" w:themeColor="text1"/>
          <w:sz w:val="20"/>
        </w:rPr>
        <w:t>.</w:t>
      </w:r>
      <w:r w:rsidR="009F09A5" w:rsidRPr="00927E47">
        <w:rPr>
          <w:rStyle w:val="FootnoteReference"/>
          <w:rFonts w:cs="Arial"/>
          <w:b w:val="0"/>
          <w:color w:val="000000" w:themeColor="text1"/>
          <w:sz w:val="20"/>
        </w:rPr>
        <w:footnoteReference w:id="1"/>
      </w:r>
      <w:r w:rsidR="00B04383" w:rsidRPr="00927E47">
        <w:rPr>
          <w:b w:val="0"/>
          <w:color w:val="000000" w:themeColor="text1"/>
          <w:sz w:val="20"/>
        </w:rPr>
        <w:t xml:space="preserve"> This </w:t>
      </w:r>
      <w:r w:rsidR="001B57AE">
        <w:rPr>
          <w:b w:val="0"/>
          <w:color w:val="000000" w:themeColor="text1"/>
          <w:sz w:val="20"/>
        </w:rPr>
        <w:t>means operators</w:t>
      </w:r>
      <w:r w:rsidR="009D327F" w:rsidRPr="00927E47">
        <w:rPr>
          <w:b w:val="0"/>
          <w:color w:val="000000" w:themeColor="text1"/>
          <w:sz w:val="20"/>
        </w:rPr>
        <w:t xml:space="preserve"> capable of carrying dangerous </w:t>
      </w:r>
      <w:r w:rsidR="009D327F" w:rsidRPr="00927E47">
        <w:rPr>
          <w:b w:val="0"/>
          <w:color w:val="000000" w:themeColor="text1"/>
          <w:sz w:val="20"/>
        </w:rPr>
        <w:lastRenderedPageBreak/>
        <w:t>goods are priced out of the market or simply find the syst</w:t>
      </w:r>
      <w:r w:rsidR="001B57AE">
        <w:rPr>
          <w:b w:val="0"/>
          <w:color w:val="000000" w:themeColor="text1"/>
          <w:sz w:val="20"/>
        </w:rPr>
        <w:t xml:space="preserve">em too complex to make sure </w:t>
      </w:r>
      <w:r w:rsidR="009D327F" w:rsidRPr="00927E47">
        <w:rPr>
          <w:b w:val="0"/>
          <w:color w:val="000000" w:themeColor="text1"/>
          <w:sz w:val="20"/>
        </w:rPr>
        <w:t xml:space="preserve">all requirements are met. </w:t>
      </w:r>
    </w:p>
    <w:p w:rsidR="00252BD7" w:rsidRPr="00927E47" w:rsidRDefault="00252BD7" w:rsidP="002E76E8">
      <w:pPr>
        <w:pStyle w:val="BodyText2"/>
        <w:rPr>
          <w:b w:val="0"/>
          <w:color w:val="000000" w:themeColor="text1"/>
          <w:sz w:val="20"/>
        </w:rPr>
      </w:pPr>
    </w:p>
    <w:p w:rsidR="00D17563" w:rsidRPr="00927E47" w:rsidRDefault="001B57AE" w:rsidP="002E76E8">
      <w:pPr>
        <w:rPr>
          <w:rFonts w:ascii="Arial" w:hAnsi="Arial" w:cs="Arial"/>
          <w:sz w:val="20"/>
          <w:szCs w:val="20"/>
        </w:rPr>
      </w:pPr>
      <w:r>
        <w:rPr>
          <w:rFonts w:ascii="Arial" w:hAnsi="Arial" w:cs="Arial"/>
          <w:sz w:val="20"/>
          <w:szCs w:val="20"/>
        </w:rPr>
        <w:t>Any business which</w:t>
      </w:r>
      <w:r w:rsidR="009D327F" w:rsidRPr="00927E47">
        <w:rPr>
          <w:rFonts w:ascii="Arial" w:hAnsi="Arial" w:cs="Arial"/>
          <w:sz w:val="20"/>
          <w:szCs w:val="20"/>
        </w:rPr>
        <w:t xml:space="preserve"> uses road freight to move goods is affected by </w:t>
      </w:r>
      <w:r w:rsidR="006104D6" w:rsidRPr="00927E47">
        <w:rPr>
          <w:rFonts w:ascii="Arial" w:hAnsi="Arial" w:cs="Arial"/>
          <w:sz w:val="20"/>
          <w:szCs w:val="20"/>
        </w:rPr>
        <w:t xml:space="preserve">local government </w:t>
      </w:r>
      <w:r w:rsidR="005D40B5">
        <w:rPr>
          <w:rFonts w:ascii="Arial" w:hAnsi="Arial" w:cs="Arial"/>
          <w:sz w:val="20"/>
          <w:szCs w:val="20"/>
        </w:rPr>
        <w:t>decisions</w:t>
      </w:r>
      <w:r w:rsidR="00513199" w:rsidRPr="00927E47">
        <w:rPr>
          <w:rFonts w:ascii="Arial" w:hAnsi="Arial" w:cs="Arial"/>
          <w:sz w:val="20"/>
          <w:szCs w:val="20"/>
        </w:rPr>
        <w:t>. T</w:t>
      </w:r>
      <w:r w:rsidR="009D327F" w:rsidRPr="00927E47">
        <w:rPr>
          <w:rFonts w:ascii="Arial" w:hAnsi="Arial" w:cs="Arial"/>
          <w:sz w:val="20"/>
          <w:szCs w:val="20"/>
        </w:rPr>
        <w:t>he costs or bu</w:t>
      </w:r>
      <w:r>
        <w:rPr>
          <w:rFonts w:ascii="Arial" w:hAnsi="Arial" w:cs="Arial"/>
          <w:sz w:val="20"/>
          <w:szCs w:val="20"/>
        </w:rPr>
        <w:t xml:space="preserve">rden incurred by </w:t>
      </w:r>
      <w:r w:rsidR="005D40B5">
        <w:rPr>
          <w:rFonts w:ascii="Arial" w:hAnsi="Arial" w:cs="Arial"/>
          <w:sz w:val="20"/>
          <w:szCs w:val="20"/>
        </w:rPr>
        <w:t>poor local government decision making</w:t>
      </w:r>
      <w:r>
        <w:rPr>
          <w:rFonts w:ascii="Arial" w:hAnsi="Arial" w:cs="Arial"/>
          <w:sz w:val="20"/>
          <w:szCs w:val="20"/>
        </w:rPr>
        <w:t xml:space="preserve"> which</w:t>
      </w:r>
      <w:r w:rsidR="009D327F" w:rsidRPr="00927E47">
        <w:rPr>
          <w:rFonts w:ascii="Arial" w:hAnsi="Arial" w:cs="Arial"/>
          <w:sz w:val="20"/>
          <w:szCs w:val="20"/>
        </w:rPr>
        <w:t xml:space="preserve"> seeks to limit the movements of these productive heavy vehicles affects the productivity, price and future of business</w:t>
      </w:r>
      <w:r w:rsidR="00DE0959" w:rsidRPr="00927E47">
        <w:rPr>
          <w:rFonts w:ascii="Arial" w:hAnsi="Arial" w:cs="Arial"/>
          <w:sz w:val="20"/>
          <w:szCs w:val="20"/>
        </w:rPr>
        <w:t>es</w:t>
      </w:r>
      <w:r>
        <w:rPr>
          <w:rFonts w:ascii="Arial" w:hAnsi="Arial" w:cs="Arial"/>
          <w:sz w:val="20"/>
          <w:szCs w:val="20"/>
        </w:rPr>
        <w:t xml:space="preserve"> which</w:t>
      </w:r>
      <w:r w:rsidR="009D327F" w:rsidRPr="00927E47">
        <w:rPr>
          <w:rFonts w:ascii="Arial" w:hAnsi="Arial" w:cs="Arial"/>
          <w:sz w:val="20"/>
          <w:szCs w:val="20"/>
        </w:rPr>
        <w:t xml:space="preserve"> need to access these vehicles. </w:t>
      </w:r>
      <w:r>
        <w:rPr>
          <w:rFonts w:ascii="Arial" w:hAnsi="Arial" w:cs="Arial"/>
          <w:sz w:val="20"/>
          <w:szCs w:val="20"/>
        </w:rPr>
        <w:t>There is no doubt local government agencies</w:t>
      </w:r>
      <w:r w:rsidR="00865E5E" w:rsidRPr="00927E47">
        <w:rPr>
          <w:rFonts w:ascii="Arial" w:hAnsi="Arial" w:cs="Arial"/>
          <w:sz w:val="20"/>
          <w:szCs w:val="20"/>
        </w:rPr>
        <w:t xml:space="preserve"> with good access for high productivity vehicle prosper. </w:t>
      </w:r>
    </w:p>
    <w:p w:rsidR="00DE0959" w:rsidRPr="00927E47" w:rsidRDefault="00DE0959" w:rsidP="002E76E8">
      <w:pPr>
        <w:rPr>
          <w:rFonts w:ascii="Arial" w:hAnsi="Arial" w:cs="Arial"/>
          <w:sz w:val="20"/>
          <w:szCs w:val="20"/>
        </w:rPr>
      </w:pPr>
    </w:p>
    <w:p w:rsidR="00D17563" w:rsidRPr="00927E47" w:rsidRDefault="00DE0959" w:rsidP="002E76E8">
      <w:pPr>
        <w:rPr>
          <w:rFonts w:ascii="Arial" w:hAnsi="Arial" w:cs="Arial"/>
          <w:sz w:val="20"/>
          <w:szCs w:val="20"/>
        </w:rPr>
      </w:pPr>
      <w:r w:rsidRPr="00927E47">
        <w:rPr>
          <w:rFonts w:ascii="Arial" w:hAnsi="Arial" w:cs="Arial"/>
          <w:sz w:val="20"/>
          <w:szCs w:val="20"/>
        </w:rPr>
        <w:t xml:space="preserve">While the economic reasoning for allowing B-doubles and B-triples onto satisfactory </w:t>
      </w:r>
      <w:r w:rsidR="006104D6" w:rsidRPr="00927E47">
        <w:rPr>
          <w:rFonts w:ascii="Arial" w:hAnsi="Arial" w:cs="Arial"/>
          <w:sz w:val="20"/>
          <w:szCs w:val="20"/>
        </w:rPr>
        <w:t>local government roads</w:t>
      </w:r>
      <w:r w:rsidRPr="00927E47">
        <w:rPr>
          <w:rFonts w:ascii="Arial" w:hAnsi="Arial" w:cs="Arial"/>
          <w:sz w:val="20"/>
          <w:szCs w:val="20"/>
        </w:rPr>
        <w:t xml:space="preserve"> is sound, the reality</w:t>
      </w:r>
      <w:r w:rsidR="001B57AE">
        <w:rPr>
          <w:rFonts w:ascii="Arial" w:hAnsi="Arial" w:cs="Arial"/>
          <w:sz w:val="20"/>
          <w:szCs w:val="20"/>
        </w:rPr>
        <w:t xml:space="preserve"> of the situation is</w:t>
      </w:r>
      <w:r w:rsidR="00FF6D82" w:rsidRPr="00927E47">
        <w:rPr>
          <w:rFonts w:ascii="Arial" w:hAnsi="Arial" w:cs="Arial"/>
          <w:sz w:val="20"/>
          <w:szCs w:val="20"/>
        </w:rPr>
        <w:t xml:space="preserve"> many local g</w:t>
      </w:r>
      <w:r w:rsidRPr="00927E47">
        <w:rPr>
          <w:rFonts w:ascii="Arial" w:hAnsi="Arial" w:cs="Arial"/>
          <w:sz w:val="20"/>
          <w:szCs w:val="20"/>
        </w:rPr>
        <w:t>overnments simply do not want large heavy vehicles operating in their jurisdiction becau</w:t>
      </w:r>
      <w:r w:rsidR="00B75AB6" w:rsidRPr="00927E47">
        <w:rPr>
          <w:rFonts w:ascii="Arial" w:hAnsi="Arial" w:cs="Arial"/>
          <w:sz w:val="20"/>
          <w:szCs w:val="20"/>
        </w:rPr>
        <w:t xml:space="preserve">se of </w:t>
      </w:r>
      <w:r w:rsidR="00865E5E" w:rsidRPr="00927E47">
        <w:rPr>
          <w:rFonts w:ascii="Arial" w:hAnsi="Arial" w:cs="Arial"/>
          <w:sz w:val="20"/>
          <w:szCs w:val="20"/>
        </w:rPr>
        <w:t xml:space="preserve">perceived </w:t>
      </w:r>
      <w:r w:rsidR="00B75AB6" w:rsidRPr="00927E47">
        <w:rPr>
          <w:rFonts w:ascii="Arial" w:hAnsi="Arial" w:cs="Arial"/>
          <w:sz w:val="20"/>
          <w:szCs w:val="20"/>
        </w:rPr>
        <w:t>community concerns. T</w:t>
      </w:r>
      <w:r w:rsidRPr="00927E47">
        <w:rPr>
          <w:rFonts w:ascii="Arial" w:hAnsi="Arial" w:cs="Arial"/>
          <w:sz w:val="20"/>
          <w:szCs w:val="20"/>
        </w:rPr>
        <w:t xml:space="preserve">here </w:t>
      </w:r>
      <w:r w:rsidR="00B75AB6" w:rsidRPr="00927E47">
        <w:rPr>
          <w:rFonts w:ascii="Arial" w:hAnsi="Arial" w:cs="Arial"/>
          <w:sz w:val="20"/>
          <w:szCs w:val="20"/>
        </w:rPr>
        <w:t xml:space="preserve">is </w:t>
      </w:r>
      <w:r w:rsidRPr="00927E47">
        <w:rPr>
          <w:rFonts w:ascii="Arial" w:hAnsi="Arial" w:cs="Arial"/>
          <w:sz w:val="20"/>
          <w:szCs w:val="20"/>
        </w:rPr>
        <w:t xml:space="preserve">a tendency </w:t>
      </w:r>
      <w:r w:rsidR="00F95EE5" w:rsidRPr="00927E47">
        <w:rPr>
          <w:rFonts w:ascii="Arial" w:hAnsi="Arial" w:cs="Arial"/>
          <w:sz w:val="20"/>
          <w:szCs w:val="20"/>
        </w:rPr>
        <w:t>for</w:t>
      </w:r>
      <w:r w:rsidRPr="00927E47">
        <w:rPr>
          <w:rFonts w:ascii="Arial" w:hAnsi="Arial" w:cs="Arial"/>
          <w:sz w:val="20"/>
          <w:szCs w:val="20"/>
        </w:rPr>
        <w:t xml:space="preserve"> </w:t>
      </w:r>
      <w:r w:rsidR="006104D6" w:rsidRPr="00927E47">
        <w:rPr>
          <w:rFonts w:ascii="Arial" w:hAnsi="Arial" w:cs="Arial"/>
          <w:sz w:val="20"/>
          <w:szCs w:val="20"/>
        </w:rPr>
        <w:t>local government</w:t>
      </w:r>
      <w:r w:rsidR="00F95EE5" w:rsidRPr="00927E47">
        <w:rPr>
          <w:rFonts w:ascii="Arial" w:hAnsi="Arial" w:cs="Arial"/>
          <w:sz w:val="20"/>
          <w:szCs w:val="20"/>
        </w:rPr>
        <w:t xml:space="preserve"> to </w:t>
      </w:r>
      <w:r w:rsidR="005D40B5">
        <w:rPr>
          <w:rFonts w:ascii="Arial" w:hAnsi="Arial" w:cs="Arial"/>
          <w:sz w:val="20"/>
          <w:szCs w:val="20"/>
        </w:rPr>
        <w:t xml:space="preserve">use the excuse they are </w:t>
      </w:r>
      <w:r w:rsidR="00F95EE5" w:rsidRPr="00927E47">
        <w:rPr>
          <w:rFonts w:ascii="Arial" w:hAnsi="Arial" w:cs="Arial"/>
          <w:sz w:val="20"/>
          <w:szCs w:val="20"/>
        </w:rPr>
        <w:t>protect</w:t>
      </w:r>
      <w:r w:rsidR="005D40B5">
        <w:rPr>
          <w:rFonts w:ascii="Arial" w:hAnsi="Arial" w:cs="Arial"/>
          <w:sz w:val="20"/>
          <w:szCs w:val="20"/>
        </w:rPr>
        <w:t>ing</w:t>
      </w:r>
      <w:r w:rsidRPr="00927E47">
        <w:rPr>
          <w:rFonts w:ascii="Arial" w:hAnsi="Arial" w:cs="Arial"/>
          <w:sz w:val="20"/>
          <w:szCs w:val="20"/>
        </w:rPr>
        <w:t xml:space="preserve"> assets instead o</w:t>
      </w:r>
      <w:r w:rsidR="001B57AE">
        <w:rPr>
          <w:rFonts w:ascii="Arial" w:hAnsi="Arial" w:cs="Arial"/>
          <w:sz w:val="20"/>
          <w:szCs w:val="20"/>
        </w:rPr>
        <w:t>f investing in improvements which</w:t>
      </w:r>
      <w:r w:rsidRPr="00927E47">
        <w:rPr>
          <w:rFonts w:ascii="Arial" w:hAnsi="Arial" w:cs="Arial"/>
          <w:sz w:val="20"/>
          <w:szCs w:val="20"/>
        </w:rPr>
        <w:t xml:space="preserve"> would allow for more productive trucks to operate. There is a misconception </w:t>
      </w:r>
      <w:r w:rsidR="00B75AB6" w:rsidRPr="00927E47">
        <w:rPr>
          <w:rFonts w:ascii="Arial" w:hAnsi="Arial" w:cs="Arial"/>
          <w:sz w:val="20"/>
          <w:szCs w:val="20"/>
        </w:rPr>
        <w:t>about the impact of heavy vehicles and</w:t>
      </w:r>
      <w:r w:rsidRPr="00927E47">
        <w:rPr>
          <w:rFonts w:ascii="Arial" w:hAnsi="Arial" w:cs="Arial"/>
          <w:sz w:val="20"/>
          <w:szCs w:val="20"/>
        </w:rPr>
        <w:t xml:space="preserve"> people are </w:t>
      </w:r>
      <w:r w:rsidR="0021180A" w:rsidRPr="00927E47">
        <w:rPr>
          <w:rFonts w:ascii="Arial" w:hAnsi="Arial" w:cs="Arial"/>
          <w:sz w:val="20"/>
          <w:szCs w:val="20"/>
        </w:rPr>
        <w:t>generally</w:t>
      </w:r>
      <w:r w:rsidR="001B57AE">
        <w:rPr>
          <w:rFonts w:ascii="Arial" w:hAnsi="Arial" w:cs="Arial"/>
          <w:sz w:val="20"/>
          <w:szCs w:val="20"/>
        </w:rPr>
        <w:t xml:space="preserve"> unaware</w:t>
      </w:r>
      <w:r w:rsidRPr="00927E47">
        <w:rPr>
          <w:rFonts w:ascii="Arial" w:hAnsi="Arial" w:cs="Arial"/>
          <w:sz w:val="20"/>
          <w:szCs w:val="20"/>
        </w:rPr>
        <w:t xml:space="preserve"> larger</w:t>
      </w:r>
      <w:r w:rsidR="005D40B5">
        <w:rPr>
          <w:rFonts w:ascii="Arial" w:hAnsi="Arial" w:cs="Arial"/>
          <w:sz w:val="20"/>
          <w:szCs w:val="20"/>
        </w:rPr>
        <w:t>,</w:t>
      </w:r>
      <w:r w:rsidRPr="00927E47">
        <w:rPr>
          <w:rFonts w:ascii="Arial" w:hAnsi="Arial" w:cs="Arial"/>
          <w:sz w:val="20"/>
          <w:szCs w:val="20"/>
        </w:rPr>
        <w:t xml:space="preserve"> heavy </w:t>
      </w:r>
      <w:r w:rsidR="0021180A" w:rsidRPr="00927E47">
        <w:rPr>
          <w:rFonts w:ascii="Arial" w:hAnsi="Arial" w:cs="Arial"/>
          <w:sz w:val="20"/>
          <w:szCs w:val="20"/>
        </w:rPr>
        <w:t>vehicles</w:t>
      </w:r>
      <w:r w:rsidRPr="00927E47">
        <w:rPr>
          <w:rFonts w:ascii="Arial" w:hAnsi="Arial" w:cs="Arial"/>
          <w:sz w:val="20"/>
          <w:szCs w:val="20"/>
        </w:rPr>
        <w:t xml:space="preserve"> are safer, more productive and mean reduced truck numbers on the road. </w:t>
      </w:r>
    </w:p>
    <w:p w:rsidR="00F95EE5" w:rsidRPr="00927E47" w:rsidRDefault="00F95EE5" w:rsidP="002E76E8">
      <w:pPr>
        <w:rPr>
          <w:rFonts w:ascii="Arial" w:hAnsi="Arial" w:cs="Arial"/>
          <w:sz w:val="20"/>
          <w:szCs w:val="20"/>
        </w:rPr>
      </w:pPr>
    </w:p>
    <w:p w:rsidR="00CD56F8" w:rsidRPr="00927E47" w:rsidRDefault="0021180A" w:rsidP="002E76E8">
      <w:pPr>
        <w:rPr>
          <w:rFonts w:ascii="Arial" w:hAnsi="Arial" w:cs="Arial"/>
          <w:sz w:val="20"/>
          <w:szCs w:val="20"/>
        </w:rPr>
      </w:pPr>
      <w:r w:rsidRPr="00927E47">
        <w:rPr>
          <w:rFonts w:ascii="Arial" w:hAnsi="Arial" w:cs="Arial"/>
          <w:sz w:val="20"/>
          <w:szCs w:val="20"/>
        </w:rPr>
        <w:t xml:space="preserve">This </w:t>
      </w:r>
      <w:r w:rsidR="00B75AB6" w:rsidRPr="00927E47">
        <w:rPr>
          <w:rFonts w:ascii="Arial" w:hAnsi="Arial" w:cs="Arial"/>
          <w:sz w:val="20"/>
          <w:szCs w:val="20"/>
        </w:rPr>
        <w:t>misunderstanding</w:t>
      </w:r>
      <w:r w:rsidRPr="00927E47">
        <w:rPr>
          <w:rFonts w:ascii="Arial" w:hAnsi="Arial" w:cs="Arial"/>
          <w:sz w:val="20"/>
          <w:szCs w:val="20"/>
        </w:rPr>
        <w:t xml:space="preserve"> about heav</w:t>
      </w:r>
      <w:r w:rsidR="001B57AE">
        <w:rPr>
          <w:rFonts w:ascii="Arial" w:hAnsi="Arial" w:cs="Arial"/>
          <w:sz w:val="20"/>
          <w:szCs w:val="20"/>
        </w:rPr>
        <w:t>y vehicles has a cost, which falls on</w:t>
      </w:r>
      <w:r w:rsidRPr="00927E47">
        <w:rPr>
          <w:rFonts w:ascii="Arial" w:hAnsi="Arial" w:cs="Arial"/>
          <w:sz w:val="20"/>
          <w:szCs w:val="20"/>
        </w:rPr>
        <w:t xml:space="preserve"> operators, businesses who use road freight and those who consume the goods transported. The larger concern for </w:t>
      </w:r>
      <w:r w:rsidR="001B57AE">
        <w:rPr>
          <w:rFonts w:ascii="Arial" w:hAnsi="Arial" w:cs="Arial"/>
          <w:sz w:val="20"/>
          <w:szCs w:val="20"/>
        </w:rPr>
        <w:t>local governments should be if</w:t>
      </w:r>
      <w:r w:rsidRPr="00927E47">
        <w:rPr>
          <w:rFonts w:ascii="Arial" w:hAnsi="Arial" w:cs="Arial"/>
          <w:sz w:val="20"/>
          <w:szCs w:val="20"/>
        </w:rPr>
        <w:t xml:space="preserve"> they continue to block measures to allow productive heavy vehicles</w:t>
      </w:r>
      <w:r w:rsidR="005D40B5">
        <w:rPr>
          <w:rFonts w:ascii="Arial" w:hAnsi="Arial" w:cs="Arial"/>
          <w:sz w:val="20"/>
          <w:szCs w:val="20"/>
        </w:rPr>
        <w:t>,</w:t>
      </w:r>
      <w:r w:rsidRPr="00927E47">
        <w:rPr>
          <w:rFonts w:ascii="Arial" w:hAnsi="Arial" w:cs="Arial"/>
          <w:sz w:val="20"/>
          <w:szCs w:val="20"/>
        </w:rPr>
        <w:t xml:space="preserve"> they are damaging the business possibilities </w:t>
      </w:r>
      <w:r w:rsidR="00BC63F3" w:rsidRPr="00927E47">
        <w:rPr>
          <w:rFonts w:ascii="Arial" w:hAnsi="Arial" w:cs="Arial"/>
          <w:sz w:val="20"/>
          <w:szCs w:val="20"/>
        </w:rPr>
        <w:t xml:space="preserve">and future </w:t>
      </w:r>
      <w:r w:rsidRPr="00927E47">
        <w:rPr>
          <w:rFonts w:ascii="Arial" w:hAnsi="Arial" w:cs="Arial"/>
          <w:sz w:val="20"/>
          <w:szCs w:val="20"/>
        </w:rPr>
        <w:t>of their own communities.</w:t>
      </w:r>
    </w:p>
    <w:p w:rsidR="00170FC2" w:rsidRPr="00927E47" w:rsidRDefault="00170FC2" w:rsidP="002E76E8">
      <w:pPr>
        <w:rPr>
          <w:rFonts w:ascii="Arial" w:hAnsi="Arial" w:cs="Arial"/>
          <w:sz w:val="20"/>
          <w:szCs w:val="20"/>
        </w:rPr>
      </w:pPr>
    </w:p>
    <w:p w:rsidR="00170FC2" w:rsidRPr="00927E47" w:rsidRDefault="00170FC2" w:rsidP="002E76E8">
      <w:pPr>
        <w:rPr>
          <w:rFonts w:ascii="Arial" w:hAnsi="Arial" w:cs="Arial"/>
          <w:sz w:val="20"/>
          <w:szCs w:val="20"/>
        </w:rPr>
      </w:pPr>
      <w:r w:rsidRPr="00927E47">
        <w:rPr>
          <w:rFonts w:ascii="Arial" w:hAnsi="Arial" w:cs="Arial"/>
          <w:sz w:val="20"/>
          <w:szCs w:val="20"/>
        </w:rPr>
        <w:t>The industry is like any other competitive entity</w:t>
      </w:r>
      <w:r w:rsidR="00B16BB4" w:rsidRPr="00927E47">
        <w:rPr>
          <w:rFonts w:ascii="Arial" w:hAnsi="Arial" w:cs="Arial"/>
          <w:sz w:val="20"/>
          <w:szCs w:val="20"/>
        </w:rPr>
        <w:t>;</w:t>
      </w:r>
      <w:r w:rsidRPr="00927E47">
        <w:rPr>
          <w:rFonts w:ascii="Arial" w:hAnsi="Arial" w:cs="Arial"/>
          <w:sz w:val="20"/>
          <w:szCs w:val="20"/>
        </w:rPr>
        <w:t xml:space="preserve"> it is driven by competition, small profit margins and operating efficiently and as such</w:t>
      </w:r>
      <w:r w:rsidR="00CA1FF1">
        <w:rPr>
          <w:rFonts w:ascii="Arial" w:hAnsi="Arial" w:cs="Arial"/>
          <w:sz w:val="20"/>
          <w:szCs w:val="20"/>
        </w:rPr>
        <w:t>,</w:t>
      </w:r>
      <w:r w:rsidRPr="00927E47">
        <w:rPr>
          <w:rFonts w:ascii="Arial" w:hAnsi="Arial" w:cs="Arial"/>
          <w:sz w:val="20"/>
          <w:szCs w:val="20"/>
        </w:rPr>
        <w:t xml:space="preserve"> is sensitive to</w:t>
      </w:r>
      <w:r w:rsidR="005D40B5">
        <w:rPr>
          <w:rFonts w:ascii="Arial" w:hAnsi="Arial" w:cs="Arial"/>
          <w:sz w:val="20"/>
          <w:szCs w:val="20"/>
        </w:rPr>
        <w:t xml:space="preserve"> changes in</w:t>
      </w:r>
      <w:r w:rsidRPr="00927E47">
        <w:rPr>
          <w:rFonts w:ascii="Arial" w:hAnsi="Arial" w:cs="Arial"/>
          <w:sz w:val="20"/>
          <w:szCs w:val="20"/>
        </w:rPr>
        <w:t xml:space="preserve"> costs. Recently the increase in registration charges on A-trailers</w:t>
      </w:r>
      <w:r w:rsidR="00CA1FF1">
        <w:rPr>
          <w:rFonts w:ascii="Arial" w:hAnsi="Arial" w:cs="Arial"/>
          <w:sz w:val="20"/>
          <w:szCs w:val="20"/>
        </w:rPr>
        <w:t>, by around $5</w:t>
      </w:r>
      <w:r w:rsidR="000F7D55">
        <w:rPr>
          <w:rFonts w:ascii="Arial" w:hAnsi="Arial" w:cs="Arial"/>
          <w:sz w:val="20"/>
          <w:szCs w:val="20"/>
        </w:rPr>
        <w:t>,</w:t>
      </w:r>
      <w:r w:rsidR="00CA1FF1">
        <w:rPr>
          <w:rFonts w:ascii="Arial" w:hAnsi="Arial" w:cs="Arial"/>
          <w:sz w:val="20"/>
          <w:szCs w:val="20"/>
        </w:rPr>
        <w:t>000 a trailer,</w:t>
      </w:r>
      <w:r w:rsidRPr="00927E47">
        <w:rPr>
          <w:rFonts w:ascii="Arial" w:hAnsi="Arial" w:cs="Arial"/>
          <w:sz w:val="20"/>
          <w:szCs w:val="20"/>
        </w:rPr>
        <w:t xml:space="preserve"> </w:t>
      </w:r>
      <w:r w:rsidR="006104D6" w:rsidRPr="00927E47">
        <w:rPr>
          <w:rFonts w:ascii="Arial" w:hAnsi="Arial" w:cs="Arial"/>
          <w:sz w:val="20"/>
          <w:szCs w:val="20"/>
        </w:rPr>
        <w:t>(which are part of B-doubles, B-triples and BAB-quad</w:t>
      </w:r>
      <w:r w:rsidR="00B16BB4" w:rsidRPr="00927E47">
        <w:rPr>
          <w:rFonts w:ascii="Arial" w:hAnsi="Arial" w:cs="Arial"/>
          <w:sz w:val="20"/>
          <w:szCs w:val="20"/>
        </w:rPr>
        <w:t>s</w:t>
      </w:r>
      <w:r w:rsidR="006104D6" w:rsidRPr="00927E47">
        <w:rPr>
          <w:rFonts w:ascii="Arial" w:hAnsi="Arial" w:cs="Arial"/>
          <w:sz w:val="20"/>
          <w:szCs w:val="20"/>
        </w:rPr>
        <w:t xml:space="preserve">) </w:t>
      </w:r>
      <w:r w:rsidRPr="00927E47">
        <w:rPr>
          <w:rFonts w:ascii="Arial" w:hAnsi="Arial" w:cs="Arial"/>
          <w:sz w:val="20"/>
          <w:szCs w:val="20"/>
        </w:rPr>
        <w:t>has affected the i</w:t>
      </w:r>
      <w:r w:rsidR="006104D6" w:rsidRPr="00927E47">
        <w:rPr>
          <w:rFonts w:ascii="Arial" w:hAnsi="Arial" w:cs="Arial"/>
          <w:sz w:val="20"/>
          <w:szCs w:val="20"/>
        </w:rPr>
        <w:t xml:space="preserve">ndustry by </w:t>
      </w:r>
      <w:r w:rsidR="005D40B5">
        <w:rPr>
          <w:rFonts w:ascii="Arial" w:hAnsi="Arial" w:cs="Arial"/>
          <w:sz w:val="20"/>
          <w:szCs w:val="20"/>
        </w:rPr>
        <w:t>causing operators to move</w:t>
      </w:r>
      <w:r w:rsidR="006104D6" w:rsidRPr="00927E47">
        <w:rPr>
          <w:rFonts w:ascii="Arial" w:hAnsi="Arial" w:cs="Arial"/>
          <w:sz w:val="20"/>
          <w:szCs w:val="20"/>
        </w:rPr>
        <w:t xml:space="preserve"> away from the most productive vehicles</w:t>
      </w:r>
      <w:r w:rsidR="00B16BB4" w:rsidRPr="00927E47">
        <w:rPr>
          <w:rFonts w:ascii="Arial" w:hAnsi="Arial" w:cs="Arial"/>
          <w:sz w:val="20"/>
          <w:szCs w:val="20"/>
        </w:rPr>
        <w:t xml:space="preserve"> at an alarming rate. I</w:t>
      </w:r>
      <w:r w:rsidRPr="00927E47">
        <w:rPr>
          <w:rFonts w:ascii="Arial" w:hAnsi="Arial" w:cs="Arial"/>
          <w:sz w:val="20"/>
          <w:szCs w:val="20"/>
        </w:rPr>
        <w:t>t cannot</w:t>
      </w:r>
      <w:r w:rsidR="00C71638" w:rsidRPr="00927E47">
        <w:rPr>
          <w:rFonts w:ascii="Arial" w:hAnsi="Arial" w:cs="Arial"/>
          <w:sz w:val="20"/>
          <w:szCs w:val="20"/>
        </w:rPr>
        <w:t xml:space="preserve"> be underestimated how respons</w:t>
      </w:r>
      <w:r w:rsidR="006104D6" w:rsidRPr="00927E47">
        <w:rPr>
          <w:rFonts w:ascii="Arial" w:hAnsi="Arial" w:cs="Arial"/>
          <w:sz w:val="20"/>
          <w:szCs w:val="20"/>
        </w:rPr>
        <w:t>ive</w:t>
      </w:r>
      <w:r w:rsidR="00C71638" w:rsidRPr="00927E47">
        <w:rPr>
          <w:rFonts w:ascii="Arial" w:hAnsi="Arial" w:cs="Arial"/>
          <w:sz w:val="20"/>
          <w:szCs w:val="20"/>
        </w:rPr>
        <w:t xml:space="preserve"> the industry is to </w:t>
      </w:r>
      <w:r w:rsidR="00865E5E" w:rsidRPr="00927E47">
        <w:rPr>
          <w:rFonts w:ascii="Arial" w:hAnsi="Arial" w:cs="Arial"/>
          <w:sz w:val="20"/>
          <w:szCs w:val="20"/>
        </w:rPr>
        <w:t xml:space="preserve">cash flow and </w:t>
      </w:r>
      <w:r w:rsidR="00C71638" w:rsidRPr="00927E47">
        <w:rPr>
          <w:rFonts w:ascii="Arial" w:hAnsi="Arial" w:cs="Arial"/>
          <w:sz w:val="20"/>
          <w:szCs w:val="20"/>
        </w:rPr>
        <w:t xml:space="preserve">costs. </w:t>
      </w:r>
      <w:r w:rsidRPr="00927E47">
        <w:rPr>
          <w:rFonts w:ascii="Arial" w:hAnsi="Arial" w:cs="Arial"/>
          <w:sz w:val="20"/>
          <w:szCs w:val="20"/>
        </w:rPr>
        <w:t xml:space="preserve">   </w:t>
      </w:r>
    </w:p>
    <w:p w:rsidR="00BC63F3" w:rsidRPr="00927E47" w:rsidRDefault="00BC63F3" w:rsidP="002E76E8">
      <w:pPr>
        <w:rPr>
          <w:rFonts w:ascii="Arial" w:hAnsi="Arial" w:cs="Arial"/>
          <w:sz w:val="20"/>
          <w:szCs w:val="20"/>
        </w:rPr>
      </w:pPr>
    </w:p>
    <w:p w:rsidR="006104D6" w:rsidRPr="00927E47" w:rsidRDefault="006104D6" w:rsidP="002E76E8">
      <w:pPr>
        <w:rPr>
          <w:rFonts w:ascii="Arial" w:hAnsi="Arial" w:cs="Arial"/>
          <w:sz w:val="20"/>
          <w:szCs w:val="20"/>
        </w:rPr>
      </w:pPr>
    </w:p>
    <w:p w:rsidR="002E76E8" w:rsidRPr="004A1802" w:rsidRDefault="00907971" w:rsidP="002E76E8">
      <w:pPr>
        <w:pStyle w:val="Heading1"/>
      </w:pPr>
      <w:bookmarkStart w:id="3" w:name="_Toc306957635"/>
      <w:r w:rsidRPr="004A1802">
        <w:t>Recommendations</w:t>
      </w:r>
      <w:bookmarkEnd w:id="3"/>
    </w:p>
    <w:p w:rsidR="004A1802" w:rsidRDefault="00585E54">
      <w:pPr>
        <w:pStyle w:val="TOC1"/>
        <w:rPr>
          <w:rFonts w:asciiTheme="minorHAnsi" w:eastAsiaTheme="minorEastAsia" w:hAnsiTheme="minorHAnsi" w:cstheme="minorBidi"/>
          <w:b w:val="0"/>
          <w:sz w:val="22"/>
          <w:szCs w:val="22"/>
          <w:lang w:eastAsia="en-AU"/>
        </w:rPr>
      </w:pPr>
      <w:r w:rsidRPr="00585E54">
        <w:fldChar w:fldCharType="begin"/>
      </w:r>
      <w:r w:rsidR="00907971" w:rsidRPr="00927E47">
        <w:instrText xml:space="preserve"> TOC \n \p " " \t "Recommendation Style,1,Recommendation Style 2,2,Recommendation Style 3,3" </w:instrText>
      </w:r>
      <w:r w:rsidRPr="00585E54">
        <w:fldChar w:fldCharType="separate"/>
      </w:r>
      <w:r w:rsidR="004A1802" w:rsidRPr="003D5D75">
        <w:rPr>
          <w:rFonts w:cs="Times New Roman"/>
          <w:color w:val="000000" w:themeColor="text1"/>
        </w:rPr>
        <w:t>Recommendation 1</w:t>
      </w:r>
    </w:p>
    <w:p w:rsidR="004A1802" w:rsidRDefault="004A1802">
      <w:pPr>
        <w:pStyle w:val="TOC1"/>
        <w:rPr>
          <w:rFonts w:asciiTheme="minorHAnsi" w:eastAsiaTheme="minorEastAsia" w:hAnsiTheme="minorHAnsi" w:cstheme="minorBidi"/>
          <w:b w:val="0"/>
          <w:sz w:val="22"/>
          <w:szCs w:val="22"/>
          <w:lang w:eastAsia="en-AU"/>
        </w:rPr>
      </w:pPr>
      <w:r w:rsidRPr="003D5D75">
        <w:rPr>
          <w:color w:val="000000" w:themeColor="text1"/>
        </w:rPr>
        <w:t>Decisions made by local governments should seek to improve the productive potential of businesses with limited costs. Allowing access for high productive vehicles would increase the capability of business and communities, and therefore their economic well being.</w:t>
      </w:r>
    </w:p>
    <w:p w:rsidR="004A1802" w:rsidRDefault="004A1802">
      <w:pPr>
        <w:pStyle w:val="TOC1"/>
        <w:rPr>
          <w:rFonts w:asciiTheme="minorHAnsi" w:eastAsiaTheme="minorEastAsia" w:hAnsiTheme="minorHAnsi" w:cstheme="minorBidi"/>
          <w:b w:val="0"/>
          <w:sz w:val="22"/>
          <w:szCs w:val="22"/>
          <w:lang w:eastAsia="en-AU"/>
        </w:rPr>
      </w:pPr>
      <w:r w:rsidRPr="003D5D75">
        <w:rPr>
          <w:rFonts w:cs="Times New Roman"/>
          <w:color w:val="000000" w:themeColor="text1"/>
        </w:rPr>
        <w:t>Recommendation 2</w:t>
      </w:r>
    </w:p>
    <w:p w:rsidR="004A1802" w:rsidRDefault="004A1802">
      <w:pPr>
        <w:pStyle w:val="TOC1"/>
        <w:rPr>
          <w:rFonts w:asciiTheme="minorHAnsi" w:eastAsiaTheme="minorEastAsia" w:hAnsiTheme="minorHAnsi" w:cstheme="minorBidi"/>
          <w:b w:val="0"/>
          <w:sz w:val="22"/>
          <w:szCs w:val="22"/>
          <w:lang w:eastAsia="en-AU"/>
        </w:rPr>
      </w:pPr>
      <w:r w:rsidRPr="003D5D75">
        <w:rPr>
          <w:color w:val="000000" w:themeColor="text1"/>
        </w:rPr>
        <w:t>Local governments should engage in nationwide programs in order to make for a seamless national economy. The viability of PBS is in question because of the failure of all local governments to provide the required maps to operators.</w:t>
      </w:r>
    </w:p>
    <w:p w:rsidR="004A1802" w:rsidRDefault="004A1802">
      <w:pPr>
        <w:pStyle w:val="TOC1"/>
        <w:rPr>
          <w:rFonts w:asciiTheme="minorHAnsi" w:eastAsiaTheme="minorEastAsia" w:hAnsiTheme="minorHAnsi" w:cstheme="minorBidi"/>
          <w:b w:val="0"/>
          <w:sz w:val="22"/>
          <w:szCs w:val="22"/>
          <w:lang w:eastAsia="en-AU"/>
        </w:rPr>
      </w:pPr>
      <w:r w:rsidRPr="003D5D75">
        <w:rPr>
          <w:rFonts w:cs="Times New Roman"/>
          <w:color w:val="000000" w:themeColor="text1"/>
        </w:rPr>
        <w:t>Recommendation 3</w:t>
      </w:r>
    </w:p>
    <w:p w:rsidR="004A1802" w:rsidRDefault="004A1802">
      <w:pPr>
        <w:pStyle w:val="TOC1"/>
        <w:rPr>
          <w:rFonts w:asciiTheme="minorHAnsi" w:eastAsiaTheme="minorEastAsia" w:hAnsiTheme="minorHAnsi" w:cstheme="minorBidi"/>
          <w:b w:val="0"/>
          <w:sz w:val="22"/>
          <w:szCs w:val="22"/>
          <w:lang w:eastAsia="en-AU"/>
        </w:rPr>
      </w:pPr>
      <w:r w:rsidRPr="003D5D75">
        <w:rPr>
          <w:color w:val="000000" w:themeColor="text1"/>
        </w:rPr>
        <w:t>Local governments should seek to improve road planning and access procedures and best practices through utilisation consistent guidelines, employing skilled engineers and allowing externally reviewable access decisions.</w:t>
      </w:r>
    </w:p>
    <w:p w:rsidR="004A1802" w:rsidRDefault="004A1802">
      <w:pPr>
        <w:pStyle w:val="TOC1"/>
        <w:rPr>
          <w:rFonts w:asciiTheme="minorHAnsi" w:eastAsiaTheme="minorEastAsia" w:hAnsiTheme="minorHAnsi" w:cstheme="minorBidi"/>
          <w:b w:val="0"/>
          <w:sz w:val="22"/>
          <w:szCs w:val="22"/>
          <w:lang w:eastAsia="en-AU"/>
        </w:rPr>
      </w:pPr>
      <w:r w:rsidRPr="003D5D75">
        <w:rPr>
          <w:rFonts w:cs="Times New Roman"/>
          <w:color w:val="000000" w:themeColor="text1"/>
        </w:rPr>
        <w:t>Recommendation 4</w:t>
      </w:r>
    </w:p>
    <w:p w:rsidR="004A1802" w:rsidRDefault="004A1802">
      <w:pPr>
        <w:pStyle w:val="TOC1"/>
        <w:rPr>
          <w:rFonts w:asciiTheme="minorHAnsi" w:eastAsiaTheme="minorEastAsia" w:hAnsiTheme="minorHAnsi" w:cstheme="minorBidi"/>
          <w:b w:val="0"/>
          <w:sz w:val="22"/>
          <w:szCs w:val="22"/>
          <w:lang w:eastAsia="en-AU"/>
        </w:rPr>
      </w:pPr>
      <w:r w:rsidRPr="003D5D75">
        <w:rPr>
          <w:color w:val="000000" w:themeColor="text1"/>
        </w:rPr>
        <w:t>Local governments should be held to greater scrutiny over how they allocate Commonwealth funds, in conjunction with increased audits to make sure accountability is achieved.</w:t>
      </w:r>
    </w:p>
    <w:p w:rsidR="004A1802" w:rsidRDefault="004A1802">
      <w:pPr>
        <w:pStyle w:val="TOC1"/>
        <w:rPr>
          <w:rFonts w:asciiTheme="minorHAnsi" w:eastAsiaTheme="minorEastAsia" w:hAnsiTheme="minorHAnsi" w:cstheme="minorBidi"/>
          <w:b w:val="0"/>
          <w:sz w:val="22"/>
          <w:szCs w:val="22"/>
          <w:lang w:eastAsia="en-AU"/>
        </w:rPr>
      </w:pPr>
      <w:r w:rsidRPr="003D5D75">
        <w:rPr>
          <w:rFonts w:cs="Times New Roman"/>
          <w:color w:val="000000" w:themeColor="text1"/>
        </w:rPr>
        <w:t>Recommendation 5</w:t>
      </w:r>
    </w:p>
    <w:p w:rsidR="004A1802" w:rsidRDefault="004A1802">
      <w:pPr>
        <w:pStyle w:val="TOC1"/>
        <w:rPr>
          <w:rFonts w:asciiTheme="minorHAnsi" w:eastAsiaTheme="minorEastAsia" w:hAnsiTheme="minorHAnsi" w:cstheme="minorBidi"/>
          <w:b w:val="0"/>
          <w:sz w:val="22"/>
          <w:szCs w:val="22"/>
          <w:lang w:eastAsia="en-AU"/>
        </w:rPr>
      </w:pPr>
      <w:r w:rsidRPr="003D5D75">
        <w:rPr>
          <w:color w:val="000000" w:themeColor="text1"/>
        </w:rPr>
        <w:t>The ATA recommends the Productivity Commission use the heavy vehicle industry as a strong indication of where regulatory overlaps and distortions can lead to negative outcomes on businesses and communities.</w:t>
      </w:r>
    </w:p>
    <w:p w:rsidR="004A1802" w:rsidRDefault="004A1802">
      <w:pPr>
        <w:pStyle w:val="TOC1"/>
        <w:rPr>
          <w:rFonts w:asciiTheme="minorHAnsi" w:eastAsiaTheme="minorEastAsia" w:hAnsiTheme="minorHAnsi" w:cstheme="minorBidi"/>
          <w:b w:val="0"/>
          <w:sz w:val="22"/>
          <w:szCs w:val="22"/>
          <w:lang w:eastAsia="en-AU"/>
        </w:rPr>
      </w:pPr>
      <w:r w:rsidRPr="003D5D75">
        <w:rPr>
          <w:rFonts w:cs="Times New Roman"/>
          <w:color w:val="000000" w:themeColor="text1"/>
        </w:rPr>
        <w:lastRenderedPageBreak/>
        <w:t>Recommendation 6</w:t>
      </w:r>
    </w:p>
    <w:p w:rsidR="004A1802" w:rsidRDefault="004A1802">
      <w:pPr>
        <w:pStyle w:val="TOC1"/>
        <w:rPr>
          <w:rFonts w:asciiTheme="minorHAnsi" w:eastAsiaTheme="minorEastAsia" w:hAnsiTheme="minorHAnsi" w:cstheme="minorBidi"/>
          <w:b w:val="0"/>
          <w:sz w:val="22"/>
          <w:szCs w:val="22"/>
          <w:lang w:eastAsia="en-AU"/>
        </w:rPr>
      </w:pPr>
      <w:r w:rsidRPr="003D5D75">
        <w:rPr>
          <w:color w:val="000000" w:themeColor="text1"/>
        </w:rPr>
        <w:t>Access decisions should be reviewable by an independent external tribunal if concerns are raised over the outcome that decisions have on businesses seeking access.</w:t>
      </w:r>
    </w:p>
    <w:p w:rsidR="004A1802" w:rsidRDefault="004A1802">
      <w:pPr>
        <w:pStyle w:val="TOC1"/>
        <w:rPr>
          <w:rFonts w:asciiTheme="minorHAnsi" w:eastAsiaTheme="minorEastAsia" w:hAnsiTheme="minorHAnsi" w:cstheme="minorBidi"/>
          <w:b w:val="0"/>
          <w:sz w:val="22"/>
          <w:szCs w:val="22"/>
          <w:lang w:eastAsia="en-AU"/>
        </w:rPr>
      </w:pPr>
      <w:r w:rsidRPr="003D5D75">
        <w:rPr>
          <w:rFonts w:cs="Times New Roman"/>
          <w:color w:val="000000" w:themeColor="text1"/>
        </w:rPr>
        <w:t>Recommendation 7</w:t>
      </w:r>
    </w:p>
    <w:p w:rsidR="004A1802" w:rsidRDefault="004A1802">
      <w:pPr>
        <w:pStyle w:val="TOC1"/>
        <w:rPr>
          <w:rFonts w:asciiTheme="minorHAnsi" w:eastAsiaTheme="minorEastAsia" w:hAnsiTheme="minorHAnsi" w:cstheme="minorBidi"/>
          <w:b w:val="0"/>
          <w:sz w:val="22"/>
          <w:szCs w:val="22"/>
          <w:lang w:eastAsia="en-AU"/>
        </w:rPr>
      </w:pPr>
      <w:r w:rsidRPr="003D5D75">
        <w:rPr>
          <w:color w:val="000000" w:themeColor="text1"/>
        </w:rPr>
        <w:t>Regulation through Australia should be set to a uniform best practice level which makes interpretation easy and does not impose huge costs on operators.</w:t>
      </w:r>
    </w:p>
    <w:p w:rsidR="004A1802" w:rsidRDefault="004A1802">
      <w:pPr>
        <w:pStyle w:val="TOC1"/>
        <w:rPr>
          <w:rFonts w:asciiTheme="minorHAnsi" w:eastAsiaTheme="minorEastAsia" w:hAnsiTheme="minorHAnsi" w:cstheme="minorBidi"/>
          <w:b w:val="0"/>
          <w:sz w:val="22"/>
          <w:szCs w:val="22"/>
          <w:lang w:eastAsia="en-AU"/>
        </w:rPr>
      </w:pPr>
      <w:r w:rsidRPr="003D5D75">
        <w:rPr>
          <w:rFonts w:cs="Times New Roman"/>
          <w:color w:val="000000" w:themeColor="text1"/>
        </w:rPr>
        <w:t>Recommendation 8</w:t>
      </w:r>
    </w:p>
    <w:p w:rsidR="004A1802" w:rsidRDefault="004A1802">
      <w:pPr>
        <w:pStyle w:val="TOC1"/>
        <w:rPr>
          <w:rFonts w:asciiTheme="minorHAnsi" w:eastAsiaTheme="minorEastAsia" w:hAnsiTheme="minorHAnsi" w:cstheme="minorBidi"/>
          <w:b w:val="0"/>
          <w:sz w:val="22"/>
          <w:szCs w:val="22"/>
          <w:lang w:eastAsia="en-AU"/>
        </w:rPr>
      </w:pPr>
      <w:r w:rsidRPr="003D5D75">
        <w:rPr>
          <w:color w:val="000000" w:themeColor="text1"/>
        </w:rPr>
        <w:t>Local governments should seek more interaction with constituents and businesses in order to address the market failure that currently occurs.</w:t>
      </w:r>
    </w:p>
    <w:p w:rsidR="00DD10A0" w:rsidRPr="00927E47" w:rsidRDefault="00585E54" w:rsidP="002E76E8">
      <w:pPr>
        <w:rPr>
          <w:rFonts w:ascii="Arial" w:hAnsi="Arial" w:cs="Arial"/>
          <w:b/>
          <w:noProof/>
          <w:color w:val="000000" w:themeColor="text1"/>
          <w:sz w:val="20"/>
          <w:szCs w:val="20"/>
        </w:rPr>
      </w:pPr>
      <w:r w:rsidRPr="00927E47">
        <w:rPr>
          <w:rFonts w:ascii="Arial" w:hAnsi="Arial" w:cs="Arial"/>
          <w:b/>
          <w:noProof/>
          <w:color w:val="000000" w:themeColor="text1"/>
          <w:sz w:val="20"/>
          <w:szCs w:val="20"/>
        </w:rPr>
        <w:fldChar w:fldCharType="end"/>
      </w:r>
    </w:p>
    <w:p w:rsidR="006859F7" w:rsidRPr="00927E47" w:rsidRDefault="006859F7" w:rsidP="002E76E8">
      <w:pPr>
        <w:rPr>
          <w:rFonts w:ascii="Arial" w:hAnsi="Arial" w:cs="Arial"/>
          <w:color w:val="000000" w:themeColor="text1"/>
          <w:sz w:val="20"/>
          <w:szCs w:val="20"/>
        </w:rPr>
      </w:pPr>
    </w:p>
    <w:p w:rsidR="00415126" w:rsidRPr="004A1802" w:rsidRDefault="00BC63F3" w:rsidP="002E76E8">
      <w:pPr>
        <w:pStyle w:val="Heading1"/>
      </w:pPr>
      <w:bookmarkStart w:id="4" w:name="_Toc306957636"/>
      <w:r w:rsidRPr="004A1802">
        <w:t>C</w:t>
      </w:r>
      <w:r w:rsidR="000B773A" w:rsidRPr="004A1802">
        <w:t>ost inducing regulation</w:t>
      </w:r>
      <w:r w:rsidR="00166BB9" w:rsidRPr="004A1802">
        <w:t>s</w:t>
      </w:r>
      <w:r w:rsidR="006104D6" w:rsidRPr="004A1802">
        <w:t xml:space="preserve"> and procedures of local g</w:t>
      </w:r>
      <w:r w:rsidR="000B351D" w:rsidRPr="004A1802">
        <w:t>overnments</w:t>
      </w:r>
      <w:bookmarkEnd w:id="4"/>
      <w:r w:rsidR="000B773A" w:rsidRPr="004A1802">
        <w:t xml:space="preserve"> </w:t>
      </w:r>
    </w:p>
    <w:p w:rsidR="000B773A" w:rsidRPr="00927E47" w:rsidRDefault="000B773A" w:rsidP="002E76E8">
      <w:pPr>
        <w:rPr>
          <w:rFonts w:ascii="Arial" w:hAnsi="Arial" w:cs="Arial"/>
          <w:sz w:val="20"/>
          <w:szCs w:val="20"/>
        </w:rPr>
      </w:pPr>
    </w:p>
    <w:p w:rsidR="004F42DC" w:rsidRPr="00927E47" w:rsidRDefault="00865E5E" w:rsidP="002E76E8">
      <w:pPr>
        <w:rPr>
          <w:rFonts w:ascii="Arial" w:hAnsi="Arial" w:cs="Arial"/>
          <w:sz w:val="20"/>
          <w:szCs w:val="20"/>
        </w:rPr>
      </w:pPr>
      <w:r w:rsidRPr="00927E47">
        <w:rPr>
          <w:rFonts w:ascii="Arial" w:hAnsi="Arial" w:cs="Arial"/>
          <w:sz w:val="20"/>
          <w:szCs w:val="20"/>
        </w:rPr>
        <w:t>Local g</w:t>
      </w:r>
      <w:r w:rsidR="000B351D" w:rsidRPr="00927E47">
        <w:rPr>
          <w:rFonts w:ascii="Arial" w:hAnsi="Arial" w:cs="Arial"/>
          <w:sz w:val="20"/>
          <w:szCs w:val="20"/>
        </w:rPr>
        <w:t xml:space="preserve">overnments </w:t>
      </w:r>
      <w:r w:rsidR="008A2027" w:rsidRPr="00927E47">
        <w:rPr>
          <w:rFonts w:ascii="Arial" w:hAnsi="Arial" w:cs="Arial"/>
          <w:sz w:val="20"/>
          <w:szCs w:val="20"/>
        </w:rPr>
        <w:t xml:space="preserve">have </w:t>
      </w:r>
      <w:r w:rsidR="00166BB9" w:rsidRPr="00927E47">
        <w:rPr>
          <w:rFonts w:ascii="Arial" w:hAnsi="Arial" w:cs="Arial"/>
          <w:sz w:val="20"/>
          <w:szCs w:val="20"/>
        </w:rPr>
        <w:t>a</w:t>
      </w:r>
      <w:r w:rsidR="008A2027" w:rsidRPr="00927E47">
        <w:rPr>
          <w:rFonts w:ascii="Arial" w:hAnsi="Arial" w:cs="Arial"/>
          <w:sz w:val="20"/>
          <w:szCs w:val="20"/>
        </w:rPr>
        <w:t xml:space="preserve"> mandate to</w:t>
      </w:r>
      <w:r w:rsidR="000B351D" w:rsidRPr="00927E47">
        <w:rPr>
          <w:rFonts w:ascii="Arial" w:hAnsi="Arial" w:cs="Arial"/>
          <w:sz w:val="20"/>
          <w:szCs w:val="20"/>
        </w:rPr>
        <w:t xml:space="preserve"> control road provision and maintenance</w:t>
      </w:r>
      <w:r w:rsidR="008A2027" w:rsidRPr="00927E47">
        <w:rPr>
          <w:rFonts w:ascii="Arial" w:hAnsi="Arial" w:cs="Arial"/>
          <w:sz w:val="20"/>
          <w:szCs w:val="20"/>
        </w:rPr>
        <w:t>. T</w:t>
      </w:r>
      <w:r w:rsidR="000B351D" w:rsidRPr="00927E47">
        <w:rPr>
          <w:rFonts w:ascii="Arial" w:hAnsi="Arial" w:cs="Arial"/>
          <w:sz w:val="20"/>
          <w:szCs w:val="20"/>
        </w:rPr>
        <w:t>he bureaucratic system</w:t>
      </w:r>
      <w:r w:rsidR="00CA1FF1">
        <w:rPr>
          <w:rFonts w:ascii="Arial" w:hAnsi="Arial" w:cs="Arial"/>
          <w:sz w:val="20"/>
          <w:szCs w:val="20"/>
        </w:rPr>
        <w:t xml:space="preserve"> can</w:t>
      </w:r>
      <w:r w:rsidR="00CA1FF1" w:rsidRPr="00927E47">
        <w:rPr>
          <w:rFonts w:ascii="Arial" w:hAnsi="Arial" w:cs="Arial"/>
          <w:sz w:val="20"/>
          <w:szCs w:val="20"/>
        </w:rPr>
        <w:t xml:space="preserve"> and</w:t>
      </w:r>
      <w:r w:rsidR="00166BB9" w:rsidRPr="00927E47">
        <w:rPr>
          <w:rFonts w:ascii="Arial" w:hAnsi="Arial" w:cs="Arial"/>
          <w:sz w:val="20"/>
          <w:szCs w:val="20"/>
        </w:rPr>
        <w:t xml:space="preserve"> does</w:t>
      </w:r>
      <w:r w:rsidR="00CA1FF1">
        <w:rPr>
          <w:rFonts w:ascii="Arial" w:hAnsi="Arial" w:cs="Arial"/>
          <w:sz w:val="20"/>
          <w:szCs w:val="20"/>
        </w:rPr>
        <w:t>,</w:t>
      </w:r>
      <w:r w:rsidR="00166BB9" w:rsidRPr="00927E47">
        <w:rPr>
          <w:rFonts w:ascii="Arial" w:hAnsi="Arial" w:cs="Arial"/>
          <w:sz w:val="20"/>
          <w:szCs w:val="20"/>
        </w:rPr>
        <w:t xml:space="preserve"> impose</w:t>
      </w:r>
      <w:r w:rsidR="000B351D" w:rsidRPr="00927E47">
        <w:rPr>
          <w:rFonts w:ascii="Arial" w:hAnsi="Arial" w:cs="Arial"/>
          <w:sz w:val="20"/>
          <w:szCs w:val="20"/>
        </w:rPr>
        <w:t xml:space="preserve"> impediments onto businesses which want to use high productivity vehicles.</w:t>
      </w:r>
      <w:r w:rsidR="008A2027" w:rsidRPr="00927E47">
        <w:rPr>
          <w:rFonts w:ascii="Arial" w:hAnsi="Arial" w:cs="Arial"/>
          <w:sz w:val="20"/>
          <w:szCs w:val="20"/>
        </w:rPr>
        <w:t xml:space="preserve"> </w:t>
      </w:r>
      <w:r w:rsidR="00166BB9" w:rsidRPr="00927E47">
        <w:rPr>
          <w:rFonts w:ascii="Arial" w:hAnsi="Arial" w:cs="Arial"/>
          <w:sz w:val="20"/>
          <w:szCs w:val="20"/>
        </w:rPr>
        <w:t>The h</w:t>
      </w:r>
      <w:r w:rsidR="00C71638" w:rsidRPr="00927E47">
        <w:rPr>
          <w:rFonts w:ascii="Arial" w:hAnsi="Arial" w:cs="Arial"/>
          <w:sz w:val="20"/>
          <w:szCs w:val="20"/>
        </w:rPr>
        <w:t>indrance</w:t>
      </w:r>
      <w:r w:rsidR="008A2027" w:rsidRPr="00927E47">
        <w:rPr>
          <w:rFonts w:ascii="Arial" w:hAnsi="Arial" w:cs="Arial"/>
          <w:sz w:val="20"/>
          <w:szCs w:val="20"/>
        </w:rPr>
        <w:t xml:space="preserve"> come</w:t>
      </w:r>
      <w:r w:rsidR="00C71638" w:rsidRPr="00927E47">
        <w:rPr>
          <w:rFonts w:ascii="Arial" w:hAnsi="Arial" w:cs="Arial"/>
          <w:sz w:val="20"/>
          <w:szCs w:val="20"/>
        </w:rPr>
        <w:t>s</w:t>
      </w:r>
      <w:r w:rsidR="008A2027" w:rsidRPr="00927E47">
        <w:rPr>
          <w:rFonts w:ascii="Arial" w:hAnsi="Arial" w:cs="Arial"/>
          <w:sz w:val="20"/>
          <w:szCs w:val="20"/>
        </w:rPr>
        <w:t xml:space="preserve"> from restrictions placed by </w:t>
      </w:r>
      <w:r w:rsidR="006104D6" w:rsidRPr="00927E47">
        <w:rPr>
          <w:rFonts w:ascii="Arial" w:hAnsi="Arial" w:cs="Arial"/>
          <w:sz w:val="20"/>
          <w:szCs w:val="20"/>
        </w:rPr>
        <w:t>local government planning</w:t>
      </w:r>
      <w:r w:rsidR="008A2027" w:rsidRPr="00927E47">
        <w:rPr>
          <w:rFonts w:ascii="Arial" w:hAnsi="Arial" w:cs="Arial"/>
          <w:sz w:val="20"/>
          <w:szCs w:val="20"/>
        </w:rPr>
        <w:t xml:space="preserve"> procedures and decisions. </w:t>
      </w:r>
    </w:p>
    <w:p w:rsidR="008A2027" w:rsidRDefault="008A2027" w:rsidP="002E76E8">
      <w:pPr>
        <w:rPr>
          <w:rFonts w:ascii="Arial" w:hAnsi="Arial" w:cs="Arial"/>
          <w:sz w:val="20"/>
          <w:szCs w:val="20"/>
        </w:rPr>
      </w:pPr>
    </w:p>
    <w:p w:rsidR="002E76E8" w:rsidRPr="00927E47" w:rsidRDefault="002E76E8" w:rsidP="002E76E8">
      <w:pPr>
        <w:rPr>
          <w:rFonts w:ascii="Arial" w:hAnsi="Arial" w:cs="Arial"/>
          <w:sz w:val="20"/>
          <w:szCs w:val="20"/>
        </w:rPr>
      </w:pPr>
    </w:p>
    <w:p w:rsidR="00F66A3C" w:rsidRPr="004A1802" w:rsidRDefault="00F66A3C" w:rsidP="002E76E8">
      <w:pPr>
        <w:pStyle w:val="ATAHeading2"/>
        <w:spacing w:before="0" w:after="0"/>
        <w:ind w:left="851" w:hanging="851"/>
        <w:rPr>
          <w:sz w:val="28"/>
          <w:szCs w:val="28"/>
        </w:rPr>
      </w:pPr>
      <w:bookmarkStart w:id="5" w:name="_Toc306957637"/>
      <w:r w:rsidRPr="004A1802">
        <w:rPr>
          <w:sz w:val="28"/>
          <w:szCs w:val="28"/>
        </w:rPr>
        <w:t>Higher mass limits and allowing access</w:t>
      </w:r>
      <w:bookmarkEnd w:id="5"/>
    </w:p>
    <w:p w:rsidR="00A276DF" w:rsidRPr="002E76E8" w:rsidRDefault="00A276DF" w:rsidP="00A276DF"/>
    <w:p w:rsidR="00BF6BE2" w:rsidRPr="00927E47" w:rsidRDefault="00BF6BE2" w:rsidP="002E76E8">
      <w:pPr>
        <w:rPr>
          <w:rFonts w:ascii="Arial" w:hAnsi="Arial" w:cs="Arial"/>
          <w:sz w:val="20"/>
          <w:szCs w:val="20"/>
        </w:rPr>
      </w:pPr>
      <w:r w:rsidRPr="00927E47">
        <w:rPr>
          <w:rFonts w:ascii="Arial" w:hAnsi="Arial" w:cs="Arial"/>
          <w:sz w:val="20"/>
          <w:szCs w:val="20"/>
        </w:rPr>
        <w:t xml:space="preserve">The main problem </w:t>
      </w:r>
      <w:r w:rsidR="00CA1FF1">
        <w:rPr>
          <w:rFonts w:ascii="Arial" w:hAnsi="Arial" w:cs="Arial"/>
          <w:sz w:val="20"/>
          <w:szCs w:val="20"/>
        </w:rPr>
        <w:t>which</w:t>
      </w:r>
      <w:r w:rsidRPr="00927E47">
        <w:rPr>
          <w:rFonts w:ascii="Arial" w:hAnsi="Arial" w:cs="Arial"/>
          <w:sz w:val="20"/>
          <w:szCs w:val="20"/>
        </w:rPr>
        <w:t xml:space="preserve"> causes productivity restrictions and costs on the industry is </w:t>
      </w:r>
      <w:r w:rsidR="00386FE9" w:rsidRPr="00927E47">
        <w:rPr>
          <w:rFonts w:ascii="Arial" w:hAnsi="Arial" w:cs="Arial"/>
          <w:sz w:val="20"/>
          <w:szCs w:val="20"/>
        </w:rPr>
        <w:t xml:space="preserve">the </w:t>
      </w:r>
      <w:r w:rsidRPr="00927E47">
        <w:rPr>
          <w:rFonts w:ascii="Arial" w:hAnsi="Arial" w:cs="Arial"/>
          <w:sz w:val="20"/>
          <w:szCs w:val="20"/>
        </w:rPr>
        <w:t>lack of access for productive vehicles</w:t>
      </w:r>
      <w:r w:rsidR="00FF6D82" w:rsidRPr="00927E47">
        <w:rPr>
          <w:rFonts w:ascii="Arial" w:hAnsi="Arial" w:cs="Arial"/>
          <w:sz w:val="20"/>
          <w:szCs w:val="20"/>
        </w:rPr>
        <w:t>,</w:t>
      </w:r>
      <w:r w:rsidR="00CA1FF1">
        <w:rPr>
          <w:rFonts w:ascii="Arial" w:hAnsi="Arial" w:cs="Arial"/>
          <w:sz w:val="20"/>
          <w:szCs w:val="20"/>
        </w:rPr>
        <w:t xml:space="preserve"> and for vehicles which</w:t>
      </w:r>
      <w:r w:rsidRPr="00927E47">
        <w:rPr>
          <w:rFonts w:ascii="Arial" w:hAnsi="Arial" w:cs="Arial"/>
          <w:sz w:val="20"/>
          <w:szCs w:val="20"/>
        </w:rPr>
        <w:t xml:space="preserve"> can carry higher mass limits. Allowing these vehicles to access </w:t>
      </w:r>
      <w:r w:rsidR="00CD67E1" w:rsidRPr="00927E47">
        <w:rPr>
          <w:rFonts w:ascii="Arial" w:hAnsi="Arial" w:cs="Arial"/>
          <w:sz w:val="20"/>
          <w:szCs w:val="20"/>
        </w:rPr>
        <w:t>routes</w:t>
      </w:r>
      <w:r w:rsidRPr="00927E47">
        <w:rPr>
          <w:rFonts w:ascii="Arial" w:hAnsi="Arial" w:cs="Arial"/>
          <w:sz w:val="20"/>
          <w:szCs w:val="20"/>
        </w:rPr>
        <w:t xml:space="preserve"> means the </w:t>
      </w:r>
      <w:r w:rsidR="00F66A3C" w:rsidRPr="00927E47">
        <w:rPr>
          <w:rFonts w:ascii="Arial" w:hAnsi="Arial" w:cs="Arial"/>
          <w:sz w:val="20"/>
          <w:szCs w:val="20"/>
        </w:rPr>
        <w:t>freight</w:t>
      </w:r>
      <w:r w:rsidR="00A276DF">
        <w:rPr>
          <w:rFonts w:ascii="Arial" w:hAnsi="Arial" w:cs="Arial"/>
          <w:sz w:val="20"/>
          <w:szCs w:val="20"/>
        </w:rPr>
        <w:t xml:space="preserve"> movements could be undertaken more safely</w:t>
      </w:r>
      <w:r w:rsidR="00F66A3C" w:rsidRPr="00927E47">
        <w:rPr>
          <w:rFonts w:ascii="Arial" w:hAnsi="Arial" w:cs="Arial"/>
          <w:sz w:val="20"/>
          <w:szCs w:val="20"/>
        </w:rPr>
        <w:t xml:space="preserve">, with less road wear and at a cheaper cost for the operator and subsequently businesses. </w:t>
      </w:r>
    </w:p>
    <w:p w:rsidR="00BF6BE2" w:rsidRPr="00927E47" w:rsidRDefault="00BF6BE2" w:rsidP="002E76E8">
      <w:pPr>
        <w:rPr>
          <w:rFonts w:ascii="Arial" w:hAnsi="Arial" w:cs="Arial"/>
          <w:sz w:val="20"/>
          <w:szCs w:val="20"/>
        </w:rPr>
      </w:pPr>
    </w:p>
    <w:p w:rsidR="00E47019" w:rsidRPr="00927E47" w:rsidRDefault="00F66A3C" w:rsidP="002E76E8">
      <w:pPr>
        <w:rPr>
          <w:rFonts w:ascii="Arial" w:hAnsi="Arial" w:cs="Arial"/>
          <w:sz w:val="20"/>
          <w:szCs w:val="20"/>
        </w:rPr>
      </w:pPr>
      <w:r w:rsidRPr="00927E47">
        <w:rPr>
          <w:rFonts w:ascii="Arial" w:hAnsi="Arial" w:cs="Arial"/>
          <w:sz w:val="20"/>
          <w:szCs w:val="20"/>
        </w:rPr>
        <w:t>While higher mass limit</w:t>
      </w:r>
      <w:r w:rsidR="00BF6BE2" w:rsidRPr="00927E47">
        <w:rPr>
          <w:rFonts w:ascii="Arial" w:hAnsi="Arial" w:cs="Arial"/>
          <w:sz w:val="20"/>
          <w:szCs w:val="20"/>
        </w:rPr>
        <w:t>s on road friendly suspension</w:t>
      </w:r>
      <w:r w:rsidR="00C34A8C" w:rsidRPr="00927E47">
        <w:rPr>
          <w:rFonts w:ascii="Arial" w:hAnsi="Arial" w:cs="Arial"/>
          <w:sz w:val="20"/>
          <w:szCs w:val="20"/>
        </w:rPr>
        <w:t xml:space="preserve"> (RFS) </w:t>
      </w:r>
      <w:r w:rsidR="00BF6BE2" w:rsidRPr="00927E47">
        <w:rPr>
          <w:rFonts w:ascii="Arial" w:hAnsi="Arial" w:cs="Arial"/>
          <w:sz w:val="20"/>
          <w:szCs w:val="20"/>
        </w:rPr>
        <w:t xml:space="preserve">for articulated vehicles </w:t>
      </w:r>
      <w:r w:rsidR="00166BB9" w:rsidRPr="00927E47">
        <w:rPr>
          <w:rFonts w:ascii="Arial" w:hAnsi="Arial" w:cs="Arial"/>
          <w:sz w:val="20"/>
          <w:szCs w:val="20"/>
        </w:rPr>
        <w:t>were</w:t>
      </w:r>
      <w:r w:rsidR="00BF6BE2" w:rsidRPr="00927E47">
        <w:rPr>
          <w:rFonts w:ascii="Arial" w:hAnsi="Arial" w:cs="Arial"/>
          <w:sz w:val="20"/>
          <w:szCs w:val="20"/>
        </w:rPr>
        <w:t xml:space="preserve"> </w:t>
      </w:r>
      <w:r w:rsidRPr="00927E47">
        <w:rPr>
          <w:rFonts w:ascii="Arial" w:hAnsi="Arial" w:cs="Arial"/>
          <w:sz w:val="20"/>
          <w:szCs w:val="20"/>
        </w:rPr>
        <w:t xml:space="preserve">endorsed by the Australian Council of Transport in 2000, many </w:t>
      </w:r>
      <w:r w:rsidR="00166BB9" w:rsidRPr="00927E47">
        <w:rPr>
          <w:rFonts w:ascii="Arial" w:hAnsi="Arial" w:cs="Arial"/>
          <w:sz w:val="20"/>
          <w:szCs w:val="20"/>
        </w:rPr>
        <w:t>local g</w:t>
      </w:r>
      <w:r w:rsidR="00BF6BE2" w:rsidRPr="00927E47">
        <w:rPr>
          <w:rFonts w:ascii="Arial" w:hAnsi="Arial" w:cs="Arial"/>
          <w:sz w:val="20"/>
          <w:szCs w:val="20"/>
        </w:rPr>
        <w:t>overnments</w:t>
      </w:r>
      <w:r w:rsidRPr="00927E47">
        <w:rPr>
          <w:rFonts w:ascii="Arial" w:hAnsi="Arial" w:cs="Arial"/>
          <w:sz w:val="20"/>
          <w:szCs w:val="20"/>
        </w:rPr>
        <w:t xml:space="preserve"> have still not agreed to sign up </w:t>
      </w:r>
      <w:r w:rsidR="00166BB9" w:rsidRPr="00927E47">
        <w:rPr>
          <w:rFonts w:ascii="Arial" w:hAnsi="Arial" w:cs="Arial"/>
          <w:sz w:val="20"/>
          <w:szCs w:val="20"/>
        </w:rPr>
        <w:t xml:space="preserve">to </w:t>
      </w:r>
      <w:r w:rsidR="00C34A8C" w:rsidRPr="00927E47">
        <w:rPr>
          <w:rFonts w:ascii="Arial" w:hAnsi="Arial" w:cs="Arial"/>
          <w:sz w:val="20"/>
          <w:szCs w:val="20"/>
        </w:rPr>
        <w:t>this productive</w:t>
      </w:r>
      <w:r w:rsidR="00CA1FF1">
        <w:rPr>
          <w:rFonts w:ascii="Arial" w:hAnsi="Arial" w:cs="Arial"/>
          <w:sz w:val="20"/>
          <w:szCs w:val="20"/>
        </w:rPr>
        <w:t xml:space="preserve"> </w:t>
      </w:r>
      <w:r w:rsidR="000F7D55">
        <w:rPr>
          <w:rFonts w:ascii="Arial" w:hAnsi="Arial" w:cs="Arial"/>
          <w:sz w:val="20"/>
          <w:szCs w:val="20"/>
        </w:rPr>
        <w:t>understanding</w:t>
      </w:r>
      <w:r w:rsidR="00CA1FF1">
        <w:rPr>
          <w:rFonts w:ascii="Arial" w:hAnsi="Arial" w:cs="Arial"/>
          <w:sz w:val="20"/>
          <w:szCs w:val="20"/>
        </w:rPr>
        <w:t xml:space="preserve"> which</w:t>
      </w:r>
      <w:r w:rsidR="00386FE9" w:rsidRPr="00927E47">
        <w:rPr>
          <w:rFonts w:ascii="Arial" w:hAnsi="Arial" w:cs="Arial"/>
          <w:sz w:val="20"/>
          <w:szCs w:val="20"/>
        </w:rPr>
        <w:t xml:space="preserve"> reduces the number</w:t>
      </w:r>
      <w:r w:rsidR="00C34A8C" w:rsidRPr="00927E47">
        <w:rPr>
          <w:rFonts w:ascii="Arial" w:hAnsi="Arial" w:cs="Arial"/>
          <w:sz w:val="20"/>
          <w:szCs w:val="20"/>
        </w:rPr>
        <w:t xml:space="preserve"> of trips</w:t>
      </w:r>
      <w:r w:rsidR="00386FE9" w:rsidRPr="00927E47">
        <w:rPr>
          <w:rFonts w:ascii="Arial" w:hAnsi="Arial" w:cs="Arial"/>
          <w:sz w:val="20"/>
          <w:szCs w:val="20"/>
        </w:rPr>
        <w:t xml:space="preserve"> needed</w:t>
      </w:r>
      <w:r w:rsidR="00C34A8C" w:rsidRPr="00927E47">
        <w:rPr>
          <w:rFonts w:ascii="Arial" w:hAnsi="Arial" w:cs="Arial"/>
          <w:sz w:val="20"/>
          <w:szCs w:val="20"/>
        </w:rPr>
        <w:t xml:space="preserve"> to move freight and allows additional mass for the same amount of road impact. Much of the rejection of RFS</w:t>
      </w:r>
      <w:r w:rsidR="00166BB9" w:rsidRPr="00927E47">
        <w:rPr>
          <w:rFonts w:ascii="Arial" w:hAnsi="Arial" w:cs="Arial"/>
          <w:sz w:val="20"/>
          <w:szCs w:val="20"/>
        </w:rPr>
        <w:t xml:space="preserve"> is due to</w:t>
      </w:r>
      <w:r w:rsidR="00E47019" w:rsidRPr="00927E47">
        <w:rPr>
          <w:rFonts w:ascii="Arial" w:hAnsi="Arial" w:cs="Arial"/>
          <w:sz w:val="20"/>
          <w:szCs w:val="20"/>
        </w:rPr>
        <w:t xml:space="preserve"> misconceptions</w:t>
      </w:r>
      <w:r w:rsidR="00166BB9" w:rsidRPr="00927E47">
        <w:rPr>
          <w:rFonts w:ascii="Arial" w:hAnsi="Arial" w:cs="Arial"/>
          <w:sz w:val="20"/>
          <w:szCs w:val="20"/>
        </w:rPr>
        <w:t xml:space="preserve"> about the impact of high productivity vehicles. </w:t>
      </w:r>
    </w:p>
    <w:p w:rsidR="00E47019" w:rsidRPr="00927E47" w:rsidRDefault="00E47019" w:rsidP="002E76E8">
      <w:pPr>
        <w:rPr>
          <w:rFonts w:ascii="Arial" w:hAnsi="Arial" w:cs="Arial"/>
          <w:sz w:val="20"/>
          <w:szCs w:val="20"/>
        </w:rPr>
      </w:pPr>
    </w:p>
    <w:p w:rsidR="00A276DF" w:rsidRDefault="00865E5E" w:rsidP="002E76E8">
      <w:pPr>
        <w:rPr>
          <w:rFonts w:ascii="Arial" w:hAnsi="Arial" w:cs="Arial"/>
          <w:sz w:val="20"/>
          <w:szCs w:val="20"/>
        </w:rPr>
      </w:pPr>
      <w:r w:rsidRPr="00927E47">
        <w:rPr>
          <w:rFonts w:ascii="Arial" w:hAnsi="Arial" w:cs="Arial"/>
          <w:sz w:val="20"/>
          <w:szCs w:val="20"/>
        </w:rPr>
        <w:t>In two states many</w:t>
      </w:r>
      <w:r w:rsidR="00CA1FF1">
        <w:rPr>
          <w:rFonts w:ascii="Arial" w:hAnsi="Arial" w:cs="Arial"/>
          <w:sz w:val="20"/>
          <w:szCs w:val="20"/>
        </w:rPr>
        <w:t xml:space="preserve"> of the routes which</w:t>
      </w:r>
      <w:r w:rsidR="00E47019" w:rsidRPr="00927E47">
        <w:rPr>
          <w:rFonts w:ascii="Arial" w:hAnsi="Arial" w:cs="Arial"/>
          <w:sz w:val="20"/>
          <w:szCs w:val="20"/>
        </w:rPr>
        <w:t xml:space="preserve"> allow for access also come with other expensive </w:t>
      </w:r>
      <w:r w:rsidR="004B3CEE" w:rsidRPr="00927E47">
        <w:rPr>
          <w:rFonts w:ascii="Arial" w:hAnsi="Arial" w:cs="Arial"/>
          <w:sz w:val="20"/>
          <w:szCs w:val="20"/>
        </w:rPr>
        <w:t>obligation</w:t>
      </w:r>
      <w:r w:rsidR="0074459A" w:rsidRPr="00927E47">
        <w:rPr>
          <w:rFonts w:ascii="Arial" w:hAnsi="Arial" w:cs="Arial"/>
          <w:sz w:val="20"/>
          <w:szCs w:val="20"/>
        </w:rPr>
        <w:t>s</w:t>
      </w:r>
      <w:r w:rsidR="004B3CEE" w:rsidRPr="00927E47">
        <w:rPr>
          <w:rFonts w:ascii="Arial" w:hAnsi="Arial" w:cs="Arial"/>
          <w:sz w:val="20"/>
          <w:szCs w:val="20"/>
        </w:rPr>
        <w:t xml:space="preserve"> </w:t>
      </w:r>
      <w:r w:rsidR="00CA1FF1">
        <w:rPr>
          <w:rFonts w:ascii="Arial" w:hAnsi="Arial" w:cs="Arial"/>
          <w:sz w:val="20"/>
          <w:szCs w:val="20"/>
        </w:rPr>
        <w:t>which</w:t>
      </w:r>
      <w:r w:rsidR="00E47019" w:rsidRPr="00927E47">
        <w:rPr>
          <w:rFonts w:ascii="Arial" w:hAnsi="Arial" w:cs="Arial"/>
          <w:sz w:val="20"/>
          <w:szCs w:val="20"/>
        </w:rPr>
        <w:t xml:space="preserve"> cause another barrier to the viability of </w:t>
      </w:r>
      <w:r w:rsidR="000F7D55">
        <w:rPr>
          <w:rFonts w:ascii="Arial" w:hAnsi="Arial" w:cs="Arial"/>
          <w:sz w:val="20"/>
          <w:szCs w:val="20"/>
        </w:rPr>
        <w:t>using</w:t>
      </w:r>
      <w:r w:rsidR="00ED1DB0" w:rsidRPr="00927E47">
        <w:rPr>
          <w:rFonts w:ascii="Arial" w:hAnsi="Arial" w:cs="Arial"/>
          <w:sz w:val="20"/>
          <w:szCs w:val="20"/>
        </w:rPr>
        <w:t xml:space="preserve"> higher mass </w:t>
      </w:r>
      <w:r w:rsidR="000C2417" w:rsidRPr="00927E47">
        <w:rPr>
          <w:rFonts w:ascii="Arial" w:hAnsi="Arial" w:cs="Arial"/>
          <w:sz w:val="20"/>
          <w:szCs w:val="20"/>
        </w:rPr>
        <w:t>limits. The</w:t>
      </w:r>
      <w:r w:rsidR="00E47019" w:rsidRPr="00927E47">
        <w:rPr>
          <w:rFonts w:ascii="Arial" w:hAnsi="Arial" w:cs="Arial"/>
          <w:sz w:val="20"/>
          <w:szCs w:val="20"/>
        </w:rPr>
        <w:t xml:space="preserve"> </w:t>
      </w:r>
      <w:r w:rsidR="000F7D55">
        <w:rPr>
          <w:rFonts w:ascii="Arial" w:hAnsi="Arial" w:cs="Arial"/>
          <w:sz w:val="20"/>
          <w:szCs w:val="20"/>
        </w:rPr>
        <w:t>Intelligence Access P</w:t>
      </w:r>
      <w:r w:rsidR="00CA1FF1">
        <w:rPr>
          <w:rFonts w:ascii="Arial" w:hAnsi="Arial" w:cs="Arial"/>
          <w:sz w:val="20"/>
          <w:szCs w:val="20"/>
        </w:rPr>
        <w:t>rogram</w:t>
      </w:r>
      <w:r w:rsidR="004B3CEE" w:rsidRPr="00927E47">
        <w:rPr>
          <w:rFonts w:ascii="Arial" w:hAnsi="Arial" w:cs="Arial"/>
          <w:sz w:val="20"/>
          <w:szCs w:val="20"/>
        </w:rPr>
        <w:t xml:space="preserve"> (IAP)</w:t>
      </w:r>
      <w:r w:rsidR="002A7919" w:rsidRPr="00927E47">
        <w:rPr>
          <w:rFonts w:ascii="Arial" w:hAnsi="Arial" w:cs="Arial"/>
          <w:sz w:val="20"/>
          <w:szCs w:val="20"/>
        </w:rPr>
        <w:t xml:space="preserve"> </w:t>
      </w:r>
      <w:r w:rsidR="000C2417" w:rsidRPr="00927E47">
        <w:rPr>
          <w:rFonts w:ascii="Arial" w:hAnsi="Arial" w:cs="Arial"/>
          <w:sz w:val="20"/>
          <w:szCs w:val="20"/>
        </w:rPr>
        <w:t>involves</w:t>
      </w:r>
      <w:r w:rsidR="00E47019" w:rsidRPr="00927E47">
        <w:rPr>
          <w:rFonts w:ascii="Arial" w:hAnsi="Arial" w:cs="Arial"/>
          <w:sz w:val="20"/>
          <w:szCs w:val="20"/>
        </w:rPr>
        <w:t xml:space="preserve"> government monitored GPS device</w:t>
      </w:r>
      <w:r w:rsidR="002A7919" w:rsidRPr="00927E47">
        <w:rPr>
          <w:rFonts w:ascii="Arial" w:hAnsi="Arial" w:cs="Arial"/>
          <w:sz w:val="20"/>
          <w:szCs w:val="20"/>
        </w:rPr>
        <w:t>s</w:t>
      </w:r>
      <w:r w:rsidR="00CA1FF1">
        <w:rPr>
          <w:rFonts w:ascii="Arial" w:hAnsi="Arial" w:cs="Arial"/>
          <w:sz w:val="20"/>
          <w:szCs w:val="20"/>
        </w:rPr>
        <w:t xml:space="preserve"> which</w:t>
      </w:r>
      <w:r w:rsidR="00E47019" w:rsidRPr="00927E47">
        <w:rPr>
          <w:rFonts w:ascii="Arial" w:hAnsi="Arial" w:cs="Arial"/>
          <w:sz w:val="20"/>
          <w:szCs w:val="20"/>
        </w:rPr>
        <w:t xml:space="preserve"> </w:t>
      </w:r>
      <w:r w:rsidR="004C2EB3" w:rsidRPr="00927E47">
        <w:rPr>
          <w:rFonts w:ascii="Arial" w:hAnsi="Arial" w:cs="Arial"/>
          <w:sz w:val="20"/>
          <w:szCs w:val="20"/>
        </w:rPr>
        <w:t>track</w:t>
      </w:r>
      <w:r w:rsidR="00E47019" w:rsidRPr="00927E47">
        <w:rPr>
          <w:rFonts w:ascii="Arial" w:hAnsi="Arial" w:cs="Arial"/>
          <w:sz w:val="20"/>
          <w:szCs w:val="20"/>
        </w:rPr>
        <w:t xml:space="preserve"> the movement of </w:t>
      </w:r>
      <w:r w:rsidR="003E022B" w:rsidRPr="00927E47">
        <w:rPr>
          <w:rFonts w:ascii="Arial" w:hAnsi="Arial" w:cs="Arial"/>
          <w:sz w:val="20"/>
          <w:szCs w:val="20"/>
        </w:rPr>
        <w:t>heavy vehicle</w:t>
      </w:r>
      <w:r w:rsidR="004C2EB3" w:rsidRPr="00927E47">
        <w:rPr>
          <w:rFonts w:ascii="Arial" w:hAnsi="Arial" w:cs="Arial"/>
          <w:sz w:val="20"/>
          <w:szCs w:val="20"/>
        </w:rPr>
        <w:t>s. This is an expensive scheme which i</w:t>
      </w:r>
      <w:r w:rsidR="003E022B" w:rsidRPr="00927E47">
        <w:rPr>
          <w:rFonts w:ascii="Arial" w:hAnsi="Arial" w:cs="Arial"/>
          <w:sz w:val="20"/>
          <w:szCs w:val="20"/>
        </w:rPr>
        <w:t>s said to be voluntarily</w:t>
      </w:r>
      <w:r w:rsidR="000C2417" w:rsidRPr="00927E47">
        <w:rPr>
          <w:rFonts w:ascii="Arial" w:hAnsi="Arial" w:cs="Arial"/>
          <w:sz w:val="20"/>
          <w:szCs w:val="20"/>
        </w:rPr>
        <w:t>,</w:t>
      </w:r>
      <w:r w:rsidR="00CA1FF1">
        <w:rPr>
          <w:rFonts w:ascii="Arial" w:hAnsi="Arial" w:cs="Arial"/>
          <w:sz w:val="20"/>
          <w:szCs w:val="20"/>
        </w:rPr>
        <w:t xml:space="preserve"> but if operators</w:t>
      </w:r>
      <w:r w:rsidR="003E022B" w:rsidRPr="00927E47">
        <w:rPr>
          <w:rFonts w:ascii="Arial" w:hAnsi="Arial" w:cs="Arial"/>
          <w:sz w:val="20"/>
          <w:szCs w:val="20"/>
        </w:rPr>
        <w:t xml:space="preserve"> want to access</w:t>
      </w:r>
      <w:r w:rsidR="002A7919" w:rsidRPr="00927E47">
        <w:rPr>
          <w:rFonts w:ascii="Arial" w:hAnsi="Arial" w:cs="Arial"/>
          <w:sz w:val="20"/>
          <w:szCs w:val="20"/>
        </w:rPr>
        <w:t xml:space="preserve"> areas where</w:t>
      </w:r>
      <w:r w:rsidR="000F7D55">
        <w:rPr>
          <w:rFonts w:ascii="Arial" w:hAnsi="Arial" w:cs="Arial"/>
          <w:sz w:val="20"/>
          <w:szCs w:val="20"/>
        </w:rPr>
        <w:t xml:space="preserve"> IAP has been </w:t>
      </w:r>
      <w:r w:rsidR="001D64E3" w:rsidRPr="00927E47">
        <w:rPr>
          <w:rFonts w:ascii="Arial" w:hAnsi="Arial" w:cs="Arial"/>
          <w:sz w:val="20"/>
          <w:szCs w:val="20"/>
        </w:rPr>
        <w:t>specified you</w:t>
      </w:r>
      <w:r w:rsidR="003E022B" w:rsidRPr="00927E47">
        <w:rPr>
          <w:rFonts w:ascii="Arial" w:hAnsi="Arial" w:cs="Arial"/>
          <w:sz w:val="20"/>
          <w:szCs w:val="20"/>
        </w:rPr>
        <w:t xml:space="preserve"> must have IAP fitted to </w:t>
      </w:r>
      <w:r w:rsidR="004B3CEE" w:rsidRPr="00927E47">
        <w:rPr>
          <w:rFonts w:ascii="Arial" w:hAnsi="Arial" w:cs="Arial"/>
          <w:sz w:val="20"/>
          <w:szCs w:val="20"/>
        </w:rPr>
        <w:t xml:space="preserve">your </w:t>
      </w:r>
      <w:r w:rsidR="003E022B" w:rsidRPr="00927E47">
        <w:rPr>
          <w:rFonts w:ascii="Arial" w:hAnsi="Arial" w:cs="Arial"/>
          <w:sz w:val="20"/>
          <w:szCs w:val="20"/>
        </w:rPr>
        <w:t>vehicles</w:t>
      </w:r>
      <w:r w:rsidR="000C2417" w:rsidRPr="00927E47">
        <w:rPr>
          <w:rFonts w:ascii="Arial" w:hAnsi="Arial" w:cs="Arial"/>
          <w:sz w:val="20"/>
          <w:szCs w:val="20"/>
        </w:rPr>
        <w:t>.</w:t>
      </w:r>
      <w:r w:rsidR="003E022B" w:rsidRPr="00927E47">
        <w:rPr>
          <w:rFonts w:ascii="Arial" w:hAnsi="Arial" w:cs="Arial"/>
          <w:sz w:val="20"/>
          <w:szCs w:val="20"/>
        </w:rPr>
        <w:t xml:space="preserve"> </w:t>
      </w:r>
      <w:r w:rsidR="001D64E3" w:rsidRPr="00927E47">
        <w:rPr>
          <w:rFonts w:ascii="Arial" w:hAnsi="Arial" w:cs="Arial"/>
          <w:sz w:val="20"/>
          <w:szCs w:val="20"/>
        </w:rPr>
        <w:t>IAP has been inappropriately applied to low risk situations</w:t>
      </w:r>
      <w:r w:rsidR="0074459A" w:rsidRPr="00927E47">
        <w:rPr>
          <w:rFonts w:ascii="Arial" w:hAnsi="Arial" w:cs="Arial"/>
          <w:sz w:val="20"/>
          <w:szCs w:val="20"/>
        </w:rPr>
        <w:t>,</w:t>
      </w:r>
      <w:r w:rsidR="001D64E3" w:rsidRPr="00927E47">
        <w:rPr>
          <w:rFonts w:ascii="Arial" w:hAnsi="Arial" w:cs="Arial"/>
          <w:sz w:val="20"/>
          <w:szCs w:val="20"/>
        </w:rPr>
        <w:t xml:space="preserve"> building significant industry objection. Generally</w:t>
      </w:r>
      <w:r w:rsidR="000F7D55">
        <w:rPr>
          <w:rFonts w:ascii="Arial" w:hAnsi="Arial" w:cs="Arial"/>
          <w:sz w:val="20"/>
          <w:szCs w:val="20"/>
        </w:rPr>
        <w:t>,</w:t>
      </w:r>
      <w:r w:rsidR="001D64E3" w:rsidRPr="00927E47">
        <w:rPr>
          <w:rFonts w:ascii="Arial" w:hAnsi="Arial" w:cs="Arial"/>
          <w:sz w:val="20"/>
          <w:szCs w:val="20"/>
        </w:rPr>
        <w:t xml:space="preserve"> the industry has rejected IAP as a costly impost that is of limited value. Take up rates are very low.</w:t>
      </w:r>
    </w:p>
    <w:p w:rsidR="007A3E56" w:rsidRPr="00927E47" w:rsidRDefault="007A3E56" w:rsidP="002E76E8">
      <w:pPr>
        <w:rPr>
          <w:rFonts w:ascii="Arial" w:hAnsi="Arial" w:cs="Arial"/>
          <w:sz w:val="20"/>
          <w:szCs w:val="20"/>
        </w:rPr>
      </w:pPr>
    </w:p>
    <w:p w:rsidR="007A3E56" w:rsidRPr="00927E47" w:rsidRDefault="007A3E56" w:rsidP="002E76E8">
      <w:pPr>
        <w:rPr>
          <w:rFonts w:ascii="Arial" w:hAnsi="Arial" w:cs="Arial"/>
          <w:sz w:val="20"/>
          <w:szCs w:val="20"/>
        </w:rPr>
      </w:pPr>
      <w:r w:rsidRPr="00927E47">
        <w:rPr>
          <w:rFonts w:ascii="Arial" w:hAnsi="Arial" w:cs="Arial"/>
          <w:sz w:val="20"/>
          <w:szCs w:val="20"/>
        </w:rPr>
        <w:t xml:space="preserve">Along with restrictions </w:t>
      </w:r>
      <w:r w:rsidR="001D64E3" w:rsidRPr="00927E47">
        <w:rPr>
          <w:rFonts w:ascii="Arial" w:hAnsi="Arial" w:cs="Arial"/>
          <w:sz w:val="20"/>
          <w:szCs w:val="20"/>
        </w:rPr>
        <w:t>on</w:t>
      </w:r>
      <w:r w:rsidRPr="00927E47">
        <w:rPr>
          <w:rFonts w:ascii="Arial" w:hAnsi="Arial" w:cs="Arial"/>
          <w:sz w:val="20"/>
          <w:szCs w:val="20"/>
        </w:rPr>
        <w:t xml:space="preserve"> higher </w:t>
      </w:r>
      <w:r w:rsidR="00CA1FF1">
        <w:rPr>
          <w:rFonts w:ascii="Arial" w:hAnsi="Arial" w:cs="Arial"/>
          <w:sz w:val="20"/>
          <w:szCs w:val="20"/>
        </w:rPr>
        <w:t xml:space="preserve">mass limits operators find </w:t>
      </w:r>
      <w:r w:rsidRPr="00927E47">
        <w:rPr>
          <w:rFonts w:ascii="Arial" w:hAnsi="Arial" w:cs="Arial"/>
          <w:sz w:val="20"/>
          <w:szCs w:val="20"/>
        </w:rPr>
        <w:t xml:space="preserve">‘first and last mile’ </w:t>
      </w:r>
      <w:r w:rsidR="001D64E3" w:rsidRPr="00927E47">
        <w:rPr>
          <w:rFonts w:ascii="Arial" w:hAnsi="Arial" w:cs="Arial"/>
          <w:sz w:val="20"/>
          <w:szCs w:val="20"/>
        </w:rPr>
        <w:t xml:space="preserve">access </w:t>
      </w:r>
      <w:r w:rsidR="0074459A" w:rsidRPr="00927E47">
        <w:rPr>
          <w:rFonts w:ascii="Arial" w:hAnsi="Arial" w:cs="Arial"/>
          <w:sz w:val="20"/>
          <w:szCs w:val="20"/>
        </w:rPr>
        <w:t>problems also</w:t>
      </w:r>
      <w:r w:rsidRPr="00927E47">
        <w:rPr>
          <w:rFonts w:ascii="Arial" w:hAnsi="Arial" w:cs="Arial"/>
          <w:sz w:val="20"/>
          <w:szCs w:val="20"/>
        </w:rPr>
        <w:t xml:space="preserve"> </w:t>
      </w:r>
      <w:r w:rsidR="000C2417" w:rsidRPr="00927E47">
        <w:rPr>
          <w:rFonts w:ascii="Arial" w:hAnsi="Arial" w:cs="Arial"/>
          <w:sz w:val="20"/>
          <w:szCs w:val="20"/>
        </w:rPr>
        <w:t>impose</w:t>
      </w:r>
      <w:r w:rsidRPr="00927E47">
        <w:rPr>
          <w:rFonts w:ascii="Arial" w:hAnsi="Arial" w:cs="Arial"/>
          <w:sz w:val="20"/>
          <w:szCs w:val="20"/>
        </w:rPr>
        <w:t xml:space="preserve"> additional costs on businesses. Often larger heavy vehicle combinations have to de-couple in order to pass into </w:t>
      </w:r>
      <w:r w:rsidR="006104D6" w:rsidRPr="00927E47">
        <w:rPr>
          <w:rFonts w:ascii="Arial" w:hAnsi="Arial" w:cs="Arial"/>
          <w:sz w:val="20"/>
          <w:szCs w:val="20"/>
        </w:rPr>
        <w:t>local government areas</w:t>
      </w:r>
      <w:r w:rsidRPr="00927E47">
        <w:rPr>
          <w:rFonts w:ascii="Arial" w:hAnsi="Arial" w:cs="Arial"/>
          <w:sz w:val="20"/>
          <w:szCs w:val="20"/>
        </w:rPr>
        <w:t xml:space="preserve"> in order to reach a destination</w:t>
      </w:r>
      <w:r w:rsidR="0074459A" w:rsidRPr="00927E47">
        <w:rPr>
          <w:rFonts w:ascii="Arial" w:hAnsi="Arial" w:cs="Arial"/>
          <w:sz w:val="20"/>
          <w:szCs w:val="20"/>
        </w:rPr>
        <w:t>,</w:t>
      </w:r>
      <w:r w:rsidR="002A7919" w:rsidRPr="00927E47">
        <w:rPr>
          <w:rFonts w:ascii="Arial" w:hAnsi="Arial" w:cs="Arial"/>
          <w:sz w:val="20"/>
          <w:szCs w:val="20"/>
        </w:rPr>
        <w:t xml:space="preserve"> or when coming away from</w:t>
      </w:r>
      <w:r w:rsidRPr="00927E47">
        <w:rPr>
          <w:rFonts w:ascii="Arial" w:hAnsi="Arial" w:cs="Arial"/>
          <w:sz w:val="20"/>
          <w:szCs w:val="20"/>
        </w:rPr>
        <w:t xml:space="preserve"> </w:t>
      </w:r>
      <w:r w:rsidR="002A7919" w:rsidRPr="00927E47">
        <w:rPr>
          <w:rFonts w:ascii="Arial" w:hAnsi="Arial" w:cs="Arial"/>
          <w:sz w:val="20"/>
          <w:szCs w:val="20"/>
        </w:rPr>
        <w:t xml:space="preserve">an </w:t>
      </w:r>
      <w:r w:rsidRPr="00927E47">
        <w:rPr>
          <w:rFonts w:ascii="Arial" w:hAnsi="Arial" w:cs="Arial"/>
          <w:sz w:val="20"/>
          <w:szCs w:val="20"/>
        </w:rPr>
        <w:t>origin. First and last mile constraints interfere with the fr</w:t>
      </w:r>
      <w:r w:rsidR="00CA1FF1">
        <w:rPr>
          <w:rFonts w:ascii="Arial" w:hAnsi="Arial" w:cs="Arial"/>
          <w:sz w:val="20"/>
          <w:szCs w:val="20"/>
        </w:rPr>
        <w:t xml:space="preserve">eight task, as it can mean </w:t>
      </w:r>
      <w:r w:rsidRPr="00927E47">
        <w:rPr>
          <w:rFonts w:ascii="Arial" w:hAnsi="Arial" w:cs="Arial"/>
          <w:sz w:val="20"/>
          <w:szCs w:val="20"/>
        </w:rPr>
        <w:t>operators have no option but to use less produc</w:t>
      </w:r>
      <w:r w:rsidR="001D64E3" w:rsidRPr="00927E47">
        <w:rPr>
          <w:rFonts w:ascii="Arial" w:hAnsi="Arial" w:cs="Arial"/>
          <w:sz w:val="20"/>
          <w:szCs w:val="20"/>
        </w:rPr>
        <w:t>tive heavy vehicle combinations</w:t>
      </w:r>
      <w:r w:rsidRPr="00927E47">
        <w:rPr>
          <w:rFonts w:ascii="Arial" w:hAnsi="Arial" w:cs="Arial"/>
          <w:sz w:val="20"/>
          <w:szCs w:val="20"/>
        </w:rPr>
        <w:t xml:space="preserve"> </w:t>
      </w:r>
      <w:r w:rsidR="001D64E3" w:rsidRPr="00927E47">
        <w:rPr>
          <w:rFonts w:ascii="Arial" w:hAnsi="Arial" w:cs="Arial"/>
          <w:sz w:val="20"/>
          <w:szCs w:val="20"/>
        </w:rPr>
        <w:t>for the whole journey. In other cases t</w:t>
      </w:r>
      <w:r w:rsidRPr="00927E47">
        <w:rPr>
          <w:rFonts w:ascii="Arial" w:hAnsi="Arial" w:cs="Arial"/>
          <w:sz w:val="20"/>
          <w:szCs w:val="20"/>
        </w:rPr>
        <w:t>ime and money are wasted while operators have to de-couple at designated depots in ord</w:t>
      </w:r>
      <w:r w:rsidR="00170FC2" w:rsidRPr="00927E47">
        <w:rPr>
          <w:rFonts w:ascii="Arial" w:hAnsi="Arial" w:cs="Arial"/>
          <w:sz w:val="20"/>
          <w:szCs w:val="20"/>
        </w:rPr>
        <w:t xml:space="preserve">er to meet the </w:t>
      </w:r>
      <w:r w:rsidR="0074459A" w:rsidRPr="00927E47">
        <w:rPr>
          <w:rFonts w:ascii="Arial" w:hAnsi="Arial" w:cs="Arial"/>
          <w:sz w:val="20"/>
          <w:szCs w:val="20"/>
        </w:rPr>
        <w:t>requirements</w:t>
      </w:r>
      <w:r w:rsidR="00170FC2" w:rsidRPr="00927E47">
        <w:rPr>
          <w:rFonts w:ascii="Arial" w:hAnsi="Arial" w:cs="Arial"/>
          <w:sz w:val="20"/>
          <w:szCs w:val="20"/>
        </w:rPr>
        <w:t xml:space="preserve"> set b</w:t>
      </w:r>
      <w:r w:rsidRPr="00927E47">
        <w:rPr>
          <w:rFonts w:ascii="Arial" w:hAnsi="Arial" w:cs="Arial"/>
          <w:sz w:val="20"/>
          <w:szCs w:val="20"/>
        </w:rPr>
        <w:t xml:space="preserve">y local governments. </w:t>
      </w:r>
    </w:p>
    <w:p w:rsidR="007A3E56" w:rsidRPr="00927E47" w:rsidRDefault="007A3E56" w:rsidP="002E76E8">
      <w:pPr>
        <w:rPr>
          <w:rFonts w:ascii="Arial" w:hAnsi="Arial" w:cs="Arial"/>
          <w:sz w:val="20"/>
          <w:szCs w:val="20"/>
        </w:rPr>
      </w:pPr>
    </w:p>
    <w:p w:rsidR="007A3E56" w:rsidRPr="00927E47" w:rsidRDefault="000F7D55" w:rsidP="002E76E8">
      <w:pPr>
        <w:rPr>
          <w:rFonts w:ascii="Arial" w:hAnsi="Arial" w:cs="Arial"/>
          <w:sz w:val="20"/>
          <w:szCs w:val="20"/>
        </w:rPr>
      </w:pPr>
      <w:r>
        <w:rPr>
          <w:rFonts w:ascii="Arial" w:hAnsi="Arial" w:cs="Arial"/>
          <w:sz w:val="20"/>
          <w:szCs w:val="20"/>
        </w:rPr>
        <w:t>It</w:t>
      </w:r>
      <w:r w:rsidR="00CA1FF1">
        <w:rPr>
          <w:rFonts w:ascii="Arial" w:hAnsi="Arial" w:cs="Arial"/>
          <w:sz w:val="20"/>
          <w:szCs w:val="20"/>
        </w:rPr>
        <w:t xml:space="preserve"> makes </w:t>
      </w:r>
      <w:r>
        <w:rPr>
          <w:rFonts w:ascii="Arial" w:hAnsi="Arial" w:cs="Arial"/>
          <w:sz w:val="20"/>
          <w:szCs w:val="20"/>
        </w:rPr>
        <w:t>sense that</w:t>
      </w:r>
      <w:r w:rsidR="007A3E56" w:rsidRPr="00927E47">
        <w:rPr>
          <w:rFonts w:ascii="Arial" w:hAnsi="Arial" w:cs="Arial"/>
          <w:sz w:val="20"/>
          <w:szCs w:val="20"/>
        </w:rPr>
        <w:t xml:space="preserve"> road trains</w:t>
      </w:r>
      <w:r w:rsidR="000C2417" w:rsidRPr="00927E47">
        <w:rPr>
          <w:rFonts w:ascii="Arial" w:hAnsi="Arial" w:cs="Arial"/>
          <w:sz w:val="20"/>
          <w:szCs w:val="20"/>
        </w:rPr>
        <w:t xml:space="preserve"> and other high produc</w:t>
      </w:r>
      <w:r w:rsidR="00CA1FF1">
        <w:rPr>
          <w:rFonts w:ascii="Arial" w:hAnsi="Arial" w:cs="Arial"/>
          <w:sz w:val="20"/>
          <w:szCs w:val="20"/>
        </w:rPr>
        <w:t xml:space="preserve">tivity vehicles should not </w:t>
      </w:r>
      <w:r>
        <w:rPr>
          <w:rFonts w:ascii="Arial" w:hAnsi="Arial" w:cs="Arial"/>
          <w:sz w:val="20"/>
          <w:szCs w:val="20"/>
        </w:rPr>
        <w:t xml:space="preserve">use quiet </w:t>
      </w:r>
      <w:r w:rsidR="009D2392">
        <w:rPr>
          <w:rFonts w:ascii="Arial" w:hAnsi="Arial" w:cs="Arial"/>
          <w:sz w:val="20"/>
          <w:szCs w:val="20"/>
        </w:rPr>
        <w:t>urban streets</w:t>
      </w:r>
      <w:r w:rsidR="000C2417" w:rsidRPr="00927E47">
        <w:rPr>
          <w:rFonts w:ascii="Arial" w:hAnsi="Arial" w:cs="Arial"/>
          <w:sz w:val="20"/>
          <w:szCs w:val="20"/>
        </w:rPr>
        <w:t xml:space="preserve">. </w:t>
      </w:r>
      <w:r w:rsidR="007A3E56" w:rsidRPr="00927E47">
        <w:rPr>
          <w:rFonts w:ascii="Arial" w:hAnsi="Arial" w:cs="Arial"/>
          <w:sz w:val="20"/>
          <w:szCs w:val="20"/>
        </w:rPr>
        <w:t xml:space="preserve">B-doubles should be allowed to </w:t>
      </w:r>
      <w:r w:rsidR="009D2392">
        <w:rPr>
          <w:rFonts w:ascii="Arial" w:hAnsi="Arial" w:cs="Arial"/>
          <w:sz w:val="20"/>
          <w:szCs w:val="20"/>
        </w:rPr>
        <w:t>access</w:t>
      </w:r>
      <w:r w:rsidR="007A3E56" w:rsidRPr="00927E47">
        <w:rPr>
          <w:rFonts w:ascii="Arial" w:hAnsi="Arial" w:cs="Arial"/>
          <w:sz w:val="20"/>
          <w:szCs w:val="20"/>
        </w:rPr>
        <w:t xml:space="preserve"> many </w:t>
      </w:r>
      <w:r w:rsidR="006104D6" w:rsidRPr="00927E47">
        <w:rPr>
          <w:rFonts w:ascii="Arial" w:hAnsi="Arial" w:cs="Arial"/>
          <w:sz w:val="20"/>
          <w:szCs w:val="20"/>
        </w:rPr>
        <w:t>local government roads</w:t>
      </w:r>
      <w:r w:rsidR="009D2392">
        <w:rPr>
          <w:rFonts w:ascii="Arial" w:hAnsi="Arial" w:cs="Arial"/>
          <w:sz w:val="20"/>
          <w:szCs w:val="20"/>
        </w:rPr>
        <w:t xml:space="preserve"> to access pick up and drop off points</w:t>
      </w:r>
      <w:r w:rsidR="0074459A" w:rsidRPr="00927E47">
        <w:rPr>
          <w:rFonts w:ascii="Arial" w:hAnsi="Arial" w:cs="Arial"/>
          <w:sz w:val="20"/>
          <w:szCs w:val="20"/>
        </w:rPr>
        <w:t>,</w:t>
      </w:r>
      <w:r w:rsidR="007A3E56" w:rsidRPr="00927E47">
        <w:rPr>
          <w:rFonts w:ascii="Arial" w:hAnsi="Arial" w:cs="Arial"/>
          <w:sz w:val="20"/>
          <w:szCs w:val="20"/>
        </w:rPr>
        <w:t xml:space="preserve"> as they are safe and handle well on the road. Last mile permits have been abused by </w:t>
      </w:r>
      <w:r w:rsidR="0074459A" w:rsidRPr="00927E47">
        <w:rPr>
          <w:rFonts w:ascii="Arial" w:hAnsi="Arial" w:cs="Arial"/>
          <w:sz w:val="20"/>
          <w:szCs w:val="20"/>
        </w:rPr>
        <w:t>l</w:t>
      </w:r>
      <w:r w:rsidR="006104D6" w:rsidRPr="00927E47">
        <w:rPr>
          <w:rFonts w:ascii="Arial" w:hAnsi="Arial" w:cs="Arial"/>
          <w:sz w:val="20"/>
          <w:szCs w:val="20"/>
        </w:rPr>
        <w:t>ocal government</w:t>
      </w:r>
      <w:r w:rsidR="000C2417" w:rsidRPr="00927E47">
        <w:rPr>
          <w:rFonts w:ascii="Arial" w:hAnsi="Arial" w:cs="Arial"/>
          <w:sz w:val="20"/>
          <w:szCs w:val="20"/>
        </w:rPr>
        <w:t>s</w:t>
      </w:r>
      <w:r w:rsidR="006104D6" w:rsidRPr="00927E47">
        <w:rPr>
          <w:rFonts w:ascii="Arial" w:hAnsi="Arial" w:cs="Arial"/>
          <w:sz w:val="20"/>
          <w:szCs w:val="20"/>
        </w:rPr>
        <w:t xml:space="preserve"> to</w:t>
      </w:r>
      <w:r w:rsidR="009D2392">
        <w:rPr>
          <w:rFonts w:ascii="Arial" w:hAnsi="Arial" w:cs="Arial"/>
          <w:sz w:val="20"/>
          <w:szCs w:val="20"/>
        </w:rPr>
        <w:t xml:space="preserve"> prevent access to</w:t>
      </w:r>
      <w:r w:rsidR="007A3E56" w:rsidRPr="00927E47">
        <w:rPr>
          <w:rFonts w:ascii="Arial" w:hAnsi="Arial" w:cs="Arial"/>
          <w:sz w:val="20"/>
          <w:szCs w:val="20"/>
        </w:rPr>
        <w:t xml:space="preserve"> larger heavy vehicles full stop. Allowing access for </w:t>
      </w:r>
      <w:r w:rsidR="00F124CD" w:rsidRPr="00927E47">
        <w:rPr>
          <w:rFonts w:ascii="Arial" w:hAnsi="Arial" w:cs="Arial"/>
          <w:sz w:val="20"/>
          <w:szCs w:val="20"/>
        </w:rPr>
        <w:t xml:space="preserve">high productivity </w:t>
      </w:r>
      <w:r w:rsidR="007A3E56" w:rsidRPr="00927E47">
        <w:rPr>
          <w:rFonts w:ascii="Arial" w:hAnsi="Arial" w:cs="Arial"/>
          <w:sz w:val="20"/>
          <w:szCs w:val="20"/>
        </w:rPr>
        <w:t>vehicles</w:t>
      </w:r>
      <w:r w:rsidR="0074459A" w:rsidRPr="00927E47">
        <w:rPr>
          <w:rFonts w:ascii="Arial" w:hAnsi="Arial" w:cs="Arial"/>
          <w:sz w:val="20"/>
          <w:szCs w:val="20"/>
        </w:rPr>
        <w:t xml:space="preserve"> to operate on</w:t>
      </w:r>
      <w:r w:rsidR="009D2392">
        <w:rPr>
          <w:rFonts w:ascii="Arial" w:hAnsi="Arial" w:cs="Arial"/>
          <w:sz w:val="20"/>
          <w:szCs w:val="20"/>
        </w:rPr>
        <w:t xml:space="preserve"> these</w:t>
      </w:r>
      <w:r w:rsidR="0074459A" w:rsidRPr="00927E47">
        <w:rPr>
          <w:rFonts w:ascii="Arial" w:hAnsi="Arial" w:cs="Arial"/>
          <w:sz w:val="20"/>
          <w:szCs w:val="20"/>
        </w:rPr>
        <w:t xml:space="preserve"> roads would </w:t>
      </w:r>
      <w:r w:rsidR="007A3E56" w:rsidRPr="00927E47">
        <w:rPr>
          <w:rFonts w:ascii="Arial" w:hAnsi="Arial" w:cs="Arial"/>
          <w:sz w:val="20"/>
          <w:szCs w:val="20"/>
        </w:rPr>
        <w:t>complete</w:t>
      </w:r>
      <w:r w:rsidR="0074459A" w:rsidRPr="00927E47">
        <w:rPr>
          <w:rFonts w:ascii="Arial" w:hAnsi="Arial" w:cs="Arial"/>
          <w:sz w:val="20"/>
          <w:szCs w:val="20"/>
        </w:rPr>
        <w:t xml:space="preserve"> the supply chain</w:t>
      </w:r>
      <w:r w:rsidR="00F124CD" w:rsidRPr="00927E47">
        <w:rPr>
          <w:rFonts w:ascii="Arial" w:hAnsi="Arial" w:cs="Arial"/>
          <w:sz w:val="20"/>
          <w:szCs w:val="20"/>
        </w:rPr>
        <w:t xml:space="preserve"> for operators,</w:t>
      </w:r>
      <w:r w:rsidR="007A3E56" w:rsidRPr="00927E47">
        <w:rPr>
          <w:rFonts w:ascii="Arial" w:hAnsi="Arial" w:cs="Arial"/>
          <w:sz w:val="20"/>
          <w:szCs w:val="20"/>
        </w:rPr>
        <w:t xml:space="preserve"> </w:t>
      </w:r>
      <w:r w:rsidR="00F124CD" w:rsidRPr="00927E47">
        <w:rPr>
          <w:rFonts w:ascii="Arial" w:hAnsi="Arial" w:cs="Arial"/>
          <w:sz w:val="20"/>
          <w:szCs w:val="20"/>
        </w:rPr>
        <w:t xml:space="preserve">improve safety for the community and reduce road wear. </w:t>
      </w:r>
    </w:p>
    <w:p w:rsidR="00170FC2" w:rsidRPr="00927E47" w:rsidRDefault="00170FC2" w:rsidP="002E76E8">
      <w:pPr>
        <w:rPr>
          <w:rFonts w:ascii="Arial" w:hAnsi="Arial" w:cs="Arial"/>
          <w:sz w:val="20"/>
          <w:szCs w:val="20"/>
        </w:rPr>
      </w:pPr>
    </w:p>
    <w:p w:rsidR="00DD10A0" w:rsidRDefault="00170FC2" w:rsidP="002E76E8">
      <w:pPr>
        <w:rPr>
          <w:rFonts w:ascii="Arial" w:hAnsi="Arial" w:cs="Arial"/>
          <w:sz w:val="20"/>
          <w:szCs w:val="20"/>
        </w:rPr>
      </w:pPr>
      <w:r w:rsidRPr="00927E47">
        <w:rPr>
          <w:rFonts w:ascii="Arial" w:hAnsi="Arial" w:cs="Arial"/>
          <w:sz w:val="20"/>
          <w:szCs w:val="20"/>
        </w:rPr>
        <w:lastRenderedPageBreak/>
        <w:t xml:space="preserve">For the industry, limiting </w:t>
      </w:r>
      <w:r w:rsidR="00CA1FF1">
        <w:rPr>
          <w:rFonts w:ascii="Arial" w:hAnsi="Arial" w:cs="Arial"/>
          <w:sz w:val="20"/>
          <w:szCs w:val="20"/>
        </w:rPr>
        <w:t>access</w:t>
      </w:r>
      <w:r w:rsidRPr="00927E47">
        <w:rPr>
          <w:rFonts w:ascii="Arial" w:hAnsi="Arial" w:cs="Arial"/>
          <w:sz w:val="20"/>
          <w:szCs w:val="20"/>
        </w:rPr>
        <w:t xml:space="preserve"> is the biggest restriction that is holding back the productive potential of the Australian ec</w:t>
      </w:r>
      <w:r w:rsidR="000C2417" w:rsidRPr="00927E47">
        <w:rPr>
          <w:rFonts w:ascii="Arial" w:hAnsi="Arial" w:cs="Arial"/>
          <w:sz w:val="20"/>
          <w:szCs w:val="20"/>
        </w:rPr>
        <w:t>onomy. If local governments do no</w:t>
      </w:r>
      <w:r w:rsidRPr="00927E47">
        <w:rPr>
          <w:rFonts w:ascii="Arial" w:hAnsi="Arial" w:cs="Arial"/>
          <w:sz w:val="20"/>
          <w:szCs w:val="20"/>
        </w:rPr>
        <w:t xml:space="preserve">t want to see </w:t>
      </w:r>
      <w:r w:rsidR="00A276DF">
        <w:rPr>
          <w:rFonts w:ascii="Arial" w:hAnsi="Arial" w:cs="Arial"/>
          <w:sz w:val="20"/>
          <w:szCs w:val="20"/>
        </w:rPr>
        <w:t>prices rise at their local stores,</w:t>
      </w:r>
      <w:r w:rsidR="00CA1FF1">
        <w:rPr>
          <w:rFonts w:ascii="Arial" w:hAnsi="Arial" w:cs="Arial"/>
          <w:sz w:val="20"/>
          <w:szCs w:val="20"/>
        </w:rPr>
        <w:t xml:space="preserve"> access</w:t>
      </w:r>
      <w:r w:rsidR="00B5663B">
        <w:rPr>
          <w:rFonts w:ascii="Arial" w:hAnsi="Arial" w:cs="Arial"/>
          <w:sz w:val="20"/>
          <w:szCs w:val="20"/>
        </w:rPr>
        <w:t xml:space="preserve"> for these high productivity</w:t>
      </w:r>
      <w:r w:rsidRPr="00927E47">
        <w:rPr>
          <w:rFonts w:ascii="Arial" w:hAnsi="Arial" w:cs="Arial"/>
          <w:sz w:val="20"/>
          <w:szCs w:val="20"/>
        </w:rPr>
        <w:t xml:space="preserve"> vehicles must be reviewed.  </w:t>
      </w:r>
      <w:bookmarkStart w:id="6" w:name="_Toc304544521"/>
      <w:bookmarkStart w:id="7" w:name="_Toc304544815"/>
      <w:bookmarkStart w:id="8" w:name="_Toc304964402"/>
      <w:bookmarkStart w:id="9" w:name="_Toc304970563"/>
      <w:bookmarkStart w:id="10" w:name="_Toc304973325"/>
      <w:bookmarkStart w:id="11" w:name="_Toc304973505"/>
      <w:bookmarkEnd w:id="6"/>
      <w:bookmarkEnd w:id="7"/>
      <w:bookmarkEnd w:id="8"/>
      <w:bookmarkEnd w:id="9"/>
      <w:bookmarkEnd w:id="10"/>
      <w:bookmarkEnd w:id="11"/>
    </w:p>
    <w:p w:rsidR="000D0A6A" w:rsidRPr="00F330FD" w:rsidRDefault="000D0A6A" w:rsidP="002E76E8">
      <w:pPr>
        <w:rPr>
          <w:rFonts w:ascii="Arial" w:hAnsi="Arial" w:cs="Arial"/>
          <w:sz w:val="20"/>
          <w:szCs w:val="20"/>
        </w:rPr>
      </w:pPr>
    </w:p>
    <w:p w:rsidR="00C71638" w:rsidRPr="00927E47" w:rsidRDefault="00C71638" w:rsidP="002E76E8">
      <w:pPr>
        <w:pStyle w:val="RecommendationStyle"/>
        <w:spacing w:before="0" w:after="0"/>
        <w:rPr>
          <w:color w:val="000000" w:themeColor="text1"/>
        </w:rPr>
      </w:pPr>
      <w:bookmarkStart w:id="12" w:name="_Toc305670384"/>
      <w:bookmarkStart w:id="13" w:name="_Toc306713547"/>
      <w:bookmarkStart w:id="14" w:name="_Toc306954568"/>
      <w:bookmarkStart w:id="15" w:name="_Toc306957353"/>
      <w:bookmarkStart w:id="16" w:name="_Toc306957464"/>
      <w:bookmarkStart w:id="17" w:name="_Toc306957789"/>
      <w:bookmarkEnd w:id="12"/>
      <w:bookmarkEnd w:id="13"/>
      <w:bookmarkEnd w:id="14"/>
      <w:bookmarkEnd w:id="15"/>
      <w:bookmarkEnd w:id="16"/>
      <w:bookmarkEnd w:id="17"/>
    </w:p>
    <w:p w:rsidR="000D0A6A" w:rsidRDefault="000D0A6A" w:rsidP="002E76E8">
      <w:pPr>
        <w:pStyle w:val="RecommendationStyle"/>
        <w:numPr>
          <w:ilvl w:val="0"/>
          <w:numId w:val="0"/>
        </w:numPr>
        <w:spacing w:before="0" w:after="0"/>
        <w:rPr>
          <w:color w:val="000000" w:themeColor="text1"/>
        </w:rPr>
      </w:pPr>
      <w:bookmarkStart w:id="18" w:name="_Toc304544522"/>
      <w:bookmarkStart w:id="19" w:name="_Toc304544816"/>
      <w:bookmarkStart w:id="20" w:name="_Toc304964403"/>
      <w:bookmarkStart w:id="21" w:name="_Toc304970564"/>
      <w:bookmarkStart w:id="22" w:name="_Toc304973326"/>
      <w:bookmarkStart w:id="23" w:name="_Toc304973506"/>
      <w:bookmarkStart w:id="24" w:name="_Toc305670385"/>
      <w:bookmarkStart w:id="25" w:name="_Toc306713548"/>
    </w:p>
    <w:p w:rsidR="007A3E56" w:rsidRPr="00927E47" w:rsidRDefault="00C71638" w:rsidP="002E76E8">
      <w:pPr>
        <w:pStyle w:val="RecommendationStyle"/>
        <w:numPr>
          <w:ilvl w:val="0"/>
          <w:numId w:val="0"/>
        </w:numPr>
        <w:spacing w:before="0" w:after="0"/>
        <w:rPr>
          <w:color w:val="000000" w:themeColor="text1"/>
        </w:rPr>
      </w:pPr>
      <w:bookmarkStart w:id="26" w:name="_Toc306954569"/>
      <w:bookmarkStart w:id="27" w:name="_Toc306957354"/>
      <w:bookmarkStart w:id="28" w:name="_Toc306957465"/>
      <w:bookmarkStart w:id="29" w:name="_Toc306957790"/>
      <w:r w:rsidRPr="00927E47">
        <w:rPr>
          <w:color w:val="000000" w:themeColor="text1"/>
        </w:rPr>
        <w:t xml:space="preserve">Decisions made by local governments should seek to improve the productive potential of businesses with limited costs. </w:t>
      </w:r>
      <w:r w:rsidR="003A0DDE" w:rsidRPr="00927E47">
        <w:rPr>
          <w:color w:val="000000" w:themeColor="text1"/>
        </w:rPr>
        <w:t>A</w:t>
      </w:r>
      <w:r w:rsidRPr="00927E47">
        <w:rPr>
          <w:color w:val="000000" w:themeColor="text1"/>
        </w:rPr>
        <w:t>llowing access for high pro</w:t>
      </w:r>
      <w:r w:rsidR="00B56101" w:rsidRPr="00927E47">
        <w:rPr>
          <w:color w:val="000000" w:themeColor="text1"/>
        </w:rPr>
        <w:t>ductive vehicles would increase</w:t>
      </w:r>
      <w:r w:rsidRPr="00927E47">
        <w:rPr>
          <w:color w:val="000000" w:themeColor="text1"/>
        </w:rPr>
        <w:t xml:space="preserve"> the capability of business</w:t>
      </w:r>
      <w:r w:rsidR="001F32AB" w:rsidRPr="00927E47">
        <w:rPr>
          <w:color w:val="000000" w:themeColor="text1"/>
        </w:rPr>
        <w:t xml:space="preserve"> and communities</w:t>
      </w:r>
      <w:r w:rsidR="003A0DDE" w:rsidRPr="00927E47">
        <w:rPr>
          <w:color w:val="000000" w:themeColor="text1"/>
        </w:rPr>
        <w:t>, and therefore their economic well being</w:t>
      </w:r>
      <w:r w:rsidRPr="00927E47">
        <w:rPr>
          <w:color w:val="000000" w:themeColor="text1"/>
        </w:rPr>
        <w:t>.</w:t>
      </w:r>
      <w:bookmarkEnd w:id="18"/>
      <w:bookmarkEnd w:id="19"/>
      <w:bookmarkEnd w:id="20"/>
      <w:bookmarkEnd w:id="21"/>
      <w:bookmarkEnd w:id="22"/>
      <w:bookmarkEnd w:id="23"/>
      <w:bookmarkEnd w:id="24"/>
      <w:bookmarkEnd w:id="25"/>
      <w:bookmarkEnd w:id="26"/>
      <w:bookmarkEnd w:id="27"/>
      <w:bookmarkEnd w:id="28"/>
      <w:bookmarkEnd w:id="29"/>
    </w:p>
    <w:p w:rsidR="00DD10A0" w:rsidRDefault="00DD10A0" w:rsidP="002E76E8">
      <w:pPr>
        <w:pStyle w:val="RecommendationStyle"/>
        <w:numPr>
          <w:ilvl w:val="0"/>
          <w:numId w:val="0"/>
        </w:numPr>
        <w:spacing w:before="0" w:after="0"/>
        <w:rPr>
          <w:color w:val="000000" w:themeColor="text1"/>
        </w:rPr>
      </w:pPr>
    </w:p>
    <w:p w:rsidR="000D0A6A" w:rsidRPr="00927E47" w:rsidRDefault="000D0A6A" w:rsidP="002E76E8">
      <w:pPr>
        <w:pStyle w:val="RecommendationStyle"/>
        <w:numPr>
          <w:ilvl w:val="0"/>
          <w:numId w:val="0"/>
        </w:numPr>
        <w:spacing w:before="0" w:after="0"/>
        <w:rPr>
          <w:color w:val="000000" w:themeColor="text1"/>
        </w:rPr>
      </w:pPr>
    </w:p>
    <w:p w:rsidR="004F42DC" w:rsidRPr="004A1802" w:rsidRDefault="004F42DC" w:rsidP="002E76E8">
      <w:pPr>
        <w:pStyle w:val="ATAHeading2"/>
        <w:spacing w:before="0" w:after="0"/>
        <w:ind w:left="851" w:hanging="851"/>
        <w:rPr>
          <w:sz w:val="28"/>
          <w:szCs w:val="28"/>
        </w:rPr>
      </w:pPr>
      <w:bookmarkStart w:id="30" w:name="_Toc306957638"/>
      <w:r w:rsidRPr="004A1802">
        <w:rPr>
          <w:sz w:val="28"/>
          <w:szCs w:val="28"/>
        </w:rPr>
        <w:t>Performance Based Standards</w:t>
      </w:r>
      <w:bookmarkEnd w:id="30"/>
      <w:r w:rsidRPr="004A1802">
        <w:rPr>
          <w:sz w:val="28"/>
          <w:szCs w:val="28"/>
        </w:rPr>
        <w:t xml:space="preserve"> </w:t>
      </w:r>
    </w:p>
    <w:p w:rsidR="000D0A6A" w:rsidRDefault="000D0A6A" w:rsidP="002E76E8">
      <w:pPr>
        <w:rPr>
          <w:rFonts w:ascii="Arial" w:hAnsi="Arial" w:cs="Arial"/>
          <w:sz w:val="20"/>
          <w:szCs w:val="20"/>
        </w:rPr>
      </w:pPr>
    </w:p>
    <w:p w:rsidR="00D64D1F" w:rsidRPr="00927E47" w:rsidRDefault="000C2417" w:rsidP="002E76E8">
      <w:pPr>
        <w:rPr>
          <w:rFonts w:ascii="Arial" w:hAnsi="Arial" w:cs="Arial"/>
          <w:sz w:val="20"/>
          <w:szCs w:val="20"/>
        </w:rPr>
      </w:pPr>
      <w:r w:rsidRPr="00927E47">
        <w:rPr>
          <w:rFonts w:ascii="Arial" w:hAnsi="Arial" w:cs="Arial"/>
          <w:sz w:val="20"/>
          <w:szCs w:val="20"/>
        </w:rPr>
        <w:t xml:space="preserve">The </w:t>
      </w:r>
      <w:r w:rsidR="000B351D" w:rsidRPr="00927E47">
        <w:rPr>
          <w:rFonts w:ascii="Arial" w:hAnsi="Arial" w:cs="Arial"/>
          <w:sz w:val="20"/>
          <w:szCs w:val="20"/>
        </w:rPr>
        <w:t xml:space="preserve">Performance Based Standards (PBS) </w:t>
      </w:r>
      <w:r w:rsidR="00394224" w:rsidRPr="00927E47">
        <w:rPr>
          <w:rFonts w:ascii="Arial" w:hAnsi="Arial" w:cs="Arial"/>
          <w:sz w:val="20"/>
          <w:szCs w:val="20"/>
        </w:rPr>
        <w:t>system</w:t>
      </w:r>
      <w:r w:rsidR="004D3088" w:rsidRPr="00927E47">
        <w:rPr>
          <w:rFonts w:ascii="Arial" w:hAnsi="Arial" w:cs="Arial"/>
          <w:sz w:val="20"/>
          <w:szCs w:val="20"/>
        </w:rPr>
        <w:t xml:space="preserve"> was</w:t>
      </w:r>
      <w:r w:rsidR="00394224" w:rsidRPr="00927E47">
        <w:rPr>
          <w:rFonts w:ascii="Arial" w:hAnsi="Arial" w:cs="Arial"/>
          <w:sz w:val="20"/>
          <w:szCs w:val="20"/>
        </w:rPr>
        <w:t xml:space="preserve"> created</w:t>
      </w:r>
      <w:r w:rsidR="004D3088" w:rsidRPr="00927E47">
        <w:rPr>
          <w:rFonts w:ascii="Arial" w:hAnsi="Arial" w:cs="Arial"/>
          <w:sz w:val="20"/>
          <w:szCs w:val="20"/>
        </w:rPr>
        <w:t xml:space="preserve"> to</w:t>
      </w:r>
      <w:r w:rsidR="000B351D" w:rsidRPr="00927E47">
        <w:rPr>
          <w:rFonts w:ascii="Arial" w:hAnsi="Arial" w:cs="Arial"/>
          <w:sz w:val="20"/>
          <w:szCs w:val="20"/>
        </w:rPr>
        <w:t xml:space="preserve"> allow </w:t>
      </w:r>
      <w:r w:rsidR="00B5663B">
        <w:rPr>
          <w:rFonts w:ascii="Arial" w:hAnsi="Arial" w:cs="Arial"/>
          <w:sz w:val="20"/>
          <w:szCs w:val="20"/>
        </w:rPr>
        <w:t xml:space="preserve">innovative vehicles that may comply with Australian design rules </w:t>
      </w:r>
      <w:r w:rsidR="00B5663B" w:rsidRPr="00927E47">
        <w:rPr>
          <w:rFonts w:ascii="Arial" w:hAnsi="Arial" w:cs="Arial"/>
          <w:sz w:val="20"/>
          <w:szCs w:val="20"/>
        </w:rPr>
        <w:t>to</w:t>
      </w:r>
      <w:r w:rsidR="000B351D" w:rsidRPr="00927E47">
        <w:rPr>
          <w:rFonts w:ascii="Arial" w:hAnsi="Arial" w:cs="Arial"/>
          <w:sz w:val="20"/>
          <w:szCs w:val="20"/>
        </w:rPr>
        <w:t xml:space="preserve"> meet</w:t>
      </w:r>
      <w:r w:rsidR="00B5663B">
        <w:rPr>
          <w:rFonts w:ascii="Arial" w:hAnsi="Arial" w:cs="Arial"/>
          <w:sz w:val="20"/>
          <w:szCs w:val="20"/>
        </w:rPr>
        <w:t xml:space="preserve"> select</w:t>
      </w:r>
      <w:r w:rsidR="000B351D" w:rsidRPr="00927E47">
        <w:rPr>
          <w:rFonts w:ascii="Arial" w:hAnsi="Arial" w:cs="Arial"/>
          <w:sz w:val="20"/>
          <w:szCs w:val="20"/>
        </w:rPr>
        <w:t xml:space="preserve"> standards</w:t>
      </w:r>
      <w:r w:rsidR="00B5663B">
        <w:rPr>
          <w:rFonts w:ascii="Arial" w:hAnsi="Arial" w:cs="Arial"/>
          <w:sz w:val="20"/>
          <w:szCs w:val="20"/>
        </w:rPr>
        <w:t xml:space="preserve"> to prove their safety</w:t>
      </w:r>
      <w:r w:rsidR="000B351D" w:rsidRPr="00927E47">
        <w:rPr>
          <w:rFonts w:ascii="Arial" w:hAnsi="Arial" w:cs="Arial"/>
          <w:sz w:val="20"/>
          <w:szCs w:val="20"/>
        </w:rPr>
        <w:t xml:space="preserve"> so they can operate</w:t>
      </w:r>
      <w:r w:rsidR="00FA1E1F" w:rsidRPr="00927E47">
        <w:rPr>
          <w:rFonts w:ascii="Arial" w:hAnsi="Arial" w:cs="Arial"/>
          <w:sz w:val="20"/>
          <w:szCs w:val="20"/>
        </w:rPr>
        <w:t xml:space="preserve"> as normal heavy vehicles</w:t>
      </w:r>
      <w:r w:rsidR="00B5663B">
        <w:rPr>
          <w:rFonts w:ascii="Arial" w:hAnsi="Arial" w:cs="Arial"/>
          <w:sz w:val="20"/>
          <w:szCs w:val="20"/>
        </w:rPr>
        <w:t>.</w:t>
      </w:r>
      <w:r w:rsidR="000B351D" w:rsidRPr="00927E47">
        <w:rPr>
          <w:rFonts w:ascii="Arial" w:hAnsi="Arial" w:cs="Arial"/>
          <w:sz w:val="20"/>
          <w:szCs w:val="20"/>
        </w:rPr>
        <w:t xml:space="preserve"> Th</w:t>
      </w:r>
      <w:r w:rsidR="00FA1E1F" w:rsidRPr="00927E47">
        <w:rPr>
          <w:rFonts w:ascii="Arial" w:hAnsi="Arial" w:cs="Arial"/>
          <w:sz w:val="20"/>
          <w:szCs w:val="20"/>
        </w:rPr>
        <w:t xml:space="preserve">e </w:t>
      </w:r>
      <w:r w:rsidR="00D64D1F" w:rsidRPr="00927E47">
        <w:rPr>
          <w:rFonts w:ascii="Arial" w:hAnsi="Arial" w:cs="Arial"/>
          <w:sz w:val="20"/>
          <w:szCs w:val="20"/>
        </w:rPr>
        <w:t>rationale</w:t>
      </w:r>
      <w:r w:rsidR="00FA1E1F" w:rsidRPr="00927E47">
        <w:rPr>
          <w:rFonts w:ascii="Arial" w:hAnsi="Arial" w:cs="Arial"/>
          <w:sz w:val="20"/>
          <w:szCs w:val="20"/>
        </w:rPr>
        <w:t xml:space="preserve"> for the</w:t>
      </w:r>
      <w:r w:rsidR="000B351D" w:rsidRPr="00927E47">
        <w:rPr>
          <w:rFonts w:ascii="Arial" w:hAnsi="Arial" w:cs="Arial"/>
          <w:sz w:val="20"/>
          <w:szCs w:val="20"/>
        </w:rPr>
        <w:t xml:space="preserve"> scheme is t</w:t>
      </w:r>
      <w:r w:rsidR="00CA1FF1">
        <w:rPr>
          <w:rFonts w:ascii="Arial" w:hAnsi="Arial" w:cs="Arial"/>
          <w:sz w:val="20"/>
          <w:szCs w:val="20"/>
        </w:rPr>
        <w:t>o make it easier for businesses to</w:t>
      </w:r>
      <w:r w:rsidR="000B351D" w:rsidRPr="00927E47">
        <w:rPr>
          <w:rFonts w:ascii="Arial" w:hAnsi="Arial" w:cs="Arial"/>
          <w:sz w:val="20"/>
          <w:szCs w:val="20"/>
        </w:rPr>
        <w:t xml:space="preserve"> use </w:t>
      </w:r>
      <w:r w:rsidR="00FA1E1F" w:rsidRPr="00927E47">
        <w:rPr>
          <w:rFonts w:ascii="Arial" w:hAnsi="Arial" w:cs="Arial"/>
          <w:sz w:val="20"/>
          <w:szCs w:val="20"/>
        </w:rPr>
        <w:t>innovative</w:t>
      </w:r>
      <w:r w:rsidR="000B351D" w:rsidRPr="00927E47">
        <w:rPr>
          <w:rFonts w:ascii="Arial" w:hAnsi="Arial" w:cs="Arial"/>
          <w:sz w:val="20"/>
          <w:szCs w:val="20"/>
        </w:rPr>
        <w:t xml:space="preserve"> or specialised heavy vehicles.</w:t>
      </w:r>
      <w:r w:rsidR="00D64D1F" w:rsidRPr="00927E47">
        <w:rPr>
          <w:rFonts w:ascii="Arial" w:hAnsi="Arial" w:cs="Arial"/>
          <w:sz w:val="20"/>
          <w:szCs w:val="20"/>
        </w:rPr>
        <w:t xml:space="preserve"> While</w:t>
      </w:r>
      <w:r w:rsidR="00FA1E1F" w:rsidRPr="00927E47">
        <w:rPr>
          <w:rFonts w:ascii="Arial" w:hAnsi="Arial" w:cs="Arial"/>
          <w:sz w:val="20"/>
          <w:szCs w:val="20"/>
        </w:rPr>
        <w:t xml:space="preserve"> businesses have complied </w:t>
      </w:r>
      <w:r w:rsidR="004D3088" w:rsidRPr="00927E47">
        <w:rPr>
          <w:rFonts w:ascii="Arial" w:hAnsi="Arial" w:cs="Arial"/>
          <w:sz w:val="20"/>
          <w:szCs w:val="20"/>
        </w:rPr>
        <w:t>with</w:t>
      </w:r>
      <w:r w:rsidR="00FA1E1F" w:rsidRPr="00927E47">
        <w:rPr>
          <w:rFonts w:ascii="Arial" w:hAnsi="Arial" w:cs="Arial"/>
          <w:sz w:val="20"/>
          <w:szCs w:val="20"/>
        </w:rPr>
        <w:t xml:space="preserve"> </w:t>
      </w:r>
      <w:r w:rsidR="003A0DDE" w:rsidRPr="00927E47">
        <w:rPr>
          <w:rFonts w:ascii="Arial" w:hAnsi="Arial" w:cs="Arial"/>
          <w:sz w:val="20"/>
          <w:szCs w:val="20"/>
        </w:rPr>
        <w:t>the strict criteria set, local g</w:t>
      </w:r>
      <w:r w:rsidR="00FA1E1F" w:rsidRPr="00927E47">
        <w:rPr>
          <w:rFonts w:ascii="Arial" w:hAnsi="Arial" w:cs="Arial"/>
          <w:sz w:val="20"/>
          <w:szCs w:val="20"/>
        </w:rPr>
        <w:t>overnments</w:t>
      </w:r>
      <w:r w:rsidR="003A0DDE" w:rsidRPr="00927E47">
        <w:rPr>
          <w:rFonts w:ascii="Arial" w:hAnsi="Arial" w:cs="Arial"/>
          <w:sz w:val="20"/>
          <w:szCs w:val="20"/>
        </w:rPr>
        <w:t xml:space="preserve"> and state agencies</w:t>
      </w:r>
      <w:r w:rsidR="00FA1E1F" w:rsidRPr="00927E47">
        <w:rPr>
          <w:rFonts w:ascii="Arial" w:hAnsi="Arial" w:cs="Arial"/>
          <w:sz w:val="20"/>
          <w:szCs w:val="20"/>
        </w:rPr>
        <w:t xml:space="preserve"> ha</w:t>
      </w:r>
      <w:r w:rsidR="00D64D1F" w:rsidRPr="00927E47">
        <w:rPr>
          <w:rFonts w:ascii="Arial" w:hAnsi="Arial" w:cs="Arial"/>
          <w:sz w:val="20"/>
          <w:szCs w:val="20"/>
        </w:rPr>
        <w:t>ve made the scheme ineffectual</w:t>
      </w:r>
      <w:r w:rsidR="00B5663B">
        <w:rPr>
          <w:rFonts w:ascii="Arial" w:hAnsi="Arial" w:cs="Arial"/>
          <w:sz w:val="20"/>
          <w:szCs w:val="20"/>
        </w:rPr>
        <w:t>,</w:t>
      </w:r>
      <w:r w:rsidR="00FA1E1F" w:rsidRPr="00927E47">
        <w:rPr>
          <w:rFonts w:ascii="Arial" w:hAnsi="Arial" w:cs="Arial"/>
          <w:sz w:val="20"/>
          <w:szCs w:val="20"/>
        </w:rPr>
        <w:t xml:space="preserve"> as P</w:t>
      </w:r>
      <w:r w:rsidR="000B351D" w:rsidRPr="00927E47">
        <w:rPr>
          <w:rFonts w:ascii="Arial" w:hAnsi="Arial" w:cs="Arial"/>
          <w:sz w:val="20"/>
          <w:szCs w:val="20"/>
        </w:rPr>
        <w:t>BS maps were supposed to</w:t>
      </w:r>
      <w:r w:rsidR="002A7919" w:rsidRPr="00927E47">
        <w:rPr>
          <w:rFonts w:ascii="Arial" w:hAnsi="Arial" w:cs="Arial"/>
          <w:sz w:val="20"/>
          <w:szCs w:val="20"/>
        </w:rPr>
        <w:t xml:space="preserve"> have</w:t>
      </w:r>
      <w:r w:rsidR="000B351D" w:rsidRPr="00927E47">
        <w:rPr>
          <w:rFonts w:ascii="Arial" w:hAnsi="Arial" w:cs="Arial"/>
          <w:sz w:val="20"/>
          <w:szCs w:val="20"/>
        </w:rPr>
        <w:t xml:space="preserve"> been produced in order to identify important information such as bridge capacity and rest stops for drivers. </w:t>
      </w:r>
      <w:r w:rsidR="003A0DDE" w:rsidRPr="00927E47">
        <w:rPr>
          <w:rFonts w:ascii="Arial" w:hAnsi="Arial" w:cs="Arial"/>
          <w:sz w:val="20"/>
          <w:szCs w:val="20"/>
        </w:rPr>
        <w:t>Local g</w:t>
      </w:r>
      <w:r w:rsidR="00FA1E1F" w:rsidRPr="00927E47">
        <w:rPr>
          <w:rFonts w:ascii="Arial" w:hAnsi="Arial" w:cs="Arial"/>
          <w:sz w:val="20"/>
          <w:szCs w:val="20"/>
        </w:rPr>
        <w:t>overnments are</w:t>
      </w:r>
      <w:r w:rsidR="000B351D" w:rsidRPr="00927E47">
        <w:rPr>
          <w:rFonts w:ascii="Arial" w:hAnsi="Arial" w:cs="Arial"/>
          <w:sz w:val="20"/>
          <w:szCs w:val="20"/>
        </w:rPr>
        <w:t xml:space="preserve"> either </w:t>
      </w:r>
      <w:r w:rsidR="00FA1E1F" w:rsidRPr="00927E47">
        <w:rPr>
          <w:rFonts w:ascii="Arial" w:hAnsi="Arial" w:cs="Arial"/>
          <w:sz w:val="20"/>
          <w:szCs w:val="20"/>
        </w:rPr>
        <w:t>not able</w:t>
      </w:r>
      <w:r w:rsidR="000B351D" w:rsidRPr="00927E47">
        <w:rPr>
          <w:rFonts w:ascii="Arial" w:hAnsi="Arial" w:cs="Arial"/>
          <w:sz w:val="20"/>
          <w:szCs w:val="20"/>
        </w:rPr>
        <w:t xml:space="preserve"> to indentify the routes for PBS maps because of lack of resources</w:t>
      </w:r>
      <w:r w:rsidR="00B5663B">
        <w:rPr>
          <w:rFonts w:ascii="Arial" w:hAnsi="Arial" w:cs="Arial"/>
          <w:sz w:val="20"/>
          <w:szCs w:val="20"/>
        </w:rPr>
        <w:t>,</w:t>
      </w:r>
      <w:r w:rsidR="000B351D" w:rsidRPr="00927E47">
        <w:rPr>
          <w:rFonts w:ascii="Arial" w:hAnsi="Arial" w:cs="Arial"/>
          <w:sz w:val="20"/>
          <w:szCs w:val="20"/>
        </w:rPr>
        <w:t xml:space="preserve"> or </w:t>
      </w:r>
      <w:r w:rsidR="004D3088" w:rsidRPr="00927E47">
        <w:rPr>
          <w:rFonts w:ascii="Arial" w:hAnsi="Arial" w:cs="Arial"/>
          <w:sz w:val="20"/>
          <w:szCs w:val="20"/>
        </w:rPr>
        <w:t>are</w:t>
      </w:r>
      <w:r w:rsidR="000B351D" w:rsidRPr="00927E47">
        <w:rPr>
          <w:rFonts w:ascii="Arial" w:hAnsi="Arial" w:cs="Arial"/>
          <w:sz w:val="20"/>
          <w:szCs w:val="20"/>
        </w:rPr>
        <w:t xml:space="preserve"> not organised enough to do so.</w:t>
      </w:r>
    </w:p>
    <w:p w:rsidR="000B773A" w:rsidRPr="00927E47" w:rsidRDefault="000B773A" w:rsidP="002E76E8">
      <w:pPr>
        <w:rPr>
          <w:rFonts w:ascii="Arial" w:hAnsi="Arial" w:cs="Arial"/>
          <w:sz w:val="20"/>
          <w:szCs w:val="20"/>
        </w:rPr>
      </w:pPr>
    </w:p>
    <w:p w:rsidR="00D64D1F" w:rsidRDefault="003A0DDE" w:rsidP="002E76E8">
      <w:pPr>
        <w:rPr>
          <w:rFonts w:ascii="Arial" w:hAnsi="Arial" w:cs="Arial"/>
          <w:sz w:val="20"/>
          <w:szCs w:val="20"/>
        </w:rPr>
      </w:pPr>
      <w:r w:rsidRPr="00927E47">
        <w:rPr>
          <w:rFonts w:ascii="Arial" w:hAnsi="Arial" w:cs="Arial"/>
          <w:sz w:val="20"/>
          <w:szCs w:val="20"/>
        </w:rPr>
        <w:t>PBS shows l</w:t>
      </w:r>
      <w:r w:rsidR="00C502B8" w:rsidRPr="00927E47">
        <w:rPr>
          <w:rFonts w:ascii="Arial" w:hAnsi="Arial" w:cs="Arial"/>
          <w:sz w:val="20"/>
          <w:szCs w:val="20"/>
        </w:rPr>
        <w:t>ocal governments are not providing service</w:t>
      </w:r>
      <w:r w:rsidR="000C2417" w:rsidRPr="00927E47">
        <w:rPr>
          <w:rFonts w:ascii="Arial" w:hAnsi="Arial" w:cs="Arial"/>
          <w:sz w:val="20"/>
          <w:szCs w:val="20"/>
        </w:rPr>
        <w:t>s that businesses have paid for. T</w:t>
      </w:r>
      <w:r w:rsidR="00C502B8" w:rsidRPr="00927E47">
        <w:rPr>
          <w:rFonts w:ascii="Arial" w:hAnsi="Arial" w:cs="Arial"/>
          <w:sz w:val="20"/>
          <w:szCs w:val="20"/>
        </w:rPr>
        <w:t>his failing is huge</w:t>
      </w:r>
      <w:r w:rsidR="00F24101" w:rsidRPr="00927E47">
        <w:rPr>
          <w:rFonts w:ascii="Arial" w:hAnsi="Arial" w:cs="Arial"/>
          <w:sz w:val="20"/>
          <w:szCs w:val="20"/>
        </w:rPr>
        <w:t>.</w:t>
      </w:r>
      <w:r w:rsidR="00C502B8" w:rsidRPr="00927E47">
        <w:rPr>
          <w:rFonts w:ascii="Arial" w:hAnsi="Arial" w:cs="Arial"/>
          <w:sz w:val="20"/>
          <w:szCs w:val="20"/>
        </w:rPr>
        <w:t xml:space="preserve"> </w:t>
      </w:r>
      <w:r w:rsidR="00F24101" w:rsidRPr="00927E47">
        <w:rPr>
          <w:rFonts w:ascii="Arial" w:hAnsi="Arial" w:cs="Arial"/>
          <w:sz w:val="20"/>
          <w:szCs w:val="20"/>
        </w:rPr>
        <w:t xml:space="preserve">The scheme has been operational since 2007 and </w:t>
      </w:r>
      <w:r w:rsidR="00C502B8" w:rsidRPr="00927E47">
        <w:rPr>
          <w:rFonts w:ascii="Arial" w:hAnsi="Arial" w:cs="Arial"/>
          <w:sz w:val="20"/>
          <w:szCs w:val="20"/>
        </w:rPr>
        <w:t>80 trucks and buses have registered as PBS as of January 2010</w:t>
      </w:r>
      <w:r w:rsidR="00C502B8" w:rsidRPr="00927E47">
        <w:rPr>
          <w:rStyle w:val="FootnoteReference"/>
          <w:rFonts w:ascii="Arial" w:hAnsi="Arial" w:cs="Arial"/>
          <w:sz w:val="20"/>
          <w:szCs w:val="20"/>
        </w:rPr>
        <w:footnoteReference w:id="2"/>
      </w:r>
      <w:r w:rsidR="00F24101" w:rsidRPr="00927E47">
        <w:rPr>
          <w:rFonts w:ascii="Arial" w:hAnsi="Arial" w:cs="Arial"/>
          <w:sz w:val="20"/>
          <w:szCs w:val="20"/>
        </w:rPr>
        <w:t xml:space="preserve">; and </w:t>
      </w:r>
      <w:r w:rsidR="00C502B8" w:rsidRPr="00927E47">
        <w:rPr>
          <w:rFonts w:ascii="Arial" w:hAnsi="Arial" w:cs="Arial"/>
          <w:sz w:val="20"/>
          <w:szCs w:val="20"/>
        </w:rPr>
        <w:t xml:space="preserve">PBS mapping is </w:t>
      </w:r>
      <w:r w:rsidR="00F24101" w:rsidRPr="00927E47">
        <w:rPr>
          <w:rFonts w:ascii="Arial" w:hAnsi="Arial" w:cs="Arial"/>
          <w:sz w:val="20"/>
          <w:szCs w:val="20"/>
        </w:rPr>
        <w:t>still not complete</w:t>
      </w:r>
      <w:r w:rsidR="00C502B8" w:rsidRPr="00927E47">
        <w:rPr>
          <w:rFonts w:ascii="Arial" w:hAnsi="Arial" w:cs="Arial"/>
          <w:sz w:val="20"/>
          <w:szCs w:val="20"/>
        </w:rPr>
        <w:t>. The scheme</w:t>
      </w:r>
      <w:r w:rsidR="00B5663B">
        <w:rPr>
          <w:rFonts w:ascii="Arial" w:hAnsi="Arial" w:cs="Arial"/>
          <w:sz w:val="20"/>
          <w:szCs w:val="20"/>
        </w:rPr>
        <w:t>’</w:t>
      </w:r>
      <w:r w:rsidR="00C502B8" w:rsidRPr="00927E47">
        <w:rPr>
          <w:rFonts w:ascii="Arial" w:hAnsi="Arial" w:cs="Arial"/>
          <w:sz w:val="20"/>
          <w:szCs w:val="20"/>
        </w:rPr>
        <w:t>s s</w:t>
      </w:r>
      <w:r w:rsidRPr="00927E47">
        <w:rPr>
          <w:rFonts w:ascii="Arial" w:hAnsi="Arial" w:cs="Arial"/>
          <w:sz w:val="20"/>
          <w:szCs w:val="20"/>
        </w:rPr>
        <w:t>uccess would be greater if local g</w:t>
      </w:r>
      <w:r w:rsidR="00C502B8" w:rsidRPr="00927E47">
        <w:rPr>
          <w:rFonts w:ascii="Arial" w:hAnsi="Arial" w:cs="Arial"/>
          <w:sz w:val="20"/>
          <w:szCs w:val="20"/>
        </w:rPr>
        <w:t>overnments were able to fulfil their role. Th</w:t>
      </w:r>
      <w:r w:rsidRPr="00927E47">
        <w:rPr>
          <w:rFonts w:ascii="Arial" w:hAnsi="Arial" w:cs="Arial"/>
          <w:sz w:val="20"/>
          <w:szCs w:val="20"/>
        </w:rPr>
        <w:t>e example of PBS shows if local g</w:t>
      </w:r>
      <w:r w:rsidR="00C502B8" w:rsidRPr="00927E47">
        <w:rPr>
          <w:rFonts w:ascii="Arial" w:hAnsi="Arial" w:cs="Arial"/>
          <w:sz w:val="20"/>
          <w:szCs w:val="20"/>
        </w:rPr>
        <w:t>overnments do</w:t>
      </w:r>
      <w:r w:rsidR="000C2417" w:rsidRPr="00927E47">
        <w:rPr>
          <w:rFonts w:ascii="Arial" w:hAnsi="Arial" w:cs="Arial"/>
          <w:sz w:val="20"/>
          <w:szCs w:val="20"/>
        </w:rPr>
        <w:t xml:space="preserve"> not</w:t>
      </w:r>
      <w:r w:rsidR="00C502B8" w:rsidRPr="00927E47">
        <w:rPr>
          <w:rFonts w:ascii="Arial" w:hAnsi="Arial" w:cs="Arial"/>
          <w:sz w:val="20"/>
          <w:szCs w:val="20"/>
        </w:rPr>
        <w:t xml:space="preserve"> </w:t>
      </w:r>
      <w:r w:rsidR="002A7919" w:rsidRPr="00927E47">
        <w:rPr>
          <w:rFonts w:ascii="Arial" w:hAnsi="Arial" w:cs="Arial"/>
          <w:sz w:val="20"/>
          <w:szCs w:val="20"/>
        </w:rPr>
        <w:t>adhere to the rules</w:t>
      </w:r>
      <w:r w:rsidR="00011D52" w:rsidRPr="00927E47">
        <w:rPr>
          <w:rFonts w:ascii="Arial" w:hAnsi="Arial" w:cs="Arial"/>
          <w:sz w:val="20"/>
          <w:szCs w:val="20"/>
        </w:rPr>
        <w:t>, the</w:t>
      </w:r>
      <w:r w:rsidRPr="00927E47">
        <w:rPr>
          <w:rFonts w:ascii="Arial" w:hAnsi="Arial" w:cs="Arial"/>
          <w:sz w:val="20"/>
          <w:szCs w:val="20"/>
        </w:rPr>
        <w:t xml:space="preserve"> intent</w:t>
      </w:r>
      <w:r w:rsidR="00C502B8" w:rsidRPr="00927E47">
        <w:rPr>
          <w:rFonts w:ascii="Arial" w:hAnsi="Arial" w:cs="Arial"/>
          <w:sz w:val="20"/>
          <w:szCs w:val="20"/>
        </w:rPr>
        <w:t xml:space="preserve"> </w:t>
      </w:r>
      <w:r w:rsidR="000C2417" w:rsidRPr="00927E47">
        <w:rPr>
          <w:rFonts w:ascii="Arial" w:hAnsi="Arial" w:cs="Arial"/>
          <w:sz w:val="20"/>
          <w:szCs w:val="20"/>
        </w:rPr>
        <w:t xml:space="preserve">of productivity improving schemes </w:t>
      </w:r>
      <w:r w:rsidR="00C502B8" w:rsidRPr="00927E47">
        <w:rPr>
          <w:rFonts w:ascii="Arial" w:hAnsi="Arial" w:cs="Arial"/>
          <w:sz w:val="20"/>
          <w:szCs w:val="20"/>
        </w:rPr>
        <w:t xml:space="preserve">is undermined considerably. </w:t>
      </w:r>
    </w:p>
    <w:p w:rsidR="000D0A6A" w:rsidRPr="00927E47" w:rsidRDefault="000D0A6A" w:rsidP="002E76E8">
      <w:pPr>
        <w:rPr>
          <w:rFonts w:ascii="Arial" w:hAnsi="Arial" w:cs="Arial"/>
          <w:sz w:val="20"/>
          <w:szCs w:val="20"/>
        </w:rPr>
      </w:pPr>
    </w:p>
    <w:p w:rsidR="004C2EB3" w:rsidRPr="00927E47" w:rsidRDefault="008344FF" w:rsidP="002E76E8">
      <w:pPr>
        <w:pStyle w:val="RecommendationStyle"/>
        <w:spacing w:before="0" w:after="0"/>
        <w:rPr>
          <w:color w:val="000000" w:themeColor="text1"/>
        </w:rPr>
      </w:pPr>
      <w:r w:rsidRPr="00927E47">
        <w:rPr>
          <w:color w:val="000000" w:themeColor="text1"/>
        </w:rPr>
        <w:t xml:space="preserve"> </w:t>
      </w:r>
      <w:bookmarkStart w:id="31" w:name="_Toc304288016"/>
      <w:bookmarkStart w:id="32" w:name="_Toc304288081"/>
      <w:bookmarkStart w:id="33" w:name="_Toc304291920"/>
      <w:bookmarkStart w:id="34" w:name="_Toc304537424"/>
      <w:bookmarkStart w:id="35" w:name="_Toc304544523"/>
      <w:bookmarkStart w:id="36" w:name="_Toc304544817"/>
      <w:bookmarkStart w:id="37" w:name="_Toc304964404"/>
      <w:bookmarkStart w:id="38" w:name="_Toc304970565"/>
      <w:bookmarkStart w:id="39" w:name="_Toc304973327"/>
      <w:bookmarkStart w:id="40" w:name="_Toc304973507"/>
      <w:bookmarkStart w:id="41" w:name="_Toc305670386"/>
      <w:bookmarkStart w:id="42" w:name="_Toc306713549"/>
      <w:bookmarkStart w:id="43" w:name="_Toc306954570"/>
      <w:bookmarkStart w:id="44" w:name="_Toc306957355"/>
      <w:bookmarkStart w:id="45" w:name="_Toc306957466"/>
      <w:bookmarkStart w:id="46" w:name="_Toc30695779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0D0A6A" w:rsidRDefault="000D0A6A" w:rsidP="002E76E8">
      <w:pPr>
        <w:pStyle w:val="RecommendationStyle"/>
        <w:numPr>
          <w:ilvl w:val="0"/>
          <w:numId w:val="0"/>
        </w:numPr>
        <w:spacing w:before="0" w:after="0"/>
        <w:rPr>
          <w:color w:val="000000" w:themeColor="text1"/>
        </w:rPr>
      </w:pPr>
      <w:bookmarkStart w:id="47" w:name="_Toc304544524"/>
      <w:bookmarkStart w:id="48" w:name="_Toc304544818"/>
      <w:bookmarkStart w:id="49" w:name="_Toc304964405"/>
      <w:bookmarkStart w:id="50" w:name="_Toc304970566"/>
      <w:bookmarkStart w:id="51" w:name="_Toc304973328"/>
      <w:bookmarkStart w:id="52" w:name="_Toc304973508"/>
      <w:bookmarkStart w:id="53" w:name="_Toc305670387"/>
      <w:bookmarkStart w:id="54" w:name="_Toc306713550"/>
    </w:p>
    <w:p w:rsidR="007A3E56" w:rsidRDefault="00396345" w:rsidP="002E76E8">
      <w:pPr>
        <w:pStyle w:val="RecommendationStyle"/>
        <w:numPr>
          <w:ilvl w:val="0"/>
          <w:numId w:val="0"/>
        </w:numPr>
        <w:spacing w:before="0" w:after="0"/>
        <w:rPr>
          <w:color w:val="000000" w:themeColor="text1"/>
        </w:rPr>
      </w:pPr>
      <w:bookmarkStart w:id="55" w:name="_Toc306954571"/>
      <w:bookmarkStart w:id="56" w:name="_Toc306957356"/>
      <w:bookmarkStart w:id="57" w:name="_Toc306957467"/>
      <w:bookmarkStart w:id="58" w:name="_Toc306957792"/>
      <w:r w:rsidRPr="00927E47">
        <w:rPr>
          <w:color w:val="000000" w:themeColor="text1"/>
        </w:rPr>
        <w:t>Local g</w:t>
      </w:r>
      <w:r w:rsidR="00394224" w:rsidRPr="00927E47">
        <w:rPr>
          <w:color w:val="000000" w:themeColor="text1"/>
        </w:rPr>
        <w:t>overnments should engage in</w:t>
      </w:r>
      <w:r w:rsidR="00C71638" w:rsidRPr="00927E47">
        <w:rPr>
          <w:color w:val="000000" w:themeColor="text1"/>
        </w:rPr>
        <w:t xml:space="preserve"> </w:t>
      </w:r>
      <w:r w:rsidR="00CD30AA" w:rsidRPr="00927E47">
        <w:rPr>
          <w:color w:val="000000" w:themeColor="text1"/>
        </w:rPr>
        <w:t>nationwide</w:t>
      </w:r>
      <w:r w:rsidR="007F3CCA" w:rsidRPr="00927E47">
        <w:rPr>
          <w:color w:val="000000" w:themeColor="text1"/>
        </w:rPr>
        <w:t xml:space="preserve"> programs</w:t>
      </w:r>
      <w:r w:rsidR="00C71638" w:rsidRPr="00927E47">
        <w:rPr>
          <w:color w:val="000000" w:themeColor="text1"/>
        </w:rPr>
        <w:t xml:space="preserve"> in order to make for a seamless national economy. </w:t>
      </w:r>
      <w:r w:rsidR="00CD30AA" w:rsidRPr="00927E47">
        <w:rPr>
          <w:color w:val="000000" w:themeColor="text1"/>
        </w:rPr>
        <w:t>The viability of PBS is in question because of the failure of all local governments to provide the required maps to operators.</w:t>
      </w:r>
      <w:bookmarkEnd w:id="47"/>
      <w:bookmarkEnd w:id="48"/>
      <w:bookmarkEnd w:id="49"/>
      <w:bookmarkEnd w:id="50"/>
      <w:bookmarkEnd w:id="51"/>
      <w:bookmarkEnd w:id="52"/>
      <w:bookmarkEnd w:id="53"/>
      <w:bookmarkEnd w:id="54"/>
      <w:bookmarkEnd w:id="55"/>
      <w:bookmarkEnd w:id="56"/>
      <w:bookmarkEnd w:id="57"/>
      <w:bookmarkEnd w:id="58"/>
    </w:p>
    <w:p w:rsidR="002E76E8" w:rsidRDefault="002E76E8" w:rsidP="002E76E8"/>
    <w:p w:rsidR="000D0A6A" w:rsidRPr="00927E47" w:rsidRDefault="000D0A6A" w:rsidP="002E76E8"/>
    <w:p w:rsidR="00834ACA" w:rsidRPr="004A1802" w:rsidRDefault="006104D6" w:rsidP="002E76E8">
      <w:pPr>
        <w:pStyle w:val="ATAHeading2"/>
        <w:spacing w:before="0" w:after="0"/>
        <w:ind w:left="851" w:hanging="851"/>
        <w:rPr>
          <w:sz w:val="28"/>
          <w:szCs w:val="28"/>
        </w:rPr>
      </w:pPr>
      <w:bookmarkStart w:id="59" w:name="_Toc306957639"/>
      <w:r w:rsidRPr="004A1802">
        <w:rPr>
          <w:sz w:val="28"/>
          <w:szCs w:val="28"/>
        </w:rPr>
        <w:t>Local government planning</w:t>
      </w:r>
      <w:bookmarkEnd w:id="59"/>
      <w:r w:rsidR="008D5426" w:rsidRPr="004A1802">
        <w:rPr>
          <w:sz w:val="28"/>
          <w:szCs w:val="28"/>
        </w:rPr>
        <w:t xml:space="preserve"> </w:t>
      </w:r>
    </w:p>
    <w:p w:rsidR="000D0A6A" w:rsidRDefault="000D0A6A" w:rsidP="002E76E8">
      <w:pPr>
        <w:rPr>
          <w:rFonts w:ascii="Arial" w:hAnsi="Arial" w:cs="Arial"/>
          <w:sz w:val="20"/>
          <w:szCs w:val="20"/>
        </w:rPr>
      </w:pPr>
    </w:p>
    <w:p w:rsidR="00A76D9B" w:rsidRPr="00927E47" w:rsidRDefault="00A76D9B" w:rsidP="002E76E8">
      <w:pPr>
        <w:rPr>
          <w:rFonts w:ascii="Arial" w:hAnsi="Arial" w:cs="Arial"/>
          <w:sz w:val="20"/>
          <w:szCs w:val="20"/>
        </w:rPr>
      </w:pPr>
      <w:r w:rsidRPr="00927E47">
        <w:rPr>
          <w:rFonts w:ascii="Arial" w:hAnsi="Arial" w:cs="Arial"/>
          <w:sz w:val="20"/>
          <w:szCs w:val="20"/>
        </w:rPr>
        <w:t>Local governments</w:t>
      </w:r>
      <w:r w:rsidR="00212936" w:rsidRPr="00927E47">
        <w:rPr>
          <w:rFonts w:ascii="Arial" w:hAnsi="Arial" w:cs="Arial"/>
          <w:sz w:val="20"/>
          <w:szCs w:val="20"/>
        </w:rPr>
        <w:t>,</w:t>
      </w:r>
      <w:r w:rsidRPr="00927E47">
        <w:rPr>
          <w:rFonts w:ascii="Arial" w:hAnsi="Arial" w:cs="Arial"/>
          <w:sz w:val="20"/>
          <w:szCs w:val="20"/>
        </w:rPr>
        <w:t xml:space="preserve"> in many cases</w:t>
      </w:r>
      <w:r w:rsidR="00212936" w:rsidRPr="00927E47">
        <w:rPr>
          <w:rFonts w:ascii="Arial" w:hAnsi="Arial" w:cs="Arial"/>
          <w:sz w:val="20"/>
          <w:szCs w:val="20"/>
        </w:rPr>
        <w:t>,</w:t>
      </w:r>
      <w:r w:rsidRPr="00927E47">
        <w:rPr>
          <w:rFonts w:ascii="Arial" w:hAnsi="Arial" w:cs="Arial"/>
          <w:sz w:val="20"/>
          <w:szCs w:val="20"/>
        </w:rPr>
        <w:t xml:space="preserve"> lack the resources </w:t>
      </w:r>
      <w:r w:rsidR="00394224" w:rsidRPr="00927E47">
        <w:rPr>
          <w:rFonts w:ascii="Arial" w:hAnsi="Arial" w:cs="Arial"/>
          <w:sz w:val="20"/>
          <w:szCs w:val="20"/>
        </w:rPr>
        <w:t>or training to</w:t>
      </w:r>
      <w:r w:rsidRPr="00927E47">
        <w:rPr>
          <w:rFonts w:ascii="Arial" w:hAnsi="Arial" w:cs="Arial"/>
          <w:sz w:val="20"/>
          <w:szCs w:val="20"/>
        </w:rPr>
        <w:t xml:space="preserve"> make informed decisions on how road provision and maintenance </w:t>
      </w:r>
      <w:r w:rsidR="00212936" w:rsidRPr="00927E47">
        <w:rPr>
          <w:rFonts w:ascii="Arial" w:hAnsi="Arial" w:cs="Arial"/>
          <w:sz w:val="20"/>
          <w:szCs w:val="20"/>
        </w:rPr>
        <w:t>projects should occur</w:t>
      </w:r>
      <w:r w:rsidR="00394224" w:rsidRPr="00927E47">
        <w:rPr>
          <w:rFonts w:ascii="Arial" w:hAnsi="Arial" w:cs="Arial"/>
          <w:sz w:val="20"/>
          <w:szCs w:val="20"/>
        </w:rPr>
        <w:t xml:space="preserve">. </w:t>
      </w:r>
      <w:r w:rsidRPr="00927E47">
        <w:rPr>
          <w:rFonts w:ascii="Arial" w:hAnsi="Arial" w:cs="Arial"/>
          <w:sz w:val="20"/>
          <w:szCs w:val="20"/>
        </w:rPr>
        <w:t>Improving best practices and setting guidelines for approval and processes of road provision should be encouraged</w:t>
      </w:r>
      <w:r w:rsidR="00212936" w:rsidRPr="00927E47">
        <w:rPr>
          <w:rFonts w:ascii="Arial" w:hAnsi="Arial" w:cs="Arial"/>
          <w:sz w:val="20"/>
          <w:szCs w:val="20"/>
        </w:rPr>
        <w:t xml:space="preserve"> by</w:t>
      </w:r>
      <w:r w:rsidR="00394224" w:rsidRPr="00927E47">
        <w:rPr>
          <w:rFonts w:ascii="Arial" w:hAnsi="Arial" w:cs="Arial"/>
          <w:sz w:val="20"/>
          <w:szCs w:val="20"/>
        </w:rPr>
        <w:t xml:space="preserve"> the C</w:t>
      </w:r>
      <w:r w:rsidR="00212936" w:rsidRPr="00927E47">
        <w:rPr>
          <w:rFonts w:ascii="Arial" w:hAnsi="Arial" w:cs="Arial"/>
          <w:sz w:val="20"/>
          <w:szCs w:val="20"/>
        </w:rPr>
        <w:t xml:space="preserve">ommonwealth and </w:t>
      </w:r>
      <w:r w:rsidR="00394224" w:rsidRPr="00927E47">
        <w:rPr>
          <w:rFonts w:ascii="Arial" w:hAnsi="Arial" w:cs="Arial"/>
          <w:sz w:val="20"/>
          <w:szCs w:val="20"/>
        </w:rPr>
        <w:t xml:space="preserve">the </w:t>
      </w:r>
      <w:r w:rsidR="00212936" w:rsidRPr="00927E47">
        <w:rPr>
          <w:rFonts w:ascii="Arial" w:hAnsi="Arial" w:cs="Arial"/>
          <w:sz w:val="20"/>
          <w:szCs w:val="20"/>
        </w:rPr>
        <w:t>states</w:t>
      </w:r>
      <w:r w:rsidRPr="00927E47">
        <w:rPr>
          <w:rFonts w:ascii="Arial" w:hAnsi="Arial" w:cs="Arial"/>
          <w:sz w:val="20"/>
          <w:szCs w:val="20"/>
        </w:rPr>
        <w:t xml:space="preserve">. </w:t>
      </w:r>
    </w:p>
    <w:p w:rsidR="00733700" w:rsidRPr="00927E47" w:rsidRDefault="00733700" w:rsidP="002E76E8">
      <w:pPr>
        <w:rPr>
          <w:rFonts w:ascii="Arial" w:hAnsi="Arial" w:cs="Arial"/>
          <w:sz w:val="20"/>
          <w:szCs w:val="20"/>
        </w:rPr>
      </w:pPr>
    </w:p>
    <w:p w:rsidR="00733700" w:rsidRPr="00927E47" w:rsidRDefault="00733700" w:rsidP="002E76E8">
      <w:pPr>
        <w:rPr>
          <w:rFonts w:ascii="Arial" w:hAnsi="Arial" w:cs="Arial"/>
          <w:sz w:val="20"/>
          <w:szCs w:val="20"/>
        </w:rPr>
      </w:pPr>
      <w:r w:rsidRPr="00927E47">
        <w:rPr>
          <w:rFonts w:ascii="Arial" w:hAnsi="Arial" w:cs="Arial"/>
          <w:sz w:val="20"/>
          <w:szCs w:val="20"/>
        </w:rPr>
        <w:t xml:space="preserve">Many </w:t>
      </w:r>
      <w:r w:rsidR="00334926" w:rsidRPr="00927E47">
        <w:rPr>
          <w:rFonts w:ascii="Arial" w:hAnsi="Arial" w:cs="Arial"/>
          <w:sz w:val="20"/>
          <w:szCs w:val="20"/>
        </w:rPr>
        <w:t>businesses</w:t>
      </w:r>
      <w:r w:rsidRPr="00927E47">
        <w:rPr>
          <w:rFonts w:ascii="Arial" w:hAnsi="Arial" w:cs="Arial"/>
          <w:sz w:val="20"/>
          <w:szCs w:val="20"/>
        </w:rPr>
        <w:t xml:space="preserve"> in </w:t>
      </w:r>
      <w:r w:rsidR="007E68E9" w:rsidRPr="00927E47">
        <w:rPr>
          <w:rFonts w:ascii="Arial" w:hAnsi="Arial" w:cs="Arial"/>
          <w:sz w:val="20"/>
          <w:szCs w:val="20"/>
        </w:rPr>
        <w:t>rural</w:t>
      </w:r>
      <w:r w:rsidRPr="00927E47">
        <w:rPr>
          <w:rFonts w:ascii="Arial" w:hAnsi="Arial" w:cs="Arial"/>
          <w:sz w:val="20"/>
          <w:szCs w:val="20"/>
        </w:rPr>
        <w:t xml:space="preserve"> areas struggle with gaining approval for planning heavy vehicle access </w:t>
      </w:r>
      <w:r w:rsidR="00334926" w:rsidRPr="00927E47">
        <w:rPr>
          <w:rFonts w:ascii="Arial" w:hAnsi="Arial" w:cs="Arial"/>
          <w:sz w:val="20"/>
          <w:szCs w:val="20"/>
        </w:rPr>
        <w:t>to</w:t>
      </w:r>
      <w:r w:rsidRPr="00927E47">
        <w:rPr>
          <w:rFonts w:ascii="Arial" w:hAnsi="Arial" w:cs="Arial"/>
          <w:sz w:val="20"/>
          <w:szCs w:val="20"/>
        </w:rPr>
        <w:t xml:space="preserve"> their </w:t>
      </w:r>
      <w:r w:rsidR="00334926" w:rsidRPr="00927E47">
        <w:rPr>
          <w:rFonts w:ascii="Arial" w:hAnsi="Arial" w:cs="Arial"/>
          <w:sz w:val="20"/>
          <w:szCs w:val="20"/>
        </w:rPr>
        <w:t>premises</w:t>
      </w:r>
      <w:r w:rsidR="007E68E9" w:rsidRPr="00927E47">
        <w:rPr>
          <w:rFonts w:ascii="Arial" w:hAnsi="Arial" w:cs="Arial"/>
          <w:sz w:val="20"/>
          <w:szCs w:val="20"/>
        </w:rPr>
        <w:t xml:space="preserve">. With </w:t>
      </w:r>
      <w:r w:rsidR="00FB0593" w:rsidRPr="00927E47">
        <w:rPr>
          <w:rFonts w:ascii="Arial" w:hAnsi="Arial" w:cs="Arial"/>
          <w:sz w:val="20"/>
          <w:szCs w:val="20"/>
        </w:rPr>
        <w:t>rural companies, for</w:t>
      </w:r>
      <w:r w:rsidRPr="00927E47">
        <w:rPr>
          <w:rFonts w:ascii="Arial" w:hAnsi="Arial" w:cs="Arial"/>
          <w:sz w:val="20"/>
          <w:szCs w:val="20"/>
        </w:rPr>
        <w:t xml:space="preserve"> growth in </w:t>
      </w:r>
      <w:r w:rsidR="00165D49" w:rsidRPr="00927E47">
        <w:rPr>
          <w:rFonts w:ascii="Arial" w:hAnsi="Arial" w:cs="Arial"/>
          <w:sz w:val="20"/>
          <w:szCs w:val="20"/>
        </w:rPr>
        <w:t>output to be accommodated</w:t>
      </w:r>
      <w:r w:rsidRPr="00927E47">
        <w:rPr>
          <w:rFonts w:ascii="Arial" w:hAnsi="Arial" w:cs="Arial"/>
          <w:sz w:val="20"/>
          <w:szCs w:val="20"/>
        </w:rPr>
        <w:t xml:space="preserve"> they need to have </w:t>
      </w:r>
      <w:r w:rsidR="00165D49" w:rsidRPr="00927E47">
        <w:rPr>
          <w:rFonts w:ascii="Arial" w:hAnsi="Arial" w:cs="Arial"/>
          <w:sz w:val="20"/>
          <w:szCs w:val="20"/>
        </w:rPr>
        <w:t>this</w:t>
      </w:r>
      <w:r w:rsidRPr="00927E47">
        <w:rPr>
          <w:rFonts w:ascii="Arial" w:hAnsi="Arial" w:cs="Arial"/>
          <w:sz w:val="20"/>
          <w:szCs w:val="20"/>
        </w:rPr>
        <w:t xml:space="preserve"> met with the use of larger heavy vehicles. </w:t>
      </w:r>
      <w:r w:rsidR="00334926" w:rsidRPr="00927E47">
        <w:rPr>
          <w:rFonts w:ascii="Arial" w:hAnsi="Arial" w:cs="Arial"/>
          <w:sz w:val="20"/>
          <w:szCs w:val="20"/>
        </w:rPr>
        <w:t>Companies</w:t>
      </w:r>
      <w:r w:rsidR="007E68E9" w:rsidRPr="00927E47">
        <w:rPr>
          <w:rFonts w:ascii="Arial" w:hAnsi="Arial" w:cs="Arial"/>
          <w:sz w:val="20"/>
          <w:szCs w:val="20"/>
        </w:rPr>
        <w:t xml:space="preserve"> can </w:t>
      </w:r>
      <w:r w:rsidR="00CA1FF1">
        <w:rPr>
          <w:rFonts w:ascii="Arial" w:hAnsi="Arial" w:cs="Arial"/>
          <w:sz w:val="20"/>
          <w:szCs w:val="20"/>
        </w:rPr>
        <w:t>apply</w:t>
      </w:r>
      <w:r w:rsidR="007E68E9" w:rsidRPr="00927E47">
        <w:rPr>
          <w:rFonts w:ascii="Arial" w:hAnsi="Arial" w:cs="Arial"/>
          <w:sz w:val="20"/>
          <w:szCs w:val="20"/>
        </w:rPr>
        <w:t xml:space="preserve"> for planning </w:t>
      </w:r>
      <w:r w:rsidR="00396345" w:rsidRPr="00927E47">
        <w:rPr>
          <w:rFonts w:ascii="Arial" w:hAnsi="Arial" w:cs="Arial"/>
          <w:sz w:val="20"/>
          <w:szCs w:val="20"/>
        </w:rPr>
        <w:t>approval and road upgrading. In some cases</w:t>
      </w:r>
      <w:r w:rsidR="007E68E9" w:rsidRPr="00927E47">
        <w:rPr>
          <w:rFonts w:ascii="Arial" w:hAnsi="Arial" w:cs="Arial"/>
          <w:sz w:val="20"/>
          <w:szCs w:val="20"/>
        </w:rPr>
        <w:t xml:space="preserve"> a </w:t>
      </w:r>
      <w:r w:rsidR="006104D6" w:rsidRPr="00927E47">
        <w:rPr>
          <w:rFonts w:ascii="Arial" w:hAnsi="Arial" w:cs="Arial"/>
          <w:sz w:val="20"/>
          <w:szCs w:val="20"/>
        </w:rPr>
        <w:t>local government</w:t>
      </w:r>
      <w:r w:rsidR="00396345" w:rsidRPr="00927E47">
        <w:rPr>
          <w:rFonts w:ascii="Arial" w:hAnsi="Arial" w:cs="Arial"/>
          <w:sz w:val="20"/>
          <w:szCs w:val="20"/>
        </w:rPr>
        <w:t xml:space="preserve"> may</w:t>
      </w:r>
      <w:r w:rsidR="006104D6" w:rsidRPr="00927E47">
        <w:rPr>
          <w:rFonts w:ascii="Arial" w:hAnsi="Arial" w:cs="Arial"/>
          <w:sz w:val="20"/>
          <w:szCs w:val="20"/>
        </w:rPr>
        <w:t xml:space="preserve"> quote</w:t>
      </w:r>
      <w:r w:rsidR="00396345" w:rsidRPr="00927E47">
        <w:rPr>
          <w:rFonts w:ascii="Arial" w:hAnsi="Arial" w:cs="Arial"/>
          <w:sz w:val="20"/>
          <w:szCs w:val="20"/>
        </w:rPr>
        <w:t xml:space="preserve"> </w:t>
      </w:r>
      <w:r w:rsidR="00394224" w:rsidRPr="00927E47">
        <w:rPr>
          <w:rFonts w:ascii="Arial" w:hAnsi="Arial" w:cs="Arial"/>
          <w:sz w:val="20"/>
          <w:szCs w:val="20"/>
        </w:rPr>
        <w:t xml:space="preserve">a </w:t>
      </w:r>
      <w:r w:rsidR="00396345" w:rsidRPr="00927E47">
        <w:rPr>
          <w:rFonts w:ascii="Arial" w:hAnsi="Arial" w:cs="Arial"/>
          <w:sz w:val="20"/>
          <w:szCs w:val="20"/>
        </w:rPr>
        <w:t xml:space="preserve">contribution for upgrading. </w:t>
      </w:r>
      <w:r w:rsidR="00165D49" w:rsidRPr="00927E47">
        <w:rPr>
          <w:rFonts w:ascii="Arial" w:hAnsi="Arial" w:cs="Arial"/>
          <w:sz w:val="20"/>
          <w:szCs w:val="20"/>
        </w:rPr>
        <w:t>However</w:t>
      </w:r>
      <w:r w:rsidR="007E68E9" w:rsidRPr="00927E47">
        <w:rPr>
          <w:rFonts w:ascii="Arial" w:hAnsi="Arial" w:cs="Arial"/>
          <w:sz w:val="20"/>
          <w:szCs w:val="20"/>
        </w:rPr>
        <w:t xml:space="preserve">, there can be significant differences in the costs of road provision and in many cases companies seek private provision quotes and find them to be </w:t>
      </w:r>
      <w:r w:rsidR="00334926" w:rsidRPr="00927E47">
        <w:rPr>
          <w:rFonts w:ascii="Arial" w:hAnsi="Arial" w:cs="Arial"/>
          <w:sz w:val="20"/>
          <w:szCs w:val="20"/>
        </w:rPr>
        <w:t xml:space="preserve">more cost effective. </w:t>
      </w:r>
      <w:r w:rsidR="007E68E9" w:rsidRPr="00927E47">
        <w:rPr>
          <w:rFonts w:ascii="Arial" w:hAnsi="Arial" w:cs="Arial"/>
          <w:sz w:val="20"/>
          <w:szCs w:val="20"/>
        </w:rPr>
        <w:t>If local governments are to act more competitively</w:t>
      </w:r>
      <w:r w:rsidR="00394224" w:rsidRPr="00927E47">
        <w:rPr>
          <w:rFonts w:ascii="Arial" w:hAnsi="Arial" w:cs="Arial"/>
          <w:sz w:val="20"/>
          <w:szCs w:val="20"/>
        </w:rPr>
        <w:t>, they should provide</w:t>
      </w:r>
      <w:r w:rsidR="007E68E9" w:rsidRPr="00927E47">
        <w:rPr>
          <w:rFonts w:ascii="Arial" w:hAnsi="Arial" w:cs="Arial"/>
          <w:sz w:val="20"/>
          <w:szCs w:val="20"/>
        </w:rPr>
        <w:t xml:space="preserve"> service</w:t>
      </w:r>
      <w:r w:rsidR="00394224" w:rsidRPr="00927E47">
        <w:rPr>
          <w:rFonts w:ascii="Arial" w:hAnsi="Arial" w:cs="Arial"/>
          <w:sz w:val="20"/>
          <w:szCs w:val="20"/>
        </w:rPr>
        <w:t>s at a competitive market level.</w:t>
      </w:r>
      <w:r w:rsidR="007E68E9" w:rsidRPr="00927E47">
        <w:rPr>
          <w:rFonts w:ascii="Arial" w:hAnsi="Arial" w:cs="Arial"/>
          <w:sz w:val="20"/>
          <w:szCs w:val="20"/>
        </w:rPr>
        <w:t xml:space="preserve">  </w:t>
      </w:r>
    </w:p>
    <w:p w:rsidR="00440F44" w:rsidRPr="00927E47" w:rsidRDefault="00440F44" w:rsidP="002E76E8">
      <w:pPr>
        <w:rPr>
          <w:rFonts w:ascii="Arial" w:hAnsi="Arial" w:cs="Arial"/>
          <w:sz w:val="20"/>
          <w:szCs w:val="20"/>
        </w:rPr>
      </w:pPr>
    </w:p>
    <w:p w:rsidR="006F4909" w:rsidRPr="00927E47" w:rsidRDefault="00440F44" w:rsidP="002E76E8">
      <w:pPr>
        <w:rPr>
          <w:rFonts w:ascii="Arial" w:hAnsi="Arial" w:cs="Arial"/>
          <w:sz w:val="20"/>
          <w:szCs w:val="20"/>
        </w:rPr>
      </w:pPr>
      <w:r w:rsidRPr="00927E47">
        <w:rPr>
          <w:rFonts w:ascii="Arial" w:hAnsi="Arial" w:cs="Arial"/>
          <w:sz w:val="20"/>
          <w:szCs w:val="20"/>
        </w:rPr>
        <w:t xml:space="preserve">Planning failures may </w:t>
      </w:r>
      <w:r w:rsidR="00212936" w:rsidRPr="00927E47">
        <w:rPr>
          <w:rFonts w:ascii="Arial" w:hAnsi="Arial" w:cs="Arial"/>
          <w:sz w:val="20"/>
          <w:szCs w:val="20"/>
        </w:rPr>
        <w:t>happen</w:t>
      </w:r>
      <w:r w:rsidR="00394224" w:rsidRPr="00927E47">
        <w:rPr>
          <w:rFonts w:ascii="Arial" w:hAnsi="Arial" w:cs="Arial"/>
          <w:sz w:val="20"/>
          <w:szCs w:val="20"/>
        </w:rPr>
        <w:t xml:space="preserve"> because</w:t>
      </w:r>
      <w:r w:rsidRPr="00927E47">
        <w:rPr>
          <w:rFonts w:ascii="Arial" w:hAnsi="Arial" w:cs="Arial"/>
          <w:sz w:val="20"/>
          <w:szCs w:val="20"/>
        </w:rPr>
        <w:t xml:space="preserve"> many local governments don’t have</w:t>
      </w:r>
      <w:r w:rsidR="00165D49" w:rsidRPr="00927E47">
        <w:rPr>
          <w:rFonts w:ascii="Arial" w:hAnsi="Arial" w:cs="Arial"/>
          <w:sz w:val="20"/>
          <w:szCs w:val="20"/>
        </w:rPr>
        <w:t xml:space="preserve"> the</w:t>
      </w:r>
      <w:r w:rsidRPr="00927E47">
        <w:rPr>
          <w:rFonts w:ascii="Arial" w:hAnsi="Arial" w:cs="Arial"/>
          <w:sz w:val="20"/>
          <w:szCs w:val="20"/>
        </w:rPr>
        <w:t xml:space="preserve"> expertise in road </w:t>
      </w:r>
      <w:r w:rsidR="00394224" w:rsidRPr="00927E47">
        <w:rPr>
          <w:rFonts w:ascii="Arial" w:hAnsi="Arial" w:cs="Arial"/>
          <w:sz w:val="20"/>
          <w:szCs w:val="20"/>
        </w:rPr>
        <w:t>management. T</w:t>
      </w:r>
      <w:r w:rsidRPr="00927E47">
        <w:rPr>
          <w:rFonts w:ascii="Arial" w:hAnsi="Arial" w:cs="Arial"/>
          <w:sz w:val="20"/>
          <w:szCs w:val="20"/>
        </w:rPr>
        <w:t xml:space="preserve">his has been noted by Infrastructure Australia who </w:t>
      </w:r>
      <w:proofErr w:type="gramStart"/>
      <w:r w:rsidR="00212936" w:rsidRPr="00927E47">
        <w:rPr>
          <w:rFonts w:ascii="Arial" w:hAnsi="Arial" w:cs="Arial"/>
          <w:sz w:val="20"/>
          <w:szCs w:val="20"/>
        </w:rPr>
        <w:t>have</w:t>
      </w:r>
      <w:proofErr w:type="gramEnd"/>
      <w:r w:rsidR="00394224" w:rsidRPr="00927E47">
        <w:rPr>
          <w:rFonts w:ascii="Arial" w:hAnsi="Arial" w:cs="Arial"/>
          <w:sz w:val="20"/>
          <w:szCs w:val="20"/>
        </w:rPr>
        <w:t xml:space="preserve"> </w:t>
      </w:r>
      <w:r w:rsidR="006F4909" w:rsidRPr="00927E47">
        <w:rPr>
          <w:rFonts w:ascii="Arial" w:hAnsi="Arial" w:cs="Arial"/>
          <w:sz w:val="20"/>
          <w:szCs w:val="20"/>
        </w:rPr>
        <w:t>offered</w:t>
      </w:r>
      <w:r w:rsidR="00394224" w:rsidRPr="00927E47">
        <w:rPr>
          <w:rFonts w:ascii="Arial" w:hAnsi="Arial" w:cs="Arial"/>
          <w:sz w:val="20"/>
          <w:szCs w:val="20"/>
        </w:rPr>
        <w:t xml:space="preserve"> training program</w:t>
      </w:r>
      <w:r w:rsidRPr="00927E47">
        <w:rPr>
          <w:rFonts w:ascii="Arial" w:hAnsi="Arial" w:cs="Arial"/>
          <w:sz w:val="20"/>
          <w:szCs w:val="20"/>
        </w:rPr>
        <w:t xml:space="preserve">s for road providers in order </w:t>
      </w:r>
      <w:r w:rsidR="00CA1FF1">
        <w:rPr>
          <w:rFonts w:ascii="Arial" w:hAnsi="Arial" w:cs="Arial"/>
          <w:sz w:val="20"/>
          <w:szCs w:val="20"/>
        </w:rPr>
        <w:t>to promote best practice</w:t>
      </w:r>
      <w:r w:rsidR="00212936" w:rsidRPr="00927E47">
        <w:rPr>
          <w:rFonts w:ascii="Arial" w:hAnsi="Arial" w:cs="Arial"/>
          <w:sz w:val="20"/>
          <w:szCs w:val="20"/>
        </w:rPr>
        <w:t xml:space="preserve"> of planning protocol and outcomes</w:t>
      </w:r>
      <w:r w:rsidR="00FB0593" w:rsidRPr="00927E47">
        <w:rPr>
          <w:rStyle w:val="FootnoteReference"/>
          <w:rFonts w:ascii="Arial" w:hAnsi="Arial" w:cs="Arial"/>
          <w:sz w:val="20"/>
          <w:szCs w:val="20"/>
        </w:rPr>
        <w:footnoteReference w:id="3"/>
      </w:r>
      <w:r w:rsidR="00334926" w:rsidRPr="00927E47">
        <w:rPr>
          <w:rFonts w:ascii="Arial" w:hAnsi="Arial" w:cs="Arial"/>
          <w:sz w:val="20"/>
          <w:szCs w:val="20"/>
        </w:rPr>
        <w:t xml:space="preserve">. </w:t>
      </w:r>
    </w:p>
    <w:p w:rsidR="006F4909" w:rsidRPr="00927E47" w:rsidRDefault="006F4909" w:rsidP="002E76E8">
      <w:pPr>
        <w:rPr>
          <w:rFonts w:ascii="Arial" w:hAnsi="Arial" w:cs="Arial"/>
          <w:sz w:val="20"/>
          <w:szCs w:val="20"/>
        </w:rPr>
      </w:pPr>
    </w:p>
    <w:p w:rsidR="009A2660" w:rsidRDefault="00334926">
      <w:pPr>
        <w:rPr>
          <w:rFonts w:ascii="Arial" w:hAnsi="Arial" w:cs="Arial"/>
          <w:sz w:val="20"/>
          <w:szCs w:val="20"/>
        </w:rPr>
      </w:pPr>
      <w:r w:rsidRPr="00927E47">
        <w:rPr>
          <w:rFonts w:ascii="Arial" w:hAnsi="Arial" w:cs="Arial"/>
          <w:sz w:val="20"/>
          <w:szCs w:val="20"/>
        </w:rPr>
        <w:t>Planning procedures or</w:t>
      </w:r>
      <w:r w:rsidR="00396345" w:rsidRPr="00927E47">
        <w:rPr>
          <w:rFonts w:ascii="Arial" w:hAnsi="Arial" w:cs="Arial"/>
          <w:sz w:val="20"/>
          <w:szCs w:val="20"/>
        </w:rPr>
        <w:t xml:space="preserve"> access</w:t>
      </w:r>
      <w:r w:rsidRPr="00927E47">
        <w:rPr>
          <w:rFonts w:ascii="Arial" w:hAnsi="Arial" w:cs="Arial"/>
          <w:sz w:val="20"/>
          <w:szCs w:val="20"/>
        </w:rPr>
        <w:t xml:space="preserve"> decisions that stunt the capability of businesses should be </w:t>
      </w:r>
      <w:r w:rsidR="00A276DF">
        <w:rPr>
          <w:rFonts w:ascii="Arial" w:hAnsi="Arial" w:cs="Arial"/>
          <w:sz w:val="20"/>
          <w:szCs w:val="20"/>
        </w:rPr>
        <w:t xml:space="preserve">independently </w:t>
      </w:r>
      <w:r w:rsidR="00A276DF" w:rsidRPr="00927E47">
        <w:rPr>
          <w:rFonts w:ascii="Arial" w:hAnsi="Arial" w:cs="Arial"/>
          <w:sz w:val="20"/>
          <w:szCs w:val="20"/>
        </w:rPr>
        <w:t xml:space="preserve">externally </w:t>
      </w:r>
      <w:r w:rsidRPr="00927E47">
        <w:rPr>
          <w:rFonts w:ascii="Arial" w:hAnsi="Arial" w:cs="Arial"/>
          <w:sz w:val="20"/>
          <w:szCs w:val="20"/>
        </w:rPr>
        <w:t>reviewable</w:t>
      </w:r>
      <w:r w:rsidR="00394224" w:rsidRPr="00927E47">
        <w:rPr>
          <w:rFonts w:ascii="Arial" w:hAnsi="Arial" w:cs="Arial"/>
          <w:sz w:val="20"/>
          <w:szCs w:val="20"/>
        </w:rPr>
        <w:t xml:space="preserve"> and</w:t>
      </w:r>
      <w:r w:rsidRPr="00927E47">
        <w:rPr>
          <w:rFonts w:ascii="Arial" w:hAnsi="Arial" w:cs="Arial"/>
          <w:sz w:val="20"/>
          <w:szCs w:val="20"/>
        </w:rPr>
        <w:t xml:space="preserve"> this currently does not happen</w:t>
      </w:r>
      <w:r w:rsidR="00396345" w:rsidRPr="00927E47">
        <w:rPr>
          <w:rFonts w:ascii="Arial" w:hAnsi="Arial" w:cs="Arial"/>
          <w:sz w:val="20"/>
          <w:szCs w:val="20"/>
        </w:rPr>
        <w:t xml:space="preserve"> for access decisions</w:t>
      </w:r>
      <w:r w:rsidRPr="00927E47">
        <w:rPr>
          <w:rFonts w:ascii="Arial" w:hAnsi="Arial" w:cs="Arial"/>
          <w:sz w:val="20"/>
          <w:szCs w:val="20"/>
        </w:rPr>
        <w:t xml:space="preserve">. </w:t>
      </w:r>
      <w:r w:rsidR="00385803" w:rsidRPr="00927E47">
        <w:rPr>
          <w:rFonts w:ascii="Arial" w:hAnsi="Arial" w:cs="Arial"/>
          <w:sz w:val="20"/>
          <w:szCs w:val="20"/>
        </w:rPr>
        <w:t>T</w:t>
      </w:r>
      <w:r w:rsidR="0064190A" w:rsidRPr="00927E47">
        <w:rPr>
          <w:rFonts w:ascii="Arial" w:hAnsi="Arial" w:cs="Arial"/>
          <w:sz w:val="20"/>
          <w:szCs w:val="20"/>
        </w:rPr>
        <w:t>his discipline has been e</w:t>
      </w:r>
      <w:r w:rsidR="00B5663B">
        <w:rPr>
          <w:rFonts w:ascii="Arial" w:hAnsi="Arial" w:cs="Arial"/>
          <w:sz w:val="20"/>
          <w:szCs w:val="20"/>
        </w:rPr>
        <w:t>stablished in the C</w:t>
      </w:r>
      <w:r w:rsidR="00B5663B" w:rsidRPr="00927E47">
        <w:rPr>
          <w:rFonts w:ascii="Arial" w:hAnsi="Arial" w:cs="Arial"/>
          <w:sz w:val="20"/>
          <w:szCs w:val="20"/>
        </w:rPr>
        <w:t>ommonwealth;</w:t>
      </w:r>
      <w:r w:rsidR="00B5663B">
        <w:rPr>
          <w:rFonts w:ascii="Arial" w:hAnsi="Arial" w:cs="Arial"/>
          <w:sz w:val="20"/>
          <w:szCs w:val="20"/>
        </w:rPr>
        <w:t xml:space="preserve"> however,</w:t>
      </w:r>
      <w:r w:rsidR="00385803" w:rsidRPr="00927E47">
        <w:rPr>
          <w:rFonts w:ascii="Arial" w:hAnsi="Arial" w:cs="Arial"/>
          <w:sz w:val="20"/>
          <w:szCs w:val="20"/>
        </w:rPr>
        <w:t xml:space="preserve"> </w:t>
      </w:r>
      <w:r w:rsidR="005D6F33" w:rsidRPr="00927E47">
        <w:rPr>
          <w:rFonts w:ascii="Arial" w:hAnsi="Arial" w:cs="Arial"/>
          <w:sz w:val="20"/>
          <w:szCs w:val="20"/>
        </w:rPr>
        <w:t>there is not the same requirement</w:t>
      </w:r>
      <w:r w:rsidR="00640940" w:rsidRPr="00927E47">
        <w:rPr>
          <w:rFonts w:ascii="Arial" w:hAnsi="Arial" w:cs="Arial"/>
          <w:sz w:val="20"/>
          <w:szCs w:val="20"/>
        </w:rPr>
        <w:t xml:space="preserve"> </w:t>
      </w:r>
      <w:r w:rsidR="00F73C07" w:rsidRPr="00927E47">
        <w:rPr>
          <w:rFonts w:ascii="Arial" w:hAnsi="Arial" w:cs="Arial"/>
          <w:sz w:val="20"/>
          <w:szCs w:val="20"/>
        </w:rPr>
        <w:t>f</w:t>
      </w:r>
      <w:r w:rsidR="00396345" w:rsidRPr="00927E47">
        <w:rPr>
          <w:rFonts w:ascii="Arial" w:hAnsi="Arial" w:cs="Arial"/>
          <w:sz w:val="20"/>
          <w:szCs w:val="20"/>
        </w:rPr>
        <w:t>o</w:t>
      </w:r>
      <w:r w:rsidR="00F73C07" w:rsidRPr="00927E47">
        <w:rPr>
          <w:rFonts w:ascii="Arial" w:hAnsi="Arial" w:cs="Arial"/>
          <w:sz w:val="20"/>
          <w:szCs w:val="20"/>
        </w:rPr>
        <w:t>r</w:t>
      </w:r>
      <w:r w:rsidR="00396345" w:rsidRPr="00927E47">
        <w:rPr>
          <w:rFonts w:ascii="Arial" w:hAnsi="Arial" w:cs="Arial"/>
          <w:sz w:val="20"/>
          <w:szCs w:val="20"/>
        </w:rPr>
        <w:t xml:space="preserve"> road agencies and</w:t>
      </w:r>
      <w:r w:rsidR="0064190A" w:rsidRPr="00927E47">
        <w:rPr>
          <w:rFonts w:ascii="Arial" w:hAnsi="Arial" w:cs="Arial"/>
          <w:sz w:val="20"/>
          <w:szCs w:val="20"/>
        </w:rPr>
        <w:t xml:space="preserve"> </w:t>
      </w:r>
      <w:r w:rsidR="006104D6" w:rsidRPr="00927E47">
        <w:rPr>
          <w:rFonts w:ascii="Arial" w:hAnsi="Arial" w:cs="Arial"/>
          <w:sz w:val="20"/>
          <w:szCs w:val="20"/>
        </w:rPr>
        <w:t>local government agencies</w:t>
      </w:r>
      <w:r w:rsidR="0064190A" w:rsidRPr="00927E47">
        <w:rPr>
          <w:rFonts w:ascii="Arial" w:hAnsi="Arial" w:cs="Arial"/>
          <w:sz w:val="20"/>
          <w:szCs w:val="20"/>
        </w:rPr>
        <w:t xml:space="preserve">. </w:t>
      </w:r>
      <w:r w:rsidR="005D6F33" w:rsidRPr="00927E47">
        <w:rPr>
          <w:rFonts w:ascii="Arial" w:hAnsi="Arial" w:cs="Arial"/>
          <w:sz w:val="20"/>
          <w:szCs w:val="20"/>
        </w:rPr>
        <w:t>Verdicts of a</w:t>
      </w:r>
      <w:r w:rsidR="00385803" w:rsidRPr="00927E47">
        <w:rPr>
          <w:rFonts w:ascii="Arial" w:hAnsi="Arial" w:cs="Arial"/>
          <w:sz w:val="20"/>
          <w:szCs w:val="20"/>
        </w:rPr>
        <w:t>dm</w:t>
      </w:r>
      <w:r w:rsidR="005D6F33" w:rsidRPr="00927E47">
        <w:rPr>
          <w:rFonts w:ascii="Arial" w:hAnsi="Arial" w:cs="Arial"/>
          <w:sz w:val="20"/>
          <w:szCs w:val="20"/>
        </w:rPr>
        <w:t>inistrative r</w:t>
      </w:r>
      <w:r w:rsidR="00385803" w:rsidRPr="00927E47">
        <w:rPr>
          <w:rFonts w:ascii="Arial" w:hAnsi="Arial" w:cs="Arial"/>
          <w:sz w:val="20"/>
          <w:szCs w:val="20"/>
        </w:rPr>
        <w:t>eview</w:t>
      </w:r>
      <w:r w:rsidR="00145022" w:rsidRPr="00927E47">
        <w:rPr>
          <w:rFonts w:ascii="Arial" w:hAnsi="Arial" w:cs="Arial"/>
          <w:sz w:val="20"/>
          <w:szCs w:val="20"/>
        </w:rPr>
        <w:t xml:space="preserve"> of </w:t>
      </w:r>
      <w:r w:rsidR="005D6F33" w:rsidRPr="00927E47">
        <w:rPr>
          <w:rFonts w:ascii="Arial" w:hAnsi="Arial" w:cs="Arial"/>
          <w:sz w:val="20"/>
          <w:szCs w:val="20"/>
        </w:rPr>
        <w:t>decisions should</w:t>
      </w:r>
      <w:r w:rsidR="00145022" w:rsidRPr="00927E47">
        <w:rPr>
          <w:rFonts w:ascii="Arial" w:hAnsi="Arial" w:cs="Arial"/>
          <w:sz w:val="20"/>
          <w:szCs w:val="20"/>
        </w:rPr>
        <w:t xml:space="preserve"> be made public to agencies on a national level so consistency in policy is made. </w:t>
      </w:r>
      <w:bookmarkStart w:id="60" w:name="_Toc304544525"/>
      <w:bookmarkStart w:id="61" w:name="_Toc304544819"/>
      <w:bookmarkStart w:id="62" w:name="_Toc304964406"/>
      <w:bookmarkStart w:id="63" w:name="_Toc304970567"/>
      <w:bookmarkStart w:id="64" w:name="_Toc304973329"/>
      <w:bookmarkStart w:id="65" w:name="_Toc304973509"/>
      <w:bookmarkEnd w:id="60"/>
      <w:bookmarkEnd w:id="61"/>
      <w:bookmarkEnd w:id="62"/>
      <w:bookmarkEnd w:id="63"/>
      <w:bookmarkEnd w:id="64"/>
      <w:bookmarkEnd w:id="65"/>
    </w:p>
    <w:p w:rsidR="000D0A6A" w:rsidRPr="00927E47" w:rsidRDefault="001955E5" w:rsidP="002E76E8">
      <w:pPr>
        <w:rPr>
          <w:rFonts w:ascii="Arial" w:hAnsi="Arial" w:cs="Arial"/>
          <w:sz w:val="20"/>
          <w:szCs w:val="20"/>
        </w:rPr>
      </w:pPr>
      <w:r>
        <w:rPr>
          <w:rFonts w:ascii="Arial" w:hAnsi="Arial" w:cs="Arial"/>
          <w:sz w:val="20"/>
          <w:szCs w:val="20"/>
        </w:rPr>
        <w:br w:type="page"/>
      </w:r>
    </w:p>
    <w:p w:rsidR="0062376D" w:rsidRPr="00927E47" w:rsidRDefault="0062376D" w:rsidP="002E76E8">
      <w:pPr>
        <w:pStyle w:val="RecommendationStyle"/>
        <w:spacing w:before="0" w:after="0"/>
        <w:rPr>
          <w:color w:val="000000" w:themeColor="text1"/>
        </w:rPr>
      </w:pPr>
      <w:bookmarkStart w:id="66" w:name="_Toc306713551"/>
      <w:bookmarkStart w:id="67" w:name="_Toc306954572"/>
      <w:bookmarkStart w:id="68" w:name="_Toc306957357"/>
      <w:bookmarkStart w:id="69" w:name="_Toc306957468"/>
      <w:bookmarkStart w:id="70" w:name="_Toc306957793"/>
      <w:bookmarkEnd w:id="66"/>
      <w:bookmarkEnd w:id="67"/>
      <w:bookmarkEnd w:id="68"/>
      <w:bookmarkEnd w:id="69"/>
      <w:bookmarkEnd w:id="70"/>
    </w:p>
    <w:p w:rsidR="000D0A6A" w:rsidRDefault="000D0A6A" w:rsidP="002E76E8">
      <w:pPr>
        <w:pStyle w:val="RecommendationStyle"/>
        <w:numPr>
          <w:ilvl w:val="0"/>
          <w:numId w:val="0"/>
        </w:numPr>
        <w:spacing w:before="0" w:after="0"/>
        <w:rPr>
          <w:color w:val="000000" w:themeColor="text1"/>
        </w:rPr>
      </w:pPr>
      <w:bookmarkStart w:id="71" w:name="_Toc304544526"/>
      <w:bookmarkStart w:id="72" w:name="_Toc304544820"/>
      <w:bookmarkStart w:id="73" w:name="_Toc304964407"/>
      <w:bookmarkStart w:id="74" w:name="_Toc304970568"/>
      <w:bookmarkStart w:id="75" w:name="_Toc304973330"/>
      <w:bookmarkStart w:id="76" w:name="_Toc304973510"/>
      <w:bookmarkStart w:id="77" w:name="_Toc305670389"/>
      <w:bookmarkStart w:id="78" w:name="_Toc306713552"/>
    </w:p>
    <w:p w:rsidR="0062376D" w:rsidRDefault="0062376D" w:rsidP="002E76E8">
      <w:pPr>
        <w:pStyle w:val="RecommendationStyle"/>
        <w:numPr>
          <w:ilvl w:val="0"/>
          <w:numId w:val="0"/>
        </w:numPr>
        <w:spacing w:before="0" w:after="0"/>
        <w:rPr>
          <w:color w:val="000000" w:themeColor="text1"/>
        </w:rPr>
      </w:pPr>
      <w:bookmarkStart w:id="79" w:name="_Toc306954573"/>
      <w:bookmarkStart w:id="80" w:name="_Toc306957358"/>
      <w:bookmarkStart w:id="81" w:name="_Toc306957469"/>
      <w:bookmarkStart w:id="82" w:name="_Toc306957794"/>
      <w:r w:rsidRPr="00927E47">
        <w:rPr>
          <w:color w:val="000000" w:themeColor="text1"/>
        </w:rPr>
        <w:t xml:space="preserve">Local governments should seek to improve road planning </w:t>
      </w:r>
      <w:r w:rsidR="00FB4B2F">
        <w:rPr>
          <w:color w:val="000000" w:themeColor="text1"/>
        </w:rPr>
        <w:t xml:space="preserve">and access </w:t>
      </w:r>
      <w:r w:rsidRPr="00927E47">
        <w:rPr>
          <w:color w:val="000000" w:themeColor="text1"/>
        </w:rPr>
        <w:t xml:space="preserve">procedures and best practices through </w:t>
      </w:r>
      <w:r w:rsidR="00FB4B2F">
        <w:rPr>
          <w:color w:val="000000" w:themeColor="text1"/>
        </w:rPr>
        <w:t>utilisation</w:t>
      </w:r>
      <w:r w:rsidRPr="00927E47">
        <w:rPr>
          <w:color w:val="000000" w:themeColor="text1"/>
        </w:rPr>
        <w:t xml:space="preserve"> consistent guidelines</w:t>
      </w:r>
      <w:r w:rsidR="00BF7ADE">
        <w:rPr>
          <w:color w:val="000000" w:themeColor="text1"/>
        </w:rPr>
        <w:t>,</w:t>
      </w:r>
      <w:r w:rsidRPr="00927E47">
        <w:rPr>
          <w:color w:val="000000" w:themeColor="text1"/>
        </w:rPr>
        <w:t xml:space="preserve"> employ</w:t>
      </w:r>
      <w:r w:rsidR="00BF7ADE">
        <w:rPr>
          <w:color w:val="000000" w:themeColor="text1"/>
        </w:rPr>
        <w:t>ing</w:t>
      </w:r>
      <w:r w:rsidRPr="00927E47">
        <w:rPr>
          <w:color w:val="000000" w:themeColor="text1"/>
        </w:rPr>
        <w:t xml:space="preserve"> skilled </w:t>
      </w:r>
      <w:r w:rsidR="00FB4B2F">
        <w:rPr>
          <w:color w:val="000000" w:themeColor="text1"/>
        </w:rPr>
        <w:t>engineers</w:t>
      </w:r>
      <w:r w:rsidRPr="00927E47">
        <w:rPr>
          <w:color w:val="000000" w:themeColor="text1"/>
        </w:rPr>
        <w:t xml:space="preserve"> and </w:t>
      </w:r>
      <w:r w:rsidR="00BF7ADE">
        <w:rPr>
          <w:color w:val="000000" w:themeColor="text1"/>
        </w:rPr>
        <w:t>allowing</w:t>
      </w:r>
      <w:r w:rsidR="00FB4B2F">
        <w:rPr>
          <w:color w:val="000000" w:themeColor="text1"/>
        </w:rPr>
        <w:t xml:space="preserve"> externally</w:t>
      </w:r>
      <w:r w:rsidR="00BF7ADE">
        <w:rPr>
          <w:color w:val="000000" w:themeColor="text1"/>
        </w:rPr>
        <w:t xml:space="preserve"> </w:t>
      </w:r>
      <w:r w:rsidRPr="00927E47">
        <w:rPr>
          <w:color w:val="000000" w:themeColor="text1"/>
        </w:rPr>
        <w:t>review</w:t>
      </w:r>
      <w:r w:rsidR="00395E16">
        <w:rPr>
          <w:color w:val="000000" w:themeColor="text1"/>
        </w:rPr>
        <w:t>able</w:t>
      </w:r>
      <w:r w:rsidRPr="00927E47">
        <w:rPr>
          <w:color w:val="000000" w:themeColor="text1"/>
        </w:rPr>
        <w:t xml:space="preserve"> access decisions.</w:t>
      </w:r>
      <w:bookmarkEnd w:id="71"/>
      <w:bookmarkEnd w:id="72"/>
      <w:bookmarkEnd w:id="73"/>
      <w:bookmarkEnd w:id="74"/>
      <w:bookmarkEnd w:id="75"/>
      <w:bookmarkEnd w:id="76"/>
      <w:bookmarkEnd w:id="77"/>
      <w:bookmarkEnd w:id="78"/>
      <w:bookmarkEnd w:id="79"/>
      <w:bookmarkEnd w:id="80"/>
      <w:bookmarkEnd w:id="81"/>
      <w:bookmarkEnd w:id="82"/>
      <w:r w:rsidRPr="00927E47">
        <w:rPr>
          <w:color w:val="000000" w:themeColor="text1"/>
        </w:rPr>
        <w:t xml:space="preserve"> </w:t>
      </w:r>
    </w:p>
    <w:p w:rsidR="000D0A6A" w:rsidRPr="00927E47" w:rsidRDefault="000D0A6A" w:rsidP="002E76E8">
      <w:pPr>
        <w:pStyle w:val="RecommendationStyle"/>
        <w:numPr>
          <w:ilvl w:val="0"/>
          <w:numId w:val="0"/>
        </w:numPr>
        <w:spacing w:before="0" w:after="0"/>
        <w:rPr>
          <w:color w:val="000000" w:themeColor="text1"/>
        </w:rPr>
      </w:pPr>
    </w:p>
    <w:p w:rsidR="0062376D" w:rsidRPr="00927E47" w:rsidRDefault="0062376D" w:rsidP="002E76E8">
      <w:pPr>
        <w:pStyle w:val="RecommendationStyle"/>
        <w:tabs>
          <w:tab w:val="clear" w:pos="1192"/>
        </w:tabs>
        <w:spacing w:before="0" w:after="0"/>
        <w:rPr>
          <w:color w:val="000000" w:themeColor="text1"/>
        </w:rPr>
      </w:pPr>
      <w:bookmarkStart w:id="83" w:name="_Toc305670390"/>
      <w:bookmarkStart w:id="84" w:name="_Toc306713553"/>
      <w:bookmarkStart w:id="85" w:name="_Toc306954574"/>
      <w:bookmarkStart w:id="86" w:name="_Toc306957359"/>
      <w:bookmarkStart w:id="87" w:name="_Toc306957470"/>
      <w:bookmarkStart w:id="88" w:name="_Toc306957795"/>
      <w:bookmarkEnd w:id="83"/>
      <w:bookmarkEnd w:id="84"/>
      <w:bookmarkEnd w:id="85"/>
      <w:bookmarkEnd w:id="86"/>
      <w:bookmarkEnd w:id="87"/>
      <w:bookmarkEnd w:id="88"/>
    </w:p>
    <w:p w:rsidR="000D0A6A" w:rsidRDefault="000D0A6A" w:rsidP="002E76E8">
      <w:pPr>
        <w:pStyle w:val="RecommendationStyle"/>
        <w:numPr>
          <w:ilvl w:val="0"/>
          <w:numId w:val="0"/>
        </w:numPr>
        <w:spacing w:before="0" w:after="0"/>
        <w:rPr>
          <w:color w:val="000000" w:themeColor="text1"/>
        </w:rPr>
      </w:pPr>
      <w:bookmarkStart w:id="89" w:name="_Toc305670391"/>
      <w:bookmarkStart w:id="90" w:name="_Toc306713554"/>
    </w:p>
    <w:p w:rsidR="0062376D" w:rsidRDefault="0062376D" w:rsidP="002E76E8">
      <w:pPr>
        <w:pStyle w:val="RecommendationStyle"/>
        <w:numPr>
          <w:ilvl w:val="0"/>
          <w:numId w:val="0"/>
        </w:numPr>
        <w:spacing w:before="0" w:after="0"/>
        <w:rPr>
          <w:color w:val="000000" w:themeColor="text1"/>
        </w:rPr>
      </w:pPr>
      <w:bookmarkStart w:id="91" w:name="_Toc306954575"/>
      <w:bookmarkStart w:id="92" w:name="_Toc306957360"/>
      <w:bookmarkStart w:id="93" w:name="_Toc306957471"/>
      <w:bookmarkStart w:id="94" w:name="_Toc306957796"/>
      <w:r w:rsidRPr="00927E47">
        <w:rPr>
          <w:color w:val="000000" w:themeColor="text1"/>
        </w:rPr>
        <w:t>Local governments should be held to greater scrutiny over how they allocate Commonwealth funds, in conjunction with increased audits to make sure accountability is achieved.</w:t>
      </w:r>
      <w:bookmarkEnd w:id="89"/>
      <w:bookmarkEnd w:id="90"/>
      <w:bookmarkEnd w:id="91"/>
      <w:bookmarkEnd w:id="92"/>
      <w:bookmarkEnd w:id="93"/>
      <w:bookmarkEnd w:id="94"/>
      <w:r w:rsidRPr="00927E47">
        <w:rPr>
          <w:color w:val="000000" w:themeColor="text1"/>
        </w:rPr>
        <w:t xml:space="preserve"> </w:t>
      </w:r>
    </w:p>
    <w:p w:rsidR="004533D3" w:rsidRDefault="004533D3" w:rsidP="002E76E8">
      <w:pPr>
        <w:rPr>
          <w:rFonts w:ascii="Arial" w:hAnsi="Arial" w:cs="Arial"/>
          <w:i/>
          <w:sz w:val="20"/>
          <w:szCs w:val="20"/>
        </w:rPr>
      </w:pPr>
    </w:p>
    <w:p w:rsidR="000D0A6A" w:rsidRPr="00927E47" w:rsidRDefault="000D0A6A" w:rsidP="002E76E8">
      <w:pPr>
        <w:rPr>
          <w:rFonts w:ascii="Arial" w:hAnsi="Arial" w:cs="Arial"/>
          <w:i/>
          <w:sz w:val="20"/>
          <w:szCs w:val="20"/>
        </w:rPr>
      </w:pPr>
    </w:p>
    <w:p w:rsidR="004533D3" w:rsidRPr="004A1802" w:rsidRDefault="004533D3" w:rsidP="002E76E8">
      <w:pPr>
        <w:pStyle w:val="ATAHeading2"/>
        <w:spacing w:before="0" w:after="0"/>
        <w:ind w:left="851" w:hanging="851"/>
        <w:rPr>
          <w:sz w:val="28"/>
          <w:szCs w:val="28"/>
        </w:rPr>
      </w:pPr>
      <w:bookmarkStart w:id="95" w:name="_Toc306957640"/>
      <w:r w:rsidRPr="004A1802">
        <w:rPr>
          <w:sz w:val="28"/>
          <w:szCs w:val="28"/>
        </w:rPr>
        <w:t xml:space="preserve">Case Study: </w:t>
      </w:r>
      <w:r w:rsidR="00CA1FF1" w:rsidRPr="004A1802">
        <w:rPr>
          <w:sz w:val="28"/>
          <w:szCs w:val="28"/>
        </w:rPr>
        <w:t>a</w:t>
      </w:r>
      <w:r w:rsidRPr="004A1802">
        <w:rPr>
          <w:sz w:val="28"/>
          <w:szCs w:val="28"/>
        </w:rPr>
        <w:t xml:space="preserve">udit </w:t>
      </w:r>
      <w:r w:rsidR="00CA1FF1" w:rsidRPr="004A1802">
        <w:rPr>
          <w:sz w:val="28"/>
          <w:szCs w:val="28"/>
        </w:rPr>
        <w:t>r</w:t>
      </w:r>
      <w:r w:rsidR="00125848" w:rsidRPr="004A1802">
        <w:rPr>
          <w:sz w:val="28"/>
          <w:szCs w:val="28"/>
        </w:rPr>
        <w:t>eport on the</w:t>
      </w:r>
      <w:r w:rsidRPr="004A1802">
        <w:rPr>
          <w:sz w:val="28"/>
          <w:szCs w:val="28"/>
        </w:rPr>
        <w:t xml:space="preserve"> </w:t>
      </w:r>
      <w:r w:rsidR="00125848" w:rsidRPr="004A1802">
        <w:rPr>
          <w:sz w:val="28"/>
          <w:szCs w:val="28"/>
        </w:rPr>
        <w:t>m</w:t>
      </w:r>
      <w:r w:rsidRPr="004A1802">
        <w:rPr>
          <w:sz w:val="28"/>
          <w:szCs w:val="28"/>
        </w:rPr>
        <w:t>anagement of the Strategic Regional Program</w:t>
      </w:r>
      <w:r w:rsidR="00125848" w:rsidRPr="004A1802">
        <w:rPr>
          <w:sz w:val="28"/>
          <w:szCs w:val="28"/>
        </w:rPr>
        <w:t>.</w:t>
      </w:r>
      <w:bookmarkEnd w:id="95"/>
      <w:r w:rsidR="00125848" w:rsidRPr="004A1802">
        <w:rPr>
          <w:sz w:val="28"/>
          <w:szCs w:val="28"/>
        </w:rPr>
        <w:t xml:space="preserve"> </w:t>
      </w:r>
    </w:p>
    <w:p w:rsidR="004533D3" w:rsidRPr="00927E47" w:rsidRDefault="004533D3" w:rsidP="002E76E8">
      <w:pPr>
        <w:autoSpaceDE w:val="0"/>
        <w:autoSpaceDN w:val="0"/>
        <w:adjustRightInd w:val="0"/>
        <w:rPr>
          <w:rFonts w:ascii="Arial" w:hAnsi="Arial" w:cs="Arial"/>
          <w:bCs/>
          <w:sz w:val="20"/>
          <w:szCs w:val="20"/>
          <w:lang w:eastAsia="en-AU"/>
        </w:rPr>
      </w:pPr>
    </w:p>
    <w:p w:rsidR="00D152AE" w:rsidRPr="00927E47" w:rsidRDefault="004533D3" w:rsidP="002E76E8">
      <w:pPr>
        <w:autoSpaceDE w:val="0"/>
        <w:autoSpaceDN w:val="0"/>
        <w:adjustRightInd w:val="0"/>
        <w:rPr>
          <w:rFonts w:ascii="Arial" w:hAnsi="Arial" w:cs="Arial"/>
          <w:sz w:val="20"/>
          <w:szCs w:val="20"/>
          <w:lang w:eastAsia="en-AU"/>
        </w:rPr>
      </w:pPr>
      <w:r w:rsidRPr="00927E47">
        <w:rPr>
          <w:rFonts w:ascii="Arial" w:hAnsi="Arial" w:cs="Arial"/>
          <w:bCs/>
          <w:sz w:val="20"/>
          <w:szCs w:val="20"/>
          <w:lang w:eastAsia="en-AU"/>
        </w:rPr>
        <w:t>The A</w:t>
      </w:r>
      <w:r w:rsidR="00125848" w:rsidRPr="00927E47">
        <w:rPr>
          <w:rFonts w:ascii="Arial" w:hAnsi="Arial" w:cs="Arial"/>
          <w:bCs/>
          <w:sz w:val="20"/>
          <w:szCs w:val="20"/>
          <w:lang w:eastAsia="en-AU"/>
        </w:rPr>
        <w:t xml:space="preserve">ustralian </w:t>
      </w:r>
      <w:r w:rsidRPr="00927E47">
        <w:rPr>
          <w:rFonts w:ascii="Arial" w:hAnsi="Arial" w:cs="Arial"/>
          <w:bCs/>
          <w:sz w:val="20"/>
          <w:szCs w:val="20"/>
          <w:lang w:eastAsia="en-AU"/>
        </w:rPr>
        <w:t>N</w:t>
      </w:r>
      <w:r w:rsidR="00125848" w:rsidRPr="00927E47">
        <w:rPr>
          <w:rFonts w:ascii="Arial" w:hAnsi="Arial" w:cs="Arial"/>
          <w:bCs/>
          <w:sz w:val="20"/>
          <w:szCs w:val="20"/>
          <w:lang w:eastAsia="en-AU"/>
        </w:rPr>
        <w:t xml:space="preserve">ational Audit </w:t>
      </w:r>
      <w:r w:rsidRPr="00927E47">
        <w:rPr>
          <w:rFonts w:ascii="Arial" w:hAnsi="Arial" w:cs="Arial"/>
          <w:bCs/>
          <w:sz w:val="20"/>
          <w:szCs w:val="20"/>
          <w:lang w:eastAsia="en-AU"/>
        </w:rPr>
        <w:t>O</w:t>
      </w:r>
      <w:r w:rsidR="00125848" w:rsidRPr="00927E47">
        <w:rPr>
          <w:rFonts w:ascii="Arial" w:hAnsi="Arial" w:cs="Arial"/>
          <w:bCs/>
          <w:sz w:val="20"/>
          <w:szCs w:val="20"/>
          <w:lang w:eastAsia="en-AU"/>
        </w:rPr>
        <w:t>ffice</w:t>
      </w:r>
      <w:r w:rsidR="00240A94">
        <w:rPr>
          <w:rFonts w:ascii="Arial" w:hAnsi="Arial" w:cs="Arial"/>
          <w:bCs/>
          <w:sz w:val="20"/>
          <w:szCs w:val="20"/>
          <w:lang w:eastAsia="en-AU"/>
        </w:rPr>
        <w:t xml:space="preserve"> (AN</w:t>
      </w:r>
      <w:r w:rsidR="000E4F7D">
        <w:rPr>
          <w:rFonts w:ascii="Arial" w:hAnsi="Arial" w:cs="Arial"/>
          <w:bCs/>
          <w:sz w:val="20"/>
          <w:szCs w:val="20"/>
          <w:lang w:eastAsia="en-AU"/>
        </w:rPr>
        <w:t>A</w:t>
      </w:r>
      <w:r w:rsidR="00240A94">
        <w:rPr>
          <w:rFonts w:ascii="Arial" w:hAnsi="Arial" w:cs="Arial"/>
          <w:bCs/>
          <w:sz w:val="20"/>
          <w:szCs w:val="20"/>
          <w:lang w:eastAsia="en-AU"/>
        </w:rPr>
        <w:t>O</w:t>
      </w:r>
      <w:r w:rsidR="000E4F7D">
        <w:rPr>
          <w:rFonts w:ascii="Arial" w:hAnsi="Arial" w:cs="Arial"/>
          <w:bCs/>
          <w:sz w:val="20"/>
          <w:szCs w:val="20"/>
          <w:lang w:eastAsia="en-AU"/>
        </w:rPr>
        <w:t>)</w:t>
      </w:r>
      <w:r w:rsidRPr="00927E47">
        <w:rPr>
          <w:rFonts w:ascii="Arial" w:hAnsi="Arial" w:cs="Arial"/>
          <w:bCs/>
          <w:sz w:val="20"/>
          <w:szCs w:val="20"/>
          <w:lang w:eastAsia="en-AU"/>
        </w:rPr>
        <w:t xml:space="preserve"> </w:t>
      </w:r>
      <w:r w:rsidR="00125848" w:rsidRPr="00927E47">
        <w:rPr>
          <w:rFonts w:ascii="Arial" w:hAnsi="Arial" w:cs="Arial"/>
          <w:bCs/>
          <w:sz w:val="20"/>
          <w:szCs w:val="20"/>
          <w:lang w:eastAsia="en-AU"/>
        </w:rPr>
        <w:t>carried out a performance audit on</w:t>
      </w:r>
      <w:r w:rsidRPr="00927E47">
        <w:rPr>
          <w:rFonts w:ascii="Arial" w:hAnsi="Arial" w:cs="Arial"/>
          <w:bCs/>
          <w:sz w:val="20"/>
          <w:szCs w:val="20"/>
          <w:lang w:eastAsia="en-AU"/>
        </w:rPr>
        <w:t xml:space="preserve"> the </w:t>
      </w:r>
      <w:r w:rsidR="00125848" w:rsidRPr="00927E47">
        <w:rPr>
          <w:rFonts w:ascii="Arial" w:hAnsi="Arial" w:cs="Arial"/>
          <w:bCs/>
          <w:sz w:val="20"/>
          <w:szCs w:val="20"/>
          <w:lang w:eastAsia="en-AU"/>
        </w:rPr>
        <w:t>S</w:t>
      </w:r>
      <w:r w:rsidRPr="00927E47">
        <w:rPr>
          <w:rFonts w:ascii="Arial" w:hAnsi="Arial" w:cs="Arial"/>
          <w:bCs/>
          <w:sz w:val="20"/>
          <w:szCs w:val="20"/>
          <w:lang w:eastAsia="en-AU"/>
        </w:rPr>
        <w:t>trategic</w:t>
      </w:r>
      <w:r w:rsidR="00125848" w:rsidRPr="00927E47">
        <w:rPr>
          <w:rFonts w:ascii="Arial" w:hAnsi="Arial" w:cs="Arial"/>
          <w:bCs/>
          <w:sz w:val="20"/>
          <w:szCs w:val="20"/>
          <w:lang w:eastAsia="en-AU"/>
        </w:rPr>
        <w:t xml:space="preserve"> R</w:t>
      </w:r>
      <w:r w:rsidRPr="00927E47">
        <w:rPr>
          <w:rFonts w:ascii="Arial" w:hAnsi="Arial" w:cs="Arial"/>
          <w:bCs/>
          <w:sz w:val="20"/>
          <w:szCs w:val="20"/>
          <w:lang w:eastAsia="en-AU"/>
        </w:rPr>
        <w:t xml:space="preserve">egional </w:t>
      </w:r>
      <w:r w:rsidR="00125848" w:rsidRPr="00927E47">
        <w:rPr>
          <w:rFonts w:ascii="Arial" w:hAnsi="Arial" w:cs="Arial"/>
          <w:bCs/>
          <w:sz w:val="20"/>
          <w:szCs w:val="20"/>
          <w:lang w:eastAsia="en-AU"/>
        </w:rPr>
        <w:t>P</w:t>
      </w:r>
      <w:r w:rsidRPr="00927E47">
        <w:rPr>
          <w:rFonts w:ascii="Arial" w:hAnsi="Arial" w:cs="Arial"/>
          <w:bCs/>
          <w:sz w:val="20"/>
          <w:szCs w:val="20"/>
          <w:lang w:eastAsia="en-AU"/>
        </w:rPr>
        <w:t>rogram</w:t>
      </w:r>
      <w:r w:rsidR="00125848" w:rsidRPr="00927E47">
        <w:rPr>
          <w:rFonts w:ascii="Arial" w:hAnsi="Arial" w:cs="Arial"/>
          <w:sz w:val="20"/>
          <w:szCs w:val="20"/>
          <w:lang w:eastAsia="en-AU"/>
        </w:rPr>
        <w:t xml:space="preserve"> in the Department of Infrastructure, Transport, Regional Development and Local Government</w:t>
      </w:r>
      <w:r w:rsidR="00CA1FF1">
        <w:rPr>
          <w:rFonts w:ascii="Arial" w:hAnsi="Arial" w:cs="Arial"/>
          <w:sz w:val="20"/>
          <w:szCs w:val="20"/>
          <w:lang w:eastAsia="en-AU"/>
        </w:rPr>
        <w:t>.</w:t>
      </w:r>
      <w:r w:rsidR="00125848" w:rsidRPr="00927E47">
        <w:rPr>
          <w:rFonts w:ascii="Arial" w:hAnsi="Arial" w:cs="Arial"/>
          <w:bCs/>
          <w:sz w:val="20"/>
          <w:szCs w:val="20"/>
          <w:lang w:eastAsia="en-AU"/>
        </w:rPr>
        <w:t xml:space="preserve"> </w:t>
      </w:r>
      <w:r w:rsidR="00CA1FF1">
        <w:rPr>
          <w:rFonts w:ascii="Arial" w:hAnsi="Arial" w:cs="Arial"/>
          <w:bCs/>
          <w:sz w:val="20"/>
          <w:szCs w:val="20"/>
          <w:lang w:eastAsia="en-AU"/>
        </w:rPr>
        <w:t>The audit</w:t>
      </w:r>
      <w:r w:rsidRPr="00927E47">
        <w:rPr>
          <w:rFonts w:ascii="Arial" w:hAnsi="Arial" w:cs="Arial"/>
          <w:bCs/>
          <w:sz w:val="20"/>
          <w:szCs w:val="20"/>
          <w:lang w:eastAsia="en-AU"/>
        </w:rPr>
        <w:t xml:space="preserve"> found that accountability over how</w:t>
      </w:r>
      <w:r w:rsidR="00CA1FF1">
        <w:rPr>
          <w:rFonts w:ascii="Arial" w:hAnsi="Arial" w:cs="Arial"/>
          <w:bCs/>
          <w:sz w:val="20"/>
          <w:szCs w:val="20"/>
          <w:lang w:eastAsia="en-AU"/>
        </w:rPr>
        <w:t xml:space="preserve"> Commonwealth</w:t>
      </w:r>
      <w:r w:rsidRPr="00927E47">
        <w:rPr>
          <w:rFonts w:ascii="Arial" w:hAnsi="Arial" w:cs="Arial"/>
          <w:bCs/>
          <w:sz w:val="20"/>
          <w:szCs w:val="20"/>
          <w:lang w:eastAsia="en-AU"/>
        </w:rPr>
        <w:t xml:space="preserve"> funds were</w:t>
      </w:r>
      <w:r w:rsidR="008F6AA7">
        <w:rPr>
          <w:rFonts w:ascii="Arial" w:hAnsi="Arial" w:cs="Arial"/>
          <w:bCs/>
          <w:sz w:val="20"/>
          <w:szCs w:val="20"/>
          <w:lang w:eastAsia="en-AU"/>
        </w:rPr>
        <w:t xml:space="preserve"> allocated and</w:t>
      </w:r>
      <w:r w:rsidRPr="00927E47">
        <w:rPr>
          <w:rFonts w:ascii="Arial" w:hAnsi="Arial" w:cs="Arial"/>
          <w:bCs/>
          <w:sz w:val="20"/>
          <w:szCs w:val="20"/>
          <w:lang w:eastAsia="en-AU"/>
        </w:rPr>
        <w:t xml:space="preserve"> spent</w:t>
      </w:r>
      <w:r w:rsidR="008F6AA7">
        <w:rPr>
          <w:rFonts w:ascii="Arial" w:hAnsi="Arial" w:cs="Arial"/>
          <w:bCs/>
          <w:sz w:val="20"/>
          <w:szCs w:val="20"/>
          <w:lang w:eastAsia="en-AU"/>
        </w:rPr>
        <w:t>,</w:t>
      </w:r>
      <w:r w:rsidR="00125848" w:rsidRPr="00927E47">
        <w:rPr>
          <w:rFonts w:ascii="Arial" w:hAnsi="Arial" w:cs="Arial"/>
          <w:bCs/>
          <w:sz w:val="20"/>
          <w:szCs w:val="20"/>
          <w:lang w:eastAsia="en-AU"/>
        </w:rPr>
        <w:t xml:space="preserve"> and general practice of local government road provision was</w:t>
      </w:r>
      <w:r w:rsidRPr="00927E47">
        <w:rPr>
          <w:rFonts w:ascii="Arial" w:hAnsi="Arial" w:cs="Arial"/>
          <w:bCs/>
          <w:sz w:val="20"/>
          <w:szCs w:val="20"/>
          <w:lang w:eastAsia="en-AU"/>
        </w:rPr>
        <w:t xml:space="preserve"> </w:t>
      </w:r>
      <w:r w:rsidR="000E4F7D">
        <w:rPr>
          <w:rFonts w:ascii="Arial" w:hAnsi="Arial" w:cs="Arial"/>
          <w:bCs/>
          <w:sz w:val="20"/>
          <w:szCs w:val="20"/>
          <w:lang w:eastAsia="en-AU"/>
        </w:rPr>
        <w:t>not working as efficiently as it should</w:t>
      </w:r>
      <w:r w:rsidRPr="00927E47">
        <w:rPr>
          <w:rFonts w:ascii="Arial" w:hAnsi="Arial" w:cs="Arial"/>
          <w:bCs/>
          <w:sz w:val="20"/>
          <w:szCs w:val="20"/>
          <w:lang w:eastAsia="en-AU"/>
        </w:rPr>
        <w:t>.</w:t>
      </w:r>
      <w:r w:rsidR="00D152AE" w:rsidRPr="00927E47">
        <w:rPr>
          <w:rFonts w:ascii="Arial" w:hAnsi="Arial" w:cs="Arial"/>
          <w:bCs/>
          <w:sz w:val="20"/>
          <w:szCs w:val="20"/>
          <w:lang w:eastAsia="en-AU"/>
        </w:rPr>
        <w:t xml:space="preserve"> </w:t>
      </w:r>
    </w:p>
    <w:p w:rsidR="00D152AE" w:rsidRPr="00927E47" w:rsidRDefault="00D152AE" w:rsidP="002E76E8">
      <w:pPr>
        <w:autoSpaceDE w:val="0"/>
        <w:autoSpaceDN w:val="0"/>
        <w:adjustRightInd w:val="0"/>
        <w:rPr>
          <w:rFonts w:ascii="Arial" w:hAnsi="Arial" w:cs="Arial"/>
          <w:bCs/>
          <w:sz w:val="20"/>
          <w:szCs w:val="20"/>
          <w:lang w:eastAsia="en-AU"/>
        </w:rPr>
      </w:pPr>
    </w:p>
    <w:p w:rsidR="004533D3" w:rsidRPr="00927E47" w:rsidRDefault="00125848" w:rsidP="002E76E8">
      <w:pPr>
        <w:autoSpaceDE w:val="0"/>
        <w:autoSpaceDN w:val="0"/>
        <w:adjustRightInd w:val="0"/>
        <w:rPr>
          <w:rFonts w:ascii="Arial" w:hAnsi="Arial" w:cs="Arial"/>
          <w:bCs/>
          <w:sz w:val="20"/>
          <w:szCs w:val="20"/>
          <w:lang w:eastAsia="en-AU"/>
        </w:rPr>
      </w:pPr>
      <w:r w:rsidRPr="00927E47">
        <w:rPr>
          <w:rFonts w:ascii="Arial" w:hAnsi="Arial" w:cs="Arial"/>
          <w:bCs/>
          <w:sz w:val="20"/>
          <w:szCs w:val="20"/>
          <w:lang w:eastAsia="en-AU"/>
        </w:rPr>
        <w:t>The Program stated p</w:t>
      </w:r>
      <w:r w:rsidR="00D152AE" w:rsidRPr="00927E47">
        <w:rPr>
          <w:rFonts w:ascii="Arial" w:hAnsi="Arial" w:cs="Arial"/>
          <w:bCs/>
          <w:sz w:val="20"/>
          <w:szCs w:val="20"/>
          <w:lang w:eastAsia="en-AU"/>
        </w:rPr>
        <w:t xml:space="preserve">rojects were based on the merits of meeting a set of guidelines which were meant to promote regional Australian endeavours. </w:t>
      </w:r>
      <w:r w:rsidR="0062376D" w:rsidRPr="00927E47">
        <w:rPr>
          <w:rFonts w:ascii="Arial" w:hAnsi="Arial" w:cs="Arial"/>
          <w:bCs/>
          <w:sz w:val="20"/>
          <w:szCs w:val="20"/>
          <w:lang w:eastAsia="en-AU"/>
        </w:rPr>
        <w:t>However</w:t>
      </w:r>
      <w:r w:rsidRPr="00927E47">
        <w:rPr>
          <w:rFonts w:ascii="Arial" w:hAnsi="Arial" w:cs="Arial"/>
          <w:bCs/>
          <w:sz w:val="20"/>
          <w:szCs w:val="20"/>
          <w:lang w:eastAsia="en-AU"/>
        </w:rPr>
        <w:t>,</w:t>
      </w:r>
      <w:r w:rsidR="0062376D" w:rsidRPr="00927E47">
        <w:rPr>
          <w:rFonts w:ascii="Arial" w:hAnsi="Arial" w:cs="Arial"/>
          <w:bCs/>
          <w:sz w:val="20"/>
          <w:szCs w:val="20"/>
          <w:lang w:eastAsia="en-AU"/>
        </w:rPr>
        <w:t xml:space="preserve"> failings in the drafting of these legislative guidelines did not enforce accountability on providers</w:t>
      </w:r>
      <w:r w:rsidR="0062376D" w:rsidRPr="00927E47">
        <w:rPr>
          <w:rStyle w:val="FootnoteReference"/>
          <w:rFonts w:ascii="Arial" w:hAnsi="Arial" w:cs="Arial"/>
          <w:bCs/>
          <w:sz w:val="20"/>
          <w:szCs w:val="20"/>
          <w:lang w:eastAsia="en-AU"/>
        </w:rPr>
        <w:footnoteReference w:id="4"/>
      </w:r>
      <w:r w:rsidR="0062376D" w:rsidRPr="00927E47">
        <w:rPr>
          <w:rFonts w:ascii="Arial" w:hAnsi="Arial" w:cs="Arial"/>
          <w:bCs/>
          <w:sz w:val="20"/>
          <w:szCs w:val="20"/>
          <w:lang w:eastAsia="en-AU"/>
        </w:rPr>
        <w:t xml:space="preserve">. </w:t>
      </w:r>
      <w:r w:rsidR="00363287" w:rsidRPr="00927E47">
        <w:rPr>
          <w:rFonts w:ascii="Arial" w:hAnsi="Arial" w:cs="Arial"/>
          <w:bCs/>
          <w:sz w:val="20"/>
          <w:szCs w:val="20"/>
          <w:lang w:eastAsia="en-AU"/>
        </w:rPr>
        <w:t>Guidelines</w:t>
      </w:r>
      <w:r w:rsidRPr="00927E47">
        <w:rPr>
          <w:rFonts w:ascii="Arial" w:hAnsi="Arial" w:cs="Arial"/>
          <w:bCs/>
          <w:sz w:val="20"/>
          <w:szCs w:val="20"/>
          <w:lang w:eastAsia="en-AU"/>
        </w:rPr>
        <w:t xml:space="preserve"> were updated </w:t>
      </w:r>
      <w:r w:rsidR="00363287" w:rsidRPr="00927E47">
        <w:rPr>
          <w:rFonts w:ascii="Arial" w:hAnsi="Arial" w:cs="Arial"/>
          <w:bCs/>
          <w:sz w:val="20"/>
          <w:szCs w:val="20"/>
          <w:lang w:eastAsia="en-AU"/>
        </w:rPr>
        <w:t>in July 2009</w:t>
      </w:r>
      <w:r w:rsidR="005C1F41" w:rsidRPr="00927E47">
        <w:rPr>
          <w:rStyle w:val="FootnoteReference"/>
          <w:rFonts w:ascii="Arial" w:hAnsi="Arial" w:cs="Arial"/>
          <w:bCs/>
          <w:sz w:val="20"/>
          <w:szCs w:val="20"/>
          <w:lang w:eastAsia="en-AU"/>
        </w:rPr>
        <w:footnoteReference w:id="5"/>
      </w:r>
      <w:r w:rsidRPr="00927E47">
        <w:rPr>
          <w:rFonts w:ascii="Arial" w:hAnsi="Arial" w:cs="Arial"/>
          <w:bCs/>
          <w:sz w:val="20"/>
          <w:szCs w:val="20"/>
          <w:lang w:eastAsia="en-AU"/>
        </w:rPr>
        <w:t xml:space="preserve"> aiming to improve</w:t>
      </w:r>
      <w:r w:rsidR="00363287" w:rsidRPr="00927E47">
        <w:rPr>
          <w:rFonts w:ascii="Arial" w:hAnsi="Arial" w:cs="Arial"/>
          <w:bCs/>
          <w:sz w:val="20"/>
          <w:szCs w:val="20"/>
          <w:lang w:eastAsia="en-AU"/>
        </w:rPr>
        <w:t xml:space="preserve"> the transparency and accountability of grants decision making processes</w:t>
      </w:r>
      <w:r w:rsidRPr="00927E47">
        <w:rPr>
          <w:rFonts w:ascii="Arial" w:hAnsi="Arial" w:cs="Arial"/>
          <w:bCs/>
          <w:sz w:val="20"/>
          <w:szCs w:val="20"/>
          <w:lang w:eastAsia="en-AU"/>
        </w:rPr>
        <w:t xml:space="preserve">. Nevertheless, the </w:t>
      </w:r>
      <w:r w:rsidR="005C1F41" w:rsidRPr="00927E47">
        <w:rPr>
          <w:rFonts w:ascii="Arial" w:hAnsi="Arial" w:cs="Arial"/>
          <w:bCs/>
          <w:sz w:val="20"/>
          <w:szCs w:val="20"/>
          <w:lang w:eastAsia="en-AU"/>
        </w:rPr>
        <w:t>department found that by April 2010</w:t>
      </w:r>
      <w:r w:rsidR="00B5663B">
        <w:rPr>
          <w:rFonts w:ascii="Arial" w:hAnsi="Arial" w:cs="Arial"/>
          <w:bCs/>
          <w:sz w:val="20"/>
          <w:szCs w:val="20"/>
          <w:lang w:eastAsia="en-AU"/>
        </w:rPr>
        <w:t>,</w:t>
      </w:r>
      <w:r w:rsidR="005C1F41" w:rsidRPr="00927E47">
        <w:rPr>
          <w:rFonts w:ascii="Arial" w:hAnsi="Arial" w:cs="Arial"/>
          <w:bCs/>
          <w:sz w:val="20"/>
          <w:szCs w:val="20"/>
          <w:lang w:eastAsia="en-AU"/>
        </w:rPr>
        <w:t xml:space="preserve"> 11 projects provided by local governments did not come under the requirements of the new grant guidelines.</w:t>
      </w:r>
      <w:r w:rsidR="005C1F41" w:rsidRPr="00927E47">
        <w:rPr>
          <w:rStyle w:val="FootnoteReference"/>
          <w:rFonts w:ascii="Arial" w:hAnsi="Arial" w:cs="Arial"/>
          <w:bCs/>
          <w:sz w:val="20"/>
          <w:szCs w:val="20"/>
          <w:lang w:eastAsia="en-AU"/>
        </w:rPr>
        <w:footnoteReference w:id="6"/>
      </w:r>
    </w:p>
    <w:p w:rsidR="0062376D" w:rsidRPr="00927E47" w:rsidRDefault="0062376D" w:rsidP="002E76E8">
      <w:pPr>
        <w:autoSpaceDE w:val="0"/>
        <w:autoSpaceDN w:val="0"/>
        <w:adjustRightInd w:val="0"/>
        <w:rPr>
          <w:rFonts w:ascii="Arial" w:hAnsi="Arial" w:cs="Arial"/>
          <w:bCs/>
          <w:sz w:val="20"/>
          <w:szCs w:val="20"/>
          <w:lang w:eastAsia="en-AU"/>
        </w:rPr>
      </w:pPr>
    </w:p>
    <w:p w:rsidR="009C09C3" w:rsidRPr="00927E47" w:rsidRDefault="009C09C3" w:rsidP="002E76E8">
      <w:pPr>
        <w:rPr>
          <w:rFonts w:ascii="Arial" w:hAnsi="Arial" w:cs="Arial"/>
          <w:sz w:val="20"/>
          <w:szCs w:val="20"/>
        </w:rPr>
      </w:pPr>
      <w:r w:rsidRPr="00927E47">
        <w:rPr>
          <w:rFonts w:ascii="Arial" w:hAnsi="Arial" w:cs="Arial"/>
          <w:sz w:val="20"/>
          <w:szCs w:val="20"/>
        </w:rPr>
        <w:t>Flaws in judgement were discovered, with problems in decision makers rating projects correctly and being able to rank and price up projects accordingly. Ministers were given projects that were rated low in eligi</w:t>
      </w:r>
      <w:r w:rsidR="00793A41">
        <w:rPr>
          <w:rFonts w:ascii="Arial" w:hAnsi="Arial" w:cs="Arial"/>
          <w:sz w:val="20"/>
          <w:szCs w:val="20"/>
        </w:rPr>
        <w:t xml:space="preserve">bility </w:t>
      </w:r>
      <w:r w:rsidR="00A276DF">
        <w:rPr>
          <w:rFonts w:ascii="Arial" w:hAnsi="Arial" w:cs="Arial"/>
          <w:sz w:val="20"/>
          <w:szCs w:val="20"/>
        </w:rPr>
        <w:t>that</w:t>
      </w:r>
      <w:r w:rsidR="00793A41">
        <w:rPr>
          <w:rFonts w:ascii="Arial" w:hAnsi="Arial" w:cs="Arial"/>
          <w:sz w:val="20"/>
          <w:szCs w:val="20"/>
        </w:rPr>
        <w:t xml:space="preserve"> were still approved</w:t>
      </w:r>
      <w:r w:rsidRPr="00927E47">
        <w:rPr>
          <w:rFonts w:ascii="Arial" w:hAnsi="Arial" w:cs="Arial"/>
          <w:sz w:val="20"/>
          <w:szCs w:val="20"/>
        </w:rPr>
        <w:t xml:space="preserve"> by the minister at the time. </w:t>
      </w:r>
      <w:r w:rsidRPr="00927E47">
        <w:rPr>
          <w:rStyle w:val="FootnoteReference"/>
          <w:rFonts w:ascii="Arial" w:hAnsi="Arial" w:cs="Arial"/>
          <w:sz w:val="20"/>
          <w:szCs w:val="20"/>
        </w:rPr>
        <w:footnoteReference w:id="7"/>
      </w:r>
      <w:r w:rsidR="00240A94">
        <w:rPr>
          <w:rFonts w:ascii="Arial" w:hAnsi="Arial" w:cs="Arial"/>
          <w:sz w:val="20"/>
          <w:szCs w:val="20"/>
        </w:rPr>
        <w:t xml:space="preserve"> At the ANAO</w:t>
      </w:r>
      <w:r w:rsidR="000E4F7D">
        <w:rPr>
          <w:rFonts w:ascii="Arial" w:hAnsi="Arial" w:cs="Arial"/>
          <w:sz w:val="20"/>
          <w:szCs w:val="20"/>
        </w:rPr>
        <w:t>’s</w:t>
      </w:r>
      <w:r w:rsidRPr="00927E47">
        <w:rPr>
          <w:rFonts w:ascii="Arial" w:hAnsi="Arial" w:cs="Arial"/>
          <w:sz w:val="20"/>
          <w:szCs w:val="20"/>
        </w:rPr>
        <w:t xml:space="preserve"> request minister</w:t>
      </w:r>
      <w:r w:rsidR="000E4F7D">
        <w:rPr>
          <w:rFonts w:ascii="Arial" w:hAnsi="Arial" w:cs="Arial"/>
          <w:sz w:val="20"/>
          <w:szCs w:val="20"/>
        </w:rPr>
        <w:t>s</w:t>
      </w:r>
      <w:r w:rsidRPr="00927E47">
        <w:rPr>
          <w:rFonts w:ascii="Arial" w:hAnsi="Arial" w:cs="Arial"/>
          <w:sz w:val="20"/>
          <w:szCs w:val="20"/>
        </w:rPr>
        <w:t xml:space="preserve"> provided the evidence of projects t</w:t>
      </w:r>
      <w:r w:rsidR="00793A41">
        <w:rPr>
          <w:rFonts w:ascii="Arial" w:hAnsi="Arial" w:cs="Arial"/>
          <w:sz w:val="20"/>
          <w:szCs w:val="20"/>
        </w:rPr>
        <w:t xml:space="preserve">hat were not funded in 2006, they </w:t>
      </w:r>
      <w:r w:rsidRPr="00927E47">
        <w:rPr>
          <w:rFonts w:ascii="Arial" w:hAnsi="Arial" w:cs="Arial"/>
          <w:sz w:val="20"/>
          <w:szCs w:val="20"/>
        </w:rPr>
        <w:t xml:space="preserve">found that 83% of all application were not approved for funding. </w:t>
      </w:r>
      <w:r w:rsidRPr="00927E47">
        <w:rPr>
          <w:rStyle w:val="FootnoteReference"/>
          <w:rFonts w:ascii="Arial" w:hAnsi="Arial" w:cs="Arial"/>
          <w:sz w:val="20"/>
          <w:szCs w:val="20"/>
        </w:rPr>
        <w:footnoteReference w:id="8"/>
      </w:r>
      <w:r w:rsidRPr="00927E47">
        <w:rPr>
          <w:rFonts w:ascii="Arial" w:hAnsi="Arial" w:cs="Arial"/>
          <w:sz w:val="20"/>
          <w:szCs w:val="20"/>
        </w:rPr>
        <w:t xml:space="preserve"> </w:t>
      </w:r>
    </w:p>
    <w:p w:rsidR="009C09C3" w:rsidRDefault="009C09C3" w:rsidP="002E76E8">
      <w:pPr>
        <w:autoSpaceDE w:val="0"/>
        <w:autoSpaceDN w:val="0"/>
        <w:adjustRightInd w:val="0"/>
        <w:rPr>
          <w:rFonts w:ascii="Arial" w:hAnsi="Arial" w:cs="Arial"/>
          <w:bCs/>
          <w:sz w:val="20"/>
          <w:szCs w:val="20"/>
          <w:lang w:eastAsia="en-AU"/>
        </w:rPr>
      </w:pPr>
    </w:p>
    <w:p w:rsidR="001955E5" w:rsidRPr="001955E5" w:rsidRDefault="009C09C3" w:rsidP="001955E5">
      <w:pPr>
        <w:autoSpaceDE w:val="0"/>
        <w:autoSpaceDN w:val="0"/>
        <w:adjustRightInd w:val="0"/>
        <w:rPr>
          <w:rFonts w:ascii="Arial" w:hAnsi="Arial" w:cs="Arial"/>
          <w:bCs/>
          <w:sz w:val="20"/>
          <w:szCs w:val="20"/>
          <w:lang w:eastAsia="en-AU"/>
        </w:rPr>
      </w:pPr>
      <w:r>
        <w:rPr>
          <w:rFonts w:ascii="Arial" w:hAnsi="Arial" w:cs="Arial"/>
          <w:bCs/>
          <w:sz w:val="20"/>
          <w:szCs w:val="20"/>
          <w:lang w:eastAsia="en-AU"/>
        </w:rPr>
        <w:t>T</w:t>
      </w:r>
      <w:r w:rsidR="0062376D" w:rsidRPr="00927E47">
        <w:rPr>
          <w:rFonts w:ascii="Arial" w:hAnsi="Arial" w:cs="Arial"/>
          <w:bCs/>
          <w:sz w:val="20"/>
          <w:szCs w:val="20"/>
          <w:lang w:eastAsia="en-AU"/>
        </w:rPr>
        <w:t xml:space="preserve">he audit found that in </w:t>
      </w:r>
      <w:r w:rsidR="00927E47" w:rsidRPr="00927E47">
        <w:rPr>
          <w:rFonts w:ascii="Arial" w:hAnsi="Arial" w:cs="Arial"/>
          <w:bCs/>
          <w:sz w:val="20"/>
          <w:szCs w:val="20"/>
          <w:lang w:eastAsia="en-AU"/>
        </w:rPr>
        <w:t>2006</w:t>
      </w:r>
      <w:r w:rsidR="0062376D" w:rsidRPr="00927E47">
        <w:rPr>
          <w:rFonts w:ascii="Arial" w:hAnsi="Arial" w:cs="Arial"/>
          <w:bCs/>
          <w:sz w:val="20"/>
          <w:szCs w:val="20"/>
          <w:lang w:eastAsia="en-AU"/>
        </w:rPr>
        <w:t xml:space="preserve"> “65% of projects approved for funding…by the then minister had either not been assessed against the published program guidelines; had been assessed as being ineligible under the guidelines; or had not been assessed as meeting the relevant criteria to a high degree.</w:t>
      </w:r>
      <w:r>
        <w:rPr>
          <w:rFonts w:ascii="Arial" w:hAnsi="Arial" w:cs="Arial"/>
          <w:bCs/>
          <w:sz w:val="20"/>
          <w:szCs w:val="20"/>
          <w:lang w:eastAsia="en-AU"/>
        </w:rPr>
        <w:t>”</w:t>
      </w:r>
      <w:r w:rsidR="0062376D" w:rsidRPr="00927E47">
        <w:rPr>
          <w:rStyle w:val="FootnoteReference"/>
          <w:rFonts w:ascii="Arial" w:hAnsi="Arial" w:cs="Arial"/>
          <w:bCs/>
          <w:sz w:val="20"/>
          <w:szCs w:val="20"/>
          <w:lang w:eastAsia="en-AU"/>
        </w:rPr>
        <w:footnoteReference w:id="9"/>
      </w:r>
      <w:r w:rsidR="00927E47" w:rsidRPr="00927E47">
        <w:rPr>
          <w:rFonts w:ascii="Arial" w:hAnsi="Arial" w:cs="Arial"/>
          <w:bCs/>
          <w:sz w:val="20"/>
          <w:szCs w:val="20"/>
          <w:lang w:eastAsia="en-AU"/>
        </w:rPr>
        <w:t xml:space="preserve"> </w:t>
      </w:r>
      <w:r>
        <w:rPr>
          <w:rFonts w:ascii="Arial" w:hAnsi="Arial" w:cs="Arial"/>
          <w:bCs/>
          <w:sz w:val="20"/>
          <w:szCs w:val="20"/>
          <w:lang w:eastAsia="en-AU"/>
        </w:rPr>
        <w:t xml:space="preserve">Along with ministers approving projects </w:t>
      </w:r>
      <w:r w:rsidR="00DE68C2">
        <w:rPr>
          <w:rFonts w:ascii="Arial" w:hAnsi="Arial" w:cs="Arial"/>
          <w:bCs/>
          <w:sz w:val="20"/>
          <w:szCs w:val="20"/>
          <w:lang w:eastAsia="en-AU"/>
        </w:rPr>
        <w:t>which</w:t>
      </w:r>
      <w:r>
        <w:rPr>
          <w:rFonts w:ascii="Arial" w:hAnsi="Arial" w:cs="Arial"/>
          <w:bCs/>
          <w:sz w:val="20"/>
          <w:szCs w:val="20"/>
          <w:lang w:eastAsia="en-AU"/>
        </w:rPr>
        <w:t xml:space="preserve"> were rated with low eligibility, administrative best practice was not enforced with much of the paperwork not provided for projects that were approved.</w:t>
      </w:r>
      <w:r w:rsidRPr="00927E47">
        <w:rPr>
          <w:rStyle w:val="FootnoteReference"/>
          <w:rFonts w:ascii="Arial" w:hAnsi="Arial" w:cs="Arial"/>
          <w:sz w:val="20"/>
          <w:szCs w:val="20"/>
        </w:rPr>
        <w:footnoteReference w:id="10"/>
      </w:r>
      <w:r>
        <w:rPr>
          <w:rFonts w:ascii="Arial" w:hAnsi="Arial" w:cs="Arial"/>
          <w:bCs/>
          <w:sz w:val="20"/>
          <w:szCs w:val="20"/>
          <w:lang w:eastAsia="en-AU"/>
        </w:rPr>
        <w:t xml:space="preserve"> </w:t>
      </w:r>
      <w:bookmarkStart w:id="96" w:name="_Toc305670388"/>
      <w:bookmarkEnd w:id="96"/>
    </w:p>
    <w:p w:rsidR="00FE690C" w:rsidRPr="00927E47" w:rsidRDefault="00FE690C" w:rsidP="002E76E8">
      <w:pPr>
        <w:rPr>
          <w:rFonts w:ascii="Arial" w:hAnsi="Arial" w:cs="Arial"/>
          <w:sz w:val="20"/>
          <w:szCs w:val="20"/>
        </w:rPr>
      </w:pPr>
    </w:p>
    <w:p w:rsidR="00985C4B" w:rsidRDefault="00240A94" w:rsidP="002E76E8">
      <w:pPr>
        <w:rPr>
          <w:rFonts w:ascii="Arial" w:hAnsi="Arial" w:cs="Arial"/>
          <w:sz w:val="20"/>
          <w:szCs w:val="20"/>
        </w:rPr>
      </w:pPr>
      <w:r>
        <w:rPr>
          <w:rFonts w:ascii="Arial" w:hAnsi="Arial" w:cs="Arial"/>
          <w:sz w:val="20"/>
          <w:szCs w:val="20"/>
        </w:rPr>
        <w:t>The AN</w:t>
      </w:r>
      <w:r w:rsidR="00FE690C" w:rsidRPr="00927E47">
        <w:rPr>
          <w:rFonts w:ascii="Arial" w:hAnsi="Arial" w:cs="Arial"/>
          <w:sz w:val="20"/>
          <w:szCs w:val="20"/>
        </w:rPr>
        <w:t>A</w:t>
      </w:r>
      <w:r>
        <w:rPr>
          <w:rFonts w:ascii="Arial" w:hAnsi="Arial" w:cs="Arial"/>
          <w:sz w:val="20"/>
          <w:szCs w:val="20"/>
        </w:rPr>
        <w:t>O</w:t>
      </w:r>
      <w:r w:rsidR="00FE690C" w:rsidRPr="00927E47">
        <w:rPr>
          <w:rFonts w:ascii="Arial" w:hAnsi="Arial" w:cs="Arial"/>
          <w:sz w:val="20"/>
          <w:szCs w:val="20"/>
        </w:rPr>
        <w:t xml:space="preserve"> suggests a number of recommendations, based on its findings</w:t>
      </w:r>
      <w:r w:rsidR="00985C4B">
        <w:rPr>
          <w:rFonts w:ascii="Arial" w:hAnsi="Arial" w:cs="Arial"/>
          <w:sz w:val="20"/>
          <w:szCs w:val="20"/>
        </w:rPr>
        <w:t xml:space="preserve">. </w:t>
      </w:r>
      <w:r w:rsidR="00DE68C2">
        <w:rPr>
          <w:rFonts w:ascii="Arial" w:hAnsi="Arial" w:cs="Arial"/>
          <w:sz w:val="20"/>
          <w:szCs w:val="20"/>
        </w:rPr>
        <w:t>C</w:t>
      </w:r>
      <w:r w:rsidR="00985C4B">
        <w:rPr>
          <w:rFonts w:ascii="Arial" w:hAnsi="Arial" w:cs="Arial"/>
          <w:sz w:val="20"/>
          <w:szCs w:val="20"/>
        </w:rPr>
        <w:t>all</w:t>
      </w:r>
      <w:r w:rsidR="00DE68C2">
        <w:rPr>
          <w:rFonts w:ascii="Arial" w:hAnsi="Arial" w:cs="Arial"/>
          <w:sz w:val="20"/>
          <w:szCs w:val="20"/>
        </w:rPr>
        <w:t>ing</w:t>
      </w:r>
      <w:r w:rsidR="00985C4B">
        <w:rPr>
          <w:rFonts w:ascii="Arial" w:hAnsi="Arial" w:cs="Arial"/>
          <w:sz w:val="20"/>
          <w:szCs w:val="20"/>
        </w:rPr>
        <w:t xml:space="preserve"> for </w:t>
      </w:r>
      <w:r w:rsidR="00DE68C2">
        <w:rPr>
          <w:rFonts w:ascii="Arial" w:hAnsi="Arial" w:cs="Arial"/>
          <w:sz w:val="20"/>
          <w:szCs w:val="20"/>
        </w:rPr>
        <w:t>enhanced</w:t>
      </w:r>
      <w:r w:rsidR="00985C4B">
        <w:rPr>
          <w:rFonts w:ascii="Arial" w:hAnsi="Arial" w:cs="Arial"/>
          <w:sz w:val="20"/>
          <w:szCs w:val="20"/>
        </w:rPr>
        <w:t xml:space="preserve"> </w:t>
      </w:r>
      <w:r w:rsidR="00FE690C" w:rsidRPr="00927E47">
        <w:rPr>
          <w:rFonts w:ascii="Arial" w:hAnsi="Arial" w:cs="Arial"/>
          <w:sz w:val="20"/>
          <w:szCs w:val="20"/>
        </w:rPr>
        <w:t xml:space="preserve">financial management framework </w:t>
      </w:r>
      <w:r w:rsidR="00985C4B">
        <w:rPr>
          <w:rFonts w:ascii="Arial" w:hAnsi="Arial" w:cs="Arial"/>
          <w:sz w:val="20"/>
          <w:szCs w:val="20"/>
        </w:rPr>
        <w:t>to improve the transparency and accountability of the decision making processes.</w:t>
      </w:r>
      <w:r w:rsidR="00FE690C" w:rsidRPr="00927E47">
        <w:rPr>
          <w:rStyle w:val="FootnoteReference"/>
          <w:rFonts w:ascii="Arial" w:hAnsi="Arial" w:cs="Arial"/>
          <w:sz w:val="20"/>
          <w:szCs w:val="20"/>
        </w:rPr>
        <w:footnoteReference w:id="11"/>
      </w:r>
      <w:r w:rsidR="00FE690C" w:rsidRPr="00927E47">
        <w:rPr>
          <w:rFonts w:ascii="Arial" w:hAnsi="Arial" w:cs="Arial"/>
          <w:sz w:val="20"/>
          <w:szCs w:val="20"/>
        </w:rPr>
        <w:t xml:space="preserve"> </w:t>
      </w:r>
    </w:p>
    <w:p w:rsidR="00985C4B" w:rsidRDefault="00985C4B" w:rsidP="002E76E8">
      <w:pPr>
        <w:rPr>
          <w:rFonts w:ascii="Arial" w:hAnsi="Arial" w:cs="Arial"/>
          <w:sz w:val="20"/>
          <w:szCs w:val="20"/>
        </w:rPr>
      </w:pPr>
      <w:r>
        <w:rPr>
          <w:rFonts w:ascii="Arial" w:hAnsi="Arial" w:cs="Arial"/>
          <w:sz w:val="20"/>
          <w:szCs w:val="20"/>
        </w:rPr>
        <w:t xml:space="preserve">Improving cost versus benefit analysis for ministers, so that </w:t>
      </w:r>
      <w:r w:rsidR="00DE68C2">
        <w:rPr>
          <w:rFonts w:ascii="Arial" w:hAnsi="Arial" w:cs="Arial"/>
          <w:sz w:val="20"/>
          <w:szCs w:val="20"/>
        </w:rPr>
        <w:t>better</w:t>
      </w:r>
      <w:r>
        <w:rPr>
          <w:rFonts w:ascii="Arial" w:hAnsi="Arial" w:cs="Arial"/>
          <w:sz w:val="20"/>
          <w:szCs w:val="20"/>
        </w:rPr>
        <w:t xml:space="preserve"> judgement calls can be made. Approving projects based on how well they fit legislative guidelines</w:t>
      </w:r>
      <w:r w:rsidRPr="00927E47">
        <w:rPr>
          <w:rStyle w:val="FootnoteReference"/>
          <w:rFonts w:ascii="Arial" w:hAnsi="Arial" w:cs="Arial"/>
          <w:sz w:val="20"/>
          <w:szCs w:val="20"/>
        </w:rPr>
        <w:footnoteReference w:id="12"/>
      </w:r>
      <w:r>
        <w:rPr>
          <w:rFonts w:ascii="Arial" w:hAnsi="Arial" w:cs="Arial"/>
          <w:sz w:val="20"/>
          <w:szCs w:val="20"/>
        </w:rPr>
        <w:t xml:space="preserve"> and to promote value for money in for the commonwealth and constituents.</w:t>
      </w:r>
      <w:r w:rsidRPr="00985C4B">
        <w:rPr>
          <w:rStyle w:val="FootnoteReference"/>
          <w:rFonts w:ascii="Arial" w:hAnsi="Arial" w:cs="Arial"/>
          <w:sz w:val="20"/>
          <w:szCs w:val="20"/>
        </w:rPr>
        <w:t xml:space="preserve"> </w:t>
      </w:r>
      <w:r w:rsidRPr="00927E47">
        <w:rPr>
          <w:rStyle w:val="FootnoteReference"/>
          <w:rFonts w:ascii="Arial" w:hAnsi="Arial" w:cs="Arial"/>
          <w:sz w:val="20"/>
          <w:szCs w:val="20"/>
        </w:rPr>
        <w:footnoteReference w:id="13"/>
      </w:r>
      <w:r>
        <w:rPr>
          <w:rFonts w:ascii="Arial" w:hAnsi="Arial" w:cs="Arial"/>
          <w:sz w:val="20"/>
          <w:szCs w:val="20"/>
        </w:rPr>
        <w:t xml:space="preserve">  </w:t>
      </w:r>
    </w:p>
    <w:p w:rsidR="008644FC" w:rsidRDefault="008644FC" w:rsidP="002E76E8">
      <w:pPr>
        <w:rPr>
          <w:rFonts w:ascii="Arial" w:hAnsi="Arial" w:cs="Arial"/>
          <w:sz w:val="20"/>
          <w:szCs w:val="20"/>
        </w:rPr>
      </w:pPr>
    </w:p>
    <w:p w:rsidR="008644FC" w:rsidRDefault="008644FC" w:rsidP="002E76E8">
      <w:pPr>
        <w:rPr>
          <w:rFonts w:ascii="Arial" w:hAnsi="Arial" w:cs="Arial"/>
          <w:sz w:val="20"/>
          <w:szCs w:val="20"/>
        </w:rPr>
      </w:pPr>
      <w:r>
        <w:rPr>
          <w:rFonts w:ascii="Arial" w:hAnsi="Arial" w:cs="Arial"/>
          <w:sz w:val="20"/>
          <w:szCs w:val="20"/>
        </w:rPr>
        <w:t>This case study and other A</w:t>
      </w:r>
      <w:r w:rsidR="00240A94">
        <w:rPr>
          <w:rFonts w:ascii="Arial" w:hAnsi="Arial" w:cs="Arial"/>
          <w:sz w:val="20"/>
          <w:szCs w:val="20"/>
        </w:rPr>
        <w:t>NAO</w:t>
      </w:r>
      <w:r w:rsidR="00DE68C2">
        <w:rPr>
          <w:rFonts w:ascii="Arial" w:hAnsi="Arial" w:cs="Arial"/>
          <w:sz w:val="20"/>
          <w:szCs w:val="20"/>
        </w:rPr>
        <w:t xml:space="preserve"> audits support the view</w:t>
      </w:r>
      <w:r>
        <w:rPr>
          <w:rFonts w:ascii="Arial" w:hAnsi="Arial" w:cs="Arial"/>
          <w:sz w:val="20"/>
          <w:szCs w:val="20"/>
        </w:rPr>
        <w:t xml:space="preserve"> there needs to be increased accountability of decisions by local governments. The </w:t>
      </w:r>
      <w:r w:rsidR="00240A94">
        <w:rPr>
          <w:rFonts w:ascii="Arial" w:hAnsi="Arial" w:cs="Arial"/>
          <w:sz w:val="20"/>
          <w:szCs w:val="20"/>
        </w:rPr>
        <w:t>ANAO</w:t>
      </w:r>
      <w:r w:rsidR="00DE68C2">
        <w:rPr>
          <w:rFonts w:ascii="Arial" w:hAnsi="Arial" w:cs="Arial"/>
          <w:sz w:val="20"/>
          <w:szCs w:val="20"/>
        </w:rPr>
        <w:t xml:space="preserve"> audits also show the need to improve</w:t>
      </w:r>
      <w:r>
        <w:rPr>
          <w:rFonts w:ascii="Arial" w:hAnsi="Arial" w:cs="Arial"/>
          <w:sz w:val="20"/>
          <w:szCs w:val="20"/>
        </w:rPr>
        <w:t xml:space="preserve"> the training resources that local gov</w:t>
      </w:r>
      <w:r w:rsidR="00DE68C2">
        <w:rPr>
          <w:rFonts w:ascii="Arial" w:hAnsi="Arial" w:cs="Arial"/>
          <w:sz w:val="20"/>
          <w:szCs w:val="20"/>
        </w:rPr>
        <w:t>ernments currently have and</w:t>
      </w:r>
      <w:r>
        <w:rPr>
          <w:rFonts w:ascii="Arial" w:hAnsi="Arial" w:cs="Arial"/>
          <w:sz w:val="20"/>
          <w:szCs w:val="20"/>
        </w:rPr>
        <w:t xml:space="preserve"> better trained decision makers could lead to superior outcom</w:t>
      </w:r>
      <w:r w:rsidR="00DE68C2">
        <w:rPr>
          <w:rFonts w:ascii="Arial" w:hAnsi="Arial" w:cs="Arial"/>
          <w:sz w:val="20"/>
          <w:szCs w:val="20"/>
        </w:rPr>
        <w:t>es</w:t>
      </w:r>
      <w:r>
        <w:rPr>
          <w:rFonts w:ascii="Arial" w:hAnsi="Arial" w:cs="Arial"/>
          <w:sz w:val="20"/>
          <w:szCs w:val="20"/>
        </w:rPr>
        <w:t xml:space="preserve">. </w:t>
      </w:r>
    </w:p>
    <w:p w:rsidR="00985C4B" w:rsidRDefault="00985C4B" w:rsidP="002E76E8">
      <w:pPr>
        <w:rPr>
          <w:rFonts w:ascii="Arial" w:hAnsi="Arial" w:cs="Arial"/>
          <w:sz w:val="20"/>
          <w:szCs w:val="20"/>
        </w:rPr>
      </w:pPr>
    </w:p>
    <w:p w:rsidR="001955E5" w:rsidRDefault="001955E5">
      <w:pPr>
        <w:rPr>
          <w:rFonts w:ascii="Arial" w:hAnsi="Arial" w:cs="Arial"/>
          <w:b/>
          <w:color w:val="000064"/>
          <w:sz w:val="24"/>
          <w:szCs w:val="24"/>
        </w:rPr>
      </w:pPr>
      <w:r>
        <w:rPr>
          <w:sz w:val="24"/>
          <w:szCs w:val="24"/>
        </w:rPr>
        <w:br w:type="page"/>
      </w:r>
    </w:p>
    <w:p w:rsidR="00806EFF" w:rsidRPr="004A1802" w:rsidRDefault="00C12B1C" w:rsidP="002E76E8">
      <w:pPr>
        <w:pStyle w:val="ATAHeading2"/>
        <w:spacing w:before="0" w:after="0"/>
        <w:ind w:left="851" w:hanging="851"/>
        <w:rPr>
          <w:sz w:val="28"/>
          <w:szCs w:val="28"/>
        </w:rPr>
      </w:pPr>
      <w:bookmarkStart w:id="97" w:name="_Toc306957641"/>
      <w:r w:rsidRPr="004A1802">
        <w:rPr>
          <w:sz w:val="28"/>
          <w:szCs w:val="28"/>
        </w:rPr>
        <w:lastRenderedPageBreak/>
        <w:t xml:space="preserve">Result of </w:t>
      </w:r>
      <w:r w:rsidR="00176F1E" w:rsidRPr="004A1802">
        <w:rPr>
          <w:sz w:val="28"/>
          <w:szCs w:val="28"/>
        </w:rPr>
        <w:t>excessive regulation</w:t>
      </w:r>
      <w:bookmarkEnd w:id="97"/>
      <w:r w:rsidR="00176F1E" w:rsidRPr="004A1802">
        <w:rPr>
          <w:sz w:val="28"/>
          <w:szCs w:val="28"/>
        </w:rPr>
        <w:t xml:space="preserve"> </w:t>
      </w:r>
    </w:p>
    <w:p w:rsidR="000D0A6A" w:rsidRDefault="000D0A6A" w:rsidP="002E76E8">
      <w:pPr>
        <w:rPr>
          <w:rFonts w:ascii="Arial" w:hAnsi="Arial" w:cs="Arial"/>
          <w:sz w:val="20"/>
          <w:szCs w:val="20"/>
        </w:rPr>
      </w:pPr>
    </w:p>
    <w:p w:rsidR="004803E5" w:rsidRPr="00927E47" w:rsidRDefault="00C12B1C" w:rsidP="002E76E8">
      <w:pPr>
        <w:rPr>
          <w:rFonts w:ascii="Arial" w:hAnsi="Arial" w:cs="Arial"/>
          <w:sz w:val="20"/>
          <w:szCs w:val="20"/>
        </w:rPr>
      </w:pPr>
      <w:r w:rsidRPr="00927E47">
        <w:rPr>
          <w:rFonts w:ascii="Arial" w:hAnsi="Arial" w:cs="Arial"/>
          <w:sz w:val="20"/>
          <w:szCs w:val="20"/>
        </w:rPr>
        <w:t xml:space="preserve">The difference in </w:t>
      </w:r>
      <w:r w:rsidR="00F20633" w:rsidRPr="00927E47">
        <w:rPr>
          <w:rFonts w:ascii="Arial" w:hAnsi="Arial" w:cs="Arial"/>
          <w:sz w:val="20"/>
          <w:szCs w:val="20"/>
        </w:rPr>
        <w:t>jurisdictional</w:t>
      </w:r>
      <w:r w:rsidRPr="00927E47">
        <w:rPr>
          <w:rFonts w:ascii="Arial" w:hAnsi="Arial" w:cs="Arial"/>
          <w:sz w:val="20"/>
          <w:szCs w:val="20"/>
        </w:rPr>
        <w:t xml:space="preserve"> regulations</w:t>
      </w:r>
      <w:r w:rsidR="00640940" w:rsidRPr="00927E47">
        <w:rPr>
          <w:rFonts w:ascii="Arial" w:hAnsi="Arial" w:cs="Arial"/>
          <w:sz w:val="20"/>
          <w:szCs w:val="20"/>
        </w:rPr>
        <w:t xml:space="preserve"> and practice mean</w:t>
      </w:r>
      <w:r w:rsidRPr="00927E47">
        <w:rPr>
          <w:rFonts w:ascii="Arial" w:hAnsi="Arial" w:cs="Arial"/>
          <w:sz w:val="20"/>
          <w:szCs w:val="20"/>
        </w:rPr>
        <w:t xml:space="preserve"> the fleet is not able to work at </w:t>
      </w:r>
      <w:r w:rsidR="00640940" w:rsidRPr="00927E47">
        <w:rPr>
          <w:rFonts w:ascii="Arial" w:hAnsi="Arial" w:cs="Arial"/>
          <w:sz w:val="20"/>
          <w:szCs w:val="20"/>
        </w:rPr>
        <w:t xml:space="preserve">the </w:t>
      </w:r>
      <w:r w:rsidRPr="00927E47">
        <w:rPr>
          <w:rFonts w:ascii="Arial" w:hAnsi="Arial" w:cs="Arial"/>
          <w:sz w:val="20"/>
          <w:szCs w:val="20"/>
        </w:rPr>
        <w:t>optimal level</w:t>
      </w:r>
      <w:r w:rsidR="00FB3E18" w:rsidRPr="00927E47">
        <w:rPr>
          <w:rFonts w:ascii="Arial" w:hAnsi="Arial" w:cs="Arial"/>
          <w:sz w:val="20"/>
          <w:szCs w:val="20"/>
        </w:rPr>
        <w:t xml:space="preserve"> for the economy</w:t>
      </w:r>
      <w:r w:rsidR="00640940" w:rsidRPr="00927E47">
        <w:rPr>
          <w:rFonts w:ascii="Arial" w:hAnsi="Arial" w:cs="Arial"/>
          <w:sz w:val="20"/>
          <w:szCs w:val="20"/>
        </w:rPr>
        <w:t>. The industry faces two choices with differences in regulation</w:t>
      </w:r>
      <w:r w:rsidR="00DE68C2">
        <w:rPr>
          <w:rFonts w:ascii="Arial" w:hAnsi="Arial" w:cs="Arial"/>
          <w:sz w:val="20"/>
          <w:szCs w:val="20"/>
        </w:rPr>
        <w:t>. I</w:t>
      </w:r>
      <w:r w:rsidR="00640940" w:rsidRPr="00927E47">
        <w:rPr>
          <w:rFonts w:ascii="Arial" w:hAnsi="Arial" w:cs="Arial"/>
          <w:sz w:val="20"/>
          <w:szCs w:val="20"/>
        </w:rPr>
        <w:t>t can either</w:t>
      </w:r>
      <w:r w:rsidR="00DE68C2">
        <w:rPr>
          <w:rFonts w:ascii="Arial" w:hAnsi="Arial" w:cs="Arial"/>
          <w:sz w:val="20"/>
          <w:szCs w:val="20"/>
        </w:rPr>
        <w:t xml:space="preserve"> lead to </w:t>
      </w:r>
      <w:proofErr w:type="gramStart"/>
      <w:r w:rsidR="00DE68C2">
        <w:rPr>
          <w:rFonts w:ascii="Arial" w:hAnsi="Arial" w:cs="Arial"/>
          <w:sz w:val="20"/>
          <w:szCs w:val="20"/>
        </w:rPr>
        <w:t>operators</w:t>
      </w:r>
      <w:proofErr w:type="gramEnd"/>
      <w:r w:rsidR="00F73C07" w:rsidRPr="00927E47">
        <w:rPr>
          <w:rFonts w:ascii="Arial" w:hAnsi="Arial" w:cs="Arial"/>
          <w:sz w:val="20"/>
          <w:szCs w:val="20"/>
        </w:rPr>
        <w:t xml:space="preserve"> spending money on </w:t>
      </w:r>
      <w:r w:rsidR="00C07208" w:rsidRPr="00927E47">
        <w:rPr>
          <w:rFonts w:ascii="Arial" w:hAnsi="Arial" w:cs="Arial"/>
          <w:sz w:val="20"/>
          <w:szCs w:val="20"/>
        </w:rPr>
        <w:t>sufficient regulatory</w:t>
      </w:r>
      <w:r w:rsidR="00F73C07" w:rsidRPr="00927E47">
        <w:rPr>
          <w:rFonts w:ascii="Arial" w:hAnsi="Arial" w:cs="Arial"/>
          <w:sz w:val="20"/>
          <w:szCs w:val="20"/>
        </w:rPr>
        <w:t xml:space="preserve"> measu</w:t>
      </w:r>
      <w:r w:rsidR="00DE68C2">
        <w:rPr>
          <w:rFonts w:ascii="Arial" w:hAnsi="Arial" w:cs="Arial"/>
          <w:sz w:val="20"/>
          <w:szCs w:val="20"/>
        </w:rPr>
        <w:t>res or it can mean operators met the</w:t>
      </w:r>
      <w:r w:rsidR="00F73C07" w:rsidRPr="00927E47">
        <w:rPr>
          <w:rFonts w:ascii="Arial" w:hAnsi="Arial" w:cs="Arial"/>
          <w:sz w:val="20"/>
          <w:szCs w:val="20"/>
        </w:rPr>
        <w:t xml:space="preserve"> minimum regulation required in jurisdictions</w:t>
      </w:r>
      <w:r w:rsidR="00640940" w:rsidRPr="00927E47">
        <w:rPr>
          <w:rFonts w:ascii="Arial" w:hAnsi="Arial" w:cs="Arial"/>
          <w:sz w:val="20"/>
          <w:szCs w:val="20"/>
        </w:rPr>
        <w:t xml:space="preserve">. Both of these are </w:t>
      </w:r>
      <w:r w:rsidR="00DE68C2">
        <w:rPr>
          <w:rFonts w:ascii="Arial" w:hAnsi="Arial" w:cs="Arial"/>
          <w:sz w:val="20"/>
          <w:szCs w:val="20"/>
        </w:rPr>
        <w:t>not the general equilibrium which</w:t>
      </w:r>
      <w:r w:rsidR="00640940" w:rsidRPr="00927E47">
        <w:rPr>
          <w:rFonts w:ascii="Arial" w:hAnsi="Arial" w:cs="Arial"/>
          <w:sz w:val="20"/>
          <w:szCs w:val="20"/>
        </w:rPr>
        <w:t xml:space="preserve"> should occur. A market failure is present because of </w:t>
      </w:r>
      <w:proofErr w:type="gramStart"/>
      <w:r w:rsidR="00640940" w:rsidRPr="00927E47">
        <w:rPr>
          <w:rFonts w:ascii="Arial" w:hAnsi="Arial" w:cs="Arial"/>
          <w:sz w:val="20"/>
          <w:szCs w:val="20"/>
        </w:rPr>
        <w:t>the disconnect</w:t>
      </w:r>
      <w:proofErr w:type="gramEnd"/>
      <w:r w:rsidR="00640940" w:rsidRPr="00927E47">
        <w:rPr>
          <w:rFonts w:ascii="Arial" w:hAnsi="Arial" w:cs="Arial"/>
          <w:sz w:val="20"/>
          <w:szCs w:val="20"/>
        </w:rPr>
        <w:t xml:space="preserve"> in regulation</w:t>
      </w:r>
      <w:r w:rsidR="00F73C07" w:rsidRPr="00927E47">
        <w:rPr>
          <w:rFonts w:ascii="Arial" w:hAnsi="Arial" w:cs="Arial"/>
          <w:sz w:val="20"/>
          <w:szCs w:val="20"/>
        </w:rPr>
        <w:t>.</w:t>
      </w:r>
    </w:p>
    <w:p w:rsidR="00125795" w:rsidRPr="00927E47" w:rsidRDefault="00125795" w:rsidP="002E76E8">
      <w:pPr>
        <w:rPr>
          <w:rFonts w:ascii="Arial" w:hAnsi="Arial" w:cs="Arial"/>
          <w:sz w:val="20"/>
          <w:szCs w:val="20"/>
        </w:rPr>
      </w:pPr>
    </w:p>
    <w:p w:rsidR="00640940" w:rsidRPr="00927E47" w:rsidRDefault="00A276DF" w:rsidP="002E76E8">
      <w:pPr>
        <w:rPr>
          <w:rFonts w:ascii="Arial" w:hAnsi="Arial" w:cs="Arial"/>
          <w:sz w:val="20"/>
          <w:szCs w:val="20"/>
        </w:rPr>
      </w:pPr>
      <w:r>
        <w:rPr>
          <w:rFonts w:ascii="Arial" w:hAnsi="Arial" w:cs="Arial"/>
          <w:noProof/>
          <w:sz w:val="20"/>
          <w:szCs w:val="20"/>
          <w:lang w:eastAsia="en-AU"/>
        </w:rPr>
        <w:drawing>
          <wp:inline distT="0" distB="0" distL="0" distR="0">
            <wp:extent cx="4450537" cy="3113713"/>
            <wp:effectExtent l="19050" t="0" r="7163" b="0"/>
            <wp:docPr id="2" name="Picture 1" descr="BIG GRAPH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GRAPH WORD.png"/>
                    <pic:cNvPicPr/>
                  </pic:nvPicPr>
                  <pic:blipFill>
                    <a:blip r:embed="rId11"/>
                    <a:stretch>
                      <a:fillRect/>
                    </a:stretch>
                  </pic:blipFill>
                  <pic:spPr>
                    <a:xfrm>
                      <a:off x="0" y="0"/>
                      <a:ext cx="4453835" cy="3116021"/>
                    </a:xfrm>
                    <a:prstGeom prst="rect">
                      <a:avLst/>
                    </a:prstGeom>
                  </pic:spPr>
                </pic:pic>
              </a:graphicData>
            </a:graphic>
          </wp:inline>
        </w:drawing>
      </w:r>
    </w:p>
    <w:p w:rsidR="00125795" w:rsidRPr="00927E47" w:rsidRDefault="00125795" w:rsidP="002E76E8">
      <w:pPr>
        <w:rPr>
          <w:rFonts w:ascii="Arial" w:hAnsi="Arial" w:cs="Arial"/>
          <w:sz w:val="20"/>
          <w:szCs w:val="20"/>
        </w:rPr>
      </w:pPr>
    </w:p>
    <w:p w:rsidR="000D0A6A" w:rsidRDefault="00125795" w:rsidP="002E76E8">
      <w:pPr>
        <w:rPr>
          <w:rFonts w:ascii="Arial" w:hAnsi="Arial" w:cs="Arial"/>
          <w:sz w:val="20"/>
          <w:szCs w:val="20"/>
        </w:rPr>
      </w:pPr>
      <w:r w:rsidRPr="00927E47">
        <w:rPr>
          <w:rFonts w:ascii="Arial" w:hAnsi="Arial" w:cs="Arial"/>
          <w:sz w:val="20"/>
          <w:szCs w:val="20"/>
        </w:rPr>
        <w:t xml:space="preserve">From the graph the </w:t>
      </w:r>
      <w:r w:rsidR="00A25AFB" w:rsidRPr="00927E47">
        <w:rPr>
          <w:rFonts w:ascii="Arial" w:hAnsi="Arial" w:cs="Arial"/>
          <w:sz w:val="20"/>
          <w:szCs w:val="20"/>
        </w:rPr>
        <w:t>effect of</w:t>
      </w:r>
      <w:r w:rsidR="00C97038" w:rsidRPr="00927E47">
        <w:rPr>
          <w:rFonts w:ascii="Arial" w:hAnsi="Arial" w:cs="Arial"/>
          <w:sz w:val="20"/>
          <w:szCs w:val="20"/>
        </w:rPr>
        <w:t xml:space="preserve"> the</w:t>
      </w:r>
      <w:r w:rsidR="00A25AFB" w:rsidRPr="00927E47">
        <w:rPr>
          <w:rFonts w:ascii="Arial" w:hAnsi="Arial" w:cs="Arial"/>
          <w:sz w:val="20"/>
          <w:szCs w:val="20"/>
        </w:rPr>
        <w:t xml:space="preserve"> </w:t>
      </w:r>
      <w:r w:rsidR="00C97038" w:rsidRPr="00927E47">
        <w:rPr>
          <w:rFonts w:ascii="Arial" w:hAnsi="Arial" w:cs="Arial"/>
          <w:sz w:val="20"/>
          <w:szCs w:val="20"/>
        </w:rPr>
        <w:t xml:space="preserve">cost of regulation </w:t>
      </w:r>
      <w:r w:rsidR="00A276DF">
        <w:rPr>
          <w:rFonts w:ascii="Arial" w:hAnsi="Arial" w:cs="Arial"/>
          <w:sz w:val="20"/>
          <w:szCs w:val="20"/>
        </w:rPr>
        <w:t>on</w:t>
      </w:r>
      <w:r w:rsidR="00A25AFB" w:rsidRPr="00927E47">
        <w:rPr>
          <w:rFonts w:ascii="Arial" w:hAnsi="Arial" w:cs="Arial"/>
          <w:sz w:val="20"/>
          <w:szCs w:val="20"/>
        </w:rPr>
        <w:t xml:space="preserve"> the industry</w:t>
      </w:r>
      <w:r w:rsidR="00C97038" w:rsidRPr="00927E47">
        <w:rPr>
          <w:rFonts w:ascii="Arial" w:hAnsi="Arial" w:cs="Arial"/>
          <w:sz w:val="20"/>
          <w:szCs w:val="20"/>
        </w:rPr>
        <w:t xml:space="preserve"> is obvious</w:t>
      </w:r>
      <w:r w:rsidRPr="00927E47">
        <w:rPr>
          <w:rFonts w:ascii="Arial" w:hAnsi="Arial" w:cs="Arial"/>
          <w:sz w:val="20"/>
          <w:szCs w:val="20"/>
        </w:rPr>
        <w:t xml:space="preserve">. The equilibrium where supply and demand for heavy vehicles is </w:t>
      </w:r>
      <w:r w:rsidR="00C97038" w:rsidRPr="00927E47">
        <w:rPr>
          <w:rFonts w:ascii="Arial" w:hAnsi="Arial" w:cs="Arial"/>
          <w:sz w:val="20"/>
          <w:szCs w:val="20"/>
        </w:rPr>
        <w:t xml:space="preserve">optimum is </w:t>
      </w:r>
      <w:r w:rsidRPr="00927E47">
        <w:rPr>
          <w:rFonts w:ascii="Arial" w:hAnsi="Arial" w:cs="Arial"/>
          <w:sz w:val="20"/>
          <w:szCs w:val="20"/>
        </w:rPr>
        <w:t>where regulation</w:t>
      </w:r>
      <w:r w:rsidR="00A25AFB" w:rsidRPr="00927E47">
        <w:rPr>
          <w:rFonts w:ascii="Arial" w:hAnsi="Arial" w:cs="Arial"/>
          <w:sz w:val="20"/>
          <w:szCs w:val="20"/>
        </w:rPr>
        <w:t xml:space="preserve"> costs set by </w:t>
      </w:r>
      <w:r w:rsidR="006104D6" w:rsidRPr="00927E47">
        <w:rPr>
          <w:rFonts w:ascii="Arial" w:hAnsi="Arial" w:cs="Arial"/>
          <w:sz w:val="20"/>
          <w:szCs w:val="20"/>
        </w:rPr>
        <w:t>local government and</w:t>
      </w:r>
      <w:r w:rsidRPr="00927E47">
        <w:rPr>
          <w:rFonts w:ascii="Arial" w:hAnsi="Arial" w:cs="Arial"/>
          <w:sz w:val="20"/>
          <w:szCs w:val="20"/>
        </w:rPr>
        <w:t xml:space="preserve"> operators </w:t>
      </w:r>
      <w:r w:rsidR="00A25AFB" w:rsidRPr="00927E47">
        <w:rPr>
          <w:rFonts w:ascii="Arial" w:hAnsi="Arial" w:cs="Arial"/>
          <w:sz w:val="20"/>
          <w:szCs w:val="20"/>
        </w:rPr>
        <w:t xml:space="preserve">using the correct combination of heavy vehicles </w:t>
      </w:r>
      <w:r w:rsidRPr="00927E47">
        <w:rPr>
          <w:rFonts w:ascii="Arial" w:hAnsi="Arial" w:cs="Arial"/>
          <w:sz w:val="20"/>
          <w:szCs w:val="20"/>
        </w:rPr>
        <w:t>should meet</w:t>
      </w:r>
      <w:r w:rsidR="00A25AFB" w:rsidRPr="00927E47">
        <w:rPr>
          <w:rFonts w:ascii="Arial" w:hAnsi="Arial" w:cs="Arial"/>
          <w:sz w:val="20"/>
          <w:szCs w:val="20"/>
        </w:rPr>
        <w:t xml:space="preserve"> (EQ</w:t>
      </w:r>
      <w:proofErr w:type="gramStart"/>
      <w:r w:rsidR="00A25AFB" w:rsidRPr="00927E47">
        <w:rPr>
          <w:rFonts w:ascii="Arial" w:hAnsi="Arial" w:cs="Arial"/>
          <w:sz w:val="20"/>
          <w:szCs w:val="20"/>
        </w:rPr>
        <w:t>,</w:t>
      </w:r>
      <w:r w:rsidR="00A276DF">
        <w:rPr>
          <w:rFonts w:ascii="Arial" w:hAnsi="Arial" w:cs="Arial"/>
          <w:sz w:val="20"/>
          <w:szCs w:val="20"/>
        </w:rPr>
        <w:t>S</w:t>
      </w:r>
      <w:r w:rsidR="00A25AFB" w:rsidRPr="00927E47">
        <w:rPr>
          <w:rFonts w:ascii="Arial" w:hAnsi="Arial" w:cs="Arial"/>
          <w:sz w:val="20"/>
          <w:szCs w:val="20"/>
        </w:rPr>
        <w:t>EQ,</w:t>
      </w:r>
      <w:r w:rsidR="009F09A5" w:rsidRPr="00927E47">
        <w:rPr>
          <w:rFonts w:ascii="Arial" w:hAnsi="Arial" w:cs="Arial"/>
          <w:sz w:val="20"/>
          <w:szCs w:val="20"/>
        </w:rPr>
        <w:t>P</w:t>
      </w:r>
      <w:r w:rsidR="00A25AFB" w:rsidRPr="00927E47">
        <w:rPr>
          <w:rFonts w:ascii="Arial" w:hAnsi="Arial" w:cs="Arial"/>
          <w:sz w:val="20"/>
          <w:szCs w:val="20"/>
        </w:rPr>
        <w:t>EQ</w:t>
      </w:r>
      <w:proofErr w:type="gramEnd"/>
      <w:r w:rsidR="00A25AFB" w:rsidRPr="00927E47">
        <w:rPr>
          <w:rFonts w:ascii="Arial" w:hAnsi="Arial" w:cs="Arial"/>
          <w:sz w:val="20"/>
          <w:szCs w:val="20"/>
        </w:rPr>
        <w:t>)</w:t>
      </w:r>
      <w:r w:rsidRPr="00927E47">
        <w:rPr>
          <w:rFonts w:ascii="Arial" w:hAnsi="Arial" w:cs="Arial"/>
          <w:sz w:val="20"/>
          <w:szCs w:val="20"/>
        </w:rPr>
        <w:t>. However</w:t>
      </w:r>
      <w:r w:rsidR="00DE68C2">
        <w:rPr>
          <w:rFonts w:ascii="Arial" w:hAnsi="Arial" w:cs="Arial"/>
          <w:sz w:val="20"/>
          <w:szCs w:val="20"/>
        </w:rPr>
        <w:t>,</w:t>
      </w:r>
      <w:r w:rsidRPr="00927E47">
        <w:rPr>
          <w:rFonts w:ascii="Arial" w:hAnsi="Arial" w:cs="Arial"/>
          <w:sz w:val="20"/>
          <w:szCs w:val="20"/>
        </w:rPr>
        <w:t xml:space="preserve"> we have two </w:t>
      </w:r>
      <w:r w:rsidR="00C97038" w:rsidRPr="00927E47">
        <w:rPr>
          <w:rFonts w:ascii="Arial" w:hAnsi="Arial" w:cs="Arial"/>
          <w:sz w:val="20"/>
          <w:szCs w:val="20"/>
        </w:rPr>
        <w:t xml:space="preserve">divergences from the optimum combination of supply and demand. </w:t>
      </w:r>
    </w:p>
    <w:p w:rsidR="000D0A6A" w:rsidRDefault="000D0A6A" w:rsidP="002E76E8">
      <w:pPr>
        <w:rPr>
          <w:rFonts w:ascii="Arial" w:hAnsi="Arial" w:cs="Arial"/>
          <w:sz w:val="20"/>
          <w:szCs w:val="20"/>
        </w:rPr>
      </w:pPr>
    </w:p>
    <w:p w:rsidR="00125795" w:rsidRPr="00927E47" w:rsidRDefault="00125795" w:rsidP="002E76E8">
      <w:pPr>
        <w:rPr>
          <w:rFonts w:ascii="Arial" w:hAnsi="Arial" w:cs="Arial"/>
          <w:sz w:val="20"/>
          <w:szCs w:val="20"/>
        </w:rPr>
      </w:pPr>
      <w:r w:rsidRPr="00927E47">
        <w:rPr>
          <w:rFonts w:ascii="Arial" w:hAnsi="Arial" w:cs="Arial"/>
          <w:sz w:val="20"/>
          <w:szCs w:val="20"/>
        </w:rPr>
        <w:t>Firstly</w:t>
      </w:r>
      <w:r w:rsidR="00A25AFB" w:rsidRPr="00927E47">
        <w:rPr>
          <w:rFonts w:ascii="Arial" w:hAnsi="Arial" w:cs="Arial"/>
          <w:sz w:val="20"/>
          <w:szCs w:val="20"/>
        </w:rPr>
        <w:t>,</w:t>
      </w:r>
      <w:r w:rsidRPr="00927E47">
        <w:rPr>
          <w:rFonts w:ascii="Arial" w:hAnsi="Arial" w:cs="Arial"/>
          <w:sz w:val="20"/>
          <w:szCs w:val="20"/>
        </w:rPr>
        <w:t xml:space="preserve"> we have operators who want to use higher mass limit</w:t>
      </w:r>
      <w:r w:rsidR="00B5663B">
        <w:rPr>
          <w:rFonts w:ascii="Arial" w:hAnsi="Arial" w:cs="Arial"/>
          <w:sz w:val="20"/>
          <w:szCs w:val="20"/>
        </w:rPr>
        <w:t>s</w:t>
      </w:r>
      <w:r w:rsidRPr="00927E47">
        <w:rPr>
          <w:rFonts w:ascii="Arial" w:hAnsi="Arial" w:cs="Arial"/>
          <w:sz w:val="20"/>
          <w:szCs w:val="20"/>
        </w:rPr>
        <w:t>,</w:t>
      </w:r>
      <w:r w:rsidR="00B5663B">
        <w:rPr>
          <w:rFonts w:ascii="Arial" w:hAnsi="Arial" w:cs="Arial"/>
          <w:sz w:val="20"/>
          <w:szCs w:val="20"/>
        </w:rPr>
        <w:t xml:space="preserve"> and</w:t>
      </w:r>
      <w:r w:rsidRPr="00927E47">
        <w:rPr>
          <w:rFonts w:ascii="Arial" w:hAnsi="Arial" w:cs="Arial"/>
          <w:sz w:val="20"/>
          <w:szCs w:val="20"/>
        </w:rPr>
        <w:t xml:space="preserve"> </w:t>
      </w:r>
      <w:r w:rsidR="00C97038" w:rsidRPr="00927E47">
        <w:rPr>
          <w:rFonts w:ascii="Arial" w:hAnsi="Arial" w:cs="Arial"/>
          <w:sz w:val="20"/>
          <w:szCs w:val="20"/>
        </w:rPr>
        <w:t>longer</w:t>
      </w:r>
      <w:r w:rsidR="00A25AFB" w:rsidRPr="00927E47">
        <w:rPr>
          <w:rFonts w:ascii="Arial" w:hAnsi="Arial" w:cs="Arial"/>
          <w:sz w:val="20"/>
          <w:szCs w:val="20"/>
        </w:rPr>
        <w:t xml:space="preserve"> more productive vehicles,</w:t>
      </w:r>
      <w:r w:rsidRPr="00927E47">
        <w:rPr>
          <w:rFonts w:ascii="Arial" w:hAnsi="Arial" w:cs="Arial"/>
          <w:sz w:val="20"/>
          <w:szCs w:val="20"/>
        </w:rPr>
        <w:t xml:space="preserve"> but in order to reach </w:t>
      </w:r>
      <w:r w:rsidR="00A25AFB" w:rsidRPr="00927E47">
        <w:rPr>
          <w:rFonts w:ascii="Arial" w:hAnsi="Arial" w:cs="Arial"/>
          <w:sz w:val="20"/>
          <w:szCs w:val="20"/>
        </w:rPr>
        <w:t xml:space="preserve">the regulation required </w:t>
      </w:r>
      <w:r w:rsidRPr="00927E47">
        <w:rPr>
          <w:rFonts w:ascii="Arial" w:hAnsi="Arial" w:cs="Arial"/>
          <w:sz w:val="20"/>
          <w:szCs w:val="20"/>
        </w:rPr>
        <w:t>to access this</w:t>
      </w:r>
      <w:r w:rsidR="00A25AFB" w:rsidRPr="00927E47">
        <w:rPr>
          <w:rFonts w:ascii="Arial" w:hAnsi="Arial" w:cs="Arial"/>
          <w:sz w:val="20"/>
          <w:szCs w:val="20"/>
        </w:rPr>
        <w:t xml:space="preserve"> the</w:t>
      </w:r>
      <w:r w:rsidRPr="00927E47">
        <w:rPr>
          <w:rFonts w:ascii="Arial" w:hAnsi="Arial" w:cs="Arial"/>
          <w:sz w:val="20"/>
          <w:szCs w:val="20"/>
        </w:rPr>
        <w:t xml:space="preserve"> costs </w:t>
      </w:r>
      <w:r w:rsidR="00A25AFB" w:rsidRPr="00927E47">
        <w:rPr>
          <w:rFonts w:ascii="Arial" w:hAnsi="Arial" w:cs="Arial"/>
          <w:sz w:val="20"/>
          <w:szCs w:val="20"/>
        </w:rPr>
        <w:t>associated</w:t>
      </w:r>
      <w:r w:rsidRPr="00927E47">
        <w:rPr>
          <w:rFonts w:ascii="Arial" w:hAnsi="Arial" w:cs="Arial"/>
          <w:sz w:val="20"/>
          <w:szCs w:val="20"/>
        </w:rPr>
        <w:t xml:space="preserve"> with this regulation</w:t>
      </w:r>
      <w:r w:rsidR="00CA6C7D" w:rsidRPr="00927E47">
        <w:rPr>
          <w:rFonts w:ascii="Arial" w:hAnsi="Arial" w:cs="Arial"/>
          <w:sz w:val="20"/>
          <w:szCs w:val="20"/>
        </w:rPr>
        <w:t xml:space="preserve"> are high</w:t>
      </w:r>
      <w:r w:rsidRPr="00927E47">
        <w:rPr>
          <w:rFonts w:ascii="Arial" w:hAnsi="Arial" w:cs="Arial"/>
          <w:sz w:val="20"/>
          <w:szCs w:val="20"/>
        </w:rPr>
        <w:t xml:space="preserve"> </w:t>
      </w:r>
      <w:r w:rsidR="00A25AFB" w:rsidRPr="00927E47">
        <w:rPr>
          <w:rFonts w:ascii="Arial" w:hAnsi="Arial" w:cs="Arial"/>
          <w:sz w:val="20"/>
          <w:szCs w:val="20"/>
        </w:rPr>
        <w:t>(</w:t>
      </w:r>
      <w:r w:rsidRPr="00927E47">
        <w:rPr>
          <w:rFonts w:ascii="Arial" w:hAnsi="Arial" w:cs="Arial"/>
          <w:sz w:val="20"/>
          <w:szCs w:val="20"/>
        </w:rPr>
        <w:t>P,H</w:t>
      </w:r>
      <w:r w:rsidR="009F09A5" w:rsidRPr="00927E47">
        <w:rPr>
          <w:rFonts w:ascii="Arial" w:hAnsi="Arial" w:cs="Arial"/>
          <w:sz w:val="20"/>
          <w:szCs w:val="20"/>
        </w:rPr>
        <w:t>B</w:t>
      </w:r>
      <w:r w:rsidR="00A25AFB" w:rsidRPr="00927E47">
        <w:rPr>
          <w:rFonts w:ascii="Arial" w:hAnsi="Arial" w:cs="Arial"/>
          <w:sz w:val="20"/>
          <w:szCs w:val="20"/>
        </w:rPr>
        <w:t xml:space="preserve">). This </w:t>
      </w:r>
      <w:r w:rsidRPr="00927E47">
        <w:rPr>
          <w:rFonts w:ascii="Arial" w:hAnsi="Arial" w:cs="Arial"/>
          <w:sz w:val="20"/>
          <w:szCs w:val="20"/>
        </w:rPr>
        <w:t xml:space="preserve">causes the supply of these higher productive vehicles to be restricted </w:t>
      </w:r>
      <w:r w:rsidR="00A25AFB" w:rsidRPr="00927E47">
        <w:rPr>
          <w:rFonts w:ascii="Arial" w:hAnsi="Arial" w:cs="Arial"/>
          <w:sz w:val="20"/>
          <w:szCs w:val="20"/>
        </w:rPr>
        <w:t>(</w:t>
      </w:r>
      <w:r w:rsidRPr="00927E47">
        <w:rPr>
          <w:rFonts w:ascii="Arial" w:hAnsi="Arial" w:cs="Arial"/>
          <w:sz w:val="20"/>
          <w:szCs w:val="20"/>
        </w:rPr>
        <w:t>S</w:t>
      </w:r>
      <w:proofErr w:type="gramStart"/>
      <w:r w:rsidRPr="00927E47">
        <w:rPr>
          <w:rFonts w:ascii="Arial" w:hAnsi="Arial" w:cs="Arial"/>
          <w:sz w:val="20"/>
          <w:szCs w:val="20"/>
        </w:rPr>
        <w:t>,H</w:t>
      </w:r>
      <w:r w:rsidR="009F09A5" w:rsidRPr="00927E47">
        <w:rPr>
          <w:rFonts w:ascii="Arial" w:hAnsi="Arial" w:cs="Arial"/>
          <w:sz w:val="20"/>
          <w:szCs w:val="20"/>
        </w:rPr>
        <w:t>B</w:t>
      </w:r>
      <w:proofErr w:type="gramEnd"/>
      <w:r w:rsidR="00A25AFB" w:rsidRPr="00927E47">
        <w:rPr>
          <w:rFonts w:ascii="Arial" w:hAnsi="Arial" w:cs="Arial"/>
          <w:sz w:val="20"/>
          <w:szCs w:val="20"/>
        </w:rPr>
        <w:t>)</w:t>
      </w:r>
      <w:r w:rsidR="00DE68C2">
        <w:rPr>
          <w:rFonts w:ascii="Arial" w:hAnsi="Arial" w:cs="Arial"/>
          <w:sz w:val="20"/>
          <w:szCs w:val="20"/>
        </w:rPr>
        <w:t>. This means</w:t>
      </w:r>
      <w:r w:rsidR="00CA6C7D" w:rsidRPr="00927E47">
        <w:rPr>
          <w:rFonts w:ascii="Arial" w:hAnsi="Arial" w:cs="Arial"/>
          <w:sz w:val="20"/>
          <w:szCs w:val="20"/>
        </w:rPr>
        <w:t xml:space="preserve"> fewer</w:t>
      </w:r>
      <w:r w:rsidRPr="00927E47">
        <w:rPr>
          <w:rFonts w:ascii="Arial" w:hAnsi="Arial" w:cs="Arial"/>
          <w:sz w:val="20"/>
          <w:szCs w:val="20"/>
        </w:rPr>
        <w:t xml:space="preserve"> operators are using these vehicles than would like to. On the other hand we have an </w:t>
      </w:r>
      <w:r w:rsidR="00DE68C2">
        <w:rPr>
          <w:rFonts w:ascii="Arial" w:hAnsi="Arial" w:cs="Arial"/>
          <w:sz w:val="20"/>
          <w:szCs w:val="20"/>
        </w:rPr>
        <w:t>oversupply of vehicles that</w:t>
      </w:r>
      <w:r w:rsidRPr="00927E47">
        <w:rPr>
          <w:rFonts w:ascii="Arial" w:hAnsi="Arial" w:cs="Arial"/>
          <w:sz w:val="20"/>
          <w:szCs w:val="20"/>
        </w:rPr>
        <w:t xml:space="preserve"> meet the basic regulation</w:t>
      </w:r>
      <w:r w:rsidR="00A25AFB" w:rsidRPr="00927E47">
        <w:rPr>
          <w:rFonts w:ascii="Arial" w:hAnsi="Arial" w:cs="Arial"/>
          <w:sz w:val="20"/>
          <w:szCs w:val="20"/>
        </w:rPr>
        <w:t>. T</w:t>
      </w:r>
      <w:r w:rsidRPr="00927E47">
        <w:rPr>
          <w:rFonts w:ascii="Arial" w:hAnsi="Arial" w:cs="Arial"/>
          <w:sz w:val="20"/>
          <w:szCs w:val="20"/>
        </w:rPr>
        <w:t xml:space="preserve">he cost of meeting the regulation </w:t>
      </w:r>
      <w:r w:rsidR="00A25AFB" w:rsidRPr="00927E47">
        <w:rPr>
          <w:rFonts w:ascii="Arial" w:hAnsi="Arial" w:cs="Arial"/>
          <w:sz w:val="20"/>
          <w:szCs w:val="20"/>
        </w:rPr>
        <w:t>needed is a lower cost</w:t>
      </w:r>
      <w:r w:rsidRPr="00927E47">
        <w:rPr>
          <w:rFonts w:ascii="Arial" w:hAnsi="Arial" w:cs="Arial"/>
          <w:sz w:val="20"/>
          <w:szCs w:val="20"/>
        </w:rPr>
        <w:t xml:space="preserve"> </w:t>
      </w:r>
      <w:r w:rsidR="00A25AFB" w:rsidRPr="00927E47">
        <w:rPr>
          <w:rFonts w:ascii="Arial" w:hAnsi="Arial" w:cs="Arial"/>
          <w:sz w:val="20"/>
          <w:szCs w:val="20"/>
        </w:rPr>
        <w:t>(</w:t>
      </w:r>
      <w:r w:rsidRPr="00927E47">
        <w:rPr>
          <w:rFonts w:ascii="Arial" w:hAnsi="Arial" w:cs="Arial"/>
          <w:sz w:val="20"/>
          <w:szCs w:val="20"/>
        </w:rPr>
        <w:t>P</w:t>
      </w:r>
      <w:proofErr w:type="gramStart"/>
      <w:r w:rsidRPr="00927E47">
        <w:rPr>
          <w:rFonts w:ascii="Arial" w:hAnsi="Arial" w:cs="Arial"/>
          <w:sz w:val="20"/>
          <w:szCs w:val="20"/>
        </w:rPr>
        <w:t>,L</w:t>
      </w:r>
      <w:r w:rsidR="009F09A5" w:rsidRPr="00927E47">
        <w:rPr>
          <w:rFonts w:ascii="Arial" w:hAnsi="Arial" w:cs="Arial"/>
          <w:sz w:val="20"/>
          <w:szCs w:val="20"/>
        </w:rPr>
        <w:t>B</w:t>
      </w:r>
      <w:proofErr w:type="gramEnd"/>
      <w:r w:rsidRPr="00927E47">
        <w:rPr>
          <w:rFonts w:ascii="Arial" w:hAnsi="Arial" w:cs="Arial"/>
          <w:sz w:val="20"/>
          <w:szCs w:val="20"/>
        </w:rPr>
        <w:t xml:space="preserve"> </w:t>
      </w:r>
      <w:r w:rsidR="00DE68C2">
        <w:rPr>
          <w:rFonts w:ascii="Arial" w:hAnsi="Arial" w:cs="Arial"/>
          <w:sz w:val="20"/>
          <w:szCs w:val="20"/>
        </w:rPr>
        <w:t xml:space="preserve">rather </w:t>
      </w:r>
      <w:r w:rsidRPr="00927E47">
        <w:rPr>
          <w:rFonts w:ascii="Arial" w:hAnsi="Arial" w:cs="Arial"/>
          <w:sz w:val="20"/>
          <w:szCs w:val="20"/>
        </w:rPr>
        <w:t>than P,H</w:t>
      </w:r>
      <w:r w:rsidR="009F09A5" w:rsidRPr="00927E47">
        <w:rPr>
          <w:rFonts w:ascii="Arial" w:hAnsi="Arial" w:cs="Arial"/>
          <w:sz w:val="20"/>
          <w:szCs w:val="20"/>
        </w:rPr>
        <w:t>B</w:t>
      </w:r>
      <w:r w:rsidR="00A25AFB" w:rsidRPr="00927E47">
        <w:rPr>
          <w:rFonts w:ascii="Arial" w:hAnsi="Arial" w:cs="Arial"/>
          <w:sz w:val="20"/>
          <w:szCs w:val="20"/>
        </w:rPr>
        <w:t>)</w:t>
      </w:r>
      <w:r w:rsidRPr="00927E47">
        <w:rPr>
          <w:rFonts w:ascii="Arial" w:hAnsi="Arial" w:cs="Arial"/>
          <w:sz w:val="20"/>
          <w:szCs w:val="20"/>
        </w:rPr>
        <w:t xml:space="preserve"> and the equilibrium price</w:t>
      </w:r>
      <w:r w:rsidR="00A25AFB" w:rsidRPr="00927E47">
        <w:rPr>
          <w:rFonts w:ascii="Arial" w:hAnsi="Arial" w:cs="Arial"/>
          <w:sz w:val="20"/>
          <w:szCs w:val="20"/>
        </w:rPr>
        <w:t xml:space="preserve"> (EQ</w:t>
      </w:r>
      <w:r w:rsidR="00165D49" w:rsidRPr="00927E47">
        <w:rPr>
          <w:rFonts w:ascii="Arial" w:hAnsi="Arial" w:cs="Arial"/>
          <w:sz w:val="20"/>
          <w:szCs w:val="20"/>
        </w:rPr>
        <w:t xml:space="preserve"> LB</w:t>
      </w:r>
      <w:r w:rsidR="00A25AFB" w:rsidRPr="00927E47">
        <w:rPr>
          <w:rFonts w:ascii="Arial" w:hAnsi="Arial" w:cs="Arial"/>
          <w:sz w:val="20"/>
          <w:szCs w:val="20"/>
        </w:rPr>
        <w:t>)</w:t>
      </w:r>
      <w:r w:rsidRPr="00927E47">
        <w:rPr>
          <w:rFonts w:ascii="Arial" w:hAnsi="Arial" w:cs="Arial"/>
          <w:sz w:val="20"/>
          <w:szCs w:val="20"/>
        </w:rPr>
        <w:t xml:space="preserve">. </w:t>
      </w:r>
      <w:r w:rsidR="00DE68C2">
        <w:rPr>
          <w:rFonts w:ascii="Arial" w:hAnsi="Arial" w:cs="Arial"/>
          <w:sz w:val="20"/>
          <w:szCs w:val="20"/>
        </w:rPr>
        <w:t>This means</w:t>
      </w:r>
      <w:r w:rsidR="00461C8E" w:rsidRPr="00927E47">
        <w:rPr>
          <w:rFonts w:ascii="Arial" w:hAnsi="Arial" w:cs="Arial"/>
          <w:sz w:val="20"/>
          <w:szCs w:val="20"/>
        </w:rPr>
        <w:t xml:space="preserve"> operators are using more of these lower </w:t>
      </w:r>
      <w:r w:rsidR="00165D49" w:rsidRPr="00927E47">
        <w:rPr>
          <w:rFonts w:ascii="Arial" w:hAnsi="Arial" w:cs="Arial"/>
          <w:sz w:val="20"/>
          <w:szCs w:val="20"/>
        </w:rPr>
        <w:t>hurdle regulation</w:t>
      </w:r>
      <w:r w:rsidR="00461C8E" w:rsidRPr="00927E47">
        <w:rPr>
          <w:rFonts w:ascii="Arial" w:hAnsi="Arial" w:cs="Arial"/>
          <w:sz w:val="20"/>
          <w:szCs w:val="20"/>
        </w:rPr>
        <w:t xml:space="preserve"> heavy vehicles such as semi-trailers instead of the higher</w:t>
      </w:r>
      <w:r w:rsidR="00F73C07" w:rsidRPr="00927E47">
        <w:rPr>
          <w:rFonts w:ascii="Arial" w:hAnsi="Arial" w:cs="Arial"/>
          <w:sz w:val="20"/>
          <w:szCs w:val="20"/>
        </w:rPr>
        <w:t xml:space="preserve"> hurdle</w:t>
      </w:r>
      <w:r w:rsidR="00165D49" w:rsidRPr="00927E47">
        <w:rPr>
          <w:rFonts w:ascii="Arial" w:hAnsi="Arial" w:cs="Arial"/>
          <w:sz w:val="20"/>
          <w:szCs w:val="20"/>
        </w:rPr>
        <w:t xml:space="preserve"> </w:t>
      </w:r>
      <w:r w:rsidR="00B5663B" w:rsidRPr="00927E47">
        <w:rPr>
          <w:rFonts w:ascii="Arial" w:hAnsi="Arial" w:cs="Arial"/>
          <w:sz w:val="20"/>
          <w:szCs w:val="20"/>
        </w:rPr>
        <w:t>regulated</w:t>
      </w:r>
      <w:r w:rsidR="00461C8E" w:rsidRPr="00927E47">
        <w:rPr>
          <w:rFonts w:ascii="Arial" w:hAnsi="Arial" w:cs="Arial"/>
          <w:sz w:val="20"/>
          <w:szCs w:val="20"/>
        </w:rPr>
        <w:t xml:space="preserve"> more productive trucks. </w:t>
      </w:r>
    </w:p>
    <w:p w:rsidR="00A25AFB" w:rsidRPr="00927E47" w:rsidRDefault="00A25AFB" w:rsidP="002E76E8">
      <w:pPr>
        <w:rPr>
          <w:rFonts w:ascii="Arial" w:hAnsi="Arial" w:cs="Arial"/>
          <w:sz w:val="20"/>
          <w:szCs w:val="20"/>
        </w:rPr>
      </w:pPr>
    </w:p>
    <w:p w:rsidR="00DD10A0" w:rsidRPr="00927E47" w:rsidRDefault="00F20633" w:rsidP="002E76E8">
      <w:pPr>
        <w:rPr>
          <w:rFonts w:ascii="Arial" w:hAnsi="Arial" w:cs="Arial"/>
          <w:sz w:val="20"/>
          <w:szCs w:val="20"/>
        </w:rPr>
      </w:pPr>
      <w:r w:rsidRPr="00927E47">
        <w:rPr>
          <w:rFonts w:ascii="Arial" w:hAnsi="Arial" w:cs="Arial"/>
          <w:sz w:val="20"/>
          <w:szCs w:val="20"/>
        </w:rPr>
        <w:t xml:space="preserve">So </w:t>
      </w:r>
      <w:r w:rsidR="00DE68C2">
        <w:rPr>
          <w:rFonts w:ascii="Arial" w:hAnsi="Arial" w:cs="Arial"/>
          <w:sz w:val="20"/>
          <w:szCs w:val="20"/>
        </w:rPr>
        <w:t>the</w:t>
      </w:r>
      <w:r w:rsidRPr="00927E47">
        <w:rPr>
          <w:rFonts w:ascii="Arial" w:hAnsi="Arial" w:cs="Arial"/>
          <w:sz w:val="20"/>
          <w:szCs w:val="20"/>
        </w:rPr>
        <w:t xml:space="preserve"> fleet </w:t>
      </w:r>
      <w:r w:rsidR="00B5663B">
        <w:rPr>
          <w:rFonts w:ascii="Arial" w:hAnsi="Arial" w:cs="Arial"/>
          <w:sz w:val="20"/>
          <w:szCs w:val="20"/>
        </w:rPr>
        <w:t>receives the</w:t>
      </w:r>
      <w:r w:rsidRPr="00927E47">
        <w:rPr>
          <w:rFonts w:ascii="Arial" w:hAnsi="Arial" w:cs="Arial"/>
          <w:sz w:val="20"/>
          <w:szCs w:val="20"/>
        </w:rPr>
        <w:t xml:space="preserve"> </w:t>
      </w:r>
      <w:r w:rsidR="00DE68C2">
        <w:rPr>
          <w:rFonts w:ascii="Arial" w:hAnsi="Arial" w:cs="Arial"/>
          <w:sz w:val="20"/>
          <w:szCs w:val="20"/>
        </w:rPr>
        <w:t>wrong</w:t>
      </w:r>
      <w:r w:rsidRPr="00927E47">
        <w:rPr>
          <w:rFonts w:ascii="Arial" w:hAnsi="Arial" w:cs="Arial"/>
          <w:sz w:val="20"/>
          <w:szCs w:val="20"/>
        </w:rPr>
        <w:t xml:space="preserve"> signals because</w:t>
      </w:r>
      <w:r w:rsidR="00FB3E18" w:rsidRPr="00927E47">
        <w:rPr>
          <w:rFonts w:ascii="Arial" w:hAnsi="Arial" w:cs="Arial"/>
          <w:sz w:val="20"/>
          <w:szCs w:val="20"/>
        </w:rPr>
        <w:t xml:space="preserve"> regulation is either </w:t>
      </w:r>
      <w:r w:rsidR="00DE68C2" w:rsidRPr="00927E47">
        <w:rPr>
          <w:rFonts w:ascii="Arial" w:hAnsi="Arial" w:cs="Arial"/>
          <w:sz w:val="20"/>
          <w:szCs w:val="20"/>
        </w:rPr>
        <w:t>incorrectly</w:t>
      </w:r>
      <w:r w:rsidR="00FB3E18" w:rsidRPr="00927E47">
        <w:rPr>
          <w:rFonts w:ascii="Arial" w:hAnsi="Arial" w:cs="Arial"/>
          <w:sz w:val="20"/>
          <w:szCs w:val="20"/>
        </w:rPr>
        <w:t xml:space="preserve"> aimed, excessively costly or adapted to suit </w:t>
      </w:r>
      <w:r w:rsidR="00CA6C7D" w:rsidRPr="00927E47">
        <w:rPr>
          <w:rFonts w:ascii="Arial" w:hAnsi="Arial" w:cs="Arial"/>
          <w:sz w:val="20"/>
          <w:szCs w:val="20"/>
        </w:rPr>
        <w:t xml:space="preserve">a </w:t>
      </w:r>
      <w:r w:rsidR="00FB3E18" w:rsidRPr="00927E47">
        <w:rPr>
          <w:rFonts w:ascii="Arial" w:hAnsi="Arial" w:cs="Arial"/>
          <w:sz w:val="20"/>
          <w:szCs w:val="20"/>
        </w:rPr>
        <w:t>specific council’s wishes, regardless of the economic drawbacks of those decisions</w:t>
      </w:r>
      <w:r w:rsidR="00C97038" w:rsidRPr="00927E47">
        <w:rPr>
          <w:rFonts w:ascii="Arial" w:hAnsi="Arial" w:cs="Arial"/>
          <w:sz w:val="20"/>
          <w:szCs w:val="20"/>
        </w:rPr>
        <w:t>.</w:t>
      </w:r>
    </w:p>
    <w:p w:rsidR="008344FF" w:rsidRPr="00927E47" w:rsidRDefault="008344FF" w:rsidP="002E76E8">
      <w:pPr>
        <w:rPr>
          <w:rFonts w:ascii="Arial" w:hAnsi="Arial" w:cs="Arial"/>
          <w:sz w:val="20"/>
          <w:szCs w:val="20"/>
        </w:rPr>
      </w:pPr>
    </w:p>
    <w:p w:rsidR="00834ACA" w:rsidRPr="00927E47" w:rsidRDefault="00834ACA" w:rsidP="002E76E8">
      <w:pPr>
        <w:pStyle w:val="RecommendationStyle"/>
        <w:spacing w:before="0" w:after="0"/>
        <w:rPr>
          <w:color w:val="000000" w:themeColor="text1"/>
        </w:rPr>
      </w:pPr>
      <w:bookmarkStart w:id="98" w:name="_Toc304288019"/>
      <w:bookmarkStart w:id="99" w:name="_Toc304288085"/>
      <w:bookmarkStart w:id="100" w:name="_Toc304291924"/>
      <w:bookmarkStart w:id="101" w:name="_Toc304537427"/>
      <w:bookmarkStart w:id="102" w:name="_Toc304544527"/>
      <w:bookmarkStart w:id="103" w:name="_Toc304544821"/>
      <w:bookmarkStart w:id="104" w:name="_Toc304964408"/>
      <w:bookmarkStart w:id="105" w:name="_Toc304970569"/>
      <w:bookmarkStart w:id="106" w:name="_Toc304973331"/>
      <w:bookmarkStart w:id="107" w:name="_Toc304973511"/>
      <w:bookmarkStart w:id="108" w:name="_Toc305670392"/>
      <w:bookmarkStart w:id="109" w:name="_Toc306713555"/>
      <w:bookmarkStart w:id="110" w:name="_Toc306954576"/>
      <w:bookmarkStart w:id="111" w:name="_Toc306957361"/>
      <w:bookmarkStart w:id="112" w:name="_Toc306957472"/>
      <w:bookmarkStart w:id="113" w:name="_Toc3069577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D0A6A" w:rsidRDefault="000D0A6A" w:rsidP="002E76E8">
      <w:pPr>
        <w:pStyle w:val="RecommendationStyle"/>
        <w:numPr>
          <w:ilvl w:val="0"/>
          <w:numId w:val="0"/>
        </w:numPr>
        <w:spacing w:before="0" w:after="0"/>
        <w:rPr>
          <w:color w:val="000000" w:themeColor="text1"/>
        </w:rPr>
      </w:pPr>
      <w:bookmarkStart w:id="114" w:name="_Toc304288086"/>
      <w:bookmarkStart w:id="115" w:name="_Toc304291925"/>
      <w:bookmarkStart w:id="116" w:name="_Toc304537428"/>
      <w:bookmarkStart w:id="117" w:name="_Toc304544528"/>
      <w:bookmarkStart w:id="118" w:name="_Toc304544822"/>
      <w:bookmarkStart w:id="119" w:name="_Toc304964409"/>
      <w:bookmarkStart w:id="120" w:name="_Toc304970570"/>
      <w:bookmarkStart w:id="121" w:name="_Toc304973332"/>
      <w:bookmarkStart w:id="122" w:name="_Toc304973512"/>
      <w:bookmarkStart w:id="123" w:name="_Toc305670393"/>
      <w:bookmarkStart w:id="124" w:name="_Toc306713556"/>
    </w:p>
    <w:p w:rsidR="00834ACA" w:rsidRPr="00927E47" w:rsidRDefault="00834ACA" w:rsidP="002E76E8">
      <w:pPr>
        <w:pStyle w:val="RecommendationStyle"/>
        <w:numPr>
          <w:ilvl w:val="0"/>
          <w:numId w:val="0"/>
        </w:numPr>
        <w:spacing w:before="0" w:after="0"/>
        <w:rPr>
          <w:color w:val="000000" w:themeColor="text1"/>
        </w:rPr>
      </w:pPr>
      <w:bookmarkStart w:id="125" w:name="_Toc306954577"/>
      <w:bookmarkStart w:id="126" w:name="_Toc306957362"/>
      <w:bookmarkStart w:id="127" w:name="_Toc306957473"/>
      <w:bookmarkStart w:id="128" w:name="_Toc306957798"/>
      <w:r w:rsidRPr="00927E47">
        <w:rPr>
          <w:color w:val="000000" w:themeColor="text1"/>
        </w:rPr>
        <w:t xml:space="preserve">The ATA recommends the Productivity Commission use the heavy vehicle industry as a strong indication </w:t>
      </w:r>
      <w:r w:rsidR="007F3CCA" w:rsidRPr="00927E47">
        <w:rPr>
          <w:color w:val="000000" w:themeColor="text1"/>
        </w:rPr>
        <w:t xml:space="preserve">of </w:t>
      </w:r>
      <w:r w:rsidRPr="00927E47">
        <w:rPr>
          <w:color w:val="000000" w:themeColor="text1"/>
        </w:rPr>
        <w:t>where regula</w:t>
      </w:r>
      <w:r w:rsidR="007F3CCA" w:rsidRPr="00927E47">
        <w:rPr>
          <w:color w:val="000000" w:themeColor="text1"/>
        </w:rPr>
        <w:t>tory</w:t>
      </w:r>
      <w:r w:rsidRPr="00927E47">
        <w:rPr>
          <w:color w:val="000000" w:themeColor="text1"/>
        </w:rPr>
        <w:t xml:space="preserve"> overlaps and distortions can lead to negative outcomes on businesses and communities.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27E47">
        <w:rPr>
          <w:color w:val="000000" w:themeColor="text1"/>
        </w:rPr>
        <w:t xml:space="preserve">  </w:t>
      </w:r>
    </w:p>
    <w:p w:rsidR="00834ACA" w:rsidRDefault="00834ACA" w:rsidP="002E76E8">
      <w:pPr>
        <w:rPr>
          <w:rFonts w:ascii="Arial" w:hAnsi="Arial" w:cs="Arial"/>
          <w:sz w:val="20"/>
          <w:szCs w:val="20"/>
        </w:rPr>
      </w:pPr>
    </w:p>
    <w:p w:rsidR="000D0A6A" w:rsidRPr="00927E47" w:rsidRDefault="000D0A6A" w:rsidP="002E76E8">
      <w:pPr>
        <w:rPr>
          <w:rFonts w:ascii="Arial" w:hAnsi="Arial" w:cs="Arial"/>
          <w:sz w:val="20"/>
          <w:szCs w:val="20"/>
        </w:rPr>
      </w:pPr>
    </w:p>
    <w:p w:rsidR="000C310A" w:rsidRPr="004A1802" w:rsidRDefault="000C310A" w:rsidP="002E76E8">
      <w:pPr>
        <w:pStyle w:val="Heading1"/>
      </w:pPr>
      <w:bookmarkStart w:id="129" w:name="_Toc306957642"/>
      <w:r w:rsidRPr="004A1802">
        <w:t>What industry needs</w:t>
      </w:r>
      <w:bookmarkEnd w:id="129"/>
    </w:p>
    <w:p w:rsidR="007C3F49" w:rsidRPr="00927E47" w:rsidRDefault="007C3F49" w:rsidP="002E76E8">
      <w:pPr>
        <w:pStyle w:val="BodyText2"/>
        <w:rPr>
          <w:b w:val="0"/>
          <w:color w:val="000000" w:themeColor="text1"/>
          <w:sz w:val="20"/>
        </w:rPr>
      </w:pPr>
    </w:p>
    <w:p w:rsidR="001955E5" w:rsidRPr="001955E5" w:rsidRDefault="00A25AFB" w:rsidP="001955E5">
      <w:pPr>
        <w:pStyle w:val="BodyText2"/>
        <w:rPr>
          <w:b w:val="0"/>
          <w:color w:val="000000" w:themeColor="text1"/>
          <w:sz w:val="20"/>
        </w:rPr>
      </w:pPr>
      <w:r w:rsidRPr="00927E47">
        <w:rPr>
          <w:b w:val="0"/>
          <w:color w:val="000000" w:themeColor="text1"/>
          <w:sz w:val="20"/>
        </w:rPr>
        <w:t xml:space="preserve">From the perspective of industry there are </w:t>
      </w:r>
      <w:r w:rsidR="00CA6C7D" w:rsidRPr="00927E47">
        <w:rPr>
          <w:b w:val="0"/>
          <w:color w:val="000000" w:themeColor="text1"/>
          <w:sz w:val="20"/>
        </w:rPr>
        <w:t>three</w:t>
      </w:r>
      <w:r w:rsidRPr="00927E47">
        <w:rPr>
          <w:b w:val="0"/>
          <w:color w:val="000000" w:themeColor="text1"/>
          <w:sz w:val="20"/>
        </w:rPr>
        <w:t xml:space="preserve"> reforms</w:t>
      </w:r>
      <w:r w:rsidR="00DE68C2">
        <w:rPr>
          <w:b w:val="0"/>
          <w:color w:val="000000" w:themeColor="text1"/>
          <w:sz w:val="20"/>
        </w:rPr>
        <w:t xml:space="preserve"> which</w:t>
      </w:r>
      <w:r w:rsidRPr="00927E47">
        <w:rPr>
          <w:b w:val="0"/>
          <w:color w:val="000000" w:themeColor="text1"/>
          <w:sz w:val="20"/>
        </w:rPr>
        <w:t xml:space="preserve"> could easily make the heavy vehicle industry as productive as it could possibly be.  </w:t>
      </w:r>
    </w:p>
    <w:p w:rsidR="00A25AFB" w:rsidRPr="00927E47" w:rsidRDefault="00A25AFB" w:rsidP="002E76E8">
      <w:pPr>
        <w:pStyle w:val="BodyText2"/>
        <w:rPr>
          <w:b w:val="0"/>
          <w:color w:val="000000" w:themeColor="text1"/>
          <w:sz w:val="20"/>
        </w:rPr>
      </w:pPr>
    </w:p>
    <w:p w:rsidR="006C6B74" w:rsidRPr="00927E47" w:rsidRDefault="00121A86" w:rsidP="002E76E8">
      <w:pPr>
        <w:pStyle w:val="BodyText2"/>
        <w:numPr>
          <w:ilvl w:val="0"/>
          <w:numId w:val="16"/>
        </w:numPr>
        <w:rPr>
          <w:b w:val="0"/>
          <w:color w:val="000000" w:themeColor="text1"/>
          <w:sz w:val="20"/>
        </w:rPr>
      </w:pPr>
      <w:r w:rsidRPr="00927E47">
        <w:rPr>
          <w:b w:val="0"/>
          <w:color w:val="000000" w:themeColor="text1"/>
          <w:sz w:val="20"/>
        </w:rPr>
        <w:t xml:space="preserve">Process of review </w:t>
      </w:r>
      <w:r w:rsidR="00A25AFB" w:rsidRPr="00927E47">
        <w:rPr>
          <w:b w:val="0"/>
          <w:color w:val="000000" w:themeColor="text1"/>
          <w:sz w:val="20"/>
        </w:rPr>
        <w:t>of decisions</w:t>
      </w:r>
    </w:p>
    <w:p w:rsidR="00121A86" w:rsidRPr="00927E47" w:rsidRDefault="00121A86" w:rsidP="002E76E8">
      <w:pPr>
        <w:pStyle w:val="BodyText2"/>
        <w:rPr>
          <w:b w:val="0"/>
          <w:color w:val="000000" w:themeColor="text1"/>
          <w:sz w:val="20"/>
        </w:rPr>
      </w:pPr>
    </w:p>
    <w:p w:rsidR="001955E5" w:rsidRDefault="001955E5">
      <w:pPr>
        <w:rPr>
          <w:rFonts w:ascii="Arial" w:hAnsi="Arial" w:cs="Arial"/>
          <w:sz w:val="20"/>
          <w:szCs w:val="20"/>
        </w:rPr>
      </w:pPr>
      <w:r>
        <w:rPr>
          <w:rFonts w:ascii="Arial" w:hAnsi="Arial" w:cs="Arial"/>
          <w:sz w:val="20"/>
          <w:szCs w:val="20"/>
        </w:rPr>
        <w:br w:type="page"/>
      </w:r>
    </w:p>
    <w:p w:rsidR="00A25AFB" w:rsidRPr="000D0A6A" w:rsidRDefault="00A25AFB" w:rsidP="000D0A6A">
      <w:pPr>
        <w:rPr>
          <w:rFonts w:ascii="Arial" w:eastAsia="Times New Roman" w:hAnsi="Arial" w:cs="Arial"/>
          <w:bCs/>
          <w:sz w:val="20"/>
          <w:szCs w:val="20"/>
        </w:rPr>
      </w:pPr>
      <w:r w:rsidRPr="000D0A6A">
        <w:rPr>
          <w:rFonts w:ascii="Arial" w:hAnsi="Arial" w:cs="Arial"/>
          <w:sz w:val="20"/>
          <w:szCs w:val="20"/>
        </w:rPr>
        <w:lastRenderedPageBreak/>
        <w:t>Currently</w:t>
      </w:r>
      <w:r w:rsidR="00CA6C7D" w:rsidRPr="000D0A6A">
        <w:rPr>
          <w:rFonts w:ascii="Arial" w:hAnsi="Arial" w:cs="Arial"/>
          <w:sz w:val="20"/>
          <w:szCs w:val="20"/>
        </w:rPr>
        <w:t>,</w:t>
      </w:r>
      <w:r w:rsidRPr="000D0A6A">
        <w:rPr>
          <w:rFonts w:ascii="Arial" w:hAnsi="Arial" w:cs="Arial"/>
          <w:sz w:val="20"/>
          <w:szCs w:val="20"/>
        </w:rPr>
        <w:t xml:space="preserve"> decisions regarding road access</w:t>
      </w:r>
      <w:r w:rsidR="00DE68C2" w:rsidRPr="000D0A6A">
        <w:rPr>
          <w:rFonts w:ascii="Arial" w:hAnsi="Arial" w:cs="Arial"/>
          <w:sz w:val="20"/>
          <w:szCs w:val="20"/>
        </w:rPr>
        <w:t xml:space="preserve"> for heavy vehicles</w:t>
      </w:r>
      <w:r w:rsidRPr="000D0A6A">
        <w:rPr>
          <w:rFonts w:ascii="Arial" w:hAnsi="Arial" w:cs="Arial"/>
          <w:sz w:val="20"/>
          <w:szCs w:val="20"/>
        </w:rPr>
        <w:t xml:space="preserve"> are not reviewable </w:t>
      </w:r>
      <w:r w:rsidR="00CA6C7D" w:rsidRPr="000D0A6A">
        <w:rPr>
          <w:rFonts w:ascii="Arial" w:hAnsi="Arial" w:cs="Arial"/>
          <w:sz w:val="20"/>
          <w:szCs w:val="20"/>
        </w:rPr>
        <w:t>externally</w:t>
      </w:r>
      <w:r w:rsidRPr="000D0A6A">
        <w:rPr>
          <w:rFonts w:ascii="Arial" w:hAnsi="Arial" w:cs="Arial"/>
          <w:sz w:val="20"/>
          <w:szCs w:val="20"/>
        </w:rPr>
        <w:t xml:space="preserve">. </w:t>
      </w:r>
      <w:r w:rsidR="006104D6" w:rsidRPr="000D0A6A">
        <w:rPr>
          <w:rFonts w:ascii="Arial" w:hAnsi="Arial" w:cs="Arial"/>
          <w:sz w:val="20"/>
          <w:szCs w:val="20"/>
        </w:rPr>
        <w:t>Local government agencies</w:t>
      </w:r>
      <w:r w:rsidR="00CA6C7D" w:rsidRPr="000D0A6A">
        <w:rPr>
          <w:rFonts w:ascii="Arial" w:hAnsi="Arial" w:cs="Arial"/>
          <w:sz w:val="20"/>
          <w:szCs w:val="20"/>
        </w:rPr>
        <w:t xml:space="preserve"> are not held to account for</w:t>
      </w:r>
      <w:r w:rsidRPr="000D0A6A">
        <w:rPr>
          <w:rFonts w:ascii="Arial" w:hAnsi="Arial" w:cs="Arial"/>
          <w:sz w:val="20"/>
          <w:szCs w:val="20"/>
        </w:rPr>
        <w:t xml:space="preserve"> </w:t>
      </w:r>
      <w:r w:rsidR="00E14981" w:rsidRPr="000D0A6A">
        <w:rPr>
          <w:rFonts w:ascii="Arial" w:hAnsi="Arial" w:cs="Arial"/>
          <w:sz w:val="20"/>
          <w:szCs w:val="20"/>
        </w:rPr>
        <w:t>verdict</w:t>
      </w:r>
      <w:r w:rsidR="00CA6C7D" w:rsidRPr="000D0A6A">
        <w:rPr>
          <w:rFonts w:ascii="Arial" w:hAnsi="Arial" w:cs="Arial"/>
          <w:sz w:val="20"/>
          <w:szCs w:val="20"/>
        </w:rPr>
        <w:t>s</w:t>
      </w:r>
      <w:r w:rsidRPr="000D0A6A">
        <w:rPr>
          <w:rFonts w:ascii="Arial" w:hAnsi="Arial" w:cs="Arial"/>
          <w:sz w:val="20"/>
          <w:szCs w:val="20"/>
        </w:rPr>
        <w:t xml:space="preserve"> and do not have to justify </w:t>
      </w:r>
      <w:r w:rsidR="00CA6C7D" w:rsidRPr="000D0A6A">
        <w:rPr>
          <w:rFonts w:ascii="Arial" w:hAnsi="Arial" w:cs="Arial"/>
          <w:sz w:val="20"/>
          <w:szCs w:val="20"/>
        </w:rPr>
        <w:t xml:space="preserve">their </w:t>
      </w:r>
      <w:r w:rsidR="00E14981" w:rsidRPr="000D0A6A">
        <w:rPr>
          <w:rFonts w:ascii="Arial" w:hAnsi="Arial" w:cs="Arial"/>
          <w:sz w:val="20"/>
          <w:szCs w:val="20"/>
        </w:rPr>
        <w:t>decisions</w:t>
      </w:r>
      <w:r w:rsidRPr="000D0A6A">
        <w:rPr>
          <w:rFonts w:ascii="Arial" w:hAnsi="Arial" w:cs="Arial"/>
          <w:sz w:val="20"/>
          <w:szCs w:val="20"/>
        </w:rPr>
        <w:t xml:space="preserve">. </w:t>
      </w:r>
      <w:r w:rsidR="00CA6C7D" w:rsidRPr="000D0A6A">
        <w:rPr>
          <w:rFonts w:ascii="Arial" w:hAnsi="Arial" w:cs="Arial"/>
          <w:sz w:val="20"/>
          <w:szCs w:val="20"/>
        </w:rPr>
        <w:t>Over</w:t>
      </w:r>
      <w:r w:rsidR="00FD41DC">
        <w:rPr>
          <w:rFonts w:ascii="Arial" w:hAnsi="Arial" w:cs="Arial"/>
          <w:sz w:val="20"/>
          <w:szCs w:val="20"/>
        </w:rPr>
        <w:t xml:space="preserve"> </w:t>
      </w:r>
      <w:r w:rsidR="00CA6C7D" w:rsidRPr="000D0A6A">
        <w:rPr>
          <w:rFonts w:ascii="Arial" w:hAnsi="Arial" w:cs="Arial"/>
          <w:sz w:val="20"/>
          <w:szCs w:val="20"/>
        </w:rPr>
        <w:t xml:space="preserve">time, a series of </w:t>
      </w:r>
      <w:r w:rsidR="00D27401" w:rsidRPr="000D0A6A">
        <w:rPr>
          <w:rFonts w:ascii="Arial" w:hAnsi="Arial" w:cs="Arial"/>
          <w:sz w:val="20"/>
          <w:szCs w:val="20"/>
        </w:rPr>
        <w:t xml:space="preserve">tribunal decisions </w:t>
      </w:r>
      <w:r w:rsidR="00CA6C7D" w:rsidRPr="000D0A6A">
        <w:rPr>
          <w:rFonts w:ascii="Arial" w:hAnsi="Arial" w:cs="Arial"/>
          <w:sz w:val="20"/>
          <w:szCs w:val="20"/>
        </w:rPr>
        <w:t xml:space="preserve">would establish precedents for local governments </w:t>
      </w:r>
      <w:r w:rsidR="00B5663B">
        <w:rPr>
          <w:rFonts w:ascii="Arial" w:hAnsi="Arial" w:cs="Arial"/>
          <w:sz w:val="20"/>
          <w:szCs w:val="20"/>
        </w:rPr>
        <w:t>to</w:t>
      </w:r>
      <w:r w:rsidR="00CA6C7D" w:rsidRPr="000D0A6A">
        <w:rPr>
          <w:rFonts w:ascii="Arial" w:hAnsi="Arial" w:cs="Arial"/>
          <w:sz w:val="20"/>
          <w:szCs w:val="20"/>
        </w:rPr>
        <w:t xml:space="preserve"> use to make consistent decisions</w:t>
      </w:r>
      <w:r w:rsidR="00E7585E" w:rsidRPr="000D0A6A">
        <w:rPr>
          <w:rFonts w:ascii="Arial" w:hAnsi="Arial" w:cs="Arial"/>
          <w:sz w:val="20"/>
          <w:szCs w:val="20"/>
        </w:rPr>
        <w:t xml:space="preserve"> </w:t>
      </w:r>
    </w:p>
    <w:p w:rsidR="00B5663B" w:rsidRDefault="00B5663B">
      <w:pPr>
        <w:rPr>
          <w:rFonts w:ascii="Arial" w:eastAsia="Times New Roman" w:hAnsi="Arial" w:cs="Arial"/>
          <w:bCs/>
          <w:color w:val="000000" w:themeColor="text1"/>
          <w:sz w:val="20"/>
          <w:szCs w:val="20"/>
        </w:rPr>
      </w:pPr>
    </w:p>
    <w:p w:rsidR="00121A86" w:rsidRPr="00927E47" w:rsidRDefault="008A2027" w:rsidP="002E76E8">
      <w:pPr>
        <w:pStyle w:val="BodyText2"/>
        <w:rPr>
          <w:b w:val="0"/>
          <w:color w:val="000000" w:themeColor="text1"/>
          <w:sz w:val="20"/>
        </w:rPr>
      </w:pPr>
      <w:r w:rsidRPr="00927E47">
        <w:rPr>
          <w:b w:val="0"/>
          <w:color w:val="000000" w:themeColor="text1"/>
          <w:sz w:val="20"/>
        </w:rPr>
        <w:t>Wrong decisions impose costs not just onto the companies seeking administrative review, but also onto government who have to engage in this lengthy and expensive process. Therefore</w:t>
      </w:r>
      <w:r w:rsidR="00DE68C2">
        <w:rPr>
          <w:b w:val="0"/>
          <w:color w:val="000000" w:themeColor="text1"/>
          <w:sz w:val="20"/>
        </w:rPr>
        <w:t>,</w:t>
      </w:r>
      <w:r w:rsidRPr="00927E47">
        <w:rPr>
          <w:b w:val="0"/>
          <w:color w:val="000000" w:themeColor="text1"/>
          <w:sz w:val="20"/>
        </w:rPr>
        <w:t xml:space="preserve"> using external review of decisions </w:t>
      </w:r>
      <w:r w:rsidR="00165D49" w:rsidRPr="00927E47">
        <w:rPr>
          <w:b w:val="0"/>
          <w:color w:val="000000" w:themeColor="text1"/>
          <w:sz w:val="20"/>
        </w:rPr>
        <w:t>may add more thorough th</w:t>
      </w:r>
      <w:r w:rsidR="00CA143A" w:rsidRPr="00927E47">
        <w:rPr>
          <w:b w:val="0"/>
          <w:color w:val="000000" w:themeColor="text1"/>
          <w:sz w:val="20"/>
        </w:rPr>
        <w:t>ough</w:t>
      </w:r>
      <w:r w:rsidR="00165D49" w:rsidRPr="00927E47">
        <w:rPr>
          <w:b w:val="0"/>
          <w:color w:val="000000" w:themeColor="text1"/>
          <w:sz w:val="20"/>
        </w:rPr>
        <w:t>t</w:t>
      </w:r>
      <w:r w:rsidR="00CA143A" w:rsidRPr="00927E47">
        <w:rPr>
          <w:b w:val="0"/>
          <w:color w:val="000000" w:themeColor="text1"/>
          <w:sz w:val="20"/>
        </w:rPr>
        <w:t xml:space="preserve"> on decisions</w:t>
      </w:r>
      <w:r w:rsidR="00E7585E" w:rsidRPr="00927E47">
        <w:rPr>
          <w:b w:val="0"/>
          <w:color w:val="000000" w:themeColor="text1"/>
          <w:sz w:val="20"/>
        </w:rPr>
        <w:t xml:space="preserve"> </w:t>
      </w:r>
      <w:r w:rsidR="00CA143A" w:rsidRPr="00927E47">
        <w:rPr>
          <w:b w:val="0"/>
          <w:color w:val="000000" w:themeColor="text1"/>
          <w:sz w:val="20"/>
        </w:rPr>
        <w:t xml:space="preserve">and move </w:t>
      </w:r>
      <w:r w:rsidR="00165D49" w:rsidRPr="00927E47">
        <w:rPr>
          <w:b w:val="0"/>
          <w:color w:val="000000" w:themeColor="text1"/>
          <w:sz w:val="20"/>
        </w:rPr>
        <w:t>agencies</w:t>
      </w:r>
      <w:r w:rsidR="00CA143A" w:rsidRPr="00927E47">
        <w:rPr>
          <w:b w:val="0"/>
          <w:color w:val="000000" w:themeColor="text1"/>
          <w:sz w:val="20"/>
        </w:rPr>
        <w:t xml:space="preserve"> toward best practice decision making. </w:t>
      </w:r>
    </w:p>
    <w:p w:rsidR="00E7585E" w:rsidRPr="00927E47" w:rsidRDefault="00E7585E" w:rsidP="002E76E8">
      <w:pPr>
        <w:pStyle w:val="BodyText2"/>
        <w:rPr>
          <w:b w:val="0"/>
          <w:color w:val="000000" w:themeColor="text1"/>
          <w:sz w:val="20"/>
        </w:rPr>
      </w:pPr>
    </w:p>
    <w:p w:rsidR="00E7585E" w:rsidRPr="00927E47" w:rsidRDefault="00E7585E" w:rsidP="002E76E8">
      <w:pPr>
        <w:pStyle w:val="BodyText2"/>
        <w:rPr>
          <w:b w:val="0"/>
          <w:color w:val="000000" w:themeColor="text1"/>
          <w:sz w:val="20"/>
        </w:rPr>
      </w:pPr>
      <w:r w:rsidRPr="00927E47">
        <w:rPr>
          <w:b w:val="0"/>
          <w:color w:val="000000" w:themeColor="text1"/>
          <w:sz w:val="20"/>
        </w:rPr>
        <w:t xml:space="preserve">Ultimately, </w:t>
      </w:r>
      <w:r w:rsidR="00CA6C7D" w:rsidRPr="00927E47">
        <w:rPr>
          <w:b w:val="0"/>
          <w:color w:val="000000" w:themeColor="text1"/>
          <w:sz w:val="20"/>
        </w:rPr>
        <w:t>l</w:t>
      </w:r>
      <w:r w:rsidR="006104D6" w:rsidRPr="00927E47">
        <w:rPr>
          <w:b w:val="0"/>
          <w:color w:val="000000" w:themeColor="text1"/>
          <w:sz w:val="20"/>
        </w:rPr>
        <w:t>ocal government like</w:t>
      </w:r>
      <w:r w:rsidRPr="00927E47">
        <w:rPr>
          <w:b w:val="0"/>
          <w:color w:val="000000" w:themeColor="text1"/>
          <w:sz w:val="20"/>
        </w:rPr>
        <w:t xml:space="preserve"> any other government </w:t>
      </w:r>
      <w:r w:rsidR="00B5663B" w:rsidRPr="00927E47">
        <w:rPr>
          <w:b w:val="0"/>
          <w:color w:val="000000" w:themeColor="text1"/>
          <w:sz w:val="20"/>
        </w:rPr>
        <w:t>entity</w:t>
      </w:r>
      <w:r w:rsidRPr="00927E47">
        <w:rPr>
          <w:b w:val="0"/>
          <w:color w:val="000000" w:themeColor="text1"/>
          <w:sz w:val="20"/>
        </w:rPr>
        <w:t xml:space="preserve"> should be there to enable constituents</w:t>
      </w:r>
      <w:r w:rsidR="00B5663B">
        <w:rPr>
          <w:b w:val="0"/>
          <w:color w:val="000000" w:themeColor="text1"/>
          <w:sz w:val="20"/>
        </w:rPr>
        <w:t>,</w:t>
      </w:r>
      <w:r w:rsidRPr="00927E47">
        <w:rPr>
          <w:b w:val="0"/>
          <w:color w:val="000000" w:themeColor="text1"/>
          <w:sz w:val="20"/>
        </w:rPr>
        <w:t xml:space="preserve"> not impose costs </w:t>
      </w:r>
      <w:r w:rsidR="00DE68C2">
        <w:rPr>
          <w:b w:val="0"/>
          <w:color w:val="000000" w:themeColor="text1"/>
          <w:sz w:val="20"/>
        </w:rPr>
        <w:t>which</w:t>
      </w:r>
      <w:r w:rsidRPr="00927E47">
        <w:rPr>
          <w:b w:val="0"/>
          <w:color w:val="000000" w:themeColor="text1"/>
          <w:sz w:val="20"/>
        </w:rPr>
        <w:t xml:space="preserve"> limit the legitimate business practices of companies. Tribunals would give a level of accountability </w:t>
      </w:r>
      <w:r w:rsidR="00DE68C2">
        <w:rPr>
          <w:b w:val="0"/>
          <w:color w:val="000000" w:themeColor="text1"/>
          <w:sz w:val="20"/>
        </w:rPr>
        <w:t>which</w:t>
      </w:r>
      <w:r w:rsidRPr="00927E47">
        <w:rPr>
          <w:b w:val="0"/>
          <w:color w:val="000000" w:themeColor="text1"/>
          <w:sz w:val="20"/>
        </w:rPr>
        <w:t xml:space="preserve"> is desperately lacking currently. </w:t>
      </w:r>
    </w:p>
    <w:p w:rsidR="00121A86" w:rsidRPr="00927E47" w:rsidRDefault="00121A86" w:rsidP="002E76E8">
      <w:pPr>
        <w:pStyle w:val="BodyText2"/>
        <w:rPr>
          <w:b w:val="0"/>
          <w:color w:val="000000" w:themeColor="text1"/>
          <w:sz w:val="20"/>
        </w:rPr>
      </w:pPr>
    </w:p>
    <w:p w:rsidR="00121A86" w:rsidRPr="00927E47" w:rsidRDefault="00121A86" w:rsidP="002E76E8">
      <w:pPr>
        <w:pStyle w:val="BodyText2"/>
        <w:numPr>
          <w:ilvl w:val="0"/>
          <w:numId w:val="16"/>
        </w:numPr>
        <w:rPr>
          <w:b w:val="0"/>
          <w:color w:val="000000" w:themeColor="text1"/>
          <w:sz w:val="20"/>
        </w:rPr>
      </w:pPr>
      <w:r w:rsidRPr="00927E47">
        <w:rPr>
          <w:b w:val="0"/>
          <w:color w:val="000000" w:themeColor="text1"/>
          <w:sz w:val="20"/>
        </w:rPr>
        <w:t xml:space="preserve">Standardisation </w:t>
      </w:r>
    </w:p>
    <w:p w:rsidR="00121A86" w:rsidRPr="00927E47" w:rsidRDefault="00121A86" w:rsidP="002E76E8">
      <w:pPr>
        <w:pStyle w:val="BodyText2"/>
        <w:rPr>
          <w:b w:val="0"/>
          <w:color w:val="000000" w:themeColor="text1"/>
          <w:sz w:val="20"/>
        </w:rPr>
      </w:pPr>
    </w:p>
    <w:p w:rsidR="008344FF" w:rsidRPr="00927E47" w:rsidRDefault="00164A4D" w:rsidP="002E76E8">
      <w:pPr>
        <w:pStyle w:val="BodyText2"/>
        <w:rPr>
          <w:b w:val="0"/>
          <w:color w:val="000000" w:themeColor="text1"/>
          <w:sz w:val="20"/>
        </w:rPr>
      </w:pPr>
      <w:r w:rsidRPr="00927E47">
        <w:rPr>
          <w:b w:val="0"/>
          <w:color w:val="000000" w:themeColor="text1"/>
          <w:sz w:val="20"/>
        </w:rPr>
        <w:t xml:space="preserve">Having uniform charges and regulations </w:t>
      </w:r>
      <w:r w:rsidR="004C2EB3" w:rsidRPr="00927E47">
        <w:rPr>
          <w:b w:val="0"/>
          <w:color w:val="000000" w:themeColor="text1"/>
          <w:sz w:val="20"/>
        </w:rPr>
        <w:t>across Australia would</w:t>
      </w:r>
      <w:r w:rsidRPr="00927E47">
        <w:rPr>
          <w:b w:val="0"/>
          <w:color w:val="000000" w:themeColor="text1"/>
          <w:sz w:val="20"/>
        </w:rPr>
        <w:t xml:space="preserve"> make road frei</w:t>
      </w:r>
      <w:r w:rsidR="00E7585E" w:rsidRPr="00927E47">
        <w:rPr>
          <w:b w:val="0"/>
          <w:color w:val="000000" w:themeColor="text1"/>
          <w:sz w:val="20"/>
        </w:rPr>
        <w:t xml:space="preserve">ght transport far </w:t>
      </w:r>
      <w:r w:rsidRPr="00927E47">
        <w:rPr>
          <w:b w:val="0"/>
          <w:color w:val="000000" w:themeColor="text1"/>
          <w:sz w:val="20"/>
        </w:rPr>
        <w:t>more productive. It should be noted productivity gains in the last 20 years have come largely from the in</w:t>
      </w:r>
      <w:r w:rsidR="00CA6C7D" w:rsidRPr="00927E47">
        <w:rPr>
          <w:b w:val="0"/>
          <w:color w:val="000000" w:themeColor="text1"/>
          <w:sz w:val="20"/>
        </w:rPr>
        <w:t>dustry’s uptake of B-doubles. At</w:t>
      </w:r>
      <w:r w:rsidRPr="00927E47">
        <w:rPr>
          <w:b w:val="0"/>
          <w:color w:val="000000" w:themeColor="text1"/>
          <w:sz w:val="20"/>
        </w:rPr>
        <w:t xml:space="preserve"> the same time government regulat</w:t>
      </w:r>
      <w:r w:rsidR="00165D49" w:rsidRPr="00927E47">
        <w:rPr>
          <w:b w:val="0"/>
          <w:color w:val="000000" w:themeColor="text1"/>
          <w:sz w:val="20"/>
        </w:rPr>
        <w:t>ion has not matched demand for B</w:t>
      </w:r>
      <w:r w:rsidRPr="00927E47">
        <w:rPr>
          <w:b w:val="0"/>
          <w:color w:val="000000" w:themeColor="text1"/>
          <w:sz w:val="20"/>
        </w:rPr>
        <w:t xml:space="preserve">-doubles and the </w:t>
      </w:r>
      <w:r w:rsidR="001F2FD4" w:rsidRPr="00927E47">
        <w:rPr>
          <w:b w:val="0"/>
          <w:color w:val="000000" w:themeColor="text1"/>
          <w:sz w:val="20"/>
        </w:rPr>
        <w:t>abilities</w:t>
      </w:r>
      <w:r w:rsidRPr="00927E47">
        <w:rPr>
          <w:b w:val="0"/>
          <w:color w:val="000000" w:themeColor="text1"/>
          <w:sz w:val="20"/>
        </w:rPr>
        <w:t xml:space="preserve"> </w:t>
      </w:r>
      <w:r w:rsidR="00165D49" w:rsidRPr="00927E47">
        <w:rPr>
          <w:b w:val="0"/>
          <w:color w:val="000000" w:themeColor="text1"/>
          <w:sz w:val="20"/>
        </w:rPr>
        <w:t xml:space="preserve">they </w:t>
      </w:r>
      <w:r w:rsidR="00B56101" w:rsidRPr="00927E47">
        <w:rPr>
          <w:b w:val="0"/>
          <w:color w:val="000000" w:themeColor="text1"/>
          <w:sz w:val="20"/>
        </w:rPr>
        <w:t>possess</w:t>
      </w:r>
      <w:r w:rsidRPr="00927E47">
        <w:rPr>
          <w:b w:val="0"/>
          <w:color w:val="000000" w:themeColor="text1"/>
          <w:sz w:val="20"/>
        </w:rPr>
        <w:t>. Therefore</w:t>
      </w:r>
      <w:r w:rsidR="00837490" w:rsidRPr="00927E47">
        <w:rPr>
          <w:b w:val="0"/>
          <w:color w:val="000000" w:themeColor="text1"/>
          <w:sz w:val="20"/>
        </w:rPr>
        <w:t>,</w:t>
      </w:r>
      <w:r w:rsidRPr="00927E47">
        <w:rPr>
          <w:b w:val="0"/>
          <w:color w:val="000000" w:themeColor="text1"/>
          <w:sz w:val="20"/>
        </w:rPr>
        <w:t xml:space="preserve"> if Australia </w:t>
      </w:r>
      <w:r w:rsidR="001F2FD4" w:rsidRPr="00927E47">
        <w:rPr>
          <w:b w:val="0"/>
          <w:color w:val="000000" w:themeColor="text1"/>
          <w:sz w:val="20"/>
        </w:rPr>
        <w:t>wants</w:t>
      </w:r>
      <w:r w:rsidRPr="00927E47">
        <w:rPr>
          <w:b w:val="0"/>
          <w:color w:val="000000" w:themeColor="text1"/>
          <w:sz w:val="20"/>
        </w:rPr>
        <w:t xml:space="preserve"> to </w:t>
      </w:r>
      <w:r w:rsidR="001F2FD4" w:rsidRPr="00927E47">
        <w:rPr>
          <w:b w:val="0"/>
          <w:color w:val="000000" w:themeColor="text1"/>
          <w:sz w:val="20"/>
        </w:rPr>
        <w:t>achieve</w:t>
      </w:r>
      <w:r w:rsidRPr="00927E47">
        <w:rPr>
          <w:b w:val="0"/>
          <w:color w:val="000000" w:themeColor="text1"/>
          <w:sz w:val="20"/>
        </w:rPr>
        <w:t xml:space="preserve"> </w:t>
      </w:r>
      <w:r w:rsidR="001F2FD4" w:rsidRPr="00927E47">
        <w:rPr>
          <w:b w:val="0"/>
          <w:color w:val="000000" w:themeColor="text1"/>
          <w:sz w:val="20"/>
        </w:rPr>
        <w:t>ef</w:t>
      </w:r>
      <w:r w:rsidR="00DE68C2">
        <w:rPr>
          <w:b w:val="0"/>
          <w:color w:val="000000" w:themeColor="text1"/>
          <w:sz w:val="20"/>
        </w:rPr>
        <w:t>ficiency then it is imperative</w:t>
      </w:r>
      <w:r w:rsidR="001F2FD4" w:rsidRPr="00927E47">
        <w:rPr>
          <w:b w:val="0"/>
          <w:color w:val="000000" w:themeColor="text1"/>
          <w:sz w:val="20"/>
        </w:rPr>
        <w:t xml:space="preserve"> a uniform st</w:t>
      </w:r>
      <w:r w:rsidR="00E7585E" w:rsidRPr="00927E47">
        <w:rPr>
          <w:b w:val="0"/>
          <w:color w:val="000000" w:themeColor="text1"/>
          <w:sz w:val="20"/>
        </w:rPr>
        <w:t xml:space="preserve">andard of </w:t>
      </w:r>
      <w:r w:rsidR="00837490" w:rsidRPr="00927E47">
        <w:rPr>
          <w:b w:val="0"/>
          <w:color w:val="000000" w:themeColor="text1"/>
          <w:sz w:val="20"/>
        </w:rPr>
        <w:t xml:space="preserve">local government </w:t>
      </w:r>
      <w:r w:rsidR="00E7585E" w:rsidRPr="00927E47">
        <w:rPr>
          <w:b w:val="0"/>
          <w:color w:val="000000" w:themeColor="text1"/>
          <w:sz w:val="20"/>
        </w:rPr>
        <w:t>practice is drawn up.</w:t>
      </w:r>
      <w:r w:rsidR="004C2EB3" w:rsidRPr="00927E47">
        <w:rPr>
          <w:b w:val="0"/>
          <w:color w:val="000000" w:themeColor="text1"/>
          <w:sz w:val="20"/>
        </w:rPr>
        <w:t xml:space="preserve"> </w:t>
      </w:r>
    </w:p>
    <w:p w:rsidR="00E7585E" w:rsidRPr="00927E47" w:rsidRDefault="00E7585E" w:rsidP="002E76E8">
      <w:pPr>
        <w:pStyle w:val="BodyText2"/>
        <w:rPr>
          <w:b w:val="0"/>
          <w:color w:val="000000" w:themeColor="text1"/>
          <w:sz w:val="20"/>
        </w:rPr>
      </w:pPr>
    </w:p>
    <w:p w:rsidR="00E7585E" w:rsidRPr="00927E47" w:rsidRDefault="00E7585E" w:rsidP="002E76E8">
      <w:pPr>
        <w:pStyle w:val="BodyText2"/>
        <w:rPr>
          <w:b w:val="0"/>
          <w:color w:val="000000" w:themeColor="text1"/>
          <w:sz w:val="20"/>
        </w:rPr>
      </w:pPr>
      <w:r w:rsidRPr="00927E47">
        <w:rPr>
          <w:b w:val="0"/>
          <w:color w:val="000000" w:themeColor="text1"/>
          <w:sz w:val="20"/>
        </w:rPr>
        <w:t>The National Heavy Vehicle Re</w:t>
      </w:r>
      <w:r w:rsidR="00CA6C7D" w:rsidRPr="00927E47">
        <w:rPr>
          <w:b w:val="0"/>
          <w:color w:val="000000" w:themeColor="text1"/>
          <w:sz w:val="20"/>
        </w:rPr>
        <w:t xml:space="preserve">gulator is set to be a single regulator </w:t>
      </w:r>
      <w:r w:rsidR="00DE68C2">
        <w:rPr>
          <w:b w:val="0"/>
          <w:color w:val="000000" w:themeColor="text1"/>
          <w:sz w:val="20"/>
        </w:rPr>
        <w:t>which</w:t>
      </w:r>
      <w:r w:rsidR="00CA6C7D" w:rsidRPr="00927E47">
        <w:rPr>
          <w:b w:val="0"/>
          <w:color w:val="000000" w:themeColor="text1"/>
          <w:sz w:val="20"/>
        </w:rPr>
        <w:t xml:space="preserve"> will</w:t>
      </w:r>
      <w:r w:rsidRPr="00927E47">
        <w:rPr>
          <w:b w:val="0"/>
          <w:color w:val="000000" w:themeColor="text1"/>
          <w:sz w:val="20"/>
        </w:rPr>
        <w:t xml:space="preserve"> replace the numerou</w:t>
      </w:r>
      <w:r w:rsidR="00DE68C2">
        <w:rPr>
          <w:b w:val="0"/>
          <w:color w:val="000000" w:themeColor="text1"/>
          <w:sz w:val="20"/>
        </w:rPr>
        <w:t>s state</w:t>
      </w:r>
      <w:r w:rsidR="00A276DF">
        <w:rPr>
          <w:b w:val="0"/>
          <w:color w:val="000000" w:themeColor="text1"/>
          <w:sz w:val="20"/>
        </w:rPr>
        <w:t xml:space="preserve"> agency roles that currently exist in</w:t>
      </w:r>
      <w:r w:rsidR="00B5663B">
        <w:rPr>
          <w:b w:val="0"/>
          <w:color w:val="000000" w:themeColor="text1"/>
          <w:sz w:val="20"/>
        </w:rPr>
        <w:t xml:space="preserve"> this area</w:t>
      </w:r>
      <w:r w:rsidR="00CA6C7D" w:rsidRPr="00927E47">
        <w:rPr>
          <w:b w:val="0"/>
          <w:color w:val="000000" w:themeColor="text1"/>
          <w:sz w:val="20"/>
        </w:rPr>
        <w:t>. T</w:t>
      </w:r>
      <w:r w:rsidRPr="00927E47">
        <w:rPr>
          <w:b w:val="0"/>
          <w:color w:val="000000" w:themeColor="text1"/>
          <w:sz w:val="20"/>
        </w:rPr>
        <w:t>he ind</w:t>
      </w:r>
      <w:r w:rsidR="00CA6C7D" w:rsidRPr="00927E47">
        <w:rPr>
          <w:b w:val="0"/>
          <w:color w:val="000000" w:themeColor="text1"/>
          <w:sz w:val="20"/>
        </w:rPr>
        <w:t>ustry hopes it will offer policies</w:t>
      </w:r>
      <w:r w:rsidRPr="00927E47">
        <w:rPr>
          <w:b w:val="0"/>
          <w:color w:val="000000" w:themeColor="text1"/>
          <w:sz w:val="20"/>
        </w:rPr>
        <w:t xml:space="preserve"> and regulation</w:t>
      </w:r>
      <w:r w:rsidR="00DE68C2">
        <w:rPr>
          <w:b w:val="0"/>
          <w:color w:val="000000" w:themeColor="text1"/>
          <w:sz w:val="20"/>
        </w:rPr>
        <w:t>s which</w:t>
      </w:r>
      <w:r w:rsidR="00CA6C7D" w:rsidRPr="00927E47">
        <w:rPr>
          <w:b w:val="0"/>
          <w:color w:val="000000" w:themeColor="text1"/>
          <w:sz w:val="20"/>
        </w:rPr>
        <w:t xml:space="preserve"> apply</w:t>
      </w:r>
      <w:r w:rsidRPr="00927E47">
        <w:rPr>
          <w:b w:val="0"/>
          <w:color w:val="000000" w:themeColor="text1"/>
          <w:sz w:val="20"/>
        </w:rPr>
        <w:t xml:space="preserve"> nation-wide in order for operators to work with limited impediments</w:t>
      </w:r>
      <w:r w:rsidR="004E0CAD" w:rsidRPr="00927E47">
        <w:rPr>
          <w:b w:val="0"/>
          <w:color w:val="000000" w:themeColor="text1"/>
          <w:sz w:val="20"/>
        </w:rPr>
        <w:t xml:space="preserve">. </w:t>
      </w:r>
      <w:r w:rsidR="00837490" w:rsidRPr="00927E47">
        <w:rPr>
          <w:b w:val="0"/>
          <w:color w:val="000000" w:themeColor="text1"/>
          <w:sz w:val="20"/>
        </w:rPr>
        <w:t>Local governments agree</w:t>
      </w:r>
      <w:r w:rsidR="00CA6C7D" w:rsidRPr="00927E47">
        <w:rPr>
          <w:b w:val="0"/>
          <w:color w:val="000000" w:themeColor="text1"/>
          <w:sz w:val="20"/>
        </w:rPr>
        <w:t xml:space="preserve">ing to national guidelines are </w:t>
      </w:r>
      <w:proofErr w:type="gramStart"/>
      <w:r w:rsidR="00CA6C7D" w:rsidRPr="00927E47">
        <w:rPr>
          <w:b w:val="0"/>
          <w:color w:val="000000" w:themeColor="text1"/>
          <w:sz w:val="20"/>
        </w:rPr>
        <w:t>k</w:t>
      </w:r>
      <w:r w:rsidR="00837490" w:rsidRPr="00927E47">
        <w:rPr>
          <w:b w:val="0"/>
          <w:color w:val="000000" w:themeColor="text1"/>
          <w:sz w:val="20"/>
        </w:rPr>
        <w:t>ey</w:t>
      </w:r>
      <w:proofErr w:type="gramEnd"/>
      <w:r w:rsidR="004E0CAD" w:rsidRPr="00927E47">
        <w:rPr>
          <w:b w:val="0"/>
          <w:color w:val="000000" w:themeColor="text1"/>
          <w:sz w:val="20"/>
        </w:rPr>
        <w:t xml:space="preserve"> to the success of the whole project and the future of </w:t>
      </w:r>
      <w:r w:rsidR="00CA143A" w:rsidRPr="00927E47">
        <w:rPr>
          <w:b w:val="0"/>
          <w:color w:val="000000" w:themeColor="text1"/>
          <w:sz w:val="20"/>
        </w:rPr>
        <w:t>a productive</w:t>
      </w:r>
      <w:r w:rsidR="00837490" w:rsidRPr="00927E47">
        <w:rPr>
          <w:b w:val="0"/>
          <w:color w:val="000000" w:themeColor="text1"/>
          <w:sz w:val="20"/>
        </w:rPr>
        <w:t xml:space="preserve"> and</w:t>
      </w:r>
      <w:r w:rsidR="00CA143A" w:rsidRPr="00927E47">
        <w:rPr>
          <w:b w:val="0"/>
          <w:color w:val="000000" w:themeColor="text1"/>
          <w:sz w:val="20"/>
        </w:rPr>
        <w:t xml:space="preserve"> safe</w:t>
      </w:r>
      <w:r w:rsidR="004E0CAD" w:rsidRPr="00927E47">
        <w:rPr>
          <w:b w:val="0"/>
          <w:color w:val="000000" w:themeColor="text1"/>
          <w:sz w:val="20"/>
        </w:rPr>
        <w:t xml:space="preserve"> heavy vehicle industry. </w:t>
      </w:r>
    </w:p>
    <w:p w:rsidR="00B56101" w:rsidRPr="00927E47" w:rsidRDefault="00B56101" w:rsidP="002E76E8">
      <w:pPr>
        <w:pStyle w:val="BodyText2"/>
        <w:rPr>
          <w:color w:val="000000" w:themeColor="text1"/>
          <w:sz w:val="20"/>
        </w:rPr>
      </w:pPr>
    </w:p>
    <w:p w:rsidR="00B56101" w:rsidRPr="00927E47" w:rsidRDefault="00B56101" w:rsidP="002E76E8">
      <w:pPr>
        <w:pStyle w:val="BodyText2"/>
        <w:rPr>
          <w:b w:val="0"/>
          <w:color w:val="000000" w:themeColor="text1"/>
          <w:sz w:val="20"/>
        </w:rPr>
      </w:pPr>
      <w:r w:rsidRPr="00927E47">
        <w:rPr>
          <w:b w:val="0"/>
          <w:color w:val="000000" w:themeColor="text1"/>
          <w:sz w:val="20"/>
        </w:rPr>
        <w:t>Industry</w:t>
      </w:r>
      <w:r w:rsidR="009324CF" w:rsidRPr="00927E47">
        <w:rPr>
          <w:b w:val="0"/>
          <w:color w:val="000000" w:themeColor="text1"/>
          <w:sz w:val="20"/>
        </w:rPr>
        <w:t xml:space="preserve"> has had some</w:t>
      </w:r>
      <w:r w:rsidR="00DE68C2">
        <w:rPr>
          <w:b w:val="0"/>
          <w:color w:val="000000" w:themeColor="text1"/>
          <w:sz w:val="20"/>
        </w:rPr>
        <w:t xml:space="preserve"> involvement</w:t>
      </w:r>
      <w:r w:rsidRPr="00927E47">
        <w:rPr>
          <w:b w:val="0"/>
          <w:color w:val="000000" w:themeColor="text1"/>
          <w:sz w:val="20"/>
        </w:rPr>
        <w:t xml:space="preserve"> in the consultation</w:t>
      </w:r>
      <w:r w:rsidR="00CA6C7D" w:rsidRPr="00927E47">
        <w:rPr>
          <w:b w:val="0"/>
          <w:color w:val="000000" w:themeColor="text1"/>
          <w:sz w:val="20"/>
        </w:rPr>
        <w:t>s</w:t>
      </w:r>
      <w:r w:rsidRPr="00927E47">
        <w:rPr>
          <w:b w:val="0"/>
          <w:color w:val="000000" w:themeColor="text1"/>
          <w:sz w:val="20"/>
        </w:rPr>
        <w:t xml:space="preserve"> with the NHVR, but there are fears industry could be left with unmet expe</w:t>
      </w:r>
      <w:r w:rsidR="00CA6C7D" w:rsidRPr="00927E47">
        <w:rPr>
          <w:b w:val="0"/>
          <w:color w:val="000000" w:themeColor="text1"/>
          <w:sz w:val="20"/>
        </w:rPr>
        <w:t>ctations. This exposes co</w:t>
      </w:r>
      <w:r w:rsidR="00DE68C2">
        <w:rPr>
          <w:b w:val="0"/>
          <w:color w:val="000000" w:themeColor="text1"/>
          <w:sz w:val="20"/>
        </w:rPr>
        <w:t>ncer</w:t>
      </w:r>
      <w:r w:rsidR="00176B23">
        <w:rPr>
          <w:b w:val="0"/>
          <w:color w:val="000000" w:themeColor="text1"/>
          <w:sz w:val="20"/>
        </w:rPr>
        <w:t>ns of the</w:t>
      </w:r>
      <w:r w:rsidR="00CA6C7D" w:rsidRPr="00927E47">
        <w:rPr>
          <w:b w:val="0"/>
          <w:color w:val="000000" w:themeColor="text1"/>
          <w:sz w:val="20"/>
        </w:rPr>
        <w:t xml:space="preserve"> model chosen to implement the NHVR concept</w:t>
      </w:r>
      <w:r w:rsidRPr="00927E47">
        <w:rPr>
          <w:b w:val="0"/>
          <w:color w:val="000000" w:themeColor="text1"/>
          <w:sz w:val="20"/>
        </w:rPr>
        <w:t xml:space="preserve"> will never be able to enforce uniformity with best practice regulation as states and local government will fight hard for their </w:t>
      </w:r>
      <w:r w:rsidR="00CA6C7D" w:rsidRPr="00927E47">
        <w:rPr>
          <w:b w:val="0"/>
          <w:color w:val="000000" w:themeColor="text1"/>
          <w:sz w:val="20"/>
        </w:rPr>
        <w:t>parochial approaches to regulation</w:t>
      </w:r>
      <w:r w:rsidRPr="00927E47">
        <w:rPr>
          <w:b w:val="0"/>
          <w:color w:val="000000" w:themeColor="text1"/>
          <w:sz w:val="20"/>
        </w:rPr>
        <w:t xml:space="preserve">. For example, agencies are </w:t>
      </w:r>
      <w:r w:rsidR="00CA6C7D" w:rsidRPr="00927E47">
        <w:rPr>
          <w:b w:val="0"/>
          <w:color w:val="000000" w:themeColor="text1"/>
          <w:sz w:val="20"/>
        </w:rPr>
        <w:t>arguing</w:t>
      </w:r>
      <w:r w:rsidRPr="00927E47">
        <w:rPr>
          <w:b w:val="0"/>
          <w:color w:val="000000" w:themeColor="text1"/>
          <w:sz w:val="20"/>
        </w:rPr>
        <w:t xml:space="preserve"> </w:t>
      </w:r>
      <w:r w:rsidR="00CA6C7D" w:rsidRPr="00927E47">
        <w:rPr>
          <w:b w:val="0"/>
          <w:color w:val="000000" w:themeColor="text1"/>
          <w:sz w:val="20"/>
        </w:rPr>
        <w:t>the national law should not</w:t>
      </w:r>
      <w:r w:rsidRPr="00927E47">
        <w:rPr>
          <w:b w:val="0"/>
          <w:color w:val="000000" w:themeColor="text1"/>
          <w:sz w:val="20"/>
        </w:rPr>
        <w:t xml:space="preserve"> provide</w:t>
      </w:r>
      <w:r w:rsidR="00CA6C7D" w:rsidRPr="00927E47">
        <w:rPr>
          <w:b w:val="0"/>
          <w:color w:val="000000" w:themeColor="text1"/>
          <w:sz w:val="20"/>
        </w:rPr>
        <w:t xml:space="preserve"> for the external</w:t>
      </w:r>
      <w:r w:rsidRPr="00927E47">
        <w:rPr>
          <w:b w:val="0"/>
          <w:color w:val="000000" w:themeColor="text1"/>
          <w:sz w:val="20"/>
        </w:rPr>
        <w:t xml:space="preserve"> review of decisions. </w:t>
      </w:r>
    </w:p>
    <w:p w:rsidR="001F2FD4" w:rsidRPr="00927E47" w:rsidRDefault="001F2FD4" w:rsidP="002E76E8">
      <w:pPr>
        <w:pStyle w:val="BodyText2"/>
        <w:rPr>
          <w:b w:val="0"/>
          <w:color w:val="000000" w:themeColor="text1"/>
          <w:sz w:val="20"/>
        </w:rPr>
      </w:pPr>
    </w:p>
    <w:p w:rsidR="00F91F03" w:rsidRPr="00927E47" w:rsidRDefault="00F91F03" w:rsidP="002E76E8">
      <w:pPr>
        <w:pStyle w:val="BodyText2"/>
        <w:numPr>
          <w:ilvl w:val="0"/>
          <w:numId w:val="16"/>
        </w:numPr>
        <w:rPr>
          <w:b w:val="0"/>
          <w:color w:val="000000" w:themeColor="text1"/>
          <w:sz w:val="20"/>
        </w:rPr>
      </w:pPr>
      <w:r w:rsidRPr="00927E47">
        <w:rPr>
          <w:b w:val="0"/>
          <w:color w:val="000000" w:themeColor="text1"/>
          <w:sz w:val="20"/>
        </w:rPr>
        <w:t xml:space="preserve">Lack of industry interaction </w:t>
      </w:r>
    </w:p>
    <w:p w:rsidR="00F91F03" w:rsidRPr="00927E47" w:rsidRDefault="00F91F03" w:rsidP="002E76E8">
      <w:pPr>
        <w:pStyle w:val="BodyText2"/>
        <w:rPr>
          <w:b w:val="0"/>
          <w:color w:val="000000" w:themeColor="text1"/>
          <w:sz w:val="20"/>
        </w:rPr>
      </w:pPr>
    </w:p>
    <w:p w:rsidR="00B56101" w:rsidRPr="00927E47" w:rsidRDefault="00F91F03" w:rsidP="002E76E8">
      <w:pPr>
        <w:pStyle w:val="BodyText2"/>
        <w:rPr>
          <w:b w:val="0"/>
          <w:color w:val="000000" w:themeColor="text1"/>
          <w:sz w:val="20"/>
        </w:rPr>
      </w:pPr>
      <w:r w:rsidRPr="00927E47">
        <w:rPr>
          <w:b w:val="0"/>
          <w:color w:val="000000" w:themeColor="text1"/>
          <w:sz w:val="20"/>
        </w:rPr>
        <w:t xml:space="preserve">Improvements can be made by bridging the gap between local </w:t>
      </w:r>
      <w:r w:rsidR="00176B23">
        <w:rPr>
          <w:b w:val="0"/>
          <w:color w:val="000000" w:themeColor="text1"/>
          <w:sz w:val="20"/>
        </w:rPr>
        <w:t>governments and industry so</w:t>
      </w:r>
      <w:r w:rsidRPr="00927E47">
        <w:rPr>
          <w:b w:val="0"/>
          <w:color w:val="000000" w:themeColor="text1"/>
          <w:sz w:val="20"/>
        </w:rPr>
        <w:t xml:space="preserve"> more informed </w:t>
      </w:r>
      <w:r w:rsidR="005E7FF0" w:rsidRPr="00927E47">
        <w:rPr>
          <w:b w:val="0"/>
          <w:color w:val="000000" w:themeColor="text1"/>
          <w:sz w:val="20"/>
        </w:rPr>
        <w:t>outcomes</w:t>
      </w:r>
      <w:r w:rsidR="00170107" w:rsidRPr="00927E47">
        <w:rPr>
          <w:b w:val="0"/>
          <w:color w:val="000000" w:themeColor="text1"/>
          <w:sz w:val="20"/>
        </w:rPr>
        <w:t xml:space="preserve"> can be </w:t>
      </w:r>
      <w:r w:rsidR="0092236A" w:rsidRPr="00927E47">
        <w:rPr>
          <w:b w:val="0"/>
          <w:color w:val="000000" w:themeColor="text1"/>
          <w:sz w:val="20"/>
        </w:rPr>
        <w:t>reached</w:t>
      </w:r>
      <w:r w:rsidR="00170107" w:rsidRPr="00927E47">
        <w:rPr>
          <w:b w:val="0"/>
          <w:color w:val="000000" w:themeColor="text1"/>
          <w:sz w:val="20"/>
        </w:rPr>
        <w:t xml:space="preserve">. Information sharing </w:t>
      </w:r>
      <w:r w:rsidR="004E0CAD" w:rsidRPr="00927E47">
        <w:rPr>
          <w:b w:val="0"/>
          <w:color w:val="000000" w:themeColor="text1"/>
          <w:sz w:val="20"/>
        </w:rPr>
        <w:t>would improve the system without</w:t>
      </w:r>
      <w:r w:rsidR="00170107" w:rsidRPr="00927E47">
        <w:rPr>
          <w:b w:val="0"/>
          <w:color w:val="000000" w:themeColor="text1"/>
          <w:sz w:val="20"/>
        </w:rPr>
        <w:t xml:space="preserve"> huge sums of money</w:t>
      </w:r>
      <w:r w:rsidR="004E0CAD" w:rsidRPr="00927E47">
        <w:rPr>
          <w:b w:val="0"/>
          <w:color w:val="000000" w:themeColor="text1"/>
          <w:sz w:val="20"/>
        </w:rPr>
        <w:t xml:space="preserve"> being spent</w:t>
      </w:r>
      <w:r w:rsidR="00170107" w:rsidRPr="00927E47">
        <w:rPr>
          <w:b w:val="0"/>
          <w:color w:val="000000" w:themeColor="text1"/>
          <w:sz w:val="20"/>
        </w:rPr>
        <w:t xml:space="preserve"> or implementing </w:t>
      </w:r>
      <w:r w:rsidR="00CA143A" w:rsidRPr="00927E47">
        <w:rPr>
          <w:b w:val="0"/>
          <w:color w:val="000000" w:themeColor="text1"/>
          <w:sz w:val="20"/>
        </w:rPr>
        <w:t xml:space="preserve">major </w:t>
      </w:r>
      <w:r w:rsidR="00170107" w:rsidRPr="00927E47">
        <w:rPr>
          <w:b w:val="0"/>
          <w:color w:val="000000" w:themeColor="text1"/>
          <w:sz w:val="20"/>
        </w:rPr>
        <w:t>governance restructures.</w:t>
      </w:r>
      <w:r w:rsidR="004E0CAD" w:rsidRPr="00927E47">
        <w:rPr>
          <w:b w:val="0"/>
          <w:color w:val="000000" w:themeColor="text1"/>
          <w:sz w:val="20"/>
        </w:rPr>
        <w:t xml:space="preserve"> In reality</w:t>
      </w:r>
      <w:r w:rsidR="005E7FF0" w:rsidRPr="00927E47">
        <w:rPr>
          <w:b w:val="0"/>
          <w:color w:val="000000" w:themeColor="text1"/>
          <w:sz w:val="20"/>
        </w:rPr>
        <w:t>, many</w:t>
      </w:r>
      <w:r w:rsidR="00176B23">
        <w:rPr>
          <w:b w:val="0"/>
          <w:color w:val="000000" w:themeColor="text1"/>
          <w:sz w:val="20"/>
        </w:rPr>
        <w:t xml:space="preserve"> of the concerns</w:t>
      </w:r>
      <w:r w:rsidR="004E0CAD" w:rsidRPr="00927E47">
        <w:rPr>
          <w:b w:val="0"/>
          <w:color w:val="000000" w:themeColor="text1"/>
          <w:sz w:val="20"/>
        </w:rPr>
        <w:t xml:space="preserve"> local governments have such as access to funds could be </w:t>
      </w:r>
      <w:r w:rsidR="005E7FF0" w:rsidRPr="00927E47">
        <w:rPr>
          <w:b w:val="0"/>
          <w:color w:val="000000" w:themeColor="text1"/>
          <w:sz w:val="20"/>
        </w:rPr>
        <w:t>supported strongly</w:t>
      </w:r>
      <w:r w:rsidR="00176B23">
        <w:rPr>
          <w:b w:val="0"/>
          <w:color w:val="000000" w:themeColor="text1"/>
          <w:sz w:val="20"/>
        </w:rPr>
        <w:t xml:space="preserve"> if industry involvement</w:t>
      </w:r>
      <w:r w:rsidR="004E0CAD" w:rsidRPr="00927E47">
        <w:rPr>
          <w:b w:val="0"/>
          <w:color w:val="000000" w:themeColor="text1"/>
          <w:sz w:val="20"/>
        </w:rPr>
        <w:t xml:space="preserve"> was encouraged, leading to better outcomes for local governments and operators.</w:t>
      </w:r>
    </w:p>
    <w:p w:rsidR="00B56101" w:rsidRPr="00927E47" w:rsidRDefault="00B56101" w:rsidP="002E76E8">
      <w:pPr>
        <w:pStyle w:val="BodyText2"/>
        <w:rPr>
          <w:b w:val="0"/>
          <w:color w:val="000000" w:themeColor="text1"/>
          <w:sz w:val="20"/>
        </w:rPr>
      </w:pPr>
    </w:p>
    <w:p w:rsidR="00E15FD6" w:rsidRPr="00927E47" w:rsidRDefault="00176B23" w:rsidP="002E76E8">
      <w:pPr>
        <w:pStyle w:val="BodyText2"/>
        <w:rPr>
          <w:b w:val="0"/>
          <w:color w:val="000000" w:themeColor="text1"/>
          <w:sz w:val="20"/>
        </w:rPr>
      </w:pPr>
      <w:r>
        <w:rPr>
          <w:b w:val="0"/>
          <w:color w:val="000000" w:themeColor="text1"/>
          <w:sz w:val="20"/>
        </w:rPr>
        <w:t>The issue of f</w:t>
      </w:r>
      <w:r w:rsidR="00E15FD6" w:rsidRPr="00927E47">
        <w:rPr>
          <w:b w:val="0"/>
          <w:color w:val="000000" w:themeColor="text1"/>
          <w:sz w:val="20"/>
        </w:rPr>
        <w:t xml:space="preserve">unding for roads and maintenance is going to </w:t>
      </w:r>
      <w:r>
        <w:rPr>
          <w:b w:val="0"/>
          <w:color w:val="000000" w:themeColor="text1"/>
          <w:sz w:val="20"/>
        </w:rPr>
        <w:t>become greater as the</w:t>
      </w:r>
      <w:r w:rsidR="00E15FD6" w:rsidRPr="00927E47">
        <w:rPr>
          <w:b w:val="0"/>
          <w:color w:val="000000" w:themeColor="text1"/>
          <w:sz w:val="20"/>
        </w:rPr>
        <w:t xml:space="preserve"> freight task increases. Local governments have struggled to access higher funds. The Australian </w:t>
      </w:r>
      <w:r w:rsidR="006104D6" w:rsidRPr="00927E47">
        <w:rPr>
          <w:b w:val="0"/>
          <w:color w:val="000000" w:themeColor="text1"/>
          <w:sz w:val="20"/>
        </w:rPr>
        <w:t>Local Government Association</w:t>
      </w:r>
      <w:r w:rsidR="00E15FD6" w:rsidRPr="00927E47">
        <w:rPr>
          <w:b w:val="0"/>
          <w:color w:val="000000" w:themeColor="text1"/>
          <w:sz w:val="20"/>
        </w:rPr>
        <w:t xml:space="preserve"> has reported that over the past years the movement of grain from rail to road has and is going to have </w:t>
      </w:r>
      <w:r w:rsidR="00E15FD6" w:rsidRPr="00927E47">
        <w:rPr>
          <w:rStyle w:val="FootnoteReference"/>
          <w:rFonts w:cs="Arial"/>
          <w:b w:val="0"/>
          <w:color w:val="000000" w:themeColor="text1"/>
          <w:sz w:val="20"/>
        </w:rPr>
        <w:footnoteReference w:id="14"/>
      </w:r>
      <w:r w:rsidR="00E15FD6" w:rsidRPr="00927E47">
        <w:rPr>
          <w:b w:val="0"/>
          <w:color w:val="000000" w:themeColor="text1"/>
          <w:sz w:val="20"/>
        </w:rPr>
        <w:t xml:space="preserve">significant funding issues that need to be addressed.  </w:t>
      </w:r>
      <w:r w:rsidR="00CA143A" w:rsidRPr="00927E47">
        <w:rPr>
          <w:b w:val="0"/>
          <w:color w:val="000000" w:themeColor="text1"/>
          <w:sz w:val="20"/>
        </w:rPr>
        <w:t xml:space="preserve">The </w:t>
      </w:r>
      <w:r w:rsidR="00B56101" w:rsidRPr="00927E47">
        <w:rPr>
          <w:b w:val="0"/>
          <w:color w:val="000000" w:themeColor="text1"/>
          <w:sz w:val="20"/>
        </w:rPr>
        <w:t>industry agrees</w:t>
      </w:r>
      <w:r w:rsidR="00CA143A" w:rsidRPr="00927E47">
        <w:rPr>
          <w:b w:val="0"/>
          <w:color w:val="000000" w:themeColor="text1"/>
          <w:sz w:val="20"/>
        </w:rPr>
        <w:t xml:space="preserve"> that local governments should receive their fair sha</w:t>
      </w:r>
      <w:r w:rsidR="0092236A" w:rsidRPr="00927E47">
        <w:rPr>
          <w:b w:val="0"/>
          <w:color w:val="000000" w:themeColor="text1"/>
          <w:sz w:val="20"/>
        </w:rPr>
        <w:t>re of the monies</w:t>
      </w:r>
      <w:r w:rsidR="00A276DF">
        <w:rPr>
          <w:b w:val="0"/>
          <w:color w:val="000000" w:themeColor="text1"/>
          <w:sz w:val="20"/>
        </w:rPr>
        <w:t xml:space="preserve"> which </w:t>
      </w:r>
      <w:r w:rsidR="0092236A" w:rsidRPr="00927E47">
        <w:rPr>
          <w:b w:val="0"/>
          <w:color w:val="000000" w:themeColor="text1"/>
          <w:sz w:val="20"/>
        </w:rPr>
        <w:t xml:space="preserve">industry </w:t>
      </w:r>
      <w:r w:rsidR="00CA143A" w:rsidRPr="00927E47">
        <w:rPr>
          <w:b w:val="0"/>
          <w:color w:val="000000" w:themeColor="text1"/>
          <w:sz w:val="20"/>
        </w:rPr>
        <w:t xml:space="preserve">pays for its impact on the road network.  </w:t>
      </w:r>
      <w:r w:rsidR="00E15FD6" w:rsidRPr="00927E47">
        <w:rPr>
          <w:b w:val="0"/>
          <w:color w:val="000000" w:themeColor="text1"/>
          <w:sz w:val="20"/>
        </w:rPr>
        <w:t xml:space="preserve"> </w:t>
      </w:r>
    </w:p>
    <w:p w:rsidR="00E15FD6" w:rsidRPr="00927E47" w:rsidRDefault="00E15FD6" w:rsidP="002E76E8">
      <w:pPr>
        <w:pStyle w:val="BodyText2"/>
        <w:rPr>
          <w:b w:val="0"/>
          <w:color w:val="000000" w:themeColor="text1"/>
          <w:sz w:val="20"/>
        </w:rPr>
      </w:pPr>
    </w:p>
    <w:p w:rsidR="009A2660" w:rsidRPr="00395E16" w:rsidRDefault="00176B23" w:rsidP="00395E16">
      <w:pPr>
        <w:pStyle w:val="BodyText2"/>
        <w:rPr>
          <w:b w:val="0"/>
          <w:color w:val="000000" w:themeColor="text1"/>
          <w:sz w:val="20"/>
        </w:rPr>
      </w:pPr>
      <w:r>
        <w:rPr>
          <w:b w:val="0"/>
          <w:color w:val="000000" w:themeColor="text1"/>
          <w:sz w:val="20"/>
        </w:rPr>
        <w:t>E</w:t>
      </w:r>
      <w:r w:rsidR="004E0CAD" w:rsidRPr="00927E47">
        <w:rPr>
          <w:b w:val="0"/>
          <w:color w:val="000000" w:themeColor="text1"/>
          <w:sz w:val="20"/>
        </w:rPr>
        <w:t xml:space="preserve">ngineering foundations for decisions in </w:t>
      </w:r>
      <w:r w:rsidR="006104D6" w:rsidRPr="00927E47">
        <w:rPr>
          <w:b w:val="0"/>
          <w:color w:val="000000" w:themeColor="text1"/>
          <w:sz w:val="20"/>
        </w:rPr>
        <w:t xml:space="preserve">local government </w:t>
      </w:r>
      <w:r>
        <w:rPr>
          <w:b w:val="0"/>
          <w:color w:val="000000" w:themeColor="text1"/>
          <w:sz w:val="20"/>
        </w:rPr>
        <w:t xml:space="preserve">can </w:t>
      </w:r>
      <w:r w:rsidR="006104D6" w:rsidRPr="00927E47">
        <w:rPr>
          <w:b w:val="0"/>
          <w:color w:val="000000" w:themeColor="text1"/>
          <w:sz w:val="20"/>
        </w:rPr>
        <w:t>differ</w:t>
      </w:r>
      <w:r w:rsidR="004E0CAD" w:rsidRPr="00927E47">
        <w:rPr>
          <w:b w:val="0"/>
          <w:color w:val="000000" w:themeColor="text1"/>
          <w:sz w:val="20"/>
        </w:rPr>
        <w:t xml:space="preserve"> considerably from the industry engineers; this problem could be resolved with better interaction. </w:t>
      </w:r>
      <w:r w:rsidR="00B07BC7" w:rsidRPr="00927E47">
        <w:rPr>
          <w:b w:val="0"/>
          <w:color w:val="000000" w:themeColor="text1"/>
          <w:sz w:val="20"/>
        </w:rPr>
        <w:t xml:space="preserve">The road freight industry is also encountering negative attitudes of local governments and their desire for rail </w:t>
      </w:r>
      <w:r w:rsidR="0092236A" w:rsidRPr="00927E47">
        <w:rPr>
          <w:b w:val="0"/>
          <w:color w:val="000000" w:themeColor="text1"/>
          <w:sz w:val="20"/>
        </w:rPr>
        <w:t>to be</w:t>
      </w:r>
      <w:r w:rsidR="00B07BC7" w:rsidRPr="00927E47">
        <w:rPr>
          <w:b w:val="0"/>
          <w:color w:val="000000" w:themeColor="text1"/>
          <w:sz w:val="20"/>
        </w:rPr>
        <w:t xml:space="preserve"> </w:t>
      </w:r>
      <w:r w:rsidR="0092236A" w:rsidRPr="00927E47">
        <w:rPr>
          <w:b w:val="0"/>
          <w:color w:val="000000" w:themeColor="text1"/>
          <w:sz w:val="20"/>
        </w:rPr>
        <w:t>used</w:t>
      </w:r>
      <w:r w:rsidR="00B07BC7" w:rsidRPr="00927E47">
        <w:rPr>
          <w:b w:val="0"/>
          <w:color w:val="000000" w:themeColor="text1"/>
          <w:sz w:val="20"/>
        </w:rPr>
        <w:t xml:space="preserve"> </w:t>
      </w:r>
      <w:r w:rsidR="0092236A" w:rsidRPr="00927E47">
        <w:rPr>
          <w:b w:val="0"/>
          <w:color w:val="000000" w:themeColor="text1"/>
          <w:sz w:val="20"/>
        </w:rPr>
        <w:t xml:space="preserve">more </w:t>
      </w:r>
      <w:r w:rsidR="00B07BC7" w:rsidRPr="00927E47">
        <w:rPr>
          <w:b w:val="0"/>
          <w:color w:val="000000" w:themeColor="text1"/>
          <w:sz w:val="20"/>
        </w:rPr>
        <w:t>for freight. While road and rail are complementary, there are signs that ra</w:t>
      </w:r>
      <w:r w:rsidR="0092236A" w:rsidRPr="00927E47">
        <w:rPr>
          <w:b w:val="0"/>
          <w:color w:val="000000" w:themeColor="text1"/>
          <w:sz w:val="20"/>
        </w:rPr>
        <w:t>il is less attractive even though</w:t>
      </w:r>
      <w:r w:rsidR="00B07BC7" w:rsidRPr="00927E47">
        <w:rPr>
          <w:b w:val="0"/>
          <w:color w:val="000000" w:themeColor="text1"/>
          <w:sz w:val="20"/>
        </w:rPr>
        <w:t xml:space="preserve"> access price</w:t>
      </w:r>
      <w:r w:rsidR="00E94EF6" w:rsidRPr="00927E47">
        <w:rPr>
          <w:b w:val="0"/>
          <w:color w:val="000000" w:themeColor="text1"/>
          <w:sz w:val="20"/>
        </w:rPr>
        <w:t>s</w:t>
      </w:r>
      <w:r w:rsidR="00B07BC7" w:rsidRPr="00927E47">
        <w:rPr>
          <w:b w:val="0"/>
          <w:color w:val="000000" w:themeColor="text1"/>
          <w:sz w:val="20"/>
        </w:rPr>
        <w:t xml:space="preserve"> </w:t>
      </w:r>
      <w:r>
        <w:rPr>
          <w:b w:val="0"/>
          <w:color w:val="000000" w:themeColor="text1"/>
          <w:sz w:val="20"/>
        </w:rPr>
        <w:t>are</w:t>
      </w:r>
      <w:r w:rsidR="00B07BC7" w:rsidRPr="00927E47">
        <w:rPr>
          <w:b w:val="0"/>
          <w:color w:val="000000" w:themeColor="text1"/>
          <w:sz w:val="20"/>
        </w:rPr>
        <w:t xml:space="preserve"> l</w:t>
      </w:r>
      <w:r>
        <w:rPr>
          <w:b w:val="0"/>
          <w:color w:val="000000" w:themeColor="text1"/>
          <w:sz w:val="20"/>
        </w:rPr>
        <w:t>ower than road freight access prices</w:t>
      </w:r>
      <w:r w:rsidR="00B07BC7" w:rsidRPr="00927E47">
        <w:rPr>
          <w:b w:val="0"/>
          <w:color w:val="000000" w:themeColor="text1"/>
          <w:sz w:val="20"/>
        </w:rPr>
        <w:t>. Presently on one NSW gr</w:t>
      </w:r>
      <w:r w:rsidR="002F6212" w:rsidRPr="00927E47">
        <w:rPr>
          <w:b w:val="0"/>
          <w:color w:val="000000" w:themeColor="text1"/>
          <w:sz w:val="20"/>
        </w:rPr>
        <w:t>ain line network the cost recovery for government investment</w:t>
      </w:r>
      <w:r w:rsidR="003D75D4" w:rsidRPr="00927E47">
        <w:rPr>
          <w:b w:val="0"/>
          <w:color w:val="000000" w:themeColor="text1"/>
          <w:sz w:val="20"/>
        </w:rPr>
        <w:t xml:space="preserve"> ranges from 0.86-6.3% with an average recovery of just</w:t>
      </w:r>
      <w:r w:rsidR="002F6212" w:rsidRPr="00927E47">
        <w:rPr>
          <w:b w:val="0"/>
          <w:color w:val="000000" w:themeColor="text1"/>
          <w:sz w:val="20"/>
        </w:rPr>
        <w:t xml:space="preserve"> 3%</w:t>
      </w:r>
      <w:r w:rsidR="003D75D4" w:rsidRPr="00927E47">
        <w:rPr>
          <w:rStyle w:val="FootnoteReference"/>
          <w:rFonts w:cs="Arial"/>
          <w:b w:val="0"/>
          <w:color w:val="000000" w:themeColor="text1"/>
          <w:sz w:val="20"/>
        </w:rPr>
        <w:footnoteReference w:id="15"/>
      </w:r>
      <w:r w:rsidR="00B5663B">
        <w:rPr>
          <w:b w:val="0"/>
          <w:color w:val="000000" w:themeColor="text1"/>
          <w:sz w:val="20"/>
        </w:rPr>
        <w:t>. W</w:t>
      </w:r>
      <w:r w:rsidR="002F6212" w:rsidRPr="00927E47">
        <w:rPr>
          <w:b w:val="0"/>
          <w:color w:val="000000" w:themeColor="text1"/>
          <w:sz w:val="20"/>
        </w:rPr>
        <w:t xml:space="preserve">hile money is invested </w:t>
      </w:r>
      <w:r w:rsidR="0092236A" w:rsidRPr="00927E47">
        <w:rPr>
          <w:b w:val="0"/>
          <w:color w:val="000000" w:themeColor="text1"/>
          <w:sz w:val="20"/>
        </w:rPr>
        <w:t>in</w:t>
      </w:r>
      <w:r w:rsidR="002F6212" w:rsidRPr="00927E47">
        <w:rPr>
          <w:b w:val="0"/>
          <w:color w:val="000000" w:themeColor="text1"/>
          <w:sz w:val="20"/>
        </w:rPr>
        <w:t xml:space="preserve"> rail, it fails to solve the issue of increased road freight in jurisdictions. Industry interaction between rail, road and </w:t>
      </w:r>
      <w:r w:rsidR="006104D6" w:rsidRPr="00927E47">
        <w:rPr>
          <w:b w:val="0"/>
          <w:color w:val="000000" w:themeColor="text1"/>
          <w:sz w:val="20"/>
        </w:rPr>
        <w:t>local government would</w:t>
      </w:r>
      <w:r w:rsidR="002F6212" w:rsidRPr="00927E47">
        <w:rPr>
          <w:b w:val="0"/>
          <w:color w:val="000000" w:themeColor="text1"/>
          <w:sz w:val="20"/>
        </w:rPr>
        <w:t xml:space="preserve"> have </w:t>
      </w:r>
      <w:r>
        <w:rPr>
          <w:b w:val="0"/>
          <w:color w:val="000000" w:themeColor="text1"/>
          <w:sz w:val="20"/>
        </w:rPr>
        <w:t xml:space="preserve">a </w:t>
      </w:r>
      <w:r w:rsidR="002F6212" w:rsidRPr="00927E47">
        <w:rPr>
          <w:b w:val="0"/>
          <w:color w:val="000000" w:themeColor="text1"/>
          <w:sz w:val="20"/>
        </w:rPr>
        <w:t>more freight task orientated outcome versus the current failings.</w:t>
      </w:r>
    </w:p>
    <w:p w:rsidR="001955E5" w:rsidRDefault="001955E5">
      <w:pPr>
        <w:rPr>
          <w:rFonts w:ascii="Arial" w:eastAsia="Times New Roman" w:hAnsi="Arial" w:cs="Arial"/>
          <w:bCs/>
          <w:color w:val="000000" w:themeColor="text1"/>
          <w:sz w:val="20"/>
          <w:szCs w:val="20"/>
        </w:rPr>
      </w:pPr>
      <w:r>
        <w:rPr>
          <w:b/>
          <w:color w:val="000000" w:themeColor="text1"/>
          <w:sz w:val="20"/>
        </w:rPr>
        <w:br w:type="page"/>
      </w:r>
    </w:p>
    <w:p w:rsidR="00170107" w:rsidRPr="00927E47" w:rsidRDefault="00170107" w:rsidP="002E76E8">
      <w:pPr>
        <w:pStyle w:val="BodyText2"/>
        <w:rPr>
          <w:b w:val="0"/>
          <w:color w:val="000000" w:themeColor="text1"/>
          <w:sz w:val="20"/>
        </w:rPr>
      </w:pPr>
    </w:p>
    <w:p w:rsidR="00946E17" w:rsidRPr="00927E47" w:rsidRDefault="00946E17" w:rsidP="002E76E8">
      <w:pPr>
        <w:pStyle w:val="RecommendationStyle"/>
        <w:spacing w:before="0" w:after="0"/>
        <w:rPr>
          <w:color w:val="000000" w:themeColor="text1"/>
        </w:rPr>
      </w:pPr>
      <w:bookmarkStart w:id="130" w:name="_Toc301962922"/>
      <w:bookmarkStart w:id="131" w:name="_Toc301963179"/>
      <w:bookmarkStart w:id="132" w:name="_Toc304288020"/>
      <w:bookmarkStart w:id="133" w:name="_Toc304288087"/>
      <w:bookmarkStart w:id="134" w:name="_Toc304291926"/>
      <w:bookmarkStart w:id="135" w:name="_Toc304537429"/>
      <w:bookmarkStart w:id="136" w:name="_Toc304544529"/>
      <w:bookmarkStart w:id="137" w:name="_Toc304544823"/>
      <w:bookmarkStart w:id="138" w:name="_Toc304964410"/>
      <w:bookmarkStart w:id="139" w:name="_Toc304970571"/>
      <w:bookmarkStart w:id="140" w:name="_Toc304973333"/>
      <w:bookmarkStart w:id="141" w:name="_Toc304973513"/>
      <w:bookmarkStart w:id="142" w:name="_Toc305670394"/>
      <w:bookmarkStart w:id="143" w:name="_Toc306713557"/>
      <w:bookmarkStart w:id="144" w:name="_Toc306954578"/>
      <w:bookmarkStart w:id="145" w:name="_Toc306957363"/>
      <w:bookmarkStart w:id="146" w:name="_Toc306957474"/>
      <w:bookmarkStart w:id="147" w:name="_Toc30695779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0D0A6A" w:rsidRDefault="000D0A6A" w:rsidP="002E76E8">
      <w:pPr>
        <w:pStyle w:val="RecommendationStyle"/>
        <w:numPr>
          <w:ilvl w:val="0"/>
          <w:numId w:val="0"/>
        </w:numPr>
        <w:spacing w:before="0" w:after="0"/>
        <w:rPr>
          <w:color w:val="000000" w:themeColor="text1"/>
        </w:rPr>
      </w:pPr>
      <w:bookmarkStart w:id="148" w:name="_Toc304288021"/>
      <w:bookmarkStart w:id="149" w:name="_Toc304288088"/>
      <w:bookmarkStart w:id="150" w:name="_Toc304291927"/>
      <w:bookmarkStart w:id="151" w:name="_Toc304537430"/>
      <w:bookmarkStart w:id="152" w:name="_Toc304544530"/>
      <w:bookmarkStart w:id="153" w:name="_Toc304544824"/>
      <w:bookmarkStart w:id="154" w:name="_Toc304964411"/>
      <w:bookmarkStart w:id="155" w:name="_Toc304970572"/>
      <w:bookmarkStart w:id="156" w:name="_Toc304973334"/>
      <w:bookmarkStart w:id="157" w:name="_Toc304973514"/>
      <w:bookmarkStart w:id="158" w:name="_Toc305670395"/>
      <w:bookmarkStart w:id="159" w:name="_Toc306713558"/>
    </w:p>
    <w:p w:rsidR="00946E17" w:rsidRDefault="00CA143A" w:rsidP="002E76E8">
      <w:pPr>
        <w:pStyle w:val="RecommendationStyle"/>
        <w:numPr>
          <w:ilvl w:val="0"/>
          <w:numId w:val="0"/>
        </w:numPr>
        <w:spacing w:before="0" w:after="0"/>
        <w:rPr>
          <w:color w:val="000000" w:themeColor="text1"/>
        </w:rPr>
      </w:pPr>
      <w:bookmarkStart w:id="160" w:name="_Toc306954579"/>
      <w:bookmarkStart w:id="161" w:name="_Toc306957364"/>
      <w:bookmarkStart w:id="162" w:name="_Toc306957475"/>
      <w:bookmarkStart w:id="163" w:name="_Toc306957800"/>
      <w:r w:rsidRPr="00927E47">
        <w:rPr>
          <w:color w:val="000000" w:themeColor="text1"/>
        </w:rPr>
        <w:t>Access decisions</w:t>
      </w:r>
      <w:r w:rsidR="00834ACA" w:rsidRPr="00927E47">
        <w:rPr>
          <w:color w:val="000000" w:themeColor="text1"/>
        </w:rPr>
        <w:t xml:space="preserve"> should be reviewable by </w:t>
      </w:r>
      <w:r w:rsidR="007F3CCA" w:rsidRPr="00927E47">
        <w:rPr>
          <w:color w:val="000000" w:themeColor="text1"/>
        </w:rPr>
        <w:t xml:space="preserve">an </w:t>
      </w:r>
      <w:r w:rsidR="004C2EB3" w:rsidRPr="00927E47">
        <w:rPr>
          <w:color w:val="000000" w:themeColor="text1"/>
        </w:rPr>
        <w:t xml:space="preserve">independent </w:t>
      </w:r>
      <w:r w:rsidR="00B5663B">
        <w:rPr>
          <w:color w:val="000000" w:themeColor="text1"/>
        </w:rPr>
        <w:t xml:space="preserve">external </w:t>
      </w:r>
      <w:r w:rsidR="004C2EB3" w:rsidRPr="00927E47">
        <w:rPr>
          <w:color w:val="000000" w:themeColor="text1"/>
        </w:rPr>
        <w:t>tribunal</w:t>
      </w:r>
      <w:r w:rsidR="00834ACA" w:rsidRPr="00927E47">
        <w:rPr>
          <w:color w:val="000000" w:themeColor="text1"/>
        </w:rPr>
        <w:t xml:space="preserve"> if concerns are raised over the outcome that </w:t>
      </w:r>
      <w:r w:rsidR="006F3537" w:rsidRPr="00927E47">
        <w:rPr>
          <w:color w:val="000000" w:themeColor="text1"/>
        </w:rPr>
        <w:t>decisions</w:t>
      </w:r>
      <w:r w:rsidR="00834ACA" w:rsidRPr="00927E47">
        <w:rPr>
          <w:color w:val="000000" w:themeColor="text1"/>
        </w:rPr>
        <w:t xml:space="preserve"> have</w:t>
      </w:r>
      <w:r w:rsidR="006F3537" w:rsidRPr="00927E47">
        <w:rPr>
          <w:color w:val="000000" w:themeColor="text1"/>
        </w:rPr>
        <w:t xml:space="preserve"> on businesses</w:t>
      </w:r>
      <w:r w:rsidRPr="00927E47">
        <w:rPr>
          <w:color w:val="000000" w:themeColor="text1"/>
        </w:rPr>
        <w:t xml:space="preserve"> seeking access</w:t>
      </w:r>
      <w:r w:rsidR="00834ACA" w:rsidRPr="00927E47">
        <w:rPr>
          <w:color w:val="000000" w:themeColor="text1"/>
        </w:rPr>
        <w: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0D0A6A" w:rsidRPr="00927E47" w:rsidRDefault="000D0A6A" w:rsidP="002E76E8">
      <w:pPr>
        <w:pStyle w:val="RecommendationStyle"/>
        <w:numPr>
          <w:ilvl w:val="0"/>
          <w:numId w:val="0"/>
        </w:numPr>
        <w:spacing w:before="0" w:after="0"/>
        <w:rPr>
          <w:color w:val="000000" w:themeColor="text1"/>
        </w:rPr>
      </w:pPr>
    </w:p>
    <w:p w:rsidR="00946E17" w:rsidRPr="00927E47" w:rsidRDefault="00946E17" w:rsidP="002E76E8">
      <w:pPr>
        <w:pStyle w:val="RecommendationStyle"/>
        <w:spacing w:before="0" w:after="0"/>
        <w:rPr>
          <w:color w:val="000000" w:themeColor="text1"/>
        </w:rPr>
      </w:pPr>
      <w:bookmarkStart w:id="164" w:name="_Toc301962924"/>
      <w:bookmarkStart w:id="165" w:name="_Toc301963181"/>
      <w:bookmarkStart w:id="166" w:name="_Toc304288022"/>
      <w:bookmarkStart w:id="167" w:name="_Toc304288089"/>
      <w:bookmarkStart w:id="168" w:name="_Toc304291928"/>
      <w:bookmarkStart w:id="169" w:name="_Toc304537431"/>
      <w:bookmarkStart w:id="170" w:name="_Toc304544531"/>
      <w:bookmarkStart w:id="171" w:name="_Toc304544825"/>
      <w:bookmarkStart w:id="172" w:name="_Toc304964412"/>
      <w:bookmarkStart w:id="173" w:name="_Toc304970573"/>
      <w:bookmarkStart w:id="174" w:name="_Toc304973335"/>
      <w:bookmarkStart w:id="175" w:name="_Toc304973515"/>
      <w:bookmarkStart w:id="176" w:name="_Toc305670396"/>
      <w:bookmarkStart w:id="177" w:name="_Toc306713559"/>
      <w:bookmarkStart w:id="178" w:name="_Toc306954580"/>
      <w:bookmarkStart w:id="179" w:name="_Toc306957365"/>
      <w:bookmarkStart w:id="180" w:name="_Toc306957476"/>
      <w:bookmarkStart w:id="181" w:name="_Toc30695780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0D0A6A" w:rsidRDefault="000D0A6A" w:rsidP="002E76E8">
      <w:pPr>
        <w:pStyle w:val="RecommendationStyle"/>
        <w:numPr>
          <w:ilvl w:val="0"/>
          <w:numId w:val="0"/>
        </w:numPr>
        <w:spacing w:before="0" w:after="0"/>
        <w:rPr>
          <w:color w:val="000000" w:themeColor="text1"/>
        </w:rPr>
      </w:pPr>
      <w:bookmarkStart w:id="182" w:name="_Toc304288023"/>
      <w:bookmarkStart w:id="183" w:name="_Toc304288090"/>
      <w:bookmarkStart w:id="184" w:name="_Toc304291929"/>
      <w:bookmarkStart w:id="185" w:name="_Toc304537432"/>
      <w:bookmarkStart w:id="186" w:name="_Toc304544532"/>
      <w:bookmarkStart w:id="187" w:name="_Toc304544826"/>
      <w:bookmarkStart w:id="188" w:name="_Toc304964413"/>
      <w:bookmarkStart w:id="189" w:name="_Toc304970574"/>
      <w:bookmarkStart w:id="190" w:name="_Toc304973336"/>
      <w:bookmarkStart w:id="191" w:name="_Toc304973516"/>
      <w:bookmarkStart w:id="192" w:name="_Toc305670397"/>
      <w:bookmarkStart w:id="193" w:name="_Toc306713560"/>
    </w:p>
    <w:p w:rsidR="000F7F6F" w:rsidRDefault="00D953AA" w:rsidP="002E76E8">
      <w:pPr>
        <w:pStyle w:val="RecommendationStyle"/>
        <w:numPr>
          <w:ilvl w:val="0"/>
          <w:numId w:val="0"/>
        </w:numPr>
        <w:spacing w:before="0" w:after="0"/>
        <w:rPr>
          <w:color w:val="000000" w:themeColor="text1"/>
        </w:rPr>
      </w:pPr>
      <w:bookmarkStart w:id="194" w:name="_Toc306954581"/>
      <w:bookmarkStart w:id="195" w:name="_Toc306957366"/>
      <w:bookmarkStart w:id="196" w:name="_Toc306957477"/>
      <w:bookmarkStart w:id="197" w:name="_Toc306957802"/>
      <w:r w:rsidRPr="00927E47">
        <w:rPr>
          <w:color w:val="000000" w:themeColor="text1"/>
        </w:rPr>
        <w:t>R</w:t>
      </w:r>
      <w:r w:rsidR="00834ACA" w:rsidRPr="00927E47">
        <w:rPr>
          <w:color w:val="000000" w:themeColor="text1"/>
        </w:rPr>
        <w:t xml:space="preserve">egulation </w:t>
      </w:r>
      <w:r w:rsidR="00EB39FF" w:rsidRPr="00927E47">
        <w:rPr>
          <w:color w:val="000000" w:themeColor="text1"/>
        </w:rPr>
        <w:t>th</w:t>
      </w:r>
      <w:r w:rsidR="00834ACA" w:rsidRPr="00927E47">
        <w:rPr>
          <w:color w:val="000000" w:themeColor="text1"/>
        </w:rPr>
        <w:t xml:space="preserve">rough Australia should be set to a uniform </w:t>
      </w:r>
      <w:r w:rsidR="00CA143A" w:rsidRPr="00927E47">
        <w:rPr>
          <w:color w:val="000000" w:themeColor="text1"/>
        </w:rPr>
        <w:t xml:space="preserve">best practice </w:t>
      </w:r>
      <w:r w:rsidR="00834ACA" w:rsidRPr="00927E47">
        <w:rPr>
          <w:color w:val="000000" w:themeColor="text1"/>
        </w:rPr>
        <w:t>level</w:t>
      </w:r>
      <w:r w:rsidR="00BF7ADE">
        <w:rPr>
          <w:color w:val="000000" w:themeColor="text1"/>
        </w:rPr>
        <w:t xml:space="preserve"> which</w:t>
      </w:r>
      <w:r w:rsidR="00834ACA" w:rsidRPr="00927E47">
        <w:rPr>
          <w:color w:val="000000" w:themeColor="text1"/>
        </w:rPr>
        <w:t xml:space="preserve"> makes interpretation easy</w:t>
      </w:r>
      <w:bookmarkStart w:id="198" w:name="_Toc301962926"/>
      <w:bookmarkStart w:id="199" w:name="_Toc292437885"/>
      <w:bookmarkStart w:id="200" w:name="_Toc292438370"/>
      <w:bookmarkStart w:id="201" w:name="_Toc292438581"/>
      <w:bookmarkStart w:id="202" w:name="_Toc292438793"/>
      <w:bookmarkStart w:id="203" w:name="_Toc292439004"/>
      <w:bookmarkStart w:id="204" w:name="_Toc292439218"/>
      <w:bookmarkStart w:id="205" w:name="_Toc292439429"/>
      <w:bookmarkStart w:id="206" w:name="_Toc292439640"/>
      <w:bookmarkStart w:id="207" w:name="_Toc292448896"/>
      <w:bookmarkStart w:id="208" w:name="_Toc292455397"/>
      <w:bookmarkStart w:id="209" w:name="_Toc292455721"/>
      <w:bookmarkStart w:id="210" w:name="_Toc292457142"/>
      <w:bookmarkStart w:id="211" w:name="_Toc292460806"/>
      <w:bookmarkStart w:id="212" w:name="_Toc292461008"/>
      <w:bookmarkEnd w:id="182"/>
      <w:bookmarkEnd w:id="183"/>
      <w:bookmarkEnd w:id="184"/>
      <w:bookmarkEnd w:id="18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007F3CCA" w:rsidRPr="00927E47">
        <w:rPr>
          <w:color w:val="000000" w:themeColor="text1"/>
        </w:rPr>
        <w:t xml:space="preserve"> and does no</w:t>
      </w:r>
      <w:r w:rsidR="005C74C9" w:rsidRPr="00927E47">
        <w:rPr>
          <w:color w:val="000000" w:themeColor="text1"/>
        </w:rPr>
        <w:t>t impose huge costs on operators.</w:t>
      </w:r>
      <w:bookmarkEnd w:id="194"/>
      <w:bookmarkEnd w:id="195"/>
      <w:bookmarkEnd w:id="196"/>
      <w:bookmarkEnd w:id="197"/>
      <w:r w:rsidR="005C74C9" w:rsidRPr="00927E47">
        <w:rPr>
          <w:color w:val="000000" w:themeColor="text1"/>
        </w:rPr>
        <w:t xml:space="preserve"> </w:t>
      </w:r>
      <w:bookmarkEnd w:id="186"/>
      <w:bookmarkEnd w:id="187"/>
      <w:bookmarkEnd w:id="188"/>
      <w:bookmarkEnd w:id="189"/>
      <w:bookmarkEnd w:id="190"/>
      <w:bookmarkEnd w:id="191"/>
      <w:bookmarkEnd w:id="192"/>
      <w:bookmarkEnd w:id="193"/>
    </w:p>
    <w:p w:rsidR="000D0A6A" w:rsidRPr="00927E47" w:rsidRDefault="000D0A6A" w:rsidP="002E76E8">
      <w:pPr>
        <w:pStyle w:val="RecommendationStyle"/>
        <w:numPr>
          <w:ilvl w:val="0"/>
          <w:numId w:val="0"/>
        </w:numPr>
        <w:spacing w:before="0" w:after="0"/>
        <w:rPr>
          <w:color w:val="000000" w:themeColor="text1"/>
        </w:rPr>
      </w:pPr>
    </w:p>
    <w:p w:rsidR="00834ACA" w:rsidRDefault="00834ACA" w:rsidP="002E76E8">
      <w:pPr>
        <w:pStyle w:val="RecommendationStyle"/>
        <w:spacing w:before="0" w:after="0"/>
        <w:rPr>
          <w:color w:val="000000" w:themeColor="text1"/>
        </w:rPr>
      </w:pPr>
      <w:r w:rsidRPr="00927E47">
        <w:rPr>
          <w:color w:val="000000" w:themeColor="text1"/>
        </w:rPr>
        <w:t xml:space="preserve"> </w:t>
      </w:r>
      <w:bookmarkStart w:id="213" w:name="_Toc304288024"/>
      <w:bookmarkStart w:id="214" w:name="_Toc304288091"/>
      <w:bookmarkStart w:id="215" w:name="_Toc304291930"/>
      <w:bookmarkStart w:id="216" w:name="_Toc304537433"/>
      <w:bookmarkStart w:id="217" w:name="_Toc304544533"/>
      <w:bookmarkStart w:id="218" w:name="_Toc304544827"/>
      <w:bookmarkStart w:id="219" w:name="_Toc304964414"/>
      <w:bookmarkStart w:id="220" w:name="_Toc304970575"/>
      <w:bookmarkStart w:id="221" w:name="_Toc304973337"/>
      <w:bookmarkStart w:id="222" w:name="_Toc304973517"/>
      <w:bookmarkStart w:id="223" w:name="_Toc305670398"/>
      <w:bookmarkStart w:id="224" w:name="_Toc306713561"/>
      <w:bookmarkStart w:id="225" w:name="_Toc306954582"/>
      <w:bookmarkStart w:id="226" w:name="_Toc306957367"/>
      <w:bookmarkStart w:id="227" w:name="_Toc306957478"/>
      <w:bookmarkStart w:id="228" w:name="_Toc30695780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0D0A6A" w:rsidRPr="00927E47" w:rsidRDefault="000D0A6A" w:rsidP="000D0A6A">
      <w:pPr>
        <w:pStyle w:val="RecommendationStyle"/>
        <w:numPr>
          <w:ilvl w:val="0"/>
          <w:numId w:val="0"/>
        </w:numPr>
        <w:spacing w:before="0" w:after="0"/>
        <w:rPr>
          <w:color w:val="000000" w:themeColor="text1"/>
        </w:rPr>
      </w:pPr>
    </w:p>
    <w:p w:rsidR="00EB39FF" w:rsidRPr="00927E47" w:rsidRDefault="00D953AA" w:rsidP="002E76E8">
      <w:pPr>
        <w:pStyle w:val="RecommendationStyle"/>
        <w:numPr>
          <w:ilvl w:val="0"/>
          <w:numId w:val="0"/>
        </w:numPr>
        <w:spacing w:before="0" w:after="0"/>
        <w:rPr>
          <w:color w:val="000000" w:themeColor="text1"/>
        </w:rPr>
      </w:pPr>
      <w:bookmarkStart w:id="229" w:name="_Toc304288025"/>
      <w:bookmarkStart w:id="230" w:name="_Toc304288092"/>
      <w:bookmarkStart w:id="231" w:name="_Toc304291931"/>
      <w:bookmarkStart w:id="232" w:name="_Toc304537434"/>
      <w:bookmarkStart w:id="233" w:name="_Toc304544534"/>
      <w:bookmarkStart w:id="234" w:name="_Toc304544828"/>
      <w:bookmarkStart w:id="235" w:name="_Toc304964415"/>
      <w:bookmarkStart w:id="236" w:name="_Toc304970576"/>
      <w:bookmarkStart w:id="237" w:name="_Toc304973338"/>
      <w:bookmarkStart w:id="238" w:name="_Toc304973518"/>
      <w:bookmarkStart w:id="239" w:name="_Toc305670399"/>
      <w:bookmarkStart w:id="240" w:name="_Toc306713562"/>
      <w:bookmarkStart w:id="241" w:name="_Toc306954583"/>
      <w:bookmarkStart w:id="242" w:name="_Toc306957368"/>
      <w:bookmarkStart w:id="243" w:name="_Toc306957479"/>
      <w:bookmarkStart w:id="244" w:name="_Toc306957804"/>
      <w:r w:rsidRPr="00927E47">
        <w:rPr>
          <w:color w:val="000000" w:themeColor="text1"/>
        </w:rPr>
        <w:t>L</w:t>
      </w:r>
      <w:r w:rsidR="00834ACA" w:rsidRPr="00927E47">
        <w:rPr>
          <w:color w:val="000000" w:themeColor="text1"/>
        </w:rPr>
        <w:t>ocal governme</w:t>
      </w:r>
      <w:r w:rsidRPr="00927E47">
        <w:rPr>
          <w:color w:val="000000" w:themeColor="text1"/>
        </w:rPr>
        <w:t>nts</w:t>
      </w:r>
      <w:r w:rsidR="00834ACA" w:rsidRPr="00927E47">
        <w:rPr>
          <w:color w:val="000000" w:themeColor="text1"/>
        </w:rPr>
        <w:t xml:space="preserve"> should seek more interaction with constituents and businesses in order to </w:t>
      </w:r>
      <w:r w:rsidRPr="00927E47">
        <w:rPr>
          <w:color w:val="000000" w:themeColor="text1"/>
        </w:rPr>
        <w:t>address the</w:t>
      </w:r>
      <w:r w:rsidR="00834ACA" w:rsidRPr="00927E47">
        <w:rPr>
          <w:color w:val="000000" w:themeColor="text1"/>
        </w:rPr>
        <w:t xml:space="preserve"> market failure</w:t>
      </w:r>
      <w:r w:rsidRPr="00927E47">
        <w:rPr>
          <w:color w:val="000000" w:themeColor="text1"/>
        </w:rPr>
        <w:t xml:space="preserve"> that currently occurs</w:t>
      </w:r>
      <w:bookmarkEnd w:id="229"/>
      <w:bookmarkEnd w:id="230"/>
      <w:bookmarkEnd w:id="231"/>
      <w:bookmarkEnd w:id="232"/>
      <w:r w:rsidRPr="00927E47">
        <w:rPr>
          <w:color w:val="000000" w:themeColor="text1"/>
        </w:rPr>
        <w:t>.</w:t>
      </w:r>
      <w:bookmarkEnd w:id="233"/>
      <w:bookmarkEnd w:id="234"/>
      <w:bookmarkEnd w:id="235"/>
      <w:bookmarkEnd w:id="236"/>
      <w:bookmarkEnd w:id="237"/>
      <w:bookmarkEnd w:id="238"/>
      <w:bookmarkEnd w:id="239"/>
      <w:bookmarkEnd w:id="240"/>
      <w:bookmarkEnd w:id="241"/>
      <w:bookmarkEnd w:id="242"/>
      <w:bookmarkEnd w:id="243"/>
      <w:bookmarkEnd w:id="244"/>
    </w:p>
    <w:p w:rsidR="00834ACA" w:rsidRDefault="00834ACA" w:rsidP="002E76E8">
      <w:pPr>
        <w:pStyle w:val="RecommendationStyle2"/>
        <w:jc w:val="left"/>
        <w:rPr>
          <w:color w:val="000000" w:themeColor="text1"/>
        </w:rPr>
      </w:pPr>
    </w:p>
    <w:p w:rsidR="000D0A6A" w:rsidRPr="00927E47" w:rsidRDefault="000D0A6A" w:rsidP="002E76E8">
      <w:pPr>
        <w:pStyle w:val="RecommendationStyle2"/>
        <w:jc w:val="left"/>
        <w:rPr>
          <w:color w:val="000000" w:themeColor="text1"/>
        </w:rPr>
      </w:pPr>
    </w:p>
    <w:p w:rsidR="00D735FF" w:rsidRPr="004A1802" w:rsidRDefault="00D735FF" w:rsidP="002E76E8">
      <w:pPr>
        <w:pStyle w:val="Heading1"/>
      </w:pPr>
      <w:bookmarkStart w:id="245" w:name="_Toc306957643"/>
      <w:r w:rsidRPr="004A1802">
        <w:t>Conclusion</w:t>
      </w:r>
      <w:bookmarkEnd w:id="245"/>
    </w:p>
    <w:p w:rsidR="00D735FF" w:rsidRPr="00927E47" w:rsidRDefault="00D735FF" w:rsidP="002E76E8">
      <w:pPr>
        <w:rPr>
          <w:rFonts w:ascii="Arial" w:hAnsi="Arial" w:cs="Arial"/>
          <w:color w:val="000000" w:themeColor="text1"/>
          <w:sz w:val="20"/>
          <w:szCs w:val="20"/>
        </w:rPr>
      </w:pPr>
    </w:p>
    <w:p w:rsidR="00413868" w:rsidRPr="00927E47" w:rsidRDefault="00EB39FF" w:rsidP="002E76E8">
      <w:pPr>
        <w:rPr>
          <w:rFonts w:ascii="Arial" w:hAnsi="Arial" w:cs="Arial"/>
          <w:color w:val="000000" w:themeColor="text1"/>
          <w:sz w:val="20"/>
          <w:szCs w:val="20"/>
        </w:rPr>
      </w:pPr>
      <w:r w:rsidRPr="00927E47">
        <w:rPr>
          <w:rFonts w:ascii="Arial" w:hAnsi="Arial" w:cs="Arial"/>
          <w:color w:val="000000" w:themeColor="text1"/>
          <w:sz w:val="20"/>
          <w:szCs w:val="20"/>
        </w:rPr>
        <w:t>If this project is to achieve the best outcome, a strong</w:t>
      </w:r>
      <w:r w:rsidR="0092236A" w:rsidRPr="00927E47">
        <w:rPr>
          <w:rFonts w:ascii="Arial" w:hAnsi="Arial" w:cs="Arial"/>
          <w:color w:val="000000" w:themeColor="text1"/>
          <w:sz w:val="20"/>
          <w:szCs w:val="20"/>
        </w:rPr>
        <w:t xml:space="preserve"> root and</w:t>
      </w:r>
      <w:r w:rsidR="00AC72F0" w:rsidRPr="00927E47">
        <w:rPr>
          <w:rFonts w:ascii="Arial" w:hAnsi="Arial" w:cs="Arial"/>
          <w:color w:val="000000" w:themeColor="text1"/>
          <w:sz w:val="20"/>
          <w:szCs w:val="20"/>
        </w:rPr>
        <w:t xml:space="preserve"> branch</w:t>
      </w:r>
      <w:r w:rsidRPr="00927E47">
        <w:rPr>
          <w:rFonts w:ascii="Arial" w:hAnsi="Arial" w:cs="Arial"/>
          <w:color w:val="000000" w:themeColor="text1"/>
          <w:sz w:val="20"/>
          <w:szCs w:val="20"/>
        </w:rPr>
        <w:t xml:space="preserve"> approa</w:t>
      </w:r>
      <w:r w:rsidR="0092236A" w:rsidRPr="00927E47">
        <w:rPr>
          <w:rFonts w:ascii="Arial" w:hAnsi="Arial" w:cs="Arial"/>
          <w:color w:val="000000" w:themeColor="text1"/>
          <w:sz w:val="20"/>
          <w:szCs w:val="20"/>
        </w:rPr>
        <w:t>ch will have to be taken within</w:t>
      </w:r>
      <w:r w:rsidRPr="00927E47">
        <w:rPr>
          <w:rFonts w:ascii="Arial" w:hAnsi="Arial" w:cs="Arial"/>
          <w:color w:val="000000" w:themeColor="text1"/>
          <w:sz w:val="20"/>
          <w:szCs w:val="20"/>
        </w:rPr>
        <w:t xml:space="preserve"> </w:t>
      </w:r>
      <w:r w:rsidR="006104D6" w:rsidRPr="00927E47">
        <w:rPr>
          <w:rFonts w:ascii="Arial" w:hAnsi="Arial" w:cs="Arial"/>
          <w:color w:val="000000" w:themeColor="text1"/>
          <w:sz w:val="20"/>
          <w:szCs w:val="20"/>
        </w:rPr>
        <w:t>local government</w:t>
      </w:r>
      <w:r w:rsidR="0092236A" w:rsidRPr="00927E47">
        <w:rPr>
          <w:rFonts w:ascii="Arial" w:hAnsi="Arial" w:cs="Arial"/>
          <w:color w:val="000000" w:themeColor="text1"/>
          <w:sz w:val="20"/>
          <w:szCs w:val="20"/>
        </w:rPr>
        <w:t>s</w:t>
      </w:r>
      <w:r w:rsidR="00176B23">
        <w:rPr>
          <w:rFonts w:ascii="Arial" w:hAnsi="Arial" w:cs="Arial"/>
          <w:color w:val="000000" w:themeColor="text1"/>
          <w:sz w:val="20"/>
          <w:szCs w:val="20"/>
        </w:rPr>
        <w:t xml:space="preserve"> which</w:t>
      </w:r>
      <w:r w:rsidRPr="00927E47">
        <w:rPr>
          <w:rFonts w:ascii="Arial" w:hAnsi="Arial" w:cs="Arial"/>
          <w:color w:val="000000" w:themeColor="text1"/>
          <w:sz w:val="20"/>
          <w:szCs w:val="20"/>
        </w:rPr>
        <w:t xml:space="preserve"> </w:t>
      </w:r>
      <w:r w:rsidR="0092236A" w:rsidRPr="00927E47">
        <w:rPr>
          <w:rFonts w:ascii="Arial" w:hAnsi="Arial" w:cs="Arial"/>
          <w:color w:val="000000" w:themeColor="text1"/>
          <w:sz w:val="20"/>
          <w:szCs w:val="20"/>
        </w:rPr>
        <w:t>impose excessive</w:t>
      </w:r>
      <w:r w:rsidRPr="00927E47">
        <w:rPr>
          <w:rFonts w:ascii="Arial" w:hAnsi="Arial" w:cs="Arial"/>
          <w:color w:val="000000" w:themeColor="text1"/>
          <w:sz w:val="20"/>
          <w:szCs w:val="20"/>
        </w:rPr>
        <w:t xml:space="preserve"> regulation</w:t>
      </w:r>
      <w:r w:rsidR="0092236A" w:rsidRPr="00927E47">
        <w:rPr>
          <w:rFonts w:ascii="Arial" w:hAnsi="Arial" w:cs="Arial"/>
          <w:color w:val="000000" w:themeColor="text1"/>
          <w:sz w:val="20"/>
          <w:szCs w:val="20"/>
        </w:rPr>
        <w:t>s and</w:t>
      </w:r>
      <w:r w:rsidRPr="00927E47">
        <w:rPr>
          <w:rFonts w:ascii="Arial" w:hAnsi="Arial" w:cs="Arial"/>
          <w:color w:val="000000" w:themeColor="text1"/>
          <w:sz w:val="20"/>
          <w:szCs w:val="20"/>
        </w:rPr>
        <w:t xml:space="preserve"> damage their own communities </w:t>
      </w:r>
      <w:r w:rsidR="0092236A" w:rsidRPr="00927E47">
        <w:rPr>
          <w:rFonts w:ascii="Arial" w:hAnsi="Arial" w:cs="Arial"/>
          <w:color w:val="000000" w:themeColor="text1"/>
          <w:sz w:val="20"/>
          <w:szCs w:val="20"/>
        </w:rPr>
        <w:t>through bureaucratic means. Heavy vehicle</w:t>
      </w:r>
      <w:r w:rsidRPr="00927E47">
        <w:rPr>
          <w:rFonts w:ascii="Arial" w:hAnsi="Arial" w:cs="Arial"/>
          <w:color w:val="000000" w:themeColor="text1"/>
          <w:sz w:val="20"/>
          <w:szCs w:val="20"/>
        </w:rPr>
        <w:t xml:space="preserve"> productivity </w:t>
      </w:r>
      <w:r w:rsidR="00AC72F0" w:rsidRPr="00927E47">
        <w:rPr>
          <w:rFonts w:ascii="Arial" w:hAnsi="Arial" w:cs="Arial"/>
          <w:color w:val="000000" w:themeColor="text1"/>
          <w:sz w:val="20"/>
          <w:szCs w:val="20"/>
        </w:rPr>
        <w:t>is</w:t>
      </w:r>
      <w:r w:rsidRPr="00927E47">
        <w:rPr>
          <w:rFonts w:ascii="Arial" w:hAnsi="Arial" w:cs="Arial"/>
          <w:color w:val="000000" w:themeColor="text1"/>
          <w:sz w:val="20"/>
          <w:szCs w:val="20"/>
        </w:rPr>
        <w:t xml:space="preserve"> vital to the success of other industries</w:t>
      </w:r>
      <w:r w:rsidR="0092236A" w:rsidRPr="00927E47">
        <w:rPr>
          <w:rFonts w:ascii="Arial" w:hAnsi="Arial" w:cs="Arial"/>
          <w:color w:val="000000" w:themeColor="text1"/>
          <w:sz w:val="20"/>
          <w:szCs w:val="20"/>
        </w:rPr>
        <w:t>. W</w:t>
      </w:r>
      <w:r w:rsidRPr="00927E47">
        <w:rPr>
          <w:rFonts w:ascii="Arial" w:hAnsi="Arial" w:cs="Arial"/>
          <w:color w:val="000000" w:themeColor="text1"/>
          <w:sz w:val="20"/>
          <w:szCs w:val="20"/>
        </w:rPr>
        <w:t xml:space="preserve">e </w:t>
      </w:r>
      <w:r w:rsidR="0092236A" w:rsidRPr="00927E47">
        <w:rPr>
          <w:rFonts w:ascii="Arial" w:hAnsi="Arial" w:cs="Arial"/>
          <w:color w:val="000000" w:themeColor="text1"/>
          <w:sz w:val="20"/>
          <w:szCs w:val="20"/>
        </w:rPr>
        <w:t>ask</w:t>
      </w:r>
      <w:r w:rsidRPr="00927E47">
        <w:rPr>
          <w:rFonts w:ascii="Arial" w:hAnsi="Arial" w:cs="Arial"/>
          <w:color w:val="000000" w:themeColor="text1"/>
          <w:sz w:val="20"/>
          <w:szCs w:val="20"/>
        </w:rPr>
        <w:t xml:space="preserve"> the Productivity </w:t>
      </w:r>
      <w:r w:rsidR="00AC72F0" w:rsidRPr="00927E47">
        <w:rPr>
          <w:rFonts w:ascii="Arial" w:hAnsi="Arial" w:cs="Arial"/>
          <w:color w:val="000000" w:themeColor="text1"/>
          <w:sz w:val="20"/>
          <w:szCs w:val="20"/>
        </w:rPr>
        <w:t>Commission</w:t>
      </w:r>
      <w:r w:rsidRPr="00927E47">
        <w:rPr>
          <w:rFonts w:ascii="Arial" w:hAnsi="Arial" w:cs="Arial"/>
          <w:color w:val="000000" w:themeColor="text1"/>
          <w:sz w:val="20"/>
          <w:szCs w:val="20"/>
        </w:rPr>
        <w:t xml:space="preserve"> to use the impediments </w:t>
      </w:r>
      <w:r w:rsidR="00176B23">
        <w:rPr>
          <w:rFonts w:ascii="Arial" w:hAnsi="Arial" w:cs="Arial"/>
          <w:color w:val="000000" w:themeColor="text1"/>
          <w:sz w:val="20"/>
          <w:szCs w:val="20"/>
        </w:rPr>
        <w:t>which</w:t>
      </w:r>
      <w:r w:rsidRPr="00927E47">
        <w:rPr>
          <w:rFonts w:ascii="Arial" w:hAnsi="Arial" w:cs="Arial"/>
          <w:color w:val="000000" w:themeColor="text1"/>
          <w:sz w:val="20"/>
          <w:szCs w:val="20"/>
        </w:rPr>
        <w:t xml:space="preserve"> </w:t>
      </w:r>
      <w:r w:rsidR="00AC72F0" w:rsidRPr="00927E47">
        <w:rPr>
          <w:rFonts w:ascii="Arial" w:hAnsi="Arial" w:cs="Arial"/>
          <w:color w:val="000000" w:themeColor="text1"/>
          <w:sz w:val="20"/>
          <w:szCs w:val="20"/>
        </w:rPr>
        <w:t>industry</w:t>
      </w:r>
      <w:r w:rsidRPr="00927E47">
        <w:rPr>
          <w:rFonts w:ascii="Arial" w:hAnsi="Arial" w:cs="Arial"/>
          <w:color w:val="000000" w:themeColor="text1"/>
          <w:sz w:val="20"/>
          <w:szCs w:val="20"/>
        </w:rPr>
        <w:t xml:space="preserve"> </w:t>
      </w:r>
      <w:r w:rsidR="00AC72F0" w:rsidRPr="00927E47">
        <w:rPr>
          <w:rFonts w:ascii="Arial" w:hAnsi="Arial" w:cs="Arial"/>
          <w:color w:val="000000" w:themeColor="text1"/>
          <w:sz w:val="20"/>
          <w:szCs w:val="20"/>
        </w:rPr>
        <w:t xml:space="preserve">encounters as examples of how regulation can affect the productive potential of businesses. </w:t>
      </w:r>
    </w:p>
    <w:p w:rsidR="00AC72F0" w:rsidRPr="00927E47" w:rsidRDefault="00AC72F0" w:rsidP="002E76E8">
      <w:pPr>
        <w:rPr>
          <w:rFonts w:ascii="Arial" w:hAnsi="Arial" w:cs="Arial"/>
          <w:color w:val="000000" w:themeColor="text1"/>
          <w:sz w:val="20"/>
          <w:szCs w:val="20"/>
        </w:rPr>
      </w:pPr>
    </w:p>
    <w:p w:rsidR="00AC72F0" w:rsidRPr="00927E47" w:rsidRDefault="00AC72F0" w:rsidP="002E76E8">
      <w:pPr>
        <w:rPr>
          <w:rFonts w:ascii="Arial" w:hAnsi="Arial" w:cs="Arial"/>
          <w:color w:val="000000" w:themeColor="text1"/>
          <w:sz w:val="20"/>
          <w:szCs w:val="20"/>
        </w:rPr>
      </w:pPr>
      <w:r w:rsidRPr="00927E47">
        <w:rPr>
          <w:rFonts w:ascii="Arial" w:hAnsi="Arial" w:cs="Arial"/>
          <w:color w:val="000000" w:themeColor="text1"/>
          <w:sz w:val="20"/>
          <w:szCs w:val="20"/>
        </w:rPr>
        <w:t xml:space="preserve">What the industry expects from any level of </w:t>
      </w:r>
      <w:r w:rsidR="0092236A" w:rsidRPr="00927E47">
        <w:rPr>
          <w:rFonts w:ascii="Arial" w:hAnsi="Arial" w:cs="Arial"/>
          <w:color w:val="000000" w:themeColor="text1"/>
          <w:sz w:val="20"/>
          <w:szCs w:val="20"/>
        </w:rPr>
        <w:t>government</w:t>
      </w:r>
      <w:r w:rsidRPr="00927E47">
        <w:rPr>
          <w:rFonts w:ascii="Arial" w:hAnsi="Arial" w:cs="Arial"/>
          <w:color w:val="000000" w:themeColor="text1"/>
          <w:sz w:val="20"/>
          <w:szCs w:val="20"/>
        </w:rPr>
        <w:t xml:space="preserve"> is accountability, transparency and the opportunity for a platform of discussion with policy makers. While some areas of </w:t>
      </w:r>
      <w:r w:rsidR="006104D6" w:rsidRPr="00927E47">
        <w:rPr>
          <w:rFonts w:ascii="Arial" w:hAnsi="Arial" w:cs="Arial"/>
          <w:color w:val="000000" w:themeColor="text1"/>
          <w:sz w:val="20"/>
          <w:szCs w:val="20"/>
        </w:rPr>
        <w:t>local government are</w:t>
      </w:r>
      <w:r w:rsidRPr="00927E47">
        <w:rPr>
          <w:rFonts w:ascii="Arial" w:hAnsi="Arial" w:cs="Arial"/>
          <w:color w:val="000000" w:themeColor="text1"/>
          <w:sz w:val="20"/>
          <w:szCs w:val="20"/>
        </w:rPr>
        <w:t xml:space="preserve"> achieving this</w:t>
      </w:r>
      <w:r w:rsidR="0092236A" w:rsidRPr="00927E47">
        <w:rPr>
          <w:rFonts w:ascii="Arial" w:hAnsi="Arial" w:cs="Arial"/>
          <w:color w:val="000000" w:themeColor="text1"/>
          <w:sz w:val="20"/>
          <w:szCs w:val="20"/>
        </w:rPr>
        <w:t>,</w:t>
      </w:r>
      <w:r w:rsidRPr="00927E47">
        <w:rPr>
          <w:rFonts w:ascii="Arial" w:hAnsi="Arial" w:cs="Arial"/>
          <w:color w:val="000000" w:themeColor="text1"/>
          <w:sz w:val="20"/>
          <w:szCs w:val="20"/>
        </w:rPr>
        <w:t xml:space="preserve"> a large number are not fulfilling their role as public providers. </w:t>
      </w:r>
    </w:p>
    <w:p w:rsidR="00B56101" w:rsidRPr="00927E47" w:rsidRDefault="00B56101" w:rsidP="002E76E8">
      <w:pPr>
        <w:rPr>
          <w:rFonts w:ascii="Arial" w:hAnsi="Arial" w:cs="Arial"/>
          <w:color w:val="000000" w:themeColor="text1"/>
          <w:sz w:val="20"/>
          <w:szCs w:val="20"/>
        </w:rPr>
      </w:pPr>
    </w:p>
    <w:p w:rsidR="00B5663B" w:rsidRDefault="00B5663B">
      <w:pPr>
        <w:rPr>
          <w:rFonts w:ascii="Arial" w:hAnsi="Arial" w:cs="Arial"/>
          <w:b/>
          <w:color w:val="000000" w:themeColor="text1"/>
          <w:sz w:val="20"/>
          <w:szCs w:val="20"/>
        </w:rPr>
      </w:pPr>
      <w:bookmarkStart w:id="246" w:name="_Toc301363582"/>
      <w:bookmarkStart w:id="247" w:name="_Toc302132806"/>
      <w:r>
        <w:rPr>
          <w:rFonts w:ascii="Arial" w:hAnsi="Arial" w:cs="Arial"/>
          <w:b/>
          <w:color w:val="000000" w:themeColor="text1"/>
          <w:sz w:val="20"/>
          <w:szCs w:val="20"/>
        </w:rPr>
        <w:br w:type="page"/>
      </w:r>
    </w:p>
    <w:p w:rsidR="005545F8" w:rsidRPr="00927E47" w:rsidRDefault="005545F8" w:rsidP="002E76E8">
      <w:pPr>
        <w:rPr>
          <w:rFonts w:ascii="Arial" w:hAnsi="Arial" w:cs="Arial"/>
          <w:b/>
          <w:color w:val="000000" w:themeColor="text1"/>
          <w:sz w:val="20"/>
          <w:szCs w:val="20"/>
        </w:rPr>
      </w:pPr>
    </w:p>
    <w:p w:rsidR="005545F8" w:rsidRPr="004A1802" w:rsidRDefault="005545F8" w:rsidP="002E76E8">
      <w:pPr>
        <w:pStyle w:val="Heading1"/>
        <w:numPr>
          <w:ilvl w:val="0"/>
          <w:numId w:val="0"/>
        </w:numPr>
        <w:ind w:left="360" w:hanging="360"/>
      </w:pPr>
      <w:bookmarkStart w:id="248" w:name="_Toc306957644"/>
      <w:r w:rsidRPr="004A1802">
        <w:t>APPENDIX A: The ATA and Barkwood Consulting Pty Ltd Truck Impact Chart</w:t>
      </w:r>
      <w:bookmarkEnd w:id="246"/>
      <w:bookmarkEnd w:id="247"/>
      <w:bookmarkEnd w:id="248"/>
    </w:p>
    <w:p w:rsidR="005545F8" w:rsidRPr="00927E47" w:rsidRDefault="005545F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The ATA and Barkwood Consulting Pty Ltd have developed a Truck Impact Chart that clearly demonstrates a number of different heavy vehicle combinations and covers GCM, payload, the equivalent standard axles (ESAs) for each vehicle combination, being the measure by which impact of a truck on the road is measured, the amount of trips required to move 1,000 tonnes of freight, the amount of fuel required to move 1,000 tonnes of freight, emissions and driver requirement. The information provided in the tables throughout this document is taken from the Truck Impact Chart.</w:t>
      </w:r>
    </w:p>
    <w:p w:rsidR="005545F8" w:rsidRPr="00927E47" w:rsidRDefault="005545F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 xml:space="preserve">The Truck Impact Chart has been reviewed RTA’s Senior Pavement Engineer, </w:t>
      </w:r>
      <w:proofErr w:type="spellStart"/>
      <w:r w:rsidRPr="00927E47">
        <w:rPr>
          <w:rFonts w:ascii="Arial" w:hAnsi="Arial" w:cs="Arial"/>
          <w:color w:val="000000" w:themeColor="text1"/>
          <w:sz w:val="20"/>
          <w:szCs w:val="20"/>
        </w:rPr>
        <w:t>Ravindra</w:t>
      </w:r>
      <w:proofErr w:type="spellEnd"/>
      <w:r w:rsidRPr="00927E47">
        <w:rPr>
          <w:rFonts w:ascii="Arial" w:hAnsi="Arial" w:cs="Arial"/>
          <w:color w:val="000000" w:themeColor="text1"/>
          <w:sz w:val="20"/>
          <w:szCs w:val="20"/>
        </w:rPr>
        <w:t xml:space="preserve"> </w:t>
      </w:r>
      <w:proofErr w:type="spellStart"/>
      <w:r w:rsidRPr="00927E47">
        <w:rPr>
          <w:rFonts w:ascii="Arial" w:hAnsi="Arial" w:cs="Arial"/>
          <w:color w:val="000000" w:themeColor="text1"/>
          <w:sz w:val="20"/>
          <w:szCs w:val="20"/>
        </w:rPr>
        <w:t>Prathapa</w:t>
      </w:r>
      <w:proofErr w:type="spellEnd"/>
      <w:r w:rsidRPr="00927E47">
        <w:rPr>
          <w:rFonts w:ascii="Arial" w:hAnsi="Arial" w:cs="Arial"/>
          <w:color w:val="000000" w:themeColor="text1"/>
          <w:sz w:val="20"/>
          <w:szCs w:val="20"/>
        </w:rPr>
        <w:t xml:space="preserve">. The Truck Impact Chart has also been separately peer reviewed by Bob Pearson, Pearson Transport Resources, and was referred to by </w:t>
      </w:r>
      <w:proofErr w:type="spellStart"/>
      <w:r w:rsidRPr="00927E47">
        <w:rPr>
          <w:rFonts w:ascii="Arial" w:hAnsi="Arial" w:cs="Arial"/>
          <w:color w:val="000000" w:themeColor="text1"/>
          <w:sz w:val="20"/>
          <w:szCs w:val="20"/>
        </w:rPr>
        <w:t>TheCIE</w:t>
      </w:r>
      <w:proofErr w:type="spellEnd"/>
      <w:r w:rsidRPr="00927E47">
        <w:rPr>
          <w:rFonts w:ascii="Arial" w:hAnsi="Arial" w:cs="Arial"/>
          <w:color w:val="000000" w:themeColor="text1"/>
          <w:sz w:val="20"/>
          <w:szCs w:val="20"/>
        </w:rPr>
        <w:t xml:space="preserve"> in the Benefit/Cost Analysis for the National Heavy Vehicle Regulator draft Regulatory Impact Statement, released in February 2011.</w:t>
      </w:r>
    </w:p>
    <w:p w:rsidR="005545F8" w:rsidRDefault="005545F8" w:rsidP="002E76E8">
      <w:pPr>
        <w:rPr>
          <w:rFonts w:ascii="Arial" w:hAnsi="Arial" w:cs="Arial"/>
          <w:color w:val="000000" w:themeColor="text1"/>
          <w:sz w:val="20"/>
          <w:szCs w:val="20"/>
        </w:rPr>
      </w:pPr>
    </w:p>
    <w:p w:rsidR="00D571B8" w:rsidRDefault="00D571B8" w:rsidP="002E76E8">
      <w:pPr>
        <w:rPr>
          <w:rFonts w:ascii="Arial" w:hAnsi="Arial" w:cs="Arial"/>
          <w:b/>
          <w:color w:val="000000" w:themeColor="text1"/>
          <w:sz w:val="20"/>
          <w:szCs w:val="20"/>
        </w:rPr>
      </w:pPr>
      <w:r w:rsidRPr="00D571B8">
        <w:rPr>
          <w:rFonts w:ascii="Arial" w:hAnsi="Arial" w:cs="Arial"/>
          <w:b/>
          <w:color w:val="000000" w:themeColor="text1"/>
          <w:sz w:val="20"/>
          <w:szCs w:val="20"/>
        </w:rPr>
        <w:t>Authors:</w:t>
      </w:r>
      <w:r>
        <w:rPr>
          <w:rFonts w:ascii="Arial" w:hAnsi="Arial" w:cs="Arial"/>
          <w:b/>
          <w:color w:val="000000" w:themeColor="text1"/>
          <w:sz w:val="20"/>
          <w:szCs w:val="20"/>
        </w:rPr>
        <w:t xml:space="preserve"> </w:t>
      </w:r>
    </w:p>
    <w:p w:rsidR="00D571B8" w:rsidRDefault="00D571B8" w:rsidP="002E76E8">
      <w:pPr>
        <w:rPr>
          <w:rFonts w:ascii="Arial" w:hAnsi="Arial" w:cs="Arial"/>
          <w:b/>
          <w:color w:val="000000" w:themeColor="text1"/>
          <w:sz w:val="20"/>
          <w:szCs w:val="20"/>
        </w:rPr>
      </w:pPr>
      <w:r w:rsidRPr="00D571B8">
        <w:rPr>
          <w:rFonts w:ascii="Arial" w:hAnsi="Arial" w:cs="Arial"/>
          <w:b/>
          <w:color w:val="000000" w:themeColor="text1"/>
          <w:sz w:val="20"/>
          <w:szCs w:val="20"/>
        </w:rPr>
        <w:t>David Coonan - Australian Trucking Association</w:t>
      </w:r>
    </w:p>
    <w:p w:rsidR="00D571B8" w:rsidRPr="00927E47" w:rsidRDefault="00D571B8" w:rsidP="002E76E8">
      <w:pPr>
        <w:rPr>
          <w:rFonts w:ascii="Arial" w:hAnsi="Arial" w:cs="Arial"/>
          <w:color w:val="000000" w:themeColor="text1"/>
          <w:sz w:val="20"/>
          <w:szCs w:val="20"/>
        </w:rPr>
      </w:pPr>
      <w:r w:rsidRPr="00D571B8">
        <w:rPr>
          <w:rFonts w:ascii="Arial" w:hAnsi="Arial" w:cs="Arial"/>
          <w:b/>
          <w:color w:val="000000" w:themeColor="text1"/>
          <w:sz w:val="20"/>
          <w:szCs w:val="20"/>
        </w:rPr>
        <w:t>Bob Woodward - Barkwood Consulting Pty Ltd.</w:t>
      </w:r>
    </w:p>
    <w:p w:rsidR="00D571B8" w:rsidRDefault="00D571B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This document has been prepared to assist operators and road asset managers in assessing the merits of utilising larger vehicle combinations in a transport task.</w:t>
      </w:r>
    </w:p>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 xml:space="preserve">The assessment process assumes that the vehicle is dedicated to a specific task, operating travel being 50% </w:t>
      </w:r>
      <w:proofErr w:type="spellStart"/>
      <w:r w:rsidRPr="00927E47">
        <w:rPr>
          <w:rFonts w:ascii="Arial" w:hAnsi="Arial" w:cs="Arial"/>
          <w:color w:val="000000" w:themeColor="text1"/>
          <w:sz w:val="20"/>
          <w:szCs w:val="20"/>
        </w:rPr>
        <w:t>unladen</w:t>
      </w:r>
      <w:proofErr w:type="spellEnd"/>
      <w:r w:rsidRPr="00927E47">
        <w:rPr>
          <w:rFonts w:ascii="Arial" w:hAnsi="Arial" w:cs="Arial"/>
          <w:color w:val="000000" w:themeColor="text1"/>
          <w:sz w:val="20"/>
          <w:szCs w:val="20"/>
        </w:rPr>
        <w:t xml:space="preserve"> and 50% laden.  The task relativities are 1000 tonnes with a lead of 1000 kilometres.</w:t>
      </w:r>
    </w:p>
    <w:tbl>
      <w:tblPr>
        <w:tblStyle w:val="TableGrid"/>
        <w:tblW w:w="0" w:type="auto"/>
        <w:tblLook w:val="04A0"/>
      </w:tblPr>
      <w:tblGrid>
        <w:gridCol w:w="2370"/>
        <w:gridCol w:w="7484"/>
      </w:tblGrid>
      <w:tr w:rsidR="005545F8" w:rsidRPr="00927E47" w:rsidTr="004D3D56">
        <w:trPr>
          <w:trHeight w:val="460"/>
        </w:trPr>
        <w:tc>
          <w:tcPr>
            <w:tcW w:w="3085"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b/>
                <w:color w:val="000000" w:themeColor="text1"/>
                <w:sz w:val="20"/>
                <w:szCs w:val="20"/>
              </w:rPr>
              <w:t>Equivalent Standard Axles:</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 xml:space="preserve">ESA’s are calculated by the average of the sum of ESA’s for zero </w:t>
            </w:r>
            <w:proofErr w:type="gramStart"/>
            <w:r w:rsidRPr="00927E47">
              <w:rPr>
                <w:rFonts w:ascii="Arial" w:hAnsi="Arial" w:cs="Arial"/>
                <w:color w:val="000000" w:themeColor="text1"/>
                <w:sz w:val="20"/>
                <w:szCs w:val="20"/>
              </w:rPr>
              <w:t>load</w:t>
            </w:r>
            <w:proofErr w:type="gramEnd"/>
            <w:r w:rsidRPr="00927E47">
              <w:rPr>
                <w:rFonts w:ascii="Arial" w:hAnsi="Arial" w:cs="Arial"/>
                <w:color w:val="000000" w:themeColor="text1"/>
                <w:sz w:val="20"/>
                <w:szCs w:val="20"/>
              </w:rPr>
              <w:t xml:space="preserve"> (empty) plus ESA’s for 100% load and multiplied by the number of trips as required for the transport task.</w:t>
            </w:r>
          </w:p>
        </w:tc>
      </w:tr>
      <w:tr w:rsidR="005545F8" w:rsidRPr="00927E47" w:rsidTr="004D3D56">
        <w:trPr>
          <w:trHeight w:val="460"/>
        </w:trPr>
        <w:tc>
          <w:tcPr>
            <w:tcW w:w="3085"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b/>
                <w:color w:val="000000" w:themeColor="text1"/>
                <w:sz w:val="20"/>
                <w:szCs w:val="20"/>
              </w:rPr>
              <w:t>Vehicle tare weights:</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 xml:space="preserve">Are predictions based on the averages for a range of equipment within each combination </w:t>
            </w:r>
            <w:proofErr w:type="gramStart"/>
            <w:r w:rsidRPr="00927E47">
              <w:rPr>
                <w:rFonts w:ascii="Arial" w:hAnsi="Arial" w:cs="Arial"/>
                <w:color w:val="000000" w:themeColor="text1"/>
                <w:sz w:val="20"/>
                <w:szCs w:val="20"/>
              </w:rPr>
              <w:t>category.</w:t>
            </w:r>
            <w:proofErr w:type="gramEnd"/>
            <w:r w:rsidRPr="00927E47">
              <w:rPr>
                <w:rFonts w:ascii="Arial" w:hAnsi="Arial" w:cs="Arial"/>
                <w:color w:val="000000" w:themeColor="text1"/>
                <w:sz w:val="20"/>
                <w:szCs w:val="20"/>
              </w:rPr>
              <w:t xml:space="preserve">  These estimates have been reviewed by a number of operators and confirmed as being representative of “real” vehicles of the category.</w:t>
            </w:r>
          </w:p>
        </w:tc>
      </w:tr>
      <w:tr w:rsidR="005545F8" w:rsidRPr="00927E47" w:rsidTr="004D3D56">
        <w:trPr>
          <w:trHeight w:val="460"/>
        </w:trPr>
        <w:tc>
          <w:tcPr>
            <w:tcW w:w="3085"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b/>
                <w:color w:val="000000" w:themeColor="text1"/>
                <w:sz w:val="20"/>
                <w:szCs w:val="20"/>
              </w:rPr>
              <w:t>Fuel consumption estimates:</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 xml:space="preserve">Are predictions based on accumulated averages where operation is nominally 50% </w:t>
            </w:r>
            <w:proofErr w:type="spellStart"/>
            <w:r w:rsidRPr="00927E47">
              <w:rPr>
                <w:rFonts w:ascii="Arial" w:hAnsi="Arial" w:cs="Arial"/>
                <w:color w:val="000000" w:themeColor="text1"/>
                <w:sz w:val="20"/>
                <w:szCs w:val="20"/>
              </w:rPr>
              <w:t>unladen</w:t>
            </w:r>
            <w:proofErr w:type="spellEnd"/>
            <w:r w:rsidRPr="00927E47">
              <w:rPr>
                <w:rFonts w:ascii="Arial" w:hAnsi="Arial" w:cs="Arial"/>
                <w:color w:val="000000" w:themeColor="text1"/>
                <w:sz w:val="20"/>
                <w:szCs w:val="20"/>
              </w:rPr>
              <w:t xml:space="preserve"> and 50% </w:t>
            </w:r>
            <w:proofErr w:type="gramStart"/>
            <w:r w:rsidRPr="00927E47">
              <w:rPr>
                <w:rFonts w:ascii="Arial" w:hAnsi="Arial" w:cs="Arial"/>
                <w:color w:val="000000" w:themeColor="text1"/>
                <w:sz w:val="20"/>
                <w:szCs w:val="20"/>
              </w:rPr>
              <w:t>laden.</w:t>
            </w:r>
            <w:proofErr w:type="gramEnd"/>
            <w:r w:rsidRPr="00927E47">
              <w:rPr>
                <w:rFonts w:ascii="Arial" w:hAnsi="Arial" w:cs="Arial"/>
                <w:color w:val="000000" w:themeColor="text1"/>
                <w:sz w:val="20"/>
                <w:szCs w:val="20"/>
              </w:rPr>
              <w:t xml:space="preserve">  Actual consumption will vary with operating conditions.</w:t>
            </w:r>
          </w:p>
        </w:tc>
      </w:tr>
      <w:tr w:rsidR="005545F8" w:rsidRPr="00927E47" w:rsidTr="004D3D56">
        <w:trPr>
          <w:trHeight w:val="460"/>
        </w:trPr>
        <w:tc>
          <w:tcPr>
            <w:tcW w:w="3085"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b/>
                <w:color w:val="000000" w:themeColor="text1"/>
                <w:sz w:val="20"/>
                <w:szCs w:val="20"/>
              </w:rPr>
              <w:t>Emissions:</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Reference is based on total fuel consumption only.</w:t>
            </w:r>
          </w:p>
        </w:tc>
      </w:tr>
      <w:tr w:rsidR="005545F8" w:rsidRPr="00927E47" w:rsidTr="004D3D56">
        <w:trPr>
          <w:trHeight w:val="460"/>
        </w:trPr>
        <w:tc>
          <w:tcPr>
            <w:tcW w:w="3085"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b/>
                <w:color w:val="000000" w:themeColor="text1"/>
                <w:sz w:val="20"/>
                <w:szCs w:val="20"/>
              </w:rPr>
              <w:t>20 metre 7 axle Truck &amp; Dog:</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The maximum allowable mass limits for this combination at either CML or HML (for standard combination) is 55.5 tonnes.</w:t>
            </w:r>
          </w:p>
        </w:tc>
      </w:tr>
      <w:tr w:rsidR="005545F8" w:rsidRPr="00927E47" w:rsidTr="004D3D56">
        <w:trPr>
          <w:trHeight w:val="460"/>
        </w:trPr>
        <w:tc>
          <w:tcPr>
            <w:tcW w:w="3085"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b/>
                <w:color w:val="000000" w:themeColor="text1"/>
                <w:sz w:val="20"/>
                <w:szCs w:val="20"/>
              </w:rPr>
              <w:t>19 metre 7 Axle B-double:</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The maximum allowable mass limits for this combination at either CML or HML (for standard combination) is 55.5 tonnes.</w:t>
            </w:r>
          </w:p>
        </w:tc>
      </w:tr>
      <w:tr w:rsidR="005545F8" w:rsidRPr="00927E47" w:rsidTr="004D3D56">
        <w:trPr>
          <w:trHeight w:val="460"/>
        </w:trPr>
        <w:tc>
          <w:tcPr>
            <w:tcW w:w="3085"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b/>
                <w:color w:val="000000" w:themeColor="text1"/>
                <w:sz w:val="20"/>
                <w:szCs w:val="20"/>
              </w:rPr>
              <w:t>B-triple:</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Consists of a complying B-double with an additional complying leading trailer.</w:t>
            </w:r>
          </w:p>
        </w:tc>
      </w:tr>
      <w:tr w:rsidR="005545F8" w:rsidRPr="00927E47" w:rsidTr="004D3D56">
        <w:trPr>
          <w:trHeight w:val="460"/>
        </w:trPr>
        <w:tc>
          <w:tcPr>
            <w:tcW w:w="3085"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b/>
                <w:color w:val="000000" w:themeColor="text1"/>
                <w:sz w:val="20"/>
                <w:szCs w:val="20"/>
              </w:rPr>
              <w:t>Converter Dolly:</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All combinations utilizing a converter dolly are configured with a tandem axle.   The configured vertical imposed loading of a 6x4 prime mover is similar to the allowable imposed vertical loading of a tandem axle converter dolly.</w:t>
            </w:r>
          </w:p>
        </w:tc>
      </w:tr>
      <w:tr w:rsidR="005545F8" w:rsidRPr="00927E47" w:rsidTr="004D3D56">
        <w:trPr>
          <w:trHeight w:val="460"/>
        </w:trPr>
        <w:tc>
          <w:tcPr>
            <w:tcW w:w="3085" w:type="dxa"/>
            <w:vAlign w:val="center"/>
          </w:tcPr>
          <w:p w:rsidR="005545F8" w:rsidRPr="00927E47" w:rsidRDefault="005545F8" w:rsidP="002E76E8">
            <w:pPr>
              <w:rPr>
                <w:rFonts w:ascii="Arial" w:hAnsi="Arial" w:cs="Arial"/>
                <w:b/>
                <w:color w:val="000000" w:themeColor="text1"/>
                <w:sz w:val="20"/>
                <w:szCs w:val="20"/>
              </w:rPr>
            </w:pPr>
            <w:r w:rsidRPr="00927E47">
              <w:rPr>
                <w:rFonts w:ascii="Arial" w:hAnsi="Arial" w:cs="Arial"/>
                <w:b/>
                <w:color w:val="000000" w:themeColor="text1"/>
                <w:sz w:val="20"/>
                <w:szCs w:val="20"/>
              </w:rPr>
              <w:t>AB-triple:</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Consists of a complying B-double with an additional complying road train leading trailer and a complying converter dolly.</w:t>
            </w:r>
          </w:p>
        </w:tc>
      </w:tr>
      <w:tr w:rsidR="005545F8" w:rsidRPr="00927E47" w:rsidTr="004D3D56">
        <w:trPr>
          <w:trHeight w:val="460"/>
        </w:trPr>
        <w:tc>
          <w:tcPr>
            <w:tcW w:w="3085" w:type="dxa"/>
            <w:vAlign w:val="center"/>
          </w:tcPr>
          <w:p w:rsidR="005545F8" w:rsidRPr="00927E47" w:rsidRDefault="005545F8" w:rsidP="002E76E8">
            <w:pPr>
              <w:rPr>
                <w:rFonts w:ascii="Arial" w:hAnsi="Arial" w:cs="Arial"/>
                <w:b/>
                <w:color w:val="000000" w:themeColor="text1"/>
                <w:sz w:val="20"/>
                <w:szCs w:val="20"/>
              </w:rPr>
            </w:pPr>
            <w:r w:rsidRPr="00927E47">
              <w:rPr>
                <w:rFonts w:ascii="Arial" w:hAnsi="Arial" w:cs="Arial"/>
                <w:b/>
                <w:color w:val="000000" w:themeColor="text1"/>
                <w:sz w:val="20"/>
                <w:szCs w:val="20"/>
              </w:rPr>
              <w:t>BAB-Quad:</w:t>
            </w:r>
            <w:r w:rsidRPr="00927E47">
              <w:rPr>
                <w:rFonts w:ascii="Arial" w:hAnsi="Arial" w:cs="Arial"/>
                <w:color w:val="000000" w:themeColor="text1"/>
                <w:sz w:val="20"/>
                <w:szCs w:val="20"/>
              </w:rPr>
              <w:t xml:space="preserve">  </w:t>
            </w:r>
          </w:p>
        </w:tc>
        <w:tc>
          <w:tcPr>
            <w:tcW w:w="12268" w:type="dxa"/>
            <w:vAlign w:val="center"/>
          </w:tcPr>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t>Consists of a complying B-double with an additional complying converter dolly and additional complying set of B-double trailers.</w:t>
            </w:r>
          </w:p>
        </w:tc>
      </w:tr>
    </w:tbl>
    <w:p w:rsidR="005545F8" w:rsidRPr="00927E47" w:rsidRDefault="005545F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p>
    <w:p w:rsidR="005545F8" w:rsidRPr="00927E47" w:rsidRDefault="005545F8" w:rsidP="002E76E8">
      <w:pPr>
        <w:rPr>
          <w:rFonts w:ascii="Arial" w:hAnsi="Arial" w:cs="Arial"/>
          <w:color w:val="000000" w:themeColor="text1"/>
          <w:sz w:val="20"/>
          <w:szCs w:val="20"/>
        </w:rPr>
      </w:pPr>
      <w:r w:rsidRPr="00927E47">
        <w:rPr>
          <w:rFonts w:ascii="Arial" w:hAnsi="Arial" w:cs="Arial"/>
          <w:color w:val="000000" w:themeColor="text1"/>
          <w:sz w:val="20"/>
          <w:szCs w:val="20"/>
        </w:rPr>
        <w:br w:type="page"/>
      </w:r>
    </w:p>
    <w:p w:rsidR="005545F8" w:rsidRPr="00927E47" w:rsidRDefault="005545F8" w:rsidP="002E76E8">
      <w:pPr>
        <w:rPr>
          <w:rFonts w:ascii="Arial" w:hAnsi="Arial" w:cs="Arial"/>
          <w:color w:val="000000" w:themeColor="text1"/>
          <w:sz w:val="20"/>
          <w:szCs w:val="20"/>
        </w:rPr>
      </w:pPr>
      <w:r w:rsidRPr="00927E47">
        <w:rPr>
          <w:rFonts w:ascii="Arial" w:hAnsi="Arial" w:cs="Arial"/>
          <w:noProof/>
          <w:color w:val="000000" w:themeColor="text1"/>
          <w:sz w:val="20"/>
          <w:szCs w:val="20"/>
          <w:lang w:eastAsia="en-AU"/>
        </w:rPr>
        <w:lastRenderedPageBreak/>
        <w:drawing>
          <wp:anchor distT="0" distB="0" distL="114300" distR="114300" simplePos="0" relativeHeight="251659264" behindDoc="1" locked="0" layoutInCell="1" allowOverlap="1">
            <wp:simplePos x="0" y="0"/>
            <wp:positionH relativeFrom="column">
              <wp:posOffset>-1929765</wp:posOffset>
            </wp:positionH>
            <wp:positionV relativeFrom="paragraph">
              <wp:posOffset>1623060</wp:posOffset>
            </wp:positionV>
            <wp:extent cx="9620250" cy="6120130"/>
            <wp:effectExtent l="0" t="1752600" r="0" b="172847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rot="5400000">
                      <a:off x="0" y="0"/>
                      <a:ext cx="9620250" cy="6120130"/>
                    </a:xfrm>
                    <a:prstGeom prst="rect">
                      <a:avLst/>
                    </a:prstGeom>
                    <a:noFill/>
                    <a:ln w="9525">
                      <a:noFill/>
                      <a:miter lim="800000"/>
                      <a:headEnd/>
                      <a:tailEnd/>
                    </a:ln>
                  </pic:spPr>
                </pic:pic>
              </a:graphicData>
            </a:graphic>
          </wp:anchor>
        </w:drawing>
      </w:r>
    </w:p>
    <w:p w:rsidR="005545F8" w:rsidRPr="00927E47" w:rsidRDefault="005545F8" w:rsidP="002E76E8">
      <w:pPr>
        <w:rPr>
          <w:rFonts w:ascii="Arial" w:hAnsi="Arial" w:cs="Arial"/>
          <w:color w:val="000000" w:themeColor="text1"/>
          <w:sz w:val="20"/>
          <w:szCs w:val="20"/>
        </w:rPr>
      </w:pPr>
    </w:p>
    <w:sectPr w:rsidR="005545F8" w:rsidRPr="00927E47" w:rsidSect="00A9141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2F" w:rsidRDefault="003B532F" w:rsidP="000F3D9F">
      <w:r>
        <w:separator/>
      </w:r>
    </w:p>
  </w:endnote>
  <w:endnote w:type="continuationSeparator" w:id="0">
    <w:p w:rsidR="003B532F" w:rsidRDefault="003B532F"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D" w:rsidRDefault="000E4F7D"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0E4F7D" w:rsidRPr="00E8056B" w:rsidRDefault="000E4F7D" w:rsidP="00E8056B">
    <w:pPr>
      <w:jc w:val="right"/>
      <w:rPr>
        <w:rFonts w:ascii="Arial" w:hAnsi="Arial" w:cs="Arial"/>
        <w:sz w:val="16"/>
        <w:szCs w:val="16"/>
      </w:rPr>
    </w:pPr>
  </w:p>
  <w:p w:rsidR="000E4F7D" w:rsidRPr="00E8056B" w:rsidRDefault="000E4F7D"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0E4F7D" w:rsidRPr="00E8056B" w:rsidRDefault="000E4F7D"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Pr="00E8056B">
      <w:rPr>
        <w:rFonts w:ascii="Arial" w:hAnsi="Arial" w:cs="Arial"/>
        <w:bCs/>
        <w:sz w:val="16"/>
        <w:szCs w:val="16"/>
      </w:rPr>
      <w:t>ata@atatruck.net.au</w:t>
    </w:r>
    <w:r w:rsidRPr="00E8056B">
      <w:rPr>
        <w:rFonts w:ascii="Arial" w:hAnsi="Arial" w:cs="Arial"/>
        <w:b/>
        <w:sz w:val="16"/>
        <w:szCs w:val="16"/>
      </w:rPr>
      <w:t xml:space="preserve"> W</w:t>
    </w:r>
    <w:r w:rsidRPr="00E8056B">
      <w:rPr>
        <w:rFonts w:ascii="Arial" w:hAnsi="Arial" w:cs="Arial"/>
        <w:sz w:val="16"/>
        <w:szCs w:val="16"/>
      </w:rPr>
      <w:t xml:space="preserve"> </w:t>
    </w:r>
    <w:r w:rsidRPr="00E8056B">
      <w:rPr>
        <w:rFonts w:ascii="Arial" w:hAnsi="Arial" w:cs="Arial"/>
        <w:bCs/>
        <w:sz w:val="16"/>
        <w:szCs w:val="16"/>
      </w:rPr>
      <w:t>www.atatruck.net.au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D" w:rsidRDefault="00585E54">
    <w:pPr>
      <w:pStyle w:val="Footer"/>
      <w:jc w:val="right"/>
    </w:pPr>
    <w:fldSimple w:instr=" PAGE   \* MERGEFORMAT ">
      <w:r w:rsidR="000E4F7D">
        <w:rPr>
          <w:noProof/>
        </w:rPr>
        <w:t>7</w:t>
      </w:r>
    </w:fldSimple>
  </w:p>
  <w:p w:rsidR="000E4F7D" w:rsidRDefault="000E4F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D" w:rsidRDefault="000E4F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0E4F7D" w:rsidRPr="00A91411" w:rsidTr="00D735FF">
      <w:trPr>
        <w:trHeight w:val="278"/>
      </w:trPr>
      <w:tc>
        <w:tcPr>
          <w:tcW w:w="4927" w:type="dxa"/>
          <w:vAlign w:val="center"/>
        </w:tcPr>
        <w:p w:rsidR="000E4F7D" w:rsidRPr="00A91411" w:rsidRDefault="000E4F7D" w:rsidP="00DB17ED">
          <w:pPr>
            <w:pStyle w:val="Footer"/>
            <w:rPr>
              <w:rFonts w:ascii="Arial" w:hAnsi="Arial" w:cs="Arial"/>
              <w:sz w:val="14"/>
              <w:szCs w:val="14"/>
            </w:rPr>
          </w:pPr>
          <w:r w:rsidRPr="00A91411">
            <w:rPr>
              <w:rFonts w:ascii="Arial" w:hAnsi="Arial" w:cs="Arial"/>
              <w:sz w:val="14"/>
              <w:szCs w:val="14"/>
            </w:rPr>
            <w:t xml:space="preserve">Submission – </w:t>
          </w:r>
          <w:r w:rsidRPr="001E232E">
            <w:rPr>
              <w:rFonts w:ascii="Arial" w:hAnsi="Arial" w:cs="Arial"/>
              <w:sz w:val="14"/>
              <w:szCs w:val="14"/>
            </w:rPr>
            <w:t xml:space="preserve">Business Regulation Benchmarking: Role of </w:t>
          </w:r>
          <w:r>
            <w:rPr>
              <w:rFonts w:ascii="Arial" w:hAnsi="Arial" w:cs="Arial"/>
              <w:sz w:val="14"/>
              <w:szCs w:val="14"/>
            </w:rPr>
            <w:t>Local Government</w:t>
          </w:r>
          <w:r w:rsidRPr="001E232E">
            <w:rPr>
              <w:rFonts w:ascii="Arial" w:hAnsi="Arial" w:cs="Arial"/>
              <w:sz w:val="14"/>
              <w:szCs w:val="14"/>
            </w:rPr>
            <w:t xml:space="preserve"> as Regulator</w:t>
          </w:r>
        </w:p>
      </w:tc>
      <w:tc>
        <w:tcPr>
          <w:tcW w:w="4927" w:type="dxa"/>
          <w:vAlign w:val="center"/>
        </w:tcPr>
        <w:p w:rsidR="000E4F7D" w:rsidRPr="00A91411" w:rsidRDefault="000E4F7D" w:rsidP="00D735FF">
          <w:pPr>
            <w:pStyle w:val="Footer"/>
            <w:jc w:val="right"/>
            <w:rPr>
              <w:rFonts w:ascii="Arial" w:hAnsi="Arial" w:cs="Arial"/>
              <w:sz w:val="14"/>
              <w:szCs w:val="14"/>
            </w:rPr>
          </w:pPr>
          <w:r w:rsidRPr="00A91411">
            <w:rPr>
              <w:rFonts w:ascii="Arial" w:hAnsi="Arial" w:cs="Arial"/>
              <w:sz w:val="14"/>
              <w:szCs w:val="14"/>
            </w:rPr>
            <w:t xml:space="preserve">Page </w:t>
          </w:r>
          <w:r w:rsidR="00585E54"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585E54" w:rsidRPr="00A91411">
            <w:rPr>
              <w:rFonts w:ascii="Arial" w:hAnsi="Arial" w:cs="Arial"/>
              <w:sz w:val="14"/>
              <w:szCs w:val="14"/>
            </w:rPr>
            <w:fldChar w:fldCharType="separate"/>
          </w:r>
          <w:r w:rsidR="00240A94">
            <w:rPr>
              <w:rFonts w:ascii="Arial" w:hAnsi="Arial" w:cs="Arial"/>
              <w:noProof/>
              <w:sz w:val="14"/>
              <w:szCs w:val="14"/>
            </w:rPr>
            <w:t>10</w:t>
          </w:r>
          <w:r w:rsidR="00585E54" w:rsidRPr="00A91411">
            <w:rPr>
              <w:rFonts w:ascii="Arial" w:hAnsi="Arial" w:cs="Arial"/>
              <w:sz w:val="14"/>
              <w:szCs w:val="14"/>
            </w:rPr>
            <w:fldChar w:fldCharType="end"/>
          </w:r>
        </w:p>
      </w:tc>
    </w:tr>
  </w:tbl>
  <w:p w:rsidR="000E4F7D" w:rsidRPr="00A91411" w:rsidRDefault="000E4F7D">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D" w:rsidRDefault="000E4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2F" w:rsidRDefault="003B532F" w:rsidP="000F3D9F">
      <w:r>
        <w:separator/>
      </w:r>
    </w:p>
  </w:footnote>
  <w:footnote w:type="continuationSeparator" w:id="0">
    <w:p w:rsidR="003B532F" w:rsidRDefault="003B532F" w:rsidP="000F3D9F">
      <w:r>
        <w:continuationSeparator/>
      </w:r>
    </w:p>
  </w:footnote>
  <w:footnote w:id="1">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Considerable differences exist between NSW and VIC – Australian Logistics Council – The Costs of regulation disparity in cross border regions. Page 38  </w:t>
      </w:r>
    </w:p>
  </w:footnote>
  <w:footnote w:id="2">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w:t>
      </w:r>
      <w:hyperlink r:id="rId1" w:history="1">
        <w:r w:rsidRPr="005766E4">
          <w:rPr>
            <w:rStyle w:val="Hyperlink"/>
            <w:color w:val="auto"/>
            <w:sz w:val="16"/>
            <w:szCs w:val="16"/>
            <w:u w:val="none"/>
          </w:rPr>
          <w:t>http://www.ntc.gov.au/filemedia/Groups/PBSmapsportalFAQ.pdf</w:t>
        </w:r>
      </w:hyperlink>
      <w:r w:rsidRPr="005766E4">
        <w:rPr>
          <w:sz w:val="16"/>
          <w:szCs w:val="16"/>
        </w:rPr>
        <w:t xml:space="preserve"> </w:t>
      </w:r>
    </w:p>
  </w:footnote>
  <w:footnote w:id="3">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Page 20 Infrastructure Australia – A report to the Council of Australian Government 2011</w:t>
      </w:r>
    </w:p>
  </w:footnote>
  <w:footnote w:id="4">
    <w:p w:rsidR="000E4F7D" w:rsidRPr="005766E4" w:rsidRDefault="000E4F7D" w:rsidP="005766E4">
      <w:pPr>
        <w:autoSpaceDE w:val="0"/>
        <w:autoSpaceDN w:val="0"/>
        <w:adjustRightInd w:val="0"/>
        <w:rPr>
          <w:rFonts w:ascii="ArialMT" w:hAnsi="ArialMT" w:cs="ArialMT"/>
          <w:sz w:val="14"/>
          <w:szCs w:val="14"/>
          <w:lang w:eastAsia="en-AU"/>
        </w:rPr>
      </w:pPr>
      <w:r w:rsidRPr="005766E4">
        <w:rPr>
          <w:rStyle w:val="FootnoteReference"/>
          <w:sz w:val="16"/>
          <w:szCs w:val="16"/>
        </w:rPr>
        <w:footnoteRef/>
      </w:r>
      <w:r w:rsidRPr="005766E4">
        <w:rPr>
          <w:sz w:val="16"/>
          <w:szCs w:val="16"/>
        </w:rPr>
        <w:t xml:space="preserve"> </w:t>
      </w:r>
      <w:r w:rsidR="005766E4">
        <w:rPr>
          <w:sz w:val="16"/>
          <w:szCs w:val="16"/>
        </w:rPr>
        <w:t xml:space="preserve">Page 22 paragraph  </w:t>
      </w:r>
      <w:r w:rsidRPr="005766E4">
        <w:rPr>
          <w:sz w:val="16"/>
          <w:szCs w:val="16"/>
        </w:rPr>
        <w:t>29</w:t>
      </w:r>
      <w:r w:rsidR="005766E4">
        <w:rPr>
          <w:sz w:val="16"/>
          <w:szCs w:val="16"/>
        </w:rPr>
        <w:t xml:space="preserve"> - </w:t>
      </w:r>
      <w:r w:rsidR="005766E4">
        <w:rPr>
          <w:rFonts w:ascii="ArialMT" w:hAnsi="ArialMT" w:cs="ArialMT"/>
          <w:sz w:val="14"/>
          <w:szCs w:val="14"/>
          <w:lang w:eastAsia="en-AU"/>
        </w:rPr>
        <w:t>ANAO Audit Report No.30 2009–10 Management of the Strategic Regional Program/Off-Network Program</w:t>
      </w:r>
    </w:p>
  </w:footnote>
  <w:footnote w:id="5">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Commonwealth Grant Guidelines: Policies and Principles for Grants Administration July 2009 </w:t>
      </w:r>
    </w:p>
  </w:footnote>
  <w:footnote w:id="6">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w:t>
      </w:r>
      <w:r w:rsidR="005766E4">
        <w:rPr>
          <w:sz w:val="16"/>
          <w:szCs w:val="16"/>
        </w:rPr>
        <w:t xml:space="preserve">Page 23 – paragraph </w:t>
      </w:r>
      <w:r w:rsidRPr="005766E4">
        <w:rPr>
          <w:sz w:val="16"/>
          <w:szCs w:val="16"/>
        </w:rPr>
        <w:t>35</w:t>
      </w:r>
      <w:r w:rsidR="005766E4">
        <w:rPr>
          <w:sz w:val="16"/>
          <w:szCs w:val="16"/>
        </w:rPr>
        <w:t xml:space="preserve"> - </w:t>
      </w:r>
      <w:r w:rsidR="005766E4" w:rsidRPr="005766E4">
        <w:rPr>
          <w:sz w:val="16"/>
          <w:szCs w:val="16"/>
        </w:rPr>
        <w:t>ANAO Audit Report No.30 2009–10 Management of the Strategic Regional Program/Off-Network Program</w:t>
      </w:r>
    </w:p>
  </w:footnote>
  <w:footnote w:id="7">
    <w:p w:rsidR="000E4F7D" w:rsidRPr="005766E4" w:rsidRDefault="000E4F7D" w:rsidP="009C09C3">
      <w:pPr>
        <w:pStyle w:val="FootnoteText"/>
        <w:rPr>
          <w:sz w:val="16"/>
          <w:szCs w:val="16"/>
        </w:rPr>
      </w:pPr>
      <w:r w:rsidRPr="005766E4">
        <w:rPr>
          <w:rStyle w:val="FootnoteReference"/>
          <w:sz w:val="16"/>
          <w:szCs w:val="16"/>
        </w:rPr>
        <w:footnoteRef/>
      </w:r>
      <w:r w:rsidRPr="005766E4">
        <w:rPr>
          <w:sz w:val="16"/>
          <w:szCs w:val="16"/>
        </w:rPr>
        <w:t xml:space="preserve"> </w:t>
      </w:r>
      <w:r w:rsidR="005766E4">
        <w:rPr>
          <w:sz w:val="16"/>
          <w:szCs w:val="16"/>
        </w:rPr>
        <w:t xml:space="preserve">Page 29 – paragraph </w:t>
      </w:r>
      <w:r w:rsidRPr="005766E4">
        <w:rPr>
          <w:sz w:val="16"/>
          <w:szCs w:val="16"/>
        </w:rPr>
        <w:t>47</w:t>
      </w:r>
      <w:r w:rsidR="005766E4">
        <w:rPr>
          <w:sz w:val="16"/>
          <w:szCs w:val="16"/>
        </w:rPr>
        <w:t xml:space="preserve"> - </w:t>
      </w:r>
      <w:r w:rsidR="005766E4" w:rsidRPr="005766E4">
        <w:rPr>
          <w:sz w:val="16"/>
          <w:szCs w:val="16"/>
        </w:rPr>
        <w:t>ANAO Audit Report No.30 2009–10 Management of the Strategic Regional Program/Off-Network Program</w:t>
      </w:r>
    </w:p>
  </w:footnote>
  <w:footnote w:id="8">
    <w:p w:rsidR="000E4F7D" w:rsidRPr="005766E4" w:rsidRDefault="000E4F7D" w:rsidP="009C09C3">
      <w:pPr>
        <w:pStyle w:val="FootnoteText"/>
        <w:rPr>
          <w:sz w:val="16"/>
          <w:szCs w:val="16"/>
        </w:rPr>
      </w:pPr>
      <w:r w:rsidRPr="005766E4">
        <w:rPr>
          <w:rStyle w:val="FootnoteReference"/>
          <w:sz w:val="16"/>
          <w:szCs w:val="16"/>
        </w:rPr>
        <w:footnoteRef/>
      </w:r>
      <w:r w:rsidRPr="005766E4">
        <w:rPr>
          <w:sz w:val="16"/>
          <w:szCs w:val="16"/>
        </w:rPr>
        <w:t xml:space="preserve"> </w:t>
      </w:r>
      <w:r w:rsidR="005766E4">
        <w:rPr>
          <w:sz w:val="16"/>
          <w:szCs w:val="16"/>
        </w:rPr>
        <w:t xml:space="preserve">Page 31 - paragraph  </w:t>
      </w:r>
      <w:r w:rsidR="005766E4" w:rsidRPr="005766E4">
        <w:rPr>
          <w:sz w:val="16"/>
          <w:szCs w:val="16"/>
        </w:rPr>
        <w:t>52</w:t>
      </w:r>
      <w:r w:rsidR="005766E4">
        <w:rPr>
          <w:sz w:val="16"/>
          <w:szCs w:val="16"/>
        </w:rPr>
        <w:t xml:space="preserve">- </w:t>
      </w:r>
      <w:r w:rsidR="005766E4" w:rsidRPr="005766E4">
        <w:rPr>
          <w:sz w:val="16"/>
          <w:szCs w:val="16"/>
        </w:rPr>
        <w:t>ANAO Audit Report No.30 2009–10 Management of the Strategic Regional Program/Off-Network Program</w:t>
      </w:r>
    </w:p>
  </w:footnote>
  <w:footnote w:id="9">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w:t>
      </w:r>
      <w:r w:rsidR="005766E4">
        <w:rPr>
          <w:sz w:val="16"/>
          <w:szCs w:val="16"/>
        </w:rPr>
        <w:t xml:space="preserve">Page 22 – paragraph </w:t>
      </w:r>
      <w:r w:rsidRPr="005766E4">
        <w:rPr>
          <w:sz w:val="16"/>
          <w:szCs w:val="16"/>
        </w:rPr>
        <w:t>32</w:t>
      </w:r>
      <w:r w:rsidR="005766E4">
        <w:rPr>
          <w:sz w:val="16"/>
          <w:szCs w:val="16"/>
        </w:rPr>
        <w:t xml:space="preserve"> -  </w:t>
      </w:r>
      <w:r w:rsidR="005766E4" w:rsidRPr="005766E4">
        <w:rPr>
          <w:sz w:val="16"/>
          <w:szCs w:val="16"/>
        </w:rPr>
        <w:t>ANAO Audit Report No.30 2009–10 Management of the Strategic Regional Program/Off-Network Program</w:t>
      </w:r>
    </w:p>
  </w:footnote>
  <w:footnote w:id="10">
    <w:p w:rsidR="000E4F7D" w:rsidRPr="005766E4" w:rsidRDefault="000E4F7D" w:rsidP="009C09C3">
      <w:pPr>
        <w:pStyle w:val="FootnoteText"/>
        <w:rPr>
          <w:sz w:val="16"/>
          <w:szCs w:val="16"/>
        </w:rPr>
      </w:pPr>
      <w:r w:rsidRPr="005766E4">
        <w:rPr>
          <w:rStyle w:val="FootnoteReference"/>
          <w:sz w:val="16"/>
          <w:szCs w:val="16"/>
        </w:rPr>
        <w:footnoteRef/>
      </w:r>
      <w:r w:rsidR="005766E4">
        <w:rPr>
          <w:sz w:val="16"/>
          <w:szCs w:val="16"/>
        </w:rPr>
        <w:t xml:space="preserve"> Page  22- paragraph</w:t>
      </w:r>
      <w:r w:rsidRPr="005766E4">
        <w:rPr>
          <w:sz w:val="16"/>
          <w:szCs w:val="16"/>
        </w:rPr>
        <w:t xml:space="preserve"> 33</w:t>
      </w:r>
      <w:r w:rsidR="005766E4">
        <w:rPr>
          <w:sz w:val="16"/>
          <w:szCs w:val="16"/>
        </w:rPr>
        <w:t xml:space="preserve"> </w:t>
      </w:r>
      <w:r w:rsidR="005766E4" w:rsidRPr="005766E4">
        <w:rPr>
          <w:sz w:val="16"/>
          <w:szCs w:val="16"/>
        </w:rPr>
        <w:t>ANAO Audit Report No.30 2009–10 Management of the Strategic Regional Program/Off-Network Program</w:t>
      </w:r>
    </w:p>
  </w:footnote>
  <w:footnote w:id="11">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w:t>
      </w:r>
      <w:r w:rsidR="005766E4">
        <w:rPr>
          <w:sz w:val="16"/>
          <w:szCs w:val="16"/>
        </w:rPr>
        <w:t xml:space="preserve">Page 40  - </w:t>
      </w:r>
      <w:r w:rsidR="005766E4" w:rsidRPr="005766E4">
        <w:rPr>
          <w:sz w:val="16"/>
          <w:szCs w:val="16"/>
        </w:rPr>
        <w:t>ANAO Audit Report No.30 2009–10 Management of the Strategic Regional Program/Off-Network Program</w:t>
      </w:r>
    </w:p>
  </w:footnote>
  <w:footnote w:id="12">
    <w:p w:rsidR="000E4F7D" w:rsidRPr="005766E4" w:rsidRDefault="000E4F7D" w:rsidP="00985C4B">
      <w:pPr>
        <w:pStyle w:val="FootnoteText"/>
        <w:rPr>
          <w:sz w:val="16"/>
          <w:szCs w:val="16"/>
        </w:rPr>
      </w:pPr>
      <w:r w:rsidRPr="005766E4">
        <w:rPr>
          <w:rStyle w:val="FootnoteReference"/>
          <w:sz w:val="16"/>
          <w:szCs w:val="16"/>
        </w:rPr>
        <w:footnoteRef/>
      </w:r>
      <w:r w:rsidRPr="005766E4">
        <w:rPr>
          <w:sz w:val="16"/>
          <w:szCs w:val="16"/>
        </w:rPr>
        <w:t xml:space="preserve"> </w:t>
      </w:r>
      <w:r w:rsidR="005766E4">
        <w:rPr>
          <w:sz w:val="16"/>
          <w:szCs w:val="16"/>
        </w:rPr>
        <w:t xml:space="preserve">Page 41 -  </w:t>
      </w:r>
      <w:r w:rsidR="005766E4" w:rsidRPr="005766E4">
        <w:rPr>
          <w:sz w:val="16"/>
          <w:szCs w:val="16"/>
        </w:rPr>
        <w:t>ANAO Audit Report No.30 2009–10 Management of the Strategic Regional Program/Off-Network Program</w:t>
      </w:r>
    </w:p>
  </w:footnote>
  <w:footnote w:id="13">
    <w:p w:rsidR="000E4F7D" w:rsidRPr="005766E4" w:rsidRDefault="000E4F7D" w:rsidP="00985C4B">
      <w:pPr>
        <w:pStyle w:val="FootnoteText"/>
        <w:rPr>
          <w:sz w:val="16"/>
          <w:szCs w:val="16"/>
        </w:rPr>
      </w:pPr>
      <w:r w:rsidRPr="005766E4">
        <w:rPr>
          <w:rStyle w:val="FootnoteReference"/>
          <w:sz w:val="16"/>
          <w:szCs w:val="16"/>
        </w:rPr>
        <w:footnoteRef/>
      </w:r>
      <w:r w:rsidRPr="005766E4">
        <w:rPr>
          <w:sz w:val="16"/>
          <w:szCs w:val="16"/>
        </w:rPr>
        <w:t xml:space="preserve"> </w:t>
      </w:r>
      <w:r w:rsidR="005766E4">
        <w:rPr>
          <w:sz w:val="16"/>
          <w:szCs w:val="16"/>
        </w:rPr>
        <w:t xml:space="preserve">Page 43 - </w:t>
      </w:r>
      <w:r w:rsidRPr="005766E4">
        <w:rPr>
          <w:sz w:val="16"/>
          <w:szCs w:val="16"/>
        </w:rPr>
        <w:t xml:space="preserve"> </w:t>
      </w:r>
      <w:r w:rsidR="005766E4" w:rsidRPr="005766E4">
        <w:rPr>
          <w:sz w:val="16"/>
          <w:szCs w:val="16"/>
        </w:rPr>
        <w:t>ANAO Audit Report No.30 2009–10 Management of the Strategic Regional Program/Off-Network Program</w:t>
      </w:r>
    </w:p>
  </w:footnote>
  <w:footnote w:id="14">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w:t>
      </w:r>
      <w:hyperlink r:id="rId2" w:history="1">
        <w:r w:rsidRPr="005766E4">
          <w:rPr>
            <w:rStyle w:val="Hyperlink"/>
            <w:color w:val="auto"/>
            <w:sz w:val="16"/>
            <w:szCs w:val="16"/>
            <w:u w:val="none"/>
          </w:rPr>
          <w:t>http://www.alga.asn.au/policy/transport/heavyvehicles/</w:t>
        </w:r>
      </w:hyperlink>
      <w:r w:rsidRPr="005766E4">
        <w:rPr>
          <w:sz w:val="16"/>
          <w:szCs w:val="16"/>
        </w:rPr>
        <w:t xml:space="preserve"> </w:t>
      </w:r>
    </w:p>
  </w:footnote>
  <w:footnote w:id="15">
    <w:p w:rsidR="000E4F7D" w:rsidRPr="005766E4" w:rsidRDefault="000E4F7D">
      <w:pPr>
        <w:pStyle w:val="FootnoteText"/>
        <w:rPr>
          <w:sz w:val="16"/>
          <w:szCs w:val="16"/>
        </w:rPr>
      </w:pPr>
      <w:r w:rsidRPr="005766E4">
        <w:rPr>
          <w:rStyle w:val="FootnoteReference"/>
          <w:sz w:val="16"/>
          <w:szCs w:val="16"/>
        </w:rPr>
        <w:footnoteRef/>
      </w:r>
      <w:r w:rsidRPr="005766E4">
        <w:rPr>
          <w:sz w:val="16"/>
          <w:szCs w:val="16"/>
        </w:rPr>
        <w:t xml:space="preserve"> Page 12 </w:t>
      </w:r>
      <w:hyperlink r:id="rId3" w:tgtFrame="_blank" w:history="1">
        <w:r w:rsidRPr="005766E4">
          <w:rPr>
            <w:rStyle w:val="Hyperlink"/>
            <w:color w:val="auto"/>
            <w:sz w:val="16"/>
            <w:szCs w:val="16"/>
            <w:u w:val="none"/>
          </w:rPr>
          <w:t>Issues Paper - Review of Access Pricing on the NSW Grain Line Network - May 2011</w:t>
        </w:r>
      </w:hyperlink>
      <w:r w:rsidRPr="005766E4">
        <w:rPr>
          <w:rFonts w:ascii="Verdana" w:hAnsi="Verdana"/>
          <w:sz w:val="16"/>
          <w:szCs w:val="16"/>
        </w:rPr>
        <w:t xml:space="preserve"> – IPART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D" w:rsidRPr="00E8056B" w:rsidRDefault="000E4F7D"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0E4F7D" w:rsidRDefault="000E4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D" w:rsidRDefault="00585E54">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49"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D" w:rsidRPr="0019542E" w:rsidRDefault="000E4F7D"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D" w:rsidRDefault="00585E54">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51"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CB3"/>
    <w:multiLevelType w:val="hybridMultilevel"/>
    <w:tmpl w:val="D292D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4227D2"/>
    <w:multiLevelType w:val="multilevel"/>
    <w:tmpl w:val="98847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DA40C0"/>
    <w:multiLevelType w:val="hybridMultilevel"/>
    <w:tmpl w:val="385C8472"/>
    <w:lvl w:ilvl="0" w:tplc="BA9A37F6">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
    <w:nsid w:val="2A9315B4"/>
    <w:multiLevelType w:val="hybridMultilevel"/>
    <w:tmpl w:val="92845C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516A172E"/>
    <w:multiLevelType w:val="hybridMultilevel"/>
    <w:tmpl w:val="D40EDE30"/>
    <w:lvl w:ilvl="0" w:tplc="64DA77A8">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79D7783"/>
    <w:multiLevelType w:val="hybridMultilevel"/>
    <w:tmpl w:val="0B44A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6F572C2D"/>
    <w:multiLevelType w:val="hybridMultilevel"/>
    <w:tmpl w:val="0B44A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087E9F"/>
    <w:multiLevelType w:val="hybridMultilevel"/>
    <w:tmpl w:val="F310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5"/>
  </w:num>
  <w:num w:numId="9">
    <w:abstractNumId w:val="6"/>
  </w:num>
  <w:num w:numId="10">
    <w:abstractNumId w:val="7"/>
  </w:num>
  <w:num w:numId="11">
    <w:abstractNumId w:val="7"/>
  </w:num>
  <w:num w:numId="12">
    <w:abstractNumId w:val="7"/>
  </w:num>
  <w:num w:numId="13">
    <w:abstractNumId w:val="7"/>
  </w:num>
  <w:num w:numId="14">
    <w:abstractNumId w:val="7"/>
  </w:num>
  <w:num w:numId="15">
    <w:abstractNumId w:val="7"/>
  </w:num>
  <w:num w:numId="16">
    <w:abstractNumId w:val="3"/>
  </w:num>
  <w:num w:numId="17">
    <w:abstractNumId w:val="7"/>
  </w:num>
  <w:num w:numId="18">
    <w:abstractNumId w:val="7"/>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7"/>
  </w:num>
  <w:num w:numId="32">
    <w:abstractNumId w:val="7"/>
  </w:num>
  <w:num w:numId="33">
    <w:abstractNumId w:val="7"/>
  </w:num>
  <w:num w:numId="34">
    <w:abstractNumId w:val="7"/>
  </w:num>
  <w:num w:numId="35">
    <w:abstractNumId w:val="4"/>
  </w:num>
  <w:num w:numId="36">
    <w:abstractNumId w:val="4"/>
  </w:num>
  <w:num w:numId="37">
    <w:abstractNumId w:val="4"/>
  </w:num>
  <w:num w:numId="38">
    <w:abstractNumId w:val="4"/>
  </w:num>
  <w:num w:numId="39">
    <w:abstractNumId w:val="7"/>
  </w:num>
  <w:num w:numId="40">
    <w:abstractNumId w:val="7"/>
  </w:num>
  <w:num w:numId="41">
    <w:abstractNumId w:val="4"/>
  </w:num>
  <w:num w:numId="4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1627A"/>
    <w:rsid w:val="00004DB4"/>
    <w:rsid w:val="00005E0D"/>
    <w:rsid w:val="00011D52"/>
    <w:rsid w:val="000156D1"/>
    <w:rsid w:val="000322D8"/>
    <w:rsid w:val="00035CFC"/>
    <w:rsid w:val="00040876"/>
    <w:rsid w:val="00043AF0"/>
    <w:rsid w:val="00052E9C"/>
    <w:rsid w:val="0006283B"/>
    <w:rsid w:val="0007542B"/>
    <w:rsid w:val="00075E7B"/>
    <w:rsid w:val="0007684F"/>
    <w:rsid w:val="00083C15"/>
    <w:rsid w:val="000848A1"/>
    <w:rsid w:val="000868C6"/>
    <w:rsid w:val="00095C3B"/>
    <w:rsid w:val="000A0E4E"/>
    <w:rsid w:val="000A2BCF"/>
    <w:rsid w:val="000A4EB0"/>
    <w:rsid w:val="000B069A"/>
    <w:rsid w:val="000B351D"/>
    <w:rsid w:val="000B6D2A"/>
    <w:rsid w:val="000B773A"/>
    <w:rsid w:val="000C0C35"/>
    <w:rsid w:val="000C2417"/>
    <w:rsid w:val="000C310A"/>
    <w:rsid w:val="000D0A6A"/>
    <w:rsid w:val="000D528B"/>
    <w:rsid w:val="000D6381"/>
    <w:rsid w:val="000E4F7D"/>
    <w:rsid w:val="000E67CA"/>
    <w:rsid w:val="000E7B14"/>
    <w:rsid w:val="000F080E"/>
    <w:rsid w:val="000F0F7B"/>
    <w:rsid w:val="000F3D9F"/>
    <w:rsid w:val="000F53C2"/>
    <w:rsid w:val="000F566E"/>
    <w:rsid w:val="000F7D55"/>
    <w:rsid w:val="000F7F6F"/>
    <w:rsid w:val="001019C0"/>
    <w:rsid w:val="00110610"/>
    <w:rsid w:val="00121A53"/>
    <w:rsid w:val="00121A86"/>
    <w:rsid w:val="00125795"/>
    <w:rsid w:val="00125848"/>
    <w:rsid w:val="0013041A"/>
    <w:rsid w:val="001316B5"/>
    <w:rsid w:val="001368EB"/>
    <w:rsid w:val="00141274"/>
    <w:rsid w:val="0014437E"/>
    <w:rsid w:val="00145022"/>
    <w:rsid w:val="0014683D"/>
    <w:rsid w:val="00146BBA"/>
    <w:rsid w:val="00150065"/>
    <w:rsid w:val="001508D5"/>
    <w:rsid w:val="0015179B"/>
    <w:rsid w:val="00152A71"/>
    <w:rsid w:val="00160FE3"/>
    <w:rsid w:val="001611AB"/>
    <w:rsid w:val="00164A4D"/>
    <w:rsid w:val="00165D49"/>
    <w:rsid w:val="00166BB9"/>
    <w:rsid w:val="00170107"/>
    <w:rsid w:val="00170FC2"/>
    <w:rsid w:val="00176B23"/>
    <w:rsid w:val="00176F1E"/>
    <w:rsid w:val="001811B8"/>
    <w:rsid w:val="00183CEE"/>
    <w:rsid w:val="0019542E"/>
    <w:rsid w:val="001955E5"/>
    <w:rsid w:val="001A024F"/>
    <w:rsid w:val="001A0DC3"/>
    <w:rsid w:val="001A6510"/>
    <w:rsid w:val="001B3E52"/>
    <w:rsid w:val="001B57AE"/>
    <w:rsid w:val="001C125D"/>
    <w:rsid w:val="001C3659"/>
    <w:rsid w:val="001D50C7"/>
    <w:rsid w:val="001D64E3"/>
    <w:rsid w:val="001D77A8"/>
    <w:rsid w:val="001D7817"/>
    <w:rsid w:val="001E0A75"/>
    <w:rsid w:val="001E232E"/>
    <w:rsid w:val="001F187C"/>
    <w:rsid w:val="001F2FD4"/>
    <w:rsid w:val="001F32AB"/>
    <w:rsid w:val="001F5A9B"/>
    <w:rsid w:val="002041FF"/>
    <w:rsid w:val="0021180A"/>
    <w:rsid w:val="00212936"/>
    <w:rsid w:val="00216CE6"/>
    <w:rsid w:val="00230DFC"/>
    <w:rsid w:val="00240A94"/>
    <w:rsid w:val="00241C15"/>
    <w:rsid w:val="00244FBC"/>
    <w:rsid w:val="00252BD7"/>
    <w:rsid w:val="0025356A"/>
    <w:rsid w:val="002543DF"/>
    <w:rsid w:val="00262C0A"/>
    <w:rsid w:val="0026620C"/>
    <w:rsid w:val="00266915"/>
    <w:rsid w:val="00296633"/>
    <w:rsid w:val="002A4859"/>
    <w:rsid w:val="002A7919"/>
    <w:rsid w:val="002B0865"/>
    <w:rsid w:val="002B381D"/>
    <w:rsid w:val="002C1799"/>
    <w:rsid w:val="002D592D"/>
    <w:rsid w:val="002E453E"/>
    <w:rsid w:val="002E5D82"/>
    <w:rsid w:val="002E76E8"/>
    <w:rsid w:val="002E7897"/>
    <w:rsid w:val="002E7F28"/>
    <w:rsid w:val="002F2F65"/>
    <w:rsid w:val="002F6212"/>
    <w:rsid w:val="002F632C"/>
    <w:rsid w:val="00306FBF"/>
    <w:rsid w:val="00320AFE"/>
    <w:rsid w:val="00321A43"/>
    <w:rsid w:val="0032308F"/>
    <w:rsid w:val="00325A6C"/>
    <w:rsid w:val="00327DC1"/>
    <w:rsid w:val="00334926"/>
    <w:rsid w:val="00336760"/>
    <w:rsid w:val="00342826"/>
    <w:rsid w:val="003462F4"/>
    <w:rsid w:val="00347BA7"/>
    <w:rsid w:val="003533CA"/>
    <w:rsid w:val="00354394"/>
    <w:rsid w:val="0035493A"/>
    <w:rsid w:val="00360759"/>
    <w:rsid w:val="00363287"/>
    <w:rsid w:val="0037383D"/>
    <w:rsid w:val="00384772"/>
    <w:rsid w:val="00385803"/>
    <w:rsid w:val="00386FE9"/>
    <w:rsid w:val="0039063B"/>
    <w:rsid w:val="003911E4"/>
    <w:rsid w:val="00394224"/>
    <w:rsid w:val="00395E16"/>
    <w:rsid w:val="00396345"/>
    <w:rsid w:val="00397287"/>
    <w:rsid w:val="003A0DDE"/>
    <w:rsid w:val="003B0E35"/>
    <w:rsid w:val="003B1937"/>
    <w:rsid w:val="003B532F"/>
    <w:rsid w:val="003B5D97"/>
    <w:rsid w:val="003B74E4"/>
    <w:rsid w:val="003C2311"/>
    <w:rsid w:val="003D75D4"/>
    <w:rsid w:val="003E022B"/>
    <w:rsid w:val="003E2B20"/>
    <w:rsid w:val="003F6CA9"/>
    <w:rsid w:val="004008C7"/>
    <w:rsid w:val="00403823"/>
    <w:rsid w:val="00404731"/>
    <w:rsid w:val="004053D4"/>
    <w:rsid w:val="004115B6"/>
    <w:rsid w:val="00413868"/>
    <w:rsid w:val="00413F6B"/>
    <w:rsid w:val="00415126"/>
    <w:rsid w:val="00421306"/>
    <w:rsid w:val="00422BB7"/>
    <w:rsid w:val="00423CCC"/>
    <w:rsid w:val="00424D3E"/>
    <w:rsid w:val="0042557B"/>
    <w:rsid w:val="004353C2"/>
    <w:rsid w:val="00440231"/>
    <w:rsid w:val="00440F44"/>
    <w:rsid w:val="00445CDC"/>
    <w:rsid w:val="00450702"/>
    <w:rsid w:val="00450FF8"/>
    <w:rsid w:val="004533D3"/>
    <w:rsid w:val="00461C8E"/>
    <w:rsid w:val="004640D1"/>
    <w:rsid w:val="0047036B"/>
    <w:rsid w:val="00472115"/>
    <w:rsid w:val="00475C39"/>
    <w:rsid w:val="004803E5"/>
    <w:rsid w:val="00484068"/>
    <w:rsid w:val="00487F0F"/>
    <w:rsid w:val="00491146"/>
    <w:rsid w:val="004977DE"/>
    <w:rsid w:val="004A1802"/>
    <w:rsid w:val="004A2F6F"/>
    <w:rsid w:val="004A44D5"/>
    <w:rsid w:val="004A6FF4"/>
    <w:rsid w:val="004B26EB"/>
    <w:rsid w:val="004B3CEE"/>
    <w:rsid w:val="004B6187"/>
    <w:rsid w:val="004B7FFA"/>
    <w:rsid w:val="004C21BB"/>
    <w:rsid w:val="004C2EB3"/>
    <w:rsid w:val="004C3CC3"/>
    <w:rsid w:val="004D3088"/>
    <w:rsid w:val="004D3D56"/>
    <w:rsid w:val="004D652E"/>
    <w:rsid w:val="004E0CAD"/>
    <w:rsid w:val="004E1EBB"/>
    <w:rsid w:val="004E5EA3"/>
    <w:rsid w:val="004F112A"/>
    <w:rsid w:val="004F1B89"/>
    <w:rsid w:val="004F3B07"/>
    <w:rsid w:val="004F3FD4"/>
    <w:rsid w:val="004F42DC"/>
    <w:rsid w:val="004F5AF0"/>
    <w:rsid w:val="00510952"/>
    <w:rsid w:val="0051276D"/>
    <w:rsid w:val="00513199"/>
    <w:rsid w:val="005223FD"/>
    <w:rsid w:val="00525303"/>
    <w:rsid w:val="00527304"/>
    <w:rsid w:val="0053137B"/>
    <w:rsid w:val="00532BFB"/>
    <w:rsid w:val="00532D66"/>
    <w:rsid w:val="005365E0"/>
    <w:rsid w:val="00550256"/>
    <w:rsid w:val="005545F8"/>
    <w:rsid w:val="0056179B"/>
    <w:rsid w:val="00565F92"/>
    <w:rsid w:val="00571E75"/>
    <w:rsid w:val="005766E4"/>
    <w:rsid w:val="00576DD9"/>
    <w:rsid w:val="00576ED0"/>
    <w:rsid w:val="00576F0D"/>
    <w:rsid w:val="00580BDF"/>
    <w:rsid w:val="00585E54"/>
    <w:rsid w:val="00587C8F"/>
    <w:rsid w:val="00593217"/>
    <w:rsid w:val="005A2A86"/>
    <w:rsid w:val="005A4466"/>
    <w:rsid w:val="005B3729"/>
    <w:rsid w:val="005C1F41"/>
    <w:rsid w:val="005C31A0"/>
    <w:rsid w:val="005C4952"/>
    <w:rsid w:val="005C4E82"/>
    <w:rsid w:val="005C63F7"/>
    <w:rsid w:val="005C74C9"/>
    <w:rsid w:val="005D2355"/>
    <w:rsid w:val="005D2565"/>
    <w:rsid w:val="005D40B5"/>
    <w:rsid w:val="005D6CD2"/>
    <w:rsid w:val="005D6F33"/>
    <w:rsid w:val="005E11FC"/>
    <w:rsid w:val="005E16F9"/>
    <w:rsid w:val="005E28FB"/>
    <w:rsid w:val="005E6294"/>
    <w:rsid w:val="005E6D8B"/>
    <w:rsid w:val="005E7FF0"/>
    <w:rsid w:val="005F08B3"/>
    <w:rsid w:val="005F1009"/>
    <w:rsid w:val="005F21D1"/>
    <w:rsid w:val="005F5ACC"/>
    <w:rsid w:val="005F6288"/>
    <w:rsid w:val="005F69CC"/>
    <w:rsid w:val="00605E06"/>
    <w:rsid w:val="00607605"/>
    <w:rsid w:val="006104D6"/>
    <w:rsid w:val="006109E9"/>
    <w:rsid w:val="00610CFE"/>
    <w:rsid w:val="0062376D"/>
    <w:rsid w:val="006244DA"/>
    <w:rsid w:val="00632686"/>
    <w:rsid w:val="00640940"/>
    <w:rsid w:val="00640DAD"/>
    <w:rsid w:val="0064190A"/>
    <w:rsid w:val="00657625"/>
    <w:rsid w:val="00683D7C"/>
    <w:rsid w:val="006859F7"/>
    <w:rsid w:val="0069019B"/>
    <w:rsid w:val="00693363"/>
    <w:rsid w:val="006A797E"/>
    <w:rsid w:val="006B506B"/>
    <w:rsid w:val="006C38AD"/>
    <w:rsid w:val="006C6B74"/>
    <w:rsid w:val="006D4D41"/>
    <w:rsid w:val="006F050F"/>
    <w:rsid w:val="006F3537"/>
    <w:rsid w:val="006F4909"/>
    <w:rsid w:val="007162A5"/>
    <w:rsid w:val="0071762D"/>
    <w:rsid w:val="00725BC0"/>
    <w:rsid w:val="00726797"/>
    <w:rsid w:val="0073340A"/>
    <w:rsid w:val="00733700"/>
    <w:rsid w:val="00740005"/>
    <w:rsid w:val="00740DF8"/>
    <w:rsid w:val="0074459A"/>
    <w:rsid w:val="00746F36"/>
    <w:rsid w:val="0075427A"/>
    <w:rsid w:val="0076304F"/>
    <w:rsid w:val="00767D34"/>
    <w:rsid w:val="00791216"/>
    <w:rsid w:val="00792CEB"/>
    <w:rsid w:val="00793A41"/>
    <w:rsid w:val="007A3E56"/>
    <w:rsid w:val="007A5771"/>
    <w:rsid w:val="007A69C1"/>
    <w:rsid w:val="007B2559"/>
    <w:rsid w:val="007B3B54"/>
    <w:rsid w:val="007B3BE2"/>
    <w:rsid w:val="007B711A"/>
    <w:rsid w:val="007C0E8F"/>
    <w:rsid w:val="007C3F49"/>
    <w:rsid w:val="007D608A"/>
    <w:rsid w:val="007D7069"/>
    <w:rsid w:val="007E4808"/>
    <w:rsid w:val="007E68E9"/>
    <w:rsid w:val="007E6A0D"/>
    <w:rsid w:val="007F3CCA"/>
    <w:rsid w:val="007F4404"/>
    <w:rsid w:val="007F44BE"/>
    <w:rsid w:val="007F4C48"/>
    <w:rsid w:val="007F4FB8"/>
    <w:rsid w:val="00806EFF"/>
    <w:rsid w:val="00812871"/>
    <w:rsid w:val="00821537"/>
    <w:rsid w:val="00825C08"/>
    <w:rsid w:val="0083058C"/>
    <w:rsid w:val="008344FF"/>
    <w:rsid w:val="00834ACA"/>
    <w:rsid w:val="00836304"/>
    <w:rsid w:val="0083631A"/>
    <w:rsid w:val="00837490"/>
    <w:rsid w:val="00852A83"/>
    <w:rsid w:val="00853473"/>
    <w:rsid w:val="00854D3E"/>
    <w:rsid w:val="008551B5"/>
    <w:rsid w:val="00861D20"/>
    <w:rsid w:val="008644FC"/>
    <w:rsid w:val="00865E5E"/>
    <w:rsid w:val="00872E19"/>
    <w:rsid w:val="00874AAE"/>
    <w:rsid w:val="00875BF1"/>
    <w:rsid w:val="00877FD8"/>
    <w:rsid w:val="00881A97"/>
    <w:rsid w:val="00885F8A"/>
    <w:rsid w:val="00890346"/>
    <w:rsid w:val="00891979"/>
    <w:rsid w:val="00895BCF"/>
    <w:rsid w:val="00897602"/>
    <w:rsid w:val="008A2027"/>
    <w:rsid w:val="008A5088"/>
    <w:rsid w:val="008B0EEF"/>
    <w:rsid w:val="008B7312"/>
    <w:rsid w:val="008C1818"/>
    <w:rsid w:val="008C3057"/>
    <w:rsid w:val="008C38B7"/>
    <w:rsid w:val="008D5426"/>
    <w:rsid w:val="008E1721"/>
    <w:rsid w:val="008E3865"/>
    <w:rsid w:val="008F11A3"/>
    <w:rsid w:val="008F6AA7"/>
    <w:rsid w:val="00907971"/>
    <w:rsid w:val="009132E3"/>
    <w:rsid w:val="009148AC"/>
    <w:rsid w:val="00914C1D"/>
    <w:rsid w:val="00914F8D"/>
    <w:rsid w:val="0092236A"/>
    <w:rsid w:val="00927E47"/>
    <w:rsid w:val="009324CF"/>
    <w:rsid w:val="009333F1"/>
    <w:rsid w:val="0093720E"/>
    <w:rsid w:val="00940D05"/>
    <w:rsid w:val="009420C7"/>
    <w:rsid w:val="00943829"/>
    <w:rsid w:val="00946E17"/>
    <w:rsid w:val="00953888"/>
    <w:rsid w:val="00960FE0"/>
    <w:rsid w:val="00964194"/>
    <w:rsid w:val="00964F21"/>
    <w:rsid w:val="00966A2E"/>
    <w:rsid w:val="009818AF"/>
    <w:rsid w:val="0098465E"/>
    <w:rsid w:val="00985C4B"/>
    <w:rsid w:val="00986804"/>
    <w:rsid w:val="0099276C"/>
    <w:rsid w:val="00993BAE"/>
    <w:rsid w:val="0099546D"/>
    <w:rsid w:val="0099770C"/>
    <w:rsid w:val="009A12AB"/>
    <w:rsid w:val="009A2660"/>
    <w:rsid w:val="009A3853"/>
    <w:rsid w:val="009B0520"/>
    <w:rsid w:val="009B11FF"/>
    <w:rsid w:val="009B4220"/>
    <w:rsid w:val="009C09C3"/>
    <w:rsid w:val="009C4CAC"/>
    <w:rsid w:val="009C5B87"/>
    <w:rsid w:val="009D2392"/>
    <w:rsid w:val="009D23E9"/>
    <w:rsid w:val="009D2F28"/>
    <w:rsid w:val="009D327F"/>
    <w:rsid w:val="009D3731"/>
    <w:rsid w:val="009E77F2"/>
    <w:rsid w:val="009F09A5"/>
    <w:rsid w:val="00A0156A"/>
    <w:rsid w:val="00A052F0"/>
    <w:rsid w:val="00A109D4"/>
    <w:rsid w:val="00A12D70"/>
    <w:rsid w:val="00A1430A"/>
    <w:rsid w:val="00A16E4B"/>
    <w:rsid w:val="00A2215A"/>
    <w:rsid w:val="00A22D5E"/>
    <w:rsid w:val="00A25AFB"/>
    <w:rsid w:val="00A276DF"/>
    <w:rsid w:val="00A300E2"/>
    <w:rsid w:val="00A31C8A"/>
    <w:rsid w:val="00A36B6F"/>
    <w:rsid w:val="00A37A93"/>
    <w:rsid w:val="00A44995"/>
    <w:rsid w:val="00A51995"/>
    <w:rsid w:val="00A57D2F"/>
    <w:rsid w:val="00A76D9B"/>
    <w:rsid w:val="00A87317"/>
    <w:rsid w:val="00A91411"/>
    <w:rsid w:val="00A94647"/>
    <w:rsid w:val="00A96481"/>
    <w:rsid w:val="00AA2D57"/>
    <w:rsid w:val="00AB6D11"/>
    <w:rsid w:val="00AC5731"/>
    <w:rsid w:val="00AC72F0"/>
    <w:rsid w:val="00AD29E4"/>
    <w:rsid w:val="00AD3A50"/>
    <w:rsid w:val="00AD51CE"/>
    <w:rsid w:val="00AD7650"/>
    <w:rsid w:val="00AE565F"/>
    <w:rsid w:val="00AE7959"/>
    <w:rsid w:val="00AF76B9"/>
    <w:rsid w:val="00B04383"/>
    <w:rsid w:val="00B05F83"/>
    <w:rsid w:val="00B07BC7"/>
    <w:rsid w:val="00B13B6B"/>
    <w:rsid w:val="00B15CA5"/>
    <w:rsid w:val="00B16BB4"/>
    <w:rsid w:val="00B27664"/>
    <w:rsid w:val="00B31461"/>
    <w:rsid w:val="00B31649"/>
    <w:rsid w:val="00B43E2A"/>
    <w:rsid w:val="00B50E5E"/>
    <w:rsid w:val="00B53589"/>
    <w:rsid w:val="00B56101"/>
    <w:rsid w:val="00B56443"/>
    <w:rsid w:val="00B5663B"/>
    <w:rsid w:val="00B636DC"/>
    <w:rsid w:val="00B668E7"/>
    <w:rsid w:val="00B751A7"/>
    <w:rsid w:val="00B75AB6"/>
    <w:rsid w:val="00B867DD"/>
    <w:rsid w:val="00B90EA0"/>
    <w:rsid w:val="00B914D3"/>
    <w:rsid w:val="00BA0CE8"/>
    <w:rsid w:val="00BA19BE"/>
    <w:rsid w:val="00BC0B49"/>
    <w:rsid w:val="00BC63F3"/>
    <w:rsid w:val="00BE46AC"/>
    <w:rsid w:val="00BE639D"/>
    <w:rsid w:val="00BF21B3"/>
    <w:rsid w:val="00BF5C66"/>
    <w:rsid w:val="00BF6BE2"/>
    <w:rsid w:val="00BF7ADE"/>
    <w:rsid w:val="00C02F16"/>
    <w:rsid w:val="00C061E3"/>
    <w:rsid w:val="00C07208"/>
    <w:rsid w:val="00C119C2"/>
    <w:rsid w:val="00C12B1C"/>
    <w:rsid w:val="00C14967"/>
    <w:rsid w:val="00C1627A"/>
    <w:rsid w:val="00C23DBC"/>
    <w:rsid w:val="00C26E47"/>
    <w:rsid w:val="00C3083F"/>
    <w:rsid w:val="00C33404"/>
    <w:rsid w:val="00C34A8C"/>
    <w:rsid w:val="00C42CE4"/>
    <w:rsid w:val="00C502B8"/>
    <w:rsid w:val="00C57189"/>
    <w:rsid w:val="00C676E5"/>
    <w:rsid w:val="00C71638"/>
    <w:rsid w:val="00C926AD"/>
    <w:rsid w:val="00C97038"/>
    <w:rsid w:val="00CA0ADF"/>
    <w:rsid w:val="00CA143A"/>
    <w:rsid w:val="00CA1FF1"/>
    <w:rsid w:val="00CA321A"/>
    <w:rsid w:val="00CA5938"/>
    <w:rsid w:val="00CA6C7D"/>
    <w:rsid w:val="00CB7F0D"/>
    <w:rsid w:val="00CC1DF7"/>
    <w:rsid w:val="00CC28C6"/>
    <w:rsid w:val="00CC4808"/>
    <w:rsid w:val="00CC7F1C"/>
    <w:rsid w:val="00CD30AA"/>
    <w:rsid w:val="00CD56F8"/>
    <w:rsid w:val="00CD67E1"/>
    <w:rsid w:val="00CE0D2C"/>
    <w:rsid w:val="00CE1B8A"/>
    <w:rsid w:val="00CE4936"/>
    <w:rsid w:val="00CE5A65"/>
    <w:rsid w:val="00CF32F4"/>
    <w:rsid w:val="00D00B75"/>
    <w:rsid w:val="00D06F27"/>
    <w:rsid w:val="00D152AE"/>
    <w:rsid w:val="00D17563"/>
    <w:rsid w:val="00D24520"/>
    <w:rsid w:val="00D262EA"/>
    <w:rsid w:val="00D27401"/>
    <w:rsid w:val="00D40AAD"/>
    <w:rsid w:val="00D47ACC"/>
    <w:rsid w:val="00D51FE7"/>
    <w:rsid w:val="00D571B8"/>
    <w:rsid w:val="00D60807"/>
    <w:rsid w:val="00D61332"/>
    <w:rsid w:val="00D64D1F"/>
    <w:rsid w:val="00D703EA"/>
    <w:rsid w:val="00D735FF"/>
    <w:rsid w:val="00D73A3C"/>
    <w:rsid w:val="00D9098B"/>
    <w:rsid w:val="00D91BC7"/>
    <w:rsid w:val="00D9288B"/>
    <w:rsid w:val="00D953AA"/>
    <w:rsid w:val="00DA6F20"/>
    <w:rsid w:val="00DB17ED"/>
    <w:rsid w:val="00DD10A0"/>
    <w:rsid w:val="00DE0959"/>
    <w:rsid w:val="00DE1245"/>
    <w:rsid w:val="00DE3A75"/>
    <w:rsid w:val="00DE68C2"/>
    <w:rsid w:val="00DF54C2"/>
    <w:rsid w:val="00DF5787"/>
    <w:rsid w:val="00E0007A"/>
    <w:rsid w:val="00E019D5"/>
    <w:rsid w:val="00E02DF9"/>
    <w:rsid w:val="00E14981"/>
    <w:rsid w:val="00E15FD6"/>
    <w:rsid w:val="00E1630A"/>
    <w:rsid w:val="00E23208"/>
    <w:rsid w:val="00E24A15"/>
    <w:rsid w:val="00E24F4E"/>
    <w:rsid w:val="00E275CC"/>
    <w:rsid w:val="00E3023E"/>
    <w:rsid w:val="00E34B78"/>
    <w:rsid w:val="00E4660C"/>
    <w:rsid w:val="00E47019"/>
    <w:rsid w:val="00E51FE7"/>
    <w:rsid w:val="00E53AD3"/>
    <w:rsid w:val="00E7585E"/>
    <w:rsid w:val="00E7692F"/>
    <w:rsid w:val="00E8056B"/>
    <w:rsid w:val="00E94EF6"/>
    <w:rsid w:val="00EA1831"/>
    <w:rsid w:val="00EA2204"/>
    <w:rsid w:val="00EA3251"/>
    <w:rsid w:val="00EB0C47"/>
    <w:rsid w:val="00EB39FF"/>
    <w:rsid w:val="00EC7FDA"/>
    <w:rsid w:val="00ED0B80"/>
    <w:rsid w:val="00ED1DB0"/>
    <w:rsid w:val="00ED2995"/>
    <w:rsid w:val="00ED41E0"/>
    <w:rsid w:val="00EE4129"/>
    <w:rsid w:val="00F0387F"/>
    <w:rsid w:val="00F124CD"/>
    <w:rsid w:val="00F12EA4"/>
    <w:rsid w:val="00F16C2D"/>
    <w:rsid w:val="00F17E6F"/>
    <w:rsid w:val="00F17EC7"/>
    <w:rsid w:val="00F20633"/>
    <w:rsid w:val="00F21CE8"/>
    <w:rsid w:val="00F23F7C"/>
    <w:rsid w:val="00F24101"/>
    <w:rsid w:val="00F26132"/>
    <w:rsid w:val="00F33008"/>
    <w:rsid w:val="00F330FD"/>
    <w:rsid w:val="00F34EE3"/>
    <w:rsid w:val="00F51B8C"/>
    <w:rsid w:val="00F52310"/>
    <w:rsid w:val="00F568D5"/>
    <w:rsid w:val="00F637DB"/>
    <w:rsid w:val="00F66A3C"/>
    <w:rsid w:val="00F73C07"/>
    <w:rsid w:val="00F748B9"/>
    <w:rsid w:val="00F80E00"/>
    <w:rsid w:val="00F83B41"/>
    <w:rsid w:val="00F91801"/>
    <w:rsid w:val="00F91F03"/>
    <w:rsid w:val="00F95EE5"/>
    <w:rsid w:val="00F971D6"/>
    <w:rsid w:val="00FA1E1F"/>
    <w:rsid w:val="00FB0593"/>
    <w:rsid w:val="00FB3E18"/>
    <w:rsid w:val="00FB4B2F"/>
    <w:rsid w:val="00FC3859"/>
    <w:rsid w:val="00FD264C"/>
    <w:rsid w:val="00FD41DC"/>
    <w:rsid w:val="00FE690C"/>
    <w:rsid w:val="00FF4F15"/>
    <w:rsid w:val="00FF6D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99"/>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865E5E"/>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3"/>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65E5E"/>
    <w:rPr>
      <w:sz w:val="16"/>
      <w:szCs w:val="16"/>
    </w:rPr>
  </w:style>
  <w:style w:type="paragraph" w:styleId="CommentText">
    <w:name w:val="annotation text"/>
    <w:basedOn w:val="Normal"/>
    <w:link w:val="CommentTextChar"/>
    <w:uiPriority w:val="99"/>
    <w:semiHidden/>
    <w:unhideWhenUsed/>
    <w:rsid w:val="00865E5E"/>
    <w:rPr>
      <w:sz w:val="20"/>
      <w:szCs w:val="20"/>
    </w:rPr>
  </w:style>
  <w:style w:type="character" w:customStyle="1" w:styleId="CommentTextChar">
    <w:name w:val="Comment Text Char"/>
    <w:basedOn w:val="DefaultParagraphFont"/>
    <w:link w:val="CommentText"/>
    <w:uiPriority w:val="99"/>
    <w:semiHidden/>
    <w:rsid w:val="00865E5E"/>
    <w:rPr>
      <w:lang w:eastAsia="en-US"/>
    </w:rPr>
  </w:style>
  <w:style w:type="paragraph" w:styleId="CommentSubject">
    <w:name w:val="annotation subject"/>
    <w:basedOn w:val="CommentText"/>
    <w:next w:val="CommentText"/>
    <w:link w:val="CommentSubjectChar"/>
    <w:uiPriority w:val="99"/>
    <w:semiHidden/>
    <w:unhideWhenUsed/>
    <w:rsid w:val="00865E5E"/>
    <w:rPr>
      <w:b/>
      <w:bCs/>
    </w:rPr>
  </w:style>
  <w:style w:type="character" w:customStyle="1" w:styleId="CommentSubjectChar">
    <w:name w:val="Comment Subject Char"/>
    <w:basedOn w:val="CommentTextChar"/>
    <w:link w:val="CommentSubject"/>
    <w:uiPriority w:val="99"/>
    <w:semiHidden/>
    <w:rsid w:val="00865E5E"/>
    <w:rPr>
      <w:b/>
      <w:bCs/>
    </w:rPr>
  </w:style>
  <w:style w:type="character" w:styleId="FollowedHyperlink">
    <w:name w:val="FollowedHyperlink"/>
    <w:basedOn w:val="DefaultParagraphFont"/>
    <w:uiPriority w:val="99"/>
    <w:semiHidden/>
    <w:unhideWhenUsed/>
    <w:rsid w:val="005E7F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86941207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ipart.nsw.gov.au/files/Issues%20Paper%20-%20Review%20of%20access%20pricing%20on%20the%20NSW%20grain%20line%20network%20-%20May%202011%20-%20Website%20version.PDF" TargetMode="External"/><Relationship Id="rId2" Type="http://schemas.openxmlformats.org/officeDocument/2006/relationships/hyperlink" Target="http://www.alga.asn.au/policy/transport/heavyvehicles/" TargetMode="External"/><Relationship Id="rId1" Type="http://schemas.openxmlformats.org/officeDocument/2006/relationships/hyperlink" Target="http://www.ntc.gov.au/filemedia/Groups/PBSmapsportal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C002-B09F-4DC3-B2DB-2EF0AAE0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4402</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4</cp:revision>
  <cp:lastPrinted>2011-10-21T03:38:00Z</cp:lastPrinted>
  <dcterms:created xsi:type="dcterms:W3CDTF">2011-10-20T23:52:00Z</dcterms:created>
  <dcterms:modified xsi:type="dcterms:W3CDTF">2011-10-21T03:39:00Z</dcterms:modified>
</cp:coreProperties>
</file>