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A21775" w:rsidTr="000156D1">
        <w:trPr>
          <w:trHeight w:val="756"/>
        </w:trPr>
        <w:tc>
          <w:tcPr>
            <w:tcW w:w="2660" w:type="dxa"/>
            <w:vAlign w:val="center"/>
          </w:tcPr>
          <w:p w:rsidR="00D735FF" w:rsidRPr="00DC3E94" w:rsidRDefault="00D735FF" w:rsidP="00D01BB4">
            <w:pPr>
              <w:pStyle w:val="Header"/>
              <w:rPr>
                <w:rFonts w:ascii="Arial" w:hAnsi="Arial" w:cs="Arial"/>
                <w:b/>
                <w:sz w:val="28"/>
                <w:szCs w:val="28"/>
              </w:rPr>
            </w:pPr>
            <w:r w:rsidRPr="00DC3E94">
              <w:rPr>
                <w:rFonts w:ascii="Arial" w:hAnsi="Arial" w:cs="Arial"/>
                <w:b/>
                <w:sz w:val="28"/>
                <w:szCs w:val="28"/>
              </w:rPr>
              <w:t>Submission to:</w:t>
            </w:r>
          </w:p>
        </w:tc>
        <w:tc>
          <w:tcPr>
            <w:tcW w:w="6379" w:type="dxa"/>
            <w:vAlign w:val="center"/>
          </w:tcPr>
          <w:p w:rsidR="00D735FF" w:rsidRPr="00DC3E94" w:rsidRDefault="002E06F1" w:rsidP="00D01BB4">
            <w:pPr>
              <w:pStyle w:val="Header"/>
              <w:rPr>
                <w:rFonts w:ascii="Arial" w:hAnsi="Arial" w:cs="Arial"/>
                <w:sz w:val="28"/>
                <w:szCs w:val="28"/>
              </w:rPr>
            </w:pPr>
            <w:r w:rsidRPr="00DC3E94">
              <w:rPr>
                <w:rFonts w:ascii="Arial" w:hAnsi="Arial" w:cs="Arial"/>
                <w:sz w:val="28"/>
                <w:szCs w:val="28"/>
              </w:rPr>
              <w:t>N</w:t>
            </w:r>
            <w:r w:rsidR="00B42816" w:rsidRPr="00DC3E94">
              <w:rPr>
                <w:rFonts w:ascii="Arial" w:hAnsi="Arial" w:cs="Arial"/>
                <w:sz w:val="28"/>
                <w:szCs w:val="28"/>
              </w:rPr>
              <w:t xml:space="preserve">ational </w:t>
            </w:r>
            <w:r w:rsidRPr="00DC3E94">
              <w:rPr>
                <w:rFonts w:ascii="Arial" w:hAnsi="Arial" w:cs="Arial"/>
                <w:sz w:val="28"/>
                <w:szCs w:val="28"/>
              </w:rPr>
              <w:t>T</w:t>
            </w:r>
            <w:r w:rsidR="00B42816" w:rsidRPr="00DC3E94">
              <w:rPr>
                <w:rFonts w:ascii="Arial" w:hAnsi="Arial" w:cs="Arial"/>
                <w:sz w:val="28"/>
                <w:szCs w:val="28"/>
              </w:rPr>
              <w:t>ransport Commission</w:t>
            </w:r>
            <w:r w:rsidR="00B751A7" w:rsidRPr="00DC3E94">
              <w:rPr>
                <w:rFonts w:ascii="Arial" w:hAnsi="Arial" w:cs="Arial"/>
                <w:sz w:val="28"/>
                <w:szCs w:val="28"/>
              </w:rPr>
              <w:t xml:space="preserve"> </w:t>
            </w:r>
          </w:p>
        </w:tc>
      </w:tr>
      <w:tr w:rsidR="00D735FF" w:rsidRPr="00A21775" w:rsidTr="000156D1">
        <w:trPr>
          <w:trHeight w:val="756"/>
        </w:trPr>
        <w:tc>
          <w:tcPr>
            <w:tcW w:w="2660" w:type="dxa"/>
            <w:vAlign w:val="center"/>
          </w:tcPr>
          <w:p w:rsidR="00D735FF" w:rsidRPr="00DC3E94" w:rsidRDefault="00D735FF" w:rsidP="00D01BB4">
            <w:pPr>
              <w:pStyle w:val="Header"/>
              <w:rPr>
                <w:rFonts w:ascii="Arial" w:hAnsi="Arial" w:cs="Arial"/>
                <w:b/>
                <w:sz w:val="28"/>
                <w:szCs w:val="28"/>
              </w:rPr>
            </w:pPr>
            <w:r w:rsidRPr="00DC3E94">
              <w:rPr>
                <w:rFonts w:ascii="Arial" w:hAnsi="Arial" w:cs="Arial"/>
                <w:b/>
                <w:sz w:val="28"/>
                <w:szCs w:val="28"/>
              </w:rPr>
              <w:t>Title:</w:t>
            </w:r>
          </w:p>
        </w:tc>
        <w:tc>
          <w:tcPr>
            <w:tcW w:w="6379" w:type="dxa"/>
            <w:vAlign w:val="center"/>
          </w:tcPr>
          <w:p w:rsidR="00D735FF" w:rsidRPr="00DC3E94" w:rsidRDefault="002E06F1" w:rsidP="00D01BB4">
            <w:pPr>
              <w:pStyle w:val="Header"/>
              <w:rPr>
                <w:rFonts w:ascii="Arial" w:hAnsi="Arial" w:cs="Arial"/>
                <w:sz w:val="28"/>
                <w:szCs w:val="28"/>
              </w:rPr>
            </w:pPr>
            <w:r w:rsidRPr="00DC3E94">
              <w:rPr>
                <w:rFonts w:ascii="Arial" w:hAnsi="Arial" w:cs="Arial"/>
                <w:sz w:val="28"/>
                <w:szCs w:val="28"/>
              </w:rPr>
              <w:t>Exploring</w:t>
            </w:r>
            <w:r w:rsidR="00D06B58">
              <w:rPr>
                <w:rFonts w:ascii="Arial" w:hAnsi="Arial" w:cs="Arial"/>
                <w:sz w:val="28"/>
                <w:szCs w:val="28"/>
              </w:rPr>
              <w:t xml:space="preserve"> the opportunities for reform: d</w:t>
            </w:r>
            <w:r w:rsidRPr="00DC3E94">
              <w:rPr>
                <w:rFonts w:ascii="Arial" w:hAnsi="Arial" w:cs="Arial"/>
                <w:sz w:val="28"/>
                <w:szCs w:val="28"/>
              </w:rPr>
              <w:t>iscussion paper</w:t>
            </w:r>
            <w:r w:rsidR="005B595D">
              <w:rPr>
                <w:rFonts w:ascii="Arial" w:hAnsi="Arial" w:cs="Arial"/>
                <w:sz w:val="28"/>
                <w:szCs w:val="28"/>
              </w:rPr>
              <w:t xml:space="preserve">. Smart transport for a growing nation project. </w:t>
            </w:r>
          </w:p>
        </w:tc>
      </w:tr>
      <w:tr w:rsidR="00D735FF" w:rsidRPr="00A21775" w:rsidTr="000156D1">
        <w:trPr>
          <w:trHeight w:val="756"/>
        </w:trPr>
        <w:tc>
          <w:tcPr>
            <w:tcW w:w="2660" w:type="dxa"/>
            <w:vAlign w:val="center"/>
          </w:tcPr>
          <w:p w:rsidR="00D735FF" w:rsidRPr="00DC3E94" w:rsidRDefault="00D735FF" w:rsidP="00D01BB4">
            <w:pPr>
              <w:pStyle w:val="Header"/>
              <w:rPr>
                <w:rFonts w:ascii="Arial" w:hAnsi="Arial" w:cs="Arial"/>
                <w:b/>
                <w:sz w:val="28"/>
                <w:szCs w:val="28"/>
              </w:rPr>
            </w:pPr>
            <w:r w:rsidRPr="00DC3E94">
              <w:rPr>
                <w:rFonts w:ascii="Arial" w:hAnsi="Arial" w:cs="Arial"/>
                <w:b/>
                <w:sz w:val="28"/>
                <w:szCs w:val="28"/>
              </w:rPr>
              <w:t>Date:</w:t>
            </w:r>
          </w:p>
        </w:tc>
        <w:tc>
          <w:tcPr>
            <w:tcW w:w="6379" w:type="dxa"/>
            <w:vAlign w:val="center"/>
          </w:tcPr>
          <w:p w:rsidR="00D735FF" w:rsidRPr="00DC3E94" w:rsidRDefault="00D06B58" w:rsidP="00D01BB4">
            <w:pPr>
              <w:pStyle w:val="Header"/>
              <w:rPr>
                <w:rFonts w:ascii="Arial" w:hAnsi="Arial" w:cs="Arial"/>
                <w:sz w:val="28"/>
                <w:szCs w:val="28"/>
              </w:rPr>
            </w:pPr>
            <w:r>
              <w:rPr>
                <w:rFonts w:ascii="Arial" w:hAnsi="Arial" w:cs="Arial"/>
                <w:sz w:val="28"/>
                <w:szCs w:val="28"/>
              </w:rPr>
              <w:t>14</w:t>
            </w:r>
            <w:r w:rsidRPr="00D06B58">
              <w:rPr>
                <w:rFonts w:ascii="Arial" w:hAnsi="Arial" w:cs="Arial"/>
                <w:sz w:val="28"/>
                <w:szCs w:val="28"/>
                <w:vertAlign w:val="superscript"/>
              </w:rPr>
              <w:t>th</w:t>
            </w:r>
            <w:r>
              <w:rPr>
                <w:rFonts w:ascii="Arial" w:hAnsi="Arial" w:cs="Arial"/>
                <w:sz w:val="28"/>
                <w:szCs w:val="28"/>
              </w:rPr>
              <w:t xml:space="preserve"> October 2011</w:t>
            </w:r>
          </w:p>
        </w:tc>
      </w:tr>
    </w:tbl>
    <w:p w:rsidR="00D735FF" w:rsidRPr="00A21775" w:rsidRDefault="00D735FF" w:rsidP="00D01BB4">
      <w:pPr>
        <w:pStyle w:val="Header"/>
        <w:jc w:val="both"/>
        <w:rPr>
          <w:rFonts w:ascii="Arial" w:hAnsi="Arial" w:cs="Arial"/>
          <w:sz w:val="20"/>
          <w:szCs w:val="20"/>
        </w:rPr>
      </w:pPr>
    </w:p>
    <w:p w:rsidR="00D735FF" w:rsidRPr="00A21775" w:rsidRDefault="00D735FF" w:rsidP="00D01BB4">
      <w:pPr>
        <w:pStyle w:val="Header"/>
        <w:jc w:val="both"/>
        <w:rPr>
          <w:rFonts w:ascii="Arial" w:hAnsi="Arial" w:cs="Arial"/>
          <w:sz w:val="20"/>
          <w:szCs w:val="20"/>
        </w:rPr>
      </w:pPr>
    </w:p>
    <w:p w:rsidR="00576ED0" w:rsidRPr="00A21775" w:rsidRDefault="00576ED0" w:rsidP="00D01BB4">
      <w:pPr>
        <w:pStyle w:val="Header"/>
        <w:jc w:val="both"/>
        <w:rPr>
          <w:rFonts w:ascii="Arial" w:hAnsi="Arial" w:cs="Arial"/>
          <w:sz w:val="20"/>
          <w:szCs w:val="20"/>
        </w:rPr>
      </w:pPr>
    </w:p>
    <w:p w:rsidR="00576ED0" w:rsidRPr="00A21775" w:rsidRDefault="00576ED0" w:rsidP="00D01BB4">
      <w:pPr>
        <w:jc w:val="both"/>
        <w:rPr>
          <w:rFonts w:ascii="Arial" w:hAnsi="Arial" w:cs="Arial"/>
          <w:sz w:val="20"/>
          <w:szCs w:val="20"/>
          <w:lang w:val="en-GB"/>
        </w:rPr>
        <w:sectPr w:rsidR="00576ED0" w:rsidRPr="00A21775"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A21775" w:rsidRDefault="00576ED0" w:rsidP="00D01BB4">
      <w:pPr>
        <w:jc w:val="both"/>
        <w:rPr>
          <w:rFonts w:ascii="Arial" w:hAnsi="Arial" w:cs="Arial"/>
          <w:sz w:val="20"/>
          <w:szCs w:val="20"/>
        </w:rPr>
      </w:pPr>
    </w:p>
    <w:p w:rsidR="0035493A" w:rsidRPr="00A21775" w:rsidRDefault="0035493A" w:rsidP="00D01BB4">
      <w:pPr>
        <w:jc w:val="both"/>
        <w:rPr>
          <w:rFonts w:ascii="Arial" w:hAnsi="Arial" w:cs="Arial"/>
          <w:sz w:val="20"/>
          <w:szCs w:val="20"/>
        </w:rPr>
      </w:pPr>
    </w:p>
    <w:p w:rsidR="0035493A" w:rsidRPr="00A21775" w:rsidRDefault="0035493A" w:rsidP="00D01BB4">
      <w:pPr>
        <w:jc w:val="both"/>
        <w:rPr>
          <w:rFonts w:ascii="Arial" w:hAnsi="Arial" w:cs="Arial"/>
          <w:sz w:val="20"/>
          <w:szCs w:val="20"/>
        </w:rPr>
      </w:pPr>
    </w:p>
    <w:p w:rsidR="0035493A" w:rsidRPr="00A21775" w:rsidRDefault="0035493A" w:rsidP="00D01BB4">
      <w:pPr>
        <w:jc w:val="both"/>
        <w:rPr>
          <w:rFonts w:ascii="Arial" w:hAnsi="Arial" w:cs="Arial"/>
          <w:sz w:val="20"/>
          <w:szCs w:val="20"/>
        </w:rPr>
      </w:pPr>
    </w:p>
    <w:p w:rsidR="0035493A" w:rsidRPr="00A21775" w:rsidRDefault="0035493A" w:rsidP="00D01BB4">
      <w:pPr>
        <w:jc w:val="both"/>
        <w:rPr>
          <w:rFonts w:ascii="Arial" w:hAnsi="Arial" w:cs="Arial"/>
          <w:sz w:val="20"/>
          <w:szCs w:val="20"/>
        </w:rPr>
      </w:pPr>
    </w:p>
    <w:p w:rsidR="0035493A" w:rsidRPr="00972601" w:rsidRDefault="003B74E4" w:rsidP="00D01BB4">
      <w:pPr>
        <w:jc w:val="both"/>
        <w:rPr>
          <w:rFonts w:ascii="Arial" w:hAnsi="Arial" w:cs="Arial"/>
          <w:b/>
          <w:color w:val="000064"/>
          <w:sz w:val="28"/>
          <w:szCs w:val="28"/>
        </w:rPr>
      </w:pPr>
      <w:r w:rsidRPr="00972601">
        <w:rPr>
          <w:rFonts w:ascii="Arial" w:hAnsi="Arial" w:cs="Arial"/>
          <w:b/>
          <w:color w:val="000064"/>
          <w:sz w:val="28"/>
          <w:szCs w:val="28"/>
        </w:rPr>
        <w:t>Contents</w:t>
      </w:r>
    </w:p>
    <w:p w:rsidR="00576ED0" w:rsidRPr="00A21775" w:rsidRDefault="00576ED0" w:rsidP="00D01BB4">
      <w:pPr>
        <w:jc w:val="both"/>
        <w:rPr>
          <w:rFonts w:ascii="Arial" w:hAnsi="Arial" w:cs="Arial"/>
          <w:sz w:val="20"/>
          <w:szCs w:val="20"/>
        </w:rPr>
      </w:pPr>
    </w:p>
    <w:p w:rsidR="009B0520" w:rsidRPr="00915339" w:rsidRDefault="009B0520" w:rsidP="00D01BB4">
      <w:pPr>
        <w:jc w:val="both"/>
        <w:rPr>
          <w:rFonts w:ascii="Arial" w:hAnsi="Arial" w:cs="Arial"/>
          <w:sz w:val="24"/>
          <w:szCs w:val="24"/>
        </w:rPr>
      </w:pPr>
    </w:p>
    <w:p w:rsidR="00D01BB4" w:rsidRPr="00D01BB4" w:rsidRDefault="00E52BA2">
      <w:pPr>
        <w:pStyle w:val="TOC1"/>
        <w:tabs>
          <w:tab w:val="left" w:pos="442"/>
        </w:tabs>
        <w:rPr>
          <w:rFonts w:asciiTheme="minorHAnsi" w:eastAsiaTheme="minorEastAsia" w:hAnsiTheme="minorHAnsi" w:cstheme="minorBidi"/>
          <w:b w:val="0"/>
          <w:sz w:val="24"/>
          <w:szCs w:val="24"/>
          <w:lang w:eastAsia="en-AU"/>
        </w:rPr>
      </w:pPr>
      <w:r w:rsidRPr="00E52BA2">
        <w:rPr>
          <w:sz w:val="24"/>
          <w:szCs w:val="24"/>
        </w:rPr>
        <w:fldChar w:fldCharType="begin"/>
      </w:r>
      <w:r w:rsidR="0035493A" w:rsidRPr="00D01BB4">
        <w:rPr>
          <w:sz w:val="24"/>
          <w:szCs w:val="24"/>
        </w:rPr>
        <w:instrText xml:space="preserve"> TOC \o "1-2" \t "ATA Heading 2,2" </w:instrText>
      </w:r>
      <w:r w:rsidRPr="00E52BA2">
        <w:rPr>
          <w:sz w:val="24"/>
          <w:szCs w:val="24"/>
        </w:rPr>
        <w:fldChar w:fldCharType="separate"/>
      </w:r>
      <w:r w:rsidR="00D01BB4" w:rsidRPr="00D01BB4">
        <w:rPr>
          <w:rFonts w:cs="Times New Roman"/>
          <w:sz w:val="24"/>
          <w:szCs w:val="24"/>
        </w:rPr>
        <w:t>1.</w:t>
      </w:r>
      <w:r w:rsidR="00D01BB4" w:rsidRPr="00D01BB4">
        <w:rPr>
          <w:rFonts w:asciiTheme="minorHAnsi" w:eastAsiaTheme="minorEastAsia" w:hAnsiTheme="minorHAnsi" w:cstheme="minorBidi"/>
          <w:b w:val="0"/>
          <w:sz w:val="24"/>
          <w:szCs w:val="24"/>
          <w:lang w:eastAsia="en-AU"/>
        </w:rPr>
        <w:tab/>
      </w:r>
      <w:r w:rsidR="00D01BB4" w:rsidRPr="00D01BB4">
        <w:rPr>
          <w:sz w:val="24"/>
          <w:szCs w:val="24"/>
        </w:rPr>
        <w:t>Introduction</w:t>
      </w:r>
      <w:r w:rsidR="00D01BB4" w:rsidRPr="00D01BB4">
        <w:rPr>
          <w:sz w:val="24"/>
          <w:szCs w:val="24"/>
        </w:rPr>
        <w:tab/>
      </w:r>
      <w:r w:rsidRPr="00D01BB4">
        <w:rPr>
          <w:sz w:val="24"/>
          <w:szCs w:val="24"/>
        </w:rPr>
        <w:fldChar w:fldCharType="begin"/>
      </w:r>
      <w:r w:rsidR="00D01BB4" w:rsidRPr="00D01BB4">
        <w:rPr>
          <w:sz w:val="24"/>
          <w:szCs w:val="24"/>
        </w:rPr>
        <w:instrText xml:space="preserve"> PAGEREF _Toc306363307 \h </w:instrText>
      </w:r>
      <w:r w:rsidRPr="00D01BB4">
        <w:rPr>
          <w:sz w:val="24"/>
          <w:szCs w:val="24"/>
        </w:rPr>
      </w:r>
      <w:r w:rsidRPr="00D01BB4">
        <w:rPr>
          <w:sz w:val="24"/>
          <w:szCs w:val="24"/>
        </w:rPr>
        <w:fldChar w:fldCharType="separate"/>
      </w:r>
      <w:r w:rsidR="00F522D4">
        <w:rPr>
          <w:sz w:val="24"/>
          <w:szCs w:val="24"/>
        </w:rPr>
        <w:t>3</w:t>
      </w:r>
      <w:r w:rsidRPr="00D01BB4">
        <w:rPr>
          <w:sz w:val="24"/>
          <w:szCs w:val="24"/>
        </w:rPr>
        <w:fldChar w:fldCharType="end"/>
      </w:r>
    </w:p>
    <w:p w:rsidR="00D01BB4" w:rsidRPr="00D01BB4" w:rsidRDefault="00D01BB4">
      <w:pPr>
        <w:pStyle w:val="TOC1"/>
        <w:tabs>
          <w:tab w:val="left" w:pos="442"/>
        </w:tabs>
        <w:rPr>
          <w:rFonts w:asciiTheme="minorHAnsi" w:eastAsiaTheme="minorEastAsia" w:hAnsiTheme="minorHAnsi" w:cstheme="minorBidi"/>
          <w:b w:val="0"/>
          <w:sz w:val="24"/>
          <w:szCs w:val="24"/>
          <w:lang w:eastAsia="en-AU"/>
        </w:rPr>
      </w:pPr>
      <w:r w:rsidRPr="00D01BB4">
        <w:rPr>
          <w:rFonts w:cs="Times New Roman"/>
          <w:sz w:val="24"/>
          <w:szCs w:val="24"/>
        </w:rPr>
        <w:t>2.</w:t>
      </w:r>
      <w:r w:rsidRPr="00D01BB4">
        <w:rPr>
          <w:rFonts w:asciiTheme="minorHAnsi" w:eastAsiaTheme="minorEastAsia" w:hAnsiTheme="minorHAnsi" w:cstheme="minorBidi"/>
          <w:b w:val="0"/>
          <w:sz w:val="24"/>
          <w:szCs w:val="24"/>
          <w:lang w:eastAsia="en-AU"/>
        </w:rPr>
        <w:tab/>
      </w:r>
      <w:r w:rsidR="00727AF2" w:rsidRPr="00727AF2">
        <w:rPr>
          <w:rFonts w:eastAsiaTheme="minorEastAsia"/>
          <w:sz w:val="24"/>
          <w:szCs w:val="24"/>
          <w:lang w:eastAsia="en-AU"/>
        </w:rPr>
        <w:t>The</w:t>
      </w:r>
      <w:r w:rsidR="00727AF2" w:rsidRPr="00727AF2">
        <w:rPr>
          <w:rFonts w:asciiTheme="minorHAnsi" w:eastAsiaTheme="minorEastAsia" w:hAnsiTheme="minorHAnsi" w:cstheme="minorBidi"/>
          <w:sz w:val="24"/>
          <w:szCs w:val="24"/>
          <w:lang w:eastAsia="en-AU"/>
        </w:rPr>
        <w:t xml:space="preserve"> </w:t>
      </w:r>
      <w:r w:rsidRPr="00D01BB4">
        <w:rPr>
          <w:sz w:val="24"/>
          <w:szCs w:val="24"/>
        </w:rPr>
        <w:t>Australian Trucking Association</w:t>
      </w:r>
      <w:r w:rsidRPr="00D01BB4">
        <w:rPr>
          <w:sz w:val="24"/>
          <w:szCs w:val="24"/>
        </w:rPr>
        <w:tab/>
      </w:r>
      <w:r w:rsidR="00E52BA2" w:rsidRPr="00D01BB4">
        <w:rPr>
          <w:sz w:val="24"/>
          <w:szCs w:val="24"/>
        </w:rPr>
        <w:fldChar w:fldCharType="begin"/>
      </w:r>
      <w:r w:rsidRPr="00D01BB4">
        <w:rPr>
          <w:sz w:val="24"/>
          <w:szCs w:val="24"/>
        </w:rPr>
        <w:instrText xml:space="preserve"> PAGEREF _Toc306363308 \h </w:instrText>
      </w:r>
      <w:r w:rsidR="00E52BA2" w:rsidRPr="00D01BB4">
        <w:rPr>
          <w:sz w:val="24"/>
          <w:szCs w:val="24"/>
        </w:rPr>
      </w:r>
      <w:r w:rsidR="00E52BA2" w:rsidRPr="00D01BB4">
        <w:rPr>
          <w:sz w:val="24"/>
          <w:szCs w:val="24"/>
        </w:rPr>
        <w:fldChar w:fldCharType="separate"/>
      </w:r>
      <w:r w:rsidR="00F522D4">
        <w:rPr>
          <w:sz w:val="24"/>
          <w:szCs w:val="24"/>
        </w:rPr>
        <w:t>3</w:t>
      </w:r>
      <w:r w:rsidR="00E52BA2" w:rsidRPr="00D01BB4">
        <w:rPr>
          <w:sz w:val="24"/>
          <w:szCs w:val="24"/>
        </w:rPr>
        <w:fldChar w:fldCharType="end"/>
      </w:r>
    </w:p>
    <w:p w:rsidR="00D01BB4" w:rsidRPr="00D01BB4" w:rsidRDefault="00D01BB4">
      <w:pPr>
        <w:pStyle w:val="TOC1"/>
        <w:tabs>
          <w:tab w:val="left" w:pos="442"/>
        </w:tabs>
        <w:rPr>
          <w:rFonts w:asciiTheme="minorHAnsi" w:eastAsiaTheme="minorEastAsia" w:hAnsiTheme="minorHAnsi" w:cstheme="minorBidi"/>
          <w:b w:val="0"/>
          <w:sz w:val="24"/>
          <w:szCs w:val="24"/>
          <w:lang w:eastAsia="en-AU"/>
        </w:rPr>
      </w:pPr>
      <w:r w:rsidRPr="00D01BB4">
        <w:rPr>
          <w:rFonts w:cs="Times New Roman"/>
          <w:sz w:val="24"/>
          <w:szCs w:val="24"/>
        </w:rPr>
        <w:t>3.</w:t>
      </w:r>
      <w:r w:rsidRPr="00D01BB4">
        <w:rPr>
          <w:rFonts w:asciiTheme="minorHAnsi" w:eastAsiaTheme="minorEastAsia" w:hAnsiTheme="minorHAnsi" w:cstheme="minorBidi"/>
          <w:b w:val="0"/>
          <w:sz w:val="24"/>
          <w:szCs w:val="24"/>
          <w:lang w:eastAsia="en-AU"/>
        </w:rPr>
        <w:tab/>
      </w:r>
      <w:r w:rsidRPr="00D01BB4">
        <w:rPr>
          <w:sz w:val="24"/>
          <w:szCs w:val="24"/>
        </w:rPr>
        <w:t>Recommendations</w:t>
      </w:r>
      <w:r w:rsidRPr="00D01BB4">
        <w:rPr>
          <w:sz w:val="24"/>
          <w:szCs w:val="24"/>
        </w:rPr>
        <w:tab/>
      </w:r>
      <w:r w:rsidR="00E52BA2" w:rsidRPr="00D01BB4">
        <w:rPr>
          <w:sz w:val="24"/>
          <w:szCs w:val="24"/>
        </w:rPr>
        <w:fldChar w:fldCharType="begin"/>
      </w:r>
      <w:r w:rsidRPr="00D01BB4">
        <w:rPr>
          <w:sz w:val="24"/>
          <w:szCs w:val="24"/>
        </w:rPr>
        <w:instrText xml:space="preserve"> PAGEREF _Toc306363309 \h </w:instrText>
      </w:r>
      <w:r w:rsidR="00E52BA2" w:rsidRPr="00D01BB4">
        <w:rPr>
          <w:sz w:val="24"/>
          <w:szCs w:val="24"/>
        </w:rPr>
      </w:r>
      <w:r w:rsidR="00E52BA2" w:rsidRPr="00D01BB4">
        <w:rPr>
          <w:sz w:val="24"/>
          <w:szCs w:val="24"/>
        </w:rPr>
        <w:fldChar w:fldCharType="separate"/>
      </w:r>
      <w:r w:rsidR="00F522D4">
        <w:rPr>
          <w:sz w:val="24"/>
          <w:szCs w:val="24"/>
        </w:rPr>
        <w:t>3</w:t>
      </w:r>
      <w:r w:rsidR="00E52BA2" w:rsidRPr="00D01BB4">
        <w:rPr>
          <w:sz w:val="24"/>
          <w:szCs w:val="24"/>
        </w:rPr>
        <w:fldChar w:fldCharType="end"/>
      </w:r>
    </w:p>
    <w:p w:rsidR="00D01BB4" w:rsidRDefault="00D01BB4">
      <w:pPr>
        <w:pStyle w:val="TOC1"/>
        <w:tabs>
          <w:tab w:val="left" w:pos="442"/>
        </w:tabs>
        <w:rPr>
          <w:sz w:val="24"/>
          <w:szCs w:val="24"/>
        </w:rPr>
      </w:pPr>
      <w:r w:rsidRPr="00D01BB4">
        <w:rPr>
          <w:rFonts w:cs="Times New Roman"/>
          <w:sz w:val="24"/>
          <w:szCs w:val="24"/>
        </w:rPr>
        <w:t>4.</w:t>
      </w:r>
      <w:r w:rsidRPr="00D01BB4">
        <w:rPr>
          <w:rFonts w:asciiTheme="minorHAnsi" w:eastAsiaTheme="minorEastAsia" w:hAnsiTheme="minorHAnsi" w:cstheme="minorBidi"/>
          <w:b w:val="0"/>
          <w:sz w:val="24"/>
          <w:szCs w:val="24"/>
          <w:lang w:eastAsia="en-AU"/>
        </w:rPr>
        <w:tab/>
      </w:r>
      <w:r w:rsidRPr="00D01BB4">
        <w:rPr>
          <w:sz w:val="24"/>
          <w:szCs w:val="24"/>
        </w:rPr>
        <w:t>Objectives of the NTC’s future plan</w:t>
      </w:r>
      <w:r w:rsidRPr="00D01BB4">
        <w:rPr>
          <w:sz w:val="24"/>
          <w:szCs w:val="24"/>
        </w:rPr>
        <w:tab/>
      </w:r>
      <w:r w:rsidR="00E52BA2" w:rsidRPr="00D01BB4">
        <w:rPr>
          <w:sz w:val="24"/>
          <w:szCs w:val="24"/>
        </w:rPr>
        <w:fldChar w:fldCharType="begin"/>
      </w:r>
      <w:r w:rsidRPr="00D01BB4">
        <w:rPr>
          <w:sz w:val="24"/>
          <w:szCs w:val="24"/>
        </w:rPr>
        <w:instrText xml:space="preserve"> PAGEREF _Toc306363310 \h </w:instrText>
      </w:r>
      <w:r w:rsidR="00E52BA2" w:rsidRPr="00D01BB4">
        <w:rPr>
          <w:sz w:val="24"/>
          <w:szCs w:val="24"/>
        </w:rPr>
      </w:r>
      <w:r w:rsidR="00E52BA2" w:rsidRPr="00D01BB4">
        <w:rPr>
          <w:sz w:val="24"/>
          <w:szCs w:val="24"/>
        </w:rPr>
        <w:fldChar w:fldCharType="separate"/>
      </w:r>
      <w:r w:rsidR="00F522D4">
        <w:rPr>
          <w:sz w:val="24"/>
          <w:szCs w:val="24"/>
        </w:rPr>
        <w:t>4</w:t>
      </w:r>
      <w:r w:rsidR="00E52BA2" w:rsidRPr="00D01BB4">
        <w:rPr>
          <w:sz w:val="24"/>
          <w:szCs w:val="24"/>
        </w:rPr>
        <w:fldChar w:fldCharType="end"/>
      </w:r>
    </w:p>
    <w:p w:rsidR="00D01BB4" w:rsidRPr="00D01BB4" w:rsidRDefault="00D01BB4" w:rsidP="00D01BB4"/>
    <w:p w:rsidR="00D01BB4" w:rsidRPr="00D01BB4" w:rsidRDefault="00D01BB4">
      <w:pPr>
        <w:pStyle w:val="TOC2"/>
        <w:tabs>
          <w:tab w:val="left" w:pos="880"/>
        </w:tabs>
        <w:rPr>
          <w:rFonts w:asciiTheme="minorHAnsi" w:eastAsiaTheme="minorEastAsia" w:hAnsiTheme="minorHAnsi" w:cstheme="minorBidi"/>
          <w:noProof/>
          <w:sz w:val="24"/>
          <w:szCs w:val="24"/>
          <w:lang w:eastAsia="en-AU"/>
        </w:rPr>
      </w:pPr>
      <w:r w:rsidRPr="00D01BB4">
        <w:rPr>
          <w:noProof/>
          <w:sz w:val="24"/>
          <w:szCs w:val="24"/>
        </w:rPr>
        <w:t>4.1.</w:t>
      </w:r>
      <w:r w:rsidRPr="00D01BB4">
        <w:rPr>
          <w:rFonts w:asciiTheme="minorHAnsi" w:eastAsiaTheme="minorEastAsia" w:hAnsiTheme="minorHAnsi" w:cstheme="minorBidi"/>
          <w:noProof/>
          <w:sz w:val="24"/>
          <w:szCs w:val="24"/>
          <w:lang w:eastAsia="en-AU"/>
        </w:rPr>
        <w:tab/>
      </w:r>
      <w:r w:rsidRPr="00D01BB4">
        <w:rPr>
          <w:noProof/>
          <w:sz w:val="24"/>
          <w:szCs w:val="24"/>
        </w:rPr>
        <w:t>Productivity</w:t>
      </w:r>
      <w:r w:rsidRPr="00D01BB4">
        <w:rPr>
          <w:noProof/>
          <w:sz w:val="24"/>
          <w:szCs w:val="24"/>
        </w:rPr>
        <w:tab/>
      </w:r>
      <w:r w:rsidR="00E52BA2" w:rsidRPr="00D01BB4">
        <w:rPr>
          <w:noProof/>
          <w:sz w:val="24"/>
          <w:szCs w:val="24"/>
        </w:rPr>
        <w:fldChar w:fldCharType="begin"/>
      </w:r>
      <w:r w:rsidRPr="00D01BB4">
        <w:rPr>
          <w:noProof/>
          <w:sz w:val="24"/>
          <w:szCs w:val="24"/>
        </w:rPr>
        <w:instrText xml:space="preserve"> PAGEREF _Toc306363311 \h </w:instrText>
      </w:r>
      <w:r w:rsidR="00E52BA2" w:rsidRPr="00D01BB4">
        <w:rPr>
          <w:noProof/>
          <w:sz w:val="24"/>
          <w:szCs w:val="24"/>
        </w:rPr>
      </w:r>
      <w:r w:rsidR="00E52BA2" w:rsidRPr="00D01BB4">
        <w:rPr>
          <w:noProof/>
          <w:sz w:val="24"/>
          <w:szCs w:val="24"/>
        </w:rPr>
        <w:fldChar w:fldCharType="separate"/>
      </w:r>
      <w:r w:rsidR="00F522D4">
        <w:rPr>
          <w:noProof/>
          <w:sz w:val="24"/>
          <w:szCs w:val="24"/>
        </w:rPr>
        <w:t>5</w:t>
      </w:r>
      <w:r w:rsidR="00E52BA2" w:rsidRPr="00D01BB4">
        <w:rPr>
          <w:noProof/>
          <w:sz w:val="24"/>
          <w:szCs w:val="24"/>
        </w:rPr>
        <w:fldChar w:fldCharType="end"/>
      </w:r>
    </w:p>
    <w:p w:rsidR="00D01BB4" w:rsidRPr="00D01BB4" w:rsidRDefault="00D01BB4">
      <w:pPr>
        <w:pStyle w:val="TOC2"/>
        <w:tabs>
          <w:tab w:val="left" w:pos="880"/>
        </w:tabs>
        <w:rPr>
          <w:rFonts w:asciiTheme="minorHAnsi" w:eastAsiaTheme="minorEastAsia" w:hAnsiTheme="minorHAnsi" w:cstheme="minorBidi"/>
          <w:noProof/>
          <w:sz w:val="24"/>
          <w:szCs w:val="24"/>
          <w:lang w:eastAsia="en-AU"/>
        </w:rPr>
      </w:pPr>
      <w:r w:rsidRPr="00D01BB4">
        <w:rPr>
          <w:noProof/>
          <w:sz w:val="24"/>
          <w:szCs w:val="24"/>
        </w:rPr>
        <w:t>4.2.</w:t>
      </w:r>
      <w:r w:rsidRPr="00D01BB4">
        <w:rPr>
          <w:rFonts w:asciiTheme="minorHAnsi" w:eastAsiaTheme="minorEastAsia" w:hAnsiTheme="minorHAnsi" w:cstheme="minorBidi"/>
          <w:noProof/>
          <w:sz w:val="24"/>
          <w:szCs w:val="24"/>
          <w:lang w:eastAsia="en-AU"/>
        </w:rPr>
        <w:tab/>
      </w:r>
      <w:r w:rsidRPr="00D01BB4">
        <w:rPr>
          <w:noProof/>
          <w:sz w:val="24"/>
          <w:szCs w:val="24"/>
        </w:rPr>
        <w:t>Funding and planning</w:t>
      </w:r>
      <w:r w:rsidRPr="00D01BB4">
        <w:rPr>
          <w:noProof/>
          <w:sz w:val="24"/>
          <w:szCs w:val="24"/>
        </w:rPr>
        <w:tab/>
      </w:r>
      <w:r w:rsidR="00E52BA2" w:rsidRPr="00D01BB4">
        <w:rPr>
          <w:noProof/>
          <w:sz w:val="24"/>
          <w:szCs w:val="24"/>
        </w:rPr>
        <w:fldChar w:fldCharType="begin"/>
      </w:r>
      <w:r w:rsidRPr="00D01BB4">
        <w:rPr>
          <w:noProof/>
          <w:sz w:val="24"/>
          <w:szCs w:val="24"/>
        </w:rPr>
        <w:instrText xml:space="preserve"> PAGEREF _Toc306363312 \h </w:instrText>
      </w:r>
      <w:r w:rsidR="00E52BA2" w:rsidRPr="00D01BB4">
        <w:rPr>
          <w:noProof/>
          <w:sz w:val="24"/>
          <w:szCs w:val="24"/>
        </w:rPr>
      </w:r>
      <w:r w:rsidR="00E52BA2" w:rsidRPr="00D01BB4">
        <w:rPr>
          <w:noProof/>
          <w:sz w:val="24"/>
          <w:szCs w:val="24"/>
        </w:rPr>
        <w:fldChar w:fldCharType="separate"/>
      </w:r>
      <w:r w:rsidR="00F522D4">
        <w:rPr>
          <w:noProof/>
          <w:sz w:val="24"/>
          <w:szCs w:val="24"/>
        </w:rPr>
        <w:t>7</w:t>
      </w:r>
      <w:r w:rsidR="00E52BA2" w:rsidRPr="00D01BB4">
        <w:rPr>
          <w:noProof/>
          <w:sz w:val="24"/>
          <w:szCs w:val="24"/>
        </w:rPr>
        <w:fldChar w:fldCharType="end"/>
      </w:r>
    </w:p>
    <w:p w:rsidR="00D01BB4" w:rsidRPr="00D01BB4" w:rsidRDefault="00D01BB4">
      <w:pPr>
        <w:pStyle w:val="TOC2"/>
        <w:tabs>
          <w:tab w:val="left" w:pos="880"/>
        </w:tabs>
        <w:rPr>
          <w:rFonts w:asciiTheme="minorHAnsi" w:eastAsiaTheme="minorEastAsia" w:hAnsiTheme="minorHAnsi" w:cstheme="minorBidi"/>
          <w:noProof/>
          <w:sz w:val="24"/>
          <w:szCs w:val="24"/>
          <w:lang w:eastAsia="en-AU"/>
        </w:rPr>
      </w:pPr>
      <w:r w:rsidRPr="00D01BB4">
        <w:rPr>
          <w:noProof/>
          <w:sz w:val="24"/>
          <w:szCs w:val="24"/>
        </w:rPr>
        <w:t>4.3.</w:t>
      </w:r>
      <w:r w:rsidRPr="00D01BB4">
        <w:rPr>
          <w:rFonts w:asciiTheme="minorHAnsi" w:eastAsiaTheme="minorEastAsia" w:hAnsiTheme="minorHAnsi" w:cstheme="minorBidi"/>
          <w:noProof/>
          <w:sz w:val="24"/>
          <w:szCs w:val="24"/>
          <w:lang w:eastAsia="en-AU"/>
        </w:rPr>
        <w:tab/>
      </w:r>
      <w:r w:rsidRPr="00D01BB4">
        <w:rPr>
          <w:noProof/>
          <w:sz w:val="24"/>
          <w:szCs w:val="24"/>
        </w:rPr>
        <w:t>Regulation</w:t>
      </w:r>
      <w:r w:rsidRPr="00D01BB4">
        <w:rPr>
          <w:noProof/>
          <w:sz w:val="24"/>
          <w:szCs w:val="24"/>
        </w:rPr>
        <w:tab/>
      </w:r>
      <w:r w:rsidR="00E52BA2" w:rsidRPr="00D01BB4">
        <w:rPr>
          <w:noProof/>
          <w:sz w:val="24"/>
          <w:szCs w:val="24"/>
        </w:rPr>
        <w:fldChar w:fldCharType="begin"/>
      </w:r>
      <w:r w:rsidRPr="00D01BB4">
        <w:rPr>
          <w:noProof/>
          <w:sz w:val="24"/>
          <w:szCs w:val="24"/>
        </w:rPr>
        <w:instrText xml:space="preserve"> PAGEREF _Toc306363313 \h </w:instrText>
      </w:r>
      <w:r w:rsidR="00E52BA2" w:rsidRPr="00D01BB4">
        <w:rPr>
          <w:noProof/>
          <w:sz w:val="24"/>
          <w:szCs w:val="24"/>
        </w:rPr>
      </w:r>
      <w:r w:rsidR="00E52BA2" w:rsidRPr="00D01BB4">
        <w:rPr>
          <w:noProof/>
          <w:sz w:val="24"/>
          <w:szCs w:val="24"/>
        </w:rPr>
        <w:fldChar w:fldCharType="separate"/>
      </w:r>
      <w:r w:rsidR="00F522D4">
        <w:rPr>
          <w:noProof/>
          <w:sz w:val="24"/>
          <w:szCs w:val="24"/>
        </w:rPr>
        <w:t>8</w:t>
      </w:r>
      <w:r w:rsidR="00E52BA2" w:rsidRPr="00D01BB4">
        <w:rPr>
          <w:noProof/>
          <w:sz w:val="24"/>
          <w:szCs w:val="24"/>
        </w:rPr>
        <w:fldChar w:fldCharType="end"/>
      </w:r>
    </w:p>
    <w:p w:rsidR="00D01BB4" w:rsidRPr="00D01BB4" w:rsidRDefault="00D01BB4">
      <w:pPr>
        <w:pStyle w:val="TOC2"/>
        <w:tabs>
          <w:tab w:val="left" w:pos="880"/>
        </w:tabs>
        <w:rPr>
          <w:rFonts w:asciiTheme="minorHAnsi" w:eastAsiaTheme="minorEastAsia" w:hAnsiTheme="minorHAnsi" w:cstheme="minorBidi"/>
          <w:noProof/>
          <w:sz w:val="24"/>
          <w:szCs w:val="24"/>
          <w:lang w:eastAsia="en-AU"/>
        </w:rPr>
      </w:pPr>
      <w:r w:rsidRPr="00D01BB4">
        <w:rPr>
          <w:noProof/>
          <w:sz w:val="24"/>
          <w:szCs w:val="24"/>
        </w:rPr>
        <w:t>4.4.</w:t>
      </w:r>
      <w:r w:rsidRPr="00D01BB4">
        <w:rPr>
          <w:rFonts w:asciiTheme="minorHAnsi" w:eastAsiaTheme="minorEastAsia" w:hAnsiTheme="minorHAnsi" w:cstheme="minorBidi"/>
          <w:noProof/>
          <w:sz w:val="24"/>
          <w:szCs w:val="24"/>
          <w:lang w:eastAsia="en-AU"/>
        </w:rPr>
        <w:tab/>
      </w:r>
      <w:r w:rsidRPr="00D01BB4">
        <w:rPr>
          <w:noProof/>
          <w:sz w:val="24"/>
          <w:szCs w:val="24"/>
        </w:rPr>
        <w:t>Technology</w:t>
      </w:r>
      <w:r w:rsidRPr="00D01BB4">
        <w:rPr>
          <w:noProof/>
          <w:sz w:val="24"/>
          <w:szCs w:val="24"/>
        </w:rPr>
        <w:tab/>
      </w:r>
      <w:r w:rsidR="00E52BA2" w:rsidRPr="00D01BB4">
        <w:rPr>
          <w:noProof/>
          <w:sz w:val="24"/>
          <w:szCs w:val="24"/>
        </w:rPr>
        <w:fldChar w:fldCharType="begin"/>
      </w:r>
      <w:r w:rsidRPr="00D01BB4">
        <w:rPr>
          <w:noProof/>
          <w:sz w:val="24"/>
          <w:szCs w:val="24"/>
        </w:rPr>
        <w:instrText xml:space="preserve"> PAGEREF _Toc306363314 \h </w:instrText>
      </w:r>
      <w:r w:rsidR="00E52BA2" w:rsidRPr="00D01BB4">
        <w:rPr>
          <w:noProof/>
          <w:sz w:val="24"/>
          <w:szCs w:val="24"/>
        </w:rPr>
      </w:r>
      <w:r w:rsidR="00E52BA2" w:rsidRPr="00D01BB4">
        <w:rPr>
          <w:noProof/>
          <w:sz w:val="24"/>
          <w:szCs w:val="24"/>
        </w:rPr>
        <w:fldChar w:fldCharType="separate"/>
      </w:r>
      <w:r w:rsidR="00F522D4">
        <w:rPr>
          <w:noProof/>
          <w:sz w:val="24"/>
          <w:szCs w:val="24"/>
        </w:rPr>
        <w:t>9</w:t>
      </w:r>
      <w:r w:rsidR="00E52BA2" w:rsidRPr="00D01BB4">
        <w:rPr>
          <w:noProof/>
          <w:sz w:val="24"/>
          <w:szCs w:val="24"/>
        </w:rPr>
        <w:fldChar w:fldCharType="end"/>
      </w:r>
    </w:p>
    <w:p w:rsidR="00D01BB4" w:rsidRPr="00D01BB4" w:rsidRDefault="00D01BB4">
      <w:pPr>
        <w:pStyle w:val="TOC2"/>
        <w:tabs>
          <w:tab w:val="left" w:pos="880"/>
        </w:tabs>
        <w:rPr>
          <w:rFonts w:asciiTheme="minorHAnsi" w:eastAsiaTheme="minorEastAsia" w:hAnsiTheme="minorHAnsi" w:cstheme="minorBidi"/>
          <w:noProof/>
          <w:sz w:val="24"/>
          <w:szCs w:val="24"/>
          <w:lang w:eastAsia="en-AU"/>
        </w:rPr>
      </w:pPr>
      <w:r w:rsidRPr="00D01BB4">
        <w:rPr>
          <w:noProof/>
          <w:sz w:val="24"/>
          <w:szCs w:val="24"/>
        </w:rPr>
        <w:t>4.5.</w:t>
      </w:r>
      <w:r w:rsidRPr="00D01BB4">
        <w:rPr>
          <w:rFonts w:asciiTheme="minorHAnsi" w:eastAsiaTheme="minorEastAsia" w:hAnsiTheme="minorHAnsi" w:cstheme="minorBidi"/>
          <w:noProof/>
          <w:sz w:val="24"/>
          <w:szCs w:val="24"/>
          <w:lang w:eastAsia="en-AU"/>
        </w:rPr>
        <w:tab/>
      </w:r>
      <w:r w:rsidRPr="00D01BB4">
        <w:rPr>
          <w:noProof/>
          <w:sz w:val="24"/>
          <w:szCs w:val="24"/>
        </w:rPr>
        <w:t>Congestion</w:t>
      </w:r>
      <w:r w:rsidRPr="00D01BB4">
        <w:rPr>
          <w:noProof/>
          <w:sz w:val="24"/>
          <w:szCs w:val="24"/>
        </w:rPr>
        <w:tab/>
      </w:r>
      <w:r w:rsidR="00E52BA2" w:rsidRPr="00D01BB4">
        <w:rPr>
          <w:noProof/>
          <w:sz w:val="24"/>
          <w:szCs w:val="24"/>
        </w:rPr>
        <w:fldChar w:fldCharType="begin"/>
      </w:r>
      <w:r w:rsidRPr="00D01BB4">
        <w:rPr>
          <w:noProof/>
          <w:sz w:val="24"/>
          <w:szCs w:val="24"/>
        </w:rPr>
        <w:instrText xml:space="preserve"> PAGEREF _Toc306363315 \h </w:instrText>
      </w:r>
      <w:r w:rsidR="00E52BA2" w:rsidRPr="00D01BB4">
        <w:rPr>
          <w:noProof/>
          <w:sz w:val="24"/>
          <w:szCs w:val="24"/>
        </w:rPr>
      </w:r>
      <w:r w:rsidR="00E52BA2" w:rsidRPr="00D01BB4">
        <w:rPr>
          <w:noProof/>
          <w:sz w:val="24"/>
          <w:szCs w:val="24"/>
        </w:rPr>
        <w:fldChar w:fldCharType="separate"/>
      </w:r>
      <w:r w:rsidR="00F522D4">
        <w:rPr>
          <w:noProof/>
          <w:sz w:val="24"/>
          <w:szCs w:val="24"/>
        </w:rPr>
        <w:t>9</w:t>
      </w:r>
      <w:r w:rsidR="00E52BA2" w:rsidRPr="00D01BB4">
        <w:rPr>
          <w:noProof/>
          <w:sz w:val="24"/>
          <w:szCs w:val="24"/>
        </w:rPr>
        <w:fldChar w:fldCharType="end"/>
      </w:r>
    </w:p>
    <w:p w:rsidR="00D01BB4" w:rsidRDefault="00D01BB4">
      <w:pPr>
        <w:pStyle w:val="TOC1"/>
        <w:tabs>
          <w:tab w:val="left" w:pos="442"/>
        </w:tabs>
        <w:rPr>
          <w:sz w:val="24"/>
          <w:szCs w:val="24"/>
        </w:rPr>
      </w:pPr>
      <w:r w:rsidRPr="00D01BB4">
        <w:rPr>
          <w:rFonts w:cs="Times New Roman"/>
          <w:sz w:val="24"/>
          <w:szCs w:val="24"/>
        </w:rPr>
        <w:t>5.</w:t>
      </w:r>
      <w:r w:rsidRPr="00D01BB4">
        <w:rPr>
          <w:rFonts w:asciiTheme="minorHAnsi" w:eastAsiaTheme="minorEastAsia" w:hAnsiTheme="minorHAnsi" w:cstheme="minorBidi"/>
          <w:b w:val="0"/>
          <w:sz w:val="24"/>
          <w:szCs w:val="24"/>
          <w:lang w:eastAsia="en-AU"/>
        </w:rPr>
        <w:tab/>
      </w:r>
      <w:r w:rsidRPr="00D01BB4">
        <w:rPr>
          <w:sz w:val="24"/>
          <w:szCs w:val="24"/>
        </w:rPr>
        <w:t>Concerns over NTC focus: goal displacement</w:t>
      </w:r>
      <w:r w:rsidRPr="00D01BB4">
        <w:rPr>
          <w:sz w:val="24"/>
          <w:szCs w:val="24"/>
        </w:rPr>
        <w:tab/>
      </w:r>
      <w:r w:rsidR="00E52BA2" w:rsidRPr="00D01BB4">
        <w:rPr>
          <w:sz w:val="24"/>
          <w:szCs w:val="24"/>
        </w:rPr>
        <w:fldChar w:fldCharType="begin"/>
      </w:r>
      <w:r w:rsidRPr="00D01BB4">
        <w:rPr>
          <w:sz w:val="24"/>
          <w:szCs w:val="24"/>
        </w:rPr>
        <w:instrText xml:space="preserve"> PAGEREF _Toc306363316 \h </w:instrText>
      </w:r>
      <w:r w:rsidR="00E52BA2" w:rsidRPr="00D01BB4">
        <w:rPr>
          <w:sz w:val="24"/>
          <w:szCs w:val="24"/>
        </w:rPr>
      </w:r>
      <w:r w:rsidR="00E52BA2" w:rsidRPr="00D01BB4">
        <w:rPr>
          <w:sz w:val="24"/>
          <w:szCs w:val="24"/>
        </w:rPr>
        <w:fldChar w:fldCharType="separate"/>
      </w:r>
      <w:r w:rsidR="00F522D4">
        <w:rPr>
          <w:sz w:val="24"/>
          <w:szCs w:val="24"/>
        </w:rPr>
        <w:t>10</w:t>
      </w:r>
      <w:r w:rsidR="00E52BA2" w:rsidRPr="00D01BB4">
        <w:rPr>
          <w:sz w:val="24"/>
          <w:szCs w:val="24"/>
        </w:rPr>
        <w:fldChar w:fldCharType="end"/>
      </w:r>
    </w:p>
    <w:p w:rsidR="00D01BB4" w:rsidRPr="00D01BB4" w:rsidRDefault="00D01BB4" w:rsidP="00D01BB4"/>
    <w:p w:rsidR="00D01BB4" w:rsidRPr="00D01BB4" w:rsidRDefault="00D01BB4" w:rsidP="00932A6D">
      <w:pPr>
        <w:pStyle w:val="TOC2"/>
        <w:ind w:left="0"/>
        <w:rPr>
          <w:rFonts w:asciiTheme="minorHAnsi" w:eastAsiaTheme="minorEastAsia" w:hAnsiTheme="minorHAnsi" w:cstheme="minorBidi"/>
          <w:b/>
          <w:noProof/>
          <w:sz w:val="24"/>
          <w:szCs w:val="24"/>
          <w:lang w:eastAsia="en-AU"/>
        </w:rPr>
      </w:pPr>
      <w:r w:rsidRPr="00D01BB4">
        <w:rPr>
          <w:b/>
          <w:noProof/>
          <w:sz w:val="24"/>
          <w:szCs w:val="24"/>
        </w:rPr>
        <w:t>APPENDIX A: The ATA and Barkwood Consulting Pty Ltd Truck Impact Chart</w:t>
      </w:r>
      <w:r w:rsidRPr="00D01BB4">
        <w:rPr>
          <w:b/>
          <w:noProof/>
          <w:sz w:val="24"/>
          <w:szCs w:val="24"/>
        </w:rPr>
        <w:tab/>
      </w:r>
      <w:r w:rsidR="00E52BA2" w:rsidRPr="00D01BB4">
        <w:rPr>
          <w:b/>
          <w:noProof/>
          <w:sz w:val="24"/>
          <w:szCs w:val="24"/>
        </w:rPr>
        <w:fldChar w:fldCharType="begin"/>
      </w:r>
      <w:r w:rsidRPr="00D01BB4">
        <w:rPr>
          <w:b/>
          <w:noProof/>
          <w:sz w:val="24"/>
          <w:szCs w:val="24"/>
        </w:rPr>
        <w:instrText xml:space="preserve"> PAGEREF _Toc306363317 \h </w:instrText>
      </w:r>
      <w:r w:rsidR="00E52BA2" w:rsidRPr="00D01BB4">
        <w:rPr>
          <w:b/>
          <w:noProof/>
          <w:sz w:val="24"/>
          <w:szCs w:val="24"/>
        </w:rPr>
      </w:r>
      <w:r w:rsidR="00E52BA2" w:rsidRPr="00D01BB4">
        <w:rPr>
          <w:b/>
          <w:noProof/>
          <w:sz w:val="24"/>
          <w:szCs w:val="24"/>
        </w:rPr>
        <w:fldChar w:fldCharType="separate"/>
      </w:r>
      <w:r w:rsidR="00F522D4">
        <w:rPr>
          <w:b/>
          <w:noProof/>
          <w:sz w:val="24"/>
          <w:szCs w:val="24"/>
        </w:rPr>
        <w:t>12</w:t>
      </w:r>
      <w:r w:rsidR="00E52BA2" w:rsidRPr="00D01BB4">
        <w:rPr>
          <w:b/>
          <w:noProof/>
          <w:sz w:val="24"/>
          <w:szCs w:val="24"/>
        </w:rPr>
        <w:fldChar w:fldCharType="end"/>
      </w:r>
    </w:p>
    <w:p w:rsidR="00241C15" w:rsidRPr="00DA2390" w:rsidRDefault="00E52BA2" w:rsidP="00D01BB4">
      <w:pPr>
        <w:tabs>
          <w:tab w:val="right" w:leader="dot" w:pos="9645"/>
        </w:tabs>
        <w:jc w:val="both"/>
        <w:rPr>
          <w:rFonts w:ascii="Arial" w:hAnsi="Arial" w:cs="Arial"/>
          <w:sz w:val="24"/>
          <w:szCs w:val="24"/>
        </w:rPr>
      </w:pPr>
      <w:r w:rsidRPr="00D01BB4">
        <w:rPr>
          <w:rFonts w:ascii="Arial" w:hAnsi="Arial" w:cs="Arial"/>
          <w:sz w:val="24"/>
          <w:szCs w:val="24"/>
        </w:rPr>
        <w:fldChar w:fldCharType="end"/>
      </w:r>
    </w:p>
    <w:p w:rsidR="00576ED0" w:rsidRPr="00DA2390" w:rsidRDefault="00576ED0" w:rsidP="00D01BB4">
      <w:pPr>
        <w:jc w:val="both"/>
        <w:rPr>
          <w:rFonts w:ascii="Arial" w:hAnsi="Arial" w:cs="Arial"/>
          <w:sz w:val="24"/>
          <w:szCs w:val="24"/>
        </w:rPr>
      </w:pPr>
      <w:r w:rsidRPr="00DA2390">
        <w:rPr>
          <w:rFonts w:ascii="Arial" w:hAnsi="Arial" w:cs="Arial"/>
          <w:sz w:val="24"/>
          <w:szCs w:val="24"/>
        </w:rPr>
        <w:br w:type="page"/>
      </w:r>
    </w:p>
    <w:p w:rsidR="00576ED0" w:rsidRPr="00972601" w:rsidRDefault="00576ED0" w:rsidP="00D01BB4">
      <w:pPr>
        <w:pStyle w:val="Heading1"/>
      </w:pPr>
      <w:bookmarkStart w:id="0" w:name="_Toc306363307"/>
      <w:r w:rsidRPr="00972601">
        <w:lastRenderedPageBreak/>
        <w:t>Introduction</w:t>
      </w:r>
      <w:bookmarkEnd w:id="0"/>
    </w:p>
    <w:p w:rsidR="000E06D2" w:rsidRPr="00A21775" w:rsidRDefault="000E06D2" w:rsidP="00D01BB4">
      <w:pPr>
        <w:pStyle w:val="BodyText2"/>
        <w:rPr>
          <w:rFonts w:eastAsia="Calibri"/>
          <w:b w:val="0"/>
          <w:bCs w:val="0"/>
          <w:sz w:val="20"/>
        </w:rPr>
      </w:pPr>
    </w:p>
    <w:p w:rsidR="00B938AC" w:rsidRPr="00A21775" w:rsidRDefault="00B938AC" w:rsidP="00D01BB4">
      <w:pPr>
        <w:pStyle w:val="BodyText2"/>
        <w:rPr>
          <w:rFonts w:eastAsia="Calibri"/>
          <w:b w:val="0"/>
          <w:bCs w:val="0"/>
          <w:sz w:val="20"/>
        </w:rPr>
      </w:pPr>
      <w:r w:rsidRPr="00A21775">
        <w:rPr>
          <w:rFonts w:eastAsia="Calibri"/>
          <w:b w:val="0"/>
          <w:bCs w:val="0"/>
          <w:sz w:val="20"/>
        </w:rPr>
        <w:t xml:space="preserve">An efficient transport system where users pay for </w:t>
      </w:r>
      <w:r w:rsidR="00FC32D4" w:rsidRPr="00A21775">
        <w:rPr>
          <w:rFonts w:eastAsia="Calibri"/>
          <w:b w:val="0"/>
          <w:bCs w:val="0"/>
          <w:sz w:val="20"/>
        </w:rPr>
        <w:t>utilising</w:t>
      </w:r>
      <w:r w:rsidRPr="00A21775">
        <w:rPr>
          <w:rFonts w:eastAsia="Calibri"/>
          <w:b w:val="0"/>
          <w:bCs w:val="0"/>
          <w:sz w:val="20"/>
        </w:rPr>
        <w:t xml:space="preserve"> infrastructure is ideal</w:t>
      </w:r>
      <w:r w:rsidR="00300C4F" w:rsidRPr="00A21775">
        <w:rPr>
          <w:rFonts w:eastAsia="Calibri"/>
          <w:b w:val="0"/>
          <w:bCs w:val="0"/>
          <w:sz w:val="20"/>
        </w:rPr>
        <w:t xml:space="preserve"> in theory</w:t>
      </w:r>
      <w:r w:rsidR="00D06B58">
        <w:rPr>
          <w:rFonts w:eastAsia="Calibri"/>
          <w:b w:val="0"/>
          <w:bCs w:val="0"/>
          <w:sz w:val="20"/>
        </w:rPr>
        <w:t>;</w:t>
      </w:r>
      <w:r w:rsidRPr="00A21775">
        <w:rPr>
          <w:rFonts w:eastAsia="Calibri"/>
          <w:b w:val="0"/>
          <w:bCs w:val="0"/>
          <w:sz w:val="20"/>
        </w:rPr>
        <w:t xml:space="preserve"> however</w:t>
      </w:r>
      <w:r w:rsidR="00300C4F" w:rsidRPr="00A21775">
        <w:rPr>
          <w:rFonts w:eastAsia="Calibri"/>
          <w:b w:val="0"/>
          <w:bCs w:val="0"/>
          <w:sz w:val="20"/>
        </w:rPr>
        <w:t>,</w:t>
      </w:r>
      <w:r w:rsidRPr="00A21775">
        <w:rPr>
          <w:rFonts w:eastAsia="Calibri"/>
          <w:b w:val="0"/>
          <w:bCs w:val="0"/>
          <w:sz w:val="20"/>
        </w:rPr>
        <w:t xml:space="preserve"> </w:t>
      </w:r>
      <w:r w:rsidR="002A07BE" w:rsidRPr="00A21775">
        <w:rPr>
          <w:rFonts w:eastAsia="Calibri"/>
          <w:b w:val="0"/>
          <w:bCs w:val="0"/>
          <w:sz w:val="20"/>
        </w:rPr>
        <w:t>present</w:t>
      </w:r>
      <w:r w:rsidR="002A07BE">
        <w:rPr>
          <w:rFonts w:eastAsia="Calibri"/>
          <w:b w:val="0"/>
          <w:bCs w:val="0"/>
          <w:sz w:val="20"/>
        </w:rPr>
        <w:t>ly</w:t>
      </w:r>
      <w:r w:rsidRPr="00A21775">
        <w:rPr>
          <w:rFonts w:eastAsia="Calibri"/>
          <w:b w:val="0"/>
          <w:bCs w:val="0"/>
          <w:sz w:val="20"/>
        </w:rPr>
        <w:t xml:space="preserve"> transport</w:t>
      </w:r>
      <w:r w:rsidR="002A07BE">
        <w:rPr>
          <w:rFonts w:eastAsia="Calibri"/>
          <w:b w:val="0"/>
          <w:bCs w:val="0"/>
          <w:sz w:val="20"/>
        </w:rPr>
        <w:t>,</w:t>
      </w:r>
      <w:r w:rsidRPr="00A21775">
        <w:rPr>
          <w:rFonts w:eastAsia="Calibri"/>
          <w:b w:val="0"/>
          <w:bCs w:val="0"/>
          <w:sz w:val="20"/>
        </w:rPr>
        <w:t xml:space="preserve"> </w:t>
      </w:r>
      <w:r w:rsidR="00300C4F" w:rsidRPr="00A21775">
        <w:rPr>
          <w:rFonts w:eastAsia="Calibri"/>
          <w:b w:val="0"/>
          <w:bCs w:val="0"/>
          <w:sz w:val="20"/>
        </w:rPr>
        <w:t xml:space="preserve">demands, expectations of services and </w:t>
      </w:r>
      <w:r w:rsidRPr="00A21775">
        <w:rPr>
          <w:rFonts w:eastAsia="Calibri"/>
          <w:b w:val="0"/>
          <w:bCs w:val="0"/>
          <w:sz w:val="20"/>
        </w:rPr>
        <w:t xml:space="preserve">externalities have arisen </w:t>
      </w:r>
      <w:r w:rsidR="00FC32D4" w:rsidRPr="00A21775">
        <w:rPr>
          <w:rFonts w:eastAsia="Calibri"/>
          <w:b w:val="0"/>
          <w:bCs w:val="0"/>
          <w:sz w:val="20"/>
        </w:rPr>
        <w:t>which</w:t>
      </w:r>
      <w:r w:rsidRPr="00A21775">
        <w:rPr>
          <w:rFonts w:eastAsia="Calibri"/>
          <w:b w:val="0"/>
          <w:bCs w:val="0"/>
          <w:sz w:val="20"/>
        </w:rPr>
        <w:t xml:space="preserve"> are putting considerable strain on the </w:t>
      </w:r>
      <w:r w:rsidR="00C761BA" w:rsidRPr="00A21775">
        <w:rPr>
          <w:rFonts w:eastAsia="Calibri"/>
          <w:b w:val="0"/>
          <w:bCs w:val="0"/>
          <w:sz w:val="20"/>
        </w:rPr>
        <w:t xml:space="preserve">capacity of the </w:t>
      </w:r>
      <w:r w:rsidR="002A07BE" w:rsidRPr="00A21775">
        <w:rPr>
          <w:rFonts w:eastAsia="Calibri"/>
          <w:b w:val="0"/>
          <w:bCs w:val="0"/>
          <w:sz w:val="20"/>
        </w:rPr>
        <w:t>existing</w:t>
      </w:r>
      <w:r w:rsidRPr="00A21775">
        <w:rPr>
          <w:rFonts w:eastAsia="Calibri"/>
          <w:b w:val="0"/>
          <w:bCs w:val="0"/>
          <w:sz w:val="20"/>
        </w:rPr>
        <w:t xml:space="preserve"> </w:t>
      </w:r>
      <w:r w:rsidR="002A07BE" w:rsidRPr="00A21775">
        <w:rPr>
          <w:rFonts w:eastAsia="Calibri"/>
          <w:b w:val="0"/>
          <w:bCs w:val="0"/>
          <w:sz w:val="20"/>
        </w:rPr>
        <w:t>infrastructure</w:t>
      </w:r>
      <w:r w:rsidRPr="00A21775">
        <w:rPr>
          <w:rFonts w:eastAsia="Calibri"/>
          <w:b w:val="0"/>
          <w:bCs w:val="0"/>
          <w:sz w:val="20"/>
        </w:rPr>
        <w:t xml:space="preserve"> available. A new way of thinking about transport policy to increase the productivity of infrastructure is encouraged by </w:t>
      </w:r>
      <w:r w:rsidR="00C410F2">
        <w:rPr>
          <w:rFonts w:eastAsia="Calibri"/>
          <w:b w:val="0"/>
          <w:bCs w:val="0"/>
          <w:sz w:val="20"/>
        </w:rPr>
        <w:t>the ATA</w:t>
      </w:r>
      <w:r w:rsidRPr="00A21775">
        <w:rPr>
          <w:rFonts w:eastAsia="Calibri"/>
          <w:b w:val="0"/>
          <w:bCs w:val="0"/>
          <w:sz w:val="20"/>
        </w:rPr>
        <w:t xml:space="preserve">. </w:t>
      </w:r>
    </w:p>
    <w:p w:rsidR="00B938AC" w:rsidRPr="00A21775" w:rsidRDefault="00B938AC" w:rsidP="00D01BB4">
      <w:pPr>
        <w:pStyle w:val="BodyText2"/>
        <w:rPr>
          <w:rFonts w:eastAsia="Calibri"/>
          <w:b w:val="0"/>
          <w:bCs w:val="0"/>
          <w:sz w:val="20"/>
        </w:rPr>
      </w:pPr>
    </w:p>
    <w:p w:rsidR="00DB0FBE" w:rsidRPr="00A21775" w:rsidRDefault="00B938AC" w:rsidP="00D01BB4">
      <w:pPr>
        <w:pStyle w:val="BodyText2"/>
        <w:rPr>
          <w:rFonts w:eastAsia="Calibri"/>
          <w:b w:val="0"/>
          <w:bCs w:val="0"/>
          <w:sz w:val="20"/>
        </w:rPr>
      </w:pPr>
      <w:r w:rsidRPr="00A21775">
        <w:rPr>
          <w:rFonts w:eastAsia="Calibri"/>
          <w:b w:val="0"/>
          <w:bCs w:val="0"/>
          <w:sz w:val="20"/>
        </w:rPr>
        <w:t xml:space="preserve">The population growth </w:t>
      </w:r>
      <w:r w:rsidR="002A07BE">
        <w:rPr>
          <w:rFonts w:eastAsia="Calibri"/>
          <w:b w:val="0"/>
          <w:bCs w:val="0"/>
          <w:sz w:val="20"/>
        </w:rPr>
        <w:t>which</w:t>
      </w:r>
      <w:r w:rsidRPr="00A21775">
        <w:rPr>
          <w:rFonts w:eastAsia="Calibri"/>
          <w:b w:val="0"/>
          <w:bCs w:val="0"/>
          <w:sz w:val="20"/>
        </w:rPr>
        <w:t xml:space="preserve"> is projected </w:t>
      </w:r>
      <w:r w:rsidR="002A07BE">
        <w:rPr>
          <w:rFonts w:eastAsia="Calibri"/>
          <w:b w:val="0"/>
          <w:bCs w:val="0"/>
          <w:sz w:val="20"/>
        </w:rPr>
        <w:t>for</w:t>
      </w:r>
      <w:r w:rsidRPr="00A21775">
        <w:rPr>
          <w:rFonts w:eastAsia="Calibri"/>
          <w:b w:val="0"/>
          <w:bCs w:val="0"/>
          <w:sz w:val="20"/>
        </w:rPr>
        <w:t xml:space="preserve"> the next </w:t>
      </w:r>
      <w:proofErr w:type="gramStart"/>
      <w:r w:rsidR="002A07BE">
        <w:rPr>
          <w:rFonts w:eastAsia="Calibri"/>
          <w:b w:val="0"/>
          <w:bCs w:val="0"/>
          <w:sz w:val="20"/>
        </w:rPr>
        <w:t>decade</w:t>
      </w:r>
      <w:r w:rsidR="002A07BE" w:rsidRPr="00A21775">
        <w:rPr>
          <w:rFonts w:eastAsia="Calibri"/>
          <w:b w:val="0"/>
          <w:bCs w:val="0"/>
          <w:sz w:val="20"/>
        </w:rPr>
        <w:t>s</w:t>
      </w:r>
      <w:proofErr w:type="gramEnd"/>
      <w:r w:rsidRPr="00A21775">
        <w:rPr>
          <w:rFonts w:eastAsia="Calibri"/>
          <w:b w:val="0"/>
          <w:bCs w:val="0"/>
          <w:sz w:val="20"/>
        </w:rPr>
        <w:t xml:space="preserve"> means infrastructure will have to accommodate more people, more vehicles and be more responsive to the needs of the </w:t>
      </w:r>
      <w:r w:rsidR="002A07BE">
        <w:rPr>
          <w:rFonts w:eastAsia="Calibri"/>
          <w:b w:val="0"/>
          <w:bCs w:val="0"/>
          <w:sz w:val="20"/>
        </w:rPr>
        <w:t>population</w:t>
      </w:r>
      <w:r w:rsidRPr="00A21775">
        <w:rPr>
          <w:rFonts w:eastAsia="Calibri"/>
          <w:b w:val="0"/>
          <w:bCs w:val="0"/>
          <w:sz w:val="20"/>
        </w:rPr>
        <w:t>. While the system of charges</w:t>
      </w:r>
      <w:r w:rsidR="002A07BE">
        <w:rPr>
          <w:rFonts w:eastAsia="Calibri"/>
          <w:b w:val="0"/>
          <w:bCs w:val="0"/>
          <w:sz w:val="20"/>
        </w:rPr>
        <w:t xml:space="preserve"> which</w:t>
      </w:r>
      <w:r w:rsidRPr="00A21775">
        <w:rPr>
          <w:rFonts w:eastAsia="Calibri"/>
          <w:b w:val="0"/>
          <w:bCs w:val="0"/>
          <w:sz w:val="20"/>
        </w:rPr>
        <w:t xml:space="preserve"> is in place for both light and heavy vehicles is functioning</w:t>
      </w:r>
      <w:r w:rsidR="00615975" w:rsidRPr="00A21775">
        <w:rPr>
          <w:rFonts w:eastAsia="Calibri"/>
          <w:b w:val="0"/>
          <w:bCs w:val="0"/>
          <w:sz w:val="20"/>
        </w:rPr>
        <w:t>,</w:t>
      </w:r>
      <w:r w:rsidRPr="00A21775">
        <w:rPr>
          <w:rFonts w:eastAsia="Calibri"/>
          <w:b w:val="0"/>
          <w:bCs w:val="0"/>
          <w:sz w:val="20"/>
        </w:rPr>
        <w:t xml:space="preserve"> impro</w:t>
      </w:r>
      <w:r w:rsidR="002A07BE">
        <w:rPr>
          <w:rFonts w:eastAsia="Calibri"/>
          <w:b w:val="0"/>
          <w:bCs w:val="0"/>
          <w:sz w:val="20"/>
        </w:rPr>
        <w:t>vements can be made to reflect</w:t>
      </w:r>
      <w:r w:rsidRPr="00A21775">
        <w:rPr>
          <w:rFonts w:eastAsia="Calibri"/>
          <w:b w:val="0"/>
          <w:bCs w:val="0"/>
          <w:sz w:val="20"/>
        </w:rPr>
        <w:t xml:space="preserve"> productive economic </w:t>
      </w:r>
      <w:r w:rsidR="002A07BE">
        <w:rPr>
          <w:rFonts w:eastAsia="Calibri"/>
          <w:b w:val="0"/>
          <w:bCs w:val="0"/>
          <w:sz w:val="20"/>
        </w:rPr>
        <w:t>aims</w:t>
      </w:r>
      <w:r w:rsidRPr="00A21775">
        <w:rPr>
          <w:rFonts w:eastAsia="Calibri"/>
          <w:b w:val="0"/>
          <w:bCs w:val="0"/>
          <w:sz w:val="20"/>
        </w:rPr>
        <w:t xml:space="preserve">. </w:t>
      </w:r>
    </w:p>
    <w:p w:rsidR="00615975" w:rsidRPr="00A21775" w:rsidRDefault="00615975" w:rsidP="00D01BB4">
      <w:pPr>
        <w:pStyle w:val="BodyText2"/>
        <w:rPr>
          <w:rFonts w:eastAsia="Calibri"/>
          <w:b w:val="0"/>
          <w:bCs w:val="0"/>
          <w:sz w:val="20"/>
        </w:rPr>
      </w:pPr>
    </w:p>
    <w:p w:rsidR="001A0E23" w:rsidRDefault="007E4A32" w:rsidP="00D01BB4">
      <w:pPr>
        <w:pStyle w:val="BodyText2"/>
        <w:rPr>
          <w:rFonts w:eastAsia="Calibri"/>
          <w:b w:val="0"/>
          <w:bCs w:val="0"/>
          <w:sz w:val="20"/>
        </w:rPr>
      </w:pPr>
      <w:r w:rsidRPr="00A21775">
        <w:rPr>
          <w:rFonts w:eastAsia="Calibri"/>
          <w:b w:val="0"/>
          <w:bCs w:val="0"/>
          <w:sz w:val="20"/>
        </w:rPr>
        <w:t xml:space="preserve">Australia’s </w:t>
      </w:r>
      <w:r w:rsidR="00D55702" w:rsidRPr="00A21775">
        <w:rPr>
          <w:rFonts w:eastAsia="Calibri"/>
          <w:b w:val="0"/>
          <w:bCs w:val="0"/>
          <w:sz w:val="20"/>
        </w:rPr>
        <w:t>spread</w:t>
      </w:r>
      <w:r w:rsidRPr="00A21775">
        <w:rPr>
          <w:rFonts w:eastAsia="Calibri"/>
          <w:b w:val="0"/>
          <w:bCs w:val="0"/>
          <w:sz w:val="20"/>
        </w:rPr>
        <w:t xml:space="preserve"> of population means that additional thought has to be taken when discussing the transport system</w:t>
      </w:r>
      <w:r w:rsidR="00D55702" w:rsidRPr="00A21775">
        <w:rPr>
          <w:rFonts w:eastAsia="Calibri"/>
          <w:b w:val="0"/>
          <w:bCs w:val="0"/>
          <w:sz w:val="20"/>
        </w:rPr>
        <w:t>, as the sprawling nature</w:t>
      </w:r>
      <w:r w:rsidRPr="00A21775">
        <w:rPr>
          <w:rFonts w:eastAsia="Calibri"/>
          <w:b w:val="0"/>
          <w:bCs w:val="0"/>
          <w:sz w:val="20"/>
        </w:rPr>
        <w:t xml:space="preserve"> of the country means pressure is put on heavy vehicle operators and means cars are usually more viable to use than public transport compared to other countries</w:t>
      </w:r>
      <w:r w:rsidR="00D55702" w:rsidRPr="00A21775">
        <w:rPr>
          <w:rFonts w:eastAsia="Calibri"/>
          <w:b w:val="0"/>
          <w:bCs w:val="0"/>
          <w:sz w:val="20"/>
        </w:rPr>
        <w:t xml:space="preserve"> because of the length of travel involved</w:t>
      </w:r>
      <w:r w:rsidRPr="00A21775">
        <w:rPr>
          <w:rFonts w:eastAsia="Calibri"/>
          <w:b w:val="0"/>
          <w:bCs w:val="0"/>
          <w:sz w:val="20"/>
        </w:rPr>
        <w:t xml:space="preserve">. </w:t>
      </w:r>
    </w:p>
    <w:p w:rsidR="008578BB" w:rsidRDefault="008578BB" w:rsidP="00D01BB4">
      <w:pPr>
        <w:pStyle w:val="BodyText2"/>
        <w:rPr>
          <w:rFonts w:eastAsia="Calibri"/>
          <w:b w:val="0"/>
          <w:bCs w:val="0"/>
          <w:sz w:val="20"/>
        </w:rPr>
      </w:pPr>
    </w:p>
    <w:p w:rsidR="00DF6FB5" w:rsidRPr="00DF6FB5" w:rsidRDefault="00DF6FB5" w:rsidP="00D01BB4">
      <w:pPr>
        <w:rPr>
          <w:rFonts w:ascii="Arial" w:hAnsi="Arial" w:cs="Arial"/>
          <w:bCs/>
          <w:sz w:val="20"/>
          <w:szCs w:val="20"/>
        </w:rPr>
      </w:pPr>
      <w:r w:rsidRPr="00DF6FB5">
        <w:rPr>
          <w:rFonts w:ascii="Arial" w:hAnsi="Arial" w:cs="Arial"/>
          <w:bCs/>
          <w:sz w:val="20"/>
          <w:szCs w:val="20"/>
        </w:rPr>
        <w:t>The paper points out that many citizens are not willing t</w:t>
      </w:r>
      <w:r w:rsidR="00D540C7">
        <w:rPr>
          <w:rFonts w:ascii="Arial" w:hAnsi="Arial" w:cs="Arial"/>
          <w:bCs/>
          <w:sz w:val="20"/>
          <w:szCs w:val="20"/>
        </w:rPr>
        <w:t>o pay for better infrastructure. T</w:t>
      </w:r>
      <w:r w:rsidRPr="00DF6FB5">
        <w:rPr>
          <w:rFonts w:ascii="Arial" w:hAnsi="Arial" w:cs="Arial"/>
          <w:bCs/>
          <w:sz w:val="20"/>
          <w:szCs w:val="20"/>
        </w:rPr>
        <w:t xml:space="preserve">he industry pays its fair share of road use through a road user charge, a registration cost and fuel excise which reflects the damage that a heavy vehicle causes to the infrastructure. Out of all road users, the heavy vehicle industry is the only one paying for its damage to the infrastructure.  Other road uses either pay nothing or pay a fuel excise tax not connected to road provision. </w:t>
      </w:r>
    </w:p>
    <w:p w:rsidR="00DF6FB5" w:rsidRPr="00DF6FB5" w:rsidRDefault="00DF6FB5" w:rsidP="00D01BB4">
      <w:pPr>
        <w:rPr>
          <w:rFonts w:ascii="Arial" w:hAnsi="Arial" w:cs="Arial"/>
          <w:bCs/>
          <w:sz w:val="20"/>
          <w:szCs w:val="20"/>
        </w:rPr>
      </w:pPr>
    </w:p>
    <w:p w:rsidR="00DF6FB5" w:rsidRDefault="00DF6FB5" w:rsidP="00D01BB4">
      <w:pPr>
        <w:rPr>
          <w:rFonts w:ascii="Arial" w:hAnsi="Arial" w:cs="Arial"/>
          <w:bCs/>
          <w:sz w:val="20"/>
          <w:szCs w:val="20"/>
        </w:rPr>
      </w:pPr>
      <w:r w:rsidRPr="00DF6FB5">
        <w:rPr>
          <w:rFonts w:ascii="Arial" w:hAnsi="Arial" w:cs="Arial"/>
          <w:bCs/>
          <w:sz w:val="20"/>
          <w:szCs w:val="20"/>
        </w:rPr>
        <w:t xml:space="preserve">The ATA supports ‘good investment decisions and complementary regulatory policies’. The heavy vehicle industry and businesses in general would benefit greatly from improved provision decisions and external review of access decisions. </w:t>
      </w:r>
    </w:p>
    <w:p w:rsidR="00DF6FB5" w:rsidRDefault="00DF6FB5" w:rsidP="00D01BB4">
      <w:pPr>
        <w:rPr>
          <w:rFonts w:ascii="Arial" w:hAnsi="Arial" w:cs="Arial"/>
          <w:bCs/>
          <w:sz w:val="20"/>
          <w:szCs w:val="20"/>
        </w:rPr>
      </w:pPr>
    </w:p>
    <w:p w:rsidR="008578BB" w:rsidRDefault="00DF6FB5" w:rsidP="00D01BB4">
      <w:pPr>
        <w:rPr>
          <w:rFonts w:ascii="Arial" w:hAnsi="Arial" w:cs="Arial"/>
          <w:bCs/>
          <w:sz w:val="20"/>
          <w:szCs w:val="20"/>
        </w:rPr>
      </w:pPr>
      <w:r>
        <w:rPr>
          <w:rFonts w:ascii="Arial" w:hAnsi="Arial" w:cs="Arial"/>
          <w:bCs/>
          <w:sz w:val="20"/>
          <w:szCs w:val="20"/>
        </w:rPr>
        <w:t>Furthermore</w:t>
      </w:r>
      <w:r w:rsidR="008578BB">
        <w:rPr>
          <w:rFonts w:ascii="Arial" w:hAnsi="Arial" w:cs="Arial"/>
          <w:bCs/>
          <w:sz w:val="20"/>
          <w:szCs w:val="20"/>
        </w:rPr>
        <w:t xml:space="preserve">, </w:t>
      </w:r>
      <w:r w:rsidR="008578BB" w:rsidRPr="001A0E23">
        <w:rPr>
          <w:rFonts w:ascii="Arial" w:hAnsi="Arial" w:cs="Arial"/>
          <w:bCs/>
          <w:sz w:val="20"/>
          <w:szCs w:val="20"/>
        </w:rPr>
        <w:t xml:space="preserve">while the sentiments of wanting to examine the current system on a broader level seem well intentioned, the essentials of what the NTC </w:t>
      </w:r>
      <w:r w:rsidR="008578BB">
        <w:rPr>
          <w:rFonts w:ascii="Arial" w:hAnsi="Arial" w:cs="Arial"/>
          <w:bCs/>
          <w:sz w:val="20"/>
          <w:szCs w:val="20"/>
        </w:rPr>
        <w:t>should</w:t>
      </w:r>
      <w:r w:rsidR="008578BB" w:rsidRPr="001A0E23">
        <w:rPr>
          <w:rFonts w:ascii="Arial" w:hAnsi="Arial" w:cs="Arial"/>
          <w:bCs/>
          <w:sz w:val="20"/>
          <w:szCs w:val="20"/>
        </w:rPr>
        <w:t xml:space="preserve"> provide must not be forgotten in </w:t>
      </w:r>
      <w:r w:rsidR="008578BB">
        <w:rPr>
          <w:rFonts w:ascii="Arial" w:hAnsi="Arial" w:cs="Arial"/>
          <w:bCs/>
          <w:sz w:val="20"/>
          <w:szCs w:val="20"/>
        </w:rPr>
        <w:t>distracting</w:t>
      </w:r>
      <w:r w:rsidR="008578BB" w:rsidRPr="001A0E23">
        <w:rPr>
          <w:rFonts w:ascii="Arial" w:hAnsi="Arial" w:cs="Arial"/>
          <w:bCs/>
          <w:sz w:val="20"/>
          <w:szCs w:val="20"/>
        </w:rPr>
        <w:t xml:space="preserve"> research </w:t>
      </w:r>
      <w:r>
        <w:rPr>
          <w:rFonts w:ascii="Arial" w:hAnsi="Arial" w:cs="Arial"/>
          <w:bCs/>
          <w:sz w:val="20"/>
          <w:szCs w:val="20"/>
        </w:rPr>
        <w:t>tangents</w:t>
      </w:r>
      <w:r w:rsidR="008578BB" w:rsidRPr="001A0E23">
        <w:rPr>
          <w:rFonts w:ascii="Arial" w:hAnsi="Arial" w:cs="Arial"/>
          <w:bCs/>
          <w:sz w:val="20"/>
          <w:szCs w:val="20"/>
        </w:rPr>
        <w:t xml:space="preserve">. </w:t>
      </w:r>
      <w:r w:rsidR="00D540C7">
        <w:rPr>
          <w:rFonts w:ascii="Arial" w:hAnsi="Arial" w:cs="Arial"/>
          <w:bCs/>
          <w:sz w:val="20"/>
          <w:szCs w:val="20"/>
        </w:rPr>
        <w:t>Ob</w:t>
      </w:r>
      <w:r w:rsidR="008578BB" w:rsidRPr="001A0E23">
        <w:rPr>
          <w:rFonts w:ascii="Arial" w:hAnsi="Arial" w:cs="Arial"/>
          <w:bCs/>
          <w:sz w:val="20"/>
          <w:szCs w:val="20"/>
        </w:rPr>
        <w:t>jectives examining things such as social exclusion, physical inactivity and obesity are not the NTC’s concer</w:t>
      </w:r>
      <w:r w:rsidR="00D540C7">
        <w:rPr>
          <w:rFonts w:ascii="Arial" w:hAnsi="Arial" w:cs="Arial"/>
          <w:bCs/>
          <w:sz w:val="20"/>
          <w:szCs w:val="20"/>
        </w:rPr>
        <w:t>n;</w:t>
      </w:r>
      <w:r w:rsidR="008578BB" w:rsidRPr="001A0E23">
        <w:rPr>
          <w:rFonts w:ascii="Arial" w:hAnsi="Arial" w:cs="Arial"/>
          <w:bCs/>
          <w:sz w:val="20"/>
          <w:szCs w:val="20"/>
        </w:rPr>
        <w:t xml:space="preserve"> neither is </w:t>
      </w:r>
      <w:r w:rsidR="008578BB">
        <w:rPr>
          <w:rFonts w:ascii="Arial" w:hAnsi="Arial" w:cs="Arial"/>
          <w:bCs/>
          <w:sz w:val="20"/>
          <w:szCs w:val="20"/>
        </w:rPr>
        <w:t>providing a fair system of life in Australia</w:t>
      </w:r>
      <w:r w:rsidR="008578BB" w:rsidRPr="001A0E23">
        <w:rPr>
          <w:rFonts w:ascii="Arial" w:hAnsi="Arial" w:cs="Arial"/>
          <w:bCs/>
          <w:sz w:val="20"/>
          <w:szCs w:val="20"/>
        </w:rPr>
        <w:t>. All of these issues should be treated as peripheral</w:t>
      </w:r>
      <w:r>
        <w:rPr>
          <w:rFonts w:ascii="Arial" w:hAnsi="Arial" w:cs="Arial"/>
          <w:bCs/>
          <w:sz w:val="20"/>
          <w:szCs w:val="20"/>
        </w:rPr>
        <w:t xml:space="preserve"> </w:t>
      </w:r>
      <w:r w:rsidR="008578BB" w:rsidRPr="001A0E23">
        <w:rPr>
          <w:rFonts w:ascii="Arial" w:hAnsi="Arial" w:cs="Arial"/>
          <w:bCs/>
          <w:sz w:val="20"/>
          <w:szCs w:val="20"/>
        </w:rPr>
        <w:t xml:space="preserve">to the main aim of the NTC </w:t>
      </w:r>
      <w:r w:rsidR="00D540C7">
        <w:rPr>
          <w:rFonts w:ascii="Arial" w:hAnsi="Arial" w:cs="Arial"/>
          <w:bCs/>
          <w:sz w:val="20"/>
          <w:szCs w:val="20"/>
        </w:rPr>
        <w:t>in making recommendation</w:t>
      </w:r>
      <w:r w:rsidR="00CE6381">
        <w:rPr>
          <w:rFonts w:ascii="Arial" w:hAnsi="Arial" w:cs="Arial"/>
          <w:bCs/>
          <w:sz w:val="20"/>
          <w:szCs w:val="20"/>
        </w:rPr>
        <w:t>s</w:t>
      </w:r>
      <w:r w:rsidR="00D540C7">
        <w:rPr>
          <w:rFonts w:ascii="Arial" w:hAnsi="Arial" w:cs="Arial"/>
          <w:bCs/>
          <w:sz w:val="20"/>
          <w:szCs w:val="20"/>
        </w:rPr>
        <w:t xml:space="preserve"> about </w:t>
      </w:r>
      <w:r w:rsidR="008578BB" w:rsidRPr="001A0E23">
        <w:rPr>
          <w:rFonts w:ascii="Arial" w:hAnsi="Arial" w:cs="Arial"/>
          <w:bCs/>
          <w:sz w:val="20"/>
          <w:szCs w:val="20"/>
        </w:rPr>
        <w:t xml:space="preserve">providing roads and transport to move people </w:t>
      </w:r>
      <w:r w:rsidR="0021668E">
        <w:rPr>
          <w:rFonts w:ascii="Arial" w:hAnsi="Arial" w:cs="Arial"/>
          <w:bCs/>
          <w:sz w:val="20"/>
          <w:szCs w:val="20"/>
        </w:rPr>
        <w:t xml:space="preserve">and goods </w:t>
      </w:r>
      <w:r w:rsidR="008578BB" w:rsidRPr="001A0E23">
        <w:rPr>
          <w:rFonts w:ascii="Arial" w:hAnsi="Arial" w:cs="Arial"/>
          <w:bCs/>
          <w:sz w:val="20"/>
          <w:szCs w:val="20"/>
        </w:rPr>
        <w:t xml:space="preserve">as efficiently </w:t>
      </w:r>
      <w:r w:rsidR="00D540C7">
        <w:rPr>
          <w:rFonts w:ascii="Arial" w:hAnsi="Arial" w:cs="Arial"/>
          <w:bCs/>
          <w:sz w:val="20"/>
          <w:szCs w:val="20"/>
        </w:rPr>
        <w:t xml:space="preserve">and safely </w:t>
      </w:r>
      <w:r w:rsidR="008578BB" w:rsidRPr="001A0E23">
        <w:rPr>
          <w:rFonts w:ascii="Arial" w:hAnsi="Arial" w:cs="Arial"/>
          <w:bCs/>
          <w:sz w:val="20"/>
          <w:szCs w:val="20"/>
        </w:rPr>
        <w:t xml:space="preserve">as possible. The NTC cannot save the world and does not have the mandate to do so. </w:t>
      </w:r>
    </w:p>
    <w:p w:rsidR="001A0E23" w:rsidRDefault="001A0E23" w:rsidP="00D01BB4">
      <w:pPr>
        <w:pStyle w:val="BodyText2"/>
        <w:rPr>
          <w:rFonts w:eastAsia="Calibri"/>
          <w:b w:val="0"/>
          <w:bCs w:val="0"/>
          <w:sz w:val="20"/>
        </w:rPr>
      </w:pPr>
    </w:p>
    <w:p w:rsidR="00915339" w:rsidRDefault="00915339" w:rsidP="00D01BB4">
      <w:pPr>
        <w:pStyle w:val="BodyText2"/>
        <w:rPr>
          <w:rFonts w:eastAsia="Calibri"/>
          <w:b w:val="0"/>
          <w:bCs w:val="0"/>
          <w:sz w:val="20"/>
        </w:rPr>
      </w:pPr>
    </w:p>
    <w:p w:rsidR="00576ED0" w:rsidRPr="00972601" w:rsidRDefault="00870BDE" w:rsidP="00D01BB4">
      <w:pPr>
        <w:pStyle w:val="Heading1"/>
      </w:pPr>
      <w:bookmarkStart w:id="1" w:name="_Toc306363308"/>
      <w:r>
        <w:t xml:space="preserve">The </w:t>
      </w:r>
      <w:r w:rsidR="00576ED0" w:rsidRPr="00972601">
        <w:t>Australian Trucking Association</w:t>
      </w:r>
      <w:bookmarkEnd w:id="1"/>
    </w:p>
    <w:p w:rsidR="004008C7" w:rsidRPr="00A21775" w:rsidRDefault="004008C7" w:rsidP="00D01BB4">
      <w:pPr>
        <w:pStyle w:val="BodyText2"/>
        <w:rPr>
          <w:b w:val="0"/>
          <w:sz w:val="20"/>
        </w:rPr>
      </w:pPr>
    </w:p>
    <w:p w:rsidR="00532BFB" w:rsidRPr="00DF6FB5" w:rsidRDefault="004008C7" w:rsidP="00D01BB4">
      <w:pPr>
        <w:pStyle w:val="BodyText2"/>
        <w:rPr>
          <w:b w:val="0"/>
          <w:sz w:val="20"/>
        </w:rPr>
      </w:pPr>
      <w:r w:rsidRPr="00A21775">
        <w:rPr>
          <w:b w:val="0"/>
          <w:sz w:val="20"/>
        </w:rPr>
        <w:t xml:space="preserve">The Australian Trucking Association (ATA) is the peak body that represents the trucking industry. Its members include the state and sector based trucking </w:t>
      </w:r>
      <w:r w:rsidR="00217B7E" w:rsidRPr="00A21775">
        <w:rPr>
          <w:b w:val="0"/>
          <w:sz w:val="20"/>
        </w:rPr>
        <w:t>associations</w:t>
      </w:r>
      <w:r w:rsidRPr="00A21775">
        <w:rPr>
          <w:b w:val="0"/>
          <w:sz w:val="20"/>
        </w:rPr>
        <w:t>, some of the nation’s largest transport companies, and businesses with leading expertise in truck technology.</w:t>
      </w:r>
      <w:r w:rsidR="00C41A07">
        <w:rPr>
          <w:b w:val="0"/>
          <w:sz w:val="20"/>
        </w:rPr>
        <w:t xml:space="preserve"> </w:t>
      </w:r>
    </w:p>
    <w:p w:rsidR="00532BFB" w:rsidRPr="00A21775" w:rsidRDefault="00532BFB" w:rsidP="00D01BB4">
      <w:pPr>
        <w:pStyle w:val="BodyText2"/>
        <w:rPr>
          <w:b w:val="0"/>
          <w:color w:val="000000" w:themeColor="text1"/>
          <w:sz w:val="20"/>
        </w:rPr>
      </w:pPr>
    </w:p>
    <w:p w:rsidR="004A16F4" w:rsidRPr="00A21775" w:rsidRDefault="004A16F4" w:rsidP="00D01BB4">
      <w:pPr>
        <w:rPr>
          <w:rFonts w:ascii="Arial" w:hAnsi="Arial" w:cs="Arial"/>
          <w:sz w:val="20"/>
          <w:szCs w:val="20"/>
        </w:rPr>
      </w:pPr>
    </w:p>
    <w:p w:rsidR="00907971" w:rsidRPr="00972601" w:rsidRDefault="00907971" w:rsidP="00D01BB4">
      <w:pPr>
        <w:pStyle w:val="Heading1"/>
      </w:pPr>
      <w:bookmarkStart w:id="2" w:name="_Toc306363309"/>
      <w:r w:rsidRPr="00972601">
        <w:t>Recommendations</w:t>
      </w:r>
      <w:bookmarkEnd w:id="2"/>
    </w:p>
    <w:p w:rsidR="007566A1" w:rsidRDefault="007566A1" w:rsidP="00D01BB4">
      <w:pPr>
        <w:rPr>
          <w:b/>
          <w:i/>
        </w:rPr>
      </w:pPr>
    </w:p>
    <w:p w:rsidR="004C066E" w:rsidRDefault="007566A1" w:rsidP="00D01BB4">
      <w:pPr>
        <w:rPr>
          <w:rFonts w:ascii="Arial" w:hAnsi="Arial" w:cs="Arial"/>
          <w:b/>
          <w:i/>
          <w:sz w:val="20"/>
          <w:szCs w:val="20"/>
        </w:rPr>
      </w:pPr>
      <w:r w:rsidRPr="007566A1">
        <w:rPr>
          <w:rFonts w:ascii="Arial" w:hAnsi="Arial" w:cs="Arial"/>
          <w:b/>
          <w:i/>
          <w:sz w:val="20"/>
          <w:szCs w:val="20"/>
        </w:rPr>
        <w:t xml:space="preserve">Recommendation 1 </w:t>
      </w:r>
    </w:p>
    <w:p w:rsidR="007566A1" w:rsidRPr="007566A1" w:rsidRDefault="007566A1" w:rsidP="00D01BB4">
      <w:pPr>
        <w:rPr>
          <w:rFonts w:ascii="Arial" w:hAnsi="Arial" w:cs="Arial"/>
          <w:b/>
          <w:i/>
          <w:sz w:val="20"/>
          <w:szCs w:val="20"/>
        </w:rPr>
      </w:pPr>
    </w:p>
    <w:p w:rsidR="007566A1" w:rsidRPr="007566A1" w:rsidRDefault="007566A1" w:rsidP="00D01BB4">
      <w:pPr>
        <w:rPr>
          <w:rFonts w:ascii="Arial" w:hAnsi="Arial" w:cs="Arial"/>
          <w:b/>
          <w:i/>
          <w:sz w:val="20"/>
          <w:szCs w:val="20"/>
        </w:rPr>
      </w:pPr>
      <w:r w:rsidRPr="007566A1">
        <w:rPr>
          <w:rFonts w:ascii="Arial" w:hAnsi="Arial" w:cs="Arial"/>
          <w:b/>
          <w:i/>
          <w:sz w:val="20"/>
          <w:szCs w:val="20"/>
        </w:rPr>
        <w:t xml:space="preserve">The NTC should encourage more local governments to </w:t>
      </w:r>
      <w:r w:rsidR="003F6456">
        <w:rPr>
          <w:rFonts w:ascii="Arial" w:hAnsi="Arial" w:cs="Arial"/>
          <w:b/>
          <w:i/>
          <w:sz w:val="20"/>
          <w:szCs w:val="20"/>
        </w:rPr>
        <w:t xml:space="preserve">permit </w:t>
      </w:r>
      <w:r w:rsidRPr="007566A1">
        <w:rPr>
          <w:rFonts w:ascii="Arial" w:hAnsi="Arial" w:cs="Arial"/>
          <w:b/>
          <w:i/>
          <w:sz w:val="20"/>
          <w:szCs w:val="20"/>
        </w:rPr>
        <w:t>B-doubles and B-triples to access t</w:t>
      </w:r>
      <w:r w:rsidR="00DF6FB5">
        <w:rPr>
          <w:rFonts w:ascii="Arial" w:hAnsi="Arial" w:cs="Arial"/>
          <w:b/>
          <w:i/>
          <w:sz w:val="20"/>
          <w:szCs w:val="20"/>
        </w:rPr>
        <w:t xml:space="preserve">heir roads, as this </w:t>
      </w:r>
      <w:r w:rsidR="003F6456">
        <w:rPr>
          <w:rFonts w:ascii="Arial" w:hAnsi="Arial" w:cs="Arial"/>
          <w:b/>
          <w:i/>
          <w:sz w:val="20"/>
          <w:szCs w:val="20"/>
        </w:rPr>
        <w:t>allow</w:t>
      </w:r>
      <w:r w:rsidRPr="007566A1">
        <w:rPr>
          <w:rFonts w:ascii="Arial" w:hAnsi="Arial" w:cs="Arial"/>
          <w:b/>
          <w:i/>
          <w:sz w:val="20"/>
          <w:szCs w:val="20"/>
        </w:rPr>
        <w:t xml:space="preserve"> communities to be more productive </w:t>
      </w:r>
      <w:r w:rsidR="002E24FE">
        <w:rPr>
          <w:rFonts w:ascii="Arial" w:hAnsi="Arial" w:cs="Arial"/>
          <w:b/>
          <w:i/>
          <w:sz w:val="20"/>
          <w:szCs w:val="20"/>
        </w:rPr>
        <w:t>whilst</w:t>
      </w:r>
      <w:r w:rsidR="003F6456">
        <w:rPr>
          <w:rFonts w:ascii="Arial" w:hAnsi="Arial" w:cs="Arial"/>
          <w:b/>
          <w:i/>
          <w:sz w:val="20"/>
          <w:szCs w:val="20"/>
        </w:rPr>
        <w:t xml:space="preserve"> reducing</w:t>
      </w:r>
      <w:r w:rsidRPr="007566A1">
        <w:rPr>
          <w:rFonts w:ascii="Arial" w:hAnsi="Arial" w:cs="Arial"/>
          <w:b/>
          <w:i/>
          <w:sz w:val="20"/>
          <w:szCs w:val="20"/>
        </w:rPr>
        <w:t xml:space="preserve"> </w:t>
      </w:r>
      <w:r w:rsidR="003F6456">
        <w:rPr>
          <w:rFonts w:ascii="Arial" w:hAnsi="Arial" w:cs="Arial"/>
          <w:b/>
          <w:i/>
          <w:sz w:val="20"/>
          <w:szCs w:val="20"/>
        </w:rPr>
        <w:t xml:space="preserve">heavy vehicle </w:t>
      </w:r>
      <w:r w:rsidRPr="007566A1">
        <w:rPr>
          <w:rFonts w:ascii="Arial" w:hAnsi="Arial" w:cs="Arial"/>
          <w:b/>
          <w:i/>
          <w:sz w:val="20"/>
          <w:szCs w:val="20"/>
        </w:rPr>
        <w:t>road wear</w:t>
      </w:r>
      <w:r w:rsidR="003F6456">
        <w:rPr>
          <w:rFonts w:ascii="Arial" w:hAnsi="Arial" w:cs="Arial"/>
          <w:b/>
          <w:i/>
          <w:sz w:val="20"/>
          <w:szCs w:val="20"/>
        </w:rPr>
        <w:t xml:space="preserve"> impact</w:t>
      </w:r>
      <w:r w:rsidRPr="007566A1">
        <w:rPr>
          <w:rFonts w:ascii="Arial" w:hAnsi="Arial" w:cs="Arial"/>
          <w:b/>
          <w:i/>
          <w:sz w:val="20"/>
          <w:szCs w:val="20"/>
        </w:rPr>
        <w:t xml:space="preserve">. </w:t>
      </w:r>
    </w:p>
    <w:p w:rsidR="007566A1" w:rsidRPr="007566A1" w:rsidRDefault="007566A1" w:rsidP="00D01BB4">
      <w:pPr>
        <w:rPr>
          <w:rFonts w:ascii="Arial" w:hAnsi="Arial" w:cs="Arial"/>
          <w:b/>
          <w:i/>
          <w:sz w:val="20"/>
          <w:szCs w:val="20"/>
        </w:rPr>
      </w:pPr>
    </w:p>
    <w:p w:rsidR="007566A1" w:rsidRDefault="007566A1" w:rsidP="00D01BB4">
      <w:pPr>
        <w:rPr>
          <w:rFonts w:ascii="Arial" w:hAnsi="Arial" w:cs="Arial"/>
          <w:b/>
          <w:i/>
          <w:sz w:val="20"/>
          <w:szCs w:val="20"/>
        </w:rPr>
      </w:pPr>
      <w:r w:rsidRPr="007566A1">
        <w:rPr>
          <w:rFonts w:ascii="Arial" w:hAnsi="Arial" w:cs="Arial"/>
          <w:b/>
          <w:i/>
          <w:sz w:val="20"/>
          <w:szCs w:val="20"/>
        </w:rPr>
        <w:t>Recommendation 2</w:t>
      </w:r>
    </w:p>
    <w:p w:rsidR="007566A1" w:rsidRPr="007566A1" w:rsidRDefault="007566A1" w:rsidP="00D01BB4">
      <w:pPr>
        <w:rPr>
          <w:rFonts w:ascii="Arial" w:hAnsi="Arial" w:cs="Arial"/>
          <w:b/>
          <w:i/>
          <w:sz w:val="20"/>
          <w:szCs w:val="20"/>
        </w:rPr>
      </w:pPr>
    </w:p>
    <w:p w:rsidR="007566A1" w:rsidRPr="007566A1" w:rsidRDefault="007566A1" w:rsidP="00D01BB4">
      <w:pPr>
        <w:rPr>
          <w:rFonts w:ascii="Arial" w:hAnsi="Arial" w:cs="Arial"/>
          <w:b/>
          <w:i/>
          <w:sz w:val="20"/>
          <w:szCs w:val="20"/>
        </w:rPr>
      </w:pPr>
      <w:r w:rsidRPr="007566A1">
        <w:rPr>
          <w:rFonts w:ascii="Arial" w:hAnsi="Arial" w:cs="Arial"/>
          <w:b/>
          <w:i/>
          <w:sz w:val="20"/>
          <w:szCs w:val="20"/>
        </w:rPr>
        <w:t xml:space="preserve">The ATA recommend the NTC pursue road agencies to make sure they are aware of the of the contents of the ATA Barkwood Consulting P/L Truck Impact Chart as it show the true impact of heavy vehicles on the road. </w:t>
      </w:r>
    </w:p>
    <w:p w:rsidR="007566A1" w:rsidRPr="007566A1" w:rsidRDefault="007566A1" w:rsidP="00D01BB4">
      <w:pPr>
        <w:rPr>
          <w:rFonts w:ascii="Arial" w:hAnsi="Arial" w:cs="Arial"/>
          <w:b/>
          <w:i/>
          <w:sz w:val="20"/>
          <w:szCs w:val="20"/>
        </w:rPr>
      </w:pPr>
      <w:r w:rsidRPr="007566A1">
        <w:rPr>
          <w:rFonts w:ascii="Arial" w:hAnsi="Arial" w:cs="Arial"/>
          <w:b/>
          <w:i/>
          <w:sz w:val="20"/>
          <w:szCs w:val="20"/>
        </w:rPr>
        <w:t xml:space="preserve"> </w:t>
      </w:r>
    </w:p>
    <w:p w:rsidR="00D67F29" w:rsidRDefault="007566A1" w:rsidP="00D01BB4">
      <w:pPr>
        <w:rPr>
          <w:rFonts w:ascii="Arial" w:hAnsi="Arial" w:cs="Arial"/>
          <w:b/>
          <w:i/>
          <w:sz w:val="20"/>
          <w:szCs w:val="20"/>
        </w:rPr>
      </w:pPr>
      <w:r w:rsidRPr="007566A1">
        <w:rPr>
          <w:rFonts w:ascii="Arial" w:hAnsi="Arial" w:cs="Arial"/>
          <w:b/>
          <w:i/>
          <w:sz w:val="20"/>
          <w:szCs w:val="20"/>
        </w:rPr>
        <w:t>Recommendation 3</w:t>
      </w:r>
    </w:p>
    <w:p w:rsidR="007566A1" w:rsidRPr="007566A1" w:rsidRDefault="007566A1" w:rsidP="00D01BB4">
      <w:pPr>
        <w:rPr>
          <w:rFonts w:ascii="Arial" w:hAnsi="Arial" w:cs="Arial"/>
          <w:b/>
          <w:i/>
          <w:sz w:val="20"/>
          <w:szCs w:val="20"/>
        </w:rPr>
      </w:pPr>
    </w:p>
    <w:p w:rsidR="007566A1" w:rsidRPr="007566A1" w:rsidRDefault="007566A1" w:rsidP="00D01BB4">
      <w:pPr>
        <w:rPr>
          <w:rFonts w:ascii="Arial" w:hAnsi="Arial" w:cs="Arial"/>
          <w:b/>
          <w:i/>
          <w:sz w:val="20"/>
          <w:szCs w:val="20"/>
        </w:rPr>
      </w:pPr>
      <w:r w:rsidRPr="007566A1">
        <w:rPr>
          <w:rFonts w:ascii="Arial" w:hAnsi="Arial" w:cs="Arial"/>
          <w:b/>
          <w:i/>
          <w:sz w:val="20"/>
          <w:szCs w:val="20"/>
        </w:rPr>
        <w:t xml:space="preserve">The ATA recommends the provision of more rest areas, parking decoupling bays and heavy vehicle road enhancements. Technology should be encouraged for industry when it is fit for purpose. </w:t>
      </w:r>
    </w:p>
    <w:p w:rsidR="007566A1" w:rsidRPr="007566A1" w:rsidRDefault="007566A1" w:rsidP="00D01BB4">
      <w:pPr>
        <w:rPr>
          <w:rFonts w:ascii="Arial" w:hAnsi="Arial" w:cs="Arial"/>
          <w:b/>
          <w:i/>
          <w:sz w:val="20"/>
          <w:szCs w:val="20"/>
        </w:rPr>
      </w:pPr>
    </w:p>
    <w:p w:rsidR="007566A1" w:rsidRDefault="007566A1" w:rsidP="00D01BB4">
      <w:pPr>
        <w:rPr>
          <w:rFonts w:ascii="Arial" w:hAnsi="Arial" w:cs="Arial"/>
          <w:b/>
          <w:i/>
          <w:sz w:val="20"/>
          <w:szCs w:val="20"/>
        </w:rPr>
      </w:pPr>
      <w:r>
        <w:rPr>
          <w:rFonts w:ascii="Arial" w:hAnsi="Arial" w:cs="Arial"/>
          <w:b/>
          <w:i/>
          <w:sz w:val="20"/>
          <w:szCs w:val="20"/>
        </w:rPr>
        <w:br w:type="page"/>
      </w:r>
    </w:p>
    <w:p w:rsidR="00D67F29" w:rsidRDefault="007566A1" w:rsidP="00D01BB4">
      <w:pPr>
        <w:rPr>
          <w:rFonts w:ascii="Arial" w:hAnsi="Arial" w:cs="Arial"/>
          <w:b/>
          <w:i/>
          <w:sz w:val="20"/>
          <w:szCs w:val="20"/>
        </w:rPr>
      </w:pPr>
      <w:r w:rsidRPr="007566A1">
        <w:rPr>
          <w:rFonts w:ascii="Arial" w:hAnsi="Arial" w:cs="Arial"/>
          <w:b/>
          <w:i/>
          <w:sz w:val="20"/>
          <w:szCs w:val="20"/>
        </w:rPr>
        <w:lastRenderedPageBreak/>
        <w:t>Recommendation 4</w:t>
      </w:r>
    </w:p>
    <w:p w:rsidR="007566A1" w:rsidRPr="007566A1" w:rsidRDefault="007566A1" w:rsidP="00D01BB4">
      <w:pPr>
        <w:rPr>
          <w:rFonts w:ascii="Arial" w:hAnsi="Arial" w:cs="Arial"/>
          <w:b/>
          <w:i/>
          <w:sz w:val="20"/>
          <w:szCs w:val="20"/>
        </w:rPr>
      </w:pPr>
    </w:p>
    <w:p w:rsidR="007566A1" w:rsidRPr="007566A1" w:rsidRDefault="007566A1" w:rsidP="00D01BB4">
      <w:pPr>
        <w:rPr>
          <w:rFonts w:ascii="Arial" w:hAnsi="Arial" w:cs="Arial"/>
          <w:b/>
          <w:i/>
          <w:sz w:val="20"/>
          <w:szCs w:val="20"/>
        </w:rPr>
      </w:pPr>
      <w:r w:rsidRPr="007566A1">
        <w:rPr>
          <w:rFonts w:ascii="Arial" w:hAnsi="Arial" w:cs="Arial"/>
          <w:b/>
          <w:i/>
          <w:sz w:val="20"/>
          <w:szCs w:val="20"/>
        </w:rPr>
        <w:t xml:space="preserve">The NTC should focus on productivity enhancing moves in the heavy vehicle industry as there are many </w:t>
      </w:r>
      <w:proofErr w:type="gramStart"/>
      <w:r w:rsidRPr="007566A1">
        <w:rPr>
          <w:rFonts w:ascii="Arial" w:hAnsi="Arial" w:cs="Arial"/>
          <w:b/>
          <w:i/>
          <w:sz w:val="20"/>
          <w:szCs w:val="20"/>
        </w:rPr>
        <w:t>flow</w:t>
      </w:r>
      <w:proofErr w:type="gramEnd"/>
      <w:r w:rsidRPr="007566A1">
        <w:rPr>
          <w:rFonts w:ascii="Arial" w:hAnsi="Arial" w:cs="Arial"/>
          <w:b/>
          <w:i/>
          <w:sz w:val="20"/>
          <w:szCs w:val="20"/>
        </w:rPr>
        <w:t xml:space="preserve"> on </w:t>
      </w:r>
      <w:r w:rsidR="00DF6FB5">
        <w:rPr>
          <w:rFonts w:ascii="Arial" w:hAnsi="Arial" w:cs="Arial"/>
          <w:b/>
          <w:i/>
          <w:sz w:val="20"/>
          <w:szCs w:val="20"/>
        </w:rPr>
        <w:t>benefits which support economic</w:t>
      </w:r>
      <w:r w:rsidRPr="007566A1">
        <w:rPr>
          <w:rFonts w:ascii="Arial" w:hAnsi="Arial" w:cs="Arial"/>
          <w:b/>
          <w:i/>
          <w:sz w:val="20"/>
          <w:szCs w:val="20"/>
        </w:rPr>
        <w:t xml:space="preserve"> growth in Australia. </w:t>
      </w:r>
    </w:p>
    <w:p w:rsidR="007566A1" w:rsidRPr="007566A1" w:rsidRDefault="007566A1" w:rsidP="00D01BB4">
      <w:pPr>
        <w:rPr>
          <w:rFonts w:ascii="Arial" w:hAnsi="Arial" w:cs="Arial"/>
          <w:b/>
          <w:i/>
          <w:sz w:val="20"/>
          <w:szCs w:val="20"/>
        </w:rPr>
      </w:pPr>
    </w:p>
    <w:p w:rsidR="0022162F" w:rsidRDefault="0022162F" w:rsidP="00D01BB4">
      <w:pPr>
        <w:rPr>
          <w:rFonts w:ascii="Arial" w:hAnsi="Arial" w:cs="Arial"/>
          <w:b/>
          <w:i/>
          <w:sz w:val="20"/>
          <w:szCs w:val="20"/>
        </w:rPr>
      </w:pPr>
      <w:r>
        <w:rPr>
          <w:rFonts w:ascii="Arial" w:hAnsi="Arial" w:cs="Arial"/>
          <w:b/>
          <w:i/>
          <w:sz w:val="20"/>
          <w:szCs w:val="20"/>
        </w:rPr>
        <w:t xml:space="preserve">Recommendation 5 </w:t>
      </w:r>
    </w:p>
    <w:p w:rsidR="0022162F" w:rsidRPr="0022162F" w:rsidRDefault="0022162F" w:rsidP="00D01BB4">
      <w:pPr>
        <w:rPr>
          <w:rFonts w:ascii="Arial" w:hAnsi="Arial" w:cs="Arial"/>
          <w:b/>
          <w:i/>
          <w:sz w:val="20"/>
          <w:szCs w:val="20"/>
        </w:rPr>
      </w:pPr>
    </w:p>
    <w:p w:rsidR="0022162F" w:rsidRPr="0022162F" w:rsidRDefault="0022162F" w:rsidP="00D01BB4">
      <w:pPr>
        <w:rPr>
          <w:rFonts w:ascii="Arial" w:hAnsi="Arial" w:cs="Arial"/>
          <w:b/>
          <w:i/>
          <w:sz w:val="20"/>
          <w:szCs w:val="20"/>
        </w:rPr>
      </w:pPr>
      <w:r w:rsidRPr="0022162F">
        <w:rPr>
          <w:rFonts w:ascii="Arial" w:hAnsi="Arial" w:cs="Arial"/>
          <w:b/>
          <w:i/>
          <w:sz w:val="20"/>
          <w:szCs w:val="20"/>
        </w:rPr>
        <w:t xml:space="preserve">We recommend the NTC see governance of road provision as an area for transformation to provide better outcomes for the nation through improved planning decisions, expertise education and process of review of access decisions. </w:t>
      </w:r>
    </w:p>
    <w:p w:rsidR="0022162F" w:rsidRDefault="0022162F" w:rsidP="00D01BB4">
      <w:pPr>
        <w:rPr>
          <w:rFonts w:ascii="Arial" w:hAnsi="Arial" w:cs="Arial"/>
          <w:b/>
          <w:i/>
          <w:sz w:val="20"/>
          <w:szCs w:val="20"/>
        </w:rPr>
      </w:pPr>
    </w:p>
    <w:p w:rsidR="004B15CA" w:rsidRDefault="004B15CA" w:rsidP="00D01BB4">
      <w:pPr>
        <w:rPr>
          <w:rFonts w:ascii="Arial" w:hAnsi="Arial" w:cs="Arial"/>
          <w:b/>
          <w:i/>
          <w:sz w:val="20"/>
          <w:szCs w:val="20"/>
        </w:rPr>
      </w:pPr>
      <w:r>
        <w:rPr>
          <w:rFonts w:ascii="Arial" w:hAnsi="Arial" w:cs="Arial"/>
          <w:b/>
          <w:i/>
          <w:sz w:val="20"/>
          <w:szCs w:val="20"/>
        </w:rPr>
        <w:t xml:space="preserve">Recommendation 6 </w:t>
      </w:r>
    </w:p>
    <w:p w:rsidR="004B15CA" w:rsidRPr="004B15CA" w:rsidRDefault="004B15CA" w:rsidP="00D01BB4">
      <w:pPr>
        <w:rPr>
          <w:rFonts w:ascii="Arial" w:hAnsi="Arial" w:cs="Arial"/>
          <w:b/>
          <w:i/>
          <w:sz w:val="20"/>
          <w:szCs w:val="20"/>
        </w:rPr>
      </w:pPr>
    </w:p>
    <w:p w:rsidR="004B15CA" w:rsidRPr="004B15CA" w:rsidRDefault="004B15CA" w:rsidP="00D01BB4">
      <w:pPr>
        <w:rPr>
          <w:rFonts w:ascii="Arial" w:hAnsi="Arial" w:cs="Arial"/>
          <w:b/>
          <w:i/>
          <w:sz w:val="20"/>
          <w:szCs w:val="20"/>
        </w:rPr>
      </w:pPr>
      <w:r w:rsidRPr="004B15CA">
        <w:rPr>
          <w:rFonts w:ascii="Arial" w:hAnsi="Arial" w:cs="Arial"/>
          <w:b/>
          <w:i/>
          <w:sz w:val="20"/>
          <w:szCs w:val="20"/>
        </w:rPr>
        <w:t>We recommend the NTC note mass, distance and location charging is not supported by</w:t>
      </w:r>
      <w:r w:rsidR="00CB0276">
        <w:rPr>
          <w:rFonts w:ascii="Arial" w:hAnsi="Arial" w:cs="Arial"/>
          <w:b/>
          <w:i/>
          <w:sz w:val="20"/>
          <w:szCs w:val="20"/>
        </w:rPr>
        <w:t xml:space="preserve"> the</w:t>
      </w:r>
      <w:r w:rsidRPr="004B15CA">
        <w:rPr>
          <w:rFonts w:ascii="Arial" w:hAnsi="Arial" w:cs="Arial"/>
          <w:b/>
          <w:i/>
          <w:sz w:val="20"/>
          <w:szCs w:val="20"/>
        </w:rPr>
        <w:t xml:space="preserve"> heavy vehicle industry. </w:t>
      </w:r>
    </w:p>
    <w:p w:rsidR="00EE6CA1" w:rsidRPr="007566A1" w:rsidRDefault="00EE6CA1" w:rsidP="00D01BB4">
      <w:pPr>
        <w:rPr>
          <w:rFonts w:ascii="Arial" w:hAnsi="Arial" w:cs="Arial"/>
          <w:b/>
          <w:i/>
          <w:sz w:val="20"/>
          <w:szCs w:val="20"/>
        </w:rPr>
      </w:pPr>
    </w:p>
    <w:p w:rsidR="007566A1" w:rsidRPr="007566A1" w:rsidRDefault="0022162F" w:rsidP="00D01BB4">
      <w:pPr>
        <w:rPr>
          <w:rFonts w:ascii="Arial" w:hAnsi="Arial" w:cs="Arial"/>
          <w:b/>
          <w:i/>
          <w:sz w:val="20"/>
          <w:szCs w:val="20"/>
        </w:rPr>
      </w:pPr>
      <w:r>
        <w:rPr>
          <w:rFonts w:ascii="Arial" w:hAnsi="Arial" w:cs="Arial"/>
          <w:b/>
          <w:i/>
          <w:sz w:val="20"/>
          <w:szCs w:val="20"/>
        </w:rPr>
        <w:t>Recommendation 7</w:t>
      </w:r>
    </w:p>
    <w:p w:rsidR="007566A1" w:rsidRPr="007566A1" w:rsidRDefault="007566A1" w:rsidP="00D01BB4">
      <w:pPr>
        <w:rPr>
          <w:rFonts w:ascii="Arial" w:hAnsi="Arial" w:cs="Arial"/>
          <w:b/>
          <w:i/>
          <w:sz w:val="20"/>
          <w:szCs w:val="20"/>
        </w:rPr>
      </w:pPr>
    </w:p>
    <w:p w:rsidR="007566A1" w:rsidRPr="007566A1" w:rsidRDefault="005B595D" w:rsidP="00D01BB4">
      <w:pPr>
        <w:rPr>
          <w:rFonts w:ascii="Arial" w:hAnsi="Arial" w:cs="Arial"/>
          <w:b/>
          <w:i/>
          <w:sz w:val="20"/>
          <w:szCs w:val="20"/>
        </w:rPr>
      </w:pPr>
      <w:r>
        <w:rPr>
          <w:rFonts w:ascii="Arial" w:hAnsi="Arial" w:cs="Arial"/>
          <w:b/>
          <w:i/>
          <w:sz w:val="20"/>
          <w:szCs w:val="20"/>
        </w:rPr>
        <w:t>Local g</w:t>
      </w:r>
      <w:r w:rsidR="007566A1" w:rsidRPr="007566A1">
        <w:rPr>
          <w:rFonts w:ascii="Arial" w:hAnsi="Arial" w:cs="Arial"/>
          <w:b/>
          <w:i/>
          <w:sz w:val="20"/>
          <w:szCs w:val="20"/>
        </w:rPr>
        <w:t xml:space="preserve">overnments should have </w:t>
      </w:r>
      <w:r w:rsidR="00D540C7">
        <w:rPr>
          <w:rFonts w:ascii="Arial" w:hAnsi="Arial" w:cs="Arial"/>
          <w:b/>
          <w:i/>
          <w:sz w:val="20"/>
          <w:szCs w:val="20"/>
        </w:rPr>
        <w:t>stronger accountability to the C</w:t>
      </w:r>
      <w:r w:rsidR="007566A1" w:rsidRPr="007566A1">
        <w:rPr>
          <w:rFonts w:ascii="Arial" w:hAnsi="Arial" w:cs="Arial"/>
          <w:b/>
          <w:i/>
          <w:sz w:val="20"/>
          <w:szCs w:val="20"/>
        </w:rPr>
        <w:t xml:space="preserve">ommonwealth and state </w:t>
      </w:r>
      <w:r w:rsidR="00D540C7">
        <w:rPr>
          <w:rFonts w:ascii="Arial" w:hAnsi="Arial" w:cs="Arial"/>
          <w:b/>
          <w:i/>
          <w:sz w:val="20"/>
          <w:szCs w:val="20"/>
        </w:rPr>
        <w:t>government</w:t>
      </w:r>
      <w:r>
        <w:rPr>
          <w:rFonts w:ascii="Arial" w:hAnsi="Arial" w:cs="Arial"/>
          <w:b/>
          <w:i/>
          <w:sz w:val="20"/>
          <w:szCs w:val="20"/>
        </w:rPr>
        <w:t>s</w:t>
      </w:r>
      <w:r w:rsidR="00D540C7">
        <w:rPr>
          <w:rFonts w:ascii="Arial" w:hAnsi="Arial" w:cs="Arial"/>
          <w:b/>
          <w:i/>
          <w:sz w:val="20"/>
          <w:szCs w:val="20"/>
        </w:rPr>
        <w:t xml:space="preserve"> </w:t>
      </w:r>
      <w:r w:rsidR="007566A1" w:rsidRPr="007566A1">
        <w:rPr>
          <w:rFonts w:ascii="Arial" w:hAnsi="Arial" w:cs="Arial"/>
          <w:b/>
          <w:i/>
          <w:sz w:val="20"/>
          <w:szCs w:val="20"/>
        </w:rPr>
        <w:t xml:space="preserve">over spending and access decisions. </w:t>
      </w:r>
    </w:p>
    <w:p w:rsidR="007566A1" w:rsidRPr="007566A1" w:rsidRDefault="007566A1" w:rsidP="00D01BB4">
      <w:pPr>
        <w:rPr>
          <w:rFonts w:ascii="Arial" w:hAnsi="Arial" w:cs="Arial"/>
          <w:b/>
          <w:i/>
          <w:sz w:val="20"/>
          <w:szCs w:val="20"/>
        </w:rPr>
      </w:pPr>
    </w:p>
    <w:p w:rsidR="007566A1" w:rsidRDefault="007566A1" w:rsidP="00D01BB4">
      <w:pPr>
        <w:rPr>
          <w:rFonts w:ascii="Arial" w:hAnsi="Arial" w:cs="Arial"/>
          <w:b/>
          <w:i/>
          <w:sz w:val="20"/>
          <w:szCs w:val="20"/>
        </w:rPr>
      </w:pPr>
      <w:r w:rsidRPr="007566A1">
        <w:rPr>
          <w:rFonts w:ascii="Arial" w:hAnsi="Arial" w:cs="Arial"/>
          <w:b/>
          <w:i/>
          <w:sz w:val="20"/>
          <w:szCs w:val="20"/>
        </w:rPr>
        <w:t xml:space="preserve">Recommendation 8 </w:t>
      </w:r>
    </w:p>
    <w:p w:rsidR="00D01BB4" w:rsidRPr="007566A1" w:rsidRDefault="00D01BB4" w:rsidP="00D01BB4">
      <w:pPr>
        <w:rPr>
          <w:rFonts w:ascii="Arial" w:hAnsi="Arial" w:cs="Arial"/>
          <w:sz w:val="20"/>
          <w:szCs w:val="20"/>
        </w:rPr>
      </w:pPr>
    </w:p>
    <w:p w:rsidR="007566A1" w:rsidRDefault="007566A1" w:rsidP="00D01BB4">
      <w:pPr>
        <w:pStyle w:val="RecommendationStyle"/>
        <w:numPr>
          <w:ilvl w:val="0"/>
          <w:numId w:val="0"/>
        </w:numPr>
        <w:spacing w:before="0" w:after="0"/>
      </w:pPr>
      <w:r w:rsidRPr="007566A1">
        <w:t xml:space="preserve">A National Heavy Vehicle Regulator has the potential to increase productivity and treat the heavy vehicle industry’s movements on a national level. We encourage the NTC to pay attention to the outcomes of the NHVR to make sure that the national regulator is not diminished by the state and government amendments. </w:t>
      </w:r>
    </w:p>
    <w:p w:rsidR="00D01BB4" w:rsidRPr="007566A1" w:rsidRDefault="00D01BB4" w:rsidP="00D01BB4">
      <w:pPr>
        <w:pStyle w:val="RecommendationStyle"/>
        <w:numPr>
          <w:ilvl w:val="0"/>
          <w:numId w:val="0"/>
        </w:numPr>
        <w:spacing w:before="0" w:after="0"/>
      </w:pPr>
    </w:p>
    <w:p w:rsidR="007566A1" w:rsidRDefault="007566A1" w:rsidP="00D01BB4">
      <w:pPr>
        <w:pStyle w:val="RecommendationStyle"/>
        <w:numPr>
          <w:ilvl w:val="0"/>
          <w:numId w:val="0"/>
        </w:numPr>
        <w:spacing w:before="0" w:after="0"/>
      </w:pPr>
      <w:r w:rsidRPr="007566A1">
        <w:t xml:space="preserve">Recommendation 9 </w:t>
      </w:r>
    </w:p>
    <w:p w:rsidR="00D01BB4" w:rsidRPr="007566A1" w:rsidRDefault="00D01BB4" w:rsidP="00D01BB4">
      <w:pPr>
        <w:pStyle w:val="RecommendationStyle"/>
        <w:numPr>
          <w:ilvl w:val="0"/>
          <w:numId w:val="0"/>
        </w:numPr>
        <w:spacing w:before="0" w:after="0"/>
      </w:pPr>
    </w:p>
    <w:p w:rsidR="004A16F4" w:rsidRPr="007566A1" w:rsidRDefault="007566A1" w:rsidP="00D01BB4">
      <w:pPr>
        <w:rPr>
          <w:rFonts w:ascii="Arial" w:hAnsi="Arial" w:cs="Arial"/>
          <w:b/>
          <w:i/>
          <w:sz w:val="20"/>
          <w:szCs w:val="20"/>
        </w:rPr>
      </w:pPr>
      <w:r w:rsidRPr="007566A1">
        <w:rPr>
          <w:rFonts w:ascii="Arial" w:hAnsi="Arial" w:cs="Arial"/>
          <w:b/>
          <w:i/>
          <w:sz w:val="20"/>
          <w:szCs w:val="20"/>
        </w:rPr>
        <w:t xml:space="preserve">We recommend the role of technology should be encouraged, but not required for the heavy vehicle industry to operate. </w:t>
      </w:r>
    </w:p>
    <w:p w:rsidR="007566A1" w:rsidRPr="007566A1" w:rsidRDefault="007566A1" w:rsidP="00D01BB4">
      <w:pPr>
        <w:rPr>
          <w:rFonts w:ascii="Arial" w:hAnsi="Arial" w:cs="Arial"/>
          <w:b/>
          <w:i/>
          <w:sz w:val="20"/>
          <w:szCs w:val="20"/>
        </w:rPr>
      </w:pPr>
    </w:p>
    <w:p w:rsidR="007566A1" w:rsidRDefault="007566A1" w:rsidP="00D01BB4">
      <w:pPr>
        <w:rPr>
          <w:rFonts w:ascii="Arial" w:hAnsi="Arial" w:cs="Arial"/>
          <w:b/>
          <w:i/>
          <w:sz w:val="20"/>
          <w:szCs w:val="20"/>
        </w:rPr>
      </w:pPr>
      <w:r w:rsidRPr="007566A1">
        <w:rPr>
          <w:rFonts w:ascii="Arial" w:hAnsi="Arial" w:cs="Arial"/>
          <w:b/>
          <w:i/>
          <w:sz w:val="20"/>
          <w:szCs w:val="20"/>
        </w:rPr>
        <w:t xml:space="preserve">Recommendation 10 </w:t>
      </w:r>
    </w:p>
    <w:p w:rsidR="00D01BB4" w:rsidRPr="007566A1" w:rsidRDefault="00D01BB4" w:rsidP="00D01BB4">
      <w:pPr>
        <w:rPr>
          <w:rFonts w:ascii="Arial" w:hAnsi="Arial" w:cs="Arial"/>
          <w:b/>
          <w:i/>
          <w:sz w:val="20"/>
          <w:szCs w:val="20"/>
        </w:rPr>
      </w:pPr>
    </w:p>
    <w:p w:rsidR="00785D3C" w:rsidRDefault="007566A1" w:rsidP="00D01BB4">
      <w:pPr>
        <w:pStyle w:val="RecommendationStyle"/>
        <w:numPr>
          <w:ilvl w:val="0"/>
          <w:numId w:val="0"/>
        </w:numPr>
        <w:spacing w:before="0" w:after="0"/>
        <w:rPr>
          <w:color w:val="000000" w:themeColor="text1"/>
        </w:rPr>
      </w:pPr>
      <w:bookmarkStart w:id="3" w:name="_Toc305138963"/>
      <w:bookmarkStart w:id="4" w:name="_Toc305139657"/>
      <w:bookmarkStart w:id="5" w:name="_Toc305157989"/>
      <w:bookmarkStart w:id="6" w:name="_Toc305158640"/>
      <w:bookmarkStart w:id="7" w:name="_Toc305161161"/>
      <w:bookmarkStart w:id="8" w:name="_Toc305161849"/>
      <w:bookmarkStart w:id="9" w:name="_Toc305162163"/>
      <w:bookmarkStart w:id="10" w:name="_Toc305590068"/>
      <w:bookmarkStart w:id="11" w:name="_Toc305590381"/>
      <w:bookmarkStart w:id="12" w:name="_Toc306174126"/>
      <w:bookmarkEnd w:id="3"/>
      <w:bookmarkEnd w:id="4"/>
      <w:bookmarkEnd w:id="5"/>
      <w:bookmarkEnd w:id="6"/>
      <w:bookmarkEnd w:id="7"/>
      <w:bookmarkEnd w:id="8"/>
      <w:bookmarkEnd w:id="9"/>
      <w:bookmarkEnd w:id="10"/>
      <w:bookmarkEnd w:id="11"/>
      <w:bookmarkEnd w:id="12"/>
      <w:r w:rsidRPr="007566A1">
        <w:rPr>
          <w:color w:val="000000" w:themeColor="text1"/>
        </w:rPr>
        <w:t>The ATA recommends that no congestion charging should be introduced in Australia</w:t>
      </w:r>
      <w:r w:rsidR="005B595D">
        <w:rPr>
          <w:color w:val="000000" w:themeColor="text1"/>
        </w:rPr>
        <w:t>.</w:t>
      </w:r>
    </w:p>
    <w:p w:rsidR="00D01BB4" w:rsidRDefault="00D01BB4" w:rsidP="00D01BB4">
      <w:pPr>
        <w:pStyle w:val="RecommendationStyle"/>
        <w:numPr>
          <w:ilvl w:val="0"/>
          <w:numId w:val="0"/>
        </w:numPr>
        <w:spacing w:before="0" w:after="0"/>
        <w:rPr>
          <w:color w:val="000000" w:themeColor="text1"/>
        </w:rPr>
      </w:pPr>
    </w:p>
    <w:p w:rsidR="00B93A25" w:rsidRDefault="00B93A25" w:rsidP="00D01BB4">
      <w:pPr>
        <w:pStyle w:val="RecommendationStyle"/>
        <w:numPr>
          <w:ilvl w:val="0"/>
          <w:numId w:val="0"/>
        </w:numPr>
        <w:spacing w:before="0" w:after="0"/>
        <w:rPr>
          <w:color w:val="000000" w:themeColor="text1"/>
        </w:rPr>
      </w:pPr>
      <w:r>
        <w:rPr>
          <w:color w:val="000000" w:themeColor="text1"/>
        </w:rPr>
        <w:t>Recommendation 11</w:t>
      </w:r>
      <w:r w:rsidRPr="00B93A25">
        <w:rPr>
          <w:color w:val="000000" w:themeColor="text1"/>
        </w:rPr>
        <w:t xml:space="preserve"> </w:t>
      </w:r>
    </w:p>
    <w:p w:rsidR="00D01BB4" w:rsidRPr="00B93A25" w:rsidRDefault="00D01BB4" w:rsidP="00D01BB4">
      <w:pPr>
        <w:pStyle w:val="RecommendationStyle"/>
        <w:numPr>
          <w:ilvl w:val="0"/>
          <w:numId w:val="0"/>
        </w:numPr>
        <w:spacing w:before="0" w:after="0"/>
        <w:rPr>
          <w:color w:val="000000" w:themeColor="text1"/>
        </w:rPr>
      </w:pPr>
    </w:p>
    <w:p w:rsidR="00B93A25" w:rsidRDefault="00B93A25" w:rsidP="00D01BB4">
      <w:pPr>
        <w:pStyle w:val="RecommendationStyle"/>
        <w:numPr>
          <w:ilvl w:val="0"/>
          <w:numId w:val="0"/>
        </w:numPr>
        <w:spacing w:before="0" w:after="0"/>
        <w:rPr>
          <w:color w:val="000000" w:themeColor="text1"/>
        </w:rPr>
      </w:pPr>
      <w:r w:rsidRPr="00B93A25">
        <w:rPr>
          <w:color w:val="000000" w:themeColor="text1"/>
        </w:rPr>
        <w:t xml:space="preserve">The NTC should seek to improve public transports efficiency, frequency and cost-efficiency for residents in cities in order to alleviate congestion.  </w:t>
      </w:r>
    </w:p>
    <w:p w:rsidR="00D01BB4" w:rsidRPr="007566A1" w:rsidRDefault="00D01BB4" w:rsidP="00D01BB4">
      <w:pPr>
        <w:pStyle w:val="RecommendationStyle"/>
        <w:numPr>
          <w:ilvl w:val="0"/>
          <w:numId w:val="0"/>
        </w:numPr>
        <w:spacing w:before="0" w:after="0"/>
        <w:rPr>
          <w:color w:val="000000" w:themeColor="text1"/>
        </w:rPr>
      </w:pPr>
    </w:p>
    <w:p w:rsidR="007566A1" w:rsidRDefault="00B93A25" w:rsidP="00D01BB4">
      <w:pPr>
        <w:pStyle w:val="RecommendationStyle"/>
        <w:numPr>
          <w:ilvl w:val="0"/>
          <w:numId w:val="0"/>
        </w:numPr>
        <w:spacing w:before="0" w:after="0"/>
        <w:rPr>
          <w:color w:val="000000" w:themeColor="text1"/>
        </w:rPr>
      </w:pPr>
      <w:r>
        <w:rPr>
          <w:color w:val="000000" w:themeColor="text1"/>
        </w:rPr>
        <w:t>Recommendation 12</w:t>
      </w:r>
    </w:p>
    <w:p w:rsidR="00D01BB4" w:rsidRPr="007566A1" w:rsidRDefault="00D01BB4" w:rsidP="00D01BB4">
      <w:pPr>
        <w:pStyle w:val="RecommendationStyle"/>
        <w:numPr>
          <w:ilvl w:val="0"/>
          <w:numId w:val="0"/>
        </w:numPr>
        <w:spacing w:before="0" w:after="0"/>
        <w:rPr>
          <w:color w:val="000000" w:themeColor="text1"/>
        </w:rPr>
      </w:pPr>
    </w:p>
    <w:p w:rsidR="00785D3C" w:rsidRPr="007566A1" w:rsidRDefault="00785D3C" w:rsidP="00D01BB4">
      <w:pPr>
        <w:pStyle w:val="RecommendationStyle"/>
        <w:numPr>
          <w:ilvl w:val="0"/>
          <w:numId w:val="0"/>
        </w:numPr>
        <w:spacing w:before="0" w:after="0"/>
        <w:rPr>
          <w:color w:val="000000" w:themeColor="text1"/>
        </w:rPr>
      </w:pPr>
      <w:r w:rsidRPr="007566A1">
        <w:rPr>
          <w:color w:val="000000" w:themeColor="text1"/>
        </w:rPr>
        <w:t>The NTC should focus its attention on providing roads and transport networks t</w:t>
      </w:r>
      <w:r w:rsidR="00DF6FB5">
        <w:rPr>
          <w:color w:val="000000" w:themeColor="text1"/>
        </w:rPr>
        <w:t>o</w:t>
      </w:r>
      <w:r w:rsidRPr="007566A1">
        <w:rPr>
          <w:color w:val="000000" w:themeColor="text1"/>
        </w:rPr>
        <w:t xml:space="preserve"> promote productivity and keep Australia moving. Other peripheral concerns are not </w:t>
      </w:r>
      <w:r w:rsidR="00D540C7">
        <w:rPr>
          <w:color w:val="000000" w:themeColor="text1"/>
        </w:rPr>
        <w:t xml:space="preserve">issues for the NTC and in some cases not issues for government at all. </w:t>
      </w:r>
      <w:r w:rsidRPr="007566A1">
        <w:rPr>
          <w:color w:val="000000" w:themeColor="text1"/>
        </w:rPr>
        <w:t xml:space="preserve"> </w:t>
      </w:r>
    </w:p>
    <w:p w:rsidR="00DD4D2B" w:rsidRDefault="00DD4D2B" w:rsidP="00D01BB4">
      <w:pPr>
        <w:pStyle w:val="RecommendationStyle"/>
        <w:numPr>
          <w:ilvl w:val="0"/>
          <w:numId w:val="0"/>
        </w:numPr>
        <w:spacing w:before="0" w:after="0"/>
        <w:rPr>
          <w:color w:val="000000" w:themeColor="text1"/>
        </w:rPr>
      </w:pPr>
    </w:p>
    <w:p w:rsidR="00D01BB4" w:rsidRPr="00A21775" w:rsidRDefault="00D01BB4" w:rsidP="00D01BB4">
      <w:pPr>
        <w:pStyle w:val="RecommendationStyle"/>
        <w:numPr>
          <w:ilvl w:val="0"/>
          <w:numId w:val="0"/>
        </w:numPr>
        <w:spacing w:before="0" w:after="0"/>
        <w:rPr>
          <w:color w:val="000000" w:themeColor="text1"/>
        </w:rPr>
      </w:pPr>
    </w:p>
    <w:p w:rsidR="00616BBA" w:rsidRPr="00972601" w:rsidRDefault="00A21775" w:rsidP="00D01BB4">
      <w:pPr>
        <w:pStyle w:val="Heading1"/>
      </w:pPr>
      <w:bookmarkStart w:id="13" w:name="_Toc305138965"/>
      <w:bookmarkStart w:id="14" w:name="_Toc305139659"/>
      <w:bookmarkStart w:id="15" w:name="_Toc305157991"/>
      <w:bookmarkStart w:id="16" w:name="_Toc305158642"/>
      <w:bookmarkStart w:id="17" w:name="_Toc305161163"/>
      <w:bookmarkStart w:id="18" w:name="_Toc305161851"/>
      <w:bookmarkStart w:id="19" w:name="_Toc305162165"/>
      <w:bookmarkStart w:id="20" w:name="_Toc305590070"/>
      <w:bookmarkStart w:id="21" w:name="_Toc305590383"/>
      <w:bookmarkStart w:id="22" w:name="_Toc306363310"/>
      <w:bookmarkEnd w:id="13"/>
      <w:bookmarkEnd w:id="14"/>
      <w:bookmarkEnd w:id="15"/>
      <w:bookmarkEnd w:id="16"/>
      <w:bookmarkEnd w:id="17"/>
      <w:bookmarkEnd w:id="18"/>
      <w:bookmarkEnd w:id="19"/>
      <w:bookmarkEnd w:id="20"/>
      <w:bookmarkEnd w:id="21"/>
      <w:r w:rsidRPr="00972601">
        <w:t>O</w:t>
      </w:r>
      <w:r w:rsidR="00616BBA" w:rsidRPr="00972601">
        <w:t>bjectives of the NTC’s future plan</w:t>
      </w:r>
      <w:bookmarkEnd w:id="22"/>
    </w:p>
    <w:p w:rsidR="009A1429" w:rsidRPr="009A1429" w:rsidRDefault="009A1429" w:rsidP="00D01BB4"/>
    <w:p w:rsidR="00AA11F9" w:rsidRDefault="00AA11F9" w:rsidP="00D01BB4">
      <w:pPr>
        <w:rPr>
          <w:rFonts w:ascii="Arial" w:hAnsi="Arial" w:cs="Arial"/>
          <w:sz w:val="20"/>
          <w:szCs w:val="20"/>
        </w:rPr>
      </w:pPr>
      <w:r>
        <w:rPr>
          <w:rFonts w:ascii="Arial" w:hAnsi="Arial" w:cs="Arial"/>
          <w:sz w:val="20"/>
          <w:szCs w:val="20"/>
        </w:rPr>
        <w:t>The discussion paper has a broad focus of what it sees as objectives for t</w:t>
      </w:r>
      <w:r w:rsidR="008578BB">
        <w:rPr>
          <w:rFonts w:ascii="Arial" w:hAnsi="Arial" w:cs="Arial"/>
          <w:sz w:val="20"/>
          <w:szCs w:val="20"/>
        </w:rPr>
        <w:t>he transport system to address. H</w:t>
      </w:r>
      <w:r>
        <w:rPr>
          <w:rFonts w:ascii="Arial" w:hAnsi="Arial" w:cs="Arial"/>
          <w:sz w:val="20"/>
          <w:szCs w:val="20"/>
        </w:rPr>
        <w:t xml:space="preserve">owever, while some of these are desired for focus by the ATA, many are </w:t>
      </w:r>
      <w:r w:rsidR="001A0E23">
        <w:rPr>
          <w:rFonts w:ascii="Arial" w:hAnsi="Arial" w:cs="Arial"/>
          <w:sz w:val="20"/>
          <w:szCs w:val="20"/>
        </w:rPr>
        <w:t>secondary</w:t>
      </w:r>
      <w:r>
        <w:rPr>
          <w:rFonts w:ascii="Arial" w:hAnsi="Arial" w:cs="Arial"/>
          <w:sz w:val="20"/>
          <w:szCs w:val="20"/>
        </w:rPr>
        <w:t xml:space="preserve"> concerns that the NTC should not be expected to solve. </w:t>
      </w:r>
    </w:p>
    <w:p w:rsidR="00AA11F9" w:rsidRDefault="00AA11F9" w:rsidP="00D01BB4">
      <w:pPr>
        <w:rPr>
          <w:rFonts w:ascii="Arial" w:hAnsi="Arial" w:cs="Arial"/>
          <w:sz w:val="20"/>
          <w:szCs w:val="20"/>
        </w:rPr>
      </w:pPr>
    </w:p>
    <w:p w:rsidR="00AA11F9" w:rsidRDefault="00B94CE8" w:rsidP="00D01BB4">
      <w:pPr>
        <w:rPr>
          <w:rFonts w:ascii="Arial" w:hAnsi="Arial" w:cs="Arial"/>
          <w:sz w:val="20"/>
          <w:szCs w:val="20"/>
        </w:rPr>
      </w:pPr>
      <w:r w:rsidRPr="00A21775">
        <w:rPr>
          <w:rFonts w:ascii="Arial" w:hAnsi="Arial" w:cs="Arial"/>
          <w:sz w:val="20"/>
          <w:szCs w:val="20"/>
        </w:rPr>
        <w:t xml:space="preserve">The NTC’s key challenges should be distilled into areas where the success of the NTC is possible. Resources spent on policy and programs that are likely to have limited or negative effect should </w:t>
      </w:r>
      <w:r w:rsidR="00AA11F9">
        <w:rPr>
          <w:rFonts w:ascii="Arial" w:hAnsi="Arial" w:cs="Arial"/>
          <w:sz w:val="20"/>
          <w:szCs w:val="20"/>
        </w:rPr>
        <w:t xml:space="preserve">not be </w:t>
      </w:r>
      <w:r w:rsidR="00A9513D">
        <w:rPr>
          <w:rFonts w:ascii="Arial" w:hAnsi="Arial" w:cs="Arial"/>
          <w:sz w:val="20"/>
          <w:szCs w:val="20"/>
        </w:rPr>
        <w:t>indulged</w:t>
      </w:r>
      <w:r w:rsidRPr="00A21775">
        <w:rPr>
          <w:rFonts w:ascii="Arial" w:hAnsi="Arial" w:cs="Arial"/>
          <w:sz w:val="20"/>
          <w:szCs w:val="20"/>
        </w:rPr>
        <w:t xml:space="preserve">. In this paper there are worrying signs that the NTC sees </w:t>
      </w:r>
      <w:r w:rsidR="00A9513D">
        <w:rPr>
          <w:rFonts w:ascii="Arial" w:hAnsi="Arial" w:cs="Arial"/>
          <w:sz w:val="20"/>
          <w:szCs w:val="20"/>
        </w:rPr>
        <w:t>transport</w:t>
      </w:r>
      <w:r w:rsidRPr="00A21775">
        <w:rPr>
          <w:rFonts w:ascii="Arial" w:hAnsi="Arial" w:cs="Arial"/>
          <w:sz w:val="20"/>
          <w:szCs w:val="20"/>
        </w:rPr>
        <w:t xml:space="preserve"> as the cure-all for society’</w:t>
      </w:r>
      <w:r w:rsidR="00897B4D">
        <w:rPr>
          <w:rFonts w:ascii="Arial" w:hAnsi="Arial" w:cs="Arial"/>
          <w:sz w:val="20"/>
          <w:szCs w:val="20"/>
        </w:rPr>
        <w:t xml:space="preserve">s ills. </w:t>
      </w:r>
    </w:p>
    <w:p w:rsidR="00AA11F9" w:rsidRDefault="00AA11F9" w:rsidP="00D01BB4">
      <w:pPr>
        <w:rPr>
          <w:rFonts w:ascii="Arial" w:hAnsi="Arial" w:cs="Arial"/>
          <w:sz w:val="20"/>
          <w:szCs w:val="20"/>
        </w:rPr>
      </w:pPr>
      <w:r>
        <w:rPr>
          <w:rFonts w:ascii="Arial" w:hAnsi="Arial" w:cs="Arial"/>
          <w:sz w:val="20"/>
          <w:szCs w:val="20"/>
        </w:rPr>
        <w:t xml:space="preserve">Most of the problems mentioned could be alleviated if there </w:t>
      </w:r>
      <w:r w:rsidR="00A238D8">
        <w:rPr>
          <w:rFonts w:ascii="Arial" w:hAnsi="Arial" w:cs="Arial"/>
          <w:sz w:val="20"/>
          <w:szCs w:val="20"/>
        </w:rPr>
        <w:t>was</w:t>
      </w:r>
      <w:r w:rsidR="00CB1A87">
        <w:rPr>
          <w:rFonts w:ascii="Arial" w:hAnsi="Arial" w:cs="Arial"/>
          <w:sz w:val="20"/>
          <w:szCs w:val="20"/>
        </w:rPr>
        <w:t xml:space="preserve"> </w:t>
      </w:r>
      <w:r w:rsidR="00A238D8">
        <w:rPr>
          <w:rFonts w:ascii="Arial" w:hAnsi="Arial" w:cs="Arial"/>
          <w:sz w:val="20"/>
          <w:szCs w:val="20"/>
        </w:rPr>
        <w:t>improved</w:t>
      </w:r>
      <w:r w:rsidR="00CB1A87">
        <w:rPr>
          <w:rFonts w:ascii="Arial" w:hAnsi="Arial" w:cs="Arial"/>
          <w:sz w:val="20"/>
          <w:szCs w:val="20"/>
        </w:rPr>
        <w:t xml:space="preserve"> supply side initiative</w:t>
      </w:r>
      <w:r>
        <w:rPr>
          <w:rFonts w:ascii="Arial" w:hAnsi="Arial" w:cs="Arial"/>
          <w:sz w:val="20"/>
          <w:szCs w:val="20"/>
        </w:rPr>
        <w:t xml:space="preserve"> such as </w:t>
      </w:r>
      <w:r w:rsidR="00A238D8">
        <w:rPr>
          <w:rFonts w:ascii="Arial" w:hAnsi="Arial" w:cs="Arial"/>
          <w:sz w:val="20"/>
          <w:szCs w:val="20"/>
        </w:rPr>
        <w:t xml:space="preserve">better </w:t>
      </w:r>
      <w:r>
        <w:rPr>
          <w:rFonts w:ascii="Arial" w:hAnsi="Arial" w:cs="Arial"/>
          <w:sz w:val="20"/>
          <w:szCs w:val="20"/>
        </w:rPr>
        <w:t>educated planners,</w:t>
      </w:r>
      <w:r w:rsidR="001A0E23">
        <w:rPr>
          <w:rFonts w:ascii="Arial" w:hAnsi="Arial" w:cs="Arial"/>
          <w:sz w:val="20"/>
          <w:szCs w:val="20"/>
        </w:rPr>
        <w:t xml:space="preserve"> more</w:t>
      </w:r>
      <w:r>
        <w:rPr>
          <w:rFonts w:ascii="Arial" w:hAnsi="Arial" w:cs="Arial"/>
          <w:sz w:val="20"/>
          <w:szCs w:val="20"/>
        </w:rPr>
        <w:t xml:space="preserve"> responsive maintenance and productivity focussed road provision. Installing a public transport system </w:t>
      </w:r>
      <w:r w:rsidR="00AB130E">
        <w:rPr>
          <w:rFonts w:ascii="Arial" w:hAnsi="Arial" w:cs="Arial"/>
          <w:sz w:val="20"/>
          <w:szCs w:val="20"/>
        </w:rPr>
        <w:t>that sui</w:t>
      </w:r>
      <w:r w:rsidR="00CB1A87">
        <w:rPr>
          <w:rFonts w:ascii="Arial" w:hAnsi="Arial" w:cs="Arial"/>
          <w:sz w:val="20"/>
          <w:szCs w:val="20"/>
        </w:rPr>
        <w:t>ts</w:t>
      </w:r>
      <w:r w:rsidR="00AB130E">
        <w:rPr>
          <w:rFonts w:ascii="Arial" w:hAnsi="Arial" w:cs="Arial"/>
          <w:sz w:val="20"/>
          <w:szCs w:val="20"/>
        </w:rPr>
        <w:t xml:space="preserve"> the modern demands of</w:t>
      </w:r>
      <w:r w:rsidR="001A0E23">
        <w:rPr>
          <w:rFonts w:ascii="Arial" w:hAnsi="Arial" w:cs="Arial"/>
          <w:sz w:val="20"/>
          <w:szCs w:val="20"/>
        </w:rPr>
        <w:t xml:space="preserve"> Australia</w:t>
      </w:r>
      <w:r w:rsidR="00AB130E">
        <w:rPr>
          <w:rFonts w:ascii="Arial" w:hAnsi="Arial" w:cs="Arial"/>
          <w:sz w:val="20"/>
          <w:szCs w:val="20"/>
        </w:rPr>
        <w:t xml:space="preserve"> is paramount to supporting the productivity and the economy of the nation. </w:t>
      </w:r>
    </w:p>
    <w:p w:rsidR="001A0E23" w:rsidRDefault="001A0E23" w:rsidP="00D01BB4">
      <w:pPr>
        <w:rPr>
          <w:rFonts w:ascii="Arial" w:hAnsi="Arial" w:cs="Arial"/>
          <w:sz w:val="20"/>
          <w:szCs w:val="20"/>
        </w:rPr>
      </w:pPr>
    </w:p>
    <w:p w:rsidR="007566A1" w:rsidRDefault="007566A1" w:rsidP="00D01BB4">
      <w:pPr>
        <w:rPr>
          <w:rFonts w:ascii="Arial" w:hAnsi="Arial" w:cs="Arial"/>
          <w:sz w:val="24"/>
          <w:szCs w:val="24"/>
        </w:rPr>
      </w:pPr>
      <w:r>
        <w:rPr>
          <w:rFonts w:ascii="Arial" w:hAnsi="Arial" w:cs="Arial"/>
          <w:sz w:val="24"/>
          <w:szCs w:val="24"/>
        </w:rPr>
        <w:br w:type="page"/>
      </w:r>
    </w:p>
    <w:p w:rsidR="00B94CE8" w:rsidRPr="007566A1" w:rsidRDefault="00B94CE8" w:rsidP="00D01BB4">
      <w:pPr>
        <w:rPr>
          <w:rFonts w:ascii="Arial" w:hAnsi="Arial" w:cs="Arial"/>
          <w:sz w:val="24"/>
          <w:szCs w:val="24"/>
        </w:rPr>
      </w:pPr>
    </w:p>
    <w:p w:rsidR="00B94CE8" w:rsidRPr="00972601" w:rsidRDefault="00EA3010" w:rsidP="00D01BB4">
      <w:pPr>
        <w:pStyle w:val="ATAHeading2"/>
        <w:spacing w:before="0" w:after="0" w:line="240" w:lineRule="auto"/>
        <w:ind w:left="851" w:hanging="851"/>
        <w:rPr>
          <w:sz w:val="28"/>
          <w:szCs w:val="28"/>
        </w:rPr>
      </w:pPr>
      <w:bookmarkStart w:id="23" w:name="_Toc306363311"/>
      <w:r w:rsidRPr="00972601">
        <w:rPr>
          <w:sz w:val="28"/>
          <w:szCs w:val="28"/>
        </w:rPr>
        <w:t>P</w:t>
      </w:r>
      <w:r w:rsidR="00B94CE8" w:rsidRPr="00972601">
        <w:rPr>
          <w:sz w:val="28"/>
          <w:szCs w:val="28"/>
        </w:rPr>
        <w:t>roductivity</w:t>
      </w:r>
      <w:bookmarkEnd w:id="23"/>
    </w:p>
    <w:p w:rsidR="002A6474" w:rsidRPr="00A21775" w:rsidRDefault="002A6474" w:rsidP="00D01BB4">
      <w:pPr>
        <w:rPr>
          <w:rFonts w:ascii="Arial" w:hAnsi="Arial" w:cs="Arial"/>
          <w:sz w:val="20"/>
          <w:szCs w:val="20"/>
        </w:rPr>
      </w:pPr>
    </w:p>
    <w:p w:rsidR="002A6474" w:rsidRPr="00A21775" w:rsidRDefault="00AB130E" w:rsidP="00D01BB4">
      <w:pPr>
        <w:rPr>
          <w:rFonts w:ascii="Arial" w:hAnsi="Arial" w:cs="Arial"/>
          <w:bCs/>
          <w:sz w:val="20"/>
          <w:szCs w:val="20"/>
        </w:rPr>
      </w:pPr>
      <w:r>
        <w:rPr>
          <w:rFonts w:ascii="Arial" w:hAnsi="Arial" w:cs="Arial"/>
          <w:sz w:val="20"/>
          <w:szCs w:val="20"/>
        </w:rPr>
        <w:t>T</w:t>
      </w:r>
      <w:r w:rsidR="002A6474" w:rsidRPr="00A21775">
        <w:rPr>
          <w:rFonts w:ascii="Arial" w:hAnsi="Arial" w:cs="Arial"/>
          <w:sz w:val="20"/>
          <w:szCs w:val="20"/>
        </w:rPr>
        <w:t>he</w:t>
      </w:r>
      <w:r w:rsidR="002A6474" w:rsidRPr="00A21775">
        <w:rPr>
          <w:rFonts w:ascii="Arial" w:hAnsi="Arial" w:cs="Arial"/>
          <w:bCs/>
          <w:sz w:val="20"/>
          <w:szCs w:val="20"/>
        </w:rPr>
        <w:t xml:space="preserve"> decline in productivity in the heavy vehicle industry has hampered the economy’s </w:t>
      </w:r>
      <w:r w:rsidR="00A9513D" w:rsidRPr="00A21775">
        <w:rPr>
          <w:rFonts w:ascii="Arial" w:hAnsi="Arial" w:cs="Arial"/>
          <w:bCs/>
          <w:sz w:val="20"/>
          <w:szCs w:val="20"/>
        </w:rPr>
        <w:t>ability</w:t>
      </w:r>
      <w:r w:rsidR="002A6474" w:rsidRPr="00A21775">
        <w:rPr>
          <w:rFonts w:ascii="Arial" w:hAnsi="Arial" w:cs="Arial"/>
          <w:bCs/>
          <w:sz w:val="20"/>
          <w:szCs w:val="20"/>
        </w:rPr>
        <w:t xml:space="preserve"> to grow. </w:t>
      </w:r>
      <w:r w:rsidR="003D0FFB">
        <w:rPr>
          <w:rFonts w:ascii="Arial" w:hAnsi="Arial" w:cs="Arial"/>
          <w:bCs/>
          <w:sz w:val="20"/>
          <w:szCs w:val="20"/>
        </w:rPr>
        <w:t xml:space="preserve">Failure to provide capacity for businesses and the industry to </w:t>
      </w:r>
      <w:r w:rsidR="00EE6F0A">
        <w:rPr>
          <w:rFonts w:ascii="Arial" w:hAnsi="Arial" w:cs="Arial"/>
          <w:bCs/>
          <w:sz w:val="20"/>
          <w:szCs w:val="20"/>
        </w:rPr>
        <w:t>develop</w:t>
      </w:r>
      <w:r w:rsidR="003D0FFB">
        <w:rPr>
          <w:rFonts w:ascii="Arial" w:hAnsi="Arial" w:cs="Arial"/>
          <w:bCs/>
          <w:sz w:val="20"/>
          <w:szCs w:val="20"/>
        </w:rPr>
        <w:t xml:space="preserve"> is one of the major failings of local governments, road agencies and the government. </w:t>
      </w:r>
    </w:p>
    <w:p w:rsidR="00AB130E" w:rsidRDefault="00AB130E"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The industry is competing with the fact that there is high demand for goods to be delivered on tighter deadlines</w:t>
      </w:r>
      <w:r w:rsidR="00EE6F0A">
        <w:rPr>
          <w:rFonts w:ascii="Arial" w:hAnsi="Arial" w:cs="Arial"/>
          <w:bCs/>
          <w:sz w:val="20"/>
          <w:szCs w:val="20"/>
        </w:rPr>
        <w:t>.  M</w:t>
      </w:r>
      <w:r w:rsidRPr="00A21775">
        <w:rPr>
          <w:rFonts w:ascii="Arial" w:hAnsi="Arial" w:cs="Arial"/>
          <w:bCs/>
          <w:sz w:val="20"/>
          <w:szCs w:val="20"/>
        </w:rPr>
        <w:t xml:space="preserve">any of the comments in the paper stated they </w:t>
      </w:r>
      <w:r w:rsidR="00A9513D">
        <w:rPr>
          <w:rFonts w:ascii="Arial" w:hAnsi="Arial" w:cs="Arial"/>
          <w:bCs/>
          <w:sz w:val="20"/>
          <w:szCs w:val="20"/>
        </w:rPr>
        <w:t>desired fewer trucks on the</w:t>
      </w:r>
      <w:r w:rsidRPr="00A21775">
        <w:rPr>
          <w:rFonts w:ascii="Arial" w:hAnsi="Arial" w:cs="Arial"/>
          <w:bCs/>
          <w:sz w:val="20"/>
          <w:szCs w:val="20"/>
        </w:rPr>
        <w:t xml:space="preserve"> road and</w:t>
      </w:r>
      <w:r w:rsidR="00A9513D">
        <w:rPr>
          <w:rFonts w:ascii="Arial" w:hAnsi="Arial" w:cs="Arial"/>
          <w:bCs/>
          <w:sz w:val="20"/>
          <w:szCs w:val="20"/>
        </w:rPr>
        <w:t xml:space="preserve"> more</w:t>
      </w:r>
      <w:r w:rsidRPr="00A21775">
        <w:rPr>
          <w:rFonts w:ascii="Arial" w:hAnsi="Arial" w:cs="Arial"/>
          <w:bCs/>
          <w:sz w:val="20"/>
          <w:szCs w:val="20"/>
        </w:rPr>
        <w:t xml:space="preserve"> freight </w:t>
      </w:r>
      <w:r w:rsidR="00EE6F0A">
        <w:rPr>
          <w:rFonts w:ascii="Arial" w:hAnsi="Arial" w:cs="Arial"/>
          <w:bCs/>
          <w:sz w:val="20"/>
          <w:szCs w:val="20"/>
        </w:rPr>
        <w:t xml:space="preserve">moved </w:t>
      </w:r>
      <w:r w:rsidRPr="00A21775">
        <w:rPr>
          <w:rFonts w:ascii="Arial" w:hAnsi="Arial" w:cs="Arial"/>
          <w:bCs/>
          <w:sz w:val="20"/>
          <w:szCs w:val="20"/>
        </w:rPr>
        <w:t>onto rail</w:t>
      </w:r>
      <w:r w:rsidR="00EE6F0A">
        <w:rPr>
          <w:rFonts w:ascii="Arial" w:hAnsi="Arial" w:cs="Arial"/>
          <w:bCs/>
          <w:sz w:val="20"/>
          <w:szCs w:val="20"/>
        </w:rPr>
        <w:t>,</w:t>
      </w:r>
      <w:r w:rsidRPr="00A21775">
        <w:rPr>
          <w:rFonts w:ascii="Arial" w:hAnsi="Arial" w:cs="Arial"/>
          <w:bCs/>
          <w:sz w:val="20"/>
          <w:szCs w:val="20"/>
        </w:rPr>
        <w:t xml:space="preserve"> which is just not feasible in many states. So the industry is faced with more demand for its services whil</w:t>
      </w:r>
      <w:r w:rsidR="00A9513D">
        <w:rPr>
          <w:rFonts w:ascii="Arial" w:hAnsi="Arial" w:cs="Arial"/>
          <w:bCs/>
          <w:sz w:val="20"/>
          <w:szCs w:val="20"/>
        </w:rPr>
        <w:t>st</w:t>
      </w:r>
      <w:r w:rsidRPr="00A21775">
        <w:rPr>
          <w:rFonts w:ascii="Arial" w:hAnsi="Arial" w:cs="Arial"/>
          <w:bCs/>
          <w:sz w:val="20"/>
          <w:szCs w:val="20"/>
        </w:rPr>
        <w:t xml:space="preserve"> at the same time having local governments and agencies push for more freight to move to rail. It should be noted that current government cost recovery of investments on the NSW grain line range from 0.8-0.63% of the initial investment</w:t>
      </w:r>
      <w:r w:rsidRPr="00A21775">
        <w:rPr>
          <w:rFonts w:ascii="Arial" w:hAnsi="Arial" w:cs="Arial"/>
          <w:bCs/>
          <w:sz w:val="20"/>
          <w:szCs w:val="20"/>
          <w:vertAlign w:val="superscript"/>
        </w:rPr>
        <w:footnoteReference w:id="1"/>
      </w:r>
      <w:r w:rsidRPr="00A21775">
        <w:rPr>
          <w:rFonts w:ascii="Arial" w:hAnsi="Arial" w:cs="Arial"/>
          <w:bCs/>
          <w:sz w:val="20"/>
          <w:szCs w:val="20"/>
        </w:rPr>
        <w:t xml:space="preserve">.   </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Productivity in the last 20 years has been driven by the industry’s adoption of one of the safest and most productive heavy vehicles, the B-double. On the other hand local government</w:t>
      </w:r>
      <w:r w:rsidR="00AB130E">
        <w:rPr>
          <w:rFonts w:ascii="Arial" w:hAnsi="Arial" w:cs="Arial"/>
          <w:bCs/>
          <w:sz w:val="20"/>
          <w:szCs w:val="20"/>
        </w:rPr>
        <w:t>s</w:t>
      </w:r>
      <w:r w:rsidRPr="00A21775">
        <w:rPr>
          <w:rFonts w:ascii="Arial" w:hAnsi="Arial" w:cs="Arial"/>
          <w:bCs/>
          <w:sz w:val="20"/>
          <w:szCs w:val="20"/>
        </w:rPr>
        <w:t xml:space="preserve"> allowing access to these vehicles has not matched industry and businesses </w:t>
      </w:r>
      <w:r w:rsidR="00CB1A87" w:rsidRPr="00A21775">
        <w:rPr>
          <w:rFonts w:ascii="Arial" w:hAnsi="Arial" w:cs="Arial"/>
          <w:bCs/>
          <w:sz w:val="20"/>
          <w:szCs w:val="20"/>
        </w:rPr>
        <w:t>need</w:t>
      </w:r>
      <w:r w:rsidRPr="00A21775">
        <w:rPr>
          <w:rFonts w:ascii="Arial" w:hAnsi="Arial" w:cs="Arial"/>
          <w:bCs/>
          <w:sz w:val="20"/>
          <w:szCs w:val="20"/>
        </w:rPr>
        <w:t>. Therefore, the productive capacity of businesses that wish to use longer, safer</w:t>
      </w:r>
      <w:r w:rsidR="00C96995">
        <w:rPr>
          <w:rFonts w:ascii="Arial" w:hAnsi="Arial" w:cs="Arial"/>
          <w:bCs/>
          <w:sz w:val="20"/>
          <w:szCs w:val="20"/>
        </w:rPr>
        <w:t>,</w:t>
      </w:r>
      <w:r w:rsidRPr="00A21775">
        <w:rPr>
          <w:rFonts w:ascii="Arial" w:hAnsi="Arial" w:cs="Arial"/>
          <w:bCs/>
          <w:sz w:val="20"/>
          <w:szCs w:val="20"/>
        </w:rPr>
        <w:t xml:space="preserve"> more productive combinations are limited by the access their local government </w:t>
      </w:r>
      <w:r w:rsidR="00C96995">
        <w:rPr>
          <w:rFonts w:ascii="Arial" w:hAnsi="Arial" w:cs="Arial"/>
          <w:bCs/>
          <w:sz w:val="20"/>
          <w:szCs w:val="20"/>
        </w:rPr>
        <w:t>permit</w:t>
      </w:r>
      <w:r w:rsidRPr="00A21775">
        <w:rPr>
          <w:rFonts w:ascii="Arial" w:hAnsi="Arial" w:cs="Arial"/>
          <w:bCs/>
          <w:sz w:val="20"/>
          <w:szCs w:val="20"/>
        </w:rPr>
        <w:t xml:space="preserve">. </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 xml:space="preserve">Allowing access to these vehicles has tangible productive benefits, below is a table showing the differences in the main combinations used in the </w:t>
      </w:r>
      <w:proofErr w:type="gramStart"/>
      <w:r w:rsidRPr="00A21775">
        <w:rPr>
          <w:rFonts w:ascii="Arial" w:hAnsi="Arial" w:cs="Arial"/>
          <w:bCs/>
          <w:sz w:val="20"/>
          <w:szCs w:val="20"/>
        </w:rPr>
        <w:t>industry.</w:t>
      </w:r>
      <w:proofErr w:type="gramEnd"/>
    </w:p>
    <w:p w:rsidR="002A6474" w:rsidRPr="00A21775" w:rsidRDefault="002A6474" w:rsidP="00D01BB4">
      <w:pPr>
        <w:rPr>
          <w:rFonts w:ascii="Arial" w:hAnsi="Arial" w:cs="Arial"/>
          <w:bCs/>
          <w:sz w:val="20"/>
          <w:szCs w:val="20"/>
        </w:rPr>
      </w:pPr>
    </w:p>
    <w:tbl>
      <w:tblPr>
        <w:tblStyle w:val="LightList-Accent11"/>
        <w:tblpPr w:leftFromText="180" w:rightFromText="180" w:vertAnchor="text" w:horzAnchor="margin" w:tblpY="117"/>
        <w:tblW w:w="0" w:type="auto"/>
        <w:tblLook w:val="04A0"/>
      </w:tblPr>
      <w:tblGrid>
        <w:gridCol w:w="3486"/>
        <w:gridCol w:w="2380"/>
        <w:gridCol w:w="3988"/>
      </w:tblGrid>
      <w:tr w:rsidR="00DA2390" w:rsidRPr="00A21775" w:rsidTr="00DA2390">
        <w:trPr>
          <w:cnfStyle w:val="100000000000"/>
          <w:trHeight w:val="300"/>
        </w:trPr>
        <w:tc>
          <w:tcPr>
            <w:cnfStyle w:val="001000000000"/>
            <w:tcW w:w="0" w:type="auto"/>
            <w:noWrap/>
            <w:hideMark/>
          </w:tcPr>
          <w:p w:rsidR="00DA2390" w:rsidRPr="00A21775" w:rsidRDefault="00DA2390" w:rsidP="00D01BB4">
            <w:pPr>
              <w:jc w:val="both"/>
              <w:rPr>
                <w:rFonts w:ascii="Arial" w:eastAsia="Calibri" w:hAnsi="Arial" w:cs="Arial"/>
                <w:color w:val="auto"/>
                <w:sz w:val="20"/>
                <w:szCs w:val="20"/>
              </w:rPr>
            </w:pPr>
            <w:r w:rsidRPr="00A21775">
              <w:rPr>
                <w:rFonts w:ascii="Arial" w:eastAsia="Calibri" w:hAnsi="Arial" w:cs="Arial"/>
                <w:color w:val="auto"/>
                <w:sz w:val="20"/>
                <w:szCs w:val="20"/>
              </w:rPr>
              <w:t>Vehicle</w:t>
            </w:r>
          </w:p>
        </w:tc>
        <w:tc>
          <w:tcPr>
            <w:tcW w:w="0" w:type="auto"/>
            <w:noWrap/>
            <w:hideMark/>
          </w:tcPr>
          <w:p w:rsidR="00DA2390" w:rsidRPr="00A21775" w:rsidRDefault="00DA2390" w:rsidP="00D01BB4">
            <w:pPr>
              <w:jc w:val="both"/>
              <w:cnfStyle w:val="100000000000"/>
              <w:rPr>
                <w:rFonts w:ascii="Arial" w:eastAsia="Calibri" w:hAnsi="Arial" w:cs="Arial"/>
                <w:color w:val="auto"/>
                <w:sz w:val="20"/>
                <w:szCs w:val="20"/>
              </w:rPr>
            </w:pPr>
            <w:r w:rsidRPr="00A21775">
              <w:rPr>
                <w:rFonts w:ascii="Arial" w:eastAsia="Calibri" w:hAnsi="Arial" w:cs="Arial"/>
                <w:color w:val="auto"/>
                <w:sz w:val="20"/>
                <w:szCs w:val="20"/>
              </w:rPr>
              <w:t>No. of trips per 1000 tonnes</w:t>
            </w:r>
          </w:p>
        </w:tc>
        <w:tc>
          <w:tcPr>
            <w:tcW w:w="0" w:type="auto"/>
            <w:noWrap/>
            <w:hideMark/>
          </w:tcPr>
          <w:p w:rsidR="00DA2390" w:rsidRPr="00A21775" w:rsidRDefault="00DA2390" w:rsidP="00D01BB4">
            <w:pPr>
              <w:jc w:val="both"/>
              <w:cnfStyle w:val="100000000000"/>
              <w:rPr>
                <w:rFonts w:ascii="Arial" w:eastAsia="Calibri" w:hAnsi="Arial" w:cs="Arial"/>
                <w:color w:val="auto"/>
                <w:sz w:val="20"/>
                <w:szCs w:val="20"/>
              </w:rPr>
            </w:pPr>
            <w:r w:rsidRPr="00A21775">
              <w:rPr>
                <w:rFonts w:ascii="Arial" w:eastAsia="Calibri" w:hAnsi="Arial" w:cs="Arial"/>
                <w:color w:val="auto"/>
                <w:sz w:val="20"/>
                <w:szCs w:val="20"/>
              </w:rPr>
              <w:t xml:space="preserve">Equivalent Standard Axle </w:t>
            </w:r>
            <w:r>
              <w:rPr>
                <w:rFonts w:ascii="Arial" w:eastAsia="Calibri" w:hAnsi="Arial" w:cs="Arial"/>
                <w:color w:val="auto"/>
                <w:sz w:val="20"/>
                <w:szCs w:val="20"/>
              </w:rPr>
              <w:t xml:space="preserve">(ESA) </w:t>
            </w:r>
            <w:r w:rsidRPr="00A21775">
              <w:rPr>
                <w:rFonts w:ascii="Arial" w:eastAsia="Calibri" w:hAnsi="Arial" w:cs="Arial"/>
                <w:color w:val="auto"/>
                <w:sz w:val="20"/>
                <w:szCs w:val="20"/>
              </w:rPr>
              <w:t>per 1000 tonnes</w:t>
            </w:r>
          </w:p>
        </w:tc>
      </w:tr>
      <w:tr w:rsidR="00DA2390" w:rsidRPr="00A21775" w:rsidTr="00DA2390">
        <w:trPr>
          <w:cnfStyle w:val="000000100000"/>
          <w:trHeight w:val="300"/>
        </w:trPr>
        <w:tc>
          <w:tcPr>
            <w:cnfStyle w:val="001000000000"/>
            <w:tcW w:w="0" w:type="auto"/>
            <w:noWrap/>
            <w:hideMark/>
          </w:tcPr>
          <w:p w:rsidR="00DA2390" w:rsidRPr="00A21775" w:rsidRDefault="00DA2390" w:rsidP="00D01BB4">
            <w:pPr>
              <w:jc w:val="both"/>
              <w:rPr>
                <w:rFonts w:ascii="Arial" w:eastAsia="Calibri" w:hAnsi="Arial" w:cs="Arial"/>
                <w:sz w:val="20"/>
                <w:szCs w:val="20"/>
              </w:rPr>
            </w:pPr>
            <w:r w:rsidRPr="00A21775">
              <w:rPr>
                <w:rFonts w:ascii="Arial" w:eastAsia="Calibri" w:hAnsi="Arial" w:cs="Arial"/>
                <w:sz w:val="20"/>
                <w:szCs w:val="20"/>
              </w:rPr>
              <w:t>Traditional 3 axle rigid GML</w:t>
            </w:r>
          </w:p>
        </w:tc>
        <w:tc>
          <w:tcPr>
            <w:tcW w:w="0" w:type="auto"/>
            <w:noWrap/>
            <w:hideMark/>
          </w:tcPr>
          <w:p w:rsidR="00DA2390" w:rsidRPr="00A21775" w:rsidRDefault="00DA2390" w:rsidP="00D01BB4">
            <w:pPr>
              <w:jc w:val="center"/>
              <w:cnfStyle w:val="000000100000"/>
              <w:rPr>
                <w:rFonts w:ascii="Arial" w:eastAsia="Calibri" w:hAnsi="Arial" w:cs="Arial"/>
                <w:b/>
                <w:bCs/>
                <w:sz w:val="20"/>
                <w:szCs w:val="20"/>
              </w:rPr>
            </w:pPr>
            <w:r w:rsidRPr="00A21775">
              <w:rPr>
                <w:rFonts w:ascii="Arial" w:eastAsia="Calibri" w:hAnsi="Arial" w:cs="Arial"/>
                <w:b/>
                <w:bCs/>
                <w:sz w:val="20"/>
                <w:szCs w:val="20"/>
              </w:rPr>
              <w:t>77</w:t>
            </w:r>
          </w:p>
        </w:tc>
        <w:tc>
          <w:tcPr>
            <w:tcW w:w="0" w:type="auto"/>
            <w:noWrap/>
            <w:hideMark/>
          </w:tcPr>
          <w:p w:rsidR="00DA2390" w:rsidRPr="00A21775" w:rsidRDefault="00DA2390" w:rsidP="00D01BB4">
            <w:pPr>
              <w:jc w:val="center"/>
              <w:cnfStyle w:val="000000100000"/>
              <w:rPr>
                <w:rFonts w:ascii="Arial" w:eastAsia="Calibri" w:hAnsi="Arial" w:cs="Arial"/>
                <w:b/>
                <w:bCs/>
                <w:sz w:val="20"/>
                <w:szCs w:val="20"/>
              </w:rPr>
            </w:pPr>
            <w:r w:rsidRPr="00A21775">
              <w:rPr>
                <w:rFonts w:ascii="Arial" w:eastAsia="Calibri" w:hAnsi="Arial" w:cs="Arial"/>
                <w:b/>
                <w:bCs/>
                <w:sz w:val="20"/>
                <w:szCs w:val="20"/>
              </w:rPr>
              <w:t>316</w:t>
            </w:r>
          </w:p>
        </w:tc>
      </w:tr>
      <w:tr w:rsidR="00DA2390" w:rsidRPr="00A21775" w:rsidTr="00DA2390">
        <w:trPr>
          <w:trHeight w:val="300"/>
        </w:trPr>
        <w:tc>
          <w:tcPr>
            <w:cnfStyle w:val="001000000000"/>
            <w:tcW w:w="0" w:type="auto"/>
            <w:noWrap/>
            <w:hideMark/>
          </w:tcPr>
          <w:p w:rsidR="00DA2390" w:rsidRPr="00A21775" w:rsidRDefault="00DA2390" w:rsidP="00D01BB4">
            <w:pPr>
              <w:jc w:val="both"/>
              <w:rPr>
                <w:rFonts w:ascii="Arial" w:eastAsia="Calibri" w:hAnsi="Arial" w:cs="Arial"/>
                <w:sz w:val="20"/>
                <w:szCs w:val="20"/>
              </w:rPr>
            </w:pPr>
            <w:r w:rsidRPr="00A21775">
              <w:rPr>
                <w:rFonts w:ascii="Arial" w:eastAsia="Calibri" w:hAnsi="Arial" w:cs="Arial"/>
                <w:sz w:val="20"/>
                <w:szCs w:val="20"/>
              </w:rPr>
              <w:t>Traditional 6 axle semi-trailer GML</w:t>
            </w:r>
          </w:p>
        </w:tc>
        <w:tc>
          <w:tcPr>
            <w:tcW w:w="0" w:type="auto"/>
            <w:noWrap/>
            <w:hideMark/>
          </w:tcPr>
          <w:p w:rsidR="00DA2390" w:rsidRPr="00A21775" w:rsidRDefault="00DA2390" w:rsidP="00D01BB4">
            <w:pPr>
              <w:jc w:val="center"/>
              <w:cnfStyle w:val="000000000000"/>
              <w:rPr>
                <w:rFonts w:ascii="Arial" w:eastAsia="Calibri" w:hAnsi="Arial" w:cs="Arial"/>
                <w:b/>
                <w:bCs/>
                <w:sz w:val="20"/>
                <w:szCs w:val="20"/>
              </w:rPr>
            </w:pPr>
            <w:r w:rsidRPr="00A21775">
              <w:rPr>
                <w:rFonts w:ascii="Arial" w:eastAsia="Calibri" w:hAnsi="Arial" w:cs="Arial"/>
                <w:b/>
                <w:bCs/>
                <w:sz w:val="20"/>
                <w:szCs w:val="20"/>
              </w:rPr>
              <w:t>42</w:t>
            </w:r>
          </w:p>
        </w:tc>
        <w:tc>
          <w:tcPr>
            <w:tcW w:w="0" w:type="auto"/>
            <w:noWrap/>
            <w:hideMark/>
          </w:tcPr>
          <w:p w:rsidR="00DA2390" w:rsidRPr="00A21775" w:rsidRDefault="00DA2390" w:rsidP="00D01BB4">
            <w:pPr>
              <w:jc w:val="center"/>
              <w:cnfStyle w:val="000000000000"/>
              <w:rPr>
                <w:rFonts w:ascii="Arial" w:eastAsia="Calibri" w:hAnsi="Arial" w:cs="Arial"/>
                <w:b/>
                <w:bCs/>
                <w:sz w:val="20"/>
                <w:szCs w:val="20"/>
              </w:rPr>
            </w:pPr>
            <w:r w:rsidRPr="00A21775">
              <w:rPr>
                <w:rFonts w:ascii="Arial" w:eastAsia="Calibri" w:hAnsi="Arial" w:cs="Arial"/>
                <w:b/>
                <w:bCs/>
                <w:sz w:val="20"/>
                <w:szCs w:val="20"/>
              </w:rPr>
              <w:t>257</w:t>
            </w:r>
          </w:p>
        </w:tc>
      </w:tr>
      <w:tr w:rsidR="00DA2390" w:rsidRPr="00A21775" w:rsidTr="00DA2390">
        <w:trPr>
          <w:cnfStyle w:val="000000100000"/>
          <w:trHeight w:val="300"/>
        </w:trPr>
        <w:tc>
          <w:tcPr>
            <w:cnfStyle w:val="001000000000"/>
            <w:tcW w:w="0" w:type="auto"/>
            <w:noWrap/>
            <w:hideMark/>
          </w:tcPr>
          <w:p w:rsidR="00DA2390" w:rsidRPr="00A21775" w:rsidRDefault="00DA2390" w:rsidP="00D01BB4">
            <w:pPr>
              <w:jc w:val="both"/>
              <w:rPr>
                <w:rFonts w:ascii="Arial" w:eastAsia="Calibri" w:hAnsi="Arial" w:cs="Arial"/>
                <w:sz w:val="20"/>
                <w:szCs w:val="20"/>
              </w:rPr>
            </w:pPr>
            <w:r w:rsidRPr="00A21775">
              <w:rPr>
                <w:rFonts w:ascii="Arial" w:eastAsia="Calibri" w:hAnsi="Arial" w:cs="Arial"/>
                <w:sz w:val="20"/>
                <w:szCs w:val="20"/>
              </w:rPr>
              <w:t>Innovative 9 axle B-double GML</w:t>
            </w:r>
          </w:p>
        </w:tc>
        <w:tc>
          <w:tcPr>
            <w:tcW w:w="0" w:type="auto"/>
            <w:noWrap/>
            <w:hideMark/>
          </w:tcPr>
          <w:p w:rsidR="00DA2390" w:rsidRPr="00A21775" w:rsidRDefault="00DA2390" w:rsidP="00D01BB4">
            <w:pPr>
              <w:jc w:val="center"/>
              <w:cnfStyle w:val="000000100000"/>
              <w:rPr>
                <w:rFonts w:ascii="Arial" w:eastAsia="Calibri" w:hAnsi="Arial" w:cs="Arial"/>
                <w:b/>
                <w:bCs/>
                <w:sz w:val="20"/>
                <w:szCs w:val="20"/>
              </w:rPr>
            </w:pPr>
            <w:r w:rsidRPr="00A21775">
              <w:rPr>
                <w:rFonts w:ascii="Arial" w:eastAsia="Calibri" w:hAnsi="Arial" w:cs="Arial"/>
                <w:b/>
                <w:bCs/>
                <w:sz w:val="20"/>
                <w:szCs w:val="20"/>
              </w:rPr>
              <w:t>26</w:t>
            </w:r>
          </w:p>
        </w:tc>
        <w:tc>
          <w:tcPr>
            <w:tcW w:w="0" w:type="auto"/>
            <w:noWrap/>
            <w:hideMark/>
          </w:tcPr>
          <w:p w:rsidR="00DA2390" w:rsidRPr="00A21775" w:rsidRDefault="00DA2390" w:rsidP="00D01BB4">
            <w:pPr>
              <w:jc w:val="center"/>
              <w:cnfStyle w:val="000000100000"/>
              <w:rPr>
                <w:rFonts w:ascii="Arial" w:eastAsia="Calibri" w:hAnsi="Arial" w:cs="Arial"/>
                <w:b/>
                <w:bCs/>
                <w:sz w:val="20"/>
                <w:szCs w:val="20"/>
              </w:rPr>
            </w:pPr>
            <w:r w:rsidRPr="00A21775">
              <w:rPr>
                <w:rFonts w:ascii="Arial" w:eastAsia="Calibri" w:hAnsi="Arial" w:cs="Arial"/>
                <w:b/>
                <w:bCs/>
                <w:sz w:val="20"/>
                <w:szCs w:val="20"/>
              </w:rPr>
              <w:t>195</w:t>
            </w:r>
          </w:p>
        </w:tc>
      </w:tr>
      <w:tr w:rsidR="00DA2390" w:rsidRPr="00A21775" w:rsidTr="00DA2390">
        <w:trPr>
          <w:trHeight w:val="300"/>
        </w:trPr>
        <w:tc>
          <w:tcPr>
            <w:cnfStyle w:val="001000000000"/>
            <w:tcW w:w="0" w:type="auto"/>
            <w:noWrap/>
            <w:hideMark/>
          </w:tcPr>
          <w:p w:rsidR="00DA2390" w:rsidRPr="00A21775" w:rsidRDefault="00DA2390" w:rsidP="00D01BB4">
            <w:pPr>
              <w:jc w:val="both"/>
              <w:rPr>
                <w:rFonts w:ascii="Arial" w:eastAsia="Calibri" w:hAnsi="Arial" w:cs="Arial"/>
                <w:sz w:val="20"/>
                <w:szCs w:val="20"/>
              </w:rPr>
            </w:pPr>
            <w:r w:rsidRPr="00A21775">
              <w:rPr>
                <w:rFonts w:ascii="Arial" w:eastAsia="Calibri" w:hAnsi="Arial" w:cs="Arial"/>
                <w:sz w:val="20"/>
                <w:szCs w:val="20"/>
              </w:rPr>
              <w:t>Innovative 12 axle B-triple GML</w:t>
            </w:r>
          </w:p>
        </w:tc>
        <w:tc>
          <w:tcPr>
            <w:tcW w:w="0" w:type="auto"/>
            <w:noWrap/>
            <w:hideMark/>
          </w:tcPr>
          <w:p w:rsidR="00DA2390" w:rsidRPr="00A21775" w:rsidRDefault="00DA2390" w:rsidP="00D01BB4">
            <w:pPr>
              <w:jc w:val="center"/>
              <w:cnfStyle w:val="000000000000"/>
              <w:rPr>
                <w:rFonts w:ascii="Arial" w:eastAsia="Calibri" w:hAnsi="Arial" w:cs="Arial"/>
                <w:b/>
                <w:bCs/>
                <w:sz w:val="20"/>
                <w:szCs w:val="20"/>
              </w:rPr>
            </w:pPr>
            <w:r w:rsidRPr="00A21775">
              <w:rPr>
                <w:rFonts w:ascii="Arial" w:eastAsia="Calibri" w:hAnsi="Arial" w:cs="Arial"/>
                <w:b/>
                <w:bCs/>
                <w:sz w:val="20"/>
                <w:szCs w:val="20"/>
              </w:rPr>
              <w:t>20</w:t>
            </w:r>
          </w:p>
        </w:tc>
        <w:tc>
          <w:tcPr>
            <w:tcW w:w="0" w:type="auto"/>
            <w:noWrap/>
            <w:hideMark/>
          </w:tcPr>
          <w:p w:rsidR="00DA2390" w:rsidRPr="00A21775" w:rsidRDefault="00DA2390" w:rsidP="00D01BB4">
            <w:pPr>
              <w:jc w:val="center"/>
              <w:cnfStyle w:val="000000000000"/>
              <w:rPr>
                <w:rFonts w:ascii="Arial" w:eastAsia="Calibri" w:hAnsi="Arial" w:cs="Arial"/>
                <w:b/>
                <w:bCs/>
                <w:sz w:val="20"/>
                <w:szCs w:val="20"/>
              </w:rPr>
            </w:pPr>
            <w:r w:rsidRPr="00A21775">
              <w:rPr>
                <w:rFonts w:ascii="Arial" w:eastAsia="Calibri" w:hAnsi="Arial" w:cs="Arial"/>
                <w:b/>
                <w:bCs/>
                <w:sz w:val="20"/>
                <w:szCs w:val="20"/>
              </w:rPr>
              <w:t>178</w:t>
            </w:r>
          </w:p>
        </w:tc>
      </w:tr>
      <w:tr w:rsidR="00DA2390" w:rsidRPr="00A21775" w:rsidTr="00DA2390">
        <w:trPr>
          <w:cnfStyle w:val="000000100000"/>
          <w:trHeight w:val="300"/>
        </w:trPr>
        <w:tc>
          <w:tcPr>
            <w:cnfStyle w:val="001000000000"/>
            <w:tcW w:w="0" w:type="auto"/>
            <w:noWrap/>
            <w:hideMark/>
          </w:tcPr>
          <w:p w:rsidR="00DA2390" w:rsidRPr="00A21775" w:rsidRDefault="00DA2390" w:rsidP="00D01BB4">
            <w:pPr>
              <w:jc w:val="both"/>
              <w:rPr>
                <w:rFonts w:ascii="Arial" w:eastAsia="Calibri" w:hAnsi="Arial" w:cs="Arial"/>
                <w:sz w:val="20"/>
                <w:szCs w:val="20"/>
              </w:rPr>
            </w:pPr>
            <w:r w:rsidRPr="00A21775">
              <w:rPr>
                <w:rFonts w:ascii="Arial" w:eastAsia="Calibri" w:hAnsi="Arial" w:cs="Arial"/>
                <w:sz w:val="20"/>
                <w:szCs w:val="20"/>
              </w:rPr>
              <w:t>Traditional 11 axle type 1  Road train GML</w:t>
            </w:r>
          </w:p>
        </w:tc>
        <w:tc>
          <w:tcPr>
            <w:tcW w:w="0" w:type="auto"/>
            <w:noWrap/>
            <w:hideMark/>
          </w:tcPr>
          <w:p w:rsidR="00DA2390" w:rsidRPr="00A21775" w:rsidRDefault="00DA2390" w:rsidP="00D01BB4">
            <w:pPr>
              <w:jc w:val="center"/>
              <w:cnfStyle w:val="000000100000"/>
              <w:rPr>
                <w:rFonts w:ascii="Arial" w:eastAsia="Calibri" w:hAnsi="Arial" w:cs="Arial"/>
                <w:b/>
                <w:bCs/>
                <w:sz w:val="20"/>
                <w:szCs w:val="20"/>
              </w:rPr>
            </w:pPr>
            <w:r w:rsidRPr="00A21775">
              <w:rPr>
                <w:rFonts w:ascii="Arial" w:eastAsia="Calibri" w:hAnsi="Arial" w:cs="Arial"/>
                <w:b/>
                <w:bCs/>
                <w:sz w:val="20"/>
                <w:szCs w:val="20"/>
              </w:rPr>
              <w:t>21</w:t>
            </w:r>
          </w:p>
        </w:tc>
        <w:tc>
          <w:tcPr>
            <w:tcW w:w="0" w:type="auto"/>
            <w:noWrap/>
            <w:hideMark/>
          </w:tcPr>
          <w:p w:rsidR="00DA2390" w:rsidRPr="00A21775" w:rsidRDefault="00DA2390" w:rsidP="00D01BB4">
            <w:pPr>
              <w:jc w:val="center"/>
              <w:cnfStyle w:val="000000100000"/>
              <w:rPr>
                <w:rFonts w:ascii="Arial" w:eastAsia="Calibri" w:hAnsi="Arial" w:cs="Arial"/>
                <w:b/>
                <w:bCs/>
                <w:sz w:val="20"/>
                <w:szCs w:val="20"/>
              </w:rPr>
            </w:pPr>
            <w:r w:rsidRPr="00A21775">
              <w:rPr>
                <w:rFonts w:ascii="Arial" w:eastAsia="Calibri" w:hAnsi="Arial" w:cs="Arial"/>
                <w:b/>
                <w:bCs/>
                <w:sz w:val="20"/>
                <w:szCs w:val="20"/>
              </w:rPr>
              <w:t>202</w:t>
            </w:r>
          </w:p>
        </w:tc>
      </w:tr>
      <w:tr w:rsidR="00DA2390" w:rsidRPr="00A21775" w:rsidTr="00DA2390">
        <w:trPr>
          <w:trHeight w:val="300"/>
        </w:trPr>
        <w:tc>
          <w:tcPr>
            <w:cnfStyle w:val="001000000000"/>
            <w:tcW w:w="0" w:type="auto"/>
            <w:noWrap/>
          </w:tcPr>
          <w:p w:rsidR="00DA2390" w:rsidRPr="00A21775" w:rsidRDefault="00DA2390" w:rsidP="00D01BB4">
            <w:pPr>
              <w:jc w:val="both"/>
              <w:rPr>
                <w:rFonts w:ascii="Arial" w:eastAsia="Calibri" w:hAnsi="Arial" w:cs="Arial"/>
                <w:sz w:val="20"/>
                <w:szCs w:val="20"/>
              </w:rPr>
            </w:pPr>
            <w:r w:rsidRPr="00A21775">
              <w:rPr>
                <w:rFonts w:ascii="Arial" w:eastAsia="Calibri" w:hAnsi="Arial" w:cs="Arial"/>
                <w:sz w:val="20"/>
                <w:szCs w:val="20"/>
              </w:rPr>
              <w:t>Traditional 16 axle type 2 road train GML</w:t>
            </w:r>
          </w:p>
        </w:tc>
        <w:tc>
          <w:tcPr>
            <w:tcW w:w="0" w:type="auto"/>
            <w:noWrap/>
          </w:tcPr>
          <w:p w:rsidR="00DA2390" w:rsidRPr="00A21775" w:rsidRDefault="00DA2390" w:rsidP="00D01BB4">
            <w:pPr>
              <w:jc w:val="center"/>
              <w:cnfStyle w:val="000000000000"/>
              <w:rPr>
                <w:rFonts w:ascii="Arial" w:eastAsia="Calibri" w:hAnsi="Arial" w:cs="Arial"/>
                <w:b/>
                <w:bCs/>
                <w:sz w:val="20"/>
                <w:szCs w:val="20"/>
              </w:rPr>
            </w:pPr>
            <w:r w:rsidRPr="00A21775">
              <w:rPr>
                <w:rFonts w:ascii="Arial" w:eastAsia="Calibri" w:hAnsi="Arial" w:cs="Arial"/>
                <w:b/>
                <w:bCs/>
                <w:sz w:val="20"/>
                <w:szCs w:val="20"/>
              </w:rPr>
              <w:t>15</w:t>
            </w:r>
          </w:p>
        </w:tc>
        <w:tc>
          <w:tcPr>
            <w:tcW w:w="0" w:type="auto"/>
            <w:noWrap/>
          </w:tcPr>
          <w:p w:rsidR="00DA2390" w:rsidRPr="00A21775" w:rsidRDefault="00DA2390" w:rsidP="00D01BB4">
            <w:pPr>
              <w:jc w:val="center"/>
              <w:cnfStyle w:val="000000000000"/>
              <w:rPr>
                <w:rFonts w:ascii="Arial" w:eastAsia="Calibri" w:hAnsi="Arial" w:cs="Arial"/>
                <w:b/>
                <w:bCs/>
                <w:sz w:val="20"/>
                <w:szCs w:val="20"/>
              </w:rPr>
            </w:pPr>
            <w:r w:rsidRPr="00A21775">
              <w:rPr>
                <w:rFonts w:ascii="Arial" w:eastAsia="Calibri" w:hAnsi="Arial" w:cs="Arial"/>
                <w:b/>
                <w:bCs/>
                <w:sz w:val="20"/>
                <w:szCs w:val="20"/>
              </w:rPr>
              <w:t>197</w:t>
            </w:r>
          </w:p>
        </w:tc>
      </w:tr>
    </w:tbl>
    <w:p w:rsidR="002A6474" w:rsidRPr="00DA2390" w:rsidRDefault="002A6474" w:rsidP="00D01BB4">
      <w:pPr>
        <w:rPr>
          <w:rFonts w:ascii="Arial" w:hAnsi="Arial" w:cs="Arial"/>
          <w:bCs/>
          <w:sz w:val="20"/>
          <w:szCs w:val="20"/>
        </w:rPr>
      </w:pPr>
      <w:r w:rsidRPr="00915339">
        <w:rPr>
          <w:rFonts w:ascii="Arial" w:hAnsi="Arial" w:cs="Arial"/>
          <w:bCs/>
          <w:sz w:val="16"/>
          <w:szCs w:val="16"/>
        </w:rPr>
        <w:t>Source: The ATA and Barkwood Consulting Pty Ltd Truck Impact Chart</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 xml:space="preserve">B-doubles can move the freight task in 16 </w:t>
      </w:r>
      <w:r w:rsidR="005A261E">
        <w:rPr>
          <w:rFonts w:ascii="Arial" w:hAnsi="Arial" w:cs="Arial"/>
          <w:bCs/>
          <w:sz w:val="20"/>
          <w:szCs w:val="20"/>
        </w:rPr>
        <w:t>fewer</w:t>
      </w:r>
      <w:r w:rsidRPr="00A21775">
        <w:rPr>
          <w:rFonts w:ascii="Arial" w:hAnsi="Arial" w:cs="Arial"/>
          <w:bCs/>
          <w:sz w:val="20"/>
          <w:szCs w:val="20"/>
        </w:rPr>
        <w:t xml:space="preserve"> trips than a traditional semi-trailer, which means there is reduced </w:t>
      </w:r>
      <w:r w:rsidR="00CB1A87">
        <w:rPr>
          <w:rFonts w:ascii="Arial" w:hAnsi="Arial" w:cs="Arial"/>
          <w:bCs/>
          <w:sz w:val="20"/>
          <w:szCs w:val="20"/>
        </w:rPr>
        <w:t xml:space="preserve">wear on the road, shown in the equivalent standard </w:t>
      </w:r>
      <w:proofErr w:type="gramStart"/>
      <w:r w:rsidR="00BF20C9">
        <w:rPr>
          <w:rFonts w:ascii="Arial" w:hAnsi="Arial" w:cs="Arial"/>
          <w:bCs/>
          <w:sz w:val="20"/>
          <w:szCs w:val="20"/>
        </w:rPr>
        <w:t>axles</w:t>
      </w:r>
      <w:proofErr w:type="gramEnd"/>
      <w:r w:rsidR="00BF20C9">
        <w:rPr>
          <w:rFonts w:ascii="Arial" w:hAnsi="Arial" w:cs="Arial"/>
          <w:bCs/>
          <w:sz w:val="20"/>
          <w:szCs w:val="20"/>
        </w:rPr>
        <w:t xml:space="preserve"> column</w:t>
      </w:r>
      <w:r w:rsidRPr="00A21775">
        <w:rPr>
          <w:rFonts w:ascii="Arial" w:hAnsi="Arial" w:cs="Arial"/>
          <w:bCs/>
          <w:sz w:val="20"/>
          <w:szCs w:val="20"/>
        </w:rPr>
        <w:t xml:space="preserve">. So if local governments were to allow access to these vehicles there would be less heavy vehicle road wear, increased safety, increased productivity for businesses and fewer  heavy vehicles in their jurisdiction. </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 xml:space="preserve">The NTC has recently </w:t>
      </w:r>
      <w:r w:rsidR="00BF20C9">
        <w:rPr>
          <w:rFonts w:ascii="Arial" w:hAnsi="Arial" w:cs="Arial"/>
          <w:bCs/>
          <w:sz w:val="20"/>
          <w:szCs w:val="20"/>
        </w:rPr>
        <w:t>recommended local governments</w:t>
      </w:r>
      <w:r w:rsidRPr="00A21775">
        <w:rPr>
          <w:rFonts w:ascii="Arial" w:hAnsi="Arial" w:cs="Arial"/>
          <w:bCs/>
          <w:sz w:val="20"/>
          <w:szCs w:val="20"/>
        </w:rPr>
        <w:t xml:space="preserve"> allow B-triple access on road train routes, while these vehicle</w:t>
      </w:r>
      <w:r w:rsidR="00CB1A87">
        <w:rPr>
          <w:rFonts w:ascii="Arial" w:hAnsi="Arial" w:cs="Arial"/>
          <w:bCs/>
          <w:sz w:val="20"/>
          <w:szCs w:val="20"/>
        </w:rPr>
        <w:t>s</w:t>
      </w:r>
      <w:r w:rsidRPr="00A21775">
        <w:rPr>
          <w:rFonts w:ascii="Arial" w:hAnsi="Arial" w:cs="Arial"/>
          <w:bCs/>
          <w:sz w:val="20"/>
          <w:szCs w:val="20"/>
        </w:rPr>
        <w:t xml:space="preserve"> take 5 more trips to carry out the above freight task they are far safer than a road train as there is reduced roll </w:t>
      </w:r>
      <w:r w:rsidR="00CB1A87">
        <w:rPr>
          <w:rFonts w:ascii="Arial" w:hAnsi="Arial" w:cs="Arial"/>
          <w:bCs/>
          <w:sz w:val="20"/>
          <w:szCs w:val="20"/>
        </w:rPr>
        <w:t xml:space="preserve">of trailers </w:t>
      </w:r>
      <w:r w:rsidRPr="00A21775">
        <w:rPr>
          <w:rFonts w:ascii="Arial" w:hAnsi="Arial" w:cs="Arial"/>
          <w:bCs/>
          <w:sz w:val="20"/>
          <w:szCs w:val="20"/>
        </w:rPr>
        <w:t xml:space="preserve">and less road impact. The NTC has the full support of industry on this move as is the logical decision to make and potentially allows businesses that want to run B-triples the option to do so. </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 xml:space="preserve">While the industry has been asking for increased access, the Department of Infrastructure and Transport has been engaged in a scheme of improving safety and productivity over the past 3 years by spending $70 million on projects to increase safety and productive capabilities of the heavy vehicle fleet. This scheme is part of the nation building programme.   </w:t>
      </w:r>
    </w:p>
    <w:p w:rsidR="00915339" w:rsidRDefault="00915339"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The areas they have pointed to where productive and safety benefits can be made are:</w:t>
      </w:r>
    </w:p>
    <w:p w:rsidR="002A6474" w:rsidRPr="00A21775" w:rsidRDefault="002A6474" w:rsidP="00D01BB4">
      <w:pPr>
        <w:rPr>
          <w:rFonts w:ascii="Arial" w:hAnsi="Arial" w:cs="Arial"/>
          <w:sz w:val="20"/>
          <w:szCs w:val="20"/>
        </w:rPr>
      </w:pPr>
    </w:p>
    <w:p w:rsidR="002A6474" w:rsidRPr="00A21775" w:rsidRDefault="002A6474" w:rsidP="00E92888">
      <w:pPr>
        <w:numPr>
          <w:ilvl w:val="0"/>
          <w:numId w:val="3"/>
        </w:numPr>
        <w:rPr>
          <w:rFonts w:ascii="Arial" w:hAnsi="Arial" w:cs="Arial"/>
          <w:sz w:val="20"/>
          <w:szCs w:val="20"/>
        </w:rPr>
      </w:pPr>
      <w:r w:rsidRPr="00A21775">
        <w:rPr>
          <w:rFonts w:ascii="Arial" w:hAnsi="Arial" w:cs="Arial"/>
          <w:sz w:val="20"/>
          <w:szCs w:val="20"/>
        </w:rPr>
        <w:t>Rest area projects in interstate routes.</w:t>
      </w:r>
    </w:p>
    <w:p w:rsidR="002A6474" w:rsidRPr="00A21775" w:rsidRDefault="002A6474" w:rsidP="00E92888">
      <w:pPr>
        <w:numPr>
          <w:ilvl w:val="0"/>
          <w:numId w:val="3"/>
        </w:numPr>
        <w:rPr>
          <w:rFonts w:ascii="Arial" w:hAnsi="Arial" w:cs="Arial"/>
          <w:sz w:val="20"/>
          <w:szCs w:val="20"/>
        </w:rPr>
      </w:pPr>
      <w:r w:rsidRPr="00A21775">
        <w:rPr>
          <w:rFonts w:ascii="Arial" w:hAnsi="Arial" w:cs="Arial"/>
          <w:sz w:val="20"/>
          <w:szCs w:val="20"/>
        </w:rPr>
        <w:t>Parking/decoupling bay</w:t>
      </w:r>
      <w:r w:rsidR="00CB1A87">
        <w:rPr>
          <w:rFonts w:ascii="Arial" w:hAnsi="Arial" w:cs="Arial"/>
          <w:sz w:val="20"/>
          <w:szCs w:val="20"/>
        </w:rPr>
        <w:t xml:space="preserve">s </w:t>
      </w:r>
      <w:r w:rsidRPr="00A21775">
        <w:rPr>
          <w:rFonts w:ascii="Arial" w:hAnsi="Arial" w:cs="Arial"/>
          <w:sz w:val="20"/>
          <w:szCs w:val="20"/>
        </w:rPr>
        <w:t>in outer urban/regional areas.</w:t>
      </w:r>
    </w:p>
    <w:p w:rsidR="002A6474" w:rsidRPr="00A21775" w:rsidRDefault="002A6474" w:rsidP="00E92888">
      <w:pPr>
        <w:numPr>
          <w:ilvl w:val="0"/>
          <w:numId w:val="3"/>
        </w:numPr>
        <w:rPr>
          <w:rFonts w:ascii="Arial" w:hAnsi="Arial" w:cs="Arial"/>
          <w:sz w:val="20"/>
          <w:szCs w:val="20"/>
        </w:rPr>
      </w:pPr>
      <w:r w:rsidRPr="00A21775">
        <w:rPr>
          <w:rFonts w:ascii="Arial" w:hAnsi="Arial" w:cs="Arial"/>
          <w:sz w:val="20"/>
          <w:szCs w:val="20"/>
        </w:rPr>
        <w:t>Technology trial projects</w:t>
      </w:r>
      <w:r w:rsidR="00CB1A87">
        <w:rPr>
          <w:rFonts w:ascii="Arial" w:hAnsi="Arial" w:cs="Arial"/>
          <w:sz w:val="20"/>
          <w:szCs w:val="20"/>
        </w:rPr>
        <w:t>,</w:t>
      </w:r>
      <w:r w:rsidRPr="00A21775">
        <w:rPr>
          <w:rFonts w:ascii="Arial" w:hAnsi="Arial" w:cs="Arial"/>
          <w:sz w:val="20"/>
          <w:szCs w:val="20"/>
        </w:rPr>
        <w:t xml:space="preserve"> monitoring driving hours and speed. </w:t>
      </w:r>
    </w:p>
    <w:p w:rsidR="002A6474" w:rsidRPr="00A21775" w:rsidRDefault="002A6474" w:rsidP="00E92888">
      <w:pPr>
        <w:numPr>
          <w:ilvl w:val="0"/>
          <w:numId w:val="3"/>
        </w:numPr>
        <w:rPr>
          <w:rFonts w:ascii="Arial" w:hAnsi="Arial" w:cs="Arial"/>
          <w:sz w:val="20"/>
          <w:szCs w:val="20"/>
        </w:rPr>
      </w:pPr>
      <w:r w:rsidRPr="00A21775">
        <w:rPr>
          <w:rFonts w:ascii="Arial" w:hAnsi="Arial" w:cs="Arial"/>
          <w:sz w:val="20"/>
          <w:szCs w:val="20"/>
        </w:rPr>
        <w:t>Road enhancement projects</w:t>
      </w:r>
      <w:r w:rsidR="00CB1A87">
        <w:rPr>
          <w:rFonts w:ascii="Arial" w:hAnsi="Arial" w:cs="Arial"/>
          <w:sz w:val="20"/>
          <w:szCs w:val="20"/>
        </w:rPr>
        <w:t>,</w:t>
      </w:r>
      <w:r w:rsidRPr="00A21775">
        <w:rPr>
          <w:rFonts w:ascii="Arial" w:hAnsi="Arial" w:cs="Arial"/>
          <w:sz w:val="20"/>
          <w:szCs w:val="20"/>
        </w:rPr>
        <w:t xml:space="preserve"> increasing the capacity of roads including bridges.</w:t>
      </w:r>
    </w:p>
    <w:p w:rsidR="007566A1" w:rsidRDefault="007566A1" w:rsidP="00D01BB4">
      <w:pPr>
        <w:rPr>
          <w:rFonts w:ascii="Arial" w:hAnsi="Arial" w:cs="Arial"/>
          <w:bCs/>
          <w:i/>
          <w:sz w:val="20"/>
          <w:szCs w:val="20"/>
        </w:rPr>
      </w:pPr>
    </w:p>
    <w:p w:rsidR="00DA2390" w:rsidRDefault="00DA2390" w:rsidP="00D01BB4">
      <w:pPr>
        <w:rPr>
          <w:rFonts w:ascii="Arial" w:hAnsi="Arial" w:cs="Arial"/>
          <w:bCs/>
          <w:i/>
          <w:sz w:val="20"/>
          <w:szCs w:val="20"/>
        </w:rPr>
      </w:pPr>
      <w:r>
        <w:rPr>
          <w:rFonts w:ascii="Arial" w:hAnsi="Arial" w:cs="Arial"/>
          <w:bCs/>
          <w:i/>
          <w:sz w:val="20"/>
          <w:szCs w:val="20"/>
        </w:rPr>
        <w:br w:type="page"/>
      </w:r>
    </w:p>
    <w:p w:rsidR="002A6474" w:rsidRPr="00A21775" w:rsidRDefault="002A6474" w:rsidP="00D01BB4">
      <w:pPr>
        <w:rPr>
          <w:rFonts w:ascii="Arial" w:hAnsi="Arial" w:cs="Arial"/>
          <w:bCs/>
          <w:i/>
          <w:sz w:val="20"/>
          <w:szCs w:val="20"/>
        </w:rPr>
      </w:pPr>
      <w:r w:rsidRPr="00A21775">
        <w:rPr>
          <w:rFonts w:ascii="Arial" w:hAnsi="Arial" w:cs="Arial"/>
          <w:bCs/>
          <w:i/>
          <w:sz w:val="20"/>
          <w:szCs w:val="20"/>
        </w:rPr>
        <w:lastRenderedPageBreak/>
        <w:t>Rest Areas</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 xml:space="preserve">Fatigue is one of the largest contributors to heavy vehicle crashes. Rest areas are necessary for heavy vehicle drivers to rest due to compliance and to check loads. It is </w:t>
      </w:r>
      <w:r w:rsidR="008A59F1">
        <w:rPr>
          <w:rFonts w:ascii="Arial" w:hAnsi="Arial" w:cs="Arial"/>
          <w:bCs/>
          <w:sz w:val="20"/>
          <w:szCs w:val="20"/>
        </w:rPr>
        <w:t>essential</w:t>
      </w:r>
      <w:r w:rsidRPr="00A21775">
        <w:rPr>
          <w:rFonts w:ascii="Arial" w:hAnsi="Arial" w:cs="Arial"/>
          <w:bCs/>
          <w:sz w:val="20"/>
          <w:szCs w:val="20"/>
        </w:rPr>
        <w:t xml:space="preserve"> they are provided along freight routes. Having more rest areas means there would be more flexibi</w:t>
      </w:r>
      <w:r w:rsidR="008A59F1">
        <w:rPr>
          <w:rFonts w:ascii="Arial" w:hAnsi="Arial" w:cs="Arial"/>
          <w:bCs/>
          <w:sz w:val="20"/>
          <w:szCs w:val="20"/>
        </w:rPr>
        <w:t>lity for operators as they know</w:t>
      </w:r>
      <w:r w:rsidRPr="00A21775">
        <w:rPr>
          <w:rFonts w:ascii="Arial" w:hAnsi="Arial" w:cs="Arial"/>
          <w:bCs/>
          <w:sz w:val="20"/>
          <w:szCs w:val="20"/>
        </w:rPr>
        <w:t xml:space="preserve"> drivers could travel from A to B with sufficient rest areas. This can only be a positive thing. </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The problem is there is a persistent lack of rest areas, even after pressure by the NTC and Austroads on agencies to provide appropriate rest areas. Most states are still not meeting the specified guidelines by the NTC on what rest areas should be provided. With the introduction of the heavy vehicle fatigue laws in 2008</w:t>
      </w:r>
      <w:r w:rsidR="00BF20C9">
        <w:rPr>
          <w:rFonts w:ascii="Arial" w:hAnsi="Arial" w:cs="Arial"/>
          <w:bCs/>
          <w:sz w:val="20"/>
          <w:szCs w:val="20"/>
        </w:rPr>
        <w:t xml:space="preserve"> it is imperative governments provide</w:t>
      </w:r>
      <w:r w:rsidRPr="00A21775">
        <w:rPr>
          <w:rFonts w:ascii="Arial" w:hAnsi="Arial" w:cs="Arial"/>
          <w:bCs/>
          <w:sz w:val="20"/>
          <w:szCs w:val="20"/>
        </w:rPr>
        <w:t xml:space="preserve"> rest areas or operators cannot comply with the law. </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An Austroads audit found “major rest areas were underprovided in all jurisdictions, except Victoria. Queensland and the northern territory findings showed that any rest opportunities for heavy vehicle drivers were scarce</w:t>
      </w:r>
      <w:r w:rsidRPr="00A21775">
        <w:rPr>
          <w:rFonts w:ascii="Arial" w:hAnsi="Arial" w:cs="Arial"/>
          <w:bCs/>
          <w:sz w:val="20"/>
          <w:szCs w:val="20"/>
          <w:vertAlign w:val="superscript"/>
        </w:rPr>
        <w:footnoteReference w:id="2"/>
      </w:r>
      <w:r w:rsidRPr="00A21775">
        <w:rPr>
          <w:rFonts w:ascii="Arial" w:hAnsi="Arial" w:cs="Arial"/>
          <w:bCs/>
          <w:sz w:val="20"/>
          <w:szCs w:val="20"/>
        </w:rPr>
        <w:t>.” Along with this</w:t>
      </w:r>
      <w:r w:rsidR="008A59F1">
        <w:rPr>
          <w:rFonts w:ascii="Arial" w:hAnsi="Arial" w:cs="Arial"/>
          <w:bCs/>
          <w:sz w:val="20"/>
          <w:szCs w:val="20"/>
        </w:rPr>
        <w:t>,</w:t>
      </w:r>
      <w:r w:rsidRPr="00A21775">
        <w:rPr>
          <w:rFonts w:ascii="Arial" w:hAnsi="Arial" w:cs="Arial"/>
          <w:bCs/>
          <w:sz w:val="20"/>
          <w:szCs w:val="20"/>
        </w:rPr>
        <w:t xml:space="preserve"> heavy vehicle rest areas were found to be badly planned and built, and facilities were not provided. </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i/>
          <w:sz w:val="20"/>
          <w:szCs w:val="20"/>
        </w:rPr>
      </w:pPr>
      <w:r w:rsidRPr="00A21775">
        <w:rPr>
          <w:rFonts w:ascii="Arial" w:hAnsi="Arial" w:cs="Arial"/>
          <w:bCs/>
          <w:i/>
          <w:sz w:val="20"/>
          <w:szCs w:val="20"/>
        </w:rPr>
        <w:t>Parking/decoupling bays</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This refers to larger modular combinations such as B-triples upwards to</w:t>
      </w:r>
      <w:r w:rsidR="00BF20C9">
        <w:rPr>
          <w:rFonts w:ascii="Arial" w:hAnsi="Arial" w:cs="Arial"/>
          <w:bCs/>
          <w:sz w:val="20"/>
          <w:szCs w:val="20"/>
        </w:rPr>
        <w:t xml:space="preserve"> road trains and AB-triples which</w:t>
      </w:r>
      <w:r w:rsidRPr="00A21775">
        <w:rPr>
          <w:rFonts w:ascii="Arial" w:hAnsi="Arial" w:cs="Arial"/>
          <w:bCs/>
          <w:sz w:val="20"/>
          <w:szCs w:val="20"/>
        </w:rPr>
        <w:t xml:space="preserve"> normally have to de-couple to access certain roads. While the NTC has recommended governments to allow B-triples to access the same roads as a road trains, it is understandable that some combinations cannot access heavily populated areas or unsealed roads for safety reasons. </w:t>
      </w:r>
      <w:r w:rsidR="00BF20C9">
        <w:rPr>
          <w:rFonts w:ascii="Arial" w:hAnsi="Arial" w:cs="Arial"/>
          <w:bCs/>
          <w:sz w:val="20"/>
          <w:szCs w:val="20"/>
        </w:rPr>
        <w:t xml:space="preserve">Therefore, it is necessary </w:t>
      </w:r>
      <w:r w:rsidRPr="00A21775">
        <w:rPr>
          <w:rFonts w:ascii="Arial" w:hAnsi="Arial" w:cs="Arial"/>
          <w:bCs/>
          <w:sz w:val="20"/>
          <w:szCs w:val="20"/>
        </w:rPr>
        <w:t xml:space="preserve">these bays are provided in order to make the ease of changing combinations </w:t>
      </w:r>
      <w:r w:rsidR="008A59F1">
        <w:rPr>
          <w:rFonts w:ascii="Arial" w:hAnsi="Arial" w:cs="Arial"/>
          <w:bCs/>
          <w:sz w:val="20"/>
          <w:szCs w:val="20"/>
        </w:rPr>
        <w:t>superior</w:t>
      </w:r>
      <w:r w:rsidRPr="00A21775">
        <w:rPr>
          <w:rFonts w:ascii="Arial" w:hAnsi="Arial" w:cs="Arial"/>
          <w:bCs/>
          <w:sz w:val="20"/>
          <w:szCs w:val="20"/>
        </w:rPr>
        <w:t xml:space="preserve"> than it is currently.</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i/>
          <w:sz w:val="20"/>
          <w:szCs w:val="20"/>
        </w:rPr>
      </w:pPr>
      <w:r w:rsidRPr="00A21775">
        <w:rPr>
          <w:rFonts w:ascii="Arial" w:hAnsi="Arial" w:cs="Arial"/>
          <w:bCs/>
          <w:i/>
          <w:sz w:val="20"/>
          <w:szCs w:val="20"/>
        </w:rPr>
        <w:t xml:space="preserve">Technology </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 xml:space="preserve">Those who use telematics use it for management reasons and </w:t>
      </w:r>
      <w:r w:rsidR="002C4C61">
        <w:rPr>
          <w:rFonts w:ascii="Arial" w:hAnsi="Arial" w:cs="Arial"/>
          <w:bCs/>
          <w:sz w:val="20"/>
          <w:szCs w:val="20"/>
        </w:rPr>
        <w:t>monitoring, but the use of these devices</w:t>
      </w:r>
      <w:r w:rsidRPr="00A21775">
        <w:rPr>
          <w:rFonts w:ascii="Arial" w:hAnsi="Arial" w:cs="Arial"/>
          <w:bCs/>
          <w:sz w:val="20"/>
          <w:szCs w:val="20"/>
        </w:rPr>
        <w:t xml:space="preserve"> are limited </w:t>
      </w:r>
      <w:r w:rsidR="008A59F1">
        <w:rPr>
          <w:rFonts w:ascii="Arial" w:hAnsi="Arial" w:cs="Arial"/>
          <w:bCs/>
          <w:sz w:val="20"/>
          <w:szCs w:val="20"/>
        </w:rPr>
        <w:t xml:space="preserve">to a section of operators. </w:t>
      </w:r>
      <w:r w:rsidRPr="00A21775">
        <w:rPr>
          <w:rFonts w:ascii="Arial" w:hAnsi="Arial" w:cs="Arial"/>
          <w:bCs/>
          <w:sz w:val="20"/>
          <w:szCs w:val="20"/>
        </w:rPr>
        <w:t xml:space="preserve">It is an expensive management tool and money can be spent more productively elsewhere at present. </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i/>
          <w:sz w:val="20"/>
          <w:szCs w:val="20"/>
        </w:rPr>
      </w:pPr>
      <w:r w:rsidRPr="00A21775">
        <w:rPr>
          <w:rFonts w:ascii="Arial" w:hAnsi="Arial" w:cs="Arial"/>
          <w:bCs/>
          <w:i/>
          <w:sz w:val="20"/>
          <w:szCs w:val="20"/>
        </w:rPr>
        <w:t>Road enhancement projects</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Heavy vehicle road updating and maintenance is in competition with other road provision decisions, as revenue is not separated on collection. If money could be divided and spent efficiently this would be a great improvement on how some agencies perform. Many local governments are not keen to update roads to heavy vehicle standard</w:t>
      </w:r>
      <w:r w:rsidR="002C4C61">
        <w:rPr>
          <w:rFonts w:ascii="Arial" w:hAnsi="Arial" w:cs="Arial"/>
          <w:bCs/>
          <w:sz w:val="20"/>
          <w:szCs w:val="20"/>
        </w:rPr>
        <w:t>s</w:t>
      </w:r>
      <w:r w:rsidRPr="00A21775">
        <w:rPr>
          <w:rFonts w:ascii="Arial" w:hAnsi="Arial" w:cs="Arial"/>
          <w:bCs/>
          <w:sz w:val="20"/>
          <w:szCs w:val="20"/>
        </w:rPr>
        <w:t xml:space="preserve"> as they are concerned about the perceived effects of allowing larger heavy vehicles into their jurisdictions has. Safety concerns are ill founded as the B-doubles and B-triples have superior safety over semi-trailers as there is a reduced risk of roll with these safer combinations. N</w:t>
      </w:r>
      <w:r w:rsidR="002C4C61">
        <w:rPr>
          <w:rFonts w:ascii="Arial" w:hAnsi="Arial" w:cs="Arial"/>
          <w:bCs/>
          <w:sz w:val="20"/>
          <w:szCs w:val="20"/>
        </w:rPr>
        <w:t xml:space="preserve">ational </w:t>
      </w:r>
      <w:r w:rsidR="002C4C61" w:rsidRPr="00A21775">
        <w:rPr>
          <w:rFonts w:ascii="Arial" w:hAnsi="Arial" w:cs="Arial"/>
          <w:bCs/>
          <w:sz w:val="20"/>
          <w:szCs w:val="20"/>
        </w:rPr>
        <w:t>T</w:t>
      </w:r>
      <w:r w:rsidR="002C4C61">
        <w:rPr>
          <w:rFonts w:ascii="Arial" w:hAnsi="Arial" w:cs="Arial"/>
          <w:bCs/>
          <w:sz w:val="20"/>
          <w:szCs w:val="20"/>
        </w:rPr>
        <w:t xml:space="preserve">ransport </w:t>
      </w:r>
      <w:r w:rsidRPr="00A21775">
        <w:rPr>
          <w:rFonts w:ascii="Arial" w:hAnsi="Arial" w:cs="Arial"/>
          <w:bCs/>
          <w:sz w:val="20"/>
          <w:szCs w:val="20"/>
        </w:rPr>
        <w:t>I</w:t>
      </w:r>
      <w:r w:rsidR="002C4C61">
        <w:rPr>
          <w:rFonts w:ascii="Arial" w:hAnsi="Arial" w:cs="Arial"/>
          <w:bCs/>
          <w:sz w:val="20"/>
          <w:szCs w:val="20"/>
        </w:rPr>
        <w:t>nsurance</w:t>
      </w:r>
      <w:r w:rsidRPr="00A21775">
        <w:rPr>
          <w:rFonts w:ascii="Arial" w:hAnsi="Arial" w:cs="Arial"/>
          <w:bCs/>
          <w:sz w:val="20"/>
          <w:szCs w:val="20"/>
        </w:rPr>
        <w:t xml:space="preserve"> statistics also show that B-doubles are involved in the lowest amount of multiple vehicle crashes (28%) compared to other heavy vehicles</w:t>
      </w:r>
      <w:r w:rsidRPr="00A21775">
        <w:rPr>
          <w:rFonts w:ascii="Arial" w:hAnsi="Arial" w:cs="Arial"/>
          <w:bCs/>
          <w:sz w:val="20"/>
          <w:szCs w:val="20"/>
          <w:vertAlign w:val="superscript"/>
        </w:rPr>
        <w:footnoteReference w:id="3"/>
      </w:r>
      <w:r w:rsidRPr="00A21775">
        <w:rPr>
          <w:rFonts w:ascii="Arial" w:hAnsi="Arial" w:cs="Arial"/>
          <w:bCs/>
          <w:sz w:val="20"/>
          <w:szCs w:val="20"/>
        </w:rPr>
        <w:t xml:space="preserve">. </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 xml:space="preserve">Impact concerns on infrastructure are not based on sound engineering. Using higher productivity vehicles leads to less heavy vehicles being needed to complete </w:t>
      </w:r>
      <w:r w:rsidR="004E7226">
        <w:rPr>
          <w:rFonts w:ascii="Arial" w:hAnsi="Arial" w:cs="Arial"/>
          <w:bCs/>
          <w:sz w:val="20"/>
          <w:szCs w:val="20"/>
        </w:rPr>
        <w:t xml:space="preserve">the </w:t>
      </w:r>
      <w:r w:rsidRPr="00A21775">
        <w:rPr>
          <w:rFonts w:ascii="Arial" w:hAnsi="Arial" w:cs="Arial"/>
          <w:bCs/>
          <w:sz w:val="20"/>
          <w:szCs w:val="20"/>
        </w:rPr>
        <w:t xml:space="preserve">freight task. This means less impact is made on the infrastructure because of the reduced number of trips needed.   </w:t>
      </w:r>
    </w:p>
    <w:p w:rsidR="002A6474" w:rsidRPr="00A21775" w:rsidRDefault="002A6474" w:rsidP="00D01BB4">
      <w:pPr>
        <w:rPr>
          <w:rFonts w:ascii="Arial" w:hAnsi="Arial" w:cs="Arial"/>
          <w:bCs/>
          <w:sz w:val="20"/>
          <w:szCs w:val="20"/>
        </w:rPr>
      </w:pPr>
    </w:p>
    <w:p w:rsidR="002A6474" w:rsidRPr="00A21775" w:rsidRDefault="002A6474" w:rsidP="00D01BB4">
      <w:pPr>
        <w:rPr>
          <w:rFonts w:ascii="Arial" w:hAnsi="Arial" w:cs="Arial"/>
          <w:bCs/>
          <w:sz w:val="20"/>
          <w:szCs w:val="20"/>
        </w:rPr>
      </w:pPr>
      <w:r w:rsidRPr="00A21775">
        <w:rPr>
          <w:rFonts w:ascii="Arial" w:hAnsi="Arial" w:cs="Arial"/>
          <w:bCs/>
          <w:sz w:val="20"/>
          <w:szCs w:val="20"/>
        </w:rPr>
        <w:t xml:space="preserve">If existing infrastructure could be utilised better and if regulation for heavy vehicles was targeted more towards productivity, allowing higher mass vehicles and more productive vehicles such as B-doubles and B-triples, would mean that little change would be needed to the funding of new infrastructure as it is access which is the holding back the industry, and therefore the economy. </w:t>
      </w:r>
    </w:p>
    <w:p w:rsidR="002A6474" w:rsidRPr="00A21775" w:rsidRDefault="002A6474" w:rsidP="00D01BB4">
      <w:pPr>
        <w:rPr>
          <w:rFonts w:ascii="Arial" w:hAnsi="Arial" w:cs="Arial"/>
          <w:bCs/>
          <w:sz w:val="20"/>
          <w:szCs w:val="20"/>
        </w:rPr>
      </w:pPr>
    </w:p>
    <w:p w:rsidR="00DA2390" w:rsidRDefault="002C4C61" w:rsidP="00D01BB4">
      <w:pPr>
        <w:rPr>
          <w:rFonts w:ascii="Arial" w:hAnsi="Arial" w:cs="Arial"/>
          <w:bCs/>
          <w:sz w:val="20"/>
          <w:szCs w:val="20"/>
        </w:rPr>
      </w:pPr>
      <w:r>
        <w:rPr>
          <w:rFonts w:ascii="Arial" w:hAnsi="Arial" w:cs="Arial"/>
          <w:bCs/>
          <w:sz w:val="20"/>
          <w:szCs w:val="20"/>
        </w:rPr>
        <w:t>Increasing</w:t>
      </w:r>
      <w:r w:rsidR="002A6474" w:rsidRPr="00A21775">
        <w:rPr>
          <w:rFonts w:ascii="Arial" w:hAnsi="Arial" w:cs="Arial"/>
          <w:bCs/>
          <w:sz w:val="20"/>
          <w:szCs w:val="20"/>
        </w:rPr>
        <w:t xml:space="preserve"> access and </w:t>
      </w:r>
      <w:r>
        <w:rPr>
          <w:rFonts w:ascii="Arial" w:hAnsi="Arial" w:cs="Arial"/>
          <w:bCs/>
          <w:sz w:val="20"/>
          <w:szCs w:val="20"/>
        </w:rPr>
        <w:t xml:space="preserve">implementing </w:t>
      </w:r>
      <w:r w:rsidR="002A6474" w:rsidRPr="00A21775">
        <w:rPr>
          <w:rFonts w:ascii="Arial" w:hAnsi="Arial" w:cs="Arial"/>
          <w:bCs/>
          <w:sz w:val="20"/>
          <w:szCs w:val="20"/>
        </w:rPr>
        <w:t>some of the</w:t>
      </w:r>
      <w:r w:rsidR="004E7226" w:rsidRPr="004E7226">
        <w:rPr>
          <w:rFonts w:ascii="Arial" w:hAnsi="Arial" w:cs="Arial"/>
          <w:bCs/>
          <w:sz w:val="20"/>
          <w:szCs w:val="20"/>
        </w:rPr>
        <w:t xml:space="preserve"> Department of Infrastructure and Transport </w:t>
      </w:r>
      <w:r w:rsidR="002A6474" w:rsidRPr="00A21775">
        <w:rPr>
          <w:rFonts w:ascii="Arial" w:hAnsi="Arial" w:cs="Arial"/>
          <w:bCs/>
          <w:sz w:val="20"/>
          <w:szCs w:val="20"/>
        </w:rPr>
        <w:t xml:space="preserve">ideas are endorsed by the </w:t>
      </w:r>
      <w:r w:rsidR="00AB130E">
        <w:rPr>
          <w:rFonts w:ascii="Arial" w:hAnsi="Arial" w:cs="Arial"/>
          <w:bCs/>
          <w:sz w:val="20"/>
          <w:szCs w:val="20"/>
        </w:rPr>
        <w:t>ATA</w:t>
      </w:r>
      <w:r w:rsidR="002A6474" w:rsidRPr="00A21775">
        <w:rPr>
          <w:rFonts w:ascii="Arial" w:hAnsi="Arial" w:cs="Arial"/>
          <w:bCs/>
          <w:sz w:val="20"/>
          <w:szCs w:val="20"/>
        </w:rPr>
        <w:t xml:space="preserve"> and they</w:t>
      </w:r>
      <w:r w:rsidR="00B46499">
        <w:rPr>
          <w:rFonts w:ascii="Arial" w:hAnsi="Arial" w:cs="Arial"/>
          <w:bCs/>
          <w:sz w:val="20"/>
          <w:szCs w:val="20"/>
        </w:rPr>
        <w:t>’d</w:t>
      </w:r>
      <w:r w:rsidR="002A6474" w:rsidRPr="00A21775">
        <w:rPr>
          <w:rFonts w:ascii="Arial" w:hAnsi="Arial" w:cs="Arial"/>
          <w:bCs/>
          <w:sz w:val="20"/>
          <w:szCs w:val="20"/>
        </w:rPr>
        <w:t xml:space="preserve"> give a good foundation of what physically needs to be provided to improve safety and therefore productivity of the fleet.  </w:t>
      </w:r>
    </w:p>
    <w:p w:rsidR="00D01BB4" w:rsidRPr="00A21775" w:rsidRDefault="00D01BB4" w:rsidP="00D01BB4">
      <w:pPr>
        <w:rPr>
          <w:rFonts w:ascii="Arial" w:hAnsi="Arial" w:cs="Arial"/>
          <w:bCs/>
          <w:sz w:val="20"/>
          <w:szCs w:val="20"/>
        </w:rPr>
      </w:pPr>
    </w:p>
    <w:p w:rsidR="004C066E" w:rsidRPr="004C066E" w:rsidRDefault="004C066E" w:rsidP="00D01BB4">
      <w:pPr>
        <w:pStyle w:val="RecommendationStyle"/>
        <w:spacing w:before="0" w:after="0"/>
      </w:pPr>
    </w:p>
    <w:p w:rsidR="00D01BB4" w:rsidRDefault="00D01BB4" w:rsidP="00D01BB4">
      <w:pPr>
        <w:pStyle w:val="RecommendationStyle"/>
        <w:numPr>
          <w:ilvl w:val="0"/>
          <w:numId w:val="0"/>
        </w:numPr>
        <w:spacing w:before="0" w:after="0"/>
      </w:pPr>
    </w:p>
    <w:p w:rsidR="00D01BB4" w:rsidRPr="00485B3B" w:rsidRDefault="00D01BB4" w:rsidP="00D01BB4">
      <w:pPr>
        <w:pStyle w:val="RecommendationStyle"/>
        <w:numPr>
          <w:ilvl w:val="0"/>
          <w:numId w:val="0"/>
        </w:numPr>
        <w:spacing w:before="0" w:after="0"/>
      </w:pPr>
      <w:r w:rsidRPr="00485B3B">
        <w:t>The NTC should encourage more local governments to permit B-doubles and B-triples to access their roads, as this allow communi</w:t>
      </w:r>
      <w:r w:rsidR="002E24FE">
        <w:t>ties to be more productive whilst</w:t>
      </w:r>
      <w:r w:rsidRPr="00485B3B">
        <w:t xml:space="preserve"> reducing heavy vehicle road wear impact. </w:t>
      </w:r>
    </w:p>
    <w:p w:rsidR="00DA2390" w:rsidRDefault="00DA2390" w:rsidP="00D01BB4">
      <w:pPr>
        <w:rPr>
          <w:rFonts w:ascii="Arial" w:hAnsi="Arial" w:cs="Arial"/>
          <w:sz w:val="20"/>
          <w:szCs w:val="20"/>
        </w:rPr>
      </w:pPr>
      <w:r>
        <w:rPr>
          <w:rFonts w:ascii="Arial" w:hAnsi="Arial" w:cs="Arial"/>
          <w:sz w:val="20"/>
          <w:szCs w:val="20"/>
        </w:rPr>
        <w:br w:type="page"/>
      </w:r>
    </w:p>
    <w:p w:rsidR="002A6474" w:rsidRDefault="002A6474" w:rsidP="00D01BB4">
      <w:pPr>
        <w:rPr>
          <w:rFonts w:ascii="Arial" w:hAnsi="Arial" w:cs="Arial"/>
          <w:sz w:val="20"/>
          <w:szCs w:val="20"/>
        </w:rPr>
      </w:pPr>
    </w:p>
    <w:p w:rsidR="004C066E" w:rsidRDefault="004C066E" w:rsidP="00E92888">
      <w:pPr>
        <w:numPr>
          <w:ilvl w:val="0"/>
          <w:numId w:val="2"/>
        </w:numPr>
        <w:tabs>
          <w:tab w:val="clear" w:pos="1334"/>
        </w:tabs>
        <w:rPr>
          <w:rFonts w:ascii="Arial" w:hAnsi="Arial" w:cs="Arial"/>
          <w:b/>
          <w:i/>
          <w:sz w:val="20"/>
          <w:szCs w:val="20"/>
        </w:rPr>
      </w:pPr>
    </w:p>
    <w:p w:rsidR="00D01BB4" w:rsidRDefault="00D01BB4" w:rsidP="00D01BB4">
      <w:pPr>
        <w:pStyle w:val="RecommendationStyle"/>
        <w:numPr>
          <w:ilvl w:val="0"/>
          <w:numId w:val="0"/>
        </w:numPr>
        <w:spacing w:before="0" w:after="0"/>
      </w:pPr>
    </w:p>
    <w:p w:rsidR="00D01BB4" w:rsidRPr="00485B3B" w:rsidRDefault="002E24FE" w:rsidP="00D01BB4">
      <w:pPr>
        <w:pStyle w:val="RecommendationStyle"/>
        <w:numPr>
          <w:ilvl w:val="0"/>
          <w:numId w:val="0"/>
        </w:numPr>
        <w:spacing w:before="0" w:after="0"/>
      </w:pPr>
      <w:r>
        <w:t>The ATA recommend</w:t>
      </w:r>
      <w:r w:rsidR="00D01BB4" w:rsidRPr="00485B3B">
        <w:t xml:space="preserve"> the NTC pursue road agencies to make sure they are aware of the of the contents of the ATA Barkwood Consulting P/L Truck Impact Chart as it show the true impact of heavy vehicles on the road. </w:t>
      </w:r>
    </w:p>
    <w:p w:rsidR="004C066E" w:rsidRDefault="00D67F29" w:rsidP="00D01BB4">
      <w:pPr>
        <w:rPr>
          <w:rFonts w:ascii="Arial" w:hAnsi="Arial" w:cs="Arial"/>
          <w:b/>
          <w:i/>
          <w:sz w:val="20"/>
          <w:szCs w:val="20"/>
        </w:rPr>
      </w:pPr>
      <w:r>
        <w:rPr>
          <w:rFonts w:ascii="Arial" w:hAnsi="Arial" w:cs="Arial"/>
          <w:b/>
          <w:i/>
          <w:sz w:val="20"/>
          <w:szCs w:val="20"/>
        </w:rPr>
        <w:t xml:space="preserve"> </w:t>
      </w:r>
    </w:p>
    <w:p w:rsidR="00D67F29" w:rsidRDefault="00D67F29" w:rsidP="00D01BB4">
      <w:pPr>
        <w:pStyle w:val="RecommendationStyle"/>
        <w:spacing w:before="0" w:after="0"/>
      </w:pPr>
    </w:p>
    <w:p w:rsidR="00D01BB4" w:rsidRDefault="00D01BB4" w:rsidP="00D01BB4">
      <w:pPr>
        <w:pStyle w:val="RecommendationStyle"/>
        <w:numPr>
          <w:ilvl w:val="0"/>
          <w:numId w:val="0"/>
        </w:numPr>
        <w:spacing w:before="0" w:after="0"/>
      </w:pPr>
    </w:p>
    <w:p w:rsidR="00D01BB4" w:rsidRPr="00485B3B" w:rsidRDefault="00D01BB4" w:rsidP="00D01BB4">
      <w:pPr>
        <w:pStyle w:val="RecommendationStyle"/>
        <w:numPr>
          <w:ilvl w:val="0"/>
          <w:numId w:val="0"/>
        </w:numPr>
        <w:spacing w:before="0" w:after="0"/>
      </w:pPr>
      <w:r w:rsidRPr="00485B3B">
        <w:t xml:space="preserve">The ATA recommends the provision of more rest areas, parking decoupling bays and heavy vehicle road enhancements. Technology should be encouraged for industry when it is fit for purpose. </w:t>
      </w:r>
    </w:p>
    <w:p w:rsidR="000368A9" w:rsidRDefault="000368A9" w:rsidP="00D01BB4">
      <w:pPr>
        <w:rPr>
          <w:rFonts w:ascii="Arial" w:hAnsi="Arial" w:cs="Arial"/>
          <w:b/>
          <w:i/>
          <w:sz w:val="20"/>
          <w:szCs w:val="20"/>
        </w:rPr>
      </w:pPr>
    </w:p>
    <w:p w:rsidR="00D67F29" w:rsidRDefault="00D67F29" w:rsidP="00D01BB4">
      <w:pPr>
        <w:pStyle w:val="RecommendationStyle"/>
        <w:spacing w:before="0" w:after="0"/>
      </w:pPr>
    </w:p>
    <w:p w:rsidR="00D01BB4" w:rsidRDefault="00D01BB4" w:rsidP="00D01BB4">
      <w:pPr>
        <w:pStyle w:val="RecommendationStyle"/>
        <w:numPr>
          <w:ilvl w:val="0"/>
          <w:numId w:val="0"/>
        </w:numPr>
        <w:spacing w:before="0" w:after="0"/>
      </w:pPr>
    </w:p>
    <w:p w:rsidR="00D01BB4" w:rsidRPr="00485B3B" w:rsidRDefault="00D01BB4" w:rsidP="00D01BB4">
      <w:pPr>
        <w:pStyle w:val="RecommendationStyle"/>
        <w:numPr>
          <w:ilvl w:val="0"/>
          <w:numId w:val="0"/>
        </w:numPr>
        <w:spacing w:before="0" w:after="0"/>
      </w:pPr>
      <w:r w:rsidRPr="00485B3B">
        <w:t xml:space="preserve">The NTC should focus on productivity enhancing moves in the heavy vehicle industry as there are many </w:t>
      </w:r>
      <w:proofErr w:type="gramStart"/>
      <w:r w:rsidRPr="00485B3B">
        <w:t>flow</w:t>
      </w:r>
      <w:proofErr w:type="gramEnd"/>
      <w:r w:rsidRPr="00485B3B">
        <w:t xml:space="preserve"> on benefits which support economic growth in Australia. </w:t>
      </w:r>
    </w:p>
    <w:p w:rsidR="004C066E" w:rsidRDefault="004C066E" w:rsidP="00D01BB4">
      <w:pPr>
        <w:rPr>
          <w:rFonts w:ascii="Arial" w:hAnsi="Arial" w:cs="Arial"/>
          <w:b/>
          <w:i/>
          <w:sz w:val="20"/>
          <w:szCs w:val="20"/>
        </w:rPr>
      </w:pPr>
    </w:p>
    <w:p w:rsidR="00915339" w:rsidRPr="004C066E" w:rsidRDefault="00915339" w:rsidP="00D01BB4">
      <w:pPr>
        <w:rPr>
          <w:rFonts w:ascii="Arial" w:hAnsi="Arial" w:cs="Arial"/>
          <w:b/>
          <w:i/>
          <w:sz w:val="20"/>
          <w:szCs w:val="20"/>
        </w:rPr>
      </w:pPr>
    </w:p>
    <w:p w:rsidR="00EA3010" w:rsidRPr="00972601" w:rsidRDefault="00EA3010" w:rsidP="00D01BB4">
      <w:pPr>
        <w:pStyle w:val="ATAHeading2"/>
        <w:spacing w:before="0" w:after="0" w:line="240" w:lineRule="auto"/>
        <w:ind w:left="851" w:hanging="851"/>
        <w:rPr>
          <w:sz w:val="28"/>
          <w:szCs w:val="28"/>
        </w:rPr>
      </w:pPr>
      <w:bookmarkStart w:id="24" w:name="_Toc306363312"/>
      <w:r w:rsidRPr="00972601">
        <w:rPr>
          <w:sz w:val="28"/>
          <w:szCs w:val="28"/>
        </w:rPr>
        <w:t>Funding and planning</w:t>
      </w:r>
      <w:bookmarkEnd w:id="24"/>
      <w:r w:rsidRPr="00972601">
        <w:rPr>
          <w:sz w:val="28"/>
          <w:szCs w:val="28"/>
        </w:rPr>
        <w:t xml:space="preserve"> </w:t>
      </w:r>
    </w:p>
    <w:p w:rsidR="00D01BB4" w:rsidRPr="00D01BB4" w:rsidRDefault="00D01BB4" w:rsidP="00D01BB4">
      <w:pPr>
        <w:pStyle w:val="ATAHeading2"/>
        <w:numPr>
          <w:ilvl w:val="0"/>
          <w:numId w:val="0"/>
        </w:numPr>
        <w:spacing w:before="0" w:after="0" w:line="240" w:lineRule="auto"/>
        <w:rPr>
          <w:sz w:val="20"/>
          <w:szCs w:val="20"/>
        </w:rPr>
      </w:pPr>
    </w:p>
    <w:p w:rsidR="001A0E23" w:rsidRDefault="004E7226" w:rsidP="00D01BB4">
      <w:pPr>
        <w:pStyle w:val="BodyText2"/>
        <w:rPr>
          <w:b w:val="0"/>
          <w:sz w:val="20"/>
        </w:rPr>
      </w:pPr>
      <w:r>
        <w:rPr>
          <w:b w:val="0"/>
          <w:sz w:val="20"/>
        </w:rPr>
        <w:t xml:space="preserve">In the paper it states </w:t>
      </w:r>
      <w:r w:rsidR="001A0E23" w:rsidRPr="001A0E23">
        <w:rPr>
          <w:b w:val="0"/>
          <w:sz w:val="20"/>
        </w:rPr>
        <w:t>“</w:t>
      </w:r>
      <w:r w:rsidR="001A0E23">
        <w:rPr>
          <w:b w:val="0"/>
          <w:sz w:val="20"/>
        </w:rPr>
        <w:t>B</w:t>
      </w:r>
      <w:r w:rsidR="001A0E23" w:rsidRPr="001A0E23">
        <w:rPr>
          <w:b w:val="0"/>
          <w:sz w:val="20"/>
        </w:rPr>
        <w:t>enefits of a well-targeted road pricing scheme aligned with good investment decisions and complementary regulatory policies can address a range of challenges.” Past experience suggests the possibility of</w:t>
      </w:r>
      <w:r w:rsidR="00173647">
        <w:rPr>
          <w:b w:val="0"/>
          <w:sz w:val="20"/>
        </w:rPr>
        <w:t xml:space="preserve"> a</w:t>
      </w:r>
      <w:r w:rsidR="001A0E23" w:rsidRPr="001A0E23">
        <w:rPr>
          <w:b w:val="0"/>
          <w:sz w:val="20"/>
        </w:rPr>
        <w:t xml:space="preserve"> road pricing scheme</w:t>
      </w:r>
      <w:r>
        <w:rPr>
          <w:b w:val="0"/>
          <w:sz w:val="20"/>
        </w:rPr>
        <w:t xml:space="preserve"> being implemented</w:t>
      </w:r>
      <w:r w:rsidR="001A0E23" w:rsidRPr="001A0E23">
        <w:rPr>
          <w:b w:val="0"/>
          <w:sz w:val="20"/>
        </w:rPr>
        <w:t xml:space="preserve"> is </w:t>
      </w:r>
      <w:r w:rsidR="00E01570" w:rsidRPr="001A0E23">
        <w:rPr>
          <w:b w:val="0"/>
          <w:sz w:val="20"/>
        </w:rPr>
        <w:t>probable</w:t>
      </w:r>
      <w:r w:rsidR="001A0E23" w:rsidRPr="001A0E23">
        <w:rPr>
          <w:b w:val="0"/>
          <w:sz w:val="20"/>
        </w:rPr>
        <w:t xml:space="preserve">, the other two longer run changes to supply side </w:t>
      </w:r>
      <w:r w:rsidR="00173647">
        <w:rPr>
          <w:b w:val="0"/>
          <w:sz w:val="20"/>
        </w:rPr>
        <w:t>reform</w:t>
      </w:r>
      <w:r w:rsidR="001A0E23" w:rsidRPr="001A0E23">
        <w:rPr>
          <w:b w:val="0"/>
          <w:sz w:val="20"/>
        </w:rPr>
        <w:t xml:space="preserve"> are less likely to occur.</w:t>
      </w:r>
    </w:p>
    <w:p w:rsidR="001A0E23" w:rsidRPr="001A0E23" w:rsidRDefault="001A0E23" w:rsidP="00D01BB4">
      <w:pPr>
        <w:pStyle w:val="BodyText2"/>
        <w:rPr>
          <w:b w:val="0"/>
          <w:sz w:val="20"/>
        </w:rPr>
      </w:pPr>
    </w:p>
    <w:p w:rsidR="00EA3010" w:rsidRDefault="00EA3010" w:rsidP="00D01BB4">
      <w:pPr>
        <w:pStyle w:val="BodyText2"/>
        <w:rPr>
          <w:b w:val="0"/>
          <w:sz w:val="20"/>
        </w:rPr>
      </w:pPr>
      <w:r w:rsidRPr="00A21775">
        <w:rPr>
          <w:b w:val="0"/>
          <w:sz w:val="20"/>
        </w:rPr>
        <w:t>The COAG road reform plan</w:t>
      </w:r>
      <w:r w:rsidR="00BC021A">
        <w:rPr>
          <w:b w:val="0"/>
          <w:sz w:val="20"/>
        </w:rPr>
        <w:t xml:space="preserve"> (CRRP)</w:t>
      </w:r>
      <w:r w:rsidRPr="00A21775">
        <w:rPr>
          <w:b w:val="0"/>
          <w:sz w:val="20"/>
        </w:rPr>
        <w:t xml:space="preserve"> focuses on heavy vehicle charges; concerns over supply side provision and maintenance have become primary over pricing concerns. While the industry supports paying its way, the future of charges has to be </w:t>
      </w:r>
      <w:r w:rsidR="00173647">
        <w:rPr>
          <w:b w:val="0"/>
          <w:sz w:val="20"/>
        </w:rPr>
        <w:t>considered</w:t>
      </w:r>
      <w:r w:rsidRPr="00A21775">
        <w:rPr>
          <w:b w:val="0"/>
          <w:sz w:val="20"/>
        </w:rPr>
        <w:t xml:space="preserve"> for other vehicles, as heavy vehicles pay for their impact via PayGo and by an annual </w:t>
      </w:r>
      <w:r w:rsidR="00173647" w:rsidRPr="00A21775">
        <w:rPr>
          <w:b w:val="0"/>
          <w:sz w:val="20"/>
        </w:rPr>
        <w:t>adjustment;</w:t>
      </w:r>
      <w:r w:rsidRPr="00A21775">
        <w:rPr>
          <w:b w:val="0"/>
          <w:sz w:val="20"/>
        </w:rPr>
        <w:t xml:space="preserve"> where as light vehicles pay a registration charge and fuel tax at the pump. With the introduction of greener vehicles, which are outside this current taxing system, funding is only going to become more uncertain. </w:t>
      </w:r>
    </w:p>
    <w:p w:rsidR="007566A1" w:rsidRDefault="007566A1" w:rsidP="00D01BB4">
      <w:pPr>
        <w:pStyle w:val="BodyText2"/>
        <w:rPr>
          <w:b w:val="0"/>
          <w:sz w:val="20"/>
        </w:rPr>
      </w:pPr>
    </w:p>
    <w:p w:rsidR="007566A1" w:rsidRDefault="007566A1" w:rsidP="00D01BB4">
      <w:pPr>
        <w:pStyle w:val="BodyText2"/>
        <w:rPr>
          <w:b w:val="0"/>
          <w:sz w:val="20"/>
        </w:rPr>
      </w:pPr>
      <w:r>
        <w:rPr>
          <w:b w:val="0"/>
          <w:sz w:val="20"/>
        </w:rPr>
        <w:t>The charges CRRP want to implement that of mass</w:t>
      </w:r>
      <w:r w:rsidR="004E7226">
        <w:rPr>
          <w:b w:val="0"/>
          <w:sz w:val="20"/>
        </w:rPr>
        <w:t>,</w:t>
      </w:r>
      <w:r>
        <w:rPr>
          <w:b w:val="0"/>
          <w:sz w:val="20"/>
        </w:rPr>
        <w:t xml:space="preserve"> distance </w:t>
      </w:r>
      <w:r w:rsidR="004E7226">
        <w:rPr>
          <w:b w:val="0"/>
          <w:sz w:val="20"/>
        </w:rPr>
        <w:t xml:space="preserve">and </w:t>
      </w:r>
      <w:r>
        <w:rPr>
          <w:b w:val="0"/>
          <w:sz w:val="20"/>
        </w:rPr>
        <w:t xml:space="preserve">location </w:t>
      </w:r>
      <w:r w:rsidR="00A97BFE">
        <w:rPr>
          <w:b w:val="0"/>
          <w:sz w:val="20"/>
        </w:rPr>
        <w:t xml:space="preserve">(MDL) </w:t>
      </w:r>
      <w:r>
        <w:rPr>
          <w:b w:val="0"/>
          <w:sz w:val="20"/>
        </w:rPr>
        <w:t xml:space="preserve">charging will make funding </w:t>
      </w:r>
      <w:r w:rsidR="00446019">
        <w:rPr>
          <w:b w:val="0"/>
          <w:sz w:val="20"/>
        </w:rPr>
        <w:t>for road agencies uncertain</w:t>
      </w:r>
      <w:r w:rsidR="004E4A1E">
        <w:rPr>
          <w:b w:val="0"/>
          <w:sz w:val="20"/>
        </w:rPr>
        <w:t xml:space="preserve">, as the results of the telematics used to measure each of the parameters will </w:t>
      </w:r>
      <w:r w:rsidR="004E7226">
        <w:rPr>
          <w:b w:val="0"/>
          <w:sz w:val="20"/>
        </w:rPr>
        <w:t>use resources and</w:t>
      </w:r>
      <w:r w:rsidR="004E4A1E">
        <w:rPr>
          <w:b w:val="0"/>
          <w:sz w:val="20"/>
        </w:rPr>
        <w:t xml:space="preserve"> time to compute as well as working out a charge for each </w:t>
      </w:r>
      <w:r w:rsidR="004E7226">
        <w:rPr>
          <w:b w:val="0"/>
          <w:sz w:val="20"/>
        </w:rPr>
        <w:t xml:space="preserve">of the </w:t>
      </w:r>
      <w:r w:rsidR="004E4A1E">
        <w:rPr>
          <w:b w:val="0"/>
          <w:sz w:val="20"/>
        </w:rPr>
        <w:t>different parameter</w:t>
      </w:r>
      <w:r w:rsidR="004E7226">
        <w:rPr>
          <w:b w:val="0"/>
          <w:sz w:val="20"/>
        </w:rPr>
        <w:t>s</w:t>
      </w:r>
      <w:r w:rsidR="004E4A1E">
        <w:rPr>
          <w:b w:val="0"/>
          <w:sz w:val="20"/>
        </w:rPr>
        <w:t xml:space="preserve"> result</w:t>
      </w:r>
      <w:r w:rsidR="00446019">
        <w:rPr>
          <w:b w:val="0"/>
          <w:sz w:val="20"/>
        </w:rPr>
        <w:t xml:space="preserve">. Furthermore, rural Australia will suffer as MDL </w:t>
      </w:r>
      <w:r w:rsidR="004E4A1E">
        <w:rPr>
          <w:b w:val="0"/>
          <w:sz w:val="20"/>
        </w:rPr>
        <w:t>values</w:t>
      </w:r>
      <w:r w:rsidR="00446019">
        <w:rPr>
          <w:b w:val="0"/>
          <w:sz w:val="20"/>
        </w:rPr>
        <w:t xml:space="preserve"> rural roads to more expensive to operate on than arterial roads. </w:t>
      </w:r>
      <w:r w:rsidR="0075542E">
        <w:rPr>
          <w:b w:val="0"/>
          <w:sz w:val="20"/>
        </w:rPr>
        <w:t>This is going to put the viability of rural Australia in uncertainty</w:t>
      </w:r>
      <w:r w:rsidR="004E4A1E">
        <w:rPr>
          <w:b w:val="0"/>
          <w:sz w:val="20"/>
        </w:rPr>
        <w:t xml:space="preserve">.  A fuel based charging model would still reflect mass, distance and terrain but would have improved funding structures as money is easily collected from the amount of fuel operators purchase. By </w:t>
      </w:r>
      <w:r w:rsidR="004E7226">
        <w:rPr>
          <w:b w:val="0"/>
          <w:sz w:val="20"/>
        </w:rPr>
        <w:t>CRRP’s</w:t>
      </w:r>
      <w:r w:rsidR="004E4A1E">
        <w:rPr>
          <w:b w:val="0"/>
          <w:sz w:val="20"/>
        </w:rPr>
        <w:t xml:space="preserve"> own findings </w:t>
      </w:r>
      <w:r w:rsidR="00B46499">
        <w:rPr>
          <w:b w:val="0"/>
          <w:sz w:val="20"/>
        </w:rPr>
        <w:t>the i</w:t>
      </w:r>
      <w:r w:rsidR="0022162F">
        <w:rPr>
          <w:b w:val="0"/>
          <w:sz w:val="20"/>
        </w:rPr>
        <w:t>ndustry</w:t>
      </w:r>
      <w:r>
        <w:rPr>
          <w:b w:val="0"/>
          <w:sz w:val="20"/>
        </w:rPr>
        <w:t xml:space="preserve"> favours </w:t>
      </w:r>
      <w:r w:rsidR="00A97BFE">
        <w:rPr>
          <w:b w:val="0"/>
          <w:sz w:val="20"/>
        </w:rPr>
        <w:t xml:space="preserve">a fuel based </w:t>
      </w:r>
      <w:r w:rsidR="00E01570">
        <w:rPr>
          <w:b w:val="0"/>
          <w:sz w:val="20"/>
        </w:rPr>
        <w:t>model of charges</w:t>
      </w:r>
      <w:r w:rsidR="004E4A1E">
        <w:rPr>
          <w:b w:val="0"/>
          <w:sz w:val="20"/>
        </w:rPr>
        <w:t>.</w:t>
      </w:r>
      <w:r w:rsidR="00A97BFE">
        <w:rPr>
          <w:b w:val="0"/>
          <w:sz w:val="20"/>
        </w:rPr>
        <w:t xml:space="preserve"> The system is simple, non-discriminatory to rural operators and gives certainty to the treasury. </w:t>
      </w:r>
    </w:p>
    <w:p w:rsidR="0086775F" w:rsidRDefault="0086775F" w:rsidP="00D01BB4">
      <w:pPr>
        <w:pStyle w:val="BodyText2"/>
        <w:rPr>
          <w:b w:val="0"/>
          <w:sz w:val="20"/>
        </w:rPr>
      </w:pPr>
    </w:p>
    <w:p w:rsidR="00173647" w:rsidRDefault="0086775F" w:rsidP="00D01BB4">
      <w:pPr>
        <w:pStyle w:val="BodyText2"/>
        <w:rPr>
          <w:b w:val="0"/>
          <w:sz w:val="20"/>
        </w:rPr>
      </w:pPr>
      <w:r>
        <w:rPr>
          <w:b w:val="0"/>
          <w:sz w:val="20"/>
        </w:rPr>
        <w:t xml:space="preserve">Currently little accountability is </w:t>
      </w:r>
      <w:r w:rsidR="004E7226">
        <w:rPr>
          <w:b w:val="0"/>
          <w:sz w:val="20"/>
        </w:rPr>
        <w:t>seen from</w:t>
      </w:r>
      <w:r>
        <w:rPr>
          <w:b w:val="0"/>
          <w:sz w:val="20"/>
        </w:rPr>
        <w:t xml:space="preserve"> local government infrastructure planners</w:t>
      </w:r>
      <w:r w:rsidR="00B46499">
        <w:rPr>
          <w:b w:val="0"/>
          <w:sz w:val="20"/>
        </w:rPr>
        <w:t>,</w:t>
      </w:r>
      <w:r>
        <w:rPr>
          <w:b w:val="0"/>
          <w:sz w:val="20"/>
        </w:rPr>
        <w:t xml:space="preserve"> as </w:t>
      </w:r>
      <w:r w:rsidR="004E7226">
        <w:rPr>
          <w:b w:val="0"/>
          <w:sz w:val="20"/>
        </w:rPr>
        <w:t>it</w:t>
      </w:r>
      <w:r>
        <w:rPr>
          <w:b w:val="0"/>
          <w:sz w:val="20"/>
        </w:rPr>
        <w:t xml:space="preserve"> is not</w:t>
      </w:r>
      <w:r w:rsidR="004E7226">
        <w:rPr>
          <w:b w:val="0"/>
          <w:sz w:val="20"/>
        </w:rPr>
        <w:t xml:space="preserve"> common</w:t>
      </w:r>
      <w:r>
        <w:rPr>
          <w:b w:val="0"/>
          <w:sz w:val="20"/>
        </w:rPr>
        <w:t xml:space="preserve"> practice. Therefore</w:t>
      </w:r>
      <w:r w:rsidR="0022162F">
        <w:rPr>
          <w:b w:val="0"/>
          <w:sz w:val="20"/>
        </w:rPr>
        <w:t>,</w:t>
      </w:r>
      <w:r>
        <w:rPr>
          <w:b w:val="0"/>
          <w:sz w:val="20"/>
        </w:rPr>
        <w:t xml:space="preserve"> many projects are not as cost-effective as they could be for the local government </w:t>
      </w:r>
      <w:r w:rsidR="00173647">
        <w:rPr>
          <w:b w:val="0"/>
          <w:sz w:val="20"/>
        </w:rPr>
        <w:t xml:space="preserve">constituents </w:t>
      </w:r>
      <w:r>
        <w:rPr>
          <w:b w:val="0"/>
          <w:sz w:val="20"/>
        </w:rPr>
        <w:t>and for commonwealth. The NTC should support measures that seek to improve best practice of local governments</w:t>
      </w:r>
      <w:r w:rsidR="00E01570">
        <w:rPr>
          <w:b w:val="0"/>
          <w:sz w:val="20"/>
        </w:rPr>
        <w:t>. R</w:t>
      </w:r>
      <w:r>
        <w:rPr>
          <w:b w:val="0"/>
          <w:sz w:val="20"/>
        </w:rPr>
        <w:t xml:space="preserve">emoving bad habits will lead to an improvement of outcomes for communities, such as improved maintenance, better </w:t>
      </w:r>
      <w:r w:rsidRPr="00F5082F">
        <w:rPr>
          <w:b w:val="0"/>
          <w:sz w:val="20"/>
        </w:rPr>
        <w:t>planned road projects and productivity focussed goals for the community.  Without intervention the ATA see the possibility of</w:t>
      </w:r>
      <w:r w:rsidR="00E01570">
        <w:rPr>
          <w:b w:val="0"/>
          <w:sz w:val="20"/>
        </w:rPr>
        <w:t xml:space="preserve"> a</w:t>
      </w:r>
      <w:r w:rsidRPr="00F5082F">
        <w:rPr>
          <w:b w:val="0"/>
          <w:sz w:val="20"/>
        </w:rPr>
        <w:t xml:space="preserve"> change in road provision</w:t>
      </w:r>
      <w:r w:rsidR="00173647">
        <w:rPr>
          <w:b w:val="0"/>
          <w:sz w:val="20"/>
        </w:rPr>
        <w:t xml:space="preserve"> behaviour</w:t>
      </w:r>
      <w:r w:rsidRPr="00F5082F">
        <w:rPr>
          <w:b w:val="0"/>
          <w:sz w:val="20"/>
        </w:rPr>
        <w:t xml:space="preserve"> being very limited. </w:t>
      </w:r>
    </w:p>
    <w:p w:rsidR="00C41A07" w:rsidRDefault="00C41A07" w:rsidP="00D01BB4">
      <w:pPr>
        <w:pStyle w:val="BodyText2"/>
        <w:rPr>
          <w:b w:val="0"/>
          <w:sz w:val="20"/>
        </w:rPr>
      </w:pPr>
    </w:p>
    <w:p w:rsidR="00640104" w:rsidRPr="00A21775" w:rsidRDefault="00C41A07" w:rsidP="00D01BB4">
      <w:pPr>
        <w:pStyle w:val="BodyText2"/>
        <w:rPr>
          <w:b w:val="0"/>
          <w:sz w:val="20"/>
        </w:rPr>
      </w:pPr>
      <w:r>
        <w:rPr>
          <w:b w:val="0"/>
          <w:sz w:val="20"/>
        </w:rPr>
        <w:t xml:space="preserve">Local governments complain that they lack funding </w:t>
      </w:r>
      <w:r w:rsidR="0090724E">
        <w:rPr>
          <w:b w:val="0"/>
          <w:sz w:val="20"/>
        </w:rPr>
        <w:t>and this leads to backlogs in projects and f</w:t>
      </w:r>
      <w:r>
        <w:rPr>
          <w:b w:val="0"/>
          <w:sz w:val="20"/>
        </w:rPr>
        <w:t>ailure to provide adequate infrastructure. However</w:t>
      </w:r>
      <w:r w:rsidR="0090724E">
        <w:rPr>
          <w:b w:val="0"/>
          <w:sz w:val="20"/>
        </w:rPr>
        <w:t>,</w:t>
      </w:r>
      <w:r>
        <w:rPr>
          <w:b w:val="0"/>
          <w:sz w:val="20"/>
        </w:rPr>
        <w:t xml:space="preserve"> giving more money to local governments will do little to improve planning improvements and from figure 11, the % of GDP spent on road infra</w:t>
      </w:r>
      <w:r w:rsidR="0090724E">
        <w:rPr>
          <w:b w:val="0"/>
          <w:sz w:val="20"/>
        </w:rPr>
        <w:t>structure</w:t>
      </w:r>
      <w:r>
        <w:rPr>
          <w:b w:val="0"/>
          <w:sz w:val="20"/>
        </w:rPr>
        <w:t xml:space="preserve"> is increasing while the same level of </w:t>
      </w:r>
      <w:r w:rsidR="0090724E">
        <w:rPr>
          <w:b w:val="0"/>
          <w:sz w:val="20"/>
        </w:rPr>
        <w:t>accountability,</w:t>
      </w:r>
      <w:r>
        <w:rPr>
          <w:b w:val="0"/>
          <w:sz w:val="20"/>
        </w:rPr>
        <w:t xml:space="preserve"> that is very little, has been put onto road providers. </w:t>
      </w:r>
      <w:r w:rsidR="0090724E">
        <w:rPr>
          <w:b w:val="0"/>
          <w:sz w:val="20"/>
        </w:rPr>
        <w:t>There are t</w:t>
      </w:r>
      <w:r w:rsidR="0090724E" w:rsidRPr="00F5082F">
        <w:rPr>
          <w:b w:val="0"/>
          <w:sz w:val="20"/>
        </w:rPr>
        <w:t xml:space="preserve">oo many anecdotes of road projects being approved with little responsibility of decisions or </w:t>
      </w:r>
      <w:r w:rsidR="004E7226">
        <w:rPr>
          <w:b w:val="0"/>
          <w:sz w:val="20"/>
        </w:rPr>
        <w:t>audits</w:t>
      </w:r>
      <w:r w:rsidR="0090724E" w:rsidRPr="00F5082F">
        <w:rPr>
          <w:b w:val="0"/>
          <w:sz w:val="20"/>
        </w:rPr>
        <w:t xml:space="preserve"> </w:t>
      </w:r>
      <w:r w:rsidR="001F77F7">
        <w:rPr>
          <w:b w:val="0"/>
          <w:sz w:val="20"/>
        </w:rPr>
        <w:t>being</w:t>
      </w:r>
      <w:r w:rsidR="0090724E" w:rsidRPr="00F5082F">
        <w:rPr>
          <w:b w:val="0"/>
          <w:sz w:val="20"/>
        </w:rPr>
        <w:t xml:space="preserve"> required. Better control over standard practice has to be implemented. Without improving the efficiency and accountability of local governments any measures to improve the current road provision system will be </w:t>
      </w:r>
      <w:r w:rsidR="0090724E">
        <w:rPr>
          <w:b w:val="0"/>
          <w:sz w:val="20"/>
        </w:rPr>
        <w:t>blunt</w:t>
      </w:r>
      <w:r w:rsidR="0090724E" w:rsidRPr="00F5082F">
        <w:rPr>
          <w:b w:val="0"/>
          <w:sz w:val="20"/>
        </w:rPr>
        <w:t xml:space="preserve"> in </w:t>
      </w:r>
      <w:r w:rsidR="001F77F7">
        <w:rPr>
          <w:b w:val="0"/>
          <w:sz w:val="20"/>
        </w:rPr>
        <w:t>its</w:t>
      </w:r>
      <w:r w:rsidR="0090724E" w:rsidRPr="00F5082F">
        <w:rPr>
          <w:b w:val="0"/>
          <w:sz w:val="20"/>
        </w:rPr>
        <w:t xml:space="preserve"> effect.</w:t>
      </w:r>
      <w:r w:rsidR="00747202">
        <w:rPr>
          <w:b w:val="0"/>
          <w:sz w:val="20"/>
        </w:rPr>
        <w:t xml:space="preserve"> </w:t>
      </w:r>
    </w:p>
    <w:p w:rsidR="00EA3010" w:rsidRPr="00A21775" w:rsidRDefault="00EA3010" w:rsidP="00D01BB4">
      <w:pPr>
        <w:pStyle w:val="BodyText2"/>
        <w:rPr>
          <w:b w:val="0"/>
          <w:sz w:val="20"/>
        </w:rPr>
      </w:pPr>
    </w:p>
    <w:p w:rsidR="00EA3010" w:rsidRPr="00A21775" w:rsidRDefault="00EA3010" w:rsidP="00D01BB4">
      <w:pPr>
        <w:rPr>
          <w:rFonts w:ascii="Arial" w:hAnsi="Arial" w:cs="Arial"/>
          <w:sz w:val="20"/>
          <w:szCs w:val="20"/>
        </w:rPr>
      </w:pPr>
      <w:r w:rsidRPr="00A21775">
        <w:rPr>
          <w:rFonts w:ascii="Arial" w:hAnsi="Arial" w:cs="Arial"/>
          <w:sz w:val="20"/>
          <w:szCs w:val="20"/>
        </w:rPr>
        <w:t xml:space="preserve">Infrastructure Australia (IA) has suggested to COAG that changes need to be made to the culture </w:t>
      </w:r>
      <w:r w:rsidR="00374A81">
        <w:rPr>
          <w:rFonts w:ascii="Arial" w:hAnsi="Arial" w:cs="Arial"/>
          <w:sz w:val="20"/>
          <w:szCs w:val="20"/>
        </w:rPr>
        <w:t xml:space="preserve">which </w:t>
      </w:r>
      <w:r w:rsidRPr="00A21775">
        <w:rPr>
          <w:rFonts w:ascii="Arial" w:hAnsi="Arial" w:cs="Arial"/>
          <w:sz w:val="20"/>
          <w:szCs w:val="20"/>
        </w:rPr>
        <w:t xml:space="preserve">surrounds road provision. Indeed at a recent public CRRP forum </w:t>
      </w:r>
      <w:r w:rsidR="004E7226">
        <w:rPr>
          <w:rFonts w:ascii="Arial" w:hAnsi="Arial" w:cs="Arial"/>
          <w:sz w:val="20"/>
          <w:szCs w:val="20"/>
        </w:rPr>
        <w:t>the ATA</w:t>
      </w:r>
      <w:r w:rsidRPr="00A21775">
        <w:rPr>
          <w:rFonts w:ascii="Arial" w:hAnsi="Arial" w:cs="Arial"/>
          <w:sz w:val="20"/>
          <w:szCs w:val="20"/>
        </w:rPr>
        <w:t xml:space="preserve"> were told that it would take 20 years to change the way in which road providers behaved. IA suggests that this kind of conduct has to be weeded out now and replaced with effective, expert planners, who can carry out proper protocol planning decisions. </w:t>
      </w:r>
    </w:p>
    <w:p w:rsidR="00EA3010" w:rsidRPr="00A21775" w:rsidRDefault="00EA3010" w:rsidP="00D01BB4">
      <w:pPr>
        <w:rPr>
          <w:rFonts w:ascii="Arial" w:hAnsi="Arial" w:cs="Arial"/>
          <w:sz w:val="20"/>
          <w:szCs w:val="20"/>
        </w:rPr>
      </w:pPr>
    </w:p>
    <w:p w:rsidR="00EA3010" w:rsidRPr="00A21775" w:rsidRDefault="004E7226" w:rsidP="00D01BB4">
      <w:pPr>
        <w:rPr>
          <w:rFonts w:ascii="Arial" w:hAnsi="Arial" w:cs="Arial"/>
          <w:sz w:val="20"/>
          <w:szCs w:val="20"/>
        </w:rPr>
      </w:pPr>
      <w:r>
        <w:rPr>
          <w:rFonts w:ascii="Arial" w:hAnsi="Arial" w:cs="Arial"/>
          <w:sz w:val="20"/>
          <w:szCs w:val="20"/>
        </w:rPr>
        <w:lastRenderedPageBreak/>
        <w:t xml:space="preserve">IA has indicated </w:t>
      </w:r>
      <w:r w:rsidRPr="00A21775">
        <w:rPr>
          <w:rFonts w:ascii="Arial" w:hAnsi="Arial" w:cs="Arial"/>
          <w:sz w:val="20"/>
          <w:szCs w:val="20"/>
        </w:rPr>
        <w:t>there</w:t>
      </w:r>
      <w:r w:rsidR="00EA3010" w:rsidRPr="00A21775">
        <w:rPr>
          <w:rFonts w:ascii="Arial" w:hAnsi="Arial" w:cs="Arial"/>
          <w:sz w:val="20"/>
          <w:szCs w:val="20"/>
        </w:rPr>
        <w:t xml:space="preserve"> is a slow uptake of institutional reform happening within agencies</w:t>
      </w:r>
      <w:r w:rsidR="009C501E">
        <w:rPr>
          <w:rFonts w:ascii="Arial" w:hAnsi="Arial" w:cs="Arial"/>
          <w:sz w:val="20"/>
          <w:szCs w:val="20"/>
        </w:rPr>
        <w:t>, this</w:t>
      </w:r>
      <w:r w:rsidR="00EA3010" w:rsidRPr="00A21775">
        <w:rPr>
          <w:rFonts w:ascii="Arial" w:hAnsi="Arial" w:cs="Arial"/>
          <w:sz w:val="20"/>
          <w:szCs w:val="20"/>
        </w:rPr>
        <w:t xml:space="preserve"> </w:t>
      </w:r>
      <w:r>
        <w:rPr>
          <w:rFonts w:ascii="Arial" w:hAnsi="Arial" w:cs="Arial"/>
          <w:sz w:val="20"/>
          <w:szCs w:val="20"/>
        </w:rPr>
        <w:t>needs</w:t>
      </w:r>
      <w:r w:rsidR="00EA3010" w:rsidRPr="00A21775">
        <w:rPr>
          <w:rFonts w:ascii="Arial" w:hAnsi="Arial" w:cs="Arial"/>
          <w:sz w:val="20"/>
          <w:szCs w:val="20"/>
        </w:rPr>
        <w:t xml:space="preserve"> to change in order for infrastructure decisions to have better outcomes</w:t>
      </w:r>
      <w:r w:rsidR="00EA3010" w:rsidRPr="00A21775">
        <w:rPr>
          <w:rStyle w:val="FootnoteReference"/>
          <w:rFonts w:ascii="Arial" w:hAnsi="Arial" w:cs="Arial"/>
          <w:sz w:val="20"/>
          <w:szCs w:val="20"/>
        </w:rPr>
        <w:footnoteReference w:id="4"/>
      </w:r>
      <w:r w:rsidR="00EA3010" w:rsidRPr="00A21775">
        <w:rPr>
          <w:rFonts w:ascii="Arial" w:hAnsi="Arial" w:cs="Arial"/>
          <w:sz w:val="20"/>
          <w:szCs w:val="20"/>
        </w:rPr>
        <w:t>. Poor performance and leadership of road agencies is having a considerable effect on productivity. IA is so concerned with the expertise that road providers have, they have provided best practice seminars in order to help rectify the situation</w:t>
      </w:r>
      <w:r w:rsidR="00EA3010" w:rsidRPr="00A21775">
        <w:rPr>
          <w:rStyle w:val="FootnoteReference"/>
          <w:rFonts w:ascii="Arial" w:hAnsi="Arial" w:cs="Arial"/>
          <w:sz w:val="20"/>
          <w:szCs w:val="20"/>
        </w:rPr>
        <w:footnoteReference w:id="5"/>
      </w:r>
      <w:r w:rsidR="00EA3010" w:rsidRPr="00A21775">
        <w:rPr>
          <w:rFonts w:ascii="Arial" w:hAnsi="Arial" w:cs="Arial"/>
          <w:sz w:val="20"/>
          <w:szCs w:val="20"/>
        </w:rPr>
        <w:t xml:space="preserve">. </w:t>
      </w:r>
    </w:p>
    <w:p w:rsidR="00EA3010" w:rsidRPr="00A21775" w:rsidRDefault="00EA3010" w:rsidP="00D01BB4">
      <w:pPr>
        <w:pStyle w:val="BodyText2"/>
        <w:rPr>
          <w:b w:val="0"/>
          <w:sz w:val="20"/>
        </w:rPr>
      </w:pPr>
    </w:p>
    <w:p w:rsidR="00EE6CA1" w:rsidRDefault="00EA3010" w:rsidP="00D01BB4">
      <w:pPr>
        <w:pStyle w:val="BodyText2"/>
        <w:rPr>
          <w:b w:val="0"/>
          <w:sz w:val="20"/>
        </w:rPr>
      </w:pPr>
      <w:r w:rsidRPr="00A21775">
        <w:rPr>
          <w:b w:val="0"/>
          <w:sz w:val="20"/>
        </w:rPr>
        <w:t xml:space="preserve">We encourage the advice of infrastructure Australia on the issue of what needs to be done to remedy infrastructure planning and provision. They suggest increased access for productive heavy vehicles, </w:t>
      </w:r>
      <w:r w:rsidR="009C501E">
        <w:rPr>
          <w:b w:val="0"/>
          <w:sz w:val="20"/>
        </w:rPr>
        <w:t xml:space="preserve">an </w:t>
      </w:r>
      <w:r w:rsidRPr="00A21775">
        <w:rPr>
          <w:b w:val="0"/>
          <w:sz w:val="20"/>
        </w:rPr>
        <w:t>increase</w:t>
      </w:r>
      <w:r w:rsidR="009C501E">
        <w:rPr>
          <w:b w:val="0"/>
          <w:sz w:val="20"/>
        </w:rPr>
        <w:t xml:space="preserve"> in</w:t>
      </w:r>
      <w:r w:rsidR="004E7226">
        <w:rPr>
          <w:b w:val="0"/>
          <w:sz w:val="20"/>
        </w:rPr>
        <w:t xml:space="preserve"> </w:t>
      </w:r>
      <w:r w:rsidRPr="00A21775">
        <w:rPr>
          <w:b w:val="0"/>
          <w:sz w:val="20"/>
        </w:rPr>
        <w:t>private sector funding, incre</w:t>
      </w:r>
      <w:r w:rsidR="009C501E">
        <w:rPr>
          <w:b w:val="0"/>
          <w:sz w:val="20"/>
        </w:rPr>
        <w:t xml:space="preserve">ased industry consultation and changing </w:t>
      </w:r>
      <w:r w:rsidRPr="00A21775">
        <w:rPr>
          <w:b w:val="0"/>
          <w:sz w:val="20"/>
        </w:rPr>
        <w:t xml:space="preserve">the current governance system to achieve the maximum productive potential of road provision outcomes. </w:t>
      </w:r>
    </w:p>
    <w:p w:rsidR="00D01BB4" w:rsidRPr="00915339" w:rsidRDefault="00D01BB4" w:rsidP="00D01BB4">
      <w:pPr>
        <w:pStyle w:val="BodyText2"/>
        <w:rPr>
          <w:b w:val="0"/>
          <w:sz w:val="20"/>
        </w:rPr>
      </w:pPr>
    </w:p>
    <w:p w:rsidR="00EE6CA1" w:rsidRDefault="00EE6CA1" w:rsidP="00D01BB4">
      <w:pPr>
        <w:pStyle w:val="RecommendationStyle"/>
        <w:spacing w:before="0" w:after="0"/>
      </w:pPr>
      <w:bookmarkStart w:id="25" w:name="_Toc306199940"/>
      <w:bookmarkStart w:id="26" w:name="_Toc306199974"/>
      <w:bookmarkEnd w:id="25"/>
      <w:bookmarkEnd w:id="26"/>
    </w:p>
    <w:p w:rsidR="00D01BB4" w:rsidRDefault="00D01BB4" w:rsidP="00D01BB4">
      <w:pPr>
        <w:pStyle w:val="RecommendationStyle"/>
        <w:numPr>
          <w:ilvl w:val="0"/>
          <w:numId w:val="0"/>
        </w:numPr>
        <w:spacing w:before="0" w:after="0"/>
      </w:pPr>
    </w:p>
    <w:p w:rsidR="00D01BB4" w:rsidRDefault="00D01BB4" w:rsidP="00D01BB4">
      <w:pPr>
        <w:pStyle w:val="RecommendationStyle"/>
        <w:numPr>
          <w:ilvl w:val="0"/>
          <w:numId w:val="0"/>
        </w:numPr>
        <w:spacing w:before="0" w:after="0"/>
      </w:pPr>
      <w:r w:rsidRPr="00485B3B">
        <w:t xml:space="preserve">We recommend the NTC see governance of road provision as an area for transformation to provide better outcomes for the nation through improved planning decisions, expertise education and process of review of access decisions. </w:t>
      </w:r>
    </w:p>
    <w:p w:rsidR="00D01BB4" w:rsidRPr="00485B3B" w:rsidRDefault="00D01BB4" w:rsidP="00D01BB4">
      <w:pPr>
        <w:pStyle w:val="RecommendationStyle"/>
        <w:numPr>
          <w:ilvl w:val="0"/>
          <w:numId w:val="0"/>
        </w:numPr>
        <w:spacing w:before="0" w:after="0"/>
      </w:pPr>
    </w:p>
    <w:p w:rsidR="0022162F" w:rsidRDefault="0022162F" w:rsidP="00D01BB4">
      <w:pPr>
        <w:pStyle w:val="RecommendationStyle"/>
        <w:spacing w:before="0" w:after="0"/>
      </w:pPr>
    </w:p>
    <w:p w:rsidR="00D01BB4" w:rsidRDefault="00D01BB4" w:rsidP="00D01BB4">
      <w:pPr>
        <w:pStyle w:val="RecommendationStyle"/>
        <w:numPr>
          <w:ilvl w:val="0"/>
          <w:numId w:val="0"/>
        </w:numPr>
        <w:spacing w:before="0" w:after="0"/>
      </w:pPr>
    </w:p>
    <w:p w:rsidR="00D01BB4" w:rsidRDefault="00D01BB4" w:rsidP="00D01BB4">
      <w:pPr>
        <w:pStyle w:val="RecommendationStyle"/>
        <w:numPr>
          <w:ilvl w:val="0"/>
          <w:numId w:val="0"/>
        </w:numPr>
        <w:spacing w:before="0" w:after="0"/>
      </w:pPr>
      <w:r w:rsidRPr="00485B3B">
        <w:t xml:space="preserve">We recommend the NTC note mass, distance and location charging is not supported by the heavy vehicle industry. </w:t>
      </w:r>
    </w:p>
    <w:p w:rsidR="00D01BB4" w:rsidRPr="00485B3B" w:rsidRDefault="00D01BB4" w:rsidP="00D01BB4">
      <w:pPr>
        <w:pStyle w:val="RecommendationStyle"/>
        <w:numPr>
          <w:ilvl w:val="0"/>
          <w:numId w:val="0"/>
        </w:numPr>
        <w:spacing w:before="0" w:after="0"/>
      </w:pPr>
    </w:p>
    <w:p w:rsidR="004B15CA" w:rsidRPr="004B15CA" w:rsidRDefault="004B15CA" w:rsidP="00D01BB4">
      <w:pPr>
        <w:pStyle w:val="RecommendationStyle"/>
        <w:spacing w:before="0" w:after="0"/>
      </w:pPr>
    </w:p>
    <w:p w:rsidR="00D01BB4" w:rsidRDefault="00D01BB4" w:rsidP="00D01BB4">
      <w:pPr>
        <w:pStyle w:val="RecommendationStyle"/>
        <w:numPr>
          <w:ilvl w:val="0"/>
          <w:numId w:val="0"/>
        </w:numPr>
        <w:spacing w:before="0" w:after="0"/>
      </w:pPr>
    </w:p>
    <w:p w:rsidR="00D01BB4" w:rsidRPr="00485B3B" w:rsidRDefault="00D01BB4" w:rsidP="00D01BB4">
      <w:pPr>
        <w:pStyle w:val="RecommendationStyle"/>
        <w:numPr>
          <w:ilvl w:val="0"/>
          <w:numId w:val="0"/>
        </w:numPr>
        <w:spacing w:before="0" w:after="0"/>
      </w:pPr>
      <w:r w:rsidRPr="00485B3B">
        <w:t xml:space="preserve">Local governments should have stronger accountability to the Commonwealth and state governments over spending and access decisions. </w:t>
      </w:r>
    </w:p>
    <w:p w:rsidR="00EE6CA1" w:rsidRDefault="00EE6CA1" w:rsidP="00D01BB4">
      <w:pPr>
        <w:rPr>
          <w:rFonts w:ascii="Arial" w:hAnsi="Arial" w:cs="Arial"/>
          <w:b/>
          <w:i/>
          <w:sz w:val="20"/>
          <w:szCs w:val="20"/>
        </w:rPr>
      </w:pPr>
    </w:p>
    <w:p w:rsidR="00EE6CA1" w:rsidRPr="00A21775" w:rsidRDefault="00EE6CA1" w:rsidP="00D01BB4">
      <w:pPr>
        <w:rPr>
          <w:rFonts w:ascii="Arial" w:hAnsi="Arial" w:cs="Arial"/>
          <w:sz w:val="20"/>
          <w:szCs w:val="20"/>
        </w:rPr>
      </w:pPr>
    </w:p>
    <w:p w:rsidR="00A21775" w:rsidRPr="00972601" w:rsidRDefault="00A21775" w:rsidP="00D01BB4">
      <w:pPr>
        <w:pStyle w:val="ATAHeading2"/>
        <w:spacing w:before="0" w:after="0" w:line="240" w:lineRule="auto"/>
        <w:ind w:left="851" w:hanging="851"/>
        <w:rPr>
          <w:sz w:val="28"/>
          <w:szCs w:val="28"/>
        </w:rPr>
      </w:pPr>
      <w:bookmarkStart w:id="27" w:name="_Toc306363313"/>
      <w:r w:rsidRPr="00972601">
        <w:rPr>
          <w:sz w:val="28"/>
          <w:szCs w:val="28"/>
        </w:rPr>
        <w:t>Regulation</w:t>
      </w:r>
      <w:bookmarkEnd w:id="27"/>
      <w:r w:rsidRPr="00972601">
        <w:rPr>
          <w:sz w:val="28"/>
          <w:szCs w:val="28"/>
        </w:rPr>
        <w:t xml:space="preserve"> </w:t>
      </w:r>
    </w:p>
    <w:p w:rsidR="00D01BB4" w:rsidRPr="00915339" w:rsidRDefault="00D01BB4" w:rsidP="00D01BB4"/>
    <w:p w:rsidR="00A21775" w:rsidRPr="00A21775" w:rsidRDefault="00A21775" w:rsidP="00D01BB4">
      <w:pPr>
        <w:pStyle w:val="BodyText2"/>
        <w:rPr>
          <w:b w:val="0"/>
          <w:sz w:val="20"/>
        </w:rPr>
      </w:pPr>
      <w:r w:rsidRPr="00A21775">
        <w:rPr>
          <w:b w:val="0"/>
          <w:sz w:val="20"/>
        </w:rPr>
        <w:t>In the paper, the principle of a national regulator is one of the transport policy principles (page 40)</w:t>
      </w:r>
      <w:r w:rsidR="009C501E" w:rsidRPr="00A21775">
        <w:rPr>
          <w:b w:val="0"/>
          <w:sz w:val="20"/>
        </w:rPr>
        <w:t>;</w:t>
      </w:r>
      <w:r w:rsidRPr="00A21775">
        <w:rPr>
          <w:b w:val="0"/>
          <w:sz w:val="20"/>
        </w:rPr>
        <w:t xml:space="preserve"> this is a main reason why the productivity of the fleet is not reaching its potential. A National Heavy Vehicle Regulator </w:t>
      </w:r>
      <w:r w:rsidR="004E7226">
        <w:rPr>
          <w:b w:val="0"/>
          <w:sz w:val="20"/>
        </w:rPr>
        <w:t>which</w:t>
      </w:r>
      <w:r w:rsidRPr="00A21775">
        <w:rPr>
          <w:b w:val="0"/>
          <w:sz w:val="20"/>
        </w:rPr>
        <w:t xml:space="preserve"> harmonised regulation for the fleet would make freight movement in Australia far more productive than it currently is. </w:t>
      </w:r>
    </w:p>
    <w:p w:rsidR="00A21775" w:rsidRPr="00A21775" w:rsidRDefault="00A21775" w:rsidP="00D01BB4">
      <w:pPr>
        <w:pStyle w:val="BodyText2"/>
        <w:rPr>
          <w:b w:val="0"/>
          <w:sz w:val="20"/>
        </w:rPr>
      </w:pPr>
    </w:p>
    <w:p w:rsidR="00A21775" w:rsidRPr="00A21775" w:rsidRDefault="00A21775" w:rsidP="00D01BB4">
      <w:pPr>
        <w:pStyle w:val="BodyText2"/>
        <w:rPr>
          <w:b w:val="0"/>
          <w:sz w:val="20"/>
        </w:rPr>
      </w:pPr>
      <w:r w:rsidRPr="00A21775">
        <w:rPr>
          <w:b w:val="0"/>
          <w:sz w:val="20"/>
        </w:rPr>
        <w:t xml:space="preserve">The creation of a National Heavy Vehicle Regulator is, in theory, a positive step towards increasing the productivity of the fleet by having one regulator and making it easier for operators and drivers to comply with the law. Currently, while national law is set at state and commonwealth level, </w:t>
      </w:r>
      <w:r w:rsidR="004E7226">
        <w:rPr>
          <w:b w:val="0"/>
          <w:sz w:val="20"/>
        </w:rPr>
        <w:t xml:space="preserve">local </w:t>
      </w:r>
      <w:r w:rsidRPr="00A21775">
        <w:rPr>
          <w:b w:val="0"/>
          <w:sz w:val="20"/>
        </w:rPr>
        <w:t>governments have the power to amend the regulation set. While the industry has had some consultation with those in charge of NHVR, there is frustration that governments may still be abl</w:t>
      </w:r>
      <w:r w:rsidR="009C501E">
        <w:rPr>
          <w:b w:val="0"/>
          <w:sz w:val="20"/>
        </w:rPr>
        <w:t>e to amend the regulations, and</w:t>
      </w:r>
      <w:r w:rsidRPr="00A21775">
        <w:rPr>
          <w:b w:val="0"/>
          <w:sz w:val="20"/>
        </w:rPr>
        <w:t xml:space="preserve"> agencies are refusing to allow the national law to provide external review of decisions. This limits what the NHVR can achieve and ultimately what gains the industry will get out of a NHVR. </w:t>
      </w:r>
    </w:p>
    <w:p w:rsidR="00A21775" w:rsidRPr="00A21775" w:rsidRDefault="00A21775" w:rsidP="00D01BB4">
      <w:pPr>
        <w:pStyle w:val="BodyText2"/>
        <w:rPr>
          <w:b w:val="0"/>
          <w:sz w:val="20"/>
        </w:rPr>
      </w:pPr>
    </w:p>
    <w:p w:rsidR="00A21775" w:rsidRPr="00A21775" w:rsidRDefault="00A21775" w:rsidP="00D01BB4">
      <w:pPr>
        <w:pStyle w:val="BodyText2"/>
        <w:rPr>
          <w:b w:val="0"/>
          <w:sz w:val="20"/>
        </w:rPr>
      </w:pPr>
      <w:r w:rsidRPr="00A21775">
        <w:rPr>
          <w:b w:val="0"/>
          <w:sz w:val="20"/>
        </w:rPr>
        <w:t xml:space="preserve">The concerns industry has over the NHVR are justified as there are presently cases where state and local governments regulation has not met the requirements that industry expected of it. Performance Based Standards (PBS) was created in order to allow unusually engineered vehicles to meet standards so they can operate as normal heavy vehicles, as they are safe. The rationale for the scheme is to make it easier for businesses that </w:t>
      </w:r>
      <w:r w:rsidR="009C501E">
        <w:rPr>
          <w:b w:val="0"/>
          <w:sz w:val="20"/>
        </w:rPr>
        <w:t xml:space="preserve">want to </w:t>
      </w:r>
      <w:r w:rsidRPr="00A21775">
        <w:rPr>
          <w:b w:val="0"/>
          <w:sz w:val="20"/>
        </w:rPr>
        <w:t>use innovative or specialised heavy vehicles. While businesses have complied with the strict criteria set, local governments and state agencies have made the scheme ineffectual as PBS maps</w:t>
      </w:r>
      <w:r w:rsidR="009C501E">
        <w:rPr>
          <w:b w:val="0"/>
          <w:sz w:val="20"/>
        </w:rPr>
        <w:t>,</w:t>
      </w:r>
      <w:r w:rsidRPr="00A21775">
        <w:rPr>
          <w:b w:val="0"/>
          <w:sz w:val="20"/>
        </w:rPr>
        <w:t xml:space="preserve"> </w:t>
      </w:r>
      <w:r w:rsidR="004E7226">
        <w:rPr>
          <w:b w:val="0"/>
          <w:sz w:val="20"/>
        </w:rPr>
        <w:t xml:space="preserve">which </w:t>
      </w:r>
      <w:r w:rsidRPr="00A21775">
        <w:rPr>
          <w:b w:val="0"/>
          <w:sz w:val="20"/>
        </w:rPr>
        <w:t>identify important information such as bridge capacity and rest stops for drivers</w:t>
      </w:r>
      <w:r w:rsidR="009C501E">
        <w:rPr>
          <w:b w:val="0"/>
          <w:sz w:val="20"/>
        </w:rPr>
        <w:t>,</w:t>
      </w:r>
      <w:r w:rsidR="004E7226">
        <w:rPr>
          <w:b w:val="0"/>
          <w:sz w:val="20"/>
        </w:rPr>
        <w:t xml:space="preserve"> have not been provided</w:t>
      </w:r>
      <w:r w:rsidRPr="00A21775">
        <w:rPr>
          <w:b w:val="0"/>
          <w:sz w:val="20"/>
        </w:rPr>
        <w:t xml:space="preserve">. Local governments are either not able to identify the routes for PBS maps because of lack of resources or simply </w:t>
      </w:r>
      <w:r w:rsidR="009C501E">
        <w:rPr>
          <w:b w:val="0"/>
          <w:sz w:val="20"/>
        </w:rPr>
        <w:t>are not</w:t>
      </w:r>
      <w:r w:rsidRPr="00A21775">
        <w:rPr>
          <w:b w:val="0"/>
          <w:sz w:val="20"/>
        </w:rPr>
        <w:t xml:space="preserve"> organised enough to do so.</w:t>
      </w:r>
    </w:p>
    <w:p w:rsidR="00A21775" w:rsidRPr="00A21775" w:rsidRDefault="00A21775" w:rsidP="00D01BB4">
      <w:pPr>
        <w:pStyle w:val="BodyText2"/>
        <w:rPr>
          <w:b w:val="0"/>
          <w:sz w:val="20"/>
        </w:rPr>
      </w:pPr>
    </w:p>
    <w:p w:rsidR="00A21775" w:rsidRPr="00A21775" w:rsidRDefault="00A21775" w:rsidP="00D01BB4">
      <w:pPr>
        <w:pStyle w:val="BodyText2"/>
        <w:rPr>
          <w:b w:val="0"/>
          <w:sz w:val="20"/>
        </w:rPr>
      </w:pPr>
      <w:r w:rsidRPr="00A21775">
        <w:rPr>
          <w:b w:val="0"/>
          <w:sz w:val="20"/>
        </w:rPr>
        <w:t xml:space="preserve">PBS shows </w:t>
      </w:r>
      <w:r w:rsidR="004E7226">
        <w:rPr>
          <w:b w:val="0"/>
          <w:sz w:val="20"/>
        </w:rPr>
        <w:t>local</w:t>
      </w:r>
      <w:r w:rsidRPr="00A21775">
        <w:rPr>
          <w:b w:val="0"/>
          <w:sz w:val="20"/>
        </w:rPr>
        <w:t xml:space="preserve"> governments are not providing services businesses have paid for, this failing is huge. The scheme has been operational since 2007 and 80 trucks and buses have registered as PBS as of January 2010</w:t>
      </w:r>
      <w:r w:rsidRPr="00A21775">
        <w:rPr>
          <w:b w:val="0"/>
          <w:sz w:val="20"/>
          <w:vertAlign w:val="superscript"/>
        </w:rPr>
        <w:footnoteReference w:id="6"/>
      </w:r>
      <w:r w:rsidRPr="00A21775">
        <w:rPr>
          <w:b w:val="0"/>
          <w:sz w:val="20"/>
        </w:rPr>
        <w:t xml:space="preserve">; and PBS mapping is still not complete. The schemes success would be greater if </w:t>
      </w:r>
      <w:r w:rsidR="004E7226">
        <w:rPr>
          <w:b w:val="0"/>
          <w:sz w:val="20"/>
        </w:rPr>
        <w:t xml:space="preserve">local </w:t>
      </w:r>
      <w:r w:rsidRPr="00A21775">
        <w:rPr>
          <w:b w:val="0"/>
          <w:sz w:val="20"/>
        </w:rPr>
        <w:t xml:space="preserve">governments were able to fulfil their role. The example of PBS shows that if governments do not toe the line, the regulations intentions are undermined considerably. </w:t>
      </w:r>
    </w:p>
    <w:p w:rsidR="00A21775" w:rsidRPr="00A21775" w:rsidRDefault="00A21775" w:rsidP="00D01BB4">
      <w:pPr>
        <w:pStyle w:val="BodyText2"/>
        <w:rPr>
          <w:b w:val="0"/>
          <w:sz w:val="20"/>
        </w:rPr>
      </w:pPr>
      <w:r w:rsidRPr="00A21775">
        <w:rPr>
          <w:b w:val="0"/>
          <w:sz w:val="20"/>
        </w:rPr>
        <w:t xml:space="preserve"> </w:t>
      </w:r>
    </w:p>
    <w:p w:rsidR="00897B4D" w:rsidRPr="00D01BB4" w:rsidRDefault="00A21775" w:rsidP="00D01BB4">
      <w:pPr>
        <w:pStyle w:val="BodyText2"/>
        <w:rPr>
          <w:b w:val="0"/>
          <w:sz w:val="20"/>
        </w:rPr>
      </w:pPr>
      <w:r w:rsidRPr="00A21775">
        <w:rPr>
          <w:b w:val="0"/>
          <w:sz w:val="20"/>
        </w:rPr>
        <w:t xml:space="preserve">The success of the NHVR will change the regulatory future for the heavy vehicle industry; this project board should follow the outcome of the NHVR to see if it is going to have the anticipated outcome. </w:t>
      </w:r>
    </w:p>
    <w:p w:rsidR="00EE6CA1" w:rsidRDefault="00EE6CA1" w:rsidP="00D01BB4">
      <w:pPr>
        <w:rPr>
          <w:rFonts w:ascii="Arial" w:hAnsi="Arial" w:cs="Arial"/>
          <w:b/>
          <w:i/>
          <w:sz w:val="20"/>
          <w:szCs w:val="20"/>
        </w:rPr>
      </w:pPr>
    </w:p>
    <w:p w:rsidR="00EE6CA1" w:rsidRDefault="00EE6CA1" w:rsidP="00E92888">
      <w:pPr>
        <w:numPr>
          <w:ilvl w:val="0"/>
          <w:numId w:val="2"/>
        </w:numPr>
        <w:tabs>
          <w:tab w:val="clear" w:pos="1334"/>
        </w:tabs>
        <w:rPr>
          <w:rFonts w:ascii="Arial" w:hAnsi="Arial" w:cs="Arial"/>
          <w:b/>
          <w:i/>
          <w:sz w:val="20"/>
          <w:szCs w:val="20"/>
        </w:rPr>
      </w:pPr>
    </w:p>
    <w:p w:rsidR="00D01BB4" w:rsidRDefault="00D01BB4" w:rsidP="00D01BB4">
      <w:pPr>
        <w:pStyle w:val="RecommendationStyle"/>
        <w:numPr>
          <w:ilvl w:val="0"/>
          <w:numId w:val="0"/>
        </w:numPr>
        <w:spacing w:before="0" w:after="0"/>
      </w:pPr>
    </w:p>
    <w:p w:rsidR="00D01BB4" w:rsidRPr="00485B3B" w:rsidRDefault="00D01BB4" w:rsidP="00D01BB4">
      <w:pPr>
        <w:pStyle w:val="RecommendationStyle"/>
        <w:numPr>
          <w:ilvl w:val="0"/>
          <w:numId w:val="0"/>
        </w:numPr>
        <w:spacing w:before="0" w:after="0"/>
      </w:pPr>
      <w:r w:rsidRPr="00485B3B">
        <w:t xml:space="preserve">A National Heavy Vehicle Regulator has the potential to increase productivity and treat the heavy vehicle industry’s movements on a national level. We encourage the NTC to pay attention to the outcomes of the NHVR to make sure that the national regulator is not diminished by the state and government amendments. </w:t>
      </w:r>
    </w:p>
    <w:p w:rsidR="00EE6CA1" w:rsidRDefault="00EE6CA1" w:rsidP="00D01BB4">
      <w:pPr>
        <w:rPr>
          <w:rFonts w:ascii="Arial" w:hAnsi="Arial" w:cs="Arial"/>
          <w:b/>
          <w:i/>
          <w:sz w:val="20"/>
          <w:szCs w:val="20"/>
        </w:rPr>
      </w:pPr>
    </w:p>
    <w:p w:rsidR="00915339" w:rsidRDefault="00915339" w:rsidP="00D01BB4">
      <w:pPr>
        <w:rPr>
          <w:rFonts w:ascii="Arial" w:hAnsi="Arial" w:cs="Arial"/>
          <w:sz w:val="20"/>
          <w:szCs w:val="20"/>
        </w:rPr>
      </w:pPr>
    </w:p>
    <w:p w:rsidR="00897B4D" w:rsidRPr="00972601" w:rsidRDefault="00897B4D" w:rsidP="00D01BB4">
      <w:pPr>
        <w:pStyle w:val="ATAHeading2"/>
        <w:spacing w:before="0" w:after="0" w:line="240" w:lineRule="auto"/>
        <w:ind w:left="851" w:hanging="851"/>
        <w:rPr>
          <w:sz w:val="28"/>
          <w:szCs w:val="28"/>
        </w:rPr>
      </w:pPr>
      <w:bookmarkStart w:id="28" w:name="_Toc306363314"/>
      <w:r w:rsidRPr="00972601">
        <w:rPr>
          <w:sz w:val="28"/>
          <w:szCs w:val="28"/>
        </w:rPr>
        <w:t>Technology</w:t>
      </w:r>
      <w:bookmarkEnd w:id="28"/>
      <w:r w:rsidRPr="00972601">
        <w:rPr>
          <w:sz w:val="28"/>
          <w:szCs w:val="28"/>
        </w:rPr>
        <w:t xml:space="preserve"> </w:t>
      </w:r>
    </w:p>
    <w:p w:rsidR="00D01BB4" w:rsidRPr="00915339" w:rsidRDefault="00D01BB4" w:rsidP="00D01BB4"/>
    <w:p w:rsidR="00897B4D" w:rsidRPr="00897B4D" w:rsidRDefault="00897B4D" w:rsidP="00D01BB4">
      <w:pPr>
        <w:rPr>
          <w:rFonts w:ascii="Arial" w:hAnsi="Arial" w:cs="Arial"/>
          <w:bCs/>
          <w:sz w:val="20"/>
          <w:szCs w:val="20"/>
        </w:rPr>
      </w:pPr>
      <w:r w:rsidRPr="00897B4D">
        <w:rPr>
          <w:rFonts w:ascii="Arial" w:hAnsi="Arial" w:cs="Arial"/>
          <w:bCs/>
          <w:sz w:val="20"/>
          <w:szCs w:val="20"/>
        </w:rPr>
        <w:t xml:space="preserve">The NTC is correct to identify technology playing a larger role in the future of the transport industry, we note that the </w:t>
      </w:r>
      <w:r w:rsidR="0090724E">
        <w:rPr>
          <w:rFonts w:ascii="Arial" w:hAnsi="Arial" w:cs="Arial"/>
          <w:bCs/>
          <w:sz w:val="20"/>
          <w:szCs w:val="20"/>
        </w:rPr>
        <w:t>ATA</w:t>
      </w:r>
      <w:r w:rsidRPr="00897B4D">
        <w:rPr>
          <w:rFonts w:ascii="Arial" w:hAnsi="Arial" w:cs="Arial"/>
          <w:bCs/>
          <w:sz w:val="20"/>
          <w:szCs w:val="20"/>
        </w:rPr>
        <w:t xml:space="preserve"> has the same concerns that the NTC identifies. We also have concerns that technology is being used as another form of higher regulation costs. While the NTC mentions PBS, the cost of the scheme is expensive and the problems of the scheme mentioned above do not make PBS viable for many operators who want to use PBS heavy vehicles. </w:t>
      </w:r>
    </w:p>
    <w:p w:rsidR="00897B4D" w:rsidRPr="00897B4D" w:rsidRDefault="00897B4D" w:rsidP="00D01BB4">
      <w:pPr>
        <w:rPr>
          <w:rFonts w:ascii="Arial" w:hAnsi="Arial" w:cs="Arial"/>
          <w:bCs/>
          <w:sz w:val="20"/>
          <w:szCs w:val="20"/>
        </w:rPr>
      </w:pPr>
    </w:p>
    <w:p w:rsidR="00897B4D" w:rsidRPr="00897B4D" w:rsidRDefault="00897B4D" w:rsidP="00D01BB4">
      <w:pPr>
        <w:rPr>
          <w:rFonts w:ascii="Arial" w:hAnsi="Arial" w:cs="Arial"/>
          <w:bCs/>
          <w:sz w:val="20"/>
          <w:szCs w:val="20"/>
        </w:rPr>
      </w:pPr>
      <w:r w:rsidRPr="00897B4D">
        <w:rPr>
          <w:rFonts w:ascii="Arial" w:hAnsi="Arial" w:cs="Arial"/>
          <w:bCs/>
          <w:sz w:val="20"/>
          <w:szCs w:val="20"/>
        </w:rPr>
        <w:t xml:space="preserve">In the industry there is still a lot of debate about how the industry should address telematics devices. There is no doubt that for some operator’s telematics are necessary to monitor the fleet. However, at the same time, monitoring puts pressure on drivers and there are concerns over how invasive monitoring is. </w:t>
      </w:r>
      <w:r w:rsidR="009C501E">
        <w:rPr>
          <w:rFonts w:ascii="Arial" w:hAnsi="Arial" w:cs="Arial"/>
          <w:bCs/>
          <w:sz w:val="20"/>
          <w:szCs w:val="20"/>
        </w:rPr>
        <w:t>G</w:t>
      </w:r>
      <w:r w:rsidRPr="00897B4D">
        <w:rPr>
          <w:rFonts w:ascii="Arial" w:hAnsi="Arial" w:cs="Arial"/>
          <w:bCs/>
          <w:sz w:val="20"/>
          <w:szCs w:val="20"/>
        </w:rPr>
        <w:t>o</w:t>
      </w:r>
      <w:r w:rsidR="00D53FC1">
        <w:rPr>
          <w:rFonts w:ascii="Arial" w:hAnsi="Arial" w:cs="Arial"/>
          <w:bCs/>
          <w:sz w:val="20"/>
          <w:szCs w:val="20"/>
        </w:rPr>
        <w:t>vernment run intelligence access programs</w:t>
      </w:r>
      <w:r w:rsidRPr="00897B4D">
        <w:rPr>
          <w:rFonts w:ascii="Arial" w:hAnsi="Arial" w:cs="Arial"/>
          <w:bCs/>
          <w:sz w:val="20"/>
          <w:szCs w:val="20"/>
        </w:rPr>
        <w:t xml:space="preserve"> has not been well receive</w:t>
      </w:r>
      <w:r w:rsidR="00D53FC1">
        <w:rPr>
          <w:rFonts w:ascii="Arial" w:hAnsi="Arial" w:cs="Arial"/>
          <w:bCs/>
          <w:sz w:val="20"/>
          <w:szCs w:val="20"/>
        </w:rPr>
        <w:t xml:space="preserve">d by the majority of industry, </w:t>
      </w:r>
      <w:r w:rsidRPr="00897B4D">
        <w:rPr>
          <w:rFonts w:ascii="Arial" w:hAnsi="Arial" w:cs="Arial"/>
          <w:bCs/>
          <w:sz w:val="20"/>
          <w:szCs w:val="20"/>
        </w:rPr>
        <w:t xml:space="preserve">who have chosen to use other means of achieving compliance. </w:t>
      </w:r>
    </w:p>
    <w:p w:rsidR="00897B4D" w:rsidRPr="00897B4D" w:rsidRDefault="00897B4D" w:rsidP="00D01BB4">
      <w:pPr>
        <w:rPr>
          <w:rFonts w:ascii="Arial" w:hAnsi="Arial" w:cs="Arial"/>
          <w:bCs/>
          <w:sz w:val="20"/>
          <w:szCs w:val="20"/>
        </w:rPr>
      </w:pPr>
    </w:p>
    <w:p w:rsidR="00897B4D" w:rsidRPr="00897B4D" w:rsidRDefault="00897B4D" w:rsidP="00D01BB4">
      <w:pPr>
        <w:rPr>
          <w:rFonts w:ascii="Arial" w:hAnsi="Arial" w:cs="Arial"/>
          <w:bCs/>
          <w:sz w:val="20"/>
          <w:szCs w:val="20"/>
        </w:rPr>
      </w:pPr>
      <w:r w:rsidRPr="00897B4D">
        <w:rPr>
          <w:rFonts w:ascii="Arial" w:hAnsi="Arial" w:cs="Arial"/>
          <w:bCs/>
          <w:sz w:val="20"/>
          <w:szCs w:val="20"/>
        </w:rPr>
        <w:t>The current COAG Road Reform Plan relies heavily on telematics in its proposed mass</w:t>
      </w:r>
      <w:r w:rsidR="004851D6">
        <w:rPr>
          <w:rFonts w:ascii="Arial" w:hAnsi="Arial" w:cs="Arial"/>
          <w:bCs/>
          <w:sz w:val="20"/>
          <w:szCs w:val="20"/>
        </w:rPr>
        <w:t>,</w:t>
      </w:r>
      <w:r w:rsidRPr="00897B4D">
        <w:rPr>
          <w:rFonts w:ascii="Arial" w:hAnsi="Arial" w:cs="Arial"/>
          <w:bCs/>
          <w:sz w:val="20"/>
          <w:szCs w:val="20"/>
        </w:rPr>
        <w:t xml:space="preserve"> distance</w:t>
      </w:r>
      <w:r w:rsidR="004851D6">
        <w:rPr>
          <w:rFonts w:ascii="Arial" w:hAnsi="Arial" w:cs="Arial"/>
          <w:bCs/>
          <w:sz w:val="20"/>
          <w:szCs w:val="20"/>
        </w:rPr>
        <w:t xml:space="preserve"> and</w:t>
      </w:r>
      <w:r w:rsidRPr="00897B4D">
        <w:rPr>
          <w:rFonts w:ascii="Arial" w:hAnsi="Arial" w:cs="Arial"/>
          <w:bCs/>
          <w:sz w:val="20"/>
          <w:szCs w:val="20"/>
        </w:rPr>
        <w:t xml:space="preserve"> location charging. However, after seeing the papers published on the issue</w:t>
      </w:r>
      <w:r w:rsidR="004851D6">
        <w:rPr>
          <w:rFonts w:ascii="Arial" w:hAnsi="Arial" w:cs="Arial"/>
          <w:bCs/>
          <w:sz w:val="20"/>
          <w:szCs w:val="20"/>
        </w:rPr>
        <w:t>,</w:t>
      </w:r>
      <w:r w:rsidRPr="00897B4D">
        <w:rPr>
          <w:rFonts w:ascii="Arial" w:hAnsi="Arial" w:cs="Arial"/>
          <w:bCs/>
          <w:sz w:val="20"/>
          <w:szCs w:val="20"/>
        </w:rPr>
        <w:t xml:space="preserve"> there are still concerns that proposed prices have not been valued sufficiently or who will pay for the installation, updating and replacement. </w:t>
      </w:r>
    </w:p>
    <w:p w:rsidR="00897B4D" w:rsidRPr="00897B4D" w:rsidRDefault="00897B4D" w:rsidP="00D01BB4">
      <w:pPr>
        <w:rPr>
          <w:rFonts w:ascii="Arial" w:hAnsi="Arial" w:cs="Arial"/>
          <w:bCs/>
          <w:sz w:val="20"/>
          <w:szCs w:val="20"/>
        </w:rPr>
      </w:pPr>
    </w:p>
    <w:p w:rsidR="00897B4D" w:rsidRDefault="00897B4D" w:rsidP="00D01BB4">
      <w:pPr>
        <w:rPr>
          <w:rFonts w:ascii="Arial" w:hAnsi="Arial" w:cs="Arial"/>
          <w:bCs/>
          <w:sz w:val="20"/>
          <w:szCs w:val="20"/>
        </w:rPr>
      </w:pPr>
      <w:r w:rsidRPr="00897B4D">
        <w:rPr>
          <w:rFonts w:ascii="Arial" w:hAnsi="Arial" w:cs="Arial"/>
          <w:bCs/>
          <w:sz w:val="20"/>
          <w:szCs w:val="20"/>
        </w:rPr>
        <w:t xml:space="preserve">Ultimately, companies that choose to use telematics do so because it suits their purposes and they can financially support it. </w:t>
      </w:r>
      <w:bookmarkStart w:id="29" w:name="_Toc301962922"/>
      <w:bookmarkStart w:id="30" w:name="_Toc301963179"/>
      <w:bookmarkStart w:id="31" w:name="_Toc304186547"/>
      <w:bookmarkStart w:id="32" w:name="_Toc305138969"/>
      <w:bookmarkStart w:id="33" w:name="_Toc305139665"/>
      <w:bookmarkStart w:id="34" w:name="_Toc305158003"/>
      <w:bookmarkStart w:id="35" w:name="_Toc301962924"/>
      <w:bookmarkStart w:id="36" w:name="_Toc301963181"/>
      <w:bookmarkStart w:id="37" w:name="_Toc304186548"/>
      <w:bookmarkStart w:id="38" w:name="_Toc305138970"/>
      <w:bookmarkStart w:id="39" w:name="_Toc305139666"/>
      <w:bookmarkStart w:id="40" w:name="_Toc305158004"/>
      <w:bookmarkStart w:id="41" w:name="_Toc301962926"/>
      <w:bookmarkStart w:id="42" w:name="_Toc292437885"/>
      <w:bookmarkStart w:id="43" w:name="_Toc292438370"/>
      <w:bookmarkStart w:id="44" w:name="_Toc292438581"/>
      <w:bookmarkStart w:id="45" w:name="_Toc292438793"/>
      <w:bookmarkStart w:id="46" w:name="_Toc292439004"/>
      <w:bookmarkStart w:id="47" w:name="_Toc292439218"/>
      <w:bookmarkStart w:id="48" w:name="_Toc292439429"/>
      <w:bookmarkStart w:id="49" w:name="_Toc292439640"/>
      <w:bookmarkStart w:id="50" w:name="_Toc292448896"/>
      <w:bookmarkStart w:id="51" w:name="_Toc292455397"/>
      <w:bookmarkStart w:id="52" w:name="_Toc292455721"/>
      <w:bookmarkStart w:id="53" w:name="_Toc292457142"/>
      <w:bookmarkStart w:id="54" w:name="_Toc292460806"/>
      <w:bookmarkStart w:id="55" w:name="_Toc29246100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897B4D">
        <w:rPr>
          <w:rFonts w:ascii="Arial" w:hAnsi="Arial" w:cs="Arial"/>
          <w:bCs/>
          <w:sz w:val="20"/>
          <w:szCs w:val="20"/>
        </w:rPr>
        <w:t>This i</w:t>
      </w:r>
      <w:r w:rsidR="00DF7861">
        <w:rPr>
          <w:rFonts w:ascii="Arial" w:hAnsi="Arial" w:cs="Arial"/>
          <w:bCs/>
          <w:sz w:val="20"/>
          <w:szCs w:val="20"/>
        </w:rPr>
        <w:t xml:space="preserve">s what free market economies do and government intervention using technology is frowned upon by the ATA. </w:t>
      </w:r>
    </w:p>
    <w:p w:rsidR="00D01BB4" w:rsidRPr="00DA2390" w:rsidRDefault="00D01BB4" w:rsidP="00D01BB4">
      <w:pPr>
        <w:rPr>
          <w:rFonts w:ascii="Arial" w:hAnsi="Arial" w:cs="Arial"/>
          <w:bCs/>
          <w:sz w:val="20"/>
          <w:szCs w:val="20"/>
        </w:rPr>
      </w:pPr>
    </w:p>
    <w:p w:rsidR="00EE6CA1" w:rsidRDefault="00EE6CA1" w:rsidP="00D01BB4">
      <w:pPr>
        <w:pStyle w:val="RecommendationStyle"/>
        <w:spacing w:before="0" w:after="0"/>
      </w:pPr>
    </w:p>
    <w:p w:rsidR="00D01BB4" w:rsidRDefault="00D01BB4" w:rsidP="00D01BB4">
      <w:pPr>
        <w:rPr>
          <w:rFonts w:ascii="Arial" w:hAnsi="Arial" w:cs="Arial"/>
          <w:b/>
          <w:i/>
          <w:sz w:val="20"/>
          <w:szCs w:val="20"/>
        </w:rPr>
      </w:pPr>
    </w:p>
    <w:p w:rsidR="00EE6CA1" w:rsidRPr="00D67F29" w:rsidRDefault="00D01BB4" w:rsidP="00D01BB4">
      <w:pPr>
        <w:rPr>
          <w:rFonts w:ascii="Arial" w:hAnsi="Arial" w:cs="Arial"/>
          <w:b/>
          <w:i/>
          <w:sz w:val="20"/>
          <w:szCs w:val="20"/>
        </w:rPr>
      </w:pPr>
      <w:r w:rsidRPr="00D01BB4">
        <w:rPr>
          <w:rFonts w:ascii="Arial" w:hAnsi="Arial" w:cs="Arial"/>
          <w:b/>
          <w:i/>
          <w:sz w:val="20"/>
          <w:szCs w:val="20"/>
        </w:rPr>
        <w:t>We recommend the role of technology should be encouraged, but not required for the heavy vehicle industry to operate</w:t>
      </w:r>
      <w:r w:rsidR="00EE6CA1" w:rsidRPr="00D67F29">
        <w:rPr>
          <w:rFonts w:ascii="Arial" w:hAnsi="Arial" w:cs="Arial"/>
          <w:b/>
          <w:i/>
          <w:sz w:val="20"/>
          <w:szCs w:val="20"/>
        </w:rPr>
        <w:t xml:space="preserve">. </w:t>
      </w:r>
    </w:p>
    <w:p w:rsidR="00EE6CA1" w:rsidRDefault="00EE6CA1" w:rsidP="00D01BB4">
      <w:pPr>
        <w:rPr>
          <w:rFonts w:ascii="Arial" w:hAnsi="Arial" w:cs="Arial"/>
          <w:sz w:val="20"/>
          <w:szCs w:val="20"/>
        </w:rPr>
      </w:pPr>
    </w:p>
    <w:p w:rsidR="00DA2390" w:rsidRDefault="00DA2390" w:rsidP="00D01BB4">
      <w:pPr>
        <w:rPr>
          <w:rFonts w:ascii="Arial" w:hAnsi="Arial" w:cs="Arial"/>
          <w:sz w:val="20"/>
          <w:szCs w:val="20"/>
        </w:rPr>
      </w:pPr>
    </w:p>
    <w:p w:rsidR="00897B4D" w:rsidRPr="00972601" w:rsidRDefault="00897B4D" w:rsidP="00D01BB4">
      <w:pPr>
        <w:pStyle w:val="ATAHeading2"/>
        <w:spacing w:before="0" w:after="0" w:line="240" w:lineRule="auto"/>
        <w:ind w:left="851" w:hanging="851"/>
        <w:rPr>
          <w:sz w:val="28"/>
          <w:szCs w:val="28"/>
        </w:rPr>
      </w:pPr>
      <w:bookmarkStart w:id="56" w:name="_Toc306363315"/>
      <w:r w:rsidRPr="00972601">
        <w:rPr>
          <w:sz w:val="28"/>
          <w:szCs w:val="28"/>
        </w:rPr>
        <w:t>Congestion</w:t>
      </w:r>
      <w:bookmarkEnd w:id="56"/>
      <w:r w:rsidRPr="00972601">
        <w:rPr>
          <w:sz w:val="28"/>
          <w:szCs w:val="28"/>
        </w:rPr>
        <w:t xml:space="preserve"> </w:t>
      </w:r>
    </w:p>
    <w:p w:rsidR="00D01BB4" w:rsidRPr="00915339" w:rsidRDefault="00D01BB4" w:rsidP="00D01BB4"/>
    <w:p w:rsidR="007C0454" w:rsidRDefault="007C0454" w:rsidP="00D01BB4">
      <w:pPr>
        <w:pStyle w:val="BodyText2"/>
        <w:rPr>
          <w:b w:val="0"/>
          <w:sz w:val="20"/>
        </w:rPr>
      </w:pPr>
      <w:r w:rsidRPr="0002042E">
        <w:rPr>
          <w:b w:val="0"/>
          <w:sz w:val="20"/>
        </w:rPr>
        <w:t>Congestion is one of the biggest externalities that affect the industry. Urban conge</w:t>
      </w:r>
      <w:r>
        <w:rPr>
          <w:b w:val="0"/>
          <w:sz w:val="20"/>
        </w:rPr>
        <w:t>stion causes delays for deliveries,</w:t>
      </w:r>
      <w:r w:rsidRPr="0002042E">
        <w:rPr>
          <w:b w:val="0"/>
          <w:sz w:val="20"/>
        </w:rPr>
        <w:t xml:space="preserve"> as well as forcing</w:t>
      </w:r>
      <w:r w:rsidR="005F546F">
        <w:rPr>
          <w:b w:val="0"/>
          <w:sz w:val="20"/>
        </w:rPr>
        <w:t xml:space="preserve"> heavy vehicles</w:t>
      </w:r>
      <w:r w:rsidRPr="0002042E">
        <w:rPr>
          <w:b w:val="0"/>
          <w:sz w:val="20"/>
        </w:rPr>
        <w:t xml:space="preserve"> to use other less direct routes in order to avoid the congestion. The time wasted due to congestion is a loss </w:t>
      </w:r>
      <w:r w:rsidR="004851D6">
        <w:rPr>
          <w:b w:val="0"/>
          <w:sz w:val="20"/>
        </w:rPr>
        <w:t xml:space="preserve">of </w:t>
      </w:r>
      <w:r w:rsidR="004851D6" w:rsidRPr="0002042E">
        <w:rPr>
          <w:b w:val="0"/>
          <w:sz w:val="20"/>
        </w:rPr>
        <w:t>productivity</w:t>
      </w:r>
      <w:r w:rsidRPr="0002042E">
        <w:rPr>
          <w:b w:val="0"/>
          <w:sz w:val="20"/>
        </w:rPr>
        <w:t xml:space="preserve"> </w:t>
      </w:r>
      <w:r w:rsidR="000A6322">
        <w:rPr>
          <w:b w:val="0"/>
          <w:sz w:val="20"/>
        </w:rPr>
        <w:t xml:space="preserve">to </w:t>
      </w:r>
      <w:r w:rsidRPr="0002042E">
        <w:rPr>
          <w:b w:val="0"/>
          <w:sz w:val="20"/>
        </w:rPr>
        <w:t xml:space="preserve">the fleet. </w:t>
      </w:r>
      <w:r>
        <w:rPr>
          <w:b w:val="0"/>
          <w:sz w:val="20"/>
        </w:rPr>
        <w:t>T</w:t>
      </w:r>
      <w:r w:rsidRPr="0002042E">
        <w:rPr>
          <w:b w:val="0"/>
          <w:sz w:val="20"/>
        </w:rPr>
        <w:t xml:space="preserve">he paper states Woolworths try </w:t>
      </w:r>
      <w:r w:rsidR="004851D6">
        <w:rPr>
          <w:b w:val="0"/>
          <w:sz w:val="20"/>
        </w:rPr>
        <w:t>to</w:t>
      </w:r>
      <w:r w:rsidRPr="0002042E">
        <w:rPr>
          <w:b w:val="0"/>
          <w:sz w:val="20"/>
        </w:rPr>
        <w:t xml:space="preserve"> make deliveries outside of peak times as much as possible, this is a restraint on the industry.  </w:t>
      </w:r>
    </w:p>
    <w:p w:rsidR="007C0454" w:rsidRPr="0002042E" w:rsidRDefault="007C0454" w:rsidP="00D01BB4">
      <w:pPr>
        <w:pStyle w:val="BodyText2"/>
        <w:rPr>
          <w:b w:val="0"/>
          <w:sz w:val="20"/>
        </w:rPr>
      </w:pPr>
    </w:p>
    <w:p w:rsidR="007C0454" w:rsidRDefault="007C0454" w:rsidP="00D01BB4">
      <w:pPr>
        <w:pStyle w:val="BodyText2"/>
        <w:rPr>
          <w:b w:val="0"/>
          <w:sz w:val="20"/>
        </w:rPr>
      </w:pPr>
      <w:r w:rsidRPr="0002042E">
        <w:rPr>
          <w:b w:val="0"/>
          <w:sz w:val="20"/>
        </w:rPr>
        <w:t>The costs estimated in the paper for congestion make</w:t>
      </w:r>
      <w:r>
        <w:rPr>
          <w:b w:val="0"/>
          <w:sz w:val="20"/>
        </w:rPr>
        <w:t>s</w:t>
      </w:r>
      <w:r w:rsidRPr="0002042E">
        <w:rPr>
          <w:b w:val="0"/>
          <w:sz w:val="20"/>
        </w:rPr>
        <w:t xml:space="preserve"> for worrying reading and with the demand for goods and urbanisation of the population happening it is vital road providers take heavy vehicles into consideration</w:t>
      </w:r>
      <w:r>
        <w:rPr>
          <w:b w:val="0"/>
          <w:sz w:val="20"/>
        </w:rPr>
        <w:t xml:space="preserve"> as they provide the majority of deliveries to these areas</w:t>
      </w:r>
      <w:r w:rsidRPr="0002042E">
        <w:rPr>
          <w:b w:val="0"/>
          <w:sz w:val="20"/>
        </w:rPr>
        <w:t xml:space="preserve">. </w:t>
      </w:r>
    </w:p>
    <w:p w:rsidR="007C0454" w:rsidRDefault="007C0454" w:rsidP="00D01BB4">
      <w:pPr>
        <w:pStyle w:val="BodyText2"/>
        <w:rPr>
          <w:b w:val="0"/>
          <w:sz w:val="20"/>
        </w:rPr>
      </w:pPr>
    </w:p>
    <w:p w:rsidR="00747202" w:rsidRDefault="00A700BB" w:rsidP="00D01BB4">
      <w:pPr>
        <w:pStyle w:val="BodyText2"/>
        <w:rPr>
          <w:b w:val="0"/>
          <w:sz w:val="20"/>
        </w:rPr>
      </w:pPr>
      <w:r>
        <w:rPr>
          <w:b w:val="0"/>
          <w:sz w:val="20"/>
        </w:rPr>
        <w:t>Australia has a</w:t>
      </w:r>
      <w:r w:rsidR="007C0454">
        <w:rPr>
          <w:b w:val="0"/>
          <w:sz w:val="20"/>
        </w:rPr>
        <w:t xml:space="preserve"> </w:t>
      </w:r>
      <w:r>
        <w:rPr>
          <w:b w:val="0"/>
          <w:sz w:val="20"/>
        </w:rPr>
        <w:t>relatively small</w:t>
      </w:r>
      <w:r w:rsidR="007C0454">
        <w:rPr>
          <w:b w:val="0"/>
          <w:sz w:val="20"/>
        </w:rPr>
        <w:t xml:space="preserve"> population </w:t>
      </w:r>
      <w:r>
        <w:rPr>
          <w:b w:val="0"/>
          <w:sz w:val="20"/>
        </w:rPr>
        <w:t>which is</w:t>
      </w:r>
      <w:r w:rsidR="007C0454">
        <w:rPr>
          <w:b w:val="0"/>
          <w:sz w:val="20"/>
        </w:rPr>
        <w:t xml:space="preserve"> widely spread </w:t>
      </w:r>
      <w:r w:rsidR="000A6322">
        <w:rPr>
          <w:b w:val="0"/>
          <w:sz w:val="20"/>
        </w:rPr>
        <w:t>and</w:t>
      </w:r>
      <w:r w:rsidR="007C0454">
        <w:rPr>
          <w:b w:val="0"/>
          <w:sz w:val="20"/>
        </w:rPr>
        <w:t xml:space="preserve"> need</w:t>
      </w:r>
      <w:r w:rsidR="00D37B9E">
        <w:rPr>
          <w:b w:val="0"/>
          <w:sz w:val="20"/>
        </w:rPr>
        <w:t>s</w:t>
      </w:r>
      <w:r w:rsidR="007C0454">
        <w:rPr>
          <w:b w:val="0"/>
          <w:sz w:val="20"/>
        </w:rPr>
        <w:t xml:space="preserve"> to access </w:t>
      </w:r>
      <w:r>
        <w:rPr>
          <w:b w:val="0"/>
          <w:sz w:val="20"/>
        </w:rPr>
        <w:t>hubs</w:t>
      </w:r>
      <w:r w:rsidR="007C0454">
        <w:rPr>
          <w:b w:val="0"/>
          <w:sz w:val="20"/>
        </w:rPr>
        <w:t xml:space="preserve"> of commerce to work. The topic of congestion charging has become very popular recently following</w:t>
      </w:r>
      <w:r w:rsidR="00A43A93">
        <w:rPr>
          <w:b w:val="0"/>
          <w:sz w:val="20"/>
        </w:rPr>
        <w:t xml:space="preserve"> the</w:t>
      </w:r>
      <w:r w:rsidR="007C0454">
        <w:rPr>
          <w:b w:val="0"/>
          <w:sz w:val="20"/>
        </w:rPr>
        <w:t xml:space="preserve"> </w:t>
      </w:r>
      <w:r w:rsidR="00A43A93">
        <w:rPr>
          <w:b w:val="0"/>
          <w:sz w:val="20"/>
        </w:rPr>
        <w:t>examples</w:t>
      </w:r>
      <w:r>
        <w:rPr>
          <w:b w:val="0"/>
          <w:sz w:val="20"/>
        </w:rPr>
        <w:t xml:space="preserve"> </w:t>
      </w:r>
      <w:r w:rsidR="00A43A93">
        <w:rPr>
          <w:b w:val="0"/>
          <w:sz w:val="20"/>
        </w:rPr>
        <w:t>in</w:t>
      </w:r>
      <w:r w:rsidR="007C0454">
        <w:rPr>
          <w:b w:val="0"/>
          <w:sz w:val="20"/>
        </w:rPr>
        <w:t xml:space="preserve"> London and Singapore. However, a congestion charge implemented in Australia would simply be a </w:t>
      </w:r>
      <w:r w:rsidR="00BB419F">
        <w:rPr>
          <w:b w:val="0"/>
          <w:sz w:val="20"/>
        </w:rPr>
        <w:t>blatant</w:t>
      </w:r>
      <w:r w:rsidR="007C0454">
        <w:rPr>
          <w:b w:val="0"/>
          <w:sz w:val="20"/>
        </w:rPr>
        <w:t xml:space="preserve"> tax as the public transport system </w:t>
      </w:r>
      <w:r w:rsidR="00B46499">
        <w:rPr>
          <w:b w:val="0"/>
          <w:sz w:val="20"/>
        </w:rPr>
        <w:t>is</w:t>
      </w:r>
      <w:r w:rsidR="007C0454">
        <w:rPr>
          <w:b w:val="0"/>
          <w:sz w:val="20"/>
        </w:rPr>
        <w:t xml:space="preserve"> far from adequate </w:t>
      </w:r>
      <w:r w:rsidR="00B46499">
        <w:rPr>
          <w:b w:val="0"/>
          <w:sz w:val="20"/>
        </w:rPr>
        <w:t>to provide a realistic alternative to cars</w:t>
      </w:r>
      <w:r w:rsidR="007C0454">
        <w:rPr>
          <w:b w:val="0"/>
          <w:sz w:val="20"/>
        </w:rPr>
        <w:t>.</w:t>
      </w:r>
    </w:p>
    <w:p w:rsidR="007C0454" w:rsidRDefault="007C0454" w:rsidP="00D01BB4">
      <w:pPr>
        <w:pStyle w:val="BodyText2"/>
        <w:rPr>
          <w:b w:val="0"/>
          <w:sz w:val="20"/>
        </w:rPr>
      </w:pPr>
    </w:p>
    <w:p w:rsidR="00915339" w:rsidRPr="00DA2390" w:rsidRDefault="007C0454" w:rsidP="00D01BB4">
      <w:pPr>
        <w:pStyle w:val="BodyText2"/>
        <w:rPr>
          <w:b w:val="0"/>
          <w:sz w:val="20"/>
        </w:rPr>
      </w:pPr>
      <w:r>
        <w:rPr>
          <w:b w:val="0"/>
          <w:sz w:val="20"/>
        </w:rPr>
        <w:t>Evidence provided by the Competition and Regulation Working Group for COAG</w:t>
      </w:r>
      <w:r w:rsidR="00BB419F">
        <w:rPr>
          <w:b w:val="0"/>
          <w:sz w:val="20"/>
        </w:rPr>
        <w:t xml:space="preserve"> shows</w:t>
      </w:r>
      <w:r>
        <w:rPr>
          <w:b w:val="0"/>
          <w:sz w:val="20"/>
        </w:rPr>
        <w:t>, it is obvious that some cities have better usage of public transport than others</w:t>
      </w:r>
      <w:r w:rsidR="00BB419F">
        <w:rPr>
          <w:b w:val="0"/>
          <w:sz w:val="20"/>
        </w:rPr>
        <w:t>.</w:t>
      </w:r>
      <w:r>
        <w:rPr>
          <w:b w:val="0"/>
          <w:sz w:val="20"/>
        </w:rPr>
        <w:t xml:space="preserve"> </w:t>
      </w:r>
    </w:p>
    <w:p w:rsidR="007C0454" w:rsidRDefault="007C0454" w:rsidP="00D01BB4">
      <w:pPr>
        <w:pStyle w:val="BodyText2"/>
        <w:rPr>
          <w:b w:val="0"/>
          <w:sz w:val="20"/>
        </w:rPr>
      </w:pPr>
    </w:p>
    <w:p w:rsidR="007C0454" w:rsidRPr="001E453F" w:rsidRDefault="007C0454" w:rsidP="00D01BB4">
      <w:pPr>
        <w:pStyle w:val="BodyText2"/>
        <w:rPr>
          <w:sz w:val="20"/>
        </w:rPr>
      </w:pPr>
      <w:r w:rsidRPr="001E453F">
        <w:rPr>
          <w:sz w:val="20"/>
        </w:rPr>
        <w:t xml:space="preserve">Proportion of trips by public transport for Australian Capital Cites 2001 </w:t>
      </w:r>
    </w:p>
    <w:tbl>
      <w:tblPr>
        <w:tblStyle w:val="LightList-Accent11"/>
        <w:tblW w:w="0" w:type="auto"/>
        <w:tblLook w:val="04A0"/>
      </w:tblPr>
      <w:tblGrid>
        <w:gridCol w:w="1029"/>
        <w:gridCol w:w="1073"/>
        <w:gridCol w:w="1256"/>
        <w:gridCol w:w="1093"/>
        <w:gridCol w:w="1054"/>
        <w:gridCol w:w="1091"/>
        <w:gridCol w:w="1134"/>
        <w:gridCol w:w="1060"/>
        <w:gridCol w:w="1064"/>
      </w:tblGrid>
      <w:tr w:rsidR="007C0454" w:rsidTr="005D41BB">
        <w:trPr>
          <w:cnfStyle w:val="100000000000"/>
        </w:trPr>
        <w:tc>
          <w:tcPr>
            <w:cnfStyle w:val="001000000000"/>
            <w:tcW w:w="1094" w:type="dxa"/>
          </w:tcPr>
          <w:p w:rsidR="007C0454" w:rsidRDefault="007C0454" w:rsidP="00D01BB4">
            <w:pPr>
              <w:pStyle w:val="BodyText2"/>
              <w:rPr>
                <w:b w:val="0"/>
              </w:rPr>
            </w:pPr>
          </w:p>
        </w:tc>
        <w:tc>
          <w:tcPr>
            <w:tcW w:w="1095" w:type="dxa"/>
          </w:tcPr>
          <w:p w:rsidR="007C0454" w:rsidRDefault="007C0454" w:rsidP="00D01BB4">
            <w:pPr>
              <w:pStyle w:val="BodyText2"/>
              <w:cnfStyle w:val="100000000000"/>
              <w:rPr>
                <w:b w:val="0"/>
              </w:rPr>
            </w:pPr>
            <w:r>
              <w:rPr>
                <w:b w:val="0"/>
              </w:rPr>
              <w:t xml:space="preserve">Sydney </w:t>
            </w:r>
          </w:p>
        </w:tc>
        <w:tc>
          <w:tcPr>
            <w:tcW w:w="1095" w:type="dxa"/>
          </w:tcPr>
          <w:p w:rsidR="007C0454" w:rsidRDefault="007C0454" w:rsidP="00D01BB4">
            <w:pPr>
              <w:pStyle w:val="BodyText2"/>
              <w:cnfStyle w:val="100000000000"/>
              <w:rPr>
                <w:b w:val="0"/>
              </w:rPr>
            </w:pPr>
            <w:r>
              <w:rPr>
                <w:b w:val="0"/>
              </w:rPr>
              <w:t>Melbourne</w:t>
            </w:r>
          </w:p>
        </w:tc>
        <w:tc>
          <w:tcPr>
            <w:tcW w:w="1095" w:type="dxa"/>
          </w:tcPr>
          <w:p w:rsidR="007C0454" w:rsidRDefault="007C0454" w:rsidP="00D01BB4">
            <w:pPr>
              <w:pStyle w:val="BodyText2"/>
              <w:cnfStyle w:val="100000000000"/>
              <w:rPr>
                <w:b w:val="0"/>
              </w:rPr>
            </w:pPr>
            <w:r>
              <w:rPr>
                <w:b w:val="0"/>
              </w:rPr>
              <w:t>Brisbane</w:t>
            </w:r>
          </w:p>
        </w:tc>
        <w:tc>
          <w:tcPr>
            <w:tcW w:w="1095" w:type="dxa"/>
          </w:tcPr>
          <w:p w:rsidR="007C0454" w:rsidRDefault="007C0454" w:rsidP="00D01BB4">
            <w:pPr>
              <w:pStyle w:val="BodyText2"/>
              <w:cnfStyle w:val="100000000000"/>
              <w:rPr>
                <w:b w:val="0"/>
              </w:rPr>
            </w:pPr>
            <w:r>
              <w:rPr>
                <w:b w:val="0"/>
              </w:rPr>
              <w:t xml:space="preserve">Perth </w:t>
            </w:r>
          </w:p>
        </w:tc>
        <w:tc>
          <w:tcPr>
            <w:tcW w:w="1095" w:type="dxa"/>
          </w:tcPr>
          <w:p w:rsidR="007C0454" w:rsidRDefault="007C0454" w:rsidP="00D01BB4">
            <w:pPr>
              <w:pStyle w:val="BodyText2"/>
              <w:cnfStyle w:val="100000000000"/>
              <w:rPr>
                <w:b w:val="0"/>
              </w:rPr>
            </w:pPr>
            <w:r>
              <w:rPr>
                <w:b w:val="0"/>
              </w:rPr>
              <w:t xml:space="preserve">Adelaide </w:t>
            </w:r>
          </w:p>
        </w:tc>
        <w:tc>
          <w:tcPr>
            <w:tcW w:w="1095" w:type="dxa"/>
          </w:tcPr>
          <w:p w:rsidR="007C0454" w:rsidRDefault="007C0454" w:rsidP="00D01BB4">
            <w:pPr>
              <w:pStyle w:val="BodyText2"/>
              <w:cnfStyle w:val="100000000000"/>
              <w:rPr>
                <w:b w:val="0"/>
              </w:rPr>
            </w:pPr>
            <w:r>
              <w:rPr>
                <w:b w:val="0"/>
              </w:rPr>
              <w:t>Canberra</w:t>
            </w:r>
          </w:p>
        </w:tc>
        <w:tc>
          <w:tcPr>
            <w:tcW w:w="1095" w:type="dxa"/>
          </w:tcPr>
          <w:p w:rsidR="007C0454" w:rsidRDefault="007C0454" w:rsidP="00D01BB4">
            <w:pPr>
              <w:pStyle w:val="BodyText2"/>
              <w:cnfStyle w:val="100000000000"/>
              <w:rPr>
                <w:b w:val="0"/>
              </w:rPr>
            </w:pPr>
            <w:r>
              <w:rPr>
                <w:b w:val="0"/>
              </w:rPr>
              <w:t>Hobart</w:t>
            </w:r>
          </w:p>
        </w:tc>
        <w:tc>
          <w:tcPr>
            <w:tcW w:w="1095" w:type="dxa"/>
          </w:tcPr>
          <w:p w:rsidR="007C0454" w:rsidRDefault="007C0454" w:rsidP="00D01BB4">
            <w:pPr>
              <w:pStyle w:val="BodyText2"/>
              <w:cnfStyle w:val="100000000000"/>
              <w:rPr>
                <w:b w:val="0"/>
              </w:rPr>
            </w:pPr>
            <w:r>
              <w:rPr>
                <w:b w:val="0"/>
              </w:rPr>
              <w:t xml:space="preserve">Darwin </w:t>
            </w:r>
          </w:p>
        </w:tc>
      </w:tr>
      <w:tr w:rsidR="007C0454" w:rsidTr="005D41BB">
        <w:trPr>
          <w:cnfStyle w:val="000000100000"/>
        </w:trPr>
        <w:tc>
          <w:tcPr>
            <w:cnfStyle w:val="001000000000"/>
            <w:tcW w:w="1094" w:type="dxa"/>
          </w:tcPr>
          <w:p w:rsidR="007C0454" w:rsidRDefault="007C0454" w:rsidP="00D01BB4">
            <w:pPr>
              <w:pStyle w:val="BodyText2"/>
              <w:rPr>
                <w:b w:val="0"/>
              </w:rPr>
            </w:pPr>
            <w:r>
              <w:rPr>
                <w:b w:val="0"/>
              </w:rPr>
              <w:t xml:space="preserve">CBD </w:t>
            </w:r>
          </w:p>
        </w:tc>
        <w:tc>
          <w:tcPr>
            <w:tcW w:w="1095" w:type="dxa"/>
          </w:tcPr>
          <w:p w:rsidR="007C0454" w:rsidRDefault="007C0454" w:rsidP="00D01BB4">
            <w:pPr>
              <w:pStyle w:val="BodyText2"/>
              <w:cnfStyle w:val="000000100000"/>
              <w:rPr>
                <w:b w:val="0"/>
              </w:rPr>
            </w:pPr>
            <w:r>
              <w:rPr>
                <w:b w:val="0"/>
              </w:rPr>
              <w:t>72%</w:t>
            </w:r>
          </w:p>
        </w:tc>
        <w:tc>
          <w:tcPr>
            <w:tcW w:w="1095" w:type="dxa"/>
          </w:tcPr>
          <w:p w:rsidR="007C0454" w:rsidRDefault="007C0454" w:rsidP="00D01BB4">
            <w:pPr>
              <w:pStyle w:val="BodyText2"/>
              <w:cnfStyle w:val="000000100000"/>
              <w:rPr>
                <w:b w:val="0"/>
              </w:rPr>
            </w:pPr>
            <w:r>
              <w:rPr>
                <w:b w:val="0"/>
              </w:rPr>
              <w:t>60.5%</w:t>
            </w:r>
          </w:p>
        </w:tc>
        <w:tc>
          <w:tcPr>
            <w:tcW w:w="1095" w:type="dxa"/>
          </w:tcPr>
          <w:p w:rsidR="007C0454" w:rsidRDefault="007C0454" w:rsidP="00D01BB4">
            <w:pPr>
              <w:pStyle w:val="BodyText2"/>
              <w:cnfStyle w:val="000000100000"/>
              <w:rPr>
                <w:b w:val="0"/>
              </w:rPr>
            </w:pPr>
            <w:r>
              <w:rPr>
                <w:b w:val="0"/>
              </w:rPr>
              <w:t>56.6%</w:t>
            </w:r>
          </w:p>
        </w:tc>
        <w:tc>
          <w:tcPr>
            <w:tcW w:w="1095" w:type="dxa"/>
          </w:tcPr>
          <w:p w:rsidR="007C0454" w:rsidRDefault="007C0454" w:rsidP="00D01BB4">
            <w:pPr>
              <w:pStyle w:val="BodyText2"/>
              <w:cnfStyle w:val="000000100000"/>
              <w:rPr>
                <w:b w:val="0"/>
              </w:rPr>
            </w:pPr>
            <w:r>
              <w:rPr>
                <w:b w:val="0"/>
              </w:rPr>
              <w:t>47.4%</w:t>
            </w:r>
          </w:p>
        </w:tc>
        <w:tc>
          <w:tcPr>
            <w:tcW w:w="1095" w:type="dxa"/>
          </w:tcPr>
          <w:p w:rsidR="007C0454" w:rsidRDefault="007C0454" w:rsidP="00D01BB4">
            <w:pPr>
              <w:pStyle w:val="BodyText2"/>
              <w:cnfStyle w:val="000000100000"/>
              <w:rPr>
                <w:b w:val="0"/>
              </w:rPr>
            </w:pPr>
            <w:r>
              <w:rPr>
                <w:b w:val="0"/>
              </w:rPr>
              <w:t>30.2%</w:t>
            </w:r>
          </w:p>
        </w:tc>
        <w:tc>
          <w:tcPr>
            <w:tcW w:w="1095" w:type="dxa"/>
          </w:tcPr>
          <w:p w:rsidR="007C0454" w:rsidRDefault="007C0454" w:rsidP="00D01BB4">
            <w:pPr>
              <w:pStyle w:val="BodyText2"/>
              <w:cnfStyle w:val="000000100000"/>
              <w:rPr>
                <w:b w:val="0"/>
              </w:rPr>
            </w:pPr>
            <w:r>
              <w:rPr>
                <w:b w:val="0"/>
              </w:rPr>
              <w:t>12.5%</w:t>
            </w:r>
          </w:p>
        </w:tc>
        <w:tc>
          <w:tcPr>
            <w:tcW w:w="1095" w:type="dxa"/>
          </w:tcPr>
          <w:p w:rsidR="007C0454" w:rsidRDefault="007C0454" w:rsidP="00D01BB4">
            <w:pPr>
              <w:pStyle w:val="BodyText2"/>
              <w:cnfStyle w:val="000000100000"/>
              <w:rPr>
                <w:b w:val="0"/>
              </w:rPr>
            </w:pPr>
            <w:r>
              <w:rPr>
                <w:b w:val="0"/>
              </w:rPr>
              <w:t>14.1%</w:t>
            </w:r>
          </w:p>
        </w:tc>
        <w:tc>
          <w:tcPr>
            <w:tcW w:w="1095" w:type="dxa"/>
          </w:tcPr>
          <w:p w:rsidR="007C0454" w:rsidRDefault="007C0454" w:rsidP="00D01BB4">
            <w:pPr>
              <w:pStyle w:val="BodyText2"/>
              <w:cnfStyle w:val="000000100000"/>
              <w:rPr>
                <w:b w:val="0"/>
              </w:rPr>
            </w:pPr>
            <w:r>
              <w:rPr>
                <w:b w:val="0"/>
              </w:rPr>
              <w:t>6.1%</w:t>
            </w:r>
          </w:p>
        </w:tc>
      </w:tr>
    </w:tbl>
    <w:p w:rsidR="007C0454" w:rsidRPr="00526C1E" w:rsidRDefault="007C0454" w:rsidP="00D01BB4">
      <w:pPr>
        <w:pStyle w:val="BodyText2"/>
        <w:rPr>
          <w:b w:val="0"/>
          <w:sz w:val="16"/>
          <w:szCs w:val="16"/>
        </w:rPr>
      </w:pPr>
      <w:r w:rsidRPr="00526C1E">
        <w:rPr>
          <w:b w:val="0"/>
          <w:sz w:val="16"/>
          <w:szCs w:val="16"/>
        </w:rPr>
        <w:t xml:space="preserve">Source: page </w:t>
      </w:r>
      <w:proofErr w:type="gramStart"/>
      <w:r w:rsidRPr="00526C1E">
        <w:rPr>
          <w:b w:val="0"/>
          <w:sz w:val="16"/>
          <w:szCs w:val="16"/>
        </w:rPr>
        <w:t>10,</w:t>
      </w:r>
      <w:proofErr w:type="gramEnd"/>
      <w:r w:rsidRPr="00526C1E">
        <w:rPr>
          <w:b w:val="0"/>
          <w:sz w:val="16"/>
          <w:szCs w:val="16"/>
        </w:rPr>
        <w:t xml:space="preserve"> table 2</w:t>
      </w:r>
      <w:r w:rsidR="00A43A93">
        <w:rPr>
          <w:b w:val="0"/>
          <w:sz w:val="16"/>
          <w:szCs w:val="16"/>
        </w:rPr>
        <w:t xml:space="preserve"> </w:t>
      </w:r>
      <w:r w:rsidRPr="00526C1E">
        <w:rPr>
          <w:b w:val="0"/>
          <w:sz w:val="16"/>
          <w:szCs w:val="16"/>
        </w:rPr>
        <w:t xml:space="preserve">Review of Urban Congestion – Trends, Impacts and solutions. Report prepared for COAG by the Competition and Regulation Working Group 2006. </w:t>
      </w:r>
    </w:p>
    <w:p w:rsidR="007C0454" w:rsidRDefault="007C0454" w:rsidP="00D01BB4">
      <w:pPr>
        <w:rPr>
          <w:rFonts w:ascii="Arial" w:hAnsi="Arial" w:cs="Arial"/>
          <w:sz w:val="20"/>
          <w:szCs w:val="20"/>
        </w:rPr>
      </w:pPr>
    </w:p>
    <w:p w:rsidR="00972601" w:rsidRDefault="00972601">
      <w:pPr>
        <w:rPr>
          <w:rFonts w:ascii="Arial" w:hAnsi="Arial" w:cs="Arial"/>
          <w:sz w:val="20"/>
          <w:szCs w:val="20"/>
        </w:rPr>
      </w:pPr>
      <w:r>
        <w:rPr>
          <w:rFonts w:ascii="Arial" w:hAnsi="Arial" w:cs="Arial"/>
          <w:sz w:val="20"/>
          <w:szCs w:val="20"/>
        </w:rPr>
        <w:br w:type="page"/>
      </w:r>
    </w:p>
    <w:p w:rsidR="007C0454" w:rsidRDefault="00313CBE" w:rsidP="00D01BB4">
      <w:pPr>
        <w:rPr>
          <w:rFonts w:ascii="Arial" w:hAnsi="Arial" w:cs="Arial"/>
          <w:sz w:val="20"/>
          <w:szCs w:val="20"/>
        </w:rPr>
      </w:pPr>
      <w:r>
        <w:rPr>
          <w:rFonts w:ascii="Arial" w:hAnsi="Arial" w:cs="Arial"/>
          <w:sz w:val="20"/>
          <w:szCs w:val="20"/>
        </w:rPr>
        <w:lastRenderedPageBreak/>
        <w:t>Therefore, there is room for improvement with public transport. In many cities people already pay a higher cost</w:t>
      </w:r>
      <w:r w:rsidR="006427E3">
        <w:rPr>
          <w:rFonts w:ascii="Arial" w:hAnsi="Arial" w:cs="Arial"/>
          <w:sz w:val="20"/>
          <w:szCs w:val="20"/>
        </w:rPr>
        <w:t xml:space="preserve"> for having to drive to cities</w:t>
      </w:r>
      <w:r>
        <w:rPr>
          <w:rFonts w:ascii="Arial" w:hAnsi="Arial" w:cs="Arial"/>
          <w:sz w:val="20"/>
          <w:szCs w:val="20"/>
        </w:rPr>
        <w:t xml:space="preserve"> through parking, which in some c</w:t>
      </w:r>
      <w:r w:rsidR="006427E3">
        <w:rPr>
          <w:rFonts w:ascii="Arial" w:hAnsi="Arial" w:cs="Arial"/>
          <w:sz w:val="20"/>
          <w:szCs w:val="20"/>
        </w:rPr>
        <w:t>ities</w:t>
      </w:r>
      <w:r>
        <w:rPr>
          <w:rFonts w:ascii="Arial" w:hAnsi="Arial" w:cs="Arial"/>
          <w:sz w:val="20"/>
          <w:szCs w:val="20"/>
        </w:rPr>
        <w:t xml:space="preserve"> can be $50 a day. A congestion charge was agreed to in London because </w:t>
      </w:r>
      <w:r w:rsidR="006427E3">
        <w:rPr>
          <w:rFonts w:ascii="Arial" w:hAnsi="Arial" w:cs="Arial"/>
          <w:sz w:val="20"/>
          <w:szCs w:val="20"/>
        </w:rPr>
        <w:t>there was a real choice of using the</w:t>
      </w:r>
      <w:r>
        <w:rPr>
          <w:rFonts w:ascii="Arial" w:hAnsi="Arial" w:cs="Arial"/>
          <w:sz w:val="20"/>
          <w:szCs w:val="20"/>
        </w:rPr>
        <w:t xml:space="preserve"> public transport system, Australian cit</w:t>
      </w:r>
      <w:r w:rsidR="00A43A93">
        <w:rPr>
          <w:rFonts w:ascii="Arial" w:hAnsi="Arial" w:cs="Arial"/>
          <w:sz w:val="20"/>
          <w:szCs w:val="20"/>
        </w:rPr>
        <w:t>ies are not London and using this</w:t>
      </w:r>
      <w:r>
        <w:rPr>
          <w:rFonts w:ascii="Arial" w:hAnsi="Arial" w:cs="Arial"/>
          <w:sz w:val="20"/>
          <w:szCs w:val="20"/>
        </w:rPr>
        <w:t xml:space="preserve"> example of London is not a fair comparison. </w:t>
      </w:r>
    </w:p>
    <w:p w:rsidR="002B3468" w:rsidRDefault="002B3468" w:rsidP="00D01BB4">
      <w:pPr>
        <w:pStyle w:val="BodyText2"/>
        <w:rPr>
          <w:b w:val="0"/>
          <w:sz w:val="20"/>
        </w:rPr>
      </w:pPr>
    </w:p>
    <w:p w:rsidR="002B3468" w:rsidRPr="000A6B02" w:rsidRDefault="002B3468" w:rsidP="00D01BB4">
      <w:pPr>
        <w:rPr>
          <w:rFonts w:ascii="Arial" w:hAnsi="Arial" w:cs="Arial"/>
          <w:sz w:val="20"/>
          <w:szCs w:val="20"/>
        </w:rPr>
      </w:pPr>
      <w:r w:rsidRPr="000A6B02">
        <w:rPr>
          <w:rFonts w:ascii="Arial" w:hAnsi="Arial" w:cs="Arial"/>
          <w:sz w:val="20"/>
          <w:szCs w:val="20"/>
        </w:rPr>
        <w:t xml:space="preserve">The Competition and Regulation Working Group have provided </w:t>
      </w:r>
      <w:r w:rsidR="00BB419F" w:rsidRPr="000A6B02">
        <w:rPr>
          <w:rFonts w:ascii="Arial" w:hAnsi="Arial" w:cs="Arial"/>
          <w:sz w:val="20"/>
          <w:szCs w:val="20"/>
        </w:rPr>
        <w:t>a great deal</w:t>
      </w:r>
      <w:r w:rsidR="00BB419F">
        <w:rPr>
          <w:rFonts w:ascii="Arial" w:hAnsi="Arial" w:cs="Arial"/>
          <w:sz w:val="20"/>
          <w:szCs w:val="20"/>
        </w:rPr>
        <w:t xml:space="preserve"> of</w:t>
      </w:r>
      <w:r w:rsidRPr="000A6B02">
        <w:rPr>
          <w:rFonts w:ascii="Arial" w:hAnsi="Arial" w:cs="Arial"/>
          <w:sz w:val="20"/>
          <w:szCs w:val="20"/>
        </w:rPr>
        <w:t xml:space="preserve"> evidence </w:t>
      </w:r>
      <w:r w:rsidR="00A43A93">
        <w:rPr>
          <w:rFonts w:ascii="Arial" w:hAnsi="Arial" w:cs="Arial"/>
          <w:sz w:val="20"/>
          <w:szCs w:val="20"/>
        </w:rPr>
        <w:t>which</w:t>
      </w:r>
      <w:r w:rsidRPr="000A6B02">
        <w:rPr>
          <w:rFonts w:ascii="Arial" w:hAnsi="Arial" w:cs="Arial"/>
          <w:sz w:val="20"/>
          <w:szCs w:val="20"/>
        </w:rPr>
        <w:t xml:space="preserve"> suggests solving congestion is going to be one of the hardest tasks road agencies have and the</w:t>
      </w:r>
      <w:r w:rsidR="00E943DB">
        <w:rPr>
          <w:rFonts w:ascii="Arial" w:hAnsi="Arial" w:cs="Arial"/>
          <w:sz w:val="20"/>
          <w:szCs w:val="20"/>
        </w:rPr>
        <w:t>re is no single way to cure it. T</w:t>
      </w:r>
      <w:r w:rsidRPr="000A6B02">
        <w:rPr>
          <w:rFonts w:ascii="Arial" w:hAnsi="Arial" w:cs="Arial"/>
          <w:sz w:val="20"/>
          <w:szCs w:val="20"/>
        </w:rPr>
        <w:t xml:space="preserve">here </w:t>
      </w:r>
      <w:r w:rsidR="00A43A93">
        <w:rPr>
          <w:rFonts w:ascii="Arial" w:hAnsi="Arial" w:cs="Arial"/>
          <w:sz w:val="20"/>
          <w:szCs w:val="20"/>
        </w:rPr>
        <w:t>is</w:t>
      </w:r>
      <w:r w:rsidRPr="000A6B02">
        <w:rPr>
          <w:rFonts w:ascii="Arial" w:hAnsi="Arial" w:cs="Arial"/>
          <w:sz w:val="20"/>
          <w:szCs w:val="20"/>
        </w:rPr>
        <w:t xml:space="preserve"> </w:t>
      </w:r>
      <w:r w:rsidR="00E943DB">
        <w:rPr>
          <w:rFonts w:ascii="Arial" w:hAnsi="Arial" w:cs="Arial"/>
          <w:sz w:val="20"/>
          <w:szCs w:val="20"/>
        </w:rPr>
        <w:t>a combination</w:t>
      </w:r>
      <w:r w:rsidRPr="000A6B02">
        <w:rPr>
          <w:rFonts w:ascii="Arial" w:hAnsi="Arial" w:cs="Arial"/>
          <w:sz w:val="20"/>
          <w:szCs w:val="20"/>
        </w:rPr>
        <w:t xml:space="preserve"> of short, medium and long term supply and demand side interventions that will have to happen</w:t>
      </w:r>
      <w:r w:rsidR="00E943DB">
        <w:rPr>
          <w:rFonts w:ascii="Arial" w:hAnsi="Arial" w:cs="Arial"/>
          <w:sz w:val="20"/>
          <w:szCs w:val="20"/>
        </w:rPr>
        <w:t xml:space="preserve"> if the NTC is to have a successful congestion plan</w:t>
      </w:r>
      <w:r w:rsidRPr="000A6B02">
        <w:rPr>
          <w:rFonts w:ascii="Arial" w:hAnsi="Arial" w:cs="Arial"/>
          <w:sz w:val="20"/>
          <w:szCs w:val="20"/>
        </w:rPr>
        <w:t>. For the population solving congestion</w:t>
      </w:r>
      <w:r w:rsidR="00E943DB">
        <w:rPr>
          <w:rFonts w:ascii="Arial" w:hAnsi="Arial" w:cs="Arial"/>
          <w:sz w:val="20"/>
          <w:szCs w:val="20"/>
        </w:rPr>
        <w:t>,</w:t>
      </w:r>
      <w:r w:rsidRPr="000A6B02">
        <w:rPr>
          <w:rFonts w:ascii="Arial" w:hAnsi="Arial" w:cs="Arial"/>
          <w:sz w:val="20"/>
          <w:szCs w:val="20"/>
        </w:rPr>
        <w:t xml:space="preserve"> or at least trying to improve the </w:t>
      </w:r>
      <w:r w:rsidR="00E943DB" w:rsidRPr="000A6B02">
        <w:rPr>
          <w:rFonts w:ascii="Arial" w:hAnsi="Arial" w:cs="Arial"/>
          <w:sz w:val="20"/>
          <w:szCs w:val="20"/>
        </w:rPr>
        <w:t>situation should</w:t>
      </w:r>
      <w:r w:rsidRPr="000A6B02">
        <w:rPr>
          <w:rFonts w:ascii="Arial" w:hAnsi="Arial" w:cs="Arial"/>
          <w:sz w:val="20"/>
          <w:szCs w:val="20"/>
        </w:rPr>
        <w:t xml:space="preserve"> be one of the NTC’s biggest projects and we advise the NTC to view the work of the Competition and Regulation Working Group carefully. </w:t>
      </w:r>
    </w:p>
    <w:p w:rsidR="00313CBE" w:rsidRDefault="00313CBE" w:rsidP="00D01BB4">
      <w:pPr>
        <w:rPr>
          <w:rFonts w:ascii="Arial" w:hAnsi="Arial" w:cs="Arial"/>
          <w:sz w:val="20"/>
          <w:szCs w:val="20"/>
        </w:rPr>
      </w:pPr>
    </w:p>
    <w:p w:rsidR="00EE6CA1" w:rsidRDefault="00313CBE" w:rsidP="00D01BB4">
      <w:pPr>
        <w:rPr>
          <w:rFonts w:ascii="Arial" w:hAnsi="Arial" w:cs="Arial"/>
          <w:sz w:val="20"/>
          <w:szCs w:val="20"/>
        </w:rPr>
      </w:pPr>
      <w:r>
        <w:rPr>
          <w:rFonts w:ascii="Arial" w:hAnsi="Arial" w:cs="Arial"/>
          <w:sz w:val="20"/>
          <w:szCs w:val="20"/>
        </w:rPr>
        <w:t xml:space="preserve">While COAG and the NTC want </w:t>
      </w:r>
      <w:r w:rsidR="006427E3">
        <w:rPr>
          <w:rFonts w:ascii="Arial" w:hAnsi="Arial" w:cs="Arial"/>
          <w:sz w:val="20"/>
          <w:szCs w:val="20"/>
        </w:rPr>
        <w:t xml:space="preserve">reform </w:t>
      </w:r>
      <w:r>
        <w:rPr>
          <w:rFonts w:ascii="Arial" w:hAnsi="Arial" w:cs="Arial"/>
          <w:sz w:val="20"/>
          <w:szCs w:val="20"/>
        </w:rPr>
        <w:t>r</w:t>
      </w:r>
      <w:r w:rsidR="006427E3">
        <w:rPr>
          <w:rFonts w:ascii="Arial" w:hAnsi="Arial" w:cs="Arial"/>
          <w:sz w:val="20"/>
          <w:szCs w:val="20"/>
        </w:rPr>
        <w:t xml:space="preserve">oad pricing implemented, </w:t>
      </w:r>
      <w:r>
        <w:rPr>
          <w:rFonts w:ascii="Arial" w:hAnsi="Arial" w:cs="Arial"/>
          <w:sz w:val="20"/>
          <w:szCs w:val="20"/>
        </w:rPr>
        <w:t>we are yet to see concrete commitments to supply side reform,</w:t>
      </w:r>
      <w:r w:rsidR="006427E3">
        <w:rPr>
          <w:rFonts w:ascii="Arial" w:hAnsi="Arial" w:cs="Arial"/>
          <w:sz w:val="20"/>
          <w:szCs w:val="20"/>
        </w:rPr>
        <w:t xml:space="preserve"> such as acting on</w:t>
      </w:r>
      <w:r>
        <w:rPr>
          <w:rFonts w:ascii="Arial" w:hAnsi="Arial" w:cs="Arial"/>
          <w:sz w:val="20"/>
          <w:szCs w:val="20"/>
        </w:rPr>
        <w:t xml:space="preserve"> the </w:t>
      </w:r>
      <w:r w:rsidR="00E943DB">
        <w:rPr>
          <w:rFonts w:ascii="Arial" w:hAnsi="Arial" w:cs="Arial"/>
          <w:sz w:val="20"/>
          <w:szCs w:val="20"/>
        </w:rPr>
        <w:t>advice</w:t>
      </w:r>
      <w:r>
        <w:rPr>
          <w:rFonts w:ascii="Arial" w:hAnsi="Arial" w:cs="Arial"/>
          <w:sz w:val="20"/>
          <w:szCs w:val="20"/>
        </w:rPr>
        <w:t xml:space="preserve"> of infrastructure Australia </w:t>
      </w:r>
      <w:r w:rsidR="006427E3">
        <w:rPr>
          <w:rFonts w:ascii="Arial" w:hAnsi="Arial" w:cs="Arial"/>
          <w:sz w:val="20"/>
          <w:szCs w:val="20"/>
        </w:rPr>
        <w:t>and other concerned departments</w:t>
      </w:r>
      <w:r>
        <w:rPr>
          <w:rFonts w:ascii="Arial" w:hAnsi="Arial" w:cs="Arial"/>
          <w:sz w:val="20"/>
          <w:szCs w:val="20"/>
        </w:rPr>
        <w:t xml:space="preserve">. </w:t>
      </w:r>
      <w:r w:rsidR="006427E3">
        <w:rPr>
          <w:rFonts w:ascii="Arial" w:hAnsi="Arial" w:cs="Arial"/>
          <w:sz w:val="20"/>
          <w:szCs w:val="20"/>
        </w:rPr>
        <w:t>At this current stage of public transport provision, a</w:t>
      </w:r>
      <w:r>
        <w:rPr>
          <w:rFonts w:ascii="Arial" w:hAnsi="Arial" w:cs="Arial"/>
          <w:sz w:val="20"/>
          <w:szCs w:val="20"/>
        </w:rPr>
        <w:t xml:space="preserve"> congestion charge is </w:t>
      </w:r>
      <w:r w:rsidR="006427E3">
        <w:rPr>
          <w:rFonts w:ascii="Arial" w:hAnsi="Arial" w:cs="Arial"/>
          <w:sz w:val="20"/>
          <w:szCs w:val="20"/>
        </w:rPr>
        <w:t>simply an extra</w:t>
      </w:r>
      <w:r>
        <w:rPr>
          <w:rFonts w:ascii="Arial" w:hAnsi="Arial" w:cs="Arial"/>
          <w:sz w:val="20"/>
          <w:szCs w:val="20"/>
        </w:rPr>
        <w:t xml:space="preserve"> tax on workers and is not supported by the ATA. </w:t>
      </w:r>
    </w:p>
    <w:p w:rsidR="00D01BB4" w:rsidRPr="00915339" w:rsidRDefault="00D01BB4" w:rsidP="00D01BB4">
      <w:pPr>
        <w:rPr>
          <w:rFonts w:ascii="Arial" w:hAnsi="Arial" w:cs="Arial"/>
          <w:sz w:val="20"/>
          <w:szCs w:val="20"/>
        </w:rPr>
      </w:pPr>
    </w:p>
    <w:p w:rsidR="00EE6CA1" w:rsidRDefault="00EE6CA1" w:rsidP="00D01BB4">
      <w:pPr>
        <w:pStyle w:val="RecommendationStyle"/>
        <w:spacing w:before="0" w:after="0"/>
      </w:pPr>
    </w:p>
    <w:p w:rsidR="00D01BB4" w:rsidRDefault="00D01BB4" w:rsidP="00D01BB4">
      <w:pPr>
        <w:rPr>
          <w:rFonts w:ascii="Arial" w:hAnsi="Arial" w:cs="Arial"/>
          <w:b/>
          <w:i/>
          <w:sz w:val="20"/>
          <w:szCs w:val="20"/>
        </w:rPr>
      </w:pPr>
    </w:p>
    <w:p w:rsidR="00680EE4" w:rsidRDefault="00D01BB4" w:rsidP="00D01BB4">
      <w:pPr>
        <w:rPr>
          <w:rFonts w:ascii="Arial" w:hAnsi="Arial" w:cs="Arial"/>
          <w:b/>
          <w:i/>
          <w:sz w:val="20"/>
          <w:szCs w:val="20"/>
        </w:rPr>
      </w:pPr>
      <w:r w:rsidRPr="00D01BB4">
        <w:rPr>
          <w:rFonts w:ascii="Arial" w:hAnsi="Arial" w:cs="Arial"/>
          <w:b/>
          <w:i/>
          <w:sz w:val="20"/>
          <w:szCs w:val="20"/>
        </w:rPr>
        <w:t>The ATA recommends that no congestion charging should be introduced in Australia</w:t>
      </w:r>
      <w:r>
        <w:rPr>
          <w:rFonts w:ascii="Arial" w:hAnsi="Arial" w:cs="Arial"/>
          <w:b/>
          <w:i/>
          <w:sz w:val="20"/>
          <w:szCs w:val="20"/>
        </w:rPr>
        <w:t>.</w:t>
      </w:r>
    </w:p>
    <w:p w:rsidR="00D01BB4" w:rsidRDefault="00D01BB4" w:rsidP="00D01BB4">
      <w:pPr>
        <w:rPr>
          <w:rFonts w:ascii="Arial" w:hAnsi="Arial" w:cs="Arial"/>
          <w:b/>
          <w:i/>
          <w:sz w:val="20"/>
          <w:szCs w:val="20"/>
        </w:rPr>
      </w:pPr>
    </w:p>
    <w:p w:rsidR="00046023" w:rsidRDefault="00046023" w:rsidP="00D01BB4">
      <w:pPr>
        <w:pStyle w:val="RecommendationStyle"/>
        <w:spacing w:before="0" w:after="0"/>
      </w:pPr>
    </w:p>
    <w:p w:rsidR="00D01BB4" w:rsidRDefault="00D01BB4" w:rsidP="00D01BB4">
      <w:pPr>
        <w:pStyle w:val="RecommendationStyle"/>
        <w:numPr>
          <w:ilvl w:val="0"/>
          <w:numId w:val="0"/>
        </w:numPr>
        <w:spacing w:before="0" w:after="0"/>
      </w:pPr>
    </w:p>
    <w:p w:rsidR="00D01BB4" w:rsidRPr="00485B3B" w:rsidRDefault="00D01BB4" w:rsidP="00D01BB4">
      <w:pPr>
        <w:pStyle w:val="RecommendationStyle"/>
        <w:numPr>
          <w:ilvl w:val="0"/>
          <w:numId w:val="0"/>
        </w:numPr>
        <w:spacing w:before="0" w:after="0"/>
      </w:pPr>
      <w:r w:rsidRPr="00485B3B">
        <w:t xml:space="preserve">The NTC should seek to improve public transports efficiency, frequency and cost-efficiency for residents in cities in order to alleviate congestion.  </w:t>
      </w:r>
    </w:p>
    <w:p w:rsidR="00EE6CA1" w:rsidRDefault="00EE6CA1" w:rsidP="00D01BB4">
      <w:pPr>
        <w:rPr>
          <w:rFonts w:ascii="Arial" w:hAnsi="Arial" w:cs="Arial"/>
          <w:sz w:val="20"/>
          <w:szCs w:val="20"/>
        </w:rPr>
      </w:pPr>
    </w:p>
    <w:p w:rsidR="00EE6CA1" w:rsidRDefault="00EE6CA1" w:rsidP="00D01BB4">
      <w:pPr>
        <w:rPr>
          <w:rFonts w:ascii="Arial" w:hAnsi="Arial" w:cs="Arial"/>
          <w:sz w:val="20"/>
          <w:szCs w:val="20"/>
        </w:rPr>
      </w:pPr>
    </w:p>
    <w:p w:rsidR="00313CBE" w:rsidRPr="00972601" w:rsidRDefault="000D0F12" w:rsidP="00D01BB4">
      <w:pPr>
        <w:pStyle w:val="Heading1"/>
      </w:pPr>
      <w:bookmarkStart w:id="57" w:name="_Toc306363316"/>
      <w:r w:rsidRPr="00972601">
        <w:t>Concerns over NTC focus: goal displacement</w:t>
      </w:r>
      <w:bookmarkEnd w:id="57"/>
    </w:p>
    <w:p w:rsidR="003D0FFB" w:rsidRDefault="003D0FFB" w:rsidP="00D01BB4">
      <w:pPr>
        <w:rPr>
          <w:rFonts w:ascii="Arial" w:hAnsi="Arial" w:cs="Arial"/>
          <w:sz w:val="20"/>
          <w:szCs w:val="20"/>
        </w:rPr>
      </w:pPr>
    </w:p>
    <w:p w:rsidR="00DD4D2B" w:rsidRDefault="003D0FFB" w:rsidP="00D01BB4">
      <w:pPr>
        <w:rPr>
          <w:rFonts w:ascii="Arial" w:hAnsi="Arial" w:cs="Arial"/>
          <w:sz w:val="20"/>
          <w:szCs w:val="20"/>
        </w:rPr>
      </w:pPr>
      <w:r>
        <w:rPr>
          <w:rFonts w:ascii="Arial" w:hAnsi="Arial" w:cs="Arial"/>
          <w:sz w:val="20"/>
          <w:szCs w:val="20"/>
        </w:rPr>
        <w:t xml:space="preserve">The ATA has concerns that the NTC is aiming to cover too </w:t>
      </w:r>
      <w:r w:rsidR="00B46499">
        <w:rPr>
          <w:rFonts w:ascii="Arial" w:hAnsi="Arial" w:cs="Arial"/>
          <w:sz w:val="20"/>
          <w:szCs w:val="20"/>
        </w:rPr>
        <w:t xml:space="preserve">much </w:t>
      </w:r>
      <w:r>
        <w:rPr>
          <w:rFonts w:ascii="Arial" w:hAnsi="Arial" w:cs="Arial"/>
          <w:sz w:val="20"/>
          <w:szCs w:val="20"/>
        </w:rPr>
        <w:t>in this discussion paper. While many of the above areas of focus are legitimate</w:t>
      </w:r>
      <w:r w:rsidR="00046023">
        <w:rPr>
          <w:rFonts w:ascii="Arial" w:hAnsi="Arial" w:cs="Arial"/>
          <w:sz w:val="20"/>
          <w:szCs w:val="20"/>
        </w:rPr>
        <w:t>,</w:t>
      </w:r>
      <w:r>
        <w:rPr>
          <w:rFonts w:ascii="Arial" w:hAnsi="Arial" w:cs="Arial"/>
          <w:sz w:val="20"/>
          <w:szCs w:val="20"/>
        </w:rPr>
        <w:t xml:space="preserve"> </w:t>
      </w:r>
      <w:r w:rsidR="00046023">
        <w:rPr>
          <w:rFonts w:ascii="Arial" w:hAnsi="Arial" w:cs="Arial"/>
          <w:sz w:val="20"/>
          <w:szCs w:val="20"/>
        </w:rPr>
        <w:t>work</w:t>
      </w:r>
      <w:r>
        <w:rPr>
          <w:rFonts w:ascii="Arial" w:hAnsi="Arial" w:cs="Arial"/>
          <w:sz w:val="20"/>
          <w:szCs w:val="20"/>
        </w:rPr>
        <w:t xml:space="preserve"> </w:t>
      </w:r>
      <w:r w:rsidR="00A43A93">
        <w:rPr>
          <w:rFonts w:ascii="Arial" w:hAnsi="Arial" w:cs="Arial"/>
          <w:sz w:val="20"/>
          <w:szCs w:val="20"/>
        </w:rPr>
        <w:t>which</w:t>
      </w:r>
      <w:r w:rsidR="000D0F12">
        <w:rPr>
          <w:rFonts w:ascii="Arial" w:hAnsi="Arial" w:cs="Arial"/>
          <w:sz w:val="20"/>
          <w:szCs w:val="20"/>
        </w:rPr>
        <w:t xml:space="preserve"> </w:t>
      </w:r>
      <w:r>
        <w:rPr>
          <w:rFonts w:ascii="Arial" w:hAnsi="Arial" w:cs="Arial"/>
          <w:sz w:val="20"/>
          <w:szCs w:val="20"/>
        </w:rPr>
        <w:t>is focused on topics du jour such as ob</w:t>
      </w:r>
      <w:r w:rsidR="000D0F12">
        <w:rPr>
          <w:rFonts w:ascii="Arial" w:hAnsi="Arial" w:cs="Arial"/>
          <w:sz w:val="20"/>
          <w:szCs w:val="20"/>
        </w:rPr>
        <w:t>esity and social exclusion pulls attention away from the serious topics the NTC should be addressing. T</w:t>
      </w:r>
      <w:r w:rsidR="00DD4D2B">
        <w:rPr>
          <w:rFonts w:ascii="Arial" w:hAnsi="Arial" w:cs="Arial"/>
          <w:sz w:val="20"/>
          <w:szCs w:val="20"/>
        </w:rPr>
        <w:t xml:space="preserve">he transport system is not directly responsible </w:t>
      </w:r>
      <w:r w:rsidR="00B46499">
        <w:rPr>
          <w:rFonts w:ascii="Arial" w:hAnsi="Arial" w:cs="Arial"/>
          <w:sz w:val="20"/>
          <w:szCs w:val="20"/>
        </w:rPr>
        <w:t>for</w:t>
      </w:r>
      <w:r w:rsidR="000D0F12">
        <w:rPr>
          <w:rFonts w:ascii="Arial" w:hAnsi="Arial" w:cs="Arial"/>
          <w:sz w:val="20"/>
          <w:szCs w:val="20"/>
        </w:rPr>
        <w:t xml:space="preserve"> these secondary issues</w:t>
      </w:r>
      <w:r w:rsidR="00DD4D2B">
        <w:rPr>
          <w:rFonts w:ascii="Arial" w:hAnsi="Arial" w:cs="Arial"/>
          <w:sz w:val="20"/>
          <w:szCs w:val="20"/>
        </w:rPr>
        <w:t xml:space="preserve"> and cannot solve</w:t>
      </w:r>
      <w:r w:rsidR="000D0F12">
        <w:rPr>
          <w:rFonts w:ascii="Arial" w:hAnsi="Arial" w:cs="Arial"/>
          <w:sz w:val="20"/>
          <w:szCs w:val="20"/>
        </w:rPr>
        <w:t xml:space="preserve"> them</w:t>
      </w:r>
      <w:r w:rsidR="00DD4D2B">
        <w:rPr>
          <w:rFonts w:ascii="Arial" w:hAnsi="Arial" w:cs="Arial"/>
          <w:sz w:val="20"/>
          <w:szCs w:val="20"/>
        </w:rPr>
        <w:t>.</w:t>
      </w:r>
      <w:r w:rsidR="000D0F12">
        <w:rPr>
          <w:rFonts w:ascii="Arial" w:hAnsi="Arial" w:cs="Arial"/>
          <w:sz w:val="20"/>
          <w:szCs w:val="20"/>
        </w:rPr>
        <w:t xml:space="preserve"> </w:t>
      </w:r>
      <w:r w:rsidR="00B46499">
        <w:rPr>
          <w:rFonts w:ascii="Arial" w:hAnsi="Arial" w:cs="Arial"/>
          <w:sz w:val="20"/>
          <w:szCs w:val="20"/>
        </w:rPr>
        <w:t xml:space="preserve">Indeed it could be argued that some these issues, specifically physical inactivity, are not issues that need concern governments at all. </w:t>
      </w:r>
    </w:p>
    <w:p w:rsidR="00DD4D2B" w:rsidRDefault="00DD4D2B" w:rsidP="00D01BB4">
      <w:pPr>
        <w:rPr>
          <w:rFonts w:ascii="Arial" w:hAnsi="Arial" w:cs="Arial"/>
          <w:sz w:val="20"/>
          <w:szCs w:val="20"/>
        </w:rPr>
      </w:pPr>
    </w:p>
    <w:p w:rsidR="00DD4D2B" w:rsidRPr="00F35F90" w:rsidRDefault="00945B87" w:rsidP="00D01BB4">
      <w:pPr>
        <w:rPr>
          <w:rFonts w:ascii="Arial" w:hAnsi="Arial" w:cs="Arial"/>
          <w:i/>
          <w:sz w:val="20"/>
          <w:szCs w:val="20"/>
        </w:rPr>
      </w:pPr>
      <w:r w:rsidRPr="00F35F90">
        <w:rPr>
          <w:rFonts w:ascii="Arial" w:hAnsi="Arial" w:cs="Arial"/>
          <w:i/>
          <w:sz w:val="20"/>
          <w:szCs w:val="20"/>
        </w:rPr>
        <w:t xml:space="preserve">Climate change and air pollution </w:t>
      </w:r>
    </w:p>
    <w:p w:rsidR="00945B87" w:rsidRDefault="00945B87" w:rsidP="00D01BB4">
      <w:pPr>
        <w:rPr>
          <w:rFonts w:ascii="Arial" w:hAnsi="Arial" w:cs="Arial"/>
          <w:sz w:val="20"/>
          <w:szCs w:val="20"/>
        </w:rPr>
      </w:pPr>
    </w:p>
    <w:p w:rsidR="00B46499" w:rsidRDefault="00B46499" w:rsidP="00D01BB4">
      <w:pPr>
        <w:rPr>
          <w:rFonts w:ascii="Arial" w:hAnsi="Arial" w:cs="Arial"/>
          <w:sz w:val="20"/>
          <w:szCs w:val="20"/>
        </w:rPr>
      </w:pPr>
      <w:r>
        <w:rPr>
          <w:rFonts w:ascii="Arial" w:hAnsi="Arial" w:cs="Arial"/>
          <w:sz w:val="20"/>
          <w:szCs w:val="20"/>
        </w:rPr>
        <w:t>The Australian Government’s approach to cl</w:t>
      </w:r>
      <w:r w:rsidR="008B726C">
        <w:rPr>
          <w:rFonts w:ascii="Arial" w:hAnsi="Arial" w:cs="Arial"/>
          <w:sz w:val="20"/>
          <w:szCs w:val="20"/>
        </w:rPr>
        <w:t>imate change is set out in its Clean Energy Future P</w:t>
      </w:r>
      <w:r>
        <w:rPr>
          <w:rFonts w:ascii="Arial" w:hAnsi="Arial" w:cs="Arial"/>
          <w:sz w:val="20"/>
          <w:szCs w:val="20"/>
        </w:rPr>
        <w:t xml:space="preserve">lan, which includes imposing an effective carbon price on heavy road transport from </w:t>
      </w:r>
      <w:r w:rsidR="00A43A93">
        <w:rPr>
          <w:rFonts w:ascii="Arial" w:hAnsi="Arial" w:cs="Arial"/>
          <w:sz w:val="20"/>
          <w:szCs w:val="20"/>
        </w:rPr>
        <w:t xml:space="preserve">the </w:t>
      </w:r>
      <w:r>
        <w:rPr>
          <w:rFonts w:ascii="Arial" w:hAnsi="Arial" w:cs="Arial"/>
          <w:sz w:val="20"/>
          <w:szCs w:val="20"/>
        </w:rPr>
        <w:t>1st July 2014.</w:t>
      </w:r>
      <w:r w:rsidR="008B726C">
        <w:rPr>
          <w:rFonts w:ascii="Arial" w:hAnsi="Arial" w:cs="Arial"/>
          <w:sz w:val="20"/>
          <w:szCs w:val="20"/>
        </w:rPr>
        <w:t xml:space="preserve"> </w:t>
      </w:r>
      <w:r>
        <w:rPr>
          <w:rFonts w:ascii="Arial" w:hAnsi="Arial" w:cs="Arial"/>
          <w:sz w:val="20"/>
          <w:szCs w:val="20"/>
        </w:rPr>
        <w:t xml:space="preserve">The regulatory constraints on </w:t>
      </w:r>
      <w:r w:rsidR="00A43A93">
        <w:rPr>
          <w:rFonts w:ascii="Arial" w:hAnsi="Arial" w:cs="Arial"/>
          <w:sz w:val="20"/>
          <w:szCs w:val="20"/>
        </w:rPr>
        <w:t>heavy vehicle</w:t>
      </w:r>
      <w:r>
        <w:rPr>
          <w:rFonts w:ascii="Arial" w:hAnsi="Arial" w:cs="Arial"/>
          <w:sz w:val="20"/>
          <w:szCs w:val="20"/>
        </w:rPr>
        <w:t xml:space="preserve"> operators mean it will be difficult for the industry to reduce its fuel consumption and increase it</w:t>
      </w:r>
      <w:r w:rsidR="008B726C">
        <w:rPr>
          <w:rFonts w:ascii="Arial" w:hAnsi="Arial" w:cs="Arial"/>
          <w:sz w:val="20"/>
          <w:szCs w:val="20"/>
        </w:rPr>
        <w:t>s</w:t>
      </w:r>
      <w:r>
        <w:rPr>
          <w:rFonts w:ascii="Arial" w:hAnsi="Arial" w:cs="Arial"/>
          <w:sz w:val="20"/>
          <w:szCs w:val="20"/>
        </w:rPr>
        <w:t xml:space="preserve"> productivity to </w:t>
      </w:r>
      <w:r w:rsidR="008B726C">
        <w:rPr>
          <w:rFonts w:ascii="Arial" w:hAnsi="Arial" w:cs="Arial"/>
          <w:sz w:val="20"/>
          <w:szCs w:val="20"/>
        </w:rPr>
        <w:t>deal with</w:t>
      </w:r>
      <w:r>
        <w:rPr>
          <w:rFonts w:ascii="Arial" w:hAnsi="Arial" w:cs="Arial"/>
          <w:sz w:val="20"/>
          <w:szCs w:val="20"/>
        </w:rPr>
        <w:t xml:space="preserve"> the effective carbon price; it will also be difficult for </w:t>
      </w:r>
      <w:r w:rsidR="00A43A93">
        <w:rPr>
          <w:rFonts w:ascii="Arial" w:hAnsi="Arial" w:cs="Arial"/>
          <w:sz w:val="20"/>
          <w:szCs w:val="20"/>
        </w:rPr>
        <w:t>heavy vehicle</w:t>
      </w:r>
      <w:r>
        <w:rPr>
          <w:rFonts w:ascii="Arial" w:hAnsi="Arial" w:cs="Arial"/>
          <w:sz w:val="20"/>
          <w:szCs w:val="20"/>
        </w:rPr>
        <w:t xml:space="preserve"> businesses to pass the carbon price on</w:t>
      </w:r>
      <w:r w:rsidR="008B726C">
        <w:rPr>
          <w:rFonts w:ascii="Arial" w:hAnsi="Arial" w:cs="Arial"/>
          <w:sz w:val="20"/>
          <w:szCs w:val="20"/>
        </w:rPr>
        <w:t xml:space="preserve"> to customers</w:t>
      </w:r>
      <w:r>
        <w:rPr>
          <w:rFonts w:ascii="Arial" w:hAnsi="Arial" w:cs="Arial"/>
          <w:sz w:val="20"/>
          <w:szCs w:val="20"/>
        </w:rPr>
        <w:t xml:space="preserve">. </w:t>
      </w:r>
    </w:p>
    <w:p w:rsidR="00B46499" w:rsidRDefault="00B46499" w:rsidP="00D01BB4">
      <w:pPr>
        <w:rPr>
          <w:rFonts w:ascii="Arial" w:hAnsi="Arial" w:cs="Arial"/>
          <w:sz w:val="20"/>
          <w:szCs w:val="20"/>
        </w:rPr>
      </w:pPr>
    </w:p>
    <w:p w:rsidR="00B46499" w:rsidRDefault="00B46499" w:rsidP="00D01BB4">
      <w:pPr>
        <w:rPr>
          <w:rFonts w:ascii="Arial" w:hAnsi="Arial" w:cs="Arial"/>
          <w:sz w:val="20"/>
          <w:szCs w:val="20"/>
        </w:rPr>
      </w:pPr>
      <w:r>
        <w:rPr>
          <w:rFonts w:ascii="Arial" w:hAnsi="Arial" w:cs="Arial"/>
          <w:sz w:val="20"/>
          <w:szCs w:val="20"/>
        </w:rPr>
        <w:t>Rather than speculating about the need for transformational changes to the transport system and conducting surveys, the NTC should focus in this are on achieving tangi</w:t>
      </w:r>
      <w:r w:rsidR="008B726C">
        <w:rPr>
          <w:rFonts w:ascii="Arial" w:hAnsi="Arial" w:cs="Arial"/>
          <w:sz w:val="20"/>
          <w:szCs w:val="20"/>
        </w:rPr>
        <w:t>ble</w:t>
      </w:r>
      <w:r w:rsidR="00227365">
        <w:rPr>
          <w:rFonts w:ascii="Arial" w:hAnsi="Arial" w:cs="Arial"/>
          <w:sz w:val="20"/>
          <w:szCs w:val="20"/>
        </w:rPr>
        <w:t>,</w:t>
      </w:r>
      <w:r w:rsidR="004915BE">
        <w:rPr>
          <w:rFonts w:ascii="Arial" w:hAnsi="Arial" w:cs="Arial"/>
          <w:sz w:val="20"/>
          <w:szCs w:val="20"/>
        </w:rPr>
        <w:t xml:space="preserve"> </w:t>
      </w:r>
      <w:r w:rsidR="00227365">
        <w:rPr>
          <w:rFonts w:ascii="Arial" w:hAnsi="Arial" w:cs="Arial"/>
          <w:sz w:val="20"/>
          <w:szCs w:val="20"/>
        </w:rPr>
        <w:t xml:space="preserve">incremental </w:t>
      </w:r>
      <w:r>
        <w:rPr>
          <w:rFonts w:ascii="Arial" w:hAnsi="Arial" w:cs="Arial"/>
          <w:sz w:val="20"/>
          <w:szCs w:val="20"/>
        </w:rPr>
        <w:t xml:space="preserve">reforms to regulation that will help </w:t>
      </w:r>
      <w:r w:rsidR="00A43A93">
        <w:rPr>
          <w:rFonts w:ascii="Arial" w:hAnsi="Arial" w:cs="Arial"/>
          <w:sz w:val="20"/>
          <w:szCs w:val="20"/>
        </w:rPr>
        <w:t>heavy vehicle</w:t>
      </w:r>
      <w:r>
        <w:rPr>
          <w:rFonts w:ascii="Arial" w:hAnsi="Arial" w:cs="Arial"/>
          <w:sz w:val="20"/>
          <w:szCs w:val="20"/>
        </w:rPr>
        <w:t xml:space="preserve"> </w:t>
      </w:r>
      <w:r w:rsidR="00A43A93">
        <w:rPr>
          <w:rFonts w:ascii="Arial" w:hAnsi="Arial" w:cs="Arial"/>
          <w:sz w:val="20"/>
          <w:szCs w:val="20"/>
        </w:rPr>
        <w:t>operators</w:t>
      </w:r>
      <w:r>
        <w:rPr>
          <w:rFonts w:ascii="Arial" w:hAnsi="Arial" w:cs="Arial"/>
          <w:sz w:val="20"/>
          <w:szCs w:val="20"/>
        </w:rPr>
        <w:t xml:space="preserve"> increase their fuel efficiency by increasing their productivity. </w:t>
      </w:r>
    </w:p>
    <w:p w:rsidR="00945B87" w:rsidRDefault="00945B87" w:rsidP="00D01BB4">
      <w:pPr>
        <w:rPr>
          <w:rFonts w:ascii="Arial" w:hAnsi="Arial" w:cs="Arial"/>
          <w:sz w:val="20"/>
          <w:szCs w:val="20"/>
        </w:rPr>
      </w:pPr>
    </w:p>
    <w:p w:rsidR="00945B87" w:rsidRPr="00F35F90" w:rsidRDefault="00945B87" w:rsidP="00D01BB4">
      <w:pPr>
        <w:rPr>
          <w:rFonts w:ascii="Arial" w:hAnsi="Arial" w:cs="Arial"/>
          <w:i/>
          <w:sz w:val="20"/>
          <w:szCs w:val="20"/>
        </w:rPr>
      </w:pPr>
      <w:r w:rsidRPr="00F35F90">
        <w:rPr>
          <w:rFonts w:ascii="Arial" w:hAnsi="Arial" w:cs="Arial"/>
          <w:i/>
          <w:sz w:val="20"/>
          <w:szCs w:val="20"/>
        </w:rPr>
        <w:t xml:space="preserve">Social exclusion </w:t>
      </w:r>
    </w:p>
    <w:p w:rsidR="00945B87" w:rsidRDefault="00945B87" w:rsidP="00D01BB4">
      <w:pPr>
        <w:rPr>
          <w:rFonts w:ascii="Arial" w:hAnsi="Arial" w:cs="Arial"/>
          <w:sz w:val="20"/>
          <w:szCs w:val="20"/>
        </w:rPr>
      </w:pPr>
    </w:p>
    <w:p w:rsidR="00945B87" w:rsidRDefault="008B726C" w:rsidP="00D01BB4">
      <w:pPr>
        <w:rPr>
          <w:rFonts w:ascii="Arial" w:hAnsi="Arial" w:cs="Arial"/>
          <w:sz w:val="20"/>
          <w:szCs w:val="20"/>
        </w:rPr>
      </w:pPr>
      <w:r>
        <w:rPr>
          <w:rFonts w:ascii="Arial" w:hAnsi="Arial" w:cs="Arial"/>
          <w:sz w:val="20"/>
          <w:szCs w:val="20"/>
        </w:rPr>
        <w:t>Public transport providers sh</w:t>
      </w:r>
      <w:r w:rsidR="000D0F12">
        <w:rPr>
          <w:rFonts w:ascii="Arial" w:hAnsi="Arial" w:cs="Arial"/>
          <w:sz w:val="20"/>
          <w:szCs w:val="20"/>
        </w:rPr>
        <w:t xml:space="preserve">ould </w:t>
      </w:r>
      <w:r w:rsidR="000063FF">
        <w:rPr>
          <w:rFonts w:ascii="Arial" w:hAnsi="Arial" w:cs="Arial"/>
          <w:sz w:val="20"/>
          <w:szCs w:val="20"/>
        </w:rPr>
        <w:t>supply</w:t>
      </w:r>
      <w:r w:rsidR="00945B87">
        <w:rPr>
          <w:rFonts w:ascii="Arial" w:hAnsi="Arial" w:cs="Arial"/>
          <w:sz w:val="20"/>
          <w:szCs w:val="20"/>
        </w:rPr>
        <w:t xml:space="preserve"> sufficient public transpo</w:t>
      </w:r>
      <w:r w:rsidR="000D0F12">
        <w:rPr>
          <w:rFonts w:ascii="Arial" w:hAnsi="Arial" w:cs="Arial"/>
          <w:sz w:val="20"/>
          <w:szCs w:val="20"/>
        </w:rPr>
        <w:t>rt to support communities not</w:t>
      </w:r>
      <w:r w:rsidR="00945B87">
        <w:rPr>
          <w:rFonts w:ascii="Arial" w:hAnsi="Arial" w:cs="Arial"/>
          <w:sz w:val="20"/>
          <w:szCs w:val="20"/>
        </w:rPr>
        <w:t xml:space="preserve"> act as social services. </w:t>
      </w:r>
    </w:p>
    <w:p w:rsidR="00C25D26" w:rsidRDefault="00C25D26" w:rsidP="00D01BB4">
      <w:pPr>
        <w:rPr>
          <w:rFonts w:ascii="Arial" w:hAnsi="Arial" w:cs="Arial"/>
          <w:sz w:val="20"/>
          <w:szCs w:val="20"/>
        </w:rPr>
      </w:pPr>
    </w:p>
    <w:p w:rsidR="00C25D26" w:rsidRPr="00F35F90" w:rsidRDefault="00C25D26" w:rsidP="00D01BB4">
      <w:pPr>
        <w:rPr>
          <w:rFonts w:ascii="Arial" w:hAnsi="Arial" w:cs="Arial"/>
          <w:i/>
          <w:sz w:val="20"/>
          <w:szCs w:val="20"/>
        </w:rPr>
      </w:pPr>
      <w:r w:rsidRPr="00F35F90">
        <w:rPr>
          <w:rFonts w:ascii="Arial" w:hAnsi="Arial" w:cs="Arial"/>
          <w:i/>
          <w:sz w:val="20"/>
          <w:szCs w:val="20"/>
        </w:rPr>
        <w:t xml:space="preserve">Physical inactivity and obesity </w:t>
      </w:r>
    </w:p>
    <w:p w:rsidR="00C25D26" w:rsidRDefault="00C25D26" w:rsidP="00D01BB4">
      <w:pPr>
        <w:rPr>
          <w:rFonts w:ascii="Arial" w:hAnsi="Arial" w:cs="Arial"/>
          <w:sz w:val="20"/>
          <w:szCs w:val="20"/>
        </w:rPr>
      </w:pPr>
    </w:p>
    <w:p w:rsidR="00C25D26" w:rsidRDefault="00C25D26" w:rsidP="00D01BB4">
      <w:pPr>
        <w:rPr>
          <w:rFonts w:ascii="Arial" w:hAnsi="Arial" w:cs="Arial"/>
          <w:sz w:val="20"/>
          <w:szCs w:val="20"/>
        </w:rPr>
      </w:pPr>
      <w:r>
        <w:rPr>
          <w:rFonts w:ascii="Arial" w:hAnsi="Arial" w:cs="Arial"/>
          <w:sz w:val="20"/>
          <w:szCs w:val="20"/>
        </w:rPr>
        <w:t>Making travel more inconvenient just in order to improve the</w:t>
      </w:r>
      <w:r w:rsidR="000063FF">
        <w:rPr>
          <w:rFonts w:ascii="Arial" w:hAnsi="Arial" w:cs="Arial"/>
          <w:sz w:val="20"/>
          <w:szCs w:val="20"/>
        </w:rPr>
        <w:t xml:space="preserve"> possibility </w:t>
      </w:r>
      <w:r w:rsidR="008B726C">
        <w:rPr>
          <w:rFonts w:ascii="Arial" w:hAnsi="Arial" w:cs="Arial"/>
          <w:sz w:val="20"/>
          <w:szCs w:val="20"/>
        </w:rPr>
        <w:t>people will be active is absurd</w:t>
      </w:r>
      <w:r>
        <w:rPr>
          <w:rFonts w:ascii="Arial" w:hAnsi="Arial" w:cs="Arial"/>
          <w:sz w:val="20"/>
          <w:szCs w:val="20"/>
        </w:rPr>
        <w:t xml:space="preserve"> and should not be a</w:t>
      </w:r>
      <w:r w:rsidR="008572CC">
        <w:rPr>
          <w:rFonts w:ascii="Arial" w:hAnsi="Arial" w:cs="Arial"/>
          <w:sz w:val="20"/>
          <w:szCs w:val="20"/>
        </w:rPr>
        <w:t xml:space="preserve"> future</w:t>
      </w:r>
      <w:r>
        <w:rPr>
          <w:rFonts w:ascii="Arial" w:hAnsi="Arial" w:cs="Arial"/>
          <w:sz w:val="20"/>
          <w:szCs w:val="20"/>
        </w:rPr>
        <w:t xml:space="preserve"> principle of </w:t>
      </w:r>
      <w:r w:rsidR="008B726C">
        <w:rPr>
          <w:rFonts w:ascii="Arial" w:hAnsi="Arial" w:cs="Arial"/>
          <w:sz w:val="20"/>
          <w:szCs w:val="20"/>
        </w:rPr>
        <w:t>transport policy</w:t>
      </w:r>
      <w:r>
        <w:rPr>
          <w:rFonts w:ascii="Arial" w:hAnsi="Arial" w:cs="Arial"/>
          <w:sz w:val="20"/>
          <w:szCs w:val="20"/>
        </w:rPr>
        <w:t xml:space="preserve">. </w:t>
      </w:r>
    </w:p>
    <w:p w:rsidR="00915339" w:rsidRDefault="00915339" w:rsidP="00D01BB4">
      <w:pPr>
        <w:rPr>
          <w:rFonts w:ascii="Arial" w:hAnsi="Arial" w:cs="Arial"/>
          <w:sz w:val="20"/>
          <w:szCs w:val="20"/>
        </w:rPr>
      </w:pPr>
    </w:p>
    <w:p w:rsidR="00DA2390" w:rsidRDefault="000B6930" w:rsidP="00D01BB4">
      <w:pPr>
        <w:rPr>
          <w:rFonts w:ascii="Arial" w:hAnsi="Arial" w:cs="Arial"/>
          <w:sz w:val="20"/>
          <w:szCs w:val="20"/>
        </w:rPr>
      </w:pPr>
      <w:r>
        <w:rPr>
          <w:rFonts w:ascii="Arial" w:hAnsi="Arial" w:cs="Arial"/>
          <w:sz w:val="20"/>
          <w:szCs w:val="20"/>
        </w:rPr>
        <w:t>The theoretical considerations the NTC discusses in chapter 3 are not relevant to providing an efficient transport system. The issues discussed are not helpful for planners as giving them a range of social factors to consider</w:t>
      </w:r>
      <w:r w:rsidR="00E943DB">
        <w:rPr>
          <w:rFonts w:ascii="Arial" w:hAnsi="Arial" w:cs="Arial"/>
          <w:sz w:val="20"/>
          <w:szCs w:val="20"/>
        </w:rPr>
        <w:t xml:space="preserve"> along with improving best practice</w:t>
      </w:r>
      <w:r w:rsidR="00773BD5">
        <w:rPr>
          <w:rFonts w:ascii="Arial" w:hAnsi="Arial" w:cs="Arial"/>
          <w:sz w:val="20"/>
          <w:szCs w:val="20"/>
        </w:rPr>
        <w:t xml:space="preserve">, </w:t>
      </w:r>
      <w:r>
        <w:rPr>
          <w:rFonts w:ascii="Arial" w:hAnsi="Arial" w:cs="Arial"/>
          <w:sz w:val="20"/>
          <w:szCs w:val="20"/>
        </w:rPr>
        <w:t>will cause further strain on the goals of what infrastructure is to provide. The following are things the NTC suggested that people want from transport:</w:t>
      </w:r>
    </w:p>
    <w:p w:rsidR="000B6930" w:rsidRDefault="00DA2390" w:rsidP="00D01BB4">
      <w:pPr>
        <w:rPr>
          <w:rFonts w:ascii="Arial" w:hAnsi="Arial" w:cs="Arial"/>
          <w:sz w:val="20"/>
          <w:szCs w:val="20"/>
        </w:rPr>
      </w:pPr>
      <w:r>
        <w:rPr>
          <w:rFonts w:ascii="Arial" w:hAnsi="Arial" w:cs="Arial"/>
          <w:sz w:val="20"/>
          <w:szCs w:val="20"/>
        </w:rPr>
        <w:br w:type="page"/>
      </w:r>
    </w:p>
    <w:p w:rsidR="000B6930" w:rsidRDefault="000B6930" w:rsidP="00E92888">
      <w:pPr>
        <w:pStyle w:val="ListParagraph"/>
        <w:numPr>
          <w:ilvl w:val="0"/>
          <w:numId w:val="4"/>
        </w:numPr>
        <w:spacing w:after="0" w:line="240" w:lineRule="auto"/>
        <w:rPr>
          <w:rFonts w:ascii="Arial" w:hAnsi="Arial" w:cs="Arial"/>
          <w:sz w:val="20"/>
          <w:szCs w:val="20"/>
        </w:rPr>
      </w:pPr>
      <w:r>
        <w:rPr>
          <w:rFonts w:ascii="Arial" w:hAnsi="Arial" w:cs="Arial"/>
          <w:sz w:val="20"/>
          <w:szCs w:val="20"/>
        </w:rPr>
        <w:lastRenderedPageBreak/>
        <w:t xml:space="preserve">A strong and smart economy </w:t>
      </w:r>
      <w:r w:rsidR="00526B84">
        <w:rPr>
          <w:rFonts w:ascii="Arial" w:hAnsi="Arial" w:cs="Arial"/>
          <w:sz w:val="20"/>
          <w:szCs w:val="20"/>
        </w:rPr>
        <w:t>– support productivity</w:t>
      </w:r>
      <w:r w:rsidR="00E943DB">
        <w:rPr>
          <w:rFonts w:ascii="Arial" w:hAnsi="Arial" w:cs="Arial"/>
          <w:sz w:val="20"/>
          <w:szCs w:val="20"/>
        </w:rPr>
        <w:t xml:space="preserve"> through infrastructure</w:t>
      </w:r>
      <w:r w:rsidR="00F2010A">
        <w:rPr>
          <w:rFonts w:ascii="Arial" w:hAnsi="Arial" w:cs="Arial"/>
          <w:sz w:val="20"/>
          <w:szCs w:val="20"/>
        </w:rPr>
        <w:t>. T</w:t>
      </w:r>
      <w:r w:rsidR="00526B84">
        <w:rPr>
          <w:rFonts w:ascii="Arial" w:hAnsi="Arial" w:cs="Arial"/>
          <w:sz w:val="20"/>
          <w:szCs w:val="20"/>
        </w:rPr>
        <w:t xml:space="preserve">his is a far simpler goal. </w:t>
      </w:r>
    </w:p>
    <w:p w:rsidR="000B6930" w:rsidRDefault="000B6930" w:rsidP="00E92888">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Liveability </w:t>
      </w:r>
      <w:r w:rsidR="00E45D6D">
        <w:rPr>
          <w:rFonts w:ascii="Arial" w:hAnsi="Arial" w:cs="Arial"/>
          <w:sz w:val="20"/>
          <w:szCs w:val="20"/>
        </w:rPr>
        <w:t>– Provide efficient public trans</w:t>
      </w:r>
      <w:r w:rsidR="00E943DB">
        <w:rPr>
          <w:rFonts w:ascii="Arial" w:hAnsi="Arial" w:cs="Arial"/>
          <w:sz w:val="20"/>
          <w:szCs w:val="20"/>
        </w:rPr>
        <w:t xml:space="preserve">port and well maintained roads to communities. </w:t>
      </w:r>
    </w:p>
    <w:p w:rsidR="000B6930" w:rsidRDefault="000B6930" w:rsidP="00E92888">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Green and sustainable </w:t>
      </w:r>
      <w:r w:rsidR="00E45D6D">
        <w:rPr>
          <w:rFonts w:ascii="Arial" w:hAnsi="Arial" w:cs="Arial"/>
          <w:sz w:val="20"/>
          <w:szCs w:val="20"/>
        </w:rPr>
        <w:t xml:space="preserve">– </w:t>
      </w:r>
      <w:r w:rsidR="00F2010A">
        <w:rPr>
          <w:rFonts w:ascii="Arial" w:hAnsi="Arial" w:cs="Arial"/>
          <w:sz w:val="20"/>
          <w:szCs w:val="20"/>
        </w:rPr>
        <w:t>Can be achieved through detailed focus on the specifics of regulation</w:t>
      </w:r>
      <w:r w:rsidR="00706819">
        <w:rPr>
          <w:rFonts w:ascii="Arial" w:hAnsi="Arial" w:cs="Arial"/>
          <w:sz w:val="20"/>
          <w:szCs w:val="20"/>
        </w:rPr>
        <w:t>.</w:t>
      </w:r>
      <w:r w:rsidR="00640104">
        <w:rPr>
          <w:rFonts w:ascii="Arial" w:hAnsi="Arial" w:cs="Arial"/>
          <w:sz w:val="20"/>
          <w:szCs w:val="20"/>
        </w:rPr>
        <w:t xml:space="preserve">  </w:t>
      </w:r>
    </w:p>
    <w:p w:rsidR="000B6930" w:rsidRDefault="000B6930" w:rsidP="00E92888">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Safe and healthy </w:t>
      </w:r>
      <w:r w:rsidR="00E943DB">
        <w:rPr>
          <w:rFonts w:ascii="Arial" w:hAnsi="Arial" w:cs="Arial"/>
          <w:sz w:val="20"/>
          <w:szCs w:val="20"/>
        </w:rPr>
        <w:t xml:space="preserve">– This is a police </w:t>
      </w:r>
      <w:r w:rsidR="00E45D6D">
        <w:rPr>
          <w:rFonts w:ascii="Arial" w:hAnsi="Arial" w:cs="Arial"/>
          <w:sz w:val="20"/>
          <w:szCs w:val="20"/>
        </w:rPr>
        <w:t xml:space="preserve">issue </w:t>
      </w:r>
      <w:r w:rsidR="00E943DB">
        <w:rPr>
          <w:rFonts w:ascii="Arial" w:hAnsi="Arial" w:cs="Arial"/>
          <w:sz w:val="20"/>
          <w:szCs w:val="20"/>
        </w:rPr>
        <w:t>to provide</w:t>
      </w:r>
      <w:r w:rsidR="00E45D6D">
        <w:rPr>
          <w:rFonts w:ascii="Arial" w:hAnsi="Arial" w:cs="Arial"/>
          <w:sz w:val="20"/>
          <w:szCs w:val="20"/>
        </w:rPr>
        <w:t xml:space="preserve"> support on public transport. </w:t>
      </w:r>
      <w:r w:rsidR="008572CC">
        <w:rPr>
          <w:rFonts w:ascii="Arial" w:hAnsi="Arial" w:cs="Arial"/>
          <w:sz w:val="20"/>
          <w:szCs w:val="20"/>
        </w:rPr>
        <w:t>Emission</w:t>
      </w:r>
      <w:r w:rsidR="00E45D6D">
        <w:rPr>
          <w:rFonts w:ascii="Arial" w:hAnsi="Arial" w:cs="Arial"/>
          <w:sz w:val="20"/>
          <w:szCs w:val="20"/>
        </w:rPr>
        <w:t xml:space="preserve"> control is also a government focus not the NTC</w:t>
      </w:r>
      <w:r w:rsidR="008572CC">
        <w:rPr>
          <w:rFonts w:ascii="Arial" w:hAnsi="Arial" w:cs="Arial"/>
          <w:sz w:val="20"/>
          <w:szCs w:val="20"/>
        </w:rPr>
        <w:t>’s.</w:t>
      </w:r>
    </w:p>
    <w:p w:rsidR="000B6930" w:rsidRPr="000B6930" w:rsidRDefault="000B6930" w:rsidP="00E92888">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Fair </w:t>
      </w:r>
      <w:r w:rsidR="00E45D6D">
        <w:rPr>
          <w:rFonts w:ascii="Arial" w:hAnsi="Arial" w:cs="Arial"/>
          <w:sz w:val="20"/>
          <w:szCs w:val="20"/>
        </w:rPr>
        <w:t>– This is a social concern, not anything to</w:t>
      </w:r>
      <w:r w:rsidR="008572CC">
        <w:rPr>
          <w:rFonts w:ascii="Arial" w:hAnsi="Arial" w:cs="Arial"/>
          <w:sz w:val="20"/>
          <w:szCs w:val="20"/>
        </w:rPr>
        <w:t xml:space="preserve"> do</w:t>
      </w:r>
      <w:r w:rsidR="00E45D6D">
        <w:rPr>
          <w:rFonts w:ascii="Arial" w:hAnsi="Arial" w:cs="Arial"/>
          <w:sz w:val="20"/>
          <w:szCs w:val="20"/>
        </w:rPr>
        <w:t xml:space="preserve"> with the NTC. </w:t>
      </w:r>
    </w:p>
    <w:p w:rsidR="00F522D4" w:rsidRDefault="00F522D4" w:rsidP="00D01BB4">
      <w:pPr>
        <w:rPr>
          <w:rFonts w:ascii="Arial" w:hAnsi="Arial" w:cs="Arial"/>
          <w:sz w:val="20"/>
          <w:szCs w:val="20"/>
        </w:rPr>
      </w:pPr>
    </w:p>
    <w:p w:rsidR="00C25D26" w:rsidRDefault="00526B84" w:rsidP="00D01BB4">
      <w:pPr>
        <w:rPr>
          <w:rFonts w:ascii="Arial" w:hAnsi="Arial" w:cs="Arial"/>
          <w:sz w:val="20"/>
          <w:szCs w:val="20"/>
        </w:rPr>
      </w:pPr>
      <w:r>
        <w:rPr>
          <w:rFonts w:ascii="Arial" w:hAnsi="Arial" w:cs="Arial"/>
          <w:sz w:val="20"/>
          <w:szCs w:val="20"/>
        </w:rPr>
        <w:t>These are basic th</w:t>
      </w:r>
      <w:r w:rsidR="00706819">
        <w:rPr>
          <w:rFonts w:ascii="Arial" w:hAnsi="Arial" w:cs="Arial"/>
          <w:sz w:val="20"/>
          <w:szCs w:val="20"/>
        </w:rPr>
        <w:t>ings</w:t>
      </w:r>
      <w:r w:rsidR="00F2010A">
        <w:rPr>
          <w:rFonts w:ascii="Arial" w:hAnsi="Arial" w:cs="Arial"/>
          <w:sz w:val="20"/>
          <w:szCs w:val="20"/>
        </w:rPr>
        <w:t xml:space="preserve"> people want from life. T</w:t>
      </w:r>
      <w:r>
        <w:rPr>
          <w:rFonts w:ascii="Arial" w:hAnsi="Arial" w:cs="Arial"/>
          <w:sz w:val="20"/>
          <w:szCs w:val="20"/>
        </w:rPr>
        <w:t xml:space="preserve">rying to set a transport plan to reflect all of these is just </w:t>
      </w:r>
      <w:r w:rsidR="008572CC">
        <w:rPr>
          <w:rFonts w:ascii="Arial" w:hAnsi="Arial" w:cs="Arial"/>
          <w:sz w:val="20"/>
          <w:szCs w:val="20"/>
        </w:rPr>
        <w:t>impossible</w:t>
      </w:r>
      <w:r w:rsidR="00F2010A">
        <w:rPr>
          <w:rFonts w:ascii="Arial" w:hAnsi="Arial" w:cs="Arial"/>
          <w:sz w:val="20"/>
          <w:szCs w:val="20"/>
        </w:rPr>
        <w:t xml:space="preserve"> and would distract time, resources and money from the primary areas where a transport plan can make a great deal of difference.</w:t>
      </w:r>
      <w:r w:rsidR="008572CC">
        <w:rPr>
          <w:rFonts w:ascii="Arial" w:hAnsi="Arial" w:cs="Arial"/>
          <w:sz w:val="20"/>
          <w:szCs w:val="20"/>
        </w:rPr>
        <w:t xml:space="preserve"> </w:t>
      </w:r>
      <w:r>
        <w:rPr>
          <w:rFonts w:ascii="Arial" w:hAnsi="Arial" w:cs="Arial"/>
          <w:sz w:val="20"/>
          <w:szCs w:val="20"/>
        </w:rPr>
        <w:t xml:space="preserve"> </w:t>
      </w:r>
    </w:p>
    <w:p w:rsidR="003D0FFB" w:rsidRDefault="003D0FFB" w:rsidP="00D01BB4">
      <w:pPr>
        <w:rPr>
          <w:rFonts w:ascii="Arial" w:hAnsi="Arial" w:cs="Arial"/>
          <w:sz w:val="20"/>
          <w:szCs w:val="20"/>
        </w:rPr>
      </w:pPr>
    </w:p>
    <w:p w:rsidR="00526B84" w:rsidRDefault="00526B84" w:rsidP="00D01BB4">
      <w:pPr>
        <w:rPr>
          <w:rFonts w:ascii="Arial" w:hAnsi="Arial" w:cs="Arial"/>
          <w:sz w:val="20"/>
          <w:szCs w:val="20"/>
        </w:rPr>
      </w:pPr>
      <w:r>
        <w:rPr>
          <w:rFonts w:ascii="Arial" w:hAnsi="Arial" w:cs="Arial"/>
          <w:sz w:val="20"/>
          <w:szCs w:val="20"/>
        </w:rPr>
        <w:t>The pr</w:t>
      </w:r>
      <w:r w:rsidR="00E943DB">
        <w:rPr>
          <w:rFonts w:ascii="Arial" w:hAnsi="Arial" w:cs="Arial"/>
          <w:sz w:val="20"/>
          <w:szCs w:val="20"/>
        </w:rPr>
        <w:t xml:space="preserve">oject team should just focus on the challenges </w:t>
      </w:r>
      <w:r w:rsidR="00F2010A">
        <w:rPr>
          <w:rFonts w:ascii="Arial" w:hAnsi="Arial" w:cs="Arial"/>
          <w:sz w:val="20"/>
          <w:szCs w:val="20"/>
        </w:rPr>
        <w:t>of</w:t>
      </w:r>
      <w:r w:rsidR="00E943DB">
        <w:rPr>
          <w:rFonts w:ascii="Arial" w:hAnsi="Arial" w:cs="Arial"/>
          <w:sz w:val="20"/>
          <w:szCs w:val="20"/>
        </w:rPr>
        <w:t>:</w:t>
      </w:r>
    </w:p>
    <w:p w:rsidR="00EC36B4" w:rsidRDefault="00EC36B4" w:rsidP="00D01BB4">
      <w:pPr>
        <w:rPr>
          <w:rFonts w:ascii="Arial" w:hAnsi="Arial" w:cs="Arial"/>
          <w:sz w:val="20"/>
          <w:szCs w:val="20"/>
        </w:rPr>
      </w:pPr>
    </w:p>
    <w:p w:rsidR="00F2010A" w:rsidRDefault="00706819" w:rsidP="00E92888">
      <w:pPr>
        <w:pStyle w:val="ListParagraph"/>
        <w:numPr>
          <w:ilvl w:val="0"/>
          <w:numId w:val="5"/>
        </w:numPr>
        <w:spacing w:after="0" w:line="240" w:lineRule="auto"/>
        <w:rPr>
          <w:rFonts w:ascii="Arial" w:hAnsi="Arial" w:cs="Arial"/>
          <w:sz w:val="20"/>
          <w:szCs w:val="20"/>
        </w:rPr>
      </w:pPr>
      <w:r>
        <w:rPr>
          <w:rFonts w:ascii="Arial" w:hAnsi="Arial" w:cs="Arial"/>
          <w:sz w:val="20"/>
          <w:szCs w:val="20"/>
        </w:rPr>
        <w:t>Improving s</w:t>
      </w:r>
      <w:r w:rsidR="00F2010A">
        <w:rPr>
          <w:rFonts w:ascii="Arial" w:hAnsi="Arial" w:cs="Arial"/>
          <w:sz w:val="20"/>
          <w:szCs w:val="20"/>
        </w:rPr>
        <w:t xml:space="preserve">afety </w:t>
      </w:r>
    </w:p>
    <w:p w:rsidR="00526B84" w:rsidRDefault="00706819" w:rsidP="00E92888">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Improving </w:t>
      </w:r>
      <w:r w:rsidR="00526B84" w:rsidRPr="00526B84">
        <w:rPr>
          <w:rFonts w:ascii="Arial" w:hAnsi="Arial" w:cs="Arial"/>
          <w:sz w:val="20"/>
          <w:szCs w:val="20"/>
        </w:rPr>
        <w:t>Congestion and</w:t>
      </w:r>
      <w:r w:rsidR="00F2010A">
        <w:rPr>
          <w:rFonts w:ascii="Arial" w:hAnsi="Arial" w:cs="Arial"/>
          <w:sz w:val="20"/>
          <w:szCs w:val="20"/>
        </w:rPr>
        <w:t xml:space="preserve"> the</w:t>
      </w:r>
      <w:r w:rsidR="00526B84" w:rsidRPr="00526B84">
        <w:rPr>
          <w:rFonts w:ascii="Arial" w:hAnsi="Arial" w:cs="Arial"/>
          <w:sz w:val="20"/>
          <w:szCs w:val="20"/>
        </w:rPr>
        <w:t xml:space="preserve"> unreliability of transport networks, especially at peak periods or when adequate maintenance is not provided. </w:t>
      </w:r>
      <w:r w:rsidR="00F2010A">
        <w:rPr>
          <w:rFonts w:ascii="Arial" w:hAnsi="Arial" w:cs="Arial"/>
          <w:sz w:val="20"/>
          <w:szCs w:val="20"/>
        </w:rPr>
        <w:t>Without introducing congestion charging.</w:t>
      </w:r>
    </w:p>
    <w:p w:rsidR="00F2010A" w:rsidRDefault="00295ACC" w:rsidP="00E92888">
      <w:pPr>
        <w:pStyle w:val="ListParagraph"/>
        <w:numPr>
          <w:ilvl w:val="0"/>
          <w:numId w:val="5"/>
        </w:numPr>
        <w:spacing w:after="0" w:line="240" w:lineRule="auto"/>
        <w:rPr>
          <w:rFonts w:ascii="Arial" w:hAnsi="Arial" w:cs="Arial"/>
          <w:sz w:val="20"/>
          <w:szCs w:val="20"/>
        </w:rPr>
      </w:pPr>
      <w:r>
        <w:rPr>
          <w:rFonts w:ascii="Arial" w:hAnsi="Arial" w:cs="Arial"/>
          <w:sz w:val="20"/>
          <w:szCs w:val="20"/>
        </w:rPr>
        <w:t>Financing</w:t>
      </w:r>
      <w:r w:rsidR="00F2010A">
        <w:rPr>
          <w:rFonts w:ascii="Arial" w:hAnsi="Arial" w:cs="Arial"/>
          <w:sz w:val="20"/>
          <w:szCs w:val="20"/>
        </w:rPr>
        <w:t xml:space="preserve"> the </w:t>
      </w:r>
      <w:r>
        <w:rPr>
          <w:rFonts w:ascii="Arial" w:hAnsi="Arial" w:cs="Arial"/>
          <w:sz w:val="20"/>
          <w:szCs w:val="20"/>
        </w:rPr>
        <w:t>construction</w:t>
      </w:r>
      <w:r w:rsidR="00F2010A">
        <w:rPr>
          <w:rFonts w:ascii="Arial" w:hAnsi="Arial" w:cs="Arial"/>
          <w:sz w:val="20"/>
          <w:szCs w:val="20"/>
        </w:rPr>
        <w:t xml:space="preserve"> of the right transport infras</w:t>
      </w:r>
      <w:r>
        <w:rPr>
          <w:rFonts w:ascii="Arial" w:hAnsi="Arial" w:cs="Arial"/>
          <w:sz w:val="20"/>
          <w:szCs w:val="20"/>
        </w:rPr>
        <w:t>tructures</w:t>
      </w:r>
      <w:r w:rsidR="00F2010A">
        <w:rPr>
          <w:rFonts w:ascii="Arial" w:hAnsi="Arial" w:cs="Arial"/>
          <w:sz w:val="20"/>
          <w:szCs w:val="20"/>
        </w:rPr>
        <w:t xml:space="preserve"> at the lowest cost</w:t>
      </w:r>
      <w:r>
        <w:rPr>
          <w:rFonts w:ascii="Arial" w:hAnsi="Arial" w:cs="Arial"/>
          <w:sz w:val="20"/>
          <w:szCs w:val="20"/>
        </w:rPr>
        <w:t>.</w:t>
      </w:r>
    </w:p>
    <w:p w:rsidR="00F2010A" w:rsidRDefault="00F2010A" w:rsidP="00E92888">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Increasing the productivity and </w:t>
      </w:r>
      <w:r w:rsidR="00295ACC">
        <w:rPr>
          <w:rFonts w:ascii="Arial" w:hAnsi="Arial" w:cs="Arial"/>
          <w:sz w:val="20"/>
          <w:szCs w:val="20"/>
        </w:rPr>
        <w:t>efficiency of</w:t>
      </w:r>
      <w:r>
        <w:rPr>
          <w:rFonts w:ascii="Arial" w:hAnsi="Arial" w:cs="Arial"/>
          <w:sz w:val="20"/>
          <w:szCs w:val="20"/>
        </w:rPr>
        <w:t xml:space="preserve"> the freight and passenger transport system which will deliver environmental and economic benefits. </w:t>
      </w:r>
    </w:p>
    <w:p w:rsidR="00F522D4" w:rsidRDefault="00F522D4" w:rsidP="00D01BB4">
      <w:pPr>
        <w:rPr>
          <w:rFonts w:ascii="Arial" w:hAnsi="Arial" w:cs="Arial"/>
          <w:sz w:val="20"/>
          <w:szCs w:val="20"/>
        </w:rPr>
      </w:pPr>
    </w:p>
    <w:p w:rsidR="008572CC" w:rsidRDefault="00E45D6D" w:rsidP="00D01BB4">
      <w:pPr>
        <w:rPr>
          <w:rFonts w:ascii="Arial" w:hAnsi="Arial" w:cs="Arial"/>
          <w:sz w:val="20"/>
          <w:szCs w:val="20"/>
        </w:rPr>
      </w:pPr>
      <w:r>
        <w:rPr>
          <w:rFonts w:ascii="Arial" w:hAnsi="Arial" w:cs="Arial"/>
          <w:sz w:val="20"/>
          <w:szCs w:val="20"/>
        </w:rPr>
        <w:t xml:space="preserve">Solve these national problems; other problems are the responsibility of the other </w:t>
      </w:r>
      <w:r w:rsidR="00F2010A">
        <w:rPr>
          <w:rFonts w:ascii="Arial" w:hAnsi="Arial" w:cs="Arial"/>
          <w:sz w:val="20"/>
          <w:szCs w:val="20"/>
        </w:rPr>
        <w:t>areas of government or individuals in their private capacity</w:t>
      </w:r>
      <w:r>
        <w:rPr>
          <w:rFonts w:ascii="Arial" w:hAnsi="Arial" w:cs="Arial"/>
          <w:sz w:val="20"/>
          <w:szCs w:val="20"/>
        </w:rPr>
        <w:t xml:space="preserve">. The situation is in dire need of reform, the paper is not strong enough on reforming the current system, </w:t>
      </w:r>
      <w:r w:rsidR="008572CC">
        <w:rPr>
          <w:rFonts w:ascii="Arial" w:hAnsi="Arial" w:cs="Arial"/>
          <w:sz w:val="20"/>
          <w:szCs w:val="20"/>
        </w:rPr>
        <w:t>and too</w:t>
      </w:r>
      <w:r>
        <w:rPr>
          <w:rFonts w:ascii="Arial" w:hAnsi="Arial" w:cs="Arial"/>
          <w:sz w:val="20"/>
          <w:szCs w:val="20"/>
        </w:rPr>
        <w:t xml:space="preserve"> much of the paper focuses on </w:t>
      </w:r>
      <w:r w:rsidR="00773BD5">
        <w:rPr>
          <w:rFonts w:ascii="Arial" w:hAnsi="Arial" w:cs="Arial"/>
          <w:sz w:val="20"/>
          <w:szCs w:val="20"/>
        </w:rPr>
        <w:t>abstract</w:t>
      </w:r>
      <w:r>
        <w:rPr>
          <w:rFonts w:ascii="Arial" w:hAnsi="Arial" w:cs="Arial"/>
          <w:sz w:val="20"/>
          <w:szCs w:val="20"/>
        </w:rPr>
        <w:t xml:space="preserve"> considerations</w:t>
      </w:r>
      <w:r w:rsidR="00EC36B4">
        <w:rPr>
          <w:rFonts w:ascii="Arial" w:hAnsi="Arial" w:cs="Arial"/>
          <w:sz w:val="20"/>
          <w:szCs w:val="20"/>
        </w:rPr>
        <w:t>.</w:t>
      </w:r>
    </w:p>
    <w:p w:rsidR="008572CC" w:rsidRDefault="008572CC" w:rsidP="00D01BB4">
      <w:pPr>
        <w:rPr>
          <w:rFonts w:ascii="Arial" w:hAnsi="Arial" w:cs="Arial"/>
          <w:sz w:val="20"/>
          <w:szCs w:val="20"/>
        </w:rPr>
      </w:pPr>
    </w:p>
    <w:p w:rsidR="00C410F2" w:rsidRDefault="008572CC" w:rsidP="00D01BB4">
      <w:pPr>
        <w:rPr>
          <w:rFonts w:ascii="Arial" w:hAnsi="Arial" w:cs="Arial"/>
          <w:sz w:val="20"/>
          <w:szCs w:val="20"/>
        </w:rPr>
      </w:pPr>
      <w:r>
        <w:rPr>
          <w:rFonts w:ascii="Arial" w:hAnsi="Arial" w:cs="Arial"/>
          <w:sz w:val="20"/>
          <w:szCs w:val="20"/>
        </w:rPr>
        <w:t>Bureaucratic drift</w:t>
      </w:r>
      <w:r w:rsidR="00E45D6D">
        <w:rPr>
          <w:rFonts w:ascii="Arial" w:hAnsi="Arial" w:cs="Arial"/>
          <w:sz w:val="20"/>
          <w:szCs w:val="20"/>
        </w:rPr>
        <w:t xml:space="preserve"> </w:t>
      </w:r>
      <w:r w:rsidR="00747202">
        <w:rPr>
          <w:rFonts w:ascii="Arial" w:hAnsi="Arial" w:cs="Arial"/>
          <w:sz w:val="20"/>
          <w:szCs w:val="20"/>
        </w:rPr>
        <w:t>is evident in the discussion paper and while the above</w:t>
      </w:r>
      <w:r w:rsidR="00EC36B4">
        <w:rPr>
          <w:rFonts w:ascii="Arial" w:hAnsi="Arial" w:cs="Arial"/>
          <w:sz w:val="20"/>
          <w:szCs w:val="20"/>
        </w:rPr>
        <w:t xml:space="preserve"> 4 points</w:t>
      </w:r>
      <w:r w:rsidR="00747202">
        <w:rPr>
          <w:rFonts w:ascii="Arial" w:hAnsi="Arial" w:cs="Arial"/>
          <w:sz w:val="20"/>
          <w:szCs w:val="20"/>
        </w:rPr>
        <w:t xml:space="preserve"> are not as politically racy as obesity or climate change, they are what the NTC should focus its resources on. Short term political goals will not provide better infrastructure or public transport. Better decision making has to be a priority and focussing </w:t>
      </w:r>
      <w:r w:rsidR="004C066E">
        <w:rPr>
          <w:rFonts w:ascii="Arial" w:hAnsi="Arial" w:cs="Arial"/>
          <w:sz w:val="20"/>
          <w:szCs w:val="20"/>
        </w:rPr>
        <w:t xml:space="preserve">on improving the quality of education that decision makers have is key to making a successful future transport network. </w:t>
      </w:r>
      <w:r w:rsidR="00EC36B4">
        <w:rPr>
          <w:rFonts w:ascii="Arial" w:hAnsi="Arial" w:cs="Arial"/>
          <w:sz w:val="20"/>
          <w:szCs w:val="20"/>
        </w:rPr>
        <w:t xml:space="preserve">The work of both Infrastructure Australia and the </w:t>
      </w:r>
      <w:r w:rsidR="00EC36B4" w:rsidRPr="00EC36B4">
        <w:rPr>
          <w:rFonts w:ascii="Arial" w:hAnsi="Arial" w:cs="Arial"/>
          <w:sz w:val="20"/>
          <w:szCs w:val="20"/>
        </w:rPr>
        <w:t>Competition and Regulation Working Group</w:t>
      </w:r>
      <w:r w:rsidR="00EC36B4">
        <w:rPr>
          <w:rFonts w:ascii="Arial" w:hAnsi="Arial" w:cs="Arial"/>
          <w:sz w:val="20"/>
          <w:szCs w:val="20"/>
        </w:rPr>
        <w:t xml:space="preserve"> show that a strong line of reform on supply side</w:t>
      </w:r>
      <w:r w:rsidR="00706819">
        <w:rPr>
          <w:rFonts w:ascii="Arial" w:hAnsi="Arial" w:cs="Arial"/>
          <w:sz w:val="20"/>
          <w:szCs w:val="20"/>
        </w:rPr>
        <w:t xml:space="preserve"> initiatives</w:t>
      </w:r>
      <w:r w:rsidR="00EC36B4">
        <w:rPr>
          <w:rFonts w:ascii="Arial" w:hAnsi="Arial" w:cs="Arial"/>
          <w:sz w:val="20"/>
          <w:szCs w:val="20"/>
        </w:rPr>
        <w:t xml:space="preserve"> is necessary for any success to happen in the transport sector. </w:t>
      </w:r>
    </w:p>
    <w:p w:rsidR="00785D3C" w:rsidRDefault="00785D3C" w:rsidP="00D01BB4">
      <w:pPr>
        <w:rPr>
          <w:rFonts w:ascii="Arial" w:hAnsi="Arial" w:cs="Arial"/>
          <w:sz w:val="20"/>
          <w:szCs w:val="20"/>
        </w:rPr>
      </w:pPr>
    </w:p>
    <w:p w:rsidR="00785D3C" w:rsidRDefault="00785D3C" w:rsidP="00D01BB4">
      <w:pPr>
        <w:pStyle w:val="RecommendationStyle"/>
        <w:spacing w:before="0" w:after="0"/>
      </w:pPr>
    </w:p>
    <w:p w:rsidR="00D01BB4" w:rsidRDefault="00D01BB4" w:rsidP="00D01BB4">
      <w:pPr>
        <w:pStyle w:val="RecommendationStyle"/>
        <w:numPr>
          <w:ilvl w:val="0"/>
          <w:numId w:val="0"/>
        </w:numPr>
        <w:spacing w:before="0" w:after="0"/>
      </w:pPr>
    </w:p>
    <w:p w:rsidR="004B09E0" w:rsidRPr="007566A1" w:rsidRDefault="004B09E0" w:rsidP="00D01BB4">
      <w:pPr>
        <w:pStyle w:val="RecommendationStyle"/>
        <w:numPr>
          <w:ilvl w:val="0"/>
          <w:numId w:val="0"/>
        </w:numPr>
        <w:spacing w:before="0" w:after="0"/>
      </w:pPr>
      <w:r w:rsidRPr="007566A1">
        <w:t>The NTC should focus its attention on providing roads and transport networks t</w:t>
      </w:r>
      <w:r>
        <w:t>o</w:t>
      </w:r>
      <w:r w:rsidRPr="007566A1">
        <w:t xml:space="preserve"> promote productivity and keep Australia moving. Other peripheral concerns are not </w:t>
      </w:r>
      <w:r>
        <w:t xml:space="preserve">issues for the NTC and in some cases not issues for government at all. </w:t>
      </w:r>
      <w:r w:rsidRPr="007566A1">
        <w:t xml:space="preserve"> </w:t>
      </w:r>
    </w:p>
    <w:p w:rsidR="00C410F2" w:rsidRDefault="00C410F2" w:rsidP="00D01BB4">
      <w:pPr>
        <w:pStyle w:val="Heading1"/>
        <w:numPr>
          <w:ilvl w:val="0"/>
          <w:numId w:val="0"/>
        </w:numPr>
        <w:ind w:left="360" w:hanging="360"/>
        <w:rPr>
          <w:sz w:val="20"/>
          <w:szCs w:val="20"/>
        </w:rPr>
      </w:pPr>
    </w:p>
    <w:p w:rsidR="00D06B58" w:rsidRDefault="00D06B58" w:rsidP="00D01BB4">
      <w:r>
        <w:rPr>
          <w:b/>
          <w:i/>
        </w:rPr>
        <w:br w:type="page"/>
      </w:r>
    </w:p>
    <w:p w:rsidR="009F2CC1" w:rsidRPr="00A21775" w:rsidRDefault="009F2CC1" w:rsidP="00D01BB4">
      <w:pPr>
        <w:pStyle w:val="RecommendationStyle"/>
        <w:numPr>
          <w:ilvl w:val="0"/>
          <w:numId w:val="0"/>
        </w:numPr>
        <w:spacing w:before="0" w:after="0"/>
        <w:rPr>
          <w:color w:val="000000" w:themeColor="text1"/>
        </w:rPr>
      </w:pPr>
    </w:p>
    <w:p w:rsidR="002D7F0B" w:rsidRDefault="002D7F0B" w:rsidP="00D01BB4">
      <w:pPr>
        <w:pStyle w:val="ATAHeading2"/>
        <w:numPr>
          <w:ilvl w:val="0"/>
          <w:numId w:val="0"/>
        </w:numPr>
        <w:spacing w:before="0" w:after="0" w:line="240" w:lineRule="auto"/>
        <w:ind w:left="360"/>
        <w:rPr>
          <w:sz w:val="28"/>
          <w:szCs w:val="28"/>
        </w:rPr>
      </w:pPr>
      <w:bookmarkStart w:id="58" w:name="_Toc306363317"/>
      <w:r w:rsidRPr="00972601">
        <w:rPr>
          <w:sz w:val="28"/>
          <w:szCs w:val="28"/>
        </w:rPr>
        <w:t>APPENDIX A: The ATA and Barkwood Consulting Pty Ltd Truck Impact Chart</w:t>
      </w:r>
      <w:bookmarkEnd w:id="58"/>
    </w:p>
    <w:p w:rsidR="00972601" w:rsidRPr="00972601" w:rsidRDefault="00972601" w:rsidP="00D01BB4">
      <w:pPr>
        <w:pStyle w:val="ATAHeading2"/>
        <w:numPr>
          <w:ilvl w:val="0"/>
          <w:numId w:val="0"/>
        </w:numPr>
        <w:spacing w:before="0" w:after="0" w:line="240" w:lineRule="auto"/>
        <w:ind w:left="360"/>
        <w:rPr>
          <w:sz w:val="28"/>
          <w:szCs w:val="28"/>
        </w:rPr>
      </w:pPr>
    </w:p>
    <w:p w:rsidR="00952CE8" w:rsidRPr="00A21775" w:rsidRDefault="00952CE8" w:rsidP="00D01BB4">
      <w:pPr>
        <w:pStyle w:val="RecommendationStyle2"/>
        <w:jc w:val="left"/>
        <w:rPr>
          <w:b w:val="0"/>
          <w:color w:val="000000" w:themeColor="text1"/>
        </w:rPr>
      </w:pPr>
      <w:bookmarkStart w:id="59" w:name="_Toc306174128"/>
      <w:bookmarkStart w:id="60" w:name="_Toc306199947"/>
      <w:bookmarkStart w:id="61" w:name="_Toc306199981"/>
      <w:r w:rsidRPr="00A21775">
        <w:rPr>
          <w:b w:val="0"/>
          <w:color w:val="000000" w:themeColor="text1"/>
        </w:rPr>
        <w:t>The ATA and Barkwood Consulting Pty Ltd have developed a Truck Impact Chart that clearly demonstrates a number of different heavy vehicle combinations and covers GCM, payload, the equivalent standard axles (ESAs) for each vehicle combination, being the measure by which impact of a truck on the road is measured, the amount of trips required to move 1,000 tonnes of freight, the amount of fuel required to move 1,000 tonnes of freight, emissions and driver requirement. The information provided in the tables throughout this document is taken from the Truck Impact Chart.</w:t>
      </w:r>
      <w:bookmarkEnd w:id="59"/>
      <w:bookmarkEnd w:id="60"/>
      <w:bookmarkEnd w:id="61"/>
    </w:p>
    <w:p w:rsidR="00952CE8" w:rsidRPr="00A21775" w:rsidRDefault="00952CE8" w:rsidP="00D01BB4">
      <w:pPr>
        <w:pStyle w:val="RecommendationStyle2"/>
        <w:jc w:val="left"/>
        <w:rPr>
          <w:b w:val="0"/>
          <w:color w:val="000000" w:themeColor="text1"/>
        </w:rPr>
      </w:pPr>
    </w:p>
    <w:p w:rsidR="00952CE8" w:rsidRPr="00A21775" w:rsidRDefault="00952CE8" w:rsidP="00D01BB4">
      <w:pPr>
        <w:pStyle w:val="RecommendationStyle2"/>
        <w:jc w:val="left"/>
        <w:rPr>
          <w:b w:val="0"/>
          <w:color w:val="000000" w:themeColor="text1"/>
        </w:rPr>
      </w:pPr>
      <w:bookmarkStart w:id="62" w:name="_Toc306174129"/>
      <w:bookmarkStart w:id="63" w:name="_Toc306199948"/>
      <w:bookmarkStart w:id="64" w:name="_Toc306199982"/>
      <w:r w:rsidRPr="00A21775">
        <w:rPr>
          <w:b w:val="0"/>
          <w:color w:val="000000" w:themeColor="text1"/>
        </w:rPr>
        <w:t xml:space="preserve">The Truck Impact Chart has been reviewed RTA’s Senior Pavement Engineer, </w:t>
      </w:r>
      <w:proofErr w:type="spellStart"/>
      <w:r w:rsidRPr="00A21775">
        <w:rPr>
          <w:b w:val="0"/>
          <w:color w:val="000000" w:themeColor="text1"/>
        </w:rPr>
        <w:t>Ravindra</w:t>
      </w:r>
      <w:proofErr w:type="spellEnd"/>
      <w:r w:rsidRPr="00A21775">
        <w:rPr>
          <w:b w:val="0"/>
          <w:color w:val="000000" w:themeColor="text1"/>
        </w:rPr>
        <w:t xml:space="preserve"> </w:t>
      </w:r>
      <w:proofErr w:type="spellStart"/>
      <w:r w:rsidRPr="00A21775">
        <w:rPr>
          <w:b w:val="0"/>
          <w:color w:val="000000" w:themeColor="text1"/>
        </w:rPr>
        <w:t>Prathapa</w:t>
      </w:r>
      <w:proofErr w:type="spellEnd"/>
      <w:r w:rsidRPr="00A21775">
        <w:rPr>
          <w:b w:val="0"/>
          <w:color w:val="000000" w:themeColor="text1"/>
        </w:rPr>
        <w:t>. The Truck Impact Chart has also been separately peer reviewed by Bob Pearson, Pearson Transport Resources, and was referred to by The</w:t>
      </w:r>
      <w:r w:rsidR="00915339">
        <w:rPr>
          <w:b w:val="0"/>
          <w:color w:val="000000" w:themeColor="text1"/>
        </w:rPr>
        <w:t xml:space="preserve"> </w:t>
      </w:r>
      <w:r w:rsidRPr="00A21775">
        <w:rPr>
          <w:b w:val="0"/>
          <w:color w:val="000000" w:themeColor="text1"/>
        </w:rPr>
        <w:t>CIE in the Benefit/Cost Analysis for the National Heavy Vehicle Regulator draft Regulatory Impact Statement, released in February 2011.</w:t>
      </w:r>
      <w:bookmarkEnd w:id="62"/>
      <w:bookmarkEnd w:id="63"/>
      <w:bookmarkEnd w:id="64"/>
    </w:p>
    <w:p w:rsidR="002D7F0B" w:rsidRPr="007566A1" w:rsidRDefault="002D7F0B" w:rsidP="00D01BB4">
      <w:pPr>
        <w:pStyle w:val="RecommendationStyle2"/>
        <w:jc w:val="left"/>
        <w:rPr>
          <w:color w:val="000000" w:themeColor="text1"/>
        </w:rPr>
      </w:pPr>
    </w:p>
    <w:p w:rsidR="00952CE8" w:rsidRPr="007566A1" w:rsidRDefault="00952CE8" w:rsidP="00D01BB4">
      <w:pPr>
        <w:pStyle w:val="RecommendationStyle2"/>
        <w:jc w:val="left"/>
        <w:rPr>
          <w:color w:val="000000" w:themeColor="text1"/>
        </w:rPr>
      </w:pPr>
      <w:bookmarkStart w:id="65" w:name="_Toc306174130"/>
      <w:bookmarkStart w:id="66" w:name="_Toc306199949"/>
      <w:bookmarkStart w:id="67" w:name="_Toc306199983"/>
      <w:r w:rsidRPr="007566A1">
        <w:rPr>
          <w:color w:val="000000" w:themeColor="text1"/>
        </w:rPr>
        <w:t>Authors:</w:t>
      </w:r>
      <w:bookmarkEnd w:id="65"/>
      <w:bookmarkEnd w:id="66"/>
      <w:bookmarkEnd w:id="67"/>
    </w:p>
    <w:p w:rsidR="00952CE8" w:rsidRPr="00A21775" w:rsidRDefault="00952CE8" w:rsidP="00D01BB4">
      <w:pPr>
        <w:pStyle w:val="RecommendationStyle2"/>
        <w:jc w:val="left"/>
        <w:rPr>
          <w:b w:val="0"/>
          <w:color w:val="000000" w:themeColor="text1"/>
        </w:rPr>
      </w:pPr>
    </w:p>
    <w:p w:rsidR="00952CE8" w:rsidRPr="007566A1" w:rsidRDefault="00952CE8" w:rsidP="00D01BB4">
      <w:pPr>
        <w:pStyle w:val="RecommendationStyle2"/>
        <w:jc w:val="left"/>
        <w:rPr>
          <w:color w:val="000000" w:themeColor="text1"/>
        </w:rPr>
      </w:pPr>
      <w:bookmarkStart w:id="68" w:name="_Toc306174131"/>
      <w:bookmarkStart w:id="69" w:name="_Toc306199950"/>
      <w:bookmarkStart w:id="70" w:name="_Toc306199984"/>
      <w:r w:rsidRPr="007566A1">
        <w:rPr>
          <w:color w:val="000000" w:themeColor="text1"/>
        </w:rPr>
        <w:t>David Coonan – The Australian Trucking Association</w:t>
      </w:r>
      <w:bookmarkEnd w:id="68"/>
      <w:bookmarkEnd w:id="69"/>
      <w:bookmarkEnd w:id="70"/>
    </w:p>
    <w:p w:rsidR="00952CE8" w:rsidRPr="007566A1" w:rsidRDefault="00952CE8" w:rsidP="00D01BB4">
      <w:pPr>
        <w:pStyle w:val="RecommendationStyle2"/>
        <w:jc w:val="left"/>
        <w:rPr>
          <w:color w:val="000000" w:themeColor="text1"/>
        </w:rPr>
      </w:pPr>
      <w:bookmarkStart w:id="71" w:name="_Toc306174132"/>
      <w:bookmarkStart w:id="72" w:name="_Toc306199951"/>
      <w:bookmarkStart w:id="73" w:name="_Toc306199985"/>
      <w:r w:rsidRPr="007566A1">
        <w:rPr>
          <w:color w:val="000000" w:themeColor="text1"/>
        </w:rPr>
        <w:t>Bob Woodward – Barkwood Consulting Pty Ltd</w:t>
      </w:r>
      <w:bookmarkEnd w:id="71"/>
      <w:bookmarkEnd w:id="72"/>
      <w:bookmarkEnd w:id="73"/>
    </w:p>
    <w:p w:rsidR="00952CE8" w:rsidRPr="00A21775" w:rsidRDefault="00952CE8" w:rsidP="00D01BB4">
      <w:pPr>
        <w:pStyle w:val="RecommendationStyle2"/>
        <w:jc w:val="left"/>
        <w:rPr>
          <w:b w:val="0"/>
          <w:color w:val="000000" w:themeColor="text1"/>
        </w:rPr>
      </w:pPr>
    </w:p>
    <w:p w:rsidR="00952CE8" w:rsidRPr="00A21775" w:rsidRDefault="00952CE8" w:rsidP="00D01BB4">
      <w:pPr>
        <w:pStyle w:val="RecommendationStyle2"/>
        <w:jc w:val="left"/>
        <w:rPr>
          <w:b w:val="0"/>
          <w:color w:val="000000" w:themeColor="text1"/>
        </w:rPr>
      </w:pPr>
      <w:bookmarkStart w:id="74" w:name="_Toc306174133"/>
      <w:bookmarkStart w:id="75" w:name="_Toc306199952"/>
      <w:bookmarkStart w:id="76" w:name="_Toc306199986"/>
      <w:r w:rsidRPr="00A21775">
        <w:rPr>
          <w:b w:val="0"/>
          <w:color w:val="000000" w:themeColor="text1"/>
        </w:rPr>
        <w:t>This document has been prepared to assist operators and road asset managers in assessing the merits of utilising larger vehicle combinations in a transport task.</w:t>
      </w:r>
      <w:bookmarkEnd w:id="74"/>
      <w:bookmarkEnd w:id="75"/>
      <w:bookmarkEnd w:id="76"/>
    </w:p>
    <w:p w:rsidR="00952CE8" w:rsidRPr="00A21775" w:rsidRDefault="00952CE8" w:rsidP="00D01BB4">
      <w:pPr>
        <w:pStyle w:val="RecommendationStyle2"/>
        <w:jc w:val="left"/>
        <w:rPr>
          <w:b w:val="0"/>
          <w:color w:val="000000" w:themeColor="text1"/>
        </w:rPr>
      </w:pPr>
      <w:bookmarkStart w:id="77" w:name="_Toc306174134"/>
      <w:bookmarkStart w:id="78" w:name="_Toc306199953"/>
      <w:bookmarkStart w:id="79" w:name="_Toc306199987"/>
      <w:r w:rsidRPr="00A21775">
        <w:rPr>
          <w:b w:val="0"/>
          <w:color w:val="000000" w:themeColor="text1"/>
        </w:rPr>
        <w:t xml:space="preserve">The assessment process assumes that the vehicle is dedicated to a specific task, operating travel being 50% </w:t>
      </w:r>
      <w:proofErr w:type="spellStart"/>
      <w:r w:rsidRPr="00A21775">
        <w:rPr>
          <w:b w:val="0"/>
          <w:color w:val="000000" w:themeColor="text1"/>
        </w:rPr>
        <w:t>unladen</w:t>
      </w:r>
      <w:proofErr w:type="spellEnd"/>
      <w:r w:rsidRPr="00A21775">
        <w:rPr>
          <w:b w:val="0"/>
          <w:color w:val="000000" w:themeColor="text1"/>
        </w:rPr>
        <w:t xml:space="preserve"> and 50% laden.  The task relativities are 1000 tonnes with a lead of 1000 kilometres</w:t>
      </w:r>
      <w:bookmarkEnd w:id="77"/>
      <w:bookmarkEnd w:id="78"/>
      <w:bookmarkEnd w:id="79"/>
    </w:p>
    <w:p w:rsidR="00952CE8" w:rsidRPr="00A21775" w:rsidRDefault="00952CE8" w:rsidP="00D01BB4">
      <w:pPr>
        <w:pStyle w:val="RecommendationStyle2"/>
        <w:jc w:val="left"/>
        <w:rPr>
          <w:color w:val="000000" w:themeColor="text1"/>
        </w:rPr>
      </w:pPr>
    </w:p>
    <w:tbl>
      <w:tblPr>
        <w:tblStyle w:val="TableGrid"/>
        <w:tblW w:w="0" w:type="auto"/>
        <w:tblLook w:val="04A0"/>
      </w:tblPr>
      <w:tblGrid>
        <w:gridCol w:w="2370"/>
        <w:gridCol w:w="7484"/>
      </w:tblGrid>
      <w:tr w:rsidR="00952CE8" w:rsidRPr="00A21775" w:rsidTr="005546A1">
        <w:trPr>
          <w:trHeight w:val="460"/>
        </w:trPr>
        <w:tc>
          <w:tcPr>
            <w:tcW w:w="3085" w:type="dxa"/>
            <w:vAlign w:val="center"/>
          </w:tcPr>
          <w:p w:rsidR="00952CE8" w:rsidRPr="00A21775" w:rsidRDefault="00952CE8" w:rsidP="00D01BB4">
            <w:pPr>
              <w:pStyle w:val="RecommendationStyle2"/>
              <w:jc w:val="left"/>
              <w:rPr>
                <w:color w:val="000000" w:themeColor="text1"/>
              </w:rPr>
            </w:pPr>
            <w:bookmarkStart w:id="80" w:name="_Toc306174135"/>
            <w:bookmarkStart w:id="81" w:name="_Toc306199954"/>
            <w:bookmarkStart w:id="82" w:name="_Toc306199988"/>
            <w:r w:rsidRPr="00A21775">
              <w:rPr>
                <w:color w:val="000000" w:themeColor="text1"/>
              </w:rPr>
              <w:t>Equivalent Standard Axles:</w:t>
            </w:r>
            <w:bookmarkEnd w:id="80"/>
            <w:bookmarkEnd w:id="81"/>
            <w:bookmarkEnd w:id="82"/>
          </w:p>
        </w:tc>
        <w:tc>
          <w:tcPr>
            <w:tcW w:w="12268" w:type="dxa"/>
            <w:vAlign w:val="center"/>
          </w:tcPr>
          <w:p w:rsidR="00952CE8" w:rsidRPr="00A21775" w:rsidRDefault="00952CE8" w:rsidP="00D01BB4">
            <w:pPr>
              <w:pStyle w:val="RecommendationStyle2"/>
              <w:jc w:val="left"/>
              <w:rPr>
                <w:b w:val="0"/>
                <w:color w:val="000000" w:themeColor="text1"/>
              </w:rPr>
            </w:pPr>
            <w:bookmarkStart w:id="83" w:name="_Toc306174136"/>
            <w:bookmarkStart w:id="84" w:name="_Toc306199955"/>
            <w:bookmarkStart w:id="85" w:name="_Toc306199989"/>
            <w:r w:rsidRPr="00A21775">
              <w:rPr>
                <w:b w:val="0"/>
                <w:color w:val="000000" w:themeColor="text1"/>
              </w:rPr>
              <w:t xml:space="preserve">ESA’s are calculated by the average of the sum of ESA’s for zero </w:t>
            </w:r>
            <w:proofErr w:type="gramStart"/>
            <w:r w:rsidRPr="00A21775">
              <w:rPr>
                <w:b w:val="0"/>
                <w:color w:val="000000" w:themeColor="text1"/>
              </w:rPr>
              <w:t>load</w:t>
            </w:r>
            <w:proofErr w:type="gramEnd"/>
            <w:r w:rsidRPr="00A21775">
              <w:rPr>
                <w:b w:val="0"/>
                <w:color w:val="000000" w:themeColor="text1"/>
              </w:rPr>
              <w:t xml:space="preserve"> (empty) plus ESA’s for 100% load and multiplied by the number of trips as required for the transport task.</w:t>
            </w:r>
            <w:bookmarkEnd w:id="83"/>
            <w:bookmarkEnd w:id="84"/>
            <w:bookmarkEnd w:id="85"/>
          </w:p>
        </w:tc>
      </w:tr>
      <w:tr w:rsidR="00952CE8" w:rsidRPr="00A21775" w:rsidTr="005546A1">
        <w:trPr>
          <w:trHeight w:val="460"/>
        </w:trPr>
        <w:tc>
          <w:tcPr>
            <w:tcW w:w="3085" w:type="dxa"/>
            <w:vAlign w:val="center"/>
          </w:tcPr>
          <w:p w:rsidR="00952CE8" w:rsidRPr="00A21775" w:rsidRDefault="00952CE8" w:rsidP="00D01BB4">
            <w:pPr>
              <w:pStyle w:val="RecommendationStyle2"/>
              <w:jc w:val="left"/>
              <w:rPr>
                <w:color w:val="000000" w:themeColor="text1"/>
              </w:rPr>
            </w:pPr>
            <w:bookmarkStart w:id="86" w:name="_Toc306174137"/>
            <w:bookmarkStart w:id="87" w:name="_Toc306199956"/>
            <w:bookmarkStart w:id="88" w:name="_Toc306199990"/>
            <w:r w:rsidRPr="00A21775">
              <w:rPr>
                <w:color w:val="000000" w:themeColor="text1"/>
              </w:rPr>
              <w:t>Vehicle tare weights:</w:t>
            </w:r>
            <w:bookmarkEnd w:id="86"/>
            <w:bookmarkEnd w:id="87"/>
            <w:bookmarkEnd w:id="88"/>
          </w:p>
        </w:tc>
        <w:tc>
          <w:tcPr>
            <w:tcW w:w="12268" w:type="dxa"/>
            <w:vAlign w:val="center"/>
          </w:tcPr>
          <w:p w:rsidR="00952CE8" w:rsidRPr="00A21775" w:rsidRDefault="00952CE8" w:rsidP="00D01BB4">
            <w:pPr>
              <w:pStyle w:val="RecommendationStyle2"/>
              <w:jc w:val="left"/>
              <w:rPr>
                <w:b w:val="0"/>
                <w:color w:val="000000" w:themeColor="text1"/>
              </w:rPr>
            </w:pPr>
            <w:bookmarkStart w:id="89" w:name="_Toc306174138"/>
            <w:bookmarkStart w:id="90" w:name="_Toc306199957"/>
            <w:bookmarkStart w:id="91" w:name="_Toc306199991"/>
            <w:r w:rsidRPr="00A21775">
              <w:rPr>
                <w:b w:val="0"/>
                <w:color w:val="000000" w:themeColor="text1"/>
              </w:rPr>
              <w:t xml:space="preserve">Are predictions based on the averages for a range of equipment within each combination </w:t>
            </w:r>
            <w:proofErr w:type="gramStart"/>
            <w:r w:rsidRPr="00A21775">
              <w:rPr>
                <w:b w:val="0"/>
                <w:color w:val="000000" w:themeColor="text1"/>
              </w:rPr>
              <w:t>category.</w:t>
            </w:r>
            <w:proofErr w:type="gramEnd"/>
            <w:r w:rsidRPr="00A21775">
              <w:rPr>
                <w:b w:val="0"/>
                <w:color w:val="000000" w:themeColor="text1"/>
              </w:rPr>
              <w:t xml:space="preserve">  These estimates have been reviewed by a number of operators and confirmed as being representative of “real” vehicles of the category.</w:t>
            </w:r>
            <w:bookmarkEnd w:id="89"/>
            <w:bookmarkEnd w:id="90"/>
            <w:bookmarkEnd w:id="91"/>
          </w:p>
        </w:tc>
      </w:tr>
      <w:tr w:rsidR="00952CE8" w:rsidRPr="00A21775" w:rsidTr="005546A1">
        <w:trPr>
          <w:trHeight w:val="460"/>
        </w:trPr>
        <w:tc>
          <w:tcPr>
            <w:tcW w:w="3085" w:type="dxa"/>
            <w:vAlign w:val="center"/>
          </w:tcPr>
          <w:p w:rsidR="00952CE8" w:rsidRPr="00A21775" w:rsidRDefault="00952CE8" w:rsidP="00D01BB4">
            <w:pPr>
              <w:pStyle w:val="RecommendationStyle2"/>
              <w:jc w:val="left"/>
              <w:rPr>
                <w:color w:val="000000" w:themeColor="text1"/>
              </w:rPr>
            </w:pPr>
            <w:bookmarkStart w:id="92" w:name="_Toc306174139"/>
            <w:bookmarkStart w:id="93" w:name="_Toc306199958"/>
            <w:bookmarkStart w:id="94" w:name="_Toc306199992"/>
            <w:r w:rsidRPr="00A21775">
              <w:rPr>
                <w:color w:val="000000" w:themeColor="text1"/>
              </w:rPr>
              <w:t>Fuel consumption estimates:</w:t>
            </w:r>
            <w:bookmarkEnd w:id="92"/>
            <w:bookmarkEnd w:id="93"/>
            <w:bookmarkEnd w:id="94"/>
          </w:p>
        </w:tc>
        <w:tc>
          <w:tcPr>
            <w:tcW w:w="12268" w:type="dxa"/>
            <w:vAlign w:val="center"/>
          </w:tcPr>
          <w:p w:rsidR="00952CE8" w:rsidRPr="00A21775" w:rsidRDefault="00952CE8" w:rsidP="00D01BB4">
            <w:pPr>
              <w:pStyle w:val="RecommendationStyle2"/>
              <w:jc w:val="left"/>
              <w:rPr>
                <w:b w:val="0"/>
                <w:color w:val="000000" w:themeColor="text1"/>
              </w:rPr>
            </w:pPr>
            <w:bookmarkStart w:id="95" w:name="_Toc306174140"/>
            <w:bookmarkStart w:id="96" w:name="_Toc306199959"/>
            <w:bookmarkStart w:id="97" w:name="_Toc306199993"/>
            <w:r w:rsidRPr="00A21775">
              <w:rPr>
                <w:b w:val="0"/>
                <w:color w:val="000000" w:themeColor="text1"/>
              </w:rPr>
              <w:t xml:space="preserve">Are predictions based on accumulated averages where operation is nominally 50% </w:t>
            </w:r>
            <w:proofErr w:type="spellStart"/>
            <w:r w:rsidRPr="00A21775">
              <w:rPr>
                <w:b w:val="0"/>
                <w:color w:val="000000" w:themeColor="text1"/>
              </w:rPr>
              <w:t>unladen</w:t>
            </w:r>
            <w:proofErr w:type="spellEnd"/>
            <w:r w:rsidRPr="00A21775">
              <w:rPr>
                <w:b w:val="0"/>
                <w:color w:val="000000" w:themeColor="text1"/>
              </w:rPr>
              <w:t xml:space="preserve"> and 50% </w:t>
            </w:r>
            <w:proofErr w:type="gramStart"/>
            <w:r w:rsidRPr="00A21775">
              <w:rPr>
                <w:b w:val="0"/>
                <w:color w:val="000000" w:themeColor="text1"/>
              </w:rPr>
              <w:t>laden.</w:t>
            </w:r>
            <w:proofErr w:type="gramEnd"/>
            <w:r w:rsidRPr="00A21775">
              <w:rPr>
                <w:b w:val="0"/>
                <w:color w:val="000000" w:themeColor="text1"/>
              </w:rPr>
              <w:t xml:space="preserve">  Actual consumption will vary with operating conditions.</w:t>
            </w:r>
            <w:bookmarkEnd w:id="95"/>
            <w:bookmarkEnd w:id="96"/>
            <w:bookmarkEnd w:id="97"/>
          </w:p>
        </w:tc>
      </w:tr>
      <w:tr w:rsidR="00952CE8" w:rsidRPr="00A21775" w:rsidTr="005546A1">
        <w:trPr>
          <w:trHeight w:val="460"/>
        </w:trPr>
        <w:tc>
          <w:tcPr>
            <w:tcW w:w="3085" w:type="dxa"/>
            <w:vAlign w:val="center"/>
          </w:tcPr>
          <w:p w:rsidR="00952CE8" w:rsidRPr="00A21775" w:rsidRDefault="00952CE8" w:rsidP="00D01BB4">
            <w:pPr>
              <w:pStyle w:val="RecommendationStyle2"/>
              <w:jc w:val="left"/>
              <w:rPr>
                <w:color w:val="000000" w:themeColor="text1"/>
              </w:rPr>
            </w:pPr>
            <w:bookmarkStart w:id="98" w:name="_Toc306174141"/>
            <w:bookmarkStart w:id="99" w:name="_Toc306199960"/>
            <w:bookmarkStart w:id="100" w:name="_Toc306199994"/>
            <w:r w:rsidRPr="00A21775">
              <w:rPr>
                <w:color w:val="000000" w:themeColor="text1"/>
              </w:rPr>
              <w:t>Emissions:</w:t>
            </w:r>
            <w:bookmarkEnd w:id="98"/>
            <w:bookmarkEnd w:id="99"/>
            <w:bookmarkEnd w:id="100"/>
          </w:p>
        </w:tc>
        <w:tc>
          <w:tcPr>
            <w:tcW w:w="12268" w:type="dxa"/>
            <w:vAlign w:val="center"/>
          </w:tcPr>
          <w:p w:rsidR="00952CE8" w:rsidRPr="00A21775" w:rsidRDefault="00952CE8" w:rsidP="00D01BB4">
            <w:pPr>
              <w:pStyle w:val="RecommendationStyle2"/>
              <w:jc w:val="left"/>
              <w:rPr>
                <w:b w:val="0"/>
                <w:color w:val="000000" w:themeColor="text1"/>
              </w:rPr>
            </w:pPr>
            <w:bookmarkStart w:id="101" w:name="_Toc306174142"/>
            <w:bookmarkStart w:id="102" w:name="_Toc306199961"/>
            <w:bookmarkStart w:id="103" w:name="_Toc306199995"/>
            <w:r w:rsidRPr="00A21775">
              <w:rPr>
                <w:b w:val="0"/>
                <w:color w:val="000000" w:themeColor="text1"/>
              </w:rPr>
              <w:t>Reference is based on total fuel consumption only.</w:t>
            </w:r>
            <w:bookmarkEnd w:id="101"/>
            <w:bookmarkEnd w:id="102"/>
            <w:bookmarkEnd w:id="103"/>
          </w:p>
        </w:tc>
      </w:tr>
      <w:tr w:rsidR="00952CE8" w:rsidRPr="00A21775" w:rsidTr="005546A1">
        <w:trPr>
          <w:trHeight w:val="460"/>
        </w:trPr>
        <w:tc>
          <w:tcPr>
            <w:tcW w:w="3085" w:type="dxa"/>
            <w:vAlign w:val="center"/>
          </w:tcPr>
          <w:p w:rsidR="00952CE8" w:rsidRPr="00A21775" w:rsidRDefault="00952CE8" w:rsidP="00D01BB4">
            <w:pPr>
              <w:pStyle w:val="RecommendationStyle2"/>
              <w:jc w:val="left"/>
              <w:rPr>
                <w:color w:val="000000" w:themeColor="text1"/>
              </w:rPr>
            </w:pPr>
            <w:bookmarkStart w:id="104" w:name="_Toc306174143"/>
            <w:bookmarkStart w:id="105" w:name="_Toc306199962"/>
            <w:bookmarkStart w:id="106" w:name="_Toc306199996"/>
            <w:r w:rsidRPr="00A21775">
              <w:rPr>
                <w:color w:val="000000" w:themeColor="text1"/>
              </w:rPr>
              <w:t>20 metre 7 axle Truck &amp; Dog:</w:t>
            </w:r>
            <w:bookmarkEnd w:id="104"/>
            <w:bookmarkEnd w:id="105"/>
            <w:bookmarkEnd w:id="106"/>
          </w:p>
        </w:tc>
        <w:tc>
          <w:tcPr>
            <w:tcW w:w="12268" w:type="dxa"/>
            <w:vAlign w:val="center"/>
          </w:tcPr>
          <w:p w:rsidR="00952CE8" w:rsidRPr="00A21775" w:rsidRDefault="00952CE8" w:rsidP="00D01BB4">
            <w:pPr>
              <w:pStyle w:val="RecommendationStyle2"/>
              <w:jc w:val="left"/>
              <w:rPr>
                <w:b w:val="0"/>
                <w:color w:val="000000" w:themeColor="text1"/>
              </w:rPr>
            </w:pPr>
            <w:bookmarkStart w:id="107" w:name="_Toc306174144"/>
            <w:bookmarkStart w:id="108" w:name="_Toc306199963"/>
            <w:bookmarkStart w:id="109" w:name="_Toc306199997"/>
            <w:r w:rsidRPr="00A21775">
              <w:rPr>
                <w:b w:val="0"/>
                <w:color w:val="000000" w:themeColor="text1"/>
              </w:rPr>
              <w:t>The maximum allowable mass limits for this combination at either CML or HML (for standard combination) is 55.5 tonnes.</w:t>
            </w:r>
            <w:bookmarkEnd w:id="107"/>
            <w:bookmarkEnd w:id="108"/>
            <w:bookmarkEnd w:id="109"/>
          </w:p>
        </w:tc>
      </w:tr>
      <w:tr w:rsidR="00952CE8" w:rsidRPr="00A21775" w:rsidTr="005546A1">
        <w:trPr>
          <w:trHeight w:val="460"/>
        </w:trPr>
        <w:tc>
          <w:tcPr>
            <w:tcW w:w="3085" w:type="dxa"/>
            <w:vAlign w:val="center"/>
          </w:tcPr>
          <w:p w:rsidR="00952CE8" w:rsidRPr="00A21775" w:rsidRDefault="00952CE8" w:rsidP="00D01BB4">
            <w:pPr>
              <w:pStyle w:val="RecommendationStyle2"/>
              <w:jc w:val="left"/>
              <w:rPr>
                <w:color w:val="000000" w:themeColor="text1"/>
              </w:rPr>
            </w:pPr>
            <w:bookmarkStart w:id="110" w:name="_Toc306174145"/>
            <w:bookmarkStart w:id="111" w:name="_Toc306199964"/>
            <w:bookmarkStart w:id="112" w:name="_Toc306199998"/>
            <w:r w:rsidRPr="00A21775">
              <w:rPr>
                <w:color w:val="000000" w:themeColor="text1"/>
              </w:rPr>
              <w:t>19 metre 7 Axle B-double:</w:t>
            </w:r>
            <w:bookmarkEnd w:id="110"/>
            <w:bookmarkEnd w:id="111"/>
            <w:bookmarkEnd w:id="112"/>
          </w:p>
        </w:tc>
        <w:tc>
          <w:tcPr>
            <w:tcW w:w="12268" w:type="dxa"/>
            <w:vAlign w:val="center"/>
          </w:tcPr>
          <w:p w:rsidR="00952CE8" w:rsidRPr="00A21775" w:rsidRDefault="00952CE8" w:rsidP="00D01BB4">
            <w:pPr>
              <w:pStyle w:val="RecommendationStyle2"/>
              <w:jc w:val="left"/>
              <w:rPr>
                <w:b w:val="0"/>
                <w:color w:val="000000" w:themeColor="text1"/>
              </w:rPr>
            </w:pPr>
            <w:bookmarkStart w:id="113" w:name="_Toc306174146"/>
            <w:bookmarkStart w:id="114" w:name="_Toc306199965"/>
            <w:bookmarkStart w:id="115" w:name="_Toc306199999"/>
            <w:r w:rsidRPr="00A21775">
              <w:rPr>
                <w:b w:val="0"/>
                <w:color w:val="000000" w:themeColor="text1"/>
              </w:rPr>
              <w:t>The maximum allowable mass limits for this combination at either CML or HML (for standard combination) is 55.5 tonnes.</w:t>
            </w:r>
            <w:bookmarkEnd w:id="113"/>
            <w:bookmarkEnd w:id="114"/>
            <w:bookmarkEnd w:id="115"/>
          </w:p>
        </w:tc>
      </w:tr>
      <w:tr w:rsidR="00952CE8" w:rsidRPr="00A21775" w:rsidTr="005546A1">
        <w:trPr>
          <w:trHeight w:val="460"/>
        </w:trPr>
        <w:tc>
          <w:tcPr>
            <w:tcW w:w="3085" w:type="dxa"/>
            <w:vAlign w:val="center"/>
          </w:tcPr>
          <w:p w:rsidR="00952CE8" w:rsidRPr="00A21775" w:rsidRDefault="00952CE8" w:rsidP="00D01BB4">
            <w:pPr>
              <w:pStyle w:val="RecommendationStyle2"/>
              <w:jc w:val="left"/>
              <w:rPr>
                <w:color w:val="000000" w:themeColor="text1"/>
              </w:rPr>
            </w:pPr>
            <w:bookmarkStart w:id="116" w:name="_Toc306174147"/>
            <w:bookmarkStart w:id="117" w:name="_Toc306199966"/>
            <w:bookmarkStart w:id="118" w:name="_Toc306200000"/>
            <w:r w:rsidRPr="00A21775">
              <w:rPr>
                <w:color w:val="000000" w:themeColor="text1"/>
              </w:rPr>
              <w:t>B-triple:</w:t>
            </w:r>
            <w:bookmarkEnd w:id="116"/>
            <w:bookmarkEnd w:id="117"/>
            <w:bookmarkEnd w:id="118"/>
          </w:p>
        </w:tc>
        <w:tc>
          <w:tcPr>
            <w:tcW w:w="12268" w:type="dxa"/>
            <w:vAlign w:val="center"/>
          </w:tcPr>
          <w:p w:rsidR="00952CE8" w:rsidRPr="00A21775" w:rsidRDefault="00952CE8" w:rsidP="00D01BB4">
            <w:pPr>
              <w:pStyle w:val="RecommendationStyle2"/>
              <w:jc w:val="left"/>
              <w:rPr>
                <w:b w:val="0"/>
                <w:color w:val="000000" w:themeColor="text1"/>
              </w:rPr>
            </w:pPr>
            <w:bookmarkStart w:id="119" w:name="_Toc306174148"/>
            <w:bookmarkStart w:id="120" w:name="_Toc306199967"/>
            <w:bookmarkStart w:id="121" w:name="_Toc306200001"/>
            <w:r w:rsidRPr="00A21775">
              <w:rPr>
                <w:b w:val="0"/>
                <w:color w:val="000000" w:themeColor="text1"/>
              </w:rPr>
              <w:t>Consists of a complying B-double with an additional complying leading trailer.</w:t>
            </w:r>
            <w:bookmarkEnd w:id="119"/>
            <w:bookmarkEnd w:id="120"/>
            <w:bookmarkEnd w:id="121"/>
          </w:p>
        </w:tc>
      </w:tr>
      <w:tr w:rsidR="00952CE8" w:rsidRPr="00A21775" w:rsidTr="005546A1">
        <w:trPr>
          <w:trHeight w:val="460"/>
        </w:trPr>
        <w:tc>
          <w:tcPr>
            <w:tcW w:w="3085" w:type="dxa"/>
            <w:vAlign w:val="center"/>
          </w:tcPr>
          <w:p w:rsidR="00952CE8" w:rsidRPr="00A21775" w:rsidRDefault="00952CE8" w:rsidP="00D01BB4">
            <w:pPr>
              <w:pStyle w:val="RecommendationStyle2"/>
              <w:jc w:val="left"/>
              <w:rPr>
                <w:color w:val="000000" w:themeColor="text1"/>
              </w:rPr>
            </w:pPr>
            <w:bookmarkStart w:id="122" w:name="_Toc306174149"/>
            <w:bookmarkStart w:id="123" w:name="_Toc306199968"/>
            <w:bookmarkStart w:id="124" w:name="_Toc306200002"/>
            <w:r w:rsidRPr="00A21775">
              <w:rPr>
                <w:color w:val="000000" w:themeColor="text1"/>
              </w:rPr>
              <w:t>Converter Dolly:</w:t>
            </w:r>
            <w:bookmarkEnd w:id="122"/>
            <w:bookmarkEnd w:id="123"/>
            <w:bookmarkEnd w:id="124"/>
          </w:p>
        </w:tc>
        <w:tc>
          <w:tcPr>
            <w:tcW w:w="12268" w:type="dxa"/>
            <w:vAlign w:val="center"/>
          </w:tcPr>
          <w:p w:rsidR="00952CE8" w:rsidRPr="00A21775" w:rsidRDefault="00952CE8" w:rsidP="00D01BB4">
            <w:pPr>
              <w:pStyle w:val="RecommendationStyle2"/>
              <w:jc w:val="left"/>
              <w:rPr>
                <w:b w:val="0"/>
                <w:color w:val="000000" w:themeColor="text1"/>
              </w:rPr>
            </w:pPr>
            <w:bookmarkStart w:id="125" w:name="_Toc306174150"/>
            <w:bookmarkStart w:id="126" w:name="_Toc306199969"/>
            <w:bookmarkStart w:id="127" w:name="_Toc306200003"/>
            <w:r w:rsidRPr="00A21775">
              <w:rPr>
                <w:b w:val="0"/>
                <w:color w:val="000000" w:themeColor="text1"/>
              </w:rPr>
              <w:t>All combinations utilizing a converter dolly are configured with a tandem axle.   The configured vertical imposed loading of a 6x4 prime mover is similar to the allowable imposed vertical loading of a tandem axle converter dolly.</w:t>
            </w:r>
            <w:bookmarkEnd w:id="125"/>
            <w:bookmarkEnd w:id="126"/>
            <w:bookmarkEnd w:id="127"/>
          </w:p>
        </w:tc>
      </w:tr>
      <w:tr w:rsidR="00952CE8" w:rsidRPr="00A21775" w:rsidTr="005546A1">
        <w:trPr>
          <w:trHeight w:val="460"/>
        </w:trPr>
        <w:tc>
          <w:tcPr>
            <w:tcW w:w="3085" w:type="dxa"/>
            <w:vAlign w:val="center"/>
          </w:tcPr>
          <w:p w:rsidR="00952CE8" w:rsidRPr="00A21775" w:rsidRDefault="00952CE8" w:rsidP="00D01BB4">
            <w:pPr>
              <w:pStyle w:val="RecommendationStyle2"/>
              <w:jc w:val="left"/>
              <w:rPr>
                <w:color w:val="000000" w:themeColor="text1"/>
              </w:rPr>
            </w:pPr>
            <w:bookmarkStart w:id="128" w:name="_Toc306174151"/>
            <w:bookmarkStart w:id="129" w:name="_Toc306199970"/>
            <w:bookmarkStart w:id="130" w:name="_Toc306200004"/>
            <w:r w:rsidRPr="00A21775">
              <w:rPr>
                <w:color w:val="000000" w:themeColor="text1"/>
              </w:rPr>
              <w:t>AB-triple:</w:t>
            </w:r>
            <w:bookmarkEnd w:id="128"/>
            <w:bookmarkEnd w:id="129"/>
            <w:bookmarkEnd w:id="130"/>
          </w:p>
        </w:tc>
        <w:tc>
          <w:tcPr>
            <w:tcW w:w="12268" w:type="dxa"/>
            <w:vAlign w:val="center"/>
          </w:tcPr>
          <w:p w:rsidR="00952CE8" w:rsidRPr="00A21775" w:rsidRDefault="00952CE8" w:rsidP="00D01BB4">
            <w:pPr>
              <w:pStyle w:val="RecommendationStyle2"/>
              <w:jc w:val="left"/>
              <w:rPr>
                <w:b w:val="0"/>
                <w:color w:val="000000" w:themeColor="text1"/>
              </w:rPr>
            </w:pPr>
            <w:bookmarkStart w:id="131" w:name="_Toc306174152"/>
            <w:bookmarkStart w:id="132" w:name="_Toc306199971"/>
            <w:bookmarkStart w:id="133" w:name="_Toc306200005"/>
            <w:r w:rsidRPr="00A21775">
              <w:rPr>
                <w:b w:val="0"/>
                <w:color w:val="000000" w:themeColor="text1"/>
              </w:rPr>
              <w:t>Consists of a complying B-double with an additional complying road train leading trailer and a complying converter dolly.</w:t>
            </w:r>
            <w:bookmarkEnd w:id="131"/>
            <w:bookmarkEnd w:id="132"/>
            <w:bookmarkEnd w:id="133"/>
          </w:p>
        </w:tc>
      </w:tr>
      <w:tr w:rsidR="00952CE8" w:rsidRPr="00A21775" w:rsidTr="005546A1">
        <w:trPr>
          <w:trHeight w:val="460"/>
        </w:trPr>
        <w:tc>
          <w:tcPr>
            <w:tcW w:w="3085" w:type="dxa"/>
            <w:vAlign w:val="center"/>
          </w:tcPr>
          <w:p w:rsidR="00952CE8" w:rsidRPr="00A21775" w:rsidRDefault="00952CE8" w:rsidP="00D01BB4">
            <w:pPr>
              <w:pStyle w:val="RecommendationStyle2"/>
              <w:jc w:val="left"/>
              <w:rPr>
                <w:color w:val="000000" w:themeColor="text1"/>
              </w:rPr>
            </w:pPr>
            <w:bookmarkStart w:id="134" w:name="_Toc306174153"/>
            <w:bookmarkStart w:id="135" w:name="_Toc306199972"/>
            <w:bookmarkStart w:id="136" w:name="_Toc306200006"/>
            <w:r w:rsidRPr="00A21775">
              <w:rPr>
                <w:color w:val="000000" w:themeColor="text1"/>
              </w:rPr>
              <w:t>BAB-Quad:</w:t>
            </w:r>
            <w:bookmarkEnd w:id="134"/>
            <w:bookmarkEnd w:id="135"/>
            <w:bookmarkEnd w:id="136"/>
            <w:r w:rsidRPr="00A21775">
              <w:rPr>
                <w:color w:val="000000" w:themeColor="text1"/>
              </w:rPr>
              <w:t xml:space="preserve">  </w:t>
            </w:r>
          </w:p>
        </w:tc>
        <w:tc>
          <w:tcPr>
            <w:tcW w:w="12268" w:type="dxa"/>
            <w:vAlign w:val="center"/>
          </w:tcPr>
          <w:p w:rsidR="00952CE8" w:rsidRPr="00A21775" w:rsidRDefault="00952CE8" w:rsidP="00D01BB4">
            <w:pPr>
              <w:pStyle w:val="RecommendationStyle2"/>
              <w:jc w:val="left"/>
              <w:rPr>
                <w:b w:val="0"/>
                <w:color w:val="000000" w:themeColor="text1"/>
              </w:rPr>
            </w:pPr>
            <w:bookmarkStart w:id="137" w:name="_Toc306174154"/>
            <w:bookmarkStart w:id="138" w:name="_Toc306199973"/>
            <w:bookmarkStart w:id="139" w:name="_Toc306200007"/>
            <w:r w:rsidRPr="00A21775">
              <w:rPr>
                <w:b w:val="0"/>
                <w:color w:val="000000" w:themeColor="text1"/>
              </w:rPr>
              <w:t>Consists of a complying B-double with an additional complying converter dolly and additional complying set of B-double trailers.</w:t>
            </w:r>
            <w:bookmarkEnd w:id="137"/>
            <w:bookmarkEnd w:id="138"/>
            <w:bookmarkEnd w:id="139"/>
          </w:p>
        </w:tc>
      </w:tr>
    </w:tbl>
    <w:p w:rsidR="00952CE8" w:rsidRPr="00A21775" w:rsidRDefault="00952CE8" w:rsidP="00D01BB4">
      <w:pPr>
        <w:pStyle w:val="RecommendationStyle2"/>
        <w:jc w:val="left"/>
        <w:rPr>
          <w:color w:val="000000" w:themeColor="text1"/>
        </w:rPr>
      </w:pPr>
    </w:p>
    <w:p w:rsidR="002D7F0B" w:rsidRPr="00A21775" w:rsidRDefault="002D7F0B" w:rsidP="00D01BB4">
      <w:pPr>
        <w:pStyle w:val="RecommendationStyle2"/>
        <w:jc w:val="left"/>
        <w:rPr>
          <w:color w:val="000000" w:themeColor="text1"/>
        </w:rPr>
      </w:pPr>
    </w:p>
    <w:p w:rsidR="002D7F0B" w:rsidRPr="00A21775" w:rsidRDefault="002D7F0B" w:rsidP="00D01BB4">
      <w:pPr>
        <w:pStyle w:val="RecommendationStyle2"/>
        <w:jc w:val="left"/>
        <w:rPr>
          <w:color w:val="000000" w:themeColor="text1"/>
        </w:rPr>
      </w:pPr>
      <w:r w:rsidRPr="00A21775">
        <w:rPr>
          <w:color w:val="000000" w:themeColor="text1"/>
        </w:rPr>
        <w:br w:type="page"/>
      </w:r>
    </w:p>
    <w:p w:rsidR="002D7F0B" w:rsidRPr="00A21775" w:rsidRDefault="002D7F0B" w:rsidP="00D01BB4">
      <w:pPr>
        <w:pStyle w:val="RecommendationStyle2"/>
        <w:rPr>
          <w:color w:val="000000" w:themeColor="text1"/>
        </w:rPr>
      </w:pPr>
      <w:r w:rsidRPr="00A21775">
        <w:rPr>
          <w:noProof/>
          <w:color w:val="000000" w:themeColor="text1"/>
          <w:lang w:eastAsia="en-AU"/>
        </w:rPr>
        <w:lastRenderedPageBreak/>
        <w:drawing>
          <wp:anchor distT="0" distB="0" distL="114300" distR="114300" simplePos="0" relativeHeight="251659264" behindDoc="1" locked="0" layoutInCell="1" allowOverlap="1">
            <wp:simplePos x="0" y="0"/>
            <wp:positionH relativeFrom="column">
              <wp:posOffset>-1929765</wp:posOffset>
            </wp:positionH>
            <wp:positionV relativeFrom="paragraph">
              <wp:posOffset>1623060</wp:posOffset>
            </wp:positionV>
            <wp:extent cx="9620250" cy="6120130"/>
            <wp:effectExtent l="0" t="1752600" r="0" b="172847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rot="5400000">
                      <a:off x="0" y="0"/>
                      <a:ext cx="9620250" cy="6120130"/>
                    </a:xfrm>
                    <a:prstGeom prst="rect">
                      <a:avLst/>
                    </a:prstGeom>
                    <a:noFill/>
                    <a:ln w="9525">
                      <a:noFill/>
                      <a:miter lim="800000"/>
                      <a:headEnd/>
                      <a:tailEnd/>
                    </a:ln>
                  </pic:spPr>
                </pic:pic>
              </a:graphicData>
            </a:graphic>
          </wp:anchor>
        </w:drawing>
      </w:r>
    </w:p>
    <w:p w:rsidR="002D7F0B" w:rsidRPr="00A21775" w:rsidRDefault="002D7F0B" w:rsidP="00D01BB4">
      <w:pPr>
        <w:pStyle w:val="RecommendationStyle2"/>
        <w:rPr>
          <w:color w:val="000000" w:themeColor="text1"/>
        </w:rPr>
      </w:pPr>
    </w:p>
    <w:p w:rsidR="002D7F0B" w:rsidRPr="00A21775" w:rsidRDefault="002D7F0B" w:rsidP="00D01BB4">
      <w:pPr>
        <w:pStyle w:val="RecommendationStyle2"/>
        <w:rPr>
          <w:color w:val="000000" w:themeColor="text1"/>
        </w:rPr>
      </w:pPr>
    </w:p>
    <w:p w:rsidR="00D735FF" w:rsidRPr="00A21775" w:rsidRDefault="00D735FF" w:rsidP="00D01BB4">
      <w:pPr>
        <w:pStyle w:val="Heading1"/>
        <w:numPr>
          <w:ilvl w:val="0"/>
          <w:numId w:val="0"/>
        </w:numPr>
        <w:ind w:left="360" w:hanging="360"/>
        <w:jc w:val="both"/>
        <w:rPr>
          <w:sz w:val="20"/>
          <w:szCs w:val="20"/>
        </w:rPr>
      </w:pPr>
    </w:p>
    <w:p w:rsidR="00EA3010" w:rsidRPr="00A21775" w:rsidRDefault="00EA3010" w:rsidP="00D01BB4">
      <w:pPr>
        <w:pStyle w:val="Heading1"/>
        <w:numPr>
          <w:ilvl w:val="0"/>
          <w:numId w:val="0"/>
        </w:numPr>
        <w:ind w:left="360" w:hanging="360"/>
        <w:jc w:val="both"/>
        <w:rPr>
          <w:sz w:val="20"/>
          <w:szCs w:val="20"/>
        </w:rPr>
      </w:pPr>
    </w:p>
    <w:sectPr w:rsidR="00EA3010" w:rsidRPr="00A21775" w:rsidSect="00A9141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888" w:rsidRDefault="00E92888" w:rsidP="000F3D9F">
      <w:r>
        <w:separator/>
      </w:r>
    </w:p>
  </w:endnote>
  <w:endnote w:type="continuationSeparator" w:id="0">
    <w:p w:rsidR="00E92888" w:rsidRDefault="00E92888" w:rsidP="000F3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3C" w:rsidRDefault="002E3C3C"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2E3C3C" w:rsidRPr="00E8056B" w:rsidRDefault="002E3C3C" w:rsidP="00E8056B">
    <w:pPr>
      <w:jc w:val="right"/>
      <w:rPr>
        <w:rFonts w:ascii="Arial" w:hAnsi="Arial" w:cs="Arial"/>
        <w:sz w:val="16"/>
        <w:szCs w:val="16"/>
      </w:rPr>
    </w:pPr>
  </w:p>
  <w:p w:rsidR="002E3C3C" w:rsidRPr="00E8056B" w:rsidRDefault="002E3C3C"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2E3C3C" w:rsidRPr="00E8056B" w:rsidRDefault="002E3C3C"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sidRPr="00E8056B">
      <w:rPr>
        <w:rFonts w:ascii="Arial" w:hAnsi="Arial" w:cs="Arial"/>
        <w:bCs/>
        <w:sz w:val="16"/>
        <w:szCs w:val="16"/>
      </w:rPr>
      <w:t>ata@atatruck.net.au</w:t>
    </w:r>
    <w:r w:rsidRPr="00E8056B">
      <w:rPr>
        <w:rFonts w:ascii="Arial" w:hAnsi="Arial" w:cs="Arial"/>
        <w:b/>
        <w:sz w:val="16"/>
        <w:szCs w:val="16"/>
      </w:rPr>
      <w:t xml:space="preserve"> W</w:t>
    </w:r>
    <w:r w:rsidRPr="00E8056B">
      <w:rPr>
        <w:rFonts w:ascii="Arial" w:hAnsi="Arial" w:cs="Arial"/>
        <w:sz w:val="16"/>
        <w:szCs w:val="16"/>
      </w:rPr>
      <w:t xml:space="preserve"> </w:t>
    </w:r>
    <w:r w:rsidRPr="00E8056B">
      <w:rPr>
        <w:rFonts w:ascii="Arial" w:hAnsi="Arial" w:cs="Arial"/>
        <w:bCs/>
        <w:sz w:val="16"/>
        <w:szCs w:val="16"/>
      </w:rPr>
      <w:t>www.atatruck.net.au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3C" w:rsidRDefault="00E52BA2">
    <w:pPr>
      <w:pStyle w:val="Footer"/>
      <w:jc w:val="right"/>
    </w:pPr>
    <w:fldSimple w:instr=" PAGE   \* MERGEFORMAT ">
      <w:r w:rsidR="002E3C3C">
        <w:rPr>
          <w:noProof/>
        </w:rPr>
        <w:t>7</w:t>
      </w:r>
    </w:fldSimple>
  </w:p>
  <w:p w:rsidR="002E3C3C" w:rsidRDefault="002E3C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3C" w:rsidRDefault="002E3C3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2E3C3C" w:rsidRPr="00A91411" w:rsidTr="00D735FF">
      <w:trPr>
        <w:trHeight w:val="278"/>
      </w:trPr>
      <w:tc>
        <w:tcPr>
          <w:tcW w:w="4927" w:type="dxa"/>
          <w:vAlign w:val="center"/>
        </w:tcPr>
        <w:p w:rsidR="002E3C3C" w:rsidRPr="00A91411" w:rsidRDefault="002E3C3C" w:rsidP="00DB17ED">
          <w:pPr>
            <w:pStyle w:val="Footer"/>
            <w:rPr>
              <w:rFonts w:ascii="Arial" w:hAnsi="Arial" w:cs="Arial"/>
              <w:sz w:val="14"/>
              <w:szCs w:val="14"/>
            </w:rPr>
          </w:pPr>
          <w:r w:rsidRPr="00A91411">
            <w:rPr>
              <w:rFonts w:ascii="Arial" w:hAnsi="Arial" w:cs="Arial"/>
              <w:sz w:val="14"/>
              <w:szCs w:val="14"/>
            </w:rPr>
            <w:t xml:space="preserve">Submission – </w:t>
          </w:r>
          <w:r w:rsidRPr="00C74FCB">
            <w:rPr>
              <w:rFonts w:ascii="Arial" w:hAnsi="Arial" w:cs="Arial"/>
              <w:sz w:val="14"/>
              <w:szCs w:val="14"/>
            </w:rPr>
            <w:t>Exploring</w:t>
          </w:r>
          <w:r w:rsidR="004A4A93">
            <w:rPr>
              <w:rFonts w:ascii="Arial" w:hAnsi="Arial" w:cs="Arial"/>
              <w:sz w:val="14"/>
              <w:szCs w:val="14"/>
            </w:rPr>
            <w:t xml:space="preserve"> the opportunities for reform: d</w:t>
          </w:r>
          <w:r w:rsidRPr="00C74FCB">
            <w:rPr>
              <w:rFonts w:ascii="Arial" w:hAnsi="Arial" w:cs="Arial"/>
              <w:sz w:val="14"/>
              <w:szCs w:val="14"/>
            </w:rPr>
            <w:t>iscussion paper</w:t>
          </w:r>
          <w:r w:rsidR="005B595D">
            <w:rPr>
              <w:rFonts w:ascii="Arial" w:hAnsi="Arial" w:cs="Arial"/>
              <w:sz w:val="14"/>
              <w:szCs w:val="14"/>
            </w:rPr>
            <w:t xml:space="preserve">. </w:t>
          </w:r>
          <w:r w:rsidR="005B595D" w:rsidRPr="005B595D">
            <w:rPr>
              <w:rFonts w:ascii="Arial" w:hAnsi="Arial" w:cs="Arial"/>
              <w:sz w:val="14"/>
              <w:szCs w:val="14"/>
            </w:rPr>
            <w:t>Smart transport for a growing nation project.</w:t>
          </w:r>
        </w:p>
      </w:tc>
      <w:tc>
        <w:tcPr>
          <w:tcW w:w="4927" w:type="dxa"/>
          <w:vAlign w:val="center"/>
        </w:tcPr>
        <w:p w:rsidR="002E3C3C" w:rsidRPr="00A91411" w:rsidRDefault="002E3C3C" w:rsidP="00D735FF">
          <w:pPr>
            <w:pStyle w:val="Footer"/>
            <w:jc w:val="right"/>
            <w:rPr>
              <w:rFonts w:ascii="Arial" w:hAnsi="Arial" w:cs="Arial"/>
              <w:sz w:val="14"/>
              <w:szCs w:val="14"/>
            </w:rPr>
          </w:pPr>
          <w:r w:rsidRPr="00A91411">
            <w:rPr>
              <w:rFonts w:ascii="Arial" w:hAnsi="Arial" w:cs="Arial"/>
              <w:sz w:val="14"/>
              <w:szCs w:val="14"/>
            </w:rPr>
            <w:t xml:space="preserve">Page </w:t>
          </w:r>
          <w:r w:rsidR="00E52BA2"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E52BA2" w:rsidRPr="00A91411">
            <w:rPr>
              <w:rFonts w:ascii="Arial" w:hAnsi="Arial" w:cs="Arial"/>
              <w:sz w:val="14"/>
              <w:szCs w:val="14"/>
            </w:rPr>
            <w:fldChar w:fldCharType="separate"/>
          </w:r>
          <w:r w:rsidR="00F522D4">
            <w:rPr>
              <w:rFonts w:ascii="Arial" w:hAnsi="Arial" w:cs="Arial"/>
              <w:noProof/>
              <w:sz w:val="14"/>
              <w:szCs w:val="14"/>
            </w:rPr>
            <w:t>9</w:t>
          </w:r>
          <w:r w:rsidR="00E52BA2" w:rsidRPr="00A91411">
            <w:rPr>
              <w:rFonts w:ascii="Arial" w:hAnsi="Arial" w:cs="Arial"/>
              <w:sz w:val="14"/>
              <w:szCs w:val="14"/>
            </w:rPr>
            <w:fldChar w:fldCharType="end"/>
          </w:r>
        </w:p>
      </w:tc>
    </w:tr>
  </w:tbl>
  <w:p w:rsidR="002E3C3C" w:rsidRPr="00A91411" w:rsidRDefault="002E3C3C">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3C" w:rsidRDefault="002E3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888" w:rsidRDefault="00E92888" w:rsidP="000F3D9F">
      <w:r>
        <w:separator/>
      </w:r>
    </w:p>
  </w:footnote>
  <w:footnote w:type="continuationSeparator" w:id="0">
    <w:p w:rsidR="00E92888" w:rsidRDefault="00E92888" w:rsidP="000F3D9F">
      <w:r>
        <w:continuationSeparator/>
      </w:r>
    </w:p>
  </w:footnote>
  <w:footnote w:id="1">
    <w:p w:rsidR="002E3C3C" w:rsidRPr="00D01BB4" w:rsidRDefault="002E3C3C" w:rsidP="002A6474">
      <w:pPr>
        <w:pStyle w:val="FootnoteText"/>
        <w:rPr>
          <w:sz w:val="16"/>
          <w:szCs w:val="16"/>
        </w:rPr>
      </w:pPr>
      <w:r w:rsidRPr="00D01BB4">
        <w:rPr>
          <w:rStyle w:val="FootnoteReference"/>
          <w:sz w:val="16"/>
          <w:szCs w:val="16"/>
        </w:rPr>
        <w:footnoteRef/>
      </w:r>
      <w:r w:rsidRPr="00D01BB4">
        <w:rPr>
          <w:sz w:val="16"/>
          <w:szCs w:val="16"/>
        </w:rPr>
        <w:t xml:space="preserve"> Page 12 </w:t>
      </w:r>
      <w:hyperlink r:id="rId1" w:tgtFrame="_blank" w:history="1">
        <w:r w:rsidRPr="00D01BB4">
          <w:rPr>
            <w:rStyle w:val="Hyperlink"/>
            <w:color w:val="auto"/>
            <w:sz w:val="16"/>
            <w:szCs w:val="16"/>
            <w:u w:val="none"/>
          </w:rPr>
          <w:t>Issues Paper - Review of Access Pricing on the NSW Grain Line Network - May 2011</w:t>
        </w:r>
      </w:hyperlink>
      <w:r w:rsidRPr="00D01BB4">
        <w:rPr>
          <w:sz w:val="16"/>
          <w:szCs w:val="16"/>
        </w:rPr>
        <w:t xml:space="preserve"> – IPART</w:t>
      </w:r>
    </w:p>
  </w:footnote>
  <w:footnote w:id="2">
    <w:p w:rsidR="002E3C3C" w:rsidRPr="00D01BB4" w:rsidRDefault="002E3C3C" w:rsidP="002A6474">
      <w:pPr>
        <w:pStyle w:val="FootnoteText"/>
        <w:rPr>
          <w:sz w:val="16"/>
          <w:szCs w:val="16"/>
        </w:rPr>
      </w:pPr>
      <w:r w:rsidRPr="00D01BB4">
        <w:rPr>
          <w:rStyle w:val="FootnoteReference"/>
          <w:sz w:val="16"/>
          <w:szCs w:val="16"/>
        </w:rPr>
        <w:footnoteRef/>
      </w:r>
      <w:r w:rsidRPr="00D01BB4">
        <w:rPr>
          <w:sz w:val="16"/>
          <w:szCs w:val="16"/>
        </w:rPr>
        <w:t xml:space="preserve"> Page </w:t>
      </w:r>
      <w:proofErr w:type="spellStart"/>
      <w:r w:rsidRPr="00D01BB4">
        <w:rPr>
          <w:sz w:val="16"/>
          <w:szCs w:val="16"/>
        </w:rPr>
        <w:t>i</w:t>
      </w:r>
      <w:proofErr w:type="spellEnd"/>
      <w:r w:rsidRPr="00D01BB4">
        <w:rPr>
          <w:sz w:val="16"/>
          <w:szCs w:val="16"/>
        </w:rPr>
        <w:t xml:space="preserve"> – summary – Austroads Technical report – Audit of rest areas against national guidelines</w:t>
      </w:r>
      <w:r w:rsidR="00153E65">
        <w:rPr>
          <w:sz w:val="16"/>
          <w:szCs w:val="16"/>
        </w:rPr>
        <w:t xml:space="preserve"> - 2008</w:t>
      </w:r>
    </w:p>
  </w:footnote>
  <w:footnote w:id="3">
    <w:p w:rsidR="002E3C3C" w:rsidRPr="00D01BB4" w:rsidRDefault="002E3C3C" w:rsidP="002A6474">
      <w:pPr>
        <w:pStyle w:val="FootnoteText"/>
        <w:rPr>
          <w:sz w:val="16"/>
          <w:szCs w:val="16"/>
        </w:rPr>
      </w:pPr>
      <w:r w:rsidRPr="00D01BB4">
        <w:rPr>
          <w:rStyle w:val="FootnoteReference"/>
          <w:sz w:val="16"/>
          <w:szCs w:val="16"/>
        </w:rPr>
        <w:footnoteRef/>
      </w:r>
      <w:r w:rsidRPr="00D01BB4">
        <w:rPr>
          <w:sz w:val="16"/>
          <w:szCs w:val="16"/>
        </w:rPr>
        <w:t xml:space="preserve"> </w:t>
      </w:r>
      <w:hyperlink r:id="rId2" w:history="1">
        <w:r w:rsidRPr="00D01BB4">
          <w:rPr>
            <w:rStyle w:val="Hyperlink"/>
            <w:color w:val="auto"/>
            <w:sz w:val="16"/>
            <w:szCs w:val="16"/>
            <w:u w:val="none"/>
          </w:rPr>
          <w:t>http://www.nti.com.au/AboutNTI/NewsandMedia/tabid/85/newsid468/17/mid/468/Default.aspx</w:t>
        </w:r>
      </w:hyperlink>
      <w:r w:rsidRPr="00D01BB4">
        <w:rPr>
          <w:sz w:val="16"/>
          <w:szCs w:val="16"/>
        </w:rPr>
        <w:t xml:space="preserve"> </w:t>
      </w:r>
    </w:p>
  </w:footnote>
  <w:footnote w:id="4">
    <w:p w:rsidR="002E3C3C" w:rsidRPr="00D01BB4" w:rsidRDefault="002E3C3C" w:rsidP="00EA3010">
      <w:pPr>
        <w:pStyle w:val="FootnoteText"/>
        <w:rPr>
          <w:sz w:val="16"/>
          <w:szCs w:val="16"/>
        </w:rPr>
      </w:pPr>
      <w:r w:rsidRPr="00D01BB4">
        <w:rPr>
          <w:rStyle w:val="FootnoteReference"/>
          <w:sz w:val="16"/>
          <w:szCs w:val="16"/>
        </w:rPr>
        <w:footnoteRef/>
      </w:r>
      <w:r w:rsidRPr="00D01BB4">
        <w:rPr>
          <w:sz w:val="16"/>
          <w:szCs w:val="16"/>
        </w:rPr>
        <w:t xml:space="preserve"> Page 2 Infrastructure Australia – A report to the council of Australian government 2011</w:t>
      </w:r>
    </w:p>
  </w:footnote>
  <w:footnote w:id="5">
    <w:p w:rsidR="002E3C3C" w:rsidRPr="00D01BB4" w:rsidRDefault="002E3C3C" w:rsidP="00EA3010">
      <w:pPr>
        <w:pStyle w:val="FootnoteText"/>
        <w:rPr>
          <w:sz w:val="16"/>
          <w:szCs w:val="16"/>
        </w:rPr>
      </w:pPr>
      <w:r w:rsidRPr="00D01BB4">
        <w:rPr>
          <w:rStyle w:val="FootnoteReference"/>
          <w:sz w:val="16"/>
          <w:szCs w:val="16"/>
        </w:rPr>
        <w:footnoteRef/>
      </w:r>
      <w:r w:rsidRPr="00D01BB4">
        <w:rPr>
          <w:sz w:val="16"/>
          <w:szCs w:val="16"/>
        </w:rPr>
        <w:t xml:space="preserve"> Page 20 Infrastructure Australia – A report to the Council of Australian Government 2011</w:t>
      </w:r>
    </w:p>
  </w:footnote>
  <w:footnote w:id="6">
    <w:p w:rsidR="002E3C3C" w:rsidRPr="00D01BB4" w:rsidRDefault="002E3C3C" w:rsidP="00A21775">
      <w:pPr>
        <w:pStyle w:val="FootnoteText"/>
        <w:rPr>
          <w:sz w:val="16"/>
          <w:szCs w:val="16"/>
        </w:rPr>
      </w:pPr>
      <w:r w:rsidRPr="00D01BB4">
        <w:rPr>
          <w:rStyle w:val="FootnoteReference"/>
          <w:sz w:val="16"/>
          <w:szCs w:val="16"/>
        </w:rPr>
        <w:footnoteRef/>
      </w:r>
      <w:r w:rsidRPr="00D01BB4">
        <w:rPr>
          <w:sz w:val="16"/>
          <w:szCs w:val="16"/>
        </w:rPr>
        <w:t xml:space="preserve"> </w:t>
      </w:r>
      <w:hyperlink r:id="rId3" w:history="1">
        <w:r w:rsidRPr="00D01BB4">
          <w:rPr>
            <w:rStyle w:val="Hyperlink"/>
            <w:color w:val="auto"/>
            <w:sz w:val="16"/>
            <w:szCs w:val="16"/>
            <w:u w:val="none"/>
          </w:rPr>
          <w:t>http://www.ntc.gov.au/filemedia/Groups/PBSmapsportalFAQ.pdf</w:t>
        </w:r>
      </w:hyperlink>
      <w:r w:rsidRPr="00D01BB4">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3C" w:rsidRPr="00E8056B" w:rsidRDefault="002E3C3C"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2E3C3C" w:rsidRDefault="002E3C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3C" w:rsidRDefault="00E52BA2">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8" o:spid="_x0000_s2049" type="#_x0000_t136" style="position:absolute;margin-left:0;margin-top:0;width:318.15pt;height:318.15pt;rotation:315;z-index:-251658240;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3C" w:rsidRPr="0019542E" w:rsidRDefault="002E3C3C"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3C" w:rsidRDefault="00E52BA2">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7" o:spid="_x0000_s2051" type="#_x0000_t136" style="position:absolute;margin-left:0;margin-top:0;width:318.15pt;height:318.15pt;rotation:315;z-index:-251659264;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657D"/>
    <w:multiLevelType w:val="hybridMultilevel"/>
    <w:tmpl w:val="CC08D5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377196"/>
    <w:multiLevelType w:val="hybridMultilevel"/>
    <w:tmpl w:val="CE32D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A35423"/>
    <w:multiLevelType w:val="hybridMultilevel"/>
    <w:tmpl w:val="2898C44C"/>
    <w:lvl w:ilvl="0" w:tplc="3958769C">
      <w:start w:val="1"/>
      <w:numFmt w:val="decimal"/>
      <w:pStyle w:val="RecommendationStyle"/>
      <w:lvlText w:val="Recommendation %1"/>
      <w:lvlJc w:val="left"/>
      <w:pPr>
        <w:tabs>
          <w:tab w:val="num" w:pos="1334"/>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2717"/>
        </w:tabs>
        <w:ind w:left="2717" w:hanging="360"/>
      </w:pPr>
      <w:rPr>
        <w:rFonts w:cs="Times New Roman"/>
      </w:rPr>
    </w:lvl>
    <w:lvl w:ilvl="2" w:tplc="0C09001B" w:tentative="1">
      <w:start w:val="1"/>
      <w:numFmt w:val="lowerRoman"/>
      <w:lvlText w:val="%3."/>
      <w:lvlJc w:val="right"/>
      <w:pPr>
        <w:tabs>
          <w:tab w:val="num" w:pos="3437"/>
        </w:tabs>
        <w:ind w:left="3437" w:hanging="180"/>
      </w:pPr>
      <w:rPr>
        <w:rFonts w:cs="Times New Roman"/>
      </w:rPr>
    </w:lvl>
    <w:lvl w:ilvl="3" w:tplc="0C09000F" w:tentative="1">
      <w:start w:val="1"/>
      <w:numFmt w:val="decimal"/>
      <w:lvlText w:val="%4."/>
      <w:lvlJc w:val="left"/>
      <w:pPr>
        <w:tabs>
          <w:tab w:val="num" w:pos="4157"/>
        </w:tabs>
        <w:ind w:left="4157" w:hanging="360"/>
      </w:pPr>
      <w:rPr>
        <w:rFonts w:cs="Times New Roman"/>
      </w:rPr>
    </w:lvl>
    <w:lvl w:ilvl="4" w:tplc="0C090019" w:tentative="1">
      <w:start w:val="1"/>
      <w:numFmt w:val="lowerLetter"/>
      <w:lvlText w:val="%5."/>
      <w:lvlJc w:val="left"/>
      <w:pPr>
        <w:tabs>
          <w:tab w:val="num" w:pos="4877"/>
        </w:tabs>
        <w:ind w:left="4877" w:hanging="360"/>
      </w:pPr>
      <w:rPr>
        <w:rFonts w:cs="Times New Roman"/>
      </w:rPr>
    </w:lvl>
    <w:lvl w:ilvl="5" w:tplc="0C09001B" w:tentative="1">
      <w:start w:val="1"/>
      <w:numFmt w:val="lowerRoman"/>
      <w:lvlText w:val="%6."/>
      <w:lvlJc w:val="right"/>
      <w:pPr>
        <w:tabs>
          <w:tab w:val="num" w:pos="5597"/>
        </w:tabs>
        <w:ind w:left="5597" w:hanging="180"/>
      </w:pPr>
      <w:rPr>
        <w:rFonts w:cs="Times New Roman"/>
      </w:rPr>
    </w:lvl>
    <w:lvl w:ilvl="6" w:tplc="0C09000F" w:tentative="1">
      <w:start w:val="1"/>
      <w:numFmt w:val="decimal"/>
      <w:lvlText w:val="%7."/>
      <w:lvlJc w:val="left"/>
      <w:pPr>
        <w:tabs>
          <w:tab w:val="num" w:pos="6317"/>
        </w:tabs>
        <w:ind w:left="6317" w:hanging="360"/>
      </w:pPr>
      <w:rPr>
        <w:rFonts w:cs="Times New Roman"/>
      </w:rPr>
    </w:lvl>
    <w:lvl w:ilvl="7" w:tplc="0C090019" w:tentative="1">
      <w:start w:val="1"/>
      <w:numFmt w:val="lowerLetter"/>
      <w:lvlText w:val="%8."/>
      <w:lvlJc w:val="left"/>
      <w:pPr>
        <w:tabs>
          <w:tab w:val="num" w:pos="7037"/>
        </w:tabs>
        <w:ind w:left="7037" w:hanging="360"/>
      </w:pPr>
      <w:rPr>
        <w:rFonts w:cs="Times New Roman"/>
      </w:rPr>
    </w:lvl>
    <w:lvl w:ilvl="8" w:tplc="0C09001B" w:tentative="1">
      <w:start w:val="1"/>
      <w:numFmt w:val="lowerRoman"/>
      <w:lvlText w:val="%9."/>
      <w:lvlJc w:val="right"/>
      <w:pPr>
        <w:tabs>
          <w:tab w:val="num" w:pos="7757"/>
        </w:tabs>
        <w:ind w:left="7757" w:hanging="180"/>
      </w:pPr>
      <w:rPr>
        <w:rFonts w:cs="Times New Roman"/>
      </w:rPr>
    </w:lvl>
  </w:abstractNum>
  <w:abstractNum w:abstractNumId="3">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654B4487"/>
    <w:multiLevelType w:val="hybridMultilevel"/>
    <w:tmpl w:val="5C5E1F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1627A"/>
    <w:rsid w:val="00002C0F"/>
    <w:rsid w:val="00005E0D"/>
    <w:rsid w:val="000063FF"/>
    <w:rsid w:val="00012264"/>
    <w:rsid w:val="000156D1"/>
    <w:rsid w:val="0002042E"/>
    <w:rsid w:val="00034C28"/>
    <w:rsid w:val="00035CFC"/>
    <w:rsid w:val="000368A9"/>
    <w:rsid w:val="00040876"/>
    <w:rsid w:val="00046023"/>
    <w:rsid w:val="00052E9C"/>
    <w:rsid w:val="0006283B"/>
    <w:rsid w:val="000661F5"/>
    <w:rsid w:val="0007542B"/>
    <w:rsid w:val="00075E7B"/>
    <w:rsid w:val="00076E75"/>
    <w:rsid w:val="000814A8"/>
    <w:rsid w:val="00083C15"/>
    <w:rsid w:val="000848A1"/>
    <w:rsid w:val="0008773D"/>
    <w:rsid w:val="0008782D"/>
    <w:rsid w:val="00095C3B"/>
    <w:rsid w:val="000A2BCF"/>
    <w:rsid w:val="000A4EB0"/>
    <w:rsid w:val="000A6322"/>
    <w:rsid w:val="000A6B02"/>
    <w:rsid w:val="000B069A"/>
    <w:rsid w:val="000B6635"/>
    <w:rsid w:val="000B6930"/>
    <w:rsid w:val="000B6D2A"/>
    <w:rsid w:val="000B7374"/>
    <w:rsid w:val="000B773A"/>
    <w:rsid w:val="000C0C35"/>
    <w:rsid w:val="000C310A"/>
    <w:rsid w:val="000D0F12"/>
    <w:rsid w:val="000E06D2"/>
    <w:rsid w:val="000E0F5C"/>
    <w:rsid w:val="000E5835"/>
    <w:rsid w:val="000E7B14"/>
    <w:rsid w:val="000F00E0"/>
    <w:rsid w:val="000F0F7B"/>
    <w:rsid w:val="000F3D9F"/>
    <w:rsid w:val="000F53C2"/>
    <w:rsid w:val="000F566E"/>
    <w:rsid w:val="000F7F6F"/>
    <w:rsid w:val="001011C8"/>
    <w:rsid w:val="00102931"/>
    <w:rsid w:val="00110610"/>
    <w:rsid w:val="00121A53"/>
    <w:rsid w:val="00121A86"/>
    <w:rsid w:val="001227E2"/>
    <w:rsid w:val="0012332A"/>
    <w:rsid w:val="0013041A"/>
    <w:rsid w:val="001368EB"/>
    <w:rsid w:val="00141274"/>
    <w:rsid w:val="00143701"/>
    <w:rsid w:val="00144061"/>
    <w:rsid w:val="0014610F"/>
    <w:rsid w:val="0014683D"/>
    <w:rsid w:val="00150065"/>
    <w:rsid w:val="00152A71"/>
    <w:rsid w:val="00153E65"/>
    <w:rsid w:val="00160FE3"/>
    <w:rsid w:val="001611AB"/>
    <w:rsid w:val="00162E0D"/>
    <w:rsid w:val="00164A4D"/>
    <w:rsid w:val="00170107"/>
    <w:rsid w:val="00173647"/>
    <w:rsid w:val="001811B8"/>
    <w:rsid w:val="0019347B"/>
    <w:rsid w:val="0019542E"/>
    <w:rsid w:val="001A0DC3"/>
    <w:rsid w:val="001A0E23"/>
    <w:rsid w:val="001A6510"/>
    <w:rsid w:val="001B3E52"/>
    <w:rsid w:val="001B5263"/>
    <w:rsid w:val="001C125D"/>
    <w:rsid w:val="001C3659"/>
    <w:rsid w:val="001D3161"/>
    <w:rsid w:val="001D50C7"/>
    <w:rsid w:val="001D77A8"/>
    <w:rsid w:val="001D7817"/>
    <w:rsid w:val="001E0A75"/>
    <w:rsid w:val="001E232E"/>
    <w:rsid w:val="001E28AD"/>
    <w:rsid w:val="001E453F"/>
    <w:rsid w:val="001E6590"/>
    <w:rsid w:val="001F187C"/>
    <w:rsid w:val="001F1B5A"/>
    <w:rsid w:val="001F2FD4"/>
    <w:rsid w:val="001F77F7"/>
    <w:rsid w:val="002041FF"/>
    <w:rsid w:val="00211030"/>
    <w:rsid w:val="002114FB"/>
    <w:rsid w:val="0021668E"/>
    <w:rsid w:val="00216CE6"/>
    <w:rsid w:val="00217B7E"/>
    <w:rsid w:val="0022162F"/>
    <w:rsid w:val="002226A8"/>
    <w:rsid w:val="00227365"/>
    <w:rsid w:val="00230DFC"/>
    <w:rsid w:val="00236E89"/>
    <w:rsid w:val="00241C15"/>
    <w:rsid w:val="0025356A"/>
    <w:rsid w:val="002543DF"/>
    <w:rsid w:val="002564CD"/>
    <w:rsid w:val="00262C0A"/>
    <w:rsid w:val="00266915"/>
    <w:rsid w:val="002815F1"/>
    <w:rsid w:val="00290991"/>
    <w:rsid w:val="00295367"/>
    <w:rsid w:val="00295ACC"/>
    <w:rsid w:val="00296633"/>
    <w:rsid w:val="002A07BE"/>
    <w:rsid w:val="002A4859"/>
    <w:rsid w:val="002A62FA"/>
    <w:rsid w:val="002A6474"/>
    <w:rsid w:val="002B3468"/>
    <w:rsid w:val="002B381D"/>
    <w:rsid w:val="002B7BA3"/>
    <w:rsid w:val="002C1799"/>
    <w:rsid w:val="002C36CE"/>
    <w:rsid w:val="002C3FEF"/>
    <w:rsid w:val="002C4C61"/>
    <w:rsid w:val="002D24C3"/>
    <w:rsid w:val="002D50E9"/>
    <w:rsid w:val="002D5141"/>
    <w:rsid w:val="002D592D"/>
    <w:rsid w:val="002D7F0B"/>
    <w:rsid w:val="002E06F1"/>
    <w:rsid w:val="002E24FE"/>
    <w:rsid w:val="002E3C3C"/>
    <w:rsid w:val="002E453E"/>
    <w:rsid w:val="002E5D82"/>
    <w:rsid w:val="002E7897"/>
    <w:rsid w:val="002E7F28"/>
    <w:rsid w:val="002F2F65"/>
    <w:rsid w:val="002F632C"/>
    <w:rsid w:val="00300B3D"/>
    <w:rsid w:val="00300C4F"/>
    <w:rsid w:val="00301E2E"/>
    <w:rsid w:val="00306FBF"/>
    <w:rsid w:val="00313CBE"/>
    <w:rsid w:val="003171D1"/>
    <w:rsid w:val="00320AFE"/>
    <w:rsid w:val="00321A43"/>
    <w:rsid w:val="0032308F"/>
    <w:rsid w:val="00325A23"/>
    <w:rsid w:val="00325A6C"/>
    <w:rsid w:val="00336760"/>
    <w:rsid w:val="00340BFE"/>
    <w:rsid w:val="00342826"/>
    <w:rsid w:val="003533CA"/>
    <w:rsid w:val="00353FF0"/>
    <w:rsid w:val="00354394"/>
    <w:rsid w:val="0035493A"/>
    <w:rsid w:val="00360759"/>
    <w:rsid w:val="003610CC"/>
    <w:rsid w:val="0037389C"/>
    <w:rsid w:val="00374A81"/>
    <w:rsid w:val="00384772"/>
    <w:rsid w:val="00386341"/>
    <w:rsid w:val="0039063B"/>
    <w:rsid w:val="003911E4"/>
    <w:rsid w:val="00391943"/>
    <w:rsid w:val="003A312E"/>
    <w:rsid w:val="003A3BD5"/>
    <w:rsid w:val="003A41D1"/>
    <w:rsid w:val="003B04D5"/>
    <w:rsid w:val="003B0E35"/>
    <w:rsid w:val="003B1937"/>
    <w:rsid w:val="003B74E4"/>
    <w:rsid w:val="003C03A8"/>
    <w:rsid w:val="003C2311"/>
    <w:rsid w:val="003D09C5"/>
    <w:rsid w:val="003D0FFB"/>
    <w:rsid w:val="003D1921"/>
    <w:rsid w:val="003D39F5"/>
    <w:rsid w:val="003E2B20"/>
    <w:rsid w:val="003F6456"/>
    <w:rsid w:val="003F6CA9"/>
    <w:rsid w:val="004008C7"/>
    <w:rsid w:val="00403823"/>
    <w:rsid w:val="00404731"/>
    <w:rsid w:val="004053D4"/>
    <w:rsid w:val="004115B6"/>
    <w:rsid w:val="00413868"/>
    <w:rsid w:val="00413F6B"/>
    <w:rsid w:val="00414C1D"/>
    <w:rsid w:val="00415126"/>
    <w:rsid w:val="00421306"/>
    <w:rsid w:val="00422BB7"/>
    <w:rsid w:val="00423CCC"/>
    <w:rsid w:val="00424D3E"/>
    <w:rsid w:val="0042557B"/>
    <w:rsid w:val="00425A20"/>
    <w:rsid w:val="004352FF"/>
    <w:rsid w:val="004353C2"/>
    <w:rsid w:val="004354E2"/>
    <w:rsid w:val="00440231"/>
    <w:rsid w:val="00440CC4"/>
    <w:rsid w:val="00445CDC"/>
    <w:rsid w:val="00446019"/>
    <w:rsid w:val="00450702"/>
    <w:rsid w:val="00450FF8"/>
    <w:rsid w:val="004640D1"/>
    <w:rsid w:val="004648DC"/>
    <w:rsid w:val="00475C39"/>
    <w:rsid w:val="00484068"/>
    <w:rsid w:val="004851D6"/>
    <w:rsid w:val="00487F0F"/>
    <w:rsid w:val="004915BE"/>
    <w:rsid w:val="004977DE"/>
    <w:rsid w:val="004A16F4"/>
    <w:rsid w:val="004A26E7"/>
    <w:rsid w:val="004A2F6F"/>
    <w:rsid w:val="004A4A93"/>
    <w:rsid w:val="004B09E0"/>
    <w:rsid w:val="004B15CA"/>
    <w:rsid w:val="004B26EB"/>
    <w:rsid w:val="004B3918"/>
    <w:rsid w:val="004B6187"/>
    <w:rsid w:val="004B7FFA"/>
    <w:rsid w:val="004C066E"/>
    <w:rsid w:val="004C2036"/>
    <w:rsid w:val="004C21BB"/>
    <w:rsid w:val="004C3CC3"/>
    <w:rsid w:val="004D652E"/>
    <w:rsid w:val="004E1EBB"/>
    <w:rsid w:val="004E4333"/>
    <w:rsid w:val="004E4A1E"/>
    <w:rsid w:val="004E5EA3"/>
    <w:rsid w:val="004E7226"/>
    <w:rsid w:val="004F112A"/>
    <w:rsid w:val="004F3B07"/>
    <w:rsid w:val="005105C2"/>
    <w:rsid w:val="00510952"/>
    <w:rsid w:val="0051182D"/>
    <w:rsid w:val="005223FD"/>
    <w:rsid w:val="005227FB"/>
    <w:rsid w:val="00525303"/>
    <w:rsid w:val="00526B84"/>
    <w:rsid w:val="00526C1E"/>
    <w:rsid w:val="0053137B"/>
    <w:rsid w:val="00532BFB"/>
    <w:rsid w:val="005365E0"/>
    <w:rsid w:val="0054002A"/>
    <w:rsid w:val="00550256"/>
    <w:rsid w:val="00554381"/>
    <w:rsid w:val="005546A1"/>
    <w:rsid w:val="00555048"/>
    <w:rsid w:val="0056179B"/>
    <w:rsid w:val="00561E56"/>
    <w:rsid w:val="00565F92"/>
    <w:rsid w:val="00571E75"/>
    <w:rsid w:val="00573412"/>
    <w:rsid w:val="00576ED0"/>
    <w:rsid w:val="00576F0D"/>
    <w:rsid w:val="00580BDF"/>
    <w:rsid w:val="00587C8F"/>
    <w:rsid w:val="00593217"/>
    <w:rsid w:val="005A16A4"/>
    <w:rsid w:val="005A261E"/>
    <w:rsid w:val="005A2A86"/>
    <w:rsid w:val="005B3729"/>
    <w:rsid w:val="005B595D"/>
    <w:rsid w:val="005C31A0"/>
    <w:rsid w:val="005C4952"/>
    <w:rsid w:val="005C63F7"/>
    <w:rsid w:val="005D20A3"/>
    <w:rsid w:val="005D2355"/>
    <w:rsid w:val="005D41BB"/>
    <w:rsid w:val="005D6CD2"/>
    <w:rsid w:val="005E11FC"/>
    <w:rsid w:val="005E28FB"/>
    <w:rsid w:val="005E6294"/>
    <w:rsid w:val="005E6D8B"/>
    <w:rsid w:val="005F1009"/>
    <w:rsid w:val="005F21D1"/>
    <w:rsid w:val="005F546F"/>
    <w:rsid w:val="005F5ACC"/>
    <w:rsid w:val="005F69CC"/>
    <w:rsid w:val="006109E9"/>
    <w:rsid w:val="00610CFE"/>
    <w:rsid w:val="00615975"/>
    <w:rsid w:val="00616BBA"/>
    <w:rsid w:val="00622385"/>
    <w:rsid w:val="0062290E"/>
    <w:rsid w:val="00622F2F"/>
    <w:rsid w:val="006244DA"/>
    <w:rsid w:val="00640104"/>
    <w:rsid w:val="00640DAD"/>
    <w:rsid w:val="006427E3"/>
    <w:rsid w:val="006445FA"/>
    <w:rsid w:val="00666106"/>
    <w:rsid w:val="00673621"/>
    <w:rsid w:val="00680EE4"/>
    <w:rsid w:val="00683D7C"/>
    <w:rsid w:val="006859F7"/>
    <w:rsid w:val="0069019B"/>
    <w:rsid w:val="00693363"/>
    <w:rsid w:val="006A797E"/>
    <w:rsid w:val="006B4652"/>
    <w:rsid w:val="006C38AD"/>
    <w:rsid w:val="006C51A0"/>
    <w:rsid w:val="006C6B74"/>
    <w:rsid w:val="006C6CDF"/>
    <w:rsid w:val="006D4D41"/>
    <w:rsid w:val="006D6BD7"/>
    <w:rsid w:val="006E4A26"/>
    <w:rsid w:val="006F050F"/>
    <w:rsid w:val="006F25CD"/>
    <w:rsid w:val="00706819"/>
    <w:rsid w:val="007162A5"/>
    <w:rsid w:val="0071762D"/>
    <w:rsid w:val="00725BC0"/>
    <w:rsid w:val="00726797"/>
    <w:rsid w:val="00727AF2"/>
    <w:rsid w:val="00730E22"/>
    <w:rsid w:val="00740005"/>
    <w:rsid w:val="00740DF8"/>
    <w:rsid w:val="00741F1E"/>
    <w:rsid w:val="00747202"/>
    <w:rsid w:val="0075427A"/>
    <w:rsid w:val="0075542E"/>
    <w:rsid w:val="007566A1"/>
    <w:rsid w:val="0076304F"/>
    <w:rsid w:val="007720E1"/>
    <w:rsid w:val="00773BD5"/>
    <w:rsid w:val="00785D3C"/>
    <w:rsid w:val="00790AFA"/>
    <w:rsid w:val="00791216"/>
    <w:rsid w:val="00792CEB"/>
    <w:rsid w:val="007A218A"/>
    <w:rsid w:val="007A5771"/>
    <w:rsid w:val="007A69C1"/>
    <w:rsid w:val="007A7CFE"/>
    <w:rsid w:val="007B17FD"/>
    <w:rsid w:val="007B3B54"/>
    <w:rsid w:val="007B3BE2"/>
    <w:rsid w:val="007B5E05"/>
    <w:rsid w:val="007B650B"/>
    <w:rsid w:val="007B711A"/>
    <w:rsid w:val="007C0454"/>
    <w:rsid w:val="007C3F49"/>
    <w:rsid w:val="007D0CE1"/>
    <w:rsid w:val="007D608A"/>
    <w:rsid w:val="007D7069"/>
    <w:rsid w:val="007E4A32"/>
    <w:rsid w:val="007F4404"/>
    <w:rsid w:val="007F44BE"/>
    <w:rsid w:val="007F4C48"/>
    <w:rsid w:val="00806279"/>
    <w:rsid w:val="00815B9A"/>
    <w:rsid w:val="00821537"/>
    <w:rsid w:val="00821923"/>
    <w:rsid w:val="00821986"/>
    <w:rsid w:val="00825C08"/>
    <w:rsid w:val="0083058C"/>
    <w:rsid w:val="00831624"/>
    <w:rsid w:val="00836304"/>
    <w:rsid w:val="0083631A"/>
    <w:rsid w:val="00837AAF"/>
    <w:rsid w:val="00852A83"/>
    <w:rsid w:val="00853473"/>
    <w:rsid w:val="00854D3E"/>
    <w:rsid w:val="008572CC"/>
    <w:rsid w:val="008578BB"/>
    <w:rsid w:val="00861D20"/>
    <w:rsid w:val="0086775F"/>
    <w:rsid w:val="00870BDE"/>
    <w:rsid w:val="00871A90"/>
    <w:rsid w:val="00872E19"/>
    <w:rsid w:val="00874AAE"/>
    <w:rsid w:val="008755A7"/>
    <w:rsid w:val="00875BF1"/>
    <w:rsid w:val="00877FD8"/>
    <w:rsid w:val="00881A97"/>
    <w:rsid w:val="008833A2"/>
    <w:rsid w:val="008842B8"/>
    <w:rsid w:val="00890346"/>
    <w:rsid w:val="0089660B"/>
    <w:rsid w:val="00897B4D"/>
    <w:rsid w:val="008A5088"/>
    <w:rsid w:val="008A59F1"/>
    <w:rsid w:val="008B0EEF"/>
    <w:rsid w:val="008B726C"/>
    <w:rsid w:val="008B7312"/>
    <w:rsid w:val="008C1818"/>
    <w:rsid w:val="008C38B7"/>
    <w:rsid w:val="008D4F49"/>
    <w:rsid w:val="008E1721"/>
    <w:rsid w:val="008E3865"/>
    <w:rsid w:val="008E41E6"/>
    <w:rsid w:val="008F11A3"/>
    <w:rsid w:val="008F75B3"/>
    <w:rsid w:val="00906670"/>
    <w:rsid w:val="0090724E"/>
    <w:rsid w:val="00907971"/>
    <w:rsid w:val="009132E3"/>
    <w:rsid w:val="009148AC"/>
    <w:rsid w:val="00914C1D"/>
    <w:rsid w:val="00915339"/>
    <w:rsid w:val="00917B30"/>
    <w:rsid w:val="009252D8"/>
    <w:rsid w:val="00925A8B"/>
    <w:rsid w:val="00932A6D"/>
    <w:rsid w:val="009333F1"/>
    <w:rsid w:val="00940D05"/>
    <w:rsid w:val="00941CD0"/>
    <w:rsid w:val="00943829"/>
    <w:rsid w:val="00945B87"/>
    <w:rsid w:val="00946E17"/>
    <w:rsid w:val="00952CE8"/>
    <w:rsid w:val="00960FE0"/>
    <w:rsid w:val="0096568D"/>
    <w:rsid w:val="00972023"/>
    <w:rsid w:val="00972601"/>
    <w:rsid w:val="0098465E"/>
    <w:rsid w:val="00986804"/>
    <w:rsid w:val="00993BAE"/>
    <w:rsid w:val="0099546D"/>
    <w:rsid w:val="00995503"/>
    <w:rsid w:val="0099770C"/>
    <w:rsid w:val="009A078D"/>
    <w:rsid w:val="009A1429"/>
    <w:rsid w:val="009A2BF5"/>
    <w:rsid w:val="009A3853"/>
    <w:rsid w:val="009A60D3"/>
    <w:rsid w:val="009A705B"/>
    <w:rsid w:val="009B0520"/>
    <w:rsid w:val="009B32AB"/>
    <w:rsid w:val="009B4220"/>
    <w:rsid w:val="009B4DAB"/>
    <w:rsid w:val="009B6C66"/>
    <w:rsid w:val="009C501E"/>
    <w:rsid w:val="009C5B87"/>
    <w:rsid w:val="009D2F28"/>
    <w:rsid w:val="009D3731"/>
    <w:rsid w:val="009E6328"/>
    <w:rsid w:val="009E6E0A"/>
    <w:rsid w:val="009E77F2"/>
    <w:rsid w:val="009F2CC1"/>
    <w:rsid w:val="00A0156A"/>
    <w:rsid w:val="00A109D4"/>
    <w:rsid w:val="00A12D70"/>
    <w:rsid w:val="00A1430A"/>
    <w:rsid w:val="00A152B1"/>
    <w:rsid w:val="00A21775"/>
    <w:rsid w:val="00A220CE"/>
    <w:rsid w:val="00A2215A"/>
    <w:rsid w:val="00A238D8"/>
    <w:rsid w:val="00A25803"/>
    <w:rsid w:val="00A300E2"/>
    <w:rsid w:val="00A37A93"/>
    <w:rsid w:val="00A41534"/>
    <w:rsid w:val="00A43A93"/>
    <w:rsid w:val="00A44995"/>
    <w:rsid w:val="00A57D2F"/>
    <w:rsid w:val="00A645BA"/>
    <w:rsid w:val="00A700BB"/>
    <w:rsid w:val="00A7754E"/>
    <w:rsid w:val="00A87317"/>
    <w:rsid w:val="00A91411"/>
    <w:rsid w:val="00A94647"/>
    <w:rsid w:val="00A9513D"/>
    <w:rsid w:val="00A97BFE"/>
    <w:rsid w:val="00AA11F9"/>
    <w:rsid w:val="00AA2D57"/>
    <w:rsid w:val="00AA710C"/>
    <w:rsid w:val="00AB130E"/>
    <w:rsid w:val="00AB3EC9"/>
    <w:rsid w:val="00AB6D11"/>
    <w:rsid w:val="00AC2C9D"/>
    <w:rsid w:val="00AD194D"/>
    <w:rsid w:val="00AD29E4"/>
    <w:rsid w:val="00AD51CE"/>
    <w:rsid w:val="00AD632C"/>
    <w:rsid w:val="00AD7650"/>
    <w:rsid w:val="00AE565F"/>
    <w:rsid w:val="00AE7959"/>
    <w:rsid w:val="00AF62A5"/>
    <w:rsid w:val="00AF68F2"/>
    <w:rsid w:val="00B05F83"/>
    <w:rsid w:val="00B068EA"/>
    <w:rsid w:val="00B108E6"/>
    <w:rsid w:val="00B13B6B"/>
    <w:rsid w:val="00B15CA5"/>
    <w:rsid w:val="00B31461"/>
    <w:rsid w:val="00B31649"/>
    <w:rsid w:val="00B42816"/>
    <w:rsid w:val="00B4336D"/>
    <w:rsid w:val="00B43E2A"/>
    <w:rsid w:val="00B46499"/>
    <w:rsid w:val="00B53589"/>
    <w:rsid w:val="00B5525F"/>
    <w:rsid w:val="00B561B3"/>
    <w:rsid w:val="00B56443"/>
    <w:rsid w:val="00B636DC"/>
    <w:rsid w:val="00B668E7"/>
    <w:rsid w:val="00B7100D"/>
    <w:rsid w:val="00B73E82"/>
    <w:rsid w:val="00B751A7"/>
    <w:rsid w:val="00B867DD"/>
    <w:rsid w:val="00B90EA0"/>
    <w:rsid w:val="00B938AC"/>
    <w:rsid w:val="00B93A25"/>
    <w:rsid w:val="00B94CE8"/>
    <w:rsid w:val="00BA0CE8"/>
    <w:rsid w:val="00BA19BE"/>
    <w:rsid w:val="00BB1CAF"/>
    <w:rsid w:val="00BB419F"/>
    <w:rsid w:val="00BC021A"/>
    <w:rsid w:val="00BC0490"/>
    <w:rsid w:val="00BC0B49"/>
    <w:rsid w:val="00BC6B3F"/>
    <w:rsid w:val="00BD1CA0"/>
    <w:rsid w:val="00BE46AC"/>
    <w:rsid w:val="00BE639D"/>
    <w:rsid w:val="00BF20C9"/>
    <w:rsid w:val="00C061E3"/>
    <w:rsid w:val="00C119C2"/>
    <w:rsid w:val="00C12B1C"/>
    <w:rsid w:val="00C14967"/>
    <w:rsid w:val="00C15E39"/>
    <w:rsid w:val="00C1627A"/>
    <w:rsid w:val="00C25D26"/>
    <w:rsid w:val="00C26E47"/>
    <w:rsid w:val="00C3083F"/>
    <w:rsid w:val="00C30C42"/>
    <w:rsid w:val="00C33404"/>
    <w:rsid w:val="00C410F2"/>
    <w:rsid w:val="00C41A07"/>
    <w:rsid w:val="00C42CE4"/>
    <w:rsid w:val="00C57D9C"/>
    <w:rsid w:val="00C64358"/>
    <w:rsid w:val="00C676E5"/>
    <w:rsid w:val="00C737AA"/>
    <w:rsid w:val="00C74FCB"/>
    <w:rsid w:val="00C761BA"/>
    <w:rsid w:val="00C77826"/>
    <w:rsid w:val="00C82670"/>
    <w:rsid w:val="00C926AD"/>
    <w:rsid w:val="00C96995"/>
    <w:rsid w:val="00C9750D"/>
    <w:rsid w:val="00CA0ADF"/>
    <w:rsid w:val="00CA5938"/>
    <w:rsid w:val="00CA5DAE"/>
    <w:rsid w:val="00CB0276"/>
    <w:rsid w:val="00CB1A87"/>
    <w:rsid w:val="00CB67CE"/>
    <w:rsid w:val="00CB7F0D"/>
    <w:rsid w:val="00CC1DF7"/>
    <w:rsid w:val="00CC28C6"/>
    <w:rsid w:val="00CC4808"/>
    <w:rsid w:val="00CD6FE1"/>
    <w:rsid w:val="00CE0D2C"/>
    <w:rsid w:val="00CE11AC"/>
    <w:rsid w:val="00CE1B8A"/>
    <w:rsid w:val="00CE4936"/>
    <w:rsid w:val="00CE5A65"/>
    <w:rsid w:val="00CE6381"/>
    <w:rsid w:val="00CE674F"/>
    <w:rsid w:val="00D01BB4"/>
    <w:rsid w:val="00D06B58"/>
    <w:rsid w:val="00D06F27"/>
    <w:rsid w:val="00D12359"/>
    <w:rsid w:val="00D1718D"/>
    <w:rsid w:val="00D17563"/>
    <w:rsid w:val="00D24520"/>
    <w:rsid w:val="00D262EA"/>
    <w:rsid w:val="00D304B6"/>
    <w:rsid w:val="00D356C7"/>
    <w:rsid w:val="00D37B9E"/>
    <w:rsid w:val="00D40AAD"/>
    <w:rsid w:val="00D47ACC"/>
    <w:rsid w:val="00D51FE7"/>
    <w:rsid w:val="00D53FC1"/>
    <w:rsid w:val="00D540C7"/>
    <w:rsid w:val="00D55702"/>
    <w:rsid w:val="00D5754C"/>
    <w:rsid w:val="00D61332"/>
    <w:rsid w:val="00D67F29"/>
    <w:rsid w:val="00D735FF"/>
    <w:rsid w:val="00D73A3C"/>
    <w:rsid w:val="00D80631"/>
    <w:rsid w:val="00D82A37"/>
    <w:rsid w:val="00D9098B"/>
    <w:rsid w:val="00D91BC7"/>
    <w:rsid w:val="00D9288B"/>
    <w:rsid w:val="00D96AEC"/>
    <w:rsid w:val="00DA2390"/>
    <w:rsid w:val="00DA6F20"/>
    <w:rsid w:val="00DA75F2"/>
    <w:rsid w:val="00DB0FBE"/>
    <w:rsid w:val="00DB17ED"/>
    <w:rsid w:val="00DB1CE7"/>
    <w:rsid w:val="00DB505A"/>
    <w:rsid w:val="00DC3E94"/>
    <w:rsid w:val="00DD085D"/>
    <w:rsid w:val="00DD4D2B"/>
    <w:rsid w:val="00DE1245"/>
    <w:rsid w:val="00DE3694"/>
    <w:rsid w:val="00DE3A75"/>
    <w:rsid w:val="00DE557C"/>
    <w:rsid w:val="00DF54C2"/>
    <w:rsid w:val="00DF5787"/>
    <w:rsid w:val="00DF6FB5"/>
    <w:rsid w:val="00DF7861"/>
    <w:rsid w:val="00E01570"/>
    <w:rsid w:val="00E02DF9"/>
    <w:rsid w:val="00E1630A"/>
    <w:rsid w:val="00E21F0D"/>
    <w:rsid w:val="00E23208"/>
    <w:rsid w:val="00E24A15"/>
    <w:rsid w:val="00E24F4E"/>
    <w:rsid w:val="00E275CC"/>
    <w:rsid w:val="00E3023E"/>
    <w:rsid w:val="00E3406C"/>
    <w:rsid w:val="00E34B78"/>
    <w:rsid w:val="00E45D6D"/>
    <w:rsid w:val="00E51FE7"/>
    <w:rsid w:val="00E52BA2"/>
    <w:rsid w:val="00E55341"/>
    <w:rsid w:val="00E56C21"/>
    <w:rsid w:val="00E6109F"/>
    <w:rsid w:val="00E73FCA"/>
    <w:rsid w:val="00E77AE7"/>
    <w:rsid w:val="00E8056B"/>
    <w:rsid w:val="00E8473F"/>
    <w:rsid w:val="00E92888"/>
    <w:rsid w:val="00E943DB"/>
    <w:rsid w:val="00EA1831"/>
    <w:rsid w:val="00EA1EB2"/>
    <w:rsid w:val="00EA2204"/>
    <w:rsid w:val="00EA2F28"/>
    <w:rsid w:val="00EA3010"/>
    <w:rsid w:val="00EA3251"/>
    <w:rsid w:val="00EB0C47"/>
    <w:rsid w:val="00EB1C53"/>
    <w:rsid w:val="00EB3E86"/>
    <w:rsid w:val="00EB4740"/>
    <w:rsid w:val="00EC36B4"/>
    <w:rsid w:val="00EC6F10"/>
    <w:rsid w:val="00ED0B80"/>
    <w:rsid w:val="00ED2995"/>
    <w:rsid w:val="00EE4129"/>
    <w:rsid w:val="00EE6CA1"/>
    <w:rsid w:val="00EE6F0A"/>
    <w:rsid w:val="00EF2135"/>
    <w:rsid w:val="00EF7095"/>
    <w:rsid w:val="00F16C2D"/>
    <w:rsid w:val="00F17E6F"/>
    <w:rsid w:val="00F2010A"/>
    <w:rsid w:val="00F20633"/>
    <w:rsid w:val="00F21CE8"/>
    <w:rsid w:val="00F23F7C"/>
    <w:rsid w:val="00F26132"/>
    <w:rsid w:val="00F33008"/>
    <w:rsid w:val="00F35F90"/>
    <w:rsid w:val="00F5082F"/>
    <w:rsid w:val="00F51B8C"/>
    <w:rsid w:val="00F522D4"/>
    <w:rsid w:val="00F52310"/>
    <w:rsid w:val="00F637DB"/>
    <w:rsid w:val="00F91F03"/>
    <w:rsid w:val="00F971D6"/>
    <w:rsid w:val="00FC32D4"/>
    <w:rsid w:val="00FC3859"/>
    <w:rsid w:val="00FD2DF6"/>
    <w:rsid w:val="00FD6C72"/>
    <w:rsid w:val="00FE2FB5"/>
    <w:rsid w:val="00FE5926"/>
    <w:rsid w:val="00FF4F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99"/>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725BC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925A8B"/>
    <w:rPr>
      <w:sz w:val="16"/>
      <w:szCs w:val="16"/>
    </w:rPr>
  </w:style>
  <w:style w:type="paragraph" w:styleId="CommentText">
    <w:name w:val="annotation text"/>
    <w:basedOn w:val="Normal"/>
    <w:link w:val="CommentTextChar"/>
    <w:uiPriority w:val="99"/>
    <w:semiHidden/>
    <w:unhideWhenUsed/>
    <w:rsid w:val="00925A8B"/>
    <w:rPr>
      <w:sz w:val="20"/>
      <w:szCs w:val="20"/>
    </w:rPr>
  </w:style>
  <w:style w:type="character" w:customStyle="1" w:styleId="CommentTextChar">
    <w:name w:val="Comment Text Char"/>
    <w:basedOn w:val="DefaultParagraphFont"/>
    <w:link w:val="CommentText"/>
    <w:uiPriority w:val="99"/>
    <w:semiHidden/>
    <w:rsid w:val="00925A8B"/>
    <w:rPr>
      <w:lang w:eastAsia="en-US"/>
    </w:rPr>
  </w:style>
  <w:style w:type="paragraph" w:styleId="CommentSubject">
    <w:name w:val="annotation subject"/>
    <w:basedOn w:val="CommentText"/>
    <w:next w:val="CommentText"/>
    <w:link w:val="CommentSubjectChar"/>
    <w:uiPriority w:val="99"/>
    <w:semiHidden/>
    <w:unhideWhenUsed/>
    <w:rsid w:val="00925A8B"/>
    <w:rPr>
      <w:b/>
      <w:bCs/>
    </w:rPr>
  </w:style>
  <w:style w:type="character" w:customStyle="1" w:styleId="CommentSubjectChar">
    <w:name w:val="Comment Subject Char"/>
    <w:basedOn w:val="CommentTextChar"/>
    <w:link w:val="CommentSubject"/>
    <w:uiPriority w:val="99"/>
    <w:semiHidden/>
    <w:rsid w:val="00925A8B"/>
    <w:rPr>
      <w:b/>
      <w:bCs/>
    </w:rPr>
  </w:style>
</w:styles>
</file>

<file path=word/webSettings.xml><?xml version="1.0" encoding="utf-8"?>
<w:webSettings xmlns:r="http://schemas.openxmlformats.org/officeDocument/2006/relationships" xmlns:w="http://schemas.openxmlformats.org/wordprocessingml/2006/main">
  <w:divs>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ntc.gov.au/filemedia/Groups/PBSmapsportalFAQ.pdf" TargetMode="External"/><Relationship Id="rId2" Type="http://schemas.openxmlformats.org/officeDocument/2006/relationships/hyperlink" Target="http://www.nti.com.au/AboutNTI/NewsandMedia/tabid/85/newsid468/17/mid/468/Default.aspx" TargetMode="External"/><Relationship Id="rId1" Type="http://schemas.openxmlformats.org/officeDocument/2006/relationships/hyperlink" Target="http://www.ipart.nsw.gov.au/files/Issues%20Paper%20-%20Review%20of%20access%20pricing%20on%20the%20NSW%20grain%20line%20network%20-%20May%202011%20-%20Website%20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9C46-BEA1-491D-90D6-66EE16B3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5606</Words>
  <Characters>29905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35441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harbers</cp:lastModifiedBy>
  <cp:revision>11</cp:revision>
  <cp:lastPrinted>2011-10-14T03:05:00Z</cp:lastPrinted>
  <dcterms:created xsi:type="dcterms:W3CDTF">2011-10-14T02:49:00Z</dcterms:created>
  <dcterms:modified xsi:type="dcterms:W3CDTF">2011-10-14T03:06:00Z</dcterms:modified>
</cp:coreProperties>
</file>