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4C5" w:rsidRDefault="00B524C5" w:rsidP="00B524C5">
      <w:pPr>
        <w:spacing w:after="0"/>
        <w:rPr>
          <w:rFonts w:ascii="Arial" w:hAnsi="Arial" w:cs="Arial"/>
        </w:rPr>
      </w:pPr>
      <w:bookmarkStart w:id="0" w:name="_GoBack"/>
      <w:bookmarkEnd w:id="0"/>
    </w:p>
    <w:p w:rsidR="00B524C5" w:rsidRDefault="00B524C5" w:rsidP="00B524C5">
      <w:pPr>
        <w:spacing w:after="0"/>
        <w:rPr>
          <w:rFonts w:ascii="Arial" w:hAnsi="Arial" w:cs="Arial"/>
        </w:rPr>
      </w:pPr>
    </w:p>
    <w:p w:rsidR="00136D09" w:rsidRDefault="00B524C5" w:rsidP="00B524C5">
      <w:pPr>
        <w:spacing w:after="0"/>
        <w:rPr>
          <w:rFonts w:ascii="Arial" w:hAnsi="Arial" w:cs="Arial"/>
        </w:rPr>
      </w:pPr>
      <w:r>
        <w:rPr>
          <w:rFonts w:ascii="Arial" w:hAnsi="Arial" w:cs="Arial"/>
        </w:rPr>
        <w:t xml:space="preserve">18 </w:t>
      </w:r>
      <w:r w:rsidR="00136D09">
        <w:rPr>
          <w:rFonts w:ascii="Arial" w:hAnsi="Arial" w:cs="Arial"/>
        </w:rPr>
        <w:t>September 2017</w:t>
      </w:r>
    </w:p>
    <w:p w:rsidR="00136D09" w:rsidRDefault="00136D09" w:rsidP="00136D09">
      <w:pPr>
        <w:spacing w:after="0"/>
        <w:rPr>
          <w:rFonts w:ascii="Arial" w:hAnsi="Arial" w:cs="Arial"/>
        </w:rPr>
      </w:pPr>
    </w:p>
    <w:p w:rsidR="00136D09" w:rsidRDefault="00136D09" w:rsidP="00136D09">
      <w:pPr>
        <w:spacing w:after="0"/>
        <w:rPr>
          <w:rFonts w:ascii="Arial" w:hAnsi="Arial" w:cs="Arial"/>
        </w:rPr>
      </w:pPr>
    </w:p>
    <w:p w:rsidR="00136D09" w:rsidRDefault="00136D09" w:rsidP="00136D09">
      <w:pPr>
        <w:spacing w:after="0"/>
        <w:rPr>
          <w:rFonts w:ascii="Arial" w:hAnsi="Arial" w:cs="Arial"/>
        </w:rPr>
      </w:pPr>
      <w:r>
        <w:rPr>
          <w:rFonts w:ascii="Arial" w:hAnsi="Arial" w:cs="Arial"/>
        </w:rPr>
        <w:t xml:space="preserve">Mr Sal </w:t>
      </w:r>
      <w:proofErr w:type="spellStart"/>
      <w:r>
        <w:rPr>
          <w:rFonts w:ascii="Arial" w:hAnsi="Arial" w:cs="Arial"/>
        </w:rPr>
        <w:t>Petroccitto</w:t>
      </w:r>
      <w:proofErr w:type="spellEnd"/>
    </w:p>
    <w:p w:rsidR="00136D09" w:rsidRDefault="00136D09" w:rsidP="00136D09">
      <w:pPr>
        <w:spacing w:after="0"/>
        <w:rPr>
          <w:rFonts w:ascii="Arial" w:hAnsi="Arial" w:cs="Arial"/>
        </w:rPr>
      </w:pPr>
      <w:r>
        <w:rPr>
          <w:rFonts w:ascii="Arial" w:hAnsi="Arial" w:cs="Arial"/>
        </w:rPr>
        <w:t>National Heavy Vehicle Regulator</w:t>
      </w:r>
    </w:p>
    <w:p w:rsidR="00136D09" w:rsidRPr="001862FD" w:rsidRDefault="00136D09" w:rsidP="00136D09">
      <w:pPr>
        <w:spacing w:after="0"/>
        <w:rPr>
          <w:rFonts w:ascii="Arial" w:hAnsi="Arial" w:cs="Arial"/>
        </w:rPr>
      </w:pPr>
      <w:r w:rsidRPr="001862FD">
        <w:rPr>
          <w:rFonts w:ascii="Arial" w:hAnsi="Arial" w:cs="Arial"/>
        </w:rPr>
        <w:t>PO Box 492</w:t>
      </w:r>
    </w:p>
    <w:p w:rsidR="00136D09" w:rsidRDefault="00136D09" w:rsidP="00136D09">
      <w:pPr>
        <w:spacing w:after="0"/>
        <w:rPr>
          <w:rFonts w:ascii="Arial" w:hAnsi="Arial" w:cs="Arial"/>
        </w:rPr>
      </w:pPr>
      <w:r w:rsidRPr="001862FD">
        <w:rPr>
          <w:rFonts w:ascii="Arial" w:hAnsi="Arial" w:cs="Arial"/>
        </w:rPr>
        <w:t>Fortitude Valley QLD 4006</w:t>
      </w:r>
    </w:p>
    <w:p w:rsidR="00136D09" w:rsidRDefault="002A4E75" w:rsidP="00136D09">
      <w:pPr>
        <w:spacing w:after="0"/>
        <w:rPr>
          <w:rFonts w:ascii="Arial" w:hAnsi="Arial" w:cs="Arial"/>
        </w:rPr>
      </w:pPr>
      <w:hyperlink r:id="rId8" w:history="1">
        <w:r w:rsidR="00136D09">
          <w:rPr>
            <w:rStyle w:val="Hyperlink"/>
            <w:rFonts w:ascii="Arial" w:hAnsi="Arial" w:cs="Arial"/>
            <w:color w:val="4AB1D0"/>
            <w:sz w:val="18"/>
            <w:szCs w:val="18"/>
            <w:shd w:val="clear" w:color="auto" w:fill="FFFFFF"/>
          </w:rPr>
          <w:t>fatiguemanagement@nhvr.gov.au</w:t>
        </w:r>
      </w:hyperlink>
      <w:r w:rsidR="00136D09">
        <w:rPr>
          <w:rFonts w:ascii="Arial" w:hAnsi="Arial" w:cs="Arial"/>
          <w:color w:val="404040"/>
          <w:sz w:val="18"/>
          <w:szCs w:val="18"/>
          <w:shd w:val="clear" w:color="auto" w:fill="FFFFFF"/>
        </w:rPr>
        <w:t> </w:t>
      </w:r>
      <w:r w:rsidR="00136D09">
        <w:rPr>
          <w:rFonts w:ascii="Arial" w:hAnsi="Arial" w:cs="Arial"/>
          <w:color w:val="404040"/>
          <w:sz w:val="18"/>
          <w:szCs w:val="18"/>
          <w:shd w:val="clear" w:color="auto" w:fill="FFFFFF"/>
        </w:rPr>
        <w:tab/>
      </w:r>
    </w:p>
    <w:p w:rsidR="00136D09" w:rsidRDefault="00136D09" w:rsidP="00136D09">
      <w:pPr>
        <w:spacing w:after="0"/>
        <w:rPr>
          <w:rFonts w:ascii="Arial" w:hAnsi="Arial" w:cs="Arial"/>
        </w:rPr>
      </w:pPr>
    </w:p>
    <w:p w:rsidR="00136D09" w:rsidRDefault="00136D09" w:rsidP="00136D09">
      <w:pPr>
        <w:spacing w:after="0"/>
        <w:rPr>
          <w:rFonts w:ascii="Arial" w:hAnsi="Arial" w:cs="Arial"/>
        </w:rPr>
      </w:pPr>
    </w:p>
    <w:p w:rsidR="00136D09" w:rsidRDefault="00136D09" w:rsidP="00136D09">
      <w:pPr>
        <w:spacing w:after="0"/>
        <w:rPr>
          <w:rFonts w:ascii="Arial" w:hAnsi="Arial" w:cs="Arial"/>
        </w:rPr>
      </w:pPr>
    </w:p>
    <w:p w:rsidR="00136D09" w:rsidRDefault="00136D09" w:rsidP="00136D09">
      <w:pPr>
        <w:spacing w:after="0"/>
        <w:rPr>
          <w:rFonts w:ascii="Arial" w:hAnsi="Arial" w:cs="Arial"/>
        </w:rPr>
      </w:pPr>
      <w:r>
        <w:rPr>
          <w:rFonts w:ascii="Arial" w:hAnsi="Arial" w:cs="Arial"/>
        </w:rPr>
        <w:t xml:space="preserve">Dear Mr </w:t>
      </w:r>
      <w:proofErr w:type="spellStart"/>
      <w:r>
        <w:rPr>
          <w:rFonts w:ascii="Arial" w:hAnsi="Arial" w:cs="Arial"/>
        </w:rPr>
        <w:t>Petroccitto</w:t>
      </w:r>
      <w:proofErr w:type="spellEnd"/>
      <w:r>
        <w:rPr>
          <w:rFonts w:ascii="Arial" w:hAnsi="Arial" w:cs="Arial"/>
        </w:rPr>
        <w:t>,</w:t>
      </w:r>
    </w:p>
    <w:p w:rsidR="00136D09" w:rsidRDefault="00136D09" w:rsidP="00136D09">
      <w:pPr>
        <w:spacing w:after="0"/>
        <w:rPr>
          <w:rFonts w:ascii="Arial" w:hAnsi="Arial" w:cs="Arial"/>
        </w:rPr>
      </w:pPr>
    </w:p>
    <w:p w:rsidR="00136D09" w:rsidRDefault="00136D09" w:rsidP="00136D09">
      <w:pPr>
        <w:spacing w:after="0"/>
        <w:rPr>
          <w:rFonts w:ascii="Arial" w:hAnsi="Arial" w:cs="Arial"/>
        </w:rPr>
      </w:pPr>
      <w:r>
        <w:rPr>
          <w:rFonts w:ascii="Arial" w:hAnsi="Arial" w:cs="Arial"/>
        </w:rPr>
        <w:t>I am writing in response to the</w:t>
      </w:r>
      <w:r w:rsidRPr="001862FD">
        <w:rPr>
          <w:rFonts w:ascii="Arial" w:hAnsi="Arial" w:cs="Arial"/>
        </w:rPr>
        <w:t xml:space="preserve"> N</w:t>
      </w:r>
      <w:r>
        <w:rPr>
          <w:rFonts w:ascii="Arial" w:hAnsi="Arial" w:cs="Arial"/>
        </w:rPr>
        <w:t xml:space="preserve">ational </w:t>
      </w:r>
      <w:r w:rsidRPr="001862FD">
        <w:rPr>
          <w:rFonts w:ascii="Arial" w:hAnsi="Arial" w:cs="Arial"/>
        </w:rPr>
        <w:t>H</w:t>
      </w:r>
      <w:r>
        <w:rPr>
          <w:rFonts w:ascii="Arial" w:hAnsi="Arial" w:cs="Arial"/>
        </w:rPr>
        <w:t xml:space="preserve">eavy </w:t>
      </w:r>
      <w:r w:rsidRPr="001862FD">
        <w:rPr>
          <w:rFonts w:ascii="Arial" w:hAnsi="Arial" w:cs="Arial"/>
        </w:rPr>
        <w:t>V</w:t>
      </w:r>
      <w:r>
        <w:rPr>
          <w:rFonts w:ascii="Arial" w:hAnsi="Arial" w:cs="Arial"/>
        </w:rPr>
        <w:t xml:space="preserve">ehicle </w:t>
      </w:r>
      <w:r w:rsidRPr="001862FD">
        <w:rPr>
          <w:rFonts w:ascii="Arial" w:hAnsi="Arial" w:cs="Arial"/>
        </w:rPr>
        <w:t>R</w:t>
      </w:r>
      <w:r>
        <w:rPr>
          <w:rFonts w:ascii="Arial" w:hAnsi="Arial" w:cs="Arial"/>
        </w:rPr>
        <w:t>egulator (NHVR)</w:t>
      </w:r>
      <w:r w:rsidRPr="001862FD">
        <w:rPr>
          <w:rFonts w:ascii="Arial" w:hAnsi="Arial" w:cs="Arial"/>
        </w:rPr>
        <w:t xml:space="preserve"> </w:t>
      </w:r>
      <w:r>
        <w:rPr>
          <w:rFonts w:ascii="Arial" w:hAnsi="Arial" w:cs="Arial"/>
        </w:rPr>
        <w:t xml:space="preserve">request for </w:t>
      </w:r>
      <w:r w:rsidRPr="001862FD">
        <w:rPr>
          <w:rFonts w:ascii="Arial" w:hAnsi="Arial" w:cs="Arial"/>
        </w:rPr>
        <w:t>feedback on a proposed national</w:t>
      </w:r>
      <w:r>
        <w:rPr>
          <w:rFonts w:ascii="Arial" w:hAnsi="Arial" w:cs="Arial"/>
        </w:rPr>
        <w:t xml:space="preserve"> work and rest exemption notice. </w:t>
      </w:r>
    </w:p>
    <w:p w:rsidR="00136D09" w:rsidRDefault="00136D09" w:rsidP="00136D09">
      <w:pPr>
        <w:spacing w:after="0"/>
        <w:rPr>
          <w:rFonts w:ascii="Arial" w:hAnsi="Arial" w:cs="Arial"/>
        </w:rPr>
      </w:pPr>
    </w:p>
    <w:p w:rsidR="00136D09" w:rsidRDefault="00136D09" w:rsidP="00136D09">
      <w:pPr>
        <w:spacing w:after="0"/>
        <w:rPr>
          <w:rFonts w:ascii="Arial" w:hAnsi="Arial" w:cs="Arial"/>
        </w:rPr>
      </w:pPr>
      <w:r>
        <w:rPr>
          <w:rFonts w:ascii="Arial" w:hAnsi="Arial" w:cs="Arial"/>
        </w:rPr>
        <w:t>The ATA is supportive of this initiative and would endorse the introduction of a national work and rest hour exemption that provides up to one hour of permitted personal activity, essentially extending the current New South Wales (NSW) arrangements across other jurisdictions.</w:t>
      </w:r>
    </w:p>
    <w:p w:rsidR="00136D09" w:rsidRDefault="00136D09" w:rsidP="00136D09">
      <w:pPr>
        <w:spacing w:after="0"/>
        <w:rPr>
          <w:rFonts w:ascii="Arial" w:hAnsi="Arial" w:cs="Arial"/>
        </w:rPr>
      </w:pPr>
    </w:p>
    <w:p w:rsidR="00136D09" w:rsidRDefault="00136D09" w:rsidP="00136D09">
      <w:pPr>
        <w:spacing w:after="0"/>
        <w:rPr>
          <w:rFonts w:ascii="Arial" w:hAnsi="Arial" w:cs="Arial"/>
        </w:rPr>
      </w:pPr>
    </w:p>
    <w:p w:rsidR="00136D09" w:rsidRPr="005D2EF0" w:rsidRDefault="00136D09" w:rsidP="00136D09">
      <w:pPr>
        <w:spacing w:after="0"/>
        <w:rPr>
          <w:rFonts w:ascii="Arial" w:hAnsi="Arial" w:cs="Arial"/>
          <w:b/>
        </w:rPr>
      </w:pPr>
      <w:r>
        <w:rPr>
          <w:rFonts w:ascii="Arial" w:hAnsi="Arial" w:cs="Arial"/>
          <w:b/>
        </w:rPr>
        <w:t>Safety Implications of the Proposal</w:t>
      </w:r>
    </w:p>
    <w:p w:rsidR="00136D09" w:rsidRDefault="00136D09" w:rsidP="00136D09">
      <w:pPr>
        <w:spacing w:after="0"/>
        <w:rPr>
          <w:rFonts w:ascii="Arial" w:hAnsi="Arial" w:cs="Arial"/>
        </w:rPr>
      </w:pPr>
    </w:p>
    <w:p w:rsidR="00136D09" w:rsidRDefault="00136D09" w:rsidP="00136D09">
      <w:pPr>
        <w:spacing w:after="0"/>
        <w:rPr>
          <w:rFonts w:ascii="Arial" w:hAnsi="Arial" w:cs="Arial"/>
        </w:rPr>
      </w:pPr>
      <w:r>
        <w:rPr>
          <w:rFonts w:ascii="Arial" w:hAnsi="Arial" w:cs="Arial"/>
        </w:rPr>
        <w:t>The introduction of this exemption aligns with the Australian Trucking Association’s (ATA) advocacy for national consistency in Heavy Vehicle National Law (HVNL). The ATA supports that the initiative will promote compliance with fatigue laws and work to simplify complex, and what can be confusing, fatigue management regulations.</w:t>
      </w:r>
    </w:p>
    <w:p w:rsidR="00136D09" w:rsidRDefault="00136D09" w:rsidP="00136D09">
      <w:pPr>
        <w:spacing w:after="0"/>
        <w:rPr>
          <w:rFonts w:ascii="Arial" w:hAnsi="Arial" w:cs="Arial"/>
        </w:rPr>
      </w:pPr>
    </w:p>
    <w:p w:rsidR="00136D09" w:rsidRDefault="00136D09" w:rsidP="00136D09">
      <w:pPr>
        <w:spacing w:after="0"/>
        <w:rPr>
          <w:rFonts w:ascii="Arial" w:hAnsi="Arial" w:cs="Arial"/>
        </w:rPr>
      </w:pPr>
      <w:r>
        <w:rPr>
          <w:rFonts w:ascii="Arial" w:hAnsi="Arial" w:cs="Arial"/>
        </w:rPr>
        <w:t xml:space="preserve">Heavy vehicle crash statistics, as an indicator of industry fatigue management performance, show that NSW – where the exemption already applies, is experiencing a notable downward trend in crashes. Other states where the exemption doesn’t apply, show no major decline or peaks in crash activity (excluding Victoria which does show variation year to year). This indicates that the introduction of this type of work and rest </w:t>
      </w:r>
      <w:proofErr w:type="gramStart"/>
      <w:r>
        <w:rPr>
          <w:rFonts w:ascii="Arial" w:hAnsi="Arial" w:cs="Arial"/>
        </w:rPr>
        <w:t>hours</w:t>
      </w:r>
      <w:proofErr w:type="gramEnd"/>
      <w:r>
        <w:rPr>
          <w:rFonts w:ascii="Arial" w:hAnsi="Arial" w:cs="Arial"/>
        </w:rPr>
        <w:t xml:space="preserve"> exemption has no adverse effect on road safety outcomes. </w:t>
      </w:r>
    </w:p>
    <w:p w:rsidR="00CF1457" w:rsidRDefault="00CF1457" w:rsidP="00136D09">
      <w:pPr>
        <w:spacing w:after="0"/>
        <w:rPr>
          <w:rFonts w:ascii="Arial" w:hAnsi="Arial" w:cs="Arial"/>
        </w:rPr>
      </w:pPr>
    </w:p>
    <w:p w:rsidR="00CF1457" w:rsidRDefault="00CF1457" w:rsidP="00136D09">
      <w:pPr>
        <w:sectPr w:rsidR="00CF1457" w:rsidSect="0029711A">
          <w:headerReference w:type="even" r:id="rId9"/>
          <w:headerReference w:type="default" r:id="rId10"/>
          <w:footerReference w:type="even" r:id="rId11"/>
          <w:footerReference w:type="default" r:id="rId12"/>
          <w:headerReference w:type="first" r:id="rId13"/>
          <w:footerReference w:type="first" r:id="rId14"/>
          <w:type w:val="continuous"/>
          <w:pgSz w:w="11906" w:h="16838"/>
          <w:pgMar w:top="2268" w:right="1701" w:bottom="1701" w:left="1701" w:header="284" w:footer="233" w:gutter="0"/>
          <w:cols w:space="708"/>
          <w:docGrid w:linePitch="360"/>
        </w:sectPr>
      </w:pPr>
    </w:p>
    <w:p w:rsidR="00CF1457" w:rsidRDefault="00CF1457" w:rsidP="00136D09">
      <w:r w:rsidRPr="00FE3100">
        <w:rPr>
          <w:noProof/>
          <w:lang w:eastAsia="en-AU"/>
        </w:rPr>
        <w:lastRenderedPageBreak/>
        <mc:AlternateContent>
          <mc:Choice Requires="wpg">
            <w:drawing>
              <wp:inline distT="0" distB="0" distL="0" distR="0" wp14:anchorId="026697C4" wp14:editId="34D8F5C6">
                <wp:extent cx="4962524" cy="3319463"/>
                <wp:effectExtent l="0" t="0" r="10160" b="14605"/>
                <wp:docPr id="20" name="Group 19"/>
                <wp:cNvGraphicFramePr/>
                <a:graphic xmlns:a="http://schemas.openxmlformats.org/drawingml/2006/main">
                  <a:graphicData uri="http://schemas.microsoft.com/office/word/2010/wordprocessingGroup">
                    <wpg:wgp>
                      <wpg:cNvGrpSpPr/>
                      <wpg:grpSpPr>
                        <a:xfrm>
                          <a:off x="0" y="0"/>
                          <a:ext cx="4962524" cy="3319463"/>
                          <a:chOff x="0" y="0"/>
                          <a:chExt cx="4962524" cy="3319463"/>
                        </a:xfrm>
                      </wpg:grpSpPr>
                      <wpg:grpSp>
                        <wpg:cNvPr id="2" name="Group 2"/>
                        <wpg:cNvGrpSpPr/>
                        <wpg:grpSpPr>
                          <a:xfrm>
                            <a:off x="0" y="0"/>
                            <a:ext cx="4962524" cy="3319463"/>
                            <a:chOff x="0" y="0"/>
                            <a:chExt cx="4962524" cy="3319463"/>
                          </a:xfrm>
                        </wpg:grpSpPr>
                        <wpg:graphicFrame>
                          <wpg:cNvPr id="4" name="Chart 4"/>
                          <wpg:cNvFrPr/>
                          <wpg:xfrm>
                            <a:off x="0" y="0"/>
                            <a:ext cx="4962524" cy="3319463"/>
                          </wpg:xfrm>
                          <a:graphic>
                            <a:graphicData uri="http://schemas.openxmlformats.org/drawingml/2006/chart">
                              <c:chart xmlns:c="http://schemas.openxmlformats.org/drawingml/2006/chart" xmlns:r="http://schemas.openxmlformats.org/officeDocument/2006/relationships" r:id="rId15"/>
                            </a:graphicData>
                          </a:graphic>
                        </wpg:graphicFrame>
                        <wps:wsp>
                          <wps:cNvPr id="5" name="TextBox 10"/>
                          <wps:cNvSpPr txBox="1"/>
                          <wps:spPr>
                            <a:xfrm>
                              <a:off x="866775" y="2967039"/>
                              <a:ext cx="2257425"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F1457" w:rsidRDefault="00CF1457" w:rsidP="00CF1457">
                                <w:pPr>
                                  <w:pStyle w:val="NormalWeb"/>
                                  <w:spacing w:before="0" w:beforeAutospacing="0" w:after="0" w:afterAutospacing="0"/>
                                </w:pPr>
                                <w:r>
                                  <w:rPr>
                                    <w:rFonts w:asciiTheme="minorHAnsi" w:hAnsi="Calibri" w:cstheme="minorBidi"/>
                                    <w:color w:val="000000" w:themeColor="text1"/>
                                    <w:sz w:val="22"/>
                                    <w:szCs w:val="22"/>
                                  </w:rPr>
                                  <w:t xml:space="preserve">               </w:t>
                                </w:r>
                                <w:r>
                                  <w:rPr>
                                    <w:rFonts w:asciiTheme="minorHAnsi" w:hAnsi="Calibri" w:cstheme="minorBidi"/>
                                    <w:color w:val="948A54" w:themeColor="background2" w:themeShade="80"/>
                                    <w:sz w:val="18"/>
                                    <w:szCs w:val="18"/>
                                  </w:rPr>
                                  <w:t>NSW exemption introduced</w:t>
                                </w:r>
                              </w:p>
                            </w:txbxContent>
                          </wps:txbx>
                          <wps:bodyPr wrap="square" rtlCol="0" anchor="t">
                            <a:noAutofit/>
                          </wps:bodyPr>
                        </wps:wsp>
                      </wpg:grpSp>
                      <wps:wsp>
                        <wps:cNvPr id="3" name="Straight Connector 3"/>
                        <wps:cNvCnPr>
                          <a:stCxn id="5" idx="1"/>
                        </wps:cNvCnPr>
                        <wps:spPr>
                          <a:xfrm>
                            <a:off x="866775" y="3099319"/>
                            <a:ext cx="400050" cy="1070"/>
                          </a:xfrm>
                          <a:prstGeom prst="line">
                            <a:avLst/>
                          </a:prstGeom>
                          <a:ln w="28575">
                            <a:solidFill>
                              <a:srgbClr val="C00000"/>
                            </a:solidFill>
                            <a:prstDash val="dash"/>
                          </a:ln>
                        </wps:spPr>
                        <wps:style>
                          <a:lnRef idx="3">
                            <a:schemeClr val="accent6"/>
                          </a:lnRef>
                          <a:fillRef idx="0">
                            <a:schemeClr val="accent6"/>
                          </a:fillRef>
                          <a:effectRef idx="2">
                            <a:schemeClr val="accent6"/>
                          </a:effectRef>
                          <a:fontRef idx="minor">
                            <a:schemeClr val="tx1"/>
                          </a:fontRef>
                        </wps:style>
                        <wps:bodyPr/>
                      </wps:wsp>
                    </wpg:wgp>
                  </a:graphicData>
                </a:graphic>
              </wp:inline>
            </w:drawing>
          </mc:Choice>
          <mc:Fallback>
            <w:pict>
              <v:group w14:anchorId="026697C4" id="Group 19" o:spid="_x0000_s1026" style="width:390.75pt;height:261.4pt;mso-position-horizontal-relative:char;mso-position-vertical-relative:line" coordsize="49625,33194"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">
                <v:group id="Group 2" o:spid="_x0000_s1027" style="position:absolute;width:49625;height:33194" coordsize="49625,33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s1028" type="#_x0000_t75" style="position:absolute;left:-60;top:-60;width:49742;height:332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">
                    <v:imagedata r:id="rId16" o:title=""/>
                    <o:lock v:ext="edit" aspectratio="f"/>
                  </v:shape>
                  <v:shapetype id="_x0000_t202" coordsize="21600,21600" o:spt="202" path="m,l,21600r21600,l21600,xe">
                    <v:stroke joinstyle="miter"/>
                    <v:path gradientshapeok="t" o:connecttype="rect"/>
                  </v:shapetype>
                  <v:shape id="TextBox 10" o:spid="_x0000_s1029" type="#_x0000_t202" style="position:absolute;left:8667;top:29670;width:22575;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F1457" w:rsidRDefault="00CF1457" w:rsidP="00CF1457">
                          <w:pPr>
                            <w:pStyle w:val="NormalWeb"/>
                            <w:spacing w:before="0" w:beforeAutospacing="0" w:after="0" w:afterAutospacing="0"/>
                          </w:pPr>
                          <w:r>
                            <w:rPr>
                              <w:rFonts w:asciiTheme="minorHAnsi" w:hAnsi="Calibri" w:cstheme="minorBidi"/>
                              <w:color w:val="000000" w:themeColor="text1"/>
                              <w:sz w:val="22"/>
                              <w:szCs w:val="22"/>
                            </w:rPr>
                            <w:t xml:space="preserve">               </w:t>
                          </w:r>
                          <w:r>
                            <w:rPr>
                              <w:rFonts w:asciiTheme="minorHAnsi" w:hAnsi="Calibri" w:cstheme="minorBidi"/>
                              <w:color w:val="948A54" w:themeColor="background2" w:themeShade="80"/>
                              <w:sz w:val="18"/>
                              <w:szCs w:val="18"/>
                            </w:rPr>
                            <w:t>NSW exemption introduced</w:t>
                          </w:r>
                        </w:p>
                      </w:txbxContent>
                    </v:textbox>
                  </v:shape>
                </v:group>
                <v:line id="Straight Connector 3" o:spid="_x0000_s1030" style="position:absolute;visibility:visible;mso-wrap-style:square" from="8667,30993" to="12668,31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FPa8MAAADaAAAADwAAAGRycy9kb3ducmV2LnhtbESP3YrCMBSE7xd8h3AE79ZUXVSqUUQU&#10;hEUWf1AvD82xLTYnpYlafXojLHg5zMw3zHham0LcqHK5ZQWddgSCOLE651TBfrf8HoJwHlljYZkU&#10;PMjBdNL4GmOs7Z03dNv6VAQIuxgVZN6XsZQuyciga9uSOHhnWxn0QVap1BXeA9wUshtFfWkw57CQ&#10;YUnzjJLL9moCZZ0+Ts9FvZ/3D/xXzo4/v53BSqlWs56NQHiq/Sf8315pBT14Xwk3QE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T2vDAAAA2gAAAA8AAAAAAAAAAAAA&#10;AAAAoQIAAGRycy9kb3ducmV2LnhtbFBLBQYAAAAABAAEAPkAAACRAwAAAAA=&#10;" strokecolor="#c00000" strokeweight="2.25pt">
                  <v:stroke dashstyle="dash"/>
                  <v:shadow on="t" color="black" opacity="22937f" origin=",.5" offset="0,.63889mm"/>
                </v:line>
                <w10:anchorlock/>
              </v:group>
            </w:pict>
          </mc:Fallback>
        </mc:AlternateContent>
      </w:r>
    </w:p>
    <w:p w:rsidR="00CF1457" w:rsidRDefault="00CF1457" w:rsidP="00CF1457"/>
    <w:p w:rsidR="00CF1457" w:rsidRDefault="00CF1457" w:rsidP="00CF1457">
      <w:pPr>
        <w:spacing w:after="0"/>
        <w:rPr>
          <w:rFonts w:ascii="Arial" w:hAnsi="Arial" w:cs="Arial"/>
        </w:rPr>
      </w:pPr>
      <w:r>
        <w:rPr>
          <w:rFonts w:ascii="Arial" w:hAnsi="Arial" w:cs="Arial"/>
        </w:rPr>
        <w:t xml:space="preserve">As stated in the NHVR </w:t>
      </w:r>
      <w:r w:rsidRPr="00025A1F">
        <w:rPr>
          <w:rFonts w:ascii="Arial" w:hAnsi="Arial" w:cs="Arial"/>
          <w:i/>
        </w:rPr>
        <w:t>Notice of Proposed Rule Making - Private use of fatigue-regulated heavy vehicles</w:t>
      </w:r>
      <w:r>
        <w:rPr>
          <w:rStyle w:val="FootnoteReference"/>
          <w:rFonts w:ascii="Arial" w:hAnsi="Arial" w:cs="Arial"/>
          <w:i/>
        </w:rPr>
        <w:footnoteReference w:id="1"/>
      </w:r>
      <w:r>
        <w:rPr>
          <w:rFonts w:ascii="Arial" w:hAnsi="Arial" w:cs="Arial"/>
        </w:rPr>
        <w:t xml:space="preserve"> there appears to be no </w:t>
      </w:r>
      <w:r w:rsidRPr="00232B4B">
        <w:rPr>
          <w:rFonts w:ascii="Arial" w:hAnsi="Arial" w:cs="Arial"/>
        </w:rPr>
        <w:t xml:space="preserve">peer-reviewed research evidence showing that the ministerial and statutory exemptions </w:t>
      </w:r>
      <w:r>
        <w:rPr>
          <w:rFonts w:ascii="Arial" w:hAnsi="Arial" w:cs="Arial"/>
        </w:rPr>
        <w:t xml:space="preserve">in place in NSW have </w:t>
      </w:r>
      <w:r w:rsidRPr="00232B4B">
        <w:rPr>
          <w:rFonts w:ascii="Arial" w:hAnsi="Arial" w:cs="Arial"/>
        </w:rPr>
        <w:t>led to heavy vehicle crashes in New South Wales.</w:t>
      </w:r>
    </w:p>
    <w:p w:rsidR="00CF1457" w:rsidRDefault="00CF1457" w:rsidP="00CF1457">
      <w:pPr>
        <w:spacing w:after="0"/>
        <w:rPr>
          <w:rFonts w:ascii="Arial" w:hAnsi="Arial" w:cs="Arial"/>
        </w:rPr>
      </w:pPr>
    </w:p>
    <w:p w:rsidR="00CF1457" w:rsidRDefault="00CF1457" w:rsidP="00CF1457">
      <w:pPr>
        <w:rPr>
          <w:rFonts w:ascii="Arial" w:hAnsi="Arial" w:cs="Arial"/>
        </w:rPr>
      </w:pPr>
      <w:r w:rsidRPr="004E131B">
        <w:rPr>
          <w:rFonts w:ascii="Arial" w:hAnsi="Arial" w:cs="Arial"/>
        </w:rPr>
        <w:t>Additionally, the NHVR’s preferred option requir</w:t>
      </w:r>
      <w:r>
        <w:rPr>
          <w:rFonts w:ascii="Arial" w:hAnsi="Arial" w:cs="Arial"/>
        </w:rPr>
        <w:t xml:space="preserve">es that drivers of articulated FRHV </w:t>
      </w:r>
      <w:r w:rsidRPr="004E131B">
        <w:rPr>
          <w:rFonts w:ascii="Arial" w:hAnsi="Arial" w:cs="Arial"/>
        </w:rPr>
        <w:t xml:space="preserve">unhitch the hauling unit from the combination. NHVR’s </w:t>
      </w:r>
      <w:r w:rsidRPr="005D2EF0">
        <w:rPr>
          <w:rFonts w:ascii="Arial" w:hAnsi="Arial" w:cs="Arial"/>
          <w:i/>
        </w:rPr>
        <w:t>Notice of Proposed Rule Making</w:t>
      </w:r>
      <w:r w:rsidRPr="004E131B">
        <w:rPr>
          <w:rFonts w:ascii="Arial" w:hAnsi="Arial" w:cs="Arial"/>
        </w:rPr>
        <w:t xml:space="preserve"> itself states that a hauling unit alone is more stable than a hauling unit in combination and the likelihood of a loss of control for vehicular reasons is lower</w:t>
      </w:r>
      <w:r>
        <w:rPr>
          <w:rStyle w:val="FootnoteReference"/>
          <w:rFonts w:ascii="Arial" w:hAnsi="Arial" w:cs="Arial"/>
        </w:rPr>
        <w:footnoteReference w:id="2"/>
      </w:r>
      <w:r w:rsidRPr="004E131B">
        <w:rPr>
          <w:rFonts w:ascii="Arial" w:hAnsi="Arial" w:cs="Arial"/>
        </w:rPr>
        <w:t xml:space="preserve">. </w:t>
      </w:r>
      <w:r>
        <w:rPr>
          <w:rFonts w:ascii="Arial" w:hAnsi="Arial" w:cs="Arial"/>
        </w:rPr>
        <w:t>Therefore</w:t>
      </w:r>
      <w:r w:rsidRPr="004E131B">
        <w:rPr>
          <w:rFonts w:ascii="Arial" w:hAnsi="Arial" w:cs="Arial"/>
        </w:rPr>
        <w:t>, operating a prime mover bobtail is no different to driving a car, which drivers are permitted to do under fatigue management during rest periods.</w:t>
      </w:r>
    </w:p>
    <w:p w:rsidR="00CF1457" w:rsidRDefault="00CF1457" w:rsidP="00CF1457">
      <w:pPr>
        <w:rPr>
          <w:rFonts w:ascii="Arial" w:hAnsi="Arial" w:cs="Arial"/>
        </w:rPr>
        <w:sectPr w:rsidR="00CF1457" w:rsidSect="00CF1457">
          <w:pgSz w:w="11906" w:h="16838"/>
          <w:pgMar w:top="2268" w:right="1701" w:bottom="1701" w:left="1701" w:header="284" w:footer="233" w:gutter="0"/>
          <w:cols w:space="708"/>
          <w:titlePg/>
          <w:docGrid w:linePitch="360"/>
        </w:sectPr>
      </w:pPr>
      <w:r>
        <w:rPr>
          <w:rFonts w:ascii="Arial" w:hAnsi="Arial" w:cs="Arial"/>
        </w:rPr>
        <w:t>Fatigue exemptions are regularly issued by road authorities to allow drivers to participate in for example, charity and union events</w:t>
      </w:r>
      <w:r>
        <w:rPr>
          <w:rStyle w:val="FootnoteReference"/>
          <w:rFonts w:ascii="Arial" w:hAnsi="Arial" w:cs="Arial"/>
        </w:rPr>
        <w:footnoteReference w:id="3"/>
      </w:r>
      <w:r>
        <w:rPr>
          <w:rFonts w:ascii="Arial" w:hAnsi="Arial" w:cs="Arial"/>
        </w:rPr>
        <w:t>, further demonstrating that the level of risk on non-work related truck movements is thought to be minimal.</w:t>
      </w:r>
    </w:p>
    <w:p w:rsidR="00CF1457" w:rsidRDefault="00CF1457" w:rsidP="00CF1457">
      <w:pPr>
        <w:rPr>
          <w:rFonts w:ascii="Arial" w:hAnsi="Arial" w:cs="Arial"/>
          <w:b/>
        </w:rPr>
      </w:pPr>
      <w:r>
        <w:rPr>
          <w:rFonts w:ascii="Arial" w:hAnsi="Arial" w:cs="Arial"/>
          <w:b/>
        </w:rPr>
        <w:lastRenderedPageBreak/>
        <w:t>Issues and Recommendations</w:t>
      </w:r>
    </w:p>
    <w:p w:rsidR="00CF1457" w:rsidRDefault="00CF1457" w:rsidP="00CF1457">
      <w:pPr>
        <w:rPr>
          <w:rFonts w:ascii="Arial" w:hAnsi="Arial" w:cs="Arial"/>
        </w:rPr>
      </w:pPr>
      <w:r>
        <w:rPr>
          <w:rFonts w:ascii="Arial" w:hAnsi="Arial" w:cs="Arial"/>
        </w:rPr>
        <w:t xml:space="preserve">The ATA has consulted with representatives of our member organisations (many of whom will submit more detailed submissions to the NHVR). </w:t>
      </w:r>
    </w:p>
    <w:p w:rsidR="00316436" w:rsidRDefault="00316436" w:rsidP="00CF1457">
      <w:pPr>
        <w:rPr>
          <w:rFonts w:ascii="Arial" w:hAnsi="Arial" w:cs="Arial"/>
        </w:rPr>
      </w:pPr>
    </w:p>
    <w:p w:rsidR="00CF1457" w:rsidRDefault="00CF1457" w:rsidP="00CF1457">
      <w:pPr>
        <w:rPr>
          <w:rFonts w:ascii="Arial" w:hAnsi="Arial" w:cs="Arial"/>
        </w:rPr>
      </w:pPr>
      <w:r>
        <w:rPr>
          <w:rFonts w:ascii="Arial" w:hAnsi="Arial" w:cs="Arial"/>
        </w:rPr>
        <w:t>In line with this consultation the ATA recommends:</w:t>
      </w:r>
    </w:p>
    <w:p w:rsidR="00CF1457" w:rsidRDefault="00CF1457" w:rsidP="00CF1457">
      <w:pPr>
        <w:spacing w:after="0" w:line="240" w:lineRule="auto"/>
        <w:ind w:left="284" w:right="284"/>
        <w:rPr>
          <w:rFonts w:ascii="Arial" w:hAnsi="Arial" w:cs="Arial"/>
          <w:b/>
        </w:rPr>
      </w:pPr>
      <w:r w:rsidRPr="009A6F79">
        <w:rPr>
          <w:rFonts w:ascii="Arial" w:hAnsi="Arial" w:cs="Arial"/>
          <w:b/>
        </w:rPr>
        <w:t xml:space="preserve">Recommendation 1: </w:t>
      </w:r>
    </w:p>
    <w:p w:rsidR="00CF1457" w:rsidRDefault="00CF1457" w:rsidP="00CF1457">
      <w:pPr>
        <w:spacing w:after="0" w:line="240" w:lineRule="auto"/>
        <w:ind w:left="284" w:right="284"/>
        <w:rPr>
          <w:rFonts w:ascii="Arial" w:hAnsi="Arial" w:cs="Arial"/>
          <w:b/>
        </w:rPr>
      </w:pPr>
      <w:r w:rsidRPr="00B81232">
        <w:rPr>
          <w:rFonts w:ascii="Arial" w:hAnsi="Arial" w:cs="Arial"/>
          <w:b/>
        </w:rPr>
        <w:t>National consistency is a priority and therefore Option 3 should be implemented immediately as an interim measure.</w:t>
      </w:r>
    </w:p>
    <w:p w:rsidR="00CF1457" w:rsidRDefault="00CF1457" w:rsidP="00CF1457">
      <w:pPr>
        <w:spacing w:after="0" w:line="240" w:lineRule="auto"/>
        <w:ind w:left="284" w:right="284"/>
        <w:rPr>
          <w:rFonts w:ascii="Arial" w:hAnsi="Arial" w:cs="Arial"/>
          <w:b/>
        </w:rPr>
      </w:pPr>
    </w:p>
    <w:p w:rsidR="00CF1457" w:rsidRPr="009A6F79" w:rsidRDefault="00CF1457" w:rsidP="00CF1457">
      <w:pPr>
        <w:spacing w:after="0" w:line="240" w:lineRule="auto"/>
        <w:ind w:left="284" w:right="284"/>
        <w:rPr>
          <w:rFonts w:ascii="Arial" w:hAnsi="Arial" w:cs="Arial"/>
          <w:b/>
        </w:rPr>
      </w:pPr>
      <w:r w:rsidRPr="009A6F79">
        <w:rPr>
          <w:rFonts w:ascii="Arial" w:hAnsi="Arial" w:cs="Arial"/>
          <w:b/>
        </w:rPr>
        <w:t xml:space="preserve">Recommendation 2: </w:t>
      </w:r>
    </w:p>
    <w:p w:rsidR="00CF1457" w:rsidRDefault="00CF1457" w:rsidP="00CF1457">
      <w:pPr>
        <w:spacing w:after="0" w:line="240" w:lineRule="auto"/>
        <w:ind w:left="284" w:right="284"/>
        <w:rPr>
          <w:rFonts w:ascii="Arial" w:hAnsi="Arial" w:cs="Arial"/>
          <w:b/>
        </w:rPr>
      </w:pPr>
      <w:r w:rsidRPr="00B81232">
        <w:rPr>
          <w:rFonts w:ascii="Arial" w:hAnsi="Arial" w:cs="Arial"/>
          <w:b/>
        </w:rPr>
        <w:t xml:space="preserve">Option 4 should be included as an item in the next round of HVNL routine improvement maintenance and implemented thereafter. </w:t>
      </w:r>
    </w:p>
    <w:p w:rsidR="00CF1457" w:rsidRPr="00B81232" w:rsidRDefault="00CF1457" w:rsidP="00CF1457">
      <w:pPr>
        <w:spacing w:after="0" w:line="240" w:lineRule="auto"/>
        <w:ind w:left="284" w:right="284"/>
        <w:rPr>
          <w:rFonts w:ascii="Arial" w:hAnsi="Arial" w:cs="Arial"/>
          <w:b/>
        </w:rPr>
      </w:pPr>
    </w:p>
    <w:p w:rsidR="00CF1457" w:rsidRPr="00043B59" w:rsidRDefault="00CF1457" w:rsidP="00CF1457">
      <w:pPr>
        <w:ind w:left="284" w:right="284"/>
        <w:rPr>
          <w:rFonts w:ascii="Arial" w:hAnsi="Arial" w:cs="Arial"/>
        </w:rPr>
      </w:pPr>
      <w:r w:rsidRPr="00043B59">
        <w:rPr>
          <w:rFonts w:ascii="Arial" w:hAnsi="Arial" w:cs="Arial"/>
        </w:rPr>
        <w:t>Option 4 should be considered as interim only as the NHVR moves towards implementation of Option 5.</w:t>
      </w:r>
    </w:p>
    <w:p w:rsidR="00CF1457" w:rsidRPr="009A6F79" w:rsidRDefault="00CF1457" w:rsidP="00CF1457">
      <w:pPr>
        <w:spacing w:after="0" w:line="240" w:lineRule="auto"/>
        <w:ind w:left="284" w:right="284"/>
        <w:rPr>
          <w:rFonts w:ascii="Arial" w:hAnsi="Arial" w:cs="Arial"/>
          <w:b/>
        </w:rPr>
      </w:pPr>
      <w:r w:rsidRPr="009A6F79">
        <w:rPr>
          <w:rFonts w:ascii="Arial" w:hAnsi="Arial" w:cs="Arial"/>
          <w:b/>
        </w:rPr>
        <w:t xml:space="preserve">Recommendation 3: </w:t>
      </w:r>
    </w:p>
    <w:p w:rsidR="00CF1457" w:rsidRDefault="00CF1457" w:rsidP="00CF1457">
      <w:pPr>
        <w:spacing w:after="0" w:line="240" w:lineRule="auto"/>
        <w:ind w:left="284" w:right="284"/>
        <w:rPr>
          <w:rFonts w:ascii="Arial" w:hAnsi="Arial" w:cs="Arial"/>
          <w:b/>
        </w:rPr>
      </w:pPr>
      <w:r w:rsidRPr="00B81232">
        <w:rPr>
          <w:rFonts w:ascii="Arial" w:hAnsi="Arial" w:cs="Arial"/>
          <w:b/>
        </w:rPr>
        <w:t xml:space="preserve">Harmonisation, flexibility and voluntary compliance are a priority and hence Option 5 should be implemented in the longer term. This option should form part of the National Transport Commission (NTC) review of HVNL. </w:t>
      </w:r>
    </w:p>
    <w:p w:rsidR="00CF1457" w:rsidRPr="0050706B" w:rsidRDefault="00CF1457" w:rsidP="00CF1457">
      <w:pPr>
        <w:spacing w:after="0" w:line="240" w:lineRule="auto"/>
        <w:ind w:left="284" w:right="284"/>
        <w:rPr>
          <w:rFonts w:ascii="Arial" w:hAnsi="Arial" w:cs="Arial"/>
          <w:b/>
        </w:rPr>
      </w:pPr>
    </w:p>
    <w:p w:rsidR="00CF1457" w:rsidRPr="00043B59" w:rsidRDefault="00CF1457" w:rsidP="00CF1457">
      <w:pPr>
        <w:spacing w:after="0"/>
        <w:ind w:left="284" w:right="284"/>
        <w:rPr>
          <w:rFonts w:ascii="Arial" w:hAnsi="Arial" w:cs="Arial"/>
        </w:rPr>
      </w:pPr>
      <w:r w:rsidRPr="00043B59">
        <w:rPr>
          <w:rFonts w:ascii="Arial" w:hAnsi="Arial" w:cs="Arial"/>
        </w:rPr>
        <w:t>The ATA has been advised that this review may commence in the second half of 2018, which will coincide with the completion of the Alertness CRC/NTC research project, into the impacts of the HVNL on heavy vehicle driver fatigue. The implementation of Option 5 should be prioritised at the completion of the review and research.</w:t>
      </w:r>
    </w:p>
    <w:p w:rsidR="00CF1457" w:rsidRDefault="00CF1457" w:rsidP="00CF1457">
      <w:pPr>
        <w:spacing w:after="0"/>
        <w:ind w:left="284" w:right="284"/>
        <w:rPr>
          <w:rFonts w:ascii="Arial" w:hAnsi="Arial" w:cs="Arial"/>
          <w:b/>
        </w:rPr>
      </w:pPr>
    </w:p>
    <w:p w:rsidR="00CF1457" w:rsidRPr="009A6F79" w:rsidRDefault="00CF1457" w:rsidP="00CF1457">
      <w:pPr>
        <w:spacing w:after="0" w:line="240" w:lineRule="auto"/>
        <w:ind w:left="284" w:right="284"/>
        <w:rPr>
          <w:rFonts w:ascii="Arial" w:hAnsi="Arial" w:cs="Arial"/>
          <w:b/>
        </w:rPr>
      </w:pPr>
      <w:r w:rsidRPr="009A6F79">
        <w:rPr>
          <w:rFonts w:ascii="Arial" w:hAnsi="Arial" w:cs="Arial"/>
          <w:b/>
        </w:rPr>
        <w:t xml:space="preserve">Recommendation 4: </w:t>
      </w:r>
    </w:p>
    <w:p w:rsidR="00CF1457" w:rsidRDefault="00CF1457" w:rsidP="00CF1457">
      <w:pPr>
        <w:spacing w:after="0" w:line="240" w:lineRule="auto"/>
        <w:ind w:left="284" w:right="284"/>
        <w:rPr>
          <w:rFonts w:ascii="Arial" w:hAnsi="Arial" w:cs="Arial"/>
          <w:b/>
        </w:rPr>
      </w:pPr>
      <w:r w:rsidRPr="0050706B">
        <w:rPr>
          <w:rFonts w:ascii="Arial" w:hAnsi="Arial" w:cs="Arial"/>
          <w:b/>
        </w:rPr>
        <w:t>The NHVR must offer a clear definition of ‘personal use’</w:t>
      </w:r>
      <w:r>
        <w:rPr>
          <w:rFonts w:ascii="Arial" w:hAnsi="Arial" w:cs="Arial"/>
          <w:b/>
        </w:rPr>
        <w:t>.</w:t>
      </w:r>
    </w:p>
    <w:p w:rsidR="00CF1457" w:rsidRPr="0050706B" w:rsidRDefault="00CF1457" w:rsidP="00CF1457">
      <w:pPr>
        <w:spacing w:after="0" w:line="240" w:lineRule="auto"/>
        <w:ind w:left="284" w:right="284"/>
        <w:rPr>
          <w:rFonts w:ascii="Arial" w:hAnsi="Arial" w:cs="Arial"/>
          <w:b/>
        </w:rPr>
      </w:pPr>
    </w:p>
    <w:p w:rsidR="00FA5B38" w:rsidRDefault="00CF1457" w:rsidP="00FA5B38">
      <w:pPr>
        <w:spacing w:after="0"/>
        <w:ind w:left="284" w:right="284"/>
        <w:rPr>
          <w:rFonts w:ascii="Arial" w:hAnsi="Arial" w:cs="Arial"/>
        </w:rPr>
      </w:pPr>
      <w:r w:rsidRPr="00043B59">
        <w:rPr>
          <w:rFonts w:ascii="Arial" w:hAnsi="Arial" w:cs="Arial"/>
        </w:rPr>
        <w:t>Clear definitions of what ‘personal use’ includes or excludes will promote compliance.</w:t>
      </w:r>
    </w:p>
    <w:p w:rsidR="00FA5B38" w:rsidRDefault="00FA5B38" w:rsidP="00FA5B38">
      <w:pPr>
        <w:spacing w:after="0"/>
        <w:ind w:left="284" w:right="284"/>
        <w:rPr>
          <w:rFonts w:ascii="Arial" w:hAnsi="Arial" w:cs="Arial"/>
        </w:rPr>
      </w:pPr>
    </w:p>
    <w:p w:rsidR="00CF1457" w:rsidRDefault="00CF1457" w:rsidP="00FA5B38">
      <w:pPr>
        <w:spacing w:after="0"/>
        <w:ind w:left="284" w:right="284"/>
        <w:rPr>
          <w:rFonts w:ascii="Arial" w:hAnsi="Arial" w:cs="Arial"/>
        </w:rPr>
      </w:pPr>
      <w:r w:rsidRPr="00043B59">
        <w:rPr>
          <w:rFonts w:ascii="Arial" w:hAnsi="Arial" w:cs="Arial"/>
        </w:rPr>
        <w:t xml:space="preserve">In addition to domestic purposes, refuelling and cleaning, the NHVR should include activities related to vehicle repair and maintenance in the work and rest </w:t>
      </w:r>
      <w:proofErr w:type="gramStart"/>
      <w:r w:rsidRPr="00043B59">
        <w:rPr>
          <w:rFonts w:ascii="Arial" w:hAnsi="Arial" w:cs="Arial"/>
        </w:rPr>
        <w:t>hours</w:t>
      </w:r>
      <w:proofErr w:type="gramEnd"/>
      <w:r w:rsidRPr="00043B59">
        <w:rPr>
          <w:rFonts w:ascii="Arial" w:hAnsi="Arial" w:cs="Arial"/>
        </w:rPr>
        <w:t xml:space="preserve"> exemption definition (such as driving to and from a repairer and/or purchasing of parts or supplies).</w:t>
      </w:r>
    </w:p>
    <w:p w:rsidR="00316436" w:rsidRDefault="00316436" w:rsidP="00FA5B38">
      <w:pPr>
        <w:spacing w:after="0"/>
        <w:ind w:left="284" w:right="284"/>
        <w:rPr>
          <w:rFonts w:ascii="Arial" w:hAnsi="Arial" w:cs="Arial"/>
        </w:rPr>
      </w:pPr>
    </w:p>
    <w:p w:rsidR="00377D68" w:rsidRDefault="00316436" w:rsidP="00316436">
      <w:pPr>
        <w:spacing w:after="0"/>
        <w:ind w:left="284" w:right="284"/>
        <w:rPr>
          <w:rFonts w:ascii="Arial" w:hAnsi="Arial" w:cs="Arial"/>
        </w:rPr>
        <w:sectPr w:rsidR="00377D68" w:rsidSect="00CF1457">
          <w:pgSz w:w="11906" w:h="16838"/>
          <w:pgMar w:top="2268" w:right="1701" w:bottom="1701" w:left="1701" w:header="284" w:footer="233" w:gutter="0"/>
          <w:cols w:space="708"/>
          <w:titlePg/>
          <w:docGrid w:linePitch="360"/>
        </w:sectPr>
      </w:pPr>
      <w:r w:rsidRPr="00043B59">
        <w:rPr>
          <w:rFonts w:ascii="Arial" w:hAnsi="Arial" w:cs="Arial"/>
        </w:rPr>
        <w:t xml:space="preserve">Inclusion of </w:t>
      </w:r>
      <w:r>
        <w:rPr>
          <w:rFonts w:ascii="Arial" w:hAnsi="Arial" w:cs="Arial"/>
        </w:rPr>
        <w:t>r</w:t>
      </w:r>
      <w:r w:rsidRPr="00043B59">
        <w:rPr>
          <w:rFonts w:ascii="Arial" w:hAnsi="Arial" w:cs="Arial"/>
        </w:rPr>
        <w:t>epair and maintenance</w:t>
      </w:r>
      <w:r>
        <w:rPr>
          <w:rFonts w:ascii="Arial" w:hAnsi="Arial" w:cs="Arial"/>
        </w:rPr>
        <w:t>,</w:t>
      </w:r>
      <w:r w:rsidRPr="00043B59">
        <w:rPr>
          <w:rFonts w:ascii="Arial" w:hAnsi="Arial" w:cs="Arial"/>
        </w:rPr>
        <w:t xml:space="preserve"> works to ensure that trucks are safe and well maintained. Drivers will achieve better quality rest knowing that their vehicle meets all safety and maintenance requirements and is ready for the c</w:t>
      </w:r>
      <w:r w:rsidR="00377D68">
        <w:rPr>
          <w:rFonts w:ascii="Arial" w:hAnsi="Arial" w:cs="Arial"/>
        </w:rPr>
        <w:t>ommencement of their next shift</w:t>
      </w:r>
    </w:p>
    <w:p w:rsidR="00CF1457" w:rsidRPr="004142C5" w:rsidRDefault="00CF1457" w:rsidP="00377D68">
      <w:pPr>
        <w:spacing w:after="0" w:line="240" w:lineRule="auto"/>
        <w:ind w:left="283" w:right="284"/>
        <w:rPr>
          <w:rFonts w:ascii="Arial" w:hAnsi="Arial" w:cs="Arial"/>
          <w:b/>
        </w:rPr>
      </w:pPr>
      <w:r w:rsidRPr="004142C5">
        <w:rPr>
          <w:rFonts w:ascii="Arial" w:hAnsi="Arial" w:cs="Arial"/>
          <w:b/>
        </w:rPr>
        <w:t xml:space="preserve">Recommendation 5: </w:t>
      </w:r>
    </w:p>
    <w:p w:rsidR="00CF1457" w:rsidRPr="0050706B" w:rsidRDefault="00CF1457" w:rsidP="00CF1457">
      <w:pPr>
        <w:spacing w:after="0" w:line="240" w:lineRule="auto"/>
        <w:ind w:left="284" w:right="284"/>
        <w:rPr>
          <w:rFonts w:ascii="Arial" w:hAnsi="Arial" w:cs="Arial"/>
          <w:b/>
        </w:rPr>
      </w:pPr>
      <w:r w:rsidRPr="0050706B">
        <w:rPr>
          <w:rFonts w:ascii="Arial" w:hAnsi="Arial" w:cs="Arial"/>
          <w:b/>
        </w:rPr>
        <w:t>The NHVR must provide clear guidance material regarding how the private use hour should be recorded in work diaries.</w:t>
      </w:r>
    </w:p>
    <w:p w:rsidR="00CF1457" w:rsidRDefault="00CF1457" w:rsidP="00CF1457">
      <w:pPr>
        <w:spacing w:after="0"/>
        <w:ind w:left="284" w:right="284"/>
        <w:rPr>
          <w:rFonts w:ascii="Arial" w:hAnsi="Arial" w:cs="Arial"/>
        </w:rPr>
      </w:pPr>
    </w:p>
    <w:p w:rsidR="00CF1457" w:rsidRPr="00792708" w:rsidRDefault="00CF1457" w:rsidP="00CF1457">
      <w:pPr>
        <w:spacing w:after="0"/>
        <w:ind w:left="284" w:right="284"/>
        <w:rPr>
          <w:rFonts w:ascii="Arial" w:hAnsi="Arial" w:cs="Arial"/>
          <w:b/>
        </w:rPr>
      </w:pPr>
      <w:r>
        <w:rPr>
          <w:rFonts w:ascii="Arial" w:hAnsi="Arial" w:cs="Arial"/>
          <w:b/>
        </w:rPr>
        <w:t xml:space="preserve">Recommendation 6: </w:t>
      </w:r>
    </w:p>
    <w:p w:rsidR="00CF1457" w:rsidRDefault="00CF1457" w:rsidP="00CF1457">
      <w:pPr>
        <w:spacing w:after="0"/>
        <w:ind w:left="284" w:right="284"/>
        <w:rPr>
          <w:rFonts w:ascii="Arial" w:hAnsi="Arial" w:cs="Arial"/>
          <w:b/>
        </w:rPr>
      </w:pPr>
      <w:r w:rsidRPr="00854314">
        <w:rPr>
          <w:rFonts w:ascii="Arial" w:hAnsi="Arial" w:cs="Arial"/>
          <w:b/>
        </w:rPr>
        <w:t>Key proposal 1</w:t>
      </w:r>
      <w:r>
        <w:rPr>
          <w:rFonts w:ascii="Arial" w:hAnsi="Arial" w:cs="Arial"/>
          <w:b/>
        </w:rPr>
        <w:t xml:space="preserve"> (</w:t>
      </w:r>
      <w:r w:rsidRPr="00854314">
        <w:rPr>
          <w:rFonts w:ascii="Arial" w:hAnsi="Arial" w:cs="Arial"/>
          <w:b/>
        </w:rPr>
        <w:t>2.5.1</w:t>
      </w:r>
      <w:r>
        <w:rPr>
          <w:rFonts w:ascii="Arial" w:hAnsi="Arial" w:cs="Arial"/>
          <w:b/>
        </w:rPr>
        <w:t>) should not restrict drivers from driving the FRHV within the first three hours of commencing or ending their 24-hour rest break.</w:t>
      </w:r>
    </w:p>
    <w:p w:rsidR="00CF1457" w:rsidRDefault="00CF1457" w:rsidP="00CF1457">
      <w:pPr>
        <w:spacing w:after="0"/>
        <w:ind w:left="284" w:right="284"/>
        <w:rPr>
          <w:rFonts w:ascii="Arial" w:hAnsi="Arial" w:cs="Arial"/>
          <w:b/>
        </w:rPr>
      </w:pPr>
    </w:p>
    <w:p w:rsidR="00CF1457" w:rsidRPr="00043B59" w:rsidRDefault="00CF1457" w:rsidP="00CF1457">
      <w:pPr>
        <w:spacing w:after="0"/>
        <w:ind w:left="283" w:right="284"/>
        <w:rPr>
          <w:rFonts w:ascii="Arial" w:hAnsi="Arial" w:cs="Arial"/>
        </w:rPr>
      </w:pPr>
      <w:r w:rsidRPr="00043B59">
        <w:rPr>
          <w:rFonts w:ascii="Arial" w:hAnsi="Arial" w:cs="Arial"/>
        </w:rPr>
        <w:t>This restriction does not allow for a driver to travel to and from a restaurant or shower amenities in order to properly prepare for quality rest. Additionally, the 500 km restriction does not make allowance for drivers that are out of hours and required to rest closer to their base. These drivers still require access to amenities in order to have a quality rest break.</w:t>
      </w:r>
    </w:p>
    <w:p w:rsidR="00CF1457" w:rsidRPr="00043B59" w:rsidRDefault="00CF1457" w:rsidP="00CF1457">
      <w:pPr>
        <w:spacing w:after="0"/>
        <w:ind w:left="283" w:right="284"/>
        <w:rPr>
          <w:rFonts w:ascii="Arial" w:hAnsi="Arial" w:cs="Arial"/>
        </w:rPr>
      </w:pPr>
    </w:p>
    <w:p w:rsidR="00CF1457" w:rsidRPr="006A293A" w:rsidRDefault="00CF1457" w:rsidP="00CF1457">
      <w:pPr>
        <w:spacing w:after="0"/>
        <w:ind w:left="283" w:right="284"/>
        <w:rPr>
          <w:rFonts w:ascii="Arial" w:hAnsi="Arial" w:cs="Arial"/>
          <w:b/>
        </w:rPr>
      </w:pPr>
      <w:r w:rsidRPr="006A293A">
        <w:rPr>
          <w:rFonts w:ascii="Arial" w:hAnsi="Arial" w:cs="Arial"/>
          <w:b/>
        </w:rPr>
        <w:t xml:space="preserve">Recommendation 7: </w:t>
      </w:r>
    </w:p>
    <w:p w:rsidR="00CF1457" w:rsidRPr="006A293A" w:rsidRDefault="00CF1457" w:rsidP="00CF1457">
      <w:pPr>
        <w:spacing w:after="0"/>
        <w:ind w:left="283" w:right="284"/>
        <w:rPr>
          <w:rFonts w:ascii="Arial" w:hAnsi="Arial" w:cs="Arial"/>
          <w:b/>
        </w:rPr>
      </w:pPr>
      <w:r w:rsidRPr="006A293A">
        <w:rPr>
          <w:rFonts w:ascii="Arial" w:hAnsi="Arial" w:cs="Arial"/>
          <w:b/>
        </w:rPr>
        <w:t>Key proposal 2 (2.5.2) should allow the driver to use the hour’s exemption as and when they need to.</w:t>
      </w:r>
    </w:p>
    <w:p w:rsidR="00CF1457" w:rsidRDefault="00CF1457" w:rsidP="00CF1457">
      <w:pPr>
        <w:spacing w:after="0"/>
        <w:ind w:right="284"/>
        <w:rPr>
          <w:rFonts w:ascii="Arial" w:hAnsi="Arial" w:cs="Arial"/>
        </w:rPr>
      </w:pPr>
    </w:p>
    <w:p w:rsidR="00CF1457" w:rsidRPr="00043B59" w:rsidRDefault="00CF1457" w:rsidP="00CF1457">
      <w:pPr>
        <w:spacing w:after="0"/>
        <w:ind w:left="284" w:right="284"/>
        <w:rPr>
          <w:rFonts w:ascii="Arial" w:hAnsi="Arial" w:cs="Arial"/>
        </w:rPr>
      </w:pPr>
      <w:r w:rsidRPr="00043B59">
        <w:rPr>
          <w:rFonts w:ascii="Arial" w:hAnsi="Arial" w:cs="Arial"/>
        </w:rPr>
        <w:t>The 500km radius should be removed. As an alternative to restricting drivers through a distance or radius method, provision of clear definition of ‘personal use’ and how the time can be used is considered by industry as a better approach.</w:t>
      </w:r>
    </w:p>
    <w:p w:rsidR="00CF1457" w:rsidRPr="00043B59" w:rsidRDefault="00CF1457" w:rsidP="00CF1457">
      <w:pPr>
        <w:spacing w:after="0"/>
        <w:ind w:left="284" w:right="284"/>
        <w:rPr>
          <w:rFonts w:ascii="Arial" w:hAnsi="Arial" w:cs="Arial"/>
        </w:rPr>
      </w:pPr>
    </w:p>
    <w:p w:rsidR="00CF1457" w:rsidRPr="00043B59" w:rsidRDefault="00CF1457" w:rsidP="00CF1457">
      <w:pPr>
        <w:spacing w:after="0"/>
        <w:ind w:left="283" w:right="284"/>
        <w:rPr>
          <w:rFonts w:ascii="Arial" w:hAnsi="Arial" w:cs="Arial"/>
        </w:rPr>
      </w:pPr>
      <w:r w:rsidRPr="00043B59">
        <w:rPr>
          <w:rFonts w:ascii="Arial" w:hAnsi="Arial" w:cs="Arial"/>
        </w:rPr>
        <w:t>The requirement that the hour be deducted from the next 24 hour period should be removed, this adds to complexity and increases the potential for non-compliance.</w:t>
      </w:r>
    </w:p>
    <w:p w:rsidR="00CF1457" w:rsidRDefault="00CF1457" w:rsidP="00CF1457">
      <w:pPr>
        <w:spacing w:after="0"/>
        <w:ind w:left="284" w:right="284"/>
        <w:rPr>
          <w:rFonts w:ascii="Arial" w:hAnsi="Arial" w:cs="Arial"/>
        </w:rPr>
      </w:pPr>
    </w:p>
    <w:p w:rsidR="00CF1457" w:rsidRDefault="00CF1457" w:rsidP="00CF1457">
      <w:pPr>
        <w:spacing w:after="0"/>
        <w:rPr>
          <w:rFonts w:ascii="Arial" w:hAnsi="Arial" w:cs="Arial"/>
        </w:rPr>
      </w:pPr>
    </w:p>
    <w:p w:rsidR="00CF1457" w:rsidRDefault="00CF1457" w:rsidP="00377D68">
      <w:pPr>
        <w:rPr>
          <w:rFonts w:ascii="Arial" w:hAnsi="Arial" w:cs="Arial"/>
        </w:rPr>
      </w:pPr>
      <w:r>
        <w:rPr>
          <w:rFonts w:ascii="Arial" w:hAnsi="Arial" w:cs="Arial"/>
        </w:rPr>
        <w:t>Importantly I also emphasise that i</w:t>
      </w:r>
      <w:r w:rsidRPr="003E3D41">
        <w:rPr>
          <w:rFonts w:ascii="Arial" w:hAnsi="Arial" w:cs="Arial"/>
        </w:rPr>
        <w:t>n our discussions with ATA members it was concluded that the NHVR should hold further discussions with operators post consultation and prior to finalisation of the new rule.</w:t>
      </w:r>
      <w:r>
        <w:rPr>
          <w:rFonts w:ascii="Arial" w:hAnsi="Arial" w:cs="Arial"/>
        </w:rPr>
        <w:t xml:space="preserve"> </w:t>
      </w:r>
    </w:p>
    <w:p w:rsidR="00CF1457" w:rsidRPr="003E3D41" w:rsidRDefault="00CF1457" w:rsidP="00CF1457">
      <w:pPr>
        <w:spacing w:line="240" w:lineRule="auto"/>
        <w:rPr>
          <w:rFonts w:ascii="Arial" w:hAnsi="Arial" w:cs="Arial"/>
        </w:rPr>
      </w:pPr>
      <w:r w:rsidRPr="003E3D41">
        <w:rPr>
          <w:rFonts w:ascii="Arial" w:hAnsi="Arial" w:cs="Arial"/>
        </w:rPr>
        <w:t>Thank you for the opportunity to provide comment on this matter.</w:t>
      </w:r>
      <w:r>
        <w:rPr>
          <w:rFonts w:ascii="Arial" w:hAnsi="Arial" w:cs="Arial"/>
        </w:rPr>
        <w:t xml:space="preserve"> Should you require clarification or further information t</w:t>
      </w:r>
      <w:r w:rsidRPr="003E3D41">
        <w:rPr>
          <w:rFonts w:ascii="Arial" w:hAnsi="Arial" w:cs="Arial"/>
        </w:rPr>
        <w:t xml:space="preserve">he ATA contact for this letter is Bill McKinley, Chief of Staff, on </w:t>
      </w:r>
      <w:hyperlink r:id="rId17" w:history="1">
        <w:r w:rsidRPr="003E3D41">
          <w:rPr>
            <w:rStyle w:val="Hyperlink"/>
            <w:rFonts w:ascii="Arial" w:hAnsi="Arial" w:cs="Arial"/>
          </w:rPr>
          <w:t>bill.mckinley@truck.net.au</w:t>
        </w:r>
      </w:hyperlink>
      <w:r w:rsidRPr="003E3D41">
        <w:rPr>
          <w:rFonts w:ascii="Arial" w:hAnsi="Arial" w:cs="Arial"/>
        </w:rPr>
        <w:t xml:space="preserve"> or (02) 6253 </w:t>
      </w:r>
      <w:proofErr w:type="gramStart"/>
      <w:r w:rsidRPr="003E3D41">
        <w:rPr>
          <w:rFonts w:ascii="Arial" w:hAnsi="Arial" w:cs="Arial"/>
        </w:rPr>
        <w:t>6900.</w:t>
      </w:r>
      <w:proofErr w:type="gramEnd"/>
    </w:p>
    <w:p w:rsidR="00CF1457" w:rsidRPr="003E3D41" w:rsidRDefault="00CF1457" w:rsidP="00CF1457">
      <w:pPr>
        <w:spacing w:after="0"/>
        <w:rPr>
          <w:rFonts w:ascii="Arial" w:hAnsi="Arial" w:cs="Arial"/>
        </w:rPr>
      </w:pPr>
    </w:p>
    <w:p w:rsidR="00775C58" w:rsidRDefault="00775C58" w:rsidP="00CF1457">
      <w:pPr>
        <w:spacing w:after="0"/>
        <w:rPr>
          <w:rFonts w:ascii="Arial" w:hAnsi="Arial" w:cs="Arial"/>
        </w:rPr>
      </w:pPr>
    </w:p>
    <w:p w:rsidR="00CF1457" w:rsidRDefault="00CF1457" w:rsidP="00CF1457">
      <w:pPr>
        <w:spacing w:after="0"/>
        <w:rPr>
          <w:rFonts w:ascii="Arial" w:hAnsi="Arial" w:cs="Arial"/>
        </w:rPr>
      </w:pPr>
      <w:r>
        <w:rPr>
          <w:rFonts w:ascii="Arial" w:hAnsi="Arial" w:cs="Arial"/>
        </w:rPr>
        <w:t>Yours sincerely</w:t>
      </w:r>
    </w:p>
    <w:p w:rsidR="00CF1457" w:rsidRDefault="00775C58" w:rsidP="00CF1457">
      <w:pPr>
        <w:spacing w:after="0"/>
        <w:rPr>
          <w:rFonts w:ascii="Arial" w:hAnsi="Arial" w:cs="Arial"/>
        </w:rPr>
      </w:pPr>
      <w:r w:rsidRPr="0006779E">
        <w:rPr>
          <w:rFonts w:ascii="Arial" w:hAnsi="Arial" w:cs="Arial"/>
          <w:noProof/>
          <w:lang w:eastAsia="en-AU"/>
        </w:rPr>
        <w:drawing>
          <wp:anchor distT="0" distB="0" distL="114300" distR="114300" simplePos="0" relativeHeight="251658240" behindDoc="1" locked="0" layoutInCell="1" allowOverlap="1">
            <wp:simplePos x="0" y="0"/>
            <wp:positionH relativeFrom="column">
              <wp:posOffset>-166345</wp:posOffset>
            </wp:positionH>
            <wp:positionV relativeFrom="paragraph">
              <wp:posOffset>186055</wp:posOffset>
            </wp:positionV>
            <wp:extent cx="1542553" cy="641395"/>
            <wp:effectExtent l="0" t="0" r="635" b="6350"/>
            <wp:wrapTight wrapText="bothSides">
              <wp:wrapPolygon edited="0">
                <wp:start x="0" y="0"/>
                <wp:lineTo x="0" y="21172"/>
                <wp:lineTo x="21342" y="21172"/>
                <wp:lineTo x="21342" y="0"/>
                <wp:lineTo x="0" y="0"/>
              </wp:wrapPolygon>
            </wp:wrapTight>
            <wp:docPr id="1" name="Picture 1" descr="C:\Users\melissa.weller\AppData\Local\Microsoft\Windows\Temporary Internet Files\Content.Outlook\RPOR90DI\Ben Maguire 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weller\AppData\Local\Microsoft\Windows\Temporary Internet Files\Content.Outlook\RPOR90DI\Ben Maguire electronic signatur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2553" cy="64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457" w:rsidRDefault="00CF1457" w:rsidP="00CF1457">
      <w:pPr>
        <w:spacing w:after="0"/>
        <w:rPr>
          <w:rFonts w:ascii="Arial" w:hAnsi="Arial" w:cs="Arial"/>
        </w:rPr>
      </w:pPr>
    </w:p>
    <w:p w:rsidR="00CF1457" w:rsidRDefault="00CF1457" w:rsidP="00CF1457">
      <w:pPr>
        <w:spacing w:after="0"/>
        <w:rPr>
          <w:rFonts w:ascii="Arial" w:hAnsi="Arial" w:cs="Arial"/>
        </w:rPr>
      </w:pPr>
    </w:p>
    <w:p w:rsidR="00CF1457" w:rsidRDefault="00CF1457" w:rsidP="00CF1457">
      <w:pPr>
        <w:spacing w:after="0"/>
        <w:rPr>
          <w:rFonts w:ascii="Arial" w:hAnsi="Arial" w:cs="Arial"/>
        </w:rPr>
      </w:pPr>
    </w:p>
    <w:p w:rsidR="00775C58" w:rsidRDefault="00775C58" w:rsidP="00CF1457">
      <w:pPr>
        <w:spacing w:after="0"/>
        <w:rPr>
          <w:rFonts w:ascii="Arial" w:hAnsi="Arial" w:cs="Arial"/>
        </w:rPr>
      </w:pPr>
    </w:p>
    <w:p w:rsidR="00775C58" w:rsidRDefault="00775C58" w:rsidP="00CF1457">
      <w:pPr>
        <w:spacing w:after="0"/>
        <w:rPr>
          <w:rFonts w:ascii="Arial" w:hAnsi="Arial" w:cs="Arial"/>
        </w:rPr>
      </w:pPr>
    </w:p>
    <w:p w:rsidR="00CF1457" w:rsidRDefault="00CF1457" w:rsidP="00CF1457">
      <w:pPr>
        <w:spacing w:after="0"/>
        <w:rPr>
          <w:rFonts w:ascii="Arial" w:hAnsi="Arial" w:cs="Arial"/>
        </w:rPr>
      </w:pPr>
      <w:r>
        <w:rPr>
          <w:rFonts w:ascii="Arial" w:hAnsi="Arial" w:cs="Arial"/>
        </w:rPr>
        <w:t>Ben Maguire</w:t>
      </w:r>
    </w:p>
    <w:p w:rsidR="00CF1457" w:rsidRDefault="00CF1457" w:rsidP="00CF1457">
      <w:pPr>
        <w:spacing w:after="0"/>
        <w:rPr>
          <w:rFonts w:ascii="Arial" w:hAnsi="Arial" w:cs="Arial"/>
        </w:rPr>
      </w:pPr>
      <w:r>
        <w:rPr>
          <w:rFonts w:ascii="Arial" w:hAnsi="Arial" w:cs="Arial"/>
        </w:rPr>
        <w:t>Chief Executive Officer</w:t>
      </w:r>
    </w:p>
    <w:p w:rsidR="00CF1457" w:rsidRDefault="00CF1457" w:rsidP="00CF1457">
      <w:pPr>
        <w:spacing w:after="0"/>
        <w:rPr>
          <w:rFonts w:ascii="Arial" w:hAnsi="Arial" w:cs="Arial"/>
        </w:rPr>
      </w:pPr>
      <w:r>
        <w:rPr>
          <w:rFonts w:ascii="Arial" w:hAnsi="Arial" w:cs="Arial"/>
        </w:rPr>
        <w:t>Australian Trucking Association</w:t>
      </w:r>
    </w:p>
    <w:sectPr w:rsidR="00CF1457" w:rsidSect="00377D68">
      <w:pgSz w:w="11906" w:h="16838"/>
      <w:pgMar w:top="1418" w:right="1701" w:bottom="1701" w:left="1701"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A05" w:rsidRDefault="00B70A05" w:rsidP="0029711A">
      <w:pPr>
        <w:spacing w:after="0" w:line="240" w:lineRule="auto"/>
      </w:pPr>
      <w:r>
        <w:separator/>
      </w:r>
    </w:p>
  </w:endnote>
  <w:endnote w:type="continuationSeparator" w:id="0">
    <w:p w:rsidR="00B70A05" w:rsidRDefault="00B70A05" w:rsidP="0029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DC" w:rsidRDefault="00305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11A" w:rsidRDefault="00B83902" w:rsidP="0029711A">
    <w:pPr>
      <w:pStyle w:val="Footer"/>
      <w:tabs>
        <w:tab w:val="clear" w:pos="4513"/>
        <w:tab w:val="clear" w:pos="9026"/>
      </w:tabs>
      <w:ind w:left="-1701"/>
    </w:pPr>
    <w:r>
      <w:rPr>
        <w:noProof/>
        <w:lang w:eastAsia="en-AU"/>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-626745</wp:posOffset>
          </wp:positionV>
          <wp:extent cx="7543800" cy="92966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800" cy="92966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371913"/>
      <w:docPartObj>
        <w:docPartGallery w:val="Page Numbers (Bottom of Page)"/>
        <w:docPartUnique/>
      </w:docPartObj>
    </w:sdtPr>
    <w:sdtEndPr>
      <w:rPr>
        <w:noProof/>
      </w:rPr>
    </w:sdtEndPr>
    <w:sdtContent>
      <w:p w:rsidR="003058DC" w:rsidRDefault="003058DC">
        <w:pPr>
          <w:pStyle w:val="Footer"/>
          <w:jc w:val="right"/>
        </w:pPr>
        <w:r>
          <w:fldChar w:fldCharType="begin"/>
        </w:r>
        <w:r>
          <w:instrText xml:space="preserve"> PAGE   \* MERGEFORMAT </w:instrText>
        </w:r>
        <w:r>
          <w:fldChar w:fldCharType="separate"/>
        </w:r>
        <w:r w:rsidR="002A4E75">
          <w:rPr>
            <w:noProof/>
          </w:rPr>
          <w:t>4</w:t>
        </w:r>
        <w:r>
          <w:rPr>
            <w:noProof/>
          </w:rPr>
          <w:fldChar w:fldCharType="end"/>
        </w:r>
      </w:p>
    </w:sdtContent>
  </w:sdt>
  <w:p w:rsidR="003058DC" w:rsidRDefault="00305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A05" w:rsidRDefault="00B70A05" w:rsidP="0029711A">
      <w:pPr>
        <w:spacing w:after="0" w:line="240" w:lineRule="auto"/>
      </w:pPr>
      <w:r>
        <w:separator/>
      </w:r>
    </w:p>
  </w:footnote>
  <w:footnote w:type="continuationSeparator" w:id="0">
    <w:p w:rsidR="00B70A05" w:rsidRDefault="00B70A05" w:rsidP="0029711A">
      <w:pPr>
        <w:spacing w:after="0" w:line="240" w:lineRule="auto"/>
      </w:pPr>
      <w:r>
        <w:continuationSeparator/>
      </w:r>
    </w:p>
  </w:footnote>
  <w:footnote w:id="1">
    <w:p w:rsidR="00CF1457" w:rsidRDefault="00CF1457" w:rsidP="00CF1457">
      <w:pPr>
        <w:pStyle w:val="FootnoteText"/>
      </w:pPr>
      <w:r>
        <w:rPr>
          <w:rStyle w:val="FootnoteReference"/>
        </w:rPr>
        <w:footnoteRef/>
      </w:r>
      <w:r>
        <w:t xml:space="preserve"> </w:t>
      </w:r>
      <w:hyperlink r:id="rId1" w:history="1">
        <w:r w:rsidRPr="003466FB">
          <w:rPr>
            <w:rStyle w:val="Hyperlink"/>
          </w:rPr>
          <w:t>NHVR Notice of Proposed Rule Making - Private use of fatigue regulated HV proposed work &amp; rest hours exemption - page 7</w:t>
        </w:r>
      </w:hyperlink>
    </w:p>
  </w:footnote>
  <w:footnote w:id="2">
    <w:p w:rsidR="00CF1457" w:rsidRDefault="00CF1457" w:rsidP="00CF1457">
      <w:pPr>
        <w:pStyle w:val="FootnoteText"/>
      </w:pPr>
      <w:r>
        <w:rPr>
          <w:rStyle w:val="FootnoteReference"/>
        </w:rPr>
        <w:footnoteRef/>
      </w:r>
      <w:r>
        <w:t xml:space="preserve"> </w:t>
      </w:r>
      <w:hyperlink r:id="rId2" w:history="1">
        <w:r w:rsidRPr="00822A95">
          <w:rPr>
            <w:rStyle w:val="Hyperlink"/>
          </w:rPr>
          <w:t xml:space="preserve"> NHVR Notice of Proposed Rule Making - Private use of fatigue regulated HV proposed work &amp; rest hours exemption - page 10</w:t>
        </w:r>
      </w:hyperlink>
    </w:p>
  </w:footnote>
  <w:footnote w:id="3">
    <w:p w:rsidR="00CF1457" w:rsidRDefault="00CF1457" w:rsidP="00CF1457">
      <w:pPr>
        <w:pStyle w:val="FootnoteText"/>
      </w:pPr>
      <w:r>
        <w:rPr>
          <w:rStyle w:val="FootnoteReference"/>
        </w:rPr>
        <w:footnoteRef/>
      </w:r>
      <w:r>
        <w:t xml:space="preserve"> </w:t>
      </w:r>
      <w:hyperlink r:id="rId3" w:history="1">
        <w:r w:rsidRPr="00637757">
          <w:rPr>
            <w:rStyle w:val="Hyperlink"/>
          </w:rPr>
          <w:t>NSW Government Gazette No. 79 - 2446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DC" w:rsidRDefault="00305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11A" w:rsidRDefault="0029711A" w:rsidP="0029711A">
    <w:pPr>
      <w:pStyle w:val="Header"/>
      <w:jc w:val="center"/>
    </w:pPr>
  </w:p>
  <w:p w:rsidR="0029711A" w:rsidRDefault="005149EC" w:rsidP="0029711A">
    <w:pPr>
      <w:pStyle w:val="Header"/>
      <w:jc w:val="center"/>
    </w:pPr>
    <w:r>
      <w:rPr>
        <w:noProof/>
        <w:lang w:eastAsia="en-AU"/>
      </w:rPr>
      <w:drawing>
        <wp:inline distT="0" distB="0" distL="0" distR="0">
          <wp:extent cx="1976298" cy="95509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A Logo CMYK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5721" cy="96931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DC" w:rsidRDefault="00305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E1009"/>
    <w:multiLevelType w:val="hybridMultilevel"/>
    <w:tmpl w:val="5038C6EE"/>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091783"/>
    <w:multiLevelType w:val="hybridMultilevel"/>
    <w:tmpl w:val="A54E2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D33C8E"/>
    <w:multiLevelType w:val="hybridMultilevel"/>
    <w:tmpl w:val="FFF286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C40115"/>
    <w:multiLevelType w:val="hybridMultilevel"/>
    <w:tmpl w:val="62C6A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9A3BDA"/>
    <w:multiLevelType w:val="hybridMultilevel"/>
    <w:tmpl w:val="5C7A27D2"/>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9E7259"/>
    <w:multiLevelType w:val="hybridMultilevel"/>
    <w:tmpl w:val="2AC8C692"/>
    <w:lvl w:ilvl="0" w:tplc="AECC35DA">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A33654"/>
    <w:multiLevelType w:val="multilevel"/>
    <w:tmpl w:val="F210E300"/>
    <w:styleLink w:val="NHVR1QualityArea"/>
    <w:lvl w:ilvl="0">
      <w:start w:val="1"/>
      <w:numFmt w:val="decimal"/>
      <w:lvlText w:val="Quality Area %1:"/>
      <w:lvlJc w:val="left"/>
      <w:pPr>
        <w:ind w:left="1559" w:hanging="1134"/>
      </w:pPr>
      <w:rPr>
        <w:rFonts w:ascii="Arial" w:hAnsi="Arial" w:hint="default"/>
        <w:b/>
        <w:sz w:val="24"/>
      </w:rPr>
    </w:lvl>
    <w:lvl w:ilvl="1">
      <w:start w:val="1"/>
      <w:numFmt w:val="decimal"/>
      <w:lvlRestart w:val="0"/>
      <w:lvlText w:val="Standard %1.%2"/>
      <w:lvlJc w:val="left"/>
      <w:pPr>
        <w:ind w:left="1701" w:hanging="1134"/>
      </w:pPr>
      <w:rPr>
        <w:rFonts w:ascii="Arial" w:hAnsi="Arial" w:hint="default"/>
        <w:b/>
        <w:sz w:val="20"/>
      </w:rPr>
    </w:lvl>
    <w:lvl w:ilvl="2">
      <w:start w:val="1"/>
      <w:numFmt w:val="none"/>
      <w:lvlRestart w:val="0"/>
      <w:lvlText w:val="Policy %1.%2.1"/>
      <w:lvlJc w:val="left"/>
      <w:pPr>
        <w:ind w:left="1843" w:hanging="1134"/>
      </w:pPr>
      <w:rPr>
        <w:rFonts w:ascii="Arial" w:hAnsi="Arial" w:hint="default"/>
        <w:b/>
        <w:sz w:val="20"/>
      </w:rPr>
    </w:lvl>
    <w:lvl w:ilvl="3">
      <w:start w:val="1"/>
      <w:numFmt w:val="none"/>
      <w:lvlRestart w:val="0"/>
      <w:lvlText w:val="%1.%2.1.1"/>
      <w:lvlJc w:val="left"/>
      <w:pPr>
        <w:ind w:left="1984" w:hanging="1134"/>
      </w:pPr>
      <w:rPr>
        <w:rFonts w:ascii="Arial" w:hAnsi="Arial" w:hint="default"/>
        <w:sz w:val="20"/>
      </w:rPr>
    </w:lvl>
    <w:lvl w:ilvl="4">
      <w:start w:val="1"/>
      <w:numFmt w:val="lowerLetter"/>
      <w:lvlText w:val="(%5)"/>
      <w:lvlJc w:val="left"/>
      <w:pPr>
        <w:ind w:left="5105" w:hanging="360"/>
      </w:pPr>
      <w:rPr>
        <w:rFonts w:hint="default"/>
      </w:rPr>
    </w:lvl>
    <w:lvl w:ilvl="5">
      <w:start w:val="1"/>
      <w:numFmt w:val="lowerRoman"/>
      <w:lvlText w:val="(%6)"/>
      <w:lvlJc w:val="left"/>
      <w:pPr>
        <w:ind w:left="5465" w:hanging="360"/>
      </w:pPr>
      <w:rPr>
        <w:rFonts w:hint="default"/>
      </w:rPr>
    </w:lvl>
    <w:lvl w:ilvl="6">
      <w:start w:val="1"/>
      <w:numFmt w:val="decimal"/>
      <w:lvlText w:val="%7."/>
      <w:lvlJc w:val="left"/>
      <w:pPr>
        <w:ind w:left="582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left"/>
      <w:pPr>
        <w:ind w:left="6545" w:hanging="360"/>
      </w:pPr>
      <w:rPr>
        <w:rFonts w:hint="default"/>
      </w:rPr>
    </w:lvl>
  </w:abstractNum>
  <w:abstractNum w:abstractNumId="7" w15:restartNumberingAfterBreak="0">
    <w:nsid w:val="5F92385D"/>
    <w:multiLevelType w:val="hybridMultilevel"/>
    <w:tmpl w:val="F95E1E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05"/>
    <w:rsid w:val="00023693"/>
    <w:rsid w:val="00043B59"/>
    <w:rsid w:val="000B1E6A"/>
    <w:rsid w:val="00112798"/>
    <w:rsid w:val="00136D09"/>
    <w:rsid w:val="0029711A"/>
    <w:rsid w:val="002A4E75"/>
    <w:rsid w:val="002B483D"/>
    <w:rsid w:val="003058DC"/>
    <w:rsid w:val="00316436"/>
    <w:rsid w:val="00377D68"/>
    <w:rsid w:val="00457D1A"/>
    <w:rsid w:val="00472B9C"/>
    <w:rsid w:val="004A1F96"/>
    <w:rsid w:val="004E73FB"/>
    <w:rsid w:val="005149EC"/>
    <w:rsid w:val="005548FE"/>
    <w:rsid w:val="005B03CE"/>
    <w:rsid w:val="00650645"/>
    <w:rsid w:val="006D2262"/>
    <w:rsid w:val="00775C58"/>
    <w:rsid w:val="007B4DAF"/>
    <w:rsid w:val="00815751"/>
    <w:rsid w:val="00862CCE"/>
    <w:rsid w:val="009412D7"/>
    <w:rsid w:val="00956BB9"/>
    <w:rsid w:val="00AB3A19"/>
    <w:rsid w:val="00AB58AC"/>
    <w:rsid w:val="00B524C5"/>
    <w:rsid w:val="00B70A05"/>
    <w:rsid w:val="00B83902"/>
    <w:rsid w:val="00CF1457"/>
    <w:rsid w:val="00D73D96"/>
    <w:rsid w:val="00E415A0"/>
    <w:rsid w:val="00E94961"/>
    <w:rsid w:val="00FA2BD4"/>
    <w:rsid w:val="00FA5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2D7"/>
    <w:pPr>
      <w:ind w:left="720"/>
      <w:contextualSpacing/>
    </w:pPr>
  </w:style>
  <w:style w:type="numbering" w:customStyle="1" w:styleId="NHVR1QualityArea">
    <w:name w:val="NHVR 1 Quality Area"/>
    <w:uiPriority w:val="99"/>
    <w:rsid w:val="009412D7"/>
    <w:pPr>
      <w:numPr>
        <w:numId w:val="1"/>
      </w:numPr>
    </w:pPr>
  </w:style>
  <w:style w:type="paragraph" w:styleId="Header">
    <w:name w:val="header"/>
    <w:basedOn w:val="Normal"/>
    <w:link w:val="HeaderChar"/>
    <w:uiPriority w:val="99"/>
    <w:unhideWhenUsed/>
    <w:rsid w:val="00297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11A"/>
  </w:style>
  <w:style w:type="paragraph" w:styleId="Footer">
    <w:name w:val="footer"/>
    <w:basedOn w:val="Normal"/>
    <w:link w:val="FooterChar"/>
    <w:uiPriority w:val="99"/>
    <w:unhideWhenUsed/>
    <w:rsid w:val="00297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11A"/>
  </w:style>
  <w:style w:type="paragraph" w:styleId="BalloonText">
    <w:name w:val="Balloon Text"/>
    <w:basedOn w:val="Normal"/>
    <w:link w:val="BalloonTextChar"/>
    <w:uiPriority w:val="99"/>
    <w:semiHidden/>
    <w:unhideWhenUsed/>
    <w:rsid w:val="00297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11A"/>
    <w:rPr>
      <w:rFonts w:ascii="Tahoma" w:hAnsi="Tahoma" w:cs="Tahoma"/>
      <w:sz w:val="16"/>
      <w:szCs w:val="16"/>
    </w:rPr>
  </w:style>
  <w:style w:type="paragraph" w:styleId="BodyText">
    <w:name w:val="Body Text"/>
    <w:basedOn w:val="Normal"/>
    <w:link w:val="BodyTextChar"/>
    <w:semiHidden/>
    <w:rsid w:val="00472B9C"/>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semiHidden/>
    <w:rsid w:val="00472B9C"/>
    <w:rPr>
      <w:rFonts w:ascii="Arial" w:eastAsia="Times New Roman" w:hAnsi="Arial" w:cs="Arial"/>
      <w:szCs w:val="24"/>
    </w:rPr>
  </w:style>
  <w:style w:type="paragraph" w:styleId="Title">
    <w:name w:val="Title"/>
    <w:basedOn w:val="Normal"/>
    <w:next w:val="Normal"/>
    <w:link w:val="TitleChar"/>
    <w:uiPriority w:val="10"/>
    <w:qFormat/>
    <w:rsid w:val="00472B9C"/>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472B9C"/>
    <w:rPr>
      <w:rFonts w:ascii="Calibri Light" w:eastAsia="Times New Roman" w:hAnsi="Calibri Light" w:cs="Times New Roman"/>
      <w:b/>
      <w:bCs/>
      <w:kern w:val="28"/>
      <w:sz w:val="32"/>
      <w:szCs w:val="32"/>
    </w:rPr>
  </w:style>
  <w:style w:type="paragraph" w:styleId="NoSpacing">
    <w:name w:val="No Spacing"/>
    <w:uiPriority w:val="1"/>
    <w:qFormat/>
    <w:rsid w:val="00D73D96"/>
    <w:pPr>
      <w:spacing w:after="0" w:line="240" w:lineRule="auto"/>
    </w:pPr>
  </w:style>
  <w:style w:type="character" w:styleId="Hyperlink">
    <w:name w:val="Hyperlink"/>
    <w:basedOn w:val="DefaultParagraphFont"/>
    <w:uiPriority w:val="99"/>
    <w:unhideWhenUsed/>
    <w:rsid w:val="00136D09"/>
    <w:rPr>
      <w:color w:val="0000FF"/>
      <w:u w:val="single"/>
    </w:rPr>
  </w:style>
  <w:style w:type="paragraph" w:styleId="NormalWeb">
    <w:name w:val="Normal (Web)"/>
    <w:basedOn w:val="Normal"/>
    <w:uiPriority w:val="99"/>
    <w:semiHidden/>
    <w:unhideWhenUsed/>
    <w:rsid w:val="00CF1457"/>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FootnoteText">
    <w:name w:val="footnote text"/>
    <w:basedOn w:val="Normal"/>
    <w:link w:val="FootnoteTextChar"/>
    <w:uiPriority w:val="99"/>
    <w:semiHidden/>
    <w:unhideWhenUsed/>
    <w:rsid w:val="00CF14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457"/>
    <w:rPr>
      <w:sz w:val="20"/>
      <w:szCs w:val="20"/>
    </w:rPr>
  </w:style>
  <w:style w:type="character" w:styleId="FootnoteReference">
    <w:name w:val="footnote reference"/>
    <w:basedOn w:val="DefaultParagraphFont"/>
    <w:uiPriority w:val="99"/>
    <w:semiHidden/>
    <w:unhideWhenUsed/>
    <w:rsid w:val="00CF1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tiguemanagement@nhvr.gov.au"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ill.mckinley@truck.net.a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gazette.legislation.nsw.gov.au/so/download.w3p?id=Gaz_Gazette%20Split%202010_2010-79.pdf" TargetMode="External"/><Relationship Id="rId2" Type="http://schemas.openxmlformats.org/officeDocument/2006/relationships/hyperlink" Target="https://www.nhvr.gov.au/files/201709-0693-notice-of-proposed-rule-private-use-of-fatigue-regulated-heavy-vehicles.pdf" TargetMode="External"/><Relationship Id="rId1" Type="http://schemas.openxmlformats.org/officeDocument/2006/relationships/hyperlink" Target="https://www.nhvr.gov.au/files/201709-0693-notice-of-proposed-rule-private-use-of-fatigue-regulated-heavy-vehicl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SATA-DC04\Administration_Common\Policy\2017\HVNL%201%20Hour%20personal%20use%20exemption\Data%20re%201%20hour%20exemption%20evidenc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AU"/>
              <a:t>Fatal crashes involving an articulated HV</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manualLayout>
          <c:layoutTarget val="inner"/>
          <c:xMode val="edge"/>
          <c:yMode val="edge"/>
          <c:x val="6.13413658049815E-2"/>
          <c:y val="0.14190337413009274"/>
          <c:w val="0.91050763683964042"/>
          <c:h val="0.56704593483946042"/>
        </c:manualLayout>
      </c:layout>
      <c:lineChart>
        <c:grouping val="standard"/>
        <c:varyColors val="0"/>
        <c:ser>
          <c:idx val="0"/>
          <c:order val="0"/>
          <c:tx>
            <c:strRef>
              <c:f>Sheet1!$H$15</c:f>
              <c:strCache>
                <c:ptCount val="1"/>
                <c:pt idx="0">
                  <c:v>NSW</c:v>
                </c:pt>
              </c:strCache>
            </c:strRef>
          </c:tx>
          <c:spPr>
            <a:ln w="22225" cap="rnd" cmpd="sng" algn="ctr">
              <a:solidFill>
                <a:schemeClr val="accent1"/>
              </a:solidFill>
              <a:round/>
            </a:ln>
            <a:effectLst/>
          </c:spPr>
          <c:marker>
            <c:symbol val="none"/>
          </c:marker>
          <c:cat>
            <c:numRef>
              <c:f>Sheet1!$G$16:$G$24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Sheet1!$H$16:$H$24</c:f>
              <c:numCache>
                <c:formatCode>General</c:formatCode>
                <c:ptCount val="9"/>
                <c:pt idx="0">
                  <c:v>47</c:v>
                </c:pt>
                <c:pt idx="1">
                  <c:v>33</c:v>
                </c:pt>
                <c:pt idx="2">
                  <c:v>41</c:v>
                </c:pt>
                <c:pt idx="3">
                  <c:v>43</c:v>
                </c:pt>
                <c:pt idx="4">
                  <c:v>39</c:v>
                </c:pt>
                <c:pt idx="5">
                  <c:v>30</c:v>
                </c:pt>
                <c:pt idx="6">
                  <c:v>28</c:v>
                </c:pt>
                <c:pt idx="7">
                  <c:v>31</c:v>
                </c:pt>
                <c:pt idx="8">
                  <c:v>22</c:v>
                </c:pt>
              </c:numCache>
            </c:numRef>
          </c:val>
          <c:smooth val="0"/>
        </c:ser>
        <c:ser>
          <c:idx val="1"/>
          <c:order val="1"/>
          <c:tx>
            <c:strRef>
              <c:f>Sheet1!$I$15</c:f>
              <c:strCache>
                <c:ptCount val="1"/>
                <c:pt idx="0">
                  <c:v>QLD</c:v>
                </c:pt>
              </c:strCache>
            </c:strRef>
          </c:tx>
          <c:spPr>
            <a:ln w="22225" cap="rnd" cmpd="sng" algn="ctr">
              <a:solidFill>
                <a:schemeClr val="accent2"/>
              </a:solidFill>
              <a:round/>
            </a:ln>
            <a:effectLst/>
          </c:spPr>
          <c:marker>
            <c:symbol val="none"/>
          </c:marker>
          <c:cat>
            <c:numRef>
              <c:f>Sheet1!$G$16:$G$24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Sheet1!$I$16:$I$24</c:f>
              <c:numCache>
                <c:formatCode>General</c:formatCode>
                <c:ptCount val="9"/>
                <c:pt idx="0">
                  <c:v>35</c:v>
                </c:pt>
                <c:pt idx="1">
                  <c:v>38</c:v>
                </c:pt>
                <c:pt idx="2">
                  <c:v>25</c:v>
                </c:pt>
                <c:pt idx="3">
                  <c:v>32</c:v>
                </c:pt>
                <c:pt idx="4">
                  <c:v>35</c:v>
                </c:pt>
                <c:pt idx="5">
                  <c:v>26</c:v>
                </c:pt>
                <c:pt idx="6">
                  <c:v>26</c:v>
                </c:pt>
                <c:pt idx="7">
                  <c:v>23</c:v>
                </c:pt>
                <c:pt idx="8">
                  <c:v>23</c:v>
                </c:pt>
              </c:numCache>
            </c:numRef>
          </c:val>
          <c:smooth val="0"/>
        </c:ser>
        <c:ser>
          <c:idx val="2"/>
          <c:order val="2"/>
          <c:tx>
            <c:strRef>
              <c:f>Sheet1!$J$15</c:f>
              <c:strCache>
                <c:ptCount val="1"/>
                <c:pt idx="0">
                  <c:v>VIC</c:v>
                </c:pt>
              </c:strCache>
            </c:strRef>
          </c:tx>
          <c:spPr>
            <a:ln w="22225" cap="rnd" cmpd="sng" algn="ctr">
              <a:solidFill>
                <a:schemeClr val="accent3"/>
              </a:solidFill>
              <a:round/>
            </a:ln>
            <a:effectLst/>
          </c:spPr>
          <c:marker>
            <c:symbol val="none"/>
          </c:marker>
          <c:cat>
            <c:numRef>
              <c:f>Sheet1!$G$16:$G$24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Sheet1!$J$16:$J$24</c:f>
              <c:numCache>
                <c:formatCode>General</c:formatCode>
                <c:ptCount val="9"/>
                <c:pt idx="0">
                  <c:v>22</c:v>
                </c:pt>
                <c:pt idx="1">
                  <c:v>17</c:v>
                </c:pt>
                <c:pt idx="2">
                  <c:v>31</c:v>
                </c:pt>
                <c:pt idx="3">
                  <c:v>21</c:v>
                </c:pt>
                <c:pt idx="4">
                  <c:v>29</c:v>
                </c:pt>
                <c:pt idx="5">
                  <c:v>13</c:v>
                </c:pt>
                <c:pt idx="6">
                  <c:v>25</c:v>
                </c:pt>
                <c:pt idx="7">
                  <c:v>21</c:v>
                </c:pt>
                <c:pt idx="8">
                  <c:v>37</c:v>
                </c:pt>
              </c:numCache>
            </c:numRef>
          </c:val>
          <c:smooth val="0"/>
        </c:ser>
        <c:ser>
          <c:idx val="3"/>
          <c:order val="3"/>
          <c:tx>
            <c:strRef>
              <c:f>Sheet1!$K$15</c:f>
              <c:strCache>
                <c:ptCount val="1"/>
                <c:pt idx="0">
                  <c:v>SA</c:v>
                </c:pt>
              </c:strCache>
            </c:strRef>
          </c:tx>
          <c:spPr>
            <a:ln w="22225" cap="rnd" cmpd="sng" algn="ctr">
              <a:solidFill>
                <a:schemeClr val="accent4"/>
              </a:solidFill>
              <a:round/>
            </a:ln>
            <a:effectLst/>
          </c:spPr>
          <c:marker>
            <c:symbol val="none"/>
          </c:marker>
          <c:cat>
            <c:numRef>
              <c:f>Sheet1!$G$16:$G$24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Sheet1!$K$16:$K$24</c:f>
              <c:numCache>
                <c:formatCode>General</c:formatCode>
                <c:ptCount val="9"/>
                <c:pt idx="0">
                  <c:v>9</c:v>
                </c:pt>
                <c:pt idx="1">
                  <c:v>9</c:v>
                </c:pt>
                <c:pt idx="2">
                  <c:v>7</c:v>
                </c:pt>
                <c:pt idx="3">
                  <c:v>12</c:v>
                </c:pt>
                <c:pt idx="4">
                  <c:v>9</c:v>
                </c:pt>
                <c:pt idx="5">
                  <c:v>8</c:v>
                </c:pt>
                <c:pt idx="6">
                  <c:v>10</c:v>
                </c:pt>
                <c:pt idx="7">
                  <c:v>12</c:v>
                </c:pt>
                <c:pt idx="8">
                  <c:v>10</c:v>
                </c:pt>
              </c:numCache>
            </c:numRef>
          </c:val>
          <c:smooth val="0"/>
        </c:ser>
        <c:ser>
          <c:idx val="4"/>
          <c:order val="4"/>
          <c:tx>
            <c:strRef>
              <c:f>Sheet1!$L$15</c:f>
              <c:strCache>
                <c:ptCount val="1"/>
                <c:pt idx="0">
                  <c:v>TAS</c:v>
                </c:pt>
              </c:strCache>
            </c:strRef>
          </c:tx>
          <c:spPr>
            <a:ln w="22225" cap="rnd" cmpd="sng" algn="ctr">
              <a:solidFill>
                <a:schemeClr val="accent5"/>
              </a:solidFill>
              <a:round/>
            </a:ln>
            <a:effectLst/>
          </c:spPr>
          <c:marker>
            <c:symbol val="none"/>
          </c:marker>
          <c:cat>
            <c:numRef>
              <c:f>Sheet1!$G$16:$G$24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Sheet1!$L$16:$L$24</c:f>
              <c:numCache>
                <c:formatCode>General</c:formatCode>
                <c:ptCount val="9"/>
                <c:pt idx="0">
                  <c:v>6</c:v>
                </c:pt>
                <c:pt idx="1">
                  <c:v>10</c:v>
                </c:pt>
                <c:pt idx="2">
                  <c:v>3</c:v>
                </c:pt>
                <c:pt idx="3">
                  <c:v>2</c:v>
                </c:pt>
                <c:pt idx="4">
                  <c:v>3</c:v>
                </c:pt>
                <c:pt idx="5">
                  <c:v>2</c:v>
                </c:pt>
                <c:pt idx="6">
                  <c:v>4</c:v>
                </c:pt>
                <c:pt idx="7">
                  <c:v>2</c:v>
                </c:pt>
                <c:pt idx="8">
                  <c:v>3</c:v>
                </c:pt>
              </c:numCache>
            </c:numRef>
          </c:val>
          <c:smooth val="0"/>
        </c:ser>
        <c:ser>
          <c:idx val="5"/>
          <c:order val="5"/>
          <c:tx>
            <c:strRef>
              <c:f>Sheet1!$M$15</c:f>
              <c:strCache>
                <c:ptCount val="1"/>
                <c:pt idx="0">
                  <c:v>ACT</c:v>
                </c:pt>
              </c:strCache>
            </c:strRef>
          </c:tx>
          <c:spPr>
            <a:ln w="22225" cap="rnd" cmpd="sng" algn="ctr">
              <a:solidFill>
                <a:schemeClr val="accent6"/>
              </a:solidFill>
              <a:round/>
            </a:ln>
            <a:effectLst/>
          </c:spPr>
          <c:marker>
            <c:symbol val="none"/>
          </c:marker>
          <c:cat>
            <c:numRef>
              <c:f>Sheet1!$G$16:$G$24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Sheet1!$M$16:$M$24</c:f>
              <c:numCache>
                <c:formatCode>General</c:formatCode>
                <c:ptCount val="9"/>
                <c:pt idx="0">
                  <c:v>0</c:v>
                </c:pt>
                <c:pt idx="1">
                  <c:v>2</c:v>
                </c:pt>
                <c:pt idx="2">
                  <c:v>1</c:v>
                </c:pt>
                <c:pt idx="3">
                  <c:v>0</c:v>
                </c:pt>
                <c:pt idx="4">
                  <c:v>0</c:v>
                </c:pt>
                <c:pt idx="5">
                  <c:v>0</c:v>
                </c:pt>
                <c:pt idx="6">
                  <c:v>1</c:v>
                </c:pt>
                <c:pt idx="7">
                  <c:v>1</c:v>
                </c:pt>
                <c:pt idx="8">
                  <c:v>1</c:v>
                </c:pt>
              </c:numCache>
            </c:numRef>
          </c:val>
          <c:smooth val="0"/>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379557792"/>
        <c:axId val="379558184"/>
      </c:lineChart>
      <c:catAx>
        <c:axId val="37955779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379558184"/>
        <c:crosses val="autoZero"/>
        <c:auto val="1"/>
        <c:lblAlgn val="ctr"/>
        <c:lblOffset val="100"/>
        <c:noMultiLvlLbl val="0"/>
      </c:catAx>
      <c:valAx>
        <c:axId val="3795581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37955779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14892582887256564"/>
          <c:y val="0.82831138651040848"/>
          <c:w val="0.69702997909934539"/>
          <c:h val="6.456285248547732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0.44407</cdr:x>
      <cdr:y>0.19716</cdr:y>
    </cdr:from>
    <cdr:to>
      <cdr:x>0.4479</cdr:x>
      <cdr:y>0.79974</cdr:y>
    </cdr:to>
    <cdr:cxnSp macro="">
      <cdr:nvCxnSpPr>
        <cdr:cNvPr id="2" name="Straight Connector 1"/>
        <cdr:cNvCxnSpPr/>
      </cdr:nvCxnSpPr>
      <cdr:spPr>
        <a:xfrm xmlns:a="http://schemas.openxmlformats.org/drawingml/2006/main">
          <a:off x="2203690" y="654450"/>
          <a:ext cx="19006" cy="2000242"/>
        </a:xfrm>
        <a:prstGeom xmlns:a="http://schemas.openxmlformats.org/drawingml/2006/main" prst="line">
          <a:avLst/>
        </a:prstGeom>
        <a:ln xmlns:a="http://schemas.openxmlformats.org/drawingml/2006/main" w="28575">
          <a:solidFill>
            <a:srgbClr val="C00000"/>
          </a:solidFill>
          <a:prstDash val="dash"/>
        </a:ln>
      </cdr:spPr>
      <cdr:style>
        <a:lnRef xmlns:a="http://schemas.openxmlformats.org/drawingml/2006/main" idx="3">
          <a:schemeClr val="accent6"/>
        </a:lnRef>
        <a:fillRef xmlns:a="http://schemas.openxmlformats.org/drawingml/2006/main" idx="0">
          <a:schemeClr val="accent6"/>
        </a:fillRef>
        <a:effectRef xmlns:a="http://schemas.openxmlformats.org/drawingml/2006/main" idx="2">
          <a:schemeClr val="accent6"/>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5FFA4-58F5-449B-B76C-97183BF2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2017-10-18T23:59:00Z</dcterms:created>
  <dcterms:modified xsi:type="dcterms:W3CDTF">2017-10-19T00:01:00Z</dcterms:modified>
</cp:coreProperties>
</file>