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Mr Jim Pearce MP</w:t>
      </w:r>
      <w:bookmarkStart w:id="0" w:name="_GoBack"/>
      <w:bookmarkEnd w:id="0"/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Chair</w:t>
      </w:r>
    </w:p>
    <w:p w:rsidR="004E68F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Infrastructure, Planning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proofErr w:type="gramStart"/>
      <w:r w:rsidRPr="00B23B12">
        <w:rPr>
          <w:rFonts w:ascii="Arial" w:hAnsi="Arial" w:cs="Arial"/>
        </w:rPr>
        <w:t>and</w:t>
      </w:r>
      <w:proofErr w:type="gramEnd"/>
      <w:r w:rsidRPr="00B23B12">
        <w:rPr>
          <w:rFonts w:ascii="Arial" w:hAnsi="Arial" w:cs="Arial"/>
        </w:rPr>
        <w:t xml:space="preserve"> Natural Resources Committee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Queensland Parliament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George Street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BRISBANE QLD 4000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Dear Mr Pearce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  <w:b/>
        </w:rPr>
      </w:pPr>
      <w:r w:rsidRPr="00B23B12">
        <w:rPr>
          <w:rFonts w:ascii="Arial" w:hAnsi="Arial" w:cs="Arial"/>
          <w:b/>
        </w:rPr>
        <w:t>Local Government and Other Legislation Amendment Bill 2015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Thank you for your letter of 10 April 2015 seeking submissions on the Local Government and Other Legislation Amendment Bill 2015.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The Australian Trucking Association (ATA) is the peak body that represents the trucking industry. Its members include state and sector-based trucking associations, some of the nation’s largest transport companies, and businesses with leading expertise in truck technology.</w:t>
      </w:r>
      <w:r>
        <w:rPr>
          <w:rFonts w:ascii="Arial" w:hAnsi="Arial" w:cs="Arial"/>
        </w:rPr>
        <w:t xml:space="preserve"> I am writing on behalf of the ATA nationally.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  <w:b/>
        </w:rPr>
      </w:pPr>
      <w:r w:rsidRPr="00B23B12">
        <w:rPr>
          <w:rFonts w:ascii="Arial" w:hAnsi="Arial" w:cs="Arial"/>
          <w:b/>
        </w:rPr>
        <w:t xml:space="preserve">The ATA recommends that the Queensland Parliament pass Part 3 of the Bill, which would defer the commencement of Chapter 2 (Registration) of the </w:t>
      </w:r>
      <w:r w:rsidRPr="00B23B12">
        <w:rPr>
          <w:rFonts w:ascii="Arial" w:hAnsi="Arial" w:cs="Arial"/>
          <w:b/>
          <w:i/>
        </w:rPr>
        <w:t>Heavy Vehicle National Law Act</w:t>
      </w:r>
      <w:r w:rsidRPr="00B23B12">
        <w:rPr>
          <w:rFonts w:ascii="Arial" w:hAnsi="Arial" w:cs="Arial"/>
          <w:b/>
        </w:rPr>
        <w:t xml:space="preserve"> </w:t>
      </w:r>
      <w:r w:rsidRPr="00B23B12">
        <w:rPr>
          <w:rFonts w:ascii="Arial" w:hAnsi="Arial" w:cs="Arial"/>
          <w:b/>
          <w:i/>
        </w:rPr>
        <w:t>2012</w:t>
      </w:r>
      <w:r w:rsidRPr="00B23B12">
        <w:rPr>
          <w:rFonts w:ascii="Arial" w:hAnsi="Arial" w:cs="Arial"/>
          <w:b/>
        </w:rPr>
        <w:t xml:space="preserve"> until 1 July 2018.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The ATA supports the deferral because more work is needed on the </w:t>
      </w:r>
      <w:r>
        <w:rPr>
          <w:rFonts w:ascii="Arial" w:hAnsi="Arial" w:cs="Arial"/>
        </w:rPr>
        <w:t xml:space="preserve">planned </w:t>
      </w:r>
      <w:r w:rsidRPr="00B23B12">
        <w:rPr>
          <w:rFonts w:ascii="Arial" w:hAnsi="Arial" w:cs="Arial"/>
        </w:rPr>
        <w:t xml:space="preserve">national registration </w:t>
      </w:r>
      <w:r>
        <w:rPr>
          <w:rFonts w:ascii="Arial" w:hAnsi="Arial" w:cs="Arial"/>
        </w:rPr>
        <w:t>scheme</w:t>
      </w:r>
      <w:r w:rsidRPr="00B23B12">
        <w:rPr>
          <w:rFonts w:ascii="Arial" w:hAnsi="Arial" w:cs="Arial"/>
        </w:rPr>
        <w:t xml:space="preserve"> before it is implemented.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Despite </w:t>
      </w:r>
      <w:r>
        <w:rPr>
          <w:rFonts w:ascii="Arial" w:hAnsi="Arial" w:cs="Arial"/>
        </w:rPr>
        <w:t xml:space="preserve">this necessary </w:t>
      </w:r>
      <w:r w:rsidRPr="00B23B12">
        <w:rPr>
          <w:rFonts w:ascii="Arial" w:hAnsi="Arial" w:cs="Arial"/>
        </w:rPr>
        <w:t xml:space="preserve">deferral, the ATA </w:t>
      </w:r>
      <w:r>
        <w:rPr>
          <w:rFonts w:ascii="Arial" w:hAnsi="Arial" w:cs="Arial"/>
        </w:rPr>
        <w:t xml:space="preserve">still </w:t>
      </w:r>
      <w:r w:rsidRPr="00B23B12">
        <w:rPr>
          <w:rFonts w:ascii="Arial" w:hAnsi="Arial" w:cs="Arial"/>
        </w:rPr>
        <w:t xml:space="preserve">wants to see a national registration </w:t>
      </w:r>
      <w:r>
        <w:rPr>
          <w:rFonts w:ascii="Arial" w:hAnsi="Arial" w:cs="Arial"/>
        </w:rPr>
        <w:t>scheme</w:t>
      </w:r>
      <w:r w:rsidRPr="00B23B12">
        <w:rPr>
          <w:rFonts w:ascii="Arial" w:hAnsi="Arial" w:cs="Arial"/>
        </w:rPr>
        <w:t xml:space="preserve"> implemented as a priority, to reduce compliance costs for operators and so the NHVR and its service providers can undertake roadside enforcement on a more targeted, risk managed, basis.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Ideally, operators should be able to register all their heavy vehicles through a single web portal or have the option of carrying out their registration business at a service centre.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In our view, it is essential that the registration cost offered through the portal includes all the state/territory concessions available to the operator. It would be totally unacceptable to industry for operators to have to claim back their concessions through a separate process.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If it is not possible to deliver this sort of </w:t>
      </w:r>
      <w:r>
        <w:rPr>
          <w:rFonts w:ascii="Arial" w:hAnsi="Arial" w:cs="Arial"/>
        </w:rPr>
        <w:t>scheme</w:t>
      </w:r>
      <w:r w:rsidRPr="00B23B12">
        <w:rPr>
          <w:rFonts w:ascii="Arial" w:hAnsi="Arial" w:cs="Arial"/>
        </w:rPr>
        <w:t xml:space="preserve"> because of its cost or complexity, the ATA would want instead to see the development of a back end system that would enable better risk targeting.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The ATA does not see the development of a single national heavy vehicle registration plate as a priority.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lastRenderedPageBreak/>
        <w:t xml:space="preserve">On the issue of who would pay for a national registration </w:t>
      </w:r>
      <w:r>
        <w:rPr>
          <w:rFonts w:ascii="Arial" w:hAnsi="Arial" w:cs="Arial"/>
        </w:rPr>
        <w:t>scheme</w:t>
      </w:r>
      <w:r w:rsidRPr="00B23B12">
        <w:rPr>
          <w:rFonts w:ascii="Arial" w:hAnsi="Arial" w:cs="Arial"/>
        </w:rPr>
        <w:t xml:space="preserve">, the ATA has pointed out that the industry will be overcharged by $117 million in 2015-16 if governments take up the </w:t>
      </w:r>
      <w:r>
        <w:rPr>
          <w:rFonts w:ascii="Arial" w:hAnsi="Arial" w:cs="Arial"/>
        </w:rPr>
        <w:t>National Transport Commission’s</w:t>
      </w:r>
      <w:r w:rsidRPr="00B23B12">
        <w:rPr>
          <w:rFonts w:ascii="Arial" w:hAnsi="Arial" w:cs="Arial"/>
        </w:rPr>
        <w:t xml:space="preserve"> draft heavy vehicle charges determination. The ATA cannot see any reason for the industry to have to pay any more until governments resolve the existing overcharging problem satisfactorily.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In the meantime, once the key policy issues are resolved, work should begin on the details of the registration </w:t>
      </w:r>
      <w:r>
        <w:rPr>
          <w:rFonts w:ascii="Arial" w:hAnsi="Arial" w:cs="Arial"/>
        </w:rPr>
        <w:t>scheme</w:t>
      </w:r>
      <w:r w:rsidRPr="00B23B12">
        <w:rPr>
          <w:rFonts w:ascii="Arial" w:hAnsi="Arial" w:cs="Arial"/>
        </w:rPr>
        <w:t xml:space="preserve"> for stakeholder consultation, including a draft RIS and, in time, a Cost Recovery Implementation Statement in line with the Australian Government cost recovery guidelines.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 w:rsidRPr="00B23B12">
        <w:rPr>
          <w:rFonts w:ascii="Arial" w:hAnsi="Arial" w:cs="Arial"/>
        </w:rPr>
        <w:t>Yours sincerely</w:t>
      </w:r>
    </w:p>
    <w:p w:rsidR="004E68F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Default="004E68F2" w:rsidP="004E68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Bill McKinley (bill.mckinley@truck.net.au)</w:t>
      </w:r>
    </w:p>
    <w:p w:rsidR="004E68F2" w:rsidRDefault="004E68F2" w:rsidP="004E68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Manager</w:t>
      </w:r>
    </w:p>
    <w:p w:rsidR="004E68F2" w:rsidRDefault="004E68F2" w:rsidP="004E68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Government Relations 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Policy</w:t>
      </w: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</w:p>
    <w:p w:rsidR="004E68F2" w:rsidRPr="00B23B12" w:rsidRDefault="004E68F2" w:rsidP="004E68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Pr="00B23B12">
        <w:rPr>
          <w:rFonts w:ascii="Arial" w:hAnsi="Arial" w:cs="Arial"/>
        </w:rPr>
        <w:t>April 2015</w:t>
      </w:r>
    </w:p>
    <w:p w:rsidR="0029711A" w:rsidRPr="0029711A" w:rsidRDefault="0029711A" w:rsidP="0029711A">
      <w:pPr>
        <w:spacing w:after="0" w:line="269" w:lineRule="auto"/>
        <w:rPr>
          <w:rFonts w:ascii="Arial" w:hAnsi="Arial" w:cs="Arial"/>
          <w:sz w:val="20"/>
          <w:szCs w:val="20"/>
        </w:rPr>
      </w:pPr>
    </w:p>
    <w:p w:rsidR="00B83902" w:rsidRDefault="00B83902" w:rsidP="0029711A">
      <w:pPr>
        <w:spacing w:after="0" w:line="269" w:lineRule="auto"/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B83902" w:rsidRPr="00B83902" w:rsidRDefault="00B83902" w:rsidP="00B83902">
      <w:pPr>
        <w:rPr>
          <w:rFonts w:ascii="Arial" w:hAnsi="Arial" w:cs="Arial"/>
          <w:sz w:val="20"/>
          <w:szCs w:val="20"/>
        </w:rPr>
      </w:pPr>
    </w:p>
    <w:p w:rsidR="0029711A" w:rsidRPr="00B83902" w:rsidRDefault="0029711A" w:rsidP="004E68F2">
      <w:pPr>
        <w:rPr>
          <w:rFonts w:ascii="Arial" w:hAnsi="Arial" w:cs="Arial"/>
          <w:sz w:val="20"/>
          <w:szCs w:val="20"/>
        </w:rPr>
      </w:pPr>
    </w:p>
    <w:sectPr w:rsidR="0029711A" w:rsidRPr="00B83902" w:rsidSect="004E68F2">
      <w:headerReference w:type="default" r:id="rId8"/>
      <w:footerReference w:type="default" r:id="rId9"/>
      <w:type w:val="continuous"/>
      <w:pgSz w:w="11906" w:h="16838"/>
      <w:pgMar w:top="2268" w:right="1701" w:bottom="1701" w:left="1701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2F" w:rsidRDefault="007B072F" w:rsidP="0029711A">
      <w:pPr>
        <w:spacing w:after="0" w:line="240" w:lineRule="auto"/>
      </w:pPr>
      <w:r>
        <w:separator/>
      </w:r>
    </w:p>
  </w:endnote>
  <w:endnote w:type="continuationSeparator" w:id="0">
    <w:p w:rsidR="007B072F" w:rsidRDefault="007B072F" w:rsidP="0029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1A" w:rsidRDefault="00B83902" w:rsidP="0029711A">
    <w:pPr>
      <w:pStyle w:val="Footer"/>
      <w:tabs>
        <w:tab w:val="clear" w:pos="4513"/>
        <w:tab w:val="clear" w:pos="9026"/>
      </w:tabs>
      <w:ind w:left="-1701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-626745</wp:posOffset>
          </wp:positionV>
          <wp:extent cx="7543800" cy="9296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2F" w:rsidRDefault="007B072F" w:rsidP="0029711A">
      <w:pPr>
        <w:spacing w:after="0" w:line="240" w:lineRule="auto"/>
      </w:pPr>
      <w:r>
        <w:separator/>
      </w:r>
    </w:p>
  </w:footnote>
  <w:footnote w:type="continuationSeparator" w:id="0">
    <w:p w:rsidR="007B072F" w:rsidRDefault="007B072F" w:rsidP="0029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1A" w:rsidRDefault="0029711A" w:rsidP="0029711A">
    <w:pPr>
      <w:pStyle w:val="Header"/>
      <w:jc w:val="center"/>
    </w:pPr>
  </w:p>
  <w:p w:rsidR="0029711A" w:rsidRDefault="00B83902" w:rsidP="0029711A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106046</wp:posOffset>
          </wp:positionV>
          <wp:extent cx="233333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91"/>
                  <a:stretch/>
                </pic:blipFill>
                <pic:spPr bwMode="auto">
                  <a:xfrm>
                    <a:off x="0" y="0"/>
                    <a:ext cx="2333625" cy="914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33654"/>
    <w:multiLevelType w:val="multilevel"/>
    <w:tmpl w:val="F210E300"/>
    <w:styleLink w:val="NHVR1QualityArea"/>
    <w:lvl w:ilvl="0">
      <w:start w:val="1"/>
      <w:numFmt w:val="decimal"/>
      <w:lvlText w:val="Quality Area %1:"/>
      <w:lvlJc w:val="left"/>
      <w:pPr>
        <w:ind w:left="1559" w:hanging="1134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Standard %1.%2"/>
      <w:lvlJc w:val="left"/>
      <w:pPr>
        <w:ind w:left="1701" w:hanging="1134"/>
      </w:pPr>
      <w:rPr>
        <w:rFonts w:ascii="Arial" w:hAnsi="Arial" w:hint="default"/>
        <w:b/>
        <w:sz w:val="20"/>
      </w:rPr>
    </w:lvl>
    <w:lvl w:ilvl="2">
      <w:start w:val="1"/>
      <w:numFmt w:val="none"/>
      <w:lvlRestart w:val="0"/>
      <w:lvlText w:val="Policy %1.%2.1"/>
      <w:lvlJc w:val="left"/>
      <w:pPr>
        <w:ind w:left="1843" w:hanging="1134"/>
      </w:pPr>
      <w:rPr>
        <w:rFonts w:ascii="Arial" w:hAnsi="Arial" w:hint="default"/>
        <w:b/>
        <w:sz w:val="20"/>
      </w:rPr>
    </w:lvl>
    <w:lvl w:ilvl="3">
      <w:start w:val="1"/>
      <w:numFmt w:val="none"/>
      <w:lvlRestart w:val="0"/>
      <w:lvlText w:val="%1.%2.1.1"/>
      <w:lvlJc w:val="left"/>
      <w:pPr>
        <w:ind w:left="1984" w:hanging="1134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51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F2"/>
    <w:rsid w:val="0029711A"/>
    <w:rsid w:val="002B483D"/>
    <w:rsid w:val="004E68F2"/>
    <w:rsid w:val="005548FE"/>
    <w:rsid w:val="007B072F"/>
    <w:rsid w:val="00815751"/>
    <w:rsid w:val="009412D7"/>
    <w:rsid w:val="00B83902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603E7-6FB8-4A9E-AEAA-AAF89E9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D7"/>
    <w:pPr>
      <w:ind w:left="720"/>
      <w:contextualSpacing/>
    </w:pPr>
  </w:style>
  <w:style w:type="numbering" w:customStyle="1" w:styleId="NHVR1QualityArea">
    <w:name w:val="NHVR 1 Quality Area"/>
    <w:uiPriority w:val="99"/>
    <w:rsid w:val="009412D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9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1A"/>
  </w:style>
  <w:style w:type="paragraph" w:styleId="Footer">
    <w:name w:val="footer"/>
    <w:basedOn w:val="Normal"/>
    <w:link w:val="FooterChar"/>
    <w:uiPriority w:val="99"/>
    <w:unhideWhenUsed/>
    <w:rsid w:val="0029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1A"/>
  </w:style>
  <w:style w:type="paragraph" w:styleId="BalloonText">
    <w:name w:val="Balloon Text"/>
    <w:basedOn w:val="Normal"/>
    <w:link w:val="BalloonTextChar"/>
    <w:uiPriority w:val="99"/>
    <w:semiHidden/>
    <w:unhideWhenUsed/>
    <w:rsid w:val="002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\TEMPLATES%20and%20FORMS\Templates_Agendas,%20Submission,%20Briefing%20Paper,%20Truck%20Picture%202009\ATA%20Electronic%20Letterhead%20Template%20MASTER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019C-1E8D-47FD-9DB5-FE8522F7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Electronic Letterhead Template MASTERFILE.dotx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kathleen.horne</dc:creator>
  <cp:lastModifiedBy>Kathleen Bakon</cp:lastModifiedBy>
  <cp:revision>1</cp:revision>
  <dcterms:created xsi:type="dcterms:W3CDTF">2015-05-01T00:07:00Z</dcterms:created>
  <dcterms:modified xsi:type="dcterms:W3CDTF">2015-05-01T00:08:00Z</dcterms:modified>
</cp:coreProperties>
</file>