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660"/>
        <w:gridCol w:w="6379"/>
      </w:tblGrid>
      <w:tr w:rsidR="00D735FF" w:rsidRPr="00D92690" w:rsidTr="000156D1">
        <w:trPr>
          <w:trHeight w:val="756"/>
        </w:trPr>
        <w:tc>
          <w:tcPr>
            <w:tcW w:w="2660" w:type="dxa"/>
            <w:vAlign w:val="center"/>
          </w:tcPr>
          <w:p w:rsidR="00D735FF" w:rsidRPr="00D92690" w:rsidRDefault="00D735FF" w:rsidP="00D92690">
            <w:pPr>
              <w:pStyle w:val="Header"/>
              <w:jc w:val="both"/>
              <w:rPr>
                <w:rFonts w:asciiTheme="minorHAnsi" w:hAnsiTheme="minorHAnsi" w:cs="Arial"/>
                <w:b/>
                <w:sz w:val="32"/>
              </w:rPr>
            </w:pPr>
            <w:r w:rsidRPr="00D92690">
              <w:rPr>
                <w:rFonts w:asciiTheme="minorHAnsi" w:hAnsiTheme="minorHAnsi" w:cs="Arial"/>
                <w:b/>
                <w:sz w:val="32"/>
              </w:rPr>
              <w:t>Submission to:</w:t>
            </w:r>
          </w:p>
        </w:tc>
        <w:tc>
          <w:tcPr>
            <w:tcW w:w="6379" w:type="dxa"/>
            <w:vAlign w:val="center"/>
          </w:tcPr>
          <w:p w:rsidR="00D735FF" w:rsidRPr="00D92690" w:rsidRDefault="00E9358D" w:rsidP="00D92690">
            <w:pPr>
              <w:pStyle w:val="Header"/>
              <w:jc w:val="both"/>
              <w:rPr>
                <w:rFonts w:asciiTheme="minorHAnsi" w:hAnsiTheme="minorHAnsi" w:cs="Arial"/>
                <w:sz w:val="32"/>
              </w:rPr>
            </w:pPr>
            <w:r>
              <w:rPr>
                <w:rFonts w:asciiTheme="minorHAnsi" w:hAnsiTheme="minorHAnsi" w:cs="Arial"/>
                <w:sz w:val="32"/>
              </w:rPr>
              <w:t>The National Transport Commission</w:t>
            </w:r>
          </w:p>
        </w:tc>
      </w:tr>
      <w:tr w:rsidR="00D735FF" w:rsidRPr="00D92690" w:rsidTr="000156D1">
        <w:trPr>
          <w:trHeight w:val="756"/>
        </w:trPr>
        <w:tc>
          <w:tcPr>
            <w:tcW w:w="2660" w:type="dxa"/>
            <w:vAlign w:val="center"/>
          </w:tcPr>
          <w:p w:rsidR="00D735FF" w:rsidRPr="00D92690" w:rsidRDefault="00D735FF" w:rsidP="00D92690">
            <w:pPr>
              <w:pStyle w:val="Header"/>
              <w:jc w:val="both"/>
              <w:rPr>
                <w:rFonts w:asciiTheme="minorHAnsi" w:hAnsiTheme="minorHAnsi" w:cs="Arial"/>
                <w:b/>
                <w:sz w:val="32"/>
              </w:rPr>
            </w:pPr>
            <w:r w:rsidRPr="00D92690">
              <w:rPr>
                <w:rFonts w:asciiTheme="minorHAnsi" w:hAnsiTheme="minorHAnsi" w:cs="Arial"/>
                <w:b/>
                <w:sz w:val="32"/>
              </w:rPr>
              <w:t>Title:</w:t>
            </w:r>
          </w:p>
        </w:tc>
        <w:tc>
          <w:tcPr>
            <w:tcW w:w="6379" w:type="dxa"/>
            <w:vAlign w:val="center"/>
          </w:tcPr>
          <w:p w:rsidR="00D735FF" w:rsidRPr="00D92690" w:rsidRDefault="00E9358D" w:rsidP="00D92690">
            <w:pPr>
              <w:pStyle w:val="Header"/>
              <w:jc w:val="both"/>
              <w:rPr>
                <w:rFonts w:asciiTheme="minorHAnsi" w:hAnsiTheme="minorHAnsi" w:cs="Arial"/>
                <w:sz w:val="32"/>
              </w:rPr>
            </w:pPr>
            <w:r>
              <w:rPr>
                <w:rFonts w:asciiTheme="minorHAnsi" w:hAnsiTheme="minorHAnsi" w:cs="Arial"/>
                <w:sz w:val="32"/>
              </w:rPr>
              <w:t>Mass Limits for 2 axle Buses: Discussion Paper</w:t>
            </w:r>
            <w:r w:rsidR="00EA3322" w:rsidRPr="00D92690">
              <w:rPr>
                <w:rFonts w:asciiTheme="minorHAnsi" w:hAnsiTheme="minorHAnsi" w:cs="Arial"/>
                <w:sz w:val="32"/>
              </w:rPr>
              <w:t xml:space="preserve"> </w:t>
            </w:r>
          </w:p>
        </w:tc>
      </w:tr>
      <w:tr w:rsidR="00D735FF" w:rsidRPr="00D92690" w:rsidTr="000156D1">
        <w:trPr>
          <w:trHeight w:val="756"/>
        </w:trPr>
        <w:tc>
          <w:tcPr>
            <w:tcW w:w="2660" w:type="dxa"/>
            <w:vAlign w:val="center"/>
          </w:tcPr>
          <w:p w:rsidR="00D735FF" w:rsidRPr="00D92690" w:rsidRDefault="00D735FF" w:rsidP="00D92690">
            <w:pPr>
              <w:pStyle w:val="Header"/>
              <w:jc w:val="both"/>
              <w:rPr>
                <w:rFonts w:asciiTheme="minorHAnsi" w:hAnsiTheme="minorHAnsi" w:cs="Arial"/>
                <w:b/>
                <w:sz w:val="32"/>
              </w:rPr>
            </w:pPr>
            <w:r w:rsidRPr="00D92690">
              <w:rPr>
                <w:rFonts w:asciiTheme="minorHAnsi" w:hAnsiTheme="minorHAnsi" w:cs="Arial"/>
                <w:b/>
                <w:sz w:val="32"/>
              </w:rPr>
              <w:t>Date:</w:t>
            </w:r>
          </w:p>
        </w:tc>
        <w:tc>
          <w:tcPr>
            <w:tcW w:w="6379" w:type="dxa"/>
            <w:vAlign w:val="center"/>
          </w:tcPr>
          <w:p w:rsidR="00D735FF" w:rsidRPr="00D92690" w:rsidRDefault="00E9358D" w:rsidP="00D92690">
            <w:pPr>
              <w:pStyle w:val="Header"/>
              <w:jc w:val="both"/>
              <w:rPr>
                <w:rFonts w:asciiTheme="minorHAnsi" w:hAnsiTheme="minorHAnsi" w:cs="Arial"/>
                <w:sz w:val="32"/>
              </w:rPr>
            </w:pPr>
            <w:r>
              <w:rPr>
                <w:rFonts w:asciiTheme="minorHAnsi" w:hAnsiTheme="minorHAnsi" w:cs="Arial"/>
                <w:sz w:val="32"/>
              </w:rPr>
              <w:t>21 March 2014</w:t>
            </w:r>
          </w:p>
        </w:tc>
      </w:tr>
    </w:tbl>
    <w:p w:rsidR="00D735FF" w:rsidRPr="00D92690" w:rsidRDefault="00D735FF" w:rsidP="00D92690">
      <w:pPr>
        <w:pStyle w:val="Header"/>
        <w:jc w:val="both"/>
        <w:rPr>
          <w:rFonts w:asciiTheme="minorHAnsi" w:hAnsiTheme="minorHAnsi" w:cs="Arial"/>
          <w:sz w:val="32"/>
        </w:rPr>
      </w:pPr>
    </w:p>
    <w:p w:rsidR="00D735FF" w:rsidRPr="00D92690" w:rsidRDefault="00D735FF" w:rsidP="00D92690">
      <w:pPr>
        <w:pStyle w:val="Header"/>
        <w:jc w:val="both"/>
        <w:rPr>
          <w:rFonts w:asciiTheme="minorHAnsi" w:hAnsiTheme="minorHAnsi" w:cs="Arial"/>
          <w:sz w:val="32"/>
        </w:rPr>
      </w:pPr>
    </w:p>
    <w:p w:rsidR="00576ED0" w:rsidRPr="00D92690" w:rsidRDefault="00576ED0" w:rsidP="00D92690">
      <w:pPr>
        <w:pStyle w:val="Header"/>
        <w:jc w:val="both"/>
        <w:rPr>
          <w:rFonts w:asciiTheme="minorHAnsi" w:hAnsiTheme="minorHAnsi" w:cs="Arial"/>
          <w:sz w:val="32"/>
        </w:rPr>
      </w:pPr>
    </w:p>
    <w:p w:rsidR="00576ED0" w:rsidRPr="00D92690" w:rsidRDefault="00576ED0" w:rsidP="00D92690">
      <w:pPr>
        <w:jc w:val="both"/>
        <w:rPr>
          <w:rFonts w:asciiTheme="minorHAnsi" w:hAnsiTheme="minorHAnsi" w:cs="Arial"/>
        </w:rPr>
        <w:sectPr w:rsidR="00576ED0" w:rsidRPr="00D92690" w:rsidSect="005F5ACC">
          <w:headerReference w:type="even" r:id="rId8"/>
          <w:headerReference w:type="default" r:id="rId9"/>
          <w:footerReference w:type="even" r:id="rId10"/>
          <w:footerReference w:type="default" r:id="rId11"/>
          <w:headerReference w:type="first" r:id="rId12"/>
          <w:footerReference w:type="first" r:id="rId13"/>
          <w:pgSz w:w="11906" w:h="16838"/>
          <w:pgMar w:top="5103" w:right="1133" w:bottom="1418" w:left="1134" w:header="851" w:footer="651" w:gutter="0"/>
          <w:cols w:space="708"/>
          <w:docGrid w:linePitch="360"/>
        </w:sectPr>
      </w:pPr>
    </w:p>
    <w:p w:rsidR="00576ED0" w:rsidRPr="00D92690" w:rsidRDefault="00576ED0" w:rsidP="00D92690">
      <w:pPr>
        <w:jc w:val="both"/>
        <w:rPr>
          <w:rFonts w:asciiTheme="minorHAnsi" w:hAnsiTheme="minorHAnsi" w:cs="Arial"/>
        </w:rPr>
      </w:pPr>
    </w:p>
    <w:p w:rsidR="0035493A" w:rsidRPr="00D92690" w:rsidRDefault="0035493A" w:rsidP="00D92690">
      <w:pPr>
        <w:jc w:val="both"/>
        <w:rPr>
          <w:rFonts w:asciiTheme="minorHAnsi" w:hAnsiTheme="minorHAnsi" w:cs="Arial"/>
        </w:rPr>
      </w:pPr>
    </w:p>
    <w:p w:rsidR="0035493A" w:rsidRPr="00D92690" w:rsidRDefault="0035493A" w:rsidP="00D92690">
      <w:pPr>
        <w:jc w:val="both"/>
        <w:rPr>
          <w:rFonts w:asciiTheme="minorHAnsi" w:hAnsiTheme="minorHAnsi" w:cs="Arial"/>
        </w:rPr>
      </w:pPr>
    </w:p>
    <w:p w:rsidR="0035493A" w:rsidRPr="00D92690" w:rsidRDefault="0035493A" w:rsidP="00D92690">
      <w:pPr>
        <w:jc w:val="both"/>
        <w:rPr>
          <w:rFonts w:asciiTheme="minorHAnsi" w:hAnsiTheme="minorHAnsi" w:cs="Arial"/>
        </w:rPr>
      </w:pPr>
    </w:p>
    <w:p w:rsidR="0035493A" w:rsidRPr="00D92690" w:rsidRDefault="0035493A" w:rsidP="00D92690">
      <w:pPr>
        <w:jc w:val="both"/>
        <w:rPr>
          <w:rFonts w:asciiTheme="minorHAnsi" w:hAnsiTheme="minorHAnsi" w:cs="Arial"/>
        </w:rPr>
      </w:pPr>
    </w:p>
    <w:p w:rsidR="0035493A" w:rsidRPr="00D92690" w:rsidRDefault="003B74E4" w:rsidP="00D92690">
      <w:pPr>
        <w:jc w:val="both"/>
        <w:rPr>
          <w:rFonts w:asciiTheme="minorHAnsi" w:hAnsiTheme="minorHAnsi" w:cs="Arial"/>
          <w:b/>
          <w:color w:val="000064"/>
          <w:sz w:val="32"/>
        </w:rPr>
      </w:pPr>
      <w:r w:rsidRPr="00D92690">
        <w:rPr>
          <w:rFonts w:asciiTheme="minorHAnsi" w:hAnsiTheme="minorHAnsi" w:cs="Arial"/>
          <w:b/>
          <w:color w:val="000064"/>
          <w:sz w:val="32"/>
        </w:rPr>
        <w:t>Contents</w:t>
      </w:r>
    </w:p>
    <w:p w:rsidR="00576ED0" w:rsidRPr="00D92690" w:rsidRDefault="00576ED0" w:rsidP="00D92690">
      <w:pPr>
        <w:jc w:val="both"/>
        <w:rPr>
          <w:rFonts w:asciiTheme="minorHAnsi" w:hAnsiTheme="minorHAnsi" w:cs="Arial"/>
        </w:rPr>
      </w:pPr>
    </w:p>
    <w:p w:rsidR="009B0520" w:rsidRPr="00D92690" w:rsidRDefault="009B0520" w:rsidP="00D92690">
      <w:pPr>
        <w:jc w:val="both"/>
        <w:rPr>
          <w:rFonts w:asciiTheme="minorHAnsi" w:hAnsiTheme="minorHAnsi" w:cs="Arial"/>
        </w:rPr>
      </w:pPr>
    </w:p>
    <w:p w:rsidR="0018181C" w:rsidRPr="005E69BD" w:rsidRDefault="0068426C">
      <w:pPr>
        <w:pStyle w:val="TOC1"/>
        <w:tabs>
          <w:tab w:val="left" w:pos="442"/>
        </w:tabs>
        <w:rPr>
          <w:rFonts w:asciiTheme="minorHAnsi" w:eastAsiaTheme="minorEastAsia" w:hAnsiTheme="minorHAnsi" w:cstheme="minorBidi"/>
          <w:b w:val="0"/>
          <w:sz w:val="28"/>
          <w:szCs w:val="22"/>
          <w:lang w:eastAsia="en-AU"/>
        </w:rPr>
      </w:pPr>
      <w:r w:rsidRPr="005E69BD">
        <w:rPr>
          <w:rFonts w:asciiTheme="minorHAnsi" w:hAnsiTheme="minorHAnsi"/>
          <w:sz w:val="28"/>
          <w:szCs w:val="22"/>
        </w:rPr>
        <w:fldChar w:fldCharType="begin"/>
      </w:r>
      <w:r w:rsidR="00BD49FC" w:rsidRPr="005E69BD">
        <w:rPr>
          <w:rFonts w:asciiTheme="minorHAnsi" w:hAnsiTheme="minorHAnsi"/>
          <w:sz w:val="28"/>
          <w:szCs w:val="22"/>
        </w:rPr>
        <w:instrText xml:space="preserve"> TOC \o "1-2" \t "ATA Heading 2,2" </w:instrText>
      </w:r>
      <w:r w:rsidRPr="005E69BD">
        <w:rPr>
          <w:rFonts w:asciiTheme="minorHAnsi" w:hAnsiTheme="minorHAnsi"/>
          <w:sz w:val="28"/>
          <w:szCs w:val="22"/>
        </w:rPr>
        <w:fldChar w:fldCharType="separate"/>
      </w:r>
      <w:r w:rsidR="0018181C" w:rsidRPr="005E69BD">
        <w:rPr>
          <w:rFonts w:asciiTheme="minorHAnsi" w:hAnsiTheme="minorHAnsi" w:cs="Times New Roman"/>
          <w:sz w:val="24"/>
        </w:rPr>
        <w:t>1.</w:t>
      </w:r>
      <w:r w:rsidR="0018181C" w:rsidRPr="005E69BD">
        <w:rPr>
          <w:rFonts w:asciiTheme="minorHAnsi" w:eastAsiaTheme="minorEastAsia" w:hAnsiTheme="minorHAnsi" w:cstheme="minorBidi"/>
          <w:b w:val="0"/>
          <w:sz w:val="28"/>
          <w:szCs w:val="22"/>
          <w:lang w:eastAsia="en-AU"/>
        </w:rPr>
        <w:tab/>
      </w:r>
      <w:r w:rsidR="0018181C" w:rsidRPr="005E69BD">
        <w:rPr>
          <w:rFonts w:asciiTheme="minorHAnsi" w:hAnsiTheme="minorHAnsi"/>
          <w:sz w:val="24"/>
        </w:rPr>
        <w:t>Introduction</w:t>
      </w:r>
      <w:r w:rsidR="0018181C" w:rsidRPr="005E69BD">
        <w:rPr>
          <w:sz w:val="24"/>
        </w:rPr>
        <w:tab/>
      </w:r>
      <w:r w:rsidRPr="005E69BD">
        <w:rPr>
          <w:sz w:val="24"/>
        </w:rPr>
        <w:fldChar w:fldCharType="begin"/>
      </w:r>
      <w:r w:rsidR="0018181C" w:rsidRPr="005E69BD">
        <w:rPr>
          <w:sz w:val="24"/>
        </w:rPr>
        <w:instrText xml:space="preserve"> PAGEREF _Toc382404391 \h </w:instrText>
      </w:r>
      <w:r w:rsidRPr="005E69BD">
        <w:rPr>
          <w:sz w:val="24"/>
        </w:rPr>
      </w:r>
      <w:r w:rsidRPr="005E69BD">
        <w:rPr>
          <w:sz w:val="24"/>
        </w:rPr>
        <w:fldChar w:fldCharType="separate"/>
      </w:r>
      <w:r w:rsidR="00020E0E">
        <w:rPr>
          <w:sz w:val="24"/>
        </w:rPr>
        <w:t>3</w:t>
      </w:r>
      <w:r w:rsidRPr="005E69BD">
        <w:rPr>
          <w:sz w:val="24"/>
        </w:rPr>
        <w:fldChar w:fldCharType="end"/>
      </w:r>
    </w:p>
    <w:p w:rsidR="0018181C" w:rsidRPr="005E69BD" w:rsidRDefault="0018181C">
      <w:pPr>
        <w:pStyle w:val="TOC1"/>
        <w:tabs>
          <w:tab w:val="left" w:pos="442"/>
        </w:tabs>
        <w:rPr>
          <w:rFonts w:asciiTheme="minorHAnsi" w:eastAsiaTheme="minorEastAsia" w:hAnsiTheme="minorHAnsi" w:cstheme="minorBidi"/>
          <w:b w:val="0"/>
          <w:sz w:val="28"/>
          <w:szCs w:val="22"/>
          <w:lang w:eastAsia="en-AU"/>
        </w:rPr>
      </w:pPr>
      <w:r w:rsidRPr="005E69BD">
        <w:rPr>
          <w:rFonts w:asciiTheme="minorHAnsi" w:hAnsiTheme="minorHAnsi" w:cs="Times New Roman"/>
          <w:sz w:val="24"/>
        </w:rPr>
        <w:t>2.</w:t>
      </w:r>
      <w:r w:rsidRPr="005E69BD">
        <w:rPr>
          <w:rFonts w:asciiTheme="minorHAnsi" w:eastAsiaTheme="minorEastAsia" w:hAnsiTheme="minorHAnsi" w:cstheme="minorBidi"/>
          <w:b w:val="0"/>
          <w:sz w:val="28"/>
          <w:szCs w:val="22"/>
          <w:lang w:eastAsia="en-AU"/>
        </w:rPr>
        <w:tab/>
      </w:r>
      <w:r w:rsidRPr="005E69BD">
        <w:rPr>
          <w:rFonts w:asciiTheme="minorHAnsi" w:hAnsiTheme="minorHAnsi"/>
          <w:sz w:val="24"/>
        </w:rPr>
        <w:t>Australian Trucking Association</w:t>
      </w:r>
      <w:r w:rsidRPr="005E69BD">
        <w:rPr>
          <w:sz w:val="24"/>
        </w:rPr>
        <w:tab/>
      </w:r>
      <w:r w:rsidR="0068426C" w:rsidRPr="005E69BD">
        <w:rPr>
          <w:sz w:val="24"/>
        </w:rPr>
        <w:fldChar w:fldCharType="begin"/>
      </w:r>
      <w:r w:rsidRPr="005E69BD">
        <w:rPr>
          <w:sz w:val="24"/>
        </w:rPr>
        <w:instrText xml:space="preserve"> PAGEREF _Toc382404392 \h </w:instrText>
      </w:r>
      <w:r w:rsidR="0068426C" w:rsidRPr="005E69BD">
        <w:rPr>
          <w:sz w:val="24"/>
        </w:rPr>
      </w:r>
      <w:r w:rsidR="0068426C" w:rsidRPr="005E69BD">
        <w:rPr>
          <w:sz w:val="24"/>
        </w:rPr>
        <w:fldChar w:fldCharType="separate"/>
      </w:r>
      <w:r w:rsidR="00020E0E">
        <w:rPr>
          <w:sz w:val="24"/>
        </w:rPr>
        <w:t>3</w:t>
      </w:r>
      <w:r w:rsidR="0068426C" w:rsidRPr="005E69BD">
        <w:rPr>
          <w:sz w:val="24"/>
        </w:rPr>
        <w:fldChar w:fldCharType="end"/>
      </w:r>
    </w:p>
    <w:p w:rsidR="0018181C" w:rsidRPr="005E69BD" w:rsidRDefault="0018181C">
      <w:pPr>
        <w:pStyle w:val="TOC1"/>
        <w:tabs>
          <w:tab w:val="left" w:pos="442"/>
        </w:tabs>
        <w:rPr>
          <w:rFonts w:asciiTheme="minorHAnsi" w:eastAsiaTheme="minorEastAsia" w:hAnsiTheme="minorHAnsi" w:cstheme="minorBidi"/>
          <w:b w:val="0"/>
          <w:sz w:val="28"/>
          <w:szCs w:val="22"/>
          <w:lang w:eastAsia="en-AU"/>
        </w:rPr>
      </w:pPr>
      <w:r w:rsidRPr="005E69BD">
        <w:rPr>
          <w:rFonts w:asciiTheme="minorHAnsi" w:hAnsiTheme="minorHAnsi" w:cs="Times New Roman"/>
          <w:sz w:val="24"/>
        </w:rPr>
        <w:t>3.</w:t>
      </w:r>
      <w:r w:rsidRPr="005E69BD">
        <w:rPr>
          <w:rFonts w:asciiTheme="minorHAnsi" w:eastAsiaTheme="minorEastAsia" w:hAnsiTheme="minorHAnsi" w:cstheme="minorBidi"/>
          <w:b w:val="0"/>
          <w:sz w:val="28"/>
          <w:szCs w:val="22"/>
          <w:lang w:eastAsia="en-AU"/>
        </w:rPr>
        <w:tab/>
      </w:r>
      <w:r w:rsidRPr="005E69BD">
        <w:rPr>
          <w:rFonts w:asciiTheme="minorHAnsi" w:hAnsiTheme="minorHAnsi"/>
          <w:sz w:val="24"/>
        </w:rPr>
        <w:t>Recommendation</w:t>
      </w:r>
      <w:r w:rsidRPr="005E69BD">
        <w:rPr>
          <w:sz w:val="24"/>
        </w:rPr>
        <w:tab/>
      </w:r>
      <w:r w:rsidR="0068426C" w:rsidRPr="005E69BD">
        <w:rPr>
          <w:sz w:val="24"/>
        </w:rPr>
        <w:fldChar w:fldCharType="begin"/>
      </w:r>
      <w:r w:rsidRPr="005E69BD">
        <w:rPr>
          <w:sz w:val="24"/>
        </w:rPr>
        <w:instrText xml:space="preserve"> PAGEREF _Toc382404393 \h </w:instrText>
      </w:r>
      <w:r w:rsidR="0068426C" w:rsidRPr="005E69BD">
        <w:rPr>
          <w:sz w:val="24"/>
        </w:rPr>
      </w:r>
      <w:r w:rsidR="0068426C" w:rsidRPr="005E69BD">
        <w:rPr>
          <w:sz w:val="24"/>
        </w:rPr>
        <w:fldChar w:fldCharType="separate"/>
      </w:r>
      <w:r w:rsidR="00020E0E">
        <w:rPr>
          <w:sz w:val="24"/>
        </w:rPr>
        <w:t>3</w:t>
      </w:r>
      <w:r w:rsidR="0068426C" w:rsidRPr="005E69BD">
        <w:rPr>
          <w:sz w:val="24"/>
        </w:rPr>
        <w:fldChar w:fldCharType="end"/>
      </w:r>
    </w:p>
    <w:p w:rsidR="0018181C" w:rsidRPr="005E69BD" w:rsidRDefault="0018181C">
      <w:pPr>
        <w:pStyle w:val="TOC1"/>
        <w:tabs>
          <w:tab w:val="left" w:pos="442"/>
        </w:tabs>
        <w:rPr>
          <w:rFonts w:asciiTheme="minorHAnsi" w:eastAsiaTheme="minorEastAsia" w:hAnsiTheme="minorHAnsi" w:cstheme="minorBidi"/>
          <w:b w:val="0"/>
          <w:sz w:val="28"/>
          <w:szCs w:val="22"/>
          <w:lang w:eastAsia="en-AU"/>
        </w:rPr>
      </w:pPr>
      <w:r w:rsidRPr="005E69BD">
        <w:rPr>
          <w:rFonts w:asciiTheme="minorHAnsi" w:hAnsiTheme="minorHAnsi" w:cs="Times New Roman"/>
          <w:sz w:val="24"/>
        </w:rPr>
        <w:t>4.</w:t>
      </w:r>
      <w:r w:rsidRPr="005E69BD">
        <w:rPr>
          <w:rFonts w:asciiTheme="minorHAnsi" w:eastAsiaTheme="minorEastAsia" w:hAnsiTheme="minorHAnsi" w:cstheme="minorBidi"/>
          <w:b w:val="0"/>
          <w:sz w:val="28"/>
          <w:szCs w:val="22"/>
          <w:lang w:eastAsia="en-AU"/>
        </w:rPr>
        <w:tab/>
      </w:r>
      <w:r w:rsidRPr="005E69BD">
        <w:rPr>
          <w:rFonts w:asciiTheme="minorHAnsi" w:hAnsiTheme="minorHAnsi"/>
          <w:sz w:val="24"/>
        </w:rPr>
        <w:t>Options</w:t>
      </w:r>
      <w:r w:rsidRPr="005E69BD">
        <w:rPr>
          <w:sz w:val="24"/>
        </w:rPr>
        <w:tab/>
      </w:r>
      <w:r w:rsidR="0068426C" w:rsidRPr="005E69BD">
        <w:rPr>
          <w:sz w:val="24"/>
        </w:rPr>
        <w:fldChar w:fldCharType="begin"/>
      </w:r>
      <w:r w:rsidRPr="005E69BD">
        <w:rPr>
          <w:sz w:val="24"/>
        </w:rPr>
        <w:instrText xml:space="preserve"> PAGEREF _Toc382404394 \h </w:instrText>
      </w:r>
      <w:r w:rsidR="0068426C" w:rsidRPr="005E69BD">
        <w:rPr>
          <w:sz w:val="24"/>
        </w:rPr>
      </w:r>
      <w:r w:rsidR="0068426C" w:rsidRPr="005E69BD">
        <w:rPr>
          <w:sz w:val="24"/>
        </w:rPr>
        <w:fldChar w:fldCharType="separate"/>
      </w:r>
      <w:r w:rsidR="00020E0E">
        <w:rPr>
          <w:sz w:val="24"/>
        </w:rPr>
        <w:t>3</w:t>
      </w:r>
      <w:r w:rsidR="0068426C" w:rsidRPr="005E69BD">
        <w:rPr>
          <w:sz w:val="24"/>
        </w:rPr>
        <w:fldChar w:fldCharType="end"/>
      </w:r>
    </w:p>
    <w:p w:rsidR="0018181C" w:rsidRPr="005E69BD" w:rsidRDefault="0018181C">
      <w:pPr>
        <w:pStyle w:val="TOC1"/>
        <w:tabs>
          <w:tab w:val="left" w:pos="442"/>
        </w:tabs>
        <w:rPr>
          <w:rFonts w:asciiTheme="minorHAnsi" w:eastAsiaTheme="minorEastAsia" w:hAnsiTheme="minorHAnsi" w:cstheme="minorBidi"/>
          <w:b w:val="0"/>
          <w:sz w:val="28"/>
          <w:szCs w:val="22"/>
          <w:lang w:eastAsia="en-AU"/>
        </w:rPr>
      </w:pPr>
      <w:r w:rsidRPr="005E69BD">
        <w:rPr>
          <w:rFonts w:asciiTheme="minorHAnsi" w:hAnsiTheme="minorHAnsi" w:cs="Times New Roman"/>
          <w:sz w:val="24"/>
        </w:rPr>
        <w:t>5.</w:t>
      </w:r>
      <w:r w:rsidRPr="005E69BD">
        <w:rPr>
          <w:rFonts w:asciiTheme="minorHAnsi" w:eastAsiaTheme="minorEastAsia" w:hAnsiTheme="minorHAnsi" w:cstheme="minorBidi"/>
          <w:b w:val="0"/>
          <w:sz w:val="28"/>
          <w:szCs w:val="22"/>
          <w:lang w:eastAsia="en-AU"/>
        </w:rPr>
        <w:tab/>
      </w:r>
      <w:r w:rsidRPr="005E69BD">
        <w:rPr>
          <w:rFonts w:asciiTheme="minorHAnsi" w:hAnsiTheme="minorHAnsi"/>
          <w:sz w:val="24"/>
        </w:rPr>
        <w:t>Legal requirements</w:t>
      </w:r>
      <w:r w:rsidRPr="005E69BD">
        <w:rPr>
          <w:sz w:val="24"/>
        </w:rPr>
        <w:tab/>
      </w:r>
      <w:r w:rsidR="0068426C" w:rsidRPr="005E69BD">
        <w:rPr>
          <w:sz w:val="24"/>
        </w:rPr>
        <w:fldChar w:fldCharType="begin"/>
      </w:r>
      <w:r w:rsidRPr="005E69BD">
        <w:rPr>
          <w:sz w:val="24"/>
        </w:rPr>
        <w:instrText xml:space="preserve"> PAGEREF _Toc382404395 \h </w:instrText>
      </w:r>
      <w:r w:rsidR="0068426C" w:rsidRPr="005E69BD">
        <w:rPr>
          <w:sz w:val="24"/>
        </w:rPr>
      </w:r>
      <w:r w:rsidR="0068426C" w:rsidRPr="005E69BD">
        <w:rPr>
          <w:sz w:val="24"/>
        </w:rPr>
        <w:fldChar w:fldCharType="separate"/>
      </w:r>
      <w:r w:rsidR="00020E0E">
        <w:rPr>
          <w:sz w:val="24"/>
        </w:rPr>
        <w:t>3</w:t>
      </w:r>
      <w:r w:rsidR="0068426C" w:rsidRPr="005E69BD">
        <w:rPr>
          <w:sz w:val="24"/>
        </w:rPr>
        <w:fldChar w:fldCharType="end"/>
      </w:r>
    </w:p>
    <w:p w:rsidR="0018181C" w:rsidRPr="005E69BD" w:rsidRDefault="0018181C">
      <w:pPr>
        <w:pStyle w:val="TOC1"/>
        <w:tabs>
          <w:tab w:val="left" w:pos="442"/>
        </w:tabs>
        <w:rPr>
          <w:rFonts w:asciiTheme="minorHAnsi" w:eastAsiaTheme="minorEastAsia" w:hAnsiTheme="minorHAnsi" w:cstheme="minorBidi"/>
          <w:b w:val="0"/>
          <w:sz w:val="28"/>
          <w:szCs w:val="22"/>
          <w:lang w:eastAsia="en-AU"/>
        </w:rPr>
      </w:pPr>
      <w:r w:rsidRPr="005E69BD">
        <w:rPr>
          <w:rFonts w:asciiTheme="minorHAnsi" w:hAnsiTheme="minorHAnsi" w:cs="Times New Roman"/>
          <w:sz w:val="24"/>
        </w:rPr>
        <w:t>6.</w:t>
      </w:r>
      <w:r w:rsidRPr="005E69BD">
        <w:rPr>
          <w:rFonts w:asciiTheme="minorHAnsi" w:eastAsiaTheme="minorEastAsia" w:hAnsiTheme="minorHAnsi" w:cstheme="minorBidi"/>
          <w:b w:val="0"/>
          <w:sz w:val="28"/>
          <w:szCs w:val="22"/>
          <w:lang w:eastAsia="en-AU"/>
        </w:rPr>
        <w:tab/>
      </w:r>
      <w:r w:rsidRPr="005E69BD">
        <w:rPr>
          <w:rFonts w:asciiTheme="minorHAnsi" w:hAnsiTheme="minorHAnsi"/>
          <w:sz w:val="24"/>
        </w:rPr>
        <w:t>Equivalent Standard Axle (ESA) impact and heavy vehicle charges consequences</w:t>
      </w:r>
      <w:r w:rsidRPr="005E69BD">
        <w:rPr>
          <w:sz w:val="24"/>
        </w:rPr>
        <w:tab/>
      </w:r>
      <w:r w:rsidR="0068426C" w:rsidRPr="005E69BD">
        <w:rPr>
          <w:sz w:val="24"/>
        </w:rPr>
        <w:fldChar w:fldCharType="begin"/>
      </w:r>
      <w:r w:rsidRPr="005E69BD">
        <w:rPr>
          <w:sz w:val="24"/>
        </w:rPr>
        <w:instrText xml:space="preserve"> PAGEREF _Toc382404399 \h </w:instrText>
      </w:r>
      <w:r w:rsidR="0068426C" w:rsidRPr="005E69BD">
        <w:rPr>
          <w:sz w:val="24"/>
        </w:rPr>
      </w:r>
      <w:r w:rsidR="0068426C" w:rsidRPr="005E69BD">
        <w:rPr>
          <w:sz w:val="24"/>
        </w:rPr>
        <w:fldChar w:fldCharType="separate"/>
      </w:r>
      <w:r w:rsidR="00020E0E">
        <w:rPr>
          <w:sz w:val="24"/>
        </w:rPr>
        <w:t>4</w:t>
      </w:r>
      <w:r w:rsidR="0068426C" w:rsidRPr="005E69BD">
        <w:rPr>
          <w:sz w:val="24"/>
        </w:rPr>
        <w:fldChar w:fldCharType="end"/>
      </w:r>
    </w:p>
    <w:p w:rsidR="00241C15" w:rsidRPr="005E69BD" w:rsidRDefault="0068426C" w:rsidP="00D92690">
      <w:pPr>
        <w:tabs>
          <w:tab w:val="right" w:leader="dot" w:pos="9645"/>
        </w:tabs>
        <w:jc w:val="both"/>
        <w:rPr>
          <w:rFonts w:asciiTheme="minorHAnsi" w:hAnsiTheme="minorHAnsi" w:cs="Arial"/>
          <w:sz w:val="28"/>
        </w:rPr>
      </w:pPr>
      <w:r w:rsidRPr="005E69BD">
        <w:rPr>
          <w:rFonts w:asciiTheme="minorHAnsi" w:hAnsiTheme="minorHAnsi" w:cs="Arial"/>
          <w:b/>
          <w:noProof/>
          <w:sz w:val="28"/>
        </w:rPr>
        <w:fldChar w:fldCharType="end"/>
      </w:r>
    </w:p>
    <w:p w:rsidR="00576ED0" w:rsidRPr="005E69BD" w:rsidRDefault="00576ED0" w:rsidP="00D92690">
      <w:pPr>
        <w:jc w:val="both"/>
        <w:rPr>
          <w:rFonts w:asciiTheme="minorHAnsi" w:hAnsiTheme="minorHAnsi" w:cs="Arial"/>
          <w:sz w:val="28"/>
        </w:rPr>
      </w:pPr>
      <w:r w:rsidRPr="005E69BD">
        <w:rPr>
          <w:rFonts w:asciiTheme="minorHAnsi" w:hAnsiTheme="minorHAnsi" w:cs="Arial"/>
          <w:sz w:val="28"/>
        </w:rPr>
        <w:br w:type="page"/>
      </w:r>
    </w:p>
    <w:p w:rsidR="00600132" w:rsidRPr="005E69BD" w:rsidRDefault="00576ED0" w:rsidP="00D92690">
      <w:pPr>
        <w:pStyle w:val="Heading1"/>
        <w:jc w:val="both"/>
        <w:rPr>
          <w:rFonts w:asciiTheme="minorHAnsi" w:hAnsiTheme="minorHAnsi"/>
          <w:sz w:val="32"/>
          <w:szCs w:val="22"/>
        </w:rPr>
      </w:pPr>
      <w:bookmarkStart w:id="0" w:name="_Toc382404391"/>
      <w:r w:rsidRPr="005E69BD">
        <w:rPr>
          <w:rFonts w:asciiTheme="minorHAnsi" w:hAnsiTheme="minorHAnsi"/>
          <w:sz w:val="32"/>
          <w:szCs w:val="22"/>
        </w:rPr>
        <w:lastRenderedPageBreak/>
        <w:t>Introduction</w:t>
      </w:r>
      <w:bookmarkEnd w:id="0"/>
    </w:p>
    <w:p w:rsidR="00C322A1" w:rsidRDefault="00C322A1" w:rsidP="00D92690">
      <w:pPr>
        <w:jc w:val="both"/>
        <w:rPr>
          <w:rFonts w:asciiTheme="minorHAnsi" w:eastAsia="Times New Roman" w:hAnsiTheme="minorHAnsi" w:cs="Arial"/>
          <w:bCs/>
        </w:rPr>
      </w:pPr>
    </w:p>
    <w:p w:rsidR="005E43EF" w:rsidRPr="005E43EF" w:rsidRDefault="005E43EF" w:rsidP="005E43EF">
      <w:pPr>
        <w:rPr>
          <w:rFonts w:asciiTheme="minorHAnsi" w:eastAsia="Times New Roman" w:hAnsiTheme="minorHAnsi" w:cs="Arial"/>
          <w:bCs/>
        </w:rPr>
      </w:pPr>
      <w:r w:rsidRPr="005E43EF">
        <w:rPr>
          <w:rFonts w:asciiTheme="minorHAnsi" w:eastAsia="Times New Roman" w:hAnsiTheme="minorHAnsi" w:cs="Arial"/>
          <w:bCs/>
        </w:rPr>
        <w:t xml:space="preserve">The NTC have identified that some two </w:t>
      </w:r>
      <w:proofErr w:type="gramStart"/>
      <w:r w:rsidRPr="005E43EF">
        <w:rPr>
          <w:rFonts w:asciiTheme="minorHAnsi" w:eastAsia="Times New Roman" w:hAnsiTheme="minorHAnsi" w:cs="Arial"/>
          <w:bCs/>
        </w:rPr>
        <w:t>axles</w:t>
      </w:r>
      <w:proofErr w:type="gramEnd"/>
      <w:r w:rsidRPr="005E43EF">
        <w:rPr>
          <w:rFonts w:asciiTheme="minorHAnsi" w:eastAsia="Times New Roman" w:hAnsiTheme="minorHAnsi" w:cs="Arial"/>
          <w:bCs/>
        </w:rPr>
        <w:t xml:space="preserve"> buses are operating above </w:t>
      </w:r>
      <w:r w:rsidR="00FD31FA">
        <w:rPr>
          <w:rFonts w:asciiTheme="minorHAnsi" w:eastAsia="Times New Roman" w:hAnsiTheme="minorHAnsi" w:cs="Arial"/>
          <w:bCs/>
        </w:rPr>
        <w:t>legal</w:t>
      </w:r>
      <w:r w:rsidR="00FD31FA" w:rsidRPr="005E43EF">
        <w:rPr>
          <w:rFonts w:asciiTheme="minorHAnsi" w:eastAsia="Times New Roman" w:hAnsiTheme="minorHAnsi" w:cs="Arial"/>
          <w:bCs/>
        </w:rPr>
        <w:t xml:space="preserve"> </w:t>
      </w:r>
      <w:r w:rsidRPr="005E43EF">
        <w:rPr>
          <w:rFonts w:asciiTheme="minorHAnsi" w:eastAsia="Times New Roman" w:hAnsiTheme="minorHAnsi" w:cs="Arial"/>
          <w:bCs/>
        </w:rPr>
        <w:t xml:space="preserve">mass limits on an infrequent basis as a result of a number of factors including regulatory requirements and industry standards. </w:t>
      </w:r>
    </w:p>
    <w:p w:rsidR="005E43EF" w:rsidRPr="005E43EF" w:rsidRDefault="005E43EF" w:rsidP="005E43EF">
      <w:pPr>
        <w:rPr>
          <w:rFonts w:asciiTheme="minorHAnsi" w:eastAsia="Times New Roman" w:hAnsiTheme="minorHAnsi" w:cs="Arial"/>
          <w:bCs/>
        </w:rPr>
      </w:pPr>
    </w:p>
    <w:p w:rsidR="005E43EF" w:rsidRPr="005E43EF" w:rsidRDefault="005E43EF" w:rsidP="005E43EF">
      <w:pPr>
        <w:rPr>
          <w:rFonts w:asciiTheme="minorHAnsi" w:eastAsia="Times New Roman" w:hAnsiTheme="minorHAnsi" w:cs="Arial"/>
          <w:bCs/>
        </w:rPr>
      </w:pPr>
      <w:r w:rsidRPr="005E43EF">
        <w:rPr>
          <w:rFonts w:asciiTheme="minorHAnsi" w:eastAsia="Times New Roman" w:hAnsiTheme="minorHAnsi" w:cs="Arial"/>
          <w:bCs/>
        </w:rPr>
        <w:t xml:space="preserve">The ATA supports the facilitation of </w:t>
      </w:r>
      <w:r w:rsidR="00B068D6">
        <w:rPr>
          <w:rFonts w:asciiTheme="minorHAnsi" w:eastAsia="Times New Roman" w:hAnsiTheme="minorHAnsi" w:cs="Arial"/>
          <w:bCs/>
        </w:rPr>
        <w:t xml:space="preserve">land </w:t>
      </w:r>
      <w:r w:rsidRPr="005E43EF">
        <w:rPr>
          <w:rFonts w:asciiTheme="minorHAnsi" w:eastAsia="Times New Roman" w:hAnsiTheme="minorHAnsi" w:cs="Arial"/>
          <w:bCs/>
        </w:rPr>
        <w:t>freight movement</w:t>
      </w:r>
      <w:r w:rsidR="00B068D6">
        <w:rPr>
          <w:rFonts w:asciiTheme="minorHAnsi" w:eastAsia="Times New Roman" w:hAnsiTheme="minorHAnsi" w:cs="Arial"/>
          <w:bCs/>
        </w:rPr>
        <w:t>s</w:t>
      </w:r>
      <w:r w:rsidRPr="005E43EF">
        <w:rPr>
          <w:rFonts w:asciiTheme="minorHAnsi" w:eastAsia="Times New Roman" w:hAnsiTheme="minorHAnsi" w:cs="Arial"/>
          <w:bCs/>
        </w:rPr>
        <w:t xml:space="preserve">, which in this case </w:t>
      </w:r>
      <w:r w:rsidR="00B068D6">
        <w:rPr>
          <w:rFonts w:asciiTheme="minorHAnsi" w:eastAsia="Times New Roman" w:hAnsiTheme="minorHAnsi" w:cs="Arial"/>
          <w:bCs/>
        </w:rPr>
        <w:t xml:space="preserve">involves </w:t>
      </w:r>
      <w:r w:rsidRPr="005E43EF">
        <w:rPr>
          <w:rFonts w:asciiTheme="minorHAnsi" w:eastAsia="Times New Roman" w:hAnsiTheme="minorHAnsi" w:cs="Arial"/>
          <w:bCs/>
        </w:rPr>
        <w:t xml:space="preserve">passengers. The issue seems to </w:t>
      </w:r>
      <w:r w:rsidR="00B068D6">
        <w:rPr>
          <w:rFonts w:asciiTheme="minorHAnsi" w:eastAsia="Times New Roman" w:hAnsiTheme="minorHAnsi" w:cs="Arial"/>
          <w:bCs/>
        </w:rPr>
        <w:t>occur</w:t>
      </w:r>
      <w:r w:rsidR="00B068D6" w:rsidRPr="005E43EF">
        <w:rPr>
          <w:rFonts w:asciiTheme="minorHAnsi" w:eastAsia="Times New Roman" w:hAnsiTheme="minorHAnsi" w:cs="Arial"/>
          <w:bCs/>
        </w:rPr>
        <w:t xml:space="preserve"> </w:t>
      </w:r>
      <w:r w:rsidRPr="005E43EF">
        <w:rPr>
          <w:rFonts w:asciiTheme="minorHAnsi" w:eastAsia="Times New Roman" w:hAnsiTheme="minorHAnsi" w:cs="Arial"/>
          <w:bCs/>
        </w:rPr>
        <w:t>infrequent</w:t>
      </w:r>
      <w:r w:rsidR="00B068D6">
        <w:rPr>
          <w:rFonts w:asciiTheme="minorHAnsi" w:eastAsia="Times New Roman" w:hAnsiTheme="minorHAnsi" w:cs="Arial"/>
          <w:bCs/>
        </w:rPr>
        <w:t>ly</w:t>
      </w:r>
      <w:r w:rsidRPr="005E43EF">
        <w:rPr>
          <w:rFonts w:asciiTheme="minorHAnsi" w:eastAsia="Times New Roman" w:hAnsiTheme="minorHAnsi" w:cs="Arial"/>
          <w:bCs/>
        </w:rPr>
        <w:t xml:space="preserve"> and in some states buses are already afforded mass concessions by way of </w:t>
      </w:r>
      <w:r w:rsidR="00B068D6">
        <w:rPr>
          <w:rFonts w:asciiTheme="minorHAnsi" w:eastAsia="Times New Roman" w:hAnsiTheme="minorHAnsi" w:cs="Arial"/>
          <w:bCs/>
        </w:rPr>
        <w:t xml:space="preserve">a </w:t>
      </w:r>
      <w:r w:rsidRPr="005E43EF">
        <w:rPr>
          <w:rFonts w:asciiTheme="minorHAnsi" w:eastAsia="Times New Roman" w:hAnsiTheme="minorHAnsi" w:cs="Arial"/>
          <w:bCs/>
        </w:rPr>
        <w:t>10 tonne limit for single ax</w:t>
      </w:r>
      <w:r w:rsidR="00B068D6">
        <w:rPr>
          <w:rFonts w:asciiTheme="minorHAnsi" w:eastAsia="Times New Roman" w:hAnsiTheme="minorHAnsi" w:cs="Arial"/>
          <w:bCs/>
        </w:rPr>
        <w:t>le</w:t>
      </w:r>
      <w:r w:rsidRPr="005E43EF">
        <w:rPr>
          <w:rFonts w:asciiTheme="minorHAnsi" w:eastAsia="Times New Roman" w:hAnsiTheme="minorHAnsi" w:cs="Arial"/>
          <w:bCs/>
        </w:rPr>
        <w:t xml:space="preserve"> with dual tyres. </w:t>
      </w:r>
    </w:p>
    <w:p w:rsidR="005E43EF" w:rsidRPr="005E43EF" w:rsidRDefault="005E43EF" w:rsidP="005E43EF">
      <w:pPr>
        <w:rPr>
          <w:rFonts w:asciiTheme="minorHAnsi" w:eastAsia="Times New Roman" w:hAnsiTheme="minorHAnsi" w:cs="Arial"/>
          <w:bCs/>
        </w:rPr>
      </w:pPr>
    </w:p>
    <w:p w:rsidR="005E43EF" w:rsidRPr="005E43EF" w:rsidRDefault="005E43EF" w:rsidP="005E43EF">
      <w:pPr>
        <w:rPr>
          <w:rFonts w:asciiTheme="minorHAnsi" w:eastAsia="Times New Roman" w:hAnsiTheme="minorHAnsi" w:cs="Arial"/>
          <w:bCs/>
        </w:rPr>
      </w:pPr>
      <w:r w:rsidRPr="005E43EF">
        <w:rPr>
          <w:rFonts w:asciiTheme="minorHAnsi" w:eastAsia="Times New Roman" w:hAnsiTheme="minorHAnsi" w:cs="Arial"/>
          <w:bCs/>
        </w:rPr>
        <w:t>However, if mass limits for two axle buses are increased there are consequences for the rest of the heavy vehicle industry that the NTC need</w:t>
      </w:r>
      <w:r w:rsidR="00B068D6">
        <w:rPr>
          <w:rFonts w:asciiTheme="minorHAnsi" w:eastAsia="Times New Roman" w:hAnsiTheme="minorHAnsi" w:cs="Arial"/>
          <w:bCs/>
        </w:rPr>
        <w:t>s</w:t>
      </w:r>
      <w:r w:rsidRPr="005E43EF">
        <w:rPr>
          <w:rFonts w:asciiTheme="minorHAnsi" w:eastAsia="Times New Roman" w:hAnsiTheme="minorHAnsi" w:cs="Arial"/>
          <w:bCs/>
        </w:rPr>
        <w:t xml:space="preserve"> to be aware of an</w:t>
      </w:r>
      <w:r w:rsidR="00B068D6">
        <w:rPr>
          <w:rFonts w:asciiTheme="minorHAnsi" w:eastAsia="Times New Roman" w:hAnsiTheme="minorHAnsi" w:cs="Arial"/>
          <w:bCs/>
        </w:rPr>
        <w:t>d</w:t>
      </w:r>
      <w:r w:rsidRPr="005E43EF">
        <w:rPr>
          <w:rFonts w:asciiTheme="minorHAnsi" w:eastAsia="Times New Roman" w:hAnsiTheme="minorHAnsi" w:cs="Arial"/>
          <w:bCs/>
        </w:rPr>
        <w:t xml:space="preserve"> </w:t>
      </w:r>
      <w:r w:rsidR="00B068D6">
        <w:rPr>
          <w:rFonts w:asciiTheme="minorHAnsi" w:eastAsia="Times New Roman" w:hAnsiTheme="minorHAnsi" w:cs="Arial"/>
          <w:bCs/>
        </w:rPr>
        <w:t>prepare for</w:t>
      </w:r>
      <w:r w:rsidRPr="005E43EF">
        <w:rPr>
          <w:rFonts w:asciiTheme="minorHAnsi" w:eastAsia="Times New Roman" w:hAnsiTheme="minorHAnsi" w:cs="Arial"/>
          <w:bCs/>
        </w:rPr>
        <w:t xml:space="preserve">.  </w:t>
      </w:r>
    </w:p>
    <w:p w:rsidR="005E43EF" w:rsidRPr="005E43EF" w:rsidRDefault="005E43EF" w:rsidP="005E43EF">
      <w:pPr>
        <w:rPr>
          <w:rFonts w:asciiTheme="minorHAnsi" w:eastAsia="Times New Roman" w:hAnsiTheme="minorHAnsi" w:cs="Arial"/>
          <w:bCs/>
        </w:rPr>
      </w:pPr>
    </w:p>
    <w:p w:rsidR="005E43EF" w:rsidRPr="00D92690" w:rsidRDefault="005E43EF" w:rsidP="005E43EF">
      <w:pPr>
        <w:rPr>
          <w:rFonts w:asciiTheme="minorHAnsi" w:eastAsia="Times New Roman" w:hAnsiTheme="minorHAnsi" w:cs="Arial"/>
          <w:bCs/>
        </w:rPr>
      </w:pPr>
      <w:r w:rsidRPr="005E43EF">
        <w:rPr>
          <w:rFonts w:asciiTheme="minorHAnsi" w:eastAsia="Times New Roman" w:hAnsiTheme="minorHAnsi" w:cs="Arial"/>
          <w:bCs/>
        </w:rPr>
        <w:t>If the NTC do</w:t>
      </w:r>
      <w:r w:rsidR="00B068D6">
        <w:rPr>
          <w:rFonts w:asciiTheme="minorHAnsi" w:eastAsia="Times New Roman" w:hAnsiTheme="minorHAnsi" w:cs="Arial"/>
          <w:bCs/>
        </w:rPr>
        <w:t>es</w:t>
      </w:r>
      <w:r w:rsidRPr="005E43EF">
        <w:rPr>
          <w:rFonts w:asciiTheme="minorHAnsi" w:eastAsia="Times New Roman" w:hAnsiTheme="minorHAnsi" w:cs="Arial"/>
          <w:bCs/>
        </w:rPr>
        <w:t xml:space="preserve"> approve any of the options </w:t>
      </w:r>
      <w:r w:rsidR="00B068D6">
        <w:rPr>
          <w:rFonts w:asciiTheme="minorHAnsi" w:eastAsia="Times New Roman" w:hAnsiTheme="minorHAnsi" w:cs="Arial"/>
          <w:bCs/>
        </w:rPr>
        <w:t xml:space="preserve">presented </w:t>
      </w:r>
      <w:r w:rsidRPr="005E43EF">
        <w:rPr>
          <w:rFonts w:asciiTheme="minorHAnsi" w:eastAsia="Times New Roman" w:hAnsiTheme="minorHAnsi" w:cs="Arial"/>
          <w:bCs/>
        </w:rPr>
        <w:t xml:space="preserve">to increase the mass limits for 2 axle buses, the trucking industry has every right to question why mass limits for trucks should not undergo the same review as buses have been afforded, given the superiority </w:t>
      </w:r>
      <w:r w:rsidR="000C2307">
        <w:rPr>
          <w:rFonts w:asciiTheme="minorHAnsi" w:eastAsia="Times New Roman" w:hAnsiTheme="minorHAnsi" w:cs="Arial"/>
          <w:bCs/>
        </w:rPr>
        <w:t xml:space="preserve">loading practices </w:t>
      </w:r>
      <w:r w:rsidRPr="005E43EF">
        <w:rPr>
          <w:rFonts w:asciiTheme="minorHAnsi" w:eastAsia="Times New Roman" w:hAnsiTheme="minorHAnsi" w:cs="Arial"/>
          <w:bCs/>
        </w:rPr>
        <w:t>of truck</w:t>
      </w:r>
      <w:r w:rsidR="000C2307">
        <w:rPr>
          <w:rFonts w:asciiTheme="minorHAnsi" w:eastAsia="Times New Roman" w:hAnsiTheme="minorHAnsi" w:cs="Arial"/>
          <w:bCs/>
        </w:rPr>
        <w:t xml:space="preserve">s compared </w:t>
      </w:r>
      <w:r w:rsidRPr="005E43EF">
        <w:rPr>
          <w:rFonts w:asciiTheme="minorHAnsi" w:eastAsia="Times New Roman" w:hAnsiTheme="minorHAnsi" w:cs="Arial"/>
          <w:bCs/>
        </w:rPr>
        <w:t xml:space="preserve">to bus loading and </w:t>
      </w:r>
      <w:r w:rsidR="000C2307">
        <w:rPr>
          <w:rFonts w:asciiTheme="minorHAnsi" w:eastAsia="Times New Roman" w:hAnsiTheme="minorHAnsi" w:cs="Arial"/>
          <w:bCs/>
        </w:rPr>
        <w:t xml:space="preserve">the </w:t>
      </w:r>
      <w:r w:rsidRPr="005E43EF">
        <w:rPr>
          <w:rFonts w:asciiTheme="minorHAnsi" w:eastAsia="Times New Roman" w:hAnsiTheme="minorHAnsi" w:cs="Arial"/>
          <w:bCs/>
        </w:rPr>
        <w:t xml:space="preserve">more accurate capture of </w:t>
      </w:r>
      <w:r w:rsidR="000C2307">
        <w:rPr>
          <w:rFonts w:asciiTheme="minorHAnsi" w:eastAsia="Times New Roman" w:hAnsiTheme="minorHAnsi" w:cs="Arial"/>
          <w:bCs/>
        </w:rPr>
        <w:t xml:space="preserve">truck </w:t>
      </w:r>
      <w:r w:rsidRPr="005E43EF">
        <w:rPr>
          <w:rFonts w:asciiTheme="minorHAnsi" w:eastAsia="Times New Roman" w:hAnsiTheme="minorHAnsi" w:cs="Arial"/>
          <w:bCs/>
        </w:rPr>
        <w:t xml:space="preserve">charges. </w:t>
      </w:r>
    </w:p>
    <w:p w:rsidR="00050AC8" w:rsidRPr="005E69BD" w:rsidRDefault="00050AC8" w:rsidP="00D92690">
      <w:pPr>
        <w:jc w:val="both"/>
        <w:rPr>
          <w:rFonts w:asciiTheme="minorHAnsi" w:hAnsiTheme="minorHAnsi"/>
          <w:b/>
          <w:sz w:val="24"/>
        </w:rPr>
      </w:pPr>
    </w:p>
    <w:p w:rsidR="00576ED0" w:rsidRPr="005E69BD" w:rsidRDefault="00576ED0" w:rsidP="00D92690">
      <w:pPr>
        <w:pStyle w:val="Heading1"/>
        <w:jc w:val="both"/>
        <w:rPr>
          <w:rFonts w:asciiTheme="minorHAnsi" w:hAnsiTheme="minorHAnsi"/>
          <w:sz w:val="32"/>
          <w:szCs w:val="22"/>
        </w:rPr>
      </w:pPr>
      <w:bookmarkStart w:id="1" w:name="_Toc382404392"/>
      <w:r w:rsidRPr="005E69BD">
        <w:rPr>
          <w:rFonts w:asciiTheme="minorHAnsi" w:hAnsiTheme="minorHAnsi"/>
          <w:sz w:val="32"/>
          <w:szCs w:val="22"/>
        </w:rPr>
        <w:t>Australian Trucking Association</w:t>
      </w:r>
      <w:bookmarkEnd w:id="1"/>
    </w:p>
    <w:p w:rsidR="004008C7" w:rsidRPr="00D92690" w:rsidRDefault="004008C7" w:rsidP="00D92690">
      <w:pPr>
        <w:pStyle w:val="BodyText2"/>
        <w:jc w:val="both"/>
        <w:rPr>
          <w:rFonts w:asciiTheme="minorHAnsi" w:hAnsiTheme="minorHAnsi"/>
          <w:b w:val="0"/>
          <w:szCs w:val="22"/>
        </w:rPr>
      </w:pPr>
    </w:p>
    <w:p w:rsidR="000D5E4E" w:rsidRPr="00D92690" w:rsidRDefault="004008C7" w:rsidP="00D92690">
      <w:pPr>
        <w:pStyle w:val="BodyText2"/>
        <w:jc w:val="both"/>
        <w:rPr>
          <w:rFonts w:asciiTheme="minorHAnsi" w:hAnsiTheme="minorHAnsi"/>
          <w:b w:val="0"/>
          <w:szCs w:val="22"/>
        </w:rPr>
      </w:pPr>
      <w:r w:rsidRPr="00D92690">
        <w:rPr>
          <w:rFonts w:asciiTheme="minorHAnsi" w:hAnsiTheme="minorHAnsi"/>
          <w:b w:val="0"/>
          <w:szCs w:val="22"/>
        </w:rPr>
        <w:t>The</w:t>
      </w:r>
      <w:r w:rsidR="001F7268" w:rsidRPr="00D92690">
        <w:rPr>
          <w:rFonts w:asciiTheme="minorHAnsi" w:hAnsiTheme="minorHAnsi"/>
          <w:b w:val="0"/>
          <w:szCs w:val="22"/>
        </w:rPr>
        <w:t xml:space="preserve"> ATA</w:t>
      </w:r>
      <w:r w:rsidRPr="00D92690">
        <w:rPr>
          <w:rFonts w:asciiTheme="minorHAnsi" w:hAnsiTheme="minorHAnsi"/>
          <w:b w:val="0"/>
          <w:szCs w:val="22"/>
        </w:rPr>
        <w:t xml:space="preserve"> is the peak body that represents the trucking industry. Its members include state and </w:t>
      </w:r>
      <w:r w:rsidR="002A243F" w:rsidRPr="00D92690">
        <w:rPr>
          <w:rFonts w:asciiTheme="minorHAnsi" w:hAnsiTheme="minorHAnsi"/>
          <w:b w:val="0"/>
          <w:szCs w:val="22"/>
        </w:rPr>
        <w:t>sector-</w:t>
      </w:r>
      <w:r w:rsidRPr="00D92690">
        <w:rPr>
          <w:rFonts w:asciiTheme="minorHAnsi" w:hAnsiTheme="minorHAnsi"/>
          <w:b w:val="0"/>
          <w:szCs w:val="22"/>
        </w:rPr>
        <w:t>based trucking associations, some of the nation’s largest transport companies, and businesses with leading expertise in truck technology.</w:t>
      </w:r>
      <w:r w:rsidR="00A047CA" w:rsidRPr="00D92690">
        <w:rPr>
          <w:rFonts w:asciiTheme="minorHAnsi" w:hAnsiTheme="minorHAnsi"/>
          <w:b w:val="0"/>
          <w:szCs w:val="22"/>
        </w:rPr>
        <w:t xml:space="preserve"> </w:t>
      </w:r>
    </w:p>
    <w:p w:rsidR="000D5E4E" w:rsidRPr="00D92690" w:rsidRDefault="000D5E4E" w:rsidP="00D92690">
      <w:pPr>
        <w:jc w:val="both"/>
        <w:rPr>
          <w:rFonts w:asciiTheme="minorHAnsi" w:eastAsia="Times New Roman" w:hAnsiTheme="minorHAnsi" w:cs="Arial"/>
          <w:bCs/>
        </w:rPr>
      </w:pPr>
    </w:p>
    <w:p w:rsidR="00CB4D57" w:rsidRPr="005E69BD" w:rsidRDefault="00A023EA" w:rsidP="00CB4D57">
      <w:pPr>
        <w:pStyle w:val="Heading1"/>
        <w:jc w:val="both"/>
        <w:rPr>
          <w:rFonts w:asciiTheme="minorHAnsi" w:hAnsiTheme="minorHAnsi"/>
          <w:sz w:val="32"/>
          <w:szCs w:val="22"/>
        </w:rPr>
      </w:pPr>
      <w:bookmarkStart w:id="2" w:name="_Toc382404393"/>
      <w:r w:rsidRPr="005E69BD">
        <w:rPr>
          <w:rFonts w:asciiTheme="minorHAnsi" w:hAnsiTheme="minorHAnsi"/>
          <w:sz w:val="32"/>
          <w:szCs w:val="22"/>
        </w:rPr>
        <w:t>Recommendation</w:t>
      </w:r>
      <w:bookmarkEnd w:id="2"/>
    </w:p>
    <w:p w:rsidR="00770FEB" w:rsidRDefault="00770FEB" w:rsidP="00770FEB"/>
    <w:p w:rsidR="00C40051" w:rsidRPr="002A5E43" w:rsidRDefault="00C40051" w:rsidP="00C40051">
      <w:pPr>
        <w:rPr>
          <w:b/>
        </w:rPr>
      </w:pPr>
      <w:r w:rsidRPr="002A5E43">
        <w:rPr>
          <w:b/>
        </w:rPr>
        <w:t>Recommendation</w:t>
      </w:r>
    </w:p>
    <w:p w:rsidR="00C40051" w:rsidRDefault="00C40051" w:rsidP="00C40051"/>
    <w:p w:rsidR="00C40051" w:rsidRPr="00D92690" w:rsidRDefault="00C40051" w:rsidP="00C40051">
      <w:r>
        <w:t xml:space="preserve">The NTC should extend the discussion around increasing two axle bus mass limits to a wider conversation on increasing steer axle mass on wide tyres </w:t>
      </w:r>
      <w:r w:rsidRPr="00C40051">
        <w:t>and for ultra-wide single tyres as</w:t>
      </w:r>
      <w:r>
        <w:t xml:space="preserve"> a</w:t>
      </w:r>
      <w:r w:rsidRPr="00C40051">
        <w:t xml:space="preserve"> replacement for dual tyres</w:t>
      </w:r>
      <w:r>
        <w:t xml:space="preserve"> . </w:t>
      </w:r>
    </w:p>
    <w:p w:rsidR="009D5A21" w:rsidRDefault="009D5A21" w:rsidP="00D92690"/>
    <w:p w:rsidR="009D5A21" w:rsidRPr="005E69BD" w:rsidRDefault="009D5A21" w:rsidP="00770FEB">
      <w:pPr>
        <w:pStyle w:val="Heading1"/>
        <w:jc w:val="both"/>
        <w:rPr>
          <w:rFonts w:asciiTheme="minorHAnsi" w:hAnsiTheme="minorHAnsi"/>
          <w:sz w:val="32"/>
          <w:szCs w:val="22"/>
        </w:rPr>
      </w:pPr>
      <w:bookmarkStart w:id="3" w:name="_Toc382404394"/>
      <w:r w:rsidRPr="005E69BD">
        <w:rPr>
          <w:rFonts w:asciiTheme="minorHAnsi" w:hAnsiTheme="minorHAnsi"/>
          <w:sz w:val="32"/>
          <w:szCs w:val="22"/>
        </w:rPr>
        <w:t>Options</w:t>
      </w:r>
      <w:bookmarkEnd w:id="3"/>
    </w:p>
    <w:p w:rsidR="009D5A21" w:rsidRPr="00CD1FE1" w:rsidRDefault="009D5A21" w:rsidP="009D5A21">
      <w:pPr>
        <w:pStyle w:val="ATAHeading2"/>
        <w:numPr>
          <w:ilvl w:val="0"/>
          <w:numId w:val="0"/>
        </w:numPr>
        <w:spacing w:before="0" w:after="0" w:line="240" w:lineRule="auto"/>
        <w:jc w:val="both"/>
        <w:rPr>
          <w:rFonts w:asciiTheme="minorHAnsi" w:eastAsia="Times New Roman" w:hAnsiTheme="minorHAnsi"/>
          <w:b w:val="0"/>
          <w:bCs/>
          <w:color w:val="auto"/>
          <w:sz w:val="21"/>
          <w:szCs w:val="21"/>
          <w:lang w:eastAsia="en-AU"/>
        </w:rPr>
      </w:pPr>
    </w:p>
    <w:p w:rsidR="009D5A21" w:rsidRPr="00354D3F" w:rsidRDefault="009D5A21" w:rsidP="00354D3F">
      <w:pPr>
        <w:rPr>
          <w:rFonts w:asciiTheme="minorHAnsi" w:eastAsia="Times New Roman" w:hAnsiTheme="minorHAnsi" w:cs="Arial"/>
          <w:bCs/>
        </w:rPr>
      </w:pPr>
      <w:r w:rsidRPr="00354D3F">
        <w:rPr>
          <w:rFonts w:asciiTheme="minorHAnsi" w:eastAsia="Times New Roman" w:hAnsiTheme="minorHAnsi" w:cs="Arial"/>
          <w:bCs/>
        </w:rPr>
        <w:t xml:space="preserve">While </w:t>
      </w:r>
      <w:r w:rsidR="00EB1CDF">
        <w:rPr>
          <w:rFonts w:asciiTheme="minorHAnsi" w:eastAsia="Times New Roman" w:hAnsiTheme="minorHAnsi" w:cs="Arial"/>
          <w:bCs/>
        </w:rPr>
        <w:t xml:space="preserve">the NTC options </w:t>
      </w:r>
      <w:r w:rsidRPr="00354D3F">
        <w:rPr>
          <w:rFonts w:asciiTheme="minorHAnsi" w:eastAsia="Times New Roman" w:hAnsiTheme="minorHAnsi" w:cs="Arial"/>
          <w:bCs/>
        </w:rPr>
        <w:t>provide some way forward on the issue</w:t>
      </w:r>
      <w:r w:rsidR="00EB1CDF">
        <w:rPr>
          <w:rFonts w:asciiTheme="minorHAnsi" w:eastAsia="Times New Roman" w:hAnsiTheme="minorHAnsi" w:cs="Arial"/>
          <w:bCs/>
        </w:rPr>
        <w:t xml:space="preserve"> of bus axle overloading</w:t>
      </w:r>
      <w:r w:rsidRPr="00354D3F">
        <w:rPr>
          <w:rFonts w:asciiTheme="minorHAnsi" w:eastAsia="Times New Roman" w:hAnsiTheme="minorHAnsi" w:cs="Arial"/>
          <w:bCs/>
        </w:rPr>
        <w:t xml:space="preserve">, there are </w:t>
      </w:r>
      <w:r w:rsidR="00856780" w:rsidRPr="00354D3F">
        <w:rPr>
          <w:rFonts w:asciiTheme="minorHAnsi" w:eastAsia="Times New Roman" w:hAnsiTheme="minorHAnsi" w:cs="Arial"/>
          <w:bCs/>
        </w:rPr>
        <w:t>other possibilities</w:t>
      </w:r>
      <w:r w:rsidRPr="00354D3F">
        <w:rPr>
          <w:rFonts w:asciiTheme="minorHAnsi" w:eastAsia="Times New Roman" w:hAnsiTheme="minorHAnsi" w:cs="Arial"/>
          <w:bCs/>
        </w:rPr>
        <w:t xml:space="preserve"> that should be proposed for </w:t>
      </w:r>
      <w:r w:rsidR="002249C6">
        <w:rPr>
          <w:rFonts w:asciiTheme="minorHAnsi" w:eastAsia="Times New Roman" w:hAnsiTheme="minorHAnsi" w:cs="Arial"/>
          <w:bCs/>
        </w:rPr>
        <w:t xml:space="preserve">NTC </w:t>
      </w:r>
      <w:r w:rsidRPr="00354D3F">
        <w:rPr>
          <w:rFonts w:asciiTheme="minorHAnsi" w:eastAsia="Times New Roman" w:hAnsiTheme="minorHAnsi" w:cs="Arial"/>
          <w:bCs/>
        </w:rPr>
        <w:t>consideration</w:t>
      </w:r>
      <w:r w:rsidR="00856780" w:rsidRPr="00354D3F">
        <w:rPr>
          <w:rFonts w:asciiTheme="minorHAnsi" w:eastAsia="Times New Roman" w:hAnsiTheme="minorHAnsi" w:cs="Arial"/>
          <w:bCs/>
        </w:rPr>
        <w:t xml:space="preserve"> including</w:t>
      </w:r>
      <w:r w:rsidRPr="00354D3F">
        <w:rPr>
          <w:rFonts w:asciiTheme="minorHAnsi" w:eastAsia="Times New Roman" w:hAnsiTheme="minorHAnsi" w:cs="Arial"/>
          <w:bCs/>
        </w:rPr>
        <w:t xml:space="preserve">: </w:t>
      </w:r>
    </w:p>
    <w:p w:rsidR="009D5A21" w:rsidRPr="00354D3F" w:rsidRDefault="009D5A21" w:rsidP="00354D3F">
      <w:pPr>
        <w:pStyle w:val="ListParagraph"/>
        <w:numPr>
          <w:ilvl w:val="0"/>
          <w:numId w:val="28"/>
        </w:numPr>
        <w:rPr>
          <w:rFonts w:asciiTheme="minorHAnsi" w:eastAsia="Times New Roman" w:hAnsiTheme="minorHAnsi" w:cs="Arial"/>
          <w:bCs/>
        </w:rPr>
      </w:pPr>
      <w:r w:rsidRPr="00354D3F">
        <w:rPr>
          <w:rFonts w:asciiTheme="minorHAnsi" w:eastAsia="Times New Roman" w:hAnsiTheme="minorHAnsi" w:cs="Arial"/>
          <w:bCs/>
        </w:rPr>
        <w:t>Revising passenger weights</w:t>
      </w:r>
      <w:r w:rsidR="00EB1CDF">
        <w:rPr>
          <w:rFonts w:asciiTheme="minorHAnsi" w:eastAsia="Times New Roman" w:hAnsiTheme="minorHAnsi" w:cs="Arial"/>
          <w:bCs/>
        </w:rPr>
        <w:t>,</w:t>
      </w:r>
      <w:r w:rsidRPr="00354D3F">
        <w:rPr>
          <w:rFonts w:asciiTheme="minorHAnsi" w:eastAsia="Times New Roman" w:hAnsiTheme="minorHAnsi" w:cs="Arial"/>
          <w:bCs/>
        </w:rPr>
        <w:t xml:space="preserve"> </w:t>
      </w:r>
    </w:p>
    <w:p w:rsidR="009D5A21" w:rsidRPr="00354D3F" w:rsidRDefault="00EB1CDF" w:rsidP="00354D3F">
      <w:pPr>
        <w:pStyle w:val="ListParagraph"/>
        <w:numPr>
          <w:ilvl w:val="0"/>
          <w:numId w:val="28"/>
        </w:numPr>
        <w:rPr>
          <w:rFonts w:asciiTheme="minorHAnsi" w:eastAsia="Times New Roman" w:hAnsiTheme="minorHAnsi" w:cs="Arial"/>
          <w:bCs/>
        </w:rPr>
      </w:pPr>
      <w:r>
        <w:rPr>
          <w:rFonts w:asciiTheme="minorHAnsi" w:eastAsia="Times New Roman" w:hAnsiTheme="minorHAnsi" w:cs="Arial"/>
          <w:bCs/>
        </w:rPr>
        <w:t>l</w:t>
      </w:r>
      <w:r w:rsidR="009D5A21" w:rsidRPr="00354D3F">
        <w:rPr>
          <w:rFonts w:asciiTheme="minorHAnsi" w:eastAsia="Times New Roman" w:hAnsiTheme="minorHAnsi" w:cs="Arial"/>
          <w:bCs/>
        </w:rPr>
        <w:t>imit</w:t>
      </w:r>
      <w:r w:rsidR="002249C6">
        <w:rPr>
          <w:rFonts w:asciiTheme="minorHAnsi" w:eastAsia="Times New Roman" w:hAnsiTheme="minorHAnsi" w:cs="Arial"/>
          <w:bCs/>
        </w:rPr>
        <w:t>ing</w:t>
      </w:r>
      <w:r w:rsidR="009D5A21" w:rsidRPr="00354D3F">
        <w:rPr>
          <w:rFonts w:asciiTheme="minorHAnsi" w:eastAsia="Times New Roman" w:hAnsiTheme="minorHAnsi" w:cs="Arial"/>
          <w:bCs/>
        </w:rPr>
        <w:t xml:space="preserve"> passenger numbers (seated and standing) based on GVM and tare weights</w:t>
      </w:r>
      <w:r>
        <w:rPr>
          <w:rFonts w:asciiTheme="minorHAnsi" w:eastAsia="Times New Roman" w:hAnsiTheme="minorHAnsi" w:cs="Arial"/>
          <w:bCs/>
        </w:rPr>
        <w:t>,</w:t>
      </w:r>
    </w:p>
    <w:p w:rsidR="009D5A21" w:rsidRPr="00354D3F" w:rsidRDefault="00EB1CDF" w:rsidP="00354D3F">
      <w:pPr>
        <w:pStyle w:val="ListParagraph"/>
        <w:numPr>
          <w:ilvl w:val="0"/>
          <w:numId w:val="28"/>
        </w:numPr>
        <w:rPr>
          <w:rFonts w:asciiTheme="minorHAnsi" w:eastAsia="Times New Roman" w:hAnsiTheme="minorHAnsi" w:cs="Arial"/>
          <w:bCs/>
        </w:rPr>
      </w:pPr>
      <w:proofErr w:type="gramStart"/>
      <w:r>
        <w:rPr>
          <w:rFonts w:asciiTheme="minorHAnsi" w:eastAsia="Times New Roman" w:hAnsiTheme="minorHAnsi" w:cs="Arial"/>
          <w:bCs/>
        </w:rPr>
        <w:t>m</w:t>
      </w:r>
      <w:r w:rsidR="009D5A21" w:rsidRPr="00354D3F">
        <w:rPr>
          <w:rFonts w:asciiTheme="minorHAnsi" w:eastAsia="Times New Roman" w:hAnsiTheme="minorHAnsi" w:cs="Arial"/>
          <w:bCs/>
        </w:rPr>
        <w:t>onitoring</w:t>
      </w:r>
      <w:proofErr w:type="gramEnd"/>
      <w:r w:rsidR="009D5A21" w:rsidRPr="00354D3F">
        <w:rPr>
          <w:rFonts w:asciiTheme="minorHAnsi" w:eastAsia="Times New Roman" w:hAnsiTheme="minorHAnsi" w:cs="Arial"/>
          <w:bCs/>
        </w:rPr>
        <w:t xml:space="preserve"> buses via IAP</w:t>
      </w:r>
      <w:r w:rsidR="002249C6">
        <w:rPr>
          <w:rFonts w:asciiTheme="minorHAnsi" w:eastAsia="Times New Roman" w:hAnsiTheme="minorHAnsi" w:cs="Arial"/>
          <w:bCs/>
        </w:rPr>
        <w:t>. W</w:t>
      </w:r>
      <w:r w:rsidR="000C2307">
        <w:rPr>
          <w:rFonts w:asciiTheme="minorHAnsi" w:eastAsia="Times New Roman" w:hAnsiTheme="minorHAnsi" w:cs="Arial"/>
          <w:bCs/>
        </w:rPr>
        <w:t xml:space="preserve">e note this onerous obligation is imposed in some states for heavy vehicles with zero pavement impacts and </w:t>
      </w:r>
      <w:r w:rsidR="002249C6">
        <w:rPr>
          <w:rFonts w:asciiTheme="minorHAnsi" w:eastAsia="Times New Roman" w:hAnsiTheme="minorHAnsi" w:cs="Arial"/>
          <w:bCs/>
        </w:rPr>
        <w:t xml:space="preserve">yet </w:t>
      </w:r>
      <w:r w:rsidR="000C2307">
        <w:rPr>
          <w:rFonts w:asciiTheme="minorHAnsi" w:eastAsia="Times New Roman" w:hAnsiTheme="minorHAnsi" w:cs="Arial"/>
          <w:bCs/>
        </w:rPr>
        <w:t>here we have</w:t>
      </w:r>
      <w:r w:rsidR="002249C6">
        <w:rPr>
          <w:rFonts w:asciiTheme="minorHAnsi" w:eastAsia="Times New Roman" w:hAnsiTheme="minorHAnsi" w:cs="Arial"/>
          <w:bCs/>
        </w:rPr>
        <w:t xml:space="preserve"> suggested</w:t>
      </w:r>
      <w:r w:rsidR="000C2307">
        <w:rPr>
          <w:rFonts w:asciiTheme="minorHAnsi" w:eastAsia="Times New Roman" w:hAnsiTheme="minorHAnsi" w:cs="Arial"/>
          <w:bCs/>
        </w:rPr>
        <w:t xml:space="preserve"> impacts wel</w:t>
      </w:r>
      <w:r>
        <w:rPr>
          <w:rFonts w:asciiTheme="minorHAnsi" w:eastAsia="Times New Roman" w:hAnsiTheme="minorHAnsi" w:cs="Arial"/>
          <w:bCs/>
        </w:rPr>
        <w:t>l above that allowed for trucks,</w:t>
      </w:r>
      <w:r w:rsidR="000C2307">
        <w:rPr>
          <w:rFonts w:asciiTheme="minorHAnsi" w:eastAsia="Times New Roman" w:hAnsiTheme="minorHAnsi" w:cs="Arial"/>
          <w:bCs/>
        </w:rPr>
        <w:t xml:space="preserve"> </w:t>
      </w:r>
    </w:p>
    <w:p w:rsidR="009D5A21" w:rsidRPr="009B5DFB" w:rsidRDefault="00EB1CDF" w:rsidP="009B5DFB">
      <w:pPr>
        <w:pStyle w:val="ListParagraph"/>
        <w:numPr>
          <w:ilvl w:val="0"/>
          <w:numId w:val="28"/>
        </w:numPr>
        <w:rPr>
          <w:rFonts w:asciiTheme="minorHAnsi" w:eastAsia="Times New Roman" w:hAnsiTheme="minorHAnsi" w:cs="Arial"/>
          <w:bCs/>
        </w:rPr>
      </w:pPr>
      <w:proofErr w:type="gramStart"/>
      <w:r>
        <w:rPr>
          <w:rFonts w:asciiTheme="minorHAnsi" w:eastAsia="Times New Roman" w:hAnsiTheme="minorHAnsi" w:cs="Arial"/>
          <w:bCs/>
        </w:rPr>
        <w:t>p</w:t>
      </w:r>
      <w:r w:rsidR="009D5A21" w:rsidRPr="00354D3F">
        <w:rPr>
          <w:rFonts w:asciiTheme="minorHAnsi" w:eastAsia="Times New Roman" w:hAnsiTheme="minorHAnsi" w:cs="Arial"/>
          <w:bCs/>
        </w:rPr>
        <w:t>rovid</w:t>
      </w:r>
      <w:r w:rsidR="002249C6">
        <w:rPr>
          <w:rFonts w:asciiTheme="minorHAnsi" w:eastAsia="Times New Roman" w:hAnsiTheme="minorHAnsi" w:cs="Arial"/>
          <w:bCs/>
        </w:rPr>
        <w:t>ing</w:t>
      </w:r>
      <w:proofErr w:type="gramEnd"/>
      <w:r w:rsidR="009D5A21" w:rsidRPr="00354D3F">
        <w:rPr>
          <w:rFonts w:asciiTheme="minorHAnsi" w:eastAsia="Times New Roman" w:hAnsiTheme="minorHAnsi" w:cs="Arial"/>
          <w:bCs/>
        </w:rPr>
        <w:t xml:space="preserve"> buses with an additional axle (which could be self</w:t>
      </w:r>
      <w:r w:rsidR="002249C6">
        <w:rPr>
          <w:rFonts w:asciiTheme="minorHAnsi" w:eastAsia="Times New Roman" w:hAnsiTheme="minorHAnsi" w:cs="Arial"/>
          <w:bCs/>
        </w:rPr>
        <w:t>-</w:t>
      </w:r>
      <w:r w:rsidR="009D5A21" w:rsidRPr="00354D3F">
        <w:rPr>
          <w:rFonts w:asciiTheme="minorHAnsi" w:eastAsia="Times New Roman" w:hAnsiTheme="minorHAnsi" w:cs="Arial"/>
          <w:bCs/>
        </w:rPr>
        <w:t>steer)</w:t>
      </w:r>
      <w:r>
        <w:rPr>
          <w:rFonts w:asciiTheme="minorHAnsi" w:eastAsia="Times New Roman" w:hAnsiTheme="minorHAnsi" w:cs="Arial"/>
          <w:bCs/>
        </w:rPr>
        <w:t>.</w:t>
      </w:r>
    </w:p>
    <w:p w:rsidR="009D5A21" w:rsidRPr="005E69BD" w:rsidRDefault="009D5A21" w:rsidP="00770FEB">
      <w:pPr>
        <w:pStyle w:val="Heading1"/>
        <w:jc w:val="both"/>
        <w:rPr>
          <w:rFonts w:asciiTheme="minorHAnsi" w:hAnsiTheme="minorHAnsi"/>
          <w:sz w:val="32"/>
          <w:szCs w:val="22"/>
        </w:rPr>
      </w:pPr>
      <w:bookmarkStart w:id="4" w:name="_Toc382404395"/>
      <w:r w:rsidRPr="005E69BD">
        <w:rPr>
          <w:rFonts w:asciiTheme="minorHAnsi" w:hAnsiTheme="minorHAnsi"/>
          <w:sz w:val="32"/>
          <w:szCs w:val="22"/>
        </w:rPr>
        <w:t>Legal requirements</w:t>
      </w:r>
      <w:bookmarkEnd w:id="4"/>
    </w:p>
    <w:p w:rsidR="009D5A21" w:rsidRDefault="009D5A21" w:rsidP="009D5A21">
      <w:pPr>
        <w:pStyle w:val="ATAHeading2"/>
        <w:numPr>
          <w:ilvl w:val="0"/>
          <w:numId w:val="0"/>
        </w:numPr>
        <w:spacing w:before="0" w:after="0" w:line="240" w:lineRule="auto"/>
        <w:jc w:val="both"/>
        <w:rPr>
          <w:rFonts w:asciiTheme="minorHAnsi" w:eastAsia="Times New Roman" w:hAnsiTheme="minorHAnsi"/>
          <w:b w:val="0"/>
          <w:bCs/>
          <w:color w:val="auto"/>
          <w:sz w:val="21"/>
          <w:szCs w:val="21"/>
          <w:lang w:eastAsia="en-AU"/>
        </w:rPr>
      </w:pPr>
    </w:p>
    <w:p w:rsidR="009D5A21" w:rsidRPr="00354D3F" w:rsidRDefault="009D5A21" w:rsidP="009D5A21">
      <w:pPr>
        <w:pStyle w:val="ATAHeading2"/>
        <w:numPr>
          <w:ilvl w:val="0"/>
          <w:numId w:val="0"/>
        </w:numPr>
        <w:spacing w:before="0" w:after="0" w:line="240" w:lineRule="auto"/>
        <w:jc w:val="both"/>
        <w:rPr>
          <w:rFonts w:asciiTheme="minorHAnsi" w:eastAsia="Times New Roman" w:hAnsiTheme="minorHAnsi"/>
          <w:b w:val="0"/>
          <w:bCs/>
          <w:color w:val="auto"/>
          <w:sz w:val="22"/>
          <w:szCs w:val="22"/>
        </w:rPr>
      </w:pPr>
      <w:bookmarkStart w:id="5" w:name="_Toc382403935"/>
      <w:bookmarkStart w:id="6" w:name="_Toc382404396"/>
      <w:r w:rsidRPr="00354D3F">
        <w:rPr>
          <w:rFonts w:asciiTheme="minorHAnsi" w:eastAsia="Times New Roman" w:hAnsiTheme="minorHAnsi"/>
          <w:b w:val="0"/>
          <w:bCs/>
          <w:color w:val="auto"/>
          <w:sz w:val="22"/>
          <w:szCs w:val="22"/>
        </w:rPr>
        <w:t>If the NTC does endorse increasing mass limits for two axle buses, industry will expect to see how current notices ensure that buse</w:t>
      </w:r>
      <w:r w:rsidR="0018181C">
        <w:rPr>
          <w:rFonts w:asciiTheme="minorHAnsi" w:eastAsia="Times New Roman" w:hAnsiTheme="minorHAnsi"/>
          <w:b w:val="0"/>
          <w:bCs/>
          <w:color w:val="auto"/>
          <w:sz w:val="22"/>
          <w:szCs w:val="22"/>
        </w:rPr>
        <w:t>s being afforded these increased</w:t>
      </w:r>
      <w:r w:rsidRPr="00354D3F">
        <w:rPr>
          <w:rFonts w:asciiTheme="minorHAnsi" w:eastAsia="Times New Roman" w:hAnsiTheme="minorHAnsi"/>
          <w:b w:val="0"/>
          <w:bCs/>
          <w:color w:val="auto"/>
          <w:sz w:val="22"/>
          <w:szCs w:val="22"/>
        </w:rPr>
        <w:t xml:space="preserve"> axle limit benefits are </w:t>
      </w:r>
      <w:r w:rsidR="000C2307">
        <w:rPr>
          <w:rFonts w:asciiTheme="minorHAnsi" w:eastAsia="Times New Roman" w:hAnsiTheme="minorHAnsi"/>
          <w:b w:val="0"/>
          <w:bCs/>
          <w:color w:val="auto"/>
          <w:sz w:val="22"/>
          <w:szCs w:val="22"/>
        </w:rPr>
        <w:t xml:space="preserve">suitable and </w:t>
      </w:r>
      <w:r w:rsidR="002249C6">
        <w:rPr>
          <w:rFonts w:asciiTheme="minorHAnsi" w:eastAsia="Times New Roman" w:hAnsiTheme="minorHAnsi"/>
          <w:b w:val="0"/>
          <w:bCs/>
          <w:color w:val="auto"/>
          <w:sz w:val="22"/>
          <w:szCs w:val="22"/>
        </w:rPr>
        <w:t xml:space="preserve">possess </w:t>
      </w:r>
      <w:r w:rsidR="000C2307">
        <w:rPr>
          <w:rFonts w:asciiTheme="minorHAnsi" w:eastAsia="Times New Roman" w:hAnsiTheme="minorHAnsi"/>
          <w:b w:val="0"/>
          <w:bCs/>
          <w:color w:val="auto"/>
          <w:sz w:val="22"/>
          <w:szCs w:val="22"/>
        </w:rPr>
        <w:t xml:space="preserve">axle and other equipment of adequate </w:t>
      </w:r>
      <w:r w:rsidRPr="00354D3F">
        <w:rPr>
          <w:rFonts w:asciiTheme="minorHAnsi" w:eastAsia="Times New Roman" w:hAnsiTheme="minorHAnsi"/>
          <w:b w:val="0"/>
          <w:bCs/>
          <w:color w:val="auto"/>
          <w:sz w:val="22"/>
          <w:szCs w:val="22"/>
        </w:rPr>
        <w:t>specifications (axle limits an</w:t>
      </w:r>
      <w:r w:rsidR="0018181C">
        <w:rPr>
          <w:rFonts w:asciiTheme="minorHAnsi" w:eastAsia="Times New Roman" w:hAnsiTheme="minorHAnsi"/>
          <w:b w:val="0"/>
          <w:bCs/>
          <w:color w:val="auto"/>
          <w:sz w:val="22"/>
          <w:szCs w:val="22"/>
        </w:rPr>
        <w:t>d braking compliance at higher gross vehicle mass)</w:t>
      </w:r>
      <w:r w:rsidRPr="00354D3F">
        <w:rPr>
          <w:rFonts w:asciiTheme="minorHAnsi" w:eastAsia="Times New Roman" w:hAnsiTheme="minorHAnsi"/>
          <w:b w:val="0"/>
          <w:bCs/>
          <w:color w:val="auto"/>
          <w:sz w:val="22"/>
          <w:szCs w:val="22"/>
        </w:rPr>
        <w:t>.</w:t>
      </w:r>
      <w:bookmarkEnd w:id="5"/>
      <w:bookmarkEnd w:id="6"/>
    </w:p>
    <w:p w:rsidR="009D5A21" w:rsidRPr="00354D3F" w:rsidRDefault="009D5A21" w:rsidP="009D5A21">
      <w:pPr>
        <w:pStyle w:val="ATAHeading2"/>
        <w:numPr>
          <w:ilvl w:val="0"/>
          <w:numId w:val="0"/>
        </w:numPr>
        <w:spacing w:before="0" w:after="0" w:line="240" w:lineRule="auto"/>
        <w:jc w:val="both"/>
        <w:rPr>
          <w:rFonts w:asciiTheme="minorHAnsi" w:eastAsia="Times New Roman" w:hAnsiTheme="minorHAnsi"/>
          <w:b w:val="0"/>
          <w:bCs/>
          <w:color w:val="auto"/>
          <w:sz w:val="22"/>
          <w:szCs w:val="22"/>
        </w:rPr>
      </w:pPr>
    </w:p>
    <w:p w:rsidR="009D5A21" w:rsidRPr="00354D3F" w:rsidRDefault="009D5A21" w:rsidP="009D5A21">
      <w:pPr>
        <w:pStyle w:val="ATAHeading2"/>
        <w:numPr>
          <w:ilvl w:val="0"/>
          <w:numId w:val="0"/>
        </w:numPr>
        <w:spacing w:before="0" w:after="0" w:line="240" w:lineRule="auto"/>
        <w:jc w:val="both"/>
        <w:rPr>
          <w:rFonts w:asciiTheme="minorHAnsi" w:eastAsia="Times New Roman" w:hAnsiTheme="minorHAnsi"/>
          <w:b w:val="0"/>
          <w:bCs/>
          <w:color w:val="auto"/>
          <w:sz w:val="22"/>
          <w:szCs w:val="22"/>
        </w:rPr>
      </w:pPr>
      <w:bookmarkStart w:id="7" w:name="_Toc382403936"/>
      <w:bookmarkStart w:id="8" w:name="_Toc382404397"/>
      <w:r w:rsidRPr="00354D3F">
        <w:rPr>
          <w:rFonts w:asciiTheme="minorHAnsi" w:eastAsia="Times New Roman" w:hAnsiTheme="minorHAnsi"/>
          <w:b w:val="0"/>
          <w:bCs/>
          <w:color w:val="auto"/>
          <w:sz w:val="22"/>
          <w:szCs w:val="22"/>
        </w:rPr>
        <w:t xml:space="preserve">The </w:t>
      </w:r>
      <w:r w:rsidR="002249C6">
        <w:rPr>
          <w:rFonts w:asciiTheme="minorHAnsi" w:eastAsia="Times New Roman" w:hAnsiTheme="minorHAnsi"/>
          <w:b w:val="0"/>
          <w:bCs/>
          <w:color w:val="auto"/>
          <w:sz w:val="22"/>
          <w:szCs w:val="22"/>
        </w:rPr>
        <w:t xml:space="preserve">apparent </w:t>
      </w:r>
      <w:r w:rsidRPr="00354D3F">
        <w:rPr>
          <w:rFonts w:asciiTheme="minorHAnsi" w:eastAsia="Times New Roman" w:hAnsiTheme="minorHAnsi"/>
          <w:b w:val="0"/>
          <w:bCs/>
          <w:color w:val="auto"/>
          <w:sz w:val="22"/>
          <w:szCs w:val="22"/>
        </w:rPr>
        <w:t xml:space="preserve">relaxed attitude to </w:t>
      </w:r>
      <w:r w:rsidR="002249C6">
        <w:rPr>
          <w:rFonts w:asciiTheme="minorHAnsi" w:eastAsia="Times New Roman" w:hAnsiTheme="minorHAnsi"/>
          <w:b w:val="0"/>
          <w:bCs/>
          <w:color w:val="auto"/>
          <w:sz w:val="22"/>
          <w:szCs w:val="22"/>
        </w:rPr>
        <w:t xml:space="preserve">the issue of </w:t>
      </w:r>
      <w:r w:rsidRPr="00354D3F">
        <w:rPr>
          <w:rFonts w:asciiTheme="minorHAnsi" w:eastAsia="Times New Roman" w:hAnsiTheme="minorHAnsi"/>
          <w:b w:val="0"/>
          <w:bCs/>
          <w:color w:val="auto"/>
          <w:sz w:val="22"/>
          <w:szCs w:val="22"/>
        </w:rPr>
        <w:t xml:space="preserve">overloading on </w:t>
      </w:r>
      <w:r w:rsidR="002249C6">
        <w:rPr>
          <w:rFonts w:asciiTheme="minorHAnsi" w:eastAsia="Times New Roman" w:hAnsiTheme="minorHAnsi"/>
          <w:b w:val="0"/>
          <w:bCs/>
          <w:color w:val="auto"/>
          <w:sz w:val="22"/>
          <w:szCs w:val="22"/>
        </w:rPr>
        <w:t xml:space="preserve">heavy vehicles such as </w:t>
      </w:r>
      <w:r w:rsidRPr="00354D3F">
        <w:rPr>
          <w:rFonts w:asciiTheme="minorHAnsi" w:eastAsia="Times New Roman" w:hAnsiTheme="minorHAnsi"/>
          <w:b w:val="0"/>
          <w:bCs/>
          <w:color w:val="auto"/>
          <w:sz w:val="22"/>
          <w:szCs w:val="22"/>
        </w:rPr>
        <w:t>buses is worrying. Legal loading requirements are implemented for safety</w:t>
      </w:r>
      <w:r w:rsidR="002249C6">
        <w:rPr>
          <w:rFonts w:asciiTheme="minorHAnsi" w:eastAsia="Times New Roman" w:hAnsiTheme="minorHAnsi"/>
          <w:b w:val="0"/>
          <w:bCs/>
          <w:color w:val="auto"/>
          <w:sz w:val="22"/>
          <w:szCs w:val="22"/>
        </w:rPr>
        <w:t xml:space="preserve"> reasons</w:t>
      </w:r>
      <w:r w:rsidRPr="00354D3F">
        <w:rPr>
          <w:rFonts w:asciiTheme="minorHAnsi" w:eastAsia="Times New Roman" w:hAnsiTheme="minorHAnsi"/>
          <w:b w:val="0"/>
          <w:bCs/>
          <w:color w:val="auto"/>
          <w:sz w:val="22"/>
          <w:szCs w:val="22"/>
        </w:rPr>
        <w:t xml:space="preserve"> and the NTC</w:t>
      </w:r>
      <w:r w:rsidR="002249C6">
        <w:rPr>
          <w:rFonts w:asciiTheme="minorHAnsi" w:eastAsia="Times New Roman" w:hAnsiTheme="minorHAnsi"/>
          <w:b w:val="0"/>
          <w:bCs/>
          <w:color w:val="auto"/>
          <w:sz w:val="22"/>
          <w:szCs w:val="22"/>
        </w:rPr>
        <w:t>’s</w:t>
      </w:r>
      <w:r w:rsidRPr="00354D3F">
        <w:rPr>
          <w:rFonts w:asciiTheme="minorHAnsi" w:eastAsia="Times New Roman" w:hAnsiTheme="minorHAnsi"/>
          <w:b w:val="0"/>
          <w:bCs/>
          <w:color w:val="auto"/>
          <w:sz w:val="22"/>
          <w:szCs w:val="22"/>
        </w:rPr>
        <w:t xml:space="preserve"> </w:t>
      </w:r>
      <w:r w:rsidR="002249C6">
        <w:rPr>
          <w:rFonts w:asciiTheme="minorHAnsi" w:eastAsia="Times New Roman" w:hAnsiTheme="minorHAnsi"/>
          <w:b w:val="0"/>
          <w:bCs/>
          <w:color w:val="auto"/>
          <w:sz w:val="22"/>
          <w:szCs w:val="22"/>
        </w:rPr>
        <w:t>perspective and the</w:t>
      </w:r>
      <w:r w:rsidR="002249C6" w:rsidRPr="00354D3F">
        <w:rPr>
          <w:rFonts w:asciiTheme="minorHAnsi" w:eastAsia="Times New Roman" w:hAnsiTheme="minorHAnsi"/>
          <w:b w:val="0"/>
          <w:bCs/>
          <w:color w:val="auto"/>
          <w:sz w:val="22"/>
          <w:szCs w:val="22"/>
        </w:rPr>
        <w:t xml:space="preserve"> </w:t>
      </w:r>
      <w:r w:rsidRPr="00354D3F">
        <w:rPr>
          <w:rFonts w:asciiTheme="minorHAnsi" w:eastAsia="Times New Roman" w:hAnsiTheme="minorHAnsi"/>
          <w:b w:val="0"/>
          <w:bCs/>
          <w:color w:val="auto"/>
          <w:sz w:val="22"/>
          <w:szCs w:val="22"/>
        </w:rPr>
        <w:t>agency responses to</w:t>
      </w:r>
      <w:r w:rsidR="002249C6">
        <w:rPr>
          <w:rFonts w:asciiTheme="minorHAnsi" w:eastAsia="Times New Roman" w:hAnsiTheme="minorHAnsi"/>
          <w:b w:val="0"/>
          <w:bCs/>
          <w:color w:val="auto"/>
          <w:sz w:val="22"/>
          <w:szCs w:val="22"/>
        </w:rPr>
        <w:t>wards</w:t>
      </w:r>
      <w:r w:rsidRPr="00354D3F">
        <w:rPr>
          <w:rFonts w:asciiTheme="minorHAnsi" w:eastAsia="Times New Roman" w:hAnsiTheme="minorHAnsi"/>
          <w:b w:val="0"/>
          <w:bCs/>
          <w:color w:val="auto"/>
          <w:sz w:val="22"/>
          <w:szCs w:val="22"/>
        </w:rPr>
        <w:t xml:space="preserve"> bus overloading </w:t>
      </w:r>
      <w:r w:rsidR="002249C6">
        <w:rPr>
          <w:rFonts w:asciiTheme="minorHAnsi" w:eastAsia="Times New Roman" w:hAnsiTheme="minorHAnsi"/>
          <w:b w:val="0"/>
          <w:bCs/>
          <w:color w:val="auto"/>
          <w:sz w:val="22"/>
          <w:szCs w:val="22"/>
        </w:rPr>
        <w:t xml:space="preserve">as an issues </w:t>
      </w:r>
      <w:r w:rsidR="000C2307">
        <w:rPr>
          <w:rFonts w:asciiTheme="minorHAnsi" w:eastAsia="Times New Roman" w:hAnsiTheme="minorHAnsi"/>
          <w:b w:val="0"/>
          <w:bCs/>
          <w:color w:val="auto"/>
          <w:sz w:val="22"/>
          <w:szCs w:val="22"/>
        </w:rPr>
        <w:t>could be seen as n</w:t>
      </w:r>
      <w:r w:rsidRPr="00354D3F">
        <w:rPr>
          <w:rFonts w:asciiTheme="minorHAnsi" w:eastAsia="Times New Roman" w:hAnsiTheme="minorHAnsi"/>
          <w:b w:val="0"/>
          <w:bCs/>
          <w:color w:val="auto"/>
          <w:sz w:val="22"/>
          <w:szCs w:val="22"/>
        </w:rPr>
        <w:t xml:space="preserve">ot </w:t>
      </w:r>
      <w:r w:rsidR="000C2307">
        <w:rPr>
          <w:rFonts w:asciiTheme="minorHAnsi" w:eastAsia="Times New Roman" w:hAnsiTheme="minorHAnsi"/>
          <w:b w:val="0"/>
          <w:bCs/>
          <w:color w:val="auto"/>
          <w:sz w:val="22"/>
          <w:szCs w:val="22"/>
        </w:rPr>
        <w:t xml:space="preserve">as </w:t>
      </w:r>
      <w:r w:rsidRPr="00354D3F">
        <w:rPr>
          <w:rFonts w:asciiTheme="minorHAnsi" w:eastAsia="Times New Roman" w:hAnsiTheme="minorHAnsi"/>
          <w:b w:val="0"/>
          <w:bCs/>
          <w:color w:val="auto"/>
          <w:sz w:val="22"/>
          <w:szCs w:val="22"/>
        </w:rPr>
        <w:t>responsible</w:t>
      </w:r>
      <w:r w:rsidR="000C2307">
        <w:rPr>
          <w:rFonts w:asciiTheme="minorHAnsi" w:eastAsia="Times New Roman" w:hAnsiTheme="minorHAnsi"/>
          <w:b w:val="0"/>
          <w:bCs/>
          <w:color w:val="auto"/>
          <w:sz w:val="22"/>
          <w:szCs w:val="22"/>
        </w:rPr>
        <w:t xml:space="preserve"> as </w:t>
      </w:r>
      <w:r w:rsidR="002249C6">
        <w:rPr>
          <w:rFonts w:asciiTheme="minorHAnsi" w:eastAsia="Times New Roman" w:hAnsiTheme="minorHAnsi"/>
          <w:b w:val="0"/>
          <w:bCs/>
          <w:color w:val="auto"/>
          <w:sz w:val="22"/>
          <w:szCs w:val="22"/>
        </w:rPr>
        <w:t xml:space="preserve">stakeholders </w:t>
      </w:r>
      <w:r w:rsidR="000C2307">
        <w:rPr>
          <w:rFonts w:asciiTheme="minorHAnsi" w:eastAsia="Times New Roman" w:hAnsiTheme="minorHAnsi"/>
          <w:b w:val="0"/>
          <w:bCs/>
          <w:color w:val="auto"/>
          <w:sz w:val="22"/>
          <w:szCs w:val="22"/>
        </w:rPr>
        <w:t>may desire</w:t>
      </w:r>
      <w:r w:rsidRPr="00354D3F">
        <w:rPr>
          <w:rFonts w:asciiTheme="minorHAnsi" w:eastAsia="Times New Roman" w:hAnsiTheme="minorHAnsi"/>
          <w:b w:val="0"/>
          <w:bCs/>
          <w:color w:val="auto"/>
          <w:sz w:val="22"/>
          <w:szCs w:val="22"/>
        </w:rPr>
        <w:t>.  Heavy vehicles overloaded by a magnitude of 2 tonnes</w:t>
      </w:r>
      <w:r w:rsidR="002249C6">
        <w:rPr>
          <w:rFonts w:asciiTheme="minorHAnsi" w:eastAsia="Times New Roman" w:hAnsiTheme="minorHAnsi"/>
          <w:b w:val="0"/>
          <w:bCs/>
          <w:color w:val="auto"/>
          <w:sz w:val="22"/>
          <w:szCs w:val="22"/>
        </w:rPr>
        <w:t>, for example,</w:t>
      </w:r>
      <w:r w:rsidRPr="00354D3F">
        <w:rPr>
          <w:rFonts w:asciiTheme="minorHAnsi" w:eastAsia="Times New Roman" w:hAnsiTheme="minorHAnsi"/>
          <w:b w:val="0"/>
          <w:bCs/>
          <w:color w:val="auto"/>
          <w:sz w:val="22"/>
          <w:szCs w:val="22"/>
        </w:rPr>
        <w:t xml:space="preserve"> </w:t>
      </w:r>
      <w:r w:rsidR="005121FD">
        <w:rPr>
          <w:rFonts w:asciiTheme="minorHAnsi" w:eastAsia="Times New Roman" w:hAnsiTheme="minorHAnsi"/>
          <w:b w:val="0"/>
          <w:bCs/>
          <w:color w:val="auto"/>
          <w:sz w:val="22"/>
          <w:szCs w:val="22"/>
        </w:rPr>
        <w:t xml:space="preserve">would </w:t>
      </w:r>
      <w:r w:rsidRPr="00354D3F">
        <w:rPr>
          <w:rFonts w:asciiTheme="minorHAnsi" w:eastAsia="Times New Roman" w:hAnsiTheme="minorHAnsi"/>
          <w:b w:val="0"/>
          <w:bCs/>
          <w:color w:val="auto"/>
          <w:sz w:val="22"/>
          <w:szCs w:val="22"/>
        </w:rPr>
        <w:t xml:space="preserve">have </w:t>
      </w:r>
      <w:r w:rsidR="005121FD">
        <w:rPr>
          <w:rFonts w:asciiTheme="minorHAnsi" w:eastAsia="Times New Roman" w:hAnsiTheme="minorHAnsi"/>
          <w:b w:val="0"/>
          <w:bCs/>
          <w:color w:val="auto"/>
          <w:sz w:val="22"/>
          <w:szCs w:val="22"/>
        </w:rPr>
        <w:t xml:space="preserve">significant </w:t>
      </w:r>
      <w:r w:rsidRPr="00354D3F">
        <w:rPr>
          <w:rFonts w:asciiTheme="minorHAnsi" w:eastAsia="Times New Roman" w:hAnsiTheme="minorHAnsi"/>
          <w:b w:val="0"/>
          <w:bCs/>
          <w:color w:val="auto"/>
          <w:sz w:val="22"/>
          <w:szCs w:val="22"/>
        </w:rPr>
        <w:t xml:space="preserve">penalties </w:t>
      </w:r>
      <w:r w:rsidR="005121FD">
        <w:rPr>
          <w:rFonts w:asciiTheme="minorHAnsi" w:eastAsia="Times New Roman" w:hAnsiTheme="minorHAnsi"/>
          <w:b w:val="0"/>
          <w:bCs/>
          <w:color w:val="auto"/>
          <w:sz w:val="22"/>
          <w:szCs w:val="22"/>
        </w:rPr>
        <w:t xml:space="preserve">placed </w:t>
      </w:r>
      <w:r w:rsidRPr="00354D3F">
        <w:rPr>
          <w:rFonts w:asciiTheme="minorHAnsi" w:eastAsia="Times New Roman" w:hAnsiTheme="minorHAnsi"/>
          <w:b w:val="0"/>
          <w:bCs/>
          <w:color w:val="auto"/>
          <w:sz w:val="22"/>
          <w:szCs w:val="22"/>
        </w:rPr>
        <w:t xml:space="preserve">upon </w:t>
      </w:r>
      <w:r w:rsidR="002249C6" w:rsidRPr="00354D3F">
        <w:rPr>
          <w:rFonts w:asciiTheme="minorHAnsi" w:eastAsia="Times New Roman" w:hAnsiTheme="minorHAnsi"/>
          <w:b w:val="0"/>
          <w:bCs/>
          <w:color w:val="auto"/>
          <w:sz w:val="22"/>
          <w:szCs w:val="22"/>
        </w:rPr>
        <w:t>the</w:t>
      </w:r>
      <w:r w:rsidR="002249C6">
        <w:rPr>
          <w:rFonts w:asciiTheme="minorHAnsi" w:eastAsia="Times New Roman" w:hAnsiTheme="minorHAnsi"/>
          <w:b w:val="0"/>
          <w:bCs/>
          <w:color w:val="auto"/>
          <w:sz w:val="22"/>
          <w:szCs w:val="22"/>
        </w:rPr>
        <w:t>ir drivers and their operators</w:t>
      </w:r>
      <w:r w:rsidRPr="00354D3F">
        <w:rPr>
          <w:rFonts w:asciiTheme="minorHAnsi" w:eastAsia="Times New Roman" w:hAnsiTheme="minorHAnsi"/>
          <w:b w:val="0"/>
          <w:bCs/>
          <w:color w:val="auto"/>
          <w:sz w:val="22"/>
          <w:szCs w:val="22"/>
        </w:rPr>
        <w:t>.</w:t>
      </w:r>
      <w:bookmarkEnd w:id="7"/>
      <w:bookmarkEnd w:id="8"/>
      <w:r w:rsidRPr="00354D3F">
        <w:rPr>
          <w:rFonts w:asciiTheme="minorHAnsi" w:eastAsia="Times New Roman" w:hAnsiTheme="minorHAnsi"/>
          <w:b w:val="0"/>
          <w:bCs/>
          <w:color w:val="auto"/>
          <w:sz w:val="22"/>
          <w:szCs w:val="22"/>
        </w:rPr>
        <w:t xml:space="preserve"> </w:t>
      </w:r>
    </w:p>
    <w:p w:rsidR="009D5A21" w:rsidRPr="00354D3F" w:rsidRDefault="009D5A21" w:rsidP="009D5A21">
      <w:pPr>
        <w:pStyle w:val="ATAHeading2"/>
        <w:numPr>
          <w:ilvl w:val="0"/>
          <w:numId w:val="0"/>
        </w:numPr>
        <w:spacing w:before="0" w:after="0" w:line="240" w:lineRule="auto"/>
        <w:jc w:val="both"/>
        <w:rPr>
          <w:rFonts w:asciiTheme="minorHAnsi" w:eastAsia="Times New Roman" w:hAnsiTheme="minorHAnsi"/>
          <w:b w:val="0"/>
          <w:bCs/>
          <w:color w:val="auto"/>
          <w:sz w:val="22"/>
          <w:szCs w:val="22"/>
        </w:rPr>
      </w:pPr>
    </w:p>
    <w:p w:rsidR="0031355E" w:rsidRDefault="0031355E" w:rsidP="0031355E">
      <w:pPr>
        <w:rPr>
          <w:rFonts w:asciiTheme="minorHAnsi" w:eastAsia="Times New Roman" w:hAnsiTheme="minorHAnsi" w:cs="Arial"/>
          <w:bCs/>
        </w:rPr>
      </w:pPr>
      <w:r w:rsidRPr="005E43EF">
        <w:rPr>
          <w:rFonts w:asciiTheme="minorHAnsi" w:eastAsia="Times New Roman" w:hAnsiTheme="minorHAnsi" w:cs="Arial"/>
          <w:bCs/>
        </w:rPr>
        <w:t xml:space="preserve">There are legal requirements that a truck driver/operator is expected to </w:t>
      </w:r>
      <w:r w:rsidR="002249C6">
        <w:rPr>
          <w:rFonts w:asciiTheme="minorHAnsi" w:eastAsia="Times New Roman" w:hAnsiTheme="minorHAnsi" w:cs="Arial"/>
          <w:bCs/>
        </w:rPr>
        <w:t>adhere to</w:t>
      </w:r>
      <w:r w:rsidR="002249C6" w:rsidRPr="005E43EF">
        <w:rPr>
          <w:rFonts w:asciiTheme="minorHAnsi" w:eastAsia="Times New Roman" w:hAnsiTheme="minorHAnsi" w:cs="Arial"/>
          <w:bCs/>
        </w:rPr>
        <w:t xml:space="preserve"> </w:t>
      </w:r>
      <w:r w:rsidRPr="005E43EF">
        <w:rPr>
          <w:rFonts w:asciiTheme="minorHAnsi" w:eastAsia="Times New Roman" w:hAnsiTheme="minorHAnsi" w:cs="Arial"/>
          <w:bCs/>
        </w:rPr>
        <w:t xml:space="preserve">if mass overloading is occurring, however, the NTC seem to concede that bus drivers may not know if they are overloaded. </w:t>
      </w:r>
      <w:r w:rsidR="002249C6">
        <w:rPr>
          <w:rFonts w:asciiTheme="minorHAnsi" w:eastAsia="Times New Roman" w:hAnsiTheme="minorHAnsi" w:cs="Arial"/>
          <w:bCs/>
        </w:rPr>
        <w:t xml:space="preserve"> </w:t>
      </w:r>
      <w:r w:rsidRPr="005E43EF">
        <w:rPr>
          <w:rFonts w:asciiTheme="minorHAnsi" w:eastAsia="Times New Roman" w:hAnsiTheme="minorHAnsi" w:cs="Arial"/>
          <w:bCs/>
        </w:rPr>
        <w:t>This is a conflict of technical expectations</w:t>
      </w:r>
      <w:r w:rsidR="002249C6">
        <w:rPr>
          <w:rFonts w:asciiTheme="minorHAnsi" w:eastAsia="Times New Roman" w:hAnsiTheme="minorHAnsi" w:cs="Arial"/>
          <w:bCs/>
        </w:rPr>
        <w:t>,</w:t>
      </w:r>
      <w:r w:rsidRPr="005E43EF">
        <w:rPr>
          <w:rFonts w:asciiTheme="minorHAnsi" w:eastAsia="Times New Roman" w:hAnsiTheme="minorHAnsi" w:cs="Arial"/>
          <w:bCs/>
        </w:rPr>
        <w:t xml:space="preserve"> given that all heavy vehicles including buses </w:t>
      </w:r>
      <w:r w:rsidR="002249C6">
        <w:rPr>
          <w:rFonts w:asciiTheme="minorHAnsi" w:eastAsia="Times New Roman" w:hAnsiTheme="minorHAnsi" w:cs="Arial"/>
          <w:bCs/>
        </w:rPr>
        <w:t>fall</w:t>
      </w:r>
      <w:r w:rsidR="002249C6" w:rsidRPr="005E43EF">
        <w:rPr>
          <w:rFonts w:asciiTheme="minorHAnsi" w:eastAsia="Times New Roman" w:hAnsiTheme="minorHAnsi" w:cs="Arial"/>
          <w:bCs/>
        </w:rPr>
        <w:t xml:space="preserve"> </w:t>
      </w:r>
      <w:r w:rsidRPr="005E43EF">
        <w:rPr>
          <w:rFonts w:asciiTheme="minorHAnsi" w:eastAsia="Times New Roman" w:hAnsiTheme="minorHAnsi" w:cs="Arial"/>
          <w:bCs/>
        </w:rPr>
        <w:t xml:space="preserve">under the same heavy vehicle national law indicating mass infringements and penalties. It is no different to the livestock </w:t>
      </w:r>
      <w:r w:rsidR="005121FD">
        <w:rPr>
          <w:rFonts w:asciiTheme="minorHAnsi" w:eastAsia="Times New Roman" w:hAnsiTheme="minorHAnsi" w:cs="Arial"/>
          <w:bCs/>
        </w:rPr>
        <w:t xml:space="preserve">transporter </w:t>
      </w:r>
      <w:r w:rsidRPr="005E43EF">
        <w:rPr>
          <w:rFonts w:asciiTheme="minorHAnsi" w:eastAsia="Times New Roman" w:hAnsiTheme="minorHAnsi" w:cs="Arial"/>
          <w:bCs/>
        </w:rPr>
        <w:t>moving cattle</w:t>
      </w:r>
      <w:r w:rsidR="002249C6">
        <w:rPr>
          <w:rFonts w:asciiTheme="minorHAnsi" w:eastAsia="Times New Roman" w:hAnsiTheme="minorHAnsi" w:cs="Arial"/>
          <w:bCs/>
        </w:rPr>
        <w:t xml:space="preserve"> with a truck</w:t>
      </w:r>
      <w:r w:rsidRPr="005E43EF">
        <w:rPr>
          <w:rFonts w:asciiTheme="minorHAnsi" w:eastAsia="Times New Roman" w:hAnsiTheme="minorHAnsi" w:cs="Arial"/>
          <w:bCs/>
        </w:rPr>
        <w:t xml:space="preserve">; the responsibilities should be the same. </w:t>
      </w:r>
    </w:p>
    <w:p w:rsidR="005121FD" w:rsidRPr="005E43EF" w:rsidRDefault="005121FD" w:rsidP="0031355E">
      <w:pPr>
        <w:rPr>
          <w:rFonts w:asciiTheme="minorHAnsi" w:eastAsia="Times New Roman" w:hAnsiTheme="minorHAnsi" w:cs="Arial"/>
          <w:bCs/>
        </w:rPr>
      </w:pPr>
    </w:p>
    <w:p w:rsidR="009D5A21" w:rsidRDefault="009D5A21" w:rsidP="009D5A21">
      <w:pPr>
        <w:pStyle w:val="ATAHeading2"/>
        <w:numPr>
          <w:ilvl w:val="0"/>
          <w:numId w:val="0"/>
        </w:numPr>
        <w:spacing w:before="0" w:after="0" w:line="240" w:lineRule="auto"/>
        <w:jc w:val="both"/>
        <w:rPr>
          <w:rFonts w:asciiTheme="minorHAnsi" w:eastAsia="Times New Roman" w:hAnsiTheme="minorHAnsi"/>
          <w:b w:val="0"/>
          <w:bCs/>
          <w:color w:val="auto"/>
          <w:sz w:val="22"/>
          <w:szCs w:val="22"/>
        </w:rPr>
      </w:pPr>
      <w:bookmarkStart w:id="9" w:name="_Toc382403937"/>
      <w:bookmarkStart w:id="10" w:name="_Toc382404398"/>
      <w:r w:rsidRPr="00354D3F">
        <w:rPr>
          <w:rFonts w:asciiTheme="minorHAnsi" w:eastAsia="Times New Roman" w:hAnsiTheme="minorHAnsi"/>
          <w:b w:val="0"/>
          <w:bCs/>
          <w:color w:val="auto"/>
          <w:sz w:val="22"/>
          <w:szCs w:val="22"/>
        </w:rPr>
        <w:t>If the state</w:t>
      </w:r>
      <w:r w:rsidR="005121FD">
        <w:rPr>
          <w:rFonts w:asciiTheme="minorHAnsi" w:eastAsia="Times New Roman" w:hAnsiTheme="minorHAnsi"/>
          <w:b w:val="0"/>
          <w:bCs/>
          <w:color w:val="auto"/>
          <w:sz w:val="22"/>
          <w:szCs w:val="22"/>
        </w:rPr>
        <w:t>s</w:t>
      </w:r>
      <w:r w:rsidRPr="00354D3F">
        <w:rPr>
          <w:rFonts w:asciiTheme="minorHAnsi" w:eastAsia="Times New Roman" w:hAnsiTheme="minorHAnsi"/>
          <w:b w:val="0"/>
          <w:bCs/>
          <w:color w:val="auto"/>
          <w:sz w:val="22"/>
          <w:szCs w:val="22"/>
        </w:rPr>
        <w:t xml:space="preserve"> and the NTC have differing </w:t>
      </w:r>
      <w:r w:rsidR="002249C6">
        <w:rPr>
          <w:rFonts w:asciiTheme="minorHAnsi" w:eastAsia="Times New Roman" w:hAnsiTheme="minorHAnsi"/>
          <w:b w:val="0"/>
          <w:bCs/>
          <w:color w:val="auto"/>
          <w:sz w:val="22"/>
          <w:szCs w:val="22"/>
        </w:rPr>
        <w:t>views towards</w:t>
      </w:r>
      <w:r w:rsidRPr="00354D3F">
        <w:rPr>
          <w:rFonts w:asciiTheme="minorHAnsi" w:eastAsia="Times New Roman" w:hAnsiTheme="minorHAnsi"/>
          <w:b w:val="0"/>
          <w:bCs/>
          <w:color w:val="auto"/>
          <w:sz w:val="22"/>
          <w:szCs w:val="22"/>
        </w:rPr>
        <w:t xml:space="preserve"> bus overloading to protect state bus companies from penalties</w:t>
      </w:r>
      <w:r w:rsidR="002249C6">
        <w:rPr>
          <w:rFonts w:asciiTheme="minorHAnsi" w:eastAsia="Times New Roman" w:hAnsiTheme="minorHAnsi"/>
          <w:b w:val="0"/>
          <w:bCs/>
          <w:color w:val="auto"/>
          <w:sz w:val="22"/>
          <w:szCs w:val="22"/>
        </w:rPr>
        <w:t>,</w:t>
      </w:r>
      <w:r w:rsidRPr="00354D3F">
        <w:rPr>
          <w:rFonts w:asciiTheme="minorHAnsi" w:eastAsia="Times New Roman" w:hAnsiTheme="minorHAnsi"/>
          <w:b w:val="0"/>
          <w:bCs/>
          <w:color w:val="auto"/>
          <w:sz w:val="22"/>
          <w:szCs w:val="22"/>
        </w:rPr>
        <w:t xml:space="preserve"> this is not acceptable</w:t>
      </w:r>
      <w:r w:rsidR="005121FD">
        <w:rPr>
          <w:rFonts w:asciiTheme="minorHAnsi" w:eastAsia="Times New Roman" w:hAnsiTheme="minorHAnsi"/>
          <w:b w:val="0"/>
          <w:bCs/>
          <w:color w:val="auto"/>
          <w:sz w:val="22"/>
          <w:szCs w:val="22"/>
        </w:rPr>
        <w:t>,</w:t>
      </w:r>
      <w:r w:rsidRPr="00354D3F">
        <w:rPr>
          <w:rFonts w:asciiTheme="minorHAnsi" w:eastAsia="Times New Roman" w:hAnsiTheme="minorHAnsi"/>
          <w:b w:val="0"/>
          <w:bCs/>
          <w:color w:val="auto"/>
          <w:sz w:val="22"/>
          <w:szCs w:val="22"/>
        </w:rPr>
        <w:t xml:space="preserve"> </w:t>
      </w:r>
      <w:r w:rsidR="002249C6">
        <w:rPr>
          <w:rFonts w:asciiTheme="minorHAnsi" w:eastAsia="Times New Roman" w:hAnsiTheme="minorHAnsi"/>
          <w:b w:val="0"/>
          <w:bCs/>
          <w:color w:val="auto"/>
          <w:sz w:val="22"/>
          <w:szCs w:val="22"/>
        </w:rPr>
        <w:t xml:space="preserve">since </w:t>
      </w:r>
      <w:r w:rsidRPr="00354D3F">
        <w:rPr>
          <w:rFonts w:asciiTheme="minorHAnsi" w:eastAsia="Times New Roman" w:hAnsiTheme="minorHAnsi"/>
          <w:b w:val="0"/>
          <w:bCs/>
          <w:color w:val="auto"/>
          <w:sz w:val="22"/>
          <w:szCs w:val="22"/>
        </w:rPr>
        <w:t xml:space="preserve">privately </w:t>
      </w:r>
      <w:r w:rsidR="0031355E" w:rsidRPr="00354D3F">
        <w:rPr>
          <w:rFonts w:asciiTheme="minorHAnsi" w:eastAsia="Times New Roman" w:hAnsiTheme="minorHAnsi"/>
          <w:b w:val="0"/>
          <w:bCs/>
          <w:color w:val="auto"/>
          <w:sz w:val="22"/>
          <w:szCs w:val="22"/>
        </w:rPr>
        <w:t xml:space="preserve">owned </w:t>
      </w:r>
      <w:r w:rsidR="0031355E">
        <w:rPr>
          <w:rFonts w:asciiTheme="minorHAnsi" w:eastAsia="Times New Roman" w:hAnsiTheme="minorHAnsi"/>
          <w:b w:val="0"/>
          <w:bCs/>
          <w:color w:val="auto"/>
          <w:sz w:val="22"/>
          <w:szCs w:val="22"/>
        </w:rPr>
        <w:t>enterprises</w:t>
      </w:r>
      <w:r w:rsidRPr="00354D3F">
        <w:rPr>
          <w:rFonts w:asciiTheme="minorHAnsi" w:eastAsia="Times New Roman" w:hAnsiTheme="minorHAnsi"/>
          <w:b w:val="0"/>
          <w:bCs/>
          <w:color w:val="auto"/>
          <w:sz w:val="22"/>
          <w:szCs w:val="22"/>
        </w:rPr>
        <w:t xml:space="preserve"> </w:t>
      </w:r>
      <w:r w:rsidR="005121FD">
        <w:rPr>
          <w:rFonts w:asciiTheme="minorHAnsi" w:eastAsia="Times New Roman" w:hAnsiTheme="minorHAnsi"/>
          <w:b w:val="0"/>
          <w:bCs/>
          <w:color w:val="auto"/>
          <w:sz w:val="22"/>
          <w:szCs w:val="22"/>
        </w:rPr>
        <w:t xml:space="preserve">and public </w:t>
      </w:r>
      <w:r w:rsidR="002A5E43">
        <w:rPr>
          <w:rFonts w:asciiTheme="minorHAnsi" w:eastAsia="Times New Roman" w:hAnsiTheme="minorHAnsi"/>
          <w:b w:val="0"/>
          <w:bCs/>
          <w:color w:val="auto"/>
          <w:sz w:val="22"/>
          <w:szCs w:val="22"/>
        </w:rPr>
        <w:t>entities should</w:t>
      </w:r>
      <w:r w:rsidR="002249C6">
        <w:rPr>
          <w:rFonts w:asciiTheme="minorHAnsi" w:eastAsia="Times New Roman" w:hAnsiTheme="minorHAnsi"/>
          <w:b w:val="0"/>
          <w:bCs/>
          <w:color w:val="auto"/>
          <w:sz w:val="22"/>
          <w:szCs w:val="22"/>
        </w:rPr>
        <w:t xml:space="preserve"> attract equivalent treatment</w:t>
      </w:r>
      <w:r w:rsidR="005121FD">
        <w:rPr>
          <w:rFonts w:asciiTheme="minorHAnsi" w:eastAsia="Times New Roman" w:hAnsiTheme="minorHAnsi"/>
          <w:b w:val="0"/>
          <w:bCs/>
          <w:color w:val="auto"/>
          <w:sz w:val="22"/>
          <w:szCs w:val="22"/>
        </w:rPr>
        <w:t xml:space="preserve"> before the law</w:t>
      </w:r>
      <w:r w:rsidRPr="00354D3F">
        <w:rPr>
          <w:rFonts w:asciiTheme="minorHAnsi" w:eastAsia="Times New Roman" w:hAnsiTheme="minorHAnsi"/>
          <w:b w:val="0"/>
          <w:bCs/>
          <w:color w:val="auto"/>
          <w:sz w:val="22"/>
          <w:szCs w:val="22"/>
        </w:rPr>
        <w:t>.</w:t>
      </w:r>
      <w:bookmarkEnd w:id="9"/>
      <w:bookmarkEnd w:id="10"/>
      <w:r w:rsidRPr="00354D3F">
        <w:rPr>
          <w:rFonts w:asciiTheme="minorHAnsi" w:eastAsia="Times New Roman" w:hAnsiTheme="minorHAnsi"/>
          <w:b w:val="0"/>
          <w:bCs/>
          <w:color w:val="auto"/>
          <w:sz w:val="22"/>
          <w:szCs w:val="22"/>
        </w:rPr>
        <w:t xml:space="preserve"> </w:t>
      </w:r>
    </w:p>
    <w:p w:rsidR="009D5A21" w:rsidRDefault="009D5A21" w:rsidP="00D92690"/>
    <w:p w:rsidR="00915621" w:rsidRPr="005E69BD" w:rsidRDefault="0018181C" w:rsidP="00770FEB">
      <w:pPr>
        <w:pStyle w:val="Heading1"/>
        <w:jc w:val="both"/>
        <w:rPr>
          <w:rFonts w:asciiTheme="minorHAnsi" w:hAnsiTheme="minorHAnsi"/>
          <w:sz w:val="32"/>
          <w:szCs w:val="22"/>
        </w:rPr>
      </w:pPr>
      <w:bookmarkStart w:id="11" w:name="_Toc382404399"/>
      <w:r w:rsidRPr="005E69BD">
        <w:rPr>
          <w:rFonts w:asciiTheme="minorHAnsi" w:hAnsiTheme="minorHAnsi"/>
          <w:sz w:val="32"/>
          <w:szCs w:val="22"/>
        </w:rPr>
        <w:t xml:space="preserve">Equivalent </w:t>
      </w:r>
      <w:r w:rsidR="00915621" w:rsidRPr="005E69BD">
        <w:rPr>
          <w:rFonts w:asciiTheme="minorHAnsi" w:hAnsiTheme="minorHAnsi"/>
          <w:sz w:val="32"/>
          <w:szCs w:val="22"/>
        </w:rPr>
        <w:t>S</w:t>
      </w:r>
      <w:r w:rsidRPr="005E69BD">
        <w:rPr>
          <w:rFonts w:asciiTheme="minorHAnsi" w:hAnsiTheme="minorHAnsi"/>
          <w:sz w:val="32"/>
          <w:szCs w:val="22"/>
        </w:rPr>
        <w:t>tandard Axle (ESA)</w:t>
      </w:r>
      <w:r w:rsidR="00915621" w:rsidRPr="005E69BD">
        <w:rPr>
          <w:rFonts w:asciiTheme="minorHAnsi" w:hAnsiTheme="minorHAnsi"/>
          <w:sz w:val="32"/>
          <w:szCs w:val="22"/>
        </w:rPr>
        <w:t xml:space="preserve"> impact and heavy vehicle charges consequences</w:t>
      </w:r>
      <w:bookmarkEnd w:id="11"/>
    </w:p>
    <w:p w:rsidR="00915621" w:rsidRDefault="00915621" w:rsidP="00915621">
      <w:pPr>
        <w:pStyle w:val="PlainText"/>
        <w:jc w:val="both"/>
        <w:rPr>
          <w:rFonts w:asciiTheme="minorHAnsi" w:eastAsia="Times New Roman" w:hAnsiTheme="minorHAnsi" w:cs="Arial"/>
          <w:bCs/>
          <w:sz w:val="22"/>
          <w:szCs w:val="22"/>
          <w:lang w:eastAsia="en-US"/>
        </w:rPr>
      </w:pPr>
    </w:p>
    <w:p w:rsidR="00915621" w:rsidRPr="00354D3F" w:rsidRDefault="00915621" w:rsidP="00354D3F">
      <w:pPr>
        <w:pStyle w:val="ATAHeading2"/>
        <w:numPr>
          <w:ilvl w:val="0"/>
          <w:numId w:val="0"/>
        </w:numPr>
        <w:spacing w:before="0" w:after="0" w:line="240" w:lineRule="auto"/>
        <w:jc w:val="both"/>
        <w:rPr>
          <w:rFonts w:asciiTheme="minorHAnsi" w:eastAsia="Times New Roman" w:hAnsiTheme="minorHAnsi"/>
          <w:b w:val="0"/>
          <w:bCs/>
          <w:color w:val="auto"/>
          <w:sz w:val="22"/>
          <w:szCs w:val="22"/>
        </w:rPr>
      </w:pPr>
      <w:bookmarkStart w:id="12" w:name="_Toc382403939"/>
      <w:bookmarkStart w:id="13" w:name="_Toc382404400"/>
      <w:r w:rsidRPr="00354D3F">
        <w:rPr>
          <w:rFonts w:asciiTheme="minorHAnsi" w:eastAsia="Times New Roman" w:hAnsiTheme="minorHAnsi"/>
          <w:b w:val="0"/>
          <w:bCs/>
          <w:color w:val="auto"/>
          <w:sz w:val="22"/>
          <w:szCs w:val="22"/>
        </w:rPr>
        <w:t>With the increase in ESA associated with more mass spread over the same axles</w:t>
      </w:r>
      <w:r w:rsidR="002249C6">
        <w:rPr>
          <w:rFonts w:asciiTheme="minorHAnsi" w:eastAsia="Times New Roman" w:hAnsiTheme="minorHAnsi"/>
          <w:b w:val="0"/>
          <w:bCs/>
          <w:color w:val="auto"/>
          <w:sz w:val="22"/>
          <w:szCs w:val="22"/>
        </w:rPr>
        <w:t>,</w:t>
      </w:r>
      <w:r w:rsidRPr="00354D3F">
        <w:rPr>
          <w:rFonts w:asciiTheme="minorHAnsi" w:eastAsia="Times New Roman" w:hAnsiTheme="minorHAnsi"/>
          <w:b w:val="0"/>
          <w:bCs/>
          <w:color w:val="auto"/>
          <w:sz w:val="22"/>
          <w:szCs w:val="22"/>
        </w:rPr>
        <w:t xml:space="preserve"> there needs to be consideration of what this means in the</w:t>
      </w:r>
      <w:r w:rsidR="002249C6">
        <w:rPr>
          <w:rFonts w:asciiTheme="minorHAnsi" w:eastAsia="Times New Roman" w:hAnsiTheme="minorHAnsi"/>
          <w:b w:val="0"/>
          <w:bCs/>
          <w:color w:val="auto"/>
          <w:sz w:val="22"/>
          <w:szCs w:val="22"/>
        </w:rPr>
        <w:t xml:space="preserve"> current</w:t>
      </w:r>
      <w:r w:rsidRPr="00354D3F">
        <w:rPr>
          <w:rFonts w:asciiTheme="minorHAnsi" w:eastAsia="Times New Roman" w:hAnsiTheme="minorHAnsi"/>
          <w:b w:val="0"/>
          <w:bCs/>
          <w:color w:val="auto"/>
          <w:sz w:val="22"/>
          <w:szCs w:val="22"/>
        </w:rPr>
        <w:t xml:space="preserve"> PayGo</w:t>
      </w:r>
      <w:r w:rsidR="0018181C">
        <w:rPr>
          <w:rFonts w:asciiTheme="minorHAnsi" w:eastAsia="Times New Roman" w:hAnsiTheme="minorHAnsi"/>
          <w:b w:val="0"/>
          <w:bCs/>
          <w:color w:val="auto"/>
          <w:sz w:val="22"/>
          <w:szCs w:val="22"/>
        </w:rPr>
        <w:t xml:space="preserve"> heavy vehicle charging</w:t>
      </w:r>
      <w:r w:rsidRPr="00354D3F">
        <w:rPr>
          <w:rFonts w:asciiTheme="minorHAnsi" w:eastAsia="Times New Roman" w:hAnsiTheme="minorHAnsi"/>
          <w:b w:val="0"/>
          <w:bCs/>
          <w:color w:val="auto"/>
          <w:sz w:val="22"/>
          <w:szCs w:val="22"/>
        </w:rPr>
        <w:t xml:space="preserve"> model.</w:t>
      </w:r>
      <w:bookmarkEnd w:id="12"/>
      <w:bookmarkEnd w:id="13"/>
    </w:p>
    <w:p w:rsidR="00915621" w:rsidRPr="00354D3F" w:rsidRDefault="00915621" w:rsidP="00354D3F">
      <w:pPr>
        <w:pStyle w:val="ATAHeading2"/>
        <w:numPr>
          <w:ilvl w:val="0"/>
          <w:numId w:val="0"/>
        </w:numPr>
        <w:spacing w:before="0" w:after="0" w:line="240" w:lineRule="auto"/>
        <w:jc w:val="both"/>
        <w:rPr>
          <w:rFonts w:asciiTheme="minorHAnsi" w:eastAsia="Times New Roman" w:hAnsiTheme="minorHAnsi"/>
          <w:b w:val="0"/>
          <w:bCs/>
          <w:color w:val="auto"/>
          <w:sz w:val="22"/>
          <w:szCs w:val="22"/>
        </w:rPr>
      </w:pPr>
    </w:p>
    <w:p w:rsidR="00915621" w:rsidRPr="00354D3F" w:rsidRDefault="00915621" w:rsidP="00354D3F">
      <w:pPr>
        <w:pStyle w:val="ATAHeading2"/>
        <w:numPr>
          <w:ilvl w:val="0"/>
          <w:numId w:val="0"/>
        </w:numPr>
        <w:spacing w:before="0" w:after="0" w:line="240" w:lineRule="auto"/>
        <w:jc w:val="both"/>
        <w:rPr>
          <w:rFonts w:asciiTheme="minorHAnsi" w:eastAsia="Times New Roman" w:hAnsiTheme="minorHAnsi"/>
          <w:b w:val="0"/>
          <w:bCs/>
          <w:color w:val="auto"/>
          <w:sz w:val="22"/>
          <w:szCs w:val="22"/>
        </w:rPr>
      </w:pPr>
      <w:bookmarkStart w:id="14" w:name="_Toc382403940"/>
      <w:bookmarkStart w:id="15" w:name="_Toc382404401"/>
      <w:r w:rsidRPr="00354D3F">
        <w:rPr>
          <w:rFonts w:asciiTheme="minorHAnsi" w:eastAsia="Times New Roman" w:hAnsiTheme="minorHAnsi"/>
          <w:b w:val="0"/>
          <w:bCs/>
          <w:color w:val="auto"/>
          <w:sz w:val="22"/>
          <w:szCs w:val="22"/>
        </w:rPr>
        <w:t>Pavement wear is not alleviated through reductions in emissions and congestion on roads, as the NTC state</w:t>
      </w:r>
      <w:r w:rsidR="002249C6">
        <w:rPr>
          <w:rFonts w:asciiTheme="minorHAnsi" w:eastAsia="Times New Roman" w:hAnsiTheme="minorHAnsi"/>
          <w:b w:val="0"/>
          <w:bCs/>
          <w:color w:val="auto"/>
          <w:sz w:val="22"/>
          <w:szCs w:val="22"/>
        </w:rPr>
        <w:t>s</w:t>
      </w:r>
      <w:r w:rsidRPr="00354D3F">
        <w:rPr>
          <w:rFonts w:asciiTheme="minorHAnsi" w:eastAsia="Times New Roman" w:hAnsiTheme="minorHAnsi"/>
          <w:b w:val="0"/>
          <w:bCs/>
          <w:color w:val="auto"/>
          <w:sz w:val="22"/>
          <w:szCs w:val="22"/>
        </w:rPr>
        <w:t>. The pavement wear issue remains the same.</w:t>
      </w:r>
      <w:bookmarkEnd w:id="14"/>
      <w:bookmarkEnd w:id="15"/>
      <w:r w:rsidRPr="00354D3F">
        <w:rPr>
          <w:rFonts w:asciiTheme="minorHAnsi" w:eastAsia="Times New Roman" w:hAnsiTheme="minorHAnsi"/>
          <w:b w:val="0"/>
          <w:bCs/>
          <w:color w:val="auto"/>
          <w:sz w:val="22"/>
          <w:szCs w:val="22"/>
        </w:rPr>
        <w:t xml:space="preserve"> </w:t>
      </w:r>
    </w:p>
    <w:p w:rsidR="00915621" w:rsidRDefault="00915621" w:rsidP="00D92690"/>
    <w:p w:rsidR="0031355E" w:rsidRPr="0031355E" w:rsidRDefault="0031355E" w:rsidP="0031355E">
      <w:pPr>
        <w:rPr>
          <w:bCs/>
        </w:rPr>
      </w:pPr>
      <w:r w:rsidRPr="0031355E">
        <w:rPr>
          <w:bCs/>
        </w:rPr>
        <w:t xml:space="preserve">The ESA impact of buses will need to be readjusted given the mass concessions based on recorded AGM. This will affect the allocation of cost to be recovered from the heavy vehicle industry; </w:t>
      </w:r>
      <w:r w:rsidR="002249C6">
        <w:rPr>
          <w:bCs/>
        </w:rPr>
        <w:t>in other words,</w:t>
      </w:r>
      <w:r w:rsidR="002249C6" w:rsidRPr="0031355E">
        <w:rPr>
          <w:bCs/>
        </w:rPr>
        <w:t xml:space="preserve"> </w:t>
      </w:r>
      <w:r w:rsidRPr="0031355E">
        <w:rPr>
          <w:bCs/>
        </w:rPr>
        <w:t xml:space="preserve">if the ESA for buses increases they </w:t>
      </w:r>
      <w:r w:rsidR="002249C6">
        <w:rPr>
          <w:bCs/>
        </w:rPr>
        <w:t xml:space="preserve">will </w:t>
      </w:r>
      <w:r w:rsidRPr="0031355E">
        <w:rPr>
          <w:bCs/>
        </w:rPr>
        <w:t xml:space="preserve">need to pay higher registration fees to </w:t>
      </w:r>
      <w:r w:rsidR="002249C6">
        <w:rPr>
          <w:bCs/>
        </w:rPr>
        <w:t xml:space="preserve">compensate for </w:t>
      </w:r>
      <w:r w:rsidRPr="0031355E">
        <w:rPr>
          <w:bCs/>
        </w:rPr>
        <w:t>the increase</w:t>
      </w:r>
      <w:r w:rsidR="002249C6">
        <w:rPr>
          <w:bCs/>
        </w:rPr>
        <w:t xml:space="preserve"> in</w:t>
      </w:r>
      <w:r w:rsidRPr="0031355E">
        <w:rPr>
          <w:bCs/>
        </w:rPr>
        <w:t xml:space="preserve"> road wear. </w:t>
      </w:r>
    </w:p>
    <w:p w:rsidR="0031355E" w:rsidRDefault="0031355E" w:rsidP="00D92690"/>
    <w:p w:rsidR="00354D3F" w:rsidRDefault="00CE4121" w:rsidP="00D92690">
      <w:r>
        <w:t>Th</w:t>
      </w:r>
      <w:r w:rsidR="0018181C">
        <w:t>e NTC have recently revised ESA</w:t>
      </w:r>
      <w:r>
        <w:t xml:space="preserve">s for all heavy vehicles and any change </w:t>
      </w:r>
      <w:r w:rsidR="002249C6">
        <w:t xml:space="preserve">to </w:t>
      </w:r>
      <w:r>
        <w:t xml:space="preserve">the </w:t>
      </w:r>
      <w:r w:rsidR="0018181C">
        <w:t>ESA</w:t>
      </w:r>
      <w:r w:rsidR="00975613">
        <w:t xml:space="preserve"> need</w:t>
      </w:r>
      <w:r w:rsidR="002249C6">
        <w:t>s</w:t>
      </w:r>
      <w:r w:rsidR="00975613">
        <w:t xml:space="preserve"> to be factored into the charging model to make sure that all heavy vehicles pay their allocat</w:t>
      </w:r>
      <w:r w:rsidR="005121FD">
        <w:t>ed</w:t>
      </w:r>
      <w:r w:rsidR="00975613">
        <w:t xml:space="preserve"> costs. </w:t>
      </w:r>
    </w:p>
    <w:p w:rsidR="005121FD" w:rsidRDefault="005121FD" w:rsidP="00D92690"/>
    <w:p w:rsidR="002A5E43" w:rsidRPr="002A5E43" w:rsidRDefault="002A5E43" w:rsidP="002A5E43">
      <w:r w:rsidRPr="002A5E43">
        <w:t xml:space="preserve">The ATA believes the proposed bus mass increases set precedents that require the NTC to be far more proactive in considering the trucking industry’s long standing requests for increases to steer axle mass on wide tyres and for ultra-wide single tyres as replacement for dual tyres. There is sound science and engineering behind ATA’s requests and the bus proposals are superficial in comparison. </w:t>
      </w:r>
    </w:p>
    <w:p w:rsidR="005121FD" w:rsidRDefault="005121FD" w:rsidP="002A5E43"/>
    <w:p w:rsidR="002A5E43" w:rsidRPr="002A5E43" w:rsidRDefault="002A5E43" w:rsidP="002A5E43">
      <w:pPr>
        <w:rPr>
          <w:b/>
        </w:rPr>
      </w:pPr>
      <w:r w:rsidRPr="002A5E43">
        <w:rPr>
          <w:b/>
        </w:rPr>
        <w:t>Recommendation</w:t>
      </w:r>
    </w:p>
    <w:p w:rsidR="002A5E43" w:rsidRDefault="002A5E43" w:rsidP="002A5E43"/>
    <w:p w:rsidR="002A5E43" w:rsidRPr="00D92690" w:rsidRDefault="002A5E43" w:rsidP="002A5E43">
      <w:r>
        <w:t xml:space="preserve">The NTC should extend the discussion around increasing two axle bus </w:t>
      </w:r>
      <w:r w:rsidR="00C40051">
        <w:t xml:space="preserve">mass limits </w:t>
      </w:r>
      <w:r>
        <w:t xml:space="preserve">to a wider </w:t>
      </w:r>
      <w:r w:rsidR="00C40051">
        <w:t>conversation</w:t>
      </w:r>
      <w:r>
        <w:t xml:space="preserve"> on</w:t>
      </w:r>
      <w:r w:rsidR="00C40051">
        <w:t xml:space="preserve"> increasing steer axle mass on wide tyres </w:t>
      </w:r>
      <w:r w:rsidR="00C40051" w:rsidRPr="00C40051">
        <w:t>and for ultra-wide single tyres as</w:t>
      </w:r>
      <w:r w:rsidR="00C40051">
        <w:t xml:space="preserve"> a</w:t>
      </w:r>
      <w:r w:rsidR="00C40051" w:rsidRPr="00C40051">
        <w:t xml:space="preserve"> replacement for dual tyres</w:t>
      </w:r>
      <w:r>
        <w:t xml:space="preserve"> . </w:t>
      </w:r>
    </w:p>
    <w:sectPr w:rsidR="002A5E43" w:rsidRPr="00D92690" w:rsidSect="00A91411">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567" w:left="1134" w:header="703" w:footer="29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E43" w:rsidRDefault="002A5E43" w:rsidP="000F3D9F">
      <w:r>
        <w:separator/>
      </w:r>
    </w:p>
  </w:endnote>
  <w:endnote w:type="continuationSeparator" w:id="0">
    <w:p w:rsidR="002A5E43" w:rsidRDefault="002A5E43" w:rsidP="000F3D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468" w:rsidRDefault="009C54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43" w:rsidRDefault="002A5E43" w:rsidP="008E1721">
    <w:pPr>
      <w:ind w:right="-426"/>
      <w:jc w:val="right"/>
      <w:rPr>
        <w:rFonts w:ascii="Arial" w:hAnsi="Arial" w:cs="Arial"/>
        <w:smallCaps/>
        <w:noProof/>
        <w:szCs w:val="23"/>
        <w:lang w:eastAsia="en-AU"/>
      </w:rPr>
    </w:pPr>
    <w:r>
      <w:rPr>
        <w:rFonts w:ascii="Arial" w:hAnsi="Arial" w:cs="Arial"/>
        <w:smallCaps/>
        <w:noProof/>
        <w:szCs w:val="23"/>
        <w:lang w:eastAsia="en-AU"/>
      </w:rPr>
      <w:drawing>
        <wp:inline distT="0" distB="0" distL="0" distR="0">
          <wp:extent cx="1951355" cy="846455"/>
          <wp:effectExtent l="19050" t="0" r="0" b="0"/>
          <wp:docPr id="1" name="Picture 1" descr="LHead Logo ACT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ad Logo ACT RGB"/>
                  <pic:cNvPicPr>
                    <a:picLocks noChangeAspect="1" noChangeArrowheads="1"/>
                  </pic:cNvPicPr>
                </pic:nvPicPr>
                <pic:blipFill>
                  <a:blip r:embed="rId1"/>
                  <a:srcRect/>
                  <a:stretch>
                    <a:fillRect/>
                  </a:stretch>
                </pic:blipFill>
                <pic:spPr bwMode="auto">
                  <a:xfrm>
                    <a:off x="0" y="0"/>
                    <a:ext cx="1951355" cy="846455"/>
                  </a:xfrm>
                  <a:prstGeom prst="rect">
                    <a:avLst/>
                  </a:prstGeom>
                  <a:noFill/>
                  <a:ln w="9525">
                    <a:noFill/>
                    <a:miter lim="800000"/>
                    <a:headEnd/>
                    <a:tailEnd/>
                  </a:ln>
                </pic:spPr>
              </pic:pic>
            </a:graphicData>
          </a:graphic>
        </wp:inline>
      </w:drawing>
    </w:r>
  </w:p>
  <w:p w:rsidR="002A5E43" w:rsidRPr="00E8056B" w:rsidRDefault="002A5E43" w:rsidP="00E8056B">
    <w:pPr>
      <w:jc w:val="right"/>
      <w:rPr>
        <w:rFonts w:ascii="Arial" w:hAnsi="Arial" w:cs="Arial"/>
        <w:sz w:val="16"/>
        <w:szCs w:val="16"/>
      </w:rPr>
    </w:pPr>
  </w:p>
  <w:p w:rsidR="002A5E43" w:rsidRPr="00E8056B" w:rsidRDefault="002A5E43" w:rsidP="00E8056B">
    <w:pPr>
      <w:pStyle w:val="Footer"/>
      <w:jc w:val="right"/>
      <w:rPr>
        <w:rFonts w:ascii="Arial" w:hAnsi="Arial" w:cs="Arial"/>
        <w:sz w:val="16"/>
        <w:szCs w:val="16"/>
      </w:rPr>
    </w:pPr>
    <w:smartTag w:uri="urn:schemas-microsoft-com:office:smarttags" w:element="place">
      <w:smartTag w:uri="urn:schemas-microsoft-com:office:smarttags" w:element="PlaceName">
        <w:r w:rsidRPr="00E8056B">
          <w:rPr>
            <w:rFonts w:ascii="Arial" w:hAnsi="Arial" w:cs="Arial"/>
            <w:sz w:val="16"/>
            <w:szCs w:val="16"/>
          </w:rPr>
          <w:t>Minter</w:t>
        </w:r>
      </w:smartTag>
      <w:r w:rsidRPr="00E8056B">
        <w:rPr>
          <w:rFonts w:ascii="Arial" w:hAnsi="Arial" w:cs="Arial"/>
          <w:sz w:val="16"/>
          <w:szCs w:val="16"/>
        </w:rPr>
        <w:t xml:space="preserve"> </w:t>
      </w:r>
      <w:smartTag w:uri="urn:schemas-microsoft-com:office:smarttags" w:element="PlaceType">
        <w:smartTag w:uri="urn:schemas-microsoft-com:office:smarttags" w:element="PlaceName">
          <w:r w:rsidRPr="00E8056B">
            <w:rPr>
              <w:rFonts w:ascii="Arial" w:hAnsi="Arial" w:cs="Arial"/>
              <w:sz w:val="16"/>
              <w:szCs w:val="16"/>
            </w:rPr>
            <w:t>Ellison</w:t>
          </w:r>
        </w:smartTag>
      </w:smartTag>
      <w:r w:rsidRPr="00E8056B">
        <w:rPr>
          <w:rFonts w:ascii="Arial" w:hAnsi="Arial" w:cs="Arial"/>
          <w:sz w:val="16"/>
          <w:szCs w:val="16"/>
        </w:rPr>
        <w:t xml:space="preserve"> </w:t>
      </w:r>
      <w:smartTag w:uri="urn:schemas-microsoft-com:office:smarttags" w:element="place">
        <w:r w:rsidRPr="00E8056B">
          <w:rPr>
            <w:rFonts w:ascii="Arial" w:hAnsi="Arial" w:cs="Arial"/>
            <w:sz w:val="16"/>
            <w:szCs w:val="16"/>
          </w:rPr>
          <w:t>Building</w:t>
        </w:r>
      </w:smartTag>
    </w:smartTag>
    <w:r w:rsidRPr="00E8056B">
      <w:rPr>
        <w:rFonts w:ascii="Arial" w:hAnsi="Arial" w:cs="Arial"/>
        <w:sz w:val="16"/>
        <w:szCs w:val="16"/>
      </w:rPr>
      <w:t>, 25 National Circuit, Forrest ACT 2603</w:t>
    </w:r>
  </w:p>
  <w:p w:rsidR="002A5E43" w:rsidRPr="00E8056B" w:rsidRDefault="002A5E43" w:rsidP="00E8056B">
    <w:pPr>
      <w:pStyle w:val="Footer"/>
      <w:jc w:val="right"/>
      <w:rPr>
        <w:rFonts w:ascii="Arial" w:hAnsi="Arial" w:cs="Arial"/>
        <w:sz w:val="16"/>
        <w:szCs w:val="16"/>
      </w:rPr>
    </w:pPr>
    <w:r w:rsidRPr="00E8056B">
      <w:rPr>
        <w:rFonts w:ascii="Arial" w:hAnsi="Arial" w:cs="Arial"/>
        <w:b/>
        <w:sz w:val="16"/>
        <w:szCs w:val="16"/>
      </w:rPr>
      <w:t>P</w:t>
    </w:r>
    <w:r w:rsidRPr="00E8056B">
      <w:rPr>
        <w:rFonts w:ascii="Arial" w:hAnsi="Arial" w:cs="Arial"/>
        <w:sz w:val="16"/>
        <w:szCs w:val="16"/>
      </w:rPr>
      <w:t xml:space="preserve"> 02 6253 6900 </w:t>
    </w:r>
    <w:r w:rsidRPr="00E8056B">
      <w:rPr>
        <w:rFonts w:ascii="Arial" w:hAnsi="Arial" w:cs="Arial"/>
        <w:b/>
        <w:sz w:val="16"/>
        <w:szCs w:val="16"/>
      </w:rPr>
      <w:t>F</w:t>
    </w:r>
    <w:r w:rsidRPr="00E8056B">
      <w:rPr>
        <w:rFonts w:ascii="Arial" w:hAnsi="Arial" w:cs="Arial"/>
        <w:sz w:val="16"/>
        <w:szCs w:val="16"/>
      </w:rPr>
      <w:t xml:space="preserve"> 02 6253 6999 </w:t>
    </w:r>
    <w:r w:rsidRPr="00E8056B">
      <w:rPr>
        <w:rFonts w:ascii="Arial" w:hAnsi="Arial" w:cs="Arial"/>
        <w:b/>
        <w:sz w:val="16"/>
        <w:szCs w:val="16"/>
      </w:rPr>
      <w:t>E</w:t>
    </w:r>
    <w:r w:rsidRPr="00E8056B">
      <w:rPr>
        <w:rFonts w:ascii="Arial" w:hAnsi="Arial" w:cs="Arial"/>
        <w:sz w:val="16"/>
        <w:szCs w:val="16"/>
      </w:rPr>
      <w:t xml:space="preserve"> </w:t>
    </w:r>
    <w:r>
      <w:rPr>
        <w:rFonts w:ascii="Arial" w:hAnsi="Arial" w:cs="Arial"/>
        <w:bCs/>
        <w:sz w:val="16"/>
        <w:szCs w:val="16"/>
      </w:rPr>
      <w:t>ata@</w:t>
    </w:r>
    <w:r w:rsidRPr="00E8056B">
      <w:rPr>
        <w:rFonts w:ascii="Arial" w:hAnsi="Arial" w:cs="Arial"/>
        <w:bCs/>
        <w:sz w:val="16"/>
        <w:szCs w:val="16"/>
      </w:rPr>
      <w:t>truck.net.au</w:t>
    </w:r>
    <w:r w:rsidRPr="00E8056B">
      <w:rPr>
        <w:rFonts w:ascii="Arial" w:hAnsi="Arial" w:cs="Arial"/>
        <w:b/>
        <w:sz w:val="16"/>
        <w:szCs w:val="16"/>
      </w:rPr>
      <w:t xml:space="preserve"> W</w:t>
    </w:r>
    <w:r w:rsidRPr="00E8056B">
      <w:rPr>
        <w:rFonts w:ascii="Arial" w:hAnsi="Arial" w:cs="Arial"/>
        <w:sz w:val="16"/>
        <w:szCs w:val="16"/>
      </w:rPr>
      <w:t xml:space="preserve"> </w:t>
    </w:r>
    <w:r>
      <w:rPr>
        <w:rFonts w:ascii="Arial" w:hAnsi="Arial" w:cs="Arial"/>
        <w:bCs/>
        <w:sz w:val="16"/>
        <w:szCs w:val="16"/>
      </w:rPr>
      <w:t>www.</w:t>
    </w:r>
    <w:r w:rsidRPr="00E8056B">
      <w:rPr>
        <w:rFonts w:ascii="Arial" w:hAnsi="Arial" w:cs="Arial"/>
        <w:bCs/>
        <w:sz w:val="16"/>
        <w:szCs w:val="16"/>
      </w:rPr>
      <w:t>truck.net.au</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43" w:rsidRDefault="0068426C">
    <w:pPr>
      <w:pStyle w:val="Footer"/>
      <w:jc w:val="right"/>
    </w:pPr>
    <w:fldSimple w:instr=" PAGE   \* MERGEFORMAT ">
      <w:r w:rsidR="002A5E43">
        <w:rPr>
          <w:noProof/>
        </w:rPr>
        <w:t>7</w:t>
      </w:r>
    </w:fldSimple>
  </w:p>
  <w:p w:rsidR="002A5E43" w:rsidRDefault="002A5E4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43" w:rsidRDefault="002A5E4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insideH w:val="single" w:sz="4" w:space="0" w:color="000000"/>
      </w:tblBorders>
      <w:tblLook w:val="04A0"/>
    </w:tblPr>
    <w:tblGrid>
      <w:gridCol w:w="4927"/>
      <w:gridCol w:w="4927"/>
    </w:tblGrid>
    <w:tr w:rsidR="002A5E43" w:rsidRPr="00A91411" w:rsidTr="008E09F4">
      <w:trPr>
        <w:trHeight w:val="57"/>
      </w:trPr>
      <w:tc>
        <w:tcPr>
          <w:tcW w:w="4927" w:type="dxa"/>
          <w:vAlign w:val="center"/>
        </w:tcPr>
        <w:p w:rsidR="002A5E43" w:rsidRPr="00A91411" w:rsidRDefault="002A5E43" w:rsidP="00247B21">
          <w:pPr>
            <w:pStyle w:val="Footer"/>
            <w:rPr>
              <w:rFonts w:ascii="Arial" w:hAnsi="Arial" w:cs="Arial"/>
              <w:sz w:val="14"/>
              <w:szCs w:val="14"/>
            </w:rPr>
          </w:pPr>
          <w:r>
            <w:rPr>
              <w:rFonts w:ascii="Arial" w:hAnsi="Arial" w:cs="Arial"/>
              <w:sz w:val="14"/>
              <w:szCs w:val="14"/>
            </w:rPr>
            <w:t xml:space="preserve">ATA Submission: NTC Discussion Paper - Mass Limits for 2-Axle Buses </w:t>
          </w:r>
        </w:p>
      </w:tc>
      <w:tc>
        <w:tcPr>
          <w:tcW w:w="4927" w:type="dxa"/>
          <w:vAlign w:val="center"/>
        </w:tcPr>
        <w:p w:rsidR="002A5E43" w:rsidRPr="00A91411" w:rsidRDefault="002A5E43" w:rsidP="00D735FF">
          <w:pPr>
            <w:pStyle w:val="Footer"/>
            <w:jc w:val="right"/>
            <w:rPr>
              <w:rFonts w:ascii="Arial" w:hAnsi="Arial" w:cs="Arial"/>
              <w:sz w:val="14"/>
              <w:szCs w:val="14"/>
            </w:rPr>
          </w:pPr>
          <w:r w:rsidRPr="00A91411">
            <w:rPr>
              <w:rFonts w:ascii="Arial" w:hAnsi="Arial" w:cs="Arial"/>
              <w:sz w:val="14"/>
              <w:szCs w:val="14"/>
            </w:rPr>
            <w:t xml:space="preserve">Page </w:t>
          </w:r>
          <w:r w:rsidR="0068426C" w:rsidRPr="00A91411">
            <w:rPr>
              <w:rFonts w:ascii="Arial" w:hAnsi="Arial" w:cs="Arial"/>
              <w:sz w:val="14"/>
              <w:szCs w:val="14"/>
            </w:rPr>
            <w:fldChar w:fldCharType="begin"/>
          </w:r>
          <w:r w:rsidRPr="00A91411">
            <w:rPr>
              <w:rFonts w:ascii="Arial" w:hAnsi="Arial" w:cs="Arial"/>
              <w:sz w:val="14"/>
              <w:szCs w:val="14"/>
            </w:rPr>
            <w:instrText xml:space="preserve"> PAGE   \* MERGEFORMAT </w:instrText>
          </w:r>
          <w:r w:rsidR="0068426C" w:rsidRPr="00A91411">
            <w:rPr>
              <w:rFonts w:ascii="Arial" w:hAnsi="Arial" w:cs="Arial"/>
              <w:sz w:val="14"/>
              <w:szCs w:val="14"/>
            </w:rPr>
            <w:fldChar w:fldCharType="separate"/>
          </w:r>
          <w:r w:rsidR="00585828">
            <w:rPr>
              <w:rFonts w:ascii="Arial" w:hAnsi="Arial" w:cs="Arial"/>
              <w:noProof/>
              <w:sz w:val="14"/>
              <w:szCs w:val="14"/>
            </w:rPr>
            <w:t>4</w:t>
          </w:r>
          <w:r w:rsidR="0068426C" w:rsidRPr="00A91411">
            <w:rPr>
              <w:rFonts w:ascii="Arial" w:hAnsi="Arial" w:cs="Arial"/>
              <w:sz w:val="14"/>
              <w:szCs w:val="14"/>
            </w:rPr>
            <w:fldChar w:fldCharType="end"/>
          </w:r>
        </w:p>
      </w:tc>
    </w:tr>
  </w:tbl>
  <w:p w:rsidR="002A5E43" w:rsidRPr="00A91411" w:rsidRDefault="002A5E43">
    <w:pPr>
      <w:rPr>
        <w:sz w:val="4"/>
        <w:szCs w:val="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43" w:rsidRDefault="002A5E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E43" w:rsidRDefault="002A5E43" w:rsidP="000F3D9F">
      <w:r>
        <w:separator/>
      </w:r>
    </w:p>
  </w:footnote>
  <w:footnote w:type="continuationSeparator" w:id="0">
    <w:p w:rsidR="002A5E43" w:rsidRDefault="002A5E43" w:rsidP="000F3D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468" w:rsidRDefault="009C54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468" w:rsidRDefault="009C54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43" w:rsidRPr="00E8056B" w:rsidRDefault="002A5E43" w:rsidP="001C3659">
    <w:pPr>
      <w:jc w:val="right"/>
      <w:rPr>
        <w:rFonts w:ascii="Arial" w:hAnsi="Arial" w:cs="Arial"/>
        <w:color w:val="FF0000"/>
        <w:sz w:val="18"/>
        <w:szCs w:val="18"/>
      </w:rPr>
    </w:pPr>
    <w:r w:rsidRPr="00E8056B">
      <w:rPr>
        <w:rFonts w:ascii="Arial" w:hAnsi="Arial" w:cs="Arial"/>
        <w:color w:val="000064"/>
        <w:sz w:val="18"/>
        <w:szCs w:val="18"/>
      </w:rPr>
      <w:t xml:space="preserve">AUSTRALIAN TRUCKING </w:t>
    </w:r>
    <w:r w:rsidRPr="00E8056B">
      <w:rPr>
        <w:rFonts w:ascii="Arial" w:hAnsi="Arial" w:cs="Arial"/>
        <w:color w:val="FF0000"/>
        <w:sz w:val="18"/>
        <w:szCs w:val="18"/>
      </w:rPr>
      <w:t>ASSOCIATION</w:t>
    </w:r>
  </w:p>
  <w:p w:rsidR="002A5E43" w:rsidRDefault="002A5E4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43" w:rsidRDefault="002A5E4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43" w:rsidRPr="0019542E" w:rsidRDefault="002A5E43" w:rsidP="00986804">
    <w:pPr>
      <w:jc w:val="right"/>
      <w:rPr>
        <w:sz w:val="4"/>
        <w:szCs w:val="4"/>
      </w:rPr>
    </w:pPr>
    <w:r w:rsidRPr="00565F92">
      <w:rPr>
        <w:rFonts w:ascii="Arial" w:hAnsi="Arial" w:cs="Arial"/>
        <w:color w:val="000064"/>
        <w:sz w:val="18"/>
        <w:szCs w:val="18"/>
      </w:rPr>
      <w:t xml:space="preserve">AUSTRALIAN TRUCKING </w:t>
    </w:r>
    <w:r w:rsidRPr="00565F92">
      <w:rPr>
        <w:rFonts w:ascii="Arial" w:hAnsi="Arial" w:cs="Arial"/>
        <w:color w:val="FF0000"/>
        <w:sz w:val="18"/>
        <w:szCs w:val="18"/>
      </w:rPr>
      <w:t>ASSOCIATION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43" w:rsidRDefault="002A5E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1036"/>
    <w:multiLevelType w:val="hybridMultilevel"/>
    <w:tmpl w:val="2D30E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BE3EBF"/>
    <w:multiLevelType w:val="multilevel"/>
    <w:tmpl w:val="EFECC6E8"/>
    <w:lvl w:ilvl="0">
      <w:start w:val="5"/>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37513A"/>
    <w:multiLevelType w:val="hybridMultilevel"/>
    <w:tmpl w:val="E1A89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6226CF"/>
    <w:multiLevelType w:val="hybridMultilevel"/>
    <w:tmpl w:val="11902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E13615"/>
    <w:multiLevelType w:val="hybridMultilevel"/>
    <w:tmpl w:val="D6286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961AF2"/>
    <w:multiLevelType w:val="hybridMultilevel"/>
    <w:tmpl w:val="EBBAE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6363CB"/>
    <w:multiLevelType w:val="multilevel"/>
    <w:tmpl w:val="5E86D86C"/>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1F540BD"/>
    <w:multiLevelType w:val="hybridMultilevel"/>
    <w:tmpl w:val="721061DE"/>
    <w:lvl w:ilvl="0" w:tplc="0C090001">
      <w:start w:val="1"/>
      <w:numFmt w:val="bullet"/>
      <w:lvlText w:val=""/>
      <w:lvlJc w:val="left"/>
      <w:pPr>
        <w:ind w:left="720" w:hanging="360"/>
      </w:pPr>
      <w:rPr>
        <w:rFonts w:ascii="Symbol" w:hAnsi="Symbol" w:hint="default"/>
      </w:rPr>
    </w:lvl>
    <w:lvl w:ilvl="1" w:tplc="6C406E3E">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7C83FE8"/>
    <w:multiLevelType w:val="hybridMultilevel"/>
    <w:tmpl w:val="EF88E13E"/>
    <w:lvl w:ilvl="0" w:tplc="0C090001">
      <w:start w:val="1"/>
      <w:numFmt w:val="bullet"/>
      <w:lvlText w:val=""/>
      <w:lvlJc w:val="left"/>
      <w:pPr>
        <w:ind w:left="751" w:hanging="360"/>
      </w:pPr>
      <w:rPr>
        <w:rFonts w:ascii="Symbol" w:hAnsi="Symbol" w:hint="default"/>
      </w:rPr>
    </w:lvl>
    <w:lvl w:ilvl="1" w:tplc="0C090003" w:tentative="1">
      <w:start w:val="1"/>
      <w:numFmt w:val="bullet"/>
      <w:lvlText w:val="o"/>
      <w:lvlJc w:val="left"/>
      <w:pPr>
        <w:ind w:left="1471" w:hanging="360"/>
      </w:pPr>
      <w:rPr>
        <w:rFonts w:ascii="Courier New" w:hAnsi="Courier New" w:cs="Courier New" w:hint="default"/>
      </w:rPr>
    </w:lvl>
    <w:lvl w:ilvl="2" w:tplc="0C090005" w:tentative="1">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9">
    <w:nsid w:val="3DA35423"/>
    <w:multiLevelType w:val="hybridMultilevel"/>
    <w:tmpl w:val="8968C0E4"/>
    <w:lvl w:ilvl="0" w:tplc="815878FA">
      <w:start w:val="1"/>
      <w:numFmt w:val="decimal"/>
      <w:pStyle w:val="RecommendationStyle"/>
      <w:lvlText w:val="Recommendation %1"/>
      <w:lvlJc w:val="left"/>
      <w:pPr>
        <w:tabs>
          <w:tab w:val="num" w:pos="1192"/>
        </w:tabs>
      </w:pPr>
      <w:rPr>
        <w:rFonts w:ascii="Arial" w:hAnsi="Arial" w:cs="Times New Roman" w:hint="default"/>
        <w:b/>
        <w:i/>
        <w:caps w:val="0"/>
        <w:strike w:val="0"/>
        <w:dstrike w:val="0"/>
        <w:outline w:val="0"/>
        <w:shadow w:val="0"/>
        <w:emboss w:val="0"/>
        <w:imprint w:val="0"/>
        <w:vanish w:val="0"/>
        <w:sz w:val="20"/>
        <w:vertAlign w:val="baseline"/>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nsid w:val="40C34A06"/>
    <w:multiLevelType w:val="hybridMultilevel"/>
    <w:tmpl w:val="133C6AE2"/>
    <w:lvl w:ilvl="0" w:tplc="0C090001">
      <w:start w:val="1"/>
      <w:numFmt w:val="bullet"/>
      <w:lvlText w:val=""/>
      <w:lvlJc w:val="left"/>
      <w:pPr>
        <w:ind w:left="1794" w:hanging="72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nsid w:val="424A51CE"/>
    <w:multiLevelType w:val="hybridMultilevel"/>
    <w:tmpl w:val="8B8052AE"/>
    <w:lvl w:ilvl="0" w:tplc="8D601C28">
      <w:numFmt w:val="bullet"/>
      <w:lvlText w:val="-"/>
      <w:lvlJc w:val="left"/>
      <w:pPr>
        <w:ind w:left="1080" w:hanging="360"/>
      </w:pPr>
      <w:rPr>
        <w:rFonts w:ascii="Calibri" w:eastAsia="Calibri"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430442B3"/>
    <w:multiLevelType w:val="hybridMultilevel"/>
    <w:tmpl w:val="1368D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E3B6FCA"/>
    <w:multiLevelType w:val="multilevel"/>
    <w:tmpl w:val="BC20B5AC"/>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E961E13"/>
    <w:multiLevelType w:val="hybridMultilevel"/>
    <w:tmpl w:val="35020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EA00A9"/>
    <w:multiLevelType w:val="hybridMultilevel"/>
    <w:tmpl w:val="47947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971021A"/>
    <w:multiLevelType w:val="multilevel"/>
    <w:tmpl w:val="93628718"/>
    <w:lvl w:ilvl="0">
      <w:start w:val="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9B95156"/>
    <w:multiLevelType w:val="hybridMultilevel"/>
    <w:tmpl w:val="368AC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D554ED9"/>
    <w:multiLevelType w:val="multilevel"/>
    <w:tmpl w:val="652E1C90"/>
    <w:lvl w:ilvl="0">
      <w:start w:val="1"/>
      <w:numFmt w:val="decimal"/>
      <w:pStyle w:val="Heading1"/>
      <w:lvlText w:val="%1."/>
      <w:lvlJc w:val="left"/>
      <w:pPr>
        <w:ind w:left="360" w:hanging="360"/>
      </w:pPr>
      <w:rPr>
        <w:rFonts w:cs="Times New Roman" w:hint="default"/>
      </w:rPr>
    </w:lvl>
    <w:lvl w:ilvl="1">
      <w:start w:val="1"/>
      <w:numFmt w:val="decimal"/>
      <w:pStyle w:val="ATAHeading2"/>
      <w:lvlText w:val="%1.%2."/>
      <w:lvlJc w:val="left"/>
      <w:pPr>
        <w:ind w:left="716" w:hanging="432"/>
      </w:pPr>
      <w:rPr>
        <w:rFonts w:cs="Times New Roman" w:hint="default"/>
      </w:rPr>
    </w:lvl>
    <w:lvl w:ilvl="2">
      <w:start w:val="1"/>
      <w:numFmt w:val="decimal"/>
      <w:pStyle w:val="ATAHeading3"/>
      <w:lvlText w:val="%1.%2.%3."/>
      <w:lvlJc w:val="left"/>
      <w:pPr>
        <w:ind w:left="1224" w:hanging="504"/>
      </w:pPr>
      <w:rPr>
        <w:rFonts w:cs="Times New Roman" w:hint="default"/>
        <w:b/>
        <w:color w:val="00006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606668BF"/>
    <w:multiLevelType w:val="hybridMultilevel"/>
    <w:tmpl w:val="4440C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5CF786C"/>
    <w:multiLevelType w:val="hybridMultilevel"/>
    <w:tmpl w:val="21D68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C082D17"/>
    <w:multiLevelType w:val="hybridMultilevel"/>
    <w:tmpl w:val="1B806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EBB5248"/>
    <w:multiLevelType w:val="hybridMultilevel"/>
    <w:tmpl w:val="AE7AEA5C"/>
    <w:lvl w:ilvl="0" w:tplc="6C406E3E">
      <w:start w:val="1"/>
      <w:numFmt w:val="bullet"/>
      <w:lvlText w:val="-"/>
      <w:lvlJc w:val="left"/>
      <w:pPr>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78442215"/>
    <w:multiLevelType w:val="hybridMultilevel"/>
    <w:tmpl w:val="BBC60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869338C"/>
    <w:multiLevelType w:val="hybridMultilevel"/>
    <w:tmpl w:val="61D6B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97E2CAB"/>
    <w:multiLevelType w:val="hybridMultilevel"/>
    <w:tmpl w:val="C1CEA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E641F81"/>
    <w:multiLevelType w:val="hybridMultilevel"/>
    <w:tmpl w:val="BE2AE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5"/>
  </w:num>
  <w:num w:numId="4">
    <w:abstractNumId w:val="15"/>
  </w:num>
  <w:num w:numId="5">
    <w:abstractNumId w:val="22"/>
  </w:num>
  <w:num w:numId="6">
    <w:abstractNumId w:val="23"/>
  </w:num>
  <w:num w:numId="7">
    <w:abstractNumId w:val="10"/>
  </w:num>
  <w:num w:numId="8">
    <w:abstractNumId w:val="24"/>
  </w:num>
  <w:num w:numId="9">
    <w:abstractNumId w:val="0"/>
  </w:num>
  <w:num w:numId="10">
    <w:abstractNumId w:val="8"/>
  </w:num>
  <w:num w:numId="11">
    <w:abstractNumId w:val="3"/>
  </w:num>
  <w:num w:numId="12">
    <w:abstractNumId w:val="14"/>
  </w:num>
  <w:num w:numId="13">
    <w:abstractNumId w:val="19"/>
  </w:num>
  <w:num w:numId="14">
    <w:abstractNumId w:val="4"/>
  </w:num>
  <w:num w:numId="15">
    <w:abstractNumId w:val="6"/>
  </w:num>
  <w:num w:numId="16">
    <w:abstractNumId w:val="13"/>
  </w:num>
  <w:num w:numId="17">
    <w:abstractNumId w:val="16"/>
  </w:num>
  <w:num w:numId="18">
    <w:abstractNumId w:val="1"/>
  </w:num>
  <w:num w:numId="19">
    <w:abstractNumId w:val="18"/>
  </w:num>
  <w:num w:numId="20">
    <w:abstractNumId w:val="7"/>
  </w:num>
  <w:num w:numId="21">
    <w:abstractNumId w:val="12"/>
  </w:num>
  <w:num w:numId="22">
    <w:abstractNumId w:val="21"/>
  </w:num>
  <w:num w:numId="23">
    <w:abstractNumId w:val="20"/>
  </w:num>
  <w:num w:numId="24">
    <w:abstractNumId w:val="26"/>
  </w:num>
  <w:num w:numId="25">
    <w:abstractNumId w:val="2"/>
  </w:num>
  <w:num w:numId="26">
    <w:abstractNumId w:val="11"/>
  </w:num>
  <w:num w:numId="27">
    <w:abstractNumId w:val="17"/>
  </w:num>
  <w:num w:numId="28">
    <w:abstractNumId w:val="5"/>
  </w:num>
  <w:num w:numId="29">
    <w:abstractNumId w:val="18"/>
  </w:num>
  <w:num w:numId="30">
    <w:abstractNumId w:val="18"/>
  </w:num>
  <w:num w:numId="31">
    <w:abstractNumId w:val="18"/>
  </w:num>
  <w:num w:numId="32">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8195"/>
  </w:hdrShapeDefaults>
  <w:footnotePr>
    <w:footnote w:id="-1"/>
    <w:footnote w:id="0"/>
  </w:footnotePr>
  <w:endnotePr>
    <w:endnote w:id="-1"/>
    <w:endnote w:id="0"/>
  </w:endnotePr>
  <w:compat/>
  <w:rsids>
    <w:rsidRoot w:val="002278E9"/>
    <w:rsid w:val="0000052A"/>
    <w:rsid w:val="00000CE3"/>
    <w:rsid w:val="00001E4D"/>
    <w:rsid w:val="00005A35"/>
    <w:rsid w:val="00005E0D"/>
    <w:rsid w:val="00006297"/>
    <w:rsid w:val="00006C53"/>
    <w:rsid w:val="00007CA7"/>
    <w:rsid w:val="00011661"/>
    <w:rsid w:val="000156D1"/>
    <w:rsid w:val="000169A5"/>
    <w:rsid w:val="00020B9C"/>
    <w:rsid w:val="00020E0E"/>
    <w:rsid w:val="000210A5"/>
    <w:rsid w:val="00021886"/>
    <w:rsid w:val="00021D7D"/>
    <w:rsid w:val="00027E86"/>
    <w:rsid w:val="0003251D"/>
    <w:rsid w:val="00035CFC"/>
    <w:rsid w:val="0004081E"/>
    <w:rsid w:val="00040876"/>
    <w:rsid w:val="00040B35"/>
    <w:rsid w:val="000447B1"/>
    <w:rsid w:val="00046251"/>
    <w:rsid w:val="000473E3"/>
    <w:rsid w:val="00050AC8"/>
    <w:rsid w:val="00050CE6"/>
    <w:rsid w:val="00052E9C"/>
    <w:rsid w:val="00053DCB"/>
    <w:rsid w:val="00056113"/>
    <w:rsid w:val="00056A74"/>
    <w:rsid w:val="00060365"/>
    <w:rsid w:val="00060651"/>
    <w:rsid w:val="00061C93"/>
    <w:rsid w:val="0006283B"/>
    <w:rsid w:val="00063D15"/>
    <w:rsid w:val="00067698"/>
    <w:rsid w:val="00070737"/>
    <w:rsid w:val="00071A71"/>
    <w:rsid w:val="0007542B"/>
    <w:rsid w:val="00075E7B"/>
    <w:rsid w:val="00077364"/>
    <w:rsid w:val="00083C15"/>
    <w:rsid w:val="000848A1"/>
    <w:rsid w:val="00086A56"/>
    <w:rsid w:val="00087208"/>
    <w:rsid w:val="00091EB9"/>
    <w:rsid w:val="00093679"/>
    <w:rsid w:val="00094FE3"/>
    <w:rsid w:val="00095C3B"/>
    <w:rsid w:val="00096B02"/>
    <w:rsid w:val="00097329"/>
    <w:rsid w:val="000976B9"/>
    <w:rsid w:val="000A2163"/>
    <w:rsid w:val="000A2996"/>
    <w:rsid w:val="000A2BCF"/>
    <w:rsid w:val="000A2C1A"/>
    <w:rsid w:val="000A4EB0"/>
    <w:rsid w:val="000A6499"/>
    <w:rsid w:val="000B0410"/>
    <w:rsid w:val="000B069A"/>
    <w:rsid w:val="000B1819"/>
    <w:rsid w:val="000B496C"/>
    <w:rsid w:val="000C049C"/>
    <w:rsid w:val="000C0C35"/>
    <w:rsid w:val="000C0F58"/>
    <w:rsid w:val="000C2307"/>
    <w:rsid w:val="000C4A62"/>
    <w:rsid w:val="000C5F2D"/>
    <w:rsid w:val="000C7BBC"/>
    <w:rsid w:val="000D033C"/>
    <w:rsid w:val="000D5E4E"/>
    <w:rsid w:val="000D6EF5"/>
    <w:rsid w:val="000D7CD4"/>
    <w:rsid w:val="000E7B14"/>
    <w:rsid w:val="000F0F7B"/>
    <w:rsid w:val="000F314E"/>
    <w:rsid w:val="000F34E0"/>
    <w:rsid w:val="000F3D9F"/>
    <w:rsid w:val="000F53C2"/>
    <w:rsid w:val="000F566E"/>
    <w:rsid w:val="000F7F6F"/>
    <w:rsid w:val="00100A35"/>
    <w:rsid w:val="00103E24"/>
    <w:rsid w:val="00104E44"/>
    <w:rsid w:val="001051CB"/>
    <w:rsid w:val="00110610"/>
    <w:rsid w:val="00110A53"/>
    <w:rsid w:val="001121A8"/>
    <w:rsid w:val="0011347C"/>
    <w:rsid w:val="00114FC5"/>
    <w:rsid w:val="001176CB"/>
    <w:rsid w:val="00121A4F"/>
    <w:rsid w:val="00121A53"/>
    <w:rsid w:val="00122285"/>
    <w:rsid w:val="00125023"/>
    <w:rsid w:val="0013041A"/>
    <w:rsid w:val="001320D2"/>
    <w:rsid w:val="00132E36"/>
    <w:rsid w:val="00134E0D"/>
    <w:rsid w:val="001368EB"/>
    <w:rsid w:val="00141274"/>
    <w:rsid w:val="00141395"/>
    <w:rsid w:val="0014300C"/>
    <w:rsid w:val="001431E4"/>
    <w:rsid w:val="0014683D"/>
    <w:rsid w:val="00150065"/>
    <w:rsid w:val="0015062F"/>
    <w:rsid w:val="0015211C"/>
    <w:rsid w:val="00152A71"/>
    <w:rsid w:val="001533F1"/>
    <w:rsid w:val="0015359E"/>
    <w:rsid w:val="0015386B"/>
    <w:rsid w:val="001546A7"/>
    <w:rsid w:val="001552BC"/>
    <w:rsid w:val="00160FE3"/>
    <w:rsid w:val="001611AB"/>
    <w:rsid w:val="00163879"/>
    <w:rsid w:val="001639CE"/>
    <w:rsid w:val="00166CBD"/>
    <w:rsid w:val="00167142"/>
    <w:rsid w:val="00167289"/>
    <w:rsid w:val="00171CAE"/>
    <w:rsid w:val="00172FC4"/>
    <w:rsid w:val="00174273"/>
    <w:rsid w:val="00174F8B"/>
    <w:rsid w:val="00176C09"/>
    <w:rsid w:val="001807A8"/>
    <w:rsid w:val="001811B8"/>
    <w:rsid w:val="0018181C"/>
    <w:rsid w:val="001855CD"/>
    <w:rsid w:val="00192776"/>
    <w:rsid w:val="0019542E"/>
    <w:rsid w:val="00195C1B"/>
    <w:rsid w:val="00197B9E"/>
    <w:rsid w:val="001A0DC3"/>
    <w:rsid w:val="001A0DEF"/>
    <w:rsid w:val="001A3A47"/>
    <w:rsid w:val="001A6510"/>
    <w:rsid w:val="001B0529"/>
    <w:rsid w:val="001B0E57"/>
    <w:rsid w:val="001B2CD7"/>
    <w:rsid w:val="001B3675"/>
    <w:rsid w:val="001B36AC"/>
    <w:rsid w:val="001B3E52"/>
    <w:rsid w:val="001B5390"/>
    <w:rsid w:val="001C05C2"/>
    <w:rsid w:val="001C0C68"/>
    <w:rsid w:val="001C125D"/>
    <w:rsid w:val="001C3659"/>
    <w:rsid w:val="001C5B41"/>
    <w:rsid w:val="001D2D61"/>
    <w:rsid w:val="001D50C7"/>
    <w:rsid w:val="001D64FE"/>
    <w:rsid w:val="001D77A8"/>
    <w:rsid w:val="001D7817"/>
    <w:rsid w:val="001E027A"/>
    <w:rsid w:val="001E0A75"/>
    <w:rsid w:val="001E1BA9"/>
    <w:rsid w:val="001E3AC7"/>
    <w:rsid w:val="001E474C"/>
    <w:rsid w:val="001E5BE0"/>
    <w:rsid w:val="001E5C29"/>
    <w:rsid w:val="001E70A3"/>
    <w:rsid w:val="001F0C6E"/>
    <w:rsid w:val="001F1455"/>
    <w:rsid w:val="001F187C"/>
    <w:rsid w:val="001F7268"/>
    <w:rsid w:val="00200A50"/>
    <w:rsid w:val="0020303C"/>
    <w:rsid w:val="002041FF"/>
    <w:rsid w:val="002067C0"/>
    <w:rsid w:val="00207B6B"/>
    <w:rsid w:val="00207DE8"/>
    <w:rsid w:val="00210088"/>
    <w:rsid w:val="0021270C"/>
    <w:rsid w:val="0021283E"/>
    <w:rsid w:val="002137D3"/>
    <w:rsid w:val="00215F0D"/>
    <w:rsid w:val="00216CE6"/>
    <w:rsid w:val="002249C6"/>
    <w:rsid w:val="00225B24"/>
    <w:rsid w:val="002278E9"/>
    <w:rsid w:val="0023094F"/>
    <w:rsid w:val="00230DFC"/>
    <w:rsid w:val="002333DB"/>
    <w:rsid w:val="00237081"/>
    <w:rsid w:val="00241C15"/>
    <w:rsid w:val="00243731"/>
    <w:rsid w:val="00247B21"/>
    <w:rsid w:val="00250025"/>
    <w:rsid w:val="0025225E"/>
    <w:rsid w:val="002527BE"/>
    <w:rsid w:val="00252AA9"/>
    <w:rsid w:val="002542D1"/>
    <w:rsid w:val="00254301"/>
    <w:rsid w:val="002543DF"/>
    <w:rsid w:val="00255617"/>
    <w:rsid w:val="00257D05"/>
    <w:rsid w:val="00260827"/>
    <w:rsid w:val="00262C0A"/>
    <w:rsid w:val="00263A7C"/>
    <w:rsid w:val="002647C3"/>
    <w:rsid w:val="00265EB9"/>
    <w:rsid w:val="00266881"/>
    <w:rsid w:val="00266915"/>
    <w:rsid w:val="00270995"/>
    <w:rsid w:val="00277981"/>
    <w:rsid w:val="00282EF9"/>
    <w:rsid w:val="0028399D"/>
    <w:rsid w:val="00291C6F"/>
    <w:rsid w:val="0029355B"/>
    <w:rsid w:val="002938B5"/>
    <w:rsid w:val="00295501"/>
    <w:rsid w:val="00296633"/>
    <w:rsid w:val="00296A47"/>
    <w:rsid w:val="002A0532"/>
    <w:rsid w:val="002A061F"/>
    <w:rsid w:val="002A243F"/>
    <w:rsid w:val="002A3F63"/>
    <w:rsid w:val="002A4859"/>
    <w:rsid w:val="002A4F45"/>
    <w:rsid w:val="002A5C2E"/>
    <w:rsid w:val="002A5E43"/>
    <w:rsid w:val="002A7CB7"/>
    <w:rsid w:val="002B0559"/>
    <w:rsid w:val="002B0F48"/>
    <w:rsid w:val="002B172B"/>
    <w:rsid w:val="002B22EC"/>
    <w:rsid w:val="002B3668"/>
    <w:rsid w:val="002B381D"/>
    <w:rsid w:val="002B54EF"/>
    <w:rsid w:val="002B75FA"/>
    <w:rsid w:val="002B7A60"/>
    <w:rsid w:val="002C015C"/>
    <w:rsid w:val="002C0499"/>
    <w:rsid w:val="002C1799"/>
    <w:rsid w:val="002C2485"/>
    <w:rsid w:val="002C5598"/>
    <w:rsid w:val="002D1187"/>
    <w:rsid w:val="002D592D"/>
    <w:rsid w:val="002E06F2"/>
    <w:rsid w:val="002E226D"/>
    <w:rsid w:val="002E453E"/>
    <w:rsid w:val="002E5D82"/>
    <w:rsid w:val="002E5F39"/>
    <w:rsid w:val="002E6075"/>
    <w:rsid w:val="002E7897"/>
    <w:rsid w:val="002E7F28"/>
    <w:rsid w:val="002F2F65"/>
    <w:rsid w:val="002F3241"/>
    <w:rsid w:val="002F438C"/>
    <w:rsid w:val="002F5A71"/>
    <w:rsid w:val="002F632C"/>
    <w:rsid w:val="00302E87"/>
    <w:rsid w:val="00304B46"/>
    <w:rsid w:val="003054ED"/>
    <w:rsid w:val="00306FBF"/>
    <w:rsid w:val="00307FF7"/>
    <w:rsid w:val="0031355E"/>
    <w:rsid w:val="00315333"/>
    <w:rsid w:val="00320AFE"/>
    <w:rsid w:val="00321A43"/>
    <w:rsid w:val="0032308F"/>
    <w:rsid w:val="00325A6C"/>
    <w:rsid w:val="003265BF"/>
    <w:rsid w:val="00330F29"/>
    <w:rsid w:val="00336512"/>
    <w:rsid w:val="00336760"/>
    <w:rsid w:val="00336EBD"/>
    <w:rsid w:val="00342826"/>
    <w:rsid w:val="00350300"/>
    <w:rsid w:val="00351556"/>
    <w:rsid w:val="00351657"/>
    <w:rsid w:val="00351D4B"/>
    <w:rsid w:val="003533CA"/>
    <w:rsid w:val="00354394"/>
    <w:rsid w:val="0035493A"/>
    <w:rsid w:val="00354D3F"/>
    <w:rsid w:val="00354DA6"/>
    <w:rsid w:val="00356D3A"/>
    <w:rsid w:val="00360759"/>
    <w:rsid w:val="00364BA5"/>
    <w:rsid w:val="0036535E"/>
    <w:rsid w:val="00372137"/>
    <w:rsid w:val="00374990"/>
    <w:rsid w:val="00380998"/>
    <w:rsid w:val="00384772"/>
    <w:rsid w:val="00385F00"/>
    <w:rsid w:val="00385F9E"/>
    <w:rsid w:val="0039063B"/>
    <w:rsid w:val="00390696"/>
    <w:rsid w:val="003911E4"/>
    <w:rsid w:val="00392BC1"/>
    <w:rsid w:val="0039442F"/>
    <w:rsid w:val="003A4520"/>
    <w:rsid w:val="003B1937"/>
    <w:rsid w:val="003B2024"/>
    <w:rsid w:val="003B23CF"/>
    <w:rsid w:val="003B56E7"/>
    <w:rsid w:val="003B6265"/>
    <w:rsid w:val="003B74E4"/>
    <w:rsid w:val="003B76E9"/>
    <w:rsid w:val="003B7C68"/>
    <w:rsid w:val="003C2311"/>
    <w:rsid w:val="003C2DEE"/>
    <w:rsid w:val="003C42D2"/>
    <w:rsid w:val="003C4664"/>
    <w:rsid w:val="003C6E58"/>
    <w:rsid w:val="003D0AC3"/>
    <w:rsid w:val="003D1163"/>
    <w:rsid w:val="003D27E1"/>
    <w:rsid w:val="003D3DC0"/>
    <w:rsid w:val="003D4281"/>
    <w:rsid w:val="003D5C05"/>
    <w:rsid w:val="003D6F49"/>
    <w:rsid w:val="003D75FC"/>
    <w:rsid w:val="003E2B20"/>
    <w:rsid w:val="003E3D6A"/>
    <w:rsid w:val="003E4EFE"/>
    <w:rsid w:val="003E7053"/>
    <w:rsid w:val="003F0B5C"/>
    <w:rsid w:val="003F0F16"/>
    <w:rsid w:val="003F6CA9"/>
    <w:rsid w:val="00400142"/>
    <w:rsid w:val="004008C7"/>
    <w:rsid w:val="004008D8"/>
    <w:rsid w:val="00402138"/>
    <w:rsid w:val="00403823"/>
    <w:rsid w:val="00404392"/>
    <w:rsid w:val="00404731"/>
    <w:rsid w:val="00404820"/>
    <w:rsid w:val="004053D4"/>
    <w:rsid w:val="00406222"/>
    <w:rsid w:val="00407EF2"/>
    <w:rsid w:val="00410341"/>
    <w:rsid w:val="004115B6"/>
    <w:rsid w:val="004116EA"/>
    <w:rsid w:val="00411877"/>
    <w:rsid w:val="0041272C"/>
    <w:rsid w:val="004130C2"/>
    <w:rsid w:val="00413868"/>
    <w:rsid w:val="00414BFC"/>
    <w:rsid w:val="00415126"/>
    <w:rsid w:val="00420431"/>
    <w:rsid w:val="0042052C"/>
    <w:rsid w:val="00420F75"/>
    <w:rsid w:val="00421306"/>
    <w:rsid w:val="00422BB7"/>
    <w:rsid w:val="00423CC7"/>
    <w:rsid w:val="00423CCC"/>
    <w:rsid w:val="00424D3E"/>
    <w:rsid w:val="0042557B"/>
    <w:rsid w:val="004263BE"/>
    <w:rsid w:val="00432273"/>
    <w:rsid w:val="00433B30"/>
    <w:rsid w:val="004353C2"/>
    <w:rsid w:val="00440231"/>
    <w:rsid w:val="00443123"/>
    <w:rsid w:val="004436EB"/>
    <w:rsid w:val="00445CDC"/>
    <w:rsid w:val="00450FF8"/>
    <w:rsid w:val="00454D08"/>
    <w:rsid w:val="00455514"/>
    <w:rsid w:val="00462423"/>
    <w:rsid w:val="00463025"/>
    <w:rsid w:val="004640D1"/>
    <w:rsid w:val="00466E7F"/>
    <w:rsid w:val="00473A75"/>
    <w:rsid w:val="00475C39"/>
    <w:rsid w:val="00483BAA"/>
    <w:rsid w:val="00483F2E"/>
    <w:rsid w:val="00484068"/>
    <w:rsid w:val="00484C78"/>
    <w:rsid w:val="00487F0F"/>
    <w:rsid w:val="00490BB8"/>
    <w:rsid w:val="004952A7"/>
    <w:rsid w:val="0049636E"/>
    <w:rsid w:val="004977DE"/>
    <w:rsid w:val="00497CD2"/>
    <w:rsid w:val="004A2F6F"/>
    <w:rsid w:val="004A325F"/>
    <w:rsid w:val="004B0BF5"/>
    <w:rsid w:val="004B26EB"/>
    <w:rsid w:val="004B3EF6"/>
    <w:rsid w:val="004B4B20"/>
    <w:rsid w:val="004B509F"/>
    <w:rsid w:val="004B5FA9"/>
    <w:rsid w:val="004B6187"/>
    <w:rsid w:val="004B64C9"/>
    <w:rsid w:val="004C21BB"/>
    <w:rsid w:val="004C3CC3"/>
    <w:rsid w:val="004C7AD5"/>
    <w:rsid w:val="004C7EE3"/>
    <w:rsid w:val="004D3774"/>
    <w:rsid w:val="004D42D0"/>
    <w:rsid w:val="004D6BAD"/>
    <w:rsid w:val="004E1EBB"/>
    <w:rsid w:val="004E5885"/>
    <w:rsid w:val="004E5EA3"/>
    <w:rsid w:val="004F112A"/>
    <w:rsid w:val="004F38D2"/>
    <w:rsid w:val="004F3B07"/>
    <w:rsid w:val="004F500B"/>
    <w:rsid w:val="004F79DA"/>
    <w:rsid w:val="00500BCF"/>
    <w:rsid w:val="00501270"/>
    <w:rsid w:val="00502292"/>
    <w:rsid w:val="005022E4"/>
    <w:rsid w:val="0050368F"/>
    <w:rsid w:val="00503808"/>
    <w:rsid w:val="00504707"/>
    <w:rsid w:val="00504A7C"/>
    <w:rsid w:val="00510952"/>
    <w:rsid w:val="005121FD"/>
    <w:rsid w:val="00512B6D"/>
    <w:rsid w:val="0052056E"/>
    <w:rsid w:val="005223FD"/>
    <w:rsid w:val="00525303"/>
    <w:rsid w:val="0053137B"/>
    <w:rsid w:val="0053194E"/>
    <w:rsid w:val="0053236A"/>
    <w:rsid w:val="00532BFB"/>
    <w:rsid w:val="00532EDD"/>
    <w:rsid w:val="00532F0A"/>
    <w:rsid w:val="00533381"/>
    <w:rsid w:val="00533467"/>
    <w:rsid w:val="00533DD1"/>
    <w:rsid w:val="0053492E"/>
    <w:rsid w:val="00535863"/>
    <w:rsid w:val="005359BF"/>
    <w:rsid w:val="005365E0"/>
    <w:rsid w:val="00542877"/>
    <w:rsid w:val="00543163"/>
    <w:rsid w:val="00545151"/>
    <w:rsid w:val="00545CB8"/>
    <w:rsid w:val="00550256"/>
    <w:rsid w:val="005507D4"/>
    <w:rsid w:val="005520B3"/>
    <w:rsid w:val="00552289"/>
    <w:rsid w:val="005551EA"/>
    <w:rsid w:val="005571CA"/>
    <w:rsid w:val="0056179B"/>
    <w:rsid w:val="0056479F"/>
    <w:rsid w:val="005648B3"/>
    <w:rsid w:val="00564DAA"/>
    <w:rsid w:val="00565F92"/>
    <w:rsid w:val="00566D20"/>
    <w:rsid w:val="0057019E"/>
    <w:rsid w:val="0057591D"/>
    <w:rsid w:val="00576ED0"/>
    <w:rsid w:val="00576F0D"/>
    <w:rsid w:val="005773CF"/>
    <w:rsid w:val="0057783F"/>
    <w:rsid w:val="00580BDF"/>
    <w:rsid w:val="0058247C"/>
    <w:rsid w:val="00583369"/>
    <w:rsid w:val="00583CD7"/>
    <w:rsid w:val="00585828"/>
    <w:rsid w:val="00587C8F"/>
    <w:rsid w:val="00593217"/>
    <w:rsid w:val="0059482D"/>
    <w:rsid w:val="00596872"/>
    <w:rsid w:val="005A2A86"/>
    <w:rsid w:val="005A38CD"/>
    <w:rsid w:val="005B0230"/>
    <w:rsid w:val="005B1179"/>
    <w:rsid w:val="005B3729"/>
    <w:rsid w:val="005B4CA8"/>
    <w:rsid w:val="005B4F21"/>
    <w:rsid w:val="005B68E9"/>
    <w:rsid w:val="005C31A0"/>
    <w:rsid w:val="005C4492"/>
    <w:rsid w:val="005C4952"/>
    <w:rsid w:val="005C63F7"/>
    <w:rsid w:val="005D2355"/>
    <w:rsid w:val="005D2445"/>
    <w:rsid w:val="005D6CD2"/>
    <w:rsid w:val="005E117A"/>
    <w:rsid w:val="005E11FC"/>
    <w:rsid w:val="005E20ED"/>
    <w:rsid w:val="005E23F5"/>
    <w:rsid w:val="005E28FB"/>
    <w:rsid w:val="005E43EF"/>
    <w:rsid w:val="005E6294"/>
    <w:rsid w:val="005E661C"/>
    <w:rsid w:val="005E69BD"/>
    <w:rsid w:val="005E6D8B"/>
    <w:rsid w:val="005F1009"/>
    <w:rsid w:val="005F21D1"/>
    <w:rsid w:val="005F31DF"/>
    <w:rsid w:val="005F4FBC"/>
    <w:rsid w:val="005F5ACC"/>
    <w:rsid w:val="005F69CC"/>
    <w:rsid w:val="00600132"/>
    <w:rsid w:val="006007D6"/>
    <w:rsid w:val="00600AC6"/>
    <w:rsid w:val="006014C4"/>
    <w:rsid w:val="00601B01"/>
    <w:rsid w:val="00603655"/>
    <w:rsid w:val="00605FB9"/>
    <w:rsid w:val="006109E9"/>
    <w:rsid w:val="00610CFE"/>
    <w:rsid w:val="006110D1"/>
    <w:rsid w:val="006123DD"/>
    <w:rsid w:val="00622245"/>
    <w:rsid w:val="006244DA"/>
    <w:rsid w:val="00625BAD"/>
    <w:rsid w:val="006278F6"/>
    <w:rsid w:val="00627F56"/>
    <w:rsid w:val="00631AA6"/>
    <w:rsid w:val="00632AA0"/>
    <w:rsid w:val="00632D04"/>
    <w:rsid w:val="006331D5"/>
    <w:rsid w:val="00634824"/>
    <w:rsid w:val="0063609C"/>
    <w:rsid w:val="0063713C"/>
    <w:rsid w:val="00640DAD"/>
    <w:rsid w:val="006458F3"/>
    <w:rsid w:val="00646B21"/>
    <w:rsid w:val="00647CAF"/>
    <w:rsid w:val="00647FBE"/>
    <w:rsid w:val="00650566"/>
    <w:rsid w:val="006509D3"/>
    <w:rsid w:val="00651339"/>
    <w:rsid w:val="0065569F"/>
    <w:rsid w:val="00664D33"/>
    <w:rsid w:val="00666A1A"/>
    <w:rsid w:val="00667036"/>
    <w:rsid w:val="0066769B"/>
    <w:rsid w:val="006677C7"/>
    <w:rsid w:val="00682B89"/>
    <w:rsid w:val="006836BD"/>
    <w:rsid w:val="00683D7C"/>
    <w:rsid w:val="0068426C"/>
    <w:rsid w:val="00685443"/>
    <w:rsid w:val="00685459"/>
    <w:rsid w:val="006858FF"/>
    <w:rsid w:val="006859F7"/>
    <w:rsid w:val="00686470"/>
    <w:rsid w:val="0069019B"/>
    <w:rsid w:val="006932F3"/>
    <w:rsid w:val="00693363"/>
    <w:rsid w:val="006939CC"/>
    <w:rsid w:val="0069483A"/>
    <w:rsid w:val="00694C83"/>
    <w:rsid w:val="006A0105"/>
    <w:rsid w:val="006A1612"/>
    <w:rsid w:val="006A208A"/>
    <w:rsid w:val="006A522F"/>
    <w:rsid w:val="006A52C4"/>
    <w:rsid w:val="006A63B2"/>
    <w:rsid w:val="006A7735"/>
    <w:rsid w:val="006A797E"/>
    <w:rsid w:val="006B36C8"/>
    <w:rsid w:val="006B4B45"/>
    <w:rsid w:val="006B558F"/>
    <w:rsid w:val="006C10FD"/>
    <w:rsid w:val="006C38AD"/>
    <w:rsid w:val="006C428F"/>
    <w:rsid w:val="006D4D41"/>
    <w:rsid w:val="006D7818"/>
    <w:rsid w:val="006E026F"/>
    <w:rsid w:val="006E26D5"/>
    <w:rsid w:val="006F050F"/>
    <w:rsid w:val="006F0BC5"/>
    <w:rsid w:val="006F0C79"/>
    <w:rsid w:val="006F0EA4"/>
    <w:rsid w:val="006F2893"/>
    <w:rsid w:val="00704823"/>
    <w:rsid w:val="007062D8"/>
    <w:rsid w:val="00710395"/>
    <w:rsid w:val="00714204"/>
    <w:rsid w:val="00714621"/>
    <w:rsid w:val="007162A5"/>
    <w:rsid w:val="0071719F"/>
    <w:rsid w:val="0071762D"/>
    <w:rsid w:val="00717BAD"/>
    <w:rsid w:val="00725BC0"/>
    <w:rsid w:val="00726797"/>
    <w:rsid w:val="007270C9"/>
    <w:rsid w:val="00731DC4"/>
    <w:rsid w:val="00737149"/>
    <w:rsid w:val="00740005"/>
    <w:rsid w:val="00740DF8"/>
    <w:rsid w:val="00741304"/>
    <w:rsid w:val="00745940"/>
    <w:rsid w:val="007468FB"/>
    <w:rsid w:val="00746BF5"/>
    <w:rsid w:val="007470CF"/>
    <w:rsid w:val="00751BF0"/>
    <w:rsid w:val="00753F95"/>
    <w:rsid w:val="0075427A"/>
    <w:rsid w:val="00754EBD"/>
    <w:rsid w:val="007551E1"/>
    <w:rsid w:val="00757C3B"/>
    <w:rsid w:val="0076023A"/>
    <w:rsid w:val="0076304F"/>
    <w:rsid w:val="00763C32"/>
    <w:rsid w:val="00770FEB"/>
    <w:rsid w:val="00773733"/>
    <w:rsid w:val="00774FE0"/>
    <w:rsid w:val="0077582D"/>
    <w:rsid w:val="007802E1"/>
    <w:rsid w:val="00782256"/>
    <w:rsid w:val="00791216"/>
    <w:rsid w:val="00792CEB"/>
    <w:rsid w:val="00793AD6"/>
    <w:rsid w:val="00793EA7"/>
    <w:rsid w:val="007940E8"/>
    <w:rsid w:val="00795047"/>
    <w:rsid w:val="007A673A"/>
    <w:rsid w:val="007A69C1"/>
    <w:rsid w:val="007B03E4"/>
    <w:rsid w:val="007B3B54"/>
    <w:rsid w:val="007B3BE2"/>
    <w:rsid w:val="007B665E"/>
    <w:rsid w:val="007B711A"/>
    <w:rsid w:val="007C385B"/>
    <w:rsid w:val="007C3F49"/>
    <w:rsid w:val="007C4C4B"/>
    <w:rsid w:val="007C5879"/>
    <w:rsid w:val="007C5AD5"/>
    <w:rsid w:val="007C746E"/>
    <w:rsid w:val="007C7FD7"/>
    <w:rsid w:val="007D4DD3"/>
    <w:rsid w:val="007D608A"/>
    <w:rsid w:val="007E0773"/>
    <w:rsid w:val="007E0ABA"/>
    <w:rsid w:val="007E3FCC"/>
    <w:rsid w:val="007E6163"/>
    <w:rsid w:val="007E7BC6"/>
    <w:rsid w:val="007E7F34"/>
    <w:rsid w:val="007F0554"/>
    <w:rsid w:val="007F15BB"/>
    <w:rsid w:val="007F2D2A"/>
    <w:rsid w:val="007F3589"/>
    <w:rsid w:val="007F4404"/>
    <w:rsid w:val="007F44BE"/>
    <w:rsid w:val="007F4C48"/>
    <w:rsid w:val="007F4E1E"/>
    <w:rsid w:val="0080211A"/>
    <w:rsid w:val="00804638"/>
    <w:rsid w:val="00804B17"/>
    <w:rsid w:val="008062BF"/>
    <w:rsid w:val="0081411F"/>
    <w:rsid w:val="00814C62"/>
    <w:rsid w:val="00821537"/>
    <w:rsid w:val="0082345F"/>
    <w:rsid w:val="00823880"/>
    <w:rsid w:val="00823AB5"/>
    <w:rsid w:val="008241D3"/>
    <w:rsid w:val="00824D91"/>
    <w:rsid w:val="00825673"/>
    <w:rsid w:val="008257C1"/>
    <w:rsid w:val="00825C08"/>
    <w:rsid w:val="0083058C"/>
    <w:rsid w:val="00830A8A"/>
    <w:rsid w:val="00831AA7"/>
    <w:rsid w:val="00832C0D"/>
    <w:rsid w:val="00836304"/>
    <w:rsid w:val="00846848"/>
    <w:rsid w:val="00846C4C"/>
    <w:rsid w:val="008479ED"/>
    <w:rsid w:val="00847D7A"/>
    <w:rsid w:val="00850D33"/>
    <w:rsid w:val="00852672"/>
    <w:rsid w:val="00852A83"/>
    <w:rsid w:val="00853473"/>
    <w:rsid w:val="00854D3E"/>
    <w:rsid w:val="008561E9"/>
    <w:rsid w:val="00856780"/>
    <w:rsid w:val="00861D20"/>
    <w:rsid w:val="00863B20"/>
    <w:rsid w:val="008648BB"/>
    <w:rsid w:val="008679F8"/>
    <w:rsid w:val="00871395"/>
    <w:rsid w:val="0087242A"/>
    <w:rsid w:val="00872E19"/>
    <w:rsid w:val="00874AAE"/>
    <w:rsid w:val="00875BF1"/>
    <w:rsid w:val="00877FD8"/>
    <w:rsid w:val="008808E3"/>
    <w:rsid w:val="00881A97"/>
    <w:rsid w:val="00882C09"/>
    <w:rsid w:val="00883178"/>
    <w:rsid w:val="00883881"/>
    <w:rsid w:val="00885151"/>
    <w:rsid w:val="00890346"/>
    <w:rsid w:val="008929C1"/>
    <w:rsid w:val="00893728"/>
    <w:rsid w:val="008979D4"/>
    <w:rsid w:val="008A1D8B"/>
    <w:rsid w:val="008A3948"/>
    <w:rsid w:val="008A5088"/>
    <w:rsid w:val="008A5D38"/>
    <w:rsid w:val="008A5FC4"/>
    <w:rsid w:val="008A74F8"/>
    <w:rsid w:val="008B0EEF"/>
    <w:rsid w:val="008B123F"/>
    <w:rsid w:val="008B2A89"/>
    <w:rsid w:val="008B3178"/>
    <w:rsid w:val="008B4082"/>
    <w:rsid w:val="008B7312"/>
    <w:rsid w:val="008C09D2"/>
    <w:rsid w:val="008C10AA"/>
    <w:rsid w:val="008C1818"/>
    <w:rsid w:val="008C21E6"/>
    <w:rsid w:val="008C3592"/>
    <w:rsid w:val="008C38B7"/>
    <w:rsid w:val="008C474A"/>
    <w:rsid w:val="008C6E07"/>
    <w:rsid w:val="008D0899"/>
    <w:rsid w:val="008D3C61"/>
    <w:rsid w:val="008D3E3D"/>
    <w:rsid w:val="008D42D4"/>
    <w:rsid w:val="008D451E"/>
    <w:rsid w:val="008D6B14"/>
    <w:rsid w:val="008D7A86"/>
    <w:rsid w:val="008E09F4"/>
    <w:rsid w:val="008E0C8C"/>
    <w:rsid w:val="008E0E01"/>
    <w:rsid w:val="008E1721"/>
    <w:rsid w:val="008E2AB0"/>
    <w:rsid w:val="008E3865"/>
    <w:rsid w:val="008E417C"/>
    <w:rsid w:val="008E4B38"/>
    <w:rsid w:val="008F09AB"/>
    <w:rsid w:val="008F11A3"/>
    <w:rsid w:val="008F7601"/>
    <w:rsid w:val="008F79E1"/>
    <w:rsid w:val="0090378D"/>
    <w:rsid w:val="00904039"/>
    <w:rsid w:val="00907971"/>
    <w:rsid w:val="00907A05"/>
    <w:rsid w:val="009100A8"/>
    <w:rsid w:val="00912187"/>
    <w:rsid w:val="009132E3"/>
    <w:rsid w:val="009148AC"/>
    <w:rsid w:val="00914C1D"/>
    <w:rsid w:val="00915621"/>
    <w:rsid w:val="00915F3F"/>
    <w:rsid w:val="0091747C"/>
    <w:rsid w:val="00922A9B"/>
    <w:rsid w:val="009231B2"/>
    <w:rsid w:val="00923ADD"/>
    <w:rsid w:val="009279F2"/>
    <w:rsid w:val="00931B2F"/>
    <w:rsid w:val="00932BAB"/>
    <w:rsid w:val="0093306C"/>
    <w:rsid w:val="009339FC"/>
    <w:rsid w:val="009350CE"/>
    <w:rsid w:val="00940B60"/>
    <w:rsid w:val="00940C54"/>
    <w:rsid w:val="00940D05"/>
    <w:rsid w:val="009433C1"/>
    <w:rsid w:val="00943829"/>
    <w:rsid w:val="0094402B"/>
    <w:rsid w:val="00946DC5"/>
    <w:rsid w:val="00946E17"/>
    <w:rsid w:val="00947278"/>
    <w:rsid w:val="009539FA"/>
    <w:rsid w:val="00960FE0"/>
    <w:rsid w:val="0096247E"/>
    <w:rsid w:val="00963D1D"/>
    <w:rsid w:val="00964284"/>
    <w:rsid w:val="00965069"/>
    <w:rsid w:val="00965FDF"/>
    <w:rsid w:val="00975613"/>
    <w:rsid w:val="009802CB"/>
    <w:rsid w:val="0098465E"/>
    <w:rsid w:val="00985D31"/>
    <w:rsid w:val="00986804"/>
    <w:rsid w:val="00993BAE"/>
    <w:rsid w:val="00993E39"/>
    <w:rsid w:val="0099546D"/>
    <w:rsid w:val="00996370"/>
    <w:rsid w:val="00997EED"/>
    <w:rsid w:val="009A375C"/>
    <w:rsid w:val="009A3853"/>
    <w:rsid w:val="009B0520"/>
    <w:rsid w:val="009B4220"/>
    <w:rsid w:val="009B5742"/>
    <w:rsid w:val="009B5DFB"/>
    <w:rsid w:val="009B73F5"/>
    <w:rsid w:val="009C3182"/>
    <w:rsid w:val="009C34F3"/>
    <w:rsid w:val="009C5367"/>
    <w:rsid w:val="009C5468"/>
    <w:rsid w:val="009C5B87"/>
    <w:rsid w:val="009D2F28"/>
    <w:rsid w:val="009D3731"/>
    <w:rsid w:val="009D38A1"/>
    <w:rsid w:val="009D5A21"/>
    <w:rsid w:val="009E3C08"/>
    <w:rsid w:val="009E77F2"/>
    <w:rsid w:val="009F23BD"/>
    <w:rsid w:val="009F593D"/>
    <w:rsid w:val="00A00503"/>
    <w:rsid w:val="00A0156A"/>
    <w:rsid w:val="00A01C6F"/>
    <w:rsid w:val="00A023EA"/>
    <w:rsid w:val="00A02A0A"/>
    <w:rsid w:val="00A047CA"/>
    <w:rsid w:val="00A109D4"/>
    <w:rsid w:val="00A12D70"/>
    <w:rsid w:val="00A1430A"/>
    <w:rsid w:val="00A21842"/>
    <w:rsid w:val="00A21925"/>
    <w:rsid w:val="00A2215A"/>
    <w:rsid w:val="00A23059"/>
    <w:rsid w:val="00A2623B"/>
    <w:rsid w:val="00A26B28"/>
    <w:rsid w:val="00A300E2"/>
    <w:rsid w:val="00A323BD"/>
    <w:rsid w:val="00A34465"/>
    <w:rsid w:val="00A35D7E"/>
    <w:rsid w:val="00A37A93"/>
    <w:rsid w:val="00A40847"/>
    <w:rsid w:val="00A40FCF"/>
    <w:rsid w:val="00A444A6"/>
    <w:rsid w:val="00A44995"/>
    <w:rsid w:val="00A45C33"/>
    <w:rsid w:val="00A466B6"/>
    <w:rsid w:val="00A5128C"/>
    <w:rsid w:val="00A5234E"/>
    <w:rsid w:val="00A57D2F"/>
    <w:rsid w:val="00A57DBC"/>
    <w:rsid w:val="00A60114"/>
    <w:rsid w:val="00A674D0"/>
    <w:rsid w:val="00A71BAA"/>
    <w:rsid w:val="00A74122"/>
    <w:rsid w:val="00A76443"/>
    <w:rsid w:val="00A8447E"/>
    <w:rsid w:val="00A87317"/>
    <w:rsid w:val="00A903D9"/>
    <w:rsid w:val="00A91411"/>
    <w:rsid w:val="00A931E9"/>
    <w:rsid w:val="00A94647"/>
    <w:rsid w:val="00A97A9E"/>
    <w:rsid w:val="00A97D79"/>
    <w:rsid w:val="00AA0C5A"/>
    <w:rsid w:val="00AA2D57"/>
    <w:rsid w:val="00AA3E70"/>
    <w:rsid w:val="00AA4EF1"/>
    <w:rsid w:val="00AA6BA4"/>
    <w:rsid w:val="00AA7670"/>
    <w:rsid w:val="00AB3269"/>
    <w:rsid w:val="00AB3C78"/>
    <w:rsid w:val="00AB6D11"/>
    <w:rsid w:val="00AC0045"/>
    <w:rsid w:val="00AC4A34"/>
    <w:rsid w:val="00AC5B44"/>
    <w:rsid w:val="00AD0FD4"/>
    <w:rsid w:val="00AD281B"/>
    <w:rsid w:val="00AD29E4"/>
    <w:rsid w:val="00AD51CE"/>
    <w:rsid w:val="00AD6FA9"/>
    <w:rsid w:val="00AD7650"/>
    <w:rsid w:val="00AE132C"/>
    <w:rsid w:val="00AE1BC2"/>
    <w:rsid w:val="00AE2DD6"/>
    <w:rsid w:val="00AE3B7B"/>
    <w:rsid w:val="00AE4A80"/>
    <w:rsid w:val="00AE71A5"/>
    <w:rsid w:val="00AE7959"/>
    <w:rsid w:val="00AF1D10"/>
    <w:rsid w:val="00AF2921"/>
    <w:rsid w:val="00AF3FFC"/>
    <w:rsid w:val="00AF440E"/>
    <w:rsid w:val="00B00132"/>
    <w:rsid w:val="00B01A6B"/>
    <w:rsid w:val="00B02FF3"/>
    <w:rsid w:val="00B030B3"/>
    <w:rsid w:val="00B04685"/>
    <w:rsid w:val="00B05F83"/>
    <w:rsid w:val="00B064C6"/>
    <w:rsid w:val="00B068D6"/>
    <w:rsid w:val="00B115A2"/>
    <w:rsid w:val="00B13AC3"/>
    <w:rsid w:val="00B13B6B"/>
    <w:rsid w:val="00B15CA5"/>
    <w:rsid w:val="00B210F4"/>
    <w:rsid w:val="00B21270"/>
    <w:rsid w:val="00B233FA"/>
    <w:rsid w:val="00B31461"/>
    <w:rsid w:val="00B31649"/>
    <w:rsid w:val="00B344FD"/>
    <w:rsid w:val="00B3586B"/>
    <w:rsid w:val="00B3706D"/>
    <w:rsid w:val="00B40005"/>
    <w:rsid w:val="00B4177C"/>
    <w:rsid w:val="00B42C45"/>
    <w:rsid w:val="00B43A28"/>
    <w:rsid w:val="00B43E2A"/>
    <w:rsid w:val="00B440EB"/>
    <w:rsid w:val="00B46272"/>
    <w:rsid w:val="00B51AAE"/>
    <w:rsid w:val="00B53589"/>
    <w:rsid w:val="00B56443"/>
    <w:rsid w:val="00B568A2"/>
    <w:rsid w:val="00B57F53"/>
    <w:rsid w:val="00B612B6"/>
    <w:rsid w:val="00B636DC"/>
    <w:rsid w:val="00B639E5"/>
    <w:rsid w:val="00B67019"/>
    <w:rsid w:val="00B81003"/>
    <w:rsid w:val="00B818D7"/>
    <w:rsid w:val="00B82008"/>
    <w:rsid w:val="00B85678"/>
    <w:rsid w:val="00B867DD"/>
    <w:rsid w:val="00B87D0C"/>
    <w:rsid w:val="00B90EA0"/>
    <w:rsid w:val="00B91BAA"/>
    <w:rsid w:val="00B91BC8"/>
    <w:rsid w:val="00B92538"/>
    <w:rsid w:val="00B92C39"/>
    <w:rsid w:val="00B9320E"/>
    <w:rsid w:val="00B93F58"/>
    <w:rsid w:val="00B952B5"/>
    <w:rsid w:val="00BA0CE8"/>
    <w:rsid w:val="00BA19BE"/>
    <w:rsid w:val="00BA1DFD"/>
    <w:rsid w:val="00BA1F1D"/>
    <w:rsid w:val="00BA2A76"/>
    <w:rsid w:val="00BA374F"/>
    <w:rsid w:val="00BA4A46"/>
    <w:rsid w:val="00BB48FA"/>
    <w:rsid w:val="00BB5312"/>
    <w:rsid w:val="00BC1B68"/>
    <w:rsid w:val="00BC3700"/>
    <w:rsid w:val="00BC5ACA"/>
    <w:rsid w:val="00BC5ECE"/>
    <w:rsid w:val="00BC6314"/>
    <w:rsid w:val="00BC67A2"/>
    <w:rsid w:val="00BD0BA3"/>
    <w:rsid w:val="00BD26FC"/>
    <w:rsid w:val="00BD44B9"/>
    <w:rsid w:val="00BD49FC"/>
    <w:rsid w:val="00BD4A08"/>
    <w:rsid w:val="00BD6836"/>
    <w:rsid w:val="00BD75B3"/>
    <w:rsid w:val="00BD7ACB"/>
    <w:rsid w:val="00BE0BD4"/>
    <w:rsid w:val="00BE10FA"/>
    <w:rsid w:val="00BE391B"/>
    <w:rsid w:val="00BE46AC"/>
    <w:rsid w:val="00BE639D"/>
    <w:rsid w:val="00BE69AC"/>
    <w:rsid w:val="00BF33B0"/>
    <w:rsid w:val="00BF59B2"/>
    <w:rsid w:val="00C00DC1"/>
    <w:rsid w:val="00C01514"/>
    <w:rsid w:val="00C04F68"/>
    <w:rsid w:val="00C061E3"/>
    <w:rsid w:val="00C06240"/>
    <w:rsid w:val="00C07770"/>
    <w:rsid w:val="00C119C2"/>
    <w:rsid w:val="00C141DF"/>
    <w:rsid w:val="00C14967"/>
    <w:rsid w:val="00C14B25"/>
    <w:rsid w:val="00C15FEE"/>
    <w:rsid w:val="00C1627A"/>
    <w:rsid w:val="00C17198"/>
    <w:rsid w:val="00C1777A"/>
    <w:rsid w:val="00C20E15"/>
    <w:rsid w:val="00C222AC"/>
    <w:rsid w:val="00C24C12"/>
    <w:rsid w:val="00C252E8"/>
    <w:rsid w:val="00C26E47"/>
    <w:rsid w:val="00C3083F"/>
    <w:rsid w:val="00C31B7A"/>
    <w:rsid w:val="00C322A1"/>
    <w:rsid w:val="00C32E9F"/>
    <w:rsid w:val="00C33404"/>
    <w:rsid w:val="00C338CE"/>
    <w:rsid w:val="00C33BEE"/>
    <w:rsid w:val="00C34E14"/>
    <w:rsid w:val="00C364D6"/>
    <w:rsid w:val="00C40051"/>
    <w:rsid w:val="00C40350"/>
    <w:rsid w:val="00C414E8"/>
    <w:rsid w:val="00C42CE4"/>
    <w:rsid w:val="00C43619"/>
    <w:rsid w:val="00C43DAE"/>
    <w:rsid w:val="00C51A84"/>
    <w:rsid w:val="00C531DC"/>
    <w:rsid w:val="00C532F8"/>
    <w:rsid w:val="00C533FE"/>
    <w:rsid w:val="00C5376C"/>
    <w:rsid w:val="00C54162"/>
    <w:rsid w:val="00C54C55"/>
    <w:rsid w:val="00C61020"/>
    <w:rsid w:val="00C62631"/>
    <w:rsid w:val="00C63972"/>
    <w:rsid w:val="00C65241"/>
    <w:rsid w:val="00C66CB0"/>
    <w:rsid w:val="00C676E5"/>
    <w:rsid w:val="00C7661F"/>
    <w:rsid w:val="00C76787"/>
    <w:rsid w:val="00C772E3"/>
    <w:rsid w:val="00C83A4F"/>
    <w:rsid w:val="00C84379"/>
    <w:rsid w:val="00C8621A"/>
    <w:rsid w:val="00C87641"/>
    <w:rsid w:val="00C926AD"/>
    <w:rsid w:val="00C92826"/>
    <w:rsid w:val="00C93453"/>
    <w:rsid w:val="00CA04DC"/>
    <w:rsid w:val="00CA0ADF"/>
    <w:rsid w:val="00CA5938"/>
    <w:rsid w:val="00CA5C45"/>
    <w:rsid w:val="00CA5DEE"/>
    <w:rsid w:val="00CB3DBD"/>
    <w:rsid w:val="00CB4D57"/>
    <w:rsid w:val="00CB57FE"/>
    <w:rsid w:val="00CB7123"/>
    <w:rsid w:val="00CB73A3"/>
    <w:rsid w:val="00CB7F0D"/>
    <w:rsid w:val="00CC1DF7"/>
    <w:rsid w:val="00CC20F1"/>
    <w:rsid w:val="00CC28C6"/>
    <w:rsid w:val="00CC44FD"/>
    <w:rsid w:val="00CC4808"/>
    <w:rsid w:val="00CC4BC8"/>
    <w:rsid w:val="00CC7D66"/>
    <w:rsid w:val="00CD0055"/>
    <w:rsid w:val="00CD0400"/>
    <w:rsid w:val="00CD06DC"/>
    <w:rsid w:val="00CD211F"/>
    <w:rsid w:val="00CD305B"/>
    <w:rsid w:val="00CD44A5"/>
    <w:rsid w:val="00CE0D2C"/>
    <w:rsid w:val="00CE1B8A"/>
    <w:rsid w:val="00CE4121"/>
    <w:rsid w:val="00CE4936"/>
    <w:rsid w:val="00CE6205"/>
    <w:rsid w:val="00CE7A1E"/>
    <w:rsid w:val="00CF27C4"/>
    <w:rsid w:val="00D06F27"/>
    <w:rsid w:val="00D073F4"/>
    <w:rsid w:val="00D1102D"/>
    <w:rsid w:val="00D13DF0"/>
    <w:rsid w:val="00D143AC"/>
    <w:rsid w:val="00D14486"/>
    <w:rsid w:val="00D244C9"/>
    <w:rsid w:val="00D24520"/>
    <w:rsid w:val="00D25BF8"/>
    <w:rsid w:val="00D262EA"/>
    <w:rsid w:val="00D31703"/>
    <w:rsid w:val="00D40AAD"/>
    <w:rsid w:val="00D47ACC"/>
    <w:rsid w:val="00D5064E"/>
    <w:rsid w:val="00D51FE7"/>
    <w:rsid w:val="00D54B01"/>
    <w:rsid w:val="00D57274"/>
    <w:rsid w:val="00D576D8"/>
    <w:rsid w:val="00D600F0"/>
    <w:rsid w:val="00D6034D"/>
    <w:rsid w:val="00D61332"/>
    <w:rsid w:val="00D61F8A"/>
    <w:rsid w:val="00D6239E"/>
    <w:rsid w:val="00D640D7"/>
    <w:rsid w:val="00D64A4B"/>
    <w:rsid w:val="00D66A48"/>
    <w:rsid w:val="00D70374"/>
    <w:rsid w:val="00D71175"/>
    <w:rsid w:val="00D7260B"/>
    <w:rsid w:val="00D729B1"/>
    <w:rsid w:val="00D730B5"/>
    <w:rsid w:val="00D73129"/>
    <w:rsid w:val="00D735FF"/>
    <w:rsid w:val="00D73A3C"/>
    <w:rsid w:val="00D7483C"/>
    <w:rsid w:val="00D74FD2"/>
    <w:rsid w:val="00D77CD3"/>
    <w:rsid w:val="00D813C5"/>
    <w:rsid w:val="00D83999"/>
    <w:rsid w:val="00D839BC"/>
    <w:rsid w:val="00D84ABE"/>
    <w:rsid w:val="00D84F60"/>
    <w:rsid w:val="00D87B35"/>
    <w:rsid w:val="00D9098B"/>
    <w:rsid w:val="00D91BC7"/>
    <w:rsid w:val="00D92690"/>
    <w:rsid w:val="00D9288B"/>
    <w:rsid w:val="00D93EA3"/>
    <w:rsid w:val="00D97AD0"/>
    <w:rsid w:val="00DA2373"/>
    <w:rsid w:val="00DA6F20"/>
    <w:rsid w:val="00DB17ED"/>
    <w:rsid w:val="00DB4087"/>
    <w:rsid w:val="00DB4755"/>
    <w:rsid w:val="00DB5BDD"/>
    <w:rsid w:val="00DC07A6"/>
    <w:rsid w:val="00DC22B8"/>
    <w:rsid w:val="00DC428F"/>
    <w:rsid w:val="00DD04B4"/>
    <w:rsid w:val="00DD2866"/>
    <w:rsid w:val="00DD2EAD"/>
    <w:rsid w:val="00DD332A"/>
    <w:rsid w:val="00DD3E03"/>
    <w:rsid w:val="00DD536D"/>
    <w:rsid w:val="00DD6622"/>
    <w:rsid w:val="00DE0CFB"/>
    <w:rsid w:val="00DE1245"/>
    <w:rsid w:val="00DE16B2"/>
    <w:rsid w:val="00DE17F9"/>
    <w:rsid w:val="00DE33F9"/>
    <w:rsid w:val="00DE3A75"/>
    <w:rsid w:val="00DE4C92"/>
    <w:rsid w:val="00DE6050"/>
    <w:rsid w:val="00DE65EC"/>
    <w:rsid w:val="00DF5393"/>
    <w:rsid w:val="00DF54C2"/>
    <w:rsid w:val="00DF5787"/>
    <w:rsid w:val="00DF794F"/>
    <w:rsid w:val="00E02336"/>
    <w:rsid w:val="00E023AA"/>
    <w:rsid w:val="00E02DF9"/>
    <w:rsid w:val="00E12228"/>
    <w:rsid w:val="00E15852"/>
    <w:rsid w:val="00E1630A"/>
    <w:rsid w:val="00E165CA"/>
    <w:rsid w:val="00E20A4D"/>
    <w:rsid w:val="00E23208"/>
    <w:rsid w:val="00E23A7E"/>
    <w:rsid w:val="00E24A0D"/>
    <w:rsid w:val="00E24A15"/>
    <w:rsid w:val="00E24F4E"/>
    <w:rsid w:val="00E25699"/>
    <w:rsid w:val="00E275CC"/>
    <w:rsid w:val="00E3023E"/>
    <w:rsid w:val="00E320BF"/>
    <w:rsid w:val="00E325CC"/>
    <w:rsid w:val="00E32F40"/>
    <w:rsid w:val="00E34B78"/>
    <w:rsid w:val="00E35F2E"/>
    <w:rsid w:val="00E37029"/>
    <w:rsid w:val="00E421EB"/>
    <w:rsid w:val="00E42F1F"/>
    <w:rsid w:val="00E45A6B"/>
    <w:rsid w:val="00E464E0"/>
    <w:rsid w:val="00E51FE7"/>
    <w:rsid w:val="00E520C5"/>
    <w:rsid w:val="00E53E66"/>
    <w:rsid w:val="00E540E3"/>
    <w:rsid w:val="00E54235"/>
    <w:rsid w:val="00E60D4B"/>
    <w:rsid w:val="00E61488"/>
    <w:rsid w:val="00E6207F"/>
    <w:rsid w:val="00E62F37"/>
    <w:rsid w:val="00E63547"/>
    <w:rsid w:val="00E63814"/>
    <w:rsid w:val="00E651B3"/>
    <w:rsid w:val="00E8056B"/>
    <w:rsid w:val="00E80729"/>
    <w:rsid w:val="00E80CF1"/>
    <w:rsid w:val="00E91E84"/>
    <w:rsid w:val="00E9358D"/>
    <w:rsid w:val="00E96BDF"/>
    <w:rsid w:val="00EA1831"/>
    <w:rsid w:val="00EA2204"/>
    <w:rsid w:val="00EA3251"/>
    <w:rsid w:val="00EA3322"/>
    <w:rsid w:val="00EA3F83"/>
    <w:rsid w:val="00EA6150"/>
    <w:rsid w:val="00EA6D50"/>
    <w:rsid w:val="00EB0C47"/>
    <w:rsid w:val="00EB1CDF"/>
    <w:rsid w:val="00EB3E6E"/>
    <w:rsid w:val="00EB73AB"/>
    <w:rsid w:val="00EC042B"/>
    <w:rsid w:val="00EC4A38"/>
    <w:rsid w:val="00ED0C35"/>
    <w:rsid w:val="00ED185A"/>
    <w:rsid w:val="00ED19EB"/>
    <w:rsid w:val="00ED1D0D"/>
    <w:rsid w:val="00ED2995"/>
    <w:rsid w:val="00ED39AB"/>
    <w:rsid w:val="00EE02B2"/>
    <w:rsid w:val="00EE1FFF"/>
    <w:rsid w:val="00EE2127"/>
    <w:rsid w:val="00EE22F2"/>
    <w:rsid w:val="00EE4129"/>
    <w:rsid w:val="00EE49F2"/>
    <w:rsid w:val="00EE65C7"/>
    <w:rsid w:val="00EF081A"/>
    <w:rsid w:val="00EF3E0A"/>
    <w:rsid w:val="00EF5F37"/>
    <w:rsid w:val="00F00001"/>
    <w:rsid w:val="00F020D5"/>
    <w:rsid w:val="00F03AB9"/>
    <w:rsid w:val="00F04185"/>
    <w:rsid w:val="00F04548"/>
    <w:rsid w:val="00F05F09"/>
    <w:rsid w:val="00F16C2D"/>
    <w:rsid w:val="00F17E6F"/>
    <w:rsid w:val="00F2072F"/>
    <w:rsid w:val="00F21CE8"/>
    <w:rsid w:val="00F24FD9"/>
    <w:rsid w:val="00F25484"/>
    <w:rsid w:val="00F254C0"/>
    <w:rsid w:val="00F26132"/>
    <w:rsid w:val="00F3294F"/>
    <w:rsid w:val="00F32DC1"/>
    <w:rsid w:val="00F33008"/>
    <w:rsid w:val="00F33089"/>
    <w:rsid w:val="00F33FD1"/>
    <w:rsid w:val="00F35870"/>
    <w:rsid w:val="00F4251D"/>
    <w:rsid w:val="00F4543E"/>
    <w:rsid w:val="00F50495"/>
    <w:rsid w:val="00F51B8C"/>
    <w:rsid w:val="00F52310"/>
    <w:rsid w:val="00F5399F"/>
    <w:rsid w:val="00F56FD2"/>
    <w:rsid w:val="00F66724"/>
    <w:rsid w:val="00F70531"/>
    <w:rsid w:val="00F73ACC"/>
    <w:rsid w:val="00F811F7"/>
    <w:rsid w:val="00F81EED"/>
    <w:rsid w:val="00F84D4F"/>
    <w:rsid w:val="00F85E0E"/>
    <w:rsid w:val="00F946DC"/>
    <w:rsid w:val="00F96568"/>
    <w:rsid w:val="00F971D6"/>
    <w:rsid w:val="00F97FDE"/>
    <w:rsid w:val="00FA1D75"/>
    <w:rsid w:val="00FA2450"/>
    <w:rsid w:val="00FA2486"/>
    <w:rsid w:val="00FA321F"/>
    <w:rsid w:val="00FA6CB0"/>
    <w:rsid w:val="00FB5CCE"/>
    <w:rsid w:val="00FB64E4"/>
    <w:rsid w:val="00FB7B56"/>
    <w:rsid w:val="00FC027F"/>
    <w:rsid w:val="00FC1291"/>
    <w:rsid w:val="00FC1708"/>
    <w:rsid w:val="00FC2E35"/>
    <w:rsid w:val="00FC3859"/>
    <w:rsid w:val="00FC54E7"/>
    <w:rsid w:val="00FC7369"/>
    <w:rsid w:val="00FD016B"/>
    <w:rsid w:val="00FD31FA"/>
    <w:rsid w:val="00FD3FFC"/>
    <w:rsid w:val="00FD4E53"/>
    <w:rsid w:val="00FD7129"/>
    <w:rsid w:val="00FD74A6"/>
    <w:rsid w:val="00FE3DE2"/>
    <w:rsid w:val="00FE6FC6"/>
    <w:rsid w:val="00FE75E5"/>
    <w:rsid w:val="00FF0E35"/>
    <w:rsid w:val="00FF2B5E"/>
    <w:rsid w:val="00FF4F15"/>
    <w:rsid w:val="00FF66DB"/>
    <w:rsid w:val="00FF78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27A"/>
    <w:rPr>
      <w:sz w:val="22"/>
      <w:szCs w:val="22"/>
      <w:lang w:eastAsia="en-US"/>
    </w:rPr>
  </w:style>
  <w:style w:type="paragraph" w:styleId="Heading1">
    <w:name w:val="heading 1"/>
    <w:aliases w:val="ATA Submission Heading 1"/>
    <w:basedOn w:val="Normal"/>
    <w:next w:val="Normal"/>
    <w:link w:val="Heading1Char"/>
    <w:uiPriority w:val="99"/>
    <w:qFormat/>
    <w:rsid w:val="003B74E4"/>
    <w:pPr>
      <w:numPr>
        <w:numId w:val="1"/>
      </w:numPr>
      <w:outlineLvl w:val="0"/>
    </w:pPr>
    <w:rPr>
      <w:rFonts w:ascii="Arial" w:hAnsi="Arial" w:cs="Arial"/>
      <w:b/>
      <w:color w:val="000064"/>
      <w:sz w:val="28"/>
      <w:szCs w:val="28"/>
    </w:rPr>
  </w:style>
  <w:style w:type="paragraph" w:styleId="Heading2">
    <w:name w:val="heading 2"/>
    <w:basedOn w:val="Normal"/>
    <w:next w:val="Normal"/>
    <w:link w:val="Heading2Char"/>
    <w:semiHidden/>
    <w:unhideWhenUsed/>
    <w:qFormat/>
    <w:locked/>
    <w:rsid w:val="006859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0F53C2"/>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TA Submission Heading 1 Char"/>
    <w:basedOn w:val="DefaultParagraphFont"/>
    <w:link w:val="Heading1"/>
    <w:uiPriority w:val="99"/>
    <w:locked/>
    <w:rsid w:val="003B74E4"/>
    <w:rPr>
      <w:rFonts w:ascii="Arial" w:hAnsi="Arial" w:cs="Arial"/>
      <w:b/>
      <w:color w:val="000064"/>
      <w:sz w:val="28"/>
      <w:szCs w:val="28"/>
      <w:lang w:eastAsia="en-US"/>
    </w:rPr>
  </w:style>
  <w:style w:type="character" w:customStyle="1" w:styleId="Heading2Char">
    <w:name w:val="Heading 2 Char"/>
    <w:basedOn w:val="DefaultParagraphFont"/>
    <w:link w:val="Heading2"/>
    <w:semiHidden/>
    <w:rsid w:val="006859F7"/>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9"/>
    <w:locked/>
    <w:rsid w:val="000F53C2"/>
    <w:rPr>
      <w:rFonts w:ascii="Cambria" w:hAnsi="Cambria" w:cs="Times New Roman"/>
      <w:b/>
      <w:bCs/>
      <w:sz w:val="26"/>
      <w:szCs w:val="26"/>
      <w:lang w:eastAsia="en-US"/>
    </w:rPr>
  </w:style>
  <w:style w:type="table" w:styleId="TableGrid">
    <w:name w:val="Table Grid"/>
    <w:basedOn w:val="TableNormal"/>
    <w:uiPriority w:val="59"/>
    <w:rsid w:val="00C162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semiHidden/>
    <w:rsid w:val="004B6187"/>
    <w:rPr>
      <w:rFonts w:ascii="Arial" w:eastAsia="Times New Roman" w:hAnsi="Arial" w:cs="Arial"/>
      <w:b/>
      <w:bCs/>
      <w:szCs w:val="20"/>
    </w:rPr>
  </w:style>
  <w:style w:type="character" w:customStyle="1" w:styleId="BodyText2Char">
    <w:name w:val="Body Text 2 Char"/>
    <w:basedOn w:val="DefaultParagraphFont"/>
    <w:link w:val="BodyText2"/>
    <w:uiPriority w:val="99"/>
    <w:semiHidden/>
    <w:locked/>
    <w:rsid w:val="004B6187"/>
    <w:rPr>
      <w:rFonts w:ascii="Arial" w:hAnsi="Arial" w:cs="Arial"/>
      <w:b/>
      <w:bCs/>
      <w:sz w:val="20"/>
      <w:szCs w:val="20"/>
    </w:rPr>
  </w:style>
  <w:style w:type="paragraph" w:styleId="Header">
    <w:name w:val="header"/>
    <w:basedOn w:val="Normal"/>
    <w:link w:val="HeaderChar"/>
    <w:uiPriority w:val="99"/>
    <w:rsid w:val="000F3D9F"/>
    <w:pPr>
      <w:tabs>
        <w:tab w:val="center" w:pos="4513"/>
        <w:tab w:val="right" w:pos="9026"/>
      </w:tabs>
    </w:pPr>
  </w:style>
  <w:style w:type="character" w:customStyle="1" w:styleId="HeaderChar">
    <w:name w:val="Header Char"/>
    <w:basedOn w:val="DefaultParagraphFont"/>
    <w:link w:val="Header"/>
    <w:uiPriority w:val="99"/>
    <w:locked/>
    <w:rsid w:val="000F3D9F"/>
    <w:rPr>
      <w:rFonts w:cs="Times New Roman"/>
      <w:sz w:val="22"/>
      <w:szCs w:val="22"/>
      <w:lang w:eastAsia="en-US"/>
    </w:rPr>
  </w:style>
  <w:style w:type="paragraph" w:styleId="Footer">
    <w:name w:val="footer"/>
    <w:basedOn w:val="Normal"/>
    <w:link w:val="FooterChar"/>
    <w:uiPriority w:val="99"/>
    <w:rsid w:val="000F3D9F"/>
    <w:pPr>
      <w:tabs>
        <w:tab w:val="center" w:pos="4513"/>
        <w:tab w:val="right" w:pos="9026"/>
      </w:tabs>
    </w:pPr>
  </w:style>
  <w:style w:type="character" w:customStyle="1" w:styleId="FooterChar">
    <w:name w:val="Footer Char"/>
    <w:basedOn w:val="DefaultParagraphFont"/>
    <w:link w:val="Footer"/>
    <w:uiPriority w:val="99"/>
    <w:locked/>
    <w:rsid w:val="000F3D9F"/>
    <w:rPr>
      <w:rFonts w:cs="Times New Roman"/>
      <w:sz w:val="22"/>
      <w:szCs w:val="22"/>
      <w:lang w:eastAsia="en-US"/>
    </w:rPr>
  </w:style>
  <w:style w:type="paragraph" w:styleId="ListParagraph">
    <w:name w:val="List Paragraph"/>
    <w:basedOn w:val="Normal"/>
    <w:uiPriority w:val="34"/>
    <w:qFormat/>
    <w:rsid w:val="000F53C2"/>
    <w:pPr>
      <w:spacing w:after="200" w:line="276" w:lineRule="auto"/>
      <w:ind w:left="720"/>
      <w:contextualSpacing/>
    </w:pPr>
  </w:style>
  <w:style w:type="paragraph" w:styleId="FootnoteText">
    <w:name w:val="footnote text"/>
    <w:basedOn w:val="Normal"/>
    <w:link w:val="FootnoteTextChar"/>
    <w:uiPriority w:val="99"/>
    <w:semiHidden/>
    <w:rsid w:val="000F53C2"/>
    <w:rPr>
      <w:sz w:val="20"/>
      <w:szCs w:val="20"/>
    </w:rPr>
  </w:style>
  <w:style w:type="character" w:customStyle="1" w:styleId="FootnoteTextChar">
    <w:name w:val="Footnote Text Char"/>
    <w:basedOn w:val="DefaultParagraphFont"/>
    <w:link w:val="FootnoteText"/>
    <w:uiPriority w:val="99"/>
    <w:semiHidden/>
    <w:locked/>
    <w:rsid w:val="000F53C2"/>
    <w:rPr>
      <w:rFonts w:cs="Times New Roman"/>
      <w:lang w:eastAsia="en-US"/>
    </w:rPr>
  </w:style>
  <w:style w:type="character" w:styleId="FootnoteReference">
    <w:name w:val="footnote reference"/>
    <w:basedOn w:val="DefaultParagraphFont"/>
    <w:uiPriority w:val="99"/>
    <w:semiHidden/>
    <w:rsid w:val="000F53C2"/>
    <w:rPr>
      <w:rFonts w:cs="Times New Roman"/>
      <w:vertAlign w:val="superscript"/>
    </w:rPr>
  </w:style>
  <w:style w:type="paragraph" w:customStyle="1" w:styleId="Default">
    <w:name w:val="Default"/>
    <w:link w:val="DefaultChar"/>
    <w:rsid w:val="000F53C2"/>
    <w:pPr>
      <w:autoSpaceDE w:val="0"/>
      <w:autoSpaceDN w:val="0"/>
      <w:adjustRightInd w:val="0"/>
    </w:pPr>
    <w:rPr>
      <w:rFonts w:ascii="Times New Roman" w:hAnsi="Times New Roman"/>
      <w:color w:val="000000"/>
      <w:sz w:val="24"/>
      <w:szCs w:val="24"/>
    </w:rPr>
  </w:style>
  <w:style w:type="character" w:customStyle="1" w:styleId="DefaultChar">
    <w:name w:val="Default Char"/>
    <w:basedOn w:val="DefaultParagraphFont"/>
    <w:link w:val="Default"/>
    <w:uiPriority w:val="99"/>
    <w:locked/>
    <w:rsid w:val="000F53C2"/>
    <w:rPr>
      <w:rFonts w:ascii="Times New Roman" w:hAnsi="Times New Roman"/>
      <w:color w:val="000000"/>
      <w:sz w:val="24"/>
      <w:szCs w:val="24"/>
      <w:lang w:val="en-AU" w:eastAsia="en-AU" w:bidi="ar-SA"/>
    </w:rPr>
  </w:style>
  <w:style w:type="paragraph" w:customStyle="1" w:styleId="ATAHeading2">
    <w:name w:val="ATA Heading 2"/>
    <w:basedOn w:val="Normal"/>
    <w:link w:val="ATAHeading2Char"/>
    <w:uiPriority w:val="99"/>
    <w:rsid w:val="00B13B6B"/>
    <w:pPr>
      <w:numPr>
        <w:ilvl w:val="1"/>
        <w:numId w:val="1"/>
      </w:numPr>
      <w:spacing w:before="120" w:after="120" w:line="276" w:lineRule="auto"/>
    </w:pPr>
    <w:rPr>
      <w:rFonts w:ascii="Arial" w:hAnsi="Arial" w:cs="Arial"/>
      <w:b/>
      <w:color w:val="000064"/>
      <w:sz w:val="26"/>
      <w:szCs w:val="26"/>
    </w:rPr>
  </w:style>
  <w:style w:type="character" w:customStyle="1" w:styleId="ATAHeading2Char">
    <w:name w:val="ATA Heading 2 Char"/>
    <w:basedOn w:val="DefaultParagraphFont"/>
    <w:link w:val="ATAHeading2"/>
    <w:uiPriority w:val="99"/>
    <w:locked/>
    <w:rsid w:val="00B13B6B"/>
    <w:rPr>
      <w:rFonts w:ascii="Arial" w:hAnsi="Arial" w:cs="Arial"/>
      <w:b/>
      <w:color w:val="000064"/>
      <w:sz w:val="26"/>
      <w:szCs w:val="26"/>
      <w:lang w:eastAsia="en-US"/>
    </w:rPr>
  </w:style>
  <w:style w:type="paragraph" w:customStyle="1" w:styleId="ATAHeading3">
    <w:name w:val="ATA Heading 3"/>
    <w:basedOn w:val="ATAHeading2"/>
    <w:link w:val="ATAHeading3Char"/>
    <w:uiPriority w:val="99"/>
    <w:rsid w:val="00D40AAD"/>
    <w:pPr>
      <w:numPr>
        <w:ilvl w:val="2"/>
      </w:numPr>
      <w:tabs>
        <w:tab w:val="left" w:pos="992"/>
      </w:tabs>
    </w:pPr>
    <w:rPr>
      <w:i/>
      <w:color w:val="0D0D0D" w:themeColor="text1" w:themeTint="F2"/>
      <w:sz w:val="22"/>
      <w:szCs w:val="22"/>
    </w:rPr>
  </w:style>
  <w:style w:type="character" w:customStyle="1" w:styleId="ATAHeading3Char">
    <w:name w:val="ATA Heading 3 Char"/>
    <w:basedOn w:val="DefaultParagraphFont"/>
    <w:link w:val="ATAHeading3"/>
    <w:uiPriority w:val="99"/>
    <w:locked/>
    <w:rsid w:val="00D40AAD"/>
    <w:rPr>
      <w:rFonts w:ascii="Arial" w:hAnsi="Arial" w:cs="Arial"/>
      <w:b/>
      <w:i/>
      <w:color w:val="0D0D0D" w:themeColor="text1" w:themeTint="F2"/>
      <w:sz w:val="22"/>
      <w:szCs w:val="22"/>
      <w:lang w:eastAsia="en-US"/>
    </w:rPr>
  </w:style>
  <w:style w:type="paragraph" w:customStyle="1" w:styleId="Quotes">
    <w:name w:val="Quotes"/>
    <w:basedOn w:val="Default"/>
    <w:link w:val="QuotesChar"/>
    <w:uiPriority w:val="99"/>
    <w:rsid w:val="000F53C2"/>
    <w:pPr>
      <w:ind w:left="851"/>
    </w:pPr>
    <w:rPr>
      <w:sz w:val="22"/>
      <w:szCs w:val="22"/>
    </w:rPr>
  </w:style>
  <w:style w:type="character" w:customStyle="1" w:styleId="QuotesChar">
    <w:name w:val="Quotes Char"/>
    <w:basedOn w:val="DefaultChar"/>
    <w:link w:val="Quotes"/>
    <w:uiPriority w:val="99"/>
    <w:locked/>
    <w:rsid w:val="000F53C2"/>
    <w:rPr>
      <w:sz w:val="22"/>
      <w:szCs w:val="22"/>
    </w:rPr>
  </w:style>
  <w:style w:type="paragraph" w:customStyle="1" w:styleId="ATARecommendationHeading">
    <w:name w:val="ATA Recommendation Heading"/>
    <w:basedOn w:val="Normal"/>
    <w:link w:val="ATARecommendationHeadingChar"/>
    <w:uiPriority w:val="99"/>
    <w:rsid w:val="00740005"/>
    <w:rPr>
      <w:rFonts w:ascii="Arial" w:hAnsi="Arial" w:cs="Arial"/>
      <w:i/>
    </w:rPr>
  </w:style>
  <w:style w:type="character" w:customStyle="1" w:styleId="ATARecommendationHeadingChar">
    <w:name w:val="ATA Recommendation Heading Char"/>
    <w:basedOn w:val="DefaultParagraphFont"/>
    <w:link w:val="ATARecommendationHeading"/>
    <w:uiPriority w:val="99"/>
    <w:rsid w:val="006859F7"/>
    <w:rPr>
      <w:rFonts w:ascii="Arial" w:hAnsi="Arial" w:cs="Arial"/>
      <w:i/>
      <w:sz w:val="22"/>
      <w:szCs w:val="22"/>
      <w:lang w:eastAsia="en-US"/>
    </w:rPr>
  </w:style>
  <w:style w:type="paragraph" w:styleId="BalloonText">
    <w:name w:val="Balloon Text"/>
    <w:basedOn w:val="Normal"/>
    <w:link w:val="BalloonTextChar"/>
    <w:uiPriority w:val="99"/>
    <w:semiHidden/>
    <w:rsid w:val="007400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0005"/>
    <w:rPr>
      <w:rFonts w:ascii="Tahoma" w:hAnsi="Tahoma" w:cs="Tahoma"/>
      <w:sz w:val="16"/>
      <w:szCs w:val="16"/>
      <w:lang w:eastAsia="en-US"/>
    </w:rPr>
  </w:style>
  <w:style w:type="character" w:styleId="Strong">
    <w:name w:val="Strong"/>
    <w:basedOn w:val="DefaultParagraphFont"/>
    <w:uiPriority w:val="22"/>
    <w:qFormat/>
    <w:locked/>
    <w:rsid w:val="00960FE0"/>
    <w:rPr>
      <w:b/>
      <w:bCs/>
    </w:rPr>
  </w:style>
  <w:style w:type="paragraph" w:styleId="EndnoteText">
    <w:name w:val="endnote text"/>
    <w:basedOn w:val="Normal"/>
    <w:link w:val="EndnoteTextChar"/>
    <w:uiPriority w:val="99"/>
    <w:semiHidden/>
    <w:unhideWhenUsed/>
    <w:rsid w:val="00EE4129"/>
    <w:rPr>
      <w:sz w:val="20"/>
      <w:szCs w:val="20"/>
    </w:rPr>
  </w:style>
  <w:style w:type="character" w:customStyle="1" w:styleId="EndnoteTextChar">
    <w:name w:val="Endnote Text Char"/>
    <w:basedOn w:val="DefaultParagraphFont"/>
    <w:link w:val="EndnoteText"/>
    <w:uiPriority w:val="99"/>
    <w:semiHidden/>
    <w:rsid w:val="00EE4129"/>
    <w:rPr>
      <w:lang w:eastAsia="en-US"/>
    </w:rPr>
  </w:style>
  <w:style w:type="character" w:styleId="EndnoteReference">
    <w:name w:val="endnote reference"/>
    <w:basedOn w:val="DefaultParagraphFont"/>
    <w:uiPriority w:val="99"/>
    <w:semiHidden/>
    <w:unhideWhenUsed/>
    <w:rsid w:val="00EE4129"/>
    <w:rPr>
      <w:vertAlign w:val="superscript"/>
    </w:rPr>
  </w:style>
  <w:style w:type="paragraph" w:styleId="TOC1">
    <w:name w:val="toc 1"/>
    <w:basedOn w:val="Normal"/>
    <w:next w:val="Normal"/>
    <w:autoRedefine/>
    <w:uiPriority w:val="39"/>
    <w:locked/>
    <w:rsid w:val="00D13DF0"/>
    <w:pPr>
      <w:tabs>
        <w:tab w:val="right" w:leader="dot" w:pos="9628"/>
      </w:tabs>
      <w:spacing w:before="360" w:after="100"/>
    </w:pPr>
    <w:rPr>
      <w:rFonts w:ascii="Arial" w:hAnsi="Arial" w:cs="Arial"/>
      <w:b/>
      <w:noProof/>
      <w:sz w:val="20"/>
      <w:szCs w:val="20"/>
    </w:rPr>
  </w:style>
  <w:style w:type="paragraph" w:styleId="TOC2">
    <w:name w:val="toc 2"/>
    <w:basedOn w:val="Normal"/>
    <w:next w:val="Normal"/>
    <w:autoRedefine/>
    <w:uiPriority w:val="39"/>
    <w:locked/>
    <w:rsid w:val="00907971"/>
    <w:pPr>
      <w:tabs>
        <w:tab w:val="right" w:leader="dot" w:pos="9628"/>
      </w:tabs>
      <w:spacing w:after="120"/>
      <w:ind w:left="221"/>
    </w:pPr>
    <w:rPr>
      <w:rFonts w:ascii="Arial" w:hAnsi="Arial"/>
      <w:sz w:val="20"/>
    </w:rPr>
  </w:style>
  <w:style w:type="paragraph" w:customStyle="1" w:styleId="RecommendationStyle">
    <w:name w:val="Recommendation Style"/>
    <w:basedOn w:val="ATARecommendationHeading"/>
    <w:link w:val="RecommendationStyleChar"/>
    <w:qFormat/>
    <w:rsid w:val="00907971"/>
    <w:pPr>
      <w:numPr>
        <w:numId w:val="2"/>
      </w:numPr>
      <w:tabs>
        <w:tab w:val="left" w:pos="2098"/>
      </w:tabs>
      <w:spacing w:before="240" w:after="120"/>
    </w:pPr>
    <w:rPr>
      <w:b/>
      <w:sz w:val="20"/>
      <w:szCs w:val="20"/>
    </w:rPr>
  </w:style>
  <w:style w:type="character" w:customStyle="1" w:styleId="RecommendationStyleChar">
    <w:name w:val="Recommendation Style Char"/>
    <w:basedOn w:val="ATARecommendationHeadingChar"/>
    <w:link w:val="RecommendationStyle"/>
    <w:rsid w:val="00907971"/>
    <w:rPr>
      <w:b/>
      <w:i/>
    </w:rPr>
  </w:style>
  <w:style w:type="paragraph" w:customStyle="1" w:styleId="RecommendationStyle2">
    <w:name w:val="Recommendation Style 2"/>
    <w:basedOn w:val="Normal"/>
    <w:link w:val="RecommendationStyle2Char"/>
    <w:qFormat/>
    <w:rsid w:val="006859F7"/>
    <w:pPr>
      <w:jc w:val="both"/>
    </w:pPr>
    <w:rPr>
      <w:rFonts w:ascii="Arial" w:hAnsi="Arial" w:cs="Arial"/>
      <w:b/>
      <w:sz w:val="20"/>
      <w:szCs w:val="20"/>
    </w:rPr>
  </w:style>
  <w:style w:type="character" w:customStyle="1" w:styleId="RecommendationStyle2Char">
    <w:name w:val="Recommendation Style 2 Char"/>
    <w:basedOn w:val="DefaultParagraphFont"/>
    <w:link w:val="RecommendationStyle2"/>
    <w:rsid w:val="006859F7"/>
    <w:rPr>
      <w:rFonts w:ascii="Arial" w:hAnsi="Arial" w:cs="Arial"/>
      <w:b/>
      <w:lang w:eastAsia="en-US"/>
    </w:rPr>
  </w:style>
  <w:style w:type="character" w:styleId="Hyperlink">
    <w:name w:val="Hyperlink"/>
    <w:basedOn w:val="DefaultParagraphFont"/>
    <w:uiPriority w:val="99"/>
    <w:unhideWhenUsed/>
    <w:rsid w:val="009E77F2"/>
    <w:rPr>
      <w:color w:val="0000FF" w:themeColor="hyperlink"/>
      <w:u w:val="single"/>
    </w:rPr>
  </w:style>
  <w:style w:type="paragraph" w:customStyle="1" w:styleId="RecommendationStyle3">
    <w:name w:val="Recommendation Style 3"/>
    <w:basedOn w:val="RecommendationStyle2"/>
    <w:link w:val="RecommendationStyle3Char"/>
    <w:qFormat/>
    <w:rsid w:val="00907971"/>
    <w:rPr>
      <w:color w:val="FFFFFF" w:themeColor="background1"/>
    </w:rPr>
  </w:style>
  <w:style w:type="paragraph" w:styleId="TOC3">
    <w:name w:val="toc 3"/>
    <w:basedOn w:val="Normal"/>
    <w:next w:val="Normal"/>
    <w:autoRedefine/>
    <w:uiPriority w:val="39"/>
    <w:locked/>
    <w:rsid w:val="00907971"/>
    <w:pPr>
      <w:tabs>
        <w:tab w:val="right" w:leader="dot" w:pos="9628"/>
      </w:tabs>
      <w:ind w:left="442"/>
    </w:pPr>
    <w:rPr>
      <w:noProof/>
      <w:color w:val="FFFFFF" w:themeColor="background1"/>
    </w:rPr>
  </w:style>
  <w:style w:type="character" w:customStyle="1" w:styleId="RecommendationStyle3Char">
    <w:name w:val="Recommendation Style 3 Char"/>
    <w:basedOn w:val="RecommendationStyle2Char"/>
    <w:link w:val="RecommendationStyle3"/>
    <w:rsid w:val="00907971"/>
    <w:rPr>
      <w:color w:val="FFFFFF" w:themeColor="background1"/>
    </w:rPr>
  </w:style>
  <w:style w:type="paragraph" w:customStyle="1" w:styleId="ATASubHead1">
    <w:name w:val="ATASubHead1"/>
    <w:basedOn w:val="Normal"/>
    <w:link w:val="ATASubHead1Char"/>
    <w:qFormat/>
    <w:rsid w:val="004008C7"/>
    <w:pPr>
      <w:tabs>
        <w:tab w:val="left" w:pos="851"/>
      </w:tabs>
      <w:spacing w:before="240" w:after="120"/>
    </w:pPr>
    <w:rPr>
      <w:rFonts w:ascii="Arial" w:hAnsi="Arial" w:cs="Arial"/>
      <w:b/>
      <w:color w:val="000064"/>
      <w:sz w:val="28"/>
      <w:szCs w:val="28"/>
    </w:rPr>
  </w:style>
  <w:style w:type="character" w:customStyle="1" w:styleId="ATASubHead1Char">
    <w:name w:val="ATASubHead1 Char"/>
    <w:link w:val="ATASubHead1"/>
    <w:rsid w:val="004008C7"/>
    <w:rPr>
      <w:rFonts w:ascii="Arial" w:hAnsi="Arial" w:cs="Arial"/>
      <w:b/>
      <w:color w:val="000064"/>
      <w:sz w:val="28"/>
      <w:szCs w:val="28"/>
      <w:lang w:eastAsia="en-US"/>
    </w:rPr>
  </w:style>
  <w:style w:type="table" w:customStyle="1" w:styleId="LightList-Accent11">
    <w:name w:val="Light List - Accent 11"/>
    <w:basedOn w:val="TableNormal"/>
    <w:uiPriority w:val="61"/>
    <w:rsid w:val="004008C7"/>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893728"/>
    <w:pPr>
      <w:spacing w:before="100" w:beforeAutospacing="1" w:after="100" w:afterAutospacing="1"/>
    </w:pPr>
    <w:rPr>
      <w:rFonts w:ascii="Times New Roman" w:eastAsia="Times New Roman" w:hAnsi="Times New Roman"/>
      <w:sz w:val="24"/>
      <w:szCs w:val="24"/>
      <w:lang w:eastAsia="en-AU"/>
    </w:rPr>
  </w:style>
  <w:style w:type="character" w:customStyle="1" w:styleId="author-name2">
    <w:name w:val="author-name2"/>
    <w:basedOn w:val="DefaultParagraphFont"/>
    <w:rsid w:val="00FC1291"/>
    <w:rPr>
      <w:b/>
      <w:bCs/>
    </w:rPr>
  </w:style>
  <w:style w:type="character" w:customStyle="1" w:styleId="source-name5">
    <w:name w:val="source-name5"/>
    <w:basedOn w:val="DefaultParagraphFont"/>
    <w:rsid w:val="00FC1291"/>
    <w:rPr>
      <w:i/>
      <w:iCs/>
    </w:rPr>
  </w:style>
  <w:style w:type="character" w:customStyle="1" w:styleId="publish-date5">
    <w:name w:val="publish-date5"/>
    <w:basedOn w:val="DefaultParagraphFont"/>
    <w:rsid w:val="00FC1291"/>
    <w:rPr>
      <w:i/>
      <w:iCs/>
      <w:sz w:val="14"/>
      <w:szCs w:val="14"/>
    </w:rPr>
  </w:style>
  <w:style w:type="character" w:styleId="FollowedHyperlink">
    <w:name w:val="FollowedHyperlink"/>
    <w:basedOn w:val="DefaultParagraphFont"/>
    <w:uiPriority w:val="99"/>
    <w:semiHidden/>
    <w:unhideWhenUsed/>
    <w:rsid w:val="007C746E"/>
    <w:rPr>
      <w:color w:val="800080" w:themeColor="followedHyperlink"/>
      <w:u w:val="single"/>
    </w:rPr>
  </w:style>
  <w:style w:type="paragraph" w:customStyle="1" w:styleId="ATAPreMnorm">
    <w:name w:val="ATAPreM norm"/>
    <w:basedOn w:val="Normal"/>
    <w:link w:val="ATAPreMnormChar"/>
    <w:qFormat/>
    <w:rsid w:val="00F2072F"/>
    <w:rPr>
      <w:rFonts w:ascii="Arial" w:eastAsia="Times New Roman" w:hAnsi="Arial" w:cs="Arial"/>
      <w:i/>
      <w:color w:val="000000"/>
      <w:sz w:val="20"/>
      <w:szCs w:val="20"/>
      <w:lang w:eastAsia="en-AU"/>
    </w:rPr>
  </w:style>
  <w:style w:type="paragraph" w:customStyle="1" w:styleId="ATAPervMHeading">
    <w:name w:val="ATAPervMHeading"/>
    <w:basedOn w:val="Normal"/>
    <w:link w:val="ATAPervMHeadingChar"/>
    <w:qFormat/>
    <w:rsid w:val="00F2072F"/>
    <w:pPr>
      <w:tabs>
        <w:tab w:val="left" w:pos="851"/>
      </w:tabs>
      <w:ind w:left="851" w:hanging="851"/>
    </w:pPr>
    <w:rPr>
      <w:rFonts w:ascii="Arial" w:hAnsi="Arial" w:cs="Arial"/>
      <w:b/>
      <w:i/>
      <w:sz w:val="20"/>
      <w:szCs w:val="20"/>
    </w:rPr>
  </w:style>
  <w:style w:type="character" w:customStyle="1" w:styleId="ATAPreMnormChar">
    <w:name w:val="ATAPreM norm Char"/>
    <w:basedOn w:val="DefaultParagraphFont"/>
    <w:link w:val="ATAPreMnorm"/>
    <w:rsid w:val="00F2072F"/>
    <w:rPr>
      <w:rFonts w:ascii="Arial" w:eastAsia="Times New Roman" w:hAnsi="Arial" w:cs="Arial"/>
      <w:i/>
      <w:color w:val="000000"/>
    </w:rPr>
  </w:style>
  <w:style w:type="character" w:customStyle="1" w:styleId="ATAPervMHeadingChar">
    <w:name w:val="ATAPervMHeading Char"/>
    <w:basedOn w:val="DefaultParagraphFont"/>
    <w:link w:val="ATAPervMHeading"/>
    <w:rsid w:val="00F2072F"/>
    <w:rPr>
      <w:rFonts w:ascii="Arial" w:hAnsi="Arial" w:cs="Arial"/>
      <w:b/>
      <w:i/>
      <w:lang w:eastAsia="en-US"/>
    </w:rPr>
  </w:style>
  <w:style w:type="character" w:styleId="CommentReference">
    <w:name w:val="annotation reference"/>
    <w:basedOn w:val="DefaultParagraphFont"/>
    <w:uiPriority w:val="99"/>
    <w:semiHidden/>
    <w:unhideWhenUsed/>
    <w:rsid w:val="00603655"/>
    <w:rPr>
      <w:sz w:val="16"/>
      <w:szCs w:val="16"/>
    </w:rPr>
  </w:style>
  <w:style w:type="paragraph" w:styleId="CommentText">
    <w:name w:val="annotation text"/>
    <w:basedOn w:val="Normal"/>
    <w:link w:val="CommentTextChar"/>
    <w:uiPriority w:val="99"/>
    <w:semiHidden/>
    <w:unhideWhenUsed/>
    <w:rsid w:val="00603655"/>
    <w:rPr>
      <w:sz w:val="20"/>
      <w:szCs w:val="20"/>
    </w:rPr>
  </w:style>
  <w:style w:type="character" w:customStyle="1" w:styleId="CommentTextChar">
    <w:name w:val="Comment Text Char"/>
    <w:basedOn w:val="DefaultParagraphFont"/>
    <w:link w:val="CommentText"/>
    <w:uiPriority w:val="99"/>
    <w:semiHidden/>
    <w:rsid w:val="00603655"/>
    <w:rPr>
      <w:lang w:eastAsia="en-US"/>
    </w:rPr>
  </w:style>
  <w:style w:type="paragraph" w:styleId="CommentSubject">
    <w:name w:val="annotation subject"/>
    <w:basedOn w:val="CommentText"/>
    <w:next w:val="CommentText"/>
    <w:link w:val="CommentSubjectChar"/>
    <w:uiPriority w:val="99"/>
    <w:semiHidden/>
    <w:unhideWhenUsed/>
    <w:rsid w:val="00603655"/>
    <w:rPr>
      <w:b/>
      <w:bCs/>
    </w:rPr>
  </w:style>
  <w:style w:type="character" w:customStyle="1" w:styleId="CommentSubjectChar">
    <w:name w:val="Comment Subject Char"/>
    <w:basedOn w:val="CommentTextChar"/>
    <w:link w:val="CommentSubject"/>
    <w:uiPriority w:val="99"/>
    <w:semiHidden/>
    <w:rsid w:val="00603655"/>
    <w:rPr>
      <w:b/>
      <w:bCs/>
    </w:rPr>
  </w:style>
  <w:style w:type="paragraph" w:styleId="PlainText">
    <w:name w:val="Plain Text"/>
    <w:basedOn w:val="Normal"/>
    <w:link w:val="PlainTextChar"/>
    <w:uiPriority w:val="99"/>
    <w:unhideWhenUsed/>
    <w:rsid w:val="00040B35"/>
    <w:rPr>
      <w:rFonts w:ascii="Consolas" w:eastAsiaTheme="minorHAnsi" w:hAnsi="Consolas" w:cs="Consolas"/>
      <w:sz w:val="21"/>
      <w:szCs w:val="21"/>
      <w:lang w:eastAsia="en-AU"/>
    </w:rPr>
  </w:style>
  <w:style w:type="character" w:customStyle="1" w:styleId="PlainTextChar">
    <w:name w:val="Plain Text Char"/>
    <w:basedOn w:val="DefaultParagraphFont"/>
    <w:link w:val="PlainText"/>
    <w:uiPriority w:val="99"/>
    <w:rsid w:val="00040B35"/>
    <w:rPr>
      <w:rFonts w:ascii="Consolas" w:eastAsiaTheme="minorHAnsi" w:hAnsi="Consolas" w:cs="Consolas"/>
      <w:sz w:val="21"/>
      <w:szCs w:val="21"/>
    </w:rPr>
  </w:style>
  <w:style w:type="paragraph" w:styleId="NoSpacing">
    <w:name w:val="No Spacing"/>
    <w:basedOn w:val="Normal"/>
    <w:uiPriority w:val="1"/>
    <w:qFormat/>
    <w:rsid w:val="005C4492"/>
    <w:rPr>
      <w:rFonts w:eastAsiaTheme="minorHAnsi"/>
      <w:color w:val="404040"/>
      <w:sz w:val="19"/>
      <w:szCs w:val="19"/>
      <w:lang w:eastAsia="en-AU"/>
    </w:rPr>
  </w:style>
</w:styles>
</file>

<file path=word/webSettings.xml><?xml version="1.0" encoding="utf-8"?>
<w:webSettings xmlns:r="http://schemas.openxmlformats.org/officeDocument/2006/relationships" xmlns:w="http://schemas.openxmlformats.org/wordprocessingml/2006/main">
  <w:divs>
    <w:div w:id="1662707">
      <w:bodyDiv w:val="1"/>
      <w:marLeft w:val="0"/>
      <w:marRight w:val="0"/>
      <w:marTop w:val="0"/>
      <w:marBottom w:val="0"/>
      <w:divBdr>
        <w:top w:val="none" w:sz="0" w:space="0" w:color="auto"/>
        <w:left w:val="none" w:sz="0" w:space="0" w:color="auto"/>
        <w:bottom w:val="none" w:sz="0" w:space="0" w:color="auto"/>
        <w:right w:val="none" w:sz="0" w:space="0" w:color="auto"/>
      </w:divBdr>
    </w:div>
    <w:div w:id="300501640">
      <w:bodyDiv w:val="1"/>
      <w:marLeft w:val="0"/>
      <w:marRight w:val="0"/>
      <w:marTop w:val="0"/>
      <w:marBottom w:val="0"/>
      <w:divBdr>
        <w:top w:val="none" w:sz="0" w:space="0" w:color="auto"/>
        <w:left w:val="none" w:sz="0" w:space="0" w:color="auto"/>
        <w:bottom w:val="none" w:sz="0" w:space="0" w:color="auto"/>
        <w:right w:val="none" w:sz="0" w:space="0" w:color="auto"/>
      </w:divBdr>
      <w:divsChild>
        <w:div w:id="1953660714">
          <w:marLeft w:val="0"/>
          <w:marRight w:val="0"/>
          <w:marTop w:val="0"/>
          <w:marBottom w:val="0"/>
          <w:divBdr>
            <w:top w:val="none" w:sz="0" w:space="0" w:color="auto"/>
            <w:left w:val="none" w:sz="0" w:space="0" w:color="auto"/>
            <w:bottom w:val="none" w:sz="0" w:space="0" w:color="auto"/>
            <w:right w:val="none" w:sz="0" w:space="0" w:color="auto"/>
          </w:divBdr>
          <w:divsChild>
            <w:div w:id="749893250">
              <w:marLeft w:val="0"/>
              <w:marRight w:val="0"/>
              <w:marTop w:val="0"/>
              <w:marBottom w:val="0"/>
              <w:divBdr>
                <w:top w:val="none" w:sz="0" w:space="0" w:color="auto"/>
                <w:left w:val="none" w:sz="0" w:space="0" w:color="auto"/>
                <w:bottom w:val="none" w:sz="0" w:space="0" w:color="auto"/>
                <w:right w:val="none" w:sz="0" w:space="0" w:color="auto"/>
              </w:divBdr>
              <w:divsChild>
                <w:div w:id="1990743551">
                  <w:marLeft w:val="0"/>
                  <w:marRight w:val="0"/>
                  <w:marTop w:val="0"/>
                  <w:marBottom w:val="0"/>
                  <w:divBdr>
                    <w:top w:val="none" w:sz="0" w:space="0" w:color="auto"/>
                    <w:left w:val="none" w:sz="0" w:space="0" w:color="auto"/>
                    <w:bottom w:val="none" w:sz="0" w:space="0" w:color="auto"/>
                    <w:right w:val="none" w:sz="0" w:space="0" w:color="auto"/>
                  </w:divBdr>
                  <w:divsChild>
                    <w:div w:id="1398744426">
                      <w:marLeft w:val="0"/>
                      <w:marRight w:val="0"/>
                      <w:marTop w:val="0"/>
                      <w:marBottom w:val="173"/>
                      <w:divBdr>
                        <w:top w:val="none" w:sz="0" w:space="0" w:color="auto"/>
                        <w:left w:val="none" w:sz="0" w:space="0" w:color="auto"/>
                        <w:bottom w:val="single" w:sz="12" w:space="0" w:color="auto"/>
                        <w:right w:val="none" w:sz="0" w:space="0" w:color="auto"/>
                      </w:divBdr>
                      <w:divsChild>
                        <w:div w:id="151719399">
                          <w:marLeft w:val="0"/>
                          <w:marRight w:val="0"/>
                          <w:marTop w:val="0"/>
                          <w:marBottom w:val="0"/>
                          <w:divBdr>
                            <w:top w:val="none" w:sz="0" w:space="0" w:color="auto"/>
                            <w:left w:val="none" w:sz="0" w:space="0" w:color="auto"/>
                            <w:bottom w:val="none" w:sz="0" w:space="0" w:color="auto"/>
                            <w:right w:val="none" w:sz="0" w:space="0" w:color="auto"/>
                          </w:divBdr>
                          <w:divsChild>
                            <w:div w:id="846868594">
                              <w:marLeft w:val="0"/>
                              <w:marRight w:val="0"/>
                              <w:marTop w:val="0"/>
                              <w:marBottom w:val="0"/>
                              <w:divBdr>
                                <w:top w:val="none" w:sz="0" w:space="0" w:color="auto"/>
                                <w:left w:val="none" w:sz="0" w:space="0" w:color="auto"/>
                                <w:bottom w:val="none" w:sz="0" w:space="0" w:color="auto"/>
                                <w:right w:val="none" w:sz="0" w:space="0" w:color="auto"/>
                              </w:divBdr>
                              <w:divsChild>
                                <w:div w:id="64375558">
                                  <w:marLeft w:val="0"/>
                                  <w:marRight w:val="0"/>
                                  <w:marTop w:val="0"/>
                                  <w:marBottom w:val="0"/>
                                  <w:divBdr>
                                    <w:top w:val="none" w:sz="0" w:space="0" w:color="auto"/>
                                    <w:left w:val="none" w:sz="0" w:space="0" w:color="auto"/>
                                    <w:bottom w:val="none" w:sz="0" w:space="0" w:color="auto"/>
                                    <w:right w:val="none" w:sz="0" w:space="0" w:color="auto"/>
                                  </w:divBdr>
                                  <w:divsChild>
                                    <w:div w:id="1638073701">
                                      <w:marLeft w:val="0"/>
                                      <w:marRight w:val="0"/>
                                      <w:marTop w:val="0"/>
                                      <w:marBottom w:val="0"/>
                                      <w:divBdr>
                                        <w:top w:val="none" w:sz="0" w:space="0" w:color="auto"/>
                                        <w:left w:val="none" w:sz="0" w:space="0" w:color="auto"/>
                                        <w:bottom w:val="none" w:sz="0" w:space="0" w:color="auto"/>
                                        <w:right w:val="none" w:sz="0" w:space="0" w:color="auto"/>
                                      </w:divBdr>
                                      <w:divsChild>
                                        <w:div w:id="38818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852183">
      <w:bodyDiv w:val="1"/>
      <w:marLeft w:val="0"/>
      <w:marRight w:val="0"/>
      <w:marTop w:val="0"/>
      <w:marBottom w:val="0"/>
      <w:divBdr>
        <w:top w:val="none" w:sz="0" w:space="0" w:color="auto"/>
        <w:left w:val="none" w:sz="0" w:space="0" w:color="auto"/>
        <w:bottom w:val="none" w:sz="0" w:space="0" w:color="auto"/>
        <w:right w:val="none" w:sz="0" w:space="0" w:color="auto"/>
      </w:divBdr>
      <w:divsChild>
        <w:div w:id="1062757597">
          <w:marLeft w:val="0"/>
          <w:marRight w:val="0"/>
          <w:marTop w:val="0"/>
          <w:marBottom w:val="0"/>
          <w:divBdr>
            <w:top w:val="single" w:sz="2" w:space="0" w:color="999999"/>
            <w:left w:val="single" w:sz="4" w:space="0" w:color="999999"/>
            <w:bottom w:val="single" w:sz="2" w:space="0" w:color="999999"/>
            <w:right w:val="single" w:sz="4" w:space="0" w:color="999999"/>
          </w:divBdr>
          <w:divsChild>
            <w:div w:id="659891644">
              <w:marLeft w:val="0"/>
              <w:marRight w:val="0"/>
              <w:marTop w:val="0"/>
              <w:marBottom w:val="0"/>
              <w:divBdr>
                <w:top w:val="none" w:sz="0" w:space="0" w:color="auto"/>
                <w:left w:val="none" w:sz="0" w:space="0" w:color="auto"/>
                <w:bottom w:val="none" w:sz="0" w:space="0" w:color="auto"/>
                <w:right w:val="none" w:sz="0" w:space="0" w:color="auto"/>
              </w:divBdr>
              <w:divsChild>
                <w:div w:id="82847928">
                  <w:marLeft w:val="0"/>
                  <w:marRight w:val="230"/>
                  <w:marTop w:val="0"/>
                  <w:marBottom w:val="480"/>
                  <w:divBdr>
                    <w:top w:val="none" w:sz="0" w:space="0" w:color="auto"/>
                    <w:left w:val="none" w:sz="0" w:space="0" w:color="auto"/>
                    <w:bottom w:val="none" w:sz="0" w:space="0" w:color="auto"/>
                    <w:right w:val="none" w:sz="0" w:space="0" w:color="auto"/>
                  </w:divBdr>
                </w:div>
              </w:divsChild>
            </w:div>
          </w:divsChild>
        </w:div>
      </w:divsChild>
    </w:div>
    <w:div w:id="412705156">
      <w:bodyDiv w:val="1"/>
      <w:marLeft w:val="0"/>
      <w:marRight w:val="0"/>
      <w:marTop w:val="0"/>
      <w:marBottom w:val="0"/>
      <w:divBdr>
        <w:top w:val="none" w:sz="0" w:space="0" w:color="auto"/>
        <w:left w:val="none" w:sz="0" w:space="0" w:color="auto"/>
        <w:bottom w:val="none" w:sz="0" w:space="0" w:color="auto"/>
        <w:right w:val="none" w:sz="0" w:space="0" w:color="auto"/>
      </w:divBdr>
    </w:div>
    <w:div w:id="764347823">
      <w:bodyDiv w:val="1"/>
      <w:marLeft w:val="0"/>
      <w:marRight w:val="0"/>
      <w:marTop w:val="0"/>
      <w:marBottom w:val="0"/>
      <w:divBdr>
        <w:top w:val="none" w:sz="0" w:space="0" w:color="auto"/>
        <w:left w:val="none" w:sz="0" w:space="0" w:color="auto"/>
        <w:bottom w:val="none" w:sz="0" w:space="0" w:color="auto"/>
        <w:right w:val="none" w:sz="0" w:space="0" w:color="auto"/>
      </w:divBdr>
      <w:divsChild>
        <w:div w:id="1504861412">
          <w:marLeft w:val="0"/>
          <w:marRight w:val="0"/>
          <w:marTop w:val="0"/>
          <w:marBottom w:val="0"/>
          <w:divBdr>
            <w:top w:val="none" w:sz="0" w:space="0" w:color="auto"/>
            <w:left w:val="none" w:sz="0" w:space="0" w:color="auto"/>
            <w:bottom w:val="none" w:sz="0" w:space="0" w:color="auto"/>
            <w:right w:val="none" w:sz="0" w:space="0" w:color="auto"/>
          </w:divBdr>
          <w:divsChild>
            <w:div w:id="101927376">
              <w:marLeft w:val="0"/>
              <w:marRight w:val="0"/>
              <w:marTop w:val="0"/>
              <w:marBottom w:val="0"/>
              <w:divBdr>
                <w:top w:val="none" w:sz="0" w:space="0" w:color="auto"/>
                <w:left w:val="none" w:sz="0" w:space="0" w:color="auto"/>
                <w:bottom w:val="none" w:sz="0" w:space="0" w:color="auto"/>
                <w:right w:val="none" w:sz="0" w:space="0" w:color="auto"/>
              </w:divBdr>
              <w:divsChild>
                <w:div w:id="1142624037">
                  <w:marLeft w:val="0"/>
                  <w:marRight w:val="0"/>
                  <w:marTop w:val="100"/>
                  <w:marBottom w:val="100"/>
                  <w:divBdr>
                    <w:top w:val="none" w:sz="0" w:space="0" w:color="auto"/>
                    <w:left w:val="none" w:sz="0" w:space="0" w:color="auto"/>
                    <w:bottom w:val="none" w:sz="0" w:space="0" w:color="auto"/>
                    <w:right w:val="none" w:sz="0" w:space="0" w:color="auto"/>
                  </w:divBdr>
                  <w:divsChild>
                    <w:div w:id="1542476904">
                      <w:marLeft w:val="0"/>
                      <w:marRight w:val="0"/>
                      <w:marTop w:val="0"/>
                      <w:marBottom w:val="0"/>
                      <w:divBdr>
                        <w:top w:val="none" w:sz="0" w:space="0" w:color="auto"/>
                        <w:left w:val="none" w:sz="0" w:space="0" w:color="auto"/>
                        <w:bottom w:val="none" w:sz="0" w:space="0" w:color="auto"/>
                        <w:right w:val="none" w:sz="0" w:space="0" w:color="auto"/>
                      </w:divBdr>
                      <w:divsChild>
                        <w:div w:id="1721051084">
                          <w:marLeft w:val="0"/>
                          <w:marRight w:val="0"/>
                          <w:marTop w:val="0"/>
                          <w:marBottom w:val="0"/>
                          <w:divBdr>
                            <w:top w:val="none" w:sz="0" w:space="0" w:color="auto"/>
                            <w:left w:val="none" w:sz="0" w:space="0" w:color="auto"/>
                            <w:bottom w:val="none" w:sz="0" w:space="0" w:color="auto"/>
                            <w:right w:val="none" w:sz="0" w:space="0" w:color="auto"/>
                          </w:divBdr>
                          <w:divsChild>
                            <w:div w:id="658457871">
                              <w:marLeft w:val="0"/>
                              <w:marRight w:val="0"/>
                              <w:marTop w:val="0"/>
                              <w:marBottom w:val="0"/>
                              <w:divBdr>
                                <w:top w:val="none" w:sz="0" w:space="0" w:color="auto"/>
                                <w:left w:val="none" w:sz="0" w:space="0" w:color="auto"/>
                                <w:bottom w:val="none" w:sz="0" w:space="0" w:color="auto"/>
                                <w:right w:val="none" w:sz="0" w:space="0" w:color="auto"/>
                              </w:divBdr>
                              <w:divsChild>
                                <w:div w:id="13794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918695">
      <w:bodyDiv w:val="1"/>
      <w:marLeft w:val="0"/>
      <w:marRight w:val="0"/>
      <w:marTop w:val="0"/>
      <w:marBottom w:val="0"/>
      <w:divBdr>
        <w:top w:val="none" w:sz="0" w:space="0" w:color="auto"/>
        <w:left w:val="none" w:sz="0" w:space="0" w:color="auto"/>
        <w:bottom w:val="none" w:sz="0" w:space="0" w:color="auto"/>
        <w:right w:val="none" w:sz="0" w:space="0" w:color="auto"/>
      </w:divBdr>
    </w:div>
    <w:div w:id="828593103">
      <w:bodyDiv w:val="1"/>
      <w:marLeft w:val="0"/>
      <w:marRight w:val="0"/>
      <w:marTop w:val="0"/>
      <w:marBottom w:val="0"/>
      <w:divBdr>
        <w:top w:val="none" w:sz="0" w:space="0" w:color="auto"/>
        <w:left w:val="none" w:sz="0" w:space="0" w:color="auto"/>
        <w:bottom w:val="none" w:sz="0" w:space="0" w:color="auto"/>
        <w:right w:val="none" w:sz="0" w:space="0" w:color="auto"/>
      </w:divBdr>
    </w:div>
    <w:div w:id="1124082810">
      <w:marLeft w:val="0"/>
      <w:marRight w:val="0"/>
      <w:marTop w:val="0"/>
      <w:marBottom w:val="0"/>
      <w:divBdr>
        <w:top w:val="none" w:sz="0" w:space="0" w:color="auto"/>
        <w:left w:val="none" w:sz="0" w:space="0" w:color="auto"/>
        <w:bottom w:val="none" w:sz="0" w:space="0" w:color="auto"/>
        <w:right w:val="none" w:sz="0" w:space="0" w:color="auto"/>
      </w:divBdr>
    </w:div>
    <w:div w:id="1124082811">
      <w:marLeft w:val="0"/>
      <w:marRight w:val="0"/>
      <w:marTop w:val="0"/>
      <w:marBottom w:val="0"/>
      <w:divBdr>
        <w:top w:val="none" w:sz="0" w:space="0" w:color="auto"/>
        <w:left w:val="none" w:sz="0" w:space="0" w:color="auto"/>
        <w:bottom w:val="none" w:sz="0" w:space="0" w:color="auto"/>
        <w:right w:val="none" w:sz="0" w:space="0" w:color="auto"/>
      </w:divBdr>
    </w:div>
    <w:div w:id="1126312516">
      <w:bodyDiv w:val="1"/>
      <w:marLeft w:val="0"/>
      <w:marRight w:val="0"/>
      <w:marTop w:val="0"/>
      <w:marBottom w:val="0"/>
      <w:divBdr>
        <w:top w:val="none" w:sz="0" w:space="0" w:color="auto"/>
        <w:left w:val="none" w:sz="0" w:space="0" w:color="auto"/>
        <w:bottom w:val="none" w:sz="0" w:space="0" w:color="auto"/>
        <w:right w:val="none" w:sz="0" w:space="0" w:color="auto"/>
      </w:divBdr>
      <w:divsChild>
        <w:div w:id="1500120403">
          <w:marLeft w:val="0"/>
          <w:marRight w:val="0"/>
          <w:marTop w:val="0"/>
          <w:marBottom w:val="0"/>
          <w:divBdr>
            <w:top w:val="single" w:sz="2" w:space="0" w:color="999999"/>
            <w:left w:val="single" w:sz="4" w:space="0" w:color="999999"/>
            <w:bottom w:val="single" w:sz="2" w:space="0" w:color="999999"/>
            <w:right w:val="single" w:sz="4" w:space="0" w:color="999999"/>
          </w:divBdr>
          <w:divsChild>
            <w:div w:id="2011176851">
              <w:marLeft w:val="0"/>
              <w:marRight w:val="0"/>
              <w:marTop w:val="0"/>
              <w:marBottom w:val="0"/>
              <w:divBdr>
                <w:top w:val="none" w:sz="0" w:space="0" w:color="auto"/>
                <w:left w:val="none" w:sz="0" w:space="0" w:color="auto"/>
                <w:bottom w:val="none" w:sz="0" w:space="0" w:color="auto"/>
                <w:right w:val="none" w:sz="0" w:space="0" w:color="auto"/>
              </w:divBdr>
              <w:divsChild>
                <w:div w:id="1592084198">
                  <w:marLeft w:val="0"/>
                  <w:marRight w:val="230"/>
                  <w:marTop w:val="0"/>
                  <w:marBottom w:val="480"/>
                  <w:divBdr>
                    <w:top w:val="none" w:sz="0" w:space="0" w:color="auto"/>
                    <w:left w:val="none" w:sz="0" w:space="0" w:color="auto"/>
                    <w:bottom w:val="none" w:sz="0" w:space="0" w:color="auto"/>
                    <w:right w:val="none" w:sz="0" w:space="0" w:color="auto"/>
                  </w:divBdr>
                </w:div>
              </w:divsChild>
            </w:div>
          </w:divsChild>
        </w:div>
      </w:divsChild>
    </w:div>
    <w:div w:id="1168668862">
      <w:bodyDiv w:val="1"/>
      <w:marLeft w:val="0"/>
      <w:marRight w:val="0"/>
      <w:marTop w:val="0"/>
      <w:marBottom w:val="0"/>
      <w:divBdr>
        <w:top w:val="none" w:sz="0" w:space="0" w:color="auto"/>
        <w:left w:val="none" w:sz="0" w:space="0" w:color="auto"/>
        <w:bottom w:val="none" w:sz="0" w:space="0" w:color="auto"/>
        <w:right w:val="none" w:sz="0" w:space="0" w:color="auto"/>
      </w:divBdr>
    </w:div>
    <w:div w:id="1177578316">
      <w:bodyDiv w:val="1"/>
      <w:marLeft w:val="0"/>
      <w:marRight w:val="0"/>
      <w:marTop w:val="0"/>
      <w:marBottom w:val="0"/>
      <w:divBdr>
        <w:top w:val="none" w:sz="0" w:space="0" w:color="auto"/>
        <w:left w:val="none" w:sz="0" w:space="0" w:color="auto"/>
        <w:bottom w:val="none" w:sz="0" w:space="0" w:color="auto"/>
        <w:right w:val="none" w:sz="0" w:space="0" w:color="auto"/>
      </w:divBdr>
    </w:div>
    <w:div w:id="1266157425">
      <w:bodyDiv w:val="1"/>
      <w:marLeft w:val="0"/>
      <w:marRight w:val="0"/>
      <w:marTop w:val="0"/>
      <w:marBottom w:val="0"/>
      <w:divBdr>
        <w:top w:val="none" w:sz="0" w:space="0" w:color="auto"/>
        <w:left w:val="none" w:sz="0" w:space="0" w:color="auto"/>
        <w:bottom w:val="none" w:sz="0" w:space="0" w:color="auto"/>
        <w:right w:val="none" w:sz="0" w:space="0" w:color="auto"/>
      </w:divBdr>
    </w:div>
    <w:div w:id="1343555153">
      <w:bodyDiv w:val="1"/>
      <w:marLeft w:val="0"/>
      <w:marRight w:val="0"/>
      <w:marTop w:val="0"/>
      <w:marBottom w:val="0"/>
      <w:divBdr>
        <w:top w:val="none" w:sz="0" w:space="0" w:color="auto"/>
        <w:left w:val="none" w:sz="0" w:space="0" w:color="auto"/>
        <w:bottom w:val="none" w:sz="0" w:space="0" w:color="auto"/>
        <w:right w:val="none" w:sz="0" w:space="0" w:color="auto"/>
      </w:divBdr>
    </w:div>
    <w:div w:id="1393885428">
      <w:bodyDiv w:val="1"/>
      <w:marLeft w:val="0"/>
      <w:marRight w:val="0"/>
      <w:marTop w:val="0"/>
      <w:marBottom w:val="0"/>
      <w:divBdr>
        <w:top w:val="none" w:sz="0" w:space="0" w:color="auto"/>
        <w:left w:val="none" w:sz="0" w:space="0" w:color="auto"/>
        <w:bottom w:val="none" w:sz="0" w:space="0" w:color="auto"/>
        <w:right w:val="none" w:sz="0" w:space="0" w:color="auto"/>
      </w:divBdr>
    </w:div>
    <w:div w:id="1401636624">
      <w:bodyDiv w:val="1"/>
      <w:marLeft w:val="0"/>
      <w:marRight w:val="0"/>
      <w:marTop w:val="0"/>
      <w:marBottom w:val="0"/>
      <w:divBdr>
        <w:top w:val="none" w:sz="0" w:space="0" w:color="auto"/>
        <w:left w:val="none" w:sz="0" w:space="0" w:color="auto"/>
        <w:bottom w:val="none" w:sz="0" w:space="0" w:color="auto"/>
        <w:right w:val="none" w:sz="0" w:space="0" w:color="auto"/>
      </w:divBdr>
    </w:div>
    <w:div w:id="1537545818">
      <w:bodyDiv w:val="1"/>
      <w:marLeft w:val="0"/>
      <w:marRight w:val="0"/>
      <w:marTop w:val="0"/>
      <w:marBottom w:val="0"/>
      <w:divBdr>
        <w:top w:val="none" w:sz="0" w:space="0" w:color="auto"/>
        <w:left w:val="none" w:sz="0" w:space="0" w:color="auto"/>
        <w:bottom w:val="none" w:sz="0" w:space="0" w:color="auto"/>
        <w:right w:val="none" w:sz="0" w:space="0" w:color="auto"/>
      </w:divBdr>
    </w:div>
    <w:div w:id="1683775583">
      <w:bodyDiv w:val="1"/>
      <w:marLeft w:val="0"/>
      <w:marRight w:val="0"/>
      <w:marTop w:val="0"/>
      <w:marBottom w:val="0"/>
      <w:divBdr>
        <w:top w:val="none" w:sz="0" w:space="0" w:color="auto"/>
        <w:left w:val="none" w:sz="0" w:space="0" w:color="auto"/>
        <w:bottom w:val="none" w:sz="0" w:space="0" w:color="auto"/>
        <w:right w:val="none" w:sz="0" w:space="0" w:color="auto"/>
      </w:divBdr>
    </w:div>
    <w:div w:id="1691907395">
      <w:bodyDiv w:val="1"/>
      <w:marLeft w:val="0"/>
      <w:marRight w:val="0"/>
      <w:marTop w:val="0"/>
      <w:marBottom w:val="0"/>
      <w:divBdr>
        <w:top w:val="none" w:sz="0" w:space="0" w:color="auto"/>
        <w:left w:val="none" w:sz="0" w:space="0" w:color="auto"/>
        <w:bottom w:val="none" w:sz="0" w:space="0" w:color="auto"/>
        <w:right w:val="none" w:sz="0" w:space="0" w:color="auto"/>
      </w:divBdr>
    </w:div>
    <w:div w:id="194399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A0C1A-C1E5-4EF5-98B1-D4B1783F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SUBMISSION PROPOSED HEAVY VEHICLE NATIONAL LAWS</vt:lpstr>
    </vt:vector>
  </TitlesOfParts>
  <Company>HP</Company>
  <LinksUpToDate>false</LinksUpToDate>
  <CharactersWithSpaces>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PROPOSED HEAVY VEHICLE NATIONAL LAWS</dc:title>
  <dc:creator>harbers</dc:creator>
  <cp:lastModifiedBy>harbers</cp:lastModifiedBy>
  <cp:revision>2</cp:revision>
  <cp:lastPrinted>2014-03-21T04:55:00Z</cp:lastPrinted>
  <dcterms:created xsi:type="dcterms:W3CDTF">2014-03-21T04:55:00Z</dcterms:created>
  <dcterms:modified xsi:type="dcterms:W3CDTF">2014-03-21T04:55:00Z</dcterms:modified>
</cp:coreProperties>
</file>