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A51C30" w:rsidTr="000156D1">
        <w:trPr>
          <w:trHeight w:val="756"/>
        </w:trPr>
        <w:tc>
          <w:tcPr>
            <w:tcW w:w="2660" w:type="dxa"/>
            <w:vAlign w:val="center"/>
          </w:tcPr>
          <w:p w:rsidR="00D735FF" w:rsidRPr="00A51C30" w:rsidRDefault="00D735FF" w:rsidP="001025C9">
            <w:pPr>
              <w:pStyle w:val="Header"/>
              <w:jc w:val="both"/>
              <w:rPr>
                <w:rFonts w:ascii="Arial" w:hAnsi="Arial" w:cs="Arial"/>
                <w:b/>
                <w:sz w:val="28"/>
                <w:szCs w:val="28"/>
              </w:rPr>
            </w:pPr>
            <w:r w:rsidRPr="00A51C30">
              <w:rPr>
                <w:rFonts w:ascii="Arial" w:hAnsi="Arial" w:cs="Arial"/>
                <w:b/>
                <w:sz w:val="28"/>
                <w:szCs w:val="28"/>
              </w:rPr>
              <w:t>Submission to:</w:t>
            </w:r>
          </w:p>
        </w:tc>
        <w:tc>
          <w:tcPr>
            <w:tcW w:w="6379" w:type="dxa"/>
            <w:vAlign w:val="center"/>
          </w:tcPr>
          <w:p w:rsidR="00D735FF" w:rsidRPr="00A51C30" w:rsidRDefault="002F0939" w:rsidP="003168CE">
            <w:pPr>
              <w:pStyle w:val="Header"/>
              <w:rPr>
                <w:rFonts w:ascii="Arial" w:hAnsi="Arial" w:cs="Arial"/>
                <w:sz w:val="28"/>
                <w:szCs w:val="28"/>
              </w:rPr>
            </w:pPr>
            <w:r>
              <w:rPr>
                <w:rFonts w:ascii="Arial" w:hAnsi="Arial" w:cs="Arial"/>
                <w:sz w:val="28"/>
                <w:szCs w:val="28"/>
              </w:rPr>
              <w:t>Department of Infrastructure and Transport</w:t>
            </w:r>
          </w:p>
        </w:tc>
      </w:tr>
      <w:tr w:rsidR="00D735FF" w:rsidRPr="00A51C30" w:rsidTr="00FA5275">
        <w:trPr>
          <w:trHeight w:val="756"/>
        </w:trPr>
        <w:tc>
          <w:tcPr>
            <w:tcW w:w="2660" w:type="dxa"/>
          </w:tcPr>
          <w:p w:rsidR="00D735FF" w:rsidRPr="00A51C30" w:rsidRDefault="00D735FF" w:rsidP="00FA5275">
            <w:pPr>
              <w:pStyle w:val="Header"/>
              <w:rPr>
                <w:rFonts w:ascii="Arial" w:hAnsi="Arial" w:cs="Arial"/>
                <w:b/>
                <w:sz w:val="28"/>
                <w:szCs w:val="28"/>
              </w:rPr>
            </w:pPr>
            <w:r w:rsidRPr="00A51C30">
              <w:rPr>
                <w:rFonts w:ascii="Arial" w:hAnsi="Arial" w:cs="Arial"/>
                <w:b/>
                <w:sz w:val="28"/>
                <w:szCs w:val="28"/>
              </w:rPr>
              <w:t>Title:</w:t>
            </w:r>
          </w:p>
        </w:tc>
        <w:tc>
          <w:tcPr>
            <w:tcW w:w="6379" w:type="dxa"/>
          </w:tcPr>
          <w:p w:rsidR="00D735FF" w:rsidRPr="00A51C30" w:rsidRDefault="002F0939" w:rsidP="00FA5275">
            <w:pPr>
              <w:pStyle w:val="Header"/>
              <w:rPr>
                <w:rFonts w:ascii="Arial" w:hAnsi="Arial" w:cs="Arial"/>
                <w:sz w:val="28"/>
                <w:szCs w:val="28"/>
              </w:rPr>
            </w:pPr>
            <w:r>
              <w:rPr>
                <w:rFonts w:ascii="Arial" w:hAnsi="Arial" w:cs="Arial"/>
                <w:sz w:val="28"/>
                <w:szCs w:val="28"/>
              </w:rPr>
              <w:t xml:space="preserve">Consultation paper on the </w:t>
            </w:r>
            <w:r w:rsidRPr="00FB4AB9">
              <w:rPr>
                <w:rFonts w:ascii="Arial" w:hAnsi="Arial" w:cs="Arial"/>
                <w:i/>
                <w:sz w:val="28"/>
                <w:szCs w:val="28"/>
              </w:rPr>
              <w:t>Motor Vehicle Standards Act 1989</w:t>
            </w:r>
          </w:p>
        </w:tc>
      </w:tr>
      <w:tr w:rsidR="00D735FF" w:rsidRPr="00A51C30" w:rsidTr="00FA5275">
        <w:trPr>
          <w:trHeight w:val="756"/>
        </w:trPr>
        <w:tc>
          <w:tcPr>
            <w:tcW w:w="2660" w:type="dxa"/>
          </w:tcPr>
          <w:p w:rsidR="00D735FF" w:rsidRPr="00A51C30" w:rsidRDefault="00D735FF" w:rsidP="00FA5275">
            <w:pPr>
              <w:pStyle w:val="Header"/>
              <w:rPr>
                <w:rFonts w:ascii="Arial" w:hAnsi="Arial" w:cs="Arial"/>
                <w:b/>
                <w:sz w:val="28"/>
                <w:szCs w:val="28"/>
              </w:rPr>
            </w:pPr>
            <w:r w:rsidRPr="00A51C30">
              <w:rPr>
                <w:rFonts w:ascii="Arial" w:hAnsi="Arial" w:cs="Arial"/>
                <w:b/>
                <w:sz w:val="28"/>
                <w:szCs w:val="28"/>
              </w:rPr>
              <w:t>Date:</w:t>
            </w:r>
          </w:p>
        </w:tc>
        <w:tc>
          <w:tcPr>
            <w:tcW w:w="6379" w:type="dxa"/>
          </w:tcPr>
          <w:p w:rsidR="00D735FF" w:rsidRPr="00A51C30" w:rsidRDefault="002F0939" w:rsidP="00FA5275">
            <w:pPr>
              <w:pStyle w:val="Header"/>
              <w:rPr>
                <w:rFonts w:ascii="Arial" w:hAnsi="Arial" w:cs="Arial"/>
                <w:sz w:val="28"/>
                <w:szCs w:val="28"/>
              </w:rPr>
            </w:pPr>
            <w:r>
              <w:rPr>
                <w:rFonts w:ascii="Arial" w:hAnsi="Arial" w:cs="Arial"/>
                <w:sz w:val="28"/>
                <w:szCs w:val="28"/>
              </w:rPr>
              <w:t xml:space="preserve">21 June </w:t>
            </w:r>
            <w:r w:rsidR="00693D92" w:rsidRPr="00A51C30">
              <w:rPr>
                <w:rFonts w:ascii="Arial" w:hAnsi="Arial" w:cs="Arial"/>
                <w:sz w:val="28"/>
                <w:szCs w:val="28"/>
              </w:rPr>
              <w:t>2013</w:t>
            </w:r>
            <w:r w:rsidR="00F26CFA" w:rsidRPr="00A51C30">
              <w:rPr>
                <w:rFonts w:ascii="Arial" w:hAnsi="Arial" w:cs="Arial"/>
                <w:sz w:val="28"/>
                <w:szCs w:val="28"/>
              </w:rPr>
              <w:t xml:space="preserve"> </w:t>
            </w:r>
          </w:p>
        </w:tc>
      </w:tr>
    </w:tbl>
    <w:p w:rsidR="00D735FF" w:rsidRPr="00A51C30" w:rsidRDefault="00D735FF" w:rsidP="001025C9">
      <w:pPr>
        <w:pStyle w:val="Header"/>
        <w:jc w:val="both"/>
        <w:rPr>
          <w:rFonts w:ascii="Arial" w:hAnsi="Arial" w:cs="Arial"/>
          <w:sz w:val="20"/>
          <w:szCs w:val="20"/>
        </w:rPr>
      </w:pPr>
    </w:p>
    <w:p w:rsidR="00D735FF" w:rsidRPr="00A51C30" w:rsidRDefault="00D735FF" w:rsidP="001025C9">
      <w:pPr>
        <w:pStyle w:val="Header"/>
        <w:jc w:val="both"/>
        <w:rPr>
          <w:rFonts w:ascii="Arial" w:hAnsi="Arial" w:cs="Arial"/>
          <w:sz w:val="20"/>
          <w:szCs w:val="20"/>
        </w:rPr>
      </w:pPr>
    </w:p>
    <w:p w:rsidR="00576ED0" w:rsidRPr="00A51C30" w:rsidRDefault="00576ED0" w:rsidP="001025C9">
      <w:pPr>
        <w:pStyle w:val="Header"/>
        <w:jc w:val="both"/>
        <w:rPr>
          <w:rFonts w:ascii="Arial" w:hAnsi="Arial" w:cs="Arial"/>
          <w:sz w:val="20"/>
          <w:szCs w:val="20"/>
        </w:rPr>
      </w:pPr>
    </w:p>
    <w:p w:rsidR="00576ED0" w:rsidRPr="00A51C30" w:rsidRDefault="00576ED0" w:rsidP="001025C9">
      <w:pPr>
        <w:jc w:val="both"/>
        <w:rPr>
          <w:rFonts w:ascii="Arial" w:hAnsi="Arial" w:cs="Arial"/>
          <w:sz w:val="20"/>
          <w:szCs w:val="20"/>
          <w:lang w:val="en-GB"/>
        </w:rPr>
        <w:sectPr w:rsidR="00576ED0" w:rsidRPr="00A51C30"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A51C30" w:rsidRDefault="00576ED0" w:rsidP="001025C9">
      <w:pPr>
        <w:jc w:val="both"/>
        <w:rPr>
          <w:rFonts w:ascii="Arial" w:hAnsi="Arial" w:cs="Arial"/>
          <w:sz w:val="20"/>
          <w:szCs w:val="20"/>
        </w:rPr>
      </w:pPr>
    </w:p>
    <w:p w:rsidR="0035493A" w:rsidRPr="00A51C30" w:rsidRDefault="0035493A" w:rsidP="001025C9">
      <w:pPr>
        <w:jc w:val="both"/>
        <w:rPr>
          <w:rFonts w:ascii="Arial" w:hAnsi="Arial" w:cs="Arial"/>
          <w:sz w:val="20"/>
          <w:szCs w:val="20"/>
        </w:rPr>
      </w:pPr>
    </w:p>
    <w:p w:rsidR="0035493A" w:rsidRPr="00A51C30" w:rsidRDefault="0035493A" w:rsidP="001025C9">
      <w:pPr>
        <w:jc w:val="both"/>
        <w:rPr>
          <w:rFonts w:ascii="Arial" w:hAnsi="Arial" w:cs="Arial"/>
          <w:sz w:val="20"/>
          <w:szCs w:val="20"/>
        </w:rPr>
      </w:pPr>
    </w:p>
    <w:p w:rsidR="0035493A" w:rsidRPr="00A51C30" w:rsidRDefault="0035493A" w:rsidP="001025C9">
      <w:pPr>
        <w:jc w:val="both"/>
        <w:rPr>
          <w:rFonts w:ascii="Arial" w:hAnsi="Arial" w:cs="Arial"/>
          <w:sz w:val="20"/>
          <w:szCs w:val="20"/>
        </w:rPr>
      </w:pPr>
    </w:p>
    <w:p w:rsidR="0035493A" w:rsidRPr="00A51C30" w:rsidRDefault="0035493A" w:rsidP="001025C9">
      <w:pPr>
        <w:jc w:val="both"/>
        <w:rPr>
          <w:rFonts w:ascii="Arial" w:hAnsi="Arial" w:cs="Arial"/>
          <w:sz w:val="20"/>
          <w:szCs w:val="20"/>
        </w:rPr>
      </w:pPr>
    </w:p>
    <w:p w:rsidR="0035493A" w:rsidRPr="00A51C30" w:rsidRDefault="003B74E4" w:rsidP="001025C9">
      <w:pPr>
        <w:jc w:val="both"/>
        <w:rPr>
          <w:rFonts w:ascii="Arial" w:hAnsi="Arial" w:cs="Arial"/>
          <w:b/>
          <w:color w:val="000064"/>
          <w:sz w:val="28"/>
          <w:szCs w:val="28"/>
        </w:rPr>
      </w:pPr>
      <w:r w:rsidRPr="00A51C30">
        <w:rPr>
          <w:rFonts w:ascii="Arial" w:hAnsi="Arial" w:cs="Arial"/>
          <w:b/>
          <w:color w:val="000064"/>
          <w:sz w:val="28"/>
          <w:szCs w:val="28"/>
        </w:rPr>
        <w:t>Contents</w:t>
      </w:r>
    </w:p>
    <w:p w:rsidR="00576ED0" w:rsidRPr="00A51C30" w:rsidRDefault="00576ED0" w:rsidP="001025C9">
      <w:pPr>
        <w:jc w:val="both"/>
        <w:rPr>
          <w:rFonts w:ascii="Arial" w:hAnsi="Arial" w:cs="Arial"/>
          <w:sz w:val="20"/>
          <w:szCs w:val="20"/>
        </w:rPr>
      </w:pPr>
    </w:p>
    <w:p w:rsidR="009B0520" w:rsidRPr="00A51C30" w:rsidRDefault="009B0520" w:rsidP="001025C9">
      <w:pPr>
        <w:jc w:val="both"/>
        <w:rPr>
          <w:rFonts w:ascii="Arial" w:hAnsi="Arial" w:cs="Arial"/>
          <w:b/>
          <w:sz w:val="20"/>
          <w:szCs w:val="20"/>
        </w:rPr>
      </w:pPr>
    </w:p>
    <w:p w:rsidR="008F1963" w:rsidRDefault="005A5AE9">
      <w:pPr>
        <w:pStyle w:val="TOC1"/>
        <w:rPr>
          <w:rFonts w:asciiTheme="minorHAnsi" w:eastAsiaTheme="minorEastAsia" w:hAnsiTheme="minorHAnsi" w:cstheme="minorBidi"/>
          <w:b w:val="0"/>
          <w:color w:val="auto"/>
          <w:sz w:val="22"/>
          <w:szCs w:val="22"/>
          <w:lang w:eastAsia="en-AU"/>
        </w:rPr>
      </w:pPr>
      <w:r w:rsidRPr="005A5AE9">
        <w:rPr>
          <w:rFonts w:cs="Arial"/>
        </w:rPr>
        <w:fldChar w:fldCharType="begin"/>
      </w:r>
      <w:r w:rsidR="0035493A" w:rsidRPr="00CF0867">
        <w:rPr>
          <w:rFonts w:cs="Arial"/>
        </w:rPr>
        <w:instrText xml:space="preserve"> TOC \o "1-2" \t "ATA Heading 2,2" </w:instrText>
      </w:r>
      <w:r w:rsidRPr="005A5AE9">
        <w:rPr>
          <w:rFonts w:cs="Arial"/>
        </w:rPr>
        <w:fldChar w:fldCharType="separate"/>
      </w:r>
      <w:r w:rsidR="008F1963" w:rsidRPr="00BA058E">
        <w:t>1.</w:t>
      </w:r>
      <w:r w:rsidR="008F1963">
        <w:rPr>
          <w:rFonts w:asciiTheme="minorHAnsi" w:eastAsiaTheme="minorEastAsia" w:hAnsiTheme="minorHAnsi" w:cstheme="minorBidi"/>
          <w:b w:val="0"/>
          <w:color w:val="auto"/>
          <w:sz w:val="22"/>
          <w:szCs w:val="22"/>
          <w:lang w:eastAsia="en-AU"/>
        </w:rPr>
        <w:tab/>
      </w:r>
      <w:r w:rsidR="008F1963">
        <w:t>Introduction</w:t>
      </w:r>
      <w:r w:rsidR="008F1963">
        <w:tab/>
      </w:r>
      <w:r>
        <w:fldChar w:fldCharType="begin"/>
      </w:r>
      <w:r w:rsidR="008F1963">
        <w:instrText xml:space="preserve"> PAGEREF _Toc358730962 \h </w:instrText>
      </w:r>
      <w:r>
        <w:fldChar w:fldCharType="separate"/>
      </w:r>
      <w:r w:rsidR="008F1963">
        <w:t>3</w:t>
      </w:r>
      <w:r>
        <w:fldChar w:fldCharType="end"/>
      </w:r>
    </w:p>
    <w:p w:rsidR="008F1963" w:rsidRDefault="008F1963">
      <w:pPr>
        <w:pStyle w:val="TOC1"/>
        <w:rPr>
          <w:rFonts w:asciiTheme="minorHAnsi" w:eastAsiaTheme="minorEastAsia" w:hAnsiTheme="minorHAnsi" w:cstheme="minorBidi"/>
          <w:b w:val="0"/>
          <w:color w:val="auto"/>
          <w:sz w:val="22"/>
          <w:szCs w:val="22"/>
          <w:lang w:eastAsia="en-AU"/>
        </w:rPr>
      </w:pPr>
      <w:r w:rsidRPr="00BA058E">
        <w:t>2.</w:t>
      </w:r>
      <w:r>
        <w:rPr>
          <w:rFonts w:asciiTheme="minorHAnsi" w:eastAsiaTheme="minorEastAsia" w:hAnsiTheme="minorHAnsi" w:cstheme="minorBidi"/>
          <w:b w:val="0"/>
          <w:color w:val="auto"/>
          <w:sz w:val="22"/>
          <w:szCs w:val="22"/>
          <w:lang w:eastAsia="en-AU"/>
        </w:rPr>
        <w:tab/>
      </w:r>
      <w:r>
        <w:t>Australian Trucking Association</w:t>
      </w:r>
      <w:r>
        <w:tab/>
      </w:r>
      <w:r w:rsidR="005A5AE9">
        <w:fldChar w:fldCharType="begin"/>
      </w:r>
      <w:r>
        <w:instrText xml:space="preserve"> PAGEREF _Toc358730963 \h </w:instrText>
      </w:r>
      <w:r w:rsidR="005A5AE9">
        <w:fldChar w:fldCharType="separate"/>
      </w:r>
      <w:r>
        <w:t>3</w:t>
      </w:r>
      <w:r w:rsidR="005A5AE9">
        <w:fldChar w:fldCharType="end"/>
      </w:r>
    </w:p>
    <w:p w:rsidR="008F1963" w:rsidRDefault="008F1963">
      <w:pPr>
        <w:pStyle w:val="TOC1"/>
        <w:rPr>
          <w:rFonts w:asciiTheme="minorHAnsi" w:eastAsiaTheme="minorEastAsia" w:hAnsiTheme="minorHAnsi" w:cstheme="minorBidi"/>
          <w:b w:val="0"/>
          <w:color w:val="auto"/>
          <w:sz w:val="22"/>
          <w:szCs w:val="22"/>
          <w:lang w:eastAsia="en-AU"/>
        </w:rPr>
      </w:pPr>
      <w:r w:rsidRPr="00BA058E">
        <w:t>3.</w:t>
      </w:r>
      <w:r>
        <w:rPr>
          <w:rFonts w:asciiTheme="minorHAnsi" w:eastAsiaTheme="minorEastAsia" w:hAnsiTheme="minorHAnsi" w:cstheme="minorBidi"/>
          <w:b w:val="0"/>
          <w:color w:val="auto"/>
          <w:sz w:val="22"/>
          <w:szCs w:val="22"/>
          <w:lang w:eastAsia="en-AU"/>
        </w:rPr>
        <w:tab/>
      </w:r>
      <w:r>
        <w:t>Recommendations</w:t>
      </w:r>
      <w:r>
        <w:tab/>
      </w:r>
      <w:r w:rsidR="005A5AE9">
        <w:fldChar w:fldCharType="begin"/>
      </w:r>
      <w:r>
        <w:instrText xml:space="preserve"> PAGEREF _Toc358730964 \h </w:instrText>
      </w:r>
      <w:r w:rsidR="005A5AE9">
        <w:fldChar w:fldCharType="separate"/>
      </w:r>
      <w:r>
        <w:t>3</w:t>
      </w:r>
      <w:r w:rsidR="005A5AE9">
        <w:fldChar w:fldCharType="end"/>
      </w:r>
    </w:p>
    <w:p w:rsidR="008F1963" w:rsidRDefault="008F1963">
      <w:pPr>
        <w:pStyle w:val="TOC1"/>
        <w:rPr>
          <w:rFonts w:asciiTheme="minorHAnsi" w:eastAsiaTheme="minorEastAsia" w:hAnsiTheme="minorHAnsi" w:cstheme="minorBidi"/>
          <w:b w:val="0"/>
          <w:color w:val="auto"/>
          <w:sz w:val="22"/>
          <w:szCs w:val="22"/>
          <w:lang w:eastAsia="en-AU"/>
        </w:rPr>
      </w:pPr>
      <w:r w:rsidRPr="00BA058E">
        <w:t>4.</w:t>
      </w:r>
      <w:r>
        <w:rPr>
          <w:rFonts w:asciiTheme="minorHAnsi" w:eastAsiaTheme="minorEastAsia" w:hAnsiTheme="minorHAnsi" w:cstheme="minorBidi"/>
          <w:b w:val="0"/>
          <w:color w:val="auto"/>
          <w:sz w:val="22"/>
          <w:szCs w:val="22"/>
          <w:lang w:eastAsia="en-AU"/>
        </w:rPr>
        <w:tab/>
      </w:r>
      <w:r>
        <w:t>Outcomes and objectives of the Act</w:t>
      </w:r>
      <w:r>
        <w:tab/>
      </w:r>
      <w:r w:rsidR="005A5AE9">
        <w:fldChar w:fldCharType="begin"/>
      </w:r>
      <w:r>
        <w:instrText xml:space="preserve"> PAGEREF _Toc358730965 \h </w:instrText>
      </w:r>
      <w:r w:rsidR="005A5AE9">
        <w:fldChar w:fldCharType="separate"/>
      </w:r>
      <w:r>
        <w:t>4</w:t>
      </w:r>
      <w:r w:rsidR="005A5AE9">
        <w:fldChar w:fldCharType="end"/>
      </w:r>
    </w:p>
    <w:p w:rsidR="008F1963" w:rsidRDefault="008F1963">
      <w:pPr>
        <w:pStyle w:val="TOC1"/>
        <w:rPr>
          <w:rFonts w:asciiTheme="minorHAnsi" w:eastAsiaTheme="minorEastAsia" w:hAnsiTheme="minorHAnsi" w:cstheme="minorBidi"/>
          <w:b w:val="0"/>
          <w:color w:val="auto"/>
          <w:sz w:val="22"/>
          <w:szCs w:val="22"/>
          <w:lang w:eastAsia="en-AU"/>
        </w:rPr>
      </w:pPr>
      <w:r>
        <w:t>4.1 Outcomes of the Act</w:t>
      </w:r>
      <w:r>
        <w:tab/>
      </w:r>
      <w:r w:rsidR="005A5AE9">
        <w:fldChar w:fldCharType="begin"/>
      </w:r>
      <w:r>
        <w:instrText xml:space="preserve"> PAGEREF _Toc358730966 \h </w:instrText>
      </w:r>
      <w:r w:rsidR="005A5AE9">
        <w:fldChar w:fldCharType="separate"/>
      </w:r>
      <w:r>
        <w:t>4</w:t>
      </w:r>
      <w:r w:rsidR="005A5AE9">
        <w:fldChar w:fldCharType="end"/>
      </w:r>
    </w:p>
    <w:p w:rsidR="008F1963" w:rsidRDefault="008F1963">
      <w:pPr>
        <w:pStyle w:val="TOC1"/>
        <w:rPr>
          <w:rFonts w:asciiTheme="minorHAnsi" w:eastAsiaTheme="minorEastAsia" w:hAnsiTheme="minorHAnsi" w:cstheme="minorBidi"/>
          <w:b w:val="0"/>
          <w:color w:val="auto"/>
          <w:sz w:val="22"/>
          <w:szCs w:val="22"/>
          <w:lang w:eastAsia="en-AU"/>
        </w:rPr>
      </w:pPr>
      <w:r>
        <w:t>4.2 Policy objectives</w:t>
      </w:r>
      <w:r>
        <w:tab/>
      </w:r>
      <w:r w:rsidR="005A5AE9">
        <w:fldChar w:fldCharType="begin"/>
      </w:r>
      <w:r>
        <w:instrText xml:space="preserve"> PAGEREF _Toc358730967 \h </w:instrText>
      </w:r>
      <w:r w:rsidR="005A5AE9">
        <w:fldChar w:fldCharType="separate"/>
      </w:r>
      <w:r>
        <w:t>4</w:t>
      </w:r>
      <w:r w:rsidR="005A5AE9">
        <w:fldChar w:fldCharType="end"/>
      </w:r>
    </w:p>
    <w:p w:rsidR="00241C15" w:rsidRPr="00CF0867" w:rsidRDefault="005A5AE9" w:rsidP="001025C9">
      <w:pPr>
        <w:tabs>
          <w:tab w:val="right" w:leader="dot" w:pos="9645"/>
        </w:tabs>
        <w:jc w:val="both"/>
        <w:rPr>
          <w:rFonts w:ascii="Arial" w:hAnsi="Arial" w:cs="Arial"/>
          <w:b/>
          <w:sz w:val="20"/>
          <w:szCs w:val="20"/>
        </w:rPr>
      </w:pPr>
      <w:r w:rsidRPr="00CF0867">
        <w:rPr>
          <w:rFonts w:ascii="Arial" w:hAnsi="Arial" w:cs="Arial"/>
          <w:b/>
          <w:sz w:val="20"/>
          <w:szCs w:val="20"/>
        </w:rPr>
        <w:fldChar w:fldCharType="end"/>
      </w:r>
    </w:p>
    <w:p w:rsidR="00576ED0" w:rsidRPr="00CF0867" w:rsidRDefault="00576ED0" w:rsidP="001025C9">
      <w:pPr>
        <w:jc w:val="both"/>
        <w:rPr>
          <w:rFonts w:ascii="Arial" w:hAnsi="Arial" w:cs="Arial"/>
          <w:b/>
          <w:sz w:val="20"/>
          <w:szCs w:val="20"/>
        </w:rPr>
      </w:pPr>
      <w:r w:rsidRPr="00CF0867">
        <w:rPr>
          <w:rFonts w:ascii="Arial" w:hAnsi="Arial" w:cs="Arial"/>
          <w:b/>
          <w:sz w:val="20"/>
          <w:szCs w:val="20"/>
        </w:rPr>
        <w:br w:type="page"/>
      </w:r>
    </w:p>
    <w:p w:rsidR="00576ED0" w:rsidRPr="00A51C30" w:rsidRDefault="00576ED0" w:rsidP="001025C9">
      <w:pPr>
        <w:pStyle w:val="Heading1"/>
        <w:jc w:val="both"/>
      </w:pPr>
      <w:bookmarkStart w:id="0" w:name="_Toc358730962"/>
      <w:r w:rsidRPr="00A51C30">
        <w:lastRenderedPageBreak/>
        <w:t>Introduction</w:t>
      </w:r>
      <w:bookmarkEnd w:id="0"/>
    </w:p>
    <w:p w:rsidR="00D17563" w:rsidRPr="00A51C30" w:rsidRDefault="00D17563" w:rsidP="001025C9">
      <w:pPr>
        <w:jc w:val="both"/>
        <w:rPr>
          <w:rFonts w:ascii="Arial" w:hAnsi="Arial" w:cs="Arial"/>
          <w:sz w:val="20"/>
          <w:szCs w:val="20"/>
        </w:rPr>
      </w:pPr>
    </w:p>
    <w:p w:rsidR="007B2917" w:rsidRDefault="001C150C" w:rsidP="007B2917">
      <w:pPr>
        <w:jc w:val="both"/>
        <w:rPr>
          <w:rFonts w:ascii="Arial" w:hAnsi="Arial" w:cs="Arial"/>
          <w:sz w:val="20"/>
          <w:szCs w:val="20"/>
        </w:rPr>
      </w:pPr>
      <w:r w:rsidRPr="00A51C30">
        <w:rPr>
          <w:rFonts w:ascii="Arial" w:hAnsi="Arial" w:cs="Arial"/>
          <w:sz w:val="20"/>
          <w:szCs w:val="20"/>
        </w:rPr>
        <w:t xml:space="preserve">The </w:t>
      </w:r>
      <w:r w:rsidR="00FB4AB9" w:rsidRPr="00FB4AB9">
        <w:rPr>
          <w:rFonts w:ascii="Arial" w:hAnsi="Arial" w:cs="Arial"/>
          <w:i/>
          <w:sz w:val="20"/>
          <w:szCs w:val="20"/>
        </w:rPr>
        <w:t>Motor Vehicle Standards Act 1989</w:t>
      </w:r>
      <w:r w:rsidR="00FB4AB9">
        <w:rPr>
          <w:rFonts w:ascii="Arial" w:hAnsi="Arial" w:cs="Arial"/>
          <w:sz w:val="20"/>
          <w:szCs w:val="20"/>
        </w:rPr>
        <w:t xml:space="preserve"> (</w:t>
      </w:r>
      <w:r w:rsidR="007B2917">
        <w:rPr>
          <w:rFonts w:ascii="Arial" w:hAnsi="Arial" w:cs="Arial"/>
          <w:sz w:val="20"/>
          <w:szCs w:val="20"/>
        </w:rPr>
        <w:t>MVSA</w:t>
      </w:r>
      <w:r w:rsidR="00FB4AB9">
        <w:rPr>
          <w:rFonts w:ascii="Arial" w:hAnsi="Arial" w:cs="Arial"/>
          <w:sz w:val="20"/>
          <w:szCs w:val="20"/>
        </w:rPr>
        <w:t>)</w:t>
      </w:r>
      <w:r w:rsidR="007B2917">
        <w:rPr>
          <w:rFonts w:ascii="Arial" w:hAnsi="Arial" w:cs="Arial"/>
          <w:sz w:val="20"/>
          <w:szCs w:val="20"/>
        </w:rPr>
        <w:t xml:space="preserve"> was introduced to </w:t>
      </w:r>
      <w:r w:rsidR="002B24A2">
        <w:rPr>
          <w:rFonts w:ascii="Arial" w:hAnsi="Arial" w:cs="Arial"/>
          <w:sz w:val="20"/>
          <w:szCs w:val="20"/>
        </w:rPr>
        <w:t xml:space="preserve">set a minimum standard </w:t>
      </w:r>
      <w:r w:rsidR="003B2A16">
        <w:rPr>
          <w:rFonts w:ascii="Arial" w:hAnsi="Arial" w:cs="Arial"/>
          <w:sz w:val="20"/>
          <w:szCs w:val="20"/>
        </w:rPr>
        <w:t>for</w:t>
      </w:r>
      <w:r w:rsidR="002B24A2">
        <w:rPr>
          <w:rFonts w:ascii="Arial" w:hAnsi="Arial" w:cs="Arial"/>
          <w:sz w:val="20"/>
          <w:szCs w:val="20"/>
        </w:rPr>
        <w:t xml:space="preserve"> safety and related matters </w:t>
      </w:r>
      <w:r w:rsidR="003B2A16">
        <w:rPr>
          <w:rFonts w:ascii="Arial" w:hAnsi="Arial" w:cs="Arial"/>
          <w:sz w:val="20"/>
          <w:szCs w:val="20"/>
        </w:rPr>
        <w:t>(</w:t>
      </w:r>
      <w:r w:rsidR="00FB4AB9">
        <w:rPr>
          <w:rFonts w:ascii="Arial" w:hAnsi="Arial" w:cs="Arial"/>
          <w:sz w:val="20"/>
          <w:szCs w:val="20"/>
        </w:rPr>
        <w:t>such as</w:t>
      </w:r>
      <w:r w:rsidR="002B24A2">
        <w:rPr>
          <w:rFonts w:ascii="Arial" w:hAnsi="Arial" w:cs="Arial"/>
          <w:sz w:val="20"/>
          <w:szCs w:val="20"/>
        </w:rPr>
        <w:t xml:space="preserve"> </w:t>
      </w:r>
      <w:r w:rsidR="003B2A16">
        <w:rPr>
          <w:rFonts w:ascii="Arial" w:hAnsi="Arial" w:cs="Arial"/>
          <w:sz w:val="20"/>
          <w:szCs w:val="20"/>
        </w:rPr>
        <w:t xml:space="preserve">vehicle </w:t>
      </w:r>
      <w:r w:rsidR="002B24A2">
        <w:rPr>
          <w:rFonts w:ascii="Arial" w:hAnsi="Arial" w:cs="Arial"/>
          <w:sz w:val="20"/>
          <w:szCs w:val="20"/>
        </w:rPr>
        <w:t>emissions</w:t>
      </w:r>
      <w:r w:rsidR="003B2A16">
        <w:rPr>
          <w:rFonts w:ascii="Arial" w:hAnsi="Arial" w:cs="Arial"/>
          <w:sz w:val="20"/>
          <w:szCs w:val="20"/>
        </w:rPr>
        <w:t>)</w:t>
      </w:r>
      <w:r w:rsidR="002B24A2">
        <w:rPr>
          <w:rFonts w:ascii="Arial" w:hAnsi="Arial" w:cs="Arial"/>
          <w:sz w:val="20"/>
          <w:szCs w:val="20"/>
        </w:rPr>
        <w:t xml:space="preserve"> in order </w:t>
      </w:r>
      <w:r w:rsidR="00766E32">
        <w:rPr>
          <w:rFonts w:ascii="Arial" w:hAnsi="Arial" w:cs="Arial"/>
          <w:sz w:val="20"/>
          <w:szCs w:val="20"/>
        </w:rPr>
        <w:t xml:space="preserve">for </w:t>
      </w:r>
      <w:r w:rsidR="00974684">
        <w:rPr>
          <w:rFonts w:ascii="Arial" w:hAnsi="Arial" w:cs="Arial"/>
          <w:sz w:val="20"/>
          <w:szCs w:val="20"/>
        </w:rPr>
        <w:t>a</w:t>
      </w:r>
      <w:r w:rsidR="002B24A2">
        <w:rPr>
          <w:rFonts w:ascii="Arial" w:hAnsi="Arial" w:cs="Arial"/>
          <w:sz w:val="20"/>
          <w:szCs w:val="20"/>
        </w:rPr>
        <w:t xml:space="preserve"> </w:t>
      </w:r>
      <w:r w:rsidR="00974684">
        <w:rPr>
          <w:rFonts w:ascii="Arial" w:hAnsi="Arial" w:cs="Arial"/>
          <w:sz w:val="20"/>
          <w:szCs w:val="20"/>
        </w:rPr>
        <w:t xml:space="preserve">motor </w:t>
      </w:r>
      <w:r w:rsidR="002B24A2">
        <w:rPr>
          <w:rFonts w:ascii="Arial" w:hAnsi="Arial" w:cs="Arial"/>
          <w:sz w:val="20"/>
          <w:szCs w:val="20"/>
        </w:rPr>
        <w:t xml:space="preserve">vehicle to </w:t>
      </w:r>
      <w:r w:rsidR="00957DDF">
        <w:rPr>
          <w:rFonts w:ascii="Arial" w:hAnsi="Arial" w:cs="Arial"/>
          <w:sz w:val="20"/>
          <w:szCs w:val="20"/>
        </w:rPr>
        <w:t>enter</w:t>
      </w:r>
      <w:r w:rsidR="00974684">
        <w:rPr>
          <w:rFonts w:ascii="Arial" w:hAnsi="Arial" w:cs="Arial"/>
          <w:sz w:val="20"/>
          <w:szCs w:val="20"/>
        </w:rPr>
        <w:t xml:space="preserve"> the</w:t>
      </w:r>
      <w:r w:rsidR="002B24A2">
        <w:rPr>
          <w:rFonts w:ascii="Arial" w:hAnsi="Arial" w:cs="Arial"/>
          <w:sz w:val="20"/>
          <w:szCs w:val="20"/>
        </w:rPr>
        <w:t xml:space="preserve"> market in Australia</w:t>
      </w:r>
      <w:r w:rsidR="008F1963">
        <w:rPr>
          <w:rFonts w:ascii="Arial" w:hAnsi="Arial" w:cs="Arial"/>
          <w:sz w:val="20"/>
          <w:szCs w:val="20"/>
        </w:rPr>
        <w:t xml:space="preserve">. </w:t>
      </w:r>
      <w:r w:rsidR="00957DDF">
        <w:rPr>
          <w:rFonts w:ascii="Arial" w:hAnsi="Arial" w:cs="Arial"/>
          <w:sz w:val="20"/>
          <w:szCs w:val="20"/>
        </w:rPr>
        <w:t xml:space="preserve">The Act </w:t>
      </w:r>
      <w:r w:rsidR="002B24A2">
        <w:rPr>
          <w:rFonts w:ascii="Arial" w:hAnsi="Arial" w:cs="Arial"/>
          <w:sz w:val="20"/>
          <w:szCs w:val="20"/>
        </w:rPr>
        <w:t xml:space="preserve">also </w:t>
      </w:r>
      <w:r w:rsidR="007B2917">
        <w:rPr>
          <w:rFonts w:ascii="Arial" w:hAnsi="Arial" w:cs="Arial"/>
          <w:sz w:val="20"/>
          <w:szCs w:val="20"/>
        </w:rPr>
        <w:t>prevent</w:t>
      </w:r>
      <w:r w:rsidR="002B24A2">
        <w:rPr>
          <w:rFonts w:ascii="Arial" w:hAnsi="Arial" w:cs="Arial"/>
          <w:sz w:val="20"/>
          <w:szCs w:val="20"/>
        </w:rPr>
        <w:t>s</w:t>
      </w:r>
      <w:r w:rsidR="007B2917">
        <w:rPr>
          <w:rFonts w:ascii="Arial" w:hAnsi="Arial" w:cs="Arial"/>
          <w:sz w:val="20"/>
          <w:szCs w:val="20"/>
        </w:rPr>
        <w:t xml:space="preserve"> importation of </w:t>
      </w:r>
      <w:r w:rsidR="00D23A88">
        <w:rPr>
          <w:rFonts w:ascii="Arial" w:hAnsi="Arial" w:cs="Arial"/>
          <w:sz w:val="20"/>
          <w:szCs w:val="20"/>
        </w:rPr>
        <w:t>used</w:t>
      </w:r>
      <w:r w:rsidR="007B2917">
        <w:rPr>
          <w:rFonts w:ascii="Arial" w:hAnsi="Arial" w:cs="Arial"/>
          <w:sz w:val="20"/>
          <w:szCs w:val="20"/>
        </w:rPr>
        <w:t xml:space="preserve"> vehicles</w:t>
      </w:r>
      <w:r w:rsidR="008130B6">
        <w:rPr>
          <w:rFonts w:ascii="Arial" w:hAnsi="Arial" w:cs="Arial"/>
          <w:sz w:val="20"/>
          <w:szCs w:val="20"/>
        </w:rPr>
        <w:t>,</w:t>
      </w:r>
      <w:r w:rsidR="007B2917">
        <w:rPr>
          <w:rFonts w:ascii="Arial" w:hAnsi="Arial" w:cs="Arial"/>
          <w:sz w:val="20"/>
          <w:szCs w:val="20"/>
        </w:rPr>
        <w:t xml:space="preserve"> </w:t>
      </w:r>
      <w:r w:rsidR="002B24A2">
        <w:rPr>
          <w:rFonts w:ascii="Arial" w:hAnsi="Arial" w:cs="Arial"/>
          <w:sz w:val="20"/>
          <w:szCs w:val="20"/>
        </w:rPr>
        <w:t>unless the</w:t>
      </w:r>
      <w:r w:rsidR="008130B6">
        <w:rPr>
          <w:rFonts w:ascii="Arial" w:hAnsi="Arial" w:cs="Arial"/>
          <w:sz w:val="20"/>
          <w:szCs w:val="20"/>
        </w:rPr>
        <w:t>se</w:t>
      </w:r>
      <w:r w:rsidR="002B24A2">
        <w:rPr>
          <w:rFonts w:ascii="Arial" w:hAnsi="Arial" w:cs="Arial"/>
          <w:sz w:val="20"/>
          <w:szCs w:val="20"/>
        </w:rPr>
        <w:t xml:space="preserve"> are </w:t>
      </w:r>
      <w:r w:rsidR="007B2917">
        <w:rPr>
          <w:rFonts w:ascii="Arial" w:hAnsi="Arial" w:cs="Arial"/>
          <w:sz w:val="20"/>
          <w:szCs w:val="20"/>
        </w:rPr>
        <w:t xml:space="preserve">shown to </w:t>
      </w:r>
      <w:r w:rsidR="008130B6">
        <w:rPr>
          <w:rFonts w:ascii="Arial" w:hAnsi="Arial" w:cs="Arial"/>
          <w:sz w:val="20"/>
          <w:szCs w:val="20"/>
        </w:rPr>
        <w:t xml:space="preserve">meet </w:t>
      </w:r>
      <w:r w:rsidR="002B24A2">
        <w:rPr>
          <w:rFonts w:ascii="Arial" w:hAnsi="Arial" w:cs="Arial"/>
          <w:sz w:val="20"/>
          <w:szCs w:val="20"/>
        </w:rPr>
        <w:t xml:space="preserve">equivalent </w:t>
      </w:r>
      <w:r w:rsidR="008130B6">
        <w:rPr>
          <w:rFonts w:ascii="Arial" w:hAnsi="Arial" w:cs="Arial"/>
          <w:sz w:val="20"/>
          <w:szCs w:val="20"/>
        </w:rPr>
        <w:t>standards</w:t>
      </w:r>
      <w:r w:rsidR="007B2917">
        <w:rPr>
          <w:rFonts w:ascii="Arial" w:hAnsi="Arial" w:cs="Arial"/>
          <w:sz w:val="20"/>
          <w:szCs w:val="20"/>
        </w:rPr>
        <w:t xml:space="preserve"> of safety </w:t>
      </w:r>
      <w:r w:rsidR="00766E32">
        <w:rPr>
          <w:rFonts w:ascii="Arial" w:hAnsi="Arial" w:cs="Arial"/>
          <w:sz w:val="20"/>
          <w:szCs w:val="20"/>
        </w:rPr>
        <w:t xml:space="preserve">to </w:t>
      </w:r>
      <w:r w:rsidR="008130B6">
        <w:rPr>
          <w:rFonts w:ascii="Arial" w:hAnsi="Arial" w:cs="Arial"/>
          <w:sz w:val="20"/>
          <w:szCs w:val="20"/>
        </w:rPr>
        <w:t>that</w:t>
      </w:r>
      <w:r w:rsidR="007B2917">
        <w:rPr>
          <w:rFonts w:ascii="Arial" w:hAnsi="Arial" w:cs="Arial"/>
          <w:sz w:val="20"/>
          <w:szCs w:val="20"/>
        </w:rPr>
        <w:t xml:space="preserve"> </w:t>
      </w:r>
      <w:r w:rsidR="00983F22">
        <w:rPr>
          <w:rFonts w:ascii="Arial" w:hAnsi="Arial" w:cs="Arial"/>
          <w:sz w:val="20"/>
          <w:szCs w:val="20"/>
        </w:rPr>
        <w:t>of t</w:t>
      </w:r>
      <w:r w:rsidR="007B2917">
        <w:rPr>
          <w:rFonts w:ascii="Arial" w:hAnsi="Arial" w:cs="Arial"/>
          <w:sz w:val="20"/>
          <w:szCs w:val="20"/>
        </w:rPr>
        <w:t>h</w:t>
      </w:r>
      <w:r w:rsidR="00983F22">
        <w:rPr>
          <w:rFonts w:ascii="Arial" w:hAnsi="Arial" w:cs="Arial"/>
          <w:sz w:val="20"/>
          <w:szCs w:val="20"/>
        </w:rPr>
        <w:t>e</w:t>
      </w:r>
      <w:r w:rsidR="007B2917">
        <w:rPr>
          <w:rFonts w:ascii="Arial" w:hAnsi="Arial" w:cs="Arial"/>
          <w:sz w:val="20"/>
          <w:szCs w:val="20"/>
        </w:rPr>
        <w:t xml:space="preserve"> </w:t>
      </w:r>
      <w:r w:rsidR="000425DE">
        <w:rPr>
          <w:rFonts w:ascii="Arial" w:hAnsi="Arial" w:cs="Arial"/>
          <w:sz w:val="20"/>
          <w:szCs w:val="20"/>
        </w:rPr>
        <w:t>Australian Design Rules (ADR). The Act provide</w:t>
      </w:r>
      <w:r w:rsidR="00766E32">
        <w:rPr>
          <w:rFonts w:ascii="Arial" w:hAnsi="Arial" w:cs="Arial"/>
          <w:sz w:val="20"/>
          <w:szCs w:val="20"/>
        </w:rPr>
        <w:t>s</w:t>
      </w:r>
      <w:r w:rsidR="000425DE">
        <w:rPr>
          <w:rFonts w:ascii="Arial" w:hAnsi="Arial" w:cs="Arial"/>
          <w:sz w:val="20"/>
          <w:szCs w:val="20"/>
        </w:rPr>
        <w:t xml:space="preserve"> </w:t>
      </w:r>
      <w:r w:rsidR="008130B6">
        <w:rPr>
          <w:rFonts w:ascii="Arial" w:hAnsi="Arial" w:cs="Arial"/>
          <w:sz w:val="20"/>
          <w:szCs w:val="20"/>
        </w:rPr>
        <w:t>the</w:t>
      </w:r>
      <w:r w:rsidR="000425DE">
        <w:rPr>
          <w:rFonts w:ascii="Arial" w:hAnsi="Arial" w:cs="Arial"/>
          <w:sz w:val="20"/>
          <w:szCs w:val="20"/>
        </w:rPr>
        <w:t xml:space="preserve"> </w:t>
      </w:r>
      <w:r w:rsidR="007B2917">
        <w:rPr>
          <w:rFonts w:ascii="Arial" w:hAnsi="Arial" w:cs="Arial"/>
          <w:sz w:val="20"/>
          <w:szCs w:val="20"/>
        </w:rPr>
        <w:t xml:space="preserve">regulatory framework to control </w:t>
      </w:r>
      <w:r w:rsidR="00766E32">
        <w:rPr>
          <w:rFonts w:ascii="Arial" w:hAnsi="Arial" w:cs="Arial"/>
          <w:sz w:val="20"/>
          <w:szCs w:val="20"/>
        </w:rPr>
        <w:t xml:space="preserve">supply </w:t>
      </w:r>
      <w:r w:rsidR="007B2917">
        <w:rPr>
          <w:rFonts w:ascii="Arial" w:hAnsi="Arial" w:cs="Arial"/>
          <w:sz w:val="20"/>
          <w:szCs w:val="20"/>
        </w:rPr>
        <w:t xml:space="preserve">and </w:t>
      </w:r>
      <w:r w:rsidR="00766E32">
        <w:rPr>
          <w:rFonts w:ascii="Arial" w:hAnsi="Arial" w:cs="Arial"/>
          <w:sz w:val="20"/>
          <w:szCs w:val="20"/>
        </w:rPr>
        <w:t xml:space="preserve">importation </w:t>
      </w:r>
      <w:r w:rsidR="007B2917">
        <w:rPr>
          <w:rFonts w:ascii="Arial" w:hAnsi="Arial" w:cs="Arial"/>
          <w:sz w:val="20"/>
          <w:szCs w:val="20"/>
        </w:rPr>
        <w:t xml:space="preserve">of </w:t>
      </w:r>
      <w:r w:rsidR="008130B6">
        <w:rPr>
          <w:rFonts w:ascii="Arial" w:hAnsi="Arial" w:cs="Arial"/>
          <w:sz w:val="20"/>
          <w:szCs w:val="20"/>
        </w:rPr>
        <w:t>heavy</w:t>
      </w:r>
      <w:r w:rsidR="007B2917">
        <w:rPr>
          <w:rFonts w:ascii="Arial" w:hAnsi="Arial" w:cs="Arial"/>
          <w:sz w:val="20"/>
          <w:szCs w:val="20"/>
        </w:rPr>
        <w:t xml:space="preserve"> vehicles in</w:t>
      </w:r>
      <w:r w:rsidR="008130B6">
        <w:rPr>
          <w:rFonts w:ascii="Arial" w:hAnsi="Arial" w:cs="Arial"/>
          <w:sz w:val="20"/>
          <w:szCs w:val="20"/>
        </w:rPr>
        <w:t>to</w:t>
      </w:r>
      <w:r w:rsidR="007B2917">
        <w:rPr>
          <w:rFonts w:ascii="Arial" w:hAnsi="Arial" w:cs="Arial"/>
          <w:sz w:val="20"/>
          <w:szCs w:val="20"/>
        </w:rPr>
        <w:t xml:space="preserve"> Australia. </w:t>
      </w:r>
    </w:p>
    <w:p w:rsidR="000425DE" w:rsidRDefault="000425DE" w:rsidP="007B2917">
      <w:pPr>
        <w:jc w:val="both"/>
        <w:rPr>
          <w:rFonts w:ascii="Arial" w:hAnsi="Arial" w:cs="Arial"/>
          <w:sz w:val="20"/>
          <w:szCs w:val="20"/>
        </w:rPr>
      </w:pPr>
    </w:p>
    <w:p w:rsidR="000425DE" w:rsidRDefault="000425DE" w:rsidP="007B2917">
      <w:pPr>
        <w:jc w:val="both"/>
        <w:rPr>
          <w:rFonts w:ascii="Arial" w:hAnsi="Arial" w:cs="Arial"/>
          <w:sz w:val="20"/>
          <w:szCs w:val="20"/>
        </w:rPr>
      </w:pPr>
      <w:r>
        <w:rPr>
          <w:rFonts w:ascii="Arial" w:hAnsi="Arial" w:cs="Arial"/>
          <w:sz w:val="20"/>
          <w:szCs w:val="20"/>
        </w:rPr>
        <w:t xml:space="preserve">As </w:t>
      </w:r>
      <w:r w:rsidR="00974684">
        <w:rPr>
          <w:rFonts w:ascii="Arial" w:hAnsi="Arial" w:cs="Arial"/>
          <w:sz w:val="20"/>
          <w:szCs w:val="20"/>
        </w:rPr>
        <w:t>the Act</w:t>
      </w:r>
      <w:r>
        <w:rPr>
          <w:rFonts w:ascii="Arial" w:hAnsi="Arial" w:cs="Arial"/>
          <w:sz w:val="20"/>
          <w:szCs w:val="20"/>
        </w:rPr>
        <w:t xml:space="preserve"> covers both </w:t>
      </w:r>
      <w:r w:rsidR="008F1963">
        <w:rPr>
          <w:rFonts w:ascii="Arial" w:hAnsi="Arial" w:cs="Arial"/>
          <w:sz w:val="20"/>
          <w:szCs w:val="20"/>
        </w:rPr>
        <w:t>domestic</w:t>
      </w:r>
      <w:r w:rsidR="007B2917">
        <w:rPr>
          <w:rFonts w:ascii="Arial" w:hAnsi="Arial" w:cs="Arial"/>
          <w:sz w:val="20"/>
          <w:szCs w:val="20"/>
        </w:rPr>
        <w:t xml:space="preserve"> and international vehicle manufacturing</w:t>
      </w:r>
      <w:r>
        <w:rPr>
          <w:rFonts w:ascii="Arial" w:hAnsi="Arial" w:cs="Arial"/>
          <w:sz w:val="20"/>
          <w:szCs w:val="20"/>
        </w:rPr>
        <w:t xml:space="preserve"> and </w:t>
      </w:r>
      <w:r w:rsidR="00D611A0">
        <w:rPr>
          <w:rFonts w:ascii="Arial" w:hAnsi="Arial" w:cs="Arial"/>
          <w:sz w:val="20"/>
          <w:szCs w:val="20"/>
        </w:rPr>
        <w:t xml:space="preserve">vehicle </w:t>
      </w:r>
      <w:r>
        <w:rPr>
          <w:rFonts w:ascii="Arial" w:hAnsi="Arial" w:cs="Arial"/>
          <w:sz w:val="20"/>
          <w:szCs w:val="20"/>
        </w:rPr>
        <w:t>providers</w:t>
      </w:r>
      <w:r w:rsidR="00974684">
        <w:rPr>
          <w:rFonts w:ascii="Arial" w:hAnsi="Arial" w:cs="Arial"/>
          <w:sz w:val="20"/>
          <w:szCs w:val="20"/>
        </w:rPr>
        <w:t>, it</w:t>
      </w:r>
      <w:r>
        <w:rPr>
          <w:rFonts w:ascii="Arial" w:hAnsi="Arial" w:cs="Arial"/>
          <w:sz w:val="20"/>
          <w:szCs w:val="20"/>
        </w:rPr>
        <w:t xml:space="preserve"> </w:t>
      </w:r>
      <w:r w:rsidR="00766E32">
        <w:rPr>
          <w:rFonts w:ascii="Arial" w:hAnsi="Arial" w:cs="Arial"/>
          <w:sz w:val="20"/>
          <w:szCs w:val="20"/>
        </w:rPr>
        <w:t xml:space="preserve">can achieve </w:t>
      </w:r>
      <w:r>
        <w:rPr>
          <w:rFonts w:ascii="Arial" w:hAnsi="Arial" w:cs="Arial"/>
          <w:sz w:val="20"/>
          <w:szCs w:val="20"/>
        </w:rPr>
        <w:t>strict compliance</w:t>
      </w:r>
      <w:r w:rsidR="00766E32">
        <w:rPr>
          <w:rFonts w:ascii="Arial" w:hAnsi="Arial" w:cs="Arial"/>
          <w:sz w:val="20"/>
          <w:szCs w:val="20"/>
        </w:rPr>
        <w:t xml:space="preserve"> with </w:t>
      </w:r>
      <w:r w:rsidR="00FD34D6">
        <w:rPr>
          <w:rFonts w:ascii="Arial" w:hAnsi="Arial" w:cs="Arial"/>
          <w:sz w:val="20"/>
          <w:szCs w:val="20"/>
        </w:rPr>
        <w:t xml:space="preserve">the </w:t>
      </w:r>
      <w:r w:rsidR="00766E32">
        <w:rPr>
          <w:rFonts w:ascii="Arial" w:hAnsi="Arial" w:cs="Arial"/>
          <w:sz w:val="20"/>
          <w:szCs w:val="20"/>
        </w:rPr>
        <w:t>appropriate administration</w:t>
      </w:r>
      <w:r>
        <w:rPr>
          <w:rFonts w:ascii="Arial" w:hAnsi="Arial" w:cs="Arial"/>
          <w:sz w:val="20"/>
          <w:szCs w:val="20"/>
        </w:rPr>
        <w:t xml:space="preserve">. </w:t>
      </w:r>
    </w:p>
    <w:p w:rsidR="000425DE" w:rsidRDefault="000425DE" w:rsidP="007B2917">
      <w:pPr>
        <w:jc w:val="both"/>
        <w:rPr>
          <w:rFonts w:ascii="Arial" w:hAnsi="Arial" w:cs="Arial"/>
          <w:sz w:val="20"/>
          <w:szCs w:val="20"/>
        </w:rPr>
      </w:pPr>
    </w:p>
    <w:p w:rsidR="00F73FD9" w:rsidRDefault="000425DE" w:rsidP="007B2917">
      <w:pPr>
        <w:jc w:val="both"/>
        <w:rPr>
          <w:rFonts w:ascii="Arial" w:hAnsi="Arial" w:cs="Arial"/>
          <w:sz w:val="20"/>
          <w:szCs w:val="20"/>
        </w:rPr>
      </w:pPr>
      <w:r>
        <w:rPr>
          <w:rFonts w:ascii="Arial" w:hAnsi="Arial" w:cs="Arial"/>
          <w:sz w:val="20"/>
          <w:szCs w:val="20"/>
        </w:rPr>
        <w:t xml:space="preserve">The Act </w:t>
      </w:r>
      <w:r w:rsidR="00983F22">
        <w:rPr>
          <w:rFonts w:ascii="Arial" w:hAnsi="Arial" w:cs="Arial"/>
          <w:sz w:val="20"/>
          <w:szCs w:val="20"/>
        </w:rPr>
        <w:t>established</w:t>
      </w:r>
      <w:r w:rsidR="00295968">
        <w:rPr>
          <w:rFonts w:ascii="Arial" w:hAnsi="Arial" w:cs="Arial"/>
          <w:sz w:val="20"/>
          <w:szCs w:val="20"/>
        </w:rPr>
        <w:t xml:space="preserve"> national uniformity for ADR application</w:t>
      </w:r>
      <w:r w:rsidR="00983F22">
        <w:rPr>
          <w:rFonts w:ascii="Arial" w:hAnsi="Arial" w:cs="Arial"/>
          <w:sz w:val="20"/>
          <w:szCs w:val="20"/>
        </w:rPr>
        <w:t>s</w:t>
      </w:r>
      <w:r w:rsidR="00766E32">
        <w:rPr>
          <w:rFonts w:ascii="Arial" w:hAnsi="Arial" w:cs="Arial"/>
          <w:sz w:val="20"/>
          <w:szCs w:val="20"/>
        </w:rPr>
        <w:t xml:space="preserve"> and prevents inconsistent state </w:t>
      </w:r>
      <w:r w:rsidR="00957DDF">
        <w:rPr>
          <w:rFonts w:ascii="Arial" w:hAnsi="Arial" w:cs="Arial"/>
          <w:sz w:val="20"/>
          <w:szCs w:val="20"/>
        </w:rPr>
        <w:t xml:space="preserve">legislation. This alone </w:t>
      </w:r>
      <w:r w:rsidR="00295968">
        <w:rPr>
          <w:rFonts w:ascii="Arial" w:hAnsi="Arial" w:cs="Arial"/>
          <w:sz w:val="20"/>
          <w:szCs w:val="20"/>
        </w:rPr>
        <w:t xml:space="preserve">was a vast improvement on the previous </w:t>
      </w:r>
      <w:r w:rsidR="00957DDF">
        <w:rPr>
          <w:rFonts w:ascii="Arial" w:hAnsi="Arial" w:cs="Arial"/>
          <w:sz w:val="20"/>
          <w:szCs w:val="20"/>
        </w:rPr>
        <w:t>situation</w:t>
      </w:r>
      <w:r w:rsidR="00295968">
        <w:rPr>
          <w:rFonts w:ascii="Arial" w:hAnsi="Arial" w:cs="Arial"/>
          <w:sz w:val="20"/>
          <w:szCs w:val="20"/>
        </w:rPr>
        <w:t xml:space="preserve"> of </w:t>
      </w:r>
      <w:r w:rsidR="00367AA3">
        <w:rPr>
          <w:rFonts w:ascii="Arial" w:hAnsi="Arial" w:cs="Arial"/>
          <w:sz w:val="20"/>
          <w:szCs w:val="20"/>
        </w:rPr>
        <w:t xml:space="preserve">myriad </w:t>
      </w:r>
      <w:r w:rsidR="00766E32">
        <w:rPr>
          <w:rFonts w:ascii="Arial" w:hAnsi="Arial" w:cs="Arial"/>
          <w:sz w:val="20"/>
          <w:szCs w:val="20"/>
        </w:rPr>
        <w:t>rules</w:t>
      </w:r>
      <w:r w:rsidR="00367AA3">
        <w:rPr>
          <w:rFonts w:ascii="Arial" w:hAnsi="Arial" w:cs="Arial"/>
          <w:sz w:val="20"/>
          <w:szCs w:val="20"/>
        </w:rPr>
        <w:t xml:space="preserve">; </w:t>
      </w:r>
      <w:r w:rsidR="00F73FD9">
        <w:rPr>
          <w:rFonts w:ascii="Arial" w:hAnsi="Arial" w:cs="Arial"/>
          <w:sz w:val="20"/>
          <w:szCs w:val="20"/>
        </w:rPr>
        <w:t>inspections</w:t>
      </w:r>
      <w:r w:rsidR="00957DDF">
        <w:rPr>
          <w:rFonts w:ascii="Arial" w:hAnsi="Arial" w:cs="Arial"/>
          <w:sz w:val="20"/>
          <w:szCs w:val="20"/>
        </w:rPr>
        <w:t>,</w:t>
      </w:r>
      <w:r w:rsidR="00F73FD9">
        <w:rPr>
          <w:rFonts w:ascii="Arial" w:hAnsi="Arial" w:cs="Arial"/>
          <w:sz w:val="20"/>
          <w:szCs w:val="20"/>
        </w:rPr>
        <w:t xml:space="preserve"> </w:t>
      </w:r>
      <w:r w:rsidR="00957DDF">
        <w:rPr>
          <w:rFonts w:ascii="Arial" w:hAnsi="Arial" w:cs="Arial"/>
          <w:sz w:val="20"/>
          <w:szCs w:val="20"/>
        </w:rPr>
        <w:t xml:space="preserve">approvals and certification </w:t>
      </w:r>
      <w:r w:rsidR="00F73FD9">
        <w:rPr>
          <w:rFonts w:ascii="Arial" w:hAnsi="Arial" w:cs="Arial"/>
          <w:sz w:val="20"/>
          <w:szCs w:val="20"/>
        </w:rPr>
        <w:t>regimes in each jurisdiction</w:t>
      </w:r>
      <w:r w:rsidR="00766E32">
        <w:rPr>
          <w:rFonts w:ascii="Arial" w:hAnsi="Arial" w:cs="Arial"/>
          <w:sz w:val="20"/>
          <w:szCs w:val="20"/>
        </w:rPr>
        <w:t xml:space="preserve">. </w:t>
      </w:r>
    </w:p>
    <w:p w:rsidR="007B2917" w:rsidRDefault="007B2917" w:rsidP="007B2917">
      <w:pPr>
        <w:jc w:val="both"/>
        <w:rPr>
          <w:rFonts w:ascii="Arial" w:hAnsi="Arial" w:cs="Arial"/>
          <w:sz w:val="20"/>
          <w:szCs w:val="20"/>
        </w:rPr>
      </w:pPr>
    </w:p>
    <w:p w:rsidR="007B2917" w:rsidRDefault="0032571D" w:rsidP="007B2917">
      <w:pPr>
        <w:jc w:val="both"/>
        <w:rPr>
          <w:rFonts w:ascii="Arial" w:hAnsi="Arial" w:cs="Arial"/>
          <w:sz w:val="20"/>
          <w:szCs w:val="20"/>
        </w:rPr>
      </w:pPr>
      <w:r>
        <w:rPr>
          <w:rFonts w:ascii="Arial" w:hAnsi="Arial" w:cs="Arial"/>
          <w:sz w:val="20"/>
          <w:szCs w:val="20"/>
        </w:rPr>
        <w:t>T</w:t>
      </w:r>
      <w:r w:rsidR="00F73FD9">
        <w:rPr>
          <w:rFonts w:ascii="Arial" w:hAnsi="Arial" w:cs="Arial"/>
          <w:sz w:val="20"/>
          <w:szCs w:val="20"/>
        </w:rPr>
        <w:t xml:space="preserve">he </w:t>
      </w:r>
      <w:r w:rsidR="00F86426">
        <w:rPr>
          <w:rFonts w:ascii="Arial" w:hAnsi="Arial" w:cs="Arial"/>
          <w:sz w:val="20"/>
          <w:szCs w:val="20"/>
        </w:rPr>
        <w:t>Act strongly</w:t>
      </w:r>
      <w:r w:rsidR="00766E32">
        <w:rPr>
          <w:rFonts w:ascii="Arial" w:hAnsi="Arial" w:cs="Arial"/>
          <w:sz w:val="20"/>
          <w:szCs w:val="20"/>
        </w:rPr>
        <w:t xml:space="preserve"> supports </w:t>
      </w:r>
      <w:r w:rsidR="00F86426">
        <w:rPr>
          <w:rFonts w:ascii="Arial" w:hAnsi="Arial" w:cs="Arial"/>
          <w:sz w:val="20"/>
          <w:szCs w:val="20"/>
        </w:rPr>
        <w:t>a broader public</w:t>
      </w:r>
      <w:r w:rsidR="00766E32">
        <w:rPr>
          <w:rFonts w:ascii="Arial" w:hAnsi="Arial" w:cs="Arial"/>
          <w:sz w:val="20"/>
          <w:szCs w:val="20"/>
        </w:rPr>
        <w:t xml:space="preserve"> </w:t>
      </w:r>
      <w:r w:rsidR="00F73FD9">
        <w:rPr>
          <w:rFonts w:ascii="Arial" w:hAnsi="Arial" w:cs="Arial"/>
          <w:sz w:val="20"/>
          <w:szCs w:val="20"/>
        </w:rPr>
        <w:t xml:space="preserve">policy of reducing </w:t>
      </w:r>
      <w:r w:rsidR="00F86426">
        <w:rPr>
          <w:rFonts w:ascii="Arial" w:hAnsi="Arial" w:cs="Arial"/>
          <w:sz w:val="20"/>
          <w:szCs w:val="20"/>
        </w:rPr>
        <w:t>fatalities</w:t>
      </w:r>
      <w:r w:rsidR="00392F21">
        <w:rPr>
          <w:rFonts w:ascii="Arial" w:hAnsi="Arial" w:cs="Arial"/>
          <w:sz w:val="20"/>
          <w:szCs w:val="20"/>
        </w:rPr>
        <w:t xml:space="preserve"> and injuries</w:t>
      </w:r>
      <w:r w:rsidR="00F73FD9">
        <w:rPr>
          <w:rFonts w:ascii="Arial" w:hAnsi="Arial" w:cs="Arial"/>
          <w:sz w:val="20"/>
          <w:szCs w:val="20"/>
        </w:rPr>
        <w:t xml:space="preserve"> </w:t>
      </w:r>
      <w:r w:rsidR="00F86426">
        <w:rPr>
          <w:rFonts w:ascii="Arial" w:hAnsi="Arial" w:cs="Arial"/>
          <w:sz w:val="20"/>
          <w:szCs w:val="20"/>
        </w:rPr>
        <w:t xml:space="preserve">on Australia’s roads. Since 1989, this piece of legislation appears to have been quite effective in ensuring that </w:t>
      </w:r>
      <w:r>
        <w:rPr>
          <w:rFonts w:ascii="Arial" w:hAnsi="Arial" w:cs="Arial"/>
          <w:sz w:val="20"/>
          <w:szCs w:val="20"/>
        </w:rPr>
        <w:t xml:space="preserve">vehicles </w:t>
      </w:r>
      <w:r w:rsidR="00F86426">
        <w:rPr>
          <w:rFonts w:ascii="Arial" w:hAnsi="Arial" w:cs="Arial"/>
          <w:sz w:val="20"/>
          <w:szCs w:val="20"/>
        </w:rPr>
        <w:t xml:space="preserve">inferior in design or </w:t>
      </w:r>
      <w:r w:rsidR="002958CF">
        <w:rPr>
          <w:rFonts w:ascii="Arial" w:hAnsi="Arial" w:cs="Arial"/>
          <w:sz w:val="20"/>
          <w:szCs w:val="20"/>
        </w:rPr>
        <w:t>build quality</w:t>
      </w:r>
      <w:r w:rsidR="00F86426">
        <w:rPr>
          <w:rFonts w:ascii="Arial" w:hAnsi="Arial" w:cs="Arial"/>
          <w:sz w:val="20"/>
          <w:szCs w:val="20"/>
        </w:rPr>
        <w:t xml:space="preserve"> </w:t>
      </w:r>
      <w:r w:rsidR="00766E32">
        <w:rPr>
          <w:rFonts w:ascii="Arial" w:hAnsi="Arial" w:cs="Arial"/>
          <w:sz w:val="20"/>
          <w:szCs w:val="20"/>
        </w:rPr>
        <w:t xml:space="preserve">are </w:t>
      </w:r>
      <w:r>
        <w:rPr>
          <w:rFonts w:ascii="Arial" w:hAnsi="Arial" w:cs="Arial"/>
          <w:sz w:val="20"/>
          <w:szCs w:val="20"/>
        </w:rPr>
        <w:t xml:space="preserve">not </w:t>
      </w:r>
      <w:r w:rsidR="00766E32">
        <w:rPr>
          <w:rFonts w:ascii="Arial" w:hAnsi="Arial" w:cs="Arial"/>
          <w:sz w:val="20"/>
          <w:szCs w:val="20"/>
        </w:rPr>
        <w:t>provided</w:t>
      </w:r>
      <w:r w:rsidR="00F86426">
        <w:rPr>
          <w:rFonts w:ascii="Arial" w:hAnsi="Arial" w:cs="Arial"/>
          <w:sz w:val="20"/>
          <w:szCs w:val="20"/>
        </w:rPr>
        <w:t xml:space="preserve"> to the market</w:t>
      </w:r>
      <w:r w:rsidR="00766E32">
        <w:rPr>
          <w:rFonts w:ascii="Arial" w:hAnsi="Arial" w:cs="Arial"/>
          <w:sz w:val="20"/>
          <w:szCs w:val="20"/>
        </w:rPr>
        <w:t xml:space="preserve"> </w:t>
      </w:r>
      <w:r w:rsidR="00C44773">
        <w:rPr>
          <w:rFonts w:ascii="Arial" w:hAnsi="Arial" w:cs="Arial"/>
          <w:sz w:val="20"/>
          <w:szCs w:val="20"/>
        </w:rPr>
        <w:t xml:space="preserve">for </w:t>
      </w:r>
      <w:r w:rsidR="00F86426">
        <w:rPr>
          <w:rFonts w:ascii="Arial" w:hAnsi="Arial" w:cs="Arial"/>
          <w:sz w:val="20"/>
          <w:szCs w:val="20"/>
        </w:rPr>
        <w:t xml:space="preserve">later </w:t>
      </w:r>
      <w:r w:rsidR="00C44773">
        <w:rPr>
          <w:rFonts w:ascii="Arial" w:hAnsi="Arial" w:cs="Arial"/>
          <w:sz w:val="20"/>
          <w:szCs w:val="20"/>
        </w:rPr>
        <w:t xml:space="preserve">use </w:t>
      </w:r>
      <w:r>
        <w:rPr>
          <w:rFonts w:ascii="Arial" w:hAnsi="Arial" w:cs="Arial"/>
          <w:sz w:val="20"/>
          <w:szCs w:val="20"/>
        </w:rPr>
        <w:t xml:space="preserve">on public roads. </w:t>
      </w:r>
    </w:p>
    <w:p w:rsidR="00AD735D" w:rsidRPr="00A51C30" w:rsidRDefault="00AD735D" w:rsidP="001727E8">
      <w:pPr>
        <w:jc w:val="both"/>
        <w:rPr>
          <w:rFonts w:ascii="Arial" w:hAnsi="Arial" w:cs="Arial"/>
          <w:sz w:val="20"/>
          <w:szCs w:val="20"/>
        </w:rPr>
      </w:pPr>
    </w:p>
    <w:p w:rsidR="00A61231" w:rsidRPr="00A51C30" w:rsidRDefault="00A61231" w:rsidP="001025C9">
      <w:pPr>
        <w:jc w:val="both"/>
        <w:rPr>
          <w:rFonts w:ascii="Arial" w:hAnsi="Arial" w:cs="Arial"/>
          <w:sz w:val="20"/>
          <w:szCs w:val="20"/>
        </w:rPr>
      </w:pPr>
    </w:p>
    <w:p w:rsidR="00576ED0" w:rsidRPr="00A51C30" w:rsidRDefault="003340FB" w:rsidP="001025C9">
      <w:pPr>
        <w:pStyle w:val="Heading1"/>
        <w:jc w:val="both"/>
      </w:pPr>
      <w:r w:rsidRPr="00A51C30">
        <w:t xml:space="preserve"> </w:t>
      </w:r>
      <w:bookmarkStart w:id="1" w:name="_Toc358730963"/>
      <w:r w:rsidRPr="00A51C30">
        <w:t>Australian Trucking Association</w:t>
      </w:r>
      <w:bookmarkEnd w:id="1"/>
      <w:r w:rsidRPr="00A51C30">
        <w:t xml:space="preserve">  </w:t>
      </w:r>
    </w:p>
    <w:p w:rsidR="004008C7" w:rsidRPr="00A51C30" w:rsidRDefault="004008C7" w:rsidP="001025C9">
      <w:pPr>
        <w:pStyle w:val="BodyText2"/>
        <w:jc w:val="both"/>
        <w:rPr>
          <w:b w:val="0"/>
          <w:sz w:val="20"/>
        </w:rPr>
      </w:pPr>
    </w:p>
    <w:p w:rsidR="00CF3600" w:rsidRPr="00A51C30" w:rsidRDefault="00CF3600" w:rsidP="00CF3600">
      <w:pPr>
        <w:pStyle w:val="BodyText2"/>
        <w:spacing w:line="269" w:lineRule="auto"/>
        <w:rPr>
          <w:rFonts w:eastAsia="Calibri"/>
          <w:b w:val="0"/>
          <w:bCs w:val="0"/>
          <w:sz w:val="20"/>
        </w:rPr>
      </w:pPr>
      <w:r w:rsidRPr="00A51C30">
        <w:rPr>
          <w:rFonts w:eastAsia="Calibri"/>
          <w:b w:val="0"/>
          <w:bCs w:val="0"/>
          <w:sz w:val="20"/>
        </w:rPr>
        <w:t>The Australian Trucking Association (ATA) is the peak body that represents the trucking industry. Its m</w:t>
      </w:r>
      <w:r w:rsidR="00FB4AB9">
        <w:rPr>
          <w:rFonts w:eastAsia="Calibri"/>
          <w:b w:val="0"/>
          <w:bCs w:val="0"/>
          <w:sz w:val="20"/>
        </w:rPr>
        <w:t>embers include state and sector-</w:t>
      </w:r>
      <w:r w:rsidRPr="00A51C30">
        <w:rPr>
          <w:rFonts w:eastAsia="Calibri"/>
          <w:b w:val="0"/>
          <w:bCs w:val="0"/>
          <w:sz w:val="20"/>
        </w:rPr>
        <w:t xml:space="preserve">based trucking associations, some of the nation’s largest transport companies, and businesses with leading expertise in truck technology. </w:t>
      </w:r>
    </w:p>
    <w:p w:rsidR="006104D6" w:rsidRPr="00A51C30" w:rsidRDefault="00A45F83" w:rsidP="001025C9">
      <w:pPr>
        <w:jc w:val="both"/>
        <w:rPr>
          <w:rFonts w:ascii="Arial" w:hAnsi="Arial" w:cs="Arial"/>
          <w:sz w:val="20"/>
          <w:szCs w:val="20"/>
        </w:rPr>
      </w:pPr>
      <w:r w:rsidRPr="00A51C30">
        <w:rPr>
          <w:rFonts w:ascii="Arial" w:eastAsia="Times New Roman" w:hAnsi="Arial" w:cs="Arial"/>
          <w:bCs/>
          <w:sz w:val="20"/>
          <w:szCs w:val="20"/>
        </w:rPr>
        <w:t xml:space="preserve"> </w:t>
      </w:r>
    </w:p>
    <w:p w:rsidR="006B7D84" w:rsidRPr="00A51C30" w:rsidRDefault="006B7D84" w:rsidP="001025C9">
      <w:pPr>
        <w:jc w:val="both"/>
        <w:rPr>
          <w:rFonts w:ascii="Arial" w:eastAsia="Times New Roman" w:hAnsi="Arial" w:cs="Arial"/>
          <w:bCs/>
          <w:sz w:val="20"/>
          <w:szCs w:val="20"/>
        </w:rPr>
      </w:pPr>
    </w:p>
    <w:p w:rsidR="00D73280" w:rsidRPr="00A51C30" w:rsidRDefault="00907971" w:rsidP="00C05A4F">
      <w:pPr>
        <w:pStyle w:val="Heading1"/>
        <w:jc w:val="both"/>
      </w:pPr>
      <w:bookmarkStart w:id="2" w:name="_Toc358730964"/>
      <w:r w:rsidRPr="00A51C30">
        <w:t>Recommendations</w:t>
      </w:r>
      <w:bookmarkEnd w:id="2"/>
      <w:r w:rsidR="00C05A4F" w:rsidRPr="00A51C30">
        <w:rPr>
          <w:noProof/>
          <w:color w:val="000000" w:themeColor="text1"/>
          <w:sz w:val="20"/>
          <w:szCs w:val="20"/>
        </w:rPr>
        <w:t xml:space="preserve"> </w:t>
      </w:r>
    </w:p>
    <w:p w:rsidR="00076C90" w:rsidRDefault="00076C90" w:rsidP="003B0AAE">
      <w:pPr>
        <w:rPr>
          <w:rFonts w:ascii="Arial" w:hAnsi="Arial" w:cs="Arial"/>
          <w:noProof/>
        </w:rPr>
      </w:pPr>
    </w:p>
    <w:p w:rsidR="008F1963" w:rsidRPr="008F1963" w:rsidRDefault="008F1963" w:rsidP="008F1963">
      <w:pPr>
        <w:rPr>
          <w:rFonts w:ascii="Arial" w:hAnsi="Arial" w:cs="Arial"/>
          <w:b/>
          <w:i/>
          <w:iCs/>
          <w:noProof/>
          <w:sz w:val="20"/>
          <w:szCs w:val="20"/>
        </w:rPr>
      </w:pPr>
      <w:r w:rsidRPr="008F1963">
        <w:rPr>
          <w:rFonts w:ascii="Arial" w:hAnsi="Arial" w:cs="Arial"/>
          <w:b/>
          <w:i/>
          <w:iCs/>
          <w:noProof/>
          <w:sz w:val="20"/>
          <w:szCs w:val="20"/>
        </w:rPr>
        <w:t>Recommendation 1</w:t>
      </w:r>
    </w:p>
    <w:p w:rsidR="008F1963" w:rsidRPr="008F1963" w:rsidRDefault="008F1963" w:rsidP="008F1963">
      <w:pPr>
        <w:rPr>
          <w:rFonts w:ascii="Arial" w:hAnsi="Arial" w:cs="Arial"/>
          <w:b/>
          <w:noProof/>
          <w:sz w:val="20"/>
          <w:szCs w:val="20"/>
        </w:rPr>
      </w:pPr>
      <w:r w:rsidRPr="008F1963">
        <w:rPr>
          <w:rFonts w:ascii="Arial" w:hAnsi="Arial" w:cs="Arial"/>
          <w:noProof/>
          <w:sz w:val="20"/>
          <w:szCs w:val="20"/>
        </w:rPr>
        <w:t xml:space="preserve">The foundations of the MVSA Act are sound and the Act does not need </w:t>
      </w:r>
      <w:r w:rsidR="003A6F8D">
        <w:rPr>
          <w:rFonts w:ascii="Arial" w:hAnsi="Arial" w:cs="Arial"/>
          <w:noProof/>
          <w:sz w:val="20"/>
          <w:szCs w:val="20"/>
        </w:rPr>
        <w:t xml:space="preserve">a </w:t>
      </w:r>
      <w:r w:rsidRPr="008F1963">
        <w:rPr>
          <w:rFonts w:ascii="Arial" w:hAnsi="Arial" w:cs="Arial"/>
          <w:noProof/>
          <w:sz w:val="20"/>
          <w:szCs w:val="20"/>
        </w:rPr>
        <w:t xml:space="preserve">substantial </w:t>
      </w:r>
      <w:r w:rsidR="003A6F8D">
        <w:rPr>
          <w:rFonts w:ascii="Arial" w:hAnsi="Arial" w:cs="Arial"/>
          <w:noProof/>
          <w:sz w:val="20"/>
          <w:szCs w:val="20"/>
        </w:rPr>
        <w:t xml:space="preserve">legislative </w:t>
      </w:r>
      <w:r w:rsidRPr="008F1963">
        <w:rPr>
          <w:rFonts w:ascii="Arial" w:hAnsi="Arial" w:cs="Arial"/>
          <w:noProof/>
          <w:sz w:val="20"/>
          <w:szCs w:val="20"/>
        </w:rPr>
        <w:t xml:space="preserve">review or </w:t>
      </w:r>
      <w:r w:rsidR="00E14C76">
        <w:rPr>
          <w:rFonts w:ascii="Arial" w:hAnsi="Arial" w:cs="Arial"/>
          <w:noProof/>
          <w:sz w:val="20"/>
          <w:szCs w:val="20"/>
        </w:rPr>
        <w:br/>
      </w:r>
      <w:r w:rsidRPr="008F1963">
        <w:rPr>
          <w:rFonts w:ascii="Arial" w:hAnsi="Arial" w:cs="Arial"/>
          <w:noProof/>
          <w:sz w:val="20"/>
          <w:szCs w:val="20"/>
        </w:rPr>
        <w:t>re-assessment under a regulatory impact statement</w:t>
      </w:r>
      <w:r w:rsidRPr="008F1963">
        <w:rPr>
          <w:rFonts w:ascii="Arial" w:hAnsi="Arial" w:cs="Arial"/>
          <w:b/>
          <w:noProof/>
          <w:sz w:val="20"/>
          <w:szCs w:val="20"/>
        </w:rPr>
        <w:t xml:space="preserve">. </w:t>
      </w:r>
    </w:p>
    <w:p w:rsidR="008F1963" w:rsidRPr="008F1963" w:rsidRDefault="008F1963" w:rsidP="003B0AAE">
      <w:pPr>
        <w:rPr>
          <w:rFonts w:ascii="Arial" w:hAnsi="Arial" w:cs="Arial"/>
          <w:noProof/>
          <w:sz w:val="20"/>
          <w:szCs w:val="20"/>
        </w:rPr>
      </w:pPr>
    </w:p>
    <w:p w:rsidR="008F1963" w:rsidRPr="008F1963" w:rsidRDefault="008F1963" w:rsidP="008F1963">
      <w:pPr>
        <w:rPr>
          <w:rFonts w:ascii="Arial" w:hAnsi="Arial" w:cs="Arial"/>
          <w:b/>
          <w:i/>
          <w:iCs/>
          <w:noProof/>
          <w:sz w:val="20"/>
          <w:szCs w:val="20"/>
        </w:rPr>
      </w:pPr>
      <w:r w:rsidRPr="008F1963">
        <w:rPr>
          <w:rFonts w:ascii="Arial" w:hAnsi="Arial" w:cs="Arial"/>
          <w:b/>
          <w:i/>
          <w:iCs/>
          <w:noProof/>
          <w:sz w:val="20"/>
          <w:szCs w:val="20"/>
        </w:rPr>
        <w:t xml:space="preserve">Recommendation 2 </w:t>
      </w:r>
    </w:p>
    <w:p w:rsidR="00392F21" w:rsidRPr="00392F21" w:rsidRDefault="00392F21" w:rsidP="00392F21">
      <w:pPr>
        <w:rPr>
          <w:rFonts w:ascii="Arial" w:hAnsi="Arial" w:cs="Arial"/>
          <w:iCs/>
          <w:sz w:val="20"/>
          <w:szCs w:val="20"/>
        </w:rPr>
      </w:pPr>
      <w:r w:rsidRPr="00392F21">
        <w:rPr>
          <w:rFonts w:ascii="Arial" w:hAnsi="Arial" w:cs="Arial"/>
          <w:iCs/>
          <w:sz w:val="20"/>
          <w:szCs w:val="20"/>
        </w:rPr>
        <w:t xml:space="preserve">The MVSA addresses non-compliant road vehicles operated for special oversize and over-mass tasks under permit and notices from the National Heavy Vehicle Regulator on advice from state and territory road agencies. The MVSA should not be expected to authorise alternative vehicles that do not meet safety standards for road vehicles. Such vehicles should be addressed in combination of customs law, state road transport law and trade practices law. </w:t>
      </w:r>
    </w:p>
    <w:p w:rsidR="008F1963" w:rsidRPr="008F1963" w:rsidRDefault="008F1963" w:rsidP="003B0AAE">
      <w:pPr>
        <w:rPr>
          <w:rFonts w:ascii="Arial" w:hAnsi="Arial" w:cs="Arial"/>
          <w:noProof/>
          <w:sz w:val="20"/>
          <w:szCs w:val="20"/>
        </w:rPr>
      </w:pPr>
    </w:p>
    <w:p w:rsidR="008F1963" w:rsidRPr="008F1963" w:rsidRDefault="008F1963" w:rsidP="008F1963">
      <w:pPr>
        <w:rPr>
          <w:rFonts w:ascii="Arial" w:hAnsi="Arial" w:cs="Arial"/>
          <w:b/>
          <w:i/>
          <w:iCs/>
          <w:noProof/>
          <w:sz w:val="20"/>
          <w:szCs w:val="20"/>
        </w:rPr>
      </w:pPr>
      <w:r w:rsidRPr="008F1963">
        <w:rPr>
          <w:rFonts w:ascii="Arial" w:hAnsi="Arial" w:cs="Arial"/>
          <w:b/>
          <w:i/>
          <w:iCs/>
          <w:noProof/>
          <w:sz w:val="20"/>
          <w:szCs w:val="20"/>
        </w:rPr>
        <w:t xml:space="preserve">Recommendations 3 </w:t>
      </w:r>
    </w:p>
    <w:p w:rsidR="008F1963" w:rsidRPr="008F1963" w:rsidRDefault="008F1963" w:rsidP="008F1963">
      <w:pPr>
        <w:rPr>
          <w:rFonts w:ascii="Arial" w:hAnsi="Arial" w:cs="Arial"/>
          <w:noProof/>
          <w:sz w:val="20"/>
          <w:szCs w:val="20"/>
        </w:rPr>
      </w:pPr>
      <w:r w:rsidRPr="008F1963">
        <w:rPr>
          <w:rFonts w:ascii="Arial" w:hAnsi="Arial" w:cs="Arial"/>
          <w:noProof/>
          <w:sz w:val="20"/>
          <w:szCs w:val="20"/>
        </w:rPr>
        <w:t xml:space="preserve">The leadership potential of Australia on </w:t>
      </w:r>
      <w:r w:rsidR="00392F21">
        <w:rPr>
          <w:rFonts w:ascii="Arial" w:hAnsi="Arial" w:cs="Arial"/>
          <w:noProof/>
          <w:sz w:val="20"/>
          <w:szCs w:val="20"/>
        </w:rPr>
        <w:t xml:space="preserve">road </w:t>
      </w:r>
      <w:r w:rsidRPr="008F1963">
        <w:rPr>
          <w:rFonts w:ascii="Arial" w:hAnsi="Arial" w:cs="Arial"/>
          <w:noProof/>
          <w:sz w:val="20"/>
          <w:szCs w:val="20"/>
        </w:rPr>
        <w:t>safety should not be constrained by the MVSA.</w:t>
      </w:r>
    </w:p>
    <w:p w:rsidR="008F1963" w:rsidRPr="008F1963" w:rsidRDefault="008F1963" w:rsidP="008F1963">
      <w:pPr>
        <w:rPr>
          <w:rFonts w:ascii="Arial" w:hAnsi="Arial" w:cs="Arial"/>
          <w:noProof/>
          <w:sz w:val="20"/>
          <w:szCs w:val="20"/>
        </w:rPr>
      </w:pPr>
    </w:p>
    <w:p w:rsidR="008F1963" w:rsidRPr="008F1963" w:rsidRDefault="008F1963" w:rsidP="008F1963">
      <w:pPr>
        <w:rPr>
          <w:rFonts w:ascii="Arial" w:hAnsi="Arial" w:cs="Arial"/>
          <w:b/>
          <w:i/>
          <w:iCs/>
          <w:noProof/>
          <w:sz w:val="20"/>
          <w:szCs w:val="20"/>
        </w:rPr>
      </w:pPr>
      <w:r w:rsidRPr="008F1963">
        <w:rPr>
          <w:rFonts w:ascii="Arial" w:hAnsi="Arial" w:cs="Arial"/>
          <w:b/>
          <w:i/>
          <w:iCs/>
          <w:noProof/>
          <w:sz w:val="20"/>
          <w:szCs w:val="20"/>
        </w:rPr>
        <w:t xml:space="preserve">Recommendation 4 </w:t>
      </w:r>
    </w:p>
    <w:p w:rsidR="00392F21" w:rsidRPr="00392F21" w:rsidRDefault="00392F21" w:rsidP="00392F21">
      <w:pPr>
        <w:pStyle w:val="RecommendationStyle"/>
        <w:numPr>
          <w:ilvl w:val="0"/>
          <w:numId w:val="0"/>
        </w:numPr>
        <w:spacing w:before="0" w:after="0"/>
        <w:rPr>
          <w:b w:val="0"/>
          <w:i w:val="0"/>
        </w:rPr>
      </w:pPr>
      <w:r w:rsidRPr="00392F21">
        <w:rPr>
          <w:b w:val="0"/>
          <w:i w:val="0"/>
        </w:rPr>
        <w:t xml:space="preserve">A technical refinement exercise </w:t>
      </w:r>
      <w:proofErr w:type="gramStart"/>
      <w:r w:rsidRPr="00392F21">
        <w:rPr>
          <w:b w:val="0"/>
          <w:i w:val="0"/>
        </w:rPr>
        <w:t>be</w:t>
      </w:r>
      <w:proofErr w:type="gramEnd"/>
      <w:r w:rsidRPr="00392F21">
        <w:rPr>
          <w:b w:val="0"/>
          <w:i w:val="0"/>
        </w:rPr>
        <w:t xml:space="preserve"> undertaken on the MVSA in conjunction with industry stakeholders. </w:t>
      </w:r>
    </w:p>
    <w:p w:rsidR="008F1963" w:rsidRPr="008F1963" w:rsidRDefault="008F1963" w:rsidP="008F1963">
      <w:pPr>
        <w:rPr>
          <w:rFonts w:ascii="Arial" w:hAnsi="Arial" w:cs="Arial"/>
          <w:noProof/>
          <w:sz w:val="20"/>
          <w:szCs w:val="20"/>
        </w:rPr>
      </w:pPr>
    </w:p>
    <w:p w:rsidR="008F1963" w:rsidRPr="008F1963" w:rsidRDefault="008F1963" w:rsidP="008F1963">
      <w:pPr>
        <w:rPr>
          <w:rFonts w:ascii="Arial" w:hAnsi="Arial" w:cs="Arial"/>
          <w:b/>
          <w:i/>
          <w:iCs/>
          <w:noProof/>
          <w:sz w:val="20"/>
          <w:szCs w:val="20"/>
        </w:rPr>
      </w:pPr>
      <w:r w:rsidRPr="008F1963">
        <w:rPr>
          <w:rFonts w:ascii="Arial" w:hAnsi="Arial" w:cs="Arial"/>
          <w:b/>
          <w:i/>
          <w:iCs/>
          <w:noProof/>
          <w:sz w:val="20"/>
          <w:szCs w:val="20"/>
        </w:rPr>
        <w:t xml:space="preserve">Recommendation 5 </w:t>
      </w:r>
    </w:p>
    <w:p w:rsidR="00392F21" w:rsidRPr="00392F21" w:rsidRDefault="00392F21" w:rsidP="00392F21">
      <w:pPr>
        <w:rPr>
          <w:rFonts w:ascii="Arial" w:hAnsi="Arial" w:cs="Arial"/>
          <w:sz w:val="20"/>
          <w:szCs w:val="20"/>
        </w:rPr>
      </w:pPr>
      <w:r w:rsidRPr="00392F21">
        <w:rPr>
          <w:rFonts w:ascii="Arial" w:hAnsi="Arial" w:cs="Arial"/>
          <w:sz w:val="20"/>
          <w:szCs w:val="20"/>
        </w:rPr>
        <w:t>The MVSA is about setting minimum safety standards. While alternative entry paths may be desirable for motor vehicle enthusiasts, similar standards to those achieved by the mainstream fleet must be maintained, and importing parties should meet full cost recovery for related administrative services from the Department. Further, the Act’s safety objectives must not be pushed aside for consumer choice alone. This includes in-service modifications, which are the domain of the NHVR and states and territories but worthy of mention.</w:t>
      </w:r>
    </w:p>
    <w:p w:rsidR="00AF406E" w:rsidRPr="008F1963" w:rsidRDefault="00AF406E" w:rsidP="003B0AAE">
      <w:pPr>
        <w:rPr>
          <w:rFonts w:ascii="Arial" w:hAnsi="Arial" w:cs="Arial"/>
          <w:noProof/>
          <w:sz w:val="20"/>
          <w:szCs w:val="20"/>
        </w:rPr>
      </w:pPr>
    </w:p>
    <w:p w:rsidR="008F1963" w:rsidRPr="008F1963" w:rsidRDefault="008F1963" w:rsidP="008F1963">
      <w:pPr>
        <w:rPr>
          <w:rFonts w:ascii="Arial" w:hAnsi="Arial" w:cs="Arial"/>
          <w:b/>
          <w:i/>
          <w:noProof/>
          <w:sz w:val="20"/>
          <w:szCs w:val="20"/>
        </w:rPr>
      </w:pPr>
      <w:r w:rsidRPr="008F1963">
        <w:rPr>
          <w:rFonts w:ascii="Arial" w:hAnsi="Arial" w:cs="Arial"/>
          <w:b/>
          <w:i/>
          <w:noProof/>
          <w:sz w:val="20"/>
          <w:szCs w:val="20"/>
        </w:rPr>
        <w:t xml:space="preserve">Recommendation 6 </w:t>
      </w:r>
    </w:p>
    <w:p w:rsidR="00392F21" w:rsidRPr="00392F21" w:rsidRDefault="00392F21" w:rsidP="00392F21">
      <w:pPr>
        <w:rPr>
          <w:rFonts w:ascii="Arial" w:hAnsi="Arial" w:cs="Arial"/>
          <w:color w:val="000000" w:themeColor="text1"/>
          <w:sz w:val="20"/>
          <w:szCs w:val="20"/>
        </w:rPr>
      </w:pPr>
      <w:r w:rsidRPr="00392F21">
        <w:rPr>
          <w:rFonts w:ascii="Arial" w:hAnsi="Arial" w:cs="Arial"/>
          <w:color w:val="000000" w:themeColor="text1"/>
          <w:sz w:val="20"/>
          <w:szCs w:val="20"/>
        </w:rPr>
        <w:t xml:space="preserve">Off-road vehicles may require safety regulations but these should be addressed in other legislation so that safety objectives in the Act as well as mainstream traffic flows in Australia are not compromised in any way. </w:t>
      </w:r>
    </w:p>
    <w:p w:rsidR="008F1963" w:rsidRDefault="008F1963" w:rsidP="003B0AAE">
      <w:pPr>
        <w:rPr>
          <w:rFonts w:ascii="Arial" w:hAnsi="Arial" w:cs="Arial"/>
          <w:noProof/>
        </w:rPr>
      </w:pPr>
    </w:p>
    <w:p w:rsidR="008F1963" w:rsidRPr="00A51C30" w:rsidRDefault="008F1963" w:rsidP="003B0AAE">
      <w:pPr>
        <w:rPr>
          <w:rFonts w:ascii="Arial" w:hAnsi="Arial" w:cs="Arial"/>
          <w:noProof/>
        </w:rPr>
      </w:pPr>
      <w:r>
        <w:rPr>
          <w:rFonts w:ascii="Arial" w:hAnsi="Arial" w:cs="Arial"/>
          <w:noProof/>
        </w:rPr>
        <w:br w:type="page"/>
      </w:r>
    </w:p>
    <w:p w:rsidR="00244543" w:rsidRPr="0036151D" w:rsidRDefault="000347E3" w:rsidP="00244543">
      <w:pPr>
        <w:pStyle w:val="Heading1"/>
        <w:jc w:val="both"/>
      </w:pPr>
      <w:bookmarkStart w:id="3" w:name="_Toc358730965"/>
      <w:r>
        <w:lastRenderedPageBreak/>
        <w:t>O</w:t>
      </w:r>
      <w:r w:rsidR="0054240A">
        <w:t>utcomes</w:t>
      </w:r>
      <w:r>
        <w:t xml:space="preserve"> </w:t>
      </w:r>
      <w:r w:rsidR="00E43867">
        <w:t xml:space="preserve">and </w:t>
      </w:r>
      <w:r w:rsidR="00936600">
        <w:t>O</w:t>
      </w:r>
      <w:r w:rsidR="00E43867">
        <w:t xml:space="preserve">bjectives </w:t>
      </w:r>
      <w:r w:rsidR="0054240A">
        <w:t>of the Act</w:t>
      </w:r>
      <w:bookmarkEnd w:id="3"/>
    </w:p>
    <w:p w:rsidR="0036151D" w:rsidRPr="00E14F84" w:rsidRDefault="0036151D" w:rsidP="00244543">
      <w:pPr>
        <w:rPr>
          <w:rFonts w:ascii="Arial" w:hAnsi="Arial" w:cs="Arial"/>
        </w:rPr>
      </w:pPr>
    </w:p>
    <w:p w:rsidR="00E14F84" w:rsidRPr="008F1963" w:rsidRDefault="008F1963" w:rsidP="008F1963">
      <w:pPr>
        <w:pStyle w:val="Heading1"/>
        <w:numPr>
          <w:ilvl w:val="0"/>
          <w:numId w:val="0"/>
        </w:numPr>
        <w:ind w:left="360" w:hanging="360"/>
        <w:jc w:val="both"/>
      </w:pPr>
      <w:bookmarkStart w:id="4" w:name="_Toc358730966"/>
      <w:r w:rsidRPr="008F1963">
        <w:t xml:space="preserve">4.1 </w:t>
      </w:r>
      <w:r w:rsidR="00E14F84" w:rsidRPr="008F1963">
        <w:t>Outcomes of the Act</w:t>
      </w:r>
      <w:bookmarkEnd w:id="4"/>
    </w:p>
    <w:p w:rsidR="00E14F84" w:rsidRPr="00E14F84" w:rsidRDefault="00E14F84" w:rsidP="00244543">
      <w:pPr>
        <w:rPr>
          <w:rFonts w:ascii="Arial" w:hAnsi="Arial" w:cs="Arial"/>
          <w:sz w:val="20"/>
          <w:szCs w:val="20"/>
        </w:rPr>
      </w:pPr>
    </w:p>
    <w:p w:rsidR="0036151D" w:rsidRDefault="0036151D" w:rsidP="00244543">
      <w:pPr>
        <w:rPr>
          <w:rFonts w:ascii="Arial" w:hAnsi="Arial" w:cs="Arial"/>
          <w:sz w:val="20"/>
          <w:szCs w:val="20"/>
        </w:rPr>
      </w:pPr>
      <w:r w:rsidRPr="0036151D">
        <w:rPr>
          <w:rFonts w:ascii="Arial" w:hAnsi="Arial" w:cs="Arial"/>
          <w:sz w:val="20"/>
          <w:szCs w:val="20"/>
        </w:rPr>
        <w:t>Section 3a of the Act achieve</w:t>
      </w:r>
      <w:r w:rsidR="00020F50">
        <w:rPr>
          <w:rFonts w:ascii="Arial" w:hAnsi="Arial" w:cs="Arial"/>
          <w:sz w:val="20"/>
          <w:szCs w:val="20"/>
        </w:rPr>
        <w:t>s</w:t>
      </w:r>
      <w:r w:rsidRPr="0036151D">
        <w:rPr>
          <w:rFonts w:ascii="Arial" w:hAnsi="Arial" w:cs="Arial"/>
          <w:sz w:val="20"/>
          <w:szCs w:val="20"/>
        </w:rPr>
        <w:t xml:space="preserve"> uniform standards </w:t>
      </w:r>
      <w:r w:rsidR="00020F50">
        <w:rPr>
          <w:rFonts w:ascii="Arial" w:hAnsi="Arial" w:cs="Arial"/>
          <w:sz w:val="20"/>
          <w:szCs w:val="20"/>
        </w:rPr>
        <w:t>for</w:t>
      </w:r>
      <w:r>
        <w:rPr>
          <w:rFonts w:ascii="Arial" w:hAnsi="Arial" w:cs="Arial"/>
          <w:sz w:val="20"/>
          <w:szCs w:val="20"/>
        </w:rPr>
        <w:t xml:space="preserve"> new vehicles in Australia. It reduce</w:t>
      </w:r>
      <w:r w:rsidR="00020F50">
        <w:rPr>
          <w:rFonts w:ascii="Arial" w:hAnsi="Arial" w:cs="Arial"/>
          <w:sz w:val="20"/>
          <w:szCs w:val="20"/>
        </w:rPr>
        <w:t>s</w:t>
      </w:r>
      <w:r>
        <w:rPr>
          <w:rFonts w:ascii="Arial" w:hAnsi="Arial" w:cs="Arial"/>
          <w:sz w:val="20"/>
          <w:szCs w:val="20"/>
        </w:rPr>
        <w:t xml:space="preserve"> the regulatory burden for the automotive</w:t>
      </w:r>
      <w:r w:rsidRPr="00E43867">
        <w:rPr>
          <w:rFonts w:ascii="Arial" w:hAnsi="Arial" w:cs="Arial"/>
          <w:sz w:val="20"/>
          <w:szCs w:val="20"/>
        </w:rPr>
        <w:t xml:space="preserve"> industr</w:t>
      </w:r>
      <w:r w:rsidR="00E14F84">
        <w:rPr>
          <w:rFonts w:ascii="Arial" w:hAnsi="Arial" w:cs="Arial"/>
          <w:sz w:val="20"/>
          <w:szCs w:val="20"/>
        </w:rPr>
        <w:t xml:space="preserve">y associated with complying </w:t>
      </w:r>
      <w:proofErr w:type="gramStart"/>
      <w:r w:rsidR="00020F50">
        <w:rPr>
          <w:rFonts w:ascii="Arial" w:hAnsi="Arial" w:cs="Arial"/>
          <w:sz w:val="20"/>
          <w:szCs w:val="20"/>
        </w:rPr>
        <w:t>to</w:t>
      </w:r>
      <w:proofErr w:type="gramEnd"/>
      <w:r w:rsidR="00020F50">
        <w:rPr>
          <w:rFonts w:ascii="Arial" w:hAnsi="Arial" w:cs="Arial"/>
          <w:sz w:val="20"/>
          <w:szCs w:val="20"/>
        </w:rPr>
        <w:t xml:space="preserve"> </w:t>
      </w:r>
      <w:r w:rsidR="00E14F84">
        <w:rPr>
          <w:rFonts w:ascii="Arial" w:hAnsi="Arial" w:cs="Arial"/>
          <w:sz w:val="20"/>
          <w:szCs w:val="20"/>
        </w:rPr>
        <w:t>ADR</w:t>
      </w:r>
      <w:r w:rsidRPr="00E43867">
        <w:rPr>
          <w:rFonts w:ascii="Arial" w:hAnsi="Arial" w:cs="Arial"/>
          <w:sz w:val="20"/>
          <w:szCs w:val="20"/>
        </w:rPr>
        <w:t xml:space="preserve">s </w:t>
      </w:r>
      <w:r w:rsidR="00C44773">
        <w:rPr>
          <w:rFonts w:ascii="Arial" w:hAnsi="Arial" w:cs="Arial"/>
          <w:sz w:val="20"/>
          <w:szCs w:val="20"/>
        </w:rPr>
        <w:t xml:space="preserve">whereas vehicle standards </w:t>
      </w:r>
      <w:r w:rsidRPr="00E43867">
        <w:rPr>
          <w:rFonts w:ascii="Arial" w:hAnsi="Arial" w:cs="Arial"/>
          <w:sz w:val="20"/>
          <w:szCs w:val="20"/>
        </w:rPr>
        <w:t xml:space="preserve">were </w:t>
      </w:r>
      <w:r w:rsidR="00601651">
        <w:rPr>
          <w:rFonts w:ascii="Arial" w:hAnsi="Arial" w:cs="Arial"/>
          <w:sz w:val="20"/>
          <w:szCs w:val="20"/>
        </w:rPr>
        <w:t xml:space="preserve">previously </w:t>
      </w:r>
      <w:r w:rsidR="00020F50">
        <w:rPr>
          <w:rFonts w:ascii="Arial" w:hAnsi="Arial" w:cs="Arial"/>
          <w:sz w:val="20"/>
          <w:szCs w:val="20"/>
        </w:rPr>
        <w:t>handled</w:t>
      </w:r>
      <w:r w:rsidRPr="00E43867">
        <w:rPr>
          <w:rFonts w:ascii="Arial" w:hAnsi="Arial" w:cs="Arial"/>
          <w:sz w:val="20"/>
          <w:szCs w:val="20"/>
        </w:rPr>
        <w:t xml:space="preserve"> differently in each state</w:t>
      </w:r>
      <w:r w:rsidR="00601651">
        <w:rPr>
          <w:rFonts w:ascii="Arial" w:hAnsi="Arial" w:cs="Arial"/>
          <w:sz w:val="20"/>
          <w:szCs w:val="20"/>
        </w:rPr>
        <w:t xml:space="preserve">. </w:t>
      </w:r>
      <w:r w:rsidR="00C44773">
        <w:rPr>
          <w:rFonts w:ascii="Arial" w:hAnsi="Arial" w:cs="Arial"/>
          <w:sz w:val="20"/>
          <w:szCs w:val="20"/>
        </w:rPr>
        <w:t xml:space="preserve">The Act also provides a </w:t>
      </w:r>
      <w:r w:rsidR="00020F50">
        <w:rPr>
          <w:rFonts w:ascii="Arial" w:hAnsi="Arial" w:cs="Arial"/>
          <w:sz w:val="20"/>
          <w:szCs w:val="20"/>
        </w:rPr>
        <w:t xml:space="preserve">national </w:t>
      </w:r>
      <w:r w:rsidR="00C44773">
        <w:rPr>
          <w:rFonts w:ascii="Arial" w:hAnsi="Arial" w:cs="Arial"/>
          <w:sz w:val="20"/>
          <w:szCs w:val="20"/>
        </w:rPr>
        <w:t xml:space="preserve">mechanism to meet Australia’s international treaty obligations. </w:t>
      </w:r>
    </w:p>
    <w:p w:rsidR="003A4703" w:rsidRDefault="003A4703" w:rsidP="00244543">
      <w:pPr>
        <w:rPr>
          <w:rFonts w:ascii="Arial" w:hAnsi="Arial" w:cs="Arial"/>
          <w:sz w:val="20"/>
          <w:szCs w:val="20"/>
        </w:rPr>
      </w:pPr>
    </w:p>
    <w:p w:rsidR="00077967" w:rsidRDefault="003A4703" w:rsidP="00244543">
      <w:pPr>
        <w:rPr>
          <w:rFonts w:ascii="Arial" w:hAnsi="Arial" w:cs="Arial"/>
          <w:sz w:val="20"/>
          <w:szCs w:val="20"/>
        </w:rPr>
      </w:pPr>
      <w:r>
        <w:rPr>
          <w:rFonts w:ascii="Arial" w:hAnsi="Arial" w:cs="Arial"/>
          <w:sz w:val="20"/>
          <w:szCs w:val="20"/>
        </w:rPr>
        <w:t>Part 2 of the Act provides the legislati</w:t>
      </w:r>
      <w:r w:rsidR="00020F50">
        <w:rPr>
          <w:rFonts w:ascii="Arial" w:hAnsi="Arial" w:cs="Arial"/>
          <w:sz w:val="20"/>
          <w:szCs w:val="20"/>
        </w:rPr>
        <w:t>ve</w:t>
      </w:r>
      <w:r>
        <w:rPr>
          <w:rFonts w:ascii="Arial" w:hAnsi="Arial" w:cs="Arial"/>
          <w:sz w:val="20"/>
          <w:szCs w:val="20"/>
        </w:rPr>
        <w:t xml:space="preserve"> authority </w:t>
      </w:r>
      <w:r w:rsidR="00C44773">
        <w:rPr>
          <w:rFonts w:ascii="Arial" w:hAnsi="Arial" w:cs="Arial"/>
          <w:sz w:val="20"/>
          <w:szCs w:val="20"/>
        </w:rPr>
        <w:t xml:space="preserve">for </w:t>
      </w:r>
      <w:r>
        <w:rPr>
          <w:rFonts w:ascii="Arial" w:hAnsi="Arial" w:cs="Arial"/>
          <w:sz w:val="20"/>
          <w:szCs w:val="20"/>
        </w:rPr>
        <w:t xml:space="preserve">a system of vehicle design standards (ADRs). The </w:t>
      </w:r>
      <w:r w:rsidR="00C44773">
        <w:rPr>
          <w:rFonts w:ascii="Arial" w:hAnsi="Arial" w:cs="Arial"/>
          <w:sz w:val="20"/>
          <w:szCs w:val="20"/>
        </w:rPr>
        <w:t xml:space="preserve">Act allows implementation </w:t>
      </w:r>
      <w:r>
        <w:rPr>
          <w:rFonts w:ascii="Arial" w:hAnsi="Arial" w:cs="Arial"/>
          <w:sz w:val="20"/>
          <w:szCs w:val="20"/>
        </w:rPr>
        <w:t xml:space="preserve">of the UN regulations </w:t>
      </w:r>
      <w:r w:rsidR="00C44773">
        <w:rPr>
          <w:rFonts w:ascii="Arial" w:hAnsi="Arial" w:cs="Arial"/>
          <w:sz w:val="20"/>
          <w:szCs w:val="20"/>
        </w:rPr>
        <w:t xml:space="preserve">to </w:t>
      </w:r>
      <w:r>
        <w:rPr>
          <w:rFonts w:ascii="Arial" w:hAnsi="Arial" w:cs="Arial"/>
          <w:sz w:val="20"/>
          <w:szCs w:val="20"/>
        </w:rPr>
        <w:t xml:space="preserve">provide </w:t>
      </w:r>
      <w:r w:rsidR="00AF406E">
        <w:rPr>
          <w:rFonts w:ascii="Arial" w:hAnsi="Arial" w:cs="Arial"/>
          <w:sz w:val="20"/>
          <w:szCs w:val="20"/>
        </w:rPr>
        <w:t>alternative standards</w:t>
      </w:r>
      <w:r w:rsidR="00077967">
        <w:rPr>
          <w:rFonts w:ascii="Arial" w:hAnsi="Arial" w:cs="Arial"/>
          <w:sz w:val="20"/>
          <w:szCs w:val="20"/>
        </w:rPr>
        <w:t xml:space="preserve">. Specific ADRs have been applied under the UN 1958 agreement. Further harmonisation </w:t>
      </w:r>
      <w:r w:rsidR="00020F50">
        <w:rPr>
          <w:rFonts w:ascii="Arial" w:hAnsi="Arial" w:cs="Arial"/>
          <w:sz w:val="20"/>
          <w:szCs w:val="20"/>
        </w:rPr>
        <w:t>with</w:t>
      </w:r>
      <w:r w:rsidR="00077967">
        <w:rPr>
          <w:rFonts w:ascii="Arial" w:hAnsi="Arial" w:cs="Arial"/>
          <w:sz w:val="20"/>
          <w:szCs w:val="20"/>
        </w:rPr>
        <w:t xml:space="preserve"> international design rules</w:t>
      </w:r>
      <w:r w:rsidR="00020F50">
        <w:rPr>
          <w:rFonts w:ascii="Arial" w:hAnsi="Arial" w:cs="Arial"/>
          <w:sz w:val="20"/>
          <w:szCs w:val="20"/>
        </w:rPr>
        <w:t xml:space="preserve"> (</w:t>
      </w:r>
      <w:r w:rsidR="00077967">
        <w:rPr>
          <w:rFonts w:ascii="Arial" w:hAnsi="Arial" w:cs="Arial"/>
          <w:sz w:val="20"/>
          <w:szCs w:val="20"/>
        </w:rPr>
        <w:t>if they are not in conflict with ADRs</w:t>
      </w:r>
      <w:r w:rsidR="00020F50">
        <w:rPr>
          <w:rFonts w:ascii="Arial" w:hAnsi="Arial" w:cs="Arial"/>
          <w:sz w:val="20"/>
          <w:szCs w:val="20"/>
        </w:rPr>
        <w:t>)</w:t>
      </w:r>
      <w:r w:rsidR="00077967">
        <w:rPr>
          <w:rFonts w:ascii="Arial" w:hAnsi="Arial" w:cs="Arial"/>
          <w:sz w:val="20"/>
          <w:szCs w:val="20"/>
        </w:rPr>
        <w:t xml:space="preserve"> will promote further improvements in </w:t>
      </w:r>
      <w:r w:rsidR="00020F50">
        <w:rPr>
          <w:rFonts w:ascii="Arial" w:hAnsi="Arial" w:cs="Arial"/>
          <w:sz w:val="20"/>
          <w:szCs w:val="20"/>
        </w:rPr>
        <w:t xml:space="preserve">manufacturing </w:t>
      </w:r>
      <w:r w:rsidR="00077967">
        <w:rPr>
          <w:rFonts w:ascii="Arial" w:hAnsi="Arial" w:cs="Arial"/>
          <w:sz w:val="20"/>
          <w:szCs w:val="20"/>
        </w:rPr>
        <w:t xml:space="preserve">efficiency and give consumers confidence vehicles </w:t>
      </w:r>
      <w:r w:rsidR="00020F50">
        <w:rPr>
          <w:rFonts w:ascii="Arial" w:hAnsi="Arial" w:cs="Arial"/>
          <w:sz w:val="20"/>
          <w:szCs w:val="20"/>
        </w:rPr>
        <w:t xml:space="preserve">they have </w:t>
      </w:r>
      <w:r w:rsidR="00077967">
        <w:rPr>
          <w:rFonts w:ascii="Arial" w:hAnsi="Arial" w:cs="Arial"/>
          <w:sz w:val="20"/>
          <w:szCs w:val="20"/>
        </w:rPr>
        <w:t xml:space="preserve">purchased meet a </w:t>
      </w:r>
      <w:r w:rsidR="00020F50">
        <w:rPr>
          <w:rFonts w:ascii="Arial" w:hAnsi="Arial" w:cs="Arial"/>
          <w:sz w:val="20"/>
          <w:szCs w:val="20"/>
        </w:rPr>
        <w:t>certain</w:t>
      </w:r>
      <w:r w:rsidR="00077967">
        <w:rPr>
          <w:rFonts w:ascii="Arial" w:hAnsi="Arial" w:cs="Arial"/>
          <w:sz w:val="20"/>
          <w:szCs w:val="20"/>
        </w:rPr>
        <w:t xml:space="preserve"> level of safety and emissions. </w:t>
      </w:r>
      <w:r w:rsidR="0054240A">
        <w:rPr>
          <w:rFonts w:ascii="Arial" w:hAnsi="Arial" w:cs="Arial"/>
          <w:sz w:val="20"/>
          <w:szCs w:val="20"/>
        </w:rPr>
        <w:t>The fact that 90</w:t>
      </w:r>
      <w:r w:rsidR="00020F50">
        <w:rPr>
          <w:rFonts w:ascii="Arial" w:hAnsi="Arial" w:cs="Arial"/>
          <w:sz w:val="20"/>
          <w:szCs w:val="20"/>
        </w:rPr>
        <w:t xml:space="preserve"> per cent</w:t>
      </w:r>
      <w:r w:rsidR="0054240A">
        <w:rPr>
          <w:rFonts w:ascii="Arial" w:hAnsi="Arial" w:cs="Arial"/>
          <w:sz w:val="20"/>
          <w:szCs w:val="20"/>
        </w:rPr>
        <w:t xml:space="preserve"> of ADRs align with UN regulation</w:t>
      </w:r>
      <w:r w:rsidR="00020F50">
        <w:rPr>
          <w:rFonts w:ascii="Arial" w:hAnsi="Arial" w:cs="Arial"/>
          <w:sz w:val="20"/>
          <w:szCs w:val="20"/>
        </w:rPr>
        <w:t>s</w:t>
      </w:r>
      <w:r w:rsidR="0054240A">
        <w:rPr>
          <w:rFonts w:ascii="Arial" w:hAnsi="Arial" w:cs="Arial"/>
          <w:sz w:val="20"/>
          <w:szCs w:val="20"/>
        </w:rPr>
        <w:t xml:space="preserve"> indicates there are benefits for Australia in complying with international standards.</w:t>
      </w:r>
      <w:r w:rsidR="00C44773">
        <w:rPr>
          <w:rFonts w:ascii="Arial" w:hAnsi="Arial" w:cs="Arial"/>
          <w:sz w:val="20"/>
          <w:szCs w:val="20"/>
        </w:rPr>
        <w:t xml:space="preserve"> Where Australia has retained unique local requirements</w:t>
      </w:r>
      <w:r w:rsidR="00020F50">
        <w:rPr>
          <w:rFonts w:ascii="Arial" w:hAnsi="Arial" w:cs="Arial"/>
          <w:sz w:val="20"/>
          <w:szCs w:val="20"/>
        </w:rPr>
        <w:t xml:space="preserve"> such as ‘modularity’</w:t>
      </w:r>
      <w:r w:rsidR="00C44773">
        <w:rPr>
          <w:rFonts w:ascii="Arial" w:hAnsi="Arial" w:cs="Arial"/>
          <w:sz w:val="20"/>
          <w:szCs w:val="20"/>
        </w:rPr>
        <w:t xml:space="preserve"> these have been carefully justified</w:t>
      </w:r>
      <w:r w:rsidR="00020F50">
        <w:rPr>
          <w:rFonts w:ascii="Arial" w:hAnsi="Arial" w:cs="Arial"/>
          <w:sz w:val="20"/>
          <w:szCs w:val="20"/>
        </w:rPr>
        <w:t>,</w:t>
      </w:r>
      <w:r w:rsidR="00C44773">
        <w:rPr>
          <w:rFonts w:ascii="Arial" w:hAnsi="Arial" w:cs="Arial"/>
          <w:sz w:val="20"/>
          <w:szCs w:val="20"/>
        </w:rPr>
        <w:t xml:space="preserve"> usually reflect</w:t>
      </w:r>
      <w:r w:rsidR="00020F50">
        <w:rPr>
          <w:rFonts w:ascii="Arial" w:hAnsi="Arial" w:cs="Arial"/>
          <w:sz w:val="20"/>
          <w:szCs w:val="20"/>
        </w:rPr>
        <w:t>ing</w:t>
      </w:r>
      <w:r w:rsidR="00C44773">
        <w:rPr>
          <w:rFonts w:ascii="Arial" w:hAnsi="Arial" w:cs="Arial"/>
          <w:sz w:val="20"/>
          <w:szCs w:val="20"/>
        </w:rPr>
        <w:t xml:space="preserve"> </w:t>
      </w:r>
      <w:r w:rsidR="00020F50">
        <w:rPr>
          <w:rFonts w:ascii="Arial" w:hAnsi="Arial" w:cs="Arial"/>
          <w:sz w:val="20"/>
          <w:szCs w:val="20"/>
        </w:rPr>
        <w:t>our</w:t>
      </w:r>
      <w:r w:rsidR="00C44773">
        <w:rPr>
          <w:rFonts w:ascii="Arial" w:hAnsi="Arial" w:cs="Arial"/>
          <w:sz w:val="20"/>
          <w:szCs w:val="20"/>
        </w:rPr>
        <w:t xml:space="preserve"> unique operating environment</w:t>
      </w:r>
      <w:r w:rsidR="00020F50">
        <w:rPr>
          <w:rFonts w:ascii="Arial" w:hAnsi="Arial" w:cs="Arial"/>
          <w:sz w:val="20"/>
          <w:szCs w:val="20"/>
        </w:rPr>
        <w:t xml:space="preserve"> (e.g. </w:t>
      </w:r>
      <w:r w:rsidR="00C44773">
        <w:rPr>
          <w:rFonts w:ascii="Arial" w:hAnsi="Arial" w:cs="Arial"/>
          <w:sz w:val="20"/>
          <w:szCs w:val="20"/>
        </w:rPr>
        <w:t xml:space="preserve">ensuring that </w:t>
      </w:r>
      <w:r w:rsidR="00020F50">
        <w:rPr>
          <w:rFonts w:ascii="Arial" w:hAnsi="Arial" w:cs="Arial"/>
          <w:sz w:val="20"/>
          <w:szCs w:val="20"/>
        </w:rPr>
        <w:t xml:space="preserve">where appropriate </w:t>
      </w:r>
      <w:r w:rsidR="00C44773">
        <w:rPr>
          <w:rFonts w:ascii="Arial" w:hAnsi="Arial" w:cs="Arial"/>
          <w:sz w:val="20"/>
          <w:szCs w:val="20"/>
        </w:rPr>
        <w:t xml:space="preserve">vehicle </w:t>
      </w:r>
      <w:r w:rsidR="00020F50">
        <w:rPr>
          <w:rFonts w:ascii="Arial" w:hAnsi="Arial" w:cs="Arial"/>
          <w:sz w:val="20"/>
          <w:szCs w:val="20"/>
        </w:rPr>
        <w:t xml:space="preserve">components </w:t>
      </w:r>
      <w:r w:rsidR="00C44773">
        <w:rPr>
          <w:rFonts w:ascii="Arial" w:hAnsi="Arial" w:cs="Arial"/>
          <w:sz w:val="20"/>
          <w:szCs w:val="20"/>
        </w:rPr>
        <w:t>are adequate</w:t>
      </w:r>
      <w:r w:rsidR="00020F50">
        <w:rPr>
          <w:rFonts w:ascii="Arial" w:hAnsi="Arial" w:cs="Arial"/>
          <w:sz w:val="20"/>
          <w:szCs w:val="20"/>
        </w:rPr>
        <w:t>ly</w:t>
      </w:r>
      <w:r w:rsidR="00C44773">
        <w:rPr>
          <w:rFonts w:ascii="Arial" w:hAnsi="Arial" w:cs="Arial"/>
          <w:sz w:val="20"/>
          <w:szCs w:val="20"/>
        </w:rPr>
        <w:t xml:space="preserve"> rated for multi-combination use</w:t>
      </w:r>
      <w:r w:rsidR="00020F50">
        <w:rPr>
          <w:rFonts w:ascii="Arial" w:hAnsi="Arial" w:cs="Arial"/>
          <w:sz w:val="20"/>
          <w:szCs w:val="20"/>
        </w:rPr>
        <w:t>)</w:t>
      </w:r>
      <w:r w:rsidR="00C44773">
        <w:rPr>
          <w:rFonts w:ascii="Arial" w:hAnsi="Arial" w:cs="Arial"/>
          <w:sz w:val="20"/>
          <w:szCs w:val="20"/>
        </w:rPr>
        <w:t>.</w:t>
      </w:r>
    </w:p>
    <w:p w:rsidR="0036151D" w:rsidRDefault="0036151D" w:rsidP="00244543">
      <w:pPr>
        <w:rPr>
          <w:rFonts w:ascii="Arial" w:hAnsi="Arial" w:cs="Arial"/>
        </w:rPr>
      </w:pPr>
    </w:p>
    <w:p w:rsidR="0036151D" w:rsidRDefault="00601651" w:rsidP="00244543">
      <w:pPr>
        <w:rPr>
          <w:rFonts w:ascii="Arial" w:hAnsi="Arial" w:cs="Arial"/>
          <w:sz w:val="20"/>
          <w:szCs w:val="20"/>
        </w:rPr>
      </w:pPr>
      <w:r w:rsidRPr="00601651">
        <w:rPr>
          <w:rFonts w:ascii="Arial" w:hAnsi="Arial" w:cs="Arial"/>
          <w:sz w:val="20"/>
          <w:szCs w:val="20"/>
        </w:rPr>
        <w:t xml:space="preserve">Moreover, section 3b </w:t>
      </w:r>
      <w:r>
        <w:rPr>
          <w:rFonts w:ascii="Arial" w:hAnsi="Arial" w:cs="Arial"/>
          <w:sz w:val="20"/>
          <w:szCs w:val="20"/>
        </w:rPr>
        <w:t xml:space="preserve">added distinction to the </w:t>
      </w:r>
      <w:r w:rsidR="00F85113">
        <w:rPr>
          <w:rFonts w:ascii="Arial" w:hAnsi="Arial" w:cs="Arial"/>
          <w:sz w:val="20"/>
          <w:szCs w:val="20"/>
        </w:rPr>
        <w:t>A</w:t>
      </w:r>
      <w:r>
        <w:rPr>
          <w:rFonts w:ascii="Arial" w:hAnsi="Arial" w:cs="Arial"/>
          <w:sz w:val="20"/>
          <w:szCs w:val="20"/>
        </w:rPr>
        <w:t>ct in</w:t>
      </w:r>
      <w:r w:rsidR="00F85113">
        <w:rPr>
          <w:rFonts w:ascii="Arial" w:hAnsi="Arial" w:cs="Arial"/>
          <w:sz w:val="20"/>
          <w:szCs w:val="20"/>
        </w:rPr>
        <w:t xml:space="preserve"> i</w:t>
      </w:r>
      <w:r>
        <w:rPr>
          <w:rFonts w:ascii="Arial" w:hAnsi="Arial" w:cs="Arial"/>
          <w:sz w:val="20"/>
          <w:szCs w:val="20"/>
        </w:rPr>
        <w:t xml:space="preserve">dentifying used and new vehicles. The broad coverage also provided coverage to a large number of vehicles. The Act </w:t>
      </w:r>
      <w:r w:rsidR="00C44773">
        <w:rPr>
          <w:rFonts w:ascii="Arial" w:hAnsi="Arial" w:cs="Arial"/>
          <w:sz w:val="20"/>
          <w:szCs w:val="20"/>
        </w:rPr>
        <w:t xml:space="preserve">advances safety while </w:t>
      </w:r>
      <w:r>
        <w:rPr>
          <w:rFonts w:ascii="Arial" w:hAnsi="Arial" w:cs="Arial"/>
          <w:sz w:val="20"/>
          <w:szCs w:val="20"/>
        </w:rPr>
        <w:t>respect</w:t>
      </w:r>
      <w:r w:rsidR="00C44773">
        <w:rPr>
          <w:rFonts w:ascii="Arial" w:hAnsi="Arial" w:cs="Arial"/>
          <w:sz w:val="20"/>
          <w:szCs w:val="20"/>
        </w:rPr>
        <w:t xml:space="preserve">ing </w:t>
      </w:r>
      <w:r>
        <w:rPr>
          <w:rFonts w:ascii="Arial" w:hAnsi="Arial" w:cs="Arial"/>
          <w:sz w:val="20"/>
          <w:szCs w:val="20"/>
        </w:rPr>
        <w:t xml:space="preserve">the </w:t>
      </w:r>
      <w:r w:rsidR="00E14F84">
        <w:rPr>
          <w:rFonts w:ascii="Arial" w:hAnsi="Arial" w:cs="Arial"/>
          <w:sz w:val="20"/>
          <w:szCs w:val="20"/>
        </w:rPr>
        <w:t>interests of</w:t>
      </w:r>
      <w:r w:rsidR="00F85113">
        <w:rPr>
          <w:rFonts w:ascii="Arial" w:hAnsi="Arial" w:cs="Arial"/>
          <w:sz w:val="20"/>
          <w:szCs w:val="20"/>
        </w:rPr>
        <w:t xml:space="preserve"> both</w:t>
      </w:r>
      <w:r w:rsidR="00E14F84">
        <w:rPr>
          <w:rFonts w:ascii="Arial" w:hAnsi="Arial" w:cs="Arial"/>
          <w:sz w:val="20"/>
          <w:szCs w:val="20"/>
        </w:rPr>
        <w:t xml:space="preserve"> automotive importers and the local automotive industry, giving no preference to either. </w:t>
      </w:r>
    </w:p>
    <w:p w:rsidR="0036151D" w:rsidRDefault="0036151D" w:rsidP="00244543">
      <w:pPr>
        <w:rPr>
          <w:rFonts w:ascii="Arial" w:hAnsi="Arial" w:cs="Arial"/>
        </w:rPr>
      </w:pPr>
    </w:p>
    <w:p w:rsidR="000347E3" w:rsidRPr="008F1963" w:rsidRDefault="008F1963" w:rsidP="008F1963">
      <w:pPr>
        <w:pStyle w:val="Heading1"/>
        <w:numPr>
          <w:ilvl w:val="0"/>
          <w:numId w:val="0"/>
        </w:numPr>
        <w:ind w:left="360" w:hanging="360"/>
        <w:jc w:val="both"/>
      </w:pPr>
      <w:bookmarkStart w:id="5" w:name="_Toc358730967"/>
      <w:bookmarkStart w:id="6" w:name="_Toc350264222"/>
      <w:r>
        <w:t xml:space="preserve">4.2 </w:t>
      </w:r>
      <w:r w:rsidR="00E14F84" w:rsidRPr="008F1963">
        <w:t>Policy objectives</w:t>
      </w:r>
      <w:bookmarkEnd w:id="5"/>
    </w:p>
    <w:p w:rsidR="00E14F84" w:rsidRPr="00E14F84" w:rsidRDefault="00E14F84" w:rsidP="00D938F7">
      <w:pPr>
        <w:pStyle w:val="RecommendationStyle"/>
        <w:numPr>
          <w:ilvl w:val="0"/>
          <w:numId w:val="0"/>
        </w:numPr>
        <w:spacing w:before="0" w:after="0"/>
        <w:jc w:val="both"/>
        <w:rPr>
          <w:b w:val="0"/>
          <w:i w:val="0"/>
        </w:rPr>
      </w:pPr>
    </w:p>
    <w:p w:rsidR="00B363D6" w:rsidRDefault="00E14F84" w:rsidP="00E43867">
      <w:pPr>
        <w:rPr>
          <w:rFonts w:ascii="Arial" w:hAnsi="Arial" w:cs="Arial"/>
          <w:sz w:val="20"/>
          <w:szCs w:val="20"/>
        </w:rPr>
      </w:pPr>
      <w:r w:rsidRPr="00E14F84">
        <w:rPr>
          <w:rFonts w:ascii="Arial" w:hAnsi="Arial" w:cs="Arial"/>
          <w:sz w:val="20"/>
          <w:szCs w:val="20"/>
        </w:rPr>
        <w:t xml:space="preserve">The overarching policy objective </w:t>
      </w:r>
      <w:r w:rsidR="00B363D6">
        <w:rPr>
          <w:rFonts w:ascii="Arial" w:hAnsi="Arial" w:cs="Arial"/>
          <w:sz w:val="20"/>
          <w:szCs w:val="20"/>
        </w:rPr>
        <w:t>behind</w:t>
      </w:r>
      <w:r w:rsidRPr="00E14F84">
        <w:rPr>
          <w:rFonts w:ascii="Arial" w:hAnsi="Arial" w:cs="Arial"/>
          <w:sz w:val="20"/>
          <w:szCs w:val="20"/>
        </w:rPr>
        <w:t xml:space="preserve"> the </w:t>
      </w:r>
      <w:r>
        <w:rPr>
          <w:rFonts w:ascii="Arial" w:hAnsi="Arial" w:cs="Arial"/>
          <w:sz w:val="20"/>
          <w:szCs w:val="20"/>
        </w:rPr>
        <w:t>legislation</w:t>
      </w:r>
      <w:r w:rsidRPr="00E14F84">
        <w:rPr>
          <w:rFonts w:ascii="Arial" w:hAnsi="Arial" w:cs="Arial"/>
          <w:sz w:val="20"/>
          <w:szCs w:val="20"/>
        </w:rPr>
        <w:t xml:space="preserve"> </w:t>
      </w:r>
      <w:r w:rsidR="00B363D6">
        <w:rPr>
          <w:rFonts w:ascii="Arial" w:hAnsi="Arial" w:cs="Arial"/>
          <w:sz w:val="20"/>
          <w:szCs w:val="20"/>
        </w:rPr>
        <w:t>is</w:t>
      </w:r>
      <w:r w:rsidRPr="00E14F84">
        <w:rPr>
          <w:rFonts w:ascii="Arial" w:hAnsi="Arial" w:cs="Arial"/>
          <w:sz w:val="20"/>
          <w:szCs w:val="20"/>
        </w:rPr>
        <w:t xml:space="preserve"> to improve the safety, environmental performance and security of road vehicles</w:t>
      </w:r>
      <w:r>
        <w:rPr>
          <w:rFonts w:ascii="Arial" w:hAnsi="Arial" w:cs="Arial"/>
          <w:sz w:val="20"/>
          <w:szCs w:val="20"/>
        </w:rPr>
        <w:t>; this is still a current policy of today’s government</w:t>
      </w:r>
      <w:r w:rsidR="00B363D6">
        <w:rPr>
          <w:rFonts w:ascii="Arial" w:hAnsi="Arial" w:cs="Arial"/>
          <w:sz w:val="20"/>
          <w:szCs w:val="20"/>
        </w:rPr>
        <w:t xml:space="preserve"> although thanks to the emergence of effective anti-theft devices, vehicle security is less of an urgent issue than when the legislation was introduced</w:t>
      </w:r>
      <w:r>
        <w:rPr>
          <w:rFonts w:ascii="Arial" w:hAnsi="Arial" w:cs="Arial"/>
          <w:sz w:val="20"/>
          <w:szCs w:val="20"/>
        </w:rPr>
        <w:t xml:space="preserve">. </w:t>
      </w:r>
    </w:p>
    <w:p w:rsidR="00B363D6" w:rsidRDefault="00B363D6" w:rsidP="00E43867">
      <w:pPr>
        <w:rPr>
          <w:rFonts w:ascii="Arial" w:hAnsi="Arial" w:cs="Arial"/>
          <w:sz w:val="20"/>
          <w:szCs w:val="20"/>
        </w:rPr>
      </w:pPr>
    </w:p>
    <w:p w:rsidR="0064671B" w:rsidRDefault="0064671B" w:rsidP="00E43867">
      <w:pPr>
        <w:rPr>
          <w:rFonts w:ascii="Arial" w:hAnsi="Arial" w:cs="Arial"/>
          <w:sz w:val="20"/>
          <w:szCs w:val="20"/>
        </w:rPr>
      </w:pPr>
      <w:r>
        <w:rPr>
          <w:rFonts w:ascii="Arial" w:hAnsi="Arial" w:cs="Arial"/>
          <w:sz w:val="20"/>
          <w:szCs w:val="20"/>
        </w:rPr>
        <w:t xml:space="preserve">This primary legislation </w:t>
      </w:r>
      <w:r w:rsidR="00B363D6">
        <w:rPr>
          <w:rFonts w:ascii="Arial" w:hAnsi="Arial" w:cs="Arial"/>
          <w:sz w:val="20"/>
          <w:szCs w:val="20"/>
        </w:rPr>
        <w:t>speaks to</w:t>
      </w:r>
      <w:r>
        <w:rPr>
          <w:rFonts w:ascii="Arial" w:hAnsi="Arial" w:cs="Arial"/>
          <w:sz w:val="20"/>
          <w:szCs w:val="20"/>
        </w:rPr>
        <w:t xml:space="preserve"> minimum safety levels for mainstream road vehicles that form the </w:t>
      </w:r>
      <w:r w:rsidR="00B363D6">
        <w:rPr>
          <w:rFonts w:ascii="Arial" w:hAnsi="Arial" w:cs="Arial"/>
          <w:sz w:val="20"/>
          <w:szCs w:val="20"/>
        </w:rPr>
        <w:t>majority of the market and the majority of</w:t>
      </w:r>
      <w:r>
        <w:rPr>
          <w:rFonts w:ascii="Arial" w:hAnsi="Arial" w:cs="Arial"/>
          <w:sz w:val="20"/>
          <w:szCs w:val="20"/>
        </w:rPr>
        <w:t xml:space="preserve"> traffic </w:t>
      </w:r>
      <w:r w:rsidR="00B363D6">
        <w:rPr>
          <w:rFonts w:ascii="Arial" w:hAnsi="Arial" w:cs="Arial"/>
          <w:sz w:val="20"/>
          <w:szCs w:val="20"/>
        </w:rPr>
        <w:t>on</w:t>
      </w:r>
      <w:r>
        <w:rPr>
          <w:rFonts w:ascii="Arial" w:hAnsi="Arial" w:cs="Arial"/>
          <w:sz w:val="20"/>
          <w:szCs w:val="20"/>
        </w:rPr>
        <w:t xml:space="preserve"> Australia</w:t>
      </w:r>
      <w:r w:rsidR="00B363D6">
        <w:rPr>
          <w:rFonts w:ascii="Arial" w:hAnsi="Arial" w:cs="Arial"/>
          <w:sz w:val="20"/>
          <w:szCs w:val="20"/>
        </w:rPr>
        <w:t>n roads</w:t>
      </w:r>
      <w:r>
        <w:rPr>
          <w:rFonts w:ascii="Arial" w:hAnsi="Arial" w:cs="Arial"/>
          <w:sz w:val="20"/>
          <w:szCs w:val="20"/>
        </w:rPr>
        <w:t xml:space="preserve">, </w:t>
      </w:r>
      <w:r w:rsidR="00B363D6">
        <w:rPr>
          <w:rFonts w:ascii="Arial" w:hAnsi="Arial" w:cs="Arial"/>
          <w:sz w:val="20"/>
          <w:szCs w:val="20"/>
        </w:rPr>
        <w:t xml:space="preserve">while acknowledging that various kinds of vehicles </w:t>
      </w:r>
      <w:r>
        <w:rPr>
          <w:rFonts w:ascii="Arial" w:hAnsi="Arial" w:cs="Arial"/>
          <w:sz w:val="20"/>
          <w:szCs w:val="20"/>
        </w:rPr>
        <w:t>are not true road vehicles (f</w:t>
      </w:r>
      <w:r w:rsidR="00B363D6">
        <w:rPr>
          <w:rFonts w:ascii="Arial" w:hAnsi="Arial" w:cs="Arial"/>
          <w:sz w:val="20"/>
          <w:szCs w:val="20"/>
        </w:rPr>
        <w:t>or</w:t>
      </w:r>
      <w:r>
        <w:rPr>
          <w:rFonts w:ascii="Arial" w:hAnsi="Arial" w:cs="Arial"/>
          <w:sz w:val="20"/>
          <w:szCs w:val="20"/>
        </w:rPr>
        <w:t xml:space="preserve"> example</w:t>
      </w:r>
      <w:r w:rsidR="00B363D6">
        <w:rPr>
          <w:rFonts w:ascii="Arial" w:hAnsi="Arial" w:cs="Arial"/>
          <w:sz w:val="20"/>
          <w:szCs w:val="20"/>
        </w:rPr>
        <w:t>,</w:t>
      </w:r>
      <w:r>
        <w:rPr>
          <w:rFonts w:ascii="Arial" w:hAnsi="Arial" w:cs="Arial"/>
          <w:sz w:val="20"/>
          <w:szCs w:val="20"/>
        </w:rPr>
        <w:t xml:space="preserve"> tractors, plant and </w:t>
      </w:r>
      <w:r w:rsidR="00B363D6">
        <w:rPr>
          <w:rFonts w:ascii="Arial" w:hAnsi="Arial" w:cs="Arial"/>
          <w:sz w:val="20"/>
          <w:szCs w:val="20"/>
        </w:rPr>
        <w:t xml:space="preserve">agricultural </w:t>
      </w:r>
      <w:r>
        <w:rPr>
          <w:rFonts w:ascii="Arial" w:hAnsi="Arial" w:cs="Arial"/>
          <w:sz w:val="20"/>
          <w:szCs w:val="20"/>
        </w:rPr>
        <w:t xml:space="preserve">machinery) </w:t>
      </w:r>
      <w:r w:rsidR="00B363D6">
        <w:rPr>
          <w:rFonts w:ascii="Arial" w:hAnsi="Arial" w:cs="Arial"/>
          <w:sz w:val="20"/>
          <w:szCs w:val="20"/>
        </w:rPr>
        <w:t>but</w:t>
      </w:r>
      <w:r>
        <w:rPr>
          <w:rFonts w:ascii="Arial" w:hAnsi="Arial" w:cs="Arial"/>
          <w:sz w:val="20"/>
          <w:szCs w:val="20"/>
        </w:rPr>
        <w:t xml:space="preserve"> need limited road network access</w:t>
      </w:r>
      <w:r w:rsidR="00B363D6">
        <w:rPr>
          <w:rFonts w:ascii="Arial" w:hAnsi="Arial" w:cs="Arial"/>
          <w:sz w:val="20"/>
          <w:szCs w:val="20"/>
        </w:rPr>
        <w:t>. This special form of access is</w:t>
      </w:r>
      <w:r>
        <w:rPr>
          <w:rFonts w:ascii="Arial" w:hAnsi="Arial" w:cs="Arial"/>
          <w:sz w:val="20"/>
          <w:szCs w:val="20"/>
        </w:rPr>
        <w:t xml:space="preserve"> dealt with by states and territories under restricted/conditional registration permits.    </w:t>
      </w:r>
    </w:p>
    <w:p w:rsidR="0064671B" w:rsidRDefault="0064671B" w:rsidP="00E43867">
      <w:pPr>
        <w:rPr>
          <w:rFonts w:ascii="Arial" w:hAnsi="Arial" w:cs="Arial"/>
          <w:sz w:val="20"/>
          <w:szCs w:val="20"/>
        </w:rPr>
      </w:pPr>
    </w:p>
    <w:p w:rsidR="0064671B" w:rsidRPr="008F1963" w:rsidRDefault="0064671B" w:rsidP="00E43867">
      <w:pPr>
        <w:rPr>
          <w:rStyle w:val="Emphasis"/>
          <w:b/>
        </w:rPr>
      </w:pPr>
      <w:r w:rsidRPr="008F1963">
        <w:rPr>
          <w:rStyle w:val="Emphasis"/>
          <w:b/>
        </w:rPr>
        <w:t>Recommendation 1</w:t>
      </w:r>
    </w:p>
    <w:p w:rsidR="0064671B" w:rsidRDefault="00392F21" w:rsidP="00392F21">
      <w:pPr>
        <w:rPr>
          <w:rFonts w:ascii="Arial" w:hAnsi="Arial" w:cs="Arial"/>
          <w:b/>
          <w:sz w:val="20"/>
          <w:szCs w:val="20"/>
        </w:rPr>
      </w:pPr>
      <w:r w:rsidRPr="00392F21">
        <w:rPr>
          <w:rFonts w:ascii="Arial" w:hAnsi="Arial" w:cs="Arial"/>
          <w:b/>
          <w:sz w:val="20"/>
          <w:szCs w:val="20"/>
        </w:rPr>
        <w:t>The foundations of the MVSA Act are sound and the Act does not need a substantial legislative review or re-assessment under a regulatory impact statement.</w:t>
      </w:r>
    </w:p>
    <w:p w:rsidR="00392F21" w:rsidRDefault="00392F21" w:rsidP="00392F21">
      <w:pPr>
        <w:rPr>
          <w:rFonts w:ascii="Arial" w:hAnsi="Arial" w:cs="Arial"/>
          <w:sz w:val="20"/>
          <w:szCs w:val="20"/>
        </w:rPr>
      </w:pPr>
    </w:p>
    <w:p w:rsidR="00E43867" w:rsidRDefault="00C44773" w:rsidP="00E43867">
      <w:pPr>
        <w:rPr>
          <w:rFonts w:ascii="Arial" w:hAnsi="Arial" w:cs="Arial"/>
          <w:sz w:val="20"/>
          <w:szCs w:val="20"/>
        </w:rPr>
      </w:pPr>
      <w:r>
        <w:rPr>
          <w:rFonts w:ascii="Arial" w:hAnsi="Arial" w:cs="Arial"/>
          <w:sz w:val="20"/>
          <w:szCs w:val="20"/>
        </w:rPr>
        <w:t>The Act caters for the fact that the heavy vehicle industry must at time</w:t>
      </w:r>
      <w:r w:rsidR="00633FA0">
        <w:rPr>
          <w:rFonts w:ascii="Arial" w:hAnsi="Arial" w:cs="Arial"/>
          <w:sz w:val="20"/>
          <w:szCs w:val="20"/>
        </w:rPr>
        <w:t>s</w:t>
      </w:r>
      <w:r>
        <w:rPr>
          <w:rFonts w:ascii="Arial" w:hAnsi="Arial" w:cs="Arial"/>
          <w:sz w:val="20"/>
          <w:szCs w:val="20"/>
        </w:rPr>
        <w:t xml:space="preserve"> use non-compliant </w:t>
      </w:r>
      <w:r w:rsidR="002A136A">
        <w:rPr>
          <w:rFonts w:ascii="Arial" w:hAnsi="Arial" w:cs="Arial"/>
          <w:sz w:val="20"/>
          <w:szCs w:val="20"/>
        </w:rPr>
        <w:t xml:space="preserve">road </w:t>
      </w:r>
      <w:r>
        <w:rPr>
          <w:rFonts w:ascii="Arial" w:hAnsi="Arial" w:cs="Arial"/>
          <w:sz w:val="20"/>
          <w:szCs w:val="20"/>
        </w:rPr>
        <w:t xml:space="preserve">vehicles for special tasks with oversize </w:t>
      </w:r>
      <w:r w:rsidR="00633FA0">
        <w:rPr>
          <w:rFonts w:ascii="Arial" w:hAnsi="Arial" w:cs="Arial"/>
          <w:sz w:val="20"/>
          <w:szCs w:val="20"/>
        </w:rPr>
        <w:t xml:space="preserve">and/or </w:t>
      </w:r>
      <w:r w:rsidR="00EE49C2">
        <w:rPr>
          <w:rFonts w:ascii="Arial" w:hAnsi="Arial" w:cs="Arial"/>
          <w:sz w:val="20"/>
          <w:szCs w:val="20"/>
        </w:rPr>
        <w:t>over-</w:t>
      </w:r>
      <w:r>
        <w:rPr>
          <w:rFonts w:ascii="Arial" w:hAnsi="Arial" w:cs="Arial"/>
          <w:sz w:val="20"/>
          <w:szCs w:val="20"/>
        </w:rPr>
        <w:t>mass or other special lo</w:t>
      </w:r>
      <w:r w:rsidR="00633FA0">
        <w:rPr>
          <w:rFonts w:ascii="Arial" w:hAnsi="Arial" w:cs="Arial"/>
          <w:sz w:val="20"/>
          <w:szCs w:val="20"/>
        </w:rPr>
        <w:t>a</w:t>
      </w:r>
      <w:r>
        <w:rPr>
          <w:rFonts w:ascii="Arial" w:hAnsi="Arial" w:cs="Arial"/>
          <w:sz w:val="20"/>
          <w:szCs w:val="20"/>
        </w:rPr>
        <w:t>ds</w:t>
      </w:r>
      <w:r w:rsidR="00633FA0">
        <w:rPr>
          <w:rFonts w:ascii="Arial" w:hAnsi="Arial" w:cs="Arial"/>
          <w:sz w:val="20"/>
          <w:szCs w:val="20"/>
        </w:rPr>
        <w:t xml:space="preserve"> under strict</w:t>
      </w:r>
      <w:r w:rsidR="00EE49C2">
        <w:rPr>
          <w:rFonts w:ascii="Arial" w:hAnsi="Arial" w:cs="Arial"/>
          <w:sz w:val="20"/>
          <w:szCs w:val="20"/>
        </w:rPr>
        <w:t xml:space="preserve"> operating</w:t>
      </w:r>
      <w:r w:rsidR="00633FA0">
        <w:rPr>
          <w:rFonts w:ascii="Arial" w:hAnsi="Arial" w:cs="Arial"/>
          <w:sz w:val="20"/>
          <w:szCs w:val="20"/>
        </w:rPr>
        <w:t xml:space="preserve"> </w:t>
      </w:r>
      <w:r w:rsidR="00EE49C2">
        <w:rPr>
          <w:rFonts w:ascii="Arial" w:hAnsi="Arial" w:cs="Arial"/>
          <w:sz w:val="20"/>
          <w:szCs w:val="20"/>
        </w:rPr>
        <w:t>conditions set</w:t>
      </w:r>
      <w:r w:rsidR="00633FA0">
        <w:rPr>
          <w:rFonts w:ascii="Arial" w:hAnsi="Arial" w:cs="Arial"/>
          <w:sz w:val="20"/>
          <w:szCs w:val="20"/>
        </w:rPr>
        <w:t xml:space="preserve"> </w:t>
      </w:r>
      <w:r w:rsidR="00EE49C2">
        <w:rPr>
          <w:rFonts w:ascii="Arial" w:hAnsi="Arial" w:cs="Arial"/>
          <w:sz w:val="20"/>
          <w:szCs w:val="20"/>
        </w:rPr>
        <w:t>by</w:t>
      </w:r>
      <w:r w:rsidR="00633FA0">
        <w:rPr>
          <w:rFonts w:ascii="Arial" w:hAnsi="Arial" w:cs="Arial"/>
          <w:sz w:val="20"/>
          <w:szCs w:val="20"/>
        </w:rPr>
        <w:t xml:space="preserve"> road managers. Accordingly, such vehicle</w:t>
      </w:r>
      <w:r w:rsidR="00EE49C2">
        <w:rPr>
          <w:rFonts w:ascii="Arial" w:hAnsi="Arial" w:cs="Arial"/>
          <w:sz w:val="20"/>
          <w:szCs w:val="20"/>
        </w:rPr>
        <w:t>s</w:t>
      </w:r>
      <w:r w:rsidR="00633FA0">
        <w:rPr>
          <w:rFonts w:ascii="Arial" w:hAnsi="Arial" w:cs="Arial"/>
          <w:sz w:val="20"/>
          <w:szCs w:val="20"/>
        </w:rPr>
        <w:t xml:space="preserve"> must be allowed to </w:t>
      </w:r>
      <w:r w:rsidR="00EE49C2">
        <w:rPr>
          <w:rFonts w:ascii="Arial" w:hAnsi="Arial" w:cs="Arial"/>
          <w:sz w:val="20"/>
          <w:szCs w:val="20"/>
        </w:rPr>
        <w:t>enter</w:t>
      </w:r>
      <w:r w:rsidR="00633FA0">
        <w:rPr>
          <w:rFonts w:ascii="Arial" w:hAnsi="Arial" w:cs="Arial"/>
          <w:sz w:val="20"/>
          <w:szCs w:val="20"/>
        </w:rPr>
        <w:t xml:space="preserve"> the market</w:t>
      </w:r>
      <w:r w:rsidR="00EE49C2">
        <w:rPr>
          <w:rFonts w:ascii="Arial" w:hAnsi="Arial" w:cs="Arial"/>
          <w:sz w:val="20"/>
          <w:szCs w:val="20"/>
        </w:rPr>
        <w:t>,</w:t>
      </w:r>
      <w:r w:rsidR="00633FA0">
        <w:rPr>
          <w:rFonts w:ascii="Arial" w:hAnsi="Arial" w:cs="Arial"/>
          <w:sz w:val="20"/>
          <w:szCs w:val="20"/>
        </w:rPr>
        <w:t xml:space="preserve"> based upon advice from the new National Heavy Vehicle Regulator that operational permits will be provided</w:t>
      </w:r>
      <w:r>
        <w:rPr>
          <w:rFonts w:ascii="Arial" w:hAnsi="Arial" w:cs="Arial"/>
          <w:sz w:val="20"/>
          <w:szCs w:val="20"/>
        </w:rPr>
        <w:t xml:space="preserve">. </w:t>
      </w:r>
    </w:p>
    <w:p w:rsidR="0064671B" w:rsidRDefault="0064671B" w:rsidP="00E43867">
      <w:pPr>
        <w:rPr>
          <w:rFonts w:ascii="Arial" w:hAnsi="Arial" w:cs="Arial"/>
          <w:sz w:val="20"/>
          <w:szCs w:val="20"/>
        </w:rPr>
      </w:pPr>
    </w:p>
    <w:p w:rsidR="0064671B" w:rsidRDefault="0064671B" w:rsidP="00E43867">
      <w:pPr>
        <w:rPr>
          <w:rFonts w:ascii="Arial" w:hAnsi="Arial" w:cs="Arial"/>
          <w:sz w:val="20"/>
          <w:szCs w:val="20"/>
        </w:rPr>
      </w:pPr>
      <w:r>
        <w:rPr>
          <w:rFonts w:ascii="Arial" w:hAnsi="Arial" w:cs="Arial"/>
          <w:sz w:val="20"/>
          <w:szCs w:val="20"/>
        </w:rPr>
        <w:t>Dealing</w:t>
      </w:r>
      <w:r w:rsidR="002A136A">
        <w:rPr>
          <w:rFonts w:ascii="Arial" w:hAnsi="Arial" w:cs="Arial"/>
          <w:sz w:val="20"/>
          <w:szCs w:val="20"/>
        </w:rPr>
        <w:t xml:space="preserve"> with </w:t>
      </w:r>
      <w:r w:rsidR="005F622F">
        <w:rPr>
          <w:rFonts w:ascii="Arial" w:hAnsi="Arial" w:cs="Arial"/>
          <w:sz w:val="20"/>
          <w:szCs w:val="20"/>
        </w:rPr>
        <w:t xml:space="preserve">requests for access to the road network for </w:t>
      </w:r>
      <w:r>
        <w:rPr>
          <w:rFonts w:ascii="Arial" w:hAnsi="Arial" w:cs="Arial"/>
          <w:sz w:val="20"/>
          <w:szCs w:val="20"/>
        </w:rPr>
        <w:t xml:space="preserve">alternative vehicles where safety </w:t>
      </w:r>
      <w:r w:rsidR="00FB4DD4">
        <w:rPr>
          <w:rFonts w:ascii="Arial" w:hAnsi="Arial" w:cs="Arial"/>
          <w:sz w:val="20"/>
          <w:szCs w:val="20"/>
        </w:rPr>
        <w:t>may be</w:t>
      </w:r>
      <w:r>
        <w:rPr>
          <w:rFonts w:ascii="Arial" w:hAnsi="Arial" w:cs="Arial"/>
          <w:sz w:val="20"/>
          <w:szCs w:val="20"/>
        </w:rPr>
        <w:t xml:space="preserve"> sub</w:t>
      </w:r>
      <w:r w:rsidR="00EE49C2">
        <w:rPr>
          <w:rFonts w:ascii="Arial" w:hAnsi="Arial" w:cs="Arial"/>
          <w:sz w:val="20"/>
          <w:szCs w:val="20"/>
        </w:rPr>
        <w:t>-</w:t>
      </w:r>
      <w:r>
        <w:rPr>
          <w:rFonts w:ascii="Arial" w:hAnsi="Arial" w:cs="Arial"/>
          <w:sz w:val="20"/>
          <w:szCs w:val="20"/>
        </w:rPr>
        <w:t xml:space="preserve">standard </w:t>
      </w:r>
      <w:r w:rsidR="00EE49C2">
        <w:rPr>
          <w:rFonts w:ascii="Arial" w:hAnsi="Arial" w:cs="Arial"/>
          <w:sz w:val="20"/>
          <w:szCs w:val="20"/>
        </w:rPr>
        <w:t xml:space="preserve">and below </w:t>
      </w:r>
      <w:r w:rsidR="00FB4DD4">
        <w:rPr>
          <w:rFonts w:ascii="Arial" w:hAnsi="Arial" w:cs="Arial"/>
          <w:sz w:val="20"/>
          <w:szCs w:val="20"/>
        </w:rPr>
        <w:t xml:space="preserve">the </w:t>
      </w:r>
      <w:r>
        <w:rPr>
          <w:rFonts w:ascii="Arial" w:hAnsi="Arial" w:cs="Arial"/>
          <w:sz w:val="20"/>
          <w:szCs w:val="20"/>
        </w:rPr>
        <w:t>min</w:t>
      </w:r>
      <w:r w:rsidR="005F622F">
        <w:rPr>
          <w:rFonts w:ascii="Arial" w:hAnsi="Arial" w:cs="Arial"/>
          <w:sz w:val="20"/>
          <w:szCs w:val="20"/>
        </w:rPr>
        <w:t>im</w:t>
      </w:r>
      <w:r>
        <w:rPr>
          <w:rFonts w:ascii="Arial" w:hAnsi="Arial" w:cs="Arial"/>
          <w:sz w:val="20"/>
          <w:szCs w:val="20"/>
        </w:rPr>
        <w:t>um requirements in the MVSA ADR system</w:t>
      </w:r>
      <w:r w:rsidR="00EE49C2">
        <w:rPr>
          <w:rFonts w:ascii="Arial" w:hAnsi="Arial" w:cs="Arial"/>
          <w:sz w:val="20"/>
          <w:szCs w:val="20"/>
        </w:rPr>
        <w:t xml:space="preserve"> (</w:t>
      </w:r>
      <w:r w:rsidR="00FA5275">
        <w:rPr>
          <w:rFonts w:ascii="Arial" w:hAnsi="Arial" w:cs="Arial"/>
          <w:sz w:val="20"/>
          <w:szCs w:val="20"/>
        </w:rPr>
        <w:t>e.g.</w:t>
      </w:r>
      <w:r w:rsidR="00EE49C2">
        <w:rPr>
          <w:rFonts w:ascii="Arial" w:hAnsi="Arial" w:cs="Arial"/>
          <w:sz w:val="20"/>
          <w:szCs w:val="20"/>
        </w:rPr>
        <w:t xml:space="preserve"> </w:t>
      </w:r>
      <w:r>
        <w:rPr>
          <w:rFonts w:ascii="Arial" w:hAnsi="Arial" w:cs="Arial"/>
          <w:sz w:val="20"/>
          <w:szCs w:val="20"/>
        </w:rPr>
        <w:t xml:space="preserve">pedestrian devices, disability devices and low emissions vehicles without appropriate safety features </w:t>
      </w:r>
      <w:r w:rsidR="00EE49C2">
        <w:rPr>
          <w:rFonts w:ascii="Arial" w:hAnsi="Arial" w:cs="Arial"/>
          <w:sz w:val="20"/>
          <w:szCs w:val="20"/>
        </w:rPr>
        <w:t>etc)</w:t>
      </w:r>
      <w:r w:rsidR="005F622F">
        <w:rPr>
          <w:rFonts w:ascii="Arial" w:hAnsi="Arial" w:cs="Arial"/>
          <w:sz w:val="20"/>
          <w:szCs w:val="20"/>
        </w:rPr>
        <w:t xml:space="preserve">, </w:t>
      </w:r>
      <w:r w:rsidR="00EE49C2">
        <w:rPr>
          <w:rFonts w:ascii="Arial" w:hAnsi="Arial" w:cs="Arial"/>
          <w:sz w:val="20"/>
          <w:szCs w:val="20"/>
        </w:rPr>
        <w:t>lies</w:t>
      </w:r>
      <w:r w:rsidR="005F622F">
        <w:rPr>
          <w:rFonts w:ascii="Arial" w:hAnsi="Arial" w:cs="Arial"/>
          <w:sz w:val="20"/>
          <w:szCs w:val="20"/>
        </w:rPr>
        <w:t xml:space="preserve"> outside the</w:t>
      </w:r>
      <w:r w:rsidR="00EE49C2">
        <w:rPr>
          <w:rFonts w:ascii="Arial" w:hAnsi="Arial" w:cs="Arial"/>
          <w:sz w:val="20"/>
          <w:szCs w:val="20"/>
        </w:rPr>
        <w:t xml:space="preserve"> scope of the</w:t>
      </w:r>
      <w:r w:rsidR="005F622F">
        <w:rPr>
          <w:rFonts w:ascii="Arial" w:hAnsi="Arial" w:cs="Arial"/>
          <w:sz w:val="20"/>
          <w:szCs w:val="20"/>
        </w:rPr>
        <w:t xml:space="preserve"> MVSA Act </w:t>
      </w:r>
      <w:r w:rsidR="00EE49C2">
        <w:rPr>
          <w:rFonts w:ascii="Arial" w:hAnsi="Arial" w:cs="Arial"/>
          <w:sz w:val="20"/>
          <w:szCs w:val="20"/>
        </w:rPr>
        <w:t>since</w:t>
      </w:r>
      <w:r w:rsidR="005F622F">
        <w:rPr>
          <w:rFonts w:ascii="Arial" w:hAnsi="Arial" w:cs="Arial"/>
          <w:sz w:val="20"/>
          <w:szCs w:val="20"/>
        </w:rPr>
        <w:t xml:space="preserve"> </w:t>
      </w:r>
      <w:r w:rsidR="00EE49C2">
        <w:rPr>
          <w:rFonts w:ascii="Arial" w:hAnsi="Arial" w:cs="Arial"/>
          <w:sz w:val="20"/>
          <w:szCs w:val="20"/>
        </w:rPr>
        <w:t xml:space="preserve">these </w:t>
      </w:r>
      <w:r w:rsidR="00FB4DD4">
        <w:rPr>
          <w:rFonts w:ascii="Arial" w:hAnsi="Arial" w:cs="Arial"/>
          <w:sz w:val="20"/>
          <w:szCs w:val="20"/>
        </w:rPr>
        <w:t>relate to</w:t>
      </w:r>
      <w:r w:rsidR="005F622F">
        <w:rPr>
          <w:rFonts w:ascii="Arial" w:hAnsi="Arial" w:cs="Arial"/>
          <w:sz w:val="20"/>
          <w:szCs w:val="20"/>
        </w:rPr>
        <w:t xml:space="preserve"> </w:t>
      </w:r>
      <w:r w:rsidR="005F622F" w:rsidRPr="00F470A7">
        <w:rPr>
          <w:rFonts w:ascii="Arial" w:hAnsi="Arial" w:cs="Arial"/>
          <w:sz w:val="20"/>
          <w:szCs w:val="20"/>
        </w:rPr>
        <w:t>fringe vehicles</w:t>
      </w:r>
      <w:r w:rsidR="005F622F">
        <w:rPr>
          <w:rFonts w:ascii="Arial" w:hAnsi="Arial" w:cs="Arial"/>
          <w:sz w:val="20"/>
          <w:szCs w:val="20"/>
        </w:rPr>
        <w:t xml:space="preserve"> </w:t>
      </w:r>
      <w:r w:rsidR="00EE49C2">
        <w:rPr>
          <w:rFonts w:ascii="Arial" w:hAnsi="Arial" w:cs="Arial"/>
          <w:sz w:val="20"/>
          <w:szCs w:val="20"/>
        </w:rPr>
        <w:t xml:space="preserve">that </w:t>
      </w:r>
      <w:r w:rsidR="005F622F">
        <w:rPr>
          <w:rFonts w:ascii="Arial" w:hAnsi="Arial" w:cs="Arial"/>
          <w:sz w:val="20"/>
          <w:szCs w:val="20"/>
        </w:rPr>
        <w:t xml:space="preserve">should not enjoy </w:t>
      </w:r>
      <w:r w:rsidR="00EE49C2">
        <w:rPr>
          <w:rFonts w:ascii="Arial" w:hAnsi="Arial" w:cs="Arial"/>
          <w:sz w:val="20"/>
          <w:szCs w:val="20"/>
        </w:rPr>
        <w:t>easy</w:t>
      </w:r>
      <w:r w:rsidR="005F622F">
        <w:rPr>
          <w:rFonts w:ascii="Arial" w:hAnsi="Arial" w:cs="Arial"/>
          <w:sz w:val="20"/>
          <w:szCs w:val="20"/>
        </w:rPr>
        <w:t xml:space="preserve"> </w:t>
      </w:r>
      <w:r w:rsidR="00EE49C2">
        <w:rPr>
          <w:rFonts w:ascii="Arial" w:hAnsi="Arial" w:cs="Arial"/>
          <w:sz w:val="20"/>
          <w:szCs w:val="20"/>
        </w:rPr>
        <w:t>entry</w:t>
      </w:r>
      <w:r w:rsidR="005F622F">
        <w:rPr>
          <w:rFonts w:ascii="Arial" w:hAnsi="Arial" w:cs="Arial"/>
          <w:sz w:val="20"/>
          <w:szCs w:val="20"/>
        </w:rPr>
        <w:t xml:space="preserve"> to </w:t>
      </w:r>
      <w:r w:rsidR="00FB4DD4">
        <w:rPr>
          <w:rFonts w:ascii="Arial" w:hAnsi="Arial" w:cs="Arial"/>
          <w:sz w:val="20"/>
          <w:szCs w:val="20"/>
        </w:rPr>
        <w:t xml:space="preserve">the Australian </w:t>
      </w:r>
      <w:r w:rsidR="005F622F">
        <w:rPr>
          <w:rFonts w:ascii="Arial" w:hAnsi="Arial" w:cs="Arial"/>
          <w:sz w:val="20"/>
          <w:szCs w:val="20"/>
        </w:rPr>
        <w:t xml:space="preserve">market for on-road use. </w:t>
      </w:r>
      <w:r w:rsidR="00FB4DD4">
        <w:rPr>
          <w:rFonts w:ascii="Arial" w:hAnsi="Arial" w:cs="Arial"/>
          <w:sz w:val="20"/>
          <w:szCs w:val="20"/>
        </w:rPr>
        <w:t>G</w:t>
      </w:r>
      <w:r w:rsidR="005F622F">
        <w:rPr>
          <w:rFonts w:ascii="Arial" w:hAnsi="Arial" w:cs="Arial"/>
          <w:sz w:val="20"/>
          <w:szCs w:val="20"/>
        </w:rPr>
        <w:t>atekeeper role</w:t>
      </w:r>
      <w:r w:rsidR="00FB4DD4">
        <w:rPr>
          <w:rFonts w:ascii="Arial" w:hAnsi="Arial" w:cs="Arial"/>
          <w:sz w:val="20"/>
          <w:szCs w:val="20"/>
        </w:rPr>
        <w:t>s</w:t>
      </w:r>
      <w:r w:rsidR="005F622F">
        <w:rPr>
          <w:rFonts w:ascii="Arial" w:hAnsi="Arial" w:cs="Arial"/>
          <w:sz w:val="20"/>
          <w:szCs w:val="20"/>
        </w:rPr>
        <w:t xml:space="preserve"> will necessarily fall to </w:t>
      </w:r>
      <w:r w:rsidR="00FB4DD4">
        <w:rPr>
          <w:rFonts w:ascii="Arial" w:hAnsi="Arial" w:cs="Arial"/>
          <w:sz w:val="20"/>
          <w:szCs w:val="20"/>
        </w:rPr>
        <w:t>c</w:t>
      </w:r>
      <w:r w:rsidR="005F622F">
        <w:rPr>
          <w:rFonts w:ascii="Arial" w:hAnsi="Arial" w:cs="Arial"/>
          <w:sz w:val="20"/>
          <w:szCs w:val="20"/>
        </w:rPr>
        <w:t>ustoms</w:t>
      </w:r>
      <w:r w:rsidR="00FB4DD4">
        <w:rPr>
          <w:rFonts w:ascii="Arial" w:hAnsi="Arial" w:cs="Arial"/>
          <w:sz w:val="20"/>
          <w:szCs w:val="20"/>
        </w:rPr>
        <w:t xml:space="preserve"> and</w:t>
      </w:r>
      <w:r w:rsidR="005F622F">
        <w:rPr>
          <w:rFonts w:ascii="Arial" w:hAnsi="Arial" w:cs="Arial"/>
          <w:sz w:val="20"/>
          <w:szCs w:val="20"/>
        </w:rPr>
        <w:t xml:space="preserve"> </w:t>
      </w:r>
      <w:r w:rsidR="00FB4DD4">
        <w:rPr>
          <w:rFonts w:ascii="Arial" w:hAnsi="Arial" w:cs="Arial"/>
          <w:sz w:val="20"/>
          <w:szCs w:val="20"/>
        </w:rPr>
        <w:t>r</w:t>
      </w:r>
      <w:r w:rsidR="005F622F">
        <w:rPr>
          <w:rFonts w:ascii="Arial" w:hAnsi="Arial" w:cs="Arial"/>
          <w:sz w:val="20"/>
          <w:szCs w:val="20"/>
        </w:rPr>
        <w:t xml:space="preserve">oad </w:t>
      </w:r>
      <w:r w:rsidR="00FB4DD4">
        <w:rPr>
          <w:rFonts w:ascii="Arial" w:hAnsi="Arial" w:cs="Arial"/>
          <w:sz w:val="20"/>
          <w:szCs w:val="20"/>
        </w:rPr>
        <w:t>a</w:t>
      </w:r>
      <w:r w:rsidR="005F622F">
        <w:rPr>
          <w:rFonts w:ascii="Arial" w:hAnsi="Arial" w:cs="Arial"/>
          <w:sz w:val="20"/>
          <w:szCs w:val="20"/>
        </w:rPr>
        <w:t xml:space="preserve">gencies and </w:t>
      </w:r>
      <w:r w:rsidR="00FB4DD4">
        <w:rPr>
          <w:rFonts w:ascii="Arial" w:hAnsi="Arial" w:cs="Arial"/>
          <w:sz w:val="20"/>
          <w:szCs w:val="20"/>
        </w:rPr>
        <w:t>t</w:t>
      </w:r>
      <w:r w:rsidR="005F622F">
        <w:rPr>
          <w:rFonts w:ascii="Arial" w:hAnsi="Arial" w:cs="Arial"/>
          <w:sz w:val="20"/>
          <w:szCs w:val="20"/>
        </w:rPr>
        <w:t xml:space="preserve">rade practice laws.  </w:t>
      </w:r>
    </w:p>
    <w:p w:rsidR="002A136A" w:rsidRDefault="002A136A" w:rsidP="00E43867">
      <w:pPr>
        <w:rPr>
          <w:rFonts w:ascii="Arial" w:hAnsi="Arial" w:cs="Arial"/>
          <w:sz w:val="20"/>
          <w:szCs w:val="20"/>
        </w:rPr>
      </w:pPr>
    </w:p>
    <w:p w:rsidR="002A136A" w:rsidRPr="008F1963" w:rsidRDefault="002A136A" w:rsidP="00E43867">
      <w:pPr>
        <w:rPr>
          <w:rStyle w:val="Emphasis"/>
          <w:b/>
        </w:rPr>
      </w:pPr>
      <w:r w:rsidRPr="008F1963">
        <w:rPr>
          <w:rStyle w:val="Emphasis"/>
          <w:b/>
        </w:rPr>
        <w:t xml:space="preserve">Recommendation 2 </w:t>
      </w:r>
    </w:p>
    <w:p w:rsidR="00E14F84" w:rsidRPr="00EE49C2" w:rsidRDefault="002A136A" w:rsidP="008F1963">
      <w:pPr>
        <w:rPr>
          <w:rFonts w:ascii="Arial" w:hAnsi="Arial" w:cs="Arial"/>
          <w:b/>
          <w:iCs/>
          <w:sz w:val="20"/>
          <w:szCs w:val="20"/>
        </w:rPr>
      </w:pPr>
      <w:r w:rsidRPr="00EE49C2">
        <w:rPr>
          <w:rFonts w:ascii="Arial" w:hAnsi="Arial" w:cs="Arial"/>
          <w:b/>
          <w:iCs/>
          <w:sz w:val="20"/>
          <w:szCs w:val="20"/>
        </w:rPr>
        <w:t>The MVSA addresses non-compl</w:t>
      </w:r>
      <w:r w:rsidR="00FB4DD4">
        <w:rPr>
          <w:rFonts w:ascii="Arial" w:hAnsi="Arial" w:cs="Arial"/>
          <w:b/>
          <w:iCs/>
          <w:sz w:val="20"/>
          <w:szCs w:val="20"/>
        </w:rPr>
        <w:t>ia</w:t>
      </w:r>
      <w:r w:rsidRPr="00EE49C2">
        <w:rPr>
          <w:rFonts w:ascii="Arial" w:hAnsi="Arial" w:cs="Arial"/>
          <w:b/>
          <w:iCs/>
          <w:sz w:val="20"/>
          <w:szCs w:val="20"/>
        </w:rPr>
        <w:t>nt road vehicles</w:t>
      </w:r>
      <w:r w:rsidR="00FB4DD4">
        <w:rPr>
          <w:rFonts w:ascii="Arial" w:hAnsi="Arial" w:cs="Arial"/>
          <w:b/>
          <w:iCs/>
          <w:sz w:val="20"/>
          <w:szCs w:val="20"/>
        </w:rPr>
        <w:t xml:space="preserve"> operated for </w:t>
      </w:r>
      <w:r w:rsidR="007043FE" w:rsidRPr="00EE49C2">
        <w:rPr>
          <w:rFonts w:ascii="Arial" w:hAnsi="Arial" w:cs="Arial"/>
          <w:b/>
          <w:iCs/>
          <w:sz w:val="20"/>
          <w:szCs w:val="20"/>
        </w:rPr>
        <w:t xml:space="preserve">special </w:t>
      </w:r>
      <w:r w:rsidR="00FB4DD4">
        <w:rPr>
          <w:rFonts w:ascii="Arial" w:hAnsi="Arial" w:cs="Arial"/>
          <w:b/>
          <w:iCs/>
          <w:sz w:val="20"/>
          <w:szCs w:val="20"/>
        </w:rPr>
        <w:t>oversize and over-</w:t>
      </w:r>
      <w:r w:rsidRPr="00EE49C2">
        <w:rPr>
          <w:rFonts w:ascii="Arial" w:hAnsi="Arial" w:cs="Arial"/>
          <w:b/>
          <w:iCs/>
          <w:sz w:val="20"/>
          <w:szCs w:val="20"/>
        </w:rPr>
        <w:t>mass tasks under permit and notices from the N</w:t>
      </w:r>
      <w:r w:rsidR="00FB4DD4">
        <w:rPr>
          <w:rFonts w:ascii="Arial" w:hAnsi="Arial" w:cs="Arial"/>
          <w:b/>
          <w:iCs/>
          <w:sz w:val="20"/>
          <w:szCs w:val="20"/>
        </w:rPr>
        <w:t>ational Heavy Vehicle Regulator</w:t>
      </w:r>
      <w:r w:rsidRPr="00EE49C2">
        <w:rPr>
          <w:rFonts w:ascii="Arial" w:hAnsi="Arial" w:cs="Arial"/>
          <w:b/>
          <w:iCs/>
          <w:sz w:val="20"/>
          <w:szCs w:val="20"/>
        </w:rPr>
        <w:t xml:space="preserve"> on advice from </w:t>
      </w:r>
      <w:r w:rsidR="00FB4DD4">
        <w:rPr>
          <w:rFonts w:ascii="Arial" w:hAnsi="Arial" w:cs="Arial"/>
          <w:b/>
          <w:iCs/>
          <w:sz w:val="20"/>
          <w:szCs w:val="20"/>
        </w:rPr>
        <w:t>s</w:t>
      </w:r>
      <w:r w:rsidRPr="00EE49C2">
        <w:rPr>
          <w:rFonts w:ascii="Arial" w:hAnsi="Arial" w:cs="Arial"/>
          <w:b/>
          <w:iCs/>
          <w:sz w:val="20"/>
          <w:szCs w:val="20"/>
        </w:rPr>
        <w:t xml:space="preserve">tate and </w:t>
      </w:r>
      <w:r w:rsidR="00FB4DD4">
        <w:rPr>
          <w:rFonts w:ascii="Arial" w:hAnsi="Arial" w:cs="Arial"/>
          <w:b/>
          <w:iCs/>
          <w:sz w:val="20"/>
          <w:szCs w:val="20"/>
        </w:rPr>
        <w:t>t</w:t>
      </w:r>
      <w:r w:rsidRPr="00EE49C2">
        <w:rPr>
          <w:rFonts w:ascii="Arial" w:hAnsi="Arial" w:cs="Arial"/>
          <w:b/>
          <w:iCs/>
          <w:sz w:val="20"/>
          <w:szCs w:val="20"/>
        </w:rPr>
        <w:t xml:space="preserve">erritory road agencies. The MVSA should not be expected to authorise alternative vehicles </w:t>
      </w:r>
      <w:r w:rsidR="007043FE">
        <w:rPr>
          <w:rFonts w:ascii="Arial" w:hAnsi="Arial" w:cs="Arial"/>
          <w:b/>
          <w:iCs/>
          <w:sz w:val="20"/>
          <w:szCs w:val="20"/>
        </w:rPr>
        <w:t>that</w:t>
      </w:r>
      <w:r w:rsidRPr="00EE49C2">
        <w:rPr>
          <w:rFonts w:ascii="Arial" w:hAnsi="Arial" w:cs="Arial"/>
          <w:b/>
          <w:iCs/>
          <w:sz w:val="20"/>
          <w:szCs w:val="20"/>
        </w:rPr>
        <w:t xml:space="preserve"> do not meet safety standards for road vehicles. </w:t>
      </w:r>
      <w:r w:rsidR="00392F21">
        <w:rPr>
          <w:rFonts w:ascii="Arial" w:hAnsi="Arial" w:cs="Arial"/>
          <w:b/>
          <w:iCs/>
          <w:sz w:val="20"/>
          <w:szCs w:val="20"/>
        </w:rPr>
        <w:t>Such</w:t>
      </w:r>
      <w:r w:rsidRPr="00EE49C2">
        <w:rPr>
          <w:rFonts w:ascii="Arial" w:hAnsi="Arial" w:cs="Arial"/>
          <w:b/>
          <w:iCs/>
          <w:sz w:val="20"/>
          <w:szCs w:val="20"/>
        </w:rPr>
        <w:t xml:space="preserve"> vehicles should be addressed in combination of </w:t>
      </w:r>
      <w:r w:rsidR="007043FE">
        <w:rPr>
          <w:rFonts w:ascii="Arial" w:hAnsi="Arial" w:cs="Arial"/>
          <w:b/>
          <w:iCs/>
          <w:sz w:val="20"/>
          <w:szCs w:val="20"/>
        </w:rPr>
        <w:t>c</w:t>
      </w:r>
      <w:r w:rsidRPr="00EE49C2">
        <w:rPr>
          <w:rFonts w:ascii="Arial" w:hAnsi="Arial" w:cs="Arial"/>
          <w:b/>
          <w:iCs/>
          <w:sz w:val="20"/>
          <w:szCs w:val="20"/>
        </w:rPr>
        <w:t xml:space="preserve">ustoms </w:t>
      </w:r>
      <w:r w:rsidR="007043FE">
        <w:rPr>
          <w:rFonts w:ascii="Arial" w:hAnsi="Arial" w:cs="Arial"/>
          <w:b/>
          <w:iCs/>
          <w:sz w:val="20"/>
          <w:szCs w:val="20"/>
        </w:rPr>
        <w:t>law</w:t>
      </w:r>
      <w:r w:rsidRPr="00EE49C2">
        <w:rPr>
          <w:rFonts w:ascii="Arial" w:hAnsi="Arial" w:cs="Arial"/>
          <w:b/>
          <w:iCs/>
          <w:sz w:val="20"/>
          <w:szCs w:val="20"/>
        </w:rPr>
        <w:t xml:space="preserve">, </w:t>
      </w:r>
      <w:r w:rsidR="007043FE" w:rsidRPr="00EE49C2">
        <w:rPr>
          <w:rFonts w:ascii="Arial" w:hAnsi="Arial" w:cs="Arial"/>
          <w:b/>
          <w:iCs/>
          <w:sz w:val="20"/>
          <w:szCs w:val="20"/>
        </w:rPr>
        <w:t xml:space="preserve">state </w:t>
      </w:r>
      <w:r w:rsidRPr="00EE49C2">
        <w:rPr>
          <w:rFonts w:ascii="Arial" w:hAnsi="Arial" w:cs="Arial"/>
          <w:b/>
          <w:iCs/>
          <w:sz w:val="20"/>
          <w:szCs w:val="20"/>
        </w:rPr>
        <w:t xml:space="preserve">road transport law and </w:t>
      </w:r>
      <w:r w:rsidR="007043FE">
        <w:rPr>
          <w:rFonts w:ascii="Arial" w:hAnsi="Arial" w:cs="Arial"/>
          <w:b/>
          <w:iCs/>
          <w:sz w:val="20"/>
          <w:szCs w:val="20"/>
        </w:rPr>
        <w:t>t</w:t>
      </w:r>
      <w:r w:rsidRPr="00EE49C2">
        <w:rPr>
          <w:rFonts w:ascii="Arial" w:hAnsi="Arial" w:cs="Arial"/>
          <w:b/>
          <w:iCs/>
          <w:sz w:val="20"/>
          <w:szCs w:val="20"/>
        </w:rPr>
        <w:t xml:space="preserve">rade </w:t>
      </w:r>
      <w:r w:rsidR="007043FE">
        <w:rPr>
          <w:rFonts w:ascii="Arial" w:hAnsi="Arial" w:cs="Arial"/>
          <w:b/>
          <w:iCs/>
          <w:sz w:val="20"/>
          <w:szCs w:val="20"/>
        </w:rPr>
        <w:t>p</w:t>
      </w:r>
      <w:r w:rsidRPr="00EE49C2">
        <w:rPr>
          <w:rFonts w:ascii="Arial" w:hAnsi="Arial" w:cs="Arial"/>
          <w:b/>
          <w:iCs/>
          <w:sz w:val="20"/>
          <w:szCs w:val="20"/>
        </w:rPr>
        <w:t xml:space="preserve">ractices law. </w:t>
      </w:r>
    </w:p>
    <w:p w:rsidR="002A136A" w:rsidRPr="003A4703" w:rsidRDefault="002A136A" w:rsidP="003A4703">
      <w:pPr>
        <w:pStyle w:val="RecommendationStyle"/>
        <w:numPr>
          <w:ilvl w:val="0"/>
          <w:numId w:val="0"/>
        </w:numPr>
        <w:spacing w:before="0" w:after="0"/>
        <w:jc w:val="both"/>
        <w:rPr>
          <w:b w:val="0"/>
          <w:i w:val="0"/>
        </w:rPr>
      </w:pPr>
    </w:p>
    <w:p w:rsidR="00B01B5C" w:rsidRDefault="00B01B5C" w:rsidP="003A4703">
      <w:pPr>
        <w:pStyle w:val="RecommendationStyle"/>
        <w:numPr>
          <w:ilvl w:val="0"/>
          <w:numId w:val="0"/>
        </w:numPr>
        <w:spacing w:before="0" w:after="0"/>
        <w:jc w:val="both"/>
        <w:rPr>
          <w:b w:val="0"/>
          <w:i w:val="0"/>
        </w:rPr>
      </w:pPr>
      <w:r>
        <w:rPr>
          <w:b w:val="0"/>
          <w:i w:val="0"/>
        </w:rPr>
        <w:t xml:space="preserve">The MVSA is not all about adopting someone else’s solution. Australia has proven its capacity to lead </w:t>
      </w:r>
      <w:r w:rsidR="007043FE">
        <w:rPr>
          <w:b w:val="0"/>
          <w:i w:val="0"/>
        </w:rPr>
        <w:t>the world,</w:t>
      </w:r>
      <w:r>
        <w:rPr>
          <w:b w:val="0"/>
          <w:i w:val="0"/>
        </w:rPr>
        <w:t xml:space="preserve"> with </w:t>
      </w:r>
      <w:r w:rsidR="007043FE">
        <w:rPr>
          <w:b w:val="0"/>
          <w:i w:val="0"/>
        </w:rPr>
        <w:t xml:space="preserve">its </w:t>
      </w:r>
      <w:r>
        <w:rPr>
          <w:b w:val="0"/>
          <w:i w:val="0"/>
        </w:rPr>
        <w:t>seatbelt standards</w:t>
      </w:r>
      <w:r w:rsidR="007043FE">
        <w:rPr>
          <w:b w:val="0"/>
          <w:i w:val="0"/>
        </w:rPr>
        <w:t xml:space="preserve"> </w:t>
      </w:r>
      <w:r>
        <w:rPr>
          <w:b w:val="0"/>
          <w:i w:val="0"/>
        </w:rPr>
        <w:t xml:space="preserve">in the 1960’s and currently with </w:t>
      </w:r>
      <w:r w:rsidR="007043FE">
        <w:rPr>
          <w:b w:val="0"/>
          <w:i w:val="0"/>
        </w:rPr>
        <w:t>its</w:t>
      </w:r>
      <w:r>
        <w:rPr>
          <w:b w:val="0"/>
          <w:i w:val="0"/>
        </w:rPr>
        <w:t xml:space="preserve"> global leadership on pole side impact </w:t>
      </w:r>
      <w:r w:rsidR="007043FE">
        <w:rPr>
          <w:b w:val="0"/>
          <w:i w:val="0"/>
        </w:rPr>
        <w:t xml:space="preserve">testing and </w:t>
      </w:r>
      <w:r>
        <w:rPr>
          <w:b w:val="0"/>
          <w:i w:val="0"/>
        </w:rPr>
        <w:t>standards development</w:t>
      </w:r>
      <w:r w:rsidR="007043FE">
        <w:rPr>
          <w:b w:val="0"/>
          <w:i w:val="0"/>
        </w:rPr>
        <w:t xml:space="preserve">s </w:t>
      </w:r>
      <w:r>
        <w:rPr>
          <w:b w:val="0"/>
          <w:i w:val="0"/>
        </w:rPr>
        <w:t xml:space="preserve">aimed at </w:t>
      </w:r>
      <w:r w:rsidR="007043FE">
        <w:rPr>
          <w:b w:val="0"/>
          <w:i w:val="0"/>
        </w:rPr>
        <w:t>mitigating</w:t>
      </w:r>
      <w:r>
        <w:rPr>
          <w:b w:val="0"/>
          <w:i w:val="0"/>
        </w:rPr>
        <w:t xml:space="preserve"> a crash</w:t>
      </w:r>
      <w:r w:rsidR="007043FE">
        <w:rPr>
          <w:b w:val="0"/>
          <w:i w:val="0"/>
        </w:rPr>
        <w:t>-related</w:t>
      </w:r>
      <w:r>
        <w:rPr>
          <w:b w:val="0"/>
          <w:i w:val="0"/>
        </w:rPr>
        <w:t xml:space="preserve"> </w:t>
      </w:r>
      <w:r w:rsidR="007043FE">
        <w:rPr>
          <w:b w:val="0"/>
          <w:i w:val="0"/>
        </w:rPr>
        <w:t>outcome</w:t>
      </w:r>
      <w:r>
        <w:rPr>
          <w:b w:val="0"/>
          <w:i w:val="0"/>
        </w:rPr>
        <w:t xml:space="preserve"> </w:t>
      </w:r>
      <w:r w:rsidR="007043FE">
        <w:rPr>
          <w:b w:val="0"/>
          <w:i w:val="0"/>
        </w:rPr>
        <w:t>which</w:t>
      </w:r>
      <w:r>
        <w:rPr>
          <w:b w:val="0"/>
          <w:i w:val="0"/>
        </w:rPr>
        <w:t xml:space="preserve"> accounts for at least 10 per cent of deaths and even higher percentages of life-long serious injury. </w:t>
      </w:r>
    </w:p>
    <w:p w:rsidR="00B01B5C" w:rsidRDefault="00B01B5C" w:rsidP="003A4703">
      <w:pPr>
        <w:pStyle w:val="RecommendationStyle"/>
        <w:numPr>
          <w:ilvl w:val="0"/>
          <w:numId w:val="0"/>
        </w:numPr>
        <w:spacing w:before="0" w:after="0"/>
        <w:jc w:val="both"/>
        <w:rPr>
          <w:b w:val="0"/>
          <w:i w:val="0"/>
        </w:rPr>
      </w:pPr>
    </w:p>
    <w:p w:rsidR="00B01B5C" w:rsidRPr="008F1963" w:rsidRDefault="00B01B5C" w:rsidP="00EE49C2">
      <w:pPr>
        <w:pStyle w:val="RecommendationStyle"/>
        <w:numPr>
          <w:ilvl w:val="0"/>
          <w:numId w:val="0"/>
        </w:numPr>
        <w:spacing w:before="0" w:after="0"/>
        <w:jc w:val="both"/>
      </w:pPr>
      <w:r>
        <w:rPr>
          <w:b w:val="0"/>
          <w:i w:val="0"/>
        </w:rPr>
        <w:lastRenderedPageBreak/>
        <w:t xml:space="preserve">Australia also leads globally with </w:t>
      </w:r>
      <w:r w:rsidR="007043FE">
        <w:rPr>
          <w:b w:val="0"/>
          <w:i w:val="0"/>
        </w:rPr>
        <w:t xml:space="preserve">the </w:t>
      </w:r>
      <w:r>
        <w:rPr>
          <w:b w:val="0"/>
          <w:i w:val="0"/>
        </w:rPr>
        <w:t xml:space="preserve">use of multi-combination freight vehicles. The MVSA recognises this. </w:t>
      </w:r>
    </w:p>
    <w:p w:rsidR="00B01B5C" w:rsidRPr="008F1963" w:rsidRDefault="00B01B5C" w:rsidP="003A4703">
      <w:pPr>
        <w:pStyle w:val="RecommendationStyle"/>
        <w:numPr>
          <w:ilvl w:val="0"/>
          <w:numId w:val="0"/>
        </w:numPr>
        <w:spacing w:before="0" w:after="0"/>
        <w:jc w:val="both"/>
        <w:rPr>
          <w:i w:val="0"/>
        </w:rPr>
      </w:pPr>
    </w:p>
    <w:p w:rsidR="00B01B5C" w:rsidRPr="008F1963" w:rsidRDefault="00B01B5C" w:rsidP="003A4703">
      <w:pPr>
        <w:pStyle w:val="RecommendationStyle"/>
        <w:numPr>
          <w:ilvl w:val="0"/>
          <w:numId w:val="0"/>
        </w:numPr>
        <w:spacing w:before="0" w:after="0"/>
        <w:jc w:val="both"/>
        <w:rPr>
          <w:rStyle w:val="Emphasis"/>
          <w:i/>
        </w:rPr>
      </w:pPr>
      <w:r w:rsidRPr="008F1963">
        <w:rPr>
          <w:rStyle w:val="Emphasis"/>
          <w:i/>
        </w:rPr>
        <w:t xml:space="preserve">Recommendations 3 </w:t>
      </w:r>
    </w:p>
    <w:p w:rsidR="00B01B5C" w:rsidRPr="008F1963" w:rsidRDefault="00B01B5C" w:rsidP="003A4703">
      <w:pPr>
        <w:pStyle w:val="RecommendationStyle"/>
        <w:numPr>
          <w:ilvl w:val="0"/>
          <w:numId w:val="0"/>
        </w:numPr>
        <w:spacing w:before="0" w:after="0"/>
        <w:jc w:val="both"/>
        <w:rPr>
          <w:i w:val="0"/>
        </w:rPr>
      </w:pPr>
      <w:r w:rsidRPr="008F1963">
        <w:rPr>
          <w:i w:val="0"/>
        </w:rPr>
        <w:t xml:space="preserve">The leadership potential of Australia </w:t>
      </w:r>
      <w:r w:rsidR="00D830B9" w:rsidRPr="008F1963">
        <w:rPr>
          <w:i w:val="0"/>
        </w:rPr>
        <w:t xml:space="preserve">on </w:t>
      </w:r>
      <w:r w:rsidR="00392F21">
        <w:rPr>
          <w:i w:val="0"/>
        </w:rPr>
        <w:t xml:space="preserve">road </w:t>
      </w:r>
      <w:r w:rsidR="00D830B9" w:rsidRPr="008F1963">
        <w:rPr>
          <w:i w:val="0"/>
        </w:rPr>
        <w:t xml:space="preserve">safety </w:t>
      </w:r>
      <w:r w:rsidRPr="008F1963">
        <w:rPr>
          <w:i w:val="0"/>
        </w:rPr>
        <w:t>should not be constrained by the MVSA.</w:t>
      </w:r>
    </w:p>
    <w:p w:rsidR="00C121D2" w:rsidRDefault="00C121D2" w:rsidP="003A4703">
      <w:pPr>
        <w:pStyle w:val="RecommendationStyle"/>
        <w:numPr>
          <w:ilvl w:val="0"/>
          <w:numId w:val="0"/>
        </w:numPr>
        <w:spacing w:before="0" w:after="0"/>
        <w:jc w:val="both"/>
        <w:rPr>
          <w:b w:val="0"/>
          <w:i w:val="0"/>
        </w:rPr>
      </w:pPr>
    </w:p>
    <w:p w:rsidR="00D830B9" w:rsidRDefault="00CD0489" w:rsidP="003A4703">
      <w:pPr>
        <w:pStyle w:val="RecommendationStyle"/>
        <w:numPr>
          <w:ilvl w:val="0"/>
          <w:numId w:val="0"/>
        </w:numPr>
        <w:spacing w:before="0" w:after="0"/>
        <w:jc w:val="both"/>
        <w:rPr>
          <w:b w:val="0"/>
          <w:i w:val="0"/>
        </w:rPr>
      </w:pPr>
      <w:r>
        <w:rPr>
          <w:b w:val="0"/>
          <w:i w:val="0"/>
        </w:rPr>
        <w:t>M</w:t>
      </w:r>
      <w:r w:rsidR="007043FE">
        <w:rPr>
          <w:b w:val="0"/>
          <w:i w:val="0"/>
        </w:rPr>
        <w:t>inor amendments</w:t>
      </w:r>
      <w:r w:rsidR="00C121D2">
        <w:rPr>
          <w:b w:val="0"/>
          <w:i w:val="0"/>
        </w:rPr>
        <w:t xml:space="preserve"> and </w:t>
      </w:r>
      <w:r>
        <w:rPr>
          <w:b w:val="0"/>
          <w:i w:val="0"/>
        </w:rPr>
        <w:t xml:space="preserve">the </w:t>
      </w:r>
      <w:r w:rsidR="007043FE">
        <w:rPr>
          <w:b w:val="0"/>
          <w:i w:val="0"/>
        </w:rPr>
        <w:t>acknowledgment</w:t>
      </w:r>
      <w:r w:rsidR="00C121D2">
        <w:rPr>
          <w:b w:val="0"/>
          <w:i w:val="0"/>
        </w:rPr>
        <w:t xml:space="preserve"> of </w:t>
      </w:r>
      <w:r w:rsidR="007043FE">
        <w:rPr>
          <w:b w:val="0"/>
          <w:i w:val="0"/>
        </w:rPr>
        <w:t xml:space="preserve">new </w:t>
      </w:r>
      <w:r w:rsidR="00C121D2">
        <w:rPr>
          <w:b w:val="0"/>
          <w:i w:val="0"/>
        </w:rPr>
        <w:t xml:space="preserve">global circumstances </w:t>
      </w:r>
      <w:r>
        <w:rPr>
          <w:b w:val="0"/>
          <w:i w:val="0"/>
        </w:rPr>
        <w:t xml:space="preserve">are </w:t>
      </w:r>
      <w:r w:rsidR="00C121D2">
        <w:rPr>
          <w:b w:val="0"/>
          <w:i w:val="0"/>
        </w:rPr>
        <w:t xml:space="preserve">required in the MVSA. For example, powered trailers </w:t>
      </w:r>
      <w:r>
        <w:rPr>
          <w:b w:val="0"/>
          <w:i w:val="0"/>
        </w:rPr>
        <w:t xml:space="preserve">are now </w:t>
      </w:r>
      <w:r w:rsidR="00C121D2">
        <w:rPr>
          <w:b w:val="0"/>
          <w:i w:val="0"/>
        </w:rPr>
        <w:t>in use i</w:t>
      </w:r>
      <w:r w:rsidR="007043FE">
        <w:rPr>
          <w:b w:val="0"/>
          <w:i w:val="0"/>
        </w:rPr>
        <w:t xml:space="preserve">n Australia which </w:t>
      </w:r>
      <w:proofErr w:type="gramStart"/>
      <w:r w:rsidR="007043FE">
        <w:rPr>
          <w:b w:val="0"/>
          <w:i w:val="0"/>
        </w:rPr>
        <w:t>are</w:t>
      </w:r>
      <w:proofErr w:type="gramEnd"/>
      <w:r w:rsidR="007043FE">
        <w:rPr>
          <w:b w:val="0"/>
          <w:i w:val="0"/>
        </w:rPr>
        <w:t xml:space="preserve"> not envisag</w:t>
      </w:r>
      <w:r w:rsidR="00C121D2">
        <w:rPr>
          <w:b w:val="0"/>
          <w:i w:val="0"/>
        </w:rPr>
        <w:t xml:space="preserve">ed </w:t>
      </w:r>
      <w:r w:rsidR="007043FE">
        <w:rPr>
          <w:b w:val="0"/>
          <w:i w:val="0"/>
        </w:rPr>
        <w:t>in the</w:t>
      </w:r>
      <w:r w:rsidR="00C121D2">
        <w:rPr>
          <w:b w:val="0"/>
          <w:i w:val="0"/>
        </w:rPr>
        <w:t xml:space="preserve"> definition </w:t>
      </w:r>
      <w:r w:rsidR="007043FE">
        <w:rPr>
          <w:b w:val="0"/>
          <w:i w:val="0"/>
        </w:rPr>
        <w:t>of ‘trailer’ under</w:t>
      </w:r>
      <w:r w:rsidR="00C121D2">
        <w:rPr>
          <w:b w:val="0"/>
          <w:i w:val="0"/>
        </w:rPr>
        <w:t xml:space="preserve"> the </w:t>
      </w:r>
      <w:r>
        <w:rPr>
          <w:b w:val="0"/>
          <w:i w:val="0"/>
        </w:rPr>
        <w:t>Act</w:t>
      </w:r>
      <w:r w:rsidR="00C121D2">
        <w:rPr>
          <w:b w:val="0"/>
          <w:i w:val="0"/>
        </w:rPr>
        <w:t>. Similarly, vehicle width limits are 2.6 metres</w:t>
      </w:r>
      <w:r w:rsidR="007043FE">
        <w:rPr>
          <w:b w:val="0"/>
          <w:i w:val="0"/>
        </w:rPr>
        <w:t xml:space="preserve"> globally</w:t>
      </w:r>
      <w:r w:rsidR="00C121D2">
        <w:rPr>
          <w:b w:val="0"/>
          <w:i w:val="0"/>
        </w:rPr>
        <w:t>. It is not sustainable for Australia to be</w:t>
      </w:r>
      <w:r>
        <w:rPr>
          <w:b w:val="0"/>
          <w:i w:val="0"/>
        </w:rPr>
        <w:t>come</w:t>
      </w:r>
      <w:r w:rsidR="00C121D2">
        <w:rPr>
          <w:b w:val="0"/>
          <w:i w:val="0"/>
        </w:rPr>
        <w:t xml:space="preserve"> more restrictive with</w:t>
      </w:r>
      <w:r w:rsidR="00D830B9">
        <w:rPr>
          <w:b w:val="0"/>
          <w:i w:val="0"/>
        </w:rPr>
        <w:t xml:space="preserve"> </w:t>
      </w:r>
      <w:r>
        <w:rPr>
          <w:b w:val="0"/>
          <w:i w:val="0"/>
        </w:rPr>
        <w:t>a</w:t>
      </w:r>
      <w:r w:rsidR="00D830B9">
        <w:rPr>
          <w:b w:val="0"/>
          <w:i w:val="0"/>
        </w:rPr>
        <w:t xml:space="preserve"> </w:t>
      </w:r>
      <w:r>
        <w:rPr>
          <w:b w:val="0"/>
          <w:i w:val="0"/>
        </w:rPr>
        <w:t xml:space="preserve">present </w:t>
      </w:r>
      <w:r w:rsidR="00C121D2">
        <w:rPr>
          <w:b w:val="0"/>
          <w:i w:val="0"/>
        </w:rPr>
        <w:t xml:space="preserve">2.5 metre width limit. </w:t>
      </w:r>
      <w:r w:rsidR="00D830B9">
        <w:rPr>
          <w:b w:val="0"/>
          <w:i w:val="0"/>
        </w:rPr>
        <w:t>Hence, there is a desire for some technical refinement</w:t>
      </w:r>
      <w:r>
        <w:rPr>
          <w:b w:val="0"/>
          <w:i w:val="0"/>
        </w:rPr>
        <w:t>s</w:t>
      </w:r>
      <w:r w:rsidR="00D830B9">
        <w:rPr>
          <w:b w:val="0"/>
          <w:i w:val="0"/>
        </w:rPr>
        <w:t xml:space="preserve"> to the MVSA</w:t>
      </w:r>
      <w:r>
        <w:rPr>
          <w:b w:val="0"/>
          <w:i w:val="0"/>
        </w:rPr>
        <w:t xml:space="preserve"> to </w:t>
      </w:r>
      <w:r w:rsidR="00D830B9">
        <w:rPr>
          <w:b w:val="0"/>
          <w:i w:val="0"/>
        </w:rPr>
        <w:t xml:space="preserve">be assessed </w:t>
      </w:r>
      <w:r>
        <w:rPr>
          <w:b w:val="0"/>
          <w:i w:val="0"/>
        </w:rPr>
        <w:t xml:space="preserve">on their individual merits </w:t>
      </w:r>
      <w:r w:rsidR="00D830B9">
        <w:rPr>
          <w:b w:val="0"/>
          <w:i w:val="0"/>
        </w:rPr>
        <w:t xml:space="preserve">for the regulatory impact they may </w:t>
      </w:r>
      <w:r>
        <w:rPr>
          <w:b w:val="0"/>
          <w:i w:val="0"/>
        </w:rPr>
        <w:t>pose</w:t>
      </w:r>
      <w:r w:rsidR="00D830B9">
        <w:rPr>
          <w:b w:val="0"/>
          <w:i w:val="0"/>
        </w:rPr>
        <w:t>.</w:t>
      </w:r>
    </w:p>
    <w:p w:rsidR="00D830B9" w:rsidRDefault="00D830B9" w:rsidP="003A4703">
      <w:pPr>
        <w:pStyle w:val="RecommendationStyle"/>
        <w:numPr>
          <w:ilvl w:val="0"/>
          <w:numId w:val="0"/>
        </w:numPr>
        <w:spacing w:before="0" w:after="0"/>
        <w:jc w:val="both"/>
        <w:rPr>
          <w:b w:val="0"/>
          <w:i w:val="0"/>
        </w:rPr>
      </w:pPr>
    </w:p>
    <w:p w:rsidR="00C121D2" w:rsidRPr="008F1963" w:rsidRDefault="00D830B9" w:rsidP="003A4703">
      <w:pPr>
        <w:pStyle w:val="RecommendationStyle"/>
        <w:numPr>
          <w:ilvl w:val="0"/>
          <w:numId w:val="0"/>
        </w:numPr>
        <w:spacing w:before="0" w:after="0"/>
        <w:jc w:val="both"/>
        <w:rPr>
          <w:rStyle w:val="Emphasis"/>
          <w:i/>
        </w:rPr>
      </w:pPr>
      <w:r w:rsidRPr="008F1963">
        <w:rPr>
          <w:rStyle w:val="Emphasis"/>
          <w:i/>
        </w:rPr>
        <w:t>Recommendation 4</w:t>
      </w:r>
      <w:r w:rsidR="00C121D2" w:rsidRPr="008F1963">
        <w:rPr>
          <w:rStyle w:val="Emphasis"/>
          <w:i/>
        </w:rPr>
        <w:t xml:space="preserve"> </w:t>
      </w:r>
    </w:p>
    <w:p w:rsidR="00C121D2" w:rsidRPr="008F1963" w:rsidRDefault="00D830B9" w:rsidP="00CD0489">
      <w:pPr>
        <w:pStyle w:val="RecommendationStyle"/>
        <w:numPr>
          <w:ilvl w:val="0"/>
          <w:numId w:val="0"/>
        </w:numPr>
        <w:spacing w:before="0" w:after="0"/>
        <w:rPr>
          <w:i w:val="0"/>
        </w:rPr>
      </w:pPr>
      <w:r w:rsidRPr="008F1963">
        <w:rPr>
          <w:i w:val="0"/>
        </w:rPr>
        <w:t xml:space="preserve">A technical refinement exercise </w:t>
      </w:r>
      <w:proofErr w:type="gramStart"/>
      <w:r w:rsidRPr="008F1963">
        <w:rPr>
          <w:i w:val="0"/>
        </w:rPr>
        <w:t>be</w:t>
      </w:r>
      <w:proofErr w:type="gramEnd"/>
      <w:r w:rsidRPr="008F1963">
        <w:rPr>
          <w:i w:val="0"/>
        </w:rPr>
        <w:t xml:space="preserve"> undertaken on the MVSA in conjunction with industry</w:t>
      </w:r>
      <w:r w:rsidR="00CD0489">
        <w:rPr>
          <w:i w:val="0"/>
        </w:rPr>
        <w:t xml:space="preserve"> </w:t>
      </w:r>
      <w:r w:rsidRPr="008F1963">
        <w:rPr>
          <w:i w:val="0"/>
        </w:rPr>
        <w:t xml:space="preserve">stakeholders. </w:t>
      </w:r>
    </w:p>
    <w:p w:rsidR="00B01B5C" w:rsidRDefault="00B01B5C" w:rsidP="003A4703">
      <w:pPr>
        <w:pStyle w:val="RecommendationStyle"/>
        <w:numPr>
          <w:ilvl w:val="0"/>
          <w:numId w:val="0"/>
        </w:numPr>
        <w:spacing w:before="0" w:after="0"/>
        <w:jc w:val="both"/>
        <w:rPr>
          <w:b w:val="0"/>
          <w:i w:val="0"/>
        </w:rPr>
      </w:pPr>
    </w:p>
    <w:p w:rsidR="00E14F84" w:rsidRPr="003A4703" w:rsidRDefault="003A4703" w:rsidP="003A4703">
      <w:pPr>
        <w:pStyle w:val="RecommendationStyle"/>
        <w:numPr>
          <w:ilvl w:val="0"/>
          <w:numId w:val="0"/>
        </w:numPr>
        <w:spacing w:before="0" w:after="0"/>
        <w:jc w:val="both"/>
        <w:rPr>
          <w:b w:val="0"/>
          <w:i w:val="0"/>
        </w:rPr>
      </w:pPr>
      <w:r w:rsidRPr="003A4703">
        <w:rPr>
          <w:b w:val="0"/>
          <w:i w:val="0"/>
        </w:rPr>
        <w:t xml:space="preserve">We believe the regulations implemented </w:t>
      </w:r>
      <w:r w:rsidR="00CD0489">
        <w:rPr>
          <w:b w:val="0"/>
          <w:i w:val="0"/>
        </w:rPr>
        <w:t>under</w:t>
      </w:r>
      <w:r w:rsidRPr="003A4703">
        <w:rPr>
          <w:b w:val="0"/>
          <w:i w:val="0"/>
        </w:rPr>
        <w:t xml:space="preserve"> the Act do not limit competition</w:t>
      </w:r>
      <w:r w:rsidR="00633FA0">
        <w:rPr>
          <w:b w:val="0"/>
          <w:i w:val="0"/>
        </w:rPr>
        <w:t>,</w:t>
      </w:r>
      <w:r w:rsidRPr="003A4703">
        <w:rPr>
          <w:b w:val="0"/>
          <w:i w:val="0"/>
        </w:rPr>
        <w:t xml:space="preserve"> promote best practice in automotive </w:t>
      </w:r>
      <w:r>
        <w:rPr>
          <w:b w:val="0"/>
          <w:i w:val="0"/>
        </w:rPr>
        <w:t xml:space="preserve">design and allow </w:t>
      </w:r>
      <w:r w:rsidR="00CD0489">
        <w:rPr>
          <w:b w:val="0"/>
          <w:i w:val="0"/>
        </w:rPr>
        <w:t xml:space="preserve">motor vehicle </w:t>
      </w:r>
      <w:r>
        <w:rPr>
          <w:b w:val="0"/>
          <w:i w:val="0"/>
        </w:rPr>
        <w:t>enthusiasts to import safe on</w:t>
      </w:r>
      <w:r w:rsidR="00CD0489">
        <w:rPr>
          <w:b w:val="0"/>
          <w:i w:val="0"/>
        </w:rPr>
        <w:t>-</w:t>
      </w:r>
      <w:r>
        <w:rPr>
          <w:b w:val="0"/>
          <w:i w:val="0"/>
        </w:rPr>
        <w:t xml:space="preserve">road </w:t>
      </w:r>
      <w:r w:rsidRPr="00F470A7">
        <w:rPr>
          <w:b w:val="0"/>
          <w:i w:val="0"/>
        </w:rPr>
        <w:t xml:space="preserve">vehicles. </w:t>
      </w:r>
      <w:r w:rsidR="00D830B9" w:rsidRPr="00F470A7">
        <w:rPr>
          <w:b w:val="0"/>
          <w:i w:val="0"/>
        </w:rPr>
        <w:t>Further, the ADR do not constrain in-service modifications</w:t>
      </w:r>
      <w:r w:rsidR="00CD0489" w:rsidRPr="00F470A7">
        <w:rPr>
          <w:b w:val="0"/>
          <w:i w:val="0"/>
        </w:rPr>
        <w:t>,</w:t>
      </w:r>
      <w:r w:rsidR="00D830B9" w:rsidRPr="00F470A7">
        <w:rPr>
          <w:b w:val="0"/>
          <w:i w:val="0"/>
        </w:rPr>
        <w:t xml:space="preserve"> provided the process i</w:t>
      </w:r>
      <w:r w:rsidR="00CD0489" w:rsidRPr="00F470A7">
        <w:rPr>
          <w:b w:val="0"/>
          <w:i w:val="0"/>
        </w:rPr>
        <w:t>s risk-</w:t>
      </w:r>
      <w:r w:rsidR="00D830B9" w:rsidRPr="00F470A7">
        <w:rPr>
          <w:b w:val="0"/>
          <w:i w:val="0"/>
        </w:rPr>
        <w:t xml:space="preserve">managed and modification </w:t>
      </w:r>
      <w:r w:rsidR="00F470A7" w:rsidRPr="00F470A7">
        <w:rPr>
          <w:b w:val="0"/>
          <w:i w:val="0"/>
        </w:rPr>
        <w:t xml:space="preserve">that </w:t>
      </w:r>
      <w:r w:rsidR="00D830B9" w:rsidRPr="00F470A7">
        <w:rPr>
          <w:b w:val="0"/>
          <w:i w:val="0"/>
        </w:rPr>
        <w:t xml:space="preserve">warrant continued compliance </w:t>
      </w:r>
      <w:r w:rsidR="00F470A7" w:rsidRPr="00F470A7">
        <w:rPr>
          <w:b w:val="0"/>
          <w:i w:val="0"/>
        </w:rPr>
        <w:t>assurance</w:t>
      </w:r>
      <w:r w:rsidR="00D830B9" w:rsidRPr="00F470A7">
        <w:rPr>
          <w:b w:val="0"/>
          <w:i w:val="0"/>
        </w:rPr>
        <w:t xml:space="preserve"> by </w:t>
      </w:r>
      <w:r w:rsidR="00F470A7" w:rsidRPr="00F470A7">
        <w:rPr>
          <w:b w:val="0"/>
          <w:i w:val="0"/>
        </w:rPr>
        <w:t xml:space="preserve">a </w:t>
      </w:r>
      <w:r w:rsidR="00D830B9" w:rsidRPr="00F470A7">
        <w:rPr>
          <w:b w:val="0"/>
          <w:i w:val="0"/>
        </w:rPr>
        <w:t>suitable engineering signatory. The NHVR h</w:t>
      </w:r>
      <w:r w:rsidR="00D830B9">
        <w:rPr>
          <w:b w:val="0"/>
          <w:i w:val="0"/>
        </w:rPr>
        <w:t xml:space="preserve">as </w:t>
      </w:r>
      <w:r w:rsidR="00CD0489">
        <w:rPr>
          <w:b w:val="0"/>
          <w:i w:val="0"/>
        </w:rPr>
        <w:t xml:space="preserve">further </w:t>
      </w:r>
      <w:r w:rsidR="00D830B9">
        <w:rPr>
          <w:b w:val="0"/>
          <w:i w:val="0"/>
        </w:rPr>
        <w:t xml:space="preserve">work to do in this area to </w:t>
      </w:r>
      <w:r w:rsidR="00CD0489">
        <w:rPr>
          <w:b w:val="0"/>
          <w:i w:val="0"/>
        </w:rPr>
        <w:t>address</w:t>
      </w:r>
      <w:r w:rsidR="00D830B9">
        <w:rPr>
          <w:b w:val="0"/>
          <w:i w:val="0"/>
        </w:rPr>
        <w:t xml:space="preserve"> current disparit</w:t>
      </w:r>
      <w:r w:rsidR="00CD0489">
        <w:rPr>
          <w:b w:val="0"/>
          <w:i w:val="0"/>
        </w:rPr>
        <w:t>ies</w:t>
      </w:r>
      <w:r w:rsidR="00D830B9">
        <w:rPr>
          <w:b w:val="0"/>
          <w:i w:val="0"/>
        </w:rPr>
        <w:t xml:space="preserve"> in signatory management practices by road agencies. </w:t>
      </w:r>
    </w:p>
    <w:p w:rsidR="00E14F84" w:rsidRDefault="00E14F84" w:rsidP="00E43867">
      <w:pPr>
        <w:rPr>
          <w:rFonts w:ascii="Arial" w:hAnsi="Arial" w:cs="Arial"/>
        </w:rPr>
      </w:pPr>
    </w:p>
    <w:p w:rsidR="0054240A" w:rsidRDefault="00CD0489" w:rsidP="00E43867">
      <w:pPr>
        <w:rPr>
          <w:rFonts w:ascii="Arial" w:hAnsi="Arial" w:cs="Arial"/>
          <w:sz w:val="20"/>
          <w:szCs w:val="20"/>
        </w:rPr>
      </w:pPr>
      <w:r>
        <w:rPr>
          <w:rFonts w:ascii="Arial" w:hAnsi="Arial" w:cs="Arial"/>
          <w:sz w:val="20"/>
          <w:szCs w:val="20"/>
        </w:rPr>
        <w:t>C</w:t>
      </w:r>
      <w:r w:rsidR="0054240A" w:rsidRPr="0054240A">
        <w:rPr>
          <w:rFonts w:ascii="Arial" w:hAnsi="Arial" w:cs="Arial"/>
          <w:sz w:val="20"/>
          <w:szCs w:val="20"/>
        </w:rPr>
        <w:t>oncessional schemes</w:t>
      </w:r>
      <w:r w:rsidR="0054240A">
        <w:rPr>
          <w:rFonts w:ascii="Arial" w:hAnsi="Arial" w:cs="Arial"/>
          <w:sz w:val="20"/>
          <w:szCs w:val="20"/>
        </w:rPr>
        <w:t xml:space="preserve"> (including the </w:t>
      </w:r>
      <w:r w:rsidR="00D5620F">
        <w:rPr>
          <w:rFonts w:ascii="Arial" w:hAnsi="Arial" w:cs="Arial"/>
          <w:sz w:val="20"/>
          <w:szCs w:val="20"/>
        </w:rPr>
        <w:t xml:space="preserve">Registered Automotive Workshop or </w:t>
      </w:r>
      <w:r w:rsidR="00707255">
        <w:rPr>
          <w:rFonts w:ascii="Arial" w:hAnsi="Arial" w:cs="Arial"/>
          <w:sz w:val="20"/>
          <w:szCs w:val="20"/>
        </w:rPr>
        <w:t xml:space="preserve">RAW </w:t>
      </w:r>
      <w:r w:rsidR="00D5620F">
        <w:rPr>
          <w:rFonts w:ascii="Arial" w:hAnsi="Arial" w:cs="Arial"/>
          <w:sz w:val="20"/>
          <w:szCs w:val="20"/>
        </w:rPr>
        <w:t>s</w:t>
      </w:r>
      <w:r w:rsidR="0054240A">
        <w:rPr>
          <w:rFonts w:ascii="Arial" w:hAnsi="Arial" w:cs="Arial"/>
          <w:sz w:val="20"/>
          <w:szCs w:val="20"/>
        </w:rPr>
        <w:t>cheme)</w:t>
      </w:r>
      <w:r w:rsidR="0054240A" w:rsidRPr="0054240A">
        <w:rPr>
          <w:rFonts w:ascii="Arial" w:hAnsi="Arial" w:cs="Arial"/>
          <w:sz w:val="20"/>
          <w:szCs w:val="20"/>
        </w:rPr>
        <w:t xml:space="preserve"> allow for non</w:t>
      </w:r>
      <w:r w:rsidR="00D5620F">
        <w:rPr>
          <w:rFonts w:ascii="Arial" w:hAnsi="Arial" w:cs="Arial"/>
          <w:sz w:val="20"/>
          <w:szCs w:val="20"/>
        </w:rPr>
        <w:t>-</w:t>
      </w:r>
      <w:r w:rsidR="0054240A" w:rsidRPr="0054240A">
        <w:rPr>
          <w:rFonts w:ascii="Arial" w:hAnsi="Arial" w:cs="Arial"/>
          <w:sz w:val="20"/>
          <w:szCs w:val="20"/>
        </w:rPr>
        <w:t xml:space="preserve">compliance of non-standard vehicles </w:t>
      </w:r>
      <w:r w:rsidR="0054240A">
        <w:rPr>
          <w:rFonts w:ascii="Arial" w:hAnsi="Arial" w:cs="Arial"/>
          <w:sz w:val="20"/>
          <w:szCs w:val="20"/>
        </w:rPr>
        <w:t>to be approved for importation. The</w:t>
      </w:r>
      <w:r w:rsidR="00D5620F">
        <w:rPr>
          <w:rFonts w:ascii="Arial" w:hAnsi="Arial" w:cs="Arial"/>
          <w:sz w:val="20"/>
          <w:szCs w:val="20"/>
        </w:rPr>
        <w:t>se</w:t>
      </w:r>
      <w:r w:rsidR="0054240A">
        <w:rPr>
          <w:rFonts w:ascii="Arial" w:hAnsi="Arial" w:cs="Arial"/>
          <w:sz w:val="20"/>
          <w:szCs w:val="20"/>
        </w:rPr>
        <w:t xml:space="preserve"> concessions provide a legal way for people to import non-compliant vehicles. </w:t>
      </w:r>
      <w:r w:rsidR="002A136A">
        <w:rPr>
          <w:rFonts w:ascii="Arial" w:hAnsi="Arial" w:cs="Arial"/>
          <w:sz w:val="20"/>
          <w:szCs w:val="20"/>
        </w:rPr>
        <w:t xml:space="preserve">However, </w:t>
      </w:r>
      <w:r w:rsidR="00D5620F">
        <w:rPr>
          <w:rFonts w:ascii="Arial" w:hAnsi="Arial" w:cs="Arial"/>
          <w:sz w:val="20"/>
          <w:szCs w:val="20"/>
        </w:rPr>
        <w:t>scheme</w:t>
      </w:r>
      <w:r w:rsidR="002A136A">
        <w:rPr>
          <w:rFonts w:ascii="Arial" w:hAnsi="Arial" w:cs="Arial"/>
          <w:sz w:val="20"/>
          <w:szCs w:val="20"/>
        </w:rPr>
        <w:t xml:space="preserve"> users should </w:t>
      </w:r>
      <w:r w:rsidR="00D5620F">
        <w:rPr>
          <w:rFonts w:ascii="Arial" w:hAnsi="Arial" w:cs="Arial"/>
          <w:sz w:val="20"/>
          <w:szCs w:val="20"/>
        </w:rPr>
        <w:t xml:space="preserve">also </w:t>
      </w:r>
      <w:r w:rsidR="002A136A">
        <w:rPr>
          <w:rFonts w:ascii="Arial" w:hAnsi="Arial" w:cs="Arial"/>
          <w:sz w:val="20"/>
          <w:szCs w:val="20"/>
        </w:rPr>
        <w:t xml:space="preserve">pay the full cost of the associated administration and </w:t>
      </w:r>
      <w:proofErr w:type="gramStart"/>
      <w:r w:rsidR="002A136A">
        <w:rPr>
          <w:rFonts w:ascii="Arial" w:hAnsi="Arial" w:cs="Arial"/>
          <w:sz w:val="20"/>
          <w:szCs w:val="20"/>
        </w:rPr>
        <w:t>enforcement</w:t>
      </w:r>
      <w:r w:rsidR="00F151DD">
        <w:rPr>
          <w:rFonts w:ascii="Arial" w:hAnsi="Arial" w:cs="Arial"/>
          <w:sz w:val="20"/>
          <w:szCs w:val="20"/>
        </w:rPr>
        <w:t>,</w:t>
      </w:r>
      <w:proofErr w:type="gramEnd"/>
      <w:r w:rsidR="00F151DD">
        <w:rPr>
          <w:rFonts w:ascii="Arial" w:hAnsi="Arial" w:cs="Arial"/>
          <w:sz w:val="20"/>
          <w:szCs w:val="20"/>
        </w:rPr>
        <w:t xml:space="preserve"> otherwise there will </w:t>
      </w:r>
      <w:r w:rsidR="008A7B12">
        <w:rPr>
          <w:rFonts w:ascii="Arial" w:hAnsi="Arial" w:cs="Arial"/>
          <w:sz w:val="20"/>
          <w:szCs w:val="20"/>
        </w:rPr>
        <w:t xml:space="preserve">be </w:t>
      </w:r>
      <w:r w:rsidR="00F151DD">
        <w:rPr>
          <w:rFonts w:ascii="Arial" w:hAnsi="Arial" w:cs="Arial"/>
          <w:sz w:val="20"/>
          <w:szCs w:val="20"/>
        </w:rPr>
        <w:t>cost transfer</w:t>
      </w:r>
      <w:r w:rsidR="008A7B12">
        <w:rPr>
          <w:rFonts w:ascii="Arial" w:hAnsi="Arial" w:cs="Arial"/>
          <w:sz w:val="20"/>
          <w:szCs w:val="20"/>
        </w:rPr>
        <w:t>s</w:t>
      </w:r>
      <w:r w:rsidR="00F151DD">
        <w:rPr>
          <w:rFonts w:ascii="Arial" w:hAnsi="Arial" w:cs="Arial"/>
          <w:sz w:val="20"/>
          <w:szCs w:val="20"/>
        </w:rPr>
        <w:t xml:space="preserve"> to other parties.</w:t>
      </w:r>
    </w:p>
    <w:p w:rsidR="0054240A" w:rsidRDefault="0054240A" w:rsidP="00E43867">
      <w:pPr>
        <w:rPr>
          <w:rFonts w:ascii="Arial" w:hAnsi="Arial" w:cs="Arial"/>
          <w:sz w:val="20"/>
          <w:szCs w:val="20"/>
        </w:rPr>
      </w:pPr>
    </w:p>
    <w:p w:rsidR="000D7ED1" w:rsidRDefault="00707255" w:rsidP="000D7ED1">
      <w:pPr>
        <w:rPr>
          <w:rFonts w:ascii="Arial" w:hAnsi="Arial" w:cs="Arial"/>
          <w:color w:val="000000" w:themeColor="text1"/>
          <w:sz w:val="20"/>
          <w:szCs w:val="20"/>
        </w:rPr>
      </w:pPr>
      <w:r>
        <w:rPr>
          <w:rFonts w:ascii="Arial" w:hAnsi="Arial" w:cs="Arial"/>
          <w:color w:val="000000" w:themeColor="text1"/>
          <w:sz w:val="20"/>
          <w:szCs w:val="20"/>
        </w:rPr>
        <w:t xml:space="preserve">The amendment of the </w:t>
      </w:r>
      <w:r w:rsidR="008A7B12">
        <w:rPr>
          <w:rFonts w:ascii="Arial" w:hAnsi="Arial" w:cs="Arial"/>
          <w:color w:val="000000" w:themeColor="text1"/>
          <w:sz w:val="20"/>
          <w:szCs w:val="20"/>
        </w:rPr>
        <w:t>Act</w:t>
      </w:r>
      <w:r>
        <w:rPr>
          <w:rFonts w:ascii="Arial" w:hAnsi="Arial" w:cs="Arial"/>
          <w:color w:val="000000" w:themeColor="text1"/>
          <w:sz w:val="20"/>
          <w:szCs w:val="20"/>
        </w:rPr>
        <w:t xml:space="preserve"> </w:t>
      </w:r>
      <w:r w:rsidR="008A7B12">
        <w:rPr>
          <w:rFonts w:ascii="Arial" w:hAnsi="Arial" w:cs="Arial"/>
          <w:color w:val="000000" w:themeColor="text1"/>
          <w:sz w:val="20"/>
          <w:szCs w:val="20"/>
        </w:rPr>
        <w:t xml:space="preserve">in </w:t>
      </w:r>
      <w:r>
        <w:rPr>
          <w:rFonts w:ascii="Arial" w:hAnsi="Arial" w:cs="Arial"/>
          <w:color w:val="000000" w:themeColor="text1"/>
          <w:sz w:val="20"/>
          <w:szCs w:val="20"/>
        </w:rPr>
        <w:t xml:space="preserve">2001 addressed </w:t>
      </w:r>
      <w:r w:rsidR="008A7B12">
        <w:rPr>
          <w:rFonts w:ascii="Arial" w:hAnsi="Arial" w:cs="Arial"/>
          <w:color w:val="000000" w:themeColor="text1"/>
          <w:sz w:val="20"/>
          <w:szCs w:val="20"/>
        </w:rPr>
        <w:t>a</w:t>
      </w:r>
      <w:r w:rsidR="00754BEC">
        <w:rPr>
          <w:rFonts w:ascii="Arial" w:hAnsi="Arial" w:cs="Arial"/>
          <w:color w:val="000000" w:themeColor="text1"/>
          <w:sz w:val="20"/>
          <w:szCs w:val="20"/>
        </w:rPr>
        <w:t xml:space="preserve"> market</w:t>
      </w:r>
      <w:r>
        <w:rPr>
          <w:rFonts w:ascii="Arial" w:hAnsi="Arial" w:cs="Arial"/>
          <w:color w:val="000000" w:themeColor="text1"/>
          <w:sz w:val="20"/>
          <w:szCs w:val="20"/>
        </w:rPr>
        <w:t xml:space="preserve"> desire for low volume vehicles</w:t>
      </w:r>
      <w:r w:rsidR="008A7B12">
        <w:rPr>
          <w:rFonts w:ascii="Arial" w:hAnsi="Arial" w:cs="Arial"/>
          <w:color w:val="000000" w:themeColor="text1"/>
          <w:sz w:val="20"/>
          <w:szCs w:val="20"/>
        </w:rPr>
        <w:t>,</w:t>
      </w:r>
      <w:r>
        <w:rPr>
          <w:rFonts w:ascii="Arial" w:hAnsi="Arial" w:cs="Arial"/>
          <w:color w:val="000000" w:themeColor="text1"/>
          <w:sz w:val="20"/>
          <w:szCs w:val="20"/>
        </w:rPr>
        <w:t xml:space="preserve"> through </w:t>
      </w:r>
      <w:r w:rsidR="00754BEC">
        <w:rPr>
          <w:rFonts w:ascii="Arial" w:hAnsi="Arial" w:cs="Arial"/>
          <w:color w:val="000000" w:themeColor="text1"/>
          <w:sz w:val="20"/>
          <w:szCs w:val="20"/>
        </w:rPr>
        <w:t xml:space="preserve">the </w:t>
      </w:r>
      <w:r>
        <w:rPr>
          <w:rFonts w:ascii="Arial" w:hAnsi="Arial" w:cs="Arial"/>
          <w:color w:val="000000" w:themeColor="text1"/>
          <w:sz w:val="20"/>
          <w:szCs w:val="20"/>
        </w:rPr>
        <w:t>creation of a new approval</w:t>
      </w:r>
      <w:r w:rsidR="008A7B12">
        <w:rPr>
          <w:rFonts w:ascii="Arial" w:hAnsi="Arial" w:cs="Arial"/>
          <w:color w:val="000000" w:themeColor="text1"/>
          <w:sz w:val="20"/>
          <w:szCs w:val="20"/>
        </w:rPr>
        <w:t>s</w:t>
      </w:r>
      <w:r>
        <w:rPr>
          <w:rFonts w:ascii="Arial" w:hAnsi="Arial" w:cs="Arial"/>
          <w:color w:val="000000" w:themeColor="text1"/>
          <w:sz w:val="20"/>
          <w:szCs w:val="20"/>
        </w:rPr>
        <w:t xml:space="preserve"> regime. The RAW scheme was updated to assist low volume manufacturers </w:t>
      </w:r>
      <w:r w:rsidR="008A7B12">
        <w:rPr>
          <w:rFonts w:ascii="Arial" w:hAnsi="Arial" w:cs="Arial"/>
          <w:color w:val="000000" w:themeColor="text1"/>
          <w:sz w:val="20"/>
          <w:szCs w:val="20"/>
        </w:rPr>
        <w:t>of</w:t>
      </w:r>
      <w:r>
        <w:rPr>
          <w:rFonts w:ascii="Arial" w:hAnsi="Arial" w:cs="Arial"/>
          <w:color w:val="000000" w:themeColor="text1"/>
          <w:sz w:val="20"/>
          <w:szCs w:val="20"/>
        </w:rPr>
        <w:t xml:space="preserve"> new vehicles to comply with the ADRs and compete in the </w:t>
      </w:r>
      <w:r w:rsidR="008A7B12">
        <w:rPr>
          <w:rFonts w:ascii="Arial" w:hAnsi="Arial" w:cs="Arial"/>
          <w:color w:val="000000" w:themeColor="text1"/>
          <w:sz w:val="20"/>
          <w:szCs w:val="20"/>
        </w:rPr>
        <w:t>domestic</w:t>
      </w:r>
      <w:r>
        <w:rPr>
          <w:rFonts w:ascii="Arial" w:hAnsi="Arial" w:cs="Arial"/>
          <w:color w:val="000000" w:themeColor="text1"/>
          <w:sz w:val="20"/>
          <w:szCs w:val="20"/>
        </w:rPr>
        <w:t xml:space="preserve"> market. The </w:t>
      </w:r>
      <w:r w:rsidR="008A7B12">
        <w:rPr>
          <w:rFonts w:ascii="Arial" w:hAnsi="Arial" w:cs="Arial"/>
          <w:color w:val="000000" w:themeColor="text1"/>
          <w:sz w:val="20"/>
          <w:szCs w:val="20"/>
        </w:rPr>
        <w:t>amended</w:t>
      </w:r>
      <w:r>
        <w:rPr>
          <w:rFonts w:ascii="Arial" w:hAnsi="Arial" w:cs="Arial"/>
          <w:color w:val="000000" w:themeColor="text1"/>
          <w:sz w:val="20"/>
          <w:szCs w:val="20"/>
        </w:rPr>
        <w:t xml:space="preserve"> approval regime provides more oversight and ADR compliance than the previous system. </w:t>
      </w:r>
      <w:r w:rsidR="00860480">
        <w:rPr>
          <w:rFonts w:ascii="Arial" w:hAnsi="Arial" w:cs="Arial"/>
          <w:color w:val="000000" w:themeColor="text1"/>
          <w:sz w:val="20"/>
          <w:szCs w:val="20"/>
        </w:rPr>
        <w:t xml:space="preserve">The regulation </w:t>
      </w:r>
      <w:r w:rsidR="008A7B12">
        <w:rPr>
          <w:rFonts w:ascii="Arial" w:hAnsi="Arial" w:cs="Arial"/>
          <w:color w:val="000000" w:themeColor="text1"/>
          <w:sz w:val="20"/>
          <w:szCs w:val="20"/>
        </w:rPr>
        <w:t xml:space="preserve">also </w:t>
      </w:r>
      <w:r w:rsidR="00860480">
        <w:rPr>
          <w:rFonts w:ascii="Arial" w:hAnsi="Arial" w:cs="Arial"/>
          <w:color w:val="000000" w:themeColor="text1"/>
          <w:sz w:val="20"/>
          <w:szCs w:val="20"/>
        </w:rPr>
        <w:t xml:space="preserve">provides </w:t>
      </w:r>
      <w:r w:rsidR="000D7ED1">
        <w:rPr>
          <w:rFonts w:ascii="Arial" w:hAnsi="Arial" w:cs="Arial"/>
          <w:color w:val="000000" w:themeColor="text1"/>
          <w:sz w:val="20"/>
          <w:szCs w:val="20"/>
        </w:rPr>
        <w:t xml:space="preserve">consumers with a network of services and spare parts, creating a </w:t>
      </w:r>
      <w:r w:rsidR="00860480">
        <w:rPr>
          <w:rFonts w:ascii="Arial" w:hAnsi="Arial" w:cs="Arial"/>
          <w:color w:val="000000" w:themeColor="text1"/>
          <w:sz w:val="20"/>
          <w:szCs w:val="20"/>
        </w:rPr>
        <w:t>responsible</w:t>
      </w:r>
      <w:r w:rsidR="000D7ED1">
        <w:rPr>
          <w:rFonts w:ascii="Arial" w:hAnsi="Arial" w:cs="Arial"/>
          <w:color w:val="000000" w:themeColor="text1"/>
          <w:sz w:val="20"/>
          <w:szCs w:val="20"/>
        </w:rPr>
        <w:t xml:space="preserve"> </w:t>
      </w:r>
      <w:r w:rsidR="00860480">
        <w:rPr>
          <w:rFonts w:ascii="Arial" w:hAnsi="Arial" w:cs="Arial"/>
          <w:color w:val="000000" w:themeColor="text1"/>
          <w:sz w:val="20"/>
          <w:szCs w:val="20"/>
        </w:rPr>
        <w:t>entity</w:t>
      </w:r>
      <w:r w:rsidR="000D7ED1">
        <w:rPr>
          <w:rFonts w:ascii="Arial" w:hAnsi="Arial" w:cs="Arial"/>
          <w:color w:val="000000" w:themeColor="text1"/>
          <w:sz w:val="20"/>
          <w:szCs w:val="20"/>
        </w:rPr>
        <w:t xml:space="preserve"> to conduct safety recalls and </w:t>
      </w:r>
      <w:r w:rsidR="00860480">
        <w:rPr>
          <w:rFonts w:ascii="Arial" w:hAnsi="Arial" w:cs="Arial"/>
          <w:color w:val="000000" w:themeColor="text1"/>
          <w:sz w:val="20"/>
          <w:szCs w:val="20"/>
        </w:rPr>
        <w:t>restrict</w:t>
      </w:r>
      <w:r w:rsidR="000D7ED1">
        <w:rPr>
          <w:rFonts w:ascii="Arial" w:hAnsi="Arial" w:cs="Arial"/>
          <w:color w:val="000000" w:themeColor="text1"/>
          <w:sz w:val="20"/>
          <w:szCs w:val="20"/>
        </w:rPr>
        <w:t xml:space="preserve"> the </w:t>
      </w:r>
      <w:r w:rsidR="00860480">
        <w:rPr>
          <w:rFonts w:ascii="Arial" w:hAnsi="Arial" w:cs="Arial"/>
          <w:color w:val="000000" w:themeColor="text1"/>
          <w:sz w:val="20"/>
          <w:szCs w:val="20"/>
        </w:rPr>
        <w:t>scheme</w:t>
      </w:r>
      <w:r w:rsidR="000D7ED1">
        <w:rPr>
          <w:rFonts w:ascii="Arial" w:hAnsi="Arial" w:cs="Arial"/>
          <w:color w:val="000000" w:themeColor="text1"/>
          <w:sz w:val="20"/>
          <w:szCs w:val="20"/>
        </w:rPr>
        <w:t xml:space="preserve"> to </w:t>
      </w:r>
      <w:r w:rsidR="00860480">
        <w:rPr>
          <w:rFonts w:ascii="Arial" w:hAnsi="Arial" w:cs="Arial"/>
          <w:color w:val="000000" w:themeColor="text1"/>
          <w:sz w:val="20"/>
          <w:szCs w:val="20"/>
        </w:rPr>
        <w:t>legitimate</w:t>
      </w:r>
      <w:r w:rsidR="000D7ED1">
        <w:rPr>
          <w:rFonts w:ascii="Arial" w:hAnsi="Arial" w:cs="Arial"/>
          <w:color w:val="000000" w:themeColor="text1"/>
          <w:sz w:val="20"/>
          <w:szCs w:val="20"/>
        </w:rPr>
        <w:t xml:space="preserve"> vehicle converters. </w:t>
      </w:r>
      <w:r w:rsidR="00860480">
        <w:rPr>
          <w:rFonts w:ascii="Arial" w:hAnsi="Arial" w:cs="Arial"/>
          <w:color w:val="000000" w:themeColor="text1"/>
          <w:sz w:val="20"/>
          <w:szCs w:val="20"/>
        </w:rPr>
        <w:t>The amendment also increased allowable volume</w:t>
      </w:r>
      <w:r w:rsidR="008A7B12">
        <w:rPr>
          <w:rFonts w:ascii="Arial" w:hAnsi="Arial" w:cs="Arial"/>
          <w:color w:val="000000" w:themeColor="text1"/>
          <w:sz w:val="20"/>
          <w:szCs w:val="20"/>
        </w:rPr>
        <w:t>s</w:t>
      </w:r>
      <w:r w:rsidR="00860480">
        <w:rPr>
          <w:rFonts w:ascii="Arial" w:hAnsi="Arial" w:cs="Arial"/>
          <w:color w:val="000000" w:themeColor="text1"/>
          <w:sz w:val="20"/>
          <w:szCs w:val="20"/>
        </w:rPr>
        <w:t xml:space="preserve"> of imported vehicles </w:t>
      </w:r>
      <w:r w:rsidR="008A7B12">
        <w:rPr>
          <w:rFonts w:ascii="Arial" w:hAnsi="Arial" w:cs="Arial"/>
          <w:color w:val="000000" w:themeColor="text1"/>
          <w:sz w:val="20"/>
          <w:szCs w:val="20"/>
        </w:rPr>
        <w:t xml:space="preserve">including both </w:t>
      </w:r>
      <w:r w:rsidR="00860480">
        <w:rPr>
          <w:rFonts w:ascii="Arial" w:hAnsi="Arial" w:cs="Arial"/>
          <w:color w:val="000000" w:themeColor="text1"/>
          <w:sz w:val="20"/>
          <w:szCs w:val="20"/>
        </w:rPr>
        <w:t xml:space="preserve">specialist and enthusiast vehicles. </w:t>
      </w:r>
    </w:p>
    <w:p w:rsidR="0036151D" w:rsidRDefault="0036151D" w:rsidP="000D7ED1">
      <w:pPr>
        <w:pStyle w:val="RecommendationStyle"/>
        <w:numPr>
          <w:ilvl w:val="0"/>
          <w:numId w:val="0"/>
        </w:numPr>
        <w:spacing w:before="0" w:after="0"/>
        <w:jc w:val="both"/>
        <w:rPr>
          <w:color w:val="000000" w:themeColor="text1"/>
        </w:rPr>
      </w:pPr>
    </w:p>
    <w:p w:rsidR="000D7ED1" w:rsidRDefault="002F7D2A" w:rsidP="000D7ED1">
      <w:pPr>
        <w:rPr>
          <w:rFonts w:ascii="Arial" w:hAnsi="Arial" w:cs="Arial"/>
          <w:color w:val="000000" w:themeColor="text1"/>
          <w:sz w:val="20"/>
          <w:szCs w:val="20"/>
        </w:rPr>
      </w:pPr>
      <w:r w:rsidRPr="00F470A7">
        <w:rPr>
          <w:rFonts w:ascii="Arial" w:hAnsi="Arial" w:cs="Arial"/>
          <w:color w:val="000000" w:themeColor="text1"/>
          <w:sz w:val="20"/>
          <w:szCs w:val="20"/>
        </w:rPr>
        <w:t xml:space="preserve">However, </w:t>
      </w:r>
      <w:r w:rsidR="00717559" w:rsidRPr="00F470A7">
        <w:rPr>
          <w:rFonts w:ascii="Arial" w:hAnsi="Arial" w:cs="Arial"/>
          <w:color w:val="000000" w:themeColor="text1"/>
          <w:sz w:val="20"/>
          <w:szCs w:val="20"/>
        </w:rPr>
        <w:t xml:space="preserve">the </w:t>
      </w:r>
      <w:r w:rsidR="00F470A7">
        <w:rPr>
          <w:rFonts w:ascii="Arial" w:hAnsi="Arial" w:cs="Arial"/>
          <w:color w:val="000000" w:themeColor="text1"/>
          <w:sz w:val="20"/>
          <w:szCs w:val="20"/>
        </w:rPr>
        <w:t xml:space="preserve">RAW’s </w:t>
      </w:r>
      <w:r w:rsidR="00717559" w:rsidRPr="00F470A7">
        <w:rPr>
          <w:rFonts w:ascii="Arial" w:hAnsi="Arial" w:cs="Arial"/>
          <w:color w:val="000000" w:themeColor="text1"/>
          <w:sz w:val="20"/>
          <w:szCs w:val="20"/>
        </w:rPr>
        <w:t>scheme</w:t>
      </w:r>
      <w:r w:rsidR="00F470A7">
        <w:rPr>
          <w:rFonts w:ascii="Arial" w:hAnsi="Arial" w:cs="Arial"/>
          <w:color w:val="000000" w:themeColor="text1"/>
          <w:sz w:val="20"/>
          <w:szCs w:val="20"/>
        </w:rPr>
        <w:t>s</w:t>
      </w:r>
      <w:r w:rsidRPr="00F470A7">
        <w:rPr>
          <w:rFonts w:ascii="Arial" w:hAnsi="Arial" w:cs="Arial"/>
          <w:color w:val="000000" w:themeColor="text1"/>
          <w:sz w:val="20"/>
          <w:szCs w:val="20"/>
        </w:rPr>
        <w:t xml:space="preserve"> is</w:t>
      </w:r>
      <w:r>
        <w:rPr>
          <w:rFonts w:ascii="Arial" w:hAnsi="Arial" w:cs="Arial"/>
          <w:color w:val="000000" w:themeColor="text1"/>
          <w:sz w:val="20"/>
          <w:szCs w:val="20"/>
        </w:rPr>
        <w:t xml:space="preserve"> also </w:t>
      </w:r>
      <w:r w:rsidR="00624B75">
        <w:rPr>
          <w:rFonts w:ascii="Arial" w:hAnsi="Arial" w:cs="Arial"/>
          <w:color w:val="000000" w:themeColor="text1"/>
          <w:sz w:val="20"/>
          <w:szCs w:val="20"/>
        </w:rPr>
        <w:t>labour</w:t>
      </w:r>
      <w:r>
        <w:rPr>
          <w:rFonts w:ascii="Arial" w:hAnsi="Arial" w:cs="Arial"/>
          <w:color w:val="000000" w:themeColor="text1"/>
          <w:sz w:val="20"/>
          <w:szCs w:val="20"/>
        </w:rPr>
        <w:t xml:space="preserve"> intensive </w:t>
      </w:r>
      <w:r w:rsidR="00624B75">
        <w:rPr>
          <w:rFonts w:ascii="Arial" w:hAnsi="Arial" w:cs="Arial"/>
          <w:color w:val="000000" w:themeColor="text1"/>
          <w:sz w:val="20"/>
          <w:szCs w:val="20"/>
        </w:rPr>
        <w:t>for</w:t>
      </w:r>
      <w:r>
        <w:rPr>
          <w:rFonts w:ascii="Arial" w:hAnsi="Arial" w:cs="Arial"/>
          <w:color w:val="000000" w:themeColor="text1"/>
          <w:sz w:val="20"/>
          <w:szCs w:val="20"/>
        </w:rPr>
        <w:t xml:space="preserve"> current staffing</w:t>
      </w:r>
      <w:r w:rsidR="00624B75">
        <w:rPr>
          <w:rFonts w:ascii="Arial" w:hAnsi="Arial" w:cs="Arial"/>
          <w:color w:val="000000" w:themeColor="text1"/>
          <w:sz w:val="20"/>
          <w:szCs w:val="20"/>
        </w:rPr>
        <w:t xml:space="preserve"> levels</w:t>
      </w:r>
      <w:r>
        <w:rPr>
          <w:rFonts w:ascii="Arial" w:hAnsi="Arial" w:cs="Arial"/>
          <w:color w:val="000000" w:themeColor="text1"/>
          <w:sz w:val="20"/>
          <w:szCs w:val="20"/>
        </w:rPr>
        <w:t xml:space="preserve"> in the Departmen</w:t>
      </w:r>
      <w:r w:rsidR="00717559">
        <w:rPr>
          <w:rFonts w:ascii="Arial" w:hAnsi="Arial" w:cs="Arial"/>
          <w:color w:val="000000" w:themeColor="text1"/>
          <w:sz w:val="20"/>
          <w:szCs w:val="20"/>
        </w:rPr>
        <w:t>t, this has resulted in main</w:t>
      </w:r>
      <w:r>
        <w:rPr>
          <w:rFonts w:ascii="Arial" w:hAnsi="Arial" w:cs="Arial"/>
          <w:color w:val="000000" w:themeColor="text1"/>
          <w:sz w:val="20"/>
          <w:szCs w:val="20"/>
        </w:rPr>
        <w:t xml:space="preserve">stream industries, such as the heavy vehicle industry, desperate to see ADR of interest to them updated and </w:t>
      </w:r>
      <w:r w:rsidR="00717559">
        <w:rPr>
          <w:rFonts w:ascii="Arial" w:hAnsi="Arial" w:cs="Arial"/>
          <w:color w:val="000000" w:themeColor="text1"/>
          <w:sz w:val="20"/>
          <w:szCs w:val="20"/>
        </w:rPr>
        <w:t>the</w:t>
      </w:r>
      <w:r>
        <w:rPr>
          <w:rFonts w:ascii="Arial" w:hAnsi="Arial" w:cs="Arial"/>
          <w:color w:val="000000" w:themeColor="text1"/>
          <w:sz w:val="20"/>
          <w:szCs w:val="20"/>
        </w:rPr>
        <w:t xml:space="preserve"> backlog of issues resolved. Simply put, more </w:t>
      </w:r>
      <w:r w:rsidR="00B64312">
        <w:rPr>
          <w:rFonts w:ascii="Arial" w:hAnsi="Arial" w:cs="Arial"/>
          <w:color w:val="000000" w:themeColor="text1"/>
          <w:sz w:val="20"/>
          <w:szCs w:val="20"/>
        </w:rPr>
        <w:t>timely services for mainstream industry</w:t>
      </w:r>
      <w:r w:rsidR="00717559">
        <w:rPr>
          <w:rFonts w:ascii="Arial" w:hAnsi="Arial" w:cs="Arial"/>
          <w:color w:val="000000" w:themeColor="text1"/>
          <w:sz w:val="20"/>
          <w:szCs w:val="20"/>
        </w:rPr>
        <w:t>,</w:t>
      </w:r>
      <w:r w:rsidR="00B64312">
        <w:rPr>
          <w:rFonts w:ascii="Arial" w:hAnsi="Arial" w:cs="Arial"/>
          <w:color w:val="000000" w:themeColor="text1"/>
          <w:sz w:val="20"/>
          <w:szCs w:val="20"/>
        </w:rPr>
        <w:t xml:space="preserve"> and therefore attention to </w:t>
      </w:r>
      <w:r w:rsidR="00717559">
        <w:rPr>
          <w:rFonts w:ascii="Arial" w:hAnsi="Arial" w:cs="Arial"/>
          <w:color w:val="000000" w:themeColor="text1"/>
          <w:sz w:val="20"/>
          <w:szCs w:val="20"/>
        </w:rPr>
        <w:t xml:space="preserve">the Act’s </w:t>
      </w:r>
      <w:r>
        <w:rPr>
          <w:rFonts w:ascii="Arial" w:hAnsi="Arial" w:cs="Arial"/>
          <w:color w:val="000000" w:themeColor="text1"/>
          <w:sz w:val="20"/>
          <w:szCs w:val="20"/>
        </w:rPr>
        <w:t>core safety objective</w:t>
      </w:r>
      <w:r w:rsidR="00B64312">
        <w:rPr>
          <w:rFonts w:ascii="Arial" w:hAnsi="Arial" w:cs="Arial"/>
          <w:color w:val="000000" w:themeColor="text1"/>
          <w:sz w:val="20"/>
          <w:szCs w:val="20"/>
        </w:rPr>
        <w:t>s,</w:t>
      </w:r>
      <w:r w:rsidR="00717559">
        <w:rPr>
          <w:rFonts w:ascii="Arial" w:hAnsi="Arial" w:cs="Arial"/>
          <w:color w:val="000000" w:themeColor="text1"/>
          <w:sz w:val="20"/>
          <w:szCs w:val="20"/>
        </w:rPr>
        <w:t xml:space="preserve"> could be achieved if second-hand</w:t>
      </w:r>
      <w:r>
        <w:rPr>
          <w:rFonts w:ascii="Arial" w:hAnsi="Arial" w:cs="Arial"/>
          <w:color w:val="000000" w:themeColor="text1"/>
          <w:sz w:val="20"/>
          <w:szCs w:val="20"/>
        </w:rPr>
        <w:t xml:space="preserve"> </w:t>
      </w:r>
      <w:r w:rsidR="00B64312">
        <w:rPr>
          <w:rFonts w:ascii="Arial" w:hAnsi="Arial" w:cs="Arial"/>
          <w:color w:val="000000" w:themeColor="text1"/>
          <w:sz w:val="20"/>
          <w:szCs w:val="20"/>
        </w:rPr>
        <w:t xml:space="preserve">vehicle importers supplying vehicles to satisfy enthusiasts, </w:t>
      </w:r>
      <w:r>
        <w:rPr>
          <w:rFonts w:ascii="Arial" w:hAnsi="Arial" w:cs="Arial"/>
          <w:color w:val="000000" w:themeColor="text1"/>
          <w:sz w:val="20"/>
          <w:szCs w:val="20"/>
        </w:rPr>
        <w:t xml:space="preserve">pay </w:t>
      </w:r>
      <w:r w:rsidR="00717559">
        <w:rPr>
          <w:rFonts w:ascii="Arial" w:hAnsi="Arial" w:cs="Arial"/>
          <w:color w:val="000000" w:themeColor="text1"/>
          <w:sz w:val="20"/>
          <w:szCs w:val="20"/>
        </w:rPr>
        <w:t xml:space="preserve">fees that match </w:t>
      </w:r>
      <w:r>
        <w:rPr>
          <w:rFonts w:ascii="Arial" w:hAnsi="Arial" w:cs="Arial"/>
          <w:color w:val="000000" w:themeColor="text1"/>
          <w:sz w:val="20"/>
          <w:szCs w:val="20"/>
        </w:rPr>
        <w:t xml:space="preserve">full cost recovery under </w:t>
      </w:r>
      <w:r w:rsidR="00B64312">
        <w:rPr>
          <w:rFonts w:ascii="Arial" w:hAnsi="Arial" w:cs="Arial"/>
          <w:color w:val="000000" w:themeColor="text1"/>
          <w:sz w:val="20"/>
          <w:szCs w:val="20"/>
        </w:rPr>
        <w:t>the</w:t>
      </w:r>
      <w:r>
        <w:rPr>
          <w:rFonts w:ascii="Arial" w:hAnsi="Arial" w:cs="Arial"/>
          <w:color w:val="000000" w:themeColor="text1"/>
          <w:sz w:val="20"/>
          <w:szCs w:val="20"/>
        </w:rPr>
        <w:t xml:space="preserve"> MVSA. </w:t>
      </w:r>
    </w:p>
    <w:p w:rsidR="000D7ED1" w:rsidRDefault="000D7ED1" w:rsidP="000D7ED1">
      <w:pPr>
        <w:rPr>
          <w:rFonts w:ascii="Arial" w:hAnsi="Arial" w:cs="Arial"/>
          <w:color w:val="000000" w:themeColor="text1"/>
          <w:sz w:val="20"/>
          <w:szCs w:val="20"/>
        </w:rPr>
      </w:pPr>
    </w:p>
    <w:bookmarkEnd w:id="6"/>
    <w:p w:rsidR="00F151DD" w:rsidRPr="008F1963" w:rsidRDefault="00F151DD" w:rsidP="00F151DD">
      <w:pPr>
        <w:rPr>
          <w:rStyle w:val="Emphasis"/>
          <w:b/>
        </w:rPr>
      </w:pPr>
      <w:r w:rsidRPr="008F1963">
        <w:rPr>
          <w:rStyle w:val="Emphasis"/>
          <w:b/>
        </w:rPr>
        <w:t xml:space="preserve">Recommendation </w:t>
      </w:r>
      <w:r w:rsidR="00D830B9" w:rsidRPr="008F1963">
        <w:rPr>
          <w:rStyle w:val="Emphasis"/>
          <w:b/>
        </w:rPr>
        <w:t>5</w:t>
      </w:r>
      <w:r w:rsidRPr="008F1963">
        <w:rPr>
          <w:rStyle w:val="Emphasis"/>
          <w:b/>
        </w:rPr>
        <w:t xml:space="preserve"> </w:t>
      </w:r>
    </w:p>
    <w:p w:rsidR="00F151DD" w:rsidRPr="008F1963" w:rsidRDefault="00F151DD" w:rsidP="00F151DD">
      <w:pPr>
        <w:rPr>
          <w:rFonts w:ascii="Arial" w:hAnsi="Arial" w:cs="Arial"/>
          <w:b/>
          <w:sz w:val="20"/>
          <w:szCs w:val="20"/>
        </w:rPr>
      </w:pPr>
      <w:r w:rsidRPr="008F1963">
        <w:rPr>
          <w:rFonts w:ascii="Arial" w:hAnsi="Arial" w:cs="Arial"/>
          <w:b/>
          <w:sz w:val="20"/>
          <w:szCs w:val="20"/>
        </w:rPr>
        <w:t>The MVSA is about setting minimum safety standards</w:t>
      </w:r>
      <w:r w:rsidR="00582D39">
        <w:rPr>
          <w:rFonts w:ascii="Arial" w:hAnsi="Arial" w:cs="Arial"/>
          <w:b/>
          <w:sz w:val="20"/>
          <w:szCs w:val="20"/>
        </w:rPr>
        <w:t>. W</w:t>
      </w:r>
      <w:r w:rsidRPr="008F1963">
        <w:rPr>
          <w:rFonts w:ascii="Arial" w:hAnsi="Arial" w:cs="Arial"/>
          <w:b/>
          <w:sz w:val="20"/>
          <w:szCs w:val="20"/>
        </w:rPr>
        <w:t xml:space="preserve">hile alternative entry paths may be desirable for </w:t>
      </w:r>
      <w:r w:rsidR="004B23B8">
        <w:rPr>
          <w:rFonts w:ascii="Arial" w:hAnsi="Arial" w:cs="Arial"/>
          <w:b/>
          <w:sz w:val="20"/>
          <w:szCs w:val="20"/>
        </w:rPr>
        <w:t xml:space="preserve">motor vehicle </w:t>
      </w:r>
      <w:r w:rsidRPr="008F1963">
        <w:rPr>
          <w:rFonts w:ascii="Arial" w:hAnsi="Arial" w:cs="Arial"/>
          <w:b/>
          <w:sz w:val="20"/>
          <w:szCs w:val="20"/>
        </w:rPr>
        <w:t xml:space="preserve">enthusiasts, similar standards to </w:t>
      </w:r>
      <w:r w:rsidR="004B23B8">
        <w:rPr>
          <w:rFonts w:ascii="Arial" w:hAnsi="Arial" w:cs="Arial"/>
          <w:b/>
          <w:sz w:val="20"/>
          <w:szCs w:val="20"/>
        </w:rPr>
        <w:t>those</w:t>
      </w:r>
      <w:r w:rsidRPr="008F1963">
        <w:rPr>
          <w:rFonts w:ascii="Arial" w:hAnsi="Arial" w:cs="Arial"/>
          <w:b/>
          <w:sz w:val="20"/>
          <w:szCs w:val="20"/>
        </w:rPr>
        <w:t xml:space="preserve"> </w:t>
      </w:r>
      <w:r w:rsidR="004B23B8">
        <w:rPr>
          <w:rFonts w:ascii="Arial" w:hAnsi="Arial" w:cs="Arial"/>
          <w:b/>
          <w:sz w:val="20"/>
          <w:szCs w:val="20"/>
        </w:rPr>
        <w:t>achieved</w:t>
      </w:r>
      <w:r w:rsidRPr="008F1963">
        <w:rPr>
          <w:rFonts w:ascii="Arial" w:hAnsi="Arial" w:cs="Arial"/>
          <w:b/>
          <w:sz w:val="20"/>
          <w:szCs w:val="20"/>
        </w:rPr>
        <w:t xml:space="preserve"> by the mainstream fleet must be maintained, and </w:t>
      </w:r>
      <w:r w:rsidR="004B23B8">
        <w:rPr>
          <w:rFonts w:ascii="Arial" w:hAnsi="Arial" w:cs="Arial"/>
          <w:b/>
          <w:sz w:val="20"/>
          <w:szCs w:val="20"/>
        </w:rPr>
        <w:t>importing</w:t>
      </w:r>
      <w:r w:rsidRPr="008F1963">
        <w:rPr>
          <w:rFonts w:ascii="Arial" w:hAnsi="Arial" w:cs="Arial"/>
          <w:b/>
          <w:sz w:val="20"/>
          <w:szCs w:val="20"/>
        </w:rPr>
        <w:t xml:space="preserve"> parties should </w:t>
      </w:r>
      <w:r w:rsidR="004B23B8">
        <w:rPr>
          <w:rFonts w:ascii="Arial" w:hAnsi="Arial" w:cs="Arial"/>
          <w:b/>
          <w:sz w:val="20"/>
          <w:szCs w:val="20"/>
        </w:rPr>
        <w:t>meet</w:t>
      </w:r>
      <w:r w:rsidRPr="008F1963">
        <w:rPr>
          <w:rFonts w:ascii="Arial" w:hAnsi="Arial" w:cs="Arial"/>
          <w:b/>
          <w:sz w:val="20"/>
          <w:szCs w:val="20"/>
        </w:rPr>
        <w:t xml:space="preserve"> full cost recovery for </w:t>
      </w:r>
      <w:r w:rsidR="004B23B8">
        <w:rPr>
          <w:rFonts w:ascii="Arial" w:hAnsi="Arial" w:cs="Arial"/>
          <w:b/>
          <w:sz w:val="20"/>
          <w:szCs w:val="20"/>
        </w:rPr>
        <w:t>related</w:t>
      </w:r>
      <w:r w:rsidRPr="008F1963">
        <w:rPr>
          <w:rFonts w:ascii="Arial" w:hAnsi="Arial" w:cs="Arial"/>
          <w:b/>
          <w:sz w:val="20"/>
          <w:szCs w:val="20"/>
        </w:rPr>
        <w:t xml:space="preserve"> administrative services from the Department. Further, the </w:t>
      </w:r>
      <w:r w:rsidR="004B23B8">
        <w:rPr>
          <w:rFonts w:ascii="Arial" w:hAnsi="Arial" w:cs="Arial"/>
          <w:b/>
          <w:sz w:val="20"/>
          <w:szCs w:val="20"/>
        </w:rPr>
        <w:t xml:space="preserve">Act’s </w:t>
      </w:r>
      <w:r w:rsidRPr="008F1963">
        <w:rPr>
          <w:rFonts w:ascii="Arial" w:hAnsi="Arial" w:cs="Arial"/>
          <w:b/>
          <w:sz w:val="20"/>
          <w:szCs w:val="20"/>
        </w:rPr>
        <w:t xml:space="preserve">safety objectives must not be pushed aside for </w:t>
      </w:r>
      <w:r w:rsidR="00B01B5C" w:rsidRPr="008F1963">
        <w:rPr>
          <w:rFonts w:ascii="Arial" w:hAnsi="Arial" w:cs="Arial"/>
          <w:b/>
          <w:sz w:val="20"/>
          <w:szCs w:val="20"/>
        </w:rPr>
        <w:t>consumer choice</w:t>
      </w:r>
      <w:r w:rsidR="004B23B8">
        <w:rPr>
          <w:rFonts w:ascii="Arial" w:hAnsi="Arial" w:cs="Arial"/>
          <w:b/>
          <w:sz w:val="20"/>
          <w:szCs w:val="20"/>
        </w:rPr>
        <w:t xml:space="preserve"> alone</w:t>
      </w:r>
      <w:r w:rsidR="00B01B5C" w:rsidRPr="008F1963">
        <w:rPr>
          <w:rFonts w:ascii="Arial" w:hAnsi="Arial" w:cs="Arial"/>
          <w:b/>
          <w:sz w:val="20"/>
          <w:szCs w:val="20"/>
        </w:rPr>
        <w:t xml:space="preserve">. </w:t>
      </w:r>
      <w:r w:rsidR="00D830B9" w:rsidRPr="008F1963">
        <w:rPr>
          <w:rFonts w:ascii="Arial" w:hAnsi="Arial" w:cs="Arial"/>
          <w:b/>
          <w:sz w:val="20"/>
          <w:szCs w:val="20"/>
        </w:rPr>
        <w:t xml:space="preserve">This includes in-service modifications, which </w:t>
      </w:r>
      <w:r w:rsidR="004B23B8">
        <w:rPr>
          <w:rFonts w:ascii="Arial" w:hAnsi="Arial" w:cs="Arial"/>
          <w:b/>
          <w:sz w:val="20"/>
          <w:szCs w:val="20"/>
        </w:rPr>
        <w:t xml:space="preserve">are </w:t>
      </w:r>
      <w:r w:rsidR="00D830B9" w:rsidRPr="008F1963">
        <w:rPr>
          <w:rFonts w:ascii="Arial" w:hAnsi="Arial" w:cs="Arial"/>
          <w:b/>
          <w:sz w:val="20"/>
          <w:szCs w:val="20"/>
        </w:rPr>
        <w:t xml:space="preserve">the domain of the NHVR and states and territories </w:t>
      </w:r>
      <w:r w:rsidR="004B23B8">
        <w:rPr>
          <w:rFonts w:ascii="Arial" w:hAnsi="Arial" w:cs="Arial"/>
          <w:b/>
          <w:sz w:val="20"/>
          <w:szCs w:val="20"/>
        </w:rPr>
        <w:t>but</w:t>
      </w:r>
      <w:r w:rsidR="00D830B9" w:rsidRPr="008F1963">
        <w:rPr>
          <w:rFonts w:ascii="Arial" w:hAnsi="Arial" w:cs="Arial"/>
          <w:b/>
          <w:sz w:val="20"/>
          <w:szCs w:val="20"/>
        </w:rPr>
        <w:t xml:space="preserve"> worthy of mention.</w:t>
      </w:r>
    </w:p>
    <w:p w:rsidR="00F151DD" w:rsidRDefault="00F151DD" w:rsidP="00F151DD">
      <w:pPr>
        <w:rPr>
          <w:rFonts w:ascii="Arial" w:hAnsi="Arial" w:cs="Arial"/>
          <w:sz w:val="20"/>
          <w:szCs w:val="20"/>
        </w:rPr>
      </w:pPr>
    </w:p>
    <w:p w:rsidR="00F151DD" w:rsidRDefault="00F151DD" w:rsidP="00F151DD">
      <w:pPr>
        <w:rPr>
          <w:rFonts w:ascii="Arial" w:hAnsi="Arial" w:cs="Arial"/>
          <w:sz w:val="20"/>
          <w:szCs w:val="20"/>
        </w:rPr>
      </w:pPr>
      <w:r>
        <w:rPr>
          <w:rFonts w:ascii="Arial" w:hAnsi="Arial" w:cs="Arial"/>
          <w:sz w:val="20"/>
          <w:szCs w:val="20"/>
        </w:rPr>
        <w:t xml:space="preserve">An emerging issue is the treatment of imported off-road </w:t>
      </w:r>
      <w:r w:rsidRPr="0054240A">
        <w:rPr>
          <w:rFonts w:ascii="Arial" w:hAnsi="Arial" w:cs="Arial"/>
          <w:sz w:val="20"/>
          <w:szCs w:val="20"/>
        </w:rPr>
        <w:t>use motorbikes and quad bikes</w:t>
      </w:r>
      <w:r w:rsidR="004B23B8">
        <w:rPr>
          <w:rFonts w:ascii="Arial" w:hAnsi="Arial" w:cs="Arial"/>
          <w:sz w:val="20"/>
          <w:szCs w:val="20"/>
        </w:rPr>
        <w:t xml:space="preserve"> (ATV)</w:t>
      </w:r>
      <w:r>
        <w:rPr>
          <w:rFonts w:ascii="Arial" w:hAnsi="Arial" w:cs="Arial"/>
          <w:sz w:val="20"/>
          <w:szCs w:val="20"/>
        </w:rPr>
        <w:t xml:space="preserve">. The increase in fatalities for these types of vehicles </w:t>
      </w:r>
      <w:r w:rsidR="004B23B8">
        <w:rPr>
          <w:rFonts w:ascii="Arial" w:hAnsi="Arial" w:cs="Arial"/>
          <w:sz w:val="20"/>
          <w:szCs w:val="20"/>
        </w:rPr>
        <w:t xml:space="preserve">when </w:t>
      </w:r>
      <w:r>
        <w:rPr>
          <w:rFonts w:ascii="Arial" w:hAnsi="Arial" w:cs="Arial"/>
          <w:sz w:val="20"/>
          <w:szCs w:val="20"/>
        </w:rPr>
        <w:t xml:space="preserve">in off highway use indicates </w:t>
      </w:r>
      <w:r w:rsidR="004B23B8">
        <w:rPr>
          <w:rFonts w:ascii="Arial" w:hAnsi="Arial" w:cs="Arial"/>
          <w:sz w:val="20"/>
          <w:szCs w:val="20"/>
        </w:rPr>
        <w:t>that</w:t>
      </w:r>
      <w:r>
        <w:rPr>
          <w:rFonts w:ascii="Arial" w:hAnsi="Arial" w:cs="Arial"/>
          <w:sz w:val="20"/>
          <w:szCs w:val="20"/>
        </w:rPr>
        <w:t xml:space="preserve"> current safety requirements and </w:t>
      </w:r>
      <w:r w:rsidR="004B23B8">
        <w:rPr>
          <w:rFonts w:ascii="Arial" w:hAnsi="Arial" w:cs="Arial"/>
          <w:sz w:val="20"/>
          <w:szCs w:val="20"/>
        </w:rPr>
        <w:t xml:space="preserve">user </w:t>
      </w:r>
      <w:r>
        <w:rPr>
          <w:rFonts w:ascii="Arial" w:hAnsi="Arial" w:cs="Arial"/>
          <w:sz w:val="20"/>
          <w:szCs w:val="20"/>
        </w:rPr>
        <w:t xml:space="preserve">practice </w:t>
      </w:r>
      <w:r w:rsidR="004B23B8">
        <w:rPr>
          <w:rFonts w:ascii="Arial" w:hAnsi="Arial" w:cs="Arial"/>
          <w:sz w:val="20"/>
          <w:szCs w:val="20"/>
        </w:rPr>
        <w:t>may be</w:t>
      </w:r>
      <w:r>
        <w:rPr>
          <w:rFonts w:ascii="Arial" w:hAnsi="Arial" w:cs="Arial"/>
          <w:sz w:val="20"/>
          <w:szCs w:val="20"/>
        </w:rPr>
        <w:t xml:space="preserve"> lacking. Seeking to apply ADR to all terrain vehicles is challenging</w:t>
      </w:r>
      <w:r w:rsidR="004B23B8">
        <w:rPr>
          <w:rFonts w:ascii="Arial" w:hAnsi="Arial" w:cs="Arial"/>
          <w:sz w:val="20"/>
          <w:szCs w:val="20"/>
        </w:rPr>
        <w:t>. If</w:t>
      </w:r>
      <w:r>
        <w:rPr>
          <w:rFonts w:ascii="Arial" w:hAnsi="Arial" w:cs="Arial"/>
          <w:sz w:val="20"/>
          <w:szCs w:val="20"/>
        </w:rPr>
        <w:t xml:space="preserve"> made ADR</w:t>
      </w:r>
      <w:r w:rsidR="004B23B8">
        <w:rPr>
          <w:rFonts w:ascii="Arial" w:hAnsi="Arial" w:cs="Arial"/>
          <w:sz w:val="20"/>
          <w:szCs w:val="20"/>
        </w:rPr>
        <w:t>-</w:t>
      </w:r>
      <w:r>
        <w:rPr>
          <w:rFonts w:ascii="Arial" w:hAnsi="Arial" w:cs="Arial"/>
          <w:sz w:val="20"/>
          <w:szCs w:val="20"/>
        </w:rPr>
        <w:t xml:space="preserve">compliant </w:t>
      </w:r>
      <w:r w:rsidR="004B23B8">
        <w:rPr>
          <w:rFonts w:ascii="Arial" w:hAnsi="Arial" w:cs="Arial"/>
          <w:sz w:val="20"/>
          <w:szCs w:val="20"/>
        </w:rPr>
        <w:t>such</w:t>
      </w:r>
      <w:r>
        <w:rPr>
          <w:rFonts w:ascii="Arial" w:hAnsi="Arial" w:cs="Arial"/>
          <w:sz w:val="20"/>
          <w:szCs w:val="20"/>
        </w:rPr>
        <w:t xml:space="preserve"> </w:t>
      </w:r>
      <w:r w:rsidR="004B23B8">
        <w:rPr>
          <w:rFonts w:ascii="Arial" w:hAnsi="Arial" w:cs="Arial"/>
          <w:sz w:val="20"/>
          <w:szCs w:val="20"/>
        </w:rPr>
        <w:t xml:space="preserve">vehicles </w:t>
      </w:r>
      <w:r>
        <w:rPr>
          <w:rFonts w:ascii="Arial" w:hAnsi="Arial" w:cs="Arial"/>
          <w:sz w:val="20"/>
          <w:szCs w:val="20"/>
        </w:rPr>
        <w:t xml:space="preserve">would be suitable for on-road use </w:t>
      </w:r>
      <w:r w:rsidR="004B23B8">
        <w:rPr>
          <w:rFonts w:ascii="Arial" w:hAnsi="Arial" w:cs="Arial"/>
          <w:sz w:val="20"/>
          <w:szCs w:val="20"/>
        </w:rPr>
        <w:t>- a</w:t>
      </w:r>
      <w:r>
        <w:rPr>
          <w:rFonts w:ascii="Arial" w:hAnsi="Arial" w:cs="Arial"/>
          <w:sz w:val="20"/>
          <w:szCs w:val="20"/>
        </w:rPr>
        <w:t xml:space="preserve"> very undesirable outcome. It may be better to set minimum safety standards via</w:t>
      </w:r>
      <w:r w:rsidR="004B23B8">
        <w:rPr>
          <w:rFonts w:ascii="Arial" w:hAnsi="Arial" w:cs="Arial"/>
          <w:sz w:val="20"/>
          <w:szCs w:val="20"/>
        </w:rPr>
        <w:t xml:space="preserve"> other</w:t>
      </w:r>
      <w:r>
        <w:rPr>
          <w:rFonts w:ascii="Arial" w:hAnsi="Arial" w:cs="Arial"/>
          <w:sz w:val="20"/>
          <w:szCs w:val="20"/>
        </w:rPr>
        <w:t xml:space="preserve"> rules that clearly </w:t>
      </w:r>
      <w:r w:rsidR="004B23B8">
        <w:rPr>
          <w:rFonts w:ascii="Arial" w:hAnsi="Arial" w:cs="Arial"/>
          <w:sz w:val="20"/>
          <w:szCs w:val="20"/>
        </w:rPr>
        <w:t>dis</w:t>
      </w:r>
      <w:r>
        <w:rPr>
          <w:rFonts w:ascii="Arial" w:hAnsi="Arial" w:cs="Arial"/>
          <w:sz w:val="20"/>
          <w:szCs w:val="20"/>
        </w:rPr>
        <w:t xml:space="preserve">allow on-road use. Consideration should be given to where such regulations would </w:t>
      </w:r>
      <w:r w:rsidR="004B23B8">
        <w:rPr>
          <w:rFonts w:ascii="Arial" w:hAnsi="Arial" w:cs="Arial"/>
          <w:sz w:val="20"/>
          <w:szCs w:val="20"/>
        </w:rPr>
        <w:t>rest, e.g.</w:t>
      </w:r>
      <w:r>
        <w:rPr>
          <w:rFonts w:ascii="Arial" w:hAnsi="Arial" w:cs="Arial"/>
          <w:sz w:val="20"/>
          <w:szCs w:val="20"/>
        </w:rPr>
        <w:t xml:space="preserve"> in consumer law, </w:t>
      </w:r>
      <w:r w:rsidR="004B23B8">
        <w:rPr>
          <w:rFonts w:ascii="Arial" w:hAnsi="Arial" w:cs="Arial"/>
          <w:sz w:val="20"/>
          <w:szCs w:val="20"/>
        </w:rPr>
        <w:t xml:space="preserve">in </w:t>
      </w:r>
      <w:r>
        <w:rPr>
          <w:rFonts w:ascii="Arial" w:hAnsi="Arial" w:cs="Arial"/>
          <w:sz w:val="20"/>
          <w:szCs w:val="20"/>
        </w:rPr>
        <w:t>MVSA or another legislative framework.</w:t>
      </w:r>
    </w:p>
    <w:p w:rsidR="00F74A6D" w:rsidRPr="00B01B5C" w:rsidRDefault="00F74A6D" w:rsidP="00CA5EBF">
      <w:pPr>
        <w:rPr>
          <w:rFonts w:ascii="Arial" w:hAnsi="Arial" w:cs="Arial"/>
          <w:i/>
          <w:color w:val="000000" w:themeColor="text1"/>
          <w:sz w:val="20"/>
          <w:szCs w:val="20"/>
        </w:rPr>
      </w:pPr>
    </w:p>
    <w:p w:rsidR="002F0939" w:rsidRPr="008F1963" w:rsidRDefault="00B01B5C" w:rsidP="00CA5EBF">
      <w:pPr>
        <w:rPr>
          <w:rFonts w:ascii="Arial" w:hAnsi="Arial" w:cs="Arial"/>
          <w:b/>
          <w:i/>
          <w:color w:val="000000" w:themeColor="text1"/>
          <w:sz w:val="20"/>
          <w:szCs w:val="20"/>
        </w:rPr>
      </w:pPr>
      <w:r w:rsidRPr="008F1963">
        <w:rPr>
          <w:rFonts w:ascii="Arial" w:hAnsi="Arial" w:cs="Arial"/>
          <w:b/>
          <w:i/>
          <w:color w:val="000000" w:themeColor="text1"/>
          <w:sz w:val="20"/>
          <w:szCs w:val="20"/>
        </w:rPr>
        <w:t xml:space="preserve">Recommendation </w:t>
      </w:r>
      <w:r w:rsidR="00D830B9" w:rsidRPr="008F1963">
        <w:rPr>
          <w:rFonts w:ascii="Arial" w:hAnsi="Arial" w:cs="Arial"/>
          <w:b/>
          <w:i/>
          <w:color w:val="000000" w:themeColor="text1"/>
          <w:sz w:val="20"/>
          <w:szCs w:val="20"/>
        </w:rPr>
        <w:t>6</w:t>
      </w:r>
      <w:r w:rsidRPr="008F1963">
        <w:rPr>
          <w:rFonts w:ascii="Arial" w:hAnsi="Arial" w:cs="Arial"/>
          <w:b/>
          <w:i/>
          <w:color w:val="000000" w:themeColor="text1"/>
          <w:sz w:val="20"/>
          <w:szCs w:val="20"/>
        </w:rPr>
        <w:t xml:space="preserve"> </w:t>
      </w:r>
    </w:p>
    <w:p w:rsidR="00A65139" w:rsidRPr="008F1963" w:rsidRDefault="004B23B8" w:rsidP="00CA5EBF">
      <w:pPr>
        <w:rPr>
          <w:rFonts w:ascii="Arial" w:hAnsi="Arial" w:cs="Arial"/>
          <w:b/>
          <w:color w:val="000000" w:themeColor="text1"/>
          <w:sz w:val="20"/>
          <w:szCs w:val="20"/>
        </w:rPr>
      </w:pPr>
      <w:r>
        <w:rPr>
          <w:rFonts w:ascii="Arial" w:hAnsi="Arial" w:cs="Arial"/>
          <w:b/>
          <w:color w:val="000000" w:themeColor="text1"/>
          <w:sz w:val="20"/>
          <w:szCs w:val="20"/>
        </w:rPr>
        <w:t>Off-</w:t>
      </w:r>
      <w:r w:rsidR="00B01B5C" w:rsidRPr="008F1963">
        <w:rPr>
          <w:rFonts w:ascii="Arial" w:hAnsi="Arial" w:cs="Arial"/>
          <w:b/>
          <w:color w:val="000000" w:themeColor="text1"/>
          <w:sz w:val="20"/>
          <w:szCs w:val="20"/>
        </w:rPr>
        <w:t xml:space="preserve">road vehicles may require safety regulations but </w:t>
      </w:r>
      <w:r>
        <w:rPr>
          <w:rFonts w:ascii="Arial" w:hAnsi="Arial" w:cs="Arial"/>
          <w:b/>
          <w:color w:val="000000" w:themeColor="text1"/>
          <w:sz w:val="20"/>
          <w:szCs w:val="20"/>
        </w:rPr>
        <w:t>these</w:t>
      </w:r>
      <w:r w:rsidR="00B01B5C" w:rsidRPr="008F1963">
        <w:rPr>
          <w:rFonts w:ascii="Arial" w:hAnsi="Arial" w:cs="Arial"/>
          <w:b/>
          <w:color w:val="000000" w:themeColor="text1"/>
          <w:sz w:val="20"/>
          <w:szCs w:val="20"/>
        </w:rPr>
        <w:t xml:space="preserve"> should be addressed in </w:t>
      </w:r>
      <w:r>
        <w:rPr>
          <w:rFonts w:ascii="Arial" w:hAnsi="Arial" w:cs="Arial"/>
          <w:b/>
          <w:color w:val="000000" w:themeColor="text1"/>
          <w:sz w:val="20"/>
          <w:szCs w:val="20"/>
        </w:rPr>
        <w:t>other</w:t>
      </w:r>
      <w:r w:rsidR="00B01B5C" w:rsidRPr="008F1963">
        <w:rPr>
          <w:rFonts w:ascii="Arial" w:hAnsi="Arial" w:cs="Arial"/>
          <w:b/>
          <w:color w:val="000000" w:themeColor="text1"/>
          <w:sz w:val="20"/>
          <w:szCs w:val="20"/>
        </w:rPr>
        <w:t xml:space="preserve"> legislation so </w:t>
      </w:r>
      <w:r w:rsidR="00392F21">
        <w:rPr>
          <w:rFonts w:ascii="Arial" w:hAnsi="Arial" w:cs="Arial"/>
          <w:b/>
          <w:color w:val="000000" w:themeColor="text1"/>
          <w:sz w:val="20"/>
          <w:szCs w:val="20"/>
        </w:rPr>
        <w:t>that</w:t>
      </w:r>
      <w:r w:rsidR="00B01B5C" w:rsidRPr="008F1963">
        <w:rPr>
          <w:rFonts w:ascii="Arial" w:hAnsi="Arial" w:cs="Arial"/>
          <w:b/>
          <w:color w:val="000000" w:themeColor="text1"/>
          <w:sz w:val="20"/>
          <w:szCs w:val="20"/>
        </w:rPr>
        <w:t xml:space="preserve"> safety</w:t>
      </w:r>
      <w:r w:rsidR="00392F21">
        <w:rPr>
          <w:rFonts w:ascii="Arial" w:hAnsi="Arial" w:cs="Arial"/>
          <w:b/>
          <w:color w:val="000000" w:themeColor="text1"/>
          <w:sz w:val="20"/>
          <w:szCs w:val="20"/>
        </w:rPr>
        <w:t xml:space="preserve"> objectives in </w:t>
      </w:r>
      <w:r w:rsidR="00B01B5C" w:rsidRPr="008F1963">
        <w:rPr>
          <w:rFonts w:ascii="Arial" w:hAnsi="Arial" w:cs="Arial"/>
          <w:b/>
          <w:color w:val="000000" w:themeColor="text1"/>
          <w:sz w:val="20"/>
          <w:szCs w:val="20"/>
        </w:rPr>
        <w:t xml:space="preserve">the </w:t>
      </w:r>
      <w:r>
        <w:rPr>
          <w:rFonts w:ascii="Arial" w:hAnsi="Arial" w:cs="Arial"/>
          <w:b/>
          <w:color w:val="000000" w:themeColor="text1"/>
          <w:sz w:val="20"/>
          <w:szCs w:val="20"/>
        </w:rPr>
        <w:t xml:space="preserve">Act as well </w:t>
      </w:r>
      <w:r w:rsidR="00392F21">
        <w:rPr>
          <w:rFonts w:ascii="Arial" w:hAnsi="Arial" w:cs="Arial"/>
          <w:b/>
          <w:color w:val="000000" w:themeColor="text1"/>
          <w:sz w:val="20"/>
          <w:szCs w:val="20"/>
        </w:rPr>
        <w:t>as</w:t>
      </w:r>
      <w:r>
        <w:rPr>
          <w:rFonts w:ascii="Arial" w:hAnsi="Arial" w:cs="Arial"/>
          <w:b/>
          <w:color w:val="000000" w:themeColor="text1"/>
          <w:sz w:val="20"/>
          <w:szCs w:val="20"/>
        </w:rPr>
        <w:t xml:space="preserve"> </w:t>
      </w:r>
      <w:r w:rsidR="00B01B5C" w:rsidRPr="008F1963">
        <w:rPr>
          <w:rFonts w:ascii="Arial" w:hAnsi="Arial" w:cs="Arial"/>
          <w:b/>
          <w:color w:val="000000" w:themeColor="text1"/>
          <w:sz w:val="20"/>
          <w:szCs w:val="20"/>
        </w:rPr>
        <w:t>mainst</w:t>
      </w:r>
      <w:r w:rsidR="00392F21">
        <w:rPr>
          <w:rFonts w:ascii="Arial" w:hAnsi="Arial" w:cs="Arial"/>
          <w:b/>
          <w:color w:val="000000" w:themeColor="text1"/>
          <w:sz w:val="20"/>
          <w:szCs w:val="20"/>
        </w:rPr>
        <w:t xml:space="preserve">ream traffic flows in Australia </w:t>
      </w:r>
      <w:r w:rsidR="00B01B5C" w:rsidRPr="008F1963">
        <w:rPr>
          <w:rFonts w:ascii="Arial" w:hAnsi="Arial" w:cs="Arial"/>
          <w:b/>
          <w:color w:val="000000" w:themeColor="text1"/>
          <w:sz w:val="20"/>
          <w:szCs w:val="20"/>
        </w:rPr>
        <w:t xml:space="preserve">are not compromised in any way. </w:t>
      </w:r>
    </w:p>
    <w:sectPr w:rsidR="00A65139" w:rsidRPr="008F1963" w:rsidSect="00A9141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F8D" w:rsidRDefault="003A6F8D" w:rsidP="000F3D9F">
      <w:r>
        <w:separator/>
      </w:r>
    </w:p>
  </w:endnote>
  <w:endnote w:type="continuationSeparator" w:id="0">
    <w:p w:rsidR="003A6F8D" w:rsidRDefault="003A6F8D" w:rsidP="000F3D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Pr="0062031D" w:rsidRDefault="003A6F8D"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3A6F8D" w:rsidRPr="0062031D" w:rsidRDefault="003A6F8D"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3A6F8D" w:rsidRPr="0062031D" w:rsidRDefault="003A6F8D"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3A6F8D" w:rsidRPr="00E8056B" w:rsidRDefault="003A6F8D" w:rsidP="0062031D">
    <w:pPr>
      <w:ind w:right="-426"/>
      <w:jc w:val="right"/>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5A5AE9">
    <w:pPr>
      <w:pStyle w:val="Footer"/>
      <w:jc w:val="right"/>
    </w:pPr>
    <w:fldSimple w:instr=" PAGE   \* MERGEFORMAT ">
      <w:r w:rsidR="003A6F8D">
        <w:rPr>
          <w:noProof/>
        </w:rPr>
        <w:t>7</w:t>
      </w:r>
    </w:fldSimple>
  </w:p>
  <w:p w:rsidR="003A6F8D" w:rsidRDefault="003A6F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3A6F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3A6F8D" w:rsidRPr="00A91411" w:rsidTr="00D735FF">
      <w:trPr>
        <w:trHeight w:val="278"/>
      </w:trPr>
      <w:tc>
        <w:tcPr>
          <w:tcW w:w="4927" w:type="dxa"/>
          <w:vAlign w:val="center"/>
        </w:tcPr>
        <w:p w:rsidR="003A6F8D" w:rsidRPr="00A91411" w:rsidRDefault="003A6F8D" w:rsidP="004B23B8">
          <w:pPr>
            <w:pStyle w:val="Footer"/>
            <w:rPr>
              <w:rFonts w:ascii="Arial" w:hAnsi="Arial" w:cs="Arial"/>
              <w:sz w:val="14"/>
              <w:szCs w:val="14"/>
            </w:rPr>
          </w:pPr>
          <w:r>
            <w:rPr>
              <w:rFonts w:ascii="Arial" w:hAnsi="Arial" w:cs="Arial"/>
              <w:sz w:val="14"/>
              <w:szCs w:val="14"/>
            </w:rPr>
            <w:t xml:space="preserve">ATA </w:t>
          </w:r>
          <w:r w:rsidRPr="00A91411">
            <w:rPr>
              <w:rFonts w:ascii="Arial" w:hAnsi="Arial" w:cs="Arial"/>
              <w:sz w:val="14"/>
              <w:szCs w:val="14"/>
            </w:rPr>
            <w:t>Submission</w:t>
          </w:r>
          <w:r>
            <w:rPr>
              <w:rFonts w:ascii="Arial" w:hAnsi="Arial" w:cs="Arial"/>
              <w:sz w:val="14"/>
              <w:szCs w:val="14"/>
            </w:rPr>
            <w:t>:</w:t>
          </w:r>
          <w:r w:rsidRPr="00693D92">
            <w:rPr>
              <w:rFonts w:ascii="Arial" w:hAnsi="Arial" w:cs="Arial"/>
              <w:sz w:val="14"/>
              <w:szCs w:val="14"/>
            </w:rPr>
            <w:t xml:space="preserve">  </w:t>
          </w:r>
          <w:r w:rsidRPr="008F1963">
            <w:rPr>
              <w:rFonts w:ascii="Arial" w:hAnsi="Arial" w:cs="Arial"/>
              <w:sz w:val="14"/>
              <w:szCs w:val="14"/>
            </w:rPr>
            <w:t>Department of Infrastructure and Transport</w:t>
          </w:r>
          <w:r>
            <w:rPr>
              <w:rFonts w:ascii="Arial" w:hAnsi="Arial" w:cs="Arial"/>
              <w:sz w:val="14"/>
              <w:szCs w:val="14"/>
            </w:rPr>
            <w:t xml:space="preserve">: </w:t>
          </w:r>
          <w:r w:rsidRPr="008F1963">
            <w:rPr>
              <w:rFonts w:ascii="Arial" w:hAnsi="Arial" w:cs="Arial"/>
              <w:sz w:val="14"/>
              <w:szCs w:val="14"/>
            </w:rPr>
            <w:t xml:space="preserve">Consultation paper on the </w:t>
          </w:r>
          <w:r w:rsidRPr="004B23B8">
            <w:rPr>
              <w:rFonts w:ascii="Arial" w:hAnsi="Arial" w:cs="Arial"/>
              <w:i/>
              <w:sz w:val="14"/>
              <w:szCs w:val="14"/>
            </w:rPr>
            <w:t>Motor Vehicle Standards Act 1989</w:t>
          </w:r>
        </w:p>
      </w:tc>
      <w:tc>
        <w:tcPr>
          <w:tcW w:w="4927" w:type="dxa"/>
          <w:vAlign w:val="center"/>
        </w:tcPr>
        <w:p w:rsidR="003A6F8D" w:rsidRPr="00A91411" w:rsidRDefault="003A6F8D" w:rsidP="00D735FF">
          <w:pPr>
            <w:pStyle w:val="Footer"/>
            <w:jc w:val="right"/>
            <w:rPr>
              <w:rFonts w:ascii="Arial" w:hAnsi="Arial" w:cs="Arial"/>
              <w:sz w:val="14"/>
              <w:szCs w:val="14"/>
            </w:rPr>
          </w:pPr>
          <w:r w:rsidRPr="00A91411">
            <w:rPr>
              <w:rFonts w:ascii="Arial" w:hAnsi="Arial" w:cs="Arial"/>
              <w:sz w:val="14"/>
              <w:szCs w:val="14"/>
            </w:rPr>
            <w:t xml:space="preserve">Page </w:t>
          </w:r>
          <w:r w:rsidR="005A5AE9"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5A5AE9" w:rsidRPr="00A91411">
            <w:rPr>
              <w:rFonts w:ascii="Arial" w:hAnsi="Arial" w:cs="Arial"/>
              <w:sz w:val="14"/>
              <w:szCs w:val="14"/>
            </w:rPr>
            <w:fldChar w:fldCharType="separate"/>
          </w:r>
          <w:r w:rsidR="00F470A7">
            <w:rPr>
              <w:rFonts w:ascii="Arial" w:hAnsi="Arial" w:cs="Arial"/>
              <w:noProof/>
              <w:sz w:val="14"/>
              <w:szCs w:val="14"/>
            </w:rPr>
            <w:t>2</w:t>
          </w:r>
          <w:r w:rsidR="005A5AE9" w:rsidRPr="00A91411">
            <w:rPr>
              <w:rFonts w:ascii="Arial" w:hAnsi="Arial" w:cs="Arial"/>
              <w:sz w:val="14"/>
              <w:szCs w:val="14"/>
            </w:rPr>
            <w:fldChar w:fldCharType="end"/>
          </w:r>
        </w:p>
      </w:tc>
    </w:tr>
  </w:tbl>
  <w:p w:rsidR="003A6F8D" w:rsidRPr="00A91411" w:rsidRDefault="003A6F8D">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3A6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F8D" w:rsidRDefault="003A6F8D" w:rsidP="000F3D9F">
      <w:r>
        <w:separator/>
      </w:r>
    </w:p>
  </w:footnote>
  <w:footnote w:type="continuationSeparator" w:id="0">
    <w:p w:rsidR="003A6F8D" w:rsidRDefault="003A6F8D" w:rsidP="000F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Pr="00E8056B" w:rsidRDefault="003A6F8D"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3A6F8D" w:rsidRDefault="003A6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5A5AE9">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50"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Pr="0062031D" w:rsidRDefault="003A6F8D"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3A6F8D" w:rsidRPr="0062031D" w:rsidRDefault="003A6F8D" w:rsidP="0062031D">
    <w:pPr>
      <w:pStyle w:val="Header"/>
      <w:rPr>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F8D" w:rsidRDefault="005A5AE9">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49"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5D554ED9"/>
    <w:multiLevelType w:val="multilevel"/>
    <w:tmpl w:val="652E1C90"/>
    <w:lvl w:ilvl="0">
      <w:start w:val="1"/>
      <w:numFmt w:val="decimal"/>
      <w:pStyle w:val="Heading1"/>
      <w:lvlText w:val="%1."/>
      <w:lvlJc w:val="left"/>
      <w:pPr>
        <w:ind w:left="360"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6AB91A83"/>
    <w:multiLevelType w:val="multilevel"/>
    <w:tmpl w:val="6FFA432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0"/>
  </w:num>
  <w:num w:numId="5">
    <w:abstractNumId w:val="1"/>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1627A"/>
    <w:rsid w:val="0000159D"/>
    <w:rsid w:val="00004DB4"/>
    <w:rsid w:val="00005E0D"/>
    <w:rsid w:val="000118F7"/>
    <w:rsid w:val="00011D52"/>
    <w:rsid w:val="000156D1"/>
    <w:rsid w:val="00020F50"/>
    <w:rsid w:val="00023B28"/>
    <w:rsid w:val="000347E3"/>
    <w:rsid w:val="00035CFC"/>
    <w:rsid w:val="0004076B"/>
    <w:rsid w:val="00040876"/>
    <w:rsid w:val="00040D26"/>
    <w:rsid w:val="0004192B"/>
    <w:rsid w:val="000425DE"/>
    <w:rsid w:val="00043430"/>
    <w:rsid w:val="00043AF0"/>
    <w:rsid w:val="00044533"/>
    <w:rsid w:val="00046042"/>
    <w:rsid w:val="00050881"/>
    <w:rsid w:val="00052E9C"/>
    <w:rsid w:val="000614BF"/>
    <w:rsid w:val="0006283B"/>
    <w:rsid w:val="0007542B"/>
    <w:rsid w:val="00075E7B"/>
    <w:rsid w:val="00076C90"/>
    <w:rsid w:val="00077967"/>
    <w:rsid w:val="00083C15"/>
    <w:rsid w:val="000848A1"/>
    <w:rsid w:val="000868C6"/>
    <w:rsid w:val="000875E7"/>
    <w:rsid w:val="00095C3B"/>
    <w:rsid w:val="000963BE"/>
    <w:rsid w:val="000A151F"/>
    <w:rsid w:val="000A2BCF"/>
    <w:rsid w:val="000A2C7F"/>
    <w:rsid w:val="000A3F4E"/>
    <w:rsid w:val="000A4EB0"/>
    <w:rsid w:val="000A62F7"/>
    <w:rsid w:val="000B069A"/>
    <w:rsid w:val="000B351D"/>
    <w:rsid w:val="000B4161"/>
    <w:rsid w:val="000B4942"/>
    <w:rsid w:val="000B6D2A"/>
    <w:rsid w:val="000B773A"/>
    <w:rsid w:val="000B7D23"/>
    <w:rsid w:val="000C01AC"/>
    <w:rsid w:val="000C0C35"/>
    <w:rsid w:val="000C15B7"/>
    <w:rsid w:val="000C310A"/>
    <w:rsid w:val="000C58B5"/>
    <w:rsid w:val="000C594D"/>
    <w:rsid w:val="000D0FE5"/>
    <w:rsid w:val="000D274C"/>
    <w:rsid w:val="000D528B"/>
    <w:rsid w:val="000D589E"/>
    <w:rsid w:val="000D6381"/>
    <w:rsid w:val="000D7ED1"/>
    <w:rsid w:val="000E408F"/>
    <w:rsid w:val="000E67CA"/>
    <w:rsid w:val="000E7B14"/>
    <w:rsid w:val="000F080E"/>
    <w:rsid w:val="000F0F7B"/>
    <w:rsid w:val="000F30FF"/>
    <w:rsid w:val="000F3D9F"/>
    <w:rsid w:val="000F53C2"/>
    <w:rsid w:val="000F566E"/>
    <w:rsid w:val="000F7F6F"/>
    <w:rsid w:val="00100ED4"/>
    <w:rsid w:val="001019C0"/>
    <w:rsid w:val="001025C9"/>
    <w:rsid w:val="00110610"/>
    <w:rsid w:val="001137DF"/>
    <w:rsid w:val="001202C1"/>
    <w:rsid w:val="00121A53"/>
    <w:rsid w:val="00121A86"/>
    <w:rsid w:val="00125795"/>
    <w:rsid w:val="0013041A"/>
    <w:rsid w:val="001368EB"/>
    <w:rsid w:val="00137113"/>
    <w:rsid w:val="0013765E"/>
    <w:rsid w:val="00141274"/>
    <w:rsid w:val="0014437E"/>
    <w:rsid w:val="00145022"/>
    <w:rsid w:val="001463C2"/>
    <w:rsid w:val="0014683D"/>
    <w:rsid w:val="00150065"/>
    <w:rsid w:val="0015168F"/>
    <w:rsid w:val="00151950"/>
    <w:rsid w:val="00151F88"/>
    <w:rsid w:val="00152A71"/>
    <w:rsid w:val="001533EC"/>
    <w:rsid w:val="00155B97"/>
    <w:rsid w:val="00156060"/>
    <w:rsid w:val="00160FE3"/>
    <w:rsid w:val="001611AB"/>
    <w:rsid w:val="00164A4D"/>
    <w:rsid w:val="00170107"/>
    <w:rsid w:val="00170FC2"/>
    <w:rsid w:val="001727E8"/>
    <w:rsid w:val="001811B8"/>
    <w:rsid w:val="0018136A"/>
    <w:rsid w:val="001817F5"/>
    <w:rsid w:val="00184A28"/>
    <w:rsid w:val="001943BE"/>
    <w:rsid w:val="0019542E"/>
    <w:rsid w:val="001A024F"/>
    <w:rsid w:val="001A0DC3"/>
    <w:rsid w:val="001A33CC"/>
    <w:rsid w:val="001A5FE2"/>
    <w:rsid w:val="001A6510"/>
    <w:rsid w:val="001A7BF4"/>
    <w:rsid w:val="001B3E52"/>
    <w:rsid w:val="001B46F6"/>
    <w:rsid w:val="001B5564"/>
    <w:rsid w:val="001B6B29"/>
    <w:rsid w:val="001B7B44"/>
    <w:rsid w:val="001C121B"/>
    <w:rsid w:val="001C125D"/>
    <w:rsid w:val="001C13A5"/>
    <w:rsid w:val="001C150C"/>
    <w:rsid w:val="001C3659"/>
    <w:rsid w:val="001D038B"/>
    <w:rsid w:val="001D1836"/>
    <w:rsid w:val="001D50C7"/>
    <w:rsid w:val="001D77A8"/>
    <w:rsid w:val="001D7817"/>
    <w:rsid w:val="001E0A75"/>
    <w:rsid w:val="001E1665"/>
    <w:rsid w:val="001E232E"/>
    <w:rsid w:val="001E3126"/>
    <w:rsid w:val="001F187C"/>
    <w:rsid w:val="001F2FD4"/>
    <w:rsid w:val="001F32AB"/>
    <w:rsid w:val="001F5A9B"/>
    <w:rsid w:val="001F5BCB"/>
    <w:rsid w:val="001F5CDF"/>
    <w:rsid w:val="00202A6B"/>
    <w:rsid w:val="002041FF"/>
    <w:rsid w:val="0020791B"/>
    <w:rsid w:val="0021180A"/>
    <w:rsid w:val="00212465"/>
    <w:rsid w:val="00212936"/>
    <w:rsid w:val="00213C59"/>
    <w:rsid w:val="002158C8"/>
    <w:rsid w:val="00216CE6"/>
    <w:rsid w:val="00225056"/>
    <w:rsid w:val="00230DFC"/>
    <w:rsid w:val="002317DA"/>
    <w:rsid w:val="002327F8"/>
    <w:rsid w:val="00240467"/>
    <w:rsid w:val="00241C15"/>
    <w:rsid w:val="00243126"/>
    <w:rsid w:val="00244543"/>
    <w:rsid w:val="002502EF"/>
    <w:rsid w:val="00250E06"/>
    <w:rsid w:val="00252BD7"/>
    <w:rsid w:val="0025356A"/>
    <w:rsid w:val="00253E0B"/>
    <w:rsid w:val="002543DF"/>
    <w:rsid w:val="00262C0A"/>
    <w:rsid w:val="0026620C"/>
    <w:rsid w:val="00266915"/>
    <w:rsid w:val="00267830"/>
    <w:rsid w:val="00277F32"/>
    <w:rsid w:val="002819AA"/>
    <w:rsid w:val="00286DB5"/>
    <w:rsid w:val="002875B7"/>
    <w:rsid w:val="00294E3C"/>
    <w:rsid w:val="002958CF"/>
    <w:rsid w:val="00295968"/>
    <w:rsid w:val="00296633"/>
    <w:rsid w:val="002966F8"/>
    <w:rsid w:val="002A010F"/>
    <w:rsid w:val="002A136A"/>
    <w:rsid w:val="002A237B"/>
    <w:rsid w:val="002A43F0"/>
    <w:rsid w:val="002A4859"/>
    <w:rsid w:val="002B1F61"/>
    <w:rsid w:val="002B2136"/>
    <w:rsid w:val="002B24A2"/>
    <w:rsid w:val="002B381D"/>
    <w:rsid w:val="002B3AEF"/>
    <w:rsid w:val="002B618E"/>
    <w:rsid w:val="002B6CC2"/>
    <w:rsid w:val="002B7863"/>
    <w:rsid w:val="002C1799"/>
    <w:rsid w:val="002C7D3E"/>
    <w:rsid w:val="002C7FF6"/>
    <w:rsid w:val="002D592D"/>
    <w:rsid w:val="002D5D45"/>
    <w:rsid w:val="002D7C76"/>
    <w:rsid w:val="002D7FDB"/>
    <w:rsid w:val="002E06E3"/>
    <w:rsid w:val="002E453E"/>
    <w:rsid w:val="002E4E20"/>
    <w:rsid w:val="002E5D82"/>
    <w:rsid w:val="002E782F"/>
    <w:rsid w:val="002E7897"/>
    <w:rsid w:val="002E7F28"/>
    <w:rsid w:val="002F0939"/>
    <w:rsid w:val="002F0EBE"/>
    <w:rsid w:val="002F2F65"/>
    <w:rsid w:val="002F42BE"/>
    <w:rsid w:val="002F6212"/>
    <w:rsid w:val="002F632C"/>
    <w:rsid w:val="002F7D2A"/>
    <w:rsid w:val="003016C4"/>
    <w:rsid w:val="00303296"/>
    <w:rsid w:val="00306FBF"/>
    <w:rsid w:val="00307AF8"/>
    <w:rsid w:val="00310166"/>
    <w:rsid w:val="0031301A"/>
    <w:rsid w:val="003168CE"/>
    <w:rsid w:val="00320AFE"/>
    <w:rsid w:val="00320F07"/>
    <w:rsid w:val="00321A43"/>
    <w:rsid w:val="0032308F"/>
    <w:rsid w:val="0032571D"/>
    <w:rsid w:val="00325A6C"/>
    <w:rsid w:val="003340FB"/>
    <w:rsid w:val="00334926"/>
    <w:rsid w:val="00336760"/>
    <w:rsid w:val="00341FEC"/>
    <w:rsid w:val="00342826"/>
    <w:rsid w:val="0034321B"/>
    <w:rsid w:val="00352490"/>
    <w:rsid w:val="003533CA"/>
    <w:rsid w:val="00354394"/>
    <w:rsid w:val="0035493A"/>
    <w:rsid w:val="00360759"/>
    <w:rsid w:val="0036151D"/>
    <w:rsid w:val="00367AA3"/>
    <w:rsid w:val="00372153"/>
    <w:rsid w:val="00374216"/>
    <w:rsid w:val="00380E64"/>
    <w:rsid w:val="00384772"/>
    <w:rsid w:val="0039063B"/>
    <w:rsid w:val="003911E4"/>
    <w:rsid w:val="00392F21"/>
    <w:rsid w:val="003958D9"/>
    <w:rsid w:val="003A2034"/>
    <w:rsid w:val="003A269C"/>
    <w:rsid w:val="003A447E"/>
    <w:rsid w:val="003A4703"/>
    <w:rsid w:val="003A6F8D"/>
    <w:rsid w:val="003B0AAE"/>
    <w:rsid w:val="003B0E35"/>
    <w:rsid w:val="003B1937"/>
    <w:rsid w:val="003B2A16"/>
    <w:rsid w:val="003B6150"/>
    <w:rsid w:val="003B74E4"/>
    <w:rsid w:val="003C03EB"/>
    <w:rsid w:val="003C0A77"/>
    <w:rsid w:val="003C2311"/>
    <w:rsid w:val="003D4283"/>
    <w:rsid w:val="003D6FA8"/>
    <w:rsid w:val="003E022B"/>
    <w:rsid w:val="003E269D"/>
    <w:rsid w:val="003E2B20"/>
    <w:rsid w:val="003F1027"/>
    <w:rsid w:val="003F6CA9"/>
    <w:rsid w:val="004008C7"/>
    <w:rsid w:val="004011BA"/>
    <w:rsid w:val="00403823"/>
    <w:rsid w:val="00403AB5"/>
    <w:rsid w:val="00404731"/>
    <w:rsid w:val="004053D4"/>
    <w:rsid w:val="004115B6"/>
    <w:rsid w:val="00413868"/>
    <w:rsid w:val="00413F6B"/>
    <w:rsid w:val="00415126"/>
    <w:rsid w:val="004164B0"/>
    <w:rsid w:val="00417A6F"/>
    <w:rsid w:val="004205EF"/>
    <w:rsid w:val="00421306"/>
    <w:rsid w:val="00422BB7"/>
    <w:rsid w:val="00423CCC"/>
    <w:rsid w:val="00424D3E"/>
    <w:rsid w:val="0042557B"/>
    <w:rsid w:val="004318DC"/>
    <w:rsid w:val="004353C2"/>
    <w:rsid w:val="00440231"/>
    <w:rsid w:val="00440F44"/>
    <w:rsid w:val="0044265D"/>
    <w:rsid w:val="004456CC"/>
    <w:rsid w:val="00445CDC"/>
    <w:rsid w:val="00450702"/>
    <w:rsid w:val="00450FF8"/>
    <w:rsid w:val="004533ED"/>
    <w:rsid w:val="004552A2"/>
    <w:rsid w:val="00456D91"/>
    <w:rsid w:val="00461C8E"/>
    <w:rsid w:val="004640D1"/>
    <w:rsid w:val="0047036B"/>
    <w:rsid w:val="00470721"/>
    <w:rsid w:val="00472115"/>
    <w:rsid w:val="00475C39"/>
    <w:rsid w:val="004803E5"/>
    <w:rsid w:val="00482A22"/>
    <w:rsid w:val="00484068"/>
    <w:rsid w:val="00487F0F"/>
    <w:rsid w:val="0049414B"/>
    <w:rsid w:val="004977DE"/>
    <w:rsid w:val="004A2F6F"/>
    <w:rsid w:val="004B10F5"/>
    <w:rsid w:val="004B23B8"/>
    <w:rsid w:val="004B26EB"/>
    <w:rsid w:val="004B50BC"/>
    <w:rsid w:val="004B6187"/>
    <w:rsid w:val="004B7FFA"/>
    <w:rsid w:val="004C0182"/>
    <w:rsid w:val="004C21BB"/>
    <w:rsid w:val="004C2EB3"/>
    <w:rsid w:val="004C3CC3"/>
    <w:rsid w:val="004C4418"/>
    <w:rsid w:val="004C625A"/>
    <w:rsid w:val="004C697F"/>
    <w:rsid w:val="004D43D2"/>
    <w:rsid w:val="004D652E"/>
    <w:rsid w:val="004E0CAD"/>
    <w:rsid w:val="004E1EBB"/>
    <w:rsid w:val="004E3959"/>
    <w:rsid w:val="004E5EA3"/>
    <w:rsid w:val="004E7F7D"/>
    <w:rsid w:val="004F0DFD"/>
    <w:rsid w:val="004F112A"/>
    <w:rsid w:val="004F1B89"/>
    <w:rsid w:val="004F3B07"/>
    <w:rsid w:val="004F42DC"/>
    <w:rsid w:val="0050428E"/>
    <w:rsid w:val="00510952"/>
    <w:rsid w:val="005223FD"/>
    <w:rsid w:val="00525303"/>
    <w:rsid w:val="00527304"/>
    <w:rsid w:val="0053137B"/>
    <w:rsid w:val="00532BFB"/>
    <w:rsid w:val="005365E0"/>
    <w:rsid w:val="005377C3"/>
    <w:rsid w:val="0054240A"/>
    <w:rsid w:val="00542479"/>
    <w:rsid w:val="00544362"/>
    <w:rsid w:val="00550256"/>
    <w:rsid w:val="00557D15"/>
    <w:rsid w:val="00560034"/>
    <w:rsid w:val="0056179B"/>
    <w:rsid w:val="0056448B"/>
    <w:rsid w:val="00565F92"/>
    <w:rsid w:val="00571E75"/>
    <w:rsid w:val="00573408"/>
    <w:rsid w:val="00576ED0"/>
    <w:rsid w:val="00576F0D"/>
    <w:rsid w:val="00580BDF"/>
    <w:rsid w:val="00582D39"/>
    <w:rsid w:val="00583EC7"/>
    <w:rsid w:val="00586C72"/>
    <w:rsid w:val="00587C8F"/>
    <w:rsid w:val="00593217"/>
    <w:rsid w:val="005959F9"/>
    <w:rsid w:val="005A0D15"/>
    <w:rsid w:val="005A18D7"/>
    <w:rsid w:val="005A2A86"/>
    <w:rsid w:val="005A4466"/>
    <w:rsid w:val="005A5AE9"/>
    <w:rsid w:val="005A6891"/>
    <w:rsid w:val="005B3729"/>
    <w:rsid w:val="005B5ADE"/>
    <w:rsid w:val="005C154E"/>
    <w:rsid w:val="005C31A0"/>
    <w:rsid w:val="005C35BE"/>
    <w:rsid w:val="005C4952"/>
    <w:rsid w:val="005C63F7"/>
    <w:rsid w:val="005C74C9"/>
    <w:rsid w:val="005D2355"/>
    <w:rsid w:val="005D2565"/>
    <w:rsid w:val="005D6CD2"/>
    <w:rsid w:val="005D6E23"/>
    <w:rsid w:val="005E11FC"/>
    <w:rsid w:val="005E16F9"/>
    <w:rsid w:val="005E28FB"/>
    <w:rsid w:val="005E5130"/>
    <w:rsid w:val="005E6294"/>
    <w:rsid w:val="005E6D8B"/>
    <w:rsid w:val="005F1009"/>
    <w:rsid w:val="005F1298"/>
    <w:rsid w:val="005F21D1"/>
    <w:rsid w:val="005F5ACC"/>
    <w:rsid w:val="005F622F"/>
    <w:rsid w:val="005F6288"/>
    <w:rsid w:val="005F69CC"/>
    <w:rsid w:val="005F76B2"/>
    <w:rsid w:val="00601651"/>
    <w:rsid w:val="00605DDD"/>
    <w:rsid w:val="00605E06"/>
    <w:rsid w:val="00607663"/>
    <w:rsid w:val="006104D6"/>
    <w:rsid w:val="006109E9"/>
    <w:rsid w:val="00610CFE"/>
    <w:rsid w:val="00617B32"/>
    <w:rsid w:val="0062031D"/>
    <w:rsid w:val="006231E7"/>
    <w:rsid w:val="0062389F"/>
    <w:rsid w:val="006244DA"/>
    <w:rsid w:val="0062473C"/>
    <w:rsid w:val="00624B75"/>
    <w:rsid w:val="00633FA0"/>
    <w:rsid w:val="00634850"/>
    <w:rsid w:val="00635D66"/>
    <w:rsid w:val="00640940"/>
    <w:rsid w:val="00640AF8"/>
    <w:rsid w:val="00640DAD"/>
    <w:rsid w:val="00640F10"/>
    <w:rsid w:val="0064190A"/>
    <w:rsid w:val="0064671B"/>
    <w:rsid w:val="00656561"/>
    <w:rsid w:val="00662536"/>
    <w:rsid w:val="00670210"/>
    <w:rsid w:val="006724CC"/>
    <w:rsid w:val="00674463"/>
    <w:rsid w:val="00683D7C"/>
    <w:rsid w:val="006859F7"/>
    <w:rsid w:val="0069019B"/>
    <w:rsid w:val="00693363"/>
    <w:rsid w:val="00693D92"/>
    <w:rsid w:val="0069518F"/>
    <w:rsid w:val="00696A94"/>
    <w:rsid w:val="006A386A"/>
    <w:rsid w:val="006A41AF"/>
    <w:rsid w:val="006A797E"/>
    <w:rsid w:val="006B4380"/>
    <w:rsid w:val="006B7D84"/>
    <w:rsid w:val="006C1B88"/>
    <w:rsid w:val="006C38AD"/>
    <w:rsid w:val="006C6B74"/>
    <w:rsid w:val="006D09EF"/>
    <w:rsid w:val="006D4B39"/>
    <w:rsid w:val="006D4D41"/>
    <w:rsid w:val="006E6527"/>
    <w:rsid w:val="006F050F"/>
    <w:rsid w:val="006F2940"/>
    <w:rsid w:val="006F3537"/>
    <w:rsid w:val="006F513F"/>
    <w:rsid w:val="00703EBF"/>
    <w:rsid w:val="007043FE"/>
    <w:rsid w:val="007055B2"/>
    <w:rsid w:val="00707255"/>
    <w:rsid w:val="007162A5"/>
    <w:rsid w:val="00717559"/>
    <w:rsid w:val="0071762D"/>
    <w:rsid w:val="00725BC0"/>
    <w:rsid w:val="00726797"/>
    <w:rsid w:val="00726CB4"/>
    <w:rsid w:val="00733700"/>
    <w:rsid w:val="00740005"/>
    <w:rsid w:val="00740DF8"/>
    <w:rsid w:val="007471C7"/>
    <w:rsid w:val="00750F7C"/>
    <w:rsid w:val="00753381"/>
    <w:rsid w:val="0075427A"/>
    <w:rsid w:val="00754BEC"/>
    <w:rsid w:val="0076304F"/>
    <w:rsid w:val="00766E32"/>
    <w:rsid w:val="00784B86"/>
    <w:rsid w:val="007878E5"/>
    <w:rsid w:val="00791216"/>
    <w:rsid w:val="00792CEB"/>
    <w:rsid w:val="00797654"/>
    <w:rsid w:val="007A3E56"/>
    <w:rsid w:val="007A5771"/>
    <w:rsid w:val="007A69C1"/>
    <w:rsid w:val="007B2075"/>
    <w:rsid w:val="007B2559"/>
    <w:rsid w:val="007B2917"/>
    <w:rsid w:val="007B3B54"/>
    <w:rsid w:val="007B3BE2"/>
    <w:rsid w:val="007B6A76"/>
    <w:rsid w:val="007B711A"/>
    <w:rsid w:val="007C3F49"/>
    <w:rsid w:val="007C434F"/>
    <w:rsid w:val="007C5B64"/>
    <w:rsid w:val="007C5BF9"/>
    <w:rsid w:val="007C65D4"/>
    <w:rsid w:val="007D0E21"/>
    <w:rsid w:val="007D532E"/>
    <w:rsid w:val="007D608A"/>
    <w:rsid w:val="007D7069"/>
    <w:rsid w:val="007E0B76"/>
    <w:rsid w:val="007E257F"/>
    <w:rsid w:val="007E2FFB"/>
    <w:rsid w:val="007E68E9"/>
    <w:rsid w:val="007F4404"/>
    <w:rsid w:val="007F44BE"/>
    <w:rsid w:val="007F4C48"/>
    <w:rsid w:val="00802108"/>
    <w:rsid w:val="00802A51"/>
    <w:rsid w:val="00802CA7"/>
    <w:rsid w:val="00804BE3"/>
    <w:rsid w:val="00806EFF"/>
    <w:rsid w:val="008130B6"/>
    <w:rsid w:val="00821537"/>
    <w:rsid w:val="00825C08"/>
    <w:rsid w:val="0083058C"/>
    <w:rsid w:val="008344FF"/>
    <w:rsid w:val="00834ACA"/>
    <w:rsid w:val="00834B1C"/>
    <w:rsid w:val="00835DE7"/>
    <w:rsid w:val="00836304"/>
    <w:rsid w:val="0083631A"/>
    <w:rsid w:val="00840E08"/>
    <w:rsid w:val="0084540A"/>
    <w:rsid w:val="00846097"/>
    <w:rsid w:val="00852A83"/>
    <w:rsid w:val="00852CAE"/>
    <w:rsid w:val="00853473"/>
    <w:rsid w:val="00853E1F"/>
    <w:rsid w:val="00854D3E"/>
    <w:rsid w:val="00854F65"/>
    <w:rsid w:val="00860480"/>
    <w:rsid w:val="00861D20"/>
    <w:rsid w:val="00865F30"/>
    <w:rsid w:val="00872E19"/>
    <w:rsid w:val="00874AAE"/>
    <w:rsid w:val="00875BF1"/>
    <w:rsid w:val="00875E89"/>
    <w:rsid w:val="00877FD8"/>
    <w:rsid w:val="00881A97"/>
    <w:rsid w:val="00884504"/>
    <w:rsid w:val="00885F8A"/>
    <w:rsid w:val="00890346"/>
    <w:rsid w:val="00891979"/>
    <w:rsid w:val="0089433D"/>
    <w:rsid w:val="008A2027"/>
    <w:rsid w:val="008A2CD6"/>
    <w:rsid w:val="008A5088"/>
    <w:rsid w:val="008A58A6"/>
    <w:rsid w:val="008A5CDA"/>
    <w:rsid w:val="008A61F2"/>
    <w:rsid w:val="008A7B12"/>
    <w:rsid w:val="008B0D6E"/>
    <w:rsid w:val="008B0EEF"/>
    <w:rsid w:val="008B4328"/>
    <w:rsid w:val="008B4B63"/>
    <w:rsid w:val="008B72CA"/>
    <w:rsid w:val="008B7312"/>
    <w:rsid w:val="008B7F9F"/>
    <w:rsid w:val="008C1818"/>
    <w:rsid w:val="008C1A63"/>
    <w:rsid w:val="008C3057"/>
    <w:rsid w:val="008C38B7"/>
    <w:rsid w:val="008C3EF1"/>
    <w:rsid w:val="008D5426"/>
    <w:rsid w:val="008E1721"/>
    <w:rsid w:val="008E3865"/>
    <w:rsid w:val="008E3CD2"/>
    <w:rsid w:val="008E55FF"/>
    <w:rsid w:val="008F11A3"/>
    <w:rsid w:val="008F1963"/>
    <w:rsid w:val="008F3744"/>
    <w:rsid w:val="0090183B"/>
    <w:rsid w:val="00905A43"/>
    <w:rsid w:val="00906F1D"/>
    <w:rsid w:val="00907060"/>
    <w:rsid w:val="00907274"/>
    <w:rsid w:val="00907971"/>
    <w:rsid w:val="00907A6F"/>
    <w:rsid w:val="00910636"/>
    <w:rsid w:val="00910C5A"/>
    <w:rsid w:val="009132E3"/>
    <w:rsid w:val="009148AC"/>
    <w:rsid w:val="00914C1D"/>
    <w:rsid w:val="009333F1"/>
    <w:rsid w:val="00934CC8"/>
    <w:rsid w:val="00936600"/>
    <w:rsid w:val="0093720E"/>
    <w:rsid w:val="00937832"/>
    <w:rsid w:val="00940D05"/>
    <w:rsid w:val="00943829"/>
    <w:rsid w:val="009441ED"/>
    <w:rsid w:val="00945910"/>
    <w:rsid w:val="0094622B"/>
    <w:rsid w:val="00946E17"/>
    <w:rsid w:val="00955AD3"/>
    <w:rsid w:val="00957DDF"/>
    <w:rsid w:val="00960FE0"/>
    <w:rsid w:val="00964194"/>
    <w:rsid w:val="00964D25"/>
    <w:rsid w:val="00966A2E"/>
    <w:rsid w:val="00966E35"/>
    <w:rsid w:val="00973AF4"/>
    <w:rsid w:val="00974684"/>
    <w:rsid w:val="00983F22"/>
    <w:rsid w:val="0098465E"/>
    <w:rsid w:val="00986804"/>
    <w:rsid w:val="00990F9E"/>
    <w:rsid w:val="00991AD6"/>
    <w:rsid w:val="00992BD3"/>
    <w:rsid w:val="00993BAE"/>
    <w:rsid w:val="0099546D"/>
    <w:rsid w:val="009960F9"/>
    <w:rsid w:val="0099770C"/>
    <w:rsid w:val="00997A56"/>
    <w:rsid w:val="009A3853"/>
    <w:rsid w:val="009B029F"/>
    <w:rsid w:val="009B0520"/>
    <w:rsid w:val="009B19FF"/>
    <w:rsid w:val="009B4220"/>
    <w:rsid w:val="009B785D"/>
    <w:rsid w:val="009C2A3C"/>
    <w:rsid w:val="009C3D48"/>
    <w:rsid w:val="009C4CAC"/>
    <w:rsid w:val="009C5B87"/>
    <w:rsid w:val="009D07EF"/>
    <w:rsid w:val="009D23E9"/>
    <w:rsid w:val="009D2BC0"/>
    <w:rsid w:val="009D2F28"/>
    <w:rsid w:val="009D327F"/>
    <w:rsid w:val="009D3731"/>
    <w:rsid w:val="009D3F25"/>
    <w:rsid w:val="009D56D7"/>
    <w:rsid w:val="009D7F5D"/>
    <w:rsid w:val="009E41D3"/>
    <w:rsid w:val="009E5E25"/>
    <w:rsid w:val="009E77F2"/>
    <w:rsid w:val="009F2FF9"/>
    <w:rsid w:val="009F3DF5"/>
    <w:rsid w:val="00A0156A"/>
    <w:rsid w:val="00A02972"/>
    <w:rsid w:val="00A0493F"/>
    <w:rsid w:val="00A05C28"/>
    <w:rsid w:val="00A06C96"/>
    <w:rsid w:val="00A072AE"/>
    <w:rsid w:val="00A10889"/>
    <w:rsid w:val="00A109D4"/>
    <w:rsid w:val="00A12D70"/>
    <w:rsid w:val="00A1430A"/>
    <w:rsid w:val="00A2215A"/>
    <w:rsid w:val="00A2275D"/>
    <w:rsid w:val="00A22DDB"/>
    <w:rsid w:val="00A25AFB"/>
    <w:rsid w:val="00A300E2"/>
    <w:rsid w:val="00A317B8"/>
    <w:rsid w:val="00A31C8A"/>
    <w:rsid w:val="00A36B6F"/>
    <w:rsid w:val="00A36C35"/>
    <w:rsid w:val="00A37A93"/>
    <w:rsid w:val="00A438B7"/>
    <w:rsid w:val="00A44995"/>
    <w:rsid w:val="00A44D65"/>
    <w:rsid w:val="00A45F83"/>
    <w:rsid w:val="00A463BE"/>
    <w:rsid w:val="00A51C30"/>
    <w:rsid w:val="00A54248"/>
    <w:rsid w:val="00A57D2F"/>
    <w:rsid w:val="00A61231"/>
    <w:rsid w:val="00A6297F"/>
    <w:rsid w:val="00A65139"/>
    <w:rsid w:val="00A65515"/>
    <w:rsid w:val="00A71876"/>
    <w:rsid w:val="00A76D9B"/>
    <w:rsid w:val="00A832A0"/>
    <w:rsid w:val="00A87317"/>
    <w:rsid w:val="00A91411"/>
    <w:rsid w:val="00A93D76"/>
    <w:rsid w:val="00A94647"/>
    <w:rsid w:val="00AA0612"/>
    <w:rsid w:val="00AA2D57"/>
    <w:rsid w:val="00AA3F14"/>
    <w:rsid w:val="00AA3F39"/>
    <w:rsid w:val="00AB29C7"/>
    <w:rsid w:val="00AB538B"/>
    <w:rsid w:val="00AB6D11"/>
    <w:rsid w:val="00AC2FD9"/>
    <w:rsid w:val="00AC72F0"/>
    <w:rsid w:val="00AD0E7C"/>
    <w:rsid w:val="00AD265B"/>
    <w:rsid w:val="00AD29E4"/>
    <w:rsid w:val="00AD3A50"/>
    <w:rsid w:val="00AD51CE"/>
    <w:rsid w:val="00AD735D"/>
    <w:rsid w:val="00AD7650"/>
    <w:rsid w:val="00AE51CF"/>
    <w:rsid w:val="00AE565F"/>
    <w:rsid w:val="00AE7959"/>
    <w:rsid w:val="00AF406E"/>
    <w:rsid w:val="00AF76B9"/>
    <w:rsid w:val="00B005E5"/>
    <w:rsid w:val="00B01724"/>
    <w:rsid w:val="00B01B5C"/>
    <w:rsid w:val="00B04623"/>
    <w:rsid w:val="00B05F83"/>
    <w:rsid w:val="00B07BC7"/>
    <w:rsid w:val="00B11307"/>
    <w:rsid w:val="00B13B6B"/>
    <w:rsid w:val="00B15CA5"/>
    <w:rsid w:val="00B160D6"/>
    <w:rsid w:val="00B221AD"/>
    <w:rsid w:val="00B31461"/>
    <w:rsid w:val="00B31649"/>
    <w:rsid w:val="00B363D6"/>
    <w:rsid w:val="00B369D6"/>
    <w:rsid w:val="00B372E6"/>
    <w:rsid w:val="00B37B7F"/>
    <w:rsid w:val="00B43E2A"/>
    <w:rsid w:val="00B4425C"/>
    <w:rsid w:val="00B4550A"/>
    <w:rsid w:val="00B50C38"/>
    <w:rsid w:val="00B53589"/>
    <w:rsid w:val="00B53FBA"/>
    <w:rsid w:val="00B55023"/>
    <w:rsid w:val="00B55488"/>
    <w:rsid w:val="00B556AC"/>
    <w:rsid w:val="00B56443"/>
    <w:rsid w:val="00B615F9"/>
    <w:rsid w:val="00B63232"/>
    <w:rsid w:val="00B632B4"/>
    <w:rsid w:val="00B636DC"/>
    <w:rsid w:val="00B64312"/>
    <w:rsid w:val="00B64B1F"/>
    <w:rsid w:val="00B668E7"/>
    <w:rsid w:val="00B73CD8"/>
    <w:rsid w:val="00B751A7"/>
    <w:rsid w:val="00B75AB6"/>
    <w:rsid w:val="00B81FCB"/>
    <w:rsid w:val="00B867DD"/>
    <w:rsid w:val="00B90EA0"/>
    <w:rsid w:val="00B914D3"/>
    <w:rsid w:val="00B96747"/>
    <w:rsid w:val="00BA0CE8"/>
    <w:rsid w:val="00BA19BE"/>
    <w:rsid w:val="00BC0B49"/>
    <w:rsid w:val="00BC5E44"/>
    <w:rsid w:val="00BC63F3"/>
    <w:rsid w:val="00BD751C"/>
    <w:rsid w:val="00BE46AC"/>
    <w:rsid w:val="00BE639D"/>
    <w:rsid w:val="00BF44C4"/>
    <w:rsid w:val="00BF5C66"/>
    <w:rsid w:val="00BF5D91"/>
    <w:rsid w:val="00BF6BE2"/>
    <w:rsid w:val="00C02F16"/>
    <w:rsid w:val="00C04619"/>
    <w:rsid w:val="00C05A4F"/>
    <w:rsid w:val="00C05E5B"/>
    <w:rsid w:val="00C061E3"/>
    <w:rsid w:val="00C119C2"/>
    <w:rsid w:val="00C121D2"/>
    <w:rsid w:val="00C122D5"/>
    <w:rsid w:val="00C12B1C"/>
    <w:rsid w:val="00C14967"/>
    <w:rsid w:val="00C1627A"/>
    <w:rsid w:val="00C23789"/>
    <w:rsid w:val="00C23DBC"/>
    <w:rsid w:val="00C26E47"/>
    <w:rsid w:val="00C2750C"/>
    <w:rsid w:val="00C3083F"/>
    <w:rsid w:val="00C33404"/>
    <w:rsid w:val="00C34A8C"/>
    <w:rsid w:val="00C42CE4"/>
    <w:rsid w:val="00C43BDE"/>
    <w:rsid w:val="00C44773"/>
    <w:rsid w:val="00C502B8"/>
    <w:rsid w:val="00C53EDB"/>
    <w:rsid w:val="00C62334"/>
    <w:rsid w:val="00C676E5"/>
    <w:rsid w:val="00C7079D"/>
    <w:rsid w:val="00C70E5B"/>
    <w:rsid w:val="00C71638"/>
    <w:rsid w:val="00C71A96"/>
    <w:rsid w:val="00C7374A"/>
    <w:rsid w:val="00C81D29"/>
    <w:rsid w:val="00C86566"/>
    <w:rsid w:val="00C917EB"/>
    <w:rsid w:val="00C926AD"/>
    <w:rsid w:val="00C93193"/>
    <w:rsid w:val="00C97FF4"/>
    <w:rsid w:val="00CA0ADF"/>
    <w:rsid w:val="00CA3A14"/>
    <w:rsid w:val="00CA5938"/>
    <w:rsid w:val="00CA5EBF"/>
    <w:rsid w:val="00CB04F8"/>
    <w:rsid w:val="00CB642F"/>
    <w:rsid w:val="00CB72BD"/>
    <w:rsid w:val="00CB7F0D"/>
    <w:rsid w:val="00CC1DF7"/>
    <w:rsid w:val="00CC28C6"/>
    <w:rsid w:val="00CC4808"/>
    <w:rsid w:val="00CC4C0C"/>
    <w:rsid w:val="00CD0489"/>
    <w:rsid w:val="00CD1B6F"/>
    <w:rsid w:val="00CD30AA"/>
    <w:rsid w:val="00CD3D90"/>
    <w:rsid w:val="00CD4A55"/>
    <w:rsid w:val="00CD56F8"/>
    <w:rsid w:val="00CD67E1"/>
    <w:rsid w:val="00CE0D2C"/>
    <w:rsid w:val="00CE0EFD"/>
    <w:rsid w:val="00CE1B8A"/>
    <w:rsid w:val="00CE4936"/>
    <w:rsid w:val="00CE5A65"/>
    <w:rsid w:val="00CF0867"/>
    <w:rsid w:val="00CF32F4"/>
    <w:rsid w:val="00CF3600"/>
    <w:rsid w:val="00CF65B7"/>
    <w:rsid w:val="00D003B0"/>
    <w:rsid w:val="00D06F27"/>
    <w:rsid w:val="00D104D6"/>
    <w:rsid w:val="00D15807"/>
    <w:rsid w:val="00D17563"/>
    <w:rsid w:val="00D23A88"/>
    <w:rsid w:val="00D24520"/>
    <w:rsid w:val="00D262EA"/>
    <w:rsid w:val="00D31595"/>
    <w:rsid w:val="00D31DFE"/>
    <w:rsid w:val="00D378A3"/>
    <w:rsid w:val="00D40AAD"/>
    <w:rsid w:val="00D40DEC"/>
    <w:rsid w:val="00D4403D"/>
    <w:rsid w:val="00D4526A"/>
    <w:rsid w:val="00D454E8"/>
    <w:rsid w:val="00D47ACC"/>
    <w:rsid w:val="00D51066"/>
    <w:rsid w:val="00D51FE7"/>
    <w:rsid w:val="00D52F32"/>
    <w:rsid w:val="00D5620F"/>
    <w:rsid w:val="00D60807"/>
    <w:rsid w:val="00D60E2B"/>
    <w:rsid w:val="00D611A0"/>
    <w:rsid w:val="00D61332"/>
    <w:rsid w:val="00D64D1F"/>
    <w:rsid w:val="00D66519"/>
    <w:rsid w:val="00D7160E"/>
    <w:rsid w:val="00D73280"/>
    <w:rsid w:val="00D735FF"/>
    <w:rsid w:val="00D73A3C"/>
    <w:rsid w:val="00D74FF1"/>
    <w:rsid w:val="00D82E72"/>
    <w:rsid w:val="00D830B9"/>
    <w:rsid w:val="00D903A6"/>
    <w:rsid w:val="00D9098B"/>
    <w:rsid w:val="00D91BC7"/>
    <w:rsid w:val="00D9288B"/>
    <w:rsid w:val="00D938F7"/>
    <w:rsid w:val="00D953AA"/>
    <w:rsid w:val="00D961B4"/>
    <w:rsid w:val="00DA0765"/>
    <w:rsid w:val="00DA3060"/>
    <w:rsid w:val="00DA6F20"/>
    <w:rsid w:val="00DA775F"/>
    <w:rsid w:val="00DB17ED"/>
    <w:rsid w:val="00DC2D7A"/>
    <w:rsid w:val="00DD14E1"/>
    <w:rsid w:val="00DE0959"/>
    <w:rsid w:val="00DE1245"/>
    <w:rsid w:val="00DE3A75"/>
    <w:rsid w:val="00DF53D7"/>
    <w:rsid w:val="00DF54C2"/>
    <w:rsid w:val="00DF5787"/>
    <w:rsid w:val="00E019D5"/>
    <w:rsid w:val="00E02771"/>
    <w:rsid w:val="00E02DF9"/>
    <w:rsid w:val="00E03E14"/>
    <w:rsid w:val="00E06474"/>
    <w:rsid w:val="00E10948"/>
    <w:rsid w:val="00E138B2"/>
    <w:rsid w:val="00E13A95"/>
    <w:rsid w:val="00E14C76"/>
    <w:rsid w:val="00E14F64"/>
    <w:rsid w:val="00E14F84"/>
    <w:rsid w:val="00E15FD6"/>
    <w:rsid w:val="00E1630A"/>
    <w:rsid w:val="00E16AED"/>
    <w:rsid w:val="00E205B3"/>
    <w:rsid w:val="00E21CCE"/>
    <w:rsid w:val="00E22DA3"/>
    <w:rsid w:val="00E23208"/>
    <w:rsid w:val="00E24A15"/>
    <w:rsid w:val="00E24F4E"/>
    <w:rsid w:val="00E275CC"/>
    <w:rsid w:val="00E3023E"/>
    <w:rsid w:val="00E338FA"/>
    <w:rsid w:val="00E33CB2"/>
    <w:rsid w:val="00E34B78"/>
    <w:rsid w:val="00E42723"/>
    <w:rsid w:val="00E43867"/>
    <w:rsid w:val="00E4608F"/>
    <w:rsid w:val="00E46F71"/>
    <w:rsid w:val="00E47019"/>
    <w:rsid w:val="00E50A44"/>
    <w:rsid w:val="00E51FE7"/>
    <w:rsid w:val="00E52C7E"/>
    <w:rsid w:val="00E53AD3"/>
    <w:rsid w:val="00E56A2C"/>
    <w:rsid w:val="00E6281F"/>
    <w:rsid w:val="00E7585E"/>
    <w:rsid w:val="00E760B6"/>
    <w:rsid w:val="00E7692F"/>
    <w:rsid w:val="00E8056B"/>
    <w:rsid w:val="00E8228A"/>
    <w:rsid w:val="00E8626D"/>
    <w:rsid w:val="00E96AA4"/>
    <w:rsid w:val="00EA1831"/>
    <w:rsid w:val="00EA2204"/>
    <w:rsid w:val="00EA2746"/>
    <w:rsid w:val="00EA3251"/>
    <w:rsid w:val="00EB0C47"/>
    <w:rsid w:val="00EB0E80"/>
    <w:rsid w:val="00EB39FF"/>
    <w:rsid w:val="00EB52D8"/>
    <w:rsid w:val="00EC3571"/>
    <w:rsid w:val="00EC6498"/>
    <w:rsid w:val="00EC7FDA"/>
    <w:rsid w:val="00ED06E4"/>
    <w:rsid w:val="00ED0B80"/>
    <w:rsid w:val="00ED1DB0"/>
    <w:rsid w:val="00ED2995"/>
    <w:rsid w:val="00ED41E0"/>
    <w:rsid w:val="00ED582F"/>
    <w:rsid w:val="00ED6831"/>
    <w:rsid w:val="00EE07EE"/>
    <w:rsid w:val="00EE4129"/>
    <w:rsid w:val="00EE4228"/>
    <w:rsid w:val="00EE49C2"/>
    <w:rsid w:val="00EF6EED"/>
    <w:rsid w:val="00F00BBD"/>
    <w:rsid w:val="00F019AA"/>
    <w:rsid w:val="00F0610C"/>
    <w:rsid w:val="00F06E9C"/>
    <w:rsid w:val="00F105BF"/>
    <w:rsid w:val="00F151DD"/>
    <w:rsid w:val="00F16C2D"/>
    <w:rsid w:val="00F17E6F"/>
    <w:rsid w:val="00F17EC7"/>
    <w:rsid w:val="00F20633"/>
    <w:rsid w:val="00F21CE8"/>
    <w:rsid w:val="00F23F7C"/>
    <w:rsid w:val="00F24101"/>
    <w:rsid w:val="00F26132"/>
    <w:rsid w:val="00F26CFA"/>
    <w:rsid w:val="00F26D5F"/>
    <w:rsid w:val="00F32BD9"/>
    <w:rsid w:val="00F33008"/>
    <w:rsid w:val="00F3687A"/>
    <w:rsid w:val="00F37828"/>
    <w:rsid w:val="00F470A7"/>
    <w:rsid w:val="00F506FD"/>
    <w:rsid w:val="00F51B8C"/>
    <w:rsid w:val="00F52310"/>
    <w:rsid w:val="00F56935"/>
    <w:rsid w:val="00F637DB"/>
    <w:rsid w:val="00F66A3C"/>
    <w:rsid w:val="00F70859"/>
    <w:rsid w:val="00F729E0"/>
    <w:rsid w:val="00F73FD9"/>
    <w:rsid w:val="00F748B9"/>
    <w:rsid w:val="00F74A6D"/>
    <w:rsid w:val="00F759C3"/>
    <w:rsid w:val="00F769BB"/>
    <w:rsid w:val="00F80E00"/>
    <w:rsid w:val="00F83C66"/>
    <w:rsid w:val="00F83E5B"/>
    <w:rsid w:val="00F85113"/>
    <w:rsid w:val="00F85530"/>
    <w:rsid w:val="00F86426"/>
    <w:rsid w:val="00F91F03"/>
    <w:rsid w:val="00F9546E"/>
    <w:rsid w:val="00F971D6"/>
    <w:rsid w:val="00FA1E1F"/>
    <w:rsid w:val="00FA26A5"/>
    <w:rsid w:val="00FA4DA2"/>
    <w:rsid w:val="00FA5275"/>
    <w:rsid w:val="00FB2CC5"/>
    <w:rsid w:val="00FB3029"/>
    <w:rsid w:val="00FB3E18"/>
    <w:rsid w:val="00FB4AB9"/>
    <w:rsid w:val="00FB4DD4"/>
    <w:rsid w:val="00FB5163"/>
    <w:rsid w:val="00FC1688"/>
    <w:rsid w:val="00FC3859"/>
    <w:rsid w:val="00FC561A"/>
    <w:rsid w:val="00FD2E25"/>
    <w:rsid w:val="00FD34D6"/>
    <w:rsid w:val="00FD681D"/>
    <w:rsid w:val="00FF114D"/>
    <w:rsid w:val="00FF4F15"/>
    <w:rsid w:val="00FF6962"/>
    <w:rsid w:val="00FF73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styleId="Emphasis">
    <w:name w:val="Emphasis"/>
    <w:basedOn w:val="DefaultParagraphFont"/>
    <w:qFormat/>
    <w:locked/>
    <w:rsid w:val="0064671B"/>
    <w:rPr>
      <w:i/>
      <w:iCs/>
    </w:rPr>
  </w:style>
</w:styles>
</file>

<file path=word/webSettings.xml><?xml version="1.0" encoding="utf-8"?>
<w:webSettings xmlns:r="http://schemas.openxmlformats.org/officeDocument/2006/relationships" xmlns:w="http://schemas.openxmlformats.org/wordprocessingml/2006/main">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F8A4-AC1E-480B-A2AC-1AAE7599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coonand</cp:lastModifiedBy>
  <cp:revision>2</cp:revision>
  <cp:lastPrinted>2013-02-20T01:02:00Z</cp:lastPrinted>
  <dcterms:created xsi:type="dcterms:W3CDTF">2013-06-14T00:46:00Z</dcterms:created>
  <dcterms:modified xsi:type="dcterms:W3CDTF">2013-06-14T00:46:00Z</dcterms:modified>
</cp:coreProperties>
</file>