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0A42F8" w:rsidTr="000156D1">
        <w:trPr>
          <w:trHeight w:val="756"/>
        </w:trPr>
        <w:tc>
          <w:tcPr>
            <w:tcW w:w="2660" w:type="dxa"/>
            <w:vAlign w:val="center"/>
          </w:tcPr>
          <w:p w:rsidR="00D735FF" w:rsidRPr="000A42F8" w:rsidRDefault="00D735FF" w:rsidP="001025C9">
            <w:pPr>
              <w:pStyle w:val="Header"/>
              <w:jc w:val="both"/>
              <w:rPr>
                <w:rFonts w:ascii="Arial" w:hAnsi="Arial" w:cs="Arial"/>
                <w:b/>
                <w:sz w:val="24"/>
                <w:szCs w:val="24"/>
              </w:rPr>
            </w:pPr>
            <w:r w:rsidRPr="000A42F8">
              <w:rPr>
                <w:rFonts w:ascii="Arial" w:hAnsi="Arial" w:cs="Arial"/>
                <w:b/>
                <w:sz w:val="24"/>
                <w:szCs w:val="24"/>
              </w:rPr>
              <w:t>Submission to:</w:t>
            </w:r>
          </w:p>
        </w:tc>
        <w:tc>
          <w:tcPr>
            <w:tcW w:w="6379" w:type="dxa"/>
            <w:vAlign w:val="center"/>
          </w:tcPr>
          <w:p w:rsidR="00D735FF" w:rsidRPr="000A42F8" w:rsidRDefault="00206F67" w:rsidP="00E11A18">
            <w:pPr>
              <w:pStyle w:val="Header"/>
              <w:rPr>
                <w:rFonts w:ascii="Arial" w:hAnsi="Arial" w:cs="Arial"/>
                <w:b/>
                <w:sz w:val="24"/>
                <w:szCs w:val="24"/>
              </w:rPr>
            </w:pPr>
            <w:r w:rsidRPr="000A42F8">
              <w:rPr>
                <w:rFonts w:ascii="Arial" w:hAnsi="Arial" w:cs="Arial"/>
                <w:b/>
                <w:sz w:val="24"/>
                <w:szCs w:val="24"/>
              </w:rPr>
              <w:t xml:space="preserve">Heavy </w:t>
            </w:r>
            <w:r w:rsidR="00E11A18">
              <w:rPr>
                <w:rFonts w:ascii="Arial" w:hAnsi="Arial" w:cs="Arial"/>
                <w:b/>
                <w:sz w:val="24"/>
                <w:szCs w:val="24"/>
              </w:rPr>
              <w:t xml:space="preserve"> V</w:t>
            </w:r>
            <w:r w:rsidRPr="000A42F8">
              <w:rPr>
                <w:rFonts w:ascii="Arial" w:hAnsi="Arial" w:cs="Arial"/>
                <w:b/>
                <w:sz w:val="24"/>
                <w:szCs w:val="24"/>
              </w:rPr>
              <w:t xml:space="preserve">ehicle Charging and Investment Reform </w:t>
            </w:r>
          </w:p>
        </w:tc>
      </w:tr>
      <w:tr w:rsidR="00D735FF" w:rsidRPr="000A42F8" w:rsidTr="000156D1">
        <w:trPr>
          <w:trHeight w:val="756"/>
        </w:trPr>
        <w:tc>
          <w:tcPr>
            <w:tcW w:w="2660" w:type="dxa"/>
            <w:vAlign w:val="center"/>
          </w:tcPr>
          <w:p w:rsidR="00D735FF" w:rsidRPr="000A42F8" w:rsidRDefault="00D735FF" w:rsidP="001025C9">
            <w:pPr>
              <w:pStyle w:val="Header"/>
              <w:jc w:val="both"/>
              <w:rPr>
                <w:rFonts w:ascii="Arial" w:hAnsi="Arial" w:cs="Arial"/>
                <w:b/>
                <w:sz w:val="24"/>
                <w:szCs w:val="24"/>
              </w:rPr>
            </w:pPr>
            <w:r w:rsidRPr="000A42F8">
              <w:rPr>
                <w:rFonts w:ascii="Arial" w:hAnsi="Arial" w:cs="Arial"/>
                <w:b/>
                <w:sz w:val="24"/>
                <w:szCs w:val="24"/>
              </w:rPr>
              <w:t>Title:</w:t>
            </w:r>
          </w:p>
        </w:tc>
        <w:tc>
          <w:tcPr>
            <w:tcW w:w="6379" w:type="dxa"/>
            <w:vAlign w:val="center"/>
          </w:tcPr>
          <w:p w:rsidR="00D735FF" w:rsidRPr="000A42F8" w:rsidRDefault="00206F67" w:rsidP="001475F7">
            <w:pPr>
              <w:pStyle w:val="Header"/>
              <w:rPr>
                <w:rFonts w:ascii="Arial" w:hAnsi="Arial" w:cs="Arial"/>
                <w:b/>
                <w:sz w:val="24"/>
                <w:szCs w:val="24"/>
              </w:rPr>
            </w:pPr>
            <w:r w:rsidRPr="000A42F8">
              <w:rPr>
                <w:rFonts w:ascii="Arial" w:hAnsi="Arial" w:cs="Arial"/>
                <w:b/>
                <w:sz w:val="24"/>
                <w:szCs w:val="24"/>
              </w:rPr>
              <w:t>Options Development Discussion Paper</w:t>
            </w:r>
          </w:p>
        </w:tc>
      </w:tr>
      <w:tr w:rsidR="00D735FF" w:rsidRPr="000A42F8" w:rsidTr="000156D1">
        <w:trPr>
          <w:trHeight w:val="756"/>
        </w:trPr>
        <w:tc>
          <w:tcPr>
            <w:tcW w:w="2660" w:type="dxa"/>
            <w:vAlign w:val="center"/>
          </w:tcPr>
          <w:p w:rsidR="00D735FF" w:rsidRPr="000A42F8" w:rsidRDefault="00D735FF" w:rsidP="001025C9">
            <w:pPr>
              <w:pStyle w:val="Header"/>
              <w:jc w:val="both"/>
              <w:rPr>
                <w:rFonts w:ascii="Arial" w:hAnsi="Arial" w:cs="Arial"/>
                <w:b/>
                <w:sz w:val="24"/>
                <w:szCs w:val="24"/>
              </w:rPr>
            </w:pPr>
            <w:r w:rsidRPr="000A42F8">
              <w:rPr>
                <w:rFonts w:ascii="Arial" w:hAnsi="Arial" w:cs="Arial"/>
                <w:b/>
                <w:sz w:val="24"/>
                <w:szCs w:val="24"/>
              </w:rPr>
              <w:t>Date:</w:t>
            </w:r>
          </w:p>
        </w:tc>
        <w:tc>
          <w:tcPr>
            <w:tcW w:w="6379" w:type="dxa"/>
            <w:vAlign w:val="center"/>
          </w:tcPr>
          <w:p w:rsidR="00D735FF" w:rsidRPr="000A42F8" w:rsidRDefault="00A276C0" w:rsidP="00905C0A">
            <w:pPr>
              <w:pStyle w:val="Header"/>
              <w:rPr>
                <w:rFonts w:ascii="Arial" w:hAnsi="Arial" w:cs="Arial"/>
                <w:b/>
                <w:sz w:val="24"/>
                <w:szCs w:val="24"/>
              </w:rPr>
            </w:pPr>
            <w:r>
              <w:rPr>
                <w:rFonts w:ascii="Arial" w:hAnsi="Arial" w:cs="Arial"/>
                <w:b/>
                <w:sz w:val="24"/>
                <w:szCs w:val="24"/>
              </w:rPr>
              <w:t xml:space="preserve">25 July </w:t>
            </w:r>
            <w:r w:rsidR="00693D92" w:rsidRPr="000A42F8">
              <w:rPr>
                <w:rFonts w:ascii="Arial" w:hAnsi="Arial" w:cs="Arial"/>
                <w:b/>
                <w:sz w:val="24"/>
                <w:szCs w:val="24"/>
              </w:rPr>
              <w:t>2013</w:t>
            </w:r>
            <w:r w:rsidR="00F26CFA" w:rsidRPr="000A42F8">
              <w:rPr>
                <w:rFonts w:ascii="Arial" w:hAnsi="Arial" w:cs="Arial"/>
                <w:b/>
                <w:sz w:val="24"/>
                <w:szCs w:val="24"/>
              </w:rPr>
              <w:t xml:space="preserve"> </w:t>
            </w:r>
          </w:p>
        </w:tc>
      </w:tr>
    </w:tbl>
    <w:p w:rsidR="00D735FF" w:rsidRPr="000A42F8" w:rsidRDefault="00D735FF" w:rsidP="001025C9">
      <w:pPr>
        <w:pStyle w:val="Header"/>
        <w:jc w:val="both"/>
        <w:rPr>
          <w:rFonts w:ascii="Arial" w:hAnsi="Arial" w:cs="Arial"/>
          <w:sz w:val="24"/>
          <w:szCs w:val="24"/>
        </w:rPr>
      </w:pPr>
    </w:p>
    <w:p w:rsidR="00D735FF" w:rsidRPr="00D51476" w:rsidRDefault="00D735FF" w:rsidP="001025C9">
      <w:pPr>
        <w:pStyle w:val="Header"/>
        <w:jc w:val="both"/>
        <w:rPr>
          <w:rFonts w:ascii="Arial" w:hAnsi="Arial" w:cs="Arial"/>
          <w:sz w:val="20"/>
          <w:szCs w:val="20"/>
        </w:rPr>
      </w:pPr>
    </w:p>
    <w:p w:rsidR="00576ED0" w:rsidRPr="00D51476" w:rsidRDefault="00576ED0" w:rsidP="001025C9">
      <w:pPr>
        <w:pStyle w:val="Header"/>
        <w:jc w:val="both"/>
        <w:rPr>
          <w:rFonts w:ascii="Arial" w:hAnsi="Arial" w:cs="Arial"/>
          <w:sz w:val="20"/>
          <w:szCs w:val="20"/>
        </w:rPr>
      </w:pPr>
    </w:p>
    <w:p w:rsidR="00A276C0" w:rsidRDefault="00A276C0" w:rsidP="001025C9">
      <w:pPr>
        <w:jc w:val="both"/>
        <w:rPr>
          <w:rFonts w:ascii="Arial" w:hAnsi="Arial" w:cs="Arial"/>
          <w:sz w:val="20"/>
          <w:szCs w:val="20"/>
          <w:lang w:val="en-GB"/>
        </w:rPr>
      </w:pPr>
    </w:p>
    <w:p w:rsidR="00A276C0" w:rsidRPr="00A276C0" w:rsidRDefault="00A276C0" w:rsidP="00A276C0">
      <w:pPr>
        <w:rPr>
          <w:rFonts w:ascii="Arial" w:hAnsi="Arial" w:cs="Arial"/>
          <w:sz w:val="20"/>
          <w:szCs w:val="20"/>
          <w:lang w:val="en-GB"/>
        </w:rPr>
      </w:pPr>
    </w:p>
    <w:p w:rsidR="00A276C0" w:rsidRPr="00A276C0" w:rsidRDefault="00A276C0" w:rsidP="00A276C0">
      <w:pPr>
        <w:rPr>
          <w:rFonts w:ascii="Arial" w:hAnsi="Arial" w:cs="Arial"/>
          <w:sz w:val="20"/>
          <w:szCs w:val="20"/>
          <w:lang w:val="en-GB"/>
        </w:rPr>
      </w:pPr>
    </w:p>
    <w:p w:rsidR="00A276C0" w:rsidRPr="00A276C0" w:rsidRDefault="00A276C0" w:rsidP="00A276C0">
      <w:pPr>
        <w:rPr>
          <w:rFonts w:ascii="Arial" w:hAnsi="Arial" w:cs="Arial"/>
          <w:sz w:val="20"/>
          <w:szCs w:val="20"/>
          <w:lang w:val="en-GB"/>
        </w:rPr>
      </w:pPr>
    </w:p>
    <w:p w:rsidR="00A276C0" w:rsidRPr="00A276C0" w:rsidRDefault="00A276C0" w:rsidP="00A276C0">
      <w:pPr>
        <w:rPr>
          <w:rFonts w:ascii="Arial" w:hAnsi="Arial" w:cs="Arial"/>
          <w:sz w:val="20"/>
          <w:szCs w:val="20"/>
          <w:lang w:val="en-GB"/>
        </w:rPr>
      </w:pPr>
    </w:p>
    <w:p w:rsidR="00A276C0" w:rsidRDefault="00A276C0" w:rsidP="00A276C0">
      <w:pPr>
        <w:rPr>
          <w:rFonts w:ascii="Arial" w:hAnsi="Arial" w:cs="Arial"/>
          <w:sz w:val="20"/>
          <w:szCs w:val="20"/>
          <w:lang w:val="en-GB"/>
        </w:rPr>
      </w:pPr>
    </w:p>
    <w:p w:rsidR="00A276C0" w:rsidRDefault="00A276C0" w:rsidP="00A276C0">
      <w:pPr>
        <w:jc w:val="center"/>
        <w:rPr>
          <w:rFonts w:ascii="Arial" w:hAnsi="Arial" w:cs="Arial"/>
          <w:sz w:val="20"/>
          <w:szCs w:val="20"/>
          <w:lang w:val="en-GB"/>
        </w:rPr>
      </w:pPr>
    </w:p>
    <w:p w:rsidR="00A276C0" w:rsidRDefault="00A276C0" w:rsidP="00A276C0">
      <w:pPr>
        <w:rPr>
          <w:rFonts w:ascii="Arial" w:hAnsi="Arial" w:cs="Arial"/>
          <w:sz w:val="20"/>
          <w:szCs w:val="20"/>
          <w:lang w:val="en-GB"/>
        </w:rPr>
      </w:pPr>
    </w:p>
    <w:p w:rsidR="00576ED0" w:rsidRPr="00A276C0" w:rsidRDefault="00576ED0" w:rsidP="00A276C0">
      <w:pPr>
        <w:rPr>
          <w:rFonts w:ascii="Arial" w:hAnsi="Arial" w:cs="Arial"/>
          <w:sz w:val="20"/>
          <w:szCs w:val="20"/>
          <w:lang w:val="en-GB"/>
        </w:rPr>
        <w:sectPr w:rsidR="00576ED0" w:rsidRPr="00A276C0"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D51476" w:rsidRDefault="00576ED0" w:rsidP="001025C9">
      <w:pPr>
        <w:jc w:val="both"/>
        <w:rPr>
          <w:rFonts w:ascii="Arial" w:hAnsi="Arial" w:cs="Arial"/>
          <w:sz w:val="20"/>
          <w:szCs w:val="20"/>
        </w:rPr>
      </w:pPr>
    </w:p>
    <w:p w:rsidR="0035493A" w:rsidRPr="00D51476" w:rsidRDefault="0035493A" w:rsidP="001025C9">
      <w:pPr>
        <w:jc w:val="both"/>
        <w:rPr>
          <w:rFonts w:ascii="Arial" w:hAnsi="Arial" w:cs="Arial"/>
          <w:sz w:val="20"/>
          <w:szCs w:val="20"/>
        </w:rPr>
      </w:pPr>
    </w:p>
    <w:p w:rsidR="0035493A" w:rsidRPr="00D51476" w:rsidRDefault="0035493A" w:rsidP="001025C9">
      <w:pPr>
        <w:jc w:val="both"/>
        <w:rPr>
          <w:rFonts w:ascii="Arial" w:hAnsi="Arial" w:cs="Arial"/>
          <w:sz w:val="20"/>
          <w:szCs w:val="20"/>
        </w:rPr>
      </w:pPr>
    </w:p>
    <w:p w:rsidR="0035493A" w:rsidRPr="00D51476" w:rsidRDefault="0035493A" w:rsidP="001025C9">
      <w:pPr>
        <w:jc w:val="both"/>
        <w:rPr>
          <w:rFonts w:ascii="Arial" w:hAnsi="Arial" w:cs="Arial"/>
          <w:sz w:val="20"/>
          <w:szCs w:val="20"/>
        </w:rPr>
      </w:pPr>
    </w:p>
    <w:p w:rsidR="0035493A" w:rsidRPr="00D51476" w:rsidRDefault="0035493A" w:rsidP="001025C9">
      <w:pPr>
        <w:jc w:val="both"/>
        <w:rPr>
          <w:rFonts w:ascii="Arial" w:hAnsi="Arial" w:cs="Arial"/>
          <w:sz w:val="20"/>
          <w:szCs w:val="20"/>
        </w:rPr>
      </w:pPr>
    </w:p>
    <w:p w:rsidR="0035493A" w:rsidRPr="00616E75" w:rsidRDefault="003B74E4" w:rsidP="001025C9">
      <w:pPr>
        <w:jc w:val="both"/>
        <w:rPr>
          <w:rFonts w:ascii="Arial" w:hAnsi="Arial" w:cs="Arial"/>
          <w:b/>
          <w:color w:val="000064"/>
          <w:sz w:val="28"/>
          <w:szCs w:val="28"/>
        </w:rPr>
      </w:pPr>
      <w:r w:rsidRPr="00616E75">
        <w:rPr>
          <w:rFonts w:ascii="Arial" w:hAnsi="Arial" w:cs="Arial"/>
          <w:b/>
          <w:color w:val="000064"/>
          <w:sz w:val="28"/>
          <w:szCs w:val="28"/>
        </w:rPr>
        <w:t>Contents</w:t>
      </w:r>
    </w:p>
    <w:p w:rsidR="00576ED0" w:rsidRPr="00D51476" w:rsidRDefault="00576ED0" w:rsidP="001025C9">
      <w:pPr>
        <w:jc w:val="both"/>
        <w:rPr>
          <w:rFonts w:ascii="Arial" w:hAnsi="Arial" w:cs="Arial"/>
          <w:sz w:val="20"/>
          <w:szCs w:val="20"/>
        </w:rPr>
      </w:pPr>
    </w:p>
    <w:p w:rsidR="009B0520" w:rsidRPr="00D51476" w:rsidRDefault="009B0520" w:rsidP="001025C9">
      <w:pPr>
        <w:jc w:val="both"/>
        <w:rPr>
          <w:rFonts w:ascii="Arial" w:hAnsi="Arial" w:cs="Arial"/>
          <w:b/>
          <w:sz w:val="20"/>
          <w:szCs w:val="20"/>
        </w:rPr>
      </w:pPr>
    </w:p>
    <w:p w:rsidR="006F1FFD" w:rsidRDefault="00B275D9">
      <w:pPr>
        <w:pStyle w:val="TOC1"/>
        <w:rPr>
          <w:rFonts w:asciiTheme="minorHAnsi" w:eastAsiaTheme="minorEastAsia" w:hAnsiTheme="minorHAnsi" w:cstheme="minorBidi"/>
          <w:color w:val="auto"/>
          <w:sz w:val="22"/>
          <w:szCs w:val="22"/>
          <w:lang w:eastAsia="en-AU"/>
        </w:rPr>
      </w:pPr>
      <w:r w:rsidRPr="00B275D9">
        <w:rPr>
          <w:rFonts w:cs="Arial"/>
        </w:rPr>
        <w:fldChar w:fldCharType="begin"/>
      </w:r>
      <w:r w:rsidR="0035493A" w:rsidRPr="00E113A8">
        <w:rPr>
          <w:rFonts w:cs="Arial"/>
        </w:rPr>
        <w:instrText xml:space="preserve"> TOC \o "1-2" \t "ATA Heading 2,2" </w:instrText>
      </w:r>
      <w:r w:rsidRPr="00B275D9">
        <w:rPr>
          <w:rFonts w:cs="Arial"/>
        </w:rPr>
        <w:fldChar w:fldCharType="separate"/>
      </w:r>
      <w:r w:rsidR="006F1FFD">
        <w:t>1.</w:t>
      </w:r>
      <w:r w:rsidR="006F1FFD">
        <w:rPr>
          <w:rFonts w:asciiTheme="minorHAnsi" w:eastAsiaTheme="minorEastAsia" w:hAnsiTheme="minorHAnsi" w:cstheme="minorBidi"/>
          <w:color w:val="auto"/>
          <w:sz w:val="22"/>
          <w:szCs w:val="22"/>
          <w:lang w:eastAsia="en-AU"/>
        </w:rPr>
        <w:tab/>
      </w:r>
      <w:r w:rsidR="006F1FFD">
        <w:t>Introduction</w:t>
      </w:r>
      <w:r w:rsidR="006F1FFD">
        <w:tab/>
      </w:r>
      <w:r>
        <w:fldChar w:fldCharType="begin"/>
      </w:r>
      <w:r w:rsidR="006F1FFD">
        <w:instrText xml:space="preserve"> PAGEREF _Toc362528118 \h </w:instrText>
      </w:r>
      <w:r>
        <w:fldChar w:fldCharType="separate"/>
      </w:r>
      <w:r w:rsidR="0022780C">
        <w:t>3</w:t>
      </w:r>
      <w:r>
        <w:fldChar w:fldCharType="end"/>
      </w:r>
    </w:p>
    <w:p w:rsidR="006F1FFD" w:rsidRDefault="006F1FFD">
      <w:pPr>
        <w:pStyle w:val="TOC1"/>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Australian Trucking Association</w:t>
      </w:r>
      <w:r>
        <w:tab/>
      </w:r>
      <w:r w:rsidR="00B275D9">
        <w:fldChar w:fldCharType="begin"/>
      </w:r>
      <w:r>
        <w:instrText xml:space="preserve"> PAGEREF _Toc362528119 \h </w:instrText>
      </w:r>
      <w:r w:rsidR="00B275D9">
        <w:fldChar w:fldCharType="separate"/>
      </w:r>
      <w:r w:rsidR="0022780C">
        <w:t>3</w:t>
      </w:r>
      <w:r w:rsidR="00B275D9">
        <w:fldChar w:fldCharType="end"/>
      </w:r>
    </w:p>
    <w:p w:rsidR="006F1FFD" w:rsidRDefault="006F1FFD">
      <w:pPr>
        <w:pStyle w:val="TOC1"/>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Recommendations</w:t>
      </w:r>
      <w:r>
        <w:tab/>
      </w:r>
      <w:r w:rsidR="00B275D9">
        <w:fldChar w:fldCharType="begin"/>
      </w:r>
      <w:r>
        <w:instrText xml:space="preserve"> PAGEREF _Toc362528120 \h </w:instrText>
      </w:r>
      <w:r w:rsidR="00B275D9">
        <w:fldChar w:fldCharType="separate"/>
      </w:r>
      <w:r w:rsidR="0022780C">
        <w:t>3</w:t>
      </w:r>
      <w:r w:rsidR="00B275D9">
        <w:fldChar w:fldCharType="end"/>
      </w:r>
    </w:p>
    <w:p w:rsidR="006F1FFD" w:rsidRDefault="006F1FFD">
      <w:pPr>
        <w:pStyle w:val="TOC1"/>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Supply side reform</w:t>
      </w:r>
      <w:r>
        <w:tab/>
      </w:r>
      <w:r w:rsidR="00B275D9">
        <w:fldChar w:fldCharType="begin"/>
      </w:r>
      <w:r>
        <w:instrText xml:space="preserve"> PAGEREF _Toc362528121 \h </w:instrText>
      </w:r>
      <w:r w:rsidR="00B275D9">
        <w:fldChar w:fldCharType="separate"/>
      </w:r>
      <w:r w:rsidR="0022780C">
        <w:t>4</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4.1</w:t>
      </w:r>
      <w:r>
        <w:rPr>
          <w:rFonts w:asciiTheme="minorHAnsi" w:eastAsiaTheme="minorEastAsia" w:hAnsiTheme="minorHAnsi" w:cstheme="minorBidi"/>
          <w:color w:val="auto"/>
          <w:sz w:val="22"/>
          <w:szCs w:val="22"/>
          <w:lang w:eastAsia="en-AU"/>
        </w:rPr>
        <w:tab/>
      </w:r>
      <w:r>
        <w:t>Independent review of access decisions</w:t>
      </w:r>
      <w:r>
        <w:tab/>
      </w:r>
      <w:r w:rsidR="00B275D9">
        <w:fldChar w:fldCharType="begin"/>
      </w:r>
      <w:r>
        <w:instrText xml:space="preserve"> PAGEREF _Toc362528122 \h </w:instrText>
      </w:r>
      <w:r w:rsidR="00B275D9">
        <w:fldChar w:fldCharType="separate"/>
      </w:r>
      <w:r w:rsidR="0022780C">
        <w:t>5</w:t>
      </w:r>
      <w:r w:rsidR="00B275D9">
        <w:fldChar w:fldCharType="end"/>
      </w:r>
    </w:p>
    <w:p w:rsidR="006F1FFD" w:rsidRDefault="006F1FFD" w:rsidP="006F1FFD">
      <w:pPr>
        <w:pStyle w:val="TOC1"/>
        <w:spacing w:before="0" w:after="0"/>
        <w:ind w:left="435" w:hanging="435"/>
        <w:rPr>
          <w:rFonts w:asciiTheme="minorHAnsi" w:eastAsiaTheme="minorEastAsia" w:hAnsiTheme="minorHAnsi" w:cstheme="minorBidi"/>
          <w:color w:val="auto"/>
          <w:sz w:val="22"/>
          <w:szCs w:val="22"/>
          <w:lang w:eastAsia="en-AU"/>
        </w:rPr>
      </w:pPr>
      <w:r>
        <w:t>4.2</w:t>
      </w:r>
      <w:r>
        <w:rPr>
          <w:rFonts w:asciiTheme="minorHAnsi" w:eastAsiaTheme="minorEastAsia" w:hAnsiTheme="minorHAnsi" w:cstheme="minorBidi"/>
          <w:color w:val="auto"/>
          <w:sz w:val="22"/>
          <w:szCs w:val="22"/>
          <w:lang w:eastAsia="en-AU"/>
        </w:rPr>
        <w:tab/>
      </w:r>
      <w:r>
        <w:t>Improve road agency and local government knowledge of the impact and benefits of High Productivity    Vehicles.</w:t>
      </w:r>
      <w:r>
        <w:tab/>
      </w:r>
      <w:r w:rsidR="00B275D9">
        <w:fldChar w:fldCharType="begin"/>
      </w:r>
      <w:r>
        <w:instrText xml:space="preserve"> PAGEREF _Toc362528123 \h </w:instrText>
      </w:r>
      <w:r w:rsidR="00B275D9">
        <w:fldChar w:fldCharType="separate"/>
      </w:r>
      <w:r w:rsidR="0022780C">
        <w:t>5</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4.3</w:t>
      </w:r>
      <w:r>
        <w:rPr>
          <w:rFonts w:asciiTheme="minorHAnsi" w:eastAsiaTheme="minorEastAsia" w:hAnsiTheme="minorHAnsi" w:cstheme="minorBidi"/>
          <w:color w:val="auto"/>
          <w:sz w:val="22"/>
          <w:szCs w:val="22"/>
          <w:lang w:eastAsia="en-AU"/>
        </w:rPr>
        <w:tab/>
      </w:r>
      <w:r>
        <w:t>Complete Performance Based Standards maps</w:t>
      </w:r>
      <w:r>
        <w:tab/>
      </w:r>
      <w:r w:rsidR="00B275D9">
        <w:fldChar w:fldCharType="begin"/>
      </w:r>
      <w:r>
        <w:instrText xml:space="preserve"> PAGEREF _Toc362528124 \h </w:instrText>
      </w:r>
      <w:r w:rsidR="00B275D9">
        <w:fldChar w:fldCharType="separate"/>
      </w:r>
      <w:r w:rsidR="0022780C">
        <w:t>6</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4.4</w:t>
      </w:r>
      <w:r>
        <w:rPr>
          <w:rFonts w:asciiTheme="minorHAnsi" w:eastAsiaTheme="minorEastAsia" w:hAnsiTheme="minorHAnsi" w:cstheme="minorBidi"/>
          <w:color w:val="auto"/>
          <w:sz w:val="22"/>
          <w:szCs w:val="22"/>
          <w:lang w:eastAsia="en-AU"/>
        </w:rPr>
        <w:tab/>
      </w:r>
      <w:r>
        <w:t>Define the network of roads</w:t>
      </w:r>
      <w:r>
        <w:tab/>
      </w:r>
      <w:r w:rsidR="00B275D9">
        <w:fldChar w:fldCharType="begin"/>
      </w:r>
      <w:r>
        <w:instrText xml:space="preserve"> PAGEREF _Toc362528125 \h </w:instrText>
      </w:r>
      <w:r w:rsidR="00B275D9">
        <w:fldChar w:fldCharType="separate"/>
      </w:r>
      <w:r w:rsidR="0022780C">
        <w:t>7</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4.5</w:t>
      </w:r>
      <w:r>
        <w:rPr>
          <w:rFonts w:asciiTheme="minorHAnsi" w:eastAsiaTheme="minorEastAsia" w:hAnsiTheme="minorHAnsi" w:cstheme="minorBidi"/>
          <w:color w:val="auto"/>
          <w:sz w:val="22"/>
          <w:szCs w:val="22"/>
          <w:lang w:eastAsia="en-AU"/>
        </w:rPr>
        <w:tab/>
      </w:r>
      <w:r>
        <w:t>Implement benchmarking between agencies and within layers of government</w:t>
      </w:r>
      <w:r>
        <w:tab/>
      </w:r>
      <w:r w:rsidR="00B275D9">
        <w:fldChar w:fldCharType="begin"/>
      </w:r>
      <w:r>
        <w:instrText xml:space="preserve"> PAGEREF _Toc362528126 \h </w:instrText>
      </w:r>
      <w:r w:rsidR="00B275D9">
        <w:fldChar w:fldCharType="separate"/>
      </w:r>
      <w:r w:rsidR="0022780C">
        <w:t>7</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4.6</w:t>
      </w:r>
      <w:r>
        <w:rPr>
          <w:rFonts w:asciiTheme="minorHAnsi" w:eastAsiaTheme="minorEastAsia" w:hAnsiTheme="minorHAnsi" w:cstheme="minorBidi"/>
          <w:color w:val="auto"/>
          <w:sz w:val="22"/>
          <w:szCs w:val="22"/>
          <w:lang w:eastAsia="en-AU"/>
        </w:rPr>
        <w:tab/>
      </w:r>
      <w:r>
        <w:t>Continuation of political oversight</w:t>
      </w:r>
      <w:r>
        <w:tab/>
      </w:r>
      <w:r w:rsidR="00B275D9">
        <w:fldChar w:fldCharType="begin"/>
      </w:r>
      <w:r>
        <w:instrText xml:space="preserve"> PAGEREF _Toc362528127 \h </w:instrText>
      </w:r>
      <w:r w:rsidR="00B275D9">
        <w:fldChar w:fldCharType="separate"/>
      </w:r>
      <w:r w:rsidR="0022780C">
        <w:t>8</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4.7</w:t>
      </w:r>
      <w:r>
        <w:rPr>
          <w:rFonts w:asciiTheme="minorHAnsi" w:eastAsiaTheme="minorEastAsia" w:hAnsiTheme="minorHAnsi" w:cstheme="minorBidi"/>
          <w:color w:val="auto"/>
          <w:sz w:val="22"/>
          <w:szCs w:val="22"/>
          <w:lang w:eastAsia="en-AU"/>
        </w:rPr>
        <w:tab/>
      </w:r>
      <w:r>
        <w:t>Integrated freight planning</w:t>
      </w:r>
      <w:r>
        <w:tab/>
      </w:r>
      <w:r w:rsidR="00B275D9">
        <w:fldChar w:fldCharType="begin"/>
      </w:r>
      <w:r>
        <w:instrText xml:space="preserve"> PAGEREF _Toc362528128 \h </w:instrText>
      </w:r>
      <w:r w:rsidR="00B275D9">
        <w:fldChar w:fldCharType="separate"/>
      </w:r>
      <w:r w:rsidR="0022780C">
        <w:t>8</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4.8</w:t>
      </w:r>
      <w:r>
        <w:rPr>
          <w:rFonts w:asciiTheme="minorHAnsi" w:eastAsiaTheme="minorEastAsia" w:hAnsiTheme="minorHAnsi" w:cstheme="minorBidi"/>
          <w:color w:val="auto"/>
          <w:sz w:val="22"/>
          <w:szCs w:val="22"/>
          <w:lang w:eastAsia="en-AU"/>
        </w:rPr>
        <w:tab/>
      </w:r>
      <w:r>
        <w:t>Potentially establishing a national road fund</w:t>
      </w:r>
      <w:r>
        <w:tab/>
      </w:r>
      <w:r w:rsidR="00B275D9">
        <w:fldChar w:fldCharType="begin"/>
      </w:r>
      <w:r>
        <w:instrText xml:space="preserve"> PAGEREF _Toc362528129 \h </w:instrText>
      </w:r>
      <w:r w:rsidR="00B275D9">
        <w:fldChar w:fldCharType="separate"/>
      </w:r>
      <w:r w:rsidR="0022780C">
        <w:t>9</w:t>
      </w:r>
      <w:r w:rsidR="00B275D9">
        <w:fldChar w:fldCharType="end"/>
      </w:r>
    </w:p>
    <w:p w:rsidR="006F1FFD" w:rsidRDefault="006F1FFD">
      <w:pPr>
        <w:pStyle w:val="TOC1"/>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Intricacies of supply side reform</w:t>
      </w:r>
      <w:r>
        <w:tab/>
      </w:r>
      <w:r w:rsidR="00B275D9">
        <w:fldChar w:fldCharType="begin"/>
      </w:r>
      <w:r>
        <w:instrText xml:space="preserve"> PAGEREF _Toc362528130 \h </w:instrText>
      </w:r>
      <w:r w:rsidR="00B275D9">
        <w:fldChar w:fldCharType="separate"/>
      </w:r>
      <w:r w:rsidR="0022780C">
        <w:t>10</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5.1</w:t>
      </w:r>
      <w:r>
        <w:rPr>
          <w:rFonts w:asciiTheme="minorHAnsi" w:eastAsiaTheme="minorEastAsia" w:hAnsiTheme="minorHAnsi" w:cstheme="minorBidi"/>
          <w:color w:val="auto"/>
          <w:sz w:val="22"/>
          <w:szCs w:val="22"/>
          <w:lang w:eastAsia="en-AU"/>
        </w:rPr>
        <w:tab/>
      </w:r>
      <w:r>
        <w:t>An independent economic regulator</w:t>
      </w:r>
      <w:r>
        <w:tab/>
      </w:r>
      <w:r w:rsidR="00B275D9">
        <w:fldChar w:fldCharType="begin"/>
      </w:r>
      <w:r>
        <w:instrText xml:space="preserve"> PAGEREF _Toc362528131 \h </w:instrText>
      </w:r>
      <w:r w:rsidR="00B275D9">
        <w:fldChar w:fldCharType="separate"/>
      </w:r>
      <w:r w:rsidR="0022780C">
        <w:t>10</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5.2</w:t>
      </w:r>
      <w:r>
        <w:rPr>
          <w:rFonts w:asciiTheme="minorHAnsi" w:eastAsiaTheme="minorEastAsia" w:hAnsiTheme="minorHAnsi" w:cstheme="minorBidi"/>
          <w:color w:val="auto"/>
          <w:sz w:val="22"/>
          <w:szCs w:val="22"/>
          <w:lang w:eastAsia="en-AU"/>
        </w:rPr>
        <w:tab/>
      </w:r>
      <w:r>
        <w:t>Road agency capabilities</w:t>
      </w:r>
      <w:r>
        <w:tab/>
      </w:r>
      <w:r w:rsidR="00B275D9">
        <w:fldChar w:fldCharType="begin"/>
      </w:r>
      <w:r>
        <w:instrText xml:space="preserve"> PAGEREF _Toc362528132 \h </w:instrText>
      </w:r>
      <w:r w:rsidR="00B275D9">
        <w:fldChar w:fldCharType="separate"/>
      </w:r>
      <w:r w:rsidR="0022780C">
        <w:t>10</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5.3</w:t>
      </w:r>
      <w:r>
        <w:rPr>
          <w:rFonts w:asciiTheme="minorHAnsi" w:eastAsiaTheme="minorEastAsia" w:hAnsiTheme="minorHAnsi" w:cstheme="minorBidi"/>
          <w:color w:val="auto"/>
          <w:sz w:val="22"/>
          <w:szCs w:val="22"/>
          <w:lang w:eastAsia="en-AU"/>
        </w:rPr>
        <w:tab/>
      </w:r>
      <w:r>
        <w:t>Forward looking planning</w:t>
      </w:r>
      <w:r>
        <w:tab/>
      </w:r>
      <w:r w:rsidR="00B275D9">
        <w:fldChar w:fldCharType="begin"/>
      </w:r>
      <w:r>
        <w:instrText xml:space="preserve"> PAGEREF _Toc362528133 \h </w:instrText>
      </w:r>
      <w:r w:rsidR="00B275D9">
        <w:fldChar w:fldCharType="separate"/>
      </w:r>
      <w:r w:rsidR="0022780C">
        <w:t>11</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5.4</w:t>
      </w:r>
      <w:r>
        <w:rPr>
          <w:rFonts w:asciiTheme="minorHAnsi" w:eastAsiaTheme="minorEastAsia" w:hAnsiTheme="minorHAnsi" w:cstheme="minorBidi"/>
          <w:color w:val="auto"/>
          <w:sz w:val="22"/>
          <w:szCs w:val="22"/>
          <w:lang w:eastAsia="en-AU"/>
        </w:rPr>
        <w:tab/>
      </w:r>
      <w:r>
        <w:t>The funding and financial function</w:t>
      </w:r>
      <w:r>
        <w:tab/>
      </w:r>
      <w:r w:rsidR="00B275D9">
        <w:fldChar w:fldCharType="begin"/>
      </w:r>
      <w:r>
        <w:instrText xml:space="preserve"> PAGEREF _Toc362528134 \h </w:instrText>
      </w:r>
      <w:r w:rsidR="00B275D9">
        <w:fldChar w:fldCharType="separate"/>
      </w:r>
      <w:r w:rsidR="0022780C">
        <w:t>11</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5.5</w:t>
      </w:r>
      <w:r>
        <w:rPr>
          <w:rFonts w:asciiTheme="minorHAnsi" w:eastAsiaTheme="minorEastAsia" w:hAnsiTheme="minorHAnsi" w:cstheme="minorBidi"/>
          <w:color w:val="auto"/>
          <w:sz w:val="22"/>
          <w:szCs w:val="22"/>
          <w:lang w:eastAsia="en-AU"/>
        </w:rPr>
        <w:tab/>
      </w:r>
      <w:r>
        <w:t>Revenue redistribution</w:t>
      </w:r>
      <w:r>
        <w:tab/>
      </w:r>
      <w:r w:rsidR="00B275D9">
        <w:fldChar w:fldCharType="begin"/>
      </w:r>
      <w:r>
        <w:instrText xml:space="preserve"> PAGEREF _Toc362528135 \h </w:instrText>
      </w:r>
      <w:r w:rsidR="00B275D9">
        <w:fldChar w:fldCharType="separate"/>
      </w:r>
      <w:r w:rsidR="0022780C">
        <w:t>11</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5.6</w:t>
      </w:r>
      <w:r>
        <w:rPr>
          <w:rFonts w:asciiTheme="minorHAnsi" w:eastAsiaTheme="minorEastAsia" w:hAnsiTheme="minorHAnsi" w:cstheme="minorBidi"/>
          <w:color w:val="auto"/>
          <w:sz w:val="22"/>
          <w:szCs w:val="22"/>
          <w:lang w:eastAsia="en-AU"/>
        </w:rPr>
        <w:tab/>
      </w:r>
      <w:r>
        <w:t>Local government access to funding</w:t>
      </w:r>
      <w:r>
        <w:tab/>
      </w:r>
      <w:r w:rsidR="00B275D9">
        <w:fldChar w:fldCharType="begin"/>
      </w:r>
      <w:r>
        <w:instrText xml:space="preserve"> PAGEREF _Toc362528136 \h </w:instrText>
      </w:r>
      <w:r w:rsidR="00B275D9">
        <w:fldChar w:fldCharType="separate"/>
      </w:r>
      <w:r w:rsidR="0022780C">
        <w:t>11</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5.7</w:t>
      </w:r>
      <w:r>
        <w:rPr>
          <w:rFonts w:asciiTheme="minorHAnsi" w:eastAsiaTheme="minorEastAsia" w:hAnsiTheme="minorHAnsi" w:cstheme="minorBidi"/>
          <w:color w:val="auto"/>
          <w:sz w:val="22"/>
          <w:szCs w:val="22"/>
          <w:lang w:eastAsia="en-AU"/>
        </w:rPr>
        <w:tab/>
      </w:r>
      <w:r>
        <w:t>Community Service Obligation roads</w:t>
      </w:r>
      <w:r>
        <w:tab/>
      </w:r>
      <w:r w:rsidR="00B275D9">
        <w:fldChar w:fldCharType="begin"/>
      </w:r>
      <w:r>
        <w:instrText xml:space="preserve"> PAGEREF _Toc362528137 \h </w:instrText>
      </w:r>
      <w:r w:rsidR="00B275D9">
        <w:fldChar w:fldCharType="separate"/>
      </w:r>
      <w:r w:rsidR="0022780C">
        <w:t>12</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5.8</w:t>
      </w:r>
      <w:r>
        <w:rPr>
          <w:rFonts w:asciiTheme="minorHAnsi" w:eastAsiaTheme="minorEastAsia" w:hAnsiTheme="minorHAnsi" w:cstheme="minorBidi"/>
          <w:color w:val="auto"/>
          <w:sz w:val="22"/>
          <w:szCs w:val="22"/>
          <w:lang w:eastAsia="en-AU"/>
        </w:rPr>
        <w:tab/>
      </w:r>
      <w:r>
        <w:t>Data to inform road investment</w:t>
      </w:r>
      <w:r>
        <w:tab/>
      </w:r>
      <w:r w:rsidR="00B275D9">
        <w:fldChar w:fldCharType="begin"/>
      </w:r>
      <w:r>
        <w:instrText xml:space="preserve"> PAGEREF _Toc362528138 \h </w:instrText>
      </w:r>
      <w:r w:rsidR="00B275D9">
        <w:fldChar w:fldCharType="separate"/>
      </w:r>
      <w:r w:rsidR="0022780C">
        <w:t>12</w:t>
      </w:r>
      <w:r w:rsidR="00B275D9">
        <w:fldChar w:fldCharType="end"/>
      </w:r>
    </w:p>
    <w:p w:rsidR="006F1FFD" w:rsidRDefault="006F1FFD">
      <w:pPr>
        <w:pStyle w:val="TOC1"/>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Heavy Vehicle charges reform</w:t>
      </w:r>
      <w:r>
        <w:tab/>
      </w:r>
      <w:r w:rsidR="00B275D9">
        <w:fldChar w:fldCharType="begin"/>
      </w:r>
      <w:r>
        <w:instrText xml:space="preserve"> PAGEREF _Toc362528139 \h </w:instrText>
      </w:r>
      <w:r w:rsidR="00B275D9">
        <w:fldChar w:fldCharType="separate"/>
      </w:r>
      <w:r w:rsidR="0022780C">
        <w:t>14</w:t>
      </w:r>
      <w:r w:rsidR="00B275D9">
        <w:fldChar w:fldCharType="end"/>
      </w:r>
    </w:p>
    <w:p w:rsidR="006F1FFD" w:rsidRDefault="006F1FFD">
      <w:pPr>
        <w:pStyle w:val="TOC1"/>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Intricacies of heavy vehicle charges reform</w:t>
      </w:r>
      <w:r>
        <w:tab/>
      </w:r>
      <w:r w:rsidR="00B275D9">
        <w:fldChar w:fldCharType="begin"/>
      </w:r>
      <w:r>
        <w:instrText xml:space="preserve"> PAGEREF _Toc362528140 \h </w:instrText>
      </w:r>
      <w:r w:rsidR="00B275D9">
        <w:fldChar w:fldCharType="separate"/>
      </w:r>
      <w:r w:rsidR="0022780C">
        <w:t>16</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7.1</w:t>
      </w:r>
      <w:r>
        <w:rPr>
          <w:rFonts w:asciiTheme="minorHAnsi" w:eastAsiaTheme="minorEastAsia" w:hAnsiTheme="minorHAnsi" w:cstheme="minorBidi"/>
          <w:color w:val="auto"/>
          <w:sz w:val="22"/>
          <w:szCs w:val="22"/>
          <w:lang w:eastAsia="en-AU"/>
        </w:rPr>
        <w:tab/>
      </w:r>
      <w:r>
        <w:t>The Road User Charge (RUC) exceeding the excise cap</w:t>
      </w:r>
      <w:r>
        <w:tab/>
      </w:r>
      <w:r w:rsidR="00B275D9">
        <w:fldChar w:fldCharType="begin"/>
      </w:r>
      <w:r>
        <w:instrText xml:space="preserve"> PAGEREF _Toc362528141 \h </w:instrText>
      </w:r>
      <w:r w:rsidR="00B275D9">
        <w:fldChar w:fldCharType="separate"/>
      </w:r>
      <w:r w:rsidR="0022780C">
        <w:t>16</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7.2</w:t>
      </w:r>
      <w:r>
        <w:rPr>
          <w:rFonts w:asciiTheme="minorHAnsi" w:eastAsiaTheme="minorEastAsia" w:hAnsiTheme="minorHAnsi" w:cstheme="minorBidi"/>
          <w:color w:val="auto"/>
          <w:sz w:val="22"/>
          <w:szCs w:val="22"/>
          <w:lang w:eastAsia="en-AU"/>
        </w:rPr>
        <w:tab/>
      </w:r>
      <w:r>
        <w:t>Fleet management data</w:t>
      </w:r>
      <w:r>
        <w:tab/>
      </w:r>
      <w:r w:rsidR="00B275D9">
        <w:fldChar w:fldCharType="begin"/>
      </w:r>
      <w:r>
        <w:instrText xml:space="preserve"> PAGEREF _Toc362528142 \h </w:instrText>
      </w:r>
      <w:r w:rsidR="00B275D9">
        <w:fldChar w:fldCharType="separate"/>
      </w:r>
      <w:r w:rsidR="0022780C">
        <w:t>16</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7.3</w:t>
      </w:r>
      <w:r>
        <w:rPr>
          <w:rFonts w:asciiTheme="minorHAnsi" w:eastAsiaTheme="minorEastAsia" w:hAnsiTheme="minorHAnsi" w:cstheme="minorBidi"/>
          <w:color w:val="auto"/>
          <w:sz w:val="22"/>
          <w:szCs w:val="22"/>
          <w:lang w:eastAsia="en-AU"/>
        </w:rPr>
        <w:tab/>
      </w:r>
      <w:r>
        <w:t>National or state based charges</w:t>
      </w:r>
      <w:r>
        <w:tab/>
      </w:r>
      <w:r w:rsidR="00B275D9">
        <w:fldChar w:fldCharType="begin"/>
      </w:r>
      <w:r>
        <w:instrText xml:space="preserve"> PAGEREF _Toc362528143 \h </w:instrText>
      </w:r>
      <w:r w:rsidR="00B275D9">
        <w:fldChar w:fldCharType="separate"/>
      </w:r>
      <w:r w:rsidR="0022780C">
        <w:t>17</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7.4</w:t>
      </w:r>
      <w:r>
        <w:rPr>
          <w:rFonts w:asciiTheme="minorHAnsi" w:eastAsiaTheme="minorEastAsia" w:hAnsiTheme="minorHAnsi" w:cstheme="minorBidi"/>
          <w:color w:val="auto"/>
          <w:sz w:val="22"/>
          <w:szCs w:val="22"/>
          <w:lang w:eastAsia="en-AU"/>
        </w:rPr>
        <w:tab/>
      </w:r>
      <w:r>
        <w:t>Adequate price signals and the optimal fleet mix</w:t>
      </w:r>
      <w:r>
        <w:tab/>
      </w:r>
      <w:r w:rsidR="00B275D9">
        <w:fldChar w:fldCharType="begin"/>
      </w:r>
      <w:r>
        <w:instrText xml:space="preserve"> PAGEREF _Toc362528144 \h </w:instrText>
      </w:r>
      <w:r w:rsidR="00B275D9">
        <w:fldChar w:fldCharType="separate"/>
      </w:r>
      <w:r w:rsidR="0022780C">
        <w:t>17</w:t>
      </w:r>
      <w:r w:rsidR="00B275D9">
        <w:fldChar w:fldCharType="end"/>
      </w:r>
    </w:p>
    <w:p w:rsidR="006F1FFD" w:rsidRDefault="006F1FFD" w:rsidP="006F1FFD">
      <w:pPr>
        <w:pStyle w:val="TOC1"/>
        <w:spacing w:before="0" w:after="0"/>
        <w:rPr>
          <w:rFonts w:asciiTheme="minorHAnsi" w:eastAsiaTheme="minorEastAsia" w:hAnsiTheme="minorHAnsi" w:cstheme="minorBidi"/>
          <w:color w:val="auto"/>
          <w:sz w:val="22"/>
          <w:szCs w:val="22"/>
          <w:lang w:eastAsia="en-AU"/>
        </w:rPr>
      </w:pPr>
      <w:r>
        <w:t>7.5</w:t>
      </w:r>
      <w:r>
        <w:rPr>
          <w:rFonts w:asciiTheme="minorHAnsi" w:eastAsiaTheme="minorEastAsia" w:hAnsiTheme="minorHAnsi" w:cstheme="minorBidi"/>
          <w:color w:val="auto"/>
          <w:sz w:val="22"/>
          <w:szCs w:val="22"/>
          <w:lang w:eastAsia="en-AU"/>
        </w:rPr>
        <w:tab/>
      </w:r>
      <w:r>
        <w:t>Incremental charges for heavy vehicles</w:t>
      </w:r>
      <w:r>
        <w:tab/>
      </w:r>
      <w:r w:rsidR="00B275D9">
        <w:fldChar w:fldCharType="begin"/>
      </w:r>
      <w:r>
        <w:instrText xml:space="preserve"> PAGEREF _Toc362528145 \h </w:instrText>
      </w:r>
      <w:r w:rsidR="00B275D9">
        <w:fldChar w:fldCharType="separate"/>
      </w:r>
      <w:r w:rsidR="0022780C">
        <w:t>17</w:t>
      </w:r>
      <w:r w:rsidR="00B275D9">
        <w:fldChar w:fldCharType="end"/>
      </w:r>
    </w:p>
    <w:p w:rsidR="006F1FFD" w:rsidRDefault="006F1FFD">
      <w:pPr>
        <w:pStyle w:val="TOC1"/>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Conclusion</w:t>
      </w:r>
      <w:r>
        <w:tab/>
      </w:r>
      <w:r w:rsidR="00B275D9">
        <w:fldChar w:fldCharType="begin"/>
      </w:r>
      <w:r>
        <w:instrText xml:space="preserve"> PAGEREF _Toc362528146 \h </w:instrText>
      </w:r>
      <w:r w:rsidR="00B275D9">
        <w:fldChar w:fldCharType="separate"/>
      </w:r>
      <w:r w:rsidR="0022780C">
        <w:t>18</w:t>
      </w:r>
      <w:r w:rsidR="00B275D9">
        <w:fldChar w:fldCharType="end"/>
      </w:r>
    </w:p>
    <w:p w:rsidR="00241C15" w:rsidRPr="00616E75" w:rsidRDefault="00B275D9" w:rsidP="001025C9">
      <w:pPr>
        <w:tabs>
          <w:tab w:val="right" w:leader="dot" w:pos="9645"/>
        </w:tabs>
        <w:jc w:val="both"/>
        <w:rPr>
          <w:rFonts w:ascii="Arial" w:hAnsi="Arial" w:cs="Arial"/>
          <w:b/>
        </w:rPr>
      </w:pPr>
      <w:r w:rsidRPr="00E113A8">
        <w:rPr>
          <w:rFonts w:ascii="Arial" w:hAnsi="Arial" w:cs="Arial"/>
          <w:b/>
        </w:rPr>
        <w:fldChar w:fldCharType="end"/>
      </w:r>
    </w:p>
    <w:p w:rsidR="00576ED0" w:rsidRPr="00616E75" w:rsidRDefault="00576ED0" w:rsidP="001025C9">
      <w:pPr>
        <w:jc w:val="both"/>
        <w:rPr>
          <w:rFonts w:ascii="Arial" w:hAnsi="Arial" w:cs="Arial"/>
          <w:b/>
        </w:rPr>
      </w:pPr>
      <w:r w:rsidRPr="00616E75">
        <w:rPr>
          <w:rFonts w:ascii="Arial" w:hAnsi="Arial" w:cs="Arial"/>
          <w:b/>
        </w:rPr>
        <w:br w:type="page"/>
      </w:r>
    </w:p>
    <w:p w:rsidR="00576ED0" w:rsidRPr="00D51476" w:rsidRDefault="00576ED0" w:rsidP="00793431">
      <w:pPr>
        <w:pStyle w:val="Heading1"/>
        <w:numPr>
          <w:ilvl w:val="0"/>
          <w:numId w:val="3"/>
        </w:numPr>
      </w:pPr>
      <w:bookmarkStart w:id="0" w:name="_Toc362528118"/>
      <w:r w:rsidRPr="00D51476">
        <w:lastRenderedPageBreak/>
        <w:t>Introduction</w:t>
      </w:r>
      <w:bookmarkEnd w:id="0"/>
    </w:p>
    <w:p w:rsidR="00685770" w:rsidRDefault="00685770" w:rsidP="002D6F74">
      <w:pPr>
        <w:autoSpaceDE w:val="0"/>
        <w:autoSpaceDN w:val="0"/>
        <w:adjustRightInd w:val="0"/>
        <w:spacing w:after="200" w:line="276" w:lineRule="auto"/>
        <w:rPr>
          <w:rFonts w:ascii="Arial" w:hAnsi="Arial" w:cs="Arial"/>
          <w:sz w:val="20"/>
          <w:szCs w:val="20"/>
        </w:rPr>
      </w:pPr>
    </w:p>
    <w:p w:rsidR="006170F1" w:rsidRDefault="007059DD" w:rsidP="002D6F74">
      <w:pPr>
        <w:autoSpaceDE w:val="0"/>
        <w:autoSpaceDN w:val="0"/>
        <w:adjustRightInd w:val="0"/>
        <w:spacing w:after="200" w:line="276" w:lineRule="auto"/>
        <w:rPr>
          <w:rFonts w:ascii="Arial" w:hAnsi="Arial" w:cs="Arial"/>
          <w:sz w:val="20"/>
          <w:szCs w:val="20"/>
          <w:highlight w:val="white"/>
          <w:lang w:eastAsia="en-AU"/>
        </w:rPr>
      </w:pPr>
      <w:r w:rsidRPr="00D51476">
        <w:rPr>
          <w:rFonts w:ascii="Arial" w:hAnsi="Arial" w:cs="Arial"/>
          <w:sz w:val="20"/>
          <w:szCs w:val="20"/>
          <w:highlight w:val="white"/>
          <w:lang w:eastAsia="en-AU"/>
        </w:rPr>
        <w:t>The ATA has been involved in the H</w:t>
      </w:r>
      <w:r w:rsidR="000A42F8">
        <w:rPr>
          <w:rFonts w:ascii="Arial" w:hAnsi="Arial" w:cs="Arial"/>
          <w:sz w:val="20"/>
          <w:szCs w:val="20"/>
          <w:highlight w:val="white"/>
          <w:lang w:eastAsia="en-AU"/>
        </w:rPr>
        <w:t xml:space="preserve">eavy </w:t>
      </w:r>
      <w:r w:rsidR="000A42F8" w:rsidRPr="00D51476">
        <w:rPr>
          <w:rFonts w:ascii="Arial" w:hAnsi="Arial" w:cs="Arial"/>
          <w:sz w:val="20"/>
          <w:szCs w:val="20"/>
          <w:highlight w:val="white"/>
          <w:lang w:eastAsia="en-AU"/>
        </w:rPr>
        <w:t>V</w:t>
      </w:r>
      <w:r w:rsidR="000A42F8">
        <w:rPr>
          <w:rFonts w:ascii="Arial" w:hAnsi="Arial" w:cs="Arial"/>
          <w:sz w:val="20"/>
          <w:szCs w:val="20"/>
          <w:highlight w:val="white"/>
          <w:lang w:eastAsia="en-AU"/>
        </w:rPr>
        <w:t xml:space="preserve">ehicle </w:t>
      </w:r>
      <w:r w:rsidRPr="00D51476">
        <w:rPr>
          <w:rFonts w:ascii="Arial" w:hAnsi="Arial" w:cs="Arial"/>
          <w:sz w:val="20"/>
          <w:szCs w:val="20"/>
          <w:highlight w:val="white"/>
          <w:lang w:eastAsia="en-AU"/>
        </w:rPr>
        <w:t>C</w:t>
      </w:r>
      <w:r w:rsidR="000A42F8">
        <w:rPr>
          <w:rFonts w:ascii="Arial" w:hAnsi="Arial" w:cs="Arial"/>
          <w:sz w:val="20"/>
          <w:szCs w:val="20"/>
          <w:highlight w:val="white"/>
          <w:lang w:eastAsia="en-AU"/>
        </w:rPr>
        <w:t xml:space="preserve">harging and </w:t>
      </w:r>
      <w:r w:rsidRPr="00D51476">
        <w:rPr>
          <w:rFonts w:ascii="Arial" w:hAnsi="Arial" w:cs="Arial"/>
          <w:sz w:val="20"/>
          <w:szCs w:val="20"/>
          <w:highlight w:val="white"/>
          <w:lang w:eastAsia="en-AU"/>
        </w:rPr>
        <w:t>I</w:t>
      </w:r>
      <w:r w:rsidR="000A42F8">
        <w:rPr>
          <w:rFonts w:ascii="Arial" w:hAnsi="Arial" w:cs="Arial"/>
          <w:sz w:val="20"/>
          <w:szCs w:val="20"/>
          <w:highlight w:val="white"/>
          <w:lang w:eastAsia="en-AU"/>
        </w:rPr>
        <w:t>nvestment (HVCI)</w:t>
      </w:r>
      <w:r w:rsidRPr="00D51476">
        <w:rPr>
          <w:rFonts w:ascii="Arial" w:hAnsi="Arial" w:cs="Arial"/>
          <w:sz w:val="20"/>
          <w:szCs w:val="20"/>
          <w:highlight w:val="white"/>
          <w:lang w:eastAsia="en-AU"/>
        </w:rPr>
        <w:t xml:space="preserve"> pro</w:t>
      </w:r>
      <w:r w:rsidR="00685770">
        <w:rPr>
          <w:rFonts w:ascii="Arial" w:hAnsi="Arial" w:cs="Arial"/>
          <w:sz w:val="20"/>
          <w:szCs w:val="20"/>
          <w:highlight w:val="white"/>
          <w:lang w:eastAsia="en-AU"/>
        </w:rPr>
        <w:t>cess since the project</w:t>
      </w:r>
      <w:r w:rsidR="00E11A18">
        <w:rPr>
          <w:rFonts w:ascii="Arial" w:hAnsi="Arial" w:cs="Arial"/>
          <w:sz w:val="20"/>
          <w:szCs w:val="20"/>
          <w:highlight w:val="white"/>
          <w:lang w:eastAsia="en-AU"/>
        </w:rPr>
        <w:t>’</w:t>
      </w:r>
      <w:r w:rsidR="00685770">
        <w:rPr>
          <w:rFonts w:ascii="Arial" w:hAnsi="Arial" w:cs="Arial"/>
          <w:sz w:val="20"/>
          <w:szCs w:val="20"/>
          <w:highlight w:val="white"/>
          <w:lang w:eastAsia="en-AU"/>
        </w:rPr>
        <w:t>s</w:t>
      </w:r>
      <w:r w:rsidRPr="00D51476">
        <w:rPr>
          <w:rFonts w:ascii="Arial" w:hAnsi="Arial" w:cs="Arial"/>
          <w:sz w:val="20"/>
          <w:szCs w:val="20"/>
          <w:highlight w:val="white"/>
          <w:lang w:eastAsia="en-AU"/>
        </w:rPr>
        <w:t xml:space="preserve"> inception in 2006. In that time the focus of reform has shifted from heavy vehicle charges to road agency culture and t</w:t>
      </w:r>
      <w:r w:rsidR="00E57D6C">
        <w:rPr>
          <w:rFonts w:ascii="Arial" w:hAnsi="Arial" w:cs="Arial"/>
          <w:sz w:val="20"/>
          <w:szCs w:val="20"/>
          <w:highlight w:val="white"/>
          <w:lang w:eastAsia="en-AU"/>
        </w:rPr>
        <w:t>he framework of road provision. The A</w:t>
      </w:r>
      <w:r w:rsidR="000A42F8">
        <w:rPr>
          <w:rFonts w:ascii="Arial" w:hAnsi="Arial" w:cs="Arial"/>
          <w:sz w:val="20"/>
          <w:szCs w:val="20"/>
          <w:highlight w:val="white"/>
          <w:lang w:eastAsia="en-AU"/>
        </w:rPr>
        <w:t xml:space="preserve">ustralian Trucking </w:t>
      </w:r>
      <w:r w:rsidR="00E57D6C">
        <w:rPr>
          <w:rFonts w:ascii="Arial" w:hAnsi="Arial" w:cs="Arial"/>
          <w:sz w:val="20"/>
          <w:szCs w:val="20"/>
          <w:highlight w:val="white"/>
          <w:lang w:eastAsia="en-AU"/>
        </w:rPr>
        <w:t>A</w:t>
      </w:r>
      <w:r w:rsidR="000A42F8">
        <w:rPr>
          <w:rFonts w:ascii="Arial" w:hAnsi="Arial" w:cs="Arial"/>
          <w:sz w:val="20"/>
          <w:szCs w:val="20"/>
          <w:highlight w:val="white"/>
          <w:lang w:eastAsia="en-AU"/>
        </w:rPr>
        <w:t xml:space="preserve">ssociation </w:t>
      </w:r>
      <w:r w:rsidR="004D0DF9">
        <w:rPr>
          <w:rFonts w:ascii="Arial" w:hAnsi="Arial" w:cs="Arial"/>
          <w:sz w:val="20"/>
          <w:szCs w:val="20"/>
          <w:highlight w:val="white"/>
          <w:lang w:eastAsia="en-AU"/>
        </w:rPr>
        <w:t>strongly support</w:t>
      </w:r>
      <w:r w:rsidR="00E57D6C">
        <w:rPr>
          <w:rFonts w:ascii="Arial" w:hAnsi="Arial" w:cs="Arial"/>
          <w:sz w:val="20"/>
          <w:szCs w:val="20"/>
          <w:highlight w:val="white"/>
          <w:lang w:eastAsia="en-AU"/>
        </w:rPr>
        <w:t xml:space="preserve">s the need to reform the provision of road agencies to deliver roads more efficiently. </w:t>
      </w:r>
    </w:p>
    <w:p w:rsidR="00E87E6C" w:rsidRPr="00D51476" w:rsidRDefault="00A230D5" w:rsidP="002D6F74">
      <w:pPr>
        <w:autoSpaceDE w:val="0"/>
        <w:autoSpaceDN w:val="0"/>
        <w:adjustRightInd w:val="0"/>
        <w:spacing w:after="200" w:line="276" w:lineRule="auto"/>
        <w:rPr>
          <w:rFonts w:ascii="Arial" w:hAnsi="Arial" w:cs="Arial"/>
          <w:sz w:val="20"/>
          <w:szCs w:val="20"/>
          <w:highlight w:val="white"/>
          <w:lang w:eastAsia="en-AU"/>
        </w:rPr>
      </w:pPr>
      <w:r>
        <w:rPr>
          <w:rFonts w:ascii="Arial" w:hAnsi="Arial" w:cs="Arial"/>
          <w:sz w:val="20"/>
          <w:szCs w:val="20"/>
          <w:highlight w:val="white"/>
          <w:lang w:eastAsia="en-AU"/>
        </w:rPr>
        <w:t>This</w:t>
      </w:r>
      <w:r w:rsidR="002D6F74" w:rsidRPr="00D51476">
        <w:rPr>
          <w:rFonts w:ascii="Arial" w:hAnsi="Arial" w:cs="Arial"/>
          <w:sz w:val="20"/>
          <w:szCs w:val="20"/>
          <w:highlight w:val="white"/>
          <w:lang w:eastAsia="en-AU"/>
        </w:rPr>
        <w:t xml:space="preserve"> submission is written in response to the HVCI discussi</w:t>
      </w:r>
      <w:r w:rsidR="00685770">
        <w:rPr>
          <w:rFonts w:ascii="Arial" w:hAnsi="Arial" w:cs="Arial"/>
          <w:sz w:val="20"/>
          <w:szCs w:val="20"/>
          <w:highlight w:val="white"/>
          <w:lang w:eastAsia="en-AU"/>
        </w:rPr>
        <w:t xml:space="preserve">on paper. It also reflects </w:t>
      </w:r>
      <w:r w:rsidR="002D6F74" w:rsidRPr="00D51476">
        <w:rPr>
          <w:rFonts w:ascii="Arial" w:hAnsi="Arial" w:cs="Arial"/>
          <w:sz w:val="20"/>
          <w:szCs w:val="20"/>
          <w:highlight w:val="white"/>
          <w:lang w:eastAsia="en-AU"/>
        </w:rPr>
        <w:t xml:space="preserve">industry’s views following the Co-design </w:t>
      </w:r>
      <w:r w:rsidR="00E11A18">
        <w:rPr>
          <w:rFonts w:ascii="Arial" w:hAnsi="Arial" w:cs="Arial"/>
          <w:sz w:val="20"/>
          <w:szCs w:val="20"/>
          <w:highlight w:val="white"/>
          <w:lang w:eastAsia="en-AU"/>
        </w:rPr>
        <w:t>W</w:t>
      </w:r>
      <w:r w:rsidR="002D6F74" w:rsidRPr="00D51476">
        <w:rPr>
          <w:rFonts w:ascii="Arial" w:hAnsi="Arial" w:cs="Arial"/>
          <w:sz w:val="20"/>
          <w:szCs w:val="20"/>
          <w:highlight w:val="white"/>
          <w:lang w:eastAsia="en-AU"/>
        </w:rPr>
        <w:t>orkshop</w:t>
      </w:r>
      <w:r w:rsidR="009D3D38">
        <w:rPr>
          <w:rFonts w:ascii="Arial" w:hAnsi="Arial" w:cs="Arial"/>
          <w:sz w:val="20"/>
          <w:szCs w:val="20"/>
          <w:highlight w:val="white"/>
          <w:lang w:eastAsia="en-AU"/>
        </w:rPr>
        <w:t>s</w:t>
      </w:r>
      <w:r w:rsidR="002D6F74" w:rsidRPr="00D51476">
        <w:rPr>
          <w:rFonts w:ascii="Arial" w:hAnsi="Arial" w:cs="Arial"/>
          <w:sz w:val="20"/>
          <w:szCs w:val="20"/>
          <w:highlight w:val="white"/>
          <w:lang w:eastAsia="en-AU"/>
        </w:rPr>
        <w:t xml:space="preserve"> that the ATA and member associations were involved in. </w:t>
      </w:r>
    </w:p>
    <w:p w:rsidR="006663BD" w:rsidRPr="00510D1B" w:rsidRDefault="00E11A18" w:rsidP="00510D1B">
      <w:pPr>
        <w:jc w:val="both"/>
        <w:rPr>
          <w:rFonts w:ascii="Arial" w:hAnsi="Arial" w:cs="Arial"/>
          <w:sz w:val="20"/>
          <w:szCs w:val="20"/>
        </w:rPr>
      </w:pPr>
      <w:r>
        <w:rPr>
          <w:rFonts w:ascii="Arial" w:hAnsi="Arial" w:cs="Arial"/>
          <w:sz w:val="20"/>
          <w:szCs w:val="20"/>
          <w:highlight w:val="white"/>
          <w:lang w:eastAsia="en-AU"/>
        </w:rPr>
        <w:t>In 201</w:t>
      </w:r>
      <w:r w:rsidR="009D3D38">
        <w:rPr>
          <w:rFonts w:ascii="Arial" w:hAnsi="Arial" w:cs="Arial"/>
          <w:sz w:val="20"/>
          <w:szCs w:val="20"/>
          <w:highlight w:val="white"/>
          <w:lang w:eastAsia="en-AU"/>
        </w:rPr>
        <w:t>2</w:t>
      </w:r>
      <w:r>
        <w:rPr>
          <w:rFonts w:ascii="Arial" w:hAnsi="Arial" w:cs="Arial"/>
          <w:sz w:val="20"/>
          <w:szCs w:val="20"/>
          <w:highlight w:val="white"/>
          <w:lang w:eastAsia="en-AU"/>
        </w:rPr>
        <w:t>, t</w:t>
      </w:r>
      <w:r w:rsidR="00E87E6C" w:rsidRPr="00D51476">
        <w:rPr>
          <w:rFonts w:ascii="Arial" w:hAnsi="Arial" w:cs="Arial"/>
          <w:sz w:val="20"/>
          <w:szCs w:val="20"/>
          <w:highlight w:val="white"/>
          <w:lang w:eastAsia="en-AU"/>
        </w:rPr>
        <w:t xml:space="preserve">he ATA commissioned independent </w:t>
      </w:r>
      <w:r w:rsidR="00E57D6C">
        <w:rPr>
          <w:rFonts w:ascii="Arial" w:hAnsi="Arial" w:cs="Arial"/>
          <w:sz w:val="20"/>
          <w:szCs w:val="20"/>
          <w:highlight w:val="white"/>
          <w:lang w:eastAsia="en-AU"/>
        </w:rPr>
        <w:t>advice</w:t>
      </w:r>
      <w:r w:rsidR="00E87E6C" w:rsidRPr="00D51476">
        <w:rPr>
          <w:rFonts w:ascii="Arial" w:hAnsi="Arial" w:cs="Arial"/>
          <w:sz w:val="20"/>
          <w:szCs w:val="20"/>
          <w:highlight w:val="white"/>
          <w:lang w:eastAsia="en-AU"/>
        </w:rPr>
        <w:t xml:space="preserve"> </w:t>
      </w:r>
      <w:r>
        <w:rPr>
          <w:rFonts w:ascii="Arial" w:hAnsi="Arial" w:cs="Arial"/>
          <w:sz w:val="20"/>
          <w:szCs w:val="20"/>
          <w:highlight w:val="white"/>
          <w:lang w:eastAsia="en-AU"/>
        </w:rPr>
        <w:t>that</w:t>
      </w:r>
      <w:r w:rsidRPr="00D51476">
        <w:rPr>
          <w:rFonts w:ascii="Arial" w:hAnsi="Arial" w:cs="Arial"/>
          <w:sz w:val="20"/>
          <w:szCs w:val="20"/>
          <w:highlight w:val="white"/>
          <w:lang w:eastAsia="en-AU"/>
        </w:rPr>
        <w:t xml:space="preserve"> </w:t>
      </w:r>
      <w:r w:rsidR="00E87E6C" w:rsidRPr="00D51476">
        <w:rPr>
          <w:rFonts w:ascii="Arial" w:hAnsi="Arial" w:cs="Arial"/>
          <w:sz w:val="20"/>
          <w:szCs w:val="20"/>
          <w:highlight w:val="white"/>
          <w:lang w:eastAsia="en-AU"/>
        </w:rPr>
        <w:t xml:space="preserve">examined many of the topics HVCI are investigating. The ATA has endorsed </w:t>
      </w:r>
      <w:r>
        <w:rPr>
          <w:rFonts w:ascii="Arial" w:hAnsi="Arial" w:cs="Arial"/>
          <w:sz w:val="20"/>
          <w:szCs w:val="20"/>
          <w:highlight w:val="white"/>
          <w:lang w:eastAsia="en-AU"/>
        </w:rPr>
        <w:t>all</w:t>
      </w:r>
      <w:r w:rsidRPr="00D51476">
        <w:rPr>
          <w:rFonts w:ascii="Arial" w:hAnsi="Arial" w:cs="Arial"/>
          <w:sz w:val="20"/>
          <w:szCs w:val="20"/>
          <w:highlight w:val="white"/>
          <w:lang w:eastAsia="en-AU"/>
        </w:rPr>
        <w:t xml:space="preserve"> </w:t>
      </w:r>
      <w:r w:rsidR="00E87E6C" w:rsidRPr="00D51476">
        <w:rPr>
          <w:rFonts w:ascii="Arial" w:hAnsi="Arial" w:cs="Arial"/>
          <w:sz w:val="20"/>
          <w:szCs w:val="20"/>
          <w:highlight w:val="white"/>
          <w:lang w:eastAsia="en-AU"/>
        </w:rPr>
        <w:t>short</w:t>
      </w:r>
      <w:r>
        <w:rPr>
          <w:rFonts w:ascii="Arial" w:hAnsi="Arial" w:cs="Arial"/>
          <w:sz w:val="20"/>
          <w:szCs w:val="20"/>
          <w:highlight w:val="white"/>
          <w:lang w:eastAsia="en-AU"/>
        </w:rPr>
        <w:t>-</w:t>
      </w:r>
      <w:r w:rsidR="00E87E6C" w:rsidRPr="00D51476">
        <w:rPr>
          <w:rFonts w:ascii="Arial" w:hAnsi="Arial" w:cs="Arial"/>
          <w:sz w:val="20"/>
          <w:szCs w:val="20"/>
          <w:highlight w:val="white"/>
          <w:lang w:eastAsia="en-AU"/>
        </w:rPr>
        <w:t>term recommendations made</w:t>
      </w:r>
      <w:r w:rsidR="00685770">
        <w:rPr>
          <w:rFonts w:ascii="Arial" w:hAnsi="Arial" w:cs="Arial"/>
          <w:sz w:val="20"/>
          <w:szCs w:val="20"/>
          <w:highlight w:val="white"/>
          <w:lang w:eastAsia="en-AU"/>
        </w:rPr>
        <w:t xml:space="preserve"> by the P</w:t>
      </w:r>
      <w:r w:rsidR="004D0DF9">
        <w:rPr>
          <w:rFonts w:ascii="Arial" w:hAnsi="Arial" w:cs="Arial"/>
          <w:sz w:val="20"/>
          <w:szCs w:val="20"/>
          <w:highlight w:val="white"/>
          <w:lang w:eastAsia="en-AU"/>
        </w:rPr>
        <w:t>rice</w:t>
      </w:r>
      <w:r w:rsidR="00685770">
        <w:rPr>
          <w:rFonts w:ascii="Arial" w:hAnsi="Arial" w:cs="Arial"/>
          <w:sz w:val="20"/>
          <w:szCs w:val="20"/>
          <w:highlight w:val="white"/>
          <w:lang w:eastAsia="en-AU"/>
        </w:rPr>
        <w:t>w</w:t>
      </w:r>
      <w:r w:rsidR="004D0DF9">
        <w:rPr>
          <w:rFonts w:ascii="Arial" w:hAnsi="Arial" w:cs="Arial"/>
          <w:sz w:val="20"/>
          <w:szCs w:val="20"/>
          <w:highlight w:val="white"/>
          <w:lang w:eastAsia="en-AU"/>
        </w:rPr>
        <w:t>aterhouseCo</w:t>
      </w:r>
      <w:r w:rsidR="009D3D38">
        <w:rPr>
          <w:rFonts w:ascii="Arial" w:hAnsi="Arial" w:cs="Arial"/>
          <w:sz w:val="20"/>
          <w:szCs w:val="20"/>
          <w:highlight w:val="white"/>
          <w:lang w:eastAsia="en-AU"/>
        </w:rPr>
        <w:t>o</w:t>
      </w:r>
      <w:r w:rsidR="004D0DF9">
        <w:rPr>
          <w:rFonts w:ascii="Arial" w:hAnsi="Arial" w:cs="Arial"/>
          <w:sz w:val="20"/>
          <w:szCs w:val="20"/>
          <w:highlight w:val="white"/>
          <w:lang w:eastAsia="en-AU"/>
        </w:rPr>
        <w:t>pers</w:t>
      </w:r>
      <w:r w:rsidR="00685770">
        <w:rPr>
          <w:rFonts w:ascii="Arial" w:hAnsi="Arial" w:cs="Arial"/>
          <w:sz w:val="20"/>
          <w:szCs w:val="20"/>
          <w:highlight w:val="white"/>
          <w:lang w:eastAsia="en-AU"/>
        </w:rPr>
        <w:t xml:space="preserve"> </w:t>
      </w:r>
      <w:r w:rsidR="004D0DF9">
        <w:rPr>
          <w:rFonts w:ascii="Arial" w:hAnsi="Arial" w:cs="Arial"/>
          <w:sz w:val="20"/>
          <w:szCs w:val="20"/>
          <w:highlight w:val="white"/>
          <w:lang w:eastAsia="en-AU"/>
        </w:rPr>
        <w:t xml:space="preserve">(PwC) </w:t>
      </w:r>
      <w:r w:rsidR="00685770">
        <w:rPr>
          <w:rFonts w:ascii="Arial" w:hAnsi="Arial" w:cs="Arial"/>
          <w:sz w:val="20"/>
          <w:szCs w:val="20"/>
          <w:highlight w:val="white"/>
          <w:lang w:eastAsia="en-AU"/>
        </w:rPr>
        <w:t>report</w:t>
      </w:r>
      <w:r w:rsidR="00E87E6C" w:rsidRPr="00D51476">
        <w:rPr>
          <w:rFonts w:ascii="Arial" w:hAnsi="Arial" w:cs="Arial"/>
          <w:sz w:val="20"/>
          <w:szCs w:val="20"/>
          <w:highlight w:val="white"/>
          <w:lang w:eastAsia="en-AU"/>
        </w:rPr>
        <w:t>. The ATA strongly advises HVCI to take notice of the PwC re</w:t>
      </w:r>
      <w:r w:rsidR="00685770">
        <w:rPr>
          <w:rFonts w:ascii="Arial" w:hAnsi="Arial" w:cs="Arial"/>
          <w:sz w:val="20"/>
          <w:szCs w:val="20"/>
          <w:highlight w:val="white"/>
          <w:lang w:eastAsia="en-AU"/>
        </w:rPr>
        <w:t xml:space="preserve">port in making </w:t>
      </w:r>
      <w:r>
        <w:rPr>
          <w:rFonts w:ascii="Arial" w:hAnsi="Arial" w:cs="Arial"/>
          <w:sz w:val="20"/>
          <w:szCs w:val="20"/>
          <w:highlight w:val="white"/>
          <w:lang w:eastAsia="en-AU"/>
        </w:rPr>
        <w:t xml:space="preserve">any </w:t>
      </w:r>
      <w:r w:rsidR="007F7505">
        <w:rPr>
          <w:rFonts w:ascii="Arial" w:hAnsi="Arial" w:cs="Arial"/>
          <w:sz w:val="20"/>
          <w:szCs w:val="20"/>
          <w:highlight w:val="white"/>
          <w:lang w:eastAsia="en-AU"/>
        </w:rPr>
        <w:t>recommendations</w:t>
      </w:r>
      <w:r w:rsidR="00685770">
        <w:rPr>
          <w:rFonts w:ascii="Arial" w:hAnsi="Arial" w:cs="Arial"/>
          <w:sz w:val="20"/>
          <w:szCs w:val="20"/>
          <w:highlight w:val="white"/>
          <w:lang w:eastAsia="en-AU"/>
        </w:rPr>
        <w:t xml:space="preserve"> </w:t>
      </w:r>
      <w:r>
        <w:rPr>
          <w:rFonts w:ascii="Arial" w:hAnsi="Arial" w:cs="Arial"/>
          <w:sz w:val="20"/>
          <w:szCs w:val="20"/>
          <w:highlight w:val="white"/>
          <w:lang w:eastAsia="en-AU"/>
        </w:rPr>
        <w:t xml:space="preserve">with regard to </w:t>
      </w:r>
      <w:r w:rsidR="00685770">
        <w:rPr>
          <w:rFonts w:ascii="Arial" w:hAnsi="Arial" w:cs="Arial"/>
          <w:sz w:val="20"/>
          <w:szCs w:val="20"/>
          <w:highlight w:val="white"/>
          <w:lang w:eastAsia="en-AU"/>
        </w:rPr>
        <w:t xml:space="preserve">the </w:t>
      </w:r>
      <w:r w:rsidR="00342182">
        <w:rPr>
          <w:rFonts w:ascii="Arial" w:hAnsi="Arial" w:cs="Arial"/>
          <w:sz w:val="20"/>
          <w:szCs w:val="20"/>
        </w:rPr>
        <w:t>desired</w:t>
      </w:r>
      <w:r w:rsidR="00685770" w:rsidRPr="00510D1B">
        <w:rPr>
          <w:rFonts w:ascii="Arial" w:hAnsi="Arial" w:cs="Arial"/>
          <w:sz w:val="20"/>
          <w:szCs w:val="20"/>
        </w:rPr>
        <w:t xml:space="preserve"> </w:t>
      </w:r>
      <w:r>
        <w:rPr>
          <w:rFonts w:ascii="Arial" w:hAnsi="Arial" w:cs="Arial"/>
          <w:sz w:val="20"/>
          <w:szCs w:val="20"/>
        </w:rPr>
        <w:t>way</w:t>
      </w:r>
      <w:r w:rsidRPr="00510D1B">
        <w:rPr>
          <w:rFonts w:ascii="Arial" w:hAnsi="Arial" w:cs="Arial"/>
          <w:sz w:val="20"/>
          <w:szCs w:val="20"/>
        </w:rPr>
        <w:t xml:space="preserve"> </w:t>
      </w:r>
      <w:r w:rsidR="00685770" w:rsidRPr="00510D1B">
        <w:rPr>
          <w:rFonts w:ascii="Arial" w:hAnsi="Arial" w:cs="Arial"/>
          <w:sz w:val="20"/>
          <w:szCs w:val="20"/>
        </w:rPr>
        <w:t xml:space="preserve">of </w:t>
      </w:r>
      <w:r>
        <w:rPr>
          <w:rFonts w:ascii="Arial" w:hAnsi="Arial" w:cs="Arial"/>
          <w:sz w:val="20"/>
          <w:szCs w:val="20"/>
        </w:rPr>
        <w:t xml:space="preserve">changing </w:t>
      </w:r>
      <w:r w:rsidR="00972F57">
        <w:rPr>
          <w:rFonts w:ascii="Arial" w:hAnsi="Arial" w:cs="Arial"/>
          <w:sz w:val="20"/>
          <w:szCs w:val="20"/>
        </w:rPr>
        <w:t xml:space="preserve">road agency behaviour </w:t>
      </w:r>
      <w:r w:rsidR="00685770" w:rsidRPr="00510D1B">
        <w:rPr>
          <w:rFonts w:ascii="Arial" w:hAnsi="Arial" w:cs="Arial"/>
          <w:sz w:val="20"/>
          <w:szCs w:val="20"/>
        </w:rPr>
        <w:t xml:space="preserve">and </w:t>
      </w:r>
      <w:r w:rsidRPr="00510D1B">
        <w:rPr>
          <w:rFonts w:ascii="Arial" w:hAnsi="Arial" w:cs="Arial"/>
          <w:sz w:val="20"/>
          <w:szCs w:val="20"/>
        </w:rPr>
        <w:t xml:space="preserve">reforming </w:t>
      </w:r>
      <w:r w:rsidR="00685770" w:rsidRPr="00510D1B">
        <w:rPr>
          <w:rFonts w:ascii="Arial" w:hAnsi="Arial" w:cs="Arial"/>
          <w:sz w:val="20"/>
          <w:szCs w:val="20"/>
        </w:rPr>
        <w:t xml:space="preserve">heavy vehicle charges. </w:t>
      </w:r>
      <w:r w:rsidR="00E87E6C" w:rsidRPr="00510D1B">
        <w:rPr>
          <w:rFonts w:ascii="Arial" w:hAnsi="Arial" w:cs="Arial"/>
          <w:sz w:val="20"/>
          <w:szCs w:val="20"/>
        </w:rPr>
        <w:t xml:space="preserve"> </w:t>
      </w:r>
    </w:p>
    <w:p w:rsidR="00510D1B" w:rsidRDefault="00510D1B" w:rsidP="00510D1B">
      <w:pPr>
        <w:jc w:val="both"/>
        <w:rPr>
          <w:rFonts w:ascii="Arial" w:hAnsi="Arial" w:cs="Arial"/>
          <w:sz w:val="20"/>
          <w:szCs w:val="20"/>
        </w:rPr>
      </w:pPr>
    </w:p>
    <w:p w:rsidR="00510D1B" w:rsidRPr="00510D1B" w:rsidRDefault="00510D1B" w:rsidP="00510D1B">
      <w:pPr>
        <w:jc w:val="both"/>
        <w:rPr>
          <w:rFonts w:ascii="Arial" w:hAnsi="Arial" w:cs="Arial"/>
          <w:sz w:val="20"/>
          <w:szCs w:val="20"/>
        </w:rPr>
      </w:pPr>
    </w:p>
    <w:p w:rsidR="00576ED0" w:rsidRPr="00D51476" w:rsidRDefault="003340FB" w:rsidP="00793431">
      <w:pPr>
        <w:pStyle w:val="Heading1"/>
        <w:numPr>
          <w:ilvl w:val="0"/>
          <w:numId w:val="3"/>
        </w:numPr>
      </w:pPr>
      <w:bookmarkStart w:id="1" w:name="_Toc362528119"/>
      <w:r w:rsidRPr="00D51476">
        <w:t>Australian Trucking Association</w:t>
      </w:r>
      <w:bookmarkEnd w:id="1"/>
      <w:r w:rsidRPr="00D51476">
        <w:t xml:space="preserve">  </w:t>
      </w:r>
    </w:p>
    <w:p w:rsidR="004008C7" w:rsidRPr="00D51476" w:rsidRDefault="004008C7" w:rsidP="001025C9">
      <w:pPr>
        <w:pStyle w:val="BodyText2"/>
        <w:jc w:val="both"/>
        <w:rPr>
          <w:b w:val="0"/>
          <w:sz w:val="20"/>
        </w:rPr>
      </w:pPr>
    </w:p>
    <w:p w:rsidR="00CF3600" w:rsidRPr="00D51476" w:rsidRDefault="00CF3600" w:rsidP="00CF3600">
      <w:pPr>
        <w:pStyle w:val="BodyText2"/>
        <w:spacing w:line="269" w:lineRule="auto"/>
        <w:rPr>
          <w:rFonts w:eastAsia="Calibri"/>
          <w:b w:val="0"/>
          <w:bCs w:val="0"/>
          <w:sz w:val="20"/>
        </w:rPr>
      </w:pPr>
      <w:r w:rsidRPr="00D51476">
        <w:rPr>
          <w:rFonts w:eastAsia="Calibri"/>
          <w:b w:val="0"/>
          <w:bCs w:val="0"/>
          <w:sz w:val="20"/>
        </w:rPr>
        <w:t xml:space="preserve">The </w:t>
      </w:r>
      <w:r w:rsidR="004D0DF9">
        <w:rPr>
          <w:rFonts w:eastAsia="Calibri"/>
          <w:b w:val="0"/>
          <w:bCs w:val="0"/>
          <w:sz w:val="20"/>
        </w:rPr>
        <w:t>ATA</w:t>
      </w:r>
      <w:r w:rsidRPr="00D51476">
        <w:rPr>
          <w:rFonts w:eastAsia="Calibri"/>
          <w:b w:val="0"/>
          <w:bCs w:val="0"/>
          <w:sz w:val="20"/>
        </w:rPr>
        <w:t xml:space="preserve"> is the peak body that represents the trucking industry. Its members include state and sector</w:t>
      </w:r>
      <w:r w:rsidR="00E11A18">
        <w:rPr>
          <w:rFonts w:eastAsia="Calibri"/>
          <w:b w:val="0"/>
          <w:bCs w:val="0"/>
          <w:sz w:val="20"/>
        </w:rPr>
        <w:t>-</w:t>
      </w:r>
      <w:r w:rsidRPr="00D51476">
        <w:rPr>
          <w:rFonts w:eastAsia="Calibri"/>
          <w:b w:val="0"/>
          <w:bCs w:val="0"/>
          <w:sz w:val="20"/>
        </w:rPr>
        <w:t xml:space="preserve">based trucking associations, some of the nation’s largest transport companies, and businesses with leading expertise in truck technology. </w:t>
      </w:r>
    </w:p>
    <w:p w:rsidR="006B7D84" w:rsidRDefault="006B7D84" w:rsidP="00E732C1">
      <w:pPr>
        <w:jc w:val="both"/>
        <w:rPr>
          <w:rFonts w:ascii="Arial" w:hAnsi="Arial" w:cs="Arial"/>
          <w:sz w:val="20"/>
          <w:szCs w:val="20"/>
        </w:rPr>
      </w:pPr>
    </w:p>
    <w:p w:rsidR="00510D1B" w:rsidRPr="00D51476" w:rsidRDefault="00510D1B" w:rsidP="00E732C1">
      <w:pPr>
        <w:jc w:val="both"/>
        <w:rPr>
          <w:rFonts w:ascii="Arial" w:hAnsi="Arial" w:cs="Arial"/>
          <w:sz w:val="20"/>
          <w:szCs w:val="20"/>
        </w:rPr>
      </w:pPr>
    </w:p>
    <w:p w:rsidR="00D73280" w:rsidRPr="00D51476" w:rsidRDefault="00907971" w:rsidP="00793431">
      <w:pPr>
        <w:pStyle w:val="Heading1"/>
        <w:numPr>
          <w:ilvl w:val="0"/>
          <w:numId w:val="3"/>
        </w:numPr>
      </w:pPr>
      <w:bookmarkStart w:id="2" w:name="_Toc362528120"/>
      <w:r w:rsidRPr="00D51476">
        <w:t>Recommendations</w:t>
      </w:r>
      <w:bookmarkEnd w:id="2"/>
      <w:r w:rsidR="00C05A4F" w:rsidRPr="00D51476">
        <w:rPr>
          <w:noProof/>
          <w:color w:val="000000" w:themeColor="text1"/>
        </w:rPr>
        <w:t xml:space="preserve"> </w:t>
      </w:r>
    </w:p>
    <w:p w:rsidR="007E6310" w:rsidRPr="00617F3D" w:rsidRDefault="00B275D9">
      <w:pPr>
        <w:pStyle w:val="TOC1"/>
        <w:rPr>
          <w:rFonts w:asciiTheme="minorHAnsi" w:eastAsiaTheme="minorEastAsia" w:hAnsiTheme="minorHAnsi" w:cstheme="minorBidi"/>
          <w:b/>
          <w:color w:val="auto"/>
          <w:sz w:val="22"/>
          <w:szCs w:val="22"/>
          <w:lang w:eastAsia="en-AU"/>
        </w:rPr>
      </w:pPr>
      <w:r w:rsidRPr="00B275D9">
        <w:rPr>
          <w:noProof w:val="0"/>
          <w:color w:val="auto"/>
        </w:rPr>
        <w:fldChar w:fldCharType="begin"/>
      </w:r>
      <w:r w:rsidR="00907971" w:rsidRPr="00D51476">
        <w:instrText xml:space="preserve"> TOC \n \p " " \t "Recommendation Style,1,Recommendation Style 2,2,Recommendation Style 3,3" </w:instrText>
      </w:r>
      <w:r w:rsidRPr="00B275D9">
        <w:rPr>
          <w:noProof w:val="0"/>
          <w:color w:val="auto"/>
        </w:rPr>
        <w:fldChar w:fldCharType="separate"/>
      </w:r>
      <w:r w:rsidR="007E6310" w:rsidRPr="00617F3D">
        <w:rPr>
          <w:b/>
        </w:rPr>
        <w:t>Recommendation 1</w:t>
      </w:r>
    </w:p>
    <w:p w:rsidR="007E6310" w:rsidRDefault="007E6310">
      <w:pPr>
        <w:pStyle w:val="TOC1"/>
        <w:rPr>
          <w:rFonts w:asciiTheme="minorHAnsi" w:eastAsiaTheme="minorEastAsia" w:hAnsiTheme="minorHAnsi" w:cstheme="minorBidi"/>
          <w:color w:val="auto"/>
          <w:sz w:val="22"/>
          <w:szCs w:val="22"/>
          <w:lang w:eastAsia="en-AU"/>
        </w:rPr>
      </w:pPr>
      <w:r w:rsidRPr="00827839">
        <w:rPr>
          <w:bCs/>
        </w:rPr>
        <w:t>The PwC short term recommendations should be replicated by HVCI including:</w:t>
      </w:r>
    </w:p>
    <w:p w:rsidR="007E6310" w:rsidRDefault="007E6310" w:rsidP="006B10C3">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bCs/>
        </w:rPr>
        <w:t></w:t>
      </w:r>
      <w:r>
        <w:rPr>
          <w:rFonts w:asciiTheme="minorHAnsi" w:eastAsiaTheme="minorEastAsia" w:hAnsiTheme="minorHAnsi" w:cstheme="minorBidi"/>
          <w:color w:val="auto"/>
          <w:sz w:val="22"/>
          <w:szCs w:val="22"/>
          <w:lang w:eastAsia="en-AU"/>
        </w:rPr>
        <w:tab/>
      </w:r>
      <w:r w:rsidRPr="00827839">
        <w:rPr>
          <w:bCs/>
        </w:rPr>
        <w:t>Defining a three tier road freight network to focus heavy vehicle investment, reporting and funding to target particular heavy vehicle access levels.</w:t>
      </w:r>
    </w:p>
    <w:p w:rsidR="007E6310" w:rsidRDefault="007E6310" w:rsidP="006B10C3">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bCs/>
        </w:rPr>
        <w:t></w:t>
      </w:r>
      <w:r>
        <w:rPr>
          <w:rFonts w:asciiTheme="minorHAnsi" w:eastAsiaTheme="minorEastAsia" w:hAnsiTheme="minorHAnsi" w:cstheme="minorBidi"/>
          <w:color w:val="auto"/>
          <w:sz w:val="22"/>
          <w:szCs w:val="22"/>
          <w:lang w:eastAsia="en-AU"/>
        </w:rPr>
        <w:tab/>
      </w:r>
      <w:r w:rsidRPr="00827839">
        <w:rPr>
          <w:bCs/>
        </w:rPr>
        <w:t>Reporting, benchmarking and reviewing road expenditure costs across each tier of the network, in order to improve accountability and transparency.</w:t>
      </w:r>
    </w:p>
    <w:p w:rsidR="007E6310" w:rsidRDefault="007E6310" w:rsidP="006B10C3">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bCs/>
        </w:rPr>
        <w:t></w:t>
      </w:r>
      <w:r>
        <w:rPr>
          <w:rFonts w:asciiTheme="minorHAnsi" w:eastAsiaTheme="minorEastAsia" w:hAnsiTheme="minorHAnsi" w:cstheme="minorBidi"/>
          <w:color w:val="auto"/>
          <w:sz w:val="22"/>
          <w:szCs w:val="22"/>
          <w:lang w:eastAsia="en-AU"/>
        </w:rPr>
        <w:tab/>
      </w:r>
      <w:r w:rsidRPr="00827839">
        <w:rPr>
          <w:bCs/>
        </w:rPr>
        <w:t>A transparent formula for allocating funding to road suppliers reflecting road costs, heavy vehicle usage and access upgrade requirements. The formula should also incorporate a mechanism for funding low volume roads through community service obligations (CSOs).</w:t>
      </w:r>
    </w:p>
    <w:p w:rsidR="007E6310" w:rsidRDefault="007E6310" w:rsidP="006B10C3">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bCs/>
        </w:rPr>
        <w:t></w:t>
      </w:r>
      <w:r>
        <w:rPr>
          <w:rFonts w:asciiTheme="minorHAnsi" w:eastAsiaTheme="minorEastAsia" w:hAnsiTheme="minorHAnsi" w:cstheme="minorBidi"/>
          <w:color w:val="auto"/>
          <w:sz w:val="22"/>
          <w:szCs w:val="22"/>
          <w:lang w:eastAsia="en-AU"/>
        </w:rPr>
        <w:tab/>
      </w:r>
      <w:r w:rsidRPr="00827839">
        <w:rPr>
          <w:bCs/>
        </w:rPr>
        <w:t>Improving the cost reflectivity of road charges by increasing the variable fuel component of the PayGo model, along with third party review of PayGo inputs.</w:t>
      </w:r>
    </w:p>
    <w:p w:rsidR="007E6310" w:rsidRPr="00617F3D" w:rsidRDefault="007E6310">
      <w:pPr>
        <w:pStyle w:val="TOC1"/>
        <w:rPr>
          <w:rFonts w:asciiTheme="minorHAnsi" w:eastAsiaTheme="minorEastAsia" w:hAnsiTheme="minorHAnsi" w:cstheme="minorBidi"/>
          <w:b/>
          <w:color w:val="auto"/>
          <w:sz w:val="22"/>
          <w:szCs w:val="22"/>
          <w:lang w:eastAsia="en-AU"/>
        </w:rPr>
      </w:pPr>
      <w:r w:rsidRPr="00617F3D">
        <w:rPr>
          <w:b/>
        </w:rPr>
        <w:t>Recommendation 2</w:t>
      </w:r>
    </w:p>
    <w:p w:rsidR="007E6310" w:rsidRDefault="007E6310">
      <w:pPr>
        <w:pStyle w:val="TOC1"/>
        <w:rPr>
          <w:rFonts w:asciiTheme="minorHAnsi" w:eastAsiaTheme="minorEastAsia" w:hAnsiTheme="minorHAnsi" w:cstheme="minorBidi"/>
          <w:color w:val="auto"/>
          <w:sz w:val="22"/>
          <w:szCs w:val="22"/>
          <w:lang w:eastAsia="en-AU"/>
        </w:rPr>
      </w:pPr>
      <w:r>
        <w:t>The transitional changes that need to occur in order for the PwC short term recommended changes include:</w:t>
      </w:r>
    </w:p>
    <w:p w:rsidR="007E6310" w:rsidRDefault="007E6310">
      <w:pPr>
        <w:pStyle w:val="TOC1"/>
        <w:rPr>
          <w:rFonts w:asciiTheme="minorHAnsi" w:eastAsiaTheme="minorEastAsia" w:hAnsiTheme="minorHAnsi" w:cstheme="minorBidi"/>
          <w:color w:val="auto"/>
          <w:sz w:val="22"/>
          <w:szCs w:val="22"/>
          <w:lang w:eastAsia="en-AU"/>
        </w:rPr>
      </w:pPr>
      <w:r w:rsidRPr="00827839">
        <w:rPr>
          <w:rFonts w:ascii="Symbol" w:hAnsi="Symbol"/>
        </w:rPr>
        <w:t></w:t>
      </w:r>
      <w:r>
        <w:rPr>
          <w:rFonts w:asciiTheme="minorHAnsi" w:eastAsiaTheme="minorEastAsia" w:hAnsiTheme="minorHAnsi" w:cstheme="minorBidi"/>
          <w:color w:val="auto"/>
          <w:sz w:val="22"/>
          <w:szCs w:val="22"/>
          <w:lang w:eastAsia="en-AU"/>
        </w:rPr>
        <w:tab/>
      </w:r>
      <w:r w:rsidRPr="00827839">
        <w:t>Complete Performance Based Standard maps and automatic access for prescribed vehicles</w:t>
      </w:r>
    </w:p>
    <w:p w:rsidR="007E6310" w:rsidRDefault="007E6310">
      <w:pPr>
        <w:pStyle w:val="TOC1"/>
        <w:rPr>
          <w:rFonts w:asciiTheme="minorHAnsi" w:eastAsiaTheme="minorEastAsia" w:hAnsiTheme="minorHAnsi" w:cstheme="minorBidi"/>
          <w:color w:val="auto"/>
          <w:sz w:val="22"/>
          <w:szCs w:val="22"/>
          <w:lang w:eastAsia="en-AU"/>
        </w:rPr>
      </w:pPr>
      <w:r w:rsidRPr="00827839">
        <w:rPr>
          <w:rFonts w:ascii="Symbol" w:hAnsi="Symbol"/>
        </w:rPr>
        <w:t></w:t>
      </w:r>
      <w:r>
        <w:rPr>
          <w:rFonts w:asciiTheme="minorHAnsi" w:eastAsiaTheme="minorEastAsia" w:hAnsiTheme="minorHAnsi" w:cstheme="minorBidi"/>
          <w:color w:val="auto"/>
          <w:sz w:val="22"/>
          <w:szCs w:val="22"/>
          <w:lang w:eastAsia="en-AU"/>
        </w:rPr>
        <w:tab/>
      </w:r>
      <w:r w:rsidRPr="00827839">
        <w:t>External review of access decisions</w:t>
      </w:r>
    </w:p>
    <w:p w:rsidR="007E6310" w:rsidRDefault="007E6310" w:rsidP="00EC4AC1">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rPr>
        <w:t></w:t>
      </w:r>
      <w:r>
        <w:rPr>
          <w:rFonts w:asciiTheme="minorHAnsi" w:eastAsiaTheme="minorEastAsia" w:hAnsiTheme="minorHAnsi" w:cstheme="minorBidi"/>
          <w:color w:val="auto"/>
          <w:sz w:val="22"/>
          <w:szCs w:val="22"/>
          <w:lang w:eastAsia="en-AU"/>
        </w:rPr>
        <w:tab/>
      </w:r>
      <w:r w:rsidRPr="00827839">
        <w:t>Essential training provided to local government and road agencies on the infrastructure impacts and benefits of high productivity vehicles.</w:t>
      </w:r>
    </w:p>
    <w:p w:rsidR="007E6310" w:rsidRPr="00617F3D" w:rsidRDefault="007E6310">
      <w:pPr>
        <w:pStyle w:val="TOC1"/>
        <w:rPr>
          <w:rFonts w:asciiTheme="minorHAnsi" w:eastAsiaTheme="minorEastAsia" w:hAnsiTheme="minorHAnsi" w:cstheme="minorBidi"/>
          <w:b/>
          <w:color w:val="auto"/>
          <w:sz w:val="22"/>
          <w:szCs w:val="22"/>
          <w:lang w:eastAsia="en-AU"/>
        </w:rPr>
      </w:pPr>
      <w:r w:rsidRPr="00617F3D">
        <w:rPr>
          <w:b/>
        </w:rPr>
        <w:lastRenderedPageBreak/>
        <w:t>Recommendation 3</w:t>
      </w:r>
    </w:p>
    <w:p w:rsidR="007E6310" w:rsidRDefault="007E6310">
      <w:pPr>
        <w:pStyle w:val="TOC1"/>
        <w:rPr>
          <w:rFonts w:asciiTheme="minorHAnsi" w:eastAsiaTheme="minorEastAsia" w:hAnsiTheme="minorHAnsi" w:cstheme="minorBidi"/>
          <w:color w:val="auto"/>
          <w:sz w:val="22"/>
          <w:szCs w:val="22"/>
          <w:lang w:eastAsia="en-AU"/>
        </w:rPr>
      </w:pPr>
      <w:r>
        <w:t>When transitional changes are implemented and the short term PwC recommendations are executed there should be consideration of:</w:t>
      </w:r>
    </w:p>
    <w:p w:rsidR="007E6310" w:rsidRDefault="007E6310" w:rsidP="00EC4AC1">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rPr>
        <w:t></w:t>
      </w:r>
      <w:r>
        <w:rPr>
          <w:rFonts w:asciiTheme="minorHAnsi" w:eastAsiaTheme="minorEastAsia" w:hAnsiTheme="minorHAnsi" w:cstheme="minorBidi"/>
          <w:color w:val="auto"/>
          <w:sz w:val="22"/>
          <w:szCs w:val="22"/>
          <w:lang w:eastAsia="en-AU"/>
        </w:rPr>
        <w:tab/>
      </w:r>
      <w:r w:rsidRPr="00827839">
        <w:t>Allocating road funding based on independent assessments of efficient road investment and maintenance costs.</w:t>
      </w:r>
    </w:p>
    <w:p w:rsidR="007E6310" w:rsidRDefault="007E6310" w:rsidP="00EC4AC1">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rPr>
        <w:t></w:t>
      </w:r>
      <w:r>
        <w:rPr>
          <w:rFonts w:asciiTheme="minorHAnsi" w:eastAsiaTheme="minorEastAsia" w:hAnsiTheme="minorHAnsi" w:cstheme="minorBidi"/>
          <w:color w:val="auto"/>
          <w:sz w:val="22"/>
          <w:szCs w:val="22"/>
          <w:lang w:eastAsia="en-AU"/>
        </w:rPr>
        <w:tab/>
      </w:r>
      <w:r w:rsidRPr="00827839">
        <w:t>Potentially establishing a road fund which would establish forward looking investment and maintenance plans for the different tiers of the network.</w:t>
      </w:r>
    </w:p>
    <w:p w:rsidR="007E6310" w:rsidRDefault="007E6310">
      <w:pPr>
        <w:pStyle w:val="TOC1"/>
        <w:rPr>
          <w:rFonts w:asciiTheme="minorHAnsi" w:eastAsiaTheme="minorEastAsia" w:hAnsiTheme="minorHAnsi" w:cstheme="minorBidi"/>
          <w:color w:val="auto"/>
          <w:sz w:val="22"/>
          <w:szCs w:val="22"/>
          <w:lang w:eastAsia="en-AU"/>
        </w:rPr>
      </w:pPr>
      <w:r w:rsidRPr="00827839">
        <w:rPr>
          <w:rFonts w:ascii="Symbol" w:hAnsi="Symbol"/>
        </w:rPr>
        <w:t></w:t>
      </w:r>
      <w:r>
        <w:rPr>
          <w:rFonts w:asciiTheme="minorHAnsi" w:eastAsiaTheme="minorEastAsia" w:hAnsiTheme="minorHAnsi" w:cstheme="minorBidi"/>
          <w:color w:val="auto"/>
          <w:sz w:val="22"/>
          <w:szCs w:val="22"/>
          <w:lang w:eastAsia="en-AU"/>
        </w:rPr>
        <w:tab/>
      </w:r>
      <w:r w:rsidRPr="00827839">
        <w:t>Adopting a majority fuel based change, further reducing the role for registration charges.</w:t>
      </w:r>
    </w:p>
    <w:p w:rsidR="007E6310" w:rsidRDefault="007E6310" w:rsidP="00EC4AC1">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rPr>
        <w:t></w:t>
      </w:r>
      <w:r>
        <w:rPr>
          <w:rFonts w:asciiTheme="minorHAnsi" w:eastAsiaTheme="minorEastAsia" w:hAnsiTheme="minorHAnsi" w:cstheme="minorBidi"/>
          <w:color w:val="auto"/>
          <w:sz w:val="22"/>
          <w:szCs w:val="22"/>
          <w:lang w:eastAsia="en-AU"/>
        </w:rPr>
        <w:tab/>
      </w:r>
      <w:r w:rsidRPr="00827839">
        <w:t>Only progressing with variable charges once a strong business case is made showing the detailed data obtained can and will be used to improve road investment decision making and that the added cost, time and complexity is warranted.</w:t>
      </w:r>
    </w:p>
    <w:p w:rsidR="007E6310" w:rsidRPr="00617F3D" w:rsidRDefault="007E6310">
      <w:pPr>
        <w:pStyle w:val="TOC1"/>
        <w:rPr>
          <w:rFonts w:asciiTheme="minorHAnsi" w:eastAsiaTheme="minorEastAsia" w:hAnsiTheme="minorHAnsi" w:cstheme="minorBidi"/>
          <w:b/>
          <w:color w:val="auto"/>
          <w:sz w:val="22"/>
          <w:szCs w:val="22"/>
          <w:lang w:eastAsia="en-AU"/>
        </w:rPr>
      </w:pPr>
      <w:r w:rsidRPr="00617F3D">
        <w:rPr>
          <w:b/>
          <w:bCs/>
        </w:rPr>
        <w:t>Recommendation 4</w:t>
      </w:r>
    </w:p>
    <w:p w:rsidR="007E6310" w:rsidRDefault="007E6310">
      <w:pPr>
        <w:pStyle w:val="TOC1"/>
        <w:rPr>
          <w:rFonts w:asciiTheme="minorHAnsi" w:eastAsiaTheme="minorEastAsia" w:hAnsiTheme="minorHAnsi" w:cstheme="minorBidi"/>
          <w:color w:val="auto"/>
          <w:sz w:val="22"/>
          <w:szCs w:val="22"/>
          <w:lang w:eastAsia="en-AU"/>
        </w:rPr>
      </w:pPr>
      <w:r w:rsidRPr="00827839">
        <w:rPr>
          <w:bCs/>
        </w:rPr>
        <w:t>The HVCI regulatory impact statement should make sure that any changes to road provision and governance and heavy vehicles charges recognise the challenges presented by:</w:t>
      </w:r>
    </w:p>
    <w:p w:rsidR="007E6310" w:rsidRDefault="007E6310" w:rsidP="00EC4AC1">
      <w:pPr>
        <w:pStyle w:val="TOC1"/>
        <w:ind w:left="435" w:hanging="435"/>
        <w:rPr>
          <w:rFonts w:asciiTheme="minorHAnsi" w:eastAsiaTheme="minorEastAsia" w:hAnsiTheme="minorHAnsi" w:cstheme="minorBidi"/>
          <w:color w:val="auto"/>
          <w:sz w:val="22"/>
          <w:szCs w:val="22"/>
          <w:lang w:eastAsia="en-AU"/>
        </w:rPr>
      </w:pPr>
      <w:r w:rsidRPr="00827839">
        <w:rPr>
          <w:rFonts w:ascii="Symbol" w:hAnsi="Symbol"/>
          <w:bCs/>
        </w:rPr>
        <w:t></w:t>
      </w:r>
      <w:r>
        <w:rPr>
          <w:rFonts w:asciiTheme="minorHAnsi" w:eastAsiaTheme="minorEastAsia" w:hAnsiTheme="minorHAnsi" w:cstheme="minorBidi"/>
          <w:color w:val="auto"/>
          <w:sz w:val="22"/>
          <w:szCs w:val="22"/>
          <w:lang w:eastAsia="en-AU"/>
        </w:rPr>
        <w:tab/>
      </w:r>
      <w:r w:rsidRPr="00827839">
        <w:rPr>
          <w:bCs/>
        </w:rPr>
        <w:t>Local government and road agency capability to reform and provide sufficient accountability and transparency,</w:t>
      </w:r>
    </w:p>
    <w:p w:rsidR="007E6310" w:rsidRDefault="007E6310">
      <w:pPr>
        <w:pStyle w:val="TOC1"/>
        <w:rPr>
          <w:rFonts w:asciiTheme="minorHAnsi" w:eastAsiaTheme="minorEastAsia" w:hAnsiTheme="minorHAnsi" w:cstheme="minorBidi"/>
          <w:color w:val="auto"/>
          <w:sz w:val="22"/>
          <w:szCs w:val="22"/>
          <w:lang w:eastAsia="en-AU"/>
        </w:rPr>
      </w:pPr>
      <w:r w:rsidRPr="00827839">
        <w:rPr>
          <w:rFonts w:ascii="Symbol" w:hAnsi="Symbol"/>
          <w:bCs/>
        </w:rPr>
        <w:t></w:t>
      </w:r>
      <w:r>
        <w:rPr>
          <w:rFonts w:asciiTheme="minorHAnsi" w:eastAsiaTheme="minorEastAsia" w:hAnsiTheme="minorHAnsi" w:cstheme="minorBidi"/>
          <w:color w:val="auto"/>
          <w:sz w:val="22"/>
          <w:szCs w:val="22"/>
          <w:lang w:eastAsia="en-AU"/>
        </w:rPr>
        <w:tab/>
      </w:r>
      <w:r w:rsidRPr="00827839">
        <w:rPr>
          <w:bCs/>
        </w:rPr>
        <w:t>Rural and remote Australia and the treatment of community service obligation (CSO) roads,</w:t>
      </w:r>
    </w:p>
    <w:p w:rsidR="007E6310" w:rsidRDefault="007E6310">
      <w:pPr>
        <w:pStyle w:val="TOC1"/>
        <w:rPr>
          <w:rFonts w:asciiTheme="minorHAnsi" w:eastAsiaTheme="minorEastAsia" w:hAnsiTheme="minorHAnsi" w:cstheme="minorBidi"/>
          <w:color w:val="auto"/>
          <w:sz w:val="22"/>
          <w:szCs w:val="22"/>
          <w:lang w:eastAsia="en-AU"/>
        </w:rPr>
      </w:pPr>
      <w:r w:rsidRPr="00827839">
        <w:rPr>
          <w:rFonts w:ascii="Symbol" w:hAnsi="Symbol"/>
          <w:bCs/>
        </w:rPr>
        <w:t></w:t>
      </w:r>
      <w:r>
        <w:rPr>
          <w:rFonts w:asciiTheme="minorHAnsi" w:eastAsiaTheme="minorEastAsia" w:hAnsiTheme="minorHAnsi" w:cstheme="minorBidi"/>
          <w:color w:val="auto"/>
          <w:sz w:val="22"/>
          <w:szCs w:val="22"/>
          <w:lang w:eastAsia="en-AU"/>
        </w:rPr>
        <w:tab/>
      </w:r>
      <w:r w:rsidRPr="00827839">
        <w:rPr>
          <w:bCs/>
        </w:rPr>
        <w:t>The partial market issue,</w:t>
      </w:r>
    </w:p>
    <w:p w:rsidR="007E6310" w:rsidRDefault="007E6310" w:rsidP="003265B8">
      <w:pPr>
        <w:pStyle w:val="TOC1"/>
        <w:ind w:left="360" w:hanging="360"/>
        <w:rPr>
          <w:rFonts w:asciiTheme="minorHAnsi" w:eastAsiaTheme="minorEastAsia" w:hAnsiTheme="minorHAnsi" w:cstheme="minorBidi"/>
          <w:color w:val="auto"/>
          <w:sz w:val="22"/>
          <w:szCs w:val="22"/>
          <w:lang w:eastAsia="en-AU"/>
        </w:rPr>
      </w:pPr>
      <w:r w:rsidRPr="00827839">
        <w:rPr>
          <w:rFonts w:ascii="Symbol" w:hAnsi="Symbol"/>
          <w:bCs/>
        </w:rPr>
        <w:t></w:t>
      </w:r>
      <w:r>
        <w:rPr>
          <w:rFonts w:asciiTheme="minorHAnsi" w:eastAsiaTheme="minorEastAsia" w:hAnsiTheme="minorHAnsi" w:cstheme="minorBidi"/>
          <w:color w:val="auto"/>
          <w:sz w:val="22"/>
          <w:szCs w:val="22"/>
          <w:lang w:eastAsia="en-AU"/>
        </w:rPr>
        <w:tab/>
      </w:r>
      <w:r w:rsidRPr="00827839">
        <w:rPr>
          <w:bCs/>
        </w:rPr>
        <w:t xml:space="preserve">An industry with distinct operators, moving freight on varying road conditions, with different types and </w:t>
      </w:r>
      <w:r w:rsidR="003265B8">
        <w:rPr>
          <w:bCs/>
        </w:rPr>
        <w:t xml:space="preserve"> </w:t>
      </w:r>
      <w:r w:rsidRPr="00827839">
        <w:rPr>
          <w:bCs/>
        </w:rPr>
        <w:t>uses of trucks and that are predominantly small firms.</w:t>
      </w:r>
    </w:p>
    <w:p w:rsidR="00616E75" w:rsidRDefault="00B275D9" w:rsidP="00B73DF0">
      <w:pPr>
        <w:pStyle w:val="Heading1"/>
        <w:numPr>
          <w:ilvl w:val="0"/>
          <w:numId w:val="0"/>
        </w:numPr>
        <w:jc w:val="both"/>
        <w:rPr>
          <w:noProof/>
          <w:color w:val="000000" w:themeColor="text1"/>
          <w:sz w:val="20"/>
          <w:szCs w:val="20"/>
        </w:rPr>
      </w:pPr>
      <w:r w:rsidRPr="00D51476">
        <w:rPr>
          <w:noProof/>
          <w:color w:val="000000" w:themeColor="text1"/>
          <w:sz w:val="20"/>
          <w:szCs w:val="20"/>
        </w:rPr>
        <w:fldChar w:fldCharType="end"/>
      </w:r>
    </w:p>
    <w:p w:rsidR="00617F3D" w:rsidRPr="00617F3D" w:rsidRDefault="00617F3D" w:rsidP="00617F3D"/>
    <w:p w:rsidR="0050428E" w:rsidRPr="00D51476" w:rsidRDefault="001D49FE" w:rsidP="00793431">
      <w:pPr>
        <w:pStyle w:val="Heading1"/>
        <w:numPr>
          <w:ilvl w:val="0"/>
          <w:numId w:val="3"/>
        </w:numPr>
      </w:pPr>
      <w:bookmarkStart w:id="3" w:name="_Toc362528121"/>
      <w:r>
        <w:t>Supply side</w:t>
      </w:r>
      <w:r w:rsidR="004D0DF9">
        <w:t xml:space="preserve"> reform</w:t>
      </w:r>
      <w:bookmarkEnd w:id="3"/>
    </w:p>
    <w:p w:rsidR="00244543" w:rsidRPr="00D51476" w:rsidRDefault="00244543" w:rsidP="00244543">
      <w:pPr>
        <w:rPr>
          <w:rFonts w:ascii="Arial" w:hAnsi="Arial" w:cs="Arial"/>
          <w:sz w:val="20"/>
          <w:szCs w:val="20"/>
        </w:rPr>
      </w:pPr>
    </w:p>
    <w:p w:rsidR="00E702EB" w:rsidRDefault="00FB45B1" w:rsidP="00E732C1">
      <w:pPr>
        <w:rPr>
          <w:rFonts w:ascii="Arial" w:hAnsi="Arial" w:cs="Arial"/>
          <w:sz w:val="20"/>
          <w:szCs w:val="20"/>
        </w:rPr>
      </w:pPr>
      <w:bookmarkStart w:id="4" w:name="_Toc350428781"/>
      <w:bookmarkStart w:id="5" w:name="_Toc350430046"/>
      <w:bookmarkStart w:id="6" w:name="_Toc350863674"/>
      <w:bookmarkStart w:id="7" w:name="_Toc350863781"/>
      <w:bookmarkStart w:id="8" w:name="_Toc351015747"/>
      <w:bookmarkStart w:id="9" w:name="_Toc351031262"/>
      <w:bookmarkStart w:id="10" w:name="_Toc351626128"/>
      <w:bookmarkStart w:id="11" w:name="_Toc352059537"/>
      <w:bookmarkStart w:id="12" w:name="_Toc352059645"/>
      <w:bookmarkStart w:id="13" w:name="_Toc352070702"/>
      <w:bookmarkStart w:id="14" w:name="_Toc352071952"/>
      <w:bookmarkStart w:id="15" w:name="_Toc352149563"/>
      <w:bookmarkEnd w:id="4"/>
      <w:bookmarkEnd w:id="5"/>
      <w:bookmarkEnd w:id="6"/>
      <w:bookmarkEnd w:id="7"/>
      <w:bookmarkEnd w:id="8"/>
      <w:bookmarkEnd w:id="9"/>
      <w:bookmarkEnd w:id="10"/>
      <w:bookmarkEnd w:id="11"/>
      <w:bookmarkEnd w:id="12"/>
      <w:bookmarkEnd w:id="13"/>
      <w:bookmarkEnd w:id="14"/>
      <w:bookmarkEnd w:id="15"/>
      <w:r>
        <w:rPr>
          <w:rFonts w:ascii="Arial" w:hAnsi="Arial" w:cs="Arial"/>
          <w:sz w:val="20"/>
          <w:szCs w:val="20"/>
        </w:rPr>
        <w:t>It is of national significance that the heavy vehicle industry’s productivity increases</w:t>
      </w:r>
      <w:r w:rsidR="003265B8">
        <w:rPr>
          <w:rFonts w:ascii="Arial" w:hAnsi="Arial" w:cs="Arial"/>
          <w:sz w:val="20"/>
          <w:szCs w:val="20"/>
        </w:rPr>
        <w:t xml:space="preserve">. The </w:t>
      </w:r>
      <w:r>
        <w:rPr>
          <w:rFonts w:ascii="Arial" w:hAnsi="Arial" w:cs="Arial"/>
          <w:sz w:val="20"/>
          <w:szCs w:val="20"/>
        </w:rPr>
        <w:t>HVCI</w:t>
      </w:r>
      <w:r w:rsidR="003265B8">
        <w:rPr>
          <w:rFonts w:ascii="Arial" w:hAnsi="Arial" w:cs="Arial"/>
          <w:sz w:val="20"/>
          <w:szCs w:val="20"/>
        </w:rPr>
        <w:t>,</w:t>
      </w:r>
      <w:r>
        <w:rPr>
          <w:rFonts w:ascii="Arial" w:hAnsi="Arial" w:cs="Arial"/>
          <w:sz w:val="20"/>
          <w:szCs w:val="20"/>
        </w:rPr>
        <w:t xml:space="preserve"> </w:t>
      </w:r>
      <w:r w:rsidR="003265B8">
        <w:rPr>
          <w:rFonts w:ascii="Arial" w:hAnsi="Arial" w:cs="Arial"/>
          <w:sz w:val="20"/>
          <w:szCs w:val="20"/>
        </w:rPr>
        <w:t>are</w:t>
      </w:r>
      <w:r>
        <w:rPr>
          <w:rFonts w:ascii="Arial" w:hAnsi="Arial" w:cs="Arial"/>
          <w:sz w:val="20"/>
          <w:szCs w:val="20"/>
        </w:rPr>
        <w:t xml:space="preserve"> the catalyst necessary to reform </w:t>
      </w:r>
      <w:r w:rsidR="00963ABE">
        <w:rPr>
          <w:rFonts w:ascii="Arial" w:hAnsi="Arial" w:cs="Arial"/>
          <w:sz w:val="20"/>
          <w:szCs w:val="20"/>
        </w:rPr>
        <w:t xml:space="preserve">the systematic performance and governance problems of </w:t>
      </w:r>
      <w:r>
        <w:rPr>
          <w:rFonts w:ascii="Arial" w:hAnsi="Arial" w:cs="Arial"/>
          <w:sz w:val="20"/>
          <w:szCs w:val="20"/>
        </w:rPr>
        <w:t xml:space="preserve">road </w:t>
      </w:r>
      <w:r w:rsidR="00963ABE">
        <w:rPr>
          <w:rFonts w:ascii="Arial" w:hAnsi="Arial" w:cs="Arial"/>
          <w:sz w:val="20"/>
          <w:szCs w:val="20"/>
        </w:rPr>
        <w:t>agencies in order</w:t>
      </w:r>
      <w:r w:rsidR="004629B9">
        <w:rPr>
          <w:rFonts w:ascii="Arial" w:hAnsi="Arial" w:cs="Arial"/>
          <w:sz w:val="20"/>
          <w:szCs w:val="20"/>
        </w:rPr>
        <w:t xml:space="preserve"> </w:t>
      </w:r>
      <w:r>
        <w:rPr>
          <w:rFonts w:ascii="Arial" w:hAnsi="Arial" w:cs="Arial"/>
          <w:sz w:val="20"/>
          <w:szCs w:val="20"/>
        </w:rPr>
        <w:t>to provide these productivity improvements.</w:t>
      </w:r>
    </w:p>
    <w:p w:rsidR="00E702EB" w:rsidRDefault="00E702EB" w:rsidP="00E732C1">
      <w:pPr>
        <w:rPr>
          <w:rFonts w:ascii="Arial" w:hAnsi="Arial" w:cs="Arial"/>
          <w:sz w:val="20"/>
          <w:szCs w:val="20"/>
        </w:rPr>
      </w:pPr>
    </w:p>
    <w:p w:rsidR="007F7505" w:rsidRDefault="00E702EB" w:rsidP="00E732C1">
      <w:pPr>
        <w:rPr>
          <w:rFonts w:ascii="Arial" w:hAnsi="Arial" w:cs="Arial"/>
          <w:sz w:val="20"/>
          <w:szCs w:val="20"/>
        </w:rPr>
      </w:pPr>
      <w:r>
        <w:rPr>
          <w:rFonts w:ascii="Arial" w:hAnsi="Arial" w:cs="Arial"/>
          <w:sz w:val="20"/>
          <w:szCs w:val="20"/>
        </w:rPr>
        <w:t>I</w:t>
      </w:r>
      <w:r w:rsidR="007F7505">
        <w:rPr>
          <w:rFonts w:ascii="Arial" w:hAnsi="Arial" w:cs="Arial"/>
          <w:sz w:val="20"/>
          <w:szCs w:val="20"/>
        </w:rPr>
        <w:t>ncreased accountabili</w:t>
      </w:r>
      <w:r>
        <w:rPr>
          <w:rFonts w:ascii="Arial" w:hAnsi="Arial" w:cs="Arial"/>
          <w:sz w:val="20"/>
          <w:szCs w:val="20"/>
        </w:rPr>
        <w:t>ty and transparency in planning,</w:t>
      </w:r>
      <w:r w:rsidR="00DE028E">
        <w:rPr>
          <w:rFonts w:ascii="Arial" w:hAnsi="Arial" w:cs="Arial"/>
          <w:sz w:val="20"/>
          <w:szCs w:val="20"/>
        </w:rPr>
        <w:t xml:space="preserve"> design </w:t>
      </w:r>
      <w:r w:rsidR="007F7505">
        <w:rPr>
          <w:rFonts w:ascii="Arial" w:hAnsi="Arial" w:cs="Arial"/>
          <w:sz w:val="20"/>
          <w:szCs w:val="20"/>
        </w:rPr>
        <w:t>decisions</w:t>
      </w:r>
      <w:r w:rsidR="004448E9">
        <w:rPr>
          <w:rFonts w:ascii="Arial" w:hAnsi="Arial" w:cs="Arial"/>
          <w:sz w:val="20"/>
          <w:szCs w:val="20"/>
        </w:rPr>
        <w:t>,</w:t>
      </w:r>
      <w:r w:rsidR="00DE028E">
        <w:rPr>
          <w:rFonts w:ascii="Arial" w:hAnsi="Arial" w:cs="Arial"/>
          <w:sz w:val="20"/>
          <w:szCs w:val="20"/>
        </w:rPr>
        <w:t xml:space="preserve"> </w:t>
      </w:r>
      <w:r>
        <w:rPr>
          <w:rFonts w:ascii="Arial" w:hAnsi="Arial" w:cs="Arial"/>
          <w:sz w:val="20"/>
          <w:szCs w:val="20"/>
        </w:rPr>
        <w:t>along and the construction phase of capital and maintenance needs to be implemented</w:t>
      </w:r>
      <w:r w:rsidR="007F7505">
        <w:rPr>
          <w:rFonts w:ascii="Arial" w:hAnsi="Arial" w:cs="Arial"/>
          <w:sz w:val="20"/>
          <w:szCs w:val="20"/>
        </w:rPr>
        <w:t xml:space="preserve">. </w:t>
      </w:r>
    </w:p>
    <w:p w:rsidR="007F7505" w:rsidRDefault="007F7505" w:rsidP="00E732C1">
      <w:pPr>
        <w:rPr>
          <w:rFonts w:ascii="Arial" w:hAnsi="Arial" w:cs="Arial"/>
          <w:sz w:val="20"/>
          <w:szCs w:val="20"/>
        </w:rPr>
      </w:pPr>
    </w:p>
    <w:p w:rsidR="007F7505" w:rsidRDefault="007F7505" w:rsidP="00E732C1">
      <w:pPr>
        <w:rPr>
          <w:rFonts w:ascii="Arial" w:hAnsi="Arial" w:cs="Arial"/>
          <w:sz w:val="20"/>
          <w:szCs w:val="20"/>
        </w:rPr>
      </w:pPr>
      <w:r>
        <w:rPr>
          <w:rFonts w:ascii="Arial" w:hAnsi="Arial" w:cs="Arial"/>
          <w:sz w:val="20"/>
          <w:szCs w:val="20"/>
        </w:rPr>
        <w:t xml:space="preserve">A recent report to Infrastructure Australia </w:t>
      </w:r>
      <w:r w:rsidR="001F3751">
        <w:rPr>
          <w:rFonts w:ascii="Arial" w:hAnsi="Arial" w:cs="Arial"/>
          <w:sz w:val="20"/>
          <w:szCs w:val="20"/>
        </w:rPr>
        <w:t xml:space="preserve">(IA) </w:t>
      </w:r>
      <w:r>
        <w:rPr>
          <w:rFonts w:ascii="Arial" w:hAnsi="Arial" w:cs="Arial"/>
          <w:sz w:val="20"/>
          <w:szCs w:val="20"/>
        </w:rPr>
        <w:t xml:space="preserve">about </w:t>
      </w:r>
      <w:r w:rsidR="00E702EB">
        <w:rPr>
          <w:rFonts w:ascii="Arial" w:hAnsi="Arial" w:cs="Arial"/>
          <w:sz w:val="20"/>
          <w:szCs w:val="20"/>
        </w:rPr>
        <w:t xml:space="preserve">infrastructure </w:t>
      </w:r>
      <w:r>
        <w:rPr>
          <w:rFonts w:ascii="Arial" w:hAnsi="Arial" w:cs="Arial"/>
          <w:sz w:val="20"/>
          <w:szCs w:val="20"/>
        </w:rPr>
        <w:t>project governance effectiveness in Australia found that on average</w:t>
      </w:r>
      <w:r w:rsidR="00963ABE">
        <w:rPr>
          <w:rFonts w:ascii="Arial" w:hAnsi="Arial" w:cs="Arial"/>
          <w:sz w:val="20"/>
          <w:szCs w:val="20"/>
        </w:rPr>
        <w:t>,</w:t>
      </w:r>
      <w:r>
        <w:rPr>
          <w:rFonts w:ascii="Arial" w:hAnsi="Arial" w:cs="Arial"/>
          <w:sz w:val="20"/>
          <w:szCs w:val="20"/>
        </w:rPr>
        <w:t xml:space="preserve"> 48% of projects failed to meet baseline time</w:t>
      </w:r>
      <w:r w:rsidR="00963ABE">
        <w:rPr>
          <w:rFonts w:ascii="Arial" w:hAnsi="Arial" w:cs="Arial"/>
          <w:sz w:val="20"/>
          <w:szCs w:val="20"/>
        </w:rPr>
        <w:t>frames</w:t>
      </w:r>
      <w:r>
        <w:rPr>
          <w:rFonts w:ascii="Arial" w:hAnsi="Arial" w:cs="Arial"/>
          <w:sz w:val="20"/>
          <w:szCs w:val="20"/>
        </w:rPr>
        <w:t>, cost</w:t>
      </w:r>
      <w:r w:rsidR="00963ABE">
        <w:rPr>
          <w:rFonts w:ascii="Arial" w:hAnsi="Arial" w:cs="Arial"/>
          <w:sz w:val="20"/>
          <w:szCs w:val="20"/>
        </w:rPr>
        <w:t>s</w:t>
      </w:r>
      <w:r>
        <w:rPr>
          <w:rFonts w:ascii="Arial" w:hAnsi="Arial" w:cs="Arial"/>
          <w:sz w:val="20"/>
          <w:szCs w:val="20"/>
        </w:rPr>
        <w:t xml:space="preserve"> and quality objectives. </w:t>
      </w:r>
    </w:p>
    <w:p w:rsidR="007F7505" w:rsidRDefault="007F7505" w:rsidP="00E732C1">
      <w:pPr>
        <w:rPr>
          <w:rFonts w:ascii="Arial" w:hAnsi="Arial" w:cs="Arial"/>
          <w:sz w:val="20"/>
          <w:szCs w:val="20"/>
        </w:rPr>
      </w:pPr>
    </w:p>
    <w:p w:rsidR="00576ED4" w:rsidRDefault="00576ED4" w:rsidP="00E732C1">
      <w:pPr>
        <w:rPr>
          <w:rFonts w:ascii="Arial" w:hAnsi="Arial" w:cs="Arial"/>
          <w:sz w:val="20"/>
          <w:szCs w:val="20"/>
        </w:rPr>
      </w:pPr>
      <w:r>
        <w:rPr>
          <w:rFonts w:ascii="Arial" w:hAnsi="Arial" w:cs="Arial"/>
          <w:sz w:val="20"/>
          <w:szCs w:val="20"/>
        </w:rPr>
        <w:t>There is a high level of non</w:t>
      </w:r>
      <w:r w:rsidR="00963ABE">
        <w:rPr>
          <w:rFonts w:ascii="Arial" w:hAnsi="Arial" w:cs="Arial"/>
          <w:sz w:val="20"/>
          <w:szCs w:val="20"/>
        </w:rPr>
        <w:t>-</w:t>
      </w:r>
      <w:r>
        <w:rPr>
          <w:rFonts w:ascii="Arial" w:hAnsi="Arial" w:cs="Arial"/>
          <w:sz w:val="20"/>
          <w:szCs w:val="20"/>
        </w:rPr>
        <w:t>compliance with basic governance measures</w:t>
      </w:r>
      <w:r w:rsidR="00666814">
        <w:rPr>
          <w:rStyle w:val="FootnoteReference"/>
          <w:rFonts w:ascii="Arial" w:hAnsi="Arial"/>
          <w:sz w:val="20"/>
          <w:szCs w:val="20"/>
        </w:rPr>
        <w:footnoteReference w:id="1"/>
      </w:r>
      <w:r>
        <w:rPr>
          <w:rFonts w:ascii="Arial" w:hAnsi="Arial" w:cs="Arial"/>
          <w:sz w:val="20"/>
          <w:szCs w:val="20"/>
        </w:rPr>
        <w:t>:</w:t>
      </w:r>
    </w:p>
    <w:p w:rsidR="00576ED4" w:rsidRDefault="00576ED4" w:rsidP="00793431">
      <w:pPr>
        <w:pStyle w:val="ListParagraph"/>
        <w:numPr>
          <w:ilvl w:val="0"/>
          <w:numId w:val="8"/>
        </w:numPr>
        <w:rPr>
          <w:rFonts w:ascii="Arial" w:hAnsi="Arial" w:cs="Arial"/>
          <w:sz w:val="20"/>
          <w:szCs w:val="20"/>
        </w:rPr>
      </w:pPr>
      <w:r>
        <w:rPr>
          <w:rFonts w:ascii="Arial" w:hAnsi="Arial" w:cs="Arial"/>
          <w:sz w:val="20"/>
          <w:szCs w:val="20"/>
        </w:rPr>
        <w:t xml:space="preserve">87% did not have approved governance plans </w:t>
      </w:r>
    </w:p>
    <w:p w:rsidR="00576ED4" w:rsidRDefault="00576ED4" w:rsidP="00793431">
      <w:pPr>
        <w:pStyle w:val="ListParagraph"/>
        <w:numPr>
          <w:ilvl w:val="0"/>
          <w:numId w:val="8"/>
        </w:numPr>
        <w:rPr>
          <w:rFonts w:ascii="Arial" w:hAnsi="Arial" w:cs="Arial"/>
          <w:sz w:val="20"/>
          <w:szCs w:val="20"/>
        </w:rPr>
      </w:pPr>
      <w:r>
        <w:rPr>
          <w:rFonts w:ascii="Arial" w:hAnsi="Arial" w:cs="Arial"/>
          <w:sz w:val="20"/>
          <w:szCs w:val="20"/>
        </w:rPr>
        <w:t>94% did not measure governance</w:t>
      </w:r>
      <w:r w:rsidR="00963ABE">
        <w:rPr>
          <w:rFonts w:ascii="Arial" w:hAnsi="Arial" w:cs="Arial"/>
          <w:sz w:val="20"/>
          <w:szCs w:val="20"/>
        </w:rPr>
        <w:t xml:space="preserve"> in</w:t>
      </w:r>
      <w:r>
        <w:rPr>
          <w:rFonts w:ascii="Arial" w:hAnsi="Arial" w:cs="Arial"/>
          <w:sz w:val="20"/>
          <w:szCs w:val="20"/>
        </w:rPr>
        <w:t xml:space="preserve"> team member </w:t>
      </w:r>
      <w:r w:rsidR="00BF3616">
        <w:rPr>
          <w:rFonts w:ascii="Arial" w:hAnsi="Arial" w:cs="Arial"/>
          <w:sz w:val="20"/>
          <w:szCs w:val="20"/>
        </w:rPr>
        <w:t>performance</w:t>
      </w:r>
      <w:r>
        <w:rPr>
          <w:rFonts w:ascii="Arial" w:hAnsi="Arial" w:cs="Arial"/>
          <w:sz w:val="20"/>
          <w:szCs w:val="20"/>
        </w:rPr>
        <w:t xml:space="preserve"> </w:t>
      </w:r>
    </w:p>
    <w:p w:rsidR="00576ED4" w:rsidRDefault="00576ED4" w:rsidP="00793431">
      <w:pPr>
        <w:pStyle w:val="ListParagraph"/>
        <w:numPr>
          <w:ilvl w:val="0"/>
          <w:numId w:val="8"/>
        </w:numPr>
        <w:rPr>
          <w:rFonts w:ascii="Arial" w:hAnsi="Arial" w:cs="Arial"/>
          <w:sz w:val="20"/>
          <w:szCs w:val="20"/>
        </w:rPr>
      </w:pPr>
      <w:r>
        <w:rPr>
          <w:rFonts w:ascii="Arial" w:hAnsi="Arial" w:cs="Arial"/>
          <w:sz w:val="20"/>
          <w:szCs w:val="20"/>
        </w:rPr>
        <w:t xml:space="preserve">80% said project skills were not </w:t>
      </w:r>
      <w:r w:rsidR="00BF3616">
        <w:rPr>
          <w:rFonts w:ascii="Arial" w:hAnsi="Arial" w:cs="Arial"/>
          <w:sz w:val="20"/>
          <w:szCs w:val="20"/>
        </w:rPr>
        <w:t>adequate</w:t>
      </w:r>
    </w:p>
    <w:p w:rsidR="00576ED4" w:rsidRPr="00BF3616" w:rsidRDefault="00576ED4" w:rsidP="00793431">
      <w:pPr>
        <w:pStyle w:val="ListParagraph"/>
        <w:numPr>
          <w:ilvl w:val="0"/>
          <w:numId w:val="8"/>
        </w:numPr>
        <w:rPr>
          <w:rFonts w:ascii="Arial" w:hAnsi="Arial" w:cs="Arial"/>
          <w:sz w:val="20"/>
          <w:szCs w:val="20"/>
        </w:rPr>
      </w:pPr>
      <w:r>
        <w:rPr>
          <w:rFonts w:ascii="Arial" w:hAnsi="Arial" w:cs="Arial"/>
          <w:sz w:val="20"/>
          <w:szCs w:val="20"/>
        </w:rPr>
        <w:t>55% governance team members did not exhibit proper corporate behaviour</w:t>
      </w:r>
    </w:p>
    <w:p w:rsidR="00E702EB" w:rsidRDefault="00576ED4" w:rsidP="00E732C1">
      <w:pPr>
        <w:rPr>
          <w:rFonts w:ascii="Arial" w:hAnsi="Arial" w:cs="Arial"/>
          <w:sz w:val="20"/>
          <w:szCs w:val="20"/>
        </w:rPr>
      </w:pPr>
      <w:r>
        <w:rPr>
          <w:rFonts w:ascii="Arial" w:hAnsi="Arial" w:cs="Arial"/>
          <w:sz w:val="20"/>
          <w:szCs w:val="20"/>
        </w:rPr>
        <w:t>Unsurprisingly, the</w:t>
      </w:r>
      <w:r w:rsidR="00282271">
        <w:rPr>
          <w:rFonts w:ascii="Arial" w:hAnsi="Arial" w:cs="Arial"/>
          <w:sz w:val="20"/>
          <w:szCs w:val="20"/>
        </w:rPr>
        <w:t xml:space="preserve"> </w:t>
      </w:r>
      <w:r>
        <w:rPr>
          <w:rFonts w:ascii="Arial" w:hAnsi="Arial" w:cs="Arial"/>
          <w:sz w:val="20"/>
          <w:szCs w:val="20"/>
        </w:rPr>
        <w:t xml:space="preserve">report concluded that </w:t>
      </w:r>
      <w:r w:rsidR="00E702EB">
        <w:rPr>
          <w:rFonts w:ascii="Arial" w:hAnsi="Arial" w:cs="Arial"/>
          <w:sz w:val="20"/>
          <w:szCs w:val="20"/>
        </w:rPr>
        <w:t>‘</w:t>
      </w:r>
      <w:r>
        <w:rPr>
          <w:rFonts w:ascii="Arial" w:hAnsi="Arial" w:cs="Arial"/>
          <w:sz w:val="20"/>
          <w:szCs w:val="20"/>
        </w:rPr>
        <w:t xml:space="preserve">a major cause of project failure in Australia has its roots in project Governance or </w:t>
      </w:r>
      <w:r w:rsidR="00E702EB">
        <w:rPr>
          <w:rFonts w:ascii="Arial" w:hAnsi="Arial" w:cs="Arial"/>
          <w:sz w:val="20"/>
          <w:szCs w:val="20"/>
        </w:rPr>
        <w:t xml:space="preserve">the </w:t>
      </w:r>
      <w:r>
        <w:rPr>
          <w:rFonts w:ascii="Arial" w:hAnsi="Arial" w:cs="Arial"/>
          <w:sz w:val="20"/>
          <w:szCs w:val="20"/>
        </w:rPr>
        <w:t>lack thereof. The delivery of project governance in Australia is also highly dysfunctional.</w:t>
      </w:r>
      <w:r w:rsidR="00E702EB">
        <w:rPr>
          <w:rFonts w:ascii="Arial" w:hAnsi="Arial" w:cs="Arial"/>
          <w:sz w:val="20"/>
          <w:szCs w:val="20"/>
        </w:rPr>
        <w:t>’</w:t>
      </w:r>
      <w:r w:rsidR="00E702EB">
        <w:rPr>
          <w:rStyle w:val="FootnoteReference"/>
          <w:rFonts w:ascii="Arial" w:hAnsi="Arial"/>
          <w:sz w:val="20"/>
          <w:szCs w:val="20"/>
        </w:rPr>
        <w:footnoteReference w:id="2"/>
      </w:r>
      <w:r>
        <w:rPr>
          <w:rFonts w:ascii="Arial" w:hAnsi="Arial" w:cs="Arial"/>
          <w:sz w:val="20"/>
          <w:szCs w:val="20"/>
        </w:rPr>
        <w:t xml:space="preserve"> </w:t>
      </w:r>
    </w:p>
    <w:p w:rsidR="00E702EB" w:rsidRDefault="008B0695" w:rsidP="00E732C1">
      <w:pPr>
        <w:rPr>
          <w:rFonts w:ascii="Arial" w:hAnsi="Arial" w:cs="Arial"/>
          <w:sz w:val="20"/>
          <w:szCs w:val="20"/>
        </w:rPr>
      </w:pPr>
      <w:r>
        <w:rPr>
          <w:rFonts w:ascii="Arial" w:hAnsi="Arial" w:cs="Arial"/>
          <w:sz w:val="20"/>
          <w:szCs w:val="20"/>
        </w:rPr>
        <w:lastRenderedPageBreak/>
        <w:t xml:space="preserve">HVCI have confirmed that supply side reform will be implemented regardless of which heavy vehicle charges option is recommended. </w:t>
      </w:r>
      <w:r w:rsidR="00E702EB">
        <w:rPr>
          <w:rFonts w:ascii="Arial" w:hAnsi="Arial" w:cs="Arial"/>
          <w:sz w:val="20"/>
          <w:szCs w:val="20"/>
        </w:rPr>
        <w:t>W</w:t>
      </w:r>
      <w:r w:rsidR="00576ED4">
        <w:rPr>
          <w:rFonts w:ascii="Arial" w:hAnsi="Arial" w:cs="Arial"/>
          <w:sz w:val="20"/>
          <w:szCs w:val="20"/>
        </w:rPr>
        <w:t xml:space="preserve">hile HVCI may be examining </w:t>
      </w:r>
      <w:r w:rsidR="00E702EB">
        <w:rPr>
          <w:rFonts w:ascii="Arial" w:hAnsi="Arial" w:cs="Arial"/>
          <w:sz w:val="20"/>
          <w:szCs w:val="20"/>
        </w:rPr>
        <w:t xml:space="preserve">significant </w:t>
      </w:r>
      <w:r w:rsidR="00576ED4">
        <w:rPr>
          <w:rFonts w:ascii="Arial" w:hAnsi="Arial" w:cs="Arial"/>
          <w:sz w:val="20"/>
          <w:szCs w:val="20"/>
        </w:rPr>
        <w:t xml:space="preserve">changes to </w:t>
      </w:r>
      <w:r w:rsidR="00282271">
        <w:rPr>
          <w:rFonts w:ascii="Arial" w:hAnsi="Arial" w:cs="Arial"/>
          <w:sz w:val="20"/>
          <w:szCs w:val="20"/>
        </w:rPr>
        <w:t xml:space="preserve">the </w:t>
      </w:r>
      <w:r w:rsidR="00576ED4">
        <w:rPr>
          <w:rFonts w:ascii="Arial" w:hAnsi="Arial" w:cs="Arial"/>
          <w:sz w:val="20"/>
          <w:szCs w:val="20"/>
        </w:rPr>
        <w:t>overarching framework</w:t>
      </w:r>
      <w:r w:rsidR="00E702EB">
        <w:rPr>
          <w:rFonts w:ascii="Arial" w:hAnsi="Arial" w:cs="Arial"/>
          <w:sz w:val="20"/>
          <w:szCs w:val="20"/>
        </w:rPr>
        <w:t xml:space="preserve"> of providing roads, including an economic regulator</w:t>
      </w:r>
      <w:r w:rsidR="00576ED4">
        <w:rPr>
          <w:rFonts w:ascii="Arial" w:hAnsi="Arial" w:cs="Arial"/>
          <w:sz w:val="20"/>
          <w:szCs w:val="20"/>
        </w:rPr>
        <w:t xml:space="preserve">, </w:t>
      </w:r>
      <w:r w:rsidR="00E702EB">
        <w:rPr>
          <w:rFonts w:ascii="Arial" w:hAnsi="Arial" w:cs="Arial"/>
          <w:sz w:val="20"/>
          <w:szCs w:val="20"/>
        </w:rPr>
        <w:t xml:space="preserve">HVCI may need to </w:t>
      </w:r>
      <w:r>
        <w:rPr>
          <w:rFonts w:ascii="Arial" w:hAnsi="Arial" w:cs="Arial"/>
          <w:sz w:val="20"/>
          <w:szCs w:val="20"/>
        </w:rPr>
        <w:t>reflect on</w:t>
      </w:r>
      <w:r w:rsidR="00E702EB">
        <w:rPr>
          <w:rFonts w:ascii="Arial" w:hAnsi="Arial" w:cs="Arial"/>
          <w:sz w:val="20"/>
          <w:szCs w:val="20"/>
        </w:rPr>
        <w:t xml:space="preserve"> the current situ</w:t>
      </w:r>
      <w:r w:rsidR="00181E9B">
        <w:rPr>
          <w:rFonts w:ascii="Arial" w:hAnsi="Arial" w:cs="Arial"/>
          <w:sz w:val="20"/>
          <w:szCs w:val="20"/>
        </w:rPr>
        <w:t xml:space="preserve">ation and resources and consider how long </w:t>
      </w:r>
      <w:r w:rsidR="00282271">
        <w:rPr>
          <w:rFonts w:ascii="Arial" w:hAnsi="Arial" w:cs="Arial"/>
          <w:sz w:val="20"/>
          <w:szCs w:val="20"/>
        </w:rPr>
        <w:t xml:space="preserve">any </w:t>
      </w:r>
      <w:r w:rsidR="00181E9B">
        <w:rPr>
          <w:rFonts w:ascii="Arial" w:hAnsi="Arial" w:cs="Arial"/>
          <w:sz w:val="20"/>
          <w:szCs w:val="20"/>
        </w:rPr>
        <w:t xml:space="preserve">transition will take to reach an independent economic regulator with a commercial </w:t>
      </w:r>
      <w:r>
        <w:rPr>
          <w:rFonts w:ascii="Arial" w:hAnsi="Arial" w:cs="Arial"/>
          <w:sz w:val="20"/>
          <w:szCs w:val="20"/>
        </w:rPr>
        <w:t xml:space="preserve">relationship with operators. </w:t>
      </w:r>
    </w:p>
    <w:p w:rsidR="00E702EB" w:rsidRDefault="00E702EB" w:rsidP="00E732C1">
      <w:pPr>
        <w:rPr>
          <w:rFonts w:ascii="Arial" w:hAnsi="Arial" w:cs="Arial"/>
          <w:sz w:val="20"/>
          <w:szCs w:val="20"/>
        </w:rPr>
      </w:pPr>
    </w:p>
    <w:p w:rsidR="00BF3616" w:rsidRDefault="008B0695" w:rsidP="00E732C1">
      <w:pPr>
        <w:rPr>
          <w:rFonts w:ascii="Arial" w:hAnsi="Arial" w:cs="Arial"/>
          <w:sz w:val="20"/>
          <w:szCs w:val="20"/>
        </w:rPr>
      </w:pPr>
      <w:r>
        <w:rPr>
          <w:rFonts w:ascii="Arial" w:hAnsi="Arial" w:cs="Arial"/>
          <w:sz w:val="20"/>
          <w:szCs w:val="20"/>
        </w:rPr>
        <w:t xml:space="preserve">It is also vital that the inefficiencies that currently exist are not transposed into a new road provision system. </w:t>
      </w:r>
    </w:p>
    <w:p w:rsidR="00D72D19" w:rsidRDefault="00D72D19" w:rsidP="00E732C1">
      <w:pPr>
        <w:rPr>
          <w:rFonts w:ascii="Arial" w:hAnsi="Arial" w:cs="Arial"/>
          <w:sz w:val="20"/>
          <w:szCs w:val="20"/>
        </w:rPr>
      </w:pPr>
    </w:p>
    <w:p w:rsidR="00357053" w:rsidRDefault="00357053" w:rsidP="00D72D19">
      <w:pPr>
        <w:rPr>
          <w:rFonts w:ascii="Arial" w:hAnsi="Arial" w:cs="Arial"/>
          <w:sz w:val="20"/>
          <w:szCs w:val="20"/>
        </w:rPr>
      </w:pPr>
      <w:bookmarkStart w:id="16" w:name="_Toc361217253"/>
      <w:bookmarkStart w:id="17" w:name="_Toc361217621"/>
      <w:bookmarkStart w:id="18" w:name="_Toc361218148"/>
      <w:bookmarkStart w:id="19" w:name="_Toc361219502"/>
      <w:bookmarkStart w:id="20" w:name="_Toc361232781"/>
      <w:r w:rsidRPr="00D72D19">
        <w:rPr>
          <w:rFonts w:ascii="Arial" w:hAnsi="Arial" w:cs="Arial"/>
          <w:sz w:val="20"/>
          <w:szCs w:val="20"/>
        </w:rPr>
        <w:t>Below are a number of practi</w:t>
      </w:r>
      <w:r w:rsidR="008B0695">
        <w:rPr>
          <w:rFonts w:ascii="Arial" w:hAnsi="Arial" w:cs="Arial"/>
          <w:sz w:val="20"/>
          <w:szCs w:val="20"/>
        </w:rPr>
        <w:t xml:space="preserve">cal changes to </w:t>
      </w:r>
      <w:r w:rsidR="00282271">
        <w:rPr>
          <w:rFonts w:ascii="Arial" w:hAnsi="Arial" w:cs="Arial"/>
          <w:sz w:val="20"/>
          <w:szCs w:val="20"/>
        </w:rPr>
        <w:t xml:space="preserve">the </w:t>
      </w:r>
      <w:r w:rsidR="008B0695">
        <w:rPr>
          <w:rFonts w:ascii="Arial" w:hAnsi="Arial" w:cs="Arial"/>
          <w:sz w:val="20"/>
          <w:szCs w:val="20"/>
        </w:rPr>
        <w:t>regulations and</w:t>
      </w:r>
      <w:r w:rsidRPr="00D72D19">
        <w:rPr>
          <w:rFonts w:ascii="Arial" w:hAnsi="Arial" w:cs="Arial"/>
          <w:sz w:val="20"/>
          <w:szCs w:val="20"/>
        </w:rPr>
        <w:t xml:space="preserve"> transparency of road agency operations</w:t>
      </w:r>
      <w:bookmarkEnd w:id="16"/>
      <w:bookmarkEnd w:id="17"/>
      <w:bookmarkEnd w:id="18"/>
      <w:bookmarkEnd w:id="19"/>
      <w:bookmarkEnd w:id="20"/>
      <w:r w:rsidR="008B0695">
        <w:rPr>
          <w:rFonts w:ascii="Arial" w:hAnsi="Arial" w:cs="Arial"/>
          <w:sz w:val="20"/>
          <w:szCs w:val="20"/>
        </w:rPr>
        <w:t xml:space="preserve">, which need to be </w:t>
      </w:r>
      <w:r w:rsidR="00883A94">
        <w:rPr>
          <w:rFonts w:ascii="Arial" w:hAnsi="Arial" w:cs="Arial"/>
          <w:sz w:val="20"/>
          <w:szCs w:val="20"/>
        </w:rPr>
        <w:t>implemented in order to improve road agency decision</w:t>
      </w:r>
      <w:r w:rsidR="00282271">
        <w:rPr>
          <w:rFonts w:ascii="Arial" w:hAnsi="Arial" w:cs="Arial"/>
          <w:sz w:val="20"/>
          <w:szCs w:val="20"/>
        </w:rPr>
        <w:t>-</w:t>
      </w:r>
      <w:r w:rsidR="00883A94">
        <w:rPr>
          <w:rFonts w:ascii="Arial" w:hAnsi="Arial" w:cs="Arial"/>
          <w:sz w:val="20"/>
          <w:szCs w:val="20"/>
        </w:rPr>
        <w:t xml:space="preserve">making. </w:t>
      </w:r>
    </w:p>
    <w:p w:rsidR="00617F3D" w:rsidRPr="00D72D19" w:rsidRDefault="00617F3D" w:rsidP="00D72D19">
      <w:pPr>
        <w:rPr>
          <w:rFonts w:ascii="Arial" w:hAnsi="Arial" w:cs="Arial"/>
          <w:sz w:val="20"/>
          <w:szCs w:val="20"/>
        </w:rPr>
      </w:pPr>
    </w:p>
    <w:p w:rsidR="00545D8C" w:rsidRPr="00AB3A66" w:rsidRDefault="00545D8C" w:rsidP="00E732C1">
      <w:pPr>
        <w:rPr>
          <w:rFonts w:ascii="Arial" w:hAnsi="Arial" w:cs="Arial"/>
          <w:sz w:val="20"/>
          <w:szCs w:val="20"/>
          <w:u w:val="single"/>
        </w:rPr>
      </w:pPr>
    </w:p>
    <w:p w:rsidR="007D330A" w:rsidRPr="00620293" w:rsidRDefault="00AB3A66" w:rsidP="00793431">
      <w:pPr>
        <w:pStyle w:val="Heading1"/>
        <w:numPr>
          <w:ilvl w:val="1"/>
          <w:numId w:val="14"/>
        </w:numPr>
      </w:pPr>
      <w:bookmarkStart w:id="21" w:name="_Toc362528122"/>
      <w:r w:rsidRPr="00620293">
        <w:t>I</w:t>
      </w:r>
      <w:r w:rsidR="00357053" w:rsidRPr="00620293">
        <w:t>ndependent review of access decisions</w:t>
      </w:r>
      <w:bookmarkEnd w:id="21"/>
      <w:r w:rsidRPr="00620293">
        <w:t xml:space="preserve"> </w:t>
      </w:r>
    </w:p>
    <w:p w:rsidR="007D330A" w:rsidRPr="00D51476" w:rsidRDefault="007D330A" w:rsidP="00E732C1">
      <w:pPr>
        <w:rPr>
          <w:rFonts w:ascii="Arial" w:hAnsi="Arial" w:cs="Arial"/>
          <w:sz w:val="20"/>
          <w:szCs w:val="20"/>
        </w:rPr>
      </w:pPr>
    </w:p>
    <w:p w:rsidR="004B18CB" w:rsidRDefault="00357053" w:rsidP="00E732C1">
      <w:pPr>
        <w:rPr>
          <w:rFonts w:ascii="Arial" w:hAnsi="Arial" w:cs="Arial"/>
          <w:sz w:val="20"/>
          <w:szCs w:val="20"/>
        </w:rPr>
      </w:pPr>
      <w:r w:rsidRPr="00D51476">
        <w:rPr>
          <w:rFonts w:ascii="Arial" w:hAnsi="Arial" w:cs="Arial"/>
          <w:sz w:val="20"/>
          <w:szCs w:val="20"/>
        </w:rPr>
        <w:t xml:space="preserve">Currently, decisions </w:t>
      </w:r>
      <w:r w:rsidR="0048316C">
        <w:rPr>
          <w:rFonts w:ascii="Arial" w:hAnsi="Arial" w:cs="Arial"/>
          <w:sz w:val="20"/>
          <w:szCs w:val="20"/>
        </w:rPr>
        <w:t>on</w:t>
      </w:r>
      <w:r w:rsidR="0048316C" w:rsidRPr="00D51476">
        <w:rPr>
          <w:rFonts w:ascii="Arial" w:hAnsi="Arial" w:cs="Arial"/>
          <w:sz w:val="20"/>
          <w:szCs w:val="20"/>
        </w:rPr>
        <w:t xml:space="preserve"> </w:t>
      </w:r>
      <w:r w:rsidRPr="00D51476">
        <w:rPr>
          <w:rFonts w:ascii="Arial" w:hAnsi="Arial" w:cs="Arial"/>
          <w:sz w:val="20"/>
          <w:szCs w:val="20"/>
        </w:rPr>
        <w:t xml:space="preserve">road access for heavy vehicles are not </w:t>
      </w:r>
      <w:r w:rsidR="0048316C" w:rsidRPr="00D51476">
        <w:rPr>
          <w:rFonts w:ascii="Arial" w:hAnsi="Arial" w:cs="Arial"/>
          <w:sz w:val="20"/>
          <w:szCs w:val="20"/>
        </w:rPr>
        <w:t xml:space="preserve">externally </w:t>
      </w:r>
      <w:r w:rsidRPr="00D51476">
        <w:rPr>
          <w:rFonts w:ascii="Arial" w:hAnsi="Arial" w:cs="Arial"/>
          <w:sz w:val="20"/>
          <w:szCs w:val="20"/>
        </w:rPr>
        <w:t xml:space="preserve">reviewable. </w:t>
      </w:r>
      <w:r w:rsidR="004B18CB">
        <w:rPr>
          <w:rFonts w:ascii="Arial" w:hAnsi="Arial" w:cs="Arial"/>
          <w:sz w:val="20"/>
          <w:szCs w:val="20"/>
        </w:rPr>
        <w:t>Road a</w:t>
      </w:r>
      <w:r w:rsidRPr="00D51476">
        <w:rPr>
          <w:rFonts w:ascii="Arial" w:hAnsi="Arial" w:cs="Arial"/>
          <w:sz w:val="20"/>
          <w:szCs w:val="20"/>
        </w:rPr>
        <w:t xml:space="preserve">gencies are not held to account for verdicts and do not have to justify decisions. </w:t>
      </w:r>
      <w:r w:rsidR="004B18CB">
        <w:rPr>
          <w:rFonts w:ascii="Arial" w:hAnsi="Arial" w:cs="Arial"/>
          <w:sz w:val="20"/>
          <w:szCs w:val="20"/>
        </w:rPr>
        <w:t>If road agencies are to be more accountable for their actions</w:t>
      </w:r>
      <w:r w:rsidR="0048526B">
        <w:rPr>
          <w:rFonts w:ascii="Arial" w:hAnsi="Arial" w:cs="Arial"/>
          <w:sz w:val="20"/>
          <w:szCs w:val="20"/>
        </w:rPr>
        <w:t xml:space="preserve">, third party review of road agency access decisions needs to occur. </w:t>
      </w:r>
    </w:p>
    <w:p w:rsidR="004B18CB" w:rsidRDefault="004B18CB" w:rsidP="00E732C1">
      <w:pPr>
        <w:rPr>
          <w:rFonts w:ascii="Arial" w:hAnsi="Arial" w:cs="Arial"/>
          <w:sz w:val="20"/>
          <w:szCs w:val="20"/>
        </w:rPr>
      </w:pPr>
    </w:p>
    <w:p w:rsidR="00357053" w:rsidRPr="00D51476" w:rsidRDefault="00357053" w:rsidP="00E732C1">
      <w:pPr>
        <w:rPr>
          <w:rFonts w:ascii="Arial" w:hAnsi="Arial" w:cs="Arial"/>
          <w:sz w:val="20"/>
          <w:szCs w:val="20"/>
        </w:rPr>
      </w:pPr>
      <w:r w:rsidRPr="00D51476">
        <w:rPr>
          <w:rFonts w:ascii="Arial" w:hAnsi="Arial" w:cs="Arial"/>
          <w:sz w:val="20"/>
          <w:szCs w:val="20"/>
        </w:rPr>
        <w:t>Over time, a series of tribunal decisions would establish precedents for road agencies to use to make consistent</w:t>
      </w:r>
      <w:r w:rsidR="0048316C">
        <w:rPr>
          <w:rFonts w:ascii="Arial" w:hAnsi="Arial" w:cs="Arial"/>
          <w:sz w:val="20"/>
          <w:szCs w:val="20"/>
        </w:rPr>
        <w:t xml:space="preserve"> access</w:t>
      </w:r>
      <w:r w:rsidRPr="00D51476">
        <w:rPr>
          <w:rFonts w:ascii="Arial" w:hAnsi="Arial" w:cs="Arial"/>
          <w:sz w:val="20"/>
          <w:szCs w:val="20"/>
        </w:rPr>
        <w:t xml:space="preserve"> decisions</w:t>
      </w:r>
      <w:r w:rsidR="00DE028E">
        <w:rPr>
          <w:rFonts w:ascii="Arial" w:hAnsi="Arial" w:cs="Arial"/>
          <w:sz w:val="20"/>
          <w:szCs w:val="20"/>
        </w:rPr>
        <w:t>. Many law reform papers report better decision</w:t>
      </w:r>
      <w:r w:rsidR="0048316C">
        <w:rPr>
          <w:rFonts w:ascii="Arial" w:hAnsi="Arial" w:cs="Arial"/>
          <w:sz w:val="20"/>
          <w:szCs w:val="20"/>
        </w:rPr>
        <w:t>-</w:t>
      </w:r>
      <w:r w:rsidR="00DE028E">
        <w:rPr>
          <w:rFonts w:ascii="Arial" w:hAnsi="Arial" w:cs="Arial"/>
          <w:sz w:val="20"/>
          <w:szCs w:val="20"/>
        </w:rPr>
        <w:t xml:space="preserve">making flows from external review </w:t>
      </w:r>
      <w:r w:rsidR="005241FD">
        <w:rPr>
          <w:rFonts w:ascii="Arial" w:hAnsi="Arial" w:cs="Arial"/>
          <w:sz w:val="20"/>
          <w:szCs w:val="20"/>
        </w:rPr>
        <w:t>being available. In the broader regulatory environment</w:t>
      </w:r>
      <w:r w:rsidR="0048316C">
        <w:rPr>
          <w:rFonts w:ascii="Arial" w:hAnsi="Arial" w:cs="Arial"/>
          <w:sz w:val="20"/>
          <w:szCs w:val="20"/>
        </w:rPr>
        <w:t>,</w:t>
      </w:r>
      <w:r w:rsidR="005241FD">
        <w:rPr>
          <w:rFonts w:ascii="Arial" w:hAnsi="Arial" w:cs="Arial"/>
          <w:sz w:val="20"/>
          <w:szCs w:val="20"/>
        </w:rPr>
        <w:t xml:space="preserve"> it is now uncommon </w:t>
      </w:r>
      <w:r w:rsidR="0048526B">
        <w:rPr>
          <w:rFonts w:ascii="Arial" w:hAnsi="Arial" w:cs="Arial"/>
          <w:sz w:val="20"/>
          <w:szCs w:val="20"/>
        </w:rPr>
        <w:t>for government</w:t>
      </w:r>
      <w:r w:rsidR="005241FD">
        <w:rPr>
          <w:rFonts w:ascii="Arial" w:hAnsi="Arial" w:cs="Arial"/>
          <w:sz w:val="20"/>
          <w:szCs w:val="20"/>
        </w:rPr>
        <w:t xml:space="preserve"> agency decisions not to be subject to external review.</w:t>
      </w:r>
      <w:r w:rsidRPr="00D51476">
        <w:rPr>
          <w:rFonts w:ascii="Arial" w:hAnsi="Arial" w:cs="Arial"/>
          <w:sz w:val="20"/>
          <w:szCs w:val="20"/>
        </w:rPr>
        <w:t xml:space="preserve"> </w:t>
      </w:r>
    </w:p>
    <w:p w:rsidR="00357053" w:rsidRPr="00D51476" w:rsidRDefault="00357053" w:rsidP="00E732C1">
      <w:pPr>
        <w:rPr>
          <w:rFonts w:ascii="Arial" w:hAnsi="Arial" w:cs="Arial"/>
          <w:sz w:val="20"/>
          <w:szCs w:val="20"/>
        </w:rPr>
      </w:pPr>
    </w:p>
    <w:p w:rsidR="00357053" w:rsidRPr="00D51476" w:rsidRDefault="00357053" w:rsidP="00E732C1">
      <w:pPr>
        <w:rPr>
          <w:rFonts w:ascii="Arial" w:hAnsi="Arial" w:cs="Arial"/>
          <w:sz w:val="20"/>
          <w:szCs w:val="20"/>
        </w:rPr>
      </w:pPr>
      <w:r w:rsidRPr="00D51476">
        <w:rPr>
          <w:rFonts w:ascii="Arial" w:hAnsi="Arial" w:cs="Arial"/>
          <w:sz w:val="20"/>
          <w:szCs w:val="20"/>
        </w:rPr>
        <w:t xml:space="preserve">Wrong decisions impose costs not just on the companies seeking administrative review, but also on government. Therefore, using </w:t>
      </w:r>
      <w:r w:rsidR="0048316C">
        <w:rPr>
          <w:rFonts w:ascii="Arial" w:hAnsi="Arial" w:cs="Arial"/>
          <w:sz w:val="20"/>
          <w:szCs w:val="20"/>
        </w:rPr>
        <w:t xml:space="preserve">a process of </w:t>
      </w:r>
      <w:r w:rsidRPr="00D51476">
        <w:rPr>
          <w:rFonts w:ascii="Arial" w:hAnsi="Arial" w:cs="Arial"/>
          <w:sz w:val="20"/>
          <w:szCs w:val="20"/>
        </w:rPr>
        <w:t xml:space="preserve">external review may add more </w:t>
      </w:r>
      <w:r w:rsidR="007237BB" w:rsidRPr="00D51476">
        <w:rPr>
          <w:rFonts w:ascii="Arial" w:hAnsi="Arial" w:cs="Arial"/>
          <w:sz w:val="20"/>
          <w:szCs w:val="20"/>
        </w:rPr>
        <w:t>systematic</w:t>
      </w:r>
      <w:r w:rsidRPr="00D51476">
        <w:rPr>
          <w:rFonts w:ascii="Arial" w:hAnsi="Arial" w:cs="Arial"/>
          <w:sz w:val="20"/>
          <w:szCs w:val="20"/>
        </w:rPr>
        <w:t xml:space="preserve"> </w:t>
      </w:r>
      <w:r w:rsidR="0048316C">
        <w:rPr>
          <w:rFonts w:ascii="Arial" w:hAnsi="Arial" w:cs="Arial"/>
          <w:sz w:val="20"/>
          <w:szCs w:val="20"/>
        </w:rPr>
        <w:t>approach to</w:t>
      </w:r>
      <w:r w:rsidRPr="00D51476">
        <w:rPr>
          <w:rFonts w:ascii="Arial" w:hAnsi="Arial" w:cs="Arial"/>
          <w:sz w:val="20"/>
          <w:szCs w:val="20"/>
        </w:rPr>
        <w:t xml:space="preserve"> decisions and move agencies toward best practice decision making. </w:t>
      </w:r>
      <w:r w:rsidR="005241FD">
        <w:rPr>
          <w:rFonts w:ascii="Arial" w:hAnsi="Arial" w:cs="Arial"/>
          <w:sz w:val="20"/>
          <w:szCs w:val="20"/>
        </w:rPr>
        <w:t>Further, external review</w:t>
      </w:r>
      <w:r w:rsidR="0048316C">
        <w:rPr>
          <w:rFonts w:ascii="Arial" w:hAnsi="Arial" w:cs="Arial"/>
          <w:sz w:val="20"/>
          <w:szCs w:val="20"/>
        </w:rPr>
        <w:t>s</w:t>
      </w:r>
      <w:r w:rsidR="005241FD">
        <w:rPr>
          <w:rFonts w:ascii="Arial" w:hAnsi="Arial" w:cs="Arial"/>
          <w:sz w:val="20"/>
          <w:szCs w:val="20"/>
        </w:rPr>
        <w:t xml:space="preserve"> allow political oversight to focus on high level</w:t>
      </w:r>
      <w:r w:rsidR="0048316C">
        <w:rPr>
          <w:rFonts w:ascii="Arial" w:hAnsi="Arial" w:cs="Arial"/>
          <w:sz w:val="20"/>
          <w:szCs w:val="20"/>
        </w:rPr>
        <w:t xml:space="preserve"> access and charging</w:t>
      </w:r>
      <w:r w:rsidR="005241FD">
        <w:rPr>
          <w:rFonts w:ascii="Arial" w:hAnsi="Arial" w:cs="Arial"/>
          <w:sz w:val="20"/>
          <w:szCs w:val="20"/>
        </w:rPr>
        <w:t xml:space="preserve"> </w:t>
      </w:r>
      <w:r w:rsidR="0048316C">
        <w:rPr>
          <w:rFonts w:ascii="Arial" w:hAnsi="Arial" w:cs="Arial"/>
          <w:sz w:val="20"/>
          <w:szCs w:val="20"/>
        </w:rPr>
        <w:t xml:space="preserve">policy </w:t>
      </w:r>
      <w:r w:rsidR="005241FD">
        <w:rPr>
          <w:rFonts w:ascii="Arial" w:hAnsi="Arial" w:cs="Arial"/>
          <w:sz w:val="20"/>
          <w:szCs w:val="20"/>
        </w:rPr>
        <w:t>issues rather than being dealing with lobb</w:t>
      </w:r>
      <w:r w:rsidR="009C41C2">
        <w:rPr>
          <w:rFonts w:ascii="Arial" w:hAnsi="Arial" w:cs="Arial"/>
          <w:sz w:val="20"/>
          <w:szCs w:val="20"/>
        </w:rPr>
        <w:t>y</w:t>
      </w:r>
      <w:r w:rsidR="005241FD">
        <w:rPr>
          <w:rFonts w:ascii="Arial" w:hAnsi="Arial" w:cs="Arial"/>
          <w:sz w:val="20"/>
          <w:szCs w:val="20"/>
        </w:rPr>
        <w:t xml:space="preserve">ing on specific access decisions. </w:t>
      </w:r>
    </w:p>
    <w:p w:rsidR="00357053" w:rsidRDefault="00357053" w:rsidP="00E732C1">
      <w:pPr>
        <w:rPr>
          <w:rFonts w:ascii="Arial" w:hAnsi="Arial" w:cs="Arial"/>
          <w:sz w:val="20"/>
          <w:szCs w:val="20"/>
        </w:rPr>
      </w:pPr>
    </w:p>
    <w:p w:rsidR="00D72D19" w:rsidRDefault="00D72D19" w:rsidP="00E732C1">
      <w:pPr>
        <w:rPr>
          <w:rFonts w:ascii="Arial" w:hAnsi="Arial" w:cs="Arial"/>
          <w:sz w:val="20"/>
          <w:szCs w:val="20"/>
        </w:rPr>
      </w:pPr>
      <w:r>
        <w:rPr>
          <w:rFonts w:ascii="Arial" w:hAnsi="Arial" w:cs="Arial"/>
          <w:sz w:val="20"/>
          <w:szCs w:val="20"/>
        </w:rPr>
        <w:t xml:space="preserve">The NHVR guidelines on access decisions should be robust requirements </w:t>
      </w:r>
      <w:r w:rsidR="0048526B">
        <w:rPr>
          <w:rFonts w:ascii="Arial" w:hAnsi="Arial" w:cs="Arial"/>
          <w:sz w:val="20"/>
          <w:szCs w:val="20"/>
        </w:rPr>
        <w:t xml:space="preserve">for road agencies rather </w:t>
      </w:r>
      <w:r>
        <w:rPr>
          <w:rFonts w:ascii="Arial" w:hAnsi="Arial" w:cs="Arial"/>
          <w:sz w:val="20"/>
          <w:szCs w:val="20"/>
        </w:rPr>
        <w:t>than</w:t>
      </w:r>
      <w:r w:rsidR="0048316C">
        <w:rPr>
          <w:rFonts w:ascii="Arial" w:hAnsi="Arial" w:cs="Arial"/>
          <w:sz w:val="20"/>
          <w:szCs w:val="20"/>
        </w:rPr>
        <w:t xml:space="preserve"> </w:t>
      </w:r>
      <w:r>
        <w:rPr>
          <w:rFonts w:ascii="Arial" w:hAnsi="Arial" w:cs="Arial"/>
          <w:sz w:val="20"/>
          <w:szCs w:val="20"/>
        </w:rPr>
        <w:t>simply</w:t>
      </w:r>
      <w:r w:rsidR="0048316C">
        <w:rPr>
          <w:rFonts w:ascii="Arial" w:hAnsi="Arial" w:cs="Arial"/>
          <w:sz w:val="20"/>
          <w:szCs w:val="20"/>
        </w:rPr>
        <w:t xml:space="preserve"> </w:t>
      </w:r>
      <w:r w:rsidR="00AA3874">
        <w:rPr>
          <w:rFonts w:ascii="Arial" w:hAnsi="Arial" w:cs="Arial"/>
          <w:sz w:val="20"/>
          <w:szCs w:val="20"/>
        </w:rPr>
        <w:t>requesting</w:t>
      </w:r>
      <w:r w:rsidR="0048316C">
        <w:rPr>
          <w:rFonts w:ascii="Arial" w:hAnsi="Arial" w:cs="Arial"/>
          <w:sz w:val="20"/>
          <w:szCs w:val="20"/>
        </w:rPr>
        <w:t xml:space="preserve"> they</w:t>
      </w:r>
      <w:r>
        <w:rPr>
          <w:rFonts w:ascii="Arial" w:hAnsi="Arial" w:cs="Arial"/>
          <w:sz w:val="20"/>
          <w:szCs w:val="20"/>
        </w:rPr>
        <w:t xml:space="preserve"> ‘have regard to’</w:t>
      </w:r>
      <w:r w:rsidR="0048316C">
        <w:rPr>
          <w:rFonts w:ascii="Arial" w:hAnsi="Arial" w:cs="Arial"/>
          <w:sz w:val="20"/>
          <w:szCs w:val="20"/>
        </w:rPr>
        <w:t xml:space="preserve"> a matter</w:t>
      </w:r>
      <w:r>
        <w:rPr>
          <w:rFonts w:ascii="Arial" w:hAnsi="Arial" w:cs="Arial"/>
          <w:sz w:val="20"/>
          <w:szCs w:val="20"/>
        </w:rPr>
        <w:t xml:space="preserve">. </w:t>
      </w:r>
      <w:r w:rsidR="0048526B">
        <w:rPr>
          <w:rFonts w:ascii="Arial" w:hAnsi="Arial" w:cs="Arial"/>
          <w:sz w:val="20"/>
          <w:szCs w:val="20"/>
        </w:rPr>
        <w:t>It is also important that re</w:t>
      </w:r>
      <w:r>
        <w:rPr>
          <w:rFonts w:ascii="Arial" w:hAnsi="Arial" w:cs="Arial"/>
          <w:sz w:val="20"/>
          <w:szCs w:val="20"/>
        </w:rPr>
        <w:t xml:space="preserve">jected decisions be recorded and presented transparently to industry in order for further </w:t>
      </w:r>
      <w:r w:rsidR="0048316C">
        <w:rPr>
          <w:rFonts w:ascii="Arial" w:hAnsi="Arial" w:cs="Arial"/>
          <w:sz w:val="20"/>
          <w:szCs w:val="20"/>
        </w:rPr>
        <w:t xml:space="preserve">appropriate </w:t>
      </w:r>
      <w:r>
        <w:rPr>
          <w:rFonts w:ascii="Arial" w:hAnsi="Arial" w:cs="Arial"/>
          <w:sz w:val="20"/>
          <w:szCs w:val="20"/>
        </w:rPr>
        <w:t xml:space="preserve">action to be taken. </w:t>
      </w:r>
    </w:p>
    <w:p w:rsidR="00C5111D" w:rsidRDefault="00C5111D" w:rsidP="00E732C1">
      <w:pPr>
        <w:rPr>
          <w:rFonts w:ascii="Arial" w:hAnsi="Arial" w:cs="Arial"/>
          <w:sz w:val="20"/>
          <w:szCs w:val="20"/>
        </w:rPr>
      </w:pPr>
    </w:p>
    <w:p w:rsidR="00B73DF0" w:rsidRDefault="00C5111D">
      <w:pPr>
        <w:rPr>
          <w:rFonts w:ascii="Arial" w:hAnsi="Arial" w:cs="Arial"/>
          <w:sz w:val="20"/>
          <w:szCs w:val="20"/>
        </w:rPr>
      </w:pPr>
      <w:r>
        <w:rPr>
          <w:rFonts w:ascii="Arial" w:hAnsi="Arial" w:cs="Arial"/>
          <w:sz w:val="20"/>
          <w:szCs w:val="20"/>
        </w:rPr>
        <w:t xml:space="preserve">Industry needs consistent outcomes that </w:t>
      </w:r>
      <w:r w:rsidR="005241FD">
        <w:rPr>
          <w:rFonts w:ascii="Arial" w:hAnsi="Arial" w:cs="Arial"/>
          <w:sz w:val="20"/>
          <w:szCs w:val="20"/>
        </w:rPr>
        <w:t>show rigour</w:t>
      </w:r>
      <w:r w:rsidR="0048526B">
        <w:rPr>
          <w:rFonts w:ascii="Arial" w:hAnsi="Arial" w:cs="Arial"/>
          <w:sz w:val="20"/>
          <w:szCs w:val="20"/>
        </w:rPr>
        <w:t>,</w:t>
      </w:r>
      <w:r w:rsidR="005241FD">
        <w:rPr>
          <w:rFonts w:ascii="Arial" w:hAnsi="Arial" w:cs="Arial"/>
          <w:sz w:val="20"/>
          <w:szCs w:val="20"/>
        </w:rPr>
        <w:t xml:space="preserve"> with</w:t>
      </w:r>
      <w:r w:rsidR="0048526B">
        <w:rPr>
          <w:rFonts w:ascii="Arial" w:hAnsi="Arial" w:cs="Arial"/>
          <w:sz w:val="20"/>
          <w:szCs w:val="20"/>
        </w:rPr>
        <w:t xml:space="preserve"> the</w:t>
      </w:r>
      <w:r w:rsidR="005241FD">
        <w:rPr>
          <w:rFonts w:ascii="Arial" w:hAnsi="Arial" w:cs="Arial"/>
          <w:sz w:val="20"/>
          <w:szCs w:val="20"/>
        </w:rPr>
        <w:t xml:space="preserve"> same outcomes in same circumstances and value for investment in roads from sensible access decisions. </w:t>
      </w:r>
      <w:r>
        <w:rPr>
          <w:rFonts w:ascii="Arial" w:hAnsi="Arial" w:cs="Arial"/>
          <w:sz w:val="20"/>
          <w:szCs w:val="20"/>
        </w:rPr>
        <w:t xml:space="preserve"> </w:t>
      </w:r>
    </w:p>
    <w:p w:rsidR="008C5ED1" w:rsidRDefault="008C5ED1" w:rsidP="00E732C1">
      <w:pPr>
        <w:rPr>
          <w:rFonts w:ascii="Arial" w:hAnsi="Arial" w:cs="Arial"/>
          <w:sz w:val="24"/>
          <w:szCs w:val="24"/>
          <w:u w:val="single"/>
        </w:rPr>
      </w:pPr>
      <w:bookmarkStart w:id="22" w:name="_Toc361217254"/>
      <w:bookmarkStart w:id="23" w:name="_Toc361217622"/>
      <w:bookmarkStart w:id="24" w:name="_Toc361218149"/>
      <w:bookmarkStart w:id="25" w:name="_Toc361219503"/>
      <w:bookmarkStart w:id="26" w:name="_Toc361232782"/>
      <w:bookmarkStart w:id="27" w:name="_Toc361302807"/>
      <w:bookmarkStart w:id="28" w:name="_Toc361321168"/>
      <w:bookmarkStart w:id="29" w:name="_Toc361732952"/>
      <w:bookmarkStart w:id="30" w:name="_Toc361736659"/>
      <w:bookmarkStart w:id="31" w:name="_Toc361821306"/>
      <w:bookmarkStart w:id="32" w:name="_Toc361822836"/>
      <w:bookmarkEnd w:id="22"/>
      <w:bookmarkEnd w:id="23"/>
      <w:bookmarkEnd w:id="24"/>
      <w:bookmarkEnd w:id="25"/>
      <w:bookmarkEnd w:id="26"/>
      <w:bookmarkEnd w:id="27"/>
      <w:bookmarkEnd w:id="28"/>
      <w:bookmarkEnd w:id="29"/>
      <w:bookmarkEnd w:id="30"/>
      <w:bookmarkEnd w:id="31"/>
      <w:bookmarkEnd w:id="32"/>
    </w:p>
    <w:p w:rsidR="00617F3D" w:rsidRPr="00620293" w:rsidRDefault="00617F3D" w:rsidP="00E732C1">
      <w:pPr>
        <w:rPr>
          <w:rFonts w:ascii="Arial" w:hAnsi="Arial" w:cs="Arial"/>
          <w:sz w:val="24"/>
          <w:szCs w:val="24"/>
          <w:u w:val="single"/>
        </w:rPr>
      </w:pPr>
    </w:p>
    <w:p w:rsidR="00357053" w:rsidRPr="00620293" w:rsidRDefault="00617F3D" w:rsidP="00793431">
      <w:pPr>
        <w:pStyle w:val="Heading1"/>
        <w:numPr>
          <w:ilvl w:val="1"/>
          <w:numId w:val="14"/>
        </w:numPr>
      </w:pPr>
      <w:bookmarkStart w:id="33" w:name="_Toc362528123"/>
      <w:r>
        <w:t>Improve</w:t>
      </w:r>
      <w:r w:rsidR="00357053" w:rsidRPr="00620293">
        <w:t xml:space="preserve"> road agency and </w:t>
      </w:r>
      <w:r w:rsidR="006F6E0B" w:rsidRPr="00620293">
        <w:t xml:space="preserve">local government </w:t>
      </w:r>
      <w:r w:rsidR="00357053" w:rsidRPr="00620293">
        <w:t xml:space="preserve">knowledge of the impact and benefits of </w:t>
      </w:r>
      <w:r w:rsidR="00912399" w:rsidRPr="00620293">
        <w:t>High Productivity Vehicles.</w:t>
      </w:r>
      <w:bookmarkEnd w:id="33"/>
    </w:p>
    <w:p w:rsidR="00357053" w:rsidRPr="00620293" w:rsidRDefault="00357053" w:rsidP="00E732C1">
      <w:pPr>
        <w:rPr>
          <w:rFonts w:ascii="Arial" w:hAnsi="Arial" w:cs="Arial"/>
          <w:sz w:val="20"/>
          <w:szCs w:val="20"/>
          <w:u w:val="single"/>
        </w:rPr>
      </w:pPr>
    </w:p>
    <w:p w:rsidR="00357053" w:rsidRDefault="00F8366E" w:rsidP="00E732C1">
      <w:pPr>
        <w:rPr>
          <w:rFonts w:ascii="Arial" w:hAnsi="Arial" w:cs="Arial"/>
          <w:sz w:val="20"/>
          <w:szCs w:val="20"/>
        </w:rPr>
      </w:pPr>
      <w:r w:rsidRPr="00D51476">
        <w:rPr>
          <w:rFonts w:ascii="Arial" w:hAnsi="Arial" w:cs="Arial"/>
          <w:sz w:val="20"/>
          <w:szCs w:val="20"/>
        </w:rPr>
        <w:t>R</w:t>
      </w:r>
      <w:r w:rsidR="0048526B">
        <w:rPr>
          <w:rFonts w:ascii="Arial" w:hAnsi="Arial" w:cs="Arial"/>
          <w:sz w:val="20"/>
          <w:szCs w:val="20"/>
        </w:rPr>
        <w:t xml:space="preserve">estricting access for </w:t>
      </w:r>
      <w:r w:rsidR="00912399">
        <w:rPr>
          <w:rFonts w:ascii="Arial" w:hAnsi="Arial" w:cs="Arial"/>
          <w:sz w:val="20"/>
          <w:szCs w:val="20"/>
        </w:rPr>
        <w:t xml:space="preserve">High Productivity Vehicles </w:t>
      </w:r>
      <w:r w:rsidR="0048526B">
        <w:rPr>
          <w:rFonts w:ascii="Arial" w:hAnsi="Arial" w:cs="Arial"/>
          <w:sz w:val="20"/>
          <w:szCs w:val="20"/>
        </w:rPr>
        <w:t xml:space="preserve">(HPV) or </w:t>
      </w:r>
      <w:r w:rsidR="00912399">
        <w:rPr>
          <w:rFonts w:ascii="Arial" w:hAnsi="Arial" w:cs="Arial"/>
          <w:sz w:val="20"/>
          <w:szCs w:val="20"/>
        </w:rPr>
        <w:t>Higher Mass Limit</w:t>
      </w:r>
      <w:r w:rsidR="0048526B">
        <w:rPr>
          <w:rFonts w:ascii="Arial" w:hAnsi="Arial" w:cs="Arial"/>
          <w:sz w:val="20"/>
          <w:szCs w:val="20"/>
        </w:rPr>
        <w:t xml:space="preserve"> (HML) </w:t>
      </w:r>
      <w:r w:rsidR="00357053" w:rsidRPr="00D51476">
        <w:rPr>
          <w:rFonts w:ascii="Arial" w:hAnsi="Arial" w:cs="Arial"/>
          <w:sz w:val="20"/>
          <w:szCs w:val="20"/>
        </w:rPr>
        <w:t xml:space="preserve">vehicles </w:t>
      </w:r>
      <w:r w:rsidRPr="00D51476">
        <w:rPr>
          <w:rFonts w:ascii="Arial" w:hAnsi="Arial" w:cs="Arial"/>
          <w:sz w:val="20"/>
          <w:szCs w:val="20"/>
        </w:rPr>
        <w:t>has a negative effect on the productivity of industry</w:t>
      </w:r>
      <w:r w:rsidR="005241FD">
        <w:rPr>
          <w:rFonts w:ascii="Arial" w:hAnsi="Arial" w:cs="Arial"/>
          <w:sz w:val="20"/>
          <w:szCs w:val="20"/>
        </w:rPr>
        <w:t>,</w:t>
      </w:r>
      <w:r w:rsidRPr="00D51476">
        <w:rPr>
          <w:rFonts w:ascii="Arial" w:hAnsi="Arial" w:cs="Arial"/>
          <w:sz w:val="20"/>
          <w:szCs w:val="20"/>
        </w:rPr>
        <w:t xml:space="preserve"> </w:t>
      </w:r>
      <w:r w:rsidR="00357053" w:rsidRPr="00D51476">
        <w:rPr>
          <w:rFonts w:ascii="Arial" w:hAnsi="Arial" w:cs="Arial"/>
          <w:sz w:val="20"/>
          <w:szCs w:val="20"/>
        </w:rPr>
        <w:t>the local community</w:t>
      </w:r>
      <w:r w:rsidR="005241FD">
        <w:rPr>
          <w:rFonts w:ascii="Arial" w:hAnsi="Arial" w:cs="Arial"/>
          <w:sz w:val="20"/>
          <w:szCs w:val="20"/>
        </w:rPr>
        <w:t xml:space="preserve"> and the economy</w:t>
      </w:r>
      <w:r w:rsidRPr="00D51476">
        <w:rPr>
          <w:rFonts w:ascii="Arial" w:hAnsi="Arial" w:cs="Arial"/>
          <w:sz w:val="20"/>
          <w:szCs w:val="20"/>
        </w:rPr>
        <w:t>.</w:t>
      </w:r>
      <w:r w:rsidR="00357053" w:rsidRPr="00D51476">
        <w:rPr>
          <w:rFonts w:ascii="Arial" w:hAnsi="Arial" w:cs="Arial"/>
          <w:sz w:val="20"/>
          <w:szCs w:val="20"/>
        </w:rPr>
        <w:t xml:space="preserve"> Allowing these vehicles to access </w:t>
      </w:r>
      <w:r w:rsidRPr="00D51476">
        <w:rPr>
          <w:rFonts w:ascii="Arial" w:hAnsi="Arial" w:cs="Arial"/>
          <w:sz w:val="20"/>
          <w:szCs w:val="20"/>
        </w:rPr>
        <w:t xml:space="preserve">suitable </w:t>
      </w:r>
      <w:r w:rsidR="00357053" w:rsidRPr="00D51476">
        <w:rPr>
          <w:rFonts w:ascii="Arial" w:hAnsi="Arial" w:cs="Arial"/>
          <w:sz w:val="20"/>
          <w:szCs w:val="20"/>
        </w:rPr>
        <w:t>routes means freight movements could be undertaken more safely with less</w:t>
      </w:r>
      <w:r w:rsidR="006F6E0B" w:rsidRPr="00D51476">
        <w:rPr>
          <w:rFonts w:ascii="Arial" w:hAnsi="Arial" w:cs="Arial"/>
          <w:sz w:val="20"/>
          <w:szCs w:val="20"/>
        </w:rPr>
        <w:t xml:space="preserve"> total</w:t>
      </w:r>
      <w:r w:rsidR="00357053" w:rsidRPr="00D51476">
        <w:rPr>
          <w:rFonts w:ascii="Arial" w:hAnsi="Arial" w:cs="Arial"/>
          <w:sz w:val="20"/>
          <w:szCs w:val="20"/>
        </w:rPr>
        <w:t xml:space="preserve"> road wear and at a cheaper cost for the operator and subsequently </w:t>
      </w:r>
      <w:r w:rsidR="00912399">
        <w:rPr>
          <w:rFonts w:ascii="Arial" w:hAnsi="Arial" w:cs="Arial"/>
          <w:sz w:val="20"/>
          <w:szCs w:val="20"/>
        </w:rPr>
        <w:t xml:space="preserve">for </w:t>
      </w:r>
      <w:r w:rsidR="00357053" w:rsidRPr="00D51476">
        <w:rPr>
          <w:rFonts w:ascii="Arial" w:hAnsi="Arial" w:cs="Arial"/>
          <w:sz w:val="20"/>
          <w:szCs w:val="20"/>
        </w:rPr>
        <w:t xml:space="preserve">businesses. </w:t>
      </w:r>
    </w:p>
    <w:p w:rsidR="00D72D19" w:rsidRDefault="00D72D19" w:rsidP="00E732C1">
      <w:pPr>
        <w:rPr>
          <w:rFonts w:ascii="Arial" w:hAnsi="Arial" w:cs="Arial"/>
          <w:sz w:val="20"/>
          <w:szCs w:val="20"/>
        </w:rPr>
      </w:pPr>
    </w:p>
    <w:p w:rsidR="00357053" w:rsidRPr="00D51476" w:rsidRDefault="00357053" w:rsidP="00E732C1">
      <w:pPr>
        <w:rPr>
          <w:rFonts w:ascii="Arial" w:hAnsi="Arial" w:cs="Arial"/>
          <w:sz w:val="20"/>
          <w:szCs w:val="20"/>
        </w:rPr>
      </w:pPr>
      <w:r w:rsidRPr="00D51476">
        <w:rPr>
          <w:rFonts w:ascii="Arial" w:hAnsi="Arial" w:cs="Arial"/>
          <w:sz w:val="20"/>
          <w:szCs w:val="20"/>
        </w:rPr>
        <w:t xml:space="preserve">While higher mass limits on road friendly suspension (RFS) for articulated vehicles </w:t>
      </w:r>
      <w:r w:rsidR="005241FD">
        <w:rPr>
          <w:rFonts w:ascii="Arial" w:hAnsi="Arial" w:cs="Arial"/>
          <w:sz w:val="20"/>
          <w:szCs w:val="20"/>
        </w:rPr>
        <w:t xml:space="preserve">and some rigid trucks </w:t>
      </w:r>
      <w:r w:rsidRPr="00D51476">
        <w:rPr>
          <w:rFonts w:ascii="Arial" w:hAnsi="Arial" w:cs="Arial"/>
          <w:sz w:val="20"/>
          <w:szCs w:val="20"/>
        </w:rPr>
        <w:t>w</w:t>
      </w:r>
      <w:r w:rsidR="00B43BCA">
        <w:rPr>
          <w:rFonts w:ascii="Arial" w:hAnsi="Arial" w:cs="Arial"/>
          <w:sz w:val="20"/>
          <w:szCs w:val="20"/>
        </w:rPr>
        <w:t xml:space="preserve">as </w:t>
      </w:r>
      <w:r w:rsidRPr="00D51476">
        <w:rPr>
          <w:rFonts w:ascii="Arial" w:hAnsi="Arial" w:cs="Arial"/>
          <w:sz w:val="20"/>
          <w:szCs w:val="20"/>
        </w:rPr>
        <w:t xml:space="preserve">endorsed by the Australian Council of Transport in 2000, many road agencies have still not agreed to </w:t>
      </w:r>
      <w:r w:rsidR="00912399">
        <w:rPr>
          <w:rFonts w:ascii="Arial" w:hAnsi="Arial" w:cs="Arial"/>
          <w:sz w:val="20"/>
          <w:szCs w:val="20"/>
        </w:rPr>
        <w:t>commit</w:t>
      </w:r>
      <w:r w:rsidRPr="00D51476">
        <w:rPr>
          <w:rFonts w:ascii="Arial" w:hAnsi="Arial" w:cs="Arial"/>
          <w:sz w:val="20"/>
          <w:szCs w:val="20"/>
        </w:rPr>
        <w:t xml:space="preserve"> to this productiv</w:t>
      </w:r>
      <w:r w:rsidR="00EE787E">
        <w:rPr>
          <w:rFonts w:ascii="Arial" w:hAnsi="Arial" w:cs="Arial"/>
          <w:sz w:val="20"/>
          <w:szCs w:val="20"/>
        </w:rPr>
        <w:t>ity</w:t>
      </w:r>
      <w:r w:rsidRPr="00D51476">
        <w:rPr>
          <w:rFonts w:ascii="Arial" w:hAnsi="Arial" w:cs="Arial"/>
          <w:sz w:val="20"/>
          <w:szCs w:val="20"/>
        </w:rPr>
        <w:t xml:space="preserve"> understanding which reduces the number of trips needed to move freight and allows additional mass for the same amount of road impact. Much of the rejection of RFS is due to misconceptions about the impact of </w:t>
      </w:r>
      <w:r w:rsidR="00912399">
        <w:rPr>
          <w:rFonts w:ascii="Arial" w:hAnsi="Arial" w:cs="Arial"/>
          <w:sz w:val="20"/>
          <w:szCs w:val="20"/>
        </w:rPr>
        <w:t>HPV</w:t>
      </w:r>
      <w:r w:rsidR="00DA397B">
        <w:rPr>
          <w:rFonts w:ascii="Arial" w:hAnsi="Arial" w:cs="Arial"/>
          <w:sz w:val="20"/>
          <w:szCs w:val="20"/>
        </w:rPr>
        <w:t>s</w:t>
      </w:r>
      <w:r w:rsidRPr="00D51476">
        <w:rPr>
          <w:rFonts w:ascii="Arial" w:hAnsi="Arial" w:cs="Arial"/>
          <w:sz w:val="20"/>
          <w:szCs w:val="20"/>
        </w:rPr>
        <w:t xml:space="preserve">. </w:t>
      </w:r>
    </w:p>
    <w:p w:rsidR="00357053" w:rsidRPr="00D51476" w:rsidRDefault="00357053" w:rsidP="00E732C1">
      <w:pPr>
        <w:rPr>
          <w:rFonts w:ascii="Arial" w:hAnsi="Arial" w:cs="Arial"/>
          <w:sz w:val="20"/>
          <w:szCs w:val="20"/>
        </w:rPr>
      </w:pPr>
    </w:p>
    <w:p w:rsidR="00357053" w:rsidRPr="00D51476" w:rsidRDefault="00357053" w:rsidP="00E732C1">
      <w:pPr>
        <w:rPr>
          <w:rFonts w:ascii="Arial" w:hAnsi="Arial" w:cs="Arial"/>
          <w:sz w:val="20"/>
          <w:szCs w:val="20"/>
        </w:rPr>
      </w:pPr>
      <w:r w:rsidRPr="00D51476">
        <w:rPr>
          <w:rFonts w:ascii="Arial" w:hAnsi="Arial" w:cs="Arial"/>
          <w:sz w:val="20"/>
          <w:szCs w:val="20"/>
        </w:rPr>
        <w:t xml:space="preserve">HVCI should aim to educate those </w:t>
      </w:r>
      <w:r w:rsidR="00912399">
        <w:rPr>
          <w:rFonts w:ascii="Arial" w:hAnsi="Arial" w:cs="Arial"/>
          <w:sz w:val="20"/>
          <w:szCs w:val="20"/>
        </w:rPr>
        <w:t xml:space="preserve">agencies and councils </w:t>
      </w:r>
      <w:r w:rsidRPr="00D51476">
        <w:rPr>
          <w:rFonts w:ascii="Arial" w:hAnsi="Arial" w:cs="Arial"/>
          <w:sz w:val="20"/>
          <w:szCs w:val="20"/>
        </w:rPr>
        <w:t xml:space="preserve">making </w:t>
      </w:r>
      <w:r w:rsidR="00912399" w:rsidRPr="00D51476">
        <w:rPr>
          <w:rFonts w:ascii="Arial" w:hAnsi="Arial" w:cs="Arial"/>
          <w:sz w:val="20"/>
          <w:szCs w:val="20"/>
        </w:rPr>
        <w:t xml:space="preserve">access </w:t>
      </w:r>
      <w:r w:rsidRPr="00D51476">
        <w:rPr>
          <w:rFonts w:ascii="Arial" w:hAnsi="Arial" w:cs="Arial"/>
          <w:sz w:val="20"/>
          <w:szCs w:val="20"/>
        </w:rPr>
        <w:t xml:space="preserve">decisions on the real impacts and benefits of HML/HPV vehicles. </w:t>
      </w:r>
    </w:p>
    <w:p w:rsidR="00B64CD0" w:rsidRDefault="00B64CD0" w:rsidP="00E732C1">
      <w:pPr>
        <w:rPr>
          <w:rFonts w:ascii="Arial" w:hAnsi="Arial" w:cs="Arial"/>
          <w:sz w:val="20"/>
          <w:szCs w:val="20"/>
        </w:rPr>
      </w:pPr>
    </w:p>
    <w:p w:rsidR="004629B9" w:rsidRDefault="00912399">
      <w:pPr>
        <w:rPr>
          <w:rFonts w:ascii="Arial" w:eastAsia="Times New Roman" w:hAnsi="Arial" w:cs="Arial"/>
          <w:bCs/>
          <w:sz w:val="20"/>
          <w:szCs w:val="20"/>
        </w:rPr>
      </w:pPr>
      <w:r>
        <w:rPr>
          <w:rFonts w:ascii="Arial" w:hAnsi="Arial" w:cs="Arial"/>
          <w:sz w:val="20"/>
          <w:szCs w:val="20"/>
        </w:rPr>
        <w:t xml:space="preserve">Such </w:t>
      </w:r>
      <w:r w:rsidR="00D72D19">
        <w:rPr>
          <w:rFonts w:ascii="Arial" w:hAnsi="Arial" w:cs="Arial"/>
          <w:sz w:val="20"/>
          <w:szCs w:val="20"/>
        </w:rPr>
        <w:t xml:space="preserve">vehicles will enable Australia to meet </w:t>
      </w:r>
      <w:r w:rsidR="00716800">
        <w:rPr>
          <w:rFonts w:ascii="Arial" w:hAnsi="Arial" w:cs="Arial"/>
          <w:sz w:val="20"/>
          <w:szCs w:val="20"/>
        </w:rPr>
        <w:t xml:space="preserve">the doubling of freight task in 2030 and the tripling by 2050. </w:t>
      </w:r>
    </w:p>
    <w:p w:rsidR="004629B9" w:rsidRDefault="00912399">
      <w:pPr>
        <w:rPr>
          <w:rFonts w:ascii="Arial" w:eastAsia="Times New Roman" w:hAnsi="Arial" w:cs="Arial"/>
          <w:bCs/>
          <w:sz w:val="20"/>
          <w:szCs w:val="20"/>
        </w:rPr>
      </w:pPr>
      <w:r>
        <w:rPr>
          <w:rFonts w:ascii="Arial" w:eastAsia="Times New Roman" w:hAnsi="Arial" w:cs="Arial"/>
          <w:bCs/>
          <w:sz w:val="20"/>
          <w:szCs w:val="20"/>
        </w:rPr>
        <w:t>For example, w</w:t>
      </w:r>
      <w:r w:rsidR="00AB3A66" w:rsidRPr="00AB3A66">
        <w:rPr>
          <w:rFonts w:ascii="Arial" w:eastAsia="Times New Roman" w:hAnsi="Arial" w:cs="Arial"/>
          <w:bCs/>
          <w:sz w:val="20"/>
          <w:szCs w:val="20"/>
        </w:rPr>
        <w:t xml:space="preserve">hen transporting </w:t>
      </w:r>
      <w:proofErr w:type="gramStart"/>
      <w:r w:rsidR="00AB3A66" w:rsidRPr="00AB3A66">
        <w:rPr>
          <w:rFonts w:ascii="Arial" w:eastAsia="Times New Roman" w:hAnsi="Arial" w:cs="Arial"/>
          <w:bCs/>
          <w:sz w:val="20"/>
          <w:szCs w:val="20"/>
        </w:rPr>
        <w:t>a freight</w:t>
      </w:r>
      <w:proofErr w:type="gramEnd"/>
      <w:r w:rsidR="00AB3A66" w:rsidRPr="00AB3A66">
        <w:rPr>
          <w:rFonts w:ascii="Arial" w:eastAsia="Times New Roman" w:hAnsi="Arial" w:cs="Arial"/>
          <w:bCs/>
          <w:sz w:val="20"/>
          <w:szCs w:val="20"/>
        </w:rPr>
        <w:t xml:space="preserve"> task of 1000 tonnes, B-double trucks transport the freight in only 26 trips with a total </w:t>
      </w:r>
      <w:r w:rsidR="00163532" w:rsidRPr="00AB3A66">
        <w:rPr>
          <w:rFonts w:ascii="Arial" w:eastAsia="Times New Roman" w:hAnsi="Arial" w:cs="Arial"/>
          <w:bCs/>
          <w:sz w:val="20"/>
          <w:szCs w:val="20"/>
        </w:rPr>
        <w:t>E</w:t>
      </w:r>
      <w:r w:rsidR="00163532">
        <w:rPr>
          <w:rFonts w:ascii="Arial" w:eastAsia="Times New Roman" w:hAnsi="Arial" w:cs="Arial"/>
          <w:bCs/>
          <w:sz w:val="20"/>
          <w:szCs w:val="20"/>
        </w:rPr>
        <w:t xml:space="preserve">quivalent </w:t>
      </w:r>
      <w:r>
        <w:rPr>
          <w:rFonts w:ascii="Arial" w:eastAsia="Times New Roman" w:hAnsi="Arial" w:cs="Arial"/>
          <w:bCs/>
          <w:sz w:val="20"/>
          <w:szCs w:val="20"/>
        </w:rPr>
        <w:t xml:space="preserve">Standard Axle </w:t>
      </w:r>
      <w:r w:rsidR="00163532">
        <w:rPr>
          <w:rFonts w:ascii="Arial" w:eastAsia="Times New Roman" w:hAnsi="Arial" w:cs="Arial"/>
          <w:bCs/>
          <w:sz w:val="20"/>
          <w:szCs w:val="20"/>
        </w:rPr>
        <w:t>(ESA)</w:t>
      </w:r>
      <w:r>
        <w:rPr>
          <w:rFonts w:ascii="Arial" w:eastAsia="Times New Roman" w:hAnsi="Arial" w:cs="Arial"/>
          <w:bCs/>
          <w:sz w:val="20"/>
          <w:szCs w:val="20"/>
        </w:rPr>
        <w:t xml:space="preserve"> (a rating of the</w:t>
      </w:r>
      <w:r w:rsidR="00163532">
        <w:rPr>
          <w:rFonts w:ascii="Arial" w:eastAsia="Times New Roman" w:hAnsi="Arial" w:cs="Arial"/>
          <w:bCs/>
          <w:sz w:val="20"/>
          <w:szCs w:val="20"/>
        </w:rPr>
        <w:t xml:space="preserve"> impact of the vehicle on the road</w:t>
      </w:r>
      <w:r>
        <w:rPr>
          <w:rFonts w:ascii="Arial" w:eastAsia="Times New Roman" w:hAnsi="Arial" w:cs="Arial"/>
          <w:bCs/>
          <w:sz w:val="20"/>
          <w:szCs w:val="20"/>
        </w:rPr>
        <w:t>)</w:t>
      </w:r>
      <w:r w:rsidR="00163532">
        <w:rPr>
          <w:rFonts w:ascii="Arial" w:eastAsia="Times New Roman" w:hAnsi="Arial" w:cs="Arial"/>
          <w:bCs/>
          <w:sz w:val="20"/>
          <w:szCs w:val="20"/>
        </w:rPr>
        <w:t xml:space="preserve"> </w:t>
      </w:r>
      <w:r w:rsidRPr="00AB3A66">
        <w:rPr>
          <w:rFonts w:ascii="Arial" w:eastAsia="Times New Roman" w:hAnsi="Arial" w:cs="Arial"/>
          <w:bCs/>
          <w:sz w:val="20"/>
          <w:szCs w:val="20"/>
        </w:rPr>
        <w:t xml:space="preserve">figure </w:t>
      </w:r>
      <w:r w:rsidR="00163532" w:rsidRPr="00AB3A66">
        <w:rPr>
          <w:rFonts w:ascii="Arial" w:eastAsia="Times New Roman" w:hAnsi="Arial" w:cs="Arial"/>
          <w:bCs/>
          <w:sz w:val="20"/>
          <w:szCs w:val="20"/>
        </w:rPr>
        <w:t>of</w:t>
      </w:r>
      <w:r w:rsidR="00AB3A66" w:rsidRPr="00AB3A66">
        <w:rPr>
          <w:rFonts w:ascii="Arial" w:eastAsia="Times New Roman" w:hAnsi="Arial" w:cs="Arial"/>
          <w:bCs/>
          <w:sz w:val="20"/>
          <w:szCs w:val="20"/>
        </w:rPr>
        <w:t xml:space="preserve"> 195. Comparing this </w:t>
      </w:r>
      <w:r>
        <w:rPr>
          <w:rFonts w:ascii="Arial" w:eastAsia="Times New Roman" w:hAnsi="Arial" w:cs="Arial"/>
          <w:bCs/>
          <w:sz w:val="20"/>
          <w:szCs w:val="20"/>
        </w:rPr>
        <w:t>with</w:t>
      </w:r>
      <w:r w:rsidRPr="00AB3A66">
        <w:rPr>
          <w:rFonts w:ascii="Arial" w:eastAsia="Times New Roman" w:hAnsi="Arial" w:cs="Arial"/>
          <w:bCs/>
          <w:sz w:val="20"/>
          <w:szCs w:val="20"/>
        </w:rPr>
        <w:t xml:space="preserve"> </w:t>
      </w:r>
      <w:r w:rsidR="00AB3A66" w:rsidRPr="00AB3A66">
        <w:rPr>
          <w:rFonts w:ascii="Arial" w:eastAsia="Times New Roman" w:hAnsi="Arial" w:cs="Arial"/>
          <w:bCs/>
          <w:sz w:val="20"/>
          <w:szCs w:val="20"/>
        </w:rPr>
        <w:t xml:space="preserve">a traditional semi-trailer, </w:t>
      </w:r>
      <w:r>
        <w:rPr>
          <w:rFonts w:ascii="Arial" w:eastAsia="Times New Roman" w:hAnsi="Arial" w:cs="Arial"/>
          <w:bCs/>
          <w:sz w:val="20"/>
          <w:szCs w:val="20"/>
        </w:rPr>
        <w:t>the latter</w:t>
      </w:r>
      <w:r w:rsidRPr="00AB3A66">
        <w:rPr>
          <w:rFonts w:ascii="Arial" w:eastAsia="Times New Roman" w:hAnsi="Arial" w:cs="Arial"/>
          <w:bCs/>
          <w:sz w:val="20"/>
          <w:szCs w:val="20"/>
        </w:rPr>
        <w:t xml:space="preserve"> </w:t>
      </w:r>
      <w:r w:rsidR="00AB3A66" w:rsidRPr="00AB3A66">
        <w:rPr>
          <w:rFonts w:ascii="Arial" w:eastAsia="Times New Roman" w:hAnsi="Arial" w:cs="Arial"/>
          <w:bCs/>
          <w:sz w:val="20"/>
          <w:szCs w:val="20"/>
        </w:rPr>
        <w:t xml:space="preserve">takes 16 more trips </w:t>
      </w:r>
      <w:r w:rsidR="00EE787E">
        <w:rPr>
          <w:rFonts w:ascii="Arial" w:eastAsia="Times New Roman" w:hAnsi="Arial" w:cs="Arial"/>
          <w:bCs/>
          <w:sz w:val="20"/>
          <w:szCs w:val="20"/>
        </w:rPr>
        <w:t>(</w:t>
      </w:r>
      <w:proofErr w:type="spellStart"/>
      <w:r w:rsidR="00EE787E">
        <w:rPr>
          <w:rFonts w:ascii="Arial" w:eastAsia="Times New Roman" w:hAnsi="Arial" w:cs="Arial"/>
          <w:bCs/>
          <w:sz w:val="20"/>
          <w:szCs w:val="20"/>
        </w:rPr>
        <w:t>i.e.42</w:t>
      </w:r>
      <w:proofErr w:type="spellEnd"/>
      <w:r w:rsidR="00EE787E">
        <w:rPr>
          <w:rFonts w:ascii="Arial" w:eastAsia="Times New Roman" w:hAnsi="Arial" w:cs="Arial"/>
          <w:bCs/>
          <w:sz w:val="20"/>
          <w:szCs w:val="20"/>
        </w:rPr>
        <w:t xml:space="preserve">) </w:t>
      </w:r>
      <w:r w:rsidR="00AB3A66" w:rsidRPr="00AB3A66">
        <w:rPr>
          <w:rFonts w:ascii="Arial" w:eastAsia="Times New Roman" w:hAnsi="Arial" w:cs="Arial"/>
          <w:bCs/>
          <w:sz w:val="20"/>
          <w:szCs w:val="20"/>
        </w:rPr>
        <w:t xml:space="preserve">to complete the freight task and adds 62 ESA </w:t>
      </w:r>
      <w:r w:rsidR="00EE787E">
        <w:rPr>
          <w:rFonts w:ascii="Arial" w:eastAsia="Times New Roman" w:hAnsi="Arial" w:cs="Arial"/>
          <w:bCs/>
          <w:sz w:val="20"/>
          <w:szCs w:val="20"/>
        </w:rPr>
        <w:t xml:space="preserve">(i.e. </w:t>
      </w:r>
      <w:proofErr w:type="spellStart"/>
      <w:r w:rsidR="00EE787E">
        <w:rPr>
          <w:rFonts w:ascii="Arial" w:eastAsia="Times New Roman" w:hAnsi="Arial" w:cs="Arial"/>
          <w:bCs/>
          <w:sz w:val="20"/>
          <w:szCs w:val="20"/>
        </w:rPr>
        <w:t>257</w:t>
      </w:r>
      <w:r w:rsidR="00163532">
        <w:rPr>
          <w:rFonts w:ascii="Arial" w:eastAsia="Times New Roman" w:hAnsi="Arial" w:cs="Arial"/>
          <w:bCs/>
          <w:sz w:val="20"/>
          <w:szCs w:val="20"/>
        </w:rPr>
        <w:t>for</w:t>
      </w:r>
      <w:proofErr w:type="spellEnd"/>
      <w:r w:rsidR="00163532">
        <w:rPr>
          <w:rFonts w:ascii="Arial" w:eastAsia="Times New Roman" w:hAnsi="Arial" w:cs="Arial"/>
          <w:bCs/>
          <w:sz w:val="20"/>
          <w:szCs w:val="20"/>
        </w:rPr>
        <w:t xml:space="preserve"> the same freight task)</w:t>
      </w:r>
      <w:r>
        <w:rPr>
          <w:rFonts w:ascii="Arial" w:eastAsia="Times New Roman" w:hAnsi="Arial" w:cs="Arial"/>
          <w:bCs/>
          <w:sz w:val="20"/>
          <w:szCs w:val="20"/>
        </w:rPr>
        <w:t xml:space="preserve"> than the B-double</w:t>
      </w:r>
      <w:r w:rsidR="00163532">
        <w:rPr>
          <w:rFonts w:ascii="Arial" w:eastAsia="Times New Roman" w:hAnsi="Arial" w:cs="Arial"/>
          <w:bCs/>
          <w:sz w:val="20"/>
          <w:szCs w:val="20"/>
        </w:rPr>
        <w:t>.</w:t>
      </w:r>
    </w:p>
    <w:p w:rsidR="00404ADF" w:rsidRDefault="00404ADF">
      <w:pPr>
        <w:rPr>
          <w:rFonts w:ascii="Arial" w:eastAsia="Times New Roman" w:hAnsi="Arial" w:cs="Arial"/>
          <w:bCs/>
          <w:sz w:val="20"/>
          <w:szCs w:val="20"/>
        </w:rPr>
      </w:pPr>
    </w:p>
    <w:p w:rsidR="00620293" w:rsidRDefault="00620293">
      <w:pPr>
        <w:rPr>
          <w:rFonts w:ascii="Arial" w:eastAsia="Times New Roman" w:hAnsi="Arial" w:cs="Arial"/>
          <w:bCs/>
          <w:sz w:val="20"/>
          <w:szCs w:val="20"/>
        </w:rPr>
      </w:pPr>
    </w:p>
    <w:p w:rsidR="00AB3A66" w:rsidRPr="00AB3A66" w:rsidRDefault="00AB3A66" w:rsidP="00AB3A66">
      <w:pPr>
        <w:jc w:val="center"/>
        <w:rPr>
          <w:rFonts w:ascii="Arial" w:eastAsia="Times New Roman" w:hAnsi="Arial" w:cs="Arial"/>
          <w:b/>
          <w:bCs/>
          <w:sz w:val="20"/>
          <w:szCs w:val="20"/>
        </w:rPr>
      </w:pPr>
      <w:r>
        <w:rPr>
          <w:rFonts w:ascii="Arial" w:eastAsia="Times New Roman" w:hAnsi="Arial" w:cs="Arial"/>
          <w:b/>
          <w:bCs/>
          <w:sz w:val="20"/>
          <w:szCs w:val="20"/>
        </w:rPr>
        <w:lastRenderedPageBreak/>
        <w:t>Figure 1</w:t>
      </w:r>
      <w:r w:rsidRPr="00AB3A66">
        <w:rPr>
          <w:rFonts w:ascii="Arial" w:eastAsia="Times New Roman" w:hAnsi="Arial" w:cs="Arial"/>
          <w:b/>
          <w:bCs/>
          <w:sz w:val="20"/>
          <w:szCs w:val="20"/>
        </w:rPr>
        <w:t>: ESA impact for a selection of heavy vehicle combinations</w:t>
      </w:r>
    </w:p>
    <w:tbl>
      <w:tblPr>
        <w:tblStyle w:val="LightList-Accent111"/>
        <w:tblpPr w:leftFromText="180" w:rightFromText="180" w:vertAnchor="text" w:horzAnchor="margin" w:tblpXSpec="center" w:tblpY="159"/>
        <w:tblW w:w="7540" w:type="dxa"/>
        <w:tblLook w:val="04A0"/>
      </w:tblPr>
      <w:tblGrid>
        <w:gridCol w:w="2740"/>
        <w:gridCol w:w="2760"/>
        <w:gridCol w:w="2040"/>
      </w:tblGrid>
      <w:tr w:rsidR="00AB3A66" w:rsidRPr="00AB3A66" w:rsidTr="0068089C">
        <w:trPr>
          <w:cnfStyle w:val="100000000000"/>
          <w:trHeight w:val="300"/>
        </w:trPr>
        <w:tc>
          <w:tcPr>
            <w:cnfStyle w:val="001000000000"/>
            <w:tcW w:w="2740" w:type="dxa"/>
            <w:noWrap/>
            <w:hideMark/>
          </w:tcPr>
          <w:p w:rsidR="00AB3A66" w:rsidRPr="00AB3A66" w:rsidRDefault="00AB3A66" w:rsidP="00AB3A66">
            <w:pPr>
              <w:jc w:val="center"/>
              <w:rPr>
                <w:rFonts w:ascii="Arial" w:eastAsia="Times New Roman" w:hAnsi="Arial" w:cs="Arial"/>
                <w:color w:val="000000" w:themeColor="text1"/>
                <w:sz w:val="20"/>
                <w:szCs w:val="20"/>
              </w:rPr>
            </w:pPr>
            <w:r w:rsidRPr="00AB3A66">
              <w:rPr>
                <w:rFonts w:ascii="Arial" w:eastAsia="Times New Roman" w:hAnsi="Arial" w:cs="Arial"/>
                <w:color w:val="000000" w:themeColor="text1"/>
                <w:sz w:val="20"/>
                <w:szCs w:val="20"/>
              </w:rPr>
              <w:t>Heavy vehicle</w:t>
            </w:r>
          </w:p>
        </w:tc>
        <w:tc>
          <w:tcPr>
            <w:tcW w:w="2760" w:type="dxa"/>
            <w:noWrap/>
            <w:hideMark/>
          </w:tcPr>
          <w:p w:rsidR="00AB3A66" w:rsidRPr="00AB3A66" w:rsidRDefault="00AB3A66" w:rsidP="00AB3A66">
            <w:pPr>
              <w:jc w:val="center"/>
              <w:cnfStyle w:val="100000000000"/>
              <w:rPr>
                <w:rFonts w:ascii="Arial" w:eastAsia="Times New Roman" w:hAnsi="Arial" w:cs="Arial"/>
                <w:color w:val="000000" w:themeColor="text1"/>
                <w:sz w:val="20"/>
                <w:szCs w:val="20"/>
              </w:rPr>
            </w:pPr>
            <w:r w:rsidRPr="00AB3A66">
              <w:rPr>
                <w:rFonts w:ascii="Arial" w:eastAsia="Times New Roman" w:hAnsi="Arial" w:cs="Arial"/>
                <w:color w:val="000000" w:themeColor="text1"/>
                <w:sz w:val="20"/>
                <w:szCs w:val="20"/>
              </w:rPr>
              <w:t>No. of trips per 1000 tonnes</w:t>
            </w:r>
          </w:p>
        </w:tc>
        <w:tc>
          <w:tcPr>
            <w:tcW w:w="2040" w:type="dxa"/>
            <w:noWrap/>
            <w:hideMark/>
          </w:tcPr>
          <w:p w:rsidR="00AB3A66" w:rsidRPr="00AB3A66" w:rsidRDefault="00AB3A66" w:rsidP="00AB3A66">
            <w:pPr>
              <w:jc w:val="center"/>
              <w:cnfStyle w:val="100000000000"/>
              <w:rPr>
                <w:rFonts w:ascii="Arial" w:eastAsia="Times New Roman" w:hAnsi="Arial" w:cs="Arial"/>
                <w:color w:val="000000" w:themeColor="text1"/>
                <w:sz w:val="20"/>
                <w:szCs w:val="20"/>
              </w:rPr>
            </w:pPr>
            <w:r w:rsidRPr="00AB3A66">
              <w:rPr>
                <w:rFonts w:ascii="Arial" w:eastAsia="Times New Roman" w:hAnsi="Arial" w:cs="Arial"/>
                <w:color w:val="000000" w:themeColor="text1"/>
                <w:sz w:val="20"/>
                <w:szCs w:val="20"/>
              </w:rPr>
              <w:t>Equivalent Standard Axle per 1000 tonnes (ESA)</w:t>
            </w:r>
          </w:p>
        </w:tc>
      </w:tr>
      <w:tr w:rsidR="00AB3A66" w:rsidRPr="00AB3A66" w:rsidTr="0068089C">
        <w:trPr>
          <w:cnfStyle w:val="000000100000"/>
          <w:trHeight w:val="300"/>
        </w:trPr>
        <w:tc>
          <w:tcPr>
            <w:cnfStyle w:val="001000000000"/>
            <w:tcW w:w="2740" w:type="dxa"/>
            <w:noWrap/>
            <w:hideMark/>
          </w:tcPr>
          <w:p w:rsidR="00AB3A66" w:rsidRPr="00AB3A66" w:rsidRDefault="00AB3A66" w:rsidP="00AB3A66">
            <w:pPr>
              <w:rPr>
                <w:rFonts w:ascii="Arial" w:eastAsia="Times New Roman" w:hAnsi="Arial" w:cs="Arial"/>
                <w:color w:val="000000" w:themeColor="text1"/>
                <w:sz w:val="20"/>
                <w:szCs w:val="20"/>
              </w:rPr>
            </w:pPr>
            <w:r w:rsidRPr="00AB3A66">
              <w:rPr>
                <w:rFonts w:ascii="Arial" w:eastAsia="Times New Roman" w:hAnsi="Arial" w:cs="Arial"/>
                <w:color w:val="000000" w:themeColor="text1"/>
                <w:sz w:val="20"/>
                <w:szCs w:val="20"/>
              </w:rPr>
              <w:t>Traditional 3 axle rigid</w:t>
            </w:r>
          </w:p>
        </w:tc>
        <w:tc>
          <w:tcPr>
            <w:tcW w:w="2760" w:type="dxa"/>
            <w:noWrap/>
            <w:hideMark/>
          </w:tcPr>
          <w:p w:rsidR="00AB3A66" w:rsidRPr="00AB3A66" w:rsidRDefault="00AB3A66" w:rsidP="00AB3A66">
            <w:pPr>
              <w:jc w:val="center"/>
              <w:cnfStyle w:val="000000100000"/>
              <w:rPr>
                <w:rFonts w:ascii="Arial" w:eastAsia="Times New Roman" w:hAnsi="Arial" w:cs="Arial"/>
                <w:b/>
                <w:bCs/>
                <w:color w:val="000000" w:themeColor="text1"/>
                <w:sz w:val="20"/>
                <w:szCs w:val="20"/>
              </w:rPr>
            </w:pPr>
            <w:r w:rsidRPr="00AB3A66">
              <w:rPr>
                <w:rFonts w:ascii="Arial" w:eastAsia="Times New Roman" w:hAnsi="Arial" w:cs="Arial"/>
                <w:b/>
                <w:bCs/>
                <w:color w:val="000000" w:themeColor="text1"/>
                <w:sz w:val="20"/>
                <w:szCs w:val="20"/>
              </w:rPr>
              <w:t>77</w:t>
            </w:r>
          </w:p>
        </w:tc>
        <w:tc>
          <w:tcPr>
            <w:tcW w:w="2040" w:type="dxa"/>
            <w:noWrap/>
            <w:hideMark/>
          </w:tcPr>
          <w:p w:rsidR="00AB3A66" w:rsidRPr="00AB3A66" w:rsidRDefault="00AB3A66" w:rsidP="00AB3A66">
            <w:pPr>
              <w:jc w:val="center"/>
              <w:cnfStyle w:val="000000100000"/>
              <w:rPr>
                <w:rFonts w:ascii="Arial" w:eastAsia="Times New Roman" w:hAnsi="Arial" w:cs="Arial"/>
                <w:b/>
                <w:bCs/>
                <w:color w:val="000000" w:themeColor="text1"/>
                <w:sz w:val="20"/>
                <w:szCs w:val="20"/>
              </w:rPr>
            </w:pPr>
            <w:r w:rsidRPr="00AB3A66">
              <w:rPr>
                <w:rFonts w:ascii="Arial" w:eastAsia="Times New Roman" w:hAnsi="Arial" w:cs="Arial"/>
                <w:b/>
                <w:bCs/>
                <w:color w:val="000000" w:themeColor="text1"/>
                <w:sz w:val="20"/>
                <w:szCs w:val="20"/>
              </w:rPr>
              <w:t>316</w:t>
            </w:r>
          </w:p>
        </w:tc>
      </w:tr>
      <w:tr w:rsidR="00AB3A66" w:rsidRPr="00AB3A66" w:rsidTr="0068089C">
        <w:trPr>
          <w:trHeight w:val="300"/>
        </w:trPr>
        <w:tc>
          <w:tcPr>
            <w:cnfStyle w:val="001000000000"/>
            <w:tcW w:w="2740" w:type="dxa"/>
            <w:noWrap/>
            <w:hideMark/>
          </w:tcPr>
          <w:p w:rsidR="00AB3A66" w:rsidRPr="00AB3A66" w:rsidRDefault="00AB3A66" w:rsidP="00AB3A66">
            <w:pPr>
              <w:rPr>
                <w:rFonts w:ascii="Arial" w:eastAsia="Times New Roman" w:hAnsi="Arial" w:cs="Arial"/>
                <w:color w:val="000000" w:themeColor="text1"/>
                <w:sz w:val="20"/>
                <w:szCs w:val="20"/>
              </w:rPr>
            </w:pPr>
            <w:r w:rsidRPr="00AB3A66">
              <w:rPr>
                <w:rFonts w:ascii="Arial" w:eastAsia="Times New Roman" w:hAnsi="Arial" w:cs="Arial"/>
                <w:color w:val="000000" w:themeColor="text1"/>
                <w:sz w:val="20"/>
                <w:szCs w:val="20"/>
              </w:rPr>
              <w:t>Traditional 6 axle semi-trailer</w:t>
            </w:r>
          </w:p>
        </w:tc>
        <w:tc>
          <w:tcPr>
            <w:tcW w:w="2760" w:type="dxa"/>
            <w:noWrap/>
            <w:hideMark/>
          </w:tcPr>
          <w:p w:rsidR="00AB3A66" w:rsidRPr="00AB3A66" w:rsidRDefault="00AB3A66" w:rsidP="00AB3A66">
            <w:pPr>
              <w:jc w:val="center"/>
              <w:cnfStyle w:val="000000000000"/>
              <w:rPr>
                <w:rFonts w:ascii="Arial" w:eastAsia="Times New Roman" w:hAnsi="Arial" w:cs="Arial"/>
                <w:b/>
                <w:bCs/>
                <w:color w:val="000000" w:themeColor="text1"/>
                <w:sz w:val="20"/>
                <w:szCs w:val="20"/>
              </w:rPr>
            </w:pPr>
            <w:r w:rsidRPr="00AB3A66">
              <w:rPr>
                <w:rFonts w:ascii="Arial" w:eastAsia="Times New Roman" w:hAnsi="Arial" w:cs="Arial"/>
                <w:b/>
                <w:bCs/>
                <w:color w:val="000000" w:themeColor="text1"/>
                <w:sz w:val="20"/>
                <w:szCs w:val="20"/>
              </w:rPr>
              <w:t>42</w:t>
            </w:r>
          </w:p>
        </w:tc>
        <w:tc>
          <w:tcPr>
            <w:tcW w:w="2040" w:type="dxa"/>
            <w:noWrap/>
            <w:hideMark/>
          </w:tcPr>
          <w:p w:rsidR="00AB3A66" w:rsidRPr="00AB3A66" w:rsidRDefault="00AB3A66" w:rsidP="00AB3A66">
            <w:pPr>
              <w:jc w:val="center"/>
              <w:cnfStyle w:val="000000000000"/>
              <w:rPr>
                <w:rFonts w:ascii="Arial" w:eastAsia="Times New Roman" w:hAnsi="Arial" w:cs="Arial"/>
                <w:b/>
                <w:bCs/>
                <w:color w:val="000000" w:themeColor="text1"/>
                <w:sz w:val="20"/>
                <w:szCs w:val="20"/>
              </w:rPr>
            </w:pPr>
            <w:r w:rsidRPr="00AB3A66">
              <w:rPr>
                <w:rFonts w:ascii="Arial" w:eastAsia="Times New Roman" w:hAnsi="Arial" w:cs="Arial"/>
                <w:b/>
                <w:bCs/>
                <w:color w:val="000000" w:themeColor="text1"/>
                <w:sz w:val="20"/>
                <w:szCs w:val="20"/>
              </w:rPr>
              <w:t>257</w:t>
            </w:r>
          </w:p>
        </w:tc>
      </w:tr>
      <w:tr w:rsidR="00AB3A66" w:rsidRPr="00AB3A66" w:rsidTr="0068089C">
        <w:trPr>
          <w:cnfStyle w:val="000000100000"/>
          <w:trHeight w:val="300"/>
        </w:trPr>
        <w:tc>
          <w:tcPr>
            <w:cnfStyle w:val="001000000000"/>
            <w:tcW w:w="2740" w:type="dxa"/>
            <w:noWrap/>
            <w:hideMark/>
          </w:tcPr>
          <w:p w:rsidR="00AB3A66" w:rsidRPr="00AB3A66" w:rsidRDefault="00AB3A66" w:rsidP="00AB3A66">
            <w:pPr>
              <w:rPr>
                <w:rFonts w:ascii="Arial" w:eastAsia="Times New Roman" w:hAnsi="Arial" w:cs="Arial"/>
                <w:color w:val="000000" w:themeColor="text1"/>
                <w:sz w:val="20"/>
                <w:szCs w:val="20"/>
              </w:rPr>
            </w:pPr>
            <w:r w:rsidRPr="00AB3A66">
              <w:rPr>
                <w:rFonts w:ascii="Arial" w:eastAsia="Times New Roman" w:hAnsi="Arial" w:cs="Arial"/>
                <w:color w:val="000000" w:themeColor="text1"/>
                <w:sz w:val="20"/>
                <w:szCs w:val="20"/>
              </w:rPr>
              <w:t>Innovative 9 axle B-double</w:t>
            </w:r>
          </w:p>
        </w:tc>
        <w:tc>
          <w:tcPr>
            <w:tcW w:w="2760" w:type="dxa"/>
            <w:noWrap/>
            <w:hideMark/>
          </w:tcPr>
          <w:p w:rsidR="00AB3A66" w:rsidRPr="00AB3A66" w:rsidRDefault="00AB3A66" w:rsidP="00AB3A66">
            <w:pPr>
              <w:jc w:val="center"/>
              <w:cnfStyle w:val="000000100000"/>
              <w:rPr>
                <w:rFonts w:ascii="Arial" w:eastAsia="Times New Roman" w:hAnsi="Arial" w:cs="Arial"/>
                <w:b/>
                <w:bCs/>
                <w:color w:val="000000" w:themeColor="text1"/>
                <w:sz w:val="20"/>
                <w:szCs w:val="20"/>
              </w:rPr>
            </w:pPr>
            <w:r w:rsidRPr="00AB3A66">
              <w:rPr>
                <w:rFonts w:ascii="Arial" w:eastAsia="Times New Roman" w:hAnsi="Arial" w:cs="Arial"/>
                <w:b/>
                <w:bCs/>
                <w:color w:val="000000" w:themeColor="text1"/>
                <w:sz w:val="20"/>
                <w:szCs w:val="20"/>
              </w:rPr>
              <w:t>26</w:t>
            </w:r>
          </w:p>
        </w:tc>
        <w:tc>
          <w:tcPr>
            <w:tcW w:w="2040" w:type="dxa"/>
            <w:noWrap/>
            <w:hideMark/>
          </w:tcPr>
          <w:p w:rsidR="00AB3A66" w:rsidRPr="00AB3A66" w:rsidRDefault="00AB3A66" w:rsidP="00AB3A66">
            <w:pPr>
              <w:jc w:val="center"/>
              <w:cnfStyle w:val="000000100000"/>
              <w:rPr>
                <w:rFonts w:ascii="Arial" w:eastAsia="Times New Roman" w:hAnsi="Arial" w:cs="Arial"/>
                <w:b/>
                <w:bCs/>
                <w:color w:val="000000" w:themeColor="text1"/>
                <w:sz w:val="20"/>
                <w:szCs w:val="20"/>
              </w:rPr>
            </w:pPr>
            <w:r w:rsidRPr="00AB3A66">
              <w:rPr>
                <w:rFonts w:ascii="Arial" w:eastAsia="Times New Roman" w:hAnsi="Arial" w:cs="Arial"/>
                <w:b/>
                <w:bCs/>
                <w:color w:val="000000" w:themeColor="text1"/>
                <w:sz w:val="20"/>
                <w:szCs w:val="20"/>
              </w:rPr>
              <w:t>195</w:t>
            </w:r>
          </w:p>
        </w:tc>
      </w:tr>
      <w:tr w:rsidR="00AB3A66" w:rsidRPr="00AB3A66" w:rsidTr="0068089C">
        <w:trPr>
          <w:trHeight w:val="300"/>
        </w:trPr>
        <w:tc>
          <w:tcPr>
            <w:cnfStyle w:val="001000000000"/>
            <w:tcW w:w="2740" w:type="dxa"/>
            <w:noWrap/>
            <w:hideMark/>
          </w:tcPr>
          <w:p w:rsidR="00AB3A66" w:rsidRPr="00AB3A66" w:rsidRDefault="00AB3A66" w:rsidP="00AB3A66">
            <w:pPr>
              <w:rPr>
                <w:rFonts w:ascii="Arial" w:eastAsia="Times New Roman" w:hAnsi="Arial" w:cs="Arial"/>
                <w:color w:val="000000" w:themeColor="text1"/>
                <w:sz w:val="20"/>
                <w:szCs w:val="20"/>
              </w:rPr>
            </w:pPr>
            <w:r w:rsidRPr="00AB3A66">
              <w:rPr>
                <w:rFonts w:ascii="Arial" w:eastAsia="Times New Roman" w:hAnsi="Arial" w:cs="Arial"/>
                <w:color w:val="000000" w:themeColor="text1"/>
                <w:sz w:val="20"/>
                <w:szCs w:val="20"/>
              </w:rPr>
              <w:t>Innovative 12 axle B-triple</w:t>
            </w:r>
          </w:p>
        </w:tc>
        <w:tc>
          <w:tcPr>
            <w:tcW w:w="2760" w:type="dxa"/>
            <w:noWrap/>
            <w:hideMark/>
          </w:tcPr>
          <w:p w:rsidR="00AB3A66" w:rsidRPr="00AB3A66" w:rsidRDefault="00AB3A66" w:rsidP="00AB3A66">
            <w:pPr>
              <w:jc w:val="center"/>
              <w:cnfStyle w:val="000000000000"/>
              <w:rPr>
                <w:rFonts w:ascii="Arial" w:eastAsia="Times New Roman" w:hAnsi="Arial" w:cs="Arial"/>
                <w:b/>
                <w:bCs/>
                <w:color w:val="000000" w:themeColor="text1"/>
                <w:sz w:val="20"/>
                <w:szCs w:val="20"/>
              </w:rPr>
            </w:pPr>
            <w:r w:rsidRPr="00AB3A66">
              <w:rPr>
                <w:rFonts w:ascii="Arial" w:eastAsia="Times New Roman" w:hAnsi="Arial" w:cs="Arial"/>
                <w:b/>
                <w:bCs/>
                <w:color w:val="000000" w:themeColor="text1"/>
                <w:sz w:val="20"/>
                <w:szCs w:val="20"/>
              </w:rPr>
              <w:t>20</w:t>
            </w:r>
          </w:p>
        </w:tc>
        <w:tc>
          <w:tcPr>
            <w:tcW w:w="2040" w:type="dxa"/>
            <w:noWrap/>
            <w:hideMark/>
          </w:tcPr>
          <w:p w:rsidR="00AB3A66" w:rsidRPr="00AB3A66" w:rsidRDefault="00AB3A66" w:rsidP="00AB3A66">
            <w:pPr>
              <w:jc w:val="center"/>
              <w:cnfStyle w:val="000000000000"/>
              <w:rPr>
                <w:rFonts w:ascii="Arial" w:eastAsia="Times New Roman" w:hAnsi="Arial" w:cs="Arial"/>
                <w:b/>
                <w:bCs/>
                <w:color w:val="000000" w:themeColor="text1"/>
                <w:sz w:val="20"/>
                <w:szCs w:val="20"/>
              </w:rPr>
            </w:pPr>
            <w:r w:rsidRPr="00AB3A66">
              <w:rPr>
                <w:rFonts w:ascii="Arial" w:eastAsia="Times New Roman" w:hAnsi="Arial" w:cs="Arial"/>
                <w:b/>
                <w:bCs/>
                <w:color w:val="000000" w:themeColor="text1"/>
                <w:sz w:val="20"/>
                <w:szCs w:val="20"/>
              </w:rPr>
              <w:t>178</w:t>
            </w:r>
          </w:p>
        </w:tc>
      </w:tr>
    </w:tbl>
    <w:p w:rsidR="00AB3A66" w:rsidRPr="00AB3A66" w:rsidRDefault="00AB3A66" w:rsidP="00AB3A66">
      <w:pPr>
        <w:jc w:val="both"/>
        <w:rPr>
          <w:rFonts w:ascii="Arial" w:eastAsia="Times New Roman" w:hAnsi="Arial" w:cs="Arial"/>
          <w:bCs/>
          <w:sz w:val="20"/>
          <w:szCs w:val="20"/>
        </w:rPr>
      </w:pPr>
      <w:r w:rsidRPr="00AB3A66">
        <w:rPr>
          <w:rFonts w:ascii="Arial" w:eastAsia="Times New Roman" w:hAnsi="Arial" w:cs="Arial"/>
          <w:bCs/>
          <w:sz w:val="20"/>
          <w:szCs w:val="20"/>
        </w:rPr>
        <w:t xml:space="preserve"> </w:t>
      </w:r>
    </w:p>
    <w:p w:rsidR="00AB3A66" w:rsidRDefault="00AB3A66" w:rsidP="00EF0C4D">
      <w:pPr>
        <w:rPr>
          <w:rFonts w:ascii="Arial" w:hAnsi="Arial" w:cs="Arial"/>
          <w:sz w:val="16"/>
          <w:szCs w:val="16"/>
        </w:rPr>
      </w:pPr>
    </w:p>
    <w:p w:rsidR="00AB3A66" w:rsidRDefault="00AB3A66" w:rsidP="00AB3A66">
      <w:pPr>
        <w:jc w:val="center"/>
        <w:rPr>
          <w:rFonts w:ascii="Arial" w:hAnsi="Arial" w:cs="Arial"/>
          <w:sz w:val="16"/>
          <w:szCs w:val="16"/>
        </w:rPr>
      </w:pPr>
    </w:p>
    <w:p w:rsidR="00AB3A66" w:rsidRDefault="00AB3A66" w:rsidP="00AB3A66">
      <w:pPr>
        <w:jc w:val="center"/>
        <w:rPr>
          <w:rFonts w:ascii="Arial" w:hAnsi="Arial" w:cs="Arial"/>
          <w:sz w:val="16"/>
          <w:szCs w:val="16"/>
        </w:rPr>
      </w:pPr>
    </w:p>
    <w:p w:rsidR="00EF0C4D" w:rsidRDefault="00EF0C4D" w:rsidP="00AB3A66">
      <w:pPr>
        <w:jc w:val="center"/>
        <w:rPr>
          <w:rFonts w:ascii="Arial" w:hAnsi="Arial" w:cs="Arial"/>
          <w:sz w:val="16"/>
          <w:szCs w:val="16"/>
        </w:rPr>
      </w:pPr>
    </w:p>
    <w:p w:rsidR="00EF0C4D" w:rsidRDefault="00EF0C4D" w:rsidP="00AB3A66">
      <w:pPr>
        <w:jc w:val="center"/>
        <w:rPr>
          <w:rFonts w:ascii="Arial" w:hAnsi="Arial" w:cs="Arial"/>
          <w:sz w:val="16"/>
          <w:szCs w:val="16"/>
        </w:rPr>
      </w:pPr>
    </w:p>
    <w:p w:rsidR="00EF0C4D" w:rsidRDefault="00EF0C4D" w:rsidP="00AB3A66">
      <w:pPr>
        <w:jc w:val="center"/>
        <w:rPr>
          <w:rFonts w:ascii="Arial" w:hAnsi="Arial" w:cs="Arial"/>
          <w:sz w:val="16"/>
          <w:szCs w:val="16"/>
        </w:rPr>
      </w:pPr>
    </w:p>
    <w:p w:rsidR="00EF0C4D" w:rsidRDefault="00EF0C4D" w:rsidP="00AB3A66">
      <w:pPr>
        <w:jc w:val="center"/>
        <w:rPr>
          <w:rFonts w:ascii="Arial" w:hAnsi="Arial" w:cs="Arial"/>
          <w:sz w:val="16"/>
          <w:szCs w:val="16"/>
        </w:rPr>
      </w:pPr>
    </w:p>
    <w:p w:rsidR="00EF0C4D" w:rsidRDefault="00EF0C4D" w:rsidP="00AB3A66">
      <w:pPr>
        <w:jc w:val="center"/>
        <w:rPr>
          <w:rFonts w:ascii="Arial" w:hAnsi="Arial" w:cs="Arial"/>
          <w:sz w:val="16"/>
          <w:szCs w:val="16"/>
        </w:rPr>
      </w:pPr>
    </w:p>
    <w:p w:rsidR="00EF0C4D" w:rsidRDefault="00EF0C4D" w:rsidP="00AB3A66">
      <w:pPr>
        <w:jc w:val="center"/>
        <w:rPr>
          <w:rFonts w:ascii="Arial" w:hAnsi="Arial" w:cs="Arial"/>
          <w:sz w:val="16"/>
          <w:szCs w:val="16"/>
        </w:rPr>
      </w:pPr>
    </w:p>
    <w:p w:rsidR="00EF0C4D" w:rsidRDefault="00EF0C4D" w:rsidP="00AB3A66">
      <w:pPr>
        <w:jc w:val="center"/>
        <w:rPr>
          <w:rFonts w:ascii="Arial" w:hAnsi="Arial" w:cs="Arial"/>
          <w:sz w:val="16"/>
          <w:szCs w:val="16"/>
        </w:rPr>
      </w:pPr>
    </w:p>
    <w:p w:rsidR="00EF0C4D" w:rsidRDefault="00EF0C4D" w:rsidP="00AB3A66">
      <w:pPr>
        <w:jc w:val="center"/>
        <w:rPr>
          <w:rFonts w:ascii="Arial" w:hAnsi="Arial" w:cs="Arial"/>
          <w:sz w:val="16"/>
          <w:szCs w:val="16"/>
        </w:rPr>
      </w:pPr>
    </w:p>
    <w:p w:rsidR="00AB3A66" w:rsidRDefault="00AB3A66" w:rsidP="00AB3A66">
      <w:pPr>
        <w:jc w:val="center"/>
        <w:rPr>
          <w:rFonts w:ascii="Arial" w:hAnsi="Arial" w:cs="Arial"/>
          <w:sz w:val="16"/>
          <w:szCs w:val="16"/>
        </w:rPr>
      </w:pPr>
    </w:p>
    <w:p w:rsidR="00AB3A66" w:rsidRPr="00AB3A66" w:rsidRDefault="00AB3A66" w:rsidP="00AB3A66">
      <w:pPr>
        <w:jc w:val="center"/>
        <w:rPr>
          <w:rFonts w:ascii="Arial" w:hAnsi="Arial" w:cs="Arial"/>
          <w:sz w:val="16"/>
          <w:szCs w:val="16"/>
        </w:rPr>
      </w:pPr>
      <w:r w:rsidRPr="00AB3A66">
        <w:rPr>
          <w:rFonts w:ascii="Arial" w:hAnsi="Arial" w:cs="Arial"/>
          <w:sz w:val="16"/>
          <w:szCs w:val="16"/>
        </w:rPr>
        <w:t>Source: The ATA and Barkwood Consulting Pty Ltd Truck Impact Chart</w:t>
      </w:r>
    </w:p>
    <w:p w:rsidR="00D72D19" w:rsidRDefault="00D72D19" w:rsidP="00E732C1">
      <w:pPr>
        <w:rPr>
          <w:rFonts w:ascii="Arial" w:hAnsi="Arial" w:cs="Arial"/>
          <w:sz w:val="20"/>
          <w:szCs w:val="20"/>
        </w:rPr>
      </w:pPr>
    </w:p>
    <w:p w:rsidR="00D72D19" w:rsidRPr="00D51476" w:rsidRDefault="00D72D19" w:rsidP="00E732C1">
      <w:pPr>
        <w:rPr>
          <w:rFonts w:ascii="Arial" w:hAnsi="Arial" w:cs="Arial"/>
          <w:sz w:val="20"/>
          <w:szCs w:val="20"/>
        </w:rPr>
      </w:pPr>
    </w:p>
    <w:p w:rsidR="00B64CD0" w:rsidRPr="00D51476" w:rsidRDefault="00B64CD0" w:rsidP="00E732C1">
      <w:pPr>
        <w:rPr>
          <w:rFonts w:ascii="Arial" w:hAnsi="Arial" w:cs="Arial"/>
          <w:sz w:val="20"/>
          <w:szCs w:val="20"/>
        </w:rPr>
      </w:pPr>
      <w:r w:rsidRPr="00D51476">
        <w:rPr>
          <w:rFonts w:ascii="Arial" w:hAnsi="Arial" w:cs="Arial"/>
          <w:sz w:val="20"/>
          <w:szCs w:val="20"/>
        </w:rPr>
        <w:t xml:space="preserve">The ATA has made efforts to </w:t>
      </w:r>
      <w:r w:rsidR="00912399">
        <w:rPr>
          <w:rFonts w:ascii="Arial" w:hAnsi="Arial" w:cs="Arial"/>
          <w:sz w:val="20"/>
          <w:szCs w:val="20"/>
        </w:rPr>
        <w:t>inform</w:t>
      </w:r>
      <w:r w:rsidRPr="00D51476">
        <w:rPr>
          <w:rFonts w:ascii="Arial" w:hAnsi="Arial" w:cs="Arial"/>
          <w:sz w:val="20"/>
          <w:szCs w:val="20"/>
        </w:rPr>
        <w:t xml:space="preserve"> local government </w:t>
      </w:r>
      <w:r w:rsidR="00EE787E">
        <w:rPr>
          <w:rFonts w:ascii="Arial" w:hAnsi="Arial" w:cs="Arial"/>
          <w:sz w:val="20"/>
          <w:szCs w:val="20"/>
        </w:rPr>
        <w:t>and other</w:t>
      </w:r>
      <w:r w:rsidR="00912399">
        <w:rPr>
          <w:rFonts w:ascii="Arial" w:hAnsi="Arial" w:cs="Arial"/>
          <w:sz w:val="20"/>
          <w:szCs w:val="20"/>
        </w:rPr>
        <w:t xml:space="preserve"> road stakeholders</w:t>
      </w:r>
      <w:r w:rsidR="00EE787E">
        <w:rPr>
          <w:rFonts w:ascii="Arial" w:hAnsi="Arial" w:cs="Arial"/>
          <w:sz w:val="20"/>
          <w:szCs w:val="20"/>
        </w:rPr>
        <w:t xml:space="preserve"> </w:t>
      </w:r>
      <w:r w:rsidRPr="00D51476">
        <w:rPr>
          <w:rFonts w:ascii="Arial" w:hAnsi="Arial" w:cs="Arial"/>
          <w:sz w:val="20"/>
          <w:szCs w:val="20"/>
        </w:rPr>
        <w:t xml:space="preserve">of the benefits of </w:t>
      </w:r>
      <w:r w:rsidR="00912399" w:rsidRPr="00D51476">
        <w:rPr>
          <w:rFonts w:ascii="Arial" w:hAnsi="Arial" w:cs="Arial"/>
          <w:sz w:val="20"/>
          <w:szCs w:val="20"/>
        </w:rPr>
        <w:t>High Productivity Vehicles</w:t>
      </w:r>
      <w:r w:rsidR="00912399">
        <w:rPr>
          <w:rFonts w:ascii="Arial" w:hAnsi="Arial" w:cs="Arial"/>
          <w:sz w:val="20"/>
          <w:szCs w:val="20"/>
        </w:rPr>
        <w:t xml:space="preserve">, such as </w:t>
      </w:r>
      <w:r w:rsidR="00524E49">
        <w:rPr>
          <w:rFonts w:ascii="Arial" w:hAnsi="Arial" w:cs="Arial"/>
          <w:sz w:val="20"/>
          <w:szCs w:val="20"/>
        </w:rPr>
        <w:t>providing</w:t>
      </w:r>
      <w:r w:rsidRPr="00D51476">
        <w:rPr>
          <w:rFonts w:ascii="Arial" w:hAnsi="Arial" w:cs="Arial"/>
          <w:sz w:val="20"/>
          <w:szCs w:val="20"/>
        </w:rPr>
        <w:t xml:space="preserve"> a </w:t>
      </w:r>
      <w:r w:rsidR="00912399">
        <w:rPr>
          <w:rFonts w:ascii="Arial" w:hAnsi="Arial" w:cs="Arial"/>
          <w:sz w:val="20"/>
          <w:szCs w:val="20"/>
        </w:rPr>
        <w:t>F</w:t>
      </w:r>
      <w:r w:rsidR="00912399" w:rsidRPr="00D51476">
        <w:rPr>
          <w:rFonts w:ascii="Arial" w:hAnsi="Arial" w:cs="Arial"/>
          <w:sz w:val="20"/>
          <w:szCs w:val="20"/>
        </w:rPr>
        <w:t>act</w:t>
      </w:r>
      <w:r w:rsidRPr="00D51476">
        <w:rPr>
          <w:rFonts w:ascii="Arial" w:hAnsi="Arial" w:cs="Arial"/>
          <w:sz w:val="20"/>
          <w:szCs w:val="20"/>
        </w:rPr>
        <w:t>sheet</w:t>
      </w:r>
      <w:r w:rsidR="00524E49">
        <w:rPr>
          <w:rFonts w:ascii="Arial" w:hAnsi="Arial" w:cs="Arial"/>
          <w:sz w:val="20"/>
          <w:szCs w:val="20"/>
        </w:rPr>
        <w:t xml:space="preserve"> on HPVs and </w:t>
      </w:r>
      <w:r w:rsidR="00DB195E" w:rsidRPr="00DB195E">
        <w:rPr>
          <w:rFonts w:ascii="Arial" w:hAnsi="Arial" w:cs="Arial"/>
          <w:sz w:val="20"/>
          <w:szCs w:val="20"/>
        </w:rPr>
        <w:t xml:space="preserve">Intelligent Access Program </w:t>
      </w:r>
      <w:r w:rsidR="00DB195E">
        <w:rPr>
          <w:rFonts w:ascii="Arial" w:hAnsi="Arial" w:cs="Arial"/>
          <w:sz w:val="20"/>
          <w:szCs w:val="20"/>
        </w:rPr>
        <w:t>(</w:t>
      </w:r>
      <w:r w:rsidR="00524E49">
        <w:rPr>
          <w:rFonts w:ascii="Arial" w:hAnsi="Arial" w:cs="Arial"/>
          <w:sz w:val="20"/>
          <w:szCs w:val="20"/>
        </w:rPr>
        <w:t>IAP</w:t>
      </w:r>
      <w:r w:rsidR="00DB195E">
        <w:rPr>
          <w:rFonts w:ascii="Arial" w:hAnsi="Arial" w:cs="Arial"/>
          <w:sz w:val="20"/>
          <w:szCs w:val="20"/>
        </w:rPr>
        <w:t>)</w:t>
      </w:r>
      <w:r w:rsidR="00524E49">
        <w:rPr>
          <w:rFonts w:ascii="Arial" w:hAnsi="Arial" w:cs="Arial"/>
          <w:sz w:val="20"/>
          <w:szCs w:val="20"/>
        </w:rPr>
        <w:t xml:space="preserve"> to</w:t>
      </w:r>
      <w:r w:rsidR="00912399">
        <w:rPr>
          <w:rFonts w:ascii="Arial" w:hAnsi="Arial" w:cs="Arial"/>
          <w:sz w:val="20"/>
          <w:szCs w:val="20"/>
        </w:rPr>
        <w:t xml:space="preserve"> </w:t>
      </w:r>
      <w:r w:rsidR="00524E49">
        <w:rPr>
          <w:rFonts w:ascii="Arial" w:hAnsi="Arial" w:cs="Arial"/>
          <w:sz w:val="20"/>
          <w:szCs w:val="20"/>
        </w:rPr>
        <w:t>jurisdictions</w:t>
      </w:r>
      <w:r w:rsidRPr="00D51476">
        <w:rPr>
          <w:rFonts w:ascii="Arial" w:hAnsi="Arial" w:cs="Arial"/>
          <w:sz w:val="20"/>
          <w:szCs w:val="20"/>
        </w:rPr>
        <w:t xml:space="preserve">. </w:t>
      </w:r>
    </w:p>
    <w:p w:rsidR="00B64CD0" w:rsidRPr="00D51476" w:rsidRDefault="00B64CD0" w:rsidP="00E732C1">
      <w:pPr>
        <w:rPr>
          <w:rFonts w:ascii="Arial" w:hAnsi="Arial" w:cs="Arial"/>
          <w:sz w:val="20"/>
          <w:szCs w:val="20"/>
        </w:rPr>
      </w:pPr>
    </w:p>
    <w:p w:rsidR="00912399" w:rsidRDefault="00EE787E" w:rsidP="00E732C1">
      <w:pPr>
        <w:rPr>
          <w:rFonts w:ascii="Arial" w:hAnsi="Arial" w:cs="Arial"/>
          <w:sz w:val="20"/>
          <w:szCs w:val="20"/>
        </w:rPr>
      </w:pPr>
      <w:r>
        <w:rPr>
          <w:rFonts w:ascii="Arial" w:hAnsi="Arial" w:cs="Arial"/>
          <w:sz w:val="20"/>
          <w:szCs w:val="20"/>
        </w:rPr>
        <w:t xml:space="preserve">Modular </w:t>
      </w:r>
      <w:r w:rsidR="00524E49">
        <w:rPr>
          <w:rFonts w:ascii="Arial" w:hAnsi="Arial" w:cs="Arial"/>
          <w:sz w:val="20"/>
          <w:szCs w:val="20"/>
        </w:rPr>
        <w:t>HPVs</w:t>
      </w:r>
      <w:r w:rsidR="00B64CD0" w:rsidRPr="00D51476">
        <w:rPr>
          <w:rFonts w:ascii="Arial" w:hAnsi="Arial" w:cs="Arial"/>
          <w:sz w:val="20"/>
          <w:szCs w:val="20"/>
        </w:rPr>
        <w:t xml:space="preserve"> or HML vehicles should be accepted without </w:t>
      </w:r>
      <w:r w:rsidR="00DB195E">
        <w:rPr>
          <w:rFonts w:ascii="Arial" w:hAnsi="Arial" w:cs="Arial"/>
          <w:sz w:val="20"/>
          <w:szCs w:val="20"/>
        </w:rPr>
        <w:t>IAP</w:t>
      </w:r>
      <w:r w:rsidR="00524E49">
        <w:rPr>
          <w:rFonts w:ascii="Arial" w:hAnsi="Arial" w:cs="Arial"/>
          <w:sz w:val="20"/>
          <w:szCs w:val="20"/>
        </w:rPr>
        <w:t xml:space="preserve"> </w:t>
      </w:r>
      <w:r w:rsidR="00912399">
        <w:rPr>
          <w:rFonts w:ascii="Arial" w:hAnsi="Arial" w:cs="Arial"/>
          <w:sz w:val="20"/>
          <w:szCs w:val="20"/>
        </w:rPr>
        <w:t>(or similar monitoring) as</w:t>
      </w:r>
      <w:r w:rsidR="00524E49">
        <w:rPr>
          <w:rFonts w:ascii="Arial" w:hAnsi="Arial" w:cs="Arial"/>
          <w:sz w:val="20"/>
          <w:szCs w:val="20"/>
        </w:rPr>
        <w:t xml:space="preserve"> a prerequisite.</w:t>
      </w:r>
    </w:p>
    <w:p w:rsidR="00912399" w:rsidRDefault="00912399" w:rsidP="00E732C1">
      <w:pPr>
        <w:rPr>
          <w:rFonts w:ascii="Arial" w:hAnsi="Arial" w:cs="Arial"/>
          <w:sz w:val="20"/>
          <w:szCs w:val="20"/>
        </w:rPr>
      </w:pPr>
    </w:p>
    <w:p w:rsidR="00C5111D" w:rsidRDefault="00524E49" w:rsidP="00E732C1">
      <w:pPr>
        <w:rPr>
          <w:rFonts w:ascii="Arial" w:hAnsi="Arial" w:cs="Arial"/>
          <w:sz w:val="20"/>
          <w:szCs w:val="20"/>
        </w:rPr>
      </w:pPr>
      <w:r>
        <w:rPr>
          <w:rFonts w:ascii="Arial" w:hAnsi="Arial" w:cs="Arial"/>
          <w:sz w:val="20"/>
          <w:szCs w:val="20"/>
        </w:rPr>
        <w:t>Advancing</w:t>
      </w:r>
      <w:r w:rsidR="00B64CD0" w:rsidRPr="00D51476">
        <w:rPr>
          <w:rFonts w:ascii="Arial" w:hAnsi="Arial" w:cs="Arial"/>
          <w:sz w:val="20"/>
          <w:szCs w:val="20"/>
        </w:rPr>
        <w:t xml:space="preserve"> access arrangements</w:t>
      </w:r>
      <w:r>
        <w:rPr>
          <w:rFonts w:ascii="Arial" w:hAnsi="Arial" w:cs="Arial"/>
          <w:sz w:val="20"/>
          <w:szCs w:val="20"/>
        </w:rPr>
        <w:t xml:space="preserve"> </w:t>
      </w:r>
      <w:r w:rsidR="00B64CD0" w:rsidRPr="00D51476">
        <w:rPr>
          <w:rFonts w:ascii="Arial" w:hAnsi="Arial" w:cs="Arial"/>
          <w:sz w:val="20"/>
          <w:szCs w:val="20"/>
        </w:rPr>
        <w:t xml:space="preserve">for modular HPVs, </w:t>
      </w:r>
      <w:r w:rsidR="00882382" w:rsidRPr="00D51476">
        <w:rPr>
          <w:rFonts w:ascii="Arial" w:hAnsi="Arial" w:cs="Arial"/>
          <w:sz w:val="20"/>
          <w:szCs w:val="20"/>
        </w:rPr>
        <w:t>e.g.</w:t>
      </w:r>
      <w:r w:rsidR="00B64CD0" w:rsidRPr="00D51476">
        <w:rPr>
          <w:rFonts w:ascii="Arial" w:hAnsi="Arial" w:cs="Arial"/>
          <w:sz w:val="20"/>
          <w:szCs w:val="20"/>
        </w:rPr>
        <w:t xml:space="preserve"> </w:t>
      </w:r>
      <w:r w:rsidR="00EE787E">
        <w:rPr>
          <w:rFonts w:ascii="Arial" w:hAnsi="Arial" w:cs="Arial"/>
          <w:sz w:val="20"/>
          <w:szCs w:val="20"/>
        </w:rPr>
        <w:t xml:space="preserve">planned route assessment and upgrading for </w:t>
      </w:r>
      <w:r w:rsidR="00B64CD0" w:rsidRPr="00D51476">
        <w:rPr>
          <w:rFonts w:ascii="Arial" w:hAnsi="Arial" w:cs="Arial"/>
          <w:sz w:val="20"/>
          <w:szCs w:val="20"/>
        </w:rPr>
        <w:t xml:space="preserve">AB-triples </w:t>
      </w:r>
      <w:r>
        <w:rPr>
          <w:rFonts w:ascii="Arial" w:hAnsi="Arial" w:cs="Arial"/>
          <w:sz w:val="20"/>
          <w:szCs w:val="20"/>
        </w:rPr>
        <w:t xml:space="preserve">to access as much of </w:t>
      </w:r>
      <w:r w:rsidR="00912399">
        <w:rPr>
          <w:rFonts w:ascii="Arial" w:hAnsi="Arial" w:cs="Arial"/>
          <w:sz w:val="20"/>
          <w:szCs w:val="20"/>
        </w:rPr>
        <w:t xml:space="preserve">the Type 1 </w:t>
      </w:r>
      <w:r>
        <w:rPr>
          <w:rFonts w:ascii="Arial" w:hAnsi="Arial" w:cs="Arial"/>
          <w:sz w:val="20"/>
          <w:szCs w:val="20"/>
        </w:rPr>
        <w:t>road train</w:t>
      </w:r>
      <w:r w:rsidR="00EE787E">
        <w:rPr>
          <w:rFonts w:ascii="Arial" w:hAnsi="Arial" w:cs="Arial"/>
          <w:sz w:val="20"/>
          <w:szCs w:val="20"/>
        </w:rPr>
        <w:t xml:space="preserve"> network as possible should be in </w:t>
      </w:r>
      <w:r w:rsidR="00912399">
        <w:rPr>
          <w:rFonts w:ascii="Arial" w:hAnsi="Arial" w:cs="Arial"/>
          <w:sz w:val="20"/>
          <w:szCs w:val="20"/>
        </w:rPr>
        <w:t xml:space="preserve">road </w:t>
      </w:r>
      <w:r w:rsidR="00EE787E">
        <w:rPr>
          <w:rFonts w:ascii="Arial" w:hAnsi="Arial" w:cs="Arial"/>
          <w:sz w:val="20"/>
          <w:szCs w:val="20"/>
        </w:rPr>
        <w:t>agency work plans now.</w:t>
      </w:r>
    </w:p>
    <w:p w:rsidR="00616E75" w:rsidRDefault="00616E75" w:rsidP="00E732C1">
      <w:pPr>
        <w:rPr>
          <w:rFonts w:ascii="Arial" w:hAnsi="Arial" w:cs="Arial"/>
          <w:b/>
          <w:sz w:val="24"/>
          <w:szCs w:val="24"/>
        </w:rPr>
      </w:pPr>
      <w:bookmarkStart w:id="34" w:name="_Toc361217260"/>
      <w:bookmarkStart w:id="35" w:name="_Toc361217628"/>
      <w:bookmarkStart w:id="36" w:name="_Toc361218155"/>
      <w:bookmarkStart w:id="37" w:name="_Toc361219509"/>
      <w:bookmarkStart w:id="38" w:name="_Toc361232788"/>
      <w:bookmarkStart w:id="39" w:name="_Toc361302813"/>
      <w:bookmarkStart w:id="40" w:name="_Toc361321172"/>
      <w:bookmarkStart w:id="41" w:name="_Toc361732956"/>
      <w:bookmarkStart w:id="42" w:name="_Toc361736663"/>
      <w:bookmarkStart w:id="43" w:name="_Toc361821310"/>
      <w:bookmarkStart w:id="44" w:name="_Toc361822840"/>
      <w:bookmarkEnd w:id="34"/>
      <w:bookmarkEnd w:id="35"/>
      <w:bookmarkEnd w:id="36"/>
      <w:bookmarkEnd w:id="37"/>
      <w:bookmarkEnd w:id="38"/>
      <w:bookmarkEnd w:id="39"/>
      <w:bookmarkEnd w:id="40"/>
      <w:bookmarkEnd w:id="41"/>
      <w:bookmarkEnd w:id="42"/>
      <w:bookmarkEnd w:id="43"/>
      <w:bookmarkEnd w:id="44"/>
    </w:p>
    <w:p w:rsidR="00617F3D" w:rsidRPr="00620293" w:rsidRDefault="00617F3D" w:rsidP="00E732C1">
      <w:pPr>
        <w:rPr>
          <w:rFonts w:ascii="Arial" w:hAnsi="Arial" w:cs="Arial"/>
          <w:b/>
          <w:sz w:val="24"/>
          <w:szCs w:val="24"/>
        </w:rPr>
      </w:pPr>
    </w:p>
    <w:p w:rsidR="00AB3A66" w:rsidRPr="00620293" w:rsidRDefault="00B64CD0" w:rsidP="00793431">
      <w:pPr>
        <w:pStyle w:val="Heading1"/>
        <w:numPr>
          <w:ilvl w:val="1"/>
          <w:numId w:val="14"/>
        </w:numPr>
      </w:pPr>
      <w:bookmarkStart w:id="45" w:name="_Toc362528124"/>
      <w:r w:rsidRPr="00620293">
        <w:t xml:space="preserve">Complete </w:t>
      </w:r>
      <w:r w:rsidR="00F07776" w:rsidRPr="00620293">
        <w:t xml:space="preserve">Performance Based Standards </w:t>
      </w:r>
      <w:r w:rsidR="00357053" w:rsidRPr="00620293">
        <w:t>maps</w:t>
      </w:r>
      <w:bookmarkEnd w:id="45"/>
      <w:r w:rsidR="00AB3A66" w:rsidRPr="00620293">
        <w:t xml:space="preserve"> </w:t>
      </w:r>
    </w:p>
    <w:p w:rsidR="00A4450F" w:rsidRDefault="00A4450F" w:rsidP="00E732C1">
      <w:pPr>
        <w:rPr>
          <w:rFonts w:ascii="Arial" w:hAnsi="Arial" w:cs="Arial"/>
          <w:sz w:val="20"/>
          <w:szCs w:val="20"/>
        </w:rPr>
      </w:pPr>
    </w:p>
    <w:p w:rsidR="00A92CA0" w:rsidRDefault="00357053" w:rsidP="00E732C1">
      <w:pPr>
        <w:rPr>
          <w:rFonts w:ascii="Arial" w:hAnsi="Arial" w:cs="Arial"/>
          <w:sz w:val="20"/>
          <w:szCs w:val="20"/>
        </w:rPr>
      </w:pPr>
      <w:r w:rsidRPr="00D51476">
        <w:rPr>
          <w:rFonts w:ascii="Arial" w:hAnsi="Arial" w:cs="Arial"/>
          <w:sz w:val="20"/>
          <w:szCs w:val="20"/>
        </w:rPr>
        <w:t xml:space="preserve">The Performance Based Standards (PBS) system was created to allow innovative </w:t>
      </w:r>
      <w:r w:rsidR="00A92CA0">
        <w:rPr>
          <w:rFonts w:ascii="Arial" w:hAnsi="Arial" w:cs="Arial"/>
          <w:sz w:val="20"/>
          <w:szCs w:val="20"/>
        </w:rPr>
        <w:t xml:space="preserve">heavy </w:t>
      </w:r>
      <w:r w:rsidRPr="00D51476">
        <w:rPr>
          <w:rFonts w:ascii="Arial" w:hAnsi="Arial" w:cs="Arial"/>
          <w:sz w:val="20"/>
          <w:szCs w:val="20"/>
        </w:rPr>
        <w:t xml:space="preserve">vehicles </w:t>
      </w:r>
      <w:r w:rsidR="00A92CA0">
        <w:rPr>
          <w:rFonts w:ascii="Arial" w:hAnsi="Arial" w:cs="Arial"/>
          <w:sz w:val="20"/>
          <w:szCs w:val="20"/>
        </w:rPr>
        <w:t>that</w:t>
      </w:r>
      <w:r w:rsidR="00A92CA0" w:rsidRPr="00D51476">
        <w:rPr>
          <w:rFonts w:ascii="Arial" w:hAnsi="Arial" w:cs="Arial"/>
          <w:sz w:val="20"/>
          <w:szCs w:val="20"/>
        </w:rPr>
        <w:t xml:space="preserve"> </w:t>
      </w:r>
      <w:r w:rsidRPr="00D51476">
        <w:rPr>
          <w:rFonts w:ascii="Arial" w:hAnsi="Arial" w:cs="Arial"/>
          <w:sz w:val="20"/>
          <w:szCs w:val="20"/>
        </w:rPr>
        <w:t xml:space="preserve">comply with </w:t>
      </w:r>
      <w:r w:rsidR="00A92CA0">
        <w:rPr>
          <w:rFonts w:ascii="Arial" w:hAnsi="Arial" w:cs="Arial"/>
          <w:sz w:val="20"/>
          <w:szCs w:val="20"/>
        </w:rPr>
        <w:t>relevant</w:t>
      </w:r>
      <w:r w:rsidR="00A92CA0" w:rsidRPr="00D51476">
        <w:rPr>
          <w:rFonts w:ascii="Arial" w:hAnsi="Arial" w:cs="Arial"/>
          <w:sz w:val="20"/>
          <w:szCs w:val="20"/>
        </w:rPr>
        <w:t xml:space="preserve"> </w:t>
      </w:r>
      <w:r w:rsidRPr="00D51476">
        <w:rPr>
          <w:rFonts w:ascii="Arial" w:hAnsi="Arial" w:cs="Arial"/>
          <w:sz w:val="20"/>
          <w:szCs w:val="20"/>
        </w:rPr>
        <w:t xml:space="preserve">engineering standards to prove their safety so </w:t>
      </w:r>
      <w:r w:rsidR="00996ECE">
        <w:rPr>
          <w:rFonts w:ascii="Arial" w:hAnsi="Arial" w:cs="Arial"/>
          <w:sz w:val="20"/>
          <w:szCs w:val="20"/>
        </w:rPr>
        <w:t xml:space="preserve">that </w:t>
      </w:r>
      <w:r w:rsidRPr="00D51476">
        <w:rPr>
          <w:rFonts w:ascii="Arial" w:hAnsi="Arial" w:cs="Arial"/>
          <w:sz w:val="20"/>
          <w:szCs w:val="20"/>
        </w:rPr>
        <w:t>they can operate as normal heavy vehicles on the same roads as the vehicle types the engineering standards were drawn from.</w:t>
      </w:r>
    </w:p>
    <w:p w:rsidR="00A92CA0" w:rsidRDefault="00A92CA0" w:rsidP="00E732C1">
      <w:pPr>
        <w:rPr>
          <w:rFonts w:ascii="Arial" w:hAnsi="Arial" w:cs="Arial"/>
          <w:sz w:val="20"/>
          <w:szCs w:val="20"/>
        </w:rPr>
      </w:pPr>
    </w:p>
    <w:p w:rsidR="00357053" w:rsidRPr="00D51476" w:rsidRDefault="00357053" w:rsidP="00E732C1">
      <w:pPr>
        <w:rPr>
          <w:rFonts w:ascii="Arial" w:hAnsi="Arial" w:cs="Arial"/>
          <w:strike/>
          <w:sz w:val="20"/>
          <w:szCs w:val="20"/>
        </w:rPr>
      </w:pPr>
      <w:r w:rsidRPr="00D51476">
        <w:rPr>
          <w:rFonts w:ascii="Arial" w:hAnsi="Arial" w:cs="Arial"/>
          <w:sz w:val="20"/>
          <w:szCs w:val="20"/>
        </w:rPr>
        <w:t xml:space="preserve">The rationale for the </w:t>
      </w:r>
      <w:r w:rsidR="00A92CA0">
        <w:rPr>
          <w:rFonts w:ascii="Arial" w:hAnsi="Arial" w:cs="Arial"/>
          <w:sz w:val="20"/>
          <w:szCs w:val="20"/>
        </w:rPr>
        <w:t xml:space="preserve">PBS </w:t>
      </w:r>
      <w:r w:rsidRPr="00D51476">
        <w:rPr>
          <w:rFonts w:ascii="Arial" w:hAnsi="Arial" w:cs="Arial"/>
          <w:sz w:val="20"/>
          <w:szCs w:val="20"/>
        </w:rPr>
        <w:t xml:space="preserve">scheme is to make it easier for </w:t>
      </w:r>
      <w:r w:rsidR="00A92CA0">
        <w:rPr>
          <w:rFonts w:ascii="Arial" w:hAnsi="Arial" w:cs="Arial"/>
          <w:sz w:val="20"/>
          <w:szCs w:val="20"/>
        </w:rPr>
        <w:t>industry</w:t>
      </w:r>
      <w:r w:rsidR="00A92CA0" w:rsidRPr="00D51476">
        <w:rPr>
          <w:rFonts w:ascii="Arial" w:hAnsi="Arial" w:cs="Arial"/>
          <w:sz w:val="20"/>
          <w:szCs w:val="20"/>
        </w:rPr>
        <w:t xml:space="preserve"> </w:t>
      </w:r>
      <w:r w:rsidRPr="00D51476">
        <w:rPr>
          <w:rFonts w:ascii="Arial" w:hAnsi="Arial" w:cs="Arial"/>
          <w:sz w:val="20"/>
          <w:szCs w:val="20"/>
        </w:rPr>
        <w:t xml:space="preserve">to use innovative or specialised heavy vehicles. </w:t>
      </w:r>
      <w:r w:rsidR="00A92CA0">
        <w:rPr>
          <w:rFonts w:ascii="Arial" w:hAnsi="Arial" w:cs="Arial"/>
          <w:sz w:val="20"/>
          <w:szCs w:val="20"/>
        </w:rPr>
        <w:t>Although</w:t>
      </w:r>
      <w:r w:rsidR="00A92CA0" w:rsidRPr="00D51476">
        <w:rPr>
          <w:rFonts w:ascii="Arial" w:hAnsi="Arial" w:cs="Arial"/>
          <w:sz w:val="20"/>
          <w:szCs w:val="20"/>
        </w:rPr>
        <w:t xml:space="preserve"> </w:t>
      </w:r>
      <w:r w:rsidRPr="00D51476">
        <w:rPr>
          <w:rFonts w:ascii="Arial" w:hAnsi="Arial" w:cs="Arial"/>
          <w:sz w:val="20"/>
          <w:szCs w:val="20"/>
        </w:rPr>
        <w:t xml:space="preserve">business </w:t>
      </w:r>
      <w:r w:rsidR="00A92CA0" w:rsidRPr="00D51476">
        <w:rPr>
          <w:rFonts w:ascii="Arial" w:hAnsi="Arial" w:cs="Arial"/>
          <w:sz w:val="20"/>
          <w:szCs w:val="20"/>
        </w:rPr>
        <w:t>ha</w:t>
      </w:r>
      <w:r w:rsidR="00A92CA0">
        <w:rPr>
          <w:rFonts w:ascii="Arial" w:hAnsi="Arial" w:cs="Arial"/>
          <w:sz w:val="20"/>
          <w:szCs w:val="20"/>
        </w:rPr>
        <w:t>s</w:t>
      </w:r>
      <w:r w:rsidR="00A92CA0" w:rsidRPr="00D51476">
        <w:rPr>
          <w:rFonts w:ascii="Arial" w:hAnsi="Arial" w:cs="Arial"/>
          <w:sz w:val="20"/>
          <w:szCs w:val="20"/>
        </w:rPr>
        <w:t xml:space="preserve"> </w:t>
      </w:r>
      <w:r w:rsidRPr="00D51476">
        <w:rPr>
          <w:rFonts w:ascii="Arial" w:hAnsi="Arial" w:cs="Arial"/>
          <w:sz w:val="20"/>
          <w:szCs w:val="20"/>
        </w:rPr>
        <w:t>complied with the strict criteria set</w:t>
      </w:r>
      <w:r w:rsidR="00A92CA0">
        <w:rPr>
          <w:rFonts w:ascii="Arial" w:hAnsi="Arial" w:cs="Arial"/>
          <w:sz w:val="20"/>
          <w:szCs w:val="20"/>
        </w:rPr>
        <w:t xml:space="preserve"> in PBS</w:t>
      </w:r>
      <w:r w:rsidRPr="00D51476">
        <w:rPr>
          <w:rFonts w:ascii="Arial" w:hAnsi="Arial" w:cs="Arial"/>
          <w:sz w:val="20"/>
          <w:szCs w:val="20"/>
        </w:rPr>
        <w:t>, local governments and state agencies have made the scheme ineffectual</w:t>
      </w:r>
      <w:r w:rsidR="00A92CA0">
        <w:rPr>
          <w:rFonts w:ascii="Arial" w:hAnsi="Arial" w:cs="Arial"/>
          <w:sz w:val="20"/>
          <w:szCs w:val="20"/>
        </w:rPr>
        <w:t>. For example</w:t>
      </w:r>
      <w:r w:rsidRPr="00D51476">
        <w:rPr>
          <w:rFonts w:ascii="Arial" w:hAnsi="Arial" w:cs="Arial"/>
          <w:sz w:val="20"/>
          <w:szCs w:val="20"/>
        </w:rPr>
        <w:t xml:space="preserve">, PBS maps were </w:t>
      </w:r>
      <w:r w:rsidR="00A92CA0">
        <w:rPr>
          <w:rFonts w:ascii="Arial" w:hAnsi="Arial" w:cs="Arial"/>
          <w:sz w:val="20"/>
          <w:szCs w:val="20"/>
        </w:rPr>
        <w:t>intended</w:t>
      </w:r>
      <w:r w:rsidR="00A92CA0" w:rsidRPr="00D51476">
        <w:rPr>
          <w:rFonts w:ascii="Arial" w:hAnsi="Arial" w:cs="Arial"/>
          <w:sz w:val="20"/>
          <w:szCs w:val="20"/>
        </w:rPr>
        <w:t xml:space="preserve"> </w:t>
      </w:r>
      <w:r w:rsidRPr="00D51476">
        <w:rPr>
          <w:rFonts w:ascii="Arial" w:hAnsi="Arial" w:cs="Arial"/>
          <w:sz w:val="20"/>
          <w:szCs w:val="20"/>
        </w:rPr>
        <w:t xml:space="preserve">to have been produced to identify “automatic” </w:t>
      </w:r>
      <w:r w:rsidR="00A92CA0" w:rsidRPr="00D51476">
        <w:rPr>
          <w:rFonts w:ascii="Arial" w:hAnsi="Arial" w:cs="Arial"/>
          <w:sz w:val="20"/>
          <w:szCs w:val="20"/>
        </w:rPr>
        <w:t>a</w:t>
      </w:r>
      <w:r w:rsidR="00A92CA0">
        <w:rPr>
          <w:rFonts w:ascii="Arial" w:hAnsi="Arial" w:cs="Arial"/>
          <w:sz w:val="20"/>
          <w:szCs w:val="20"/>
        </w:rPr>
        <w:t>cc</w:t>
      </w:r>
      <w:r w:rsidR="00A92CA0" w:rsidRPr="00D51476">
        <w:rPr>
          <w:rFonts w:ascii="Arial" w:hAnsi="Arial" w:cs="Arial"/>
          <w:sz w:val="20"/>
          <w:szCs w:val="20"/>
        </w:rPr>
        <w:t xml:space="preserve">ess </w:t>
      </w:r>
      <w:r w:rsidRPr="00D51476">
        <w:rPr>
          <w:rFonts w:ascii="Arial" w:hAnsi="Arial" w:cs="Arial"/>
          <w:sz w:val="20"/>
          <w:szCs w:val="20"/>
        </w:rPr>
        <w:t xml:space="preserve">opportunities but </w:t>
      </w:r>
      <w:r w:rsidR="00A92CA0">
        <w:rPr>
          <w:rFonts w:ascii="Arial" w:hAnsi="Arial" w:cs="Arial"/>
          <w:sz w:val="20"/>
          <w:szCs w:val="20"/>
        </w:rPr>
        <w:t xml:space="preserve">in 2013, </w:t>
      </w:r>
      <w:r w:rsidRPr="00D51476">
        <w:rPr>
          <w:rFonts w:ascii="Arial" w:hAnsi="Arial" w:cs="Arial"/>
          <w:sz w:val="20"/>
          <w:szCs w:val="20"/>
        </w:rPr>
        <w:t xml:space="preserve">access is not automatic as COAG </w:t>
      </w:r>
      <w:r w:rsidR="00A92CA0">
        <w:rPr>
          <w:rFonts w:ascii="Arial" w:hAnsi="Arial" w:cs="Arial"/>
          <w:sz w:val="20"/>
          <w:szCs w:val="20"/>
        </w:rPr>
        <w:t>agreed</w:t>
      </w:r>
      <w:r w:rsidRPr="00D51476">
        <w:rPr>
          <w:rFonts w:ascii="Arial" w:hAnsi="Arial" w:cs="Arial"/>
          <w:sz w:val="20"/>
          <w:szCs w:val="20"/>
        </w:rPr>
        <w:t xml:space="preserve">, it is </w:t>
      </w:r>
      <w:r w:rsidR="00A92CA0">
        <w:rPr>
          <w:rFonts w:ascii="Arial" w:hAnsi="Arial" w:cs="Arial"/>
          <w:sz w:val="20"/>
          <w:szCs w:val="20"/>
        </w:rPr>
        <w:t>granted via</w:t>
      </w:r>
      <w:r w:rsidR="00A92CA0" w:rsidRPr="00D51476">
        <w:rPr>
          <w:rFonts w:ascii="Arial" w:hAnsi="Arial" w:cs="Arial"/>
          <w:sz w:val="20"/>
          <w:szCs w:val="20"/>
        </w:rPr>
        <w:t xml:space="preserve"> </w:t>
      </w:r>
      <w:r w:rsidRPr="00D51476">
        <w:rPr>
          <w:rFonts w:ascii="Arial" w:hAnsi="Arial" w:cs="Arial"/>
          <w:sz w:val="20"/>
          <w:szCs w:val="20"/>
        </w:rPr>
        <w:t>specific individual application</w:t>
      </w:r>
      <w:r w:rsidR="00A92CA0">
        <w:rPr>
          <w:rFonts w:ascii="Arial" w:hAnsi="Arial" w:cs="Arial"/>
          <w:sz w:val="20"/>
          <w:szCs w:val="20"/>
        </w:rPr>
        <w:t>s</w:t>
      </w:r>
      <w:r w:rsidRPr="00D51476">
        <w:rPr>
          <w:rFonts w:ascii="Arial" w:hAnsi="Arial" w:cs="Arial"/>
          <w:sz w:val="20"/>
          <w:szCs w:val="20"/>
        </w:rPr>
        <w:t xml:space="preserve"> with no guarantees of access. </w:t>
      </w:r>
    </w:p>
    <w:p w:rsidR="00357053" w:rsidRPr="00D51476" w:rsidRDefault="00357053" w:rsidP="00E732C1">
      <w:pPr>
        <w:rPr>
          <w:rFonts w:ascii="Arial" w:hAnsi="Arial" w:cs="Arial"/>
          <w:sz w:val="20"/>
          <w:szCs w:val="20"/>
        </w:rPr>
      </w:pPr>
    </w:p>
    <w:p w:rsidR="00357053" w:rsidRPr="00D51476" w:rsidRDefault="00357053" w:rsidP="00E732C1">
      <w:pPr>
        <w:rPr>
          <w:rFonts w:ascii="Arial" w:hAnsi="Arial" w:cs="Arial"/>
          <w:sz w:val="20"/>
          <w:szCs w:val="20"/>
        </w:rPr>
      </w:pPr>
      <w:r w:rsidRPr="00D51476">
        <w:rPr>
          <w:rFonts w:ascii="Arial" w:hAnsi="Arial" w:cs="Arial"/>
          <w:sz w:val="20"/>
          <w:szCs w:val="20"/>
        </w:rPr>
        <w:t>PBS shows road agencies are not providing services</w:t>
      </w:r>
      <w:r w:rsidR="00C00E20">
        <w:rPr>
          <w:rFonts w:ascii="Arial" w:hAnsi="Arial" w:cs="Arial"/>
          <w:sz w:val="20"/>
          <w:szCs w:val="20"/>
        </w:rPr>
        <w:t xml:space="preserve"> that businesses have paid for. </w:t>
      </w:r>
      <w:r w:rsidRPr="00D51476">
        <w:rPr>
          <w:rFonts w:ascii="Arial" w:hAnsi="Arial" w:cs="Arial"/>
          <w:sz w:val="20"/>
          <w:szCs w:val="20"/>
        </w:rPr>
        <w:t xml:space="preserve">The scheme has been operational since 2007 and 80 trucks and buses have registered </w:t>
      </w:r>
      <w:r w:rsidR="00996ECE">
        <w:rPr>
          <w:rFonts w:ascii="Arial" w:hAnsi="Arial" w:cs="Arial"/>
          <w:sz w:val="20"/>
          <w:szCs w:val="20"/>
        </w:rPr>
        <w:t>in</w:t>
      </w:r>
      <w:r w:rsidR="00996ECE" w:rsidRPr="00D51476">
        <w:rPr>
          <w:rFonts w:ascii="Arial" w:hAnsi="Arial" w:cs="Arial"/>
          <w:sz w:val="20"/>
          <w:szCs w:val="20"/>
        </w:rPr>
        <w:t xml:space="preserve"> </w:t>
      </w:r>
      <w:r w:rsidRPr="00D51476">
        <w:rPr>
          <w:rFonts w:ascii="Arial" w:hAnsi="Arial" w:cs="Arial"/>
          <w:sz w:val="20"/>
          <w:szCs w:val="20"/>
        </w:rPr>
        <w:t>PBS as of January 2010</w:t>
      </w:r>
      <w:r w:rsidRPr="00D51476">
        <w:rPr>
          <w:rFonts w:ascii="Arial" w:hAnsi="Arial" w:cs="Arial"/>
          <w:sz w:val="20"/>
          <w:szCs w:val="20"/>
          <w:vertAlign w:val="superscript"/>
        </w:rPr>
        <w:footnoteReference w:id="3"/>
      </w:r>
      <w:r w:rsidRPr="00D51476">
        <w:rPr>
          <w:rFonts w:ascii="Arial" w:hAnsi="Arial" w:cs="Arial"/>
          <w:sz w:val="20"/>
          <w:szCs w:val="20"/>
        </w:rPr>
        <w:t xml:space="preserve"> and PBS mapping is still not complete nor does </w:t>
      </w:r>
      <w:r w:rsidR="00996ECE">
        <w:rPr>
          <w:rFonts w:ascii="Arial" w:hAnsi="Arial" w:cs="Arial"/>
          <w:sz w:val="20"/>
          <w:szCs w:val="20"/>
        </w:rPr>
        <w:t>the scheme</w:t>
      </w:r>
      <w:r w:rsidR="00996ECE" w:rsidRPr="00D51476">
        <w:rPr>
          <w:rFonts w:ascii="Arial" w:hAnsi="Arial" w:cs="Arial"/>
          <w:sz w:val="20"/>
          <w:szCs w:val="20"/>
        </w:rPr>
        <w:t xml:space="preserve"> </w:t>
      </w:r>
      <w:r w:rsidRPr="00D51476">
        <w:rPr>
          <w:rFonts w:ascii="Arial" w:hAnsi="Arial" w:cs="Arial"/>
          <w:sz w:val="20"/>
          <w:szCs w:val="20"/>
        </w:rPr>
        <w:t xml:space="preserve">provide automatic access. The scheme’s success would be </w:t>
      </w:r>
      <w:r w:rsidR="00996ECE">
        <w:rPr>
          <w:rFonts w:ascii="Arial" w:hAnsi="Arial" w:cs="Arial"/>
          <w:sz w:val="20"/>
          <w:szCs w:val="20"/>
        </w:rPr>
        <w:t>ensured</w:t>
      </w:r>
      <w:r w:rsidR="00996ECE" w:rsidRPr="00D51476">
        <w:rPr>
          <w:rFonts w:ascii="Arial" w:hAnsi="Arial" w:cs="Arial"/>
          <w:sz w:val="20"/>
          <w:szCs w:val="20"/>
        </w:rPr>
        <w:t xml:space="preserve"> </w:t>
      </w:r>
      <w:r w:rsidRPr="00D51476">
        <w:rPr>
          <w:rFonts w:ascii="Arial" w:hAnsi="Arial" w:cs="Arial"/>
          <w:sz w:val="20"/>
          <w:szCs w:val="20"/>
        </w:rPr>
        <w:t xml:space="preserve">if local and state governments were able to fulfil their role. The example of PBS </w:t>
      </w:r>
      <w:r w:rsidR="00DA397B">
        <w:rPr>
          <w:rFonts w:ascii="Arial" w:hAnsi="Arial" w:cs="Arial"/>
          <w:sz w:val="20"/>
          <w:szCs w:val="20"/>
        </w:rPr>
        <w:t>demonstrates</w:t>
      </w:r>
      <w:r w:rsidR="00996ECE" w:rsidRPr="00D51476">
        <w:rPr>
          <w:rFonts w:ascii="Arial" w:hAnsi="Arial" w:cs="Arial"/>
          <w:sz w:val="20"/>
          <w:szCs w:val="20"/>
        </w:rPr>
        <w:t xml:space="preserve"> </w:t>
      </w:r>
      <w:r w:rsidR="00996ECE">
        <w:rPr>
          <w:rFonts w:ascii="Arial" w:hAnsi="Arial" w:cs="Arial"/>
          <w:sz w:val="20"/>
          <w:szCs w:val="20"/>
        </w:rPr>
        <w:t xml:space="preserve">that </w:t>
      </w:r>
      <w:r w:rsidRPr="00D51476">
        <w:rPr>
          <w:rFonts w:ascii="Arial" w:hAnsi="Arial" w:cs="Arial"/>
          <w:sz w:val="20"/>
          <w:szCs w:val="20"/>
        </w:rPr>
        <w:t>if local governments do not adhere to the rules the intent of productivity</w:t>
      </w:r>
      <w:r w:rsidR="00996ECE">
        <w:rPr>
          <w:rFonts w:ascii="Arial" w:hAnsi="Arial" w:cs="Arial"/>
          <w:sz w:val="20"/>
          <w:szCs w:val="20"/>
        </w:rPr>
        <w:t>-</w:t>
      </w:r>
      <w:r w:rsidRPr="00D51476">
        <w:rPr>
          <w:rFonts w:ascii="Arial" w:hAnsi="Arial" w:cs="Arial"/>
          <w:sz w:val="20"/>
          <w:szCs w:val="20"/>
        </w:rPr>
        <w:t xml:space="preserve">improving schemes </w:t>
      </w:r>
      <w:r w:rsidR="00996ECE">
        <w:rPr>
          <w:rFonts w:ascii="Arial" w:hAnsi="Arial" w:cs="Arial"/>
          <w:sz w:val="20"/>
          <w:szCs w:val="20"/>
        </w:rPr>
        <w:t>will be</w:t>
      </w:r>
      <w:r w:rsidR="00996ECE" w:rsidRPr="00D51476">
        <w:rPr>
          <w:rFonts w:ascii="Arial" w:hAnsi="Arial" w:cs="Arial"/>
          <w:sz w:val="20"/>
          <w:szCs w:val="20"/>
        </w:rPr>
        <w:t xml:space="preserve"> considerably </w:t>
      </w:r>
      <w:r w:rsidRPr="00D51476">
        <w:rPr>
          <w:rFonts w:ascii="Arial" w:hAnsi="Arial" w:cs="Arial"/>
          <w:sz w:val="20"/>
          <w:szCs w:val="20"/>
        </w:rPr>
        <w:t xml:space="preserve">undermined. </w:t>
      </w:r>
    </w:p>
    <w:p w:rsidR="00357053" w:rsidRPr="00D51476" w:rsidRDefault="00357053" w:rsidP="00E732C1">
      <w:pPr>
        <w:rPr>
          <w:rFonts w:ascii="Arial" w:hAnsi="Arial" w:cs="Arial"/>
          <w:sz w:val="20"/>
          <w:szCs w:val="20"/>
        </w:rPr>
      </w:pPr>
    </w:p>
    <w:p w:rsidR="00357053" w:rsidRPr="00D51476" w:rsidRDefault="00357053" w:rsidP="00E732C1">
      <w:pPr>
        <w:rPr>
          <w:rFonts w:ascii="Arial" w:hAnsi="Arial" w:cs="Arial"/>
          <w:sz w:val="20"/>
          <w:szCs w:val="20"/>
        </w:rPr>
      </w:pPr>
      <w:r w:rsidRPr="00D51476">
        <w:rPr>
          <w:rFonts w:ascii="Arial" w:hAnsi="Arial" w:cs="Arial"/>
          <w:sz w:val="20"/>
          <w:szCs w:val="20"/>
        </w:rPr>
        <w:t xml:space="preserve">HVCI should make sure that PBS completes its original </w:t>
      </w:r>
      <w:r w:rsidR="00996ECE">
        <w:rPr>
          <w:rFonts w:ascii="Arial" w:hAnsi="Arial" w:cs="Arial"/>
          <w:sz w:val="20"/>
          <w:szCs w:val="20"/>
        </w:rPr>
        <w:t>intentions</w:t>
      </w:r>
      <w:r w:rsidR="00996ECE" w:rsidRPr="00D51476">
        <w:rPr>
          <w:rFonts w:ascii="Arial" w:hAnsi="Arial" w:cs="Arial"/>
          <w:sz w:val="20"/>
          <w:szCs w:val="20"/>
        </w:rPr>
        <w:t xml:space="preserve"> </w:t>
      </w:r>
      <w:r w:rsidRPr="00D51476">
        <w:rPr>
          <w:rFonts w:ascii="Arial" w:hAnsi="Arial" w:cs="Arial"/>
          <w:sz w:val="20"/>
          <w:szCs w:val="20"/>
        </w:rPr>
        <w:t>by</w:t>
      </w:r>
      <w:r w:rsidR="00996ECE">
        <w:rPr>
          <w:rFonts w:ascii="Arial" w:hAnsi="Arial" w:cs="Arial"/>
          <w:sz w:val="20"/>
          <w:szCs w:val="20"/>
        </w:rPr>
        <w:t>:</w:t>
      </w:r>
      <w:r w:rsidRPr="00D51476">
        <w:rPr>
          <w:rFonts w:ascii="Arial" w:hAnsi="Arial" w:cs="Arial"/>
          <w:sz w:val="20"/>
          <w:szCs w:val="20"/>
        </w:rPr>
        <w:t xml:space="preserve"> </w:t>
      </w:r>
      <w:r w:rsidR="0068089C">
        <w:rPr>
          <w:rFonts w:ascii="Arial" w:hAnsi="Arial" w:cs="Arial"/>
          <w:sz w:val="20"/>
          <w:szCs w:val="20"/>
        </w:rPr>
        <w:t>ensuring</w:t>
      </w:r>
      <w:r w:rsidRPr="00D51476">
        <w:rPr>
          <w:rFonts w:ascii="Arial" w:hAnsi="Arial" w:cs="Arial"/>
          <w:sz w:val="20"/>
          <w:szCs w:val="20"/>
        </w:rPr>
        <w:t xml:space="preserve"> that access is granted for PBS vehicles based on their performance</w:t>
      </w:r>
      <w:r w:rsidR="00996ECE">
        <w:rPr>
          <w:rFonts w:ascii="Arial" w:hAnsi="Arial" w:cs="Arial"/>
          <w:sz w:val="20"/>
          <w:szCs w:val="20"/>
        </w:rPr>
        <w:t>;</w:t>
      </w:r>
      <w:r w:rsidR="00996ECE" w:rsidRPr="00D51476">
        <w:rPr>
          <w:rFonts w:ascii="Arial" w:hAnsi="Arial" w:cs="Arial"/>
          <w:sz w:val="20"/>
          <w:szCs w:val="20"/>
        </w:rPr>
        <w:t xml:space="preserve"> </w:t>
      </w:r>
      <w:r w:rsidRPr="00D51476">
        <w:rPr>
          <w:rFonts w:ascii="Arial" w:hAnsi="Arial" w:cs="Arial"/>
          <w:sz w:val="20"/>
          <w:szCs w:val="20"/>
        </w:rPr>
        <w:t xml:space="preserve">PBS maps are </w:t>
      </w:r>
      <w:r w:rsidR="00DA397B" w:rsidRPr="00D51476">
        <w:rPr>
          <w:rFonts w:ascii="Arial" w:hAnsi="Arial" w:cs="Arial"/>
          <w:sz w:val="20"/>
          <w:szCs w:val="20"/>
        </w:rPr>
        <w:t>completed</w:t>
      </w:r>
      <w:r w:rsidR="00DA397B">
        <w:rPr>
          <w:rFonts w:ascii="Arial" w:hAnsi="Arial" w:cs="Arial"/>
          <w:sz w:val="20"/>
          <w:szCs w:val="20"/>
        </w:rPr>
        <w:t>;</w:t>
      </w:r>
      <w:r w:rsidR="00DA397B" w:rsidRPr="00D51476">
        <w:rPr>
          <w:rFonts w:ascii="Arial" w:hAnsi="Arial" w:cs="Arial"/>
          <w:sz w:val="20"/>
          <w:szCs w:val="20"/>
        </w:rPr>
        <w:t xml:space="preserve"> review</w:t>
      </w:r>
      <w:r w:rsidRPr="00D51476">
        <w:rPr>
          <w:rFonts w:ascii="Arial" w:hAnsi="Arial" w:cs="Arial"/>
          <w:sz w:val="20"/>
          <w:szCs w:val="20"/>
        </w:rPr>
        <w:t xml:space="preserve"> the PBS road classifications to make sure they reflect all required service standards (</w:t>
      </w:r>
      <w:r w:rsidR="00DA397B">
        <w:rPr>
          <w:rFonts w:ascii="Arial" w:hAnsi="Arial" w:cs="Arial"/>
          <w:sz w:val="20"/>
          <w:szCs w:val="20"/>
        </w:rPr>
        <w:t>e.g.</w:t>
      </w:r>
      <w:r w:rsidR="00811550">
        <w:rPr>
          <w:rFonts w:ascii="Arial" w:hAnsi="Arial" w:cs="Arial"/>
          <w:sz w:val="20"/>
          <w:szCs w:val="20"/>
        </w:rPr>
        <w:t xml:space="preserve"> there is no </w:t>
      </w:r>
      <w:r w:rsidRPr="00D51476">
        <w:rPr>
          <w:rFonts w:ascii="Arial" w:hAnsi="Arial" w:cs="Arial"/>
          <w:sz w:val="20"/>
          <w:szCs w:val="20"/>
        </w:rPr>
        <w:t xml:space="preserve">B-triple </w:t>
      </w:r>
      <w:r w:rsidR="00811550">
        <w:rPr>
          <w:rFonts w:ascii="Arial" w:hAnsi="Arial" w:cs="Arial"/>
          <w:sz w:val="20"/>
          <w:szCs w:val="20"/>
        </w:rPr>
        <w:t xml:space="preserve">equivalent </w:t>
      </w:r>
      <w:r w:rsidRPr="00D51476">
        <w:rPr>
          <w:rFonts w:ascii="Arial" w:hAnsi="Arial" w:cs="Arial"/>
          <w:sz w:val="20"/>
          <w:szCs w:val="20"/>
        </w:rPr>
        <w:t>category)</w:t>
      </w:r>
      <w:r w:rsidR="00996ECE">
        <w:rPr>
          <w:rFonts w:ascii="Arial" w:hAnsi="Arial" w:cs="Arial"/>
          <w:sz w:val="20"/>
          <w:szCs w:val="20"/>
        </w:rPr>
        <w:t>;</w:t>
      </w:r>
      <w:r w:rsidRPr="00D51476">
        <w:rPr>
          <w:rFonts w:ascii="Arial" w:hAnsi="Arial" w:cs="Arial"/>
          <w:sz w:val="20"/>
          <w:szCs w:val="20"/>
        </w:rPr>
        <w:t xml:space="preserve"> and to make sure that once a heavy vehicle is certified as meeting PBS</w:t>
      </w:r>
      <w:r w:rsidR="00811550">
        <w:rPr>
          <w:rFonts w:ascii="Arial" w:hAnsi="Arial" w:cs="Arial"/>
          <w:sz w:val="20"/>
          <w:szCs w:val="20"/>
        </w:rPr>
        <w:t xml:space="preserve"> appropriate</w:t>
      </w:r>
      <w:r w:rsidRPr="00D51476">
        <w:rPr>
          <w:rFonts w:ascii="Arial" w:hAnsi="Arial" w:cs="Arial"/>
          <w:sz w:val="20"/>
          <w:szCs w:val="20"/>
        </w:rPr>
        <w:t xml:space="preserve"> prescriptive gazettes </w:t>
      </w:r>
      <w:r w:rsidR="00996ECE">
        <w:rPr>
          <w:rFonts w:ascii="Arial" w:hAnsi="Arial" w:cs="Arial"/>
          <w:sz w:val="20"/>
          <w:szCs w:val="20"/>
        </w:rPr>
        <w:t>the</w:t>
      </w:r>
      <w:r w:rsidR="00996ECE" w:rsidRPr="00D51476">
        <w:rPr>
          <w:rFonts w:ascii="Arial" w:hAnsi="Arial" w:cs="Arial"/>
          <w:sz w:val="20"/>
          <w:szCs w:val="20"/>
        </w:rPr>
        <w:t xml:space="preserve"> </w:t>
      </w:r>
      <w:r w:rsidRPr="00D51476">
        <w:rPr>
          <w:rFonts w:ascii="Arial" w:hAnsi="Arial" w:cs="Arial"/>
          <w:sz w:val="20"/>
          <w:szCs w:val="20"/>
        </w:rPr>
        <w:t xml:space="preserve">notices are updated so any operator can adopt the same vehicle specifications. </w:t>
      </w:r>
    </w:p>
    <w:p w:rsidR="00B64CD0" w:rsidRPr="00D51476" w:rsidRDefault="00B64CD0" w:rsidP="00E732C1">
      <w:pPr>
        <w:rPr>
          <w:rFonts w:ascii="Arial" w:hAnsi="Arial" w:cs="Arial"/>
          <w:sz w:val="20"/>
          <w:szCs w:val="20"/>
        </w:rPr>
      </w:pPr>
    </w:p>
    <w:p w:rsidR="006F07EE" w:rsidRPr="00EF0C4D" w:rsidRDefault="00B64CD0" w:rsidP="00E732C1">
      <w:pPr>
        <w:rPr>
          <w:rFonts w:ascii="Arial" w:hAnsi="Arial" w:cs="Arial"/>
          <w:sz w:val="20"/>
          <w:szCs w:val="20"/>
        </w:rPr>
      </w:pPr>
      <w:r w:rsidRPr="00D51476">
        <w:rPr>
          <w:rFonts w:ascii="Arial" w:hAnsi="Arial" w:cs="Arial"/>
          <w:sz w:val="20"/>
          <w:szCs w:val="20"/>
        </w:rPr>
        <w:t xml:space="preserve">PBS mapping also provides a tried and tested method of road classification. The ATA believes PBS mapping is a suitable method to define </w:t>
      </w:r>
      <w:r w:rsidR="0056289A">
        <w:rPr>
          <w:rFonts w:ascii="Arial" w:hAnsi="Arial" w:cs="Arial"/>
          <w:sz w:val="20"/>
          <w:szCs w:val="20"/>
        </w:rPr>
        <w:t xml:space="preserve">the </w:t>
      </w:r>
      <w:r w:rsidRPr="00D51476">
        <w:rPr>
          <w:rFonts w:ascii="Arial" w:hAnsi="Arial" w:cs="Arial"/>
          <w:sz w:val="20"/>
          <w:szCs w:val="20"/>
        </w:rPr>
        <w:t xml:space="preserve">service standards of a road based on the access provided by that road. </w:t>
      </w:r>
    </w:p>
    <w:p w:rsidR="00617F3D" w:rsidRDefault="00617F3D">
      <w:pPr>
        <w:rPr>
          <w:rFonts w:ascii="Arial" w:hAnsi="Arial" w:cs="Arial"/>
          <w:b/>
          <w:color w:val="000064"/>
          <w:sz w:val="28"/>
          <w:szCs w:val="28"/>
        </w:rPr>
      </w:pPr>
      <w:bookmarkStart w:id="46" w:name="_Toc361217262"/>
      <w:bookmarkStart w:id="47" w:name="_Toc361217630"/>
      <w:bookmarkStart w:id="48" w:name="_Toc361218157"/>
      <w:bookmarkStart w:id="49" w:name="_Toc361219511"/>
      <w:bookmarkStart w:id="50" w:name="_Toc361232790"/>
      <w:bookmarkStart w:id="51" w:name="_Toc361302815"/>
      <w:bookmarkStart w:id="52" w:name="_Toc361321174"/>
      <w:bookmarkStart w:id="53" w:name="_Toc361732958"/>
      <w:bookmarkStart w:id="54" w:name="_Toc361736665"/>
      <w:bookmarkStart w:id="55" w:name="_Toc361821312"/>
      <w:bookmarkStart w:id="56" w:name="_Toc361822842"/>
      <w:bookmarkEnd w:id="46"/>
      <w:bookmarkEnd w:id="47"/>
      <w:bookmarkEnd w:id="48"/>
      <w:bookmarkEnd w:id="49"/>
      <w:bookmarkEnd w:id="50"/>
      <w:bookmarkEnd w:id="51"/>
      <w:bookmarkEnd w:id="52"/>
      <w:bookmarkEnd w:id="53"/>
      <w:bookmarkEnd w:id="54"/>
      <w:bookmarkEnd w:id="55"/>
      <w:bookmarkEnd w:id="56"/>
      <w:r>
        <w:br w:type="page"/>
      </w:r>
    </w:p>
    <w:p w:rsidR="00617F3D" w:rsidRPr="00617F3D" w:rsidRDefault="00617F3D" w:rsidP="00617F3D"/>
    <w:p w:rsidR="00A214C0" w:rsidRPr="00620293" w:rsidRDefault="00A214C0" w:rsidP="00793431">
      <w:pPr>
        <w:pStyle w:val="Heading1"/>
        <w:numPr>
          <w:ilvl w:val="1"/>
          <w:numId w:val="14"/>
        </w:numPr>
      </w:pPr>
      <w:bookmarkStart w:id="57" w:name="_Toc362528125"/>
      <w:r w:rsidRPr="00620293">
        <w:t>Define the network of roads</w:t>
      </w:r>
      <w:bookmarkEnd w:id="57"/>
      <w:r w:rsidR="00AB3A66" w:rsidRPr="00620293">
        <w:t xml:space="preserve"> </w:t>
      </w:r>
    </w:p>
    <w:p w:rsidR="00A214C0" w:rsidRPr="00D51476" w:rsidRDefault="00A214C0" w:rsidP="00A214C0">
      <w:pPr>
        <w:rPr>
          <w:rFonts w:ascii="Arial" w:eastAsiaTheme="minorHAnsi" w:hAnsi="Arial" w:cs="Arial"/>
          <w:sz w:val="20"/>
          <w:szCs w:val="20"/>
        </w:rPr>
      </w:pPr>
    </w:p>
    <w:p w:rsidR="00A214C0" w:rsidRPr="00D51476" w:rsidRDefault="00A214C0" w:rsidP="00A214C0">
      <w:pPr>
        <w:rPr>
          <w:rFonts w:ascii="Arial" w:eastAsiaTheme="minorHAnsi" w:hAnsi="Arial" w:cs="Arial"/>
          <w:bCs/>
          <w:sz w:val="20"/>
          <w:szCs w:val="20"/>
        </w:rPr>
      </w:pPr>
      <w:r w:rsidRPr="00D51476">
        <w:rPr>
          <w:rFonts w:ascii="Arial" w:eastAsiaTheme="minorHAnsi" w:hAnsi="Arial" w:cs="Arial"/>
          <w:bCs/>
          <w:sz w:val="20"/>
          <w:szCs w:val="20"/>
        </w:rPr>
        <w:t>Currently there is no standard network of Australia’s road</w:t>
      </w:r>
      <w:r w:rsidR="0056289A">
        <w:rPr>
          <w:rFonts w:ascii="Arial" w:eastAsiaTheme="minorHAnsi" w:hAnsi="Arial" w:cs="Arial"/>
          <w:bCs/>
          <w:sz w:val="20"/>
          <w:szCs w:val="20"/>
        </w:rPr>
        <w:t>s</w:t>
      </w:r>
      <w:r w:rsidRPr="00D51476">
        <w:rPr>
          <w:rFonts w:ascii="Arial" w:eastAsiaTheme="minorHAnsi" w:hAnsi="Arial" w:cs="Arial"/>
          <w:bCs/>
          <w:sz w:val="20"/>
          <w:szCs w:val="20"/>
        </w:rPr>
        <w:t xml:space="preserve"> </w:t>
      </w:r>
      <w:r w:rsidRPr="00DA397B">
        <w:rPr>
          <w:rFonts w:ascii="Arial" w:eastAsiaTheme="minorHAnsi" w:hAnsi="Arial" w:cs="Arial"/>
          <w:bCs/>
          <w:sz w:val="20"/>
          <w:szCs w:val="20"/>
        </w:rPr>
        <w:t xml:space="preserve">beyond </w:t>
      </w:r>
      <w:proofErr w:type="spellStart"/>
      <w:r w:rsidR="00DA1411" w:rsidRPr="00DA397B">
        <w:rPr>
          <w:rFonts w:ascii="Arial" w:eastAsiaTheme="minorHAnsi" w:hAnsi="Arial" w:cs="Arial"/>
          <w:bCs/>
          <w:sz w:val="20"/>
          <w:szCs w:val="20"/>
        </w:rPr>
        <w:t>I</w:t>
      </w:r>
      <w:r w:rsidR="00DA397B" w:rsidRPr="00DA397B">
        <w:rPr>
          <w:rFonts w:ascii="Arial" w:eastAsiaTheme="minorHAnsi" w:hAnsi="Arial" w:cs="Arial"/>
          <w:bCs/>
          <w:sz w:val="20"/>
          <w:szCs w:val="20"/>
        </w:rPr>
        <w:t>A’s</w:t>
      </w:r>
      <w:proofErr w:type="spellEnd"/>
      <w:r w:rsidRPr="00D51476">
        <w:rPr>
          <w:rFonts w:ascii="Arial" w:eastAsiaTheme="minorHAnsi" w:hAnsi="Arial" w:cs="Arial"/>
          <w:bCs/>
          <w:sz w:val="20"/>
          <w:szCs w:val="20"/>
        </w:rPr>
        <w:t xml:space="preserve"> </w:t>
      </w:r>
      <w:r w:rsidR="0056289A">
        <w:rPr>
          <w:rFonts w:ascii="Arial" w:eastAsiaTheme="minorHAnsi" w:hAnsi="Arial" w:cs="Arial"/>
          <w:bCs/>
          <w:sz w:val="20"/>
          <w:szCs w:val="20"/>
        </w:rPr>
        <w:t>n</w:t>
      </w:r>
      <w:r w:rsidRPr="00D51476">
        <w:rPr>
          <w:rFonts w:ascii="Arial" w:eastAsiaTheme="minorHAnsi" w:hAnsi="Arial" w:cs="Arial"/>
          <w:bCs/>
          <w:sz w:val="20"/>
          <w:szCs w:val="20"/>
        </w:rPr>
        <w:t xml:space="preserve">ational </w:t>
      </w:r>
      <w:r w:rsidR="00DA397B">
        <w:rPr>
          <w:rFonts w:ascii="Arial" w:eastAsiaTheme="minorHAnsi" w:hAnsi="Arial" w:cs="Arial"/>
          <w:bCs/>
          <w:sz w:val="20"/>
          <w:szCs w:val="20"/>
        </w:rPr>
        <w:t>Land Freight S</w:t>
      </w:r>
      <w:r w:rsidRPr="00D51476">
        <w:rPr>
          <w:rFonts w:ascii="Arial" w:eastAsiaTheme="minorHAnsi" w:hAnsi="Arial" w:cs="Arial"/>
          <w:bCs/>
          <w:sz w:val="20"/>
          <w:szCs w:val="20"/>
        </w:rPr>
        <w:t xml:space="preserve">trategy and the </w:t>
      </w:r>
      <w:r w:rsidR="00F07776" w:rsidRPr="00D51476">
        <w:rPr>
          <w:rFonts w:ascii="Arial" w:eastAsiaTheme="minorHAnsi" w:hAnsi="Arial" w:cs="Arial"/>
          <w:bCs/>
          <w:sz w:val="20"/>
          <w:szCs w:val="20"/>
        </w:rPr>
        <w:t>repository</w:t>
      </w:r>
      <w:r w:rsidR="00F07776">
        <w:rPr>
          <w:rFonts w:ascii="Arial" w:eastAsiaTheme="minorHAnsi" w:hAnsi="Arial" w:cs="Arial"/>
          <w:bCs/>
          <w:sz w:val="20"/>
          <w:szCs w:val="20"/>
        </w:rPr>
        <w:t xml:space="preserve"> of</w:t>
      </w:r>
      <w:r w:rsidRPr="00D51476">
        <w:rPr>
          <w:rFonts w:ascii="Arial" w:eastAsiaTheme="minorHAnsi" w:hAnsi="Arial" w:cs="Arial"/>
          <w:bCs/>
          <w:sz w:val="20"/>
          <w:szCs w:val="20"/>
        </w:rPr>
        <w:t xml:space="preserve"> PBS maps. </w:t>
      </w:r>
    </w:p>
    <w:p w:rsidR="00A214C0" w:rsidRPr="00D51476" w:rsidRDefault="00A214C0" w:rsidP="00A214C0">
      <w:pPr>
        <w:rPr>
          <w:rFonts w:ascii="Arial" w:eastAsiaTheme="minorHAnsi" w:hAnsi="Arial" w:cs="Arial"/>
          <w:bCs/>
          <w:sz w:val="20"/>
          <w:szCs w:val="20"/>
        </w:rPr>
      </w:pPr>
    </w:p>
    <w:p w:rsidR="00A214C0" w:rsidRPr="00D51476" w:rsidRDefault="00A214C0" w:rsidP="00A214C0">
      <w:pPr>
        <w:rPr>
          <w:rFonts w:ascii="Arial" w:eastAsiaTheme="minorHAnsi" w:hAnsi="Arial" w:cs="Arial"/>
          <w:bCs/>
          <w:sz w:val="20"/>
          <w:szCs w:val="20"/>
        </w:rPr>
      </w:pPr>
      <w:r w:rsidRPr="00D51476">
        <w:rPr>
          <w:rFonts w:ascii="Arial" w:eastAsiaTheme="minorHAnsi" w:hAnsi="Arial" w:cs="Arial"/>
          <w:bCs/>
          <w:sz w:val="20"/>
          <w:szCs w:val="20"/>
        </w:rPr>
        <w:t>In the PwC report to the ATA</w:t>
      </w:r>
      <w:r w:rsidR="00F07776">
        <w:rPr>
          <w:rFonts w:ascii="Arial" w:eastAsiaTheme="minorHAnsi" w:hAnsi="Arial" w:cs="Arial"/>
          <w:bCs/>
          <w:sz w:val="20"/>
          <w:szCs w:val="20"/>
        </w:rPr>
        <w:t>,</w:t>
      </w:r>
      <w:r w:rsidRPr="00D51476">
        <w:rPr>
          <w:rFonts w:ascii="Arial" w:eastAsiaTheme="minorHAnsi" w:hAnsi="Arial" w:cs="Arial"/>
          <w:bCs/>
          <w:sz w:val="20"/>
          <w:szCs w:val="20"/>
        </w:rPr>
        <w:t xml:space="preserve"> PwC recommended that the roads in Australia be </w:t>
      </w:r>
      <w:r w:rsidR="0056289A">
        <w:rPr>
          <w:rFonts w:ascii="Arial" w:eastAsiaTheme="minorHAnsi" w:hAnsi="Arial" w:cs="Arial"/>
          <w:bCs/>
          <w:sz w:val="20"/>
          <w:szCs w:val="20"/>
        </w:rPr>
        <w:t>classified</w:t>
      </w:r>
      <w:r w:rsidR="0056289A" w:rsidRPr="00D51476">
        <w:rPr>
          <w:rFonts w:ascii="Arial" w:eastAsiaTheme="minorHAnsi" w:hAnsi="Arial" w:cs="Arial"/>
          <w:bCs/>
          <w:sz w:val="20"/>
          <w:szCs w:val="20"/>
        </w:rPr>
        <w:t xml:space="preserve"> </w:t>
      </w:r>
      <w:r w:rsidRPr="00D51476">
        <w:rPr>
          <w:rFonts w:ascii="Arial" w:eastAsiaTheme="minorHAnsi" w:hAnsi="Arial" w:cs="Arial"/>
          <w:bCs/>
          <w:sz w:val="20"/>
          <w:szCs w:val="20"/>
        </w:rPr>
        <w:t xml:space="preserve">in an initial </w:t>
      </w:r>
      <w:r w:rsidR="0056289A">
        <w:rPr>
          <w:rFonts w:ascii="Arial" w:eastAsiaTheme="minorHAnsi" w:hAnsi="Arial" w:cs="Arial"/>
          <w:bCs/>
          <w:sz w:val="20"/>
          <w:szCs w:val="20"/>
        </w:rPr>
        <w:t>three</w:t>
      </w:r>
      <w:r w:rsidR="0056289A" w:rsidRPr="00D51476">
        <w:rPr>
          <w:rFonts w:ascii="Arial" w:eastAsiaTheme="minorHAnsi" w:hAnsi="Arial" w:cs="Arial"/>
          <w:bCs/>
          <w:sz w:val="20"/>
          <w:szCs w:val="20"/>
        </w:rPr>
        <w:t xml:space="preserve"> </w:t>
      </w:r>
      <w:r w:rsidRPr="00D51476">
        <w:rPr>
          <w:rFonts w:ascii="Arial" w:eastAsiaTheme="minorHAnsi" w:hAnsi="Arial" w:cs="Arial"/>
          <w:bCs/>
          <w:sz w:val="20"/>
          <w:szCs w:val="20"/>
        </w:rPr>
        <w:t>tier network</w:t>
      </w:r>
      <w:r w:rsidR="0056289A">
        <w:rPr>
          <w:rFonts w:ascii="Arial" w:eastAsiaTheme="minorHAnsi" w:hAnsi="Arial" w:cs="Arial"/>
          <w:bCs/>
          <w:sz w:val="20"/>
          <w:szCs w:val="20"/>
        </w:rPr>
        <w:t xml:space="preserve"> (</w:t>
      </w:r>
      <w:r w:rsidRPr="00D51476">
        <w:rPr>
          <w:rFonts w:ascii="Arial" w:eastAsiaTheme="minorHAnsi" w:hAnsi="Arial" w:cs="Arial"/>
          <w:bCs/>
          <w:sz w:val="20"/>
          <w:szCs w:val="20"/>
        </w:rPr>
        <w:t xml:space="preserve">with each tier targeting a level of heavy vehicle </w:t>
      </w:r>
      <w:r w:rsidR="00F07776" w:rsidRPr="00D51476">
        <w:rPr>
          <w:rFonts w:ascii="Arial" w:eastAsiaTheme="minorHAnsi" w:hAnsi="Arial" w:cs="Arial"/>
          <w:bCs/>
          <w:sz w:val="20"/>
          <w:szCs w:val="20"/>
        </w:rPr>
        <w:t>access</w:t>
      </w:r>
      <w:r w:rsidR="0056289A">
        <w:rPr>
          <w:rFonts w:ascii="Arial" w:eastAsiaTheme="minorHAnsi" w:hAnsi="Arial" w:cs="Arial"/>
          <w:bCs/>
          <w:sz w:val="20"/>
          <w:szCs w:val="20"/>
        </w:rPr>
        <w:t>)</w:t>
      </w:r>
      <w:r w:rsidR="0056289A" w:rsidRPr="00D51476">
        <w:rPr>
          <w:rFonts w:ascii="Arial" w:eastAsiaTheme="minorHAnsi" w:hAnsi="Arial" w:cs="Arial"/>
          <w:bCs/>
          <w:sz w:val="20"/>
          <w:szCs w:val="20"/>
        </w:rPr>
        <w:t xml:space="preserve"> </w:t>
      </w:r>
      <w:r w:rsidR="00F07776" w:rsidRPr="00D51476">
        <w:rPr>
          <w:rFonts w:ascii="Arial" w:eastAsiaTheme="minorHAnsi" w:hAnsi="Arial" w:cs="Arial"/>
          <w:bCs/>
          <w:sz w:val="20"/>
          <w:szCs w:val="20"/>
        </w:rPr>
        <w:t>in</w:t>
      </w:r>
      <w:r w:rsidRPr="00D51476">
        <w:rPr>
          <w:rFonts w:ascii="Arial" w:eastAsiaTheme="minorHAnsi" w:hAnsi="Arial" w:cs="Arial"/>
          <w:bCs/>
          <w:sz w:val="20"/>
          <w:szCs w:val="20"/>
        </w:rPr>
        <w:t xml:space="preserve"> order to focus investment, reporting and funding. </w:t>
      </w:r>
    </w:p>
    <w:p w:rsidR="00A214C0" w:rsidRPr="00D51476" w:rsidRDefault="00A214C0" w:rsidP="00A214C0">
      <w:pPr>
        <w:rPr>
          <w:rFonts w:ascii="Arial" w:eastAsiaTheme="minorHAnsi" w:hAnsi="Arial" w:cs="Arial"/>
          <w:bCs/>
          <w:sz w:val="20"/>
          <w:szCs w:val="20"/>
        </w:rPr>
      </w:pPr>
    </w:p>
    <w:p w:rsidR="00A214C0" w:rsidRPr="00D51476" w:rsidRDefault="00A214C0" w:rsidP="00793431">
      <w:pPr>
        <w:pStyle w:val="ListParagraph"/>
        <w:numPr>
          <w:ilvl w:val="0"/>
          <w:numId w:val="4"/>
        </w:numPr>
        <w:rPr>
          <w:rFonts w:ascii="Arial" w:eastAsiaTheme="minorHAnsi" w:hAnsi="Arial" w:cs="Arial"/>
          <w:iCs/>
          <w:sz w:val="20"/>
          <w:szCs w:val="20"/>
        </w:rPr>
      </w:pPr>
      <w:r w:rsidRPr="00D51476">
        <w:rPr>
          <w:rFonts w:ascii="Arial" w:eastAsiaTheme="minorHAnsi" w:hAnsi="Arial" w:cs="Arial"/>
          <w:iCs/>
          <w:sz w:val="20"/>
          <w:szCs w:val="20"/>
        </w:rPr>
        <w:t>Tier 1 to focus primarily on road freight transport corridors, indicating the highest level of access, thereby building on Infrastructure Australia’s National Land Freight Network priorities.</w:t>
      </w:r>
    </w:p>
    <w:p w:rsidR="00A214C0" w:rsidRPr="00D51476" w:rsidRDefault="00A214C0" w:rsidP="00A214C0">
      <w:pPr>
        <w:rPr>
          <w:rFonts w:ascii="Arial" w:eastAsiaTheme="minorHAnsi" w:hAnsi="Arial" w:cs="Arial"/>
          <w:iCs/>
          <w:sz w:val="20"/>
          <w:szCs w:val="20"/>
        </w:rPr>
      </w:pPr>
    </w:p>
    <w:p w:rsidR="00A214C0" w:rsidRPr="00D51476" w:rsidRDefault="00A214C0" w:rsidP="00793431">
      <w:pPr>
        <w:pStyle w:val="ListParagraph"/>
        <w:numPr>
          <w:ilvl w:val="0"/>
          <w:numId w:val="4"/>
        </w:numPr>
        <w:rPr>
          <w:rFonts w:ascii="Arial" w:eastAsiaTheme="minorHAnsi" w:hAnsi="Arial" w:cs="Arial"/>
          <w:sz w:val="20"/>
          <w:szCs w:val="20"/>
        </w:rPr>
      </w:pPr>
      <w:r w:rsidRPr="00D51476">
        <w:rPr>
          <w:rFonts w:ascii="Arial" w:eastAsiaTheme="minorHAnsi" w:hAnsi="Arial" w:cs="Arial"/>
          <w:iCs/>
          <w:sz w:val="20"/>
          <w:szCs w:val="20"/>
        </w:rPr>
        <w:t>Tier 2</w:t>
      </w:r>
      <w:r w:rsidRPr="00D51476">
        <w:rPr>
          <w:rFonts w:ascii="Arial" w:eastAsiaTheme="minorHAnsi" w:hAnsi="Arial" w:cs="Arial"/>
          <w:sz w:val="20"/>
          <w:szCs w:val="20"/>
        </w:rPr>
        <w:t xml:space="preserve"> to address significant ‘last mile’ higher mass limit connections. While Tier 2 would not manage Tier 1 access levels above, it could still align with Tier 1 Mass Limits to ensure end-to-end productivity is achieved for each truck trip.</w:t>
      </w:r>
    </w:p>
    <w:p w:rsidR="00A214C0" w:rsidRPr="00D51476" w:rsidRDefault="00A214C0" w:rsidP="00A214C0">
      <w:pPr>
        <w:rPr>
          <w:rFonts w:ascii="Arial" w:eastAsiaTheme="minorHAnsi" w:hAnsi="Arial" w:cs="Arial"/>
          <w:iCs/>
          <w:sz w:val="20"/>
          <w:szCs w:val="20"/>
        </w:rPr>
      </w:pPr>
    </w:p>
    <w:p w:rsidR="00616E75" w:rsidRDefault="00A214C0" w:rsidP="00793431">
      <w:pPr>
        <w:pStyle w:val="ListParagraph"/>
        <w:numPr>
          <w:ilvl w:val="0"/>
          <w:numId w:val="4"/>
        </w:numPr>
        <w:rPr>
          <w:rFonts w:ascii="Arial" w:eastAsiaTheme="minorHAnsi" w:hAnsi="Arial" w:cs="Arial"/>
          <w:sz w:val="20"/>
          <w:szCs w:val="20"/>
        </w:rPr>
      </w:pPr>
      <w:r w:rsidRPr="00D51476">
        <w:rPr>
          <w:rFonts w:ascii="Arial" w:eastAsiaTheme="minorHAnsi" w:hAnsi="Arial" w:cs="Arial"/>
          <w:iCs/>
          <w:sz w:val="20"/>
          <w:szCs w:val="20"/>
        </w:rPr>
        <w:t>Tier 3</w:t>
      </w:r>
      <w:r w:rsidRPr="00D51476">
        <w:rPr>
          <w:rFonts w:ascii="Arial" w:eastAsiaTheme="minorHAnsi" w:hAnsi="Arial" w:cs="Arial"/>
          <w:sz w:val="20"/>
          <w:szCs w:val="20"/>
        </w:rPr>
        <w:t xml:space="preserve"> to concentrate on the remaining freight network. This would examine minimum levels of access in line with current general access requirements, and be supplemented by ad hoc improvements as overseen by NHVR. </w:t>
      </w:r>
    </w:p>
    <w:p w:rsidR="00616E75" w:rsidRDefault="00616E75">
      <w:pPr>
        <w:rPr>
          <w:rFonts w:ascii="Arial" w:eastAsiaTheme="minorHAnsi" w:hAnsi="Arial" w:cs="Arial"/>
          <w:sz w:val="20"/>
          <w:szCs w:val="20"/>
        </w:rPr>
      </w:pPr>
    </w:p>
    <w:p w:rsidR="00A214C0" w:rsidRPr="00D51476" w:rsidRDefault="00A214C0" w:rsidP="00A214C0">
      <w:pPr>
        <w:rPr>
          <w:rFonts w:ascii="Arial" w:eastAsiaTheme="minorHAnsi" w:hAnsi="Arial" w:cs="Arial"/>
          <w:sz w:val="20"/>
          <w:szCs w:val="20"/>
        </w:rPr>
      </w:pPr>
      <w:r w:rsidRPr="00D51476">
        <w:rPr>
          <w:rFonts w:ascii="Arial" w:eastAsiaTheme="minorHAnsi" w:hAnsi="Arial" w:cs="Arial"/>
          <w:sz w:val="20"/>
          <w:szCs w:val="20"/>
        </w:rPr>
        <w:t xml:space="preserve">Through direct </w:t>
      </w:r>
      <w:r w:rsidR="0056289A">
        <w:rPr>
          <w:rFonts w:ascii="Arial" w:eastAsiaTheme="minorHAnsi" w:hAnsi="Arial" w:cs="Arial"/>
          <w:sz w:val="20"/>
          <w:szCs w:val="20"/>
        </w:rPr>
        <w:t xml:space="preserve">and ongoing </w:t>
      </w:r>
      <w:r w:rsidRPr="00D51476">
        <w:rPr>
          <w:rFonts w:ascii="Arial" w:eastAsiaTheme="minorHAnsi" w:hAnsi="Arial" w:cs="Arial"/>
          <w:sz w:val="20"/>
          <w:szCs w:val="20"/>
        </w:rPr>
        <w:t>consultation w</w:t>
      </w:r>
      <w:r w:rsidR="00F07776">
        <w:rPr>
          <w:rFonts w:ascii="Arial" w:eastAsiaTheme="minorHAnsi" w:hAnsi="Arial" w:cs="Arial"/>
          <w:sz w:val="20"/>
          <w:szCs w:val="20"/>
        </w:rPr>
        <w:t>ith industry, the</w:t>
      </w:r>
      <w:r w:rsidR="0056289A">
        <w:rPr>
          <w:rFonts w:ascii="Arial" w:eastAsiaTheme="minorHAnsi" w:hAnsi="Arial" w:cs="Arial"/>
          <w:sz w:val="20"/>
          <w:szCs w:val="20"/>
        </w:rPr>
        <w:t xml:space="preserve"> National Heavy Vehicle Regulator </w:t>
      </w:r>
      <w:r w:rsidR="00F07776">
        <w:rPr>
          <w:rFonts w:ascii="Arial" w:eastAsiaTheme="minorHAnsi" w:hAnsi="Arial" w:cs="Arial"/>
          <w:sz w:val="20"/>
          <w:szCs w:val="20"/>
        </w:rPr>
        <w:t>(N</w:t>
      </w:r>
      <w:r w:rsidRPr="00D51476">
        <w:rPr>
          <w:rFonts w:ascii="Arial" w:eastAsiaTheme="minorHAnsi" w:hAnsi="Arial" w:cs="Arial"/>
          <w:sz w:val="20"/>
          <w:szCs w:val="20"/>
        </w:rPr>
        <w:t>HVR</w:t>
      </w:r>
      <w:r w:rsidR="00F07776">
        <w:rPr>
          <w:rFonts w:ascii="Arial" w:eastAsiaTheme="minorHAnsi" w:hAnsi="Arial" w:cs="Arial"/>
          <w:sz w:val="20"/>
          <w:szCs w:val="20"/>
        </w:rPr>
        <w:t>)</w:t>
      </w:r>
      <w:r w:rsidRPr="00D51476">
        <w:rPr>
          <w:rFonts w:ascii="Arial" w:eastAsiaTheme="minorHAnsi" w:hAnsi="Arial" w:cs="Arial"/>
          <w:sz w:val="20"/>
          <w:szCs w:val="20"/>
        </w:rPr>
        <w:t xml:space="preserve"> can help identify different network concerns as industry requests for access are received. Precisely defined levels of access for each of the three tiers would usefully guide new road investment, maintenance and access levels. </w:t>
      </w:r>
    </w:p>
    <w:p w:rsidR="00A214C0" w:rsidRPr="00D51476" w:rsidRDefault="00A214C0" w:rsidP="00A214C0">
      <w:pPr>
        <w:rPr>
          <w:rFonts w:ascii="Arial" w:eastAsiaTheme="minorHAnsi" w:hAnsi="Arial" w:cs="Arial"/>
          <w:sz w:val="20"/>
          <w:szCs w:val="20"/>
        </w:rPr>
      </w:pPr>
    </w:p>
    <w:p w:rsidR="00A214C0" w:rsidRPr="00D51476" w:rsidRDefault="00A214C0" w:rsidP="00A214C0">
      <w:pPr>
        <w:rPr>
          <w:rFonts w:ascii="Arial" w:eastAsiaTheme="minorHAnsi" w:hAnsi="Arial" w:cs="Arial"/>
          <w:sz w:val="20"/>
          <w:szCs w:val="20"/>
        </w:rPr>
      </w:pPr>
      <w:r w:rsidRPr="00D51476">
        <w:rPr>
          <w:rFonts w:ascii="Arial" w:eastAsiaTheme="minorHAnsi" w:hAnsi="Arial" w:cs="Arial"/>
          <w:sz w:val="20"/>
          <w:szCs w:val="20"/>
        </w:rPr>
        <w:t xml:space="preserve">The benefit of this </w:t>
      </w:r>
      <w:r w:rsidR="00FF321C">
        <w:rPr>
          <w:rFonts w:ascii="Arial" w:eastAsiaTheme="minorHAnsi" w:hAnsi="Arial" w:cs="Arial"/>
          <w:sz w:val="20"/>
          <w:szCs w:val="20"/>
        </w:rPr>
        <w:t>style</w:t>
      </w:r>
      <w:r w:rsidR="00FF321C" w:rsidRPr="00D51476">
        <w:rPr>
          <w:rFonts w:ascii="Arial" w:eastAsiaTheme="minorHAnsi" w:hAnsi="Arial" w:cs="Arial"/>
          <w:sz w:val="20"/>
          <w:szCs w:val="20"/>
        </w:rPr>
        <w:t xml:space="preserve"> </w:t>
      </w:r>
      <w:r w:rsidRPr="00D51476">
        <w:rPr>
          <w:rFonts w:ascii="Arial" w:eastAsiaTheme="minorHAnsi" w:hAnsi="Arial" w:cs="Arial"/>
          <w:sz w:val="20"/>
          <w:szCs w:val="20"/>
        </w:rPr>
        <w:t>of network classification is that it is understandable</w:t>
      </w:r>
      <w:r w:rsidR="00F814F3" w:rsidRPr="00D51476">
        <w:rPr>
          <w:rFonts w:ascii="Arial" w:eastAsiaTheme="minorHAnsi" w:hAnsi="Arial" w:cs="Arial"/>
          <w:sz w:val="20"/>
          <w:szCs w:val="20"/>
        </w:rPr>
        <w:t>, consistent</w:t>
      </w:r>
      <w:r w:rsidRPr="00D51476">
        <w:rPr>
          <w:rFonts w:ascii="Arial" w:eastAsiaTheme="minorHAnsi" w:hAnsi="Arial" w:cs="Arial"/>
          <w:sz w:val="20"/>
          <w:szCs w:val="20"/>
        </w:rPr>
        <w:t xml:space="preserve"> and useful to </w:t>
      </w:r>
      <w:r w:rsidR="00FF321C">
        <w:rPr>
          <w:rFonts w:ascii="Arial" w:eastAsiaTheme="minorHAnsi" w:hAnsi="Arial" w:cs="Arial"/>
          <w:sz w:val="20"/>
          <w:szCs w:val="20"/>
        </w:rPr>
        <w:t xml:space="preserve">heavy vehicle </w:t>
      </w:r>
      <w:r w:rsidRPr="00D51476">
        <w:rPr>
          <w:rFonts w:ascii="Arial" w:eastAsiaTheme="minorHAnsi" w:hAnsi="Arial" w:cs="Arial"/>
          <w:sz w:val="20"/>
          <w:szCs w:val="20"/>
        </w:rPr>
        <w:t>operators</w:t>
      </w:r>
      <w:r w:rsidR="00F814F3" w:rsidRPr="00D51476">
        <w:rPr>
          <w:rFonts w:ascii="Arial" w:eastAsiaTheme="minorHAnsi" w:hAnsi="Arial" w:cs="Arial"/>
          <w:sz w:val="20"/>
          <w:szCs w:val="20"/>
        </w:rPr>
        <w:t>,</w:t>
      </w:r>
      <w:r w:rsidRPr="00D51476">
        <w:rPr>
          <w:rFonts w:ascii="Arial" w:eastAsiaTheme="minorHAnsi" w:hAnsi="Arial" w:cs="Arial"/>
          <w:sz w:val="20"/>
          <w:szCs w:val="20"/>
        </w:rPr>
        <w:t xml:space="preserve"> as well as </w:t>
      </w:r>
      <w:r w:rsidR="00FF321C">
        <w:rPr>
          <w:rFonts w:ascii="Arial" w:eastAsiaTheme="minorHAnsi" w:hAnsi="Arial" w:cs="Arial"/>
          <w:sz w:val="20"/>
          <w:szCs w:val="20"/>
        </w:rPr>
        <w:t>cap</w:t>
      </w:r>
      <w:r w:rsidRPr="00D51476">
        <w:rPr>
          <w:rFonts w:ascii="Arial" w:eastAsiaTheme="minorHAnsi" w:hAnsi="Arial" w:cs="Arial"/>
          <w:sz w:val="20"/>
          <w:szCs w:val="20"/>
        </w:rPr>
        <w:t xml:space="preserve">able </w:t>
      </w:r>
      <w:r w:rsidR="00FF321C">
        <w:rPr>
          <w:rFonts w:ascii="Arial" w:eastAsiaTheme="minorHAnsi" w:hAnsi="Arial" w:cs="Arial"/>
          <w:sz w:val="20"/>
          <w:szCs w:val="20"/>
        </w:rPr>
        <w:t>of being</w:t>
      </w:r>
      <w:r w:rsidRPr="00D51476">
        <w:rPr>
          <w:rFonts w:ascii="Arial" w:eastAsiaTheme="minorHAnsi" w:hAnsi="Arial" w:cs="Arial"/>
          <w:sz w:val="20"/>
          <w:szCs w:val="20"/>
        </w:rPr>
        <w:t xml:space="preserve"> transposed to other freight pla</w:t>
      </w:r>
      <w:r w:rsidR="00F814F3" w:rsidRPr="00D51476">
        <w:rPr>
          <w:rFonts w:ascii="Arial" w:eastAsiaTheme="minorHAnsi" w:hAnsi="Arial" w:cs="Arial"/>
          <w:sz w:val="20"/>
          <w:szCs w:val="20"/>
        </w:rPr>
        <w:t xml:space="preserve">nning initiatives </w:t>
      </w:r>
      <w:r w:rsidR="00FF321C">
        <w:rPr>
          <w:rFonts w:ascii="Arial" w:eastAsiaTheme="minorHAnsi" w:hAnsi="Arial" w:cs="Arial"/>
          <w:sz w:val="20"/>
          <w:szCs w:val="20"/>
        </w:rPr>
        <w:t xml:space="preserve">whether </w:t>
      </w:r>
      <w:r w:rsidR="00F814F3" w:rsidRPr="00D51476">
        <w:rPr>
          <w:rFonts w:ascii="Arial" w:eastAsiaTheme="minorHAnsi" w:hAnsi="Arial" w:cs="Arial"/>
          <w:sz w:val="20"/>
          <w:szCs w:val="20"/>
        </w:rPr>
        <w:t xml:space="preserve">in states or </w:t>
      </w:r>
      <w:r w:rsidR="00F07776">
        <w:rPr>
          <w:rFonts w:ascii="Arial" w:eastAsiaTheme="minorHAnsi" w:hAnsi="Arial" w:cs="Arial"/>
          <w:sz w:val="20"/>
          <w:szCs w:val="20"/>
        </w:rPr>
        <w:t>nationally</w:t>
      </w:r>
      <w:r w:rsidRPr="00D51476">
        <w:rPr>
          <w:rFonts w:ascii="Arial" w:eastAsiaTheme="minorHAnsi" w:hAnsi="Arial" w:cs="Arial"/>
          <w:sz w:val="20"/>
          <w:szCs w:val="20"/>
        </w:rPr>
        <w:t xml:space="preserve">. </w:t>
      </w:r>
    </w:p>
    <w:p w:rsidR="00F814F3" w:rsidRPr="00D51476" w:rsidRDefault="00F814F3" w:rsidP="00A214C0">
      <w:pPr>
        <w:rPr>
          <w:rFonts w:ascii="Arial" w:eastAsiaTheme="minorHAnsi" w:hAnsi="Arial" w:cs="Arial"/>
          <w:sz w:val="20"/>
          <w:szCs w:val="20"/>
        </w:rPr>
      </w:pPr>
    </w:p>
    <w:p w:rsidR="00AA3874" w:rsidRDefault="00A214C0" w:rsidP="00A214C0">
      <w:pPr>
        <w:rPr>
          <w:rFonts w:ascii="Arial" w:eastAsiaTheme="minorHAnsi" w:hAnsi="Arial" w:cs="Arial"/>
          <w:sz w:val="20"/>
          <w:szCs w:val="20"/>
        </w:rPr>
      </w:pPr>
      <w:r w:rsidRPr="00D51476">
        <w:rPr>
          <w:rFonts w:ascii="Arial" w:eastAsiaTheme="minorHAnsi" w:hAnsi="Arial" w:cs="Arial"/>
          <w:sz w:val="20"/>
          <w:szCs w:val="20"/>
        </w:rPr>
        <w:t xml:space="preserve">This approach is akin to defining service </w:t>
      </w:r>
      <w:r w:rsidR="00FF321C">
        <w:rPr>
          <w:rFonts w:ascii="Arial" w:eastAsiaTheme="minorHAnsi" w:hAnsi="Arial" w:cs="Arial"/>
          <w:sz w:val="20"/>
          <w:szCs w:val="20"/>
        </w:rPr>
        <w:t xml:space="preserve">level </w:t>
      </w:r>
      <w:r w:rsidRPr="00D51476">
        <w:rPr>
          <w:rFonts w:ascii="Arial" w:eastAsiaTheme="minorHAnsi" w:hAnsi="Arial" w:cs="Arial"/>
          <w:sz w:val="20"/>
          <w:szCs w:val="20"/>
        </w:rPr>
        <w:t xml:space="preserve">standards (reliability) in the utilities sectors. </w:t>
      </w:r>
    </w:p>
    <w:p w:rsidR="00AA3874" w:rsidRDefault="00AA3874" w:rsidP="00A214C0">
      <w:pPr>
        <w:rPr>
          <w:rFonts w:ascii="Arial" w:eastAsiaTheme="minorHAnsi" w:hAnsi="Arial" w:cs="Arial"/>
          <w:sz w:val="20"/>
          <w:szCs w:val="20"/>
        </w:rPr>
      </w:pPr>
    </w:p>
    <w:p w:rsidR="00F814F3" w:rsidRPr="00D51476" w:rsidRDefault="00F814F3" w:rsidP="00A214C0">
      <w:pPr>
        <w:rPr>
          <w:rFonts w:ascii="Arial" w:eastAsiaTheme="minorHAnsi" w:hAnsi="Arial" w:cs="Arial"/>
          <w:sz w:val="20"/>
          <w:szCs w:val="20"/>
        </w:rPr>
      </w:pPr>
      <w:r w:rsidRPr="00D51476">
        <w:rPr>
          <w:rFonts w:ascii="Arial" w:eastAsiaTheme="minorHAnsi" w:hAnsi="Arial" w:cs="Arial"/>
          <w:sz w:val="20"/>
          <w:szCs w:val="20"/>
        </w:rPr>
        <w:t>At the co-design workshops</w:t>
      </w:r>
      <w:r w:rsidR="00FF321C">
        <w:rPr>
          <w:rFonts w:ascii="Arial" w:eastAsiaTheme="minorHAnsi" w:hAnsi="Arial" w:cs="Arial"/>
          <w:sz w:val="20"/>
          <w:szCs w:val="20"/>
        </w:rPr>
        <w:t>,</w:t>
      </w:r>
      <w:r w:rsidRPr="00D51476">
        <w:rPr>
          <w:rFonts w:ascii="Arial" w:eastAsiaTheme="minorHAnsi" w:hAnsi="Arial" w:cs="Arial"/>
          <w:sz w:val="20"/>
          <w:szCs w:val="20"/>
        </w:rPr>
        <w:t xml:space="preserve"> an alternative approach using</w:t>
      </w:r>
      <w:r w:rsidR="00FF321C">
        <w:rPr>
          <w:rFonts w:ascii="Arial" w:eastAsiaTheme="minorHAnsi" w:hAnsi="Arial" w:cs="Arial"/>
          <w:sz w:val="20"/>
          <w:szCs w:val="20"/>
        </w:rPr>
        <w:t xml:space="preserve"> the</w:t>
      </w:r>
      <w:r w:rsidRPr="00D51476">
        <w:rPr>
          <w:rFonts w:ascii="Arial" w:eastAsiaTheme="minorHAnsi" w:hAnsi="Arial" w:cs="Arial"/>
          <w:sz w:val="20"/>
          <w:szCs w:val="20"/>
        </w:rPr>
        <w:t xml:space="preserve"> </w:t>
      </w:r>
      <w:r w:rsidR="00FF321C" w:rsidRPr="00D51476">
        <w:rPr>
          <w:rFonts w:ascii="Arial" w:eastAsiaTheme="minorHAnsi" w:hAnsi="Arial" w:cs="Arial"/>
          <w:sz w:val="20"/>
          <w:szCs w:val="20"/>
        </w:rPr>
        <w:t xml:space="preserve">attributes </w:t>
      </w:r>
      <w:r w:rsidR="00FF321C">
        <w:rPr>
          <w:rFonts w:ascii="Arial" w:eastAsiaTheme="minorHAnsi" w:hAnsi="Arial" w:cs="Arial"/>
          <w:sz w:val="20"/>
          <w:szCs w:val="20"/>
        </w:rPr>
        <w:t xml:space="preserve">of </w:t>
      </w:r>
      <w:r w:rsidRPr="00D51476">
        <w:rPr>
          <w:rFonts w:ascii="Arial" w:eastAsiaTheme="minorHAnsi" w:hAnsi="Arial" w:cs="Arial"/>
          <w:sz w:val="20"/>
          <w:szCs w:val="20"/>
        </w:rPr>
        <w:t xml:space="preserve">service such as </w:t>
      </w:r>
      <w:r w:rsidR="00FF321C">
        <w:rPr>
          <w:rFonts w:ascii="Arial" w:eastAsiaTheme="minorHAnsi" w:hAnsi="Arial" w:cs="Arial"/>
          <w:sz w:val="20"/>
          <w:szCs w:val="20"/>
        </w:rPr>
        <w:t>‘</w:t>
      </w:r>
      <w:r w:rsidRPr="00D51476">
        <w:rPr>
          <w:rFonts w:ascii="Arial" w:eastAsiaTheme="minorHAnsi" w:hAnsi="Arial" w:cs="Arial"/>
          <w:sz w:val="20"/>
          <w:szCs w:val="20"/>
        </w:rPr>
        <w:t>ride smoothness</w:t>
      </w:r>
      <w:r w:rsidR="00FF321C">
        <w:rPr>
          <w:rFonts w:ascii="Arial" w:eastAsiaTheme="minorHAnsi" w:hAnsi="Arial" w:cs="Arial"/>
          <w:sz w:val="20"/>
          <w:szCs w:val="20"/>
        </w:rPr>
        <w:t>’</w:t>
      </w:r>
      <w:r w:rsidRPr="00D51476">
        <w:rPr>
          <w:rFonts w:ascii="Arial" w:eastAsiaTheme="minorHAnsi" w:hAnsi="Arial" w:cs="Arial"/>
          <w:sz w:val="20"/>
          <w:szCs w:val="20"/>
        </w:rPr>
        <w:t xml:space="preserve"> and </w:t>
      </w:r>
      <w:r w:rsidR="00FF321C">
        <w:rPr>
          <w:rFonts w:ascii="Arial" w:eastAsiaTheme="minorHAnsi" w:hAnsi="Arial" w:cs="Arial"/>
          <w:sz w:val="20"/>
          <w:szCs w:val="20"/>
        </w:rPr>
        <w:t>‘</w:t>
      </w:r>
      <w:r w:rsidRPr="00D51476">
        <w:rPr>
          <w:rFonts w:ascii="Arial" w:eastAsiaTheme="minorHAnsi" w:hAnsi="Arial" w:cs="Arial"/>
          <w:sz w:val="20"/>
          <w:szCs w:val="20"/>
        </w:rPr>
        <w:t>traveller information</w:t>
      </w:r>
      <w:r w:rsidR="00FF321C">
        <w:rPr>
          <w:rFonts w:ascii="Arial" w:eastAsiaTheme="minorHAnsi" w:hAnsi="Arial" w:cs="Arial"/>
          <w:sz w:val="20"/>
          <w:szCs w:val="20"/>
        </w:rPr>
        <w:t>’</w:t>
      </w:r>
      <w:r w:rsidRPr="00D51476">
        <w:rPr>
          <w:rFonts w:ascii="Arial" w:eastAsiaTheme="minorHAnsi" w:hAnsi="Arial" w:cs="Arial"/>
          <w:sz w:val="20"/>
          <w:szCs w:val="20"/>
        </w:rPr>
        <w:t xml:space="preserve"> was discussed at length. The conclusion </w:t>
      </w:r>
      <w:r w:rsidR="00FF321C">
        <w:rPr>
          <w:rFonts w:ascii="Arial" w:eastAsiaTheme="minorHAnsi" w:hAnsi="Arial" w:cs="Arial"/>
          <w:sz w:val="20"/>
          <w:szCs w:val="20"/>
        </w:rPr>
        <w:t>reached by</w:t>
      </w:r>
      <w:r w:rsidR="00FF321C" w:rsidRPr="00D51476">
        <w:rPr>
          <w:rFonts w:ascii="Arial" w:eastAsiaTheme="minorHAnsi" w:hAnsi="Arial" w:cs="Arial"/>
          <w:sz w:val="20"/>
          <w:szCs w:val="20"/>
        </w:rPr>
        <w:t xml:space="preserve"> </w:t>
      </w:r>
      <w:r w:rsidR="00FF321C">
        <w:rPr>
          <w:rFonts w:ascii="Arial" w:eastAsiaTheme="minorHAnsi" w:hAnsi="Arial" w:cs="Arial"/>
          <w:sz w:val="20"/>
          <w:szCs w:val="20"/>
        </w:rPr>
        <w:t xml:space="preserve">these </w:t>
      </w:r>
      <w:r w:rsidRPr="00D51476">
        <w:rPr>
          <w:rFonts w:ascii="Arial" w:eastAsiaTheme="minorHAnsi" w:hAnsi="Arial" w:cs="Arial"/>
          <w:sz w:val="20"/>
          <w:szCs w:val="20"/>
        </w:rPr>
        <w:t>discussion</w:t>
      </w:r>
      <w:r w:rsidR="00FF321C">
        <w:rPr>
          <w:rFonts w:ascii="Arial" w:eastAsiaTheme="minorHAnsi" w:hAnsi="Arial" w:cs="Arial"/>
          <w:sz w:val="20"/>
          <w:szCs w:val="20"/>
        </w:rPr>
        <w:t>s</w:t>
      </w:r>
      <w:r w:rsidRPr="00D51476">
        <w:rPr>
          <w:rFonts w:ascii="Arial" w:eastAsiaTheme="minorHAnsi" w:hAnsi="Arial" w:cs="Arial"/>
          <w:sz w:val="20"/>
          <w:szCs w:val="20"/>
        </w:rPr>
        <w:t xml:space="preserve"> was that while </w:t>
      </w:r>
      <w:r w:rsidR="00FF321C">
        <w:rPr>
          <w:rFonts w:ascii="Arial" w:eastAsiaTheme="minorHAnsi" w:hAnsi="Arial" w:cs="Arial"/>
          <w:sz w:val="20"/>
          <w:szCs w:val="20"/>
        </w:rPr>
        <w:t>such</w:t>
      </w:r>
      <w:r w:rsidR="00FF321C"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attributes are a good indicator of individual road </w:t>
      </w:r>
      <w:r w:rsidR="00F07776" w:rsidRPr="00D51476">
        <w:rPr>
          <w:rFonts w:ascii="Arial" w:eastAsiaTheme="minorHAnsi" w:hAnsi="Arial" w:cs="Arial"/>
          <w:sz w:val="20"/>
          <w:szCs w:val="20"/>
        </w:rPr>
        <w:t>feature</w:t>
      </w:r>
      <w:r w:rsidR="00F07776">
        <w:rPr>
          <w:rFonts w:ascii="Arial" w:eastAsiaTheme="minorHAnsi" w:hAnsi="Arial" w:cs="Arial"/>
          <w:sz w:val="20"/>
          <w:szCs w:val="20"/>
        </w:rPr>
        <w:t>s</w:t>
      </w:r>
      <w:r w:rsidRPr="00D51476">
        <w:rPr>
          <w:rFonts w:ascii="Arial" w:eastAsiaTheme="minorHAnsi" w:hAnsi="Arial" w:cs="Arial"/>
          <w:sz w:val="20"/>
          <w:szCs w:val="20"/>
        </w:rPr>
        <w:t>, including them in a pricing mechanism would be very difficult with marginal</w:t>
      </w:r>
      <w:r w:rsidR="00FF321C">
        <w:rPr>
          <w:rFonts w:ascii="Arial" w:eastAsiaTheme="minorHAnsi" w:hAnsi="Arial" w:cs="Arial"/>
          <w:sz w:val="20"/>
          <w:szCs w:val="20"/>
        </w:rPr>
        <w:t xml:space="preserve"> </w:t>
      </w:r>
      <w:r w:rsidR="00811550">
        <w:rPr>
          <w:rFonts w:ascii="Arial" w:eastAsiaTheme="minorHAnsi" w:hAnsi="Arial" w:cs="Arial"/>
          <w:sz w:val="20"/>
          <w:szCs w:val="20"/>
        </w:rPr>
        <w:t>(if any)</w:t>
      </w:r>
      <w:r w:rsidRPr="00D51476">
        <w:rPr>
          <w:rFonts w:ascii="Arial" w:eastAsiaTheme="minorHAnsi" w:hAnsi="Arial" w:cs="Arial"/>
          <w:sz w:val="20"/>
          <w:szCs w:val="20"/>
        </w:rPr>
        <w:t xml:space="preserve"> benefit for road agencies or operators. </w:t>
      </w:r>
    </w:p>
    <w:p w:rsidR="00F814F3" w:rsidRPr="00D51476" w:rsidRDefault="00F814F3" w:rsidP="00A214C0">
      <w:pPr>
        <w:rPr>
          <w:rFonts w:ascii="Arial" w:eastAsiaTheme="minorHAnsi" w:hAnsi="Arial" w:cs="Arial"/>
          <w:sz w:val="20"/>
          <w:szCs w:val="20"/>
        </w:rPr>
      </w:pPr>
    </w:p>
    <w:p w:rsidR="00A4450F" w:rsidRDefault="00F814F3" w:rsidP="00A214C0">
      <w:pPr>
        <w:rPr>
          <w:rFonts w:ascii="Arial" w:eastAsiaTheme="minorHAnsi" w:hAnsi="Arial" w:cs="Arial"/>
          <w:sz w:val="20"/>
          <w:szCs w:val="20"/>
        </w:rPr>
      </w:pPr>
      <w:r w:rsidRPr="00D51476">
        <w:rPr>
          <w:rFonts w:ascii="Arial" w:eastAsiaTheme="minorHAnsi" w:hAnsi="Arial" w:cs="Arial"/>
          <w:sz w:val="20"/>
          <w:szCs w:val="20"/>
        </w:rPr>
        <w:t xml:space="preserve">An economic regulator may require more information </w:t>
      </w:r>
      <w:r w:rsidR="00FF321C">
        <w:rPr>
          <w:rFonts w:ascii="Arial" w:eastAsiaTheme="minorHAnsi" w:hAnsi="Arial" w:cs="Arial"/>
          <w:sz w:val="20"/>
          <w:szCs w:val="20"/>
        </w:rPr>
        <w:t>regarding</w:t>
      </w:r>
      <w:r w:rsidR="00FF321C"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road </w:t>
      </w:r>
      <w:r w:rsidR="00E10A28" w:rsidRPr="00D51476">
        <w:rPr>
          <w:rFonts w:ascii="Arial" w:eastAsiaTheme="minorHAnsi" w:hAnsi="Arial" w:cs="Arial"/>
          <w:sz w:val="20"/>
          <w:szCs w:val="20"/>
        </w:rPr>
        <w:t>attributes</w:t>
      </w:r>
      <w:r w:rsidR="00FF321C">
        <w:rPr>
          <w:rFonts w:ascii="Arial" w:eastAsiaTheme="minorHAnsi" w:hAnsi="Arial" w:cs="Arial"/>
          <w:sz w:val="20"/>
          <w:szCs w:val="20"/>
        </w:rPr>
        <w:t>,</w:t>
      </w:r>
      <w:r w:rsidRPr="00D51476">
        <w:rPr>
          <w:rFonts w:ascii="Arial" w:eastAsiaTheme="minorHAnsi" w:hAnsi="Arial" w:cs="Arial"/>
          <w:sz w:val="20"/>
          <w:szCs w:val="20"/>
        </w:rPr>
        <w:t xml:space="preserve"> however</w:t>
      </w:r>
      <w:r w:rsidR="00FF321C">
        <w:rPr>
          <w:rFonts w:ascii="Arial" w:eastAsiaTheme="minorHAnsi" w:hAnsi="Arial" w:cs="Arial"/>
          <w:sz w:val="20"/>
          <w:szCs w:val="20"/>
        </w:rPr>
        <w:t>,</w:t>
      </w:r>
      <w:r w:rsidRPr="00D51476">
        <w:rPr>
          <w:rFonts w:ascii="Arial" w:eastAsiaTheme="minorHAnsi" w:hAnsi="Arial" w:cs="Arial"/>
          <w:sz w:val="20"/>
          <w:szCs w:val="20"/>
        </w:rPr>
        <w:t xml:space="preserve"> from industry’s </w:t>
      </w:r>
      <w:r w:rsidR="00E10A28">
        <w:rPr>
          <w:rFonts w:ascii="Arial" w:eastAsiaTheme="minorHAnsi" w:hAnsi="Arial" w:cs="Arial"/>
          <w:sz w:val="20"/>
          <w:szCs w:val="20"/>
        </w:rPr>
        <w:t>perspective</w:t>
      </w:r>
      <w:r w:rsidR="00FF321C">
        <w:rPr>
          <w:rFonts w:ascii="Arial" w:eastAsiaTheme="minorHAnsi" w:hAnsi="Arial" w:cs="Arial"/>
          <w:sz w:val="20"/>
          <w:szCs w:val="20"/>
        </w:rPr>
        <w:t>,</w:t>
      </w:r>
      <w:r w:rsidRPr="00D51476">
        <w:rPr>
          <w:rFonts w:ascii="Arial" w:eastAsiaTheme="minorHAnsi" w:hAnsi="Arial" w:cs="Arial"/>
          <w:sz w:val="20"/>
          <w:szCs w:val="20"/>
        </w:rPr>
        <w:t xml:space="preserve"> the important parameters </w:t>
      </w:r>
      <w:r w:rsidR="00FF321C">
        <w:rPr>
          <w:rFonts w:ascii="Arial" w:eastAsiaTheme="minorHAnsi" w:hAnsi="Arial" w:cs="Arial"/>
          <w:sz w:val="20"/>
          <w:szCs w:val="20"/>
        </w:rPr>
        <w:t>focus</w:t>
      </w:r>
      <w:r w:rsidRPr="00D51476">
        <w:rPr>
          <w:rFonts w:ascii="Arial" w:eastAsiaTheme="minorHAnsi" w:hAnsi="Arial" w:cs="Arial"/>
          <w:sz w:val="20"/>
          <w:szCs w:val="20"/>
        </w:rPr>
        <w:t xml:space="preserve"> on access, maintenance condition and if the road is congested. </w:t>
      </w:r>
      <w:r w:rsidR="00FF321C">
        <w:rPr>
          <w:rFonts w:ascii="Arial" w:eastAsiaTheme="minorHAnsi" w:hAnsi="Arial" w:cs="Arial"/>
          <w:sz w:val="20"/>
          <w:szCs w:val="20"/>
        </w:rPr>
        <w:t>Perhaps</w:t>
      </w:r>
      <w:r w:rsidR="00FF321C"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in a more mature system </w:t>
      </w:r>
      <w:r w:rsidR="00E10A28">
        <w:rPr>
          <w:rFonts w:ascii="Arial" w:eastAsiaTheme="minorHAnsi" w:hAnsi="Arial" w:cs="Arial"/>
          <w:sz w:val="20"/>
          <w:szCs w:val="20"/>
        </w:rPr>
        <w:t xml:space="preserve">of road provision </w:t>
      </w:r>
      <w:r w:rsidR="00FF321C">
        <w:rPr>
          <w:rFonts w:ascii="Arial" w:eastAsiaTheme="minorHAnsi" w:hAnsi="Arial" w:cs="Arial"/>
          <w:sz w:val="20"/>
          <w:szCs w:val="20"/>
        </w:rPr>
        <w:t xml:space="preserve">these </w:t>
      </w:r>
      <w:r w:rsidRPr="00D51476">
        <w:rPr>
          <w:rFonts w:ascii="Arial" w:eastAsiaTheme="minorHAnsi" w:hAnsi="Arial" w:cs="Arial"/>
          <w:sz w:val="20"/>
          <w:szCs w:val="20"/>
        </w:rPr>
        <w:t>individual</w:t>
      </w:r>
      <w:r w:rsidR="00FF321C">
        <w:rPr>
          <w:rFonts w:ascii="Arial" w:eastAsiaTheme="minorHAnsi" w:hAnsi="Arial" w:cs="Arial"/>
          <w:sz w:val="20"/>
          <w:szCs w:val="20"/>
        </w:rPr>
        <w:t>ly</w:t>
      </w:r>
      <w:r w:rsidRPr="00D51476">
        <w:rPr>
          <w:rFonts w:ascii="Arial" w:eastAsiaTheme="minorHAnsi" w:hAnsi="Arial" w:cs="Arial"/>
          <w:sz w:val="20"/>
          <w:szCs w:val="20"/>
        </w:rPr>
        <w:t xml:space="preserve"> variable service level attributes could be adopted</w:t>
      </w:r>
      <w:r w:rsidR="00FF321C">
        <w:rPr>
          <w:rFonts w:ascii="Arial" w:eastAsiaTheme="minorHAnsi" w:hAnsi="Arial" w:cs="Arial"/>
          <w:sz w:val="20"/>
          <w:szCs w:val="20"/>
        </w:rPr>
        <w:t>,</w:t>
      </w:r>
      <w:r w:rsidRPr="00D51476">
        <w:rPr>
          <w:rFonts w:ascii="Arial" w:eastAsiaTheme="minorHAnsi" w:hAnsi="Arial" w:cs="Arial"/>
          <w:sz w:val="20"/>
          <w:szCs w:val="20"/>
        </w:rPr>
        <w:t xml:space="preserve"> but in the </w:t>
      </w:r>
      <w:r w:rsidR="00FF321C">
        <w:rPr>
          <w:rFonts w:ascii="Arial" w:eastAsiaTheme="minorHAnsi" w:hAnsi="Arial" w:cs="Arial"/>
          <w:sz w:val="20"/>
          <w:szCs w:val="20"/>
        </w:rPr>
        <w:t>present</w:t>
      </w:r>
      <w:r w:rsidR="00FF321C"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and foreseeable future </w:t>
      </w:r>
      <w:r w:rsidR="00811550">
        <w:rPr>
          <w:rFonts w:ascii="Arial" w:eastAsiaTheme="minorHAnsi" w:hAnsi="Arial" w:cs="Arial"/>
          <w:sz w:val="20"/>
          <w:szCs w:val="20"/>
        </w:rPr>
        <w:t xml:space="preserve">measuring </w:t>
      </w:r>
      <w:r w:rsidRPr="00D51476">
        <w:rPr>
          <w:rFonts w:ascii="Arial" w:eastAsiaTheme="minorHAnsi" w:hAnsi="Arial" w:cs="Arial"/>
          <w:sz w:val="20"/>
          <w:szCs w:val="20"/>
        </w:rPr>
        <w:t>access requirements</w:t>
      </w:r>
      <w:r w:rsidR="00811550">
        <w:rPr>
          <w:rFonts w:ascii="Arial" w:eastAsiaTheme="minorHAnsi" w:hAnsi="Arial" w:cs="Arial"/>
          <w:sz w:val="20"/>
          <w:szCs w:val="20"/>
        </w:rPr>
        <w:t xml:space="preserve"> (via PBS levels)</w:t>
      </w:r>
      <w:r w:rsidRPr="00D51476">
        <w:rPr>
          <w:rFonts w:ascii="Arial" w:eastAsiaTheme="minorHAnsi" w:hAnsi="Arial" w:cs="Arial"/>
          <w:sz w:val="20"/>
          <w:szCs w:val="20"/>
        </w:rPr>
        <w:t>, maintenance and congestion on a</w:t>
      </w:r>
      <w:r w:rsidR="00FF321C">
        <w:rPr>
          <w:rFonts w:ascii="Arial" w:eastAsiaTheme="minorHAnsi" w:hAnsi="Arial" w:cs="Arial"/>
          <w:sz w:val="20"/>
          <w:szCs w:val="20"/>
        </w:rPr>
        <w:t>n identified</w:t>
      </w:r>
      <w:r w:rsidRPr="00D51476">
        <w:rPr>
          <w:rFonts w:ascii="Arial" w:eastAsiaTheme="minorHAnsi" w:hAnsi="Arial" w:cs="Arial"/>
          <w:sz w:val="20"/>
          <w:szCs w:val="20"/>
        </w:rPr>
        <w:t xml:space="preserve"> road</w:t>
      </w:r>
      <w:r w:rsidR="0068089C">
        <w:rPr>
          <w:rFonts w:ascii="Arial" w:eastAsiaTheme="minorHAnsi" w:hAnsi="Arial" w:cs="Arial"/>
          <w:sz w:val="20"/>
          <w:szCs w:val="20"/>
        </w:rPr>
        <w:t xml:space="preserve"> </w:t>
      </w:r>
      <w:r w:rsidR="00811550">
        <w:rPr>
          <w:rFonts w:ascii="Arial" w:eastAsiaTheme="minorHAnsi" w:hAnsi="Arial" w:cs="Arial"/>
          <w:sz w:val="20"/>
          <w:szCs w:val="20"/>
        </w:rPr>
        <w:t>would be a significant step forward</w:t>
      </w:r>
      <w:r w:rsidRPr="00D51476">
        <w:rPr>
          <w:rFonts w:ascii="Arial" w:eastAsiaTheme="minorHAnsi" w:hAnsi="Arial" w:cs="Arial"/>
          <w:sz w:val="20"/>
          <w:szCs w:val="20"/>
        </w:rPr>
        <w:t xml:space="preserve">. </w:t>
      </w:r>
    </w:p>
    <w:p w:rsidR="008C5ED1" w:rsidRDefault="008C5ED1" w:rsidP="00A214C0">
      <w:pPr>
        <w:rPr>
          <w:rFonts w:ascii="Arial" w:eastAsiaTheme="minorHAnsi" w:hAnsi="Arial" w:cs="Arial"/>
          <w:sz w:val="20"/>
          <w:szCs w:val="20"/>
        </w:rPr>
      </w:pPr>
      <w:bookmarkStart w:id="58" w:name="_Toc361217266"/>
      <w:bookmarkStart w:id="59" w:name="_Toc361217634"/>
      <w:bookmarkStart w:id="60" w:name="_Toc361218161"/>
      <w:bookmarkStart w:id="61" w:name="_Toc361219515"/>
      <w:bookmarkStart w:id="62" w:name="_Toc361232794"/>
      <w:bookmarkStart w:id="63" w:name="_Toc361302819"/>
      <w:bookmarkStart w:id="64" w:name="_Toc361321178"/>
      <w:bookmarkStart w:id="65" w:name="_Toc361732962"/>
      <w:bookmarkStart w:id="66" w:name="_Toc361736669"/>
      <w:bookmarkStart w:id="67" w:name="_Toc361821316"/>
      <w:bookmarkStart w:id="68" w:name="_Toc361822846"/>
      <w:bookmarkEnd w:id="58"/>
      <w:bookmarkEnd w:id="59"/>
      <w:bookmarkEnd w:id="60"/>
      <w:bookmarkEnd w:id="61"/>
      <w:bookmarkEnd w:id="62"/>
      <w:bookmarkEnd w:id="63"/>
      <w:bookmarkEnd w:id="64"/>
      <w:bookmarkEnd w:id="65"/>
      <w:bookmarkEnd w:id="66"/>
      <w:bookmarkEnd w:id="67"/>
      <w:bookmarkEnd w:id="68"/>
    </w:p>
    <w:p w:rsidR="00617F3D" w:rsidRPr="00D51476" w:rsidRDefault="00617F3D" w:rsidP="00A214C0">
      <w:pPr>
        <w:rPr>
          <w:rFonts w:ascii="Arial" w:eastAsiaTheme="minorHAnsi" w:hAnsi="Arial" w:cs="Arial"/>
          <w:sz w:val="20"/>
          <w:szCs w:val="20"/>
        </w:rPr>
      </w:pPr>
    </w:p>
    <w:p w:rsidR="00274990" w:rsidRPr="00620293" w:rsidRDefault="00274990" w:rsidP="00793431">
      <w:pPr>
        <w:pStyle w:val="Heading1"/>
        <w:numPr>
          <w:ilvl w:val="1"/>
          <w:numId w:val="14"/>
        </w:numPr>
      </w:pPr>
      <w:bookmarkStart w:id="69" w:name="_Toc362528126"/>
      <w:r w:rsidRPr="00620293">
        <w:t>Implement benchmarking between agencies and within layers of government</w:t>
      </w:r>
      <w:bookmarkEnd w:id="69"/>
    </w:p>
    <w:p w:rsidR="00274990" w:rsidRPr="00D51476" w:rsidRDefault="00274990" w:rsidP="00A214C0">
      <w:pPr>
        <w:rPr>
          <w:rFonts w:ascii="Arial" w:eastAsiaTheme="minorHAnsi" w:hAnsi="Arial" w:cs="Arial"/>
          <w:sz w:val="20"/>
          <w:szCs w:val="20"/>
        </w:rPr>
      </w:pPr>
    </w:p>
    <w:p w:rsidR="00A214C0" w:rsidRPr="00D51476" w:rsidRDefault="00274990" w:rsidP="00A214C0">
      <w:pPr>
        <w:rPr>
          <w:rFonts w:ascii="Arial" w:eastAsiaTheme="minorHAnsi" w:hAnsi="Arial" w:cs="Arial"/>
          <w:sz w:val="20"/>
          <w:szCs w:val="20"/>
        </w:rPr>
      </w:pPr>
      <w:r w:rsidRPr="00D51476">
        <w:rPr>
          <w:rFonts w:ascii="Arial" w:eastAsiaTheme="minorHAnsi" w:hAnsi="Arial" w:cs="Arial"/>
          <w:sz w:val="20"/>
          <w:szCs w:val="20"/>
        </w:rPr>
        <w:t xml:space="preserve">Currently, information on the </w:t>
      </w:r>
      <w:r w:rsidR="00BA4B9A">
        <w:rPr>
          <w:rFonts w:ascii="Arial" w:eastAsiaTheme="minorHAnsi" w:hAnsi="Arial" w:cs="Arial"/>
          <w:sz w:val="20"/>
          <w:szCs w:val="20"/>
        </w:rPr>
        <w:t xml:space="preserve">competence of one road agency compared </w:t>
      </w:r>
      <w:r w:rsidR="00FF321C">
        <w:rPr>
          <w:rFonts w:ascii="Arial" w:eastAsiaTheme="minorHAnsi" w:hAnsi="Arial" w:cs="Arial"/>
          <w:sz w:val="20"/>
          <w:szCs w:val="20"/>
        </w:rPr>
        <w:t xml:space="preserve">with </w:t>
      </w:r>
      <w:r w:rsidR="00BA4B9A">
        <w:rPr>
          <w:rFonts w:ascii="Arial" w:eastAsiaTheme="minorHAnsi" w:hAnsi="Arial" w:cs="Arial"/>
          <w:sz w:val="20"/>
          <w:szCs w:val="20"/>
        </w:rPr>
        <w:t xml:space="preserve">another is limited. </w:t>
      </w:r>
      <w:r w:rsidRPr="00D51476">
        <w:rPr>
          <w:rFonts w:ascii="Arial" w:eastAsiaTheme="minorHAnsi" w:hAnsi="Arial" w:cs="Arial"/>
          <w:sz w:val="20"/>
          <w:szCs w:val="20"/>
        </w:rPr>
        <w:t>There is not an easily</w:t>
      </w:r>
      <w:r w:rsidR="00FF321C">
        <w:rPr>
          <w:rFonts w:ascii="Arial" w:eastAsiaTheme="minorHAnsi" w:hAnsi="Arial" w:cs="Arial"/>
          <w:sz w:val="20"/>
          <w:szCs w:val="20"/>
        </w:rPr>
        <w:t xml:space="preserve"> obtained and</w:t>
      </w:r>
      <w:r w:rsidRPr="00D51476">
        <w:rPr>
          <w:rFonts w:ascii="Arial" w:eastAsiaTheme="minorHAnsi" w:hAnsi="Arial" w:cs="Arial"/>
          <w:sz w:val="20"/>
          <w:szCs w:val="20"/>
        </w:rPr>
        <w:t xml:space="preserve"> reviewable source</w:t>
      </w:r>
      <w:r w:rsidR="00FF321C">
        <w:rPr>
          <w:rFonts w:ascii="Arial" w:eastAsiaTheme="minorHAnsi" w:hAnsi="Arial" w:cs="Arial"/>
          <w:sz w:val="20"/>
          <w:szCs w:val="20"/>
        </w:rPr>
        <w:t xml:space="preserve"> of data </w:t>
      </w:r>
      <w:r w:rsidRPr="00D51476">
        <w:rPr>
          <w:rFonts w:ascii="Arial" w:eastAsiaTheme="minorHAnsi" w:hAnsi="Arial" w:cs="Arial"/>
          <w:sz w:val="20"/>
          <w:szCs w:val="20"/>
        </w:rPr>
        <w:t xml:space="preserve">for industry </w:t>
      </w:r>
      <w:r w:rsidR="00FF321C">
        <w:rPr>
          <w:rFonts w:ascii="Arial" w:eastAsiaTheme="minorHAnsi" w:hAnsi="Arial" w:cs="Arial"/>
          <w:sz w:val="20"/>
          <w:szCs w:val="20"/>
        </w:rPr>
        <w:t xml:space="preserve">to use </w:t>
      </w:r>
      <w:r w:rsidRPr="00D51476">
        <w:rPr>
          <w:rFonts w:ascii="Arial" w:eastAsiaTheme="minorHAnsi" w:hAnsi="Arial" w:cs="Arial"/>
          <w:sz w:val="20"/>
          <w:szCs w:val="20"/>
        </w:rPr>
        <w:t>to review the efficiency of</w:t>
      </w:r>
      <w:r w:rsidR="00BA4B9A">
        <w:rPr>
          <w:rFonts w:ascii="Arial" w:eastAsiaTheme="minorHAnsi" w:hAnsi="Arial" w:cs="Arial"/>
          <w:sz w:val="20"/>
          <w:szCs w:val="20"/>
        </w:rPr>
        <w:t xml:space="preserve"> heavy vehicle</w:t>
      </w:r>
      <w:r w:rsidR="00FF321C">
        <w:rPr>
          <w:rFonts w:ascii="Arial" w:eastAsiaTheme="minorHAnsi" w:hAnsi="Arial" w:cs="Arial"/>
          <w:sz w:val="20"/>
          <w:szCs w:val="20"/>
        </w:rPr>
        <w:t>-</w:t>
      </w:r>
      <w:r w:rsidR="00BA4B9A">
        <w:rPr>
          <w:rFonts w:ascii="Arial" w:eastAsiaTheme="minorHAnsi" w:hAnsi="Arial" w:cs="Arial"/>
          <w:sz w:val="20"/>
          <w:szCs w:val="20"/>
        </w:rPr>
        <w:t>specific expenditure</w:t>
      </w:r>
      <w:r w:rsidRPr="00D51476">
        <w:rPr>
          <w:rFonts w:ascii="Arial" w:eastAsiaTheme="minorHAnsi" w:hAnsi="Arial" w:cs="Arial"/>
          <w:sz w:val="20"/>
          <w:szCs w:val="20"/>
        </w:rPr>
        <w:t xml:space="preserve">. </w:t>
      </w:r>
    </w:p>
    <w:p w:rsidR="00274990" w:rsidRPr="00D51476" w:rsidRDefault="00274990" w:rsidP="00A214C0">
      <w:pPr>
        <w:rPr>
          <w:rFonts w:ascii="Arial" w:eastAsiaTheme="minorHAnsi" w:hAnsi="Arial" w:cs="Arial"/>
          <w:sz w:val="20"/>
          <w:szCs w:val="20"/>
        </w:rPr>
      </w:pPr>
    </w:p>
    <w:p w:rsidR="00274990" w:rsidRPr="00D51476" w:rsidRDefault="00274990" w:rsidP="00274990">
      <w:pPr>
        <w:rPr>
          <w:rFonts w:ascii="Arial" w:eastAsiaTheme="minorHAnsi" w:hAnsi="Arial" w:cs="Arial"/>
          <w:bCs/>
          <w:sz w:val="20"/>
          <w:szCs w:val="20"/>
        </w:rPr>
      </w:pPr>
      <w:r w:rsidRPr="00D51476">
        <w:rPr>
          <w:rFonts w:ascii="Arial" w:eastAsiaTheme="minorHAnsi" w:hAnsi="Arial" w:cs="Arial"/>
          <w:sz w:val="20"/>
          <w:szCs w:val="20"/>
        </w:rPr>
        <w:t xml:space="preserve">PwC recommended that </w:t>
      </w:r>
      <w:r w:rsidR="00FF321C">
        <w:rPr>
          <w:rFonts w:ascii="Arial" w:eastAsiaTheme="minorHAnsi" w:hAnsi="Arial" w:cs="Arial"/>
          <w:bCs/>
          <w:sz w:val="20"/>
          <w:szCs w:val="20"/>
        </w:rPr>
        <w:t>s</w:t>
      </w:r>
      <w:r w:rsidR="00FF321C" w:rsidRPr="00D51476">
        <w:rPr>
          <w:rFonts w:ascii="Arial" w:eastAsiaTheme="minorHAnsi" w:hAnsi="Arial" w:cs="Arial"/>
          <w:bCs/>
          <w:sz w:val="20"/>
          <w:szCs w:val="20"/>
        </w:rPr>
        <w:t>tate</w:t>
      </w:r>
      <w:r w:rsidRPr="00D51476">
        <w:rPr>
          <w:rFonts w:ascii="Arial" w:eastAsiaTheme="minorHAnsi" w:hAnsi="Arial" w:cs="Arial"/>
          <w:bCs/>
          <w:sz w:val="20"/>
          <w:szCs w:val="20"/>
        </w:rPr>
        <w:t xml:space="preserve">, territory and local government road owners should report investment and maintenance </w:t>
      </w:r>
      <w:r w:rsidR="00FF321C">
        <w:rPr>
          <w:rFonts w:ascii="Arial" w:eastAsiaTheme="minorHAnsi" w:hAnsi="Arial" w:cs="Arial"/>
          <w:bCs/>
          <w:sz w:val="20"/>
          <w:szCs w:val="20"/>
        </w:rPr>
        <w:t xml:space="preserve">activity </w:t>
      </w:r>
      <w:r w:rsidRPr="00D51476">
        <w:rPr>
          <w:rFonts w:ascii="Arial" w:eastAsiaTheme="minorHAnsi" w:hAnsi="Arial" w:cs="Arial"/>
          <w:bCs/>
          <w:sz w:val="20"/>
          <w:szCs w:val="20"/>
        </w:rPr>
        <w:t xml:space="preserve">on each tier of the network. </w:t>
      </w:r>
      <w:r w:rsidR="00FF321C" w:rsidRPr="00D51476">
        <w:rPr>
          <w:rFonts w:ascii="Arial" w:eastAsiaTheme="minorHAnsi" w:hAnsi="Arial" w:cs="Arial"/>
          <w:bCs/>
          <w:sz w:val="20"/>
          <w:szCs w:val="20"/>
        </w:rPr>
        <w:t>Th</w:t>
      </w:r>
      <w:r w:rsidR="00FF321C">
        <w:rPr>
          <w:rFonts w:ascii="Arial" w:eastAsiaTheme="minorHAnsi" w:hAnsi="Arial" w:cs="Arial"/>
          <w:bCs/>
          <w:sz w:val="20"/>
          <w:szCs w:val="20"/>
        </w:rPr>
        <w:t>is</w:t>
      </w:r>
      <w:r w:rsidR="00FF321C" w:rsidRPr="00D51476">
        <w:rPr>
          <w:rFonts w:ascii="Arial" w:eastAsiaTheme="minorHAnsi" w:hAnsi="Arial" w:cs="Arial"/>
          <w:bCs/>
          <w:sz w:val="20"/>
          <w:szCs w:val="20"/>
        </w:rPr>
        <w:t xml:space="preserve"> </w:t>
      </w:r>
      <w:r w:rsidRPr="00D51476">
        <w:rPr>
          <w:rFonts w:ascii="Arial" w:eastAsiaTheme="minorHAnsi" w:hAnsi="Arial" w:cs="Arial"/>
          <w:bCs/>
          <w:sz w:val="20"/>
          <w:szCs w:val="20"/>
        </w:rPr>
        <w:t xml:space="preserve">information should </w:t>
      </w:r>
      <w:r w:rsidR="00FF321C">
        <w:rPr>
          <w:rFonts w:ascii="Arial" w:eastAsiaTheme="minorHAnsi" w:hAnsi="Arial" w:cs="Arial"/>
          <w:bCs/>
          <w:sz w:val="20"/>
          <w:szCs w:val="20"/>
        </w:rPr>
        <w:t xml:space="preserve">then </w:t>
      </w:r>
      <w:r w:rsidRPr="00D51476">
        <w:rPr>
          <w:rFonts w:ascii="Arial" w:eastAsiaTheme="minorHAnsi" w:hAnsi="Arial" w:cs="Arial"/>
          <w:bCs/>
          <w:sz w:val="20"/>
          <w:szCs w:val="20"/>
        </w:rPr>
        <w:t xml:space="preserve">be compared with cost benchmarks and </w:t>
      </w:r>
      <w:r w:rsidR="00FF321C">
        <w:rPr>
          <w:rFonts w:ascii="Arial" w:eastAsiaTheme="minorHAnsi" w:hAnsi="Arial" w:cs="Arial"/>
          <w:bCs/>
          <w:sz w:val="20"/>
          <w:szCs w:val="20"/>
        </w:rPr>
        <w:t xml:space="preserve">the </w:t>
      </w:r>
      <w:r w:rsidRPr="00D51476">
        <w:rPr>
          <w:rFonts w:ascii="Arial" w:eastAsiaTheme="minorHAnsi" w:hAnsi="Arial" w:cs="Arial"/>
          <w:bCs/>
          <w:sz w:val="20"/>
          <w:szCs w:val="20"/>
        </w:rPr>
        <w:t xml:space="preserve">levels of access achieved, relative to </w:t>
      </w:r>
      <w:r w:rsidR="00FF321C">
        <w:rPr>
          <w:rFonts w:ascii="Arial" w:eastAsiaTheme="minorHAnsi" w:hAnsi="Arial" w:cs="Arial"/>
          <w:bCs/>
          <w:sz w:val="20"/>
          <w:szCs w:val="20"/>
        </w:rPr>
        <w:t xml:space="preserve">agreed </w:t>
      </w:r>
      <w:r w:rsidRPr="00D51476">
        <w:rPr>
          <w:rFonts w:ascii="Arial" w:eastAsiaTheme="minorHAnsi" w:hAnsi="Arial" w:cs="Arial"/>
          <w:bCs/>
          <w:sz w:val="20"/>
          <w:szCs w:val="20"/>
        </w:rPr>
        <w:t>targets</w:t>
      </w:r>
      <w:r w:rsidR="00FF321C">
        <w:rPr>
          <w:rFonts w:ascii="Arial" w:eastAsiaTheme="minorHAnsi" w:hAnsi="Arial" w:cs="Arial"/>
          <w:bCs/>
          <w:sz w:val="20"/>
          <w:szCs w:val="20"/>
        </w:rPr>
        <w:t xml:space="preserve"> or benchmarks</w:t>
      </w:r>
      <w:r w:rsidRPr="00D51476">
        <w:rPr>
          <w:rFonts w:ascii="Arial" w:eastAsiaTheme="minorHAnsi" w:hAnsi="Arial" w:cs="Arial"/>
          <w:bCs/>
          <w:sz w:val="20"/>
          <w:szCs w:val="20"/>
        </w:rPr>
        <w:t xml:space="preserve"> for increased transparency and accountability. </w:t>
      </w:r>
    </w:p>
    <w:p w:rsidR="00A214C0" w:rsidRPr="00D51476" w:rsidRDefault="00A214C0">
      <w:pPr>
        <w:rPr>
          <w:rFonts w:ascii="Arial" w:eastAsiaTheme="minorHAnsi" w:hAnsi="Arial" w:cs="Arial"/>
          <w:sz w:val="20"/>
          <w:szCs w:val="20"/>
        </w:rPr>
      </w:pPr>
    </w:p>
    <w:p w:rsidR="00B2502C" w:rsidRPr="00D51476" w:rsidRDefault="00274990" w:rsidP="00B2502C">
      <w:pPr>
        <w:rPr>
          <w:rFonts w:ascii="Arial" w:eastAsiaTheme="minorHAnsi" w:hAnsi="Arial" w:cs="Arial"/>
          <w:sz w:val="20"/>
          <w:szCs w:val="20"/>
        </w:rPr>
      </w:pPr>
      <w:r w:rsidRPr="00D51476">
        <w:rPr>
          <w:rFonts w:ascii="Arial" w:eastAsiaTheme="minorHAnsi" w:hAnsi="Arial" w:cs="Arial"/>
          <w:sz w:val="20"/>
          <w:szCs w:val="20"/>
        </w:rPr>
        <w:t xml:space="preserve">Associated levels of access arising from investment should also be transparently </w:t>
      </w:r>
      <w:r w:rsidR="00FF321C">
        <w:rPr>
          <w:rFonts w:ascii="Arial" w:eastAsiaTheme="minorHAnsi" w:hAnsi="Arial" w:cs="Arial"/>
          <w:sz w:val="20"/>
          <w:szCs w:val="20"/>
        </w:rPr>
        <w:t>reported</w:t>
      </w:r>
      <w:r w:rsidRPr="00D51476">
        <w:rPr>
          <w:rFonts w:ascii="Arial" w:eastAsiaTheme="minorHAnsi" w:hAnsi="Arial" w:cs="Arial"/>
          <w:sz w:val="20"/>
          <w:szCs w:val="20"/>
        </w:rPr>
        <w:t xml:space="preserve">. </w:t>
      </w:r>
      <w:r w:rsidR="00B2502C" w:rsidRPr="00D51476">
        <w:rPr>
          <w:rFonts w:ascii="Arial" w:eastAsiaTheme="minorHAnsi" w:hAnsi="Arial" w:cs="Arial"/>
          <w:sz w:val="20"/>
          <w:szCs w:val="20"/>
        </w:rPr>
        <w:t xml:space="preserve">This will also give confidence to industry and the wider community that heavy vehicle-related expenditure is spent effectively and produces </w:t>
      </w:r>
      <w:r w:rsidR="00FF321C">
        <w:rPr>
          <w:rFonts w:ascii="Arial" w:eastAsiaTheme="minorHAnsi" w:hAnsi="Arial" w:cs="Arial"/>
          <w:sz w:val="20"/>
          <w:szCs w:val="20"/>
        </w:rPr>
        <w:t xml:space="preserve">the </w:t>
      </w:r>
      <w:r w:rsidR="00B2502C" w:rsidRPr="00D51476">
        <w:rPr>
          <w:rFonts w:ascii="Arial" w:eastAsiaTheme="minorHAnsi" w:hAnsi="Arial" w:cs="Arial"/>
          <w:sz w:val="20"/>
          <w:szCs w:val="20"/>
        </w:rPr>
        <w:t xml:space="preserve">expected access. </w:t>
      </w:r>
    </w:p>
    <w:p w:rsidR="007D330A" w:rsidRPr="00D51476" w:rsidRDefault="007D330A" w:rsidP="00B2502C">
      <w:pPr>
        <w:rPr>
          <w:rFonts w:ascii="Arial" w:eastAsiaTheme="minorHAnsi" w:hAnsi="Arial" w:cs="Arial"/>
          <w:sz w:val="20"/>
          <w:szCs w:val="20"/>
        </w:rPr>
      </w:pPr>
    </w:p>
    <w:p w:rsidR="007D330A" w:rsidRPr="00D51476" w:rsidRDefault="007D330A" w:rsidP="007D330A">
      <w:pPr>
        <w:rPr>
          <w:rFonts w:ascii="Arial" w:eastAsiaTheme="minorHAnsi" w:hAnsi="Arial" w:cs="Arial"/>
          <w:sz w:val="20"/>
          <w:szCs w:val="20"/>
        </w:rPr>
      </w:pPr>
      <w:r w:rsidRPr="00D51476">
        <w:rPr>
          <w:rFonts w:ascii="Arial" w:eastAsiaTheme="minorHAnsi" w:hAnsi="Arial" w:cs="Arial"/>
          <w:sz w:val="20"/>
          <w:szCs w:val="20"/>
        </w:rPr>
        <w:t>In the longer term</w:t>
      </w:r>
      <w:r w:rsidR="004F6EB7">
        <w:rPr>
          <w:rFonts w:ascii="Arial" w:eastAsiaTheme="minorHAnsi" w:hAnsi="Arial" w:cs="Arial"/>
          <w:sz w:val="20"/>
          <w:szCs w:val="20"/>
        </w:rPr>
        <w:t>,</w:t>
      </w:r>
      <w:r w:rsidRPr="00D51476">
        <w:rPr>
          <w:rFonts w:ascii="Arial" w:eastAsiaTheme="minorHAnsi" w:hAnsi="Arial" w:cs="Arial"/>
          <w:sz w:val="20"/>
          <w:szCs w:val="20"/>
        </w:rPr>
        <w:t xml:space="preserve"> once basic benchmarking is established</w:t>
      </w:r>
      <w:r w:rsidR="004F6EB7">
        <w:rPr>
          <w:rFonts w:ascii="Arial" w:eastAsiaTheme="minorHAnsi" w:hAnsi="Arial" w:cs="Arial"/>
          <w:sz w:val="20"/>
          <w:szCs w:val="20"/>
        </w:rPr>
        <w:t>,</w:t>
      </w:r>
      <w:r w:rsidRPr="00D51476">
        <w:rPr>
          <w:rFonts w:ascii="Arial" w:eastAsiaTheme="minorHAnsi" w:hAnsi="Arial" w:cs="Arial"/>
          <w:sz w:val="20"/>
          <w:szCs w:val="20"/>
        </w:rPr>
        <w:t xml:space="preserve"> independent benchmarking of efficient road investment and maintenance costs should be tied to funding allocations for road agencies. Such a move would support efficiency incentives and appropriate pricing.</w:t>
      </w:r>
    </w:p>
    <w:p w:rsidR="007D330A" w:rsidRPr="00D51476" w:rsidRDefault="007D330A" w:rsidP="007D330A">
      <w:pPr>
        <w:rPr>
          <w:rFonts w:ascii="Arial" w:eastAsiaTheme="minorHAnsi" w:hAnsi="Arial" w:cs="Arial"/>
          <w:sz w:val="20"/>
          <w:szCs w:val="20"/>
        </w:rPr>
      </w:pPr>
    </w:p>
    <w:p w:rsidR="00A214C0" w:rsidRPr="00D51476" w:rsidRDefault="007D330A" w:rsidP="00E732C1">
      <w:pPr>
        <w:rPr>
          <w:rFonts w:ascii="Arial" w:eastAsiaTheme="minorHAnsi" w:hAnsi="Arial" w:cs="Arial"/>
          <w:sz w:val="20"/>
          <w:szCs w:val="20"/>
        </w:rPr>
      </w:pPr>
      <w:r w:rsidRPr="008C5ED1">
        <w:rPr>
          <w:rFonts w:ascii="Arial" w:eastAsiaTheme="minorHAnsi" w:hAnsi="Arial" w:cs="Arial"/>
          <w:sz w:val="20"/>
          <w:szCs w:val="20"/>
        </w:rPr>
        <w:t xml:space="preserve">Incentives to outperform </w:t>
      </w:r>
      <w:r w:rsidR="004F6EB7" w:rsidRPr="008C5ED1">
        <w:rPr>
          <w:rFonts w:ascii="Arial" w:eastAsiaTheme="minorHAnsi" w:hAnsi="Arial" w:cs="Arial"/>
          <w:sz w:val="20"/>
          <w:szCs w:val="20"/>
        </w:rPr>
        <w:t>guidelines</w:t>
      </w:r>
      <w:r w:rsidRPr="008C5ED1">
        <w:rPr>
          <w:rFonts w:ascii="Arial" w:eastAsiaTheme="minorHAnsi" w:hAnsi="Arial" w:cs="Arial"/>
          <w:sz w:val="20"/>
          <w:szCs w:val="20"/>
        </w:rPr>
        <w:t xml:space="preserve"> should be provided, for instance, by allowing a road supplier to retain unspent funds to invest in other </w:t>
      </w:r>
      <w:r w:rsidR="006534CA">
        <w:rPr>
          <w:rFonts w:ascii="Arial" w:eastAsiaTheme="minorHAnsi" w:hAnsi="Arial" w:cs="Arial"/>
          <w:sz w:val="20"/>
          <w:szCs w:val="20"/>
        </w:rPr>
        <w:t xml:space="preserve">relevant </w:t>
      </w:r>
      <w:r w:rsidRPr="008C5ED1">
        <w:rPr>
          <w:rFonts w:ascii="Arial" w:eastAsiaTheme="minorHAnsi" w:hAnsi="Arial" w:cs="Arial"/>
          <w:sz w:val="20"/>
          <w:szCs w:val="20"/>
        </w:rPr>
        <w:t xml:space="preserve">priorities. </w:t>
      </w:r>
      <w:r w:rsidR="009B7056" w:rsidRPr="008C5ED1">
        <w:rPr>
          <w:rFonts w:ascii="Arial" w:eastAsiaTheme="minorHAnsi" w:hAnsi="Arial" w:cs="Arial"/>
          <w:sz w:val="20"/>
          <w:szCs w:val="20"/>
        </w:rPr>
        <w:t xml:space="preserve">However, safeguards </w:t>
      </w:r>
      <w:r w:rsidR="006534CA">
        <w:rPr>
          <w:rFonts w:ascii="Arial" w:eastAsiaTheme="minorHAnsi" w:hAnsi="Arial" w:cs="Arial"/>
          <w:sz w:val="20"/>
          <w:szCs w:val="20"/>
        </w:rPr>
        <w:t>are</w:t>
      </w:r>
      <w:r w:rsidR="009B7056" w:rsidRPr="008C5ED1">
        <w:rPr>
          <w:rFonts w:ascii="Arial" w:eastAsiaTheme="minorHAnsi" w:hAnsi="Arial" w:cs="Arial"/>
          <w:sz w:val="20"/>
          <w:szCs w:val="20"/>
        </w:rPr>
        <w:t xml:space="preserve"> required to ensure quality </w:t>
      </w:r>
      <w:r w:rsidR="006534CA">
        <w:rPr>
          <w:rFonts w:ascii="Arial" w:eastAsiaTheme="minorHAnsi" w:hAnsi="Arial" w:cs="Arial"/>
          <w:sz w:val="20"/>
          <w:szCs w:val="20"/>
        </w:rPr>
        <w:t xml:space="preserve">of supply </w:t>
      </w:r>
      <w:r w:rsidR="009B7056" w:rsidRPr="008C5ED1">
        <w:rPr>
          <w:rFonts w:ascii="Arial" w:eastAsiaTheme="minorHAnsi" w:hAnsi="Arial" w:cs="Arial"/>
          <w:sz w:val="20"/>
          <w:szCs w:val="20"/>
        </w:rPr>
        <w:t xml:space="preserve">and to avoid inflated </w:t>
      </w:r>
      <w:r w:rsidR="006534CA">
        <w:rPr>
          <w:rFonts w:ascii="Arial" w:eastAsiaTheme="minorHAnsi" w:hAnsi="Arial" w:cs="Arial"/>
          <w:sz w:val="20"/>
          <w:szCs w:val="20"/>
        </w:rPr>
        <w:t xml:space="preserve">project </w:t>
      </w:r>
      <w:r w:rsidR="009B7056" w:rsidRPr="008C5ED1">
        <w:rPr>
          <w:rFonts w:ascii="Arial" w:eastAsiaTheme="minorHAnsi" w:hAnsi="Arial" w:cs="Arial"/>
          <w:sz w:val="20"/>
          <w:szCs w:val="20"/>
        </w:rPr>
        <w:t>estimates.</w:t>
      </w:r>
    </w:p>
    <w:p w:rsidR="00793431" w:rsidRDefault="00793431" w:rsidP="00B2502C">
      <w:pPr>
        <w:rPr>
          <w:rFonts w:ascii="Arial" w:eastAsiaTheme="minorHAnsi" w:hAnsi="Arial" w:cs="Arial"/>
          <w:sz w:val="20"/>
          <w:szCs w:val="20"/>
        </w:rPr>
      </w:pPr>
    </w:p>
    <w:p w:rsidR="0068089C" w:rsidRDefault="00B2502C" w:rsidP="00B2502C">
      <w:pPr>
        <w:rPr>
          <w:rFonts w:ascii="Arial" w:hAnsi="Arial" w:cs="Arial"/>
          <w:sz w:val="20"/>
          <w:szCs w:val="20"/>
        </w:rPr>
      </w:pPr>
      <w:r w:rsidRPr="00D51476">
        <w:rPr>
          <w:rFonts w:ascii="Arial" w:eastAsiaTheme="minorHAnsi" w:hAnsi="Arial" w:cs="Arial"/>
          <w:sz w:val="20"/>
          <w:szCs w:val="20"/>
        </w:rPr>
        <w:t>While it is easier to assess the benefits and costs of a project with a forward</w:t>
      </w:r>
      <w:r w:rsidR="006534CA">
        <w:rPr>
          <w:rFonts w:ascii="Arial" w:eastAsiaTheme="minorHAnsi" w:hAnsi="Arial" w:cs="Arial"/>
          <w:sz w:val="20"/>
          <w:szCs w:val="20"/>
        </w:rPr>
        <w:t>-</w:t>
      </w:r>
      <w:r w:rsidRPr="00D51476">
        <w:rPr>
          <w:rFonts w:ascii="Arial" w:eastAsiaTheme="minorHAnsi" w:hAnsi="Arial" w:cs="Arial"/>
          <w:sz w:val="20"/>
          <w:szCs w:val="20"/>
        </w:rPr>
        <w:t>looking costs base, the current N</w:t>
      </w:r>
      <w:r w:rsidR="00114389">
        <w:rPr>
          <w:rFonts w:ascii="Arial" w:eastAsiaTheme="minorHAnsi" w:hAnsi="Arial" w:cs="Arial"/>
          <w:sz w:val="20"/>
          <w:szCs w:val="20"/>
        </w:rPr>
        <w:t xml:space="preserve">ational </w:t>
      </w:r>
      <w:r w:rsidR="00114389" w:rsidRPr="00D51476">
        <w:rPr>
          <w:rFonts w:ascii="Arial" w:eastAsiaTheme="minorHAnsi" w:hAnsi="Arial" w:cs="Arial"/>
          <w:sz w:val="20"/>
          <w:szCs w:val="20"/>
        </w:rPr>
        <w:t>T</w:t>
      </w:r>
      <w:r w:rsidR="00114389">
        <w:rPr>
          <w:rFonts w:ascii="Arial" w:eastAsiaTheme="minorHAnsi" w:hAnsi="Arial" w:cs="Arial"/>
          <w:sz w:val="20"/>
          <w:szCs w:val="20"/>
        </w:rPr>
        <w:t xml:space="preserve">ransport </w:t>
      </w:r>
      <w:r w:rsidR="00114389" w:rsidRPr="00D51476">
        <w:rPr>
          <w:rFonts w:ascii="Arial" w:eastAsiaTheme="minorHAnsi" w:hAnsi="Arial" w:cs="Arial"/>
          <w:sz w:val="20"/>
          <w:szCs w:val="20"/>
        </w:rPr>
        <w:t>C</w:t>
      </w:r>
      <w:r w:rsidR="00114389">
        <w:rPr>
          <w:rFonts w:ascii="Arial" w:eastAsiaTheme="minorHAnsi" w:hAnsi="Arial" w:cs="Arial"/>
          <w:sz w:val="20"/>
          <w:szCs w:val="20"/>
        </w:rPr>
        <w:t>ommission (NTC)</w:t>
      </w:r>
      <w:r w:rsidRPr="00D51476">
        <w:rPr>
          <w:rFonts w:ascii="Arial" w:eastAsiaTheme="minorHAnsi" w:hAnsi="Arial" w:cs="Arial"/>
          <w:sz w:val="20"/>
          <w:szCs w:val="20"/>
        </w:rPr>
        <w:t xml:space="preserve"> heavy vehicle charges determination has highlighted that road agencies </w:t>
      </w:r>
      <w:r w:rsidRPr="00D51476">
        <w:rPr>
          <w:rFonts w:ascii="Arial" w:hAnsi="Arial" w:cs="Arial"/>
          <w:sz w:val="20"/>
          <w:szCs w:val="20"/>
        </w:rPr>
        <w:t xml:space="preserve">cannot split maintenance and capital costs in project costs. States have failed to comply with a </w:t>
      </w:r>
      <w:r w:rsidR="006534CA">
        <w:rPr>
          <w:rFonts w:ascii="Arial" w:hAnsi="Arial" w:cs="Arial"/>
          <w:sz w:val="20"/>
          <w:szCs w:val="20"/>
        </w:rPr>
        <w:t>twenty</w:t>
      </w:r>
      <w:r w:rsidR="006534CA" w:rsidRPr="00D51476">
        <w:rPr>
          <w:rFonts w:ascii="Arial" w:hAnsi="Arial" w:cs="Arial"/>
          <w:sz w:val="20"/>
          <w:szCs w:val="20"/>
        </w:rPr>
        <w:t xml:space="preserve"> </w:t>
      </w:r>
      <w:r w:rsidRPr="00D51476">
        <w:rPr>
          <w:rFonts w:ascii="Arial" w:hAnsi="Arial" w:cs="Arial"/>
          <w:sz w:val="20"/>
          <w:szCs w:val="20"/>
        </w:rPr>
        <w:t xml:space="preserve">year old expenditure reporting system. </w:t>
      </w:r>
      <w:r w:rsidR="009B7056">
        <w:rPr>
          <w:rFonts w:ascii="Arial" w:hAnsi="Arial" w:cs="Arial"/>
          <w:sz w:val="20"/>
          <w:szCs w:val="20"/>
        </w:rPr>
        <w:t xml:space="preserve"> A forward</w:t>
      </w:r>
      <w:r w:rsidR="006534CA">
        <w:rPr>
          <w:rFonts w:ascii="Arial" w:hAnsi="Arial" w:cs="Arial"/>
          <w:sz w:val="20"/>
          <w:szCs w:val="20"/>
        </w:rPr>
        <w:t>-</w:t>
      </w:r>
      <w:r w:rsidR="009B7056">
        <w:rPr>
          <w:rFonts w:ascii="Arial" w:hAnsi="Arial" w:cs="Arial"/>
          <w:sz w:val="20"/>
          <w:szCs w:val="20"/>
        </w:rPr>
        <w:t xml:space="preserve">looking cost base requires new approaches by road agencies </w:t>
      </w:r>
      <w:r w:rsidR="006534CA">
        <w:rPr>
          <w:rFonts w:ascii="Arial" w:hAnsi="Arial" w:cs="Arial"/>
          <w:sz w:val="20"/>
          <w:szCs w:val="20"/>
        </w:rPr>
        <w:t xml:space="preserve">as well as </w:t>
      </w:r>
      <w:r w:rsidR="009B7056">
        <w:rPr>
          <w:rFonts w:ascii="Arial" w:hAnsi="Arial" w:cs="Arial"/>
          <w:sz w:val="20"/>
          <w:szCs w:val="20"/>
        </w:rPr>
        <w:t>transparent and agreed methodologies that industry considers fair, best practice and robust.</w:t>
      </w:r>
      <w:r w:rsidR="004F6EB7">
        <w:rPr>
          <w:rFonts w:ascii="Arial" w:hAnsi="Arial" w:cs="Arial"/>
          <w:sz w:val="20"/>
          <w:szCs w:val="20"/>
        </w:rPr>
        <w:t xml:space="preserve"> The </w:t>
      </w:r>
      <w:r w:rsidR="006534CA">
        <w:rPr>
          <w:rFonts w:ascii="Arial" w:hAnsi="Arial" w:cs="Arial"/>
          <w:sz w:val="20"/>
          <w:szCs w:val="20"/>
        </w:rPr>
        <w:t xml:space="preserve">2013 </w:t>
      </w:r>
      <w:r w:rsidR="004F6EB7">
        <w:rPr>
          <w:rFonts w:ascii="Arial" w:hAnsi="Arial" w:cs="Arial"/>
          <w:sz w:val="20"/>
          <w:szCs w:val="20"/>
        </w:rPr>
        <w:t>Car</w:t>
      </w:r>
      <w:r w:rsidR="006534CA">
        <w:rPr>
          <w:rFonts w:ascii="Arial" w:hAnsi="Arial" w:cs="Arial"/>
          <w:sz w:val="20"/>
          <w:szCs w:val="20"/>
        </w:rPr>
        <w:t>a</w:t>
      </w:r>
      <w:r w:rsidR="004F6EB7">
        <w:rPr>
          <w:rFonts w:ascii="Arial" w:hAnsi="Arial" w:cs="Arial"/>
          <w:sz w:val="20"/>
          <w:szCs w:val="20"/>
        </w:rPr>
        <w:t>vel</w:t>
      </w:r>
      <w:r w:rsidR="006534CA">
        <w:rPr>
          <w:rStyle w:val="FootnoteReference"/>
          <w:rFonts w:ascii="Arial" w:hAnsi="Arial"/>
          <w:sz w:val="20"/>
          <w:szCs w:val="20"/>
        </w:rPr>
        <w:footnoteReference w:id="4"/>
      </w:r>
      <w:r w:rsidR="004F6EB7">
        <w:rPr>
          <w:rFonts w:ascii="Arial" w:hAnsi="Arial" w:cs="Arial"/>
          <w:sz w:val="20"/>
          <w:szCs w:val="20"/>
        </w:rPr>
        <w:t xml:space="preserve"> report to </w:t>
      </w:r>
      <w:r w:rsidR="001F3751">
        <w:rPr>
          <w:rFonts w:ascii="Arial" w:hAnsi="Arial" w:cs="Arial"/>
          <w:sz w:val="20"/>
          <w:szCs w:val="20"/>
        </w:rPr>
        <w:t>IA</w:t>
      </w:r>
      <w:r w:rsidR="0068089C">
        <w:rPr>
          <w:rFonts w:ascii="Arial" w:hAnsi="Arial" w:cs="Arial"/>
          <w:sz w:val="20"/>
          <w:szCs w:val="20"/>
        </w:rPr>
        <w:t xml:space="preserve"> </w:t>
      </w:r>
      <w:r w:rsidR="00220079">
        <w:rPr>
          <w:rFonts w:ascii="Arial" w:hAnsi="Arial" w:cs="Arial"/>
          <w:sz w:val="20"/>
          <w:szCs w:val="20"/>
        </w:rPr>
        <w:t xml:space="preserve">further </w:t>
      </w:r>
      <w:r w:rsidR="0068089C">
        <w:rPr>
          <w:rFonts w:ascii="Arial" w:hAnsi="Arial" w:cs="Arial"/>
          <w:sz w:val="20"/>
          <w:szCs w:val="20"/>
        </w:rPr>
        <w:t>highlights the need for benchmarking</w:t>
      </w:r>
      <w:r w:rsidR="004F6EB7">
        <w:rPr>
          <w:rFonts w:ascii="Arial" w:hAnsi="Arial" w:cs="Arial"/>
          <w:sz w:val="20"/>
          <w:szCs w:val="20"/>
        </w:rPr>
        <w:t xml:space="preserve"> and governance reform. </w:t>
      </w:r>
    </w:p>
    <w:p w:rsidR="0068089C" w:rsidRDefault="0068089C" w:rsidP="00B2502C">
      <w:pPr>
        <w:rPr>
          <w:rFonts w:ascii="Arial" w:hAnsi="Arial" w:cs="Arial"/>
          <w:sz w:val="20"/>
          <w:szCs w:val="20"/>
        </w:rPr>
      </w:pPr>
    </w:p>
    <w:p w:rsidR="00B2502C" w:rsidRDefault="00220079" w:rsidP="00B2502C">
      <w:pPr>
        <w:rPr>
          <w:rFonts w:ascii="Arial" w:hAnsi="Arial" w:cs="Arial"/>
          <w:sz w:val="20"/>
          <w:szCs w:val="20"/>
        </w:rPr>
      </w:pPr>
      <w:r w:rsidRPr="00D51476">
        <w:rPr>
          <w:rFonts w:ascii="Arial" w:hAnsi="Arial" w:cs="Arial"/>
          <w:sz w:val="20"/>
          <w:szCs w:val="20"/>
        </w:rPr>
        <w:t>Th</w:t>
      </w:r>
      <w:r>
        <w:rPr>
          <w:rFonts w:ascii="Arial" w:hAnsi="Arial" w:cs="Arial"/>
          <w:sz w:val="20"/>
          <w:szCs w:val="20"/>
        </w:rPr>
        <w:t>e current</w:t>
      </w:r>
      <w:r w:rsidRPr="00D51476">
        <w:rPr>
          <w:rFonts w:ascii="Arial" w:hAnsi="Arial" w:cs="Arial"/>
          <w:sz w:val="20"/>
          <w:szCs w:val="20"/>
        </w:rPr>
        <w:t xml:space="preserve"> </w:t>
      </w:r>
      <w:r>
        <w:rPr>
          <w:rFonts w:ascii="Arial" w:hAnsi="Arial" w:cs="Arial"/>
          <w:sz w:val="20"/>
          <w:szCs w:val="20"/>
        </w:rPr>
        <w:t xml:space="preserve">standard </w:t>
      </w:r>
      <w:r w:rsidR="0068089C">
        <w:rPr>
          <w:rFonts w:ascii="Arial" w:hAnsi="Arial" w:cs="Arial"/>
          <w:sz w:val="20"/>
          <w:szCs w:val="20"/>
        </w:rPr>
        <w:t xml:space="preserve">of </w:t>
      </w:r>
      <w:r>
        <w:rPr>
          <w:rFonts w:ascii="Arial" w:hAnsi="Arial" w:cs="Arial"/>
          <w:sz w:val="20"/>
          <w:szCs w:val="20"/>
        </w:rPr>
        <w:t xml:space="preserve">public </w:t>
      </w:r>
      <w:r w:rsidR="00B2502C" w:rsidRPr="00D51476">
        <w:rPr>
          <w:rFonts w:ascii="Arial" w:hAnsi="Arial" w:cs="Arial"/>
          <w:sz w:val="20"/>
          <w:szCs w:val="20"/>
        </w:rPr>
        <w:t>reporting</w:t>
      </w:r>
      <w:r>
        <w:rPr>
          <w:rFonts w:ascii="Arial" w:hAnsi="Arial" w:cs="Arial"/>
          <w:sz w:val="20"/>
          <w:szCs w:val="20"/>
        </w:rPr>
        <w:t>;</w:t>
      </w:r>
      <w:r w:rsidR="00B2502C" w:rsidRPr="00D51476">
        <w:rPr>
          <w:rFonts w:ascii="Arial" w:hAnsi="Arial" w:cs="Arial"/>
          <w:sz w:val="20"/>
          <w:szCs w:val="20"/>
        </w:rPr>
        <w:t xml:space="preserve"> </w:t>
      </w:r>
      <w:r>
        <w:rPr>
          <w:rFonts w:ascii="Arial" w:hAnsi="Arial" w:cs="Arial"/>
          <w:sz w:val="20"/>
          <w:szCs w:val="20"/>
        </w:rPr>
        <w:t xml:space="preserve">project </w:t>
      </w:r>
      <w:r w:rsidR="004F6EB7">
        <w:rPr>
          <w:rFonts w:ascii="Arial" w:hAnsi="Arial" w:cs="Arial"/>
          <w:sz w:val="20"/>
          <w:szCs w:val="20"/>
        </w:rPr>
        <w:t>governance</w:t>
      </w:r>
      <w:r w:rsidR="0068089C">
        <w:rPr>
          <w:rFonts w:ascii="Arial" w:hAnsi="Arial" w:cs="Arial"/>
          <w:sz w:val="20"/>
          <w:szCs w:val="20"/>
        </w:rPr>
        <w:t xml:space="preserve"> </w:t>
      </w:r>
      <w:r>
        <w:rPr>
          <w:rFonts w:ascii="Arial" w:hAnsi="Arial" w:cs="Arial"/>
          <w:sz w:val="20"/>
          <w:szCs w:val="20"/>
        </w:rPr>
        <w:t xml:space="preserve">and oversight </w:t>
      </w:r>
      <w:r w:rsidR="00B2502C" w:rsidRPr="00D51476">
        <w:rPr>
          <w:rFonts w:ascii="Arial" w:hAnsi="Arial" w:cs="Arial"/>
          <w:sz w:val="20"/>
          <w:szCs w:val="20"/>
        </w:rPr>
        <w:t xml:space="preserve">needs to </w:t>
      </w:r>
      <w:r w:rsidR="0068089C">
        <w:rPr>
          <w:rFonts w:ascii="Arial" w:hAnsi="Arial" w:cs="Arial"/>
          <w:sz w:val="20"/>
          <w:szCs w:val="20"/>
        </w:rPr>
        <w:t xml:space="preserve">be improved </w:t>
      </w:r>
      <w:r w:rsidR="00B2502C" w:rsidRPr="00D51476">
        <w:rPr>
          <w:rFonts w:ascii="Arial" w:hAnsi="Arial" w:cs="Arial"/>
          <w:sz w:val="20"/>
          <w:szCs w:val="20"/>
        </w:rPr>
        <w:t>before any serious moves are made to a forward</w:t>
      </w:r>
      <w:r>
        <w:rPr>
          <w:rFonts w:ascii="Arial" w:hAnsi="Arial" w:cs="Arial"/>
          <w:sz w:val="20"/>
          <w:szCs w:val="20"/>
        </w:rPr>
        <w:t>-</w:t>
      </w:r>
      <w:r w:rsidR="00B2502C" w:rsidRPr="00D51476">
        <w:rPr>
          <w:rFonts w:ascii="Arial" w:hAnsi="Arial" w:cs="Arial"/>
          <w:sz w:val="20"/>
          <w:szCs w:val="20"/>
        </w:rPr>
        <w:t xml:space="preserve">looking cost base or </w:t>
      </w:r>
      <w:r w:rsidR="009B7056">
        <w:rPr>
          <w:rFonts w:ascii="Arial" w:hAnsi="Arial" w:cs="Arial"/>
          <w:sz w:val="20"/>
          <w:szCs w:val="20"/>
        </w:rPr>
        <w:t xml:space="preserve">fundamentally </w:t>
      </w:r>
      <w:r w:rsidR="00B2502C" w:rsidRPr="00D51476">
        <w:rPr>
          <w:rFonts w:ascii="Arial" w:hAnsi="Arial" w:cs="Arial"/>
          <w:sz w:val="20"/>
          <w:szCs w:val="20"/>
        </w:rPr>
        <w:t>changing road planning arrangements</w:t>
      </w:r>
    </w:p>
    <w:p w:rsidR="00617F3D" w:rsidRDefault="00617F3D" w:rsidP="00B2502C">
      <w:pPr>
        <w:rPr>
          <w:rFonts w:ascii="Arial" w:hAnsi="Arial" w:cs="Arial"/>
          <w:sz w:val="20"/>
          <w:szCs w:val="20"/>
        </w:rPr>
      </w:pPr>
    </w:p>
    <w:p w:rsidR="008C5ED1" w:rsidRPr="00D51476" w:rsidRDefault="008C5ED1" w:rsidP="00E732C1">
      <w:pPr>
        <w:rPr>
          <w:rFonts w:ascii="Arial" w:eastAsiaTheme="minorHAnsi" w:hAnsi="Arial" w:cs="Arial"/>
          <w:sz w:val="20"/>
          <w:szCs w:val="20"/>
        </w:rPr>
      </w:pPr>
      <w:bookmarkStart w:id="70" w:name="_Toc361217268"/>
      <w:bookmarkStart w:id="71" w:name="_Toc361217636"/>
      <w:bookmarkStart w:id="72" w:name="_Toc361218163"/>
      <w:bookmarkStart w:id="73" w:name="_Toc361219517"/>
      <w:bookmarkStart w:id="74" w:name="_Toc361232796"/>
      <w:bookmarkStart w:id="75" w:name="_Toc361302821"/>
      <w:bookmarkStart w:id="76" w:name="_Toc361321180"/>
      <w:bookmarkStart w:id="77" w:name="_Toc361732966"/>
      <w:bookmarkStart w:id="78" w:name="_Toc361736673"/>
      <w:bookmarkStart w:id="79" w:name="_Toc361821320"/>
      <w:bookmarkStart w:id="80" w:name="_Toc361822850"/>
      <w:bookmarkEnd w:id="70"/>
      <w:bookmarkEnd w:id="71"/>
      <w:bookmarkEnd w:id="72"/>
      <w:bookmarkEnd w:id="73"/>
      <w:bookmarkEnd w:id="74"/>
      <w:bookmarkEnd w:id="75"/>
      <w:bookmarkEnd w:id="76"/>
      <w:bookmarkEnd w:id="77"/>
      <w:bookmarkEnd w:id="78"/>
      <w:bookmarkEnd w:id="79"/>
      <w:bookmarkEnd w:id="80"/>
    </w:p>
    <w:p w:rsidR="00B64CD0" w:rsidRPr="00620293" w:rsidRDefault="000520AD" w:rsidP="00793431">
      <w:pPr>
        <w:pStyle w:val="Heading1"/>
        <w:numPr>
          <w:ilvl w:val="1"/>
          <w:numId w:val="14"/>
        </w:numPr>
        <w:rPr>
          <w:b w:val="0"/>
          <w:sz w:val="24"/>
          <w:szCs w:val="24"/>
        </w:rPr>
      </w:pPr>
      <w:bookmarkStart w:id="81" w:name="_Toc362528127"/>
      <w:r w:rsidRPr="00620293">
        <w:t>C</w:t>
      </w:r>
      <w:r w:rsidR="00103C9E" w:rsidRPr="00620293">
        <w:t>ontinuation of p</w:t>
      </w:r>
      <w:r w:rsidR="00B2502C" w:rsidRPr="00620293">
        <w:t>olitical oversight</w:t>
      </w:r>
      <w:bookmarkEnd w:id="81"/>
      <w:r w:rsidR="00B2502C" w:rsidRPr="00620293">
        <w:t xml:space="preserve"> </w:t>
      </w:r>
    </w:p>
    <w:p w:rsidR="00B2502C" w:rsidRPr="00D51476" w:rsidRDefault="00B2502C" w:rsidP="00E732C1">
      <w:pPr>
        <w:rPr>
          <w:rFonts w:ascii="Arial" w:eastAsiaTheme="minorHAnsi" w:hAnsi="Arial" w:cs="Arial"/>
          <w:sz w:val="20"/>
          <w:szCs w:val="20"/>
        </w:rPr>
      </w:pPr>
    </w:p>
    <w:p w:rsidR="004C7F70" w:rsidRPr="00D51476" w:rsidRDefault="000520AD" w:rsidP="00E732C1">
      <w:pPr>
        <w:rPr>
          <w:rFonts w:ascii="Arial" w:eastAsiaTheme="minorHAnsi" w:hAnsi="Arial" w:cs="Arial"/>
          <w:sz w:val="20"/>
          <w:szCs w:val="20"/>
        </w:rPr>
      </w:pPr>
      <w:r>
        <w:rPr>
          <w:rFonts w:ascii="Arial" w:eastAsiaTheme="minorHAnsi" w:hAnsi="Arial" w:cs="Arial"/>
          <w:sz w:val="20"/>
          <w:szCs w:val="20"/>
        </w:rPr>
        <w:t>Elected representatives often</w:t>
      </w:r>
      <w:r w:rsidR="00103C9E" w:rsidRPr="00D51476">
        <w:rPr>
          <w:rFonts w:ascii="Arial" w:eastAsiaTheme="minorHAnsi" w:hAnsi="Arial" w:cs="Arial"/>
          <w:sz w:val="20"/>
          <w:szCs w:val="20"/>
        </w:rPr>
        <w:t xml:space="preserve"> have visionary transport portfolios</w:t>
      </w:r>
      <w:r>
        <w:rPr>
          <w:rFonts w:ascii="Arial" w:eastAsiaTheme="minorHAnsi" w:hAnsi="Arial" w:cs="Arial"/>
          <w:sz w:val="20"/>
          <w:szCs w:val="20"/>
        </w:rPr>
        <w:t>. T</w:t>
      </w:r>
      <w:r w:rsidR="00103C9E" w:rsidRPr="00D51476">
        <w:rPr>
          <w:rFonts w:ascii="Arial" w:eastAsiaTheme="minorHAnsi" w:hAnsi="Arial" w:cs="Arial"/>
          <w:sz w:val="20"/>
          <w:szCs w:val="20"/>
        </w:rPr>
        <w:t>he portfolio of the current Federal Transport Minister</w:t>
      </w:r>
      <w:r>
        <w:rPr>
          <w:rFonts w:ascii="Arial" w:eastAsiaTheme="minorHAnsi" w:hAnsi="Arial" w:cs="Arial"/>
          <w:sz w:val="20"/>
          <w:szCs w:val="20"/>
        </w:rPr>
        <w:t xml:space="preserve">, which incorporates infrastructure </w:t>
      </w:r>
      <w:r w:rsidR="003613EE">
        <w:rPr>
          <w:rFonts w:ascii="Arial" w:eastAsiaTheme="minorHAnsi" w:hAnsi="Arial" w:cs="Arial"/>
          <w:sz w:val="20"/>
          <w:szCs w:val="20"/>
        </w:rPr>
        <w:t>policy,</w:t>
      </w:r>
      <w:r w:rsidR="003613EE" w:rsidRPr="00D51476">
        <w:rPr>
          <w:rFonts w:ascii="Arial" w:eastAsiaTheme="minorHAnsi" w:hAnsi="Arial" w:cs="Arial"/>
          <w:sz w:val="20"/>
          <w:szCs w:val="20"/>
        </w:rPr>
        <w:t xml:space="preserve"> shows</w:t>
      </w:r>
      <w:r w:rsidR="00103C9E" w:rsidRPr="00D51476">
        <w:rPr>
          <w:rFonts w:ascii="Arial" w:eastAsiaTheme="minorHAnsi" w:hAnsi="Arial" w:cs="Arial"/>
          <w:sz w:val="20"/>
          <w:szCs w:val="20"/>
        </w:rPr>
        <w:t xml:space="preserve"> that </w:t>
      </w:r>
      <w:r>
        <w:rPr>
          <w:rFonts w:ascii="Arial" w:eastAsiaTheme="minorHAnsi" w:hAnsi="Arial" w:cs="Arial"/>
          <w:sz w:val="20"/>
          <w:szCs w:val="20"/>
        </w:rPr>
        <w:t>some</w:t>
      </w:r>
      <w:r w:rsidRPr="00D51476">
        <w:rPr>
          <w:rFonts w:ascii="Arial" w:eastAsiaTheme="minorHAnsi" w:hAnsi="Arial" w:cs="Arial"/>
          <w:sz w:val="20"/>
          <w:szCs w:val="20"/>
        </w:rPr>
        <w:t xml:space="preserve"> </w:t>
      </w:r>
      <w:r w:rsidR="00103C9E" w:rsidRPr="00D51476">
        <w:rPr>
          <w:rFonts w:ascii="Arial" w:eastAsiaTheme="minorHAnsi" w:hAnsi="Arial" w:cs="Arial"/>
          <w:sz w:val="20"/>
          <w:szCs w:val="20"/>
        </w:rPr>
        <w:t xml:space="preserve">want to </w:t>
      </w:r>
      <w:r>
        <w:rPr>
          <w:rFonts w:ascii="Arial" w:eastAsiaTheme="minorHAnsi" w:hAnsi="Arial" w:cs="Arial"/>
          <w:sz w:val="20"/>
          <w:szCs w:val="20"/>
        </w:rPr>
        <w:t>encourage</w:t>
      </w:r>
      <w:r w:rsidRPr="00D51476">
        <w:rPr>
          <w:rFonts w:ascii="Arial" w:eastAsiaTheme="minorHAnsi" w:hAnsi="Arial" w:cs="Arial"/>
          <w:sz w:val="20"/>
          <w:szCs w:val="20"/>
        </w:rPr>
        <w:t xml:space="preserve"> </w:t>
      </w:r>
      <w:r w:rsidR="00103C9E" w:rsidRPr="00D51476">
        <w:rPr>
          <w:rFonts w:ascii="Arial" w:eastAsiaTheme="minorHAnsi" w:hAnsi="Arial" w:cs="Arial"/>
          <w:sz w:val="20"/>
          <w:szCs w:val="20"/>
        </w:rPr>
        <w:t xml:space="preserve">productivity and growth in the transport </w:t>
      </w:r>
      <w:r>
        <w:rPr>
          <w:rFonts w:ascii="Arial" w:eastAsiaTheme="minorHAnsi" w:hAnsi="Arial" w:cs="Arial"/>
          <w:sz w:val="20"/>
          <w:szCs w:val="20"/>
        </w:rPr>
        <w:t>sector</w:t>
      </w:r>
      <w:r w:rsidR="00103C9E" w:rsidRPr="00D51476">
        <w:rPr>
          <w:rFonts w:ascii="Arial" w:eastAsiaTheme="minorHAnsi" w:hAnsi="Arial" w:cs="Arial"/>
          <w:sz w:val="20"/>
          <w:szCs w:val="20"/>
        </w:rPr>
        <w:t xml:space="preserve">. The issue industry comes up against is Ministers are sometimes poorly advised by </w:t>
      </w:r>
      <w:r>
        <w:rPr>
          <w:rFonts w:ascii="Arial" w:eastAsiaTheme="minorHAnsi" w:hAnsi="Arial" w:cs="Arial"/>
          <w:sz w:val="20"/>
          <w:szCs w:val="20"/>
        </w:rPr>
        <w:t xml:space="preserve">their </w:t>
      </w:r>
      <w:r w:rsidR="00103C9E" w:rsidRPr="00D51476">
        <w:rPr>
          <w:rFonts w:ascii="Arial" w:eastAsiaTheme="minorHAnsi" w:hAnsi="Arial" w:cs="Arial"/>
          <w:sz w:val="20"/>
          <w:szCs w:val="20"/>
        </w:rPr>
        <w:t xml:space="preserve">bureaucrats and </w:t>
      </w:r>
      <w:r>
        <w:rPr>
          <w:rFonts w:ascii="Arial" w:eastAsiaTheme="minorHAnsi" w:hAnsi="Arial" w:cs="Arial"/>
          <w:sz w:val="20"/>
          <w:szCs w:val="20"/>
        </w:rPr>
        <w:t>their</w:t>
      </w:r>
      <w:r w:rsidRPr="00D51476">
        <w:rPr>
          <w:rFonts w:ascii="Arial" w:eastAsiaTheme="minorHAnsi" w:hAnsi="Arial" w:cs="Arial"/>
          <w:sz w:val="20"/>
          <w:szCs w:val="20"/>
        </w:rPr>
        <w:t xml:space="preserve"> </w:t>
      </w:r>
      <w:r>
        <w:rPr>
          <w:rFonts w:ascii="Arial" w:eastAsiaTheme="minorHAnsi" w:hAnsi="Arial" w:cs="Arial"/>
          <w:sz w:val="20"/>
          <w:szCs w:val="20"/>
        </w:rPr>
        <w:t>decisions or policies</w:t>
      </w:r>
      <w:r w:rsidRPr="00D51476">
        <w:rPr>
          <w:rFonts w:ascii="Arial" w:eastAsiaTheme="minorHAnsi" w:hAnsi="Arial" w:cs="Arial"/>
          <w:sz w:val="20"/>
          <w:szCs w:val="20"/>
        </w:rPr>
        <w:t xml:space="preserve"> </w:t>
      </w:r>
      <w:r w:rsidR="00103C9E" w:rsidRPr="00D51476">
        <w:rPr>
          <w:rFonts w:ascii="Arial" w:eastAsiaTheme="minorHAnsi" w:hAnsi="Arial" w:cs="Arial"/>
          <w:sz w:val="20"/>
          <w:szCs w:val="20"/>
        </w:rPr>
        <w:t xml:space="preserve">are not </w:t>
      </w:r>
      <w:r>
        <w:rPr>
          <w:rFonts w:ascii="Arial" w:eastAsiaTheme="minorHAnsi" w:hAnsi="Arial" w:cs="Arial"/>
          <w:sz w:val="20"/>
          <w:szCs w:val="20"/>
        </w:rPr>
        <w:t xml:space="preserve">appropriately </w:t>
      </w:r>
      <w:r w:rsidR="00103C9E" w:rsidRPr="00D51476">
        <w:rPr>
          <w:rFonts w:ascii="Arial" w:eastAsiaTheme="minorHAnsi" w:hAnsi="Arial" w:cs="Arial"/>
          <w:sz w:val="20"/>
          <w:szCs w:val="20"/>
        </w:rPr>
        <w:t xml:space="preserve">carried out. </w:t>
      </w:r>
      <w:r w:rsidR="009B7056">
        <w:rPr>
          <w:rFonts w:ascii="Arial" w:eastAsiaTheme="minorHAnsi" w:hAnsi="Arial" w:cs="Arial"/>
          <w:sz w:val="20"/>
          <w:szCs w:val="20"/>
        </w:rPr>
        <w:t xml:space="preserve">Ministers are accountable to the </w:t>
      </w:r>
      <w:r>
        <w:rPr>
          <w:rFonts w:ascii="Arial" w:eastAsiaTheme="minorHAnsi" w:hAnsi="Arial" w:cs="Arial"/>
          <w:sz w:val="20"/>
          <w:szCs w:val="20"/>
        </w:rPr>
        <w:t xml:space="preserve">public </w:t>
      </w:r>
      <w:r w:rsidR="009B7056">
        <w:rPr>
          <w:rFonts w:ascii="Arial" w:eastAsiaTheme="minorHAnsi" w:hAnsi="Arial" w:cs="Arial"/>
          <w:sz w:val="20"/>
          <w:szCs w:val="20"/>
        </w:rPr>
        <w:t xml:space="preserve">and have </w:t>
      </w:r>
      <w:r>
        <w:rPr>
          <w:rFonts w:ascii="Arial" w:eastAsiaTheme="minorHAnsi" w:hAnsi="Arial" w:cs="Arial"/>
          <w:sz w:val="20"/>
          <w:szCs w:val="20"/>
        </w:rPr>
        <w:t xml:space="preserve">incentive </w:t>
      </w:r>
      <w:r w:rsidR="009B7056">
        <w:rPr>
          <w:rFonts w:ascii="Arial" w:eastAsiaTheme="minorHAnsi" w:hAnsi="Arial" w:cs="Arial"/>
          <w:sz w:val="20"/>
          <w:szCs w:val="20"/>
        </w:rPr>
        <w:t xml:space="preserve">to deliver change in response to community input. They are </w:t>
      </w:r>
      <w:r>
        <w:rPr>
          <w:rFonts w:ascii="Arial" w:eastAsiaTheme="minorHAnsi" w:hAnsi="Arial" w:cs="Arial"/>
          <w:sz w:val="20"/>
          <w:szCs w:val="20"/>
        </w:rPr>
        <w:t xml:space="preserve">also </w:t>
      </w:r>
      <w:r w:rsidR="009B7056">
        <w:rPr>
          <w:rFonts w:ascii="Arial" w:eastAsiaTheme="minorHAnsi" w:hAnsi="Arial" w:cs="Arial"/>
          <w:sz w:val="20"/>
          <w:szCs w:val="20"/>
        </w:rPr>
        <w:t xml:space="preserve">entitled to support </w:t>
      </w:r>
      <w:r>
        <w:rPr>
          <w:rFonts w:ascii="Arial" w:eastAsiaTheme="minorHAnsi" w:hAnsi="Arial" w:cs="Arial"/>
          <w:sz w:val="20"/>
          <w:szCs w:val="20"/>
        </w:rPr>
        <w:t xml:space="preserve">the necessary </w:t>
      </w:r>
      <w:r w:rsidR="009B7056">
        <w:rPr>
          <w:rFonts w:ascii="Arial" w:eastAsiaTheme="minorHAnsi" w:hAnsi="Arial" w:cs="Arial"/>
          <w:sz w:val="20"/>
          <w:szCs w:val="20"/>
        </w:rPr>
        <w:t xml:space="preserve">processes and </w:t>
      </w:r>
      <w:r>
        <w:rPr>
          <w:rFonts w:ascii="Arial" w:eastAsiaTheme="minorHAnsi" w:hAnsi="Arial" w:cs="Arial"/>
          <w:sz w:val="20"/>
          <w:szCs w:val="20"/>
        </w:rPr>
        <w:t>reporting</w:t>
      </w:r>
      <w:r w:rsidR="009B7056">
        <w:rPr>
          <w:rFonts w:ascii="Arial" w:eastAsiaTheme="minorHAnsi" w:hAnsi="Arial" w:cs="Arial"/>
          <w:sz w:val="20"/>
          <w:szCs w:val="20"/>
        </w:rPr>
        <w:t xml:space="preserve"> that allows them to make informed decisions.</w:t>
      </w:r>
    </w:p>
    <w:p w:rsidR="00103C9E" w:rsidRPr="00D51476" w:rsidRDefault="00103C9E" w:rsidP="00E732C1">
      <w:pPr>
        <w:rPr>
          <w:rFonts w:ascii="Arial" w:eastAsiaTheme="minorHAnsi" w:hAnsi="Arial" w:cs="Arial"/>
          <w:sz w:val="20"/>
          <w:szCs w:val="20"/>
        </w:rPr>
      </w:pPr>
    </w:p>
    <w:p w:rsidR="006F07EE" w:rsidRDefault="00103C9E" w:rsidP="00E732C1">
      <w:pPr>
        <w:rPr>
          <w:rFonts w:ascii="Arial" w:eastAsiaTheme="minorHAnsi" w:hAnsi="Arial" w:cs="Arial"/>
          <w:sz w:val="20"/>
          <w:szCs w:val="20"/>
        </w:rPr>
      </w:pPr>
      <w:r w:rsidRPr="00D51476">
        <w:rPr>
          <w:rFonts w:ascii="Arial" w:eastAsiaTheme="minorHAnsi" w:hAnsi="Arial" w:cs="Arial"/>
          <w:sz w:val="20"/>
          <w:szCs w:val="20"/>
        </w:rPr>
        <w:t>Ministerial oversight is not</w:t>
      </w:r>
      <w:r w:rsidR="000520AD">
        <w:rPr>
          <w:rFonts w:ascii="Arial" w:eastAsiaTheme="minorHAnsi" w:hAnsi="Arial" w:cs="Arial"/>
          <w:sz w:val="20"/>
          <w:szCs w:val="20"/>
        </w:rPr>
        <w:t xml:space="preserve"> t</w:t>
      </w:r>
      <w:r w:rsidR="000520AD" w:rsidRPr="00D51476">
        <w:rPr>
          <w:rFonts w:ascii="Arial" w:eastAsiaTheme="minorHAnsi" w:hAnsi="Arial" w:cs="Arial"/>
          <w:sz w:val="20"/>
          <w:szCs w:val="20"/>
        </w:rPr>
        <w:t xml:space="preserve">herefore </w:t>
      </w:r>
      <w:r w:rsidRPr="00D51476">
        <w:rPr>
          <w:rFonts w:ascii="Arial" w:eastAsiaTheme="minorHAnsi" w:hAnsi="Arial" w:cs="Arial"/>
          <w:sz w:val="20"/>
          <w:szCs w:val="20"/>
        </w:rPr>
        <w:t xml:space="preserve">a power that needs to be rolled back; </w:t>
      </w:r>
      <w:r w:rsidR="000520AD">
        <w:rPr>
          <w:rFonts w:ascii="Arial" w:eastAsiaTheme="minorHAnsi" w:hAnsi="Arial" w:cs="Arial"/>
          <w:sz w:val="20"/>
          <w:szCs w:val="20"/>
        </w:rPr>
        <w:t xml:space="preserve">instead both </w:t>
      </w:r>
      <w:r w:rsidRPr="00D51476">
        <w:rPr>
          <w:rFonts w:ascii="Arial" w:eastAsiaTheme="minorHAnsi" w:hAnsi="Arial" w:cs="Arial"/>
          <w:sz w:val="20"/>
          <w:szCs w:val="20"/>
        </w:rPr>
        <w:t xml:space="preserve">bureaucrats and </w:t>
      </w:r>
      <w:r w:rsidR="000520AD">
        <w:rPr>
          <w:rFonts w:ascii="Arial" w:eastAsiaTheme="minorHAnsi" w:hAnsi="Arial" w:cs="Arial"/>
          <w:sz w:val="20"/>
          <w:szCs w:val="20"/>
        </w:rPr>
        <w:t xml:space="preserve">party </w:t>
      </w:r>
      <w:r w:rsidRPr="00D51476">
        <w:rPr>
          <w:rFonts w:ascii="Arial" w:eastAsiaTheme="minorHAnsi" w:hAnsi="Arial" w:cs="Arial"/>
          <w:sz w:val="20"/>
          <w:szCs w:val="20"/>
        </w:rPr>
        <w:t xml:space="preserve">advisors need to be accountable for their </w:t>
      </w:r>
      <w:r w:rsidR="000520AD">
        <w:rPr>
          <w:rFonts w:ascii="Arial" w:eastAsiaTheme="minorHAnsi" w:hAnsi="Arial" w:cs="Arial"/>
          <w:sz w:val="20"/>
          <w:szCs w:val="20"/>
        </w:rPr>
        <w:t>input and actions. T</w:t>
      </w:r>
      <w:r w:rsidRPr="00D51476">
        <w:rPr>
          <w:rFonts w:ascii="Arial" w:eastAsiaTheme="minorHAnsi" w:hAnsi="Arial" w:cs="Arial"/>
          <w:sz w:val="20"/>
          <w:szCs w:val="20"/>
        </w:rPr>
        <w:t>he ATA would hope a</w:t>
      </w:r>
      <w:r w:rsidR="009B7056">
        <w:rPr>
          <w:rFonts w:ascii="Arial" w:eastAsiaTheme="minorHAnsi" w:hAnsi="Arial" w:cs="Arial"/>
          <w:sz w:val="20"/>
          <w:szCs w:val="20"/>
        </w:rPr>
        <w:t>ny</w:t>
      </w:r>
      <w:r w:rsidRPr="00D51476">
        <w:rPr>
          <w:rFonts w:ascii="Arial" w:eastAsiaTheme="minorHAnsi" w:hAnsi="Arial" w:cs="Arial"/>
          <w:sz w:val="20"/>
          <w:szCs w:val="20"/>
        </w:rPr>
        <w:t xml:space="preserve"> proposed economic regulator would promote best practice in road provision and provide incentives and discipline </w:t>
      </w:r>
      <w:r w:rsidR="000520AD">
        <w:rPr>
          <w:rFonts w:ascii="Arial" w:eastAsiaTheme="minorHAnsi" w:hAnsi="Arial" w:cs="Arial"/>
          <w:sz w:val="20"/>
          <w:szCs w:val="20"/>
        </w:rPr>
        <w:t>to</w:t>
      </w:r>
      <w:r w:rsidR="000520AD" w:rsidRPr="00D51476">
        <w:rPr>
          <w:rFonts w:ascii="Arial" w:eastAsiaTheme="minorHAnsi" w:hAnsi="Arial" w:cs="Arial"/>
          <w:sz w:val="20"/>
          <w:szCs w:val="20"/>
        </w:rPr>
        <w:t xml:space="preserve"> </w:t>
      </w:r>
      <w:r w:rsidR="009B7056">
        <w:rPr>
          <w:rFonts w:ascii="Arial" w:eastAsiaTheme="minorHAnsi" w:hAnsi="Arial" w:cs="Arial"/>
          <w:sz w:val="20"/>
          <w:szCs w:val="20"/>
        </w:rPr>
        <w:t xml:space="preserve">agencies delivering </w:t>
      </w:r>
      <w:r w:rsidR="000520AD">
        <w:rPr>
          <w:rFonts w:ascii="Arial" w:eastAsiaTheme="minorHAnsi" w:hAnsi="Arial" w:cs="Arial"/>
          <w:sz w:val="20"/>
          <w:szCs w:val="20"/>
        </w:rPr>
        <w:t>inappropriate</w:t>
      </w:r>
      <w:r w:rsidR="000520AD"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outcomes </w:t>
      </w:r>
      <w:r w:rsidR="000520AD">
        <w:rPr>
          <w:rFonts w:ascii="Arial" w:eastAsiaTheme="minorHAnsi" w:hAnsi="Arial" w:cs="Arial"/>
          <w:sz w:val="20"/>
          <w:szCs w:val="20"/>
        </w:rPr>
        <w:t>to</w:t>
      </w:r>
      <w:r w:rsidR="000520AD"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industry. </w:t>
      </w:r>
    </w:p>
    <w:p w:rsidR="008C5ED1" w:rsidRDefault="008C5ED1" w:rsidP="00793431">
      <w:pPr>
        <w:pStyle w:val="Heading1"/>
        <w:numPr>
          <w:ilvl w:val="0"/>
          <w:numId w:val="0"/>
        </w:numPr>
        <w:ind w:left="1080"/>
      </w:pPr>
      <w:bookmarkStart w:id="82" w:name="_Toc361217272"/>
      <w:bookmarkStart w:id="83" w:name="_Toc361217640"/>
      <w:bookmarkStart w:id="84" w:name="_Toc361218167"/>
      <w:bookmarkStart w:id="85" w:name="_Toc361219521"/>
      <w:bookmarkStart w:id="86" w:name="_Toc361232800"/>
      <w:bookmarkStart w:id="87" w:name="_Toc361302825"/>
      <w:bookmarkStart w:id="88" w:name="_Toc361321184"/>
      <w:bookmarkStart w:id="89" w:name="_Toc361732972"/>
      <w:bookmarkStart w:id="90" w:name="_Toc361736679"/>
      <w:bookmarkStart w:id="91" w:name="_Toc361821326"/>
      <w:bookmarkStart w:id="92" w:name="_Toc361822856"/>
      <w:bookmarkStart w:id="93" w:name="_Toc361827091"/>
      <w:bookmarkEnd w:id="82"/>
      <w:bookmarkEnd w:id="83"/>
      <w:bookmarkEnd w:id="84"/>
      <w:bookmarkEnd w:id="85"/>
      <w:bookmarkEnd w:id="86"/>
      <w:bookmarkEnd w:id="87"/>
      <w:bookmarkEnd w:id="88"/>
      <w:bookmarkEnd w:id="89"/>
      <w:bookmarkEnd w:id="90"/>
      <w:bookmarkEnd w:id="91"/>
      <w:bookmarkEnd w:id="92"/>
      <w:bookmarkEnd w:id="93"/>
    </w:p>
    <w:p w:rsidR="00617F3D" w:rsidRPr="00617F3D" w:rsidRDefault="00617F3D" w:rsidP="00617F3D"/>
    <w:p w:rsidR="00103C9E" w:rsidRPr="00620293" w:rsidRDefault="006A66AF" w:rsidP="00793431">
      <w:pPr>
        <w:pStyle w:val="Heading1"/>
        <w:numPr>
          <w:ilvl w:val="1"/>
          <w:numId w:val="14"/>
        </w:numPr>
      </w:pPr>
      <w:bookmarkStart w:id="94" w:name="_Toc362528128"/>
      <w:r w:rsidRPr="00620293">
        <w:t>Integrated</w:t>
      </w:r>
      <w:r w:rsidR="00103C9E" w:rsidRPr="00620293">
        <w:t xml:space="preserve"> freight </w:t>
      </w:r>
      <w:r w:rsidRPr="00620293">
        <w:t>planning</w:t>
      </w:r>
      <w:bookmarkEnd w:id="94"/>
    </w:p>
    <w:p w:rsidR="00103C9E" w:rsidRPr="00D51476" w:rsidRDefault="00103C9E" w:rsidP="00E732C1">
      <w:pPr>
        <w:rPr>
          <w:rFonts w:ascii="Arial" w:eastAsiaTheme="minorHAnsi" w:hAnsi="Arial" w:cs="Arial"/>
          <w:sz w:val="20"/>
          <w:szCs w:val="20"/>
        </w:rPr>
      </w:pPr>
    </w:p>
    <w:p w:rsidR="00103C9E" w:rsidRPr="00D51476" w:rsidRDefault="00103C9E" w:rsidP="00E732C1">
      <w:pPr>
        <w:rPr>
          <w:rFonts w:ascii="Arial" w:eastAsiaTheme="minorHAnsi" w:hAnsi="Arial" w:cs="Arial"/>
          <w:sz w:val="20"/>
          <w:szCs w:val="20"/>
        </w:rPr>
      </w:pPr>
      <w:r w:rsidRPr="00D51476">
        <w:rPr>
          <w:rFonts w:ascii="Arial" w:eastAsiaTheme="minorHAnsi" w:hAnsi="Arial" w:cs="Arial"/>
          <w:sz w:val="20"/>
          <w:szCs w:val="20"/>
        </w:rPr>
        <w:t>There is currently</w:t>
      </w:r>
      <w:r w:rsidR="005E540C">
        <w:rPr>
          <w:rFonts w:ascii="Arial" w:eastAsiaTheme="minorHAnsi" w:hAnsi="Arial" w:cs="Arial"/>
          <w:sz w:val="20"/>
          <w:szCs w:val="20"/>
        </w:rPr>
        <w:t xml:space="preserve"> a</w:t>
      </w:r>
      <w:r w:rsidRPr="00D51476">
        <w:rPr>
          <w:rFonts w:ascii="Arial" w:eastAsiaTheme="minorHAnsi" w:hAnsi="Arial" w:cs="Arial"/>
          <w:sz w:val="20"/>
          <w:szCs w:val="20"/>
        </w:rPr>
        <w:t xml:space="preserve"> jumble of state and national freight plans</w:t>
      </w:r>
      <w:r w:rsidR="00270BF3">
        <w:rPr>
          <w:rFonts w:ascii="Arial" w:eastAsiaTheme="minorHAnsi" w:hAnsi="Arial" w:cs="Arial"/>
          <w:sz w:val="20"/>
          <w:szCs w:val="20"/>
        </w:rPr>
        <w:t xml:space="preserve"> </w:t>
      </w:r>
      <w:r w:rsidR="00AA3874">
        <w:rPr>
          <w:rFonts w:ascii="Arial" w:eastAsiaTheme="minorHAnsi" w:hAnsi="Arial" w:cs="Arial"/>
          <w:sz w:val="20"/>
          <w:szCs w:val="20"/>
        </w:rPr>
        <w:t xml:space="preserve">that </w:t>
      </w:r>
      <w:r w:rsidR="00AA3874" w:rsidRPr="00D51476">
        <w:rPr>
          <w:rFonts w:ascii="Arial" w:eastAsiaTheme="minorHAnsi" w:hAnsi="Arial" w:cs="Arial"/>
          <w:sz w:val="20"/>
          <w:szCs w:val="20"/>
        </w:rPr>
        <w:t>do</w:t>
      </w:r>
      <w:r w:rsidR="006A66AF" w:rsidRPr="00D51476">
        <w:rPr>
          <w:rFonts w:ascii="Arial" w:eastAsiaTheme="minorHAnsi" w:hAnsi="Arial" w:cs="Arial"/>
          <w:sz w:val="20"/>
          <w:szCs w:val="20"/>
        </w:rPr>
        <w:t xml:space="preserve"> not seem to integrate into </w:t>
      </w:r>
      <w:r w:rsidR="00270BF3">
        <w:rPr>
          <w:rFonts w:ascii="Arial" w:eastAsiaTheme="minorHAnsi" w:hAnsi="Arial" w:cs="Arial"/>
          <w:sz w:val="20"/>
          <w:szCs w:val="20"/>
        </w:rPr>
        <w:t xml:space="preserve">larger </w:t>
      </w:r>
      <w:r w:rsidR="006A66AF" w:rsidRPr="00D51476">
        <w:rPr>
          <w:rFonts w:ascii="Arial" w:eastAsiaTheme="minorHAnsi" w:hAnsi="Arial" w:cs="Arial"/>
          <w:sz w:val="20"/>
          <w:szCs w:val="20"/>
        </w:rPr>
        <w:t xml:space="preserve">national projects. The result of these </w:t>
      </w:r>
      <w:r w:rsidR="00270BF3">
        <w:rPr>
          <w:rFonts w:ascii="Arial" w:eastAsiaTheme="minorHAnsi" w:hAnsi="Arial" w:cs="Arial"/>
          <w:sz w:val="20"/>
          <w:szCs w:val="20"/>
        </w:rPr>
        <w:t>isolated</w:t>
      </w:r>
      <w:r w:rsidR="006A66AF" w:rsidRPr="00D51476">
        <w:rPr>
          <w:rFonts w:ascii="Arial" w:eastAsiaTheme="minorHAnsi" w:hAnsi="Arial" w:cs="Arial"/>
          <w:sz w:val="20"/>
          <w:szCs w:val="20"/>
        </w:rPr>
        <w:t xml:space="preserve"> </w:t>
      </w:r>
      <w:r w:rsidR="00270BF3">
        <w:rPr>
          <w:rFonts w:ascii="Arial" w:eastAsiaTheme="minorHAnsi" w:hAnsi="Arial" w:cs="Arial"/>
          <w:sz w:val="20"/>
          <w:szCs w:val="20"/>
        </w:rPr>
        <w:t>jurisdictional</w:t>
      </w:r>
      <w:r w:rsidR="00270BF3" w:rsidRPr="00D51476">
        <w:rPr>
          <w:rFonts w:ascii="Arial" w:eastAsiaTheme="minorHAnsi" w:hAnsi="Arial" w:cs="Arial"/>
          <w:sz w:val="20"/>
          <w:szCs w:val="20"/>
        </w:rPr>
        <w:t xml:space="preserve"> </w:t>
      </w:r>
      <w:r w:rsidR="006A66AF" w:rsidRPr="00D51476">
        <w:rPr>
          <w:rFonts w:ascii="Arial" w:eastAsiaTheme="minorHAnsi" w:hAnsi="Arial" w:cs="Arial"/>
          <w:sz w:val="20"/>
          <w:szCs w:val="20"/>
        </w:rPr>
        <w:t xml:space="preserve">plans is that Australia does not have a </w:t>
      </w:r>
      <w:r w:rsidR="00270BF3">
        <w:rPr>
          <w:rFonts w:ascii="Arial" w:eastAsiaTheme="minorHAnsi" w:hAnsi="Arial" w:cs="Arial"/>
          <w:sz w:val="20"/>
          <w:szCs w:val="20"/>
        </w:rPr>
        <w:t xml:space="preserve">single, </w:t>
      </w:r>
      <w:r w:rsidR="006A66AF" w:rsidRPr="00D51476">
        <w:rPr>
          <w:rFonts w:ascii="Arial" w:eastAsiaTheme="minorHAnsi" w:hAnsi="Arial" w:cs="Arial"/>
          <w:sz w:val="20"/>
          <w:szCs w:val="20"/>
        </w:rPr>
        <w:t xml:space="preserve">consistent approach to </w:t>
      </w:r>
      <w:r w:rsidR="00270BF3">
        <w:rPr>
          <w:rFonts w:ascii="Arial" w:eastAsiaTheme="minorHAnsi" w:hAnsi="Arial" w:cs="Arial"/>
          <w:sz w:val="20"/>
          <w:szCs w:val="20"/>
        </w:rPr>
        <w:t xml:space="preserve">infrastructure </w:t>
      </w:r>
      <w:r w:rsidR="006A66AF" w:rsidRPr="00D51476">
        <w:rPr>
          <w:rFonts w:ascii="Arial" w:eastAsiaTheme="minorHAnsi" w:hAnsi="Arial" w:cs="Arial"/>
          <w:sz w:val="20"/>
          <w:szCs w:val="20"/>
        </w:rPr>
        <w:t xml:space="preserve">planning. </w:t>
      </w:r>
    </w:p>
    <w:p w:rsidR="006A66AF" w:rsidRPr="00D51476" w:rsidRDefault="006A66AF" w:rsidP="00E732C1">
      <w:pPr>
        <w:rPr>
          <w:rFonts w:ascii="Arial" w:eastAsiaTheme="minorHAnsi" w:hAnsi="Arial" w:cs="Arial"/>
          <w:sz w:val="20"/>
          <w:szCs w:val="20"/>
        </w:rPr>
      </w:pPr>
    </w:p>
    <w:p w:rsidR="006A66AF" w:rsidRPr="00D51476" w:rsidRDefault="003613EE" w:rsidP="00E732C1">
      <w:pPr>
        <w:rPr>
          <w:rFonts w:ascii="Arial" w:eastAsiaTheme="minorHAnsi" w:hAnsi="Arial" w:cs="Arial"/>
          <w:sz w:val="20"/>
          <w:szCs w:val="20"/>
        </w:rPr>
      </w:pPr>
      <w:r>
        <w:rPr>
          <w:rFonts w:ascii="Arial" w:eastAsiaTheme="minorHAnsi" w:hAnsi="Arial" w:cs="Arial"/>
          <w:sz w:val="20"/>
          <w:szCs w:val="20"/>
        </w:rPr>
        <w:t>This process should deliver a</w:t>
      </w:r>
      <w:r w:rsidR="006A66AF" w:rsidRPr="00D51476">
        <w:rPr>
          <w:rFonts w:ascii="Arial" w:eastAsiaTheme="minorHAnsi" w:hAnsi="Arial" w:cs="Arial"/>
          <w:sz w:val="20"/>
          <w:szCs w:val="20"/>
        </w:rPr>
        <w:t xml:space="preserve"> co-ordinated approach to planning the national freight </w:t>
      </w:r>
      <w:r w:rsidR="00270BF3">
        <w:rPr>
          <w:rFonts w:ascii="Arial" w:eastAsiaTheme="minorHAnsi" w:hAnsi="Arial" w:cs="Arial"/>
          <w:sz w:val="20"/>
          <w:szCs w:val="20"/>
        </w:rPr>
        <w:t>task</w:t>
      </w:r>
      <w:r w:rsidR="00270BF3" w:rsidRPr="00D51476">
        <w:rPr>
          <w:rFonts w:ascii="Arial" w:eastAsiaTheme="minorHAnsi" w:hAnsi="Arial" w:cs="Arial"/>
          <w:sz w:val="20"/>
          <w:szCs w:val="20"/>
        </w:rPr>
        <w:t xml:space="preserve"> </w:t>
      </w:r>
      <w:r w:rsidR="006A66AF" w:rsidRPr="00D51476">
        <w:rPr>
          <w:rFonts w:ascii="Arial" w:eastAsiaTheme="minorHAnsi" w:hAnsi="Arial" w:cs="Arial"/>
          <w:sz w:val="20"/>
          <w:szCs w:val="20"/>
        </w:rPr>
        <w:t>with</w:t>
      </w:r>
      <w:r w:rsidR="00270BF3">
        <w:rPr>
          <w:rFonts w:ascii="Arial" w:eastAsiaTheme="minorHAnsi" w:hAnsi="Arial" w:cs="Arial"/>
          <w:sz w:val="20"/>
          <w:szCs w:val="20"/>
        </w:rPr>
        <w:t xml:space="preserve"> </w:t>
      </w:r>
      <w:r w:rsidR="00270BF3" w:rsidRPr="00D51476">
        <w:rPr>
          <w:rFonts w:ascii="Arial" w:eastAsiaTheme="minorHAnsi" w:hAnsi="Arial" w:cs="Arial"/>
          <w:sz w:val="20"/>
          <w:szCs w:val="20"/>
        </w:rPr>
        <w:t>involvement</w:t>
      </w:r>
      <w:r w:rsidR="00270BF3">
        <w:rPr>
          <w:rFonts w:ascii="Arial" w:eastAsiaTheme="minorHAnsi" w:hAnsi="Arial" w:cs="Arial"/>
          <w:sz w:val="20"/>
          <w:szCs w:val="20"/>
        </w:rPr>
        <w:t xml:space="preserve"> of </w:t>
      </w:r>
      <w:r w:rsidR="006A66AF" w:rsidRPr="00D51476">
        <w:rPr>
          <w:rFonts w:ascii="Arial" w:eastAsiaTheme="minorHAnsi" w:hAnsi="Arial" w:cs="Arial"/>
          <w:sz w:val="20"/>
          <w:szCs w:val="20"/>
        </w:rPr>
        <w:t>industry, states, Commonweal</w:t>
      </w:r>
      <w:r w:rsidR="00114389">
        <w:rPr>
          <w:rFonts w:ascii="Arial" w:eastAsiaTheme="minorHAnsi" w:hAnsi="Arial" w:cs="Arial"/>
          <w:sz w:val="20"/>
          <w:szCs w:val="20"/>
        </w:rPr>
        <w:t>t</w:t>
      </w:r>
      <w:r w:rsidR="00565C34">
        <w:rPr>
          <w:rFonts w:ascii="Arial" w:eastAsiaTheme="minorHAnsi" w:hAnsi="Arial" w:cs="Arial"/>
          <w:sz w:val="20"/>
          <w:szCs w:val="20"/>
        </w:rPr>
        <w:t xml:space="preserve">h, </w:t>
      </w:r>
      <w:r w:rsidR="00270BF3">
        <w:rPr>
          <w:rFonts w:ascii="Arial" w:eastAsiaTheme="minorHAnsi" w:hAnsi="Arial" w:cs="Arial"/>
          <w:sz w:val="20"/>
          <w:szCs w:val="20"/>
        </w:rPr>
        <w:t>IA</w:t>
      </w:r>
      <w:r w:rsidR="00114389">
        <w:rPr>
          <w:rFonts w:ascii="Arial" w:eastAsiaTheme="minorHAnsi" w:hAnsi="Arial" w:cs="Arial"/>
          <w:sz w:val="20"/>
          <w:szCs w:val="20"/>
        </w:rPr>
        <w:t>, NTC and NHVR</w:t>
      </w:r>
      <w:r>
        <w:rPr>
          <w:rFonts w:ascii="Arial" w:eastAsiaTheme="minorHAnsi" w:hAnsi="Arial" w:cs="Arial"/>
          <w:sz w:val="20"/>
          <w:szCs w:val="20"/>
        </w:rPr>
        <w:t>,</w:t>
      </w:r>
      <w:r w:rsidR="006A66AF" w:rsidRPr="00D51476">
        <w:rPr>
          <w:rFonts w:ascii="Arial" w:eastAsiaTheme="minorHAnsi" w:hAnsi="Arial" w:cs="Arial"/>
          <w:sz w:val="20"/>
          <w:szCs w:val="20"/>
        </w:rPr>
        <w:t xml:space="preserve"> in order for the current system to improve.  </w:t>
      </w:r>
    </w:p>
    <w:p w:rsidR="006A66AF" w:rsidRPr="00D51476" w:rsidRDefault="006A66AF" w:rsidP="00E732C1">
      <w:pPr>
        <w:rPr>
          <w:rFonts w:ascii="Arial" w:eastAsiaTheme="minorHAnsi" w:hAnsi="Arial" w:cs="Arial"/>
          <w:sz w:val="20"/>
          <w:szCs w:val="20"/>
        </w:rPr>
      </w:pPr>
    </w:p>
    <w:p w:rsidR="006A66AF" w:rsidRPr="00D51476" w:rsidRDefault="006A66AF" w:rsidP="006A66AF">
      <w:pPr>
        <w:rPr>
          <w:rFonts w:ascii="Arial" w:eastAsiaTheme="minorHAnsi" w:hAnsi="Arial" w:cs="Arial"/>
          <w:sz w:val="20"/>
          <w:szCs w:val="20"/>
        </w:rPr>
      </w:pPr>
      <w:r w:rsidRPr="00D51476">
        <w:rPr>
          <w:rFonts w:ascii="Arial" w:eastAsiaTheme="minorHAnsi" w:hAnsi="Arial" w:cs="Arial"/>
          <w:sz w:val="20"/>
          <w:szCs w:val="20"/>
        </w:rPr>
        <w:t xml:space="preserve">HVCI </w:t>
      </w:r>
      <w:r w:rsidR="006D1E64" w:rsidRPr="00D51476">
        <w:rPr>
          <w:rFonts w:ascii="Arial" w:eastAsiaTheme="minorHAnsi" w:hAnsi="Arial" w:cs="Arial"/>
          <w:sz w:val="20"/>
          <w:szCs w:val="20"/>
        </w:rPr>
        <w:t>ha</w:t>
      </w:r>
      <w:r w:rsidR="006D1E64">
        <w:rPr>
          <w:rFonts w:ascii="Arial" w:eastAsiaTheme="minorHAnsi" w:hAnsi="Arial" w:cs="Arial"/>
          <w:sz w:val="20"/>
          <w:szCs w:val="20"/>
        </w:rPr>
        <w:t>s</w:t>
      </w:r>
      <w:r w:rsidR="006D1E64"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suggested that a ‘heavy vehicle infrastructure coordination function’ could address this co-ordination problem.  </w:t>
      </w:r>
    </w:p>
    <w:p w:rsidR="006A66AF" w:rsidRPr="00D51476" w:rsidRDefault="006A66AF" w:rsidP="00E732C1">
      <w:pPr>
        <w:rPr>
          <w:rFonts w:ascii="Arial" w:eastAsiaTheme="minorHAnsi" w:hAnsi="Arial" w:cs="Arial"/>
          <w:sz w:val="20"/>
          <w:szCs w:val="20"/>
        </w:rPr>
      </w:pPr>
    </w:p>
    <w:p w:rsidR="006A66AF" w:rsidRPr="00D51476" w:rsidRDefault="006A66AF" w:rsidP="006A66AF">
      <w:pPr>
        <w:rPr>
          <w:rFonts w:ascii="Arial" w:eastAsiaTheme="minorHAnsi" w:hAnsi="Arial" w:cs="Arial"/>
          <w:sz w:val="20"/>
          <w:szCs w:val="20"/>
        </w:rPr>
      </w:pPr>
      <w:r w:rsidRPr="00D51476">
        <w:rPr>
          <w:rFonts w:ascii="Arial" w:eastAsiaTheme="minorHAnsi" w:hAnsi="Arial" w:cs="Arial"/>
          <w:sz w:val="20"/>
          <w:szCs w:val="20"/>
        </w:rPr>
        <w:t xml:space="preserve">The </w:t>
      </w:r>
      <w:r w:rsidR="000313F8">
        <w:rPr>
          <w:rFonts w:ascii="Arial" w:eastAsiaTheme="minorHAnsi" w:hAnsi="Arial" w:cs="Arial"/>
          <w:sz w:val="20"/>
          <w:szCs w:val="20"/>
        </w:rPr>
        <w:t>rationale</w:t>
      </w:r>
      <w:r w:rsidR="000313F8"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for this function is to ensure that planning and expenditure is responsive to industry priorities, </w:t>
      </w:r>
      <w:r w:rsidR="000313F8">
        <w:rPr>
          <w:rFonts w:ascii="Arial" w:eastAsiaTheme="minorHAnsi" w:hAnsi="Arial" w:cs="Arial"/>
          <w:sz w:val="20"/>
          <w:szCs w:val="20"/>
        </w:rPr>
        <w:t xml:space="preserve">is </w:t>
      </w:r>
      <w:r w:rsidRPr="00D51476">
        <w:rPr>
          <w:rFonts w:ascii="Arial" w:eastAsiaTheme="minorHAnsi" w:hAnsi="Arial" w:cs="Arial"/>
          <w:sz w:val="20"/>
          <w:szCs w:val="20"/>
        </w:rPr>
        <w:t xml:space="preserve">focussed on what industry </w:t>
      </w:r>
      <w:proofErr w:type="gramStart"/>
      <w:r w:rsidRPr="00D51476">
        <w:rPr>
          <w:rFonts w:ascii="Arial" w:eastAsiaTheme="minorHAnsi" w:hAnsi="Arial" w:cs="Arial"/>
          <w:sz w:val="20"/>
          <w:szCs w:val="20"/>
        </w:rPr>
        <w:t>is</w:t>
      </w:r>
      <w:proofErr w:type="gramEnd"/>
      <w:r w:rsidRPr="00D51476">
        <w:rPr>
          <w:rFonts w:ascii="Arial" w:eastAsiaTheme="minorHAnsi" w:hAnsi="Arial" w:cs="Arial"/>
          <w:sz w:val="20"/>
          <w:szCs w:val="20"/>
        </w:rPr>
        <w:t xml:space="preserve"> willing to pay for</w:t>
      </w:r>
      <w:r w:rsidR="000313F8">
        <w:rPr>
          <w:rFonts w:ascii="Arial" w:eastAsiaTheme="minorHAnsi" w:hAnsi="Arial" w:cs="Arial"/>
          <w:sz w:val="20"/>
          <w:szCs w:val="20"/>
        </w:rPr>
        <w:t>,</w:t>
      </w:r>
      <w:r w:rsidRPr="00D51476">
        <w:rPr>
          <w:rFonts w:ascii="Arial" w:eastAsiaTheme="minorHAnsi" w:hAnsi="Arial" w:cs="Arial"/>
          <w:sz w:val="20"/>
          <w:szCs w:val="20"/>
        </w:rPr>
        <w:t xml:space="preserve"> and that expenditure by road providers is aligned to deliver service and access levels that drive productivity improvements. </w:t>
      </w:r>
    </w:p>
    <w:p w:rsidR="006A66AF" w:rsidRPr="00D51476" w:rsidRDefault="006A66AF" w:rsidP="006A66AF">
      <w:pPr>
        <w:rPr>
          <w:rFonts w:ascii="Arial" w:eastAsiaTheme="minorHAnsi" w:hAnsi="Arial" w:cs="Arial"/>
          <w:sz w:val="20"/>
          <w:szCs w:val="20"/>
        </w:rPr>
      </w:pPr>
    </w:p>
    <w:p w:rsidR="006A66AF" w:rsidRPr="00D51476" w:rsidRDefault="006A66AF" w:rsidP="006A66AF">
      <w:pPr>
        <w:rPr>
          <w:rFonts w:ascii="Arial" w:eastAsiaTheme="minorHAnsi" w:hAnsi="Arial" w:cs="Arial"/>
          <w:sz w:val="20"/>
          <w:szCs w:val="20"/>
        </w:rPr>
      </w:pPr>
      <w:r w:rsidRPr="00D51476">
        <w:rPr>
          <w:rFonts w:ascii="Arial" w:eastAsiaTheme="minorHAnsi" w:hAnsi="Arial" w:cs="Arial"/>
          <w:sz w:val="20"/>
          <w:szCs w:val="20"/>
        </w:rPr>
        <w:t>While this function would seem to represent industry</w:t>
      </w:r>
      <w:r w:rsidR="000313F8">
        <w:rPr>
          <w:rFonts w:ascii="Arial" w:eastAsiaTheme="minorHAnsi" w:hAnsi="Arial" w:cs="Arial"/>
          <w:sz w:val="20"/>
          <w:szCs w:val="20"/>
        </w:rPr>
        <w:t>’s</w:t>
      </w:r>
      <w:r w:rsidRPr="00D51476">
        <w:rPr>
          <w:rFonts w:ascii="Arial" w:eastAsiaTheme="minorHAnsi" w:hAnsi="Arial" w:cs="Arial"/>
          <w:sz w:val="20"/>
          <w:szCs w:val="20"/>
        </w:rPr>
        <w:t xml:space="preserve"> issues, in reality functions already exist that deal with specific shortcomings. The main issues that industry needs addressed are first and last mile access</w:t>
      </w:r>
      <w:r w:rsidR="000313F8">
        <w:rPr>
          <w:rFonts w:ascii="Arial" w:eastAsiaTheme="minorHAnsi" w:hAnsi="Arial" w:cs="Arial"/>
          <w:sz w:val="20"/>
          <w:szCs w:val="20"/>
        </w:rPr>
        <w:t xml:space="preserve"> problems</w:t>
      </w:r>
      <w:r w:rsidRPr="00D51476">
        <w:rPr>
          <w:rFonts w:ascii="Arial" w:eastAsiaTheme="minorHAnsi" w:hAnsi="Arial" w:cs="Arial"/>
          <w:sz w:val="20"/>
          <w:szCs w:val="20"/>
        </w:rPr>
        <w:t xml:space="preserve">, maintenance issues and bottlenecks, along with aspirational access for </w:t>
      </w:r>
      <w:r w:rsidR="000313F8" w:rsidRPr="00D51476">
        <w:rPr>
          <w:rFonts w:ascii="Arial" w:eastAsiaTheme="minorHAnsi" w:hAnsi="Arial" w:cs="Arial"/>
          <w:sz w:val="20"/>
          <w:szCs w:val="20"/>
        </w:rPr>
        <w:t>High Productivity Vehicles</w:t>
      </w:r>
      <w:r w:rsidRPr="00D51476">
        <w:rPr>
          <w:rFonts w:ascii="Arial" w:eastAsiaTheme="minorHAnsi" w:hAnsi="Arial" w:cs="Arial"/>
          <w:sz w:val="20"/>
          <w:szCs w:val="20"/>
        </w:rPr>
        <w:t xml:space="preserve">. </w:t>
      </w:r>
    </w:p>
    <w:p w:rsidR="006A66AF" w:rsidRPr="00D51476" w:rsidRDefault="006A66AF" w:rsidP="006A66AF">
      <w:pPr>
        <w:rPr>
          <w:rFonts w:ascii="Arial" w:eastAsiaTheme="minorHAnsi" w:hAnsi="Arial" w:cs="Arial"/>
          <w:sz w:val="20"/>
          <w:szCs w:val="20"/>
        </w:rPr>
      </w:pPr>
    </w:p>
    <w:p w:rsidR="006A66AF" w:rsidRPr="00D51476" w:rsidRDefault="006A66AF" w:rsidP="006A66AF">
      <w:pPr>
        <w:rPr>
          <w:rFonts w:ascii="Arial" w:eastAsiaTheme="minorHAnsi" w:hAnsi="Arial" w:cs="Arial"/>
          <w:sz w:val="20"/>
          <w:szCs w:val="20"/>
        </w:rPr>
      </w:pPr>
      <w:r w:rsidRPr="00D51476">
        <w:rPr>
          <w:rFonts w:ascii="Arial" w:eastAsiaTheme="minorHAnsi" w:hAnsi="Arial" w:cs="Arial"/>
          <w:sz w:val="20"/>
          <w:szCs w:val="20"/>
        </w:rPr>
        <w:t>NHVR is addressing access requests</w:t>
      </w:r>
      <w:r w:rsidR="00565C34">
        <w:rPr>
          <w:rFonts w:ascii="Arial" w:eastAsiaTheme="minorHAnsi" w:hAnsi="Arial" w:cs="Arial"/>
          <w:sz w:val="20"/>
          <w:szCs w:val="20"/>
        </w:rPr>
        <w:t xml:space="preserve"> and</w:t>
      </w:r>
      <w:r w:rsidR="000313F8">
        <w:rPr>
          <w:rFonts w:ascii="Arial" w:eastAsiaTheme="minorHAnsi" w:hAnsi="Arial" w:cs="Arial"/>
          <w:sz w:val="20"/>
          <w:szCs w:val="20"/>
        </w:rPr>
        <w:t xml:space="preserve"> </w:t>
      </w:r>
      <w:r w:rsidRPr="00D51476">
        <w:rPr>
          <w:rFonts w:ascii="Arial" w:eastAsiaTheme="minorHAnsi" w:hAnsi="Arial" w:cs="Arial"/>
          <w:sz w:val="20"/>
          <w:szCs w:val="20"/>
        </w:rPr>
        <w:t>improved performance</w:t>
      </w:r>
      <w:r w:rsidR="000313F8">
        <w:rPr>
          <w:rFonts w:ascii="Arial" w:eastAsiaTheme="minorHAnsi" w:hAnsi="Arial" w:cs="Arial"/>
          <w:sz w:val="20"/>
          <w:szCs w:val="20"/>
        </w:rPr>
        <w:t>s</w:t>
      </w:r>
      <w:r w:rsidRPr="00D51476">
        <w:rPr>
          <w:rFonts w:ascii="Arial" w:eastAsiaTheme="minorHAnsi" w:hAnsi="Arial" w:cs="Arial"/>
          <w:sz w:val="20"/>
          <w:szCs w:val="20"/>
        </w:rPr>
        <w:t xml:space="preserve"> </w:t>
      </w:r>
      <w:r w:rsidR="000313F8">
        <w:rPr>
          <w:rFonts w:ascii="Arial" w:eastAsiaTheme="minorHAnsi" w:hAnsi="Arial" w:cs="Arial"/>
          <w:sz w:val="20"/>
          <w:szCs w:val="20"/>
        </w:rPr>
        <w:t>of all</w:t>
      </w:r>
      <w:r w:rsidR="000313F8"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road agencies would deal with the other </w:t>
      </w:r>
      <w:r w:rsidR="000313F8">
        <w:rPr>
          <w:rFonts w:ascii="Arial" w:eastAsiaTheme="minorHAnsi" w:hAnsi="Arial" w:cs="Arial"/>
          <w:sz w:val="20"/>
          <w:szCs w:val="20"/>
        </w:rPr>
        <w:t>matters</w:t>
      </w:r>
      <w:r w:rsidR="000313F8"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of maintenance, bottlenecks and hopefully aspirational access. </w:t>
      </w:r>
    </w:p>
    <w:p w:rsidR="006A66AF" w:rsidRPr="00D51476" w:rsidRDefault="006A66AF" w:rsidP="006A66AF">
      <w:pPr>
        <w:rPr>
          <w:rFonts w:ascii="Arial" w:eastAsiaTheme="minorHAnsi" w:hAnsi="Arial" w:cs="Arial"/>
          <w:sz w:val="20"/>
          <w:szCs w:val="20"/>
        </w:rPr>
      </w:pPr>
    </w:p>
    <w:p w:rsidR="007D330A" w:rsidRPr="00D51476" w:rsidRDefault="006A66AF" w:rsidP="006A66AF">
      <w:pPr>
        <w:rPr>
          <w:rFonts w:ascii="Arial" w:eastAsiaTheme="minorHAnsi" w:hAnsi="Arial" w:cs="Arial"/>
          <w:sz w:val="20"/>
          <w:szCs w:val="20"/>
        </w:rPr>
      </w:pPr>
      <w:r w:rsidRPr="00D51476">
        <w:rPr>
          <w:rFonts w:ascii="Arial" w:eastAsiaTheme="minorHAnsi" w:hAnsi="Arial" w:cs="Arial"/>
          <w:sz w:val="20"/>
          <w:szCs w:val="20"/>
        </w:rPr>
        <w:lastRenderedPageBreak/>
        <w:t xml:space="preserve">Therefore, the function itself could be unnecessary if a </w:t>
      </w:r>
      <w:r w:rsidR="009A6DC4" w:rsidRPr="00D51476">
        <w:rPr>
          <w:rFonts w:ascii="Arial" w:eastAsiaTheme="minorHAnsi" w:hAnsi="Arial" w:cs="Arial"/>
          <w:sz w:val="20"/>
          <w:szCs w:val="20"/>
        </w:rPr>
        <w:t xml:space="preserve">National Co-Ordination Committee </w:t>
      </w:r>
      <w:r w:rsidRPr="00D51476">
        <w:rPr>
          <w:rFonts w:ascii="Arial" w:eastAsiaTheme="minorHAnsi" w:hAnsi="Arial" w:cs="Arial"/>
          <w:sz w:val="20"/>
          <w:szCs w:val="20"/>
        </w:rPr>
        <w:t>could address the issue</w:t>
      </w:r>
      <w:r w:rsidR="007D330A" w:rsidRPr="00D51476">
        <w:rPr>
          <w:rFonts w:ascii="Arial" w:eastAsiaTheme="minorHAnsi" w:hAnsi="Arial" w:cs="Arial"/>
          <w:sz w:val="20"/>
          <w:szCs w:val="20"/>
        </w:rPr>
        <w:t>s</w:t>
      </w:r>
      <w:r w:rsidRPr="00D51476">
        <w:rPr>
          <w:rFonts w:ascii="Arial" w:eastAsiaTheme="minorHAnsi" w:hAnsi="Arial" w:cs="Arial"/>
          <w:sz w:val="20"/>
          <w:szCs w:val="20"/>
        </w:rPr>
        <w:t xml:space="preserve"> brought to </w:t>
      </w:r>
      <w:r w:rsidR="00F64258" w:rsidRPr="00D51476">
        <w:rPr>
          <w:rFonts w:ascii="Arial" w:eastAsiaTheme="minorHAnsi" w:hAnsi="Arial" w:cs="Arial"/>
          <w:sz w:val="20"/>
          <w:szCs w:val="20"/>
        </w:rPr>
        <w:t>NHVR</w:t>
      </w:r>
      <w:r w:rsidR="007D330A" w:rsidRPr="00D51476">
        <w:rPr>
          <w:rFonts w:ascii="Arial" w:eastAsiaTheme="minorHAnsi" w:hAnsi="Arial" w:cs="Arial"/>
          <w:sz w:val="20"/>
          <w:szCs w:val="20"/>
        </w:rPr>
        <w:t xml:space="preserve"> and road agencies attention</w:t>
      </w:r>
      <w:r w:rsidRPr="00D51476">
        <w:rPr>
          <w:rFonts w:ascii="Arial" w:eastAsiaTheme="minorHAnsi" w:hAnsi="Arial" w:cs="Arial"/>
          <w:sz w:val="20"/>
          <w:szCs w:val="20"/>
        </w:rPr>
        <w:t>.</w:t>
      </w:r>
    </w:p>
    <w:p w:rsidR="006A66AF" w:rsidRPr="00D51476" w:rsidRDefault="006A66AF" w:rsidP="00E732C1">
      <w:pPr>
        <w:rPr>
          <w:rFonts w:ascii="Arial" w:eastAsiaTheme="minorHAnsi" w:hAnsi="Arial" w:cs="Arial"/>
          <w:sz w:val="20"/>
          <w:szCs w:val="20"/>
        </w:rPr>
      </w:pPr>
      <w:r w:rsidRPr="00D51476">
        <w:rPr>
          <w:rFonts w:ascii="Arial" w:eastAsiaTheme="minorHAnsi" w:hAnsi="Arial" w:cs="Arial"/>
          <w:sz w:val="20"/>
          <w:szCs w:val="20"/>
        </w:rPr>
        <w:t xml:space="preserve"> </w:t>
      </w:r>
    </w:p>
    <w:p w:rsidR="00AA3874" w:rsidRDefault="006A66AF" w:rsidP="00E732C1">
      <w:pPr>
        <w:rPr>
          <w:rFonts w:ascii="Arial" w:eastAsiaTheme="minorHAnsi" w:hAnsi="Arial" w:cs="Arial"/>
          <w:sz w:val="20"/>
          <w:szCs w:val="20"/>
        </w:rPr>
      </w:pPr>
      <w:r w:rsidRPr="00D51476">
        <w:rPr>
          <w:rFonts w:ascii="Arial" w:eastAsiaTheme="minorHAnsi" w:hAnsi="Arial" w:cs="Arial"/>
          <w:sz w:val="20"/>
          <w:szCs w:val="20"/>
        </w:rPr>
        <w:t xml:space="preserve">Further, the workshops highlighted </w:t>
      </w:r>
      <w:r w:rsidR="009A6DC4">
        <w:rPr>
          <w:rFonts w:ascii="Arial" w:eastAsiaTheme="minorHAnsi" w:hAnsi="Arial" w:cs="Arial"/>
          <w:sz w:val="20"/>
          <w:szCs w:val="20"/>
        </w:rPr>
        <w:t>how</w:t>
      </w:r>
      <w:r w:rsidR="009A6DC4"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state road agencies and the Commonwealth currently evaluate projects based on different methodologies. The </w:t>
      </w:r>
      <w:r w:rsidR="009B7056">
        <w:rPr>
          <w:rFonts w:ascii="Arial" w:eastAsiaTheme="minorHAnsi" w:hAnsi="Arial" w:cs="Arial"/>
          <w:sz w:val="20"/>
          <w:szCs w:val="20"/>
        </w:rPr>
        <w:t>C</w:t>
      </w:r>
      <w:r w:rsidRPr="00D51476">
        <w:rPr>
          <w:rFonts w:ascii="Arial" w:eastAsiaTheme="minorHAnsi" w:hAnsi="Arial" w:cs="Arial"/>
          <w:sz w:val="20"/>
          <w:szCs w:val="20"/>
        </w:rPr>
        <w:t>ommonwealth currently use</w:t>
      </w:r>
      <w:r w:rsidR="009A6DC4">
        <w:rPr>
          <w:rFonts w:ascii="Arial" w:eastAsiaTheme="minorHAnsi" w:hAnsi="Arial" w:cs="Arial"/>
          <w:sz w:val="20"/>
          <w:szCs w:val="20"/>
        </w:rPr>
        <w:t>s</w:t>
      </w:r>
      <w:r w:rsidRPr="00D51476">
        <w:rPr>
          <w:rFonts w:ascii="Arial" w:eastAsiaTheme="minorHAnsi" w:hAnsi="Arial" w:cs="Arial"/>
          <w:sz w:val="20"/>
          <w:szCs w:val="20"/>
        </w:rPr>
        <w:t xml:space="preserve"> a </w:t>
      </w:r>
      <w:r w:rsidR="009A6DC4">
        <w:rPr>
          <w:rFonts w:ascii="Arial" w:eastAsiaTheme="minorHAnsi" w:hAnsi="Arial" w:cs="Arial"/>
          <w:sz w:val="20"/>
          <w:szCs w:val="20"/>
        </w:rPr>
        <w:t>‘</w:t>
      </w:r>
      <w:r w:rsidR="007B6B9C">
        <w:rPr>
          <w:rFonts w:ascii="Arial" w:eastAsiaTheme="minorHAnsi" w:hAnsi="Arial" w:cs="Arial"/>
          <w:sz w:val="20"/>
          <w:szCs w:val="20"/>
        </w:rPr>
        <w:t xml:space="preserve">quantative </w:t>
      </w:r>
      <w:r w:rsidRPr="00D51476">
        <w:rPr>
          <w:rFonts w:ascii="Arial" w:eastAsiaTheme="minorHAnsi" w:hAnsi="Arial" w:cs="Arial"/>
          <w:sz w:val="20"/>
          <w:szCs w:val="20"/>
        </w:rPr>
        <w:t>method</w:t>
      </w:r>
      <w:r w:rsidR="009A6DC4">
        <w:rPr>
          <w:rFonts w:ascii="Arial" w:eastAsiaTheme="minorHAnsi" w:hAnsi="Arial" w:cs="Arial"/>
          <w:sz w:val="20"/>
          <w:szCs w:val="20"/>
        </w:rPr>
        <w:t>’</w:t>
      </w:r>
      <w:r w:rsidRPr="00D51476">
        <w:rPr>
          <w:rFonts w:ascii="Arial" w:eastAsiaTheme="minorHAnsi" w:hAnsi="Arial" w:cs="Arial"/>
          <w:sz w:val="20"/>
          <w:szCs w:val="20"/>
        </w:rPr>
        <w:t xml:space="preserve"> to grant funds</w:t>
      </w:r>
      <w:r w:rsidR="009A6DC4">
        <w:rPr>
          <w:rFonts w:ascii="Arial" w:eastAsiaTheme="minorHAnsi" w:hAnsi="Arial" w:cs="Arial"/>
          <w:sz w:val="20"/>
          <w:szCs w:val="20"/>
        </w:rPr>
        <w:t>,</w:t>
      </w:r>
      <w:r w:rsidRPr="00D51476">
        <w:rPr>
          <w:rFonts w:ascii="Arial" w:eastAsiaTheme="minorHAnsi" w:hAnsi="Arial" w:cs="Arial"/>
          <w:sz w:val="20"/>
          <w:szCs w:val="20"/>
        </w:rPr>
        <w:t xml:space="preserve"> whereas road agencies use </w:t>
      </w:r>
      <w:r w:rsidR="009A6DC4">
        <w:rPr>
          <w:rFonts w:ascii="Arial" w:eastAsiaTheme="minorHAnsi" w:hAnsi="Arial" w:cs="Arial"/>
          <w:sz w:val="20"/>
          <w:szCs w:val="20"/>
        </w:rPr>
        <w:t xml:space="preserve">a </w:t>
      </w:r>
      <w:r w:rsidRPr="00D51476">
        <w:rPr>
          <w:rFonts w:ascii="Arial" w:eastAsiaTheme="minorHAnsi" w:hAnsi="Arial" w:cs="Arial"/>
          <w:sz w:val="20"/>
          <w:szCs w:val="20"/>
        </w:rPr>
        <w:t xml:space="preserve">qualitative approach.  This disconnect is one of the reasons </w:t>
      </w:r>
      <w:r w:rsidR="009A6DC4" w:rsidRPr="00D51476">
        <w:rPr>
          <w:rFonts w:ascii="Arial" w:eastAsiaTheme="minorHAnsi" w:hAnsi="Arial" w:cs="Arial"/>
          <w:sz w:val="20"/>
          <w:szCs w:val="20"/>
        </w:rPr>
        <w:t xml:space="preserve">industry experiences </w:t>
      </w:r>
      <w:r w:rsidR="009A6DC4">
        <w:rPr>
          <w:rFonts w:ascii="Arial" w:eastAsiaTheme="minorHAnsi" w:hAnsi="Arial" w:cs="Arial"/>
          <w:sz w:val="20"/>
          <w:szCs w:val="20"/>
        </w:rPr>
        <w:t>such a</w:t>
      </w:r>
      <w:r w:rsidRPr="00D51476">
        <w:rPr>
          <w:rFonts w:ascii="Arial" w:eastAsiaTheme="minorHAnsi" w:hAnsi="Arial" w:cs="Arial"/>
          <w:sz w:val="20"/>
          <w:szCs w:val="20"/>
        </w:rPr>
        <w:t xml:space="preserve"> patchwork approach to access. Reconciling this</w:t>
      </w:r>
      <w:r w:rsidR="009A6DC4">
        <w:rPr>
          <w:rFonts w:ascii="Arial" w:eastAsiaTheme="minorHAnsi" w:hAnsi="Arial" w:cs="Arial"/>
          <w:sz w:val="20"/>
          <w:szCs w:val="20"/>
        </w:rPr>
        <w:t xml:space="preserve"> situation</w:t>
      </w:r>
      <w:r w:rsidRPr="00D51476">
        <w:rPr>
          <w:rFonts w:ascii="Arial" w:eastAsiaTheme="minorHAnsi" w:hAnsi="Arial" w:cs="Arial"/>
          <w:sz w:val="20"/>
          <w:szCs w:val="20"/>
        </w:rPr>
        <w:t xml:space="preserve"> so that there is a single way to value projects</w:t>
      </w:r>
      <w:r w:rsidR="009A6DC4">
        <w:rPr>
          <w:rFonts w:ascii="Arial" w:eastAsiaTheme="minorHAnsi" w:hAnsi="Arial" w:cs="Arial"/>
          <w:sz w:val="20"/>
          <w:szCs w:val="20"/>
        </w:rPr>
        <w:t xml:space="preserve"> in future</w:t>
      </w:r>
      <w:r w:rsidRPr="00D51476">
        <w:rPr>
          <w:rFonts w:ascii="Arial" w:eastAsiaTheme="minorHAnsi" w:hAnsi="Arial" w:cs="Arial"/>
          <w:sz w:val="20"/>
          <w:szCs w:val="20"/>
        </w:rPr>
        <w:t xml:space="preserve"> is crucial. </w:t>
      </w:r>
    </w:p>
    <w:p w:rsidR="00617F3D" w:rsidRDefault="00617F3D" w:rsidP="00E732C1">
      <w:pPr>
        <w:rPr>
          <w:rFonts w:ascii="Arial" w:eastAsiaTheme="minorHAnsi" w:hAnsi="Arial" w:cs="Arial"/>
          <w:sz w:val="20"/>
          <w:szCs w:val="20"/>
        </w:rPr>
      </w:pPr>
    </w:p>
    <w:p w:rsidR="00617F3D" w:rsidRPr="00D51476" w:rsidRDefault="00617F3D" w:rsidP="00E732C1">
      <w:pPr>
        <w:rPr>
          <w:rFonts w:ascii="Arial" w:eastAsiaTheme="minorHAnsi" w:hAnsi="Arial" w:cs="Arial"/>
          <w:sz w:val="20"/>
          <w:szCs w:val="20"/>
        </w:rPr>
      </w:pPr>
    </w:p>
    <w:p w:rsidR="004C7F70" w:rsidRPr="00620293" w:rsidRDefault="004C7F70" w:rsidP="00793431">
      <w:pPr>
        <w:pStyle w:val="Heading1"/>
        <w:numPr>
          <w:ilvl w:val="1"/>
          <w:numId w:val="14"/>
        </w:numPr>
      </w:pPr>
      <w:bookmarkStart w:id="95" w:name="_Toc361217274"/>
      <w:bookmarkStart w:id="96" w:name="_Toc361217642"/>
      <w:bookmarkStart w:id="97" w:name="_Toc361218169"/>
      <w:bookmarkStart w:id="98" w:name="_Toc361219523"/>
      <w:bookmarkStart w:id="99" w:name="_Toc361232802"/>
      <w:bookmarkStart w:id="100" w:name="_Toc361302827"/>
      <w:bookmarkStart w:id="101" w:name="_Toc361321186"/>
      <w:bookmarkStart w:id="102" w:name="_Toc361732974"/>
      <w:bookmarkStart w:id="103" w:name="_Toc361736681"/>
      <w:bookmarkStart w:id="104" w:name="_Toc361821328"/>
      <w:bookmarkStart w:id="105" w:name="_Toc361822858"/>
      <w:bookmarkStart w:id="106" w:name="_Toc362528129"/>
      <w:bookmarkEnd w:id="95"/>
      <w:bookmarkEnd w:id="96"/>
      <w:bookmarkEnd w:id="97"/>
      <w:bookmarkEnd w:id="98"/>
      <w:bookmarkEnd w:id="99"/>
      <w:bookmarkEnd w:id="100"/>
      <w:bookmarkEnd w:id="101"/>
      <w:bookmarkEnd w:id="102"/>
      <w:bookmarkEnd w:id="103"/>
      <w:bookmarkEnd w:id="104"/>
      <w:bookmarkEnd w:id="105"/>
      <w:r w:rsidRPr="00620293">
        <w:t>Potentially establishing a national road fund</w:t>
      </w:r>
      <w:bookmarkEnd w:id="106"/>
      <w:r w:rsidRPr="00620293">
        <w:t xml:space="preserve"> </w:t>
      </w:r>
    </w:p>
    <w:p w:rsidR="00367EB1" w:rsidRDefault="00367EB1" w:rsidP="00E732C1">
      <w:pPr>
        <w:rPr>
          <w:rFonts w:ascii="Arial" w:eastAsiaTheme="minorHAnsi" w:hAnsi="Arial" w:cs="Arial"/>
          <w:b/>
          <w:sz w:val="20"/>
          <w:szCs w:val="20"/>
          <w:u w:val="single"/>
        </w:rPr>
      </w:pPr>
    </w:p>
    <w:p w:rsidR="00367EB1" w:rsidRDefault="00367EB1" w:rsidP="00E732C1">
      <w:pPr>
        <w:rPr>
          <w:rFonts w:ascii="Arial" w:eastAsiaTheme="minorHAnsi" w:hAnsi="Arial" w:cs="Arial"/>
          <w:sz w:val="20"/>
          <w:szCs w:val="20"/>
        </w:rPr>
      </w:pPr>
      <w:r>
        <w:rPr>
          <w:rFonts w:ascii="Arial" w:eastAsiaTheme="minorHAnsi" w:hAnsi="Arial" w:cs="Arial"/>
          <w:sz w:val="20"/>
          <w:szCs w:val="20"/>
        </w:rPr>
        <w:t xml:space="preserve">PwC recommended that in the longer term, </w:t>
      </w:r>
      <w:r w:rsidR="004C7F70" w:rsidRPr="00D51476">
        <w:rPr>
          <w:rFonts w:ascii="Arial" w:eastAsiaTheme="minorHAnsi" w:hAnsi="Arial" w:cs="Arial"/>
          <w:sz w:val="20"/>
          <w:szCs w:val="20"/>
        </w:rPr>
        <w:t>establish</w:t>
      </w:r>
      <w:r>
        <w:rPr>
          <w:rFonts w:ascii="Arial" w:eastAsiaTheme="minorHAnsi" w:hAnsi="Arial" w:cs="Arial"/>
          <w:sz w:val="20"/>
          <w:szCs w:val="20"/>
        </w:rPr>
        <w:t>ing</w:t>
      </w:r>
      <w:r w:rsidR="004C7F70" w:rsidRPr="00D51476">
        <w:rPr>
          <w:rFonts w:ascii="Arial" w:eastAsiaTheme="minorHAnsi" w:hAnsi="Arial" w:cs="Arial"/>
          <w:sz w:val="20"/>
          <w:szCs w:val="20"/>
        </w:rPr>
        <w:t xml:space="preserve"> an independent </w:t>
      </w:r>
      <w:r w:rsidR="00231504">
        <w:rPr>
          <w:rFonts w:ascii="Arial" w:eastAsiaTheme="minorHAnsi" w:hAnsi="Arial" w:cs="Arial"/>
          <w:sz w:val="20"/>
          <w:szCs w:val="20"/>
        </w:rPr>
        <w:t xml:space="preserve">National </w:t>
      </w:r>
      <w:r w:rsidR="00231504" w:rsidRPr="00D51476">
        <w:rPr>
          <w:rFonts w:ascii="Arial" w:eastAsiaTheme="minorHAnsi" w:hAnsi="Arial" w:cs="Arial"/>
          <w:sz w:val="20"/>
          <w:szCs w:val="20"/>
        </w:rPr>
        <w:t>Road Fund</w:t>
      </w:r>
      <w:r w:rsidR="00231504">
        <w:rPr>
          <w:rFonts w:ascii="Arial" w:eastAsiaTheme="minorHAnsi" w:hAnsi="Arial" w:cs="Arial"/>
          <w:sz w:val="20"/>
          <w:szCs w:val="20"/>
        </w:rPr>
        <w:t xml:space="preserve"> </w:t>
      </w:r>
      <w:r>
        <w:rPr>
          <w:rFonts w:ascii="Arial" w:eastAsiaTheme="minorHAnsi" w:hAnsi="Arial" w:cs="Arial"/>
          <w:sz w:val="20"/>
          <w:szCs w:val="20"/>
        </w:rPr>
        <w:t xml:space="preserve">would </w:t>
      </w:r>
      <w:r w:rsidR="00231504">
        <w:rPr>
          <w:rFonts w:ascii="Arial" w:eastAsiaTheme="minorHAnsi" w:hAnsi="Arial" w:cs="Arial"/>
          <w:sz w:val="20"/>
          <w:szCs w:val="20"/>
        </w:rPr>
        <w:t xml:space="preserve">possibly </w:t>
      </w:r>
      <w:r>
        <w:rPr>
          <w:rFonts w:ascii="Arial" w:eastAsiaTheme="minorHAnsi" w:hAnsi="Arial" w:cs="Arial"/>
          <w:sz w:val="20"/>
          <w:szCs w:val="20"/>
        </w:rPr>
        <w:t xml:space="preserve">produce benefits. </w:t>
      </w:r>
    </w:p>
    <w:p w:rsidR="00367EB1" w:rsidRDefault="00367EB1" w:rsidP="00E732C1">
      <w:pPr>
        <w:rPr>
          <w:rFonts w:ascii="Arial" w:eastAsiaTheme="minorHAnsi" w:hAnsi="Arial" w:cs="Arial"/>
          <w:sz w:val="20"/>
          <w:szCs w:val="20"/>
        </w:rPr>
      </w:pPr>
    </w:p>
    <w:p w:rsidR="004C7F70" w:rsidRPr="00D51476" w:rsidRDefault="00231504" w:rsidP="00E732C1">
      <w:pPr>
        <w:rPr>
          <w:rFonts w:ascii="Arial" w:eastAsiaTheme="minorHAnsi" w:hAnsi="Arial" w:cs="Arial"/>
          <w:sz w:val="20"/>
          <w:szCs w:val="20"/>
        </w:rPr>
      </w:pPr>
      <w:r>
        <w:rPr>
          <w:rFonts w:ascii="Arial" w:eastAsiaTheme="minorHAnsi" w:hAnsi="Arial" w:cs="Arial"/>
          <w:sz w:val="20"/>
          <w:szCs w:val="20"/>
        </w:rPr>
        <w:t xml:space="preserve">A </w:t>
      </w:r>
      <w:r w:rsidR="00565C34">
        <w:rPr>
          <w:rFonts w:ascii="Arial" w:eastAsiaTheme="minorHAnsi" w:hAnsi="Arial" w:cs="Arial"/>
          <w:sz w:val="20"/>
          <w:szCs w:val="20"/>
        </w:rPr>
        <w:t xml:space="preserve">national </w:t>
      </w:r>
      <w:r w:rsidR="007B6B9C">
        <w:rPr>
          <w:rFonts w:ascii="Arial" w:eastAsiaTheme="minorHAnsi" w:hAnsi="Arial" w:cs="Arial"/>
          <w:sz w:val="20"/>
          <w:szCs w:val="20"/>
        </w:rPr>
        <w:t>f</w:t>
      </w:r>
      <w:r w:rsidR="00565C34">
        <w:rPr>
          <w:rFonts w:ascii="Arial" w:eastAsiaTheme="minorHAnsi" w:hAnsi="Arial" w:cs="Arial"/>
          <w:sz w:val="20"/>
          <w:szCs w:val="20"/>
        </w:rPr>
        <w:t>und</w:t>
      </w:r>
      <w:r w:rsidR="004C7F70" w:rsidRPr="00D51476">
        <w:rPr>
          <w:rFonts w:ascii="Arial" w:eastAsiaTheme="minorHAnsi" w:hAnsi="Arial" w:cs="Arial"/>
          <w:sz w:val="20"/>
          <w:szCs w:val="20"/>
        </w:rPr>
        <w:t xml:space="preserve"> would assess available freight demand data and submissions from government and the freight industry to develop forward</w:t>
      </w:r>
      <w:r>
        <w:rPr>
          <w:rFonts w:ascii="Arial" w:eastAsiaTheme="minorHAnsi" w:hAnsi="Arial" w:cs="Arial"/>
          <w:sz w:val="20"/>
          <w:szCs w:val="20"/>
        </w:rPr>
        <w:t>-</w:t>
      </w:r>
      <w:r w:rsidR="004C7F70" w:rsidRPr="00D51476">
        <w:rPr>
          <w:rFonts w:ascii="Arial" w:eastAsiaTheme="minorHAnsi" w:hAnsi="Arial" w:cs="Arial"/>
          <w:sz w:val="20"/>
          <w:szCs w:val="20"/>
        </w:rPr>
        <w:t xml:space="preserve">looking investment and maintenance plans </w:t>
      </w:r>
      <w:r>
        <w:rPr>
          <w:rFonts w:ascii="Arial" w:eastAsiaTheme="minorHAnsi" w:hAnsi="Arial" w:cs="Arial"/>
          <w:sz w:val="20"/>
          <w:szCs w:val="20"/>
        </w:rPr>
        <w:t>for T</w:t>
      </w:r>
      <w:r w:rsidR="004C7F70" w:rsidRPr="00D51476">
        <w:rPr>
          <w:rFonts w:ascii="Arial" w:eastAsiaTheme="minorHAnsi" w:hAnsi="Arial" w:cs="Arial"/>
          <w:sz w:val="20"/>
          <w:szCs w:val="20"/>
        </w:rPr>
        <w:t xml:space="preserve">ier 1 and </w:t>
      </w:r>
      <w:r>
        <w:rPr>
          <w:rFonts w:ascii="Arial" w:eastAsiaTheme="minorHAnsi" w:hAnsi="Arial" w:cs="Arial"/>
          <w:sz w:val="20"/>
          <w:szCs w:val="20"/>
        </w:rPr>
        <w:t>T</w:t>
      </w:r>
      <w:r w:rsidR="004C7F70" w:rsidRPr="00D51476">
        <w:rPr>
          <w:rFonts w:ascii="Arial" w:eastAsiaTheme="minorHAnsi" w:hAnsi="Arial" w:cs="Arial"/>
          <w:sz w:val="20"/>
          <w:szCs w:val="20"/>
        </w:rPr>
        <w:t xml:space="preserve">ier 2 networks. The result of these assessments would inform spending and charging requirements. The </w:t>
      </w:r>
      <w:r>
        <w:rPr>
          <w:rFonts w:ascii="Arial" w:eastAsiaTheme="minorHAnsi" w:hAnsi="Arial" w:cs="Arial"/>
          <w:sz w:val="20"/>
          <w:szCs w:val="20"/>
        </w:rPr>
        <w:t>F</w:t>
      </w:r>
      <w:r w:rsidR="004C7F70" w:rsidRPr="00D51476">
        <w:rPr>
          <w:rFonts w:ascii="Arial" w:eastAsiaTheme="minorHAnsi" w:hAnsi="Arial" w:cs="Arial"/>
          <w:sz w:val="20"/>
          <w:szCs w:val="20"/>
        </w:rPr>
        <w:t xml:space="preserve">und would be mostly financed from heavy vehicle road user charges. However, Government </w:t>
      </w:r>
      <w:r w:rsidR="0028389E">
        <w:rPr>
          <w:rFonts w:ascii="Arial" w:eastAsiaTheme="minorHAnsi" w:hAnsi="Arial" w:cs="Arial"/>
          <w:sz w:val="20"/>
          <w:szCs w:val="20"/>
        </w:rPr>
        <w:t>sh</w:t>
      </w:r>
      <w:r w:rsidR="004C7F70" w:rsidRPr="00D51476">
        <w:rPr>
          <w:rFonts w:ascii="Arial" w:eastAsiaTheme="minorHAnsi" w:hAnsi="Arial" w:cs="Arial"/>
          <w:sz w:val="20"/>
          <w:szCs w:val="20"/>
        </w:rPr>
        <w:t xml:space="preserve">ould provide additional funds </w:t>
      </w:r>
      <w:r w:rsidR="0028389E">
        <w:rPr>
          <w:rFonts w:ascii="Arial" w:eastAsiaTheme="minorHAnsi" w:hAnsi="Arial" w:cs="Arial"/>
          <w:sz w:val="20"/>
          <w:szCs w:val="20"/>
        </w:rPr>
        <w:t xml:space="preserve">to facilitate additional freight capacity and efficiency </w:t>
      </w:r>
      <w:r>
        <w:rPr>
          <w:rFonts w:ascii="Arial" w:eastAsiaTheme="minorHAnsi" w:hAnsi="Arial" w:cs="Arial"/>
          <w:sz w:val="20"/>
          <w:szCs w:val="20"/>
        </w:rPr>
        <w:t>as</w:t>
      </w:r>
      <w:r w:rsidRPr="00D51476">
        <w:rPr>
          <w:rFonts w:ascii="Arial" w:eastAsiaTheme="minorHAnsi" w:hAnsi="Arial" w:cs="Arial"/>
          <w:sz w:val="20"/>
          <w:szCs w:val="20"/>
        </w:rPr>
        <w:t xml:space="preserve"> </w:t>
      </w:r>
      <w:r w:rsidR="004C7F70" w:rsidRPr="00D51476">
        <w:rPr>
          <w:rFonts w:ascii="Arial" w:eastAsiaTheme="minorHAnsi" w:hAnsi="Arial" w:cs="Arial"/>
          <w:sz w:val="20"/>
          <w:szCs w:val="20"/>
        </w:rPr>
        <w:t xml:space="preserve">necessary. </w:t>
      </w:r>
    </w:p>
    <w:p w:rsidR="00367EB1" w:rsidRDefault="00367EB1" w:rsidP="00E732C1">
      <w:pPr>
        <w:rPr>
          <w:rFonts w:ascii="Arial" w:eastAsiaTheme="minorHAnsi" w:hAnsi="Arial" w:cs="Arial"/>
          <w:sz w:val="20"/>
          <w:szCs w:val="20"/>
        </w:rPr>
      </w:pPr>
    </w:p>
    <w:p w:rsidR="004C7F70" w:rsidRPr="00D51476" w:rsidRDefault="00231504" w:rsidP="00E732C1">
      <w:pPr>
        <w:rPr>
          <w:rFonts w:ascii="Arial" w:eastAsiaTheme="minorHAnsi" w:hAnsi="Arial" w:cs="Arial"/>
          <w:sz w:val="20"/>
          <w:szCs w:val="20"/>
        </w:rPr>
      </w:pPr>
      <w:r>
        <w:rPr>
          <w:rFonts w:ascii="Arial" w:eastAsiaTheme="minorHAnsi" w:hAnsi="Arial" w:cs="Arial"/>
          <w:sz w:val="20"/>
          <w:szCs w:val="20"/>
        </w:rPr>
        <w:t>An</w:t>
      </w:r>
      <w:r w:rsidRPr="00D51476">
        <w:rPr>
          <w:rFonts w:ascii="Arial" w:eastAsiaTheme="minorHAnsi" w:hAnsi="Arial" w:cs="Arial"/>
          <w:sz w:val="20"/>
          <w:szCs w:val="20"/>
        </w:rPr>
        <w:t xml:space="preserve"> </w:t>
      </w:r>
      <w:r>
        <w:rPr>
          <w:rFonts w:ascii="Arial" w:eastAsiaTheme="minorHAnsi" w:hAnsi="Arial" w:cs="Arial"/>
          <w:sz w:val="20"/>
          <w:szCs w:val="20"/>
        </w:rPr>
        <w:t>i</w:t>
      </w:r>
      <w:r w:rsidRPr="00D51476">
        <w:rPr>
          <w:rFonts w:ascii="Arial" w:eastAsiaTheme="minorHAnsi" w:hAnsi="Arial" w:cs="Arial"/>
          <w:sz w:val="20"/>
          <w:szCs w:val="20"/>
        </w:rPr>
        <w:t xml:space="preserve">ndependent </w:t>
      </w:r>
      <w:r w:rsidR="007B6B9C">
        <w:rPr>
          <w:rFonts w:ascii="Arial" w:eastAsiaTheme="minorHAnsi" w:hAnsi="Arial" w:cs="Arial"/>
          <w:sz w:val="20"/>
          <w:szCs w:val="20"/>
        </w:rPr>
        <w:t>f</w:t>
      </w:r>
      <w:r w:rsidRPr="00D51476">
        <w:rPr>
          <w:rFonts w:ascii="Arial" w:eastAsiaTheme="minorHAnsi" w:hAnsi="Arial" w:cs="Arial"/>
          <w:sz w:val="20"/>
          <w:szCs w:val="20"/>
        </w:rPr>
        <w:t xml:space="preserve">und </w:t>
      </w:r>
      <w:r w:rsidR="004C7F70" w:rsidRPr="00D51476">
        <w:rPr>
          <w:rFonts w:ascii="Arial" w:eastAsiaTheme="minorHAnsi" w:hAnsi="Arial" w:cs="Arial"/>
          <w:sz w:val="20"/>
          <w:szCs w:val="20"/>
        </w:rPr>
        <w:t xml:space="preserve">would address current weaknesses </w:t>
      </w:r>
      <w:r>
        <w:rPr>
          <w:rFonts w:ascii="Arial" w:eastAsiaTheme="minorHAnsi" w:hAnsi="Arial" w:cs="Arial"/>
          <w:sz w:val="20"/>
          <w:szCs w:val="20"/>
        </w:rPr>
        <w:t>in</w:t>
      </w:r>
      <w:r w:rsidRPr="00D51476">
        <w:rPr>
          <w:rFonts w:ascii="Arial" w:eastAsiaTheme="minorHAnsi" w:hAnsi="Arial" w:cs="Arial"/>
          <w:sz w:val="20"/>
          <w:szCs w:val="20"/>
        </w:rPr>
        <w:t xml:space="preserve"> </w:t>
      </w:r>
      <w:r w:rsidR="004C7F70" w:rsidRPr="00D51476">
        <w:rPr>
          <w:rFonts w:ascii="Arial" w:eastAsiaTheme="minorHAnsi" w:hAnsi="Arial" w:cs="Arial"/>
          <w:sz w:val="20"/>
          <w:szCs w:val="20"/>
        </w:rPr>
        <w:t xml:space="preserve">road supply arrangements by providing consistent leadership and </w:t>
      </w:r>
      <w:r>
        <w:rPr>
          <w:rFonts w:ascii="Arial" w:eastAsiaTheme="minorHAnsi" w:hAnsi="Arial" w:cs="Arial"/>
          <w:sz w:val="20"/>
          <w:szCs w:val="20"/>
        </w:rPr>
        <w:t xml:space="preserve">policy </w:t>
      </w:r>
      <w:r w:rsidR="004C7F70" w:rsidRPr="00D51476">
        <w:rPr>
          <w:rFonts w:ascii="Arial" w:eastAsiaTheme="minorHAnsi" w:hAnsi="Arial" w:cs="Arial"/>
          <w:sz w:val="20"/>
          <w:szCs w:val="20"/>
        </w:rPr>
        <w:t>cohesion in</w:t>
      </w:r>
      <w:r>
        <w:rPr>
          <w:rFonts w:ascii="Arial" w:eastAsiaTheme="minorHAnsi" w:hAnsi="Arial" w:cs="Arial"/>
          <w:sz w:val="20"/>
          <w:szCs w:val="20"/>
        </w:rPr>
        <w:t xml:space="preserve"> terms of</w:t>
      </w:r>
      <w:r w:rsidR="004C7F70" w:rsidRPr="00D51476">
        <w:rPr>
          <w:rFonts w:ascii="Arial" w:eastAsiaTheme="minorHAnsi" w:hAnsi="Arial" w:cs="Arial"/>
          <w:sz w:val="20"/>
          <w:szCs w:val="20"/>
        </w:rPr>
        <w:t xml:space="preserve"> road supply maintenance, investment and planning. </w:t>
      </w:r>
    </w:p>
    <w:p w:rsidR="00666814" w:rsidRDefault="00666814" w:rsidP="00E732C1">
      <w:pPr>
        <w:rPr>
          <w:rFonts w:ascii="Arial" w:eastAsiaTheme="minorHAnsi" w:hAnsi="Arial" w:cs="Arial"/>
          <w:sz w:val="20"/>
          <w:szCs w:val="20"/>
        </w:rPr>
      </w:pPr>
    </w:p>
    <w:p w:rsidR="004C7F70" w:rsidRPr="00D51476" w:rsidRDefault="004C7F70" w:rsidP="00E732C1">
      <w:pPr>
        <w:rPr>
          <w:rFonts w:ascii="Arial" w:eastAsiaTheme="minorHAnsi" w:hAnsi="Arial" w:cs="Arial"/>
          <w:sz w:val="20"/>
          <w:szCs w:val="20"/>
        </w:rPr>
      </w:pPr>
      <w:r w:rsidRPr="00D51476">
        <w:rPr>
          <w:rFonts w:ascii="Arial" w:eastAsiaTheme="minorHAnsi" w:hAnsi="Arial" w:cs="Arial"/>
          <w:sz w:val="20"/>
          <w:szCs w:val="20"/>
        </w:rPr>
        <w:t xml:space="preserve">PwC recommended that political power </w:t>
      </w:r>
      <w:r w:rsidR="00231504">
        <w:rPr>
          <w:rFonts w:ascii="Arial" w:eastAsiaTheme="minorHAnsi" w:hAnsi="Arial" w:cs="Arial"/>
          <w:sz w:val="20"/>
          <w:szCs w:val="20"/>
        </w:rPr>
        <w:t xml:space="preserve">(Ministerial discretion) </w:t>
      </w:r>
      <w:r w:rsidRPr="00D51476">
        <w:rPr>
          <w:rFonts w:ascii="Arial" w:eastAsiaTheme="minorHAnsi" w:hAnsi="Arial" w:cs="Arial"/>
          <w:sz w:val="20"/>
          <w:szCs w:val="20"/>
        </w:rPr>
        <w:t xml:space="preserve">over spending decisions should not be fully removed. Ministers </w:t>
      </w:r>
      <w:r w:rsidR="00231504">
        <w:rPr>
          <w:rFonts w:ascii="Arial" w:eastAsiaTheme="minorHAnsi" w:hAnsi="Arial" w:cs="Arial"/>
          <w:sz w:val="20"/>
          <w:szCs w:val="20"/>
        </w:rPr>
        <w:t>sh</w:t>
      </w:r>
      <w:r w:rsidRPr="00D51476">
        <w:rPr>
          <w:rFonts w:ascii="Arial" w:eastAsiaTheme="minorHAnsi" w:hAnsi="Arial" w:cs="Arial"/>
          <w:sz w:val="20"/>
          <w:szCs w:val="20"/>
        </w:rPr>
        <w:t xml:space="preserve">ould set the objectives, </w:t>
      </w:r>
      <w:r w:rsidR="00231504">
        <w:rPr>
          <w:rFonts w:ascii="Arial" w:eastAsiaTheme="minorHAnsi" w:hAnsi="Arial" w:cs="Arial"/>
          <w:sz w:val="20"/>
          <w:szCs w:val="20"/>
        </w:rPr>
        <w:t>desired</w:t>
      </w:r>
      <w:r w:rsidR="00231504"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outcomes and operating principles of the autonomous body through overarching legislation and the endorsement of a </w:t>
      </w:r>
      <w:r w:rsidR="00231504">
        <w:rPr>
          <w:rFonts w:ascii="Arial" w:eastAsiaTheme="minorHAnsi" w:hAnsi="Arial" w:cs="Arial"/>
          <w:sz w:val="20"/>
          <w:szCs w:val="20"/>
        </w:rPr>
        <w:t>‘</w:t>
      </w:r>
      <w:r w:rsidR="00231504" w:rsidRPr="00D51476">
        <w:rPr>
          <w:rFonts w:ascii="Arial" w:eastAsiaTheme="minorHAnsi" w:hAnsi="Arial" w:cs="Arial"/>
          <w:sz w:val="20"/>
          <w:szCs w:val="20"/>
        </w:rPr>
        <w:t>Master Plan</w:t>
      </w:r>
      <w:r w:rsidR="00231504">
        <w:rPr>
          <w:rFonts w:ascii="Arial" w:eastAsiaTheme="minorHAnsi" w:hAnsi="Arial" w:cs="Arial"/>
          <w:sz w:val="20"/>
          <w:szCs w:val="20"/>
        </w:rPr>
        <w:t>’</w:t>
      </w:r>
      <w:r w:rsidRPr="00D51476">
        <w:rPr>
          <w:rFonts w:ascii="Arial" w:eastAsiaTheme="minorHAnsi" w:hAnsi="Arial" w:cs="Arial"/>
          <w:sz w:val="20"/>
          <w:szCs w:val="20"/>
        </w:rPr>
        <w:t xml:space="preserve">. </w:t>
      </w:r>
    </w:p>
    <w:p w:rsidR="00666814" w:rsidRDefault="00666814" w:rsidP="00E732C1">
      <w:pPr>
        <w:rPr>
          <w:rFonts w:ascii="Arial" w:eastAsiaTheme="minorHAnsi" w:hAnsi="Arial" w:cs="Arial"/>
          <w:sz w:val="20"/>
          <w:szCs w:val="20"/>
        </w:rPr>
      </w:pPr>
    </w:p>
    <w:p w:rsidR="004C7F70" w:rsidRDefault="004C7F70" w:rsidP="00E732C1">
      <w:pPr>
        <w:rPr>
          <w:rFonts w:ascii="Arial" w:eastAsiaTheme="minorHAnsi" w:hAnsi="Arial" w:cs="Arial"/>
          <w:sz w:val="20"/>
          <w:szCs w:val="20"/>
        </w:rPr>
      </w:pPr>
      <w:r w:rsidRPr="00D51476">
        <w:rPr>
          <w:rFonts w:ascii="Arial" w:eastAsiaTheme="minorHAnsi" w:hAnsi="Arial" w:cs="Arial"/>
          <w:sz w:val="20"/>
          <w:szCs w:val="20"/>
        </w:rPr>
        <w:t xml:space="preserve">Ministers would also </w:t>
      </w:r>
      <w:r w:rsidR="00231504">
        <w:rPr>
          <w:rFonts w:ascii="Arial" w:eastAsiaTheme="minorHAnsi" w:hAnsi="Arial" w:cs="Arial"/>
          <w:sz w:val="20"/>
          <w:szCs w:val="20"/>
        </w:rPr>
        <w:t>retain</w:t>
      </w:r>
      <w:r w:rsidRPr="00D51476">
        <w:rPr>
          <w:rFonts w:ascii="Arial" w:eastAsiaTheme="minorHAnsi" w:hAnsi="Arial" w:cs="Arial"/>
          <w:sz w:val="20"/>
          <w:szCs w:val="20"/>
        </w:rPr>
        <w:t xml:space="preserve"> power</w:t>
      </w:r>
      <w:r w:rsidR="00231504">
        <w:rPr>
          <w:rFonts w:ascii="Arial" w:eastAsiaTheme="minorHAnsi" w:hAnsi="Arial" w:cs="Arial"/>
          <w:sz w:val="20"/>
          <w:szCs w:val="20"/>
        </w:rPr>
        <w:t>s</w:t>
      </w:r>
      <w:r w:rsidRPr="00D51476">
        <w:rPr>
          <w:rFonts w:ascii="Arial" w:eastAsiaTheme="minorHAnsi" w:hAnsi="Arial" w:cs="Arial"/>
          <w:sz w:val="20"/>
          <w:szCs w:val="20"/>
        </w:rPr>
        <w:t xml:space="preserve"> of direction </w:t>
      </w:r>
      <w:r w:rsidR="00231504">
        <w:rPr>
          <w:rFonts w:ascii="Arial" w:eastAsiaTheme="minorHAnsi" w:hAnsi="Arial" w:cs="Arial"/>
          <w:sz w:val="20"/>
          <w:szCs w:val="20"/>
        </w:rPr>
        <w:t>for use</w:t>
      </w:r>
      <w:r w:rsidRPr="00D51476">
        <w:rPr>
          <w:rFonts w:ascii="Arial" w:eastAsiaTheme="minorHAnsi" w:hAnsi="Arial" w:cs="Arial"/>
          <w:sz w:val="20"/>
          <w:szCs w:val="20"/>
        </w:rPr>
        <w:t xml:space="preserve"> in exceptional circumstances.</w:t>
      </w:r>
      <w:r w:rsidR="00231504">
        <w:rPr>
          <w:rFonts w:ascii="Arial" w:eastAsiaTheme="minorHAnsi" w:hAnsi="Arial" w:cs="Arial"/>
          <w:sz w:val="20"/>
          <w:szCs w:val="20"/>
        </w:rPr>
        <w:t xml:space="preserve"> </w:t>
      </w:r>
    </w:p>
    <w:p w:rsidR="004C7F70" w:rsidRDefault="004C7F70" w:rsidP="00E732C1">
      <w:pPr>
        <w:rPr>
          <w:rFonts w:ascii="Arial" w:eastAsiaTheme="minorHAnsi" w:hAnsi="Arial" w:cs="Arial"/>
          <w:sz w:val="20"/>
          <w:szCs w:val="20"/>
        </w:rPr>
      </w:pPr>
      <w:r w:rsidRPr="00D51476">
        <w:rPr>
          <w:rFonts w:ascii="Arial" w:eastAsiaTheme="minorHAnsi" w:hAnsi="Arial" w:cs="Arial"/>
          <w:sz w:val="20"/>
          <w:szCs w:val="20"/>
        </w:rPr>
        <w:t xml:space="preserve">The intricacies of such an approach </w:t>
      </w:r>
      <w:r w:rsidR="00231504">
        <w:rPr>
          <w:rFonts w:ascii="Arial" w:eastAsiaTheme="minorHAnsi" w:hAnsi="Arial" w:cs="Arial"/>
          <w:sz w:val="20"/>
          <w:szCs w:val="20"/>
        </w:rPr>
        <w:t>demand</w:t>
      </w:r>
      <w:r w:rsidR="00231504"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further exploration once </w:t>
      </w:r>
      <w:r w:rsidR="00231504">
        <w:rPr>
          <w:rFonts w:ascii="Arial" w:eastAsiaTheme="minorHAnsi" w:hAnsi="Arial" w:cs="Arial"/>
          <w:sz w:val="20"/>
          <w:szCs w:val="20"/>
        </w:rPr>
        <w:t>all</w:t>
      </w:r>
      <w:r w:rsidR="00231504" w:rsidRPr="00D51476">
        <w:rPr>
          <w:rFonts w:ascii="Arial" w:eastAsiaTheme="minorHAnsi" w:hAnsi="Arial" w:cs="Arial"/>
          <w:sz w:val="20"/>
          <w:szCs w:val="20"/>
        </w:rPr>
        <w:t xml:space="preserve"> </w:t>
      </w:r>
      <w:r w:rsidRPr="00D51476">
        <w:rPr>
          <w:rFonts w:ascii="Arial" w:eastAsiaTheme="minorHAnsi" w:hAnsi="Arial" w:cs="Arial"/>
          <w:sz w:val="20"/>
          <w:szCs w:val="20"/>
        </w:rPr>
        <w:t xml:space="preserve">short term </w:t>
      </w:r>
      <w:r w:rsidR="00231504">
        <w:rPr>
          <w:rFonts w:ascii="Arial" w:eastAsiaTheme="minorHAnsi" w:hAnsi="Arial" w:cs="Arial"/>
          <w:sz w:val="20"/>
          <w:szCs w:val="20"/>
        </w:rPr>
        <w:t xml:space="preserve">PwC </w:t>
      </w:r>
      <w:r w:rsidRPr="00D51476">
        <w:rPr>
          <w:rFonts w:ascii="Arial" w:eastAsiaTheme="minorHAnsi" w:hAnsi="Arial" w:cs="Arial"/>
          <w:sz w:val="20"/>
          <w:szCs w:val="20"/>
        </w:rPr>
        <w:t xml:space="preserve">recommendations have been adopted. </w:t>
      </w:r>
    </w:p>
    <w:p w:rsidR="006F07EE" w:rsidRDefault="006F07EE" w:rsidP="00E732C1">
      <w:pPr>
        <w:rPr>
          <w:rFonts w:ascii="Arial" w:eastAsiaTheme="minorHAnsi" w:hAnsi="Arial" w:cs="Arial"/>
          <w:sz w:val="20"/>
          <w:szCs w:val="20"/>
        </w:rPr>
      </w:pPr>
      <w:bookmarkStart w:id="107" w:name="_Toc361217280"/>
      <w:bookmarkEnd w:id="107"/>
    </w:p>
    <w:p w:rsidR="00D316F7" w:rsidRDefault="00565C34" w:rsidP="00E732C1">
      <w:pPr>
        <w:rPr>
          <w:rFonts w:ascii="Arial" w:eastAsiaTheme="minorHAnsi" w:hAnsi="Arial" w:cs="Arial"/>
          <w:sz w:val="20"/>
          <w:szCs w:val="20"/>
        </w:rPr>
      </w:pPr>
      <w:r>
        <w:rPr>
          <w:rFonts w:ascii="Arial" w:eastAsiaTheme="minorHAnsi" w:hAnsi="Arial" w:cs="Arial"/>
          <w:sz w:val="20"/>
          <w:szCs w:val="20"/>
        </w:rPr>
        <w:t>IA</w:t>
      </w:r>
      <w:r w:rsidR="00D316F7">
        <w:rPr>
          <w:rFonts w:ascii="Arial" w:eastAsiaTheme="minorHAnsi" w:hAnsi="Arial" w:cs="Arial"/>
          <w:sz w:val="20"/>
          <w:szCs w:val="20"/>
        </w:rPr>
        <w:t xml:space="preserve"> </w:t>
      </w:r>
      <w:r w:rsidR="00231504">
        <w:rPr>
          <w:rFonts w:ascii="Arial" w:eastAsiaTheme="minorHAnsi" w:hAnsi="Arial" w:cs="Arial"/>
          <w:sz w:val="20"/>
          <w:szCs w:val="20"/>
        </w:rPr>
        <w:t xml:space="preserve">has similarly </w:t>
      </w:r>
      <w:r w:rsidR="00D316F7">
        <w:rPr>
          <w:rFonts w:ascii="Arial" w:eastAsiaTheme="minorHAnsi" w:hAnsi="Arial" w:cs="Arial"/>
          <w:sz w:val="20"/>
          <w:szCs w:val="20"/>
        </w:rPr>
        <w:t xml:space="preserve">recommended </w:t>
      </w:r>
      <w:r w:rsidR="00231504">
        <w:rPr>
          <w:rFonts w:ascii="Arial" w:eastAsiaTheme="minorHAnsi" w:hAnsi="Arial" w:cs="Arial"/>
          <w:sz w:val="20"/>
          <w:szCs w:val="20"/>
        </w:rPr>
        <w:t xml:space="preserve">creating </w:t>
      </w:r>
      <w:r w:rsidR="00D316F7">
        <w:rPr>
          <w:rFonts w:ascii="Arial" w:eastAsiaTheme="minorHAnsi" w:hAnsi="Arial" w:cs="Arial"/>
          <w:sz w:val="20"/>
          <w:szCs w:val="20"/>
        </w:rPr>
        <w:t xml:space="preserve">a single national infrastructure fund. </w:t>
      </w:r>
      <w:r w:rsidR="00231504">
        <w:rPr>
          <w:rFonts w:ascii="Arial" w:eastAsiaTheme="minorHAnsi" w:hAnsi="Arial" w:cs="Arial"/>
          <w:sz w:val="20"/>
          <w:szCs w:val="20"/>
        </w:rPr>
        <w:t xml:space="preserve">It </w:t>
      </w:r>
      <w:r w:rsidR="00D316F7">
        <w:rPr>
          <w:rFonts w:ascii="Arial" w:eastAsiaTheme="minorHAnsi" w:hAnsi="Arial" w:cs="Arial"/>
          <w:sz w:val="20"/>
          <w:szCs w:val="20"/>
        </w:rPr>
        <w:t>recommend</w:t>
      </w:r>
      <w:r w:rsidR="00231504">
        <w:rPr>
          <w:rFonts w:ascii="Arial" w:eastAsiaTheme="minorHAnsi" w:hAnsi="Arial" w:cs="Arial"/>
          <w:sz w:val="20"/>
          <w:szCs w:val="20"/>
        </w:rPr>
        <w:t>s</w:t>
      </w:r>
      <w:r w:rsidR="00D316F7">
        <w:rPr>
          <w:rFonts w:ascii="Arial" w:eastAsiaTheme="minorHAnsi" w:hAnsi="Arial" w:cs="Arial"/>
          <w:sz w:val="20"/>
          <w:szCs w:val="20"/>
        </w:rPr>
        <w:t xml:space="preserve"> that Commonwealth fund</w:t>
      </w:r>
      <w:r w:rsidR="00231504">
        <w:rPr>
          <w:rFonts w:ascii="Arial" w:eastAsiaTheme="minorHAnsi" w:hAnsi="Arial" w:cs="Arial"/>
          <w:sz w:val="20"/>
          <w:szCs w:val="20"/>
        </w:rPr>
        <w:t>ing</w:t>
      </w:r>
      <w:r w:rsidR="00D316F7">
        <w:rPr>
          <w:rFonts w:ascii="Arial" w:eastAsiaTheme="minorHAnsi" w:hAnsi="Arial" w:cs="Arial"/>
          <w:sz w:val="20"/>
          <w:szCs w:val="20"/>
        </w:rPr>
        <w:t xml:space="preserve"> for all types of infrastructure be consolidated into a single assessment and prioritisation process.</w:t>
      </w:r>
      <w:r w:rsidR="00666814">
        <w:rPr>
          <w:rFonts w:ascii="Arial" w:eastAsiaTheme="minorHAnsi" w:hAnsi="Arial" w:cs="Arial"/>
          <w:sz w:val="20"/>
          <w:szCs w:val="20"/>
        </w:rPr>
        <w:t xml:space="preserve"> The result would be that only</w:t>
      </w:r>
      <w:r w:rsidR="00D316F7">
        <w:rPr>
          <w:rFonts w:ascii="Arial" w:eastAsiaTheme="minorHAnsi" w:hAnsi="Arial" w:cs="Arial"/>
          <w:sz w:val="20"/>
          <w:szCs w:val="20"/>
        </w:rPr>
        <w:t xml:space="preserve"> the best projects </w:t>
      </w:r>
      <w:r w:rsidR="00161B2B">
        <w:rPr>
          <w:rFonts w:ascii="Arial" w:eastAsiaTheme="minorHAnsi" w:hAnsi="Arial" w:cs="Arial"/>
          <w:sz w:val="20"/>
          <w:szCs w:val="20"/>
        </w:rPr>
        <w:t xml:space="preserve">amongst the </w:t>
      </w:r>
      <w:r w:rsidR="00D316F7">
        <w:rPr>
          <w:rFonts w:ascii="Arial" w:eastAsiaTheme="minorHAnsi" w:hAnsi="Arial" w:cs="Arial"/>
          <w:sz w:val="20"/>
          <w:szCs w:val="20"/>
        </w:rPr>
        <w:t>different types of</w:t>
      </w:r>
      <w:r w:rsidR="00161B2B">
        <w:rPr>
          <w:rFonts w:ascii="Arial" w:eastAsiaTheme="minorHAnsi" w:hAnsi="Arial" w:cs="Arial"/>
          <w:sz w:val="20"/>
          <w:szCs w:val="20"/>
        </w:rPr>
        <w:t xml:space="preserve"> </w:t>
      </w:r>
      <w:r w:rsidR="00666814">
        <w:rPr>
          <w:rFonts w:ascii="Arial" w:eastAsiaTheme="minorHAnsi" w:hAnsi="Arial" w:cs="Arial"/>
          <w:sz w:val="20"/>
          <w:szCs w:val="20"/>
        </w:rPr>
        <w:t>infrastructure</w:t>
      </w:r>
      <w:r w:rsidR="00D316F7">
        <w:rPr>
          <w:rFonts w:ascii="Arial" w:eastAsiaTheme="minorHAnsi" w:hAnsi="Arial" w:cs="Arial"/>
          <w:sz w:val="20"/>
          <w:szCs w:val="20"/>
        </w:rPr>
        <w:t xml:space="preserve"> would be funded and delivered. </w:t>
      </w:r>
      <w:r>
        <w:rPr>
          <w:rFonts w:ascii="Arial" w:eastAsiaTheme="minorHAnsi" w:hAnsi="Arial" w:cs="Arial"/>
          <w:sz w:val="20"/>
          <w:szCs w:val="20"/>
        </w:rPr>
        <w:t xml:space="preserve"> </w:t>
      </w:r>
      <w:r w:rsidR="00D316F7">
        <w:rPr>
          <w:rFonts w:ascii="Arial" w:eastAsiaTheme="minorHAnsi" w:hAnsi="Arial" w:cs="Arial"/>
          <w:sz w:val="20"/>
          <w:szCs w:val="20"/>
        </w:rPr>
        <w:t xml:space="preserve">The single assessment and prioritisation framework will ensure all major projects </w:t>
      </w:r>
      <w:r w:rsidR="00666814">
        <w:rPr>
          <w:rFonts w:ascii="Arial" w:eastAsiaTheme="minorHAnsi" w:hAnsi="Arial" w:cs="Arial"/>
          <w:sz w:val="20"/>
          <w:szCs w:val="20"/>
        </w:rPr>
        <w:t xml:space="preserve">would involve </w:t>
      </w:r>
      <w:r w:rsidR="00D316F7">
        <w:rPr>
          <w:rFonts w:ascii="Arial" w:eastAsiaTheme="minorHAnsi" w:hAnsi="Arial" w:cs="Arial"/>
          <w:sz w:val="20"/>
          <w:szCs w:val="20"/>
        </w:rPr>
        <w:t xml:space="preserve">informed decisions, supported by </w:t>
      </w:r>
      <w:r w:rsidR="00161B2B">
        <w:rPr>
          <w:rFonts w:ascii="Arial" w:eastAsiaTheme="minorHAnsi" w:hAnsi="Arial" w:cs="Arial"/>
          <w:sz w:val="20"/>
          <w:szCs w:val="20"/>
        </w:rPr>
        <w:t xml:space="preserve">an </w:t>
      </w:r>
      <w:r w:rsidR="00D316F7">
        <w:rPr>
          <w:rFonts w:ascii="Arial" w:eastAsiaTheme="minorHAnsi" w:hAnsi="Arial" w:cs="Arial"/>
          <w:sz w:val="20"/>
          <w:szCs w:val="20"/>
        </w:rPr>
        <w:t xml:space="preserve">independently assessed </w:t>
      </w:r>
      <w:r w:rsidR="00161B2B">
        <w:rPr>
          <w:rFonts w:ascii="Arial" w:eastAsiaTheme="minorHAnsi" w:hAnsi="Arial" w:cs="Arial"/>
          <w:sz w:val="20"/>
          <w:szCs w:val="20"/>
        </w:rPr>
        <w:t>Cost Benefit Analysis</w:t>
      </w:r>
      <w:r w:rsidR="00D316F7">
        <w:rPr>
          <w:rStyle w:val="FootnoteReference"/>
          <w:rFonts w:ascii="Arial" w:eastAsiaTheme="minorHAnsi" w:hAnsi="Arial"/>
          <w:sz w:val="20"/>
          <w:szCs w:val="20"/>
        </w:rPr>
        <w:footnoteReference w:id="5"/>
      </w:r>
      <w:r w:rsidR="00D316F7">
        <w:rPr>
          <w:rFonts w:ascii="Arial" w:eastAsiaTheme="minorHAnsi" w:hAnsi="Arial" w:cs="Arial"/>
          <w:sz w:val="20"/>
          <w:szCs w:val="20"/>
        </w:rPr>
        <w:t xml:space="preserve">. </w:t>
      </w:r>
    </w:p>
    <w:p w:rsidR="00617F3D" w:rsidRDefault="00617F3D">
      <w:pPr>
        <w:rPr>
          <w:rFonts w:ascii="Arial" w:hAnsi="Arial" w:cs="Arial"/>
          <w:b/>
          <w:color w:val="000064"/>
          <w:sz w:val="28"/>
          <w:szCs w:val="28"/>
        </w:rPr>
      </w:pPr>
      <w:bookmarkStart w:id="108" w:name="_Toc361821334"/>
      <w:bookmarkStart w:id="109" w:name="_Toc361822864"/>
      <w:bookmarkEnd w:id="108"/>
      <w:bookmarkEnd w:id="109"/>
      <w:r>
        <w:br w:type="page"/>
      </w:r>
    </w:p>
    <w:p w:rsidR="004C7F70" w:rsidRPr="00D51476" w:rsidRDefault="00565C34" w:rsidP="00793431">
      <w:pPr>
        <w:pStyle w:val="Heading1"/>
        <w:numPr>
          <w:ilvl w:val="0"/>
          <w:numId w:val="3"/>
        </w:numPr>
      </w:pPr>
      <w:bookmarkStart w:id="110" w:name="_Toc362528130"/>
      <w:r>
        <w:lastRenderedPageBreak/>
        <w:t>Intricacies</w:t>
      </w:r>
      <w:r w:rsidR="009134F4" w:rsidRPr="00D51476">
        <w:t xml:space="preserve"> </w:t>
      </w:r>
      <w:r w:rsidR="004C7F70" w:rsidRPr="00D51476">
        <w:t>of supply side reform</w:t>
      </w:r>
      <w:bookmarkEnd w:id="110"/>
    </w:p>
    <w:p w:rsidR="004C7F70" w:rsidRPr="00D51476" w:rsidRDefault="004C7F70" w:rsidP="004C7F70">
      <w:pPr>
        <w:rPr>
          <w:rFonts w:ascii="Arial" w:hAnsi="Arial" w:cs="Arial"/>
          <w:sz w:val="20"/>
          <w:szCs w:val="20"/>
        </w:rPr>
      </w:pPr>
    </w:p>
    <w:p w:rsidR="009134F4" w:rsidRDefault="004C7F70" w:rsidP="004C7F70">
      <w:pPr>
        <w:rPr>
          <w:rFonts w:ascii="Arial" w:hAnsi="Arial" w:cs="Arial"/>
          <w:sz w:val="20"/>
          <w:szCs w:val="20"/>
        </w:rPr>
      </w:pPr>
      <w:r w:rsidRPr="00D51476">
        <w:rPr>
          <w:rFonts w:ascii="Arial" w:hAnsi="Arial" w:cs="Arial"/>
          <w:sz w:val="20"/>
          <w:szCs w:val="20"/>
        </w:rPr>
        <w:t xml:space="preserve">The recommendations </w:t>
      </w:r>
      <w:r w:rsidR="009A6DD3" w:rsidRPr="00D51476">
        <w:rPr>
          <w:rFonts w:ascii="Arial" w:hAnsi="Arial" w:cs="Arial"/>
          <w:sz w:val="20"/>
          <w:szCs w:val="20"/>
        </w:rPr>
        <w:t xml:space="preserve">above </w:t>
      </w:r>
      <w:r w:rsidRPr="00D51476">
        <w:rPr>
          <w:rFonts w:ascii="Arial" w:hAnsi="Arial" w:cs="Arial"/>
          <w:sz w:val="20"/>
          <w:szCs w:val="20"/>
        </w:rPr>
        <w:t>are changes that need to be ma</w:t>
      </w:r>
      <w:r w:rsidR="005850EE">
        <w:rPr>
          <w:rFonts w:ascii="Arial" w:hAnsi="Arial" w:cs="Arial"/>
          <w:sz w:val="20"/>
          <w:szCs w:val="20"/>
        </w:rPr>
        <w:t>de to the supply side</w:t>
      </w:r>
      <w:r w:rsidR="009A6DD3">
        <w:rPr>
          <w:rFonts w:ascii="Arial" w:hAnsi="Arial" w:cs="Arial"/>
          <w:sz w:val="20"/>
          <w:szCs w:val="20"/>
        </w:rPr>
        <w:t xml:space="preserve"> of infrastructure (road) provision</w:t>
      </w:r>
      <w:r w:rsidR="005850EE">
        <w:rPr>
          <w:rFonts w:ascii="Arial" w:hAnsi="Arial" w:cs="Arial"/>
          <w:sz w:val="20"/>
          <w:szCs w:val="20"/>
        </w:rPr>
        <w:t>. T</w:t>
      </w:r>
      <w:r w:rsidRPr="00D51476">
        <w:rPr>
          <w:rFonts w:ascii="Arial" w:hAnsi="Arial" w:cs="Arial"/>
          <w:sz w:val="20"/>
          <w:szCs w:val="20"/>
        </w:rPr>
        <w:t xml:space="preserve">he </w:t>
      </w:r>
      <w:r w:rsidR="009A6DD3">
        <w:rPr>
          <w:rFonts w:ascii="Arial" w:hAnsi="Arial" w:cs="Arial"/>
          <w:sz w:val="20"/>
          <w:szCs w:val="20"/>
        </w:rPr>
        <w:t>C</w:t>
      </w:r>
      <w:r w:rsidRPr="00D51476">
        <w:rPr>
          <w:rFonts w:ascii="Arial" w:hAnsi="Arial" w:cs="Arial"/>
          <w:sz w:val="20"/>
          <w:szCs w:val="20"/>
        </w:rPr>
        <w:t xml:space="preserve">o-design </w:t>
      </w:r>
      <w:r w:rsidR="009A6DD3">
        <w:rPr>
          <w:rFonts w:ascii="Arial" w:hAnsi="Arial" w:cs="Arial"/>
          <w:sz w:val="20"/>
          <w:szCs w:val="20"/>
        </w:rPr>
        <w:t>W</w:t>
      </w:r>
      <w:r w:rsidRPr="00D51476">
        <w:rPr>
          <w:rFonts w:ascii="Arial" w:hAnsi="Arial" w:cs="Arial"/>
          <w:sz w:val="20"/>
          <w:szCs w:val="20"/>
        </w:rPr>
        <w:t>orkshops</w:t>
      </w:r>
      <w:r w:rsidR="005850EE">
        <w:rPr>
          <w:rFonts w:ascii="Arial" w:hAnsi="Arial" w:cs="Arial"/>
          <w:sz w:val="20"/>
          <w:szCs w:val="20"/>
        </w:rPr>
        <w:t xml:space="preserve"> </w:t>
      </w:r>
      <w:r w:rsidRPr="00D51476">
        <w:rPr>
          <w:rFonts w:ascii="Arial" w:hAnsi="Arial" w:cs="Arial"/>
          <w:sz w:val="20"/>
          <w:szCs w:val="20"/>
        </w:rPr>
        <w:t>highlighted the need for practical reform</w:t>
      </w:r>
      <w:r w:rsidR="009A6DD3">
        <w:rPr>
          <w:rFonts w:ascii="Arial" w:hAnsi="Arial" w:cs="Arial"/>
          <w:sz w:val="20"/>
          <w:szCs w:val="20"/>
        </w:rPr>
        <w:t>s</w:t>
      </w:r>
      <w:r w:rsidRPr="00D51476">
        <w:rPr>
          <w:rFonts w:ascii="Arial" w:hAnsi="Arial" w:cs="Arial"/>
          <w:sz w:val="20"/>
          <w:szCs w:val="20"/>
        </w:rPr>
        <w:t xml:space="preserve"> and a workable framework for how road agencies and industry </w:t>
      </w:r>
      <w:r w:rsidR="009A6DD3">
        <w:rPr>
          <w:rFonts w:ascii="Arial" w:hAnsi="Arial" w:cs="Arial"/>
          <w:sz w:val="20"/>
          <w:szCs w:val="20"/>
        </w:rPr>
        <w:t xml:space="preserve">will </w:t>
      </w:r>
      <w:r w:rsidRPr="00D51476">
        <w:rPr>
          <w:rFonts w:ascii="Arial" w:hAnsi="Arial" w:cs="Arial"/>
          <w:sz w:val="20"/>
          <w:szCs w:val="20"/>
        </w:rPr>
        <w:t>interact</w:t>
      </w:r>
      <w:r w:rsidR="009A6DD3">
        <w:rPr>
          <w:rFonts w:ascii="Arial" w:hAnsi="Arial" w:cs="Arial"/>
          <w:sz w:val="20"/>
          <w:szCs w:val="20"/>
        </w:rPr>
        <w:t xml:space="preserve"> - </w:t>
      </w:r>
      <w:r w:rsidRPr="00D51476">
        <w:rPr>
          <w:rFonts w:ascii="Arial" w:hAnsi="Arial" w:cs="Arial"/>
          <w:sz w:val="20"/>
          <w:szCs w:val="20"/>
        </w:rPr>
        <w:t xml:space="preserve">changing the </w:t>
      </w:r>
      <w:r w:rsidR="009A6DD3">
        <w:rPr>
          <w:rFonts w:ascii="Arial" w:hAnsi="Arial" w:cs="Arial"/>
          <w:sz w:val="20"/>
          <w:szCs w:val="20"/>
        </w:rPr>
        <w:t xml:space="preserve">current </w:t>
      </w:r>
      <w:r w:rsidRPr="00D51476">
        <w:rPr>
          <w:rFonts w:ascii="Arial" w:hAnsi="Arial" w:cs="Arial"/>
          <w:sz w:val="20"/>
          <w:szCs w:val="20"/>
        </w:rPr>
        <w:t>relationship to a more customer</w:t>
      </w:r>
      <w:r w:rsidR="009A6DD3">
        <w:rPr>
          <w:rFonts w:ascii="Arial" w:hAnsi="Arial" w:cs="Arial"/>
          <w:sz w:val="20"/>
          <w:szCs w:val="20"/>
        </w:rPr>
        <w:t>-</w:t>
      </w:r>
      <w:r w:rsidRPr="00D51476">
        <w:rPr>
          <w:rFonts w:ascii="Arial" w:hAnsi="Arial" w:cs="Arial"/>
          <w:sz w:val="20"/>
          <w:szCs w:val="20"/>
        </w:rPr>
        <w:t xml:space="preserve">focussed </w:t>
      </w:r>
      <w:r w:rsidR="009A6DD3">
        <w:rPr>
          <w:rFonts w:ascii="Arial" w:hAnsi="Arial" w:cs="Arial"/>
          <w:sz w:val="20"/>
          <w:szCs w:val="20"/>
        </w:rPr>
        <w:t xml:space="preserve">style of </w:t>
      </w:r>
      <w:r w:rsidRPr="00D51476">
        <w:rPr>
          <w:rFonts w:ascii="Arial" w:hAnsi="Arial" w:cs="Arial"/>
          <w:sz w:val="20"/>
          <w:szCs w:val="20"/>
        </w:rPr>
        <w:t xml:space="preserve">service provision and </w:t>
      </w:r>
      <w:r w:rsidR="00F33515" w:rsidRPr="00F33515">
        <w:rPr>
          <w:rFonts w:ascii="Arial" w:hAnsi="Arial" w:cs="Arial"/>
          <w:sz w:val="20"/>
          <w:szCs w:val="20"/>
        </w:rPr>
        <w:t>hypothecating heavy vehicle charge revenue to heavy vehicle road investments</w:t>
      </w:r>
      <w:r w:rsidR="00DA1411" w:rsidRPr="00F33515">
        <w:rPr>
          <w:rFonts w:ascii="Arial" w:hAnsi="Arial" w:cs="Arial"/>
          <w:sz w:val="20"/>
          <w:szCs w:val="20"/>
        </w:rPr>
        <w:t>.</w:t>
      </w:r>
    </w:p>
    <w:p w:rsidR="00616E75" w:rsidRPr="00D51476" w:rsidRDefault="00616E75" w:rsidP="004C7F70">
      <w:pPr>
        <w:rPr>
          <w:rFonts w:ascii="Arial" w:hAnsi="Arial" w:cs="Arial"/>
          <w:sz w:val="20"/>
          <w:szCs w:val="20"/>
        </w:rPr>
      </w:pPr>
    </w:p>
    <w:p w:rsidR="00AA3874" w:rsidRPr="00617F3D" w:rsidRDefault="009134F4" w:rsidP="004C7F70">
      <w:pPr>
        <w:rPr>
          <w:rFonts w:ascii="Arial" w:hAnsi="Arial" w:cs="Arial"/>
          <w:sz w:val="20"/>
          <w:szCs w:val="20"/>
        </w:rPr>
      </w:pPr>
      <w:r w:rsidRPr="00D51476">
        <w:rPr>
          <w:rFonts w:ascii="Arial" w:hAnsi="Arial" w:cs="Arial"/>
          <w:sz w:val="20"/>
          <w:szCs w:val="20"/>
        </w:rPr>
        <w:t>The heavy vehicle industry presents some particular constraints that do not make supply sid</w:t>
      </w:r>
      <w:r w:rsidR="005850EE">
        <w:rPr>
          <w:rFonts w:ascii="Arial" w:hAnsi="Arial" w:cs="Arial"/>
          <w:sz w:val="20"/>
          <w:szCs w:val="20"/>
        </w:rPr>
        <w:t xml:space="preserve">e reform as straightforward as simply </w:t>
      </w:r>
      <w:r w:rsidR="009A6DD3">
        <w:rPr>
          <w:rFonts w:ascii="Arial" w:hAnsi="Arial" w:cs="Arial"/>
          <w:sz w:val="20"/>
          <w:szCs w:val="20"/>
        </w:rPr>
        <w:t xml:space="preserve">adopting </w:t>
      </w:r>
      <w:r w:rsidR="005850EE">
        <w:rPr>
          <w:rFonts w:ascii="Arial" w:hAnsi="Arial" w:cs="Arial"/>
          <w:sz w:val="20"/>
          <w:szCs w:val="20"/>
        </w:rPr>
        <w:t xml:space="preserve">the </w:t>
      </w:r>
      <w:r w:rsidRPr="00D51476">
        <w:rPr>
          <w:rFonts w:ascii="Arial" w:hAnsi="Arial" w:cs="Arial"/>
          <w:sz w:val="20"/>
          <w:szCs w:val="20"/>
        </w:rPr>
        <w:t>utilities</w:t>
      </w:r>
      <w:r w:rsidR="005850EE">
        <w:rPr>
          <w:rFonts w:ascii="Arial" w:hAnsi="Arial" w:cs="Arial"/>
          <w:sz w:val="20"/>
          <w:szCs w:val="20"/>
        </w:rPr>
        <w:t xml:space="preserve"> model </w:t>
      </w:r>
      <w:r w:rsidR="009A6DD3">
        <w:rPr>
          <w:rFonts w:ascii="Arial" w:hAnsi="Arial" w:cs="Arial"/>
          <w:sz w:val="20"/>
          <w:szCs w:val="20"/>
        </w:rPr>
        <w:t xml:space="preserve">in full </w:t>
      </w:r>
      <w:r w:rsidR="005850EE">
        <w:rPr>
          <w:rFonts w:ascii="Arial" w:hAnsi="Arial" w:cs="Arial"/>
          <w:sz w:val="20"/>
          <w:szCs w:val="20"/>
        </w:rPr>
        <w:t>for supply side reform</w:t>
      </w:r>
      <w:r w:rsidRPr="00D51476">
        <w:rPr>
          <w:rFonts w:ascii="Arial" w:hAnsi="Arial" w:cs="Arial"/>
          <w:sz w:val="20"/>
          <w:szCs w:val="20"/>
        </w:rPr>
        <w:t xml:space="preserve">. </w:t>
      </w:r>
      <w:r w:rsidR="005850EE">
        <w:rPr>
          <w:rFonts w:ascii="Arial" w:hAnsi="Arial" w:cs="Arial"/>
          <w:sz w:val="20"/>
          <w:szCs w:val="20"/>
        </w:rPr>
        <w:t>S</w:t>
      </w:r>
      <w:r w:rsidR="005850EE" w:rsidRPr="00D51476">
        <w:rPr>
          <w:rFonts w:ascii="Arial" w:hAnsi="Arial" w:cs="Arial"/>
          <w:sz w:val="20"/>
          <w:szCs w:val="20"/>
        </w:rPr>
        <w:t>pecifically</w:t>
      </w:r>
      <w:r w:rsidRPr="00D51476">
        <w:rPr>
          <w:rFonts w:ascii="Arial" w:hAnsi="Arial" w:cs="Arial"/>
          <w:sz w:val="20"/>
          <w:szCs w:val="20"/>
        </w:rPr>
        <w:t xml:space="preserve">, the partial market issue, CSO roads, the diversity of operators, a variety of different trucks and the varying quality of roads; cannot be ignored in the reform.   </w:t>
      </w:r>
    </w:p>
    <w:p w:rsidR="00617F3D" w:rsidRDefault="00617F3D" w:rsidP="004C7F70">
      <w:pPr>
        <w:rPr>
          <w:rFonts w:ascii="Arial" w:hAnsi="Arial" w:cs="Arial"/>
          <w:sz w:val="20"/>
          <w:szCs w:val="20"/>
          <w:u w:val="single"/>
        </w:rPr>
      </w:pPr>
    </w:p>
    <w:p w:rsidR="00617F3D" w:rsidRDefault="00617F3D" w:rsidP="004C7F70">
      <w:pPr>
        <w:rPr>
          <w:rFonts w:ascii="Arial" w:hAnsi="Arial" w:cs="Arial"/>
          <w:sz w:val="20"/>
          <w:szCs w:val="20"/>
          <w:u w:val="single"/>
        </w:rPr>
      </w:pPr>
    </w:p>
    <w:p w:rsidR="004C7F70" w:rsidRPr="00620293" w:rsidRDefault="004C7F70" w:rsidP="00793431">
      <w:pPr>
        <w:pStyle w:val="Heading1"/>
        <w:numPr>
          <w:ilvl w:val="1"/>
          <w:numId w:val="15"/>
        </w:numPr>
      </w:pPr>
      <w:bookmarkStart w:id="111" w:name="_Toc362528131"/>
      <w:r w:rsidRPr="00620293">
        <w:t>An independent economic regulator</w:t>
      </w:r>
      <w:bookmarkEnd w:id="111"/>
    </w:p>
    <w:p w:rsidR="004C7F70" w:rsidRPr="00D51476" w:rsidRDefault="004C7F70" w:rsidP="004C7F70">
      <w:pPr>
        <w:rPr>
          <w:rFonts w:ascii="Arial" w:hAnsi="Arial" w:cs="Arial"/>
          <w:sz w:val="20"/>
          <w:szCs w:val="20"/>
        </w:rPr>
      </w:pPr>
    </w:p>
    <w:p w:rsidR="004C7F70" w:rsidRPr="00D51476" w:rsidRDefault="007631BA" w:rsidP="004C7F70">
      <w:pPr>
        <w:rPr>
          <w:rFonts w:ascii="Arial" w:hAnsi="Arial" w:cs="Arial"/>
          <w:sz w:val="20"/>
          <w:szCs w:val="20"/>
        </w:rPr>
      </w:pPr>
      <w:r w:rsidRPr="00D51476">
        <w:rPr>
          <w:rFonts w:ascii="Arial" w:hAnsi="Arial" w:cs="Arial"/>
          <w:sz w:val="20"/>
          <w:szCs w:val="20"/>
        </w:rPr>
        <w:t xml:space="preserve">HVCI have highlighted the </w:t>
      </w:r>
      <w:r w:rsidR="005850EE">
        <w:rPr>
          <w:rFonts w:ascii="Arial" w:hAnsi="Arial" w:cs="Arial"/>
          <w:sz w:val="20"/>
          <w:szCs w:val="20"/>
        </w:rPr>
        <w:t xml:space="preserve">desire </w:t>
      </w:r>
      <w:r w:rsidRPr="00D51476">
        <w:rPr>
          <w:rFonts w:ascii="Arial" w:hAnsi="Arial" w:cs="Arial"/>
          <w:sz w:val="20"/>
          <w:szCs w:val="20"/>
        </w:rPr>
        <w:t xml:space="preserve">for an independent economic </w:t>
      </w:r>
      <w:r w:rsidR="00DA1411" w:rsidRPr="00F33515">
        <w:rPr>
          <w:rFonts w:ascii="Arial" w:hAnsi="Arial" w:cs="Arial"/>
          <w:sz w:val="20"/>
          <w:szCs w:val="20"/>
        </w:rPr>
        <w:t xml:space="preserve">regulator, which can provide a number of system checks and balances while trying to replicate </w:t>
      </w:r>
      <w:r w:rsidR="00F33515" w:rsidRPr="00F33515">
        <w:rPr>
          <w:rFonts w:ascii="Arial" w:hAnsi="Arial" w:cs="Arial"/>
          <w:sz w:val="20"/>
          <w:szCs w:val="20"/>
        </w:rPr>
        <w:t>a competitive market for road provision in a natural monopoly.</w:t>
      </w:r>
      <w:r w:rsidR="00F33515">
        <w:rPr>
          <w:rFonts w:ascii="Arial" w:hAnsi="Arial" w:cs="Arial"/>
          <w:sz w:val="20"/>
          <w:szCs w:val="20"/>
        </w:rPr>
        <w:t xml:space="preserve"> </w:t>
      </w:r>
      <w:r w:rsidR="003613EE">
        <w:rPr>
          <w:rFonts w:ascii="Arial" w:hAnsi="Arial" w:cs="Arial"/>
          <w:sz w:val="20"/>
          <w:szCs w:val="20"/>
        </w:rPr>
        <w:t xml:space="preserve"> </w:t>
      </w:r>
      <w:r w:rsidR="004C7F70" w:rsidRPr="00D51476">
        <w:rPr>
          <w:rFonts w:ascii="Arial" w:hAnsi="Arial" w:cs="Arial"/>
          <w:sz w:val="20"/>
          <w:szCs w:val="20"/>
        </w:rPr>
        <w:t xml:space="preserve">  </w:t>
      </w:r>
    </w:p>
    <w:p w:rsidR="004C7F70" w:rsidRPr="00D51476" w:rsidRDefault="004C7F70" w:rsidP="004C7F70">
      <w:pPr>
        <w:rPr>
          <w:rFonts w:ascii="Arial" w:hAnsi="Arial" w:cs="Arial"/>
          <w:sz w:val="20"/>
          <w:szCs w:val="20"/>
        </w:rPr>
      </w:pPr>
    </w:p>
    <w:p w:rsidR="007631BA" w:rsidRPr="00D51476" w:rsidRDefault="007631BA" w:rsidP="004C7F70">
      <w:pPr>
        <w:rPr>
          <w:rFonts w:ascii="Arial" w:hAnsi="Arial" w:cs="Arial"/>
          <w:sz w:val="20"/>
          <w:szCs w:val="20"/>
        </w:rPr>
      </w:pPr>
      <w:r w:rsidRPr="00D51476">
        <w:rPr>
          <w:rFonts w:ascii="Arial" w:hAnsi="Arial" w:cs="Arial"/>
          <w:sz w:val="20"/>
          <w:szCs w:val="20"/>
        </w:rPr>
        <w:t>Having a centralised economic regulator would provide the greatest comfort to industry. As with the NHVR</w:t>
      </w:r>
      <w:r w:rsidR="009A6DD3">
        <w:rPr>
          <w:rFonts w:ascii="Arial" w:hAnsi="Arial" w:cs="Arial"/>
          <w:sz w:val="20"/>
          <w:szCs w:val="20"/>
        </w:rPr>
        <w:t>,</w:t>
      </w:r>
      <w:r w:rsidRPr="00D51476">
        <w:rPr>
          <w:rFonts w:ascii="Arial" w:hAnsi="Arial" w:cs="Arial"/>
          <w:sz w:val="20"/>
          <w:szCs w:val="20"/>
        </w:rPr>
        <w:t xml:space="preserve"> savings are </w:t>
      </w:r>
      <w:r w:rsidR="009A6DD3">
        <w:rPr>
          <w:rFonts w:ascii="Arial" w:hAnsi="Arial" w:cs="Arial"/>
          <w:sz w:val="20"/>
          <w:szCs w:val="20"/>
        </w:rPr>
        <w:t>likely</w:t>
      </w:r>
      <w:r w:rsidR="009A6DD3" w:rsidRPr="00D51476">
        <w:rPr>
          <w:rFonts w:ascii="Arial" w:hAnsi="Arial" w:cs="Arial"/>
          <w:sz w:val="20"/>
          <w:szCs w:val="20"/>
        </w:rPr>
        <w:t xml:space="preserve"> </w:t>
      </w:r>
      <w:r w:rsidRPr="00D51476">
        <w:rPr>
          <w:rFonts w:ascii="Arial" w:hAnsi="Arial" w:cs="Arial"/>
          <w:sz w:val="20"/>
          <w:szCs w:val="20"/>
        </w:rPr>
        <w:t xml:space="preserve">to be </w:t>
      </w:r>
      <w:r w:rsidR="009A6DD3">
        <w:rPr>
          <w:rFonts w:ascii="Arial" w:hAnsi="Arial" w:cs="Arial"/>
          <w:sz w:val="20"/>
          <w:szCs w:val="20"/>
        </w:rPr>
        <w:t>incurred</w:t>
      </w:r>
      <w:r w:rsidR="009A6DD3" w:rsidRPr="00D51476">
        <w:rPr>
          <w:rFonts w:ascii="Arial" w:hAnsi="Arial" w:cs="Arial"/>
          <w:sz w:val="20"/>
          <w:szCs w:val="20"/>
        </w:rPr>
        <w:t xml:space="preserve"> </w:t>
      </w:r>
      <w:r w:rsidR="009A6DD3">
        <w:rPr>
          <w:rFonts w:ascii="Arial" w:hAnsi="Arial" w:cs="Arial"/>
          <w:sz w:val="20"/>
          <w:szCs w:val="20"/>
        </w:rPr>
        <w:t>through</w:t>
      </w:r>
      <w:r w:rsidR="009A6DD3" w:rsidRPr="00D51476">
        <w:rPr>
          <w:rFonts w:ascii="Arial" w:hAnsi="Arial" w:cs="Arial"/>
          <w:sz w:val="20"/>
          <w:szCs w:val="20"/>
        </w:rPr>
        <w:t xml:space="preserve"> </w:t>
      </w:r>
      <w:r w:rsidRPr="00D51476">
        <w:rPr>
          <w:rFonts w:ascii="Arial" w:hAnsi="Arial" w:cs="Arial"/>
          <w:sz w:val="20"/>
          <w:szCs w:val="20"/>
        </w:rPr>
        <w:t xml:space="preserve">having a single entity deal with heavy vehicle regulation. For this reason the economic regulator should be centralised. </w:t>
      </w:r>
    </w:p>
    <w:p w:rsidR="002E5B7D" w:rsidRPr="00D51476" w:rsidRDefault="002E5B7D" w:rsidP="004C7F70">
      <w:pPr>
        <w:rPr>
          <w:rFonts w:ascii="Arial" w:hAnsi="Arial" w:cs="Arial"/>
          <w:sz w:val="20"/>
          <w:szCs w:val="20"/>
        </w:rPr>
      </w:pPr>
    </w:p>
    <w:p w:rsidR="004C7F70" w:rsidRPr="00D51476" w:rsidRDefault="002E5B7D" w:rsidP="004C7F70">
      <w:pPr>
        <w:rPr>
          <w:rFonts w:ascii="Arial" w:hAnsi="Arial" w:cs="Arial"/>
          <w:i/>
          <w:sz w:val="20"/>
          <w:szCs w:val="20"/>
        </w:rPr>
      </w:pPr>
      <w:r w:rsidRPr="00D51476">
        <w:rPr>
          <w:rFonts w:ascii="Arial" w:hAnsi="Arial" w:cs="Arial"/>
          <w:sz w:val="20"/>
          <w:szCs w:val="20"/>
        </w:rPr>
        <w:t xml:space="preserve">While economic regulation can provide </w:t>
      </w:r>
      <w:r w:rsidR="004C7F70" w:rsidRPr="00D51476">
        <w:rPr>
          <w:rFonts w:ascii="Arial" w:hAnsi="Arial" w:cs="Arial"/>
          <w:sz w:val="20"/>
          <w:szCs w:val="20"/>
        </w:rPr>
        <w:t>customer</w:t>
      </w:r>
      <w:r w:rsidRPr="00D51476">
        <w:rPr>
          <w:rFonts w:ascii="Arial" w:hAnsi="Arial" w:cs="Arial"/>
          <w:sz w:val="20"/>
          <w:szCs w:val="20"/>
        </w:rPr>
        <w:t xml:space="preserve"> focus</w:t>
      </w:r>
      <w:r w:rsidR="004C7F70" w:rsidRPr="00D51476">
        <w:rPr>
          <w:rFonts w:ascii="Arial" w:hAnsi="Arial" w:cs="Arial"/>
          <w:sz w:val="20"/>
          <w:szCs w:val="20"/>
        </w:rPr>
        <w:t xml:space="preserve"> </w:t>
      </w:r>
      <w:r w:rsidR="009A6DD3">
        <w:rPr>
          <w:rFonts w:ascii="Arial" w:hAnsi="Arial" w:cs="Arial"/>
          <w:sz w:val="20"/>
          <w:szCs w:val="20"/>
        </w:rPr>
        <w:t xml:space="preserve">and </w:t>
      </w:r>
      <w:r w:rsidR="004C7F70" w:rsidRPr="00D51476">
        <w:rPr>
          <w:rFonts w:ascii="Arial" w:hAnsi="Arial" w:cs="Arial"/>
          <w:sz w:val="20"/>
          <w:szCs w:val="20"/>
        </w:rPr>
        <w:t>strengthen the link between service stan</w:t>
      </w:r>
      <w:r w:rsidRPr="00D51476">
        <w:rPr>
          <w:rFonts w:ascii="Arial" w:hAnsi="Arial" w:cs="Arial"/>
          <w:sz w:val="20"/>
          <w:szCs w:val="20"/>
        </w:rPr>
        <w:t>dards and required expenditure</w:t>
      </w:r>
      <w:r w:rsidR="009A6DD3">
        <w:rPr>
          <w:rFonts w:ascii="Arial" w:hAnsi="Arial" w:cs="Arial"/>
          <w:sz w:val="20"/>
          <w:szCs w:val="20"/>
        </w:rPr>
        <w:t>,</w:t>
      </w:r>
      <w:r w:rsidRPr="00D51476">
        <w:rPr>
          <w:rFonts w:ascii="Arial" w:hAnsi="Arial" w:cs="Arial"/>
          <w:sz w:val="20"/>
          <w:szCs w:val="20"/>
        </w:rPr>
        <w:t xml:space="preserve"> it is important to remember </w:t>
      </w:r>
      <w:r w:rsidR="00612B3F" w:rsidRPr="00D51476">
        <w:rPr>
          <w:rFonts w:ascii="Arial" w:hAnsi="Arial" w:cs="Arial"/>
          <w:sz w:val="20"/>
          <w:szCs w:val="20"/>
        </w:rPr>
        <w:t xml:space="preserve">independent regulation does not equate to incentive regulation.  </w:t>
      </w:r>
      <w:r w:rsidR="007631BA" w:rsidRPr="00D51476">
        <w:rPr>
          <w:rFonts w:ascii="Arial" w:hAnsi="Arial" w:cs="Arial"/>
          <w:sz w:val="20"/>
          <w:szCs w:val="20"/>
        </w:rPr>
        <w:t xml:space="preserve">At the </w:t>
      </w:r>
      <w:r w:rsidR="009A6DD3">
        <w:rPr>
          <w:rFonts w:ascii="Arial" w:hAnsi="Arial" w:cs="Arial"/>
          <w:sz w:val="20"/>
          <w:szCs w:val="20"/>
        </w:rPr>
        <w:t>C</w:t>
      </w:r>
      <w:r w:rsidR="009A6DD3" w:rsidRPr="00D51476">
        <w:rPr>
          <w:rFonts w:ascii="Arial" w:hAnsi="Arial" w:cs="Arial"/>
          <w:sz w:val="20"/>
          <w:szCs w:val="20"/>
        </w:rPr>
        <w:t>o</w:t>
      </w:r>
      <w:r w:rsidR="007631BA" w:rsidRPr="00D51476">
        <w:rPr>
          <w:rFonts w:ascii="Arial" w:hAnsi="Arial" w:cs="Arial"/>
          <w:sz w:val="20"/>
          <w:szCs w:val="20"/>
        </w:rPr>
        <w:t xml:space="preserve">-design </w:t>
      </w:r>
      <w:r w:rsidR="009A6DD3">
        <w:rPr>
          <w:rFonts w:ascii="Arial" w:hAnsi="Arial" w:cs="Arial"/>
          <w:sz w:val="20"/>
          <w:szCs w:val="20"/>
        </w:rPr>
        <w:t>W</w:t>
      </w:r>
      <w:r w:rsidR="009A6DD3" w:rsidRPr="00D51476">
        <w:rPr>
          <w:rFonts w:ascii="Arial" w:hAnsi="Arial" w:cs="Arial"/>
          <w:sz w:val="20"/>
          <w:szCs w:val="20"/>
        </w:rPr>
        <w:t xml:space="preserve">orkshops </w:t>
      </w:r>
      <w:r w:rsidR="007631BA" w:rsidRPr="00D51476">
        <w:rPr>
          <w:rFonts w:ascii="Arial" w:hAnsi="Arial" w:cs="Arial"/>
          <w:sz w:val="20"/>
          <w:szCs w:val="20"/>
        </w:rPr>
        <w:t xml:space="preserve">a consultant </w:t>
      </w:r>
      <w:r w:rsidR="00612B3F" w:rsidRPr="00D51476">
        <w:rPr>
          <w:rFonts w:ascii="Arial" w:hAnsi="Arial" w:cs="Arial"/>
          <w:sz w:val="20"/>
          <w:szCs w:val="20"/>
        </w:rPr>
        <w:t xml:space="preserve">stated the power of </w:t>
      </w:r>
      <w:r w:rsidR="009A6DD3">
        <w:rPr>
          <w:rFonts w:ascii="Arial" w:hAnsi="Arial" w:cs="Arial"/>
          <w:sz w:val="20"/>
          <w:szCs w:val="20"/>
        </w:rPr>
        <w:t xml:space="preserve">embedding </w:t>
      </w:r>
      <w:r w:rsidR="00612B3F" w:rsidRPr="00D51476">
        <w:rPr>
          <w:rFonts w:ascii="Arial" w:hAnsi="Arial" w:cs="Arial"/>
          <w:sz w:val="20"/>
          <w:szCs w:val="20"/>
        </w:rPr>
        <w:t>cost</w:t>
      </w:r>
      <w:r w:rsidR="009A6DD3">
        <w:rPr>
          <w:rFonts w:ascii="Arial" w:hAnsi="Arial" w:cs="Arial"/>
          <w:sz w:val="20"/>
          <w:szCs w:val="20"/>
        </w:rPr>
        <w:t>-</w:t>
      </w:r>
      <w:r w:rsidR="00612B3F" w:rsidRPr="00D51476">
        <w:rPr>
          <w:rFonts w:ascii="Arial" w:hAnsi="Arial" w:cs="Arial"/>
          <w:sz w:val="20"/>
          <w:szCs w:val="20"/>
        </w:rPr>
        <w:t xml:space="preserve">reducing incentives is an important design choice </w:t>
      </w:r>
      <w:r w:rsidR="009A6DD3">
        <w:rPr>
          <w:rFonts w:ascii="Arial" w:hAnsi="Arial" w:cs="Arial"/>
          <w:sz w:val="20"/>
          <w:szCs w:val="20"/>
        </w:rPr>
        <w:t xml:space="preserve">that is </w:t>
      </w:r>
      <w:r w:rsidR="00612B3F" w:rsidRPr="00D51476">
        <w:rPr>
          <w:rFonts w:ascii="Arial" w:hAnsi="Arial" w:cs="Arial"/>
          <w:sz w:val="20"/>
          <w:szCs w:val="20"/>
        </w:rPr>
        <w:t xml:space="preserve">separate </w:t>
      </w:r>
      <w:r w:rsidR="009A6DD3">
        <w:rPr>
          <w:rFonts w:ascii="Arial" w:hAnsi="Arial" w:cs="Arial"/>
          <w:sz w:val="20"/>
          <w:szCs w:val="20"/>
        </w:rPr>
        <w:t>to</w:t>
      </w:r>
      <w:r w:rsidR="009A6DD3" w:rsidRPr="00D51476">
        <w:rPr>
          <w:rFonts w:ascii="Arial" w:hAnsi="Arial" w:cs="Arial"/>
          <w:sz w:val="20"/>
          <w:szCs w:val="20"/>
        </w:rPr>
        <w:t xml:space="preserve"> </w:t>
      </w:r>
      <w:r w:rsidR="00612B3F" w:rsidRPr="00D51476">
        <w:rPr>
          <w:rFonts w:ascii="Arial" w:hAnsi="Arial" w:cs="Arial"/>
          <w:sz w:val="20"/>
          <w:szCs w:val="20"/>
        </w:rPr>
        <w:t>establishing independent transparent regulation.</w:t>
      </w:r>
      <w:r w:rsidR="00612B3F" w:rsidRPr="00D51476">
        <w:rPr>
          <w:rFonts w:ascii="Arial" w:hAnsi="Arial" w:cs="Arial"/>
          <w:i/>
          <w:sz w:val="20"/>
          <w:szCs w:val="20"/>
        </w:rPr>
        <w:t xml:space="preserve"> </w:t>
      </w:r>
    </w:p>
    <w:p w:rsidR="002E5B7D" w:rsidRPr="00D51476" w:rsidRDefault="002E5B7D" w:rsidP="004C7F70">
      <w:pPr>
        <w:rPr>
          <w:rFonts w:ascii="Arial" w:hAnsi="Arial" w:cs="Arial"/>
          <w:sz w:val="20"/>
          <w:szCs w:val="20"/>
        </w:rPr>
      </w:pPr>
    </w:p>
    <w:p w:rsidR="00793431" w:rsidRDefault="007631BA" w:rsidP="004C7F70">
      <w:pPr>
        <w:rPr>
          <w:rFonts w:ascii="Arial" w:hAnsi="Arial" w:cs="Arial"/>
          <w:sz w:val="20"/>
          <w:szCs w:val="20"/>
        </w:rPr>
      </w:pPr>
      <w:r w:rsidRPr="00D51476">
        <w:rPr>
          <w:rFonts w:ascii="Arial" w:hAnsi="Arial" w:cs="Arial"/>
          <w:sz w:val="20"/>
          <w:szCs w:val="20"/>
        </w:rPr>
        <w:t xml:space="preserve">Given the </w:t>
      </w:r>
      <w:r w:rsidR="00A812EB" w:rsidRPr="00D51476">
        <w:rPr>
          <w:rFonts w:ascii="Arial" w:hAnsi="Arial" w:cs="Arial"/>
          <w:sz w:val="20"/>
          <w:szCs w:val="20"/>
        </w:rPr>
        <w:t>prevailing</w:t>
      </w:r>
      <w:r w:rsidRPr="00D51476">
        <w:rPr>
          <w:rFonts w:ascii="Arial" w:hAnsi="Arial" w:cs="Arial"/>
          <w:sz w:val="20"/>
          <w:szCs w:val="20"/>
        </w:rPr>
        <w:t xml:space="preserve"> constraints mentioned above</w:t>
      </w:r>
      <w:r w:rsidR="009A6DD3">
        <w:rPr>
          <w:rFonts w:ascii="Arial" w:hAnsi="Arial" w:cs="Arial"/>
          <w:sz w:val="20"/>
          <w:szCs w:val="20"/>
        </w:rPr>
        <w:t>,</w:t>
      </w:r>
      <w:r w:rsidRPr="00D51476">
        <w:rPr>
          <w:rFonts w:ascii="Arial" w:hAnsi="Arial" w:cs="Arial"/>
          <w:sz w:val="20"/>
          <w:szCs w:val="20"/>
        </w:rPr>
        <w:t xml:space="preserve"> </w:t>
      </w:r>
      <w:r w:rsidR="009A6DD3">
        <w:rPr>
          <w:rFonts w:ascii="Arial" w:hAnsi="Arial" w:cs="Arial"/>
          <w:sz w:val="20"/>
          <w:szCs w:val="20"/>
        </w:rPr>
        <w:t>any</w:t>
      </w:r>
      <w:r w:rsidR="009A6DD3" w:rsidRPr="00D51476">
        <w:rPr>
          <w:rFonts w:ascii="Arial" w:hAnsi="Arial" w:cs="Arial"/>
          <w:sz w:val="20"/>
          <w:szCs w:val="20"/>
        </w:rPr>
        <w:t xml:space="preserve"> </w:t>
      </w:r>
      <w:r w:rsidRPr="00D51476">
        <w:rPr>
          <w:rFonts w:ascii="Arial" w:hAnsi="Arial" w:cs="Arial"/>
          <w:sz w:val="20"/>
          <w:szCs w:val="20"/>
        </w:rPr>
        <w:t>regulation has to be fit</w:t>
      </w:r>
      <w:r w:rsidR="009A6DD3">
        <w:rPr>
          <w:rFonts w:ascii="Arial" w:hAnsi="Arial" w:cs="Arial"/>
          <w:sz w:val="20"/>
          <w:szCs w:val="20"/>
        </w:rPr>
        <w:t>-</w:t>
      </w:r>
      <w:r w:rsidRPr="00D51476">
        <w:rPr>
          <w:rFonts w:ascii="Arial" w:hAnsi="Arial" w:cs="Arial"/>
          <w:sz w:val="20"/>
          <w:szCs w:val="20"/>
        </w:rPr>
        <w:t>for</w:t>
      </w:r>
      <w:r w:rsidR="009A6DD3">
        <w:rPr>
          <w:rFonts w:ascii="Arial" w:hAnsi="Arial" w:cs="Arial"/>
          <w:sz w:val="20"/>
          <w:szCs w:val="20"/>
        </w:rPr>
        <w:t>-</w:t>
      </w:r>
      <w:r w:rsidRPr="00D51476">
        <w:rPr>
          <w:rFonts w:ascii="Arial" w:hAnsi="Arial" w:cs="Arial"/>
          <w:sz w:val="20"/>
          <w:szCs w:val="20"/>
        </w:rPr>
        <w:t xml:space="preserve">purpose and without detailed RIS testing </w:t>
      </w:r>
      <w:r w:rsidR="009A6DD3">
        <w:rPr>
          <w:rFonts w:ascii="Arial" w:hAnsi="Arial" w:cs="Arial"/>
          <w:sz w:val="20"/>
          <w:szCs w:val="20"/>
        </w:rPr>
        <w:t>industry is</w:t>
      </w:r>
      <w:r w:rsidR="002E5B7D" w:rsidRPr="00D51476">
        <w:rPr>
          <w:rFonts w:ascii="Arial" w:hAnsi="Arial" w:cs="Arial"/>
          <w:sz w:val="20"/>
          <w:szCs w:val="20"/>
        </w:rPr>
        <w:t xml:space="preserve"> unable to offer a </w:t>
      </w:r>
      <w:r w:rsidR="000C1F7F" w:rsidRPr="00D51476">
        <w:rPr>
          <w:rFonts w:ascii="Arial" w:hAnsi="Arial" w:cs="Arial"/>
          <w:sz w:val="20"/>
          <w:szCs w:val="20"/>
        </w:rPr>
        <w:t xml:space="preserve">concrete answer to how </w:t>
      </w:r>
      <w:r w:rsidRPr="00D51476">
        <w:rPr>
          <w:rFonts w:ascii="Arial" w:hAnsi="Arial" w:cs="Arial"/>
          <w:sz w:val="20"/>
          <w:szCs w:val="20"/>
        </w:rPr>
        <w:t>heavy or light</w:t>
      </w:r>
      <w:r w:rsidR="009A6DD3">
        <w:rPr>
          <w:rFonts w:ascii="Arial" w:hAnsi="Arial" w:cs="Arial"/>
          <w:sz w:val="20"/>
          <w:szCs w:val="20"/>
        </w:rPr>
        <w:t>-</w:t>
      </w:r>
      <w:r w:rsidRPr="00D51476">
        <w:rPr>
          <w:rFonts w:ascii="Arial" w:hAnsi="Arial" w:cs="Arial"/>
          <w:sz w:val="20"/>
          <w:szCs w:val="20"/>
        </w:rPr>
        <w:t xml:space="preserve">handed the economic regulator should be. </w:t>
      </w:r>
      <w:r w:rsidR="009A6DD3">
        <w:rPr>
          <w:rFonts w:ascii="Arial" w:hAnsi="Arial" w:cs="Arial"/>
          <w:sz w:val="20"/>
          <w:szCs w:val="20"/>
        </w:rPr>
        <w:t>Nevertheless</w:t>
      </w:r>
      <w:r w:rsidRPr="00D51476">
        <w:rPr>
          <w:rFonts w:ascii="Arial" w:hAnsi="Arial" w:cs="Arial"/>
          <w:sz w:val="20"/>
          <w:szCs w:val="20"/>
        </w:rPr>
        <w:t>, i</w:t>
      </w:r>
      <w:r w:rsidR="000C1F7F" w:rsidRPr="00D51476">
        <w:rPr>
          <w:rFonts w:ascii="Arial" w:hAnsi="Arial" w:cs="Arial"/>
          <w:sz w:val="20"/>
          <w:szCs w:val="20"/>
        </w:rPr>
        <w:t xml:space="preserve">ndustry needs assurance </w:t>
      </w:r>
      <w:r w:rsidR="002F5D52" w:rsidRPr="00D51476">
        <w:rPr>
          <w:rFonts w:ascii="Arial" w:hAnsi="Arial" w:cs="Arial"/>
          <w:sz w:val="20"/>
          <w:szCs w:val="20"/>
        </w:rPr>
        <w:t xml:space="preserve">there is going to be </w:t>
      </w:r>
      <w:r w:rsidR="009A6DD3">
        <w:rPr>
          <w:rFonts w:ascii="Arial" w:hAnsi="Arial" w:cs="Arial"/>
          <w:sz w:val="20"/>
          <w:szCs w:val="20"/>
        </w:rPr>
        <w:t xml:space="preserve">much </w:t>
      </w:r>
      <w:r w:rsidR="00F33515">
        <w:rPr>
          <w:rFonts w:ascii="Arial" w:hAnsi="Arial" w:cs="Arial"/>
          <w:sz w:val="20"/>
          <w:szCs w:val="20"/>
        </w:rPr>
        <w:t>higher</w:t>
      </w:r>
      <w:r w:rsidR="009A6DD3">
        <w:rPr>
          <w:rFonts w:ascii="Arial" w:hAnsi="Arial" w:cs="Arial"/>
          <w:sz w:val="20"/>
          <w:szCs w:val="20"/>
        </w:rPr>
        <w:t xml:space="preserve"> levels of </w:t>
      </w:r>
      <w:r w:rsidR="002F5D52" w:rsidRPr="00D51476">
        <w:rPr>
          <w:rFonts w:ascii="Arial" w:hAnsi="Arial" w:cs="Arial"/>
          <w:sz w:val="20"/>
          <w:szCs w:val="20"/>
        </w:rPr>
        <w:t>accountability</w:t>
      </w:r>
      <w:r w:rsidRPr="00D51476">
        <w:rPr>
          <w:rFonts w:ascii="Arial" w:hAnsi="Arial" w:cs="Arial"/>
          <w:sz w:val="20"/>
          <w:szCs w:val="20"/>
        </w:rPr>
        <w:t xml:space="preserve"> and </w:t>
      </w:r>
      <w:r w:rsidR="00F33515">
        <w:rPr>
          <w:rFonts w:ascii="Arial" w:hAnsi="Arial" w:cs="Arial"/>
          <w:sz w:val="20"/>
          <w:szCs w:val="20"/>
        </w:rPr>
        <w:t>transparency than there is currently</w:t>
      </w:r>
      <w:r w:rsidR="002F5D52" w:rsidRPr="00D51476">
        <w:rPr>
          <w:rFonts w:ascii="Arial" w:hAnsi="Arial" w:cs="Arial"/>
          <w:sz w:val="20"/>
          <w:szCs w:val="20"/>
        </w:rPr>
        <w:t xml:space="preserve">. </w:t>
      </w:r>
    </w:p>
    <w:p w:rsidR="004C7F70" w:rsidRPr="00D51476" w:rsidRDefault="000C1F7F" w:rsidP="004C7F70">
      <w:pPr>
        <w:rPr>
          <w:rFonts w:ascii="Arial" w:hAnsi="Arial" w:cs="Arial"/>
          <w:sz w:val="20"/>
          <w:szCs w:val="20"/>
        </w:rPr>
      </w:pPr>
      <w:r w:rsidRPr="00D51476">
        <w:rPr>
          <w:rFonts w:ascii="Arial" w:hAnsi="Arial" w:cs="Arial"/>
          <w:sz w:val="20"/>
          <w:szCs w:val="20"/>
        </w:rPr>
        <w:br/>
      </w:r>
    </w:p>
    <w:p w:rsidR="00BE6351" w:rsidRDefault="007631BA" w:rsidP="002F5D52">
      <w:pPr>
        <w:rPr>
          <w:rFonts w:ascii="Arial" w:hAnsi="Arial" w:cs="Arial"/>
          <w:sz w:val="20"/>
          <w:szCs w:val="20"/>
        </w:rPr>
      </w:pPr>
      <w:r w:rsidRPr="00D51476">
        <w:rPr>
          <w:rFonts w:ascii="Arial" w:hAnsi="Arial" w:cs="Arial"/>
          <w:sz w:val="20"/>
          <w:szCs w:val="20"/>
        </w:rPr>
        <w:t>The HVCI RIS should demonstrate how</w:t>
      </w:r>
      <w:r w:rsidR="002F5D52" w:rsidRPr="00D51476">
        <w:rPr>
          <w:rFonts w:ascii="Arial" w:hAnsi="Arial" w:cs="Arial"/>
          <w:sz w:val="20"/>
          <w:szCs w:val="20"/>
        </w:rPr>
        <w:t xml:space="preserve"> the regulator </w:t>
      </w:r>
      <w:r w:rsidRPr="00D51476">
        <w:rPr>
          <w:rFonts w:ascii="Arial" w:hAnsi="Arial" w:cs="Arial"/>
          <w:sz w:val="20"/>
          <w:szCs w:val="20"/>
        </w:rPr>
        <w:t>would</w:t>
      </w:r>
      <w:r w:rsidR="002F5D52" w:rsidRPr="00D51476">
        <w:rPr>
          <w:rFonts w:ascii="Arial" w:hAnsi="Arial" w:cs="Arial"/>
          <w:sz w:val="20"/>
          <w:szCs w:val="20"/>
        </w:rPr>
        <w:t xml:space="preserve"> accurately identify</w:t>
      </w:r>
      <w:r w:rsidR="00BE6351">
        <w:rPr>
          <w:rFonts w:ascii="Arial" w:hAnsi="Arial" w:cs="Arial"/>
          <w:sz w:val="20"/>
          <w:szCs w:val="20"/>
        </w:rPr>
        <w:t>:</w:t>
      </w:r>
    </w:p>
    <w:p w:rsidR="00F33515" w:rsidRDefault="00F33515" w:rsidP="00F33515">
      <w:pPr>
        <w:rPr>
          <w:rFonts w:ascii="Arial" w:hAnsi="Arial" w:cs="Arial"/>
          <w:sz w:val="20"/>
          <w:szCs w:val="20"/>
        </w:rPr>
      </w:pPr>
    </w:p>
    <w:p w:rsidR="00F33515" w:rsidRDefault="00F33515" w:rsidP="00793431">
      <w:pPr>
        <w:pStyle w:val="ListParagraph"/>
        <w:numPr>
          <w:ilvl w:val="0"/>
          <w:numId w:val="10"/>
        </w:numPr>
        <w:rPr>
          <w:rFonts w:ascii="Arial" w:hAnsi="Arial" w:cs="Arial"/>
          <w:sz w:val="20"/>
          <w:szCs w:val="20"/>
        </w:rPr>
      </w:pPr>
      <w:r w:rsidRPr="009A71B4">
        <w:rPr>
          <w:rFonts w:ascii="Arial" w:hAnsi="Arial" w:cs="Arial"/>
          <w:sz w:val="20"/>
          <w:szCs w:val="20"/>
        </w:rPr>
        <w:t>Current/projected asset condition</w:t>
      </w:r>
      <w:r>
        <w:rPr>
          <w:rFonts w:ascii="Arial" w:hAnsi="Arial" w:cs="Arial"/>
          <w:sz w:val="20"/>
          <w:szCs w:val="20"/>
        </w:rPr>
        <w:t>;</w:t>
      </w:r>
      <w:r w:rsidRPr="009A71B4">
        <w:rPr>
          <w:rFonts w:ascii="Arial" w:hAnsi="Arial" w:cs="Arial"/>
          <w:sz w:val="20"/>
          <w:szCs w:val="20"/>
        </w:rPr>
        <w:t xml:space="preserve"> </w:t>
      </w:r>
    </w:p>
    <w:p w:rsidR="00F33515" w:rsidRDefault="00F33515" w:rsidP="00793431">
      <w:pPr>
        <w:pStyle w:val="ListParagraph"/>
        <w:numPr>
          <w:ilvl w:val="0"/>
          <w:numId w:val="10"/>
        </w:numPr>
        <w:rPr>
          <w:rFonts w:ascii="Arial" w:hAnsi="Arial" w:cs="Arial"/>
          <w:sz w:val="20"/>
          <w:szCs w:val="20"/>
        </w:rPr>
      </w:pPr>
      <w:r w:rsidRPr="009A71B4">
        <w:rPr>
          <w:rFonts w:ascii="Arial" w:hAnsi="Arial" w:cs="Arial"/>
          <w:sz w:val="20"/>
          <w:szCs w:val="20"/>
        </w:rPr>
        <w:t>Demand forecast</w:t>
      </w:r>
      <w:r>
        <w:rPr>
          <w:rFonts w:ascii="Arial" w:hAnsi="Arial" w:cs="Arial"/>
          <w:sz w:val="20"/>
          <w:szCs w:val="20"/>
        </w:rPr>
        <w:t>;</w:t>
      </w:r>
      <w:r w:rsidRPr="009A71B4">
        <w:rPr>
          <w:rFonts w:ascii="Arial" w:hAnsi="Arial" w:cs="Arial"/>
          <w:sz w:val="20"/>
          <w:szCs w:val="20"/>
        </w:rPr>
        <w:t xml:space="preserve"> </w:t>
      </w:r>
    </w:p>
    <w:p w:rsidR="00F33515" w:rsidRDefault="00F33515" w:rsidP="00793431">
      <w:pPr>
        <w:pStyle w:val="ListParagraph"/>
        <w:numPr>
          <w:ilvl w:val="0"/>
          <w:numId w:val="10"/>
        </w:numPr>
        <w:rPr>
          <w:rFonts w:ascii="Arial" w:hAnsi="Arial" w:cs="Arial"/>
          <w:sz w:val="20"/>
          <w:szCs w:val="20"/>
        </w:rPr>
      </w:pPr>
      <w:r w:rsidRPr="009A71B4">
        <w:rPr>
          <w:rFonts w:ascii="Arial" w:hAnsi="Arial" w:cs="Arial"/>
          <w:sz w:val="20"/>
          <w:szCs w:val="20"/>
        </w:rPr>
        <w:t>User requirements</w:t>
      </w:r>
      <w:r>
        <w:rPr>
          <w:rFonts w:ascii="Arial" w:hAnsi="Arial" w:cs="Arial"/>
          <w:sz w:val="20"/>
          <w:szCs w:val="20"/>
        </w:rPr>
        <w:t>;</w:t>
      </w:r>
      <w:r w:rsidRPr="009A71B4">
        <w:rPr>
          <w:rFonts w:ascii="Arial" w:hAnsi="Arial" w:cs="Arial"/>
          <w:sz w:val="20"/>
          <w:szCs w:val="20"/>
        </w:rPr>
        <w:t xml:space="preserve"> </w:t>
      </w:r>
      <w:r>
        <w:rPr>
          <w:rFonts w:ascii="Arial" w:hAnsi="Arial" w:cs="Arial"/>
          <w:sz w:val="20"/>
          <w:szCs w:val="20"/>
        </w:rPr>
        <w:t>and</w:t>
      </w:r>
    </w:p>
    <w:p w:rsidR="00F64258" w:rsidRPr="007949D3" w:rsidRDefault="00F33515" w:rsidP="00793431">
      <w:pPr>
        <w:pStyle w:val="ListParagraph"/>
        <w:numPr>
          <w:ilvl w:val="0"/>
          <w:numId w:val="10"/>
        </w:numPr>
        <w:rPr>
          <w:rFonts w:ascii="Arial" w:hAnsi="Arial" w:cs="Arial"/>
          <w:sz w:val="20"/>
          <w:szCs w:val="20"/>
        </w:rPr>
      </w:pPr>
      <w:r w:rsidRPr="009A71B4">
        <w:rPr>
          <w:rFonts w:ascii="Arial" w:hAnsi="Arial" w:cs="Arial"/>
          <w:sz w:val="20"/>
          <w:szCs w:val="20"/>
        </w:rPr>
        <w:t xml:space="preserve">Safety and other requirements. </w:t>
      </w:r>
      <w:bookmarkStart w:id="112" w:name="_Toc361217281"/>
      <w:bookmarkStart w:id="113" w:name="_Toc361217648"/>
      <w:bookmarkStart w:id="114" w:name="_Toc361218175"/>
      <w:bookmarkStart w:id="115" w:name="_Toc361219529"/>
      <w:bookmarkStart w:id="116" w:name="_Toc361232808"/>
      <w:bookmarkStart w:id="117" w:name="_Toc361302833"/>
      <w:bookmarkStart w:id="118" w:name="_Toc361321192"/>
      <w:bookmarkStart w:id="119" w:name="_Toc361732980"/>
      <w:bookmarkStart w:id="120" w:name="_Toc361736687"/>
      <w:bookmarkEnd w:id="112"/>
      <w:bookmarkEnd w:id="113"/>
      <w:bookmarkEnd w:id="114"/>
      <w:bookmarkEnd w:id="115"/>
      <w:bookmarkEnd w:id="116"/>
      <w:bookmarkEnd w:id="117"/>
      <w:bookmarkEnd w:id="118"/>
      <w:bookmarkEnd w:id="119"/>
      <w:bookmarkEnd w:id="120"/>
    </w:p>
    <w:p w:rsidR="00617F3D" w:rsidRDefault="00617F3D" w:rsidP="004C7F70">
      <w:pPr>
        <w:rPr>
          <w:rFonts w:ascii="Arial" w:hAnsi="Arial" w:cs="Arial"/>
          <w:sz w:val="20"/>
          <w:szCs w:val="20"/>
          <w:u w:val="single"/>
        </w:rPr>
      </w:pPr>
      <w:bookmarkStart w:id="121" w:name="_Toc361217283"/>
      <w:bookmarkStart w:id="122" w:name="_Toc361217650"/>
      <w:bookmarkStart w:id="123" w:name="_Toc361218177"/>
      <w:bookmarkStart w:id="124" w:name="_Toc361219531"/>
      <w:bookmarkStart w:id="125" w:name="_Toc361232810"/>
      <w:bookmarkStart w:id="126" w:name="_Toc361302835"/>
      <w:bookmarkStart w:id="127" w:name="_Toc361321194"/>
      <w:bookmarkStart w:id="128" w:name="_Toc361732982"/>
      <w:bookmarkStart w:id="129" w:name="_Toc361736689"/>
      <w:bookmarkStart w:id="130" w:name="_Toc361821336"/>
      <w:bookmarkStart w:id="131" w:name="_Toc361822866"/>
      <w:bookmarkEnd w:id="121"/>
      <w:bookmarkEnd w:id="122"/>
      <w:bookmarkEnd w:id="123"/>
      <w:bookmarkEnd w:id="124"/>
      <w:bookmarkEnd w:id="125"/>
      <w:bookmarkEnd w:id="126"/>
      <w:bookmarkEnd w:id="127"/>
      <w:bookmarkEnd w:id="128"/>
      <w:bookmarkEnd w:id="129"/>
      <w:bookmarkEnd w:id="130"/>
      <w:bookmarkEnd w:id="131"/>
    </w:p>
    <w:p w:rsidR="004C7F70" w:rsidRPr="00620293" w:rsidRDefault="003F3926" w:rsidP="00793431">
      <w:pPr>
        <w:pStyle w:val="Heading1"/>
        <w:numPr>
          <w:ilvl w:val="1"/>
          <w:numId w:val="15"/>
        </w:numPr>
      </w:pPr>
      <w:bookmarkStart w:id="132" w:name="_Toc362528132"/>
      <w:r w:rsidRPr="00620293">
        <w:t>Road agency capabilities</w:t>
      </w:r>
      <w:bookmarkEnd w:id="132"/>
    </w:p>
    <w:p w:rsidR="003F3926" w:rsidRPr="00D51476" w:rsidRDefault="003F3926" w:rsidP="004C7F70">
      <w:pPr>
        <w:rPr>
          <w:rFonts w:ascii="Arial" w:hAnsi="Arial" w:cs="Arial"/>
          <w:sz w:val="20"/>
          <w:szCs w:val="20"/>
        </w:rPr>
      </w:pPr>
    </w:p>
    <w:p w:rsidR="007631BA" w:rsidRPr="00D51476" w:rsidRDefault="003F3926" w:rsidP="004C7F70">
      <w:pPr>
        <w:rPr>
          <w:rFonts w:ascii="Arial" w:hAnsi="Arial" w:cs="Arial"/>
          <w:sz w:val="20"/>
          <w:szCs w:val="20"/>
        </w:rPr>
      </w:pPr>
      <w:r w:rsidRPr="00D51476">
        <w:rPr>
          <w:rFonts w:ascii="Arial" w:hAnsi="Arial" w:cs="Arial"/>
          <w:sz w:val="20"/>
          <w:szCs w:val="20"/>
        </w:rPr>
        <w:t>There is a concern local governments may struggle to provide the information required by an economic regulator</w:t>
      </w:r>
      <w:r w:rsidR="007F025A">
        <w:rPr>
          <w:rFonts w:ascii="Arial" w:hAnsi="Arial" w:cs="Arial"/>
          <w:sz w:val="20"/>
          <w:szCs w:val="20"/>
        </w:rPr>
        <w:t xml:space="preserve"> (e.g. </w:t>
      </w:r>
      <w:r w:rsidRPr="00D51476">
        <w:rPr>
          <w:rFonts w:ascii="Arial" w:hAnsi="Arial" w:cs="Arial"/>
          <w:sz w:val="20"/>
          <w:szCs w:val="20"/>
        </w:rPr>
        <w:t>such as asset value</w:t>
      </w:r>
      <w:r w:rsidR="007F025A">
        <w:rPr>
          <w:rFonts w:ascii="Arial" w:hAnsi="Arial" w:cs="Arial"/>
          <w:sz w:val="20"/>
          <w:szCs w:val="20"/>
        </w:rPr>
        <w:t>s)</w:t>
      </w:r>
      <w:r w:rsidRPr="00D51476">
        <w:rPr>
          <w:rFonts w:ascii="Arial" w:hAnsi="Arial" w:cs="Arial"/>
          <w:sz w:val="20"/>
          <w:szCs w:val="20"/>
        </w:rPr>
        <w:t xml:space="preserve">. </w:t>
      </w:r>
      <w:r w:rsidR="007631BA" w:rsidRPr="00D51476">
        <w:rPr>
          <w:rFonts w:ascii="Arial" w:hAnsi="Arial" w:cs="Arial"/>
          <w:sz w:val="20"/>
          <w:szCs w:val="20"/>
        </w:rPr>
        <w:t>Local governments also have the added complexity that many roads are classed as C</w:t>
      </w:r>
      <w:r w:rsidR="007F025A">
        <w:rPr>
          <w:rFonts w:ascii="Arial" w:hAnsi="Arial" w:cs="Arial"/>
          <w:sz w:val="20"/>
          <w:szCs w:val="20"/>
        </w:rPr>
        <w:t xml:space="preserve">ommunity </w:t>
      </w:r>
      <w:r w:rsidR="007631BA" w:rsidRPr="00D51476">
        <w:rPr>
          <w:rFonts w:ascii="Arial" w:hAnsi="Arial" w:cs="Arial"/>
          <w:sz w:val="20"/>
          <w:szCs w:val="20"/>
        </w:rPr>
        <w:t>S</w:t>
      </w:r>
      <w:r w:rsidR="007F025A">
        <w:rPr>
          <w:rFonts w:ascii="Arial" w:hAnsi="Arial" w:cs="Arial"/>
          <w:sz w:val="20"/>
          <w:szCs w:val="20"/>
        </w:rPr>
        <w:t xml:space="preserve">ervice </w:t>
      </w:r>
      <w:r w:rsidR="007631BA" w:rsidRPr="00D51476">
        <w:rPr>
          <w:rFonts w:ascii="Arial" w:hAnsi="Arial" w:cs="Arial"/>
          <w:sz w:val="20"/>
          <w:szCs w:val="20"/>
        </w:rPr>
        <w:t>O</w:t>
      </w:r>
      <w:r w:rsidR="007F025A">
        <w:rPr>
          <w:rFonts w:ascii="Arial" w:hAnsi="Arial" w:cs="Arial"/>
          <w:sz w:val="20"/>
          <w:szCs w:val="20"/>
        </w:rPr>
        <w:t>bligation (CSO)</w:t>
      </w:r>
      <w:r w:rsidR="007631BA" w:rsidRPr="00D51476">
        <w:rPr>
          <w:rFonts w:ascii="Arial" w:hAnsi="Arial" w:cs="Arial"/>
          <w:sz w:val="20"/>
          <w:szCs w:val="20"/>
        </w:rPr>
        <w:t xml:space="preserve"> roads and this would affect the heavy vehicle cost base</w:t>
      </w:r>
      <w:r w:rsidR="0028389E">
        <w:rPr>
          <w:rFonts w:ascii="Arial" w:hAnsi="Arial" w:cs="Arial"/>
          <w:sz w:val="20"/>
          <w:szCs w:val="20"/>
        </w:rPr>
        <w:t xml:space="preserve"> and related </w:t>
      </w:r>
      <w:r w:rsidR="007F025A">
        <w:rPr>
          <w:rFonts w:ascii="Arial" w:hAnsi="Arial" w:cs="Arial"/>
          <w:sz w:val="20"/>
          <w:szCs w:val="20"/>
        </w:rPr>
        <w:t xml:space="preserve">distribution of </w:t>
      </w:r>
      <w:r w:rsidR="0028389E">
        <w:rPr>
          <w:rFonts w:ascii="Arial" w:hAnsi="Arial" w:cs="Arial"/>
          <w:sz w:val="20"/>
          <w:szCs w:val="20"/>
        </w:rPr>
        <w:t>revenue</w:t>
      </w:r>
      <w:r w:rsidR="007631BA" w:rsidRPr="00D51476">
        <w:rPr>
          <w:rFonts w:ascii="Arial" w:hAnsi="Arial" w:cs="Arial"/>
          <w:sz w:val="20"/>
          <w:szCs w:val="20"/>
        </w:rPr>
        <w:t xml:space="preserve">.  </w:t>
      </w:r>
    </w:p>
    <w:p w:rsidR="007631BA" w:rsidRPr="00D51476" w:rsidRDefault="007631BA" w:rsidP="004C7F70">
      <w:pPr>
        <w:rPr>
          <w:rFonts w:ascii="Arial" w:hAnsi="Arial" w:cs="Arial"/>
          <w:sz w:val="20"/>
          <w:szCs w:val="20"/>
        </w:rPr>
      </w:pPr>
    </w:p>
    <w:p w:rsidR="003F3926" w:rsidRPr="00D51476" w:rsidRDefault="007631BA" w:rsidP="004C7F70">
      <w:pPr>
        <w:rPr>
          <w:rFonts w:ascii="Arial" w:hAnsi="Arial" w:cs="Arial"/>
          <w:sz w:val="20"/>
          <w:szCs w:val="20"/>
        </w:rPr>
      </w:pPr>
      <w:r w:rsidRPr="00D51476">
        <w:rPr>
          <w:rFonts w:ascii="Arial" w:hAnsi="Arial" w:cs="Arial"/>
          <w:sz w:val="20"/>
          <w:szCs w:val="20"/>
        </w:rPr>
        <w:t>A solution to concern</w:t>
      </w:r>
      <w:r w:rsidR="007F025A">
        <w:rPr>
          <w:rFonts w:ascii="Arial" w:hAnsi="Arial" w:cs="Arial"/>
          <w:sz w:val="20"/>
          <w:szCs w:val="20"/>
        </w:rPr>
        <w:t>s</w:t>
      </w:r>
      <w:r w:rsidRPr="00D51476">
        <w:rPr>
          <w:rFonts w:ascii="Arial" w:hAnsi="Arial" w:cs="Arial"/>
          <w:sz w:val="20"/>
          <w:szCs w:val="20"/>
        </w:rPr>
        <w:t xml:space="preserve"> over the </w:t>
      </w:r>
      <w:r w:rsidR="007F025A">
        <w:rPr>
          <w:rFonts w:ascii="Arial" w:hAnsi="Arial" w:cs="Arial"/>
          <w:sz w:val="20"/>
          <w:szCs w:val="20"/>
        </w:rPr>
        <w:t>con</w:t>
      </w:r>
      <w:r w:rsidR="007F025A" w:rsidRPr="00D51476">
        <w:rPr>
          <w:rFonts w:ascii="Arial" w:hAnsi="Arial" w:cs="Arial"/>
          <w:sz w:val="20"/>
          <w:szCs w:val="20"/>
        </w:rPr>
        <w:t>strain</w:t>
      </w:r>
      <w:r w:rsidR="007F025A">
        <w:rPr>
          <w:rFonts w:ascii="Arial" w:hAnsi="Arial" w:cs="Arial"/>
          <w:sz w:val="20"/>
          <w:szCs w:val="20"/>
        </w:rPr>
        <w:t>t</w:t>
      </w:r>
      <w:r w:rsidR="007F025A" w:rsidRPr="00D51476">
        <w:rPr>
          <w:rFonts w:ascii="Arial" w:hAnsi="Arial" w:cs="Arial"/>
          <w:sz w:val="20"/>
          <w:szCs w:val="20"/>
        </w:rPr>
        <w:t xml:space="preserve"> </w:t>
      </w:r>
      <w:r w:rsidR="007F025A">
        <w:rPr>
          <w:rFonts w:ascii="Arial" w:hAnsi="Arial" w:cs="Arial"/>
          <w:sz w:val="20"/>
          <w:szCs w:val="20"/>
        </w:rPr>
        <w:t xml:space="preserve">on </w:t>
      </w:r>
      <w:r w:rsidRPr="00D51476">
        <w:rPr>
          <w:rFonts w:ascii="Arial" w:hAnsi="Arial" w:cs="Arial"/>
          <w:sz w:val="20"/>
          <w:szCs w:val="20"/>
        </w:rPr>
        <w:t xml:space="preserve">resources </w:t>
      </w:r>
      <w:r w:rsidR="007F025A">
        <w:rPr>
          <w:rFonts w:ascii="Arial" w:hAnsi="Arial" w:cs="Arial"/>
          <w:sz w:val="20"/>
          <w:szCs w:val="20"/>
        </w:rPr>
        <w:t xml:space="preserve">that </w:t>
      </w:r>
      <w:r w:rsidRPr="00D51476">
        <w:rPr>
          <w:rFonts w:ascii="Arial" w:hAnsi="Arial" w:cs="Arial"/>
          <w:sz w:val="20"/>
          <w:szCs w:val="20"/>
        </w:rPr>
        <w:t xml:space="preserve">an economic regulator </w:t>
      </w:r>
      <w:r w:rsidR="007F025A">
        <w:rPr>
          <w:rFonts w:ascii="Arial" w:hAnsi="Arial" w:cs="Arial"/>
          <w:sz w:val="20"/>
          <w:szCs w:val="20"/>
        </w:rPr>
        <w:t>(and</w:t>
      </w:r>
      <w:r w:rsidR="007F025A" w:rsidRPr="00D51476">
        <w:rPr>
          <w:rFonts w:ascii="Arial" w:hAnsi="Arial" w:cs="Arial"/>
          <w:sz w:val="20"/>
          <w:szCs w:val="20"/>
        </w:rPr>
        <w:t xml:space="preserve"> </w:t>
      </w:r>
      <w:r w:rsidRPr="00D51476">
        <w:rPr>
          <w:rFonts w:ascii="Arial" w:hAnsi="Arial" w:cs="Arial"/>
          <w:sz w:val="20"/>
          <w:szCs w:val="20"/>
        </w:rPr>
        <w:t>increased accountability</w:t>
      </w:r>
      <w:r w:rsidR="007F025A">
        <w:rPr>
          <w:rFonts w:ascii="Arial" w:hAnsi="Arial" w:cs="Arial"/>
          <w:sz w:val="20"/>
          <w:szCs w:val="20"/>
        </w:rPr>
        <w:t>)</w:t>
      </w:r>
      <w:r w:rsidRPr="00D51476">
        <w:rPr>
          <w:rFonts w:ascii="Arial" w:hAnsi="Arial" w:cs="Arial"/>
          <w:sz w:val="20"/>
          <w:szCs w:val="20"/>
        </w:rPr>
        <w:t xml:space="preserve"> presents</w:t>
      </w:r>
      <w:r w:rsidR="007F025A">
        <w:rPr>
          <w:rFonts w:ascii="Arial" w:hAnsi="Arial" w:cs="Arial"/>
          <w:sz w:val="20"/>
          <w:szCs w:val="20"/>
        </w:rPr>
        <w:t>,</w:t>
      </w:r>
      <w:r w:rsidRPr="00D51476">
        <w:rPr>
          <w:rFonts w:ascii="Arial" w:hAnsi="Arial" w:cs="Arial"/>
          <w:sz w:val="20"/>
          <w:szCs w:val="20"/>
        </w:rPr>
        <w:t xml:space="preserve"> is to </w:t>
      </w:r>
      <w:r w:rsidR="007F025A">
        <w:rPr>
          <w:rFonts w:ascii="Arial" w:hAnsi="Arial" w:cs="Arial"/>
          <w:sz w:val="20"/>
          <w:szCs w:val="20"/>
        </w:rPr>
        <w:t>create</w:t>
      </w:r>
      <w:r w:rsidR="007F025A" w:rsidRPr="00D51476">
        <w:rPr>
          <w:rFonts w:ascii="Arial" w:hAnsi="Arial" w:cs="Arial"/>
          <w:sz w:val="20"/>
          <w:szCs w:val="20"/>
        </w:rPr>
        <w:t xml:space="preserve"> </w:t>
      </w:r>
      <w:r w:rsidRPr="00D51476">
        <w:rPr>
          <w:rFonts w:ascii="Arial" w:hAnsi="Arial" w:cs="Arial"/>
          <w:sz w:val="20"/>
          <w:szCs w:val="20"/>
        </w:rPr>
        <w:t>regional group</w:t>
      </w:r>
      <w:r w:rsidR="007F025A">
        <w:rPr>
          <w:rFonts w:ascii="Arial" w:hAnsi="Arial" w:cs="Arial"/>
          <w:sz w:val="20"/>
          <w:szCs w:val="20"/>
        </w:rPr>
        <w:t>ing</w:t>
      </w:r>
      <w:r w:rsidRPr="00D51476">
        <w:rPr>
          <w:rFonts w:ascii="Arial" w:hAnsi="Arial" w:cs="Arial"/>
          <w:sz w:val="20"/>
          <w:szCs w:val="20"/>
        </w:rPr>
        <w:t>s of local governments based on regional economic activity</w:t>
      </w:r>
      <w:r w:rsidR="000B25F1">
        <w:rPr>
          <w:rFonts w:ascii="Arial" w:hAnsi="Arial" w:cs="Arial"/>
          <w:sz w:val="20"/>
          <w:szCs w:val="20"/>
        </w:rPr>
        <w:t xml:space="preserve">. </w:t>
      </w:r>
      <w:r w:rsidR="00E46B54">
        <w:rPr>
          <w:rFonts w:ascii="Arial" w:hAnsi="Arial" w:cs="Arial"/>
          <w:sz w:val="20"/>
          <w:szCs w:val="20"/>
        </w:rPr>
        <w:t xml:space="preserve">Such groups </w:t>
      </w:r>
      <w:r w:rsidR="000B25F1">
        <w:rPr>
          <w:rFonts w:ascii="Arial" w:hAnsi="Arial" w:cs="Arial"/>
          <w:sz w:val="20"/>
          <w:szCs w:val="20"/>
        </w:rPr>
        <w:t xml:space="preserve">could </w:t>
      </w:r>
      <w:r w:rsidR="000B25F1" w:rsidRPr="00D51476">
        <w:rPr>
          <w:rFonts w:ascii="Arial" w:hAnsi="Arial" w:cs="Arial"/>
          <w:sz w:val="20"/>
          <w:szCs w:val="20"/>
        </w:rPr>
        <w:t>identify</w:t>
      </w:r>
      <w:r w:rsidRPr="00D51476">
        <w:rPr>
          <w:rFonts w:ascii="Arial" w:hAnsi="Arial" w:cs="Arial"/>
          <w:sz w:val="20"/>
          <w:szCs w:val="20"/>
        </w:rPr>
        <w:t xml:space="preserve"> asset condition, creat</w:t>
      </w:r>
      <w:r w:rsidR="000B25F1">
        <w:rPr>
          <w:rFonts w:ascii="Arial" w:hAnsi="Arial" w:cs="Arial"/>
          <w:sz w:val="20"/>
          <w:szCs w:val="20"/>
        </w:rPr>
        <w:t>e</w:t>
      </w:r>
      <w:r w:rsidRPr="00D51476">
        <w:rPr>
          <w:rFonts w:ascii="Arial" w:hAnsi="Arial" w:cs="Arial"/>
          <w:sz w:val="20"/>
          <w:szCs w:val="20"/>
        </w:rPr>
        <w:t xml:space="preserve"> maintenance programs, identify and cost major capital investments or expansions on their network that would </w:t>
      </w:r>
      <w:r w:rsidR="002249C4" w:rsidRPr="00D51476">
        <w:rPr>
          <w:rFonts w:ascii="Arial" w:hAnsi="Arial" w:cs="Arial"/>
          <w:sz w:val="20"/>
          <w:szCs w:val="20"/>
        </w:rPr>
        <w:t xml:space="preserve">be attributed to the heavy vehicle industry. </w:t>
      </w:r>
      <w:r w:rsidRPr="00D51476">
        <w:rPr>
          <w:rFonts w:ascii="Arial" w:hAnsi="Arial" w:cs="Arial"/>
          <w:sz w:val="20"/>
          <w:szCs w:val="20"/>
        </w:rPr>
        <w:t xml:space="preserve"> </w:t>
      </w:r>
    </w:p>
    <w:p w:rsidR="007631BA" w:rsidRPr="00D51476" w:rsidRDefault="007631BA" w:rsidP="004C7F70">
      <w:pPr>
        <w:rPr>
          <w:rFonts w:ascii="Arial" w:hAnsi="Arial" w:cs="Arial"/>
          <w:sz w:val="20"/>
          <w:szCs w:val="20"/>
        </w:rPr>
      </w:pPr>
    </w:p>
    <w:p w:rsidR="003F3926" w:rsidRPr="00D51476" w:rsidRDefault="003F3926" w:rsidP="004C7F70">
      <w:pPr>
        <w:rPr>
          <w:rFonts w:ascii="Arial" w:hAnsi="Arial" w:cs="Arial"/>
          <w:sz w:val="20"/>
          <w:szCs w:val="20"/>
        </w:rPr>
      </w:pPr>
      <w:r w:rsidRPr="00D51476">
        <w:rPr>
          <w:rFonts w:ascii="Arial" w:hAnsi="Arial" w:cs="Arial"/>
          <w:sz w:val="20"/>
          <w:szCs w:val="20"/>
        </w:rPr>
        <w:t xml:space="preserve">This would pool </w:t>
      </w:r>
      <w:r w:rsidR="00E46B54">
        <w:rPr>
          <w:rFonts w:ascii="Arial" w:hAnsi="Arial" w:cs="Arial"/>
          <w:sz w:val="20"/>
          <w:szCs w:val="20"/>
        </w:rPr>
        <w:t xml:space="preserve">local </w:t>
      </w:r>
      <w:r w:rsidRPr="00D51476">
        <w:rPr>
          <w:rFonts w:ascii="Arial" w:hAnsi="Arial" w:cs="Arial"/>
          <w:sz w:val="20"/>
          <w:szCs w:val="20"/>
        </w:rPr>
        <w:t>resources and give comfort to industry</w:t>
      </w:r>
      <w:r w:rsidR="00E46B54">
        <w:rPr>
          <w:rFonts w:ascii="Arial" w:hAnsi="Arial" w:cs="Arial"/>
          <w:sz w:val="20"/>
          <w:szCs w:val="20"/>
        </w:rPr>
        <w:t xml:space="preserve"> nationwide</w:t>
      </w:r>
      <w:r w:rsidRPr="00D51476">
        <w:rPr>
          <w:rFonts w:ascii="Arial" w:hAnsi="Arial" w:cs="Arial"/>
          <w:sz w:val="20"/>
          <w:szCs w:val="20"/>
        </w:rPr>
        <w:t xml:space="preserve"> that accountability is </w:t>
      </w:r>
      <w:r w:rsidR="00E46B54">
        <w:rPr>
          <w:rFonts w:ascii="Arial" w:hAnsi="Arial" w:cs="Arial"/>
          <w:sz w:val="20"/>
          <w:szCs w:val="20"/>
        </w:rPr>
        <w:t>improving</w:t>
      </w:r>
      <w:r w:rsidRPr="00D51476">
        <w:rPr>
          <w:rFonts w:ascii="Arial" w:hAnsi="Arial" w:cs="Arial"/>
          <w:sz w:val="20"/>
          <w:szCs w:val="20"/>
        </w:rPr>
        <w:t>, specifically in local government areas where first and last mile</w:t>
      </w:r>
      <w:r w:rsidR="00E46B54">
        <w:rPr>
          <w:rFonts w:ascii="Arial" w:hAnsi="Arial" w:cs="Arial"/>
          <w:sz w:val="20"/>
          <w:szCs w:val="20"/>
        </w:rPr>
        <w:t xml:space="preserve"> access problems</w:t>
      </w:r>
      <w:r w:rsidRPr="00D51476">
        <w:rPr>
          <w:rFonts w:ascii="Arial" w:hAnsi="Arial" w:cs="Arial"/>
          <w:sz w:val="20"/>
          <w:szCs w:val="20"/>
        </w:rPr>
        <w:t xml:space="preserve">, along with maintenance issues are </w:t>
      </w:r>
      <w:r w:rsidR="000B25F1" w:rsidRPr="00D51476">
        <w:rPr>
          <w:rFonts w:ascii="Arial" w:hAnsi="Arial" w:cs="Arial"/>
          <w:sz w:val="20"/>
          <w:szCs w:val="20"/>
        </w:rPr>
        <w:t>common</w:t>
      </w:r>
      <w:r w:rsidRPr="00D51476">
        <w:rPr>
          <w:rFonts w:ascii="Arial" w:hAnsi="Arial" w:cs="Arial"/>
          <w:sz w:val="20"/>
          <w:szCs w:val="20"/>
        </w:rPr>
        <w:t xml:space="preserve">. </w:t>
      </w:r>
    </w:p>
    <w:p w:rsidR="002249C4" w:rsidRPr="00D51476" w:rsidRDefault="002249C4" w:rsidP="004C7F70">
      <w:pPr>
        <w:rPr>
          <w:rFonts w:ascii="Arial" w:hAnsi="Arial" w:cs="Arial"/>
          <w:sz w:val="20"/>
          <w:szCs w:val="20"/>
        </w:rPr>
      </w:pPr>
    </w:p>
    <w:p w:rsidR="00AA3874" w:rsidRDefault="002249C4" w:rsidP="004C7F70">
      <w:pPr>
        <w:rPr>
          <w:rFonts w:ascii="Arial" w:hAnsi="Arial" w:cs="Arial"/>
          <w:sz w:val="20"/>
          <w:szCs w:val="20"/>
        </w:rPr>
      </w:pPr>
      <w:r w:rsidRPr="00D51476">
        <w:rPr>
          <w:rFonts w:ascii="Arial" w:hAnsi="Arial" w:cs="Arial"/>
          <w:sz w:val="20"/>
          <w:szCs w:val="20"/>
        </w:rPr>
        <w:t xml:space="preserve">It is also </w:t>
      </w:r>
      <w:r w:rsidR="00E46B54">
        <w:rPr>
          <w:rFonts w:ascii="Arial" w:hAnsi="Arial" w:cs="Arial"/>
          <w:sz w:val="20"/>
          <w:szCs w:val="20"/>
        </w:rPr>
        <w:t>vital</w:t>
      </w:r>
      <w:r w:rsidR="00E46B54" w:rsidRPr="00D51476">
        <w:rPr>
          <w:rFonts w:ascii="Arial" w:hAnsi="Arial" w:cs="Arial"/>
          <w:sz w:val="20"/>
          <w:szCs w:val="20"/>
        </w:rPr>
        <w:t xml:space="preserve"> </w:t>
      </w:r>
      <w:r w:rsidRPr="00D51476">
        <w:rPr>
          <w:rFonts w:ascii="Arial" w:hAnsi="Arial" w:cs="Arial"/>
          <w:sz w:val="20"/>
          <w:szCs w:val="20"/>
        </w:rPr>
        <w:t xml:space="preserve">that industry is involved in these regional groups in order to </w:t>
      </w:r>
      <w:r w:rsidRPr="00F33515">
        <w:rPr>
          <w:rFonts w:ascii="Arial" w:hAnsi="Arial" w:cs="Arial"/>
          <w:sz w:val="20"/>
          <w:szCs w:val="20"/>
        </w:rPr>
        <w:t xml:space="preserve">provide </w:t>
      </w:r>
      <w:r w:rsidR="00E46B54" w:rsidRPr="00F33515">
        <w:rPr>
          <w:rFonts w:ascii="Arial" w:hAnsi="Arial" w:cs="Arial"/>
          <w:sz w:val="20"/>
          <w:szCs w:val="20"/>
        </w:rPr>
        <w:t xml:space="preserve">logistical and other local </w:t>
      </w:r>
      <w:r w:rsidR="00DA1411" w:rsidRPr="00F33515">
        <w:rPr>
          <w:rFonts w:ascii="Arial" w:hAnsi="Arial" w:cs="Arial"/>
          <w:sz w:val="20"/>
          <w:szCs w:val="20"/>
        </w:rPr>
        <w:t>knowledge</w:t>
      </w:r>
      <w:r w:rsidRPr="00F33515">
        <w:rPr>
          <w:rFonts w:ascii="Arial" w:hAnsi="Arial" w:cs="Arial"/>
          <w:sz w:val="20"/>
          <w:szCs w:val="20"/>
        </w:rPr>
        <w:t>.</w:t>
      </w:r>
      <w:r w:rsidRPr="00D51476">
        <w:rPr>
          <w:rFonts w:ascii="Arial" w:hAnsi="Arial" w:cs="Arial"/>
          <w:sz w:val="20"/>
          <w:szCs w:val="20"/>
        </w:rPr>
        <w:t xml:space="preserve"> </w:t>
      </w:r>
    </w:p>
    <w:p w:rsidR="00510D1B" w:rsidRDefault="00510D1B" w:rsidP="004C7F70">
      <w:pPr>
        <w:rPr>
          <w:rFonts w:ascii="Arial" w:hAnsi="Arial" w:cs="Arial"/>
          <w:sz w:val="20"/>
          <w:szCs w:val="20"/>
        </w:rPr>
      </w:pPr>
      <w:bookmarkStart w:id="133" w:name="_Toc361217285"/>
      <w:bookmarkStart w:id="134" w:name="_Toc361217652"/>
      <w:bookmarkStart w:id="135" w:name="_Toc361218179"/>
      <w:bookmarkStart w:id="136" w:name="_Toc361219533"/>
      <w:bookmarkStart w:id="137" w:name="_Toc361232812"/>
      <w:bookmarkStart w:id="138" w:name="_Toc361302837"/>
      <w:bookmarkStart w:id="139" w:name="_Toc361321196"/>
      <w:bookmarkStart w:id="140" w:name="_Toc361732984"/>
      <w:bookmarkStart w:id="141" w:name="_Toc361736691"/>
      <w:bookmarkStart w:id="142" w:name="_Toc361821340"/>
      <w:bookmarkStart w:id="143" w:name="_Toc361822870"/>
      <w:bookmarkEnd w:id="133"/>
      <w:bookmarkEnd w:id="134"/>
      <w:bookmarkEnd w:id="135"/>
      <w:bookmarkEnd w:id="136"/>
      <w:bookmarkEnd w:id="137"/>
      <w:bookmarkEnd w:id="138"/>
      <w:bookmarkEnd w:id="139"/>
      <w:bookmarkEnd w:id="140"/>
      <w:bookmarkEnd w:id="141"/>
      <w:bookmarkEnd w:id="142"/>
      <w:bookmarkEnd w:id="143"/>
    </w:p>
    <w:p w:rsidR="00617F3D" w:rsidRPr="00D51476" w:rsidRDefault="00617F3D" w:rsidP="004C7F70">
      <w:pPr>
        <w:rPr>
          <w:rFonts w:ascii="Arial" w:hAnsi="Arial" w:cs="Arial"/>
          <w:sz w:val="20"/>
          <w:szCs w:val="20"/>
        </w:rPr>
      </w:pPr>
    </w:p>
    <w:p w:rsidR="003F3926" w:rsidRPr="00620293" w:rsidRDefault="00AD7CF9" w:rsidP="00793431">
      <w:pPr>
        <w:pStyle w:val="Heading1"/>
        <w:numPr>
          <w:ilvl w:val="1"/>
          <w:numId w:val="15"/>
        </w:numPr>
      </w:pPr>
      <w:bookmarkStart w:id="144" w:name="_Toc362528133"/>
      <w:r w:rsidRPr="00620293">
        <w:lastRenderedPageBreak/>
        <w:t>Forward looking</w:t>
      </w:r>
      <w:r w:rsidR="002D575A" w:rsidRPr="00620293">
        <w:t xml:space="preserve"> planning</w:t>
      </w:r>
      <w:bookmarkEnd w:id="144"/>
      <w:r w:rsidRPr="00620293">
        <w:t xml:space="preserve"> </w:t>
      </w:r>
    </w:p>
    <w:p w:rsidR="00AD7CF9" w:rsidRPr="00D51476" w:rsidRDefault="00AD7CF9" w:rsidP="004C7F70">
      <w:pPr>
        <w:rPr>
          <w:rFonts w:ascii="Arial" w:hAnsi="Arial" w:cs="Arial"/>
          <w:sz w:val="20"/>
          <w:szCs w:val="20"/>
        </w:rPr>
      </w:pPr>
    </w:p>
    <w:p w:rsidR="00AD7CF9" w:rsidRPr="00D51476" w:rsidRDefault="00AD7CF9" w:rsidP="004C7F70">
      <w:pPr>
        <w:rPr>
          <w:rFonts w:ascii="Arial" w:hAnsi="Arial" w:cs="Arial"/>
          <w:sz w:val="20"/>
          <w:szCs w:val="20"/>
        </w:rPr>
      </w:pPr>
      <w:r w:rsidRPr="00D51476">
        <w:rPr>
          <w:rFonts w:ascii="Arial" w:hAnsi="Arial" w:cs="Arial"/>
          <w:sz w:val="20"/>
          <w:szCs w:val="20"/>
        </w:rPr>
        <w:t xml:space="preserve">Currently, roads </w:t>
      </w:r>
      <w:r w:rsidR="0028389E">
        <w:rPr>
          <w:rFonts w:ascii="Arial" w:hAnsi="Arial" w:cs="Arial"/>
          <w:sz w:val="20"/>
          <w:szCs w:val="20"/>
        </w:rPr>
        <w:t xml:space="preserve">appear to be </w:t>
      </w:r>
      <w:r w:rsidR="00511B83" w:rsidRPr="00D51476">
        <w:rPr>
          <w:rFonts w:ascii="Arial" w:hAnsi="Arial" w:cs="Arial"/>
          <w:sz w:val="20"/>
          <w:szCs w:val="20"/>
        </w:rPr>
        <w:t>planned for low</w:t>
      </w:r>
      <w:r w:rsidR="0028389E">
        <w:rPr>
          <w:rFonts w:ascii="Arial" w:hAnsi="Arial" w:cs="Arial"/>
          <w:sz w:val="20"/>
          <w:szCs w:val="20"/>
        </w:rPr>
        <w:t>er</w:t>
      </w:r>
      <w:r w:rsidR="00511B83" w:rsidRPr="00D51476">
        <w:rPr>
          <w:rFonts w:ascii="Arial" w:hAnsi="Arial" w:cs="Arial"/>
          <w:sz w:val="20"/>
          <w:szCs w:val="20"/>
        </w:rPr>
        <w:t xml:space="preserve"> capital costs, which result</w:t>
      </w:r>
      <w:r w:rsidR="001F345B">
        <w:rPr>
          <w:rFonts w:ascii="Arial" w:hAnsi="Arial" w:cs="Arial"/>
          <w:sz w:val="20"/>
          <w:szCs w:val="20"/>
        </w:rPr>
        <w:t>s</w:t>
      </w:r>
      <w:r w:rsidR="00511B83" w:rsidRPr="00D51476">
        <w:rPr>
          <w:rFonts w:ascii="Arial" w:hAnsi="Arial" w:cs="Arial"/>
          <w:sz w:val="20"/>
          <w:szCs w:val="20"/>
        </w:rPr>
        <w:t xml:space="preserve"> in high maintenance costs over the lifetime of the asset</w:t>
      </w:r>
      <w:r w:rsidR="001F345B">
        <w:rPr>
          <w:rFonts w:ascii="Arial" w:hAnsi="Arial" w:cs="Arial"/>
          <w:sz w:val="20"/>
          <w:szCs w:val="20"/>
        </w:rPr>
        <w:t>,</w:t>
      </w:r>
      <w:r w:rsidR="00511B83" w:rsidRPr="00D51476">
        <w:rPr>
          <w:rFonts w:ascii="Arial" w:hAnsi="Arial" w:cs="Arial"/>
          <w:sz w:val="20"/>
          <w:szCs w:val="20"/>
        </w:rPr>
        <w:t xml:space="preserve"> and industry pays for this poor </w:t>
      </w:r>
      <w:r w:rsidR="001F345B">
        <w:rPr>
          <w:rFonts w:ascii="Arial" w:hAnsi="Arial" w:cs="Arial"/>
          <w:sz w:val="20"/>
          <w:szCs w:val="20"/>
        </w:rPr>
        <w:t xml:space="preserve">quality </w:t>
      </w:r>
      <w:r w:rsidR="000B25F1">
        <w:rPr>
          <w:rFonts w:ascii="Arial" w:hAnsi="Arial" w:cs="Arial"/>
          <w:sz w:val="20"/>
          <w:szCs w:val="20"/>
        </w:rPr>
        <w:t>design</w:t>
      </w:r>
      <w:r w:rsidR="00511B83" w:rsidRPr="00D51476">
        <w:rPr>
          <w:rFonts w:ascii="Arial" w:hAnsi="Arial" w:cs="Arial"/>
          <w:sz w:val="20"/>
          <w:szCs w:val="20"/>
        </w:rPr>
        <w:t xml:space="preserve">. </w:t>
      </w:r>
    </w:p>
    <w:p w:rsidR="00AD7CF9" w:rsidRPr="00D51476" w:rsidRDefault="00AD7CF9" w:rsidP="004C7F70">
      <w:pPr>
        <w:rPr>
          <w:rFonts w:ascii="Arial" w:hAnsi="Arial" w:cs="Arial"/>
          <w:sz w:val="20"/>
          <w:szCs w:val="20"/>
        </w:rPr>
      </w:pPr>
    </w:p>
    <w:p w:rsidR="004C7F70" w:rsidRPr="00D51476" w:rsidRDefault="00307B83" w:rsidP="004C7F70">
      <w:pPr>
        <w:rPr>
          <w:rFonts w:ascii="Arial" w:hAnsi="Arial" w:cs="Arial"/>
          <w:sz w:val="20"/>
          <w:szCs w:val="20"/>
        </w:rPr>
      </w:pPr>
      <w:r w:rsidRPr="00D51476">
        <w:rPr>
          <w:rFonts w:ascii="Arial" w:hAnsi="Arial" w:cs="Arial"/>
          <w:sz w:val="20"/>
          <w:szCs w:val="20"/>
        </w:rPr>
        <w:t xml:space="preserve">Forward planning could increase </w:t>
      </w:r>
      <w:r w:rsidR="001F345B">
        <w:rPr>
          <w:rFonts w:ascii="Arial" w:hAnsi="Arial" w:cs="Arial"/>
          <w:sz w:val="20"/>
          <w:szCs w:val="20"/>
        </w:rPr>
        <w:t xml:space="preserve">project </w:t>
      </w:r>
      <w:r w:rsidRPr="00D51476">
        <w:rPr>
          <w:rFonts w:ascii="Arial" w:hAnsi="Arial" w:cs="Arial"/>
          <w:sz w:val="20"/>
          <w:szCs w:val="20"/>
        </w:rPr>
        <w:t xml:space="preserve">discipline to </w:t>
      </w:r>
      <w:r w:rsidR="001F345B">
        <w:rPr>
          <w:rFonts w:ascii="Arial" w:hAnsi="Arial" w:cs="Arial"/>
          <w:sz w:val="20"/>
          <w:szCs w:val="20"/>
        </w:rPr>
        <w:t>seek</w:t>
      </w:r>
      <w:r w:rsidR="001F345B" w:rsidRPr="00D51476">
        <w:rPr>
          <w:rFonts w:ascii="Arial" w:hAnsi="Arial" w:cs="Arial"/>
          <w:sz w:val="20"/>
          <w:szCs w:val="20"/>
        </w:rPr>
        <w:t xml:space="preserve"> </w:t>
      </w:r>
      <w:r w:rsidRPr="00D51476">
        <w:rPr>
          <w:rFonts w:ascii="Arial" w:hAnsi="Arial" w:cs="Arial"/>
          <w:sz w:val="20"/>
          <w:szCs w:val="20"/>
        </w:rPr>
        <w:t xml:space="preserve">low maintenance costs over the life of the asset. However, if forward looking planning </w:t>
      </w:r>
      <w:r w:rsidR="001F345B">
        <w:rPr>
          <w:rFonts w:ascii="Arial" w:hAnsi="Arial" w:cs="Arial"/>
          <w:sz w:val="20"/>
          <w:szCs w:val="20"/>
        </w:rPr>
        <w:t>processes were properly</w:t>
      </w:r>
      <w:r w:rsidRPr="00D51476">
        <w:rPr>
          <w:rFonts w:ascii="Arial" w:hAnsi="Arial" w:cs="Arial"/>
          <w:sz w:val="20"/>
          <w:szCs w:val="20"/>
        </w:rPr>
        <w:t xml:space="preserve"> developed</w:t>
      </w:r>
      <w:r w:rsidR="001F345B">
        <w:rPr>
          <w:rFonts w:ascii="Arial" w:hAnsi="Arial" w:cs="Arial"/>
          <w:sz w:val="20"/>
          <w:szCs w:val="20"/>
        </w:rPr>
        <w:t>,</w:t>
      </w:r>
      <w:r w:rsidRPr="00D51476">
        <w:rPr>
          <w:rFonts w:ascii="Arial" w:hAnsi="Arial" w:cs="Arial"/>
          <w:sz w:val="20"/>
          <w:szCs w:val="20"/>
        </w:rPr>
        <w:t xml:space="preserve"> </w:t>
      </w:r>
      <w:r w:rsidR="004C7F70" w:rsidRPr="00D51476">
        <w:rPr>
          <w:rFonts w:ascii="Arial" w:hAnsi="Arial" w:cs="Arial"/>
          <w:sz w:val="20"/>
          <w:szCs w:val="20"/>
        </w:rPr>
        <w:t xml:space="preserve">industry would need to be provided with greater certainty that what </w:t>
      </w:r>
      <w:r w:rsidR="001F345B">
        <w:rPr>
          <w:rFonts w:ascii="Arial" w:hAnsi="Arial" w:cs="Arial"/>
          <w:sz w:val="20"/>
          <w:szCs w:val="20"/>
        </w:rPr>
        <w:t>it</w:t>
      </w:r>
      <w:r w:rsidR="00C85C33" w:rsidRPr="00D51476">
        <w:rPr>
          <w:rFonts w:ascii="Arial" w:hAnsi="Arial" w:cs="Arial"/>
          <w:sz w:val="20"/>
          <w:szCs w:val="20"/>
        </w:rPr>
        <w:t xml:space="preserve"> </w:t>
      </w:r>
      <w:r w:rsidR="004C7F70" w:rsidRPr="00D51476">
        <w:rPr>
          <w:rFonts w:ascii="Arial" w:hAnsi="Arial" w:cs="Arial"/>
          <w:sz w:val="20"/>
          <w:szCs w:val="20"/>
        </w:rPr>
        <w:t xml:space="preserve">needs will be provided and how </w:t>
      </w:r>
      <w:r w:rsidR="00C85C33">
        <w:rPr>
          <w:rFonts w:ascii="Arial" w:hAnsi="Arial" w:cs="Arial"/>
          <w:sz w:val="20"/>
          <w:szCs w:val="20"/>
        </w:rPr>
        <w:t xml:space="preserve">this </w:t>
      </w:r>
      <w:r w:rsidR="004C7F70" w:rsidRPr="00D51476">
        <w:rPr>
          <w:rFonts w:ascii="Arial" w:hAnsi="Arial" w:cs="Arial"/>
          <w:sz w:val="20"/>
          <w:szCs w:val="20"/>
        </w:rPr>
        <w:t xml:space="preserve">is reported. </w:t>
      </w:r>
      <w:r w:rsidRPr="00D51476">
        <w:rPr>
          <w:rFonts w:ascii="Arial" w:hAnsi="Arial" w:cs="Arial"/>
          <w:sz w:val="20"/>
          <w:szCs w:val="20"/>
        </w:rPr>
        <w:t xml:space="preserve">The charges produced from </w:t>
      </w:r>
      <w:r w:rsidR="001F345B" w:rsidRPr="00D51476">
        <w:rPr>
          <w:rFonts w:ascii="Arial" w:hAnsi="Arial" w:cs="Arial"/>
          <w:sz w:val="20"/>
          <w:szCs w:val="20"/>
        </w:rPr>
        <w:t>th</w:t>
      </w:r>
      <w:r w:rsidR="001F345B">
        <w:rPr>
          <w:rFonts w:ascii="Arial" w:hAnsi="Arial" w:cs="Arial"/>
          <w:sz w:val="20"/>
          <w:szCs w:val="20"/>
        </w:rPr>
        <w:t>is</w:t>
      </w:r>
      <w:r w:rsidR="001F345B" w:rsidRPr="00D51476">
        <w:rPr>
          <w:rFonts w:ascii="Arial" w:hAnsi="Arial" w:cs="Arial"/>
          <w:sz w:val="20"/>
          <w:szCs w:val="20"/>
        </w:rPr>
        <w:t xml:space="preserve"> </w:t>
      </w:r>
      <w:r w:rsidRPr="00D51476">
        <w:rPr>
          <w:rFonts w:ascii="Arial" w:hAnsi="Arial" w:cs="Arial"/>
          <w:sz w:val="20"/>
          <w:szCs w:val="20"/>
        </w:rPr>
        <w:t xml:space="preserve">process would also need to </w:t>
      </w:r>
      <w:r w:rsidR="001F345B">
        <w:rPr>
          <w:rFonts w:ascii="Arial" w:hAnsi="Arial" w:cs="Arial"/>
          <w:sz w:val="20"/>
          <w:szCs w:val="20"/>
        </w:rPr>
        <w:t>be</w:t>
      </w:r>
      <w:r w:rsidR="001F345B" w:rsidRPr="00D51476">
        <w:rPr>
          <w:rFonts w:ascii="Arial" w:hAnsi="Arial" w:cs="Arial"/>
          <w:sz w:val="20"/>
          <w:szCs w:val="20"/>
        </w:rPr>
        <w:t xml:space="preserve"> scrutin</w:t>
      </w:r>
      <w:r w:rsidR="001F345B">
        <w:rPr>
          <w:rFonts w:ascii="Arial" w:hAnsi="Arial" w:cs="Arial"/>
          <w:sz w:val="20"/>
          <w:szCs w:val="20"/>
        </w:rPr>
        <w:t>ised</w:t>
      </w:r>
      <w:r w:rsidR="000B25F1">
        <w:rPr>
          <w:rFonts w:ascii="Arial" w:hAnsi="Arial" w:cs="Arial"/>
          <w:sz w:val="20"/>
          <w:szCs w:val="20"/>
        </w:rPr>
        <w:t>,</w:t>
      </w:r>
      <w:r w:rsidRPr="00D51476">
        <w:rPr>
          <w:rFonts w:ascii="Arial" w:hAnsi="Arial" w:cs="Arial"/>
          <w:sz w:val="20"/>
          <w:szCs w:val="20"/>
        </w:rPr>
        <w:t xml:space="preserve"> as there is a potential for ‘gaming’ </w:t>
      </w:r>
      <w:r w:rsidR="001F345B">
        <w:rPr>
          <w:rFonts w:ascii="Arial" w:hAnsi="Arial" w:cs="Arial"/>
          <w:sz w:val="20"/>
          <w:szCs w:val="20"/>
        </w:rPr>
        <w:t xml:space="preserve">of the system </w:t>
      </w:r>
      <w:r w:rsidRPr="00D51476">
        <w:rPr>
          <w:rFonts w:ascii="Arial" w:hAnsi="Arial" w:cs="Arial"/>
          <w:sz w:val="20"/>
          <w:szCs w:val="20"/>
        </w:rPr>
        <w:t>to occur</w:t>
      </w:r>
      <w:r w:rsidR="001F345B">
        <w:rPr>
          <w:rFonts w:ascii="Arial" w:hAnsi="Arial" w:cs="Arial"/>
          <w:sz w:val="20"/>
          <w:szCs w:val="20"/>
        </w:rPr>
        <w:t>,</w:t>
      </w:r>
      <w:r w:rsidRPr="00D51476">
        <w:rPr>
          <w:rFonts w:ascii="Arial" w:hAnsi="Arial" w:cs="Arial"/>
          <w:sz w:val="20"/>
          <w:szCs w:val="20"/>
        </w:rPr>
        <w:t xml:space="preserve"> with </w:t>
      </w:r>
      <w:r w:rsidR="001F345B">
        <w:rPr>
          <w:rFonts w:ascii="Arial" w:hAnsi="Arial" w:cs="Arial"/>
          <w:sz w:val="20"/>
          <w:szCs w:val="20"/>
        </w:rPr>
        <w:t xml:space="preserve">opportunities for </w:t>
      </w:r>
      <w:r w:rsidRPr="00D51476">
        <w:rPr>
          <w:rFonts w:ascii="Arial" w:hAnsi="Arial" w:cs="Arial"/>
          <w:sz w:val="20"/>
          <w:szCs w:val="20"/>
        </w:rPr>
        <w:t xml:space="preserve">road managers </w:t>
      </w:r>
      <w:r w:rsidR="001F345B">
        <w:rPr>
          <w:rFonts w:ascii="Arial" w:hAnsi="Arial" w:cs="Arial"/>
          <w:sz w:val="20"/>
          <w:szCs w:val="20"/>
        </w:rPr>
        <w:t xml:space="preserve">to </w:t>
      </w:r>
      <w:r w:rsidR="001F345B" w:rsidRPr="00D51476">
        <w:rPr>
          <w:rFonts w:ascii="Arial" w:hAnsi="Arial" w:cs="Arial"/>
          <w:sz w:val="20"/>
          <w:szCs w:val="20"/>
        </w:rPr>
        <w:t>overstat</w:t>
      </w:r>
      <w:r w:rsidR="001F345B">
        <w:rPr>
          <w:rFonts w:ascii="Arial" w:hAnsi="Arial" w:cs="Arial"/>
          <w:sz w:val="20"/>
          <w:szCs w:val="20"/>
        </w:rPr>
        <w:t>e</w:t>
      </w:r>
      <w:r w:rsidR="001F345B" w:rsidRPr="00D51476">
        <w:rPr>
          <w:rFonts w:ascii="Arial" w:hAnsi="Arial" w:cs="Arial"/>
          <w:sz w:val="20"/>
          <w:szCs w:val="20"/>
        </w:rPr>
        <w:t xml:space="preserve"> </w:t>
      </w:r>
      <w:r w:rsidRPr="00D51476">
        <w:rPr>
          <w:rFonts w:ascii="Arial" w:hAnsi="Arial" w:cs="Arial"/>
          <w:sz w:val="20"/>
          <w:szCs w:val="20"/>
        </w:rPr>
        <w:t xml:space="preserve">estimated costs </w:t>
      </w:r>
      <w:r w:rsidR="001F345B">
        <w:rPr>
          <w:rFonts w:ascii="Arial" w:hAnsi="Arial" w:cs="Arial"/>
          <w:sz w:val="20"/>
          <w:szCs w:val="20"/>
        </w:rPr>
        <w:t>directly affecting</w:t>
      </w:r>
      <w:r w:rsidR="001F345B" w:rsidRPr="00D51476">
        <w:rPr>
          <w:rFonts w:ascii="Arial" w:hAnsi="Arial" w:cs="Arial"/>
          <w:sz w:val="20"/>
          <w:szCs w:val="20"/>
        </w:rPr>
        <w:t xml:space="preserve"> </w:t>
      </w:r>
      <w:r w:rsidRPr="00D51476">
        <w:rPr>
          <w:rFonts w:ascii="Arial" w:hAnsi="Arial" w:cs="Arial"/>
          <w:sz w:val="20"/>
          <w:szCs w:val="20"/>
        </w:rPr>
        <w:t xml:space="preserve">industry </w:t>
      </w:r>
      <w:r w:rsidR="001F345B">
        <w:rPr>
          <w:rFonts w:ascii="Arial" w:hAnsi="Arial" w:cs="Arial"/>
          <w:sz w:val="20"/>
          <w:szCs w:val="20"/>
        </w:rPr>
        <w:t xml:space="preserve">through </w:t>
      </w:r>
      <w:r w:rsidRPr="00D51476">
        <w:rPr>
          <w:rFonts w:ascii="Arial" w:hAnsi="Arial" w:cs="Arial"/>
          <w:sz w:val="20"/>
          <w:szCs w:val="20"/>
        </w:rPr>
        <w:t xml:space="preserve">artificially high charges or </w:t>
      </w:r>
      <w:r w:rsidR="001F345B">
        <w:rPr>
          <w:rFonts w:ascii="Arial" w:hAnsi="Arial" w:cs="Arial"/>
          <w:sz w:val="20"/>
          <w:szCs w:val="20"/>
        </w:rPr>
        <w:t xml:space="preserve">the </w:t>
      </w:r>
      <w:r w:rsidRPr="00D51476">
        <w:rPr>
          <w:rFonts w:ascii="Arial" w:hAnsi="Arial" w:cs="Arial"/>
          <w:sz w:val="20"/>
          <w:szCs w:val="20"/>
        </w:rPr>
        <w:t>uncertainty</w:t>
      </w:r>
      <w:r w:rsidR="001F345B">
        <w:rPr>
          <w:rFonts w:ascii="Arial" w:hAnsi="Arial" w:cs="Arial"/>
          <w:sz w:val="20"/>
          <w:szCs w:val="20"/>
        </w:rPr>
        <w:t xml:space="preserve"> created</w:t>
      </w:r>
      <w:r w:rsidRPr="00D51476">
        <w:rPr>
          <w:rFonts w:ascii="Arial" w:hAnsi="Arial" w:cs="Arial"/>
          <w:sz w:val="20"/>
          <w:szCs w:val="20"/>
        </w:rPr>
        <w:t xml:space="preserve">. </w:t>
      </w:r>
    </w:p>
    <w:p w:rsidR="00307B83" w:rsidRPr="00D51476" w:rsidRDefault="00307B83" w:rsidP="004C7F70">
      <w:pPr>
        <w:rPr>
          <w:rFonts w:ascii="Arial" w:hAnsi="Arial" w:cs="Arial"/>
          <w:sz w:val="20"/>
          <w:szCs w:val="20"/>
        </w:rPr>
      </w:pPr>
    </w:p>
    <w:p w:rsidR="0040697C" w:rsidRPr="00D51476" w:rsidRDefault="0040697C" w:rsidP="0040697C">
      <w:pPr>
        <w:rPr>
          <w:rFonts w:ascii="Arial" w:hAnsi="Arial" w:cs="Arial"/>
          <w:sz w:val="20"/>
          <w:szCs w:val="20"/>
        </w:rPr>
      </w:pPr>
      <w:r w:rsidRPr="00D51476">
        <w:rPr>
          <w:rFonts w:ascii="Arial" w:hAnsi="Arial" w:cs="Arial"/>
          <w:sz w:val="20"/>
          <w:szCs w:val="20"/>
        </w:rPr>
        <w:t>Some road agencies have stated that increased data produced from on</w:t>
      </w:r>
      <w:r w:rsidR="001F345B">
        <w:rPr>
          <w:rFonts w:ascii="Arial" w:hAnsi="Arial" w:cs="Arial"/>
          <w:sz w:val="20"/>
          <w:szCs w:val="20"/>
        </w:rPr>
        <w:t>-</w:t>
      </w:r>
      <w:r w:rsidRPr="00D51476">
        <w:rPr>
          <w:rFonts w:ascii="Arial" w:hAnsi="Arial" w:cs="Arial"/>
          <w:sz w:val="20"/>
          <w:szCs w:val="20"/>
        </w:rPr>
        <w:t xml:space="preserve">board </w:t>
      </w:r>
      <w:r w:rsidR="001F345B">
        <w:rPr>
          <w:rFonts w:ascii="Arial" w:hAnsi="Arial" w:cs="Arial"/>
          <w:sz w:val="20"/>
          <w:szCs w:val="20"/>
        </w:rPr>
        <w:t xml:space="preserve">vehicle </w:t>
      </w:r>
      <w:r w:rsidRPr="00D51476">
        <w:rPr>
          <w:rFonts w:ascii="Arial" w:hAnsi="Arial" w:cs="Arial"/>
          <w:sz w:val="20"/>
          <w:szCs w:val="20"/>
        </w:rPr>
        <w:t xml:space="preserve">monitoring will provide more </w:t>
      </w:r>
      <w:r w:rsidR="001F345B">
        <w:rPr>
          <w:rFonts w:ascii="Arial" w:hAnsi="Arial" w:cs="Arial"/>
          <w:sz w:val="20"/>
          <w:szCs w:val="20"/>
        </w:rPr>
        <w:t>information</w:t>
      </w:r>
      <w:r w:rsidR="001F345B" w:rsidRPr="00D51476">
        <w:rPr>
          <w:rFonts w:ascii="Arial" w:hAnsi="Arial" w:cs="Arial"/>
          <w:sz w:val="20"/>
          <w:szCs w:val="20"/>
        </w:rPr>
        <w:t xml:space="preserve"> </w:t>
      </w:r>
      <w:r w:rsidRPr="00D51476">
        <w:rPr>
          <w:rFonts w:ascii="Arial" w:hAnsi="Arial" w:cs="Arial"/>
          <w:sz w:val="20"/>
          <w:szCs w:val="20"/>
        </w:rPr>
        <w:t>for forecasting</w:t>
      </w:r>
      <w:r w:rsidR="00C85C33">
        <w:rPr>
          <w:rFonts w:ascii="Arial" w:hAnsi="Arial" w:cs="Arial"/>
          <w:sz w:val="20"/>
          <w:szCs w:val="20"/>
        </w:rPr>
        <w:t>. This</w:t>
      </w:r>
      <w:r w:rsidRPr="00D51476">
        <w:rPr>
          <w:rFonts w:ascii="Arial" w:hAnsi="Arial" w:cs="Arial"/>
          <w:sz w:val="20"/>
          <w:szCs w:val="20"/>
        </w:rPr>
        <w:t xml:space="preserve"> is not correct, as </w:t>
      </w:r>
      <w:r w:rsidR="001F345B">
        <w:rPr>
          <w:rFonts w:ascii="Arial" w:hAnsi="Arial" w:cs="Arial"/>
          <w:sz w:val="20"/>
          <w:szCs w:val="20"/>
        </w:rPr>
        <w:t xml:space="preserve">the </w:t>
      </w:r>
      <w:r w:rsidRPr="00D51476">
        <w:rPr>
          <w:rFonts w:ascii="Arial" w:hAnsi="Arial" w:cs="Arial"/>
          <w:sz w:val="20"/>
          <w:szCs w:val="20"/>
        </w:rPr>
        <w:t>d</w:t>
      </w:r>
      <w:r w:rsidR="002249C4" w:rsidRPr="00D51476">
        <w:rPr>
          <w:rFonts w:ascii="Arial" w:hAnsi="Arial" w:cs="Arial"/>
          <w:sz w:val="20"/>
          <w:szCs w:val="20"/>
        </w:rPr>
        <w:t xml:space="preserve">ata taken will only reflect </w:t>
      </w:r>
      <w:r w:rsidRPr="00D51476">
        <w:rPr>
          <w:rFonts w:ascii="Arial" w:hAnsi="Arial" w:cs="Arial"/>
          <w:sz w:val="20"/>
          <w:szCs w:val="20"/>
        </w:rPr>
        <w:t>where trucks currently travel. HVCI note</w:t>
      </w:r>
      <w:r w:rsidR="001F345B">
        <w:rPr>
          <w:rFonts w:ascii="Arial" w:hAnsi="Arial" w:cs="Arial"/>
          <w:sz w:val="20"/>
          <w:szCs w:val="20"/>
        </w:rPr>
        <w:t>s</w:t>
      </w:r>
      <w:r w:rsidRPr="00D51476">
        <w:rPr>
          <w:rFonts w:ascii="Arial" w:hAnsi="Arial" w:cs="Arial"/>
          <w:sz w:val="20"/>
          <w:szCs w:val="20"/>
        </w:rPr>
        <w:t xml:space="preserve"> forecasting will involve GDP indicators</w:t>
      </w:r>
      <w:r w:rsidR="002D575A" w:rsidRPr="00D51476">
        <w:rPr>
          <w:rFonts w:ascii="Arial" w:hAnsi="Arial" w:cs="Arial"/>
          <w:sz w:val="20"/>
          <w:szCs w:val="20"/>
        </w:rPr>
        <w:t xml:space="preserve"> and</w:t>
      </w:r>
      <w:r w:rsidRPr="00D51476">
        <w:rPr>
          <w:rFonts w:ascii="Arial" w:hAnsi="Arial" w:cs="Arial"/>
          <w:sz w:val="20"/>
          <w:szCs w:val="20"/>
        </w:rPr>
        <w:t xml:space="preserve"> </w:t>
      </w:r>
      <w:r w:rsidR="001F345B">
        <w:rPr>
          <w:rFonts w:ascii="Arial" w:hAnsi="Arial" w:cs="Arial"/>
          <w:sz w:val="20"/>
          <w:szCs w:val="20"/>
        </w:rPr>
        <w:t xml:space="preserve">cover </w:t>
      </w:r>
      <w:r w:rsidRPr="00D51476">
        <w:rPr>
          <w:rFonts w:ascii="Arial" w:hAnsi="Arial" w:cs="Arial"/>
          <w:sz w:val="20"/>
          <w:szCs w:val="20"/>
        </w:rPr>
        <w:t>more than just the truck population. It must be remembered that if a change to the system</w:t>
      </w:r>
      <w:r w:rsidR="001F345B">
        <w:rPr>
          <w:rFonts w:ascii="Arial" w:hAnsi="Arial" w:cs="Arial"/>
          <w:sz w:val="20"/>
          <w:szCs w:val="20"/>
        </w:rPr>
        <w:t xml:space="preserve"> is really desired then</w:t>
      </w:r>
      <w:r w:rsidRPr="00D51476">
        <w:rPr>
          <w:rFonts w:ascii="Arial" w:hAnsi="Arial" w:cs="Arial"/>
          <w:sz w:val="20"/>
          <w:szCs w:val="20"/>
        </w:rPr>
        <w:t xml:space="preserve"> access needs to be aspirational. That means greater acceptance of HPVs</w:t>
      </w:r>
      <w:r w:rsidR="00C85C33">
        <w:rPr>
          <w:rFonts w:ascii="Arial" w:hAnsi="Arial" w:cs="Arial"/>
          <w:sz w:val="20"/>
          <w:szCs w:val="20"/>
        </w:rPr>
        <w:t xml:space="preserve"> and planning for freight movements</w:t>
      </w:r>
      <w:r w:rsidRPr="00D51476">
        <w:rPr>
          <w:rFonts w:ascii="Arial" w:hAnsi="Arial" w:cs="Arial"/>
          <w:sz w:val="20"/>
          <w:szCs w:val="20"/>
        </w:rPr>
        <w:t xml:space="preserve">. </w:t>
      </w:r>
    </w:p>
    <w:p w:rsidR="00307B83" w:rsidRPr="00D51476" w:rsidRDefault="00307B83" w:rsidP="004C7F70">
      <w:pPr>
        <w:rPr>
          <w:rFonts w:ascii="Arial" w:hAnsi="Arial" w:cs="Arial"/>
          <w:sz w:val="20"/>
          <w:szCs w:val="20"/>
        </w:rPr>
      </w:pPr>
    </w:p>
    <w:p w:rsidR="006F07EE" w:rsidRDefault="000B5888" w:rsidP="004C7F70">
      <w:pPr>
        <w:rPr>
          <w:rFonts w:ascii="Arial" w:hAnsi="Arial" w:cs="Arial"/>
          <w:sz w:val="20"/>
          <w:szCs w:val="20"/>
        </w:rPr>
      </w:pPr>
      <w:r>
        <w:rPr>
          <w:rFonts w:ascii="Arial" w:hAnsi="Arial" w:cs="Arial"/>
          <w:sz w:val="20"/>
          <w:szCs w:val="20"/>
        </w:rPr>
        <w:t>O</w:t>
      </w:r>
      <w:r w:rsidRPr="00D51476">
        <w:rPr>
          <w:rFonts w:ascii="Arial" w:hAnsi="Arial" w:cs="Arial"/>
          <w:sz w:val="20"/>
          <w:szCs w:val="20"/>
        </w:rPr>
        <w:t>n the heavy vehicle side</w:t>
      </w:r>
      <w:r>
        <w:rPr>
          <w:rFonts w:ascii="Arial" w:hAnsi="Arial" w:cs="Arial"/>
          <w:sz w:val="20"/>
          <w:szCs w:val="20"/>
        </w:rPr>
        <w:t>,</w:t>
      </w:r>
      <w:r w:rsidRPr="00D51476">
        <w:rPr>
          <w:rFonts w:ascii="Arial" w:hAnsi="Arial" w:cs="Arial"/>
          <w:sz w:val="20"/>
          <w:szCs w:val="20"/>
        </w:rPr>
        <w:t xml:space="preserve"> </w:t>
      </w:r>
      <w:r w:rsidR="004C7F70" w:rsidRPr="00D51476">
        <w:rPr>
          <w:rFonts w:ascii="Arial" w:hAnsi="Arial" w:cs="Arial"/>
          <w:sz w:val="20"/>
          <w:szCs w:val="20"/>
        </w:rPr>
        <w:t xml:space="preserve">requests </w:t>
      </w:r>
      <w:r>
        <w:rPr>
          <w:rFonts w:ascii="Arial" w:hAnsi="Arial" w:cs="Arial"/>
          <w:sz w:val="20"/>
          <w:szCs w:val="20"/>
        </w:rPr>
        <w:t xml:space="preserve">to </w:t>
      </w:r>
      <w:r w:rsidRPr="00D51476">
        <w:rPr>
          <w:rFonts w:ascii="Arial" w:hAnsi="Arial" w:cs="Arial"/>
          <w:sz w:val="20"/>
          <w:szCs w:val="20"/>
        </w:rPr>
        <w:t xml:space="preserve">NHVR </w:t>
      </w:r>
      <w:r w:rsidR="004C7F70" w:rsidRPr="00D51476">
        <w:rPr>
          <w:rFonts w:ascii="Arial" w:hAnsi="Arial" w:cs="Arial"/>
          <w:sz w:val="20"/>
          <w:szCs w:val="20"/>
        </w:rPr>
        <w:t xml:space="preserve">for access </w:t>
      </w:r>
      <w:r>
        <w:rPr>
          <w:rFonts w:ascii="Arial" w:hAnsi="Arial" w:cs="Arial"/>
          <w:sz w:val="20"/>
          <w:szCs w:val="20"/>
        </w:rPr>
        <w:t>represent</w:t>
      </w:r>
      <w:r w:rsidRPr="00D51476">
        <w:rPr>
          <w:rFonts w:ascii="Arial" w:hAnsi="Arial" w:cs="Arial"/>
          <w:sz w:val="20"/>
          <w:szCs w:val="20"/>
        </w:rPr>
        <w:t xml:space="preserve"> </w:t>
      </w:r>
      <w:r w:rsidR="004C7F70" w:rsidRPr="00D51476">
        <w:rPr>
          <w:rFonts w:ascii="Arial" w:hAnsi="Arial" w:cs="Arial"/>
          <w:sz w:val="20"/>
          <w:szCs w:val="20"/>
        </w:rPr>
        <w:t xml:space="preserve">the greatest indicators of where future demand is </w:t>
      </w:r>
      <w:r>
        <w:rPr>
          <w:rFonts w:ascii="Arial" w:hAnsi="Arial" w:cs="Arial"/>
          <w:sz w:val="20"/>
          <w:szCs w:val="20"/>
        </w:rPr>
        <w:t>likely to occur</w:t>
      </w:r>
      <w:r w:rsidR="00666814" w:rsidRPr="00D51476">
        <w:rPr>
          <w:rFonts w:ascii="Arial" w:hAnsi="Arial" w:cs="Arial"/>
          <w:sz w:val="20"/>
          <w:szCs w:val="20"/>
        </w:rPr>
        <w:t>.</w:t>
      </w:r>
      <w:r w:rsidR="002D575A" w:rsidRPr="00D51476">
        <w:rPr>
          <w:rFonts w:ascii="Arial" w:hAnsi="Arial" w:cs="Arial"/>
          <w:sz w:val="20"/>
          <w:szCs w:val="20"/>
        </w:rPr>
        <w:t xml:space="preserve"> </w:t>
      </w:r>
      <w:r w:rsidR="004C7F70" w:rsidRPr="00D51476">
        <w:rPr>
          <w:rFonts w:ascii="Arial" w:hAnsi="Arial" w:cs="Arial"/>
          <w:sz w:val="20"/>
          <w:szCs w:val="20"/>
        </w:rPr>
        <w:t xml:space="preserve"> </w:t>
      </w:r>
    </w:p>
    <w:p w:rsidR="00617F3D" w:rsidRDefault="00617F3D" w:rsidP="004C7F70">
      <w:pPr>
        <w:rPr>
          <w:rFonts w:ascii="Arial" w:hAnsi="Arial" w:cs="Arial"/>
          <w:sz w:val="20"/>
          <w:szCs w:val="20"/>
        </w:rPr>
      </w:pPr>
    </w:p>
    <w:p w:rsidR="00510D1B" w:rsidRPr="00D51476" w:rsidRDefault="00510D1B" w:rsidP="004C7F70">
      <w:pPr>
        <w:rPr>
          <w:rFonts w:ascii="Arial" w:hAnsi="Arial" w:cs="Arial"/>
          <w:sz w:val="20"/>
          <w:szCs w:val="20"/>
        </w:rPr>
      </w:pPr>
      <w:bookmarkStart w:id="145" w:name="_Toc361217287"/>
      <w:bookmarkStart w:id="146" w:name="_Toc361217654"/>
      <w:bookmarkStart w:id="147" w:name="_Toc361218181"/>
      <w:bookmarkStart w:id="148" w:name="_Toc361219535"/>
      <w:bookmarkStart w:id="149" w:name="_Toc361232814"/>
      <w:bookmarkStart w:id="150" w:name="_Toc361302839"/>
      <w:bookmarkStart w:id="151" w:name="_Toc361321198"/>
      <w:bookmarkStart w:id="152" w:name="_Toc361732986"/>
      <w:bookmarkStart w:id="153" w:name="_Toc361736693"/>
      <w:bookmarkStart w:id="154" w:name="_Toc361821342"/>
      <w:bookmarkStart w:id="155" w:name="_Toc361822872"/>
      <w:bookmarkEnd w:id="145"/>
      <w:bookmarkEnd w:id="146"/>
      <w:bookmarkEnd w:id="147"/>
      <w:bookmarkEnd w:id="148"/>
      <w:bookmarkEnd w:id="149"/>
      <w:bookmarkEnd w:id="150"/>
      <w:bookmarkEnd w:id="151"/>
      <w:bookmarkEnd w:id="152"/>
      <w:bookmarkEnd w:id="153"/>
      <w:bookmarkEnd w:id="154"/>
      <w:bookmarkEnd w:id="155"/>
    </w:p>
    <w:p w:rsidR="004C7F70" w:rsidRPr="00620293" w:rsidRDefault="004C7F70" w:rsidP="00793431">
      <w:pPr>
        <w:pStyle w:val="Heading1"/>
        <w:numPr>
          <w:ilvl w:val="1"/>
          <w:numId w:val="15"/>
        </w:numPr>
      </w:pPr>
      <w:bookmarkStart w:id="156" w:name="_Toc362528134"/>
      <w:r w:rsidRPr="00620293">
        <w:t>The funding and financial function</w:t>
      </w:r>
      <w:bookmarkEnd w:id="156"/>
      <w:r w:rsidRPr="00620293">
        <w:t xml:space="preserve"> </w:t>
      </w:r>
    </w:p>
    <w:p w:rsidR="0060662B" w:rsidRPr="00D51476" w:rsidRDefault="0060662B" w:rsidP="004C7F70">
      <w:pPr>
        <w:rPr>
          <w:rFonts w:ascii="Arial" w:hAnsi="Arial" w:cs="Arial"/>
          <w:sz w:val="20"/>
          <w:szCs w:val="20"/>
        </w:rPr>
      </w:pPr>
    </w:p>
    <w:p w:rsidR="004C7F70" w:rsidRPr="00D51476" w:rsidRDefault="0060662B" w:rsidP="004C7F70">
      <w:pPr>
        <w:rPr>
          <w:rFonts w:ascii="Arial" w:hAnsi="Arial" w:cs="Arial"/>
          <w:sz w:val="20"/>
          <w:szCs w:val="20"/>
        </w:rPr>
      </w:pPr>
      <w:r w:rsidRPr="00D51476">
        <w:rPr>
          <w:rFonts w:ascii="Arial" w:hAnsi="Arial" w:cs="Arial"/>
          <w:sz w:val="20"/>
          <w:szCs w:val="20"/>
        </w:rPr>
        <w:t xml:space="preserve">HVCI </w:t>
      </w:r>
      <w:r w:rsidR="007A0823">
        <w:rPr>
          <w:rFonts w:ascii="Arial" w:hAnsi="Arial" w:cs="Arial"/>
          <w:sz w:val="20"/>
          <w:szCs w:val="20"/>
        </w:rPr>
        <w:t>finds</w:t>
      </w:r>
      <w:r w:rsidR="007A0823" w:rsidRPr="00D51476">
        <w:rPr>
          <w:rFonts w:ascii="Arial" w:hAnsi="Arial" w:cs="Arial"/>
          <w:sz w:val="20"/>
          <w:szCs w:val="20"/>
        </w:rPr>
        <w:t xml:space="preserve"> </w:t>
      </w:r>
      <w:r w:rsidRPr="00D51476">
        <w:rPr>
          <w:rFonts w:ascii="Arial" w:hAnsi="Arial" w:cs="Arial"/>
          <w:sz w:val="20"/>
          <w:szCs w:val="20"/>
        </w:rPr>
        <w:t>that calculating the cost base may be difficult as a forward</w:t>
      </w:r>
      <w:r w:rsidR="007A0823">
        <w:rPr>
          <w:rFonts w:ascii="Arial" w:hAnsi="Arial" w:cs="Arial"/>
          <w:sz w:val="20"/>
          <w:szCs w:val="20"/>
        </w:rPr>
        <w:t>-</w:t>
      </w:r>
      <w:r w:rsidRPr="00D51476">
        <w:rPr>
          <w:rFonts w:ascii="Arial" w:hAnsi="Arial" w:cs="Arial"/>
          <w:sz w:val="20"/>
          <w:szCs w:val="20"/>
        </w:rPr>
        <w:t xml:space="preserve">looking cost base would be </w:t>
      </w:r>
      <w:r w:rsidR="00604B6E">
        <w:rPr>
          <w:rFonts w:ascii="Arial" w:hAnsi="Arial" w:cs="Arial"/>
          <w:sz w:val="20"/>
          <w:szCs w:val="20"/>
        </w:rPr>
        <w:t xml:space="preserve">established </w:t>
      </w:r>
      <w:r w:rsidRPr="00D51476">
        <w:rPr>
          <w:rFonts w:ascii="Arial" w:hAnsi="Arial" w:cs="Arial"/>
          <w:sz w:val="20"/>
          <w:szCs w:val="20"/>
        </w:rPr>
        <w:t xml:space="preserve">on </w:t>
      </w:r>
      <w:r w:rsidR="004C7F70" w:rsidRPr="00D51476">
        <w:rPr>
          <w:rFonts w:ascii="Arial" w:hAnsi="Arial" w:cs="Arial"/>
          <w:sz w:val="20"/>
          <w:szCs w:val="20"/>
        </w:rPr>
        <w:t xml:space="preserve">future expenditure plans with capital costs recovered over the life of the investment. </w:t>
      </w:r>
      <w:r w:rsidR="00B73B3F" w:rsidRPr="00D51476">
        <w:rPr>
          <w:rFonts w:ascii="Arial" w:hAnsi="Arial" w:cs="Arial"/>
          <w:sz w:val="20"/>
          <w:szCs w:val="20"/>
        </w:rPr>
        <w:t>T</w:t>
      </w:r>
      <w:r w:rsidR="004C7F70" w:rsidRPr="00D51476">
        <w:rPr>
          <w:rFonts w:ascii="Arial" w:hAnsi="Arial" w:cs="Arial"/>
          <w:sz w:val="20"/>
          <w:szCs w:val="20"/>
        </w:rPr>
        <w:t xml:space="preserve">he value of the asset and the </w:t>
      </w:r>
      <w:r w:rsidR="00F33515">
        <w:rPr>
          <w:rFonts w:ascii="Arial" w:hAnsi="Arial" w:cs="Arial"/>
          <w:sz w:val="20"/>
          <w:szCs w:val="20"/>
        </w:rPr>
        <w:t>formula</w:t>
      </w:r>
      <w:r w:rsidR="007A0823">
        <w:rPr>
          <w:rFonts w:ascii="Arial" w:hAnsi="Arial" w:cs="Arial"/>
          <w:sz w:val="20"/>
          <w:szCs w:val="20"/>
        </w:rPr>
        <w:t xml:space="preserve"> for</w:t>
      </w:r>
      <w:r w:rsidR="00B73B3F" w:rsidRPr="00D51476">
        <w:rPr>
          <w:rFonts w:ascii="Arial" w:hAnsi="Arial" w:cs="Arial"/>
          <w:sz w:val="20"/>
          <w:szCs w:val="20"/>
        </w:rPr>
        <w:t xml:space="preserve"> depreciation for each road will also need to be considered. </w:t>
      </w:r>
    </w:p>
    <w:p w:rsidR="002D575A" w:rsidRPr="00D51476" w:rsidRDefault="002D575A" w:rsidP="004C7F70">
      <w:pPr>
        <w:rPr>
          <w:rFonts w:ascii="Arial" w:hAnsi="Arial" w:cs="Arial"/>
          <w:sz w:val="20"/>
          <w:szCs w:val="20"/>
        </w:rPr>
      </w:pPr>
    </w:p>
    <w:p w:rsidR="004C7F70" w:rsidRPr="00D51476" w:rsidRDefault="004C7F70" w:rsidP="004C7F70">
      <w:pPr>
        <w:rPr>
          <w:rFonts w:ascii="Arial" w:hAnsi="Arial" w:cs="Arial"/>
          <w:sz w:val="20"/>
          <w:szCs w:val="20"/>
        </w:rPr>
      </w:pPr>
      <w:r w:rsidRPr="00D51476">
        <w:rPr>
          <w:rFonts w:ascii="Arial" w:hAnsi="Arial" w:cs="Arial"/>
          <w:sz w:val="20"/>
          <w:szCs w:val="20"/>
        </w:rPr>
        <w:t xml:space="preserve">Road providers would be required to outline </w:t>
      </w:r>
      <w:r w:rsidR="00604B6E">
        <w:rPr>
          <w:rFonts w:ascii="Arial" w:hAnsi="Arial" w:cs="Arial"/>
          <w:sz w:val="20"/>
          <w:szCs w:val="20"/>
        </w:rPr>
        <w:t>optimal program</w:t>
      </w:r>
      <w:r w:rsidR="00F01581">
        <w:rPr>
          <w:rFonts w:ascii="Arial" w:hAnsi="Arial" w:cs="Arial"/>
          <w:sz w:val="20"/>
          <w:szCs w:val="20"/>
        </w:rPr>
        <w:t>s</w:t>
      </w:r>
      <w:r w:rsidR="00604B6E">
        <w:rPr>
          <w:rFonts w:ascii="Arial" w:hAnsi="Arial" w:cs="Arial"/>
          <w:sz w:val="20"/>
          <w:szCs w:val="20"/>
        </w:rPr>
        <w:t xml:space="preserve"> of works,</w:t>
      </w:r>
      <w:r w:rsidRPr="00D51476">
        <w:rPr>
          <w:rFonts w:ascii="Arial" w:hAnsi="Arial" w:cs="Arial"/>
          <w:sz w:val="20"/>
          <w:szCs w:val="20"/>
        </w:rPr>
        <w:t xml:space="preserve"> perhaps over a five year period</w:t>
      </w:r>
      <w:r w:rsidR="00604B6E">
        <w:rPr>
          <w:rFonts w:ascii="Arial" w:hAnsi="Arial" w:cs="Arial"/>
          <w:sz w:val="20"/>
          <w:szCs w:val="20"/>
        </w:rPr>
        <w:t xml:space="preserve">, </w:t>
      </w:r>
      <w:r w:rsidRPr="00D51476">
        <w:rPr>
          <w:rFonts w:ascii="Arial" w:hAnsi="Arial" w:cs="Arial"/>
          <w:sz w:val="20"/>
          <w:szCs w:val="20"/>
        </w:rPr>
        <w:t>and</w:t>
      </w:r>
      <w:r w:rsidR="00F01581">
        <w:rPr>
          <w:rFonts w:ascii="Arial" w:hAnsi="Arial" w:cs="Arial"/>
          <w:sz w:val="20"/>
          <w:szCs w:val="20"/>
        </w:rPr>
        <w:t xml:space="preserve"> their proposed</w:t>
      </w:r>
      <w:r w:rsidRPr="00D51476">
        <w:rPr>
          <w:rFonts w:ascii="Arial" w:hAnsi="Arial" w:cs="Arial"/>
          <w:sz w:val="20"/>
          <w:szCs w:val="20"/>
        </w:rPr>
        <w:t xml:space="preserve"> links to long</w:t>
      </w:r>
      <w:r w:rsidR="00F01581">
        <w:rPr>
          <w:rFonts w:ascii="Arial" w:hAnsi="Arial" w:cs="Arial"/>
          <w:sz w:val="20"/>
          <w:szCs w:val="20"/>
        </w:rPr>
        <w:t>-</w:t>
      </w:r>
      <w:r w:rsidRPr="00D51476">
        <w:rPr>
          <w:rFonts w:ascii="Arial" w:hAnsi="Arial" w:cs="Arial"/>
          <w:sz w:val="20"/>
          <w:szCs w:val="20"/>
        </w:rPr>
        <w:t xml:space="preserve">term planning. Road providers would be funded based on </w:t>
      </w:r>
      <w:r w:rsidR="00F01581">
        <w:rPr>
          <w:rFonts w:ascii="Arial" w:hAnsi="Arial" w:cs="Arial"/>
          <w:sz w:val="20"/>
          <w:szCs w:val="20"/>
        </w:rPr>
        <w:t xml:space="preserve">their </w:t>
      </w:r>
      <w:r w:rsidRPr="00D51476">
        <w:rPr>
          <w:rFonts w:ascii="Arial" w:hAnsi="Arial" w:cs="Arial"/>
          <w:sz w:val="20"/>
          <w:szCs w:val="20"/>
        </w:rPr>
        <w:t xml:space="preserve">benchmarking of reasonable costs to deliver that program, acknowledging that underlying costs vary by location and other </w:t>
      </w:r>
      <w:r w:rsidR="00F01581">
        <w:rPr>
          <w:rFonts w:ascii="Arial" w:hAnsi="Arial" w:cs="Arial"/>
          <w:sz w:val="20"/>
          <w:szCs w:val="20"/>
        </w:rPr>
        <w:t xml:space="preserve">project </w:t>
      </w:r>
      <w:r w:rsidRPr="00D51476">
        <w:rPr>
          <w:rFonts w:ascii="Arial" w:hAnsi="Arial" w:cs="Arial"/>
          <w:sz w:val="20"/>
          <w:szCs w:val="20"/>
        </w:rPr>
        <w:t xml:space="preserve">attributes. </w:t>
      </w:r>
    </w:p>
    <w:p w:rsidR="0060662B" w:rsidRPr="00D51476" w:rsidRDefault="0060662B" w:rsidP="004C7F70">
      <w:pPr>
        <w:rPr>
          <w:rFonts w:ascii="Arial" w:hAnsi="Arial" w:cs="Arial"/>
          <w:sz w:val="20"/>
          <w:szCs w:val="20"/>
        </w:rPr>
      </w:pPr>
    </w:p>
    <w:p w:rsidR="00B73B3F" w:rsidRDefault="00B73B3F" w:rsidP="004C7F70">
      <w:pPr>
        <w:rPr>
          <w:rFonts w:ascii="Arial" w:hAnsi="Arial" w:cs="Arial"/>
          <w:sz w:val="20"/>
          <w:szCs w:val="20"/>
        </w:rPr>
      </w:pPr>
      <w:r w:rsidRPr="00D51476">
        <w:rPr>
          <w:rFonts w:ascii="Arial" w:hAnsi="Arial" w:cs="Arial"/>
          <w:sz w:val="20"/>
          <w:szCs w:val="20"/>
        </w:rPr>
        <w:t xml:space="preserve">Again the issue of road agency capability, </w:t>
      </w:r>
      <w:r w:rsidR="00AA3874" w:rsidRPr="00AA3874">
        <w:rPr>
          <w:rFonts w:ascii="Arial" w:hAnsi="Arial" w:cs="Arial"/>
          <w:bCs/>
          <w:sz w:val="20"/>
          <w:szCs w:val="20"/>
        </w:rPr>
        <w:t xml:space="preserve">Community Service Obligation </w:t>
      </w:r>
      <w:r w:rsidR="00AA3874">
        <w:rPr>
          <w:rFonts w:ascii="Arial" w:hAnsi="Arial" w:cs="Arial"/>
          <w:bCs/>
          <w:sz w:val="20"/>
          <w:szCs w:val="20"/>
        </w:rPr>
        <w:t>(</w:t>
      </w:r>
      <w:r w:rsidRPr="00D51476">
        <w:rPr>
          <w:rFonts w:ascii="Arial" w:hAnsi="Arial" w:cs="Arial"/>
          <w:sz w:val="20"/>
          <w:szCs w:val="20"/>
        </w:rPr>
        <w:t>CSO</w:t>
      </w:r>
      <w:r w:rsidR="00AA3874">
        <w:rPr>
          <w:rFonts w:ascii="Arial" w:hAnsi="Arial" w:cs="Arial"/>
          <w:sz w:val="20"/>
          <w:szCs w:val="20"/>
        </w:rPr>
        <w:t>)</w:t>
      </w:r>
      <w:r w:rsidRPr="00D51476">
        <w:rPr>
          <w:rFonts w:ascii="Arial" w:hAnsi="Arial" w:cs="Arial"/>
          <w:sz w:val="20"/>
          <w:szCs w:val="20"/>
        </w:rPr>
        <w:t xml:space="preserve"> roads and the partial market will play an important role here</w:t>
      </w:r>
      <w:r w:rsidR="00793431">
        <w:rPr>
          <w:rFonts w:ascii="Arial" w:hAnsi="Arial" w:cs="Arial"/>
          <w:sz w:val="20"/>
          <w:szCs w:val="20"/>
        </w:rPr>
        <w:t>.</w:t>
      </w:r>
      <w:r w:rsidRPr="00D51476">
        <w:rPr>
          <w:rFonts w:ascii="Arial" w:hAnsi="Arial" w:cs="Arial"/>
          <w:sz w:val="20"/>
          <w:szCs w:val="20"/>
        </w:rPr>
        <w:t xml:space="preserve"> </w:t>
      </w:r>
    </w:p>
    <w:p w:rsidR="00616E75" w:rsidRDefault="00616E75" w:rsidP="004C7F70">
      <w:pPr>
        <w:rPr>
          <w:rFonts w:ascii="Arial" w:hAnsi="Arial" w:cs="Arial"/>
          <w:b/>
          <w:sz w:val="24"/>
          <w:szCs w:val="24"/>
        </w:rPr>
      </w:pPr>
      <w:bookmarkStart w:id="157" w:name="_Toc361217289"/>
      <w:bookmarkStart w:id="158" w:name="_Toc361217658"/>
      <w:bookmarkStart w:id="159" w:name="_Toc361218185"/>
      <w:bookmarkStart w:id="160" w:name="_Toc361219539"/>
      <w:bookmarkStart w:id="161" w:name="_Toc361232818"/>
      <w:bookmarkStart w:id="162" w:name="_Toc361302843"/>
      <w:bookmarkStart w:id="163" w:name="_Toc361321202"/>
      <w:bookmarkStart w:id="164" w:name="_Toc361732990"/>
      <w:bookmarkStart w:id="165" w:name="_Toc361736697"/>
      <w:bookmarkStart w:id="166" w:name="_Toc361821346"/>
      <w:bookmarkStart w:id="167" w:name="_Toc361822876"/>
      <w:bookmarkEnd w:id="157"/>
      <w:bookmarkEnd w:id="158"/>
      <w:bookmarkEnd w:id="159"/>
      <w:bookmarkEnd w:id="160"/>
      <w:bookmarkEnd w:id="161"/>
      <w:bookmarkEnd w:id="162"/>
      <w:bookmarkEnd w:id="163"/>
      <w:bookmarkEnd w:id="164"/>
      <w:bookmarkEnd w:id="165"/>
      <w:bookmarkEnd w:id="166"/>
      <w:bookmarkEnd w:id="167"/>
    </w:p>
    <w:p w:rsidR="00617F3D" w:rsidRPr="00620293" w:rsidRDefault="00617F3D" w:rsidP="004C7F70">
      <w:pPr>
        <w:rPr>
          <w:rFonts w:ascii="Arial" w:hAnsi="Arial" w:cs="Arial"/>
          <w:b/>
          <w:sz w:val="24"/>
          <w:szCs w:val="24"/>
        </w:rPr>
      </w:pPr>
    </w:p>
    <w:p w:rsidR="004C7F70" w:rsidRPr="00620293" w:rsidRDefault="004C7F70" w:rsidP="00793431">
      <w:pPr>
        <w:pStyle w:val="Heading1"/>
        <w:numPr>
          <w:ilvl w:val="1"/>
          <w:numId w:val="15"/>
        </w:numPr>
      </w:pPr>
      <w:bookmarkStart w:id="168" w:name="_Toc362528135"/>
      <w:r w:rsidRPr="00620293">
        <w:t>Revenue redistribution</w:t>
      </w:r>
      <w:bookmarkEnd w:id="168"/>
      <w:r w:rsidRPr="00620293">
        <w:t xml:space="preserve"> </w:t>
      </w:r>
    </w:p>
    <w:p w:rsidR="002D575A" w:rsidRPr="00D51476" w:rsidRDefault="002D575A" w:rsidP="004C7F70">
      <w:pPr>
        <w:rPr>
          <w:rFonts w:ascii="Arial" w:hAnsi="Arial" w:cs="Arial"/>
          <w:sz w:val="20"/>
          <w:szCs w:val="20"/>
        </w:rPr>
      </w:pPr>
    </w:p>
    <w:p w:rsidR="00BD27D8" w:rsidRPr="00D51476" w:rsidRDefault="00B73B3F" w:rsidP="004C7F70">
      <w:pPr>
        <w:rPr>
          <w:rFonts w:ascii="Arial" w:hAnsi="Arial" w:cs="Arial"/>
          <w:sz w:val="20"/>
          <w:szCs w:val="20"/>
        </w:rPr>
      </w:pPr>
      <w:r w:rsidRPr="00D51476">
        <w:rPr>
          <w:rFonts w:ascii="Arial" w:hAnsi="Arial" w:cs="Arial"/>
          <w:sz w:val="20"/>
          <w:szCs w:val="20"/>
        </w:rPr>
        <w:t xml:space="preserve">Road agencies have argued </w:t>
      </w:r>
      <w:r w:rsidR="00573765" w:rsidRPr="00D51476">
        <w:rPr>
          <w:rFonts w:ascii="Arial" w:hAnsi="Arial" w:cs="Arial"/>
          <w:sz w:val="20"/>
          <w:szCs w:val="20"/>
        </w:rPr>
        <w:t>that fuel</w:t>
      </w:r>
      <w:r w:rsidR="00302AC1">
        <w:rPr>
          <w:rFonts w:ascii="Arial" w:hAnsi="Arial" w:cs="Arial"/>
          <w:sz w:val="20"/>
          <w:szCs w:val="20"/>
        </w:rPr>
        <w:t>-</w:t>
      </w:r>
      <w:r w:rsidR="00573765" w:rsidRPr="00D51476">
        <w:rPr>
          <w:rFonts w:ascii="Arial" w:hAnsi="Arial" w:cs="Arial"/>
          <w:sz w:val="20"/>
          <w:szCs w:val="20"/>
        </w:rPr>
        <w:t>based charges do not provide</w:t>
      </w:r>
      <w:r w:rsidR="004C7F70" w:rsidRPr="00D51476">
        <w:rPr>
          <w:rFonts w:ascii="Arial" w:hAnsi="Arial" w:cs="Arial"/>
          <w:sz w:val="20"/>
          <w:szCs w:val="20"/>
        </w:rPr>
        <w:t xml:space="preserve"> location information and cannot be used to re-allocate the revenue.</w:t>
      </w:r>
      <w:r w:rsidR="00573765" w:rsidRPr="00D51476">
        <w:rPr>
          <w:rFonts w:ascii="Arial" w:hAnsi="Arial" w:cs="Arial"/>
          <w:sz w:val="20"/>
          <w:szCs w:val="20"/>
        </w:rPr>
        <w:t xml:space="preserve"> </w:t>
      </w:r>
      <w:r w:rsidR="004C7F70" w:rsidRPr="00D51476">
        <w:rPr>
          <w:rFonts w:ascii="Arial" w:hAnsi="Arial" w:cs="Arial"/>
          <w:sz w:val="20"/>
          <w:szCs w:val="20"/>
        </w:rPr>
        <w:t xml:space="preserve">Therefore, alternative information will be to determine how revenues </w:t>
      </w:r>
      <w:r w:rsidR="00302AC1">
        <w:rPr>
          <w:rFonts w:ascii="Arial" w:hAnsi="Arial" w:cs="Arial"/>
          <w:sz w:val="20"/>
          <w:szCs w:val="20"/>
        </w:rPr>
        <w:t>will be</w:t>
      </w:r>
      <w:r w:rsidR="00302AC1" w:rsidRPr="00D51476">
        <w:rPr>
          <w:rFonts w:ascii="Arial" w:hAnsi="Arial" w:cs="Arial"/>
          <w:sz w:val="20"/>
          <w:szCs w:val="20"/>
        </w:rPr>
        <w:t xml:space="preserve"> </w:t>
      </w:r>
      <w:r w:rsidR="004C7F70" w:rsidRPr="00D51476">
        <w:rPr>
          <w:rFonts w:ascii="Arial" w:hAnsi="Arial" w:cs="Arial"/>
          <w:sz w:val="20"/>
          <w:szCs w:val="20"/>
        </w:rPr>
        <w:t xml:space="preserve">distributed. </w:t>
      </w:r>
    </w:p>
    <w:p w:rsidR="002249C4" w:rsidRPr="00D51476" w:rsidRDefault="002249C4" w:rsidP="004C7F70">
      <w:pPr>
        <w:rPr>
          <w:rFonts w:ascii="Arial" w:hAnsi="Arial" w:cs="Arial"/>
          <w:sz w:val="20"/>
          <w:szCs w:val="20"/>
        </w:rPr>
      </w:pPr>
    </w:p>
    <w:p w:rsidR="002249C4" w:rsidRPr="00D51476" w:rsidRDefault="002249C4" w:rsidP="002249C4">
      <w:pPr>
        <w:rPr>
          <w:rFonts w:ascii="Arial" w:hAnsi="Arial" w:cs="Arial"/>
          <w:sz w:val="20"/>
          <w:szCs w:val="20"/>
        </w:rPr>
      </w:pPr>
      <w:r w:rsidRPr="00D51476">
        <w:rPr>
          <w:rFonts w:ascii="Arial" w:hAnsi="Arial" w:cs="Arial"/>
          <w:sz w:val="20"/>
          <w:szCs w:val="20"/>
        </w:rPr>
        <w:t>PwC ha</w:t>
      </w:r>
      <w:r w:rsidR="00302AC1">
        <w:rPr>
          <w:rFonts w:ascii="Arial" w:hAnsi="Arial" w:cs="Arial"/>
          <w:sz w:val="20"/>
          <w:szCs w:val="20"/>
        </w:rPr>
        <w:t>s</w:t>
      </w:r>
      <w:r w:rsidRPr="00D51476">
        <w:rPr>
          <w:rFonts w:ascii="Arial" w:hAnsi="Arial" w:cs="Arial"/>
          <w:sz w:val="20"/>
          <w:szCs w:val="20"/>
        </w:rPr>
        <w:t xml:space="preserve"> recommended that the allocation of road funding should reflect the heavy vehicle share of costs, use and access upgrades for Tier 1 and Tier 2 roads. Existing and emerging data would act to support an allocation through the use of a transparent funding formula.  </w:t>
      </w:r>
    </w:p>
    <w:p w:rsidR="002249C4" w:rsidRPr="00D51476" w:rsidRDefault="002249C4" w:rsidP="002249C4">
      <w:pPr>
        <w:rPr>
          <w:rFonts w:ascii="Arial" w:hAnsi="Arial" w:cs="Arial"/>
          <w:sz w:val="20"/>
          <w:szCs w:val="20"/>
        </w:rPr>
      </w:pPr>
    </w:p>
    <w:p w:rsidR="002249C4" w:rsidRPr="00D51476" w:rsidRDefault="002249C4" w:rsidP="002249C4">
      <w:pPr>
        <w:rPr>
          <w:rFonts w:ascii="Arial" w:hAnsi="Arial" w:cs="Arial"/>
          <w:sz w:val="20"/>
          <w:szCs w:val="20"/>
        </w:rPr>
      </w:pPr>
      <w:r w:rsidRPr="00D51476">
        <w:rPr>
          <w:rFonts w:ascii="Arial" w:hAnsi="Arial" w:cs="Arial"/>
          <w:sz w:val="20"/>
          <w:szCs w:val="20"/>
        </w:rPr>
        <w:t xml:space="preserve">The formula would include mechanisms to </w:t>
      </w:r>
      <w:r w:rsidR="00C85C33">
        <w:rPr>
          <w:rFonts w:ascii="Arial" w:hAnsi="Arial" w:cs="Arial"/>
          <w:sz w:val="20"/>
          <w:szCs w:val="20"/>
        </w:rPr>
        <w:t xml:space="preserve">have the heavy vehicle industry partially </w:t>
      </w:r>
      <w:r w:rsidRPr="00D51476">
        <w:rPr>
          <w:rFonts w:ascii="Arial" w:hAnsi="Arial" w:cs="Arial"/>
          <w:sz w:val="20"/>
          <w:szCs w:val="20"/>
        </w:rPr>
        <w:t>fund low-volume roads (i.e. Tier 3) via Community Service Obligations</w:t>
      </w:r>
      <w:r w:rsidR="00C85C33">
        <w:rPr>
          <w:rFonts w:ascii="Arial" w:hAnsi="Arial" w:cs="Arial"/>
          <w:sz w:val="20"/>
          <w:szCs w:val="20"/>
        </w:rPr>
        <w:t>, at an appropriate level</w:t>
      </w:r>
      <w:r w:rsidRPr="00D51476">
        <w:rPr>
          <w:rFonts w:ascii="Arial" w:hAnsi="Arial" w:cs="Arial"/>
          <w:sz w:val="20"/>
          <w:szCs w:val="20"/>
        </w:rPr>
        <w:t xml:space="preserve">. It is important rural, remote and regional Australia is adequately funded so </w:t>
      </w:r>
      <w:r w:rsidR="000C527D">
        <w:rPr>
          <w:rFonts w:ascii="Arial" w:hAnsi="Arial" w:cs="Arial"/>
          <w:sz w:val="20"/>
          <w:szCs w:val="20"/>
        </w:rPr>
        <w:t xml:space="preserve">local </w:t>
      </w:r>
      <w:r w:rsidRPr="00D51476">
        <w:rPr>
          <w:rFonts w:ascii="Arial" w:hAnsi="Arial" w:cs="Arial"/>
          <w:sz w:val="20"/>
          <w:szCs w:val="20"/>
        </w:rPr>
        <w:t xml:space="preserve">improvements may be made in their communities and </w:t>
      </w:r>
      <w:r w:rsidR="000C527D">
        <w:rPr>
          <w:rFonts w:ascii="Arial" w:hAnsi="Arial" w:cs="Arial"/>
          <w:sz w:val="20"/>
          <w:szCs w:val="20"/>
        </w:rPr>
        <w:t xml:space="preserve">to facilitate the road freight task undertaken by </w:t>
      </w:r>
      <w:r w:rsidRPr="00D51476">
        <w:rPr>
          <w:rFonts w:ascii="Arial" w:hAnsi="Arial" w:cs="Arial"/>
          <w:sz w:val="20"/>
          <w:szCs w:val="20"/>
        </w:rPr>
        <w:t>the operators working in those locations.</w:t>
      </w:r>
      <w:r w:rsidR="00C85C33">
        <w:rPr>
          <w:rFonts w:ascii="Arial" w:hAnsi="Arial" w:cs="Arial"/>
          <w:sz w:val="20"/>
          <w:szCs w:val="20"/>
        </w:rPr>
        <w:t xml:space="preserve"> This requires funds from other sources to flow to CSO roads.</w:t>
      </w:r>
      <w:r w:rsidRPr="00D51476">
        <w:rPr>
          <w:rFonts w:ascii="Arial" w:hAnsi="Arial" w:cs="Arial"/>
          <w:sz w:val="20"/>
          <w:szCs w:val="20"/>
        </w:rPr>
        <w:t xml:space="preserve">  </w:t>
      </w:r>
    </w:p>
    <w:p w:rsidR="002249C4" w:rsidRPr="00D51476" w:rsidRDefault="002249C4" w:rsidP="002249C4">
      <w:pPr>
        <w:rPr>
          <w:rFonts w:ascii="Arial" w:hAnsi="Arial" w:cs="Arial"/>
          <w:sz w:val="20"/>
          <w:szCs w:val="20"/>
        </w:rPr>
      </w:pPr>
    </w:p>
    <w:p w:rsidR="006F07EE" w:rsidRDefault="002249C4" w:rsidP="002249C4">
      <w:pPr>
        <w:rPr>
          <w:rFonts w:ascii="Arial" w:hAnsi="Arial" w:cs="Arial"/>
          <w:sz w:val="20"/>
          <w:szCs w:val="20"/>
        </w:rPr>
      </w:pPr>
      <w:r w:rsidRPr="00D51476">
        <w:rPr>
          <w:rFonts w:ascii="Arial" w:hAnsi="Arial" w:cs="Arial"/>
          <w:sz w:val="20"/>
          <w:szCs w:val="20"/>
        </w:rPr>
        <w:t>The formula provides certainty to road owners around supply of heavy vehicle- related funding.</w:t>
      </w:r>
    </w:p>
    <w:p w:rsidR="00510D1B" w:rsidRDefault="00510D1B" w:rsidP="004C7F70">
      <w:pPr>
        <w:rPr>
          <w:rFonts w:ascii="Arial" w:hAnsi="Arial" w:cs="Arial"/>
          <w:sz w:val="20"/>
          <w:szCs w:val="20"/>
        </w:rPr>
      </w:pPr>
      <w:bookmarkStart w:id="169" w:name="_Toc361217290"/>
      <w:bookmarkStart w:id="170" w:name="_Toc361217660"/>
      <w:bookmarkStart w:id="171" w:name="_Toc361218187"/>
      <w:bookmarkStart w:id="172" w:name="_Toc361219541"/>
      <w:bookmarkStart w:id="173" w:name="_Toc361232820"/>
      <w:bookmarkStart w:id="174" w:name="_Toc361302845"/>
      <w:bookmarkStart w:id="175" w:name="_Toc361321204"/>
      <w:bookmarkStart w:id="176" w:name="_Toc361732992"/>
      <w:bookmarkStart w:id="177" w:name="_Toc361736699"/>
      <w:bookmarkStart w:id="178" w:name="_Toc361821348"/>
      <w:bookmarkStart w:id="179" w:name="_Toc361822878"/>
      <w:bookmarkEnd w:id="169"/>
      <w:bookmarkEnd w:id="170"/>
      <w:bookmarkEnd w:id="171"/>
      <w:bookmarkEnd w:id="172"/>
      <w:bookmarkEnd w:id="173"/>
      <w:bookmarkEnd w:id="174"/>
      <w:bookmarkEnd w:id="175"/>
      <w:bookmarkEnd w:id="176"/>
      <w:bookmarkEnd w:id="177"/>
      <w:bookmarkEnd w:id="178"/>
      <w:bookmarkEnd w:id="179"/>
    </w:p>
    <w:p w:rsidR="00617F3D" w:rsidRPr="00D51476" w:rsidRDefault="00617F3D" w:rsidP="004C7F70">
      <w:pPr>
        <w:rPr>
          <w:rFonts w:ascii="Arial" w:hAnsi="Arial" w:cs="Arial"/>
          <w:sz w:val="20"/>
          <w:szCs w:val="20"/>
        </w:rPr>
      </w:pPr>
    </w:p>
    <w:p w:rsidR="004C7F70" w:rsidRPr="00620293" w:rsidRDefault="004C7F70" w:rsidP="00793431">
      <w:pPr>
        <w:pStyle w:val="Heading1"/>
        <w:numPr>
          <w:ilvl w:val="1"/>
          <w:numId w:val="15"/>
        </w:numPr>
      </w:pPr>
      <w:bookmarkStart w:id="180" w:name="_Toc362528136"/>
      <w:r w:rsidRPr="00620293">
        <w:t>Local government access to funding</w:t>
      </w:r>
      <w:bookmarkEnd w:id="180"/>
      <w:r w:rsidRPr="00620293">
        <w:t xml:space="preserve"> </w:t>
      </w:r>
    </w:p>
    <w:p w:rsidR="004B0A2F" w:rsidRPr="00D51476" w:rsidRDefault="004B0A2F" w:rsidP="004C7F70">
      <w:pPr>
        <w:rPr>
          <w:rFonts w:ascii="Arial" w:hAnsi="Arial" w:cs="Arial"/>
          <w:sz w:val="20"/>
          <w:szCs w:val="20"/>
        </w:rPr>
      </w:pPr>
    </w:p>
    <w:p w:rsidR="004B0A2F" w:rsidRPr="00D51476" w:rsidRDefault="004B0A2F" w:rsidP="004C7F70">
      <w:pPr>
        <w:rPr>
          <w:rFonts w:ascii="Arial" w:hAnsi="Arial" w:cs="Arial"/>
          <w:sz w:val="20"/>
          <w:szCs w:val="20"/>
        </w:rPr>
      </w:pPr>
      <w:r w:rsidRPr="00D51476">
        <w:rPr>
          <w:rFonts w:ascii="Arial" w:hAnsi="Arial" w:cs="Arial"/>
          <w:sz w:val="20"/>
          <w:szCs w:val="20"/>
        </w:rPr>
        <w:t>The current way local government</w:t>
      </w:r>
      <w:r w:rsidR="00C85C33">
        <w:rPr>
          <w:rFonts w:ascii="Arial" w:hAnsi="Arial" w:cs="Arial"/>
          <w:sz w:val="20"/>
          <w:szCs w:val="20"/>
        </w:rPr>
        <w:t>s</w:t>
      </w:r>
      <w:r w:rsidRPr="00D51476">
        <w:rPr>
          <w:rFonts w:ascii="Arial" w:hAnsi="Arial" w:cs="Arial"/>
          <w:sz w:val="20"/>
          <w:szCs w:val="20"/>
        </w:rPr>
        <w:t xml:space="preserve"> are funded produces less than desirable outcomes. </w:t>
      </w:r>
      <w:r w:rsidR="00604B6E">
        <w:rPr>
          <w:rFonts w:ascii="Arial" w:hAnsi="Arial" w:cs="Arial"/>
          <w:sz w:val="20"/>
          <w:szCs w:val="20"/>
        </w:rPr>
        <w:t xml:space="preserve"> L</w:t>
      </w:r>
      <w:r w:rsidRPr="00D51476">
        <w:rPr>
          <w:rFonts w:ascii="Arial" w:hAnsi="Arial" w:cs="Arial"/>
          <w:sz w:val="20"/>
          <w:szCs w:val="20"/>
        </w:rPr>
        <w:t xml:space="preserve">ocal governments are funded through </w:t>
      </w:r>
      <w:r w:rsidR="00F038B0">
        <w:rPr>
          <w:rFonts w:ascii="Arial" w:hAnsi="Arial" w:cs="Arial"/>
          <w:sz w:val="20"/>
          <w:szCs w:val="20"/>
        </w:rPr>
        <w:t xml:space="preserve">a system of </w:t>
      </w:r>
      <w:r w:rsidRPr="00D51476">
        <w:rPr>
          <w:rFonts w:ascii="Arial" w:hAnsi="Arial" w:cs="Arial"/>
          <w:sz w:val="20"/>
          <w:szCs w:val="20"/>
        </w:rPr>
        <w:t xml:space="preserve">grants which </w:t>
      </w:r>
      <w:r w:rsidR="00F038B0">
        <w:rPr>
          <w:rFonts w:ascii="Arial" w:hAnsi="Arial" w:cs="Arial"/>
          <w:sz w:val="20"/>
          <w:szCs w:val="20"/>
        </w:rPr>
        <w:t>are</w:t>
      </w:r>
      <w:r w:rsidR="00F33515">
        <w:rPr>
          <w:rFonts w:ascii="Arial" w:hAnsi="Arial" w:cs="Arial"/>
          <w:sz w:val="20"/>
          <w:szCs w:val="20"/>
        </w:rPr>
        <w:t xml:space="preserve"> </w:t>
      </w:r>
      <w:r w:rsidR="00F038B0">
        <w:rPr>
          <w:rFonts w:ascii="Arial" w:hAnsi="Arial" w:cs="Arial"/>
          <w:sz w:val="20"/>
          <w:szCs w:val="20"/>
        </w:rPr>
        <w:t>unrelated to any</w:t>
      </w:r>
      <w:r w:rsidRPr="00D51476">
        <w:rPr>
          <w:rFonts w:ascii="Arial" w:hAnsi="Arial" w:cs="Arial"/>
          <w:sz w:val="20"/>
          <w:szCs w:val="20"/>
        </w:rPr>
        <w:t xml:space="preserve"> need for mainten</w:t>
      </w:r>
      <w:r w:rsidR="002249C4" w:rsidRPr="00D51476">
        <w:rPr>
          <w:rFonts w:ascii="Arial" w:hAnsi="Arial" w:cs="Arial"/>
          <w:sz w:val="20"/>
          <w:szCs w:val="20"/>
        </w:rPr>
        <w:t xml:space="preserve">ance or capital works. </w:t>
      </w:r>
      <w:r w:rsidR="00885599" w:rsidRPr="00D51476">
        <w:rPr>
          <w:rFonts w:ascii="Arial" w:hAnsi="Arial" w:cs="Arial"/>
          <w:sz w:val="20"/>
          <w:szCs w:val="20"/>
        </w:rPr>
        <w:t>There is</w:t>
      </w:r>
      <w:r w:rsidR="002249C4" w:rsidRPr="00D51476">
        <w:rPr>
          <w:rFonts w:ascii="Arial" w:hAnsi="Arial" w:cs="Arial"/>
          <w:sz w:val="20"/>
          <w:szCs w:val="20"/>
        </w:rPr>
        <w:t xml:space="preserve"> also no</w:t>
      </w:r>
      <w:r w:rsidR="00F038B0">
        <w:rPr>
          <w:rFonts w:ascii="Arial" w:hAnsi="Arial" w:cs="Arial"/>
          <w:sz w:val="20"/>
          <w:szCs w:val="20"/>
        </w:rPr>
        <w:t xml:space="preserve"> centralised</w:t>
      </w:r>
      <w:r w:rsidR="002249C4" w:rsidRPr="00D51476">
        <w:rPr>
          <w:rFonts w:ascii="Arial" w:hAnsi="Arial" w:cs="Arial"/>
          <w:sz w:val="20"/>
          <w:szCs w:val="20"/>
        </w:rPr>
        <w:t xml:space="preserve"> accountability </w:t>
      </w:r>
      <w:r w:rsidR="00F038B0">
        <w:rPr>
          <w:rFonts w:ascii="Arial" w:hAnsi="Arial" w:cs="Arial"/>
          <w:sz w:val="20"/>
          <w:szCs w:val="20"/>
        </w:rPr>
        <w:t xml:space="preserve">or </w:t>
      </w:r>
      <w:r w:rsidR="002249C4" w:rsidRPr="00D51476">
        <w:rPr>
          <w:rFonts w:ascii="Arial" w:hAnsi="Arial" w:cs="Arial"/>
          <w:sz w:val="20"/>
          <w:szCs w:val="20"/>
        </w:rPr>
        <w:t>control o</w:t>
      </w:r>
      <w:r w:rsidR="00F038B0">
        <w:rPr>
          <w:rFonts w:ascii="Arial" w:hAnsi="Arial" w:cs="Arial"/>
          <w:sz w:val="20"/>
          <w:szCs w:val="20"/>
        </w:rPr>
        <w:t>ver</w:t>
      </w:r>
      <w:r w:rsidR="002249C4" w:rsidRPr="00D51476">
        <w:rPr>
          <w:rFonts w:ascii="Arial" w:hAnsi="Arial" w:cs="Arial"/>
          <w:sz w:val="20"/>
          <w:szCs w:val="20"/>
        </w:rPr>
        <w:t xml:space="preserve"> how </w:t>
      </w:r>
      <w:r w:rsidR="00C85C33">
        <w:rPr>
          <w:rFonts w:ascii="Arial" w:hAnsi="Arial" w:cs="Arial"/>
          <w:sz w:val="20"/>
          <w:szCs w:val="20"/>
        </w:rPr>
        <w:t xml:space="preserve">general </w:t>
      </w:r>
      <w:r w:rsidR="00604B6E">
        <w:rPr>
          <w:rFonts w:ascii="Arial" w:hAnsi="Arial" w:cs="Arial"/>
          <w:sz w:val="20"/>
          <w:szCs w:val="20"/>
        </w:rPr>
        <w:t>funding</w:t>
      </w:r>
      <w:r w:rsidR="00C85C33">
        <w:rPr>
          <w:rFonts w:ascii="Arial" w:hAnsi="Arial" w:cs="Arial"/>
          <w:sz w:val="20"/>
          <w:szCs w:val="20"/>
        </w:rPr>
        <w:t xml:space="preserve"> </w:t>
      </w:r>
      <w:r w:rsidR="002249C4" w:rsidRPr="00D51476">
        <w:rPr>
          <w:rFonts w:ascii="Arial" w:hAnsi="Arial" w:cs="Arial"/>
          <w:sz w:val="20"/>
          <w:szCs w:val="20"/>
        </w:rPr>
        <w:t>specified for roads is spent</w:t>
      </w:r>
      <w:r w:rsidR="00C85C33">
        <w:rPr>
          <w:rFonts w:ascii="Arial" w:hAnsi="Arial" w:cs="Arial"/>
          <w:sz w:val="20"/>
          <w:szCs w:val="20"/>
        </w:rPr>
        <w:t xml:space="preserve"> except for some very specific road grants</w:t>
      </w:r>
      <w:r w:rsidR="00604B6E">
        <w:rPr>
          <w:rFonts w:ascii="Arial" w:hAnsi="Arial" w:cs="Arial"/>
          <w:sz w:val="20"/>
          <w:szCs w:val="20"/>
        </w:rPr>
        <w:t>,</w:t>
      </w:r>
      <w:r w:rsidR="00C85C33">
        <w:rPr>
          <w:rFonts w:ascii="Arial" w:hAnsi="Arial" w:cs="Arial"/>
          <w:sz w:val="20"/>
          <w:szCs w:val="20"/>
        </w:rPr>
        <w:t xml:space="preserve"> </w:t>
      </w:r>
      <w:r w:rsidR="00604B6E">
        <w:rPr>
          <w:rFonts w:ascii="Arial" w:hAnsi="Arial" w:cs="Arial"/>
          <w:sz w:val="20"/>
          <w:szCs w:val="20"/>
        </w:rPr>
        <w:t xml:space="preserve">such as </w:t>
      </w:r>
      <w:r w:rsidR="00DA1411" w:rsidRPr="00DA1411">
        <w:rPr>
          <w:rFonts w:ascii="Arial" w:hAnsi="Arial" w:cs="Arial"/>
          <w:i/>
          <w:sz w:val="20"/>
          <w:szCs w:val="20"/>
        </w:rPr>
        <w:t xml:space="preserve">Roads </w:t>
      </w:r>
      <w:proofErr w:type="gramStart"/>
      <w:r w:rsidR="00DA1411" w:rsidRPr="00DA1411">
        <w:rPr>
          <w:rFonts w:ascii="Arial" w:hAnsi="Arial" w:cs="Arial"/>
          <w:i/>
          <w:sz w:val="20"/>
          <w:szCs w:val="20"/>
        </w:rPr>
        <w:t>To</w:t>
      </w:r>
      <w:proofErr w:type="gramEnd"/>
      <w:r w:rsidR="00DA1411" w:rsidRPr="00DA1411">
        <w:rPr>
          <w:rFonts w:ascii="Arial" w:hAnsi="Arial" w:cs="Arial"/>
          <w:i/>
          <w:sz w:val="20"/>
          <w:szCs w:val="20"/>
        </w:rPr>
        <w:t xml:space="preserve"> Recovery</w:t>
      </w:r>
      <w:r w:rsidR="00604B6E">
        <w:rPr>
          <w:rFonts w:ascii="Arial" w:hAnsi="Arial" w:cs="Arial"/>
          <w:sz w:val="20"/>
          <w:szCs w:val="20"/>
        </w:rPr>
        <w:t>,</w:t>
      </w:r>
      <w:r w:rsidR="00162BD0">
        <w:rPr>
          <w:rFonts w:ascii="Arial" w:hAnsi="Arial" w:cs="Arial"/>
          <w:sz w:val="20"/>
          <w:szCs w:val="20"/>
        </w:rPr>
        <w:t xml:space="preserve"> </w:t>
      </w:r>
      <w:r w:rsidR="00C85C33">
        <w:rPr>
          <w:rFonts w:ascii="Arial" w:hAnsi="Arial" w:cs="Arial"/>
          <w:sz w:val="20"/>
          <w:szCs w:val="20"/>
        </w:rPr>
        <w:t>which are tied</w:t>
      </w:r>
      <w:r w:rsidR="002249C4" w:rsidRPr="00D51476">
        <w:rPr>
          <w:rFonts w:ascii="Arial" w:hAnsi="Arial" w:cs="Arial"/>
          <w:sz w:val="20"/>
          <w:szCs w:val="20"/>
        </w:rPr>
        <w:t xml:space="preserve">. </w:t>
      </w:r>
    </w:p>
    <w:p w:rsidR="004B0A2F" w:rsidRDefault="004B0A2F" w:rsidP="004C7F70">
      <w:pPr>
        <w:rPr>
          <w:rFonts w:ascii="Arial" w:hAnsi="Arial" w:cs="Arial"/>
          <w:sz w:val="20"/>
          <w:szCs w:val="20"/>
        </w:rPr>
      </w:pPr>
    </w:p>
    <w:p w:rsidR="006D15F0" w:rsidRPr="00D51476" w:rsidRDefault="00604B6E" w:rsidP="004C7F70">
      <w:pPr>
        <w:rPr>
          <w:rFonts w:ascii="Arial" w:hAnsi="Arial" w:cs="Arial"/>
          <w:sz w:val="20"/>
          <w:szCs w:val="20"/>
        </w:rPr>
      </w:pPr>
      <w:r>
        <w:rPr>
          <w:rFonts w:ascii="Arial" w:hAnsi="Arial" w:cs="Arial"/>
          <w:sz w:val="20"/>
          <w:szCs w:val="20"/>
        </w:rPr>
        <w:lastRenderedPageBreak/>
        <w:t>As mentioned above, m</w:t>
      </w:r>
      <w:r w:rsidR="004B0A2F" w:rsidRPr="00D51476">
        <w:rPr>
          <w:rFonts w:ascii="Arial" w:hAnsi="Arial" w:cs="Arial"/>
          <w:sz w:val="20"/>
          <w:szCs w:val="20"/>
        </w:rPr>
        <w:t xml:space="preserve">ore accountability could be attained by having funds flow to regional </w:t>
      </w:r>
      <w:r w:rsidR="00162BD0">
        <w:rPr>
          <w:rFonts w:ascii="Arial" w:hAnsi="Arial" w:cs="Arial"/>
          <w:sz w:val="20"/>
          <w:szCs w:val="20"/>
        </w:rPr>
        <w:t xml:space="preserve">economic </w:t>
      </w:r>
      <w:r w:rsidR="004B0A2F" w:rsidRPr="00D51476">
        <w:rPr>
          <w:rFonts w:ascii="Arial" w:hAnsi="Arial" w:cs="Arial"/>
          <w:sz w:val="20"/>
          <w:szCs w:val="20"/>
        </w:rPr>
        <w:t xml:space="preserve">groups instead of individual local </w:t>
      </w:r>
      <w:r w:rsidR="00F038B0">
        <w:rPr>
          <w:rFonts w:ascii="Arial" w:hAnsi="Arial" w:cs="Arial"/>
          <w:sz w:val="20"/>
          <w:szCs w:val="20"/>
        </w:rPr>
        <w:t>councils</w:t>
      </w:r>
      <w:r w:rsidR="004B0A2F" w:rsidRPr="00D51476">
        <w:rPr>
          <w:rFonts w:ascii="Arial" w:hAnsi="Arial" w:cs="Arial"/>
          <w:sz w:val="20"/>
          <w:szCs w:val="20"/>
        </w:rPr>
        <w:t xml:space="preserve">. </w:t>
      </w:r>
      <w:r w:rsidR="006D15F0" w:rsidRPr="00D51476">
        <w:rPr>
          <w:rFonts w:ascii="Arial" w:hAnsi="Arial" w:cs="Arial"/>
          <w:sz w:val="20"/>
          <w:szCs w:val="20"/>
        </w:rPr>
        <w:t>HVCI ha</w:t>
      </w:r>
      <w:r w:rsidR="00D30450">
        <w:rPr>
          <w:rFonts w:ascii="Arial" w:hAnsi="Arial" w:cs="Arial"/>
          <w:sz w:val="20"/>
          <w:szCs w:val="20"/>
        </w:rPr>
        <w:t>s</w:t>
      </w:r>
      <w:r w:rsidR="00F33515">
        <w:rPr>
          <w:rFonts w:ascii="Arial" w:hAnsi="Arial" w:cs="Arial"/>
          <w:sz w:val="20"/>
          <w:szCs w:val="20"/>
        </w:rPr>
        <w:t xml:space="preserve"> </w:t>
      </w:r>
      <w:r w:rsidR="006D15F0" w:rsidRPr="00D51476">
        <w:rPr>
          <w:rFonts w:ascii="Arial" w:hAnsi="Arial" w:cs="Arial"/>
          <w:sz w:val="20"/>
          <w:szCs w:val="20"/>
        </w:rPr>
        <w:t>stated that “</w:t>
      </w:r>
      <w:r w:rsidR="004C7F70" w:rsidRPr="00D51476">
        <w:rPr>
          <w:rFonts w:ascii="Arial" w:hAnsi="Arial" w:cs="Arial"/>
          <w:sz w:val="20"/>
          <w:szCs w:val="20"/>
        </w:rPr>
        <w:t>A regional model would provide a greater capacity for local governments to engage in a more structured investment process for heavy vehicle related road services.</w:t>
      </w:r>
      <w:r w:rsidR="006D15F0" w:rsidRPr="00D51476">
        <w:rPr>
          <w:rFonts w:ascii="Arial" w:hAnsi="Arial" w:cs="Arial"/>
          <w:sz w:val="20"/>
          <w:szCs w:val="20"/>
        </w:rPr>
        <w:t xml:space="preserve">” This </w:t>
      </w:r>
      <w:r w:rsidR="00885599" w:rsidRPr="00D51476">
        <w:rPr>
          <w:rFonts w:ascii="Arial" w:hAnsi="Arial" w:cs="Arial"/>
          <w:sz w:val="20"/>
          <w:szCs w:val="20"/>
        </w:rPr>
        <w:t>premise</w:t>
      </w:r>
      <w:r w:rsidR="006D15F0" w:rsidRPr="00D51476">
        <w:rPr>
          <w:rFonts w:ascii="Arial" w:hAnsi="Arial" w:cs="Arial"/>
          <w:sz w:val="20"/>
          <w:szCs w:val="20"/>
        </w:rPr>
        <w:t xml:space="preserve"> seems sensible. </w:t>
      </w:r>
    </w:p>
    <w:p w:rsidR="004C7F70" w:rsidRPr="00D51476" w:rsidRDefault="004C7F70" w:rsidP="004C7F70">
      <w:pPr>
        <w:rPr>
          <w:rFonts w:ascii="Arial" w:hAnsi="Arial" w:cs="Arial"/>
          <w:sz w:val="20"/>
          <w:szCs w:val="20"/>
        </w:rPr>
      </w:pPr>
      <w:r w:rsidRPr="00D51476">
        <w:rPr>
          <w:rFonts w:ascii="Arial" w:hAnsi="Arial" w:cs="Arial"/>
          <w:sz w:val="20"/>
          <w:szCs w:val="20"/>
        </w:rPr>
        <w:t xml:space="preserve"> </w:t>
      </w:r>
    </w:p>
    <w:p w:rsidR="002D575A" w:rsidRDefault="006D15F0" w:rsidP="004C7F70">
      <w:pPr>
        <w:rPr>
          <w:rFonts w:ascii="Arial" w:hAnsi="Arial" w:cs="Arial"/>
          <w:sz w:val="20"/>
          <w:szCs w:val="20"/>
        </w:rPr>
      </w:pPr>
      <w:r w:rsidRPr="00D51476">
        <w:rPr>
          <w:rFonts w:ascii="Arial" w:hAnsi="Arial" w:cs="Arial"/>
          <w:sz w:val="20"/>
          <w:szCs w:val="20"/>
        </w:rPr>
        <w:t xml:space="preserve">Allowing direct </w:t>
      </w:r>
      <w:r w:rsidR="00162BD0">
        <w:rPr>
          <w:rFonts w:ascii="Arial" w:hAnsi="Arial" w:cs="Arial"/>
          <w:sz w:val="20"/>
          <w:szCs w:val="20"/>
        </w:rPr>
        <w:t xml:space="preserve">road </w:t>
      </w:r>
      <w:r w:rsidRPr="00D51476">
        <w:rPr>
          <w:rFonts w:ascii="Arial" w:hAnsi="Arial" w:cs="Arial"/>
          <w:sz w:val="20"/>
          <w:szCs w:val="20"/>
        </w:rPr>
        <w:t xml:space="preserve">funding to local governments would provide a more efficient split </w:t>
      </w:r>
      <w:r w:rsidR="00F33515" w:rsidRPr="00D51476">
        <w:rPr>
          <w:rFonts w:ascii="Arial" w:hAnsi="Arial" w:cs="Arial"/>
          <w:sz w:val="20"/>
          <w:szCs w:val="20"/>
        </w:rPr>
        <w:t xml:space="preserve">of </w:t>
      </w:r>
      <w:r w:rsidR="00F33515">
        <w:rPr>
          <w:rFonts w:ascii="Arial" w:hAnsi="Arial" w:cs="Arial"/>
          <w:sz w:val="20"/>
          <w:szCs w:val="20"/>
        </w:rPr>
        <w:t>public</w:t>
      </w:r>
      <w:r w:rsidR="00D30450">
        <w:rPr>
          <w:rFonts w:ascii="Arial" w:hAnsi="Arial" w:cs="Arial"/>
          <w:sz w:val="20"/>
          <w:szCs w:val="20"/>
        </w:rPr>
        <w:t xml:space="preserve"> </w:t>
      </w:r>
      <w:r w:rsidR="00D30450" w:rsidRPr="00D51476">
        <w:rPr>
          <w:rFonts w:ascii="Arial" w:hAnsi="Arial" w:cs="Arial"/>
          <w:sz w:val="20"/>
          <w:szCs w:val="20"/>
        </w:rPr>
        <w:t>mon</w:t>
      </w:r>
      <w:r w:rsidR="00D30450">
        <w:rPr>
          <w:rFonts w:ascii="Arial" w:hAnsi="Arial" w:cs="Arial"/>
          <w:sz w:val="20"/>
          <w:szCs w:val="20"/>
        </w:rPr>
        <w:t>ies</w:t>
      </w:r>
      <w:r w:rsidRPr="00D51476">
        <w:rPr>
          <w:rFonts w:ascii="Arial" w:hAnsi="Arial" w:cs="Arial"/>
          <w:sz w:val="20"/>
          <w:szCs w:val="20"/>
        </w:rPr>
        <w:t xml:space="preserve">. It would also possibly </w:t>
      </w:r>
      <w:r w:rsidR="00D30450">
        <w:rPr>
          <w:rFonts w:ascii="Arial" w:hAnsi="Arial" w:cs="Arial"/>
          <w:sz w:val="20"/>
          <w:szCs w:val="20"/>
        </w:rPr>
        <w:t xml:space="preserve">indirectly </w:t>
      </w:r>
      <w:r w:rsidRPr="00D51476">
        <w:rPr>
          <w:rFonts w:ascii="Arial" w:hAnsi="Arial" w:cs="Arial"/>
          <w:sz w:val="20"/>
          <w:szCs w:val="20"/>
        </w:rPr>
        <w:t xml:space="preserve">promote better planning for heavy vehicle maintenance and capital. </w:t>
      </w:r>
    </w:p>
    <w:p w:rsidR="00665D47" w:rsidRDefault="00665D47" w:rsidP="00665D47">
      <w:pPr>
        <w:rPr>
          <w:rFonts w:ascii="Arial" w:hAnsi="Arial" w:cs="Arial"/>
          <w:sz w:val="20"/>
          <w:szCs w:val="20"/>
        </w:rPr>
      </w:pPr>
      <w:bookmarkStart w:id="181" w:name="_Toc361217291"/>
      <w:bookmarkStart w:id="182" w:name="_Toc361217664"/>
      <w:bookmarkStart w:id="183" w:name="_Toc361218189"/>
      <w:bookmarkStart w:id="184" w:name="_Toc361219543"/>
      <w:bookmarkEnd w:id="181"/>
      <w:bookmarkEnd w:id="182"/>
      <w:bookmarkEnd w:id="183"/>
      <w:bookmarkEnd w:id="184"/>
    </w:p>
    <w:p w:rsidR="00111E03" w:rsidRPr="009E4680" w:rsidRDefault="001F3751" w:rsidP="009E4680">
      <w:pPr>
        <w:rPr>
          <w:rFonts w:ascii="Arial" w:hAnsi="Arial" w:cs="Arial"/>
          <w:sz w:val="20"/>
          <w:szCs w:val="20"/>
        </w:rPr>
      </w:pPr>
      <w:r>
        <w:rPr>
          <w:rFonts w:ascii="Arial" w:hAnsi="Arial" w:cs="Arial"/>
          <w:sz w:val="20"/>
          <w:szCs w:val="20"/>
        </w:rPr>
        <w:t>IA</w:t>
      </w:r>
      <w:r w:rsidR="00111E03" w:rsidRPr="00665D47">
        <w:rPr>
          <w:rFonts w:ascii="Arial" w:hAnsi="Arial" w:cs="Arial"/>
          <w:sz w:val="20"/>
          <w:szCs w:val="20"/>
        </w:rPr>
        <w:t xml:space="preserve"> </w:t>
      </w:r>
      <w:r w:rsidR="00665D47" w:rsidRPr="00665D47">
        <w:rPr>
          <w:rFonts w:ascii="Arial" w:hAnsi="Arial" w:cs="Arial"/>
          <w:sz w:val="20"/>
          <w:szCs w:val="20"/>
        </w:rPr>
        <w:t>has</w:t>
      </w:r>
      <w:r w:rsidR="00111E03" w:rsidRPr="00665D47">
        <w:rPr>
          <w:rFonts w:ascii="Arial" w:hAnsi="Arial" w:cs="Arial"/>
          <w:sz w:val="20"/>
          <w:szCs w:val="20"/>
        </w:rPr>
        <w:t xml:space="preserve"> also recommended </w:t>
      </w:r>
      <w:r w:rsidR="00665D47" w:rsidRPr="00665D47">
        <w:rPr>
          <w:rFonts w:ascii="Arial" w:hAnsi="Arial" w:cs="Arial"/>
          <w:sz w:val="20"/>
          <w:szCs w:val="20"/>
        </w:rPr>
        <w:t>consolidation</w:t>
      </w:r>
      <w:r w:rsidR="00111E03" w:rsidRPr="00665D47">
        <w:rPr>
          <w:rFonts w:ascii="Arial" w:hAnsi="Arial" w:cs="Arial"/>
          <w:sz w:val="20"/>
          <w:szCs w:val="20"/>
        </w:rPr>
        <w:t xml:space="preserve"> </w:t>
      </w:r>
      <w:r w:rsidR="00D30450">
        <w:rPr>
          <w:rFonts w:ascii="Arial" w:hAnsi="Arial" w:cs="Arial"/>
          <w:sz w:val="20"/>
          <w:szCs w:val="20"/>
        </w:rPr>
        <w:t xml:space="preserve">of </w:t>
      </w:r>
      <w:r w:rsidR="00111E03" w:rsidRPr="00665D47">
        <w:rPr>
          <w:rFonts w:ascii="Arial" w:hAnsi="Arial" w:cs="Arial"/>
          <w:sz w:val="20"/>
          <w:szCs w:val="20"/>
        </w:rPr>
        <w:t xml:space="preserve">regional local government, which would </w:t>
      </w:r>
      <w:r w:rsidR="00665D47" w:rsidRPr="00665D47">
        <w:rPr>
          <w:rFonts w:ascii="Arial" w:hAnsi="Arial" w:cs="Arial"/>
          <w:sz w:val="20"/>
          <w:szCs w:val="20"/>
        </w:rPr>
        <w:t>strengthen</w:t>
      </w:r>
      <w:r w:rsidR="00111E03" w:rsidRPr="00665D47">
        <w:rPr>
          <w:rFonts w:ascii="Arial" w:hAnsi="Arial" w:cs="Arial"/>
          <w:sz w:val="20"/>
          <w:szCs w:val="20"/>
        </w:rPr>
        <w:t xml:space="preserve"> their planning and delivery. </w:t>
      </w:r>
      <w:r w:rsidR="00665D47" w:rsidRPr="00665D47">
        <w:rPr>
          <w:rFonts w:ascii="Arial" w:hAnsi="Arial" w:cs="Arial"/>
          <w:sz w:val="20"/>
          <w:szCs w:val="20"/>
          <w:vertAlign w:val="superscript"/>
        </w:rPr>
        <w:footnoteReference w:id="6"/>
      </w:r>
    </w:p>
    <w:p w:rsidR="00510D1B" w:rsidRDefault="00510D1B" w:rsidP="004C7F70">
      <w:pPr>
        <w:rPr>
          <w:rFonts w:ascii="Arial" w:hAnsi="Arial" w:cs="Arial"/>
          <w:sz w:val="20"/>
          <w:szCs w:val="20"/>
        </w:rPr>
      </w:pPr>
      <w:bookmarkStart w:id="185" w:name="_Toc361232822"/>
      <w:bookmarkStart w:id="186" w:name="_Toc361302847"/>
      <w:bookmarkStart w:id="187" w:name="_Toc361321206"/>
      <w:bookmarkStart w:id="188" w:name="_Toc361732994"/>
      <w:bookmarkStart w:id="189" w:name="_Toc361736701"/>
      <w:bookmarkStart w:id="190" w:name="_Toc361821350"/>
      <w:bookmarkStart w:id="191" w:name="_Toc361822880"/>
      <w:bookmarkEnd w:id="185"/>
      <w:bookmarkEnd w:id="186"/>
      <w:bookmarkEnd w:id="187"/>
      <w:bookmarkEnd w:id="188"/>
      <w:bookmarkEnd w:id="189"/>
      <w:bookmarkEnd w:id="190"/>
      <w:bookmarkEnd w:id="191"/>
    </w:p>
    <w:p w:rsidR="00617F3D" w:rsidRPr="00D51476" w:rsidRDefault="00617F3D" w:rsidP="004C7F70">
      <w:pPr>
        <w:rPr>
          <w:rFonts w:ascii="Arial" w:hAnsi="Arial" w:cs="Arial"/>
          <w:sz w:val="20"/>
          <w:szCs w:val="20"/>
        </w:rPr>
      </w:pPr>
    </w:p>
    <w:p w:rsidR="006D15F0" w:rsidRPr="00620293" w:rsidRDefault="006D15F0" w:rsidP="00793431">
      <w:pPr>
        <w:pStyle w:val="Heading1"/>
        <w:numPr>
          <w:ilvl w:val="1"/>
          <w:numId w:val="15"/>
        </w:numPr>
      </w:pPr>
      <w:bookmarkStart w:id="192" w:name="_Toc362528137"/>
      <w:r w:rsidRPr="00620293">
        <w:t>C</w:t>
      </w:r>
      <w:r w:rsidR="00AA3874" w:rsidRPr="00620293">
        <w:t xml:space="preserve">ommunity </w:t>
      </w:r>
      <w:r w:rsidRPr="00620293">
        <w:t>S</w:t>
      </w:r>
      <w:r w:rsidR="00AA3874" w:rsidRPr="00620293">
        <w:t xml:space="preserve">ervice </w:t>
      </w:r>
      <w:r w:rsidRPr="00620293">
        <w:t>O</w:t>
      </w:r>
      <w:r w:rsidR="00AA3874" w:rsidRPr="00620293">
        <w:t>bligation</w:t>
      </w:r>
      <w:r w:rsidRPr="00620293">
        <w:t xml:space="preserve"> roads</w:t>
      </w:r>
      <w:bookmarkEnd w:id="192"/>
      <w:r w:rsidRPr="00620293">
        <w:t xml:space="preserve"> </w:t>
      </w:r>
    </w:p>
    <w:p w:rsidR="006D15F0" w:rsidRPr="00D51476" w:rsidRDefault="006D15F0" w:rsidP="004C7F70">
      <w:pPr>
        <w:rPr>
          <w:rFonts w:ascii="Arial" w:hAnsi="Arial" w:cs="Arial"/>
          <w:sz w:val="20"/>
          <w:szCs w:val="20"/>
        </w:rPr>
      </w:pPr>
    </w:p>
    <w:p w:rsidR="0060662B" w:rsidRPr="00D51476" w:rsidRDefault="006D15F0" w:rsidP="004C7F70">
      <w:pPr>
        <w:rPr>
          <w:rFonts w:ascii="Arial" w:hAnsi="Arial" w:cs="Arial"/>
          <w:sz w:val="20"/>
          <w:szCs w:val="20"/>
        </w:rPr>
      </w:pPr>
      <w:r w:rsidRPr="00D51476">
        <w:rPr>
          <w:rFonts w:ascii="Arial" w:hAnsi="Arial" w:cs="Arial"/>
          <w:sz w:val="20"/>
          <w:szCs w:val="20"/>
        </w:rPr>
        <w:t>HVCI ha</w:t>
      </w:r>
      <w:r w:rsidR="00D30450">
        <w:rPr>
          <w:rFonts w:ascii="Arial" w:hAnsi="Arial" w:cs="Arial"/>
          <w:sz w:val="20"/>
          <w:szCs w:val="20"/>
        </w:rPr>
        <w:t>s</w:t>
      </w:r>
      <w:r w:rsidRPr="00D51476">
        <w:rPr>
          <w:rFonts w:ascii="Arial" w:hAnsi="Arial" w:cs="Arial"/>
          <w:sz w:val="20"/>
          <w:szCs w:val="20"/>
        </w:rPr>
        <w:t xml:space="preserve"> indicated that </w:t>
      </w:r>
      <w:r w:rsidR="00BA4DF0" w:rsidRPr="00D51476">
        <w:rPr>
          <w:rFonts w:ascii="Arial" w:hAnsi="Arial" w:cs="Arial"/>
          <w:sz w:val="20"/>
          <w:szCs w:val="20"/>
        </w:rPr>
        <w:t xml:space="preserve">under an </w:t>
      </w:r>
      <w:r w:rsidR="00162BD0">
        <w:rPr>
          <w:rFonts w:ascii="Arial" w:hAnsi="Arial" w:cs="Arial"/>
          <w:sz w:val="20"/>
          <w:szCs w:val="20"/>
        </w:rPr>
        <w:t>‘</w:t>
      </w:r>
      <w:r w:rsidR="00BA4DF0" w:rsidRPr="00D51476">
        <w:rPr>
          <w:rFonts w:ascii="Arial" w:hAnsi="Arial" w:cs="Arial"/>
          <w:sz w:val="20"/>
          <w:szCs w:val="20"/>
        </w:rPr>
        <w:t xml:space="preserve">averaged </w:t>
      </w:r>
      <w:r w:rsidR="00604B6E" w:rsidRPr="00D51476">
        <w:rPr>
          <w:rFonts w:ascii="Arial" w:hAnsi="Arial" w:cs="Arial"/>
          <w:sz w:val="20"/>
          <w:szCs w:val="20"/>
        </w:rPr>
        <w:t>system</w:t>
      </w:r>
      <w:r w:rsidR="00604B6E">
        <w:rPr>
          <w:rFonts w:ascii="Arial" w:hAnsi="Arial" w:cs="Arial"/>
          <w:sz w:val="20"/>
          <w:szCs w:val="20"/>
        </w:rPr>
        <w:t>’</w:t>
      </w:r>
      <w:r w:rsidR="00604B6E" w:rsidRPr="00D51476">
        <w:rPr>
          <w:rFonts w:ascii="Arial" w:hAnsi="Arial" w:cs="Arial"/>
          <w:sz w:val="20"/>
          <w:szCs w:val="20"/>
        </w:rPr>
        <w:t xml:space="preserve"> users</w:t>
      </w:r>
      <w:r w:rsidR="00BA4DF0" w:rsidRPr="00D51476">
        <w:rPr>
          <w:rFonts w:ascii="Arial" w:hAnsi="Arial" w:cs="Arial"/>
          <w:sz w:val="20"/>
          <w:szCs w:val="20"/>
        </w:rPr>
        <w:t xml:space="preserve"> could not be exempt from the char</w:t>
      </w:r>
      <w:r w:rsidR="00CB5BAE" w:rsidRPr="00D51476">
        <w:rPr>
          <w:rFonts w:ascii="Arial" w:hAnsi="Arial" w:cs="Arial"/>
          <w:sz w:val="20"/>
          <w:szCs w:val="20"/>
        </w:rPr>
        <w:t>g</w:t>
      </w:r>
      <w:r w:rsidR="00BA4DF0" w:rsidRPr="00D51476">
        <w:rPr>
          <w:rFonts w:ascii="Arial" w:hAnsi="Arial" w:cs="Arial"/>
          <w:sz w:val="20"/>
          <w:szCs w:val="20"/>
        </w:rPr>
        <w:t xml:space="preserve">e without location information. However, </w:t>
      </w:r>
      <w:r w:rsidR="00162BD0">
        <w:rPr>
          <w:rFonts w:ascii="Arial" w:hAnsi="Arial" w:cs="Arial"/>
          <w:sz w:val="20"/>
          <w:szCs w:val="20"/>
        </w:rPr>
        <w:t xml:space="preserve">many local </w:t>
      </w:r>
      <w:r w:rsidR="00BA4DF0" w:rsidRPr="00D51476">
        <w:rPr>
          <w:rFonts w:ascii="Arial" w:hAnsi="Arial" w:cs="Arial"/>
          <w:sz w:val="20"/>
          <w:szCs w:val="20"/>
        </w:rPr>
        <w:t xml:space="preserve">CSO roads are currently excluded from the </w:t>
      </w:r>
      <w:r w:rsidR="00CB5BAE" w:rsidRPr="00D51476">
        <w:rPr>
          <w:rFonts w:ascii="Arial" w:hAnsi="Arial" w:cs="Arial"/>
          <w:sz w:val="20"/>
          <w:szCs w:val="20"/>
        </w:rPr>
        <w:t xml:space="preserve">heavy vehicle cost base. </w:t>
      </w:r>
    </w:p>
    <w:p w:rsidR="006D15F0" w:rsidRPr="00D51476" w:rsidRDefault="006D15F0" w:rsidP="004C7F70">
      <w:pPr>
        <w:rPr>
          <w:rFonts w:ascii="Arial" w:hAnsi="Arial" w:cs="Arial"/>
          <w:sz w:val="20"/>
          <w:szCs w:val="20"/>
        </w:rPr>
      </w:pPr>
    </w:p>
    <w:p w:rsidR="004C7F70" w:rsidRPr="00D51476" w:rsidRDefault="00CB5BAE" w:rsidP="004C7F70">
      <w:pPr>
        <w:rPr>
          <w:rFonts w:ascii="Arial" w:hAnsi="Arial" w:cs="Arial"/>
          <w:sz w:val="20"/>
          <w:szCs w:val="20"/>
        </w:rPr>
      </w:pPr>
      <w:r w:rsidRPr="00D51476">
        <w:rPr>
          <w:rFonts w:ascii="Arial" w:hAnsi="Arial" w:cs="Arial"/>
          <w:sz w:val="20"/>
          <w:szCs w:val="20"/>
        </w:rPr>
        <w:t xml:space="preserve">Remote </w:t>
      </w:r>
      <w:r w:rsidR="00162BD0">
        <w:rPr>
          <w:rFonts w:ascii="Arial" w:hAnsi="Arial" w:cs="Arial"/>
          <w:sz w:val="20"/>
          <w:szCs w:val="20"/>
        </w:rPr>
        <w:t xml:space="preserve">and regional </w:t>
      </w:r>
      <w:r w:rsidR="00604B6E">
        <w:rPr>
          <w:rFonts w:ascii="Arial" w:hAnsi="Arial" w:cs="Arial"/>
          <w:sz w:val="20"/>
          <w:szCs w:val="20"/>
        </w:rPr>
        <w:t>areas are likely to include</w:t>
      </w:r>
      <w:r w:rsidRPr="00D51476">
        <w:rPr>
          <w:rFonts w:ascii="Arial" w:hAnsi="Arial" w:cs="Arial"/>
          <w:sz w:val="20"/>
          <w:szCs w:val="20"/>
        </w:rPr>
        <w:t xml:space="preserve"> </w:t>
      </w:r>
      <w:r w:rsidR="00162BD0">
        <w:rPr>
          <w:rFonts w:ascii="Arial" w:hAnsi="Arial" w:cs="Arial"/>
          <w:sz w:val="20"/>
          <w:szCs w:val="20"/>
        </w:rPr>
        <w:t xml:space="preserve">many </w:t>
      </w:r>
      <w:r w:rsidRPr="00D51476">
        <w:rPr>
          <w:rFonts w:ascii="Arial" w:hAnsi="Arial" w:cs="Arial"/>
          <w:sz w:val="20"/>
          <w:szCs w:val="20"/>
        </w:rPr>
        <w:t>CSO roads and the</w:t>
      </w:r>
      <w:r w:rsidR="00D30450">
        <w:rPr>
          <w:rFonts w:ascii="Arial" w:hAnsi="Arial" w:cs="Arial"/>
          <w:sz w:val="20"/>
          <w:szCs w:val="20"/>
        </w:rPr>
        <w:t>ir</w:t>
      </w:r>
      <w:r w:rsidRPr="00D51476">
        <w:rPr>
          <w:rFonts w:ascii="Arial" w:hAnsi="Arial" w:cs="Arial"/>
          <w:sz w:val="20"/>
          <w:szCs w:val="20"/>
        </w:rPr>
        <w:t xml:space="preserve"> communities are </w:t>
      </w:r>
      <w:r w:rsidR="004C7F70" w:rsidRPr="00D51476">
        <w:rPr>
          <w:rFonts w:ascii="Arial" w:hAnsi="Arial" w:cs="Arial"/>
          <w:sz w:val="20"/>
          <w:szCs w:val="20"/>
        </w:rPr>
        <w:t>unlikely to bear the full cost of infrastru</w:t>
      </w:r>
      <w:r w:rsidRPr="00D51476">
        <w:rPr>
          <w:rFonts w:ascii="Arial" w:hAnsi="Arial" w:cs="Arial"/>
          <w:sz w:val="20"/>
          <w:szCs w:val="20"/>
        </w:rPr>
        <w:t xml:space="preserve">cture required for heavy vehicle services. </w:t>
      </w:r>
    </w:p>
    <w:p w:rsidR="002249C4" w:rsidRPr="00D51476" w:rsidRDefault="002249C4" w:rsidP="004C7F70">
      <w:pPr>
        <w:rPr>
          <w:rFonts w:ascii="Arial" w:hAnsi="Arial" w:cs="Arial"/>
          <w:sz w:val="20"/>
          <w:szCs w:val="20"/>
        </w:rPr>
      </w:pPr>
    </w:p>
    <w:p w:rsidR="006F07EE" w:rsidRDefault="00885599" w:rsidP="004C7F70">
      <w:pPr>
        <w:rPr>
          <w:rFonts w:ascii="Arial" w:hAnsi="Arial" w:cs="Arial"/>
          <w:sz w:val="20"/>
          <w:szCs w:val="20"/>
        </w:rPr>
      </w:pPr>
      <w:r w:rsidRPr="00D51476">
        <w:rPr>
          <w:rFonts w:ascii="Arial" w:hAnsi="Arial" w:cs="Arial"/>
          <w:sz w:val="20"/>
          <w:szCs w:val="20"/>
        </w:rPr>
        <w:t xml:space="preserve">The economic regulator would presumably still monitor these roads. </w:t>
      </w:r>
      <w:r w:rsidR="00DC194E">
        <w:rPr>
          <w:rFonts w:ascii="Arial" w:hAnsi="Arial" w:cs="Arial"/>
          <w:sz w:val="20"/>
          <w:szCs w:val="20"/>
        </w:rPr>
        <w:t xml:space="preserve">In order for this to happen, it is necessary that all CSO roads in Australia </w:t>
      </w:r>
      <w:r w:rsidR="00D30450">
        <w:rPr>
          <w:rFonts w:ascii="Arial" w:hAnsi="Arial" w:cs="Arial"/>
          <w:sz w:val="20"/>
          <w:szCs w:val="20"/>
        </w:rPr>
        <w:t xml:space="preserve">be </w:t>
      </w:r>
      <w:r w:rsidR="00DC194E">
        <w:rPr>
          <w:rFonts w:ascii="Arial" w:hAnsi="Arial" w:cs="Arial"/>
          <w:sz w:val="20"/>
          <w:szCs w:val="20"/>
        </w:rPr>
        <w:t xml:space="preserve">identified. </w:t>
      </w:r>
    </w:p>
    <w:p w:rsidR="00617F3D" w:rsidRDefault="00617F3D" w:rsidP="004C7F70">
      <w:pPr>
        <w:rPr>
          <w:rFonts w:ascii="Arial" w:hAnsi="Arial" w:cs="Arial"/>
          <w:sz w:val="20"/>
          <w:szCs w:val="20"/>
        </w:rPr>
      </w:pPr>
    </w:p>
    <w:p w:rsidR="00B73DF0" w:rsidRDefault="00B73DF0" w:rsidP="00885599">
      <w:pPr>
        <w:rPr>
          <w:rFonts w:ascii="Arial" w:hAnsi="Arial" w:cs="Arial"/>
          <w:sz w:val="20"/>
          <w:szCs w:val="20"/>
          <w:u w:val="single"/>
        </w:rPr>
      </w:pPr>
      <w:bookmarkStart w:id="193" w:name="_Toc361218193"/>
      <w:bookmarkStart w:id="194" w:name="_Toc361219547"/>
      <w:bookmarkStart w:id="195" w:name="_Toc361232826"/>
      <w:bookmarkStart w:id="196" w:name="_Toc361302851"/>
      <w:bookmarkStart w:id="197" w:name="_Toc361321210"/>
      <w:bookmarkStart w:id="198" w:name="_Toc361732998"/>
      <w:bookmarkStart w:id="199" w:name="_Toc361736705"/>
      <w:bookmarkStart w:id="200" w:name="_Toc361821354"/>
      <w:bookmarkStart w:id="201" w:name="_Toc361822884"/>
      <w:bookmarkEnd w:id="193"/>
      <w:bookmarkEnd w:id="194"/>
      <w:bookmarkEnd w:id="195"/>
      <w:bookmarkEnd w:id="196"/>
      <w:bookmarkEnd w:id="197"/>
      <w:bookmarkEnd w:id="198"/>
      <w:bookmarkEnd w:id="199"/>
      <w:bookmarkEnd w:id="200"/>
      <w:bookmarkEnd w:id="201"/>
    </w:p>
    <w:p w:rsidR="00885599" w:rsidRPr="00620293" w:rsidRDefault="00885599" w:rsidP="00793431">
      <w:pPr>
        <w:pStyle w:val="Heading1"/>
        <w:numPr>
          <w:ilvl w:val="1"/>
          <w:numId w:val="15"/>
        </w:numPr>
      </w:pPr>
      <w:bookmarkStart w:id="202" w:name="_Toc362528138"/>
      <w:r w:rsidRPr="00620293">
        <w:t>Data to inform road investment</w:t>
      </w:r>
      <w:bookmarkEnd w:id="202"/>
    </w:p>
    <w:p w:rsidR="00885599" w:rsidRPr="00D51476" w:rsidRDefault="00885599" w:rsidP="00885599">
      <w:pPr>
        <w:rPr>
          <w:rFonts w:ascii="Arial" w:hAnsi="Arial" w:cs="Arial"/>
          <w:sz w:val="20"/>
          <w:szCs w:val="20"/>
        </w:rPr>
      </w:pPr>
    </w:p>
    <w:p w:rsidR="00885599" w:rsidRPr="00D51476" w:rsidRDefault="00885599" w:rsidP="00885599">
      <w:pPr>
        <w:rPr>
          <w:rFonts w:ascii="Arial" w:hAnsi="Arial" w:cs="Arial"/>
          <w:sz w:val="20"/>
          <w:szCs w:val="20"/>
        </w:rPr>
      </w:pPr>
      <w:r w:rsidRPr="00D51476">
        <w:rPr>
          <w:rFonts w:ascii="Arial" w:hAnsi="Arial" w:cs="Arial"/>
          <w:sz w:val="20"/>
          <w:szCs w:val="20"/>
        </w:rPr>
        <w:t xml:space="preserve">A continuing argument for more direct user charges is that the amount of information produced would be useful for road planning. </w:t>
      </w:r>
      <w:r w:rsidR="00D30450">
        <w:rPr>
          <w:rFonts w:ascii="Arial" w:hAnsi="Arial" w:cs="Arial"/>
          <w:sz w:val="20"/>
          <w:szCs w:val="20"/>
        </w:rPr>
        <w:t>This</w:t>
      </w:r>
      <w:r w:rsidR="00D30450" w:rsidRPr="00D51476">
        <w:rPr>
          <w:rFonts w:ascii="Arial" w:hAnsi="Arial" w:cs="Arial"/>
          <w:sz w:val="20"/>
          <w:szCs w:val="20"/>
        </w:rPr>
        <w:t xml:space="preserve"> </w:t>
      </w:r>
      <w:r w:rsidRPr="00D51476">
        <w:rPr>
          <w:rFonts w:ascii="Arial" w:hAnsi="Arial" w:cs="Arial"/>
          <w:sz w:val="20"/>
          <w:szCs w:val="20"/>
        </w:rPr>
        <w:t>is a lazy argument for increasing monitoring of road user movement</w:t>
      </w:r>
      <w:r w:rsidR="00D30450">
        <w:rPr>
          <w:rFonts w:ascii="Arial" w:hAnsi="Arial" w:cs="Arial"/>
          <w:sz w:val="20"/>
          <w:szCs w:val="20"/>
        </w:rPr>
        <w:t>s</w:t>
      </w:r>
      <w:r w:rsidRPr="00D51476">
        <w:rPr>
          <w:rFonts w:ascii="Arial" w:hAnsi="Arial" w:cs="Arial"/>
          <w:sz w:val="20"/>
          <w:szCs w:val="20"/>
        </w:rPr>
        <w:t xml:space="preserve">, as there is presently considerable data available for this purpose. Simply increasing the amount of data </w:t>
      </w:r>
      <w:r w:rsidR="00D30450">
        <w:rPr>
          <w:rFonts w:ascii="Arial" w:hAnsi="Arial" w:cs="Arial"/>
          <w:sz w:val="20"/>
          <w:szCs w:val="20"/>
        </w:rPr>
        <w:t xml:space="preserve">that </w:t>
      </w:r>
      <w:r w:rsidRPr="00D51476">
        <w:rPr>
          <w:rFonts w:ascii="Arial" w:hAnsi="Arial" w:cs="Arial"/>
          <w:sz w:val="20"/>
          <w:szCs w:val="20"/>
        </w:rPr>
        <w:t xml:space="preserve">road agencies receive does not equate to better </w:t>
      </w:r>
      <w:r w:rsidR="00D30450">
        <w:rPr>
          <w:rFonts w:ascii="Arial" w:hAnsi="Arial" w:cs="Arial"/>
          <w:sz w:val="20"/>
          <w:szCs w:val="20"/>
        </w:rPr>
        <w:t xml:space="preserve">delivery </w:t>
      </w:r>
      <w:r w:rsidRPr="00D51476">
        <w:rPr>
          <w:rFonts w:ascii="Arial" w:hAnsi="Arial" w:cs="Arial"/>
          <w:sz w:val="20"/>
          <w:szCs w:val="20"/>
        </w:rPr>
        <w:t xml:space="preserve">outcomes.  </w:t>
      </w:r>
    </w:p>
    <w:p w:rsidR="00885599" w:rsidRPr="00D51476" w:rsidRDefault="00885599" w:rsidP="00885599">
      <w:pPr>
        <w:rPr>
          <w:rFonts w:ascii="Arial" w:hAnsi="Arial" w:cs="Arial"/>
          <w:sz w:val="20"/>
          <w:szCs w:val="20"/>
        </w:rPr>
      </w:pPr>
    </w:p>
    <w:p w:rsidR="00885599" w:rsidRPr="00D51476" w:rsidRDefault="00885599" w:rsidP="00885599">
      <w:pPr>
        <w:rPr>
          <w:rFonts w:ascii="Arial" w:hAnsi="Arial" w:cs="Arial"/>
          <w:sz w:val="20"/>
          <w:szCs w:val="20"/>
        </w:rPr>
      </w:pPr>
      <w:r w:rsidRPr="00D51476">
        <w:rPr>
          <w:rFonts w:ascii="Arial" w:hAnsi="Arial" w:cs="Arial"/>
          <w:sz w:val="20"/>
          <w:szCs w:val="20"/>
        </w:rPr>
        <w:t xml:space="preserve">Collecting data is also not a costless process. Hence, tradeoffs </w:t>
      </w:r>
      <w:r w:rsidR="00D30450">
        <w:rPr>
          <w:rFonts w:ascii="Arial" w:hAnsi="Arial" w:cs="Arial"/>
          <w:sz w:val="20"/>
          <w:szCs w:val="20"/>
        </w:rPr>
        <w:t>have to be</w:t>
      </w:r>
      <w:r w:rsidRPr="00D51476">
        <w:rPr>
          <w:rFonts w:ascii="Arial" w:hAnsi="Arial" w:cs="Arial"/>
          <w:sz w:val="20"/>
          <w:szCs w:val="20"/>
        </w:rPr>
        <w:t xml:space="preserve"> made between cost</w:t>
      </w:r>
      <w:r w:rsidR="00D30450">
        <w:rPr>
          <w:rFonts w:ascii="Arial" w:hAnsi="Arial" w:cs="Arial"/>
          <w:sz w:val="20"/>
          <w:szCs w:val="20"/>
        </w:rPr>
        <w:t>, volume</w:t>
      </w:r>
      <w:r w:rsidRPr="00D51476">
        <w:rPr>
          <w:rFonts w:ascii="Arial" w:hAnsi="Arial" w:cs="Arial"/>
          <w:sz w:val="20"/>
          <w:szCs w:val="20"/>
        </w:rPr>
        <w:t xml:space="preserve"> and accuracy of data when formulating policy. </w:t>
      </w:r>
    </w:p>
    <w:p w:rsidR="00885599" w:rsidRPr="00D51476" w:rsidRDefault="00885599" w:rsidP="00885599">
      <w:pPr>
        <w:rPr>
          <w:rFonts w:ascii="Arial" w:hAnsi="Arial" w:cs="Arial"/>
          <w:sz w:val="20"/>
          <w:szCs w:val="20"/>
        </w:rPr>
      </w:pPr>
    </w:p>
    <w:p w:rsidR="00885599" w:rsidRPr="00D51476" w:rsidRDefault="00885599" w:rsidP="00885599">
      <w:pPr>
        <w:rPr>
          <w:rFonts w:ascii="Arial" w:hAnsi="Arial" w:cs="Arial"/>
          <w:sz w:val="20"/>
          <w:szCs w:val="20"/>
        </w:rPr>
      </w:pPr>
      <w:r w:rsidRPr="00D51476">
        <w:rPr>
          <w:rFonts w:ascii="Arial" w:hAnsi="Arial" w:cs="Arial"/>
          <w:sz w:val="20"/>
          <w:szCs w:val="20"/>
        </w:rPr>
        <w:t xml:space="preserve">The two main parameters of road investment are </w:t>
      </w:r>
      <w:r w:rsidR="00DA1411" w:rsidRPr="00DA1411">
        <w:rPr>
          <w:rFonts w:ascii="Arial" w:hAnsi="Arial" w:cs="Arial"/>
          <w:i/>
          <w:sz w:val="20"/>
          <w:szCs w:val="20"/>
        </w:rPr>
        <w:t>durability</w:t>
      </w:r>
      <w:r w:rsidRPr="00D51476">
        <w:rPr>
          <w:rFonts w:ascii="Arial" w:hAnsi="Arial" w:cs="Arial"/>
          <w:sz w:val="20"/>
          <w:szCs w:val="20"/>
        </w:rPr>
        <w:t xml:space="preserve"> and </w:t>
      </w:r>
      <w:r w:rsidR="00DA1411" w:rsidRPr="00DA1411">
        <w:rPr>
          <w:rFonts w:ascii="Arial" w:hAnsi="Arial" w:cs="Arial"/>
          <w:i/>
          <w:sz w:val="20"/>
          <w:szCs w:val="20"/>
        </w:rPr>
        <w:t>capacity</w:t>
      </w:r>
      <w:r w:rsidRPr="00D51476">
        <w:rPr>
          <w:rFonts w:ascii="Arial" w:hAnsi="Arial" w:cs="Arial"/>
          <w:sz w:val="20"/>
          <w:szCs w:val="20"/>
        </w:rPr>
        <w:t>. Generally, durability specifications will be based on anticipated heavy vehicle usage while capacity will be based on demand by light vehicles.</w:t>
      </w:r>
    </w:p>
    <w:p w:rsidR="00885599" w:rsidRPr="00D51476" w:rsidRDefault="00885599" w:rsidP="00885599">
      <w:pPr>
        <w:rPr>
          <w:rFonts w:ascii="Arial" w:hAnsi="Arial" w:cs="Arial"/>
          <w:sz w:val="20"/>
          <w:szCs w:val="20"/>
        </w:rPr>
      </w:pPr>
    </w:p>
    <w:p w:rsidR="00885599" w:rsidRPr="00D51476" w:rsidRDefault="00885599" w:rsidP="00885599">
      <w:pPr>
        <w:rPr>
          <w:rFonts w:ascii="Arial" w:hAnsi="Arial" w:cs="Arial"/>
          <w:sz w:val="20"/>
          <w:szCs w:val="20"/>
        </w:rPr>
      </w:pPr>
      <w:r w:rsidRPr="00D51476">
        <w:rPr>
          <w:rFonts w:ascii="Arial" w:hAnsi="Arial" w:cs="Arial"/>
          <w:sz w:val="20"/>
          <w:szCs w:val="20"/>
        </w:rPr>
        <w:t>It is obvious to both road users and road asset holders where there are transport issues. Sir Rod Eddington’s report on UK infrastructure noted that</w:t>
      </w:r>
      <w:r w:rsidRPr="00D51476">
        <w:rPr>
          <w:rFonts w:ascii="Arial" w:hAnsi="Arial" w:cs="Arial"/>
          <w:bCs/>
          <w:sz w:val="20"/>
          <w:szCs w:val="20"/>
          <w:vertAlign w:val="superscript"/>
        </w:rPr>
        <w:footnoteReference w:id="7"/>
      </w:r>
      <w:r w:rsidRPr="00D51476">
        <w:rPr>
          <w:rFonts w:ascii="Arial" w:hAnsi="Arial" w:cs="Arial"/>
          <w:bCs/>
          <w:sz w:val="20"/>
          <w:szCs w:val="20"/>
        </w:rPr>
        <w:t>:</w:t>
      </w:r>
    </w:p>
    <w:p w:rsidR="00885599" w:rsidRPr="00D51476" w:rsidRDefault="00885599" w:rsidP="00885599">
      <w:pPr>
        <w:rPr>
          <w:rFonts w:ascii="Arial" w:hAnsi="Arial" w:cs="Arial"/>
          <w:bCs/>
          <w:i/>
          <w:iCs/>
          <w:sz w:val="20"/>
          <w:szCs w:val="20"/>
        </w:rPr>
      </w:pPr>
    </w:p>
    <w:p w:rsidR="00885599" w:rsidRPr="00D30450" w:rsidRDefault="00DA1411" w:rsidP="00F33515">
      <w:pPr>
        <w:ind w:left="720"/>
        <w:rPr>
          <w:rFonts w:ascii="Arial" w:hAnsi="Arial" w:cs="Arial"/>
          <w:bCs/>
          <w:i/>
          <w:iCs/>
          <w:sz w:val="20"/>
          <w:szCs w:val="20"/>
        </w:rPr>
      </w:pPr>
      <w:r w:rsidRPr="00DA1411">
        <w:rPr>
          <w:rFonts w:ascii="Arial" w:hAnsi="Arial" w:cs="Arial"/>
          <w:bCs/>
          <w:i/>
          <w:iCs/>
          <w:sz w:val="20"/>
          <w:szCs w:val="20"/>
        </w:rPr>
        <w:t>In most cases, the best signals to identify where transport is acting to hold back growth will be the presence of clear signs of economic success (economic growth and very high wages and land prices), and that transport demand is starting to outstrip supply (signs of congestion and unreliability). In areas without such clear signs, it is unlikely that transport is holding back productivity and growth.</w:t>
      </w:r>
    </w:p>
    <w:p w:rsidR="00885599" w:rsidRPr="00D51476" w:rsidRDefault="00885599" w:rsidP="00885599">
      <w:pPr>
        <w:rPr>
          <w:rFonts w:ascii="Arial" w:hAnsi="Arial" w:cs="Arial"/>
          <w:b/>
          <w:bCs/>
          <w:i/>
          <w:iCs/>
          <w:sz w:val="20"/>
          <w:szCs w:val="20"/>
        </w:rPr>
      </w:pPr>
    </w:p>
    <w:p w:rsidR="00885599" w:rsidRPr="00D51476" w:rsidRDefault="00885599" w:rsidP="00885599">
      <w:pPr>
        <w:rPr>
          <w:rFonts w:ascii="Arial" w:hAnsi="Arial" w:cs="Arial"/>
          <w:bCs/>
          <w:sz w:val="20"/>
          <w:szCs w:val="20"/>
        </w:rPr>
      </w:pPr>
      <w:r w:rsidRPr="00D51476">
        <w:rPr>
          <w:rFonts w:ascii="Arial" w:hAnsi="Arial" w:cs="Arial"/>
          <w:bCs/>
          <w:sz w:val="20"/>
          <w:szCs w:val="20"/>
        </w:rPr>
        <w:t xml:space="preserve">There is a great deal of data available for heavy vehicle usage. The main sources are: </w:t>
      </w:r>
    </w:p>
    <w:p w:rsidR="00885599" w:rsidRPr="00D51476" w:rsidRDefault="00885599" w:rsidP="00885599">
      <w:pPr>
        <w:rPr>
          <w:rFonts w:ascii="Arial" w:hAnsi="Arial" w:cs="Arial"/>
          <w:b/>
          <w:bCs/>
          <w:sz w:val="20"/>
          <w:szCs w:val="20"/>
        </w:rPr>
      </w:pPr>
    </w:p>
    <w:p w:rsidR="006F07EE" w:rsidRDefault="00885599" w:rsidP="00793431">
      <w:pPr>
        <w:pStyle w:val="ListParagraph"/>
        <w:numPr>
          <w:ilvl w:val="0"/>
          <w:numId w:val="7"/>
        </w:numPr>
        <w:rPr>
          <w:rFonts w:ascii="Arial" w:hAnsi="Arial" w:cs="Arial"/>
          <w:sz w:val="20"/>
          <w:szCs w:val="20"/>
        </w:rPr>
      </w:pPr>
      <w:r w:rsidRPr="006F07EE">
        <w:rPr>
          <w:rFonts w:ascii="Arial" w:hAnsi="Arial" w:cs="Arial"/>
          <w:sz w:val="20"/>
          <w:szCs w:val="20"/>
        </w:rPr>
        <w:t xml:space="preserve">State and territory </w:t>
      </w:r>
      <w:proofErr w:type="spellStart"/>
      <w:r w:rsidRPr="006F07EE">
        <w:rPr>
          <w:rFonts w:ascii="Arial" w:hAnsi="Arial" w:cs="Arial"/>
          <w:sz w:val="20"/>
          <w:szCs w:val="20"/>
        </w:rPr>
        <w:t>CULWAY</w:t>
      </w:r>
      <w:proofErr w:type="spellEnd"/>
      <w:r w:rsidRPr="006F07EE">
        <w:rPr>
          <w:rFonts w:ascii="Arial" w:hAnsi="Arial" w:cs="Arial"/>
          <w:sz w:val="20"/>
          <w:szCs w:val="20"/>
        </w:rPr>
        <w:t>/</w:t>
      </w:r>
      <w:proofErr w:type="spellStart"/>
      <w:r w:rsidRPr="006F07EE">
        <w:rPr>
          <w:rFonts w:ascii="Arial" w:hAnsi="Arial" w:cs="Arial"/>
          <w:sz w:val="20"/>
          <w:szCs w:val="20"/>
        </w:rPr>
        <w:t>WIM</w:t>
      </w:r>
      <w:proofErr w:type="spellEnd"/>
      <w:r w:rsidRPr="006F07EE">
        <w:rPr>
          <w:rFonts w:ascii="Arial" w:hAnsi="Arial" w:cs="Arial"/>
          <w:sz w:val="20"/>
          <w:szCs w:val="20"/>
        </w:rPr>
        <w:t xml:space="preserve"> (weigh-in-motion) data;</w:t>
      </w:r>
    </w:p>
    <w:p w:rsidR="006F07EE" w:rsidRDefault="00885599" w:rsidP="00793431">
      <w:pPr>
        <w:pStyle w:val="ListParagraph"/>
        <w:numPr>
          <w:ilvl w:val="0"/>
          <w:numId w:val="7"/>
        </w:numPr>
        <w:rPr>
          <w:rFonts w:ascii="Arial" w:hAnsi="Arial" w:cs="Arial"/>
          <w:sz w:val="20"/>
          <w:szCs w:val="20"/>
        </w:rPr>
      </w:pPr>
      <w:proofErr w:type="spellStart"/>
      <w:r w:rsidRPr="006F07EE">
        <w:rPr>
          <w:rFonts w:ascii="Arial" w:hAnsi="Arial" w:cs="Arial"/>
          <w:sz w:val="20"/>
          <w:szCs w:val="20"/>
        </w:rPr>
        <w:t>FDF</w:t>
      </w:r>
      <w:proofErr w:type="spellEnd"/>
      <w:r w:rsidRPr="006F07EE">
        <w:rPr>
          <w:rFonts w:ascii="Arial" w:hAnsi="Arial" w:cs="Arial"/>
          <w:sz w:val="20"/>
          <w:szCs w:val="20"/>
        </w:rPr>
        <w:t xml:space="preserve"> </w:t>
      </w:r>
      <w:proofErr w:type="spellStart"/>
      <w:r w:rsidRPr="006F07EE">
        <w:rPr>
          <w:rFonts w:ascii="Arial" w:hAnsi="Arial" w:cs="Arial"/>
          <w:sz w:val="20"/>
          <w:szCs w:val="20"/>
        </w:rPr>
        <w:t>FreightInfo</w:t>
      </w:r>
      <w:proofErr w:type="spellEnd"/>
      <w:r w:rsidRPr="006F07EE">
        <w:rPr>
          <w:rFonts w:ascii="Arial" w:hAnsi="Arial" w:cs="Arial"/>
          <w:sz w:val="20"/>
          <w:szCs w:val="20"/>
        </w:rPr>
        <w:t xml:space="preserve"> inter</w:t>
      </w:r>
      <w:r w:rsidR="00D30450">
        <w:rPr>
          <w:rFonts w:ascii="Arial" w:hAnsi="Arial" w:cs="Arial"/>
          <w:sz w:val="20"/>
          <w:szCs w:val="20"/>
        </w:rPr>
        <w:t>-</w:t>
      </w:r>
      <w:r w:rsidRPr="006F07EE">
        <w:rPr>
          <w:rFonts w:ascii="Arial" w:hAnsi="Arial" w:cs="Arial"/>
          <w:sz w:val="20"/>
          <w:szCs w:val="20"/>
        </w:rPr>
        <w:t>regional freight movements database;</w:t>
      </w:r>
    </w:p>
    <w:p w:rsidR="006F07EE" w:rsidRDefault="00885599" w:rsidP="00793431">
      <w:pPr>
        <w:pStyle w:val="ListParagraph"/>
        <w:numPr>
          <w:ilvl w:val="0"/>
          <w:numId w:val="7"/>
        </w:numPr>
        <w:rPr>
          <w:rFonts w:ascii="Arial" w:hAnsi="Arial" w:cs="Arial"/>
          <w:sz w:val="20"/>
          <w:szCs w:val="20"/>
        </w:rPr>
      </w:pPr>
      <w:r w:rsidRPr="006F07EE">
        <w:rPr>
          <w:rFonts w:ascii="Arial" w:hAnsi="Arial" w:cs="Arial"/>
          <w:sz w:val="20"/>
          <w:szCs w:val="20"/>
        </w:rPr>
        <w:t xml:space="preserve">ABS Survey of </w:t>
      </w:r>
      <w:r w:rsidR="00D30450" w:rsidRPr="006F07EE">
        <w:rPr>
          <w:rFonts w:ascii="Arial" w:hAnsi="Arial" w:cs="Arial"/>
          <w:sz w:val="20"/>
          <w:szCs w:val="20"/>
        </w:rPr>
        <w:t xml:space="preserve">Motor Vehicle Use </w:t>
      </w:r>
      <w:r w:rsidRPr="006F07EE">
        <w:rPr>
          <w:rFonts w:ascii="Arial" w:hAnsi="Arial" w:cs="Arial"/>
          <w:sz w:val="20"/>
          <w:szCs w:val="20"/>
        </w:rPr>
        <w:t>(SMVU); and</w:t>
      </w:r>
    </w:p>
    <w:p w:rsidR="00617F3D" w:rsidRDefault="00885599" w:rsidP="00885599">
      <w:pPr>
        <w:pStyle w:val="ListParagraph"/>
        <w:numPr>
          <w:ilvl w:val="0"/>
          <w:numId w:val="7"/>
        </w:numPr>
        <w:rPr>
          <w:rFonts w:ascii="Arial" w:hAnsi="Arial" w:cs="Arial"/>
          <w:sz w:val="20"/>
          <w:szCs w:val="20"/>
        </w:rPr>
      </w:pPr>
      <w:r w:rsidRPr="006F07EE">
        <w:rPr>
          <w:rFonts w:ascii="Arial" w:hAnsi="Arial" w:cs="Arial"/>
          <w:sz w:val="20"/>
          <w:szCs w:val="20"/>
        </w:rPr>
        <w:t>State and territory commercial vehicle traffic counts.</w:t>
      </w:r>
      <w:r w:rsidRPr="00D51476">
        <w:rPr>
          <w:vertAlign w:val="superscript"/>
        </w:rPr>
        <w:footnoteReference w:id="8"/>
      </w:r>
    </w:p>
    <w:p w:rsidR="0022780C" w:rsidRPr="0022780C" w:rsidRDefault="0022780C" w:rsidP="0022780C">
      <w:pPr>
        <w:ind w:left="360"/>
        <w:rPr>
          <w:rFonts w:ascii="Arial" w:hAnsi="Arial" w:cs="Arial"/>
          <w:sz w:val="20"/>
          <w:szCs w:val="20"/>
        </w:rPr>
      </w:pPr>
    </w:p>
    <w:p w:rsidR="00885599" w:rsidRDefault="00885599" w:rsidP="00885599">
      <w:pPr>
        <w:rPr>
          <w:rFonts w:ascii="Arial" w:hAnsi="Arial" w:cs="Arial"/>
          <w:sz w:val="20"/>
          <w:szCs w:val="20"/>
        </w:rPr>
      </w:pPr>
      <w:r w:rsidRPr="00D51476">
        <w:rPr>
          <w:rFonts w:ascii="Arial" w:hAnsi="Arial" w:cs="Arial"/>
          <w:sz w:val="20"/>
          <w:szCs w:val="20"/>
        </w:rPr>
        <w:t xml:space="preserve">Where a particular data source has shortcomings, these can often be overcome by using observed patterns from other data sources or </w:t>
      </w:r>
      <w:r w:rsidR="00D30450">
        <w:rPr>
          <w:rFonts w:ascii="Arial" w:hAnsi="Arial" w:cs="Arial"/>
          <w:sz w:val="20"/>
          <w:szCs w:val="20"/>
        </w:rPr>
        <w:t>via</w:t>
      </w:r>
      <w:r w:rsidR="00D30450" w:rsidRPr="00D51476">
        <w:rPr>
          <w:rFonts w:ascii="Arial" w:hAnsi="Arial" w:cs="Arial"/>
          <w:sz w:val="20"/>
          <w:szCs w:val="20"/>
        </w:rPr>
        <w:t xml:space="preserve"> </w:t>
      </w:r>
      <w:r w:rsidRPr="00D51476">
        <w:rPr>
          <w:rFonts w:ascii="Arial" w:hAnsi="Arial" w:cs="Arial"/>
          <w:sz w:val="20"/>
          <w:szCs w:val="20"/>
        </w:rPr>
        <w:t>‘informed estimates’. For instance, BITRE notes that:</w:t>
      </w:r>
    </w:p>
    <w:p w:rsidR="00D30450" w:rsidRPr="00D51476" w:rsidRDefault="00D30450" w:rsidP="00885599">
      <w:pPr>
        <w:rPr>
          <w:rFonts w:ascii="Arial" w:hAnsi="Arial" w:cs="Arial"/>
          <w:sz w:val="20"/>
          <w:szCs w:val="20"/>
        </w:rPr>
      </w:pPr>
    </w:p>
    <w:p w:rsidR="009224A9" w:rsidRPr="00D30450" w:rsidRDefault="00DA1411">
      <w:pPr>
        <w:ind w:left="720"/>
        <w:rPr>
          <w:rFonts w:ascii="Arial" w:hAnsi="Arial" w:cs="Arial"/>
          <w:i/>
          <w:sz w:val="20"/>
          <w:szCs w:val="20"/>
        </w:rPr>
      </w:pPr>
      <w:r w:rsidRPr="00DA1411">
        <w:rPr>
          <w:rFonts w:ascii="Arial" w:hAnsi="Arial" w:cs="Arial"/>
          <w:i/>
          <w:sz w:val="20"/>
          <w:szCs w:val="20"/>
        </w:rPr>
        <w:lastRenderedPageBreak/>
        <w:t>…some data (SA and NT) include estimates of the net freight task, others (NSW) the net freight task needs to be estimated by multiplying the difference between the average gross vehicle weight and the estimated average tare weight, for each Austroads vehicle</w:t>
      </w:r>
      <w:r w:rsidR="00885599" w:rsidRPr="00D30450">
        <w:rPr>
          <w:rFonts w:ascii="Arial" w:hAnsi="Arial" w:cs="Arial"/>
          <w:i/>
          <w:sz w:val="20"/>
          <w:szCs w:val="20"/>
        </w:rPr>
        <w:t xml:space="preserve"> </w:t>
      </w:r>
      <w:r w:rsidRPr="00DA1411">
        <w:rPr>
          <w:rFonts w:ascii="Arial" w:hAnsi="Arial" w:cs="Arial"/>
          <w:i/>
          <w:sz w:val="20"/>
          <w:szCs w:val="20"/>
        </w:rPr>
        <w:t>class, by the total number of vehicles in each class, and summing over all vehicles classes.</w:t>
      </w:r>
    </w:p>
    <w:p w:rsidR="00CC3ECF" w:rsidRDefault="00CC3ECF" w:rsidP="00885599">
      <w:pPr>
        <w:rPr>
          <w:rFonts w:ascii="Arial" w:hAnsi="Arial" w:cs="Arial"/>
          <w:sz w:val="20"/>
          <w:szCs w:val="20"/>
        </w:rPr>
      </w:pPr>
    </w:p>
    <w:p w:rsidR="00885599" w:rsidRPr="00D51476" w:rsidRDefault="00885599" w:rsidP="00885599">
      <w:pPr>
        <w:rPr>
          <w:rFonts w:ascii="Arial" w:hAnsi="Arial" w:cs="Arial"/>
          <w:sz w:val="20"/>
          <w:szCs w:val="20"/>
        </w:rPr>
      </w:pPr>
      <w:r w:rsidRPr="00D51476">
        <w:rPr>
          <w:rFonts w:ascii="Arial" w:hAnsi="Arial" w:cs="Arial"/>
          <w:sz w:val="20"/>
          <w:szCs w:val="20"/>
        </w:rPr>
        <w:t xml:space="preserve">Overall, the </w:t>
      </w:r>
      <w:r w:rsidR="00D30450">
        <w:rPr>
          <w:rFonts w:ascii="Arial" w:hAnsi="Arial" w:cs="Arial"/>
          <w:sz w:val="20"/>
          <w:szCs w:val="20"/>
        </w:rPr>
        <w:t>Weigh-in-Motion (</w:t>
      </w:r>
      <w:proofErr w:type="spellStart"/>
      <w:r w:rsidRPr="00D51476">
        <w:rPr>
          <w:rFonts w:ascii="Arial" w:hAnsi="Arial" w:cs="Arial"/>
          <w:sz w:val="20"/>
          <w:szCs w:val="20"/>
        </w:rPr>
        <w:t>WIM</w:t>
      </w:r>
      <w:proofErr w:type="spellEnd"/>
      <w:r w:rsidR="00D30450">
        <w:rPr>
          <w:rFonts w:ascii="Arial" w:hAnsi="Arial" w:cs="Arial"/>
          <w:sz w:val="20"/>
          <w:szCs w:val="20"/>
        </w:rPr>
        <w:t>)</w:t>
      </w:r>
      <w:r w:rsidRPr="00D51476">
        <w:rPr>
          <w:rFonts w:ascii="Arial" w:hAnsi="Arial" w:cs="Arial"/>
          <w:sz w:val="20"/>
          <w:szCs w:val="20"/>
        </w:rPr>
        <w:t xml:space="preserve"> data provided by various state authorities provides an accurate </w:t>
      </w:r>
      <w:r w:rsidR="00D30450">
        <w:rPr>
          <w:rFonts w:ascii="Arial" w:hAnsi="Arial" w:cs="Arial"/>
          <w:sz w:val="20"/>
          <w:szCs w:val="20"/>
        </w:rPr>
        <w:t xml:space="preserve">real-world </w:t>
      </w:r>
      <w:r w:rsidRPr="00D51476">
        <w:rPr>
          <w:rFonts w:ascii="Arial" w:hAnsi="Arial" w:cs="Arial"/>
          <w:sz w:val="20"/>
          <w:szCs w:val="20"/>
        </w:rPr>
        <w:t xml:space="preserve">picture of road freight flows between capital cities, with the exception of the Sydney-Canberra route. </w:t>
      </w:r>
    </w:p>
    <w:p w:rsidR="00885599" w:rsidRPr="00D51476" w:rsidRDefault="00885599" w:rsidP="00885599">
      <w:pPr>
        <w:rPr>
          <w:rFonts w:ascii="Arial" w:hAnsi="Arial" w:cs="Arial"/>
          <w:sz w:val="20"/>
          <w:szCs w:val="20"/>
        </w:rPr>
      </w:pPr>
    </w:p>
    <w:p w:rsidR="00885599" w:rsidRDefault="00885599" w:rsidP="00885599">
      <w:pPr>
        <w:rPr>
          <w:rFonts w:ascii="Arial" w:hAnsi="Arial" w:cs="Arial"/>
          <w:sz w:val="20"/>
          <w:szCs w:val="20"/>
        </w:rPr>
      </w:pPr>
      <w:r w:rsidRPr="00D51476">
        <w:rPr>
          <w:rFonts w:ascii="Arial" w:hAnsi="Arial" w:cs="Arial"/>
          <w:sz w:val="20"/>
          <w:szCs w:val="20"/>
        </w:rPr>
        <w:t>The Transport and Infrastructure Senior Officials' Committee</w:t>
      </w:r>
      <w:r w:rsidR="00444F82">
        <w:rPr>
          <w:rFonts w:ascii="Arial" w:hAnsi="Arial" w:cs="Arial"/>
          <w:sz w:val="20"/>
          <w:szCs w:val="20"/>
        </w:rPr>
        <w:t xml:space="preserve"> </w:t>
      </w:r>
      <w:r w:rsidRPr="00D51476">
        <w:rPr>
          <w:rFonts w:ascii="Arial" w:hAnsi="Arial" w:cs="Arial"/>
          <w:sz w:val="20"/>
          <w:szCs w:val="20"/>
        </w:rPr>
        <w:t xml:space="preserve">(TISOC) recently approved an expansion of the ABS SMVU to double the number of heavy vehicles surveyed and to have </w:t>
      </w:r>
      <w:r w:rsidR="00444F82">
        <w:rPr>
          <w:rFonts w:ascii="Arial" w:hAnsi="Arial" w:cs="Arial"/>
          <w:sz w:val="20"/>
          <w:szCs w:val="20"/>
        </w:rPr>
        <w:t xml:space="preserve">an </w:t>
      </w:r>
      <w:r w:rsidRPr="00D51476">
        <w:rPr>
          <w:rFonts w:ascii="Arial" w:hAnsi="Arial" w:cs="Arial"/>
          <w:sz w:val="20"/>
          <w:szCs w:val="20"/>
        </w:rPr>
        <w:t xml:space="preserve">additional focus on freight movements. </w:t>
      </w:r>
      <w:r w:rsidR="00CC3ECF">
        <w:rPr>
          <w:rFonts w:ascii="Arial" w:hAnsi="Arial" w:cs="Arial"/>
          <w:sz w:val="20"/>
          <w:szCs w:val="20"/>
        </w:rPr>
        <w:t xml:space="preserve"> In addition, </w:t>
      </w:r>
      <w:r w:rsidR="003613EE">
        <w:rPr>
          <w:rFonts w:ascii="Arial" w:hAnsi="Arial" w:cs="Arial"/>
          <w:sz w:val="20"/>
          <w:szCs w:val="20"/>
        </w:rPr>
        <w:t>industry now has</w:t>
      </w:r>
      <w:r w:rsidR="00CC3ECF">
        <w:rPr>
          <w:rFonts w:ascii="Arial" w:hAnsi="Arial" w:cs="Arial"/>
          <w:sz w:val="20"/>
          <w:szCs w:val="20"/>
        </w:rPr>
        <w:t xml:space="preserve"> the capacity to gather </w:t>
      </w:r>
      <w:r w:rsidR="00444F82">
        <w:rPr>
          <w:rFonts w:ascii="Arial" w:hAnsi="Arial" w:cs="Arial"/>
          <w:sz w:val="20"/>
          <w:szCs w:val="20"/>
        </w:rPr>
        <w:t xml:space="preserve">statistics on </w:t>
      </w:r>
      <w:r w:rsidR="00CC3ECF">
        <w:rPr>
          <w:rFonts w:ascii="Arial" w:hAnsi="Arial" w:cs="Arial"/>
          <w:sz w:val="20"/>
          <w:szCs w:val="20"/>
        </w:rPr>
        <w:t>demand from NHVR records of failed access requests and attendant statement</w:t>
      </w:r>
      <w:r w:rsidR="00444F82">
        <w:rPr>
          <w:rFonts w:ascii="Arial" w:hAnsi="Arial" w:cs="Arial"/>
          <w:sz w:val="20"/>
          <w:szCs w:val="20"/>
        </w:rPr>
        <w:t>s</w:t>
      </w:r>
      <w:r w:rsidR="00CC3ECF">
        <w:rPr>
          <w:rFonts w:ascii="Arial" w:hAnsi="Arial" w:cs="Arial"/>
          <w:sz w:val="20"/>
          <w:szCs w:val="20"/>
        </w:rPr>
        <w:t xml:space="preserve"> of reasons.</w:t>
      </w:r>
      <w:r w:rsidRPr="00D51476">
        <w:rPr>
          <w:rFonts w:ascii="Arial" w:hAnsi="Arial" w:cs="Arial"/>
          <w:sz w:val="20"/>
          <w:szCs w:val="20"/>
        </w:rPr>
        <w:t xml:space="preserve"> </w:t>
      </w:r>
    </w:p>
    <w:p w:rsidR="00FD0BD8" w:rsidRDefault="00FD0BD8" w:rsidP="00885599">
      <w:pPr>
        <w:rPr>
          <w:rFonts w:ascii="Arial" w:hAnsi="Arial" w:cs="Arial"/>
          <w:sz w:val="20"/>
          <w:szCs w:val="20"/>
        </w:rPr>
      </w:pPr>
    </w:p>
    <w:p w:rsidR="00FD0BD8" w:rsidRDefault="00FD0BD8" w:rsidP="00885599">
      <w:pPr>
        <w:rPr>
          <w:rFonts w:ascii="Arial" w:hAnsi="Arial" w:cs="Arial"/>
          <w:sz w:val="20"/>
          <w:szCs w:val="20"/>
        </w:rPr>
      </w:pPr>
      <w:r>
        <w:rPr>
          <w:rFonts w:ascii="Arial" w:hAnsi="Arial" w:cs="Arial"/>
          <w:sz w:val="20"/>
          <w:szCs w:val="20"/>
        </w:rPr>
        <w:t xml:space="preserve">There is </w:t>
      </w:r>
      <w:r w:rsidR="002E114D">
        <w:rPr>
          <w:rFonts w:ascii="Arial" w:hAnsi="Arial" w:cs="Arial"/>
          <w:sz w:val="20"/>
          <w:szCs w:val="20"/>
        </w:rPr>
        <w:t>little</w:t>
      </w:r>
      <w:r>
        <w:rPr>
          <w:rFonts w:ascii="Arial" w:hAnsi="Arial" w:cs="Arial"/>
          <w:sz w:val="20"/>
          <w:szCs w:val="20"/>
        </w:rPr>
        <w:t xml:space="preserve"> evidence to suggest that more data being provided to road agencies and local government will lead to better </w:t>
      </w:r>
      <w:proofErr w:type="spellStart"/>
      <w:r w:rsidR="00444F82">
        <w:rPr>
          <w:rFonts w:ascii="Arial" w:hAnsi="Arial" w:cs="Arial"/>
          <w:sz w:val="20"/>
          <w:szCs w:val="20"/>
        </w:rPr>
        <w:t>devliery</w:t>
      </w:r>
      <w:proofErr w:type="spellEnd"/>
      <w:r w:rsidR="00444F82">
        <w:rPr>
          <w:rFonts w:ascii="Arial" w:hAnsi="Arial" w:cs="Arial"/>
          <w:sz w:val="20"/>
          <w:szCs w:val="20"/>
        </w:rPr>
        <w:t xml:space="preserve"> </w:t>
      </w:r>
      <w:r>
        <w:rPr>
          <w:rFonts w:ascii="Arial" w:hAnsi="Arial" w:cs="Arial"/>
          <w:sz w:val="20"/>
          <w:szCs w:val="20"/>
        </w:rPr>
        <w:t xml:space="preserve">outcomes. </w:t>
      </w:r>
      <w:r w:rsidR="0021114E">
        <w:rPr>
          <w:rFonts w:ascii="Arial" w:hAnsi="Arial" w:cs="Arial"/>
          <w:sz w:val="20"/>
          <w:szCs w:val="20"/>
        </w:rPr>
        <w:t>As we demonstrate, it appears the governance of road agencies is the</w:t>
      </w:r>
      <w:r w:rsidR="00444F82">
        <w:rPr>
          <w:rFonts w:ascii="Arial" w:hAnsi="Arial" w:cs="Arial"/>
          <w:sz w:val="20"/>
          <w:szCs w:val="20"/>
        </w:rPr>
        <w:t xml:space="preserve"> single</w:t>
      </w:r>
      <w:r w:rsidR="0021114E">
        <w:rPr>
          <w:rFonts w:ascii="Arial" w:hAnsi="Arial" w:cs="Arial"/>
          <w:sz w:val="20"/>
          <w:szCs w:val="20"/>
        </w:rPr>
        <w:t xml:space="preserve"> largest issue </w:t>
      </w:r>
      <w:r w:rsidR="00444F82">
        <w:rPr>
          <w:rFonts w:ascii="Arial" w:hAnsi="Arial" w:cs="Arial"/>
          <w:sz w:val="20"/>
          <w:szCs w:val="20"/>
        </w:rPr>
        <w:t xml:space="preserve">as to </w:t>
      </w:r>
      <w:r w:rsidR="0021114E">
        <w:rPr>
          <w:rFonts w:ascii="Arial" w:hAnsi="Arial" w:cs="Arial"/>
          <w:sz w:val="20"/>
          <w:szCs w:val="20"/>
        </w:rPr>
        <w:t xml:space="preserve">why the right decisions are not </w:t>
      </w:r>
      <w:r w:rsidR="00444F82">
        <w:rPr>
          <w:rFonts w:ascii="Arial" w:hAnsi="Arial" w:cs="Arial"/>
          <w:sz w:val="20"/>
          <w:szCs w:val="20"/>
        </w:rPr>
        <w:t xml:space="preserve">being </w:t>
      </w:r>
      <w:r w:rsidR="0021114E">
        <w:rPr>
          <w:rFonts w:ascii="Arial" w:hAnsi="Arial" w:cs="Arial"/>
          <w:sz w:val="20"/>
          <w:szCs w:val="20"/>
        </w:rPr>
        <w:t>made</w:t>
      </w:r>
      <w:r w:rsidR="00444F82">
        <w:rPr>
          <w:rFonts w:ascii="Arial" w:hAnsi="Arial" w:cs="Arial"/>
          <w:sz w:val="20"/>
          <w:szCs w:val="20"/>
        </w:rPr>
        <w:t xml:space="preserve"> and </w:t>
      </w:r>
      <w:r w:rsidR="0021114E">
        <w:rPr>
          <w:rFonts w:ascii="Arial" w:hAnsi="Arial" w:cs="Arial"/>
          <w:sz w:val="20"/>
          <w:szCs w:val="20"/>
        </w:rPr>
        <w:t xml:space="preserve">not </w:t>
      </w:r>
      <w:r w:rsidR="00444F82">
        <w:rPr>
          <w:rFonts w:ascii="Arial" w:hAnsi="Arial" w:cs="Arial"/>
          <w:sz w:val="20"/>
          <w:szCs w:val="20"/>
        </w:rPr>
        <w:t xml:space="preserve">a </w:t>
      </w:r>
      <w:r w:rsidR="0021114E">
        <w:rPr>
          <w:rFonts w:ascii="Arial" w:hAnsi="Arial" w:cs="Arial"/>
          <w:sz w:val="20"/>
          <w:szCs w:val="20"/>
        </w:rPr>
        <w:t xml:space="preserve">lack of data. </w:t>
      </w:r>
    </w:p>
    <w:p w:rsidR="00885599" w:rsidRPr="00D51476" w:rsidRDefault="00885599" w:rsidP="00885599">
      <w:pPr>
        <w:rPr>
          <w:rFonts w:ascii="Arial" w:hAnsi="Arial" w:cs="Arial"/>
          <w:sz w:val="20"/>
          <w:szCs w:val="20"/>
        </w:rPr>
      </w:pPr>
    </w:p>
    <w:p w:rsidR="00885599" w:rsidRPr="00D51476" w:rsidRDefault="00885599" w:rsidP="00885599">
      <w:pPr>
        <w:rPr>
          <w:rFonts w:ascii="Arial" w:hAnsi="Arial" w:cs="Arial"/>
          <w:sz w:val="20"/>
          <w:szCs w:val="20"/>
        </w:rPr>
      </w:pPr>
      <w:r w:rsidRPr="00D51476">
        <w:rPr>
          <w:rFonts w:ascii="Arial" w:hAnsi="Arial" w:cs="Arial"/>
          <w:sz w:val="20"/>
          <w:szCs w:val="20"/>
        </w:rPr>
        <w:t xml:space="preserve">Hence, data sought from direct user charges is already being provided through </w:t>
      </w:r>
      <w:r w:rsidR="00444F82">
        <w:rPr>
          <w:rFonts w:ascii="Arial" w:hAnsi="Arial" w:cs="Arial"/>
          <w:sz w:val="20"/>
          <w:szCs w:val="20"/>
        </w:rPr>
        <w:t>less costly</w:t>
      </w:r>
      <w:r w:rsidR="00444F82" w:rsidRPr="00D51476">
        <w:rPr>
          <w:rFonts w:ascii="Arial" w:hAnsi="Arial" w:cs="Arial"/>
          <w:sz w:val="20"/>
          <w:szCs w:val="20"/>
        </w:rPr>
        <w:t xml:space="preserve"> </w:t>
      </w:r>
      <w:r w:rsidRPr="00D51476">
        <w:rPr>
          <w:rFonts w:ascii="Arial" w:hAnsi="Arial" w:cs="Arial"/>
          <w:sz w:val="20"/>
          <w:szCs w:val="20"/>
        </w:rPr>
        <w:t xml:space="preserve">methods than direct monitoring of road users. </w:t>
      </w:r>
    </w:p>
    <w:p w:rsidR="00AD3FCE" w:rsidRPr="00D51476" w:rsidRDefault="00AD3FCE" w:rsidP="00885599">
      <w:pPr>
        <w:rPr>
          <w:rFonts w:ascii="Arial" w:hAnsi="Arial" w:cs="Arial"/>
          <w:sz w:val="20"/>
          <w:szCs w:val="20"/>
        </w:rPr>
      </w:pPr>
    </w:p>
    <w:p w:rsidR="00124FCD" w:rsidRDefault="00AD3FCE" w:rsidP="004C7F70">
      <w:pPr>
        <w:rPr>
          <w:rFonts w:ascii="Arial" w:hAnsi="Arial" w:cs="Arial"/>
          <w:sz w:val="20"/>
          <w:szCs w:val="20"/>
        </w:rPr>
      </w:pPr>
      <w:r w:rsidRPr="00D51476">
        <w:rPr>
          <w:rFonts w:ascii="Arial" w:hAnsi="Arial" w:cs="Arial"/>
          <w:sz w:val="20"/>
          <w:szCs w:val="20"/>
        </w:rPr>
        <w:t xml:space="preserve">This data could also feed into the distribution of funds to states and local governments based on </w:t>
      </w:r>
      <w:r w:rsidR="00CC0866">
        <w:rPr>
          <w:rFonts w:ascii="Arial" w:hAnsi="Arial" w:cs="Arial"/>
          <w:sz w:val="20"/>
          <w:szCs w:val="20"/>
        </w:rPr>
        <w:t>T</w:t>
      </w:r>
      <w:r w:rsidRPr="00D51476">
        <w:rPr>
          <w:rFonts w:ascii="Arial" w:hAnsi="Arial" w:cs="Arial"/>
          <w:sz w:val="20"/>
          <w:szCs w:val="20"/>
        </w:rPr>
        <w:t>ier 1-3 spending</w:t>
      </w:r>
      <w:r w:rsidR="00053E31" w:rsidRPr="00D51476">
        <w:rPr>
          <w:rFonts w:ascii="Arial" w:hAnsi="Arial" w:cs="Arial"/>
          <w:sz w:val="20"/>
          <w:szCs w:val="20"/>
        </w:rPr>
        <w:t xml:space="preserve"> and access</w:t>
      </w:r>
      <w:r w:rsidRPr="00D51476">
        <w:rPr>
          <w:rFonts w:ascii="Arial" w:hAnsi="Arial" w:cs="Arial"/>
          <w:sz w:val="20"/>
          <w:szCs w:val="20"/>
        </w:rPr>
        <w:t xml:space="preserve"> expectations. </w:t>
      </w:r>
      <w:bookmarkStart w:id="203" w:name="_Toc361217293"/>
      <w:bookmarkStart w:id="204" w:name="_Toc361217666"/>
      <w:bookmarkStart w:id="205" w:name="_Toc361218195"/>
      <w:bookmarkEnd w:id="203"/>
      <w:bookmarkEnd w:id="204"/>
      <w:bookmarkEnd w:id="205"/>
    </w:p>
    <w:p w:rsidR="00B2764C" w:rsidRDefault="00B2764C" w:rsidP="004C7F70">
      <w:pPr>
        <w:rPr>
          <w:rFonts w:ascii="Arial" w:hAnsi="Arial" w:cs="Arial"/>
          <w:sz w:val="20"/>
          <w:szCs w:val="20"/>
        </w:rPr>
      </w:pPr>
      <w:bookmarkStart w:id="206" w:name="_Toc361219549"/>
      <w:bookmarkStart w:id="207" w:name="_Toc361232828"/>
      <w:bookmarkStart w:id="208" w:name="_Toc361302853"/>
      <w:bookmarkStart w:id="209" w:name="_Toc361321212"/>
      <w:bookmarkStart w:id="210" w:name="_Toc361733000"/>
      <w:bookmarkStart w:id="211" w:name="_Toc361736707"/>
      <w:bookmarkStart w:id="212" w:name="_Toc361821356"/>
      <w:bookmarkStart w:id="213" w:name="_Toc361822886"/>
      <w:bookmarkEnd w:id="206"/>
      <w:bookmarkEnd w:id="207"/>
      <w:bookmarkEnd w:id="208"/>
      <w:bookmarkEnd w:id="209"/>
      <w:bookmarkEnd w:id="210"/>
      <w:bookmarkEnd w:id="211"/>
      <w:bookmarkEnd w:id="212"/>
      <w:bookmarkEnd w:id="213"/>
    </w:p>
    <w:p w:rsidR="00510D1B" w:rsidRPr="00D51476" w:rsidRDefault="00617F3D" w:rsidP="004C7F70">
      <w:pPr>
        <w:rPr>
          <w:rFonts w:ascii="Arial" w:hAnsi="Arial" w:cs="Arial"/>
          <w:sz w:val="20"/>
          <w:szCs w:val="20"/>
        </w:rPr>
      </w:pPr>
      <w:r>
        <w:rPr>
          <w:rFonts w:ascii="Arial" w:hAnsi="Arial" w:cs="Arial"/>
          <w:sz w:val="20"/>
          <w:szCs w:val="20"/>
        </w:rPr>
        <w:br w:type="page"/>
      </w:r>
    </w:p>
    <w:p w:rsidR="003E549D" w:rsidRPr="00D51476" w:rsidRDefault="003E549D" w:rsidP="00793431">
      <w:pPr>
        <w:pStyle w:val="Heading1"/>
        <w:numPr>
          <w:ilvl w:val="0"/>
          <w:numId w:val="3"/>
        </w:numPr>
      </w:pPr>
      <w:bookmarkStart w:id="214" w:name="_Toc362528139"/>
      <w:r w:rsidRPr="00D51476">
        <w:lastRenderedPageBreak/>
        <w:t>Heavy Vehicle charges reform</w:t>
      </w:r>
      <w:bookmarkEnd w:id="214"/>
    </w:p>
    <w:p w:rsidR="00F13B96" w:rsidRDefault="00F13B96" w:rsidP="003E549D">
      <w:pPr>
        <w:rPr>
          <w:rFonts w:ascii="Arial" w:hAnsi="Arial" w:cs="Arial"/>
          <w:sz w:val="20"/>
          <w:szCs w:val="20"/>
        </w:rPr>
      </w:pPr>
    </w:p>
    <w:p w:rsidR="00F13B96" w:rsidRDefault="00F13B96" w:rsidP="003E549D">
      <w:pPr>
        <w:rPr>
          <w:rFonts w:ascii="Arial" w:hAnsi="Arial" w:cs="Arial"/>
          <w:sz w:val="20"/>
          <w:szCs w:val="20"/>
        </w:rPr>
      </w:pPr>
      <w:r>
        <w:rPr>
          <w:rFonts w:ascii="Arial" w:hAnsi="Arial" w:cs="Arial"/>
          <w:sz w:val="20"/>
          <w:szCs w:val="20"/>
        </w:rPr>
        <w:t>HVCI ha</w:t>
      </w:r>
      <w:r w:rsidR="004C0C95">
        <w:rPr>
          <w:rFonts w:ascii="Arial" w:hAnsi="Arial" w:cs="Arial"/>
          <w:sz w:val="20"/>
          <w:szCs w:val="20"/>
        </w:rPr>
        <w:t>s</w:t>
      </w:r>
      <w:r>
        <w:rPr>
          <w:rFonts w:ascii="Arial" w:hAnsi="Arial" w:cs="Arial"/>
          <w:sz w:val="20"/>
          <w:szCs w:val="20"/>
        </w:rPr>
        <w:t xml:space="preserve"> assured industry that until supply side reforms are established there will be no changes to the current method of how </w:t>
      </w:r>
      <w:r w:rsidR="004C0C95">
        <w:rPr>
          <w:rFonts w:ascii="Arial" w:hAnsi="Arial" w:cs="Arial"/>
          <w:sz w:val="20"/>
          <w:szCs w:val="20"/>
        </w:rPr>
        <w:t xml:space="preserve">the heavy vehicle </w:t>
      </w:r>
      <w:r>
        <w:rPr>
          <w:rFonts w:ascii="Arial" w:hAnsi="Arial" w:cs="Arial"/>
          <w:sz w:val="20"/>
          <w:szCs w:val="20"/>
        </w:rPr>
        <w:t xml:space="preserve">industry pays for its road use. </w:t>
      </w:r>
    </w:p>
    <w:p w:rsidR="00F13B96" w:rsidRDefault="00F13B96" w:rsidP="003E549D">
      <w:pPr>
        <w:rPr>
          <w:rFonts w:ascii="Arial" w:hAnsi="Arial" w:cs="Arial"/>
          <w:sz w:val="20"/>
          <w:szCs w:val="20"/>
        </w:rPr>
      </w:pPr>
    </w:p>
    <w:p w:rsidR="003E549D" w:rsidRDefault="00F13B96" w:rsidP="003E549D">
      <w:pPr>
        <w:rPr>
          <w:rFonts w:ascii="Arial" w:hAnsi="Arial" w:cs="Arial"/>
          <w:sz w:val="20"/>
          <w:szCs w:val="20"/>
        </w:rPr>
      </w:pPr>
      <w:r>
        <w:rPr>
          <w:rFonts w:ascii="Arial" w:hAnsi="Arial" w:cs="Arial"/>
          <w:sz w:val="20"/>
          <w:szCs w:val="20"/>
        </w:rPr>
        <w:t>As stated above, while HVCI focus</w:t>
      </w:r>
      <w:r w:rsidR="004C0C95">
        <w:rPr>
          <w:rFonts w:ascii="Arial" w:hAnsi="Arial" w:cs="Arial"/>
          <w:sz w:val="20"/>
          <w:szCs w:val="20"/>
        </w:rPr>
        <w:t>es</w:t>
      </w:r>
      <w:r>
        <w:rPr>
          <w:rFonts w:ascii="Arial" w:hAnsi="Arial" w:cs="Arial"/>
          <w:sz w:val="20"/>
          <w:szCs w:val="20"/>
        </w:rPr>
        <w:t xml:space="preserve"> on longer</w:t>
      </w:r>
      <w:r w:rsidR="004C0C95">
        <w:rPr>
          <w:rFonts w:ascii="Arial" w:hAnsi="Arial" w:cs="Arial"/>
          <w:sz w:val="20"/>
          <w:szCs w:val="20"/>
        </w:rPr>
        <w:t>-</w:t>
      </w:r>
      <w:r>
        <w:rPr>
          <w:rFonts w:ascii="Arial" w:hAnsi="Arial" w:cs="Arial"/>
          <w:sz w:val="20"/>
          <w:szCs w:val="20"/>
        </w:rPr>
        <w:t>term reform</w:t>
      </w:r>
      <w:r w:rsidR="004C0C95">
        <w:rPr>
          <w:rFonts w:ascii="Arial" w:hAnsi="Arial" w:cs="Arial"/>
          <w:sz w:val="20"/>
          <w:szCs w:val="20"/>
        </w:rPr>
        <w:t>s</w:t>
      </w:r>
      <w:r>
        <w:rPr>
          <w:rFonts w:ascii="Arial" w:hAnsi="Arial" w:cs="Arial"/>
          <w:sz w:val="20"/>
          <w:szCs w:val="20"/>
        </w:rPr>
        <w:t>, ensuring the transition from the short to the long term reform is done correctly</w:t>
      </w:r>
      <w:r w:rsidR="00AC5388">
        <w:rPr>
          <w:rFonts w:ascii="Arial" w:hAnsi="Arial" w:cs="Arial"/>
          <w:sz w:val="20"/>
          <w:szCs w:val="20"/>
        </w:rPr>
        <w:t xml:space="preserve"> is important</w:t>
      </w:r>
      <w:r>
        <w:rPr>
          <w:rFonts w:ascii="Arial" w:hAnsi="Arial" w:cs="Arial"/>
          <w:sz w:val="20"/>
          <w:szCs w:val="20"/>
        </w:rPr>
        <w:t xml:space="preserve">. </w:t>
      </w:r>
    </w:p>
    <w:p w:rsidR="00F13B96" w:rsidRDefault="00F13B96" w:rsidP="003E549D">
      <w:pPr>
        <w:rPr>
          <w:rFonts w:ascii="Arial" w:hAnsi="Arial" w:cs="Arial"/>
          <w:sz w:val="20"/>
          <w:szCs w:val="20"/>
        </w:rPr>
      </w:pPr>
    </w:p>
    <w:p w:rsidR="00F13B96" w:rsidRDefault="00F13B96" w:rsidP="003E549D">
      <w:pPr>
        <w:rPr>
          <w:rFonts w:ascii="Arial" w:hAnsi="Arial" w:cs="Arial"/>
          <w:sz w:val="20"/>
          <w:szCs w:val="20"/>
        </w:rPr>
      </w:pPr>
      <w:r>
        <w:rPr>
          <w:rFonts w:ascii="Arial" w:hAnsi="Arial" w:cs="Arial"/>
          <w:sz w:val="20"/>
          <w:szCs w:val="20"/>
        </w:rPr>
        <w:t xml:space="preserve">The PayGo model should not be dismissed by HVCI, given the improvements being made to PayGo, which will extend the longevity of the current charges model through the NTC heavy vehicle charges review including: </w:t>
      </w:r>
    </w:p>
    <w:p w:rsidR="00F13B96" w:rsidRPr="00F13B96" w:rsidRDefault="00F13B96" w:rsidP="00F13B96">
      <w:pPr>
        <w:tabs>
          <w:tab w:val="left" w:pos="7020"/>
        </w:tabs>
        <w:spacing w:before="40" w:after="40"/>
        <w:rPr>
          <w:rFonts w:ascii="Arial" w:eastAsia="Times New Roman" w:hAnsi="Arial" w:cs="Arial"/>
          <w:lang w:eastAsia="en-AU"/>
        </w:rPr>
      </w:pPr>
    </w:p>
    <w:p w:rsidR="00F13B96" w:rsidRPr="00BA281F" w:rsidRDefault="00F13B96" w:rsidP="00793431">
      <w:pPr>
        <w:pStyle w:val="ListParagraph"/>
        <w:numPr>
          <w:ilvl w:val="1"/>
          <w:numId w:val="9"/>
        </w:numPr>
        <w:tabs>
          <w:tab w:val="left" w:pos="7020"/>
        </w:tabs>
        <w:spacing w:before="40" w:after="40"/>
        <w:rPr>
          <w:rFonts w:ascii="Arial" w:eastAsia="Times New Roman" w:hAnsi="Arial" w:cs="Arial"/>
          <w:sz w:val="20"/>
          <w:szCs w:val="20"/>
          <w:lang w:eastAsia="en-AU"/>
        </w:rPr>
      </w:pPr>
      <w:r w:rsidRPr="00BA281F">
        <w:rPr>
          <w:rFonts w:ascii="Arial" w:eastAsia="Times New Roman" w:hAnsi="Arial" w:cs="Arial"/>
          <w:sz w:val="20"/>
          <w:szCs w:val="20"/>
          <w:lang w:eastAsia="en-AU"/>
        </w:rPr>
        <w:t xml:space="preserve">Axle group charging – supports the use of longer trailers and removes the A-trailer issue. </w:t>
      </w:r>
    </w:p>
    <w:p w:rsidR="00F13B96" w:rsidRPr="00BA281F" w:rsidRDefault="00F13B96" w:rsidP="00793431">
      <w:pPr>
        <w:pStyle w:val="ListParagraph"/>
        <w:numPr>
          <w:ilvl w:val="1"/>
          <w:numId w:val="9"/>
        </w:numPr>
        <w:tabs>
          <w:tab w:val="left" w:pos="7020"/>
        </w:tabs>
        <w:spacing w:before="40" w:after="40"/>
        <w:rPr>
          <w:rFonts w:ascii="Arial" w:eastAsia="Times New Roman" w:hAnsi="Arial" w:cs="Arial"/>
          <w:sz w:val="20"/>
          <w:szCs w:val="20"/>
          <w:lang w:eastAsia="en-AU"/>
        </w:rPr>
      </w:pPr>
      <w:r w:rsidRPr="00BA281F">
        <w:rPr>
          <w:rFonts w:ascii="Arial" w:eastAsia="Times New Roman" w:hAnsi="Arial" w:cs="Arial"/>
          <w:sz w:val="20"/>
          <w:szCs w:val="20"/>
          <w:lang w:eastAsia="en-AU"/>
        </w:rPr>
        <w:t xml:space="preserve">Supporting the refinement and updating input data (Survey of Motor Vehicle Usage and other ABS data ) </w:t>
      </w:r>
    </w:p>
    <w:p w:rsidR="00F13B96" w:rsidRPr="00BA281F" w:rsidRDefault="00F13B96" w:rsidP="00793431">
      <w:pPr>
        <w:pStyle w:val="ListParagraph"/>
        <w:numPr>
          <w:ilvl w:val="1"/>
          <w:numId w:val="9"/>
        </w:numPr>
        <w:tabs>
          <w:tab w:val="left" w:pos="7020"/>
        </w:tabs>
        <w:spacing w:before="40" w:after="40"/>
        <w:rPr>
          <w:rFonts w:ascii="Arial" w:eastAsia="Times New Roman" w:hAnsi="Arial" w:cs="Arial"/>
          <w:sz w:val="20"/>
          <w:szCs w:val="20"/>
          <w:lang w:eastAsia="en-AU"/>
        </w:rPr>
      </w:pPr>
      <w:r w:rsidRPr="00BA281F">
        <w:rPr>
          <w:rFonts w:ascii="Arial" w:eastAsia="Times New Roman" w:hAnsi="Arial" w:cs="Arial"/>
          <w:sz w:val="20"/>
          <w:szCs w:val="20"/>
          <w:lang w:eastAsia="en-AU"/>
        </w:rPr>
        <w:t>Using latest SMVU population data and no longer using a midpoint population for heavy vehicles for calculation</w:t>
      </w:r>
      <w:r w:rsidR="004C0C95">
        <w:rPr>
          <w:rFonts w:ascii="Arial" w:eastAsia="Times New Roman" w:hAnsi="Arial" w:cs="Arial"/>
          <w:sz w:val="20"/>
          <w:szCs w:val="20"/>
          <w:lang w:eastAsia="en-AU"/>
        </w:rPr>
        <w:t xml:space="preserve"> (</w:t>
      </w:r>
      <w:r w:rsidRPr="00BA281F">
        <w:rPr>
          <w:rFonts w:ascii="Arial" w:eastAsia="Times New Roman" w:hAnsi="Arial" w:cs="Arial"/>
          <w:sz w:val="20"/>
          <w:szCs w:val="20"/>
          <w:lang w:eastAsia="en-AU"/>
        </w:rPr>
        <w:t xml:space="preserve">to correct </w:t>
      </w:r>
      <w:r w:rsidR="004C0C95">
        <w:rPr>
          <w:rFonts w:ascii="Arial" w:eastAsia="Times New Roman" w:hAnsi="Arial" w:cs="Arial"/>
          <w:sz w:val="20"/>
          <w:szCs w:val="20"/>
          <w:lang w:eastAsia="en-AU"/>
        </w:rPr>
        <w:t xml:space="preserve">a </w:t>
      </w:r>
      <w:r w:rsidRPr="00BA281F">
        <w:rPr>
          <w:rFonts w:ascii="Arial" w:eastAsia="Times New Roman" w:hAnsi="Arial" w:cs="Arial"/>
          <w:sz w:val="20"/>
          <w:szCs w:val="20"/>
          <w:lang w:eastAsia="en-AU"/>
        </w:rPr>
        <w:t xml:space="preserve">previous bias </w:t>
      </w:r>
      <w:r w:rsidR="004C0C95">
        <w:rPr>
          <w:rFonts w:ascii="Arial" w:eastAsia="Times New Roman" w:hAnsi="Arial" w:cs="Arial"/>
          <w:sz w:val="20"/>
          <w:szCs w:val="20"/>
          <w:lang w:eastAsia="en-AU"/>
        </w:rPr>
        <w:t>that</w:t>
      </w:r>
      <w:r w:rsidR="004C0C95" w:rsidRPr="00BA281F">
        <w:rPr>
          <w:rFonts w:ascii="Arial" w:eastAsia="Times New Roman" w:hAnsi="Arial" w:cs="Arial"/>
          <w:sz w:val="20"/>
          <w:szCs w:val="20"/>
          <w:lang w:eastAsia="en-AU"/>
        </w:rPr>
        <w:t xml:space="preserve"> </w:t>
      </w:r>
      <w:r w:rsidRPr="00BA281F">
        <w:rPr>
          <w:rFonts w:ascii="Arial" w:eastAsia="Times New Roman" w:hAnsi="Arial" w:cs="Arial"/>
          <w:sz w:val="20"/>
          <w:szCs w:val="20"/>
          <w:lang w:eastAsia="en-AU"/>
        </w:rPr>
        <w:t>led to over-recovery as payments are made on the real population</w:t>
      </w:r>
      <w:r w:rsidR="004C0C95">
        <w:rPr>
          <w:rFonts w:ascii="Arial" w:eastAsia="Times New Roman" w:hAnsi="Arial" w:cs="Arial"/>
          <w:sz w:val="20"/>
          <w:szCs w:val="20"/>
          <w:lang w:eastAsia="en-AU"/>
        </w:rPr>
        <w:t>)</w:t>
      </w:r>
      <w:r w:rsidRPr="00BA281F">
        <w:rPr>
          <w:rFonts w:ascii="Arial" w:eastAsia="Times New Roman" w:hAnsi="Arial" w:cs="Arial"/>
          <w:sz w:val="20"/>
          <w:szCs w:val="20"/>
          <w:lang w:eastAsia="en-AU"/>
        </w:rPr>
        <w:t xml:space="preserve">. </w:t>
      </w:r>
    </w:p>
    <w:p w:rsidR="00F13B96" w:rsidRPr="00BA281F" w:rsidRDefault="00F13B96" w:rsidP="00793431">
      <w:pPr>
        <w:pStyle w:val="ListParagraph"/>
        <w:numPr>
          <w:ilvl w:val="1"/>
          <w:numId w:val="9"/>
        </w:numPr>
        <w:tabs>
          <w:tab w:val="left" w:pos="7020"/>
        </w:tabs>
        <w:spacing w:before="40" w:after="40"/>
        <w:rPr>
          <w:rFonts w:ascii="Arial" w:eastAsia="Times New Roman" w:hAnsi="Arial" w:cs="Arial"/>
          <w:sz w:val="20"/>
          <w:szCs w:val="20"/>
          <w:lang w:eastAsia="en-AU"/>
        </w:rPr>
      </w:pPr>
      <w:r w:rsidRPr="00BA281F">
        <w:rPr>
          <w:rFonts w:ascii="Arial" w:eastAsia="Times New Roman" w:hAnsi="Arial" w:cs="Arial"/>
          <w:sz w:val="20"/>
          <w:szCs w:val="20"/>
          <w:lang w:eastAsia="en-AU"/>
        </w:rPr>
        <w:t xml:space="preserve">Improving the accuracy of road agencies reporting heavy vehicle expenditure. </w:t>
      </w:r>
    </w:p>
    <w:p w:rsidR="00F13B96" w:rsidRPr="00BA281F" w:rsidRDefault="00F13B96" w:rsidP="00793431">
      <w:pPr>
        <w:pStyle w:val="ListParagraph"/>
        <w:numPr>
          <w:ilvl w:val="1"/>
          <w:numId w:val="9"/>
        </w:numPr>
        <w:tabs>
          <w:tab w:val="left" w:pos="7020"/>
        </w:tabs>
        <w:spacing w:before="40" w:after="40"/>
        <w:rPr>
          <w:rFonts w:ascii="Arial" w:eastAsia="Times New Roman" w:hAnsi="Arial" w:cs="Arial"/>
          <w:sz w:val="20"/>
          <w:szCs w:val="20"/>
          <w:lang w:eastAsia="en-AU"/>
        </w:rPr>
      </w:pPr>
      <w:r w:rsidRPr="00BA281F">
        <w:rPr>
          <w:rFonts w:ascii="Arial" w:eastAsia="Times New Roman" w:hAnsi="Arial" w:cs="Arial"/>
          <w:sz w:val="20"/>
          <w:szCs w:val="20"/>
          <w:lang w:eastAsia="en-AU"/>
        </w:rPr>
        <w:t xml:space="preserve">Options for reducing large registration fees by raising the </w:t>
      </w:r>
      <w:r w:rsidR="004C0C95" w:rsidRPr="00BA281F">
        <w:rPr>
          <w:rFonts w:ascii="Arial" w:eastAsia="Times New Roman" w:hAnsi="Arial" w:cs="Arial"/>
          <w:sz w:val="20"/>
          <w:szCs w:val="20"/>
          <w:lang w:eastAsia="en-AU"/>
        </w:rPr>
        <w:t xml:space="preserve">Road User Charge </w:t>
      </w:r>
      <w:r w:rsidRPr="00BA281F">
        <w:rPr>
          <w:rFonts w:ascii="Arial" w:eastAsia="Times New Roman" w:hAnsi="Arial" w:cs="Arial"/>
          <w:sz w:val="20"/>
          <w:szCs w:val="20"/>
          <w:lang w:eastAsia="en-AU"/>
        </w:rPr>
        <w:t xml:space="preserve">(RUC) component of heavy vehicle charges above current levels. The NTC will also be reviewing how this would be affected by </w:t>
      </w:r>
      <w:r w:rsidR="004C0C95">
        <w:rPr>
          <w:rFonts w:ascii="Arial" w:eastAsia="Times New Roman" w:hAnsi="Arial" w:cs="Arial"/>
          <w:sz w:val="20"/>
          <w:szCs w:val="20"/>
          <w:lang w:eastAsia="en-AU"/>
        </w:rPr>
        <w:t>any</w:t>
      </w:r>
      <w:r w:rsidR="004C0C95" w:rsidRPr="00BA281F">
        <w:rPr>
          <w:rFonts w:ascii="Arial" w:eastAsia="Times New Roman" w:hAnsi="Arial" w:cs="Arial"/>
          <w:sz w:val="20"/>
          <w:szCs w:val="20"/>
          <w:lang w:eastAsia="en-AU"/>
        </w:rPr>
        <w:t xml:space="preserve"> </w:t>
      </w:r>
      <w:r w:rsidRPr="00BA281F">
        <w:rPr>
          <w:rFonts w:ascii="Arial" w:eastAsia="Times New Roman" w:hAnsi="Arial" w:cs="Arial"/>
          <w:sz w:val="20"/>
          <w:szCs w:val="20"/>
          <w:lang w:eastAsia="en-AU"/>
        </w:rPr>
        <w:t xml:space="preserve">carbon charge; and the RUC and excise reaching parity. </w:t>
      </w:r>
    </w:p>
    <w:p w:rsidR="00F13B96" w:rsidRPr="00BA281F" w:rsidRDefault="00F13B96" w:rsidP="00793431">
      <w:pPr>
        <w:pStyle w:val="ListParagraph"/>
        <w:numPr>
          <w:ilvl w:val="1"/>
          <w:numId w:val="9"/>
        </w:numPr>
        <w:tabs>
          <w:tab w:val="left" w:pos="7020"/>
        </w:tabs>
        <w:spacing w:before="40" w:after="40"/>
        <w:rPr>
          <w:rFonts w:ascii="Arial" w:eastAsia="Times New Roman" w:hAnsi="Arial" w:cs="Arial"/>
          <w:sz w:val="20"/>
          <w:szCs w:val="20"/>
          <w:lang w:eastAsia="en-AU"/>
        </w:rPr>
      </w:pPr>
      <w:r w:rsidRPr="00BA281F">
        <w:rPr>
          <w:rFonts w:ascii="Arial" w:eastAsia="Times New Roman" w:hAnsi="Arial" w:cs="Arial"/>
          <w:sz w:val="20"/>
          <w:szCs w:val="20"/>
          <w:lang w:eastAsia="en-AU"/>
        </w:rPr>
        <w:t xml:space="preserve">Refining the </w:t>
      </w:r>
      <w:r w:rsidR="004C0C95" w:rsidRPr="00BA281F">
        <w:rPr>
          <w:rFonts w:ascii="Arial" w:eastAsia="Times New Roman" w:hAnsi="Arial" w:cs="Arial"/>
          <w:sz w:val="20"/>
          <w:szCs w:val="20"/>
          <w:lang w:eastAsia="en-AU"/>
        </w:rPr>
        <w:t>methodology</w:t>
      </w:r>
      <w:r w:rsidR="004C0C95">
        <w:rPr>
          <w:rFonts w:ascii="Arial" w:eastAsia="Times New Roman" w:hAnsi="Arial" w:cs="Arial"/>
          <w:sz w:val="20"/>
          <w:szCs w:val="20"/>
          <w:lang w:eastAsia="en-AU"/>
        </w:rPr>
        <w:t xml:space="preserve"> of assessing the</w:t>
      </w:r>
      <w:r w:rsidR="004C0C95" w:rsidRPr="00BA281F">
        <w:rPr>
          <w:rFonts w:ascii="Arial" w:eastAsia="Times New Roman" w:hAnsi="Arial" w:cs="Arial"/>
          <w:sz w:val="20"/>
          <w:szCs w:val="20"/>
          <w:lang w:eastAsia="en-AU"/>
        </w:rPr>
        <w:t xml:space="preserve"> </w:t>
      </w:r>
      <w:r w:rsidR="004C0C95">
        <w:rPr>
          <w:rFonts w:ascii="Arial" w:eastAsia="Times New Roman" w:hAnsi="Arial" w:cs="Arial"/>
          <w:sz w:val="20"/>
          <w:szCs w:val="20"/>
          <w:lang w:eastAsia="en-AU"/>
        </w:rPr>
        <w:t>i</w:t>
      </w:r>
      <w:r w:rsidRPr="00BA281F">
        <w:rPr>
          <w:rFonts w:ascii="Arial" w:eastAsia="Times New Roman" w:hAnsi="Arial" w:cs="Arial"/>
          <w:sz w:val="20"/>
          <w:szCs w:val="20"/>
          <w:lang w:eastAsia="en-AU"/>
        </w:rPr>
        <w:t>mpact of trucks on infrastructure</w:t>
      </w:r>
      <w:r w:rsidR="004C0C95">
        <w:rPr>
          <w:rFonts w:ascii="Arial" w:eastAsia="Times New Roman" w:hAnsi="Arial" w:cs="Arial"/>
          <w:sz w:val="20"/>
          <w:szCs w:val="20"/>
          <w:lang w:eastAsia="en-AU"/>
        </w:rPr>
        <w:t>,</w:t>
      </w:r>
      <w:r w:rsidRPr="00BA281F">
        <w:rPr>
          <w:rFonts w:ascii="Arial" w:eastAsia="Times New Roman" w:hAnsi="Arial" w:cs="Arial"/>
          <w:sz w:val="20"/>
          <w:szCs w:val="20"/>
          <w:lang w:eastAsia="en-AU"/>
        </w:rPr>
        <w:t xml:space="preserve"> to reflect the </w:t>
      </w:r>
      <w:r w:rsidR="004C0C95">
        <w:rPr>
          <w:rFonts w:ascii="Arial" w:eastAsia="Times New Roman" w:hAnsi="Arial" w:cs="Arial"/>
          <w:sz w:val="20"/>
          <w:szCs w:val="20"/>
          <w:lang w:eastAsia="en-AU"/>
        </w:rPr>
        <w:t>‘</w:t>
      </w:r>
      <w:r w:rsidRPr="00BA281F">
        <w:rPr>
          <w:rFonts w:ascii="Arial" w:eastAsia="Times New Roman" w:hAnsi="Arial" w:cs="Arial"/>
          <w:sz w:val="20"/>
          <w:szCs w:val="20"/>
          <w:lang w:eastAsia="en-AU"/>
        </w:rPr>
        <w:t>modularity</w:t>
      </w:r>
      <w:r w:rsidR="004C0C95">
        <w:rPr>
          <w:rFonts w:ascii="Arial" w:eastAsia="Times New Roman" w:hAnsi="Arial" w:cs="Arial"/>
          <w:sz w:val="20"/>
          <w:szCs w:val="20"/>
          <w:lang w:eastAsia="en-AU"/>
        </w:rPr>
        <w:t>’</w:t>
      </w:r>
      <w:r w:rsidRPr="00BA281F">
        <w:rPr>
          <w:rFonts w:ascii="Arial" w:eastAsia="Times New Roman" w:hAnsi="Arial" w:cs="Arial"/>
          <w:sz w:val="20"/>
          <w:szCs w:val="20"/>
          <w:lang w:eastAsia="en-AU"/>
        </w:rPr>
        <w:t xml:space="preserve"> concept and to prepare for possible implementation of axle group charging. </w:t>
      </w:r>
    </w:p>
    <w:p w:rsidR="008A5B0C" w:rsidRPr="00D51476" w:rsidRDefault="008A5B0C" w:rsidP="003E549D">
      <w:pPr>
        <w:rPr>
          <w:rFonts w:ascii="Arial" w:hAnsi="Arial" w:cs="Arial"/>
          <w:sz w:val="20"/>
          <w:szCs w:val="20"/>
        </w:rPr>
      </w:pPr>
    </w:p>
    <w:p w:rsidR="003E549D" w:rsidRPr="00D51476" w:rsidRDefault="00BA281F" w:rsidP="003E549D">
      <w:pPr>
        <w:rPr>
          <w:rFonts w:ascii="Arial" w:hAnsi="Arial" w:cs="Arial"/>
          <w:sz w:val="20"/>
          <w:szCs w:val="20"/>
        </w:rPr>
      </w:pPr>
      <w:r>
        <w:rPr>
          <w:rFonts w:ascii="Arial" w:hAnsi="Arial" w:cs="Arial"/>
          <w:sz w:val="20"/>
          <w:szCs w:val="20"/>
        </w:rPr>
        <w:t>PwC recommended that the</w:t>
      </w:r>
      <w:r w:rsidRPr="00D51476">
        <w:rPr>
          <w:rFonts w:ascii="Arial" w:hAnsi="Arial" w:cs="Arial"/>
          <w:sz w:val="20"/>
          <w:szCs w:val="20"/>
        </w:rPr>
        <w:t xml:space="preserve"> cost</w:t>
      </w:r>
      <w:r w:rsidR="003E549D" w:rsidRPr="00D51476">
        <w:rPr>
          <w:rFonts w:ascii="Arial" w:hAnsi="Arial" w:cs="Arial"/>
          <w:sz w:val="20"/>
          <w:szCs w:val="20"/>
        </w:rPr>
        <w:t xml:space="preserve"> reflectivity of road charges</w:t>
      </w:r>
      <w:r>
        <w:rPr>
          <w:rFonts w:ascii="Arial" w:hAnsi="Arial" w:cs="Arial"/>
          <w:sz w:val="20"/>
          <w:szCs w:val="20"/>
        </w:rPr>
        <w:t xml:space="preserve"> be improved</w:t>
      </w:r>
      <w:r w:rsidR="003E549D" w:rsidRPr="00D51476">
        <w:rPr>
          <w:rFonts w:ascii="Arial" w:hAnsi="Arial" w:cs="Arial"/>
          <w:sz w:val="20"/>
          <w:szCs w:val="20"/>
        </w:rPr>
        <w:t xml:space="preserve"> by adjusting the existing PayGo scheme to be more reflective of road use, as well as a third party review of PayGo inputs.  </w:t>
      </w:r>
      <w:r>
        <w:rPr>
          <w:rFonts w:ascii="Arial" w:hAnsi="Arial" w:cs="Arial"/>
          <w:sz w:val="20"/>
          <w:szCs w:val="20"/>
        </w:rPr>
        <w:t xml:space="preserve"> </w:t>
      </w:r>
    </w:p>
    <w:p w:rsidR="008A5B0C" w:rsidRPr="00D51476" w:rsidRDefault="008A5B0C" w:rsidP="003E549D">
      <w:pPr>
        <w:rPr>
          <w:rFonts w:ascii="Arial" w:hAnsi="Arial" w:cs="Arial"/>
          <w:sz w:val="20"/>
          <w:szCs w:val="20"/>
        </w:rPr>
      </w:pPr>
    </w:p>
    <w:p w:rsidR="00A679A4" w:rsidRDefault="008A5B0C" w:rsidP="003E549D">
      <w:pPr>
        <w:rPr>
          <w:rFonts w:ascii="Arial" w:hAnsi="Arial" w:cs="Arial"/>
          <w:sz w:val="20"/>
          <w:szCs w:val="20"/>
        </w:rPr>
      </w:pPr>
      <w:r w:rsidRPr="00D51476">
        <w:rPr>
          <w:rFonts w:ascii="Arial" w:hAnsi="Arial" w:cs="Arial"/>
          <w:sz w:val="20"/>
          <w:szCs w:val="20"/>
        </w:rPr>
        <w:t>The PwC</w:t>
      </w:r>
      <w:r w:rsidR="003E549D" w:rsidRPr="00D51476">
        <w:rPr>
          <w:rFonts w:ascii="Arial" w:hAnsi="Arial" w:cs="Arial"/>
          <w:sz w:val="20"/>
          <w:szCs w:val="20"/>
        </w:rPr>
        <w:t xml:space="preserve"> Report</w:t>
      </w:r>
      <w:r w:rsidR="00BA281F">
        <w:rPr>
          <w:rFonts w:ascii="Arial" w:hAnsi="Arial" w:cs="Arial"/>
          <w:sz w:val="20"/>
          <w:szCs w:val="20"/>
        </w:rPr>
        <w:t xml:space="preserve"> also</w:t>
      </w:r>
      <w:r w:rsidR="003E549D" w:rsidRPr="00D51476">
        <w:rPr>
          <w:rFonts w:ascii="Arial" w:hAnsi="Arial" w:cs="Arial"/>
          <w:sz w:val="20"/>
          <w:szCs w:val="20"/>
        </w:rPr>
        <w:t xml:space="preserve"> recommends improvements to the PayGo model, such as increasing the accuracy of data input and auditing road agency heavy vehicle expenditure. </w:t>
      </w:r>
      <w:r w:rsidR="004C0C95">
        <w:rPr>
          <w:rFonts w:ascii="Arial" w:hAnsi="Arial" w:cs="Arial"/>
          <w:sz w:val="20"/>
          <w:szCs w:val="20"/>
        </w:rPr>
        <w:t xml:space="preserve"> </w:t>
      </w:r>
    </w:p>
    <w:p w:rsidR="00616E75" w:rsidRPr="00D51476" w:rsidRDefault="00616E75" w:rsidP="003E549D">
      <w:pPr>
        <w:rPr>
          <w:rFonts w:ascii="Arial" w:hAnsi="Arial" w:cs="Arial"/>
          <w:sz w:val="20"/>
          <w:szCs w:val="20"/>
        </w:rPr>
      </w:pPr>
    </w:p>
    <w:p w:rsidR="00A679A4" w:rsidRPr="00D51476" w:rsidRDefault="00A679A4" w:rsidP="003E549D">
      <w:pPr>
        <w:rPr>
          <w:rFonts w:ascii="Arial" w:hAnsi="Arial" w:cs="Arial"/>
          <w:sz w:val="20"/>
          <w:szCs w:val="20"/>
        </w:rPr>
      </w:pPr>
      <w:r w:rsidRPr="00D51476">
        <w:rPr>
          <w:rFonts w:ascii="Arial" w:hAnsi="Arial" w:cs="Arial"/>
          <w:sz w:val="20"/>
          <w:szCs w:val="20"/>
        </w:rPr>
        <w:t>The NTC heavy vehicle charges review has already recommended this and will hopefully implement it in the 2014 heavy vehicle charges</w:t>
      </w:r>
      <w:r w:rsidR="004C0C95">
        <w:rPr>
          <w:rFonts w:ascii="Arial" w:hAnsi="Arial" w:cs="Arial"/>
          <w:sz w:val="20"/>
          <w:szCs w:val="20"/>
        </w:rPr>
        <w:t xml:space="preserve"> determination</w:t>
      </w:r>
      <w:r w:rsidRPr="00D51476">
        <w:rPr>
          <w:rFonts w:ascii="Arial" w:hAnsi="Arial" w:cs="Arial"/>
          <w:sz w:val="20"/>
          <w:szCs w:val="20"/>
        </w:rPr>
        <w:t xml:space="preserve">. </w:t>
      </w:r>
    </w:p>
    <w:p w:rsidR="003E549D" w:rsidRPr="00D51476" w:rsidRDefault="003E549D" w:rsidP="003E549D">
      <w:pPr>
        <w:rPr>
          <w:rFonts w:ascii="Arial" w:hAnsi="Arial" w:cs="Arial"/>
          <w:sz w:val="20"/>
          <w:szCs w:val="20"/>
        </w:rPr>
      </w:pPr>
    </w:p>
    <w:p w:rsidR="008A5B0C" w:rsidRPr="00D51476" w:rsidRDefault="00C3399A" w:rsidP="003E549D">
      <w:pPr>
        <w:rPr>
          <w:rFonts w:ascii="Arial" w:hAnsi="Arial" w:cs="Arial"/>
          <w:sz w:val="20"/>
          <w:szCs w:val="20"/>
        </w:rPr>
      </w:pPr>
      <w:r w:rsidRPr="00D51476">
        <w:rPr>
          <w:rFonts w:ascii="Arial" w:hAnsi="Arial" w:cs="Arial"/>
          <w:sz w:val="20"/>
          <w:szCs w:val="20"/>
        </w:rPr>
        <w:t>In conjunction with this</w:t>
      </w:r>
      <w:r w:rsidR="00BA281F">
        <w:rPr>
          <w:rFonts w:ascii="Arial" w:hAnsi="Arial" w:cs="Arial"/>
          <w:sz w:val="20"/>
          <w:szCs w:val="20"/>
        </w:rPr>
        <w:t>,</w:t>
      </w:r>
      <w:r w:rsidRPr="00D51476">
        <w:rPr>
          <w:rFonts w:ascii="Arial" w:hAnsi="Arial" w:cs="Arial"/>
          <w:sz w:val="20"/>
          <w:szCs w:val="20"/>
        </w:rPr>
        <w:t xml:space="preserve"> the heavy vehicles charges</w:t>
      </w:r>
      <w:r w:rsidR="004C0C95">
        <w:rPr>
          <w:rFonts w:ascii="Arial" w:hAnsi="Arial" w:cs="Arial"/>
          <w:sz w:val="20"/>
          <w:szCs w:val="20"/>
        </w:rPr>
        <w:t xml:space="preserve"> that</w:t>
      </w:r>
      <w:r w:rsidRPr="00D51476">
        <w:rPr>
          <w:rFonts w:ascii="Arial" w:hAnsi="Arial" w:cs="Arial"/>
          <w:sz w:val="20"/>
          <w:szCs w:val="20"/>
        </w:rPr>
        <w:t xml:space="preserve"> industry pays should be based on a high variable fuel charge </w:t>
      </w:r>
      <w:r w:rsidR="004C0C95">
        <w:rPr>
          <w:rFonts w:ascii="Arial" w:hAnsi="Arial" w:cs="Arial"/>
          <w:sz w:val="20"/>
          <w:szCs w:val="20"/>
        </w:rPr>
        <w:t>with</w:t>
      </w:r>
      <w:r w:rsidR="004C0C95" w:rsidRPr="00D51476">
        <w:rPr>
          <w:rFonts w:ascii="Arial" w:hAnsi="Arial" w:cs="Arial"/>
          <w:sz w:val="20"/>
          <w:szCs w:val="20"/>
        </w:rPr>
        <w:t xml:space="preserve"> </w:t>
      </w:r>
      <w:r w:rsidRPr="00D51476">
        <w:rPr>
          <w:rFonts w:ascii="Arial" w:hAnsi="Arial" w:cs="Arial"/>
          <w:sz w:val="20"/>
          <w:szCs w:val="20"/>
        </w:rPr>
        <w:t xml:space="preserve">a reduced role for registration charges. </w:t>
      </w:r>
    </w:p>
    <w:p w:rsidR="00C3399A" w:rsidRPr="00D51476" w:rsidRDefault="00C3399A" w:rsidP="003E549D">
      <w:pPr>
        <w:rPr>
          <w:rFonts w:ascii="Arial" w:hAnsi="Arial" w:cs="Arial"/>
          <w:sz w:val="20"/>
          <w:szCs w:val="20"/>
        </w:rPr>
      </w:pPr>
    </w:p>
    <w:p w:rsidR="00C3399A" w:rsidRPr="00D51476" w:rsidRDefault="00C3399A" w:rsidP="003E549D">
      <w:pPr>
        <w:rPr>
          <w:rFonts w:ascii="Arial" w:hAnsi="Arial" w:cs="Arial"/>
          <w:sz w:val="20"/>
          <w:szCs w:val="20"/>
        </w:rPr>
      </w:pPr>
      <w:r w:rsidRPr="00D51476">
        <w:rPr>
          <w:rFonts w:ascii="Arial" w:hAnsi="Arial" w:cs="Arial"/>
          <w:sz w:val="20"/>
          <w:szCs w:val="20"/>
        </w:rPr>
        <w:t>The ATA policy has been to adopt a fuel</w:t>
      </w:r>
      <w:r w:rsidR="004C0C95">
        <w:rPr>
          <w:rFonts w:ascii="Arial" w:hAnsi="Arial" w:cs="Arial"/>
          <w:sz w:val="20"/>
          <w:szCs w:val="20"/>
        </w:rPr>
        <w:t>-</w:t>
      </w:r>
      <w:r w:rsidRPr="00D51476">
        <w:rPr>
          <w:rFonts w:ascii="Arial" w:hAnsi="Arial" w:cs="Arial"/>
          <w:sz w:val="20"/>
          <w:szCs w:val="20"/>
        </w:rPr>
        <w:t xml:space="preserve">based charge since 2009. The 2013 PwC report into the future for heavy vehicle charges also supported a high variable fuel charge. </w:t>
      </w:r>
    </w:p>
    <w:p w:rsidR="00E87E6C" w:rsidRPr="00D51476" w:rsidRDefault="00E87E6C" w:rsidP="003E549D">
      <w:pPr>
        <w:rPr>
          <w:rFonts w:ascii="Arial" w:hAnsi="Arial" w:cs="Arial"/>
          <w:sz w:val="20"/>
          <w:szCs w:val="20"/>
        </w:rPr>
      </w:pPr>
    </w:p>
    <w:p w:rsidR="00616E75" w:rsidRDefault="00675F99">
      <w:pPr>
        <w:rPr>
          <w:rFonts w:ascii="Arial" w:hAnsi="Arial" w:cs="Arial"/>
          <w:sz w:val="20"/>
          <w:szCs w:val="20"/>
        </w:rPr>
      </w:pPr>
      <w:r w:rsidRPr="00D51476">
        <w:rPr>
          <w:rFonts w:ascii="Arial" w:hAnsi="Arial" w:cs="Arial"/>
          <w:sz w:val="20"/>
          <w:szCs w:val="20"/>
        </w:rPr>
        <w:t>Fuel burn mirrors road wear across different classes</w:t>
      </w:r>
      <w:r w:rsidR="00CC3ECF">
        <w:rPr>
          <w:rFonts w:ascii="Arial" w:hAnsi="Arial" w:cs="Arial"/>
          <w:sz w:val="20"/>
          <w:szCs w:val="20"/>
        </w:rPr>
        <w:t xml:space="preserve"> at allowed axle loadings</w:t>
      </w:r>
      <w:r w:rsidRPr="00D51476">
        <w:rPr>
          <w:rFonts w:ascii="Arial" w:hAnsi="Arial" w:cs="Arial"/>
          <w:sz w:val="20"/>
          <w:szCs w:val="20"/>
        </w:rPr>
        <w:t xml:space="preserve">, however, </w:t>
      </w:r>
      <w:r w:rsidR="004C0C95">
        <w:rPr>
          <w:rFonts w:ascii="Arial" w:hAnsi="Arial" w:cs="Arial"/>
          <w:sz w:val="20"/>
          <w:szCs w:val="20"/>
        </w:rPr>
        <w:t>the ATA</w:t>
      </w:r>
      <w:r w:rsidR="004C0C95" w:rsidRPr="00D51476">
        <w:rPr>
          <w:rFonts w:ascii="Arial" w:hAnsi="Arial" w:cs="Arial"/>
          <w:sz w:val="20"/>
          <w:szCs w:val="20"/>
        </w:rPr>
        <w:t xml:space="preserve"> </w:t>
      </w:r>
      <w:r w:rsidRPr="00D51476">
        <w:rPr>
          <w:rFonts w:ascii="Arial" w:hAnsi="Arial" w:cs="Arial"/>
          <w:sz w:val="20"/>
          <w:szCs w:val="20"/>
        </w:rPr>
        <w:t>concede</w:t>
      </w:r>
      <w:r w:rsidR="004C0C95">
        <w:rPr>
          <w:rFonts w:ascii="Arial" w:hAnsi="Arial" w:cs="Arial"/>
          <w:sz w:val="20"/>
          <w:szCs w:val="20"/>
        </w:rPr>
        <w:t>s</w:t>
      </w:r>
      <w:r w:rsidRPr="00D51476">
        <w:rPr>
          <w:rFonts w:ascii="Arial" w:hAnsi="Arial" w:cs="Arial"/>
          <w:sz w:val="20"/>
          <w:szCs w:val="20"/>
        </w:rPr>
        <w:t xml:space="preserve"> that wear tends to increase more steeply than fuel use at higher </w:t>
      </w:r>
      <w:r w:rsidR="00CC3ECF">
        <w:rPr>
          <w:rFonts w:ascii="Arial" w:hAnsi="Arial" w:cs="Arial"/>
          <w:sz w:val="20"/>
          <w:szCs w:val="20"/>
        </w:rPr>
        <w:t>than current</w:t>
      </w:r>
      <w:r w:rsidR="004C0C95">
        <w:rPr>
          <w:rFonts w:ascii="Arial" w:hAnsi="Arial" w:cs="Arial"/>
          <w:sz w:val="20"/>
          <w:szCs w:val="20"/>
        </w:rPr>
        <w:t>ly</w:t>
      </w:r>
      <w:r w:rsidR="00CC3ECF">
        <w:rPr>
          <w:rFonts w:ascii="Arial" w:hAnsi="Arial" w:cs="Arial"/>
          <w:sz w:val="20"/>
          <w:szCs w:val="20"/>
        </w:rPr>
        <w:t xml:space="preserve"> allowed axle </w:t>
      </w:r>
      <w:r w:rsidRPr="00D51476">
        <w:rPr>
          <w:rFonts w:ascii="Arial" w:hAnsi="Arial" w:cs="Arial"/>
          <w:sz w:val="20"/>
          <w:szCs w:val="20"/>
        </w:rPr>
        <w:t>loadings</w:t>
      </w:r>
      <w:r w:rsidR="00CC3ECF">
        <w:rPr>
          <w:rFonts w:ascii="Arial" w:hAnsi="Arial" w:cs="Arial"/>
          <w:sz w:val="20"/>
          <w:szCs w:val="20"/>
        </w:rPr>
        <w:t>. But such loadings cannot readily occur due to bridge stock limitations</w:t>
      </w:r>
      <w:r w:rsidRPr="00D51476">
        <w:rPr>
          <w:rFonts w:ascii="Arial" w:hAnsi="Arial" w:cs="Arial"/>
          <w:sz w:val="20"/>
          <w:szCs w:val="20"/>
        </w:rPr>
        <w:t xml:space="preserve">. </w:t>
      </w:r>
      <w:r w:rsidR="008474FA" w:rsidRPr="00D51476">
        <w:rPr>
          <w:rFonts w:ascii="Arial" w:hAnsi="Arial" w:cs="Arial"/>
          <w:sz w:val="20"/>
          <w:szCs w:val="20"/>
        </w:rPr>
        <w:t xml:space="preserve">A higher variable charge would improve price signals as more fuel is used to drive longer distances and to transport heavier loads. </w:t>
      </w:r>
    </w:p>
    <w:p w:rsidR="00620293" w:rsidRDefault="00620293">
      <w:pPr>
        <w:rPr>
          <w:rFonts w:ascii="Arial" w:hAnsi="Arial" w:cs="Arial"/>
          <w:sz w:val="20"/>
          <w:szCs w:val="20"/>
        </w:rPr>
      </w:pPr>
    </w:p>
    <w:p w:rsidR="003552D2" w:rsidRPr="00D51476" w:rsidRDefault="003552D2" w:rsidP="003552D2">
      <w:pPr>
        <w:rPr>
          <w:rFonts w:ascii="Arial" w:hAnsi="Arial" w:cs="Arial"/>
          <w:sz w:val="20"/>
          <w:szCs w:val="20"/>
        </w:rPr>
      </w:pPr>
      <w:r w:rsidRPr="00D51476">
        <w:rPr>
          <w:rFonts w:ascii="Arial" w:hAnsi="Arial" w:cs="Arial"/>
          <w:sz w:val="20"/>
          <w:szCs w:val="20"/>
        </w:rPr>
        <w:t xml:space="preserve">The ATA proposed that the RUC would vary between two broad vehicle groups: </w:t>
      </w:r>
    </w:p>
    <w:p w:rsidR="003552D2" w:rsidRPr="00D51476" w:rsidRDefault="003552D2" w:rsidP="003552D2">
      <w:pPr>
        <w:rPr>
          <w:rFonts w:ascii="Arial" w:hAnsi="Arial" w:cs="Arial"/>
          <w:sz w:val="20"/>
          <w:szCs w:val="20"/>
        </w:rPr>
      </w:pPr>
    </w:p>
    <w:p w:rsidR="003552D2" w:rsidRPr="00D51476" w:rsidRDefault="003552D2" w:rsidP="003552D2">
      <w:pPr>
        <w:rPr>
          <w:rFonts w:ascii="Arial" w:hAnsi="Arial" w:cs="Arial"/>
          <w:sz w:val="20"/>
          <w:szCs w:val="20"/>
        </w:rPr>
      </w:pPr>
      <w:r w:rsidRPr="00D51476">
        <w:rPr>
          <w:rFonts w:ascii="Arial" w:hAnsi="Arial" w:cs="Arial"/>
          <w:sz w:val="20"/>
          <w:szCs w:val="20"/>
        </w:rPr>
        <w:t xml:space="preserve">Vehicle Class A: 2 axle </w:t>
      </w:r>
      <w:proofErr w:type="spellStart"/>
      <w:r w:rsidRPr="00D51476">
        <w:rPr>
          <w:rFonts w:ascii="Arial" w:hAnsi="Arial" w:cs="Arial"/>
          <w:sz w:val="20"/>
          <w:szCs w:val="20"/>
        </w:rPr>
        <w:t>rigids</w:t>
      </w:r>
      <w:proofErr w:type="spellEnd"/>
      <w:r w:rsidRPr="00D51476">
        <w:rPr>
          <w:rFonts w:ascii="Arial" w:hAnsi="Arial" w:cs="Arial"/>
          <w:sz w:val="20"/>
          <w:szCs w:val="20"/>
        </w:rPr>
        <w:t xml:space="preserve">, </w:t>
      </w:r>
      <w:r w:rsidR="004C0C95" w:rsidRPr="00D51476">
        <w:rPr>
          <w:rFonts w:ascii="Arial" w:hAnsi="Arial" w:cs="Arial"/>
          <w:sz w:val="20"/>
          <w:szCs w:val="20"/>
        </w:rPr>
        <w:t xml:space="preserve">Special Purpose Vehicles </w:t>
      </w:r>
      <w:r w:rsidRPr="00D51476">
        <w:rPr>
          <w:rFonts w:ascii="Arial" w:hAnsi="Arial" w:cs="Arial"/>
          <w:sz w:val="20"/>
          <w:szCs w:val="20"/>
        </w:rPr>
        <w:t xml:space="preserve">and </w:t>
      </w:r>
      <w:r w:rsidR="004C0C95">
        <w:rPr>
          <w:rFonts w:ascii="Arial" w:hAnsi="Arial" w:cs="Arial"/>
          <w:sz w:val="20"/>
          <w:szCs w:val="20"/>
        </w:rPr>
        <w:t>B</w:t>
      </w:r>
      <w:r w:rsidRPr="00D51476">
        <w:rPr>
          <w:rFonts w:ascii="Arial" w:hAnsi="Arial" w:cs="Arial"/>
          <w:sz w:val="20"/>
          <w:szCs w:val="20"/>
        </w:rPr>
        <w:t>uses (</w:t>
      </w:r>
      <w:proofErr w:type="spellStart"/>
      <w:r w:rsidRPr="00D51476">
        <w:rPr>
          <w:rFonts w:ascii="Arial" w:hAnsi="Arial" w:cs="Arial"/>
          <w:sz w:val="20"/>
          <w:szCs w:val="20"/>
        </w:rPr>
        <w:t>VCA</w:t>
      </w:r>
      <w:proofErr w:type="spellEnd"/>
      <w:r w:rsidRPr="00D51476">
        <w:rPr>
          <w:rFonts w:ascii="Arial" w:hAnsi="Arial" w:cs="Arial"/>
          <w:sz w:val="20"/>
          <w:szCs w:val="20"/>
        </w:rPr>
        <w:t>).</w:t>
      </w:r>
    </w:p>
    <w:p w:rsidR="003552D2" w:rsidRPr="00D51476" w:rsidRDefault="003552D2" w:rsidP="003552D2">
      <w:pPr>
        <w:rPr>
          <w:rFonts w:ascii="Arial" w:hAnsi="Arial" w:cs="Arial"/>
          <w:sz w:val="20"/>
          <w:szCs w:val="20"/>
        </w:rPr>
      </w:pPr>
      <w:r w:rsidRPr="00D51476">
        <w:rPr>
          <w:rFonts w:ascii="Arial" w:hAnsi="Arial" w:cs="Arial"/>
          <w:sz w:val="20"/>
          <w:szCs w:val="20"/>
        </w:rPr>
        <w:t xml:space="preserve">Vehicle Class B: 3 axle </w:t>
      </w:r>
      <w:proofErr w:type="spellStart"/>
      <w:r w:rsidRPr="00D51476">
        <w:rPr>
          <w:rFonts w:ascii="Arial" w:hAnsi="Arial" w:cs="Arial"/>
          <w:sz w:val="20"/>
          <w:szCs w:val="20"/>
        </w:rPr>
        <w:t>rigids</w:t>
      </w:r>
      <w:proofErr w:type="spellEnd"/>
      <w:r w:rsidRPr="00D51476">
        <w:rPr>
          <w:rFonts w:ascii="Arial" w:hAnsi="Arial" w:cs="Arial"/>
          <w:sz w:val="20"/>
          <w:szCs w:val="20"/>
        </w:rPr>
        <w:t xml:space="preserve"> and all articulated vehicles (</w:t>
      </w:r>
      <w:proofErr w:type="spellStart"/>
      <w:r w:rsidRPr="00D51476">
        <w:rPr>
          <w:rFonts w:ascii="Arial" w:hAnsi="Arial" w:cs="Arial"/>
          <w:sz w:val="20"/>
          <w:szCs w:val="20"/>
        </w:rPr>
        <w:t>VCB</w:t>
      </w:r>
      <w:proofErr w:type="spellEnd"/>
      <w:r w:rsidRPr="00D51476">
        <w:rPr>
          <w:rFonts w:ascii="Arial" w:hAnsi="Arial" w:cs="Arial"/>
          <w:sz w:val="20"/>
          <w:szCs w:val="20"/>
        </w:rPr>
        <w:t xml:space="preserve">). </w:t>
      </w:r>
    </w:p>
    <w:p w:rsidR="00F510F5" w:rsidRPr="00D51476" w:rsidRDefault="00F510F5" w:rsidP="003552D2">
      <w:pPr>
        <w:rPr>
          <w:rFonts w:ascii="Arial" w:hAnsi="Arial" w:cs="Arial"/>
          <w:sz w:val="20"/>
          <w:szCs w:val="20"/>
        </w:rPr>
      </w:pPr>
    </w:p>
    <w:p w:rsidR="003552D2" w:rsidRPr="00D51476" w:rsidRDefault="003552D2" w:rsidP="003552D2">
      <w:pPr>
        <w:rPr>
          <w:rFonts w:ascii="Arial" w:hAnsi="Arial" w:cs="Arial"/>
          <w:sz w:val="20"/>
          <w:szCs w:val="20"/>
        </w:rPr>
      </w:pPr>
      <w:r w:rsidRPr="00D51476">
        <w:rPr>
          <w:rFonts w:ascii="Arial" w:hAnsi="Arial" w:cs="Arial"/>
          <w:sz w:val="20"/>
          <w:szCs w:val="20"/>
        </w:rPr>
        <w:t xml:space="preserve">Dividing the vehicle fleet creates a stronger link between the associated cost and the type of vehicle paying for it. </w:t>
      </w:r>
      <w:proofErr w:type="spellStart"/>
      <w:r w:rsidRPr="00D51476">
        <w:rPr>
          <w:rFonts w:ascii="Arial" w:hAnsi="Arial" w:cs="Arial"/>
          <w:sz w:val="20"/>
          <w:szCs w:val="20"/>
        </w:rPr>
        <w:t>VCA</w:t>
      </w:r>
      <w:proofErr w:type="spellEnd"/>
      <w:r w:rsidRPr="00D51476">
        <w:rPr>
          <w:rFonts w:ascii="Arial" w:hAnsi="Arial" w:cs="Arial"/>
          <w:sz w:val="20"/>
          <w:szCs w:val="20"/>
        </w:rPr>
        <w:t xml:space="preserve"> vehicles can access almost all roads, require less infrastructure investment and have a lower impact on roads</w:t>
      </w:r>
      <w:r w:rsidR="00CC3ECF">
        <w:rPr>
          <w:rFonts w:ascii="Arial" w:hAnsi="Arial" w:cs="Arial"/>
          <w:sz w:val="20"/>
          <w:szCs w:val="20"/>
        </w:rPr>
        <w:t xml:space="preserve"> (</w:t>
      </w:r>
      <w:proofErr w:type="spellStart"/>
      <w:r w:rsidR="00CC3ECF">
        <w:rPr>
          <w:rFonts w:ascii="Arial" w:hAnsi="Arial" w:cs="Arial"/>
          <w:sz w:val="20"/>
          <w:szCs w:val="20"/>
        </w:rPr>
        <w:t>eg</w:t>
      </w:r>
      <w:proofErr w:type="spellEnd"/>
      <w:r w:rsidR="00CC3ECF">
        <w:rPr>
          <w:rFonts w:ascii="Arial" w:hAnsi="Arial" w:cs="Arial"/>
          <w:sz w:val="20"/>
          <w:szCs w:val="20"/>
        </w:rPr>
        <w:t xml:space="preserve"> tier 3 roads)</w:t>
      </w:r>
      <w:r w:rsidRPr="00D51476">
        <w:rPr>
          <w:rFonts w:ascii="Arial" w:hAnsi="Arial" w:cs="Arial"/>
          <w:sz w:val="20"/>
          <w:szCs w:val="20"/>
        </w:rPr>
        <w:t xml:space="preserve">. </w:t>
      </w:r>
      <w:proofErr w:type="spellStart"/>
      <w:r w:rsidRPr="00D51476">
        <w:rPr>
          <w:rFonts w:ascii="Arial" w:hAnsi="Arial" w:cs="Arial"/>
          <w:sz w:val="20"/>
          <w:szCs w:val="20"/>
        </w:rPr>
        <w:t>VCB</w:t>
      </w:r>
      <w:proofErr w:type="spellEnd"/>
      <w:r w:rsidRPr="00D51476">
        <w:rPr>
          <w:rFonts w:ascii="Arial" w:hAnsi="Arial" w:cs="Arial"/>
          <w:sz w:val="20"/>
          <w:szCs w:val="20"/>
        </w:rPr>
        <w:t xml:space="preserve"> classification vehicles demand greater infrastructure provision, and impact more on roads, so should be charged accordingly</w:t>
      </w:r>
      <w:r w:rsidR="00CC3ECF">
        <w:rPr>
          <w:rFonts w:ascii="Arial" w:hAnsi="Arial" w:cs="Arial"/>
          <w:sz w:val="20"/>
          <w:szCs w:val="20"/>
        </w:rPr>
        <w:t xml:space="preserve"> (generally operate on tier 1 and 2 roads)</w:t>
      </w:r>
      <w:r w:rsidRPr="00D51476">
        <w:rPr>
          <w:rFonts w:ascii="Arial" w:hAnsi="Arial" w:cs="Arial"/>
          <w:sz w:val="20"/>
          <w:szCs w:val="20"/>
        </w:rPr>
        <w:t xml:space="preserve">. Fuel consumption between the classes varies significantly, with different fuel efficiencies and typical loads, as well as average distance travelled. </w:t>
      </w:r>
    </w:p>
    <w:p w:rsidR="00D51476" w:rsidRPr="00D51476" w:rsidRDefault="00D51476" w:rsidP="003552D2">
      <w:pPr>
        <w:rPr>
          <w:rFonts w:ascii="Arial" w:hAnsi="Arial" w:cs="Arial"/>
          <w:sz w:val="20"/>
          <w:szCs w:val="20"/>
        </w:rPr>
      </w:pPr>
    </w:p>
    <w:p w:rsidR="00D51476" w:rsidRPr="00D51476" w:rsidRDefault="00D51476" w:rsidP="00D51476">
      <w:pPr>
        <w:rPr>
          <w:rFonts w:ascii="Arial" w:hAnsi="Arial" w:cs="Arial"/>
          <w:sz w:val="20"/>
          <w:szCs w:val="20"/>
        </w:rPr>
      </w:pPr>
      <w:r w:rsidRPr="00D51476">
        <w:rPr>
          <w:rFonts w:ascii="Arial" w:hAnsi="Arial" w:cs="Arial"/>
          <w:sz w:val="20"/>
          <w:szCs w:val="20"/>
        </w:rPr>
        <w:t xml:space="preserve">Under the ATA proposal the fuel tax credit rate will be reduced, essentially increasing the road user charge to broadly replace the decrease in registration revenue. The road user charge will be a </w:t>
      </w:r>
      <w:r w:rsidR="001667FE">
        <w:rPr>
          <w:rFonts w:ascii="Arial" w:hAnsi="Arial" w:cs="Arial"/>
          <w:sz w:val="20"/>
          <w:szCs w:val="20"/>
        </w:rPr>
        <w:t>‘</w:t>
      </w:r>
      <w:r w:rsidRPr="00D51476">
        <w:rPr>
          <w:rFonts w:ascii="Arial" w:hAnsi="Arial" w:cs="Arial"/>
          <w:sz w:val="20"/>
          <w:szCs w:val="20"/>
        </w:rPr>
        <w:t>cents per litre</w:t>
      </w:r>
      <w:r w:rsidR="001667FE">
        <w:rPr>
          <w:rFonts w:ascii="Arial" w:hAnsi="Arial" w:cs="Arial"/>
          <w:sz w:val="20"/>
          <w:szCs w:val="20"/>
        </w:rPr>
        <w:t>’</w:t>
      </w:r>
      <w:r w:rsidRPr="00D51476">
        <w:rPr>
          <w:rFonts w:ascii="Arial" w:hAnsi="Arial" w:cs="Arial"/>
          <w:sz w:val="20"/>
          <w:szCs w:val="20"/>
        </w:rPr>
        <w:t xml:space="preserve"> charge representing the variable cost of road use by heavy vehicles. </w:t>
      </w:r>
    </w:p>
    <w:p w:rsidR="00D51476" w:rsidRPr="00D51476" w:rsidRDefault="00D51476" w:rsidP="00D51476">
      <w:pPr>
        <w:rPr>
          <w:rFonts w:ascii="Arial" w:hAnsi="Arial" w:cs="Arial"/>
          <w:sz w:val="20"/>
          <w:szCs w:val="20"/>
        </w:rPr>
      </w:pPr>
    </w:p>
    <w:p w:rsidR="00D51476" w:rsidRPr="00D51476" w:rsidRDefault="00D51476" w:rsidP="00D51476">
      <w:pPr>
        <w:rPr>
          <w:rFonts w:ascii="Arial" w:hAnsi="Arial" w:cs="Arial"/>
          <w:sz w:val="20"/>
          <w:szCs w:val="20"/>
        </w:rPr>
      </w:pPr>
      <w:r w:rsidRPr="00D51476">
        <w:rPr>
          <w:rFonts w:ascii="Arial" w:hAnsi="Arial" w:cs="Arial"/>
          <w:sz w:val="20"/>
          <w:szCs w:val="20"/>
        </w:rPr>
        <w:lastRenderedPageBreak/>
        <w:t xml:space="preserve">There will be two different rates, for </w:t>
      </w:r>
      <w:proofErr w:type="spellStart"/>
      <w:r w:rsidRPr="00D51476">
        <w:rPr>
          <w:rFonts w:ascii="Arial" w:hAnsi="Arial" w:cs="Arial"/>
          <w:sz w:val="20"/>
          <w:szCs w:val="20"/>
        </w:rPr>
        <w:t>VCA</w:t>
      </w:r>
      <w:proofErr w:type="spellEnd"/>
      <w:r w:rsidRPr="00D51476">
        <w:rPr>
          <w:rFonts w:ascii="Arial" w:hAnsi="Arial" w:cs="Arial"/>
          <w:sz w:val="20"/>
          <w:szCs w:val="20"/>
        </w:rPr>
        <w:t xml:space="preserve"> and </w:t>
      </w:r>
      <w:proofErr w:type="spellStart"/>
      <w:r w:rsidRPr="00D51476">
        <w:rPr>
          <w:rFonts w:ascii="Arial" w:hAnsi="Arial" w:cs="Arial"/>
          <w:sz w:val="20"/>
          <w:szCs w:val="20"/>
        </w:rPr>
        <w:t>VCB</w:t>
      </w:r>
      <w:proofErr w:type="spellEnd"/>
      <w:r w:rsidRPr="00D51476">
        <w:rPr>
          <w:rFonts w:ascii="Arial" w:hAnsi="Arial" w:cs="Arial"/>
          <w:sz w:val="20"/>
          <w:szCs w:val="20"/>
        </w:rPr>
        <w:t xml:space="preserve"> vehicles. The rate will depend on the allocated cost amount for the two vehicle classes spread across the vehicle fleets in terms of fuel consumption. The road user charge would apply to all fuels consumed by heavy vehicles, including alternative fuels, with a rate adjusted to reflect energy factor. These fuels may also be included in separate rebate schemes. </w:t>
      </w:r>
    </w:p>
    <w:p w:rsidR="003552D2" w:rsidRPr="00D51476" w:rsidRDefault="003552D2" w:rsidP="003552D2">
      <w:pPr>
        <w:rPr>
          <w:rFonts w:ascii="Arial" w:hAnsi="Arial" w:cs="Arial"/>
          <w:sz w:val="20"/>
          <w:szCs w:val="20"/>
        </w:rPr>
      </w:pPr>
      <w:r w:rsidRPr="00D51476">
        <w:rPr>
          <w:rFonts w:ascii="Arial" w:hAnsi="Arial" w:cs="Arial"/>
          <w:sz w:val="20"/>
          <w:szCs w:val="20"/>
        </w:rPr>
        <w:t xml:space="preserve"> </w:t>
      </w:r>
    </w:p>
    <w:p w:rsidR="00D51476" w:rsidRPr="00D51476" w:rsidRDefault="00D51476" w:rsidP="00D51476">
      <w:pPr>
        <w:rPr>
          <w:rFonts w:ascii="Arial" w:hAnsi="Arial" w:cs="Arial"/>
          <w:sz w:val="20"/>
          <w:szCs w:val="20"/>
        </w:rPr>
      </w:pPr>
      <w:r w:rsidRPr="00D51476">
        <w:rPr>
          <w:rFonts w:ascii="Arial" w:hAnsi="Arial" w:cs="Arial"/>
          <w:sz w:val="20"/>
          <w:szCs w:val="20"/>
        </w:rPr>
        <w:t xml:space="preserve">Registration charges would cover administration and shared costs. </w:t>
      </w:r>
    </w:p>
    <w:p w:rsidR="00E87E6C" w:rsidRPr="00D51476" w:rsidRDefault="00E87E6C" w:rsidP="003E549D">
      <w:pPr>
        <w:rPr>
          <w:rFonts w:ascii="Arial" w:hAnsi="Arial" w:cs="Arial"/>
          <w:sz w:val="20"/>
          <w:szCs w:val="20"/>
        </w:rPr>
      </w:pPr>
    </w:p>
    <w:p w:rsidR="003E549D" w:rsidRDefault="00E87E6C" w:rsidP="003E549D">
      <w:pPr>
        <w:rPr>
          <w:rFonts w:ascii="Arial" w:hAnsi="Arial" w:cs="Arial"/>
          <w:sz w:val="20"/>
          <w:szCs w:val="20"/>
        </w:rPr>
      </w:pPr>
      <w:r w:rsidRPr="00D51476">
        <w:rPr>
          <w:rFonts w:ascii="Arial" w:hAnsi="Arial" w:cs="Arial"/>
          <w:sz w:val="20"/>
          <w:szCs w:val="20"/>
        </w:rPr>
        <w:t xml:space="preserve">In the medium to long term there should be a continuation of </w:t>
      </w:r>
      <w:r w:rsidR="003E549D" w:rsidRPr="00D51476">
        <w:rPr>
          <w:rFonts w:ascii="Arial" w:hAnsi="Arial" w:cs="Arial"/>
          <w:sz w:val="20"/>
          <w:szCs w:val="20"/>
        </w:rPr>
        <w:t>a fuel and registration based charge</w:t>
      </w:r>
      <w:r w:rsidR="00BA281F">
        <w:rPr>
          <w:rFonts w:ascii="Arial" w:hAnsi="Arial" w:cs="Arial"/>
          <w:sz w:val="20"/>
          <w:szCs w:val="20"/>
        </w:rPr>
        <w:t>s</w:t>
      </w:r>
      <w:r w:rsidR="003E549D" w:rsidRPr="00D51476">
        <w:rPr>
          <w:rFonts w:ascii="Arial" w:hAnsi="Arial" w:cs="Arial"/>
          <w:sz w:val="20"/>
          <w:szCs w:val="20"/>
        </w:rPr>
        <w:t xml:space="preserve"> until a strong business case for variable charging emerges</w:t>
      </w:r>
      <w:r w:rsidR="00BA281F">
        <w:rPr>
          <w:rFonts w:ascii="Arial" w:hAnsi="Arial" w:cs="Arial"/>
          <w:sz w:val="20"/>
          <w:szCs w:val="20"/>
        </w:rPr>
        <w:t>.</w:t>
      </w:r>
    </w:p>
    <w:p w:rsidR="00510D1B" w:rsidRDefault="00510D1B" w:rsidP="003E549D">
      <w:pPr>
        <w:rPr>
          <w:rFonts w:ascii="Arial" w:hAnsi="Arial" w:cs="Arial"/>
          <w:sz w:val="20"/>
          <w:szCs w:val="20"/>
        </w:rPr>
      </w:pPr>
    </w:p>
    <w:p w:rsidR="00510D1B" w:rsidRPr="00D51476" w:rsidRDefault="00510D1B" w:rsidP="003E549D">
      <w:pPr>
        <w:rPr>
          <w:rFonts w:ascii="Arial" w:hAnsi="Arial" w:cs="Arial"/>
          <w:sz w:val="20"/>
          <w:szCs w:val="20"/>
        </w:rPr>
      </w:pPr>
      <w:r>
        <w:rPr>
          <w:rFonts w:ascii="Arial" w:hAnsi="Arial" w:cs="Arial"/>
          <w:sz w:val="20"/>
          <w:szCs w:val="20"/>
        </w:rPr>
        <w:t>Recent changes to the proposed carbon charge have extended the applicability of the PayGo model and of the use of a higher variable fuel charge. The carbon charge industry might now pay in 2014 is 1.6</w:t>
      </w:r>
      <w:r>
        <w:rPr>
          <w:rStyle w:val="FootnoteReference"/>
          <w:rFonts w:ascii="Arial" w:hAnsi="Arial"/>
          <w:sz w:val="20"/>
          <w:szCs w:val="20"/>
        </w:rPr>
        <w:footnoteReference w:id="9"/>
      </w:r>
      <w:r>
        <w:rPr>
          <w:rFonts w:ascii="Arial" w:hAnsi="Arial" w:cs="Arial"/>
          <w:sz w:val="20"/>
          <w:szCs w:val="20"/>
        </w:rPr>
        <w:t xml:space="preserve"> cents per litre, not 6.85 cents per litre.</w:t>
      </w:r>
    </w:p>
    <w:p w:rsidR="00E87E6C" w:rsidRPr="00D51476" w:rsidRDefault="00E87E6C" w:rsidP="003E549D">
      <w:pPr>
        <w:rPr>
          <w:rFonts w:ascii="Arial" w:hAnsi="Arial" w:cs="Arial"/>
          <w:sz w:val="20"/>
          <w:szCs w:val="20"/>
        </w:rPr>
      </w:pPr>
    </w:p>
    <w:p w:rsidR="003E549D" w:rsidRPr="00D51476" w:rsidRDefault="003E549D" w:rsidP="003E549D">
      <w:pPr>
        <w:rPr>
          <w:rFonts w:ascii="Arial" w:hAnsi="Arial" w:cs="Arial"/>
          <w:sz w:val="20"/>
          <w:szCs w:val="20"/>
        </w:rPr>
      </w:pPr>
      <w:r w:rsidRPr="00D51476">
        <w:rPr>
          <w:rFonts w:ascii="Arial" w:hAnsi="Arial" w:cs="Arial"/>
          <w:sz w:val="20"/>
          <w:szCs w:val="20"/>
        </w:rPr>
        <w:t xml:space="preserve">PwC recommend that variable charging be implemented </w:t>
      </w:r>
      <w:r w:rsidR="00DA1411" w:rsidRPr="00DA1411">
        <w:rPr>
          <w:rFonts w:ascii="Arial" w:hAnsi="Arial" w:cs="Arial"/>
          <w:i/>
          <w:sz w:val="20"/>
          <w:szCs w:val="20"/>
        </w:rPr>
        <w:t>only</w:t>
      </w:r>
      <w:r w:rsidRPr="00D51476">
        <w:rPr>
          <w:rFonts w:ascii="Arial" w:hAnsi="Arial" w:cs="Arial"/>
          <w:sz w:val="20"/>
          <w:szCs w:val="20"/>
        </w:rPr>
        <w:t xml:space="preserve"> if the government can demonstrate that the detailed data collected through variable charging can, and will, be used to improve road investment decision</w:t>
      </w:r>
      <w:r w:rsidR="004C0C95">
        <w:rPr>
          <w:rFonts w:ascii="Arial" w:hAnsi="Arial" w:cs="Arial"/>
          <w:sz w:val="20"/>
          <w:szCs w:val="20"/>
        </w:rPr>
        <w:t>-</w:t>
      </w:r>
      <w:r w:rsidRPr="00D51476">
        <w:rPr>
          <w:rFonts w:ascii="Arial" w:hAnsi="Arial" w:cs="Arial"/>
          <w:sz w:val="20"/>
          <w:szCs w:val="20"/>
        </w:rPr>
        <w:t xml:space="preserve">making, </w:t>
      </w:r>
      <w:r w:rsidR="004C0C95">
        <w:rPr>
          <w:rFonts w:ascii="Arial" w:hAnsi="Arial" w:cs="Arial"/>
          <w:sz w:val="20"/>
          <w:szCs w:val="20"/>
        </w:rPr>
        <w:t xml:space="preserve">and </w:t>
      </w:r>
      <w:r w:rsidRPr="00D51476">
        <w:rPr>
          <w:rFonts w:ascii="Arial" w:hAnsi="Arial" w:cs="Arial"/>
          <w:sz w:val="20"/>
          <w:szCs w:val="20"/>
        </w:rPr>
        <w:t xml:space="preserve">in such a way that </w:t>
      </w:r>
      <w:r w:rsidR="004C0C95">
        <w:rPr>
          <w:rFonts w:ascii="Arial" w:hAnsi="Arial" w:cs="Arial"/>
          <w:sz w:val="20"/>
          <w:szCs w:val="20"/>
        </w:rPr>
        <w:t>any</w:t>
      </w:r>
      <w:r w:rsidR="004C0C95" w:rsidRPr="00D51476">
        <w:rPr>
          <w:rFonts w:ascii="Arial" w:hAnsi="Arial" w:cs="Arial"/>
          <w:sz w:val="20"/>
          <w:szCs w:val="20"/>
        </w:rPr>
        <w:t xml:space="preserve"> </w:t>
      </w:r>
      <w:r w:rsidRPr="00D51476">
        <w:rPr>
          <w:rFonts w:ascii="Arial" w:hAnsi="Arial" w:cs="Arial"/>
          <w:sz w:val="20"/>
          <w:szCs w:val="20"/>
        </w:rPr>
        <w:t xml:space="preserve">added cost, time and complexity are warranted.   </w:t>
      </w:r>
    </w:p>
    <w:p w:rsidR="00E87E6C" w:rsidRPr="00D51476" w:rsidRDefault="00E87E6C" w:rsidP="003E549D">
      <w:pPr>
        <w:rPr>
          <w:rFonts w:ascii="Arial" w:hAnsi="Arial" w:cs="Arial"/>
          <w:sz w:val="20"/>
          <w:szCs w:val="20"/>
        </w:rPr>
      </w:pPr>
    </w:p>
    <w:p w:rsidR="003E549D" w:rsidRDefault="003E549D" w:rsidP="003E549D">
      <w:pPr>
        <w:rPr>
          <w:rFonts w:ascii="Arial" w:hAnsi="Arial" w:cs="Arial"/>
          <w:sz w:val="20"/>
          <w:szCs w:val="20"/>
        </w:rPr>
      </w:pPr>
      <w:r w:rsidRPr="00D51476">
        <w:rPr>
          <w:rFonts w:ascii="Arial" w:hAnsi="Arial" w:cs="Arial"/>
          <w:sz w:val="20"/>
          <w:szCs w:val="20"/>
        </w:rPr>
        <w:t xml:space="preserve">PwC identified the most efficient form of variable charging would reflect operator use of the network by recognising vehicle/combination designated mass and the distance travelled by tier.  </w:t>
      </w:r>
    </w:p>
    <w:p w:rsidR="00D51476" w:rsidRPr="00D51476" w:rsidRDefault="00D51476" w:rsidP="003E549D">
      <w:pPr>
        <w:rPr>
          <w:rFonts w:ascii="Arial" w:hAnsi="Arial" w:cs="Arial"/>
          <w:sz w:val="20"/>
          <w:szCs w:val="20"/>
        </w:rPr>
      </w:pPr>
    </w:p>
    <w:p w:rsidR="003E549D" w:rsidRPr="00D51476" w:rsidRDefault="003E549D" w:rsidP="003E549D">
      <w:pPr>
        <w:rPr>
          <w:rFonts w:ascii="Arial" w:hAnsi="Arial" w:cs="Arial"/>
          <w:sz w:val="20"/>
          <w:szCs w:val="20"/>
        </w:rPr>
      </w:pPr>
      <w:r w:rsidRPr="00D51476">
        <w:rPr>
          <w:rFonts w:ascii="Arial" w:hAnsi="Arial" w:cs="Arial"/>
          <w:sz w:val="20"/>
          <w:szCs w:val="20"/>
        </w:rPr>
        <w:t>PwC have also noted that a new charging system could work on a self-assessment and audit basis, like the existing Fuel Tax Credit system.</w:t>
      </w:r>
    </w:p>
    <w:p w:rsidR="00E87E6C" w:rsidRPr="00D51476" w:rsidRDefault="00E87E6C" w:rsidP="003E549D">
      <w:pPr>
        <w:rPr>
          <w:rFonts w:ascii="Arial" w:hAnsi="Arial" w:cs="Arial"/>
          <w:sz w:val="20"/>
          <w:szCs w:val="20"/>
        </w:rPr>
      </w:pPr>
    </w:p>
    <w:p w:rsidR="003E549D" w:rsidRDefault="003E549D" w:rsidP="003E549D">
      <w:pPr>
        <w:rPr>
          <w:rFonts w:ascii="Arial" w:hAnsi="Arial" w:cs="Arial"/>
          <w:sz w:val="20"/>
          <w:szCs w:val="20"/>
        </w:rPr>
      </w:pPr>
      <w:r w:rsidRPr="00D51476">
        <w:rPr>
          <w:rFonts w:ascii="Arial" w:hAnsi="Arial" w:cs="Arial"/>
          <w:sz w:val="20"/>
          <w:szCs w:val="20"/>
        </w:rPr>
        <w:t xml:space="preserve">Alternatively, a more expensive approach </w:t>
      </w:r>
      <w:r w:rsidR="00F34FEB">
        <w:rPr>
          <w:rFonts w:ascii="Arial" w:hAnsi="Arial" w:cs="Arial"/>
          <w:sz w:val="20"/>
          <w:szCs w:val="20"/>
        </w:rPr>
        <w:t>w</w:t>
      </w:r>
      <w:r w:rsidRPr="00D51476">
        <w:rPr>
          <w:rFonts w:ascii="Arial" w:hAnsi="Arial" w:cs="Arial"/>
          <w:sz w:val="20"/>
          <w:szCs w:val="20"/>
        </w:rPr>
        <w:t xml:space="preserve">ould be to </w:t>
      </w:r>
      <w:r w:rsidR="00F34FEB">
        <w:rPr>
          <w:rFonts w:ascii="Arial" w:hAnsi="Arial" w:cs="Arial"/>
          <w:sz w:val="20"/>
          <w:szCs w:val="20"/>
        </w:rPr>
        <w:t>employ</w:t>
      </w:r>
      <w:r w:rsidR="00F34FEB" w:rsidRPr="00D51476">
        <w:rPr>
          <w:rFonts w:ascii="Arial" w:hAnsi="Arial" w:cs="Arial"/>
          <w:sz w:val="20"/>
          <w:szCs w:val="20"/>
        </w:rPr>
        <w:t xml:space="preserve"> </w:t>
      </w:r>
      <w:r w:rsidRPr="00D51476">
        <w:rPr>
          <w:rFonts w:ascii="Arial" w:hAnsi="Arial" w:cs="Arial"/>
          <w:sz w:val="20"/>
          <w:szCs w:val="20"/>
        </w:rPr>
        <w:t>in-vehicle telematics. Cost</w:t>
      </w:r>
      <w:r w:rsidR="00D51476">
        <w:rPr>
          <w:rFonts w:ascii="Arial" w:hAnsi="Arial" w:cs="Arial"/>
          <w:sz w:val="20"/>
          <w:szCs w:val="20"/>
        </w:rPr>
        <w:t>s</w:t>
      </w:r>
      <w:r w:rsidRPr="00D51476">
        <w:rPr>
          <w:rFonts w:ascii="Arial" w:hAnsi="Arial" w:cs="Arial"/>
          <w:sz w:val="20"/>
          <w:szCs w:val="20"/>
        </w:rPr>
        <w:t xml:space="preserve"> can be minimised by using existing information already collected as part of emerging government data requirements </w:t>
      </w:r>
      <w:r w:rsidR="00F34FEB">
        <w:rPr>
          <w:rFonts w:ascii="Arial" w:hAnsi="Arial" w:cs="Arial"/>
          <w:sz w:val="20"/>
          <w:szCs w:val="20"/>
        </w:rPr>
        <w:t>including driver</w:t>
      </w:r>
      <w:r w:rsidRPr="00D51476">
        <w:rPr>
          <w:rFonts w:ascii="Arial" w:hAnsi="Arial" w:cs="Arial"/>
          <w:sz w:val="20"/>
          <w:szCs w:val="20"/>
        </w:rPr>
        <w:t xml:space="preserve"> work diaries and ABS freight data. </w:t>
      </w:r>
      <w:r w:rsidR="00813EA6">
        <w:rPr>
          <w:rFonts w:ascii="Arial" w:hAnsi="Arial" w:cs="Arial"/>
          <w:sz w:val="20"/>
          <w:szCs w:val="20"/>
        </w:rPr>
        <w:t>Utilising</w:t>
      </w:r>
      <w:r w:rsidR="00F34FEB" w:rsidRPr="00D51476">
        <w:rPr>
          <w:rFonts w:ascii="Arial" w:hAnsi="Arial" w:cs="Arial"/>
          <w:sz w:val="20"/>
          <w:szCs w:val="20"/>
        </w:rPr>
        <w:t xml:space="preserve"> </w:t>
      </w:r>
      <w:r w:rsidRPr="00D51476">
        <w:rPr>
          <w:rFonts w:ascii="Arial" w:hAnsi="Arial" w:cs="Arial"/>
          <w:sz w:val="20"/>
          <w:szCs w:val="20"/>
        </w:rPr>
        <w:t>existing business systems should also be explored. It is crucial that an ‘open standards’ approach to technology is adopted to promote technological innovation and take</w:t>
      </w:r>
      <w:r w:rsidR="00F34FEB">
        <w:rPr>
          <w:rFonts w:ascii="Arial" w:hAnsi="Arial" w:cs="Arial"/>
          <w:sz w:val="20"/>
          <w:szCs w:val="20"/>
        </w:rPr>
        <w:t>-</w:t>
      </w:r>
      <w:r w:rsidRPr="00D51476">
        <w:rPr>
          <w:rFonts w:ascii="Arial" w:hAnsi="Arial" w:cs="Arial"/>
          <w:sz w:val="20"/>
          <w:szCs w:val="20"/>
        </w:rPr>
        <w:t xml:space="preserve">up. </w:t>
      </w:r>
    </w:p>
    <w:p w:rsidR="0083751A" w:rsidRDefault="0083751A" w:rsidP="003E549D">
      <w:pPr>
        <w:rPr>
          <w:rFonts w:ascii="Arial" w:hAnsi="Arial" w:cs="Arial"/>
          <w:sz w:val="20"/>
          <w:szCs w:val="20"/>
        </w:rPr>
      </w:pPr>
    </w:p>
    <w:p w:rsidR="0002588E" w:rsidRDefault="0002588E" w:rsidP="0002588E">
      <w:pPr>
        <w:rPr>
          <w:rFonts w:ascii="Arial" w:hAnsi="Arial" w:cs="Arial"/>
          <w:sz w:val="20"/>
          <w:szCs w:val="20"/>
        </w:rPr>
      </w:pPr>
      <w:r>
        <w:rPr>
          <w:rFonts w:ascii="Arial" w:hAnsi="Arial" w:cs="Arial"/>
          <w:sz w:val="20"/>
          <w:szCs w:val="20"/>
        </w:rPr>
        <w:t>The costs of a telematics charge collection system should not be borne by the trucking industry. Road agencies are already provided detailed data through the Australian</w:t>
      </w:r>
      <w:r w:rsidRPr="0002588E">
        <w:rPr>
          <w:rFonts w:ascii="Arial" w:hAnsi="Arial" w:cs="Arial"/>
          <w:sz w:val="20"/>
          <w:szCs w:val="20"/>
        </w:rPr>
        <w:t xml:space="preserve"> Bureau of Statistics </w:t>
      </w:r>
      <w:r>
        <w:rPr>
          <w:rFonts w:ascii="Arial" w:hAnsi="Arial" w:cs="Arial"/>
          <w:sz w:val="20"/>
          <w:szCs w:val="20"/>
        </w:rPr>
        <w:t xml:space="preserve">and other entities, which are funded by the government.  This cost imposed in order to gather data for road providers through telematics should be paid for by the government not the trucking industry.  </w:t>
      </w:r>
    </w:p>
    <w:p w:rsidR="0002588E" w:rsidRDefault="0002588E" w:rsidP="0002588E">
      <w:pPr>
        <w:rPr>
          <w:rFonts w:ascii="Arial" w:hAnsi="Arial" w:cs="Arial"/>
          <w:sz w:val="20"/>
          <w:szCs w:val="20"/>
        </w:rPr>
      </w:pPr>
    </w:p>
    <w:p w:rsidR="0002588E" w:rsidRDefault="0002588E" w:rsidP="0002588E">
      <w:pPr>
        <w:rPr>
          <w:rFonts w:ascii="Arial" w:hAnsi="Arial" w:cs="Arial"/>
          <w:sz w:val="20"/>
          <w:szCs w:val="20"/>
        </w:rPr>
      </w:pPr>
      <w:r>
        <w:rPr>
          <w:rFonts w:ascii="Arial" w:hAnsi="Arial" w:cs="Arial"/>
          <w:sz w:val="20"/>
          <w:szCs w:val="20"/>
        </w:rPr>
        <w:t>Any cost recovery process should be separately distinguished and exclude data collection costs, as they are strategic policy costs.</w:t>
      </w:r>
    </w:p>
    <w:p w:rsidR="0002588E" w:rsidRDefault="0002588E" w:rsidP="0002588E">
      <w:pPr>
        <w:rPr>
          <w:rFonts w:ascii="Arial" w:hAnsi="Arial" w:cs="Arial"/>
          <w:sz w:val="20"/>
          <w:szCs w:val="20"/>
        </w:rPr>
      </w:pPr>
    </w:p>
    <w:p w:rsidR="0002588E" w:rsidRDefault="0002588E" w:rsidP="0002588E">
      <w:pPr>
        <w:rPr>
          <w:color w:val="1F497D"/>
        </w:rPr>
      </w:pPr>
      <w:r>
        <w:rPr>
          <w:rFonts w:ascii="Arial" w:hAnsi="Arial" w:cs="Arial"/>
          <w:sz w:val="20"/>
          <w:szCs w:val="20"/>
          <w:lang w:val="en-US"/>
        </w:rPr>
        <w:t>Current examples where inappropriate costs are included in the charges industry pays are the NSW Safe-T-Cam costs being added to NSW enforcement costs resulting in state specific cost that are beyond other states. Also we have recently become aware that some States include IAP back room costs in the current heavy vehicle cost base.</w:t>
      </w:r>
    </w:p>
    <w:p w:rsidR="0083751A" w:rsidRDefault="0083751A" w:rsidP="003E549D">
      <w:pPr>
        <w:rPr>
          <w:rFonts w:ascii="Arial" w:hAnsi="Arial" w:cs="Arial"/>
          <w:sz w:val="20"/>
          <w:szCs w:val="20"/>
        </w:rPr>
      </w:pPr>
    </w:p>
    <w:p w:rsidR="00D51476" w:rsidRDefault="003E549D" w:rsidP="003E549D">
      <w:pPr>
        <w:rPr>
          <w:rFonts w:ascii="Arial" w:hAnsi="Arial" w:cs="Arial"/>
          <w:sz w:val="20"/>
          <w:szCs w:val="20"/>
        </w:rPr>
      </w:pPr>
      <w:r w:rsidRPr="00D51476">
        <w:rPr>
          <w:rFonts w:ascii="Arial" w:hAnsi="Arial" w:cs="Arial"/>
          <w:sz w:val="20"/>
          <w:szCs w:val="20"/>
        </w:rPr>
        <w:t>Under a variable charging regime PwC also propose</w:t>
      </w:r>
      <w:r w:rsidR="00F34FEB">
        <w:rPr>
          <w:rFonts w:ascii="Arial" w:hAnsi="Arial" w:cs="Arial"/>
          <w:sz w:val="20"/>
          <w:szCs w:val="20"/>
        </w:rPr>
        <w:t>s</w:t>
      </w:r>
      <w:r w:rsidRPr="00D51476">
        <w:rPr>
          <w:rFonts w:ascii="Arial" w:hAnsi="Arial" w:cs="Arial"/>
          <w:sz w:val="20"/>
          <w:szCs w:val="20"/>
        </w:rPr>
        <w:t xml:space="preserve"> that money should not necessarily follow the truck, i.e. revenue raised on a particular stretch of road </w:t>
      </w:r>
      <w:r w:rsidR="00F34FEB">
        <w:rPr>
          <w:rFonts w:ascii="Arial" w:hAnsi="Arial" w:cs="Arial"/>
          <w:sz w:val="20"/>
          <w:szCs w:val="20"/>
        </w:rPr>
        <w:t>need</w:t>
      </w:r>
      <w:r w:rsidR="00F34FEB" w:rsidRPr="00D51476">
        <w:rPr>
          <w:rFonts w:ascii="Arial" w:hAnsi="Arial" w:cs="Arial"/>
          <w:sz w:val="20"/>
          <w:szCs w:val="20"/>
        </w:rPr>
        <w:t xml:space="preserve"> </w:t>
      </w:r>
      <w:r w:rsidRPr="00D51476">
        <w:rPr>
          <w:rFonts w:ascii="Arial" w:hAnsi="Arial" w:cs="Arial"/>
          <w:sz w:val="20"/>
          <w:szCs w:val="20"/>
        </w:rPr>
        <w:t xml:space="preserve">not automatically be spent on that road. </w:t>
      </w:r>
    </w:p>
    <w:p w:rsidR="00D51476" w:rsidRDefault="00D51476" w:rsidP="003E549D">
      <w:pPr>
        <w:rPr>
          <w:rFonts w:ascii="Arial" w:hAnsi="Arial" w:cs="Arial"/>
          <w:sz w:val="20"/>
          <w:szCs w:val="20"/>
        </w:rPr>
      </w:pPr>
    </w:p>
    <w:p w:rsidR="00D51476" w:rsidRDefault="003E549D" w:rsidP="003E549D">
      <w:pPr>
        <w:rPr>
          <w:rFonts w:ascii="Arial" w:hAnsi="Arial" w:cs="Arial"/>
          <w:sz w:val="20"/>
          <w:szCs w:val="20"/>
        </w:rPr>
      </w:pPr>
      <w:r w:rsidRPr="00D51476">
        <w:rPr>
          <w:rFonts w:ascii="Arial" w:hAnsi="Arial" w:cs="Arial"/>
          <w:sz w:val="20"/>
          <w:szCs w:val="20"/>
        </w:rPr>
        <w:t>Investment and maintenance decision</w:t>
      </w:r>
      <w:r w:rsidR="00F34FEB">
        <w:rPr>
          <w:rFonts w:ascii="Arial" w:hAnsi="Arial" w:cs="Arial"/>
          <w:sz w:val="20"/>
          <w:szCs w:val="20"/>
        </w:rPr>
        <w:t>s</w:t>
      </w:r>
      <w:r w:rsidRPr="00D51476">
        <w:rPr>
          <w:rFonts w:ascii="Arial" w:hAnsi="Arial" w:cs="Arial"/>
          <w:sz w:val="20"/>
          <w:szCs w:val="20"/>
        </w:rPr>
        <w:t xml:space="preserve"> are different from charging regimes </w:t>
      </w:r>
      <w:r w:rsidR="00F34FEB">
        <w:rPr>
          <w:rFonts w:ascii="Arial" w:hAnsi="Arial" w:cs="Arial"/>
          <w:sz w:val="20"/>
          <w:szCs w:val="20"/>
        </w:rPr>
        <w:t>so</w:t>
      </w:r>
      <w:r w:rsidR="00F34FEB" w:rsidRPr="00D51476">
        <w:rPr>
          <w:rFonts w:ascii="Arial" w:hAnsi="Arial" w:cs="Arial"/>
          <w:sz w:val="20"/>
          <w:szCs w:val="20"/>
        </w:rPr>
        <w:t xml:space="preserve"> </w:t>
      </w:r>
      <w:r w:rsidRPr="00D51476">
        <w:rPr>
          <w:rFonts w:ascii="Arial" w:hAnsi="Arial" w:cs="Arial"/>
          <w:sz w:val="20"/>
          <w:szCs w:val="20"/>
        </w:rPr>
        <w:t>variable charging will not automatically make location</w:t>
      </w:r>
      <w:r w:rsidR="00F34FEB">
        <w:rPr>
          <w:rFonts w:ascii="Arial" w:hAnsi="Arial" w:cs="Arial"/>
          <w:sz w:val="20"/>
          <w:szCs w:val="20"/>
        </w:rPr>
        <w:t>-</w:t>
      </w:r>
      <w:r w:rsidRPr="00D51476">
        <w:rPr>
          <w:rFonts w:ascii="Arial" w:hAnsi="Arial" w:cs="Arial"/>
          <w:sz w:val="20"/>
          <w:szCs w:val="20"/>
        </w:rPr>
        <w:t xml:space="preserve">specific investment and maintenance decisions. </w:t>
      </w:r>
    </w:p>
    <w:p w:rsidR="00510D1B" w:rsidRPr="00D51476" w:rsidRDefault="0002588E" w:rsidP="004C7F70">
      <w:pPr>
        <w:rPr>
          <w:rFonts w:ascii="Arial" w:hAnsi="Arial" w:cs="Arial"/>
          <w:sz w:val="20"/>
          <w:szCs w:val="20"/>
        </w:rPr>
      </w:pPr>
      <w:r>
        <w:rPr>
          <w:rFonts w:ascii="Arial" w:hAnsi="Arial" w:cs="Arial"/>
          <w:sz w:val="20"/>
          <w:szCs w:val="20"/>
        </w:rPr>
        <w:br w:type="page"/>
      </w:r>
      <w:bookmarkStart w:id="215" w:name="_Toc361217294"/>
      <w:bookmarkStart w:id="216" w:name="_Toc361217667"/>
      <w:bookmarkStart w:id="217" w:name="_Toc361218196"/>
      <w:bookmarkStart w:id="218" w:name="_Toc361219551"/>
      <w:bookmarkStart w:id="219" w:name="_Toc361232830"/>
      <w:bookmarkStart w:id="220" w:name="_Toc361302855"/>
      <w:bookmarkStart w:id="221" w:name="_Toc361321214"/>
      <w:bookmarkStart w:id="222" w:name="_Toc361733004"/>
      <w:bookmarkStart w:id="223" w:name="_Toc361736711"/>
      <w:bookmarkStart w:id="224" w:name="_Toc361821360"/>
      <w:bookmarkStart w:id="225" w:name="_Toc361219553"/>
      <w:bookmarkStart w:id="226" w:name="_Toc361232832"/>
      <w:bookmarkStart w:id="227" w:name="_Toc361302857"/>
      <w:bookmarkStart w:id="228" w:name="_Toc361321216"/>
      <w:bookmarkStart w:id="229" w:name="_Toc361733006"/>
      <w:bookmarkStart w:id="230" w:name="_Toc361736713"/>
      <w:bookmarkStart w:id="231" w:name="_Toc361821362"/>
      <w:bookmarkStart w:id="232" w:name="_Toc361822890"/>
      <w:bookmarkStart w:id="233" w:name="_Toc361219555"/>
      <w:bookmarkStart w:id="234" w:name="_Toc361232834"/>
      <w:bookmarkStart w:id="235" w:name="_Toc361302859"/>
      <w:bookmarkStart w:id="236" w:name="_Toc361321218"/>
      <w:bookmarkStart w:id="237" w:name="_Toc361733008"/>
      <w:bookmarkStart w:id="238" w:name="_Toc361736715"/>
      <w:bookmarkStart w:id="239" w:name="_Toc361821364"/>
      <w:bookmarkStart w:id="240" w:name="_Toc361822894"/>
      <w:bookmarkStart w:id="241" w:name="_Toc361219559"/>
      <w:bookmarkStart w:id="242" w:name="_Toc361232838"/>
      <w:bookmarkStart w:id="243" w:name="_Toc361302863"/>
      <w:bookmarkStart w:id="244" w:name="_Toc361321222"/>
      <w:bookmarkStart w:id="245" w:name="_Toc361733012"/>
      <w:bookmarkStart w:id="246" w:name="_Toc361736719"/>
      <w:bookmarkStart w:id="247" w:name="_Toc361821368"/>
      <w:bookmarkStart w:id="248" w:name="_Toc36182289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E87E6C" w:rsidRPr="00D51476" w:rsidRDefault="00E87E6C" w:rsidP="00793431">
      <w:pPr>
        <w:pStyle w:val="Heading1"/>
        <w:numPr>
          <w:ilvl w:val="0"/>
          <w:numId w:val="3"/>
        </w:numPr>
      </w:pPr>
      <w:r w:rsidRPr="00D51476">
        <w:lastRenderedPageBreak/>
        <w:t xml:space="preserve"> </w:t>
      </w:r>
      <w:bookmarkStart w:id="249" w:name="_Toc362528140"/>
      <w:r w:rsidR="00BB2D16">
        <w:t>Intricacies</w:t>
      </w:r>
      <w:r w:rsidRPr="00D51476">
        <w:t xml:space="preserve"> of heavy vehicle charges reform</w:t>
      </w:r>
      <w:bookmarkEnd w:id="249"/>
    </w:p>
    <w:p w:rsidR="00906AA7" w:rsidRPr="00D51476" w:rsidRDefault="00906AA7" w:rsidP="004C7F70">
      <w:pPr>
        <w:rPr>
          <w:rFonts w:ascii="Arial" w:hAnsi="Arial" w:cs="Arial"/>
          <w:sz w:val="20"/>
          <w:szCs w:val="20"/>
          <w:u w:val="single"/>
        </w:rPr>
      </w:pPr>
    </w:p>
    <w:p w:rsidR="00906AA7" w:rsidRPr="00793431" w:rsidRDefault="00E87E6C" w:rsidP="00793431">
      <w:pPr>
        <w:pStyle w:val="Heading1"/>
        <w:numPr>
          <w:ilvl w:val="1"/>
          <w:numId w:val="16"/>
        </w:numPr>
      </w:pPr>
      <w:bookmarkStart w:id="250" w:name="_Toc362528141"/>
      <w:r w:rsidRPr="00793431">
        <w:t xml:space="preserve">The </w:t>
      </w:r>
      <w:r w:rsidR="00F34FEB" w:rsidRPr="00793431">
        <w:t>Road User Charge</w:t>
      </w:r>
      <w:r w:rsidR="00813EA6" w:rsidRPr="00793431">
        <w:t xml:space="preserve"> (RUC)</w:t>
      </w:r>
      <w:r w:rsidRPr="00793431">
        <w:t xml:space="preserve"> exceeding the excise cap</w:t>
      </w:r>
      <w:bookmarkEnd w:id="250"/>
    </w:p>
    <w:p w:rsidR="00E87E6C" w:rsidRPr="00D51476" w:rsidRDefault="00E87E6C" w:rsidP="004C7F70">
      <w:pPr>
        <w:rPr>
          <w:rFonts w:ascii="Arial" w:hAnsi="Arial" w:cs="Arial"/>
          <w:sz w:val="20"/>
          <w:szCs w:val="20"/>
          <w:u w:val="single"/>
        </w:rPr>
      </w:pPr>
    </w:p>
    <w:p w:rsidR="00D51476" w:rsidRDefault="00D51476" w:rsidP="00124FCD">
      <w:pPr>
        <w:rPr>
          <w:rFonts w:ascii="Arial" w:hAnsi="Arial" w:cs="Arial"/>
          <w:sz w:val="20"/>
          <w:szCs w:val="20"/>
        </w:rPr>
      </w:pPr>
      <w:r>
        <w:rPr>
          <w:rFonts w:ascii="Arial" w:hAnsi="Arial" w:cs="Arial"/>
          <w:sz w:val="20"/>
          <w:szCs w:val="20"/>
        </w:rPr>
        <w:t xml:space="preserve">Under a higher RUC </w:t>
      </w:r>
      <w:r w:rsidR="008B26F9">
        <w:rPr>
          <w:rFonts w:ascii="Arial" w:hAnsi="Arial" w:cs="Arial"/>
          <w:sz w:val="20"/>
          <w:szCs w:val="20"/>
        </w:rPr>
        <w:t xml:space="preserve">component </w:t>
      </w:r>
      <w:r>
        <w:rPr>
          <w:rFonts w:ascii="Arial" w:hAnsi="Arial" w:cs="Arial"/>
          <w:sz w:val="20"/>
          <w:szCs w:val="20"/>
        </w:rPr>
        <w:t>charge</w:t>
      </w:r>
      <w:r w:rsidR="008B26F9">
        <w:rPr>
          <w:rFonts w:ascii="Arial" w:hAnsi="Arial" w:cs="Arial"/>
          <w:sz w:val="20"/>
          <w:szCs w:val="20"/>
        </w:rPr>
        <w:t>,</w:t>
      </w:r>
      <w:r w:rsidR="00AC5388">
        <w:rPr>
          <w:rFonts w:ascii="Arial" w:hAnsi="Arial" w:cs="Arial"/>
          <w:sz w:val="20"/>
          <w:szCs w:val="20"/>
        </w:rPr>
        <w:t xml:space="preserve"> the RUC could</w:t>
      </w:r>
      <w:r>
        <w:rPr>
          <w:rFonts w:ascii="Arial" w:hAnsi="Arial" w:cs="Arial"/>
          <w:sz w:val="20"/>
          <w:szCs w:val="20"/>
        </w:rPr>
        <w:t xml:space="preserve"> exceed the fixed excise cap. </w:t>
      </w:r>
    </w:p>
    <w:p w:rsidR="00D51476" w:rsidRDefault="00D51476" w:rsidP="00124FCD">
      <w:pPr>
        <w:rPr>
          <w:rFonts w:ascii="Arial" w:hAnsi="Arial" w:cs="Arial"/>
          <w:sz w:val="20"/>
          <w:szCs w:val="20"/>
        </w:rPr>
      </w:pPr>
    </w:p>
    <w:p w:rsidR="00D51476" w:rsidRDefault="00C32A84" w:rsidP="00124FCD">
      <w:pPr>
        <w:rPr>
          <w:rFonts w:ascii="Arial" w:hAnsi="Arial" w:cs="Arial"/>
          <w:sz w:val="20"/>
          <w:szCs w:val="20"/>
        </w:rPr>
      </w:pPr>
      <w:r>
        <w:rPr>
          <w:rFonts w:ascii="Arial" w:hAnsi="Arial" w:cs="Arial"/>
          <w:sz w:val="20"/>
          <w:szCs w:val="20"/>
        </w:rPr>
        <w:t xml:space="preserve">The </w:t>
      </w:r>
      <w:r w:rsidR="008B26F9">
        <w:rPr>
          <w:rFonts w:ascii="Arial" w:hAnsi="Arial" w:cs="Arial"/>
          <w:sz w:val="20"/>
          <w:szCs w:val="20"/>
        </w:rPr>
        <w:t>effect</w:t>
      </w:r>
      <w:r>
        <w:rPr>
          <w:rFonts w:ascii="Arial" w:hAnsi="Arial" w:cs="Arial"/>
          <w:sz w:val="20"/>
          <w:szCs w:val="20"/>
        </w:rPr>
        <w:t xml:space="preserve"> of moving to a system where RUC exceeds </w:t>
      </w:r>
      <w:r w:rsidR="008B26F9">
        <w:rPr>
          <w:rFonts w:ascii="Arial" w:hAnsi="Arial" w:cs="Arial"/>
          <w:sz w:val="20"/>
          <w:szCs w:val="20"/>
        </w:rPr>
        <w:t>excise</w:t>
      </w:r>
      <w:r>
        <w:rPr>
          <w:rFonts w:ascii="Arial" w:hAnsi="Arial" w:cs="Arial"/>
          <w:sz w:val="20"/>
          <w:szCs w:val="20"/>
        </w:rPr>
        <w:t xml:space="preserve"> presents some </w:t>
      </w:r>
      <w:r w:rsidR="008B26F9">
        <w:rPr>
          <w:rFonts w:ascii="Arial" w:hAnsi="Arial" w:cs="Arial"/>
          <w:sz w:val="20"/>
          <w:szCs w:val="20"/>
        </w:rPr>
        <w:t xml:space="preserve">apparent </w:t>
      </w:r>
      <w:r>
        <w:rPr>
          <w:rFonts w:ascii="Arial" w:hAnsi="Arial" w:cs="Arial"/>
          <w:sz w:val="20"/>
          <w:szCs w:val="20"/>
        </w:rPr>
        <w:t>challenges:</w:t>
      </w:r>
    </w:p>
    <w:p w:rsidR="007F4CE3" w:rsidRDefault="007F4CE3" w:rsidP="00124FCD">
      <w:pPr>
        <w:rPr>
          <w:rFonts w:ascii="Arial" w:hAnsi="Arial" w:cs="Arial"/>
          <w:sz w:val="20"/>
          <w:szCs w:val="20"/>
        </w:rPr>
      </w:pPr>
    </w:p>
    <w:p w:rsidR="00C32A84" w:rsidRDefault="00C32A84" w:rsidP="00793431">
      <w:pPr>
        <w:pStyle w:val="ListParagraph"/>
        <w:numPr>
          <w:ilvl w:val="0"/>
          <w:numId w:val="5"/>
        </w:numPr>
        <w:rPr>
          <w:rFonts w:ascii="Arial" w:hAnsi="Arial" w:cs="Arial"/>
          <w:sz w:val="20"/>
          <w:szCs w:val="20"/>
        </w:rPr>
      </w:pPr>
      <w:r>
        <w:rPr>
          <w:rFonts w:ascii="Arial" w:hAnsi="Arial" w:cs="Arial"/>
          <w:sz w:val="20"/>
          <w:szCs w:val="20"/>
        </w:rPr>
        <w:t>Industry will be paying a levy not rece</w:t>
      </w:r>
      <w:r w:rsidR="008B26F9">
        <w:rPr>
          <w:rFonts w:ascii="Arial" w:hAnsi="Arial" w:cs="Arial"/>
          <w:sz w:val="20"/>
          <w:szCs w:val="20"/>
        </w:rPr>
        <w:t>iving a tax credit,</w:t>
      </w:r>
      <w:r>
        <w:rPr>
          <w:rFonts w:ascii="Arial" w:hAnsi="Arial" w:cs="Arial"/>
          <w:sz w:val="20"/>
          <w:szCs w:val="20"/>
        </w:rPr>
        <w:t xml:space="preserve"> </w:t>
      </w:r>
    </w:p>
    <w:p w:rsidR="00C32A84" w:rsidRDefault="00CD7678" w:rsidP="00793431">
      <w:pPr>
        <w:pStyle w:val="ListParagraph"/>
        <w:numPr>
          <w:ilvl w:val="0"/>
          <w:numId w:val="5"/>
        </w:numPr>
        <w:rPr>
          <w:rFonts w:ascii="Arial" w:hAnsi="Arial" w:cs="Arial"/>
          <w:sz w:val="20"/>
          <w:szCs w:val="20"/>
        </w:rPr>
      </w:pPr>
      <w:r>
        <w:rPr>
          <w:rFonts w:ascii="Arial" w:hAnsi="Arial" w:cs="Arial"/>
          <w:sz w:val="20"/>
          <w:szCs w:val="20"/>
        </w:rPr>
        <w:t>A market system for carbon</w:t>
      </w:r>
      <w:r w:rsidR="007F4CE3">
        <w:rPr>
          <w:rFonts w:ascii="Arial" w:hAnsi="Arial" w:cs="Arial"/>
          <w:sz w:val="20"/>
          <w:szCs w:val="20"/>
        </w:rPr>
        <w:t xml:space="preserve"> emissions</w:t>
      </w:r>
      <w:r>
        <w:rPr>
          <w:rFonts w:ascii="Arial" w:hAnsi="Arial" w:cs="Arial"/>
          <w:sz w:val="20"/>
          <w:szCs w:val="20"/>
        </w:rPr>
        <w:t xml:space="preserve"> </w:t>
      </w:r>
      <w:r w:rsidR="007F4CE3">
        <w:rPr>
          <w:rFonts w:ascii="Arial" w:hAnsi="Arial" w:cs="Arial"/>
          <w:sz w:val="20"/>
          <w:szCs w:val="20"/>
        </w:rPr>
        <w:t xml:space="preserve">that </w:t>
      </w:r>
      <w:r>
        <w:rPr>
          <w:rFonts w:ascii="Arial" w:hAnsi="Arial" w:cs="Arial"/>
          <w:sz w:val="20"/>
          <w:szCs w:val="20"/>
        </w:rPr>
        <w:t xml:space="preserve">changes every </w:t>
      </w:r>
      <w:r w:rsidR="007F4CE3">
        <w:rPr>
          <w:rFonts w:ascii="Arial" w:hAnsi="Arial" w:cs="Arial"/>
          <w:sz w:val="20"/>
          <w:szCs w:val="20"/>
        </w:rPr>
        <w:t xml:space="preserve">six </w:t>
      </w:r>
      <w:r>
        <w:rPr>
          <w:rFonts w:ascii="Arial" w:hAnsi="Arial" w:cs="Arial"/>
          <w:sz w:val="20"/>
          <w:szCs w:val="20"/>
        </w:rPr>
        <w:t>months will affect the levy industry pays</w:t>
      </w:r>
      <w:r w:rsidR="008B26F9">
        <w:rPr>
          <w:rFonts w:ascii="Arial" w:hAnsi="Arial" w:cs="Arial"/>
          <w:sz w:val="20"/>
          <w:szCs w:val="20"/>
        </w:rPr>
        <w:t>,</w:t>
      </w:r>
    </w:p>
    <w:p w:rsidR="00CD7678" w:rsidRDefault="00B0197E" w:rsidP="00793431">
      <w:pPr>
        <w:pStyle w:val="ListParagraph"/>
        <w:numPr>
          <w:ilvl w:val="0"/>
          <w:numId w:val="5"/>
        </w:numPr>
        <w:rPr>
          <w:rFonts w:ascii="Arial" w:hAnsi="Arial" w:cs="Arial"/>
          <w:sz w:val="20"/>
          <w:szCs w:val="20"/>
        </w:rPr>
      </w:pPr>
      <w:r>
        <w:rPr>
          <w:rFonts w:ascii="Arial" w:hAnsi="Arial" w:cs="Arial"/>
          <w:sz w:val="20"/>
          <w:szCs w:val="20"/>
        </w:rPr>
        <w:t xml:space="preserve">Different compliance requirements </w:t>
      </w:r>
      <w:r w:rsidR="008B26F9">
        <w:rPr>
          <w:rFonts w:ascii="Arial" w:hAnsi="Arial" w:cs="Arial"/>
          <w:sz w:val="20"/>
          <w:szCs w:val="20"/>
        </w:rPr>
        <w:t>due to moving from a tax credit to a levy,</w:t>
      </w:r>
    </w:p>
    <w:p w:rsidR="00B0197E" w:rsidRDefault="00B0197E" w:rsidP="00793431">
      <w:pPr>
        <w:pStyle w:val="ListParagraph"/>
        <w:numPr>
          <w:ilvl w:val="0"/>
          <w:numId w:val="5"/>
        </w:numPr>
        <w:rPr>
          <w:rFonts w:ascii="Arial" w:hAnsi="Arial" w:cs="Arial"/>
          <w:sz w:val="20"/>
          <w:szCs w:val="20"/>
        </w:rPr>
      </w:pPr>
      <w:r>
        <w:rPr>
          <w:rFonts w:ascii="Arial" w:hAnsi="Arial" w:cs="Arial"/>
          <w:sz w:val="20"/>
          <w:szCs w:val="20"/>
        </w:rPr>
        <w:t>Possible changes to the BAS (ATO ha</w:t>
      </w:r>
      <w:r w:rsidR="007F4CE3">
        <w:rPr>
          <w:rFonts w:ascii="Arial" w:hAnsi="Arial" w:cs="Arial"/>
          <w:sz w:val="20"/>
          <w:szCs w:val="20"/>
        </w:rPr>
        <w:t>s</w:t>
      </w:r>
      <w:r>
        <w:rPr>
          <w:rFonts w:ascii="Arial" w:hAnsi="Arial" w:cs="Arial"/>
          <w:sz w:val="20"/>
          <w:szCs w:val="20"/>
        </w:rPr>
        <w:t xml:space="preserve"> indicated this cost is around $</w:t>
      </w:r>
      <w:proofErr w:type="spellStart"/>
      <w:r>
        <w:rPr>
          <w:rFonts w:ascii="Arial" w:hAnsi="Arial" w:cs="Arial"/>
          <w:sz w:val="20"/>
          <w:szCs w:val="20"/>
        </w:rPr>
        <w:t>1</w:t>
      </w:r>
      <w:r w:rsidR="007F4CE3">
        <w:rPr>
          <w:rFonts w:ascii="Arial" w:hAnsi="Arial" w:cs="Arial"/>
          <w:sz w:val="20"/>
          <w:szCs w:val="20"/>
        </w:rPr>
        <w:t>M</w:t>
      </w:r>
      <w:proofErr w:type="spellEnd"/>
      <w:r>
        <w:rPr>
          <w:rFonts w:ascii="Arial" w:hAnsi="Arial" w:cs="Arial"/>
          <w:sz w:val="20"/>
          <w:szCs w:val="20"/>
        </w:rPr>
        <w:t>)</w:t>
      </w:r>
      <w:r w:rsidR="008B26F9">
        <w:rPr>
          <w:rFonts w:ascii="Arial" w:hAnsi="Arial" w:cs="Arial"/>
          <w:sz w:val="20"/>
          <w:szCs w:val="20"/>
        </w:rPr>
        <w:t>,</w:t>
      </w:r>
    </w:p>
    <w:p w:rsidR="00B0197E" w:rsidRDefault="00B0197E" w:rsidP="00793431">
      <w:pPr>
        <w:pStyle w:val="ListParagraph"/>
        <w:numPr>
          <w:ilvl w:val="0"/>
          <w:numId w:val="5"/>
        </w:numPr>
        <w:rPr>
          <w:rFonts w:ascii="Arial" w:hAnsi="Arial" w:cs="Arial"/>
          <w:sz w:val="20"/>
          <w:szCs w:val="20"/>
        </w:rPr>
      </w:pPr>
      <w:r>
        <w:rPr>
          <w:rFonts w:ascii="Arial" w:hAnsi="Arial" w:cs="Arial"/>
          <w:sz w:val="20"/>
          <w:szCs w:val="20"/>
        </w:rPr>
        <w:t>Legislation changes necessary, att</w:t>
      </w:r>
      <w:r w:rsidR="008B26F9">
        <w:rPr>
          <w:rFonts w:ascii="Arial" w:hAnsi="Arial" w:cs="Arial"/>
          <w:sz w:val="20"/>
          <w:szCs w:val="20"/>
        </w:rPr>
        <w:t>ached to the fuel tax credit,</w:t>
      </w:r>
    </w:p>
    <w:p w:rsidR="00B0197E" w:rsidRDefault="00B0197E" w:rsidP="00793431">
      <w:pPr>
        <w:pStyle w:val="ListParagraph"/>
        <w:numPr>
          <w:ilvl w:val="0"/>
          <w:numId w:val="5"/>
        </w:numPr>
        <w:rPr>
          <w:rFonts w:ascii="Arial" w:hAnsi="Arial" w:cs="Arial"/>
          <w:sz w:val="20"/>
          <w:szCs w:val="20"/>
        </w:rPr>
      </w:pPr>
      <w:r>
        <w:rPr>
          <w:rFonts w:ascii="Arial" w:hAnsi="Arial" w:cs="Arial"/>
          <w:sz w:val="20"/>
          <w:szCs w:val="20"/>
        </w:rPr>
        <w:t>The legislation changes would be likely to take 12-18 months to complete</w:t>
      </w:r>
      <w:r w:rsidR="008B26F9">
        <w:rPr>
          <w:rFonts w:ascii="Arial" w:hAnsi="Arial" w:cs="Arial"/>
          <w:sz w:val="20"/>
          <w:szCs w:val="20"/>
        </w:rPr>
        <w:t>,</w:t>
      </w:r>
    </w:p>
    <w:p w:rsidR="00B0197E" w:rsidRPr="0002588E" w:rsidRDefault="0002588E" w:rsidP="00B0197E">
      <w:pPr>
        <w:pStyle w:val="ListParagraph"/>
        <w:numPr>
          <w:ilvl w:val="0"/>
          <w:numId w:val="5"/>
        </w:numPr>
        <w:rPr>
          <w:rFonts w:ascii="Arial" w:hAnsi="Arial" w:cs="Arial"/>
          <w:sz w:val="20"/>
          <w:szCs w:val="20"/>
        </w:rPr>
      </w:pPr>
      <w:r>
        <w:rPr>
          <w:rFonts w:ascii="Arial" w:hAnsi="Arial" w:cs="Arial"/>
          <w:sz w:val="20"/>
          <w:szCs w:val="20"/>
        </w:rPr>
        <w:t>A</w:t>
      </w:r>
      <w:r w:rsidR="00B0197E">
        <w:rPr>
          <w:rFonts w:ascii="Arial" w:hAnsi="Arial" w:cs="Arial"/>
          <w:sz w:val="20"/>
          <w:szCs w:val="20"/>
        </w:rPr>
        <w:t>TO ha</w:t>
      </w:r>
      <w:r w:rsidR="007F4CE3">
        <w:rPr>
          <w:rFonts w:ascii="Arial" w:hAnsi="Arial" w:cs="Arial"/>
          <w:sz w:val="20"/>
          <w:szCs w:val="20"/>
        </w:rPr>
        <w:t>s</w:t>
      </w:r>
      <w:r w:rsidR="00B0197E">
        <w:rPr>
          <w:rFonts w:ascii="Arial" w:hAnsi="Arial" w:cs="Arial"/>
          <w:sz w:val="20"/>
          <w:szCs w:val="20"/>
        </w:rPr>
        <w:t xml:space="preserve"> stated the possibility of different RUC rates presents complexity</w:t>
      </w:r>
      <w:r w:rsidR="008B26F9">
        <w:rPr>
          <w:rFonts w:ascii="Arial" w:hAnsi="Arial" w:cs="Arial"/>
          <w:sz w:val="20"/>
          <w:szCs w:val="20"/>
        </w:rPr>
        <w:t>.</w:t>
      </w:r>
    </w:p>
    <w:p w:rsidR="00B0197E" w:rsidRDefault="00B0197E" w:rsidP="00B0197E">
      <w:pPr>
        <w:rPr>
          <w:rFonts w:ascii="Arial" w:hAnsi="Arial" w:cs="Arial"/>
          <w:sz w:val="20"/>
          <w:szCs w:val="20"/>
        </w:rPr>
      </w:pPr>
      <w:r>
        <w:rPr>
          <w:rFonts w:ascii="Arial" w:hAnsi="Arial" w:cs="Arial"/>
          <w:sz w:val="20"/>
          <w:szCs w:val="20"/>
        </w:rPr>
        <w:t xml:space="preserve">The message from the ATO has been </w:t>
      </w:r>
      <w:r w:rsidR="008B26F9">
        <w:rPr>
          <w:rFonts w:ascii="Arial" w:hAnsi="Arial" w:cs="Arial"/>
          <w:sz w:val="20"/>
          <w:szCs w:val="20"/>
        </w:rPr>
        <w:t>consistent;</w:t>
      </w:r>
      <w:r>
        <w:rPr>
          <w:rFonts w:ascii="Arial" w:hAnsi="Arial" w:cs="Arial"/>
          <w:sz w:val="20"/>
          <w:szCs w:val="20"/>
        </w:rPr>
        <w:t xml:space="preserve"> </w:t>
      </w:r>
      <w:r w:rsidR="008B26F9">
        <w:rPr>
          <w:rFonts w:ascii="Arial" w:hAnsi="Arial" w:cs="Arial"/>
          <w:sz w:val="20"/>
          <w:szCs w:val="20"/>
        </w:rPr>
        <w:t>it’s</w:t>
      </w:r>
      <w:r>
        <w:rPr>
          <w:rFonts w:ascii="Arial" w:hAnsi="Arial" w:cs="Arial"/>
          <w:sz w:val="20"/>
          <w:szCs w:val="20"/>
        </w:rPr>
        <w:t xml:space="preserve"> going to </w:t>
      </w:r>
      <w:r w:rsidR="007F4CE3">
        <w:rPr>
          <w:rFonts w:ascii="Arial" w:hAnsi="Arial" w:cs="Arial"/>
          <w:sz w:val="20"/>
          <w:szCs w:val="20"/>
        </w:rPr>
        <w:t xml:space="preserve">be </w:t>
      </w:r>
      <w:r>
        <w:rPr>
          <w:rFonts w:ascii="Arial" w:hAnsi="Arial" w:cs="Arial"/>
          <w:sz w:val="20"/>
          <w:szCs w:val="20"/>
        </w:rPr>
        <w:t>a complex process. However, in the scheme of overall changes that any new charges system would present</w:t>
      </w:r>
      <w:r w:rsidR="007F4CE3">
        <w:rPr>
          <w:rFonts w:ascii="Arial" w:hAnsi="Arial" w:cs="Arial"/>
          <w:sz w:val="20"/>
          <w:szCs w:val="20"/>
        </w:rPr>
        <w:t>,</w:t>
      </w:r>
      <w:r>
        <w:rPr>
          <w:rFonts w:ascii="Arial" w:hAnsi="Arial" w:cs="Arial"/>
          <w:sz w:val="20"/>
          <w:szCs w:val="20"/>
        </w:rPr>
        <w:t xml:space="preserve"> the changes menti</w:t>
      </w:r>
      <w:r w:rsidR="008B26F9">
        <w:rPr>
          <w:rFonts w:ascii="Arial" w:hAnsi="Arial" w:cs="Arial"/>
          <w:sz w:val="20"/>
          <w:szCs w:val="20"/>
        </w:rPr>
        <w:t xml:space="preserve">oned above are likely to be relatively low cost. </w:t>
      </w:r>
    </w:p>
    <w:p w:rsidR="00B0197E" w:rsidRDefault="00B0197E" w:rsidP="00B0197E">
      <w:pPr>
        <w:rPr>
          <w:rFonts w:ascii="Arial" w:hAnsi="Arial" w:cs="Arial"/>
          <w:sz w:val="20"/>
          <w:szCs w:val="20"/>
        </w:rPr>
      </w:pPr>
    </w:p>
    <w:p w:rsidR="008B26F9" w:rsidRDefault="008B26F9" w:rsidP="00B0197E">
      <w:pPr>
        <w:rPr>
          <w:rFonts w:ascii="Arial" w:hAnsi="Arial" w:cs="Arial"/>
          <w:sz w:val="20"/>
          <w:szCs w:val="20"/>
        </w:rPr>
      </w:pPr>
      <w:r>
        <w:rPr>
          <w:rFonts w:ascii="Arial" w:hAnsi="Arial" w:cs="Arial"/>
          <w:sz w:val="20"/>
          <w:szCs w:val="20"/>
        </w:rPr>
        <w:t>While a change in legislation would be necessary</w:t>
      </w:r>
      <w:r w:rsidR="00AA5204">
        <w:rPr>
          <w:rFonts w:ascii="Arial" w:hAnsi="Arial" w:cs="Arial"/>
          <w:sz w:val="20"/>
          <w:szCs w:val="20"/>
        </w:rPr>
        <w:t xml:space="preserve">, this is not a logical reason not to </w:t>
      </w:r>
      <w:r w:rsidR="008A3566">
        <w:rPr>
          <w:rFonts w:ascii="Arial" w:hAnsi="Arial" w:cs="Arial"/>
          <w:sz w:val="20"/>
          <w:szCs w:val="20"/>
        </w:rPr>
        <w:t xml:space="preserve">alter </w:t>
      </w:r>
      <w:r w:rsidR="00AA5204">
        <w:rPr>
          <w:rFonts w:ascii="Arial" w:hAnsi="Arial" w:cs="Arial"/>
          <w:sz w:val="20"/>
          <w:szCs w:val="20"/>
        </w:rPr>
        <w:t xml:space="preserve">the charging system to </w:t>
      </w:r>
      <w:r w:rsidR="008A3566">
        <w:rPr>
          <w:rFonts w:ascii="Arial" w:hAnsi="Arial" w:cs="Arial"/>
          <w:sz w:val="20"/>
          <w:szCs w:val="20"/>
        </w:rPr>
        <w:t xml:space="preserve">a </w:t>
      </w:r>
      <w:r w:rsidR="00AA5204">
        <w:rPr>
          <w:rFonts w:ascii="Arial" w:hAnsi="Arial" w:cs="Arial"/>
          <w:sz w:val="20"/>
          <w:szCs w:val="20"/>
        </w:rPr>
        <w:t xml:space="preserve">more </w:t>
      </w:r>
      <w:r w:rsidR="008A3566">
        <w:rPr>
          <w:rFonts w:ascii="Arial" w:hAnsi="Arial" w:cs="Arial"/>
          <w:sz w:val="20"/>
          <w:szCs w:val="20"/>
        </w:rPr>
        <w:t>‘</w:t>
      </w:r>
      <w:r w:rsidR="00AA5204">
        <w:rPr>
          <w:rFonts w:ascii="Arial" w:hAnsi="Arial" w:cs="Arial"/>
          <w:sz w:val="20"/>
          <w:szCs w:val="20"/>
        </w:rPr>
        <w:t>user pays</w:t>
      </w:r>
      <w:r w:rsidR="008A3566">
        <w:rPr>
          <w:rFonts w:ascii="Arial" w:hAnsi="Arial" w:cs="Arial"/>
          <w:sz w:val="20"/>
          <w:szCs w:val="20"/>
        </w:rPr>
        <w:t xml:space="preserve">’ and </w:t>
      </w:r>
      <w:r w:rsidR="00AA5204">
        <w:rPr>
          <w:rFonts w:ascii="Arial" w:hAnsi="Arial" w:cs="Arial"/>
          <w:sz w:val="20"/>
          <w:szCs w:val="20"/>
        </w:rPr>
        <w:t xml:space="preserve">more reflective system </w:t>
      </w:r>
      <w:r w:rsidR="008A3566">
        <w:rPr>
          <w:rFonts w:ascii="Arial" w:hAnsi="Arial" w:cs="Arial"/>
          <w:sz w:val="20"/>
          <w:szCs w:val="20"/>
        </w:rPr>
        <w:t xml:space="preserve">for </w:t>
      </w:r>
      <w:r w:rsidR="00AA5204">
        <w:rPr>
          <w:rFonts w:ascii="Arial" w:hAnsi="Arial" w:cs="Arial"/>
          <w:sz w:val="20"/>
          <w:szCs w:val="20"/>
        </w:rPr>
        <w:t xml:space="preserve">recovering road </w:t>
      </w:r>
      <w:r w:rsidR="008A3566">
        <w:rPr>
          <w:rFonts w:ascii="Arial" w:hAnsi="Arial" w:cs="Arial"/>
          <w:sz w:val="20"/>
          <w:szCs w:val="20"/>
        </w:rPr>
        <w:t>expenditure</w:t>
      </w:r>
      <w:r w:rsidR="00AA5204">
        <w:rPr>
          <w:rFonts w:ascii="Arial" w:hAnsi="Arial" w:cs="Arial"/>
          <w:sz w:val="20"/>
          <w:szCs w:val="20"/>
        </w:rPr>
        <w:t xml:space="preserve">. Passing legislation is part of the political </w:t>
      </w:r>
      <w:r w:rsidR="008A3566">
        <w:rPr>
          <w:rFonts w:ascii="Arial" w:hAnsi="Arial" w:cs="Arial"/>
          <w:sz w:val="20"/>
          <w:szCs w:val="20"/>
        </w:rPr>
        <w:t>landscape</w:t>
      </w:r>
    </w:p>
    <w:p w:rsidR="00D007EF" w:rsidRDefault="00D007EF" w:rsidP="00B0197E">
      <w:pPr>
        <w:rPr>
          <w:rFonts w:ascii="Arial" w:hAnsi="Arial" w:cs="Arial"/>
          <w:sz w:val="20"/>
          <w:szCs w:val="20"/>
        </w:rPr>
      </w:pPr>
    </w:p>
    <w:p w:rsidR="00D007EF" w:rsidRDefault="00D007EF" w:rsidP="00B0197E">
      <w:pPr>
        <w:rPr>
          <w:rFonts w:ascii="Arial" w:hAnsi="Arial" w:cs="Arial"/>
          <w:sz w:val="20"/>
          <w:szCs w:val="20"/>
        </w:rPr>
      </w:pPr>
      <w:r>
        <w:rPr>
          <w:rFonts w:ascii="Arial" w:hAnsi="Arial" w:cs="Arial"/>
          <w:sz w:val="20"/>
          <w:szCs w:val="20"/>
        </w:rPr>
        <w:t xml:space="preserve">While the ATO advice </w:t>
      </w:r>
      <w:r w:rsidR="007F4CE3">
        <w:rPr>
          <w:rFonts w:ascii="Arial" w:hAnsi="Arial" w:cs="Arial"/>
          <w:sz w:val="20"/>
          <w:szCs w:val="20"/>
        </w:rPr>
        <w:t xml:space="preserve">provides </w:t>
      </w:r>
      <w:r>
        <w:rPr>
          <w:rFonts w:ascii="Arial" w:hAnsi="Arial" w:cs="Arial"/>
          <w:sz w:val="20"/>
          <w:szCs w:val="20"/>
        </w:rPr>
        <w:t xml:space="preserve">context, </w:t>
      </w:r>
      <w:r w:rsidR="007F4CE3">
        <w:rPr>
          <w:rFonts w:ascii="Arial" w:hAnsi="Arial" w:cs="Arial"/>
          <w:sz w:val="20"/>
          <w:szCs w:val="20"/>
        </w:rPr>
        <w:t>it is</w:t>
      </w:r>
      <w:r>
        <w:rPr>
          <w:rFonts w:ascii="Arial" w:hAnsi="Arial" w:cs="Arial"/>
          <w:sz w:val="20"/>
          <w:szCs w:val="20"/>
        </w:rPr>
        <w:t xml:space="preserve"> tasked with </w:t>
      </w:r>
      <w:r w:rsidR="008A3566">
        <w:rPr>
          <w:rFonts w:ascii="Arial" w:hAnsi="Arial" w:cs="Arial"/>
          <w:sz w:val="20"/>
          <w:szCs w:val="20"/>
        </w:rPr>
        <w:t xml:space="preserve">implementing </w:t>
      </w:r>
      <w:r>
        <w:rPr>
          <w:rFonts w:ascii="Arial" w:hAnsi="Arial" w:cs="Arial"/>
          <w:sz w:val="20"/>
          <w:szCs w:val="20"/>
        </w:rPr>
        <w:t xml:space="preserve">legislation passed </w:t>
      </w:r>
      <w:r w:rsidR="007F4CE3">
        <w:rPr>
          <w:rFonts w:ascii="Arial" w:hAnsi="Arial" w:cs="Arial"/>
          <w:sz w:val="20"/>
          <w:szCs w:val="20"/>
        </w:rPr>
        <w:t>by elected rep</w:t>
      </w:r>
      <w:r w:rsidR="008A3566">
        <w:rPr>
          <w:rFonts w:ascii="Arial" w:hAnsi="Arial" w:cs="Arial"/>
          <w:sz w:val="20"/>
          <w:szCs w:val="20"/>
        </w:rPr>
        <w:t>re</w:t>
      </w:r>
      <w:r w:rsidR="007F4CE3">
        <w:rPr>
          <w:rFonts w:ascii="Arial" w:hAnsi="Arial" w:cs="Arial"/>
          <w:sz w:val="20"/>
          <w:szCs w:val="20"/>
        </w:rPr>
        <w:t>sentatives</w:t>
      </w:r>
      <w:r>
        <w:rPr>
          <w:rFonts w:ascii="Arial" w:hAnsi="Arial" w:cs="Arial"/>
          <w:sz w:val="20"/>
          <w:szCs w:val="20"/>
        </w:rPr>
        <w:t xml:space="preserve">. The wishes of </w:t>
      </w:r>
      <w:r w:rsidR="007F4CE3">
        <w:rPr>
          <w:rFonts w:ascii="Arial" w:hAnsi="Arial" w:cs="Arial"/>
          <w:sz w:val="20"/>
          <w:szCs w:val="20"/>
        </w:rPr>
        <w:t xml:space="preserve">the </w:t>
      </w:r>
      <w:r w:rsidR="008A3566">
        <w:rPr>
          <w:rFonts w:ascii="Arial" w:hAnsi="Arial" w:cs="Arial"/>
          <w:sz w:val="20"/>
          <w:szCs w:val="20"/>
        </w:rPr>
        <w:t xml:space="preserve">responsible </w:t>
      </w:r>
      <w:r w:rsidR="007F4CE3">
        <w:rPr>
          <w:rFonts w:ascii="Arial" w:hAnsi="Arial" w:cs="Arial"/>
          <w:sz w:val="20"/>
          <w:szCs w:val="20"/>
        </w:rPr>
        <w:t>M</w:t>
      </w:r>
      <w:r>
        <w:rPr>
          <w:rFonts w:ascii="Arial" w:hAnsi="Arial" w:cs="Arial"/>
          <w:sz w:val="20"/>
          <w:szCs w:val="20"/>
        </w:rPr>
        <w:t xml:space="preserve">inister should be implemented </w:t>
      </w:r>
      <w:r w:rsidR="008A3566">
        <w:rPr>
          <w:rFonts w:ascii="Arial" w:hAnsi="Arial" w:cs="Arial"/>
          <w:sz w:val="20"/>
          <w:szCs w:val="20"/>
        </w:rPr>
        <w:t xml:space="preserve">at all times </w:t>
      </w:r>
      <w:r>
        <w:rPr>
          <w:rFonts w:ascii="Arial" w:hAnsi="Arial" w:cs="Arial"/>
          <w:sz w:val="20"/>
          <w:szCs w:val="20"/>
        </w:rPr>
        <w:t>by the ATO</w:t>
      </w:r>
      <w:r w:rsidR="008A3566" w:rsidRPr="008A3566">
        <w:rPr>
          <w:rFonts w:ascii="Arial" w:hAnsi="Arial" w:cs="Arial"/>
          <w:sz w:val="20"/>
          <w:szCs w:val="20"/>
        </w:rPr>
        <w:t xml:space="preserve"> </w:t>
      </w:r>
      <w:r w:rsidR="008A3566">
        <w:rPr>
          <w:rFonts w:ascii="Arial" w:hAnsi="Arial" w:cs="Arial"/>
          <w:sz w:val="20"/>
          <w:szCs w:val="20"/>
        </w:rPr>
        <w:t>as is legally required</w:t>
      </w:r>
      <w:r>
        <w:rPr>
          <w:rFonts w:ascii="Arial" w:hAnsi="Arial" w:cs="Arial"/>
          <w:sz w:val="20"/>
          <w:szCs w:val="20"/>
        </w:rPr>
        <w:t xml:space="preserve">. </w:t>
      </w:r>
    </w:p>
    <w:p w:rsidR="001667FE" w:rsidRDefault="001667FE" w:rsidP="00B0197E">
      <w:pPr>
        <w:rPr>
          <w:rFonts w:ascii="Arial" w:hAnsi="Arial" w:cs="Arial"/>
          <w:sz w:val="20"/>
          <w:szCs w:val="20"/>
        </w:rPr>
      </w:pPr>
    </w:p>
    <w:p w:rsidR="00B0197E" w:rsidRDefault="00EB53E0" w:rsidP="00B0197E">
      <w:pPr>
        <w:rPr>
          <w:rFonts w:ascii="Arial" w:hAnsi="Arial" w:cs="Arial"/>
          <w:sz w:val="20"/>
          <w:szCs w:val="20"/>
        </w:rPr>
      </w:pPr>
      <w:r>
        <w:rPr>
          <w:rFonts w:ascii="Arial" w:hAnsi="Arial" w:cs="Arial"/>
          <w:sz w:val="20"/>
          <w:szCs w:val="20"/>
        </w:rPr>
        <w:t>There are currently well over 40 different excise charges and credits given by the ATO</w:t>
      </w:r>
      <w:r w:rsidR="008A3566">
        <w:rPr>
          <w:rFonts w:ascii="Arial" w:hAnsi="Arial" w:cs="Arial"/>
          <w:sz w:val="20"/>
          <w:szCs w:val="20"/>
        </w:rPr>
        <w:t>. Is</w:t>
      </w:r>
      <w:r>
        <w:rPr>
          <w:rFonts w:ascii="Arial" w:hAnsi="Arial" w:cs="Arial"/>
          <w:sz w:val="20"/>
          <w:szCs w:val="20"/>
        </w:rPr>
        <w:t xml:space="preserve"> the ATO really prepared to </w:t>
      </w:r>
      <w:r w:rsidR="008A3566">
        <w:rPr>
          <w:rFonts w:ascii="Arial" w:hAnsi="Arial" w:cs="Arial"/>
          <w:sz w:val="20"/>
          <w:szCs w:val="20"/>
        </w:rPr>
        <w:t xml:space="preserve">claim </w:t>
      </w:r>
      <w:r>
        <w:rPr>
          <w:rFonts w:ascii="Arial" w:hAnsi="Arial" w:cs="Arial"/>
          <w:sz w:val="20"/>
          <w:szCs w:val="20"/>
        </w:rPr>
        <w:t xml:space="preserve">the addition of </w:t>
      </w:r>
      <w:r w:rsidR="008A3566">
        <w:rPr>
          <w:rFonts w:ascii="Arial" w:hAnsi="Arial" w:cs="Arial"/>
          <w:sz w:val="20"/>
          <w:szCs w:val="20"/>
        </w:rPr>
        <w:t>two</w:t>
      </w:r>
      <w:r w:rsidR="00431A3B">
        <w:rPr>
          <w:rFonts w:ascii="Arial" w:hAnsi="Arial" w:cs="Arial"/>
          <w:sz w:val="20"/>
          <w:szCs w:val="20"/>
        </w:rPr>
        <w:t xml:space="preserve"> or more excise rebates or</w:t>
      </w:r>
      <w:r>
        <w:rPr>
          <w:rFonts w:ascii="Arial" w:hAnsi="Arial" w:cs="Arial"/>
          <w:sz w:val="20"/>
          <w:szCs w:val="20"/>
        </w:rPr>
        <w:t xml:space="preserve"> levies will cripple the </w:t>
      </w:r>
      <w:r w:rsidR="00431A3B">
        <w:rPr>
          <w:rFonts w:ascii="Arial" w:hAnsi="Arial" w:cs="Arial"/>
          <w:sz w:val="20"/>
          <w:szCs w:val="20"/>
        </w:rPr>
        <w:t xml:space="preserve">current BAS </w:t>
      </w:r>
      <w:r>
        <w:rPr>
          <w:rFonts w:ascii="Arial" w:hAnsi="Arial" w:cs="Arial"/>
          <w:sz w:val="20"/>
          <w:szCs w:val="20"/>
        </w:rPr>
        <w:t xml:space="preserve">system? </w:t>
      </w:r>
    </w:p>
    <w:p w:rsidR="000B540D" w:rsidRDefault="000B540D" w:rsidP="00B0197E">
      <w:pPr>
        <w:rPr>
          <w:rFonts w:ascii="Arial" w:hAnsi="Arial" w:cs="Arial"/>
          <w:sz w:val="20"/>
          <w:szCs w:val="20"/>
        </w:rPr>
      </w:pPr>
    </w:p>
    <w:p w:rsidR="00431A3B" w:rsidRDefault="00431A3B" w:rsidP="00B0197E">
      <w:pPr>
        <w:rPr>
          <w:rFonts w:ascii="Arial" w:hAnsi="Arial" w:cs="Arial"/>
          <w:sz w:val="20"/>
          <w:szCs w:val="20"/>
        </w:rPr>
      </w:pPr>
      <w:r>
        <w:rPr>
          <w:rFonts w:ascii="Arial" w:hAnsi="Arial" w:cs="Arial"/>
          <w:sz w:val="20"/>
          <w:szCs w:val="20"/>
        </w:rPr>
        <w:t>A recent</w:t>
      </w:r>
      <w:r w:rsidR="008A3566">
        <w:rPr>
          <w:rFonts w:ascii="Arial" w:hAnsi="Arial" w:cs="Arial"/>
          <w:sz w:val="20"/>
          <w:szCs w:val="20"/>
        </w:rPr>
        <w:t xml:space="preserve"> court</w:t>
      </w:r>
      <w:r>
        <w:rPr>
          <w:rFonts w:ascii="Arial" w:hAnsi="Arial" w:cs="Arial"/>
          <w:sz w:val="20"/>
          <w:szCs w:val="20"/>
        </w:rPr>
        <w:t xml:space="preserve"> ruling has shown the ATO is able to make an incremental change to the fuel tax credit </w:t>
      </w:r>
      <w:r w:rsidR="008A3566">
        <w:rPr>
          <w:rFonts w:ascii="Arial" w:hAnsi="Arial" w:cs="Arial"/>
          <w:sz w:val="20"/>
          <w:szCs w:val="20"/>
        </w:rPr>
        <w:t xml:space="preserve">that </w:t>
      </w:r>
      <w:r>
        <w:rPr>
          <w:rFonts w:ascii="Arial" w:hAnsi="Arial" w:cs="Arial"/>
          <w:sz w:val="20"/>
          <w:szCs w:val="20"/>
        </w:rPr>
        <w:t xml:space="preserve">industry is eligible for. The </w:t>
      </w:r>
      <w:hyperlink r:id="rId14" w:history="1">
        <w:r w:rsidR="00813EA6" w:rsidRPr="00813EA6">
          <w:rPr>
            <w:i/>
            <w:iCs/>
            <w:sz w:val="20"/>
            <w:szCs w:val="20"/>
          </w:rPr>
          <w:t>Linfox Australia Pty Ltd v Commissioner of Taxation</w:t>
        </w:r>
      </w:hyperlink>
      <w:r w:rsidR="00813EA6">
        <w:rPr>
          <w:rFonts w:ascii="Arial" w:hAnsi="Arial" w:cs="Arial"/>
          <w:sz w:val="20"/>
          <w:szCs w:val="20"/>
        </w:rPr>
        <w:t xml:space="preserve"> case</w:t>
      </w:r>
      <w:r w:rsidR="00813EA6" w:rsidRPr="00813EA6">
        <w:rPr>
          <w:rFonts w:ascii="Arial" w:hAnsi="Arial" w:cs="Arial"/>
          <w:sz w:val="20"/>
          <w:szCs w:val="20"/>
        </w:rPr>
        <w:t xml:space="preserve"> </w:t>
      </w:r>
      <w:r>
        <w:rPr>
          <w:rFonts w:ascii="Arial" w:hAnsi="Arial" w:cs="Arial"/>
          <w:sz w:val="20"/>
          <w:szCs w:val="20"/>
        </w:rPr>
        <w:t xml:space="preserve">resulted in </w:t>
      </w:r>
      <w:r w:rsidR="008A3566">
        <w:rPr>
          <w:rFonts w:ascii="Arial" w:hAnsi="Arial" w:cs="Arial"/>
          <w:sz w:val="20"/>
          <w:szCs w:val="20"/>
        </w:rPr>
        <w:t xml:space="preserve">a judgement in which </w:t>
      </w:r>
      <w:r>
        <w:rPr>
          <w:rFonts w:ascii="Arial" w:hAnsi="Arial" w:cs="Arial"/>
          <w:sz w:val="20"/>
          <w:szCs w:val="20"/>
        </w:rPr>
        <w:t>fuel</w:t>
      </w:r>
      <w:r w:rsidR="008A3566">
        <w:rPr>
          <w:rFonts w:ascii="Arial" w:hAnsi="Arial" w:cs="Arial"/>
          <w:sz w:val="20"/>
          <w:szCs w:val="20"/>
        </w:rPr>
        <w:t>s</w:t>
      </w:r>
      <w:r>
        <w:rPr>
          <w:rFonts w:ascii="Arial" w:hAnsi="Arial" w:cs="Arial"/>
          <w:sz w:val="20"/>
          <w:szCs w:val="20"/>
        </w:rPr>
        <w:t xml:space="preserve"> used in auxiliary equipment </w:t>
      </w:r>
      <w:r w:rsidR="008A3566">
        <w:rPr>
          <w:rFonts w:ascii="Arial" w:hAnsi="Arial" w:cs="Arial"/>
          <w:sz w:val="20"/>
          <w:szCs w:val="20"/>
        </w:rPr>
        <w:t>are not</w:t>
      </w:r>
      <w:r>
        <w:rPr>
          <w:rFonts w:ascii="Arial" w:hAnsi="Arial" w:cs="Arial"/>
          <w:sz w:val="20"/>
          <w:szCs w:val="20"/>
        </w:rPr>
        <w:t xml:space="preserve"> liable for the </w:t>
      </w:r>
      <w:r w:rsidR="002B330E">
        <w:rPr>
          <w:rFonts w:ascii="Arial" w:hAnsi="Arial" w:cs="Arial"/>
          <w:sz w:val="20"/>
          <w:szCs w:val="20"/>
        </w:rPr>
        <w:t>RUC</w:t>
      </w:r>
      <w:r>
        <w:rPr>
          <w:rFonts w:ascii="Arial" w:hAnsi="Arial" w:cs="Arial"/>
          <w:sz w:val="20"/>
          <w:szCs w:val="20"/>
        </w:rPr>
        <w:t xml:space="preserve">. </w:t>
      </w:r>
    </w:p>
    <w:p w:rsidR="00431A3B" w:rsidRDefault="00431A3B" w:rsidP="00B0197E">
      <w:pPr>
        <w:rPr>
          <w:rFonts w:ascii="Arial" w:hAnsi="Arial" w:cs="Arial"/>
          <w:sz w:val="20"/>
          <w:szCs w:val="20"/>
        </w:rPr>
      </w:pPr>
    </w:p>
    <w:p w:rsidR="00616E75" w:rsidRDefault="000B540D">
      <w:pPr>
        <w:rPr>
          <w:rFonts w:ascii="Arial" w:hAnsi="Arial" w:cs="Arial"/>
          <w:sz w:val="20"/>
          <w:szCs w:val="20"/>
        </w:rPr>
      </w:pPr>
      <w:r>
        <w:rPr>
          <w:rFonts w:ascii="Arial" w:hAnsi="Arial" w:cs="Arial"/>
          <w:sz w:val="20"/>
          <w:szCs w:val="20"/>
        </w:rPr>
        <w:t xml:space="preserve">All the changes necessary for industry to claim a rebate </w:t>
      </w:r>
      <w:r w:rsidR="00655CC2">
        <w:rPr>
          <w:rFonts w:ascii="Arial" w:hAnsi="Arial" w:cs="Arial"/>
          <w:sz w:val="20"/>
          <w:szCs w:val="20"/>
        </w:rPr>
        <w:t>or a tax credit have</w:t>
      </w:r>
      <w:r>
        <w:rPr>
          <w:rFonts w:ascii="Arial" w:hAnsi="Arial" w:cs="Arial"/>
          <w:sz w:val="20"/>
          <w:szCs w:val="20"/>
        </w:rPr>
        <w:t xml:space="preserve"> </w:t>
      </w:r>
      <w:r w:rsidR="00655CC2">
        <w:rPr>
          <w:rFonts w:ascii="Arial" w:hAnsi="Arial" w:cs="Arial"/>
          <w:sz w:val="20"/>
          <w:szCs w:val="20"/>
        </w:rPr>
        <w:t>been completed</w:t>
      </w:r>
      <w:r>
        <w:rPr>
          <w:rFonts w:ascii="Arial" w:hAnsi="Arial" w:cs="Arial"/>
          <w:sz w:val="20"/>
          <w:szCs w:val="20"/>
        </w:rPr>
        <w:t xml:space="preserve"> in less than year since </w:t>
      </w:r>
      <w:r w:rsidR="002B330E">
        <w:rPr>
          <w:rFonts w:ascii="Arial" w:hAnsi="Arial" w:cs="Arial"/>
          <w:sz w:val="20"/>
          <w:szCs w:val="20"/>
        </w:rPr>
        <w:t>this ruling</w:t>
      </w:r>
      <w:r>
        <w:rPr>
          <w:rFonts w:ascii="Arial" w:hAnsi="Arial" w:cs="Arial"/>
          <w:sz w:val="20"/>
          <w:szCs w:val="20"/>
        </w:rPr>
        <w:t xml:space="preserve">. While there is considerable pressure on the </w:t>
      </w:r>
      <w:r w:rsidR="002B330E">
        <w:rPr>
          <w:rFonts w:ascii="Arial" w:hAnsi="Arial" w:cs="Arial"/>
          <w:sz w:val="20"/>
          <w:szCs w:val="20"/>
        </w:rPr>
        <w:t>ATO</w:t>
      </w:r>
      <w:r>
        <w:rPr>
          <w:rFonts w:ascii="Arial" w:hAnsi="Arial" w:cs="Arial"/>
          <w:sz w:val="20"/>
          <w:szCs w:val="20"/>
        </w:rPr>
        <w:t xml:space="preserve"> to deliver</w:t>
      </w:r>
      <w:r w:rsidR="002B330E">
        <w:rPr>
          <w:rFonts w:ascii="Arial" w:hAnsi="Arial" w:cs="Arial"/>
          <w:sz w:val="20"/>
          <w:szCs w:val="20"/>
        </w:rPr>
        <w:t xml:space="preserve"> </w:t>
      </w:r>
      <w:r w:rsidR="00813EA6">
        <w:rPr>
          <w:rFonts w:ascii="Arial" w:hAnsi="Arial" w:cs="Arial"/>
          <w:sz w:val="20"/>
          <w:szCs w:val="20"/>
        </w:rPr>
        <w:t xml:space="preserve">the necessary changes, </w:t>
      </w:r>
      <w:r w:rsidR="00655CC2">
        <w:rPr>
          <w:rFonts w:ascii="Arial" w:hAnsi="Arial" w:cs="Arial"/>
          <w:sz w:val="20"/>
          <w:szCs w:val="20"/>
        </w:rPr>
        <w:t xml:space="preserve">it proves that </w:t>
      </w:r>
      <w:r w:rsidR="00813EA6">
        <w:rPr>
          <w:rFonts w:ascii="Arial" w:hAnsi="Arial" w:cs="Arial"/>
          <w:sz w:val="20"/>
          <w:szCs w:val="20"/>
        </w:rPr>
        <w:t>modifications</w:t>
      </w:r>
      <w:r w:rsidR="00655CC2">
        <w:rPr>
          <w:rFonts w:ascii="Arial" w:hAnsi="Arial" w:cs="Arial"/>
          <w:sz w:val="20"/>
          <w:szCs w:val="20"/>
        </w:rPr>
        <w:t xml:space="preserve"> to</w:t>
      </w:r>
      <w:r w:rsidR="00813EA6">
        <w:rPr>
          <w:rFonts w:ascii="Arial" w:hAnsi="Arial" w:cs="Arial"/>
          <w:sz w:val="20"/>
          <w:szCs w:val="20"/>
        </w:rPr>
        <w:t xml:space="preserve"> the</w:t>
      </w:r>
      <w:r w:rsidR="00655CC2">
        <w:rPr>
          <w:rFonts w:ascii="Arial" w:hAnsi="Arial" w:cs="Arial"/>
          <w:sz w:val="20"/>
          <w:szCs w:val="20"/>
        </w:rPr>
        <w:t xml:space="preserve"> BAS system of claiming </w:t>
      </w:r>
      <w:r w:rsidR="002B330E">
        <w:rPr>
          <w:rFonts w:ascii="Arial" w:hAnsi="Arial" w:cs="Arial"/>
          <w:sz w:val="20"/>
          <w:szCs w:val="20"/>
        </w:rPr>
        <w:t xml:space="preserve">can be made </w:t>
      </w:r>
      <w:r w:rsidR="00655CC2">
        <w:rPr>
          <w:rFonts w:ascii="Arial" w:hAnsi="Arial" w:cs="Arial"/>
          <w:sz w:val="20"/>
          <w:szCs w:val="20"/>
        </w:rPr>
        <w:t xml:space="preserve">flexible for many different </w:t>
      </w:r>
      <w:r w:rsidR="002B330E">
        <w:rPr>
          <w:rFonts w:ascii="Arial" w:hAnsi="Arial" w:cs="Arial"/>
          <w:sz w:val="20"/>
          <w:szCs w:val="20"/>
        </w:rPr>
        <w:t>purposes</w:t>
      </w:r>
      <w:r>
        <w:rPr>
          <w:rFonts w:ascii="Arial" w:hAnsi="Arial" w:cs="Arial"/>
          <w:sz w:val="20"/>
          <w:szCs w:val="20"/>
        </w:rPr>
        <w:t xml:space="preserve">. </w:t>
      </w:r>
      <w:r w:rsidR="001667FE">
        <w:rPr>
          <w:rFonts w:ascii="Arial" w:hAnsi="Arial" w:cs="Arial"/>
          <w:sz w:val="20"/>
          <w:szCs w:val="20"/>
        </w:rPr>
        <w:t xml:space="preserve"> Further, self</w:t>
      </w:r>
      <w:r w:rsidR="002B330E">
        <w:rPr>
          <w:rFonts w:ascii="Arial" w:hAnsi="Arial" w:cs="Arial"/>
          <w:sz w:val="20"/>
          <w:szCs w:val="20"/>
        </w:rPr>
        <w:t>-</w:t>
      </w:r>
      <w:r w:rsidR="001667FE">
        <w:rPr>
          <w:rFonts w:ascii="Arial" w:hAnsi="Arial" w:cs="Arial"/>
          <w:sz w:val="20"/>
          <w:szCs w:val="20"/>
        </w:rPr>
        <w:t xml:space="preserve">assessment of the excise change is the primary methodology, with appropriate compliance methods. </w:t>
      </w:r>
    </w:p>
    <w:p w:rsidR="000B540D" w:rsidRDefault="000B540D" w:rsidP="00B0197E">
      <w:pPr>
        <w:rPr>
          <w:rFonts w:ascii="Arial" w:hAnsi="Arial" w:cs="Arial"/>
          <w:sz w:val="20"/>
          <w:szCs w:val="20"/>
        </w:rPr>
      </w:pPr>
    </w:p>
    <w:p w:rsidR="00581F4F" w:rsidRDefault="000B540D" w:rsidP="00581F4F">
      <w:pPr>
        <w:rPr>
          <w:rFonts w:ascii="Arial" w:hAnsi="Arial" w:cs="Arial"/>
          <w:sz w:val="20"/>
          <w:szCs w:val="20"/>
        </w:rPr>
      </w:pPr>
      <w:r w:rsidRPr="00813EA6">
        <w:rPr>
          <w:rFonts w:ascii="Arial" w:hAnsi="Arial" w:cs="Arial"/>
          <w:sz w:val="20"/>
          <w:szCs w:val="20"/>
        </w:rPr>
        <w:t xml:space="preserve">Regardless </w:t>
      </w:r>
      <w:r w:rsidR="002B330E" w:rsidRPr="00813EA6">
        <w:rPr>
          <w:rFonts w:ascii="Arial" w:hAnsi="Arial" w:cs="Arial"/>
          <w:sz w:val="20"/>
          <w:szCs w:val="20"/>
        </w:rPr>
        <w:t xml:space="preserve">of </w:t>
      </w:r>
      <w:r w:rsidRPr="00813EA6">
        <w:rPr>
          <w:rFonts w:ascii="Arial" w:hAnsi="Arial" w:cs="Arial"/>
          <w:sz w:val="20"/>
          <w:szCs w:val="20"/>
        </w:rPr>
        <w:t>which system of charges is adopted</w:t>
      </w:r>
      <w:r w:rsidR="002B330E" w:rsidRPr="00813EA6">
        <w:rPr>
          <w:rFonts w:ascii="Arial" w:hAnsi="Arial" w:cs="Arial"/>
          <w:sz w:val="20"/>
          <w:szCs w:val="20"/>
        </w:rPr>
        <w:t xml:space="preserve"> (</w:t>
      </w:r>
      <w:r w:rsidRPr="00813EA6">
        <w:rPr>
          <w:rFonts w:ascii="Arial" w:hAnsi="Arial" w:cs="Arial"/>
          <w:sz w:val="20"/>
          <w:szCs w:val="20"/>
        </w:rPr>
        <w:t xml:space="preserve">even </w:t>
      </w:r>
      <w:r w:rsidR="002B330E" w:rsidRPr="00813EA6">
        <w:rPr>
          <w:rFonts w:ascii="Arial" w:hAnsi="Arial" w:cs="Arial"/>
          <w:sz w:val="20"/>
          <w:szCs w:val="20"/>
        </w:rPr>
        <w:t xml:space="preserve">‘Mass Distance Location’ </w:t>
      </w:r>
      <w:r w:rsidR="00655CC2" w:rsidRPr="00813EA6">
        <w:rPr>
          <w:rFonts w:ascii="Arial" w:hAnsi="Arial" w:cs="Arial"/>
          <w:sz w:val="20"/>
          <w:szCs w:val="20"/>
        </w:rPr>
        <w:t>charging</w:t>
      </w:r>
      <w:r w:rsidR="002B330E" w:rsidRPr="00813EA6">
        <w:rPr>
          <w:rFonts w:ascii="Arial" w:hAnsi="Arial" w:cs="Arial"/>
          <w:sz w:val="20"/>
          <w:szCs w:val="20"/>
        </w:rPr>
        <w:t>)</w:t>
      </w:r>
      <w:r w:rsidRPr="00813EA6">
        <w:rPr>
          <w:rFonts w:ascii="Arial" w:hAnsi="Arial" w:cs="Arial"/>
          <w:sz w:val="20"/>
          <w:szCs w:val="20"/>
        </w:rPr>
        <w:t xml:space="preserve">, there will always been a need for a fuel tax credit/levy and </w:t>
      </w:r>
      <w:r w:rsidR="00655CC2" w:rsidRPr="00813EA6">
        <w:rPr>
          <w:rFonts w:ascii="Arial" w:hAnsi="Arial" w:cs="Arial"/>
          <w:sz w:val="20"/>
          <w:szCs w:val="20"/>
        </w:rPr>
        <w:t xml:space="preserve">a </w:t>
      </w:r>
      <w:r w:rsidRPr="00813EA6">
        <w:rPr>
          <w:rFonts w:ascii="Arial" w:hAnsi="Arial" w:cs="Arial"/>
          <w:sz w:val="20"/>
          <w:szCs w:val="20"/>
        </w:rPr>
        <w:t xml:space="preserve">registration charge. Therefore, the ATO will </w:t>
      </w:r>
      <w:r w:rsidR="002B330E" w:rsidRPr="00813EA6">
        <w:rPr>
          <w:rFonts w:ascii="Arial" w:hAnsi="Arial" w:cs="Arial"/>
          <w:sz w:val="20"/>
          <w:szCs w:val="20"/>
        </w:rPr>
        <w:t xml:space="preserve">not </w:t>
      </w:r>
      <w:r w:rsidRPr="00813EA6">
        <w:rPr>
          <w:rFonts w:ascii="Arial" w:hAnsi="Arial" w:cs="Arial"/>
          <w:sz w:val="20"/>
          <w:szCs w:val="20"/>
        </w:rPr>
        <w:t xml:space="preserve">lose the need </w:t>
      </w:r>
      <w:r w:rsidR="00655CC2" w:rsidRPr="00813EA6">
        <w:rPr>
          <w:rFonts w:ascii="Arial" w:hAnsi="Arial" w:cs="Arial"/>
          <w:sz w:val="20"/>
          <w:szCs w:val="20"/>
        </w:rPr>
        <w:t xml:space="preserve">to </w:t>
      </w:r>
      <w:r w:rsidR="00DA1411" w:rsidRPr="00813EA6">
        <w:rPr>
          <w:rFonts w:ascii="Arial" w:hAnsi="Arial" w:cs="Arial"/>
          <w:sz w:val="20"/>
          <w:szCs w:val="20"/>
        </w:rPr>
        <w:t>provide a BAS to industry or monitor its compliance</w:t>
      </w:r>
      <w:r w:rsidRPr="00813EA6">
        <w:rPr>
          <w:rFonts w:ascii="Arial" w:hAnsi="Arial" w:cs="Arial"/>
          <w:sz w:val="20"/>
          <w:szCs w:val="20"/>
        </w:rPr>
        <w:t xml:space="preserve">. </w:t>
      </w:r>
      <w:r w:rsidR="00BE13AB" w:rsidRPr="00813EA6">
        <w:rPr>
          <w:rFonts w:ascii="Arial" w:hAnsi="Arial" w:cs="Arial"/>
          <w:sz w:val="20"/>
          <w:szCs w:val="20"/>
        </w:rPr>
        <w:t>Industry is well aware that one attempts to cheat the ATO at one’s peril.</w:t>
      </w:r>
      <w:r w:rsidR="00BE13AB">
        <w:rPr>
          <w:rFonts w:ascii="Arial" w:hAnsi="Arial" w:cs="Arial"/>
          <w:sz w:val="20"/>
          <w:szCs w:val="20"/>
        </w:rPr>
        <w:t xml:space="preserve"> </w:t>
      </w:r>
    </w:p>
    <w:p w:rsidR="00B06B01" w:rsidRDefault="00B06B01" w:rsidP="00581F4F">
      <w:pPr>
        <w:rPr>
          <w:rFonts w:ascii="Arial" w:hAnsi="Arial" w:cs="Arial"/>
          <w:sz w:val="20"/>
          <w:szCs w:val="20"/>
        </w:rPr>
      </w:pPr>
    </w:p>
    <w:p w:rsidR="00510D1B" w:rsidRPr="0002588E" w:rsidRDefault="00581F4F" w:rsidP="004C7F70">
      <w:pPr>
        <w:rPr>
          <w:rFonts w:ascii="Arial" w:hAnsi="Arial" w:cs="Arial"/>
          <w:sz w:val="20"/>
          <w:szCs w:val="20"/>
        </w:rPr>
      </w:pPr>
      <w:r>
        <w:rPr>
          <w:rFonts w:ascii="Arial" w:hAnsi="Arial" w:cs="Arial"/>
          <w:sz w:val="20"/>
          <w:szCs w:val="20"/>
        </w:rPr>
        <w:t xml:space="preserve">Increasing the fuel component has many benefits in terms of reflecting mass, distance and road condition. A higher RUC component would also show </w:t>
      </w:r>
      <w:r w:rsidR="002B330E">
        <w:rPr>
          <w:rFonts w:ascii="Arial" w:hAnsi="Arial" w:cs="Arial"/>
          <w:sz w:val="20"/>
          <w:szCs w:val="20"/>
        </w:rPr>
        <w:t xml:space="preserve">infrastructure </w:t>
      </w:r>
      <w:r>
        <w:rPr>
          <w:rFonts w:ascii="Arial" w:hAnsi="Arial" w:cs="Arial"/>
          <w:sz w:val="20"/>
          <w:szCs w:val="20"/>
        </w:rPr>
        <w:t>usage</w:t>
      </w:r>
      <w:r w:rsidR="002B330E" w:rsidRPr="002B330E">
        <w:rPr>
          <w:rFonts w:ascii="Arial" w:hAnsi="Arial" w:cs="Arial"/>
          <w:sz w:val="20"/>
          <w:szCs w:val="20"/>
        </w:rPr>
        <w:t xml:space="preserve"> </w:t>
      </w:r>
      <w:r w:rsidR="002B330E">
        <w:rPr>
          <w:rFonts w:ascii="Arial" w:hAnsi="Arial" w:cs="Arial"/>
          <w:sz w:val="20"/>
          <w:szCs w:val="20"/>
        </w:rPr>
        <w:t>better</w:t>
      </w:r>
      <w:r>
        <w:rPr>
          <w:rFonts w:ascii="Arial" w:hAnsi="Arial" w:cs="Arial"/>
          <w:sz w:val="20"/>
          <w:szCs w:val="20"/>
        </w:rPr>
        <w:t xml:space="preserve">. We </w:t>
      </w:r>
      <w:r w:rsidR="002B330E">
        <w:rPr>
          <w:rFonts w:ascii="Arial" w:hAnsi="Arial" w:cs="Arial"/>
          <w:sz w:val="20"/>
          <w:szCs w:val="20"/>
        </w:rPr>
        <w:t xml:space="preserve">further </w:t>
      </w:r>
      <w:r>
        <w:rPr>
          <w:rFonts w:ascii="Arial" w:hAnsi="Arial" w:cs="Arial"/>
          <w:sz w:val="20"/>
          <w:szCs w:val="20"/>
        </w:rPr>
        <w:t xml:space="preserve">believe </w:t>
      </w:r>
      <w:r w:rsidR="002B330E">
        <w:rPr>
          <w:rFonts w:ascii="Arial" w:hAnsi="Arial" w:cs="Arial"/>
          <w:sz w:val="20"/>
          <w:szCs w:val="20"/>
        </w:rPr>
        <w:t>M</w:t>
      </w:r>
      <w:r>
        <w:rPr>
          <w:rFonts w:ascii="Arial" w:hAnsi="Arial" w:cs="Arial"/>
          <w:sz w:val="20"/>
          <w:szCs w:val="20"/>
        </w:rPr>
        <w:t>inisters would not be happy if</w:t>
      </w:r>
      <w:r w:rsidR="00655CC2">
        <w:rPr>
          <w:rFonts w:ascii="Arial" w:hAnsi="Arial" w:cs="Arial"/>
          <w:sz w:val="20"/>
          <w:szCs w:val="20"/>
        </w:rPr>
        <w:t xml:space="preserve"> informed</w:t>
      </w:r>
      <w:r>
        <w:rPr>
          <w:rFonts w:ascii="Arial" w:hAnsi="Arial" w:cs="Arial"/>
          <w:sz w:val="20"/>
          <w:szCs w:val="20"/>
        </w:rPr>
        <w:t xml:space="preserve"> the reason for not </w:t>
      </w:r>
      <w:r w:rsidR="002B330E">
        <w:rPr>
          <w:rFonts w:ascii="Arial" w:hAnsi="Arial" w:cs="Arial"/>
          <w:sz w:val="20"/>
          <w:szCs w:val="20"/>
        </w:rPr>
        <w:t xml:space="preserve">progressing </w:t>
      </w:r>
      <w:r>
        <w:rPr>
          <w:rFonts w:ascii="Arial" w:hAnsi="Arial" w:cs="Arial"/>
          <w:sz w:val="20"/>
          <w:szCs w:val="20"/>
        </w:rPr>
        <w:t xml:space="preserve">to a </w:t>
      </w:r>
      <w:r w:rsidR="002B330E">
        <w:rPr>
          <w:rFonts w:ascii="Arial" w:hAnsi="Arial" w:cs="Arial"/>
          <w:sz w:val="20"/>
          <w:szCs w:val="20"/>
        </w:rPr>
        <w:t xml:space="preserve">fairer, </w:t>
      </w:r>
      <w:r>
        <w:rPr>
          <w:rFonts w:ascii="Arial" w:hAnsi="Arial" w:cs="Arial"/>
          <w:sz w:val="20"/>
          <w:szCs w:val="20"/>
        </w:rPr>
        <w:t xml:space="preserve">more reflective RUC was because the ATO considered </w:t>
      </w:r>
      <w:r w:rsidR="002B330E">
        <w:rPr>
          <w:rFonts w:ascii="Arial" w:hAnsi="Arial" w:cs="Arial"/>
          <w:sz w:val="20"/>
          <w:szCs w:val="20"/>
        </w:rPr>
        <w:t xml:space="preserve">this </w:t>
      </w:r>
      <w:r>
        <w:rPr>
          <w:rFonts w:ascii="Arial" w:hAnsi="Arial" w:cs="Arial"/>
          <w:sz w:val="20"/>
          <w:szCs w:val="20"/>
        </w:rPr>
        <w:t xml:space="preserve">a tiresome task. </w:t>
      </w:r>
      <w:bookmarkStart w:id="251" w:name="_Toc361219561"/>
      <w:bookmarkStart w:id="252" w:name="_Toc361232840"/>
      <w:bookmarkStart w:id="253" w:name="_Toc361302865"/>
      <w:bookmarkStart w:id="254" w:name="_Toc361321224"/>
      <w:bookmarkStart w:id="255" w:name="_Toc361733014"/>
      <w:bookmarkStart w:id="256" w:name="_Toc361736721"/>
      <w:bookmarkStart w:id="257" w:name="_Toc361821370"/>
      <w:bookmarkStart w:id="258" w:name="_Toc361822900"/>
      <w:bookmarkEnd w:id="251"/>
      <w:bookmarkEnd w:id="252"/>
      <w:bookmarkEnd w:id="253"/>
      <w:bookmarkEnd w:id="254"/>
      <w:bookmarkEnd w:id="255"/>
      <w:bookmarkEnd w:id="256"/>
      <w:bookmarkEnd w:id="257"/>
      <w:bookmarkEnd w:id="258"/>
    </w:p>
    <w:p w:rsidR="00617F3D" w:rsidRDefault="00617F3D" w:rsidP="004C7F70">
      <w:pPr>
        <w:rPr>
          <w:rFonts w:ascii="Arial" w:hAnsi="Arial" w:cs="Arial"/>
          <w:b/>
          <w:sz w:val="24"/>
          <w:szCs w:val="24"/>
        </w:rPr>
      </w:pPr>
    </w:p>
    <w:p w:rsidR="0002588E" w:rsidRPr="00620293" w:rsidRDefault="0002588E" w:rsidP="004C7F70">
      <w:pPr>
        <w:rPr>
          <w:rFonts w:ascii="Arial" w:hAnsi="Arial" w:cs="Arial"/>
          <w:b/>
          <w:sz w:val="24"/>
          <w:szCs w:val="24"/>
        </w:rPr>
      </w:pPr>
    </w:p>
    <w:p w:rsidR="006F07EE" w:rsidRPr="00793431" w:rsidRDefault="006F07EE" w:rsidP="00793431">
      <w:pPr>
        <w:pStyle w:val="Heading1"/>
        <w:numPr>
          <w:ilvl w:val="1"/>
          <w:numId w:val="16"/>
        </w:numPr>
      </w:pPr>
      <w:bookmarkStart w:id="259" w:name="_Toc362528142"/>
      <w:r w:rsidRPr="00793431">
        <w:t>Fleet management data</w:t>
      </w:r>
      <w:bookmarkEnd w:id="259"/>
    </w:p>
    <w:p w:rsidR="006F07EE" w:rsidRPr="006F07EE" w:rsidRDefault="006F07EE" w:rsidP="006F07EE">
      <w:pPr>
        <w:rPr>
          <w:rFonts w:ascii="Arial" w:hAnsi="Arial" w:cs="Arial"/>
          <w:sz w:val="20"/>
          <w:szCs w:val="20"/>
        </w:rPr>
      </w:pPr>
      <w:r w:rsidRPr="006F07EE">
        <w:rPr>
          <w:rFonts w:ascii="Arial" w:hAnsi="Arial" w:cs="Arial"/>
          <w:sz w:val="20"/>
          <w:szCs w:val="20"/>
        </w:rPr>
        <w:t xml:space="preserve"> </w:t>
      </w:r>
    </w:p>
    <w:p w:rsidR="00655CC2" w:rsidRDefault="00655CC2" w:rsidP="006F07EE">
      <w:pPr>
        <w:rPr>
          <w:rFonts w:ascii="Arial" w:hAnsi="Arial" w:cs="Arial"/>
          <w:sz w:val="20"/>
          <w:szCs w:val="20"/>
        </w:rPr>
      </w:pPr>
      <w:r>
        <w:rPr>
          <w:rFonts w:ascii="Arial" w:hAnsi="Arial" w:cs="Arial"/>
          <w:sz w:val="20"/>
          <w:szCs w:val="20"/>
        </w:rPr>
        <w:t xml:space="preserve">Road agencies are </w:t>
      </w:r>
      <w:r w:rsidR="00994A8F">
        <w:rPr>
          <w:rFonts w:ascii="Arial" w:hAnsi="Arial" w:cs="Arial"/>
          <w:sz w:val="20"/>
          <w:szCs w:val="20"/>
        </w:rPr>
        <w:t>complaining about the lack of data</w:t>
      </w:r>
      <w:r>
        <w:rPr>
          <w:rFonts w:ascii="Arial" w:hAnsi="Arial" w:cs="Arial"/>
          <w:sz w:val="20"/>
          <w:szCs w:val="20"/>
        </w:rPr>
        <w:t xml:space="preserve"> to inform decisions made on capital and maintenance. An option for HVCI to consider is whether industry should be approach</w:t>
      </w:r>
      <w:r w:rsidR="00137DAC">
        <w:rPr>
          <w:rFonts w:ascii="Arial" w:hAnsi="Arial" w:cs="Arial"/>
          <w:sz w:val="20"/>
          <w:szCs w:val="20"/>
        </w:rPr>
        <w:t>ed</w:t>
      </w:r>
      <w:r>
        <w:rPr>
          <w:rFonts w:ascii="Arial" w:hAnsi="Arial" w:cs="Arial"/>
          <w:sz w:val="20"/>
          <w:szCs w:val="20"/>
        </w:rPr>
        <w:t xml:space="preserve"> and asked if they are willing to </w:t>
      </w:r>
      <w:r w:rsidR="00994A8F">
        <w:rPr>
          <w:rFonts w:ascii="Arial" w:hAnsi="Arial" w:cs="Arial"/>
          <w:sz w:val="20"/>
          <w:szCs w:val="20"/>
        </w:rPr>
        <w:t>offer</w:t>
      </w:r>
      <w:r>
        <w:rPr>
          <w:rFonts w:ascii="Arial" w:hAnsi="Arial" w:cs="Arial"/>
          <w:sz w:val="20"/>
          <w:szCs w:val="20"/>
        </w:rPr>
        <w:t xml:space="preserve"> fleet management data anonymously in order for this data to be provided. </w:t>
      </w:r>
    </w:p>
    <w:p w:rsidR="0002588E" w:rsidRDefault="0002588E" w:rsidP="006F07EE">
      <w:pPr>
        <w:rPr>
          <w:rFonts w:ascii="Arial" w:hAnsi="Arial" w:cs="Arial"/>
          <w:sz w:val="20"/>
          <w:szCs w:val="20"/>
        </w:rPr>
      </w:pPr>
    </w:p>
    <w:p w:rsidR="0002588E" w:rsidRDefault="0002588E" w:rsidP="006F07EE">
      <w:pPr>
        <w:rPr>
          <w:rFonts w:ascii="Arial" w:hAnsi="Arial" w:cs="Arial"/>
          <w:sz w:val="20"/>
          <w:szCs w:val="20"/>
        </w:rPr>
      </w:pPr>
    </w:p>
    <w:p w:rsidR="0002588E" w:rsidRDefault="0002588E" w:rsidP="006F07EE">
      <w:pPr>
        <w:rPr>
          <w:rFonts w:ascii="Arial" w:hAnsi="Arial" w:cs="Arial"/>
          <w:sz w:val="20"/>
          <w:szCs w:val="20"/>
        </w:rPr>
      </w:pPr>
    </w:p>
    <w:p w:rsidR="0002588E" w:rsidRDefault="0002588E" w:rsidP="006F07EE">
      <w:pPr>
        <w:rPr>
          <w:rFonts w:ascii="Arial" w:hAnsi="Arial" w:cs="Arial"/>
          <w:sz w:val="20"/>
          <w:szCs w:val="20"/>
        </w:rPr>
      </w:pPr>
    </w:p>
    <w:p w:rsidR="00655CC2" w:rsidRDefault="00655CC2" w:rsidP="006F07EE">
      <w:pPr>
        <w:rPr>
          <w:rFonts w:ascii="Arial" w:hAnsi="Arial" w:cs="Arial"/>
          <w:sz w:val="20"/>
          <w:szCs w:val="20"/>
        </w:rPr>
      </w:pPr>
      <w:r>
        <w:rPr>
          <w:rFonts w:ascii="Arial" w:hAnsi="Arial" w:cs="Arial"/>
          <w:sz w:val="20"/>
          <w:szCs w:val="20"/>
        </w:rPr>
        <w:lastRenderedPageBreak/>
        <w:t>In conjunction with a higher variable fuel charge</w:t>
      </w:r>
      <w:r w:rsidR="00A71628">
        <w:rPr>
          <w:rFonts w:ascii="Arial" w:hAnsi="Arial" w:cs="Arial"/>
          <w:sz w:val="20"/>
          <w:szCs w:val="20"/>
        </w:rPr>
        <w:t>,</w:t>
      </w:r>
      <w:r>
        <w:rPr>
          <w:rFonts w:ascii="Arial" w:hAnsi="Arial" w:cs="Arial"/>
          <w:sz w:val="20"/>
          <w:szCs w:val="20"/>
        </w:rPr>
        <w:t xml:space="preserve"> this option would provide road agencies with the data they </w:t>
      </w:r>
      <w:r w:rsidR="00137DAC">
        <w:rPr>
          <w:rFonts w:ascii="Arial" w:hAnsi="Arial" w:cs="Arial"/>
          <w:sz w:val="20"/>
          <w:szCs w:val="20"/>
        </w:rPr>
        <w:t xml:space="preserve">claim is desirable </w:t>
      </w:r>
      <w:r>
        <w:rPr>
          <w:rFonts w:ascii="Arial" w:hAnsi="Arial" w:cs="Arial"/>
          <w:sz w:val="20"/>
          <w:szCs w:val="20"/>
        </w:rPr>
        <w:t xml:space="preserve">and not force telematic monitoring on the industry. </w:t>
      </w:r>
      <w:r w:rsidR="00137DAC">
        <w:rPr>
          <w:rFonts w:ascii="Arial" w:hAnsi="Arial" w:cs="Arial"/>
          <w:sz w:val="20"/>
          <w:szCs w:val="20"/>
        </w:rPr>
        <w:t xml:space="preserve">Our membership has operators with good freight origin and destination data who are willing to consider such an approach from HVCI on behalf of governments.  </w:t>
      </w:r>
    </w:p>
    <w:p w:rsidR="00655CC2" w:rsidRDefault="00655CC2" w:rsidP="006F07EE">
      <w:pPr>
        <w:rPr>
          <w:rFonts w:ascii="Arial" w:hAnsi="Arial" w:cs="Arial"/>
          <w:sz w:val="20"/>
          <w:szCs w:val="20"/>
        </w:rPr>
      </w:pPr>
    </w:p>
    <w:p w:rsidR="00655CC2" w:rsidRDefault="006F07EE" w:rsidP="00655CC2">
      <w:pPr>
        <w:rPr>
          <w:rFonts w:ascii="Arial" w:hAnsi="Arial" w:cs="Arial"/>
          <w:sz w:val="20"/>
          <w:szCs w:val="20"/>
        </w:rPr>
      </w:pPr>
      <w:r w:rsidRPr="006F07EE">
        <w:rPr>
          <w:rFonts w:ascii="Arial" w:hAnsi="Arial" w:cs="Arial"/>
          <w:sz w:val="20"/>
          <w:szCs w:val="20"/>
        </w:rPr>
        <w:t xml:space="preserve">HVCI should consider industry’s appetite for such a scheme as it would provide the data road agencies state they lack. </w:t>
      </w:r>
    </w:p>
    <w:p w:rsidR="006F07EE" w:rsidRDefault="006F07EE" w:rsidP="006F07EE">
      <w:pPr>
        <w:rPr>
          <w:rFonts w:ascii="Arial" w:hAnsi="Arial" w:cs="Arial"/>
          <w:sz w:val="20"/>
          <w:szCs w:val="20"/>
        </w:rPr>
      </w:pPr>
      <w:bookmarkStart w:id="260" w:name="_Toc361321226"/>
      <w:bookmarkStart w:id="261" w:name="_Toc361733016"/>
      <w:bookmarkStart w:id="262" w:name="_Toc361736723"/>
      <w:bookmarkStart w:id="263" w:name="_Toc361821372"/>
      <w:bookmarkStart w:id="264" w:name="_Toc361822902"/>
      <w:bookmarkStart w:id="265" w:name="_Toc361217295"/>
      <w:bookmarkStart w:id="266" w:name="_Toc361217668"/>
      <w:bookmarkStart w:id="267" w:name="_Toc361218197"/>
      <w:bookmarkEnd w:id="260"/>
      <w:bookmarkEnd w:id="261"/>
      <w:bookmarkEnd w:id="262"/>
      <w:bookmarkEnd w:id="263"/>
      <w:bookmarkEnd w:id="264"/>
      <w:bookmarkEnd w:id="265"/>
      <w:bookmarkEnd w:id="266"/>
      <w:bookmarkEnd w:id="267"/>
    </w:p>
    <w:p w:rsidR="00617F3D" w:rsidRPr="00D51476" w:rsidRDefault="00617F3D" w:rsidP="006F07EE">
      <w:pPr>
        <w:rPr>
          <w:rFonts w:ascii="Arial" w:hAnsi="Arial" w:cs="Arial"/>
          <w:sz w:val="20"/>
          <w:szCs w:val="20"/>
        </w:rPr>
      </w:pPr>
    </w:p>
    <w:p w:rsidR="00E87E6C" w:rsidRPr="00793431" w:rsidRDefault="00E87E6C" w:rsidP="00793431">
      <w:pPr>
        <w:pStyle w:val="Heading1"/>
        <w:numPr>
          <w:ilvl w:val="1"/>
          <w:numId w:val="16"/>
        </w:numPr>
      </w:pPr>
      <w:bookmarkStart w:id="268" w:name="_Toc362528143"/>
      <w:r w:rsidRPr="00793431">
        <w:t>National or state based charges</w:t>
      </w:r>
      <w:bookmarkEnd w:id="268"/>
    </w:p>
    <w:p w:rsidR="00E87E6C" w:rsidRPr="00D51476" w:rsidRDefault="00E87E6C" w:rsidP="004C7F70">
      <w:pPr>
        <w:rPr>
          <w:rFonts w:ascii="Arial" w:hAnsi="Arial" w:cs="Arial"/>
          <w:sz w:val="20"/>
          <w:szCs w:val="20"/>
        </w:rPr>
      </w:pPr>
    </w:p>
    <w:p w:rsidR="006D0097" w:rsidRDefault="004229E3" w:rsidP="006D0097">
      <w:pPr>
        <w:tabs>
          <w:tab w:val="left" w:pos="7020"/>
        </w:tabs>
        <w:spacing w:before="40" w:after="40"/>
        <w:rPr>
          <w:rFonts w:ascii="Arial" w:hAnsi="Arial" w:cs="Arial"/>
          <w:sz w:val="20"/>
          <w:szCs w:val="20"/>
        </w:rPr>
      </w:pPr>
      <w:r w:rsidRPr="004229E3">
        <w:rPr>
          <w:rFonts w:ascii="Arial" w:hAnsi="Arial" w:cs="Arial"/>
          <w:sz w:val="20"/>
          <w:szCs w:val="20"/>
        </w:rPr>
        <w:t xml:space="preserve">HVCI </w:t>
      </w:r>
      <w:r w:rsidR="00F06432" w:rsidRPr="004229E3">
        <w:rPr>
          <w:rFonts w:ascii="Arial" w:hAnsi="Arial" w:cs="Arial"/>
          <w:sz w:val="20"/>
          <w:szCs w:val="20"/>
        </w:rPr>
        <w:t>recommend</w:t>
      </w:r>
      <w:r w:rsidR="00F06432">
        <w:rPr>
          <w:rFonts w:ascii="Arial" w:hAnsi="Arial" w:cs="Arial"/>
          <w:sz w:val="20"/>
          <w:szCs w:val="20"/>
        </w:rPr>
        <w:t>s</w:t>
      </w:r>
      <w:r w:rsidR="00F06432" w:rsidRPr="004229E3">
        <w:rPr>
          <w:rFonts w:ascii="Arial" w:hAnsi="Arial" w:cs="Arial"/>
          <w:sz w:val="20"/>
          <w:szCs w:val="20"/>
        </w:rPr>
        <w:t xml:space="preserve"> </w:t>
      </w:r>
      <w:r w:rsidRPr="004229E3">
        <w:rPr>
          <w:rFonts w:ascii="Arial" w:hAnsi="Arial" w:cs="Arial"/>
          <w:sz w:val="20"/>
          <w:szCs w:val="20"/>
        </w:rPr>
        <w:t xml:space="preserve">that </w:t>
      </w:r>
      <w:r w:rsidR="00F06432">
        <w:rPr>
          <w:rFonts w:ascii="Arial" w:hAnsi="Arial" w:cs="Arial"/>
          <w:sz w:val="20"/>
          <w:szCs w:val="20"/>
        </w:rPr>
        <w:t xml:space="preserve">the </w:t>
      </w:r>
      <w:r w:rsidRPr="004229E3">
        <w:rPr>
          <w:rFonts w:ascii="Arial" w:hAnsi="Arial" w:cs="Arial"/>
          <w:sz w:val="20"/>
          <w:szCs w:val="20"/>
        </w:rPr>
        <w:t xml:space="preserve">charges industry pays should be different in each jurisdiction, </w:t>
      </w:r>
      <w:r w:rsidR="00F06432">
        <w:rPr>
          <w:rFonts w:ascii="Arial" w:hAnsi="Arial" w:cs="Arial"/>
          <w:sz w:val="20"/>
          <w:szCs w:val="20"/>
        </w:rPr>
        <w:t>because</w:t>
      </w:r>
      <w:r w:rsidRPr="004229E3">
        <w:rPr>
          <w:rFonts w:ascii="Arial" w:hAnsi="Arial" w:cs="Arial"/>
          <w:sz w:val="20"/>
          <w:szCs w:val="20"/>
        </w:rPr>
        <w:t xml:space="preserve"> each state has different road provision costs. This </w:t>
      </w:r>
      <w:r w:rsidR="00F06432">
        <w:rPr>
          <w:rFonts w:ascii="Arial" w:hAnsi="Arial" w:cs="Arial"/>
          <w:sz w:val="20"/>
          <w:szCs w:val="20"/>
        </w:rPr>
        <w:t xml:space="preserve">position </w:t>
      </w:r>
      <w:r w:rsidRPr="004229E3">
        <w:rPr>
          <w:rFonts w:ascii="Arial" w:hAnsi="Arial" w:cs="Arial"/>
          <w:sz w:val="20"/>
          <w:szCs w:val="20"/>
        </w:rPr>
        <w:t>presents some concern</w:t>
      </w:r>
      <w:r w:rsidR="00F06432">
        <w:rPr>
          <w:rFonts w:ascii="Arial" w:hAnsi="Arial" w:cs="Arial"/>
          <w:sz w:val="20"/>
          <w:szCs w:val="20"/>
        </w:rPr>
        <w:t>s</w:t>
      </w:r>
      <w:r w:rsidRPr="004229E3">
        <w:rPr>
          <w:rFonts w:ascii="Arial" w:hAnsi="Arial" w:cs="Arial"/>
          <w:sz w:val="20"/>
          <w:szCs w:val="20"/>
        </w:rPr>
        <w:t xml:space="preserve"> as it likely to promote </w:t>
      </w:r>
      <w:r w:rsidR="00F06432">
        <w:rPr>
          <w:rFonts w:ascii="Arial" w:hAnsi="Arial" w:cs="Arial"/>
          <w:sz w:val="20"/>
          <w:szCs w:val="20"/>
        </w:rPr>
        <w:t>one</w:t>
      </w:r>
      <w:r w:rsidR="00F06432" w:rsidRPr="004229E3">
        <w:rPr>
          <w:rFonts w:ascii="Arial" w:hAnsi="Arial" w:cs="Arial"/>
          <w:sz w:val="20"/>
          <w:szCs w:val="20"/>
        </w:rPr>
        <w:t xml:space="preserve"> </w:t>
      </w:r>
      <w:r w:rsidRPr="004229E3">
        <w:rPr>
          <w:rFonts w:ascii="Arial" w:hAnsi="Arial" w:cs="Arial"/>
          <w:sz w:val="20"/>
          <w:szCs w:val="20"/>
        </w:rPr>
        <w:t xml:space="preserve">state over </w:t>
      </w:r>
      <w:r w:rsidR="00F06432">
        <w:rPr>
          <w:rFonts w:ascii="Arial" w:hAnsi="Arial" w:cs="Arial"/>
          <w:sz w:val="20"/>
          <w:szCs w:val="20"/>
        </w:rPr>
        <w:t>an</w:t>
      </w:r>
      <w:r w:rsidRPr="004229E3">
        <w:rPr>
          <w:rFonts w:ascii="Arial" w:hAnsi="Arial" w:cs="Arial"/>
          <w:sz w:val="20"/>
          <w:szCs w:val="20"/>
        </w:rPr>
        <w:t xml:space="preserve">other and mean </w:t>
      </w:r>
      <w:r w:rsidR="00F06432">
        <w:rPr>
          <w:rFonts w:ascii="Arial" w:hAnsi="Arial" w:cs="Arial"/>
          <w:sz w:val="20"/>
          <w:szCs w:val="20"/>
        </w:rPr>
        <w:t xml:space="preserve">that interstate </w:t>
      </w:r>
      <w:r w:rsidRPr="004229E3">
        <w:rPr>
          <w:rFonts w:ascii="Arial" w:hAnsi="Arial" w:cs="Arial"/>
          <w:sz w:val="20"/>
          <w:szCs w:val="20"/>
        </w:rPr>
        <w:t xml:space="preserve">operators would be presented with possibly </w:t>
      </w:r>
      <w:r w:rsidR="00F06432">
        <w:rPr>
          <w:rFonts w:ascii="Arial" w:hAnsi="Arial" w:cs="Arial"/>
          <w:sz w:val="20"/>
          <w:szCs w:val="20"/>
        </w:rPr>
        <w:t>four</w:t>
      </w:r>
      <w:r w:rsidRPr="004229E3">
        <w:rPr>
          <w:rFonts w:ascii="Arial" w:hAnsi="Arial" w:cs="Arial"/>
          <w:sz w:val="20"/>
          <w:szCs w:val="20"/>
        </w:rPr>
        <w:t xml:space="preserve"> o</w:t>
      </w:r>
      <w:r w:rsidR="00F06432">
        <w:rPr>
          <w:rFonts w:ascii="Arial" w:hAnsi="Arial" w:cs="Arial"/>
          <w:sz w:val="20"/>
          <w:szCs w:val="20"/>
        </w:rPr>
        <w:t>r</w:t>
      </w:r>
      <w:r w:rsidRPr="004229E3">
        <w:rPr>
          <w:rFonts w:ascii="Arial" w:hAnsi="Arial" w:cs="Arial"/>
          <w:sz w:val="20"/>
          <w:szCs w:val="20"/>
        </w:rPr>
        <w:t xml:space="preserve"> </w:t>
      </w:r>
      <w:r w:rsidR="00F06432">
        <w:rPr>
          <w:rFonts w:ascii="Arial" w:hAnsi="Arial" w:cs="Arial"/>
          <w:sz w:val="20"/>
          <w:szCs w:val="20"/>
        </w:rPr>
        <w:t>five</w:t>
      </w:r>
      <w:r w:rsidRPr="004229E3">
        <w:rPr>
          <w:rFonts w:ascii="Arial" w:hAnsi="Arial" w:cs="Arial"/>
          <w:sz w:val="20"/>
          <w:szCs w:val="20"/>
        </w:rPr>
        <w:t xml:space="preserve"> different rates. </w:t>
      </w:r>
      <w:r w:rsidR="00F06432">
        <w:rPr>
          <w:rFonts w:ascii="Arial" w:hAnsi="Arial" w:cs="Arial"/>
          <w:sz w:val="20"/>
          <w:szCs w:val="20"/>
        </w:rPr>
        <w:t>Ironically,</w:t>
      </w:r>
      <w:r w:rsidR="00137DAC">
        <w:rPr>
          <w:rFonts w:ascii="Arial" w:hAnsi="Arial" w:cs="Arial"/>
          <w:sz w:val="20"/>
          <w:szCs w:val="20"/>
        </w:rPr>
        <w:t xml:space="preserve"> different state</w:t>
      </w:r>
      <w:r w:rsidR="00F06432">
        <w:rPr>
          <w:rFonts w:ascii="Arial" w:hAnsi="Arial" w:cs="Arial"/>
          <w:sz w:val="20"/>
          <w:szCs w:val="20"/>
        </w:rPr>
        <w:t>-</w:t>
      </w:r>
      <w:r w:rsidR="00137DAC">
        <w:rPr>
          <w:rFonts w:ascii="Arial" w:hAnsi="Arial" w:cs="Arial"/>
          <w:sz w:val="20"/>
          <w:szCs w:val="20"/>
        </w:rPr>
        <w:t>based charges were</w:t>
      </w:r>
      <w:r w:rsidR="00F06432">
        <w:rPr>
          <w:rFonts w:ascii="Arial" w:hAnsi="Arial" w:cs="Arial"/>
          <w:sz w:val="20"/>
          <w:szCs w:val="20"/>
        </w:rPr>
        <w:t xml:space="preserve"> historically</w:t>
      </w:r>
      <w:r w:rsidR="00137DAC">
        <w:rPr>
          <w:rFonts w:ascii="Arial" w:hAnsi="Arial" w:cs="Arial"/>
          <w:sz w:val="20"/>
          <w:szCs w:val="20"/>
        </w:rPr>
        <w:t xml:space="preserve"> </w:t>
      </w:r>
      <w:r w:rsidR="00F06432">
        <w:rPr>
          <w:rFonts w:ascii="Arial" w:hAnsi="Arial" w:cs="Arial"/>
          <w:sz w:val="20"/>
          <w:szCs w:val="20"/>
        </w:rPr>
        <w:t>the</w:t>
      </w:r>
      <w:r w:rsidR="00137DAC">
        <w:rPr>
          <w:rFonts w:ascii="Arial" w:hAnsi="Arial" w:cs="Arial"/>
          <w:sz w:val="20"/>
          <w:szCs w:val="20"/>
        </w:rPr>
        <w:t xml:space="preserve"> driver for </w:t>
      </w:r>
      <w:r w:rsidR="00F06432">
        <w:rPr>
          <w:rFonts w:ascii="Arial" w:hAnsi="Arial" w:cs="Arial"/>
          <w:sz w:val="20"/>
          <w:szCs w:val="20"/>
        </w:rPr>
        <w:t xml:space="preserve">national </w:t>
      </w:r>
      <w:r w:rsidR="00137DAC">
        <w:rPr>
          <w:rFonts w:ascii="Arial" w:hAnsi="Arial" w:cs="Arial"/>
          <w:sz w:val="20"/>
          <w:szCs w:val="20"/>
        </w:rPr>
        <w:t>charg</w:t>
      </w:r>
      <w:r w:rsidR="00F06432">
        <w:rPr>
          <w:rFonts w:ascii="Arial" w:hAnsi="Arial" w:cs="Arial"/>
          <w:sz w:val="20"/>
          <w:szCs w:val="20"/>
        </w:rPr>
        <w:t>ing</w:t>
      </w:r>
      <w:r w:rsidR="00137DAC">
        <w:rPr>
          <w:rFonts w:ascii="Arial" w:hAnsi="Arial" w:cs="Arial"/>
          <w:sz w:val="20"/>
          <w:szCs w:val="20"/>
        </w:rPr>
        <w:t xml:space="preserve"> reform via the inter-state commission and ultimately the creation of the </w:t>
      </w:r>
      <w:proofErr w:type="spellStart"/>
      <w:r w:rsidR="00137DAC">
        <w:rPr>
          <w:rFonts w:ascii="Arial" w:hAnsi="Arial" w:cs="Arial"/>
          <w:sz w:val="20"/>
          <w:szCs w:val="20"/>
        </w:rPr>
        <w:t>NRTC</w:t>
      </w:r>
      <w:proofErr w:type="spellEnd"/>
      <w:r w:rsidR="00137DAC">
        <w:rPr>
          <w:rFonts w:ascii="Arial" w:hAnsi="Arial" w:cs="Arial"/>
          <w:sz w:val="20"/>
          <w:szCs w:val="20"/>
        </w:rPr>
        <w:t xml:space="preserve">/NTC to establish equable uniform charges. </w:t>
      </w:r>
    </w:p>
    <w:p w:rsidR="00617F3D" w:rsidRDefault="00617F3D">
      <w:pPr>
        <w:rPr>
          <w:rFonts w:ascii="Arial" w:hAnsi="Arial" w:cs="Arial"/>
          <w:sz w:val="20"/>
          <w:szCs w:val="20"/>
        </w:rPr>
      </w:pPr>
      <w:bookmarkStart w:id="269" w:name="_Toc361217296"/>
      <w:bookmarkStart w:id="270" w:name="_Toc361217669"/>
      <w:bookmarkStart w:id="271" w:name="_Toc361218198"/>
      <w:bookmarkStart w:id="272" w:name="_Toc361219563"/>
      <w:bookmarkStart w:id="273" w:name="_Toc361232842"/>
      <w:bookmarkStart w:id="274" w:name="_Toc361302867"/>
      <w:bookmarkStart w:id="275" w:name="_Toc361321228"/>
      <w:bookmarkStart w:id="276" w:name="_Toc361733018"/>
      <w:bookmarkStart w:id="277" w:name="_Toc361736725"/>
      <w:bookmarkStart w:id="278" w:name="_Toc361821374"/>
      <w:bookmarkStart w:id="279" w:name="_Toc361822904"/>
      <w:bookmarkEnd w:id="269"/>
      <w:bookmarkEnd w:id="270"/>
      <w:bookmarkEnd w:id="271"/>
      <w:bookmarkEnd w:id="272"/>
      <w:bookmarkEnd w:id="273"/>
      <w:bookmarkEnd w:id="274"/>
      <w:bookmarkEnd w:id="275"/>
      <w:bookmarkEnd w:id="276"/>
      <w:bookmarkEnd w:id="277"/>
      <w:bookmarkEnd w:id="278"/>
      <w:bookmarkEnd w:id="279"/>
    </w:p>
    <w:p w:rsidR="00484AB2" w:rsidRPr="00793431" w:rsidRDefault="00484AB2" w:rsidP="00793431">
      <w:pPr>
        <w:pStyle w:val="Heading1"/>
        <w:numPr>
          <w:ilvl w:val="1"/>
          <w:numId w:val="16"/>
        </w:numPr>
      </w:pPr>
      <w:bookmarkStart w:id="280" w:name="_Toc362528144"/>
      <w:r w:rsidRPr="00793431">
        <w:t>Adequate price signals and the optimal fleet mix</w:t>
      </w:r>
      <w:bookmarkEnd w:id="280"/>
      <w:r w:rsidRPr="00793431">
        <w:t xml:space="preserve"> </w:t>
      </w:r>
    </w:p>
    <w:p w:rsidR="00484AB2" w:rsidRPr="00484AB2" w:rsidRDefault="00484AB2" w:rsidP="00484AB2">
      <w:pPr>
        <w:rPr>
          <w:rFonts w:ascii="Arial" w:hAnsi="Arial" w:cs="Arial"/>
          <w:sz w:val="20"/>
          <w:szCs w:val="20"/>
        </w:rPr>
      </w:pPr>
    </w:p>
    <w:p w:rsidR="00484AB2" w:rsidRPr="00484AB2" w:rsidRDefault="00484AB2" w:rsidP="00484AB2">
      <w:pPr>
        <w:rPr>
          <w:rFonts w:ascii="Arial" w:hAnsi="Arial" w:cs="Arial"/>
          <w:sz w:val="20"/>
          <w:szCs w:val="20"/>
        </w:rPr>
      </w:pPr>
      <w:r w:rsidRPr="00484AB2">
        <w:rPr>
          <w:rFonts w:ascii="Arial" w:hAnsi="Arial" w:cs="Arial"/>
          <w:sz w:val="20"/>
          <w:szCs w:val="20"/>
        </w:rPr>
        <w:t>HVCI ha</w:t>
      </w:r>
      <w:r w:rsidR="00C3276D">
        <w:rPr>
          <w:rFonts w:ascii="Arial" w:hAnsi="Arial" w:cs="Arial"/>
          <w:sz w:val="20"/>
          <w:szCs w:val="20"/>
        </w:rPr>
        <w:t>s</w:t>
      </w:r>
      <w:r w:rsidRPr="00484AB2">
        <w:rPr>
          <w:rFonts w:ascii="Arial" w:hAnsi="Arial" w:cs="Arial"/>
          <w:sz w:val="20"/>
          <w:szCs w:val="20"/>
        </w:rPr>
        <w:t xml:space="preserve"> stated that an averaged charging system does not provide </w:t>
      </w:r>
      <w:r w:rsidR="00C3276D">
        <w:rPr>
          <w:rFonts w:ascii="Arial" w:hAnsi="Arial" w:cs="Arial"/>
          <w:sz w:val="20"/>
          <w:szCs w:val="20"/>
        </w:rPr>
        <w:t>sufficient</w:t>
      </w:r>
      <w:r w:rsidR="00C3276D" w:rsidRPr="00484AB2">
        <w:rPr>
          <w:rFonts w:ascii="Arial" w:hAnsi="Arial" w:cs="Arial"/>
          <w:sz w:val="20"/>
          <w:szCs w:val="20"/>
        </w:rPr>
        <w:t xml:space="preserve"> </w:t>
      </w:r>
      <w:r w:rsidRPr="00484AB2">
        <w:rPr>
          <w:rFonts w:ascii="Arial" w:hAnsi="Arial" w:cs="Arial"/>
          <w:sz w:val="20"/>
          <w:szCs w:val="20"/>
        </w:rPr>
        <w:t xml:space="preserve">price signals to </w:t>
      </w:r>
      <w:proofErr w:type="gramStart"/>
      <w:r w:rsidRPr="00484AB2">
        <w:rPr>
          <w:rFonts w:ascii="Arial" w:hAnsi="Arial" w:cs="Arial"/>
          <w:sz w:val="20"/>
          <w:szCs w:val="20"/>
        </w:rPr>
        <w:t>operators,</w:t>
      </w:r>
      <w:proofErr w:type="gramEnd"/>
      <w:r w:rsidRPr="00484AB2">
        <w:rPr>
          <w:rFonts w:ascii="Arial" w:hAnsi="Arial" w:cs="Arial"/>
          <w:sz w:val="20"/>
          <w:szCs w:val="20"/>
        </w:rPr>
        <w:t xml:space="preserve"> however, previous CRRP work has shown that even with a more cost reflective charging system: </w:t>
      </w:r>
    </w:p>
    <w:p w:rsidR="00484AB2" w:rsidRDefault="00484AB2" w:rsidP="00484AB2">
      <w:pPr>
        <w:rPr>
          <w:rFonts w:ascii="Arial" w:hAnsi="Arial" w:cs="Arial"/>
          <w:sz w:val="20"/>
          <w:szCs w:val="20"/>
        </w:rPr>
      </w:pPr>
    </w:p>
    <w:p w:rsidR="00484AB2" w:rsidRDefault="00484AB2" w:rsidP="00793431">
      <w:pPr>
        <w:pStyle w:val="ListParagraph"/>
        <w:numPr>
          <w:ilvl w:val="0"/>
          <w:numId w:val="6"/>
        </w:numPr>
        <w:rPr>
          <w:rFonts w:ascii="Arial" w:hAnsi="Arial" w:cs="Arial"/>
          <w:sz w:val="20"/>
          <w:szCs w:val="20"/>
        </w:rPr>
      </w:pPr>
      <w:r>
        <w:rPr>
          <w:rFonts w:ascii="Arial" w:hAnsi="Arial" w:cs="Arial"/>
          <w:sz w:val="20"/>
          <w:szCs w:val="20"/>
        </w:rPr>
        <w:t xml:space="preserve">Operators will not change their </w:t>
      </w:r>
      <w:r w:rsidR="006C66A7">
        <w:rPr>
          <w:rFonts w:ascii="Arial" w:hAnsi="Arial" w:cs="Arial"/>
          <w:sz w:val="20"/>
          <w:szCs w:val="20"/>
        </w:rPr>
        <w:t>behaviour</w:t>
      </w:r>
      <w:r>
        <w:rPr>
          <w:rFonts w:ascii="Arial" w:hAnsi="Arial" w:cs="Arial"/>
          <w:sz w:val="20"/>
          <w:szCs w:val="20"/>
        </w:rPr>
        <w:t xml:space="preserve"> dramatically because of current operation</w:t>
      </w:r>
      <w:r w:rsidR="00EA1200">
        <w:rPr>
          <w:rFonts w:ascii="Arial" w:hAnsi="Arial" w:cs="Arial"/>
          <w:sz w:val="20"/>
          <w:szCs w:val="20"/>
        </w:rPr>
        <w:t>al</w:t>
      </w:r>
      <w:r>
        <w:rPr>
          <w:rFonts w:ascii="Arial" w:hAnsi="Arial" w:cs="Arial"/>
          <w:sz w:val="20"/>
          <w:szCs w:val="20"/>
        </w:rPr>
        <w:t xml:space="preserve"> limits </w:t>
      </w:r>
      <w:r w:rsidR="00EA1200">
        <w:rPr>
          <w:rFonts w:ascii="Arial" w:hAnsi="Arial" w:cs="Arial"/>
          <w:sz w:val="20"/>
          <w:szCs w:val="20"/>
        </w:rPr>
        <w:t xml:space="preserve">(by road agencies) </w:t>
      </w:r>
      <w:r>
        <w:rPr>
          <w:rFonts w:ascii="Arial" w:hAnsi="Arial" w:cs="Arial"/>
          <w:sz w:val="20"/>
          <w:szCs w:val="20"/>
        </w:rPr>
        <w:t xml:space="preserve">and the incentives operators already have to </w:t>
      </w:r>
      <w:r w:rsidR="006C66A7">
        <w:rPr>
          <w:rFonts w:ascii="Arial" w:hAnsi="Arial" w:cs="Arial"/>
          <w:sz w:val="20"/>
          <w:szCs w:val="20"/>
        </w:rPr>
        <w:t>use</w:t>
      </w:r>
      <w:r>
        <w:rPr>
          <w:rFonts w:ascii="Arial" w:hAnsi="Arial" w:cs="Arial"/>
          <w:sz w:val="20"/>
          <w:szCs w:val="20"/>
        </w:rPr>
        <w:t xml:space="preserve"> the most </w:t>
      </w:r>
      <w:r w:rsidR="006C66A7">
        <w:rPr>
          <w:rFonts w:ascii="Arial" w:hAnsi="Arial" w:cs="Arial"/>
          <w:sz w:val="20"/>
          <w:szCs w:val="20"/>
        </w:rPr>
        <w:t>efficient</w:t>
      </w:r>
      <w:r>
        <w:rPr>
          <w:rFonts w:ascii="Arial" w:hAnsi="Arial" w:cs="Arial"/>
          <w:sz w:val="20"/>
          <w:szCs w:val="20"/>
        </w:rPr>
        <w:t xml:space="preserve"> rout</w:t>
      </w:r>
      <w:r w:rsidR="006C66A7">
        <w:rPr>
          <w:rFonts w:ascii="Arial" w:hAnsi="Arial" w:cs="Arial"/>
          <w:sz w:val="20"/>
          <w:szCs w:val="20"/>
        </w:rPr>
        <w:t>e</w:t>
      </w:r>
      <w:r>
        <w:rPr>
          <w:rFonts w:ascii="Arial" w:hAnsi="Arial" w:cs="Arial"/>
          <w:sz w:val="20"/>
          <w:szCs w:val="20"/>
        </w:rPr>
        <w:t xml:space="preserve"> and the most </w:t>
      </w:r>
      <w:r w:rsidR="006C66A7">
        <w:rPr>
          <w:rFonts w:ascii="Arial" w:hAnsi="Arial" w:cs="Arial"/>
          <w:sz w:val="20"/>
          <w:szCs w:val="20"/>
        </w:rPr>
        <w:t xml:space="preserve">productive vehicle combination </w:t>
      </w:r>
    </w:p>
    <w:p w:rsidR="006C66A7" w:rsidRDefault="006C66A7" w:rsidP="00793431">
      <w:pPr>
        <w:pStyle w:val="ListParagraph"/>
        <w:numPr>
          <w:ilvl w:val="0"/>
          <w:numId w:val="6"/>
        </w:numPr>
        <w:rPr>
          <w:rFonts w:ascii="Arial" w:hAnsi="Arial" w:cs="Arial"/>
          <w:sz w:val="20"/>
          <w:szCs w:val="20"/>
        </w:rPr>
      </w:pPr>
      <w:r>
        <w:rPr>
          <w:rFonts w:ascii="Arial" w:hAnsi="Arial" w:cs="Arial"/>
          <w:sz w:val="20"/>
          <w:szCs w:val="20"/>
        </w:rPr>
        <w:t>Only 25</w:t>
      </w:r>
      <w:r w:rsidR="00C3276D">
        <w:rPr>
          <w:rFonts w:ascii="Arial" w:hAnsi="Arial" w:cs="Arial"/>
          <w:sz w:val="20"/>
          <w:szCs w:val="20"/>
        </w:rPr>
        <w:t>%</w:t>
      </w:r>
      <w:r>
        <w:rPr>
          <w:rFonts w:ascii="Arial" w:hAnsi="Arial" w:cs="Arial"/>
          <w:sz w:val="20"/>
          <w:szCs w:val="20"/>
        </w:rPr>
        <w:t xml:space="preserve"> of current freight trips have realistic alternative routes </w:t>
      </w:r>
    </w:p>
    <w:p w:rsidR="006C66A7" w:rsidRPr="00484AB2" w:rsidRDefault="006C66A7" w:rsidP="00793431">
      <w:pPr>
        <w:pStyle w:val="ListParagraph"/>
        <w:numPr>
          <w:ilvl w:val="0"/>
          <w:numId w:val="6"/>
        </w:numPr>
        <w:rPr>
          <w:rFonts w:ascii="Arial" w:hAnsi="Arial" w:cs="Arial"/>
          <w:sz w:val="20"/>
          <w:szCs w:val="20"/>
        </w:rPr>
      </w:pPr>
      <w:r>
        <w:rPr>
          <w:rFonts w:ascii="Arial" w:hAnsi="Arial" w:cs="Arial"/>
          <w:sz w:val="20"/>
          <w:szCs w:val="20"/>
        </w:rPr>
        <w:t>Only 11</w:t>
      </w:r>
      <w:r w:rsidR="00C3276D">
        <w:rPr>
          <w:rFonts w:ascii="Arial" w:hAnsi="Arial" w:cs="Arial"/>
          <w:sz w:val="20"/>
          <w:szCs w:val="20"/>
        </w:rPr>
        <w:t>%</w:t>
      </w:r>
      <w:r>
        <w:rPr>
          <w:rFonts w:ascii="Arial" w:hAnsi="Arial" w:cs="Arial"/>
          <w:sz w:val="20"/>
          <w:szCs w:val="20"/>
        </w:rPr>
        <w:t xml:space="preserve"> of operators </w:t>
      </w:r>
      <w:r w:rsidR="00C3276D">
        <w:rPr>
          <w:rFonts w:ascii="Arial" w:hAnsi="Arial" w:cs="Arial"/>
          <w:sz w:val="20"/>
          <w:szCs w:val="20"/>
        </w:rPr>
        <w:t xml:space="preserve">agreed </w:t>
      </w:r>
      <w:r>
        <w:rPr>
          <w:rFonts w:ascii="Arial" w:hAnsi="Arial" w:cs="Arial"/>
          <w:sz w:val="20"/>
          <w:szCs w:val="20"/>
        </w:rPr>
        <w:t>they would have an alternative to the local roads on which they travel</w:t>
      </w:r>
      <w:r>
        <w:rPr>
          <w:rStyle w:val="FootnoteReference"/>
          <w:rFonts w:ascii="Arial" w:hAnsi="Arial"/>
          <w:sz w:val="20"/>
          <w:szCs w:val="20"/>
        </w:rPr>
        <w:footnoteReference w:id="10"/>
      </w:r>
      <w:r>
        <w:rPr>
          <w:rFonts w:ascii="Arial" w:hAnsi="Arial" w:cs="Arial"/>
          <w:sz w:val="20"/>
          <w:szCs w:val="20"/>
        </w:rPr>
        <w:t xml:space="preserve">. </w:t>
      </w:r>
    </w:p>
    <w:p w:rsidR="00484AB2" w:rsidRDefault="006C66A7" w:rsidP="00484AB2">
      <w:pPr>
        <w:rPr>
          <w:rFonts w:ascii="Arial" w:hAnsi="Arial" w:cs="Arial"/>
          <w:sz w:val="20"/>
          <w:szCs w:val="20"/>
        </w:rPr>
      </w:pPr>
      <w:r>
        <w:rPr>
          <w:rFonts w:ascii="Arial" w:hAnsi="Arial" w:cs="Arial"/>
          <w:sz w:val="20"/>
          <w:szCs w:val="20"/>
        </w:rPr>
        <w:t xml:space="preserve">Therefore, indicating there needs to be an improvement in route choice and fleet mix is a fanciful argument </w:t>
      </w:r>
      <w:r w:rsidR="006D0097">
        <w:rPr>
          <w:rFonts w:ascii="Arial" w:hAnsi="Arial" w:cs="Arial"/>
          <w:sz w:val="20"/>
          <w:szCs w:val="20"/>
        </w:rPr>
        <w:t xml:space="preserve">that won’t produce </w:t>
      </w:r>
      <w:r w:rsidR="00C3276D">
        <w:rPr>
          <w:rFonts w:ascii="Arial" w:hAnsi="Arial" w:cs="Arial"/>
          <w:sz w:val="20"/>
          <w:szCs w:val="20"/>
        </w:rPr>
        <w:t xml:space="preserve">a </w:t>
      </w:r>
      <w:r w:rsidR="006D0097">
        <w:rPr>
          <w:rFonts w:ascii="Arial" w:hAnsi="Arial" w:cs="Arial"/>
          <w:sz w:val="20"/>
          <w:szCs w:val="20"/>
        </w:rPr>
        <w:t>marginal change even with fully variable charges;</w:t>
      </w:r>
      <w:r>
        <w:rPr>
          <w:rFonts w:ascii="Arial" w:hAnsi="Arial" w:cs="Arial"/>
          <w:sz w:val="20"/>
          <w:szCs w:val="20"/>
        </w:rPr>
        <w:t xml:space="preserve"> industry is making the best decisions it can </w:t>
      </w:r>
      <w:proofErr w:type="gramStart"/>
      <w:r w:rsidR="00220E0A">
        <w:rPr>
          <w:rFonts w:ascii="Arial" w:hAnsi="Arial" w:cs="Arial"/>
          <w:sz w:val="20"/>
          <w:szCs w:val="20"/>
        </w:rPr>
        <w:t>given</w:t>
      </w:r>
      <w:proofErr w:type="gramEnd"/>
      <w:r>
        <w:rPr>
          <w:rFonts w:ascii="Arial" w:hAnsi="Arial" w:cs="Arial"/>
          <w:sz w:val="20"/>
          <w:szCs w:val="20"/>
        </w:rPr>
        <w:t xml:space="preserve"> </w:t>
      </w:r>
      <w:r w:rsidR="00C3276D">
        <w:rPr>
          <w:rFonts w:ascii="Arial" w:hAnsi="Arial" w:cs="Arial"/>
          <w:sz w:val="20"/>
          <w:szCs w:val="20"/>
        </w:rPr>
        <w:t xml:space="preserve">current </w:t>
      </w:r>
      <w:r>
        <w:rPr>
          <w:rFonts w:ascii="Arial" w:hAnsi="Arial" w:cs="Arial"/>
          <w:sz w:val="20"/>
          <w:szCs w:val="20"/>
        </w:rPr>
        <w:t xml:space="preserve">access restrictions and fixed origin and destination. </w:t>
      </w:r>
    </w:p>
    <w:p w:rsidR="00484AB2" w:rsidRDefault="00484AB2" w:rsidP="00484AB2">
      <w:pPr>
        <w:rPr>
          <w:rFonts w:ascii="Arial" w:hAnsi="Arial" w:cs="Arial"/>
          <w:sz w:val="20"/>
          <w:szCs w:val="20"/>
        </w:rPr>
      </w:pPr>
    </w:p>
    <w:p w:rsidR="00484AB2" w:rsidRPr="00484AB2" w:rsidRDefault="006D0097" w:rsidP="00484AB2">
      <w:pPr>
        <w:rPr>
          <w:rFonts w:ascii="Arial" w:hAnsi="Arial" w:cs="Arial"/>
          <w:sz w:val="20"/>
          <w:szCs w:val="20"/>
        </w:rPr>
      </w:pPr>
      <w:r>
        <w:rPr>
          <w:rFonts w:ascii="Arial" w:hAnsi="Arial" w:cs="Arial"/>
          <w:sz w:val="20"/>
          <w:szCs w:val="20"/>
        </w:rPr>
        <w:t xml:space="preserve">If HVCI </w:t>
      </w:r>
      <w:r w:rsidR="00C3276D">
        <w:rPr>
          <w:rFonts w:ascii="Arial" w:hAnsi="Arial" w:cs="Arial"/>
          <w:sz w:val="20"/>
          <w:szCs w:val="20"/>
        </w:rPr>
        <w:t xml:space="preserve">is </w:t>
      </w:r>
      <w:r>
        <w:rPr>
          <w:rFonts w:ascii="Arial" w:hAnsi="Arial" w:cs="Arial"/>
          <w:sz w:val="20"/>
          <w:szCs w:val="20"/>
        </w:rPr>
        <w:t>looking for a charges system that changes route</w:t>
      </w:r>
      <w:r w:rsidR="00C3276D">
        <w:rPr>
          <w:rFonts w:ascii="Arial" w:hAnsi="Arial" w:cs="Arial"/>
          <w:sz w:val="20"/>
          <w:szCs w:val="20"/>
        </w:rPr>
        <w:t xml:space="preserve"> choice</w:t>
      </w:r>
      <w:r>
        <w:rPr>
          <w:rFonts w:ascii="Arial" w:hAnsi="Arial" w:cs="Arial"/>
          <w:sz w:val="20"/>
          <w:szCs w:val="20"/>
        </w:rPr>
        <w:t xml:space="preserve"> </w:t>
      </w:r>
      <w:r w:rsidR="00C3276D">
        <w:rPr>
          <w:rFonts w:ascii="Arial" w:hAnsi="Arial" w:cs="Arial"/>
          <w:sz w:val="20"/>
          <w:szCs w:val="20"/>
        </w:rPr>
        <w:t xml:space="preserve">it </w:t>
      </w:r>
      <w:r>
        <w:rPr>
          <w:rFonts w:ascii="Arial" w:hAnsi="Arial" w:cs="Arial"/>
          <w:sz w:val="20"/>
          <w:szCs w:val="20"/>
        </w:rPr>
        <w:t>will struggle. HVCI also needs to consider that i</w:t>
      </w:r>
      <w:r w:rsidR="00484AB2" w:rsidRPr="00484AB2">
        <w:rPr>
          <w:rFonts w:ascii="Arial" w:hAnsi="Arial" w:cs="Arial"/>
          <w:sz w:val="20"/>
          <w:szCs w:val="20"/>
        </w:rPr>
        <w:t xml:space="preserve">ndustry is constrained by noise curfews, time curfews, access curfews, depot operating hours and </w:t>
      </w:r>
      <w:r w:rsidR="00C3276D" w:rsidRPr="00484AB2">
        <w:rPr>
          <w:rFonts w:ascii="Arial" w:hAnsi="Arial" w:cs="Arial"/>
          <w:sz w:val="20"/>
          <w:szCs w:val="20"/>
        </w:rPr>
        <w:t xml:space="preserve">peak hour </w:t>
      </w:r>
      <w:proofErr w:type="gramStart"/>
      <w:r w:rsidR="00484AB2" w:rsidRPr="00484AB2">
        <w:rPr>
          <w:rFonts w:ascii="Arial" w:hAnsi="Arial" w:cs="Arial"/>
          <w:sz w:val="20"/>
          <w:szCs w:val="20"/>
        </w:rPr>
        <w:t>congestion .</w:t>
      </w:r>
      <w:proofErr w:type="gramEnd"/>
      <w:r w:rsidR="00484AB2" w:rsidRPr="00484AB2">
        <w:rPr>
          <w:rFonts w:ascii="Arial" w:hAnsi="Arial" w:cs="Arial"/>
          <w:sz w:val="20"/>
          <w:szCs w:val="20"/>
        </w:rPr>
        <w:t xml:space="preserve"> Any variable pricing mechanism needs to consider these constraints and </w:t>
      </w:r>
      <w:r w:rsidR="00C3276D">
        <w:rPr>
          <w:rFonts w:ascii="Arial" w:hAnsi="Arial" w:cs="Arial"/>
          <w:sz w:val="20"/>
          <w:szCs w:val="20"/>
        </w:rPr>
        <w:t xml:space="preserve">the </w:t>
      </w:r>
      <w:r w:rsidR="00484AB2" w:rsidRPr="00484AB2">
        <w:rPr>
          <w:rFonts w:ascii="Arial" w:hAnsi="Arial" w:cs="Arial"/>
          <w:sz w:val="20"/>
          <w:szCs w:val="20"/>
        </w:rPr>
        <w:t xml:space="preserve">prices should reflect the </w:t>
      </w:r>
      <w:r w:rsidR="00C3276D">
        <w:rPr>
          <w:rFonts w:ascii="Arial" w:hAnsi="Arial" w:cs="Arial"/>
          <w:sz w:val="20"/>
          <w:szCs w:val="20"/>
        </w:rPr>
        <w:t>barriers</w:t>
      </w:r>
      <w:r w:rsidR="0087195C">
        <w:rPr>
          <w:rFonts w:ascii="Arial" w:hAnsi="Arial" w:cs="Arial"/>
          <w:sz w:val="20"/>
          <w:szCs w:val="20"/>
        </w:rPr>
        <w:t xml:space="preserve"> </w:t>
      </w:r>
      <w:r w:rsidR="00C3276D">
        <w:rPr>
          <w:rFonts w:ascii="Arial" w:hAnsi="Arial" w:cs="Arial"/>
          <w:sz w:val="20"/>
          <w:szCs w:val="20"/>
        </w:rPr>
        <w:t xml:space="preserve">on </w:t>
      </w:r>
      <w:r w:rsidR="0087195C">
        <w:rPr>
          <w:rFonts w:ascii="Arial" w:hAnsi="Arial" w:cs="Arial"/>
          <w:sz w:val="20"/>
          <w:szCs w:val="20"/>
        </w:rPr>
        <w:t xml:space="preserve">operations and </w:t>
      </w:r>
      <w:r w:rsidR="00C3276D">
        <w:rPr>
          <w:rFonts w:ascii="Arial" w:hAnsi="Arial" w:cs="Arial"/>
          <w:sz w:val="20"/>
          <w:szCs w:val="20"/>
        </w:rPr>
        <w:t xml:space="preserve">productivity </w:t>
      </w:r>
      <w:r w:rsidR="00484AB2" w:rsidRPr="00484AB2">
        <w:rPr>
          <w:rFonts w:ascii="Arial" w:hAnsi="Arial" w:cs="Arial"/>
          <w:sz w:val="20"/>
          <w:szCs w:val="20"/>
        </w:rPr>
        <w:t xml:space="preserve">that industry encounters. </w:t>
      </w:r>
    </w:p>
    <w:p w:rsidR="00484AB2" w:rsidRPr="00484AB2" w:rsidRDefault="00484AB2" w:rsidP="00484AB2">
      <w:pPr>
        <w:rPr>
          <w:rFonts w:ascii="Arial" w:hAnsi="Arial" w:cs="Arial"/>
          <w:sz w:val="20"/>
          <w:szCs w:val="20"/>
        </w:rPr>
      </w:pPr>
    </w:p>
    <w:p w:rsidR="00124FCD" w:rsidRPr="00DE3C68" w:rsidRDefault="00484AB2" w:rsidP="004C7F70">
      <w:pPr>
        <w:rPr>
          <w:rFonts w:ascii="Arial" w:hAnsi="Arial" w:cs="Arial"/>
          <w:sz w:val="20"/>
          <w:szCs w:val="20"/>
        </w:rPr>
      </w:pPr>
      <w:r w:rsidRPr="00484AB2">
        <w:rPr>
          <w:rFonts w:ascii="Arial" w:hAnsi="Arial" w:cs="Arial"/>
          <w:sz w:val="20"/>
          <w:szCs w:val="20"/>
        </w:rPr>
        <w:t xml:space="preserve">Until these </w:t>
      </w:r>
      <w:r w:rsidR="00C3276D">
        <w:rPr>
          <w:rFonts w:ascii="Arial" w:hAnsi="Arial" w:cs="Arial"/>
          <w:sz w:val="20"/>
          <w:szCs w:val="20"/>
        </w:rPr>
        <w:t xml:space="preserve">and other </w:t>
      </w:r>
      <w:r w:rsidRPr="00484AB2">
        <w:rPr>
          <w:rFonts w:ascii="Arial" w:hAnsi="Arial" w:cs="Arial"/>
          <w:sz w:val="20"/>
          <w:szCs w:val="20"/>
        </w:rPr>
        <w:t xml:space="preserve">restrictions are addressed there is limited action industry can </w:t>
      </w:r>
      <w:r w:rsidR="00C3276D">
        <w:rPr>
          <w:rFonts w:ascii="Arial" w:hAnsi="Arial" w:cs="Arial"/>
          <w:sz w:val="20"/>
          <w:szCs w:val="20"/>
        </w:rPr>
        <w:t>undertake</w:t>
      </w:r>
      <w:r w:rsidR="00C3276D" w:rsidRPr="00484AB2">
        <w:rPr>
          <w:rFonts w:ascii="Arial" w:hAnsi="Arial" w:cs="Arial"/>
          <w:sz w:val="20"/>
          <w:szCs w:val="20"/>
        </w:rPr>
        <w:t xml:space="preserve"> </w:t>
      </w:r>
      <w:r w:rsidRPr="00484AB2">
        <w:rPr>
          <w:rFonts w:ascii="Arial" w:hAnsi="Arial" w:cs="Arial"/>
          <w:sz w:val="20"/>
          <w:szCs w:val="20"/>
        </w:rPr>
        <w:t>to change delivery route</w:t>
      </w:r>
      <w:r w:rsidR="00C3276D">
        <w:rPr>
          <w:rFonts w:ascii="Arial" w:hAnsi="Arial" w:cs="Arial"/>
          <w:sz w:val="20"/>
          <w:szCs w:val="20"/>
        </w:rPr>
        <w:t>s</w:t>
      </w:r>
      <w:r w:rsidRPr="00484AB2">
        <w:rPr>
          <w:rFonts w:ascii="Arial" w:hAnsi="Arial" w:cs="Arial"/>
          <w:sz w:val="20"/>
          <w:szCs w:val="20"/>
        </w:rPr>
        <w:t xml:space="preserve"> and </w:t>
      </w:r>
      <w:proofErr w:type="gramStart"/>
      <w:r w:rsidRPr="00484AB2">
        <w:rPr>
          <w:rFonts w:ascii="Arial" w:hAnsi="Arial" w:cs="Arial"/>
          <w:sz w:val="20"/>
          <w:szCs w:val="20"/>
        </w:rPr>
        <w:t>time</w:t>
      </w:r>
      <w:r w:rsidR="00C3276D">
        <w:rPr>
          <w:rFonts w:ascii="Arial" w:hAnsi="Arial" w:cs="Arial"/>
          <w:sz w:val="20"/>
          <w:szCs w:val="20"/>
        </w:rPr>
        <w:t>s</w:t>
      </w:r>
      <w:r w:rsidRPr="00484AB2">
        <w:rPr>
          <w:rFonts w:ascii="Arial" w:hAnsi="Arial" w:cs="Arial"/>
          <w:sz w:val="20"/>
          <w:szCs w:val="20"/>
        </w:rPr>
        <w:t>.</w:t>
      </w:r>
      <w:proofErr w:type="gramEnd"/>
      <w:r w:rsidRPr="00484AB2">
        <w:rPr>
          <w:rFonts w:ascii="Arial" w:hAnsi="Arial" w:cs="Arial"/>
          <w:sz w:val="20"/>
          <w:szCs w:val="20"/>
        </w:rPr>
        <w:t xml:space="preserve"> </w:t>
      </w:r>
      <w:r w:rsidR="00EA1200">
        <w:rPr>
          <w:rFonts w:ascii="Arial" w:hAnsi="Arial" w:cs="Arial"/>
          <w:sz w:val="20"/>
          <w:szCs w:val="20"/>
        </w:rPr>
        <w:t>Accordingly, this line of argument should be dropped</w:t>
      </w:r>
      <w:r w:rsidR="00C3276D">
        <w:rPr>
          <w:rFonts w:ascii="Arial" w:hAnsi="Arial" w:cs="Arial"/>
          <w:sz w:val="20"/>
          <w:szCs w:val="20"/>
        </w:rPr>
        <w:t xml:space="preserve"> by HVCI permanently</w:t>
      </w:r>
      <w:r w:rsidR="00EA1200">
        <w:rPr>
          <w:rFonts w:ascii="Arial" w:hAnsi="Arial" w:cs="Arial"/>
          <w:sz w:val="20"/>
          <w:szCs w:val="20"/>
        </w:rPr>
        <w:t>.</w:t>
      </w:r>
    </w:p>
    <w:p w:rsidR="00017750" w:rsidRDefault="00017750" w:rsidP="00017750">
      <w:pPr>
        <w:tabs>
          <w:tab w:val="left" w:pos="7020"/>
        </w:tabs>
        <w:spacing w:before="40" w:after="40"/>
        <w:rPr>
          <w:rFonts w:ascii="Arial" w:hAnsi="Arial" w:cs="Arial"/>
          <w:sz w:val="20"/>
          <w:szCs w:val="20"/>
        </w:rPr>
      </w:pPr>
      <w:bookmarkStart w:id="281" w:name="_Toc361217297"/>
      <w:bookmarkStart w:id="282" w:name="_Toc361217670"/>
      <w:bookmarkStart w:id="283" w:name="_Toc361218199"/>
      <w:bookmarkStart w:id="284" w:name="_Toc361219565"/>
      <w:bookmarkStart w:id="285" w:name="_Toc361232844"/>
      <w:bookmarkStart w:id="286" w:name="_Toc361302869"/>
      <w:bookmarkStart w:id="287" w:name="_Toc361321230"/>
      <w:bookmarkStart w:id="288" w:name="_Toc361733020"/>
      <w:bookmarkStart w:id="289" w:name="_Toc361736727"/>
      <w:bookmarkStart w:id="290" w:name="_Toc361821376"/>
      <w:bookmarkStart w:id="291" w:name="_Toc361822906"/>
      <w:bookmarkEnd w:id="281"/>
      <w:bookmarkEnd w:id="282"/>
      <w:bookmarkEnd w:id="283"/>
      <w:bookmarkEnd w:id="284"/>
      <w:bookmarkEnd w:id="285"/>
      <w:bookmarkEnd w:id="286"/>
      <w:bookmarkEnd w:id="287"/>
      <w:bookmarkEnd w:id="288"/>
      <w:bookmarkEnd w:id="289"/>
      <w:bookmarkEnd w:id="290"/>
      <w:bookmarkEnd w:id="291"/>
    </w:p>
    <w:p w:rsidR="00617F3D" w:rsidRPr="00017750" w:rsidRDefault="00617F3D" w:rsidP="00017750">
      <w:pPr>
        <w:tabs>
          <w:tab w:val="left" w:pos="7020"/>
        </w:tabs>
        <w:spacing w:before="40" w:after="40"/>
        <w:rPr>
          <w:rFonts w:ascii="Arial" w:hAnsi="Arial" w:cs="Arial"/>
          <w:sz w:val="20"/>
          <w:szCs w:val="20"/>
        </w:rPr>
      </w:pPr>
    </w:p>
    <w:p w:rsidR="00357053" w:rsidRPr="00793431" w:rsidRDefault="00357053" w:rsidP="00793431">
      <w:pPr>
        <w:pStyle w:val="Heading1"/>
        <w:numPr>
          <w:ilvl w:val="1"/>
          <w:numId w:val="16"/>
        </w:numPr>
      </w:pPr>
      <w:bookmarkStart w:id="292" w:name="_Toc362528145"/>
      <w:r w:rsidRPr="00793431">
        <w:t>Incremental charges for heavy vehicles</w:t>
      </w:r>
      <w:bookmarkEnd w:id="292"/>
    </w:p>
    <w:p w:rsidR="00357053" w:rsidRPr="006F07EE" w:rsidRDefault="00357053" w:rsidP="00357053">
      <w:pPr>
        <w:tabs>
          <w:tab w:val="left" w:pos="7020"/>
        </w:tabs>
        <w:spacing w:before="40" w:after="40"/>
        <w:rPr>
          <w:rFonts w:ascii="Arial" w:hAnsi="Arial" w:cs="Arial"/>
          <w:sz w:val="20"/>
          <w:szCs w:val="20"/>
        </w:rPr>
      </w:pPr>
    </w:p>
    <w:p w:rsidR="00357053" w:rsidRPr="006F07EE" w:rsidRDefault="00357053" w:rsidP="00357053">
      <w:pPr>
        <w:tabs>
          <w:tab w:val="left" w:pos="7020"/>
        </w:tabs>
        <w:spacing w:before="40" w:after="40"/>
        <w:rPr>
          <w:rFonts w:ascii="Arial" w:hAnsi="Arial" w:cs="Arial"/>
          <w:sz w:val="20"/>
          <w:szCs w:val="20"/>
        </w:rPr>
      </w:pPr>
      <w:r w:rsidRPr="006F07EE">
        <w:rPr>
          <w:rFonts w:ascii="Arial" w:hAnsi="Arial" w:cs="Arial"/>
          <w:sz w:val="20"/>
          <w:szCs w:val="20"/>
        </w:rPr>
        <w:t xml:space="preserve">Incremental charges for </w:t>
      </w:r>
      <w:r w:rsidR="00EA1200">
        <w:rPr>
          <w:rFonts w:ascii="Arial" w:hAnsi="Arial" w:cs="Arial"/>
          <w:sz w:val="20"/>
          <w:szCs w:val="20"/>
        </w:rPr>
        <w:t xml:space="preserve">more productive vehicles like </w:t>
      </w:r>
      <w:r w:rsidRPr="006F07EE">
        <w:rPr>
          <w:rFonts w:ascii="Arial" w:hAnsi="Arial" w:cs="Arial"/>
          <w:sz w:val="20"/>
          <w:szCs w:val="20"/>
        </w:rPr>
        <w:t xml:space="preserve">B-triples or HML vehicles </w:t>
      </w:r>
      <w:r w:rsidR="00EA1200">
        <w:rPr>
          <w:rFonts w:ascii="Arial" w:hAnsi="Arial" w:cs="Arial"/>
          <w:sz w:val="20"/>
          <w:szCs w:val="20"/>
        </w:rPr>
        <w:t xml:space="preserve">or additional mass </w:t>
      </w:r>
      <w:r w:rsidRPr="006F07EE">
        <w:rPr>
          <w:rFonts w:ascii="Arial" w:hAnsi="Arial" w:cs="Arial"/>
          <w:sz w:val="20"/>
          <w:szCs w:val="20"/>
        </w:rPr>
        <w:t>works against promoting productivity in the industry</w:t>
      </w:r>
      <w:r w:rsidR="00BB2D16">
        <w:rPr>
          <w:rFonts w:ascii="Arial" w:hAnsi="Arial" w:cs="Arial"/>
          <w:sz w:val="20"/>
          <w:szCs w:val="20"/>
        </w:rPr>
        <w:t>,</w:t>
      </w:r>
      <w:r w:rsidRPr="006F07EE">
        <w:rPr>
          <w:rFonts w:ascii="Arial" w:hAnsi="Arial" w:cs="Arial"/>
          <w:sz w:val="20"/>
          <w:szCs w:val="20"/>
        </w:rPr>
        <w:t xml:space="preserve"> because </w:t>
      </w:r>
      <w:r w:rsidR="0087195C">
        <w:rPr>
          <w:rFonts w:ascii="Arial" w:hAnsi="Arial" w:cs="Arial"/>
          <w:sz w:val="20"/>
          <w:szCs w:val="20"/>
        </w:rPr>
        <w:t>they</w:t>
      </w:r>
      <w:r w:rsidR="0087195C" w:rsidRPr="006F07EE">
        <w:rPr>
          <w:rFonts w:ascii="Arial" w:hAnsi="Arial" w:cs="Arial"/>
          <w:sz w:val="20"/>
          <w:szCs w:val="20"/>
        </w:rPr>
        <w:t xml:space="preserve"> </w:t>
      </w:r>
      <w:r w:rsidRPr="006F07EE">
        <w:rPr>
          <w:rFonts w:ascii="Arial" w:hAnsi="Arial" w:cs="Arial"/>
          <w:sz w:val="20"/>
          <w:szCs w:val="20"/>
        </w:rPr>
        <w:t xml:space="preserve">continue to </w:t>
      </w:r>
      <w:r w:rsidR="0087195C">
        <w:rPr>
          <w:rFonts w:ascii="Arial" w:hAnsi="Arial" w:cs="Arial"/>
          <w:sz w:val="20"/>
          <w:szCs w:val="20"/>
        </w:rPr>
        <w:t>target</w:t>
      </w:r>
      <w:r w:rsidR="0087195C" w:rsidRPr="006F07EE">
        <w:rPr>
          <w:rFonts w:ascii="Arial" w:hAnsi="Arial" w:cs="Arial"/>
          <w:sz w:val="20"/>
          <w:szCs w:val="20"/>
        </w:rPr>
        <w:t xml:space="preserve"> </w:t>
      </w:r>
      <w:r w:rsidRPr="006F07EE">
        <w:rPr>
          <w:rFonts w:ascii="Arial" w:hAnsi="Arial" w:cs="Arial"/>
          <w:sz w:val="20"/>
          <w:szCs w:val="20"/>
        </w:rPr>
        <w:t xml:space="preserve">the most productive vehicles separately and with a disadvantage </w:t>
      </w:r>
      <w:r w:rsidR="00EA1200">
        <w:rPr>
          <w:rFonts w:ascii="Arial" w:hAnsi="Arial" w:cs="Arial"/>
          <w:sz w:val="20"/>
          <w:szCs w:val="20"/>
        </w:rPr>
        <w:t xml:space="preserve">relative </w:t>
      </w:r>
      <w:r w:rsidRPr="006F07EE">
        <w:rPr>
          <w:rFonts w:ascii="Arial" w:hAnsi="Arial" w:cs="Arial"/>
          <w:sz w:val="20"/>
          <w:szCs w:val="20"/>
        </w:rPr>
        <w:t xml:space="preserve">to the main fleet. </w:t>
      </w:r>
    </w:p>
    <w:p w:rsidR="00357053" w:rsidRPr="006F07EE" w:rsidRDefault="00357053" w:rsidP="00357053">
      <w:pPr>
        <w:tabs>
          <w:tab w:val="left" w:pos="7020"/>
        </w:tabs>
        <w:spacing w:before="40" w:after="40"/>
        <w:rPr>
          <w:rFonts w:ascii="Arial" w:hAnsi="Arial" w:cs="Arial"/>
          <w:sz w:val="20"/>
          <w:szCs w:val="20"/>
        </w:rPr>
      </w:pPr>
    </w:p>
    <w:p w:rsidR="00124FCD" w:rsidRDefault="00357053" w:rsidP="00DE3C68">
      <w:pPr>
        <w:tabs>
          <w:tab w:val="left" w:pos="7020"/>
        </w:tabs>
        <w:spacing w:before="40" w:after="40"/>
        <w:rPr>
          <w:rFonts w:ascii="Arial" w:hAnsi="Arial" w:cs="Arial"/>
          <w:sz w:val="20"/>
          <w:szCs w:val="20"/>
        </w:rPr>
      </w:pPr>
      <w:r w:rsidRPr="006F07EE">
        <w:rPr>
          <w:rFonts w:ascii="Arial" w:hAnsi="Arial" w:cs="Arial"/>
          <w:sz w:val="20"/>
          <w:szCs w:val="20"/>
        </w:rPr>
        <w:t xml:space="preserve">Some of those who want access to B-triple/HML routes are likely to </w:t>
      </w:r>
      <w:proofErr w:type="gramStart"/>
      <w:r w:rsidRPr="006F07EE">
        <w:rPr>
          <w:rFonts w:ascii="Arial" w:hAnsi="Arial" w:cs="Arial"/>
          <w:sz w:val="20"/>
          <w:szCs w:val="20"/>
        </w:rPr>
        <w:t>pay,</w:t>
      </w:r>
      <w:proofErr w:type="gramEnd"/>
      <w:r w:rsidRPr="006F07EE">
        <w:rPr>
          <w:rFonts w:ascii="Arial" w:hAnsi="Arial" w:cs="Arial"/>
          <w:sz w:val="20"/>
          <w:szCs w:val="20"/>
        </w:rPr>
        <w:t xml:space="preserve"> however, this should be viewed as road agencies gouging industry </w:t>
      </w:r>
      <w:r w:rsidR="0087195C">
        <w:rPr>
          <w:rFonts w:ascii="Arial" w:hAnsi="Arial" w:cs="Arial"/>
          <w:sz w:val="20"/>
          <w:szCs w:val="20"/>
        </w:rPr>
        <w:t>through</w:t>
      </w:r>
      <w:r w:rsidRPr="006F07EE">
        <w:rPr>
          <w:rFonts w:ascii="Arial" w:hAnsi="Arial" w:cs="Arial"/>
          <w:sz w:val="20"/>
          <w:szCs w:val="20"/>
        </w:rPr>
        <w:t xml:space="preserve"> a higher charge</w:t>
      </w:r>
      <w:r w:rsidR="0087195C">
        <w:rPr>
          <w:rFonts w:ascii="Arial" w:hAnsi="Arial" w:cs="Arial"/>
          <w:sz w:val="20"/>
          <w:szCs w:val="20"/>
        </w:rPr>
        <w:t>s</w:t>
      </w:r>
      <w:r w:rsidRPr="006F07EE">
        <w:rPr>
          <w:rFonts w:ascii="Arial" w:hAnsi="Arial" w:cs="Arial"/>
          <w:sz w:val="20"/>
          <w:szCs w:val="20"/>
        </w:rPr>
        <w:t xml:space="preserve"> simply </w:t>
      </w:r>
      <w:r w:rsidR="0087195C" w:rsidRPr="006F07EE">
        <w:rPr>
          <w:rFonts w:ascii="Arial" w:hAnsi="Arial" w:cs="Arial"/>
          <w:sz w:val="20"/>
          <w:szCs w:val="20"/>
        </w:rPr>
        <w:t xml:space="preserve">because they </w:t>
      </w:r>
      <w:r w:rsidRPr="006F07EE">
        <w:rPr>
          <w:rFonts w:ascii="Arial" w:hAnsi="Arial" w:cs="Arial"/>
          <w:sz w:val="20"/>
          <w:szCs w:val="20"/>
        </w:rPr>
        <w:t xml:space="preserve">can, not because </w:t>
      </w:r>
      <w:r w:rsidR="0087195C">
        <w:rPr>
          <w:rFonts w:ascii="Arial" w:hAnsi="Arial" w:cs="Arial"/>
          <w:sz w:val="20"/>
          <w:szCs w:val="20"/>
        </w:rPr>
        <w:t>such payment</w:t>
      </w:r>
      <w:r w:rsidR="0087195C" w:rsidRPr="006F07EE">
        <w:rPr>
          <w:rFonts w:ascii="Arial" w:hAnsi="Arial" w:cs="Arial"/>
          <w:sz w:val="20"/>
          <w:szCs w:val="20"/>
        </w:rPr>
        <w:t xml:space="preserve"> </w:t>
      </w:r>
      <w:r w:rsidRPr="006F07EE">
        <w:rPr>
          <w:rFonts w:ascii="Arial" w:hAnsi="Arial" w:cs="Arial"/>
          <w:sz w:val="20"/>
          <w:szCs w:val="20"/>
        </w:rPr>
        <w:t>reflect</w:t>
      </w:r>
      <w:r w:rsidR="0087195C">
        <w:rPr>
          <w:rFonts w:ascii="Arial" w:hAnsi="Arial" w:cs="Arial"/>
          <w:sz w:val="20"/>
          <w:szCs w:val="20"/>
        </w:rPr>
        <w:t>s</w:t>
      </w:r>
      <w:r w:rsidRPr="006F07EE">
        <w:rPr>
          <w:rFonts w:ascii="Arial" w:hAnsi="Arial" w:cs="Arial"/>
          <w:sz w:val="20"/>
          <w:szCs w:val="20"/>
        </w:rPr>
        <w:t xml:space="preserve"> the impact of the vehicles or the saving they present to infrastructure. </w:t>
      </w:r>
    </w:p>
    <w:p w:rsidR="00813EA6" w:rsidRDefault="00813EA6" w:rsidP="00DE3C68">
      <w:pPr>
        <w:tabs>
          <w:tab w:val="left" w:pos="7020"/>
        </w:tabs>
        <w:spacing w:before="40" w:after="40"/>
        <w:rPr>
          <w:rFonts w:ascii="Arial" w:hAnsi="Arial" w:cs="Arial"/>
          <w:sz w:val="20"/>
          <w:szCs w:val="20"/>
        </w:rPr>
      </w:pPr>
    </w:p>
    <w:p w:rsidR="00AB020E" w:rsidRDefault="00AB020E" w:rsidP="00DE3C68">
      <w:pPr>
        <w:tabs>
          <w:tab w:val="left" w:pos="7020"/>
        </w:tabs>
        <w:spacing w:before="40" w:after="40"/>
        <w:rPr>
          <w:rFonts w:ascii="Arial" w:hAnsi="Arial" w:cs="Arial"/>
          <w:sz w:val="20"/>
          <w:szCs w:val="20"/>
        </w:rPr>
      </w:pPr>
      <w:r>
        <w:rPr>
          <w:rFonts w:ascii="Arial" w:hAnsi="Arial" w:cs="Arial"/>
          <w:sz w:val="20"/>
          <w:szCs w:val="20"/>
        </w:rPr>
        <w:t xml:space="preserve">In the </w:t>
      </w:r>
      <w:r w:rsidR="0087195C">
        <w:rPr>
          <w:rFonts w:ascii="Arial" w:hAnsi="Arial" w:cs="Arial"/>
          <w:sz w:val="20"/>
          <w:szCs w:val="20"/>
        </w:rPr>
        <w:t>C</w:t>
      </w:r>
      <w:r>
        <w:rPr>
          <w:rFonts w:ascii="Arial" w:hAnsi="Arial" w:cs="Arial"/>
          <w:sz w:val="20"/>
          <w:szCs w:val="20"/>
        </w:rPr>
        <w:t xml:space="preserve">o-design </w:t>
      </w:r>
      <w:r w:rsidR="0087195C">
        <w:rPr>
          <w:rFonts w:ascii="Arial" w:hAnsi="Arial" w:cs="Arial"/>
          <w:sz w:val="20"/>
          <w:szCs w:val="20"/>
        </w:rPr>
        <w:t>W</w:t>
      </w:r>
      <w:r>
        <w:rPr>
          <w:rFonts w:ascii="Arial" w:hAnsi="Arial" w:cs="Arial"/>
          <w:sz w:val="20"/>
          <w:szCs w:val="20"/>
        </w:rPr>
        <w:t xml:space="preserve">orkshops, states who </w:t>
      </w:r>
      <w:r w:rsidR="0087195C">
        <w:rPr>
          <w:rFonts w:ascii="Arial" w:hAnsi="Arial" w:cs="Arial"/>
          <w:sz w:val="20"/>
          <w:szCs w:val="20"/>
        </w:rPr>
        <w:t>ran</w:t>
      </w:r>
      <w:r>
        <w:rPr>
          <w:rFonts w:ascii="Arial" w:hAnsi="Arial" w:cs="Arial"/>
          <w:sz w:val="20"/>
          <w:szCs w:val="20"/>
        </w:rPr>
        <w:t xml:space="preserve"> incremental trials noted that it was very difficult to calculate the marginal impact and the return on incremental trials was limited. </w:t>
      </w:r>
      <w:r w:rsidR="00EA1200">
        <w:rPr>
          <w:rFonts w:ascii="Arial" w:hAnsi="Arial" w:cs="Arial"/>
          <w:sz w:val="20"/>
          <w:szCs w:val="20"/>
        </w:rPr>
        <w:t xml:space="preserve">Further, the charges model </w:t>
      </w:r>
      <w:r w:rsidR="0087195C">
        <w:rPr>
          <w:rFonts w:ascii="Arial" w:hAnsi="Arial" w:cs="Arial"/>
          <w:sz w:val="20"/>
          <w:szCs w:val="20"/>
        </w:rPr>
        <w:t xml:space="preserve">will </w:t>
      </w:r>
      <w:r w:rsidR="00EA1200">
        <w:rPr>
          <w:rFonts w:ascii="Arial" w:hAnsi="Arial" w:cs="Arial"/>
          <w:sz w:val="20"/>
          <w:szCs w:val="20"/>
        </w:rPr>
        <w:t xml:space="preserve">need to remove any double counting and distortions arising from incremental charges. </w:t>
      </w:r>
    </w:p>
    <w:p w:rsidR="00793431" w:rsidRDefault="00793431" w:rsidP="00C109F6">
      <w:pPr>
        <w:rPr>
          <w:rFonts w:ascii="Arial" w:hAnsi="Arial" w:cs="Arial"/>
          <w:sz w:val="20"/>
          <w:szCs w:val="20"/>
        </w:rPr>
      </w:pPr>
    </w:p>
    <w:p w:rsidR="0002588E" w:rsidRDefault="0002588E" w:rsidP="00C109F6">
      <w:pPr>
        <w:rPr>
          <w:rFonts w:ascii="Arial" w:hAnsi="Arial" w:cs="Arial"/>
          <w:sz w:val="20"/>
          <w:szCs w:val="20"/>
        </w:rPr>
      </w:pPr>
    </w:p>
    <w:p w:rsidR="00617F3D" w:rsidRDefault="00617F3D" w:rsidP="00C109F6">
      <w:pPr>
        <w:rPr>
          <w:rFonts w:ascii="Arial" w:hAnsi="Arial" w:cs="Arial"/>
          <w:sz w:val="20"/>
          <w:szCs w:val="20"/>
        </w:rPr>
      </w:pPr>
    </w:p>
    <w:p w:rsidR="00793431" w:rsidRPr="00C109F6" w:rsidRDefault="00457680" w:rsidP="00C109F6">
      <w:pPr>
        <w:pStyle w:val="Heading1"/>
        <w:numPr>
          <w:ilvl w:val="0"/>
          <w:numId w:val="3"/>
        </w:numPr>
      </w:pPr>
      <w:bookmarkStart w:id="293" w:name="_Toc362528146"/>
      <w:r w:rsidRPr="00C109F6">
        <w:lastRenderedPageBreak/>
        <w:t>Conclusion</w:t>
      </w:r>
      <w:bookmarkEnd w:id="293"/>
    </w:p>
    <w:p w:rsidR="00793431" w:rsidRDefault="00793431" w:rsidP="00DE3C68">
      <w:pPr>
        <w:tabs>
          <w:tab w:val="left" w:pos="7020"/>
        </w:tabs>
        <w:spacing w:before="40" w:after="40"/>
        <w:rPr>
          <w:rFonts w:ascii="Arial" w:hAnsi="Arial" w:cs="Arial"/>
          <w:sz w:val="20"/>
          <w:szCs w:val="20"/>
        </w:rPr>
      </w:pPr>
    </w:p>
    <w:p w:rsidR="006531BB" w:rsidRDefault="009252B6" w:rsidP="00DE3C68">
      <w:pPr>
        <w:tabs>
          <w:tab w:val="left" w:pos="7020"/>
        </w:tabs>
        <w:spacing w:before="40" w:after="40"/>
        <w:rPr>
          <w:rFonts w:ascii="Arial" w:hAnsi="Arial" w:cs="Arial"/>
          <w:sz w:val="20"/>
          <w:szCs w:val="20"/>
        </w:rPr>
      </w:pPr>
      <w:r>
        <w:rPr>
          <w:rFonts w:ascii="Arial" w:hAnsi="Arial" w:cs="Arial"/>
          <w:sz w:val="20"/>
          <w:szCs w:val="20"/>
        </w:rPr>
        <w:t>The transition</w:t>
      </w:r>
      <w:r w:rsidR="006531BB">
        <w:rPr>
          <w:rFonts w:ascii="Arial" w:hAnsi="Arial" w:cs="Arial"/>
          <w:sz w:val="20"/>
          <w:szCs w:val="20"/>
        </w:rPr>
        <w:t xml:space="preserve"> from </w:t>
      </w:r>
      <w:r w:rsidR="00617F3D">
        <w:rPr>
          <w:rFonts w:ascii="Arial" w:hAnsi="Arial" w:cs="Arial"/>
          <w:sz w:val="20"/>
          <w:szCs w:val="20"/>
        </w:rPr>
        <w:t>a</w:t>
      </w:r>
      <w:r w:rsidR="006531BB">
        <w:rPr>
          <w:rFonts w:ascii="Arial" w:hAnsi="Arial" w:cs="Arial"/>
          <w:sz w:val="20"/>
          <w:szCs w:val="20"/>
        </w:rPr>
        <w:t xml:space="preserve"> fragmented and resistant road management</w:t>
      </w:r>
      <w:r w:rsidR="00617F3D">
        <w:rPr>
          <w:rFonts w:ascii="Arial" w:hAnsi="Arial" w:cs="Arial"/>
          <w:sz w:val="20"/>
          <w:szCs w:val="20"/>
        </w:rPr>
        <w:t xml:space="preserve"> culture</w:t>
      </w:r>
      <w:r w:rsidR="006531BB">
        <w:rPr>
          <w:rFonts w:ascii="Arial" w:hAnsi="Arial" w:cs="Arial"/>
          <w:sz w:val="20"/>
          <w:szCs w:val="20"/>
        </w:rPr>
        <w:t xml:space="preserve"> to the optimal outcome</w:t>
      </w:r>
      <w:r w:rsidR="00617F3D">
        <w:rPr>
          <w:rFonts w:ascii="Arial" w:hAnsi="Arial" w:cs="Arial"/>
          <w:sz w:val="20"/>
          <w:szCs w:val="20"/>
        </w:rPr>
        <w:t>,</w:t>
      </w:r>
      <w:r w:rsidR="006531BB">
        <w:rPr>
          <w:rFonts w:ascii="Arial" w:hAnsi="Arial" w:cs="Arial"/>
          <w:sz w:val="20"/>
          <w:szCs w:val="20"/>
        </w:rPr>
        <w:t xml:space="preserve"> where productivity in the heavy vehicle industry can improve markedly depends heavily on what reforms are implemented.</w:t>
      </w:r>
    </w:p>
    <w:p w:rsidR="006531BB" w:rsidRDefault="006531BB" w:rsidP="00DE3C68">
      <w:pPr>
        <w:tabs>
          <w:tab w:val="left" w:pos="7020"/>
        </w:tabs>
        <w:spacing w:before="40" w:after="40"/>
        <w:rPr>
          <w:rFonts w:ascii="Arial" w:hAnsi="Arial" w:cs="Arial"/>
          <w:sz w:val="20"/>
          <w:szCs w:val="20"/>
        </w:rPr>
      </w:pPr>
    </w:p>
    <w:p w:rsidR="00C109F6" w:rsidRDefault="006531BB" w:rsidP="00DE3C68">
      <w:pPr>
        <w:tabs>
          <w:tab w:val="left" w:pos="7020"/>
        </w:tabs>
        <w:spacing w:before="40" w:after="40"/>
        <w:rPr>
          <w:rFonts w:ascii="Arial" w:hAnsi="Arial" w:cs="Arial"/>
          <w:sz w:val="20"/>
          <w:szCs w:val="20"/>
        </w:rPr>
      </w:pPr>
      <w:r>
        <w:rPr>
          <w:rFonts w:ascii="Arial" w:hAnsi="Arial" w:cs="Arial"/>
          <w:sz w:val="20"/>
          <w:szCs w:val="20"/>
        </w:rPr>
        <w:t>A big bang approach to reform will cause massive shocks to both industry and road managers, therefore</w:t>
      </w:r>
      <w:r w:rsidR="00617F3D">
        <w:rPr>
          <w:rFonts w:ascii="Arial" w:hAnsi="Arial" w:cs="Arial"/>
          <w:sz w:val="20"/>
          <w:szCs w:val="20"/>
        </w:rPr>
        <w:t>,</w:t>
      </w:r>
      <w:r>
        <w:rPr>
          <w:rFonts w:ascii="Arial" w:hAnsi="Arial" w:cs="Arial"/>
          <w:sz w:val="20"/>
          <w:szCs w:val="20"/>
        </w:rPr>
        <w:t xml:space="preserve"> a well thought through staggered approach that takes into account the particulars of the trucking industry and of road agencies will result in the best possible outcomes. </w:t>
      </w:r>
    </w:p>
    <w:p w:rsidR="006531BB" w:rsidRDefault="006531BB" w:rsidP="00DE3C68">
      <w:pPr>
        <w:tabs>
          <w:tab w:val="left" w:pos="7020"/>
        </w:tabs>
        <w:spacing w:before="40" w:after="40"/>
        <w:rPr>
          <w:rFonts w:ascii="Arial" w:hAnsi="Arial" w:cs="Arial"/>
          <w:sz w:val="20"/>
          <w:szCs w:val="20"/>
        </w:rPr>
      </w:pPr>
    </w:p>
    <w:p w:rsidR="00617F3D" w:rsidRDefault="006531BB" w:rsidP="00DE3C68">
      <w:pPr>
        <w:tabs>
          <w:tab w:val="left" w:pos="7020"/>
        </w:tabs>
        <w:spacing w:before="40" w:after="40"/>
        <w:rPr>
          <w:rFonts w:ascii="Arial" w:hAnsi="Arial" w:cs="Arial"/>
          <w:sz w:val="20"/>
          <w:szCs w:val="20"/>
        </w:rPr>
      </w:pPr>
      <w:r>
        <w:rPr>
          <w:rFonts w:ascii="Arial" w:hAnsi="Arial" w:cs="Arial"/>
          <w:sz w:val="20"/>
          <w:szCs w:val="20"/>
        </w:rPr>
        <w:t>The submission covered many important topic</w:t>
      </w:r>
      <w:r w:rsidR="00DA538C">
        <w:rPr>
          <w:rFonts w:ascii="Arial" w:hAnsi="Arial" w:cs="Arial"/>
          <w:sz w:val="20"/>
          <w:szCs w:val="20"/>
        </w:rPr>
        <w:t>s for HVCI to consider. The main recommendations flowing from the detail</w:t>
      </w:r>
      <w:r w:rsidR="00617F3D">
        <w:rPr>
          <w:rFonts w:ascii="Arial" w:hAnsi="Arial" w:cs="Arial"/>
          <w:sz w:val="20"/>
          <w:szCs w:val="20"/>
        </w:rPr>
        <w:t>s</w:t>
      </w:r>
      <w:r w:rsidR="00DA538C">
        <w:rPr>
          <w:rFonts w:ascii="Arial" w:hAnsi="Arial" w:cs="Arial"/>
          <w:sz w:val="20"/>
          <w:szCs w:val="20"/>
        </w:rPr>
        <w:t xml:space="preserve"> are: </w:t>
      </w:r>
    </w:p>
    <w:p w:rsidR="00617F3D" w:rsidRPr="006F07EE" w:rsidRDefault="00617F3D" w:rsidP="00DE3C68">
      <w:pPr>
        <w:tabs>
          <w:tab w:val="left" w:pos="7020"/>
        </w:tabs>
        <w:spacing w:before="40" w:after="40"/>
        <w:rPr>
          <w:rFonts w:ascii="Arial" w:hAnsi="Arial" w:cs="Arial"/>
          <w:sz w:val="20"/>
          <w:szCs w:val="20"/>
        </w:rPr>
      </w:pPr>
    </w:p>
    <w:p w:rsidR="00DE3C68" w:rsidRDefault="00DE3C68" w:rsidP="00DE3C68">
      <w:pPr>
        <w:pStyle w:val="RecommendationStyle"/>
      </w:pPr>
      <w:bookmarkStart w:id="294" w:name="_Toc361217298"/>
      <w:bookmarkStart w:id="295" w:name="_Toc361217671"/>
      <w:bookmarkStart w:id="296" w:name="_Toc361218200"/>
      <w:bookmarkStart w:id="297" w:name="_Toc361219567"/>
      <w:bookmarkStart w:id="298" w:name="_Toc361232846"/>
      <w:bookmarkStart w:id="299" w:name="_Toc361302871"/>
      <w:bookmarkStart w:id="300" w:name="_Toc361321232"/>
      <w:bookmarkStart w:id="301" w:name="_Toc361733022"/>
      <w:bookmarkStart w:id="302" w:name="_Toc361736729"/>
      <w:bookmarkStart w:id="303" w:name="_Toc361821378"/>
      <w:bookmarkStart w:id="304" w:name="_Toc361822908"/>
      <w:bookmarkStart w:id="305" w:name="_Toc361825582"/>
      <w:bookmarkStart w:id="306" w:name="_Toc361826680"/>
      <w:bookmarkStart w:id="307" w:name="_Toc36183912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B73DF0" w:rsidRPr="00B73DF0" w:rsidRDefault="00B73DF0" w:rsidP="00B73DF0">
      <w:pPr>
        <w:pStyle w:val="RecommendationStyle"/>
        <w:numPr>
          <w:ilvl w:val="0"/>
          <w:numId w:val="0"/>
        </w:numPr>
        <w:rPr>
          <w:bCs/>
        </w:rPr>
      </w:pPr>
      <w:bookmarkStart w:id="308" w:name="_Toc361825583"/>
      <w:bookmarkStart w:id="309" w:name="_Toc361826681"/>
      <w:bookmarkStart w:id="310" w:name="_Toc361839126"/>
      <w:r w:rsidRPr="00B73DF0">
        <w:rPr>
          <w:bCs/>
        </w:rPr>
        <w:t xml:space="preserve">The PwC short term recommendations should be </w:t>
      </w:r>
      <w:r w:rsidR="006C21FA">
        <w:rPr>
          <w:bCs/>
        </w:rPr>
        <w:t>replicated</w:t>
      </w:r>
      <w:r w:rsidRPr="00B73DF0">
        <w:rPr>
          <w:bCs/>
        </w:rPr>
        <w:t xml:space="preserve"> by HVCI including:</w:t>
      </w:r>
      <w:bookmarkEnd w:id="308"/>
      <w:bookmarkEnd w:id="309"/>
      <w:bookmarkEnd w:id="310"/>
    </w:p>
    <w:p w:rsidR="00B73DF0" w:rsidRPr="00181796" w:rsidRDefault="00B73DF0" w:rsidP="00793431">
      <w:pPr>
        <w:pStyle w:val="RecommendationStyle"/>
        <w:numPr>
          <w:ilvl w:val="0"/>
          <w:numId w:val="11"/>
        </w:numPr>
        <w:rPr>
          <w:b w:val="0"/>
          <w:bCs/>
        </w:rPr>
      </w:pPr>
      <w:bookmarkStart w:id="311" w:name="_Toc361825584"/>
      <w:bookmarkStart w:id="312" w:name="_Toc361826682"/>
      <w:bookmarkStart w:id="313" w:name="_Toc361839127"/>
      <w:r w:rsidRPr="00181796">
        <w:rPr>
          <w:b w:val="0"/>
          <w:bCs/>
        </w:rPr>
        <w:t>Defining a three tier road freight network to focus heavy vehicle investment, reporting and funding to target particular heavy vehicle access levels.</w:t>
      </w:r>
      <w:bookmarkEnd w:id="311"/>
      <w:bookmarkEnd w:id="312"/>
      <w:bookmarkEnd w:id="313"/>
      <w:r w:rsidRPr="00181796">
        <w:rPr>
          <w:b w:val="0"/>
          <w:bCs/>
        </w:rPr>
        <w:t xml:space="preserve"> </w:t>
      </w:r>
    </w:p>
    <w:p w:rsidR="00B73DF0" w:rsidRPr="00181796" w:rsidRDefault="00B73DF0" w:rsidP="00793431">
      <w:pPr>
        <w:pStyle w:val="RecommendationStyle"/>
        <w:numPr>
          <w:ilvl w:val="0"/>
          <w:numId w:val="11"/>
        </w:numPr>
        <w:rPr>
          <w:b w:val="0"/>
          <w:bCs/>
        </w:rPr>
      </w:pPr>
      <w:bookmarkStart w:id="314" w:name="_Toc361825585"/>
      <w:bookmarkStart w:id="315" w:name="_Toc361826683"/>
      <w:bookmarkStart w:id="316" w:name="_Toc361839128"/>
      <w:r w:rsidRPr="00181796">
        <w:rPr>
          <w:b w:val="0"/>
          <w:bCs/>
        </w:rPr>
        <w:t>Reporting, benchmarking and reviewing road expenditure costs across each tier of the network, in order to improve accountability and transparency.</w:t>
      </w:r>
      <w:bookmarkEnd w:id="314"/>
      <w:bookmarkEnd w:id="315"/>
      <w:bookmarkEnd w:id="316"/>
      <w:r w:rsidRPr="00181796">
        <w:rPr>
          <w:b w:val="0"/>
          <w:bCs/>
        </w:rPr>
        <w:t xml:space="preserve"> </w:t>
      </w:r>
    </w:p>
    <w:p w:rsidR="00B73DF0" w:rsidRPr="00181796" w:rsidRDefault="00B73DF0" w:rsidP="00793431">
      <w:pPr>
        <w:pStyle w:val="RecommendationStyle"/>
        <w:numPr>
          <w:ilvl w:val="0"/>
          <w:numId w:val="11"/>
        </w:numPr>
        <w:rPr>
          <w:b w:val="0"/>
          <w:bCs/>
        </w:rPr>
      </w:pPr>
      <w:bookmarkStart w:id="317" w:name="_Toc361825586"/>
      <w:bookmarkStart w:id="318" w:name="_Toc361826684"/>
      <w:bookmarkStart w:id="319" w:name="_Toc361839129"/>
      <w:r w:rsidRPr="00181796">
        <w:rPr>
          <w:b w:val="0"/>
          <w:bCs/>
        </w:rPr>
        <w:t>A transparent formula for allocating funding to road suppliers reflecting road costs, heavy vehicle usage and access upgrade requirements. The formula should also incorporate a mechanism for funding low volume roads through community service obligations (CSOs).</w:t>
      </w:r>
      <w:bookmarkEnd w:id="317"/>
      <w:bookmarkEnd w:id="318"/>
      <w:bookmarkEnd w:id="319"/>
      <w:r w:rsidRPr="00181796">
        <w:rPr>
          <w:b w:val="0"/>
          <w:bCs/>
        </w:rPr>
        <w:t xml:space="preserve"> </w:t>
      </w:r>
    </w:p>
    <w:p w:rsidR="006C21FA" w:rsidRPr="00181796" w:rsidRDefault="00B73DF0" w:rsidP="00181796">
      <w:pPr>
        <w:pStyle w:val="RecommendationStyle"/>
        <w:numPr>
          <w:ilvl w:val="0"/>
          <w:numId w:val="11"/>
        </w:numPr>
        <w:rPr>
          <w:b w:val="0"/>
          <w:bCs/>
        </w:rPr>
      </w:pPr>
      <w:bookmarkStart w:id="320" w:name="_Toc361825587"/>
      <w:bookmarkStart w:id="321" w:name="_Toc361826685"/>
      <w:bookmarkStart w:id="322" w:name="_Toc361839130"/>
      <w:r w:rsidRPr="00181796">
        <w:rPr>
          <w:b w:val="0"/>
          <w:bCs/>
        </w:rPr>
        <w:t>Improving the cost reflectivity of road charges by increasing the variable fuel component of the PayGo model, along with third party review of PayGo inputs.</w:t>
      </w:r>
      <w:bookmarkEnd w:id="320"/>
      <w:bookmarkEnd w:id="321"/>
      <w:bookmarkEnd w:id="322"/>
      <w:r w:rsidRPr="00181796">
        <w:rPr>
          <w:b w:val="0"/>
          <w:bCs/>
        </w:rPr>
        <w:t xml:space="preserve"> </w:t>
      </w:r>
      <w:bookmarkStart w:id="323" w:name="_Toc361825588"/>
      <w:bookmarkEnd w:id="323"/>
    </w:p>
    <w:p w:rsidR="000E1464" w:rsidRPr="000E1464" w:rsidRDefault="000E1464" w:rsidP="000E1464">
      <w:pPr>
        <w:pStyle w:val="RecommendationStyle"/>
      </w:pPr>
      <w:bookmarkStart w:id="324" w:name="_Toc361826686"/>
      <w:bookmarkStart w:id="325" w:name="_Toc361839131"/>
      <w:bookmarkEnd w:id="324"/>
      <w:bookmarkEnd w:id="325"/>
    </w:p>
    <w:p w:rsidR="000E1464" w:rsidRPr="000E1464" w:rsidRDefault="000E1464" w:rsidP="000E1464">
      <w:pPr>
        <w:pStyle w:val="RecommendationStyle"/>
        <w:numPr>
          <w:ilvl w:val="0"/>
          <w:numId w:val="0"/>
        </w:numPr>
      </w:pPr>
      <w:bookmarkStart w:id="326" w:name="_Toc361826687"/>
      <w:bookmarkStart w:id="327" w:name="_Toc361839132"/>
      <w:r w:rsidRPr="000E1464">
        <w:t>The transitional changes that need to occur in order for the PwC short term recom</w:t>
      </w:r>
      <w:r>
        <w:t xml:space="preserve">mended changes </w:t>
      </w:r>
      <w:r w:rsidRPr="000E1464">
        <w:t>include:</w:t>
      </w:r>
      <w:bookmarkEnd w:id="326"/>
      <w:bookmarkEnd w:id="327"/>
      <w:r w:rsidRPr="000E1464">
        <w:t xml:space="preserve"> </w:t>
      </w:r>
    </w:p>
    <w:p w:rsidR="000E1464" w:rsidRPr="00181796" w:rsidRDefault="000E1464" w:rsidP="00793431">
      <w:pPr>
        <w:pStyle w:val="RecommendationStyle"/>
        <w:numPr>
          <w:ilvl w:val="0"/>
          <w:numId w:val="13"/>
        </w:numPr>
        <w:rPr>
          <w:b w:val="0"/>
        </w:rPr>
      </w:pPr>
      <w:bookmarkStart w:id="328" w:name="_Toc361826688"/>
      <w:bookmarkStart w:id="329" w:name="_Toc361839133"/>
      <w:r w:rsidRPr="00181796">
        <w:rPr>
          <w:b w:val="0"/>
        </w:rPr>
        <w:t xml:space="preserve">Complete </w:t>
      </w:r>
      <w:r w:rsidR="007E6310" w:rsidRPr="00181796">
        <w:rPr>
          <w:b w:val="0"/>
        </w:rPr>
        <w:t>P</w:t>
      </w:r>
      <w:r w:rsidR="007E6310">
        <w:rPr>
          <w:b w:val="0"/>
        </w:rPr>
        <w:t xml:space="preserve">erformance </w:t>
      </w:r>
      <w:r w:rsidRPr="00181796">
        <w:rPr>
          <w:b w:val="0"/>
        </w:rPr>
        <w:t>B</w:t>
      </w:r>
      <w:r w:rsidR="007E6310">
        <w:rPr>
          <w:b w:val="0"/>
        </w:rPr>
        <w:t xml:space="preserve">ased </w:t>
      </w:r>
      <w:r w:rsidRPr="00181796">
        <w:rPr>
          <w:b w:val="0"/>
        </w:rPr>
        <w:t>S</w:t>
      </w:r>
      <w:r w:rsidR="007E6310">
        <w:rPr>
          <w:b w:val="0"/>
        </w:rPr>
        <w:t>tandard</w:t>
      </w:r>
      <w:r w:rsidRPr="00181796">
        <w:rPr>
          <w:b w:val="0"/>
        </w:rPr>
        <w:t xml:space="preserve"> maps and automatic access for prescribed vehicles</w:t>
      </w:r>
      <w:bookmarkEnd w:id="328"/>
      <w:bookmarkEnd w:id="329"/>
      <w:r w:rsidRPr="00181796">
        <w:rPr>
          <w:b w:val="0"/>
        </w:rPr>
        <w:t xml:space="preserve"> </w:t>
      </w:r>
    </w:p>
    <w:p w:rsidR="000E1464" w:rsidRPr="00181796" w:rsidRDefault="000E1464" w:rsidP="00793431">
      <w:pPr>
        <w:pStyle w:val="RecommendationStyle"/>
        <w:numPr>
          <w:ilvl w:val="0"/>
          <w:numId w:val="13"/>
        </w:numPr>
        <w:rPr>
          <w:b w:val="0"/>
        </w:rPr>
      </w:pPr>
      <w:bookmarkStart w:id="330" w:name="_Toc361826689"/>
      <w:bookmarkStart w:id="331" w:name="_Toc361839134"/>
      <w:r w:rsidRPr="00181796">
        <w:rPr>
          <w:b w:val="0"/>
        </w:rPr>
        <w:t>External review of access decisions</w:t>
      </w:r>
      <w:bookmarkEnd w:id="330"/>
      <w:bookmarkEnd w:id="331"/>
      <w:r w:rsidRPr="00181796">
        <w:rPr>
          <w:b w:val="0"/>
        </w:rPr>
        <w:t xml:space="preserve"> </w:t>
      </w:r>
    </w:p>
    <w:p w:rsidR="000E1464" w:rsidRPr="00181796" w:rsidRDefault="000E1464" w:rsidP="00793431">
      <w:pPr>
        <w:pStyle w:val="RecommendationStyle"/>
        <w:numPr>
          <w:ilvl w:val="0"/>
          <w:numId w:val="13"/>
        </w:numPr>
        <w:rPr>
          <w:b w:val="0"/>
        </w:rPr>
      </w:pPr>
      <w:bookmarkStart w:id="332" w:name="_Toc361826690"/>
      <w:bookmarkStart w:id="333" w:name="_Toc361839135"/>
      <w:r w:rsidRPr="00181796">
        <w:rPr>
          <w:b w:val="0"/>
        </w:rPr>
        <w:t>Essential training provided to local government and road agencies on the infrastructure impacts and benefits of high productivity vehicles.</w:t>
      </w:r>
      <w:bookmarkEnd w:id="332"/>
      <w:bookmarkEnd w:id="333"/>
      <w:r w:rsidRPr="00181796">
        <w:rPr>
          <w:b w:val="0"/>
        </w:rPr>
        <w:t xml:space="preserve"> </w:t>
      </w:r>
    </w:p>
    <w:p w:rsidR="006C21FA" w:rsidRDefault="006C21FA" w:rsidP="006C21FA">
      <w:pPr>
        <w:pStyle w:val="RecommendationStyle"/>
      </w:pPr>
      <w:bookmarkStart w:id="334" w:name="_Toc361826691"/>
      <w:bookmarkStart w:id="335" w:name="_Toc361839136"/>
      <w:bookmarkEnd w:id="334"/>
      <w:bookmarkEnd w:id="335"/>
    </w:p>
    <w:p w:rsidR="006C21FA" w:rsidRDefault="006C21FA" w:rsidP="006C21FA">
      <w:pPr>
        <w:pStyle w:val="RecommendationStyle"/>
        <w:numPr>
          <w:ilvl w:val="0"/>
          <w:numId w:val="0"/>
        </w:numPr>
      </w:pPr>
      <w:bookmarkStart w:id="336" w:name="_Toc361826692"/>
      <w:bookmarkStart w:id="337" w:name="_Toc361839137"/>
      <w:r>
        <w:t>When transitional changes are implemented and the</w:t>
      </w:r>
      <w:r w:rsidRPr="006C21FA">
        <w:t xml:space="preserve"> </w:t>
      </w:r>
      <w:r>
        <w:t>short term PwC recommendations are executed there should be consideration of:</w:t>
      </w:r>
      <w:bookmarkEnd w:id="336"/>
      <w:bookmarkEnd w:id="337"/>
      <w:r>
        <w:t xml:space="preserve"> </w:t>
      </w:r>
    </w:p>
    <w:p w:rsidR="006C21FA" w:rsidRPr="00181796" w:rsidRDefault="006C21FA" w:rsidP="00793431">
      <w:pPr>
        <w:pStyle w:val="RecommendationStyle"/>
        <w:numPr>
          <w:ilvl w:val="0"/>
          <w:numId w:val="12"/>
        </w:numPr>
        <w:rPr>
          <w:b w:val="0"/>
        </w:rPr>
      </w:pPr>
      <w:bookmarkStart w:id="338" w:name="_Toc361826693"/>
      <w:bookmarkStart w:id="339" w:name="_Toc361839138"/>
      <w:r w:rsidRPr="00181796">
        <w:rPr>
          <w:b w:val="0"/>
        </w:rPr>
        <w:t>Allocating road funding based on independent assessments of efficient road inv</w:t>
      </w:r>
      <w:r w:rsidR="00612E38" w:rsidRPr="00181796">
        <w:rPr>
          <w:b w:val="0"/>
        </w:rPr>
        <w:t>estment and maintenance costs.</w:t>
      </w:r>
      <w:bookmarkEnd w:id="338"/>
      <w:bookmarkEnd w:id="339"/>
      <w:r w:rsidR="00612E38" w:rsidRPr="00181796">
        <w:rPr>
          <w:b w:val="0"/>
        </w:rPr>
        <w:t xml:space="preserve"> </w:t>
      </w:r>
    </w:p>
    <w:p w:rsidR="00612E38" w:rsidRPr="00181796" w:rsidRDefault="00612E38" w:rsidP="00793431">
      <w:pPr>
        <w:pStyle w:val="RecommendationStyle"/>
        <w:numPr>
          <w:ilvl w:val="0"/>
          <w:numId w:val="12"/>
        </w:numPr>
        <w:rPr>
          <w:b w:val="0"/>
        </w:rPr>
      </w:pPr>
      <w:bookmarkStart w:id="340" w:name="_Toc361826694"/>
      <w:bookmarkStart w:id="341" w:name="_Toc361839139"/>
      <w:r w:rsidRPr="00181796">
        <w:rPr>
          <w:b w:val="0"/>
        </w:rPr>
        <w:t>Potentially establishing a road fund which would establish forward looking investment and maintenance plans for the different tiers of the network.</w:t>
      </w:r>
      <w:bookmarkEnd w:id="340"/>
      <w:bookmarkEnd w:id="341"/>
      <w:r w:rsidRPr="00181796">
        <w:rPr>
          <w:b w:val="0"/>
        </w:rPr>
        <w:t xml:space="preserve"> </w:t>
      </w:r>
    </w:p>
    <w:p w:rsidR="00612E38" w:rsidRPr="00181796" w:rsidRDefault="00612E38" w:rsidP="00793431">
      <w:pPr>
        <w:pStyle w:val="RecommendationStyle"/>
        <w:numPr>
          <w:ilvl w:val="0"/>
          <w:numId w:val="12"/>
        </w:numPr>
        <w:rPr>
          <w:b w:val="0"/>
        </w:rPr>
      </w:pPr>
      <w:bookmarkStart w:id="342" w:name="_Toc361826695"/>
      <w:bookmarkStart w:id="343" w:name="_Toc361839140"/>
      <w:r w:rsidRPr="00181796">
        <w:rPr>
          <w:b w:val="0"/>
        </w:rPr>
        <w:t>Adopting a majority fuel based change, further reducing the role for registration charges.</w:t>
      </w:r>
      <w:bookmarkEnd w:id="342"/>
      <w:bookmarkEnd w:id="343"/>
      <w:r w:rsidRPr="00181796">
        <w:rPr>
          <w:b w:val="0"/>
        </w:rPr>
        <w:t xml:space="preserve"> </w:t>
      </w:r>
    </w:p>
    <w:p w:rsidR="00612E38" w:rsidRDefault="00612E38" w:rsidP="00793431">
      <w:pPr>
        <w:pStyle w:val="RecommendationStyle"/>
        <w:numPr>
          <w:ilvl w:val="0"/>
          <w:numId w:val="12"/>
        </w:numPr>
        <w:rPr>
          <w:b w:val="0"/>
        </w:rPr>
      </w:pPr>
      <w:bookmarkStart w:id="344" w:name="_Toc361826696"/>
      <w:bookmarkStart w:id="345" w:name="_Toc361839141"/>
      <w:r w:rsidRPr="00181796">
        <w:rPr>
          <w:b w:val="0"/>
        </w:rPr>
        <w:t>Only progressing with variable charges once a strong business case is made showing the detailed data obtained can and will be used to improve road investment decision making and that the added cost, time and complexity is warranted.</w:t>
      </w:r>
      <w:bookmarkEnd w:id="344"/>
      <w:bookmarkEnd w:id="345"/>
      <w:r w:rsidRPr="00181796">
        <w:rPr>
          <w:b w:val="0"/>
        </w:rPr>
        <w:t xml:space="preserve"> </w:t>
      </w:r>
    </w:p>
    <w:p w:rsidR="0002588E" w:rsidRPr="00181796" w:rsidRDefault="0002588E" w:rsidP="0002588E">
      <w:pPr>
        <w:pStyle w:val="RecommendationStyle"/>
        <w:numPr>
          <w:ilvl w:val="0"/>
          <w:numId w:val="0"/>
        </w:numPr>
        <w:ind w:left="720"/>
        <w:rPr>
          <w:b w:val="0"/>
        </w:rPr>
      </w:pPr>
    </w:p>
    <w:p w:rsidR="00B73DF0" w:rsidRDefault="00B73DF0" w:rsidP="00B73DF0">
      <w:pPr>
        <w:pStyle w:val="RecommendationStyle"/>
        <w:rPr>
          <w:bCs/>
        </w:rPr>
      </w:pPr>
      <w:bookmarkStart w:id="346" w:name="_Toc361826697"/>
      <w:bookmarkStart w:id="347" w:name="_Toc361839142"/>
      <w:bookmarkEnd w:id="346"/>
      <w:bookmarkEnd w:id="347"/>
    </w:p>
    <w:p w:rsidR="00B73DF0" w:rsidRPr="00B73DF0" w:rsidRDefault="00B73DF0" w:rsidP="00B73DF0">
      <w:pPr>
        <w:pStyle w:val="RecommendationStyle"/>
        <w:numPr>
          <w:ilvl w:val="0"/>
          <w:numId w:val="0"/>
        </w:numPr>
        <w:rPr>
          <w:bCs/>
        </w:rPr>
      </w:pPr>
      <w:bookmarkStart w:id="348" w:name="_Toc361825589"/>
      <w:bookmarkStart w:id="349" w:name="_Toc361826698"/>
      <w:bookmarkStart w:id="350" w:name="_Toc361839143"/>
      <w:r w:rsidRPr="00B73DF0">
        <w:rPr>
          <w:bCs/>
        </w:rPr>
        <w:t>The HVCI regulatory impact statement should make sure that any changes to road provision and governance and heavy vehicles charges recognise the challenges presented by:</w:t>
      </w:r>
      <w:bookmarkEnd w:id="348"/>
      <w:bookmarkEnd w:id="349"/>
      <w:bookmarkEnd w:id="350"/>
      <w:r w:rsidRPr="00B73DF0">
        <w:rPr>
          <w:bCs/>
        </w:rPr>
        <w:t xml:space="preserve"> </w:t>
      </w:r>
    </w:p>
    <w:p w:rsidR="00B73DF0" w:rsidRPr="00181796" w:rsidRDefault="00B73DF0" w:rsidP="00793431">
      <w:pPr>
        <w:pStyle w:val="RecommendationStyle"/>
        <w:numPr>
          <w:ilvl w:val="0"/>
          <w:numId w:val="11"/>
        </w:numPr>
        <w:rPr>
          <w:b w:val="0"/>
          <w:bCs/>
        </w:rPr>
      </w:pPr>
      <w:bookmarkStart w:id="351" w:name="_Toc361825590"/>
      <w:bookmarkStart w:id="352" w:name="_Toc361826699"/>
      <w:bookmarkStart w:id="353" w:name="_Toc361839144"/>
      <w:r w:rsidRPr="00181796">
        <w:rPr>
          <w:b w:val="0"/>
          <w:bCs/>
        </w:rPr>
        <w:t>Local government and road agency capability to reform and provide sufficient accountability and transparency,</w:t>
      </w:r>
      <w:bookmarkEnd w:id="351"/>
      <w:bookmarkEnd w:id="352"/>
      <w:bookmarkEnd w:id="353"/>
      <w:r w:rsidRPr="00181796">
        <w:rPr>
          <w:b w:val="0"/>
          <w:bCs/>
        </w:rPr>
        <w:t xml:space="preserve"> </w:t>
      </w:r>
    </w:p>
    <w:p w:rsidR="00B73DF0" w:rsidRPr="00181796" w:rsidRDefault="00B73DF0" w:rsidP="00793431">
      <w:pPr>
        <w:pStyle w:val="RecommendationStyle"/>
        <w:numPr>
          <w:ilvl w:val="0"/>
          <w:numId w:val="11"/>
        </w:numPr>
        <w:rPr>
          <w:b w:val="0"/>
          <w:bCs/>
        </w:rPr>
      </w:pPr>
      <w:bookmarkStart w:id="354" w:name="_Toc361825591"/>
      <w:bookmarkStart w:id="355" w:name="_Toc361826700"/>
      <w:bookmarkStart w:id="356" w:name="_Toc361839145"/>
      <w:r w:rsidRPr="00181796">
        <w:rPr>
          <w:b w:val="0"/>
          <w:bCs/>
        </w:rPr>
        <w:t>Rural and remote Australia and the treatment of community service obligation (CSO) roads,</w:t>
      </w:r>
      <w:bookmarkEnd w:id="354"/>
      <w:bookmarkEnd w:id="355"/>
      <w:bookmarkEnd w:id="356"/>
    </w:p>
    <w:p w:rsidR="00B73DF0" w:rsidRPr="00181796" w:rsidRDefault="00B73DF0" w:rsidP="00793431">
      <w:pPr>
        <w:pStyle w:val="RecommendationStyle"/>
        <w:numPr>
          <w:ilvl w:val="0"/>
          <w:numId w:val="11"/>
        </w:numPr>
        <w:rPr>
          <w:b w:val="0"/>
          <w:bCs/>
        </w:rPr>
      </w:pPr>
      <w:bookmarkStart w:id="357" w:name="_Toc361825592"/>
      <w:bookmarkStart w:id="358" w:name="_Toc361826701"/>
      <w:bookmarkStart w:id="359" w:name="_Toc361839146"/>
      <w:r w:rsidRPr="00181796">
        <w:rPr>
          <w:b w:val="0"/>
          <w:bCs/>
        </w:rPr>
        <w:t>The partial market issue,</w:t>
      </w:r>
      <w:bookmarkEnd w:id="357"/>
      <w:bookmarkEnd w:id="358"/>
      <w:bookmarkEnd w:id="359"/>
    </w:p>
    <w:p w:rsidR="00B73DF0" w:rsidRPr="00181796" w:rsidRDefault="00B73DF0" w:rsidP="00793431">
      <w:pPr>
        <w:pStyle w:val="RecommendationStyle"/>
        <w:numPr>
          <w:ilvl w:val="0"/>
          <w:numId w:val="11"/>
        </w:numPr>
        <w:rPr>
          <w:b w:val="0"/>
          <w:bCs/>
        </w:rPr>
      </w:pPr>
      <w:bookmarkStart w:id="360" w:name="_Toc361825593"/>
      <w:bookmarkStart w:id="361" w:name="_Toc361826702"/>
      <w:bookmarkStart w:id="362" w:name="_Toc361839147"/>
      <w:r w:rsidRPr="00181796">
        <w:rPr>
          <w:b w:val="0"/>
          <w:bCs/>
        </w:rPr>
        <w:t xml:space="preserve">An industry with distinct operators, </w:t>
      </w:r>
      <w:r w:rsidR="000E4F93">
        <w:rPr>
          <w:b w:val="0"/>
          <w:bCs/>
        </w:rPr>
        <w:t>moving freight</w:t>
      </w:r>
      <w:r w:rsidRPr="00181796">
        <w:rPr>
          <w:b w:val="0"/>
          <w:bCs/>
        </w:rPr>
        <w:t xml:space="preserve"> on varying road conditions, with different types and uses of trucks and that </w:t>
      </w:r>
      <w:bookmarkEnd w:id="360"/>
      <w:bookmarkEnd w:id="361"/>
      <w:r w:rsidR="000E4F93">
        <w:rPr>
          <w:b w:val="0"/>
          <w:bCs/>
        </w:rPr>
        <w:t>are predominantly small firms.</w:t>
      </w:r>
      <w:bookmarkEnd w:id="362"/>
      <w:r w:rsidR="000E4F93">
        <w:rPr>
          <w:b w:val="0"/>
          <w:bCs/>
        </w:rPr>
        <w:t xml:space="preserve"> </w:t>
      </w:r>
      <w:r w:rsidRPr="00181796">
        <w:rPr>
          <w:b w:val="0"/>
          <w:bCs/>
        </w:rPr>
        <w:t xml:space="preserve"> </w:t>
      </w:r>
    </w:p>
    <w:p w:rsidR="004C7F70" w:rsidRPr="00D51476" w:rsidRDefault="004C7F70" w:rsidP="00BB2D16">
      <w:pPr>
        <w:rPr>
          <w:rFonts w:ascii="Arial" w:hAnsi="Arial" w:cs="Arial"/>
          <w:sz w:val="20"/>
          <w:szCs w:val="20"/>
          <w:lang w:eastAsia="en-AU"/>
        </w:rPr>
      </w:pPr>
    </w:p>
    <w:sectPr w:rsidR="004C7F70" w:rsidRPr="00D51476" w:rsidSect="00F31D06">
      <w:footerReference w:type="default" r:id="rId15"/>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AC1" w:rsidRDefault="00EC4AC1" w:rsidP="000F3D9F">
      <w:r>
        <w:separator/>
      </w:r>
    </w:p>
  </w:endnote>
  <w:endnote w:type="continuationSeparator" w:id="0">
    <w:p w:rsidR="00EC4AC1" w:rsidRDefault="00EC4AC1" w:rsidP="000F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C1" w:rsidRDefault="00EC4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C1" w:rsidRPr="0062031D" w:rsidRDefault="00EC4AC1"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EC4AC1" w:rsidRPr="0062031D" w:rsidRDefault="00EC4AC1"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EC4AC1" w:rsidRPr="0062031D" w:rsidRDefault="00EC4AC1"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EC4AC1" w:rsidRPr="00E8056B" w:rsidRDefault="00EC4AC1" w:rsidP="0062031D">
    <w:pPr>
      <w:ind w:right="-426"/>
      <w:jc w:val="right"/>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C1" w:rsidRDefault="00B275D9">
    <w:pPr>
      <w:pStyle w:val="Footer"/>
      <w:jc w:val="right"/>
    </w:pPr>
    <w:fldSimple w:instr=" PAGE   \* MERGEFORMAT ">
      <w:r w:rsidR="00EC4AC1">
        <w:rPr>
          <w:noProof/>
        </w:rPr>
        <w:t>7</w:t>
      </w:r>
    </w:fldSimple>
  </w:p>
  <w:p w:rsidR="00EC4AC1" w:rsidRDefault="00EC4A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1696"/>
      <w:docPartObj>
        <w:docPartGallery w:val="Page Numbers (Bottom of Page)"/>
        <w:docPartUnique/>
      </w:docPartObj>
    </w:sdtPr>
    <w:sdtContent>
      <w:p w:rsidR="00EC4AC1" w:rsidRDefault="00B275D9">
        <w:pPr>
          <w:pStyle w:val="Footer"/>
          <w:jc w:val="right"/>
        </w:pPr>
        <w:fldSimple w:instr=" PAGE   \* MERGEFORMAT ">
          <w:r w:rsidR="000125AC">
            <w:rPr>
              <w:noProof/>
            </w:rPr>
            <w:t>12</w:t>
          </w:r>
        </w:fldSimple>
      </w:p>
    </w:sdtContent>
  </w:sdt>
  <w:p w:rsidR="00EC4AC1" w:rsidRPr="00E8056B" w:rsidRDefault="00EC4AC1" w:rsidP="0062031D">
    <w:pPr>
      <w:ind w:right="-426"/>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AC1" w:rsidRDefault="00EC4AC1" w:rsidP="000F3D9F">
      <w:r>
        <w:separator/>
      </w:r>
    </w:p>
  </w:footnote>
  <w:footnote w:type="continuationSeparator" w:id="0">
    <w:p w:rsidR="00EC4AC1" w:rsidRDefault="00EC4AC1" w:rsidP="000F3D9F">
      <w:r>
        <w:continuationSeparator/>
      </w:r>
    </w:p>
  </w:footnote>
  <w:footnote w:id="1">
    <w:p w:rsidR="00EC4AC1" w:rsidRPr="00A51C25" w:rsidRDefault="00EC4AC1">
      <w:pPr>
        <w:pStyle w:val="FootnoteText"/>
        <w:rPr>
          <w:sz w:val="16"/>
          <w:szCs w:val="16"/>
        </w:rPr>
      </w:pPr>
      <w:r w:rsidRPr="00A51C25">
        <w:rPr>
          <w:rStyle w:val="FootnoteReference"/>
          <w:sz w:val="16"/>
          <w:szCs w:val="16"/>
        </w:rPr>
        <w:footnoteRef/>
      </w:r>
      <w:r w:rsidRPr="00A51C25">
        <w:rPr>
          <w:sz w:val="16"/>
          <w:szCs w:val="16"/>
        </w:rPr>
        <w:t xml:space="preserve"> Page 4 - Car</w:t>
      </w:r>
      <w:r>
        <w:rPr>
          <w:sz w:val="16"/>
          <w:szCs w:val="16"/>
        </w:rPr>
        <w:t>a</w:t>
      </w:r>
      <w:r w:rsidRPr="00A51C25">
        <w:rPr>
          <w:sz w:val="16"/>
          <w:szCs w:val="16"/>
        </w:rPr>
        <w:t>vel to Infrastructure Australia: A Review of Project Governance Effectiveness in Australia, March 2013</w:t>
      </w:r>
    </w:p>
  </w:footnote>
  <w:footnote w:id="2">
    <w:p w:rsidR="00EC4AC1" w:rsidRPr="00A51C25" w:rsidRDefault="00EC4AC1">
      <w:pPr>
        <w:pStyle w:val="FootnoteText"/>
        <w:rPr>
          <w:sz w:val="16"/>
          <w:szCs w:val="16"/>
        </w:rPr>
      </w:pPr>
      <w:r w:rsidRPr="00A51C25">
        <w:rPr>
          <w:rStyle w:val="FootnoteReference"/>
          <w:sz w:val="16"/>
          <w:szCs w:val="16"/>
        </w:rPr>
        <w:footnoteRef/>
      </w:r>
      <w:r w:rsidRPr="00A51C25">
        <w:rPr>
          <w:sz w:val="16"/>
          <w:szCs w:val="16"/>
        </w:rPr>
        <w:t xml:space="preserve"> Page 5 - Car</w:t>
      </w:r>
      <w:r>
        <w:rPr>
          <w:sz w:val="16"/>
          <w:szCs w:val="16"/>
        </w:rPr>
        <w:t>a</w:t>
      </w:r>
      <w:r w:rsidRPr="00A51C25">
        <w:rPr>
          <w:sz w:val="16"/>
          <w:szCs w:val="16"/>
        </w:rPr>
        <w:t>vel to Infrastructure Australia: A Review of Project Governance Effectiveness in Australia, March 2013</w:t>
      </w:r>
    </w:p>
  </w:footnote>
  <w:footnote w:id="3">
    <w:p w:rsidR="00EC4AC1" w:rsidRPr="00A51C25" w:rsidRDefault="00EC4AC1" w:rsidP="00357053">
      <w:pPr>
        <w:pStyle w:val="FootnoteText"/>
        <w:rPr>
          <w:sz w:val="16"/>
          <w:szCs w:val="16"/>
        </w:rPr>
      </w:pPr>
      <w:r w:rsidRPr="00A51C25">
        <w:rPr>
          <w:rStyle w:val="FootnoteReference"/>
          <w:sz w:val="16"/>
          <w:szCs w:val="16"/>
        </w:rPr>
        <w:footnoteRef/>
      </w:r>
      <w:r w:rsidRPr="00A51C25">
        <w:rPr>
          <w:sz w:val="16"/>
          <w:szCs w:val="16"/>
        </w:rPr>
        <w:t xml:space="preserve"> </w:t>
      </w:r>
      <w:hyperlink r:id="rId1" w:history="1">
        <w:r w:rsidRPr="00A51C25">
          <w:rPr>
            <w:rStyle w:val="Hyperlink"/>
            <w:sz w:val="16"/>
            <w:szCs w:val="16"/>
          </w:rPr>
          <w:t>http://www.ntc.gov.au/filemedia/Groups/PBSmapsportalFAQ.pdf</w:t>
        </w:r>
      </w:hyperlink>
      <w:r w:rsidRPr="00A51C25">
        <w:rPr>
          <w:sz w:val="16"/>
          <w:szCs w:val="16"/>
        </w:rPr>
        <w:t xml:space="preserve"> </w:t>
      </w:r>
    </w:p>
  </w:footnote>
  <w:footnote w:id="4">
    <w:p w:rsidR="00EC4AC1" w:rsidRPr="00A51C25" w:rsidRDefault="00EC4AC1" w:rsidP="006534CA">
      <w:pPr>
        <w:pStyle w:val="FootnoteText"/>
        <w:rPr>
          <w:sz w:val="16"/>
          <w:szCs w:val="16"/>
        </w:rPr>
      </w:pPr>
      <w:r w:rsidRPr="00A51C25">
        <w:rPr>
          <w:rStyle w:val="FootnoteReference"/>
          <w:sz w:val="16"/>
          <w:szCs w:val="16"/>
        </w:rPr>
        <w:footnoteRef/>
      </w:r>
      <w:r w:rsidRPr="00A51C25">
        <w:rPr>
          <w:sz w:val="16"/>
          <w:szCs w:val="16"/>
        </w:rPr>
        <w:t xml:space="preserve"> Car</w:t>
      </w:r>
      <w:r>
        <w:rPr>
          <w:sz w:val="16"/>
          <w:szCs w:val="16"/>
        </w:rPr>
        <w:t>a</w:t>
      </w:r>
      <w:r w:rsidRPr="00A51C25">
        <w:rPr>
          <w:sz w:val="16"/>
          <w:szCs w:val="16"/>
        </w:rPr>
        <w:t>vel to Infrastructure Australia: A Review of Project Governance Effectiveness in Australia, March 2013</w:t>
      </w:r>
    </w:p>
  </w:footnote>
  <w:footnote w:id="5">
    <w:p w:rsidR="00EC4AC1" w:rsidRPr="00A51C25" w:rsidRDefault="00EC4AC1">
      <w:pPr>
        <w:pStyle w:val="FootnoteText"/>
        <w:rPr>
          <w:sz w:val="16"/>
          <w:szCs w:val="16"/>
        </w:rPr>
      </w:pPr>
      <w:r w:rsidRPr="00A51C25">
        <w:rPr>
          <w:rStyle w:val="FootnoteReference"/>
          <w:sz w:val="16"/>
          <w:szCs w:val="16"/>
        </w:rPr>
        <w:footnoteRef/>
      </w:r>
      <w:r w:rsidRPr="00A51C25">
        <w:rPr>
          <w:sz w:val="16"/>
          <w:szCs w:val="16"/>
        </w:rPr>
        <w:t xml:space="preserve"> Page 18 – Infrastructure Australia: National Infrastructure plan,  June 2013</w:t>
      </w:r>
    </w:p>
  </w:footnote>
  <w:footnote w:id="6">
    <w:p w:rsidR="00EC4AC1" w:rsidRPr="00A51C25" w:rsidRDefault="00EC4AC1">
      <w:pPr>
        <w:pStyle w:val="FootnoteText"/>
        <w:rPr>
          <w:sz w:val="16"/>
          <w:szCs w:val="16"/>
        </w:rPr>
      </w:pPr>
      <w:r w:rsidRPr="00A51C25">
        <w:rPr>
          <w:rStyle w:val="FootnoteReference"/>
          <w:sz w:val="16"/>
          <w:szCs w:val="16"/>
        </w:rPr>
        <w:footnoteRef/>
      </w:r>
      <w:r w:rsidRPr="00A51C25">
        <w:rPr>
          <w:sz w:val="16"/>
          <w:szCs w:val="16"/>
        </w:rPr>
        <w:t xml:space="preserve"> Page 79 - Infrastructure Australia: National Infrastructure plan,  June 2013</w:t>
      </w:r>
    </w:p>
  </w:footnote>
  <w:footnote w:id="7">
    <w:p w:rsidR="00EC4AC1" w:rsidRPr="00A51C25" w:rsidRDefault="00EC4AC1" w:rsidP="00885599">
      <w:pPr>
        <w:pStyle w:val="FootnoteText"/>
        <w:rPr>
          <w:rFonts w:ascii="Arial" w:hAnsi="Arial" w:cs="Arial"/>
          <w:sz w:val="16"/>
          <w:szCs w:val="16"/>
        </w:rPr>
      </w:pPr>
      <w:r w:rsidRPr="00A51C25">
        <w:rPr>
          <w:rStyle w:val="FootnoteReference"/>
          <w:rFonts w:ascii="Arial" w:hAnsi="Arial" w:cs="Arial"/>
          <w:sz w:val="16"/>
          <w:szCs w:val="16"/>
        </w:rPr>
        <w:footnoteRef/>
      </w:r>
      <w:r w:rsidRPr="00A51C25">
        <w:rPr>
          <w:rFonts w:ascii="Arial" w:hAnsi="Arial" w:cs="Arial"/>
          <w:sz w:val="16"/>
          <w:szCs w:val="16"/>
        </w:rPr>
        <w:t xml:space="preserve">The Department of Transport </w:t>
      </w:r>
      <w:r w:rsidRPr="00A51C25">
        <w:rPr>
          <w:rFonts w:ascii="Arial" w:hAnsi="Arial" w:cs="Arial"/>
          <w:bCs/>
          <w:sz w:val="16"/>
          <w:szCs w:val="16"/>
          <w:lang w:eastAsia="en-AU"/>
        </w:rPr>
        <w:t xml:space="preserve">The Eddington Transport Study </w:t>
      </w:r>
      <w:r w:rsidRPr="00A51C25">
        <w:rPr>
          <w:rFonts w:ascii="Arial" w:hAnsi="Arial" w:cs="Arial"/>
          <w:sz w:val="16"/>
          <w:szCs w:val="16"/>
          <w:lang w:eastAsia="en-AU"/>
        </w:rPr>
        <w:t>December 2006</w:t>
      </w:r>
    </w:p>
  </w:footnote>
  <w:footnote w:id="8">
    <w:p w:rsidR="00EC4AC1" w:rsidRPr="00A51C25" w:rsidRDefault="00EC4AC1" w:rsidP="00885599">
      <w:pPr>
        <w:pStyle w:val="FootnoteText"/>
        <w:rPr>
          <w:rFonts w:ascii="Arial" w:hAnsi="Arial" w:cs="Arial"/>
          <w:sz w:val="16"/>
          <w:szCs w:val="16"/>
        </w:rPr>
      </w:pPr>
      <w:r w:rsidRPr="00A51C25">
        <w:rPr>
          <w:rStyle w:val="FootnoteReference"/>
          <w:rFonts w:ascii="Arial" w:hAnsi="Arial" w:cs="Arial"/>
          <w:sz w:val="16"/>
          <w:szCs w:val="16"/>
        </w:rPr>
        <w:footnoteRef/>
      </w:r>
      <w:r w:rsidRPr="00A51C25">
        <w:rPr>
          <w:rFonts w:ascii="Arial" w:hAnsi="Arial" w:cs="Arial"/>
          <w:sz w:val="16"/>
          <w:szCs w:val="16"/>
        </w:rPr>
        <w:t xml:space="preserve"> </w:t>
      </w:r>
      <w:r w:rsidRPr="00A51C25">
        <w:rPr>
          <w:rFonts w:ascii="Arial" w:hAnsi="Arial" w:cs="Arial"/>
          <w:iCs/>
          <w:sz w:val="16"/>
          <w:szCs w:val="16"/>
        </w:rPr>
        <w:t xml:space="preserve"> Page 195 - </w:t>
      </w:r>
      <w:r w:rsidRPr="00A51C25">
        <w:rPr>
          <w:rFonts w:ascii="Arial" w:hAnsi="Arial" w:cs="Arial"/>
          <w:sz w:val="16"/>
          <w:szCs w:val="16"/>
        </w:rPr>
        <w:t xml:space="preserve">Bureau of Infrastructure, Transport and Regional Economics 2009, </w:t>
      </w:r>
      <w:r w:rsidRPr="00A51C25">
        <w:rPr>
          <w:rFonts w:ascii="Arial" w:hAnsi="Arial" w:cs="Arial"/>
          <w:iCs/>
          <w:sz w:val="16"/>
          <w:szCs w:val="16"/>
        </w:rPr>
        <w:t>National road network intercity traffic projections to 2030</w:t>
      </w:r>
      <w:r w:rsidRPr="00A51C25">
        <w:rPr>
          <w:rFonts w:ascii="Arial" w:hAnsi="Arial" w:cs="Arial"/>
          <w:sz w:val="16"/>
          <w:szCs w:val="16"/>
        </w:rPr>
        <w:t>, Working Paper 75, BITRE, Canberra</w:t>
      </w:r>
    </w:p>
  </w:footnote>
  <w:footnote w:id="9">
    <w:p w:rsidR="00EC4AC1" w:rsidRPr="00A51C25" w:rsidRDefault="00EC4AC1">
      <w:pPr>
        <w:pStyle w:val="FootnoteText"/>
        <w:rPr>
          <w:sz w:val="16"/>
          <w:szCs w:val="16"/>
        </w:rPr>
      </w:pPr>
      <w:r w:rsidRPr="00A51C25">
        <w:rPr>
          <w:rStyle w:val="FootnoteReference"/>
          <w:sz w:val="16"/>
          <w:szCs w:val="16"/>
        </w:rPr>
        <w:footnoteRef/>
      </w:r>
      <w:r w:rsidRPr="00A51C25">
        <w:rPr>
          <w:sz w:val="16"/>
          <w:szCs w:val="16"/>
        </w:rPr>
        <w:t xml:space="preserve"> </w:t>
      </w:r>
      <w:proofErr w:type="gramStart"/>
      <w:r w:rsidRPr="00A51C25">
        <w:rPr>
          <w:rFonts w:ascii="Arial" w:eastAsia="Times New Roman" w:hAnsi="Arial" w:cs="Arial"/>
          <w:sz w:val="16"/>
          <w:szCs w:val="16"/>
        </w:rPr>
        <w:t>Based on a floating carbon price of $6/tonne.</w:t>
      </w:r>
      <w:proofErr w:type="gramEnd"/>
    </w:p>
  </w:footnote>
  <w:footnote w:id="10">
    <w:p w:rsidR="00EC4AC1" w:rsidRPr="00A51C25" w:rsidRDefault="00EC4AC1">
      <w:pPr>
        <w:pStyle w:val="FootnoteText"/>
        <w:rPr>
          <w:sz w:val="16"/>
          <w:szCs w:val="16"/>
        </w:rPr>
      </w:pPr>
      <w:r w:rsidRPr="00A51C25">
        <w:rPr>
          <w:rStyle w:val="FootnoteReference"/>
          <w:sz w:val="16"/>
          <w:szCs w:val="16"/>
        </w:rPr>
        <w:footnoteRef/>
      </w:r>
      <w:r w:rsidRPr="00A51C25">
        <w:rPr>
          <w:sz w:val="16"/>
          <w:szCs w:val="16"/>
        </w:rPr>
        <w:t xml:space="preserve"> Page 48</w:t>
      </w:r>
      <w:proofErr w:type="gramStart"/>
      <w:r w:rsidRPr="00A51C25">
        <w:rPr>
          <w:sz w:val="16"/>
          <w:szCs w:val="16"/>
        </w:rPr>
        <w:t>-  P</w:t>
      </w:r>
      <w:r>
        <w:rPr>
          <w:sz w:val="16"/>
          <w:szCs w:val="16"/>
        </w:rPr>
        <w:t>w</w:t>
      </w:r>
      <w:r w:rsidRPr="00A51C25">
        <w:rPr>
          <w:sz w:val="16"/>
          <w:szCs w:val="16"/>
        </w:rPr>
        <w:t>C</w:t>
      </w:r>
      <w:proofErr w:type="gramEnd"/>
      <w:r w:rsidRPr="00A51C25">
        <w:rPr>
          <w:sz w:val="16"/>
          <w:szCs w:val="16"/>
        </w:rPr>
        <w:t xml:space="preserve"> report to the Australian Trucking Association: A Future Strategy for Road Supply and Charging in Australia, March 2013</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C1" w:rsidRDefault="00EC4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C1" w:rsidRDefault="00EC4A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C1" w:rsidRPr="00E8056B" w:rsidRDefault="00EC4AC1"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EC4AC1" w:rsidRDefault="00EC4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777"/>
    <w:multiLevelType w:val="multilevel"/>
    <w:tmpl w:val="F0044A68"/>
    <w:lvl w:ilvl="0">
      <w:start w:val="4"/>
      <w:numFmt w:val="decimal"/>
      <w:lvlText w:val="%1"/>
      <w:lvlJc w:val="left"/>
      <w:pPr>
        <w:ind w:left="405" w:hanging="405"/>
      </w:pPr>
      <w:rPr>
        <w:rFonts w:hint="default"/>
      </w:rPr>
    </w:lvl>
    <w:lvl w:ilvl="1">
      <w:start w:val="1"/>
      <w:numFmt w:val="decimal"/>
      <w:lvlText w:val="%1.%2"/>
      <w:lvlJc w:val="left"/>
      <w:pPr>
        <w:ind w:left="1146" w:hanging="720"/>
      </w:pPr>
      <w:rPr>
        <w:rFonts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CC344F"/>
    <w:multiLevelType w:val="hybridMultilevel"/>
    <w:tmpl w:val="D61E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30311"/>
    <w:multiLevelType w:val="hybridMultilevel"/>
    <w:tmpl w:val="83DC03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1E0149"/>
    <w:multiLevelType w:val="multilevel"/>
    <w:tmpl w:val="D5B4124A"/>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0691845"/>
    <w:multiLevelType w:val="hybridMultilevel"/>
    <w:tmpl w:val="6B5C1202"/>
    <w:lvl w:ilvl="0" w:tplc="0C09000F">
      <w:start w:val="1"/>
      <w:numFmt w:val="decimal"/>
      <w:lvlText w:val="%1."/>
      <w:lvlJc w:val="left"/>
      <w:pPr>
        <w:ind w:left="720" w:hanging="360"/>
      </w:pPr>
    </w:lvl>
    <w:lvl w:ilvl="1" w:tplc="1DE8D1E8">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C01AA7"/>
    <w:multiLevelType w:val="hybridMultilevel"/>
    <w:tmpl w:val="B5109AB4"/>
    <w:lvl w:ilvl="0" w:tplc="2EFA79C4">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CE3CB1"/>
    <w:multiLevelType w:val="hybridMultilevel"/>
    <w:tmpl w:val="31CE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3F32A1"/>
    <w:multiLevelType w:val="hybridMultilevel"/>
    <w:tmpl w:val="2D38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57B570B2"/>
    <w:multiLevelType w:val="hybridMultilevel"/>
    <w:tmpl w:val="43A8FA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934F50"/>
    <w:multiLevelType w:val="hybridMultilevel"/>
    <w:tmpl w:val="03C2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554ED9"/>
    <w:multiLevelType w:val="multilevel"/>
    <w:tmpl w:val="652E1C90"/>
    <w:lvl w:ilvl="0">
      <w:start w:val="1"/>
      <w:numFmt w:val="decimal"/>
      <w:pStyle w:val="Heading1"/>
      <w:lvlText w:val="%1."/>
      <w:lvlJc w:val="left"/>
      <w:pPr>
        <w:ind w:left="644"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5DBC314B"/>
    <w:multiLevelType w:val="multilevel"/>
    <w:tmpl w:val="7092FDE8"/>
    <w:lvl w:ilvl="0">
      <w:start w:val="7"/>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67D0E7E"/>
    <w:multiLevelType w:val="hybridMultilevel"/>
    <w:tmpl w:val="587C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FA0FCA"/>
    <w:multiLevelType w:val="hybridMultilevel"/>
    <w:tmpl w:val="DE5294B8"/>
    <w:lvl w:ilvl="0" w:tplc="2EFA79C4">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EE15F9"/>
    <w:multiLevelType w:val="hybridMultilevel"/>
    <w:tmpl w:val="5B70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5"/>
  </w:num>
  <w:num w:numId="6">
    <w:abstractNumId w:val="14"/>
  </w:num>
  <w:num w:numId="7">
    <w:abstractNumId w:val="2"/>
  </w:num>
  <w:num w:numId="8">
    <w:abstractNumId w:val="1"/>
  </w:num>
  <w:num w:numId="9">
    <w:abstractNumId w:val="9"/>
  </w:num>
  <w:num w:numId="10">
    <w:abstractNumId w:val="7"/>
  </w:num>
  <w:num w:numId="11">
    <w:abstractNumId w:val="10"/>
  </w:num>
  <w:num w:numId="12">
    <w:abstractNumId w:val="13"/>
  </w:num>
  <w:num w:numId="13">
    <w:abstractNumId w:val="15"/>
  </w:num>
  <w:num w:numId="14">
    <w:abstractNumId w:val="0"/>
  </w:num>
  <w:num w:numId="15">
    <w:abstractNumId w:val="3"/>
  </w:num>
  <w:num w:numId="16">
    <w:abstractNumId w:val="12"/>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1627A"/>
    <w:rsid w:val="0000159D"/>
    <w:rsid w:val="00004DB4"/>
    <w:rsid w:val="00005E0D"/>
    <w:rsid w:val="000118F7"/>
    <w:rsid w:val="00011D52"/>
    <w:rsid w:val="000125AC"/>
    <w:rsid w:val="00014B23"/>
    <w:rsid w:val="000156D1"/>
    <w:rsid w:val="00017750"/>
    <w:rsid w:val="00023B28"/>
    <w:rsid w:val="0002588E"/>
    <w:rsid w:val="00025C3E"/>
    <w:rsid w:val="000313F8"/>
    <w:rsid w:val="00035CFC"/>
    <w:rsid w:val="0004076B"/>
    <w:rsid w:val="00040876"/>
    <w:rsid w:val="00040D17"/>
    <w:rsid w:val="00040D26"/>
    <w:rsid w:val="0004192B"/>
    <w:rsid w:val="00043430"/>
    <w:rsid w:val="00043AF0"/>
    <w:rsid w:val="00044533"/>
    <w:rsid w:val="00046042"/>
    <w:rsid w:val="00050881"/>
    <w:rsid w:val="000520AD"/>
    <w:rsid w:val="00052E9C"/>
    <w:rsid w:val="00053E31"/>
    <w:rsid w:val="00056848"/>
    <w:rsid w:val="000614BF"/>
    <w:rsid w:val="0006283B"/>
    <w:rsid w:val="00066399"/>
    <w:rsid w:val="0007542B"/>
    <w:rsid w:val="00075E7B"/>
    <w:rsid w:val="00076C90"/>
    <w:rsid w:val="000819DF"/>
    <w:rsid w:val="00083C15"/>
    <w:rsid w:val="000848A1"/>
    <w:rsid w:val="00084DFB"/>
    <w:rsid w:val="000868C6"/>
    <w:rsid w:val="000875E7"/>
    <w:rsid w:val="000943D6"/>
    <w:rsid w:val="00095C3B"/>
    <w:rsid w:val="000963BE"/>
    <w:rsid w:val="000A102A"/>
    <w:rsid w:val="000A151F"/>
    <w:rsid w:val="000A2BCF"/>
    <w:rsid w:val="000A3F4E"/>
    <w:rsid w:val="000A42F8"/>
    <w:rsid w:val="000A4EB0"/>
    <w:rsid w:val="000A62F7"/>
    <w:rsid w:val="000B069A"/>
    <w:rsid w:val="000B25F1"/>
    <w:rsid w:val="000B2682"/>
    <w:rsid w:val="000B351D"/>
    <w:rsid w:val="000B4161"/>
    <w:rsid w:val="000B4942"/>
    <w:rsid w:val="000B540D"/>
    <w:rsid w:val="000B5888"/>
    <w:rsid w:val="000B6D2A"/>
    <w:rsid w:val="000B773A"/>
    <w:rsid w:val="000B7D23"/>
    <w:rsid w:val="000C01AC"/>
    <w:rsid w:val="000C0C35"/>
    <w:rsid w:val="000C15B7"/>
    <w:rsid w:val="000C1F7F"/>
    <w:rsid w:val="000C30F1"/>
    <w:rsid w:val="000C310A"/>
    <w:rsid w:val="000C527D"/>
    <w:rsid w:val="000C58B5"/>
    <w:rsid w:val="000C594D"/>
    <w:rsid w:val="000D016D"/>
    <w:rsid w:val="000D0FE5"/>
    <w:rsid w:val="000D274C"/>
    <w:rsid w:val="000D528B"/>
    <w:rsid w:val="000D6381"/>
    <w:rsid w:val="000D6454"/>
    <w:rsid w:val="000E1464"/>
    <w:rsid w:val="000E408F"/>
    <w:rsid w:val="000E4F93"/>
    <w:rsid w:val="000E67CA"/>
    <w:rsid w:val="000E7B14"/>
    <w:rsid w:val="000F080E"/>
    <w:rsid w:val="000F0F7B"/>
    <w:rsid w:val="000F30FF"/>
    <w:rsid w:val="000F349D"/>
    <w:rsid w:val="000F3D9F"/>
    <w:rsid w:val="000F53C2"/>
    <w:rsid w:val="000F566E"/>
    <w:rsid w:val="000F7F6F"/>
    <w:rsid w:val="00100ED4"/>
    <w:rsid w:val="001016E8"/>
    <w:rsid w:val="001019C0"/>
    <w:rsid w:val="00101EAF"/>
    <w:rsid w:val="001025C9"/>
    <w:rsid w:val="0010305A"/>
    <w:rsid w:val="00103C9E"/>
    <w:rsid w:val="00110610"/>
    <w:rsid w:val="00111E03"/>
    <w:rsid w:val="00114389"/>
    <w:rsid w:val="001202C1"/>
    <w:rsid w:val="00121418"/>
    <w:rsid w:val="00121A53"/>
    <w:rsid w:val="00121A86"/>
    <w:rsid w:val="00124A9A"/>
    <w:rsid w:val="00124FCD"/>
    <w:rsid w:val="00125795"/>
    <w:rsid w:val="0013041A"/>
    <w:rsid w:val="00134A9F"/>
    <w:rsid w:val="001368EB"/>
    <w:rsid w:val="0013765E"/>
    <w:rsid w:val="00137DAC"/>
    <w:rsid w:val="00141274"/>
    <w:rsid w:val="0014437E"/>
    <w:rsid w:val="00145022"/>
    <w:rsid w:val="001463C2"/>
    <w:rsid w:val="0014683D"/>
    <w:rsid w:val="001475F7"/>
    <w:rsid w:val="00150065"/>
    <w:rsid w:val="0015168F"/>
    <w:rsid w:val="00151950"/>
    <w:rsid w:val="00151F88"/>
    <w:rsid w:val="00152A71"/>
    <w:rsid w:val="001533EC"/>
    <w:rsid w:val="00153D10"/>
    <w:rsid w:val="001545DB"/>
    <w:rsid w:val="001555C9"/>
    <w:rsid w:val="00155B97"/>
    <w:rsid w:val="00156060"/>
    <w:rsid w:val="00160FE3"/>
    <w:rsid w:val="001611AB"/>
    <w:rsid w:val="00161B2B"/>
    <w:rsid w:val="00162BD0"/>
    <w:rsid w:val="00163532"/>
    <w:rsid w:val="00164A4D"/>
    <w:rsid w:val="00165C3E"/>
    <w:rsid w:val="001667FE"/>
    <w:rsid w:val="001673B1"/>
    <w:rsid w:val="0017000C"/>
    <w:rsid w:val="00170107"/>
    <w:rsid w:val="00170FC2"/>
    <w:rsid w:val="001727E8"/>
    <w:rsid w:val="001811B8"/>
    <w:rsid w:val="0018136A"/>
    <w:rsid w:val="00181796"/>
    <w:rsid w:val="001817F5"/>
    <w:rsid w:val="00181E9B"/>
    <w:rsid w:val="00182146"/>
    <w:rsid w:val="00183923"/>
    <w:rsid w:val="0018470B"/>
    <w:rsid w:val="00184A28"/>
    <w:rsid w:val="0018506E"/>
    <w:rsid w:val="00192FA2"/>
    <w:rsid w:val="001943BE"/>
    <w:rsid w:val="0019542E"/>
    <w:rsid w:val="001A024F"/>
    <w:rsid w:val="001A0DC3"/>
    <w:rsid w:val="001A33CC"/>
    <w:rsid w:val="001A5FE2"/>
    <w:rsid w:val="001A6510"/>
    <w:rsid w:val="001A7BF4"/>
    <w:rsid w:val="001B3E52"/>
    <w:rsid w:val="001B46F6"/>
    <w:rsid w:val="001B5564"/>
    <w:rsid w:val="001B6B29"/>
    <w:rsid w:val="001B7B44"/>
    <w:rsid w:val="001C121B"/>
    <w:rsid w:val="001C125D"/>
    <w:rsid w:val="001C13A5"/>
    <w:rsid w:val="001C150C"/>
    <w:rsid w:val="001C3659"/>
    <w:rsid w:val="001C52FE"/>
    <w:rsid w:val="001D038B"/>
    <w:rsid w:val="001D15A1"/>
    <w:rsid w:val="001D1836"/>
    <w:rsid w:val="001D49FE"/>
    <w:rsid w:val="001D50C7"/>
    <w:rsid w:val="001D77A8"/>
    <w:rsid w:val="001D7817"/>
    <w:rsid w:val="001E0A75"/>
    <w:rsid w:val="001E1665"/>
    <w:rsid w:val="001E232E"/>
    <w:rsid w:val="001E3126"/>
    <w:rsid w:val="001F024C"/>
    <w:rsid w:val="001F0F53"/>
    <w:rsid w:val="001F187C"/>
    <w:rsid w:val="001F2FD4"/>
    <w:rsid w:val="001F32AB"/>
    <w:rsid w:val="001F345B"/>
    <w:rsid w:val="001F3751"/>
    <w:rsid w:val="001F5A9B"/>
    <w:rsid w:val="001F5BCB"/>
    <w:rsid w:val="001F5CDF"/>
    <w:rsid w:val="00202A6B"/>
    <w:rsid w:val="002041FF"/>
    <w:rsid w:val="00206F67"/>
    <w:rsid w:val="0020791B"/>
    <w:rsid w:val="0021114E"/>
    <w:rsid w:val="0021180A"/>
    <w:rsid w:val="00212465"/>
    <w:rsid w:val="00212936"/>
    <w:rsid w:val="00213C59"/>
    <w:rsid w:val="00214796"/>
    <w:rsid w:val="00215712"/>
    <w:rsid w:val="002158C8"/>
    <w:rsid w:val="00216CE6"/>
    <w:rsid w:val="00220079"/>
    <w:rsid w:val="00220E0A"/>
    <w:rsid w:val="002249C4"/>
    <w:rsid w:val="00225056"/>
    <w:rsid w:val="0022780C"/>
    <w:rsid w:val="00230DFC"/>
    <w:rsid w:val="00231504"/>
    <w:rsid w:val="002317DA"/>
    <w:rsid w:val="00232361"/>
    <w:rsid w:val="002327F8"/>
    <w:rsid w:val="00240467"/>
    <w:rsid w:val="00241C15"/>
    <w:rsid w:val="00243126"/>
    <w:rsid w:val="00244543"/>
    <w:rsid w:val="00245ADA"/>
    <w:rsid w:val="002502E0"/>
    <w:rsid w:val="002502EF"/>
    <w:rsid w:val="00250E06"/>
    <w:rsid w:val="00252BD7"/>
    <w:rsid w:val="0025356A"/>
    <w:rsid w:val="00253E0B"/>
    <w:rsid w:val="002543DF"/>
    <w:rsid w:val="002553D3"/>
    <w:rsid w:val="00262C0A"/>
    <w:rsid w:val="0026620C"/>
    <w:rsid w:val="00266915"/>
    <w:rsid w:val="00267830"/>
    <w:rsid w:val="00270BF3"/>
    <w:rsid w:val="00273325"/>
    <w:rsid w:val="002742EF"/>
    <w:rsid w:val="00274990"/>
    <w:rsid w:val="00274BA8"/>
    <w:rsid w:val="00277344"/>
    <w:rsid w:val="00277F32"/>
    <w:rsid w:val="002819AA"/>
    <w:rsid w:val="00281EFE"/>
    <w:rsid w:val="00282271"/>
    <w:rsid w:val="0028389E"/>
    <w:rsid w:val="00286DB5"/>
    <w:rsid w:val="002875B7"/>
    <w:rsid w:val="0029330A"/>
    <w:rsid w:val="00294E3C"/>
    <w:rsid w:val="002959E5"/>
    <w:rsid w:val="00296633"/>
    <w:rsid w:val="002A00F5"/>
    <w:rsid w:val="002A010F"/>
    <w:rsid w:val="002A237B"/>
    <w:rsid w:val="002A3AB7"/>
    <w:rsid w:val="002A43F0"/>
    <w:rsid w:val="002A455A"/>
    <w:rsid w:val="002A4859"/>
    <w:rsid w:val="002A4D78"/>
    <w:rsid w:val="002B1F61"/>
    <w:rsid w:val="002B2136"/>
    <w:rsid w:val="002B330E"/>
    <w:rsid w:val="002B381D"/>
    <w:rsid w:val="002B3AEF"/>
    <w:rsid w:val="002B5D65"/>
    <w:rsid w:val="002B618E"/>
    <w:rsid w:val="002B6CC2"/>
    <w:rsid w:val="002C0C38"/>
    <w:rsid w:val="002C1799"/>
    <w:rsid w:val="002C6E2E"/>
    <w:rsid w:val="002C7D3E"/>
    <w:rsid w:val="002C7FF6"/>
    <w:rsid w:val="002D575A"/>
    <w:rsid w:val="002D592D"/>
    <w:rsid w:val="002D5D45"/>
    <w:rsid w:val="002D6F74"/>
    <w:rsid w:val="002D7FDB"/>
    <w:rsid w:val="002E06E3"/>
    <w:rsid w:val="002E114D"/>
    <w:rsid w:val="002E453E"/>
    <w:rsid w:val="002E4E20"/>
    <w:rsid w:val="002E5B7D"/>
    <w:rsid w:val="002E5D82"/>
    <w:rsid w:val="002E782F"/>
    <w:rsid w:val="002E7897"/>
    <w:rsid w:val="002E7F28"/>
    <w:rsid w:val="002F0EBE"/>
    <w:rsid w:val="002F21F7"/>
    <w:rsid w:val="002F2F65"/>
    <w:rsid w:val="002F42BE"/>
    <w:rsid w:val="002F5D52"/>
    <w:rsid w:val="002F6212"/>
    <w:rsid w:val="002F632C"/>
    <w:rsid w:val="003016C4"/>
    <w:rsid w:val="00302AC1"/>
    <w:rsid w:val="00303296"/>
    <w:rsid w:val="00306FBF"/>
    <w:rsid w:val="00307AF8"/>
    <w:rsid w:val="00307B83"/>
    <w:rsid w:val="0031301A"/>
    <w:rsid w:val="003168CE"/>
    <w:rsid w:val="00320AFE"/>
    <w:rsid w:val="00320F07"/>
    <w:rsid w:val="00321A43"/>
    <w:rsid w:val="0032308F"/>
    <w:rsid w:val="0032569E"/>
    <w:rsid w:val="00325A6C"/>
    <w:rsid w:val="003265B8"/>
    <w:rsid w:val="00333BA6"/>
    <w:rsid w:val="003340FB"/>
    <w:rsid w:val="00334926"/>
    <w:rsid w:val="0033540D"/>
    <w:rsid w:val="00336760"/>
    <w:rsid w:val="00341FEC"/>
    <w:rsid w:val="00342182"/>
    <w:rsid w:val="00342826"/>
    <w:rsid w:val="0034321B"/>
    <w:rsid w:val="00352490"/>
    <w:rsid w:val="003533CA"/>
    <w:rsid w:val="00354394"/>
    <w:rsid w:val="0035493A"/>
    <w:rsid w:val="003552D2"/>
    <w:rsid w:val="00357053"/>
    <w:rsid w:val="00360759"/>
    <w:rsid w:val="003613EE"/>
    <w:rsid w:val="00367EB1"/>
    <w:rsid w:val="00372153"/>
    <w:rsid w:val="003741B6"/>
    <w:rsid w:val="00374216"/>
    <w:rsid w:val="00376F72"/>
    <w:rsid w:val="00380E64"/>
    <w:rsid w:val="00384772"/>
    <w:rsid w:val="003869D8"/>
    <w:rsid w:val="00387729"/>
    <w:rsid w:val="0039063B"/>
    <w:rsid w:val="003911E4"/>
    <w:rsid w:val="003958D9"/>
    <w:rsid w:val="003A19A5"/>
    <w:rsid w:val="003A2034"/>
    <w:rsid w:val="003A269C"/>
    <w:rsid w:val="003A2ED7"/>
    <w:rsid w:val="003A447E"/>
    <w:rsid w:val="003A57C4"/>
    <w:rsid w:val="003A5899"/>
    <w:rsid w:val="003A64AC"/>
    <w:rsid w:val="003A6A3B"/>
    <w:rsid w:val="003B0AAE"/>
    <w:rsid w:val="003B0E35"/>
    <w:rsid w:val="003B1937"/>
    <w:rsid w:val="003B6150"/>
    <w:rsid w:val="003B660D"/>
    <w:rsid w:val="003B74E4"/>
    <w:rsid w:val="003C03EB"/>
    <w:rsid w:val="003C0A77"/>
    <w:rsid w:val="003C2311"/>
    <w:rsid w:val="003D4283"/>
    <w:rsid w:val="003D6219"/>
    <w:rsid w:val="003D6FA8"/>
    <w:rsid w:val="003E022B"/>
    <w:rsid w:val="003E269D"/>
    <w:rsid w:val="003E2B20"/>
    <w:rsid w:val="003E549D"/>
    <w:rsid w:val="003F1027"/>
    <w:rsid w:val="003F3926"/>
    <w:rsid w:val="003F6CA9"/>
    <w:rsid w:val="004008C7"/>
    <w:rsid w:val="004011BA"/>
    <w:rsid w:val="00403823"/>
    <w:rsid w:val="00403AB5"/>
    <w:rsid w:val="00404731"/>
    <w:rsid w:val="00404ADF"/>
    <w:rsid w:val="004053D4"/>
    <w:rsid w:val="0040697C"/>
    <w:rsid w:val="004102F8"/>
    <w:rsid w:val="004115B6"/>
    <w:rsid w:val="00413868"/>
    <w:rsid w:val="00413F6B"/>
    <w:rsid w:val="00415126"/>
    <w:rsid w:val="004164B0"/>
    <w:rsid w:val="00417A6F"/>
    <w:rsid w:val="004205EF"/>
    <w:rsid w:val="00421306"/>
    <w:rsid w:val="00422328"/>
    <w:rsid w:val="004229E3"/>
    <w:rsid w:val="00422BB7"/>
    <w:rsid w:val="00423CCC"/>
    <w:rsid w:val="00424D3E"/>
    <w:rsid w:val="0042557B"/>
    <w:rsid w:val="004318DC"/>
    <w:rsid w:val="00431A3B"/>
    <w:rsid w:val="004353C2"/>
    <w:rsid w:val="00436DF5"/>
    <w:rsid w:val="00440231"/>
    <w:rsid w:val="00440F44"/>
    <w:rsid w:val="004448E9"/>
    <w:rsid w:val="00444F82"/>
    <w:rsid w:val="004456CC"/>
    <w:rsid w:val="00445CDC"/>
    <w:rsid w:val="00450702"/>
    <w:rsid w:val="00450FF8"/>
    <w:rsid w:val="004533ED"/>
    <w:rsid w:val="004552A2"/>
    <w:rsid w:val="00456D91"/>
    <w:rsid w:val="00457680"/>
    <w:rsid w:val="00461C8E"/>
    <w:rsid w:val="004629B9"/>
    <w:rsid w:val="004640D1"/>
    <w:rsid w:val="0046717F"/>
    <w:rsid w:val="004672C0"/>
    <w:rsid w:val="0047036B"/>
    <w:rsid w:val="00470721"/>
    <w:rsid w:val="00470B99"/>
    <w:rsid w:val="00472115"/>
    <w:rsid w:val="00475C39"/>
    <w:rsid w:val="00477DF3"/>
    <w:rsid w:val="004803E5"/>
    <w:rsid w:val="00482A22"/>
    <w:rsid w:val="0048316C"/>
    <w:rsid w:val="00484068"/>
    <w:rsid w:val="00484AB2"/>
    <w:rsid w:val="0048526B"/>
    <w:rsid w:val="00486626"/>
    <w:rsid w:val="00487F0F"/>
    <w:rsid w:val="0049414B"/>
    <w:rsid w:val="004977DE"/>
    <w:rsid w:val="004A2F6F"/>
    <w:rsid w:val="004A6562"/>
    <w:rsid w:val="004B0A2F"/>
    <w:rsid w:val="004B10F5"/>
    <w:rsid w:val="004B18CB"/>
    <w:rsid w:val="004B26EB"/>
    <w:rsid w:val="004B48AF"/>
    <w:rsid w:val="004B50BC"/>
    <w:rsid w:val="004B6187"/>
    <w:rsid w:val="004B6C94"/>
    <w:rsid w:val="004B7FFA"/>
    <w:rsid w:val="004C0182"/>
    <w:rsid w:val="004C0C95"/>
    <w:rsid w:val="004C111D"/>
    <w:rsid w:val="004C21BB"/>
    <w:rsid w:val="004C2EB3"/>
    <w:rsid w:val="004C3ABF"/>
    <w:rsid w:val="004C3CC3"/>
    <w:rsid w:val="004C4418"/>
    <w:rsid w:val="004C625A"/>
    <w:rsid w:val="004C64D9"/>
    <w:rsid w:val="004C697F"/>
    <w:rsid w:val="004C7F70"/>
    <w:rsid w:val="004D0DF9"/>
    <w:rsid w:val="004D2C52"/>
    <w:rsid w:val="004D43D2"/>
    <w:rsid w:val="004D652E"/>
    <w:rsid w:val="004D6638"/>
    <w:rsid w:val="004D7AB4"/>
    <w:rsid w:val="004E0529"/>
    <w:rsid w:val="004E0CAD"/>
    <w:rsid w:val="004E1EBB"/>
    <w:rsid w:val="004E3959"/>
    <w:rsid w:val="004E5EA3"/>
    <w:rsid w:val="004E7F7D"/>
    <w:rsid w:val="004F0DFD"/>
    <w:rsid w:val="004F112A"/>
    <w:rsid w:val="004F1B89"/>
    <w:rsid w:val="004F3B07"/>
    <w:rsid w:val="004F42DC"/>
    <w:rsid w:val="004F6CE4"/>
    <w:rsid w:val="004F6EB7"/>
    <w:rsid w:val="00500118"/>
    <w:rsid w:val="0050428E"/>
    <w:rsid w:val="00510952"/>
    <w:rsid w:val="00510D1B"/>
    <w:rsid w:val="00511B83"/>
    <w:rsid w:val="00512224"/>
    <w:rsid w:val="0051646C"/>
    <w:rsid w:val="005223FD"/>
    <w:rsid w:val="00522E61"/>
    <w:rsid w:val="005241FD"/>
    <w:rsid w:val="00524E49"/>
    <w:rsid w:val="00525303"/>
    <w:rsid w:val="00527304"/>
    <w:rsid w:val="0053137B"/>
    <w:rsid w:val="00532BFB"/>
    <w:rsid w:val="005358B4"/>
    <w:rsid w:val="005365E0"/>
    <w:rsid w:val="00542479"/>
    <w:rsid w:val="00544362"/>
    <w:rsid w:val="00545D8C"/>
    <w:rsid w:val="00547CA9"/>
    <w:rsid w:val="00550256"/>
    <w:rsid w:val="00557D15"/>
    <w:rsid w:val="00560034"/>
    <w:rsid w:val="00560171"/>
    <w:rsid w:val="00560BE3"/>
    <w:rsid w:val="0056179B"/>
    <w:rsid w:val="0056289A"/>
    <w:rsid w:val="0056448B"/>
    <w:rsid w:val="00565C34"/>
    <w:rsid w:val="00565F92"/>
    <w:rsid w:val="00571E75"/>
    <w:rsid w:val="00573408"/>
    <w:rsid w:val="0057344D"/>
    <w:rsid w:val="00573765"/>
    <w:rsid w:val="00573E0F"/>
    <w:rsid w:val="00576ED0"/>
    <w:rsid w:val="00576ED4"/>
    <w:rsid w:val="00576F0D"/>
    <w:rsid w:val="00580BDF"/>
    <w:rsid w:val="00581F4F"/>
    <w:rsid w:val="00583EC7"/>
    <w:rsid w:val="005850EE"/>
    <w:rsid w:val="00586C72"/>
    <w:rsid w:val="00587C8F"/>
    <w:rsid w:val="00591551"/>
    <w:rsid w:val="00593217"/>
    <w:rsid w:val="0059367E"/>
    <w:rsid w:val="005959F9"/>
    <w:rsid w:val="005A0D15"/>
    <w:rsid w:val="005A18D7"/>
    <w:rsid w:val="005A2A86"/>
    <w:rsid w:val="005A4466"/>
    <w:rsid w:val="005A540F"/>
    <w:rsid w:val="005A6891"/>
    <w:rsid w:val="005B3729"/>
    <w:rsid w:val="005B5ADE"/>
    <w:rsid w:val="005C154E"/>
    <w:rsid w:val="005C31A0"/>
    <w:rsid w:val="005C35BE"/>
    <w:rsid w:val="005C4952"/>
    <w:rsid w:val="005C63F7"/>
    <w:rsid w:val="005C74C9"/>
    <w:rsid w:val="005D04D6"/>
    <w:rsid w:val="005D0EE2"/>
    <w:rsid w:val="005D2355"/>
    <w:rsid w:val="005D2565"/>
    <w:rsid w:val="005D6CD2"/>
    <w:rsid w:val="005D6E23"/>
    <w:rsid w:val="005E11FC"/>
    <w:rsid w:val="005E16F9"/>
    <w:rsid w:val="005E28FB"/>
    <w:rsid w:val="005E5130"/>
    <w:rsid w:val="005E540C"/>
    <w:rsid w:val="005E6294"/>
    <w:rsid w:val="005E6D8B"/>
    <w:rsid w:val="005F1009"/>
    <w:rsid w:val="005F1298"/>
    <w:rsid w:val="005F21D1"/>
    <w:rsid w:val="005F5ACC"/>
    <w:rsid w:val="005F6288"/>
    <w:rsid w:val="005F69CC"/>
    <w:rsid w:val="005F76B2"/>
    <w:rsid w:val="00604B6E"/>
    <w:rsid w:val="00605DDD"/>
    <w:rsid w:val="00605E06"/>
    <w:rsid w:val="0060662B"/>
    <w:rsid w:val="00607663"/>
    <w:rsid w:val="006104D6"/>
    <w:rsid w:val="006109E9"/>
    <w:rsid w:val="00610CFE"/>
    <w:rsid w:val="00612B3F"/>
    <w:rsid w:val="00612E38"/>
    <w:rsid w:val="00613278"/>
    <w:rsid w:val="00616E75"/>
    <w:rsid w:val="006170F1"/>
    <w:rsid w:val="00617B32"/>
    <w:rsid w:val="00617F3D"/>
    <w:rsid w:val="00620293"/>
    <w:rsid w:val="0062031D"/>
    <w:rsid w:val="006231E7"/>
    <w:rsid w:val="0062389F"/>
    <w:rsid w:val="006244DA"/>
    <w:rsid w:val="0062473C"/>
    <w:rsid w:val="00634850"/>
    <w:rsid w:val="00635D66"/>
    <w:rsid w:val="00640940"/>
    <w:rsid w:val="00640AF8"/>
    <w:rsid w:val="00640DAD"/>
    <w:rsid w:val="00640F10"/>
    <w:rsid w:val="0064190A"/>
    <w:rsid w:val="00642DBA"/>
    <w:rsid w:val="00650891"/>
    <w:rsid w:val="006531BB"/>
    <w:rsid w:val="006534CA"/>
    <w:rsid w:val="00655CC2"/>
    <w:rsid w:val="00662536"/>
    <w:rsid w:val="00665D47"/>
    <w:rsid w:val="006663BD"/>
    <w:rsid w:val="00666814"/>
    <w:rsid w:val="00670210"/>
    <w:rsid w:val="006724CC"/>
    <w:rsid w:val="00674463"/>
    <w:rsid w:val="00675F99"/>
    <w:rsid w:val="0068089C"/>
    <w:rsid w:val="00683D7C"/>
    <w:rsid w:val="00685770"/>
    <w:rsid w:val="006859F7"/>
    <w:rsid w:val="0069019B"/>
    <w:rsid w:val="00693363"/>
    <w:rsid w:val="00693D92"/>
    <w:rsid w:val="0069518F"/>
    <w:rsid w:val="00696A94"/>
    <w:rsid w:val="00697A4F"/>
    <w:rsid w:val="006A386A"/>
    <w:rsid w:val="006A41AF"/>
    <w:rsid w:val="006A5E3E"/>
    <w:rsid w:val="006A66AF"/>
    <w:rsid w:val="006A797E"/>
    <w:rsid w:val="006B10C3"/>
    <w:rsid w:val="006B4380"/>
    <w:rsid w:val="006B7D84"/>
    <w:rsid w:val="006C1B88"/>
    <w:rsid w:val="006C21FA"/>
    <w:rsid w:val="006C38AD"/>
    <w:rsid w:val="006C66A7"/>
    <w:rsid w:val="006C6B74"/>
    <w:rsid w:val="006C6EBB"/>
    <w:rsid w:val="006D0097"/>
    <w:rsid w:val="006D09EF"/>
    <w:rsid w:val="006D15F0"/>
    <w:rsid w:val="006D1E64"/>
    <w:rsid w:val="006D2F9D"/>
    <w:rsid w:val="006D4B39"/>
    <w:rsid w:val="006D4D41"/>
    <w:rsid w:val="006D6CB8"/>
    <w:rsid w:val="006E2475"/>
    <w:rsid w:val="006E273F"/>
    <w:rsid w:val="006E35F7"/>
    <w:rsid w:val="006E6527"/>
    <w:rsid w:val="006F050F"/>
    <w:rsid w:val="006F07EE"/>
    <w:rsid w:val="006F1FFD"/>
    <w:rsid w:val="006F2940"/>
    <w:rsid w:val="006F2CC8"/>
    <w:rsid w:val="006F3537"/>
    <w:rsid w:val="006F3F1B"/>
    <w:rsid w:val="006F513F"/>
    <w:rsid w:val="006F6E0B"/>
    <w:rsid w:val="006F7210"/>
    <w:rsid w:val="007005CD"/>
    <w:rsid w:val="00703EBF"/>
    <w:rsid w:val="007055B2"/>
    <w:rsid w:val="007059DD"/>
    <w:rsid w:val="00712ED5"/>
    <w:rsid w:val="00715043"/>
    <w:rsid w:val="007162A5"/>
    <w:rsid w:val="00716800"/>
    <w:rsid w:val="0071762D"/>
    <w:rsid w:val="00722788"/>
    <w:rsid w:val="007237BB"/>
    <w:rsid w:val="00725BC0"/>
    <w:rsid w:val="00726797"/>
    <w:rsid w:val="00726CB4"/>
    <w:rsid w:val="00731B7F"/>
    <w:rsid w:val="00733700"/>
    <w:rsid w:val="007360B9"/>
    <w:rsid w:val="0073681F"/>
    <w:rsid w:val="00736E93"/>
    <w:rsid w:val="00740005"/>
    <w:rsid w:val="0074020C"/>
    <w:rsid w:val="00740DF8"/>
    <w:rsid w:val="00744920"/>
    <w:rsid w:val="007471C7"/>
    <w:rsid w:val="00750F67"/>
    <w:rsid w:val="00750F7C"/>
    <w:rsid w:val="00753381"/>
    <w:rsid w:val="0075427A"/>
    <w:rsid w:val="0076304F"/>
    <w:rsid w:val="007631BA"/>
    <w:rsid w:val="00764BCB"/>
    <w:rsid w:val="0077053E"/>
    <w:rsid w:val="00770EB5"/>
    <w:rsid w:val="00773899"/>
    <w:rsid w:val="00784606"/>
    <w:rsid w:val="00784B86"/>
    <w:rsid w:val="007905E0"/>
    <w:rsid w:val="00791216"/>
    <w:rsid w:val="00792CEB"/>
    <w:rsid w:val="00793431"/>
    <w:rsid w:val="007949D3"/>
    <w:rsid w:val="00797654"/>
    <w:rsid w:val="007A0823"/>
    <w:rsid w:val="007A3E56"/>
    <w:rsid w:val="007A5771"/>
    <w:rsid w:val="007A69C1"/>
    <w:rsid w:val="007B2559"/>
    <w:rsid w:val="007B3B54"/>
    <w:rsid w:val="007B3BE2"/>
    <w:rsid w:val="007B5566"/>
    <w:rsid w:val="007B6A76"/>
    <w:rsid w:val="007B6B9C"/>
    <w:rsid w:val="007B711A"/>
    <w:rsid w:val="007C3F49"/>
    <w:rsid w:val="007C434F"/>
    <w:rsid w:val="007C5B64"/>
    <w:rsid w:val="007C65D4"/>
    <w:rsid w:val="007C6F7F"/>
    <w:rsid w:val="007C7A3E"/>
    <w:rsid w:val="007D0647"/>
    <w:rsid w:val="007D0E21"/>
    <w:rsid w:val="007D330A"/>
    <w:rsid w:val="007D532E"/>
    <w:rsid w:val="007D608A"/>
    <w:rsid w:val="007D7069"/>
    <w:rsid w:val="007E1F08"/>
    <w:rsid w:val="007E257F"/>
    <w:rsid w:val="007E6310"/>
    <w:rsid w:val="007E68E9"/>
    <w:rsid w:val="007F025A"/>
    <w:rsid w:val="007F4404"/>
    <w:rsid w:val="007F44BE"/>
    <w:rsid w:val="007F4C48"/>
    <w:rsid w:val="007F4CE3"/>
    <w:rsid w:val="007F7505"/>
    <w:rsid w:val="00802108"/>
    <w:rsid w:val="008021B1"/>
    <w:rsid w:val="00802A51"/>
    <w:rsid w:val="00802CA7"/>
    <w:rsid w:val="00804BE3"/>
    <w:rsid w:val="00806377"/>
    <w:rsid w:val="00806EFF"/>
    <w:rsid w:val="00811550"/>
    <w:rsid w:val="00813EA6"/>
    <w:rsid w:val="00815D58"/>
    <w:rsid w:val="0082056F"/>
    <w:rsid w:val="00821537"/>
    <w:rsid w:val="00821954"/>
    <w:rsid w:val="00825C08"/>
    <w:rsid w:val="00826A1C"/>
    <w:rsid w:val="0083058C"/>
    <w:rsid w:val="00830DDD"/>
    <w:rsid w:val="0083363C"/>
    <w:rsid w:val="008344FF"/>
    <w:rsid w:val="008348EA"/>
    <w:rsid w:val="00834ACA"/>
    <w:rsid w:val="00834B1C"/>
    <w:rsid w:val="00835DE7"/>
    <w:rsid w:val="00836304"/>
    <w:rsid w:val="0083631A"/>
    <w:rsid w:val="0083751A"/>
    <w:rsid w:val="00840E08"/>
    <w:rsid w:val="0084540A"/>
    <w:rsid w:val="00846097"/>
    <w:rsid w:val="008474A2"/>
    <w:rsid w:val="008474FA"/>
    <w:rsid w:val="00850F11"/>
    <w:rsid w:val="00852A83"/>
    <w:rsid w:val="00852CAE"/>
    <w:rsid w:val="00853473"/>
    <w:rsid w:val="00853E1F"/>
    <w:rsid w:val="00854D3E"/>
    <w:rsid w:val="00854F65"/>
    <w:rsid w:val="00861D20"/>
    <w:rsid w:val="00865F30"/>
    <w:rsid w:val="0086631F"/>
    <w:rsid w:val="00867C0C"/>
    <w:rsid w:val="0087195C"/>
    <w:rsid w:val="00872E19"/>
    <w:rsid w:val="00874AAE"/>
    <w:rsid w:val="00875BF1"/>
    <w:rsid w:val="00875E89"/>
    <w:rsid w:val="00877FD8"/>
    <w:rsid w:val="00881A97"/>
    <w:rsid w:val="00882382"/>
    <w:rsid w:val="00883354"/>
    <w:rsid w:val="00883A94"/>
    <w:rsid w:val="00884504"/>
    <w:rsid w:val="00885599"/>
    <w:rsid w:val="00885F8A"/>
    <w:rsid w:val="00890346"/>
    <w:rsid w:val="00891979"/>
    <w:rsid w:val="00893183"/>
    <w:rsid w:val="0089433D"/>
    <w:rsid w:val="00894EDC"/>
    <w:rsid w:val="008A1011"/>
    <w:rsid w:val="008A2027"/>
    <w:rsid w:val="008A2CD6"/>
    <w:rsid w:val="008A343E"/>
    <w:rsid w:val="008A3566"/>
    <w:rsid w:val="008A5088"/>
    <w:rsid w:val="008A5590"/>
    <w:rsid w:val="008A58A6"/>
    <w:rsid w:val="008A5B0C"/>
    <w:rsid w:val="008A608B"/>
    <w:rsid w:val="008A61F2"/>
    <w:rsid w:val="008A7C6F"/>
    <w:rsid w:val="008B0695"/>
    <w:rsid w:val="008B0D6E"/>
    <w:rsid w:val="008B0EEF"/>
    <w:rsid w:val="008B20CD"/>
    <w:rsid w:val="008B26F9"/>
    <w:rsid w:val="008B4328"/>
    <w:rsid w:val="008B4B63"/>
    <w:rsid w:val="008B72CA"/>
    <w:rsid w:val="008B7312"/>
    <w:rsid w:val="008B7F9F"/>
    <w:rsid w:val="008C1818"/>
    <w:rsid w:val="008C1A63"/>
    <w:rsid w:val="008C3057"/>
    <w:rsid w:val="008C38B7"/>
    <w:rsid w:val="008C3EF1"/>
    <w:rsid w:val="008C5ED1"/>
    <w:rsid w:val="008D5426"/>
    <w:rsid w:val="008D772E"/>
    <w:rsid w:val="008E1721"/>
    <w:rsid w:val="008E3865"/>
    <w:rsid w:val="008E3CD2"/>
    <w:rsid w:val="008E3D9E"/>
    <w:rsid w:val="008E55FF"/>
    <w:rsid w:val="008F11A3"/>
    <w:rsid w:val="008F3744"/>
    <w:rsid w:val="008F4734"/>
    <w:rsid w:val="008F7F78"/>
    <w:rsid w:val="0090183B"/>
    <w:rsid w:val="00902544"/>
    <w:rsid w:val="00905A43"/>
    <w:rsid w:val="00905C0A"/>
    <w:rsid w:val="00906AA7"/>
    <w:rsid w:val="00907060"/>
    <w:rsid w:val="00907274"/>
    <w:rsid w:val="00907971"/>
    <w:rsid w:val="00910C5A"/>
    <w:rsid w:val="00912399"/>
    <w:rsid w:val="009132E3"/>
    <w:rsid w:val="009134F4"/>
    <w:rsid w:val="009148AC"/>
    <w:rsid w:val="00914C1D"/>
    <w:rsid w:val="009224A9"/>
    <w:rsid w:val="009252B6"/>
    <w:rsid w:val="00927553"/>
    <w:rsid w:val="009333F1"/>
    <w:rsid w:val="00934CC8"/>
    <w:rsid w:val="0093720E"/>
    <w:rsid w:val="00937832"/>
    <w:rsid w:val="00940D05"/>
    <w:rsid w:val="009413AE"/>
    <w:rsid w:val="00941F1D"/>
    <w:rsid w:val="00943829"/>
    <w:rsid w:val="009441ED"/>
    <w:rsid w:val="00944508"/>
    <w:rsid w:val="00945910"/>
    <w:rsid w:val="0094622B"/>
    <w:rsid w:val="00946E17"/>
    <w:rsid w:val="00947B8A"/>
    <w:rsid w:val="009544BF"/>
    <w:rsid w:val="00955AD3"/>
    <w:rsid w:val="00956C05"/>
    <w:rsid w:val="00957E78"/>
    <w:rsid w:val="00960671"/>
    <w:rsid w:val="00960FE0"/>
    <w:rsid w:val="00963398"/>
    <w:rsid w:val="00963ABE"/>
    <w:rsid w:val="00964194"/>
    <w:rsid w:val="00964D25"/>
    <w:rsid w:val="00966A2E"/>
    <w:rsid w:val="00966E35"/>
    <w:rsid w:val="00972F57"/>
    <w:rsid w:val="00973AF4"/>
    <w:rsid w:val="0098465E"/>
    <w:rsid w:val="00986804"/>
    <w:rsid w:val="00990F9E"/>
    <w:rsid w:val="00992BD3"/>
    <w:rsid w:val="00993BAE"/>
    <w:rsid w:val="00993DA2"/>
    <w:rsid w:val="00994A8F"/>
    <w:rsid w:val="0099546D"/>
    <w:rsid w:val="009960F9"/>
    <w:rsid w:val="00996ECE"/>
    <w:rsid w:val="0099770C"/>
    <w:rsid w:val="00997A56"/>
    <w:rsid w:val="009A3853"/>
    <w:rsid w:val="009A41BB"/>
    <w:rsid w:val="009A690F"/>
    <w:rsid w:val="009A6DC4"/>
    <w:rsid w:val="009A6DD3"/>
    <w:rsid w:val="009A71B4"/>
    <w:rsid w:val="009B029F"/>
    <w:rsid w:val="009B0520"/>
    <w:rsid w:val="009B19FF"/>
    <w:rsid w:val="009B4220"/>
    <w:rsid w:val="009B7056"/>
    <w:rsid w:val="009B785D"/>
    <w:rsid w:val="009C2A3C"/>
    <w:rsid w:val="009C3D48"/>
    <w:rsid w:val="009C41C2"/>
    <w:rsid w:val="009C4CAC"/>
    <w:rsid w:val="009C5B73"/>
    <w:rsid w:val="009C5B87"/>
    <w:rsid w:val="009C5CA8"/>
    <w:rsid w:val="009D07EF"/>
    <w:rsid w:val="009D23E9"/>
    <w:rsid w:val="009D2BC0"/>
    <w:rsid w:val="009D2F28"/>
    <w:rsid w:val="009D327F"/>
    <w:rsid w:val="009D3731"/>
    <w:rsid w:val="009D3D38"/>
    <w:rsid w:val="009D53CA"/>
    <w:rsid w:val="009D56D7"/>
    <w:rsid w:val="009D57A7"/>
    <w:rsid w:val="009D7F5D"/>
    <w:rsid w:val="009E41D3"/>
    <w:rsid w:val="009E4680"/>
    <w:rsid w:val="009E5E25"/>
    <w:rsid w:val="009E77F2"/>
    <w:rsid w:val="009F2FF9"/>
    <w:rsid w:val="009F3DF5"/>
    <w:rsid w:val="00A0156A"/>
    <w:rsid w:val="00A02972"/>
    <w:rsid w:val="00A04077"/>
    <w:rsid w:val="00A0493F"/>
    <w:rsid w:val="00A05C28"/>
    <w:rsid w:val="00A06C96"/>
    <w:rsid w:val="00A072AE"/>
    <w:rsid w:val="00A10889"/>
    <w:rsid w:val="00A109D4"/>
    <w:rsid w:val="00A12126"/>
    <w:rsid w:val="00A12D70"/>
    <w:rsid w:val="00A1430A"/>
    <w:rsid w:val="00A214C0"/>
    <w:rsid w:val="00A21B50"/>
    <w:rsid w:val="00A2215A"/>
    <w:rsid w:val="00A2275D"/>
    <w:rsid w:val="00A22F48"/>
    <w:rsid w:val="00A230D5"/>
    <w:rsid w:val="00A25AFB"/>
    <w:rsid w:val="00A276C0"/>
    <w:rsid w:val="00A300E2"/>
    <w:rsid w:val="00A31C8A"/>
    <w:rsid w:val="00A36B6F"/>
    <w:rsid w:val="00A36C35"/>
    <w:rsid w:val="00A37A93"/>
    <w:rsid w:val="00A438B7"/>
    <w:rsid w:val="00A4450F"/>
    <w:rsid w:val="00A44995"/>
    <w:rsid w:val="00A44D65"/>
    <w:rsid w:val="00A45F83"/>
    <w:rsid w:val="00A463BE"/>
    <w:rsid w:val="00A51C25"/>
    <w:rsid w:val="00A51C30"/>
    <w:rsid w:val="00A5361C"/>
    <w:rsid w:val="00A54248"/>
    <w:rsid w:val="00A5704A"/>
    <w:rsid w:val="00A57D2F"/>
    <w:rsid w:val="00A61231"/>
    <w:rsid w:val="00A61EAA"/>
    <w:rsid w:val="00A6297F"/>
    <w:rsid w:val="00A6392E"/>
    <w:rsid w:val="00A65515"/>
    <w:rsid w:val="00A660D3"/>
    <w:rsid w:val="00A679A4"/>
    <w:rsid w:val="00A71628"/>
    <w:rsid w:val="00A71876"/>
    <w:rsid w:val="00A76562"/>
    <w:rsid w:val="00A76D9B"/>
    <w:rsid w:val="00A812EB"/>
    <w:rsid w:val="00A832A0"/>
    <w:rsid w:val="00A86ABE"/>
    <w:rsid w:val="00A87317"/>
    <w:rsid w:val="00A91411"/>
    <w:rsid w:val="00A92CA0"/>
    <w:rsid w:val="00A94647"/>
    <w:rsid w:val="00A960F1"/>
    <w:rsid w:val="00A97A33"/>
    <w:rsid w:val="00AA0612"/>
    <w:rsid w:val="00AA2D57"/>
    <w:rsid w:val="00AA377E"/>
    <w:rsid w:val="00AA3874"/>
    <w:rsid w:val="00AA3F14"/>
    <w:rsid w:val="00AA3F39"/>
    <w:rsid w:val="00AA5204"/>
    <w:rsid w:val="00AA6325"/>
    <w:rsid w:val="00AB020E"/>
    <w:rsid w:val="00AB29C7"/>
    <w:rsid w:val="00AB3A66"/>
    <w:rsid w:val="00AB538B"/>
    <w:rsid w:val="00AB6D11"/>
    <w:rsid w:val="00AB75B8"/>
    <w:rsid w:val="00AC2FD9"/>
    <w:rsid w:val="00AC5388"/>
    <w:rsid w:val="00AC632C"/>
    <w:rsid w:val="00AC72F0"/>
    <w:rsid w:val="00AD0E7C"/>
    <w:rsid w:val="00AD29E4"/>
    <w:rsid w:val="00AD32D0"/>
    <w:rsid w:val="00AD3A50"/>
    <w:rsid w:val="00AD3FCE"/>
    <w:rsid w:val="00AD51CE"/>
    <w:rsid w:val="00AD735D"/>
    <w:rsid w:val="00AD7650"/>
    <w:rsid w:val="00AD7CF9"/>
    <w:rsid w:val="00AE51CF"/>
    <w:rsid w:val="00AE565F"/>
    <w:rsid w:val="00AE7959"/>
    <w:rsid w:val="00AF327F"/>
    <w:rsid w:val="00AF76B9"/>
    <w:rsid w:val="00B005E5"/>
    <w:rsid w:val="00B01724"/>
    <w:rsid w:val="00B0197E"/>
    <w:rsid w:val="00B04623"/>
    <w:rsid w:val="00B05F83"/>
    <w:rsid w:val="00B06B01"/>
    <w:rsid w:val="00B07BC7"/>
    <w:rsid w:val="00B1041B"/>
    <w:rsid w:val="00B107DE"/>
    <w:rsid w:val="00B11307"/>
    <w:rsid w:val="00B1368B"/>
    <w:rsid w:val="00B13B6B"/>
    <w:rsid w:val="00B15CA5"/>
    <w:rsid w:val="00B221AD"/>
    <w:rsid w:val="00B2502C"/>
    <w:rsid w:val="00B27371"/>
    <w:rsid w:val="00B275D9"/>
    <w:rsid w:val="00B2764C"/>
    <w:rsid w:val="00B30162"/>
    <w:rsid w:val="00B310C7"/>
    <w:rsid w:val="00B31461"/>
    <w:rsid w:val="00B31649"/>
    <w:rsid w:val="00B37B7F"/>
    <w:rsid w:val="00B43BCA"/>
    <w:rsid w:val="00B43E2A"/>
    <w:rsid w:val="00B44D4B"/>
    <w:rsid w:val="00B4550A"/>
    <w:rsid w:val="00B50C38"/>
    <w:rsid w:val="00B53589"/>
    <w:rsid w:val="00B55023"/>
    <w:rsid w:val="00B55488"/>
    <w:rsid w:val="00B556AC"/>
    <w:rsid w:val="00B56443"/>
    <w:rsid w:val="00B615F9"/>
    <w:rsid w:val="00B63232"/>
    <w:rsid w:val="00B632B4"/>
    <w:rsid w:val="00B636DC"/>
    <w:rsid w:val="00B63985"/>
    <w:rsid w:val="00B64B1F"/>
    <w:rsid w:val="00B64CD0"/>
    <w:rsid w:val="00B668E7"/>
    <w:rsid w:val="00B6731A"/>
    <w:rsid w:val="00B72075"/>
    <w:rsid w:val="00B73B3F"/>
    <w:rsid w:val="00B73CD8"/>
    <w:rsid w:val="00B73DF0"/>
    <w:rsid w:val="00B749C9"/>
    <w:rsid w:val="00B751A7"/>
    <w:rsid w:val="00B75AB6"/>
    <w:rsid w:val="00B81DD1"/>
    <w:rsid w:val="00B81FCB"/>
    <w:rsid w:val="00B867DD"/>
    <w:rsid w:val="00B90EA0"/>
    <w:rsid w:val="00B914D3"/>
    <w:rsid w:val="00B9375A"/>
    <w:rsid w:val="00B93A6B"/>
    <w:rsid w:val="00B9650F"/>
    <w:rsid w:val="00B96747"/>
    <w:rsid w:val="00BA0617"/>
    <w:rsid w:val="00BA0CE8"/>
    <w:rsid w:val="00BA19BE"/>
    <w:rsid w:val="00BA281F"/>
    <w:rsid w:val="00BA4B9A"/>
    <w:rsid w:val="00BA4DF0"/>
    <w:rsid w:val="00BB1D59"/>
    <w:rsid w:val="00BB2D16"/>
    <w:rsid w:val="00BB4E99"/>
    <w:rsid w:val="00BC0B49"/>
    <w:rsid w:val="00BC63F3"/>
    <w:rsid w:val="00BD27D8"/>
    <w:rsid w:val="00BD2E15"/>
    <w:rsid w:val="00BD751C"/>
    <w:rsid w:val="00BE13AB"/>
    <w:rsid w:val="00BE46AC"/>
    <w:rsid w:val="00BE6351"/>
    <w:rsid w:val="00BE639D"/>
    <w:rsid w:val="00BF3616"/>
    <w:rsid w:val="00BF44C4"/>
    <w:rsid w:val="00BF5C66"/>
    <w:rsid w:val="00BF6BE2"/>
    <w:rsid w:val="00BF73D1"/>
    <w:rsid w:val="00C00E20"/>
    <w:rsid w:val="00C02F16"/>
    <w:rsid w:val="00C04619"/>
    <w:rsid w:val="00C05A4F"/>
    <w:rsid w:val="00C05E5B"/>
    <w:rsid w:val="00C061E3"/>
    <w:rsid w:val="00C109F6"/>
    <w:rsid w:val="00C119C2"/>
    <w:rsid w:val="00C122D5"/>
    <w:rsid w:val="00C12B1C"/>
    <w:rsid w:val="00C14967"/>
    <w:rsid w:val="00C1627A"/>
    <w:rsid w:val="00C22F4C"/>
    <w:rsid w:val="00C23789"/>
    <w:rsid w:val="00C23DBC"/>
    <w:rsid w:val="00C26866"/>
    <w:rsid w:val="00C26E47"/>
    <w:rsid w:val="00C2750C"/>
    <w:rsid w:val="00C3083F"/>
    <w:rsid w:val="00C3276D"/>
    <w:rsid w:val="00C32A84"/>
    <w:rsid w:val="00C32C1C"/>
    <w:rsid w:val="00C33404"/>
    <w:rsid w:val="00C3399A"/>
    <w:rsid w:val="00C34A8C"/>
    <w:rsid w:val="00C41927"/>
    <w:rsid w:val="00C42CE4"/>
    <w:rsid w:val="00C43BDE"/>
    <w:rsid w:val="00C446BD"/>
    <w:rsid w:val="00C501E7"/>
    <w:rsid w:val="00C502B8"/>
    <w:rsid w:val="00C5111D"/>
    <w:rsid w:val="00C53EDB"/>
    <w:rsid w:val="00C62334"/>
    <w:rsid w:val="00C62DC6"/>
    <w:rsid w:val="00C66EB9"/>
    <w:rsid w:val="00C676E5"/>
    <w:rsid w:val="00C7079D"/>
    <w:rsid w:val="00C71638"/>
    <w:rsid w:val="00C71A96"/>
    <w:rsid w:val="00C7374A"/>
    <w:rsid w:val="00C77D88"/>
    <w:rsid w:val="00C8167F"/>
    <w:rsid w:val="00C81D29"/>
    <w:rsid w:val="00C833C1"/>
    <w:rsid w:val="00C85C33"/>
    <w:rsid w:val="00C86566"/>
    <w:rsid w:val="00C86D28"/>
    <w:rsid w:val="00C917EB"/>
    <w:rsid w:val="00C926AD"/>
    <w:rsid w:val="00C92CFB"/>
    <w:rsid w:val="00C93193"/>
    <w:rsid w:val="00C97FF4"/>
    <w:rsid w:val="00CA0ADF"/>
    <w:rsid w:val="00CA3A14"/>
    <w:rsid w:val="00CA5938"/>
    <w:rsid w:val="00CA5EBF"/>
    <w:rsid w:val="00CA6C07"/>
    <w:rsid w:val="00CB027B"/>
    <w:rsid w:val="00CB04F8"/>
    <w:rsid w:val="00CB5BAE"/>
    <w:rsid w:val="00CB642F"/>
    <w:rsid w:val="00CB7F0D"/>
    <w:rsid w:val="00CC0866"/>
    <w:rsid w:val="00CC1DF7"/>
    <w:rsid w:val="00CC28C6"/>
    <w:rsid w:val="00CC379F"/>
    <w:rsid w:val="00CC3ECF"/>
    <w:rsid w:val="00CC4808"/>
    <w:rsid w:val="00CC4C0C"/>
    <w:rsid w:val="00CD1B6F"/>
    <w:rsid w:val="00CD30AA"/>
    <w:rsid w:val="00CD3D90"/>
    <w:rsid w:val="00CD4A55"/>
    <w:rsid w:val="00CD56F8"/>
    <w:rsid w:val="00CD5923"/>
    <w:rsid w:val="00CD67E1"/>
    <w:rsid w:val="00CD7678"/>
    <w:rsid w:val="00CE0D2C"/>
    <w:rsid w:val="00CE0EFD"/>
    <w:rsid w:val="00CE1B8A"/>
    <w:rsid w:val="00CE4936"/>
    <w:rsid w:val="00CE555F"/>
    <w:rsid w:val="00CE5A65"/>
    <w:rsid w:val="00CE5BE1"/>
    <w:rsid w:val="00CE71CF"/>
    <w:rsid w:val="00CE7207"/>
    <w:rsid w:val="00CF0867"/>
    <w:rsid w:val="00CF32F4"/>
    <w:rsid w:val="00CF34A0"/>
    <w:rsid w:val="00CF3600"/>
    <w:rsid w:val="00CF59C1"/>
    <w:rsid w:val="00CF65B7"/>
    <w:rsid w:val="00D003B0"/>
    <w:rsid w:val="00D007EF"/>
    <w:rsid w:val="00D03610"/>
    <w:rsid w:val="00D04810"/>
    <w:rsid w:val="00D06F27"/>
    <w:rsid w:val="00D07271"/>
    <w:rsid w:val="00D104D6"/>
    <w:rsid w:val="00D14EC0"/>
    <w:rsid w:val="00D15807"/>
    <w:rsid w:val="00D17563"/>
    <w:rsid w:val="00D24520"/>
    <w:rsid w:val="00D262EA"/>
    <w:rsid w:val="00D30450"/>
    <w:rsid w:val="00D31595"/>
    <w:rsid w:val="00D316F7"/>
    <w:rsid w:val="00D31DFE"/>
    <w:rsid w:val="00D378A3"/>
    <w:rsid w:val="00D404A8"/>
    <w:rsid w:val="00D40AAD"/>
    <w:rsid w:val="00D40DEC"/>
    <w:rsid w:val="00D4403D"/>
    <w:rsid w:val="00D4526A"/>
    <w:rsid w:val="00D454E8"/>
    <w:rsid w:val="00D47ACC"/>
    <w:rsid w:val="00D51066"/>
    <w:rsid w:val="00D51476"/>
    <w:rsid w:val="00D51FE7"/>
    <w:rsid w:val="00D52F32"/>
    <w:rsid w:val="00D53831"/>
    <w:rsid w:val="00D60807"/>
    <w:rsid w:val="00D61332"/>
    <w:rsid w:val="00D62292"/>
    <w:rsid w:val="00D64D1F"/>
    <w:rsid w:val="00D66519"/>
    <w:rsid w:val="00D7160E"/>
    <w:rsid w:val="00D72CE4"/>
    <w:rsid w:val="00D72D19"/>
    <w:rsid w:val="00D73280"/>
    <w:rsid w:val="00D735FF"/>
    <w:rsid w:val="00D73A3C"/>
    <w:rsid w:val="00D74FF1"/>
    <w:rsid w:val="00D82E72"/>
    <w:rsid w:val="00D903A6"/>
    <w:rsid w:val="00D9098B"/>
    <w:rsid w:val="00D91BC7"/>
    <w:rsid w:val="00D9288B"/>
    <w:rsid w:val="00D938F7"/>
    <w:rsid w:val="00D93A62"/>
    <w:rsid w:val="00D953AA"/>
    <w:rsid w:val="00D961B4"/>
    <w:rsid w:val="00DA0765"/>
    <w:rsid w:val="00DA1411"/>
    <w:rsid w:val="00DA3060"/>
    <w:rsid w:val="00DA397B"/>
    <w:rsid w:val="00DA4410"/>
    <w:rsid w:val="00DA538C"/>
    <w:rsid w:val="00DA6F20"/>
    <w:rsid w:val="00DB17ED"/>
    <w:rsid w:val="00DB195E"/>
    <w:rsid w:val="00DB33D5"/>
    <w:rsid w:val="00DB5B5B"/>
    <w:rsid w:val="00DC194E"/>
    <w:rsid w:val="00DC2D7A"/>
    <w:rsid w:val="00DD14E1"/>
    <w:rsid w:val="00DE028E"/>
    <w:rsid w:val="00DE0959"/>
    <w:rsid w:val="00DE1245"/>
    <w:rsid w:val="00DE3A75"/>
    <w:rsid w:val="00DE3C68"/>
    <w:rsid w:val="00DF0E82"/>
    <w:rsid w:val="00DF3357"/>
    <w:rsid w:val="00DF53D7"/>
    <w:rsid w:val="00DF54C2"/>
    <w:rsid w:val="00DF5787"/>
    <w:rsid w:val="00E019D5"/>
    <w:rsid w:val="00E02771"/>
    <w:rsid w:val="00E02DF9"/>
    <w:rsid w:val="00E03E14"/>
    <w:rsid w:val="00E06474"/>
    <w:rsid w:val="00E10948"/>
    <w:rsid w:val="00E10A28"/>
    <w:rsid w:val="00E113A8"/>
    <w:rsid w:val="00E11A18"/>
    <w:rsid w:val="00E11CA1"/>
    <w:rsid w:val="00E138B2"/>
    <w:rsid w:val="00E13A95"/>
    <w:rsid w:val="00E1446D"/>
    <w:rsid w:val="00E14F64"/>
    <w:rsid w:val="00E15FD6"/>
    <w:rsid w:val="00E1630A"/>
    <w:rsid w:val="00E16787"/>
    <w:rsid w:val="00E16AED"/>
    <w:rsid w:val="00E205B3"/>
    <w:rsid w:val="00E22DA3"/>
    <w:rsid w:val="00E23208"/>
    <w:rsid w:val="00E24A15"/>
    <w:rsid w:val="00E24F4E"/>
    <w:rsid w:val="00E275CC"/>
    <w:rsid w:val="00E3023E"/>
    <w:rsid w:val="00E31027"/>
    <w:rsid w:val="00E338FA"/>
    <w:rsid w:val="00E33CB2"/>
    <w:rsid w:val="00E34B78"/>
    <w:rsid w:val="00E42723"/>
    <w:rsid w:val="00E46B54"/>
    <w:rsid w:val="00E46F71"/>
    <w:rsid w:val="00E47019"/>
    <w:rsid w:val="00E50A44"/>
    <w:rsid w:val="00E51FE7"/>
    <w:rsid w:val="00E52C7E"/>
    <w:rsid w:val="00E53AD3"/>
    <w:rsid w:val="00E53AF2"/>
    <w:rsid w:val="00E56A2C"/>
    <w:rsid w:val="00E57D6C"/>
    <w:rsid w:val="00E615F4"/>
    <w:rsid w:val="00E62220"/>
    <w:rsid w:val="00E6281F"/>
    <w:rsid w:val="00E702EB"/>
    <w:rsid w:val="00E710BE"/>
    <w:rsid w:val="00E732C1"/>
    <w:rsid w:val="00E7356D"/>
    <w:rsid w:val="00E7585E"/>
    <w:rsid w:val="00E760B6"/>
    <w:rsid w:val="00E7692F"/>
    <w:rsid w:val="00E77C7F"/>
    <w:rsid w:val="00E8056B"/>
    <w:rsid w:val="00E8228A"/>
    <w:rsid w:val="00E8626D"/>
    <w:rsid w:val="00E87E6C"/>
    <w:rsid w:val="00E95091"/>
    <w:rsid w:val="00E96A18"/>
    <w:rsid w:val="00E96AA4"/>
    <w:rsid w:val="00EA1200"/>
    <w:rsid w:val="00EA1831"/>
    <w:rsid w:val="00EA2204"/>
    <w:rsid w:val="00EA2746"/>
    <w:rsid w:val="00EA3251"/>
    <w:rsid w:val="00EB0C47"/>
    <w:rsid w:val="00EB0E80"/>
    <w:rsid w:val="00EB39FF"/>
    <w:rsid w:val="00EB52D8"/>
    <w:rsid w:val="00EB53E0"/>
    <w:rsid w:val="00EC3571"/>
    <w:rsid w:val="00EC4AC1"/>
    <w:rsid w:val="00EC6498"/>
    <w:rsid w:val="00EC72D9"/>
    <w:rsid w:val="00EC7FDA"/>
    <w:rsid w:val="00ED06E4"/>
    <w:rsid w:val="00ED0B80"/>
    <w:rsid w:val="00ED1DB0"/>
    <w:rsid w:val="00ED2445"/>
    <w:rsid w:val="00ED2995"/>
    <w:rsid w:val="00ED3996"/>
    <w:rsid w:val="00ED41E0"/>
    <w:rsid w:val="00ED582F"/>
    <w:rsid w:val="00ED6831"/>
    <w:rsid w:val="00EE07EE"/>
    <w:rsid w:val="00EE1242"/>
    <w:rsid w:val="00EE4129"/>
    <w:rsid w:val="00EE4228"/>
    <w:rsid w:val="00EE787E"/>
    <w:rsid w:val="00EF0C4D"/>
    <w:rsid w:val="00EF6EED"/>
    <w:rsid w:val="00F00BBD"/>
    <w:rsid w:val="00F01581"/>
    <w:rsid w:val="00F019AA"/>
    <w:rsid w:val="00F038B0"/>
    <w:rsid w:val="00F050A9"/>
    <w:rsid w:val="00F0610C"/>
    <w:rsid w:val="00F06432"/>
    <w:rsid w:val="00F06E9C"/>
    <w:rsid w:val="00F07776"/>
    <w:rsid w:val="00F105BF"/>
    <w:rsid w:val="00F13B96"/>
    <w:rsid w:val="00F16C2D"/>
    <w:rsid w:val="00F17E6F"/>
    <w:rsid w:val="00F17EC7"/>
    <w:rsid w:val="00F20633"/>
    <w:rsid w:val="00F21CE8"/>
    <w:rsid w:val="00F23F7C"/>
    <w:rsid w:val="00F24101"/>
    <w:rsid w:val="00F26132"/>
    <w:rsid w:val="00F26CFA"/>
    <w:rsid w:val="00F26D5F"/>
    <w:rsid w:val="00F31B96"/>
    <w:rsid w:val="00F31D06"/>
    <w:rsid w:val="00F32BD9"/>
    <w:rsid w:val="00F33008"/>
    <w:rsid w:val="00F33515"/>
    <w:rsid w:val="00F33DB4"/>
    <w:rsid w:val="00F34FEB"/>
    <w:rsid w:val="00F37828"/>
    <w:rsid w:val="00F475EC"/>
    <w:rsid w:val="00F47A3D"/>
    <w:rsid w:val="00F506FD"/>
    <w:rsid w:val="00F510F5"/>
    <w:rsid w:val="00F51B8C"/>
    <w:rsid w:val="00F52310"/>
    <w:rsid w:val="00F56935"/>
    <w:rsid w:val="00F637DB"/>
    <w:rsid w:val="00F64258"/>
    <w:rsid w:val="00F662E2"/>
    <w:rsid w:val="00F66A3C"/>
    <w:rsid w:val="00F70859"/>
    <w:rsid w:val="00F729E0"/>
    <w:rsid w:val="00F748B9"/>
    <w:rsid w:val="00F74A6D"/>
    <w:rsid w:val="00F769BB"/>
    <w:rsid w:val="00F80E00"/>
    <w:rsid w:val="00F814F3"/>
    <w:rsid w:val="00F8366E"/>
    <w:rsid w:val="00F839CF"/>
    <w:rsid w:val="00F83C66"/>
    <w:rsid w:val="00F83E5B"/>
    <w:rsid w:val="00F85530"/>
    <w:rsid w:val="00F91F03"/>
    <w:rsid w:val="00F9546E"/>
    <w:rsid w:val="00F971D6"/>
    <w:rsid w:val="00F973F0"/>
    <w:rsid w:val="00FA1E1F"/>
    <w:rsid w:val="00FA26A5"/>
    <w:rsid w:val="00FA4F10"/>
    <w:rsid w:val="00FB2CC5"/>
    <w:rsid w:val="00FB3029"/>
    <w:rsid w:val="00FB3E18"/>
    <w:rsid w:val="00FB45B1"/>
    <w:rsid w:val="00FB5163"/>
    <w:rsid w:val="00FC1688"/>
    <w:rsid w:val="00FC3859"/>
    <w:rsid w:val="00FC561A"/>
    <w:rsid w:val="00FD0BD8"/>
    <w:rsid w:val="00FD1B33"/>
    <w:rsid w:val="00FD2E25"/>
    <w:rsid w:val="00FD4C85"/>
    <w:rsid w:val="00FD681D"/>
    <w:rsid w:val="00FF0CF3"/>
    <w:rsid w:val="00FF114D"/>
    <w:rsid w:val="00FF321C"/>
    <w:rsid w:val="00FF3F1D"/>
    <w:rsid w:val="00FF4F15"/>
    <w:rsid w:val="00FF5EBB"/>
    <w:rsid w:val="00FF6962"/>
    <w:rsid w:val="00FF6A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894EDC"/>
    <w:pPr>
      <w:tabs>
        <w:tab w:val="left" w:pos="442"/>
        <w:tab w:val="right" w:leader="dot" w:pos="9628"/>
      </w:tabs>
      <w:spacing w:before="360" w:after="100"/>
    </w:pPr>
    <w:rPr>
      <w:rFonts w:ascii="Arial" w:hAnsi="Arial"/>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table" w:customStyle="1" w:styleId="LightList-Accent111">
    <w:name w:val="Light List - Accent 111"/>
    <w:basedOn w:val="TableNormal"/>
    <w:uiPriority w:val="61"/>
    <w:rsid w:val="00AB3A66"/>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locked/>
    <w:rsid w:val="00813EA6"/>
    <w:rPr>
      <w:i/>
      <w:iCs/>
    </w:rPr>
  </w:style>
</w:styles>
</file>

<file path=word/webSettings.xml><?xml version="1.0" encoding="utf-8"?>
<w:webSettings xmlns:r="http://schemas.openxmlformats.org/officeDocument/2006/relationships" xmlns:w="http://schemas.openxmlformats.org/wordprocessingml/2006/main">
  <w:divs>
    <w:div w:id="26570436">
      <w:bodyDiv w:val="1"/>
      <w:marLeft w:val="0"/>
      <w:marRight w:val="0"/>
      <w:marTop w:val="0"/>
      <w:marBottom w:val="0"/>
      <w:divBdr>
        <w:top w:val="none" w:sz="0" w:space="0" w:color="auto"/>
        <w:left w:val="none" w:sz="0" w:space="0" w:color="auto"/>
        <w:bottom w:val="none" w:sz="0" w:space="0" w:color="auto"/>
        <w:right w:val="none" w:sz="0" w:space="0" w:color="auto"/>
      </w:divBdr>
    </w:div>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45501326">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lii.edu.au/au/cases/cth/AATA/2012/517.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tc.gov.au/filemedia/Groups/PBSmapsportal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E937-2089-4401-A9B7-994FAA4C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8045</Words>
  <Characters>45434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53373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4</cp:revision>
  <cp:lastPrinted>2013-07-25T06:00:00Z</cp:lastPrinted>
  <dcterms:created xsi:type="dcterms:W3CDTF">2013-07-25T05:59:00Z</dcterms:created>
  <dcterms:modified xsi:type="dcterms:W3CDTF">2013-07-25T06:03:00Z</dcterms:modified>
</cp:coreProperties>
</file>