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CA6C07" w:rsidTr="000156D1">
        <w:trPr>
          <w:trHeight w:val="756"/>
        </w:trPr>
        <w:tc>
          <w:tcPr>
            <w:tcW w:w="2660" w:type="dxa"/>
            <w:vAlign w:val="center"/>
          </w:tcPr>
          <w:p w:rsidR="00D735FF" w:rsidRPr="00CA6C07" w:rsidRDefault="00D735FF" w:rsidP="001025C9">
            <w:pPr>
              <w:pStyle w:val="Header"/>
              <w:jc w:val="both"/>
              <w:rPr>
                <w:rFonts w:ascii="Arial" w:hAnsi="Arial" w:cs="Arial"/>
                <w:b/>
                <w:sz w:val="28"/>
                <w:szCs w:val="28"/>
              </w:rPr>
            </w:pPr>
            <w:r w:rsidRPr="00CA6C07">
              <w:rPr>
                <w:rFonts w:ascii="Arial" w:hAnsi="Arial" w:cs="Arial"/>
                <w:b/>
                <w:sz w:val="28"/>
                <w:szCs w:val="28"/>
              </w:rPr>
              <w:t>Submission to:</w:t>
            </w:r>
          </w:p>
        </w:tc>
        <w:tc>
          <w:tcPr>
            <w:tcW w:w="6379" w:type="dxa"/>
            <w:vAlign w:val="center"/>
          </w:tcPr>
          <w:p w:rsidR="00D735FF" w:rsidRPr="00CA6C07" w:rsidRDefault="00693D92" w:rsidP="003168CE">
            <w:pPr>
              <w:pStyle w:val="Header"/>
              <w:rPr>
                <w:rFonts w:ascii="Arial" w:hAnsi="Arial" w:cs="Arial"/>
                <w:sz w:val="28"/>
                <w:szCs w:val="28"/>
              </w:rPr>
            </w:pPr>
            <w:r w:rsidRPr="00CA6C07">
              <w:rPr>
                <w:rFonts w:ascii="Arial" w:hAnsi="Arial" w:cs="Arial"/>
                <w:sz w:val="28"/>
                <w:szCs w:val="28"/>
              </w:rPr>
              <w:t>N</w:t>
            </w:r>
            <w:r w:rsidR="004011BA" w:rsidRPr="00CA6C07">
              <w:rPr>
                <w:rFonts w:ascii="Arial" w:hAnsi="Arial" w:cs="Arial"/>
                <w:sz w:val="28"/>
                <w:szCs w:val="28"/>
              </w:rPr>
              <w:t xml:space="preserve">ational Transport </w:t>
            </w:r>
            <w:r w:rsidR="0062031D" w:rsidRPr="00CA6C07">
              <w:rPr>
                <w:rFonts w:ascii="Arial" w:hAnsi="Arial" w:cs="Arial"/>
                <w:sz w:val="28"/>
                <w:szCs w:val="28"/>
              </w:rPr>
              <w:t>Commission</w:t>
            </w:r>
          </w:p>
        </w:tc>
      </w:tr>
      <w:tr w:rsidR="00D735FF" w:rsidRPr="00CA6C07" w:rsidTr="000156D1">
        <w:trPr>
          <w:trHeight w:val="756"/>
        </w:trPr>
        <w:tc>
          <w:tcPr>
            <w:tcW w:w="2660" w:type="dxa"/>
            <w:vAlign w:val="center"/>
          </w:tcPr>
          <w:p w:rsidR="00D735FF" w:rsidRPr="00CA6C07" w:rsidRDefault="00D735FF" w:rsidP="001025C9">
            <w:pPr>
              <w:pStyle w:val="Header"/>
              <w:jc w:val="both"/>
              <w:rPr>
                <w:rFonts w:ascii="Arial" w:hAnsi="Arial" w:cs="Arial"/>
                <w:b/>
                <w:sz w:val="28"/>
                <w:szCs w:val="28"/>
              </w:rPr>
            </w:pPr>
            <w:r w:rsidRPr="00CA6C07">
              <w:rPr>
                <w:rFonts w:ascii="Arial" w:hAnsi="Arial" w:cs="Arial"/>
                <w:b/>
                <w:sz w:val="28"/>
                <w:szCs w:val="28"/>
              </w:rPr>
              <w:t>Title:</w:t>
            </w:r>
          </w:p>
        </w:tc>
        <w:tc>
          <w:tcPr>
            <w:tcW w:w="6379" w:type="dxa"/>
            <w:vAlign w:val="center"/>
          </w:tcPr>
          <w:p w:rsidR="00D735FF" w:rsidRPr="00CA6C07" w:rsidRDefault="0062031D" w:rsidP="001475F7">
            <w:pPr>
              <w:pStyle w:val="Header"/>
              <w:rPr>
                <w:rFonts w:ascii="Arial" w:hAnsi="Arial" w:cs="Arial"/>
                <w:sz w:val="28"/>
                <w:szCs w:val="28"/>
              </w:rPr>
            </w:pPr>
            <w:r w:rsidRPr="00CA6C07">
              <w:rPr>
                <w:rFonts w:ascii="Arial" w:hAnsi="Arial" w:cs="Arial"/>
                <w:sz w:val="28"/>
                <w:szCs w:val="28"/>
              </w:rPr>
              <w:t xml:space="preserve">Heavy Vehicle </w:t>
            </w:r>
            <w:r w:rsidR="001475F7">
              <w:rPr>
                <w:rFonts w:ascii="Arial" w:hAnsi="Arial" w:cs="Arial"/>
                <w:sz w:val="28"/>
                <w:szCs w:val="28"/>
              </w:rPr>
              <w:t>Charges Review: Discussion Paper</w:t>
            </w:r>
          </w:p>
        </w:tc>
      </w:tr>
      <w:tr w:rsidR="00D735FF" w:rsidRPr="00CA6C07" w:rsidTr="000156D1">
        <w:trPr>
          <w:trHeight w:val="756"/>
        </w:trPr>
        <w:tc>
          <w:tcPr>
            <w:tcW w:w="2660" w:type="dxa"/>
            <w:vAlign w:val="center"/>
          </w:tcPr>
          <w:p w:rsidR="00D735FF" w:rsidRPr="00CA6C07" w:rsidRDefault="00D735FF" w:rsidP="001025C9">
            <w:pPr>
              <w:pStyle w:val="Header"/>
              <w:jc w:val="both"/>
              <w:rPr>
                <w:rFonts w:ascii="Arial" w:hAnsi="Arial" w:cs="Arial"/>
                <w:b/>
                <w:sz w:val="28"/>
                <w:szCs w:val="28"/>
              </w:rPr>
            </w:pPr>
            <w:r w:rsidRPr="00CA6C07">
              <w:rPr>
                <w:rFonts w:ascii="Arial" w:hAnsi="Arial" w:cs="Arial"/>
                <w:b/>
                <w:sz w:val="28"/>
                <w:szCs w:val="28"/>
              </w:rPr>
              <w:t>Date:</w:t>
            </w:r>
          </w:p>
        </w:tc>
        <w:tc>
          <w:tcPr>
            <w:tcW w:w="6379" w:type="dxa"/>
            <w:vAlign w:val="center"/>
          </w:tcPr>
          <w:p w:rsidR="00D735FF" w:rsidRPr="00CA6C07" w:rsidRDefault="00905C0A" w:rsidP="00905C0A">
            <w:pPr>
              <w:pStyle w:val="Header"/>
              <w:rPr>
                <w:rFonts w:ascii="Arial" w:hAnsi="Arial" w:cs="Arial"/>
                <w:sz w:val="28"/>
                <w:szCs w:val="28"/>
              </w:rPr>
            </w:pPr>
            <w:r>
              <w:rPr>
                <w:rFonts w:ascii="Arial" w:hAnsi="Arial" w:cs="Arial"/>
                <w:sz w:val="28"/>
                <w:szCs w:val="28"/>
              </w:rPr>
              <w:t xml:space="preserve">11 </w:t>
            </w:r>
            <w:r w:rsidR="008A5590">
              <w:rPr>
                <w:rFonts w:ascii="Arial" w:hAnsi="Arial" w:cs="Arial"/>
                <w:sz w:val="28"/>
                <w:szCs w:val="28"/>
              </w:rPr>
              <w:t>April</w:t>
            </w:r>
            <w:r w:rsidR="00A463BE" w:rsidRPr="00CA6C07">
              <w:rPr>
                <w:rFonts w:ascii="Arial" w:hAnsi="Arial" w:cs="Arial"/>
                <w:sz w:val="28"/>
                <w:szCs w:val="28"/>
              </w:rPr>
              <w:t xml:space="preserve"> </w:t>
            </w:r>
            <w:r w:rsidR="00693D92" w:rsidRPr="00CA6C07">
              <w:rPr>
                <w:rFonts w:ascii="Arial" w:hAnsi="Arial" w:cs="Arial"/>
                <w:sz w:val="28"/>
                <w:szCs w:val="28"/>
              </w:rPr>
              <w:t>2013</w:t>
            </w:r>
            <w:r w:rsidR="00F26CFA" w:rsidRPr="00CA6C07">
              <w:rPr>
                <w:rFonts w:ascii="Arial" w:hAnsi="Arial" w:cs="Arial"/>
                <w:sz w:val="28"/>
                <w:szCs w:val="28"/>
              </w:rPr>
              <w:t xml:space="preserve"> </w:t>
            </w:r>
          </w:p>
        </w:tc>
      </w:tr>
    </w:tbl>
    <w:p w:rsidR="00D735FF" w:rsidRPr="00CA6C07" w:rsidRDefault="00D735FF" w:rsidP="001025C9">
      <w:pPr>
        <w:pStyle w:val="Header"/>
        <w:jc w:val="both"/>
        <w:rPr>
          <w:rFonts w:ascii="Arial" w:hAnsi="Arial" w:cs="Arial"/>
          <w:sz w:val="20"/>
          <w:szCs w:val="20"/>
        </w:rPr>
      </w:pPr>
    </w:p>
    <w:p w:rsidR="00D735FF" w:rsidRPr="00CA6C07" w:rsidRDefault="00D735FF" w:rsidP="001025C9">
      <w:pPr>
        <w:pStyle w:val="Header"/>
        <w:jc w:val="both"/>
        <w:rPr>
          <w:rFonts w:ascii="Arial" w:hAnsi="Arial" w:cs="Arial"/>
          <w:sz w:val="20"/>
          <w:szCs w:val="20"/>
        </w:rPr>
      </w:pPr>
    </w:p>
    <w:p w:rsidR="00576ED0" w:rsidRPr="00CA6C07" w:rsidRDefault="00576ED0" w:rsidP="001025C9">
      <w:pPr>
        <w:pStyle w:val="Header"/>
        <w:jc w:val="both"/>
        <w:rPr>
          <w:rFonts w:ascii="Arial" w:hAnsi="Arial" w:cs="Arial"/>
          <w:sz w:val="20"/>
          <w:szCs w:val="20"/>
        </w:rPr>
      </w:pPr>
    </w:p>
    <w:p w:rsidR="00576ED0" w:rsidRPr="00CA6C07" w:rsidRDefault="00576ED0" w:rsidP="001025C9">
      <w:pPr>
        <w:jc w:val="both"/>
        <w:rPr>
          <w:rFonts w:ascii="Arial" w:hAnsi="Arial" w:cs="Arial"/>
          <w:sz w:val="20"/>
          <w:szCs w:val="20"/>
          <w:lang w:val="en-GB"/>
        </w:rPr>
        <w:sectPr w:rsidR="00576ED0" w:rsidRPr="00CA6C07"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CA6C07" w:rsidRDefault="00576ED0" w:rsidP="001025C9">
      <w:pPr>
        <w:jc w:val="both"/>
        <w:rPr>
          <w:rFonts w:ascii="Arial" w:hAnsi="Arial" w:cs="Arial"/>
          <w:sz w:val="20"/>
          <w:szCs w:val="20"/>
        </w:rPr>
      </w:pPr>
    </w:p>
    <w:p w:rsidR="0035493A" w:rsidRPr="00CA6C07" w:rsidRDefault="0035493A" w:rsidP="001025C9">
      <w:pPr>
        <w:jc w:val="both"/>
        <w:rPr>
          <w:rFonts w:ascii="Arial" w:hAnsi="Arial" w:cs="Arial"/>
          <w:sz w:val="20"/>
          <w:szCs w:val="20"/>
        </w:rPr>
      </w:pPr>
    </w:p>
    <w:p w:rsidR="0035493A" w:rsidRPr="00CA6C07" w:rsidRDefault="0035493A" w:rsidP="001025C9">
      <w:pPr>
        <w:jc w:val="both"/>
        <w:rPr>
          <w:rFonts w:ascii="Arial" w:hAnsi="Arial" w:cs="Arial"/>
          <w:sz w:val="20"/>
          <w:szCs w:val="20"/>
        </w:rPr>
      </w:pPr>
    </w:p>
    <w:p w:rsidR="0035493A" w:rsidRPr="00CA6C07" w:rsidRDefault="0035493A" w:rsidP="001025C9">
      <w:pPr>
        <w:jc w:val="both"/>
        <w:rPr>
          <w:rFonts w:ascii="Arial" w:hAnsi="Arial" w:cs="Arial"/>
          <w:sz w:val="20"/>
          <w:szCs w:val="20"/>
        </w:rPr>
      </w:pPr>
    </w:p>
    <w:p w:rsidR="0035493A" w:rsidRPr="00CA6C07" w:rsidRDefault="0035493A" w:rsidP="001025C9">
      <w:pPr>
        <w:jc w:val="both"/>
        <w:rPr>
          <w:rFonts w:ascii="Arial" w:hAnsi="Arial" w:cs="Arial"/>
          <w:sz w:val="20"/>
          <w:szCs w:val="20"/>
        </w:rPr>
      </w:pPr>
    </w:p>
    <w:p w:rsidR="0035493A" w:rsidRPr="00CA6C07" w:rsidRDefault="003B74E4" w:rsidP="001025C9">
      <w:pPr>
        <w:jc w:val="both"/>
        <w:rPr>
          <w:rFonts w:ascii="Arial" w:hAnsi="Arial" w:cs="Arial"/>
          <w:b/>
          <w:color w:val="000064"/>
          <w:sz w:val="28"/>
          <w:szCs w:val="28"/>
        </w:rPr>
      </w:pPr>
      <w:r w:rsidRPr="00CA6C07">
        <w:rPr>
          <w:rFonts w:ascii="Arial" w:hAnsi="Arial" w:cs="Arial"/>
          <w:b/>
          <w:color w:val="000064"/>
          <w:sz w:val="28"/>
          <w:szCs w:val="28"/>
        </w:rPr>
        <w:t>Contents</w:t>
      </w:r>
    </w:p>
    <w:p w:rsidR="00576ED0" w:rsidRPr="00CA6C07" w:rsidRDefault="00576ED0" w:rsidP="001025C9">
      <w:pPr>
        <w:jc w:val="both"/>
        <w:rPr>
          <w:rFonts w:ascii="Arial" w:hAnsi="Arial" w:cs="Arial"/>
          <w:sz w:val="20"/>
          <w:szCs w:val="20"/>
        </w:rPr>
      </w:pPr>
    </w:p>
    <w:p w:rsidR="009B0520" w:rsidRPr="00CA6C07" w:rsidRDefault="009B0520" w:rsidP="001025C9">
      <w:pPr>
        <w:jc w:val="both"/>
        <w:rPr>
          <w:rFonts w:ascii="Arial" w:hAnsi="Arial" w:cs="Arial"/>
          <w:b/>
          <w:sz w:val="20"/>
          <w:szCs w:val="20"/>
        </w:rPr>
      </w:pPr>
    </w:p>
    <w:p w:rsidR="0082056F" w:rsidRDefault="00FF3F1D">
      <w:pPr>
        <w:pStyle w:val="TOC1"/>
        <w:rPr>
          <w:rFonts w:asciiTheme="minorHAnsi" w:eastAsiaTheme="minorEastAsia" w:hAnsiTheme="minorHAnsi" w:cstheme="minorBidi"/>
          <w:b w:val="0"/>
          <w:color w:val="auto"/>
          <w:sz w:val="22"/>
          <w:szCs w:val="22"/>
          <w:lang w:eastAsia="en-AU"/>
        </w:rPr>
      </w:pPr>
      <w:r w:rsidRPr="00FF3F1D">
        <w:rPr>
          <w:rFonts w:cs="Arial"/>
        </w:rPr>
        <w:fldChar w:fldCharType="begin"/>
      </w:r>
      <w:r w:rsidR="0035493A" w:rsidRPr="00CA6C07">
        <w:rPr>
          <w:rFonts w:cs="Arial"/>
        </w:rPr>
        <w:instrText xml:space="preserve"> TOC \o "1-2" \t "ATA Heading 2,2" </w:instrText>
      </w:r>
      <w:r w:rsidRPr="00FF3F1D">
        <w:rPr>
          <w:rFonts w:cs="Arial"/>
        </w:rPr>
        <w:fldChar w:fldCharType="separate"/>
      </w:r>
      <w:r w:rsidR="0082056F" w:rsidRPr="000B7820">
        <w:t>1.</w:t>
      </w:r>
      <w:r w:rsidR="0082056F">
        <w:rPr>
          <w:rFonts w:asciiTheme="minorHAnsi" w:eastAsiaTheme="minorEastAsia" w:hAnsiTheme="minorHAnsi" w:cstheme="minorBidi"/>
          <w:b w:val="0"/>
          <w:color w:val="auto"/>
          <w:sz w:val="22"/>
          <w:szCs w:val="22"/>
          <w:lang w:eastAsia="en-AU"/>
        </w:rPr>
        <w:tab/>
      </w:r>
      <w:r w:rsidR="0082056F">
        <w:t>Introduction</w:t>
      </w:r>
      <w:r w:rsidR="0082056F">
        <w:tab/>
      </w:r>
      <w:r>
        <w:fldChar w:fldCharType="begin"/>
      </w:r>
      <w:r w:rsidR="0082056F">
        <w:instrText xml:space="preserve"> PAGEREF _Toc353434675 \h </w:instrText>
      </w:r>
      <w:r>
        <w:fldChar w:fldCharType="separate"/>
      </w:r>
      <w:r w:rsidR="0082056F">
        <w:t>3</w:t>
      </w:r>
      <w:r>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rsidRPr="000B7820">
        <w:t>2.</w:t>
      </w:r>
      <w:r>
        <w:rPr>
          <w:rFonts w:asciiTheme="minorHAnsi" w:eastAsiaTheme="minorEastAsia" w:hAnsiTheme="minorHAnsi" w:cstheme="minorBidi"/>
          <w:b w:val="0"/>
          <w:color w:val="auto"/>
          <w:sz w:val="22"/>
          <w:szCs w:val="22"/>
          <w:lang w:eastAsia="en-AU"/>
        </w:rPr>
        <w:tab/>
      </w:r>
      <w:r>
        <w:t>Australian Trucking Association</w:t>
      </w:r>
      <w:r>
        <w:tab/>
      </w:r>
      <w:r w:rsidR="00FF3F1D">
        <w:fldChar w:fldCharType="begin"/>
      </w:r>
      <w:r>
        <w:instrText xml:space="preserve"> PAGEREF _Toc353434676 \h </w:instrText>
      </w:r>
      <w:r w:rsidR="00FF3F1D">
        <w:fldChar w:fldCharType="separate"/>
      </w:r>
      <w:r>
        <w:t>3</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rsidRPr="000B7820">
        <w:t>3.</w:t>
      </w:r>
      <w:r>
        <w:rPr>
          <w:rFonts w:asciiTheme="minorHAnsi" w:eastAsiaTheme="minorEastAsia" w:hAnsiTheme="minorHAnsi" w:cstheme="minorBidi"/>
          <w:b w:val="0"/>
          <w:color w:val="auto"/>
          <w:sz w:val="22"/>
          <w:szCs w:val="22"/>
          <w:lang w:eastAsia="en-AU"/>
        </w:rPr>
        <w:tab/>
      </w:r>
      <w:r>
        <w:t>Recommendations</w:t>
      </w:r>
      <w:r>
        <w:tab/>
      </w:r>
      <w:r w:rsidR="00FF3F1D">
        <w:fldChar w:fldCharType="begin"/>
      </w:r>
      <w:r>
        <w:instrText xml:space="preserve"> PAGEREF _Toc353434677 \h </w:instrText>
      </w:r>
      <w:r w:rsidR="00FF3F1D">
        <w:fldChar w:fldCharType="separate"/>
      </w:r>
      <w:r>
        <w:t>3</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rsidRPr="000B7820">
        <w:t>4.</w:t>
      </w:r>
      <w:r>
        <w:rPr>
          <w:rFonts w:asciiTheme="minorHAnsi" w:eastAsiaTheme="minorEastAsia" w:hAnsiTheme="minorHAnsi" w:cstheme="minorBidi"/>
          <w:b w:val="0"/>
          <w:color w:val="auto"/>
          <w:sz w:val="22"/>
          <w:szCs w:val="22"/>
          <w:lang w:eastAsia="en-AU"/>
        </w:rPr>
        <w:tab/>
      </w:r>
      <w:r>
        <w:t>Industry issues and NTC response</w:t>
      </w:r>
      <w:r>
        <w:tab/>
      </w:r>
      <w:r w:rsidR="00FF3F1D">
        <w:fldChar w:fldCharType="begin"/>
      </w:r>
      <w:r>
        <w:instrText xml:space="preserve"> PAGEREF _Toc353434678 \h </w:instrText>
      </w:r>
      <w:r w:rsidR="00FF3F1D">
        <w:fldChar w:fldCharType="separate"/>
      </w:r>
      <w:r>
        <w:t>6</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4.1</w:t>
      </w:r>
      <w:r>
        <w:rPr>
          <w:rFonts w:asciiTheme="minorHAnsi" w:eastAsiaTheme="minorEastAsia" w:hAnsiTheme="minorHAnsi" w:cstheme="minorBidi"/>
          <w:b w:val="0"/>
          <w:color w:val="auto"/>
          <w:sz w:val="22"/>
          <w:szCs w:val="22"/>
          <w:lang w:eastAsia="en-AU"/>
        </w:rPr>
        <w:tab/>
      </w:r>
      <w:r>
        <w:t>The performance of PayGo – over and under recovery</w:t>
      </w:r>
      <w:r>
        <w:tab/>
      </w:r>
      <w:r w:rsidR="00FF3F1D">
        <w:fldChar w:fldCharType="begin"/>
      </w:r>
      <w:r>
        <w:instrText xml:space="preserve"> PAGEREF _Toc353434679 \h </w:instrText>
      </w:r>
      <w:r w:rsidR="00FF3F1D">
        <w:fldChar w:fldCharType="separate"/>
      </w:r>
      <w:r>
        <w:t>6</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4.2</w:t>
      </w:r>
      <w:r>
        <w:rPr>
          <w:rFonts w:asciiTheme="minorHAnsi" w:eastAsiaTheme="minorEastAsia" w:hAnsiTheme="minorHAnsi" w:cstheme="minorBidi"/>
          <w:b w:val="0"/>
          <w:color w:val="auto"/>
          <w:sz w:val="22"/>
          <w:szCs w:val="22"/>
          <w:lang w:eastAsia="en-AU"/>
        </w:rPr>
        <w:tab/>
      </w:r>
      <w:r>
        <w:t>Pricing principles</w:t>
      </w:r>
      <w:r>
        <w:tab/>
      </w:r>
      <w:r w:rsidR="00FF3F1D">
        <w:fldChar w:fldCharType="begin"/>
      </w:r>
      <w:r>
        <w:instrText xml:space="preserve"> PAGEREF _Toc353434680 \h </w:instrText>
      </w:r>
      <w:r w:rsidR="00FF3F1D">
        <w:fldChar w:fldCharType="separate"/>
      </w:r>
      <w:r>
        <w:t>7</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4.3</w:t>
      </w:r>
      <w:r>
        <w:rPr>
          <w:rFonts w:asciiTheme="minorHAnsi" w:eastAsiaTheme="minorEastAsia" w:hAnsiTheme="minorHAnsi" w:cstheme="minorBidi"/>
          <w:b w:val="0"/>
          <w:color w:val="auto"/>
          <w:sz w:val="22"/>
          <w:szCs w:val="22"/>
          <w:lang w:eastAsia="en-AU"/>
        </w:rPr>
        <w:tab/>
      </w:r>
      <w:r>
        <w:t>Calculating the cost base</w:t>
      </w:r>
      <w:r>
        <w:tab/>
      </w:r>
      <w:r w:rsidR="00FF3F1D">
        <w:fldChar w:fldCharType="begin"/>
      </w:r>
      <w:r>
        <w:instrText xml:space="preserve"> PAGEREF _Toc353434681 \h </w:instrText>
      </w:r>
      <w:r w:rsidR="00FF3F1D">
        <w:fldChar w:fldCharType="separate"/>
      </w:r>
      <w:r>
        <w:t>8</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4.4</w:t>
      </w:r>
      <w:r>
        <w:rPr>
          <w:rFonts w:asciiTheme="minorHAnsi" w:eastAsiaTheme="minorEastAsia" w:hAnsiTheme="minorHAnsi" w:cstheme="minorBidi"/>
          <w:b w:val="0"/>
          <w:color w:val="auto"/>
          <w:sz w:val="22"/>
          <w:szCs w:val="22"/>
          <w:lang w:eastAsia="en-AU"/>
        </w:rPr>
        <w:tab/>
      </w:r>
      <w:r>
        <w:t>Cost allocation matrix</w:t>
      </w:r>
      <w:r>
        <w:tab/>
      </w:r>
      <w:r w:rsidR="00FF3F1D">
        <w:fldChar w:fldCharType="begin"/>
      </w:r>
      <w:r>
        <w:instrText xml:space="preserve"> PAGEREF _Toc353434682 \h </w:instrText>
      </w:r>
      <w:r w:rsidR="00FF3F1D">
        <w:fldChar w:fldCharType="separate"/>
      </w:r>
      <w:r>
        <w:t>8</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4.5</w:t>
      </w:r>
      <w:r>
        <w:rPr>
          <w:rFonts w:asciiTheme="minorHAnsi" w:eastAsiaTheme="minorEastAsia" w:hAnsiTheme="minorHAnsi" w:cstheme="minorBidi"/>
          <w:b w:val="0"/>
          <w:color w:val="auto"/>
          <w:sz w:val="22"/>
          <w:szCs w:val="22"/>
          <w:lang w:eastAsia="en-AU"/>
        </w:rPr>
        <w:tab/>
      </w:r>
      <w:r>
        <w:t>Usage data set</w:t>
      </w:r>
      <w:r>
        <w:tab/>
      </w:r>
      <w:r w:rsidR="00FF3F1D">
        <w:fldChar w:fldCharType="begin"/>
      </w:r>
      <w:r>
        <w:instrText xml:space="preserve"> PAGEREF _Toc353434683 \h </w:instrText>
      </w:r>
      <w:r w:rsidR="00FF3F1D">
        <w:fldChar w:fldCharType="separate"/>
      </w:r>
      <w:r>
        <w:t>8</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4.6</w:t>
      </w:r>
      <w:r>
        <w:rPr>
          <w:rFonts w:asciiTheme="minorHAnsi" w:eastAsiaTheme="minorEastAsia" w:hAnsiTheme="minorHAnsi" w:cstheme="minorBidi"/>
          <w:b w:val="0"/>
          <w:color w:val="auto"/>
          <w:sz w:val="22"/>
          <w:szCs w:val="22"/>
          <w:lang w:eastAsia="en-AU"/>
        </w:rPr>
        <w:tab/>
      </w:r>
      <w:r>
        <w:t>Expenditure template and expenditure accountability</w:t>
      </w:r>
      <w:r>
        <w:tab/>
      </w:r>
      <w:r w:rsidR="00FF3F1D">
        <w:fldChar w:fldCharType="begin"/>
      </w:r>
      <w:r>
        <w:instrText xml:space="preserve"> PAGEREF _Toc353434684 \h </w:instrText>
      </w:r>
      <w:r w:rsidR="00FF3F1D">
        <w:fldChar w:fldCharType="separate"/>
      </w:r>
      <w:r>
        <w:t>9</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4.7</w:t>
      </w:r>
      <w:r>
        <w:rPr>
          <w:rFonts w:asciiTheme="minorHAnsi" w:eastAsiaTheme="minorEastAsia" w:hAnsiTheme="minorHAnsi" w:cstheme="minorBidi"/>
          <w:b w:val="0"/>
          <w:color w:val="auto"/>
          <w:sz w:val="22"/>
          <w:szCs w:val="22"/>
          <w:lang w:eastAsia="en-AU"/>
        </w:rPr>
        <w:tab/>
      </w:r>
      <w:r>
        <w:t>Structure of charges</w:t>
      </w:r>
      <w:r>
        <w:tab/>
      </w:r>
      <w:r w:rsidR="00FF3F1D">
        <w:fldChar w:fldCharType="begin"/>
      </w:r>
      <w:r>
        <w:instrText xml:space="preserve"> PAGEREF _Toc353434685 \h </w:instrText>
      </w:r>
      <w:r w:rsidR="00FF3F1D">
        <w:fldChar w:fldCharType="separate"/>
      </w:r>
      <w:r>
        <w:t>10</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4.8</w:t>
      </w:r>
      <w:r>
        <w:rPr>
          <w:rFonts w:asciiTheme="minorHAnsi" w:eastAsiaTheme="minorEastAsia" w:hAnsiTheme="minorHAnsi" w:cstheme="minorBidi"/>
          <w:b w:val="0"/>
          <w:color w:val="auto"/>
          <w:sz w:val="22"/>
          <w:szCs w:val="22"/>
          <w:lang w:eastAsia="en-AU"/>
        </w:rPr>
        <w:tab/>
      </w:r>
      <w:r>
        <w:t>Estimating relative levels of pavement wear</w:t>
      </w:r>
      <w:r>
        <w:tab/>
      </w:r>
      <w:r w:rsidR="00FF3F1D">
        <w:fldChar w:fldCharType="begin"/>
      </w:r>
      <w:r>
        <w:instrText xml:space="preserve"> PAGEREF _Toc353434686 \h </w:instrText>
      </w:r>
      <w:r w:rsidR="00FF3F1D">
        <w:fldChar w:fldCharType="separate"/>
      </w:r>
      <w:r>
        <w:t>11</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4.9</w:t>
      </w:r>
      <w:r>
        <w:rPr>
          <w:rFonts w:asciiTheme="minorHAnsi" w:eastAsiaTheme="minorEastAsia" w:hAnsiTheme="minorHAnsi" w:cstheme="minorBidi"/>
          <w:b w:val="0"/>
          <w:color w:val="auto"/>
          <w:sz w:val="22"/>
          <w:szCs w:val="22"/>
          <w:lang w:eastAsia="en-AU"/>
        </w:rPr>
        <w:tab/>
      </w:r>
      <w:r>
        <w:t>Annual Adjustment</w:t>
      </w:r>
      <w:r>
        <w:tab/>
      </w:r>
      <w:r w:rsidR="00FF3F1D">
        <w:fldChar w:fldCharType="begin"/>
      </w:r>
      <w:r>
        <w:instrText xml:space="preserve"> PAGEREF _Toc353434687 \h </w:instrText>
      </w:r>
      <w:r w:rsidR="00FF3F1D">
        <w:fldChar w:fldCharType="separate"/>
      </w:r>
      <w:r>
        <w:t>11</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4.10</w:t>
      </w:r>
      <w:r>
        <w:rPr>
          <w:rFonts w:asciiTheme="minorHAnsi" w:eastAsiaTheme="minorEastAsia" w:hAnsiTheme="minorHAnsi" w:cstheme="minorBidi"/>
          <w:b w:val="0"/>
          <w:color w:val="auto"/>
          <w:sz w:val="22"/>
          <w:szCs w:val="22"/>
          <w:lang w:eastAsia="en-AU"/>
        </w:rPr>
        <w:tab/>
      </w:r>
      <w:r>
        <w:t>Common (non attributable) cost allocation</w:t>
      </w:r>
      <w:r>
        <w:tab/>
      </w:r>
      <w:r w:rsidR="00FF3F1D">
        <w:fldChar w:fldCharType="begin"/>
      </w:r>
      <w:r>
        <w:instrText xml:space="preserve"> PAGEREF _Toc353434688 \h </w:instrText>
      </w:r>
      <w:r w:rsidR="00FF3F1D">
        <w:fldChar w:fldCharType="separate"/>
      </w:r>
      <w:r>
        <w:t>12</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4.11</w:t>
      </w:r>
      <w:r>
        <w:rPr>
          <w:rFonts w:asciiTheme="minorHAnsi" w:eastAsiaTheme="minorEastAsia" w:hAnsiTheme="minorHAnsi" w:cstheme="minorBidi"/>
          <w:b w:val="0"/>
          <w:color w:val="auto"/>
          <w:sz w:val="22"/>
          <w:szCs w:val="22"/>
          <w:lang w:eastAsia="en-AU"/>
        </w:rPr>
        <w:tab/>
      </w:r>
      <w:r>
        <w:t>Rebate/Concessions/National Charges</w:t>
      </w:r>
      <w:r>
        <w:tab/>
      </w:r>
      <w:r w:rsidR="00FF3F1D">
        <w:fldChar w:fldCharType="begin"/>
      </w:r>
      <w:r>
        <w:instrText xml:space="preserve"> PAGEREF _Toc353434689 \h </w:instrText>
      </w:r>
      <w:r w:rsidR="00FF3F1D">
        <w:fldChar w:fldCharType="separate"/>
      </w:r>
      <w:r>
        <w:t>12</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4.12</w:t>
      </w:r>
      <w:r>
        <w:rPr>
          <w:rFonts w:asciiTheme="minorHAnsi" w:eastAsiaTheme="minorEastAsia" w:hAnsiTheme="minorHAnsi" w:cstheme="minorBidi"/>
          <w:b w:val="0"/>
          <w:color w:val="auto"/>
          <w:sz w:val="22"/>
          <w:szCs w:val="22"/>
          <w:lang w:eastAsia="en-AU"/>
        </w:rPr>
        <w:tab/>
      </w:r>
      <w:r>
        <w:t>NHVR funding</w:t>
      </w:r>
      <w:r>
        <w:tab/>
      </w:r>
      <w:r w:rsidR="00FF3F1D">
        <w:fldChar w:fldCharType="begin"/>
      </w:r>
      <w:r>
        <w:instrText xml:space="preserve"> PAGEREF _Toc353434690 \h </w:instrText>
      </w:r>
      <w:r w:rsidR="00FF3F1D">
        <w:fldChar w:fldCharType="separate"/>
      </w:r>
      <w:r>
        <w:t>13</w:t>
      </w:r>
      <w:r w:rsidR="00FF3F1D">
        <w:fldChar w:fldCharType="end"/>
      </w:r>
    </w:p>
    <w:p w:rsidR="0082056F" w:rsidRDefault="0082056F">
      <w:pPr>
        <w:pStyle w:val="TOC1"/>
        <w:rPr>
          <w:rFonts w:asciiTheme="minorHAnsi" w:eastAsiaTheme="minorEastAsia" w:hAnsiTheme="minorHAnsi" w:cstheme="minorBidi"/>
          <w:b w:val="0"/>
          <w:color w:val="auto"/>
          <w:sz w:val="22"/>
          <w:szCs w:val="22"/>
          <w:lang w:eastAsia="en-AU"/>
        </w:rPr>
      </w:pPr>
      <w:r>
        <w:t>Appendix A: Commonwealth revenue calculation for PayGo model versus December 2011 registration figures, using 2013-14 RUC</w:t>
      </w:r>
      <w:r>
        <w:tab/>
      </w:r>
      <w:r w:rsidR="00FF3F1D">
        <w:fldChar w:fldCharType="begin"/>
      </w:r>
      <w:r>
        <w:instrText xml:space="preserve"> PAGEREF _Toc353434691 \h </w:instrText>
      </w:r>
      <w:r w:rsidR="00FF3F1D">
        <w:fldChar w:fldCharType="separate"/>
      </w:r>
      <w:r>
        <w:t>14</w:t>
      </w:r>
      <w:r w:rsidR="00FF3F1D">
        <w:fldChar w:fldCharType="end"/>
      </w:r>
    </w:p>
    <w:p w:rsidR="00241C15" w:rsidRPr="00CA6C07" w:rsidRDefault="00FF3F1D" w:rsidP="001025C9">
      <w:pPr>
        <w:tabs>
          <w:tab w:val="right" w:leader="dot" w:pos="9645"/>
        </w:tabs>
        <w:jc w:val="both"/>
        <w:rPr>
          <w:rFonts w:ascii="Arial" w:hAnsi="Arial" w:cs="Arial"/>
          <w:b/>
          <w:sz w:val="20"/>
          <w:szCs w:val="20"/>
        </w:rPr>
      </w:pPr>
      <w:r w:rsidRPr="00CA6C07">
        <w:rPr>
          <w:rFonts w:ascii="Arial" w:hAnsi="Arial" w:cs="Arial"/>
          <w:b/>
          <w:sz w:val="20"/>
          <w:szCs w:val="20"/>
        </w:rPr>
        <w:fldChar w:fldCharType="end"/>
      </w:r>
    </w:p>
    <w:p w:rsidR="00576ED0" w:rsidRPr="00CA6C07" w:rsidRDefault="00576ED0" w:rsidP="001025C9">
      <w:pPr>
        <w:jc w:val="both"/>
        <w:rPr>
          <w:rFonts w:ascii="Arial" w:hAnsi="Arial" w:cs="Arial"/>
          <w:b/>
          <w:sz w:val="20"/>
          <w:szCs w:val="20"/>
        </w:rPr>
      </w:pPr>
      <w:r w:rsidRPr="00CA6C07">
        <w:rPr>
          <w:rFonts w:ascii="Arial" w:hAnsi="Arial" w:cs="Arial"/>
          <w:b/>
          <w:sz w:val="20"/>
          <w:szCs w:val="20"/>
        </w:rPr>
        <w:br w:type="page"/>
      </w:r>
    </w:p>
    <w:p w:rsidR="00576ED0" w:rsidRPr="00CA6C07" w:rsidRDefault="00576ED0" w:rsidP="001025C9">
      <w:pPr>
        <w:pStyle w:val="Heading1"/>
        <w:jc w:val="both"/>
      </w:pPr>
      <w:bookmarkStart w:id="0" w:name="_Toc353434675"/>
      <w:r w:rsidRPr="00CA6C07">
        <w:lastRenderedPageBreak/>
        <w:t>Introduction</w:t>
      </w:r>
      <w:bookmarkEnd w:id="0"/>
    </w:p>
    <w:p w:rsidR="00D17563" w:rsidRPr="00CA6C07" w:rsidRDefault="00D17563" w:rsidP="001025C9">
      <w:pPr>
        <w:jc w:val="both"/>
        <w:rPr>
          <w:rFonts w:ascii="Arial" w:hAnsi="Arial" w:cs="Arial"/>
          <w:sz w:val="20"/>
          <w:szCs w:val="20"/>
        </w:rPr>
      </w:pPr>
    </w:p>
    <w:p w:rsidR="006663BD" w:rsidRPr="00CA6C07" w:rsidRDefault="006663BD" w:rsidP="006663B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National Transport Commission (NTC) review of heavy vehicle charges process has been a constructive experience for industry and the NTC. </w:t>
      </w:r>
    </w:p>
    <w:p w:rsidR="006663BD" w:rsidRPr="00CA6C07" w:rsidRDefault="006663BD" w:rsidP="006663B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paper accurately reflects the issues industry raised with the NTC in this review. The recommendations the NTC have proposed to investigate further in a </w:t>
      </w:r>
      <w:proofErr w:type="spellStart"/>
      <w:r w:rsidRPr="00CA6C07">
        <w:rPr>
          <w:rFonts w:ascii="Arial" w:hAnsi="Arial" w:cs="Arial"/>
          <w:sz w:val="20"/>
          <w:szCs w:val="20"/>
          <w:highlight w:val="white"/>
          <w:lang w:eastAsia="en-AU"/>
        </w:rPr>
        <w:t>RIS</w:t>
      </w:r>
      <w:proofErr w:type="spellEnd"/>
      <w:r w:rsidRPr="00CA6C07">
        <w:rPr>
          <w:rFonts w:ascii="Arial" w:hAnsi="Arial" w:cs="Arial"/>
          <w:sz w:val="20"/>
          <w:szCs w:val="20"/>
          <w:highlight w:val="white"/>
          <w:lang w:eastAsia="en-AU"/>
        </w:rPr>
        <w:t xml:space="preserve">, after the Standing Council on Transport and Infrastructure’s (SCOTI) approval, are the result of the transparent and respectful consultation with all stakeholders. </w:t>
      </w:r>
    </w:p>
    <w:p w:rsidR="006663BD" w:rsidRPr="00CA6C07" w:rsidRDefault="006663BD" w:rsidP="006663B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proposed options, such as increasing the variable fuel component, </w:t>
      </w:r>
      <w:r w:rsidR="00281EFE">
        <w:rPr>
          <w:rFonts w:ascii="Arial" w:hAnsi="Arial" w:cs="Arial"/>
          <w:sz w:val="20"/>
          <w:szCs w:val="20"/>
          <w:highlight w:val="white"/>
          <w:lang w:eastAsia="en-AU"/>
        </w:rPr>
        <w:t>are consistent with the ATA’s approach and the findings of the forthcoming PwC report into road supply and charging. This would</w:t>
      </w:r>
      <w:r w:rsidRPr="00CA6C07">
        <w:rPr>
          <w:rFonts w:ascii="Arial" w:hAnsi="Arial" w:cs="Arial"/>
          <w:sz w:val="20"/>
          <w:szCs w:val="20"/>
          <w:highlight w:val="white"/>
          <w:lang w:eastAsia="en-AU"/>
        </w:rPr>
        <w:t xml:space="preserve"> improve the PayGo model by reflecting use of infrastructure, easing cash flow constraints and making operating costs easier to pass onto clients. </w:t>
      </w:r>
    </w:p>
    <w:p w:rsidR="006663BD" w:rsidRPr="00CA6C07" w:rsidRDefault="006663BD" w:rsidP="006663B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Simplifying the charges schedule for industry by treating trailers consistently as one class supports the modular use of different trailers and operator desire to use high productivity vehicle combinations, which are relatively safer than traditional combinations. </w:t>
      </w:r>
    </w:p>
    <w:p w:rsidR="006663BD" w:rsidRPr="00CA6C07" w:rsidRDefault="006663BD" w:rsidP="006663B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Axle group charging for trailers would improve the PayGo model by recognising that sharing loads over greater axles reduces pavement wear.</w:t>
      </w:r>
    </w:p>
    <w:p w:rsidR="006663BD" w:rsidRPr="00CA6C07" w:rsidRDefault="006663BD" w:rsidP="006663B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The refinement of the model data and methodology will increase the accuracy of the PayGo model and should extend the life of PayGo into the future of heavy vehicle charges. Specific areas of improvement are ESA updates, population checks against real registrations and the re-examination of the annual adjustment.</w:t>
      </w:r>
    </w:p>
    <w:p w:rsidR="006663BD" w:rsidRPr="00CA6C07" w:rsidRDefault="006663BD" w:rsidP="006663B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In moving forward with this determination it is imperative that the impact of any suggested options on industry are evaluated adequately.</w:t>
      </w:r>
    </w:p>
    <w:p w:rsidR="00281EFE" w:rsidRDefault="006663BD" w:rsidP="00281EFE">
      <w:pPr>
        <w:jc w:val="both"/>
        <w:rPr>
          <w:rFonts w:ascii="Arial" w:hAnsi="Arial" w:cs="Arial"/>
          <w:sz w:val="20"/>
          <w:szCs w:val="20"/>
          <w:lang w:eastAsia="en-AU"/>
        </w:rPr>
      </w:pPr>
      <w:r w:rsidRPr="00CA6C07">
        <w:rPr>
          <w:rFonts w:ascii="Arial" w:hAnsi="Arial" w:cs="Arial"/>
          <w:sz w:val="20"/>
          <w:szCs w:val="20"/>
          <w:highlight w:val="white"/>
          <w:lang w:eastAsia="en-AU"/>
        </w:rPr>
        <w:t>The proposed options for reform present a real opportunity for industry, states and the NTC to improve the performance of PayGo.</w:t>
      </w:r>
    </w:p>
    <w:p w:rsidR="006663BD" w:rsidRDefault="006663BD" w:rsidP="00281EFE">
      <w:pPr>
        <w:jc w:val="both"/>
        <w:rPr>
          <w:rFonts w:ascii="Arial" w:hAnsi="Arial" w:cs="Arial"/>
          <w:b/>
          <w:bCs/>
          <w:i/>
          <w:iCs/>
          <w:sz w:val="20"/>
          <w:szCs w:val="20"/>
          <w:lang w:eastAsia="en-AU"/>
        </w:rPr>
      </w:pPr>
      <w:r w:rsidRPr="00CA6C07">
        <w:rPr>
          <w:rFonts w:ascii="Arial" w:hAnsi="Arial" w:cs="Arial"/>
          <w:b/>
          <w:bCs/>
          <w:i/>
          <w:iCs/>
          <w:sz w:val="20"/>
          <w:szCs w:val="20"/>
          <w:highlight w:val="white"/>
          <w:lang w:eastAsia="en-AU"/>
        </w:rPr>
        <w:tab/>
      </w:r>
    </w:p>
    <w:p w:rsidR="005D0EE2" w:rsidRPr="005D0EE2" w:rsidRDefault="005D0EE2" w:rsidP="005D0EE2">
      <w:pPr>
        <w:jc w:val="both"/>
        <w:rPr>
          <w:rFonts w:ascii="Arial" w:hAnsi="Arial" w:cs="Arial"/>
          <w:sz w:val="20"/>
          <w:szCs w:val="20"/>
          <w:lang w:eastAsia="en-AU"/>
        </w:rPr>
      </w:pPr>
      <w:r w:rsidRPr="005D0EE2">
        <w:rPr>
          <w:rFonts w:ascii="Arial" w:hAnsi="Arial" w:cs="Arial"/>
          <w:sz w:val="20"/>
          <w:szCs w:val="20"/>
          <w:lang w:eastAsia="en-AU"/>
        </w:rPr>
        <w:t xml:space="preserve">The ATA recommends that SCOTI agree to allow the NTC to commence with a </w:t>
      </w:r>
      <w:proofErr w:type="spellStart"/>
      <w:r w:rsidRPr="005D0EE2">
        <w:rPr>
          <w:rFonts w:ascii="Arial" w:hAnsi="Arial" w:cs="Arial"/>
          <w:sz w:val="20"/>
          <w:szCs w:val="20"/>
          <w:lang w:eastAsia="en-AU"/>
        </w:rPr>
        <w:t>RIS</w:t>
      </w:r>
      <w:proofErr w:type="spellEnd"/>
      <w:r w:rsidRPr="005D0EE2">
        <w:rPr>
          <w:rFonts w:ascii="Arial" w:hAnsi="Arial" w:cs="Arial"/>
          <w:sz w:val="20"/>
          <w:szCs w:val="20"/>
          <w:lang w:eastAsia="en-AU"/>
        </w:rPr>
        <w:t xml:space="preserve"> process in order to improve the performance of the PayGo model</w:t>
      </w:r>
    </w:p>
    <w:p w:rsidR="005D0EE2" w:rsidRPr="00281EFE" w:rsidRDefault="005D0EE2" w:rsidP="00281EFE">
      <w:pPr>
        <w:jc w:val="both"/>
        <w:rPr>
          <w:rFonts w:ascii="Arial" w:hAnsi="Arial" w:cs="Arial"/>
          <w:sz w:val="20"/>
          <w:szCs w:val="20"/>
          <w:lang w:eastAsia="en-AU"/>
        </w:rPr>
      </w:pPr>
    </w:p>
    <w:p w:rsidR="006663BD" w:rsidRPr="00CA6C07" w:rsidRDefault="006663BD" w:rsidP="006663BD">
      <w:pPr>
        <w:jc w:val="both"/>
        <w:rPr>
          <w:rFonts w:ascii="Arial" w:hAnsi="Arial" w:cs="Arial"/>
          <w:sz w:val="20"/>
          <w:szCs w:val="20"/>
        </w:rPr>
      </w:pPr>
    </w:p>
    <w:p w:rsidR="00576ED0" w:rsidRPr="00CA6C07" w:rsidRDefault="003340FB" w:rsidP="001025C9">
      <w:pPr>
        <w:pStyle w:val="Heading1"/>
        <w:jc w:val="both"/>
      </w:pPr>
      <w:r w:rsidRPr="00CA6C07">
        <w:t xml:space="preserve"> </w:t>
      </w:r>
      <w:bookmarkStart w:id="1" w:name="_Toc353434676"/>
      <w:r w:rsidRPr="00CA6C07">
        <w:t>Australian Trucking Association</w:t>
      </w:r>
      <w:bookmarkEnd w:id="1"/>
      <w:r w:rsidRPr="00CA6C07">
        <w:t xml:space="preserve">  </w:t>
      </w:r>
    </w:p>
    <w:p w:rsidR="004008C7" w:rsidRPr="00CA6C07" w:rsidRDefault="004008C7" w:rsidP="001025C9">
      <w:pPr>
        <w:pStyle w:val="BodyText2"/>
        <w:jc w:val="both"/>
        <w:rPr>
          <w:b w:val="0"/>
          <w:sz w:val="20"/>
        </w:rPr>
      </w:pPr>
    </w:p>
    <w:p w:rsidR="00CF3600" w:rsidRPr="00CA6C07" w:rsidRDefault="00CF3600" w:rsidP="00CF3600">
      <w:pPr>
        <w:pStyle w:val="BodyText2"/>
        <w:spacing w:line="269" w:lineRule="auto"/>
        <w:rPr>
          <w:rFonts w:eastAsia="Calibri"/>
          <w:b w:val="0"/>
          <w:bCs w:val="0"/>
          <w:sz w:val="20"/>
        </w:rPr>
      </w:pPr>
      <w:r w:rsidRPr="00CA6C07">
        <w:rPr>
          <w:rFonts w:eastAsia="Calibri"/>
          <w:b w:val="0"/>
          <w:bCs w:val="0"/>
          <w:sz w:val="20"/>
        </w:rPr>
        <w:t xml:space="preserve">The Australian Trucking Association (ATA) is the peak body that represents the trucking industry. Its members include state and sector based trucking associations, some of the nation’s largest transport companies, and businesses with leading expertise in truck technology. </w:t>
      </w:r>
    </w:p>
    <w:p w:rsidR="006104D6" w:rsidRPr="00CA6C07" w:rsidRDefault="00A45F83" w:rsidP="001025C9">
      <w:pPr>
        <w:jc w:val="both"/>
        <w:rPr>
          <w:rFonts w:ascii="Arial" w:hAnsi="Arial" w:cs="Arial"/>
          <w:sz w:val="20"/>
          <w:szCs w:val="20"/>
        </w:rPr>
      </w:pPr>
      <w:r w:rsidRPr="00CA6C07">
        <w:rPr>
          <w:rFonts w:ascii="Arial" w:eastAsia="Times New Roman" w:hAnsi="Arial" w:cs="Arial"/>
          <w:bCs/>
          <w:sz w:val="20"/>
          <w:szCs w:val="20"/>
        </w:rPr>
        <w:t xml:space="preserve"> </w:t>
      </w:r>
    </w:p>
    <w:p w:rsidR="006B7D84" w:rsidRPr="00CA6C07" w:rsidRDefault="006B7D84" w:rsidP="001025C9">
      <w:pPr>
        <w:jc w:val="both"/>
        <w:rPr>
          <w:rFonts w:ascii="Arial" w:eastAsia="Times New Roman" w:hAnsi="Arial" w:cs="Arial"/>
          <w:bCs/>
          <w:sz w:val="20"/>
          <w:szCs w:val="20"/>
        </w:rPr>
      </w:pPr>
    </w:p>
    <w:p w:rsidR="00D73280" w:rsidRPr="00CA6C07" w:rsidRDefault="00907971" w:rsidP="00C05A4F">
      <w:pPr>
        <w:pStyle w:val="Heading1"/>
        <w:jc w:val="both"/>
      </w:pPr>
      <w:bookmarkStart w:id="2" w:name="_Toc353434677"/>
      <w:r w:rsidRPr="00CA6C07">
        <w:t>Recommendations</w:t>
      </w:r>
      <w:bookmarkEnd w:id="2"/>
      <w:r w:rsidR="00C05A4F" w:rsidRPr="00CA6C07">
        <w:rPr>
          <w:noProof/>
          <w:color w:val="000000" w:themeColor="text1"/>
          <w:sz w:val="20"/>
          <w:szCs w:val="20"/>
        </w:rPr>
        <w:t xml:space="preserve"> </w:t>
      </w:r>
    </w:p>
    <w:p w:rsidR="00D93A62" w:rsidRDefault="00FF3F1D">
      <w:pPr>
        <w:pStyle w:val="TOC1"/>
        <w:rPr>
          <w:rFonts w:asciiTheme="minorHAnsi" w:eastAsiaTheme="minorEastAsia" w:hAnsiTheme="minorHAnsi" w:cstheme="minorBidi"/>
          <w:b w:val="0"/>
          <w:color w:val="auto"/>
          <w:sz w:val="22"/>
          <w:szCs w:val="22"/>
          <w:lang w:eastAsia="en-AU"/>
        </w:rPr>
      </w:pPr>
      <w:r w:rsidRPr="00FF3F1D">
        <w:rPr>
          <w:rFonts w:cs="Arial"/>
          <w:noProof w:val="0"/>
          <w:color w:val="auto"/>
          <w:sz w:val="28"/>
          <w:szCs w:val="28"/>
        </w:rPr>
        <w:fldChar w:fldCharType="begin"/>
      </w:r>
      <w:r w:rsidR="00907971" w:rsidRPr="00CA6C07">
        <w:rPr>
          <w:rFonts w:cs="Arial"/>
        </w:rPr>
        <w:instrText xml:space="preserve"> TOC \n \p " " \t "Recommendation Style,1,Recommendation Style 2,2,Recommendation Style 3,3" </w:instrText>
      </w:r>
      <w:r w:rsidRPr="00FF3F1D">
        <w:rPr>
          <w:rFonts w:cs="Arial"/>
          <w:noProof w:val="0"/>
          <w:color w:val="auto"/>
          <w:sz w:val="28"/>
          <w:szCs w:val="28"/>
        </w:rPr>
        <w:fldChar w:fldCharType="separate"/>
      </w:r>
      <w:r w:rsidR="00D93A62" w:rsidRPr="00DA3620">
        <w:t>Recommendation 1</w:t>
      </w:r>
    </w:p>
    <w:p w:rsidR="00D93A62" w:rsidRDefault="00D93A62">
      <w:pPr>
        <w:pStyle w:val="TOC1"/>
        <w:rPr>
          <w:rFonts w:asciiTheme="minorHAnsi" w:eastAsiaTheme="minorEastAsia" w:hAnsiTheme="minorHAnsi" w:cstheme="minorBidi"/>
          <w:b w:val="0"/>
          <w:color w:val="auto"/>
          <w:sz w:val="22"/>
          <w:szCs w:val="22"/>
          <w:lang w:eastAsia="en-AU"/>
        </w:rPr>
      </w:pPr>
      <w:r>
        <w:t>The NTC continue to investigate the over/under recovery argument presented by industry and states.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w:t>
      </w:r>
    </w:p>
    <w:p w:rsidR="00D93A62" w:rsidRDefault="00D93A62">
      <w:pPr>
        <w:pStyle w:val="TOC1"/>
        <w:rPr>
          <w:rFonts w:asciiTheme="minorHAnsi" w:eastAsiaTheme="minorEastAsia" w:hAnsiTheme="minorHAnsi" w:cstheme="minorBidi"/>
          <w:b w:val="0"/>
          <w:color w:val="auto"/>
          <w:sz w:val="22"/>
          <w:szCs w:val="22"/>
          <w:lang w:eastAsia="en-AU"/>
        </w:rPr>
      </w:pPr>
      <w:r>
        <w:t>The pricing principles should recognise trailers as a single class of vehicles.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3</w:t>
      </w:r>
    </w:p>
    <w:p w:rsidR="00D93A62" w:rsidRDefault="00D93A62">
      <w:pPr>
        <w:pStyle w:val="TOC1"/>
        <w:rPr>
          <w:rFonts w:asciiTheme="minorHAnsi" w:eastAsiaTheme="minorEastAsia" w:hAnsiTheme="minorHAnsi" w:cstheme="minorBidi"/>
          <w:b w:val="0"/>
          <w:color w:val="auto"/>
          <w:sz w:val="22"/>
          <w:szCs w:val="22"/>
          <w:lang w:eastAsia="en-AU"/>
        </w:rPr>
      </w:pPr>
      <w:r>
        <w:t>Externalities should not be included in the cost base.</w:t>
      </w:r>
    </w:p>
    <w:p w:rsidR="00D93A62" w:rsidRDefault="00D93A62">
      <w:pPr>
        <w:pStyle w:val="TOC1"/>
        <w:rPr>
          <w:rFonts w:asciiTheme="minorHAnsi" w:eastAsiaTheme="minorEastAsia" w:hAnsiTheme="minorHAnsi" w:cstheme="minorBidi"/>
          <w:b w:val="0"/>
          <w:color w:val="auto"/>
          <w:sz w:val="22"/>
          <w:szCs w:val="22"/>
          <w:lang w:eastAsia="en-AU"/>
        </w:rPr>
      </w:pPr>
      <w:r w:rsidRPr="00DA3620">
        <w:lastRenderedPageBreak/>
        <w:t>Recommendation 4</w:t>
      </w:r>
    </w:p>
    <w:p w:rsidR="00D93A62" w:rsidRDefault="00D93A62">
      <w:pPr>
        <w:pStyle w:val="TOC1"/>
        <w:rPr>
          <w:rFonts w:asciiTheme="minorHAnsi" w:eastAsiaTheme="minorEastAsia" w:hAnsiTheme="minorHAnsi" w:cstheme="minorBidi"/>
          <w:b w:val="0"/>
          <w:color w:val="auto"/>
          <w:sz w:val="22"/>
          <w:szCs w:val="22"/>
          <w:lang w:eastAsia="en-AU"/>
        </w:rPr>
      </w:pPr>
      <w:r>
        <w:t>The 7 year averaging period in the PayGo model should continue.</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5</w:t>
      </w:r>
    </w:p>
    <w:p w:rsidR="00D93A62" w:rsidRDefault="00D93A62">
      <w:pPr>
        <w:pStyle w:val="TOC1"/>
        <w:rPr>
          <w:rFonts w:asciiTheme="minorHAnsi" w:eastAsiaTheme="minorEastAsia" w:hAnsiTheme="minorHAnsi" w:cstheme="minorBidi"/>
          <w:b w:val="0"/>
          <w:color w:val="auto"/>
          <w:sz w:val="22"/>
          <w:szCs w:val="22"/>
          <w:lang w:eastAsia="en-AU"/>
        </w:rPr>
      </w:pPr>
      <w:r>
        <w:t>It is unnecessary at this stage to update the cost allocation matrix. However, it should be reviewed prior to a future determination in conjunction with industry.</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6</w:t>
      </w:r>
    </w:p>
    <w:p w:rsidR="00D93A62" w:rsidRDefault="00D93A62">
      <w:pPr>
        <w:pStyle w:val="TOC1"/>
        <w:rPr>
          <w:rFonts w:asciiTheme="minorHAnsi" w:eastAsiaTheme="minorEastAsia" w:hAnsiTheme="minorHAnsi" w:cstheme="minorBidi"/>
          <w:b w:val="0"/>
          <w:color w:val="auto"/>
          <w:sz w:val="22"/>
          <w:szCs w:val="22"/>
          <w:lang w:eastAsia="en-AU"/>
        </w:rPr>
      </w:pPr>
      <w:r>
        <w:t>The SMVU should be retained in the PayGo model, if it is transparently trended to the most recent PayGo year.</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7</w:t>
      </w:r>
    </w:p>
    <w:p w:rsidR="00D93A62" w:rsidRDefault="00D93A62">
      <w:pPr>
        <w:pStyle w:val="TOC1"/>
        <w:rPr>
          <w:rFonts w:asciiTheme="minorHAnsi" w:eastAsiaTheme="minorEastAsia" w:hAnsiTheme="minorHAnsi" w:cstheme="minorBidi"/>
          <w:b w:val="0"/>
          <w:color w:val="auto"/>
          <w:sz w:val="22"/>
          <w:szCs w:val="22"/>
          <w:lang w:eastAsia="en-AU"/>
        </w:rPr>
      </w:pPr>
      <w:r>
        <w:t>The sample size and the frequency of the SMVU should be increased.</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8</w:t>
      </w:r>
    </w:p>
    <w:p w:rsidR="00D93A62" w:rsidRDefault="00D93A62">
      <w:pPr>
        <w:pStyle w:val="TOC1"/>
        <w:rPr>
          <w:rFonts w:asciiTheme="minorHAnsi" w:eastAsiaTheme="minorEastAsia" w:hAnsiTheme="minorHAnsi" w:cstheme="minorBidi"/>
          <w:b w:val="0"/>
          <w:color w:val="auto"/>
          <w:sz w:val="22"/>
          <w:szCs w:val="22"/>
          <w:lang w:eastAsia="en-AU"/>
        </w:rPr>
      </w:pPr>
      <w:r>
        <w:t>Jurisdictional heavy vehicle registration populations should be compared to the SMVU population in order to monitor the PayGo model.</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9</w:t>
      </w:r>
    </w:p>
    <w:p w:rsidR="00D93A62" w:rsidRDefault="00D93A62">
      <w:pPr>
        <w:pStyle w:val="TOC1"/>
        <w:rPr>
          <w:rFonts w:asciiTheme="minorHAnsi" w:eastAsiaTheme="minorEastAsia" w:hAnsiTheme="minorHAnsi" w:cstheme="minorBidi"/>
          <w:b w:val="0"/>
          <w:color w:val="auto"/>
          <w:sz w:val="22"/>
          <w:szCs w:val="22"/>
          <w:lang w:eastAsia="en-AU"/>
        </w:rPr>
      </w:pPr>
      <w:r>
        <w:t>The ATA believes jurisdictional reporting of heavy vehicle expenditure should have the same level of accountability as any other public entity spending.</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10</w:t>
      </w:r>
    </w:p>
    <w:p w:rsidR="00D93A62" w:rsidRDefault="00D93A62">
      <w:pPr>
        <w:pStyle w:val="TOC1"/>
        <w:rPr>
          <w:rFonts w:asciiTheme="minorHAnsi" w:eastAsiaTheme="minorEastAsia" w:hAnsiTheme="minorHAnsi" w:cstheme="minorBidi"/>
          <w:b w:val="0"/>
          <w:color w:val="auto"/>
          <w:sz w:val="22"/>
          <w:szCs w:val="22"/>
          <w:lang w:eastAsia="en-AU"/>
        </w:rPr>
      </w:pPr>
      <w:r>
        <w:t>Improving the guidelines accompanying the NTC expenditure template should improve accurate expenditure reporting by states.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11</w:t>
      </w:r>
    </w:p>
    <w:p w:rsidR="00D93A62" w:rsidRDefault="00D93A62">
      <w:pPr>
        <w:pStyle w:val="TOC1"/>
        <w:rPr>
          <w:rFonts w:asciiTheme="minorHAnsi" w:eastAsiaTheme="minorEastAsia" w:hAnsiTheme="minorHAnsi" w:cstheme="minorBidi"/>
          <w:b w:val="0"/>
          <w:color w:val="auto"/>
          <w:sz w:val="22"/>
          <w:szCs w:val="22"/>
          <w:lang w:eastAsia="en-AU"/>
        </w:rPr>
      </w:pPr>
      <w:r>
        <w:t>The variable fuel component of the PayGo model should increase to support industry paying for use and strengthen industry’s ability to pass on costs to clients.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12</w:t>
      </w:r>
    </w:p>
    <w:p w:rsidR="00D93A62" w:rsidRDefault="00D93A62">
      <w:pPr>
        <w:pStyle w:val="TOC1"/>
        <w:rPr>
          <w:rFonts w:asciiTheme="minorHAnsi" w:eastAsiaTheme="minorEastAsia" w:hAnsiTheme="minorHAnsi" w:cstheme="minorBidi"/>
          <w:b w:val="0"/>
          <w:color w:val="auto"/>
          <w:sz w:val="22"/>
          <w:szCs w:val="22"/>
          <w:lang w:eastAsia="en-AU"/>
        </w:rPr>
      </w:pPr>
      <w:r>
        <w:t>Legislating for an increase in RUC is possible and is not an impossible barrier to increasing the RUC share.</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13</w:t>
      </w:r>
    </w:p>
    <w:p w:rsidR="00D93A62" w:rsidRDefault="00D93A62">
      <w:pPr>
        <w:pStyle w:val="TOC1"/>
        <w:rPr>
          <w:rFonts w:asciiTheme="minorHAnsi" w:eastAsiaTheme="minorEastAsia" w:hAnsiTheme="minorHAnsi" w:cstheme="minorBidi"/>
          <w:b w:val="0"/>
          <w:color w:val="auto"/>
          <w:sz w:val="22"/>
          <w:szCs w:val="22"/>
          <w:lang w:eastAsia="en-AU"/>
        </w:rPr>
      </w:pPr>
      <w:r>
        <w:t>The Federal Interstate Registration scheme (FIRS) like formula of distributing revenue should be mimicked in the PayGo system with an increase in RUC share. Alternatively a tiered heavy vehicle access network could be used to efficiently distribute revenue.</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14</w:t>
      </w:r>
    </w:p>
    <w:p w:rsidR="00D93A62" w:rsidRDefault="00D93A62">
      <w:pPr>
        <w:pStyle w:val="TOC1"/>
        <w:rPr>
          <w:rFonts w:asciiTheme="minorHAnsi" w:eastAsiaTheme="minorEastAsia" w:hAnsiTheme="minorHAnsi" w:cstheme="minorBidi"/>
          <w:b w:val="0"/>
          <w:color w:val="auto"/>
          <w:sz w:val="22"/>
          <w:szCs w:val="22"/>
          <w:lang w:eastAsia="en-AU"/>
        </w:rPr>
      </w:pPr>
      <w:r>
        <w:t>Trailers should be treated as a single class in the charges schedule.</w:t>
      </w:r>
    </w:p>
    <w:p w:rsidR="00D93A62" w:rsidRDefault="00D93A62">
      <w:pPr>
        <w:pStyle w:val="TOC1"/>
        <w:rPr>
          <w:rFonts w:asciiTheme="minorHAnsi" w:eastAsiaTheme="minorEastAsia" w:hAnsiTheme="minorHAnsi" w:cstheme="minorBidi"/>
          <w:b w:val="0"/>
          <w:color w:val="auto"/>
          <w:sz w:val="22"/>
          <w:szCs w:val="22"/>
          <w:lang w:eastAsia="en-AU"/>
        </w:rPr>
      </w:pPr>
      <w:r w:rsidRPr="00DA3620">
        <w:lastRenderedPageBreak/>
        <w:t>Recommendation 15</w:t>
      </w:r>
    </w:p>
    <w:p w:rsidR="00D93A62" w:rsidRDefault="00D93A62">
      <w:pPr>
        <w:pStyle w:val="TOC1"/>
        <w:rPr>
          <w:rFonts w:asciiTheme="minorHAnsi" w:eastAsiaTheme="minorEastAsia" w:hAnsiTheme="minorHAnsi" w:cstheme="minorBidi"/>
          <w:b w:val="0"/>
          <w:color w:val="auto"/>
          <w:sz w:val="22"/>
          <w:szCs w:val="22"/>
          <w:lang w:eastAsia="en-AU"/>
        </w:rPr>
      </w:pPr>
      <w:r>
        <w:t>The ATA recommend the NTC pursue axle group charges for trailers, as it would promote using the most efficient and safe vehicles for the freight task.</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16</w:t>
      </w:r>
    </w:p>
    <w:p w:rsidR="00D93A62" w:rsidRDefault="00D93A62">
      <w:pPr>
        <w:pStyle w:val="TOC1"/>
        <w:rPr>
          <w:rFonts w:asciiTheme="minorHAnsi" w:eastAsiaTheme="minorEastAsia" w:hAnsiTheme="minorHAnsi" w:cstheme="minorBidi"/>
          <w:b w:val="0"/>
          <w:color w:val="auto"/>
          <w:sz w:val="22"/>
          <w:szCs w:val="22"/>
          <w:lang w:eastAsia="en-AU"/>
        </w:rPr>
      </w:pPr>
      <w:r>
        <w:t>The ATA supports ESA calculation by axle group, as it reflects the modular use of trailers and will simplify the calculation of attributable costs.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17</w:t>
      </w:r>
    </w:p>
    <w:p w:rsidR="00D93A62" w:rsidRDefault="00D93A62">
      <w:pPr>
        <w:pStyle w:val="TOC1"/>
        <w:rPr>
          <w:rFonts w:asciiTheme="minorHAnsi" w:eastAsiaTheme="minorEastAsia" w:hAnsiTheme="minorHAnsi" w:cstheme="minorBidi"/>
          <w:b w:val="0"/>
          <w:color w:val="auto"/>
          <w:sz w:val="22"/>
          <w:szCs w:val="22"/>
          <w:lang w:eastAsia="en-AU"/>
        </w:rPr>
      </w:pPr>
      <w:r>
        <w:t>The ATA recommend the NTC pursue Investigating ESAs of Buses, coaches and light vehicle will refine the PayGo model.</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18</w:t>
      </w:r>
    </w:p>
    <w:p w:rsidR="00D93A62" w:rsidRDefault="00D93A62">
      <w:pPr>
        <w:pStyle w:val="TOC1"/>
        <w:rPr>
          <w:rFonts w:asciiTheme="minorHAnsi" w:eastAsiaTheme="minorEastAsia" w:hAnsiTheme="minorHAnsi" w:cstheme="minorBidi"/>
          <w:b w:val="0"/>
          <w:color w:val="auto"/>
          <w:sz w:val="22"/>
          <w:szCs w:val="22"/>
          <w:lang w:eastAsia="en-AU"/>
        </w:rPr>
      </w:pPr>
      <w:r>
        <w:t>The ATA recommend the NTC pursue a mini-determination in the annual adjustment process.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19</w:t>
      </w:r>
    </w:p>
    <w:p w:rsidR="00D93A62" w:rsidRDefault="00D93A62">
      <w:pPr>
        <w:pStyle w:val="TOC1"/>
        <w:rPr>
          <w:rFonts w:asciiTheme="minorHAnsi" w:eastAsiaTheme="minorEastAsia" w:hAnsiTheme="minorHAnsi" w:cstheme="minorBidi"/>
          <w:b w:val="0"/>
          <w:color w:val="auto"/>
          <w:sz w:val="22"/>
          <w:szCs w:val="22"/>
          <w:lang w:eastAsia="en-AU"/>
        </w:rPr>
      </w:pPr>
      <w:r>
        <w:t>If a mini determination is not feasible, the suggested amendments to the annual adjustment should occur.</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20</w:t>
      </w:r>
    </w:p>
    <w:p w:rsidR="00D93A62" w:rsidRDefault="00D93A62">
      <w:pPr>
        <w:pStyle w:val="TOC1"/>
        <w:rPr>
          <w:rFonts w:asciiTheme="minorHAnsi" w:eastAsiaTheme="minorEastAsia" w:hAnsiTheme="minorHAnsi" w:cstheme="minorBidi"/>
          <w:b w:val="0"/>
          <w:color w:val="auto"/>
          <w:sz w:val="22"/>
          <w:szCs w:val="22"/>
          <w:lang w:eastAsia="en-AU"/>
        </w:rPr>
      </w:pPr>
      <w:r>
        <w:t>The ATA supports maintaining Vehicle Kilometres (VKT) travelled as the cost allocator for common costs between light and heavy vehicles.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21</w:t>
      </w:r>
    </w:p>
    <w:p w:rsidR="00D93A62" w:rsidRDefault="00D93A62">
      <w:pPr>
        <w:pStyle w:val="TOC1"/>
        <w:rPr>
          <w:rFonts w:asciiTheme="minorHAnsi" w:eastAsiaTheme="minorEastAsia" w:hAnsiTheme="minorHAnsi" w:cstheme="minorBidi"/>
          <w:b w:val="0"/>
          <w:color w:val="auto"/>
          <w:sz w:val="22"/>
          <w:szCs w:val="22"/>
          <w:lang w:eastAsia="en-AU"/>
        </w:rPr>
      </w:pPr>
      <w:r>
        <w:t>The NTC examination of alternative methods for the allocation of the relative contributions of individual heavy vehicle classes continues.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22</w:t>
      </w:r>
    </w:p>
    <w:p w:rsidR="00D93A62" w:rsidRDefault="00D93A62">
      <w:pPr>
        <w:pStyle w:val="TOC1"/>
        <w:rPr>
          <w:rFonts w:asciiTheme="minorHAnsi" w:eastAsiaTheme="minorEastAsia" w:hAnsiTheme="minorHAnsi" w:cstheme="minorBidi"/>
          <w:b w:val="0"/>
          <w:color w:val="auto"/>
          <w:sz w:val="22"/>
          <w:szCs w:val="22"/>
          <w:lang w:eastAsia="en-AU"/>
        </w:rPr>
      </w:pPr>
      <w:r>
        <w:t>Enhancing the transparency of the road train subsidy in the PayGo model should occur.</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23</w:t>
      </w:r>
    </w:p>
    <w:p w:rsidR="00D93A62" w:rsidRDefault="00D93A62">
      <w:pPr>
        <w:pStyle w:val="TOC1"/>
        <w:rPr>
          <w:rFonts w:asciiTheme="minorHAnsi" w:eastAsiaTheme="minorEastAsia" w:hAnsiTheme="minorHAnsi" w:cstheme="minorBidi"/>
          <w:b w:val="0"/>
          <w:color w:val="auto"/>
          <w:sz w:val="22"/>
          <w:szCs w:val="22"/>
          <w:lang w:eastAsia="en-AU"/>
        </w:rPr>
      </w:pPr>
      <w:r>
        <w:t>The ATA Council calls on the NTC to ensure that the outcomes of the NTC’s Charges Review achieves equity between combinations, such as B-doubles, B-triples and BAB quads, with vehicles of similar characteristics such as 9 axle truck and dog combinations, and road trains.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24</w:t>
      </w:r>
    </w:p>
    <w:p w:rsidR="00D93A62" w:rsidRDefault="00D93A62">
      <w:pPr>
        <w:pStyle w:val="TOC1"/>
      </w:pPr>
      <w:r>
        <w:t>The charges review should not disadvantage particular sectors or regions including, rural, regional and remote operators and their communities, by maintaining recognition of CSOs and current outcomes, and applying them as appropriate to safer combinations.</w:t>
      </w:r>
    </w:p>
    <w:p w:rsidR="00D93A62" w:rsidRDefault="00D93A62" w:rsidP="00D93A62"/>
    <w:p w:rsidR="00D93A62" w:rsidRDefault="00D93A62" w:rsidP="00D93A62"/>
    <w:p w:rsidR="00D93A62" w:rsidRPr="00D93A62" w:rsidRDefault="00D93A62" w:rsidP="00D93A62"/>
    <w:p w:rsidR="00D93A62" w:rsidRDefault="00D93A62">
      <w:pPr>
        <w:pStyle w:val="TOC1"/>
        <w:rPr>
          <w:rFonts w:asciiTheme="minorHAnsi" w:eastAsiaTheme="minorEastAsia" w:hAnsiTheme="minorHAnsi" w:cstheme="minorBidi"/>
          <w:b w:val="0"/>
          <w:color w:val="auto"/>
          <w:sz w:val="22"/>
          <w:szCs w:val="22"/>
          <w:lang w:eastAsia="en-AU"/>
        </w:rPr>
      </w:pPr>
      <w:r w:rsidRPr="00DA3620">
        <w:lastRenderedPageBreak/>
        <w:t>Recommendation 25</w:t>
      </w:r>
    </w:p>
    <w:p w:rsidR="00D93A62" w:rsidRDefault="00D93A62">
      <w:pPr>
        <w:pStyle w:val="TOC1"/>
        <w:rPr>
          <w:rFonts w:asciiTheme="minorHAnsi" w:eastAsiaTheme="minorEastAsia" w:hAnsiTheme="minorHAnsi" w:cstheme="minorBidi"/>
          <w:b w:val="0"/>
          <w:color w:val="auto"/>
          <w:sz w:val="22"/>
          <w:szCs w:val="22"/>
          <w:lang w:eastAsia="en-AU"/>
        </w:rPr>
      </w:pPr>
      <w:r>
        <w:t>The NTC explore the options of establishing agreed principles to encourage national consistency on concessions.</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26</w:t>
      </w:r>
    </w:p>
    <w:p w:rsidR="00D93A62" w:rsidRDefault="00D93A62">
      <w:pPr>
        <w:pStyle w:val="TOC1"/>
        <w:rPr>
          <w:rFonts w:asciiTheme="minorHAnsi" w:eastAsiaTheme="minorEastAsia" w:hAnsiTheme="minorHAnsi" w:cstheme="minorBidi"/>
          <w:b w:val="0"/>
          <w:color w:val="auto"/>
          <w:sz w:val="22"/>
          <w:szCs w:val="22"/>
          <w:lang w:eastAsia="en-AU"/>
        </w:rPr>
      </w:pPr>
      <w:r>
        <w:t>NHVR provide high level input into the NTC review.</w:t>
      </w:r>
    </w:p>
    <w:p w:rsidR="00D93A62" w:rsidRDefault="00D93A62">
      <w:pPr>
        <w:pStyle w:val="TOC1"/>
        <w:rPr>
          <w:rFonts w:asciiTheme="minorHAnsi" w:eastAsiaTheme="minorEastAsia" w:hAnsiTheme="minorHAnsi" w:cstheme="minorBidi"/>
          <w:b w:val="0"/>
          <w:color w:val="auto"/>
          <w:sz w:val="22"/>
          <w:szCs w:val="22"/>
          <w:lang w:eastAsia="en-AU"/>
        </w:rPr>
      </w:pPr>
      <w:r w:rsidRPr="00DA3620">
        <w:t>Recommendation 27</w:t>
      </w:r>
    </w:p>
    <w:p w:rsidR="00D93A62" w:rsidRDefault="00D93A62">
      <w:pPr>
        <w:pStyle w:val="TOC1"/>
        <w:rPr>
          <w:rFonts w:asciiTheme="minorHAnsi" w:eastAsiaTheme="minorEastAsia" w:hAnsiTheme="minorHAnsi" w:cstheme="minorBidi"/>
          <w:b w:val="0"/>
          <w:color w:val="auto"/>
          <w:sz w:val="22"/>
          <w:szCs w:val="22"/>
          <w:lang w:eastAsia="en-AU"/>
        </w:rPr>
      </w:pPr>
      <w:r>
        <w:t>Industry should be made aware of the implications of NHVR funding decisions on heavy vehicle charges.</w:t>
      </w:r>
    </w:p>
    <w:p w:rsidR="003B0AAE" w:rsidRDefault="00FF3F1D" w:rsidP="00E42723">
      <w:pPr>
        <w:pStyle w:val="Heading1"/>
        <w:numPr>
          <w:ilvl w:val="0"/>
          <w:numId w:val="0"/>
        </w:numPr>
        <w:jc w:val="both"/>
        <w:rPr>
          <w:noProof/>
          <w:color w:val="000000" w:themeColor="text1"/>
          <w:sz w:val="20"/>
          <w:szCs w:val="20"/>
        </w:rPr>
      </w:pPr>
      <w:r w:rsidRPr="00CA6C07">
        <w:rPr>
          <w:noProof/>
          <w:color w:val="000000" w:themeColor="text1"/>
          <w:sz w:val="20"/>
          <w:szCs w:val="20"/>
        </w:rPr>
        <w:fldChar w:fldCharType="end"/>
      </w:r>
    </w:p>
    <w:p w:rsidR="00905C0A" w:rsidRPr="00905C0A" w:rsidRDefault="00905C0A" w:rsidP="00905C0A"/>
    <w:p w:rsidR="0050428E" w:rsidRPr="00CA6C07" w:rsidRDefault="00BB4E99" w:rsidP="0050428E">
      <w:pPr>
        <w:pStyle w:val="Heading1"/>
        <w:jc w:val="both"/>
      </w:pPr>
      <w:bookmarkStart w:id="3" w:name="_Toc353434678"/>
      <w:r w:rsidRPr="00CA6C07">
        <w:t>Industry issues and NTC response</w:t>
      </w:r>
      <w:bookmarkEnd w:id="3"/>
      <w:r w:rsidRPr="00CA6C07">
        <w:t xml:space="preserve"> </w:t>
      </w:r>
    </w:p>
    <w:p w:rsidR="00244543" w:rsidRPr="00CA6C07" w:rsidRDefault="00244543" w:rsidP="00244543">
      <w:pPr>
        <w:rPr>
          <w:rFonts w:ascii="Arial" w:hAnsi="Arial" w:cs="Arial"/>
        </w:rPr>
      </w:pPr>
    </w:p>
    <w:p w:rsidR="003D6219" w:rsidRPr="005D0EE2" w:rsidRDefault="006663BD" w:rsidP="005D0EE2">
      <w:pPr>
        <w:autoSpaceDE w:val="0"/>
        <w:autoSpaceDN w:val="0"/>
        <w:adjustRightInd w:val="0"/>
        <w:rPr>
          <w:rFonts w:ascii="Arial" w:hAnsi="Arial" w:cs="Arial"/>
          <w:sz w:val="20"/>
          <w:szCs w:val="20"/>
          <w:highlight w:val="white"/>
          <w:lang w:eastAsia="en-AU"/>
        </w:rPr>
      </w:pPr>
      <w:bookmarkStart w:id="4" w:name="_Toc350428781"/>
      <w:bookmarkStart w:id="5" w:name="_Toc350430046"/>
      <w:bookmarkStart w:id="6" w:name="_Toc350863674"/>
      <w:bookmarkStart w:id="7" w:name="_Toc350863781"/>
      <w:bookmarkStart w:id="8" w:name="_Toc351015747"/>
      <w:bookmarkStart w:id="9" w:name="_Toc351031262"/>
      <w:bookmarkStart w:id="10" w:name="_Toc351626128"/>
      <w:bookmarkStart w:id="11" w:name="_Toc352059537"/>
      <w:bookmarkStart w:id="12" w:name="_Toc352059645"/>
      <w:bookmarkStart w:id="13" w:name="_Toc352070702"/>
      <w:bookmarkStart w:id="14" w:name="_Toc352071952"/>
      <w:bookmarkStart w:id="15" w:name="_Toc352149563"/>
      <w:bookmarkStart w:id="16" w:name="_Toc350264222"/>
      <w:bookmarkEnd w:id="4"/>
      <w:bookmarkEnd w:id="5"/>
      <w:bookmarkEnd w:id="6"/>
      <w:bookmarkEnd w:id="7"/>
      <w:bookmarkEnd w:id="8"/>
      <w:bookmarkEnd w:id="9"/>
      <w:bookmarkEnd w:id="10"/>
      <w:bookmarkEnd w:id="11"/>
      <w:bookmarkEnd w:id="12"/>
      <w:bookmarkEnd w:id="13"/>
      <w:bookmarkEnd w:id="14"/>
      <w:bookmarkEnd w:id="15"/>
      <w:r w:rsidRPr="00CA6C07">
        <w:rPr>
          <w:rFonts w:ascii="Arial" w:hAnsi="Arial" w:cs="Arial"/>
          <w:sz w:val="20"/>
          <w:szCs w:val="20"/>
          <w:highlight w:val="white"/>
          <w:lang w:eastAsia="en-AU"/>
        </w:rPr>
        <w:t xml:space="preserve">The ATA has provided detailed issues on the PayGo model since 2007. The ATA has also offered solutions for many of the issues identified. We have detailed industry issue raised with specific issue in the paper and the NTC response. </w:t>
      </w:r>
      <w:bookmarkEnd w:id="16"/>
    </w:p>
    <w:p w:rsidR="002C6E2E" w:rsidRDefault="002C6E2E" w:rsidP="002C6E2E">
      <w:pPr>
        <w:rPr>
          <w:rFonts w:ascii="Arial" w:hAnsi="Arial" w:cs="Arial"/>
        </w:rPr>
      </w:pPr>
    </w:p>
    <w:p w:rsidR="005D0EE2" w:rsidRPr="00CA6C07" w:rsidRDefault="005D0EE2" w:rsidP="002C6E2E">
      <w:pPr>
        <w:rPr>
          <w:rFonts w:ascii="Arial" w:hAnsi="Arial" w:cs="Arial"/>
        </w:rPr>
      </w:pPr>
    </w:p>
    <w:p w:rsidR="00712ED5" w:rsidRDefault="00D53831" w:rsidP="005D0EE2">
      <w:pPr>
        <w:pStyle w:val="Heading1"/>
        <w:numPr>
          <w:ilvl w:val="1"/>
          <w:numId w:val="3"/>
        </w:numPr>
        <w:jc w:val="both"/>
      </w:pPr>
      <w:bookmarkStart w:id="17" w:name="_Toc353434679"/>
      <w:r w:rsidRPr="00CA6C07">
        <w:t>The performance of PayGo – over and under recovery</w:t>
      </w:r>
      <w:bookmarkEnd w:id="17"/>
      <w:r w:rsidRPr="00CA6C07">
        <w:t xml:space="preserve">  </w:t>
      </w:r>
    </w:p>
    <w:p w:rsidR="005D0EE2" w:rsidRPr="005D0EE2" w:rsidRDefault="005D0EE2" w:rsidP="005D0EE2"/>
    <w:p w:rsidR="00712ED5" w:rsidRPr="00CA6C07" w:rsidRDefault="00712ED5" w:rsidP="00712ED5">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While the NTC has generally presented the ATA views, the staging and comparison of the PayGo heavy vehicle expenditure versus revenue in a given year is an issue that is not fully explored in the NTC paper. </w:t>
      </w:r>
    </w:p>
    <w:p w:rsidR="00902544" w:rsidRPr="00CA6C07" w:rsidRDefault="00902544" w:rsidP="00712ED5">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The NTC paper compares revenue and expen</w:t>
      </w:r>
      <w:r w:rsidR="005A540F" w:rsidRPr="00CA6C07">
        <w:rPr>
          <w:rFonts w:ascii="Arial" w:hAnsi="Arial" w:cs="Arial"/>
          <w:sz w:val="20"/>
          <w:szCs w:val="20"/>
          <w:highlight w:val="white"/>
          <w:lang w:eastAsia="en-AU"/>
        </w:rPr>
        <w:t xml:space="preserve">diture recovered in a same </w:t>
      </w:r>
      <w:r w:rsidRPr="00CA6C07">
        <w:rPr>
          <w:rFonts w:ascii="Arial" w:hAnsi="Arial" w:cs="Arial"/>
          <w:sz w:val="20"/>
          <w:szCs w:val="20"/>
          <w:highlight w:val="white"/>
          <w:lang w:eastAsia="en-AU"/>
        </w:rPr>
        <w:t xml:space="preserve">year, analysis of this has found an under-recovery of 6%. However, the ATA believe a lag of the revenue received should be factored in given that charges are set </w:t>
      </w:r>
      <w:r w:rsidR="005A540F" w:rsidRPr="00CA6C07">
        <w:rPr>
          <w:rFonts w:ascii="Arial" w:hAnsi="Arial" w:cs="Arial"/>
          <w:sz w:val="20"/>
          <w:szCs w:val="20"/>
          <w:highlight w:val="white"/>
          <w:lang w:eastAsia="en-AU"/>
        </w:rPr>
        <w:t xml:space="preserve">in year A to be recovered in year B. When the NTC assessed the impact of this </w:t>
      </w:r>
      <w:r w:rsidR="00C41927" w:rsidRPr="00CA6C07">
        <w:rPr>
          <w:rFonts w:ascii="Arial" w:hAnsi="Arial" w:cs="Arial"/>
          <w:sz w:val="20"/>
          <w:szCs w:val="20"/>
          <w:highlight w:val="white"/>
          <w:lang w:eastAsia="en-AU"/>
        </w:rPr>
        <w:t>there was a 0% under/over-recovery. However, it</w:t>
      </w:r>
      <w:r w:rsidR="00712ED5" w:rsidRPr="00CA6C07">
        <w:rPr>
          <w:rFonts w:ascii="Arial" w:hAnsi="Arial" w:cs="Arial"/>
          <w:sz w:val="20"/>
          <w:szCs w:val="20"/>
          <w:highlight w:val="white"/>
          <w:lang w:eastAsia="en-AU"/>
        </w:rPr>
        <w:t xml:space="preserve"> is unclear whether a one year lag in the document is the correct comparison to make and represent</w:t>
      </w:r>
      <w:r w:rsidR="00C41927" w:rsidRPr="00CA6C07">
        <w:rPr>
          <w:rFonts w:ascii="Arial" w:hAnsi="Arial" w:cs="Arial"/>
          <w:sz w:val="20"/>
          <w:szCs w:val="20"/>
          <w:highlight w:val="white"/>
          <w:lang w:eastAsia="en-AU"/>
        </w:rPr>
        <w:t>s</w:t>
      </w:r>
      <w:r w:rsidR="00712ED5" w:rsidRPr="00CA6C07">
        <w:rPr>
          <w:rFonts w:ascii="Arial" w:hAnsi="Arial" w:cs="Arial"/>
          <w:sz w:val="20"/>
          <w:szCs w:val="20"/>
          <w:highlight w:val="white"/>
          <w:lang w:eastAsia="en-AU"/>
        </w:rPr>
        <w:t xml:space="preserve"> w</w:t>
      </w:r>
      <w:r w:rsidRPr="00CA6C07">
        <w:rPr>
          <w:rFonts w:ascii="Arial" w:hAnsi="Arial" w:cs="Arial"/>
          <w:sz w:val="20"/>
          <w:szCs w:val="20"/>
          <w:highlight w:val="white"/>
          <w:lang w:eastAsia="en-AU"/>
        </w:rPr>
        <w:t>hat industry actually pays for.</w:t>
      </w:r>
    </w:p>
    <w:p w:rsidR="00712ED5" w:rsidRPr="00CA6C07" w:rsidRDefault="00712ED5" w:rsidP="00712ED5">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In the PayGo model, the cost base industry pays for includes lagged expenditure from the previous 7 years that has been adjusted for inflation before it is averaged to derive the current years cost base. Industry pays for charges based on a population that is taken from the mid-point of the PayGo model. Therefore the while the expenditure to be recovered is current, the population expenditure is shared over is different to the current operating population, leading to an over-recovery. </w:t>
      </w:r>
    </w:p>
    <w:p w:rsidR="00CA6C07" w:rsidRPr="00CA6C07" w:rsidRDefault="00712ED5" w:rsidP="00CA6C07">
      <w:pPr>
        <w:autoSpaceDE w:val="0"/>
        <w:autoSpaceDN w:val="0"/>
        <w:adjustRightInd w:val="0"/>
        <w:spacing w:line="264" w:lineRule="auto"/>
        <w:rPr>
          <w:rFonts w:ascii="Arial" w:hAnsi="Arial" w:cs="Arial"/>
          <w:color w:val="000000"/>
          <w:sz w:val="20"/>
          <w:szCs w:val="20"/>
          <w:lang w:eastAsia="en-AU"/>
        </w:rPr>
      </w:pPr>
      <w:r w:rsidRPr="00CA6C07">
        <w:rPr>
          <w:rFonts w:ascii="Arial" w:hAnsi="Arial" w:cs="Arial"/>
          <w:color w:val="000000"/>
          <w:sz w:val="20"/>
          <w:szCs w:val="20"/>
          <w:lang w:eastAsia="en-AU"/>
        </w:rPr>
        <w:t>The NTC modelling is based upon 392,453 heavy (motor) vehicles, while the ATA has used actual registration database information provided by road agencies, which identifies 570,294 heavy motor vehicles (being trucks, prime movers, buses and special purpose vehicles, but not including trailers). Information from road agencies showed the actual registered heavy vehicles as at 31 December 2011 was 789,489 (</w:t>
      </w:r>
      <w:r w:rsidR="008A5590">
        <w:rPr>
          <w:rFonts w:ascii="Arial" w:hAnsi="Arial" w:cs="Arial"/>
          <w:color w:val="000000"/>
          <w:sz w:val="20"/>
          <w:szCs w:val="20"/>
          <w:lang w:eastAsia="en-AU"/>
        </w:rPr>
        <w:t>this number includes trailers)</w:t>
      </w:r>
      <w:r w:rsidR="008A5590">
        <w:rPr>
          <w:rStyle w:val="FootnoteReference"/>
          <w:rFonts w:ascii="Arial" w:hAnsi="Arial"/>
          <w:color w:val="000000"/>
          <w:sz w:val="20"/>
          <w:szCs w:val="20"/>
          <w:lang w:eastAsia="en-AU"/>
        </w:rPr>
        <w:footnoteReference w:id="1"/>
      </w:r>
      <w:r w:rsidR="008A5590">
        <w:rPr>
          <w:rFonts w:ascii="Arial" w:hAnsi="Arial" w:cs="Arial"/>
          <w:color w:val="000000"/>
          <w:sz w:val="20"/>
          <w:szCs w:val="20"/>
          <w:lang w:eastAsia="en-AU"/>
        </w:rPr>
        <w:t>.</w:t>
      </w:r>
    </w:p>
    <w:p w:rsidR="00712ED5" w:rsidRDefault="00712ED5" w:rsidP="00712ED5">
      <w:pPr>
        <w:autoSpaceDE w:val="0"/>
        <w:autoSpaceDN w:val="0"/>
        <w:adjustRightInd w:val="0"/>
        <w:spacing w:line="264" w:lineRule="auto"/>
        <w:rPr>
          <w:rFonts w:ascii="Arial" w:hAnsi="Arial" w:cs="Arial"/>
          <w:sz w:val="20"/>
          <w:szCs w:val="20"/>
          <w:lang w:eastAsia="en-AU"/>
        </w:rPr>
      </w:pPr>
    </w:p>
    <w:p w:rsidR="00056848" w:rsidRDefault="00056848" w:rsidP="00712ED5">
      <w:pPr>
        <w:autoSpaceDE w:val="0"/>
        <w:autoSpaceDN w:val="0"/>
        <w:adjustRightInd w:val="0"/>
        <w:spacing w:line="264" w:lineRule="auto"/>
        <w:rPr>
          <w:rFonts w:ascii="Arial" w:hAnsi="Arial" w:cs="Arial"/>
          <w:sz w:val="20"/>
          <w:szCs w:val="20"/>
          <w:lang w:eastAsia="en-AU"/>
        </w:rPr>
      </w:pPr>
      <w:r>
        <w:rPr>
          <w:rFonts w:ascii="Arial" w:hAnsi="Arial" w:cs="Arial"/>
          <w:sz w:val="20"/>
          <w:szCs w:val="20"/>
          <w:lang w:eastAsia="en-AU"/>
        </w:rPr>
        <w:t>The ATA has calculated over-recovery for 2013-14</w:t>
      </w:r>
      <w:r w:rsidR="00D03610">
        <w:rPr>
          <w:rFonts w:ascii="Arial" w:hAnsi="Arial" w:cs="Arial"/>
          <w:sz w:val="20"/>
          <w:szCs w:val="20"/>
          <w:lang w:eastAsia="en-AU"/>
        </w:rPr>
        <w:t>,</w:t>
      </w:r>
      <w:r>
        <w:rPr>
          <w:rFonts w:ascii="Arial" w:hAnsi="Arial" w:cs="Arial"/>
          <w:sz w:val="20"/>
          <w:szCs w:val="20"/>
          <w:lang w:eastAsia="en-AU"/>
        </w:rPr>
        <w:t xml:space="preserve"> </w:t>
      </w:r>
      <w:r w:rsidR="00D14EC0">
        <w:rPr>
          <w:rFonts w:ascii="Arial" w:hAnsi="Arial" w:cs="Arial"/>
          <w:sz w:val="20"/>
          <w:szCs w:val="20"/>
          <w:lang w:eastAsia="en-AU"/>
        </w:rPr>
        <w:t xml:space="preserve">by </w:t>
      </w:r>
      <w:r w:rsidR="00D03610">
        <w:rPr>
          <w:rFonts w:ascii="Arial" w:hAnsi="Arial" w:cs="Arial"/>
          <w:sz w:val="20"/>
          <w:szCs w:val="20"/>
          <w:lang w:eastAsia="en-AU"/>
        </w:rPr>
        <w:t>comparing the PayGo</w:t>
      </w:r>
      <w:r w:rsidR="004B48AF">
        <w:rPr>
          <w:rFonts w:ascii="Arial" w:hAnsi="Arial" w:cs="Arial"/>
          <w:sz w:val="20"/>
          <w:szCs w:val="20"/>
          <w:lang w:eastAsia="en-AU"/>
        </w:rPr>
        <w:t xml:space="preserve"> cost base to be recovered </w:t>
      </w:r>
      <w:r w:rsidR="00D14EC0">
        <w:rPr>
          <w:rFonts w:ascii="Arial" w:hAnsi="Arial" w:cs="Arial"/>
          <w:sz w:val="20"/>
          <w:szCs w:val="20"/>
          <w:lang w:eastAsia="en-AU"/>
        </w:rPr>
        <w:t xml:space="preserve">in 2013-14 </w:t>
      </w:r>
      <w:r w:rsidR="004B48AF">
        <w:rPr>
          <w:rFonts w:ascii="Arial" w:hAnsi="Arial" w:cs="Arial"/>
          <w:sz w:val="20"/>
          <w:szCs w:val="20"/>
          <w:lang w:eastAsia="en-AU"/>
        </w:rPr>
        <w:t>($2.9</w:t>
      </w:r>
      <w:r>
        <w:rPr>
          <w:rFonts w:ascii="Arial" w:hAnsi="Arial" w:cs="Arial"/>
          <w:sz w:val="20"/>
          <w:szCs w:val="20"/>
          <w:lang w:eastAsia="en-AU"/>
        </w:rPr>
        <w:t xml:space="preserve"> billion) with the estimated revenue</w:t>
      </w:r>
      <w:r w:rsidR="00D14EC0">
        <w:rPr>
          <w:rFonts w:ascii="Arial" w:hAnsi="Arial" w:cs="Arial"/>
          <w:sz w:val="20"/>
          <w:szCs w:val="20"/>
          <w:lang w:eastAsia="en-AU"/>
        </w:rPr>
        <w:t xml:space="preserve"> taken in </w:t>
      </w:r>
      <w:r w:rsidR="00D03610">
        <w:rPr>
          <w:rFonts w:ascii="Arial" w:hAnsi="Arial" w:cs="Arial"/>
          <w:sz w:val="20"/>
          <w:szCs w:val="20"/>
          <w:lang w:eastAsia="en-AU"/>
        </w:rPr>
        <w:t xml:space="preserve">the </w:t>
      </w:r>
      <w:r w:rsidR="00D14EC0">
        <w:rPr>
          <w:rFonts w:ascii="Arial" w:hAnsi="Arial" w:cs="Arial"/>
          <w:sz w:val="20"/>
          <w:szCs w:val="20"/>
          <w:lang w:eastAsia="en-AU"/>
        </w:rPr>
        <w:t>2013-14 period</w:t>
      </w:r>
      <w:r>
        <w:rPr>
          <w:rFonts w:ascii="Arial" w:hAnsi="Arial" w:cs="Arial"/>
          <w:sz w:val="20"/>
          <w:szCs w:val="20"/>
          <w:lang w:eastAsia="en-AU"/>
        </w:rPr>
        <w:t xml:space="preserve"> using actual registration figures from December 2011. </w:t>
      </w:r>
      <w:r w:rsidR="00D14EC0">
        <w:rPr>
          <w:rFonts w:ascii="Arial" w:hAnsi="Arial" w:cs="Arial"/>
          <w:sz w:val="20"/>
          <w:szCs w:val="20"/>
          <w:lang w:eastAsia="en-AU"/>
        </w:rPr>
        <w:t xml:space="preserve">Estimated revenue is calculated </w:t>
      </w:r>
      <w:r>
        <w:rPr>
          <w:rFonts w:ascii="Arial" w:hAnsi="Arial" w:cs="Arial"/>
          <w:sz w:val="20"/>
          <w:szCs w:val="20"/>
          <w:lang w:eastAsia="en-AU"/>
        </w:rPr>
        <w:t>using 2013-14</w:t>
      </w:r>
      <w:r w:rsidR="00D14EC0">
        <w:rPr>
          <w:rFonts w:ascii="Arial" w:hAnsi="Arial" w:cs="Arial"/>
          <w:sz w:val="20"/>
          <w:szCs w:val="20"/>
          <w:lang w:eastAsia="en-AU"/>
        </w:rPr>
        <w:t xml:space="preserve"> heavy vehicle</w:t>
      </w:r>
      <w:r>
        <w:rPr>
          <w:rFonts w:ascii="Arial" w:hAnsi="Arial" w:cs="Arial"/>
          <w:sz w:val="20"/>
          <w:szCs w:val="20"/>
          <w:lang w:eastAsia="en-AU"/>
        </w:rPr>
        <w:t xml:space="preserve"> charges and </w:t>
      </w:r>
      <w:r w:rsidR="00D14EC0">
        <w:rPr>
          <w:rFonts w:ascii="Arial" w:hAnsi="Arial" w:cs="Arial"/>
          <w:sz w:val="20"/>
          <w:szCs w:val="20"/>
          <w:lang w:eastAsia="en-AU"/>
        </w:rPr>
        <w:t xml:space="preserve">the </w:t>
      </w:r>
      <w:r>
        <w:rPr>
          <w:rFonts w:ascii="Arial" w:hAnsi="Arial" w:cs="Arial"/>
          <w:sz w:val="20"/>
          <w:szCs w:val="20"/>
          <w:lang w:eastAsia="en-AU"/>
        </w:rPr>
        <w:t xml:space="preserve">RUC for 2013-14. Industry is </w:t>
      </w:r>
      <w:r w:rsidR="00EE1242">
        <w:rPr>
          <w:rFonts w:ascii="Arial" w:hAnsi="Arial" w:cs="Arial"/>
          <w:sz w:val="20"/>
          <w:szCs w:val="20"/>
          <w:lang w:eastAsia="en-AU"/>
        </w:rPr>
        <w:t>projected</w:t>
      </w:r>
      <w:r>
        <w:rPr>
          <w:rFonts w:ascii="Arial" w:hAnsi="Arial" w:cs="Arial"/>
          <w:sz w:val="20"/>
          <w:szCs w:val="20"/>
          <w:lang w:eastAsia="en-AU"/>
        </w:rPr>
        <w:t xml:space="preserve"> to pay $3.7 billion, meaning an over-recovery </w:t>
      </w:r>
      <w:r w:rsidR="002C0C38">
        <w:rPr>
          <w:rFonts w:ascii="Arial" w:hAnsi="Arial" w:cs="Arial"/>
          <w:sz w:val="20"/>
          <w:szCs w:val="20"/>
          <w:lang w:eastAsia="en-AU"/>
        </w:rPr>
        <w:t xml:space="preserve">of </w:t>
      </w:r>
      <w:r w:rsidR="00EE1242">
        <w:rPr>
          <w:rFonts w:ascii="Arial" w:hAnsi="Arial" w:cs="Arial"/>
          <w:sz w:val="20"/>
          <w:szCs w:val="20"/>
          <w:lang w:eastAsia="en-AU"/>
        </w:rPr>
        <w:t xml:space="preserve">over </w:t>
      </w:r>
      <w:r w:rsidR="002C0C38">
        <w:rPr>
          <w:rFonts w:ascii="Arial" w:hAnsi="Arial" w:cs="Arial"/>
          <w:sz w:val="20"/>
          <w:szCs w:val="20"/>
          <w:lang w:eastAsia="en-AU"/>
        </w:rPr>
        <w:t>$</w:t>
      </w:r>
      <w:r w:rsidR="004B48AF">
        <w:rPr>
          <w:rFonts w:ascii="Arial" w:hAnsi="Arial" w:cs="Arial"/>
          <w:sz w:val="20"/>
          <w:szCs w:val="20"/>
          <w:lang w:eastAsia="en-AU"/>
        </w:rPr>
        <w:t>8</w:t>
      </w:r>
      <w:r>
        <w:rPr>
          <w:rFonts w:ascii="Arial" w:hAnsi="Arial" w:cs="Arial"/>
          <w:sz w:val="20"/>
          <w:szCs w:val="20"/>
          <w:lang w:eastAsia="en-AU"/>
        </w:rPr>
        <w:t>00 million</w:t>
      </w:r>
      <w:r w:rsidR="00512224">
        <w:rPr>
          <w:rFonts w:ascii="Arial" w:hAnsi="Arial" w:cs="Arial"/>
          <w:sz w:val="20"/>
          <w:szCs w:val="20"/>
          <w:lang w:eastAsia="en-AU"/>
        </w:rPr>
        <w:t xml:space="preserve">. </w:t>
      </w:r>
    </w:p>
    <w:p w:rsidR="00512224" w:rsidRDefault="00512224" w:rsidP="00712ED5">
      <w:pPr>
        <w:autoSpaceDE w:val="0"/>
        <w:autoSpaceDN w:val="0"/>
        <w:adjustRightInd w:val="0"/>
        <w:spacing w:line="264" w:lineRule="auto"/>
        <w:rPr>
          <w:rFonts w:ascii="Arial" w:hAnsi="Arial" w:cs="Arial"/>
          <w:sz w:val="20"/>
          <w:szCs w:val="20"/>
          <w:lang w:eastAsia="en-AU"/>
        </w:rPr>
      </w:pPr>
    </w:p>
    <w:tbl>
      <w:tblPr>
        <w:tblStyle w:val="TableGrid"/>
        <w:tblW w:w="0" w:type="auto"/>
        <w:tblLook w:val="04A0"/>
      </w:tblPr>
      <w:tblGrid>
        <w:gridCol w:w="2063"/>
        <w:gridCol w:w="3158"/>
        <w:gridCol w:w="4633"/>
      </w:tblGrid>
      <w:tr w:rsidR="00512224" w:rsidRPr="00512224" w:rsidTr="00AF327F">
        <w:trPr>
          <w:trHeight w:val="800"/>
        </w:trPr>
        <w:tc>
          <w:tcPr>
            <w:tcW w:w="0" w:type="auto"/>
            <w:noWrap/>
            <w:hideMark/>
          </w:tcPr>
          <w:p w:rsidR="00512224" w:rsidRPr="00512224" w:rsidRDefault="00512224" w:rsidP="00512224">
            <w:pPr>
              <w:rPr>
                <w:rFonts w:eastAsia="Times New Roman"/>
                <w:b/>
                <w:bCs/>
                <w:color w:val="000000"/>
                <w:sz w:val="20"/>
                <w:szCs w:val="20"/>
                <w:lang w:eastAsia="en-AU"/>
              </w:rPr>
            </w:pPr>
          </w:p>
        </w:tc>
        <w:tc>
          <w:tcPr>
            <w:tcW w:w="0" w:type="auto"/>
            <w:hideMark/>
          </w:tcPr>
          <w:p w:rsidR="00512224" w:rsidRPr="00512224" w:rsidRDefault="00512224" w:rsidP="00512224">
            <w:pPr>
              <w:jc w:val="center"/>
              <w:rPr>
                <w:rFonts w:eastAsia="Times New Roman"/>
                <w:b/>
                <w:bCs/>
                <w:color w:val="000000"/>
                <w:sz w:val="20"/>
                <w:szCs w:val="20"/>
                <w:lang w:eastAsia="en-AU"/>
              </w:rPr>
            </w:pPr>
            <w:r w:rsidRPr="00512224">
              <w:rPr>
                <w:rFonts w:eastAsia="Times New Roman"/>
                <w:b/>
                <w:bCs/>
                <w:color w:val="000000"/>
                <w:sz w:val="20"/>
                <w:szCs w:val="20"/>
                <w:lang w:eastAsia="en-AU"/>
              </w:rPr>
              <w:t>Expenditure cost base to be recovered in 2013-14</w:t>
            </w:r>
          </w:p>
        </w:tc>
        <w:tc>
          <w:tcPr>
            <w:tcW w:w="0" w:type="auto"/>
            <w:hideMark/>
          </w:tcPr>
          <w:p w:rsidR="00512224" w:rsidRPr="00512224" w:rsidRDefault="00512224" w:rsidP="00512224">
            <w:pPr>
              <w:jc w:val="center"/>
              <w:rPr>
                <w:rFonts w:eastAsia="Times New Roman"/>
                <w:b/>
                <w:bCs/>
                <w:color w:val="000000"/>
                <w:sz w:val="20"/>
                <w:szCs w:val="20"/>
                <w:lang w:eastAsia="en-AU"/>
              </w:rPr>
            </w:pPr>
            <w:r w:rsidRPr="004B48AF">
              <w:rPr>
                <w:rFonts w:eastAsia="Times New Roman"/>
                <w:b/>
                <w:bCs/>
                <w:color w:val="000000"/>
                <w:sz w:val="20"/>
                <w:szCs w:val="20"/>
                <w:lang w:eastAsia="en-AU"/>
              </w:rPr>
              <w:t>Estimated</w:t>
            </w:r>
            <w:r w:rsidR="00D03610">
              <w:rPr>
                <w:rFonts w:eastAsia="Times New Roman"/>
                <w:b/>
                <w:bCs/>
                <w:color w:val="000000"/>
                <w:sz w:val="20"/>
                <w:szCs w:val="20"/>
                <w:lang w:eastAsia="en-AU"/>
              </w:rPr>
              <w:t xml:space="preserve"> registration</w:t>
            </w:r>
            <w:r w:rsidRPr="00512224">
              <w:rPr>
                <w:rFonts w:eastAsia="Times New Roman"/>
                <w:b/>
                <w:bCs/>
                <w:color w:val="000000"/>
                <w:sz w:val="20"/>
                <w:szCs w:val="20"/>
                <w:lang w:eastAsia="en-AU"/>
              </w:rPr>
              <w:t xml:space="preserve"> revenue collected in 2013-14 (excludes concessions given by states)</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NSW</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421,800,000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280,897,664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VIC</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177,600,000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335,809,104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QLD</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359,300,000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301,135,332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SA</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61,700,000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109,273,288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NT</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14,000,000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20,811,748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TAS</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15,000,000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22,449,544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 xml:space="preserve">ACT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13,000,000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3,104,519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WA</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116,600,000 </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218,425,747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 xml:space="preserve">Commonwealth </w:t>
            </w:r>
            <w:r w:rsidR="00D03610">
              <w:rPr>
                <w:rFonts w:eastAsia="Times New Roman"/>
                <w:b/>
                <w:bCs/>
                <w:color w:val="000000"/>
                <w:sz w:val="20"/>
                <w:szCs w:val="20"/>
                <w:lang w:eastAsia="en-AU"/>
              </w:rPr>
              <w:t>(RUC)</w:t>
            </w:r>
          </w:p>
        </w:tc>
        <w:tc>
          <w:tcPr>
            <w:tcW w:w="0" w:type="auto"/>
            <w:noWrap/>
            <w:hideMark/>
          </w:tcPr>
          <w:p w:rsidR="00512224" w:rsidRPr="00512224" w:rsidRDefault="00512224" w:rsidP="00512224">
            <w:pPr>
              <w:rPr>
                <w:rFonts w:eastAsia="Times New Roman"/>
                <w:color w:val="000000"/>
                <w:sz w:val="20"/>
                <w:szCs w:val="20"/>
                <w:lang w:eastAsia="en-AU"/>
              </w:rPr>
            </w:pPr>
            <w:r w:rsidRPr="00512224">
              <w:rPr>
                <w:rFonts w:eastAsia="Times New Roman"/>
                <w:color w:val="000000"/>
                <w:sz w:val="20"/>
                <w:szCs w:val="20"/>
                <w:lang w:eastAsia="en-AU"/>
              </w:rPr>
              <w:t xml:space="preserve"> $                1,703,179,408 </w:t>
            </w:r>
          </w:p>
        </w:tc>
        <w:tc>
          <w:tcPr>
            <w:tcW w:w="0" w:type="auto"/>
            <w:noWrap/>
            <w:hideMark/>
          </w:tcPr>
          <w:p w:rsidR="00512224" w:rsidRPr="00512224" w:rsidRDefault="00512224" w:rsidP="004B48AF">
            <w:pPr>
              <w:rPr>
                <w:rFonts w:eastAsia="Times New Roman"/>
                <w:color w:val="000000"/>
                <w:sz w:val="20"/>
                <w:szCs w:val="20"/>
                <w:lang w:eastAsia="en-AU"/>
              </w:rPr>
            </w:pPr>
            <w:r w:rsidRPr="00512224">
              <w:rPr>
                <w:rFonts w:eastAsia="Times New Roman"/>
                <w:color w:val="000000"/>
                <w:sz w:val="20"/>
                <w:szCs w:val="20"/>
                <w:lang w:eastAsia="en-AU"/>
              </w:rPr>
              <w:t xml:space="preserve"> $                2,408,946,662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 xml:space="preserve">Total revenue </w:t>
            </w:r>
          </w:p>
        </w:tc>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 xml:space="preserve"> $                2,882,179,408 </w:t>
            </w:r>
          </w:p>
        </w:tc>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 xml:space="preserve"> $                3,700,853,608 </w:t>
            </w:r>
          </w:p>
        </w:tc>
      </w:tr>
      <w:tr w:rsidR="00512224" w:rsidRPr="00512224" w:rsidTr="00AF327F">
        <w:trPr>
          <w:trHeight w:val="315"/>
        </w:trPr>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Difference</w:t>
            </w:r>
          </w:p>
        </w:tc>
        <w:tc>
          <w:tcPr>
            <w:tcW w:w="0" w:type="auto"/>
            <w:noWrap/>
            <w:hideMark/>
          </w:tcPr>
          <w:p w:rsidR="00512224" w:rsidRPr="00512224" w:rsidRDefault="00512224" w:rsidP="00512224">
            <w:pPr>
              <w:rPr>
                <w:rFonts w:eastAsia="Times New Roman"/>
                <w:b/>
                <w:bCs/>
                <w:color w:val="000000"/>
                <w:sz w:val="20"/>
                <w:szCs w:val="20"/>
                <w:lang w:eastAsia="en-AU"/>
              </w:rPr>
            </w:pPr>
            <w:r w:rsidRPr="00512224">
              <w:rPr>
                <w:rFonts w:eastAsia="Times New Roman"/>
                <w:b/>
                <w:bCs/>
                <w:color w:val="000000"/>
                <w:sz w:val="20"/>
                <w:szCs w:val="20"/>
                <w:lang w:eastAsia="en-AU"/>
              </w:rPr>
              <w:t> </w:t>
            </w:r>
          </w:p>
        </w:tc>
        <w:tc>
          <w:tcPr>
            <w:tcW w:w="0" w:type="auto"/>
            <w:noWrap/>
            <w:hideMark/>
          </w:tcPr>
          <w:p w:rsidR="00512224" w:rsidRPr="00512224" w:rsidRDefault="00512224" w:rsidP="004B48AF">
            <w:pPr>
              <w:rPr>
                <w:rFonts w:eastAsia="Times New Roman"/>
                <w:b/>
                <w:bCs/>
                <w:color w:val="000000"/>
                <w:sz w:val="20"/>
                <w:szCs w:val="20"/>
                <w:lang w:eastAsia="en-AU"/>
              </w:rPr>
            </w:pPr>
            <w:r w:rsidRPr="00512224">
              <w:rPr>
                <w:rFonts w:eastAsia="Times New Roman"/>
                <w:b/>
                <w:bCs/>
                <w:color w:val="000000"/>
                <w:sz w:val="20"/>
                <w:szCs w:val="20"/>
                <w:lang w:eastAsia="en-AU"/>
              </w:rPr>
              <w:t xml:space="preserve"> $                    818,674,200 </w:t>
            </w:r>
          </w:p>
        </w:tc>
      </w:tr>
    </w:tbl>
    <w:p w:rsidR="00AF327F" w:rsidRDefault="00AF327F" w:rsidP="00712ED5">
      <w:pPr>
        <w:autoSpaceDE w:val="0"/>
        <w:autoSpaceDN w:val="0"/>
        <w:adjustRightInd w:val="0"/>
        <w:spacing w:line="264" w:lineRule="auto"/>
        <w:rPr>
          <w:rFonts w:ascii="Arial" w:hAnsi="Arial" w:cs="Arial"/>
          <w:sz w:val="18"/>
          <w:szCs w:val="18"/>
          <w:lang w:eastAsia="en-AU"/>
        </w:rPr>
      </w:pPr>
    </w:p>
    <w:p w:rsidR="00AF327F" w:rsidRDefault="00AF327F" w:rsidP="00712ED5">
      <w:pPr>
        <w:autoSpaceDE w:val="0"/>
        <w:autoSpaceDN w:val="0"/>
        <w:adjustRightInd w:val="0"/>
        <w:spacing w:line="264" w:lineRule="auto"/>
        <w:rPr>
          <w:rFonts w:ascii="Arial" w:hAnsi="Arial" w:cs="Arial"/>
          <w:sz w:val="18"/>
          <w:szCs w:val="18"/>
          <w:lang w:eastAsia="en-AU"/>
        </w:rPr>
      </w:pPr>
    </w:p>
    <w:p w:rsidR="008B20CD" w:rsidRPr="007360B9" w:rsidRDefault="004B48AF" w:rsidP="00712ED5">
      <w:pPr>
        <w:autoSpaceDE w:val="0"/>
        <w:autoSpaceDN w:val="0"/>
        <w:adjustRightInd w:val="0"/>
        <w:spacing w:line="264" w:lineRule="auto"/>
        <w:rPr>
          <w:rFonts w:ascii="Arial" w:hAnsi="Arial" w:cs="Arial"/>
          <w:sz w:val="18"/>
          <w:szCs w:val="18"/>
          <w:lang w:eastAsia="en-AU"/>
        </w:rPr>
      </w:pPr>
      <w:r w:rsidRPr="007360B9">
        <w:rPr>
          <w:rFonts w:ascii="Arial" w:hAnsi="Arial" w:cs="Arial"/>
          <w:sz w:val="18"/>
          <w:szCs w:val="18"/>
          <w:lang w:eastAsia="en-AU"/>
        </w:rPr>
        <w:t xml:space="preserve">Source: </w:t>
      </w:r>
    </w:p>
    <w:p w:rsidR="008B20CD" w:rsidRPr="007360B9" w:rsidRDefault="00FA4F10" w:rsidP="008B20CD">
      <w:pPr>
        <w:pStyle w:val="ListParagraph"/>
        <w:numPr>
          <w:ilvl w:val="0"/>
          <w:numId w:val="35"/>
        </w:numPr>
        <w:autoSpaceDE w:val="0"/>
        <w:autoSpaceDN w:val="0"/>
        <w:adjustRightInd w:val="0"/>
        <w:spacing w:line="264" w:lineRule="auto"/>
        <w:rPr>
          <w:rFonts w:ascii="Arial" w:hAnsi="Arial" w:cs="Arial"/>
          <w:sz w:val="18"/>
          <w:szCs w:val="18"/>
          <w:lang w:eastAsia="en-AU"/>
        </w:rPr>
      </w:pPr>
      <w:r>
        <w:rPr>
          <w:rFonts w:ascii="Arial" w:hAnsi="Arial" w:cs="Arial"/>
          <w:sz w:val="18"/>
          <w:szCs w:val="18"/>
          <w:u w:val="single"/>
          <w:lang w:eastAsia="en-AU"/>
        </w:rPr>
        <w:t>E</w:t>
      </w:r>
      <w:r w:rsidR="004B48AF" w:rsidRPr="00FA4F10">
        <w:rPr>
          <w:rFonts w:ascii="Arial" w:hAnsi="Arial" w:cs="Arial"/>
          <w:sz w:val="18"/>
          <w:szCs w:val="18"/>
          <w:u w:val="single"/>
          <w:lang w:eastAsia="en-AU"/>
        </w:rPr>
        <w:t>xpenditure cost base to be recovered 2013-14</w:t>
      </w:r>
      <w:r w:rsidR="004B48AF" w:rsidRPr="007360B9">
        <w:rPr>
          <w:rFonts w:ascii="Arial" w:hAnsi="Arial" w:cs="Arial"/>
          <w:sz w:val="18"/>
          <w:szCs w:val="18"/>
          <w:lang w:eastAsia="en-AU"/>
        </w:rPr>
        <w:t xml:space="preserve">: NTC annual report 2011-12 page 93 </w:t>
      </w:r>
    </w:p>
    <w:p w:rsidR="008B20CD" w:rsidRPr="00FA4F10" w:rsidRDefault="004B48AF" w:rsidP="008B20CD">
      <w:pPr>
        <w:pStyle w:val="ListParagraph"/>
        <w:numPr>
          <w:ilvl w:val="0"/>
          <w:numId w:val="35"/>
        </w:numPr>
        <w:autoSpaceDE w:val="0"/>
        <w:autoSpaceDN w:val="0"/>
        <w:adjustRightInd w:val="0"/>
        <w:spacing w:line="264" w:lineRule="auto"/>
        <w:rPr>
          <w:rFonts w:ascii="Arial" w:hAnsi="Arial" w:cs="Arial"/>
          <w:sz w:val="18"/>
          <w:szCs w:val="18"/>
          <w:u w:val="single"/>
          <w:lang w:eastAsia="en-AU"/>
        </w:rPr>
      </w:pPr>
      <w:r w:rsidRPr="00FA4F10">
        <w:rPr>
          <w:rFonts w:ascii="Arial" w:hAnsi="Arial" w:cs="Arial"/>
          <w:sz w:val="18"/>
          <w:szCs w:val="18"/>
          <w:u w:val="single"/>
          <w:lang w:eastAsia="en-AU"/>
        </w:rPr>
        <w:t xml:space="preserve">Commonwealth </w:t>
      </w:r>
      <w:r w:rsidR="00FA4F10">
        <w:rPr>
          <w:rFonts w:ascii="Arial" w:hAnsi="Arial" w:cs="Arial"/>
          <w:sz w:val="18"/>
          <w:szCs w:val="18"/>
          <w:u w:val="single"/>
          <w:lang w:eastAsia="en-AU"/>
        </w:rPr>
        <w:t xml:space="preserve">(RUC): </w:t>
      </w:r>
      <w:r w:rsidRPr="007360B9">
        <w:rPr>
          <w:rFonts w:ascii="Arial" w:hAnsi="Arial" w:cs="Arial"/>
          <w:sz w:val="18"/>
          <w:szCs w:val="18"/>
          <w:lang w:eastAsia="en-AU"/>
        </w:rPr>
        <w:t xml:space="preserve">based on SMVU </w:t>
      </w:r>
      <w:r w:rsidR="00EE1242">
        <w:rPr>
          <w:rFonts w:ascii="Arial" w:hAnsi="Arial" w:cs="Arial"/>
          <w:sz w:val="18"/>
          <w:szCs w:val="18"/>
          <w:lang w:eastAsia="en-AU"/>
        </w:rPr>
        <w:t xml:space="preserve">figures </w:t>
      </w:r>
      <w:r w:rsidR="008B20CD" w:rsidRPr="007360B9">
        <w:rPr>
          <w:rFonts w:ascii="Arial" w:hAnsi="Arial" w:cs="Arial"/>
          <w:sz w:val="18"/>
          <w:szCs w:val="18"/>
          <w:lang w:eastAsia="en-AU"/>
        </w:rPr>
        <w:t xml:space="preserve">from Table 15. Scenario B usage and cost allocation data (for recalculated 2012/13 charges) page 37 </w:t>
      </w:r>
      <w:r w:rsidR="00EE1242">
        <w:rPr>
          <w:rFonts w:ascii="Arial" w:hAnsi="Arial" w:cs="Arial"/>
          <w:sz w:val="18"/>
          <w:szCs w:val="18"/>
          <w:lang w:eastAsia="en-AU"/>
        </w:rPr>
        <w:t xml:space="preserve">of the NTC </w:t>
      </w:r>
      <w:r w:rsidR="008B20CD" w:rsidRPr="007360B9">
        <w:rPr>
          <w:rFonts w:ascii="Arial" w:hAnsi="Arial" w:cs="Arial"/>
          <w:sz w:val="18"/>
          <w:szCs w:val="18"/>
          <w:lang w:eastAsia="en-AU"/>
        </w:rPr>
        <w:t xml:space="preserve">Heavy vehicle charges – Report to the Standing Council on Transport and Infrastructure February 2012 multiplied by 0.2614 </w:t>
      </w:r>
      <w:proofErr w:type="spellStart"/>
      <w:r w:rsidR="008B20CD" w:rsidRPr="007360B9">
        <w:rPr>
          <w:rFonts w:ascii="Arial" w:hAnsi="Arial" w:cs="Arial"/>
          <w:sz w:val="18"/>
          <w:szCs w:val="18"/>
          <w:lang w:eastAsia="en-AU"/>
        </w:rPr>
        <w:t>cpl</w:t>
      </w:r>
      <w:proofErr w:type="spellEnd"/>
      <w:r w:rsidR="008B20CD" w:rsidRPr="007360B9">
        <w:rPr>
          <w:rFonts w:ascii="Arial" w:hAnsi="Arial" w:cs="Arial"/>
          <w:sz w:val="18"/>
          <w:szCs w:val="18"/>
          <w:lang w:eastAsia="en-AU"/>
        </w:rPr>
        <w:t xml:space="preserve"> for 2013-14. </w:t>
      </w:r>
    </w:p>
    <w:p w:rsidR="008B20CD" w:rsidRPr="007360B9" w:rsidRDefault="008B20CD" w:rsidP="008B20CD">
      <w:pPr>
        <w:pStyle w:val="ListParagraph"/>
        <w:numPr>
          <w:ilvl w:val="0"/>
          <w:numId w:val="35"/>
        </w:numPr>
        <w:autoSpaceDE w:val="0"/>
        <w:autoSpaceDN w:val="0"/>
        <w:adjustRightInd w:val="0"/>
        <w:spacing w:line="264" w:lineRule="auto"/>
        <w:rPr>
          <w:rFonts w:ascii="Arial" w:hAnsi="Arial" w:cs="Arial"/>
          <w:sz w:val="18"/>
          <w:szCs w:val="18"/>
          <w:lang w:eastAsia="en-AU"/>
        </w:rPr>
      </w:pPr>
      <w:r w:rsidRPr="00FA4F10">
        <w:rPr>
          <w:rFonts w:ascii="Arial" w:hAnsi="Arial" w:cs="Arial"/>
          <w:bCs/>
          <w:sz w:val="18"/>
          <w:szCs w:val="18"/>
          <w:u w:val="single"/>
          <w:lang w:eastAsia="en-AU"/>
        </w:rPr>
        <w:t xml:space="preserve">Estimated </w:t>
      </w:r>
      <w:r w:rsidR="00FA4F10" w:rsidRPr="00FA4F10">
        <w:rPr>
          <w:rFonts w:ascii="Arial" w:hAnsi="Arial" w:cs="Arial"/>
          <w:bCs/>
          <w:sz w:val="18"/>
          <w:szCs w:val="18"/>
          <w:u w:val="single"/>
          <w:lang w:eastAsia="en-AU"/>
        </w:rPr>
        <w:t xml:space="preserve">registration </w:t>
      </w:r>
      <w:r w:rsidRPr="00FA4F10">
        <w:rPr>
          <w:rFonts w:ascii="Arial" w:hAnsi="Arial" w:cs="Arial"/>
          <w:bCs/>
          <w:sz w:val="18"/>
          <w:szCs w:val="18"/>
          <w:u w:val="single"/>
          <w:lang w:eastAsia="en-AU"/>
        </w:rPr>
        <w:t>revenue collected in 2013-14 (excludes concessions given by states):</w:t>
      </w:r>
      <w:r w:rsidRPr="007360B9">
        <w:rPr>
          <w:rFonts w:ascii="Arial" w:hAnsi="Arial" w:cs="Arial"/>
          <w:bCs/>
          <w:sz w:val="18"/>
          <w:szCs w:val="18"/>
          <w:lang w:eastAsia="en-AU"/>
        </w:rPr>
        <w:t xml:space="preserve"> from December 2011 registration figures multiplied by 2013-14 heavy vehicle charges</w:t>
      </w:r>
    </w:p>
    <w:p w:rsidR="008B20CD" w:rsidRPr="007360B9" w:rsidRDefault="008B20CD" w:rsidP="008B20CD">
      <w:pPr>
        <w:pStyle w:val="ListParagraph"/>
        <w:numPr>
          <w:ilvl w:val="0"/>
          <w:numId w:val="35"/>
        </w:numPr>
        <w:autoSpaceDE w:val="0"/>
        <w:autoSpaceDN w:val="0"/>
        <w:adjustRightInd w:val="0"/>
        <w:spacing w:line="264" w:lineRule="auto"/>
        <w:rPr>
          <w:rFonts w:ascii="Arial" w:hAnsi="Arial" w:cs="Arial"/>
          <w:sz w:val="18"/>
          <w:szCs w:val="18"/>
          <w:lang w:eastAsia="en-AU"/>
        </w:rPr>
      </w:pPr>
      <w:r w:rsidRPr="00FA4F10">
        <w:rPr>
          <w:rFonts w:ascii="Arial" w:hAnsi="Arial" w:cs="Arial"/>
          <w:bCs/>
          <w:sz w:val="18"/>
          <w:szCs w:val="18"/>
          <w:u w:val="single"/>
          <w:lang w:eastAsia="en-AU"/>
        </w:rPr>
        <w:t xml:space="preserve">Commonwealth </w:t>
      </w:r>
      <w:r w:rsidR="00FA4F10">
        <w:rPr>
          <w:rFonts w:ascii="Arial" w:hAnsi="Arial" w:cs="Arial"/>
          <w:bCs/>
          <w:sz w:val="18"/>
          <w:szCs w:val="18"/>
          <w:u w:val="single"/>
          <w:lang w:eastAsia="en-AU"/>
        </w:rPr>
        <w:t xml:space="preserve">(RUC) </w:t>
      </w:r>
      <w:r w:rsidRPr="00FA4F10">
        <w:rPr>
          <w:rFonts w:ascii="Arial" w:hAnsi="Arial" w:cs="Arial"/>
          <w:bCs/>
          <w:sz w:val="18"/>
          <w:szCs w:val="18"/>
          <w:u w:val="single"/>
          <w:lang w:eastAsia="en-AU"/>
        </w:rPr>
        <w:t>revenue</w:t>
      </w:r>
      <w:r w:rsidRPr="007360B9">
        <w:rPr>
          <w:rFonts w:ascii="Arial" w:hAnsi="Arial" w:cs="Arial"/>
          <w:bCs/>
          <w:sz w:val="18"/>
          <w:szCs w:val="18"/>
          <w:lang w:eastAsia="en-AU"/>
        </w:rPr>
        <w:t xml:space="preserve">: 2011 December registration figures allocated to </w:t>
      </w:r>
      <w:r w:rsidR="00EE1242">
        <w:rPr>
          <w:rFonts w:ascii="Arial" w:hAnsi="Arial" w:cs="Arial"/>
          <w:bCs/>
          <w:sz w:val="18"/>
          <w:szCs w:val="18"/>
          <w:lang w:eastAsia="en-AU"/>
        </w:rPr>
        <w:t xml:space="preserve">NTC </w:t>
      </w:r>
      <w:r w:rsidRPr="007360B9">
        <w:rPr>
          <w:rFonts w:ascii="Arial" w:hAnsi="Arial" w:cs="Arial"/>
          <w:bCs/>
          <w:sz w:val="18"/>
          <w:szCs w:val="18"/>
          <w:lang w:eastAsia="en-AU"/>
        </w:rPr>
        <w:t xml:space="preserve">vehicle classes multiplied by 0.2614 </w:t>
      </w:r>
      <w:proofErr w:type="spellStart"/>
      <w:r w:rsidRPr="007360B9">
        <w:rPr>
          <w:rFonts w:ascii="Arial" w:hAnsi="Arial" w:cs="Arial"/>
          <w:bCs/>
          <w:sz w:val="18"/>
          <w:szCs w:val="18"/>
          <w:lang w:eastAsia="en-AU"/>
        </w:rPr>
        <w:t>cpl</w:t>
      </w:r>
      <w:proofErr w:type="spellEnd"/>
      <w:r w:rsidRPr="007360B9">
        <w:rPr>
          <w:rFonts w:ascii="Arial" w:hAnsi="Arial" w:cs="Arial"/>
          <w:bCs/>
          <w:sz w:val="18"/>
          <w:szCs w:val="18"/>
          <w:lang w:eastAsia="en-AU"/>
        </w:rPr>
        <w:t xml:space="preserve"> for 2013-14.  </w:t>
      </w:r>
      <w:r w:rsidR="00560BE3" w:rsidRPr="007360B9">
        <w:rPr>
          <w:rFonts w:ascii="Arial" w:hAnsi="Arial" w:cs="Arial"/>
          <w:bCs/>
          <w:sz w:val="18"/>
          <w:szCs w:val="18"/>
          <w:lang w:eastAsia="en-AU"/>
        </w:rPr>
        <w:t>See appendix A</w:t>
      </w:r>
      <w:r w:rsidR="007360B9">
        <w:rPr>
          <w:rFonts w:ascii="Arial" w:hAnsi="Arial" w:cs="Arial"/>
          <w:bCs/>
          <w:sz w:val="18"/>
          <w:szCs w:val="18"/>
          <w:lang w:eastAsia="en-AU"/>
        </w:rPr>
        <w:t xml:space="preserve"> for further information. </w:t>
      </w:r>
    </w:p>
    <w:p w:rsidR="00C92CFB" w:rsidRPr="00CA6C07" w:rsidRDefault="00C92CFB" w:rsidP="00C92CFB">
      <w:pPr>
        <w:pStyle w:val="RecommendationStyle"/>
      </w:pPr>
      <w:bookmarkStart w:id="18" w:name="_Toc352071954"/>
      <w:bookmarkStart w:id="19" w:name="_Toc352149565"/>
      <w:bookmarkStart w:id="20" w:name="_Toc352163822"/>
      <w:bookmarkStart w:id="21" w:name="_Toc352228463"/>
      <w:bookmarkStart w:id="22" w:name="_Toc352231707"/>
      <w:bookmarkStart w:id="23" w:name="_Toc352740549"/>
      <w:bookmarkStart w:id="24" w:name="_Toc353434601"/>
      <w:bookmarkStart w:id="25" w:name="_Toc353435585"/>
      <w:bookmarkEnd w:id="18"/>
      <w:bookmarkEnd w:id="19"/>
      <w:bookmarkEnd w:id="20"/>
      <w:bookmarkEnd w:id="21"/>
      <w:bookmarkEnd w:id="22"/>
      <w:bookmarkEnd w:id="23"/>
      <w:bookmarkEnd w:id="24"/>
      <w:bookmarkEnd w:id="25"/>
    </w:p>
    <w:p w:rsidR="00C92CFB" w:rsidRDefault="00C92CFB" w:rsidP="00C92CFB">
      <w:pPr>
        <w:pStyle w:val="RecommendationStyle"/>
        <w:numPr>
          <w:ilvl w:val="0"/>
          <w:numId w:val="0"/>
        </w:numPr>
      </w:pPr>
      <w:bookmarkStart w:id="26" w:name="_Toc352071955"/>
      <w:bookmarkStart w:id="27" w:name="_Toc352149566"/>
      <w:bookmarkStart w:id="28" w:name="_Toc352163823"/>
      <w:bookmarkStart w:id="29" w:name="_Toc352228464"/>
      <w:bookmarkStart w:id="30" w:name="_Toc352231708"/>
      <w:bookmarkStart w:id="31" w:name="_Toc352740550"/>
      <w:bookmarkStart w:id="32" w:name="_Toc353434602"/>
      <w:bookmarkStart w:id="33" w:name="_Toc353435586"/>
      <w:r w:rsidRPr="00CA6C07">
        <w:t>The NTC continue to investigate the over/under recovery argument presented by industry and states.</w:t>
      </w:r>
      <w:bookmarkEnd w:id="26"/>
      <w:bookmarkEnd w:id="27"/>
      <w:bookmarkEnd w:id="28"/>
      <w:bookmarkEnd w:id="29"/>
      <w:bookmarkEnd w:id="30"/>
      <w:bookmarkEnd w:id="31"/>
      <w:bookmarkEnd w:id="32"/>
      <w:bookmarkEnd w:id="33"/>
      <w:r w:rsidRPr="00CA6C07">
        <w:t xml:space="preserve"> </w:t>
      </w:r>
    </w:p>
    <w:p w:rsidR="009C5B73" w:rsidRDefault="009C5B73" w:rsidP="009C5B73">
      <w:pPr>
        <w:pStyle w:val="RecommendationStyle"/>
        <w:numPr>
          <w:ilvl w:val="0"/>
          <w:numId w:val="0"/>
        </w:numPr>
        <w:spacing w:before="0" w:after="0"/>
      </w:pPr>
    </w:p>
    <w:p w:rsidR="009C5B73" w:rsidRPr="00CA6C07" w:rsidRDefault="009C5B73" w:rsidP="009C5B73">
      <w:pPr>
        <w:pStyle w:val="RecommendationStyle"/>
        <w:numPr>
          <w:ilvl w:val="0"/>
          <w:numId w:val="0"/>
        </w:numPr>
        <w:spacing w:before="0" w:after="0"/>
      </w:pPr>
    </w:p>
    <w:p w:rsidR="00134A9F" w:rsidRPr="00CA6C07" w:rsidRDefault="00134A9F" w:rsidP="00134A9F">
      <w:pPr>
        <w:pStyle w:val="Heading1"/>
        <w:numPr>
          <w:ilvl w:val="1"/>
          <w:numId w:val="3"/>
        </w:numPr>
        <w:jc w:val="both"/>
      </w:pPr>
      <w:bookmarkStart w:id="34" w:name="_Toc353434680"/>
      <w:r w:rsidRPr="00CA6C07">
        <w:t>Pricing principles</w:t>
      </w:r>
      <w:bookmarkEnd w:id="34"/>
      <w:r w:rsidRPr="00CA6C07">
        <w:t xml:space="preserve"> </w:t>
      </w:r>
    </w:p>
    <w:p w:rsidR="009C5B73" w:rsidRDefault="009C5B73" w:rsidP="00F839CF">
      <w:pPr>
        <w:autoSpaceDE w:val="0"/>
        <w:autoSpaceDN w:val="0"/>
        <w:adjustRightInd w:val="0"/>
        <w:rPr>
          <w:rFonts w:ascii="Arial" w:hAnsi="Arial" w:cs="Arial"/>
          <w:sz w:val="20"/>
          <w:szCs w:val="20"/>
          <w:highlight w:val="white"/>
          <w:lang w:eastAsia="en-AU"/>
        </w:rPr>
      </w:pPr>
    </w:p>
    <w:p w:rsidR="00F839CF" w:rsidRPr="00CA6C07" w:rsidRDefault="00F839CF" w:rsidP="00F839CF">
      <w:pPr>
        <w:autoSpaceDE w:val="0"/>
        <w:autoSpaceDN w:val="0"/>
        <w:adjustRightInd w:val="0"/>
        <w:rPr>
          <w:rFonts w:ascii="Arial" w:hAnsi="Arial" w:cs="Arial"/>
          <w:sz w:val="20"/>
          <w:szCs w:val="20"/>
          <w:highlight w:val="white"/>
          <w:lang w:eastAsia="en-AU"/>
        </w:rPr>
      </w:pPr>
      <w:r w:rsidRPr="00CA6C07">
        <w:rPr>
          <w:rFonts w:ascii="Arial" w:hAnsi="Arial" w:cs="Arial"/>
          <w:sz w:val="20"/>
          <w:szCs w:val="20"/>
          <w:highlight w:val="white"/>
          <w:lang w:eastAsia="en-AU"/>
        </w:rPr>
        <w:t xml:space="preserve">In the past pricing principles have been used to stop the progress of improvements to the PayGo model.  The NTC and stakeholders have recognised that the pricing principles are open to interpretation and should be used to enhance the PayGo model.  The ATA desire to have charges recognise the modularity of the fleet by having a single charges class for trailers can be accommodated in the pricing principles and does not cause conflict with the principle of ‘no-cross subsidisation by vehicle class’. This is done changing the fixed vehicle combinations class to a single trailer class. The NTC agree with this interpretation. </w:t>
      </w:r>
    </w:p>
    <w:p w:rsidR="00F839CF" w:rsidRPr="00CA6C07" w:rsidRDefault="00F839CF" w:rsidP="00F839CF">
      <w:pPr>
        <w:autoSpaceDE w:val="0"/>
        <w:autoSpaceDN w:val="0"/>
        <w:adjustRightInd w:val="0"/>
        <w:rPr>
          <w:rFonts w:ascii="Arial" w:hAnsi="Arial" w:cs="Arial"/>
          <w:sz w:val="20"/>
          <w:szCs w:val="20"/>
          <w:highlight w:val="white"/>
          <w:lang w:eastAsia="en-AU"/>
        </w:rPr>
      </w:pPr>
    </w:p>
    <w:p w:rsidR="008A343E" w:rsidRPr="00AF327F" w:rsidRDefault="00F839CF" w:rsidP="00AF327F">
      <w:pPr>
        <w:autoSpaceDE w:val="0"/>
        <w:autoSpaceDN w:val="0"/>
        <w:adjustRightInd w:val="0"/>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heavy vehicle industry pays for externalities through high insurance premiums and additional costs of cleaner emissions vehicles (AdBlue or increased fuel usage).  The ATA agrees with the NTC that externalities should not be included in the cost base. </w:t>
      </w:r>
    </w:p>
    <w:p w:rsidR="0046717F" w:rsidRPr="00CA6C07" w:rsidRDefault="0046717F" w:rsidP="0046717F">
      <w:pPr>
        <w:pStyle w:val="RecommendationStyle"/>
      </w:pPr>
      <w:bookmarkStart w:id="35" w:name="_Toc352149567"/>
      <w:bookmarkStart w:id="36" w:name="_Toc352163824"/>
      <w:bookmarkStart w:id="37" w:name="_Toc352228465"/>
      <w:bookmarkStart w:id="38" w:name="_Toc352231709"/>
      <w:bookmarkStart w:id="39" w:name="_Toc352740551"/>
      <w:bookmarkStart w:id="40" w:name="_Toc353434603"/>
      <w:bookmarkStart w:id="41" w:name="_Toc353435587"/>
      <w:bookmarkEnd w:id="35"/>
      <w:bookmarkEnd w:id="36"/>
      <w:bookmarkEnd w:id="37"/>
      <w:bookmarkEnd w:id="38"/>
      <w:bookmarkEnd w:id="39"/>
      <w:bookmarkEnd w:id="40"/>
      <w:bookmarkEnd w:id="41"/>
    </w:p>
    <w:p w:rsidR="008A343E" w:rsidRPr="00CA6C07" w:rsidRDefault="0046717F" w:rsidP="0046717F">
      <w:pPr>
        <w:pStyle w:val="RecommendationStyle"/>
        <w:numPr>
          <w:ilvl w:val="0"/>
          <w:numId w:val="0"/>
        </w:numPr>
      </w:pPr>
      <w:bookmarkStart w:id="42" w:name="_Toc352149568"/>
      <w:bookmarkStart w:id="43" w:name="_Toc352163825"/>
      <w:bookmarkStart w:id="44" w:name="_Toc352228466"/>
      <w:bookmarkStart w:id="45" w:name="_Toc352231710"/>
      <w:bookmarkStart w:id="46" w:name="_Toc352740552"/>
      <w:bookmarkStart w:id="47" w:name="_Toc353434604"/>
      <w:bookmarkStart w:id="48" w:name="_Toc353435588"/>
      <w:r w:rsidRPr="00CA6C07">
        <w:t>The pricing principles should recognise trailers as a single class of vehicles</w:t>
      </w:r>
      <w:bookmarkEnd w:id="42"/>
      <w:bookmarkEnd w:id="43"/>
      <w:bookmarkEnd w:id="44"/>
      <w:r w:rsidR="003D6219">
        <w:t>.</w:t>
      </w:r>
      <w:bookmarkEnd w:id="45"/>
      <w:bookmarkEnd w:id="46"/>
      <w:bookmarkEnd w:id="47"/>
      <w:bookmarkEnd w:id="48"/>
      <w:r w:rsidRPr="00CA6C07">
        <w:t xml:space="preserve"> </w:t>
      </w:r>
    </w:p>
    <w:p w:rsidR="0046717F" w:rsidRPr="00CA6C07" w:rsidRDefault="0046717F" w:rsidP="0046717F">
      <w:pPr>
        <w:pStyle w:val="RecommendationStyle"/>
      </w:pPr>
      <w:bookmarkStart w:id="49" w:name="_Toc352149569"/>
      <w:bookmarkStart w:id="50" w:name="_Toc352163826"/>
      <w:bookmarkStart w:id="51" w:name="_Toc352228467"/>
      <w:bookmarkStart w:id="52" w:name="_Toc352231711"/>
      <w:bookmarkStart w:id="53" w:name="_Toc352740553"/>
      <w:bookmarkStart w:id="54" w:name="_Toc353434605"/>
      <w:bookmarkStart w:id="55" w:name="_Toc353435589"/>
      <w:bookmarkEnd w:id="49"/>
      <w:bookmarkEnd w:id="50"/>
      <w:bookmarkEnd w:id="51"/>
      <w:bookmarkEnd w:id="52"/>
      <w:bookmarkEnd w:id="53"/>
      <w:bookmarkEnd w:id="54"/>
      <w:bookmarkEnd w:id="55"/>
    </w:p>
    <w:p w:rsidR="00470B99" w:rsidRPr="00CA6C07" w:rsidRDefault="0046717F" w:rsidP="002C6E2E">
      <w:pPr>
        <w:pStyle w:val="RecommendationStyle"/>
        <w:numPr>
          <w:ilvl w:val="0"/>
          <w:numId w:val="0"/>
        </w:numPr>
      </w:pPr>
      <w:bookmarkStart w:id="56" w:name="_Toc352149570"/>
      <w:bookmarkStart w:id="57" w:name="_Toc352163827"/>
      <w:bookmarkStart w:id="58" w:name="_Toc352228468"/>
      <w:bookmarkStart w:id="59" w:name="_Toc352231712"/>
      <w:bookmarkStart w:id="60" w:name="_Toc352740554"/>
      <w:bookmarkStart w:id="61" w:name="_Toc353434606"/>
      <w:bookmarkStart w:id="62" w:name="_Toc353435590"/>
      <w:r w:rsidRPr="00CA6C07">
        <w:t>Externalities should not be included in the cost base</w:t>
      </w:r>
      <w:bookmarkEnd w:id="56"/>
      <w:bookmarkEnd w:id="57"/>
      <w:bookmarkEnd w:id="58"/>
      <w:r w:rsidR="003D6219">
        <w:t>.</w:t>
      </w:r>
      <w:bookmarkEnd w:id="59"/>
      <w:bookmarkEnd w:id="60"/>
      <w:bookmarkEnd w:id="61"/>
      <w:bookmarkEnd w:id="62"/>
    </w:p>
    <w:p w:rsidR="009C5B73" w:rsidRDefault="009C5B73" w:rsidP="009C5B73">
      <w:pPr>
        <w:pStyle w:val="RecommendationStyle"/>
        <w:numPr>
          <w:ilvl w:val="0"/>
          <w:numId w:val="0"/>
        </w:numPr>
        <w:spacing w:before="0" w:after="0"/>
      </w:pPr>
    </w:p>
    <w:p w:rsidR="009C5B73" w:rsidRPr="0082056F" w:rsidRDefault="0082056F" w:rsidP="0082056F">
      <w:pPr>
        <w:rPr>
          <w:rFonts w:ascii="Arial" w:hAnsi="Arial" w:cs="Arial"/>
          <w:b/>
          <w:i/>
          <w:sz w:val="20"/>
          <w:szCs w:val="20"/>
        </w:rPr>
      </w:pPr>
      <w:r>
        <w:br w:type="page"/>
      </w:r>
    </w:p>
    <w:p w:rsidR="00BB4E99" w:rsidRPr="00CA6C07" w:rsidRDefault="00BB4E99" w:rsidP="00183923">
      <w:pPr>
        <w:pStyle w:val="Heading1"/>
        <w:numPr>
          <w:ilvl w:val="1"/>
          <w:numId w:val="3"/>
        </w:numPr>
        <w:jc w:val="both"/>
      </w:pPr>
      <w:bookmarkStart w:id="63" w:name="_Toc353434681"/>
      <w:r w:rsidRPr="00CA6C07">
        <w:lastRenderedPageBreak/>
        <w:t>Calculating the cost base</w:t>
      </w:r>
      <w:bookmarkEnd w:id="63"/>
      <w:r w:rsidRPr="00CA6C07">
        <w:t xml:space="preserve"> </w:t>
      </w:r>
    </w:p>
    <w:p w:rsidR="00BB4E99" w:rsidRPr="00CA6C07" w:rsidRDefault="00BB4E99" w:rsidP="00BB4E99">
      <w:pPr>
        <w:rPr>
          <w:rFonts w:ascii="Arial" w:hAnsi="Arial" w:cs="Arial"/>
        </w:rPr>
      </w:pPr>
    </w:p>
    <w:p w:rsidR="00F839CF" w:rsidRPr="00CA6C07" w:rsidRDefault="00F839CF" w:rsidP="00281EFE">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lang w:eastAsia="en-AU"/>
        </w:rPr>
        <w:t>T</w:t>
      </w:r>
      <w:r w:rsidRPr="00CA6C07">
        <w:rPr>
          <w:rFonts w:ascii="Arial" w:hAnsi="Arial" w:cs="Arial"/>
          <w:sz w:val="20"/>
          <w:szCs w:val="20"/>
          <w:highlight w:val="white"/>
          <w:lang w:eastAsia="en-AU"/>
        </w:rPr>
        <w:t xml:space="preserve">he PayGo model uses a 7 year average of historical road expenditure inflated to the current year. The justification for the 7 years is to smooth the total recoverable costs from year to year and is designed to avoid price shocks due to short term changes. </w:t>
      </w: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ATA questioned whether 7 years </w:t>
      </w:r>
      <w:proofErr w:type="gramStart"/>
      <w:r w:rsidRPr="00CA6C07">
        <w:rPr>
          <w:rFonts w:ascii="Arial" w:hAnsi="Arial" w:cs="Arial"/>
          <w:sz w:val="20"/>
          <w:szCs w:val="20"/>
          <w:highlight w:val="white"/>
          <w:lang w:eastAsia="en-AU"/>
        </w:rPr>
        <w:t>was the correct length for the PayGo model averaging</w:t>
      </w:r>
      <w:proofErr w:type="gramEnd"/>
      <w:r w:rsidRPr="00CA6C07">
        <w:rPr>
          <w:rFonts w:ascii="Arial" w:hAnsi="Arial" w:cs="Arial"/>
          <w:sz w:val="20"/>
          <w:szCs w:val="20"/>
          <w:highlight w:val="white"/>
          <w:lang w:eastAsia="en-AU"/>
        </w:rPr>
        <w:t xml:space="preserve">. The ATA suggested revising the 3 year average, which was in place before 2007. The NTC investigated and found that while the 3 years reduced the over and under-recovery in the model, it increased the volatility of the charges. The NTC argued there is also limited economic efficiency to be gained from shortening the period of expenditure recovery.  </w:t>
      </w: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Given that industry needs to have certainty with charges and if the outcome of changing the averaging period does not promote further economic efficiency, the justification of continuing to use a 7 year average is valid. </w:t>
      </w:r>
    </w:p>
    <w:p w:rsidR="00F839CF" w:rsidRPr="00CA6C07" w:rsidRDefault="00F839CF" w:rsidP="00F839CF">
      <w:pPr>
        <w:pStyle w:val="RecommendationStyle"/>
      </w:pPr>
      <w:bookmarkStart w:id="64" w:name="_Toc352163828"/>
      <w:bookmarkStart w:id="65" w:name="_Toc352228469"/>
      <w:bookmarkStart w:id="66" w:name="_Toc352231713"/>
      <w:bookmarkStart w:id="67" w:name="_Toc352740555"/>
      <w:bookmarkStart w:id="68" w:name="_Toc353434607"/>
      <w:bookmarkStart w:id="69" w:name="_Toc353435591"/>
      <w:bookmarkEnd w:id="64"/>
      <w:bookmarkEnd w:id="65"/>
      <w:bookmarkEnd w:id="66"/>
      <w:bookmarkEnd w:id="67"/>
      <w:bookmarkEnd w:id="68"/>
      <w:bookmarkEnd w:id="69"/>
    </w:p>
    <w:p w:rsidR="009C5B73" w:rsidRDefault="00F839CF" w:rsidP="004F6CE4">
      <w:pPr>
        <w:pStyle w:val="RecommendationStyle"/>
        <w:numPr>
          <w:ilvl w:val="0"/>
          <w:numId w:val="0"/>
        </w:numPr>
      </w:pPr>
      <w:bookmarkStart w:id="70" w:name="_Toc352163829"/>
      <w:bookmarkStart w:id="71" w:name="_Toc352228470"/>
      <w:bookmarkStart w:id="72" w:name="_Toc352231714"/>
      <w:bookmarkStart w:id="73" w:name="_Toc352740556"/>
      <w:bookmarkStart w:id="74" w:name="_Toc353434608"/>
      <w:bookmarkStart w:id="75" w:name="_Toc353435592"/>
      <w:r w:rsidRPr="00CA6C07">
        <w:t>The 7 year averaging period in the PayGo model should continue.</w:t>
      </w:r>
      <w:bookmarkEnd w:id="70"/>
      <w:bookmarkEnd w:id="71"/>
      <w:bookmarkEnd w:id="72"/>
      <w:bookmarkEnd w:id="73"/>
      <w:bookmarkEnd w:id="74"/>
      <w:bookmarkEnd w:id="75"/>
    </w:p>
    <w:p w:rsidR="00D03610" w:rsidRDefault="00D03610" w:rsidP="00AF327F"/>
    <w:p w:rsidR="0082056F" w:rsidRPr="00AF327F" w:rsidRDefault="0082056F" w:rsidP="00AF327F">
      <w:pPr>
        <w:rPr>
          <w:rFonts w:ascii="Arial" w:hAnsi="Arial" w:cs="Arial"/>
          <w:b/>
          <w:i/>
          <w:sz w:val="20"/>
          <w:szCs w:val="20"/>
        </w:rPr>
      </w:pPr>
    </w:p>
    <w:p w:rsidR="000C30F1" w:rsidRPr="00CA6C07" w:rsidRDefault="002502E0" w:rsidP="002502E0">
      <w:pPr>
        <w:pStyle w:val="Heading1"/>
        <w:numPr>
          <w:ilvl w:val="1"/>
          <w:numId w:val="3"/>
        </w:numPr>
        <w:jc w:val="both"/>
      </w:pPr>
      <w:bookmarkStart w:id="76" w:name="_Toc353434682"/>
      <w:r w:rsidRPr="00CA6C07">
        <w:t>Cost allocation matrix</w:t>
      </w:r>
      <w:bookmarkEnd w:id="76"/>
      <w:r w:rsidRPr="00CA6C07">
        <w:t xml:space="preserve"> </w:t>
      </w:r>
    </w:p>
    <w:p w:rsidR="009C5B73" w:rsidRPr="009C5B73" w:rsidRDefault="009C5B73" w:rsidP="009C5B73">
      <w:pPr>
        <w:rPr>
          <w:rFonts w:ascii="Arial" w:hAnsi="Arial" w:cs="Arial"/>
          <w:sz w:val="20"/>
          <w:szCs w:val="20"/>
        </w:rPr>
      </w:pPr>
    </w:p>
    <w:p w:rsidR="002502E0" w:rsidRPr="009C5B73" w:rsidRDefault="002502E0" w:rsidP="009C5B73">
      <w:pPr>
        <w:rPr>
          <w:rFonts w:ascii="Arial" w:hAnsi="Arial" w:cs="Arial"/>
          <w:sz w:val="20"/>
          <w:szCs w:val="20"/>
        </w:rPr>
      </w:pPr>
      <w:r w:rsidRPr="009C5B73">
        <w:rPr>
          <w:rFonts w:ascii="Arial" w:hAnsi="Arial" w:cs="Arial"/>
          <w:sz w:val="20"/>
          <w:szCs w:val="20"/>
        </w:rPr>
        <w:t>The ATA agrees with the NTC analysis of the cost allocation matrix and believes there is no benefit to be gained from updating the c</w:t>
      </w:r>
      <w:r w:rsidR="00F839CF" w:rsidRPr="009C5B73">
        <w:rPr>
          <w:rFonts w:ascii="Arial" w:hAnsi="Arial" w:cs="Arial"/>
          <w:sz w:val="20"/>
          <w:szCs w:val="20"/>
        </w:rPr>
        <w:t>o</w:t>
      </w:r>
      <w:r w:rsidRPr="009C5B73">
        <w:rPr>
          <w:rFonts w:ascii="Arial" w:hAnsi="Arial" w:cs="Arial"/>
          <w:sz w:val="20"/>
          <w:szCs w:val="20"/>
        </w:rPr>
        <w:t xml:space="preserve">st allocation matrix. </w:t>
      </w:r>
    </w:p>
    <w:p w:rsidR="002502E0" w:rsidRPr="00CA6C07" w:rsidRDefault="002502E0" w:rsidP="002502E0">
      <w:pPr>
        <w:pStyle w:val="RecommendationStyle"/>
      </w:pPr>
      <w:bookmarkStart w:id="77" w:name="_Toc352149573"/>
      <w:bookmarkStart w:id="78" w:name="_Toc352163830"/>
      <w:bookmarkStart w:id="79" w:name="_Toc352228471"/>
      <w:bookmarkStart w:id="80" w:name="_Toc352231715"/>
      <w:bookmarkStart w:id="81" w:name="_Toc352740557"/>
      <w:bookmarkStart w:id="82" w:name="_Toc353434609"/>
      <w:bookmarkStart w:id="83" w:name="_Toc353435593"/>
      <w:bookmarkEnd w:id="77"/>
      <w:bookmarkEnd w:id="78"/>
      <w:bookmarkEnd w:id="79"/>
      <w:bookmarkEnd w:id="80"/>
      <w:bookmarkEnd w:id="81"/>
      <w:bookmarkEnd w:id="82"/>
      <w:bookmarkEnd w:id="83"/>
    </w:p>
    <w:p w:rsidR="002502E0" w:rsidRPr="00CA6C07" w:rsidRDefault="002502E0" w:rsidP="002502E0">
      <w:pPr>
        <w:pStyle w:val="RecommendationStyle"/>
        <w:numPr>
          <w:ilvl w:val="0"/>
          <w:numId w:val="0"/>
        </w:numPr>
      </w:pPr>
      <w:bookmarkStart w:id="84" w:name="_Toc352149574"/>
      <w:bookmarkStart w:id="85" w:name="_Toc352163831"/>
      <w:bookmarkStart w:id="86" w:name="_Toc352228472"/>
      <w:bookmarkStart w:id="87" w:name="_Toc352231716"/>
      <w:bookmarkStart w:id="88" w:name="_Toc352740558"/>
      <w:bookmarkStart w:id="89" w:name="_Toc353434610"/>
      <w:bookmarkStart w:id="90" w:name="_Toc353435594"/>
      <w:r w:rsidRPr="00CA6C07">
        <w:t>It is unnecessary at this stage to update the cost allocation matrix.</w:t>
      </w:r>
      <w:bookmarkEnd w:id="84"/>
      <w:bookmarkEnd w:id="85"/>
      <w:r w:rsidRPr="00CA6C07">
        <w:t xml:space="preserve"> </w:t>
      </w:r>
      <w:r w:rsidR="00E62220" w:rsidRPr="00CA6C07">
        <w:t>However, it should be reviewed prior to a future determination in conjunction with industry.</w:t>
      </w:r>
      <w:bookmarkEnd w:id="86"/>
      <w:bookmarkEnd w:id="87"/>
      <w:bookmarkEnd w:id="88"/>
      <w:bookmarkEnd w:id="89"/>
      <w:bookmarkEnd w:id="90"/>
      <w:r w:rsidR="00E62220" w:rsidRPr="00CA6C07">
        <w:t xml:space="preserve"> </w:t>
      </w:r>
    </w:p>
    <w:p w:rsidR="002502E0" w:rsidRDefault="002502E0" w:rsidP="009C5B73">
      <w:pPr>
        <w:pStyle w:val="RecommendationStyle"/>
        <w:numPr>
          <w:ilvl w:val="0"/>
          <w:numId w:val="0"/>
        </w:numPr>
        <w:spacing w:before="0" w:after="0"/>
      </w:pPr>
    </w:p>
    <w:p w:rsidR="009C5B73" w:rsidRPr="00CA6C07" w:rsidRDefault="009C5B73" w:rsidP="009C5B73">
      <w:pPr>
        <w:pStyle w:val="RecommendationStyle"/>
        <w:numPr>
          <w:ilvl w:val="0"/>
          <w:numId w:val="0"/>
        </w:numPr>
        <w:spacing w:before="0" w:after="0"/>
      </w:pPr>
    </w:p>
    <w:p w:rsidR="00BB4E99" w:rsidRPr="00CA6C07" w:rsidRDefault="00BB4E99" w:rsidP="00183923">
      <w:pPr>
        <w:pStyle w:val="Heading1"/>
        <w:numPr>
          <w:ilvl w:val="1"/>
          <w:numId w:val="3"/>
        </w:numPr>
        <w:jc w:val="both"/>
      </w:pPr>
      <w:bookmarkStart w:id="91" w:name="_Toc353434683"/>
      <w:r w:rsidRPr="00CA6C07">
        <w:t>Usage data set</w:t>
      </w:r>
      <w:bookmarkEnd w:id="91"/>
    </w:p>
    <w:p w:rsidR="00BB4E99" w:rsidRPr="00CA6C07" w:rsidRDefault="00BB4E99" w:rsidP="00BB4E99">
      <w:pPr>
        <w:rPr>
          <w:rFonts w:ascii="Arial" w:hAnsi="Arial" w:cs="Arial"/>
          <w:sz w:val="20"/>
          <w:szCs w:val="20"/>
        </w:rPr>
      </w:pP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bookmarkStart w:id="92" w:name="_Toc352059649"/>
      <w:bookmarkStart w:id="93" w:name="_Toc352070706"/>
      <w:bookmarkStart w:id="94" w:name="_Toc352071958"/>
      <w:bookmarkStart w:id="95" w:name="_Toc352149575"/>
      <w:bookmarkEnd w:id="92"/>
      <w:bookmarkEnd w:id="93"/>
      <w:bookmarkEnd w:id="94"/>
      <w:bookmarkEnd w:id="95"/>
      <w:r w:rsidRPr="00CA6C07">
        <w:rPr>
          <w:rFonts w:ascii="Arial" w:hAnsi="Arial" w:cs="Arial"/>
          <w:sz w:val="20"/>
          <w:szCs w:val="20"/>
          <w:highlight w:val="white"/>
          <w:lang w:eastAsia="en-AU"/>
        </w:rPr>
        <w:t>The ATA questioned the accuracy and reliability of the Survey of Motor Vehicle Use (SMVU) data used in the PayGo model. The SMVU is a survey and has unrecorded years leading to a trended estimate having to be used in its place.</w:t>
      </w: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As mentioned above, the ATA obtained actual heavy vehicle registration data from jurisdictions for December 2011. When</w:t>
      </w:r>
      <w:r w:rsidRPr="00CA6C07">
        <w:rPr>
          <w:rFonts w:ascii="Arial" w:hAnsi="Arial" w:cs="Arial"/>
          <w:sz w:val="20"/>
          <w:szCs w:val="20"/>
          <w:lang w:eastAsia="en-AU"/>
        </w:rPr>
        <w:t xml:space="preserve"> comparing the current PayGo population being used to the actual population and the difference was around 177,841 </w:t>
      </w:r>
      <w:r w:rsidRPr="00CA6C07">
        <w:rPr>
          <w:rFonts w:ascii="Arial" w:hAnsi="Arial" w:cs="Arial"/>
          <w:sz w:val="20"/>
          <w:szCs w:val="20"/>
          <w:highlight w:val="white"/>
          <w:lang w:eastAsia="en-AU"/>
        </w:rPr>
        <w:t xml:space="preserve">more heavy (motor) vehicles than the current model has. This meant the industry is being overcharged for impact given the smaller population used. </w:t>
      </w: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The ATA recommended that most recent actual state registration figures should be used in the PayGo model, instead of the mid-point SMVU.</w:t>
      </w: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NTC investigated alternative data sets to use in the PayGo model for parameters such as population, fuel usage and vehicle kilometres travelled. However, the SMVU still provides an integrated data set superior to other sources.  </w:t>
      </w: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NTC compared SMVU population figures against jurisdictional heavy vehicle registration figures for the same period and found that after statistical testing SMVU data was shown to be a reliable estimate to vehicle usage. However, for some vehicle classes there were high relative standard errors, meaning for some less populated vehicle classes the data was not as accurate as it could be. </w:t>
      </w:r>
    </w:p>
    <w:p w:rsidR="00F839CF"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While the data set has not been recommended to change, the NTC are recommending the latest SMVU figures be trended to the most recent PayGo year using a transparent methodology. </w:t>
      </w:r>
    </w:p>
    <w:p w:rsidR="00F839CF" w:rsidRPr="00CA6C07" w:rsidRDefault="00F839CF" w:rsidP="00281EFE">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lastRenderedPageBreak/>
        <w:t xml:space="preserve">The NTC have also recommended that they explore with the ABS costs of conducting the SMVU annually and increasing the sample size to reduce standard errors.  The ATA strongly supports increasing the frequency and sample size of the SMVU. </w:t>
      </w:r>
    </w:p>
    <w:p w:rsidR="000C30F1" w:rsidRPr="00CA6C07" w:rsidRDefault="00F839CF" w:rsidP="00F839CF">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The NTC have also suggested using actual registration data and other indicative data to cross-check the figures produced in the SMVU inputs in order to make sure it remains consistent with actual registration data.</w:t>
      </w:r>
    </w:p>
    <w:p w:rsidR="00F839CF" w:rsidRPr="00CA6C07" w:rsidRDefault="00F839CF" w:rsidP="00F839CF">
      <w:pPr>
        <w:pStyle w:val="RecommendationStyle"/>
      </w:pPr>
      <w:bookmarkStart w:id="96" w:name="_Toc352163832"/>
      <w:bookmarkStart w:id="97" w:name="_Toc352228473"/>
      <w:bookmarkStart w:id="98" w:name="_Toc352231717"/>
      <w:bookmarkStart w:id="99" w:name="_Toc352740559"/>
      <w:bookmarkStart w:id="100" w:name="_Toc353434611"/>
      <w:bookmarkStart w:id="101" w:name="_Toc352059650"/>
      <w:bookmarkStart w:id="102" w:name="_Toc352070707"/>
      <w:bookmarkStart w:id="103" w:name="_Toc352071959"/>
      <w:bookmarkStart w:id="104" w:name="_Toc352149576"/>
      <w:bookmarkStart w:id="105" w:name="_Toc353435595"/>
      <w:bookmarkEnd w:id="96"/>
      <w:bookmarkEnd w:id="97"/>
      <w:bookmarkEnd w:id="98"/>
      <w:bookmarkEnd w:id="99"/>
      <w:bookmarkEnd w:id="100"/>
      <w:bookmarkEnd w:id="105"/>
    </w:p>
    <w:p w:rsidR="00DF0E82" w:rsidRPr="00CA6C07" w:rsidRDefault="00DF0E82" w:rsidP="00F839CF">
      <w:pPr>
        <w:pStyle w:val="RecommendationStyle"/>
        <w:numPr>
          <w:ilvl w:val="0"/>
          <w:numId w:val="0"/>
        </w:numPr>
      </w:pPr>
      <w:bookmarkStart w:id="106" w:name="_Toc352163833"/>
      <w:bookmarkStart w:id="107" w:name="_Toc352228474"/>
      <w:bookmarkStart w:id="108" w:name="_Toc352231718"/>
      <w:bookmarkStart w:id="109" w:name="_Toc352740560"/>
      <w:bookmarkStart w:id="110" w:name="_Toc353434612"/>
      <w:bookmarkStart w:id="111" w:name="_Toc353435596"/>
      <w:r w:rsidRPr="00CA6C07">
        <w:t>The SMVU should be retained in the PayGo model, if it is transparently trended to the most recent PayGo year.</w:t>
      </w:r>
      <w:bookmarkEnd w:id="101"/>
      <w:bookmarkEnd w:id="102"/>
      <w:bookmarkEnd w:id="103"/>
      <w:bookmarkEnd w:id="104"/>
      <w:bookmarkEnd w:id="106"/>
      <w:bookmarkEnd w:id="107"/>
      <w:bookmarkEnd w:id="108"/>
      <w:bookmarkEnd w:id="109"/>
      <w:bookmarkEnd w:id="110"/>
      <w:bookmarkEnd w:id="111"/>
      <w:r w:rsidRPr="00CA6C07">
        <w:t xml:space="preserve"> </w:t>
      </w:r>
    </w:p>
    <w:p w:rsidR="000C30F1" w:rsidRPr="00CA6C07" w:rsidRDefault="000C30F1" w:rsidP="000C30F1">
      <w:pPr>
        <w:pStyle w:val="RecommendationStyle"/>
      </w:pPr>
      <w:bookmarkStart w:id="112" w:name="_Toc352059651"/>
      <w:bookmarkStart w:id="113" w:name="_Toc352070708"/>
      <w:bookmarkStart w:id="114" w:name="_Toc352071960"/>
      <w:bookmarkStart w:id="115" w:name="_Toc352149577"/>
      <w:bookmarkStart w:id="116" w:name="_Toc352163834"/>
      <w:bookmarkStart w:id="117" w:name="_Toc352228475"/>
      <w:bookmarkStart w:id="118" w:name="_Toc352231719"/>
      <w:bookmarkStart w:id="119" w:name="_Toc352740561"/>
      <w:bookmarkStart w:id="120" w:name="_Toc353434613"/>
      <w:bookmarkStart w:id="121" w:name="_Toc353435597"/>
      <w:bookmarkEnd w:id="112"/>
      <w:bookmarkEnd w:id="113"/>
      <w:bookmarkEnd w:id="114"/>
      <w:bookmarkEnd w:id="115"/>
      <w:bookmarkEnd w:id="116"/>
      <w:bookmarkEnd w:id="117"/>
      <w:bookmarkEnd w:id="118"/>
      <w:bookmarkEnd w:id="119"/>
      <w:bookmarkEnd w:id="120"/>
      <w:bookmarkEnd w:id="121"/>
    </w:p>
    <w:p w:rsidR="00DF0E82" w:rsidRPr="00CA6C07" w:rsidRDefault="00DF0E82" w:rsidP="000C30F1">
      <w:pPr>
        <w:pStyle w:val="RecommendationStyle"/>
        <w:numPr>
          <w:ilvl w:val="0"/>
          <w:numId w:val="0"/>
        </w:numPr>
      </w:pPr>
      <w:bookmarkStart w:id="122" w:name="_Toc352059652"/>
      <w:bookmarkStart w:id="123" w:name="_Toc352070709"/>
      <w:bookmarkStart w:id="124" w:name="_Toc352071961"/>
      <w:bookmarkStart w:id="125" w:name="_Toc352149578"/>
      <w:bookmarkStart w:id="126" w:name="_Toc352163835"/>
      <w:bookmarkStart w:id="127" w:name="_Toc352228476"/>
      <w:bookmarkStart w:id="128" w:name="_Toc352231720"/>
      <w:bookmarkStart w:id="129" w:name="_Toc352740562"/>
      <w:bookmarkStart w:id="130" w:name="_Toc353434614"/>
      <w:bookmarkStart w:id="131" w:name="_Toc353435598"/>
      <w:r w:rsidRPr="00CA6C07">
        <w:t xml:space="preserve">The </w:t>
      </w:r>
      <w:r w:rsidR="00486626" w:rsidRPr="00CA6C07">
        <w:t>sample size and the frequency of the SMVU should be increased.</w:t>
      </w:r>
      <w:bookmarkEnd w:id="122"/>
      <w:bookmarkEnd w:id="123"/>
      <w:bookmarkEnd w:id="124"/>
      <w:bookmarkEnd w:id="125"/>
      <w:bookmarkEnd w:id="126"/>
      <w:bookmarkEnd w:id="127"/>
      <w:bookmarkEnd w:id="128"/>
      <w:bookmarkEnd w:id="129"/>
      <w:bookmarkEnd w:id="130"/>
      <w:bookmarkEnd w:id="131"/>
      <w:r w:rsidR="00486626" w:rsidRPr="00CA6C07">
        <w:t xml:space="preserve"> </w:t>
      </w:r>
    </w:p>
    <w:p w:rsidR="000C30F1" w:rsidRPr="00CA6C07" w:rsidRDefault="000C30F1" w:rsidP="000C30F1">
      <w:pPr>
        <w:pStyle w:val="RecommendationStyle"/>
      </w:pPr>
      <w:bookmarkStart w:id="132" w:name="_Toc352059653"/>
      <w:bookmarkStart w:id="133" w:name="_Toc352070710"/>
      <w:bookmarkStart w:id="134" w:name="_Toc352071962"/>
      <w:bookmarkStart w:id="135" w:name="_Toc352149579"/>
      <w:bookmarkStart w:id="136" w:name="_Toc352163836"/>
      <w:bookmarkStart w:id="137" w:name="_Toc352228477"/>
      <w:bookmarkStart w:id="138" w:name="_Toc352231721"/>
      <w:bookmarkStart w:id="139" w:name="_Toc352740563"/>
      <w:bookmarkStart w:id="140" w:name="_Toc353434615"/>
      <w:bookmarkStart w:id="141" w:name="_Toc353435599"/>
      <w:bookmarkEnd w:id="132"/>
      <w:bookmarkEnd w:id="133"/>
      <w:bookmarkEnd w:id="134"/>
      <w:bookmarkEnd w:id="135"/>
      <w:bookmarkEnd w:id="136"/>
      <w:bookmarkEnd w:id="137"/>
      <w:bookmarkEnd w:id="138"/>
      <w:bookmarkEnd w:id="139"/>
      <w:bookmarkEnd w:id="140"/>
      <w:bookmarkEnd w:id="141"/>
    </w:p>
    <w:p w:rsidR="00486626" w:rsidRPr="00CA6C07" w:rsidRDefault="00486626" w:rsidP="000C30F1">
      <w:pPr>
        <w:pStyle w:val="RecommendationStyle"/>
        <w:numPr>
          <w:ilvl w:val="0"/>
          <w:numId w:val="0"/>
        </w:numPr>
      </w:pPr>
      <w:bookmarkStart w:id="142" w:name="_Toc352059654"/>
      <w:bookmarkStart w:id="143" w:name="_Toc352070711"/>
      <w:bookmarkStart w:id="144" w:name="_Toc352071963"/>
      <w:bookmarkStart w:id="145" w:name="_Toc352149580"/>
      <w:bookmarkStart w:id="146" w:name="_Toc352163837"/>
      <w:bookmarkStart w:id="147" w:name="_Toc352228478"/>
      <w:bookmarkStart w:id="148" w:name="_Toc352231722"/>
      <w:bookmarkStart w:id="149" w:name="_Toc352740564"/>
      <w:bookmarkStart w:id="150" w:name="_Toc353434616"/>
      <w:bookmarkStart w:id="151" w:name="_Toc353435600"/>
      <w:r w:rsidRPr="00CA6C07">
        <w:t xml:space="preserve">Jurisdictional heavy vehicle registration populations should be compared to the SMVU population in order to </w:t>
      </w:r>
      <w:r w:rsidR="00025C3E" w:rsidRPr="00CA6C07">
        <w:t>monitor</w:t>
      </w:r>
      <w:r w:rsidRPr="00CA6C07">
        <w:t xml:space="preserve"> the PayGo model.</w:t>
      </w:r>
      <w:bookmarkEnd w:id="142"/>
      <w:bookmarkEnd w:id="143"/>
      <w:bookmarkEnd w:id="144"/>
      <w:bookmarkEnd w:id="145"/>
      <w:bookmarkEnd w:id="146"/>
      <w:bookmarkEnd w:id="147"/>
      <w:bookmarkEnd w:id="148"/>
      <w:bookmarkEnd w:id="149"/>
      <w:bookmarkEnd w:id="150"/>
      <w:bookmarkEnd w:id="151"/>
      <w:r w:rsidRPr="00CA6C07">
        <w:t xml:space="preserve"> </w:t>
      </w:r>
    </w:p>
    <w:p w:rsidR="00EE1242" w:rsidRDefault="00EE1242"/>
    <w:p w:rsidR="0082056F" w:rsidRDefault="0082056F">
      <w:pPr>
        <w:rPr>
          <w:rFonts w:ascii="Arial" w:hAnsi="Arial" w:cs="Arial"/>
          <w:b/>
          <w:i/>
          <w:sz w:val="20"/>
          <w:szCs w:val="20"/>
        </w:rPr>
      </w:pPr>
    </w:p>
    <w:p w:rsidR="00BB4E99" w:rsidRPr="00CA6C07" w:rsidRDefault="00BB4E99" w:rsidP="00183923">
      <w:pPr>
        <w:pStyle w:val="Heading1"/>
        <w:numPr>
          <w:ilvl w:val="1"/>
          <w:numId w:val="3"/>
        </w:numPr>
        <w:jc w:val="both"/>
      </w:pPr>
      <w:r w:rsidRPr="00CA6C07">
        <w:t xml:space="preserve"> </w:t>
      </w:r>
      <w:bookmarkStart w:id="152" w:name="_Toc353434684"/>
      <w:r w:rsidR="000A102A" w:rsidRPr="00CA6C07">
        <w:t xml:space="preserve">Expenditure template </w:t>
      </w:r>
      <w:r w:rsidRPr="00CA6C07">
        <w:t>and expenditure accountability</w:t>
      </w:r>
      <w:bookmarkEnd w:id="152"/>
    </w:p>
    <w:p w:rsidR="00BB4E99" w:rsidRPr="00CA6C07" w:rsidRDefault="00BB4E99" w:rsidP="00BB4E99">
      <w:pPr>
        <w:rPr>
          <w:rFonts w:ascii="Arial" w:hAnsi="Arial" w:cs="Arial"/>
        </w:rPr>
      </w:pP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bookmarkStart w:id="153" w:name="_Toc352059655"/>
      <w:bookmarkStart w:id="154" w:name="_Toc352070712"/>
      <w:bookmarkStart w:id="155" w:name="_Toc352071964"/>
      <w:bookmarkStart w:id="156" w:name="_Toc352149581"/>
      <w:bookmarkEnd w:id="153"/>
      <w:bookmarkEnd w:id="154"/>
      <w:bookmarkEnd w:id="155"/>
      <w:bookmarkEnd w:id="156"/>
      <w:r w:rsidRPr="00CA6C07">
        <w:rPr>
          <w:rFonts w:ascii="Arial" w:hAnsi="Arial" w:cs="Arial"/>
          <w:sz w:val="20"/>
          <w:szCs w:val="20"/>
          <w:lang w:eastAsia="en-AU"/>
        </w:rPr>
        <w:t>T</w:t>
      </w:r>
      <w:r w:rsidRPr="00CA6C07">
        <w:rPr>
          <w:rFonts w:ascii="Arial" w:hAnsi="Arial" w:cs="Arial"/>
          <w:sz w:val="20"/>
          <w:szCs w:val="20"/>
          <w:highlight w:val="white"/>
          <w:lang w:eastAsia="en-AU"/>
        </w:rPr>
        <w:t xml:space="preserve">he current state heavy vehicle road expenditure and maintenance inputs into the PayGo model are unaudited. Industry has raised the issue of efficient spending due to the fact that the expenditure industry pays for is based in the absence of independent audits.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findings in the Deloittes Review of Reported Jurisdictional Road Expenditure Data report showed inconsistency in what some states included in categories, including costs which were not listed in the guidelines.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It is disappointing that an independent audit of inputs was not strongly recommended in the NTC heavy vehicle charges review, given the wide-ranging discrepancies reported. Additionally, the inputs appear to have been unaudited since 1991 when the template was originally put in place.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States heavy vehicle expenditure inputs should have the same level of accountability and scrutiny as other public and private entities.</w:t>
      </w:r>
      <w:r w:rsidR="00C26866">
        <w:rPr>
          <w:rFonts w:ascii="Arial" w:hAnsi="Arial" w:cs="Arial"/>
          <w:sz w:val="20"/>
          <w:szCs w:val="20"/>
          <w:highlight w:val="white"/>
          <w:lang w:eastAsia="en-AU"/>
        </w:rPr>
        <w:t xml:space="preserve"> Expenditure should also be benchmarked to gives </w:t>
      </w:r>
      <w:proofErr w:type="gramStart"/>
      <w:r w:rsidR="00C26866">
        <w:rPr>
          <w:rFonts w:ascii="Arial" w:hAnsi="Arial" w:cs="Arial"/>
          <w:sz w:val="20"/>
          <w:szCs w:val="20"/>
          <w:highlight w:val="white"/>
          <w:lang w:eastAsia="en-AU"/>
        </w:rPr>
        <w:t>a states</w:t>
      </w:r>
      <w:proofErr w:type="gramEnd"/>
      <w:r w:rsidR="00C26866">
        <w:rPr>
          <w:rFonts w:ascii="Arial" w:hAnsi="Arial" w:cs="Arial"/>
          <w:sz w:val="20"/>
          <w:szCs w:val="20"/>
          <w:highlight w:val="white"/>
          <w:lang w:eastAsia="en-AU"/>
        </w:rPr>
        <w:t xml:space="preserve"> a reason to secure value for money spending. </w:t>
      </w:r>
    </w:p>
    <w:p w:rsidR="00547CA9" w:rsidRPr="00CA6C07" w:rsidRDefault="00547CA9" w:rsidP="00C26866">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The NTC asserts it cannot enforce audits and believe HVCI will be better placed to deal with audits, as it is easier to assess efficient spending in a forwar</w:t>
      </w:r>
      <w:r w:rsidR="00281EFE">
        <w:rPr>
          <w:rFonts w:ascii="Arial" w:hAnsi="Arial" w:cs="Arial"/>
          <w:sz w:val="20"/>
          <w:szCs w:val="20"/>
          <w:highlight w:val="white"/>
          <w:lang w:eastAsia="en-AU"/>
        </w:rPr>
        <w:t>d looking cost model. However, t</w:t>
      </w:r>
      <w:r w:rsidRPr="00CA6C07">
        <w:rPr>
          <w:rFonts w:ascii="Arial" w:hAnsi="Arial" w:cs="Arial"/>
          <w:sz w:val="20"/>
          <w:szCs w:val="20"/>
          <w:highlight w:val="white"/>
          <w:lang w:eastAsia="en-AU"/>
        </w:rPr>
        <w:t>he ATA believes the NTC should have raised the need for audits with Ministers, as without audit the cost recovery policy is undermined.</w:t>
      </w:r>
      <w:r w:rsidRPr="00281EFE">
        <w:rPr>
          <w:rFonts w:ascii="Arial" w:hAnsi="Arial" w:cs="Arial"/>
          <w:color w:val="FF0000"/>
          <w:sz w:val="20"/>
          <w:szCs w:val="20"/>
          <w:highlight w:val="white"/>
          <w:lang w:eastAsia="en-AU"/>
        </w:rPr>
        <w:t xml:space="preserve">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While independent audits are not recommended, some action has been recommended to improve the reporting of heavy vehicle road and maintenance expenditure through clearer guidelines for jurisdictions on the expenditure templates.  </w:t>
      </w:r>
    </w:p>
    <w:p w:rsidR="000C30F1" w:rsidRPr="00CA6C07" w:rsidRDefault="000C30F1" w:rsidP="000C30F1">
      <w:pPr>
        <w:pStyle w:val="RecommendationStyle"/>
      </w:pPr>
      <w:bookmarkStart w:id="157" w:name="_Toc352163838"/>
      <w:bookmarkStart w:id="158" w:name="_Toc352228479"/>
      <w:bookmarkStart w:id="159" w:name="_Toc352231723"/>
      <w:bookmarkStart w:id="160" w:name="_Toc352740565"/>
      <w:bookmarkStart w:id="161" w:name="_Toc353434617"/>
      <w:bookmarkStart w:id="162" w:name="_Toc353435601"/>
      <w:bookmarkEnd w:id="157"/>
      <w:bookmarkEnd w:id="158"/>
      <w:bookmarkEnd w:id="159"/>
      <w:bookmarkEnd w:id="160"/>
      <w:bookmarkEnd w:id="161"/>
      <w:bookmarkEnd w:id="162"/>
    </w:p>
    <w:p w:rsidR="000A102A" w:rsidRPr="00CA6C07" w:rsidRDefault="000A102A" w:rsidP="000C30F1">
      <w:pPr>
        <w:pStyle w:val="RecommendationStyle"/>
        <w:numPr>
          <w:ilvl w:val="0"/>
          <w:numId w:val="0"/>
        </w:numPr>
      </w:pPr>
      <w:bookmarkStart w:id="163" w:name="_Toc352059656"/>
      <w:bookmarkStart w:id="164" w:name="_Toc352070713"/>
      <w:bookmarkStart w:id="165" w:name="_Toc352071965"/>
      <w:bookmarkStart w:id="166" w:name="_Toc352149582"/>
      <w:bookmarkStart w:id="167" w:name="_Toc352163839"/>
      <w:bookmarkStart w:id="168" w:name="_Toc352228480"/>
      <w:bookmarkStart w:id="169" w:name="_Toc352231724"/>
      <w:bookmarkStart w:id="170" w:name="_Toc352740566"/>
      <w:bookmarkStart w:id="171" w:name="_Toc353434618"/>
      <w:bookmarkStart w:id="172" w:name="_Toc353435602"/>
      <w:r w:rsidRPr="00CA6C07">
        <w:t xml:space="preserve">The ATA believes jurisdictional reporting of heavy vehicle expenditure should have the same level of accountability as any other public </w:t>
      </w:r>
      <w:bookmarkEnd w:id="163"/>
      <w:bookmarkEnd w:id="164"/>
      <w:bookmarkEnd w:id="165"/>
      <w:bookmarkEnd w:id="166"/>
      <w:r w:rsidR="00547CA9" w:rsidRPr="00CA6C07">
        <w:t>entity</w:t>
      </w:r>
      <w:r w:rsidR="00E62220" w:rsidRPr="00CA6C07">
        <w:t xml:space="preserve"> spending</w:t>
      </w:r>
      <w:bookmarkEnd w:id="167"/>
      <w:r w:rsidR="00E62220" w:rsidRPr="00CA6C07">
        <w:t>.</w:t>
      </w:r>
      <w:bookmarkEnd w:id="168"/>
      <w:bookmarkEnd w:id="169"/>
      <w:bookmarkEnd w:id="170"/>
      <w:bookmarkEnd w:id="171"/>
      <w:bookmarkEnd w:id="172"/>
      <w:r w:rsidR="00E62220" w:rsidRPr="00CA6C07">
        <w:t xml:space="preserve"> </w:t>
      </w:r>
      <w:r w:rsidR="00547CA9" w:rsidRPr="00CA6C07">
        <w:t xml:space="preserve"> </w:t>
      </w:r>
      <w:r w:rsidRPr="00CA6C07">
        <w:t xml:space="preserve"> </w:t>
      </w:r>
    </w:p>
    <w:p w:rsidR="000C30F1" w:rsidRPr="00CA6C07" w:rsidRDefault="000C30F1" w:rsidP="000C30F1">
      <w:pPr>
        <w:pStyle w:val="RecommendationStyle"/>
      </w:pPr>
      <w:bookmarkStart w:id="173" w:name="_Toc352059657"/>
      <w:bookmarkStart w:id="174" w:name="_Toc352070714"/>
      <w:bookmarkStart w:id="175" w:name="_Toc352071966"/>
      <w:bookmarkStart w:id="176" w:name="_Toc352149583"/>
      <w:bookmarkStart w:id="177" w:name="_Toc352163840"/>
      <w:bookmarkStart w:id="178" w:name="_Toc352228481"/>
      <w:bookmarkStart w:id="179" w:name="_Toc352231725"/>
      <w:bookmarkStart w:id="180" w:name="_Toc352740567"/>
      <w:bookmarkStart w:id="181" w:name="_Toc353434619"/>
      <w:bookmarkStart w:id="182" w:name="_Toc353435603"/>
      <w:bookmarkEnd w:id="173"/>
      <w:bookmarkEnd w:id="174"/>
      <w:bookmarkEnd w:id="175"/>
      <w:bookmarkEnd w:id="176"/>
      <w:bookmarkEnd w:id="177"/>
      <w:bookmarkEnd w:id="178"/>
      <w:bookmarkEnd w:id="179"/>
      <w:bookmarkEnd w:id="180"/>
      <w:bookmarkEnd w:id="181"/>
      <w:bookmarkEnd w:id="182"/>
    </w:p>
    <w:p w:rsidR="000A102A" w:rsidRPr="00CA6C07" w:rsidRDefault="000A102A" w:rsidP="000C30F1">
      <w:pPr>
        <w:pStyle w:val="RecommendationStyle"/>
        <w:numPr>
          <w:ilvl w:val="0"/>
          <w:numId w:val="0"/>
        </w:numPr>
      </w:pPr>
      <w:bookmarkStart w:id="183" w:name="_Toc352059658"/>
      <w:bookmarkStart w:id="184" w:name="_Toc352070715"/>
      <w:bookmarkStart w:id="185" w:name="_Toc352071967"/>
      <w:bookmarkStart w:id="186" w:name="_Toc352149584"/>
      <w:bookmarkStart w:id="187" w:name="_Toc352163841"/>
      <w:bookmarkStart w:id="188" w:name="_Toc352228482"/>
      <w:bookmarkStart w:id="189" w:name="_Toc352231726"/>
      <w:bookmarkStart w:id="190" w:name="_Toc352740568"/>
      <w:bookmarkStart w:id="191" w:name="_Toc353434620"/>
      <w:bookmarkStart w:id="192" w:name="_Toc353435604"/>
      <w:r w:rsidRPr="00CA6C07">
        <w:t>Improving the guidelines accompanying the NTC expenditure template should improve accurate expenditure reporting by states.</w:t>
      </w:r>
      <w:bookmarkEnd w:id="183"/>
      <w:bookmarkEnd w:id="184"/>
      <w:bookmarkEnd w:id="185"/>
      <w:bookmarkEnd w:id="186"/>
      <w:bookmarkEnd w:id="187"/>
      <w:bookmarkEnd w:id="188"/>
      <w:bookmarkEnd w:id="189"/>
      <w:bookmarkEnd w:id="190"/>
      <w:bookmarkEnd w:id="191"/>
      <w:bookmarkEnd w:id="192"/>
      <w:r w:rsidRPr="00CA6C07">
        <w:t xml:space="preserve"> </w:t>
      </w:r>
    </w:p>
    <w:p w:rsidR="002C6E2E" w:rsidRDefault="002C6E2E" w:rsidP="00927553"/>
    <w:p w:rsidR="005D0EE2" w:rsidRPr="00927553" w:rsidRDefault="005D0EE2" w:rsidP="00927553">
      <w:pPr>
        <w:rPr>
          <w:rFonts w:ascii="Arial" w:hAnsi="Arial" w:cs="Arial"/>
          <w:b/>
          <w:i/>
          <w:sz w:val="20"/>
          <w:szCs w:val="20"/>
        </w:rPr>
      </w:pPr>
    </w:p>
    <w:p w:rsidR="000A102A" w:rsidRPr="00CA6C07" w:rsidRDefault="00BB4E99" w:rsidP="00183923">
      <w:pPr>
        <w:pStyle w:val="Heading1"/>
        <w:numPr>
          <w:ilvl w:val="1"/>
          <w:numId w:val="3"/>
        </w:numPr>
        <w:jc w:val="both"/>
      </w:pPr>
      <w:bookmarkStart w:id="193" w:name="_Toc353434685"/>
      <w:r w:rsidRPr="00CA6C07">
        <w:lastRenderedPageBreak/>
        <w:t>Structure of charges</w:t>
      </w:r>
      <w:bookmarkEnd w:id="193"/>
      <w:r w:rsidRPr="00CA6C07">
        <w:t xml:space="preserve"> </w:t>
      </w:r>
    </w:p>
    <w:p w:rsidR="000A102A" w:rsidRPr="00CA6C07" w:rsidRDefault="000A102A" w:rsidP="000A102A">
      <w:pPr>
        <w:rPr>
          <w:rFonts w:ascii="Arial" w:hAnsi="Arial" w:cs="Arial"/>
        </w:rPr>
      </w:pPr>
    </w:p>
    <w:p w:rsidR="00547CA9" w:rsidRPr="00CA6C07" w:rsidRDefault="00547CA9" w:rsidP="00547CA9">
      <w:pPr>
        <w:autoSpaceDE w:val="0"/>
        <w:autoSpaceDN w:val="0"/>
        <w:adjustRightInd w:val="0"/>
        <w:rPr>
          <w:rFonts w:ascii="Arial" w:hAnsi="Arial" w:cs="Arial"/>
          <w:sz w:val="20"/>
          <w:szCs w:val="20"/>
          <w:highlight w:val="white"/>
          <w:lang w:eastAsia="en-AU"/>
        </w:rPr>
      </w:pPr>
      <w:bookmarkStart w:id="194" w:name="_Toc352059660"/>
      <w:bookmarkStart w:id="195" w:name="_Toc352070717"/>
      <w:bookmarkStart w:id="196" w:name="_Toc352071969"/>
      <w:bookmarkStart w:id="197" w:name="_Toc352149586"/>
      <w:bookmarkEnd w:id="194"/>
      <w:bookmarkEnd w:id="195"/>
      <w:bookmarkEnd w:id="196"/>
      <w:bookmarkEnd w:id="197"/>
      <w:r w:rsidRPr="00CA6C07">
        <w:rPr>
          <w:rFonts w:ascii="Arial" w:hAnsi="Arial" w:cs="Arial"/>
          <w:sz w:val="20"/>
          <w:szCs w:val="20"/>
          <w:highlight w:val="white"/>
          <w:lang w:eastAsia="en-AU"/>
        </w:rPr>
        <w:t xml:space="preserve">The ATA has promoted increasing the variable component of the PayGo model through a fuel based charge for many years. The current RUC and registration spilt is 62:38. Increasing the variable charge reduces the cash constraint that a large fixed registration charge presents. It also promotes paying for use more as fuel burn is a proxy for mass, distance and road condition. </w:t>
      </w:r>
    </w:p>
    <w:p w:rsidR="00547CA9" w:rsidRPr="00CA6C07" w:rsidRDefault="00547CA9" w:rsidP="00547CA9">
      <w:pPr>
        <w:autoSpaceDE w:val="0"/>
        <w:autoSpaceDN w:val="0"/>
        <w:adjustRightInd w:val="0"/>
        <w:rPr>
          <w:rFonts w:ascii="Arial" w:hAnsi="Arial" w:cs="Arial"/>
          <w:sz w:val="20"/>
          <w:szCs w:val="20"/>
          <w:highlight w:val="white"/>
          <w:lang w:eastAsia="en-AU"/>
        </w:rPr>
      </w:pP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NTC examined different levels of RUC and registration and effectively gauged stakeholder feedback and the impacts of different combinations of RUC.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recommendation of further examining raising the RUC above the current level , outlining practical barriers and the carbon price and investigate possible solutions to these barriers and the timeframes required to implement them is a positive step to improving the performance of PayGo.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Some barriers indentified such as legislating for a RUC above the current </w:t>
      </w:r>
      <w:r w:rsidR="00281EFE">
        <w:rPr>
          <w:rFonts w:ascii="Arial" w:hAnsi="Arial" w:cs="Arial"/>
          <w:sz w:val="20"/>
          <w:szCs w:val="20"/>
          <w:highlight w:val="white"/>
          <w:lang w:eastAsia="en-AU"/>
        </w:rPr>
        <w:t xml:space="preserve">excise level can be amended within the time of the review.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If the variable component share changes under the PayGo model, there will need to be consideration of how the money will be distributed. The ATA support</w:t>
      </w:r>
      <w:r w:rsidR="00C26866">
        <w:rPr>
          <w:rFonts w:ascii="Arial" w:hAnsi="Arial" w:cs="Arial"/>
          <w:sz w:val="20"/>
          <w:szCs w:val="20"/>
          <w:highlight w:val="white"/>
          <w:lang w:eastAsia="en-AU"/>
        </w:rPr>
        <w:t>s</w:t>
      </w:r>
      <w:r w:rsidRPr="00CA6C07">
        <w:rPr>
          <w:rFonts w:ascii="Arial" w:hAnsi="Arial" w:cs="Arial"/>
          <w:sz w:val="20"/>
          <w:szCs w:val="20"/>
          <w:highlight w:val="white"/>
          <w:lang w:eastAsia="en-AU"/>
        </w:rPr>
        <w:t xml:space="preserve"> the use of a formula, similar to Federal Interstate Registration </w:t>
      </w:r>
      <w:r w:rsidR="00AB75B8">
        <w:rPr>
          <w:rFonts w:ascii="Arial" w:hAnsi="Arial" w:cs="Arial"/>
          <w:sz w:val="20"/>
          <w:szCs w:val="20"/>
          <w:highlight w:val="white"/>
          <w:lang w:eastAsia="en-AU"/>
        </w:rPr>
        <w:t>scheme</w:t>
      </w:r>
      <w:r w:rsidR="00AB75B8" w:rsidRPr="00CA6C07">
        <w:rPr>
          <w:rFonts w:ascii="Arial" w:hAnsi="Arial" w:cs="Arial"/>
          <w:sz w:val="20"/>
          <w:szCs w:val="20"/>
          <w:highlight w:val="white"/>
          <w:lang w:eastAsia="en-AU"/>
        </w:rPr>
        <w:t xml:space="preserve"> (FIRS)</w:t>
      </w:r>
      <w:r w:rsidRPr="00CA6C07">
        <w:rPr>
          <w:rFonts w:ascii="Arial" w:hAnsi="Arial" w:cs="Arial"/>
          <w:sz w:val="20"/>
          <w:szCs w:val="20"/>
          <w:highlight w:val="white"/>
          <w:lang w:eastAsia="en-AU"/>
        </w:rPr>
        <w:t>, which is based on a freight task su</w:t>
      </w:r>
      <w:r w:rsidR="00C26866">
        <w:rPr>
          <w:rFonts w:ascii="Arial" w:hAnsi="Arial" w:cs="Arial"/>
          <w:sz w:val="20"/>
          <w:szCs w:val="20"/>
          <w:highlight w:val="white"/>
          <w:lang w:eastAsia="en-AU"/>
        </w:rPr>
        <w:t>rvey and works very effectively</w:t>
      </w:r>
      <w:r w:rsidR="00AB75B8">
        <w:rPr>
          <w:rFonts w:ascii="Arial" w:hAnsi="Arial" w:cs="Arial"/>
          <w:sz w:val="20"/>
          <w:szCs w:val="20"/>
          <w:highlight w:val="white"/>
          <w:lang w:eastAsia="en-AU"/>
        </w:rPr>
        <w:t xml:space="preserve">. Updating the freight task movements from the most recent SMVU, would reflect heavy vehicle movements accurately. </w:t>
      </w:r>
      <w:proofErr w:type="gramStart"/>
      <w:r w:rsidR="00AB75B8">
        <w:rPr>
          <w:rFonts w:ascii="Arial" w:hAnsi="Arial" w:cs="Arial"/>
          <w:sz w:val="20"/>
          <w:szCs w:val="20"/>
          <w:highlight w:val="white"/>
          <w:lang w:eastAsia="en-AU"/>
        </w:rPr>
        <w:t>Similarly, a</w:t>
      </w:r>
      <w:r w:rsidR="003A19A5">
        <w:rPr>
          <w:rFonts w:ascii="Arial" w:hAnsi="Arial" w:cs="Arial"/>
          <w:sz w:val="20"/>
          <w:szCs w:val="20"/>
          <w:highlight w:val="white"/>
          <w:lang w:eastAsia="en-AU"/>
        </w:rPr>
        <w:t xml:space="preserve"> revenue</w:t>
      </w:r>
      <w:r w:rsidR="00C26866">
        <w:rPr>
          <w:rFonts w:ascii="Arial" w:hAnsi="Arial" w:cs="Arial"/>
          <w:sz w:val="20"/>
          <w:szCs w:val="20"/>
          <w:highlight w:val="white"/>
          <w:lang w:eastAsia="en-AU"/>
        </w:rPr>
        <w:t xml:space="preserve"> distribution based on a network level of service, focussing on heavy vehicle access level</w:t>
      </w:r>
      <w:r w:rsidR="001555C9">
        <w:rPr>
          <w:rFonts w:ascii="Arial" w:hAnsi="Arial" w:cs="Arial"/>
          <w:sz w:val="20"/>
          <w:szCs w:val="20"/>
          <w:highlight w:val="white"/>
          <w:lang w:eastAsia="en-AU"/>
        </w:rPr>
        <w:t>s</w:t>
      </w:r>
      <w:r w:rsidR="00C26866">
        <w:rPr>
          <w:rFonts w:ascii="Arial" w:hAnsi="Arial" w:cs="Arial"/>
          <w:sz w:val="20"/>
          <w:szCs w:val="20"/>
          <w:highlight w:val="white"/>
          <w:lang w:eastAsia="en-AU"/>
        </w:rPr>
        <w:t xml:space="preserve"> to </w:t>
      </w:r>
      <w:r w:rsidR="001555C9">
        <w:rPr>
          <w:rFonts w:ascii="Arial" w:hAnsi="Arial" w:cs="Arial"/>
          <w:sz w:val="20"/>
          <w:szCs w:val="20"/>
          <w:highlight w:val="white"/>
          <w:lang w:eastAsia="en-AU"/>
        </w:rPr>
        <w:t xml:space="preserve">concentrate </w:t>
      </w:r>
      <w:r w:rsidR="00C26866">
        <w:rPr>
          <w:rFonts w:ascii="Arial" w:hAnsi="Arial" w:cs="Arial"/>
          <w:sz w:val="20"/>
          <w:szCs w:val="20"/>
          <w:highlight w:val="white"/>
          <w:lang w:eastAsia="en-AU"/>
        </w:rPr>
        <w:t>investment</w:t>
      </w:r>
      <w:r w:rsidR="001555C9">
        <w:rPr>
          <w:rFonts w:ascii="Arial" w:hAnsi="Arial" w:cs="Arial"/>
          <w:sz w:val="20"/>
          <w:szCs w:val="20"/>
          <w:highlight w:val="white"/>
          <w:lang w:eastAsia="en-AU"/>
        </w:rPr>
        <w:t xml:space="preserve"> and define the service standard of </w:t>
      </w:r>
      <w:r w:rsidR="00642DBA">
        <w:rPr>
          <w:rFonts w:ascii="Arial" w:hAnsi="Arial" w:cs="Arial"/>
          <w:sz w:val="20"/>
          <w:szCs w:val="20"/>
          <w:highlight w:val="white"/>
          <w:lang w:eastAsia="en-AU"/>
        </w:rPr>
        <w:t>infrastructure</w:t>
      </w:r>
      <w:r w:rsidR="00C26866">
        <w:rPr>
          <w:rFonts w:ascii="Arial" w:hAnsi="Arial" w:cs="Arial"/>
          <w:sz w:val="20"/>
          <w:szCs w:val="20"/>
          <w:highlight w:val="white"/>
          <w:lang w:eastAsia="en-AU"/>
        </w:rPr>
        <w:t xml:space="preserve"> for users.</w:t>
      </w:r>
      <w:proofErr w:type="gramEnd"/>
      <w:r w:rsidR="00C26866">
        <w:rPr>
          <w:rFonts w:ascii="Arial" w:hAnsi="Arial" w:cs="Arial"/>
          <w:sz w:val="20"/>
          <w:szCs w:val="20"/>
          <w:highlight w:val="white"/>
          <w:lang w:eastAsia="en-AU"/>
        </w:rPr>
        <w:t xml:space="preserve">  </w:t>
      </w:r>
      <w:r w:rsidRPr="00CA6C07">
        <w:rPr>
          <w:rFonts w:ascii="Arial" w:hAnsi="Arial" w:cs="Arial"/>
          <w:sz w:val="20"/>
          <w:szCs w:val="20"/>
          <w:highlight w:val="white"/>
          <w:lang w:eastAsia="en-AU"/>
        </w:rPr>
        <w:t xml:space="preserve">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Industry would like to see trailers treated as a single class. While A-trailer registration halved last year it has had limited effects given it is still treated separately to semi-trailers. This would make charges reflect how industry uses trailers because heavy </w:t>
      </w:r>
      <w:r w:rsidR="0059367E" w:rsidRPr="00CA6C07">
        <w:rPr>
          <w:rFonts w:ascii="Arial" w:hAnsi="Arial" w:cs="Arial"/>
          <w:sz w:val="20"/>
          <w:szCs w:val="20"/>
          <w:highlight w:val="white"/>
          <w:lang w:eastAsia="en-AU"/>
        </w:rPr>
        <w:t>vehicles</w:t>
      </w:r>
      <w:r w:rsidRPr="00CA6C07">
        <w:rPr>
          <w:rFonts w:ascii="Arial" w:hAnsi="Arial" w:cs="Arial"/>
          <w:sz w:val="20"/>
          <w:szCs w:val="20"/>
          <w:highlight w:val="white"/>
          <w:lang w:eastAsia="en-AU"/>
        </w:rPr>
        <w:t xml:space="preserve"> rarely stay in tied combinations. </w:t>
      </w:r>
      <w:r w:rsidR="00E95091" w:rsidRPr="00CA6C07">
        <w:rPr>
          <w:rFonts w:ascii="Arial" w:hAnsi="Arial" w:cs="Arial"/>
          <w:sz w:val="20"/>
          <w:szCs w:val="20"/>
          <w:highlight w:val="white"/>
          <w:lang w:eastAsia="en-AU"/>
        </w:rPr>
        <w:t xml:space="preserve">The modularity of the articulated fleet is customary; trailers are interchanged as a matter of routine business prac tices across the nation. </w:t>
      </w:r>
    </w:p>
    <w:p w:rsidR="00547CA9"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ATA has also argued that longer combinations </w:t>
      </w:r>
      <w:r w:rsidR="00333BA6">
        <w:rPr>
          <w:rFonts w:ascii="Arial" w:hAnsi="Arial" w:cs="Arial"/>
          <w:sz w:val="20"/>
          <w:szCs w:val="20"/>
          <w:highlight w:val="white"/>
          <w:lang w:eastAsia="en-AU"/>
        </w:rPr>
        <w:t xml:space="preserve">cause </w:t>
      </w:r>
      <w:r w:rsidRPr="00CA6C07">
        <w:rPr>
          <w:rFonts w:ascii="Arial" w:hAnsi="Arial" w:cs="Arial"/>
          <w:sz w:val="20"/>
          <w:szCs w:val="20"/>
          <w:highlight w:val="white"/>
          <w:lang w:eastAsia="en-AU"/>
        </w:rPr>
        <w:t xml:space="preserve">less pavement wear, given they complete the freight task in less trips than smaller combinations. The NTC endorsement of axle group charging is superior to a per axle charge because it promotes using the most productive vehicle for the freight task, compared to simple per axle charge which promotes no distinctive price signals. </w:t>
      </w:r>
    </w:p>
    <w:p w:rsidR="000C30F1" w:rsidRPr="00CA6C07" w:rsidRDefault="00547CA9" w:rsidP="00547CA9">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Additionally, work undertaken by the NTC into examining axle grouping ESA should support the use of axle group charging, as one would expect the ESA of a semi-trailer to be the same in any configuration. Therefore, charges would reflect impact more accurately than the current systems does which measures single combinations not components.</w:t>
      </w:r>
    </w:p>
    <w:p w:rsidR="00547CA9" w:rsidRPr="00CA6C07" w:rsidRDefault="00547CA9" w:rsidP="00547CA9">
      <w:pPr>
        <w:pStyle w:val="RecommendationStyle"/>
      </w:pPr>
      <w:bookmarkStart w:id="198" w:name="_Toc352163842"/>
      <w:bookmarkStart w:id="199" w:name="_Toc352228483"/>
      <w:bookmarkStart w:id="200" w:name="_Toc352231727"/>
      <w:bookmarkStart w:id="201" w:name="_Toc352740569"/>
      <w:bookmarkStart w:id="202" w:name="_Toc353434621"/>
      <w:bookmarkStart w:id="203" w:name="_Toc352059661"/>
      <w:bookmarkStart w:id="204" w:name="_Toc352070718"/>
      <w:bookmarkStart w:id="205" w:name="_Toc352071970"/>
      <w:bookmarkStart w:id="206" w:name="_Toc352149587"/>
      <w:bookmarkStart w:id="207" w:name="_Toc353435605"/>
      <w:bookmarkEnd w:id="198"/>
      <w:bookmarkEnd w:id="199"/>
      <w:bookmarkEnd w:id="200"/>
      <w:bookmarkEnd w:id="201"/>
      <w:bookmarkEnd w:id="202"/>
      <w:bookmarkEnd w:id="207"/>
    </w:p>
    <w:p w:rsidR="00573E0F" w:rsidRPr="00CA6C07" w:rsidRDefault="00573E0F" w:rsidP="00547CA9">
      <w:pPr>
        <w:pStyle w:val="RecommendationStyle"/>
        <w:numPr>
          <w:ilvl w:val="0"/>
          <w:numId w:val="0"/>
        </w:numPr>
      </w:pPr>
      <w:bookmarkStart w:id="208" w:name="_Toc352163843"/>
      <w:bookmarkStart w:id="209" w:name="_Toc352228484"/>
      <w:bookmarkStart w:id="210" w:name="_Toc352231728"/>
      <w:bookmarkStart w:id="211" w:name="_Toc352740570"/>
      <w:bookmarkStart w:id="212" w:name="_Toc353434622"/>
      <w:bookmarkStart w:id="213" w:name="_Toc353435606"/>
      <w:r w:rsidRPr="00CA6C07">
        <w:t>The variable fuel component of the PayGo model should increase to suppor</w:t>
      </w:r>
      <w:r w:rsidR="00FF6A2B" w:rsidRPr="00CA6C07">
        <w:t>t industry paying for use and strengthen</w:t>
      </w:r>
      <w:r w:rsidRPr="00CA6C07">
        <w:t xml:space="preserve"> </w:t>
      </w:r>
      <w:r w:rsidR="00FF6A2B" w:rsidRPr="00CA6C07">
        <w:t>industry’s ability to pass</w:t>
      </w:r>
      <w:r w:rsidRPr="00CA6C07">
        <w:t xml:space="preserve"> on costs to clients.</w:t>
      </w:r>
      <w:bookmarkEnd w:id="203"/>
      <w:bookmarkEnd w:id="204"/>
      <w:bookmarkEnd w:id="205"/>
      <w:bookmarkEnd w:id="206"/>
      <w:bookmarkEnd w:id="208"/>
      <w:bookmarkEnd w:id="209"/>
      <w:bookmarkEnd w:id="210"/>
      <w:bookmarkEnd w:id="211"/>
      <w:bookmarkEnd w:id="212"/>
      <w:bookmarkEnd w:id="213"/>
      <w:r w:rsidRPr="00CA6C07">
        <w:t xml:space="preserve"> </w:t>
      </w:r>
    </w:p>
    <w:p w:rsidR="000C30F1" w:rsidRPr="00CA6C07" w:rsidRDefault="000C30F1" w:rsidP="000C30F1">
      <w:pPr>
        <w:pStyle w:val="RecommendationStyle"/>
      </w:pPr>
      <w:bookmarkStart w:id="214" w:name="_Toc352059662"/>
      <w:bookmarkStart w:id="215" w:name="_Toc352070719"/>
      <w:bookmarkStart w:id="216" w:name="_Toc352071971"/>
      <w:bookmarkStart w:id="217" w:name="_Toc352149588"/>
      <w:bookmarkStart w:id="218" w:name="_Toc352163844"/>
      <w:bookmarkStart w:id="219" w:name="_Toc352228485"/>
      <w:bookmarkStart w:id="220" w:name="_Toc352231729"/>
      <w:bookmarkStart w:id="221" w:name="_Toc352740571"/>
      <w:bookmarkStart w:id="222" w:name="_Toc353434623"/>
      <w:bookmarkStart w:id="223" w:name="_Toc353435607"/>
      <w:bookmarkEnd w:id="214"/>
      <w:bookmarkEnd w:id="215"/>
      <w:bookmarkEnd w:id="216"/>
      <w:bookmarkEnd w:id="217"/>
      <w:bookmarkEnd w:id="218"/>
      <w:bookmarkEnd w:id="219"/>
      <w:bookmarkEnd w:id="220"/>
      <w:bookmarkEnd w:id="221"/>
      <w:bookmarkEnd w:id="222"/>
      <w:bookmarkEnd w:id="223"/>
    </w:p>
    <w:p w:rsidR="00573E0F" w:rsidRPr="00CA6C07" w:rsidRDefault="00573E0F" w:rsidP="000C30F1">
      <w:pPr>
        <w:pStyle w:val="RecommendationStyle"/>
        <w:numPr>
          <w:ilvl w:val="0"/>
          <w:numId w:val="0"/>
        </w:numPr>
      </w:pPr>
      <w:bookmarkStart w:id="224" w:name="_Toc352059663"/>
      <w:bookmarkStart w:id="225" w:name="_Toc352070720"/>
      <w:bookmarkStart w:id="226" w:name="_Toc352071972"/>
      <w:bookmarkStart w:id="227" w:name="_Toc352149589"/>
      <w:bookmarkStart w:id="228" w:name="_Toc352163845"/>
      <w:bookmarkStart w:id="229" w:name="_Toc352228486"/>
      <w:bookmarkStart w:id="230" w:name="_Toc352231730"/>
      <w:bookmarkStart w:id="231" w:name="_Toc352740572"/>
      <w:bookmarkStart w:id="232" w:name="_Toc353434624"/>
      <w:bookmarkStart w:id="233" w:name="_Toc353435608"/>
      <w:r w:rsidRPr="00CA6C07">
        <w:t xml:space="preserve">Legislating for an increase in RUC is possible and is not </w:t>
      </w:r>
      <w:r w:rsidR="007005CD" w:rsidRPr="00CA6C07">
        <w:t>an</w:t>
      </w:r>
      <w:r w:rsidRPr="00CA6C07">
        <w:t xml:space="preserve"> </w:t>
      </w:r>
      <w:r w:rsidR="007005CD" w:rsidRPr="00CA6C07">
        <w:t xml:space="preserve">impossible </w:t>
      </w:r>
      <w:r w:rsidRPr="00CA6C07">
        <w:t>barrier to increasing the RUC share.</w:t>
      </w:r>
      <w:bookmarkEnd w:id="224"/>
      <w:bookmarkEnd w:id="225"/>
      <w:bookmarkEnd w:id="226"/>
      <w:bookmarkEnd w:id="227"/>
      <w:bookmarkEnd w:id="228"/>
      <w:bookmarkEnd w:id="229"/>
      <w:bookmarkEnd w:id="230"/>
      <w:bookmarkEnd w:id="231"/>
      <w:bookmarkEnd w:id="232"/>
      <w:bookmarkEnd w:id="233"/>
      <w:r w:rsidRPr="00CA6C07">
        <w:t xml:space="preserve"> </w:t>
      </w:r>
    </w:p>
    <w:p w:rsidR="000C30F1" w:rsidRPr="00CA6C07" w:rsidRDefault="000C30F1" w:rsidP="000C30F1">
      <w:pPr>
        <w:pStyle w:val="RecommendationStyle"/>
      </w:pPr>
      <w:bookmarkStart w:id="234" w:name="_Toc352059664"/>
      <w:bookmarkStart w:id="235" w:name="_Toc352070721"/>
      <w:bookmarkStart w:id="236" w:name="_Toc352071973"/>
      <w:bookmarkStart w:id="237" w:name="_Toc352149590"/>
      <w:bookmarkStart w:id="238" w:name="_Toc352163846"/>
      <w:bookmarkStart w:id="239" w:name="_Toc352228487"/>
      <w:bookmarkStart w:id="240" w:name="_Toc352231731"/>
      <w:bookmarkStart w:id="241" w:name="_Toc352740573"/>
      <w:bookmarkStart w:id="242" w:name="_Toc353434625"/>
      <w:bookmarkStart w:id="243" w:name="_Toc353435609"/>
      <w:bookmarkEnd w:id="234"/>
      <w:bookmarkEnd w:id="235"/>
      <w:bookmarkEnd w:id="236"/>
      <w:bookmarkEnd w:id="237"/>
      <w:bookmarkEnd w:id="238"/>
      <w:bookmarkEnd w:id="239"/>
      <w:bookmarkEnd w:id="240"/>
      <w:bookmarkEnd w:id="241"/>
      <w:bookmarkEnd w:id="242"/>
      <w:bookmarkEnd w:id="243"/>
    </w:p>
    <w:p w:rsidR="00573E0F" w:rsidRPr="00CA6C07" w:rsidRDefault="00573E0F" w:rsidP="000C30F1">
      <w:pPr>
        <w:pStyle w:val="RecommendationStyle"/>
        <w:numPr>
          <w:ilvl w:val="0"/>
          <w:numId w:val="0"/>
        </w:numPr>
      </w:pPr>
      <w:bookmarkStart w:id="244" w:name="_Toc352059665"/>
      <w:bookmarkStart w:id="245" w:name="_Toc352070722"/>
      <w:bookmarkStart w:id="246" w:name="_Toc352071974"/>
      <w:bookmarkStart w:id="247" w:name="_Toc352149591"/>
      <w:bookmarkStart w:id="248" w:name="_Toc352163847"/>
      <w:bookmarkStart w:id="249" w:name="_Toc352228488"/>
      <w:bookmarkStart w:id="250" w:name="_Toc352231732"/>
      <w:bookmarkStart w:id="251" w:name="_Toc352740574"/>
      <w:bookmarkStart w:id="252" w:name="_Toc353434626"/>
      <w:bookmarkStart w:id="253" w:name="_Toc353435610"/>
      <w:r w:rsidRPr="00CA6C07">
        <w:t xml:space="preserve">The Federal Interstate Registration </w:t>
      </w:r>
      <w:r w:rsidR="004C64D9">
        <w:t>scheme</w:t>
      </w:r>
      <w:r w:rsidRPr="00CA6C07">
        <w:t xml:space="preserve"> </w:t>
      </w:r>
      <w:r w:rsidR="004C64D9" w:rsidRPr="00CA6C07">
        <w:t>(FIRS</w:t>
      </w:r>
      <w:r w:rsidR="004C64D9">
        <w:t xml:space="preserve">) like </w:t>
      </w:r>
      <w:r w:rsidRPr="00CA6C07">
        <w:t>formula of distributing revenue should be mimicked in the PayGo system with an increase in RUC share.</w:t>
      </w:r>
      <w:bookmarkEnd w:id="244"/>
      <w:bookmarkEnd w:id="245"/>
      <w:bookmarkEnd w:id="246"/>
      <w:bookmarkEnd w:id="247"/>
      <w:bookmarkEnd w:id="248"/>
      <w:r w:rsidR="00E62220" w:rsidRPr="00CA6C07">
        <w:t xml:space="preserve"> </w:t>
      </w:r>
      <w:bookmarkEnd w:id="249"/>
      <w:r w:rsidR="00642DBA">
        <w:t>Alternatively a tiered heavy vehicle access network could be used to efficiently distribute revenue.</w:t>
      </w:r>
      <w:bookmarkEnd w:id="250"/>
      <w:bookmarkEnd w:id="251"/>
      <w:bookmarkEnd w:id="252"/>
      <w:bookmarkEnd w:id="253"/>
      <w:r w:rsidR="00642DBA">
        <w:t xml:space="preserve"> </w:t>
      </w:r>
      <w:r w:rsidR="00E62220" w:rsidRPr="00CA6C07">
        <w:t xml:space="preserve"> </w:t>
      </w:r>
    </w:p>
    <w:p w:rsidR="000C30F1" w:rsidRPr="00CA6C07" w:rsidRDefault="000C30F1" w:rsidP="000C30F1">
      <w:pPr>
        <w:pStyle w:val="RecommendationStyle"/>
      </w:pPr>
      <w:bookmarkStart w:id="254" w:name="_Toc352059666"/>
      <w:bookmarkStart w:id="255" w:name="_Toc352070723"/>
      <w:bookmarkStart w:id="256" w:name="_Toc352071975"/>
      <w:bookmarkStart w:id="257" w:name="_Toc352149592"/>
      <w:bookmarkStart w:id="258" w:name="_Toc352163848"/>
      <w:bookmarkStart w:id="259" w:name="_Toc352228489"/>
      <w:bookmarkStart w:id="260" w:name="_Toc352231733"/>
      <w:bookmarkStart w:id="261" w:name="_Toc352740575"/>
      <w:bookmarkStart w:id="262" w:name="_Toc353434627"/>
      <w:bookmarkStart w:id="263" w:name="_Toc353435611"/>
      <w:bookmarkEnd w:id="254"/>
      <w:bookmarkEnd w:id="255"/>
      <w:bookmarkEnd w:id="256"/>
      <w:bookmarkEnd w:id="257"/>
      <w:bookmarkEnd w:id="258"/>
      <w:bookmarkEnd w:id="259"/>
      <w:bookmarkEnd w:id="260"/>
      <w:bookmarkEnd w:id="261"/>
      <w:bookmarkEnd w:id="262"/>
      <w:bookmarkEnd w:id="263"/>
    </w:p>
    <w:p w:rsidR="000C30F1" w:rsidRDefault="000C30F1" w:rsidP="009C5B73">
      <w:pPr>
        <w:pStyle w:val="RecommendationStyle"/>
        <w:numPr>
          <w:ilvl w:val="0"/>
          <w:numId w:val="0"/>
        </w:numPr>
      </w:pPr>
      <w:bookmarkStart w:id="264" w:name="_Toc352059667"/>
      <w:bookmarkStart w:id="265" w:name="_Toc352070724"/>
      <w:bookmarkStart w:id="266" w:name="_Toc352071976"/>
      <w:bookmarkStart w:id="267" w:name="_Toc352149593"/>
      <w:bookmarkStart w:id="268" w:name="_Toc352163849"/>
      <w:bookmarkStart w:id="269" w:name="_Toc352228490"/>
      <w:bookmarkStart w:id="270" w:name="_Toc352231734"/>
      <w:bookmarkStart w:id="271" w:name="_Toc352740576"/>
      <w:bookmarkStart w:id="272" w:name="_Toc353434628"/>
      <w:bookmarkStart w:id="273" w:name="_Toc353435612"/>
      <w:r w:rsidRPr="00CA6C07">
        <w:t>Trailers should be treated as a single class in the charges schedule</w:t>
      </w:r>
      <w:bookmarkEnd w:id="264"/>
      <w:bookmarkEnd w:id="265"/>
      <w:bookmarkEnd w:id="266"/>
      <w:bookmarkEnd w:id="267"/>
      <w:bookmarkEnd w:id="268"/>
      <w:bookmarkEnd w:id="269"/>
      <w:r w:rsidR="003D6219">
        <w:t>.</w:t>
      </w:r>
      <w:bookmarkEnd w:id="270"/>
      <w:bookmarkEnd w:id="271"/>
      <w:bookmarkEnd w:id="272"/>
      <w:bookmarkEnd w:id="273"/>
      <w:r w:rsidRPr="00CA6C07">
        <w:t xml:space="preserve"> </w:t>
      </w:r>
    </w:p>
    <w:p w:rsidR="0082056F" w:rsidRPr="009C5B73" w:rsidRDefault="0082056F" w:rsidP="009C5B73">
      <w:pPr>
        <w:pStyle w:val="RecommendationStyle"/>
        <w:numPr>
          <w:ilvl w:val="0"/>
          <w:numId w:val="0"/>
        </w:numPr>
      </w:pPr>
    </w:p>
    <w:p w:rsidR="000C30F1" w:rsidRPr="00CA6C07" w:rsidRDefault="000C30F1" w:rsidP="000C30F1">
      <w:pPr>
        <w:pStyle w:val="RecommendationStyle"/>
      </w:pPr>
      <w:bookmarkStart w:id="274" w:name="_Toc352059668"/>
      <w:bookmarkStart w:id="275" w:name="_Toc352070725"/>
      <w:bookmarkStart w:id="276" w:name="_Toc352071977"/>
      <w:bookmarkStart w:id="277" w:name="_Toc352149594"/>
      <w:bookmarkStart w:id="278" w:name="_Toc352163850"/>
      <w:bookmarkStart w:id="279" w:name="_Toc352228491"/>
      <w:bookmarkStart w:id="280" w:name="_Toc352231735"/>
      <w:bookmarkStart w:id="281" w:name="_Toc352740577"/>
      <w:bookmarkStart w:id="282" w:name="_Toc353434629"/>
      <w:bookmarkStart w:id="283" w:name="_Toc353435613"/>
      <w:bookmarkEnd w:id="274"/>
      <w:bookmarkEnd w:id="275"/>
      <w:bookmarkEnd w:id="276"/>
      <w:bookmarkEnd w:id="277"/>
      <w:bookmarkEnd w:id="278"/>
      <w:bookmarkEnd w:id="279"/>
      <w:bookmarkEnd w:id="280"/>
      <w:bookmarkEnd w:id="281"/>
      <w:bookmarkEnd w:id="282"/>
      <w:bookmarkEnd w:id="283"/>
    </w:p>
    <w:p w:rsidR="00573E0F" w:rsidRDefault="00A5704A" w:rsidP="00927553">
      <w:pPr>
        <w:pStyle w:val="RecommendationStyle"/>
        <w:numPr>
          <w:ilvl w:val="0"/>
          <w:numId w:val="0"/>
        </w:numPr>
      </w:pPr>
      <w:bookmarkStart w:id="284" w:name="_Toc352059669"/>
      <w:bookmarkStart w:id="285" w:name="_Toc352070726"/>
      <w:bookmarkStart w:id="286" w:name="_Toc352071978"/>
      <w:bookmarkStart w:id="287" w:name="_Toc352149595"/>
      <w:bookmarkStart w:id="288" w:name="_Toc352163851"/>
      <w:bookmarkStart w:id="289" w:name="_Toc352228492"/>
      <w:bookmarkStart w:id="290" w:name="_Toc352231736"/>
      <w:bookmarkStart w:id="291" w:name="_Toc352740578"/>
      <w:bookmarkStart w:id="292" w:name="_Toc353434630"/>
      <w:bookmarkStart w:id="293" w:name="_Toc353435614"/>
      <w:r w:rsidRPr="00CA6C07">
        <w:t>T</w:t>
      </w:r>
      <w:r w:rsidR="008021B1" w:rsidRPr="00CA6C07">
        <w:t xml:space="preserve">he ATA recommend the NTC pursue </w:t>
      </w:r>
      <w:r w:rsidR="00A21B50" w:rsidRPr="00CA6C07">
        <w:t>axle group charge</w:t>
      </w:r>
      <w:r w:rsidR="008021B1" w:rsidRPr="00CA6C07">
        <w:t>s</w:t>
      </w:r>
      <w:r w:rsidR="00A21B50" w:rsidRPr="00CA6C07">
        <w:t xml:space="preserve"> for trailers</w:t>
      </w:r>
      <w:r w:rsidRPr="00CA6C07">
        <w:t>, as it</w:t>
      </w:r>
      <w:r w:rsidR="000C30F1" w:rsidRPr="00CA6C07">
        <w:t xml:space="preserve"> would promote using the most efficient </w:t>
      </w:r>
      <w:r w:rsidR="008021B1" w:rsidRPr="00CA6C07">
        <w:t xml:space="preserve">and safe </w:t>
      </w:r>
      <w:r w:rsidR="000C30F1" w:rsidRPr="00CA6C07">
        <w:t xml:space="preserve">vehicles for the freight </w:t>
      </w:r>
      <w:r w:rsidR="00273325" w:rsidRPr="00CA6C07">
        <w:t>task</w:t>
      </w:r>
      <w:r w:rsidR="000C30F1" w:rsidRPr="00CA6C07">
        <w:t>.</w:t>
      </w:r>
      <w:bookmarkEnd w:id="284"/>
      <w:bookmarkEnd w:id="285"/>
      <w:bookmarkEnd w:id="286"/>
      <w:bookmarkEnd w:id="287"/>
      <w:bookmarkEnd w:id="288"/>
      <w:bookmarkEnd w:id="289"/>
      <w:bookmarkEnd w:id="290"/>
      <w:bookmarkEnd w:id="291"/>
      <w:bookmarkEnd w:id="292"/>
      <w:bookmarkEnd w:id="293"/>
      <w:r w:rsidR="000C30F1" w:rsidRPr="00CA6C07">
        <w:t xml:space="preserve"> </w:t>
      </w:r>
    </w:p>
    <w:p w:rsidR="009C5B73" w:rsidRDefault="009C5B73" w:rsidP="009C5B73">
      <w:pPr>
        <w:pStyle w:val="RecommendationStyle"/>
        <w:numPr>
          <w:ilvl w:val="0"/>
          <w:numId w:val="0"/>
        </w:numPr>
        <w:spacing w:before="0" w:after="0"/>
      </w:pPr>
    </w:p>
    <w:p w:rsidR="009C5B73" w:rsidRPr="00927553" w:rsidRDefault="009C5B73" w:rsidP="009C5B73">
      <w:pPr>
        <w:pStyle w:val="RecommendationStyle"/>
        <w:numPr>
          <w:ilvl w:val="0"/>
          <w:numId w:val="0"/>
        </w:numPr>
        <w:spacing w:before="0" w:after="0"/>
      </w:pPr>
    </w:p>
    <w:p w:rsidR="00A21B50" w:rsidRDefault="00BB4E99" w:rsidP="009C5B73">
      <w:pPr>
        <w:pStyle w:val="Heading1"/>
        <w:numPr>
          <w:ilvl w:val="1"/>
          <w:numId w:val="3"/>
        </w:numPr>
        <w:jc w:val="both"/>
      </w:pPr>
      <w:bookmarkStart w:id="294" w:name="_Toc353434686"/>
      <w:r w:rsidRPr="00CA6C07">
        <w:t>Estimating relative levels of pavement wear</w:t>
      </w:r>
      <w:bookmarkEnd w:id="294"/>
      <w:r w:rsidRPr="00CA6C07">
        <w:t xml:space="preserve"> </w:t>
      </w:r>
    </w:p>
    <w:p w:rsidR="009C5B73" w:rsidRPr="009C5B73" w:rsidRDefault="009C5B73" w:rsidP="009C5B73"/>
    <w:p w:rsidR="007005CD" w:rsidRPr="00CA6C07" w:rsidRDefault="007005CD" w:rsidP="007005CD">
      <w:pPr>
        <w:autoSpaceDE w:val="0"/>
        <w:autoSpaceDN w:val="0"/>
        <w:adjustRightInd w:val="0"/>
        <w:spacing w:after="200" w:line="276" w:lineRule="auto"/>
        <w:rPr>
          <w:rFonts w:ascii="Arial" w:hAnsi="Arial" w:cs="Arial"/>
          <w:sz w:val="20"/>
          <w:szCs w:val="20"/>
          <w:highlight w:val="white"/>
          <w:lang w:eastAsia="en-AU"/>
        </w:rPr>
      </w:pPr>
      <w:bookmarkStart w:id="295" w:name="_Toc352070727"/>
      <w:bookmarkStart w:id="296" w:name="_Toc352071979"/>
      <w:bookmarkStart w:id="297" w:name="_Toc352149596"/>
      <w:bookmarkEnd w:id="295"/>
      <w:bookmarkEnd w:id="296"/>
      <w:bookmarkEnd w:id="297"/>
      <w:r w:rsidRPr="00CA6C07">
        <w:rPr>
          <w:rFonts w:ascii="Arial" w:hAnsi="Arial" w:cs="Arial"/>
          <w:sz w:val="20"/>
          <w:szCs w:val="20"/>
          <w:highlight w:val="white"/>
          <w:lang w:eastAsia="en-AU"/>
        </w:rPr>
        <w:t xml:space="preserve">The ATA has argued that the ESA figures since 2007 have overestimated the impact of high productivity vehicles and underestimated the lighter end of the fleet. This was due to the line of best fit being forced through the origin. </w:t>
      </w:r>
    </w:p>
    <w:p w:rsidR="007005CD" w:rsidRPr="00CA6C07" w:rsidRDefault="007005CD" w:rsidP="007005C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NTC have sought to support the modularity of the fleet by examining </w:t>
      </w:r>
      <w:proofErr w:type="spellStart"/>
      <w:r w:rsidRPr="00CA6C07">
        <w:rPr>
          <w:rFonts w:ascii="Arial" w:hAnsi="Arial" w:cs="Arial"/>
          <w:sz w:val="20"/>
          <w:szCs w:val="20"/>
          <w:highlight w:val="white"/>
          <w:lang w:eastAsia="en-AU"/>
        </w:rPr>
        <w:t>ESAs</w:t>
      </w:r>
      <w:proofErr w:type="spellEnd"/>
      <w:r w:rsidRPr="00CA6C07">
        <w:rPr>
          <w:rFonts w:ascii="Arial" w:hAnsi="Arial" w:cs="Arial"/>
          <w:sz w:val="20"/>
          <w:szCs w:val="20"/>
          <w:highlight w:val="white"/>
          <w:lang w:eastAsia="en-AU"/>
        </w:rPr>
        <w:t xml:space="preserve"> for a given set of axles in a combination not the combination itself. There is a strong justification for this move based on an engineering perspective. This method of ESA by axle group would simplify the cost allocation for heavy vehicle impact, which many would support. </w:t>
      </w:r>
    </w:p>
    <w:p w:rsidR="007005CD" w:rsidRPr="00CA6C07" w:rsidRDefault="007005CD" w:rsidP="007005CD">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Further investigation into the AGM and ESA for busses and coaches would break down the costs of impact more effectively. </w:t>
      </w:r>
    </w:p>
    <w:p w:rsidR="007005CD" w:rsidRPr="00CA6C07" w:rsidRDefault="007005CD" w:rsidP="007005CD">
      <w:pPr>
        <w:pStyle w:val="RecommendationStyle"/>
        <w:numPr>
          <w:ilvl w:val="0"/>
          <w:numId w:val="0"/>
        </w:numPr>
      </w:pPr>
      <w:bookmarkStart w:id="298" w:name="_Toc352163852"/>
      <w:bookmarkStart w:id="299" w:name="_Toc352228493"/>
      <w:bookmarkStart w:id="300" w:name="_Toc352231737"/>
      <w:bookmarkStart w:id="301" w:name="_Toc352740579"/>
      <w:bookmarkStart w:id="302" w:name="_Toc353434631"/>
      <w:bookmarkStart w:id="303" w:name="_Toc353435615"/>
      <w:r w:rsidRPr="00CA6C07">
        <w:rPr>
          <w:b w:val="0"/>
          <w:i w:val="0"/>
          <w:highlight w:val="white"/>
          <w:lang w:eastAsia="en-AU"/>
        </w:rPr>
        <w:t xml:space="preserve">Finally, the examination of ESA values for light vehicles will also refine the PayGo model. Currently, road wear is only attributed to weathering and heavy </w:t>
      </w:r>
      <w:proofErr w:type="gramStart"/>
      <w:r w:rsidRPr="00CA6C07">
        <w:rPr>
          <w:b w:val="0"/>
          <w:i w:val="0"/>
          <w:highlight w:val="white"/>
          <w:lang w:eastAsia="en-AU"/>
        </w:rPr>
        <w:t>vehicles,</w:t>
      </w:r>
      <w:proofErr w:type="gramEnd"/>
      <w:r w:rsidRPr="00CA6C07">
        <w:rPr>
          <w:b w:val="0"/>
          <w:i w:val="0"/>
          <w:highlight w:val="white"/>
          <w:lang w:eastAsia="en-AU"/>
        </w:rPr>
        <w:t xml:space="preserve"> however, if light vehicles are found to contribute ESA wear to infrastructure a third category would be added to the attributable road wear.</w:t>
      </w:r>
      <w:bookmarkEnd w:id="298"/>
      <w:bookmarkEnd w:id="299"/>
      <w:bookmarkEnd w:id="300"/>
      <w:bookmarkEnd w:id="301"/>
      <w:bookmarkEnd w:id="302"/>
      <w:bookmarkEnd w:id="303"/>
      <w:r w:rsidRPr="00CA6C07">
        <w:t xml:space="preserve"> </w:t>
      </w:r>
    </w:p>
    <w:p w:rsidR="007005CD" w:rsidRPr="00CA6C07" w:rsidRDefault="007005CD" w:rsidP="007005CD">
      <w:pPr>
        <w:pStyle w:val="RecommendationStyle"/>
      </w:pPr>
      <w:bookmarkStart w:id="304" w:name="_Toc352163853"/>
      <w:bookmarkStart w:id="305" w:name="_Toc352228494"/>
      <w:bookmarkStart w:id="306" w:name="_Toc352231738"/>
      <w:bookmarkStart w:id="307" w:name="_Toc352740580"/>
      <w:bookmarkStart w:id="308" w:name="_Toc353434632"/>
      <w:bookmarkStart w:id="309" w:name="_Toc353435616"/>
      <w:bookmarkEnd w:id="304"/>
      <w:bookmarkEnd w:id="305"/>
      <w:bookmarkEnd w:id="306"/>
      <w:bookmarkEnd w:id="307"/>
      <w:bookmarkEnd w:id="308"/>
      <w:bookmarkEnd w:id="309"/>
    </w:p>
    <w:p w:rsidR="00273325" w:rsidRPr="00CA6C07" w:rsidRDefault="007005CD" w:rsidP="007005CD">
      <w:pPr>
        <w:pStyle w:val="RecommendationStyle"/>
        <w:numPr>
          <w:ilvl w:val="0"/>
          <w:numId w:val="0"/>
        </w:numPr>
      </w:pPr>
      <w:bookmarkStart w:id="310" w:name="_Toc352163854"/>
      <w:bookmarkStart w:id="311" w:name="_Toc352228495"/>
      <w:bookmarkStart w:id="312" w:name="_Toc352231739"/>
      <w:bookmarkStart w:id="313" w:name="_Toc352740581"/>
      <w:bookmarkStart w:id="314" w:name="_Toc353434633"/>
      <w:bookmarkStart w:id="315" w:name="_Toc353435617"/>
      <w:r w:rsidRPr="00CA6C07">
        <w:t xml:space="preserve">The ATA supports ESA calculation by axle group, as it reflects the modular use of trailers and will simplify the calculation of </w:t>
      </w:r>
      <w:proofErr w:type="gramStart"/>
      <w:r w:rsidRPr="00CA6C07">
        <w:t>attributable</w:t>
      </w:r>
      <w:proofErr w:type="gramEnd"/>
      <w:r w:rsidRPr="00CA6C07">
        <w:t xml:space="preserve"> costs.</w:t>
      </w:r>
      <w:bookmarkEnd w:id="310"/>
      <w:bookmarkEnd w:id="311"/>
      <w:bookmarkEnd w:id="312"/>
      <w:bookmarkEnd w:id="313"/>
      <w:bookmarkEnd w:id="314"/>
      <w:bookmarkEnd w:id="315"/>
      <w:r w:rsidRPr="00CA6C07">
        <w:t xml:space="preserve"> </w:t>
      </w:r>
    </w:p>
    <w:p w:rsidR="00273325" w:rsidRPr="00CA6C07" w:rsidRDefault="00273325" w:rsidP="00273325">
      <w:pPr>
        <w:pStyle w:val="RecommendationStyle"/>
      </w:pPr>
      <w:bookmarkStart w:id="316" w:name="_Toc352070729"/>
      <w:bookmarkStart w:id="317" w:name="_Toc352071981"/>
      <w:bookmarkStart w:id="318" w:name="_Toc352149598"/>
      <w:bookmarkStart w:id="319" w:name="_Toc352163855"/>
      <w:bookmarkStart w:id="320" w:name="_Toc352228496"/>
      <w:bookmarkStart w:id="321" w:name="_Toc352231740"/>
      <w:bookmarkStart w:id="322" w:name="_Toc352740582"/>
      <w:bookmarkStart w:id="323" w:name="_Toc353434634"/>
      <w:bookmarkStart w:id="324" w:name="_Toc353435618"/>
      <w:bookmarkEnd w:id="316"/>
      <w:bookmarkEnd w:id="317"/>
      <w:bookmarkEnd w:id="318"/>
      <w:bookmarkEnd w:id="319"/>
      <w:bookmarkEnd w:id="320"/>
      <w:bookmarkEnd w:id="321"/>
      <w:bookmarkEnd w:id="322"/>
      <w:bookmarkEnd w:id="323"/>
      <w:bookmarkEnd w:id="324"/>
    </w:p>
    <w:p w:rsidR="00A21B50" w:rsidRDefault="00A5704A" w:rsidP="009C5B73">
      <w:pPr>
        <w:pStyle w:val="RecommendationStyle"/>
        <w:numPr>
          <w:ilvl w:val="0"/>
          <w:numId w:val="0"/>
        </w:numPr>
      </w:pPr>
      <w:bookmarkStart w:id="325" w:name="_Toc352070730"/>
      <w:bookmarkStart w:id="326" w:name="_Toc352071982"/>
      <w:bookmarkStart w:id="327" w:name="_Toc352149599"/>
      <w:bookmarkStart w:id="328" w:name="_Toc352163856"/>
      <w:bookmarkStart w:id="329" w:name="_Toc352228497"/>
      <w:bookmarkStart w:id="330" w:name="_Toc352231741"/>
      <w:bookmarkStart w:id="331" w:name="_Toc352740583"/>
      <w:bookmarkStart w:id="332" w:name="_Toc353434635"/>
      <w:bookmarkStart w:id="333" w:name="_Toc353435619"/>
      <w:r w:rsidRPr="00CA6C07">
        <w:t xml:space="preserve">The ATA recommend the NTC pursue </w:t>
      </w:r>
      <w:r w:rsidR="00273325" w:rsidRPr="00CA6C07">
        <w:t xml:space="preserve">Investigating </w:t>
      </w:r>
      <w:proofErr w:type="spellStart"/>
      <w:r w:rsidR="00273325" w:rsidRPr="00CA6C07">
        <w:t>ESAs</w:t>
      </w:r>
      <w:proofErr w:type="spellEnd"/>
      <w:r w:rsidR="00273325" w:rsidRPr="00CA6C07">
        <w:t xml:space="preserve"> o</w:t>
      </w:r>
      <w:r w:rsidR="008021B1" w:rsidRPr="00CA6C07">
        <w:t>f Bu</w:t>
      </w:r>
      <w:r w:rsidR="00273325" w:rsidRPr="00CA6C07">
        <w:t>ses, coaches and light vehicle will refine the PayGo model.</w:t>
      </w:r>
      <w:bookmarkEnd w:id="325"/>
      <w:bookmarkEnd w:id="326"/>
      <w:bookmarkEnd w:id="327"/>
      <w:bookmarkEnd w:id="328"/>
      <w:bookmarkEnd w:id="329"/>
      <w:bookmarkEnd w:id="330"/>
      <w:bookmarkEnd w:id="331"/>
      <w:bookmarkEnd w:id="332"/>
      <w:bookmarkEnd w:id="333"/>
      <w:r w:rsidR="00273325" w:rsidRPr="00CA6C07">
        <w:t xml:space="preserve"> </w:t>
      </w:r>
    </w:p>
    <w:p w:rsidR="009C5B73" w:rsidRDefault="009C5B73" w:rsidP="009C5B73">
      <w:pPr>
        <w:pStyle w:val="RecommendationStyle"/>
        <w:numPr>
          <w:ilvl w:val="0"/>
          <w:numId w:val="0"/>
        </w:numPr>
        <w:spacing w:before="0" w:after="0"/>
      </w:pPr>
    </w:p>
    <w:p w:rsidR="009C5B73" w:rsidRPr="009C5B73" w:rsidRDefault="009C5B73" w:rsidP="009C5B73">
      <w:pPr>
        <w:rPr>
          <w:rFonts w:ascii="Arial" w:hAnsi="Arial" w:cs="Arial"/>
          <w:sz w:val="20"/>
          <w:szCs w:val="20"/>
        </w:rPr>
      </w:pPr>
    </w:p>
    <w:p w:rsidR="00273325" w:rsidRDefault="00BB4E99" w:rsidP="009C5B73">
      <w:pPr>
        <w:pStyle w:val="Heading1"/>
        <w:numPr>
          <w:ilvl w:val="1"/>
          <w:numId w:val="3"/>
        </w:numPr>
        <w:jc w:val="both"/>
      </w:pPr>
      <w:bookmarkStart w:id="334" w:name="_Toc353434687"/>
      <w:r w:rsidRPr="00CA6C07">
        <w:t>Annual Adjustment</w:t>
      </w:r>
      <w:bookmarkEnd w:id="334"/>
      <w:r w:rsidRPr="00CA6C07">
        <w:t xml:space="preserve"> </w:t>
      </w:r>
    </w:p>
    <w:p w:rsidR="009C5B73" w:rsidRPr="009C5B73" w:rsidRDefault="009C5B73" w:rsidP="009C5B73"/>
    <w:p w:rsidR="00014B23" w:rsidRPr="00CA6C07" w:rsidRDefault="00014B23" w:rsidP="00014B23">
      <w:pPr>
        <w:autoSpaceDE w:val="0"/>
        <w:autoSpaceDN w:val="0"/>
        <w:adjustRightInd w:val="0"/>
        <w:spacing w:after="200" w:line="276" w:lineRule="auto"/>
        <w:rPr>
          <w:rFonts w:ascii="Arial" w:hAnsi="Arial" w:cs="Arial"/>
          <w:sz w:val="20"/>
          <w:szCs w:val="20"/>
          <w:highlight w:val="white"/>
          <w:lang w:eastAsia="en-AU"/>
        </w:rPr>
      </w:pPr>
      <w:bookmarkStart w:id="335" w:name="_Toc352071983"/>
      <w:bookmarkStart w:id="336" w:name="_Toc352149600"/>
      <w:bookmarkEnd w:id="335"/>
      <w:bookmarkEnd w:id="336"/>
      <w:r w:rsidRPr="00CA6C07">
        <w:rPr>
          <w:rFonts w:ascii="Arial" w:hAnsi="Arial" w:cs="Arial"/>
          <w:sz w:val="20"/>
          <w:szCs w:val="20"/>
          <w:highlight w:val="white"/>
          <w:lang w:eastAsia="en-AU"/>
        </w:rPr>
        <w:t xml:space="preserve">The ATA raised the issue that some of the important parameters in the annual adjustment formula have not been updated since 2007. The road use factor is currently fixed at -1, however, the inputs into the calculation such as GDP chain volume, Vehicle population and vehicle kilometres travelled have changed.  The ATA recommended the </w:t>
      </w:r>
      <w:proofErr w:type="spellStart"/>
      <w:r w:rsidRPr="00CA6C07">
        <w:rPr>
          <w:rFonts w:ascii="Arial" w:hAnsi="Arial" w:cs="Arial"/>
          <w:sz w:val="20"/>
          <w:szCs w:val="20"/>
          <w:highlight w:val="white"/>
          <w:lang w:eastAsia="en-AU"/>
        </w:rPr>
        <w:t>RUF</w:t>
      </w:r>
      <w:proofErr w:type="spellEnd"/>
      <w:r w:rsidRPr="00CA6C07">
        <w:rPr>
          <w:rFonts w:ascii="Arial" w:hAnsi="Arial" w:cs="Arial"/>
          <w:sz w:val="20"/>
          <w:szCs w:val="20"/>
          <w:highlight w:val="white"/>
          <w:lang w:eastAsia="en-AU"/>
        </w:rPr>
        <w:t xml:space="preserve"> be updated annually. </w:t>
      </w:r>
    </w:p>
    <w:p w:rsidR="00014B23" w:rsidRPr="00CA6C07" w:rsidRDefault="00014B23" w:rsidP="00014B23">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The NTC response to the issues raised by stakeholders is to examine amendments to the current methodology including examining the </w:t>
      </w:r>
      <w:proofErr w:type="spellStart"/>
      <w:r w:rsidRPr="00CA6C07">
        <w:rPr>
          <w:rFonts w:ascii="Arial" w:hAnsi="Arial" w:cs="Arial"/>
          <w:sz w:val="20"/>
          <w:szCs w:val="20"/>
          <w:highlight w:val="white"/>
          <w:lang w:eastAsia="en-AU"/>
        </w:rPr>
        <w:t>RUF</w:t>
      </w:r>
      <w:proofErr w:type="spellEnd"/>
      <w:r w:rsidRPr="00CA6C07">
        <w:rPr>
          <w:rFonts w:ascii="Arial" w:hAnsi="Arial" w:cs="Arial"/>
          <w:sz w:val="20"/>
          <w:szCs w:val="20"/>
          <w:highlight w:val="white"/>
          <w:lang w:eastAsia="en-AU"/>
        </w:rPr>
        <w:t xml:space="preserve">, A factors and road expenditure indexation. They have also sought to examine the timing of the annual adjustment factor. </w:t>
      </w:r>
    </w:p>
    <w:p w:rsidR="00014B23" w:rsidRPr="00CA6C07" w:rsidRDefault="00014B23" w:rsidP="00014B23">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 xml:space="preserve">Alternative ways of recovery ongoing road expenditure though a CPI adjustment or a mini-determination have also been advocated by the NTC. The mini determination will update usage and expenditure data subject to availability to run the cost allocation and charging model on a yearly basis. </w:t>
      </w:r>
    </w:p>
    <w:p w:rsidR="00C92CFB" w:rsidRPr="00CA6C07" w:rsidRDefault="00014B23" w:rsidP="00014B23">
      <w:pPr>
        <w:autoSpaceDE w:val="0"/>
        <w:autoSpaceDN w:val="0"/>
        <w:adjustRightInd w:val="0"/>
        <w:spacing w:after="200" w:line="276" w:lineRule="auto"/>
        <w:rPr>
          <w:rFonts w:ascii="Arial" w:hAnsi="Arial" w:cs="Arial"/>
          <w:sz w:val="20"/>
          <w:szCs w:val="20"/>
          <w:highlight w:val="white"/>
          <w:lang w:eastAsia="en-AU"/>
        </w:rPr>
      </w:pPr>
      <w:r w:rsidRPr="00CA6C07">
        <w:rPr>
          <w:rFonts w:ascii="Arial" w:hAnsi="Arial" w:cs="Arial"/>
          <w:sz w:val="20"/>
          <w:szCs w:val="20"/>
          <w:highlight w:val="white"/>
          <w:lang w:eastAsia="en-AU"/>
        </w:rPr>
        <w:t>The ATA supports a mini determination, as it would present the most accurate update of the cost base.</w:t>
      </w:r>
    </w:p>
    <w:p w:rsidR="00014B23" w:rsidRPr="00CA6C07" w:rsidRDefault="00014B23" w:rsidP="00014B23">
      <w:pPr>
        <w:pStyle w:val="RecommendationStyle"/>
      </w:pPr>
      <w:bookmarkStart w:id="337" w:name="_Toc352163857"/>
      <w:bookmarkStart w:id="338" w:name="_Toc352228498"/>
      <w:bookmarkStart w:id="339" w:name="_Toc352231742"/>
      <w:bookmarkStart w:id="340" w:name="_Toc352740584"/>
      <w:bookmarkStart w:id="341" w:name="_Toc353434636"/>
      <w:bookmarkStart w:id="342" w:name="_Toc353435620"/>
      <w:bookmarkEnd w:id="337"/>
      <w:bookmarkEnd w:id="338"/>
      <w:bookmarkEnd w:id="339"/>
      <w:bookmarkEnd w:id="340"/>
      <w:bookmarkEnd w:id="341"/>
      <w:bookmarkEnd w:id="342"/>
    </w:p>
    <w:p w:rsidR="00C92CFB" w:rsidRPr="00CA6C07" w:rsidRDefault="00C92CFB" w:rsidP="00C92CFB">
      <w:pPr>
        <w:pStyle w:val="RecommendationStyle"/>
        <w:numPr>
          <w:ilvl w:val="0"/>
          <w:numId w:val="0"/>
        </w:numPr>
      </w:pPr>
      <w:bookmarkStart w:id="343" w:name="_Toc352071984"/>
      <w:bookmarkStart w:id="344" w:name="_Toc352149601"/>
      <w:bookmarkStart w:id="345" w:name="_Toc352163858"/>
      <w:bookmarkStart w:id="346" w:name="_Toc352228499"/>
      <w:bookmarkStart w:id="347" w:name="_Toc352231743"/>
      <w:bookmarkStart w:id="348" w:name="_Toc352740585"/>
      <w:bookmarkStart w:id="349" w:name="_Toc353434637"/>
      <w:bookmarkStart w:id="350" w:name="_Toc353435621"/>
      <w:r w:rsidRPr="00CA6C07">
        <w:t>The ATA recommend the NTC pursue a mini-determination in the annual adjustment process.</w:t>
      </w:r>
      <w:bookmarkEnd w:id="343"/>
      <w:bookmarkEnd w:id="344"/>
      <w:bookmarkEnd w:id="345"/>
      <w:bookmarkEnd w:id="346"/>
      <w:bookmarkEnd w:id="347"/>
      <w:bookmarkEnd w:id="348"/>
      <w:bookmarkEnd w:id="349"/>
      <w:bookmarkEnd w:id="350"/>
    </w:p>
    <w:p w:rsidR="00C92CFB" w:rsidRPr="00CA6C07" w:rsidRDefault="00C92CFB" w:rsidP="00C92CFB">
      <w:pPr>
        <w:pStyle w:val="RecommendationStyle"/>
      </w:pPr>
      <w:bookmarkStart w:id="351" w:name="_Toc352071985"/>
      <w:bookmarkStart w:id="352" w:name="_Toc352149602"/>
      <w:bookmarkStart w:id="353" w:name="_Toc352163859"/>
      <w:bookmarkStart w:id="354" w:name="_Toc352228500"/>
      <w:bookmarkStart w:id="355" w:name="_Toc352231744"/>
      <w:bookmarkStart w:id="356" w:name="_Toc352740586"/>
      <w:bookmarkStart w:id="357" w:name="_Toc353434638"/>
      <w:bookmarkStart w:id="358" w:name="_Toc353435622"/>
      <w:bookmarkEnd w:id="351"/>
      <w:bookmarkEnd w:id="352"/>
      <w:bookmarkEnd w:id="353"/>
      <w:bookmarkEnd w:id="354"/>
      <w:bookmarkEnd w:id="355"/>
      <w:bookmarkEnd w:id="356"/>
      <w:bookmarkEnd w:id="357"/>
      <w:bookmarkEnd w:id="358"/>
    </w:p>
    <w:p w:rsidR="005D0EE2" w:rsidRPr="00927553" w:rsidRDefault="00C92CFB" w:rsidP="009C5B73">
      <w:pPr>
        <w:pStyle w:val="RecommendationStyle"/>
        <w:numPr>
          <w:ilvl w:val="0"/>
          <w:numId w:val="0"/>
        </w:numPr>
      </w:pPr>
      <w:bookmarkStart w:id="359" w:name="_Toc352071986"/>
      <w:bookmarkStart w:id="360" w:name="_Toc352149603"/>
      <w:bookmarkStart w:id="361" w:name="_Toc352163860"/>
      <w:bookmarkStart w:id="362" w:name="_Toc352228501"/>
      <w:bookmarkStart w:id="363" w:name="_Toc352231745"/>
      <w:bookmarkStart w:id="364" w:name="_Toc352740587"/>
      <w:bookmarkStart w:id="365" w:name="_Toc353434639"/>
      <w:bookmarkStart w:id="366" w:name="_Toc353435623"/>
      <w:r w:rsidRPr="00CA6C07">
        <w:t>If a mini determination is not feasible, the suggested amendments to the annual adjustment should occur.</w:t>
      </w:r>
      <w:bookmarkEnd w:id="359"/>
      <w:bookmarkEnd w:id="360"/>
      <w:bookmarkEnd w:id="361"/>
      <w:bookmarkEnd w:id="362"/>
      <w:bookmarkEnd w:id="363"/>
      <w:bookmarkEnd w:id="364"/>
      <w:bookmarkEnd w:id="365"/>
      <w:bookmarkEnd w:id="366"/>
      <w:r w:rsidRPr="00CA6C07">
        <w:t xml:space="preserve"> </w:t>
      </w:r>
    </w:p>
    <w:p w:rsidR="009C5B73" w:rsidRDefault="009A690F" w:rsidP="009C5B73">
      <w:pPr>
        <w:pStyle w:val="Heading1"/>
        <w:numPr>
          <w:ilvl w:val="1"/>
          <w:numId w:val="3"/>
        </w:numPr>
        <w:jc w:val="both"/>
      </w:pPr>
      <w:bookmarkStart w:id="367" w:name="_Toc353434688"/>
      <w:r w:rsidRPr="00CA6C07">
        <w:lastRenderedPageBreak/>
        <w:t>Common (non attributable) cost allocation</w:t>
      </w:r>
      <w:bookmarkEnd w:id="367"/>
      <w:r w:rsidRPr="00CA6C07">
        <w:t xml:space="preserve"> </w:t>
      </w:r>
    </w:p>
    <w:p w:rsidR="009C5B73" w:rsidRPr="009C5B73" w:rsidRDefault="009C5B73" w:rsidP="009C5B73"/>
    <w:p w:rsidR="00014B23" w:rsidRPr="00CA6C07" w:rsidRDefault="00014B23" w:rsidP="00014B23">
      <w:pPr>
        <w:rPr>
          <w:rFonts w:ascii="Arial" w:hAnsi="Arial" w:cs="Arial"/>
          <w:sz w:val="20"/>
          <w:szCs w:val="20"/>
          <w:highlight w:val="white"/>
        </w:rPr>
      </w:pPr>
      <w:bookmarkStart w:id="368" w:name="_Toc352149604"/>
      <w:bookmarkEnd w:id="368"/>
      <w:r w:rsidRPr="00CA6C07">
        <w:rPr>
          <w:rFonts w:ascii="Arial" w:hAnsi="Arial" w:cs="Arial"/>
          <w:sz w:val="20"/>
          <w:szCs w:val="20"/>
          <w:highlight w:val="white"/>
        </w:rPr>
        <w:t>The use of vehicle kilometres travelled (</w:t>
      </w:r>
      <w:proofErr w:type="spellStart"/>
      <w:r w:rsidRPr="00CA6C07">
        <w:rPr>
          <w:rFonts w:ascii="Arial" w:hAnsi="Arial" w:cs="Arial"/>
          <w:sz w:val="20"/>
          <w:szCs w:val="20"/>
          <w:highlight w:val="white"/>
        </w:rPr>
        <w:t>VKT</w:t>
      </w:r>
      <w:proofErr w:type="spellEnd"/>
      <w:r w:rsidRPr="00CA6C07">
        <w:rPr>
          <w:rFonts w:ascii="Arial" w:hAnsi="Arial" w:cs="Arial"/>
          <w:sz w:val="20"/>
          <w:szCs w:val="20"/>
          <w:highlight w:val="white"/>
        </w:rPr>
        <w:t xml:space="preserve">) is a fair and reasonable method of allocating common costs between light and heavy vehicles, as recommended by the NTC. </w:t>
      </w:r>
    </w:p>
    <w:p w:rsidR="005D0EE2" w:rsidRPr="00CA6C07" w:rsidRDefault="005D0EE2" w:rsidP="00014B23">
      <w:pPr>
        <w:rPr>
          <w:rFonts w:ascii="Arial" w:hAnsi="Arial" w:cs="Arial"/>
          <w:sz w:val="20"/>
          <w:szCs w:val="20"/>
          <w:highlight w:val="white"/>
        </w:rPr>
      </w:pPr>
    </w:p>
    <w:p w:rsidR="00014B23" w:rsidRPr="00CA6C07" w:rsidRDefault="00014B23" w:rsidP="00014B23">
      <w:pPr>
        <w:rPr>
          <w:rFonts w:ascii="Arial" w:hAnsi="Arial" w:cs="Arial"/>
          <w:sz w:val="20"/>
          <w:szCs w:val="20"/>
          <w:highlight w:val="white"/>
        </w:rPr>
      </w:pPr>
      <w:r w:rsidRPr="00CA6C07">
        <w:rPr>
          <w:rFonts w:ascii="Arial" w:hAnsi="Arial" w:cs="Arial"/>
          <w:sz w:val="20"/>
          <w:szCs w:val="20"/>
          <w:highlight w:val="white"/>
        </w:rPr>
        <w:t xml:space="preserve">The NTC have presented a range of methods to allocate the relative contributions of individual heavy vehicle classes. While the ATA does favour using the Equal Absolute Contribution and </w:t>
      </w:r>
      <w:proofErr w:type="spellStart"/>
      <w:r w:rsidRPr="00CA6C07">
        <w:rPr>
          <w:rFonts w:ascii="Arial" w:hAnsi="Arial" w:cs="Arial"/>
          <w:sz w:val="20"/>
          <w:szCs w:val="20"/>
          <w:highlight w:val="white"/>
        </w:rPr>
        <w:t>PCU</w:t>
      </w:r>
      <w:proofErr w:type="spellEnd"/>
      <w:r w:rsidRPr="00CA6C07">
        <w:rPr>
          <w:rFonts w:ascii="Arial" w:hAnsi="Arial" w:cs="Arial"/>
          <w:sz w:val="20"/>
          <w:szCs w:val="20"/>
          <w:highlight w:val="white"/>
        </w:rPr>
        <w:t xml:space="preserve">, more work is necessary before a concrete decision can be determined.  The ATA recognises the NTC will phase in any potential shocks to changing the allocation method away from </w:t>
      </w:r>
      <w:proofErr w:type="spellStart"/>
      <w:r w:rsidRPr="00CA6C07">
        <w:rPr>
          <w:rFonts w:ascii="Arial" w:hAnsi="Arial" w:cs="Arial"/>
          <w:sz w:val="20"/>
          <w:szCs w:val="20"/>
          <w:highlight w:val="white"/>
        </w:rPr>
        <w:t>VKT</w:t>
      </w:r>
      <w:proofErr w:type="spellEnd"/>
      <w:r w:rsidRPr="00CA6C07">
        <w:rPr>
          <w:rFonts w:ascii="Arial" w:hAnsi="Arial" w:cs="Arial"/>
          <w:sz w:val="20"/>
          <w:szCs w:val="20"/>
          <w:highlight w:val="white"/>
        </w:rPr>
        <w:t xml:space="preserve">. </w:t>
      </w:r>
    </w:p>
    <w:p w:rsidR="00121418" w:rsidRPr="00CA6C07" w:rsidRDefault="00121418" w:rsidP="00121418">
      <w:pPr>
        <w:pStyle w:val="RecommendationStyle"/>
      </w:pPr>
      <w:bookmarkStart w:id="369" w:name="_Toc352163861"/>
      <w:bookmarkStart w:id="370" w:name="_Toc352228502"/>
      <w:bookmarkStart w:id="371" w:name="_Toc352231746"/>
      <w:bookmarkStart w:id="372" w:name="_Toc352740588"/>
      <w:bookmarkStart w:id="373" w:name="_Toc353434640"/>
      <w:bookmarkStart w:id="374" w:name="_Toc353435624"/>
      <w:bookmarkEnd w:id="369"/>
      <w:bookmarkEnd w:id="370"/>
      <w:bookmarkEnd w:id="371"/>
      <w:bookmarkEnd w:id="372"/>
      <w:bookmarkEnd w:id="373"/>
      <w:bookmarkEnd w:id="374"/>
    </w:p>
    <w:p w:rsidR="00A5704A" w:rsidRPr="00CA6C07" w:rsidRDefault="00121418" w:rsidP="00121418">
      <w:pPr>
        <w:pStyle w:val="RecommendationStyle"/>
        <w:numPr>
          <w:ilvl w:val="0"/>
          <w:numId w:val="0"/>
        </w:numPr>
      </w:pPr>
      <w:bookmarkStart w:id="375" w:name="_Toc352149605"/>
      <w:bookmarkStart w:id="376" w:name="_Toc352163862"/>
      <w:bookmarkStart w:id="377" w:name="_Toc352228503"/>
      <w:bookmarkStart w:id="378" w:name="_Toc352231747"/>
      <w:bookmarkStart w:id="379" w:name="_Toc352740589"/>
      <w:bookmarkStart w:id="380" w:name="_Toc353434641"/>
      <w:bookmarkStart w:id="381" w:name="_Toc353435625"/>
      <w:r w:rsidRPr="00CA6C07">
        <w:t>The ATA supports maintaining Vehicle Kilometres (</w:t>
      </w:r>
      <w:proofErr w:type="spellStart"/>
      <w:r w:rsidRPr="00CA6C07">
        <w:t>VKT</w:t>
      </w:r>
      <w:proofErr w:type="spellEnd"/>
      <w:r w:rsidRPr="00CA6C07">
        <w:t>) travelled as the cost allocator for common costs between light and heavy vehicles.</w:t>
      </w:r>
      <w:bookmarkEnd w:id="375"/>
      <w:bookmarkEnd w:id="376"/>
      <w:bookmarkEnd w:id="377"/>
      <w:bookmarkEnd w:id="378"/>
      <w:bookmarkEnd w:id="379"/>
      <w:bookmarkEnd w:id="380"/>
      <w:bookmarkEnd w:id="381"/>
      <w:r w:rsidRPr="00CA6C07">
        <w:t xml:space="preserve"> </w:t>
      </w:r>
    </w:p>
    <w:p w:rsidR="00121418" w:rsidRPr="00CA6C07" w:rsidRDefault="00121418" w:rsidP="00121418">
      <w:pPr>
        <w:pStyle w:val="RecommendationStyle"/>
      </w:pPr>
      <w:bookmarkStart w:id="382" w:name="_Toc352149606"/>
      <w:bookmarkStart w:id="383" w:name="_Toc352163863"/>
      <w:bookmarkStart w:id="384" w:name="_Toc352228504"/>
      <w:bookmarkStart w:id="385" w:name="_Toc352231748"/>
      <w:bookmarkStart w:id="386" w:name="_Toc352740590"/>
      <w:bookmarkStart w:id="387" w:name="_Toc353434642"/>
      <w:bookmarkStart w:id="388" w:name="_Toc353435626"/>
      <w:bookmarkEnd w:id="382"/>
      <w:bookmarkEnd w:id="383"/>
      <w:bookmarkEnd w:id="384"/>
      <w:bookmarkEnd w:id="385"/>
      <w:bookmarkEnd w:id="386"/>
      <w:bookmarkEnd w:id="387"/>
      <w:bookmarkEnd w:id="388"/>
    </w:p>
    <w:p w:rsidR="00121418" w:rsidRPr="00CA6C07" w:rsidRDefault="00121418" w:rsidP="00121418">
      <w:pPr>
        <w:pStyle w:val="RecommendationStyle"/>
        <w:numPr>
          <w:ilvl w:val="0"/>
          <w:numId w:val="0"/>
        </w:numPr>
      </w:pPr>
      <w:bookmarkStart w:id="389" w:name="_Toc352149607"/>
      <w:bookmarkStart w:id="390" w:name="_Toc352163864"/>
      <w:bookmarkStart w:id="391" w:name="_Toc352228505"/>
      <w:bookmarkStart w:id="392" w:name="_Toc352231749"/>
      <w:bookmarkStart w:id="393" w:name="_Toc352740591"/>
      <w:bookmarkStart w:id="394" w:name="_Toc353434643"/>
      <w:bookmarkStart w:id="395" w:name="_Toc353435627"/>
      <w:r w:rsidRPr="00CA6C07">
        <w:t>The NTC examination of alternative methods for the allocation of the relative contributions of individual heavy vehicle classes continues.</w:t>
      </w:r>
      <w:bookmarkEnd w:id="389"/>
      <w:bookmarkEnd w:id="390"/>
      <w:bookmarkEnd w:id="391"/>
      <w:bookmarkEnd w:id="392"/>
      <w:bookmarkEnd w:id="393"/>
      <w:bookmarkEnd w:id="394"/>
      <w:bookmarkEnd w:id="395"/>
      <w:r w:rsidRPr="00CA6C07">
        <w:t xml:space="preserve"> </w:t>
      </w:r>
    </w:p>
    <w:p w:rsidR="00121418" w:rsidRDefault="00121418" w:rsidP="00121418">
      <w:pPr>
        <w:rPr>
          <w:rFonts w:ascii="Arial" w:eastAsiaTheme="minorHAnsi" w:hAnsi="Arial" w:cs="Arial"/>
          <w:sz w:val="20"/>
          <w:szCs w:val="20"/>
        </w:rPr>
      </w:pPr>
    </w:p>
    <w:p w:rsidR="0082056F" w:rsidRPr="00CA6C07" w:rsidRDefault="0082056F" w:rsidP="00121418">
      <w:pPr>
        <w:rPr>
          <w:rFonts w:ascii="Arial" w:eastAsiaTheme="minorHAnsi" w:hAnsi="Arial" w:cs="Arial"/>
          <w:sz w:val="20"/>
          <w:szCs w:val="20"/>
        </w:rPr>
      </w:pPr>
    </w:p>
    <w:p w:rsidR="00121418" w:rsidRPr="00CA6C07" w:rsidRDefault="00121418" w:rsidP="00121418">
      <w:pPr>
        <w:pStyle w:val="Heading1"/>
        <w:numPr>
          <w:ilvl w:val="1"/>
          <w:numId w:val="3"/>
        </w:numPr>
        <w:jc w:val="both"/>
      </w:pPr>
      <w:bookmarkStart w:id="396" w:name="_Toc353434689"/>
      <w:r w:rsidRPr="00CA6C07">
        <w:t>Rebate/Concessions/National Charges</w:t>
      </w:r>
      <w:bookmarkEnd w:id="396"/>
    </w:p>
    <w:p w:rsidR="00121418" w:rsidRPr="00CA6C07" w:rsidRDefault="00121418" w:rsidP="00121418">
      <w:pPr>
        <w:rPr>
          <w:rFonts w:ascii="Arial" w:hAnsi="Arial" w:cs="Arial"/>
          <w:sz w:val="20"/>
          <w:szCs w:val="20"/>
        </w:rPr>
      </w:pPr>
    </w:p>
    <w:p w:rsidR="00014B23" w:rsidRPr="00CA6C07" w:rsidRDefault="00014B23" w:rsidP="002742EF">
      <w:pPr>
        <w:rPr>
          <w:rFonts w:ascii="Arial" w:hAnsi="Arial" w:cs="Arial"/>
          <w:sz w:val="20"/>
          <w:szCs w:val="20"/>
          <w:highlight w:val="white"/>
        </w:rPr>
      </w:pPr>
      <w:r w:rsidRPr="00CA6C07">
        <w:rPr>
          <w:rFonts w:ascii="Arial" w:hAnsi="Arial" w:cs="Arial"/>
          <w:sz w:val="20"/>
          <w:szCs w:val="20"/>
          <w:highlight w:val="white"/>
        </w:rPr>
        <w:t xml:space="preserve">Currently, road trains receive a 30% reduction in costs due to a subsidy provided by the rest of the fleet. </w:t>
      </w:r>
    </w:p>
    <w:p w:rsidR="00014B23" w:rsidRPr="00CA6C07" w:rsidRDefault="00014B23" w:rsidP="002742EF">
      <w:pPr>
        <w:rPr>
          <w:rFonts w:ascii="Arial" w:hAnsi="Arial" w:cs="Arial"/>
          <w:sz w:val="20"/>
          <w:szCs w:val="20"/>
          <w:highlight w:val="white"/>
        </w:rPr>
      </w:pPr>
      <w:r w:rsidRPr="00CA6C07">
        <w:rPr>
          <w:rFonts w:ascii="Arial" w:hAnsi="Arial" w:cs="Arial"/>
          <w:sz w:val="20"/>
          <w:szCs w:val="20"/>
          <w:highlight w:val="white"/>
        </w:rPr>
        <w:t>The transparency of who pays for the subsidy, how much the subsidy is and how it is allocated over other heavy vehicles is not transparent in the NTC model. The ATA is aware of the ‘</w:t>
      </w:r>
      <w:proofErr w:type="spellStart"/>
      <w:r w:rsidRPr="00CA6C07">
        <w:rPr>
          <w:rFonts w:ascii="Arial" w:hAnsi="Arial" w:cs="Arial"/>
          <w:sz w:val="20"/>
          <w:szCs w:val="20"/>
          <w:highlight w:val="white"/>
        </w:rPr>
        <w:t>Maxman</w:t>
      </w:r>
      <w:proofErr w:type="spellEnd"/>
      <w:r w:rsidRPr="00CA6C07">
        <w:rPr>
          <w:rFonts w:ascii="Arial" w:hAnsi="Arial" w:cs="Arial"/>
          <w:sz w:val="20"/>
          <w:szCs w:val="20"/>
          <w:highlight w:val="white"/>
        </w:rPr>
        <w:t>’ model which calculates the allocation. However, a supporting document detailing the concession</w:t>
      </w:r>
      <w:r w:rsidR="00E710BE" w:rsidRPr="00CA6C07">
        <w:rPr>
          <w:rFonts w:ascii="Arial" w:hAnsi="Arial" w:cs="Arial"/>
          <w:sz w:val="20"/>
          <w:szCs w:val="20"/>
          <w:highlight w:val="white"/>
        </w:rPr>
        <w:t>/cross-subsidy</w:t>
      </w:r>
      <w:r w:rsidRPr="00CA6C07">
        <w:rPr>
          <w:rFonts w:ascii="Arial" w:hAnsi="Arial" w:cs="Arial"/>
          <w:sz w:val="20"/>
          <w:szCs w:val="20"/>
          <w:highlight w:val="white"/>
        </w:rPr>
        <w:t xml:space="preserve"> needs be </w:t>
      </w:r>
      <w:proofErr w:type="gramStart"/>
      <w:r w:rsidRPr="00CA6C07">
        <w:rPr>
          <w:rFonts w:ascii="Arial" w:hAnsi="Arial" w:cs="Arial"/>
          <w:sz w:val="20"/>
          <w:szCs w:val="20"/>
          <w:highlight w:val="white"/>
        </w:rPr>
        <w:t>to</w:t>
      </w:r>
      <w:proofErr w:type="gramEnd"/>
      <w:r w:rsidRPr="00CA6C07">
        <w:rPr>
          <w:rFonts w:ascii="Arial" w:hAnsi="Arial" w:cs="Arial"/>
          <w:sz w:val="20"/>
          <w:szCs w:val="20"/>
          <w:highlight w:val="white"/>
        </w:rPr>
        <w:t xml:space="preserve"> provided, as does further discussion on its inclusion in the PayGo model. </w:t>
      </w:r>
    </w:p>
    <w:p w:rsidR="00014B23" w:rsidRPr="00CA6C07" w:rsidRDefault="00014B23" w:rsidP="002742EF">
      <w:pPr>
        <w:rPr>
          <w:rFonts w:ascii="Arial" w:hAnsi="Arial" w:cs="Arial"/>
          <w:sz w:val="20"/>
          <w:szCs w:val="20"/>
          <w:highlight w:val="white"/>
        </w:rPr>
      </w:pPr>
    </w:p>
    <w:p w:rsidR="00014B23" w:rsidRDefault="00DB33D5" w:rsidP="002742EF">
      <w:pPr>
        <w:rPr>
          <w:rFonts w:ascii="Arial" w:hAnsi="Arial" w:cs="Arial"/>
          <w:sz w:val="20"/>
          <w:szCs w:val="20"/>
          <w:highlight w:val="white"/>
        </w:rPr>
      </w:pPr>
      <w:r>
        <w:rPr>
          <w:rFonts w:ascii="Arial" w:hAnsi="Arial" w:cs="Arial"/>
          <w:sz w:val="20"/>
          <w:szCs w:val="20"/>
          <w:highlight w:val="white"/>
        </w:rPr>
        <w:t xml:space="preserve">ATA Council calls on the NTC to ensure that the outcomes of the NTC’s Charges Review achieves equity between combinations, such as B-doubles, B-triples and BAB quads, with vehicles of similar characteristics such as 9 axle truck and dog combinations, and road trains. </w:t>
      </w:r>
    </w:p>
    <w:p w:rsidR="00DB33D5" w:rsidRDefault="00DB33D5" w:rsidP="002742EF">
      <w:pPr>
        <w:rPr>
          <w:rFonts w:ascii="Arial" w:hAnsi="Arial" w:cs="Arial"/>
          <w:sz w:val="20"/>
          <w:szCs w:val="20"/>
          <w:highlight w:val="white"/>
        </w:rPr>
      </w:pPr>
    </w:p>
    <w:p w:rsidR="00DB33D5" w:rsidRPr="00CA6C07" w:rsidRDefault="00DB33D5" w:rsidP="002742EF">
      <w:pPr>
        <w:rPr>
          <w:rFonts w:ascii="Arial" w:hAnsi="Arial" w:cs="Arial"/>
          <w:sz w:val="20"/>
          <w:szCs w:val="20"/>
          <w:highlight w:val="white"/>
        </w:rPr>
      </w:pPr>
      <w:r>
        <w:rPr>
          <w:rFonts w:ascii="Arial" w:hAnsi="Arial" w:cs="Arial"/>
          <w:sz w:val="20"/>
          <w:szCs w:val="20"/>
          <w:highlight w:val="white"/>
        </w:rPr>
        <w:t xml:space="preserve">This should occur without disadvantaging particular sectors or regions including, rural, regional and remote operators and their communities, by maintaining recognition of </w:t>
      </w:r>
      <w:proofErr w:type="spellStart"/>
      <w:r>
        <w:rPr>
          <w:rFonts w:ascii="Arial" w:hAnsi="Arial" w:cs="Arial"/>
          <w:sz w:val="20"/>
          <w:szCs w:val="20"/>
          <w:highlight w:val="white"/>
        </w:rPr>
        <w:t>CSOs</w:t>
      </w:r>
      <w:proofErr w:type="spellEnd"/>
      <w:r>
        <w:rPr>
          <w:rFonts w:ascii="Arial" w:hAnsi="Arial" w:cs="Arial"/>
          <w:sz w:val="20"/>
          <w:szCs w:val="20"/>
          <w:highlight w:val="white"/>
        </w:rPr>
        <w:t xml:space="preserve"> and current outcomes, and applying them as appropriate to safer combinations. </w:t>
      </w:r>
    </w:p>
    <w:p w:rsidR="00014B23" w:rsidRPr="00CA6C07" w:rsidRDefault="00014B23" w:rsidP="002742EF">
      <w:pPr>
        <w:rPr>
          <w:rFonts w:ascii="Arial" w:hAnsi="Arial" w:cs="Arial"/>
          <w:sz w:val="20"/>
          <w:szCs w:val="20"/>
          <w:highlight w:val="white"/>
        </w:rPr>
      </w:pPr>
    </w:p>
    <w:p w:rsidR="00014B23" w:rsidRPr="00CA6C07" w:rsidRDefault="00014B23" w:rsidP="002742EF">
      <w:pPr>
        <w:rPr>
          <w:rFonts w:ascii="Arial" w:hAnsi="Arial" w:cs="Arial"/>
          <w:sz w:val="20"/>
          <w:szCs w:val="20"/>
          <w:highlight w:val="white"/>
        </w:rPr>
      </w:pPr>
      <w:r w:rsidRPr="00CA6C07">
        <w:rPr>
          <w:rFonts w:ascii="Arial" w:hAnsi="Arial" w:cs="Arial"/>
          <w:sz w:val="20"/>
          <w:szCs w:val="20"/>
          <w:highlight w:val="white"/>
        </w:rPr>
        <w:t>The ATA supports state</w:t>
      </w:r>
      <w:r w:rsidR="00333BA6">
        <w:rPr>
          <w:rFonts w:ascii="Arial" w:hAnsi="Arial" w:cs="Arial"/>
          <w:sz w:val="20"/>
          <w:szCs w:val="20"/>
          <w:highlight w:val="white"/>
        </w:rPr>
        <w:t>’</w:t>
      </w:r>
      <w:r w:rsidRPr="00CA6C07">
        <w:rPr>
          <w:rFonts w:ascii="Arial" w:hAnsi="Arial" w:cs="Arial"/>
          <w:sz w:val="20"/>
          <w:szCs w:val="20"/>
          <w:highlight w:val="white"/>
        </w:rPr>
        <w:t xml:space="preserve">s prerogative to implement concessions. However, a national approach to concessions would support improvements to the PayGo model, given the myriad of concession in different states leads to a divergence in revenue recovered and heavy vehicle expenditure, as well equity concerns for operators in different states.  An agreed set of principles for concessions would present operators with the same outcome for the same situation.  </w:t>
      </w:r>
    </w:p>
    <w:p w:rsidR="003A6A3B" w:rsidRPr="00CA6C07" w:rsidRDefault="003A6A3B" w:rsidP="00121418">
      <w:pPr>
        <w:rPr>
          <w:rFonts w:ascii="Arial" w:hAnsi="Arial" w:cs="Arial"/>
          <w:sz w:val="20"/>
          <w:szCs w:val="20"/>
        </w:rPr>
      </w:pPr>
    </w:p>
    <w:p w:rsidR="008E3D9E" w:rsidRPr="00CA6C07" w:rsidRDefault="008E3D9E" w:rsidP="008E3D9E">
      <w:pPr>
        <w:pStyle w:val="RecommendationStyle"/>
      </w:pPr>
      <w:bookmarkStart w:id="397" w:name="_Toc352163865"/>
      <w:bookmarkStart w:id="398" w:name="_Toc352228506"/>
      <w:bookmarkStart w:id="399" w:name="_Toc352231750"/>
      <w:bookmarkStart w:id="400" w:name="_Toc352740592"/>
      <w:bookmarkStart w:id="401" w:name="_Toc353434644"/>
      <w:bookmarkStart w:id="402" w:name="_Toc353435628"/>
      <w:bookmarkEnd w:id="397"/>
      <w:bookmarkEnd w:id="398"/>
      <w:bookmarkEnd w:id="399"/>
      <w:bookmarkEnd w:id="400"/>
      <w:bookmarkEnd w:id="401"/>
      <w:bookmarkEnd w:id="402"/>
    </w:p>
    <w:p w:rsidR="00B1368B" w:rsidRPr="00CA6C07" w:rsidRDefault="00B1368B" w:rsidP="008E3D9E">
      <w:pPr>
        <w:pStyle w:val="RecommendationStyle"/>
        <w:numPr>
          <w:ilvl w:val="0"/>
          <w:numId w:val="0"/>
        </w:numPr>
      </w:pPr>
      <w:bookmarkStart w:id="403" w:name="_Toc352163866"/>
      <w:bookmarkStart w:id="404" w:name="_Toc352228507"/>
      <w:bookmarkStart w:id="405" w:name="_Toc352231751"/>
      <w:bookmarkStart w:id="406" w:name="_Toc352740593"/>
      <w:bookmarkStart w:id="407" w:name="_Toc353434645"/>
      <w:bookmarkStart w:id="408" w:name="_Toc353435629"/>
      <w:r w:rsidRPr="00CA6C07">
        <w:t xml:space="preserve">Enhancing the transparency </w:t>
      </w:r>
      <w:r w:rsidR="002742EF" w:rsidRPr="00CA6C07">
        <w:t xml:space="preserve">of the road train </w:t>
      </w:r>
      <w:r w:rsidR="00944508">
        <w:t>subsidy</w:t>
      </w:r>
      <w:r w:rsidRPr="00CA6C07">
        <w:t xml:space="preserve"> in the PayGo model should occur.</w:t>
      </w:r>
      <w:bookmarkEnd w:id="403"/>
      <w:bookmarkEnd w:id="404"/>
      <w:bookmarkEnd w:id="405"/>
      <w:bookmarkEnd w:id="406"/>
      <w:bookmarkEnd w:id="407"/>
      <w:bookmarkEnd w:id="408"/>
      <w:r w:rsidRPr="00CA6C07">
        <w:t xml:space="preserve"> </w:t>
      </w:r>
    </w:p>
    <w:p w:rsidR="009C5B73" w:rsidRDefault="009C5B73" w:rsidP="0082056F">
      <w:pPr>
        <w:pStyle w:val="RecommendationStyle"/>
      </w:pPr>
      <w:bookmarkStart w:id="409" w:name="_Toc352163867"/>
      <w:bookmarkStart w:id="410" w:name="_Toc352228508"/>
      <w:bookmarkStart w:id="411" w:name="_Toc352231752"/>
      <w:bookmarkStart w:id="412" w:name="_Toc352740594"/>
      <w:bookmarkStart w:id="413" w:name="_Toc353434646"/>
      <w:bookmarkStart w:id="414" w:name="_Toc353434648"/>
      <w:bookmarkStart w:id="415" w:name="_Toc353435630"/>
      <w:bookmarkEnd w:id="409"/>
      <w:bookmarkEnd w:id="410"/>
      <w:bookmarkEnd w:id="411"/>
      <w:bookmarkEnd w:id="412"/>
      <w:bookmarkEnd w:id="413"/>
      <w:bookmarkEnd w:id="414"/>
      <w:bookmarkEnd w:id="415"/>
    </w:p>
    <w:p w:rsidR="0082056F" w:rsidRPr="0082056F" w:rsidRDefault="0082056F" w:rsidP="0082056F">
      <w:pPr>
        <w:pStyle w:val="RecommendationStyle"/>
        <w:numPr>
          <w:ilvl w:val="0"/>
          <w:numId w:val="0"/>
        </w:numPr>
      </w:pPr>
      <w:bookmarkStart w:id="416" w:name="_Toc353434649"/>
      <w:bookmarkStart w:id="417" w:name="_Toc353435631"/>
      <w:r>
        <w:t xml:space="preserve">The </w:t>
      </w:r>
      <w:r w:rsidRPr="0082056F">
        <w:t>ATA Council calls on the NTC to ensure that the outcomes of the NTC’s Charges Review achieves equity between combinations, such as B-doubles, B-triples and BAB quads, with vehicles of similar characteristics such as 9 axle truck and dog combinations, and road trains.</w:t>
      </w:r>
      <w:bookmarkEnd w:id="416"/>
      <w:bookmarkEnd w:id="417"/>
      <w:r w:rsidRPr="0082056F">
        <w:t xml:space="preserve"> </w:t>
      </w:r>
    </w:p>
    <w:p w:rsidR="0082056F" w:rsidRDefault="0082056F" w:rsidP="0082056F">
      <w:pPr>
        <w:pStyle w:val="RecommendationStyle"/>
      </w:pPr>
      <w:bookmarkStart w:id="418" w:name="_Toc353434650"/>
      <w:bookmarkStart w:id="419" w:name="_Toc353435632"/>
      <w:bookmarkEnd w:id="418"/>
      <w:bookmarkEnd w:id="419"/>
    </w:p>
    <w:p w:rsidR="0082056F" w:rsidRDefault="0082056F" w:rsidP="0082056F">
      <w:pPr>
        <w:pStyle w:val="RecommendationStyle"/>
        <w:numPr>
          <w:ilvl w:val="0"/>
          <w:numId w:val="0"/>
        </w:numPr>
      </w:pPr>
      <w:bookmarkStart w:id="420" w:name="_Toc353434651"/>
      <w:bookmarkStart w:id="421" w:name="_Toc353435633"/>
      <w:r>
        <w:t>The charges review should not</w:t>
      </w:r>
      <w:r w:rsidRPr="0082056F">
        <w:t xml:space="preserve"> disadvantag</w:t>
      </w:r>
      <w:r>
        <w:t>e</w:t>
      </w:r>
      <w:r w:rsidRPr="0082056F">
        <w:t xml:space="preserve"> particular sectors or regions including, rural, regional and remote operators and their communities, by maintaining recognition of </w:t>
      </w:r>
      <w:proofErr w:type="spellStart"/>
      <w:r w:rsidRPr="0082056F">
        <w:t>CSOs</w:t>
      </w:r>
      <w:proofErr w:type="spellEnd"/>
      <w:r w:rsidRPr="0082056F">
        <w:t xml:space="preserve"> and current outcomes, and applying them as appropriate to safer combinations.</w:t>
      </w:r>
      <w:bookmarkEnd w:id="420"/>
      <w:bookmarkEnd w:id="421"/>
      <w:r w:rsidRPr="0082056F">
        <w:t xml:space="preserve"> </w:t>
      </w:r>
    </w:p>
    <w:p w:rsidR="00E16787" w:rsidRDefault="00E16787" w:rsidP="0082056F">
      <w:pPr>
        <w:pStyle w:val="RecommendationStyle"/>
        <w:numPr>
          <w:ilvl w:val="0"/>
          <w:numId w:val="0"/>
        </w:numPr>
      </w:pPr>
    </w:p>
    <w:p w:rsidR="00E16787" w:rsidRPr="0082056F" w:rsidRDefault="00E16787" w:rsidP="0082056F">
      <w:pPr>
        <w:pStyle w:val="RecommendationStyle"/>
        <w:numPr>
          <w:ilvl w:val="0"/>
          <w:numId w:val="0"/>
        </w:numPr>
      </w:pPr>
    </w:p>
    <w:p w:rsidR="00E16787" w:rsidRPr="00CA6C07" w:rsidRDefault="00E16787" w:rsidP="00E16787">
      <w:pPr>
        <w:pStyle w:val="RecommendationStyle"/>
      </w:pPr>
      <w:bookmarkStart w:id="422" w:name="_Toc353435634"/>
      <w:bookmarkEnd w:id="422"/>
    </w:p>
    <w:p w:rsidR="00E16787" w:rsidRDefault="00E16787" w:rsidP="00E16787">
      <w:pPr>
        <w:pStyle w:val="RecommendationStyle"/>
        <w:numPr>
          <w:ilvl w:val="0"/>
          <w:numId w:val="0"/>
        </w:numPr>
      </w:pPr>
      <w:bookmarkStart w:id="423" w:name="_Toc352163868"/>
      <w:bookmarkStart w:id="424" w:name="_Toc352228509"/>
      <w:bookmarkStart w:id="425" w:name="_Toc352231753"/>
      <w:bookmarkStart w:id="426" w:name="_Toc352740595"/>
      <w:bookmarkStart w:id="427" w:name="_Toc353434647"/>
      <w:bookmarkStart w:id="428" w:name="_Toc353435635"/>
      <w:r w:rsidRPr="00CA6C07">
        <w:t>The NTC explore the options of establishing agreed principles to encourage national consistency on concessions.</w:t>
      </w:r>
      <w:bookmarkEnd w:id="423"/>
      <w:bookmarkEnd w:id="424"/>
      <w:bookmarkEnd w:id="425"/>
      <w:bookmarkEnd w:id="426"/>
      <w:bookmarkEnd w:id="427"/>
      <w:bookmarkEnd w:id="428"/>
    </w:p>
    <w:p w:rsidR="0082056F" w:rsidRDefault="0082056F" w:rsidP="00121418">
      <w:pPr>
        <w:rPr>
          <w:rFonts w:ascii="Arial" w:hAnsi="Arial" w:cs="Arial"/>
          <w:sz w:val="20"/>
          <w:szCs w:val="20"/>
        </w:rPr>
      </w:pPr>
    </w:p>
    <w:p w:rsidR="0082056F" w:rsidRPr="00CA6C07" w:rsidRDefault="0082056F" w:rsidP="00121418">
      <w:pPr>
        <w:rPr>
          <w:rFonts w:ascii="Arial" w:hAnsi="Arial" w:cs="Arial"/>
          <w:sz w:val="20"/>
          <w:szCs w:val="20"/>
        </w:rPr>
      </w:pPr>
    </w:p>
    <w:p w:rsidR="00121418" w:rsidRPr="00CA6C07" w:rsidRDefault="00121418" w:rsidP="002C6E2E">
      <w:pPr>
        <w:pStyle w:val="Heading1"/>
        <w:numPr>
          <w:ilvl w:val="1"/>
          <w:numId w:val="3"/>
        </w:numPr>
        <w:jc w:val="both"/>
      </w:pPr>
      <w:bookmarkStart w:id="429" w:name="_Toc353434690"/>
      <w:r w:rsidRPr="00CA6C07">
        <w:t>NHVR funding</w:t>
      </w:r>
      <w:bookmarkEnd w:id="429"/>
      <w:r w:rsidRPr="00CA6C07">
        <w:t xml:space="preserve"> </w:t>
      </w:r>
    </w:p>
    <w:p w:rsidR="009C5B73" w:rsidRPr="009C5B73" w:rsidRDefault="009C5B73" w:rsidP="009C5B73">
      <w:pPr>
        <w:rPr>
          <w:rFonts w:ascii="Arial" w:hAnsi="Arial" w:cs="Arial"/>
          <w:sz w:val="20"/>
          <w:szCs w:val="20"/>
        </w:rPr>
      </w:pPr>
      <w:bookmarkStart w:id="430" w:name="_Toc352228893"/>
    </w:p>
    <w:p w:rsidR="00A5361C" w:rsidRDefault="00040D17" w:rsidP="009C5B73">
      <w:pPr>
        <w:rPr>
          <w:rFonts w:ascii="Arial" w:hAnsi="Arial" w:cs="Arial"/>
          <w:sz w:val="20"/>
          <w:szCs w:val="20"/>
        </w:rPr>
      </w:pPr>
      <w:r w:rsidRPr="009C5B73">
        <w:rPr>
          <w:rFonts w:ascii="Arial" w:hAnsi="Arial" w:cs="Arial"/>
          <w:sz w:val="20"/>
          <w:szCs w:val="20"/>
        </w:rPr>
        <w:t xml:space="preserve">The NTC have noted implications for charges with the introduction of the NHVR and HVNL. These include the </w:t>
      </w:r>
      <w:r w:rsidR="00A5361C" w:rsidRPr="009C5B73">
        <w:rPr>
          <w:rFonts w:ascii="Arial" w:hAnsi="Arial" w:cs="Arial"/>
          <w:sz w:val="20"/>
          <w:szCs w:val="20"/>
        </w:rPr>
        <w:t>treatment</w:t>
      </w:r>
      <w:r w:rsidRPr="009C5B73">
        <w:rPr>
          <w:rFonts w:ascii="Arial" w:hAnsi="Arial" w:cs="Arial"/>
          <w:sz w:val="20"/>
          <w:szCs w:val="20"/>
        </w:rPr>
        <w:t xml:space="preserve"> of mass and compliance cost currently included in the cost base, </w:t>
      </w:r>
      <w:proofErr w:type="spellStart"/>
      <w:r w:rsidR="00A5361C" w:rsidRPr="009C5B73">
        <w:rPr>
          <w:rFonts w:ascii="Arial" w:hAnsi="Arial" w:cs="Arial"/>
          <w:sz w:val="20"/>
          <w:szCs w:val="20"/>
        </w:rPr>
        <w:t>IGA</w:t>
      </w:r>
      <w:proofErr w:type="spellEnd"/>
      <w:r w:rsidR="00A5361C" w:rsidRPr="009C5B73">
        <w:rPr>
          <w:rFonts w:ascii="Arial" w:hAnsi="Arial" w:cs="Arial"/>
          <w:sz w:val="20"/>
          <w:szCs w:val="20"/>
        </w:rPr>
        <w:t xml:space="preserve"> agreed costs and the creation of a single set of registration charges.</w:t>
      </w:r>
      <w:bookmarkEnd w:id="430"/>
      <w:r w:rsidR="00A5361C" w:rsidRPr="009C5B73">
        <w:rPr>
          <w:rFonts w:ascii="Arial" w:hAnsi="Arial" w:cs="Arial"/>
          <w:sz w:val="20"/>
          <w:szCs w:val="20"/>
        </w:rPr>
        <w:t xml:space="preserve"> </w:t>
      </w:r>
    </w:p>
    <w:p w:rsidR="009C5B73" w:rsidRPr="009C5B73" w:rsidRDefault="009C5B73" w:rsidP="009C5B73">
      <w:pPr>
        <w:rPr>
          <w:rFonts w:ascii="Arial" w:hAnsi="Arial" w:cs="Arial"/>
          <w:sz w:val="20"/>
          <w:szCs w:val="20"/>
        </w:rPr>
      </w:pPr>
    </w:p>
    <w:p w:rsidR="001C52FE" w:rsidRDefault="00A5361C" w:rsidP="009C5B73">
      <w:pPr>
        <w:rPr>
          <w:rFonts w:ascii="Arial" w:hAnsi="Arial" w:cs="Arial"/>
          <w:sz w:val="20"/>
          <w:szCs w:val="20"/>
        </w:rPr>
      </w:pPr>
      <w:bookmarkStart w:id="431" w:name="_Toc352228894"/>
      <w:r w:rsidRPr="009C5B73">
        <w:rPr>
          <w:rFonts w:ascii="Arial" w:hAnsi="Arial" w:cs="Arial"/>
          <w:sz w:val="20"/>
          <w:szCs w:val="20"/>
        </w:rPr>
        <w:t>The ATA would like to the see the NHVR provide content and consult with the NTC in the review on the implications of NHVR operations and HVNL.</w:t>
      </w:r>
      <w:bookmarkEnd w:id="431"/>
    </w:p>
    <w:p w:rsidR="009C5B73" w:rsidRPr="009C5B73" w:rsidRDefault="009C5B73" w:rsidP="009C5B73">
      <w:pPr>
        <w:rPr>
          <w:rFonts w:ascii="Arial" w:hAnsi="Arial" w:cs="Arial"/>
          <w:sz w:val="20"/>
          <w:szCs w:val="20"/>
        </w:rPr>
      </w:pPr>
    </w:p>
    <w:p w:rsidR="009C5B73" w:rsidRPr="009C5B73" w:rsidRDefault="00A5361C">
      <w:pPr>
        <w:rPr>
          <w:rFonts w:ascii="Arial" w:hAnsi="Arial" w:cs="Arial"/>
          <w:sz w:val="20"/>
          <w:szCs w:val="20"/>
        </w:rPr>
      </w:pPr>
      <w:r w:rsidRPr="00A5361C">
        <w:rPr>
          <w:rFonts w:ascii="Arial" w:hAnsi="Arial" w:cs="Arial"/>
          <w:sz w:val="20"/>
          <w:szCs w:val="20"/>
        </w:rPr>
        <w:t>Additionally, it is important that industry is made aware of the repercussions for NHVR funding desires at the time ministers consider the NTC paper/</w:t>
      </w:r>
      <w:proofErr w:type="spellStart"/>
      <w:r w:rsidRPr="00A5361C">
        <w:rPr>
          <w:rFonts w:ascii="Arial" w:hAnsi="Arial" w:cs="Arial"/>
          <w:sz w:val="20"/>
          <w:szCs w:val="20"/>
        </w:rPr>
        <w:t>RIS</w:t>
      </w:r>
      <w:proofErr w:type="spellEnd"/>
      <w:r w:rsidRPr="00A5361C">
        <w:rPr>
          <w:rFonts w:ascii="Arial" w:hAnsi="Arial" w:cs="Arial"/>
          <w:sz w:val="20"/>
          <w:szCs w:val="20"/>
        </w:rPr>
        <w:t xml:space="preserve">. </w:t>
      </w:r>
      <w:bookmarkStart w:id="432" w:name="_Toc352228510"/>
      <w:bookmarkStart w:id="433" w:name="_Toc352231754"/>
      <w:bookmarkEnd w:id="432"/>
      <w:bookmarkEnd w:id="433"/>
    </w:p>
    <w:p w:rsidR="00A5361C" w:rsidRDefault="00A5361C" w:rsidP="00A5361C">
      <w:pPr>
        <w:pStyle w:val="RecommendationStyle"/>
      </w:pPr>
      <w:bookmarkStart w:id="434" w:name="_Toc352740596"/>
      <w:bookmarkStart w:id="435" w:name="_Toc353434652"/>
      <w:bookmarkStart w:id="436" w:name="_Toc353435636"/>
      <w:bookmarkEnd w:id="434"/>
      <w:bookmarkEnd w:id="435"/>
      <w:bookmarkEnd w:id="436"/>
    </w:p>
    <w:p w:rsidR="00A5361C" w:rsidRPr="007360B9" w:rsidRDefault="00A5361C" w:rsidP="007360B9">
      <w:pPr>
        <w:pStyle w:val="RecommendationStyle"/>
        <w:numPr>
          <w:ilvl w:val="0"/>
          <w:numId w:val="0"/>
        </w:numPr>
      </w:pPr>
      <w:bookmarkStart w:id="437" w:name="_Toc352228511"/>
      <w:bookmarkStart w:id="438" w:name="_Toc352231755"/>
      <w:bookmarkStart w:id="439" w:name="_Toc352740597"/>
      <w:bookmarkStart w:id="440" w:name="_Toc353434653"/>
      <w:bookmarkStart w:id="441" w:name="_Toc353435637"/>
      <w:r w:rsidRPr="00A5361C">
        <w:t>NHVR provide high level input into the NTC review.</w:t>
      </w:r>
      <w:bookmarkEnd w:id="437"/>
      <w:bookmarkEnd w:id="438"/>
      <w:bookmarkEnd w:id="439"/>
      <w:bookmarkEnd w:id="440"/>
      <w:bookmarkEnd w:id="441"/>
      <w:r w:rsidRPr="00A5361C">
        <w:t xml:space="preserve"> </w:t>
      </w:r>
    </w:p>
    <w:p w:rsidR="00A5361C" w:rsidRPr="00A5361C" w:rsidRDefault="00A5361C" w:rsidP="00A5361C">
      <w:pPr>
        <w:pStyle w:val="RecommendationStyle"/>
      </w:pPr>
      <w:bookmarkStart w:id="442" w:name="_Toc352228512"/>
      <w:bookmarkStart w:id="443" w:name="_Toc352231756"/>
      <w:bookmarkStart w:id="444" w:name="_Toc352740598"/>
      <w:bookmarkStart w:id="445" w:name="_Toc353434654"/>
      <w:bookmarkStart w:id="446" w:name="_Toc353435638"/>
      <w:bookmarkEnd w:id="442"/>
      <w:bookmarkEnd w:id="443"/>
      <w:bookmarkEnd w:id="444"/>
      <w:bookmarkEnd w:id="445"/>
      <w:bookmarkEnd w:id="446"/>
    </w:p>
    <w:p w:rsidR="00056848" w:rsidRDefault="00A5361C" w:rsidP="009C5B73">
      <w:pPr>
        <w:pStyle w:val="RecommendationStyle"/>
        <w:numPr>
          <w:ilvl w:val="0"/>
          <w:numId w:val="0"/>
        </w:numPr>
        <w:rPr>
          <w:rFonts w:eastAsiaTheme="minorHAnsi"/>
        </w:rPr>
      </w:pPr>
      <w:bookmarkStart w:id="447" w:name="_Toc352228513"/>
      <w:bookmarkStart w:id="448" w:name="_Toc352231757"/>
      <w:bookmarkStart w:id="449" w:name="_Toc352740599"/>
      <w:bookmarkStart w:id="450" w:name="_Toc353434655"/>
      <w:bookmarkStart w:id="451" w:name="_Toc353435639"/>
      <w:r w:rsidRPr="00A5361C">
        <w:t xml:space="preserve">Industry </w:t>
      </w:r>
      <w:r>
        <w:t xml:space="preserve">should </w:t>
      </w:r>
      <w:r w:rsidRPr="00A5361C">
        <w:t>be made aware of the implications of NHVR funding decisions on heavy vehicle charges.</w:t>
      </w:r>
      <w:bookmarkEnd w:id="447"/>
      <w:bookmarkEnd w:id="448"/>
      <w:bookmarkEnd w:id="449"/>
      <w:bookmarkEnd w:id="450"/>
      <w:bookmarkEnd w:id="451"/>
      <w:r w:rsidR="00650891" w:rsidRPr="00CA6C07">
        <w:rPr>
          <w:rFonts w:eastAsiaTheme="minorHAnsi"/>
        </w:rPr>
        <w:t xml:space="preserve"> </w:t>
      </w:r>
    </w:p>
    <w:p w:rsidR="007360B9" w:rsidRDefault="007360B9">
      <w:pPr>
        <w:rPr>
          <w:rFonts w:eastAsiaTheme="minorHAnsi"/>
        </w:rPr>
        <w:sectPr w:rsidR="007360B9" w:rsidSect="00A914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pPr>
    </w:p>
    <w:p w:rsidR="0069518F" w:rsidRPr="007360B9" w:rsidRDefault="00560BE3" w:rsidP="007360B9">
      <w:pPr>
        <w:pStyle w:val="Heading1"/>
        <w:numPr>
          <w:ilvl w:val="0"/>
          <w:numId w:val="0"/>
        </w:numPr>
        <w:ind w:left="360" w:hanging="360"/>
        <w:jc w:val="both"/>
      </w:pPr>
      <w:bookmarkStart w:id="452" w:name="_Toc353434691"/>
      <w:r w:rsidRPr="007360B9">
        <w:lastRenderedPageBreak/>
        <w:t xml:space="preserve">Appendix A: </w:t>
      </w:r>
      <w:r w:rsidR="007360B9" w:rsidRPr="007360B9">
        <w:t>Commonwealth revenue</w:t>
      </w:r>
      <w:r w:rsidR="007360B9">
        <w:t xml:space="preserve"> </w:t>
      </w:r>
      <w:r w:rsidR="007360B9" w:rsidRPr="007360B9">
        <w:t xml:space="preserve">calculation for PayGo model versus December 2011 registration </w:t>
      </w:r>
      <w:r w:rsidR="00B749C9" w:rsidRPr="007360B9">
        <w:t>figures</w:t>
      </w:r>
      <w:r w:rsidR="00B749C9">
        <w:t>, using</w:t>
      </w:r>
      <w:r w:rsidR="007360B9">
        <w:t xml:space="preserve"> 2013-14 RUC</w:t>
      </w:r>
      <w:bookmarkEnd w:id="452"/>
      <w:r w:rsidR="007360B9" w:rsidRPr="007360B9">
        <w:t xml:space="preserve"> </w:t>
      </w:r>
    </w:p>
    <w:tbl>
      <w:tblPr>
        <w:tblW w:w="5000" w:type="pct"/>
        <w:tblLook w:val="04A0"/>
      </w:tblPr>
      <w:tblGrid>
        <w:gridCol w:w="2167"/>
        <w:gridCol w:w="1796"/>
        <w:gridCol w:w="883"/>
        <w:gridCol w:w="1169"/>
        <w:gridCol w:w="2141"/>
        <w:gridCol w:w="1130"/>
        <w:gridCol w:w="1173"/>
        <w:gridCol w:w="1327"/>
        <w:gridCol w:w="1796"/>
        <w:gridCol w:w="1771"/>
      </w:tblGrid>
      <w:tr w:rsidR="007360B9" w:rsidRPr="007360B9" w:rsidTr="007360B9">
        <w:trPr>
          <w:trHeight w:val="285"/>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r w:rsidR="00274BA8">
              <w:rPr>
                <w:rFonts w:ascii="Arial" w:eastAsia="Times New Roman" w:hAnsi="Arial" w:cs="Arial"/>
                <w:b/>
                <w:bCs/>
                <w:color w:val="000000"/>
                <w:sz w:val="16"/>
                <w:szCs w:val="16"/>
                <w:lang w:eastAsia="en-AU"/>
              </w:rPr>
              <w:t>Combination</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PayGo </w:t>
            </w:r>
            <w:r w:rsidRPr="007360B9">
              <w:rPr>
                <w:rFonts w:ascii="Arial" w:eastAsia="Times New Roman" w:hAnsi="Arial" w:cs="Arial"/>
                <w:b/>
                <w:bCs/>
                <w:color w:val="000000"/>
                <w:sz w:val="16"/>
                <w:szCs w:val="16"/>
                <w:lang w:eastAsia="en-AU"/>
              </w:rPr>
              <w:t xml:space="preserve">raw population figure </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Fuel usage 000</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Fuel usage per vehicle </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PayGo </w:t>
            </w:r>
            <w:r w:rsidRPr="007360B9">
              <w:rPr>
                <w:rFonts w:ascii="Arial" w:eastAsia="Times New Roman" w:hAnsi="Arial" w:cs="Arial"/>
                <w:b/>
                <w:bCs/>
                <w:color w:val="000000"/>
                <w:sz w:val="16"/>
                <w:szCs w:val="16"/>
                <w:lang w:eastAsia="en-AU"/>
              </w:rPr>
              <w:t>population figure (summed)</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ATA Population </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PayGo </w:t>
            </w:r>
            <w:r w:rsidRPr="007360B9">
              <w:rPr>
                <w:rFonts w:ascii="Arial" w:eastAsia="Times New Roman" w:hAnsi="Arial" w:cs="Arial"/>
                <w:b/>
                <w:bCs/>
                <w:color w:val="000000"/>
                <w:sz w:val="16"/>
                <w:szCs w:val="16"/>
                <w:lang w:eastAsia="en-AU"/>
              </w:rPr>
              <w:t>total fuel usage</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ATA total fuel usage</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PayGo</w:t>
            </w:r>
            <w:r w:rsidRPr="007360B9">
              <w:rPr>
                <w:rFonts w:ascii="Arial" w:eastAsia="Times New Roman" w:hAnsi="Arial" w:cs="Arial"/>
                <w:b/>
                <w:bCs/>
                <w:color w:val="000000"/>
                <w:sz w:val="16"/>
                <w:szCs w:val="16"/>
                <w:lang w:eastAsia="en-AU"/>
              </w:rPr>
              <w:t xml:space="preserve"> fuel revenue (</w:t>
            </w:r>
            <w:proofErr w:type="spellStart"/>
            <w:r w:rsidRPr="007360B9">
              <w:rPr>
                <w:rFonts w:ascii="Arial" w:eastAsia="Times New Roman" w:hAnsi="Arial" w:cs="Arial"/>
                <w:b/>
                <w:bCs/>
                <w:color w:val="000000"/>
                <w:sz w:val="16"/>
                <w:szCs w:val="16"/>
                <w:lang w:eastAsia="en-AU"/>
              </w:rPr>
              <w:t>26.14cpl</w:t>
            </w:r>
            <w:proofErr w:type="spellEnd"/>
            <w:r w:rsidRPr="007360B9">
              <w:rPr>
                <w:rFonts w:ascii="Arial" w:eastAsia="Times New Roman" w:hAnsi="Arial" w:cs="Arial"/>
                <w:b/>
                <w:bCs/>
                <w:color w:val="000000"/>
                <w:sz w:val="16"/>
                <w:szCs w:val="16"/>
                <w:lang w:eastAsia="en-AU"/>
              </w:rPr>
              <w:t>)</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ATA fuel revenue  (</w:t>
            </w:r>
            <w:proofErr w:type="spellStart"/>
            <w:r w:rsidRPr="007360B9">
              <w:rPr>
                <w:rFonts w:ascii="Arial" w:eastAsia="Times New Roman" w:hAnsi="Arial" w:cs="Arial"/>
                <w:b/>
                <w:bCs/>
                <w:color w:val="000000"/>
                <w:sz w:val="16"/>
                <w:szCs w:val="16"/>
                <w:lang w:eastAsia="en-AU"/>
              </w:rPr>
              <w:t>26.14cpl</w:t>
            </w:r>
            <w:proofErr w:type="spellEnd"/>
            <w:r w:rsidRPr="007360B9">
              <w:rPr>
                <w:rFonts w:ascii="Arial" w:eastAsia="Times New Roman" w:hAnsi="Arial" w:cs="Arial"/>
                <w:b/>
                <w:bCs/>
                <w:color w:val="000000"/>
                <w:sz w:val="16"/>
                <w:szCs w:val="16"/>
                <w:lang w:eastAsia="en-AU"/>
              </w:rPr>
              <w:t>)</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Rigid trucks</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litres 000'</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litres 000'</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$000'</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$000'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 2 axle: no trailer: 4.5-</w:t>
            </w:r>
            <w:proofErr w:type="spellStart"/>
            <w:r w:rsidRPr="007360B9">
              <w:rPr>
                <w:rFonts w:ascii="Arial" w:eastAsia="Times New Roman" w:hAnsi="Arial" w:cs="Arial"/>
                <w:sz w:val="16"/>
                <w:szCs w:val="16"/>
                <w:lang w:eastAsia="en-AU"/>
              </w:rPr>
              <w:t>7.0t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47,278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161,727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3.4</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2 axle: no trailer: 7.0-</w:t>
            </w:r>
            <w:proofErr w:type="spellStart"/>
            <w:r w:rsidRPr="007360B9">
              <w:rPr>
                <w:rFonts w:ascii="Arial" w:eastAsia="Times New Roman" w:hAnsi="Arial" w:cs="Arial"/>
                <w:sz w:val="16"/>
                <w:szCs w:val="16"/>
                <w:lang w:eastAsia="en-AU"/>
              </w:rPr>
              <w:t>12.0t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86,401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458,785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5.3</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133,679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170,042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620,512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789,302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162,202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206,324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 2 axle: no trailer: &gt;</w:t>
            </w:r>
            <w:proofErr w:type="spellStart"/>
            <w:r w:rsidRPr="007360B9">
              <w:rPr>
                <w:rFonts w:ascii="Arial" w:eastAsia="Times New Roman" w:hAnsi="Arial" w:cs="Arial"/>
                <w:sz w:val="16"/>
                <w:szCs w:val="16"/>
                <w:lang w:eastAsia="en-AU"/>
              </w:rPr>
              <w:t>12.0t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52,356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331,052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6.3</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52,356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58,842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331,052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372,064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86,537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97,257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2 axle: with trailer &lt;42.5</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16,187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124,238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7.7</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16,187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10,856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124,238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83,322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32,476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21,780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3 axle: no trailer: 4.5-</w:t>
            </w:r>
            <w:proofErr w:type="spellStart"/>
            <w:r w:rsidRPr="007360B9">
              <w:rPr>
                <w:rFonts w:ascii="Arial" w:eastAsia="Times New Roman" w:hAnsi="Arial" w:cs="Arial"/>
                <w:sz w:val="16"/>
                <w:szCs w:val="16"/>
                <w:lang w:eastAsia="en-AU"/>
              </w:rPr>
              <w:t>18.0t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11,243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133,509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11.9</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11,243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1,840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133,509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21,850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34,899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5,712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3 axle: no trailer &gt;</w:t>
            </w:r>
            <w:proofErr w:type="spellStart"/>
            <w:r w:rsidRPr="007360B9">
              <w:rPr>
                <w:rFonts w:ascii="Arial" w:eastAsia="Times New Roman" w:hAnsi="Arial" w:cs="Arial"/>
                <w:sz w:val="16"/>
                <w:szCs w:val="16"/>
                <w:lang w:eastAsia="en-AU"/>
              </w:rPr>
              <w:t>18.0t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35,975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445,857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12.4</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35,975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53,951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445,857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668,643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116,547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174,783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 3 axle: with trailer: &gt;</w:t>
            </w:r>
            <w:proofErr w:type="spellStart"/>
            <w:r w:rsidRPr="007360B9">
              <w:rPr>
                <w:rFonts w:ascii="Arial" w:eastAsia="Times New Roman" w:hAnsi="Arial" w:cs="Arial"/>
                <w:sz w:val="16"/>
                <w:szCs w:val="16"/>
                <w:lang w:eastAsia="en-AU"/>
              </w:rPr>
              <w:t>18.0t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5,006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93,402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18.7</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5,006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16,815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93,402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313,734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24,415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82,010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4 axle: no trailer: 4.5-</w:t>
            </w:r>
            <w:proofErr w:type="spellStart"/>
            <w:r w:rsidRPr="007360B9">
              <w:rPr>
                <w:rFonts w:ascii="Arial" w:eastAsia="Times New Roman" w:hAnsi="Arial" w:cs="Arial"/>
                <w:sz w:val="16"/>
                <w:szCs w:val="16"/>
                <w:lang w:eastAsia="en-AU"/>
              </w:rPr>
              <w:t>25.0t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1,942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27,053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13.9</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1,942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36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27,053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501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7,072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131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4 axle: no trailer: &gt;</w:t>
            </w:r>
            <w:proofErr w:type="spellStart"/>
            <w:r w:rsidRPr="007360B9">
              <w:rPr>
                <w:rFonts w:ascii="Arial" w:eastAsia="Times New Roman" w:hAnsi="Arial" w:cs="Arial"/>
                <w:sz w:val="16"/>
                <w:szCs w:val="16"/>
                <w:lang w:eastAsia="en-AU"/>
              </w:rPr>
              <w:t>25.0t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4,965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83,082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16.7</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4,965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10,108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83,082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169,143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21,718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44,214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 4 axle: with trailer: &gt;</w:t>
            </w:r>
            <w:proofErr w:type="spellStart"/>
            <w:r w:rsidRPr="007360B9">
              <w:rPr>
                <w:rFonts w:ascii="Arial" w:eastAsia="Times New Roman" w:hAnsi="Arial" w:cs="Arial"/>
                <w:sz w:val="16"/>
                <w:szCs w:val="16"/>
                <w:lang w:eastAsia="en-AU"/>
              </w:rPr>
              <w:t>25.0t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237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19,290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81.4</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237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1,731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19,290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140,890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5,042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36,829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Heavy Truck trailers over </w:t>
            </w:r>
            <w:proofErr w:type="spellStart"/>
            <w:r w:rsidRPr="007360B9">
              <w:rPr>
                <w:rFonts w:ascii="Arial" w:eastAsia="Times New Roman" w:hAnsi="Arial" w:cs="Arial"/>
                <w:sz w:val="16"/>
                <w:szCs w:val="16"/>
                <w:lang w:eastAsia="en-AU"/>
              </w:rPr>
              <w:t>42.5.t</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9,225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306,489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33.2</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9,225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9,752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306,489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323,998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80,116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84,693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sz w:val="16"/>
                <w:szCs w:val="16"/>
                <w:lang w:eastAsia="en-AU"/>
              </w:rPr>
            </w:pPr>
            <w:r w:rsidRPr="007360B9">
              <w:rPr>
                <w:rFonts w:ascii="Arial" w:eastAsia="Times New Roman" w:hAnsi="Arial" w:cs="Arial"/>
                <w:b/>
                <w:bCs/>
                <w:sz w:val="16"/>
                <w:szCs w:val="16"/>
                <w:lang w:eastAsia="en-AU"/>
              </w:rPr>
              <w:t>2 axle PM</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&gt; 6 axle rig (not elsewhere classified)</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1,943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106,630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54.9</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single trailer: 3 axle rig</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1,692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18,068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10.7</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single trailer: 4 axle rig</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3,048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61,200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20.1</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single 3 axle trailer: 5 axle rig</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1,942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46,958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24.2</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8,625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6,206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232,856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167,548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60,869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43,797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sz w:val="16"/>
                <w:szCs w:val="16"/>
                <w:lang w:eastAsia="en-AU"/>
              </w:rPr>
            </w:pPr>
            <w:r w:rsidRPr="007360B9">
              <w:rPr>
                <w:rFonts w:ascii="Arial" w:eastAsia="Times New Roman" w:hAnsi="Arial" w:cs="Arial"/>
                <w:b/>
                <w:bCs/>
                <w:sz w:val="16"/>
                <w:szCs w:val="16"/>
                <w:lang w:eastAsia="en-AU"/>
              </w:rPr>
              <w:t>3 axle PM</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single 2 axle trailer: 5 axle rig</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12,298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374,809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30.5</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single trailer: 6 axle rig</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31,228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1,307,622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41.9</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43,526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47,893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1,682,431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1,851,231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439,787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483,912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sz w:val="16"/>
                <w:szCs w:val="16"/>
                <w:lang w:eastAsia="en-AU"/>
              </w:rPr>
            </w:pPr>
            <w:r w:rsidRPr="007360B9">
              <w:rPr>
                <w:rFonts w:ascii="Arial" w:eastAsia="Times New Roman" w:hAnsi="Arial" w:cs="Arial"/>
                <w:b/>
                <w:bCs/>
                <w:sz w:val="16"/>
                <w:szCs w:val="16"/>
                <w:lang w:eastAsia="en-AU"/>
              </w:rPr>
              <w:t xml:space="preserve">All other </w:t>
            </w:r>
            <w:proofErr w:type="spellStart"/>
            <w:r w:rsidRPr="007360B9">
              <w:rPr>
                <w:rFonts w:ascii="Arial" w:eastAsia="Times New Roman" w:hAnsi="Arial" w:cs="Arial"/>
                <w:b/>
                <w:bCs/>
                <w:sz w:val="16"/>
                <w:szCs w:val="16"/>
                <w:lang w:eastAsia="en-AU"/>
              </w:rPr>
              <w:t>PMs</w:t>
            </w:r>
            <w:proofErr w:type="spellEnd"/>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B-double: &lt;9 axle rig</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1,824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146,705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80.4</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lastRenderedPageBreak/>
              <w:t>Artic</w:t>
            </w:r>
            <w:proofErr w:type="spellEnd"/>
            <w:r w:rsidRPr="007360B9">
              <w:rPr>
                <w:rFonts w:ascii="Arial" w:eastAsia="Times New Roman" w:hAnsi="Arial" w:cs="Arial"/>
                <w:sz w:val="16"/>
                <w:szCs w:val="16"/>
                <w:lang w:eastAsia="en-AU"/>
              </w:rPr>
              <w:t xml:space="preserve"> trucks: B-double = or &gt; 9 axle rig</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11,777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1,235,048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104.9</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B-triple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410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35,777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87.3</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Road train: 2 trailers</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4,286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316,410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73.8</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proofErr w:type="spellStart"/>
            <w:r w:rsidRPr="007360B9">
              <w:rPr>
                <w:rFonts w:ascii="Arial" w:eastAsia="Times New Roman" w:hAnsi="Arial" w:cs="Arial"/>
                <w:sz w:val="16"/>
                <w:szCs w:val="16"/>
                <w:lang w:eastAsia="en-AU"/>
              </w:rPr>
              <w:t>Artic</w:t>
            </w:r>
            <w:proofErr w:type="spellEnd"/>
            <w:r w:rsidRPr="007360B9">
              <w:rPr>
                <w:rFonts w:ascii="Arial" w:eastAsia="Times New Roman" w:hAnsi="Arial" w:cs="Arial"/>
                <w:sz w:val="16"/>
                <w:szCs w:val="16"/>
                <w:lang w:eastAsia="en-AU"/>
              </w:rPr>
              <w:t xml:space="preserve"> trucks: Road train: 3 trailers</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1,068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141,706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132.7</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19,365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34,165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1,875,646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3,309,137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490,294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865,009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sz w:val="16"/>
                <w:szCs w:val="16"/>
                <w:lang w:eastAsia="en-AU"/>
              </w:rPr>
            </w:pPr>
            <w:r w:rsidRPr="007360B9">
              <w:rPr>
                <w:rFonts w:ascii="Arial" w:eastAsia="Times New Roman" w:hAnsi="Arial" w:cs="Arial"/>
                <w:b/>
                <w:bCs/>
                <w:sz w:val="16"/>
                <w:szCs w:val="16"/>
                <w:lang w:eastAsia="en-AU"/>
              </w:rPr>
              <w:t>SPV</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Special Vehicles/Other trucks</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13,195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51,940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3.9</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13,195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107,426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51,940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422,865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13,577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110,537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sz w:val="16"/>
                <w:szCs w:val="16"/>
                <w:lang w:eastAsia="en-AU"/>
              </w:rPr>
            </w:pPr>
            <w:r w:rsidRPr="007360B9">
              <w:rPr>
                <w:rFonts w:ascii="Arial" w:eastAsia="Times New Roman" w:hAnsi="Arial" w:cs="Arial"/>
                <w:b/>
                <w:bCs/>
                <w:sz w:val="16"/>
                <w:szCs w:val="16"/>
                <w:lang w:eastAsia="en-AU"/>
              </w:rPr>
              <w:t>BUS</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2 </w:t>
            </w:r>
            <w:proofErr w:type="spellStart"/>
            <w:r w:rsidRPr="007360B9">
              <w:rPr>
                <w:rFonts w:ascii="Arial" w:eastAsia="Times New Roman" w:hAnsi="Arial" w:cs="Arial"/>
                <w:sz w:val="16"/>
                <w:szCs w:val="16"/>
                <w:lang w:eastAsia="en-AU"/>
              </w:rPr>
              <w:t>axle:GVM</w:t>
            </w:r>
            <w:proofErr w:type="spellEnd"/>
            <w:r w:rsidRPr="007360B9">
              <w:rPr>
                <w:rFonts w:ascii="Arial" w:eastAsia="Times New Roman" w:hAnsi="Arial" w:cs="Arial"/>
                <w:sz w:val="16"/>
                <w:szCs w:val="16"/>
                <w:lang w:eastAsia="en-AU"/>
              </w:rPr>
              <w:t xml:space="preserve"> 3.5 to 4,5 tonne</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4,577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14,398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3.1</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2 axle: </w:t>
            </w:r>
            <w:proofErr w:type="spellStart"/>
            <w:r w:rsidRPr="007360B9">
              <w:rPr>
                <w:rFonts w:ascii="Arial" w:eastAsia="Times New Roman" w:hAnsi="Arial" w:cs="Arial"/>
                <w:sz w:val="16"/>
                <w:szCs w:val="16"/>
                <w:lang w:eastAsia="en-AU"/>
              </w:rPr>
              <w:t>GVM</w:t>
            </w:r>
            <w:proofErr w:type="spellEnd"/>
            <w:r w:rsidRPr="007360B9">
              <w:rPr>
                <w:rFonts w:ascii="Arial" w:eastAsia="Times New Roman" w:hAnsi="Arial" w:cs="Arial"/>
                <w:sz w:val="16"/>
                <w:szCs w:val="16"/>
                <w:lang w:eastAsia="en-AU"/>
              </w:rPr>
              <w:t xml:space="preserve"> 4.5 to 10 tonne</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14,425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72,055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5.0</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19,002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16,094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86,453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73,223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22,599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19,140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 2 axle: </w:t>
            </w:r>
            <w:proofErr w:type="spellStart"/>
            <w:r w:rsidRPr="007360B9">
              <w:rPr>
                <w:rFonts w:ascii="Arial" w:eastAsia="Times New Roman" w:hAnsi="Arial" w:cs="Arial"/>
                <w:sz w:val="16"/>
                <w:szCs w:val="16"/>
                <w:lang w:eastAsia="en-AU"/>
              </w:rPr>
              <w:t>GVM</w:t>
            </w:r>
            <w:proofErr w:type="spellEnd"/>
            <w:r w:rsidRPr="007360B9">
              <w:rPr>
                <w:rFonts w:ascii="Arial" w:eastAsia="Times New Roman" w:hAnsi="Arial" w:cs="Arial"/>
                <w:sz w:val="16"/>
                <w:szCs w:val="16"/>
                <w:lang w:eastAsia="en-AU"/>
              </w:rPr>
              <w:t xml:space="preserve"> over 10 tonne</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19,815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327,987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16.6</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19,815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14,442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327,987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239,051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85,736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62,488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 3 axle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2,242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64,514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28.8</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2,242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8,440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64,514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242,863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16,864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63,484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sz w:val="16"/>
                <w:szCs w:val="16"/>
                <w:lang w:eastAsia="en-AU"/>
              </w:rPr>
            </w:pPr>
            <w:r w:rsidRPr="007360B9">
              <w:rPr>
                <w:rFonts w:ascii="Arial" w:eastAsia="Times New Roman" w:hAnsi="Arial" w:cs="Arial"/>
                <w:sz w:val="16"/>
                <w:szCs w:val="16"/>
                <w:lang w:eastAsia="en-AU"/>
              </w:rPr>
              <w:t xml:space="preserve"> articulated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445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9,295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20.9</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445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1,254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9,295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26,193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2,430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xml:space="preserve">                                                      6,847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Total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397,030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397,030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569,893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6,515,606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9,215,557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1,703,179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2,408,947 </w:t>
            </w:r>
          </w:p>
        </w:tc>
      </w:tr>
      <w:tr w:rsidR="007360B9" w:rsidRPr="007360B9" w:rsidTr="007360B9">
        <w:trPr>
          <w:trHeight w:val="28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25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9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684"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40"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322"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40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color w:val="000000"/>
                <w:sz w:val="16"/>
                <w:szCs w:val="16"/>
                <w:lang w:eastAsia="en-AU"/>
              </w:rPr>
            </w:pPr>
            <w:r w:rsidRPr="007360B9">
              <w:rPr>
                <w:rFonts w:ascii="Arial" w:eastAsia="Times New Roman" w:hAnsi="Arial" w:cs="Arial"/>
                <w:color w:val="000000"/>
                <w:sz w:val="16"/>
                <w:szCs w:val="16"/>
                <w:lang w:eastAsia="en-AU"/>
              </w:rPr>
              <w:t> </w:t>
            </w:r>
          </w:p>
        </w:tc>
        <w:tc>
          <w:tcPr>
            <w:tcW w:w="568"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 D</w:t>
            </w:r>
            <w:r w:rsidRPr="007360B9">
              <w:rPr>
                <w:rFonts w:ascii="Arial" w:eastAsia="Times New Roman" w:hAnsi="Arial" w:cs="Arial"/>
                <w:b/>
                <w:bCs/>
                <w:color w:val="000000"/>
                <w:sz w:val="16"/>
                <w:szCs w:val="16"/>
                <w:lang w:eastAsia="en-AU"/>
              </w:rPr>
              <w:t xml:space="preserve">ifference in revenue </w:t>
            </w:r>
          </w:p>
        </w:tc>
        <w:tc>
          <w:tcPr>
            <w:tcW w:w="557" w:type="pct"/>
            <w:tcBorders>
              <w:top w:val="nil"/>
              <w:left w:val="nil"/>
              <w:bottom w:val="single" w:sz="4" w:space="0" w:color="auto"/>
              <w:right w:val="single" w:sz="4" w:space="0" w:color="auto"/>
            </w:tcBorders>
            <w:shd w:val="clear" w:color="auto" w:fill="auto"/>
            <w:noWrap/>
            <w:vAlign w:val="bottom"/>
            <w:hideMark/>
          </w:tcPr>
          <w:p w:rsidR="007360B9" w:rsidRPr="007360B9" w:rsidRDefault="007360B9" w:rsidP="007360B9">
            <w:pPr>
              <w:jc w:val="center"/>
              <w:rPr>
                <w:rFonts w:ascii="Arial" w:eastAsia="Times New Roman" w:hAnsi="Arial" w:cs="Arial"/>
                <w:b/>
                <w:bCs/>
                <w:color w:val="000000"/>
                <w:sz w:val="16"/>
                <w:szCs w:val="16"/>
                <w:lang w:eastAsia="en-AU"/>
              </w:rPr>
            </w:pPr>
            <w:r w:rsidRPr="007360B9">
              <w:rPr>
                <w:rFonts w:ascii="Arial" w:eastAsia="Times New Roman" w:hAnsi="Arial" w:cs="Arial"/>
                <w:b/>
                <w:bCs/>
                <w:color w:val="000000"/>
                <w:sz w:val="16"/>
                <w:szCs w:val="16"/>
                <w:lang w:eastAsia="en-AU"/>
              </w:rPr>
              <w:t xml:space="preserve">                                                  705,767 </w:t>
            </w:r>
          </w:p>
        </w:tc>
      </w:tr>
    </w:tbl>
    <w:p w:rsidR="004F6CE4" w:rsidRDefault="007360B9" w:rsidP="004F6CE4">
      <w:pPr>
        <w:pStyle w:val="RecommendationStyle"/>
        <w:numPr>
          <w:ilvl w:val="0"/>
          <w:numId w:val="0"/>
        </w:numPr>
        <w:rPr>
          <w:rFonts w:eastAsiaTheme="minorHAnsi"/>
          <w:b w:val="0"/>
          <w:i w:val="0"/>
        </w:rPr>
      </w:pPr>
      <w:bookmarkStart w:id="453" w:name="_Toc352740600"/>
      <w:bookmarkStart w:id="454" w:name="_Toc353434656"/>
      <w:bookmarkStart w:id="455" w:name="_Toc353435640"/>
      <w:r w:rsidRPr="007360B9">
        <w:rPr>
          <w:rFonts w:eastAsiaTheme="minorHAnsi"/>
          <w:b w:val="0"/>
          <w:i w:val="0"/>
        </w:rPr>
        <w:t xml:space="preserve">Source: </w:t>
      </w:r>
      <w:r w:rsidR="008B20CD" w:rsidRPr="007360B9">
        <w:rPr>
          <w:rFonts w:eastAsiaTheme="minorHAnsi"/>
          <w:b w:val="0"/>
          <w:i w:val="0"/>
        </w:rPr>
        <w:t xml:space="preserve"> </w:t>
      </w:r>
      <w:r w:rsidR="004F6CE4">
        <w:rPr>
          <w:rFonts w:eastAsiaTheme="minorHAnsi"/>
          <w:b w:val="0"/>
          <w:i w:val="0"/>
        </w:rPr>
        <w:t xml:space="preserve">PayGo figures: </w:t>
      </w:r>
      <w:r w:rsidR="008B20CD" w:rsidRPr="007360B9">
        <w:rPr>
          <w:rFonts w:eastAsiaTheme="minorHAnsi"/>
          <w:b w:val="0"/>
          <w:i w:val="0"/>
        </w:rPr>
        <w:t>Table 15.</w:t>
      </w:r>
      <w:r w:rsidRPr="007360B9">
        <w:rPr>
          <w:rFonts w:eastAsiaTheme="minorHAnsi"/>
          <w:b w:val="0"/>
          <w:i w:val="0"/>
        </w:rPr>
        <w:t xml:space="preserve"> </w:t>
      </w:r>
      <w:r>
        <w:rPr>
          <w:rFonts w:eastAsiaTheme="minorHAnsi"/>
          <w:b w:val="0"/>
          <w:i w:val="0"/>
        </w:rPr>
        <w:t xml:space="preserve">PayGo </w:t>
      </w:r>
      <w:r w:rsidR="008B20CD" w:rsidRPr="007360B9">
        <w:rPr>
          <w:rFonts w:eastAsiaTheme="minorHAnsi"/>
          <w:b w:val="0"/>
          <w:i w:val="0"/>
        </w:rPr>
        <w:t>Scenario B usage and cost allocat</w:t>
      </w:r>
      <w:r w:rsidR="00B749C9">
        <w:rPr>
          <w:rFonts w:eastAsiaTheme="minorHAnsi"/>
          <w:b w:val="0"/>
          <w:i w:val="0"/>
        </w:rPr>
        <w:t>ion data (for recalculated 2012-</w:t>
      </w:r>
      <w:r w:rsidR="008B20CD" w:rsidRPr="007360B9">
        <w:rPr>
          <w:rFonts w:eastAsiaTheme="minorHAnsi"/>
          <w:b w:val="0"/>
          <w:i w:val="0"/>
        </w:rPr>
        <w:t xml:space="preserve">13 charges) page 37 </w:t>
      </w:r>
      <w:r>
        <w:rPr>
          <w:rFonts w:eastAsiaTheme="minorHAnsi"/>
          <w:b w:val="0"/>
          <w:i w:val="0"/>
        </w:rPr>
        <w:t xml:space="preserve">of NTC </w:t>
      </w:r>
      <w:r w:rsidR="008B20CD" w:rsidRPr="007360B9">
        <w:rPr>
          <w:rFonts w:eastAsiaTheme="minorHAnsi"/>
          <w:b w:val="0"/>
          <w:i w:val="0"/>
        </w:rPr>
        <w:t>Heavy vehicle charges – Report to the Standing Council on Transport and Infrastructure February 2012</w:t>
      </w:r>
      <w:bookmarkEnd w:id="453"/>
      <w:bookmarkEnd w:id="454"/>
      <w:bookmarkEnd w:id="455"/>
      <w:r w:rsidR="008B20CD" w:rsidRPr="007360B9">
        <w:rPr>
          <w:rFonts w:eastAsiaTheme="minorHAnsi"/>
          <w:b w:val="0"/>
          <w:i w:val="0"/>
        </w:rPr>
        <w:t xml:space="preserve"> </w:t>
      </w:r>
    </w:p>
    <w:p w:rsidR="00274BA8" w:rsidRDefault="004F6CE4" w:rsidP="004F6CE4">
      <w:pPr>
        <w:pStyle w:val="RecommendationStyle"/>
        <w:numPr>
          <w:ilvl w:val="0"/>
          <w:numId w:val="0"/>
        </w:numPr>
        <w:rPr>
          <w:rFonts w:eastAsiaTheme="minorHAnsi"/>
          <w:b w:val="0"/>
          <w:i w:val="0"/>
        </w:rPr>
      </w:pPr>
      <w:bookmarkStart w:id="456" w:name="_Toc352740601"/>
      <w:bookmarkStart w:id="457" w:name="_Toc353434657"/>
      <w:bookmarkStart w:id="458" w:name="_Toc353435641"/>
      <w:r>
        <w:rPr>
          <w:rFonts w:eastAsiaTheme="minorHAnsi"/>
          <w:b w:val="0"/>
          <w:i w:val="0"/>
        </w:rPr>
        <w:t>ATA figures: December 2011 heavy vehicle registration figures. S</w:t>
      </w:r>
      <w:r w:rsidRPr="004F6CE4">
        <w:rPr>
          <w:rFonts w:eastAsiaTheme="minorHAnsi"/>
          <w:b w:val="0"/>
          <w:i w:val="0"/>
        </w:rPr>
        <w:t>ee</w:t>
      </w:r>
      <w:r>
        <w:rPr>
          <w:rFonts w:eastAsiaTheme="minorHAnsi"/>
          <w:b w:val="0"/>
          <w:i w:val="0"/>
        </w:rPr>
        <w:t xml:space="preserve"> </w:t>
      </w:r>
      <w:r w:rsidRPr="004F6CE4">
        <w:rPr>
          <w:rFonts w:eastAsiaTheme="minorHAnsi"/>
          <w:b w:val="0"/>
          <w:i w:val="0"/>
        </w:rPr>
        <w:t>Assessment of Actual Heavy Vehicle Registration Population Data against the NTC PayGo Model, 2011, for further details</w:t>
      </w:r>
      <w:r>
        <w:rPr>
          <w:rFonts w:eastAsiaTheme="minorHAnsi"/>
          <w:b w:val="0"/>
          <w:i w:val="0"/>
        </w:rPr>
        <w:t>.</w:t>
      </w:r>
      <w:bookmarkEnd w:id="456"/>
      <w:bookmarkEnd w:id="457"/>
      <w:bookmarkEnd w:id="458"/>
      <w:r w:rsidR="00274BA8">
        <w:rPr>
          <w:rFonts w:eastAsiaTheme="minorHAnsi"/>
          <w:b w:val="0"/>
          <w:i w:val="0"/>
        </w:rPr>
        <w:t xml:space="preserve"> </w:t>
      </w:r>
    </w:p>
    <w:p w:rsidR="004F6CE4" w:rsidRPr="007360B9" w:rsidRDefault="004F6CE4" w:rsidP="007360B9">
      <w:pPr>
        <w:pStyle w:val="RecommendationStyle"/>
        <w:numPr>
          <w:ilvl w:val="0"/>
          <w:numId w:val="0"/>
        </w:numPr>
        <w:rPr>
          <w:rFonts w:eastAsiaTheme="minorHAnsi"/>
          <w:b w:val="0"/>
          <w:i w:val="0"/>
        </w:rPr>
      </w:pPr>
    </w:p>
    <w:p w:rsidR="007360B9" w:rsidRPr="00CA6C07" w:rsidRDefault="007360B9" w:rsidP="009C5B73">
      <w:pPr>
        <w:pStyle w:val="RecommendationStyle"/>
        <w:numPr>
          <w:ilvl w:val="0"/>
          <w:numId w:val="0"/>
        </w:numPr>
        <w:rPr>
          <w:rFonts w:eastAsiaTheme="minorHAnsi"/>
        </w:rPr>
      </w:pPr>
    </w:p>
    <w:sectPr w:rsidR="007360B9" w:rsidRPr="00CA6C07" w:rsidSect="007360B9">
      <w:pgSz w:w="16838" w:h="11906" w:orient="landscape"/>
      <w:pgMar w:top="1134" w:right="1134" w:bottom="1134" w:left="567"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18" w:rsidRDefault="00E96A18" w:rsidP="000F3D9F">
      <w:r>
        <w:separator/>
      </w:r>
    </w:p>
  </w:endnote>
  <w:endnote w:type="continuationSeparator" w:id="0">
    <w:p w:rsidR="00E96A18" w:rsidRDefault="00E96A18"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Pr="0062031D" w:rsidRDefault="00AB75B8"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AB75B8" w:rsidRPr="0062031D" w:rsidRDefault="00AB75B8"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AB75B8" w:rsidRPr="0062031D" w:rsidRDefault="00AB75B8"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AB75B8" w:rsidRPr="00E8056B" w:rsidRDefault="00AB75B8" w:rsidP="0062031D">
    <w:pPr>
      <w:ind w:right="-426"/>
      <w:jc w:val="righ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Default="00FF3F1D">
    <w:pPr>
      <w:pStyle w:val="Footer"/>
      <w:jc w:val="right"/>
    </w:pPr>
    <w:fldSimple w:instr=" PAGE   \* MERGEFORMAT ">
      <w:r w:rsidR="00AB75B8">
        <w:rPr>
          <w:noProof/>
        </w:rPr>
        <w:t>7</w:t>
      </w:r>
    </w:fldSimple>
  </w:p>
  <w:p w:rsidR="00AB75B8" w:rsidRDefault="00AB75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Default="00AB75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AB75B8" w:rsidRPr="00A91411" w:rsidTr="00D735FF">
      <w:trPr>
        <w:trHeight w:val="278"/>
      </w:trPr>
      <w:tc>
        <w:tcPr>
          <w:tcW w:w="4927" w:type="dxa"/>
          <w:vAlign w:val="center"/>
        </w:tcPr>
        <w:p w:rsidR="00AB75B8" w:rsidRPr="00A91411" w:rsidRDefault="00AB75B8" w:rsidP="00927553">
          <w:pPr>
            <w:pStyle w:val="Footer"/>
            <w:rPr>
              <w:rFonts w:ascii="Arial" w:hAnsi="Arial" w:cs="Arial"/>
              <w:sz w:val="14"/>
              <w:szCs w:val="14"/>
            </w:rPr>
          </w:pPr>
          <w:r>
            <w:rPr>
              <w:rFonts w:ascii="Arial" w:hAnsi="Arial" w:cs="Arial"/>
              <w:sz w:val="14"/>
              <w:szCs w:val="14"/>
            </w:rPr>
            <w:t xml:space="preserve">ATA </w:t>
          </w:r>
          <w:r w:rsidRPr="00A91411">
            <w:rPr>
              <w:rFonts w:ascii="Arial" w:hAnsi="Arial" w:cs="Arial"/>
              <w:sz w:val="14"/>
              <w:szCs w:val="14"/>
            </w:rPr>
            <w:t xml:space="preserve">Submission </w:t>
          </w:r>
          <w:r>
            <w:rPr>
              <w:rFonts w:ascii="Arial" w:hAnsi="Arial" w:cs="Arial"/>
              <w:sz w:val="14"/>
              <w:szCs w:val="14"/>
            </w:rPr>
            <w:t>:NTC Heavy Vehicle Charges Review: Discussion Paper</w:t>
          </w:r>
        </w:p>
      </w:tc>
      <w:tc>
        <w:tcPr>
          <w:tcW w:w="4927" w:type="dxa"/>
          <w:vAlign w:val="center"/>
        </w:tcPr>
        <w:p w:rsidR="00AB75B8" w:rsidRPr="00A91411" w:rsidRDefault="00AB75B8" w:rsidP="00D735FF">
          <w:pPr>
            <w:pStyle w:val="Footer"/>
            <w:jc w:val="right"/>
            <w:rPr>
              <w:rFonts w:ascii="Arial" w:hAnsi="Arial" w:cs="Arial"/>
              <w:sz w:val="14"/>
              <w:szCs w:val="14"/>
            </w:rPr>
          </w:pPr>
          <w:r w:rsidRPr="00A91411">
            <w:rPr>
              <w:rFonts w:ascii="Arial" w:hAnsi="Arial" w:cs="Arial"/>
              <w:sz w:val="14"/>
              <w:szCs w:val="14"/>
            </w:rPr>
            <w:t xml:space="preserve">Page </w:t>
          </w:r>
          <w:r w:rsidR="00FF3F1D"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FF3F1D" w:rsidRPr="00A91411">
            <w:rPr>
              <w:rFonts w:ascii="Arial" w:hAnsi="Arial" w:cs="Arial"/>
              <w:sz w:val="14"/>
              <w:szCs w:val="14"/>
            </w:rPr>
            <w:fldChar w:fldCharType="separate"/>
          </w:r>
          <w:r w:rsidR="00D93A62">
            <w:rPr>
              <w:rFonts w:ascii="Arial" w:hAnsi="Arial" w:cs="Arial"/>
              <w:noProof/>
              <w:sz w:val="14"/>
              <w:szCs w:val="14"/>
            </w:rPr>
            <w:t>15</w:t>
          </w:r>
          <w:r w:rsidR="00FF3F1D" w:rsidRPr="00A91411">
            <w:rPr>
              <w:rFonts w:ascii="Arial" w:hAnsi="Arial" w:cs="Arial"/>
              <w:sz w:val="14"/>
              <w:szCs w:val="14"/>
            </w:rPr>
            <w:fldChar w:fldCharType="end"/>
          </w:r>
        </w:p>
      </w:tc>
    </w:tr>
  </w:tbl>
  <w:p w:rsidR="00AB75B8" w:rsidRPr="00A91411" w:rsidRDefault="00AB75B8">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Default="00AB7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18" w:rsidRDefault="00E96A18" w:rsidP="000F3D9F">
      <w:r>
        <w:separator/>
      </w:r>
    </w:p>
  </w:footnote>
  <w:footnote w:type="continuationSeparator" w:id="0">
    <w:p w:rsidR="00E96A18" w:rsidRDefault="00E96A18" w:rsidP="000F3D9F">
      <w:r>
        <w:continuationSeparator/>
      </w:r>
    </w:p>
  </w:footnote>
  <w:footnote w:id="1">
    <w:p w:rsidR="00AB75B8" w:rsidRPr="004F6CE4" w:rsidRDefault="00AB75B8" w:rsidP="008A5590">
      <w:pPr>
        <w:pStyle w:val="Heading1"/>
        <w:numPr>
          <w:ilvl w:val="0"/>
          <w:numId w:val="0"/>
        </w:numPr>
        <w:pBdr>
          <w:bottom w:val="single" w:sz="4" w:space="0" w:color="CCCCCC"/>
        </w:pBdr>
        <w:shd w:val="clear" w:color="auto" w:fill="FFFFFF"/>
        <w:spacing w:before="240" w:line="263" w:lineRule="atLeast"/>
        <w:ind w:right="160"/>
        <w:rPr>
          <w:b w:val="0"/>
          <w:color w:val="auto"/>
          <w:sz w:val="16"/>
          <w:szCs w:val="16"/>
          <w:highlight w:val="white"/>
          <w:lang w:eastAsia="en-AU"/>
        </w:rPr>
      </w:pPr>
      <w:r w:rsidRPr="004F6CE4">
        <w:rPr>
          <w:b w:val="0"/>
          <w:color w:val="auto"/>
          <w:sz w:val="16"/>
          <w:szCs w:val="16"/>
          <w:highlight w:val="white"/>
          <w:lang w:eastAsia="en-AU"/>
        </w:rPr>
        <w:footnoteRef/>
      </w:r>
      <w:r w:rsidRPr="004F6CE4">
        <w:rPr>
          <w:b w:val="0"/>
          <w:color w:val="auto"/>
          <w:sz w:val="16"/>
          <w:szCs w:val="16"/>
          <w:highlight w:val="white"/>
          <w:lang w:eastAsia="en-AU"/>
        </w:rPr>
        <w:t xml:space="preserve"> See ATA submission: Assessment of Actual Heavy Vehicle Registration Population Data against the NTC PayGo Model, 2011, for further details</w:t>
      </w:r>
    </w:p>
    <w:p w:rsidR="00AB75B8" w:rsidRPr="008A5590" w:rsidRDefault="00AB75B8">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Pr="00E8056B" w:rsidRDefault="00AB75B8"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AB75B8" w:rsidRDefault="00AB7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Default="00AB75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Pr="0062031D" w:rsidRDefault="00AB75B8"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AB75B8" w:rsidRPr="0062031D" w:rsidRDefault="00AB75B8" w:rsidP="0062031D">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B8" w:rsidRDefault="00AB7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5889"/>
    <w:multiLevelType w:val="hybridMultilevel"/>
    <w:tmpl w:val="8D66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6AB91A83"/>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num w:numId="1">
    <w:abstractNumId w:val="2"/>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num>
  <w:num w:numId="14">
    <w:abstractNumId w:val="1"/>
  </w:num>
  <w:num w:numId="15">
    <w:abstractNumId w:val="1"/>
  </w:num>
  <w:num w:numId="16">
    <w:abstractNumId w:val="2"/>
  </w:num>
  <w:num w:numId="17">
    <w:abstractNumId w:val="2"/>
  </w:num>
  <w:num w:numId="18">
    <w:abstractNumId w:val="1"/>
  </w:num>
  <w:num w:numId="19">
    <w:abstractNumId w:val="2"/>
  </w:num>
  <w:num w:numId="20">
    <w:abstractNumId w:val="1"/>
  </w:num>
  <w:num w:numId="21">
    <w:abstractNumId w:val="2"/>
  </w:num>
  <w:num w:numId="22">
    <w:abstractNumId w:val="1"/>
  </w:num>
  <w:num w:numId="23">
    <w:abstractNumId w:val="1"/>
  </w:num>
  <w:num w:numId="24">
    <w:abstractNumId w:val="1"/>
  </w:num>
  <w:num w:numId="25">
    <w:abstractNumId w:val="2"/>
  </w:num>
  <w:num w:numId="26">
    <w:abstractNumId w:val="1"/>
  </w:num>
  <w:num w:numId="27">
    <w:abstractNumId w:val="1"/>
  </w:num>
  <w:num w:numId="28">
    <w:abstractNumId w:val="1"/>
  </w:num>
  <w:num w:numId="29">
    <w:abstractNumId w:val="1"/>
  </w:num>
  <w:num w:numId="30">
    <w:abstractNumId w:val="1"/>
  </w:num>
  <w:num w:numId="31">
    <w:abstractNumId w:val="1"/>
  </w:num>
  <w:num w:numId="32">
    <w:abstractNumId w:val="2"/>
  </w:num>
  <w:num w:numId="33">
    <w:abstractNumId w:val="1"/>
  </w:num>
  <w:num w:numId="34">
    <w:abstractNumId w:val="1"/>
  </w:num>
  <w:num w:numId="35">
    <w:abstractNumId w:val="0"/>
  </w:num>
  <w:num w:numId="36">
    <w:abstractNumId w:val="2"/>
  </w:num>
  <w:num w:numId="37">
    <w:abstractNumId w:val="1"/>
  </w:num>
  <w:num w:numId="3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C1627A"/>
    <w:rsid w:val="0000159D"/>
    <w:rsid w:val="00004DB4"/>
    <w:rsid w:val="00005E0D"/>
    <w:rsid w:val="000118F7"/>
    <w:rsid w:val="00011D52"/>
    <w:rsid w:val="00014B23"/>
    <w:rsid w:val="000156D1"/>
    <w:rsid w:val="00023B28"/>
    <w:rsid w:val="00025C3E"/>
    <w:rsid w:val="00035CFC"/>
    <w:rsid w:val="0004076B"/>
    <w:rsid w:val="00040876"/>
    <w:rsid w:val="00040D17"/>
    <w:rsid w:val="00040D26"/>
    <w:rsid w:val="0004192B"/>
    <w:rsid w:val="00043430"/>
    <w:rsid w:val="00043AF0"/>
    <w:rsid w:val="00044533"/>
    <w:rsid w:val="00046042"/>
    <w:rsid w:val="00050881"/>
    <w:rsid w:val="00052E9C"/>
    <w:rsid w:val="00056848"/>
    <w:rsid w:val="000614BF"/>
    <w:rsid w:val="0006283B"/>
    <w:rsid w:val="0007542B"/>
    <w:rsid w:val="00075E7B"/>
    <w:rsid w:val="00076C90"/>
    <w:rsid w:val="00083C15"/>
    <w:rsid w:val="000848A1"/>
    <w:rsid w:val="000868C6"/>
    <w:rsid w:val="000875E7"/>
    <w:rsid w:val="00095C3B"/>
    <w:rsid w:val="000963BE"/>
    <w:rsid w:val="000A102A"/>
    <w:rsid w:val="000A151F"/>
    <w:rsid w:val="000A2BCF"/>
    <w:rsid w:val="000A3F4E"/>
    <w:rsid w:val="000A4EB0"/>
    <w:rsid w:val="000A62F7"/>
    <w:rsid w:val="000B069A"/>
    <w:rsid w:val="000B351D"/>
    <w:rsid w:val="000B4161"/>
    <w:rsid w:val="000B4942"/>
    <w:rsid w:val="000B6D2A"/>
    <w:rsid w:val="000B773A"/>
    <w:rsid w:val="000B7D23"/>
    <w:rsid w:val="000C01AC"/>
    <w:rsid w:val="000C0C35"/>
    <w:rsid w:val="000C15B7"/>
    <w:rsid w:val="000C30F1"/>
    <w:rsid w:val="000C310A"/>
    <w:rsid w:val="000C58B5"/>
    <w:rsid w:val="000C594D"/>
    <w:rsid w:val="000D0FE5"/>
    <w:rsid w:val="000D274C"/>
    <w:rsid w:val="000D528B"/>
    <w:rsid w:val="000D6381"/>
    <w:rsid w:val="000D6454"/>
    <w:rsid w:val="000E408F"/>
    <w:rsid w:val="000E67CA"/>
    <w:rsid w:val="000E7B14"/>
    <w:rsid w:val="000F080E"/>
    <w:rsid w:val="000F0F7B"/>
    <w:rsid w:val="000F30FF"/>
    <w:rsid w:val="000F349D"/>
    <w:rsid w:val="000F3D9F"/>
    <w:rsid w:val="000F53C2"/>
    <w:rsid w:val="000F566E"/>
    <w:rsid w:val="000F7F6F"/>
    <w:rsid w:val="00100ED4"/>
    <w:rsid w:val="001016E8"/>
    <w:rsid w:val="001019C0"/>
    <w:rsid w:val="00101EAF"/>
    <w:rsid w:val="001025C9"/>
    <w:rsid w:val="00110610"/>
    <w:rsid w:val="001202C1"/>
    <w:rsid w:val="00121418"/>
    <w:rsid w:val="00121A53"/>
    <w:rsid w:val="00121A86"/>
    <w:rsid w:val="00125795"/>
    <w:rsid w:val="0013041A"/>
    <w:rsid w:val="00134A9F"/>
    <w:rsid w:val="001368EB"/>
    <w:rsid w:val="0013765E"/>
    <w:rsid w:val="00141274"/>
    <w:rsid w:val="0014437E"/>
    <w:rsid w:val="00145022"/>
    <w:rsid w:val="001463C2"/>
    <w:rsid w:val="0014683D"/>
    <w:rsid w:val="001475F7"/>
    <w:rsid w:val="00150065"/>
    <w:rsid w:val="0015168F"/>
    <w:rsid w:val="00151950"/>
    <w:rsid w:val="00151F88"/>
    <w:rsid w:val="00152A71"/>
    <w:rsid w:val="001533EC"/>
    <w:rsid w:val="00153D10"/>
    <w:rsid w:val="001555C9"/>
    <w:rsid w:val="00155B97"/>
    <w:rsid w:val="00156060"/>
    <w:rsid w:val="00160FE3"/>
    <w:rsid w:val="001611AB"/>
    <w:rsid w:val="00164A4D"/>
    <w:rsid w:val="00165C3E"/>
    <w:rsid w:val="00170107"/>
    <w:rsid w:val="00170FC2"/>
    <w:rsid w:val="001727E8"/>
    <w:rsid w:val="001811B8"/>
    <w:rsid w:val="0018136A"/>
    <w:rsid w:val="001817F5"/>
    <w:rsid w:val="00183923"/>
    <w:rsid w:val="00184A28"/>
    <w:rsid w:val="001943BE"/>
    <w:rsid w:val="0019542E"/>
    <w:rsid w:val="001A024F"/>
    <w:rsid w:val="001A0DC3"/>
    <w:rsid w:val="001A33CC"/>
    <w:rsid w:val="001A5FE2"/>
    <w:rsid w:val="001A6510"/>
    <w:rsid w:val="001A7BF4"/>
    <w:rsid w:val="001B3E52"/>
    <w:rsid w:val="001B46F6"/>
    <w:rsid w:val="001B5564"/>
    <w:rsid w:val="001B6B29"/>
    <w:rsid w:val="001B7B44"/>
    <w:rsid w:val="001C121B"/>
    <w:rsid w:val="001C125D"/>
    <w:rsid w:val="001C13A5"/>
    <w:rsid w:val="001C150C"/>
    <w:rsid w:val="001C3659"/>
    <w:rsid w:val="001C52FE"/>
    <w:rsid w:val="001D038B"/>
    <w:rsid w:val="001D15A1"/>
    <w:rsid w:val="001D1836"/>
    <w:rsid w:val="001D50C7"/>
    <w:rsid w:val="001D77A8"/>
    <w:rsid w:val="001D7817"/>
    <w:rsid w:val="001E0A75"/>
    <w:rsid w:val="001E1665"/>
    <w:rsid w:val="001E232E"/>
    <w:rsid w:val="001E3126"/>
    <w:rsid w:val="001F024C"/>
    <w:rsid w:val="001F187C"/>
    <w:rsid w:val="001F2FD4"/>
    <w:rsid w:val="001F32AB"/>
    <w:rsid w:val="001F5A9B"/>
    <w:rsid w:val="001F5BCB"/>
    <w:rsid w:val="001F5CDF"/>
    <w:rsid w:val="00202A6B"/>
    <w:rsid w:val="002041FF"/>
    <w:rsid w:val="0020791B"/>
    <w:rsid w:val="0021180A"/>
    <w:rsid w:val="00212465"/>
    <w:rsid w:val="00212936"/>
    <w:rsid w:val="00213C59"/>
    <w:rsid w:val="002158C8"/>
    <w:rsid w:val="00216CE6"/>
    <w:rsid w:val="00225056"/>
    <w:rsid w:val="00230DFC"/>
    <w:rsid w:val="002317DA"/>
    <w:rsid w:val="002327F8"/>
    <w:rsid w:val="00240467"/>
    <w:rsid w:val="00241C15"/>
    <w:rsid w:val="00243126"/>
    <w:rsid w:val="00244543"/>
    <w:rsid w:val="002502E0"/>
    <w:rsid w:val="002502EF"/>
    <w:rsid w:val="00250E06"/>
    <w:rsid w:val="00252BD7"/>
    <w:rsid w:val="0025356A"/>
    <w:rsid w:val="00253E0B"/>
    <w:rsid w:val="002543DF"/>
    <w:rsid w:val="00262C0A"/>
    <w:rsid w:val="0026620C"/>
    <w:rsid w:val="00266915"/>
    <w:rsid w:val="00267830"/>
    <w:rsid w:val="00273325"/>
    <w:rsid w:val="002742EF"/>
    <w:rsid w:val="00274BA8"/>
    <w:rsid w:val="00277F32"/>
    <w:rsid w:val="002819AA"/>
    <w:rsid w:val="00281EFE"/>
    <w:rsid w:val="00286DB5"/>
    <w:rsid w:val="002875B7"/>
    <w:rsid w:val="0029330A"/>
    <w:rsid w:val="00294E3C"/>
    <w:rsid w:val="00296633"/>
    <w:rsid w:val="002A00F5"/>
    <w:rsid w:val="002A010F"/>
    <w:rsid w:val="002A237B"/>
    <w:rsid w:val="002A43F0"/>
    <w:rsid w:val="002A455A"/>
    <w:rsid w:val="002A4859"/>
    <w:rsid w:val="002B1F61"/>
    <w:rsid w:val="002B2136"/>
    <w:rsid w:val="002B381D"/>
    <w:rsid w:val="002B3AEF"/>
    <w:rsid w:val="002B5D65"/>
    <w:rsid w:val="002B618E"/>
    <w:rsid w:val="002B6CC2"/>
    <w:rsid w:val="002C0C38"/>
    <w:rsid w:val="002C1799"/>
    <w:rsid w:val="002C6E2E"/>
    <w:rsid w:val="002C7D3E"/>
    <w:rsid w:val="002C7FF6"/>
    <w:rsid w:val="002D592D"/>
    <w:rsid w:val="002D5D45"/>
    <w:rsid w:val="002D7FDB"/>
    <w:rsid w:val="002E06E3"/>
    <w:rsid w:val="002E453E"/>
    <w:rsid w:val="002E4E20"/>
    <w:rsid w:val="002E5D82"/>
    <w:rsid w:val="002E782F"/>
    <w:rsid w:val="002E7897"/>
    <w:rsid w:val="002E7F28"/>
    <w:rsid w:val="002F0EBE"/>
    <w:rsid w:val="002F2F65"/>
    <w:rsid w:val="002F42BE"/>
    <w:rsid w:val="002F6212"/>
    <w:rsid w:val="002F632C"/>
    <w:rsid w:val="003016C4"/>
    <w:rsid w:val="00303296"/>
    <w:rsid w:val="00306FBF"/>
    <w:rsid w:val="00307AF8"/>
    <w:rsid w:val="0031301A"/>
    <w:rsid w:val="003168CE"/>
    <w:rsid w:val="00320AFE"/>
    <w:rsid w:val="00320F07"/>
    <w:rsid w:val="00321A43"/>
    <w:rsid w:val="0032308F"/>
    <w:rsid w:val="00325A6C"/>
    <w:rsid w:val="00333BA6"/>
    <w:rsid w:val="003340FB"/>
    <w:rsid w:val="00334926"/>
    <w:rsid w:val="00336760"/>
    <w:rsid w:val="00341FEC"/>
    <w:rsid w:val="00342826"/>
    <w:rsid w:val="0034321B"/>
    <w:rsid w:val="00352490"/>
    <w:rsid w:val="003533CA"/>
    <w:rsid w:val="00354394"/>
    <w:rsid w:val="0035493A"/>
    <w:rsid w:val="00360759"/>
    <w:rsid w:val="00372153"/>
    <w:rsid w:val="00374216"/>
    <w:rsid w:val="00380E64"/>
    <w:rsid w:val="00384772"/>
    <w:rsid w:val="00387729"/>
    <w:rsid w:val="0039063B"/>
    <w:rsid w:val="003911E4"/>
    <w:rsid w:val="003958D9"/>
    <w:rsid w:val="003A19A5"/>
    <w:rsid w:val="003A2034"/>
    <w:rsid w:val="003A269C"/>
    <w:rsid w:val="003A447E"/>
    <w:rsid w:val="003A6A3B"/>
    <w:rsid w:val="003B0AAE"/>
    <w:rsid w:val="003B0E35"/>
    <w:rsid w:val="003B1937"/>
    <w:rsid w:val="003B6150"/>
    <w:rsid w:val="003B660D"/>
    <w:rsid w:val="003B74E4"/>
    <w:rsid w:val="003C03EB"/>
    <w:rsid w:val="003C0A77"/>
    <w:rsid w:val="003C2311"/>
    <w:rsid w:val="003D4283"/>
    <w:rsid w:val="003D6219"/>
    <w:rsid w:val="003D6FA8"/>
    <w:rsid w:val="003E022B"/>
    <w:rsid w:val="003E269D"/>
    <w:rsid w:val="003E2B20"/>
    <w:rsid w:val="003F1027"/>
    <w:rsid w:val="003F6CA9"/>
    <w:rsid w:val="004008C7"/>
    <w:rsid w:val="004011BA"/>
    <w:rsid w:val="00403823"/>
    <w:rsid w:val="00403AB5"/>
    <w:rsid w:val="00404731"/>
    <w:rsid w:val="004053D4"/>
    <w:rsid w:val="004115B6"/>
    <w:rsid w:val="00413868"/>
    <w:rsid w:val="00413F6B"/>
    <w:rsid w:val="00415126"/>
    <w:rsid w:val="004164B0"/>
    <w:rsid w:val="00417A6F"/>
    <w:rsid w:val="004205EF"/>
    <w:rsid w:val="00421306"/>
    <w:rsid w:val="00422328"/>
    <w:rsid w:val="00422BB7"/>
    <w:rsid w:val="00423CCC"/>
    <w:rsid w:val="00424D3E"/>
    <w:rsid w:val="0042557B"/>
    <w:rsid w:val="004318DC"/>
    <w:rsid w:val="004353C2"/>
    <w:rsid w:val="00436DF5"/>
    <w:rsid w:val="00440231"/>
    <w:rsid w:val="00440F44"/>
    <w:rsid w:val="004456CC"/>
    <w:rsid w:val="00445CDC"/>
    <w:rsid w:val="00450702"/>
    <w:rsid w:val="00450FF8"/>
    <w:rsid w:val="004533ED"/>
    <w:rsid w:val="004552A2"/>
    <w:rsid w:val="00456D91"/>
    <w:rsid w:val="00461C8E"/>
    <w:rsid w:val="004640D1"/>
    <w:rsid w:val="0046717F"/>
    <w:rsid w:val="0047036B"/>
    <w:rsid w:val="00470721"/>
    <w:rsid w:val="00470B99"/>
    <w:rsid w:val="00472115"/>
    <w:rsid w:val="00475C39"/>
    <w:rsid w:val="004803E5"/>
    <w:rsid w:val="00482A22"/>
    <w:rsid w:val="00484068"/>
    <w:rsid w:val="00486626"/>
    <w:rsid w:val="00487F0F"/>
    <w:rsid w:val="0049414B"/>
    <w:rsid w:val="004977DE"/>
    <w:rsid w:val="004A2F6F"/>
    <w:rsid w:val="004B10F5"/>
    <w:rsid w:val="004B26EB"/>
    <w:rsid w:val="004B48AF"/>
    <w:rsid w:val="004B50BC"/>
    <w:rsid w:val="004B6187"/>
    <w:rsid w:val="004B7FFA"/>
    <w:rsid w:val="004C0182"/>
    <w:rsid w:val="004C21BB"/>
    <w:rsid w:val="004C2EB3"/>
    <w:rsid w:val="004C3CC3"/>
    <w:rsid w:val="004C4418"/>
    <w:rsid w:val="004C625A"/>
    <w:rsid w:val="004C64D9"/>
    <w:rsid w:val="004C697F"/>
    <w:rsid w:val="004D43D2"/>
    <w:rsid w:val="004D652E"/>
    <w:rsid w:val="004E0529"/>
    <w:rsid w:val="004E0CAD"/>
    <w:rsid w:val="004E1EBB"/>
    <w:rsid w:val="004E3959"/>
    <w:rsid w:val="004E5EA3"/>
    <w:rsid w:val="004E7F7D"/>
    <w:rsid w:val="004F0DFD"/>
    <w:rsid w:val="004F112A"/>
    <w:rsid w:val="004F1B89"/>
    <w:rsid w:val="004F3B07"/>
    <w:rsid w:val="004F42DC"/>
    <w:rsid w:val="004F6CE4"/>
    <w:rsid w:val="0050428E"/>
    <w:rsid w:val="00510952"/>
    <w:rsid w:val="00512224"/>
    <w:rsid w:val="005223FD"/>
    <w:rsid w:val="00525303"/>
    <w:rsid w:val="00527304"/>
    <w:rsid w:val="0053137B"/>
    <w:rsid w:val="00532BFB"/>
    <w:rsid w:val="005365E0"/>
    <w:rsid w:val="00542479"/>
    <w:rsid w:val="00544362"/>
    <w:rsid w:val="00547CA9"/>
    <w:rsid w:val="00550256"/>
    <w:rsid w:val="00557D15"/>
    <w:rsid w:val="00560034"/>
    <w:rsid w:val="00560171"/>
    <w:rsid w:val="00560BE3"/>
    <w:rsid w:val="0056179B"/>
    <w:rsid w:val="0056448B"/>
    <w:rsid w:val="00565F92"/>
    <w:rsid w:val="00571E75"/>
    <w:rsid w:val="00573408"/>
    <w:rsid w:val="00573E0F"/>
    <w:rsid w:val="00576ED0"/>
    <w:rsid w:val="00576F0D"/>
    <w:rsid w:val="00580BDF"/>
    <w:rsid w:val="00583EC7"/>
    <w:rsid w:val="00586C72"/>
    <w:rsid w:val="00587C8F"/>
    <w:rsid w:val="00593217"/>
    <w:rsid w:val="0059367E"/>
    <w:rsid w:val="005959F9"/>
    <w:rsid w:val="005A0D15"/>
    <w:rsid w:val="005A18D7"/>
    <w:rsid w:val="005A2A86"/>
    <w:rsid w:val="005A4466"/>
    <w:rsid w:val="005A540F"/>
    <w:rsid w:val="005A6891"/>
    <w:rsid w:val="005B3729"/>
    <w:rsid w:val="005B5ADE"/>
    <w:rsid w:val="005C154E"/>
    <w:rsid w:val="005C31A0"/>
    <w:rsid w:val="005C35BE"/>
    <w:rsid w:val="005C4952"/>
    <w:rsid w:val="005C63F7"/>
    <w:rsid w:val="005C74C9"/>
    <w:rsid w:val="005D0EE2"/>
    <w:rsid w:val="005D2355"/>
    <w:rsid w:val="005D2565"/>
    <w:rsid w:val="005D6CD2"/>
    <w:rsid w:val="005D6E23"/>
    <w:rsid w:val="005E11FC"/>
    <w:rsid w:val="005E16F9"/>
    <w:rsid w:val="005E28FB"/>
    <w:rsid w:val="005E5130"/>
    <w:rsid w:val="005E6294"/>
    <w:rsid w:val="005E6D8B"/>
    <w:rsid w:val="005F1009"/>
    <w:rsid w:val="005F1298"/>
    <w:rsid w:val="005F21D1"/>
    <w:rsid w:val="005F5ACC"/>
    <w:rsid w:val="005F6288"/>
    <w:rsid w:val="005F69CC"/>
    <w:rsid w:val="005F76B2"/>
    <w:rsid w:val="00605DDD"/>
    <w:rsid w:val="00605E06"/>
    <w:rsid w:val="00607663"/>
    <w:rsid w:val="006104D6"/>
    <w:rsid w:val="006109E9"/>
    <w:rsid w:val="00610CFE"/>
    <w:rsid w:val="00613278"/>
    <w:rsid w:val="00617B32"/>
    <w:rsid w:val="0062031D"/>
    <w:rsid w:val="006231E7"/>
    <w:rsid w:val="0062389F"/>
    <w:rsid w:val="006244DA"/>
    <w:rsid w:val="0062473C"/>
    <w:rsid w:val="00634850"/>
    <w:rsid w:val="00635D66"/>
    <w:rsid w:val="00640940"/>
    <w:rsid w:val="00640AF8"/>
    <w:rsid w:val="00640DAD"/>
    <w:rsid w:val="00640F10"/>
    <w:rsid w:val="0064190A"/>
    <w:rsid w:val="00642DBA"/>
    <w:rsid w:val="00650891"/>
    <w:rsid w:val="00662536"/>
    <w:rsid w:val="006663BD"/>
    <w:rsid w:val="00670210"/>
    <w:rsid w:val="006724CC"/>
    <w:rsid w:val="00674463"/>
    <w:rsid w:val="00683D7C"/>
    <w:rsid w:val="006859F7"/>
    <w:rsid w:val="0069019B"/>
    <w:rsid w:val="00693363"/>
    <w:rsid w:val="00693D92"/>
    <w:rsid w:val="0069518F"/>
    <w:rsid w:val="00696A94"/>
    <w:rsid w:val="00697A4F"/>
    <w:rsid w:val="006A386A"/>
    <w:rsid w:val="006A41AF"/>
    <w:rsid w:val="006A5E3E"/>
    <w:rsid w:val="006A797E"/>
    <w:rsid w:val="006B4380"/>
    <w:rsid w:val="006B7D84"/>
    <w:rsid w:val="006C1B88"/>
    <w:rsid w:val="006C38AD"/>
    <w:rsid w:val="006C6B74"/>
    <w:rsid w:val="006D09EF"/>
    <w:rsid w:val="006D4B39"/>
    <w:rsid w:val="006D4D41"/>
    <w:rsid w:val="006E35F7"/>
    <w:rsid w:val="006E6527"/>
    <w:rsid w:val="006F050F"/>
    <w:rsid w:val="006F2940"/>
    <w:rsid w:val="006F2CC8"/>
    <w:rsid w:val="006F3537"/>
    <w:rsid w:val="006F3F1B"/>
    <w:rsid w:val="006F513F"/>
    <w:rsid w:val="007005CD"/>
    <w:rsid w:val="00703EBF"/>
    <w:rsid w:val="007055B2"/>
    <w:rsid w:val="00712ED5"/>
    <w:rsid w:val="007162A5"/>
    <w:rsid w:val="0071762D"/>
    <w:rsid w:val="00725BC0"/>
    <w:rsid w:val="00726797"/>
    <w:rsid w:val="00726CB4"/>
    <w:rsid w:val="00733700"/>
    <w:rsid w:val="007360B9"/>
    <w:rsid w:val="00740005"/>
    <w:rsid w:val="0074020C"/>
    <w:rsid w:val="00740DF8"/>
    <w:rsid w:val="007471C7"/>
    <w:rsid w:val="00750F7C"/>
    <w:rsid w:val="00753381"/>
    <w:rsid w:val="0075427A"/>
    <w:rsid w:val="0076304F"/>
    <w:rsid w:val="00764BCB"/>
    <w:rsid w:val="00773899"/>
    <w:rsid w:val="00784B86"/>
    <w:rsid w:val="00791216"/>
    <w:rsid w:val="00792CEB"/>
    <w:rsid w:val="00797654"/>
    <w:rsid w:val="007A3E56"/>
    <w:rsid w:val="007A5771"/>
    <w:rsid w:val="007A69C1"/>
    <w:rsid w:val="007B2559"/>
    <w:rsid w:val="007B3B54"/>
    <w:rsid w:val="007B3BE2"/>
    <w:rsid w:val="007B5566"/>
    <w:rsid w:val="007B6A76"/>
    <w:rsid w:val="007B711A"/>
    <w:rsid w:val="007C3F49"/>
    <w:rsid w:val="007C434F"/>
    <w:rsid w:val="007C5B64"/>
    <w:rsid w:val="007C65D4"/>
    <w:rsid w:val="007C6F7F"/>
    <w:rsid w:val="007D0647"/>
    <w:rsid w:val="007D0E21"/>
    <w:rsid w:val="007D532E"/>
    <w:rsid w:val="007D608A"/>
    <w:rsid w:val="007D7069"/>
    <w:rsid w:val="007E257F"/>
    <w:rsid w:val="007E68E9"/>
    <w:rsid w:val="007F4404"/>
    <w:rsid w:val="007F44BE"/>
    <w:rsid w:val="007F4C48"/>
    <w:rsid w:val="00802108"/>
    <w:rsid w:val="008021B1"/>
    <w:rsid w:val="00802A51"/>
    <w:rsid w:val="00802CA7"/>
    <w:rsid w:val="00804BE3"/>
    <w:rsid w:val="00806377"/>
    <w:rsid w:val="00806EFF"/>
    <w:rsid w:val="0082056F"/>
    <w:rsid w:val="00821537"/>
    <w:rsid w:val="00825C08"/>
    <w:rsid w:val="00826A1C"/>
    <w:rsid w:val="0083058C"/>
    <w:rsid w:val="0083363C"/>
    <w:rsid w:val="008344FF"/>
    <w:rsid w:val="00834ACA"/>
    <w:rsid w:val="00834B1C"/>
    <w:rsid w:val="00835DE7"/>
    <w:rsid w:val="00836304"/>
    <w:rsid w:val="0083631A"/>
    <w:rsid w:val="00840E08"/>
    <w:rsid w:val="0084540A"/>
    <w:rsid w:val="00846097"/>
    <w:rsid w:val="008474A2"/>
    <w:rsid w:val="00850F11"/>
    <w:rsid w:val="00852A83"/>
    <w:rsid w:val="00852CAE"/>
    <w:rsid w:val="00853473"/>
    <w:rsid w:val="00853E1F"/>
    <w:rsid w:val="00854D3E"/>
    <w:rsid w:val="00854F65"/>
    <w:rsid w:val="00861D20"/>
    <w:rsid w:val="00865F30"/>
    <w:rsid w:val="00872E19"/>
    <w:rsid w:val="00874AAE"/>
    <w:rsid w:val="00875BF1"/>
    <w:rsid w:val="00875E89"/>
    <w:rsid w:val="00877FD8"/>
    <w:rsid w:val="00881A97"/>
    <w:rsid w:val="00884504"/>
    <w:rsid w:val="00885F8A"/>
    <w:rsid w:val="00890346"/>
    <w:rsid w:val="00891979"/>
    <w:rsid w:val="0089433D"/>
    <w:rsid w:val="008A2027"/>
    <w:rsid w:val="008A2CD6"/>
    <w:rsid w:val="008A343E"/>
    <w:rsid w:val="008A5088"/>
    <w:rsid w:val="008A5590"/>
    <w:rsid w:val="008A58A6"/>
    <w:rsid w:val="008A61F2"/>
    <w:rsid w:val="008A7C6F"/>
    <w:rsid w:val="008B0D6E"/>
    <w:rsid w:val="008B0EEF"/>
    <w:rsid w:val="008B20CD"/>
    <w:rsid w:val="008B4328"/>
    <w:rsid w:val="008B4B63"/>
    <w:rsid w:val="008B72CA"/>
    <w:rsid w:val="008B7312"/>
    <w:rsid w:val="008B7F9F"/>
    <w:rsid w:val="008C1818"/>
    <w:rsid w:val="008C1A63"/>
    <w:rsid w:val="008C3057"/>
    <w:rsid w:val="008C38B7"/>
    <w:rsid w:val="008C3EF1"/>
    <w:rsid w:val="008D5426"/>
    <w:rsid w:val="008E1721"/>
    <w:rsid w:val="008E3865"/>
    <w:rsid w:val="008E3CD2"/>
    <w:rsid w:val="008E3D9E"/>
    <w:rsid w:val="008E55FF"/>
    <w:rsid w:val="008F11A3"/>
    <w:rsid w:val="008F3744"/>
    <w:rsid w:val="008F7F78"/>
    <w:rsid w:val="0090183B"/>
    <w:rsid w:val="00902544"/>
    <w:rsid w:val="00905A43"/>
    <w:rsid w:val="00905C0A"/>
    <w:rsid w:val="00907060"/>
    <w:rsid w:val="00907274"/>
    <w:rsid w:val="00907971"/>
    <w:rsid w:val="00910C5A"/>
    <w:rsid w:val="009132E3"/>
    <w:rsid w:val="009148AC"/>
    <w:rsid w:val="00914C1D"/>
    <w:rsid w:val="00927553"/>
    <w:rsid w:val="009333F1"/>
    <w:rsid w:val="00934CC8"/>
    <w:rsid w:val="0093720E"/>
    <w:rsid w:val="00937832"/>
    <w:rsid w:val="00940D05"/>
    <w:rsid w:val="00941F1D"/>
    <w:rsid w:val="00943829"/>
    <w:rsid w:val="009441ED"/>
    <w:rsid w:val="00944508"/>
    <w:rsid w:val="00945910"/>
    <w:rsid w:val="0094622B"/>
    <w:rsid w:val="00946E17"/>
    <w:rsid w:val="00955AD3"/>
    <w:rsid w:val="00960FE0"/>
    <w:rsid w:val="00964194"/>
    <w:rsid w:val="00964D25"/>
    <w:rsid w:val="00966A2E"/>
    <w:rsid w:val="00966E35"/>
    <w:rsid w:val="00973AF4"/>
    <w:rsid w:val="0098465E"/>
    <w:rsid w:val="00986804"/>
    <w:rsid w:val="00990F9E"/>
    <w:rsid w:val="00992BD3"/>
    <w:rsid w:val="00993BAE"/>
    <w:rsid w:val="0099546D"/>
    <w:rsid w:val="009960F9"/>
    <w:rsid w:val="0099770C"/>
    <w:rsid w:val="00997A56"/>
    <w:rsid w:val="009A3853"/>
    <w:rsid w:val="009A690F"/>
    <w:rsid w:val="009B029F"/>
    <w:rsid w:val="009B0520"/>
    <w:rsid w:val="009B19FF"/>
    <w:rsid w:val="009B4220"/>
    <w:rsid w:val="009B785D"/>
    <w:rsid w:val="009C2A3C"/>
    <w:rsid w:val="009C3D48"/>
    <w:rsid w:val="009C4CAC"/>
    <w:rsid w:val="009C5B73"/>
    <w:rsid w:val="009C5B87"/>
    <w:rsid w:val="009C5CA8"/>
    <w:rsid w:val="009D07EF"/>
    <w:rsid w:val="009D23E9"/>
    <w:rsid w:val="009D2BC0"/>
    <w:rsid w:val="009D2F28"/>
    <w:rsid w:val="009D327F"/>
    <w:rsid w:val="009D3731"/>
    <w:rsid w:val="009D56D7"/>
    <w:rsid w:val="009D7F5D"/>
    <w:rsid w:val="009E41D3"/>
    <w:rsid w:val="009E5E25"/>
    <w:rsid w:val="009E77F2"/>
    <w:rsid w:val="009F2FF9"/>
    <w:rsid w:val="009F3DF5"/>
    <w:rsid w:val="00A0156A"/>
    <w:rsid w:val="00A02972"/>
    <w:rsid w:val="00A0493F"/>
    <w:rsid w:val="00A05C28"/>
    <w:rsid w:val="00A06C96"/>
    <w:rsid w:val="00A072AE"/>
    <w:rsid w:val="00A10889"/>
    <w:rsid w:val="00A109D4"/>
    <w:rsid w:val="00A12126"/>
    <w:rsid w:val="00A12D70"/>
    <w:rsid w:val="00A1430A"/>
    <w:rsid w:val="00A21B50"/>
    <w:rsid w:val="00A2215A"/>
    <w:rsid w:val="00A2275D"/>
    <w:rsid w:val="00A22F48"/>
    <w:rsid w:val="00A25AFB"/>
    <w:rsid w:val="00A300E2"/>
    <w:rsid w:val="00A31C8A"/>
    <w:rsid w:val="00A36B6F"/>
    <w:rsid w:val="00A36C35"/>
    <w:rsid w:val="00A37A93"/>
    <w:rsid w:val="00A438B7"/>
    <w:rsid w:val="00A44995"/>
    <w:rsid w:val="00A44D65"/>
    <w:rsid w:val="00A45F83"/>
    <w:rsid w:val="00A463BE"/>
    <w:rsid w:val="00A51C30"/>
    <w:rsid w:val="00A5361C"/>
    <w:rsid w:val="00A54248"/>
    <w:rsid w:val="00A5704A"/>
    <w:rsid w:val="00A57D2F"/>
    <w:rsid w:val="00A61231"/>
    <w:rsid w:val="00A6297F"/>
    <w:rsid w:val="00A65515"/>
    <w:rsid w:val="00A71876"/>
    <w:rsid w:val="00A76D9B"/>
    <w:rsid w:val="00A832A0"/>
    <w:rsid w:val="00A87317"/>
    <w:rsid w:val="00A91411"/>
    <w:rsid w:val="00A94647"/>
    <w:rsid w:val="00A960F1"/>
    <w:rsid w:val="00AA0612"/>
    <w:rsid w:val="00AA2D57"/>
    <w:rsid w:val="00AA3F14"/>
    <w:rsid w:val="00AA3F39"/>
    <w:rsid w:val="00AA6325"/>
    <w:rsid w:val="00AB29C7"/>
    <w:rsid w:val="00AB538B"/>
    <w:rsid w:val="00AB6D11"/>
    <w:rsid w:val="00AB75B8"/>
    <w:rsid w:val="00AC2FD9"/>
    <w:rsid w:val="00AC72F0"/>
    <w:rsid w:val="00AD0E7C"/>
    <w:rsid w:val="00AD29E4"/>
    <w:rsid w:val="00AD32D0"/>
    <w:rsid w:val="00AD3A50"/>
    <w:rsid w:val="00AD51CE"/>
    <w:rsid w:val="00AD735D"/>
    <w:rsid w:val="00AD7650"/>
    <w:rsid w:val="00AE51CF"/>
    <w:rsid w:val="00AE565F"/>
    <w:rsid w:val="00AE7959"/>
    <w:rsid w:val="00AF327F"/>
    <w:rsid w:val="00AF76B9"/>
    <w:rsid w:val="00B005E5"/>
    <w:rsid w:val="00B01724"/>
    <w:rsid w:val="00B04623"/>
    <w:rsid w:val="00B05F83"/>
    <w:rsid w:val="00B07BC7"/>
    <w:rsid w:val="00B107DE"/>
    <w:rsid w:val="00B11307"/>
    <w:rsid w:val="00B1368B"/>
    <w:rsid w:val="00B13B6B"/>
    <w:rsid w:val="00B15CA5"/>
    <w:rsid w:val="00B221AD"/>
    <w:rsid w:val="00B27371"/>
    <w:rsid w:val="00B30162"/>
    <w:rsid w:val="00B31461"/>
    <w:rsid w:val="00B31649"/>
    <w:rsid w:val="00B37B7F"/>
    <w:rsid w:val="00B43E2A"/>
    <w:rsid w:val="00B44D4B"/>
    <w:rsid w:val="00B4550A"/>
    <w:rsid w:val="00B50C38"/>
    <w:rsid w:val="00B53589"/>
    <w:rsid w:val="00B55023"/>
    <w:rsid w:val="00B55488"/>
    <w:rsid w:val="00B556AC"/>
    <w:rsid w:val="00B56443"/>
    <w:rsid w:val="00B615F9"/>
    <w:rsid w:val="00B63232"/>
    <w:rsid w:val="00B632B4"/>
    <w:rsid w:val="00B636DC"/>
    <w:rsid w:val="00B64B1F"/>
    <w:rsid w:val="00B668E7"/>
    <w:rsid w:val="00B72075"/>
    <w:rsid w:val="00B73CD8"/>
    <w:rsid w:val="00B749C9"/>
    <w:rsid w:val="00B751A7"/>
    <w:rsid w:val="00B75AB6"/>
    <w:rsid w:val="00B81FCB"/>
    <w:rsid w:val="00B867DD"/>
    <w:rsid w:val="00B90EA0"/>
    <w:rsid w:val="00B914D3"/>
    <w:rsid w:val="00B9375A"/>
    <w:rsid w:val="00B96747"/>
    <w:rsid w:val="00BA0CE8"/>
    <w:rsid w:val="00BA19BE"/>
    <w:rsid w:val="00BB1D59"/>
    <w:rsid w:val="00BB4E99"/>
    <w:rsid w:val="00BC0B49"/>
    <w:rsid w:val="00BC63F3"/>
    <w:rsid w:val="00BD2E15"/>
    <w:rsid w:val="00BD751C"/>
    <w:rsid w:val="00BE46AC"/>
    <w:rsid w:val="00BE639D"/>
    <w:rsid w:val="00BF44C4"/>
    <w:rsid w:val="00BF5C66"/>
    <w:rsid w:val="00BF6BE2"/>
    <w:rsid w:val="00C02F16"/>
    <w:rsid w:val="00C04619"/>
    <w:rsid w:val="00C05A4F"/>
    <w:rsid w:val="00C05E5B"/>
    <w:rsid w:val="00C061E3"/>
    <w:rsid w:val="00C119C2"/>
    <w:rsid w:val="00C122D5"/>
    <w:rsid w:val="00C12B1C"/>
    <w:rsid w:val="00C14967"/>
    <w:rsid w:val="00C1627A"/>
    <w:rsid w:val="00C22F4C"/>
    <w:rsid w:val="00C23789"/>
    <w:rsid w:val="00C23DBC"/>
    <w:rsid w:val="00C26866"/>
    <w:rsid w:val="00C26E47"/>
    <w:rsid w:val="00C2750C"/>
    <w:rsid w:val="00C3083F"/>
    <w:rsid w:val="00C33404"/>
    <w:rsid w:val="00C34A8C"/>
    <w:rsid w:val="00C41927"/>
    <w:rsid w:val="00C42CE4"/>
    <w:rsid w:val="00C43BDE"/>
    <w:rsid w:val="00C446BD"/>
    <w:rsid w:val="00C502B8"/>
    <w:rsid w:val="00C53EDB"/>
    <w:rsid w:val="00C62334"/>
    <w:rsid w:val="00C676E5"/>
    <w:rsid w:val="00C7079D"/>
    <w:rsid w:val="00C71638"/>
    <w:rsid w:val="00C71A96"/>
    <w:rsid w:val="00C7374A"/>
    <w:rsid w:val="00C81D29"/>
    <w:rsid w:val="00C86566"/>
    <w:rsid w:val="00C917EB"/>
    <w:rsid w:val="00C926AD"/>
    <w:rsid w:val="00C92CFB"/>
    <w:rsid w:val="00C93193"/>
    <w:rsid w:val="00C97FF4"/>
    <w:rsid w:val="00CA0ADF"/>
    <w:rsid w:val="00CA3A14"/>
    <w:rsid w:val="00CA5938"/>
    <w:rsid w:val="00CA5EBF"/>
    <w:rsid w:val="00CA6C07"/>
    <w:rsid w:val="00CB027B"/>
    <w:rsid w:val="00CB04F8"/>
    <w:rsid w:val="00CB642F"/>
    <w:rsid w:val="00CB7F0D"/>
    <w:rsid w:val="00CC1DF7"/>
    <w:rsid w:val="00CC28C6"/>
    <w:rsid w:val="00CC4808"/>
    <w:rsid w:val="00CC4C0C"/>
    <w:rsid w:val="00CD1B6F"/>
    <w:rsid w:val="00CD30AA"/>
    <w:rsid w:val="00CD3D90"/>
    <w:rsid w:val="00CD4A55"/>
    <w:rsid w:val="00CD56F8"/>
    <w:rsid w:val="00CD5923"/>
    <w:rsid w:val="00CD67E1"/>
    <w:rsid w:val="00CE0D2C"/>
    <w:rsid w:val="00CE0EFD"/>
    <w:rsid w:val="00CE1B8A"/>
    <w:rsid w:val="00CE4936"/>
    <w:rsid w:val="00CE5A65"/>
    <w:rsid w:val="00CE5BE1"/>
    <w:rsid w:val="00CF0867"/>
    <w:rsid w:val="00CF32F4"/>
    <w:rsid w:val="00CF34A0"/>
    <w:rsid w:val="00CF3600"/>
    <w:rsid w:val="00CF65B7"/>
    <w:rsid w:val="00D003B0"/>
    <w:rsid w:val="00D03610"/>
    <w:rsid w:val="00D06F27"/>
    <w:rsid w:val="00D07271"/>
    <w:rsid w:val="00D104D6"/>
    <w:rsid w:val="00D14EC0"/>
    <w:rsid w:val="00D15807"/>
    <w:rsid w:val="00D17563"/>
    <w:rsid w:val="00D24520"/>
    <w:rsid w:val="00D262EA"/>
    <w:rsid w:val="00D31595"/>
    <w:rsid w:val="00D31DFE"/>
    <w:rsid w:val="00D378A3"/>
    <w:rsid w:val="00D404A8"/>
    <w:rsid w:val="00D40AAD"/>
    <w:rsid w:val="00D40DEC"/>
    <w:rsid w:val="00D4403D"/>
    <w:rsid w:val="00D4526A"/>
    <w:rsid w:val="00D454E8"/>
    <w:rsid w:val="00D47ACC"/>
    <w:rsid w:val="00D51066"/>
    <w:rsid w:val="00D51FE7"/>
    <w:rsid w:val="00D52F32"/>
    <w:rsid w:val="00D53831"/>
    <w:rsid w:val="00D60807"/>
    <w:rsid w:val="00D61332"/>
    <w:rsid w:val="00D62292"/>
    <w:rsid w:val="00D64D1F"/>
    <w:rsid w:val="00D66519"/>
    <w:rsid w:val="00D7160E"/>
    <w:rsid w:val="00D72CE4"/>
    <w:rsid w:val="00D73280"/>
    <w:rsid w:val="00D735FF"/>
    <w:rsid w:val="00D73A3C"/>
    <w:rsid w:val="00D74FF1"/>
    <w:rsid w:val="00D82E72"/>
    <w:rsid w:val="00D903A6"/>
    <w:rsid w:val="00D9098B"/>
    <w:rsid w:val="00D91BC7"/>
    <w:rsid w:val="00D9288B"/>
    <w:rsid w:val="00D938F7"/>
    <w:rsid w:val="00D93A62"/>
    <w:rsid w:val="00D953AA"/>
    <w:rsid w:val="00D961B4"/>
    <w:rsid w:val="00DA0765"/>
    <w:rsid w:val="00DA3060"/>
    <w:rsid w:val="00DA6F20"/>
    <w:rsid w:val="00DB17ED"/>
    <w:rsid w:val="00DB33D5"/>
    <w:rsid w:val="00DB5B5B"/>
    <w:rsid w:val="00DC2D7A"/>
    <w:rsid w:val="00DD14E1"/>
    <w:rsid w:val="00DE0959"/>
    <w:rsid w:val="00DE1245"/>
    <w:rsid w:val="00DE3A75"/>
    <w:rsid w:val="00DF0E82"/>
    <w:rsid w:val="00DF53D7"/>
    <w:rsid w:val="00DF54C2"/>
    <w:rsid w:val="00DF5787"/>
    <w:rsid w:val="00E019D5"/>
    <w:rsid w:val="00E02771"/>
    <w:rsid w:val="00E02DF9"/>
    <w:rsid w:val="00E03E14"/>
    <w:rsid w:val="00E06474"/>
    <w:rsid w:val="00E10948"/>
    <w:rsid w:val="00E138B2"/>
    <w:rsid w:val="00E13A95"/>
    <w:rsid w:val="00E1446D"/>
    <w:rsid w:val="00E14F64"/>
    <w:rsid w:val="00E15FD6"/>
    <w:rsid w:val="00E1630A"/>
    <w:rsid w:val="00E16787"/>
    <w:rsid w:val="00E16AED"/>
    <w:rsid w:val="00E205B3"/>
    <w:rsid w:val="00E22DA3"/>
    <w:rsid w:val="00E23208"/>
    <w:rsid w:val="00E24A15"/>
    <w:rsid w:val="00E24F4E"/>
    <w:rsid w:val="00E275CC"/>
    <w:rsid w:val="00E3023E"/>
    <w:rsid w:val="00E338FA"/>
    <w:rsid w:val="00E33CB2"/>
    <w:rsid w:val="00E34B78"/>
    <w:rsid w:val="00E42723"/>
    <w:rsid w:val="00E46F71"/>
    <w:rsid w:val="00E47019"/>
    <w:rsid w:val="00E50A44"/>
    <w:rsid w:val="00E51FE7"/>
    <w:rsid w:val="00E52C7E"/>
    <w:rsid w:val="00E53AD3"/>
    <w:rsid w:val="00E56A2C"/>
    <w:rsid w:val="00E62220"/>
    <w:rsid w:val="00E6281F"/>
    <w:rsid w:val="00E710BE"/>
    <w:rsid w:val="00E7585E"/>
    <w:rsid w:val="00E760B6"/>
    <w:rsid w:val="00E7692F"/>
    <w:rsid w:val="00E8056B"/>
    <w:rsid w:val="00E8228A"/>
    <w:rsid w:val="00E8626D"/>
    <w:rsid w:val="00E95091"/>
    <w:rsid w:val="00E96A18"/>
    <w:rsid w:val="00E96AA4"/>
    <w:rsid w:val="00EA1831"/>
    <w:rsid w:val="00EA2204"/>
    <w:rsid w:val="00EA2746"/>
    <w:rsid w:val="00EA3251"/>
    <w:rsid w:val="00EB0C47"/>
    <w:rsid w:val="00EB0E80"/>
    <w:rsid w:val="00EB39FF"/>
    <w:rsid w:val="00EB52D8"/>
    <w:rsid w:val="00EC3571"/>
    <w:rsid w:val="00EC6498"/>
    <w:rsid w:val="00EC7FDA"/>
    <w:rsid w:val="00ED06E4"/>
    <w:rsid w:val="00ED0B80"/>
    <w:rsid w:val="00ED1DB0"/>
    <w:rsid w:val="00ED2995"/>
    <w:rsid w:val="00ED41E0"/>
    <w:rsid w:val="00ED582F"/>
    <w:rsid w:val="00ED6831"/>
    <w:rsid w:val="00EE07EE"/>
    <w:rsid w:val="00EE1242"/>
    <w:rsid w:val="00EE4129"/>
    <w:rsid w:val="00EE4228"/>
    <w:rsid w:val="00EF6EED"/>
    <w:rsid w:val="00F00BBD"/>
    <w:rsid w:val="00F019AA"/>
    <w:rsid w:val="00F050A9"/>
    <w:rsid w:val="00F0610C"/>
    <w:rsid w:val="00F06E9C"/>
    <w:rsid w:val="00F105BF"/>
    <w:rsid w:val="00F16C2D"/>
    <w:rsid w:val="00F17E6F"/>
    <w:rsid w:val="00F17EC7"/>
    <w:rsid w:val="00F20633"/>
    <w:rsid w:val="00F21CE8"/>
    <w:rsid w:val="00F23F7C"/>
    <w:rsid w:val="00F24101"/>
    <w:rsid w:val="00F26132"/>
    <w:rsid w:val="00F26CFA"/>
    <w:rsid w:val="00F26D5F"/>
    <w:rsid w:val="00F32BD9"/>
    <w:rsid w:val="00F33008"/>
    <w:rsid w:val="00F37828"/>
    <w:rsid w:val="00F475EC"/>
    <w:rsid w:val="00F506FD"/>
    <w:rsid w:val="00F51B8C"/>
    <w:rsid w:val="00F52310"/>
    <w:rsid w:val="00F56935"/>
    <w:rsid w:val="00F637DB"/>
    <w:rsid w:val="00F662E2"/>
    <w:rsid w:val="00F66A3C"/>
    <w:rsid w:val="00F70859"/>
    <w:rsid w:val="00F729E0"/>
    <w:rsid w:val="00F748B9"/>
    <w:rsid w:val="00F74A6D"/>
    <w:rsid w:val="00F769BB"/>
    <w:rsid w:val="00F80E00"/>
    <w:rsid w:val="00F839CF"/>
    <w:rsid w:val="00F83C66"/>
    <w:rsid w:val="00F83E5B"/>
    <w:rsid w:val="00F85530"/>
    <w:rsid w:val="00F91F03"/>
    <w:rsid w:val="00F9546E"/>
    <w:rsid w:val="00F971D6"/>
    <w:rsid w:val="00F973F0"/>
    <w:rsid w:val="00FA1E1F"/>
    <w:rsid w:val="00FA26A5"/>
    <w:rsid w:val="00FA4F10"/>
    <w:rsid w:val="00FB2CC5"/>
    <w:rsid w:val="00FB3029"/>
    <w:rsid w:val="00FB3E18"/>
    <w:rsid w:val="00FB5163"/>
    <w:rsid w:val="00FC1688"/>
    <w:rsid w:val="00FC3859"/>
    <w:rsid w:val="00FC561A"/>
    <w:rsid w:val="00FD1B33"/>
    <w:rsid w:val="00FD2E25"/>
    <w:rsid w:val="00FD4C85"/>
    <w:rsid w:val="00FD681D"/>
    <w:rsid w:val="00FF114D"/>
    <w:rsid w:val="00FF3F1D"/>
    <w:rsid w:val="00FF4F15"/>
    <w:rsid w:val="00FF5EBB"/>
    <w:rsid w:val="00FF6962"/>
    <w:rsid w:val="00FF6A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5960-A6A9-428A-99F4-A9791BC6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4</cp:revision>
  <cp:lastPrinted>2013-04-09T22:44:00Z</cp:lastPrinted>
  <dcterms:created xsi:type="dcterms:W3CDTF">2013-04-10T23:16:00Z</dcterms:created>
  <dcterms:modified xsi:type="dcterms:W3CDTF">2013-04-10T23:24:00Z</dcterms:modified>
</cp:coreProperties>
</file>