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9" w:type="dxa"/>
        <w:tblLook w:val="04A0" w:firstRow="1" w:lastRow="0" w:firstColumn="1" w:lastColumn="0" w:noHBand="0" w:noVBand="1"/>
      </w:tblPr>
      <w:tblGrid>
        <w:gridCol w:w="3011"/>
        <w:gridCol w:w="7218"/>
      </w:tblGrid>
      <w:tr w:rsidR="00D735FF" w:rsidRPr="007A4A11" w14:paraId="02028184" w14:textId="77777777" w:rsidTr="00611D83">
        <w:trPr>
          <w:trHeight w:val="811"/>
        </w:trPr>
        <w:tc>
          <w:tcPr>
            <w:tcW w:w="3011" w:type="dxa"/>
            <w:vAlign w:val="center"/>
          </w:tcPr>
          <w:p w14:paraId="2313A701" w14:textId="77777777" w:rsidR="00D735FF" w:rsidRPr="007A4A11" w:rsidRDefault="00D735FF" w:rsidP="001F3FD2">
            <w:pPr>
              <w:pStyle w:val="Header"/>
              <w:rPr>
                <w:rFonts w:asciiTheme="minorHAnsi" w:hAnsiTheme="minorHAnsi" w:cs="Arial"/>
                <w:b/>
                <w:sz w:val="32"/>
              </w:rPr>
            </w:pPr>
            <w:r w:rsidRPr="007A4A11">
              <w:rPr>
                <w:rFonts w:asciiTheme="minorHAnsi" w:hAnsiTheme="minorHAnsi" w:cs="Arial"/>
                <w:b/>
                <w:sz w:val="32"/>
              </w:rPr>
              <w:t>Submission to:</w:t>
            </w:r>
          </w:p>
        </w:tc>
        <w:tc>
          <w:tcPr>
            <w:tcW w:w="7218" w:type="dxa"/>
            <w:vAlign w:val="center"/>
          </w:tcPr>
          <w:p w14:paraId="43FAA7C1" w14:textId="77777777" w:rsidR="00D735FF" w:rsidRPr="007A4A11" w:rsidRDefault="00CE73BB" w:rsidP="001F3FD2">
            <w:pPr>
              <w:pStyle w:val="Header"/>
              <w:rPr>
                <w:rFonts w:asciiTheme="minorHAnsi" w:hAnsiTheme="minorHAnsi" w:cs="Arial"/>
                <w:sz w:val="32"/>
              </w:rPr>
            </w:pPr>
            <w:r w:rsidRPr="007A4A11">
              <w:rPr>
                <w:rFonts w:asciiTheme="minorHAnsi" w:hAnsiTheme="minorHAnsi" w:cs="Arial"/>
                <w:sz w:val="32"/>
              </w:rPr>
              <w:t>Department of Industry</w:t>
            </w:r>
          </w:p>
        </w:tc>
      </w:tr>
      <w:tr w:rsidR="00D735FF" w:rsidRPr="007A4A11" w14:paraId="2A75642F" w14:textId="77777777" w:rsidTr="00611D83">
        <w:trPr>
          <w:trHeight w:val="811"/>
        </w:trPr>
        <w:tc>
          <w:tcPr>
            <w:tcW w:w="3011" w:type="dxa"/>
            <w:vAlign w:val="center"/>
          </w:tcPr>
          <w:p w14:paraId="352F55BC" w14:textId="77777777" w:rsidR="00D735FF" w:rsidRPr="007A4A11" w:rsidRDefault="00D735FF" w:rsidP="001F3FD2">
            <w:pPr>
              <w:pStyle w:val="Header"/>
              <w:rPr>
                <w:rFonts w:asciiTheme="minorHAnsi" w:hAnsiTheme="minorHAnsi" w:cs="Arial"/>
                <w:b/>
                <w:sz w:val="32"/>
              </w:rPr>
            </w:pPr>
            <w:r w:rsidRPr="007A4A11">
              <w:rPr>
                <w:rFonts w:asciiTheme="minorHAnsi" w:hAnsiTheme="minorHAnsi" w:cs="Arial"/>
                <w:b/>
                <w:sz w:val="32"/>
              </w:rPr>
              <w:t>Title:</w:t>
            </w:r>
          </w:p>
        </w:tc>
        <w:tc>
          <w:tcPr>
            <w:tcW w:w="7218" w:type="dxa"/>
            <w:vAlign w:val="center"/>
          </w:tcPr>
          <w:p w14:paraId="73F8CA4A" w14:textId="77777777" w:rsidR="00D735FF" w:rsidRPr="007A4A11" w:rsidRDefault="00CE73BB" w:rsidP="001F3FD2">
            <w:pPr>
              <w:pStyle w:val="Header"/>
              <w:rPr>
                <w:rFonts w:asciiTheme="minorHAnsi" w:hAnsiTheme="minorHAnsi" w:cs="Arial"/>
                <w:sz w:val="32"/>
              </w:rPr>
            </w:pPr>
            <w:r w:rsidRPr="007A4A11">
              <w:rPr>
                <w:rFonts w:asciiTheme="minorHAnsi" w:hAnsiTheme="minorHAnsi" w:cs="Arial"/>
                <w:sz w:val="32"/>
              </w:rPr>
              <w:t>Energy Green Paper</w:t>
            </w:r>
          </w:p>
        </w:tc>
      </w:tr>
      <w:tr w:rsidR="00D735FF" w:rsidRPr="007A4A11" w14:paraId="2E08609C" w14:textId="77777777" w:rsidTr="00611D83">
        <w:trPr>
          <w:trHeight w:val="811"/>
        </w:trPr>
        <w:tc>
          <w:tcPr>
            <w:tcW w:w="3011" w:type="dxa"/>
            <w:vAlign w:val="center"/>
          </w:tcPr>
          <w:p w14:paraId="749116BE" w14:textId="77777777" w:rsidR="00D735FF" w:rsidRPr="007A4A11" w:rsidRDefault="00D735FF" w:rsidP="001F3FD2">
            <w:pPr>
              <w:pStyle w:val="Header"/>
              <w:rPr>
                <w:rFonts w:asciiTheme="minorHAnsi" w:hAnsiTheme="minorHAnsi" w:cs="Arial"/>
                <w:b/>
                <w:sz w:val="32"/>
              </w:rPr>
            </w:pPr>
            <w:r w:rsidRPr="007A4A11">
              <w:rPr>
                <w:rFonts w:asciiTheme="minorHAnsi" w:hAnsiTheme="minorHAnsi" w:cs="Arial"/>
                <w:b/>
                <w:sz w:val="32"/>
              </w:rPr>
              <w:t>Date:</w:t>
            </w:r>
          </w:p>
        </w:tc>
        <w:tc>
          <w:tcPr>
            <w:tcW w:w="7218" w:type="dxa"/>
            <w:vAlign w:val="center"/>
          </w:tcPr>
          <w:p w14:paraId="7D2275A6" w14:textId="3F51ED4E" w:rsidR="00D735FF" w:rsidRPr="007A4A11" w:rsidRDefault="009B7ECB" w:rsidP="001F3FD2">
            <w:pPr>
              <w:pStyle w:val="Header"/>
              <w:rPr>
                <w:rFonts w:asciiTheme="minorHAnsi" w:hAnsiTheme="minorHAnsi" w:cs="Arial"/>
                <w:sz w:val="32"/>
              </w:rPr>
            </w:pPr>
            <w:r>
              <w:rPr>
                <w:rFonts w:asciiTheme="minorHAnsi" w:hAnsiTheme="minorHAnsi" w:cs="Arial"/>
                <w:sz w:val="32"/>
              </w:rPr>
              <w:t>5</w:t>
            </w:r>
            <w:r w:rsidR="00CE73BB" w:rsidRPr="007A4A11">
              <w:rPr>
                <w:rFonts w:asciiTheme="minorHAnsi" w:hAnsiTheme="minorHAnsi" w:cs="Arial"/>
                <w:sz w:val="32"/>
              </w:rPr>
              <w:t xml:space="preserve"> November</w:t>
            </w:r>
            <w:r w:rsidR="0023390D" w:rsidRPr="007A4A11">
              <w:rPr>
                <w:rFonts w:asciiTheme="minorHAnsi" w:hAnsiTheme="minorHAnsi" w:cs="Arial"/>
                <w:sz w:val="32"/>
              </w:rPr>
              <w:t xml:space="preserve"> 2014</w:t>
            </w:r>
          </w:p>
        </w:tc>
      </w:tr>
    </w:tbl>
    <w:p w14:paraId="126F0B87" w14:textId="77777777" w:rsidR="00D735FF" w:rsidRPr="007A4A11" w:rsidRDefault="00D735FF" w:rsidP="001F3FD2">
      <w:pPr>
        <w:pStyle w:val="Header"/>
        <w:rPr>
          <w:rFonts w:asciiTheme="minorHAnsi" w:hAnsiTheme="minorHAnsi" w:cs="Arial"/>
          <w:sz w:val="32"/>
        </w:rPr>
      </w:pPr>
    </w:p>
    <w:p w14:paraId="4919FF20" w14:textId="77777777" w:rsidR="00D735FF" w:rsidRPr="007A4A11" w:rsidRDefault="00D735FF" w:rsidP="001F3FD2">
      <w:pPr>
        <w:pStyle w:val="Header"/>
        <w:rPr>
          <w:rFonts w:asciiTheme="minorHAnsi" w:hAnsiTheme="minorHAnsi" w:cs="Arial"/>
          <w:sz w:val="32"/>
        </w:rPr>
      </w:pPr>
    </w:p>
    <w:p w14:paraId="055D5A9A" w14:textId="77777777" w:rsidR="00576ED0" w:rsidRPr="007A4A11" w:rsidRDefault="00576ED0" w:rsidP="001F3FD2">
      <w:pPr>
        <w:pStyle w:val="Header"/>
        <w:rPr>
          <w:rFonts w:asciiTheme="minorHAnsi" w:hAnsiTheme="minorHAnsi" w:cs="Arial"/>
          <w:sz w:val="32"/>
        </w:rPr>
      </w:pPr>
    </w:p>
    <w:p w14:paraId="69696F9A" w14:textId="77777777" w:rsidR="00576ED0" w:rsidRPr="007A4A11" w:rsidRDefault="00576ED0" w:rsidP="001F3FD2">
      <w:pPr>
        <w:rPr>
          <w:rFonts w:asciiTheme="minorHAnsi" w:hAnsiTheme="minorHAnsi" w:cs="Arial"/>
          <w:lang w:val="en-GB"/>
        </w:rPr>
        <w:sectPr w:rsidR="00576ED0" w:rsidRPr="007A4A11"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14:paraId="0CEB66DA" w14:textId="77777777" w:rsidR="00576ED0" w:rsidRPr="007A4A11" w:rsidRDefault="00576ED0" w:rsidP="001F3FD2">
      <w:pPr>
        <w:rPr>
          <w:rFonts w:asciiTheme="minorHAnsi" w:hAnsiTheme="minorHAnsi" w:cs="Arial"/>
        </w:rPr>
      </w:pPr>
    </w:p>
    <w:p w14:paraId="3DD56EFF" w14:textId="77777777" w:rsidR="0035493A" w:rsidRPr="007A4A11" w:rsidRDefault="0035493A" w:rsidP="001F3FD2">
      <w:pPr>
        <w:rPr>
          <w:rFonts w:asciiTheme="minorHAnsi" w:hAnsiTheme="minorHAnsi" w:cs="Arial"/>
        </w:rPr>
      </w:pPr>
    </w:p>
    <w:p w14:paraId="400FF026" w14:textId="77777777" w:rsidR="0035493A" w:rsidRPr="007A4A11" w:rsidRDefault="0035493A" w:rsidP="001F3FD2">
      <w:pPr>
        <w:rPr>
          <w:rFonts w:asciiTheme="minorHAnsi" w:hAnsiTheme="minorHAnsi" w:cs="Arial"/>
        </w:rPr>
      </w:pPr>
    </w:p>
    <w:p w14:paraId="3E7CAE88" w14:textId="77777777" w:rsidR="0035493A" w:rsidRPr="007A4A11" w:rsidRDefault="0035493A" w:rsidP="001F3FD2">
      <w:pPr>
        <w:rPr>
          <w:rFonts w:asciiTheme="minorHAnsi" w:hAnsiTheme="minorHAnsi" w:cs="Arial"/>
        </w:rPr>
      </w:pPr>
    </w:p>
    <w:p w14:paraId="5040713F" w14:textId="77777777" w:rsidR="0035493A" w:rsidRPr="007A4A11" w:rsidRDefault="0035493A" w:rsidP="001F3FD2">
      <w:pPr>
        <w:rPr>
          <w:rFonts w:asciiTheme="minorHAnsi" w:hAnsiTheme="minorHAnsi" w:cs="Arial"/>
        </w:rPr>
      </w:pPr>
    </w:p>
    <w:p w14:paraId="53454F8F" w14:textId="77777777" w:rsidR="0035493A" w:rsidRPr="007A4A11" w:rsidRDefault="003B74E4" w:rsidP="001F3FD2">
      <w:pPr>
        <w:rPr>
          <w:rFonts w:asciiTheme="minorHAnsi" w:hAnsiTheme="minorHAnsi" w:cs="Arial"/>
          <w:b/>
          <w:color w:val="000064"/>
          <w:sz w:val="28"/>
        </w:rPr>
      </w:pPr>
      <w:r w:rsidRPr="007A4A11">
        <w:rPr>
          <w:rFonts w:asciiTheme="minorHAnsi" w:hAnsiTheme="minorHAnsi" w:cs="Arial"/>
          <w:b/>
          <w:color w:val="000064"/>
          <w:sz w:val="28"/>
        </w:rPr>
        <w:t>Contents</w:t>
      </w:r>
    </w:p>
    <w:p w14:paraId="2509FA57" w14:textId="77777777" w:rsidR="00576ED0" w:rsidRPr="007A4A11" w:rsidRDefault="00576ED0" w:rsidP="001F3FD2">
      <w:pPr>
        <w:rPr>
          <w:rFonts w:asciiTheme="minorHAnsi" w:hAnsiTheme="minorHAnsi" w:cs="Arial"/>
        </w:rPr>
      </w:pPr>
    </w:p>
    <w:p w14:paraId="0AD5A9D6" w14:textId="77777777" w:rsidR="009B0520" w:rsidRPr="007A4A11" w:rsidRDefault="009B0520" w:rsidP="001F3FD2">
      <w:pPr>
        <w:rPr>
          <w:rFonts w:asciiTheme="minorHAnsi" w:hAnsiTheme="minorHAnsi" w:cs="Arial"/>
          <w:b/>
        </w:rPr>
      </w:pPr>
    </w:p>
    <w:p w14:paraId="4CDC9338" w14:textId="77777777" w:rsidR="00CE418C" w:rsidRPr="007A4A11" w:rsidRDefault="0004142E">
      <w:pPr>
        <w:pStyle w:val="TOC1"/>
        <w:rPr>
          <w:rFonts w:asciiTheme="minorHAnsi" w:eastAsiaTheme="minorEastAsia" w:hAnsiTheme="minorHAnsi" w:cstheme="minorBidi"/>
          <w:b w:val="0"/>
          <w:color w:val="auto"/>
          <w:sz w:val="24"/>
          <w:szCs w:val="28"/>
          <w:lang w:eastAsia="en-AU"/>
        </w:rPr>
      </w:pPr>
      <w:r w:rsidRPr="007A4A11">
        <w:rPr>
          <w:rFonts w:asciiTheme="minorHAnsi" w:hAnsiTheme="minorHAnsi" w:cs="Arial"/>
          <w:b w:val="0"/>
          <w:sz w:val="24"/>
          <w:szCs w:val="28"/>
        </w:rPr>
        <w:fldChar w:fldCharType="begin"/>
      </w:r>
      <w:r w:rsidR="0035493A" w:rsidRPr="007A4A11">
        <w:rPr>
          <w:rFonts w:asciiTheme="minorHAnsi" w:hAnsiTheme="minorHAnsi" w:cs="Arial"/>
          <w:b w:val="0"/>
          <w:sz w:val="24"/>
          <w:szCs w:val="28"/>
        </w:rPr>
        <w:instrText xml:space="preserve"> TOC \o "1-2" \t "ATA Heading 2,2" </w:instrText>
      </w:r>
      <w:r w:rsidRPr="007A4A11">
        <w:rPr>
          <w:rFonts w:asciiTheme="minorHAnsi" w:hAnsiTheme="minorHAnsi" w:cs="Arial"/>
          <w:b w:val="0"/>
          <w:sz w:val="24"/>
          <w:szCs w:val="28"/>
        </w:rPr>
        <w:fldChar w:fldCharType="separate"/>
      </w:r>
      <w:r w:rsidR="00CE418C" w:rsidRPr="007A4A11">
        <w:rPr>
          <w:rFonts w:asciiTheme="minorHAnsi" w:hAnsiTheme="minorHAnsi"/>
          <w:b w:val="0"/>
          <w:sz w:val="24"/>
          <w:szCs w:val="28"/>
        </w:rPr>
        <w:t>1.</w:t>
      </w:r>
      <w:r w:rsidR="00CE418C" w:rsidRPr="007A4A11">
        <w:rPr>
          <w:rFonts w:asciiTheme="minorHAnsi" w:eastAsiaTheme="minorEastAsia" w:hAnsiTheme="minorHAnsi" w:cstheme="minorBidi"/>
          <w:b w:val="0"/>
          <w:color w:val="auto"/>
          <w:sz w:val="24"/>
          <w:szCs w:val="28"/>
          <w:lang w:eastAsia="en-AU"/>
        </w:rPr>
        <w:tab/>
      </w:r>
      <w:r w:rsidR="00CE418C" w:rsidRPr="007A4A11">
        <w:rPr>
          <w:rFonts w:asciiTheme="minorHAnsi" w:hAnsiTheme="minorHAnsi"/>
          <w:b w:val="0"/>
          <w:sz w:val="24"/>
          <w:szCs w:val="28"/>
        </w:rPr>
        <w:t>Introduction</w:t>
      </w:r>
      <w:r w:rsidR="00CE418C" w:rsidRPr="007A4A11">
        <w:rPr>
          <w:rFonts w:asciiTheme="minorHAnsi" w:hAnsiTheme="minorHAnsi"/>
          <w:b w:val="0"/>
          <w:sz w:val="24"/>
          <w:szCs w:val="28"/>
        </w:rPr>
        <w:tab/>
      </w:r>
      <w:r w:rsidR="00CE418C" w:rsidRPr="007A4A11">
        <w:rPr>
          <w:rFonts w:asciiTheme="minorHAnsi" w:hAnsiTheme="minorHAnsi"/>
          <w:b w:val="0"/>
          <w:sz w:val="24"/>
          <w:szCs w:val="28"/>
        </w:rPr>
        <w:fldChar w:fldCharType="begin"/>
      </w:r>
      <w:r w:rsidR="00CE418C" w:rsidRPr="007A4A11">
        <w:rPr>
          <w:rFonts w:asciiTheme="minorHAnsi" w:hAnsiTheme="minorHAnsi"/>
          <w:b w:val="0"/>
          <w:sz w:val="24"/>
          <w:szCs w:val="28"/>
        </w:rPr>
        <w:instrText xml:space="preserve"> PAGEREF _Toc400704327 \h </w:instrText>
      </w:r>
      <w:r w:rsidR="00CE418C" w:rsidRPr="007A4A11">
        <w:rPr>
          <w:rFonts w:asciiTheme="minorHAnsi" w:hAnsiTheme="minorHAnsi"/>
          <w:b w:val="0"/>
          <w:sz w:val="24"/>
          <w:szCs w:val="28"/>
        </w:rPr>
      </w:r>
      <w:r w:rsidR="00CE418C" w:rsidRPr="007A4A11">
        <w:rPr>
          <w:rFonts w:asciiTheme="minorHAnsi" w:hAnsiTheme="minorHAnsi"/>
          <w:b w:val="0"/>
          <w:sz w:val="24"/>
          <w:szCs w:val="28"/>
        </w:rPr>
        <w:fldChar w:fldCharType="separate"/>
      </w:r>
      <w:r w:rsidR="00FB62BA">
        <w:rPr>
          <w:rFonts w:asciiTheme="minorHAnsi" w:hAnsiTheme="minorHAnsi"/>
          <w:b w:val="0"/>
          <w:sz w:val="24"/>
          <w:szCs w:val="28"/>
        </w:rPr>
        <w:t>3</w:t>
      </w:r>
      <w:r w:rsidR="00CE418C" w:rsidRPr="007A4A11">
        <w:rPr>
          <w:rFonts w:asciiTheme="minorHAnsi" w:hAnsiTheme="minorHAnsi"/>
          <w:b w:val="0"/>
          <w:sz w:val="24"/>
          <w:szCs w:val="28"/>
        </w:rPr>
        <w:fldChar w:fldCharType="end"/>
      </w:r>
    </w:p>
    <w:p w14:paraId="4508A8EE" w14:textId="77777777" w:rsidR="00CE418C" w:rsidRPr="007A4A11" w:rsidRDefault="00CE418C">
      <w:pPr>
        <w:pStyle w:val="TOC1"/>
        <w:rPr>
          <w:rFonts w:asciiTheme="minorHAnsi" w:eastAsiaTheme="minorEastAsia" w:hAnsiTheme="minorHAnsi" w:cstheme="minorBidi"/>
          <w:b w:val="0"/>
          <w:color w:val="auto"/>
          <w:sz w:val="24"/>
          <w:szCs w:val="28"/>
          <w:lang w:eastAsia="en-AU"/>
        </w:rPr>
      </w:pPr>
      <w:r w:rsidRPr="007A4A11">
        <w:rPr>
          <w:rFonts w:asciiTheme="minorHAnsi" w:hAnsiTheme="minorHAnsi"/>
          <w:b w:val="0"/>
          <w:sz w:val="24"/>
          <w:szCs w:val="28"/>
        </w:rPr>
        <w:t>2.</w:t>
      </w:r>
      <w:r w:rsidRPr="007A4A11">
        <w:rPr>
          <w:rFonts w:asciiTheme="minorHAnsi" w:eastAsiaTheme="minorEastAsia" w:hAnsiTheme="minorHAnsi" w:cstheme="minorBidi"/>
          <w:b w:val="0"/>
          <w:color w:val="auto"/>
          <w:sz w:val="24"/>
          <w:szCs w:val="28"/>
          <w:lang w:eastAsia="en-AU"/>
        </w:rPr>
        <w:tab/>
      </w:r>
      <w:r w:rsidRPr="007A4A11">
        <w:rPr>
          <w:rFonts w:asciiTheme="minorHAnsi" w:hAnsiTheme="minorHAnsi"/>
          <w:b w:val="0"/>
          <w:sz w:val="24"/>
          <w:szCs w:val="28"/>
        </w:rPr>
        <w:t>Australian Trucking Association</w:t>
      </w:r>
      <w:r w:rsidRPr="007A4A11">
        <w:rPr>
          <w:rFonts w:asciiTheme="minorHAnsi" w:hAnsiTheme="minorHAnsi"/>
          <w:b w:val="0"/>
          <w:sz w:val="24"/>
          <w:szCs w:val="28"/>
        </w:rPr>
        <w:tab/>
      </w:r>
      <w:r w:rsidRPr="007A4A11">
        <w:rPr>
          <w:rFonts w:asciiTheme="minorHAnsi" w:hAnsiTheme="minorHAnsi"/>
          <w:b w:val="0"/>
          <w:sz w:val="24"/>
          <w:szCs w:val="28"/>
        </w:rPr>
        <w:fldChar w:fldCharType="begin"/>
      </w:r>
      <w:r w:rsidRPr="007A4A11">
        <w:rPr>
          <w:rFonts w:asciiTheme="minorHAnsi" w:hAnsiTheme="minorHAnsi"/>
          <w:b w:val="0"/>
          <w:sz w:val="24"/>
          <w:szCs w:val="28"/>
        </w:rPr>
        <w:instrText xml:space="preserve"> PAGEREF _Toc400704328 \h </w:instrText>
      </w:r>
      <w:r w:rsidRPr="007A4A11">
        <w:rPr>
          <w:rFonts w:asciiTheme="minorHAnsi" w:hAnsiTheme="minorHAnsi"/>
          <w:b w:val="0"/>
          <w:sz w:val="24"/>
          <w:szCs w:val="28"/>
        </w:rPr>
      </w:r>
      <w:r w:rsidRPr="007A4A11">
        <w:rPr>
          <w:rFonts w:asciiTheme="minorHAnsi" w:hAnsiTheme="minorHAnsi"/>
          <w:b w:val="0"/>
          <w:sz w:val="24"/>
          <w:szCs w:val="28"/>
        </w:rPr>
        <w:fldChar w:fldCharType="separate"/>
      </w:r>
      <w:r w:rsidR="00FB62BA">
        <w:rPr>
          <w:rFonts w:asciiTheme="minorHAnsi" w:hAnsiTheme="minorHAnsi"/>
          <w:b w:val="0"/>
          <w:sz w:val="24"/>
          <w:szCs w:val="28"/>
        </w:rPr>
        <w:t>3</w:t>
      </w:r>
      <w:r w:rsidRPr="007A4A11">
        <w:rPr>
          <w:rFonts w:asciiTheme="minorHAnsi" w:hAnsiTheme="minorHAnsi"/>
          <w:b w:val="0"/>
          <w:sz w:val="24"/>
          <w:szCs w:val="28"/>
        </w:rPr>
        <w:fldChar w:fldCharType="end"/>
      </w:r>
    </w:p>
    <w:p w14:paraId="78458747" w14:textId="77777777" w:rsidR="00CE418C" w:rsidRPr="007A4A11" w:rsidRDefault="00CE418C">
      <w:pPr>
        <w:pStyle w:val="TOC1"/>
        <w:rPr>
          <w:rFonts w:asciiTheme="minorHAnsi" w:eastAsiaTheme="minorEastAsia" w:hAnsiTheme="minorHAnsi" w:cstheme="minorBidi"/>
          <w:b w:val="0"/>
          <w:color w:val="auto"/>
          <w:sz w:val="24"/>
          <w:szCs w:val="28"/>
          <w:lang w:eastAsia="en-AU"/>
        </w:rPr>
      </w:pPr>
      <w:r w:rsidRPr="007A4A11">
        <w:rPr>
          <w:rFonts w:asciiTheme="minorHAnsi" w:hAnsiTheme="minorHAnsi"/>
          <w:b w:val="0"/>
          <w:sz w:val="24"/>
          <w:szCs w:val="28"/>
        </w:rPr>
        <w:t>3.</w:t>
      </w:r>
      <w:r w:rsidRPr="007A4A11">
        <w:rPr>
          <w:rFonts w:asciiTheme="minorHAnsi" w:eastAsiaTheme="minorEastAsia" w:hAnsiTheme="minorHAnsi" w:cstheme="minorBidi"/>
          <w:b w:val="0"/>
          <w:color w:val="auto"/>
          <w:sz w:val="24"/>
          <w:szCs w:val="28"/>
          <w:lang w:eastAsia="en-AU"/>
        </w:rPr>
        <w:tab/>
      </w:r>
      <w:r w:rsidRPr="007A4A11">
        <w:rPr>
          <w:rFonts w:asciiTheme="minorHAnsi" w:hAnsiTheme="minorHAnsi"/>
          <w:b w:val="0"/>
          <w:sz w:val="24"/>
          <w:szCs w:val="28"/>
        </w:rPr>
        <w:t>Recommendations</w:t>
      </w:r>
      <w:r w:rsidRPr="007A4A11">
        <w:rPr>
          <w:rFonts w:asciiTheme="minorHAnsi" w:hAnsiTheme="minorHAnsi"/>
          <w:b w:val="0"/>
          <w:sz w:val="24"/>
          <w:szCs w:val="28"/>
        </w:rPr>
        <w:tab/>
      </w:r>
      <w:r w:rsidRPr="007A4A11">
        <w:rPr>
          <w:rFonts w:asciiTheme="minorHAnsi" w:hAnsiTheme="minorHAnsi"/>
          <w:b w:val="0"/>
          <w:sz w:val="24"/>
          <w:szCs w:val="28"/>
        </w:rPr>
        <w:fldChar w:fldCharType="begin"/>
      </w:r>
      <w:r w:rsidRPr="007A4A11">
        <w:rPr>
          <w:rFonts w:asciiTheme="minorHAnsi" w:hAnsiTheme="minorHAnsi"/>
          <w:b w:val="0"/>
          <w:sz w:val="24"/>
          <w:szCs w:val="28"/>
        </w:rPr>
        <w:instrText xml:space="preserve"> PAGEREF _Toc400704329 \h </w:instrText>
      </w:r>
      <w:r w:rsidRPr="007A4A11">
        <w:rPr>
          <w:rFonts w:asciiTheme="minorHAnsi" w:hAnsiTheme="minorHAnsi"/>
          <w:b w:val="0"/>
          <w:sz w:val="24"/>
          <w:szCs w:val="28"/>
        </w:rPr>
      </w:r>
      <w:r w:rsidRPr="007A4A11">
        <w:rPr>
          <w:rFonts w:asciiTheme="minorHAnsi" w:hAnsiTheme="minorHAnsi"/>
          <w:b w:val="0"/>
          <w:sz w:val="24"/>
          <w:szCs w:val="28"/>
        </w:rPr>
        <w:fldChar w:fldCharType="separate"/>
      </w:r>
      <w:r w:rsidR="00FB62BA">
        <w:rPr>
          <w:rFonts w:asciiTheme="minorHAnsi" w:hAnsiTheme="minorHAnsi"/>
          <w:b w:val="0"/>
          <w:sz w:val="24"/>
          <w:szCs w:val="28"/>
        </w:rPr>
        <w:t>4</w:t>
      </w:r>
      <w:r w:rsidRPr="007A4A11">
        <w:rPr>
          <w:rFonts w:asciiTheme="minorHAnsi" w:hAnsiTheme="minorHAnsi"/>
          <w:b w:val="0"/>
          <w:sz w:val="24"/>
          <w:szCs w:val="28"/>
        </w:rPr>
        <w:fldChar w:fldCharType="end"/>
      </w:r>
    </w:p>
    <w:p w14:paraId="1E63A050" w14:textId="77777777" w:rsidR="00CE418C" w:rsidRPr="007A4A11" w:rsidRDefault="00CE418C">
      <w:pPr>
        <w:pStyle w:val="TOC1"/>
        <w:rPr>
          <w:rFonts w:asciiTheme="minorHAnsi" w:eastAsiaTheme="minorEastAsia" w:hAnsiTheme="minorHAnsi" w:cstheme="minorBidi"/>
          <w:b w:val="0"/>
          <w:color w:val="auto"/>
          <w:sz w:val="24"/>
          <w:szCs w:val="28"/>
          <w:lang w:eastAsia="en-AU"/>
        </w:rPr>
      </w:pPr>
      <w:r w:rsidRPr="007A4A11">
        <w:rPr>
          <w:rFonts w:asciiTheme="minorHAnsi" w:hAnsiTheme="minorHAnsi"/>
          <w:b w:val="0"/>
          <w:sz w:val="24"/>
          <w:szCs w:val="28"/>
        </w:rPr>
        <w:t>4.</w:t>
      </w:r>
      <w:r w:rsidRPr="007A4A11">
        <w:rPr>
          <w:rFonts w:asciiTheme="minorHAnsi" w:eastAsiaTheme="minorEastAsia" w:hAnsiTheme="minorHAnsi" w:cstheme="minorBidi"/>
          <w:b w:val="0"/>
          <w:color w:val="auto"/>
          <w:sz w:val="24"/>
          <w:szCs w:val="28"/>
          <w:lang w:eastAsia="en-AU"/>
        </w:rPr>
        <w:tab/>
      </w:r>
      <w:r w:rsidRPr="007A4A11">
        <w:rPr>
          <w:rFonts w:asciiTheme="minorHAnsi" w:hAnsiTheme="minorHAnsi"/>
          <w:b w:val="0"/>
          <w:sz w:val="24"/>
          <w:szCs w:val="28"/>
        </w:rPr>
        <w:t>Fuel Security</w:t>
      </w:r>
      <w:r w:rsidRPr="007A4A11">
        <w:rPr>
          <w:rFonts w:asciiTheme="minorHAnsi" w:hAnsiTheme="minorHAnsi"/>
          <w:b w:val="0"/>
          <w:sz w:val="24"/>
          <w:szCs w:val="28"/>
        </w:rPr>
        <w:tab/>
      </w:r>
      <w:r w:rsidRPr="007A4A11">
        <w:rPr>
          <w:rFonts w:asciiTheme="minorHAnsi" w:hAnsiTheme="minorHAnsi"/>
          <w:b w:val="0"/>
          <w:sz w:val="24"/>
          <w:szCs w:val="28"/>
        </w:rPr>
        <w:fldChar w:fldCharType="begin"/>
      </w:r>
      <w:r w:rsidRPr="007A4A11">
        <w:rPr>
          <w:rFonts w:asciiTheme="minorHAnsi" w:hAnsiTheme="minorHAnsi"/>
          <w:b w:val="0"/>
          <w:sz w:val="24"/>
          <w:szCs w:val="28"/>
        </w:rPr>
        <w:instrText xml:space="preserve"> PAGEREF _Toc400704330 \h </w:instrText>
      </w:r>
      <w:r w:rsidRPr="007A4A11">
        <w:rPr>
          <w:rFonts w:asciiTheme="minorHAnsi" w:hAnsiTheme="minorHAnsi"/>
          <w:b w:val="0"/>
          <w:sz w:val="24"/>
          <w:szCs w:val="28"/>
        </w:rPr>
      </w:r>
      <w:r w:rsidRPr="007A4A11">
        <w:rPr>
          <w:rFonts w:asciiTheme="minorHAnsi" w:hAnsiTheme="minorHAnsi"/>
          <w:b w:val="0"/>
          <w:sz w:val="24"/>
          <w:szCs w:val="28"/>
        </w:rPr>
        <w:fldChar w:fldCharType="separate"/>
      </w:r>
      <w:r w:rsidR="00FB62BA">
        <w:rPr>
          <w:rFonts w:asciiTheme="minorHAnsi" w:hAnsiTheme="minorHAnsi"/>
          <w:b w:val="0"/>
          <w:sz w:val="24"/>
          <w:szCs w:val="28"/>
        </w:rPr>
        <w:t>5</w:t>
      </w:r>
      <w:r w:rsidRPr="007A4A11">
        <w:rPr>
          <w:rFonts w:asciiTheme="minorHAnsi" w:hAnsiTheme="minorHAnsi"/>
          <w:b w:val="0"/>
          <w:sz w:val="24"/>
          <w:szCs w:val="28"/>
        </w:rPr>
        <w:fldChar w:fldCharType="end"/>
      </w:r>
    </w:p>
    <w:p w14:paraId="6F09D7BB" w14:textId="77777777" w:rsidR="00CE418C" w:rsidRPr="007A4A11" w:rsidRDefault="00CE418C">
      <w:pPr>
        <w:pStyle w:val="TOC1"/>
        <w:rPr>
          <w:rFonts w:asciiTheme="minorHAnsi" w:eastAsiaTheme="minorEastAsia" w:hAnsiTheme="minorHAnsi" w:cstheme="minorBidi"/>
          <w:b w:val="0"/>
          <w:color w:val="auto"/>
          <w:sz w:val="24"/>
          <w:szCs w:val="28"/>
          <w:lang w:eastAsia="en-AU"/>
        </w:rPr>
      </w:pPr>
      <w:r w:rsidRPr="007A4A11">
        <w:rPr>
          <w:rFonts w:asciiTheme="minorHAnsi" w:hAnsiTheme="minorHAnsi"/>
          <w:b w:val="0"/>
          <w:sz w:val="24"/>
          <w:szCs w:val="28"/>
        </w:rPr>
        <w:t>5.</w:t>
      </w:r>
      <w:r w:rsidRPr="007A4A11">
        <w:rPr>
          <w:rFonts w:asciiTheme="minorHAnsi" w:eastAsiaTheme="minorEastAsia" w:hAnsiTheme="minorHAnsi" w:cstheme="minorBidi"/>
          <w:b w:val="0"/>
          <w:color w:val="auto"/>
          <w:sz w:val="24"/>
          <w:szCs w:val="28"/>
          <w:lang w:eastAsia="en-AU"/>
        </w:rPr>
        <w:tab/>
      </w:r>
      <w:r w:rsidRPr="007A4A11">
        <w:rPr>
          <w:rFonts w:asciiTheme="minorHAnsi" w:hAnsiTheme="minorHAnsi"/>
          <w:b w:val="0"/>
          <w:sz w:val="24"/>
          <w:szCs w:val="28"/>
        </w:rPr>
        <w:t>Alternative transport fuel</w:t>
      </w:r>
      <w:r w:rsidRPr="007A4A11">
        <w:rPr>
          <w:rFonts w:asciiTheme="minorHAnsi" w:hAnsiTheme="minorHAnsi"/>
          <w:b w:val="0"/>
          <w:sz w:val="24"/>
          <w:szCs w:val="28"/>
        </w:rPr>
        <w:tab/>
      </w:r>
      <w:r w:rsidRPr="007A4A11">
        <w:rPr>
          <w:rFonts w:asciiTheme="minorHAnsi" w:hAnsiTheme="minorHAnsi"/>
          <w:b w:val="0"/>
          <w:sz w:val="24"/>
          <w:szCs w:val="28"/>
        </w:rPr>
        <w:fldChar w:fldCharType="begin"/>
      </w:r>
      <w:r w:rsidRPr="007A4A11">
        <w:rPr>
          <w:rFonts w:asciiTheme="minorHAnsi" w:hAnsiTheme="minorHAnsi"/>
          <w:b w:val="0"/>
          <w:sz w:val="24"/>
          <w:szCs w:val="28"/>
        </w:rPr>
        <w:instrText xml:space="preserve"> PAGEREF _Toc400704331 \h </w:instrText>
      </w:r>
      <w:r w:rsidRPr="007A4A11">
        <w:rPr>
          <w:rFonts w:asciiTheme="minorHAnsi" w:hAnsiTheme="minorHAnsi"/>
          <w:b w:val="0"/>
          <w:sz w:val="24"/>
          <w:szCs w:val="28"/>
        </w:rPr>
      </w:r>
      <w:r w:rsidRPr="007A4A11">
        <w:rPr>
          <w:rFonts w:asciiTheme="minorHAnsi" w:hAnsiTheme="minorHAnsi"/>
          <w:b w:val="0"/>
          <w:sz w:val="24"/>
          <w:szCs w:val="28"/>
        </w:rPr>
        <w:fldChar w:fldCharType="separate"/>
      </w:r>
      <w:r w:rsidR="00FB62BA">
        <w:rPr>
          <w:rFonts w:asciiTheme="minorHAnsi" w:hAnsiTheme="minorHAnsi"/>
          <w:b w:val="0"/>
          <w:sz w:val="24"/>
          <w:szCs w:val="28"/>
        </w:rPr>
        <w:t>10</w:t>
      </w:r>
      <w:r w:rsidRPr="007A4A11">
        <w:rPr>
          <w:rFonts w:asciiTheme="minorHAnsi" w:hAnsiTheme="minorHAnsi"/>
          <w:b w:val="0"/>
          <w:sz w:val="24"/>
          <w:szCs w:val="28"/>
        </w:rPr>
        <w:fldChar w:fldCharType="end"/>
      </w:r>
    </w:p>
    <w:p w14:paraId="67A60363" w14:textId="77777777" w:rsidR="00CE418C" w:rsidRPr="007A4A11" w:rsidRDefault="00CE418C">
      <w:pPr>
        <w:pStyle w:val="TOC1"/>
        <w:rPr>
          <w:rFonts w:asciiTheme="minorHAnsi" w:eastAsiaTheme="minorEastAsia" w:hAnsiTheme="minorHAnsi" w:cstheme="minorBidi"/>
          <w:b w:val="0"/>
          <w:color w:val="auto"/>
          <w:sz w:val="24"/>
          <w:szCs w:val="28"/>
          <w:lang w:eastAsia="en-AU"/>
        </w:rPr>
      </w:pPr>
      <w:r w:rsidRPr="007A4A11">
        <w:rPr>
          <w:rFonts w:asciiTheme="minorHAnsi" w:hAnsiTheme="minorHAnsi"/>
          <w:b w:val="0"/>
          <w:sz w:val="24"/>
          <w:szCs w:val="28"/>
        </w:rPr>
        <w:t>6.</w:t>
      </w:r>
      <w:r w:rsidRPr="007A4A11">
        <w:rPr>
          <w:rFonts w:asciiTheme="minorHAnsi" w:eastAsiaTheme="minorEastAsia" w:hAnsiTheme="minorHAnsi" w:cstheme="minorBidi"/>
          <w:b w:val="0"/>
          <w:color w:val="auto"/>
          <w:sz w:val="24"/>
          <w:szCs w:val="28"/>
          <w:lang w:eastAsia="en-AU"/>
        </w:rPr>
        <w:tab/>
      </w:r>
      <w:r w:rsidRPr="007A4A11">
        <w:rPr>
          <w:rFonts w:asciiTheme="minorHAnsi" w:hAnsiTheme="minorHAnsi"/>
          <w:b w:val="0"/>
          <w:sz w:val="24"/>
          <w:szCs w:val="28"/>
        </w:rPr>
        <w:t>Renewable fuels</w:t>
      </w:r>
      <w:r w:rsidRPr="007A4A11">
        <w:rPr>
          <w:rFonts w:asciiTheme="minorHAnsi" w:hAnsiTheme="minorHAnsi"/>
          <w:b w:val="0"/>
          <w:sz w:val="24"/>
          <w:szCs w:val="28"/>
        </w:rPr>
        <w:tab/>
      </w:r>
      <w:r w:rsidRPr="007A4A11">
        <w:rPr>
          <w:rFonts w:asciiTheme="minorHAnsi" w:hAnsiTheme="minorHAnsi"/>
          <w:b w:val="0"/>
          <w:sz w:val="24"/>
          <w:szCs w:val="28"/>
        </w:rPr>
        <w:fldChar w:fldCharType="begin"/>
      </w:r>
      <w:r w:rsidRPr="007A4A11">
        <w:rPr>
          <w:rFonts w:asciiTheme="minorHAnsi" w:hAnsiTheme="minorHAnsi"/>
          <w:b w:val="0"/>
          <w:sz w:val="24"/>
          <w:szCs w:val="28"/>
        </w:rPr>
        <w:instrText xml:space="preserve"> PAGEREF _Toc400704332 \h </w:instrText>
      </w:r>
      <w:r w:rsidRPr="007A4A11">
        <w:rPr>
          <w:rFonts w:asciiTheme="minorHAnsi" w:hAnsiTheme="minorHAnsi"/>
          <w:b w:val="0"/>
          <w:sz w:val="24"/>
          <w:szCs w:val="28"/>
        </w:rPr>
      </w:r>
      <w:r w:rsidRPr="007A4A11">
        <w:rPr>
          <w:rFonts w:asciiTheme="minorHAnsi" w:hAnsiTheme="minorHAnsi"/>
          <w:b w:val="0"/>
          <w:sz w:val="24"/>
          <w:szCs w:val="28"/>
        </w:rPr>
        <w:fldChar w:fldCharType="separate"/>
      </w:r>
      <w:r w:rsidR="00FB62BA">
        <w:rPr>
          <w:rFonts w:asciiTheme="minorHAnsi" w:hAnsiTheme="minorHAnsi"/>
          <w:b w:val="0"/>
          <w:sz w:val="24"/>
          <w:szCs w:val="28"/>
        </w:rPr>
        <w:t>11</w:t>
      </w:r>
      <w:r w:rsidRPr="007A4A11">
        <w:rPr>
          <w:rFonts w:asciiTheme="minorHAnsi" w:hAnsiTheme="minorHAnsi"/>
          <w:b w:val="0"/>
          <w:sz w:val="24"/>
          <w:szCs w:val="28"/>
        </w:rPr>
        <w:fldChar w:fldCharType="end"/>
      </w:r>
    </w:p>
    <w:p w14:paraId="66DCE0E0" w14:textId="77777777" w:rsidR="00CE418C" w:rsidRPr="007A4A11" w:rsidRDefault="00CE418C">
      <w:pPr>
        <w:pStyle w:val="TOC1"/>
        <w:rPr>
          <w:rFonts w:asciiTheme="minorHAnsi" w:eastAsiaTheme="minorEastAsia" w:hAnsiTheme="minorHAnsi" w:cstheme="minorBidi"/>
          <w:b w:val="0"/>
          <w:color w:val="auto"/>
          <w:sz w:val="24"/>
          <w:szCs w:val="28"/>
          <w:lang w:eastAsia="en-AU"/>
        </w:rPr>
      </w:pPr>
      <w:r w:rsidRPr="007A4A11">
        <w:rPr>
          <w:rFonts w:asciiTheme="minorHAnsi" w:hAnsiTheme="minorHAnsi"/>
          <w:b w:val="0"/>
          <w:sz w:val="24"/>
          <w:szCs w:val="28"/>
        </w:rPr>
        <w:t>7.</w:t>
      </w:r>
      <w:r w:rsidRPr="007A4A11">
        <w:rPr>
          <w:rFonts w:asciiTheme="minorHAnsi" w:eastAsiaTheme="minorEastAsia" w:hAnsiTheme="minorHAnsi" w:cstheme="minorBidi"/>
          <w:b w:val="0"/>
          <w:color w:val="auto"/>
          <w:sz w:val="24"/>
          <w:szCs w:val="28"/>
          <w:lang w:eastAsia="en-AU"/>
        </w:rPr>
        <w:tab/>
      </w:r>
      <w:r w:rsidRPr="007A4A11">
        <w:rPr>
          <w:rFonts w:asciiTheme="minorHAnsi" w:hAnsiTheme="minorHAnsi"/>
          <w:b w:val="0"/>
          <w:sz w:val="24"/>
          <w:szCs w:val="28"/>
        </w:rPr>
        <w:t>Increasing heavy vehicle fuel efficiency</w:t>
      </w:r>
      <w:r w:rsidRPr="007A4A11">
        <w:rPr>
          <w:rFonts w:asciiTheme="minorHAnsi" w:hAnsiTheme="minorHAnsi"/>
          <w:b w:val="0"/>
          <w:sz w:val="24"/>
          <w:szCs w:val="28"/>
        </w:rPr>
        <w:tab/>
      </w:r>
      <w:r w:rsidRPr="007A4A11">
        <w:rPr>
          <w:rFonts w:asciiTheme="minorHAnsi" w:hAnsiTheme="minorHAnsi"/>
          <w:b w:val="0"/>
          <w:sz w:val="24"/>
          <w:szCs w:val="28"/>
        </w:rPr>
        <w:fldChar w:fldCharType="begin"/>
      </w:r>
      <w:r w:rsidRPr="007A4A11">
        <w:rPr>
          <w:rFonts w:asciiTheme="minorHAnsi" w:hAnsiTheme="minorHAnsi"/>
          <w:b w:val="0"/>
          <w:sz w:val="24"/>
          <w:szCs w:val="28"/>
        </w:rPr>
        <w:instrText xml:space="preserve"> PAGEREF _Toc400704333 \h </w:instrText>
      </w:r>
      <w:r w:rsidRPr="007A4A11">
        <w:rPr>
          <w:rFonts w:asciiTheme="minorHAnsi" w:hAnsiTheme="minorHAnsi"/>
          <w:b w:val="0"/>
          <w:sz w:val="24"/>
          <w:szCs w:val="28"/>
        </w:rPr>
      </w:r>
      <w:r w:rsidRPr="007A4A11">
        <w:rPr>
          <w:rFonts w:asciiTheme="minorHAnsi" w:hAnsiTheme="minorHAnsi"/>
          <w:b w:val="0"/>
          <w:sz w:val="24"/>
          <w:szCs w:val="28"/>
        </w:rPr>
        <w:fldChar w:fldCharType="separate"/>
      </w:r>
      <w:r w:rsidR="00FB62BA">
        <w:rPr>
          <w:rFonts w:asciiTheme="minorHAnsi" w:hAnsiTheme="minorHAnsi"/>
          <w:b w:val="0"/>
          <w:sz w:val="24"/>
          <w:szCs w:val="28"/>
        </w:rPr>
        <w:t>11</w:t>
      </w:r>
      <w:r w:rsidRPr="007A4A11">
        <w:rPr>
          <w:rFonts w:asciiTheme="minorHAnsi" w:hAnsiTheme="minorHAnsi"/>
          <w:b w:val="0"/>
          <w:sz w:val="24"/>
          <w:szCs w:val="28"/>
        </w:rPr>
        <w:fldChar w:fldCharType="end"/>
      </w:r>
    </w:p>
    <w:p w14:paraId="630E7254" w14:textId="77777777" w:rsidR="00241C15" w:rsidRPr="007A4A11" w:rsidRDefault="0004142E" w:rsidP="001F3FD2">
      <w:pPr>
        <w:tabs>
          <w:tab w:val="right" w:leader="dot" w:pos="9645"/>
        </w:tabs>
        <w:rPr>
          <w:rFonts w:asciiTheme="minorHAnsi" w:hAnsiTheme="minorHAnsi" w:cs="Arial"/>
        </w:rPr>
      </w:pPr>
      <w:r w:rsidRPr="007A4A11">
        <w:rPr>
          <w:rFonts w:asciiTheme="minorHAnsi" w:hAnsiTheme="minorHAnsi" w:cs="Arial"/>
          <w:sz w:val="24"/>
          <w:szCs w:val="28"/>
        </w:rPr>
        <w:fldChar w:fldCharType="end"/>
      </w:r>
    </w:p>
    <w:p w14:paraId="3C44DAE1" w14:textId="77777777" w:rsidR="00CE73BB" w:rsidRPr="007A4A11" w:rsidRDefault="00CE73BB" w:rsidP="001F3FD2">
      <w:pPr>
        <w:rPr>
          <w:rFonts w:asciiTheme="minorHAnsi" w:hAnsiTheme="minorHAnsi" w:cs="Arial"/>
        </w:rPr>
      </w:pPr>
      <w:r w:rsidRPr="007A4A11">
        <w:rPr>
          <w:rFonts w:asciiTheme="minorHAnsi" w:hAnsiTheme="minorHAnsi" w:cs="Arial"/>
        </w:rPr>
        <w:br w:type="page"/>
      </w:r>
    </w:p>
    <w:p w14:paraId="388DC5D3" w14:textId="77777777" w:rsidR="000C19AA" w:rsidRPr="007A4A11" w:rsidRDefault="000C19AA" w:rsidP="001F3FD2">
      <w:pPr>
        <w:rPr>
          <w:rFonts w:asciiTheme="minorHAnsi" w:hAnsiTheme="minorHAnsi" w:cs="Arial"/>
          <w:b/>
        </w:rPr>
      </w:pPr>
    </w:p>
    <w:p w14:paraId="31EB128F" w14:textId="77777777" w:rsidR="00576ED0" w:rsidRPr="007A4A11" w:rsidRDefault="00576ED0" w:rsidP="001F3FD2">
      <w:pPr>
        <w:pStyle w:val="Heading1"/>
        <w:rPr>
          <w:rFonts w:asciiTheme="minorHAnsi" w:hAnsiTheme="minorHAnsi"/>
          <w:szCs w:val="22"/>
        </w:rPr>
      </w:pPr>
      <w:bookmarkStart w:id="0" w:name="_Toc400704327"/>
      <w:r w:rsidRPr="007A4A11">
        <w:rPr>
          <w:rFonts w:asciiTheme="minorHAnsi" w:hAnsiTheme="minorHAnsi"/>
          <w:szCs w:val="22"/>
        </w:rPr>
        <w:t>Introduction</w:t>
      </w:r>
      <w:bookmarkEnd w:id="0"/>
    </w:p>
    <w:p w14:paraId="2233C8CD" w14:textId="77777777" w:rsidR="00D17563" w:rsidRPr="007A4A11" w:rsidRDefault="00D17563" w:rsidP="001F3FD2">
      <w:pPr>
        <w:rPr>
          <w:rFonts w:asciiTheme="minorHAnsi" w:hAnsiTheme="minorHAnsi" w:cs="Arial"/>
        </w:rPr>
      </w:pPr>
    </w:p>
    <w:p w14:paraId="37AB1393" w14:textId="5742B6E1" w:rsidR="00CE73BB" w:rsidRPr="007A4A11" w:rsidRDefault="001A3D08" w:rsidP="001F3FD2">
      <w:pPr>
        <w:autoSpaceDE w:val="0"/>
        <w:autoSpaceDN w:val="0"/>
        <w:adjustRightInd w:val="0"/>
        <w:spacing w:after="200" w:line="276" w:lineRule="auto"/>
        <w:rPr>
          <w:rFonts w:asciiTheme="minorHAnsi" w:hAnsiTheme="minorHAnsi" w:cs="Arial"/>
          <w:highlight w:val="white"/>
          <w:lang w:eastAsia="en-AU"/>
        </w:rPr>
      </w:pPr>
      <w:r w:rsidRPr="007A4A11">
        <w:rPr>
          <w:rFonts w:asciiTheme="minorHAnsi" w:hAnsiTheme="minorHAnsi" w:cs="Arial"/>
          <w:highlight w:val="white"/>
          <w:lang w:eastAsia="en-AU"/>
        </w:rPr>
        <w:t>T</w:t>
      </w:r>
      <w:r w:rsidR="00431771" w:rsidRPr="007A4A11">
        <w:rPr>
          <w:rFonts w:asciiTheme="minorHAnsi" w:hAnsiTheme="minorHAnsi" w:cs="Arial"/>
          <w:highlight w:val="white"/>
          <w:lang w:eastAsia="en-AU"/>
        </w:rPr>
        <w:t xml:space="preserve">he Energy Green Paper: </w:t>
      </w:r>
    </w:p>
    <w:p w14:paraId="391AC399" w14:textId="626514DA" w:rsidR="00CE73BB" w:rsidRPr="007A4A11" w:rsidRDefault="00431771" w:rsidP="00F13E75">
      <w:pPr>
        <w:autoSpaceDE w:val="0"/>
        <w:autoSpaceDN w:val="0"/>
        <w:adjustRightInd w:val="0"/>
        <w:spacing w:after="200" w:line="276" w:lineRule="auto"/>
        <w:ind w:left="1134" w:right="1134"/>
        <w:rPr>
          <w:rFonts w:asciiTheme="minorHAnsi" w:hAnsiTheme="minorHAnsi" w:cs="Arial"/>
          <w:sz w:val="20"/>
          <w:highlight w:val="white"/>
          <w:lang w:eastAsia="en-AU"/>
        </w:rPr>
      </w:pPr>
      <w:r w:rsidRPr="007A4A11">
        <w:rPr>
          <w:rFonts w:asciiTheme="minorHAnsi" w:hAnsiTheme="minorHAnsi" w:cs="Arial"/>
          <w:sz w:val="20"/>
          <w:highlight w:val="white"/>
          <w:lang w:eastAsia="en-AU"/>
        </w:rPr>
        <w:t>Includes</w:t>
      </w:r>
      <w:r w:rsidR="00CE73BB" w:rsidRPr="007A4A11">
        <w:rPr>
          <w:rFonts w:asciiTheme="minorHAnsi" w:hAnsiTheme="minorHAnsi" w:cs="Arial"/>
          <w:sz w:val="20"/>
          <w:highlight w:val="white"/>
          <w:lang w:eastAsia="en-AU"/>
        </w:rPr>
        <w:t xml:space="preserve"> policy approaches to ensure reliable and affordable energy that, when used productively</w:t>
      </w:r>
      <w:r w:rsidR="002A642E" w:rsidRPr="007A4A11">
        <w:rPr>
          <w:rFonts w:asciiTheme="minorHAnsi" w:hAnsiTheme="minorHAnsi" w:cs="Arial"/>
          <w:sz w:val="20"/>
          <w:highlight w:val="white"/>
          <w:lang w:eastAsia="en-AU"/>
        </w:rPr>
        <w:t>, supports</w:t>
      </w:r>
      <w:r w:rsidR="00CE73BB" w:rsidRPr="007A4A11">
        <w:rPr>
          <w:rFonts w:asciiTheme="minorHAnsi" w:hAnsiTheme="minorHAnsi" w:cs="Arial"/>
          <w:sz w:val="20"/>
          <w:highlight w:val="white"/>
          <w:lang w:eastAsia="en-AU"/>
        </w:rPr>
        <w:t xml:space="preserve"> business competitiveness, lowers the cost of living, and grows exports. The Government is keen to consult on the ways the goals in the Energy Green Paper could be achieved</w:t>
      </w:r>
      <w:r w:rsidRPr="007A4A11">
        <w:rPr>
          <w:rFonts w:asciiTheme="minorHAnsi" w:hAnsiTheme="minorHAnsi" w:cs="Arial"/>
          <w:sz w:val="20"/>
          <w:highlight w:val="white"/>
          <w:lang w:eastAsia="en-AU"/>
        </w:rPr>
        <w:t>.</w:t>
      </w:r>
    </w:p>
    <w:p w14:paraId="52CE8C36" w14:textId="77777777" w:rsidR="006D0656" w:rsidRPr="007A4A11" w:rsidRDefault="006D0656" w:rsidP="001F3FD2">
      <w:pPr>
        <w:pStyle w:val="BodyText2"/>
        <w:spacing w:line="269" w:lineRule="auto"/>
        <w:rPr>
          <w:rFonts w:asciiTheme="minorHAnsi" w:hAnsiTheme="minorHAnsi"/>
          <w:b w:val="0"/>
          <w:szCs w:val="22"/>
        </w:rPr>
      </w:pPr>
      <w:r w:rsidRPr="007A4A11">
        <w:rPr>
          <w:rFonts w:asciiTheme="minorHAnsi" w:hAnsiTheme="minorHAnsi"/>
          <w:b w:val="0"/>
          <w:szCs w:val="22"/>
        </w:rPr>
        <w:t xml:space="preserve">The 2011 National Energy Security Assessment (NESA) also identified several watch-points in relation to Australia’s future energy supplies, including: </w:t>
      </w:r>
    </w:p>
    <w:p w14:paraId="58E5E655" w14:textId="77777777" w:rsidR="006D0656" w:rsidRPr="007A4A11" w:rsidRDefault="006D0656" w:rsidP="001F3FD2">
      <w:pPr>
        <w:pStyle w:val="BodyText2"/>
        <w:numPr>
          <w:ilvl w:val="0"/>
          <w:numId w:val="19"/>
        </w:numPr>
        <w:spacing w:line="269" w:lineRule="auto"/>
        <w:rPr>
          <w:rFonts w:asciiTheme="minorHAnsi" w:hAnsiTheme="minorHAnsi"/>
          <w:b w:val="0"/>
          <w:szCs w:val="22"/>
        </w:rPr>
      </w:pPr>
      <w:r w:rsidRPr="007A4A11">
        <w:rPr>
          <w:rFonts w:asciiTheme="minorHAnsi" w:hAnsiTheme="minorHAnsi"/>
          <w:b w:val="0"/>
          <w:szCs w:val="22"/>
        </w:rPr>
        <w:t xml:space="preserve">Australia’s declining oil refining capacity </w:t>
      </w:r>
    </w:p>
    <w:p w14:paraId="06C2283E" w14:textId="77777777" w:rsidR="006D0656" w:rsidRPr="007A4A11" w:rsidRDefault="006D0656" w:rsidP="001F3FD2">
      <w:pPr>
        <w:pStyle w:val="BodyText2"/>
        <w:numPr>
          <w:ilvl w:val="0"/>
          <w:numId w:val="19"/>
        </w:numPr>
        <w:spacing w:line="269" w:lineRule="auto"/>
        <w:rPr>
          <w:rFonts w:asciiTheme="minorHAnsi" w:hAnsiTheme="minorHAnsi"/>
          <w:b w:val="0"/>
          <w:szCs w:val="22"/>
        </w:rPr>
      </w:pPr>
      <w:r w:rsidRPr="007A4A11">
        <w:rPr>
          <w:rFonts w:asciiTheme="minorHAnsi" w:hAnsiTheme="minorHAnsi"/>
          <w:b w:val="0"/>
          <w:szCs w:val="22"/>
        </w:rPr>
        <w:t xml:space="preserve">Uncertainties surrounding CSG developments </w:t>
      </w:r>
    </w:p>
    <w:p w14:paraId="618E9270" w14:textId="77777777" w:rsidR="006D0656" w:rsidRPr="007A4A11" w:rsidRDefault="006D0656" w:rsidP="001F3FD2">
      <w:pPr>
        <w:pStyle w:val="BodyText2"/>
        <w:numPr>
          <w:ilvl w:val="0"/>
          <w:numId w:val="19"/>
        </w:numPr>
        <w:spacing w:line="269" w:lineRule="auto"/>
        <w:rPr>
          <w:rFonts w:asciiTheme="minorHAnsi" w:hAnsiTheme="minorHAnsi"/>
          <w:b w:val="0"/>
          <w:szCs w:val="22"/>
        </w:rPr>
      </w:pPr>
      <w:r w:rsidRPr="007A4A11">
        <w:rPr>
          <w:rFonts w:asciiTheme="minorHAnsi" w:hAnsiTheme="minorHAnsi"/>
          <w:b w:val="0"/>
          <w:szCs w:val="22"/>
        </w:rPr>
        <w:t>LNG developments on the east coast causing supply shortages</w:t>
      </w:r>
    </w:p>
    <w:p w14:paraId="2C21DB43" w14:textId="461F95A4" w:rsidR="006D0656" w:rsidRPr="007A4A11" w:rsidRDefault="006D0656" w:rsidP="001F3FD2">
      <w:pPr>
        <w:pStyle w:val="BodyText2"/>
        <w:numPr>
          <w:ilvl w:val="0"/>
          <w:numId w:val="19"/>
        </w:numPr>
        <w:spacing w:line="269" w:lineRule="auto"/>
        <w:rPr>
          <w:rFonts w:asciiTheme="minorHAnsi" w:hAnsiTheme="minorHAnsi"/>
          <w:b w:val="0"/>
          <w:szCs w:val="22"/>
        </w:rPr>
      </w:pPr>
      <w:r w:rsidRPr="007A4A11">
        <w:rPr>
          <w:rFonts w:asciiTheme="minorHAnsi" w:hAnsiTheme="minorHAnsi"/>
          <w:b w:val="0"/>
          <w:szCs w:val="22"/>
        </w:rPr>
        <w:t>Energy price pressure</w:t>
      </w:r>
      <w:r w:rsidR="0023390D" w:rsidRPr="007A4A11">
        <w:rPr>
          <w:rStyle w:val="FootnoteReference"/>
          <w:rFonts w:asciiTheme="minorHAnsi" w:hAnsiTheme="minorHAnsi" w:cs="Arial"/>
          <w:b w:val="0"/>
          <w:szCs w:val="22"/>
        </w:rPr>
        <w:footnoteReference w:id="1"/>
      </w:r>
    </w:p>
    <w:p w14:paraId="326064AB" w14:textId="77777777" w:rsidR="00431771" w:rsidRPr="007A4A11" w:rsidRDefault="00431771" w:rsidP="001F3FD2">
      <w:pPr>
        <w:pStyle w:val="BodyText2"/>
        <w:spacing w:line="269" w:lineRule="auto"/>
        <w:rPr>
          <w:rFonts w:asciiTheme="minorHAnsi" w:eastAsia="Calibri" w:hAnsiTheme="minorHAnsi"/>
          <w:b w:val="0"/>
          <w:bCs w:val="0"/>
          <w:szCs w:val="22"/>
        </w:rPr>
      </w:pPr>
    </w:p>
    <w:p w14:paraId="3702B3F6" w14:textId="518EDE19" w:rsidR="00A55BC0" w:rsidRPr="007A4A11" w:rsidRDefault="005972F7" w:rsidP="001F3FD2">
      <w:pPr>
        <w:pStyle w:val="BodyText2"/>
        <w:spacing w:line="269" w:lineRule="auto"/>
        <w:rPr>
          <w:rFonts w:asciiTheme="minorHAnsi" w:eastAsia="Calibri" w:hAnsiTheme="minorHAnsi"/>
          <w:b w:val="0"/>
          <w:bCs w:val="0"/>
          <w:szCs w:val="22"/>
        </w:rPr>
      </w:pPr>
      <w:r w:rsidRPr="007A4A11">
        <w:rPr>
          <w:rFonts w:asciiTheme="minorHAnsi" w:eastAsia="Calibri" w:hAnsiTheme="minorHAnsi"/>
          <w:b w:val="0"/>
          <w:bCs w:val="0"/>
          <w:szCs w:val="22"/>
        </w:rPr>
        <w:t>I</w:t>
      </w:r>
      <w:r w:rsidR="001A3D08" w:rsidRPr="007A4A11">
        <w:rPr>
          <w:rFonts w:asciiTheme="minorHAnsi" w:eastAsia="Calibri" w:hAnsiTheme="minorHAnsi"/>
          <w:b w:val="0"/>
          <w:bCs w:val="0"/>
          <w:szCs w:val="22"/>
        </w:rPr>
        <w:t xml:space="preserve">ssues surrounding </w:t>
      </w:r>
      <w:r w:rsidR="00431771" w:rsidRPr="007A4A11">
        <w:rPr>
          <w:rFonts w:asciiTheme="minorHAnsi" w:eastAsia="Calibri" w:hAnsiTheme="minorHAnsi"/>
          <w:b w:val="0"/>
          <w:bCs w:val="0"/>
          <w:szCs w:val="22"/>
        </w:rPr>
        <w:t>fuel security, declining on-shore refining facilities</w:t>
      </w:r>
      <w:r w:rsidR="001620CE" w:rsidRPr="007A4A11">
        <w:rPr>
          <w:rFonts w:asciiTheme="minorHAnsi" w:eastAsia="Calibri" w:hAnsiTheme="minorHAnsi"/>
          <w:b w:val="0"/>
          <w:bCs w:val="0"/>
          <w:szCs w:val="22"/>
        </w:rPr>
        <w:t xml:space="preserve">, </w:t>
      </w:r>
      <w:r w:rsidR="00431771" w:rsidRPr="007A4A11">
        <w:rPr>
          <w:rFonts w:asciiTheme="minorHAnsi" w:eastAsia="Calibri" w:hAnsiTheme="minorHAnsi"/>
          <w:b w:val="0"/>
          <w:bCs w:val="0"/>
          <w:szCs w:val="22"/>
        </w:rPr>
        <w:t xml:space="preserve">renewable fuel compatibility </w:t>
      </w:r>
      <w:r w:rsidR="001620CE" w:rsidRPr="007A4A11">
        <w:rPr>
          <w:rFonts w:asciiTheme="minorHAnsi" w:eastAsia="Calibri" w:hAnsiTheme="minorHAnsi"/>
          <w:b w:val="0"/>
          <w:bCs w:val="0"/>
          <w:szCs w:val="22"/>
        </w:rPr>
        <w:t>and government inaction to support high productivity vehicles</w:t>
      </w:r>
      <w:r w:rsidR="00431771" w:rsidRPr="007A4A11">
        <w:rPr>
          <w:rFonts w:asciiTheme="minorHAnsi" w:eastAsia="Calibri" w:hAnsiTheme="minorHAnsi"/>
          <w:b w:val="0"/>
          <w:bCs w:val="0"/>
          <w:szCs w:val="22"/>
        </w:rPr>
        <w:t xml:space="preserve"> will result in the industry not reaching its full potential in </w:t>
      </w:r>
      <w:r w:rsidR="002A642E" w:rsidRPr="007A4A11">
        <w:rPr>
          <w:rFonts w:asciiTheme="minorHAnsi" w:eastAsia="Calibri" w:hAnsiTheme="minorHAnsi"/>
          <w:b w:val="0"/>
          <w:bCs w:val="0"/>
          <w:szCs w:val="22"/>
        </w:rPr>
        <w:t>the more efficient use of energy</w:t>
      </w:r>
      <w:r w:rsidR="00431771" w:rsidRPr="007A4A11">
        <w:rPr>
          <w:rFonts w:asciiTheme="minorHAnsi" w:eastAsia="Calibri" w:hAnsiTheme="minorHAnsi"/>
          <w:b w:val="0"/>
          <w:bCs w:val="0"/>
          <w:szCs w:val="22"/>
        </w:rPr>
        <w:t xml:space="preserve">.  </w:t>
      </w:r>
    </w:p>
    <w:p w14:paraId="12A59455" w14:textId="77777777" w:rsidR="005972F7" w:rsidRPr="007A4A11" w:rsidRDefault="005972F7" w:rsidP="001F3FD2">
      <w:pPr>
        <w:pStyle w:val="BodyText2"/>
        <w:spacing w:line="269" w:lineRule="auto"/>
        <w:rPr>
          <w:rFonts w:asciiTheme="minorHAnsi" w:eastAsia="Calibri" w:hAnsiTheme="minorHAnsi"/>
          <w:b w:val="0"/>
          <w:bCs w:val="0"/>
          <w:szCs w:val="22"/>
        </w:rPr>
      </w:pPr>
    </w:p>
    <w:p w14:paraId="098F51B5" w14:textId="4651EF1E" w:rsidR="005972F7" w:rsidRPr="007A4A11" w:rsidRDefault="005972F7" w:rsidP="005972F7">
      <w:pPr>
        <w:pStyle w:val="BodyText2"/>
        <w:spacing w:line="269" w:lineRule="auto"/>
        <w:rPr>
          <w:rFonts w:asciiTheme="minorHAnsi" w:hAnsiTheme="minorHAnsi"/>
          <w:b w:val="0"/>
        </w:rPr>
      </w:pPr>
      <w:r w:rsidRPr="007A4A11">
        <w:rPr>
          <w:rFonts w:asciiTheme="minorHAnsi" w:hAnsiTheme="minorHAnsi"/>
          <w:b w:val="0"/>
        </w:rPr>
        <w:t xml:space="preserve">However, Australia’s energy security issues should not be overstated </w:t>
      </w:r>
      <w:r w:rsidR="00910798" w:rsidRPr="007A4A11">
        <w:rPr>
          <w:rFonts w:asciiTheme="minorHAnsi" w:hAnsiTheme="minorHAnsi"/>
          <w:b w:val="0"/>
        </w:rPr>
        <w:t xml:space="preserve">by outdated and unrepresentative international assessments, </w:t>
      </w:r>
      <w:r w:rsidRPr="007A4A11">
        <w:rPr>
          <w:rFonts w:asciiTheme="minorHAnsi" w:hAnsiTheme="minorHAnsi"/>
          <w:b w:val="0"/>
        </w:rPr>
        <w:t>as Australia has ‘flexible, resilient and reliable supply chain, including secure shipping routes and a significant volume of stock on the water owned by local companies.’</w:t>
      </w:r>
      <w:r w:rsidRPr="007A4A11">
        <w:rPr>
          <w:rFonts w:asciiTheme="minorHAnsi" w:hAnsiTheme="minorHAnsi"/>
          <w:b w:val="0"/>
          <w:vertAlign w:val="superscript"/>
        </w:rPr>
        <w:footnoteReference w:id="2"/>
      </w:r>
    </w:p>
    <w:p w14:paraId="7E49CD73" w14:textId="77777777" w:rsidR="00D3780F" w:rsidRPr="007A4A11" w:rsidRDefault="00D3780F" w:rsidP="001F3FD2">
      <w:pPr>
        <w:pStyle w:val="BodyText2"/>
        <w:spacing w:line="269" w:lineRule="auto"/>
        <w:rPr>
          <w:rFonts w:asciiTheme="minorHAnsi" w:eastAsia="Calibri" w:hAnsiTheme="minorHAnsi"/>
          <w:b w:val="0"/>
          <w:bCs w:val="0"/>
          <w:szCs w:val="22"/>
        </w:rPr>
      </w:pPr>
    </w:p>
    <w:p w14:paraId="19E89527" w14:textId="77777777" w:rsidR="00576ED0" w:rsidRPr="007A4A11" w:rsidRDefault="003340FB" w:rsidP="001F3FD2">
      <w:pPr>
        <w:pStyle w:val="Heading1"/>
        <w:rPr>
          <w:rFonts w:asciiTheme="minorHAnsi" w:hAnsiTheme="minorHAnsi"/>
          <w:szCs w:val="22"/>
        </w:rPr>
      </w:pPr>
      <w:r w:rsidRPr="007A4A11">
        <w:rPr>
          <w:rFonts w:asciiTheme="minorHAnsi" w:hAnsiTheme="minorHAnsi"/>
          <w:szCs w:val="22"/>
        </w:rPr>
        <w:t xml:space="preserve"> </w:t>
      </w:r>
      <w:bookmarkStart w:id="1" w:name="_Toc400704328"/>
      <w:r w:rsidRPr="007A4A11">
        <w:rPr>
          <w:rFonts w:asciiTheme="minorHAnsi" w:hAnsiTheme="minorHAnsi"/>
          <w:szCs w:val="22"/>
        </w:rPr>
        <w:t>Australian Trucking Association</w:t>
      </w:r>
      <w:bookmarkEnd w:id="1"/>
      <w:r w:rsidRPr="007A4A11">
        <w:rPr>
          <w:rFonts w:asciiTheme="minorHAnsi" w:hAnsiTheme="minorHAnsi"/>
          <w:szCs w:val="22"/>
        </w:rPr>
        <w:t xml:space="preserve">  </w:t>
      </w:r>
    </w:p>
    <w:p w14:paraId="0AAEA95A" w14:textId="77777777" w:rsidR="004008C7" w:rsidRPr="007A4A11" w:rsidRDefault="004008C7" w:rsidP="001F3FD2">
      <w:pPr>
        <w:pStyle w:val="BodyText2"/>
        <w:rPr>
          <w:rFonts w:asciiTheme="minorHAnsi" w:hAnsiTheme="minorHAnsi"/>
          <w:b w:val="0"/>
          <w:szCs w:val="22"/>
        </w:rPr>
      </w:pPr>
    </w:p>
    <w:p w14:paraId="69A38D4D" w14:textId="77777777" w:rsidR="00CF3600" w:rsidRPr="007A4A11" w:rsidRDefault="00CF3600" w:rsidP="001F3FD2">
      <w:pPr>
        <w:pStyle w:val="BodyText2"/>
        <w:spacing w:line="269" w:lineRule="auto"/>
        <w:rPr>
          <w:rFonts w:asciiTheme="minorHAnsi" w:eastAsia="Calibri" w:hAnsiTheme="minorHAnsi"/>
          <w:b w:val="0"/>
          <w:bCs w:val="0"/>
          <w:szCs w:val="22"/>
        </w:rPr>
      </w:pPr>
      <w:r w:rsidRPr="007A4A11">
        <w:rPr>
          <w:rFonts w:asciiTheme="minorHAnsi" w:eastAsia="Calibri" w:hAnsiTheme="minorHAnsi"/>
          <w:b w:val="0"/>
          <w:bCs w:val="0"/>
          <w:szCs w:val="22"/>
        </w:rPr>
        <w:t xml:space="preserve">The Australian Trucking Association (ATA) is the peak body that represents the trucking industry. Its members include state and sector based trucking associations, some of the nation’s largest transport companies, and businesses with leading expertise in truck technology. </w:t>
      </w:r>
    </w:p>
    <w:p w14:paraId="7958B9E6" w14:textId="77777777" w:rsidR="006B7D84" w:rsidRPr="007A4A11" w:rsidRDefault="006B7D84" w:rsidP="001F3FD2">
      <w:pPr>
        <w:rPr>
          <w:rFonts w:asciiTheme="minorHAnsi" w:eastAsia="Times New Roman" w:hAnsiTheme="minorHAnsi" w:cs="Arial"/>
          <w:bCs/>
        </w:rPr>
      </w:pPr>
    </w:p>
    <w:p w14:paraId="61446445" w14:textId="77777777" w:rsidR="00117370" w:rsidRPr="007A4A11" w:rsidRDefault="00117370" w:rsidP="001F3FD2">
      <w:pPr>
        <w:rPr>
          <w:rFonts w:asciiTheme="minorHAnsi" w:eastAsia="Times New Roman" w:hAnsiTheme="minorHAnsi" w:cs="Arial"/>
          <w:bCs/>
        </w:rPr>
      </w:pPr>
    </w:p>
    <w:p w14:paraId="17C7A2BB" w14:textId="77777777" w:rsidR="00117370" w:rsidRPr="007A4A11" w:rsidRDefault="00117370" w:rsidP="001F3FD2">
      <w:pPr>
        <w:rPr>
          <w:rFonts w:asciiTheme="minorHAnsi" w:eastAsia="Times New Roman" w:hAnsiTheme="minorHAnsi" w:cs="Arial"/>
          <w:bCs/>
        </w:rPr>
      </w:pPr>
    </w:p>
    <w:p w14:paraId="60BA967B" w14:textId="77777777" w:rsidR="00117370" w:rsidRPr="007A4A11" w:rsidRDefault="00117370" w:rsidP="001F3FD2">
      <w:pPr>
        <w:rPr>
          <w:rFonts w:asciiTheme="minorHAnsi" w:eastAsia="Times New Roman" w:hAnsiTheme="minorHAnsi" w:cs="Arial"/>
          <w:bCs/>
        </w:rPr>
      </w:pPr>
    </w:p>
    <w:p w14:paraId="712BCF83" w14:textId="77777777" w:rsidR="00117370" w:rsidRPr="007A4A11" w:rsidRDefault="00117370" w:rsidP="001F3FD2">
      <w:pPr>
        <w:rPr>
          <w:rFonts w:asciiTheme="minorHAnsi" w:eastAsia="Times New Roman" w:hAnsiTheme="minorHAnsi" w:cs="Arial"/>
          <w:bCs/>
        </w:rPr>
      </w:pPr>
    </w:p>
    <w:p w14:paraId="38C4C4D5" w14:textId="77777777" w:rsidR="00117370" w:rsidRPr="007A4A11" w:rsidRDefault="00117370" w:rsidP="001F3FD2">
      <w:pPr>
        <w:rPr>
          <w:rFonts w:asciiTheme="minorHAnsi" w:eastAsia="Times New Roman" w:hAnsiTheme="minorHAnsi" w:cs="Arial"/>
          <w:bCs/>
        </w:rPr>
      </w:pPr>
    </w:p>
    <w:p w14:paraId="6FBFFD1D" w14:textId="77777777" w:rsidR="00117370" w:rsidRPr="007A4A11" w:rsidRDefault="00117370" w:rsidP="001F3FD2">
      <w:pPr>
        <w:rPr>
          <w:rFonts w:asciiTheme="minorHAnsi" w:eastAsia="Times New Roman" w:hAnsiTheme="minorHAnsi" w:cs="Arial"/>
          <w:bCs/>
        </w:rPr>
      </w:pPr>
    </w:p>
    <w:p w14:paraId="335E244B" w14:textId="77777777" w:rsidR="00117370" w:rsidRPr="007A4A11" w:rsidRDefault="00117370" w:rsidP="001F3FD2">
      <w:pPr>
        <w:rPr>
          <w:rFonts w:asciiTheme="minorHAnsi" w:eastAsia="Times New Roman" w:hAnsiTheme="minorHAnsi" w:cs="Arial"/>
          <w:bCs/>
        </w:rPr>
      </w:pPr>
    </w:p>
    <w:p w14:paraId="3DA3144F" w14:textId="77777777" w:rsidR="00117370" w:rsidRPr="007A4A11" w:rsidRDefault="00117370" w:rsidP="001F3FD2">
      <w:pPr>
        <w:rPr>
          <w:rFonts w:asciiTheme="minorHAnsi" w:eastAsia="Times New Roman" w:hAnsiTheme="minorHAnsi" w:cs="Arial"/>
          <w:bCs/>
        </w:rPr>
      </w:pPr>
    </w:p>
    <w:p w14:paraId="344EE3FB" w14:textId="77777777" w:rsidR="00117370" w:rsidRPr="007A4A11" w:rsidRDefault="00117370" w:rsidP="001F3FD2">
      <w:pPr>
        <w:rPr>
          <w:rFonts w:asciiTheme="minorHAnsi" w:eastAsia="Times New Roman" w:hAnsiTheme="minorHAnsi" w:cs="Arial"/>
          <w:bCs/>
        </w:rPr>
      </w:pPr>
    </w:p>
    <w:p w14:paraId="518CE063" w14:textId="77777777" w:rsidR="00117370" w:rsidRPr="007A4A11" w:rsidRDefault="00117370" w:rsidP="001F3FD2">
      <w:pPr>
        <w:rPr>
          <w:rFonts w:asciiTheme="minorHAnsi" w:eastAsia="Times New Roman" w:hAnsiTheme="minorHAnsi" w:cs="Arial"/>
          <w:bCs/>
        </w:rPr>
      </w:pPr>
    </w:p>
    <w:p w14:paraId="24890564" w14:textId="77777777" w:rsidR="00117370" w:rsidRPr="007A4A11" w:rsidRDefault="00117370" w:rsidP="001F3FD2">
      <w:pPr>
        <w:rPr>
          <w:rFonts w:asciiTheme="minorHAnsi" w:eastAsia="Times New Roman" w:hAnsiTheme="minorHAnsi" w:cs="Arial"/>
          <w:bCs/>
        </w:rPr>
      </w:pPr>
    </w:p>
    <w:p w14:paraId="37A0957C" w14:textId="77777777" w:rsidR="00117370" w:rsidRPr="007A4A11" w:rsidRDefault="00117370" w:rsidP="001F3FD2">
      <w:pPr>
        <w:rPr>
          <w:rFonts w:asciiTheme="minorHAnsi" w:eastAsia="Times New Roman" w:hAnsiTheme="minorHAnsi" w:cs="Arial"/>
          <w:bCs/>
        </w:rPr>
      </w:pPr>
    </w:p>
    <w:p w14:paraId="26938CD1" w14:textId="77777777" w:rsidR="00117370" w:rsidRPr="007A4A11" w:rsidRDefault="00117370" w:rsidP="001F3FD2">
      <w:pPr>
        <w:rPr>
          <w:rFonts w:asciiTheme="minorHAnsi" w:eastAsia="Times New Roman" w:hAnsiTheme="minorHAnsi" w:cs="Arial"/>
          <w:bCs/>
        </w:rPr>
      </w:pPr>
    </w:p>
    <w:p w14:paraId="058DEE71" w14:textId="77777777" w:rsidR="00117370" w:rsidRPr="007A4A11" w:rsidRDefault="00117370" w:rsidP="001F3FD2">
      <w:pPr>
        <w:rPr>
          <w:rFonts w:asciiTheme="minorHAnsi" w:eastAsia="Times New Roman" w:hAnsiTheme="minorHAnsi" w:cs="Arial"/>
          <w:bCs/>
        </w:rPr>
      </w:pPr>
    </w:p>
    <w:p w14:paraId="31012797" w14:textId="77777777" w:rsidR="00117370" w:rsidRPr="007A4A11" w:rsidRDefault="00117370" w:rsidP="001F3FD2">
      <w:pPr>
        <w:rPr>
          <w:rFonts w:asciiTheme="minorHAnsi" w:eastAsia="Times New Roman" w:hAnsiTheme="minorHAnsi" w:cs="Arial"/>
          <w:bCs/>
        </w:rPr>
      </w:pPr>
    </w:p>
    <w:p w14:paraId="14588AB9" w14:textId="77777777" w:rsidR="00117370" w:rsidRPr="007A4A11" w:rsidRDefault="00117370" w:rsidP="001F3FD2">
      <w:pPr>
        <w:rPr>
          <w:rFonts w:asciiTheme="minorHAnsi" w:eastAsia="Times New Roman" w:hAnsiTheme="minorHAnsi" w:cs="Arial"/>
          <w:bCs/>
        </w:rPr>
      </w:pPr>
    </w:p>
    <w:p w14:paraId="23CE9DE5" w14:textId="77777777" w:rsidR="00117370" w:rsidRPr="007A4A11" w:rsidRDefault="00117370" w:rsidP="001F3FD2">
      <w:pPr>
        <w:rPr>
          <w:rFonts w:asciiTheme="minorHAnsi" w:eastAsia="Times New Roman" w:hAnsiTheme="minorHAnsi" w:cs="Arial"/>
          <w:bCs/>
        </w:rPr>
      </w:pPr>
    </w:p>
    <w:p w14:paraId="488C26FE" w14:textId="77777777" w:rsidR="00117370" w:rsidRPr="007A4A11" w:rsidRDefault="00117370" w:rsidP="001F3FD2">
      <w:pPr>
        <w:rPr>
          <w:rFonts w:asciiTheme="minorHAnsi" w:eastAsia="Times New Roman" w:hAnsiTheme="minorHAnsi" w:cs="Arial"/>
          <w:bCs/>
        </w:rPr>
      </w:pPr>
    </w:p>
    <w:p w14:paraId="43C0BF15" w14:textId="77777777" w:rsidR="00117370" w:rsidRPr="007A4A11" w:rsidRDefault="00117370" w:rsidP="001F3FD2">
      <w:pPr>
        <w:rPr>
          <w:rFonts w:asciiTheme="minorHAnsi" w:eastAsia="Times New Roman" w:hAnsiTheme="minorHAnsi" w:cs="Arial"/>
          <w:bCs/>
        </w:rPr>
      </w:pPr>
    </w:p>
    <w:p w14:paraId="5BE0A02B" w14:textId="77777777" w:rsidR="00D73280" w:rsidRPr="007A4A11" w:rsidRDefault="00907971" w:rsidP="001F3FD2">
      <w:pPr>
        <w:pStyle w:val="Heading1"/>
        <w:rPr>
          <w:rFonts w:asciiTheme="minorHAnsi" w:hAnsiTheme="minorHAnsi"/>
          <w:szCs w:val="22"/>
        </w:rPr>
      </w:pPr>
      <w:bookmarkStart w:id="2" w:name="_Toc400704329"/>
      <w:r w:rsidRPr="007A4A11">
        <w:rPr>
          <w:rFonts w:asciiTheme="minorHAnsi" w:hAnsiTheme="minorHAnsi"/>
          <w:szCs w:val="22"/>
        </w:rPr>
        <w:lastRenderedPageBreak/>
        <w:t>Recommendations</w:t>
      </w:r>
      <w:bookmarkEnd w:id="2"/>
      <w:r w:rsidR="00C05A4F" w:rsidRPr="007A4A11">
        <w:rPr>
          <w:rFonts w:asciiTheme="minorHAnsi" w:hAnsiTheme="minorHAnsi"/>
          <w:noProof/>
          <w:color w:val="000000" w:themeColor="text1"/>
          <w:szCs w:val="22"/>
        </w:rPr>
        <w:t xml:space="preserve"> </w:t>
      </w:r>
    </w:p>
    <w:p w14:paraId="536D75F3" w14:textId="77777777" w:rsidR="00E2768A" w:rsidRPr="007A4A11" w:rsidRDefault="00E2768A" w:rsidP="001F3FD2">
      <w:pPr>
        <w:autoSpaceDE w:val="0"/>
        <w:autoSpaceDN w:val="0"/>
        <w:adjustRightInd w:val="0"/>
        <w:rPr>
          <w:rFonts w:asciiTheme="minorHAnsi" w:hAnsiTheme="minorHAnsi" w:cs="Arial"/>
          <w:b/>
          <w:highlight w:val="white"/>
          <w:lang w:eastAsia="en-AU"/>
        </w:rPr>
      </w:pPr>
    </w:p>
    <w:p w14:paraId="317C421A" w14:textId="77777777" w:rsidR="00CE418C" w:rsidRPr="007A4A11" w:rsidRDefault="00CE418C" w:rsidP="00CE418C">
      <w:pPr>
        <w:rPr>
          <w:rFonts w:asciiTheme="minorHAnsi" w:hAnsiTheme="minorHAnsi" w:cs="Arial"/>
          <w:b/>
          <w:sz w:val="24"/>
        </w:rPr>
      </w:pPr>
      <w:r w:rsidRPr="007A4A11">
        <w:rPr>
          <w:rFonts w:asciiTheme="minorHAnsi" w:hAnsiTheme="minorHAnsi" w:cs="Arial"/>
          <w:b/>
          <w:sz w:val="24"/>
        </w:rPr>
        <w:t xml:space="preserve">Recommendation 1 </w:t>
      </w:r>
    </w:p>
    <w:p w14:paraId="0700AF3F" w14:textId="77777777" w:rsidR="00CE418C" w:rsidRPr="007A4A11" w:rsidRDefault="00CE418C" w:rsidP="00CE418C">
      <w:pPr>
        <w:rPr>
          <w:rFonts w:asciiTheme="minorHAnsi" w:hAnsiTheme="minorHAnsi" w:cs="Arial"/>
        </w:rPr>
      </w:pPr>
    </w:p>
    <w:p w14:paraId="404FC885" w14:textId="56DF8C4B" w:rsidR="00CE418C" w:rsidRPr="007A4A11" w:rsidRDefault="00117370" w:rsidP="00CE418C">
      <w:pPr>
        <w:rPr>
          <w:rFonts w:asciiTheme="minorHAnsi" w:hAnsiTheme="minorHAnsi" w:cs="Arial"/>
        </w:rPr>
      </w:pPr>
      <w:r w:rsidRPr="007A4A11">
        <w:rPr>
          <w:rFonts w:asciiTheme="minorHAnsi" w:hAnsiTheme="minorHAnsi" w:cs="Arial"/>
        </w:rPr>
        <w:t>The g</w:t>
      </w:r>
      <w:r w:rsidR="00CE418C" w:rsidRPr="007A4A11">
        <w:rPr>
          <w:rFonts w:asciiTheme="minorHAnsi" w:hAnsiTheme="minorHAnsi" w:cs="Arial"/>
        </w:rPr>
        <w:t xml:space="preserve">overnment should </w:t>
      </w:r>
      <w:r w:rsidR="00F13E75" w:rsidRPr="007A4A11">
        <w:rPr>
          <w:rFonts w:asciiTheme="minorHAnsi" w:hAnsiTheme="minorHAnsi" w:cs="Arial"/>
        </w:rPr>
        <w:t>recommend that</w:t>
      </w:r>
      <w:r w:rsidR="00CE418C" w:rsidRPr="007A4A11">
        <w:rPr>
          <w:rFonts w:asciiTheme="minorHAnsi" w:hAnsiTheme="minorHAnsi" w:cs="Arial"/>
        </w:rPr>
        <w:t xml:space="preserve"> the International Energy Agency (IEA) review the</w:t>
      </w:r>
      <w:r w:rsidR="00F13E75" w:rsidRPr="007A4A11">
        <w:rPr>
          <w:rFonts w:asciiTheme="minorHAnsi" w:hAnsiTheme="minorHAnsi" w:cs="Arial"/>
        </w:rPr>
        <w:t xml:space="preserve"> requirement for measures to hold 90 days of net imports, </w:t>
      </w:r>
      <w:r w:rsidR="00CE418C" w:rsidRPr="007A4A11">
        <w:rPr>
          <w:rFonts w:asciiTheme="minorHAnsi" w:hAnsiTheme="minorHAnsi" w:cs="Arial"/>
        </w:rPr>
        <w:t xml:space="preserve"> given that it was originally set in 1974 and does not allow the inclusion of ‘stock</w:t>
      </w:r>
      <w:r w:rsidR="00F13E75" w:rsidRPr="007A4A11">
        <w:rPr>
          <w:rFonts w:asciiTheme="minorHAnsi" w:hAnsiTheme="minorHAnsi" w:cs="Arial"/>
        </w:rPr>
        <w:t>s</w:t>
      </w:r>
      <w:r w:rsidR="00CE418C" w:rsidRPr="007A4A11">
        <w:rPr>
          <w:rFonts w:asciiTheme="minorHAnsi" w:hAnsiTheme="minorHAnsi" w:cs="Arial"/>
        </w:rPr>
        <w:t xml:space="preserve"> at sea’, which accounts for over a quarter of Australia’s oil stocks. </w:t>
      </w:r>
    </w:p>
    <w:p w14:paraId="51F0358F" w14:textId="77777777" w:rsidR="00CE418C" w:rsidRPr="007A4A11" w:rsidRDefault="00CE418C" w:rsidP="00CE418C">
      <w:pPr>
        <w:rPr>
          <w:rFonts w:asciiTheme="minorHAnsi" w:hAnsiTheme="minorHAnsi" w:cs="Arial"/>
        </w:rPr>
      </w:pPr>
    </w:p>
    <w:p w14:paraId="0743A065" w14:textId="07679F07" w:rsidR="00CE418C" w:rsidRPr="007A4A11" w:rsidRDefault="00117370" w:rsidP="00CE418C">
      <w:pPr>
        <w:rPr>
          <w:rFonts w:asciiTheme="minorHAnsi" w:hAnsiTheme="minorHAnsi" w:cs="Arial"/>
          <w:b/>
          <w:sz w:val="24"/>
        </w:rPr>
      </w:pPr>
      <w:r w:rsidRPr="007A4A11">
        <w:rPr>
          <w:rFonts w:asciiTheme="minorHAnsi" w:hAnsiTheme="minorHAnsi" w:cs="Arial"/>
          <w:b/>
          <w:sz w:val="24"/>
        </w:rPr>
        <w:t>Recommendation 2</w:t>
      </w:r>
    </w:p>
    <w:p w14:paraId="4E49FC79" w14:textId="77777777" w:rsidR="00117370" w:rsidRPr="007A4A11" w:rsidRDefault="00117370" w:rsidP="00CE418C">
      <w:pPr>
        <w:rPr>
          <w:rFonts w:asciiTheme="minorHAnsi" w:hAnsiTheme="minorHAnsi" w:cs="Arial"/>
          <w:b/>
          <w:sz w:val="24"/>
        </w:rPr>
      </w:pPr>
    </w:p>
    <w:p w14:paraId="038D9FF4" w14:textId="77777777" w:rsidR="00117370" w:rsidRPr="007A4A11" w:rsidRDefault="00117370" w:rsidP="00117370">
      <w:pPr>
        <w:rPr>
          <w:rFonts w:asciiTheme="minorHAnsi" w:hAnsiTheme="minorHAnsi" w:cs="Arial"/>
        </w:rPr>
      </w:pPr>
      <w:r w:rsidRPr="007A4A11">
        <w:rPr>
          <w:rFonts w:asciiTheme="minorHAnsi" w:hAnsiTheme="minorHAnsi" w:cs="Arial"/>
        </w:rPr>
        <w:t xml:space="preserve">The government should comply with the revised IEA stock holding rule. </w:t>
      </w:r>
    </w:p>
    <w:p w14:paraId="064E2A0A" w14:textId="77777777" w:rsidR="00117370" w:rsidRPr="007A4A11" w:rsidRDefault="00117370" w:rsidP="00CE418C">
      <w:pPr>
        <w:rPr>
          <w:rFonts w:asciiTheme="minorHAnsi" w:hAnsiTheme="minorHAnsi" w:cs="Arial"/>
          <w:b/>
          <w:sz w:val="24"/>
        </w:rPr>
      </w:pPr>
    </w:p>
    <w:p w14:paraId="65EA4BB5" w14:textId="0F77E9B9" w:rsidR="00117370" w:rsidRPr="007A4A11" w:rsidRDefault="00117370" w:rsidP="00117370">
      <w:pPr>
        <w:rPr>
          <w:rFonts w:asciiTheme="minorHAnsi" w:hAnsiTheme="minorHAnsi" w:cs="Arial"/>
          <w:b/>
          <w:sz w:val="24"/>
        </w:rPr>
      </w:pPr>
      <w:r w:rsidRPr="007A4A11">
        <w:rPr>
          <w:rFonts w:asciiTheme="minorHAnsi" w:hAnsiTheme="minorHAnsi" w:cs="Arial"/>
          <w:b/>
          <w:sz w:val="24"/>
        </w:rPr>
        <w:t>Recommendation 3</w:t>
      </w:r>
    </w:p>
    <w:p w14:paraId="486CF651" w14:textId="77777777" w:rsidR="00CE418C" w:rsidRPr="007A4A11" w:rsidRDefault="00CE418C" w:rsidP="00CE418C">
      <w:pPr>
        <w:rPr>
          <w:rFonts w:asciiTheme="minorHAnsi" w:hAnsiTheme="minorHAnsi" w:cs="Arial"/>
        </w:rPr>
      </w:pPr>
    </w:p>
    <w:p w14:paraId="17326109" w14:textId="77777777" w:rsidR="00CE418C" w:rsidRPr="007A4A11" w:rsidRDefault="00CE418C" w:rsidP="00CE418C">
      <w:pPr>
        <w:rPr>
          <w:rFonts w:asciiTheme="minorHAnsi" w:hAnsiTheme="minorHAnsi" w:cs="Arial"/>
        </w:rPr>
      </w:pPr>
      <w:r w:rsidRPr="007A4A11">
        <w:rPr>
          <w:rFonts w:asciiTheme="minorHAnsi" w:hAnsiTheme="minorHAnsi" w:cs="Arial"/>
        </w:rPr>
        <w:t xml:space="preserve">The government should continue to monitor fuel security in Australia by: </w:t>
      </w:r>
    </w:p>
    <w:p w14:paraId="02C1676C" w14:textId="77777777" w:rsidR="00CE418C" w:rsidRPr="007A4A11" w:rsidRDefault="00CE418C" w:rsidP="00CE418C">
      <w:pPr>
        <w:pStyle w:val="ListParagraph"/>
        <w:numPr>
          <w:ilvl w:val="0"/>
          <w:numId w:val="19"/>
        </w:numPr>
        <w:rPr>
          <w:rFonts w:asciiTheme="minorHAnsi" w:hAnsiTheme="minorHAnsi" w:cs="Arial"/>
        </w:rPr>
      </w:pPr>
      <w:r w:rsidRPr="007A4A11">
        <w:rPr>
          <w:rFonts w:asciiTheme="minorHAnsi" w:hAnsiTheme="minorHAnsi" w:cs="Arial"/>
        </w:rPr>
        <w:t xml:space="preserve"> Continuing the National Emergency Security Assessments and Liquid Fuels Vulnerability assessments. </w:t>
      </w:r>
    </w:p>
    <w:p w14:paraId="50A942D8" w14:textId="77777777" w:rsidR="00CE418C" w:rsidRPr="007A4A11" w:rsidRDefault="00CE418C" w:rsidP="00CE418C">
      <w:pPr>
        <w:pStyle w:val="ListParagraph"/>
        <w:numPr>
          <w:ilvl w:val="0"/>
          <w:numId w:val="19"/>
        </w:numPr>
        <w:rPr>
          <w:rFonts w:asciiTheme="minorHAnsi" w:hAnsiTheme="minorHAnsi" w:cs="Arial"/>
        </w:rPr>
      </w:pPr>
      <w:r w:rsidRPr="007A4A11">
        <w:rPr>
          <w:rFonts w:asciiTheme="minorHAnsi" w:hAnsiTheme="minorHAnsi" w:cs="Arial"/>
        </w:rPr>
        <w:t xml:space="preserve">Improving the data collection of Petroleum statistics via the Mandatory Reporting Regime which is being developed. </w:t>
      </w:r>
    </w:p>
    <w:p w14:paraId="0876438C" w14:textId="77777777" w:rsidR="00CE418C" w:rsidRPr="007A4A11" w:rsidRDefault="00CE418C" w:rsidP="00CE418C">
      <w:pPr>
        <w:pStyle w:val="ListParagraph"/>
        <w:numPr>
          <w:ilvl w:val="0"/>
          <w:numId w:val="19"/>
        </w:numPr>
        <w:rPr>
          <w:rFonts w:asciiTheme="minorHAnsi" w:hAnsiTheme="minorHAnsi" w:cs="Arial"/>
        </w:rPr>
      </w:pPr>
      <w:r w:rsidRPr="007A4A11">
        <w:rPr>
          <w:rFonts w:asciiTheme="minorHAnsi" w:hAnsiTheme="minorHAnsi" w:cs="Arial"/>
        </w:rPr>
        <w:t>Maintaining the current National Emergency Management.</w:t>
      </w:r>
    </w:p>
    <w:p w14:paraId="3C0A0BA1" w14:textId="77777777" w:rsidR="00CE418C" w:rsidRPr="007A4A11" w:rsidRDefault="00CE418C" w:rsidP="00CE418C">
      <w:pPr>
        <w:pStyle w:val="ListParagraph"/>
        <w:numPr>
          <w:ilvl w:val="0"/>
          <w:numId w:val="19"/>
        </w:numPr>
        <w:rPr>
          <w:rFonts w:asciiTheme="minorHAnsi" w:hAnsiTheme="minorHAnsi" w:cs="Arial"/>
        </w:rPr>
      </w:pPr>
      <w:r w:rsidRPr="007A4A11">
        <w:rPr>
          <w:rFonts w:asciiTheme="minorHAnsi" w:hAnsiTheme="minorHAnsi" w:cs="Arial"/>
        </w:rPr>
        <w:t>Identifying and addressing government policy and regulatory weaknesses that threatens Australia maintaining a high level of liquid fuel security over the longer term.</w:t>
      </w:r>
    </w:p>
    <w:p w14:paraId="686CFB0C" w14:textId="082410BF" w:rsidR="00CE418C" w:rsidRPr="007A4A11" w:rsidRDefault="00117370" w:rsidP="00CE418C">
      <w:pPr>
        <w:rPr>
          <w:rFonts w:asciiTheme="minorHAnsi" w:hAnsiTheme="minorHAnsi" w:cs="Arial"/>
          <w:b/>
          <w:sz w:val="24"/>
        </w:rPr>
      </w:pPr>
      <w:r w:rsidRPr="007A4A11">
        <w:rPr>
          <w:rFonts w:asciiTheme="minorHAnsi" w:hAnsiTheme="minorHAnsi" w:cs="Arial"/>
          <w:b/>
          <w:sz w:val="24"/>
        </w:rPr>
        <w:t>Recommendation 4</w:t>
      </w:r>
    </w:p>
    <w:p w14:paraId="37E7FA37" w14:textId="77777777" w:rsidR="00CE418C" w:rsidRPr="007A4A11" w:rsidRDefault="00CE418C" w:rsidP="00CE418C">
      <w:pPr>
        <w:rPr>
          <w:rFonts w:asciiTheme="minorHAnsi" w:hAnsiTheme="minorHAnsi" w:cs="Arial"/>
        </w:rPr>
      </w:pPr>
    </w:p>
    <w:p w14:paraId="6F0C99AC" w14:textId="77777777" w:rsidR="002C64C3" w:rsidRPr="002C64C3" w:rsidRDefault="002C64C3" w:rsidP="002C64C3">
      <w:pPr>
        <w:autoSpaceDE w:val="0"/>
        <w:autoSpaceDN w:val="0"/>
        <w:adjustRightInd w:val="0"/>
        <w:rPr>
          <w:rFonts w:asciiTheme="minorHAnsi" w:hAnsiTheme="minorHAnsi" w:cs="Arial"/>
        </w:rPr>
      </w:pPr>
      <w:r w:rsidRPr="002C64C3">
        <w:rPr>
          <w:rFonts w:asciiTheme="minorHAnsi" w:hAnsiTheme="minorHAnsi" w:cs="Arial"/>
        </w:rPr>
        <w:t>The government should seek to improve investment in energy security by removing barriers to investment in this sector such as:</w:t>
      </w:r>
    </w:p>
    <w:p w14:paraId="517047E8" w14:textId="77777777" w:rsidR="002C64C3" w:rsidRPr="002C64C3" w:rsidRDefault="002C64C3" w:rsidP="002C64C3">
      <w:pPr>
        <w:numPr>
          <w:ilvl w:val="0"/>
          <w:numId w:val="46"/>
        </w:numPr>
        <w:autoSpaceDE w:val="0"/>
        <w:autoSpaceDN w:val="0"/>
        <w:adjustRightInd w:val="0"/>
        <w:rPr>
          <w:rFonts w:asciiTheme="minorHAnsi" w:hAnsiTheme="minorHAnsi" w:cs="Arial"/>
        </w:rPr>
      </w:pPr>
      <w:r w:rsidRPr="002C64C3">
        <w:rPr>
          <w:rFonts w:asciiTheme="minorHAnsi" w:hAnsiTheme="minorHAnsi" w:cs="Arial"/>
        </w:rPr>
        <w:t>streamlining approvals for new or expanded facilities or port deepening,</w:t>
      </w:r>
    </w:p>
    <w:p w14:paraId="5B8362D3" w14:textId="77777777" w:rsidR="002C64C3" w:rsidRPr="002C64C3" w:rsidRDefault="002C64C3" w:rsidP="002C64C3">
      <w:pPr>
        <w:numPr>
          <w:ilvl w:val="0"/>
          <w:numId w:val="46"/>
        </w:numPr>
        <w:autoSpaceDE w:val="0"/>
        <w:autoSpaceDN w:val="0"/>
        <w:adjustRightInd w:val="0"/>
        <w:rPr>
          <w:rFonts w:asciiTheme="minorHAnsi" w:hAnsiTheme="minorHAnsi" w:cs="Arial"/>
        </w:rPr>
      </w:pPr>
      <w:r w:rsidRPr="002C64C3">
        <w:rPr>
          <w:rFonts w:asciiTheme="minorHAnsi" w:hAnsiTheme="minorHAnsi" w:cs="Arial"/>
        </w:rPr>
        <w:t>providing a stable policy and investment environment for the industry, and</w:t>
      </w:r>
    </w:p>
    <w:p w14:paraId="5A7326CC" w14:textId="21500D36" w:rsidR="002C64C3" w:rsidRPr="002C64C3" w:rsidRDefault="002C64C3" w:rsidP="002C64C3">
      <w:pPr>
        <w:numPr>
          <w:ilvl w:val="0"/>
          <w:numId w:val="46"/>
        </w:numPr>
        <w:autoSpaceDE w:val="0"/>
        <w:autoSpaceDN w:val="0"/>
        <w:adjustRightInd w:val="0"/>
        <w:rPr>
          <w:rFonts w:asciiTheme="minorHAnsi" w:hAnsiTheme="minorHAnsi" w:cs="Arial"/>
        </w:rPr>
      </w:pPr>
      <w:r w:rsidRPr="002C64C3">
        <w:rPr>
          <w:rFonts w:asciiTheme="minorHAnsi" w:hAnsiTheme="minorHAnsi" w:cs="Arial"/>
        </w:rPr>
        <w:t>ensu</w:t>
      </w:r>
      <w:r w:rsidR="008E497C">
        <w:rPr>
          <w:rFonts w:asciiTheme="minorHAnsi" w:hAnsiTheme="minorHAnsi" w:cs="Arial"/>
        </w:rPr>
        <w:t>r</w:t>
      </w:r>
      <w:r w:rsidRPr="002C64C3">
        <w:rPr>
          <w:rFonts w:asciiTheme="minorHAnsi" w:hAnsiTheme="minorHAnsi" w:cs="Arial"/>
        </w:rPr>
        <w:t xml:space="preserve">ing research and development policies encourage the development of transport fuels. </w:t>
      </w:r>
    </w:p>
    <w:p w14:paraId="2AADA1E8" w14:textId="77777777" w:rsidR="002C64C3" w:rsidRDefault="002C64C3" w:rsidP="00CE418C">
      <w:pPr>
        <w:autoSpaceDE w:val="0"/>
        <w:autoSpaceDN w:val="0"/>
        <w:adjustRightInd w:val="0"/>
        <w:rPr>
          <w:rFonts w:asciiTheme="minorHAnsi" w:hAnsiTheme="minorHAnsi" w:cs="Arial"/>
          <w:b/>
          <w:sz w:val="24"/>
          <w:lang w:eastAsia="en-AU"/>
        </w:rPr>
      </w:pPr>
    </w:p>
    <w:p w14:paraId="098DCA0F" w14:textId="7F00592D" w:rsidR="00CE418C" w:rsidRPr="007A4A11" w:rsidRDefault="00F13E75" w:rsidP="00CE418C">
      <w:pPr>
        <w:autoSpaceDE w:val="0"/>
        <w:autoSpaceDN w:val="0"/>
        <w:adjustRightInd w:val="0"/>
        <w:rPr>
          <w:rFonts w:asciiTheme="minorHAnsi" w:hAnsiTheme="minorHAnsi" w:cs="Arial"/>
          <w:b/>
          <w:sz w:val="24"/>
          <w:lang w:eastAsia="en-AU"/>
        </w:rPr>
      </w:pPr>
      <w:r w:rsidRPr="007A4A11">
        <w:rPr>
          <w:rFonts w:asciiTheme="minorHAnsi" w:hAnsiTheme="minorHAnsi" w:cs="Arial"/>
          <w:b/>
          <w:sz w:val="24"/>
          <w:lang w:eastAsia="en-AU"/>
        </w:rPr>
        <w:t>R</w:t>
      </w:r>
      <w:r w:rsidR="001B70BF" w:rsidRPr="007A4A11">
        <w:rPr>
          <w:rFonts w:asciiTheme="minorHAnsi" w:hAnsiTheme="minorHAnsi" w:cs="Arial"/>
          <w:b/>
          <w:sz w:val="24"/>
          <w:lang w:eastAsia="en-AU"/>
        </w:rPr>
        <w:t>ecommendation 5</w:t>
      </w:r>
    </w:p>
    <w:p w14:paraId="676DABB7" w14:textId="77777777" w:rsidR="00FB3E42" w:rsidRPr="007A4A11" w:rsidRDefault="00FB3E42" w:rsidP="00FB3E42">
      <w:pPr>
        <w:autoSpaceDE w:val="0"/>
        <w:autoSpaceDN w:val="0"/>
        <w:adjustRightInd w:val="0"/>
        <w:rPr>
          <w:rFonts w:asciiTheme="minorHAnsi" w:hAnsiTheme="minorHAnsi" w:cs="Arial"/>
          <w:lang w:eastAsia="en-AU"/>
        </w:rPr>
      </w:pPr>
    </w:p>
    <w:p w14:paraId="75616E88" w14:textId="77777777" w:rsidR="00FB3E42" w:rsidRPr="007A4A11" w:rsidRDefault="00FB3E42" w:rsidP="00FB3E42">
      <w:pPr>
        <w:autoSpaceDE w:val="0"/>
        <w:autoSpaceDN w:val="0"/>
        <w:adjustRightInd w:val="0"/>
        <w:rPr>
          <w:rFonts w:asciiTheme="minorHAnsi" w:hAnsiTheme="minorHAnsi" w:cs="Arial"/>
          <w:lang w:eastAsia="en-AU"/>
        </w:rPr>
      </w:pPr>
      <w:r w:rsidRPr="007A4A11">
        <w:rPr>
          <w:rFonts w:asciiTheme="minorHAnsi" w:hAnsiTheme="minorHAnsi" w:cs="Arial"/>
          <w:lang w:eastAsia="en-AU"/>
        </w:rPr>
        <w:t>The Government should provide a positive investment environment for alternative fuel infrastructure in order to support the heavy vehicle industry use of CNG/LNG heavy vehicles.</w:t>
      </w:r>
    </w:p>
    <w:p w14:paraId="6824DBAB" w14:textId="77777777" w:rsidR="00CE418C" w:rsidRPr="007A4A11" w:rsidRDefault="00CE418C" w:rsidP="001F3FD2">
      <w:pPr>
        <w:autoSpaceDE w:val="0"/>
        <w:autoSpaceDN w:val="0"/>
        <w:adjustRightInd w:val="0"/>
        <w:rPr>
          <w:rFonts w:asciiTheme="minorHAnsi" w:hAnsiTheme="minorHAnsi" w:cs="Arial"/>
          <w:highlight w:val="white"/>
          <w:lang w:eastAsia="en-AU"/>
        </w:rPr>
      </w:pPr>
    </w:p>
    <w:p w14:paraId="2DA14CCD" w14:textId="23AC84F1" w:rsidR="00CE418C" w:rsidRPr="007A4A11" w:rsidRDefault="00117370" w:rsidP="00CE418C">
      <w:pPr>
        <w:autoSpaceDE w:val="0"/>
        <w:autoSpaceDN w:val="0"/>
        <w:adjustRightInd w:val="0"/>
        <w:rPr>
          <w:rFonts w:asciiTheme="minorHAnsi" w:hAnsiTheme="minorHAnsi" w:cs="Arial"/>
          <w:b/>
          <w:sz w:val="24"/>
          <w:highlight w:val="white"/>
          <w:lang w:eastAsia="en-AU"/>
        </w:rPr>
      </w:pPr>
      <w:r w:rsidRPr="007A4A11">
        <w:rPr>
          <w:rFonts w:asciiTheme="minorHAnsi" w:hAnsiTheme="minorHAnsi" w:cs="Arial"/>
          <w:b/>
          <w:sz w:val="24"/>
          <w:highlight w:val="white"/>
          <w:lang w:eastAsia="en-AU"/>
        </w:rPr>
        <w:t>Recommendation 6</w:t>
      </w:r>
    </w:p>
    <w:p w14:paraId="200C1BCF" w14:textId="77777777" w:rsidR="00CE418C" w:rsidRPr="007A4A11" w:rsidRDefault="00CE418C" w:rsidP="00CE418C">
      <w:pPr>
        <w:autoSpaceDE w:val="0"/>
        <w:autoSpaceDN w:val="0"/>
        <w:adjustRightInd w:val="0"/>
        <w:rPr>
          <w:rFonts w:asciiTheme="minorHAnsi" w:hAnsiTheme="minorHAnsi" w:cs="Arial"/>
          <w:highlight w:val="white"/>
          <w:lang w:eastAsia="en-AU"/>
        </w:rPr>
      </w:pPr>
    </w:p>
    <w:p w14:paraId="0B9384AE" w14:textId="77777777" w:rsidR="00CE418C" w:rsidRPr="007A4A11" w:rsidRDefault="00CE418C" w:rsidP="00CE418C">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 xml:space="preserve">The Government should support research into renewable fuels such as algal biofuel in order to provide a diverse range of fuels for the industry to use. </w:t>
      </w:r>
    </w:p>
    <w:p w14:paraId="690C2F06" w14:textId="77777777" w:rsidR="00CE418C" w:rsidRPr="007A4A11" w:rsidRDefault="00CE418C" w:rsidP="001F3FD2">
      <w:pPr>
        <w:autoSpaceDE w:val="0"/>
        <w:autoSpaceDN w:val="0"/>
        <w:adjustRightInd w:val="0"/>
        <w:rPr>
          <w:rFonts w:asciiTheme="minorHAnsi" w:hAnsiTheme="minorHAnsi" w:cs="Arial"/>
          <w:highlight w:val="white"/>
          <w:lang w:eastAsia="en-AU"/>
        </w:rPr>
      </w:pPr>
    </w:p>
    <w:p w14:paraId="18D1727C" w14:textId="19A2CD98" w:rsidR="00CE418C" w:rsidRPr="007A4A11" w:rsidRDefault="00117370" w:rsidP="00CE418C">
      <w:pPr>
        <w:autoSpaceDE w:val="0"/>
        <w:autoSpaceDN w:val="0"/>
        <w:adjustRightInd w:val="0"/>
        <w:rPr>
          <w:rFonts w:asciiTheme="minorHAnsi" w:hAnsiTheme="minorHAnsi" w:cs="Arial"/>
          <w:b/>
          <w:sz w:val="24"/>
          <w:highlight w:val="white"/>
          <w:lang w:eastAsia="en-AU"/>
        </w:rPr>
      </w:pPr>
      <w:r w:rsidRPr="007A4A11">
        <w:rPr>
          <w:rFonts w:asciiTheme="minorHAnsi" w:hAnsiTheme="minorHAnsi" w:cs="Arial"/>
          <w:b/>
          <w:sz w:val="24"/>
          <w:highlight w:val="white"/>
          <w:lang w:eastAsia="en-AU"/>
        </w:rPr>
        <w:t>Recommendation 7</w:t>
      </w:r>
    </w:p>
    <w:p w14:paraId="3621B3DF" w14:textId="77777777" w:rsidR="00CE418C" w:rsidRPr="007A4A11" w:rsidRDefault="00CE418C" w:rsidP="00CE418C">
      <w:pPr>
        <w:autoSpaceDE w:val="0"/>
        <w:autoSpaceDN w:val="0"/>
        <w:adjustRightInd w:val="0"/>
        <w:rPr>
          <w:rFonts w:asciiTheme="minorHAnsi" w:hAnsiTheme="minorHAnsi" w:cs="Arial"/>
          <w:highlight w:val="white"/>
          <w:u w:val="single"/>
          <w:lang w:eastAsia="en-AU"/>
        </w:rPr>
      </w:pPr>
    </w:p>
    <w:p w14:paraId="45FE4E06" w14:textId="16290108" w:rsidR="00CE418C" w:rsidRPr="007A4A11" w:rsidRDefault="00CE418C" w:rsidP="00CE418C">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The Government should develop an integrated and effective plan to remove the regulatory impediments preventing the use</w:t>
      </w:r>
      <w:r w:rsidR="0014134A">
        <w:rPr>
          <w:rFonts w:asciiTheme="minorHAnsi" w:hAnsiTheme="minorHAnsi" w:cs="Arial"/>
          <w:highlight w:val="white"/>
          <w:lang w:eastAsia="en-AU"/>
        </w:rPr>
        <w:t xml:space="preserve"> of high productivity vehicles that contribute to improved fuel efficiency of use. </w:t>
      </w:r>
    </w:p>
    <w:p w14:paraId="4804181E" w14:textId="77777777" w:rsidR="00CE418C" w:rsidRPr="007A4A11" w:rsidRDefault="00CE418C" w:rsidP="00CE418C">
      <w:pPr>
        <w:autoSpaceDE w:val="0"/>
        <w:autoSpaceDN w:val="0"/>
        <w:adjustRightInd w:val="0"/>
        <w:rPr>
          <w:rFonts w:asciiTheme="minorHAnsi" w:hAnsiTheme="minorHAnsi" w:cs="Arial"/>
          <w:highlight w:val="white"/>
          <w:u w:val="single"/>
          <w:lang w:eastAsia="en-AU"/>
        </w:rPr>
      </w:pPr>
    </w:p>
    <w:p w14:paraId="601E0BDE" w14:textId="00A90176" w:rsidR="00CE418C" w:rsidRPr="007A4A11" w:rsidRDefault="00117370" w:rsidP="00CE418C">
      <w:pPr>
        <w:autoSpaceDE w:val="0"/>
        <w:autoSpaceDN w:val="0"/>
        <w:adjustRightInd w:val="0"/>
        <w:rPr>
          <w:rFonts w:asciiTheme="minorHAnsi" w:hAnsiTheme="minorHAnsi" w:cs="Arial"/>
          <w:b/>
          <w:sz w:val="24"/>
          <w:highlight w:val="white"/>
          <w:lang w:eastAsia="en-AU"/>
        </w:rPr>
      </w:pPr>
      <w:r w:rsidRPr="007A4A11">
        <w:rPr>
          <w:rFonts w:asciiTheme="minorHAnsi" w:hAnsiTheme="minorHAnsi" w:cs="Arial"/>
          <w:b/>
          <w:sz w:val="24"/>
          <w:highlight w:val="white"/>
          <w:lang w:eastAsia="en-AU"/>
        </w:rPr>
        <w:t>Recommendation 8</w:t>
      </w:r>
    </w:p>
    <w:p w14:paraId="7BBA1CBC" w14:textId="77777777" w:rsidR="00CE418C" w:rsidRPr="007A4A11" w:rsidRDefault="00CE418C" w:rsidP="00CE418C">
      <w:pPr>
        <w:autoSpaceDE w:val="0"/>
        <w:autoSpaceDN w:val="0"/>
        <w:adjustRightInd w:val="0"/>
        <w:rPr>
          <w:rFonts w:asciiTheme="minorHAnsi" w:hAnsiTheme="minorHAnsi" w:cs="Arial"/>
          <w:b/>
          <w:highlight w:val="white"/>
          <w:lang w:eastAsia="en-AU"/>
        </w:rPr>
      </w:pPr>
    </w:p>
    <w:p w14:paraId="3DFBE03F" w14:textId="1E669A91" w:rsidR="00CE418C" w:rsidRPr="007A4A11" w:rsidRDefault="00CE418C" w:rsidP="001F3FD2">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The Government should regulate road and rail freight so each mode is as efficient as possible</w:t>
      </w:r>
      <w:r w:rsidR="004C28F5" w:rsidRPr="007A4A11">
        <w:rPr>
          <w:rFonts w:asciiTheme="minorHAnsi" w:hAnsiTheme="minorHAnsi" w:cs="Arial"/>
          <w:highlight w:val="white"/>
          <w:lang w:eastAsia="en-AU"/>
        </w:rPr>
        <w:t xml:space="preserve">, without regard for potential </w:t>
      </w:r>
      <w:r w:rsidRPr="007A4A11">
        <w:rPr>
          <w:rFonts w:asciiTheme="minorHAnsi" w:hAnsiTheme="minorHAnsi" w:cs="Arial"/>
          <w:highlight w:val="white"/>
          <w:lang w:eastAsia="en-AU"/>
        </w:rPr>
        <w:t>modal shift.</w:t>
      </w:r>
      <w:r w:rsidRPr="007A4A11">
        <w:rPr>
          <w:rFonts w:asciiTheme="minorHAnsi" w:hAnsiTheme="minorHAnsi" w:cs="Arial"/>
          <w:b/>
          <w:highlight w:val="white"/>
          <w:lang w:eastAsia="en-AU"/>
        </w:rPr>
        <w:br/>
      </w:r>
    </w:p>
    <w:p w14:paraId="6B3E1055" w14:textId="77777777" w:rsidR="00117370" w:rsidRPr="007A4A11" w:rsidRDefault="00117370" w:rsidP="001F3FD2">
      <w:pPr>
        <w:autoSpaceDE w:val="0"/>
        <w:autoSpaceDN w:val="0"/>
        <w:adjustRightInd w:val="0"/>
        <w:rPr>
          <w:rFonts w:asciiTheme="minorHAnsi" w:hAnsiTheme="minorHAnsi" w:cs="Arial"/>
          <w:highlight w:val="white"/>
          <w:lang w:eastAsia="en-AU"/>
        </w:rPr>
      </w:pPr>
    </w:p>
    <w:p w14:paraId="47056BAA" w14:textId="77777777" w:rsidR="00117370" w:rsidRPr="007A4A11" w:rsidRDefault="00117370" w:rsidP="001F3FD2">
      <w:pPr>
        <w:autoSpaceDE w:val="0"/>
        <w:autoSpaceDN w:val="0"/>
        <w:adjustRightInd w:val="0"/>
        <w:rPr>
          <w:rFonts w:asciiTheme="minorHAnsi" w:hAnsiTheme="minorHAnsi" w:cs="Arial"/>
          <w:highlight w:val="white"/>
          <w:lang w:eastAsia="en-AU"/>
        </w:rPr>
      </w:pPr>
    </w:p>
    <w:p w14:paraId="36002A0E" w14:textId="77777777" w:rsidR="00117370" w:rsidRPr="007A4A11" w:rsidRDefault="00117370" w:rsidP="001F3FD2">
      <w:pPr>
        <w:autoSpaceDE w:val="0"/>
        <w:autoSpaceDN w:val="0"/>
        <w:adjustRightInd w:val="0"/>
        <w:rPr>
          <w:rFonts w:asciiTheme="minorHAnsi" w:hAnsiTheme="minorHAnsi" w:cs="Arial"/>
          <w:highlight w:val="white"/>
          <w:lang w:eastAsia="en-AU"/>
        </w:rPr>
      </w:pPr>
    </w:p>
    <w:p w14:paraId="1C9B4BB2" w14:textId="55636909" w:rsidR="00B51BDB" w:rsidRPr="007A4A11" w:rsidRDefault="001620CE" w:rsidP="001F3FD2">
      <w:pPr>
        <w:pStyle w:val="Heading1"/>
        <w:rPr>
          <w:rFonts w:asciiTheme="minorHAnsi" w:hAnsiTheme="minorHAnsi"/>
          <w:szCs w:val="22"/>
        </w:rPr>
      </w:pPr>
      <w:bookmarkStart w:id="3" w:name="_Toc400704330"/>
      <w:r w:rsidRPr="007A4A11">
        <w:rPr>
          <w:rFonts w:asciiTheme="minorHAnsi" w:hAnsiTheme="minorHAnsi"/>
          <w:szCs w:val="22"/>
        </w:rPr>
        <w:t xml:space="preserve">Fuel </w:t>
      </w:r>
      <w:r w:rsidR="005D6F57" w:rsidRPr="007A4A11">
        <w:rPr>
          <w:rFonts w:asciiTheme="minorHAnsi" w:hAnsiTheme="minorHAnsi"/>
          <w:szCs w:val="22"/>
        </w:rPr>
        <w:t>Security</w:t>
      </w:r>
      <w:bookmarkEnd w:id="3"/>
    </w:p>
    <w:p w14:paraId="0CB3B027" w14:textId="77777777" w:rsidR="00A55BC0" w:rsidRPr="007A4A11" w:rsidRDefault="00A55BC0" w:rsidP="001F3FD2">
      <w:pPr>
        <w:rPr>
          <w:rFonts w:asciiTheme="minorHAnsi" w:hAnsiTheme="minorHAnsi" w:cs="Arial"/>
        </w:rPr>
      </w:pPr>
    </w:p>
    <w:p w14:paraId="64797C64" w14:textId="45E1DEEE" w:rsidR="00D462EE" w:rsidRPr="007A4A11" w:rsidRDefault="00D462EE" w:rsidP="001F3FD2">
      <w:pPr>
        <w:rPr>
          <w:rFonts w:asciiTheme="minorHAnsi" w:hAnsiTheme="minorHAnsi" w:cs="Arial"/>
        </w:rPr>
      </w:pPr>
      <w:r w:rsidRPr="007A4A11">
        <w:rPr>
          <w:rFonts w:asciiTheme="minorHAnsi" w:hAnsiTheme="minorHAnsi" w:cs="Arial"/>
        </w:rPr>
        <w:t>As the road freight industry is one of the largest consumers of diesel in Australia</w:t>
      </w:r>
      <w:r w:rsidR="002A642E" w:rsidRPr="007A4A11">
        <w:rPr>
          <w:rFonts w:asciiTheme="minorHAnsi" w:hAnsiTheme="minorHAnsi" w:cs="Arial"/>
        </w:rPr>
        <w:t>,</w:t>
      </w:r>
      <w:r w:rsidRPr="007A4A11">
        <w:rPr>
          <w:rFonts w:asciiTheme="minorHAnsi" w:hAnsiTheme="minorHAnsi" w:cs="Arial"/>
        </w:rPr>
        <w:t xml:space="preserve"> fuel security is</w:t>
      </w:r>
      <w:r w:rsidR="00A215F4" w:rsidRPr="007A4A11">
        <w:rPr>
          <w:rFonts w:asciiTheme="minorHAnsi" w:hAnsiTheme="minorHAnsi" w:cs="Arial"/>
        </w:rPr>
        <w:t xml:space="preserve"> key to the viability of the industry. </w:t>
      </w:r>
    </w:p>
    <w:p w14:paraId="4DC0BFCB" w14:textId="77777777" w:rsidR="00617D62" w:rsidRPr="007A4A11" w:rsidRDefault="00617D62" w:rsidP="001F3FD2">
      <w:pPr>
        <w:rPr>
          <w:rFonts w:asciiTheme="minorHAnsi" w:hAnsiTheme="minorHAnsi" w:cs="Arial"/>
        </w:rPr>
      </w:pPr>
    </w:p>
    <w:p w14:paraId="542AAD98" w14:textId="6984DB08" w:rsidR="005D6F57" w:rsidRPr="007A4A11" w:rsidRDefault="002F31AB" w:rsidP="001F3FD2">
      <w:pPr>
        <w:rPr>
          <w:rFonts w:asciiTheme="minorHAnsi" w:hAnsiTheme="minorHAnsi" w:cs="Arial"/>
          <w:b/>
          <w:sz w:val="24"/>
        </w:rPr>
      </w:pPr>
      <w:r w:rsidRPr="007A4A11">
        <w:rPr>
          <w:rFonts w:asciiTheme="minorHAnsi" w:hAnsiTheme="minorHAnsi" w:cs="Arial"/>
          <w:b/>
          <w:sz w:val="24"/>
        </w:rPr>
        <w:t>International Energy Agency (IEA) and emergency response mechanisms</w:t>
      </w:r>
    </w:p>
    <w:p w14:paraId="182AB98A" w14:textId="77777777" w:rsidR="002F31AB" w:rsidRPr="007A4A11" w:rsidRDefault="002F31AB" w:rsidP="001F3FD2">
      <w:pPr>
        <w:rPr>
          <w:rFonts w:asciiTheme="minorHAnsi" w:hAnsiTheme="minorHAnsi" w:cs="Arial"/>
        </w:rPr>
      </w:pPr>
    </w:p>
    <w:p w14:paraId="4046749D" w14:textId="5DF143F5" w:rsidR="00AD0D2D" w:rsidRPr="007A4A11" w:rsidRDefault="00AD0D2D" w:rsidP="001F3FD2">
      <w:pPr>
        <w:rPr>
          <w:rFonts w:asciiTheme="minorHAnsi" w:hAnsiTheme="minorHAnsi" w:cs="Arial"/>
        </w:rPr>
      </w:pPr>
      <w:r w:rsidRPr="007A4A11">
        <w:rPr>
          <w:rFonts w:asciiTheme="minorHAnsi" w:hAnsiTheme="minorHAnsi" w:cs="Arial"/>
        </w:rPr>
        <w:t>Australia is a member of the International Energy Agency (IEA)</w:t>
      </w:r>
      <w:r w:rsidR="00836631" w:rsidRPr="007A4A11">
        <w:rPr>
          <w:rFonts w:asciiTheme="minorHAnsi" w:hAnsiTheme="minorHAnsi" w:cs="Arial"/>
        </w:rPr>
        <w:t xml:space="preserve">, which is an </w:t>
      </w:r>
      <w:r w:rsidRPr="007A4A11">
        <w:rPr>
          <w:rFonts w:asciiTheme="minorHAnsi" w:hAnsiTheme="minorHAnsi" w:cs="Arial"/>
        </w:rPr>
        <w:t xml:space="preserve">autonomous organisation </w:t>
      </w:r>
      <w:r w:rsidR="00C41CBA" w:rsidRPr="007A4A11">
        <w:rPr>
          <w:rFonts w:asciiTheme="minorHAnsi" w:hAnsiTheme="minorHAnsi" w:cs="Arial"/>
        </w:rPr>
        <w:t>that</w:t>
      </w:r>
      <w:r w:rsidRPr="007A4A11">
        <w:rPr>
          <w:rFonts w:asciiTheme="minorHAnsi" w:hAnsiTheme="minorHAnsi" w:cs="Arial"/>
        </w:rPr>
        <w:t xml:space="preserve"> works to ensure reliable, affordable and clean energy for its </w:t>
      </w:r>
      <w:r w:rsidR="00126921" w:rsidRPr="007A4A11">
        <w:rPr>
          <w:rFonts w:asciiTheme="minorHAnsi" w:hAnsiTheme="minorHAnsi" w:cs="Arial"/>
        </w:rPr>
        <w:t>28</w:t>
      </w:r>
      <w:r w:rsidRPr="007A4A11">
        <w:rPr>
          <w:rFonts w:asciiTheme="minorHAnsi" w:hAnsiTheme="minorHAnsi" w:cs="Arial"/>
        </w:rPr>
        <w:t xml:space="preserve"> member countries.</w:t>
      </w:r>
      <w:r w:rsidR="00913802" w:rsidRPr="007A4A11">
        <w:rPr>
          <w:rFonts w:asciiTheme="minorHAnsi" w:hAnsiTheme="minorHAnsi" w:cs="Arial"/>
        </w:rPr>
        <w:t xml:space="preserve"> </w:t>
      </w:r>
      <w:r w:rsidRPr="007A4A11">
        <w:rPr>
          <w:rFonts w:asciiTheme="minorHAnsi" w:hAnsiTheme="minorHAnsi" w:cs="Arial"/>
        </w:rPr>
        <w:t>IEA’s initial role</w:t>
      </w:r>
      <w:r w:rsidR="00905421" w:rsidRPr="007A4A11">
        <w:rPr>
          <w:rFonts w:asciiTheme="minorHAnsi" w:hAnsiTheme="minorHAnsi" w:cs="Arial"/>
        </w:rPr>
        <w:t xml:space="preserve"> in the </w:t>
      </w:r>
      <w:proofErr w:type="spellStart"/>
      <w:r w:rsidR="00905421" w:rsidRPr="007A4A11">
        <w:rPr>
          <w:rFonts w:asciiTheme="minorHAnsi" w:hAnsiTheme="minorHAnsi" w:cs="Arial"/>
        </w:rPr>
        <w:t>1970s</w:t>
      </w:r>
      <w:proofErr w:type="spellEnd"/>
      <w:r w:rsidRPr="007A4A11">
        <w:rPr>
          <w:rFonts w:asciiTheme="minorHAnsi" w:hAnsiTheme="minorHAnsi" w:cs="Arial"/>
        </w:rPr>
        <w:t xml:space="preserve"> was to help countries co-ordinate a collective response to major disruptions in oil supply through the release of emergency oil stocks to the markets.</w:t>
      </w:r>
      <w:r w:rsidR="007D03F4" w:rsidRPr="007A4A11">
        <w:rPr>
          <w:rFonts w:asciiTheme="minorHAnsi" w:hAnsiTheme="minorHAnsi" w:cs="Arial"/>
        </w:rPr>
        <w:t xml:space="preserve"> </w:t>
      </w:r>
      <w:r w:rsidRPr="007A4A11">
        <w:rPr>
          <w:rFonts w:asciiTheme="minorHAnsi" w:hAnsiTheme="minorHAnsi" w:cs="Arial"/>
        </w:rPr>
        <w:t xml:space="preserve">Today, the </w:t>
      </w:r>
      <w:r w:rsidR="00E428B2" w:rsidRPr="007A4A11">
        <w:rPr>
          <w:rFonts w:asciiTheme="minorHAnsi" w:hAnsiTheme="minorHAnsi" w:cs="Arial"/>
        </w:rPr>
        <w:t xml:space="preserve">IEA’s </w:t>
      </w:r>
      <w:r w:rsidR="00C41CBA" w:rsidRPr="007A4A11">
        <w:rPr>
          <w:rFonts w:asciiTheme="minorHAnsi" w:hAnsiTheme="minorHAnsi" w:cs="Arial"/>
        </w:rPr>
        <w:t>focus is on</w:t>
      </w:r>
      <w:r w:rsidR="00E428B2" w:rsidRPr="007A4A11">
        <w:rPr>
          <w:rFonts w:asciiTheme="minorHAnsi" w:hAnsiTheme="minorHAnsi" w:cs="Arial"/>
        </w:rPr>
        <w:t xml:space="preserve"> energy security, economic development, environmental awareness and engagement worldwide. </w:t>
      </w:r>
    </w:p>
    <w:p w14:paraId="7506830F" w14:textId="77777777" w:rsidR="007D03F4" w:rsidRPr="007A4A11" w:rsidRDefault="007D03F4" w:rsidP="001F3FD2">
      <w:pPr>
        <w:rPr>
          <w:rFonts w:asciiTheme="minorHAnsi" w:hAnsiTheme="minorHAnsi" w:cs="Arial"/>
        </w:rPr>
      </w:pPr>
    </w:p>
    <w:p w14:paraId="0FE7F1DC" w14:textId="1D348094" w:rsidR="007D03F4" w:rsidRPr="007A4A11" w:rsidRDefault="007D03F4" w:rsidP="001F3FD2">
      <w:pPr>
        <w:pStyle w:val="NormalWeb"/>
        <w:spacing w:before="0" w:beforeAutospacing="0" w:after="225" w:afterAutospacing="0"/>
        <w:textAlignment w:val="baseline"/>
        <w:rPr>
          <w:rFonts w:asciiTheme="minorHAnsi" w:hAnsiTheme="minorHAnsi" w:cs="Arial"/>
          <w:sz w:val="22"/>
          <w:szCs w:val="22"/>
        </w:rPr>
      </w:pPr>
      <w:r w:rsidRPr="007A4A11">
        <w:rPr>
          <w:rFonts w:asciiTheme="minorHAnsi" w:hAnsiTheme="minorHAnsi" w:cs="Arial"/>
          <w:sz w:val="22"/>
          <w:szCs w:val="22"/>
        </w:rPr>
        <w:t xml:space="preserve">In order to be a member of the IEA countries must: </w:t>
      </w:r>
    </w:p>
    <w:p w14:paraId="6E6A0E87" w14:textId="12116731" w:rsidR="007D03F4" w:rsidRPr="007A4A11" w:rsidRDefault="007D03F4" w:rsidP="001F3FD2">
      <w:pPr>
        <w:pStyle w:val="NormalWeb"/>
        <w:numPr>
          <w:ilvl w:val="0"/>
          <w:numId w:val="39"/>
        </w:numPr>
        <w:spacing w:before="0" w:beforeAutospacing="0" w:after="0" w:afterAutospacing="0"/>
        <w:textAlignment w:val="baseline"/>
        <w:rPr>
          <w:rFonts w:asciiTheme="minorHAnsi" w:hAnsiTheme="minorHAnsi" w:cs="Arial"/>
          <w:sz w:val="22"/>
          <w:szCs w:val="22"/>
        </w:rPr>
      </w:pPr>
      <w:r w:rsidRPr="007A4A11">
        <w:rPr>
          <w:rFonts w:asciiTheme="minorHAnsi" w:hAnsiTheme="minorHAnsi" w:cs="Arial"/>
          <w:sz w:val="22"/>
          <w:szCs w:val="22"/>
        </w:rPr>
        <w:t xml:space="preserve">Be a </w:t>
      </w:r>
      <w:r w:rsidR="00CE677E" w:rsidRPr="007A4A11">
        <w:rPr>
          <w:rFonts w:asciiTheme="minorHAnsi" w:hAnsiTheme="minorHAnsi" w:cs="Arial"/>
          <w:sz w:val="22"/>
          <w:szCs w:val="22"/>
        </w:rPr>
        <w:t>member of the</w:t>
      </w:r>
      <w:r w:rsidR="00DB089A" w:rsidRPr="007A4A11">
        <w:rPr>
          <w:rFonts w:asciiTheme="minorHAnsi" w:hAnsiTheme="minorHAnsi" w:cs="Arial"/>
          <w:sz w:val="22"/>
          <w:szCs w:val="22"/>
        </w:rPr>
        <w:t xml:space="preserve"> Organisation for Economic Co-operation and Development</w:t>
      </w:r>
      <w:r w:rsidRPr="007A4A11">
        <w:rPr>
          <w:rFonts w:asciiTheme="minorHAnsi" w:hAnsiTheme="minorHAnsi" w:cs="Arial"/>
          <w:sz w:val="22"/>
          <w:szCs w:val="22"/>
        </w:rPr>
        <w:t xml:space="preserve"> </w:t>
      </w:r>
      <w:r w:rsidR="00DB089A" w:rsidRPr="007A4A11">
        <w:rPr>
          <w:rFonts w:asciiTheme="minorHAnsi" w:hAnsiTheme="minorHAnsi" w:cs="Arial"/>
          <w:sz w:val="22"/>
          <w:szCs w:val="22"/>
        </w:rPr>
        <w:t>(</w:t>
      </w:r>
      <w:r w:rsidRPr="007A4A11">
        <w:rPr>
          <w:rFonts w:asciiTheme="minorHAnsi" w:hAnsiTheme="minorHAnsi" w:cs="Arial"/>
          <w:sz w:val="22"/>
          <w:szCs w:val="22"/>
        </w:rPr>
        <w:t>OECD</w:t>
      </w:r>
      <w:r w:rsidR="00DB089A" w:rsidRPr="007A4A11">
        <w:rPr>
          <w:rFonts w:asciiTheme="minorHAnsi" w:hAnsiTheme="minorHAnsi" w:cs="Arial"/>
          <w:sz w:val="22"/>
          <w:szCs w:val="22"/>
        </w:rPr>
        <w:t>)</w:t>
      </w:r>
      <w:r w:rsidRPr="007A4A11">
        <w:rPr>
          <w:rFonts w:asciiTheme="minorHAnsi" w:hAnsiTheme="minorHAnsi" w:cs="Arial"/>
          <w:sz w:val="22"/>
          <w:szCs w:val="22"/>
        </w:rPr>
        <w:t xml:space="preserve">, </w:t>
      </w:r>
    </w:p>
    <w:p w14:paraId="0300241C" w14:textId="77777777" w:rsidR="007D03F4" w:rsidRPr="007A4A11" w:rsidRDefault="007D03F4" w:rsidP="001F3FD2">
      <w:pPr>
        <w:pStyle w:val="NormalWeb"/>
        <w:numPr>
          <w:ilvl w:val="0"/>
          <w:numId w:val="39"/>
        </w:numPr>
        <w:spacing w:before="0" w:beforeAutospacing="0" w:after="0" w:afterAutospacing="0"/>
        <w:textAlignment w:val="baseline"/>
        <w:rPr>
          <w:rFonts w:asciiTheme="minorHAnsi" w:hAnsiTheme="minorHAnsi" w:cs="Arial"/>
          <w:sz w:val="22"/>
          <w:szCs w:val="22"/>
        </w:rPr>
      </w:pPr>
      <w:r w:rsidRPr="007A4A11">
        <w:rPr>
          <w:rFonts w:asciiTheme="minorHAnsi" w:hAnsiTheme="minorHAnsi" w:cs="Arial"/>
          <w:sz w:val="22"/>
          <w:szCs w:val="22"/>
        </w:rPr>
        <w:t>have</w:t>
      </w:r>
      <w:r w:rsidR="00AD0D2D" w:rsidRPr="007A4A11">
        <w:rPr>
          <w:rFonts w:asciiTheme="minorHAnsi" w:hAnsiTheme="minorHAnsi" w:cs="Arial"/>
          <w:sz w:val="22"/>
          <w:szCs w:val="22"/>
        </w:rPr>
        <w:t xml:space="preserve"> reserves of crude oil and/or product equivalent to 90 days of the prior year’s average net oil imports to which the government (even if it does not own those stocks directly) has immediate access should the Co-ordinated Emergency Response Measures (</w:t>
      </w:r>
      <w:proofErr w:type="spellStart"/>
      <w:r w:rsidR="00AD0D2D" w:rsidRPr="007A4A11">
        <w:rPr>
          <w:rFonts w:asciiTheme="minorHAnsi" w:hAnsiTheme="minorHAnsi" w:cs="Arial"/>
          <w:sz w:val="22"/>
          <w:szCs w:val="22"/>
        </w:rPr>
        <w:t>CERM</w:t>
      </w:r>
      <w:proofErr w:type="spellEnd"/>
      <w:r w:rsidR="00AD0D2D" w:rsidRPr="007A4A11">
        <w:rPr>
          <w:rFonts w:asciiTheme="minorHAnsi" w:hAnsiTheme="minorHAnsi" w:cs="Arial"/>
          <w:sz w:val="22"/>
          <w:szCs w:val="22"/>
        </w:rPr>
        <w:t>) – which provide a rapid and flexible system of response to actual or imminent oil supply disruptions – be activated;</w:t>
      </w:r>
    </w:p>
    <w:p w14:paraId="7CE39AE9" w14:textId="77777777" w:rsidR="007D03F4" w:rsidRPr="007A4A11" w:rsidRDefault="007D03F4" w:rsidP="001F3FD2">
      <w:pPr>
        <w:pStyle w:val="NormalWeb"/>
        <w:numPr>
          <w:ilvl w:val="0"/>
          <w:numId w:val="39"/>
        </w:numPr>
        <w:spacing w:before="0" w:beforeAutospacing="0" w:after="0" w:afterAutospacing="0"/>
        <w:textAlignment w:val="baseline"/>
        <w:rPr>
          <w:rFonts w:asciiTheme="minorHAnsi" w:hAnsiTheme="minorHAnsi" w:cs="Arial"/>
          <w:sz w:val="22"/>
          <w:szCs w:val="22"/>
        </w:rPr>
      </w:pPr>
      <w:r w:rsidRPr="007A4A11">
        <w:rPr>
          <w:rFonts w:asciiTheme="minorHAnsi" w:hAnsiTheme="minorHAnsi" w:cs="Arial"/>
          <w:sz w:val="22"/>
          <w:szCs w:val="22"/>
        </w:rPr>
        <w:t>have a</w:t>
      </w:r>
      <w:r w:rsidR="00AD0D2D" w:rsidRPr="007A4A11">
        <w:rPr>
          <w:rFonts w:asciiTheme="minorHAnsi" w:hAnsiTheme="minorHAnsi" w:cs="Arial"/>
          <w:sz w:val="22"/>
          <w:szCs w:val="22"/>
        </w:rPr>
        <w:t xml:space="preserve"> demand restraint program for reducing national oil consumption by up to 10%;</w:t>
      </w:r>
    </w:p>
    <w:p w14:paraId="5AB79F8B" w14:textId="77777777" w:rsidR="007D03F4" w:rsidRPr="007A4A11" w:rsidRDefault="007D03F4" w:rsidP="001F3FD2">
      <w:pPr>
        <w:pStyle w:val="NormalWeb"/>
        <w:numPr>
          <w:ilvl w:val="0"/>
          <w:numId w:val="39"/>
        </w:numPr>
        <w:spacing w:before="0" w:beforeAutospacing="0" w:after="0" w:afterAutospacing="0"/>
        <w:textAlignment w:val="baseline"/>
        <w:rPr>
          <w:rFonts w:asciiTheme="minorHAnsi" w:hAnsiTheme="minorHAnsi" w:cs="Arial"/>
          <w:sz w:val="22"/>
          <w:szCs w:val="22"/>
        </w:rPr>
      </w:pPr>
      <w:r w:rsidRPr="007A4A11">
        <w:rPr>
          <w:rFonts w:asciiTheme="minorHAnsi" w:hAnsiTheme="minorHAnsi" w:cs="Arial"/>
          <w:sz w:val="22"/>
          <w:szCs w:val="22"/>
        </w:rPr>
        <w:t xml:space="preserve">have </w:t>
      </w:r>
      <w:r w:rsidR="00AD0D2D" w:rsidRPr="007A4A11">
        <w:rPr>
          <w:rFonts w:asciiTheme="minorHAnsi" w:hAnsiTheme="minorHAnsi" w:cs="Arial"/>
          <w:sz w:val="22"/>
          <w:szCs w:val="22"/>
        </w:rPr>
        <w:t xml:space="preserve">legislation and organisation necessary to operate, on a national basis, the </w:t>
      </w:r>
      <w:proofErr w:type="spellStart"/>
      <w:r w:rsidR="00AD0D2D" w:rsidRPr="007A4A11">
        <w:rPr>
          <w:rFonts w:asciiTheme="minorHAnsi" w:hAnsiTheme="minorHAnsi" w:cs="Arial"/>
          <w:sz w:val="22"/>
          <w:szCs w:val="22"/>
        </w:rPr>
        <w:t>CERM</w:t>
      </w:r>
      <w:proofErr w:type="spellEnd"/>
      <w:r w:rsidR="00AD0D2D" w:rsidRPr="007A4A11">
        <w:rPr>
          <w:rFonts w:asciiTheme="minorHAnsi" w:hAnsiTheme="minorHAnsi" w:cs="Arial"/>
          <w:sz w:val="22"/>
          <w:szCs w:val="22"/>
        </w:rPr>
        <w:t>; and</w:t>
      </w:r>
    </w:p>
    <w:p w14:paraId="524A616E" w14:textId="64D21E38" w:rsidR="00AD0D2D" w:rsidRPr="007A4A11" w:rsidRDefault="007D03F4" w:rsidP="001F3FD2">
      <w:pPr>
        <w:pStyle w:val="NormalWeb"/>
        <w:numPr>
          <w:ilvl w:val="0"/>
          <w:numId w:val="39"/>
        </w:numPr>
        <w:spacing w:before="0" w:beforeAutospacing="0" w:after="0" w:afterAutospacing="0"/>
        <w:textAlignment w:val="baseline"/>
        <w:rPr>
          <w:rFonts w:asciiTheme="minorHAnsi" w:hAnsiTheme="minorHAnsi" w:cs="Arial"/>
          <w:sz w:val="22"/>
          <w:szCs w:val="22"/>
        </w:rPr>
      </w:pPr>
      <w:proofErr w:type="gramStart"/>
      <w:r w:rsidRPr="007A4A11">
        <w:rPr>
          <w:rFonts w:asciiTheme="minorHAnsi" w:hAnsiTheme="minorHAnsi" w:cs="Arial"/>
          <w:sz w:val="22"/>
          <w:szCs w:val="22"/>
        </w:rPr>
        <w:t>have</w:t>
      </w:r>
      <w:proofErr w:type="gramEnd"/>
      <w:r w:rsidRPr="007A4A11">
        <w:rPr>
          <w:rFonts w:asciiTheme="minorHAnsi" w:hAnsiTheme="minorHAnsi" w:cs="Arial"/>
          <w:sz w:val="22"/>
          <w:szCs w:val="22"/>
        </w:rPr>
        <w:t xml:space="preserve"> </w:t>
      </w:r>
      <w:r w:rsidR="00AD0D2D" w:rsidRPr="007A4A11">
        <w:rPr>
          <w:rFonts w:asciiTheme="minorHAnsi" w:hAnsiTheme="minorHAnsi" w:cs="Arial"/>
          <w:sz w:val="22"/>
          <w:szCs w:val="22"/>
        </w:rPr>
        <w:t>legislation and measures in place to ensure that all oil companies operating  under its jurisdiction report information as is necessary.</w:t>
      </w:r>
    </w:p>
    <w:p w14:paraId="02356883" w14:textId="77777777" w:rsidR="007D03F4" w:rsidRPr="007A4A11" w:rsidRDefault="007D03F4" w:rsidP="001F3FD2">
      <w:pPr>
        <w:pStyle w:val="NormalWeb"/>
        <w:spacing w:before="0" w:beforeAutospacing="0" w:after="0" w:afterAutospacing="0"/>
        <w:textAlignment w:val="baseline"/>
        <w:rPr>
          <w:rFonts w:asciiTheme="minorHAnsi" w:hAnsiTheme="minorHAnsi" w:cs="Arial"/>
          <w:color w:val="6A6C7F"/>
          <w:sz w:val="22"/>
          <w:szCs w:val="22"/>
        </w:rPr>
      </w:pPr>
    </w:p>
    <w:p w14:paraId="65411FAE" w14:textId="373386F7" w:rsidR="00CE677E" w:rsidRPr="007A4A11" w:rsidRDefault="007D03F4" w:rsidP="001F3FD2">
      <w:pPr>
        <w:pStyle w:val="NormalWeb"/>
        <w:spacing w:before="0" w:beforeAutospacing="0" w:after="0" w:afterAutospacing="0"/>
        <w:textAlignment w:val="baseline"/>
        <w:rPr>
          <w:rFonts w:asciiTheme="minorHAnsi" w:hAnsiTheme="minorHAnsi" w:cs="Arial"/>
          <w:sz w:val="22"/>
          <w:szCs w:val="22"/>
        </w:rPr>
      </w:pPr>
      <w:r w:rsidRPr="007A4A11">
        <w:rPr>
          <w:rFonts w:asciiTheme="minorHAnsi" w:hAnsiTheme="minorHAnsi" w:cs="Arial"/>
          <w:sz w:val="22"/>
          <w:szCs w:val="22"/>
        </w:rPr>
        <w:t xml:space="preserve">IEA has </w:t>
      </w:r>
      <w:r w:rsidR="00905421" w:rsidRPr="007A4A11">
        <w:rPr>
          <w:rFonts w:asciiTheme="minorHAnsi" w:hAnsiTheme="minorHAnsi" w:cs="Arial"/>
          <w:sz w:val="22"/>
          <w:szCs w:val="22"/>
        </w:rPr>
        <w:t>an emergency response mechanism</w:t>
      </w:r>
      <w:r w:rsidRPr="007A4A11">
        <w:rPr>
          <w:rFonts w:asciiTheme="minorHAnsi" w:hAnsiTheme="minorHAnsi" w:cs="Arial"/>
          <w:sz w:val="22"/>
          <w:szCs w:val="22"/>
        </w:rPr>
        <w:t xml:space="preserve"> which was established in </w:t>
      </w:r>
      <w:r w:rsidR="00C41CBA" w:rsidRPr="007A4A11">
        <w:rPr>
          <w:rFonts w:asciiTheme="minorHAnsi" w:hAnsiTheme="minorHAnsi" w:cs="Arial"/>
          <w:sz w:val="22"/>
          <w:szCs w:val="22"/>
        </w:rPr>
        <w:t xml:space="preserve">the </w:t>
      </w:r>
      <w:r w:rsidRPr="007A4A11">
        <w:rPr>
          <w:rFonts w:asciiTheme="minorHAnsi" w:hAnsiTheme="minorHAnsi" w:cs="Arial"/>
          <w:sz w:val="22"/>
          <w:szCs w:val="22"/>
        </w:rPr>
        <w:t>1974 International Energy Programme (IEP). The IEA state ‘</w:t>
      </w:r>
      <w:r w:rsidR="00913802" w:rsidRPr="007A4A11">
        <w:rPr>
          <w:rFonts w:asciiTheme="minorHAnsi" w:hAnsiTheme="minorHAnsi" w:cs="Arial"/>
          <w:sz w:val="22"/>
          <w:szCs w:val="22"/>
        </w:rPr>
        <w:t>The Agreement enables co-ordinated and collective action by requiring IEA countries to hold oil stocks equivalent to at least 90 days of net oil imports and to release stocks, restrain demand, switch to other fuels, and increase domestic production in a timely and coordinated manner in the event of a significant oil supply disruption.</w:t>
      </w:r>
      <w:r w:rsidRPr="007A4A11">
        <w:rPr>
          <w:rFonts w:asciiTheme="minorHAnsi" w:hAnsiTheme="minorHAnsi" w:cs="Arial"/>
          <w:sz w:val="22"/>
          <w:szCs w:val="22"/>
        </w:rPr>
        <w:t>’</w:t>
      </w:r>
    </w:p>
    <w:p w14:paraId="0CEE1B25" w14:textId="08DAD621" w:rsidR="00AD0D2D" w:rsidRPr="007A4A11" w:rsidRDefault="00AD0D2D" w:rsidP="001F3FD2">
      <w:pPr>
        <w:rPr>
          <w:rFonts w:asciiTheme="minorHAnsi" w:hAnsiTheme="minorHAnsi" w:cs="Arial"/>
        </w:rPr>
      </w:pPr>
    </w:p>
    <w:p w14:paraId="3C27BC35" w14:textId="77983D7E" w:rsidR="00B510AE" w:rsidRPr="007A4A11" w:rsidRDefault="0014134A" w:rsidP="00BC0AAB">
      <w:pPr>
        <w:jc w:val="center"/>
        <w:rPr>
          <w:rFonts w:asciiTheme="minorHAnsi" w:hAnsiTheme="minorHAnsi" w:cs="Arial"/>
        </w:rPr>
      </w:pPr>
      <w:r>
        <w:rPr>
          <w:rFonts w:asciiTheme="minorHAnsi" w:hAnsiTheme="minorHAnsi" w:cs="Arial"/>
          <w:noProof/>
          <w:lang w:eastAsia="en-AU"/>
        </w:rPr>
        <w:drawing>
          <wp:inline distT="0" distB="0" distL="0" distR="0" wp14:anchorId="0181F957" wp14:editId="4F67F77A">
            <wp:extent cx="558165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3124200"/>
                    </a:xfrm>
                    <a:prstGeom prst="rect">
                      <a:avLst/>
                    </a:prstGeom>
                    <a:noFill/>
                    <a:ln>
                      <a:noFill/>
                    </a:ln>
                  </pic:spPr>
                </pic:pic>
              </a:graphicData>
            </a:graphic>
          </wp:inline>
        </w:drawing>
      </w:r>
    </w:p>
    <w:p w14:paraId="5C557D22" w14:textId="3570DDD1" w:rsidR="002A642E" w:rsidRPr="007A4A11" w:rsidRDefault="002A642E" w:rsidP="00BC0AAB">
      <w:pPr>
        <w:jc w:val="center"/>
        <w:rPr>
          <w:rFonts w:asciiTheme="minorHAnsi" w:hAnsiTheme="minorHAnsi" w:cs="Arial"/>
        </w:rPr>
      </w:pPr>
      <w:r w:rsidRPr="007A4A11">
        <w:rPr>
          <w:rFonts w:asciiTheme="minorHAnsi" w:hAnsiTheme="minorHAnsi" w:cs="Arial"/>
        </w:rPr>
        <w:t>*</w:t>
      </w:r>
      <w:r w:rsidRPr="007A4A11">
        <w:rPr>
          <w:rStyle w:val="FootnoteReference"/>
          <w:rFonts w:asciiTheme="minorHAnsi" w:hAnsiTheme="minorHAnsi" w:cs="Arial"/>
        </w:rPr>
        <w:footnoteReference w:id="3"/>
      </w:r>
    </w:p>
    <w:p w14:paraId="39CE49E6" w14:textId="69D48628" w:rsidR="00B510AE" w:rsidRPr="007A4A11" w:rsidRDefault="00B510AE" w:rsidP="007A4A11">
      <w:pPr>
        <w:rPr>
          <w:rFonts w:asciiTheme="minorHAnsi" w:hAnsiTheme="minorHAnsi" w:cs="Arial"/>
          <w:sz w:val="16"/>
          <w:szCs w:val="16"/>
        </w:rPr>
      </w:pPr>
      <w:r w:rsidRPr="007A4A11">
        <w:rPr>
          <w:rFonts w:asciiTheme="minorHAnsi" w:hAnsiTheme="minorHAnsi" w:cs="Arial"/>
          <w:sz w:val="16"/>
          <w:szCs w:val="16"/>
        </w:rPr>
        <w:t xml:space="preserve">Source: </w:t>
      </w:r>
      <w:r w:rsidR="007A4A11" w:rsidRPr="007A4A11">
        <w:rPr>
          <w:rFonts w:asciiTheme="minorHAnsi" w:hAnsiTheme="minorHAnsi"/>
          <w:sz w:val="16"/>
          <w:szCs w:val="16"/>
        </w:rPr>
        <w:t>International Energy Agency</w:t>
      </w:r>
      <w:r w:rsidR="007A4A11">
        <w:rPr>
          <w:rFonts w:asciiTheme="minorHAnsi" w:hAnsiTheme="minorHAnsi"/>
          <w:sz w:val="16"/>
          <w:szCs w:val="16"/>
        </w:rPr>
        <w:t>,</w:t>
      </w:r>
      <w:r w:rsidR="007A4A11" w:rsidRPr="007A4A11">
        <w:rPr>
          <w:rFonts w:asciiTheme="minorHAnsi" w:hAnsiTheme="minorHAnsi"/>
          <w:sz w:val="16"/>
          <w:szCs w:val="16"/>
        </w:rPr>
        <w:t xml:space="preserve"> Closing</w:t>
      </w:r>
      <w:r w:rsidR="007A4A11" w:rsidRPr="007A4A11">
        <w:rPr>
          <w:rFonts w:asciiTheme="minorHAnsi" w:hAnsiTheme="minorHAnsi"/>
          <w:i/>
          <w:sz w:val="16"/>
          <w:szCs w:val="16"/>
        </w:rPr>
        <w:t xml:space="preserve"> Oil stock Levels in Days of Net Imports as of June 2014, </w:t>
      </w:r>
      <w:r w:rsidR="007A4A11" w:rsidRPr="007A4A11">
        <w:rPr>
          <w:rFonts w:asciiTheme="minorHAnsi" w:hAnsiTheme="minorHAnsi"/>
          <w:sz w:val="16"/>
          <w:szCs w:val="16"/>
        </w:rPr>
        <w:t xml:space="preserve">Accessible at </w:t>
      </w:r>
      <w:hyperlink r:id="rId12" w:history="1">
        <w:r w:rsidR="007A4A11" w:rsidRPr="007A4A11">
          <w:rPr>
            <w:rStyle w:val="Hyperlink"/>
            <w:rFonts w:asciiTheme="minorHAnsi" w:hAnsiTheme="minorHAnsi"/>
            <w:sz w:val="16"/>
            <w:szCs w:val="16"/>
          </w:rPr>
          <w:t>www.iea.org/netimports</w:t>
        </w:r>
      </w:hyperlink>
      <w:r w:rsidR="007A4A11" w:rsidRPr="007A4A11">
        <w:rPr>
          <w:rFonts w:asciiTheme="minorHAnsi" w:hAnsiTheme="minorHAnsi"/>
          <w:sz w:val="16"/>
          <w:szCs w:val="16"/>
        </w:rPr>
        <w:t>, 2014</w:t>
      </w:r>
      <w:r w:rsidRPr="007A4A11">
        <w:rPr>
          <w:rFonts w:asciiTheme="minorHAnsi" w:hAnsiTheme="minorHAnsi" w:cs="Arial"/>
          <w:sz w:val="16"/>
          <w:szCs w:val="16"/>
        </w:rPr>
        <w:t xml:space="preserve"> </w:t>
      </w:r>
    </w:p>
    <w:p w14:paraId="7EFDF8F3" w14:textId="77777777" w:rsidR="009D6969" w:rsidRPr="007A4A11" w:rsidRDefault="009D6969" w:rsidP="001F3FD2">
      <w:pPr>
        <w:rPr>
          <w:rFonts w:asciiTheme="minorHAnsi" w:hAnsiTheme="minorHAnsi" w:cs="Arial"/>
        </w:rPr>
      </w:pPr>
    </w:p>
    <w:p w14:paraId="1E9356E0" w14:textId="05EBC3CA" w:rsidR="009248A8" w:rsidRPr="007A4A11" w:rsidRDefault="00A60F96" w:rsidP="001F3FD2">
      <w:pPr>
        <w:rPr>
          <w:rFonts w:asciiTheme="minorHAnsi" w:hAnsiTheme="minorHAnsi" w:cs="Arial"/>
        </w:rPr>
      </w:pPr>
      <w:r w:rsidRPr="007A4A11">
        <w:rPr>
          <w:rFonts w:asciiTheme="minorHAnsi" w:hAnsiTheme="minorHAnsi" w:cs="Arial"/>
        </w:rPr>
        <w:lastRenderedPageBreak/>
        <w:t xml:space="preserve">Australia has not met </w:t>
      </w:r>
      <w:r w:rsidR="00B510AE" w:rsidRPr="007A4A11">
        <w:rPr>
          <w:rFonts w:asciiTheme="minorHAnsi" w:hAnsiTheme="minorHAnsi" w:cs="Arial"/>
        </w:rPr>
        <w:t xml:space="preserve">the 90 days minimum since December 2009. </w:t>
      </w:r>
      <w:r w:rsidR="004C28F5" w:rsidRPr="007A4A11">
        <w:rPr>
          <w:rFonts w:asciiTheme="minorHAnsi" w:hAnsiTheme="minorHAnsi" w:cs="Arial"/>
        </w:rPr>
        <w:t>The c</w:t>
      </w:r>
      <w:r w:rsidR="00B510AE" w:rsidRPr="007A4A11">
        <w:rPr>
          <w:rFonts w:asciiTheme="minorHAnsi" w:hAnsiTheme="minorHAnsi" w:cs="Arial"/>
        </w:rPr>
        <w:t>urrent stock of Australian fuel holding sta</w:t>
      </w:r>
      <w:r w:rsidR="001F3FD2" w:rsidRPr="007A4A11">
        <w:rPr>
          <w:rFonts w:asciiTheme="minorHAnsi" w:hAnsiTheme="minorHAnsi" w:cs="Arial"/>
        </w:rPr>
        <w:t xml:space="preserve">nds at 52 days, which is </w:t>
      </w:r>
      <w:r w:rsidR="004C28F5" w:rsidRPr="007A4A11">
        <w:rPr>
          <w:rFonts w:asciiTheme="minorHAnsi" w:hAnsiTheme="minorHAnsi" w:cs="Arial"/>
        </w:rPr>
        <w:t>lowest</w:t>
      </w:r>
      <w:r w:rsidR="001F3FD2" w:rsidRPr="007A4A11">
        <w:rPr>
          <w:rFonts w:asciiTheme="minorHAnsi" w:hAnsiTheme="minorHAnsi" w:cs="Arial"/>
        </w:rPr>
        <w:t xml:space="preserve"> of the IEA member countries</w:t>
      </w:r>
      <w:r w:rsidR="009D6969" w:rsidRPr="007A4A11">
        <w:rPr>
          <w:rFonts w:asciiTheme="minorHAnsi" w:hAnsiTheme="minorHAnsi" w:cs="Arial"/>
        </w:rPr>
        <w:t>. Luxembourg is the next lowest oil stock country with 89 days</w:t>
      </w:r>
      <w:r w:rsidR="009D6969" w:rsidRPr="007A4A11">
        <w:rPr>
          <w:rStyle w:val="FootnoteReference"/>
          <w:rFonts w:asciiTheme="minorHAnsi" w:hAnsiTheme="minorHAnsi" w:cs="Arial"/>
        </w:rPr>
        <w:footnoteReference w:id="4"/>
      </w:r>
      <w:r w:rsidR="009D6969" w:rsidRPr="007A4A11">
        <w:rPr>
          <w:rFonts w:asciiTheme="minorHAnsi" w:hAnsiTheme="minorHAnsi" w:cs="Arial"/>
        </w:rPr>
        <w:t xml:space="preserve">. </w:t>
      </w:r>
    </w:p>
    <w:p w14:paraId="4F9C04B0" w14:textId="77777777" w:rsidR="009248A8" w:rsidRPr="007A4A11" w:rsidRDefault="009248A8" w:rsidP="001F3FD2">
      <w:pPr>
        <w:rPr>
          <w:rFonts w:asciiTheme="minorHAnsi" w:hAnsiTheme="minorHAnsi" w:cs="Arial"/>
        </w:rPr>
      </w:pPr>
    </w:p>
    <w:p w14:paraId="4C0E18C6" w14:textId="15789FED" w:rsidR="009248A8" w:rsidRPr="007A4A11" w:rsidRDefault="009248A8" w:rsidP="001F3FD2">
      <w:pPr>
        <w:rPr>
          <w:rFonts w:asciiTheme="minorHAnsi" w:hAnsiTheme="minorHAnsi" w:cs="Arial"/>
        </w:rPr>
      </w:pPr>
      <w:r w:rsidRPr="007A4A11">
        <w:rPr>
          <w:rFonts w:asciiTheme="minorHAnsi" w:hAnsiTheme="minorHAnsi" w:cs="Arial"/>
        </w:rPr>
        <w:t>The Liquid Fuel security Vulnerability Assessment in 2011 stated that Australia’s 90 day stockholding is likely to worsen with the increase in net imports.</w:t>
      </w:r>
      <w:r w:rsidRPr="007A4A11">
        <w:rPr>
          <w:rFonts w:asciiTheme="minorHAnsi" w:hAnsiTheme="minorHAnsi" w:cs="Arial"/>
          <w:vertAlign w:val="superscript"/>
        </w:rPr>
        <w:footnoteReference w:id="5"/>
      </w:r>
      <w:r w:rsidRPr="007A4A11">
        <w:rPr>
          <w:rFonts w:asciiTheme="minorHAnsi" w:hAnsiTheme="minorHAnsi" w:cs="Arial"/>
        </w:rPr>
        <w:t xml:space="preserve"> </w:t>
      </w:r>
    </w:p>
    <w:p w14:paraId="55378189" w14:textId="77777777" w:rsidR="00B510AE" w:rsidRPr="007A4A11" w:rsidRDefault="00B510AE" w:rsidP="001F3FD2">
      <w:pPr>
        <w:rPr>
          <w:rFonts w:asciiTheme="minorHAnsi" w:hAnsiTheme="minorHAnsi" w:cs="Arial"/>
        </w:rPr>
      </w:pPr>
    </w:p>
    <w:p w14:paraId="482F8679" w14:textId="3D163CCA" w:rsidR="00F13A42" w:rsidRPr="007A4A11" w:rsidRDefault="00A60F96" w:rsidP="001F3FD2">
      <w:pPr>
        <w:pStyle w:val="NormalWeb"/>
        <w:spacing w:before="0" w:beforeAutospacing="0" w:after="0" w:afterAutospacing="0"/>
        <w:textAlignment w:val="baseline"/>
        <w:rPr>
          <w:rFonts w:asciiTheme="minorHAnsi" w:hAnsiTheme="minorHAnsi" w:cs="Arial"/>
          <w:sz w:val="22"/>
          <w:szCs w:val="22"/>
        </w:rPr>
      </w:pPr>
      <w:r w:rsidRPr="007A4A11">
        <w:rPr>
          <w:rFonts w:asciiTheme="minorHAnsi" w:hAnsiTheme="minorHAnsi" w:cs="Arial"/>
          <w:sz w:val="22"/>
          <w:szCs w:val="22"/>
        </w:rPr>
        <w:t>Nations</w:t>
      </w:r>
      <w:r w:rsidR="006225C9" w:rsidRPr="007A4A11">
        <w:rPr>
          <w:rFonts w:asciiTheme="minorHAnsi" w:hAnsiTheme="minorHAnsi" w:cs="Arial"/>
          <w:sz w:val="22"/>
          <w:szCs w:val="22"/>
        </w:rPr>
        <w:t xml:space="preserve"> benefit from being in the IEA IEP </w:t>
      </w:r>
      <w:r w:rsidR="00DB089A" w:rsidRPr="007A4A11">
        <w:rPr>
          <w:rFonts w:asciiTheme="minorHAnsi" w:hAnsiTheme="minorHAnsi" w:cs="Arial"/>
          <w:sz w:val="22"/>
          <w:szCs w:val="22"/>
        </w:rPr>
        <w:t>because</w:t>
      </w:r>
      <w:r w:rsidR="006225C9" w:rsidRPr="007A4A11">
        <w:rPr>
          <w:rFonts w:asciiTheme="minorHAnsi" w:hAnsiTheme="minorHAnsi" w:cs="Arial"/>
          <w:sz w:val="22"/>
          <w:szCs w:val="22"/>
        </w:rPr>
        <w:t xml:space="preserve"> in the event that there is an oil supply disruption that is likely to cause considerable economic damage to member countries, they can make their stocks available to the market in order to offset any physical shortage of oil and ensure a steady supply. </w:t>
      </w:r>
    </w:p>
    <w:p w14:paraId="2DE8B700" w14:textId="5AA7C5AB" w:rsidR="00F13A42" w:rsidRPr="007A4A11" w:rsidRDefault="00F13A42" w:rsidP="001F3FD2">
      <w:pPr>
        <w:rPr>
          <w:rFonts w:asciiTheme="minorHAnsi" w:hAnsiTheme="minorHAnsi" w:cs="Arial"/>
        </w:rPr>
      </w:pPr>
    </w:p>
    <w:p w14:paraId="47E0CE7C" w14:textId="1926E814" w:rsidR="009248A8" w:rsidRPr="007A4A11" w:rsidRDefault="00F13A42" w:rsidP="001F3FD2">
      <w:pPr>
        <w:pStyle w:val="NormalWeb"/>
        <w:spacing w:before="0" w:beforeAutospacing="0" w:after="0" w:afterAutospacing="0"/>
        <w:textAlignment w:val="baseline"/>
        <w:rPr>
          <w:rFonts w:asciiTheme="minorHAnsi" w:hAnsiTheme="minorHAnsi" w:cs="Arial"/>
          <w:sz w:val="22"/>
          <w:szCs w:val="22"/>
        </w:rPr>
      </w:pPr>
      <w:r w:rsidRPr="007A4A11">
        <w:rPr>
          <w:rFonts w:asciiTheme="minorHAnsi" w:hAnsiTheme="minorHAnsi" w:cs="Arial"/>
          <w:sz w:val="22"/>
          <w:szCs w:val="22"/>
        </w:rPr>
        <w:t>The three most common reasons for the release of the stockpiled fuel are unforseen technical problems, weather and civil unrest. The IEA have stated that ‘Military or terrorist attacks which target energy infrastructure for political motives, or disputes between governments, while rare, are other significant concerns for world oil markets</w:t>
      </w:r>
      <w:r w:rsidR="009D6969" w:rsidRPr="007A4A11">
        <w:rPr>
          <w:rStyle w:val="FootnoteReference"/>
          <w:rFonts w:asciiTheme="minorHAnsi" w:hAnsiTheme="minorHAnsi" w:cs="Arial"/>
          <w:sz w:val="22"/>
          <w:szCs w:val="22"/>
        </w:rPr>
        <w:footnoteReference w:id="6"/>
      </w:r>
      <w:r w:rsidRPr="007A4A11">
        <w:rPr>
          <w:rFonts w:asciiTheme="minorHAnsi" w:hAnsiTheme="minorHAnsi" w:cs="Arial"/>
          <w:sz w:val="22"/>
          <w:szCs w:val="22"/>
        </w:rPr>
        <w:t>’.</w:t>
      </w:r>
    </w:p>
    <w:p w14:paraId="4B256FD6" w14:textId="4E8A8982" w:rsidR="00F13A42" w:rsidRPr="007A4A11" w:rsidRDefault="009248A8" w:rsidP="001F3FD2">
      <w:pPr>
        <w:pStyle w:val="NormalWeb"/>
        <w:textAlignment w:val="baseline"/>
        <w:rPr>
          <w:rFonts w:asciiTheme="minorHAnsi" w:hAnsiTheme="minorHAnsi" w:cs="Arial"/>
          <w:sz w:val="22"/>
          <w:szCs w:val="22"/>
        </w:rPr>
      </w:pPr>
      <w:r w:rsidRPr="007A4A11">
        <w:rPr>
          <w:rFonts w:asciiTheme="minorHAnsi" w:hAnsiTheme="minorHAnsi" w:cs="Arial"/>
          <w:sz w:val="22"/>
          <w:szCs w:val="22"/>
        </w:rPr>
        <w:t>IEA stocks have been released in the past for large events such as the build up to the Gulf War in 1991; after Hurricanes Katrina and Rita damaged offshore oil rigs, pipelines and oil refineries in the Gulf of Mexico in 2005; and in response to the prolonged disruption of oil supplies from Libya in 2011. </w:t>
      </w:r>
    </w:p>
    <w:p w14:paraId="34385C67" w14:textId="1ABCAA15" w:rsidR="00724811" w:rsidRPr="007A4A11" w:rsidRDefault="00724811" w:rsidP="001F3FD2">
      <w:pPr>
        <w:pStyle w:val="NormalWeb"/>
        <w:textAlignment w:val="baseline"/>
        <w:rPr>
          <w:rFonts w:asciiTheme="minorHAnsi" w:hAnsiTheme="minorHAnsi" w:cs="Arial"/>
          <w:sz w:val="22"/>
          <w:szCs w:val="22"/>
        </w:rPr>
      </w:pPr>
      <w:r w:rsidRPr="007A4A11">
        <w:rPr>
          <w:rFonts w:asciiTheme="minorHAnsi" w:hAnsiTheme="minorHAnsi" w:cs="Arial"/>
          <w:sz w:val="22"/>
          <w:szCs w:val="22"/>
        </w:rPr>
        <w:t>W</w:t>
      </w:r>
      <w:r w:rsidR="00BF08B5">
        <w:rPr>
          <w:rFonts w:asciiTheme="minorHAnsi" w:hAnsiTheme="minorHAnsi" w:cs="Arial"/>
          <w:sz w:val="22"/>
          <w:szCs w:val="22"/>
        </w:rPr>
        <w:t>hile the IEA have stated that ‘a</w:t>
      </w:r>
      <w:r w:rsidRPr="007A4A11">
        <w:rPr>
          <w:rFonts w:asciiTheme="minorHAnsi" w:hAnsiTheme="minorHAnsi" w:cs="Arial"/>
          <w:sz w:val="22"/>
          <w:szCs w:val="22"/>
        </w:rPr>
        <w:t xml:space="preserve"> release is not undertaken to moderate prices, although it can have that impact by calming the market, and thus exerting downward pressure on prices.’ There have been cases where nations have released fuel in order to dampen the prices in the market. </w:t>
      </w:r>
    </w:p>
    <w:p w14:paraId="55DF1731" w14:textId="40CDBAC3" w:rsidR="001F3FD2" w:rsidRPr="007A4A11" w:rsidRDefault="00F13A42" w:rsidP="00905421">
      <w:pPr>
        <w:pStyle w:val="NormalWeb"/>
        <w:textAlignment w:val="baseline"/>
        <w:rPr>
          <w:rFonts w:asciiTheme="minorHAnsi" w:hAnsiTheme="minorHAnsi" w:cs="Arial"/>
          <w:sz w:val="22"/>
          <w:szCs w:val="22"/>
        </w:rPr>
      </w:pPr>
      <w:r w:rsidRPr="007A4A11">
        <w:rPr>
          <w:rFonts w:asciiTheme="minorHAnsi" w:hAnsiTheme="minorHAnsi" w:cs="Arial"/>
          <w:sz w:val="22"/>
          <w:szCs w:val="22"/>
        </w:rPr>
        <w:t xml:space="preserve">The </w:t>
      </w:r>
      <w:r w:rsidR="00566FF7" w:rsidRPr="007A4A11">
        <w:rPr>
          <w:rFonts w:asciiTheme="minorHAnsi" w:hAnsiTheme="minorHAnsi" w:cs="Arial"/>
          <w:sz w:val="22"/>
          <w:szCs w:val="22"/>
        </w:rPr>
        <w:t xml:space="preserve">general </w:t>
      </w:r>
      <w:r w:rsidRPr="007A4A11">
        <w:rPr>
          <w:rFonts w:asciiTheme="minorHAnsi" w:hAnsiTheme="minorHAnsi" w:cs="Arial"/>
          <w:sz w:val="22"/>
          <w:szCs w:val="22"/>
        </w:rPr>
        <w:t xml:space="preserve">procedure for releasing extra oil supplies is noted in the IEA Initial Contingency Response Plan. The plan involves the IEA Secretariat sending all member countries preliminary assessments that there is a supply disruption. Then </w:t>
      </w:r>
      <w:r w:rsidR="00905421" w:rsidRPr="007A4A11">
        <w:rPr>
          <w:rFonts w:asciiTheme="minorHAnsi" w:hAnsiTheme="minorHAnsi" w:cs="Arial"/>
          <w:sz w:val="22"/>
          <w:szCs w:val="22"/>
        </w:rPr>
        <w:t>if there is cause for collective</w:t>
      </w:r>
      <w:r w:rsidRPr="007A4A11">
        <w:rPr>
          <w:rFonts w:asciiTheme="minorHAnsi" w:hAnsiTheme="minorHAnsi" w:cs="Arial"/>
          <w:sz w:val="22"/>
          <w:szCs w:val="22"/>
        </w:rPr>
        <w:t xml:space="preserve"> action</w:t>
      </w:r>
      <w:r w:rsidR="00F85589" w:rsidRPr="007A4A11">
        <w:rPr>
          <w:rFonts w:asciiTheme="minorHAnsi" w:hAnsiTheme="minorHAnsi" w:cs="Arial"/>
          <w:sz w:val="22"/>
          <w:szCs w:val="22"/>
        </w:rPr>
        <w:t>, a detailed Initial Assessment will be issued, including an Initial Response Plan for releasing a specific volume of oil in the first 30 days of the crisis.</w:t>
      </w:r>
    </w:p>
    <w:p w14:paraId="0705DB29" w14:textId="7D9B8229" w:rsidR="00F13A42" w:rsidRPr="007A4A11" w:rsidRDefault="00F85589" w:rsidP="001F3FD2">
      <w:pPr>
        <w:rPr>
          <w:rFonts w:asciiTheme="minorHAnsi" w:hAnsiTheme="minorHAnsi" w:cs="Arial"/>
        </w:rPr>
      </w:pPr>
      <w:r w:rsidRPr="007A4A11">
        <w:rPr>
          <w:rFonts w:asciiTheme="minorHAnsi" w:hAnsiTheme="minorHAnsi" w:cs="Arial"/>
        </w:rPr>
        <w:t>During this period members will be consulted on the need for activation. Finally if there is agreement for action the IEA Executive Director will issue a Notice of Activ</w:t>
      </w:r>
      <w:r w:rsidR="00905421" w:rsidRPr="007A4A11">
        <w:rPr>
          <w:rFonts w:asciiTheme="minorHAnsi" w:hAnsiTheme="minorHAnsi" w:cs="Arial"/>
        </w:rPr>
        <w:t>ation, accompanied by a public press r</w:t>
      </w:r>
      <w:r w:rsidRPr="007A4A11">
        <w:rPr>
          <w:rFonts w:asciiTheme="minorHAnsi" w:hAnsiTheme="minorHAnsi" w:cs="Arial"/>
        </w:rPr>
        <w:t>elease.</w:t>
      </w:r>
      <w:r w:rsidR="00F13A42" w:rsidRPr="007A4A11">
        <w:rPr>
          <w:rFonts w:asciiTheme="minorHAnsi" w:hAnsiTheme="minorHAnsi" w:cs="Arial"/>
          <w:b/>
          <w:bCs/>
        </w:rPr>
        <w:br/>
      </w:r>
      <w:r w:rsidRPr="007A4A11">
        <w:rPr>
          <w:rFonts w:asciiTheme="minorHAnsi" w:hAnsiTheme="minorHAnsi" w:cs="Arial"/>
        </w:rPr>
        <w:t>Further follow-ups will be done and w</w:t>
      </w:r>
      <w:r w:rsidR="00F13A42" w:rsidRPr="007A4A11">
        <w:rPr>
          <w:rFonts w:asciiTheme="minorHAnsi" w:hAnsiTheme="minorHAnsi" w:cs="Arial"/>
        </w:rPr>
        <w:t>hen appropriate, the IEA will recommend bringing the action to an end and will propose a schedule for re-establishing emergency stocks in those situations w</w:t>
      </w:r>
      <w:r w:rsidR="001F3FD2" w:rsidRPr="007A4A11">
        <w:rPr>
          <w:rFonts w:asciiTheme="minorHAnsi" w:hAnsiTheme="minorHAnsi" w:cs="Arial"/>
        </w:rPr>
        <w:t xml:space="preserve">here they have fallen below the </w:t>
      </w:r>
      <w:r w:rsidR="00F13A42" w:rsidRPr="007A4A11">
        <w:rPr>
          <w:rFonts w:asciiTheme="minorHAnsi" w:hAnsiTheme="minorHAnsi" w:cs="Arial"/>
        </w:rPr>
        <w:t>mandatory 90 days.</w:t>
      </w:r>
      <w:r w:rsidR="00F13A42" w:rsidRPr="007A4A11">
        <w:rPr>
          <w:rFonts w:asciiTheme="minorHAnsi" w:hAnsiTheme="minorHAnsi" w:cs="Arial"/>
        </w:rPr>
        <w:br/>
      </w:r>
    </w:p>
    <w:p w14:paraId="51DD5F3F" w14:textId="3E19469B" w:rsidR="00905421" w:rsidRPr="007A4A11" w:rsidRDefault="00F85589" w:rsidP="001F3FD2">
      <w:pPr>
        <w:rPr>
          <w:rFonts w:asciiTheme="minorHAnsi" w:hAnsiTheme="minorHAnsi" w:cs="Arial"/>
        </w:rPr>
      </w:pPr>
      <w:r w:rsidRPr="007A4A11">
        <w:rPr>
          <w:rFonts w:asciiTheme="minorHAnsi" w:hAnsiTheme="minorHAnsi" w:cs="Arial"/>
        </w:rPr>
        <w:t xml:space="preserve">More specifically for Australia if there is an oil emergency the Minister in charge of the Resources and Energy portfolio is responsible for co-ordinating </w:t>
      </w:r>
      <w:r w:rsidR="0014134A">
        <w:rPr>
          <w:rFonts w:asciiTheme="minorHAnsi" w:hAnsiTheme="minorHAnsi" w:cs="Arial"/>
        </w:rPr>
        <w:t xml:space="preserve">an </w:t>
      </w:r>
      <w:r w:rsidRPr="007A4A11">
        <w:rPr>
          <w:rFonts w:asciiTheme="minorHAnsi" w:hAnsiTheme="minorHAnsi" w:cs="Arial"/>
        </w:rPr>
        <w:t xml:space="preserve">emergency response. </w:t>
      </w:r>
      <w:r w:rsidR="0019237C" w:rsidRPr="007A4A11">
        <w:rPr>
          <w:rFonts w:asciiTheme="minorHAnsi" w:hAnsiTheme="minorHAnsi" w:cs="Arial"/>
        </w:rPr>
        <w:t xml:space="preserve">A national Liquid Fuel Emergency would involve a </w:t>
      </w:r>
      <w:r w:rsidR="00905421" w:rsidRPr="007A4A11">
        <w:rPr>
          <w:rFonts w:asciiTheme="minorHAnsi" w:hAnsiTheme="minorHAnsi" w:cs="Arial"/>
        </w:rPr>
        <w:t>sustained</w:t>
      </w:r>
      <w:r w:rsidR="0019237C" w:rsidRPr="007A4A11">
        <w:rPr>
          <w:rFonts w:asciiTheme="minorHAnsi" w:hAnsiTheme="minorHAnsi" w:cs="Arial"/>
        </w:rPr>
        <w:t xml:space="preserve"> and </w:t>
      </w:r>
      <w:r w:rsidR="00905421" w:rsidRPr="007A4A11">
        <w:rPr>
          <w:rFonts w:asciiTheme="minorHAnsi" w:hAnsiTheme="minorHAnsi" w:cs="Arial"/>
        </w:rPr>
        <w:t>extensive</w:t>
      </w:r>
      <w:r w:rsidR="0019237C" w:rsidRPr="007A4A11">
        <w:rPr>
          <w:rFonts w:asciiTheme="minorHAnsi" w:hAnsiTheme="minorHAnsi" w:cs="Arial"/>
        </w:rPr>
        <w:t xml:space="preserve"> shortage in the supply of liquid </w:t>
      </w:r>
      <w:r w:rsidR="00905421" w:rsidRPr="007A4A11">
        <w:rPr>
          <w:rFonts w:asciiTheme="minorHAnsi" w:hAnsiTheme="minorHAnsi" w:cs="Arial"/>
        </w:rPr>
        <w:t xml:space="preserve">fuels. </w:t>
      </w:r>
    </w:p>
    <w:p w14:paraId="59106027" w14:textId="77777777" w:rsidR="00905421" w:rsidRPr="007A4A11" w:rsidRDefault="00905421" w:rsidP="001F3FD2">
      <w:pPr>
        <w:rPr>
          <w:rFonts w:asciiTheme="minorHAnsi" w:hAnsiTheme="minorHAnsi" w:cs="Arial"/>
        </w:rPr>
      </w:pPr>
    </w:p>
    <w:p w14:paraId="23AC4D6C" w14:textId="65C4B481" w:rsidR="00050ADB" w:rsidRPr="007A4A11" w:rsidRDefault="00905421" w:rsidP="001F3FD2">
      <w:pPr>
        <w:rPr>
          <w:rFonts w:asciiTheme="minorHAnsi" w:hAnsiTheme="minorHAnsi" w:cs="Arial"/>
        </w:rPr>
      </w:pPr>
      <w:r w:rsidRPr="007A4A11">
        <w:rPr>
          <w:rFonts w:asciiTheme="minorHAnsi" w:hAnsiTheme="minorHAnsi" w:cs="Arial"/>
        </w:rPr>
        <w:t>The</w:t>
      </w:r>
      <w:r w:rsidR="00F85589" w:rsidRPr="007A4A11">
        <w:rPr>
          <w:rFonts w:asciiTheme="minorHAnsi" w:hAnsiTheme="minorHAnsi" w:cs="Arial"/>
        </w:rPr>
        <w:t xml:space="preserve"> Department </w:t>
      </w:r>
      <w:r w:rsidR="00050ADB" w:rsidRPr="007A4A11">
        <w:rPr>
          <w:rFonts w:asciiTheme="minorHAnsi" w:hAnsiTheme="minorHAnsi" w:cs="Arial"/>
        </w:rPr>
        <w:t>of</w:t>
      </w:r>
      <w:r w:rsidR="00F85589" w:rsidRPr="007A4A11">
        <w:rPr>
          <w:rFonts w:asciiTheme="minorHAnsi" w:hAnsiTheme="minorHAnsi" w:cs="Arial"/>
        </w:rPr>
        <w:t xml:space="preserve"> Industry </w:t>
      </w:r>
      <w:r w:rsidR="00050ADB" w:rsidRPr="007A4A11">
        <w:rPr>
          <w:rFonts w:asciiTheme="minorHAnsi" w:hAnsiTheme="minorHAnsi" w:cs="Arial"/>
        </w:rPr>
        <w:t xml:space="preserve">is responsible for the National Oil Supplies Emergency Committee (NOSEC) </w:t>
      </w:r>
      <w:r w:rsidRPr="007A4A11">
        <w:rPr>
          <w:rFonts w:asciiTheme="minorHAnsi" w:hAnsiTheme="minorHAnsi" w:cs="Arial"/>
        </w:rPr>
        <w:t>under</w:t>
      </w:r>
      <w:r w:rsidR="00050ADB" w:rsidRPr="007A4A11">
        <w:rPr>
          <w:rFonts w:asciiTheme="minorHAnsi" w:hAnsiTheme="minorHAnsi" w:cs="Arial"/>
        </w:rPr>
        <w:t xml:space="preserve"> which </w:t>
      </w:r>
      <w:r w:rsidRPr="007A4A11">
        <w:rPr>
          <w:rFonts w:asciiTheme="minorHAnsi" w:hAnsiTheme="minorHAnsi" w:cs="Arial"/>
        </w:rPr>
        <w:t xml:space="preserve">the </w:t>
      </w:r>
      <w:r w:rsidR="00050ADB" w:rsidRPr="007A4A11">
        <w:rPr>
          <w:rFonts w:asciiTheme="minorHAnsi" w:hAnsiTheme="minorHAnsi" w:cs="Arial"/>
        </w:rPr>
        <w:t>Commonwealth and state governments create their management response to a national liquid fuel emergency.</w:t>
      </w:r>
    </w:p>
    <w:p w14:paraId="691CDDBC" w14:textId="60F2DB05" w:rsidR="00050ADB" w:rsidRPr="007A4A11" w:rsidRDefault="00050ADB" w:rsidP="001F3FD2">
      <w:pPr>
        <w:rPr>
          <w:rFonts w:asciiTheme="minorHAnsi" w:hAnsiTheme="minorHAnsi" w:cs="Arial"/>
        </w:rPr>
      </w:pPr>
      <w:r w:rsidRPr="007A4A11">
        <w:rPr>
          <w:rFonts w:asciiTheme="minorHAnsi" w:hAnsiTheme="minorHAnsi" w:cs="Arial"/>
        </w:rPr>
        <w:t xml:space="preserve"> </w:t>
      </w:r>
    </w:p>
    <w:p w14:paraId="1373611F" w14:textId="77777777" w:rsidR="00050ADB" w:rsidRPr="007A4A11" w:rsidRDefault="00050ADB" w:rsidP="001F3FD2">
      <w:pPr>
        <w:rPr>
          <w:rFonts w:asciiTheme="minorHAnsi" w:hAnsiTheme="minorHAnsi" w:cs="Arial"/>
        </w:rPr>
      </w:pPr>
      <w:r w:rsidRPr="007A4A11">
        <w:rPr>
          <w:rFonts w:asciiTheme="minorHAnsi" w:hAnsiTheme="minorHAnsi" w:cs="Arial"/>
        </w:rPr>
        <w:t>The NOSEC is responsible for ensuring that the Minister for Resources, Energy, and Tourism and the Standing Council on Energy and Resources (SCER) receive relevant advice and information on issues confronting national supply of crude oil and petroleum products.</w:t>
      </w:r>
    </w:p>
    <w:p w14:paraId="4A2B5356" w14:textId="77777777" w:rsidR="00050ADB" w:rsidRPr="007A4A11" w:rsidRDefault="00050ADB" w:rsidP="001F3FD2">
      <w:pPr>
        <w:rPr>
          <w:rFonts w:asciiTheme="minorHAnsi" w:hAnsiTheme="minorHAnsi" w:cs="Arial"/>
        </w:rPr>
      </w:pPr>
    </w:p>
    <w:p w14:paraId="68FA6286" w14:textId="4C08A12F" w:rsidR="00B510AE" w:rsidRPr="007A4A11" w:rsidRDefault="0019237C" w:rsidP="001F3FD2">
      <w:pPr>
        <w:rPr>
          <w:rFonts w:asciiTheme="minorHAnsi" w:hAnsiTheme="minorHAnsi" w:cs="Arial"/>
        </w:rPr>
      </w:pPr>
      <w:r w:rsidRPr="007A4A11">
        <w:rPr>
          <w:rFonts w:asciiTheme="minorHAnsi" w:hAnsiTheme="minorHAnsi" w:cs="Arial"/>
        </w:rPr>
        <w:t>The Governor-General may</w:t>
      </w:r>
      <w:r w:rsidR="00F85589" w:rsidRPr="007A4A11">
        <w:rPr>
          <w:rFonts w:asciiTheme="minorHAnsi" w:hAnsiTheme="minorHAnsi" w:cs="Arial"/>
        </w:rPr>
        <w:t xml:space="preserve"> declare a national liquid fuel</w:t>
      </w:r>
      <w:r w:rsidR="00050ADB" w:rsidRPr="007A4A11">
        <w:rPr>
          <w:rFonts w:asciiTheme="minorHAnsi" w:hAnsiTheme="minorHAnsi" w:cs="Arial"/>
        </w:rPr>
        <w:t xml:space="preserve"> </w:t>
      </w:r>
      <w:r w:rsidR="00F85589" w:rsidRPr="007A4A11">
        <w:rPr>
          <w:rFonts w:asciiTheme="minorHAnsi" w:hAnsiTheme="minorHAnsi" w:cs="Arial"/>
        </w:rPr>
        <w:t xml:space="preserve">emergency under the Australian government’s </w:t>
      </w:r>
      <w:r w:rsidR="00F85589" w:rsidRPr="00FA601D">
        <w:rPr>
          <w:rFonts w:asciiTheme="minorHAnsi" w:hAnsiTheme="minorHAnsi" w:cs="Arial"/>
          <w:i/>
        </w:rPr>
        <w:t>Liqu</w:t>
      </w:r>
      <w:r w:rsidR="00905421" w:rsidRPr="00FA601D">
        <w:rPr>
          <w:rFonts w:asciiTheme="minorHAnsi" w:hAnsiTheme="minorHAnsi" w:cs="Arial"/>
          <w:i/>
        </w:rPr>
        <w:t>id Fuel Emergency Act of 1984</w:t>
      </w:r>
      <w:r w:rsidR="00905421" w:rsidRPr="007A4A11">
        <w:rPr>
          <w:rFonts w:asciiTheme="minorHAnsi" w:hAnsiTheme="minorHAnsi" w:cs="Arial"/>
        </w:rPr>
        <w:t xml:space="preserve"> (the </w:t>
      </w:r>
      <w:r w:rsidR="00F85589" w:rsidRPr="007A4A11">
        <w:rPr>
          <w:rFonts w:asciiTheme="minorHAnsi" w:hAnsiTheme="minorHAnsi" w:cs="Arial"/>
        </w:rPr>
        <w:t>Act).</w:t>
      </w:r>
      <w:r w:rsidR="00B510AE" w:rsidRPr="007A4A11">
        <w:rPr>
          <w:rFonts w:asciiTheme="minorHAnsi" w:hAnsiTheme="minorHAnsi" w:cs="Arial"/>
        </w:rPr>
        <w:t xml:space="preserve"> The </w:t>
      </w:r>
      <w:r w:rsidR="00905421" w:rsidRPr="007A4A11">
        <w:rPr>
          <w:rFonts w:asciiTheme="minorHAnsi" w:hAnsiTheme="minorHAnsi" w:cs="Arial"/>
        </w:rPr>
        <w:t>Act</w:t>
      </w:r>
      <w:r w:rsidR="00B510AE" w:rsidRPr="007A4A11">
        <w:rPr>
          <w:rFonts w:asciiTheme="minorHAnsi" w:hAnsiTheme="minorHAnsi" w:cs="Arial"/>
        </w:rPr>
        <w:t xml:space="preserve"> provides the Australian Government with the authority needed to prepare for, and manage, a national Liquid Fuel Emergency.</w:t>
      </w:r>
    </w:p>
    <w:p w14:paraId="7B28E9C6" w14:textId="77777777" w:rsidR="00050ADB" w:rsidRPr="007A4A11" w:rsidRDefault="00050ADB" w:rsidP="001F3FD2">
      <w:pPr>
        <w:rPr>
          <w:rFonts w:asciiTheme="minorHAnsi" w:hAnsiTheme="minorHAnsi" w:cs="Arial"/>
        </w:rPr>
      </w:pPr>
    </w:p>
    <w:p w14:paraId="0067CF4A" w14:textId="77777777" w:rsidR="00724811" w:rsidRPr="007A4A11" w:rsidRDefault="00F85589" w:rsidP="001F3FD2">
      <w:pPr>
        <w:rPr>
          <w:rFonts w:asciiTheme="minorHAnsi" w:hAnsiTheme="minorHAnsi" w:cs="Arial"/>
        </w:rPr>
      </w:pPr>
      <w:r w:rsidRPr="007A4A11">
        <w:rPr>
          <w:rFonts w:asciiTheme="minorHAnsi" w:hAnsiTheme="minorHAnsi" w:cs="Arial"/>
        </w:rPr>
        <w:lastRenderedPageBreak/>
        <w:t>A national emergency can only be declared if the situation meets the following criteria:</w:t>
      </w:r>
    </w:p>
    <w:p w14:paraId="1A3A0D5F" w14:textId="77777777" w:rsidR="00724811" w:rsidRPr="007A4A11" w:rsidRDefault="00F85589" w:rsidP="001F3FD2">
      <w:pPr>
        <w:pStyle w:val="ListParagraph"/>
        <w:numPr>
          <w:ilvl w:val="0"/>
          <w:numId w:val="19"/>
        </w:numPr>
        <w:rPr>
          <w:rFonts w:asciiTheme="minorHAnsi" w:hAnsiTheme="minorHAnsi" w:cs="Arial"/>
        </w:rPr>
      </w:pPr>
      <w:r w:rsidRPr="007A4A11">
        <w:rPr>
          <w:rFonts w:asciiTheme="minorHAnsi" w:hAnsiTheme="minorHAnsi" w:cs="Arial"/>
        </w:rPr>
        <w:t xml:space="preserve"> the use of</w:t>
      </w:r>
      <w:r w:rsidR="00050ADB" w:rsidRPr="007A4A11">
        <w:rPr>
          <w:rFonts w:asciiTheme="minorHAnsi" w:hAnsiTheme="minorHAnsi" w:cs="Arial"/>
        </w:rPr>
        <w:t xml:space="preserve"> </w:t>
      </w:r>
      <w:r w:rsidRPr="007A4A11">
        <w:rPr>
          <w:rFonts w:asciiTheme="minorHAnsi" w:hAnsiTheme="minorHAnsi" w:cs="Arial"/>
        </w:rPr>
        <w:t>emergency powers is in the public interest;</w:t>
      </w:r>
    </w:p>
    <w:p w14:paraId="193B483E" w14:textId="575D7D88" w:rsidR="00724811" w:rsidRPr="007A4A11" w:rsidRDefault="00F85589" w:rsidP="001F3FD2">
      <w:pPr>
        <w:pStyle w:val="ListParagraph"/>
        <w:numPr>
          <w:ilvl w:val="0"/>
          <w:numId w:val="19"/>
        </w:numPr>
        <w:rPr>
          <w:rFonts w:asciiTheme="minorHAnsi" w:hAnsiTheme="minorHAnsi" w:cs="Arial"/>
        </w:rPr>
      </w:pPr>
      <w:r w:rsidRPr="007A4A11">
        <w:rPr>
          <w:rFonts w:asciiTheme="minorHAnsi" w:hAnsiTheme="minorHAnsi" w:cs="Arial"/>
        </w:rPr>
        <w:t xml:space="preserve"> there is no real prospect of averting the shortage</w:t>
      </w:r>
      <w:r w:rsidR="00050ADB" w:rsidRPr="007A4A11">
        <w:rPr>
          <w:rFonts w:asciiTheme="minorHAnsi" w:hAnsiTheme="minorHAnsi" w:cs="Arial"/>
        </w:rPr>
        <w:t xml:space="preserve"> </w:t>
      </w:r>
      <w:r w:rsidRPr="007A4A11">
        <w:rPr>
          <w:rFonts w:asciiTheme="minorHAnsi" w:hAnsiTheme="minorHAnsi" w:cs="Arial"/>
        </w:rPr>
        <w:t xml:space="preserve">through voluntary </w:t>
      </w:r>
      <w:r w:rsidR="00905421" w:rsidRPr="007A4A11">
        <w:rPr>
          <w:rFonts w:asciiTheme="minorHAnsi" w:hAnsiTheme="minorHAnsi" w:cs="Arial"/>
        </w:rPr>
        <w:t>increase</w:t>
      </w:r>
      <w:r w:rsidRPr="007A4A11">
        <w:rPr>
          <w:rFonts w:asciiTheme="minorHAnsi" w:hAnsiTheme="minorHAnsi" w:cs="Arial"/>
        </w:rPr>
        <w:t xml:space="preserve"> of supplies by oil companies; </w:t>
      </w:r>
      <w:r w:rsidR="00FA601D">
        <w:rPr>
          <w:rFonts w:asciiTheme="minorHAnsi" w:hAnsiTheme="minorHAnsi" w:cs="Arial"/>
        </w:rPr>
        <w:t>A</w:t>
      </w:r>
      <w:r w:rsidR="0014134A" w:rsidRPr="007A4A11">
        <w:rPr>
          <w:rFonts w:asciiTheme="minorHAnsi" w:hAnsiTheme="minorHAnsi" w:cs="Arial"/>
        </w:rPr>
        <w:t>nd</w:t>
      </w:r>
    </w:p>
    <w:p w14:paraId="415517A3" w14:textId="552AF8C2" w:rsidR="00F85589" w:rsidRPr="007A4A11" w:rsidRDefault="00F85589" w:rsidP="001F3FD2">
      <w:pPr>
        <w:pStyle w:val="ListParagraph"/>
        <w:numPr>
          <w:ilvl w:val="0"/>
          <w:numId w:val="19"/>
        </w:numPr>
        <w:rPr>
          <w:rFonts w:asciiTheme="minorHAnsi" w:hAnsiTheme="minorHAnsi" w:cs="Arial"/>
        </w:rPr>
      </w:pPr>
      <w:proofErr w:type="gramStart"/>
      <w:r w:rsidRPr="007A4A11">
        <w:rPr>
          <w:rFonts w:asciiTheme="minorHAnsi" w:hAnsiTheme="minorHAnsi" w:cs="Arial"/>
        </w:rPr>
        <w:t>the</w:t>
      </w:r>
      <w:proofErr w:type="gramEnd"/>
      <w:r w:rsidRPr="007A4A11">
        <w:rPr>
          <w:rFonts w:asciiTheme="minorHAnsi" w:hAnsiTheme="minorHAnsi" w:cs="Arial"/>
        </w:rPr>
        <w:t xml:space="preserve"> minister has provided the</w:t>
      </w:r>
      <w:r w:rsidR="00050ADB" w:rsidRPr="007A4A11">
        <w:rPr>
          <w:rFonts w:asciiTheme="minorHAnsi" w:hAnsiTheme="minorHAnsi" w:cs="Arial"/>
        </w:rPr>
        <w:t xml:space="preserve"> </w:t>
      </w:r>
      <w:r w:rsidRPr="007A4A11">
        <w:rPr>
          <w:rFonts w:asciiTheme="minorHAnsi" w:hAnsiTheme="minorHAnsi" w:cs="Arial"/>
        </w:rPr>
        <w:t>opportunity for prior consultation with the relevant ministers for energy in all Australian states</w:t>
      </w:r>
      <w:r w:rsidR="00050ADB" w:rsidRPr="007A4A11">
        <w:rPr>
          <w:rFonts w:asciiTheme="minorHAnsi" w:hAnsiTheme="minorHAnsi" w:cs="Arial"/>
        </w:rPr>
        <w:t xml:space="preserve"> </w:t>
      </w:r>
      <w:r w:rsidRPr="007A4A11">
        <w:rPr>
          <w:rFonts w:asciiTheme="minorHAnsi" w:hAnsiTheme="minorHAnsi" w:cs="Arial"/>
        </w:rPr>
        <w:t>and territories.</w:t>
      </w:r>
    </w:p>
    <w:p w14:paraId="7A1B7D02" w14:textId="24A826C1" w:rsidR="00F85589" w:rsidRPr="007A4A11" w:rsidRDefault="00050ADB" w:rsidP="001F3FD2">
      <w:pPr>
        <w:rPr>
          <w:rFonts w:asciiTheme="minorHAnsi" w:hAnsiTheme="minorHAnsi" w:cs="Arial"/>
        </w:rPr>
      </w:pPr>
      <w:r w:rsidRPr="007A4A11">
        <w:rPr>
          <w:rFonts w:asciiTheme="minorHAnsi" w:hAnsiTheme="minorHAnsi" w:cs="Arial"/>
        </w:rPr>
        <w:t xml:space="preserve">The </w:t>
      </w:r>
      <w:r w:rsidR="00F85589" w:rsidRPr="007A4A11">
        <w:rPr>
          <w:rFonts w:asciiTheme="minorHAnsi" w:hAnsiTheme="minorHAnsi" w:cs="Arial"/>
        </w:rPr>
        <w:t>National Liquid Fuel Emergency Response Plan (NLFERP)</w:t>
      </w:r>
      <w:r w:rsidRPr="007A4A11">
        <w:rPr>
          <w:rFonts w:asciiTheme="minorHAnsi" w:hAnsiTheme="minorHAnsi" w:cs="Arial"/>
        </w:rPr>
        <w:t xml:space="preserve"> </w:t>
      </w:r>
      <w:r w:rsidR="0019237C" w:rsidRPr="007A4A11">
        <w:rPr>
          <w:rFonts w:asciiTheme="minorHAnsi" w:hAnsiTheme="minorHAnsi" w:cs="Arial"/>
        </w:rPr>
        <w:t xml:space="preserve">is the </w:t>
      </w:r>
      <w:r w:rsidRPr="007A4A11">
        <w:rPr>
          <w:rFonts w:asciiTheme="minorHAnsi" w:hAnsiTheme="minorHAnsi" w:cs="Arial"/>
        </w:rPr>
        <w:t>contingency plan</w:t>
      </w:r>
      <w:r w:rsidR="00F85589" w:rsidRPr="007A4A11">
        <w:rPr>
          <w:rFonts w:asciiTheme="minorHAnsi" w:hAnsiTheme="minorHAnsi" w:cs="Arial"/>
        </w:rPr>
        <w:t xml:space="preserve"> against a possible national liquid fuel supply emergency.</w:t>
      </w:r>
      <w:r w:rsidRPr="007A4A11">
        <w:rPr>
          <w:rFonts w:asciiTheme="minorHAnsi" w:hAnsiTheme="minorHAnsi" w:cs="Arial"/>
        </w:rPr>
        <w:t xml:space="preserve"> </w:t>
      </w:r>
      <w:r w:rsidR="00F85589" w:rsidRPr="007A4A11">
        <w:rPr>
          <w:rFonts w:asciiTheme="minorHAnsi" w:hAnsiTheme="minorHAnsi" w:cs="Arial"/>
        </w:rPr>
        <w:t>The Australian Government, in partnership with State and Territory Governments and fuel industry representatives</w:t>
      </w:r>
      <w:r w:rsidR="0014134A">
        <w:rPr>
          <w:rFonts w:asciiTheme="minorHAnsi" w:hAnsiTheme="minorHAnsi" w:cs="Arial"/>
        </w:rPr>
        <w:t>,</w:t>
      </w:r>
      <w:r w:rsidR="00F85589" w:rsidRPr="007A4A11">
        <w:rPr>
          <w:rFonts w:asciiTheme="minorHAnsi" w:hAnsiTheme="minorHAnsi" w:cs="Arial"/>
        </w:rPr>
        <w:t xml:space="preserve"> has developed a NLFERP.</w:t>
      </w:r>
    </w:p>
    <w:p w14:paraId="0B97C179" w14:textId="77777777" w:rsidR="00F85589" w:rsidRPr="007A4A11" w:rsidRDefault="00F85589" w:rsidP="001F3FD2">
      <w:pPr>
        <w:rPr>
          <w:rFonts w:asciiTheme="minorHAnsi" w:hAnsiTheme="minorHAnsi" w:cs="Arial"/>
        </w:rPr>
      </w:pPr>
    </w:p>
    <w:p w14:paraId="57E5E94A" w14:textId="2388EEDE" w:rsidR="00F85589" w:rsidRPr="007A4A11" w:rsidRDefault="00F85589" w:rsidP="001F3FD2">
      <w:pPr>
        <w:rPr>
          <w:rFonts w:asciiTheme="minorHAnsi" w:hAnsiTheme="minorHAnsi" w:cs="Arial"/>
        </w:rPr>
      </w:pPr>
      <w:r w:rsidRPr="007A4A11">
        <w:rPr>
          <w:rFonts w:asciiTheme="minorHAnsi" w:hAnsiTheme="minorHAnsi" w:cs="Arial"/>
        </w:rPr>
        <w:t xml:space="preserve">The NLFERP </w:t>
      </w:r>
      <w:r w:rsidR="00905421" w:rsidRPr="007A4A11">
        <w:rPr>
          <w:rFonts w:asciiTheme="minorHAnsi" w:hAnsiTheme="minorHAnsi" w:cs="Arial"/>
        </w:rPr>
        <w:t>works to bring</w:t>
      </w:r>
      <w:r w:rsidRPr="007A4A11">
        <w:rPr>
          <w:rFonts w:asciiTheme="minorHAnsi" w:hAnsiTheme="minorHAnsi" w:cs="Arial"/>
        </w:rPr>
        <w:t xml:space="preserve"> normal fuel supply levels</w:t>
      </w:r>
      <w:r w:rsidR="00905421" w:rsidRPr="007A4A11">
        <w:rPr>
          <w:rFonts w:asciiTheme="minorHAnsi" w:hAnsiTheme="minorHAnsi" w:cs="Arial"/>
        </w:rPr>
        <w:t xml:space="preserve"> into place</w:t>
      </w:r>
      <w:r w:rsidRPr="007A4A11">
        <w:rPr>
          <w:rFonts w:asciiTheme="minorHAnsi" w:hAnsiTheme="minorHAnsi" w:cs="Arial"/>
        </w:rPr>
        <w:t xml:space="preserve"> and includes a communication plan designed to support the successful management of any Liquid Fuel Emergency. </w:t>
      </w:r>
    </w:p>
    <w:p w14:paraId="75FA3253" w14:textId="77777777" w:rsidR="00F85589" w:rsidRPr="007A4A11" w:rsidRDefault="00F85589" w:rsidP="001F3FD2">
      <w:pPr>
        <w:rPr>
          <w:rFonts w:asciiTheme="minorHAnsi" w:hAnsiTheme="minorHAnsi" w:cs="Arial"/>
        </w:rPr>
      </w:pPr>
    </w:p>
    <w:p w14:paraId="1A6990FE" w14:textId="32DB9B1B" w:rsidR="00F85589" w:rsidRPr="007A4A11" w:rsidRDefault="00F85589" w:rsidP="001F3FD2">
      <w:pPr>
        <w:rPr>
          <w:rFonts w:asciiTheme="minorHAnsi" w:hAnsiTheme="minorHAnsi" w:cs="Arial"/>
        </w:rPr>
      </w:pPr>
      <w:r w:rsidRPr="007A4A11">
        <w:rPr>
          <w:rFonts w:asciiTheme="minorHAnsi" w:hAnsiTheme="minorHAnsi" w:cs="Arial"/>
        </w:rPr>
        <w:t>If an emergency that begins in a State or Territory escalates to have national implications, the National Liquid Fuels Emergency Response Plan may override arrangements of the States and Territories. This is due to the Act pr</w:t>
      </w:r>
      <w:r w:rsidR="00B97C29" w:rsidRPr="007A4A11">
        <w:rPr>
          <w:rFonts w:asciiTheme="minorHAnsi" w:hAnsiTheme="minorHAnsi" w:cs="Arial"/>
        </w:rPr>
        <w:t xml:space="preserve">evailing over state legislation. </w:t>
      </w:r>
    </w:p>
    <w:p w14:paraId="1583E7CB" w14:textId="77777777" w:rsidR="00F85589" w:rsidRPr="007A4A11" w:rsidRDefault="00F85589" w:rsidP="001F3FD2">
      <w:pPr>
        <w:rPr>
          <w:rFonts w:asciiTheme="minorHAnsi" w:hAnsiTheme="minorHAnsi" w:cs="Arial"/>
        </w:rPr>
      </w:pPr>
    </w:p>
    <w:p w14:paraId="006025A6" w14:textId="77777777" w:rsidR="00F85589" w:rsidRPr="007A4A11" w:rsidRDefault="00F85589" w:rsidP="001F3FD2">
      <w:pPr>
        <w:rPr>
          <w:rFonts w:asciiTheme="minorHAnsi" w:hAnsiTheme="minorHAnsi" w:cs="Arial"/>
        </w:rPr>
      </w:pPr>
      <w:r w:rsidRPr="007A4A11">
        <w:rPr>
          <w:rFonts w:asciiTheme="minorHAnsi" w:hAnsiTheme="minorHAnsi" w:cs="Arial"/>
        </w:rPr>
        <w:t>The constitutional basis for Australian Government action under the Act reflects that a national Liquid Fuel Emergency is a matter of national concern. A national Liquid Fuel Emergency involves specific Australian Government responsibilities including:</w:t>
      </w:r>
    </w:p>
    <w:p w14:paraId="03910F0D" w14:textId="77777777" w:rsidR="00F85589" w:rsidRPr="007A4A11" w:rsidRDefault="00F85589" w:rsidP="001F3FD2">
      <w:pPr>
        <w:rPr>
          <w:rFonts w:asciiTheme="minorHAnsi" w:hAnsiTheme="minorHAnsi" w:cs="Arial"/>
        </w:rPr>
      </w:pPr>
    </w:p>
    <w:p w14:paraId="6EFB0C9C" w14:textId="77777777" w:rsidR="00F85589" w:rsidRPr="007A4A11" w:rsidRDefault="00F85589" w:rsidP="001F3FD2">
      <w:pPr>
        <w:pStyle w:val="ListParagraph"/>
        <w:numPr>
          <w:ilvl w:val="0"/>
          <w:numId w:val="40"/>
        </w:numPr>
        <w:rPr>
          <w:rFonts w:asciiTheme="minorHAnsi" w:hAnsiTheme="minorHAnsi" w:cs="Arial"/>
        </w:rPr>
      </w:pPr>
      <w:r w:rsidRPr="007A4A11">
        <w:rPr>
          <w:rFonts w:asciiTheme="minorHAnsi" w:hAnsiTheme="minorHAnsi" w:cs="Arial"/>
        </w:rPr>
        <w:t>Defence</w:t>
      </w:r>
    </w:p>
    <w:p w14:paraId="301FAF4D" w14:textId="77777777" w:rsidR="00F85589" w:rsidRPr="007A4A11" w:rsidRDefault="00F85589" w:rsidP="001F3FD2">
      <w:pPr>
        <w:pStyle w:val="ListParagraph"/>
        <w:numPr>
          <w:ilvl w:val="0"/>
          <w:numId w:val="40"/>
        </w:numPr>
        <w:rPr>
          <w:rFonts w:asciiTheme="minorHAnsi" w:hAnsiTheme="minorHAnsi" w:cs="Arial"/>
        </w:rPr>
      </w:pPr>
      <w:r w:rsidRPr="007A4A11">
        <w:rPr>
          <w:rFonts w:asciiTheme="minorHAnsi" w:hAnsiTheme="minorHAnsi" w:cs="Arial"/>
        </w:rPr>
        <w:t>Protection of the existence of Australia as nation</w:t>
      </w:r>
    </w:p>
    <w:p w14:paraId="4A94DC96" w14:textId="77777777" w:rsidR="00F85589" w:rsidRPr="007A4A11" w:rsidRDefault="00F85589" w:rsidP="001F3FD2">
      <w:pPr>
        <w:pStyle w:val="ListParagraph"/>
        <w:numPr>
          <w:ilvl w:val="0"/>
          <w:numId w:val="40"/>
        </w:numPr>
        <w:rPr>
          <w:rFonts w:asciiTheme="minorHAnsi" w:hAnsiTheme="minorHAnsi" w:cs="Arial"/>
        </w:rPr>
      </w:pPr>
      <w:r w:rsidRPr="007A4A11">
        <w:rPr>
          <w:rFonts w:asciiTheme="minorHAnsi" w:hAnsiTheme="minorHAnsi" w:cs="Arial"/>
        </w:rPr>
        <w:t>Australia’s obligations under international law</w:t>
      </w:r>
    </w:p>
    <w:p w14:paraId="4BDF487F" w14:textId="77777777" w:rsidR="00F85589" w:rsidRPr="007A4A11" w:rsidRDefault="00F85589" w:rsidP="001F3FD2">
      <w:pPr>
        <w:pStyle w:val="ListParagraph"/>
        <w:numPr>
          <w:ilvl w:val="0"/>
          <w:numId w:val="40"/>
        </w:numPr>
        <w:rPr>
          <w:rFonts w:asciiTheme="minorHAnsi" w:hAnsiTheme="minorHAnsi" w:cs="Arial"/>
        </w:rPr>
      </w:pPr>
      <w:r w:rsidRPr="007A4A11">
        <w:rPr>
          <w:rFonts w:asciiTheme="minorHAnsi" w:hAnsiTheme="minorHAnsi" w:cs="Arial"/>
        </w:rPr>
        <w:t>Supplies to the territories and to the Australian Government or its authorities—as well as ensuring that trade or commerce may be carried on without obstruction or hindrance, and to the extent that the Constitution permits, in an efficient, competitive and profitable manner.</w:t>
      </w:r>
    </w:p>
    <w:p w14:paraId="255F45BF" w14:textId="4A7506F7" w:rsidR="00D935EB" w:rsidRPr="007A4A11" w:rsidRDefault="00F85589" w:rsidP="001F3FD2">
      <w:pPr>
        <w:pStyle w:val="ListParagraph"/>
        <w:numPr>
          <w:ilvl w:val="0"/>
          <w:numId w:val="40"/>
        </w:numPr>
        <w:rPr>
          <w:rFonts w:asciiTheme="minorHAnsi" w:hAnsiTheme="minorHAnsi" w:cs="Arial"/>
        </w:rPr>
      </w:pPr>
      <w:r w:rsidRPr="007A4A11">
        <w:rPr>
          <w:rFonts w:asciiTheme="minorHAnsi" w:hAnsiTheme="minorHAnsi" w:cs="Arial"/>
        </w:rPr>
        <w:t>The Act also incorporates contingency planning powers which may be activated prior to a national Liquid Fuel Emergency including powers to direct fuel industry corporations to maintain particular levels of reserves, develop bulk allocation procedures and to maintain and disclose statistical information.</w:t>
      </w:r>
    </w:p>
    <w:p w14:paraId="6D5578B2" w14:textId="10BA8F5D" w:rsidR="006173AF" w:rsidRPr="007A4A11" w:rsidRDefault="00D90465" w:rsidP="001F3FD2">
      <w:pPr>
        <w:rPr>
          <w:rFonts w:asciiTheme="minorHAnsi" w:hAnsiTheme="minorHAnsi" w:cs="Arial"/>
        </w:rPr>
      </w:pPr>
      <w:r w:rsidRPr="007A4A11">
        <w:rPr>
          <w:rFonts w:asciiTheme="minorHAnsi" w:hAnsiTheme="minorHAnsi" w:cs="Arial"/>
        </w:rPr>
        <w:t>T</w:t>
      </w:r>
      <w:r w:rsidR="00A7442A" w:rsidRPr="007A4A11">
        <w:rPr>
          <w:rFonts w:asciiTheme="minorHAnsi" w:hAnsiTheme="minorHAnsi" w:cs="Arial"/>
        </w:rPr>
        <w:t xml:space="preserve">he civilian stockpile must be in addition to defence force oil stocks which </w:t>
      </w:r>
      <w:r w:rsidR="003C21FE" w:rsidRPr="007A4A11">
        <w:rPr>
          <w:rFonts w:asciiTheme="minorHAnsi" w:hAnsiTheme="minorHAnsi" w:cs="Arial"/>
        </w:rPr>
        <w:t>need to be reserved</w:t>
      </w:r>
      <w:r w:rsidR="00A7442A" w:rsidRPr="007A4A11">
        <w:rPr>
          <w:rFonts w:asciiTheme="minorHAnsi" w:hAnsiTheme="minorHAnsi" w:cs="Arial"/>
        </w:rPr>
        <w:t xml:space="preserve"> for national security purposes. </w:t>
      </w:r>
    </w:p>
    <w:p w14:paraId="60507A31" w14:textId="77777777" w:rsidR="006E607F" w:rsidRPr="007A4A11" w:rsidRDefault="006E607F" w:rsidP="001F3FD2">
      <w:pPr>
        <w:rPr>
          <w:rFonts w:asciiTheme="minorHAnsi" w:hAnsiTheme="minorHAnsi" w:cs="Arial"/>
        </w:rPr>
      </w:pPr>
    </w:p>
    <w:p w14:paraId="2FD620C2" w14:textId="77777777" w:rsidR="006E607F" w:rsidRPr="007A4A11" w:rsidRDefault="00F503B7" w:rsidP="006E607F">
      <w:pPr>
        <w:rPr>
          <w:rFonts w:asciiTheme="minorHAnsi" w:hAnsiTheme="minorHAnsi" w:cs="Arial"/>
        </w:rPr>
      </w:pPr>
      <w:r w:rsidRPr="007A4A11">
        <w:rPr>
          <w:rFonts w:asciiTheme="minorHAnsi" w:hAnsiTheme="minorHAnsi" w:cs="Arial"/>
        </w:rPr>
        <w:t>In order to maintain fuel security established assessments such as the National Emergency Security Assessments and Liquid Fuels Vulnerability assessments</w:t>
      </w:r>
      <w:r w:rsidR="006810CE" w:rsidRPr="007A4A11">
        <w:rPr>
          <w:rFonts w:asciiTheme="minorHAnsi" w:hAnsiTheme="minorHAnsi" w:cs="Arial"/>
        </w:rPr>
        <w:t xml:space="preserve"> should continue to be completed regularly</w:t>
      </w:r>
      <w:r w:rsidR="00276BE1" w:rsidRPr="007A4A11">
        <w:rPr>
          <w:rFonts w:asciiTheme="minorHAnsi" w:hAnsiTheme="minorHAnsi" w:cs="Arial"/>
        </w:rPr>
        <w:t xml:space="preserve">. </w:t>
      </w:r>
      <w:r w:rsidR="006810CE" w:rsidRPr="007A4A11">
        <w:rPr>
          <w:rFonts w:asciiTheme="minorHAnsi" w:hAnsiTheme="minorHAnsi" w:cs="Arial"/>
        </w:rPr>
        <w:t xml:space="preserve"> </w:t>
      </w:r>
    </w:p>
    <w:p w14:paraId="34D34B5A" w14:textId="77777777" w:rsidR="006E607F" w:rsidRPr="007A4A11" w:rsidRDefault="006E607F" w:rsidP="006E607F">
      <w:pPr>
        <w:rPr>
          <w:rFonts w:asciiTheme="minorHAnsi" w:hAnsiTheme="minorHAnsi" w:cs="Arial"/>
        </w:rPr>
      </w:pPr>
    </w:p>
    <w:p w14:paraId="6A12D49F" w14:textId="61E38424" w:rsidR="006E607F" w:rsidRPr="007A4A11" w:rsidRDefault="006E607F" w:rsidP="006E607F">
      <w:pPr>
        <w:rPr>
          <w:rFonts w:asciiTheme="minorHAnsi" w:hAnsiTheme="minorHAnsi" w:cs="Arial"/>
        </w:rPr>
      </w:pPr>
      <w:r w:rsidRPr="007A4A11">
        <w:rPr>
          <w:rFonts w:asciiTheme="minorHAnsi" w:hAnsiTheme="minorHAnsi" w:cs="Arial"/>
        </w:rPr>
        <w:t xml:space="preserve">However, the government should improve the collection of petroleum data. A higher-quality and broader coverage </w:t>
      </w:r>
      <w:r w:rsidR="0014134A">
        <w:rPr>
          <w:rFonts w:asciiTheme="minorHAnsi" w:hAnsiTheme="minorHAnsi" w:cs="Arial"/>
        </w:rPr>
        <w:t xml:space="preserve">of </w:t>
      </w:r>
      <w:r w:rsidRPr="007A4A11">
        <w:rPr>
          <w:rFonts w:asciiTheme="minorHAnsi" w:hAnsiTheme="minorHAnsi" w:cs="Arial"/>
        </w:rPr>
        <w:t>Australian Petroleum Statistics (under the announced Mandatory Reporting Regime) should be developed.</w:t>
      </w:r>
      <w:r w:rsidRPr="007A4A11">
        <w:rPr>
          <w:rFonts w:asciiTheme="minorHAnsi" w:hAnsiTheme="minorHAnsi" w:cs="Arial"/>
          <w:vertAlign w:val="superscript"/>
        </w:rPr>
        <w:footnoteReference w:id="7"/>
      </w:r>
    </w:p>
    <w:p w14:paraId="488DA805" w14:textId="77777777" w:rsidR="006E607F" w:rsidRPr="007A4A11" w:rsidRDefault="006E607F" w:rsidP="006E607F">
      <w:pPr>
        <w:rPr>
          <w:rFonts w:asciiTheme="minorHAnsi" w:hAnsiTheme="minorHAnsi" w:cs="Arial"/>
        </w:rPr>
      </w:pPr>
    </w:p>
    <w:p w14:paraId="4ED9448B" w14:textId="551F8C4C" w:rsidR="00117370" w:rsidRPr="007A4A11" w:rsidRDefault="006E607F" w:rsidP="006E607F">
      <w:pPr>
        <w:rPr>
          <w:rFonts w:asciiTheme="minorHAnsi" w:hAnsiTheme="minorHAnsi" w:cs="Arial"/>
        </w:rPr>
      </w:pPr>
      <w:r w:rsidRPr="007A4A11">
        <w:rPr>
          <w:rFonts w:asciiTheme="minorHAnsi" w:hAnsiTheme="minorHAnsi" w:cs="Arial"/>
        </w:rPr>
        <w:t>Additionally, the government should s</w:t>
      </w:r>
      <w:r w:rsidR="00EA0CEF" w:rsidRPr="007A4A11">
        <w:rPr>
          <w:rFonts w:asciiTheme="minorHAnsi" w:hAnsiTheme="minorHAnsi" w:cs="Arial"/>
        </w:rPr>
        <w:t>eek to identify and address any government policy and regulatory weaknesses to Australia maintaining a hig</w:t>
      </w:r>
      <w:r w:rsidRPr="007A4A11">
        <w:rPr>
          <w:rFonts w:asciiTheme="minorHAnsi" w:hAnsiTheme="minorHAnsi" w:cs="Arial"/>
        </w:rPr>
        <w:t xml:space="preserve">h level of liquid fuel security. </w:t>
      </w:r>
    </w:p>
    <w:p w14:paraId="4D0767C9" w14:textId="77777777" w:rsidR="00FC4D55" w:rsidRDefault="00FC4D55" w:rsidP="001F3FD2">
      <w:pPr>
        <w:rPr>
          <w:rFonts w:asciiTheme="minorHAnsi" w:hAnsiTheme="minorHAnsi" w:cs="Arial"/>
        </w:rPr>
      </w:pPr>
    </w:p>
    <w:p w14:paraId="52D5B22F" w14:textId="77777777" w:rsidR="001B769F" w:rsidRDefault="001B769F" w:rsidP="001F3FD2">
      <w:pPr>
        <w:rPr>
          <w:rFonts w:asciiTheme="minorHAnsi" w:hAnsiTheme="minorHAnsi" w:cs="Arial"/>
        </w:rPr>
      </w:pPr>
    </w:p>
    <w:p w14:paraId="6B2184A5" w14:textId="77777777" w:rsidR="001B769F" w:rsidRDefault="001B769F" w:rsidP="001F3FD2">
      <w:pPr>
        <w:rPr>
          <w:rFonts w:asciiTheme="minorHAnsi" w:hAnsiTheme="minorHAnsi" w:cs="Arial"/>
        </w:rPr>
      </w:pPr>
    </w:p>
    <w:p w14:paraId="7FEAAA65" w14:textId="77777777" w:rsidR="001B769F" w:rsidRDefault="001B769F" w:rsidP="001F3FD2">
      <w:pPr>
        <w:rPr>
          <w:rFonts w:asciiTheme="minorHAnsi" w:hAnsiTheme="minorHAnsi" w:cs="Arial"/>
        </w:rPr>
      </w:pPr>
    </w:p>
    <w:p w14:paraId="6897D9A7" w14:textId="77777777" w:rsidR="001B769F" w:rsidRDefault="001B769F" w:rsidP="001F3FD2">
      <w:pPr>
        <w:rPr>
          <w:rFonts w:asciiTheme="minorHAnsi" w:hAnsiTheme="minorHAnsi" w:cs="Arial"/>
        </w:rPr>
      </w:pPr>
    </w:p>
    <w:p w14:paraId="2485CA57" w14:textId="77777777" w:rsidR="001B769F" w:rsidRPr="007A4A11" w:rsidRDefault="001B769F" w:rsidP="001F3FD2">
      <w:pPr>
        <w:rPr>
          <w:rFonts w:asciiTheme="minorHAnsi" w:hAnsiTheme="minorHAnsi" w:cs="Arial"/>
        </w:rPr>
      </w:pPr>
    </w:p>
    <w:p w14:paraId="3F042E6E" w14:textId="4569E8EC" w:rsidR="00E76BE4" w:rsidRPr="007A4A11" w:rsidRDefault="00E76BE4" w:rsidP="001F3FD2">
      <w:pPr>
        <w:rPr>
          <w:rFonts w:asciiTheme="minorHAnsi" w:hAnsiTheme="minorHAnsi" w:cs="Arial"/>
          <w:b/>
          <w:sz w:val="24"/>
        </w:rPr>
      </w:pPr>
      <w:r w:rsidRPr="007A4A11">
        <w:rPr>
          <w:rFonts w:asciiTheme="minorHAnsi" w:hAnsiTheme="minorHAnsi" w:cs="Arial"/>
          <w:b/>
          <w:sz w:val="24"/>
        </w:rPr>
        <w:lastRenderedPageBreak/>
        <w:t>Limitations of the oil stockpiles</w:t>
      </w:r>
      <w:r w:rsidR="0056381D" w:rsidRPr="007A4A11">
        <w:rPr>
          <w:rFonts w:asciiTheme="minorHAnsi" w:hAnsiTheme="minorHAnsi" w:cs="Arial"/>
          <w:b/>
          <w:sz w:val="24"/>
        </w:rPr>
        <w:t xml:space="preserve"> requirements</w:t>
      </w:r>
    </w:p>
    <w:p w14:paraId="1E761984" w14:textId="77777777" w:rsidR="00E76BE4" w:rsidRPr="007A4A11" w:rsidRDefault="00E76BE4" w:rsidP="001F3FD2">
      <w:pPr>
        <w:rPr>
          <w:rFonts w:asciiTheme="minorHAnsi" w:hAnsiTheme="minorHAnsi" w:cs="Arial"/>
        </w:rPr>
      </w:pPr>
    </w:p>
    <w:p w14:paraId="2CBB028A" w14:textId="29B6CC8A" w:rsidR="00831E80" w:rsidRPr="007A4A11" w:rsidRDefault="004C28F5" w:rsidP="001F3FD2">
      <w:pPr>
        <w:rPr>
          <w:rFonts w:asciiTheme="minorHAnsi" w:hAnsiTheme="minorHAnsi" w:cs="Arial"/>
        </w:rPr>
      </w:pPr>
      <w:r w:rsidRPr="007A4A11">
        <w:rPr>
          <w:rFonts w:asciiTheme="minorHAnsi" w:hAnsiTheme="minorHAnsi" w:cs="Arial"/>
        </w:rPr>
        <w:t>T</w:t>
      </w:r>
      <w:r w:rsidR="00831E80" w:rsidRPr="007A4A11">
        <w:rPr>
          <w:rFonts w:asciiTheme="minorHAnsi" w:hAnsiTheme="minorHAnsi" w:cs="Arial"/>
        </w:rPr>
        <w:t>he IEA regulations were created in 1974 in response to OPEC issues and many international oil companies see the 90 day requirement as outdated in today’s</w:t>
      </w:r>
      <w:r w:rsidR="00100F23" w:rsidRPr="007A4A11">
        <w:rPr>
          <w:rFonts w:asciiTheme="minorHAnsi" w:hAnsiTheme="minorHAnsi" w:cs="Arial"/>
        </w:rPr>
        <w:t xml:space="preserve"> optimised</w:t>
      </w:r>
      <w:r w:rsidR="00831E80" w:rsidRPr="007A4A11">
        <w:rPr>
          <w:rFonts w:asciiTheme="minorHAnsi" w:hAnsiTheme="minorHAnsi" w:cs="Arial"/>
        </w:rPr>
        <w:t xml:space="preserve"> market structure of multiple oil suppliers. </w:t>
      </w:r>
      <w:r w:rsidR="00B97C29" w:rsidRPr="007A4A11">
        <w:rPr>
          <w:rFonts w:asciiTheme="minorHAnsi" w:hAnsiTheme="minorHAnsi" w:cs="Arial"/>
        </w:rPr>
        <w:t>C</w:t>
      </w:r>
      <w:r w:rsidR="0056381D" w:rsidRPr="007A4A11">
        <w:rPr>
          <w:rFonts w:asciiTheme="minorHAnsi" w:hAnsiTheme="minorHAnsi" w:cs="Arial"/>
        </w:rPr>
        <w:t>ountries</w:t>
      </w:r>
      <w:r w:rsidR="00831E80" w:rsidRPr="007A4A11">
        <w:rPr>
          <w:rFonts w:asciiTheme="minorHAnsi" w:hAnsiTheme="minorHAnsi" w:cs="Arial"/>
        </w:rPr>
        <w:t xml:space="preserve"> outside Europe see the IEA regulation as Eurocentric and benefitting European countries who </w:t>
      </w:r>
      <w:r w:rsidR="0056381D" w:rsidRPr="007A4A11">
        <w:rPr>
          <w:rFonts w:asciiTheme="minorHAnsi" w:hAnsiTheme="minorHAnsi" w:cs="Arial"/>
        </w:rPr>
        <w:t xml:space="preserve">can </w:t>
      </w:r>
      <w:r w:rsidR="00831E80" w:rsidRPr="007A4A11">
        <w:rPr>
          <w:rFonts w:asciiTheme="minorHAnsi" w:hAnsiTheme="minorHAnsi" w:cs="Arial"/>
        </w:rPr>
        <w:t xml:space="preserve">easily stockpile fuels.  </w:t>
      </w:r>
      <w:r w:rsidR="0056381D" w:rsidRPr="007A4A11">
        <w:rPr>
          <w:rFonts w:asciiTheme="minorHAnsi" w:hAnsiTheme="minorHAnsi" w:cs="Arial"/>
        </w:rPr>
        <w:t xml:space="preserve">EU countries have also been able to count hydro carbon waxes, which will not be refined for oil, towards their stockholding. Therefore, many see the IEA as increasing bureaucratic red tape on the oil industry and IEA non-EU member countries. </w:t>
      </w:r>
    </w:p>
    <w:p w14:paraId="7935FE62" w14:textId="77777777" w:rsidR="00831E80" w:rsidRPr="007A4A11" w:rsidRDefault="00831E80" w:rsidP="001F3FD2">
      <w:pPr>
        <w:rPr>
          <w:rFonts w:asciiTheme="minorHAnsi" w:hAnsiTheme="minorHAnsi" w:cs="Arial"/>
        </w:rPr>
      </w:pPr>
    </w:p>
    <w:p w14:paraId="56CCCA64" w14:textId="5B660D8D" w:rsidR="00126921" w:rsidRPr="007A4A11" w:rsidRDefault="00831E80" w:rsidP="00E76BE4">
      <w:pPr>
        <w:rPr>
          <w:rFonts w:asciiTheme="minorHAnsi" w:hAnsiTheme="minorHAnsi" w:cs="Arial"/>
        </w:rPr>
      </w:pPr>
      <w:r w:rsidRPr="007A4A11">
        <w:rPr>
          <w:rFonts w:asciiTheme="minorHAnsi" w:hAnsiTheme="minorHAnsi" w:cs="Arial"/>
        </w:rPr>
        <w:t xml:space="preserve">Additionally, the IEA do not allow </w:t>
      </w:r>
      <w:r w:rsidR="00126921" w:rsidRPr="007A4A11">
        <w:rPr>
          <w:rFonts w:asciiTheme="minorHAnsi" w:hAnsiTheme="minorHAnsi" w:cs="Arial"/>
        </w:rPr>
        <w:t>‘stocks</w:t>
      </w:r>
      <w:r w:rsidRPr="007A4A11">
        <w:rPr>
          <w:rFonts w:asciiTheme="minorHAnsi" w:hAnsiTheme="minorHAnsi" w:cs="Arial"/>
        </w:rPr>
        <w:t xml:space="preserve"> on water</w:t>
      </w:r>
      <w:r w:rsidR="00126921" w:rsidRPr="007A4A11">
        <w:rPr>
          <w:rFonts w:asciiTheme="minorHAnsi" w:hAnsiTheme="minorHAnsi" w:cs="Arial"/>
        </w:rPr>
        <w:t>’</w:t>
      </w:r>
      <w:r w:rsidRPr="007A4A11">
        <w:rPr>
          <w:rFonts w:asciiTheme="minorHAnsi" w:hAnsiTheme="minorHAnsi" w:cs="Arial"/>
        </w:rPr>
        <w:t xml:space="preserve"> to be included in the oil stock</w:t>
      </w:r>
      <w:r w:rsidR="0056381D" w:rsidRPr="007A4A11">
        <w:rPr>
          <w:rFonts w:asciiTheme="minorHAnsi" w:hAnsiTheme="minorHAnsi" w:cs="Arial"/>
        </w:rPr>
        <w:t>pile</w:t>
      </w:r>
      <w:r w:rsidRPr="007A4A11">
        <w:rPr>
          <w:rFonts w:asciiTheme="minorHAnsi" w:hAnsiTheme="minorHAnsi" w:cs="Arial"/>
        </w:rPr>
        <w:t>, wh</w:t>
      </w:r>
      <w:r w:rsidR="004C28F5" w:rsidRPr="007A4A11">
        <w:rPr>
          <w:rFonts w:asciiTheme="minorHAnsi" w:hAnsiTheme="minorHAnsi" w:cs="Arial"/>
        </w:rPr>
        <w:t>ile</w:t>
      </w:r>
      <w:r w:rsidRPr="007A4A11">
        <w:rPr>
          <w:rFonts w:asciiTheme="minorHAnsi" w:hAnsiTheme="minorHAnsi" w:cs="Arial"/>
        </w:rPr>
        <w:t xml:space="preserve"> they allow fuel held overseas for a country</w:t>
      </w:r>
      <w:r w:rsidR="00B97C29" w:rsidRPr="007A4A11">
        <w:rPr>
          <w:rFonts w:asciiTheme="minorHAnsi" w:hAnsiTheme="minorHAnsi" w:cs="Arial"/>
        </w:rPr>
        <w:t xml:space="preserve"> to be included</w:t>
      </w:r>
      <w:r w:rsidRPr="007A4A11">
        <w:rPr>
          <w:rFonts w:asciiTheme="minorHAnsi" w:hAnsiTheme="minorHAnsi" w:cs="Arial"/>
        </w:rPr>
        <w:t xml:space="preserve">. </w:t>
      </w:r>
      <w:r w:rsidR="0056381D" w:rsidRPr="007A4A11">
        <w:rPr>
          <w:rFonts w:asciiTheme="minorHAnsi" w:hAnsiTheme="minorHAnsi" w:cs="Arial"/>
        </w:rPr>
        <w:t>IEA oil stocktaking rules ignore</w:t>
      </w:r>
      <w:r w:rsidR="00126921" w:rsidRPr="007A4A11">
        <w:rPr>
          <w:rFonts w:asciiTheme="minorHAnsi" w:hAnsiTheme="minorHAnsi" w:cs="Arial"/>
        </w:rPr>
        <w:t xml:space="preserve"> how Australia store</w:t>
      </w:r>
      <w:r w:rsidR="0056381D" w:rsidRPr="007A4A11">
        <w:rPr>
          <w:rFonts w:asciiTheme="minorHAnsi" w:hAnsiTheme="minorHAnsi" w:cs="Arial"/>
        </w:rPr>
        <w:t>s</w:t>
      </w:r>
      <w:r w:rsidR="00126921" w:rsidRPr="007A4A11">
        <w:rPr>
          <w:rFonts w:asciiTheme="minorHAnsi" w:hAnsiTheme="minorHAnsi" w:cs="Arial"/>
        </w:rPr>
        <w:t xml:space="preserve"> and transport</w:t>
      </w:r>
      <w:r w:rsidR="0056381D" w:rsidRPr="007A4A11">
        <w:rPr>
          <w:rFonts w:asciiTheme="minorHAnsi" w:hAnsiTheme="minorHAnsi" w:cs="Arial"/>
        </w:rPr>
        <w:t>s</w:t>
      </w:r>
      <w:r w:rsidR="00126921" w:rsidRPr="007A4A11">
        <w:rPr>
          <w:rFonts w:asciiTheme="minorHAnsi" w:hAnsiTheme="minorHAnsi" w:cs="Arial"/>
        </w:rPr>
        <w:t xml:space="preserve"> petroleum products. This </w:t>
      </w:r>
      <w:r w:rsidR="0056381D" w:rsidRPr="007A4A11">
        <w:rPr>
          <w:rFonts w:asciiTheme="minorHAnsi" w:hAnsiTheme="minorHAnsi" w:cs="Arial"/>
        </w:rPr>
        <w:t xml:space="preserve">storage method </w:t>
      </w:r>
      <w:r w:rsidR="00126921" w:rsidRPr="007A4A11">
        <w:rPr>
          <w:rFonts w:asciiTheme="minorHAnsi" w:hAnsiTheme="minorHAnsi" w:cs="Arial"/>
        </w:rPr>
        <w:t>accounts</w:t>
      </w:r>
      <w:r w:rsidR="0056381D" w:rsidRPr="007A4A11">
        <w:rPr>
          <w:rFonts w:asciiTheme="minorHAnsi" w:hAnsiTheme="minorHAnsi" w:cs="Arial"/>
        </w:rPr>
        <w:t xml:space="preserve"> for more than a quarter</w:t>
      </w:r>
      <w:r w:rsidR="00126921" w:rsidRPr="007A4A11">
        <w:rPr>
          <w:rFonts w:asciiTheme="minorHAnsi" w:hAnsiTheme="minorHAnsi" w:cs="Arial"/>
        </w:rPr>
        <w:t xml:space="preserve"> of total </w:t>
      </w:r>
      <w:r w:rsidR="00B97C29" w:rsidRPr="007A4A11">
        <w:rPr>
          <w:rFonts w:asciiTheme="minorHAnsi" w:hAnsiTheme="minorHAnsi" w:cs="Arial"/>
        </w:rPr>
        <w:t xml:space="preserve">oil </w:t>
      </w:r>
      <w:r w:rsidR="00126921" w:rsidRPr="007A4A11">
        <w:rPr>
          <w:rFonts w:asciiTheme="minorHAnsi" w:hAnsiTheme="minorHAnsi" w:cs="Arial"/>
        </w:rPr>
        <w:t>stockholding directly owned and controlled by Australian companies</w:t>
      </w:r>
      <w:r w:rsidR="004C28F5" w:rsidRPr="007A4A11">
        <w:rPr>
          <w:rFonts w:asciiTheme="minorHAnsi" w:hAnsiTheme="minorHAnsi" w:cs="Arial"/>
        </w:rPr>
        <w:t>.</w:t>
      </w:r>
      <w:r w:rsidR="00126921" w:rsidRPr="007A4A11">
        <w:rPr>
          <w:rStyle w:val="FootnoteReference"/>
          <w:rFonts w:asciiTheme="minorHAnsi" w:hAnsiTheme="minorHAnsi" w:cs="Arial"/>
        </w:rPr>
        <w:footnoteReference w:id="8"/>
      </w:r>
    </w:p>
    <w:p w14:paraId="229EA9C8" w14:textId="77777777" w:rsidR="00126921" w:rsidRPr="007A4A11" w:rsidRDefault="00126921" w:rsidP="00E76BE4">
      <w:pPr>
        <w:rPr>
          <w:rFonts w:asciiTheme="minorHAnsi" w:hAnsiTheme="minorHAnsi" w:cs="Arial"/>
        </w:rPr>
      </w:pPr>
    </w:p>
    <w:p w14:paraId="06100FF4" w14:textId="76878628" w:rsidR="0056381D" w:rsidRPr="007A4A11" w:rsidRDefault="00487A8B" w:rsidP="00E76BE4">
      <w:pPr>
        <w:rPr>
          <w:rFonts w:asciiTheme="minorHAnsi" w:hAnsiTheme="minorHAnsi" w:cs="Arial"/>
        </w:rPr>
      </w:pPr>
      <w:r w:rsidRPr="007A4A11">
        <w:rPr>
          <w:rFonts w:asciiTheme="minorHAnsi" w:hAnsiTheme="minorHAnsi" w:cs="Arial"/>
        </w:rPr>
        <w:t xml:space="preserve">Australia has a very efficient network of shipping routes around Australia that provide an extensive source of oil for Australia and other Asia-Pacific regions. </w:t>
      </w:r>
      <w:r w:rsidR="00117370" w:rsidRPr="007A4A11">
        <w:rPr>
          <w:rFonts w:asciiTheme="minorHAnsi" w:hAnsiTheme="minorHAnsi" w:cs="Arial"/>
        </w:rPr>
        <w:t>If there was a</w:t>
      </w:r>
      <w:r w:rsidRPr="007A4A11">
        <w:rPr>
          <w:rFonts w:asciiTheme="minorHAnsi" w:hAnsiTheme="minorHAnsi" w:cs="Arial"/>
        </w:rPr>
        <w:t xml:space="preserve"> supply disruption ‘petroleum product cargoes at sea can be redirected by Australian companies to Australian ports to help manage disruptions’</w:t>
      </w:r>
      <w:r w:rsidR="00E76BE4" w:rsidRPr="007A4A11">
        <w:rPr>
          <w:rStyle w:val="FootnoteReference"/>
          <w:rFonts w:asciiTheme="minorHAnsi" w:hAnsiTheme="minorHAnsi" w:cs="Arial"/>
        </w:rPr>
        <w:footnoteReference w:id="9"/>
      </w:r>
      <w:r w:rsidR="00E76BE4" w:rsidRPr="007A4A11">
        <w:rPr>
          <w:rFonts w:asciiTheme="minorHAnsi" w:hAnsiTheme="minorHAnsi" w:cs="Arial"/>
        </w:rPr>
        <w:t xml:space="preserve"> </w:t>
      </w:r>
    </w:p>
    <w:p w14:paraId="187C0591" w14:textId="77777777" w:rsidR="0056381D" w:rsidRPr="007A4A11" w:rsidRDefault="0056381D" w:rsidP="00E76BE4">
      <w:pPr>
        <w:rPr>
          <w:rFonts w:asciiTheme="minorHAnsi" w:hAnsiTheme="minorHAnsi" w:cs="Arial"/>
        </w:rPr>
      </w:pPr>
    </w:p>
    <w:p w14:paraId="65E3923D" w14:textId="0EC29CF8" w:rsidR="00E76BE4" w:rsidRPr="007A4A11" w:rsidRDefault="00E76BE4" w:rsidP="00E76BE4">
      <w:pPr>
        <w:rPr>
          <w:rFonts w:asciiTheme="minorHAnsi" w:hAnsiTheme="minorHAnsi" w:cs="Arial"/>
        </w:rPr>
      </w:pPr>
      <w:r w:rsidRPr="007A4A11">
        <w:rPr>
          <w:rFonts w:asciiTheme="minorHAnsi" w:hAnsiTheme="minorHAnsi" w:cs="Arial"/>
        </w:rPr>
        <w:t>Roughly 2-3 weeks of Australian supply is on the water at one time. Storing fuel on ships is seen</w:t>
      </w:r>
      <w:r w:rsidR="00B97C29" w:rsidRPr="007A4A11">
        <w:rPr>
          <w:rFonts w:asciiTheme="minorHAnsi" w:hAnsiTheme="minorHAnsi" w:cs="Arial"/>
        </w:rPr>
        <w:t xml:space="preserve"> as</w:t>
      </w:r>
      <w:r w:rsidRPr="007A4A11">
        <w:rPr>
          <w:rFonts w:asciiTheme="minorHAnsi" w:hAnsiTheme="minorHAnsi" w:cs="Arial"/>
        </w:rPr>
        <w:t xml:space="preserve"> a logical and flexible way to store fuel as </w:t>
      </w:r>
      <w:r w:rsidR="004C28F5" w:rsidRPr="007A4A11">
        <w:rPr>
          <w:rFonts w:asciiTheme="minorHAnsi" w:hAnsiTheme="minorHAnsi" w:cs="Arial"/>
        </w:rPr>
        <w:t>it</w:t>
      </w:r>
      <w:r w:rsidRPr="007A4A11">
        <w:rPr>
          <w:rFonts w:asciiTheme="minorHAnsi" w:hAnsiTheme="minorHAnsi" w:cs="Arial"/>
        </w:rPr>
        <w:t xml:space="preserve"> can be diverted to where it is needed. </w:t>
      </w:r>
      <w:r w:rsidRPr="007A4A11">
        <w:rPr>
          <w:rStyle w:val="FootnoteReference"/>
          <w:rFonts w:asciiTheme="minorHAnsi" w:hAnsiTheme="minorHAnsi" w:cs="Arial"/>
        </w:rPr>
        <w:footnoteReference w:id="10"/>
      </w:r>
    </w:p>
    <w:p w14:paraId="7DCBA584" w14:textId="77777777" w:rsidR="00E76BE4" w:rsidRPr="007A4A11" w:rsidRDefault="00E76BE4" w:rsidP="001F3FD2">
      <w:pPr>
        <w:rPr>
          <w:rFonts w:asciiTheme="minorHAnsi" w:hAnsiTheme="minorHAnsi" w:cs="Arial"/>
        </w:rPr>
      </w:pPr>
    </w:p>
    <w:p w14:paraId="180F325E" w14:textId="51A8DE18" w:rsidR="00E76BE4" w:rsidRPr="007A4A11" w:rsidRDefault="0056381D" w:rsidP="0056381D">
      <w:pPr>
        <w:jc w:val="center"/>
        <w:rPr>
          <w:rFonts w:asciiTheme="minorHAnsi" w:hAnsiTheme="minorHAnsi" w:cs="Arial"/>
          <w:b/>
        </w:rPr>
      </w:pPr>
      <w:r w:rsidRPr="007A4A11">
        <w:rPr>
          <w:rFonts w:asciiTheme="minorHAnsi" w:hAnsiTheme="minorHAnsi" w:cs="Arial"/>
          <w:b/>
        </w:rPr>
        <w:t>Figure 2: Australia’s major imports shipping routes: Petroleum products</w:t>
      </w:r>
    </w:p>
    <w:p w14:paraId="1A0C0E9A" w14:textId="000FFCE6" w:rsidR="00E76BE4" w:rsidRPr="007A4A11" w:rsidRDefault="00E76BE4" w:rsidP="0056381D">
      <w:pPr>
        <w:jc w:val="center"/>
        <w:rPr>
          <w:rFonts w:asciiTheme="minorHAnsi" w:hAnsiTheme="minorHAnsi" w:cs="Arial"/>
        </w:rPr>
      </w:pPr>
      <w:r w:rsidRPr="007A4A11">
        <w:rPr>
          <w:rFonts w:asciiTheme="minorHAnsi" w:hAnsiTheme="minorHAnsi" w:cs="Arial"/>
          <w:noProof/>
          <w:lang w:eastAsia="en-AU"/>
        </w:rPr>
        <w:drawing>
          <wp:inline distT="0" distB="0" distL="0" distR="0" wp14:anchorId="3B92D4F3" wp14:editId="119E46D4">
            <wp:extent cx="611505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429000"/>
                    </a:xfrm>
                    <a:prstGeom prst="rect">
                      <a:avLst/>
                    </a:prstGeom>
                    <a:noFill/>
                    <a:ln>
                      <a:noFill/>
                    </a:ln>
                  </pic:spPr>
                </pic:pic>
              </a:graphicData>
            </a:graphic>
          </wp:inline>
        </w:drawing>
      </w:r>
    </w:p>
    <w:p w14:paraId="3FCD16D1" w14:textId="4E4D31AE" w:rsidR="005D6F57" w:rsidRPr="007A4A11" w:rsidRDefault="00E76BE4" w:rsidP="007A4A11">
      <w:pPr>
        <w:jc w:val="center"/>
        <w:rPr>
          <w:rFonts w:asciiTheme="minorHAnsi" w:hAnsiTheme="minorHAnsi"/>
          <w:sz w:val="16"/>
          <w:szCs w:val="16"/>
        </w:rPr>
      </w:pPr>
      <w:r w:rsidRPr="007A4A11">
        <w:rPr>
          <w:rFonts w:asciiTheme="minorHAnsi" w:hAnsiTheme="minorHAnsi" w:cs="Arial"/>
          <w:sz w:val="16"/>
        </w:rPr>
        <w:t>Source</w:t>
      </w:r>
      <w:r w:rsidRPr="007A4A11">
        <w:rPr>
          <w:rFonts w:asciiTheme="minorHAnsi" w:hAnsiTheme="minorHAnsi" w:cs="Arial"/>
          <w:sz w:val="20"/>
        </w:rPr>
        <w:t xml:space="preserve">: </w:t>
      </w:r>
      <w:r w:rsidR="007A4A11" w:rsidRPr="007A4A11">
        <w:rPr>
          <w:rFonts w:asciiTheme="minorHAnsi" w:hAnsiTheme="minorHAnsi"/>
          <w:sz w:val="16"/>
          <w:szCs w:val="16"/>
        </w:rPr>
        <w:t xml:space="preserve">Australian Institutive of Petroleum, </w:t>
      </w:r>
      <w:r w:rsidR="007A4A11" w:rsidRPr="007A4A11">
        <w:rPr>
          <w:rFonts w:asciiTheme="minorHAnsi" w:hAnsiTheme="minorHAnsi"/>
          <w:i/>
          <w:sz w:val="16"/>
          <w:szCs w:val="16"/>
        </w:rPr>
        <w:t xml:space="preserve">Maintaining Supply Security and Reliability for Liquid Fuels in Australia, </w:t>
      </w:r>
      <w:r w:rsidR="007A4A11" w:rsidRPr="007A4A11">
        <w:rPr>
          <w:rFonts w:asciiTheme="minorHAnsi" w:hAnsiTheme="minorHAnsi"/>
          <w:sz w:val="16"/>
          <w:szCs w:val="16"/>
        </w:rPr>
        <w:t xml:space="preserve">Accessible at </w:t>
      </w:r>
      <w:hyperlink r:id="rId14" w:history="1">
        <w:r w:rsidR="007A4A11" w:rsidRPr="007A4A11">
          <w:rPr>
            <w:rStyle w:val="Hyperlink"/>
            <w:rFonts w:asciiTheme="minorHAnsi" w:hAnsiTheme="minorHAnsi"/>
            <w:sz w:val="16"/>
            <w:szCs w:val="16"/>
          </w:rPr>
          <w:t>www.aip.com.au</w:t>
        </w:r>
      </w:hyperlink>
      <w:r w:rsidR="007A4A11" w:rsidRPr="007A4A11">
        <w:rPr>
          <w:rFonts w:asciiTheme="minorHAnsi" w:hAnsiTheme="minorHAnsi"/>
          <w:sz w:val="16"/>
          <w:szCs w:val="16"/>
        </w:rPr>
        <w:t xml:space="preserve">  September 2013, P 9</w:t>
      </w:r>
    </w:p>
    <w:p w14:paraId="0277B5A2" w14:textId="77777777" w:rsidR="007A4A11" w:rsidRPr="007A4A11" w:rsidRDefault="007A4A11" w:rsidP="007A4A11">
      <w:pPr>
        <w:jc w:val="center"/>
        <w:rPr>
          <w:rFonts w:asciiTheme="minorHAnsi" w:hAnsiTheme="minorHAnsi" w:cs="Arial"/>
        </w:rPr>
      </w:pPr>
    </w:p>
    <w:p w14:paraId="4D3BD371" w14:textId="6A0FA084" w:rsidR="00487A8B" w:rsidRPr="007A4A11" w:rsidRDefault="00487A8B" w:rsidP="001F3FD2">
      <w:pPr>
        <w:rPr>
          <w:rFonts w:asciiTheme="minorHAnsi" w:hAnsiTheme="minorHAnsi" w:cs="Arial"/>
        </w:rPr>
      </w:pPr>
      <w:r w:rsidRPr="007A4A11">
        <w:rPr>
          <w:rFonts w:asciiTheme="minorHAnsi" w:hAnsiTheme="minorHAnsi" w:cs="Arial"/>
        </w:rPr>
        <w:t>The risk of overseas oil supply disruptions is also considered low at this stage with ‘strong business pressures on refiners and fuel suppliers to maintain a resilient and efficient supply chain, since this is essential to minimise costs and to maintain or increase sales through a reputation for reliable supply’</w:t>
      </w:r>
      <w:r w:rsidRPr="007A4A11">
        <w:rPr>
          <w:rStyle w:val="FootnoteReference"/>
          <w:rFonts w:asciiTheme="minorHAnsi" w:hAnsiTheme="minorHAnsi" w:cs="Arial"/>
        </w:rPr>
        <w:footnoteReference w:id="11"/>
      </w:r>
      <w:r w:rsidRPr="007A4A11">
        <w:rPr>
          <w:rFonts w:asciiTheme="minorHAnsi" w:hAnsiTheme="minorHAnsi" w:cs="Arial"/>
        </w:rPr>
        <w:t xml:space="preserve">. </w:t>
      </w:r>
    </w:p>
    <w:p w14:paraId="0CAB1B79" w14:textId="7D8A2B70" w:rsidR="00126921" w:rsidRPr="007A4A11" w:rsidRDefault="00FC4D55" w:rsidP="001F3FD2">
      <w:pPr>
        <w:rPr>
          <w:rFonts w:asciiTheme="minorHAnsi" w:hAnsiTheme="minorHAnsi" w:cs="Arial"/>
        </w:rPr>
      </w:pPr>
      <w:r w:rsidRPr="007A4A11">
        <w:rPr>
          <w:rFonts w:asciiTheme="minorHAnsi" w:hAnsiTheme="minorHAnsi" w:cs="Arial"/>
        </w:rPr>
        <w:br w:type="page"/>
      </w:r>
      <w:r w:rsidR="004C28F5" w:rsidRPr="007A4A11">
        <w:rPr>
          <w:rFonts w:asciiTheme="minorHAnsi" w:hAnsiTheme="minorHAnsi" w:cs="Arial"/>
        </w:rPr>
        <w:lastRenderedPageBreak/>
        <w:t>The p</w:t>
      </w:r>
      <w:r w:rsidR="0056381D" w:rsidRPr="007A4A11">
        <w:rPr>
          <w:rFonts w:asciiTheme="minorHAnsi" w:hAnsiTheme="minorHAnsi" w:cs="Arial"/>
        </w:rPr>
        <w:t>etroleum</w:t>
      </w:r>
      <w:r w:rsidR="00E1231B" w:rsidRPr="007A4A11">
        <w:rPr>
          <w:rFonts w:asciiTheme="minorHAnsi" w:hAnsiTheme="minorHAnsi" w:cs="Arial"/>
        </w:rPr>
        <w:t xml:space="preserve"> industry regularly review</w:t>
      </w:r>
      <w:r w:rsidR="00B97C29" w:rsidRPr="007A4A11">
        <w:rPr>
          <w:rFonts w:asciiTheme="minorHAnsi" w:hAnsiTheme="minorHAnsi" w:cs="Arial"/>
        </w:rPr>
        <w:t>s</w:t>
      </w:r>
      <w:r w:rsidR="00E1231B" w:rsidRPr="007A4A11">
        <w:rPr>
          <w:rFonts w:asciiTheme="minorHAnsi" w:hAnsiTheme="minorHAnsi" w:cs="Arial"/>
        </w:rPr>
        <w:t xml:space="preserve"> commercial industry stockholdings to reflect the operation conditions throughout the supply chain and the risks and consequences of supply disruptions. </w:t>
      </w:r>
      <w:r w:rsidR="00126921" w:rsidRPr="007A4A11">
        <w:rPr>
          <w:rFonts w:asciiTheme="minorHAnsi" w:hAnsiTheme="minorHAnsi" w:cs="Arial"/>
        </w:rPr>
        <w:t xml:space="preserve">An increase in stock levels beyond commercial levels would place significant additional costs on the supply </w:t>
      </w:r>
      <w:r w:rsidR="00B97C29" w:rsidRPr="007A4A11">
        <w:rPr>
          <w:rFonts w:asciiTheme="minorHAnsi" w:hAnsiTheme="minorHAnsi" w:cs="Arial"/>
        </w:rPr>
        <w:t>system, which</w:t>
      </w:r>
      <w:r w:rsidR="00126921" w:rsidRPr="007A4A11">
        <w:rPr>
          <w:rFonts w:asciiTheme="minorHAnsi" w:hAnsiTheme="minorHAnsi" w:cs="Arial"/>
        </w:rPr>
        <w:t xml:space="preserve"> unless government funded would ulti</w:t>
      </w:r>
      <w:r w:rsidR="004C28F5" w:rsidRPr="007A4A11">
        <w:rPr>
          <w:rFonts w:asciiTheme="minorHAnsi" w:hAnsiTheme="minorHAnsi" w:cs="Arial"/>
        </w:rPr>
        <w:t xml:space="preserve">mately be passed onto consumers (if it was funded by the petroleum industry) or taxpayers (if it was funded by government). </w:t>
      </w:r>
      <w:r w:rsidR="003B77D3">
        <w:rPr>
          <w:rFonts w:asciiTheme="minorHAnsi" w:hAnsiTheme="minorHAnsi" w:cs="Arial"/>
        </w:rPr>
        <w:t xml:space="preserve">The government should investigate </w:t>
      </w:r>
      <w:r w:rsidR="004A6F41">
        <w:rPr>
          <w:rFonts w:asciiTheme="minorHAnsi" w:hAnsiTheme="minorHAnsi" w:cs="Arial"/>
        </w:rPr>
        <w:t xml:space="preserve">how much oil stocks are necessary for national </w:t>
      </w:r>
      <w:r w:rsidR="00FB62BA">
        <w:rPr>
          <w:rFonts w:asciiTheme="minorHAnsi" w:hAnsiTheme="minorHAnsi" w:cs="Arial"/>
        </w:rPr>
        <w:t>interests</w:t>
      </w:r>
      <w:r w:rsidR="004A6F41">
        <w:rPr>
          <w:rFonts w:asciiTheme="minorHAnsi" w:hAnsiTheme="minorHAnsi" w:cs="Arial"/>
        </w:rPr>
        <w:t xml:space="preserve"> to be secure and delineate this from commercial stock holdings. </w:t>
      </w:r>
    </w:p>
    <w:p w14:paraId="0F2EA405" w14:textId="77777777" w:rsidR="00E1231B" w:rsidRPr="007A4A11" w:rsidRDefault="00E1231B" w:rsidP="001F3FD2">
      <w:pPr>
        <w:rPr>
          <w:rFonts w:asciiTheme="minorHAnsi" w:hAnsiTheme="minorHAnsi" w:cs="Arial"/>
        </w:rPr>
      </w:pPr>
      <w:bookmarkStart w:id="4" w:name="_GoBack"/>
      <w:bookmarkEnd w:id="4"/>
    </w:p>
    <w:p w14:paraId="4DE99FDE" w14:textId="548DFA9D" w:rsidR="004C28F5" w:rsidRPr="007A4A11" w:rsidRDefault="004C28F5" w:rsidP="001F3FD2">
      <w:pPr>
        <w:rPr>
          <w:rFonts w:asciiTheme="minorHAnsi" w:hAnsiTheme="minorHAnsi" w:cs="Arial"/>
        </w:rPr>
      </w:pPr>
      <w:r w:rsidRPr="007A4A11">
        <w:rPr>
          <w:rFonts w:asciiTheme="minorHAnsi" w:hAnsiTheme="minorHAnsi" w:cs="Arial"/>
        </w:rPr>
        <w:t>The government should press the IEA to review its 90 days stockholding requirement to reflect developments in the petroleum market since 1974</w:t>
      </w:r>
      <w:r w:rsidR="00BF3EAE" w:rsidRPr="007A4A11">
        <w:rPr>
          <w:rFonts w:asciiTheme="minorHAnsi" w:hAnsiTheme="minorHAnsi" w:cs="Arial"/>
        </w:rPr>
        <w:t>, including the development of ‘stocks at sea’</w:t>
      </w:r>
      <w:r w:rsidRPr="007A4A11">
        <w:rPr>
          <w:rFonts w:asciiTheme="minorHAnsi" w:hAnsiTheme="minorHAnsi" w:cs="Arial"/>
        </w:rPr>
        <w:t xml:space="preserve">.  The government should then, over time, seek to comply with the revised stockholding rules. </w:t>
      </w:r>
    </w:p>
    <w:p w14:paraId="2F9A73E1" w14:textId="77777777" w:rsidR="004C28F5" w:rsidRDefault="004C28F5" w:rsidP="001F3FD2">
      <w:pPr>
        <w:rPr>
          <w:rFonts w:asciiTheme="minorHAnsi" w:hAnsiTheme="minorHAnsi" w:cs="Arial"/>
        </w:rPr>
      </w:pPr>
    </w:p>
    <w:p w14:paraId="7BC38FAF" w14:textId="68B74600" w:rsidR="001B769F" w:rsidRPr="001B769F" w:rsidRDefault="001B769F" w:rsidP="001B769F">
      <w:pPr>
        <w:rPr>
          <w:rFonts w:asciiTheme="minorHAnsi" w:hAnsiTheme="minorHAnsi" w:cs="Arial"/>
        </w:rPr>
      </w:pPr>
      <w:r w:rsidRPr="001B769F">
        <w:rPr>
          <w:rFonts w:asciiTheme="minorHAnsi" w:hAnsiTheme="minorHAnsi" w:cs="Arial"/>
        </w:rPr>
        <w:t>Currently, all of Australia’s oil stocks are held by commercial entities. The Australian Government provides no capacity and holds no stocks. In the US, the Government owned capacity has around 106 days’ worth of fuel, and Japan’s Government holds 91 days. In Germany, the majority of fuel oil stocks are stored in Government capacity storage</w:t>
      </w:r>
      <w:r>
        <w:rPr>
          <w:rStyle w:val="FootnoteReference"/>
          <w:rFonts w:asciiTheme="minorHAnsi" w:hAnsiTheme="minorHAnsi"/>
        </w:rPr>
        <w:footnoteReference w:id="12"/>
      </w:r>
      <w:r w:rsidRPr="001B769F">
        <w:rPr>
          <w:rFonts w:asciiTheme="minorHAnsi" w:hAnsiTheme="minorHAnsi" w:cs="Arial"/>
        </w:rPr>
        <w:t xml:space="preserve">. In order to secure Australia’s national interests, the Government should provide capacity storage to the revised IEA stockholding level. </w:t>
      </w:r>
    </w:p>
    <w:p w14:paraId="7046078C" w14:textId="77777777" w:rsidR="001B769F" w:rsidRPr="007A4A11" w:rsidRDefault="001B769F" w:rsidP="001F3FD2">
      <w:pPr>
        <w:rPr>
          <w:rFonts w:asciiTheme="minorHAnsi" w:hAnsiTheme="minorHAnsi" w:cs="Arial"/>
        </w:rPr>
      </w:pPr>
    </w:p>
    <w:p w14:paraId="73C6DFC6" w14:textId="20CDD023" w:rsidR="002F31AB" w:rsidRPr="007A4A11" w:rsidRDefault="002F31AB" w:rsidP="001F3FD2">
      <w:pPr>
        <w:rPr>
          <w:rFonts w:asciiTheme="minorHAnsi" w:hAnsiTheme="minorHAnsi" w:cs="Arial"/>
          <w:b/>
          <w:sz w:val="24"/>
        </w:rPr>
      </w:pPr>
      <w:r w:rsidRPr="007A4A11">
        <w:rPr>
          <w:rFonts w:asciiTheme="minorHAnsi" w:hAnsiTheme="minorHAnsi" w:cs="Arial"/>
          <w:b/>
          <w:sz w:val="24"/>
        </w:rPr>
        <w:t>Onshore oil refineries</w:t>
      </w:r>
    </w:p>
    <w:p w14:paraId="0500B129" w14:textId="77777777" w:rsidR="006173AF" w:rsidRPr="007A4A11" w:rsidRDefault="006173AF" w:rsidP="001F3FD2">
      <w:pPr>
        <w:rPr>
          <w:rFonts w:asciiTheme="minorHAnsi" w:hAnsiTheme="minorHAnsi" w:cs="Arial"/>
        </w:rPr>
      </w:pPr>
    </w:p>
    <w:p w14:paraId="4805CA8D" w14:textId="0409E7E4" w:rsidR="00D3780F" w:rsidRPr="007A4A11" w:rsidRDefault="004F6F30" w:rsidP="001F3FD2">
      <w:pPr>
        <w:rPr>
          <w:rFonts w:asciiTheme="minorHAnsi" w:hAnsiTheme="minorHAnsi" w:cs="Arial"/>
        </w:rPr>
      </w:pPr>
      <w:r w:rsidRPr="007A4A11">
        <w:rPr>
          <w:rFonts w:asciiTheme="minorHAnsi" w:hAnsiTheme="minorHAnsi" w:cs="Arial"/>
        </w:rPr>
        <w:t>Australia</w:t>
      </w:r>
      <w:r w:rsidR="00D11376" w:rsidRPr="007A4A11">
        <w:rPr>
          <w:rFonts w:asciiTheme="minorHAnsi" w:hAnsiTheme="minorHAnsi" w:cs="Arial"/>
        </w:rPr>
        <w:t xml:space="preserve">’s onshore oil refining </w:t>
      </w:r>
      <w:r w:rsidR="003C21FE" w:rsidRPr="007A4A11">
        <w:rPr>
          <w:rFonts w:asciiTheme="minorHAnsi" w:hAnsiTheme="minorHAnsi" w:cs="Arial"/>
        </w:rPr>
        <w:t>capacity is</w:t>
      </w:r>
      <w:r w:rsidR="00D11376" w:rsidRPr="007A4A11">
        <w:rPr>
          <w:rFonts w:asciiTheme="minorHAnsi" w:hAnsiTheme="minorHAnsi" w:cs="Arial"/>
        </w:rPr>
        <w:t xml:space="preserve"> declining. In 2015 two refineries (Kurnell in Sydney and Bulw</w:t>
      </w:r>
      <w:r w:rsidR="00FA601D">
        <w:rPr>
          <w:rFonts w:asciiTheme="minorHAnsi" w:hAnsiTheme="minorHAnsi" w:cs="Arial"/>
        </w:rPr>
        <w:t>e</w:t>
      </w:r>
      <w:r w:rsidR="00D11376" w:rsidRPr="007A4A11">
        <w:rPr>
          <w:rFonts w:asciiTheme="minorHAnsi" w:hAnsiTheme="minorHAnsi" w:cs="Arial"/>
        </w:rPr>
        <w:t>r Island in Brisbane) will close, leaving four refineries in Australia. Not only does this put further pressure on f</w:t>
      </w:r>
      <w:r w:rsidR="00B97C29" w:rsidRPr="007A4A11">
        <w:rPr>
          <w:rFonts w:asciiTheme="minorHAnsi" w:hAnsiTheme="minorHAnsi" w:cs="Arial"/>
        </w:rPr>
        <w:t>uel security in Australia but</w:t>
      </w:r>
      <w:r w:rsidR="00D11376" w:rsidRPr="007A4A11">
        <w:rPr>
          <w:rFonts w:asciiTheme="minorHAnsi" w:hAnsiTheme="minorHAnsi" w:cs="Arial"/>
        </w:rPr>
        <w:t xml:space="preserve"> is losing a vital industry that </w:t>
      </w:r>
      <w:r w:rsidR="00B97C29" w:rsidRPr="007A4A11">
        <w:rPr>
          <w:rFonts w:asciiTheme="minorHAnsi" w:hAnsiTheme="minorHAnsi" w:cs="Arial"/>
        </w:rPr>
        <w:t>can produce export materials</w:t>
      </w:r>
      <w:r w:rsidR="00D11376" w:rsidRPr="007A4A11">
        <w:rPr>
          <w:rFonts w:asciiTheme="minorHAnsi" w:hAnsiTheme="minorHAnsi" w:cs="Arial"/>
        </w:rPr>
        <w:t xml:space="preserve">, similar to mining. </w:t>
      </w:r>
    </w:p>
    <w:p w14:paraId="07CA7DD8" w14:textId="77777777" w:rsidR="00D3780F" w:rsidRPr="007A4A11" w:rsidRDefault="00D3780F" w:rsidP="001F3FD2">
      <w:pPr>
        <w:rPr>
          <w:rFonts w:asciiTheme="minorHAnsi" w:hAnsiTheme="minorHAnsi" w:cs="Arial"/>
        </w:rPr>
      </w:pPr>
    </w:p>
    <w:p w14:paraId="41DA7949" w14:textId="70514499" w:rsidR="00177239" w:rsidRPr="007A4A11" w:rsidRDefault="00D11376" w:rsidP="00177239">
      <w:pPr>
        <w:rPr>
          <w:rFonts w:asciiTheme="minorHAnsi" w:hAnsiTheme="minorHAnsi" w:cs="Arial"/>
        </w:rPr>
      </w:pPr>
      <w:r w:rsidRPr="007A4A11">
        <w:rPr>
          <w:rFonts w:asciiTheme="minorHAnsi" w:hAnsiTheme="minorHAnsi" w:cs="Arial"/>
        </w:rPr>
        <w:t xml:space="preserve">Given that oil refineries are a critical infrastructure the government position on making sure these industries are maintainable should be considered. </w:t>
      </w:r>
      <w:r w:rsidR="00177239" w:rsidRPr="007A4A11">
        <w:rPr>
          <w:rFonts w:asciiTheme="minorHAnsi" w:hAnsiTheme="minorHAnsi" w:cs="Arial"/>
        </w:rPr>
        <w:t>The Australian Institutive of Petroleum have suggested that if the government consider the closing of refiner</w:t>
      </w:r>
      <w:r w:rsidR="0014134A">
        <w:rPr>
          <w:rFonts w:asciiTheme="minorHAnsi" w:hAnsiTheme="minorHAnsi" w:cs="Arial"/>
        </w:rPr>
        <w:t>ie</w:t>
      </w:r>
      <w:r w:rsidR="00177239" w:rsidRPr="007A4A11">
        <w:rPr>
          <w:rFonts w:asciiTheme="minorHAnsi" w:hAnsiTheme="minorHAnsi" w:cs="Arial"/>
        </w:rPr>
        <w:t>s to be a security risk</w:t>
      </w:r>
      <w:r w:rsidR="00B97C29" w:rsidRPr="007A4A11">
        <w:rPr>
          <w:rFonts w:asciiTheme="minorHAnsi" w:hAnsiTheme="minorHAnsi" w:cs="Arial"/>
        </w:rPr>
        <w:t xml:space="preserve"> the future of keeping refineries </w:t>
      </w:r>
      <w:r w:rsidR="00177239" w:rsidRPr="007A4A11">
        <w:rPr>
          <w:rFonts w:asciiTheme="minorHAnsi" w:hAnsiTheme="minorHAnsi" w:cs="Arial"/>
        </w:rPr>
        <w:t>open should be considered in a cost benefit analysis to measure the costs of maintaining these processing abilities</w:t>
      </w:r>
      <w:r w:rsidR="00177239" w:rsidRPr="007A4A11">
        <w:rPr>
          <w:rFonts w:asciiTheme="minorHAnsi" w:hAnsiTheme="minorHAnsi" w:cs="Arial"/>
          <w:vertAlign w:val="superscript"/>
        </w:rPr>
        <w:footnoteReference w:id="13"/>
      </w:r>
      <w:r w:rsidR="00177239" w:rsidRPr="007A4A11">
        <w:rPr>
          <w:rFonts w:asciiTheme="minorHAnsi" w:hAnsiTheme="minorHAnsi" w:cs="Arial"/>
        </w:rPr>
        <w:t xml:space="preserve">. </w:t>
      </w:r>
    </w:p>
    <w:p w14:paraId="34349281" w14:textId="77777777" w:rsidR="00177239" w:rsidRPr="007A4A11" w:rsidRDefault="00177239" w:rsidP="00177239">
      <w:pPr>
        <w:rPr>
          <w:rFonts w:asciiTheme="minorHAnsi" w:hAnsiTheme="minorHAnsi" w:cs="Arial"/>
        </w:rPr>
      </w:pPr>
    </w:p>
    <w:p w14:paraId="22544E42" w14:textId="243EF66E" w:rsidR="00177239" w:rsidRPr="007A4A11" w:rsidRDefault="00177239" w:rsidP="005972F7">
      <w:pPr>
        <w:rPr>
          <w:rFonts w:asciiTheme="minorHAnsi" w:hAnsiTheme="minorHAnsi" w:cs="Arial"/>
        </w:rPr>
      </w:pPr>
      <w:r w:rsidRPr="007A4A11">
        <w:rPr>
          <w:rFonts w:asciiTheme="minorHAnsi" w:hAnsiTheme="minorHAnsi" w:cs="Arial"/>
        </w:rPr>
        <w:t>There are contributing factors to why Australia</w:t>
      </w:r>
      <w:r w:rsidR="00117370" w:rsidRPr="007A4A11">
        <w:rPr>
          <w:rFonts w:asciiTheme="minorHAnsi" w:hAnsiTheme="minorHAnsi" w:cs="Arial"/>
        </w:rPr>
        <w:t>n onshore refining is declining;</w:t>
      </w:r>
      <w:r w:rsidR="005972F7" w:rsidRPr="007A4A11">
        <w:rPr>
          <w:rFonts w:asciiTheme="minorHAnsi" w:hAnsiTheme="minorHAnsi" w:cs="Arial"/>
        </w:rPr>
        <w:t xml:space="preserve"> a </w:t>
      </w:r>
      <w:r w:rsidRPr="007A4A11">
        <w:rPr>
          <w:rFonts w:asciiTheme="minorHAnsi" w:hAnsiTheme="minorHAnsi" w:cs="Arial"/>
        </w:rPr>
        <w:t>higher operating costs base</w:t>
      </w:r>
      <w:r w:rsidR="005972F7" w:rsidRPr="007A4A11">
        <w:rPr>
          <w:rFonts w:asciiTheme="minorHAnsi" w:hAnsiTheme="minorHAnsi" w:cs="Arial"/>
        </w:rPr>
        <w:t xml:space="preserve">, </w:t>
      </w:r>
      <w:r w:rsidRPr="007A4A11">
        <w:rPr>
          <w:rFonts w:asciiTheme="minorHAnsi" w:hAnsiTheme="minorHAnsi" w:cs="Arial"/>
        </w:rPr>
        <w:t>lack of economies of scale compared with regional competitors</w:t>
      </w:r>
      <w:r w:rsidR="005972F7" w:rsidRPr="007A4A11">
        <w:rPr>
          <w:rFonts w:asciiTheme="minorHAnsi" w:hAnsiTheme="minorHAnsi" w:cs="Arial"/>
        </w:rPr>
        <w:t xml:space="preserve">, </w:t>
      </w:r>
      <w:r w:rsidRPr="007A4A11">
        <w:rPr>
          <w:rFonts w:asciiTheme="minorHAnsi" w:hAnsiTheme="minorHAnsi" w:cs="Arial"/>
        </w:rPr>
        <w:t>higher labour costs</w:t>
      </w:r>
      <w:r w:rsidR="005972F7" w:rsidRPr="007A4A11">
        <w:rPr>
          <w:rFonts w:asciiTheme="minorHAnsi" w:hAnsiTheme="minorHAnsi" w:cs="Arial"/>
        </w:rPr>
        <w:t xml:space="preserve">, </w:t>
      </w:r>
      <w:r w:rsidRPr="007A4A11">
        <w:rPr>
          <w:rFonts w:asciiTheme="minorHAnsi" w:hAnsiTheme="minorHAnsi" w:cs="Arial"/>
        </w:rPr>
        <w:t xml:space="preserve">relative age of </w:t>
      </w:r>
      <w:r w:rsidR="005972F7" w:rsidRPr="007A4A11">
        <w:rPr>
          <w:rFonts w:asciiTheme="minorHAnsi" w:hAnsiTheme="minorHAnsi" w:cs="Arial"/>
        </w:rPr>
        <w:t>refineries, the scale of refineries and the h</w:t>
      </w:r>
      <w:r w:rsidRPr="007A4A11">
        <w:rPr>
          <w:rFonts w:asciiTheme="minorHAnsi" w:hAnsiTheme="minorHAnsi" w:cs="Arial"/>
        </w:rPr>
        <w:t>igh Australian dollar</w:t>
      </w:r>
      <w:r w:rsidRPr="007A4A11">
        <w:rPr>
          <w:rStyle w:val="FootnoteReference"/>
          <w:rFonts w:asciiTheme="minorHAnsi" w:hAnsiTheme="minorHAnsi" w:cs="Arial"/>
        </w:rPr>
        <w:footnoteReference w:id="14"/>
      </w:r>
      <w:r w:rsidRPr="007A4A11">
        <w:rPr>
          <w:rFonts w:asciiTheme="minorHAnsi" w:hAnsiTheme="minorHAnsi" w:cs="Arial"/>
        </w:rPr>
        <w:t>.</w:t>
      </w:r>
    </w:p>
    <w:p w14:paraId="31A994C9" w14:textId="77777777" w:rsidR="005972F7" w:rsidRPr="007A4A11" w:rsidRDefault="005972F7" w:rsidP="005972F7">
      <w:pPr>
        <w:rPr>
          <w:rFonts w:asciiTheme="minorHAnsi" w:hAnsiTheme="minorHAnsi" w:cs="Arial"/>
        </w:rPr>
      </w:pPr>
    </w:p>
    <w:p w14:paraId="2FC32339" w14:textId="4239BFF8" w:rsidR="00CE418C" w:rsidRPr="007A4A11" w:rsidRDefault="009248A8" w:rsidP="001F3FD2">
      <w:pPr>
        <w:rPr>
          <w:rFonts w:asciiTheme="minorHAnsi" w:hAnsiTheme="minorHAnsi" w:cs="Arial"/>
        </w:rPr>
      </w:pPr>
      <w:r w:rsidRPr="007A4A11">
        <w:rPr>
          <w:rFonts w:asciiTheme="minorHAnsi" w:hAnsiTheme="minorHAnsi" w:cs="Arial"/>
        </w:rPr>
        <w:t xml:space="preserve">The Liquid Fuel </w:t>
      </w:r>
      <w:r w:rsidR="0014134A">
        <w:rPr>
          <w:rFonts w:asciiTheme="minorHAnsi" w:hAnsiTheme="minorHAnsi" w:cs="Arial"/>
        </w:rPr>
        <w:t>S</w:t>
      </w:r>
      <w:r w:rsidRPr="007A4A11">
        <w:rPr>
          <w:rFonts w:asciiTheme="minorHAnsi" w:hAnsiTheme="minorHAnsi" w:cs="Arial"/>
        </w:rPr>
        <w:t xml:space="preserve">ecurity Vulnerability Assessment in 2011 found that while the import to local stock ratio was declining this was not a cause for concern for supply security reasons in the short term because of the nature of the petroleum market globally and in the Asia </w:t>
      </w:r>
      <w:r w:rsidR="0014134A">
        <w:rPr>
          <w:rFonts w:asciiTheme="minorHAnsi" w:hAnsiTheme="minorHAnsi" w:cs="Arial"/>
        </w:rPr>
        <w:t>P</w:t>
      </w:r>
      <w:r w:rsidRPr="007A4A11">
        <w:rPr>
          <w:rFonts w:asciiTheme="minorHAnsi" w:hAnsiTheme="minorHAnsi" w:cs="Arial"/>
        </w:rPr>
        <w:t>acific region</w:t>
      </w:r>
      <w:r w:rsidRPr="007A4A11">
        <w:rPr>
          <w:rFonts w:asciiTheme="minorHAnsi" w:hAnsiTheme="minorHAnsi" w:cs="Arial"/>
          <w:vertAlign w:val="superscript"/>
        </w:rPr>
        <w:footnoteReference w:id="15"/>
      </w:r>
      <w:r w:rsidRPr="007A4A11">
        <w:rPr>
          <w:rFonts w:asciiTheme="minorHAnsi" w:hAnsiTheme="minorHAnsi" w:cs="Arial"/>
        </w:rPr>
        <w:t xml:space="preserve">. </w:t>
      </w:r>
      <w:r w:rsidR="00D3780F" w:rsidRPr="007A4A11">
        <w:rPr>
          <w:rFonts w:asciiTheme="minorHAnsi" w:hAnsiTheme="minorHAnsi" w:cs="Arial"/>
        </w:rPr>
        <w:t>Asia is a more attractive investment and productive area for oil refining because of economies of scale in refining due to size, scale, lower unit costs and storage capacity</w:t>
      </w:r>
      <w:r w:rsidR="00D3780F" w:rsidRPr="007A4A11">
        <w:rPr>
          <w:rStyle w:val="FootnoteReference"/>
          <w:rFonts w:asciiTheme="minorHAnsi" w:hAnsiTheme="minorHAnsi" w:cs="Arial"/>
        </w:rPr>
        <w:footnoteReference w:id="16"/>
      </w:r>
    </w:p>
    <w:p w14:paraId="6C2B066A" w14:textId="77777777" w:rsidR="00CE418C" w:rsidRPr="007A4A11" w:rsidRDefault="00CE418C" w:rsidP="001F3FD2">
      <w:pPr>
        <w:rPr>
          <w:rFonts w:asciiTheme="minorHAnsi" w:hAnsiTheme="minorHAnsi" w:cs="Arial"/>
        </w:rPr>
      </w:pPr>
    </w:p>
    <w:p w14:paraId="0423C865" w14:textId="33E74F14" w:rsidR="00177239" w:rsidRPr="007A4A11" w:rsidRDefault="00177239" w:rsidP="001F3FD2">
      <w:pPr>
        <w:rPr>
          <w:rFonts w:asciiTheme="minorHAnsi" w:hAnsiTheme="minorHAnsi" w:cs="Arial"/>
        </w:rPr>
      </w:pPr>
      <w:r w:rsidRPr="007A4A11">
        <w:rPr>
          <w:rFonts w:asciiTheme="minorHAnsi" w:hAnsiTheme="minorHAnsi" w:cs="Arial"/>
        </w:rPr>
        <w:t>The</w:t>
      </w:r>
      <w:r w:rsidR="005972F7" w:rsidRPr="007A4A11">
        <w:rPr>
          <w:rFonts w:asciiTheme="minorHAnsi" w:hAnsiTheme="minorHAnsi" w:cs="Arial"/>
        </w:rPr>
        <w:t xml:space="preserve"> </w:t>
      </w:r>
      <w:r w:rsidR="00117370" w:rsidRPr="007A4A11">
        <w:rPr>
          <w:rFonts w:asciiTheme="minorHAnsi" w:hAnsiTheme="minorHAnsi" w:cs="Arial"/>
        </w:rPr>
        <w:t xml:space="preserve">ensure fuel security and to make sure Australia’s remaining oil refineries are as competitive as possible the government should:  </w:t>
      </w:r>
    </w:p>
    <w:p w14:paraId="0B0C08F4" w14:textId="6285AC07" w:rsidR="00177239" w:rsidRPr="007A4A11" w:rsidRDefault="0061550B" w:rsidP="00177239">
      <w:pPr>
        <w:pStyle w:val="ListParagraph"/>
        <w:numPr>
          <w:ilvl w:val="0"/>
          <w:numId w:val="44"/>
        </w:numPr>
        <w:rPr>
          <w:rFonts w:asciiTheme="minorHAnsi" w:hAnsiTheme="minorHAnsi" w:cs="Arial"/>
        </w:rPr>
      </w:pPr>
      <w:r w:rsidRPr="007A4A11">
        <w:rPr>
          <w:rFonts w:asciiTheme="minorHAnsi" w:hAnsiTheme="minorHAnsi" w:cs="Arial"/>
        </w:rPr>
        <w:t>Streamline</w:t>
      </w:r>
      <w:r w:rsidR="00177239" w:rsidRPr="007A4A11">
        <w:rPr>
          <w:rFonts w:asciiTheme="minorHAnsi" w:hAnsiTheme="minorHAnsi" w:cs="Arial"/>
        </w:rPr>
        <w:t xml:space="preserve"> approvals for new or expanded facilities or port deepening</w:t>
      </w:r>
      <w:r w:rsidRPr="007A4A11">
        <w:rPr>
          <w:rFonts w:asciiTheme="minorHAnsi" w:hAnsiTheme="minorHAnsi" w:cs="Arial"/>
        </w:rPr>
        <w:t>.</w:t>
      </w:r>
    </w:p>
    <w:p w14:paraId="7ECB2381" w14:textId="5A5A2FC2" w:rsidR="00177239" w:rsidRPr="007A4A11" w:rsidRDefault="005972F7" w:rsidP="00177239">
      <w:pPr>
        <w:pStyle w:val="ListParagraph"/>
        <w:numPr>
          <w:ilvl w:val="0"/>
          <w:numId w:val="44"/>
        </w:numPr>
        <w:rPr>
          <w:rFonts w:asciiTheme="minorHAnsi" w:hAnsiTheme="minorHAnsi" w:cs="Arial"/>
        </w:rPr>
      </w:pPr>
      <w:r w:rsidRPr="007A4A11">
        <w:rPr>
          <w:rFonts w:asciiTheme="minorHAnsi" w:hAnsiTheme="minorHAnsi" w:cs="Arial"/>
        </w:rPr>
        <w:t>Limit</w:t>
      </w:r>
      <w:r w:rsidR="00177239" w:rsidRPr="007A4A11">
        <w:rPr>
          <w:rFonts w:asciiTheme="minorHAnsi" w:hAnsiTheme="minorHAnsi" w:cs="Arial"/>
        </w:rPr>
        <w:t xml:space="preserve"> regulatory burdens that reduced the industry’s ability to compete effectively in the </w:t>
      </w:r>
      <w:r w:rsidR="0061550B" w:rsidRPr="007A4A11">
        <w:rPr>
          <w:rFonts w:asciiTheme="minorHAnsi" w:hAnsiTheme="minorHAnsi" w:cs="Arial"/>
        </w:rPr>
        <w:t>Asia P</w:t>
      </w:r>
      <w:r w:rsidRPr="007A4A11">
        <w:rPr>
          <w:rFonts w:asciiTheme="minorHAnsi" w:hAnsiTheme="minorHAnsi" w:cs="Arial"/>
        </w:rPr>
        <w:t>acific region.</w:t>
      </w:r>
      <w:r w:rsidR="00FA601D">
        <w:rPr>
          <w:rFonts w:asciiTheme="minorHAnsi" w:hAnsiTheme="minorHAnsi" w:cs="Arial"/>
        </w:rPr>
        <w:t xml:space="preserve"> Any regulatory change should involve extensive consultation with stakeholders and a Regulatory Impact Statement being completed. </w:t>
      </w:r>
    </w:p>
    <w:p w14:paraId="7AC74DFB" w14:textId="53F629DF" w:rsidR="00B97C29" w:rsidRPr="007A4A11" w:rsidRDefault="0061550B" w:rsidP="00177239">
      <w:pPr>
        <w:pStyle w:val="ListParagraph"/>
        <w:numPr>
          <w:ilvl w:val="0"/>
          <w:numId w:val="44"/>
        </w:numPr>
        <w:rPr>
          <w:rFonts w:asciiTheme="minorHAnsi" w:hAnsiTheme="minorHAnsi" w:cs="Arial"/>
        </w:rPr>
      </w:pPr>
      <w:r w:rsidRPr="007A4A11">
        <w:rPr>
          <w:rFonts w:asciiTheme="minorHAnsi" w:hAnsiTheme="minorHAnsi" w:cs="Arial"/>
        </w:rPr>
        <w:lastRenderedPageBreak/>
        <w:t>P</w:t>
      </w:r>
      <w:r w:rsidR="00B97C29" w:rsidRPr="007A4A11">
        <w:rPr>
          <w:rFonts w:asciiTheme="minorHAnsi" w:hAnsiTheme="minorHAnsi" w:cs="Arial"/>
        </w:rPr>
        <w:t>rovide</w:t>
      </w:r>
      <w:r w:rsidRPr="007A4A11">
        <w:rPr>
          <w:rFonts w:asciiTheme="minorHAnsi" w:hAnsiTheme="minorHAnsi" w:cs="Arial"/>
        </w:rPr>
        <w:t xml:space="preserve"> a</w:t>
      </w:r>
      <w:r w:rsidR="00B97C29" w:rsidRPr="007A4A11">
        <w:rPr>
          <w:rFonts w:asciiTheme="minorHAnsi" w:hAnsiTheme="minorHAnsi" w:cs="Arial"/>
        </w:rPr>
        <w:t xml:space="preserve"> stable policy and investment </w:t>
      </w:r>
      <w:r w:rsidRPr="007A4A11">
        <w:rPr>
          <w:rFonts w:asciiTheme="minorHAnsi" w:hAnsiTheme="minorHAnsi" w:cs="Arial"/>
        </w:rPr>
        <w:t>environment for the industry.</w:t>
      </w:r>
    </w:p>
    <w:p w14:paraId="4C6F43D6" w14:textId="402FA4A3" w:rsidR="007A4A11" w:rsidRPr="00AC088B" w:rsidRDefault="0061550B" w:rsidP="00F13E75">
      <w:pPr>
        <w:pStyle w:val="ListParagraph"/>
        <w:numPr>
          <w:ilvl w:val="0"/>
          <w:numId w:val="44"/>
        </w:numPr>
        <w:rPr>
          <w:rFonts w:asciiTheme="minorHAnsi" w:hAnsiTheme="minorHAnsi" w:cs="Arial"/>
        </w:rPr>
      </w:pPr>
      <w:r w:rsidRPr="007A4A11">
        <w:rPr>
          <w:rFonts w:asciiTheme="minorHAnsi" w:hAnsiTheme="minorHAnsi" w:cs="Arial"/>
        </w:rPr>
        <w:t xml:space="preserve">Ensure research and development policies </w:t>
      </w:r>
      <w:r w:rsidR="00177239" w:rsidRPr="007A4A11">
        <w:rPr>
          <w:rFonts w:asciiTheme="minorHAnsi" w:hAnsiTheme="minorHAnsi" w:cs="Arial"/>
        </w:rPr>
        <w:t>encou</w:t>
      </w:r>
      <w:r w:rsidRPr="007A4A11">
        <w:rPr>
          <w:rFonts w:asciiTheme="minorHAnsi" w:hAnsiTheme="minorHAnsi" w:cs="Arial"/>
        </w:rPr>
        <w:t>rage the commercial development</w:t>
      </w:r>
      <w:r w:rsidR="00177239" w:rsidRPr="007A4A11">
        <w:rPr>
          <w:rFonts w:asciiTheme="minorHAnsi" w:hAnsiTheme="minorHAnsi" w:cs="Arial"/>
        </w:rPr>
        <w:t xml:space="preserve"> of transport fuels which can contribute to li</w:t>
      </w:r>
      <w:r w:rsidRPr="007A4A11">
        <w:rPr>
          <w:rFonts w:asciiTheme="minorHAnsi" w:hAnsiTheme="minorHAnsi" w:cs="Arial"/>
        </w:rPr>
        <w:t>quid fuel security in Australia.</w:t>
      </w:r>
      <w:r w:rsidR="00177239" w:rsidRPr="007A4A11">
        <w:rPr>
          <w:rFonts w:asciiTheme="minorHAnsi" w:hAnsiTheme="minorHAnsi" w:cs="Arial"/>
        </w:rPr>
        <w:t xml:space="preserve"> </w:t>
      </w:r>
      <w:r w:rsidR="00177239" w:rsidRPr="007A4A11">
        <w:rPr>
          <w:rStyle w:val="FootnoteReference"/>
          <w:rFonts w:asciiTheme="minorHAnsi" w:hAnsiTheme="minorHAnsi" w:cs="Arial"/>
        </w:rPr>
        <w:footnoteReference w:id="17"/>
      </w:r>
    </w:p>
    <w:p w14:paraId="0539563C" w14:textId="77777777" w:rsidR="00F13E75" w:rsidRPr="007A4A11" w:rsidRDefault="00F13E75" w:rsidP="00F13E75">
      <w:pPr>
        <w:rPr>
          <w:rFonts w:asciiTheme="minorHAnsi" w:hAnsiTheme="minorHAnsi" w:cs="Arial"/>
          <w:b/>
          <w:sz w:val="24"/>
        </w:rPr>
      </w:pPr>
      <w:r w:rsidRPr="007A4A11">
        <w:rPr>
          <w:rFonts w:asciiTheme="minorHAnsi" w:hAnsiTheme="minorHAnsi" w:cs="Arial"/>
          <w:b/>
          <w:sz w:val="24"/>
        </w:rPr>
        <w:t xml:space="preserve">Recommendation 1 </w:t>
      </w:r>
    </w:p>
    <w:p w14:paraId="03ADE037" w14:textId="77777777" w:rsidR="00F13E75" w:rsidRPr="007A4A11" w:rsidRDefault="00F13E75" w:rsidP="00F13E75">
      <w:pPr>
        <w:rPr>
          <w:rFonts w:asciiTheme="minorHAnsi" w:hAnsiTheme="minorHAnsi" w:cs="Arial"/>
        </w:rPr>
      </w:pPr>
    </w:p>
    <w:p w14:paraId="407F5C19" w14:textId="7FC57428" w:rsidR="00F13E75" w:rsidRPr="007A4A11" w:rsidRDefault="00117370" w:rsidP="00F13E75">
      <w:pPr>
        <w:rPr>
          <w:rFonts w:asciiTheme="minorHAnsi" w:hAnsiTheme="minorHAnsi" w:cs="Arial"/>
        </w:rPr>
      </w:pPr>
      <w:r w:rsidRPr="007A4A11">
        <w:rPr>
          <w:rFonts w:asciiTheme="minorHAnsi" w:hAnsiTheme="minorHAnsi" w:cs="Arial"/>
        </w:rPr>
        <w:t>The g</w:t>
      </w:r>
      <w:r w:rsidR="00F13E75" w:rsidRPr="007A4A11">
        <w:rPr>
          <w:rFonts w:asciiTheme="minorHAnsi" w:hAnsiTheme="minorHAnsi" w:cs="Arial"/>
        </w:rPr>
        <w:t xml:space="preserve">overnment should recommend that the International Energy Agency (IEA) review the requirement for measures to hold 90 days of net imports,  given that it was originally set in 1974 and does not allow the inclusion of ‘stocks at sea’, which accounts for over a quarter of Australia’s oil stocks. </w:t>
      </w:r>
    </w:p>
    <w:p w14:paraId="106DFD83" w14:textId="77777777" w:rsidR="00FC4D55" w:rsidRPr="007A4A11" w:rsidRDefault="00FC4D55" w:rsidP="00F13E75">
      <w:pPr>
        <w:rPr>
          <w:rFonts w:asciiTheme="minorHAnsi" w:hAnsiTheme="minorHAnsi" w:cs="Arial"/>
          <w:b/>
          <w:sz w:val="24"/>
        </w:rPr>
      </w:pPr>
    </w:p>
    <w:p w14:paraId="4BD183F0" w14:textId="27306001" w:rsidR="00117370" w:rsidRPr="007A4A11" w:rsidRDefault="00117370" w:rsidP="00F13E75">
      <w:pPr>
        <w:rPr>
          <w:rFonts w:asciiTheme="minorHAnsi" w:hAnsiTheme="minorHAnsi" w:cs="Arial"/>
          <w:b/>
          <w:sz w:val="24"/>
        </w:rPr>
      </w:pPr>
      <w:r w:rsidRPr="007A4A11">
        <w:rPr>
          <w:rFonts w:asciiTheme="minorHAnsi" w:hAnsiTheme="minorHAnsi" w:cs="Arial"/>
          <w:b/>
          <w:sz w:val="24"/>
        </w:rPr>
        <w:t xml:space="preserve">Recommendation 2 </w:t>
      </w:r>
    </w:p>
    <w:p w14:paraId="2CF566FE" w14:textId="77777777" w:rsidR="00117370" w:rsidRPr="007A4A11" w:rsidRDefault="00117370" w:rsidP="00F13E75">
      <w:pPr>
        <w:rPr>
          <w:rFonts w:asciiTheme="minorHAnsi" w:hAnsiTheme="minorHAnsi" w:cs="Arial"/>
        </w:rPr>
      </w:pPr>
    </w:p>
    <w:p w14:paraId="1C2ADA86" w14:textId="166D8BD3" w:rsidR="00117370" w:rsidRPr="007A4A11" w:rsidRDefault="00117370" w:rsidP="00F13E75">
      <w:pPr>
        <w:rPr>
          <w:rFonts w:asciiTheme="minorHAnsi" w:hAnsiTheme="minorHAnsi" w:cs="Arial"/>
        </w:rPr>
      </w:pPr>
      <w:r w:rsidRPr="007A4A11">
        <w:rPr>
          <w:rFonts w:asciiTheme="minorHAnsi" w:hAnsiTheme="minorHAnsi" w:cs="Arial"/>
        </w:rPr>
        <w:t xml:space="preserve">The government should comply with the revised IEA stock holding rule. </w:t>
      </w:r>
    </w:p>
    <w:p w14:paraId="303B4FD7" w14:textId="77777777" w:rsidR="006E607F" w:rsidRPr="007A4A11" w:rsidRDefault="006E607F" w:rsidP="00F13E75">
      <w:pPr>
        <w:rPr>
          <w:rFonts w:asciiTheme="minorHAnsi" w:hAnsiTheme="minorHAnsi" w:cs="Arial"/>
          <w:b/>
          <w:sz w:val="24"/>
        </w:rPr>
      </w:pPr>
    </w:p>
    <w:p w14:paraId="33489F36" w14:textId="3EA55469" w:rsidR="00F13E75" w:rsidRPr="007A4A11" w:rsidRDefault="00F13E75" w:rsidP="00F13E75">
      <w:pPr>
        <w:rPr>
          <w:rFonts w:asciiTheme="minorHAnsi" w:hAnsiTheme="minorHAnsi" w:cs="Arial"/>
          <w:b/>
          <w:sz w:val="24"/>
        </w:rPr>
      </w:pPr>
      <w:r w:rsidRPr="007A4A11">
        <w:rPr>
          <w:rFonts w:asciiTheme="minorHAnsi" w:hAnsiTheme="minorHAnsi" w:cs="Arial"/>
          <w:b/>
          <w:sz w:val="24"/>
        </w:rPr>
        <w:t xml:space="preserve">Recommendation </w:t>
      </w:r>
      <w:r w:rsidR="00117370" w:rsidRPr="007A4A11">
        <w:rPr>
          <w:rFonts w:asciiTheme="minorHAnsi" w:hAnsiTheme="minorHAnsi" w:cs="Arial"/>
          <w:b/>
          <w:sz w:val="24"/>
        </w:rPr>
        <w:t>3</w:t>
      </w:r>
    </w:p>
    <w:p w14:paraId="0410B7C2" w14:textId="77777777" w:rsidR="00F13E75" w:rsidRPr="007A4A11" w:rsidRDefault="00F13E75" w:rsidP="00F13E75">
      <w:pPr>
        <w:rPr>
          <w:rFonts w:asciiTheme="minorHAnsi" w:hAnsiTheme="minorHAnsi" w:cs="Arial"/>
        </w:rPr>
      </w:pPr>
    </w:p>
    <w:p w14:paraId="1066387D" w14:textId="77777777" w:rsidR="00F13E75" w:rsidRPr="007A4A11" w:rsidRDefault="00F13E75" w:rsidP="00F13E75">
      <w:pPr>
        <w:rPr>
          <w:rFonts w:asciiTheme="minorHAnsi" w:hAnsiTheme="minorHAnsi" w:cs="Arial"/>
        </w:rPr>
      </w:pPr>
      <w:r w:rsidRPr="007A4A11">
        <w:rPr>
          <w:rFonts w:asciiTheme="minorHAnsi" w:hAnsiTheme="minorHAnsi" w:cs="Arial"/>
        </w:rPr>
        <w:t xml:space="preserve">The government should continue to monitor fuel security in Australia by: </w:t>
      </w:r>
    </w:p>
    <w:p w14:paraId="3C91D0ED" w14:textId="77777777" w:rsidR="00F13E75" w:rsidRPr="007A4A11" w:rsidRDefault="00F13E75" w:rsidP="00F13E75">
      <w:pPr>
        <w:pStyle w:val="ListParagraph"/>
        <w:numPr>
          <w:ilvl w:val="0"/>
          <w:numId w:val="19"/>
        </w:numPr>
        <w:rPr>
          <w:rFonts w:asciiTheme="minorHAnsi" w:hAnsiTheme="minorHAnsi" w:cs="Arial"/>
        </w:rPr>
      </w:pPr>
      <w:r w:rsidRPr="007A4A11">
        <w:rPr>
          <w:rFonts w:asciiTheme="minorHAnsi" w:hAnsiTheme="minorHAnsi" w:cs="Arial"/>
        </w:rPr>
        <w:t xml:space="preserve"> Continuing the National Emergency Security Assessments and Liquid Fuels Vulnerability assessments. </w:t>
      </w:r>
    </w:p>
    <w:p w14:paraId="4108F2CF" w14:textId="77777777" w:rsidR="00F13E75" w:rsidRPr="007A4A11" w:rsidRDefault="00F13E75" w:rsidP="00F13E75">
      <w:pPr>
        <w:pStyle w:val="ListParagraph"/>
        <w:numPr>
          <w:ilvl w:val="0"/>
          <w:numId w:val="19"/>
        </w:numPr>
        <w:rPr>
          <w:rFonts w:asciiTheme="minorHAnsi" w:hAnsiTheme="minorHAnsi" w:cs="Arial"/>
        </w:rPr>
      </w:pPr>
      <w:r w:rsidRPr="007A4A11">
        <w:rPr>
          <w:rFonts w:asciiTheme="minorHAnsi" w:hAnsiTheme="minorHAnsi" w:cs="Arial"/>
        </w:rPr>
        <w:t xml:space="preserve">Improving the data collection of Petroleum statistics via the Mandatory Reporting Regime which is being developed. </w:t>
      </w:r>
    </w:p>
    <w:p w14:paraId="33727135" w14:textId="77777777" w:rsidR="00F13E75" w:rsidRPr="007A4A11" w:rsidRDefault="00F13E75" w:rsidP="00F13E75">
      <w:pPr>
        <w:pStyle w:val="ListParagraph"/>
        <w:numPr>
          <w:ilvl w:val="0"/>
          <w:numId w:val="19"/>
        </w:numPr>
        <w:rPr>
          <w:rFonts w:asciiTheme="minorHAnsi" w:hAnsiTheme="minorHAnsi" w:cs="Arial"/>
        </w:rPr>
      </w:pPr>
      <w:r w:rsidRPr="007A4A11">
        <w:rPr>
          <w:rFonts w:asciiTheme="minorHAnsi" w:hAnsiTheme="minorHAnsi" w:cs="Arial"/>
        </w:rPr>
        <w:t>Identifying and addressing government policy and regulatory weaknesses that threatens Australia maintaining a high level of liquid fuel security over the longer term.</w:t>
      </w:r>
    </w:p>
    <w:p w14:paraId="486DBE78" w14:textId="1E1E035E" w:rsidR="00F13E75" w:rsidRPr="007A4A11" w:rsidRDefault="00F13E75" w:rsidP="00F13E75">
      <w:pPr>
        <w:rPr>
          <w:rFonts w:asciiTheme="minorHAnsi" w:hAnsiTheme="minorHAnsi" w:cs="Arial"/>
          <w:b/>
          <w:sz w:val="24"/>
        </w:rPr>
      </w:pPr>
      <w:r w:rsidRPr="007A4A11">
        <w:rPr>
          <w:rFonts w:asciiTheme="minorHAnsi" w:hAnsiTheme="minorHAnsi" w:cs="Arial"/>
          <w:b/>
          <w:sz w:val="24"/>
        </w:rPr>
        <w:t xml:space="preserve">Recommendation </w:t>
      </w:r>
      <w:r w:rsidR="00117370" w:rsidRPr="007A4A11">
        <w:rPr>
          <w:rFonts w:asciiTheme="minorHAnsi" w:hAnsiTheme="minorHAnsi" w:cs="Arial"/>
          <w:b/>
          <w:sz w:val="24"/>
        </w:rPr>
        <w:t>4</w:t>
      </w:r>
    </w:p>
    <w:p w14:paraId="3530CE9F" w14:textId="77777777" w:rsidR="00F13E75" w:rsidRPr="007A4A11" w:rsidRDefault="00F13E75" w:rsidP="00F13E75">
      <w:pPr>
        <w:rPr>
          <w:rFonts w:asciiTheme="minorHAnsi" w:hAnsiTheme="minorHAnsi" w:cs="Arial"/>
        </w:rPr>
      </w:pPr>
    </w:p>
    <w:p w14:paraId="2C73791D" w14:textId="77777777" w:rsidR="00F13E75" w:rsidRPr="007A4A11" w:rsidRDefault="00F13E75" w:rsidP="00F13E75">
      <w:pPr>
        <w:rPr>
          <w:rFonts w:asciiTheme="minorHAnsi" w:hAnsiTheme="minorHAnsi" w:cs="Arial"/>
        </w:rPr>
      </w:pPr>
      <w:r w:rsidRPr="007A4A11">
        <w:rPr>
          <w:rFonts w:asciiTheme="minorHAnsi" w:hAnsiTheme="minorHAnsi" w:cs="Arial"/>
        </w:rPr>
        <w:t>The government should seek to improve investment in energy security by removing barriers to investment in this sector such as:</w:t>
      </w:r>
    </w:p>
    <w:p w14:paraId="64FA0EB9" w14:textId="704482BF" w:rsidR="00F13E75" w:rsidRPr="007A4A11" w:rsidRDefault="002C64C3" w:rsidP="00F13E75">
      <w:pPr>
        <w:pStyle w:val="ListParagraph"/>
        <w:numPr>
          <w:ilvl w:val="0"/>
          <w:numId w:val="46"/>
        </w:numPr>
        <w:rPr>
          <w:rFonts w:asciiTheme="minorHAnsi" w:hAnsiTheme="minorHAnsi" w:cs="Arial"/>
        </w:rPr>
      </w:pPr>
      <w:r>
        <w:rPr>
          <w:rFonts w:asciiTheme="minorHAnsi" w:hAnsiTheme="minorHAnsi" w:cs="Arial"/>
        </w:rPr>
        <w:t>s</w:t>
      </w:r>
      <w:r w:rsidR="00F13E75" w:rsidRPr="007A4A11">
        <w:rPr>
          <w:rFonts w:asciiTheme="minorHAnsi" w:hAnsiTheme="minorHAnsi" w:cs="Arial"/>
        </w:rPr>
        <w:t>treamlining approvals for new or expanded facilities or port deepening</w:t>
      </w:r>
      <w:r>
        <w:rPr>
          <w:rFonts w:asciiTheme="minorHAnsi" w:hAnsiTheme="minorHAnsi" w:cs="Arial"/>
        </w:rPr>
        <w:t>,</w:t>
      </w:r>
    </w:p>
    <w:p w14:paraId="6813AA18" w14:textId="0F58B9BF" w:rsidR="00F13E75" w:rsidRPr="007A4A11" w:rsidRDefault="002C64C3" w:rsidP="00F13E75">
      <w:pPr>
        <w:pStyle w:val="ListParagraph"/>
        <w:numPr>
          <w:ilvl w:val="0"/>
          <w:numId w:val="46"/>
        </w:numPr>
        <w:rPr>
          <w:rFonts w:asciiTheme="minorHAnsi" w:hAnsiTheme="minorHAnsi" w:cs="Arial"/>
        </w:rPr>
      </w:pPr>
      <w:r>
        <w:rPr>
          <w:rFonts w:asciiTheme="minorHAnsi" w:hAnsiTheme="minorHAnsi" w:cs="Arial"/>
        </w:rPr>
        <w:t>p</w:t>
      </w:r>
      <w:r w:rsidR="00F13E75" w:rsidRPr="007A4A11">
        <w:rPr>
          <w:rFonts w:asciiTheme="minorHAnsi" w:hAnsiTheme="minorHAnsi" w:cs="Arial"/>
        </w:rPr>
        <w:t>roviding a stable policy and investment environment for the industry</w:t>
      </w:r>
      <w:r>
        <w:rPr>
          <w:rFonts w:asciiTheme="minorHAnsi" w:hAnsiTheme="minorHAnsi" w:cs="Arial"/>
        </w:rPr>
        <w:t>, and</w:t>
      </w:r>
    </w:p>
    <w:p w14:paraId="2CE06B39" w14:textId="2A949620" w:rsidR="00CE418C" w:rsidRPr="007A4A11" w:rsidRDefault="002C64C3" w:rsidP="00CE418C">
      <w:pPr>
        <w:pStyle w:val="ListParagraph"/>
        <w:numPr>
          <w:ilvl w:val="0"/>
          <w:numId w:val="46"/>
        </w:numPr>
        <w:rPr>
          <w:rFonts w:asciiTheme="minorHAnsi" w:hAnsiTheme="minorHAnsi" w:cs="Arial"/>
        </w:rPr>
      </w:pPr>
      <w:proofErr w:type="gramStart"/>
      <w:r>
        <w:rPr>
          <w:rFonts w:asciiTheme="minorHAnsi" w:hAnsiTheme="minorHAnsi" w:cs="Arial"/>
        </w:rPr>
        <w:t>e</w:t>
      </w:r>
      <w:r w:rsidR="00F13E75" w:rsidRPr="007A4A11">
        <w:rPr>
          <w:rFonts w:asciiTheme="minorHAnsi" w:hAnsiTheme="minorHAnsi" w:cs="Arial"/>
        </w:rPr>
        <w:t>nsu</w:t>
      </w:r>
      <w:r w:rsidR="008E497C">
        <w:rPr>
          <w:rFonts w:asciiTheme="minorHAnsi" w:hAnsiTheme="minorHAnsi" w:cs="Arial"/>
        </w:rPr>
        <w:t>r</w:t>
      </w:r>
      <w:r w:rsidR="00F13E75" w:rsidRPr="007A4A11">
        <w:rPr>
          <w:rFonts w:asciiTheme="minorHAnsi" w:hAnsiTheme="minorHAnsi" w:cs="Arial"/>
        </w:rPr>
        <w:t>ing</w:t>
      </w:r>
      <w:proofErr w:type="gramEnd"/>
      <w:r w:rsidR="00F13E75" w:rsidRPr="007A4A11">
        <w:rPr>
          <w:rFonts w:asciiTheme="minorHAnsi" w:hAnsiTheme="minorHAnsi" w:cs="Arial"/>
        </w:rPr>
        <w:t xml:space="preserve"> research and development policies encourage the development of transport fuels. </w:t>
      </w:r>
    </w:p>
    <w:p w14:paraId="5FA35243" w14:textId="77777777" w:rsidR="00FC4D55" w:rsidRPr="007A4A11" w:rsidRDefault="00FC4D55" w:rsidP="00FC4D55">
      <w:pPr>
        <w:ind w:left="405"/>
        <w:rPr>
          <w:rFonts w:asciiTheme="minorHAnsi" w:hAnsiTheme="minorHAnsi" w:cs="Arial"/>
        </w:rPr>
      </w:pPr>
    </w:p>
    <w:p w14:paraId="0D75DE37" w14:textId="3FCEA19B" w:rsidR="00B27FDD" w:rsidRPr="007A4A11" w:rsidRDefault="008E33C6" w:rsidP="001F3FD2">
      <w:pPr>
        <w:pStyle w:val="Heading1"/>
        <w:rPr>
          <w:rFonts w:asciiTheme="minorHAnsi" w:hAnsiTheme="minorHAnsi"/>
          <w:szCs w:val="22"/>
        </w:rPr>
      </w:pPr>
      <w:bookmarkStart w:id="5" w:name="_Toc400704331"/>
      <w:r w:rsidRPr="007A4A11">
        <w:rPr>
          <w:rFonts w:asciiTheme="minorHAnsi" w:hAnsiTheme="minorHAnsi"/>
          <w:szCs w:val="22"/>
        </w:rPr>
        <w:t>Alternative transport fuel</w:t>
      </w:r>
      <w:bookmarkEnd w:id="5"/>
      <w:r w:rsidR="00117370" w:rsidRPr="007A4A11">
        <w:rPr>
          <w:rFonts w:asciiTheme="minorHAnsi" w:hAnsiTheme="minorHAnsi"/>
          <w:szCs w:val="22"/>
        </w:rPr>
        <w:t>s</w:t>
      </w:r>
      <w:r w:rsidR="00905EB9" w:rsidRPr="007A4A11">
        <w:rPr>
          <w:rFonts w:asciiTheme="minorHAnsi" w:hAnsiTheme="minorHAnsi"/>
          <w:szCs w:val="22"/>
        </w:rPr>
        <w:t xml:space="preserve"> </w:t>
      </w:r>
    </w:p>
    <w:p w14:paraId="7DDAA8D6" w14:textId="77777777" w:rsidR="00905EB9" w:rsidRPr="007A4A11" w:rsidRDefault="00905EB9" w:rsidP="001F3FD2">
      <w:pPr>
        <w:rPr>
          <w:rFonts w:asciiTheme="minorHAnsi" w:hAnsiTheme="minorHAnsi" w:cs="Arial"/>
        </w:rPr>
      </w:pPr>
    </w:p>
    <w:p w14:paraId="3B16A173" w14:textId="77777777" w:rsidR="00196DAB" w:rsidRPr="007A4A11" w:rsidRDefault="00196DAB" w:rsidP="00196DAB">
      <w:pPr>
        <w:rPr>
          <w:rFonts w:asciiTheme="minorHAnsi" w:hAnsiTheme="minorHAnsi"/>
        </w:rPr>
      </w:pPr>
      <w:r w:rsidRPr="007A4A11">
        <w:rPr>
          <w:rFonts w:asciiTheme="minorHAnsi" w:hAnsiTheme="minorHAnsi"/>
        </w:rPr>
        <w:t xml:space="preserve">LNG and CNG are an alternative source of fuel for the industry with lower emissions. However, there are some technical issues and drawbacks compared with diesel that limit LNG/CNG heavy vehicle uptake. </w:t>
      </w:r>
    </w:p>
    <w:p w14:paraId="6E3C83C7" w14:textId="77777777" w:rsidR="00196DAB" w:rsidRPr="007A4A11" w:rsidRDefault="00196DAB" w:rsidP="00196DAB">
      <w:pPr>
        <w:rPr>
          <w:rFonts w:asciiTheme="minorHAnsi" w:hAnsiTheme="minorHAnsi"/>
        </w:rPr>
      </w:pPr>
      <w:r w:rsidRPr="007A4A11">
        <w:rPr>
          <w:rFonts w:asciiTheme="minorHAnsi" w:hAnsiTheme="minorHAnsi"/>
        </w:rPr>
        <w:t> </w:t>
      </w:r>
    </w:p>
    <w:p w14:paraId="229862AE" w14:textId="77777777" w:rsidR="00196DAB" w:rsidRPr="007A4A11" w:rsidRDefault="00196DAB" w:rsidP="00196DAB">
      <w:pPr>
        <w:rPr>
          <w:rFonts w:asciiTheme="minorHAnsi" w:hAnsiTheme="minorHAnsi"/>
        </w:rPr>
      </w:pPr>
      <w:r w:rsidRPr="007A4A11">
        <w:rPr>
          <w:rFonts w:asciiTheme="minorHAnsi" w:hAnsiTheme="minorHAnsi"/>
        </w:rPr>
        <w:t xml:space="preserve">For LNG heavy vehicles, the tank needs to be 1.5 times larger in order to have the correct capacity. For CNG vehicles the tank needs to be even larger. CNG heavy vehicles also need to be modified to have spark plugs fitted in order for combustion and LNG vehicles require a small amount of diesel to start ignition.  The cost of modifying vehicles to CNG/LNG is $50,000 - $60,000. The refuelling of these vehicles also takes considerable time compared to diesel heavy vehicles. </w:t>
      </w:r>
    </w:p>
    <w:p w14:paraId="4B0E6A94" w14:textId="77777777" w:rsidR="00196DAB" w:rsidRPr="007A4A11" w:rsidRDefault="00196DAB" w:rsidP="00196DAB">
      <w:pPr>
        <w:rPr>
          <w:rFonts w:asciiTheme="minorHAnsi" w:hAnsiTheme="minorHAnsi"/>
        </w:rPr>
      </w:pPr>
    </w:p>
    <w:p w14:paraId="031B808B" w14:textId="0D145A79" w:rsidR="00196DAB" w:rsidRPr="007A4A11" w:rsidRDefault="00196DAB" w:rsidP="00196DAB">
      <w:pPr>
        <w:rPr>
          <w:rFonts w:asciiTheme="minorHAnsi" w:hAnsiTheme="minorHAnsi"/>
        </w:rPr>
      </w:pPr>
      <w:r w:rsidRPr="007A4A11">
        <w:rPr>
          <w:rFonts w:asciiTheme="minorHAnsi" w:hAnsiTheme="minorHAnsi"/>
        </w:rPr>
        <w:t xml:space="preserve">The industry has trialled LNG heavy vehicles and believes there are significant gains to be made in the use of LNG/CNG smaller heavy vehicles such as </w:t>
      </w:r>
      <w:r>
        <w:rPr>
          <w:rFonts w:asciiTheme="minorHAnsi" w:hAnsiTheme="minorHAnsi"/>
        </w:rPr>
        <w:t xml:space="preserve">three </w:t>
      </w:r>
      <w:r w:rsidRPr="007A4A11">
        <w:rPr>
          <w:rFonts w:asciiTheme="minorHAnsi" w:hAnsiTheme="minorHAnsi"/>
        </w:rPr>
        <w:t>axle rigid trucks. These vehicles are not constrained by length and weight dimensions compared with larger high productivi</w:t>
      </w:r>
      <w:r>
        <w:rPr>
          <w:rFonts w:asciiTheme="minorHAnsi" w:hAnsiTheme="minorHAnsi"/>
        </w:rPr>
        <w:t>ty vehicles such as B-doubles or</w:t>
      </w:r>
      <w:r w:rsidRPr="007A4A11">
        <w:rPr>
          <w:rFonts w:asciiTheme="minorHAnsi" w:hAnsiTheme="minorHAnsi"/>
        </w:rPr>
        <w:t xml:space="preserve"> truck and dogs. Larger trucks are limited by the turning circle, length and weight required for a multi combination vehicle </w:t>
      </w:r>
      <w:r w:rsidR="0014134A" w:rsidRPr="007A4A11">
        <w:rPr>
          <w:rFonts w:asciiTheme="minorHAnsi" w:hAnsiTheme="minorHAnsi"/>
        </w:rPr>
        <w:t>and, therefore</w:t>
      </w:r>
      <w:r w:rsidR="0014134A">
        <w:rPr>
          <w:rFonts w:asciiTheme="minorHAnsi" w:hAnsiTheme="minorHAnsi"/>
        </w:rPr>
        <w:t>,</w:t>
      </w:r>
      <w:r w:rsidRPr="007A4A11">
        <w:rPr>
          <w:rFonts w:asciiTheme="minorHAnsi" w:hAnsiTheme="minorHAnsi"/>
        </w:rPr>
        <w:t xml:space="preserve"> not as suitable for alternative fuels as single combination small heavy vehicles. </w:t>
      </w:r>
    </w:p>
    <w:p w14:paraId="511F00A1" w14:textId="77777777" w:rsidR="00196DAB" w:rsidRPr="007A4A11" w:rsidRDefault="00196DAB" w:rsidP="00196DAB">
      <w:pPr>
        <w:rPr>
          <w:rFonts w:asciiTheme="minorHAnsi" w:hAnsiTheme="minorHAnsi"/>
        </w:rPr>
      </w:pPr>
    </w:p>
    <w:p w14:paraId="2D67F9CE" w14:textId="77777777" w:rsidR="00196DAB" w:rsidRPr="007A4A11" w:rsidRDefault="00196DAB" w:rsidP="00196DAB">
      <w:pPr>
        <w:rPr>
          <w:rFonts w:asciiTheme="minorHAnsi" w:hAnsiTheme="minorHAnsi"/>
        </w:rPr>
      </w:pPr>
      <w:r w:rsidRPr="007A4A11">
        <w:rPr>
          <w:rFonts w:asciiTheme="minorHAnsi" w:hAnsiTheme="minorHAnsi"/>
        </w:rPr>
        <w:lastRenderedPageBreak/>
        <w:t xml:space="preserve">The industry has concerns about additional mass concessions for the steer axle of prime movers because of the increased impact on the infrastructure the concessions would cause. </w:t>
      </w:r>
    </w:p>
    <w:p w14:paraId="08E73219" w14:textId="77777777" w:rsidR="00196DAB" w:rsidRPr="007A4A11" w:rsidRDefault="00196DAB" w:rsidP="00196DAB">
      <w:pPr>
        <w:rPr>
          <w:rFonts w:asciiTheme="minorHAnsi" w:hAnsiTheme="minorHAnsi"/>
        </w:rPr>
      </w:pPr>
    </w:p>
    <w:p w14:paraId="2879AFE4" w14:textId="77777777" w:rsidR="00196DAB" w:rsidRPr="007A4A11" w:rsidRDefault="00196DAB" w:rsidP="00196DAB">
      <w:pPr>
        <w:rPr>
          <w:rFonts w:asciiTheme="minorHAnsi" w:hAnsiTheme="minorHAnsi"/>
        </w:rPr>
      </w:pPr>
      <w:r w:rsidRPr="007A4A11">
        <w:rPr>
          <w:rFonts w:asciiTheme="minorHAnsi" w:hAnsiTheme="minorHAnsi"/>
        </w:rPr>
        <w:t xml:space="preserve">The Government should provide a positive investment environment for alternative fuel infrastructure in order to support the heavy vehicle industry use of CNG/LNG heavy vehicles. </w:t>
      </w:r>
    </w:p>
    <w:p w14:paraId="1A4063C1" w14:textId="77777777" w:rsidR="00FB3E42" w:rsidRPr="007A4A11" w:rsidRDefault="00FB3E42" w:rsidP="00FB3E42">
      <w:pPr>
        <w:rPr>
          <w:rFonts w:asciiTheme="minorHAnsi" w:hAnsiTheme="minorHAnsi"/>
        </w:rPr>
      </w:pPr>
    </w:p>
    <w:p w14:paraId="333FB1A4" w14:textId="77777777" w:rsidR="00FB3E42" w:rsidRPr="007A4A11" w:rsidRDefault="00FB3E42" w:rsidP="00FB3E42">
      <w:pPr>
        <w:rPr>
          <w:rFonts w:asciiTheme="minorHAnsi" w:hAnsiTheme="minorHAnsi"/>
          <w:b/>
          <w:bCs/>
          <w:sz w:val="24"/>
          <w:szCs w:val="24"/>
        </w:rPr>
      </w:pPr>
      <w:r w:rsidRPr="007A4A11">
        <w:rPr>
          <w:rFonts w:asciiTheme="minorHAnsi" w:hAnsiTheme="minorHAnsi"/>
          <w:b/>
          <w:bCs/>
          <w:sz w:val="24"/>
          <w:szCs w:val="24"/>
        </w:rPr>
        <w:t>Recommendation 5</w:t>
      </w:r>
    </w:p>
    <w:p w14:paraId="2D8EA1D8" w14:textId="77777777" w:rsidR="00FB3E42" w:rsidRPr="007A4A11" w:rsidRDefault="00FB3E42" w:rsidP="00FB3E42">
      <w:pPr>
        <w:rPr>
          <w:rFonts w:asciiTheme="minorHAnsi" w:hAnsiTheme="minorHAnsi"/>
        </w:rPr>
      </w:pPr>
    </w:p>
    <w:p w14:paraId="53E396F6" w14:textId="77777777" w:rsidR="00FB3E42" w:rsidRPr="007A4A11" w:rsidRDefault="00FB3E42" w:rsidP="00FB3E42">
      <w:pPr>
        <w:rPr>
          <w:rFonts w:asciiTheme="minorHAnsi" w:hAnsiTheme="minorHAnsi"/>
        </w:rPr>
      </w:pPr>
      <w:r w:rsidRPr="007A4A11">
        <w:rPr>
          <w:rFonts w:asciiTheme="minorHAnsi" w:hAnsiTheme="minorHAnsi"/>
        </w:rPr>
        <w:t>The Government should provide a positive investment environment for alternative fuel infrastructure in order to support the heavy vehicle industry use of CNG/LNG heavy vehicles.</w:t>
      </w:r>
    </w:p>
    <w:p w14:paraId="49A20000" w14:textId="77777777" w:rsidR="00CE418C" w:rsidRPr="007A4A11" w:rsidRDefault="00CE418C" w:rsidP="001F3FD2">
      <w:pPr>
        <w:rPr>
          <w:rFonts w:asciiTheme="minorHAnsi" w:hAnsiTheme="minorHAnsi" w:cs="Arial"/>
        </w:rPr>
      </w:pPr>
    </w:p>
    <w:p w14:paraId="4C2BA8A7" w14:textId="77777777" w:rsidR="007A4A11" w:rsidRPr="007A4A11" w:rsidRDefault="007A4A11" w:rsidP="001F3FD2">
      <w:pPr>
        <w:rPr>
          <w:rFonts w:asciiTheme="minorHAnsi" w:hAnsiTheme="minorHAnsi" w:cs="Arial"/>
        </w:rPr>
      </w:pPr>
    </w:p>
    <w:p w14:paraId="27DF68F3" w14:textId="526051B0" w:rsidR="00A55BC0" w:rsidRPr="007A4A11" w:rsidRDefault="009F461C" w:rsidP="001F3FD2">
      <w:pPr>
        <w:pStyle w:val="Heading1"/>
        <w:rPr>
          <w:rFonts w:asciiTheme="minorHAnsi" w:hAnsiTheme="minorHAnsi"/>
          <w:szCs w:val="22"/>
        </w:rPr>
      </w:pPr>
      <w:bookmarkStart w:id="6" w:name="_Toc400704332"/>
      <w:r w:rsidRPr="007A4A11">
        <w:rPr>
          <w:rFonts w:asciiTheme="minorHAnsi" w:hAnsiTheme="minorHAnsi"/>
          <w:szCs w:val="22"/>
        </w:rPr>
        <w:t>Renewable fuels</w:t>
      </w:r>
      <w:bookmarkEnd w:id="6"/>
      <w:r w:rsidR="00D94529" w:rsidRPr="007A4A11">
        <w:rPr>
          <w:rFonts w:asciiTheme="minorHAnsi" w:hAnsiTheme="minorHAnsi"/>
          <w:szCs w:val="22"/>
        </w:rPr>
        <w:t xml:space="preserve"> </w:t>
      </w:r>
    </w:p>
    <w:p w14:paraId="40C9EDD8" w14:textId="77777777" w:rsidR="009F461C" w:rsidRPr="007A4A11" w:rsidRDefault="009F461C" w:rsidP="001F3FD2">
      <w:pPr>
        <w:rPr>
          <w:rFonts w:asciiTheme="minorHAnsi" w:hAnsiTheme="minorHAnsi" w:cs="Arial"/>
        </w:rPr>
      </w:pPr>
    </w:p>
    <w:p w14:paraId="079FD08C" w14:textId="77777777" w:rsidR="007A4A11" w:rsidRDefault="007A4A11" w:rsidP="007A4A11">
      <w:pPr>
        <w:rPr>
          <w:rFonts w:asciiTheme="minorHAnsi" w:hAnsiTheme="minorHAnsi" w:cs="Arial"/>
        </w:rPr>
      </w:pPr>
      <w:r>
        <w:rPr>
          <w:rFonts w:asciiTheme="minorHAnsi" w:hAnsiTheme="minorHAnsi" w:cs="Arial"/>
        </w:rPr>
        <w:t>Renewable fuels such as biodiesel blends have the potential to provide an abundant source of fuel to the trucking industry.  However, availability, taxation and engine warranty issues constrain the use of these renewable fuels in the trucking industry.</w:t>
      </w:r>
    </w:p>
    <w:p w14:paraId="78AD1A99" w14:textId="77777777" w:rsidR="00D94529" w:rsidRPr="007A4A11" w:rsidRDefault="00D94529" w:rsidP="001F3FD2">
      <w:pPr>
        <w:rPr>
          <w:rFonts w:asciiTheme="minorHAnsi" w:hAnsiTheme="minorHAnsi" w:cs="Arial"/>
        </w:rPr>
      </w:pPr>
    </w:p>
    <w:p w14:paraId="2088505B" w14:textId="77777777" w:rsidR="002507F2" w:rsidRPr="007A4A11" w:rsidRDefault="00D94529" w:rsidP="001F3FD2">
      <w:pPr>
        <w:rPr>
          <w:rFonts w:asciiTheme="minorHAnsi" w:hAnsiTheme="minorHAnsi" w:cs="Arial"/>
        </w:rPr>
      </w:pPr>
      <w:r w:rsidRPr="007A4A11">
        <w:rPr>
          <w:rFonts w:asciiTheme="minorHAnsi" w:hAnsiTheme="minorHAnsi" w:cs="Arial"/>
        </w:rPr>
        <w:t xml:space="preserve">Biodiesel blends are not readily available in many areas. </w:t>
      </w:r>
      <w:proofErr w:type="spellStart"/>
      <w:r w:rsidRPr="007A4A11">
        <w:rPr>
          <w:rFonts w:asciiTheme="minorHAnsi" w:hAnsiTheme="minorHAnsi" w:cs="Arial"/>
        </w:rPr>
        <w:t>B20</w:t>
      </w:r>
      <w:proofErr w:type="spellEnd"/>
      <w:r w:rsidRPr="007A4A11">
        <w:rPr>
          <w:rFonts w:asciiTheme="minorHAnsi" w:hAnsiTheme="minorHAnsi" w:cs="Arial"/>
        </w:rPr>
        <w:t xml:space="preserve"> (a standard blend containing 20 per cent biodiesel) can only be sold with a special approval under section 13 of the </w:t>
      </w:r>
      <w:r w:rsidRPr="007A4A11">
        <w:rPr>
          <w:rFonts w:asciiTheme="minorHAnsi" w:hAnsiTheme="minorHAnsi" w:cs="Arial"/>
          <w:i/>
        </w:rPr>
        <w:t>Fuel Quality Standards Act</w:t>
      </w:r>
      <w:r w:rsidRPr="007A4A11">
        <w:rPr>
          <w:rFonts w:asciiTheme="minorHAnsi" w:hAnsiTheme="minorHAnsi" w:cs="Arial"/>
        </w:rPr>
        <w:t xml:space="preserve">. For operators, using blends with more than 20 per cent biodiesel raises fuel tax issues. </w:t>
      </w:r>
    </w:p>
    <w:p w14:paraId="3A70A8BC" w14:textId="77777777" w:rsidR="002507F2" w:rsidRPr="007A4A11" w:rsidRDefault="002507F2" w:rsidP="001F3FD2">
      <w:pPr>
        <w:rPr>
          <w:rFonts w:asciiTheme="minorHAnsi" w:hAnsiTheme="minorHAnsi" w:cs="Arial"/>
        </w:rPr>
      </w:pPr>
    </w:p>
    <w:p w14:paraId="23E25645" w14:textId="287F65C9" w:rsidR="00D94529" w:rsidRPr="007A4A11" w:rsidRDefault="00D94529" w:rsidP="001F3FD2">
      <w:pPr>
        <w:rPr>
          <w:rFonts w:asciiTheme="minorHAnsi" w:hAnsiTheme="minorHAnsi" w:cs="Arial"/>
        </w:rPr>
      </w:pPr>
      <w:r w:rsidRPr="007A4A11">
        <w:rPr>
          <w:rFonts w:asciiTheme="minorHAnsi" w:hAnsiTheme="minorHAnsi" w:cs="Arial"/>
        </w:rPr>
        <w:t xml:space="preserve">Engine manufacturers are generally reluctant to approve the use of blends with biodiesel concentrations of more than 5-7 per cent. The use of blends with a concentration of biodiesel higher than this level is especially problematic for advanced engines that comply with the Euro 6 emission standard. </w:t>
      </w:r>
    </w:p>
    <w:p w14:paraId="13C75323" w14:textId="77777777" w:rsidR="002507F2" w:rsidRPr="007A4A11" w:rsidRDefault="002507F2" w:rsidP="001F3FD2">
      <w:pPr>
        <w:rPr>
          <w:rFonts w:asciiTheme="minorHAnsi" w:hAnsiTheme="minorHAnsi" w:cs="Arial"/>
        </w:rPr>
      </w:pPr>
    </w:p>
    <w:p w14:paraId="26238F3A" w14:textId="77777777" w:rsidR="00FE2D51" w:rsidRPr="007A4A11" w:rsidRDefault="00FE2D51" w:rsidP="00FE2D51">
      <w:pPr>
        <w:rPr>
          <w:rFonts w:asciiTheme="minorHAnsi" w:hAnsiTheme="minorHAnsi" w:cs="Arial"/>
        </w:rPr>
      </w:pPr>
      <w:r w:rsidRPr="007A4A11">
        <w:rPr>
          <w:rFonts w:asciiTheme="minorHAnsi" w:hAnsiTheme="minorHAnsi" w:cs="Arial"/>
        </w:rPr>
        <w:t xml:space="preserve">Therefore, first generation biofuels are not the answer to reduce Australia’s dependence on fossil fuels. </w:t>
      </w:r>
    </w:p>
    <w:p w14:paraId="3D3A5945" w14:textId="77777777" w:rsidR="00FE2D51" w:rsidRPr="007A4A11" w:rsidRDefault="00FE2D51" w:rsidP="00FE2D51">
      <w:pPr>
        <w:rPr>
          <w:rFonts w:asciiTheme="minorHAnsi" w:hAnsiTheme="minorHAnsi" w:cs="Arial"/>
        </w:rPr>
      </w:pPr>
    </w:p>
    <w:p w14:paraId="027F8490" w14:textId="30ED02DC" w:rsidR="00FE2D51" w:rsidRPr="007A4A11" w:rsidRDefault="00FE2D51" w:rsidP="00FE2D51">
      <w:pPr>
        <w:rPr>
          <w:rFonts w:asciiTheme="minorHAnsi" w:hAnsiTheme="minorHAnsi" w:cs="Arial"/>
          <w:b/>
        </w:rPr>
      </w:pPr>
      <w:r w:rsidRPr="007A4A11">
        <w:rPr>
          <w:rFonts w:asciiTheme="minorHAnsi" w:hAnsiTheme="minorHAnsi" w:cs="Arial"/>
        </w:rPr>
        <w:t xml:space="preserve">Accordingly, the Government need to look ahead and support research </w:t>
      </w:r>
      <w:r w:rsidR="00FA601D">
        <w:rPr>
          <w:rFonts w:asciiTheme="minorHAnsi" w:hAnsiTheme="minorHAnsi" w:cs="Arial"/>
        </w:rPr>
        <w:t xml:space="preserve">and development, and the commercialisation of </w:t>
      </w:r>
      <w:r w:rsidRPr="007A4A11">
        <w:rPr>
          <w:rFonts w:asciiTheme="minorHAnsi" w:hAnsiTheme="minorHAnsi" w:cs="Arial"/>
        </w:rPr>
        <w:t xml:space="preserve">advanced renewables such as algal </w:t>
      </w:r>
      <w:r w:rsidRPr="007A4A11">
        <w:rPr>
          <w:rFonts w:asciiTheme="minorHAnsi" w:hAnsiTheme="minorHAnsi" w:cs="Arial"/>
          <w:color w:val="000000"/>
          <w:shd w:val="clear" w:color="auto" w:fill="FFFFFF"/>
        </w:rPr>
        <w:t xml:space="preserve">biodiesel </w:t>
      </w:r>
      <w:r w:rsidRPr="007A4A11">
        <w:rPr>
          <w:rFonts w:asciiTheme="minorHAnsi" w:hAnsiTheme="minorHAnsi" w:cs="Arial"/>
        </w:rPr>
        <w:t>fuels.</w:t>
      </w:r>
    </w:p>
    <w:p w14:paraId="5812BFC4" w14:textId="3CFABF24" w:rsidR="007A1356" w:rsidRPr="007A4A11" w:rsidRDefault="007A1356" w:rsidP="001F3FD2">
      <w:pPr>
        <w:rPr>
          <w:rFonts w:asciiTheme="minorHAnsi" w:hAnsiTheme="minorHAnsi" w:cs="Arial"/>
        </w:rPr>
      </w:pPr>
    </w:p>
    <w:p w14:paraId="1D4E05CC" w14:textId="77777777" w:rsidR="00C95E76" w:rsidRPr="007A4A11" w:rsidRDefault="00C95E76" w:rsidP="001F3FD2">
      <w:pPr>
        <w:rPr>
          <w:rFonts w:asciiTheme="minorHAnsi" w:hAnsiTheme="minorHAnsi" w:cs="Arial"/>
        </w:rPr>
      </w:pPr>
      <w:r w:rsidRPr="007A4A11">
        <w:rPr>
          <w:rFonts w:asciiTheme="minorHAnsi" w:hAnsiTheme="minorHAnsi" w:cs="Arial"/>
        </w:rPr>
        <w:t>CSIRO research has shown it should be possible to produce algal biodiesel at a lower cost and with less greenhouse gas emissions than fossil fuels.</w:t>
      </w:r>
    </w:p>
    <w:p w14:paraId="75FFBF1F" w14:textId="77777777" w:rsidR="00C95E76" w:rsidRPr="007A4A11" w:rsidRDefault="00C95E76" w:rsidP="001F3FD2">
      <w:pPr>
        <w:rPr>
          <w:rFonts w:asciiTheme="minorHAnsi" w:hAnsiTheme="minorHAnsi" w:cs="Arial"/>
        </w:rPr>
      </w:pPr>
    </w:p>
    <w:p w14:paraId="0E9C7D5E" w14:textId="77777777" w:rsidR="00C95E76" w:rsidRPr="007A4A11" w:rsidRDefault="00C95E76" w:rsidP="001F3FD2">
      <w:pPr>
        <w:rPr>
          <w:rFonts w:asciiTheme="minorHAnsi" w:hAnsiTheme="minorHAnsi" w:cs="Arial"/>
        </w:rPr>
      </w:pPr>
      <w:r w:rsidRPr="007A4A11">
        <w:rPr>
          <w:rFonts w:asciiTheme="minorHAnsi" w:hAnsiTheme="minorHAnsi" w:cs="Arial"/>
        </w:rPr>
        <w:t>Algal biofuel is still in the research stage and not yet commercially available. The expected costs are currently high for infrastructure, and there is a lack of a user base for growing and harvesting the algae. These costs are expected to reduce with time.</w:t>
      </w:r>
    </w:p>
    <w:p w14:paraId="6F53FF52" w14:textId="77777777" w:rsidR="00C95E76" w:rsidRPr="007A4A11" w:rsidRDefault="00C95E76" w:rsidP="001F3FD2">
      <w:pPr>
        <w:rPr>
          <w:rFonts w:asciiTheme="minorHAnsi" w:hAnsiTheme="minorHAnsi" w:cs="Arial"/>
        </w:rPr>
      </w:pPr>
    </w:p>
    <w:p w14:paraId="535BEDDA" w14:textId="66B194E7" w:rsidR="00264427" w:rsidRPr="007A4A11" w:rsidRDefault="00264427" w:rsidP="001F3FD2">
      <w:pPr>
        <w:rPr>
          <w:rFonts w:asciiTheme="minorHAnsi" w:hAnsiTheme="minorHAnsi" w:cs="Arial"/>
        </w:rPr>
      </w:pPr>
      <w:r w:rsidRPr="007A4A11">
        <w:rPr>
          <w:rFonts w:asciiTheme="minorHAnsi" w:hAnsiTheme="minorHAnsi" w:cs="Arial"/>
        </w:rPr>
        <w:t xml:space="preserve">The Government should contribute additional </w:t>
      </w:r>
      <w:r w:rsidR="00FE2D51" w:rsidRPr="007A4A11">
        <w:rPr>
          <w:rFonts w:asciiTheme="minorHAnsi" w:hAnsiTheme="minorHAnsi" w:cs="Arial"/>
        </w:rPr>
        <w:t>funds</w:t>
      </w:r>
      <w:r w:rsidRPr="007A4A11">
        <w:rPr>
          <w:rFonts w:asciiTheme="minorHAnsi" w:hAnsiTheme="minorHAnsi" w:cs="Arial"/>
        </w:rPr>
        <w:t xml:space="preserve"> to support the further development of synthesising macro algae into synthetic crude oil. </w:t>
      </w:r>
    </w:p>
    <w:p w14:paraId="45AA4772" w14:textId="77777777" w:rsidR="00FE2D51" w:rsidRPr="007A4A11" w:rsidRDefault="00FE2D51" w:rsidP="001F3FD2">
      <w:pPr>
        <w:rPr>
          <w:rFonts w:asciiTheme="minorHAnsi" w:hAnsiTheme="minorHAnsi" w:cs="Arial"/>
        </w:rPr>
      </w:pPr>
    </w:p>
    <w:p w14:paraId="7A83AAAE" w14:textId="75D0F8E1" w:rsidR="007A1356" w:rsidRPr="007A4A11" w:rsidRDefault="00F13E75" w:rsidP="001F3FD2">
      <w:pPr>
        <w:rPr>
          <w:rFonts w:asciiTheme="minorHAnsi" w:hAnsiTheme="minorHAnsi" w:cs="Arial"/>
          <w:b/>
          <w:sz w:val="24"/>
        </w:rPr>
      </w:pPr>
      <w:r w:rsidRPr="007A4A11">
        <w:rPr>
          <w:rFonts w:asciiTheme="minorHAnsi" w:hAnsiTheme="minorHAnsi" w:cs="Arial"/>
          <w:b/>
          <w:sz w:val="24"/>
        </w:rPr>
        <w:t xml:space="preserve">Recommendation </w:t>
      </w:r>
      <w:r w:rsidR="00117370" w:rsidRPr="007A4A11">
        <w:rPr>
          <w:rFonts w:asciiTheme="minorHAnsi" w:hAnsiTheme="minorHAnsi" w:cs="Arial"/>
          <w:b/>
          <w:sz w:val="24"/>
        </w:rPr>
        <w:t>6</w:t>
      </w:r>
    </w:p>
    <w:p w14:paraId="2837D6EA" w14:textId="77777777" w:rsidR="007A1356" w:rsidRPr="007A4A11" w:rsidRDefault="007A1356" w:rsidP="001F3FD2">
      <w:pPr>
        <w:rPr>
          <w:rFonts w:asciiTheme="minorHAnsi" w:hAnsiTheme="minorHAnsi" w:cs="Arial"/>
        </w:rPr>
      </w:pPr>
    </w:p>
    <w:p w14:paraId="01F51F4B" w14:textId="711DDB91" w:rsidR="009F461C" w:rsidRPr="007A4A11" w:rsidRDefault="007A1356" w:rsidP="001F3FD2">
      <w:pPr>
        <w:rPr>
          <w:rFonts w:asciiTheme="minorHAnsi" w:hAnsiTheme="minorHAnsi" w:cs="Arial"/>
        </w:rPr>
      </w:pPr>
      <w:r w:rsidRPr="007A4A11">
        <w:rPr>
          <w:rFonts w:asciiTheme="minorHAnsi" w:hAnsiTheme="minorHAnsi" w:cs="Arial"/>
        </w:rPr>
        <w:t xml:space="preserve">The Government should support research into renewable fuels such as </w:t>
      </w:r>
      <w:r w:rsidR="003C21FE" w:rsidRPr="007A4A11">
        <w:rPr>
          <w:rFonts w:asciiTheme="minorHAnsi" w:hAnsiTheme="minorHAnsi" w:cs="Arial"/>
        </w:rPr>
        <w:t>a</w:t>
      </w:r>
      <w:r w:rsidR="00EE4132" w:rsidRPr="007A4A11">
        <w:rPr>
          <w:rFonts w:asciiTheme="minorHAnsi" w:hAnsiTheme="minorHAnsi" w:cs="Arial"/>
        </w:rPr>
        <w:t>lgal biofuel</w:t>
      </w:r>
      <w:r w:rsidRPr="007A4A11">
        <w:rPr>
          <w:rFonts w:asciiTheme="minorHAnsi" w:hAnsiTheme="minorHAnsi" w:cs="Arial"/>
        </w:rPr>
        <w:t xml:space="preserve"> in order to provide a diverse range of f</w:t>
      </w:r>
      <w:r w:rsidR="00EE4132" w:rsidRPr="007A4A11">
        <w:rPr>
          <w:rFonts w:asciiTheme="minorHAnsi" w:hAnsiTheme="minorHAnsi" w:cs="Arial"/>
        </w:rPr>
        <w:t>uels for the industry to use</w:t>
      </w:r>
      <w:r w:rsidRPr="007A4A11">
        <w:rPr>
          <w:rFonts w:asciiTheme="minorHAnsi" w:hAnsiTheme="minorHAnsi" w:cs="Arial"/>
        </w:rPr>
        <w:t xml:space="preserve">. </w:t>
      </w:r>
    </w:p>
    <w:p w14:paraId="33BE3C7D" w14:textId="77777777" w:rsidR="008E33C6" w:rsidRPr="007A4A11" w:rsidRDefault="008E33C6" w:rsidP="001F3FD2">
      <w:pPr>
        <w:rPr>
          <w:rFonts w:asciiTheme="minorHAnsi" w:hAnsiTheme="minorHAnsi" w:cs="Arial"/>
        </w:rPr>
      </w:pPr>
    </w:p>
    <w:p w14:paraId="53FAAAE3" w14:textId="77777777" w:rsidR="00712977" w:rsidRPr="007A4A11" w:rsidRDefault="00712977" w:rsidP="001F3FD2">
      <w:pPr>
        <w:rPr>
          <w:rFonts w:asciiTheme="minorHAnsi" w:hAnsiTheme="minorHAnsi" w:cs="Arial"/>
        </w:rPr>
      </w:pPr>
    </w:p>
    <w:p w14:paraId="242362C1" w14:textId="09FD9759" w:rsidR="008E33C6" w:rsidRPr="007A4A11" w:rsidRDefault="00A24753" w:rsidP="001F3FD2">
      <w:pPr>
        <w:pStyle w:val="Heading1"/>
        <w:rPr>
          <w:rFonts w:asciiTheme="minorHAnsi" w:hAnsiTheme="minorHAnsi"/>
          <w:szCs w:val="22"/>
        </w:rPr>
      </w:pPr>
      <w:bookmarkStart w:id="7" w:name="_Toc400704333"/>
      <w:r w:rsidRPr="007A4A11">
        <w:rPr>
          <w:rFonts w:asciiTheme="minorHAnsi" w:hAnsiTheme="minorHAnsi"/>
          <w:szCs w:val="22"/>
        </w:rPr>
        <w:t>Increasing h</w:t>
      </w:r>
      <w:r w:rsidR="00807ED4" w:rsidRPr="007A4A11">
        <w:rPr>
          <w:rFonts w:asciiTheme="minorHAnsi" w:hAnsiTheme="minorHAnsi"/>
          <w:szCs w:val="22"/>
        </w:rPr>
        <w:t xml:space="preserve">eavy vehicle </w:t>
      </w:r>
      <w:r w:rsidRPr="007A4A11">
        <w:rPr>
          <w:rFonts w:asciiTheme="minorHAnsi" w:hAnsiTheme="minorHAnsi"/>
          <w:szCs w:val="22"/>
        </w:rPr>
        <w:t>fuel efficiency</w:t>
      </w:r>
      <w:bookmarkEnd w:id="7"/>
    </w:p>
    <w:p w14:paraId="2F82969B" w14:textId="77777777" w:rsidR="002A3F29" w:rsidRPr="007A4A11" w:rsidRDefault="002A3F29" w:rsidP="001F3FD2">
      <w:pPr>
        <w:rPr>
          <w:rFonts w:asciiTheme="minorHAnsi" w:hAnsiTheme="minorHAnsi" w:cs="Arial"/>
          <w:color w:val="FF0000"/>
        </w:rPr>
      </w:pPr>
    </w:p>
    <w:p w14:paraId="21140CEF" w14:textId="0C3C6257" w:rsidR="00A46D6D" w:rsidRPr="007A4A11" w:rsidRDefault="00A46D6D" w:rsidP="00A46D6D">
      <w:pPr>
        <w:rPr>
          <w:rFonts w:asciiTheme="minorHAnsi" w:hAnsiTheme="minorHAnsi" w:cs="Arial"/>
        </w:rPr>
      </w:pPr>
      <w:r w:rsidRPr="007A4A11">
        <w:rPr>
          <w:rFonts w:asciiTheme="minorHAnsi" w:hAnsiTheme="minorHAnsi" w:cs="Arial"/>
        </w:rPr>
        <w:t>The ATA’s environmental credentials report shows the industry’s greenhouse gas emissions fell 35</w:t>
      </w:r>
      <w:r w:rsidR="00CC36E1" w:rsidRPr="007A4A11">
        <w:rPr>
          <w:rFonts w:asciiTheme="minorHAnsi" w:hAnsiTheme="minorHAnsi" w:cs="Arial"/>
        </w:rPr>
        <w:t xml:space="preserve">% </w:t>
      </w:r>
      <w:r w:rsidRPr="007A4A11">
        <w:rPr>
          <w:rFonts w:asciiTheme="minorHAnsi" w:hAnsiTheme="minorHAnsi" w:cs="Arial"/>
        </w:rPr>
        <w:t>per billion tonne kilometres between 1990 and 2011, as a result of improvements in engine technology and the use of safer trucks with greater capacity.</w:t>
      </w:r>
      <w:r w:rsidRPr="007A4A11">
        <w:rPr>
          <w:rStyle w:val="FootnoteReference"/>
          <w:rFonts w:asciiTheme="minorHAnsi" w:hAnsiTheme="minorHAnsi" w:cs="Arial"/>
        </w:rPr>
        <w:footnoteReference w:id="18"/>
      </w:r>
      <w:r w:rsidRPr="007A4A11">
        <w:rPr>
          <w:rFonts w:asciiTheme="minorHAnsi" w:hAnsiTheme="minorHAnsi" w:cs="Arial"/>
        </w:rPr>
        <w:t xml:space="preserve"> The industry is committed to improving fuel efficiency. </w:t>
      </w:r>
    </w:p>
    <w:p w14:paraId="24D10DF6" w14:textId="77777777" w:rsidR="00A46D6D" w:rsidRPr="007A4A11" w:rsidRDefault="00A46D6D" w:rsidP="00A46D6D">
      <w:pPr>
        <w:rPr>
          <w:rFonts w:asciiTheme="minorHAnsi" w:hAnsiTheme="minorHAnsi" w:cs="Arial"/>
        </w:rPr>
      </w:pPr>
    </w:p>
    <w:p w14:paraId="73848EB7" w14:textId="0CEBC69A" w:rsidR="007A1356" w:rsidRPr="007A4A11" w:rsidRDefault="00A46D6D" w:rsidP="001F3FD2">
      <w:pPr>
        <w:rPr>
          <w:rFonts w:asciiTheme="minorHAnsi" w:hAnsiTheme="minorHAnsi" w:cs="Arial"/>
        </w:rPr>
      </w:pPr>
      <w:r w:rsidRPr="007A4A11">
        <w:rPr>
          <w:rFonts w:asciiTheme="minorHAnsi" w:hAnsiTheme="minorHAnsi" w:cs="Arial"/>
        </w:rPr>
        <w:t xml:space="preserve">The heavy vehicle industry is highly motivated to improve fuel efficiency because of the competitive nature of the trucking industry and tight margins. </w:t>
      </w:r>
      <w:r w:rsidR="003C21FE" w:rsidRPr="007A4A11">
        <w:rPr>
          <w:rFonts w:asciiTheme="minorHAnsi" w:hAnsiTheme="minorHAnsi" w:cs="Arial"/>
        </w:rPr>
        <w:t>There are a number of options available to further increase the trucking industry fuel efficiency.</w:t>
      </w:r>
    </w:p>
    <w:p w14:paraId="68795B89" w14:textId="77777777" w:rsidR="00B81AFC" w:rsidRPr="007A4A11" w:rsidRDefault="00B81AFC" w:rsidP="001F3FD2">
      <w:pPr>
        <w:rPr>
          <w:rFonts w:asciiTheme="minorHAnsi" w:hAnsiTheme="minorHAnsi" w:cs="Arial"/>
        </w:rPr>
      </w:pPr>
    </w:p>
    <w:p w14:paraId="23C84042" w14:textId="502499E5" w:rsidR="007A1356" w:rsidRPr="007A4A11" w:rsidRDefault="00117370" w:rsidP="001F3FD2">
      <w:pPr>
        <w:rPr>
          <w:rFonts w:asciiTheme="minorHAnsi" w:hAnsiTheme="minorHAnsi" w:cs="Arial"/>
        </w:rPr>
      </w:pPr>
      <w:r w:rsidRPr="007A4A11">
        <w:rPr>
          <w:rFonts w:asciiTheme="minorHAnsi" w:hAnsiTheme="minorHAnsi" w:cs="Arial"/>
        </w:rPr>
        <w:t>R</w:t>
      </w:r>
      <w:r w:rsidR="00B81AFC" w:rsidRPr="007A4A11">
        <w:rPr>
          <w:rFonts w:asciiTheme="minorHAnsi" w:hAnsiTheme="minorHAnsi" w:cs="Arial"/>
        </w:rPr>
        <w:t>eplacing the double tyres used on trucks and trailers with single ultrawide tyres could deliver a 4</w:t>
      </w:r>
      <w:r w:rsidR="0088402C" w:rsidRPr="007A4A11">
        <w:rPr>
          <w:rFonts w:asciiTheme="minorHAnsi" w:hAnsiTheme="minorHAnsi" w:cs="Arial"/>
        </w:rPr>
        <w:t>%</w:t>
      </w:r>
      <w:r w:rsidR="00B81AFC" w:rsidRPr="007A4A11">
        <w:rPr>
          <w:rFonts w:asciiTheme="minorHAnsi" w:hAnsiTheme="minorHAnsi" w:cs="Arial"/>
        </w:rPr>
        <w:t xml:space="preserve"> to 8</w:t>
      </w:r>
      <w:r w:rsidR="0088402C" w:rsidRPr="007A4A11">
        <w:rPr>
          <w:rFonts w:asciiTheme="minorHAnsi" w:hAnsiTheme="minorHAnsi" w:cs="Arial"/>
        </w:rPr>
        <w:t>%</w:t>
      </w:r>
      <w:r w:rsidR="00B81AFC" w:rsidRPr="007A4A11">
        <w:rPr>
          <w:rFonts w:asciiTheme="minorHAnsi" w:hAnsiTheme="minorHAnsi" w:cs="Arial"/>
        </w:rPr>
        <w:t xml:space="preserve"> improvement in fuel consumption. Under the national mass limits, however, vehicles with single ultrawide tyres cannot carry as much mass as vehicles with double tyres. As a result, they are not used.</w:t>
      </w:r>
      <w:r w:rsidR="0096630A" w:rsidRPr="007A4A11">
        <w:rPr>
          <w:rStyle w:val="FootnoteReference"/>
          <w:rFonts w:asciiTheme="minorHAnsi" w:hAnsiTheme="minorHAnsi" w:cs="Arial"/>
        </w:rPr>
        <w:footnoteReference w:id="19"/>
      </w:r>
    </w:p>
    <w:p w14:paraId="5455F57F" w14:textId="77777777" w:rsidR="007A1356" w:rsidRPr="007A4A11" w:rsidRDefault="007A1356" w:rsidP="001F3FD2">
      <w:pPr>
        <w:rPr>
          <w:rFonts w:asciiTheme="minorHAnsi" w:hAnsiTheme="minorHAnsi" w:cs="Arial"/>
        </w:rPr>
      </w:pPr>
    </w:p>
    <w:p w14:paraId="36BCC439" w14:textId="42DDCC28" w:rsidR="00CE418C" w:rsidRPr="007A4A11" w:rsidRDefault="008247CD" w:rsidP="00CE418C">
      <w:pPr>
        <w:rPr>
          <w:rFonts w:asciiTheme="minorHAnsi" w:hAnsiTheme="minorHAnsi" w:cs="Arial"/>
        </w:rPr>
      </w:pPr>
      <w:r w:rsidRPr="007A4A11">
        <w:rPr>
          <w:rFonts w:asciiTheme="minorHAnsi" w:hAnsiTheme="minorHAnsi" w:cs="Arial"/>
        </w:rPr>
        <w:t xml:space="preserve">The best way trucking businesses can reduce their fuel consumption is to use high productivity vehicles like B-triples or super B-doubles on appropriate routes. By using B-triples instead of semitrailers, an operator could reduce </w:t>
      </w:r>
      <w:r w:rsidR="00CE418C" w:rsidRPr="007A4A11">
        <w:rPr>
          <w:rFonts w:asciiTheme="minorHAnsi" w:hAnsiTheme="minorHAnsi" w:cs="Arial"/>
        </w:rPr>
        <w:t>their</w:t>
      </w:r>
      <w:r w:rsidRPr="007A4A11">
        <w:rPr>
          <w:rFonts w:asciiTheme="minorHAnsi" w:hAnsiTheme="minorHAnsi" w:cs="Arial"/>
        </w:rPr>
        <w:t xml:space="preserve"> fuel consumption</w:t>
      </w:r>
      <w:r w:rsidR="00264427" w:rsidRPr="007A4A11">
        <w:rPr>
          <w:rFonts w:asciiTheme="minorHAnsi" w:hAnsiTheme="minorHAnsi" w:cs="Arial"/>
        </w:rPr>
        <w:t xml:space="preserve"> considerably</w:t>
      </w:r>
      <w:r w:rsidR="00CE418C" w:rsidRPr="007A4A11">
        <w:rPr>
          <w:rFonts w:asciiTheme="minorHAnsi" w:hAnsiTheme="minorHAnsi" w:cs="Arial"/>
        </w:rPr>
        <w:t xml:space="preserve">. </w:t>
      </w:r>
    </w:p>
    <w:p w14:paraId="6E04B59C" w14:textId="77777777" w:rsidR="00CE418C" w:rsidRPr="007A4A11" w:rsidRDefault="00CE418C" w:rsidP="00CE418C">
      <w:pPr>
        <w:jc w:val="center"/>
        <w:rPr>
          <w:rFonts w:asciiTheme="minorHAnsi" w:hAnsiTheme="minorHAnsi" w:cs="Arial"/>
          <w:b/>
        </w:rPr>
      </w:pPr>
    </w:p>
    <w:tbl>
      <w:tblPr>
        <w:tblStyle w:val="TableGrid"/>
        <w:tblpPr w:leftFromText="180" w:rightFromText="180" w:vertAnchor="text" w:horzAnchor="margin" w:tblpY="348"/>
        <w:tblW w:w="5000" w:type="pct"/>
        <w:tblLook w:val="04A0" w:firstRow="1" w:lastRow="0" w:firstColumn="1" w:lastColumn="0" w:noHBand="0" w:noVBand="1"/>
      </w:tblPr>
      <w:tblGrid>
        <w:gridCol w:w="3209"/>
        <w:gridCol w:w="3209"/>
        <w:gridCol w:w="3210"/>
      </w:tblGrid>
      <w:tr w:rsidR="00CE418C" w:rsidRPr="007A4A11" w14:paraId="6315302A" w14:textId="77777777" w:rsidTr="00CE418C">
        <w:trPr>
          <w:trHeight w:val="227"/>
        </w:trPr>
        <w:tc>
          <w:tcPr>
            <w:tcW w:w="1666" w:type="pct"/>
            <w:tcBorders>
              <w:top w:val="single" w:sz="4" w:space="0" w:color="000000"/>
              <w:left w:val="single" w:sz="4" w:space="0" w:color="000000"/>
              <w:bottom w:val="single" w:sz="4" w:space="0" w:color="000000"/>
              <w:right w:val="single" w:sz="4" w:space="0" w:color="000000"/>
            </w:tcBorders>
            <w:hideMark/>
          </w:tcPr>
          <w:p w14:paraId="6FCDE82B" w14:textId="77777777" w:rsidR="00CE418C" w:rsidRPr="007A4A11" w:rsidRDefault="00CE418C" w:rsidP="00CE418C">
            <w:pPr>
              <w:spacing w:after="240"/>
              <w:rPr>
                <w:rFonts w:asciiTheme="minorHAnsi" w:hAnsiTheme="minorHAnsi" w:cs="Arial"/>
                <w:b/>
                <w:bCs/>
                <w:sz w:val="20"/>
              </w:rPr>
            </w:pPr>
            <w:r w:rsidRPr="007A4A11">
              <w:rPr>
                <w:rFonts w:asciiTheme="minorHAnsi" w:hAnsiTheme="minorHAnsi" w:cs="Arial"/>
                <w:b/>
                <w:bCs/>
                <w:sz w:val="20"/>
              </w:rPr>
              <w:t>Heavy vehicle type</w:t>
            </w:r>
          </w:p>
        </w:tc>
        <w:tc>
          <w:tcPr>
            <w:tcW w:w="1666" w:type="pct"/>
            <w:tcBorders>
              <w:top w:val="single" w:sz="4" w:space="0" w:color="000000"/>
              <w:left w:val="single" w:sz="4" w:space="0" w:color="000000"/>
              <w:bottom w:val="single" w:sz="4" w:space="0" w:color="000000"/>
              <w:right w:val="single" w:sz="4" w:space="0" w:color="000000"/>
            </w:tcBorders>
            <w:hideMark/>
          </w:tcPr>
          <w:p w14:paraId="49509BED" w14:textId="77777777" w:rsidR="00CE418C" w:rsidRPr="007A4A11" w:rsidRDefault="00CE418C" w:rsidP="00CE418C">
            <w:pPr>
              <w:spacing w:after="240"/>
              <w:rPr>
                <w:rFonts w:asciiTheme="minorHAnsi" w:hAnsiTheme="minorHAnsi" w:cs="Arial"/>
                <w:b/>
                <w:bCs/>
                <w:sz w:val="20"/>
              </w:rPr>
            </w:pPr>
            <w:r w:rsidRPr="007A4A11">
              <w:rPr>
                <w:rFonts w:asciiTheme="minorHAnsi" w:hAnsiTheme="minorHAnsi" w:cs="Arial"/>
                <w:b/>
                <w:bCs/>
                <w:sz w:val="20"/>
              </w:rPr>
              <w:t>No. of trips per 1000 tonnes</w:t>
            </w:r>
          </w:p>
        </w:tc>
        <w:tc>
          <w:tcPr>
            <w:tcW w:w="1667" w:type="pct"/>
            <w:tcBorders>
              <w:top w:val="single" w:sz="4" w:space="0" w:color="000000"/>
              <w:left w:val="single" w:sz="4" w:space="0" w:color="000000"/>
              <w:bottom w:val="single" w:sz="4" w:space="0" w:color="000000"/>
              <w:right w:val="single" w:sz="4" w:space="0" w:color="000000"/>
            </w:tcBorders>
            <w:hideMark/>
          </w:tcPr>
          <w:p w14:paraId="347AB8ED" w14:textId="77777777" w:rsidR="00CE418C" w:rsidRPr="007A4A11" w:rsidRDefault="00CE418C" w:rsidP="00CE418C">
            <w:pPr>
              <w:spacing w:after="240"/>
              <w:rPr>
                <w:rFonts w:asciiTheme="minorHAnsi" w:hAnsiTheme="minorHAnsi" w:cs="Arial"/>
                <w:b/>
                <w:bCs/>
                <w:sz w:val="20"/>
              </w:rPr>
            </w:pPr>
            <w:r w:rsidRPr="007A4A11">
              <w:rPr>
                <w:rFonts w:asciiTheme="minorHAnsi" w:hAnsiTheme="minorHAnsi" w:cs="Arial"/>
                <w:b/>
                <w:bCs/>
                <w:sz w:val="20"/>
              </w:rPr>
              <w:t>Fuel required to deliver 1,000 tonnes 1,000 Kms and return</w:t>
            </w:r>
          </w:p>
        </w:tc>
      </w:tr>
      <w:tr w:rsidR="00CE418C" w:rsidRPr="007A4A11" w14:paraId="44F82039" w14:textId="77777777" w:rsidTr="00CE418C">
        <w:trPr>
          <w:trHeight w:val="227"/>
        </w:trPr>
        <w:tc>
          <w:tcPr>
            <w:tcW w:w="1666" w:type="pct"/>
            <w:tcBorders>
              <w:top w:val="single" w:sz="4" w:space="0" w:color="000000"/>
              <w:left w:val="single" w:sz="4" w:space="0" w:color="000000"/>
              <w:bottom w:val="single" w:sz="4" w:space="0" w:color="000000"/>
              <w:right w:val="single" w:sz="4" w:space="0" w:color="000000"/>
            </w:tcBorders>
            <w:hideMark/>
          </w:tcPr>
          <w:p w14:paraId="3EE5B3D1"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Traditional 3 axle rigid</w:t>
            </w:r>
          </w:p>
        </w:tc>
        <w:tc>
          <w:tcPr>
            <w:tcW w:w="1666" w:type="pct"/>
            <w:tcBorders>
              <w:top w:val="single" w:sz="4" w:space="0" w:color="000000"/>
              <w:left w:val="single" w:sz="4" w:space="0" w:color="000000"/>
              <w:bottom w:val="single" w:sz="4" w:space="0" w:color="000000"/>
              <w:right w:val="single" w:sz="4" w:space="0" w:color="000000"/>
            </w:tcBorders>
            <w:hideMark/>
          </w:tcPr>
          <w:p w14:paraId="0D303CBC"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77</w:t>
            </w:r>
          </w:p>
        </w:tc>
        <w:tc>
          <w:tcPr>
            <w:tcW w:w="1667" w:type="pct"/>
            <w:tcBorders>
              <w:top w:val="single" w:sz="4" w:space="0" w:color="000000"/>
              <w:left w:val="single" w:sz="4" w:space="0" w:color="000000"/>
              <w:bottom w:val="single" w:sz="4" w:space="0" w:color="000000"/>
              <w:right w:val="single" w:sz="4" w:space="0" w:color="000000"/>
            </w:tcBorders>
            <w:hideMark/>
          </w:tcPr>
          <w:p w14:paraId="0E96A9AE" w14:textId="77777777" w:rsidR="00CE418C" w:rsidRPr="007A4A11" w:rsidRDefault="00CE418C" w:rsidP="00CE418C">
            <w:pPr>
              <w:tabs>
                <w:tab w:val="center" w:pos="1245"/>
              </w:tabs>
              <w:spacing w:after="240"/>
              <w:rPr>
                <w:rFonts w:asciiTheme="minorHAnsi" w:hAnsiTheme="minorHAnsi" w:cs="Arial"/>
                <w:bCs/>
                <w:sz w:val="20"/>
              </w:rPr>
            </w:pPr>
            <w:r w:rsidRPr="007A4A11">
              <w:rPr>
                <w:rFonts w:asciiTheme="minorHAnsi" w:hAnsiTheme="minorHAnsi" w:cs="Arial"/>
                <w:bCs/>
                <w:sz w:val="20"/>
              </w:rPr>
              <w:t>43,120</w:t>
            </w:r>
          </w:p>
        </w:tc>
      </w:tr>
      <w:tr w:rsidR="00CE418C" w:rsidRPr="007A4A11" w14:paraId="206311EE" w14:textId="77777777" w:rsidTr="00CE418C">
        <w:trPr>
          <w:trHeight w:val="227"/>
        </w:trPr>
        <w:tc>
          <w:tcPr>
            <w:tcW w:w="1666" w:type="pct"/>
            <w:tcBorders>
              <w:top w:val="single" w:sz="4" w:space="0" w:color="000000"/>
              <w:left w:val="single" w:sz="4" w:space="0" w:color="000000"/>
              <w:bottom w:val="single" w:sz="4" w:space="0" w:color="000000"/>
              <w:right w:val="single" w:sz="4" w:space="0" w:color="000000"/>
            </w:tcBorders>
            <w:hideMark/>
          </w:tcPr>
          <w:p w14:paraId="7DF90465"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Traditional 6 axle semi-trailer</w:t>
            </w:r>
          </w:p>
        </w:tc>
        <w:tc>
          <w:tcPr>
            <w:tcW w:w="1666" w:type="pct"/>
            <w:tcBorders>
              <w:top w:val="single" w:sz="4" w:space="0" w:color="000000"/>
              <w:left w:val="single" w:sz="4" w:space="0" w:color="000000"/>
              <w:bottom w:val="single" w:sz="4" w:space="0" w:color="000000"/>
              <w:right w:val="single" w:sz="4" w:space="0" w:color="000000"/>
            </w:tcBorders>
            <w:hideMark/>
          </w:tcPr>
          <w:p w14:paraId="552A80CA"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42</w:t>
            </w:r>
          </w:p>
        </w:tc>
        <w:tc>
          <w:tcPr>
            <w:tcW w:w="1667" w:type="pct"/>
            <w:tcBorders>
              <w:top w:val="single" w:sz="4" w:space="0" w:color="000000"/>
              <w:left w:val="single" w:sz="4" w:space="0" w:color="000000"/>
              <w:bottom w:val="single" w:sz="4" w:space="0" w:color="000000"/>
              <w:right w:val="single" w:sz="4" w:space="0" w:color="000000"/>
            </w:tcBorders>
            <w:hideMark/>
          </w:tcPr>
          <w:p w14:paraId="5A9BA703"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39,480</w:t>
            </w:r>
          </w:p>
        </w:tc>
      </w:tr>
      <w:tr w:rsidR="00CE418C" w:rsidRPr="007A4A11" w14:paraId="23A5671F" w14:textId="77777777" w:rsidTr="00CE418C">
        <w:trPr>
          <w:trHeight w:val="227"/>
        </w:trPr>
        <w:tc>
          <w:tcPr>
            <w:tcW w:w="1666" w:type="pct"/>
            <w:tcBorders>
              <w:top w:val="single" w:sz="4" w:space="0" w:color="000000"/>
              <w:left w:val="single" w:sz="4" w:space="0" w:color="000000"/>
              <w:bottom w:val="single" w:sz="4" w:space="0" w:color="000000"/>
              <w:right w:val="single" w:sz="4" w:space="0" w:color="000000"/>
            </w:tcBorders>
            <w:hideMark/>
          </w:tcPr>
          <w:p w14:paraId="13B3AA42"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Innovative 9 axle B-double</w:t>
            </w:r>
          </w:p>
        </w:tc>
        <w:tc>
          <w:tcPr>
            <w:tcW w:w="1666" w:type="pct"/>
            <w:tcBorders>
              <w:top w:val="single" w:sz="4" w:space="0" w:color="000000"/>
              <w:left w:val="single" w:sz="4" w:space="0" w:color="000000"/>
              <w:bottom w:val="single" w:sz="4" w:space="0" w:color="000000"/>
              <w:right w:val="single" w:sz="4" w:space="0" w:color="000000"/>
            </w:tcBorders>
            <w:hideMark/>
          </w:tcPr>
          <w:p w14:paraId="6E9774CC"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26</w:t>
            </w:r>
          </w:p>
        </w:tc>
        <w:tc>
          <w:tcPr>
            <w:tcW w:w="1667" w:type="pct"/>
            <w:tcBorders>
              <w:top w:val="single" w:sz="4" w:space="0" w:color="000000"/>
              <w:left w:val="single" w:sz="4" w:space="0" w:color="000000"/>
              <w:bottom w:val="single" w:sz="4" w:space="0" w:color="000000"/>
              <w:right w:val="single" w:sz="4" w:space="0" w:color="000000"/>
            </w:tcBorders>
            <w:hideMark/>
          </w:tcPr>
          <w:p w14:paraId="4368B99C"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32,240</w:t>
            </w:r>
          </w:p>
        </w:tc>
      </w:tr>
      <w:tr w:rsidR="00CE418C" w:rsidRPr="007A4A11" w14:paraId="5DC3D451" w14:textId="77777777" w:rsidTr="00CE418C">
        <w:trPr>
          <w:trHeight w:val="227"/>
        </w:trPr>
        <w:tc>
          <w:tcPr>
            <w:tcW w:w="1666" w:type="pct"/>
            <w:tcBorders>
              <w:top w:val="single" w:sz="4" w:space="0" w:color="000000"/>
              <w:left w:val="single" w:sz="4" w:space="0" w:color="000000"/>
              <w:bottom w:val="single" w:sz="4" w:space="0" w:color="000000"/>
              <w:right w:val="single" w:sz="4" w:space="0" w:color="000000"/>
            </w:tcBorders>
            <w:hideMark/>
          </w:tcPr>
          <w:p w14:paraId="1B71D4C0"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noProof/>
                <w:sz w:val="20"/>
                <w:lang w:eastAsia="en-AU"/>
              </w:rPr>
              <w:t xml:space="preserve">Traditional 11 axle road train </w:t>
            </w:r>
          </w:p>
        </w:tc>
        <w:tc>
          <w:tcPr>
            <w:tcW w:w="1666" w:type="pct"/>
            <w:tcBorders>
              <w:top w:val="single" w:sz="4" w:space="0" w:color="000000"/>
              <w:left w:val="single" w:sz="4" w:space="0" w:color="000000"/>
              <w:bottom w:val="single" w:sz="4" w:space="0" w:color="000000"/>
              <w:right w:val="single" w:sz="4" w:space="0" w:color="000000"/>
            </w:tcBorders>
            <w:hideMark/>
          </w:tcPr>
          <w:p w14:paraId="78FB7DF9"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21</w:t>
            </w:r>
          </w:p>
        </w:tc>
        <w:tc>
          <w:tcPr>
            <w:tcW w:w="1667" w:type="pct"/>
            <w:tcBorders>
              <w:top w:val="single" w:sz="4" w:space="0" w:color="000000"/>
              <w:left w:val="single" w:sz="4" w:space="0" w:color="000000"/>
              <w:bottom w:val="single" w:sz="4" w:space="0" w:color="000000"/>
              <w:right w:val="single" w:sz="4" w:space="0" w:color="000000"/>
            </w:tcBorders>
            <w:hideMark/>
          </w:tcPr>
          <w:p w14:paraId="631CAA72"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28,560</w:t>
            </w:r>
          </w:p>
        </w:tc>
      </w:tr>
      <w:tr w:rsidR="00CE418C" w:rsidRPr="007A4A11" w14:paraId="6812E474" w14:textId="77777777" w:rsidTr="00CE418C">
        <w:trPr>
          <w:trHeight w:val="227"/>
        </w:trPr>
        <w:tc>
          <w:tcPr>
            <w:tcW w:w="1666" w:type="pct"/>
            <w:tcBorders>
              <w:top w:val="single" w:sz="4" w:space="0" w:color="000000"/>
              <w:left w:val="single" w:sz="4" w:space="0" w:color="000000"/>
              <w:bottom w:val="single" w:sz="4" w:space="0" w:color="000000"/>
              <w:right w:val="single" w:sz="4" w:space="0" w:color="000000"/>
            </w:tcBorders>
            <w:hideMark/>
          </w:tcPr>
          <w:p w14:paraId="3CB51FC3" w14:textId="77777777" w:rsidR="00CE418C" w:rsidRPr="007A4A11" w:rsidRDefault="00CE418C" w:rsidP="00CE418C">
            <w:pPr>
              <w:spacing w:after="240"/>
              <w:rPr>
                <w:rFonts w:asciiTheme="minorHAnsi" w:hAnsiTheme="minorHAnsi" w:cs="Arial"/>
                <w:bCs/>
                <w:noProof/>
                <w:sz w:val="20"/>
                <w:lang w:eastAsia="en-AU"/>
              </w:rPr>
            </w:pPr>
            <w:r w:rsidRPr="007A4A11">
              <w:rPr>
                <w:rFonts w:asciiTheme="minorHAnsi" w:hAnsiTheme="minorHAnsi" w:cs="Arial"/>
                <w:bCs/>
                <w:sz w:val="20"/>
              </w:rPr>
              <w:t>Innovative 12 axle B-triple</w:t>
            </w:r>
          </w:p>
        </w:tc>
        <w:tc>
          <w:tcPr>
            <w:tcW w:w="1666" w:type="pct"/>
            <w:tcBorders>
              <w:top w:val="single" w:sz="4" w:space="0" w:color="000000"/>
              <w:left w:val="single" w:sz="4" w:space="0" w:color="000000"/>
              <w:bottom w:val="single" w:sz="4" w:space="0" w:color="000000"/>
              <w:right w:val="single" w:sz="4" w:space="0" w:color="000000"/>
            </w:tcBorders>
            <w:hideMark/>
          </w:tcPr>
          <w:p w14:paraId="0B904ABE"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20</w:t>
            </w:r>
          </w:p>
        </w:tc>
        <w:tc>
          <w:tcPr>
            <w:tcW w:w="1667" w:type="pct"/>
            <w:tcBorders>
              <w:top w:val="single" w:sz="4" w:space="0" w:color="000000"/>
              <w:left w:val="single" w:sz="4" w:space="0" w:color="000000"/>
              <w:bottom w:val="single" w:sz="4" w:space="0" w:color="000000"/>
              <w:right w:val="single" w:sz="4" w:space="0" w:color="000000"/>
            </w:tcBorders>
            <w:hideMark/>
          </w:tcPr>
          <w:p w14:paraId="399018C4"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27,200</w:t>
            </w:r>
          </w:p>
        </w:tc>
      </w:tr>
      <w:tr w:rsidR="00CE418C" w:rsidRPr="007A4A11" w14:paraId="0C192FB1" w14:textId="77777777" w:rsidTr="00CE418C">
        <w:trPr>
          <w:trHeight w:val="227"/>
        </w:trPr>
        <w:tc>
          <w:tcPr>
            <w:tcW w:w="1666" w:type="pct"/>
            <w:tcBorders>
              <w:top w:val="single" w:sz="4" w:space="0" w:color="000000"/>
              <w:left w:val="single" w:sz="4" w:space="0" w:color="000000"/>
              <w:bottom w:val="single" w:sz="4" w:space="0" w:color="000000"/>
              <w:right w:val="single" w:sz="4" w:space="0" w:color="000000"/>
            </w:tcBorders>
            <w:hideMark/>
          </w:tcPr>
          <w:p w14:paraId="37D31A65"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Traditional 16 axle road train</w:t>
            </w:r>
          </w:p>
        </w:tc>
        <w:tc>
          <w:tcPr>
            <w:tcW w:w="1666" w:type="pct"/>
            <w:tcBorders>
              <w:top w:val="single" w:sz="4" w:space="0" w:color="000000"/>
              <w:left w:val="single" w:sz="4" w:space="0" w:color="000000"/>
              <w:bottom w:val="single" w:sz="4" w:space="0" w:color="000000"/>
              <w:right w:val="single" w:sz="4" w:space="0" w:color="000000"/>
            </w:tcBorders>
            <w:hideMark/>
          </w:tcPr>
          <w:p w14:paraId="38A86FE1"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15</w:t>
            </w:r>
          </w:p>
        </w:tc>
        <w:tc>
          <w:tcPr>
            <w:tcW w:w="1667" w:type="pct"/>
            <w:tcBorders>
              <w:top w:val="single" w:sz="4" w:space="0" w:color="000000"/>
              <w:left w:val="single" w:sz="4" w:space="0" w:color="000000"/>
              <w:bottom w:val="single" w:sz="4" w:space="0" w:color="000000"/>
              <w:right w:val="single" w:sz="4" w:space="0" w:color="000000"/>
            </w:tcBorders>
            <w:hideMark/>
          </w:tcPr>
          <w:p w14:paraId="30D8E6C0" w14:textId="77777777" w:rsidR="00CE418C" w:rsidRPr="007A4A11" w:rsidRDefault="00CE418C" w:rsidP="00CE418C">
            <w:pPr>
              <w:spacing w:after="240"/>
              <w:rPr>
                <w:rFonts w:asciiTheme="minorHAnsi" w:hAnsiTheme="minorHAnsi" w:cs="Arial"/>
                <w:bCs/>
                <w:sz w:val="20"/>
              </w:rPr>
            </w:pPr>
            <w:r w:rsidRPr="007A4A11">
              <w:rPr>
                <w:rFonts w:asciiTheme="minorHAnsi" w:hAnsiTheme="minorHAnsi" w:cs="Arial"/>
                <w:bCs/>
                <w:sz w:val="20"/>
              </w:rPr>
              <w:t>24,000</w:t>
            </w:r>
          </w:p>
        </w:tc>
      </w:tr>
    </w:tbl>
    <w:p w14:paraId="5BC515FC" w14:textId="34AD4B58" w:rsidR="008247CD" w:rsidRPr="007A4A11" w:rsidRDefault="008247CD" w:rsidP="00CE418C">
      <w:pPr>
        <w:spacing w:after="240"/>
        <w:jc w:val="center"/>
        <w:rPr>
          <w:rFonts w:asciiTheme="minorHAnsi" w:hAnsiTheme="minorHAnsi" w:cs="Arial"/>
          <w:b/>
        </w:rPr>
      </w:pPr>
      <w:r w:rsidRPr="007A4A11">
        <w:rPr>
          <w:rFonts w:asciiTheme="minorHAnsi" w:hAnsiTheme="minorHAnsi" w:cs="Arial"/>
          <w:b/>
        </w:rPr>
        <w:t xml:space="preserve">Figure </w:t>
      </w:r>
      <w:r w:rsidR="00CE418C" w:rsidRPr="007A4A11">
        <w:rPr>
          <w:rFonts w:asciiTheme="minorHAnsi" w:hAnsiTheme="minorHAnsi" w:cs="Arial"/>
          <w:b/>
        </w:rPr>
        <w:t>3</w:t>
      </w:r>
      <w:r w:rsidRPr="007A4A11">
        <w:rPr>
          <w:rFonts w:asciiTheme="minorHAnsi" w:hAnsiTheme="minorHAnsi" w:cs="Arial"/>
          <w:b/>
        </w:rPr>
        <w:t xml:space="preserve">: </w:t>
      </w:r>
      <w:r w:rsidR="00A24753" w:rsidRPr="007A4A11">
        <w:rPr>
          <w:rFonts w:asciiTheme="minorHAnsi" w:hAnsiTheme="minorHAnsi" w:cs="Arial"/>
          <w:b/>
        </w:rPr>
        <w:t>fuel and</w:t>
      </w:r>
      <w:r w:rsidRPr="007A4A11">
        <w:rPr>
          <w:rFonts w:asciiTheme="minorHAnsi" w:hAnsiTheme="minorHAnsi" w:cs="Arial"/>
          <w:b/>
        </w:rPr>
        <w:t xml:space="preserve"> number of </w:t>
      </w:r>
      <w:r w:rsidR="00CE418C" w:rsidRPr="007A4A11">
        <w:rPr>
          <w:rFonts w:asciiTheme="minorHAnsi" w:hAnsiTheme="minorHAnsi" w:cs="Arial"/>
          <w:b/>
        </w:rPr>
        <w:t>trips needed to move 1000 tonnes</w:t>
      </w:r>
    </w:p>
    <w:p w14:paraId="3B8F10AB" w14:textId="08309408" w:rsidR="008247CD" w:rsidRPr="007A4A11" w:rsidRDefault="008247CD" w:rsidP="00FC4D55">
      <w:pPr>
        <w:spacing w:after="240"/>
        <w:jc w:val="center"/>
        <w:rPr>
          <w:rFonts w:asciiTheme="minorHAnsi" w:hAnsiTheme="minorHAnsi" w:cs="Arial"/>
          <w:bCs/>
          <w:sz w:val="16"/>
        </w:rPr>
      </w:pPr>
      <w:r w:rsidRPr="007A4A11">
        <w:rPr>
          <w:rFonts w:asciiTheme="minorHAnsi" w:hAnsiTheme="minorHAnsi" w:cs="Arial"/>
          <w:bCs/>
          <w:sz w:val="16"/>
        </w:rPr>
        <w:t xml:space="preserve">Source: </w:t>
      </w:r>
      <w:r w:rsidR="00DD63E3" w:rsidRPr="007A4A11">
        <w:rPr>
          <w:rFonts w:asciiTheme="minorHAnsi" w:hAnsiTheme="minorHAnsi" w:cs="Arial"/>
          <w:bCs/>
          <w:sz w:val="16"/>
        </w:rPr>
        <w:t xml:space="preserve">Truck Impact Chart: </w:t>
      </w:r>
      <w:r w:rsidRPr="007A4A11">
        <w:rPr>
          <w:rFonts w:asciiTheme="minorHAnsi" w:hAnsiTheme="minorHAnsi" w:cs="Arial"/>
          <w:bCs/>
          <w:sz w:val="16"/>
        </w:rPr>
        <w:t>ATA and Barkwood Consulting Pty Ltd 2010</w:t>
      </w:r>
      <w:r w:rsidR="005041E4" w:rsidRPr="007A4A11">
        <w:rPr>
          <w:rFonts w:asciiTheme="minorHAnsi" w:hAnsiTheme="minorHAnsi" w:cs="Arial"/>
          <w:bCs/>
          <w:sz w:val="16"/>
        </w:rPr>
        <w:t xml:space="preserve"> (Appendix A)</w:t>
      </w:r>
    </w:p>
    <w:p w14:paraId="2D781039" w14:textId="1E64BF3B" w:rsidR="00807ED4" w:rsidRPr="007A4A11" w:rsidRDefault="00807ED4" w:rsidP="001F3FD2">
      <w:pPr>
        <w:rPr>
          <w:rFonts w:asciiTheme="minorHAnsi" w:hAnsiTheme="minorHAnsi" w:cs="Arial"/>
        </w:rPr>
      </w:pPr>
      <w:r w:rsidRPr="007A4A11">
        <w:rPr>
          <w:rFonts w:asciiTheme="minorHAnsi" w:hAnsiTheme="minorHAnsi" w:cs="Arial"/>
        </w:rPr>
        <w:t xml:space="preserve">While the industry wants to reduce emissions via technology such </w:t>
      </w:r>
      <w:r w:rsidR="0014134A">
        <w:rPr>
          <w:rFonts w:asciiTheme="minorHAnsi" w:hAnsiTheme="minorHAnsi" w:cs="Arial"/>
        </w:rPr>
        <w:t xml:space="preserve">as </w:t>
      </w:r>
      <w:r w:rsidR="00A24753" w:rsidRPr="007A4A11">
        <w:rPr>
          <w:rFonts w:asciiTheme="minorHAnsi" w:hAnsiTheme="minorHAnsi" w:cs="Arial"/>
        </w:rPr>
        <w:t>ADR 80/03</w:t>
      </w:r>
      <w:r w:rsidRPr="007A4A11">
        <w:rPr>
          <w:rFonts w:asciiTheme="minorHAnsi" w:hAnsiTheme="minorHAnsi" w:cs="Arial"/>
        </w:rPr>
        <w:t xml:space="preserve"> heavy vehicles, the industry is limited by government policies that allow the use of more efficient vehicles. This is because of first and last mile restrictions and high productivity vehicle restrictions on main roads. </w:t>
      </w:r>
    </w:p>
    <w:p w14:paraId="132BE6BA" w14:textId="77777777" w:rsidR="0088402C" w:rsidRPr="007A4A11" w:rsidRDefault="0088402C" w:rsidP="001F3FD2">
      <w:pPr>
        <w:rPr>
          <w:rFonts w:asciiTheme="minorHAnsi" w:hAnsiTheme="minorHAnsi" w:cs="Arial"/>
        </w:rPr>
      </w:pPr>
    </w:p>
    <w:p w14:paraId="052198B5" w14:textId="53FA63B9" w:rsidR="00D94529" w:rsidRPr="007A4A11" w:rsidRDefault="003C21FE" w:rsidP="001F3FD2">
      <w:pPr>
        <w:rPr>
          <w:rFonts w:asciiTheme="minorHAnsi" w:hAnsiTheme="minorHAnsi" w:cs="Arial"/>
        </w:rPr>
      </w:pPr>
      <w:r w:rsidRPr="007A4A11">
        <w:rPr>
          <w:rFonts w:asciiTheme="minorHAnsi" w:hAnsiTheme="minorHAnsi" w:cs="Arial"/>
        </w:rPr>
        <w:t xml:space="preserve">In its Energy White Paper, the Government should announce an integrated and effective plan to remove the red tape and regulatory impediments that prevent the industry from increasing its use of high productivity vehicles. </w:t>
      </w:r>
    </w:p>
    <w:p w14:paraId="05C91F9A" w14:textId="77777777" w:rsidR="003C21FE" w:rsidRPr="007A4A11" w:rsidRDefault="003C21FE" w:rsidP="001F3FD2">
      <w:pPr>
        <w:rPr>
          <w:rFonts w:asciiTheme="minorHAnsi" w:hAnsiTheme="minorHAnsi" w:cs="Arial"/>
          <w:b/>
        </w:rPr>
      </w:pPr>
    </w:p>
    <w:p w14:paraId="1AECBF25" w14:textId="3CF7CF4A" w:rsidR="008247CD" w:rsidRPr="007A4A11" w:rsidRDefault="008247CD" w:rsidP="001F3FD2">
      <w:pPr>
        <w:rPr>
          <w:rFonts w:asciiTheme="minorHAnsi" w:hAnsiTheme="minorHAnsi" w:cs="Arial"/>
          <w:b/>
          <w:sz w:val="24"/>
        </w:rPr>
      </w:pPr>
      <w:r w:rsidRPr="007A4A11">
        <w:rPr>
          <w:rFonts w:asciiTheme="minorHAnsi" w:hAnsiTheme="minorHAnsi" w:cs="Arial"/>
          <w:b/>
          <w:sz w:val="24"/>
        </w:rPr>
        <w:t xml:space="preserve">Rail </w:t>
      </w:r>
      <w:r w:rsidR="0088402C" w:rsidRPr="007A4A11">
        <w:rPr>
          <w:rFonts w:asciiTheme="minorHAnsi" w:hAnsiTheme="minorHAnsi" w:cs="Arial"/>
          <w:b/>
          <w:sz w:val="24"/>
        </w:rPr>
        <w:t xml:space="preserve">freight </w:t>
      </w:r>
      <w:r w:rsidRPr="007A4A11">
        <w:rPr>
          <w:rFonts w:asciiTheme="minorHAnsi" w:hAnsiTheme="minorHAnsi" w:cs="Arial"/>
          <w:b/>
          <w:sz w:val="24"/>
        </w:rPr>
        <w:t xml:space="preserve">versus road </w:t>
      </w:r>
      <w:r w:rsidR="0088402C" w:rsidRPr="007A4A11">
        <w:rPr>
          <w:rFonts w:asciiTheme="minorHAnsi" w:hAnsiTheme="minorHAnsi" w:cs="Arial"/>
          <w:b/>
          <w:sz w:val="24"/>
        </w:rPr>
        <w:t>freight</w:t>
      </w:r>
    </w:p>
    <w:p w14:paraId="6234C65E" w14:textId="77777777" w:rsidR="00242A40" w:rsidRPr="007A4A11" w:rsidRDefault="00242A40" w:rsidP="001F3FD2">
      <w:pPr>
        <w:autoSpaceDE w:val="0"/>
        <w:autoSpaceDN w:val="0"/>
        <w:adjustRightInd w:val="0"/>
        <w:rPr>
          <w:rFonts w:asciiTheme="minorHAnsi" w:hAnsiTheme="minorHAnsi" w:cs="Arial"/>
          <w:highlight w:val="white"/>
          <w:lang w:eastAsia="en-AU"/>
        </w:rPr>
      </w:pPr>
    </w:p>
    <w:p w14:paraId="47D0A505" w14:textId="218467AF" w:rsidR="003C21FE" w:rsidRPr="007A4A11" w:rsidRDefault="003C21FE" w:rsidP="001F3FD2">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 xml:space="preserve">It is sometimes suggested that the solution to reduce Australian transport energy use is to move more freight onto rail. </w:t>
      </w:r>
    </w:p>
    <w:p w14:paraId="2419E9E5" w14:textId="77777777" w:rsidR="009A635C" w:rsidRPr="007A4A11" w:rsidRDefault="009A635C" w:rsidP="001F3FD2">
      <w:pPr>
        <w:autoSpaceDE w:val="0"/>
        <w:autoSpaceDN w:val="0"/>
        <w:adjustRightInd w:val="0"/>
        <w:rPr>
          <w:rFonts w:asciiTheme="minorHAnsi" w:hAnsiTheme="minorHAnsi" w:cs="Arial"/>
          <w:highlight w:val="white"/>
          <w:lang w:eastAsia="en-AU"/>
        </w:rPr>
      </w:pPr>
    </w:p>
    <w:p w14:paraId="112ECC83" w14:textId="47DE79EA" w:rsidR="009A635C" w:rsidRPr="007A4A11" w:rsidRDefault="009A635C" w:rsidP="001F3FD2">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 xml:space="preserve">The Henry Tax Review </w:t>
      </w:r>
      <w:r w:rsidR="0088402C" w:rsidRPr="007A4A11">
        <w:rPr>
          <w:rFonts w:asciiTheme="minorHAnsi" w:hAnsiTheme="minorHAnsi" w:cs="Arial"/>
          <w:highlight w:val="white"/>
          <w:lang w:eastAsia="en-AU"/>
        </w:rPr>
        <w:t>recommended</w:t>
      </w:r>
      <w:r w:rsidRPr="007A4A11">
        <w:rPr>
          <w:rFonts w:asciiTheme="minorHAnsi" w:hAnsiTheme="minorHAnsi" w:cs="Arial"/>
          <w:highlight w:val="white"/>
          <w:lang w:eastAsia="en-AU"/>
        </w:rPr>
        <w:t xml:space="preserve">: </w:t>
      </w:r>
    </w:p>
    <w:p w14:paraId="49223AE3" w14:textId="77777777" w:rsidR="009A635C" w:rsidRPr="007A4A11" w:rsidRDefault="009A635C" w:rsidP="001F3FD2">
      <w:pPr>
        <w:autoSpaceDE w:val="0"/>
        <w:autoSpaceDN w:val="0"/>
        <w:adjustRightInd w:val="0"/>
        <w:rPr>
          <w:rFonts w:asciiTheme="minorHAnsi" w:hAnsiTheme="minorHAnsi" w:cs="Arial"/>
          <w:highlight w:val="white"/>
          <w:lang w:eastAsia="en-AU"/>
        </w:rPr>
      </w:pPr>
    </w:p>
    <w:p w14:paraId="65D05D00" w14:textId="5C4E1454" w:rsidR="009A635C" w:rsidRPr="007A4A11" w:rsidRDefault="009A635C" w:rsidP="00117370">
      <w:pPr>
        <w:autoSpaceDE w:val="0"/>
        <w:autoSpaceDN w:val="0"/>
        <w:adjustRightInd w:val="0"/>
        <w:ind w:left="1134" w:right="1134"/>
        <w:rPr>
          <w:rFonts w:asciiTheme="minorHAnsi" w:hAnsiTheme="minorHAnsi" w:cs="Arial"/>
          <w:sz w:val="20"/>
          <w:highlight w:val="white"/>
          <w:lang w:eastAsia="en-AU"/>
        </w:rPr>
      </w:pPr>
      <w:r w:rsidRPr="007A4A11">
        <w:rPr>
          <w:rFonts w:asciiTheme="minorHAnsi" w:hAnsiTheme="minorHAnsi" w:cs="Arial"/>
          <w:sz w:val="20"/>
          <w:highlight w:val="white"/>
          <w:lang w:eastAsia="en-AU"/>
        </w:rPr>
        <w:t xml:space="preserve">On routes where road freight is in direct competition with that is required to recover its capital costs, heavy vehicles should face an additional charge on a comparable basis. Where this improves the efficient allocation of freight between transport modes. </w:t>
      </w:r>
      <w:r w:rsidRPr="007A4A11">
        <w:rPr>
          <w:rStyle w:val="FootnoteReference"/>
          <w:rFonts w:asciiTheme="minorHAnsi" w:hAnsiTheme="minorHAnsi" w:cs="Arial"/>
          <w:sz w:val="20"/>
          <w:highlight w:val="white"/>
          <w:lang w:eastAsia="en-AU"/>
        </w:rPr>
        <w:footnoteReference w:id="20"/>
      </w:r>
    </w:p>
    <w:p w14:paraId="11610028" w14:textId="77777777" w:rsidR="009A635C" w:rsidRPr="007A4A11" w:rsidRDefault="009A635C" w:rsidP="009A635C">
      <w:pPr>
        <w:autoSpaceDE w:val="0"/>
        <w:autoSpaceDN w:val="0"/>
        <w:adjustRightInd w:val="0"/>
        <w:rPr>
          <w:rFonts w:asciiTheme="minorHAnsi" w:hAnsiTheme="minorHAnsi" w:cs="Arial"/>
          <w:highlight w:val="white"/>
          <w:lang w:eastAsia="en-AU"/>
        </w:rPr>
      </w:pPr>
    </w:p>
    <w:p w14:paraId="09D81617" w14:textId="77777777" w:rsidR="0088402C" w:rsidRPr="007A4A11" w:rsidRDefault="009A635C" w:rsidP="009A635C">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 xml:space="preserve">The Tax Review also stated that the heavy vehicle industry does not pay for all its attributable costs. </w:t>
      </w:r>
    </w:p>
    <w:p w14:paraId="00DFE608" w14:textId="77777777" w:rsidR="0088402C" w:rsidRPr="007A4A11" w:rsidRDefault="0088402C" w:rsidP="009A635C">
      <w:pPr>
        <w:autoSpaceDE w:val="0"/>
        <w:autoSpaceDN w:val="0"/>
        <w:adjustRightInd w:val="0"/>
        <w:rPr>
          <w:rFonts w:asciiTheme="minorHAnsi" w:hAnsiTheme="minorHAnsi" w:cs="Arial"/>
          <w:highlight w:val="white"/>
          <w:lang w:eastAsia="en-AU"/>
        </w:rPr>
      </w:pPr>
    </w:p>
    <w:p w14:paraId="7ECBEA8F" w14:textId="77777777" w:rsidR="00AC088B" w:rsidRDefault="00AC088B" w:rsidP="009A635C">
      <w:pPr>
        <w:autoSpaceDE w:val="0"/>
        <w:autoSpaceDN w:val="0"/>
        <w:adjustRightInd w:val="0"/>
        <w:rPr>
          <w:rFonts w:asciiTheme="minorHAnsi" w:hAnsiTheme="minorHAnsi" w:cs="Arial"/>
          <w:highlight w:val="white"/>
          <w:lang w:eastAsia="en-AU"/>
        </w:rPr>
      </w:pPr>
    </w:p>
    <w:p w14:paraId="6FF27EFC" w14:textId="77777777" w:rsidR="00AC088B" w:rsidRDefault="00AC088B" w:rsidP="009A635C">
      <w:pPr>
        <w:autoSpaceDE w:val="0"/>
        <w:autoSpaceDN w:val="0"/>
        <w:adjustRightInd w:val="0"/>
        <w:rPr>
          <w:rFonts w:asciiTheme="minorHAnsi" w:hAnsiTheme="minorHAnsi" w:cs="Arial"/>
          <w:highlight w:val="white"/>
          <w:lang w:eastAsia="en-AU"/>
        </w:rPr>
      </w:pPr>
    </w:p>
    <w:p w14:paraId="1C5ABAB4" w14:textId="14BC7F26" w:rsidR="009A635C" w:rsidRPr="007A4A11" w:rsidRDefault="00117370" w:rsidP="009A635C">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lastRenderedPageBreak/>
        <w:t>However, the h</w:t>
      </w:r>
      <w:r w:rsidR="009A635C" w:rsidRPr="007A4A11">
        <w:rPr>
          <w:rFonts w:asciiTheme="minorHAnsi" w:hAnsiTheme="minorHAnsi" w:cs="Arial"/>
          <w:highlight w:val="white"/>
          <w:lang w:eastAsia="en-AU"/>
        </w:rPr>
        <w:t>eavy vehicle charges model, PayGo, has been overcharging the industry since 2007.</w:t>
      </w:r>
      <w:r w:rsidR="00B579A7" w:rsidRPr="007A4A11">
        <w:rPr>
          <w:rFonts w:asciiTheme="minorHAnsi" w:hAnsiTheme="minorHAnsi" w:cs="Arial"/>
          <w:highlight w:val="white"/>
          <w:lang w:eastAsia="en-AU"/>
        </w:rPr>
        <w:t xml:space="preserve"> This is because the model uses a lagged population in the 7 year model but the most up to date expenditure data. </w:t>
      </w:r>
      <w:r w:rsidR="009A635C" w:rsidRPr="007A4A11">
        <w:rPr>
          <w:rFonts w:asciiTheme="minorHAnsi" w:hAnsiTheme="minorHAnsi" w:cs="Arial"/>
          <w:highlight w:val="white"/>
          <w:lang w:eastAsia="en-AU"/>
        </w:rPr>
        <w:t xml:space="preserve"> This year alone the industry will pay over $200 million in excess taxes because </w:t>
      </w:r>
      <w:r w:rsidR="0088402C" w:rsidRPr="007A4A11">
        <w:rPr>
          <w:rFonts w:asciiTheme="minorHAnsi" w:hAnsiTheme="minorHAnsi" w:cs="Arial"/>
          <w:highlight w:val="white"/>
          <w:lang w:eastAsia="en-AU"/>
        </w:rPr>
        <w:t>state transport</w:t>
      </w:r>
      <w:r w:rsidR="009A635C" w:rsidRPr="007A4A11">
        <w:rPr>
          <w:rFonts w:asciiTheme="minorHAnsi" w:hAnsiTheme="minorHAnsi" w:cs="Arial"/>
          <w:highlight w:val="white"/>
          <w:lang w:eastAsia="en-AU"/>
        </w:rPr>
        <w:t xml:space="preserve"> ministers did not agree to </w:t>
      </w:r>
      <w:r w:rsidR="00B579A7" w:rsidRPr="007A4A11">
        <w:rPr>
          <w:rFonts w:asciiTheme="minorHAnsi" w:hAnsiTheme="minorHAnsi" w:cs="Arial"/>
          <w:highlight w:val="white"/>
          <w:lang w:eastAsia="en-AU"/>
        </w:rPr>
        <w:t>stop the over-charging.</w:t>
      </w:r>
      <w:r w:rsidR="00B579A7" w:rsidRPr="007A4A11">
        <w:rPr>
          <w:rStyle w:val="FootnoteReference"/>
          <w:rFonts w:asciiTheme="minorHAnsi" w:hAnsiTheme="minorHAnsi" w:cs="Arial"/>
          <w:highlight w:val="white"/>
          <w:lang w:eastAsia="en-AU"/>
        </w:rPr>
        <w:footnoteReference w:id="21"/>
      </w:r>
      <w:r w:rsidR="00B579A7" w:rsidRPr="007A4A11">
        <w:rPr>
          <w:rFonts w:asciiTheme="minorHAnsi" w:hAnsiTheme="minorHAnsi" w:cs="Arial"/>
          <w:highlight w:val="white"/>
          <w:lang w:eastAsia="en-AU"/>
        </w:rPr>
        <w:t xml:space="preserve"> </w:t>
      </w:r>
    </w:p>
    <w:p w14:paraId="51EC5A32" w14:textId="77777777" w:rsidR="003D59EE" w:rsidRPr="007A4A11" w:rsidRDefault="003D59EE" w:rsidP="009A635C">
      <w:pPr>
        <w:autoSpaceDE w:val="0"/>
        <w:autoSpaceDN w:val="0"/>
        <w:adjustRightInd w:val="0"/>
        <w:rPr>
          <w:rFonts w:asciiTheme="minorHAnsi" w:hAnsiTheme="minorHAnsi" w:cs="Arial"/>
          <w:highlight w:val="white"/>
          <w:lang w:eastAsia="en-AU"/>
        </w:rPr>
      </w:pPr>
    </w:p>
    <w:p w14:paraId="734D22E0" w14:textId="2E99EE24" w:rsidR="003D59EE" w:rsidRPr="007A4A11" w:rsidRDefault="003D59EE" w:rsidP="009A635C">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 xml:space="preserve">Therefore arguments that the industry is underpaying its attributable costs are unfounded. </w:t>
      </w:r>
    </w:p>
    <w:p w14:paraId="56CBE6CB" w14:textId="77777777" w:rsidR="003D59EE" w:rsidRPr="007A4A11" w:rsidRDefault="003D59EE" w:rsidP="001F3FD2">
      <w:pPr>
        <w:autoSpaceDE w:val="0"/>
        <w:autoSpaceDN w:val="0"/>
        <w:adjustRightInd w:val="0"/>
        <w:rPr>
          <w:rFonts w:asciiTheme="minorHAnsi" w:hAnsiTheme="minorHAnsi" w:cs="Arial"/>
          <w:highlight w:val="white"/>
          <w:lang w:eastAsia="en-AU"/>
        </w:rPr>
      </w:pPr>
    </w:p>
    <w:p w14:paraId="1DAAEF00" w14:textId="309720CD" w:rsidR="00242A40" w:rsidRPr="007A4A11" w:rsidRDefault="003D59EE" w:rsidP="001F3FD2">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Modal choice for transporters depends on a number of parameters</w:t>
      </w:r>
      <w:r w:rsidR="00242A40" w:rsidRPr="007A4A11">
        <w:rPr>
          <w:rFonts w:asciiTheme="minorHAnsi" w:hAnsiTheme="minorHAnsi" w:cs="Arial"/>
          <w:highlight w:val="white"/>
          <w:lang w:eastAsia="en-AU"/>
        </w:rPr>
        <w:t xml:space="preserve">; what is to be shipped, is it time sensitive, the cost, availability of mode of freight and how far it has to travel. </w:t>
      </w:r>
    </w:p>
    <w:p w14:paraId="419F873A" w14:textId="77777777" w:rsidR="00242A40" w:rsidRPr="007A4A11" w:rsidRDefault="00242A40" w:rsidP="001F3FD2">
      <w:pPr>
        <w:autoSpaceDE w:val="0"/>
        <w:autoSpaceDN w:val="0"/>
        <w:adjustRightInd w:val="0"/>
        <w:rPr>
          <w:rFonts w:asciiTheme="minorHAnsi" w:hAnsiTheme="minorHAnsi" w:cs="Arial"/>
          <w:highlight w:val="white"/>
          <w:lang w:eastAsia="en-AU"/>
        </w:rPr>
      </w:pPr>
    </w:p>
    <w:p w14:paraId="14C88D4C" w14:textId="77777777" w:rsidR="009A635C" w:rsidRPr="007A4A11" w:rsidRDefault="009A635C" w:rsidP="009A635C">
      <w:pPr>
        <w:rPr>
          <w:rFonts w:asciiTheme="minorHAnsi" w:hAnsiTheme="minorHAnsi" w:cs="Arial"/>
        </w:rPr>
      </w:pPr>
      <w:r w:rsidRPr="007A4A11">
        <w:rPr>
          <w:rFonts w:asciiTheme="minorHAnsi" w:hAnsiTheme="minorHAnsi" w:cs="Arial"/>
        </w:rPr>
        <w:t>Road transport is the dominant mode of freight transport in Australia when transporting non-bulk goods</w:t>
      </w:r>
      <w:r w:rsidRPr="007A4A11">
        <w:rPr>
          <w:rFonts w:asciiTheme="minorHAnsi" w:hAnsiTheme="minorHAnsi" w:cs="Arial"/>
          <w:vertAlign w:val="superscript"/>
        </w:rPr>
        <w:footnoteReference w:id="22"/>
      </w:r>
      <w:r w:rsidRPr="007A4A11">
        <w:rPr>
          <w:rFonts w:asciiTheme="minorHAnsi" w:hAnsiTheme="minorHAnsi" w:cs="Arial"/>
        </w:rPr>
        <w:t xml:space="preserve"> because Australia’s population is dispersed, the trucking industry is relied on heavily by the community compared with less time sensitive modes like rail and coastal shipping. </w:t>
      </w:r>
    </w:p>
    <w:p w14:paraId="1AD2CD47" w14:textId="77777777" w:rsidR="009A635C" w:rsidRPr="007A4A11" w:rsidRDefault="009A635C" w:rsidP="009A635C">
      <w:pPr>
        <w:rPr>
          <w:rFonts w:asciiTheme="minorHAnsi" w:hAnsiTheme="minorHAnsi" w:cs="Arial"/>
        </w:rPr>
      </w:pPr>
    </w:p>
    <w:p w14:paraId="201386B3" w14:textId="00547D82" w:rsidR="00242A40" w:rsidRPr="007A4A11" w:rsidRDefault="00242A40" w:rsidP="001F3FD2">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 xml:space="preserve">The ATA supports efficient movement of freight. The </w:t>
      </w:r>
      <w:r w:rsidR="003C21FE" w:rsidRPr="007A4A11">
        <w:rPr>
          <w:rFonts w:asciiTheme="minorHAnsi" w:hAnsiTheme="minorHAnsi" w:cs="Arial"/>
          <w:highlight w:val="white"/>
          <w:lang w:eastAsia="en-AU"/>
        </w:rPr>
        <w:t>Government</w:t>
      </w:r>
      <w:r w:rsidRPr="007A4A11">
        <w:rPr>
          <w:rFonts w:asciiTheme="minorHAnsi" w:hAnsiTheme="minorHAnsi" w:cs="Arial"/>
          <w:highlight w:val="white"/>
          <w:lang w:eastAsia="en-AU"/>
        </w:rPr>
        <w:t xml:space="preserve"> should understand that only a small amount of freight is contestable with rail. Rail excels at transporting heavy bulk, such as consolidated grain and mining resources. The road freight fleet moves time sensitive material and direct delivery packages. Decisions on which mode of freight transport will work best are normally based on the constraints mentioned above. Road and rail should be viewed as complementary modes of freight transport.  </w:t>
      </w:r>
    </w:p>
    <w:p w14:paraId="213497FE" w14:textId="77777777" w:rsidR="00242A40" w:rsidRPr="007A4A11" w:rsidRDefault="00242A40" w:rsidP="001F3FD2">
      <w:pPr>
        <w:autoSpaceDE w:val="0"/>
        <w:autoSpaceDN w:val="0"/>
        <w:adjustRightInd w:val="0"/>
        <w:rPr>
          <w:rFonts w:asciiTheme="minorHAnsi" w:hAnsiTheme="minorHAnsi" w:cs="Arial"/>
          <w:highlight w:val="white"/>
          <w:lang w:eastAsia="en-AU"/>
        </w:rPr>
      </w:pPr>
    </w:p>
    <w:p w14:paraId="3D347BCF" w14:textId="14EA89C3" w:rsidR="0012393E" w:rsidRPr="007A4A11" w:rsidRDefault="00962A7D" w:rsidP="001F3FD2">
      <w:pPr>
        <w:autoSpaceDE w:val="0"/>
        <w:autoSpaceDN w:val="0"/>
        <w:adjustRightInd w:val="0"/>
        <w:rPr>
          <w:rFonts w:asciiTheme="minorHAnsi" w:hAnsiTheme="minorHAnsi" w:cs="Arial"/>
          <w:lang w:eastAsia="en-AU"/>
        </w:rPr>
      </w:pPr>
      <w:r w:rsidRPr="007A4A11">
        <w:rPr>
          <w:rFonts w:asciiTheme="minorHAnsi" w:hAnsiTheme="minorHAnsi" w:cs="Arial"/>
          <w:lang w:eastAsia="en-AU"/>
        </w:rPr>
        <w:t>Pricing analysis have shown a weak level of substitution between the modes. A price elasticity report conducted by BITRE showed that even if there were large increases in freight rates, rail freight was unresponsive to the increase. Only in the medium distance corridors if the road freight rate increases by 1</w:t>
      </w:r>
      <w:r w:rsidR="0088402C" w:rsidRPr="007A4A11">
        <w:rPr>
          <w:rFonts w:asciiTheme="minorHAnsi" w:hAnsiTheme="minorHAnsi" w:cs="Arial"/>
          <w:lang w:eastAsia="en-AU"/>
        </w:rPr>
        <w:t>%</w:t>
      </w:r>
      <w:r w:rsidRPr="007A4A11">
        <w:rPr>
          <w:rFonts w:asciiTheme="minorHAnsi" w:hAnsiTheme="minorHAnsi" w:cs="Arial"/>
          <w:lang w:eastAsia="en-AU"/>
        </w:rPr>
        <w:t xml:space="preserve"> would there be a 1.08</w:t>
      </w:r>
      <w:r w:rsidR="0088402C" w:rsidRPr="007A4A11">
        <w:rPr>
          <w:rFonts w:asciiTheme="minorHAnsi" w:hAnsiTheme="minorHAnsi" w:cs="Arial"/>
          <w:lang w:eastAsia="en-AU"/>
        </w:rPr>
        <w:t xml:space="preserve">% </w:t>
      </w:r>
      <w:r w:rsidRPr="007A4A11">
        <w:rPr>
          <w:rFonts w:asciiTheme="minorHAnsi" w:hAnsiTheme="minorHAnsi" w:cs="Arial"/>
          <w:lang w:eastAsia="en-AU"/>
        </w:rPr>
        <w:t>increase in rail freight</w:t>
      </w:r>
      <w:r w:rsidRPr="007A4A11">
        <w:rPr>
          <w:rStyle w:val="FootnoteReference"/>
          <w:rFonts w:asciiTheme="minorHAnsi" w:hAnsiTheme="minorHAnsi" w:cs="Arial"/>
          <w:lang w:eastAsia="en-AU"/>
        </w:rPr>
        <w:footnoteReference w:id="23"/>
      </w:r>
      <w:r w:rsidRPr="007A4A11">
        <w:rPr>
          <w:rFonts w:asciiTheme="minorHAnsi" w:hAnsiTheme="minorHAnsi" w:cs="Arial"/>
          <w:lang w:eastAsia="en-AU"/>
        </w:rPr>
        <w:t xml:space="preserve">.  </w:t>
      </w:r>
    </w:p>
    <w:p w14:paraId="217E7F5B" w14:textId="77777777" w:rsidR="0012393E" w:rsidRPr="007A4A11" w:rsidRDefault="0012393E" w:rsidP="001F3FD2">
      <w:pPr>
        <w:autoSpaceDE w:val="0"/>
        <w:autoSpaceDN w:val="0"/>
        <w:adjustRightInd w:val="0"/>
        <w:rPr>
          <w:rFonts w:asciiTheme="minorHAnsi" w:hAnsiTheme="minorHAnsi" w:cs="Arial"/>
          <w:lang w:eastAsia="en-AU"/>
        </w:rPr>
      </w:pPr>
    </w:p>
    <w:p w14:paraId="716AE42A" w14:textId="77777777" w:rsidR="009A635C" w:rsidRPr="007A4A11" w:rsidRDefault="009A635C" w:rsidP="009A635C">
      <w:pPr>
        <w:autoSpaceDE w:val="0"/>
        <w:autoSpaceDN w:val="0"/>
        <w:adjustRightInd w:val="0"/>
        <w:rPr>
          <w:rFonts w:asciiTheme="minorHAnsi" w:hAnsiTheme="minorHAnsi" w:cs="Arial"/>
          <w:highlight w:val="white"/>
          <w:lang w:eastAsia="en-AU"/>
        </w:rPr>
      </w:pPr>
      <w:r w:rsidRPr="007A4A11">
        <w:rPr>
          <w:rFonts w:asciiTheme="minorHAnsi" w:hAnsiTheme="minorHAnsi" w:cs="Arial"/>
          <w:highlight w:val="white"/>
          <w:lang w:eastAsia="en-AU"/>
        </w:rPr>
        <w:t xml:space="preserve">Both road and rail should be priced to promote efficient use and efforts to force freight onto a non-competitive or applicable freight mode will only cause a loss for the community. </w:t>
      </w:r>
    </w:p>
    <w:p w14:paraId="2CC0084F" w14:textId="77777777" w:rsidR="009A635C" w:rsidRPr="007A4A11" w:rsidRDefault="009A635C" w:rsidP="009A635C">
      <w:pPr>
        <w:autoSpaceDE w:val="0"/>
        <w:autoSpaceDN w:val="0"/>
        <w:adjustRightInd w:val="0"/>
        <w:rPr>
          <w:rFonts w:asciiTheme="minorHAnsi" w:hAnsiTheme="minorHAnsi" w:cs="Arial"/>
          <w:highlight w:val="white"/>
          <w:lang w:eastAsia="en-AU"/>
        </w:rPr>
      </w:pPr>
    </w:p>
    <w:p w14:paraId="5E0B8BA6" w14:textId="77777777" w:rsidR="009A635C" w:rsidRPr="007A4A11" w:rsidRDefault="009A635C" w:rsidP="009A635C">
      <w:pPr>
        <w:autoSpaceDE w:val="0"/>
        <w:autoSpaceDN w:val="0"/>
        <w:adjustRightInd w:val="0"/>
        <w:rPr>
          <w:rFonts w:asciiTheme="minorHAnsi" w:hAnsiTheme="minorHAnsi" w:cs="Arial"/>
          <w:lang w:eastAsia="en-AU"/>
        </w:rPr>
      </w:pPr>
      <w:r w:rsidRPr="007A4A11">
        <w:rPr>
          <w:rFonts w:asciiTheme="minorHAnsi" w:hAnsiTheme="minorHAnsi" w:cs="Arial"/>
          <w:highlight w:val="white"/>
          <w:lang w:eastAsia="en-AU"/>
        </w:rPr>
        <w:t xml:space="preserve">The heavy vehicle industry pays for impact and emissions via the road user charge and mandated emissions standards. For instance, operators can only access the fuel tax credit if they meet a number of criteria, including meeting emissions standards. </w:t>
      </w:r>
      <w:r w:rsidRPr="007A4A11">
        <w:rPr>
          <w:rFonts w:asciiTheme="minorHAnsi" w:hAnsiTheme="minorHAnsi" w:cs="Arial"/>
          <w:lang w:eastAsia="en-AU"/>
        </w:rPr>
        <w:t xml:space="preserve">There are no such emission controls on the rail industry. </w:t>
      </w:r>
    </w:p>
    <w:p w14:paraId="57959F14" w14:textId="77777777" w:rsidR="002A3F29" w:rsidRPr="007A4A11" w:rsidRDefault="002A3F29" w:rsidP="001F3FD2">
      <w:pPr>
        <w:rPr>
          <w:rFonts w:asciiTheme="minorHAnsi" w:hAnsiTheme="minorHAnsi" w:cs="Arial"/>
          <w:b/>
        </w:rPr>
      </w:pPr>
    </w:p>
    <w:p w14:paraId="7C4561C6" w14:textId="39059EB4" w:rsidR="00807ED4" w:rsidRPr="007A4A11" w:rsidRDefault="00117370" w:rsidP="001F3FD2">
      <w:pPr>
        <w:rPr>
          <w:rFonts w:asciiTheme="minorHAnsi" w:hAnsiTheme="minorHAnsi" w:cs="Arial"/>
          <w:b/>
          <w:sz w:val="24"/>
        </w:rPr>
      </w:pPr>
      <w:r w:rsidRPr="007A4A11">
        <w:rPr>
          <w:rFonts w:asciiTheme="minorHAnsi" w:hAnsiTheme="minorHAnsi" w:cs="Arial"/>
          <w:b/>
          <w:sz w:val="24"/>
        </w:rPr>
        <w:t>Recommendation 7</w:t>
      </w:r>
    </w:p>
    <w:p w14:paraId="5C2E116F" w14:textId="77777777" w:rsidR="00807ED4" w:rsidRPr="007A4A11" w:rsidRDefault="00807ED4" w:rsidP="001F3FD2">
      <w:pPr>
        <w:rPr>
          <w:rFonts w:asciiTheme="minorHAnsi" w:hAnsiTheme="minorHAnsi" w:cs="Arial"/>
          <w:u w:val="single"/>
        </w:rPr>
      </w:pPr>
    </w:p>
    <w:p w14:paraId="6E5FC050" w14:textId="6269B6BC" w:rsidR="00807ED4" w:rsidRPr="007A4A11" w:rsidRDefault="00807ED4" w:rsidP="001F3FD2">
      <w:pPr>
        <w:rPr>
          <w:rFonts w:asciiTheme="minorHAnsi" w:hAnsiTheme="minorHAnsi" w:cs="Arial"/>
        </w:rPr>
      </w:pPr>
      <w:r w:rsidRPr="007A4A11">
        <w:rPr>
          <w:rFonts w:asciiTheme="minorHAnsi" w:hAnsiTheme="minorHAnsi" w:cs="Arial"/>
        </w:rPr>
        <w:t xml:space="preserve">The </w:t>
      </w:r>
      <w:r w:rsidR="00712977" w:rsidRPr="007A4A11">
        <w:rPr>
          <w:rFonts w:asciiTheme="minorHAnsi" w:hAnsiTheme="minorHAnsi" w:cs="Arial"/>
        </w:rPr>
        <w:t xml:space="preserve">Government </w:t>
      </w:r>
      <w:r w:rsidRPr="007A4A11">
        <w:rPr>
          <w:rFonts w:asciiTheme="minorHAnsi" w:hAnsiTheme="minorHAnsi" w:cs="Arial"/>
        </w:rPr>
        <w:t xml:space="preserve">should </w:t>
      </w:r>
      <w:r w:rsidR="003C21FE" w:rsidRPr="007A4A11">
        <w:rPr>
          <w:rFonts w:asciiTheme="minorHAnsi" w:hAnsiTheme="minorHAnsi" w:cs="Arial"/>
        </w:rPr>
        <w:t xml:space="preserve">develop an integrated and effective plan to remove the regulatory impediments preventing the use of high productivity vehicles. </w:t>
      </w:r>
    </w:p>
    <w:p w14:paraId="6F6D87B3" w14:textId="77777777" w:rsidR="00807ED4" w:rsidRPr="007A4A11" w:rsidRDefault="00807ED4" w:rsidP="001F3FD2">
      <w:pPr>
        <w:rPr>
          <w:rFonts w:asciiTheme="minorHAnsi" w:hAnsiTheme="minorHAnsi" w:cs="Arial"/>
          <w:u w:val="single"/>
        </w:rPr>
      </w:pPr>
    </w:p>
    <w:p w14:paraId="57FBDDA1" w14:textId="2F221BC7" w:rsidR="00807ED4" w:rsidRPr="007A4A11" w:rsidRDefault="00117370" w:rsidP="001F3FD2">
      <w:pPr>
        <w:rPr>
          <w:rFonts w:asciiTheme="minorHAnsi" w:hAnsiTheme="minorHAnsi" w:cs="Arial"/>
          <w:b/>
          <w:sz w:val="24"/>
        </w:rPr>
      </w:pPr>
      <w:r w:rsidRPr="007A4A11">
        <w:rPr>
          <w:rFonts w:asciiTheme="minorHAnsi" w:hAnsiTheme="minorHAnsi" w:cs="Arial"/>
          <w:b/>
          <w:sz w:val="24"/>
        </w:rPr>
        <w:t>Recommendation 8</w:t>
      </w:r>
    </w:p>
    <w:p w14:paraId="59B7E8BE" w14:textId="77777777" w:rsidR="00CE418C" w:rsidRPr="007A4A11" w:rsidRDefault="00CE418C" w:rsidP="001F3FD2">
      <w:pPr>
        <w:rPr>
          <w:rFonts w:asciiTheme="minorHAnsi" w:hAnsiTheme="minorHAnsi" w:cs="Arial"/>
          <w:b/>
        </w:rPr>
      </w:pPr>
    </w:p>
    <w:p w14:paraId="1EBD963E" w14:textId="7ABF5F43" w:rsidR="008247CD" w:rsidRPr="007A4A11" w:rsidRDefault="00C86BB5" w:rsidP="001F3FD2">
      <w:pPr>
        <w:rPr>
          <w:rFonts w:asciiTheme="minorHAnsi" w:hAnsiTheme="minorHAnsi" w:cs="Arial"/>
          <w:lang w:eastAsia="en-AU"/>
        </w:rPr>
      </w:pPr>
      <w:r w:rsidRPr="007A4A11">
        <w:rPr>
          <w:rFonts w:asciiTheme="minorHAnsi" w:hAnsiTheme="minorHAnsi" w:cs="Arial"/>
        </w:rPr>
        <w:t>The Government should regulate road and rail freight so each mode is as efficient as possible, without regard for potential modal shift.</w:t>
      </w:r>
      <w:r w:rsidR="00D94529" w:rsidRPr="007A4A11">
        <w:rPr>
          <w:rFonts w:asciiTheme="minorHAnsi" w:hAnsiTheme="minorHAnsi" w:cs="Arial"/>
          <w:b/>
        </w:rPr>
        <w:br/>
      </w:r>
    </w:p>
    <w:p w14:paraId="2DFE9EF4" w14:textId="756E2899" w:rsidR="005041E4" w:rsidRPr="007A4A11" w:rsidRDefault="005041E4">
      <w:pPr>
        <w:rPr>
          <w:rFonts w:asciiTheme="minorHAnsi" w:hAnsiTheme="minorHAnsi" w:cs="Arial"/>
          <w:lang w:eastAsia="en-AU"/>
        </w:rPr>
      </w:pPr>
      <w:r w:rsidRPr="007A4A11">
        <w:rPr>
          <w:rFonts w:asciiTheme="minorHAnsi" w:hAnsiTheme="minorHAnsi" w:cs="Arial"/>
          <w:lang w:eastAsia="en-AU"/>
        </w:rPr>
        <w:br w:type="page"/>
      </w:r>
    </w:p>
    <w:p w14:paraId="2C430825" w14:textId="53F014C2" w:rsidR="005041E4" w:rsidRPr="008E3F11" w:rsidRDefault="005041E4" w:rsidP="005041E4">
      <w:pPr>
        <w:rPr>
          <w:rFonts w:asciiTheme="minorHAnsi" w:eastAsiaTheme="minorHAnsi" w:hAnsiTheme="minorHAnsi" w:cs="Arial"/>
          <w:b/>
          <w:i/>
          <w:sz w:val="24"/>
          <w:szCs w:val="20"/>
        </w:rPr>
      </w:pPr>
      <w:bookmarkStart w:id="8" w:name="_Toc349125097"/>
      <w:r w:rsidRPr="008E3F11">
        <w:rPr>
          <w:rFonts w:asciiTheme="minorHAnsi" w:eastAsiaTheme="minorHAnsi" w:hAnsiTheme="minorHAnsi" w:cs="Arial"/>
          <w:b/>
          <w:i/>
          <w:sz w:val="24"/>
          <w:szCs w:val="20"/>
        </w:rPr>
        <w:lastRenderedPageBreak/>
        <w:t>APPENDIX A: The ATA and Barkwood Consulting Pty Ltd Truck Impact Chart</w:t>
      </w:r>
      <w:bookmarkEnd w:id="8"/>
    </w:p>
    <w:p w14:paraId="229C323C" w14:textId="77777777" w:rsidR="005041E4" w:rsidRPr="007A4A11" w:rsidRDefault="005041E4" w:rsidP="005041E4">
      <w:pPr>
        <w:rPr>
          <w:rFonts w:asciiTheme="minorHAnsi" w:eastAsiaTheme="minorHAnsi" w:hAnsiTheme="minorHAnsi" w:cs="Arial"/>
          <w:b/>
          <w:i/>
          <w:sz w:val="20"/>
          <w:szCs w:val="20"/>
        </w:rPr>
      </w:pPr>
    </w:p>
    <w:p w14:paraId="5D3FE383" w14:textId="77777777" w:rsidR="005041E4" w:rsidRPr="007A4A11" w:rsidRDefault="005041E4" w:rsidP="005041E4">
      <w:pPr>
        <w:rPr>
          <w:rFonts w:asciiTheme="minorHAnsi" w:eastAsiaTheme="minorHAnsi" w:hAnsiTheme="minorHAnsi" w:cs="Arial"/>
          <w:sz w:val="20"/>
          <w:szCs w:val="20"/>
        </w:rPr>
      </w:pPr>
      <w:r w:rsidRPr="007A4A11">
        <w:rPr>
          <w:rFonts w:asciiTheme="minorHAnsi" w:eastAsiaTheme="minorHAnsi" w:hAnsiTheme="minorHAnsi" w:cs="Arial"/>
          <w:sz w:val="20"/>
          <w:szCs w:val="20"/>
        </w:rPr>
        <w:t xml:space="preserve">The ATA and Barkwood Consulting Pty Ltd have developed a Truck Impact Chart that clearly demonstrates a number of different heavy vehicle combinations and covers </w:t>
      </w:r>
      <w:proofErr w:type="spellStart"/>
      <w:r w:rsidRPr="007A4A11">
        <w:rPr>
          <w:rFonts w:asciiTheme="minorHAnsi" w:eastAsiaTheme="minorHAnsi" w:hAnsiTheme="minorHAnsi" w:cs="Arial"/>
          <w:sz w:val="20"/>
          <w:szCs w:val="20"/>
        </w:rPr>
        <w:t>GCM</w:t>
      </w:r>
      <w:proofErr w:type="spellEnd"/>
      <w:r w:rsidRPr="007A4A11">
        <w:rPr>
          <w:rFonts w:asciiTheme="minorHAnsi" w:eastAsiaTheme="minorHAnsi" w:hAnsiTheme="minorHAnsi" w:cs="Arial"/>
          <w:sz w:val="20"/>
          <w:szCs w:val="20"/>
        </w:rPr>
        <w:t>, payload, the equivalent standard axles (ESAs) for each vehicle combination, being the measure by which impact of a truck on the road is measured, the amount of trips required to move 1,000 tonnes of freight, the amount of fuel required to move 1,000 tonnes of freight, emissions and driver requirement. The information provided in the tables throughout this document is taken from the Truck Impact Chart.</w:t>
      </w:r>
    </w:p>
    <w:p w14:paraId="77080FDF" w14:textId="77777777" w:rsidR="005041E4" w:rsidRPr="007A4A11" w:rsidRDefault="005041E4" w:rsidP="005041E4">
      <w:pPr>
        <w:rPr>
          <w:rFonts w:asciiTheme="minorHAnsi" w:eastAsiaTheme="minorHAnsi" w:hAnsiTheme="minorHAnsi" w:cs="Arial"/>
          <w:sz w:val="20"/>
          <w:szCs w:val="20"/>
        </w:rPr>
      </w:pPr>
    </w:p>
    <w:p w14:paraId="0B55E4D0" w14:textId="77777777" w:rsidR="005041E4" w:rsidRPr="007A4A11" w:rsidRDefault="005041E4" w:rsidP="005041E4">
      <w:pPr>
        <w:rPr>
          <w:rFonts w:asciiTheme="minorHAnsi" w:eastAsiaTheme="minorHAnsi" w:hAnsiTheme="minorHAnsi" w:cs="Arial"/>
          <w:sz w:val="20"/>
          <w:szCs w:val="20"/>
        </w:rPr>
      </w:pPr>
      <w:r w:rsidRPr="007A4A11">
        <w:rPr>
          <w:rFonts w:asciiTheme="minorHAnsi" w:eastAsiaTheme="minorHAnsi" w:hAnsiTheme="minorHAnsi" w:cs="Arial"/>
          <w:sz w:val="20"/>
          <w:szCs w:val="20"/>
        </w:rPr>
        <w:t xml:space="preserve">The Truck Impact Chart has been reviewed </w:t>
      </w:r>
      <w:proofErr w:type="spellStart"/>
      <w:r w:rsidRPr="007A4A11">
        <w:rPr>
          <w:rFonts w:asciiTheme="minorHAnsi" w:eastAsiaTheme="minorHAnsi" w:hAnsiTheme="minorHAnsi" w:cs="Arial"/>
          <w:sz w:val="20"/>
          <w:szCs w:val="20"/>
        </w:rPr>
        <w:t>RTA’s</w:t>
      </w:r>
      <w:proofErr w:type="spellEnd"/>
      <w:r w:rsidRPr="007A4A11">
        <w:rPr>
          <w:rFonts w:asciiTheme="minorHAnsi" w:eastAsiaTheme="minorHAnsi" w:hAnsiTheme="minorHAnsi" w:cs="Arial"/>
          <w:sz w:val="20"/>
          <w:szCs w:val="20"/>
        </w:rPr>
        <w:t xml:space="preserve"> Senior Pavement Engineer, </w:t>
      </w:r>
      <w:proofErr w:type="spellStart"/>
      <w:r w:rsidRPr="007A4A11">
        <w:rPr>
          <w:rFonts w:asciiTheme="minorHAnsi" w:eastAsiaTheme="minorHAnsi" w:hAnsiTheme="minorHAnsi" w:cs="Arial"/>
          <w:sz w:val="20"/>
          <w:szCs w:val="20"/>
        </w:rPr>
        <w:t>Ravindra</w:t>
      </w:r>
      <w:proofErr w:type="spellEnd"/>
      <w:r w:rsidRPr="007A4A11">
        <w:rPr>
          <w:rFonts w:asciiTheme="minorHAnsi" w:eastAsiaTheme="minorHAnsi" w:hAnsiTheme="minorHAnsi" w:cs="Arial"/>
          <w:sz w:val="20"/>
          <w:szCs w:val="20"/>
        </w:rPr>
        <w:t xml:space="preserve"> </w:t>
      </w:r>
      <w:proofErr w:type="spellStart"/>
      <w:r w:rsidRPr="007A4A11">
        <w:rPr>
          <w:rFonts w:asciiTheme="minorHAnsi" w:eastAsiaTheme="minorHAnsi" w:hAnsiTheme="minorHAnsi" w:cs="Arial"/>
          <w:sz w:val="20"/>
          <w:szCs w:val="20"/>
        </w:rPr>
        <w:t>Prathapa</w:t>
      </w:r>
      <w:proofErr w:type="spellEnd"/>
      <w:r w:rsidRPr="007A4A11">
        <w:rPr>
          <w:rFonts w:asciiTheme="minorHAnsi" w:eastAsiaTheme="minorHAnsi" w:hAnsiTheme="minorHAnsi" w:cs="Arial"/>
          <w:sz w:val="20"/>
          <w:szCs w:val="20"/>
        </w:rPr>
        <w:t xml:space="preserve">. The Truck Impact Chart has also been separately peer reviewed by Bob Pearson, Pearson Transport Resources, and was referred to by </w:t>
      </w:r>
      <w:proofErr w:type="spellStart"/>
      <w:r w:rsidRPr="007A4A11">
        <w:rPr>
          <w:rFonts w:asciiTheme="minorHAnsi" w:eastAsiaTheme="minorHAnsi" w:hAnsiTheme="minorHAnsi" w:cs="Arial"/>
          <w:sz w:val="20"/>
          <w:szCs w:val="20"/>
        </w:rPr>
        <w:t>TheCIE</w:t>
      </w:r>
      <w:proofErr w:type="spellEnd"/>
      <w:r w:rsidRPr="007A4A11">
        <w:rPr>
          <w:rFonts w:asciiTheme="minorHAnsi" w:eastAsiaTheme="minorHAnsi" w:hAnsiTheme="minorHAnsi" w:cs="Arial"/>
          <w:sz w:val="20"/>
          <w:szCs w:val="20"/>
        </w:rPr>
        <w:t xml:space="preserve"> in the Benefit/Cost Analysis for the National Heavy Vehicle Regulator draft Regulatory Impact Statement, released in February 2011.</w:t>
      </w:r>
    </w:p>
    <w:p w14:paraId="7937AA58" w14:textId="77777777" w:rsidR="005041E4" w:rsidRPr="007A4A11" w:rsidRDefault="005041E4" w:rsidP="005041E4">
      <w:pPr>
        <w:rPr>
          <w:rFonts w:asciiTheme="minorHAnsi" w:eastAsiaTheme="minorHAnsi" w:hAnsiTheme="min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1089"/>
        <w:gridCol w:w="3073"/>
        <w:gridCol w:w="2719"/>
      </w:tblGrid>
      <w:tr w:rsidR="005041E4" w:rsidRPr="007A4A11" w14:paraId="707C1C42" w14:textId="77777777" w:rsidTr="00362A16">
        <w:trPr>
          <w:trHeight w:val="495"/>
        </w:trPr>
        <w:tc>
          <w:tcPr>
            <w:tcW w:w="3052" w:type="dxa"/>
            <w:vMerge w:val="restart"/>
          </w:tcPr>
          <w:p w14:paraId="678EE74E"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noProof/>
                <w:sz w:val="20"/>
                <w:szCs w:val="20"/>
                <w:lang w:eastAsia="en-AU"/>
              </w:rPr>
              <w:drawing>
                <wp:inline distT="0" distB="0" distL="0" distR="0" wp14:anchorId="59973E15" wp14:editId="1A359894">
                  <wp:extent cx="1440000" cy="632601"/>
                  <wp:effectExtent l="19050" t="0" r="7800" b="0"/>
                  <wp:docPr id="18" name="Picture 1" descr="E:\Public\Logos\Internal\ATA LOGO 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lic\Logos\Internal\ATA LOGO C.bmp"/>
                          <pic:cNvPicPr>
                            <a:picLocks noChangeAspect="1" noChangeArrowheads="1"/>
                          </pic:cNvPicPr>
                        </pic:nvPicPr>
                        <pic:blipFill>
                          <a:blip r:embed="rId15" cstate="print"/>
                          <a:srcRect/>
                          <a:stretch>
                            <a:fillRect/>
                          </a:stretch>
                        </pic:blipFill>
                        <pic:spPr bwMode="auto">
                          <a:xfrm>
                            <a:off x="0" y="0"/>
                            <a:ext cx="1440000" cy="632601"/>
                          </a:xfrm>
                          <a:prstGeom prst="rect">
                            <a:avLst/>
                          </a:prstGeom>
                          <a:noFill/>
                          <a:ln w="9525">
                            <a:noFill/>
                            <a:miter lim="800000"/>
                            <a:headEnd/>
                            <a:tailEnd/>
                          </a:ln>
                        </pic:spPr>
                      </pic:pic>
                    </a:graphicData>
                  </a:graphic>
                </wp:inline>
              </w:drawing>
            </w:r>
          </w:p>
        </w:tc>
        <w:tc>
          <w:tcPr>
            <w:tcW w:w="1309" w:type="dxa"/>
            <w:vMerge w:val="restart"/>
            <w:vAlign w:val="center"/>
          </w:tcPr>
          <w:p w14:paraId="704C868E"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Authors:</w:t>
            </w:r>
          </w:p>
        </w:tc>
        <w:tc>
          <w:tcPr>
            <w:tcW w:w="5528" w:type="dxa"/>
            <w:vAlign w:val="bottom"/>
          </w:tcPr>
          <w:p w14:paraId="42D2F304"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David Coonan - Australian Trucking Association</w:t>
            </w:r>
          </w:p>
        </w:tc>
        <w:tc>
          <w:tcPr>
            <w:tcW w:w="4536" w:type="dxa"/>
            <w:vMerge w:val="restart"/>
            <w:vAlign w:val="center"/>
          </w:tcPr>
          <w:p w14:paraId="31C1BCFE"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BARKWOOD CONSULTING Pty Ltd</w:t>
            </w:r>
          </w:p>
        </w:tc>
      </w:tr>
      <w:tr w:rsidR="005041E4" w:rsidRPr="007A4A11" w14:paraId="4E497F55" w14:textId="77777777" w:rsidTr="00362A16">
        <w:trPr>
          <w:trHeight w:val="495"/>
        </w:trPr>
        <w:tc>
          <w:tcPr>
            <w:tcW w:w="3052" w:type="dxa"/>
            <w:vMerge/>
          </w:tcPr>
          <w:p w14:paraId="645514D3" w14:textId="77777777" w:rsidR="005041E4" w:rsidRPr="007A4A11" w:rsidRDefault="005041E4" w:rsidP="00362A16">
            <w:pPr>
              <w:rPr>
                <w:rFonts w:asciiTheme="minorHAnsi" w:eastAsiaTheme="minorHAnsi" w:hAnsiTheme="minorHAnsi" w:cs="Arial"/>
                <w:sz w:val="20"/>
                <w:szCs w:val="20"/>
              </w:rPr>
            </w:pPr>
          </w:p>
        </w:tc>
        <w:tc>
          <w:tcPr>
            <w:tcW w:w="1309" w:type="dxa"/>
            <w:vMerge/>
          </w:tcPr>
          <w:p w14:paraId="2F0CBE71" w14:textId="77777777" w:rsidR="005041E4" w:rsidRPr="007A4A11" w:rsidRDefault="005041E4" w:rsidP="00362A16">
            <w:pPr>
              <w:rPr>
                <w:rFonts w:asciiTheme="minorHAnsi" w:eastAsiaTheme="minorHAnsi" w:hAnsiTheme="minorHAnsi" w:cs="Arial"/>
                <w:sz w:val="20"/>
                <w:szCs w:val="20"/>
              </w:rPr>
            </w:pPr>
          </w:p>
        </w:tc>
        <w:tc>
          <w:tcPr>
            <w:tcW w:w="5528" w:type="dxa"/>
          </w:tcPr>
          <w:p w14:paraId="16F2BC16"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Bob Woodward - Barkwood Consulting Pty Ltd.</w:t>
            </w:r>
          </w:p>
        </w:tc>
        <w:tc>
          <w:tcPr>
            <w:tcW w:w="4536" w:type="dxa"/>
            <w:vMerge/>
            <w:vAlign w:val="center"/>
          </w:tcPr>
          <w:p w14:paraId="792652F5" w14:textId="77777777" w:rsidR="005041E4" w:rsidRPr="007A4A11" w:rsidRDefault="005041E4" w:rsidP="00362A16">
            <w:pPr>
              <w:rPr>
                <w:rFonts w:asciiTheme="minorHAnsi" w:eastAsiaTheme="minorHAnsi" w:hAnsiTheme="minorHAnsi" w:cs="Arial"/>
                <w:sz w:val="20"/>
                <w:szCs w:val="20"/>
              </w:rPr>
            </w:pPr>
          </w:p>
        </w:tc>
      </w:tr>
    </w:tbl>
    <w:p w14:paraId="74A6C34E" w14:textId="77777777" w:rsidR="005041E4" w:rsidRPr="007A4A11" w:rsidRDefault="005041E4" w:rsidP="005041E4">
      <w:pPr>
        <w:rPr>
          <w:rFonts w:asciiTheme="minorHAnsi" w:eastAsiaTheme="minorHAnsi" w:hAnsiTheme="minorHAnsi" w:cs="Arial"/>
          <w:sz w:val="20"/>
          <w:szCs w:val="20"/>
        </w:rPr>
      </w:pPr>
      <w:r w:rsidRPr="007A4A11">
        <w:rPr>
          <w:rFonts w:asciiTheme="minorHAnsi" w:eastAsiaTheme="minorHAnsi" w:hAnsiTheme="minorHAnsi" w:cs="Arial"/>
          <w:sz w:val="20"/>
          <w:szCs w:val="20"/>
        </w:rPr>
        <w:t>This document has been prepared to assist operators and road asset managers in assessing the merits of utilising larger vehicle combinations in a transport task.</w:t>
      </w:r>
    </w:p>
    <w:p w14:paraId="3C9F88F6" w14:textId="77777777" w:rsidR="005041E4" w:rsidRPr="007A4A11" w:rsidRDefault="005041E4" w:rsidP="005041E4">
      <w:pPr>
        <w:rPr>
          <w:rFonts w:asciiTheme="minorHAnsi" w:eastAsiaTheme="minorHAnsi" w:hAnsiTheme="minorHAnsi" w:cs="Arial"/>
          <w:sz w:val="20"/>
          <w:szCs w:val="20"/>
        </w:rPr>
      </w:pPr>
      <w:r w:rsidRPr="007A4A11">
        <w:rPr>
          <w:rFonts w:asciiTheme="minorHAnsi" w:eastAsiaTheme="minorHAnsi" w:hAnsiTheme="minorHAnsi" w:cs="Arial"/>
          <w:sz w:val="20"/>
          <w:szCs w:val="20"/>
        </w:rPr>
        <w:t>The assessment process assumes that the vehicle is dedicated to a specific task, operating travel being 50% unladen and 50% laden.  The task relativities are 1000 tonnes with a lead of 1000 kilometres.</w:t>
      </w:r>
    </w:p>
    <w:tbl>
      <w:tblPr>
        <w:tblStyle w:val="TableGrid"/>
        <w:tblW w:w="0" w:type="auto"/>
        <w:tblLook w:val="04A0" w:firstRow="1" w:lastRow="0" w:firstColumn="1" w:lastColumn="0" w:noHBand="0" w:noVBand="1"/>
      </w:tblPr>
      <w:tblGrid>
        <w:gridCol w:w="2270"/>
        <w:gridCol w:w="7358"/>
      </w:tblGrid>
      <w:tr w:rsidR="005041E4" w:rsidRPr="007A4A11" w14:paraId="712378ED" w14:textId="77777777" w:rsidTr="00362A16">
        <w:trPr>
          <w:trHeight w:val="460"/>
        </w:trPr>
        <w:tc>
          <w:tcPr>
            <w:tcW w:w="3085" w:type="dxa"/>
            <w:vAlign w:val="center"/>
          </w:tcPr>
          <w:p w14:paraId="4F56287F"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Equivalent Standard Axles:</w:t>
            </w:r>
          </w:p>
        </w:tc>
        <w:tc>
          <w:tcPr>
            <w:tcW w:w="12268" w:type="dxa"/>
            <w:vAlign w:val="center"/>
          </w:tcPr>
          <w:p w14:paraId="375C75E4"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ESA’s are calculated by the average of the sum of ESA’s for zero load (empty) plus ESA’s for 100% load and multiplied by the number of trips as required for the transport task.</w:t>
            </w:r>
          </w:p>
        </w:tc>
      </w:tr>
      <w:tr w:rsidR="005041E4" w:rsidRPr="007A4A11" w14:paraId="4B902D8B" w14:textId="77777777" w:rsidTr="00362A16">
        <w:trPr>
          <w:trHeight w:val="460"/>
        </w:trPr>
        <w:tc>
          <w:tcPr>
            <w:tcW w:w="3085" w:type="dxa"/>
            <w:vAlign w:val="center"/>
          </w:tcPr>
          <w:p w14:paraId="78E318C6"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Vehicle tare weights:</w:t>
            </w:r>
          </w:p>
        </w:tc>
        <w:tc>
          <w:tcPr>
            <w:tcW w:w="12268" w:type="dxa"/>
            <w:vAlign w:val="center"/>
          </w:tcPr>
          <w:p w14:paraId="3B3A6DB9"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 xml:space="preserve">Are predictions based on the averages for a range of equipment within each combination </w:t>
            </w:r>
            <w:proofErr w:type="gramStart"/>
            <w:r w:rsidRPr="007A4A11">
              <w:rPr>
                <w:rFonts w:asciiTheme="minorHAnsi" w:eastAsiaTheme="minorHAnsi" w:hAnsiTheme="minorHAnsi" w:cs="Arial"/>
                <w:sz w:val="20"/>
                <w:szCs w:val="20"/>
              </w:rPr>
              <w:t>category.</w:t>
            </w:r>
            <w:proofErr w:type="gramEnd"/>
            <w:r w:rsidRPr="007A4A11">
              <w:rPr>
                <w:rFonts w:asciiTheme="minorHAnsi" w:eastAsiaTheme="minorHAnsi" w:hAnsiTheme="minorHAnsi" w:cs="Arial"/>
                <w:sz w:val="20"/>
                <w:szCs w:val="20"/>
              </w:rPr>
              <w:t xml:space="preserve">  These estimates have been reviewed by a number of operators and confirmed as being representative of “real” vehicles of the category.</w:t>
            </w:r>
          </w:p>
        </w:tc>
      </w:tr>
      <w:tr w:rsidR="005041E4" w:rsidRPr="007A4A11" w14:paraId="1241BBF8" w14:textId="77777777" w:rsidTr="00362A16">
        <w:trPr>
          <w:trHeight w:val="460"/>
        </w:trPr>
        <w:tc>
          <w:tcPr>
            <w:tcW w:w="3085" w:type="dxa"/>
            <w:vAlign w:val="center"/>
          </w:tcPr>
          <w:p w14:paraId="75301771"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Fuel consumption estimates:</w:t>
            </w:r>
          </w:p>
        </w:tc>
        <w:tc>
          <w:tcPr>
            <w:tcW w:w="12268" w:type="dxa"/>
            <w:vAlign w:val="center"/>
          </w:tcPr>
          <w:p w14:paraId="5100441C"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 xml:space="preserve">Are predictions based on accumulated averages where operation is nominally 50% unladen and 50% </w:t>
            </w:r>
            <w:proofErr w:type="gramStart"/>
            <w:r w:rsidRPr="007A4A11">
              <w:rPr>
                <w:rFonts w:asciiTheme="minorHAnsi" w:eastAsiaTheme="minorHAnsi" w:hAnsiTheme="minorHAnsi" w:cs="Arial"/>
                <w:sz w:val="20"/>
                <w:szCs w:val="20"/>
              </w:rPr>
              <w:t>laden.</w:t>
            </w:r>
            <w:proofErr w:type="gramEnd"/>
            <w:r w:rsidRPr="007A4A11">
              <w:rPr>
                <w:rFonts w:asciiTheme="minorHAnsi" w:eastAsiaTheme="minorHAnsi" w:hAnsiTheme="minorHAnsi" w:cs="Arial"/>
                <w:sz w:val="20"/>
                <w:szCs w:val="20"/>
              </w:rPr>
              <w:t xml:space="preserve">  Actual consumption will vary with operating conditions.</w:t>
            </w:r>
          </w:p>
        </w:tc>
      </w:tr>
      <w:tr w:rsidR="005041E4" w:rsidRPr="007A4A11" w14:paraId="43D868C9" w14:textId="77777777" w:rsidTr="00362A16">
        <w:trPr>
          <w:trHeight w:val="460"/>
        </w:trPr>
        <w:tc>
          <w:tcPr>
            <w:tcW w:w="3085" w:type="dxa"/>
            <w:vAlign w:val="center"/>
          </w:tcPr>
          <w:p w14:paraId="7ED4CBBE"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Emissions:</w:t>
            </w:r>
          </w:p>
        </w:tc>
        <w:tc>
          <w:tcPr>
            <w:tcW w:w="12268" w:type="dxa"/>
            <w:vAlign w:val="center"/>
          </w:tcPr>
          <w:p w14:paraId="44993022"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Reference is based on total fuel consumption only.</w:t>
            </w:r>
          </w:p>
        </w:tc>
      </w:tr>
      <w:tr w:rsidR="005041E4" w:rsidRPr="007A4A11" w14:paraId="12BC0067" w14:textId="77777777" w:rsidTr="00362A16">
        <w:trPr>
          <w:trHeight w:val="460"/>
        </w:trPr>
        <w:tc>
          <w:tcPr>
            <w:tcW w:w="3085" w:type="dxa"/>
            <w:vAlign w:val="center"/>
          </w:tcPr>
          <w:p w14:paraId="6038B817"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20 metre 7 axle Truck &amp; Dog:</w:t>
            </w:r>
          </w:p>
        </w:tc>
        <w:tc>
          <w:tcPr>
            <w:tcW w:w="12268" w:type="dxa"/>
            <w:vAlign w:val="center"/>
          </w:tcPr>
          <w:p w14:paraId="7AFB38B9"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The maximum allowable mass limits for this combination at either CML or HML (for standard combination) is 55.5 tonnes.</w:t>
            </w:r>
          </w:p>
        </w:tc>
      </w:tr>
      <w:tr w:rsidR="005041E4" w:rsidRPr="007A4A11" w14:paraId="7A537C9F" w14:textId="77777777" w:rsidTr="00362A16">
        <w:trPr>
          <w:trHeight w:val="460"/>
        </w:trPr>
        <w:tc>
          <w:tcPr>
            <w:tcW w:w="3085" w:type="dxa"/>
            <w:vAlign w:val="center"/>
          </w:tcPr>
          <w:p w14:paraId="5168382C"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19 metre 7 Axle B-double:</w:t>
            </w:r>
          </w:p>
        </w:tc>
        <w:tc>
          <w:tcPr>
            <w:tcW w:w="12268" w:type="dxa"/>
            <w:vAlign w:val="center"/>
          </w:tcPr>
          <w:p w14:paraId="263FD823"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The maximum allowable mass limits for this combination at either CML or HML (for standard combination) is 55.5 tonnes.</w:t>
            </w:r>
          </w:p>
        </w:tc>
      </w:tr>
      <w:tr w:rsidR="005041E4" w:rsidRPr="007A4A11" w14:paraId="627CA883" w14:textId="77777777" w:rsidTr="00362A16">
        <w:trPr>
          <w:trHeight w:val="460"/>
        </w:trPr>
        <w:tc>
          <w:tcPr>
            <w:tcW w:w="3085" w:type="dxa"/>
            <w:vAlign w:val="center"/>
          </w:tcPr>
          <w:p w14:paraId="6FE0CBA8"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B-triple:</w:t>
            </w:r>
          </w:p>
        </w:tc>
        <w:tc>
          <w:tcPr>
            <w:tcW w:w="12268" w:type="dxa"/>
            <w:vAlign w:val="center"/>
          </w:tcPr>
          <w:p w14:paraId="1DF1DB74"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Consists of a complying B-double with an additional complying leading trailer.</w:t>
            </w:r>
          </w:p>
        </w:tc>
      </w:tr>
      <w:tr w:rsidR="005041E4" w:rsidRPr="007A4A11" w14:paraId="64F22D3A" w14:textId="77777777" w:rsidTr="00362A16">
        <w:trPr>
          <w:trHeight w:val="460"/>
        </w:trPr>
        <w:tc>
          <w:tcPr>
            <w:tcW w:w="3085" w:type="dxa"/>
            <w:vAlign w:val="center"/>
          </w:tcPr>
          <w:p w14:paraId="63598C58"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Converter Dolly:</w:t>
            </w:r>
          </w:p>
        </w:tc>
        <w:tc>
          <w:tcPr>
            <w:tcW w:w="12268" w:type="dxa"/>
            <w:vAlign w:val="center"/>
          </w:tcPr>
          <w:p w14:paraId="7D69F53D"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 xml:space="preserve">All combinations utilizing a converter dolly are configured with a tandem axle.   The configured vertical imposed loading of a </w:t>
            </w:r>
            <w:proofErr w:type="spellStart"/>
            <w:r w:rsidRPr="007A4A11">
              <w:rPr>
                <w:rFonts w:asciiTheme="minorHAnsi" w:eastAsiaTheme="minorHAnsi" w:hAnsiTheme="minorHAnsi" w:cs="Arial"/>
                <w:sz w:val="20"/>
                <w:szCs w:val="20"/>
              </w:rPr>
              <w:t>6x4</w:t>
            </w:r>
            <w:proofErr w:type="spellEnd"/>
            <w:r w:rsidRPr="007A4A11">
              <w:rPr>
                <w:rFonts w:asciiTheme="minorHAnsi" w:eastAsiaTheme="minorHAnsi" w:hAnsiTheme="minorHAnsi" w:cs="Arial"/>
                <w:sz w:val="20"/>
                <w:szCs w:val="20"/>
              </w:rPr>
              <w:t xml:space="preserve"> prime mover is similar to the allowable imposed vertical loading of a tandem axle converter dolly.</w:t>
            </w:r>
          </w:p>
        </w:tc>
      </w:tr>
      <w:tr w:rsidR="005041E4" w:rsidRPr="007A4A11" w14:paraId="7E0C83B4" w14:textId="77777777" w:rsidTr="00362A16">
        <w:trPr>
          <w:trHeight w:val="460"/>
        </w:trPr>
        <w:tc>
          <w:tcPr>
            <w:tcW w:w="3085" w:type="dxa"/>
            <w:vAlign w:val="center"/>
          </w:tcPr>
          <w:p w14:paraId="39BE04E1"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AB-triple:</w:t>
            </w:r>
          </w:p>
        </w:tc>
        <w:tc>
          <w:tcPr>
            <w:tcW w:w="12268" w:type="dxa"/>
            <w:vAlign w:val="center"/>
          </w:tcPr>
          <w:p w14:paraId="49CDFA6A"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Consists of a complying B-double with an additional complying road train leading trailer and a complying converter dolly.</w:t>
            </w:r>
          </w:p>
        </w:tc>
      </w:tr>
      <w:tr w:rsidR="005041E4" w:rsidRPr="007A4A11" w14:paraId="46A80E8C" w14:textId="77777777" w:rsidTr="00362A16">
        <w:trPr>
          <w:trHeight w:val="460"/>
        </w:trPr>
        <w:tc>
          <w:tcPr>
            <w:tcW w:w="3085" w:type="dxa"/>
            <w:vAlign w:val="center"/>
          </w:tcPr>
          <w:p w14:paraId="4125905E"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 xml:space="preserve">BAB-Quad:  </w:t>
            </w:r>
          </w:p>
        </w:tc>
        <w:tc>
          <w:tcPr>
            <w:tcW w:w="12268" w:type="dxa"/>
            <w:vAlign w:val="center"/>
          </w:tcPr>
          <w:p w14:paraId="59204947" w14:textId="77777777" w:rsidR="005041E4" w:rsidRPr="007A4A11" w:rsidRDefault="005041E4" w:rsidP="00362A16">
            <w:pPr>
              <w:rPr>
                <w:rFonts w:asciiTheme="minorHAnsi" w:eastAsiaTheme="minorHAnsi" w:hAnsiTheme="minorHAnsi" w:cs="Arial"/>
                <w:sz w:val="20"/>
                <w:szCs w:val="20"/>
              </w:rPr>
            </w:pPr>
            <w:r w:rsidRPr="007A4A11">
              <w:rPr>
                <w:rFonts w:asciiTheme="minorHAnsi" w:eastAsiaTheme="minorHAnsi" w:hAnsiTheme="minorHAnsi" w:cs="Arial"/>
                <w:sz w:val="20"/>
                <w:szCs w:val="20"/>
              </w:rPr>
              <w:t>Consists of a complying B-double with an additional complying converter dolly and additional complying set of B-double trailers.</w:t>
            </w:r>
          </w:p>
        </w:tc>
      </w:tr>
    </w:tbl>
    <w:p w14:paraId="3842DDF6" w14:textId="77777777" w:rsidR="005041E4" w:rsidRPr="007A4A11" w:rsidRDefault="005041E4" w:rsidP="005041E4">
      <w:pPr>
        <w:rPr>
          <w:rFonts w:asciiTheme="minorHAnsi" w:eastAsiaTheme="minorHAnsi" w:hAnsiTheme="minorHAnsi" w:cs="Arial"/>
          <w:sz w:val="20"/>
          <w:szCs w:val="20"/>
        </w:rPr>
      </w:pPr>
    </w:p>
    <w:p w14:paraId="7849FCAE" w14:textId="77777777" w:rsidR="005041E4" w:rsidRPr="007A4A11" w:rsidRDefault="005041E4" w:rsidP="005041E4">
      <w:pPr>
        <w:rPr>
          <w:rFonts w:asciiTheme="minorHAnsi" w:eastAsiaTheme="minorHAnsi" w:hAnsiTheme="minorHAnsi" w:cs="Arial"/>
          <w:sz w:val="20"/>
          <w:szCs w:val="20"/>
        </w:rPr>
      </w:pPr>
    </w:p>
    <w:p w14:paraId="496FA901" w14:textId="77777777" w:rsidR="005041E4" w:rsidRPr="007A4A11" w:rsidRDefault="005041E4" w:rsidP="005041E4">
      <w:pPr>
        <w:rPr>
          <w:rFonts w:asciiTheme="minorHAnsi" w:eastAsiaTheme="minorHAnsi" w:hAnsiTheme="minorHAnsi" w:cs="Arial"/>
          <w:sz w:val="20"/>
          <w:szCs w:val="20"/>
        </w:rPr>
      </w:pPr>
    </w:p>
    <w:p w14:paraId="5BB366B3" w14:textId="77777777" w:rsidR="005041E4" w:rsidRPr="007A4A11" w:rsidRDefault="005041E4" w:rsidP="005041E4">
      <w:pPr>
        <w:rPr>
          <w:rFonts w:asciiTheme="minorHAnsi" w:eastAsiaTheme="minorHAnsi" w:hAnsiTheme="minorHAnsi" w:cs="Arial"/>
          <w:sz w:val="20"/>
          <w:szCs w:val="20"/>
        </w:rPr>
      </w:pPr>
    </w:p>
    <w:p w14:paraId="0C77CAFB" w14:textId="77777777" w:rsidR="005041E4" w:rsidRPr="007A4A11" w:rsidRDefault="005041E4" w:rsidP="005041E4">
      <w:pPr>
        <w:rPr>
          <w:rFonts w:asciiTheme="minorHAnsi" w:eastAsiaTheme="minorHAnsi" w:hAnsiTheme="minorHAnsi" w:cs="Arial"/>
          <w:sz w:val="20"/>
          <w:szCs w:val="20"/>
        </w:rPr>
      </w:pPr>
    </w:p>
    <w:p w14:paraId="6AB2AC83" w14:textId="77777777" w:rsidR="005041E4" w:rsidRPr="007A4A11" w:rsidRDefault="005041E4" w:rsidP="005041E4">
      <w:pPr>
        <w:rPr>
          <w:rFonts w:asciiTheme="minorHAnsi" w:eastAsiaTheme="minorHAnsi" w:hAnsiTheme="minorHAnsi" w:cs="Arial"/>
          <w:b/>
          <w:i/>
          <w:sz w:val="20"/>
          <w:szCs w:val="20"/>
        </w:rPr>
      </w:pPr>
    </w:p>
    <w:p w14:paraId="639119AB" w14:textId="77777777" w:rsidR="005041E4" w:rsidRPr="007A4A11" w:rsidRDefault="005041E4" w:rsidP="005041E4">
      <w:pPr>
        <w:rPr>
          <w:rFonts w:asciiTheme="minorHAnsi" w:eastAsiaTheme="minorHAnsi" w:hAnsiTheme="minorHAnsi" w:cs="Arial"/>
          <w:b/>
          <w:i/>
          <w:sz w:val="20"/>
          <w:szCs w:val="20"/>
        </w:rPr>
      </w:pPr>
      <w:r w:rsidRPr="007A4A11">
        <w:rPr>
          <w:rFonts w:asciiTheme="minorHAnsi" w:eastAsiaTheme="minorHAnsi" w:hAnsiTheme="minorHAnsi" w:cs="Arial"/>
          <w:b/>
          <w:i/>
          <w:sz w:val="20"/>
          <w:szCs w:val="20"/>
        </w:rPr>
        <w:br w:type="page"/>
      </w:r>
    </w:p>
    <w:p w14:paraId="5092AD88" w14:textId="77777777" w:rsidR="005041E4" w:rsidRPr="007A4A11" w:rsidRDefault="005041E4" w:rsidP="005041E4">
      <w:pPr>
        <w:rPr>
          <w:rFonts w:asciiTheme="minorHAnsi" w:eastAsiaTheme="minorHAnsi" w:hAnsiTheme="minorHAnsi" w:cs="Arial"/>
          <w:b/>
          <w:i/>
          <w:sz w:val="20"/>
          <w:szCs w:val="20"/>
        </w:rPr>
      </w:pPr>
      <w:r w:rsidRPr="007A4A11">
        <w:rPr>
          <w:rFonts w:asciiTheme="minorHAnsi" w:eastAsiaTheme="minorHAnsi" w:hAnsiTheme="minorHAnsi" w:cs="Arial"/>
          <w:b/>
          <w:i/>
          <w:noProof/>
          <w:sz w:val="20"/>
          <w:szCs w:val="20"/>
          <w:lang w:eastAsia="en-AU"/>
        </w:rPr>
        <w:lastRenderedPageBreak/>
        <w:drawing>
          <wp:anchor distT="0" distB="0" distL="114300" distR="114300" simplePos="0" relativeHeight="251659264" behindDoc="1" locked="0" layoutInCell="1" allowOverlap="1" wp14:anchorId="152B1D4A" wp14:editId="320F6A36">
            <wp:simplePos x="0" y="0"/>
            <wp:positionH relativeFrom="column">
              <wp:posOffset>-1929765</wp:posOffset>
            </wp:positionH>
            <wp:positionV relativeFrom="paragraph">
              <wp:posOffset>1623060</wp:posOffset>
            </wp:positionV>
            <wp:extent cx="9620250" cy="6120130"/>
            <wp:effectExtent l="0" t="1752600" r="0" b="172847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rot="5400000">
                      <a:off x="0" y="0"/>
                      <a:ext cx="9620250" cy="6120130"/>
                    </a:xfrm>
                    <a:prstGeom prst="rect">
                      <a:avLst/>
                    </a:prstGeom>
                    <a:noFill/>
                    <a:ln w="9525">
                      <a:noFill/>
                      <a:miter lim="800000"/>
                      <a:headEnd/>
                      <a:tailEnd/>
                    </a:ln>
                  </pic:spPr>
                </pic:pic>
              </a:graphicData>
            </a:graphic>
          </wp:anchor>
        </w:drawing>
      </w:r>
    </w:p>
    <w:p w14:paraId="26181047" w14:textId="77777777" w:rsidR="005041E4" w:rsidRPr="007A4A11" w:rsidRDefault="005041E4" w:rsidP="005041E4">
      <w:pPr>
        <w:rPr>
          <w:rFonts w:asciiTheme="minorHAnsi" w:eastAsiaTheme="minorHAnsi" w:hAnsiTheme="minorHAnsi" w:cs="Arial"/>
          <w:b/>
          <w:i/>
          <w:sz w:val="20"/>
          <w:szCs w:val="20"/>
        </w:rPr>
      </w:pPr>
    </w:p>
    <w:p w14:paraId="04352D6B" w14:textId="77777777" w:rsidR="005041E4" w:rsidRPr="007A4A11" w:rsidRDefault="005041E4" w:rsidP="005041E4">
      <w:pPr>
        <w:rPr>
          <w:rFonts w:asciiTheme="minorHAnsi" w:eastAsiaTheme="minorHAnsi" w:hAnsiTheme="minorHAnsi" w:cs="Arial"/>
          <w:b/>
          <w:i/>
          <w:sz w:val="20"/>
          <w:szCs w:val="20"/>
        </w:rPr>
      </w:pPr>
    </w:p>
    <w:p w14:paraId="071C0923" w14:textId="77777777" w:rsidR="005041E4" w:rsidRPr="007A4A11" w:rsidRDefault="005041E4" w:rsidP="005041E4">
      <w:pPr>
        <w:rPr>
          <w:rFonts w:asciiTheme="minorHAnsi" w:eastAsiaTheme="minorHAnsi" w:hAnsiTheme="minorHAnsi" w:cs="Arial"/>
          <w:b/>
          <w:i/>
          <w:sz w:val="20"/>
          <w:szCs w:val="20"/>
        </w:rPr>
      </w:pPr>
    </w:p>
    <w:p w14:paraId="1E187B68" w14:textId="77777777" w:rsidR="00CE73BB" w:rsidRPr="007A4A11" w:rsidRDefault="00CE73BB" w:rsidP="001F3FD2">
      <w:pPr>
        <w:autoSpaceDE w:val="0"/>
        <w:autoSpaceDN w:val="0"/>
        <w:adjustRightInd w:val="0"/>
        <w:spacing w:after="200" w:line="276" w:lineRule="auto"/>
        <w:rPr>
          <w:rFonts w:asciiTheme="minorHAnsi" w:hAnsiTheme="minorHAnsi" w:cs="Arial"/>
          <w:lang w:eastAsia="en-AU"/>
        </w:rPr>
      </w:pPr>
    </w:p>
    <w:sectPr w:rsidR="00CE73BB" w:rsidRPr="007A4A11" w:rsidSect="00CE77AE">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A546" w14:textId="77777777" w:rsidR="00362A16" w:rsidRDefault="00362A16" w:rsidP="000F3D9F">
      <w:r>
        <w:separator/>
      </w:r>
    </w:p>
  </w:endnote>
  <w:endnote w:type="continuationSeparator" w:id="0">
    <w:p w14:paraId="7689C82F" w14:textId="77777777" w:rsidR="00362A16" w:rsidRDefault="00362A16"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DACD" w14:textId="77777777" w:rsidR="00362A16" w:rsidRPr="0062031D" w:rsidRDefault="00362A16"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14:anchorId="36DD0BF0" wp14:editId="591FC084">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14:paraId="3274D014" w14:textId="77777777" w:rsidR="00362A16" w:rsidRPr="0062031D" w:rsidRDefault="00362A16"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14:paraId="465F4E6E" w14:textId="77777777" w:rsidR="00362A16" w:rsidRPr="0062031D" w:rsidRDefault="00362A16"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14:paraId="5150B085" w14:textId="77777777" w:rsidR="00362A16" w:rsidRPr="00E8056B" w:rsidRDefault="00362A16" w:rsidP="0062031D">
    <w:pPr>
      <w:ind w:right="-426"/>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050D" w14:textId="77777777" w:rsidR="00362A16" w:rsidRDefault="00362A16">
    <w:pPr>
      <w:pStyle w:val="Footer"/>
      <w:jc w:val="right"/>
    </w:pPr>
    <w:r>
      <w:fldChar w:fldCharType="begin"/>
    </w:r>
    <w:r>
      <w:instrText xml:space="preserve"> PAGE   \* MERGEFORMAT </w:instrText>
    </w:r>
    <w:r>
      <w:fldChar w:fldCharType="separate"/>
    </w:r>
    <w:r>
      <w:rPr>
        <w:noProof/>
      </w:rPr>
      <w:t>7</w:t>
    </w:r>
    <w:r>
      <w:rPr>
        <w:noProof/>
      </w:rPr>
      <w:fldChar w:fldCharType="end"/>
    </w:r>
  </w:p>
  <w:p w14:paraId="0FEC68BE" w14:textId="77777777" w:rsidR="00362A16" w:rsidRDefault="00362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536E" w14:textId="77777777" w:rsidR="00362A16" w:rsidRDefault="00362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4825"/>
      <w:gridCol w:w="4813"/>
    </w:tblGrid>
    <w:tr w:rsidR="00362A16" w:rsidRPr="00A91411" w14:paraId="4279187D" w14:textId="77777777" w:rsidTr="00D735FF">
      <w:trPr>
        <w:trHeight w:val="278"/>
      </w:trPr>
      <w:tc>
        <w:tcPr>
          <w:tcW w:w="4927" w:type="dxa"/>
          <w:vAlign w:val="center"/>
        </w:tcPr>
        <w:p w14:paraId="3316A8D3" w14:textId="49447CB3" w:rsidR="00362A16" w:rsidRPr="00A91411" w:rsidRDefault="00362A16" w:rsidP="00807ED4">
          <w:pPr>
            <w:pStyle w:val="Footer"/>
            <w:rPr>
              <w:rFonts w:ascii="Arial" w:hAnsi="Arial" w:cs="Arial"/>
              <w:sz w:val="14"/>
              <w:szCs w:val="14"/>
            </w:rPr>
          </w:pPr>
          <w:r>
            <w:rPr>
              <w:rFonts w:ascii="Arial" w:hAnsi="Arial" w:cs="Arial"/>
              <w:sz w:val="14"/>
              <w:szCs w:val="14"/>
            </w:rPr>
            <w:t xml:space="preserve">ATA Submission: </w:t>
          </w:r>
          <w:r w:rsidRPr="00712977">
            <w:rPr>
              <w:rFonts w:ascii="Arial" w:hAnsi="Arial" w:cs="Arial"/>
              <w:sz w:val="14"/>
              <w:szCs w:val="14"/>
            </w:rPr>
            <w:t>Department of Industry</w:t>
          </w:r>
          <w:r>
            <w:rPr>
              <w:rFonts w:ascii="Arial" w:hAnsi="Arial" w:cs="Arial"/>
              <w:sz w:val="14"/>
              <w:szCs w:val="14"/>
            </w:rPr>
            <w:t xml:space="preserve">: </w:t>
          </w:r>
          <w:r w:rsidR="007A447F" w:rsidRPr="007A447F">
            <w:rPr>
              <w:rFonts w:ascii="Arial" w:hAnsi="Arial" w:cs="Arial"/>
              <w:sz w:val="14"/>
              <w:szCs w:val="14"/>
            </w:rPr>
            <w:t>Energy Green Paper</w:t>
          </w:r>
        </w:p>
      </w:tc>
      <w:tc>
        <w:tcPr>
          <w:tcW w:w="4927" w:type="dxa"/>
          <w:vAlign w:val="center"/>
        </w:tcPr>
        <w:p w14:paraId="07577D93" w14:textId="77777777" w:rsidR="00362A16" w:rsidRPr="00A91411" w:rsidRDefault="00362A16"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FB62BA">
            <w:rPr>
              <w:rFonts w:ascii="Arial" w:hAnsi="Arial" w:cs="Arial"/>
              <w:noProof/>
              <w:sz w:val="14"/>
              <w:szCs w:val="14"/>
            </w:rPr>
            <w:t>15</w:t>
          </w:r>
          <w:r w:rsidRPr="00A91411">
            <w:rPr>
              <w:rFonts w:ascii="Arial" w:hAnsi="Arial" w:cs="Arial"/>
              <w:sz w:val="14"/>
              <w:szCs w:val="14"/>
            </w:rPr>
            <w:fldChar w:fldCharType="end"/>
          </w:r>
        </w:p>
      </w:tc>
    </w:tr>
  </w:tbl>
  <w:p w14:paraId="3AAD5411" w14:textId="77777777" w:rsidR="00362A16" w:rsidRPr="00A91411" w:rsidRDefault="00362A16">
    <w:p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AE99" w14:textId="77777777" w:rsidR="00362A16" w:rsidRDefault="0036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15CAA" w14:textId="77777777" w:rsidR="00362A16" w:rsidRDefault="00362A16" w:rsidP="000F3D9F">
      <w:r>
        <w:separator/>
      </w:r>
    </w:p>
  </w:footnote>
  <w:footnote w:type="continuationSeparator" w:id="0">
    <w:p w14:paraId="1F790B7F" w14:textId="77777777" w:rsidR="00362A16" w:rsidRDefault="00362A16" w:rsidP="000F3D9F">
      <w:r>
        <w:continuationSeparator/>
      </w:r>
    </w:p>
  </w:footnote>
  <w:footnote w:id="1">
    <w:p w14:paraId="44BC9FF3" w14:textId="41AF2808" w:rsidR="00362A16" w:rsidRPr="007A4A11" w:rsidRDefault="00362A16">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Department of Industry, </w:t>
      </w:r>
      <w:r w:rsidRPr="007A4A11">
        <w:rPr>
          <w:rFonts w:asciiTheme="minorHAnsi" w:hAnsiTheme="minorHAnsi"/>
          <w:i/>
          <w:sz w:val="16"/>
          <w:szCs w:val="16"/>
        </w:rPr>
        <w:t>Energy Green Paper,</w:t>
      </w:r>
      <w:r w:rsidRPr="007A4A11">
        <w:rPr>
          <w:rFonts w:asciiTheme="minorHAnsi" w:hAnsiTheme="minorHAnsi"/>
          <w:sz w:val="16"/>
          <w:szCs w:val="16"/>
        </w:rPr>
        <w:t xml:space="preserve"> Accessible at </w:t>
      </w:r>
      <w:hyperlink r:id="rId1" w:history="1">
        <w:r w:rsidRPr="007A4A11">
          <w:rPr>
            <w:rStyle w:val="Hyperlink"/>
            <w:rFonts w:asciiTheme="minorHAnsi" w:hAnsiTheme="minorHAnsi"/>
            <w:sz w:val="16"/>
            <w:szCs w:val="16"/>
          </w:rPr>
          <w:t>www.ewp.industry.gov.au</w:t>
        </w:r>
      </w:hyperlink>
      <w:r w:rsidRPr="007A4A11">
        <w:rPr>
          <w:rFonts w:asciiTheme="minorHAnsi" w:hAnsiTheme="minorHAnsi"/>
          <w:sz w:val="16"/>
          <w:szCs w:val="16"/>
        </w:rPr>
        <w:t>, September 2014, P 48</w:t>
      </w:r>
    </w:p>
  </w:footnote>
  <w:footnote w:id="2">
    <w:p w14:paraId="5A3E421A" w14:textId="2BF91884" w:rsidR="00362A16" w:rsidRPr="007A4A11" w:rsidRDefault="00362A16" w:rsidP="005972F7">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Australian Institutive of Petroleum, </w:t>
      </w:r>
      <w:r w:rsidRPr="007A4A11">
        <w:rPr>
          <w:rFonts w:asciiTheme="minorHAnsi" w:hAnsiTheme="minorHAnsi"/>
          <w:i/>
          <w:sz w:val="16"/>
          <w:szCs w:val="16"/>
        </w:rPr>
        <w:t xml:space="preserve">Maintaining Supply Security and Reliability for Liquid Fuels in Australia, </w:t>
      </w:r>
      <w:r w:rsidRPr="007A4A11">
        <w:rPr>
          <w:rFonts w:asciiTheme="minorHAnsi" w:hAnsiTheme="minorHAnsi"/>
          <w:sz w:val="16"/>
          <w:szCs w:val="16"/>
        </w:rPr>
        <w:t xml:space="preserve">Accessible at </w:t>
      </w:r>
      <w:hyperlink r:id="rId2"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September 2013, P 3 </w:t>
      </w:r>
    </w:p>
  </w:footnote>
  <w:footnote w:id="3">
    <w:p w14:paraId="45FA76CA" w14:textId="204A9C4D" w:rsidR="00362A16" w:rsidRPr="007A4A11" w:rsidRDefault="00362A16">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Exporting countries such as Canada and Norway are not required to meet the 90 day oil stock holding. </w:t>
      </w:r>
    </w:p>
  </w:footnote>
  <w:footnote w:id="4">
    <w:p w14:paraId="2E8F53AC" w14:textId="3710ADB3" w:rsidR="00362A16" w:rsidRPr="007A4A11" w:rsidRDefault="00362A16">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International Energy Agency</w:t>
      </w:r>
      <w:r w:rsidR="007A4A11">
        <w:rPr>
          <w:rFonts w:asciiTheme="minorHAnsi" w:hAnsiTheme="minorHAnsi"/>
          <w:sz w:val="16"/>
          <w:szCs w:val="16"/>
        </w:rPr>
        <w:t>,</w:t>
      </w:r>
      <w:r w:rsidRPr="007A4A11">
        <w:rPr>
          <w:rFonts w:asciiTheme="minorHAnsi" w:hAnsiTheme="minorHAnsi"/>
          <w:sz w:val="16"/>
          <w:szCs w:val="16"/>
        </w:rPr>
        <w:t xml:space="preserve">  </w:t>
      </w:r>
      <w:r w:rsidRPr="007A4A11">
        <w:rPr>
          <w:rFonts w:asciiTheme="minorHAnsi" w:hAnsiTheme="minorHAnsi"/>
          <w:i/>
          <w:sz w:val="16"/>
          <w:szCs w:val="16"/>
        </w:rPr>
        <w:t xml:space="preserve">Closing Oil stock Levels in Days of Net Imports as of June 2014, </w:t>
      </w:r>
      <w:r w:rsidRPr="007A4A11">
        <w:rPr>
          <w:rFonts w:asciiTheme="minorHAnsi" w:hAnsiTheme="minorHAnsi"/>
          <w:sz w:val="16"/>
          <w:szCs w:val="16"/>
        </w:rPr>
        <w:t xml:space="preserve">Accessible at </w:t>
      </w:r>
      <w:hyperlink r:id="rId3" w:history="1">
        <w:r w:rsidRPr="007A4A11">
          <w:rPr>
            <w:rStyle w:val="Hyperlink"/>
            <w:rFonts w:asciiTheme="minorHAnsi" w:hAnsiTheme="minorHAnsi"/>
            <w:sz w:val="16"/>
            <w:szCs w:val="16"/>
          </w:rPr>
          <w:t>www.iea.org/netimports</w:t>
        </w:r>
      </w:hyperlink>
      <w:r w:rsidRPr="007A4A11">
        <w:rPr>
          <w:rFonts w:asciiTheme="minorHAnsi" w:hAnsiTheme="minorHAnsi"/>
          <w:sz w:val="16"/>
          <w:szCs w:val="16"/>
        </w:rPr>
        <w:t>, 2014</w:t>
      </w:r>
    </w:p>
  </w:footnote>
  <w:footnote w:id="5">
    <w:p w14:paraId="2661902D" w14:textId="524A2720" w:rsidR="00362A16" w:rsidRPr="007A4A11" w:rsidRDefault="00362A16" w:rsidP="009248A8">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w:t>
      </w:r>
      <w:r w:rsidRPr="007A4A11">
        <w:rPr>
          <w:rFonts w:asciiTheme="minorHAnsi" w:hAnsiTheme="minorHAnsi" w:cs="Arial"/>
          <w:sz w:val="16"/>
          <w:szCs w:val="16"/>
        </w:rPr>
        <w:t xml:space="preserve">Department of Resources Energy and Tourism, </w:t>
      </w:r>
      <w:r w:rsidRPr="007A4A11">
        <w:rPr>
          <w:rFonts w:asciiTheme="minorHAnsi" w:hAnsiTheme="minorHAnsi" w:cs="Arial"/>
          <w:i/>
          <w:sz w:val="16"/>
          <w:szCs w:val="16"/>
        </w:rPr>
        <w:t xml:space="preserve">Liquid Fuels Vulnerability Assessment: A review of liquid fuels vulnerability, </w:t>
      </w:r>
      <w:r w:rsidRPr="007A4A11">
        <w:rPr>
          <w:rFonts w:asciiTheme="minorHAnsi" w:hAnsiTheme="minorHAnsi" w:cs="Arial"/>
          <w:sz w:val="16"/>
          <w:szCs w:val="16"/>
        </w:rPr>
        <w:t xml:space="preserve">Accessible at </w:t>
      </w:r>
      <w:hyperlink r:id="rId4" w:history="1">
        <w:r w:rsidRPr="007A4A11">
          <w:rPr>
            <w:rStyle w:val="Hyperlink"/>
            <w:rFonts w:asciiTheme="minorHAnsi" w:hAnsiTheme="minorHAnsi" w:cs="Arial"/>
            <w:sz w:val="16"/>
            <w:szCs w:val="16"/>
          </w:rPr>
          <w:t>www.aip.com.au</w:t>
        </w:r>
      </w:hyperlink>
      <w:r w:rsidRPr="007A4A11">
        <w:rPr>
          <w:rFonts w:asciiTheme="minorHAnsi" w:hAnsiTheme="minorHAnsi" w:cs="Arial"/>
          <w:sz w:val="16"/>
          <w:szCs w:val="16"/>
        </w:rPr>
        <w:t xml:space="preserve">, </w:t>
      </w:r>
      <w:r w:rsidRPr="007A4A11">
        <w:rPr>
          <w:rFonts w:asciiTheme="minorHAnsi" w:hAnsiTheme="minorHAnsi"/>
          <w:i/>
          <w:sz w:val="16"/>
          <w:szCs w:val="16"/>
        </w:rPr>
        <w:t xml:space="preserve"> </w:t>
      </w:r>
      <w:r w:rsidRPr="007A4A11">
        <w:rPr>
          <w:rFonts w:asciiTheme="minorHAnsi" w:hAnsiTheme="minorHAnsi" w:cs="Arial"/>
          <w:sz w:val="16"/>
          <w:szCs w:val="16"/>
        </w:rPr>
        <w:t xml:space="preserve">October 2011, </w:t>
      </w:r>
      <w:r w:rsidRPr="007A4A11">
        <w:rPr>
          <w:rFonts w:asciiTheme="minorHAnsi" w:hAnsiTheme="minorHAnsi"/>
          <w:sz w:val="16"/>
          <w:szCs w:val="16"/>
        </w:rPr>
        <w:t xml:space="preserve">P </w:t>
      </w:r>
      <w:r w:rsidRPr="007A4A11">
        <w:rPr>
          <w:rFonts w:asciiTheme="minorHAnsi" w:hAnsiTheme="minorHAnsi" w:cs="Arial"/>
          <w:sz w:val="16"/>
          <w:szCs w:val="16"/>
        </w:rPr>
        <w:t>Xiii</w:t>
      </w:r>
    </w:p>
  </w:footnote>
  <w:footnote w:id="6">
    <w:p w14:paraId="04A200D1" w14:textId="552494DF" w:rsidR="00362A16" w:rsidRPr="007A4A11" w:rsidRDefault="00362A16">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International Energy Agency, </w:t>
      </w:r>
      <w:r w:rsidRPr="007A4A11">
        <w:rPr>
          <w:rFonts w:asciiTheme="minorHAnsi" w:hAnsiTheme="minorHAnsi"/>
          <w:i/>
          <w:sz w:val="16"/>
          <w:szCs w:val="16"/>
        </w:rPr>
        <w:t xml:space="preserve">How does the IEA respond to major disruptions in the supply of oil? </w:t>
      </w:r>
      <w:r w:rsidRPr="007A4A11">
        <w:rPr>
          <w:rFonts w:asciiTheme="minorHAnsi" w:hAnsiTheme="minorHAnsi"/>
          <w:sz w:val="16"/>
          <w:szCs w:val="16"/>
        </w:rPr>
        <w:t xml:space="preserve">Accessible at </w:t>
      </w:r>
      <w:hyperlink r:id="rId5" w:history="1">
        <w:r w:rsidRPr="007A4A11">
          <w:rPr>
            <w:rStyle w:val="Hyperlink"/>
            <w:rFonts w:asciiTheme="minorHAnsi" w:hAnsiTheme="minorHAnsi"/>
            <w:sz w:val="16"/>
            <w:szCs w:val="16"/>
          </w:rPr>
          <w:t>www.iea.org/topics/energysecurity/respondingtomajorsupplydisruptions</w:t>
        </w:r>
      </w:hyperlink>
      <w:r w:rsidRPr="007A4A11">
        <w:rPr>
          <w:rFonts w:asciiTheme="minorHAnsi" w:hAnsiTheme="minorHAnsi"/>
          <w:sz w:val="16"/>
          <w:szCs w:val="16"/>
        </w:rPr>
        <w:t xml:space="preserve"> </w:t>
      </w:r>
    </w:p>
  </w:footnote>
  <w:footnote w:id="7">
    <w:p w14:paraId="74557235" w14:textId="05864528" w:rsidR="00362A16" w:rsidRPr="007A4A11" w:rsidRDefault="00362A16" w:rsidP="006E607F">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Australian Institutive of Petroleum, </w:t>
      </w:r>
      <w:r w:rsidRPr="007A4A11">
        <w:rPr>
          <w:rFonts w:asciiTheme="minorHAnsi" w:hAnsiTheme="minorHAnsi"/>
          <w:i/>
          <w:sz w:val="16"/>
          <w:szCs w:val="16"/>
        </w:rPr>
        <w:t xml:space="preserve">Maintaining Supply Security and Reliability for Liquid Fuels in Australia, </w:t>
      </w:r>
      <w:r w:rsidRPr="007A4A11">
        <w:rPr>
          <w:rFonts w:asciiTheme="minorHAnsi" w:hAnsiTheme="minorHAnsi"/>
          <w:sz w:val="16"/>
          <w:szCs w:val="16"/>
        </w:rPr>
        <w:t xml:space="preserve">Accessible at </w:t>
      </w:r>
      <w:hyperlink r:id="rId6"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September 2013, P 22 </w:t>
      </w:r>
    </w:p>
  </w:footnote>
  <w:footnote w:id="8">
    <w:p w14:paraId="372660F0" w14:textId="0518389B" w:rsidR="00362A16" w:rsidRPr="007A4A11" w:rsidRDefault="00362A16">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Australian Institutive of Petroleum, </w:t>
      </w:r>
      <w:r w:rsidRPr="007A4A11">
        <w:rPr>
          <w:rFonts w:asciiTheme="minorHAnsi" w:hAnsiTheme="minorHAnsi"/>
          <w:i/>
          <w:sz w:val="16"/>
          <w:szCs w:val="16"/>
        </w:rPr>
        <w:t xml:space="preserve">Maintaining Supply Security and Reliability for Liquid Fuels in Australia, </w:t>
      </w:r>
      <w:r w:rsidRPr="007A4A11">
        <w:rPr>
          <w:rFonts w:asciiTheme="minorHAnsi" w:hAnsiTheme="minorHAnsi"/>
          <w:sz w:val="16"/>
          <w:szCs w:val="16"/>
        </w:rPr>
        <w:t xml:space="preserve">Accessible at </w:t>
      </w:r>
      <w:hyperlink r:id="rId7"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September 2013, P 19 </w:t>
      </w:r>
    </w:p>
  </w:footnote>
  <w:footnote w:id="9">
    <w:p w14:paraId="7EFF6272" w14:textId="691B5FB1" w:rsidR="00362A16" w:rsidRPr="007A4A11" w:rsidRDefault="00362A16">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Australian Institutive of Petroleum, </w:t>
      </w:r>
      <w:r w:rsidRPr="007A4A11">
        <w:rPr>
          <w:rFonts w:asciiTheme="minorHAnsi" w:hAnsiTheme="minorHAnsi"/>
          <w:i/>
          <w:sz w:val="16"/>
          <w:szCs w:val="16"/>
        </w:rPr>
        <w:t xml:space="preserve">Maintaining Supply Security and Reliability for Liquid Fuels in Australia, </w:t>
      </w:r>
      <w:r w:rsidRPr="007A4A11">
        <w:rPr>
          <w:rFonts w:asciiTheme="minorHAnsi" w:hAnsiTheme="minorHAnsi"/>
          <w:sz w:val="16"/>
          <w:szCs w:val="16"/>
        </w:rPr>
        <w:t xml:space="preserve">Accessible at </w:t>
      </w:r>
      <w:hyperlink r:id="rId8"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September 2013, P 8 </w:t>
      </w:r>
    </w:p>
  </w:footnote>
  <w:footnote w:id="10">
    <w:p w14:paraId="27A665A8" w14:textId="6743028D" w:rsidR="00362A16" w:rsidRPr="007A4A11" w:rsidRDefault="00362A16">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Australian Institutive of Petroleum, </w:t>
      </w:r>
      <w:r w:rsidRPr="007A4A11">
        <w:rPr>
          <w:rFonts w:asciiTheme="minorHAnsi" w:hAnsiTheme="minorHAnsi"/>
          <w:i/>
          <w:sz w:val="16"/>
          <w:szCs w:val="16"/>
        </w:rPr>
        <w:t xml:space="preserve">Maintaining Supply Security and Reliability for Liquid Fuels in Australia, </w:t>
      </w:r>
      <w:r w:rsidRPr="007A4A11">
        <w:rPr>
          <w:rFonts w:asciiTheme="minorHAnsi" w:hAnsiTheme="minorHAnsi"/>
          <w:sz w:val="16"/>
          <w:szCs w:val="16"/>
        </w:rPr>
        <w:t xml:space="preserve">Accessible at </w:t>
      </w:r>
      <w:hyperlink r:id="rId9"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September 2013, P 9 </w:t>
      </w:r>
    </w:p>
  </w:footnote>
  <w:footnote w:id="11">
    <w:p w14:paraId="748DD38C" w14:textId="2982BBC1" w:rsidR="00362A16" w:rsidRPr="007A4A11" w:rsidRDefault="00362A16">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Australian Institutive of Petroleum, </w:t>
      </w:r>
      <w:r w:rsidRPr="007A4A11">
        <w:rPr>
          <w:rFonts w:asciiTheme="minorHAnsi" w:hAnsiTheme="minorHAnsi"/>
          <w:i/>
          <w:sz w:val="16"/>
          <w:szCs w:val="16"/>
        </w:rPr>
        <w:t xml:space="preserve">Maintaining Supply Security and Reliability for Liquid Fuels in Australia, </w:t>
      </w:r>
      <w:r w:rsidRPr="007A4A11">
        <w:rPr>
          <w:rFonts w:asciiTheme="minorHAnsi" w:hAnsiTheme="minorHAnsi"/>
          <w:sz w:val="16"/>
          <w:szCs w:val="16"/>
        </w:rPr>
        <w:t xml:space="preserve">Accessible at </w:t>
      </w:r>
      <w:hyperlink r:id="rId10"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September 2013, P 6 </w:t>
      </w:r>
    </w:p>
  </w:footnote>
  <w:footnote w:id="12">
    <w:p w14:paraId="5A055327" w14:textId="77777777" w:rsidR="001B769F" w:rsidRDefault="001B769F" w:rsidP="001B769F">
      <w:pPr>
        <w:pStyle w:val="FootnoteText"/>
      </w:pPr>
      <w:r w:rsidRPr="001B769F">
        <w:rPr>
          <w:rStyle w:val="FootnoteReference"/>
          <w:rFonts w:asciiTheme="minorHAnsi" w:hAnsiTheme="minorHAnsi"/>
          <w:sz w:val="16"/>
          <w:szCs w:val="16"/>
        </w:rPr>
        <w:footnoteRef/>
      </w:r>
      <w:r w:rsidRPr="001B769F">
        <w:rPr>
          <w:rStyle w:val="FootnoteReference"/>
          <w:rFonts w:asciiTheme="minorHAnsi" w:hAnsiTheme="minorHAnsi"/>
          <w:sz w:val="16"/>
          <w:szCs w:val="16"/>
        </w:rPr>
        <w:t xml:space="preserve"> </w:t>
      </w:r>
      <w:r w:rsidRPr="007A4A11">
        <w:rPr>
          <w:rFonts w:asciiTheme="minorHAnsi" w:hAnsiTheme="minorHAnsi"/>
          <w:sz w:val="16"/>
          <w:szCs w:val="16"/>
        </w:rPr>
        <w:t>International Energy Agency</w:t>
      </w:r>
      <w:r>
        <w:rPr>
          <w:rFonts w:asciiTheme="minorHAnsi" w:hAnsiTheme="minorHAnsi"/>
          <w:sz w:val="16"/>
          <w:szCs w:val="16"/>
        </w:rPr>
        <w:t>,</w:t>
      </w:r>
      <w:r w:rsidRPr="007A4A11">
        <w:rPr>
          <w:rFonts w:asciiTheme="minorHAnsi" w:hAnsiTheme="minorHAnsi"/>
          <w:sz w:val="16"/>
          <w:szCs w:val="16"/>
        </w:rPr>
        <w:t xml:space="preserve"> Closing</w:t>
      </w:r>
      <w:r w:rsidRPr="007A4A11">
        <w:rPr>
          <w:rFonts w:asciiTheme="minorHAnsi" w:hAnsiTheme="minorHAnsi"/>
          <w:i/>
          <w:sz w:val="16"/>
          <w:szCs w:val="16"/>
        </w:rPr>
        <w:t xml:space="preserve"> Oil stock Levels in Days of Net Imports as of June 2014, </w:t>
      </w:r>
      <w:r w:rsidRPr="007A4A11">
        <w:rPr>
          <w:rFonts w:asciiTheme="minorHAnsi" w:hAnsiTheme="minorHAnsi"/>
          <w:sz w:val="16"/>
          <w:szCs w:val="16"/>
        </w:rPr>
        <w:t xml:space="preserve">Accessible at </w:t>
      </w:r>
      <w:hyperlink r:id="rId11" w:history="1">
        <w:r w:rsidRPr="007A4A11">
          <w:rPr>
            <w:rStyle w:val="Hyperlink"/>
            <w:rFonts w:asciiTheme="minorHAnsi" w:hAnsiTheme="minorHAnsi"/>
            <w:sz w:val="16"/>
            <w:szCs w:val="16"/>
          </w:rPr>
          <w:t>www.iea.org/netimports</w:t>
        </w:r>
      </w:hyperlink>
      <w:r w:rsidRPr="007A4A11">
        <w:rPr>
          <w:rFonts w:asciiTheme="minorHAnsi" w:hAnsiTheme="minorHAnsi"/>
          <w:sz w:val="16"/>
          <w:szCs w:val="16"/>
        </w:rPr>
        <w:t>, 2014</w:t>
      </w:r>
    </w:p>
  </w:footnote>
  <w:footnote w:id="13">
    <w:p w14:paraId="756BCE1E" w14:textId="3C46AD17" w:rsidR="00362A16" w:rsidRPr="007A4A11" w:rsidRDefault="00362A16" w:rsidP="00177239">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Australian Institutive of Petroleum, </w:t>
      </w:r>
      <w:r w:rsidRPr="007A4A11">
        <w:rPr>
          <w:rFonts w:asciiTheme="minorHAnsi" w:hAnsiTheme="minorHAnsi"/>
          <w:i/>
          <w:sz w:val="16"/>
          <w:szCs w:val="16"/>
        </w:rPr>
        <w:t xml:space="preserve">Maintaining Supply Security and Reliability for Liquid Fuels in Australia, </w:t>
      </w:r>
      <w:r w:rsidRPr="007A4A11">
        <w:rPr>
          <w:rFonts w:asciiTheme="minorHAnsi" w:hAnsiTheme="minorHAnsi"/>
          <w:sz w:val="16"/>
          <w:szCs w:val="16"/>
        </w:rPr>
        <w:t xml:space="preserve">Accessible at </w:t>
      </w:r>
      <w:hyperlink r:id="rId12"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September 2013, P 11 </w:t>
      </w:r>
    </w:p>
  </w:footnote>
  <w:footnote w:id="14">
    <w:p w14:paraId="596C95F0" w14:textId="4596D6AA" w:rsidR="00362A16" w:rsidRPr="007A4A11" w:rsidRDefault="00362A16" w:rsidP="00177239">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BP Australia </w:t>
      </w:r>
      <w:r w:rsidRPr="007A4A11">
        <w:rPr>
          <w:rFonts w:asciiTheme="minorHAnsi" w:hAnsiTheme="minorHAnsi"/>
          <w:i/>
          <w:sz w:val="16"/>
          <w:szCs w:val="16"/>
        </w:rPr>
        <w:t xml:space="preserve">Submission to parliamentary inquiry into Australia’s oil refinery industry </w:t>
      </w:r>
      <w:r w:rsidRPr="007A4A11">
        <w:rPr>
          <w:rFonts w:asciiTheme="minorHAnsi" w:hAnsiTheme="minorHAnsi"/>
          <w:sz w:val="16"/>
          <w:szCs w:val="16"/>
        </w:rPr>
        <w:t xml:space="preserve">Accessible at </w:t>
      </w:r>
      <w:hyperlink r:id="rId13" w:history="1">
        <w:r w:rsidRPr="007A4A11">
          <w:rPr>
            <w:rStyle w:val="Hyperlink"/>
            <w:rFonts w:asciiTheme="minorHAnsi" w:hAnsiTheme="minorHAnsi"/>
            <w:sz w:val="16"/>
            <w:szCs w:val="16"/>
          </w:rPr>
          <w:t>www.aph.gov.au/parliamentary_business/committees/house_of_representatives_committees?url=economics/oilrefineries/subs.htm</w:t>
        </w:r>
      </w:hyperlink>
      <w:r w:rsidRPr="007A4A11">
        <w:rPr>
          <w:rFonts w:asciiTheme="minorHAnsi" w:hAnsiTheme="minorHAnsi"/>
          <w:sz w:val="16"/>
          <w:szCs w:val="16"/>
        </w:rPr>
        <w:t xml:space="preserve">,  November 2012, P 6  </w:t>
      </w:r>
    </w:p>
  </w:footnote>
  <w:footnote w:id="15">
    <w:p w14:paraId="5D08BB16" w14:textId="20C6592B" w:rsidR="00362A16" w:rsidRPr="007A4A11" w:rsidRDefault="00362A16" w:rsidP="009248A8">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Department of Resources Energy and Tourism, </w:t>
      </w:r>
      <w:r w:rsidRPr="007A4A11">
        <w:rPr>
          <w:rFonts w:asciiTheme="minorHAnsi" w:hAnsiTheme="minorHAnsi"/>
          <w:i/>
          <w:sz w:val="16"/>
          <w:szCs w:val="16"/>
        </w:rPr>
        <w:t xml:space="preserve">Liquid Fuels Vulnerability Assessment: A review of liquid fuels vulnerability, </w:t>
      </w:r>
      <w:r w:rsidRPr="007A4A11">
        <w:rPr>
          <w:rFonts w:asciiTheme="minorHAnsi" w:hAnsiTheme="minorHAnsi"/>
          <w:sz w:val="16"/>
          <w:szCs w:val="16"/>
        </w:rPr>
        <w:t xml:space="preserve">Accessible at </w:t>
      </w:r>
      <w:hyperlink r:id="rId14"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w:t>
      </w:r>
      <w:r w:rsidRPr="007A4A11">
        <w:rPr>
          <w:rFonts w:asciiTheme="minorHAnsi" w:hAnsiTheme="minorHAnsi"/>
          <w:i/>
          <w:sz w:val="16"/>
          <w:szCs w:val="16"/>
        </w:rPr>
        <w:t xml:space="preserve"> </w:t>
      </w:r>
      <w:r w:rsidRPr="007A4A11">
        <w:rPr>
          <w:rFonts w:asciiTheme="minorHAnsi" w:hAnsiTheme="minorHAnsi"/>
          <w:sz w:val="16"/>
          <w:szCs w:val="16"/>
        </w:rPr>
        <w:t xml:space="preserve">October 2011, </w:t>
      </w:r>
      <w:r w:rsidRPr="007A4A11">
        <w:rPr>
          <w:rFonts w:asciiTheme="minorHAnsi" w:hAnsiTheme="minorHAnsi" w:cs="Arial"/>
          <w:sz w:val="16"/>
          <w:szCs w:val="16"/>
        </w:rPr>
        <w:t>P viii</w:t>
      </w:r>
    </w:p>
  </w:footnote>
  <w:footnote w:id="16">
    <w:p w14:paraId="546563FA" w14:textId="3AD7224A" w:rsidR="00362A16" w:rsidRPr="007A4A11" w:rsidRDefault="00362A16" w:rsidP="00D3780F">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Australian Institutive of Petroleum, </w:t>
      </w:r>
      <w:r w:rsidRPr="007A4A11">
        <w:rPr>
          <w:rFonts w:asciiTheme="minorHAnsi" w:hAnsiTheme="minorHAnsi"/>
          <w:i/>
          <w:sz w:val="16"/>
          <w:szCs w:val="16"/>
        </w:rPr>
        <w:t xml:space="preserve">Maintaining Supply Security and Reliability for Liquid Fuels in Australia, </w:t>
      </w:r>
      <w:r w:rsidRPr="007A4A11">
        <w:rPr>
          <w:rFonts w:asciiTheme="minorHAnsi" w:hAnsiTheme="minorHAnsi"/>
          <w:sz w:val="16"/>
          <w:szCs w:val="16"/>
        </w:rPr>
        <w:t xml:space="preserve">Accessible at </w:t>
      </w:r>
      <w:hyperlink r:id="rId15"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September 2013, P 5 </w:t>
      </w:r>
    </w:p>
  </w:footnote>
  <w:footnote w:id="17">
    <w:p w14:paraId="07069F10" w14:textId="5A595054" w:rsidR="00362A16" w:rsidRPr="007A4A11" w:rsidRDefault="00362A16" w:rsidP="00177239">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Australian Institutive of Petroleum, </w:t>
      </w:r>
      <w:r w:rsidRPr="007A4A11">
        <w:rPr>
          <w:rFonts w:asciiTheme="minorHAnsi" w:hAnsiTheme="minorHAnsi"/>
          <w:i/>
          <w:sz w:val="16"/>
          <w:szCs w:val="16"/>
        </w:rPr>
        <w:t xml:space="preserve">Maintaining Supply Security and Reliability for Liquid Fuels in Australia, </w:t>
      </w:r>
      <w:r w:rsidRPr="007A4A11">
        <w:rPr>
          <w:rFonts w:asciiTheme="minorHAnsi" w:hAnsiTheme="minorHAnsi"/>
          <w:sz w:val="16"/>
          <w:szCs w:val="16"/>
        </w:rPr>
        <w:t xml:space="preserve">Accessible at </w:t>
      </w:r>
      <w:hyperlink r:id="rId16" w:history="1">
        <w:r w:rsidRPr="007A4A11">
          <w:rPr>
            <w:rStyle w:val="Hyperlink"/>
            <w:rFonts w:asciiTheme="minorHAnsi" w:hAnsiTheme="minorHAnsi"/>
            <w:sz w:val="16"/>
            <w:szCs w:val="16"/>
          </w:rPr>
          <w:t>www.aip.com.au</w:t>
        </w:r>
      </w:hyperlink>
      <w:r w:rsidRPr="007A4A11">
        <w:rPr>
          <w:rFonts w:asciiTheme="minorHAnsi" w:hAnsiTheme="minorHAnsi"/>
          <w:sz w:val="16"/>
          <w:szCs w:val="16"/>
        </w:rPr>
        <w:t xml:space="preserve">  September 2013, P 21 </w:t>
      </w:r>
    </w:p>
  </w:footnote>
  <w:footnote w:id="18">
    <w:p w14:paraId="0873EC7A" w14:textId="1F335403" w:rsidR="00362A16" w:rsidRPr="007A4A11" w:rsidRDefault="00362A16" w:rsidP="00A46D6D">
      <w:pPr>
        <w:pStyle w:val="FootnoteText"/>
        <w:rPr>
          <w:rFonts w:asciiTheme="minorHAnsi" w:hAnsiTheme="minorHAnsi" w:cs="Arial"/>
          <w:sz w:val="16"/>
          <w:szCs w:val="16"/>
        </w:rPr>
      </w:pPr>
      <w:r w:rsidRPr="007A4A11">
        <w:rPr>
          <w:rStyle w:val="FootnoteReference"/>
          <w:rFonts w:asciiTheme="minorHAnsi" w:hAnsiTheme="minorHAnsi" w:cs="Arial"/>
          <w:sz w:val="16"/>
          <w:szCs w:val="16"/>
        </w:rPr>
        <w:footnoteRef/>
      </w:r>
      <w:r w:rsidRPr="007A4A11">
        <w:rPr>
          <w:rFonts w:asciiTheme="minorHAnsi" w:hAnsiTheme="minorHAnsi" w:cs="Arial"/>
          <w:sz w:val="16"/>
          <w:szCs w:val="16"/>
        </w:rPr>
        <w:t xml:space="preserve"> Centre for International Economics </w:t>
      </w:r>
      <w:r w:rsidRPr="007A4A11">
        <w:rPr>
          <w:rFonts w:asciiTheme="minorHAnsi" w:hAnsiTheme="minorHAnsi" w:cs="Arial"/>
          <w:i/>
          <w:sz w:val="16"/>
          <w:szCs w:val="16"/>
        </w:rPr>
        <w:t xml:space="preserve">Environmental Credentials of the Australian Trucking Industry </w:t>
      </w:r>
      <w:r w:rsidRPr="007A4A11">
        <w:rPr>
          <w:rFonts w:asciiTheme="minorHAnsi" w:hAnsiTheme="minorHAnsi" w:cs="Arial"/>
          <w:sz w:val="16"/>
          <w:szCs w:val="16"/>
        </w:rPr>
        <w:t xml:space="preserve">Accessible at </w:t>
      </w:r>
      <w:hyperlink r:id="rId17" w:history="1">
        <w:r w:rsidRPr="007A4A11">
          <w:rPr>
            <w:rStyle w:val="Hyperlink"/>
            <w:rFonts w:asciiTheme="minorHAnsi" w:hAnsiTheme="minorHAnsi" w:cs="Arial"/>
            <w:sz w:val="16"/>
            <w:szCs w:val="16"/>
          </w:rPr>
          <w:t>www.atatruck.net.au/industry-resources/environmental-credentials-australian-trucking-industry</w:t>
        </w:r>
      </w:hyperlink>
      <w:r w:rsidRPr="007A4A11">
        <w:rPr>
          <w:rFonts w:asciiTheme="minorHAnsi" w:hAnsiTheme="minorHAnsi" w:cs="Arial"/>
          <w:sz w:val="16"/>
          <w:szCs w:val="16"/>
        </w:rPr>
        <w:t xml:space="preserve"> , 2011, P 6</w:t>
      </w:r>
    </w:p>
  </w:footnote>
  <w:footnote w:id="19">
    <w:p w14:paraId="2765B57E" w14:textId="264925F4" w:rsidR="00362A16" w:rsidRPr="007A4A11" w:rsidRDefault="00362A16" w:rsidP="000B1840">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Centre for International Economics </w:t>
      </w:r>
      <w:r w:rsidRPr="007A4A11">
        <w:rPr>
          <w:rFonts w:asciiTheme="minorHAnsi" w:hAnsiTheme="minorHAnsi"/>
          <w:i/>
          <w:sz w:val="16"/>
          <w:szCs w:val="16"/>
        </w:rPr>
        <w:t xml:space="preserve">Environmental Credentials of the Australian Trucking Industry </w:t>
      </w:r>
      <w:r w:rsidRPr="007A4A11">
        <w:rPr>
          <w:rFonts w:asciiTheme="minorHAnsi" w:hAnsiTheme="minorHAnsi"/>
          <w:sz w:val="16"/>
          <w:szCs w:val="16"/>
        </w:rPr>
        <w:t xml:space="preserve">Accessible at </w:t>
      </w:r>
      <w:hyperlink r:id="rId18" w:history="1">
        <w:r w:rsidRPr="007A4A11">
          <w:rPr>
            <w:rStyle w:val="Hyperlink"/>
            <w:rFonts w:asciiTheme="minorHAnsi" w:hAnsiTheme="minorHAnsi"/>
            <w:sz w:val="16"/>
            <w:szCs w:val="16"/>
          </w:rPr>
          <w:t>www.atatruck.net.au/industry-resources/environmental-credentials-australian-trucking-industry</w:t>
        </w:r>
      </w:hyperlink>
      <w:r w:rsidRPr="007A4A11">
        <w:rPr>
          <w:rFonts w:asciiTheme="minorHAnsi" w:hAnsiTheme="minorHAnsi"/>
          <w:sz w:val="16"/>
          <w:szCs w:val="16"/>
        </w:rPr>
        <w:t xml:space="preserve"> , 2011, P 19 </w:t>
      </w:r>
    </w:p>
  </w:footnote>
  <w:footnote w:id="20">
    <w:p w14:paraId="3A6EC763" w14:textId="431D744D" w:rsidR="00362A16" w:rsidRPr="007A4A11" w:rsidRDefault="00362A16">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w:t>
      </w:r>
      <w:r w:rsidRPr="007A4A11">
        <w:rPr>
          <w:rFonts w:asciiTheme="minorHAnsi" w:hAnsiTheme="minorHAnsi" w:cs="Lucida Sans Unicode"/>
          <w:color w:val="000000"/>
          <w:sz w:val="16"/>
          <w:szCs w:val="16"/>
          <w:shd w:val="clear" w:color="auto" w:fill="FFFFFF"/>
        </w:rPr>
        <w:t>Australia's Future Tax System,</w:t>
      </w:r>
      <w:r w:rsidRPr="007A4A11">
        <w:rPr>
          <w:rStyle w:val="apple-converted-space"/>
          <w:rFonts w:asciiTheme="minorHAnsi" w:hAnsiTheme="minorHAnsi" w:cs="Lucida Sans Unicode"/>
          <w:color w:val="000000"/>
          <w:sz w:val="16"/>
          <w:szCs w:val="16"/>
          <w:shd w:val="clear" w:color="auto" w:fill="FFFFFF"/>
        </w:rPr>
        <w:t> </w:t>
      </w:r>
      <w:r w:rsidRPr="007A4A11">
        <w:rPr>
          <w:rStyle w:val="Emphasis"/>
          <w:rFonts w:asciiTheme="minorHAnsi" w:hAnsiTheme="minorHAnsi" w:cs="Lucida Sans Unicode"/>
          <w:color w:val="000000"/>
          <w:sz w:val="16"/>
          <w:szCs w:val="16"/>
          <w:bdr w:val="none" w:sz="0" w:space="0" w:color="auto" w:frame="1"/>
          <w:shd w:val="clear" w:color="auto" w:fill="FFFFFF"/>
        </w:rPr>
        <w:t>Final Report</w:t>
      </w:r>
      <w:r w:rsidRPr="007A4A11">
        <w:rPr>
          <w:rFonts w:asciiTheme="minorHAnsi" w:hAnsiTheme="minorHAnsi" w:cs="Lucida Sans Unicode"/>
          <w:color w:val="000000"/>
          <w:sz w:val="16"/>
          <w:szCs w:val="16"/>
          <w:shd w:val="clear" w:color="auto" w:fill="FFFFFF"/>
        </w:rPr>
        <w:t xml:space="preserve">, Accessible at </w:t>
      </w:r>
      <w:hyperlink r:id="rId19" w:history="1">
        <w:r w:rsidRPr="007A4A11">
          <w:rPr>
            <w:rStyle w:val="Hyperlink"/>
            <w:rFonts w:asciiTheme="minorHAnsi" w:hAnsiTheme="minorHAnsi" w:cs="Lucida Sans Unicode"/>
            <w:sz w:val="16"/>
            <w:szCs w:val="16"/>
            <w:shd w:val="clear" w:color="auto" w:fill="FFFFFF"/>
          </w:rPr>
          <w:t>www.taxreview.treasury.gov.au</w:t>
        </w:r>
      </w:hyperlink>
      <w:r w:rsidRPr="007A4A11">
        <w:rPr>
          <w:rFonts w:asciiTheme="minorHAnsi" w:hAnsiTheme="minorHAnsi" w:cs="Lucida Sans Unicode"/>
          <w:color w:val="000000"/>
          <w:sz w:val="16"/>
          <w:szCs w:val="16"/>
          <w:shd w:val="clear" w:color="auto" w:fill="FFFFFF"/>
        </w:rPr>
        <w:t>, December 2009,</w:t>
      </w:r>
      <w:r w:rsidRPr="007A4A11">
        <w:rPr>
          <w:rFonts w:asciiTheme="minorHAnsi" w:hAnsiTheme="minorHAnsi"/>
          <w:sz w:val="16"/>
          <w:szCs w:val="16"/>
        </w:rPr>
        <w:t xml:space="preserve"> P 377</w:t>
      </w:r>
    </w:p>
  </w:footnote>
  <w:footnote w:id="21">
    <w:p w14:paraId="416BCBBB" w14:textId="2936004F" w:rsidR="00362A16" w:rsidRPr="007A4A11" w:rsidRDefault="00362A16" w:rsidP="00B579A7">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National Transport Commission, </w:t>
      </w:r>
      <w:r w:rsidRPr="007A4A11">
        <w:rPr>
          <w:rFonts w:asciiTheme="minorHAnsi" w:hAnsiTheme="minorHAnsi"/>
          <w:i/>
          <w:sz w:val="16"/>
          <w:szCs w:val="16"/>
        </w:rPr>
        <w:t>2014 Heavy Vehicle Charges Determination Regulatory Impact Statement</w:t>
      </w:r>
      <w:r w:rsidRPr="007A4A11">
        <w:rPr>
          <w:rFonts w:asciiTheme="minorHAnsi" w:hAnsiTheme="minorHAnsi"/>
          <w:sz w:val="16"/>
          <w:szCs w:val="16"/>
        </w:rPr>
        <w:t xml:space="preserve">, Accessible at  </w:t>
      </w:r>
      <w:hyperlink r:id="rId20" w:history="1">
        <w:r w:rsidRPr="007A4A11">
          <w:rPr>
            <w:rStyle w:val="Hyperlink"/>
            <w:rFonts w:asciiTheme="minorHAnsi" w:hAnsiTheme="minorHAnsi"/>
            <w:sz w:val="16"/>
            <w:szCs w:val="16"/>
          </w:rPr>
          <w:t>www.ntc.wdu.com.au/viewpage.aspx?documentid=2513</w:t>
        </w:r>
      </w:hyperlink>
      <w:r w:rsidRPr="007A4A11">
        <w:rPr>
          <w:rFonts w:asciiTheme="minorHAnsi" w:hAnsiTheme="minorHAnsi"/>
          <w:sz w:val="16"/>
          <w:szCs w:val="16"/>
        </w:rPr>
        <w:t xml:space="preserve">,  February 2014, P 59 </w:t>
      </w:r>
    </w:p>
  </w:footnote>
  <w:footnote w:id="22">
    <w:p w14:paraId="6CE1504F" w14:textId="5F73F65E" w:rsidR="00362A16" w:rsidRPr="007A4A11" w:rsidRDefault="00362A16" w:rsidP="009A635C">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BITRE </w:t>
      </w:r>
      <w:r w:rsidRPr="007A4A11">
        <w:rPr>
          <w:rFonts w:asciiTheme="minorHAnsi" w:hAnsiTheme="minorHAnsi"/>
          <w:i/>
          <w:sz w:val="16"/>
          <w:szCs w:val="16"/>
        </w:rPr>
        <w:t xml:space="preserve">Transport and Regional Economics Australian Transport Statistics Yearbook 2012, Table T </w:t>
      </w:r>
      <w:proofErr w:type="spellStart"/>
      <w:r w:rsidRPr="007A4A11">
        <w:rPr>
          <w:rFonts w:asciiTheme="minorHAnsi" w:hAnsiTheme="minorHAnsi"/>
          <w:i/>
          <w:sz w:val="16"/>
          <w:szCs w:val="16"/>
        </w:rPr>
        <w:t>2.1b</w:t>
      </w:r>
      <w:proofErr w:type="spellEnd"/>
      <w:r w:rsidRPr="007A4A11">
        <w:rPr>
          <w:rFonts w:asciiTheme="minorHAnsi" w:hAnsiTheme="minorHAnsi"/>
          <w:i/>
          <w:sz w:val="16"/>
          <w:szCs w:val="16"/>
        </w:rPr>
        <w:t xml:space="preserve"> Total, bulk and non–bulk domestic freight, by transport mode— non–bulk Bureau of Infrastructure, </w:t>
      </w:r>
      <w:r w:rsidRPr="007A4A11">
        <w:rPr>
          <w:rFonts w:asciiTheme="minorHAnsi" w:hAnsiTheme="minorHAnsi"/>
          <w:sz w:val="16"/>
          <w:szCs w:val="16"/>
        </w:rPr>
        <w:t xml:space="preserve">Accessible at </w:t>
      </w:r>
      <w:hyperlink r:id="rId21" w:history="1">
        <w:r w:rsidRPr="007A4A11">
          <w:rPr>
            <w:rStyle w:val="Hyperlink"/>
            <w:rFonts w:asciiTheme="minorHAnsi" w:hAnsiTheme="minorHAnsi"/>
            <w:sz w:val="16"/>
            <w:szCs w:val="16"/>
          </w:rPr>
          <w:t>www.bitre.gov.au/publications/2012/stats_002.aspx</w:t>
        </w:r>
      </w:hyperlink>
      <w:r w:rsidRPr="007A4A11">
        <w:rPr>
          <w:rFonts w:asciiTheme="minorHAnsi" w:hAnsiTheme="minorHAnsi"/>
          <w:sz w:val="16"/>
          <w:szCs w:val="16"/>
        </w:rPr>
        <w:t xml:space="preserve">, 2012, </w:t>
      </w:r>
      <w:r w:rsidRPr="007A4A11">
        <w:rPr>
          <w:rFonts w:asciiTheme="minorHAnsi" w:hAnsiTheme="minorHAnsi"/>
          <w:i/>
          <w:sz w:val="16"/>
          <w:szCs w:val="16"/>
        </w:rPr>
        <w:t xml:space="preserve"> </w:t>
      </w:r>
      <w:r w:rsidRPr="007A4A11">
        <w:rPr>
          <w:rFonts w:asciiTheme="minorHAnsi" w:hAnsiTheme="minorHAnsi"/>
          <w:sz w:val="16"/>
          <w:szCs w:val="16"/>
        </w:rPr>
        <w:t xml:space="preserve">P 48 </w:t>
      </w:r>
    </w:p>
  </w:footnote>
  <w:footnote w:id="23">
    <w:p w14:paraId="2ECAA338" w14:textId="73FC501B" w:rsidR="00362A16" w:rsidRPr="007A4A11" w:rsidRDefault="00362A16" w:rsidP="00962A7D">
      <w:pPr>
        <w:pStyle w:val="FootnoteText"/>
        <w:rPr>
          <w:rFonts w:asciiTheme="minorHAnsi" w:hAnsiTheme="minorHAnsi"/>
          <w:sz w:val="16"/>
          <w:szCs w:val="16"/>
        </w:rPr>
      </w:pPr>
      <w:r w:rsidRPr="007A4A11">
        <w:rPr>
          <w:rStyle w:val="FootnoteReference"/>
          <w:rFonts w:asciiTheme="minorHAnsi" w:hAnsiTheme="minorHAnsi"/>
          <w:sz w:val="16"/>
          <w:szCs w:val="16"/>
        </w:rPr>
        <w:footnoteRef/>
      </w:r>
      <w:r w:rsidRPr="007A4A11">
        <w:rPr>
          <w:rFonts w:asciiTheme="minorHAnsi" w:hAnsiTheme="minorHAnsi"/>
          <w:sz w:val="16"/>
          <w:szCs w:val="16"/>
        </w:rPr>
        <w:t xml:space="preserve"> BITRE </w:t>
      </w:r>
      <w:r w:rsidRPr="007A4A11">
        <w:rPr>
          <w:rFonts w:asciiTheme="minorHAnsi" w:hAnsiTheme="minorHAnsi"/>
          <w:i/>
          <w:sz w:val="16"/>
          <w:szCs w:val="16"/>
        </w:rPr>
        <w:t>Road and rail freight:  Information sheet 34 competitors or complements?</w:t>
      </w:r>
      <w:r w:rsidRPr="007A4A11">
        <w:rPr>
          <w:rFonts w:asciiTheme="minorHAnsi" w:hAnsiTheme="minorHAnsi"/>
          <w:sz w:val="16"/>
          <w:szCs w:val="16"/>
        </w:rPr>
        <w:t xml:space="preserve"> Accessible at </w:t>
      </w:r>
      <w:hyperlink r:id="rId22" w:history="1">
        <w:r w:rsidRPr="007A4A11">
          <w:rPr>
            <w:rStyle w:val="Hyperlink"/>
            <w:rFonts w:asciiTheme="minorHAnsi" w:hAnsiTheme="minorHAnsi"/>
            <w:sz w:val="16"/>
            <w:szCs w:val="16"/>
          </w:rPr>
          <w:t>www.bitre.gov.au/publications/2009/is_034.aspx</w:t>
        </w:r>
      </w:hyperlink>
      <w:r w:rsidRPr="007A4A11">
        <w:rPr>
          <w:rFonts w:asciiTheme="minorHAnsi" w:hAnsiTheme="minorHAnsi"/>
          <w:sz w:val="16"/>
          <w:szCs w:val="16"/>
        </w:rPr>
        <w:t xml:space="preserve">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D8F2" w14:textId="77777777" w:rsidR="00362A16" w:rsidRPr="00E8056B" w:rsidRDefault="00362A16"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14:paraId="78B77B60" w14:textId="77777777" w:rsidR="00362A16" w:rsidRDefault="00362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F605" w14:textId="77777777" w:rsidR="00362A16" w:rsidRDefault="00362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C61F" w14:textId="2137076F" w:rsidR="00362A16" w:rsidRPr="0062031D" w:rsidRDefault="00362A16"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14:paraId="25615247" w14:textId="77777777" w:rsidR="00362A16" w:rsidRPr="0062031D" w:rsidRDefault="00362A16" w:rsidP="0062031D">
    <w:pPr>
      <w:pStyle w:val="Header"/>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182C" w14:textId="77777777" w:rsidR="00362A16" w:rsidRDefault="00362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EBF"/>
    <w:multiLevelType w:val="multilevel"/>
    <w:tmpl w:val="EFECC6E8"/>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5137C7"/>
    <w:multiLevelType w:val="multilevel"/>
    <w:tmpl w:val="F64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F118C"/>
    <w:multiLevelType w:val="hybridMultilevel"/>
    <w:tmpl w:val="C1B607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0BD6403C"/>
    <w:multiLevelType w:val="hybridMultilevel"/>
    <w:tmpl w:val="F1C601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11650C50"/>
    <w:multiLevelType w:val="hybridMultilevel"/>
    <w:tmpl w:val="2F9E3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65889"/>
    <w:multiLevelType w:val="hybridMultilevel"/>
    <w:tmpl w:val="8D66E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7C775E"/>
    <w:multiLevelType w:val="multilevel"/>
    <w:tmpl w:val="5D00416A"/>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40C34A06"/>
    <w:multiLevelType w:val="hybridMultilevel"/>
    <w:tmpl w:val="133C6AE2"/>
    <w:lvl w:ilvl="0" w:tplc="0C090001">
      <w:start w:val="1"/>
      <w:numFmt w:val="bullet"/>
      <w:lvlText w:val=""/>
      <w:lvlJc w:val="left"/>
      <w:pPr>
        <w:ind w:left="1794" w:hanging="72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nsid w:val="425D2F10"/>
    <w:multiLevelType w:val="hybridMultilevel"/>
    <w:tmpl w:val="781C6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60914A8"/>
    <w:multiLevelType w:val="hybridMultilevel"/>
    <w:tmpl w:val="595CB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B611C2"/>
    <w:multiLevelType w:val="hybridMultilevel"/>
    <w:tmpl w:val="D63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B37550"/>
    <w:multiLevelType w:val="hybridMultilevel"/>
    <w:tmpl w:val="825A1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A82009"/>
    <w:multiLevelType w:val="hybridMultilevel"/>
    <w:tmpl w:val="703E6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482A7B"/>
    <w:multiLevelType w:val="hybridMultilevel"/>
    <w:tmpl w:val="C6B80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331B98"/>
    <w:multiLevelType w:val="hybridMultilevel"/>
    <w:tmpl w:val="4752A186"/>
    <w:lvl w:ilvl="0" w:tplc="D0ACF64C">
      <w:start w:val="2"/>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2C1B3D"/>
    <w:multiLevelType w:val="multilevel"/>
    <w:tmpl w:val="6F1E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657D28"/>
    <w:multiLevelType w:val="hybridMultilevel"/>
    <w:tmpl w:val="732264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5D554ED9"/>
    <w:multiLevelType w:val="multilevel"/>
    <w:tmpl w:val="652E1C90"/>
    <w:lvl w:ilvl="0">
      <w:start w:val="1"/>
      <w:numFmt w:val="decimal"/>
      <w:pStyle w:val="Heading1"/>
      <w:lvlText w:val="%1."/>
      <w:lvlJc w:val="left"/>
      <w:pPr>
        <w:ind w:left="502"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F02162A"/>
    <w:multiLevelType w:val="multilevel"/>
    <w:tmpl w:val="6FFA4322"/>
    <w:lvl w:ilvl="0">
      <w:start w:val="4"/>
      <w:numFmt w:val="decimal"/>
      <w:lvlText w:val="%1"/>
      <w:lvlJc w:val="left"/>
      <w:pPr>
        <w:ind w:left="547"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0">
    <w:nsid w:val="5FD23C87"/>
    <w:multiLevelType w:val="multilevel"/>
    <w:tmpl w:val="8BB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A610CB"/>
    <w:multiLevelType w:val="multilevel"/>
    <w:tmpl w:val="6FFA4322"/>
    <w:lvl w:ilvl="0">
      <w:start w:val="4"/>
      <w:numFmt w:val="decimal"/>
      <w:lvlText w:val="%1"/>
      <w:lvlJc w:val="left"/>
      <w:pPr>
        <w:ind w:left="547"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2">
    <w:nsid w:val="6A3F36B0"/>
    <w:multiLevelType w:val="hybridMultilevel"/>
    <w:tmpl w:val="9C4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B91A83"/>
    <w:multiLevelType w:val="multilevel"/>
    <w:tmpl w:val="6FFA4322"/>
    <w:lvl w:ilvl="0">
      <w:start w:val="4"/>
      <w:numFmt w:val="decimal"/>
      <w:lvlText w:val="%1"/>
      <w:lvlJc w:val="left"/>
      <w:pPr>
        <w:ind w:left="547"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4">
    <w:nsid w:val="70D57423"/>
    <w:multiLevelType w:val="hybridMultilevel"/>
    <w:tmpl w:val="5350A3BA"/>
    <w:lvl w:ilvl="0" w:tplc="9700886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3"/>
  </w:num>
  <w:num w:numId="4">
    <w:abstractNumId w:val="15"/>
  </w:num>
  <w:num w:numId="5">
    <w:abstractNumId w:val="18"/>
  </w:num>
  <w:num w:numId="6">
    <w:abstractNumId w:val="18"/>
  </w:num>
  <w:num w:numId="7">
    <w:abstractNumId w:val="18"/>
  </w:num>
  <w:num w:numId="8">
    <w:abstractNumId w:val="5"/>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6"/>
  </w:num>
  <w:num w:numId="16">
    <w:abstractNumId w:val="18"/>
  </w:num>
  <w:num w:numId="17">
    <w:abstractNumId w:val="18"/>
  </w:num>
  <w:num w:numId="18">
    <w:abstractNumId w:val="9"/>
  </w:num>
  <w:num w:numId="19">
    <w:abstractNumId w:val="24"/>
  </w:num>
  <w:num w:numId="20">
    <w:abstractNumId w:val="8"/>
  </w:num>
  <w:num w:numId="21">
    <w:abstractNumId w:val="0"/>
  </w:num>
  <w:num w:numId="22">
    <w:abstractNumId w:val="18"/>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1"/>
  </w:num>
  <w:num w:numId="32">
    <w:abstractNumId w:val="19"/>
  </w:num>
  <w:num w:numId="33">
    <w:abstractNumId w:val="18"/>
  </w:num>
  <w:num w:numId="34">
    <w:abstractNumId w:val="13"/>
  </w:num>
  <w:num w:numId="35">
    <w:abstractNumId w:val="18"/>
  </w:num>
  <w:num w:numId="36">
    <w:abstractNumId w:val="18"/>
  </w:num>
  <w:num w:numId="37">
    <w:abstractNumId w:val="16"/>
  </w:num>
  <w:num w:numId="38">
    <w:abstractNumId w:val="1"/>
  </w:num>
  <w:num w:numId="39">
    <w:abstractNumId w:val="11"/>
  </w:num>
  <w:num w:numId="40">
    <w:abstractNumId w:val="14"/>
  </w:num>
  <w:num w:numId="41">
    <w:abstractNumId w:val="20"/>
  </w:num>
  <w:num w:numId="42">
    <w:abstractNumId w:val="4"/>
  </w:num>
  <w:num w:numId="43">
    <w:abstractNumId w:val="10"/>
  </w:num>
  <w:num w:numId="44">
    <w:abstractNumId w:val="12"/>
  </w:num>
  <w:num w:numId="45">
    <w:abstractNumId w:val="17"/>
  </w:num>
  <w:num w:numId="46">
    <w:abstractNumId w:val="2"/>
  </w:num>
  <w:num w:numId="4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A"/>
    <w:rsid w:val="0000159D"/>
    <w:rsid w:val="00004DB4"/>
    <w:rsid w:val="00005A10"/>
    <w:rsid w:val="00005E0D"/>
    <w:rsid w:val="000118F7"/>
    <w:rsid w:val="00011D52"/>
    <w:rsid w:val="00014B23"/>
    <w:rsid w:val="000156D1"/>
    <w:rsid w:val="000223CC"/>
    <w:rsid w:val="00023B28"/>
    <w:rsid w:val="00025C3E"/>
    <w:rsid w:val="00035CFC"/>
    <w:rsid w:val="0004076B"/>
    <w:rsid w:val="00040876"/>
    <w:rsid w:val="00040D17"/>
    <w:rsid w:val="00040D26"/>
    <w:rsid w:val="0004142E"/>
    <w:rsid w:val="0004192B"/>
    <w:rsid w:val="00042462"/>
    <w:rsid w:val="00042746"/>
    <w:rsid w:val="00043430"/>
    <w:rsid w:val="00043AF0"/>
    <w:rsid w:val="00044533"/>
    <w:rsid w:val="00046042"/>
    <w:rsid w:val="00050881"/>
    <w:rsid w:val="00050ADB"/>
    <w:rsid w:val="0005117F"/>
    <w:rsid w:val="00052E9C"/>
    <w:rsid w:val="00056848"/>
    <w:rsid w:val="000614BF"/>
    <w:rsid w:val="0006283B"/>
    <w:rsid w:val="000630C3"/>
    <w:rsid w:val="00070F25"/>
    <w:rsid w:val="0007542B"/>
    <w:rsid w:val="00075E7B"/>
    <w:rsid w:val="00076C90"/>
    <w:rsid w:val="00080037"/>
    <w:rsid w:val="00083C15"/>
    <w:rsid w:val="000848A1"/>
    <w:rsid w:val="00085055"/>
    <w:rsid w:val="000868C6"/>
    <w:rsid w:val="000875E7"/>
    <w:rsid w:val="00095C3B"/>
    <w:rsid w:val="000963BE"/>
    <w:rsid w:val="000A102A"/>
    <w:rsid w:val="000A151F"/>
    <w:rsid w:val="000A2BCF"/>
    <w:rsid w:val="000A3F4E"/>
    <w:rsid w:val="000A4E76"/>
    <w:rsid w:val="000A4EB0"/>
    <w:rsid w:val="000A62F7"/>
    <w:rsid w:val="000B069A"/>
    <w:rsid w:val="000B1840"/>
    <w:rsid w:val="000B351D"/>
    <w:rsid w:val="000B4161"/>
    <w:rsid w:val="000B4942"/>
    <w:rsid w:val="000B6CAC"/>
    <w:rsid w:val="000B6D2A"/>
    <w:rsid w:val="000B773A"/>
    <w:rsid w:val="000B7D23"/>
    <w:rsid w:val="000C01AC"/>
    <w:rsid w:val="000C0C35"/>
    <w:rsid w:val="000C15B7"/>
    <w:rsid w:val="000C19AA"/>
    <w:rsid w:val="000C30F1"/>
    <w:rsid w:val="000C310A"/>
    <w:rsid w:val="000C58B5"/>
    <w:rsid w:val="000C594D"/>
    <w:rsid w:val="000D0FE5"/>
    <w:rsid w:val="000D274C"/>
    <w:rsid w:val="000D528B"/>
    <w:rsid w:val="000D6381"/>
    <w:rsid w:val="000D6454"/>
    <w:rsid w:val="000E408F"/>
    <w:rsid w:val="000E6263"/>
    <w:rsid w:val="000E67CA"/>
    <w:rsid w:val="000E7B14"/>
    <w:rsid w:val="000F0116"/>
    <w:rsid w:val="000F080E"/>
    <w:rsid w:val="000F0F7B"/>
    <w:rsid w:val="000F30FF"/>
    <w:rsid w:val="000F349D"/>
    <w:rsid w:val="000F3D9F"/>
    <w:rsid w:val="000F4057"/>
    <w:rsid w:val="000F53C2"/>
    <w:rsid w:val="000F566E"/>
    <w:rsid w:val="000F6737"/>
    <w:rsid w:val="000F7F6F"/>
    <w:rsid w:val="00100ED4"/>
    <w:rsid w:val="00100F23"/>
    <w:rsid w:val="001016E8"/>
    <w:rsid w:val="001019C0"/>
    <w:rsid w:val="00101EAF"/>
    <w:rsid w:val="001023CB"/>
    <w:rsid w:val="001025C9"/>
    <w:rsid w:val="001071A4"/>
    <w:rsid w:val="00110610"/>
    <w:rsid w:val="00117370"/>
    <w:rsid w:val="001202C1"/>
    <w:rsid w:val="00121418"/>
    <w:rsid w:val="00121A53"/>
    <w:rsid w:val="00121A86"/>
    <w:rsid w:val="00121E1A"/>
    <w:rsid w:val="00122558"/>
    <w:rsid w:val="0012393E"/>
    <w:rsid w:val="00125795"/>
    <w:rsid w:val="00126921"/>
    <w:rsid w:val="00127712"/>
    <w:rsid w:val="001278B9"/>
    <w:rsid w:val="0013041A"/>
    <w:rsid w:val="001332F2"/>
    <w:rsid w:val="00134A9F"/>
    <w:rsid w:val="001368EB"/>
    <w:rsid w:val="0013765E"/>
    <w:rsid w:val="00137794"/>
    <w:rsid w:val="00141274"/>
    <w:rsid w:val="0014134A"/>
    <w:rsid w:val="0014437E"/>
    <w:rsid w:val="00145022"/>
    <w:rsid w:val="001463C2"/>
    <w:rsid w:val="0014683D"/>
    <w:rsid w:val="001475F7"/>
    <w:rsid w:val="00150065"/>
    <w:rsid w:val="0015168F"/>
    <w:rsid w:val="00151950"/>
    <w:rsid w:val="00151F88"/>
    <w:rsid w:val="00152A71"/>
    <w:rsid w:val="001533EC"/>
    <w:rsid w:val="00153D10"/>
    <w:rsid w:val="001555C9"/>
    <w:rsid w:val="00155B97"/>
    <w:rsid w:val="00156060"/>
    <w:rsid w:val="00160FE3"/>
    <w:rsid w:val="001611AB"/>
    <w:rsid w:val="001620CE"/>
    <w:rsid w:val="0016265F"/>
    <w:rsid w:val="00164A4D"/>
    <w:rsid w:val="00165C3E"/>
    <w:rsid w:val="00170107"/>
    <w:rsid w:val="00170FC2"/>
    <w:rsid w:val="001727E8"/>
    <w:rsid w:val="00172D5B"/>
    <w:rsid w:val="00177239"/>
    <w:rsid w:val="001811B8"/>
    <w:rsid w:val="0018136A"/>
    <w:rsid w:val="001817F5"/>
    <w:rsid w:val="00182648"/>
    <w:rsid w:val="00183923"/>
    <w:rsid w:val="00184A28"/>
    <w:rsid w:val="001922E5"/>
    <w:rsid w:val="0019237C"/>
    <w:rsid w:val="001943BE"/>
    <w:rsid w:val="0019542E"/>
    <w:rsid w:val="00196DAB"/>
    <w:rsid w:val="001A024F"/>
    <w:rsid w:val="001A0DC3"/>
    <w:rsid w:val="001A2840"/>
    <w:rsid w:val="001A33CC"/>
    <w:rsid w:val="001A3D08"/>
    <w:rsid w:val="001A449F"/>
    <w:rsid w:val="001A5FE2"/>
    <w:rsid w:val="001A6510"/>
    <w:rsid w:val="001A66A5"/>
    <w:rsid w:val="001A7BF4"/>
    <w:rsid w:val="001B3286"/>
    <w:rsid w:val="001B3E52"/>
    <w:rsid w:val="001B46F6"/>
    <w:rsid w:val="001B5564"/>
    <w:rsid w:val="001B6B29"/>
    <w:rsid w:val="001B70BF"/>
    <w:rsid w:val="001B769F"/>
    <w:rsid w:val="001B7B44"/>
    <w:rsid w:val="001C121B"/>
    <w:rsid w:val="001C125D"/>
    <w:rsid w:val="001C13A5"/>
    <w:rsid w:val="001C150C"/>
    <w:rsid w:val="001C3659"/>
    <w:rsid w:val="001C52FE"/>
    <w:rsid w:val="001D038B"/>
    <w:rsid w:val="001D0900"/>
    <w:rsid w:val="001D15A1"/>
    <w:rsid w:val="001D1836"/>
    <w:rsid w:val="001D46D2"/>
    <w:rsid w:val="001D50C7"/>
    <w:rsid w:val="001D5BA0"/>
    <w:rsid w:val="001D77A8"/>
    <w:rsid w:val="001D7817"/>
    <w:rsid w:val="001E0A75"/>
    <w:rsid w:val="001E1665"/>
    <w:rsid w:val="001E232E"/>
    <w:rsid w:val="001E2C22"/>
    <w:rsid w:val="001E3126"/>
    <w:rsid w:val="001F024C"/>
    <w:rsid w:val="001F187C"/>
    <w:rsid w:val="001F2FD4"/>
    <w:rsid w:val="001F32AB"/>
    <w:rsid w:val="001F3FD2"/>
    <w:rsid w:val="001F5A9B"/>
    <w:rsid w:val="001F5BCB"/>
    <w:rsid w:val="001F5CDF"/>
    <w:rsid w:val="00201A96"/>
    <w:rsid w:val="00202A6B"/>
    <w:rsid w:val="002041FF"/>
    <w:rsid w:val="00205D00"/>
    <w:rsid w:val="0020791B"/>
    <w:rsid w:val="0020796A"/>
    <w:rsid w:val="0021180A"/>
    <w:rsid w:val="00212465"/>
    <w:rsid w:val="00212936"/>
    <w:rsid w:val="00213C59"/>
    <w:rsid w:val="002158C8"/>
    <w:rsid w:val="00216CE6"/>
    <w:rsid w:val="002208FB"/>
    <w:rsid w:val="00223D86"/>
    <w:rsid w:val="00225056"/>
    <w:rsid w:val="00225F89"/>
    <w:rsid w:val="00230598"/>
    <w:rsid w:val="00230DFC"/>
    <w:rsid w:val="002317DA"/>
    <w:rsid w:val="002327F8"/>
    <w:rsid w:val="0023296D"/>
    <w:rsid w:val="0023390D"/>
    <w:rsid w:val="002374B4"/>
    <w:rsid w:val="00240467"/>
    <w:rsid w:val="00241C15"/>
    <w:rsid w:val="00242A40"/>
    <w:rsid w:val="00243126"/>
    <w:rsid w:val="00244543"/>
    <w:rsid w:val="00245CE4"/>
    <w:rsid w:val="002502E0"/>
    <w:rsid w:val="002502EF"/>
    <w:rsid w:val="002507F2"/>
    <w:rsid w:val="00250E06"/>
    <w:rsid w:val="00252B80"/>
    <w:rsid w:val="00252BD7"/>
    <w:rsid w:val="0025356A"/>
    <w:rsid w:val="00253E0B"/>
    <w:rsid w:val="002543DF"/>
    <w:rsid w:val="002550E9"/>
    <w:rsid w:val="00262C0A"/>
    <w:rsid w:val="00264427"/>
    <w:rsid w:val="0026620C"/>
    <w:rsid w:val="00266915"/>
    <w:rsid w:val="00267830"/>
    <w:rsid w:val="00273325"/>
    <w:rsid w:val="002742EF"/>
    <w:rsid w:val="00274BA8"/>
    <w:rsid w:val="00276BE1"/>
    <w:rsid w:val="00277F32"/>
    <w:rsid w:val="002819AA"/>
    <w:rsid w:val="00281EFE"/>
    <w:rsid w:val="00286DB5"/>
    <w:rsid w:val="002875B7"/>
    <w:rsid w:val="0029330A"/>
    <w:rsid w:val="00294E3C"/>
    <w:rsid w:val="00295759"/>
    <w:rsid w:val="00296633"/>
    <w:rsid w:val="002A00F5"/>
    <w:rsid w:val="002A010F"/>
    <w:rsid w:val="002A0424"/>
    <w:rsid w:val="002A237B"/>
    <w:rsid w:val="002A3F29"/>
    <w:rsid w:val="002A43F0"/>
    <w:rsid w:val="002A455A"/>
    <w:rsid w:val="002A4859"/>
    <w:rsid w:val="002A4ACA"/>
    <w:rsid w:val="002A5A99"/>
    <w:rsid w:val="002A642E"/>
    <w:rsid w:val="002B1F61"/>
    <w:rsid w:val="002B2136"/>
    <w:rsid w:val="002B381D"/>
    <w:rsid w:val="002B390F"/>
    <w:rsid w:val="002B3AEF"/>
    <w:rsid w:val="002B5D65"/>
    <w:rsid w:val="002B618E"/>
    <w:rsid w:val="002B6CC2"/>
    <w:rsid w:val="002C0C38"/>
    <w:rsid w:val="002C1799"/>
    <w:rsid w:val="002C3C94"/>
    <w:rsid w:val="002C64C3"/>
    <w:rsid w:val="002C6E2E"/>
    <w:rsid w:val="002C6F4E"/>
    <w:rsid w:val="002C7AB9"/>
    <w:rsid w:val="002C7D3E"/>
    <w:rsid w:val="002C7FF6"/>
    <w:rsid w:val="002D592D"/>
    <w:rsid w:val="002D5D45"/>
    <w:rsid w:val="002D7FDB"/>
    <w:rsid w:val="002E06E3"/>
    <w:rsid w:val="002E06EB"/>
    <w:rsid w:val="002E453E"/>
    <w:rsid w:val="002E4E20"/>
    <w:rsid w:val="002E5D82"/>
    <w:rsid w:val="002E782F"/>
    <w:rsid w:val="002E7897"/>
    <w:rsid w:val="002E7F28"/>
    <w:rsid w:val="002F00C9"/>
    <w:rsid w:val="002F0EBE"/>
    <w:rsid w:val="002F1339"/>
    <w:rsid w:val="002F2F65"/>
    <w:rsid w:val="002F31AB"/>
    <w:rsid w:val="002F4290"/>
    <w:rsid w:val="002F42BE"/>
    <w:rsid w:val="002F6212"/>
    <w:rsid w:val="002F632C"/>
    <w:rsid w:val="002F6D63"/>
    <w:rsid w:val="002F7AD3"/>
    <w:rsid w:val="003016C4"/>
    <w:rsid w:val="00303296"/>
    <w:rsid w:val="00306FBF"/>
    <w:rsid w:val="00307AF8"/>
    <w:rsid w:val="00312B81"/>
    <w:rsid w:val="0031301A"/>
    <w:rsid w:val="003168CE"/>
    <w:rsid w:val="00320AFE"/>
    <w:rsid w:val="00320F07"/>
    <w:rsid w:val="00321554"/>
    <w:rsid w:val="003215A3"/>
    <w:rsid w:val="00321A43"/>
    <w:rsid w:val="0032308F"/>
    <w:rsid w:val="00324459"/>
    <w:rsid w:val="00325A6C"/>
    <w:rsid w:val="00327127"/>
    <w:rsid w:val="00333BA6"/>
    <w:rsid w:val="003340FB"/>
    <w:rsid w:val="00334926"/>
    <w:rsid w:val="00336254"/>
    <w:rsid w:val="00336760"/>
    <w:rsid w:val="00341AE8"/>
    <w:rsid w:val="00341FEC"/>
    <w:rsid w:val="00342826"/>
    <w:rsid w:val="0034321B"/>
    <w:rsid w:val="00344D53"/>
    <w:rsid w:val="00352490"/>
    <w:rsid w:val="003533CA"/>
    <w:rsid w:val="00354394"/>
    <w:rsid w:val="0035493A"/>
    <w:rsid w:val="00360759"/>
    <w:rsid w:val="00362A16"/>
    <w:rsid w:val="00365CB8"/>
    <w:rsid w:val="003669CC"/>
    <w:rsid w:val="00370D21"/>
    <w:rsid w:val="00372153"/>
    <w:rsid w:val="00374216"/>
    <w:rsid w:val="00380E64"/>
    <w:rsid w:val="00384772"/>
    <w:rsid w:val="00387729"/>
    <w:rsid w:val="0039063B"/>
    <w:rsid w:val="003911E4"/>
    <w:rsid w:val="00391557"/>
    <w:rsid w:val="003931E1"/>
    <w:rsid w:val="00394EA3"/>
    <w:rsid w:val="003958D9"/>
    <w:rsid w:val="003A19A5"/>
    <w:rsid w:val="003A2034"/>
    <w:rsid w:val="003A269C"/>
    <w:rsid w:val="003A447E"/>
    <w:rsid w:val="003A6A3B"/>
    <w:rsid w:val="003B0AAE"/>
    <w:rsid w:val="003B0E35"/>
    <w:rsid w:val="003B1682"/>
    <w:rsid w:val="003B1937"/>
    <w:rsid w:val="003B6150"/>
    <w:rsid w:val="003B660D"/>
    <w:rsid w:val="003B74E4"/>
    <w:rsid w:val="003B77D3"/>
    <w:rsid w:val="003C03EB"/>
    <w:rsid w:val="003C0A77"/>
    <w:rsid w:val="003C142B"/>
    <w:rsid w:val="003C1F90"/>
    <w:rsid w:val="003C21FE"/>
    <w:rsid w:val="003C2311"/>
    <w:rsid w:val="003D0D26"/>
    <w:rsid w:val="003D4283"/>
    <w:rsid w:val="003D59EE"/>
    <w:rsid w:val="003D6219"/>
    <w:rsid w:val="003D6FA8"/>
    <w:rsid w:val="003E022B"/>
    <w:rsid w:val="003E1F3D"/>
    <w:rsid w:val="003E269D"/>
    <w:rsid w:val="003E2B20"/>
    <w:rsid w:val="003F019D"/>
    <w:rsid w:val="003F1027"/>
    <w:rsid w:val="003F6CA9"/>
    <w:rsid w:val="004008C7"/>
    <w:rsid w:val="004011BA"/>
    <w:rsid w:val="00403823"/>
    <w:rsid w:val="00403AB5"/>
    <w:rsid w:val="00404731"/>
    <w:rsid w:val="004053D4"/>
    <w:rsid w:val="004115B6"/>
    <w:rsid w:val="00413868"/>
    <w:rsid w:val="00413F6B"/>
    <w:rsid w:val="00414BA7"/>
    <w:rsid w:val="00415126"/>
    <w:rsid w:val="004152D6"/>
    <w:rsid w:val="004164B0"/>
    <w:rsid w:val="00417A6F"/>
    <w:rsid w:val="0042014B"/>
    <w:rsid w:val="004205EF"/>
    <w:rsid w:val="00421306"/>
    <w:rsid w:val="00422328"/>
    <w:rsid w:val="00422BB7"/>
    <w:rsid w:val="00423CCC"/>
    <w:rsid w:val="00424D3E"/>
    <w:rsid w:val="0042557B"/>
    <w:rsid w:val="00431771"/>
    <w:rsid w:val="004318DC"/>
    <w:rsid w:val="004347C9"/>
    <w:rsid w:val="004353C2"/>
    <w:rsid w:val="00436BB4"/>
    <w:rsid w:val="00436CD3"/>
    <w:rsid w:val="00436DF5"/>
    <w:rsid w:val="00440231"/>
    <w:rsid w:val="00440E22"/>
    <w:rsid w:val="00440F44"/>
    <w:rsid w:val="004456CC"/>
    <w:rsid w:val="00445CDC"/>
    <w:rsid w:val="00450702"/>
    <w:rsid w:val="00450FF8"/>
    <w:rsid w:val="004533ED"/>
    <w:rsid w:val="004552A2"/>
    <w:rsid w:val="00456D91"/>
    <w:rsid w:val="00461C8E"/>
    <w:rsid w:val="004640D1"/>
    <w:rsid w:val="0046717F"/>
    <w:rsid w:val="0047036B"/>
    <w:rsid w:val="00470721"/>
    <w:rsid w:val="00470B99"/>
    <w:rsid w:val="00472115"/>
    <w:rsid w:val="00475C39"/>
    <w:rsid w:val="004803E5"/>
    <w:rsid w:val="00482A22"/>
    <w:rsid w:val="00484068"/>
    <w:rsid w:val="00486626"/>
    <w:rsid w:val="00487A8B"/>
    <w:rsid w:val="00487F0F"/>
    <w:rsid w:val="0049414B"/>
    <w:rsid w:val="004977DE"/>
    <w:rsid w:val="004A1760"/>
    <w:rsid w:val="004A2115"/>
    <w:rsid w:val="004A2F6F"/>
    <w:rsid w:val="004A6F41"/>
    <w:rsid w:val="004B10F5"/>
    <w:rsid w:val="004B26EB"/>
    <w:rsid w:val="004B48AF"/>
    <w:rsid w:val="004B50BC"/>
    <w:rsid w:val="004B6187"/>
    <w:rsid w:val="004B7FFA"/>
    <w:rsid w:val="004C0182"/>
    <w:rsid w:val="004C03D5"/>
    <w:rsid w:val="004C21BB"/>
    <w:rsid w:val="004C28F5"/>
    <w:rsid w:val="004C2EB3"/>
    <w:rsid w:val="004C34C4"/>
    <w:rsid w:val="004C3CC3"/>
    <w:rsid w:val="004C4418"/>
    <w:rsid w:val="004C5006"/>
    <w:rsid w:val="004C625A"/>
    <w:rsid w:val="004C64D9"/>
    <w:rsid w:val="004C697F"/>
    <w:rsid w:val="004D43D2"/>
    <w:rsid w:val="004D652E"/>
    <w:rsid w:val="004E0529"/>
    <w:rsid w:val="004E0CAD"/>
    <w:rsid w:val="004E1EBB"/>
    <w:rsid w:val="004E3959"/>
    <w:rsid w:val="004E415C"/>
    <w:rsid w:val="004E5EA3"/>
    <w:rsid w:val="004E7F7D"/>
    <w:rsid w:val="004F0DFD"/>
    <w:rsid w:val="004F112A"/>
    <w:rsid w:val="004F1B89"/>
    <w:rsid w:val="004F3B07"/>
    <w:rsid w:val="004F42DC"/>
    <w:rsid w:val="004F6CE4"/>
    <w:rsid w:val="004F6F30"/>
    <w:rsid w:val="00502992"/>
    <w:rsid w:val="005041E4"/>
    <w:rsid w:val="0050428E"/>
    <w:rsid w:val="00506B26"/>
    <w:rsid w:val="00510952"/>
    <w:rsid w:val="00512224"/>
    <w:rsid w:val="005223FD"/>
    <w:rsid w:val="00525303"/>
    <w:rsid w:val="00527304"/>
    <w:rsid w:val="0053137B"/>
    <w:rsid w:val="00532423"/>
    <w:rsid w:val="00532BFB"/>
    <w:rsid w:val="00533E29"/>
    <w:rsid w:val="00535B95"/>
    <w:rsid w:val="00535DCE"/>
    <w:rsid w:val="005365E0"/>
    <w:rsid w:val="00542479"/>
    <w:rsid w:val="00543AEF"/>
    <w:rsid w:val="00544362"/>
    <w:rsid w:val="00547CA9"/>
    <w:rsid w:val="00550256"/>
    <w:rsid w:val="0055055C"/>
    <w:rsid w:val="0055577C"/>
    <w:rsid w:val="00557D15"/>
    <w:rsid w:val="00560034"/>
    <w:rsid w:val="00560171"/>
    <w:rsid w:val="00560BE3"/>
    <w:rsid w:val="0056179B"/>
    <w:rsid w:val="0056381D"/>
    <w:rsid w:val="0056448B"/>
    <w:rsid w:val="00565F92"/>
    <w:rsid w:val="00566FF7"/>
    <w:rsid w:val="00571E75"/>
    <w:rsid w:val="00573408"/>
    <w:rsid w:val="00573E0F"/>
    <w:rsid w:val="005761BC"/>
    <w:rsid w:val="00576ED0"/>
    <w:rsid w:val="00576F0D"/>
    <w:rsid w:val="00580BDF"/>
    <w:rsid w:val="00583EC7"/>
    <w:rsid w:val="00586C72"/>
    <w:rsid w:val="00587C8F"/>
    <w:rsid w:val="00593217"/>
    <w:rsid w:val="0059367E"/>
    <w:rsid w:val="005959F9"/>
    <w:rsid w:val="00596AD2"/>
    <w:rsid w:val="005972F7"/>
    <w:rsid w:val="00597798"/>
    <w:rsid w:val="005A0D15"/>
    <w:rsid w:val="005A18D7"/>
    <w:rsid w:val="005A2A86"/>
    <w:rsid w:val="005A4466"/>
    <w:rsid w:val="005A5392"/>
    <w:rsid w:val="005A540F"/>
    <w:rsid w:val="005A6891"/>
    <w:rsid w:val="005A6A2D"/>
    <w:rsid w:val="005B3729"/>
    <w:rsid w:val="005B5ADE"/>
    <w:rsid w:val="005C154E"/>
    <w:rsid w:val="005C31A0"/>
    <w:rsid w:val="005C35BE"/>
    <w:rsid w:val="005C4952"/>
    <w:rsid w:val="005C63F7"/>
    <w:rsid w:val="005C74C9"/>
    <w:rsid w:val="005D0EE2"/>
    <w:rsid w:val="005D2355"/>
    <w:rsid w:val="005D2565"/>
    <w:rsid w:val="005D6CD2"/>
    <w:rsid w:val="005D6E23"/>
    <w:rsid w:val="005D6F57"/>
    <w:rsid w:val="005E11FC"/>
    <w:rsid w:val="005E16F9"/>
    <w:rsid w:val="005E28FB"/>
    <w:rsid w:val="005E5130"/>
    <w:rsid w:val="005E6294"/>
    <w:rsid w:val="005E6A30"/>
    <w:rsid w:val="005E6D8B"/>
    <w:rsid w:val="005E7C51"/>
    <w:rsid w:val="005E7C87"/>
    <w:rsid w:val="005F0242"/>
    <w:rsid w:val="005F1009"/>
    <w:rsid w:val="005F1298"/>
    <w:rsid w:val="005F21D1"/>
    <w:rsid w:val="005F3B04"/>
    <w:rsid w:val="005F5ACC"/>
    <w:rsid w:val="005F6288"/>
    <w:rsid w:val="005F69CC"/>
    <w:rsid w:val="005F76B2"/>
    <w:rsid w:val="00603FF6"/>
    <w:rsid w:val="00605DDD"/>
    <w:rsid w:val="00605E06"/>
    <w:rsid w:val="00607663"/>
    <w:rsid w:val="006104D6"/>
    <w:rsid w:val="006109E9"/>
    <w:rsid w:val="00610CFE"/>
    <w:rsid w:val="00611D83"/>
    <w:rsid w:val="00611ED6"/>
    <w:rsid w:val="00613278"/>
    <w:rsid w:val="0061550B"/>
    <w:rsid w:val="0061556B"/>
    <w:rsid w:val="006173AF"/>
    <w:rsid w:val="00617B32"/>
    <w:rsid w:val="00617D62"/>
    <w:rsid w:val="0062031D"/>
    <w:rsid w:val="006225C9"/>
    <w:rsid w:val="006231E7"/>
    <w:rsid w:val="0062389F"/>
    <w:rsid w:val="006244DA"/>
    <w:rsid w:val="0062473C"/>
    <w:rsid w:val="00634850"/>
    <w:rsid w:val="00635D66"/>
    <w:rsid w:val="00640940"/>
    <w:rsid w:val="00640AF8"/>
    <w:rsid w:val="00640DAD"/>
    <w:rsid w:val="00640F10"/>
    <w:rsid w:val="0064190A"/>
    <w:rsid w:val="00642DBA"/>
    <w:rsid w:val="00646310"/>
    <w:rsid w:val="00650891"/>
    <w:rsid w:val="00655B53"/>
    <w:rsid w:val="00662536"/>
    <w:rsid w:val="006663BD"/>
    <w:rsid w:val="00670210"/>
    <w:rsid w:val="006724CC"/>
    <w:rsid w:val="00674463"/>
    <w:rsid w:val="006754D2"/>
    <w:rsid w:val="006810CE"/>
    <w:rsid w:val="00683D7C"/>
    <w:rsid w:val="006859F7"/>
    <w:rsid w:val="0069019B"/>
    <w:rsid w:val="00690B97"/>
    <w:rsid w:val="00693363"/>
    <w:rsid w:val="00693D92"/>
    <w:rsid w:val="0069518F"/>
    <w:rsid w:val="00696A94"/>
    <w:rsid w:val="00697A4F"/>
    <w:rsid w:val="006A386A"/>
    <w:rsid w:val="006A41AF"/>
    <w:rsid w:val="006A5E3E"/>
    <w:rsid w:val="006A797E"/>
    <w:rsid w:val="006B0C72"/>
    <w:rsid w:val="006B4380"/>
    <w:rsid w:val="006B7D84"/>
    <w:rsid w:val="006B7FC7"/>
    <w:rsid w:val="006C1B88"/>
    <w:rsid w:val="006C38AD"/>
    <w:rsid w:val="006C6B74"/>
    <w:rsid w:val="006D0656"/>
    <w:rsid w:val="006D09EF"/>
    <w:rsid w:val="006D4B39"/>
    <w:rsid w:val="006D4D41"/>
    <w:rsid w:val="006E1CCF"/>
    <w:rsid w:val="006E35F7"/>
    <w:rsid w:val="006E607F"/>
    <w:rsid w:val="006E6527"/>
    <w:rsid w:val="006F050F"/>
    <w:rsid w:val="006F2940"/>
    <w:rsid w:val="006F2CC8"/>
    <w:rsid w:val="006F3537"/>
    <w:rsid w:val="006F3F1B"/>
    <w:rsid w:val="006F513F"/>
    <w:rsid w:val="006F6450"/>
    <w:rsid w:val="006F73DA"/>
    <w:rsid w:val="007005CD"/>
    <w:rsid w:val="00703EBF"/>
    <w:rsid w:val="007055B2"/>
    <w:rsid w:val="007069EB"/>
    <w:rsid w:val="00712977"/>
    <w:rsid w:val="00712ED5"/>
    <w:rsid w:val="00714488"/>
    <w:rsid w:val="007162A5"/>
    <w:rsid w:val="0071762D"/>
    <w:rsid w:val="007231E9"/>
    <w:rsid w:val="00724811"/>
    <w:rsid w:val="00725BC0"/>
    <w:rsid w:val="00726797"/>
    <w:rsid w:val="00726CB4"/>
    <w:rsid w:val="007320EE"/>
    <w:rsid w:val="00733700"/>
    <w:rsid w:val="007360B9"/>
    <w:rsid w:val="00740005"/>
    <w:rsid w:val="0074020C"/>
    <w:rsid w:val="00740DF8"/>
    <w:rsid w:val="00744A2C"/>
    <w:rsid w:val="007471C7"/>
    <w:rsid w:val="00750F7C"/>
    <w:rsid w:val="00751B9F"/>
    <w:rsid w:val="00753381"/>
    <w:rsid w:val="0075427A"/>
    <w:rsid w:val="00756AB3"/>
    <w:rsid w:val="0076304F"/>
    <w:rsid w:val="00764BCB"/>
    <w:rsid w:val="00773899"/>
    <w:rsid w:val="00780473"/>
    <w:rsid w:val="00784200"/>
    <w:rsid w:val="00784B86"/>
    <w:rsid w:val="00786AF7"/>
    <w:rsid w:val="007907E5"/>
    <w:rsid w:val="00791216"/>
    <w:rsid w:val="00792CEB"/>
    <w:rsid w:val="00795D7B"/>
    <w:rsid w:val="00797654"/>
    <w:rsid w:val="007A0AE5"/>
    <w:rsid w:val="007A1356"/>
    <w:rsid w:val="007A3E56"/>
    <w:rsid w:val="007A447F"/>
    <w:rsid w:val="007A4A11"/>
    <w:rsid w:val="007A5771"/>
    <w:rsid w:val="007A69C1"/>
    <w:rsid w:val="007A69E2"/>
    <w:rsid w:val="007B0238"/>
    <w:rsid w:val="007B1879"/>
    <w:rsid w:val="007B2559"/>
    <w:rsid w:val="007B3B54"/>
    <w:rsid w:val="007B3BE2"/>
    <w:rsid w:val="007B5566"/>
    <w:rsid w:val="007B6A76"/>
    <w:rsid w:val="007B711A"/>
    <w:rsid w:val="007C3F49"/>
    <w:rsid w:val="007C434F"/>
    <w:rsid w:val="007C5B64"/>
    <w:rsid w:val="007C65D4"/>
    <w:rsid w:val="007C6F7F"/>
    <w:rsid w:val="007D03F4"/>
    <w:rsid w:val="007D0647"/>
    <w:rsid w:val="007D0E21"/>
    <w:rsid w:val="007D1EFA"/>
    <w:rsid w:val="007D532E"/>
    <w:rsid w:val="007D608A"/>
    <w:rsid w:val="007D7069"/>
    <w:rsid w:val="007E242D"/>
    <w:rsid w:val="007E257F"/>
    <w:rsid w:val="007E62E6"/>
    <w:rsid w:val="007E68E9"/>
    <w:rsid w:val="007E7452"/>
    <w:rsid w:val="007F0BC0"/>
    <w:rsid w:val="007F33DA"/>
    <w:rsid w:val="007F4404"/>
    <w:rsid w:val="007F44BE"/>
    <w:rsid w:val="007F46BC"/>
    <w:rsid w:val="007F4C48"/>
    <w:rsid w:val="00802108"/>
    <w:rsid w:val="008021B1"/>
    <w:rsid w:val="00802A51"/>
    <w:rsid w:val="00802CA7"/>
    <w:rsid w:val="00804BE3"/>
    <w:rsid w:val="00806377"/>
    <w:rsid w:val="00806EFF"/>
    <w:rsid w:val="00807ED4"/>
    <w:rsid w:val="00812636"/>
    <w:rsid w:val="0082056F"/>
    <w:rsid w:val="00821537"/>
    <w:rsid w:val="008247CD"/>
    <w:rsid w:val="008258CA"/>
    <w:rsid w:val="00825C08"/>
    <w:rsid w:val="00825D8D"/>
    <w:rsid w:val="00826A1C"/>
    <w:rsid w:val="0083058C"/>
    <w:rsid w:val="00831E80"/>
    <w:rsid w:val="0083363C"/>
    <w:rsid w:val="008344FF"/>
    <w:rsid w:val="00834ACA"/>
    <w:rsid w:val="00834B1C"/>
    <w:rsid w:val="008354D5"/>
    <w:rsid w:val="00835DE7"/>
    <w:rsid w:val="00836304"/>
    <w:rsid w:val="0083631A"/>
    <w:rsid w:val="00836631"/>
    <w:rsid w:val="00840E08"/>
    <w:rsid w:val="0084540A"/>
    <w:rsid w:val="00846097"/>
    <w:rsid w:val="008474A2"/>
    <w:rsid w:val="00850F11"/>
    <w:rsid w:val="00852A83"/>
    <w:rsid w:val="00852CAE"/>
    <w:rsid w:val="00853473"/>
    <w:rsid w:val="00853B8B"/>
    <w:rsid w:val="00853E1F"/>
    <w:rsid w:val="00854D3E"/>
    <w:rsid w:val="00854F65"/>
    <w:rsid w:val="00861D20"/>
    <w:rsid w:val="008622E4"/>
    <w:rsid w:val="00865E7A"/>
    <w:rsid w:val="00865F30"/>
    <w:rsid w:val="00867A12"/>
    <w:rsid w:val="00871BB7"/>
    <w:rsid w:val="00872E19"/>
    <w:rsid w:val="00874AAE"/>
    <w:rsid w:val="00875708"/>
    <w:rsid w:val="00875BF1"/>
    <w:rsid w:val="00875E89"/>
    <w:rsid w:val="00877FD8"/>
    <w:rsid w:val="0088013B"/>
    <w:rsid w:val="00881557"/>
    <w:rsid w:val="00881A97"/>
    <w:rsid w:val="0088402C"/>
    <w:rsid w:val="00884122"/>
    <w:rsid w:val="00884504"/>
    <w:rsid w:val="00885F8A"/>
    <w:rsid w:val="00890346"/>
    <w:rsid w:val="00891979"/>
    <w:rsid w:val="0089433D"/>
    <w:rsid w:val="008952ED"/>
    <w:rsid w:val="00895E40"/>
    <w:rsid w:val="00896DE6"/>
    <w:rsid w:val="008A2027"/>
    <w:rsid w:val="008A2CD6"/>
    <w:rsid w:val="008A343E"/>
    <w:rsid w:val="008A5088"/>
    <w:rsid w:val="008A5590"/>
    <w:rsid w:val="008A58A6"/>
    <w:rsid w:val="008A61F2"/>
    <w:rsid w:val="008A7C6F"/>
    <w:rsid w:val="008B0D6E"/>
    <w:rsid w:val="008B0EEF"/>
    <w:rsid w:val="008B20CD"/>
    <w:rsid w:val="008B2BD8"/>
    <w:rsid w:val="008B4328"/>
    <w:rsid w:val="008B4B63"/>
    <w:rsid w:val="008B64B9"/>
    <w:rsid w:val="008B72CA"/>
    <w:rsid w:val="008B7312"/>
    <w:rsid w:val="008B7F9F"/>
    <w:rsid w:val="008C1818"/>
    <w:rsid w:val="008C1A63"/>
    <w:rsid w:val="008C2AA4"/>
    <w:rsid w:val="008C3057"/>
    <w:rsid w:val="008C38B7"/>
    <w:rsid w:val="008C3EF1"/>
    <w:rsid w:val="008D3CDC"/>
    <w:rsid w:val="008D5426"/>
    <w:rsid w:val="008D5815"/>
    <w:rsid w:val="008E1721"/>
    <w:rsid w:val="008E33C6"/>
    <w:rsid w:val="008E3865"/>
    <w:rsid w:val="008E3CD2"/>
    <w:rsid w:val="008E3D9E"/>
    <w:rsid w:val="008E3F11"/>
    <w:rsid w:val="008E497C"/>
    <w:rsid w:val="008E4E38"/>
    <w:rsid w:val="008E55FF"/>
    <w:rsid w:val="008F11A3"/>
    <w:rsid w:val="008F3744"/>
    <w:rsid w:val="008F7F78"/>
    <w:rsid w:val="0090183B"/>
    <w:rsid w:val="00902544"/>
    <w:rsid w:val="00905421"/>
    <w:rsid w:val="00905A43"/>
    <w:rsid w:val="00905C0A"/>
    <w:rsid w:val="00905EB9"/>
    <w:rsid w:val="00907060"/>
    <w:rsid w:val="00907274"/>
    <w:rsid w:val="00907971"/>
    <w:rsid w:val="00910798"/>
    <w:rsid w:val="00910C5A"/>
    <w:rsid w:val="009132E3"/>
    <w:rsid w:val="00913802"/>
    <w:rsid w:val="009148AC"/>
    <w:rsid w:val="00914C1D"/>
    <w:rsid w:val="00914E57"/>
    <w:rsid w:val="009248A8"/>
    <w:rsid w:val="00927553"/>
    <w:rsid w:val="0093297A"/>
    <w:rsid w:val="009333F1"/>
    <w:rsid w:val="00934CC8"/>
    <w:rsid w:val="0093720E"/>
    <w:rsid w:val="00937832"/>
    <w:rsid w:val="00940D05"/>
    <w:rsid w:val="0094128A"/>
    <w:rsid w:val="00941339"/>
    <w:rsid w:val="00941F1D"/>
    <w:rsid w:val="00943829"/>
    <w:rsid w:val="009441ED"/>
    <w:rsid w:val="00944508"/>
    <w:rsid w:val="00945910"/>
    <w:rsid w:val="0094622B"/>
    <w:rsid w:val="00946E17"/>
    <w:rsid w:val="00955AD3"/>
    <w:rsid w:val="00960FE0"/>
    <w:rsid w:val="009611C0"/>
    <w:rsid w:val="00962A7D"/>
    <w:rsid w:val="00964194"/>
    <w:rsid w:val="00964D25"/>
    <w:rsid w:val="0096630A"/>
    <w:rsid w:val="00966A2E"/>
    <w:rsid w:val="00966E35"/>
    <w:rsid w:val="00970BBB"/>
    <w:rsid w:val="00973AF4"/>
    <w:rsid w:val="00977941"/>
    <w:rsid w:val="00977E03"/>
    <w:rsid w:val="009828B2"/>
    <w:rsid w:val="0098465E"/>
    <w:rsid w:val="00986804"/>
    <w:rsid w:val="00990F9E"/>
    <w:rsid w:val="00992BD3"/>
    <w:rsid w:val="00993BAE"/>
    <w:rsid w:val="0099546D"/>
    <w:rsid w:val="009960F9"/>
    <w:rsid w:val="0099770C"/>
    <w:rsid w:val="00997A56"/>
    <w:rsid w:val="009A0227"/>
    <w:rsid w:val="009A3853"/>
    <w:rsid w:val="009A58E6"/>
    <w:rsid w:val="009A635C"/>
    <w:rsid w:val="009A690F"/>
    <w:rsid w:val="009A6EB9"/>
    <w:rsid w:val="009B029F"/>
    <w:rsid w:val="009B0520"/>
    <w:rsid w:val="009B19FF"/>
    <w:rsid w:val="009B4220"/>
    <w:rsid w:val="009B785D"/>
    <w:rsid w:val="009B7ECB"/>
    <w:rsid w:val="009C2A3C"/>
    <w:rsid w:val="009C3D48"/>
    <w:rsid w:val="009C4CAC"/>
    <w:rsid w:val="009C5B73"/>
    <w:rsid w:val="009C5B87"/>
    <w:rsid w:val="009C5CA8"/>
    <w:rsid w:val="009D07EF"/>
    <w:rsid w:val="009D23E9"/>
    <w:rsid w:val="009D2BC0"/>
    <w:rsid w:val="009D2F28"/>
    <w:rsid w:val="009D327F"/>
    <w:rsid w:val="009D3731"/>
    <w:rsid w:val="009D4E07"/>
    <w:rsid w:val="009D56D7"/>
    <w:rsid w:val="009D6969"/>
    <w:rsid w:val="009D7F5D"/>
    <w:rsid w:val="009E41D3"/>
    <w:rsid w:val="009E5E25"/>
    <w:rsid w:val="009E77F2"/>
    <w:rsid w:val="009F2FF9"/>
    <w:rsid w:val="009F3DF5"/>
    <w:rsid w:val="009F461C"/>
    <w:rsid w:val="00A0156A"/>
    <w:rsid w:val="00A02972"/>
    <w:rsid w:val="00A0493F"/>
    <w:rsid w:val="00A05C28"/>
    <w:rsid w:val="00A06C96"/>
    <w:rsid w:val="00A072AE"/>
    <w:rsid w:val="00A10889"/>
    <w:rsid w:val="00A109D4"/>
    <w:rsid w:val="00A12126"/>
    <w:rsid w:val="00A12A25"/>
    <w:rsid w:val="00A12D57"/>
    <w:rsid w:val="00A12D70"/>
    <w:rsid w:val="00A1430A"/>
    <w:rsid w:val="00A14A82"/>
    <w:rsid w:val="00A1518E"/>
    <w:rsid w:val="00A17C7A"/>
    <w:rsid w:val="00A21469"/>
    <w:rsid w:val="00A215F4"/>
    <w:rsid w:val="00A21B50"/>
    <w:rsid w:val="00A2215A"/>
    <w:rsid w:val="00A2275D"/>
    <w:rsid w:val="00A22F48"/>
    <w:rsid w:val="00A24753"/>
    <w:rsid w:val="00A256C3"/>
    <w:rsid w:val="00A25AFB"/>
    <w:rsid w:val="00A300E2"/>
    <w:rsid w:val="00A31C8A"/>
    <w:rsid w:val="00A36B6F"/>
    <w:rsid w:val="00A36C35"/>
    <w:rsid w:val="00A37A93"/>
    <w:rsid w:val="00A438B7"/>
    <w:rsid w:val="00A44995"/>
    <w:rsid w:val="00A44D65"/>
    <w:rsid w:val="00A45F83"/>
    <w:rsid w:val="00A463BE"/>
    <w:rsid w:val="00A46D6D"/>
    <w:rsid w:val="00A51C30"/>
    <w:rsid w:val="00A5226D"/>
    <w:rsid w:val="00A52BF9"/>
    <w:rsid w:val="00A5361C"/>
    <w:rsid w:val="00A53730"/>
    <w:rsid w:val="00A54248"/>
    <w:rsid w:val="00A55BC0"/>
    <w:rsid w:val="00A56BEF"/>
    <w:rsid w:val="00A5704A"/>
    <w:rsid w:val="00A57687"/>
    <w:rsid w:val="00A57D2F"/>
    <w:rsid w:val="00A60F96"/>
    <w:rsid w:val="00A61231"/>
    <w:rsid w:val="00A6297F"/>
    <w:rsid w:val="00A65515"/>
    <w:rsid w:val="00A71876"/>
    <w:rsid w:val="00A7345B"/>
    <w:rsid w:val="00A7442A"/>
    <w:rsid w:val="00A76D9B"/>
    <w:rsid w:val="00A832A0"/>
    <w:rsid w:val="00A833FB"/>
    <w:rsid w:val="00A83CCD"/>
    <w:rsid w:val="00A87317"/>
    <w:rsid w:val="00A873DD"/>
    <w:rsid w:val="00A91411"/>
    <w:rsid w:val="00A94647"/>
    <w:rsid w:val="00A95D43"/>
    <w:rsid w:val="00A95F6F"/>
    <w:rsid w:val="00A960F1"/>
    <w:rsid w:val="00A9698A"/>
    <w:rsid w:val="00AA0612"/>
    <w:rsid w:val="00AA2D57"/>
    <w:rsid w:val="00AA3F14"/>
    <w:rsid w:val="00AA3F39"/>
    <w:rsid w:val="00AA6325"/>
    <w:rsid w:val="00AB0EDB"/>
    <w:rsid w:val="00AB29C7"/>
    <w:rsid w:val="00AB2BF1"/>
    <w:rsid w:val="00AB48CD"/>
    <w:rsid w:val="00AB538B"/>
    <w:rsid w:val="00AB6D11"/>
    <w:rsid w:val="00AB75B8"/>
    <w:rsid w:val="00AC088B"/>
    <w:rsid w:val="00AC1142"/>
    <w:rsid w:val="00AC2FD9"/>
    <w:rsid w:val="00AC3266"/>
    <w:rsid w:val="00AC72F0"/>
    <w:rsid w:val="00AD0D2D"/>
    <w:rsid w:val="00AD0E7C"/>
    <w:rsid w:val="00AD29E4"/>
    <w:rsid w:val="00AD32D0"/>
    <w:rsid w:val="00AD3A50"/>
    <w:rsid w:val="00AD51CE"/>
    <w:rsid w:val="00AD735D"/>
    <w:rsid w:val="00AD7650"/>
    <w:rsid w:val="00AE061A"/>
    <w:rsid w:val="00AE4FFB"/>
    <w:rsid w:val="00AE51CF"/>
    <w:rsid w:val="00AE565F"/>
    <w:rsid w:val="00AE7959"/>
    <w:rsid w:val="00AF327F"/>
    <w:rsid w:val="00AF3626"/>
    <w:rsid w:val="00AF76B9"/>
    <w:rsid w:val="00B005E5"/>
    <w:rsid w:val="00B01724"/>
    <w:rsid w:val="00B04623"/>
    <w:rsid w:val="00B05F83"/>
    <w:rsid w:val="00B07BC7"/>
    <w:rsid w:val="00B107DE"/>
    <w:rsid w:val="00B11307"/>
    <w:rsid w:val="00B1368B"/>
    <w:rsid w:val="00B13B6B"/>
    <w:rsid w:val="00B14E27"/>
    <w:rsid w:val="00B15CA5"/>
    <w:rsid w:val="00B221AD"/>
    <w:rsid w:val="00B27371"/>
    <w:rsid w:val="00B27FDD"/>
    <w:rsid w:val="00B30061"/>
    <w:rsid w:val="00B30162"/>
    <w:rsid w:val="00B31461"/>
    <w:rsid w:val="00B31649"/>
    <w:rsid w:val="00B37596"/>
    <w:rsid w:val="00B37B7F"/>
    <w:rsid w:val="00B42ECE"/>
    <w:rsid w:val="00B43E2A"/>
    <w:rsid w:val="00B44D4B"/>
    <w:rsid w:val="00B45006"/>
    <w:rsid w:val="00B4550A"/>
    <w:rsid w:val="00B50C38"/>
    <w:rsid w:val="00B510AE"/>
    <w:rsid w:val="00B51BDB"/>
    <w:rsid w:val="00B53589"/>
    <w:rsid w:val="00B55023"/>
    <w:rsid w:val="00B55488"/>
    <w:rsid w:val="00B556AC"/>
    <w:rsid w:val="00B56443"/>
    <w:rsid w:val="00B579A7"/>
    <w:rsid w:val="00B615F9"/>
    <w:rsid w:val="00B63232"/>
    <w:rsid w:val="00B632B4"/>
    <w:rsid w:val="00B634C6"/>
    <w:rsid w:val="00B636DC"/>
    <w:rsid w:val="00B64B1F"/>
    <w:rsid w:val="00B64C58"/>
    <w:rsid w:val="00B668E7"/>
    <w:rsid w:val="00B70A6F"/>
    <w:rsid w:val="00B72075"/>
    <w:rsid w:val="00B72F22"/>
    <w:rsid w:val="00B73CD8"/>
    <w:rsid w:val="00B749C9"/>
    <w:rsid w:val="00B751A7"/>
    <w:rsid w:val="00B75AB6"/>
    <w:rsid w:val="00B8083A"/>
    <w:rsid w:val="00B81AFC"/>
    <w:rsid w:val="00B81F04"/>
    <w:rsid w:val="00B81FCB"/>
    <w:rsid w:val="00B867DD"/>
    <w:rsid w:val="00B90EA0"/>
    <w:rsid w:val="00B914D3"/>
    <w:rsid w:val="00B9375A"/>
    <w:rsid w:val="00B96747"/>
    <w:rsid w:val="00B97112"/>
    <w:rsid w:val="00B97C29"/>
    <w:rsid w:val="00BA0CE8"/>
    <w:rsid w:val="00BA19BE"/>
    <w:rsid w:val="00BA4B0C"/>
    <w:rsid w:val="00BB1D59"/>
    <w:rsid w:val="00BB4E99"/>
    <w:rsid w:val="00BB5EA5"/>
    <w:rsid w:val="00BB5FBA"/>
    <w:rsid w:val="00BC0AAB"/>
    <w:rsid w:val="00BC0B49"/>
    <w:rsid w:val="00BC63F3"/>
    <w:rsid w:val="00BD1864"/>
    <w:rsid w:val="00BD2E15"/>
    <w:rsid w:val="00BD751C"/>
    <w:rsid w:val="00BE46AC"/>
    <w:rsid w:val="00BE639D"/>
    <w:rsid w:val="00BF08B5"/>
    <w:rsid w:val="00BF3EAE"/>
    <w:rsid w:val="00BF44C4"/>
    <w:rsid w:val="00BF5081"/>
    <w:rsid w:val="00BF5C66"/>
    <w:rsid w:val="00BF6BE2"/>
    <w:rsid w:val="00C01C01"/>
    <w:rsid w:val="00C02F16"/>
    <w:rsid w:val="00C0341A"/>
    <w:rsid w:val="00C04619"/>
    <w:rsid w:val="00C05A4F"/>
    <w:rsid w:val="00C05E5B"/>
    <w:rsid w:val="00C061E3"/>
    <w:rsid w:val="00C119C2"/>
    <w:rsid w:val="00C122D5"/>
    <w:rsid w:val="00C12B1C"/>
    <w:rsid w:val="00C14967"/>
    <w:rsid w:val="00C1627A"/>
    <w:rsid w:val="00C22F4C"/>
    <w:rsid w:val="00C23789"/>
    <w:rsid w:val="00C23DBC"/>
    <w:rsid w:val="00C26866"/>
    <w:rsid w:val="00C26E47"/>
    <w:rsid w:val="00C2750C"/>
    <w:rsid w:val="00C30253"/>
    <w:rsid w:val="00C3083F"/>
    <w:rsid w:val="00C33404"/>
    <w:rsid w:val="00C34A8C"/>
    <w:rsid w:val="00C41927"/>
    <w:rsid w:val="00C41CBA"/>
    <w:rsid w:val="00C42CE4"/>
    <w:rsid w:val="00C43BDE"/>
    <w:rsid w:val="00C446BD"/>
    <w:rsid w:val="00C502B8"/>
    <w:rsid w:val="00C53EDB"/>
    <w:rsid w:val="00C60164"/>
    <w:rsid w:val="00C62334"/>
    <w:rsid w:val="00C652AA"/>
    <w:rsid w:val="00C676E5"/>
    <w:rsid w:val="00C7079D"/>
    <w:rsid w:val="00C71638"/>
    <w:rsid w:val="00C71A96"/>
    <w:rsid w:val="00C7374A"/>
    <w:rsid w:val="00C81D29"/>
    <w:rsid w:val="00C86566"/>
    <w:rsid w:val="00C86BB5"/>
    <w:rsid w:val="00C90DDF"/>
    <w:rsid w:val="00C917EB"/>
    <w:rsid w:val="00C926AD"/>
    <w:rsid w:val="00C92CFB"/>
    <w:rsid w:val="00C93193"/>
    <w:rsid w:val="00C95E76"/>
    <w:rsid w:val="00C97FF4"/>
    <w:rsid w:val="00CA0643"/>
    <w:rsid w:val="00CA0ADF"/>
    <w:rsid w:val="00CA3A14"/>
    <w:rsid w:val="00CA3C2A"/>
    <w:rsid w:val="00CA5938"/>
    <w:rsid w:val="00CA5EBF"/>
    <w:rsid w:val="00CA6C07"/>
    <w:rsid w:val="00CB027B"/>
    <w:rsid w:val="00CB04F8"/>
    <w:rsid w:val="00CB642F"/>
    <w:rsid w:val="00CB7F0D"/>
    <w:rsid w:val="00CC1DF7"/>
    <w:rsid w:val="00CC28C6"/>
    <w:rsid w:val="00CC36E1"/>
    <w:rsid w:val="00CC4808"/>
    <w:rsid w:val="00CC4C0C"/>
    <w:rsid w:val="00CD1B6F"/>
    <w:rsid w:val="00CD30AA"/>
    <w:rsid w:val="00CD3D90"/>
    <w:rsid w:val="00CD3F5B"/>
    <w:rsid w:val="00CD4A55"/>
    <w:rsid w:val="00CD56F8"/>
    <w:rsid w:val="00CD5923"/>
    <w:rsid w:val="00CD67E1"/>
    <w:rsid w:val="00CE0D2C"/>
    <w:rsid w:val="00CE0EFD"/>
    <w:rsid w:val="00CE1B8A"/>
    <w:rsid w:val="00CE418C"/>
    <w:rsid w:val="00CE4936"/>
    <w:rsid w:val="00CE5A65"/>
    <w:rsid w:val="00CE5BE1"/>
    <w:rsid w:val="00CE677E"/>
    <w:rsid w:val="00CE73BB"/>
    <w:rsid w:val="00CE77AE"/>
    <w:rsid w:val="00CF0867"/>
    <w:rsid w:val="00CF17E9"/>
    <w:rsid w:val="00CF2D63"/>
    <w:rsid w:val="00CF32F4"/>
    <w:rsid w:val="00CF34A0"/>
    <w:rsid w:val="00CF3600"/>
    <w:rsid w:val="00CF5206"/>
    <w:rsid w:val="00CF65B7"/>
    <w:rsid w:val="00CF70FA"/>
    <w:rsid w:val="00D003B0"/>
    <w:rsid w:val="00D03610"/>
    <w:rsid w:val="00D06F27"/>
    <w:rsid w:val="00D07271"/>
    <w:rsid w:val="00D104D6"/>
    <w:rsid w:val="00D11376"/>
    <w:rsid w:val="00D14EC0"/>
    <w:rsid w:val="00D15807"/>
    <w:rsid w:val="00D17563"/>
    <w:rsid w:val="00D2234D"/>
    <w:rsid w:val="00D24520"/>
    <w:rsid w:val="00D2554C"/>
    <w:rsid w:val="00D262EA"/>
    <w:rsid w:val="00D31595"/>
    <w:rsid w:val="00D31DFE"/>
    <w:rsid w:val="00D34A5C"/>
    <w:rsid w:val="00D3780F"/>
    <w:rsid w:val="00D378A3"/>
    <w:rsid w:val="00D404A8"/>
    <w:rsid w:val="00D40AAD"/>
    <w:rsid w:val="00D40DEC"/>
    <w:rsid w:val="00D4403D"/>
    <w:rsid w:val="00D4482D"/>
    <w:rsid w:val="00D4526A"/>
    <w:rsid w:val="00D454E8"/>
    <w:rsid w:val="00D462EE"/>
    <w:rsid w:val="00D47ACC"/>
    <w:rsid w:val="00D51066"/>
    <w:rsid w:val="00D51FE7"/>
    <w:rsid w:val="00D52F32"/>
    <w:rsid w:val="00D53831"/>
    <w:rsid w:val="00D55E90"/>
    <w:rsid w:val="00D55FAC"/>
    <w:rsid w:val="00D60807"/>
    <w:rsid w:val="00D61332"/>
    <w:rsid w:val="00D62292"/>
    <w:rsid w:val="00D62593"/>
    <w:rsid w:val="00D64D1F"/>
    <w:rsid w:val="00D66519"/>
    <w:rsid w:val="00D7160E"/>
    <w:rsid w:val="00D72CE4"/>
    <w:rsid w:val="00D73280"/>
    <w:rsid w:val="00D735FF"/>
    <w:rsid w:val="00D73A3C"/>
    <w:rsid w:val="00D74FF1"/>
    <w:rsid w:val="00D82E72"/>
    <w:rsid w:val="00D903A6"/>
    <w:rsid w:val="00D90465"/>
    <w:rsid w:val="00D9098B"/>
    <w:rsid w:val="00D91BC7"/>
    <w:rsid w:val="00D9288B"/>
    <w:rsid w:val="00D935EB"/>
    <w:rsid w:val="00D938F7"/>
    <w:rsid w:val="00D93A62"/>
    <w:rsid w:val="00D94529"/>
    <w:rsid w:val="00D953AA"/>
    <w:rsid w:val="00D961B4"/>
    <w:rsid w:val="00DA0765"/>
    <w:rsid w:val="00DA1C78"/>
    <w:rsid w:val="00DA3060"/>
    <w:rsid w:val="00DA5F14"/>
    <w:rsid w:val="00DA62A2"/>
    <w:rsid w:val="00DA6F20"/>
    <w:rsid w:val="00DB089A"/>
    <w:rsid w:val="00DB17ED"/>
    <w:rsid w:val="00DB33D5"/>
    <w:rsid w:val="00DB5B5B"/>
    <w:rsid w:val="00DB6D91"/>
    <w:rsid w:val="00DC11FD"/>
    <w:rsid w:val="00DC2D7A"/>
    <w:rsid w:val="00DD14E1"/>
    <w:rsid w:val="00DD63E3"/>
    <w:rsid w:val="00DE0959"/>
    <w:rsid w:val="00DE1245"/>
    <w:rsid w:val="00DE3A75"/>
    <w:rsid w:val="00DF08B1"/>
    <w:rsid w:val="00DF0E82"/>
    <w:rsid w:val="00DF53D7"/>
    <w:rsid w:val="00DF54C2"/>
    <w:rsid w:val="00DF5787"/>
    <w:rsid w:val="00E019D5"/>
    <w:rsid w:val="00E02771"/>
    <w:rsid w:val="00E02DF9"/>
    <w:rsid w:val="00E03E14"/>
    <w:rsid w:val="00E06474"/>
    <w:rsid w:val="00E06511"/>
    <w:rsid w:val="00E10948"/>
    <w:rsid w:val="00E1193F"/>
    <w:rsid w:val="00E1231B"/>
    <w:rsid w:val="00E138B2"/>
    <w:rsid w:val="00E13A95"/>
    <w:rsid w:val="00E1446D"/>
    <w:rsid w:val="00E146ED"/>
    <w:rsid w:val="00E14F64"/>
    <w:rsid w:val="00E15FD6"/>
    <w:rsid w:val="00E1630A"/>
    <w:rsid w:val="00E16787"/>
    <w:rsid w:val="00E16AED"/>
    <w:rsid w:val="00E16E5F"/>
    <w:rsid w:val="00E205B3"/>
    <w:rsid w:val="00E22DA3"/>
    <w:rsid w:val="00E23208"/>
    <w:rsid w:val="00E24A15"/>
    <w:rsid w:val="00E24F4E"/>
    <w:rsid w:val="00E25428"/>
    <w:rsid w:val="00E275CC"/>
    <w:rsid w:val="00E2768A"/>
    <w:rsid w:val="00E3023E"/>
    <w:rsid w:val="00E338FA"/>
    <w:rsid w:val="00E33CB2"/>
    <w:rsid w:val="00E34B78"/>
    <w:rsid w:val="00E42723"/>
    <w:rsid w:val="00E428B2"/>
    <w:rsid w:val="00E46F71"/>
    <w:rsid w:val="00E47019"/>
    <w:rsid w:val="00E50A44"/>
    <w:rsid w:val="00E51E6B"/>
    <w:rsid w:val="00E51FE7"/>
    <w:rsid w:val="00E52C7E"/>
    <w:rsid w:val="00E53AD3"/>
    <w:rsid w:val="00E56A2C"/>
    <w:rsid w:val="00E62220"/>
    <w:rsid w:val="00E6281F"/>
    <w:rsid w:val="00E67F9B"/>
    <w:rsid w:val="00E710BE"/>
    <w:rsid w:val="00E7585E"/>
    <w:rsid w:val="00E760B6"/>
    <w:rsid w:val="00E7692F"/>
    <w:rsid w:val="00E76BE4"/>
    <w:rsid w:val="00E8056B"/>
    <w:rsid w:val="00E80A1A"/>
    <w:rsid w:val="00E81D8E"/>
    <w:rsid w:val="00E8228A"/>
    <w:rsid w:val="00E85C83"/>
    <w:rsid w:val="00E8626D"/>
    <w:rsid w:val="00E95091"/>
    <w:rsid w:val="00E96A18"/>
    <w:rsid w:val="00E96AA4"/>
    <w:rsid w:val="00EA0CEF"/>
    <w:rsid w:val="00EA1831"/>
    <w:rsid w:val="00EA2204"/>
    <w:rsid w:val="00EA2746"/>
    <w:rsid w:val="00EA3251"/>
    <w:rsid w:val="00EA76CC"/>
    <w:rsid w:val="00EB0C47"/>
    <w:rsid w:val="00EB0E80"/>
    <w:rsid w:val="00EB16D0"/>
    <w:rsid w:val="00EB1FE0"/>
    <w:rsid w:val="00EB39FF"/>
    <w:rsid w:val="00EB52D8"/>
    <w:rsid w:val="00EC3571"/>
    <w:rsid w:val="00EC6498"/>
    <w:rsid w:val="00EC7FDA"/>
    <w:rsid w:val="00ED06E4"/>
    <w:rsid w:val="00ED0B80"/>
    <w:rsid w:val="00ED1DB0"/>
    <w:rsid w:val="00ED2995"/>
    <w:rsid w:val="00ED41E0"/>
    <w:rsid w:val="00ED4667"/>
    <w:rsid w:val="00ED4F88"/>
    <w:rsid w:val="00ED582F"/>
    <w:rsid w:val="00ED6831"/>
    <w:rsid w:val="00ED745A"/>
    <w:rsid w:val="00EE07EE"/>
    <w:rsid w:val="00EE1242"/>
    <w:rsid w:val="00EE275D"/>
    <w:rsid w:val="00EE3F5C"/>
    <w:rsid w:val="00EE4129"/>
    <w:rsid w:val="00EE4132"/>
    <w:rsid w:val="00EE4228"/>
    <w:rsid w:val="00EF014A"/>
    <w:rsid w:val="00EF0EA3"/>
    <w:rsid w:val="00EF6EED"/>
    <w:rsid w:val="00F00BBD"/>
    <w:rsid w:val="00F00C11"/>
    <w:rsid w:val="00F019AA"/>
    <w:rsid w:val="00F042CA"/>
    <w:rsid w:val="00F050A9"/>
    <w:rsid w:val="00F0610C"/>
    <w:rsid w:val="00F06E9C"/>
    <w:rsid w:val="00F105BF"/>
    <w:rsid w:val="00F12173"/>
    <w:rsid w:val="00F13A42"/>
    <w:rsid w:val="00F13E75"/>
    <w:rsid w:val="00F1550C"/>
    <w:rsid w:val="00F16C2D"/>
    <w:rsid w:val="00F17E6F"/>
    <w:rsid w:val="00F17EC7"/>
    <w:rsid w:val="00F20633"/>
    <w:rsid w:val="00F21CE8"/>
    <w:rsid w:val="00F23F7C"/>
    <w:rsid w:val="00F24101"/>
    <w:rsid w:val="00F24AA1"/>
    <w:rsid w:val="00F26132"/>
    <w:rsid w:val="00F26CFA"/>
    <w:rsid w:val="00F26D5F"/>
    <w:rsid w:val="00F31C8B"/>
    <w:rsid w:val="00F322F1"/>
    <w:rsid w:val="00F32BD9"/>
    <w:rsid w:val="00F33008"/>
    <w:rsid w:val="00F37828"/>
    <w:rsid w:val="00F448EA"/>
    <w:rsid w:val="00F475EC"/>
    <w:rsid w:val="00F503B7"/>
    <w:rsid w:val="00F506FD"/>
    <w:rsid w:val="00F51B8C"/>
    <w:rsid w:val="00F51D63"/>
    <w:rsid w:val="00F52310"/>
    <w:rsid w:val="00F56935"/>
    <w:rsid w:val="00F571CF"/>
    <w:rsid w:val="00F637DB"/>
    <w:rsid w:val="00F662E2"/>
    <w:rsid w:val="00F66A3C"/>
    <w:rsid w:val="00F67C91"/>
    <w:rsid w:val="00F70859"/>
    <w:rsid w:val="00F729E0"/>
    <w:rsid w:val="00F748B9"/>
    <w:rsid w:val="00F74A6D"/>
    <w:rsid w:val="00F769BB"/>
    <w:rsid w:val="00F80E00"/>
    <w:rsid w:val="00F839CF"/>
    <w:rsid w:val="00F83C66"/>
    <w:rsid w:val="00F83E5B"/>
    <w:rsid w:val="00F85530"/>
    <w:rsid w:val="00F85589"/>
    <w:rsid w:val="00F91F03"/>
    <w:rsid w:val="00F9546E"/>
    <w:rsid w:val="00F971D6"/>
    <w:rsid w:val="00F97363"/>
    <w:rsid w:val="00F973F0"/>
    <w:rsid w:val="00FA1E1F"/>
    <w:rsid w:val="00FA26A5"/>
    <w:rsid w:val="00FA4249"/>
    <w:rsid w:val="00FA4F10"/>
    <w:rsid w:val="00FA601D"/>
    <w:rsid w:val="00FA6481"/>
    <w:rsid w:val="00FB2CC5"/>
    <w:rsid w:val="00FB3029"/>
    <w:rsid w:val="00FB3E18"/>
    <w:rsid w:val="00FB3E42"/>
    <w:rsid w:val="00FB5163"/>
    <w:rsid w:val="00FB62BA"/>
    <w:rsid w:val="00FC1688"/>
    <w:rsid w:val="00FC3859"/>
    <w:rsid w:val="00FC4D55"/>
    <w:rsid w:val="00FC561A"/>
    <w:rsid w:val="00FC69C6"/>
    <w:rsid w:val="00FD1B33"/>
    <w:rsid w:val="00FD2E25"/>
    <w:rsid w:val="00FD3F83"/>
    <w:rsid w:val="00FD4C85"/>
    <w:rsid w:val="00FD681D"/>
    <w:rsid w:val="00FE020C"/>
    <w:rsid w:val="00FE1834"/>
    <w:rsid w:val="00FE2695"/>
    <w:rsid w:val="00FE2D51"/>
    <w:rsid w:val="00FF114D"/>
    <w:rsid w:val="00FF3F1D"/>
    <w:rsid w:val="00FF4F15"/>
    <w:rsid w:val="00FF5EBB"/>
    <w:rsid w:val="00FF6962"/>
    <w:rsid w:val="00FF6A2B"/>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A20CB06"/>
  <w15:docId w15:val="{5385D206-F7A1-43FF-A836-B0455A3C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370"/>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lang w:eastAsia="en-U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paragraph" w:styleId="PlainText">
    <w:name w:val="Plain Text"/>
    <w:basedOn w:val="Normal"/>
    <w:link w:val="PlainTextChar"/>
    <w:uiPriority w:val="99"/>
    <w:unhideWhenUsed/>
    <w:rsid w:val="008247CD"/>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8247CD"/>
    <w:rPr>
      <w:rFonts w:ascii="Consolas" w:eastAsiaTheme="minorHAnsi" w:hAnsi="Consolas" w:cs="Consolas"/>
      <w:sz w:val="21"/>
      <w:szCs w:val="21"/>
    </w:rPr>
  </w:style>
  <w:style w:type="paragraph" w:styleId="NormalWeb">
    <w:name w:val="Normal (Web)"/>
    <w:basedOn w:val="Normal"/>
    <w:uiPriority w:val="99"/>
    <w:unhideWhenUsed/>
    <w:rsid w:val="00AD0D2D"/>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AD0D2D"/>
  </w:style>
  <w:style w:type="paragraph" w:customStyle="1" w:styleId="introp">
    <w:name w:val="introp"/>
    <w:basedOn w:val="Normal"/>
    <w:rsid w:val="00836631"/>
    <w:pPr>
      <w:spacing w:before="100" w:beforeAutospacing="1" w:after="100" w:afterAutospacing="1"/>
    </w:pPr>
    <w:rPr>
      <w:rFonts w:ascii="Times New Roman" w:eastAsia="Times New Roman" w:hAnsi="Times New Roman"/>
      <w:sz w:val="24"/>
      <w:szCs w:val="24"/>
      <w:lang w:eastAsia="en-AU"/>
    </w:rPr>
  </w:style>
  <w:style w:type="character" w:styleId="Emphasis">
    <w:name w:val="Emphasis"/>
    <w:basedOn w:val="DefaultParagraphFont"/>
    <w:uiPriority w:val="20"/>
    <w:qFormat/>
    <w:locked/>
    <w:rsid w:val="00362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6728">
      <w:bodyDiv w:val="1"/>
      <w:marLeft w:val="0"/>
      <w:marRight w:val="0"/>
      <w:marTop w:val="0"/>
      <w:marBottom w:val="0"/>
      <w:divBdr>
        <w:top w:val="none" w:sz="0" w:space="0" w:color="auto"/>
        <w:left w:val="none" w:sz="0" w:space="0" w:color="auto"/>
        <w:bottom w:val="none" w:sz="0" w:space="0" w:color="auto"/>
        <w:right w:val="none" w:sz="0" w:space="0" w:color="auto"/>
      </w:divBdr>
    </w:div>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266889257">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3708742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912351443">
      <w:bodyDiv w:val="1"/>
      <w:marLeft w:val="0"/>
      <w:marRight w:val="0"/>
      <w:marTop w:val="0"/>
      <w:marBottom w:val="0"/>
      <w:divBdr>
        <w:top w:val="none" w:sz="0" w:space="0" w:color="auto"/>
        <w:left w:val="none" w:sz="0" w:space="0" w:color="auto"/>
        <w:bottom w:val="none" w:sz="0" w:space="0" w:color="auto"/>
        <w:right w:val="none" w:sz="0" w:space="0" w:color="auto"/>
      </w:divBdr>
    </w:div>
    <w:div w:id="938752721">
      <w:bodyDiv w:val="1"/>
      <w:marLeft w:val="0"/>
      <w:marRight w:val="0"/>
      <w:marTop w:val="0"/>
      <w:marBottom w:val="0"/>
      <w:divBdr>
        <w:top w:val="none" w:sz="0" w:space="0" w:color="auto"/>
        <w:left w:val="none" w:sz="0" w:space="0" w:color="auto"/>
        <w:bottom w:val="none" w:sz="0" w:space="0" w:color="auto"/>
        <w:right w:val="none" w:sz="0" w:space="0" w:color="auto"/>
      </w:divBdr>
    </w:div>
    <w:div w:id="948507037">
      <w:bodyDiv w:val="1"/>
      <w:marLeft w:val="0"/>
      <w:marRight w:val="0"/>
      <w:marTop w:val="0"/>
      <w:marBottom w:val="0"/>
      <w:divBdr>
        <w:top w:val="none" w:sz="0" w:space="0" w:color="auto"/>
        <w:left w:val="none" w:sz="0" w:space="0" w:color="auto"/>
        <w:bottom w:val="none" w:sz="0" w:space="0" w:color="auto"/>
        <w:right w:val="none" w:sz="0" w:space="0" w:color="auto"/>
      </w:divBdr>
    </w:div>
    <w:div w:id="986519132">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250848152">
      <w:bodyDiv w:val="1"/>
      <w:marLeft w:val="0"/>
      <w:marRight w:val="0"/>
      <w:marTop w:val="0"/>
      <w:marBottom w:val="0"/>
      <w:divBdr>
        <w:top w:val="none" w:sz="0" w:space="0" w:color="auto"/>
        <w:left w:val="none" w:sz="0" w:space="0" w:color="auto"/>
        <w:bottom w:val="none" w:sz="0" w:space="0" w:color="auto"/>
        <w:right w:val="none" w:sz="0" w:space="0" w:color="auto"/>
      </w:divBdr>
      <w:divsChild>
        <w:div w:id="1127434113">
          <w:marLeft w:val="0"/>
          <w:marRight w:val="0"/>
          <w:marTop w:val="0"/>
          <w:marBottom w:val="0"/>
          <w:divBdr>
            <w:top w:val="none" w:sz="0" w:space="0" w:color="auto"/>
            <w:left w:val="none" w:sz="0" w:space="0" w:color="auto"/>
            <w:bottom w:val="none" w:sz="0" w:space="0" w:color="auto"/>
            <w:right w:val="none" w:sz="0" w:space="0" w:color="auto"/>
          </w:divBdr>
        </w:div>
      </w:divsChild>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25281311">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431857699">
      <w:bodyDiv w:val="1"/>
      <w:marLeft w:val="0"/>
      <w:marRight w:val="0"/>
      <w:marTop w:val="0"/>
      <w:marBottom w:val="0"/>
      <w:divBdr>
        <w:top w:val="none" w:sz="0" w:space="0" w:color="auto"/>
        <w:left w:val="none" w:sz="0" w:space="0" w:color="auto"/>
        <w:bottom w:val="none" w:sz="0" w:space="0" w:color="auto"/>
        <w:right w:val="none" w:sz="0" w:space="0" w:color="auto"/>
      </w:divBdr>
      <w:divsChild>
        <w:div w:id="1105922513">
          <w:marLeft w:val="300"/>
          <w:marRight w:val="0"/>
          <w:marTop w:val="0"/>
          <w:marBottom w:val="240"/>
          <w:divBdr>
            <w:top w:val="none" w:sz="0" w:space="0" w:color="auto"/>
            <w:left w:val="none" w:sz="0" w:space="0" w:color="auto"/>
            <w:bottom w:val="none" w:sz="0" w:space="0" w:color="auto"/>
            <w:right w:val="none" w:sz="0" w:space="0" w:color="auto"/>
          </w:divBdr>
          <w:divsChild>
            <w:div w:id="1556041371">
              <w:marLeft w:val="0"/>
              <w:marRight w:val="0"/>
              <w:marTop w:val="240"/>
              <w:marBottom w:val="0"/>
              <w:divBdr>
                <w:top w:val="none" w:sz="0" w:space="0" w:color="auto"/>
                <w:left w:val="none" w:sz="0" w:space="0" w:color="auto"/>
                <w:bottom w:val="none" w:sz="0" w:space="0" w:color="auto"/>
                <w:right w:val="none" w:sz="0" w:space="0" w:color="auto"/>
              </w:divBdr>
            </w:div>
          </w:divsChild>
        </w:div>
        <w:div w:id="177156541">
          <w:marLeft w:val="300"/>
          <w:marRight w:val="0"/>
          <w:marTop w:val="0"/>
          <w:marBottom w:val="240"/>
          <w:divBdr>
            <w:top w:val="none" w:sz="0" w:space="0" w:color="auto"/>
            <w:left w:val="none" w:sz="0" w:space="0" w:color="auto"/>
            <w:bottom w:val="none" w:sz="0" w:space="0" w:color="auto"/>
            <w:right w:val="none" w:sz="0" w:space="0" w:color="auto"/>
          </w:divBdr>
          <w:divsChild>
            <w:div w:id="1947272863">
              <w:marLeft w:val="0"/>
              <w:marRight w:val="0"/>
              <w:marTop w:val="240"/>
              <w:marBottom w:val="0"/>
              <w:divBdr>
                <w:top w:val="none" w:sz="0" w:space="0" w:color="auto"/>
                <w:left w:val="none" w:sz="0" w:space="0" w:color="auto"/>
                <w:bottom w:val="none" w:sz="0" w:space="0" w:color="auto"/>
                <w:right w:val="none" w:sz="0" w:space="0" w:color="auto"/>
              </w:divBdr>
            </w:div>
          </w:divsChild>
        </w:div>
        <w:div w:id="433525140">
          <w:marLeft w:val="300"/>
          <w:marRight w:val="0"/>
          <w:marTop w:val="0"/>
          <w:marBottom w:val="240"/>
          <w:divBdr>
            <w:top w:val="none" w:sz="0" w:space="0" w:color="auto"/>
            <w:left w:val="none" w:sz="0" w:space="0" w:color="auto"/>
            <w:bottom w:val="none" w:sz="0" w:space="0" w:color="auto"/>
            <w:right w:val="none" w:sz="0" w:space="0" w:color="auto"/>
          </w:divBdr>
          <w:divsChild>
            <w:div w:id="911505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3108243">
      <w:bodyDiv w:val="1"/>
      <w:marLeft w:val="0"/>
      <w:marRight w:val="0"/>
      <w:marTop w:val="0"/>
      <w:marBottom w:val="0"/>
      <w:divBdr>
        <w:top w:val="none" w:sz="0" w:space="0" w:color="auto"/>
        <w:left w:val="none" w:sz="0" w:space="0" w:color="auto"/>
        <w:bottom w:val="none" w:sz="0" w:space="0" w:color="auto"/>
        <w:right w:val="none" w:sz="0" w:space="0" w:color="auto"/>
      </w:divBdr>
      <w:divsChild>
        <w:div w:id="171183284">
          <w:blockQuote w:val="1"/>
          <w:marLeft w:val="300"/>
          <w:marRight w:val="0"/>
          <w:marTop w:val="300"/>
          <w:marBottom w:val="300"/>
          <w:divBdr>
            <w:top w:val="none" w:sz="0" w:space="0" w:color="auto"/>
            <w:left w:val="single" w:sz="18" w:space="15" w:color="CBCBCB"/>
            <w:bottom w:val="none" w:sz="0" w:space="0" w:color="auto"/>
            <w:right w:val="none" w:sz="0" w:space="0" w:color="auto"/>
          </w:divBdr>
        </w:div>
      </w:divsChild>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10773031">
      <w:bodyDiv w:val="1"/>
      <w:marLeft w:val="0"/>
      <w:marRight w:val="0"/>
      <w:marTop w:val="0"/>
      <w:marBottom w:val="0"/>
      <w:divBdr>
        <w:top w:val="none" w:sz="0" w:space="0" w:color="auto"/>
        <w:left w:val="none" w:sz="0" w:space="0" w:color="auto"/>
        <w:bottom w:val="none" w:sz="0" w:space="0" w:color="auto"/>
        <w:right w:val="none" w:sz="0" w:space="0" w:color="auto"/>
      </w:divBdr>
      <w:divsChild>
        <w:div w:id="1115948546">
          <w:marLeft w:val="0"/>
          <w:marRight w:val="0"/>
          <w:marTop w:val="0"/>
          <w:marBottom w:val="0"/>
          <w:divBdr>
            <w:top w:val="none" w:sz="0" w:space="0" w:color="auto"/>
            <w:left w:val="none" w:sz="0" w:space="0" w:color="auto"/>
            <w:bottom w:val="none" w:sz="0" w:space="0" w:color="auto"/>
            <w:right w:val="none" w:sz="0" w:space="0" w:color="auto"/>
          </w:divBdr>
        </w:div>
      </w:divsChild>
    </w:div>
    <w:div w:id="1632596179">
      <w:bodyDiv w:val="1"/>
      <w:marLeft w:val="0"/>
      <w:marRight w:val="0"/>
      <w:marTop w:val="0"/>
      <w:marBottom w:val="0"/>
      <w:divBdr>
        <w:top w:val="none" w:sz="0" w:space="0" w:color="auto"/>
        <w:left w:val="none" w:sz="0" w:space="0" w:color="auto"/>
        <w:bottom w:val="none" w:sz="0" w:space="0" w:color="auto"/>
        <w:right w:val="none" w:sz="0" w:space="0" w:color="auto"/>
      </w:divBdr>
      <w:divsChild>
        <w:div w:id="1919096806">
          <w:marLeft w:val="300"/>
          <w:marRight w:val="0"/>
          <w:marTop w:val="0"/>
          <w:marBottom w:val="240"/>
          <w:divBdr>
            <w:top w:val="none" w:sz="0" w:space="0" w:color="auto"/>
            <w:left w:val="none" w:sz="0" w:space="0" w:color="auto"/>
            <w:bottom w:val="none" w:sz="0" w:space="0" w:color="auto"/>
            <w:right w:val="none" w:sz="0" w:space="0" w:color="auto"/>
          </w:divBdr>
          <w:divsChild>
            <w:div w:id="870459755">
              <w:marLeft w:val="0"/>
              <w:marRight w:val="0"/>
              <w:marTop w:val="240"/>
              <w:marBottom w:val="0"/>
              <w:divBdr>
                <w:top w:val="none" w:sz="0" w:space="0" w:color="auto"/>
                <w:left w:val="none" w:sz="0" w:space="0" w:color="auto"/>
                <w:bottom w:val="none" w:sz="0" w:space="0" w:color="auto"/>
                <w:right w:val="none" w:sz="0" w:space="0" w:color="auto"/>
              </w:divBdr>
            </w:div>
          </w:divsChild>
        </w:div>
        <w:div w:id="1057583424">
          <w:marLeft w:val="300"/>
          <w:marRight w:val="0"/>
          <w:marTop w:val="0"/>
          <w:marBottom w:val="240"/>
          <w:divBdr>
            <w:top w:val="none" w:sz="0" w:space="0" w:color="auto"/>
            <w:left w:val="none" w:sz="0" w:space="0" w:color="auto"/>
            <w:bottom w:val="none" w:sz="0" w:space="0" w:color="auto"/>
            <w:right w:val="none" w:sz="0" w:space="0" w:color="auto"/>
          </w:divBdr>
          <w:divsChild>
            <w:div w:id="2121676785">
              <w:marLeft w:val="0"/>
              <w:marRight w:val="0"/>
              <w:marTop w:val="240"/>
              <w:marBottom w:val="0"/>
              <w:divBdr>
                <w:top w:val="none" w:sz="0" w:space="0" w:color="auto"/>
                <w:left w:val="none" w:sz="0" w:space="0" w:color="auto"/>
                <w:bottom w:val="none" w:sz="0" w:space="0" w:color="auto"/>
                <w:right w:val="none" w:sz="0" w:space="0" w:color="auto"/>
              </w:divBdr>
            </w:div>
          </w:divsChild>
        </w:div>
        <w:div w:id="1949584832">
          <w:marLeft w:val="300"/>
          <w:marRight w:val="0"/>
          <w:marTop w:val="0"/>
          <w:marBottom w:val="240"/>
          <w:divBdr>
            <w:top w:val="none" w:sz="0" w:space="0" w:color="auto"/>
            <w:left w:val="none" w:sz="0" w:space="0" w:color="auto"/>
            <w:bottom w:val="none" w:sz="0" w:space="0" w:color="auto"/>
            <w:right w:val="none" w:sz="0" w:space="0" w:color="auto"/>
          </w:divBdr>
          <w:divsChild>
            <w:div w:id="1356692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24711944">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858497275">
      <w:bodyDiv w:val="1"/>
      <w:marLeft w:val="0"/>
      <w:marRight w:val="0"/>
      <w:marTop w:val="0"/>
      <w:marBottom w:val="0"/>
      <w:divBdr>
        <w:top w:val="none" w:sz="0" w:space="0" w:color="auto"/>
        <w:left w:val="none" w:sz="0" w:space="0" w:color="auto"/>
        <w:bottom w:val="none" w:sz="0" w:space="0" w:color="auto"/>
        <w:right w:val="none" w:sz="0" w:space="0" w:color="auto"/>
      </w:divBdr>
      <w:divsChild>
        <w:div w:id="1538395849">
          <w:blockQuote w:val="1"/>
          <w:marLeft w:val="300"/>
          <w:marRight w:val="0"/>
          <w:marTop w:val="300"/>
          <w:marBottom w:val="300"/>
          <w:divBdr>
            <w:top w:val="none" w:sz="0" w:space="0" w:color="auto"/>
            <w:left w:val="single" w:sz="18" w:space="15" w:color="CBCBCB"/>
            <w:bottom w:val="none" w:sz="0" w:space="0" w:color="auto"/>
            <w:right w:val="none" w:sz="0" w:space="0" w:color="auto"/>
          </w:divBdr>
        </w:div>
        <w:div w:id="737171642">
          <w:blockQuote w:val="1"/>
          <w:marLeft w:val="300"/>
          <w:marRight w:val="0"/>
          <w:marTop w:val="300"/>
          <w:marBottom w:val="300"/>
          <w:divBdr>
            <w:top w:val="none" w:sz="0" w:space="0" w:color="auto"/>
            <w:left w:val="single" w:sz="18" w:space="15" w:color="CBCBCB"/>
            <w:bottom w:val="none" w:sz="0" w:space="0" w:color="auto"/>
            <w:right w:val="none" w:sz="0" w:space="0" w:color="auto"/>
          </w:divBdr>
        </w:div>
      </w:divsChild>
    </w:div>
    <w:div w:id="1935703764">
      <w:bodyDiv w:val="1"/>
      <w:marLeft w:val="0"/>
      <w:marRight w:val="0"/>
      <w:marTop w:val="0"/>
      <w:marBottom w:val="0"/>
      <w:divBdr>
        <w:top w:val="none" w:sz="0" w:space="0" w:color="auto"/>
        <w:left w:val="none" w:sz="0" w:space="0" w:color="auto"/>
        <w:bottom w:val="none" w:sz="0" w:space="0" w:color="auto"/>
        <w:right w:val="none" w:sz="0" w:space="0" w:color="auto"/>
      </w:divBdr>
      <w:divsChild>
        <w:div w:id="761032578">
          <w:marLeft w:val="0"/>
          <w:marRight w:val="0"/>
          <w:marTop w:val="0"/>
          <w:marBottom w:val="0"/>
          <w:divBdr>
            <w:top w:val="none" w:sz="0" w:space="0" w:color="auto"/>
            <w:left w:val="none" w:sz="0" w:space="0" w:color="auto"/>
            <w:bottom w:val="none" w:sz="0" w:space="0" w:color="auto"/>
            <w:right w:val="none" w:sz="0" w:space="0" w:color="auto"/>
          </w:divBdr>
          <w:divsChild>
            <w:div w:id="1341160614">
              <w:marLeft w:val="375"/>
              <w:marRight w:val="0"/>
              <w:marTop w:val="0"/>
              <w:marBottom w:val="300"/>
              <w:divBdr>
                <w:top w:val="none" w:sz="0" w:space="0" w:color="auto"/>
                <w:left w:val="none" w:sz="0" w:space="0" w:color="auto"/>
                <w:bottom w:val="none" w:sz="0" w:space="0" w:color="auto"/>
                <w:right w:val="none" w:sz="0" w:space="0" w:color="auto"/>
              </w:divBdr>
            </w:div>
          </w:divsChild>
        </w:div>
      </w:divsChild>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ea.org/netimpor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ip.com.au"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aip.com.au" TargetMode="External"/><Relationship Id="rId13" Type="http://schemas.openxmlformats.org/officeDocument/2006/relationships/hyperlink" Target="http://www.aph.gov.au/parliamentary_business/committees/house_of_representatives_committees?url=economics/oilrefineries/subs.htm" TargetMode="External"/><Relationship Id="rId18" Type="http://schemas.openxmlformats.org/officeDocument/2006/relationships/hyperlink" Target="http://www.atatruck.net.au/industry-resources/environmental-credentials-australian-trucking-industry" TargetMode="External"/><Relationship Id="rId3" Type="http://schemas.openxmlformats.org/officeDocument/2006/relationships/hyperlink" Target="http://www.iea.org/netimports" TargetMode="External"/><Relationship Id="rId21" Type="http://schemas.openxmlformats.org/officeDocument/2006/relationships/hyperlink" Target="http://www.bitre.gov.au/publications/2012/stats_002.aspx" TargetMode="External"/><Relationship Id="rId7" Type="http://schemas.openxmlformats.org/officeDocument/2006/relationships/hyperlink" Target="http://www.aip.com.au" TargetMode="External"/><Relationship Id="rId12" Type="http://schemas.openxmlformats.org/officeDocument/2006/relationships/hyperlink" Target="http://www.aip.com.au" TargetMode="External"/><Relationship Id="rId17" Type="http://schemas.openxmlformats.org/officeDocument/2006/relationships/hyperlink" Target="http://www.atatruck.net.au/industry-resources/environmental-credentials-australian-trucking-industry" TargetMode="External"/><Relationship Id="rId2" Type="http://schemas.openxmlformats.org/officeDocument/2006/relationships/hyperlink" Target="http://www.aip.com.au" TargetMode="External"/><Relationship Id="rId16" Type="http://schemas.openxmlformats.org/officeDocument/2006/relationships/hyperlink" Target="http://www.aip.com.au" TargetMode="External"/><Relationship Id="rId20" Type="http://schemas.openxmlformats.org/officeDocument/2006/relationships/hyperlink" Target="http://www.ntc.wdu.com.au/viewpage.aspx?documentid=2513" TargetMode="External"/><Relationship Id="rId1" Type="http://schemas.openxmlformats.org/officeDocument/2006/relationships/hyperlink" Target="http://www.ewp.industry.gov.au" TargetMode="External"/><Relationship Id="rId6" Type="http://schemas.openxmlformats.org/officeDocument/2006/relationships/hyperlink" Target="http://www.aip.com.au" TargetMode="External"/><Relationship Id="rId11" Type="http://schemas.openxmlformats.org/officeDocument/2006/relationships/hyperlink" Target="http://www.iea.org/netimports" TargetMode="External"/><Relationship Id="rId5" Type="http://schemas.openxmlformats.org/officeDocument/2006/relationships/hyperlink" Target="http://www.iea.org/topics/energysecurity/respondingtomajorsupplydisruptions" TargetMode="External"/><Relationship Id="rId15" Type="http://schemas.openxmlformats.org/officeDocument/2006/relationships/hyperlink" Target="http://www.aip.com.au" TargetMode="External"/><Relationship Id="rId10" Type="http://schemas.openxmlformats.org/officeDocument/2006/relationships/hyperlink" Target="http://www.aip.com.au" TargetMode="External"/><Relationship Id="rId19" Type="http://schemas.openxmlformats.org/officeDocument/2006/relationships/hyperlink" Target="http://www.taxreview.treasury.gov.au" TargetMode="External"/><Relationship Id="rId4" Type="http://schemas.openxmlformats.org/officeDocument/2006/relationships/hyperlink" Target="http://www.aip.com.au" TargetMode="External"/><Relationship Id="rId9" Type="http://schemas.openxmlformats.org/officeDocument/2006/relationships/hyperlink" Target="http://www.aip.com.au" TargetMode="External"/><Relationship Id="rId14" Type="http://schemas.openxmlformats.org/officeDocument/2006/relationships/hyperlink" Target="http://www.aip.com.au" TargetMode="External"/><Relationship Id="rId22" Type="http://schemas.openxmlformats.org/officeDocument/2006/relationships/hyperlink" Target="http://www.bitre.gov.au/publications/2009/is_03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C0BE-E9AD-4763-82F6-9E6AA02B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4826</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31929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Sarah Harber</cp:lastModifiedBy>
  <cp:revision>7</cp:revision>
  <cp:lastPrinted>2014-11-07T00:42:00Z</cp:lastPrinted>
  <dcterms:created xsi:type="dcterms:W3CDTF">2014-11-04T23:08:00Z</dcterms:created>
  <dcterms:modified xsi:type="dcterms:W3CDTF">2014-11-07T00:44:00Z</dcterms:modified>
</cp:coreProperties>
</file>