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Submission to:</w:t>
            </w:r>
          </w:p>
        </w:tc>
        <w:tc>
          <w:tcPr>
            <w:tcW w:w="6379" w:type="dxa"/>
            <w:vAlign w:val="center"/>
          </w:tcPr>
          <w:p w:rsidR="00D735FF" w:rsidRPr="00D92690" w:rsidRDefault="00F3294F" w:rsidP="00D92690">
            <w:pPr>
              <w:pStyle w:val="Header"/>
              <w:jc w:val="both"/>
              <w:rPr>
                <w:rFonts w:asciiTheme="minorHAnsi" w:hAnsiTheme="minorHAnsi" w:cs="Arial"/>
                <w:sz w:val="32"/>
              </w:rPr>
            </w:pPr>
            <w:r w:rsidRPr="00D92690">
              <w:rPr>
                <w:rFonts w:asciiTheme="minorHAnsi" w:hAnsiTheme="minorHAnsi" w:cs="Arial"/>
                <w:sz w:val="32"/>
              </w:rPr>
              <w:t xml:space="preserve">Treasury </w:t>
            </w:r>
            <w:r w:rsidR="00EA3322" w:rsidRPr="00D92690">
              <w:rPr>
                <w:rFonts w:asciiTheme="minorHAnsi" w:hAnsiTheme="minorHAnsi" w:cs="Arial"/>
                <w:sz w:val="32"/>
              </w:rPr>
              <w:t xml:space="preserve"> </w:t>
            </w:r>
          </w:p>
        </w:tc>
      </w:tr>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Title:</w:t>
            </w:r>
          </w:p>
        </w:tc>
        <w:tc>
          <w:tcPr>
            <w:tcW w:w="6379" w:type="dxa"/>
            <w:vAlign w:val="center"/>
          </w:tcPr>
          <w:p w:rsidR="00D735FF" w:rsidRPr="00D92690" w:rsidRDefault="005507D4" w:rsidP="00D92690">
            <w:pPr>
              <w:pStyle w:val="Header"/>
              <w:jc w:val="both"/>
              <w:rPr>
                <w:rFonts w:asciiTheme="minorHAnsi" w:hAnsiTheme="minorHAnsi" w:cs="Arial"/>
                <w:sz w:val="32"/>
              </w:rPr>
            </w:pPr>
            <w:r>
              <w:rPr>
                <w:rFonts w:asciiTheme="minorHAnsi" w:hAnsiTheme="minorHAnsi" w:cs="Arial"/>
                <w:sz w:val="32"/>
              </w:rPr>
              <w:t>2014-</w:t>
            </w:r>
            <w:r w:rsidR="00F56FD2" w:rsidRPr="00D92690">
              <w:rPr>
                <w:rFonts w:asciiTheme="minorHAnsi" w:hAnsiTheme="minorHAnsi" w:cs="Arial"/>
                <w:sz w:val="32"/>
              </w:rPr>
              <w:t>15 Pre-b</w:t>
            </w:r>
            <w:r w:rsidR="00EA3322" w:rsidRPr="00D92690">
              <w:rPr>
                <w:rFonts w:asciiTheme="minorHAnsi" w:hAnsiTheme="minorHAnsi" w:cs="Arial"/>
                <w:sz w:val="32"/>
              </w:rPr>
              <w:t xml:space="preserve">udget Submission </w:t>
            </w:r>
          </w:p>
        </w:tc>
      </w:tr>
      <w:tr w:rsidR="00D735FF" w:rsidRPr="00D92690" w:rsidTr="000156D1">
        <w:trPr>
          <w:trHeight w:val="756"/>
        </w:trPr>
        <w:tc>
          <w:tcPr>
            <w:tcW w:w="2660" w:type="dxa"/>
            <w:vAlign w:val="center"/>
          </w:tcPr>
          <w:p w:rsidR="00D735FF" w:rsidRPr="00D92690" w:rsidRDefault="00D735FF" w:rsidP="00D92690">
            <w:pPr>
              <w:pStyle w:val="Header"/>
              <w:jc w:val="both"/>
              <w:rPr>
                <w:rFonts w:asciiTheme="minorHAnsi" w:hAnsiTheme="minorHAnsi" w:cs="Arial"/>
                <w:b/>
                <w:sz w:val="32"/>
              </w:rPr>
            </w:pPr>
            <w:r w:rsidRPr="00D92690">
              <w:rPr>
                <w:rFonts w:asciiTheme="minorHAnsi" w:hAnsiTheme="minorHAnsi" w:cs="Arial"/>
                <w:b/>
                <w:sz w:val="32"/>
              </w:rPr>
              <w:t>Date:</w:t>
            </w:r>
          </w:p>
        </w:tc>
        <w:tc>
          <w:tcPr>
            <w:tcW w:w="6379" w:type="dxa"/>
            <w:vAlign w:val="center"/>
          </w:tcPr>
          <w:p w:rsidR="00D735FF" w:rsidRPr="00D92690" w:rsidRDefault="00C54C55" w:rsidP="00D92690">
            <w:pPr>
              <w:pStyle w:val="Header"/>
              <w:jc w:val="both"/>
              <w:rPr>
                <w:rFonts w:asciiTheme="minorHAnsi" w:hAnsiTheme="minorHAnsi" w:cs="Arial"/>
                <w:sz w:val="32"/>
              </w:rPr>
            </w:pPr>
            <w:r>
              <w:rPr>
                <w:rFonts w:asciiTheme="minorHAnsi" w:hAnsiTheme="minorHAnsi" w:cs="Arial"/>
                <w:sz w:val="32"/>
              </w:rPr>
              <w:t xml:space="preserve">31 January 2014 </w:t>
            </w:r>
          </w:p>
        </w:tc>
      </w:tr>
    </w:tbl>
    <w:p w:rsidR="00D735FF" w:rsidRPr="00D92690" w:rsidRDefault="00D735FF" w:rsidP="00D92690">
      <w:pPr>
        <w:pStyle w:val="Header"/>
        <w:jc w:val="both"/>
        <w:rPr>
          <w:rFonts w:asciiTheme="minorHAnsi" w:hAnsiTheme="minorHAnsi" w:cs="Arial"/>
          <w:sz w:val="32"/>
        </w:rPr>
      </w:pPr>
    </w:p>
    <w:p w:rsidR="00D735FF" w:rsidRPr="00D92690" w:rsidRDefault="00D735FF" w:rsidP="00D92690">
      <w:pPr>
        <w:pStyle w:val="Header"/>
        <w:jc w:val="both"/>
        <w:rPr>
          <w:rFonts w:asciiTheme="minorHAnsi" w:hAnsiTheme="minorHAnsi" w:cs="Arial"/>
          <w:sz w:val="32"/>
        </w:rPr>
      </w:pPr>
    </w:p>
    <w:p w:rsidR="00576ED0" w:rsidRPr="00D92690" w:rsidRDefault="00576ED0" w:rsidP="00D92690">
      <w:pPr>
        <w:pStyle w:val="Header"/>
        <w:jc w:val="both"/>
        <w:rPr>
          <w:rFonts w:asciiTheme="minorHAnsi" w:hAnsiTheme="minorHAnsi" w:cs="Arial"/>
          <w:sz w:val="32"/>
        </w:rPr>
      </w:pPr>
    </w:p>
    <w:p w:rsidR="00576ED0" w:rsidRPr="00D92690" w:rsidRDefault="00576ED0" w:rsidP="00D92690">
      <w:pPr>
        <w:jc w:val="both"/>
        <w:rPr>
          <w:rFonts w:asciiTheme="minorHAnsi" w:hAnsiTheme="minorHAnsi" w:cs="Arial"/>
        </w:rPr>
        <w:sectPr w:rsidR="00576ED0" w:rsidRPr="00D92690" w:rsidSect="005F5ACC">
          <w:headerReference w:type="default" r:id="rId8"/>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Pr="00D92690" w:rsidRDefault="00576ED0"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5493A" w:rsidP="00D92690">
      <w:pPr>
        <w:jc w:val="both"/>
        <w:rPr>
          <w:rFonts w:asciiTheme="minorHAnsi" w:hAnsiTheme="minorHAnsi" w:cs="Arial"/>
        </w:rPr>
      </w:pPr>
    </w:p>
    <w:p w:rsidR="0035493A" w:rsidRPr="00D92690" w:rsidRDefault="003B74E4" w:rsidP="00D92690">
      <w:pPr>
        <w:jc w:val="both"/>
        <w:rPr>
          <w:rFonts w:asciiTheme="minorHAnsi" w:hAnsiTheme="minorHAnsi" w:cs="Arial"/>
          <w:b/>
          <w:color w:val="000064"/>
          <w:sz w:val="32"/>
        </w:rPr>
      </w:pPr>
      <w:r w:rsidRPr="00D92690">
        <w:rPr>
          <w:rFonts w:asciiTheme="minorHAnsi" w:hAnsiTheme="minorHAnsi" w:cs="Arial"/>
          <w:b/>
          <w:color w:val="000064"/>
          <w:sz w:val="32"/>
        </w:rPr>
        <w:t>Contents</w:t>
      </w:r>
    </w:p>
    <w:p w:rsidR="00576ED0" w:rsidRPr="00D92690" w:rsidRDefault="00576ED0" w:rsidP="00D92690">
      <w:pPr>
        <w:jc w:val="both"/>
        <w:rPr>
          <w:rFonts w:asciiTheme="minorHAnsi" w:hAnsiTheme="minorHAnsi" w:cs="Arial"/>
        </w:rPr>
      </w:pPr>
    </w:p>
    <w:p w:rsidR="009B0520" w:rsidRPr="00D92690" w:rsidRDefault="009B0520" w:rsidP="00D92690">
      <w:pPr>
        <w:jc w:val="both"/>
        <w:rPr>
          <w:rFonts w:asciiTheme="minorHAnsi" w:hAnsiTheme="minorHAnsi" w:cs="Arial"/>
        </w:rPr>
      </w:pPr>
    </w:p>
    <w:p w:rsidR="00CB4D57" w:rsidRDefault="003B2024">
      <w:pPr>
        <w:pStyle w:val="TOC1"/>
        <w:tabs>
          <w:tab w:val="left" w:pos="442"/>
        </w:tabs>
        <w:rPr>
          <w:rFonts w:asciiTheme="minorHAnsi" w:eastAsiaTheme="minorEastAsia" w:hAnsiTheme="minorHAnsi" w:cstheme="minorBidi"/>
          <w:b w:val="0"/>
          <w:sz w:val="22"/>
          <w:szCs w:val="22"/>
          <w:lang w:eastAsia="en-AU"/>
        </w:rPr>
      </w:pPr>
      <w:r w:rsidRPr="00D92690">
        <w:rPr>
          <w:rFonts w:asciiTheme="minorHAnsi" w:hAnsiTheme="minorHAnsi"/>
          <w:sz w:val="22"/>
          <w:szCs w:val="22"/>
        </w:rPr>
        <w:fldChar w:fldCharType="begin"/>
      </w:r>
      <w:r w:rsidR="00BD49FC" w:rsidRPr="00D92690">
        <w:rPr>
          <w:rFonts w:asciiTheme="minorHAnsi" w:hAnsiTheme="minorHAnsi"/>
          <w:sz w:val="22"/>
          <w:szCs w:val="22"/>
        </w:rPr>
        <w:instrText xml:space="preserve"> TOC \o "1-2" \t "ATA Heading 2,2" </w:instrText>
      </w:r>
      <w:r w:rsidRPr="00D92690">
        <w:rPr>
          <w:rFonts w:asciiTheme="minorHAnsi" w:hAnsiTheme="minorHAnsi"/>
          <w:sz w:val="22"/>
          <w:szCs w:val="22"/>
        </w:rPr>
        <w:fldChar w:fldCharType="separate"/>
      </w:r>
      <w:r w:rsidR="00CB4D57" w:rsidRPr="00AD0F1A">
        <w:rPr>
          <w:rFonts w:asciiTheme="minorHAnsi" w:hAnsiTheme="minorHAnsi" w:cs="Times New Roman"/>
        </w:rPr>
        <w:t>1.</w:t>
      </w:r>
      <w:r w:rsidR="00CB4D57">
        <w:rPr>
          <w:rFonts w:asciiTheme="minorHAnsi" w:eastAsiaTheme="minorEastAsia" w:hAnsiTheme="minorHAnsi" w:cstheme="minorBidi"/>
          <w:b w:val="0"/>
          <w:sz w:val="22"/>
          <w:szCs w:val="22"/>
          <w:lang w:eastAsia="en-AU"/>
        </w:rPr>
        <w:tab/>
      </w:r>
      <w:r w:rsidR="00CB4D57" w:rsidRPr="00AD0F1A">
        <w:rPr>
          <w:rFonts w:asciiTheme="minorHAnsi" w:hAnsiTheme="minorHAnsi"/>
        </w:rPr>
        <w:t>Introduction</w:t>
      </w:r>
      <w:r w:rsidR="00CB4D57">
        <w:tab/>
      </w:r>
      <w:r>
        <w:fldChar w:fldCharType="begin"/>
      </w:r>
      <w:r w:rsidR="00CB4D57">
        <w:instrText xml:space="preserve"> PAGEREF _Toc378749499 \h </w:instrText>
      </w:r>
      <w:r>
        <w:fldChar w:fldCharType="separate"/>
      </w:r>
      <w:r w:rsidR="00CB4D57">
        <w:t>3</w:t>
      </w:r>
      <w:r>
        <w:fldChar w:fldCharType="end"/>
      </w:r>
    </w:p>
    <w:p w:rsidR="00CB4D57" w:rsidRDefault="00CB4D57">
      <w:pPr>
        <w:pStyle w:val="TOC1"/>
        <w:tabs>
          <w:tab w:val="left" w:pos="442"/>
        </w:tabs>
        <w:rPr>
          <w:rFonts w:asciiTheme="minorHAnsi" w:eastAsiaTheme="minorEastAsia" w:hAnsiTheme="minorHAnsi" w:cstheme="minorBidi"/>
          <w:b w:val="0"/>
          <w:sz w:val="22"/>
          <w:szCs w:val="22"/>
          <w:lang w:eastAsia="en-AU"/>
        </w:rPr>
      </w:pPr>
      <w:r w:rsidRPr="00AD0F1A">
        <w:rPr>
          <w:rFonts w:asciiTheme="minorHAnsi" w:hAnsiTheme="minorHAnsi" w:cs="Times New Roman"/>
        </w:rPr>
        <w:t>2.</w:t>
      </w:r>
      <w:r>
        <w:rPr>
          <w:rFonts w:asciiTheme="minorHAnsi" w:eastAsiaTheme="minorEastAsia" w:hAnsiTheme="minorHAnsi" w:cstheme="minorBidi"/>
          <w:b w:val="0"/>
          <w:sz w:val="22"/>
          <w:szCs w:val="22"/>
          <w:lang w:eastAsia="en-AU"/>
        </w:rPr>
        <w:tab/>
      </w:r>
      <w:r w:rsidRPr="00AD0F1A">
        <w:rPr>
          <w:rFonts w:asciiTheme="minorHAnsi" w:hAnsiTheme="minorHAnsi"/>
        </w:rPr>
        <w:t>Australian Trucking Association</w:t>
      </w:r>
      <w:r>
        <w:tab/>
      </w:r>
      <w:r w:rsidR="003B2024">
        <w:fldChar w:fldCharType="begin"/>
      </w:r>
      <w:r>
        <w:instrText xml:space="preserve"> PAGEREF _Toc378749500 \h </w:instrText>
      </w:r>
      <w:r w:rsidR="003B2024">
        <w:fldChar w:fldCharType="separate"/>
      </w:r>
      <w:r>
        <w:t>3</w:t>
      </w:r>
      <w:r w:rsidR="003B2024">
        <w:fldChar w:fldCharType="end"/>
      </w:r>
    </w:p>
    <w:p w:rsidR="00CB4D57" w:rsidRDefault="00CB4D57">
      <w:pPr>
        <w:pStyle w:val="TOC1"/>
        <w:tabs>
          <w:tab w:val="left" w:pos="442"/>
        </w:tabs>
        <w:rPr>
          <w:rFonts w:asciiTheme="minorHAnsi" w:eastAsiaTheme="minorEastAsia" w:hAnsiTheme="minorHAnsi" w:cstheme="minorBidi"/>
          <w:b w:val="0"/>
          <w:sz w:val="22"/>
          <w:szCs w:val="22"/>
          <w:lang w:eastAsia="en-AU"/>
        </w:rPr>
      </w:pPr>
      <w:r w:rsidRPr="00AD0F1A">
        <w:rPr>
          <w:rFonts w:asciiTheme="minorHAnsi" w:hAnsiTheme="minorHAnsi" w:cs="Times New Roman"/>
        </w:rPr>
        <w:t>3.</w:t>
      </w:r>
      <w:r>
        <w:rPr>
          <w:rFonts w:asciiTheme="minorHAnsi" w:eastAsiaTheme="minorEastAsia" w:hAnsiTheme="minorHAnsi" w:cstheme="minorBidi"/>
          <w:b w:val="0"/>
          <w:sz w:val="22"/>
          <w:szCs w:val="22"/>
          <w:lang w:eastAsia="en-AU"/>
        </w:rPr>
        <w:tab/>
      </w:r>
      <w:r w:rsidRPr="00AD0F1A">
        <w:rPr>
          <w:rFonts w:asciiTheme="minorHAnsi" w:hAnsiTheme="minorHAnsi"/>
        </w:rPr>
        <w:t>Recommendations</w:t>
      </w:r>
      <w:r>
        <w:tab/>
      </w:r>
      <w:r w:rsidR="003B2024">
        <w:fldChar w:fldCharType="begin"/>
      </w:r>
      <w:r>
        <w:instrText xml:space="preserve"> PAGEREF _Toc378749501 \h </w:instrText>
      </w:r>
      <w:r w:rsidR="003B2024">
        <w:fldChar w:fldCharType="separate"/>
      </w:r>
      <w:r>
        <w:t>4</w:t>
      </w:r>
      <w:r w:rsidR="003B2024">
        <w:fldChar w:fldCharType="end"/>
      </w:r>
    </w:p>
    <w:p w:rsidR="00CB4D57" w:rsidRDefault="00CB4D57">
      <w:pPr>
        <w:pStyle w:val="TOC1"/>
        <w:tabs>
          <w:tab w:val="left" w:pos="442"/>
        </w:tabs>
        <w:rPr>
          <w:rFonts w:asciiTheme="minorHAnsi" w:eastAsiaTheme="minorEastAsia" w:hAnsiTheme="minorHAnsi" w:cstheme="minorBidi"/>
          <w:b w:val="0"/>
          <w:sz w:val="22"/>
          <w:szCs w:val="22"/>
          <w:lang w:eastAsia="en-AU"/>
        </w:rPr>
      </w:pPr>
      <w:r w:rsidRPr="00AD0F1A">
        <w:rPr>
          <w:rFonts w:asciiTheme="minorHAnsi" w:hAnsiTheme="minorHAnsi" w:cs="Times New Roman"/>
        </w:rPr>
        <w:t>4.</w:t>
      </w:r>
      <w:r>
        <w:rPr>
          <w:rFonts w:asciiTheme="minorHAnsi" w:eastAsiaTheme="minorEastAsia" w:hAnsiTheme="minorHAnsi" w:cstheme="minorBidi"/>
          <w:b w:val="0"/>
          <w:sz w:val="22"/>
          <w:szCs w:val="22"/>
          <w:lang w:eastAsia="en-AU"/>
        </w:rPr>
        <w:tab/>
      </w:r>
      <w:r w:rsidRPr="00AD0F1A">
        <w:rPr>
          <w:rFonts w:asciiTheme="minorHAnsi" w:hAnsiTheme="minorHAnsi"/>
        </w:rPr>
        <w:t>The role of the heavy vehicle industry</w:t>
      </w:r>
      <w:r>
        <w:tab/>
      </w:r>
      <w:r w:rsidR="003B2024">
        <w:fldChar w:fldCharType="begin"/>
      </w:r>
      <w:r>
        <w:instrText xml:space="preserve"> PAGEREF _Toc378749502 \h </w:instrText>
      </w:r>
      <w:r w:rsidR="003B2024">
        <w:fldChar w:fldCharType="separate"/>
      </w:r>
      <w:r>
        <w:t>5</w:t>
      </w:r>
      <w:r w:rsidR="003B2024">
        <w:fldChar w:fldCharType="end"/>
      </w:r>
    </w:p>
    <w:p w:rsidR="00CB4D57" w:rsidRDefault="00CB4D57">
      <w:pPr>
        <w:pStyle w:val="TOC1"/>
        <w:tabs>
          <w:tab w:val="left" w:pos="442"/>
        </w:tabs>
        <w:rPr>
          <w:rFonts w:asciiTheme="minorHAnsi" w:eastAsiaTheme="minorEastAsia" w:hAnsiTheme="minorHAnsi" w:cstheme="minorBidi"/>
          <w:b w:val="0"/>
          <w:sz w:val="22"/>
          <w:szCs w:val="22"/>
          <w:lang w:eastAsia="en-AU"/>
        </w:rPr>
      </w:pPr>
      <w:r w:rsidRPr="00AD0F1A">
        <w:rPr>
          <w:rFonts w:asciiTheme="minorHAnsi" w:hAnsiTheme="minorHAnsi" w:cs="Times New Roman"/>
        </w:rPr>
        <w:t>5.</w:t>
      </w:r>
      <w:r>
        <w:rPr>
          <w:rFonts w:asciiTheme="minorHAnsi" w:eastAsiaTheme="minorEastAsia" w:hAnsiTheme="minorHAnsi" w:cstheme="minorBidi"/>
          <w:b w:val="0"/>
          <w:sz w:val="22"/>
          <w:szCs w:val="22"/>
          <w:lang w:eastAsia="en-AU"/>
        </w:rPr>
        <w:tab/>
      </w:r>
      <w:r w:rsidRPr="00AD0F1A">
        <w:rPr>
          <w:rFonts w:asciiTheme="minorHAnsi" w:hAnsiTheme="minorHAnsi"/>
        </w:rPr>
        <w:t>Key issues for the industry in the 2013-2014 Budget</w:t>
      </w:r>
      <w:r>
        <w:tab/>
      </w:r>
      <w:r w:rsidR="003B2024">
        <w:fldChar w:fldCharType="begin"/>
      </w:r>
      <w:r>
        <w:instrText xml:space="preserve"> PAGEREF _Toc378749503 \h </w:instrText>
      </w:r>
      <w:r w:rsidR="003B2024">
        <w:fldChar w:fldCharType="separate"/>
      </w:r>
      <w:r>
        <w:t>6</w:t>
      </w:r>
      <w:r w:rsidR="003B2024">
        <w:fldChar w:fldCharType="end"/>
      </w:r>
    </w:p>
    <w:p w:rsidR="00CB4D57" w:rsidRPr="00CB4D57" w:rsidRDefault="00CB4D57">
      <w:pPr>
        <w:pStyle w:val="TOC2"/>
        <w:tabs>
          <w:tab w:val="left" w:pos="880"/>
        </w:tabs>
        <w:rPr>
          <w:rFonts w:asciiTheme="minorHAnsi" w:eastAsiaTheme="minorEastAsia" w:hAnsiTheme="minorHAnsi" w:cstheme="minorBidi"/>
          <w:b/>
          <w:noProof/>
          <w:sz w:val="22"/>
          <w:lang w:eastAsia="en-AU"/>
        </w:rPr>
      </w:pPr>
      <w:r w:rsidRPr="00CB4D57">
        <w:rPr>
          <w:rFonts w:asciiTheme="minorHAnsi" w:hAnsiTheme="minorHAnsi"/>
          <w:b/>
          <w:noProof/>
        </w:rPr>
        <w:t>5.1.</w:t>
      </w:r>
      <w:r w:rsidRPr="00CB4D57">
        <w:rPr>
          <w:rFonts w:asciiTheme="minorHAnsi" w:eastAsiaTheme="minorEastAsia" w:hAnsiTheme="minorHAnsi" w:cstheme="minorBidi"/>
          <w:b/>
          <w:noProof/>
          <w:sz w:val="22"/>
          <w:lang w:eastAsia="en-AU"/>
        </w:rPr>
        <w:tab/>
      </w:r>
      <w:r w:rsidRPr="00CB4D57">
        <w:rPr>
          <w:rFonts w:asciiTheme="minorHAnsi" w:hAnsiTheme="minorHAnsi"/>
          <w:b/>
          <w:noProof/>
        </w:rPr>
        <w:t>Infrastructure</w:t>
      </w:r>
      <w:r w:rsidRPr="00CB4D57">
        <w:rPr>
          <w:b/>
          <w:noProof/>
        </w:rPr>
        <w:tab/>
      </w:r>
      <w:r w:rsidR="003B2024" w:rsidRPr="00CB4D57">
        <w:rPr>
          <w:b/>
          <w:noProof/>
        </w:rPr>
        <w:fldChar w:fldCharType="begin"/>
      </w:r>
      <w:r w:rsidRPr="00CB4D57">
        <w:rPr>
          <w:b/>
          <w:noProof/>
        </w:rPr>
        <w:instrText xml:space="preserve"> PAGEREF _Toc378749504 \h </w:instrText>
      </w:r>
      <w:r w:rsidR="003B2024" w:rsidRPr="00CB4D57">
        <w:rPr>
          <w:b/>
          <w:noProof/>
        </w:rPr>
      </w:r>
      <w:r w:rsidR="003B2024" w:rsidRPr="00CB4D57">
        <w:rPr>
          <w:b/>
          <w:noProof/>
        </w:rPr>
        <w:fldChar w:fldCharType="separate"/>
      </w:r>
      <w:r w:rsidRPr="00CB4D57">
        <w:rPr>
          <w:b/>
          <w:noProof/>
        </w:rPr>
        <w:t>6</w:t>
      </w:r>
      <w:r w:rsidR="003B2024" w:rsidRPr="00CB4D57">
        <w:rPr>
          <w:b/>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5.1.1</w:t>
      </w:r>
      <w:r>
        <w:rPr>
          <w:rFonts w:asciiTheme="minorHAnsi" w:eastAsiaTheme="minorEastAsia" w:hAnsiTheme="minorHAnsi" w:cstheme="minorBidi"/>
          <w:noProof/>
          <w:sz w:val="22"/>
          <w:lang w:eastAsia="en-AU"/>
        </w:rPr>
        <w:tab/>
      </w:r>
      <w:r w:rsidRPr="00AD0F1A">
        <w:rPr>
          <w:rFonts w:asciiTheme="minorHAnsi" w:hAnsiTheme="minorHAnsi"/>
          <w:noProof/>
        </w:rPr>
        <w:t>Building roads for productivity</w:t>
      </w:r>
      <w:r>
        <w:rPr>
          <w:noProof/>
        </w:rPr>
        <w:tab/>
      </w:r>
      <w:r w:rsidR="003B2024">
        <w:rPr>
          <w:noProof/>
        </w:rPr>
        <w:fldChar w:fldCharType="begin"/>
      </w:r>
      <w:r>
        <w:rPr>
          <w:noProof/>
        </w:rPr>
        <w:instrText xml:space="preserve"> PAGEREF _Toc378749505 \h </w:instrText>
      </w:r>
      <w:r w:rsidR="003B2024">
        <w:rPr>
          <w:noProof/>
        </w:rPr>
      </w:r>
      <w:r w:rsidR="003B2024">
        <w:rPr>
          <w:noProof/>
        </w:rPr>
        <w:fldChar w:fldCharType="separate"/>
      </w:r>
      <w:r>
        <w:rPr>
          <w:noProof/>
        </w:rPr>
        <w:t>6</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5.1.2</w:t>
      </w:r>
      <w:r>
        <w:rPr>
          <w:rFonts w:asciiTheme="minorHAnsi" w:eastAsiaTheme="minorEastAsia" w:hAnsiTheme="minorHAnsi" w:cstheme="minorBidi"/>
          <w:noProof/>
          <w:sz w:val="22"/>
          <w:lang w:eastAsia="en-AU"/>
        </w:rPr>
        <w:tab/>
      </w:r>
      <w:r w:rsidRPr="00AD0F1A">
        <w:rPr>
          <w:rFonts w:asciiTheme="minorHAnsi" w:hAnsiTheme="minorHAnsi"/>
          <w:noProof/>
        </w:rPr>
        <w:t>Rest areas</w:t>
      </w:r>
      <w:r>
        <w:rPr>
          <w:noProof/>
        </w:rPr>
        <w:tab/>
      </w:r>
      <w:r w:rsidR="003B2024">
        <w:rPr>
          <w:noProof/>
        </w:rPr>
        <w:fldChar w:fldCharType="begin"/>
      </w:r>
      <w:r>
        <w:rPr>
          <w:noProof/>
        </w:rPr>
        <w:instrText xml:space="preserve"> PAGEREF _Toc378749506 \h </w:instrText>
      </w:r>
      <w:r w:rsidR="003B2024">
        <w:rPr>
          <w:noProof/>
        </w:rPr>
      </w:r>
      <w:r w:rsidR="003B2024">
        <w:rPr>
          <w:noProof/>
        </w:rPr>
        <w:fldChar w:fldCharType="separate"/>
      </w:r>
      <w:r>
        <w:rPr>
          <w:noProof/>
        </w:rPr>
        <w:t>6</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5.1.3</w:t>
      </w:r>
      <w:r>
        <w:rPr>
          <w:rFonts w:asciiTheme="minorHAnsi" w:eastAsiaTheme="minorEastAsia" w:hAnsiTheme="minorHAnsi" w:cstheme="minorBidi"/>
          <w:noProof/>
          <w:sz w:val="22"/>
          <w:lang w:eastAsia="en-AU"/>
        </w:rPr>
        <w:tab/>
      </w:r>
      <w:r w:rsidRPr="00AD0F1A">
        <w:rPr>
          <w:rFonts w:asciiTheme="minorHAnsi" w:hAnsiTheme="minorHAnsi"/>
          <w:noProof/>
        </w:rPr>
        <w:t>Bridges renewal program</w:t>
      </w:r>
      <w:r>
        <w:rPr>
          <w:noProof/>
        </w:rPr>
        <w:tab/>
      </w:r>
      <w:r w:rsidR="003B2024">
        <w:rPr>
          <w:noProof/>
        </w:rPr>
        <w:fldChar w:fldCharType="begin"/>
      </w:r>
      <w:r>
        <w:rPr>
          <w:noProof/>
        </w:rPr>
        <w:instrText xml:space="preserve"> PAGEREF _Toc378749507 \h </w:instrText>
      </w:r>
      <w:r w:rsidR="003B2024">
        <w:rPr>
          <w:noProof/>
        </w:rPr>
      </w:r>
      <w:r w:rsidR="003B2024">
        <w:rPr>
          <w:noProof/>
        </w:rPr>
        <w:fldChar w:fldCharType="separate"/>
      </w:r>
      <w:r>
        <w:rPr>
          <w:noProof/>
        </w:rPr>
        <w:t>7</w:t>
      </w:r>
      <w:r w:rsidR="003B2024">
        <w:rPr>
          <w:noProof/>
        </w:rPr>
        <w:fldChar w:fldCharType="end"/>
      </w:r>
    </w:p>
    <w:p w:rsidR="00CB4D57" w:rsidRDefault="00CB4D57">
      <w:pPr>
        <w:pStyle w:val="TOC2"/>
        <w:tabs>
          <w:tab w:val="left" w:pos="880"/>
        </w:tabs>
        <w:rPr>
          <w:rFonts w:asciiTheme="minorHAnsi" w:hAnsiTheme="minorHAnsi"/>
          <w:noProof/>
        </w:rPr>
      </w:pPr>
    </w:p>
    <w:p w:rsidR="00CB4D57" w:rsidRPr="00CB4D57" w:rsidRDefault="00CB4D57">
      <w:pPr>
        <w:pStyle w:val="TOC2"/>
        <w:tabs>
          <w:tab w:val="left" w:pos="880"/>
        </w:tabs>
        <w:rPr>
          <w:rFonts w:asciiTheme="minorHAnsi" w:eastAsiaTheme="minorEastAsia" w:hAnsiTheme="minorHAnsi" w:cstheme="minorBidi"/>
          <w:b/>
          <w:noProof/>
          <w:sz w:val="22"/>
          <w:lang w:eastAsia="en-AU"/>
        </w:rPr>
      </w:pPr>
      <w:r w:rsidRPr="00CB4D57">
        <w:rPr>
          <w:rFonts w:asciiTheme="minorHAnsi" w:hAnsiTheme="minorHAnsi"/>
          <w:b/>
          <w:noProof/>
        </w:rPr>
        <w:t>5.2.</w:t>
      </w:r>
      <w:r w:rsidRPr="00CB4D57">
        <w:rPr>
          <w:rFonts w:asciiTheme="minorHAnsi" w:eastAsiaTheme="minorEastAsia" w:hAnsiTheme="minorHAnsi" w:cstheme="minorBidi"/>
          <w:b/>
          <w:noProof/>
          <w:sz w:val="22"/>
          <w:lang w:eastAsia="en-AU"/>
        </w:rPr>
        <w:tab/>
      </w:r>
      <w:r w:rsidRPr="00CB4D57">
        <w:rPr>
          <w:rFonts w:asciiTheme="minorHAnsi" w:hAnsiTheme="minorHAnsi"/>
          <w:b/>
          <w:noProof/>
        </w:rPr>
        <w:t>Improving road safety</w:t>
      </w:r>
      <w:r w:rsidRPr="00CB4D57">
        <w:rPr>
          <w:b/>
          <w:noProof/>
        </w:rPr>
        <w:tab/>
      </w:r>
      <w:r w:rsidR="003B2024" w:rsidRPr="00CB4D57">
        <w:rPr>
          <w:b/>
          <w:noProof/>
        </w:rPr>
        <w:fldChar w:fldCharType="begin"/>
      </w:r>
      <w:r w:rsidRPr="00CB4D57">
        <w:rPr>
          <w:b/>
          <w:noProof/>
        </w:rPr>
        <w:instrText xml:space="preserve"> PAGEREF _Toc378749508 \h </w:instrText>
      </w:r>
      <w:r w:rsidR="003B2024" w:rsidRPr="00CB4D57">
        <w:rPr>
          <w:b/>
          <w:noProof/>
        </w:rPr>
      </w:r>
      <w:r w:rsidR="003B2024" w:rsidRPr="00CB4D57">
        <w:rPr>
          <w:b/>
          <w:noProof/>
        </w:rPr>
        <w:fldChar w:fldCharType="separate"/>
      </w:r>
      <w:r w:rsidRPr="00CB4D57">
        <w:rPr>
          <w:b/>
          <w:noProof/>
        </w:rPr>
        <w:t>8</w:t>
      </w:r>
      <w:r w:rsidR="003B2024" w:rsidRPr="00CB4D57">
        <w:rPr>
          <w:b/>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5.2.1</w:t>
      </w:r>
      <w:r>
        <w:rPr>
          <w:rFonts w:asciiTheme="minorHAnsi" w:eastAsiaTheme="minorEastAsia" w:hAnsiTheme="minorHAnsi" w:cstheme="minorBidi"/>
          <w:noProof/>
          <w:sz w:val="22"/>
          <w:lang w:eastAsia="en-AU"/>
        </w:rPr>
        <w:tab/>
      </w:r>
      <w:r w:rsidRPr="00AD0F1A">
        <w:rPr>
          <w:rFonts w:asciiTheme="minorHAnsi" w:hAnsiTheme="minorHAnsi"/>
          <w:noProof/>
        </w:rPr>
        <w:t>Roads to Recovery and Black Spot funding</w:t>
      </w:r>
      <w:r>
        <w:rPr>
          <w:noProof/>
        </w:rPr>
        <w:tab/>
      </w:r>
      <w:r w:rsidR="003B2024">
        <w:rPr>
          <w:noProof/>
        </w:rPr>
        <w:fldChar w:fldCharType="begin"/>
      </w:r>
      <w:r>
        <w:rPr>
          <w:noProof/>
        </w:rPr>
        <w:instrText xml:space="preserve"> PAGEREF _Toc378749509 \h </w:instrText>
      </w:r>
      <w:r w:rsidR="003B2024">
        <w:rPr>
          <w:noProof/>
        </w:rPr>
      </w:r>
      <w:r w:rsidR="003B2024">
        <w:rPr>
          <w:noProof/>
        </w:rPr>
        <w:fldChar w:fldCharType="separate"/>
      </w:r>
      <w:r>
        <w:rPr>
          <w:noProof/>
        </w:rPr>
        <w:t>8</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5.2.2</w:t>
      </w:r>
      <w:r>
        <w:rPr>
          <w:rFonts w:asciiTheme="minorHAnsi" w:eastAsiaTheme="minorEastAsia" w:hAnsiTheme="minorHAnsi" w:cstheme="minorBidi"/>
          <w:noProof/>
          <w:sz w:val="22"/>
          <w:lang w:eastAsia="en-AU"/>
        </w:rPr>
        <w:tab/>
      </w:r>
      <w:r w:rsidRPr="00AD0F1A">
        <w:rPr>
          <w:rFonts w:asciiTheme="minorHAnsi" w:hAnsiTheme="minorHAnsi"/>
          <w:noProof/>
        </w:rPr>
        <w:t>Establish a national public database of coronial recommendations about road safety</w:t>
      </w:r>
      <w:r>
        <w:rPr>
          <w:noProof/>
        </w:rPr>
        <w:tab/>
      </w:r>
      <w:r w:rsidR="003B2024">
        <w:rPr>
          <w:noProof/>
        </w:rPr>
        <w:fldChar w:fldCharType="begin"/>
      </w:r>
      <w:r>
        <w:rPr>
          <w:noProof/>
        </w:rPr>
        <w:instrText xml:space="preserve"> PAGEREF _Toc378749510 \h </w:instrText>
      </w:r>
      <w:r w:rsidR="003B2024">
        <w:rPr>
          <w:noProof/>
        </w:rPr>
      </w:r>
      <w:r w:rsidR="003B2024">
        <w:rPr>
          <w:noProof/>
        </w:rPr>
        <w:fldChar w:fldCharType="separate"/>
      </w:r>
      <w:r>
        <w:rPr>
          <w:noProof/>
        </w:rPr>
        <w:t>8</w:t>
      </w:r>
      <w:r w:rsidR="003B2024">
        <w:rPr>
          <w:noProof/>
        </w:rPr>
        <w:fldChar w:fldCharType="end"/>
      </w:r>
    </w:p>
    <w:p w:rsidR="00CB4D57" w:rsidRDefault="00CB4D57">
      <w:pPr>
        <w:pStyle w:val="TOC2"/>
        <w:tabs>
          <w:tab w:val="left" w:pos="880"/>
        </w:tabs>
        <w:rPr>
          <w:rFonts w:asciiTheme="minorHAnsi" w:hAnsiTheme="minorHAnsi"/>
          <w:noProof/>
        </w:rPr>
      </w:pPr>
    </w:p>
    <w:p w:rsidR="00CB4D57" w:rsidRPr="00CB4D57" w:rsidRDefault="00CB4D57">
      <w:pPr>
        <w:pStyle w:val="TOC2"/>
        <w:tabs>
          <w:tab w:val="left" w:pos="880"/>
        </w:tabs>
        <w:rPr>
          <w:rFonts w:asciiTheme="minorHAnsi" w:eastAsiaTheme="minorEastAsia" w:hAnsiTheme="minorHAnsi" w:cstheme="minorBidi"/>
          <w:b/>
          <w:noProof/>
          <w:sz w:val="22"/>
          <w:lang w:eastAsia="en-AU"/>
        </w:rPr>
      </w:pPr>
      <w:r w:rsidRPr="00CB4D57">
        <w:rPr>
          <w:rFonts w:asciiTheme="minorHAnsi" w:hAnsiTheme="minorHAnsi"/>
          <w:b/>
          <w:noProof/>
        </w:rPr>
        <w:t>5.3.</w:t>
      </w:r>
      <w:r w:rsidRPr="00CB4D57">
        <w:rPr>
          <w:rFonts w:asciiTheme="minorHAnsi" w:eastAsiaTheme="minorEastAsia" w:hAnsiTheme="minorHAnsi" w:cstheme="minorBidi"/>
          <w:b/>
          <w:noProof/>
          <w:sz w:val="22"/>
          <w:lang w:eastAsia="en-AU"/>
        </w:rPr>
        <w:tab/>
      </w:r>
      <w:r w:rsidRPr="00CB4D57">
        <w:rPr>
          <w:rFonts w:asciiTheme="minorHAnsi" w:hAnsiTheme="minorHAnsi"/>
          <w:b/>
          <w:noProof/>
        </w:rPr>
        <w:t>Heavy vehicle road charges</w:t>
      </w:r>
      <w:r w:rsidRPr="00CB4D57">
        <w:rPr>
          <w:b/>
          <w:noProof/>
        </w:rPr>
        <w:tab/>
      </w:r>
      <w:r w:rsidR="003B2024" w:rsidRPr="00CB4D57">
        <w:rPr>
          <w:b/>
          <w:noProof/>
        </w:rPr>
        <w:fldChar w:fldCharType="begin"/>
      </w:r>
      <w:r w:rsidRPr="00CB4D57">
        <w:rPr>
          <w:b/>
          <w:noProof/>
        </w:rPr>
        <w:instrText xml:space="preserve"> PAGEREF _Toc378749511 \h </w:instrText>
      </w:r>
      <w:r w:rsidR="003B2024" w:rsidRPr="00CB4D57">
        <w:rPr>
          <w:b/>
          <w:noProof/>
        </w:rPr>
      </w:r>
      <w:r w:rsidR="003B2024" w:rsidRPr="00CB4D57">
        <w:rPr>
          <w:b/>
          <w:noProof/>
        </w:rPr>
        <w:fldChar w:fldCharType="separate"/>
      </w:r>
      <w:r w:rsidRPr="00CB4D57">
        <w:rPr>
          <w:b/>
          <w:noProof/>
        </w:rPr>
        <w:t>8</w:t>
      </w:r>
      <w:r w:rsidR="003B2024" w:rsidRPr="00CB4D57">
        <w:rPr>
          <w:b/>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5.3.1</w:t>
      </w:r>
      <w:r>
        <w:rPr>
          <w:rFonts w:asciiTheme="minorHAnsi" w:eastAsiaTheme="minorEastAsia" w:hAnsiTheme="minorHAnsi" w:cstheme="minorBidi"/>
          <w:noProof/>
          <w:sz w:val="22"/>
          <w:lang w:eastAsia="en-AU"/>
        </w:rPr>
        <w:tab/>
      </w:r>
      <w:r w:rsidRPr="00AD0F1A">
        <w:rPr>
          <w:rFonts w:asciiTheme="minorHAnsi" w:hAnsiTheme="minorHAnsi"/>
          <w:noProof/>
        </w:rPr>
        <w:t>Fuel Tax Credits</w:t>
      </w:r>
      <w:r>
        <w:rPr>
          <w:noProof/>
        </w:rPr>
        <w:tab/>
      </w:r>
      <w:r w:rsidR="003B2024">
        <w:rPr>
          <w:noProof/>
        </w:rPr>
        <w:fldChar w:fldCharType="begin"/>
      </w:r>
      <w:r>
        <w:rPr>
          <w:noProof/>
        </w:rPr>
        <w:instrText xml:space="preserve"> PAGEREF _Toc378749512 \h </w:instrText>
      </w:r>
      <w:r w:rsidR="003B2024">
        <w:rPr>
          <w:noProof/>
        </w:rPr>
      </w:r>
      <w:r w:rsidR="003B2024">
        <w:rPr>
          <w:noProof/>
        </w:rPr>
        <w:fldChar w:fldCharType="separate"/>
      </w:r>
      <w:r>
        <w:rPr>
          <w:noProof/>
        </w:rPr>
        <w:t>8</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5.3.2</w:t>
      </w:r>
      <w:r>
        <w:rPr>
          <w:rFonts w:asciiTheme="minorHAnsi" w:eastAsiaTheme="minorEastAsia" w:hAnsiTheme="minorHAnsi" w:cstheme="minorBidi"/>
          <w:noProof/>
          <w:sz w:val="22"/>
          <w:lang w:eastAsia="en-AU"/>
        </w:rPr>
        <w:tab/>
      </w:r>
      <w:r w:rsidRPr="00AD0F1A">
        <w:rPr>
          <w:rFonts w:asciiTheme="minorHAnsi" w:hAnsiTheme="minorHAnsi"/>
          <w:noProof/>
        </w:rPr>
        <w:t>The NTC 2014 Heavy Vehicle Charges Determination</w:t>
      </w:r>
      <w:r>
        <w:rPr>
          <w:noProof/>
        </w:rPr>
        <w:tab/>
      </w:r>
      <w:r w:rsidR="003B2024">
        <w:rPr>
          <w:noProof/>
        </w:rPr>
        <w:fldChar w:fldCharType="begin"/>
      </w:r>
      <w:r>
        <w:rPr>
          <w:noProof/>
        </w:rPr>
        <w:instrText xml:space="preserve"> PAGEREF _Toc378749514 \h </w:instrText>
      </w:r>
      <w:r w:rsidR="003B2024">
        <w:rPr>
          <w:noProof/>
        </w:rPr>
      </w:r>
      <w:r w:rsidR="003B2024">
        <w:rPr>
          <w:noProof/>
        </w:rPr>
        <w:fldChar w:fldCharType="separate"/>
      </w:r>
      <w:r>
        <w:rPr>
          <w:noProof/>
        </w:rPr>
        <w:t>9</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5.3.3</w:t>
      </w:r>
      <w:r>
        <w:rPr>
          <w:rFonts w:asciiTheme="minorHAnsi" w:eastAsiaTheme="minorEastAsia" w:hAnsiTheme="minorHAnsi" w:cstheme="minorBidi"/>
          <w:noProof/>
          <w:sz w:val="22"/>
          <w:lang w:eastAsia="en-AU"/>
        </w:rPr>
        <w:tab/>
      </w:r>
      <w:r w:rsidRPr="00AD0F1A">
        <w:rPr>
          <w:rFonts w:asciiTheme="minorHAnsi" w:hAnsiTheme="minorHAnsi"/>
          <w:noProof/>
        </w:rPr>
        <w:t>Heavy Vehicle Charges and Investment reform</w:t>
      </w:r>
      <w:r>
        <w:rPr>
          <w:noProof/>
        </w:rPr>
        <w:tab/>
      </w:r>
      <w:r w:rsidR="003B2024">
        <w:rPr>
          <w:noProof/>
        </w:rPr>
        <w:fldChar w:fldCharType="begin"/>
      </w:r>
      <w:r>
        <w:rPr>
          <w:noProof/>
        </w:rPr>
        <w:instrText xml:space="preserve"> PAGEREF _Toc378749515 \h </w:instrText>
      </w:r>
      <w:r w:rsidR="003B2024">
        <w:rPr>
          <w:noProof/>
        </w:rPr>
      </w:r>
      <w:r w:rsidR="003B2024">
        <w:rPr>
          <w:noProof/>
        </w:rPr>
        <w:fldChar w:fldCharType="separate"/>
      </w:r>
      <w:r>
        <w:rPr>
          <w:noProof/>
        </w:rPr>
        <w:t>10</w:t>
      </w:r>
      <w:r w:rsidR="003B2024">
        <w:rPr>
          <w:noProof/>
        </w:rPr>
        <w:fldChar w:fldCharType="end"/>
      </w:r>
    </w:p>
    <w:p w:rsidR="00CB4D57" w:rsidRDefault="00CB4D57">
      <w:pPr>
        <w:pStyle w:val="TOC2"/>
        <w:tabs>
          <w:tab w:val="left" w:pos="880"/>
        </w:tabs>
        <w:rPr>
          <w:rFonts w:asciiTheme="minorHAnsi" w:hAnsiTheme="minorHAnsi"/>
          <w:noProof/>
        </w:rPr>
      </w:pPr>
    </w:p>
    <w:p w:rsidR="00CB4D57" w:rsidRPr="00CB4D57" w:rsidRDefault="00CB4D57">
      <w:pPr>
        <w:pStyle w:val="TOC2"/>
        <w:tabs>
          <w:tab w:val="left" w:pos="880"/>
        </w:tabs>
        <w:rPr>
          <w:rFonts w:asciiTheme="minorHAnsi" w:eastAsiaTheme="minorEastAsia" w:hAnsiTheme="minorHAnsi" w:cstheme="minorBidi"/>
          <w:b/>
          <w:noProof/>
          <w:sz w:val="22"/>
          <w:lang w:eastAsia="en-AU"/>
        </w:rPr>
      </w:pPr>
      <w:r w:rsidRPr="00CB4D57">
        <w:rPr>
          <w:rFonts w:asciiTheme="minorHAnsi" w:hAnsiTheme="minorHAnsi"/>
          <w:b/>
          <w:noProof/>
        </w:rPr>
        <w:t>5.4.</w:t>
      </w:r>
      <w:r w:rsidRPr="00CB4D57">
        <w:rPr>
          <w:rFonts w:asciiTheme="minorHAnsi" w:eastAsiaTheme="minorEastAsia" w:hAnsiTheme="minorHAnsi" w:cstheme="minorBidi"/>
          <w:b/>
          <w:noProof/>
          <w:sz w:val="22"/>
          <w:lang w:eastAsia="en-AU"/>
        </w:rPr>
        <w:tab/>
      </w:r>
      <w:r w:rsidRPr="00CB4D57">
        <w:rPr>
          <w:rFonts w:asciiTheme="minorHAnsi" w:hAnsiTheme="minorHAnsi"/>
          <w:b/>
          <w:noProof/>
        </w:rPr>
        <w:t>Achieving productivity gains and reducing red tape</w:t>
      </w:r>
      <w:r w:rsidRPr="00CB4D57">
        <w:rPr>
          <w:b/>
          <w:noProof/>
        </w:rPr>
        <w:tab/>
      </w:r>
      <w:r w:rsidR="003B2024" w:rsidRPr="00CB4D57">
        <w:rPr>
          <w:b/>
          <w:noProof/>
        </w:rPr>
        <w:fldChar w:fldCharType="begin"/>
      </w:r>
      <w:r w:rsidRPr="00CB4D57">
        <w:rPr>
          <w:b/>
          <w:noProof/>
        </w:rPr>
        <w:instrText xml:space="preserve"> PAGEREF _Toc378749516 \h </w:instrText>
      </w:r>
      <w:r w:rsidR="003B2024" w:rsidRPr="00CB4D57">
        <w:rPr>
          <w:b/>
          <w:noProof/>
        </w:rPr>
      </w:r>
      <w:r w:rsidR="003B2024" w:rsidRPr="00CB4D57">
        <w:rPr>
          <w:b/>
          <w:noProof/>
        </w:rPr>
        <w:fldChar w:fldCharType="separate"/>
      </w:r>
      <w:r w:rsidRPr="00CB4D57">
        <w:rPr>
          <w:b/>
          <w:noProof/>
        </w:rPr>
        <w:t>11</w:t>
      </w:r>
      <w:r w:rsidR="003B2024" w:rsidRPr="00CB4D57">
        <w:rPr>
          <w:b/>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5.4.1</w:t>
      </w:r>
      <w:r>
        <w:rPr>
          <w:rFonts w:asciiTheme="minorHAnsi" w:eastAsiaTheme="minorEastAsia" w:hAnsiTheme="minorHAnsi" w:cstheme="minorBidi"/>
          <w:noProof/>
          <w:sz w:val="22"/>
          <w:lang w:eastAsia="en-AU"/>
        </w:rPr>
        <w:tab/>
      </w:r>
      <w:r w:rsidRPr="00AD0F1A">
        <w:rPr>
          <w:rFonts w:asciiTheme="minorHAnsi" w:hAnsiTheme="minorHAnsi"/>
          <w:noProof/>
        </w:rPr>
        <w:t>Changes to Infrastructure Australia</w:t>
      </w:r>
      <w:r>
        <w:rPr>
          <w:noProof/>
        </w:rPr>
        <w:tab/>
      </w:r>
      <w:r w:rsidR="003B2024">
        <w:rPr>
          <w:noProof/>
        </w:rPr>
        <w:fldChar w:fldCharType="begin"/>
      </w:r>
      <w:r>
        <w:rPr>
          <w:noProof/>
        </w:rPr>
        <w:instrText xml:space="preserve"> PAGEREF _Toc378749518 \h </w:instrText>
      </w:r>
      <w:r w:rsidR="003B2024">
        <w:rPr>
          <w:noProof/>
        </w:rPr>
      </w:r>
      <w:r w:rsidR="003B2024">
        <w:rPr>
          <w:noProof/>
        </w:rPr>
        <w:fldChar w:fldCharType="separate"/>
      </w:r>
      <w:r>
        <w:rPr>
          <w:noProof/>
        </w:rPr>
        <w:t>11</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5.4.2</w:t>
      </w:r>
      <w:r>
        <w:rPr>
          <w:rFonts w:asciiTheme="minorHAnsi" w:eastAsiaTheme="minorEastAsia" w:hAnsiTheme="minorHAnsi" w:cstheme="minorBidi"/>
          <w:noProof/>
          <w:sz w:val="22"/>
          <w:lang w:eastAsia="en-AU"/>
        </w:rPr>
        <w:tab/>
      </w:r>
      <w:r w:rsidRPr="00AD0F1A">
        <w:rPr>
          <w:rFonts w:asciiTheme="minorHAnsi" w:hAnsiTheme="minorHAnsi"/>
          <w:noProof/>
        </w:rPr>
        <w:t>Establish a joint taskforce to review regulation</w:t>
      </w:r>
      <w:r>
        <w:rPr>
          <w:noProof/>
        </w:rPr>
        <w:tab/>
      </w:r>
      <w:r w:rsidR="003B2024">
        <w:rPr>
          <w:noProof/>
        </w:rPr>
        <w:fldChar w:fldCharType="begin"/>
      </w:r>
      <w:r>
        <w:rPr>
          <w:noProof/>
        </w:rPr>
        <w:instrText xml:space="preserve"> PAGEREF _Toc378749522 \h </w:instrText>
      </w:r>
      <w:r w:rsidR="003B2024">
        <w:rPr>
          <w:noProof/>
        </w:rPr>
      </w:r>
      <w:r w:rsidR="003B2024">
        <w:rPr>
          <w:noProof/>
        </w:rPr>
        <w:fldChar w:fldCharType="separate"/>
      </w:r>
      <w:r>
        <w:rPr>
          <w:noProof/>
        </w:rPr>
        <w:t>12</w:t>
      </w:r>
      <w:r w:rsidR="003B2024">
        <w:rPr>
          <w:noProof/>
        </w:rPr>
        <w:fldChar w:fldCharType="end"/>
      </w:r>
    </w:p>
    <w:p w:rsidR="00CB4D57" w:rsidRDefault="00CB4D57">
      <w:pPr>
        <w:pStyle w:val="TOC2"/>
        <w:tabs>
          <w:tab w:val="left" w:pos="880"/>
        </w:tabs>
        <w:rPr>
          <w:rFonts w:asciiTheme="minorHAnsi" w:eastAsiaTheme="minorEastAsia" w:hAnsiTheme="minorHAnsi" w:cstheme="minorBidi"/>
          <w:noProof/>
          <w:sz w:val="22"/>
          <w:lang w:eastAsia="en-AU"/>
        </w:rPr>
      </w:pPr>
      <w:r w:rsidRPr="00AD0F1A">
        <w:rPr>
          <w:rFonts w:asciiTheme="minorHAnsi" w:hAnsiTheme="minorHAnsi"/>
          <w:noProof/>
        </w:rPr>
        <w:t>5.4.3</w:t>
      </w:r>
      <w:r>
        <w:rPr>
          <w:rFonts w:asciiTheme="minorHAnsi" w:eastAsiaTheme="minorEastAsia" w:hAnsiTheme="minorHAnsi" w:cstheme="minorBidi"/>
          <w:noProof/>
          <w:sz w:val="22"/>
          <w:lang w:eastAsia="en-AU"/>
        </w:rPr>
        <w:tab/>
      </w:r>
      <w:r w:rsidRPr="00AD0F1A">
        <w:rPr>
          <w:rFonts w:asciiTheme="minorHAnsi" w:hAnsiTheme="minorHAnsi"/>
          <w:noProof/>
        </w:rPr>
        <w:t>Funding for research into renewable fuels</w:t>
      </w:r>
      <w:r>
        <w:rPr>
          <w:noProof/>
        </w:rPr>
        <w:tab/>
      </w:r>
      <w:r w:rsidR="003B2024">
        <w:rPr>
          <w:noProof/>
        </w:rPr>
        <w:fldChar w:fldCharType="begin"/>
      </w:r>
      <w:r>
        <w:rPr>
          <w:noProof/>
        </w:rPr>
        <w:instrText xml:space="preserve"> PAGEREF _Toc378749523 \h </w:instrText>
      </w:r>
      <w:r w:rsidR="003B2024">
        <w:rPr>
          <w:noProof/>
        </w:rPr>
      </w:r>
      <w:r w:rsidR="003B2024">
        <w:rPr>
          <w:noProof/>
        </w:rPr>
        <w:fldChar w:fldCharType="separate"/>
      </w:r>
      <w:r>
        <w:rPr>
          <w:noProof/>
        </w:rPr>
        <w:t>12</w:t>
      </w:r>
      <w:r w:rsidR="003B2024">
        <w:rPr>
          <w:noProof/>
        </w:rPr>
        <w:fldChar w:fldCharType="end"/>
      </w:r>
    </w:p>
    <w:p w:rsidR="00241C15" w:rsidRPr="00D92690" w:rsidRDefault="003B2024" w:rsidP="00D92690">
      <w:pPr>
        <w:tabs>
          <w:tab w:val="right" w:leader="dot" w:pos="9645"/>
        </w:tabs>
        <w:jc w:val="both"/>
        <w:rPr>
          <w:rFonts w:asciiTheme="minorHAnsi" w:hAnsiTheme="minorHAnsi" w:cs="Arial"/>
        </w:rPr>
      </w:pPr>
      <w:r w:rsidRPr="00D92690">
        <w:rPr>
          <w:rFonts w:asciiTheme="minorHAnsi" w:hAnsiTheme="minorHAnsi" w:cs="Arial"/>
          <w:b/>
          <w:noProof/>
        </w:rPr>
        <w:fldChar w:fldCharType="end"/>
      </w:r>
    </w:p>
    <w:p w:rsidR="00576ED0" w:rsidRPr="00D92690" w:rsidRDefault="00576ED0" w:rsidP="00D92690">
      <w:pPr>
        <w:jc w:val="both"/>
        <w:rPr>
          <w:rFonts w:asciiTheme="minorHAnsi" w:hAnsiTheme="minorHAnsi" w:cs="Arial"/>
        </w:rPr>
      </w:pPr>
      <w:r w:rsidRPr="00D92690">
        <w:rPr>
          <w:rFonts w:asciiTheme="minorHAnsi" w:hAnsiTheme="minorHAnsi" w:cs="Arial"/>
        </w:rPr>
        <w:br w:type="page"/>
      </w:r>
    </w:p>
    <w:p w:rsidR="00600132" w:rsidRPr="00D92690" w:rsidRDefault="00576ED0" w:rsidP="00D92690">
      <w:pPr>
        <w:pStyle w:val="Heading1"/>
        <w:jc w:val="both"/>
        <w:rPr>
          <w:rFonts w:asciiTheme="minorHAnsi" w:hAnsiTheme="minorHAnsi"/>
          <w:szCs w:val="22"/>
        </w:rPr>
      </w:pPr>
      <w:bookmarkStart w:id="0" w:name="_Toc378749499"/>
      <w:r w:rsidRPr="00D92690">
        <w:rPr>
          <w:rFonts w:asciiTheme="minorHAnsi" w:hAnsiTheme="minorHAnsi"/>
          <w:szCs w:val="22"/>
        </w:rPr>
        <w:lastRenderedPageBreak/>
        <w:t>Introduction</w:t>
      </w:r>
      <w:bookmarkEnd w:id="0"/>
    </w:p>
    <w:p w:rsidR="00C322A1" w:rsidRPr="00D92690" w:rsidRDefault="00C322A1" w:rsidP="00D92690">
      <w:pPr>
        <w:jc w:val="both"/>
        <w:rPr>
          <w:rFonts w:asciiTheme="minorHAnsi" w:eastAsia="Times New Roman" w:hAnsiTheme="minorHAnsi" w:cs="Arial"/>
          <w:bCs/>
        </w:rPr>
      </w:pPr>
    </w:p>
    <w:p w:rsidR="00EA3322" w:rsidRDefault="00EA3322"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r w:rsidRPr="00D92690">
        <w:rPr>
          <w:rFonts w:asciiTheme="minorHAnsi" w:eastAsiaTheme="minorHAnsi" w:hAnsiTheme="minorHAnsi" w:cstheme="minorBidi"/>
          <w:bCs/>
          <w:sz w:val="22"/>
          <w:szCs w:val="22"/>
          <w:lang w:eastAsia="en-US"/>
        </w:rPr>
        <w:t xml:space="preserve">The </w:t>
      </w:r>
      <w:r w:rsidR="00F3294F" w:rsidRPr="00D92690">
        <w:rPr>
          <w:rFonts w:asciiTheme="minorHAnsi" w:eastAsiaTheme="minorHAnsi" w:hAnsiTheme="minorHAnsi" w:cstheme="minorBidi"/>
          <w:bCs/>
          <w:sz w:val="22"/>
          <w:szCs w:val="22"/>
          <w:lang w:eastAsia="en-US"/>
        </w:rPr>
        <w:t>Australian</w:t>
      </w:r>
      <w:r w:rsidRPr="00D92690">
        <w:rPr>
          <w:rFonts w:asciiTheme="minorHAnsi" w:eastAsiaTheme="minorHAnsi" w:hAnsiTheme="minorHAnsi" w:cstheme="minorBidi"/>
          <w:bCs/>
          <w:sz w:val="22"/>
          <w:szCs w:val="22"/>
          <w:lang w:eastAsia="en-US"/>
        </w:rPr>
        <w:t xml:space="preserve"> Government has asked for submissions on priorities for the 2014-15 Budget.  </w:t>
      </w:r>
    </w:p>
    <w:p w:rsidR="00CB4D57" w:rsidRPr="00D92690" w:rsidRDefault="00CB4D57"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p>
    <w:p w:rsidR="00EA3322" w:rsidRDefault="00EA3322"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r w:rsidRPr="00D92690">
        <w:rPr>
          <w:rFonts w:asciiTheme="minorHAnsi" w:eastAsiaTheme="minorHAnsi" w:hAnsiTheme="minorHAnsi" w:cstheme="minorBidi"/>
          <w:bCs/>
          <w:sz w:val="22"/>
          <w:szCs w:val="22"/>
          <w:lang w:eastAsia="en-US"/>
        </w:rPr>
        <w:t xml:space="preserve">The Government has identified it will be seeking </w:t>
      </w:r>
      <w:r w:rsidR="00167289" w:rsidRPr="00D92690">
        <w:rPr>
          <w:rFonts w:asciiTheme="minorHAnsi" w:eastAsiaTheme="minorHAnsi" w:hAnsiTheme="minorHAnsi" w:cstheme="minorBidi"/>
          <w:bCs/>
          <w:sz w:val="22"/>
          <w:szCs w:val="22"/>
          <w:lang w:eastAsia="en-US"/>
        </w:rPr>
        <w:t xml:space="preserve">to repair the </w:t>
      </w:r>
      <w:r w:rsidR="00F3294F" w:rsidRPr="00D92690">
        <w:rPr>
          <w:rFonts w:asciiTheme="minorHAnsi" w:eastAsiaTheme="minorHAnsi" w:hAnsiTheme="minorHAnsi" w:cstheme="minorBidi"/>
          <w:bCs/>
          <w:sz w:val="22"/>
          <w:szCs w:val="22"/>
          <w:lang w:eastAsia="en-US"/>
        </w:rPr>
        <w:t>Commonwealth</w:t>
      </w:r>
      <w:r w:rsidR="008C10AA" w:rsidRPr="00D92690">
        <w:rPr>
          <w:rFonts w:asciiTheme="minorHAnsi" w:eastAsiaTheme="minorHAnsi" w:hAnsiTheme="minorHAnsi" w:cstheme="minorBidi"/>
          <w:bCs/>
          <w:sz w:val="22"/>
          <w:szCs w:val="22"/>
          <w:lang w:eastAsia="en-US"/>
        </w:rPr>
        <w:t>’s</w:t>
      </w:r>
      <w:r w:rsidR="00F3294F" w:rsidRPr="00D92690">
        <w:rPr>
          <w:rFonts w:asciiTheme="minorHAnsi" w:eastAsiaTheme="minorHAnsi" w:hAnsiTheme="minorHAnsi" w:cstheme="minorBidi"/>
          <w:bCs/>
          <w:sz w:val="22"/>
          <w:szCs w:val="22"/>
          <w:lang w:eastAsia="en-US"/>
        </w:rPr>
        <w:t xml:space="preserve"> </w:t>
      </w:r>
      <w:r w:rsidR="00167289" w:rsidRPr="00D92690">
        <w:rPr>
          <w:rFonts w:asciiTheme="minorHAnsi" w:eastAsiaTheme="minorHAnsi" w:hAnsiTheme="minorHAnsi" w:cstheme="minorBidi"/>
          <w:bCs/>
          <w:sz w:val="22"/>
          <w:szCs w:val="22"/>
          <w:lang w:eastAsia="en-US"/>
        </w:rPr>
        <w:t xml:space="preserve">budget position. </w:t>
      </w:r>
      <w:r w:rsidRPr="00D92690">
        <w:rPr>
          <w:rFonts w:asciiTheme="minorHAnsi" w:eastAsiaTheme="minorHAnsi" w:hAnsiTheme="minorHAnsi" w:cstheme="minorBidi"/>
          <w:bCs/>
          <w:sz w:val="22"/>
          <w:szCs w:val="22"/>
          <w:lang w:eastAsia="en-US"/>
        </w:rPr>
        <w:t xml:space="preserve"> It will help define how the Commonwealth can live within its means, pay down debt and aim to build sustainable budget surpluses of at least 1 per cent of GDP by 2023-24.</w:t>
      </w:r>
    </w:p>
    <w:p w:rsidR="00CB4D57" w:rsidRPr="00D92690" w:rsidRDefault="00CB4D57"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p>
    <w:p w:rsidR="00005A35" w:rsidRDefault="00005A35"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rPr>
      </w:pPr>
      <w:r w:rsidRPr="00D92690">
        <w:rPr>
          <w:rFonts w:asciiTheme="minorHAnsi" w:eastAsiaTheme="minorHAnsi" w:hAnsiTheme="minorHAnsi" w:cstheme="minorBidi"/>
          <w:bCs/>
          <w:sz w:val="22"/>
          <w:szCs w:val="22"/>
        </w:rPr>
        <w:t xml:space="preserve">The heavy vehicle industry </w:t>
      </w:r>
      <w:r w:rsidR="00DE33F9" w:rsidRPr="00D92690">
        <w:rPr>
          <w:rFonts w:asciiTheme="minorHAnsi" w:eastAsiaTheme="minorHAnsi" w:hAnsiTheme="minorHAnsi" w:cstheme="minorBidi"/>
          <w:bCs/>
          <w:sz w:val="22"/>
          <w:szCs w:val="22"/>
        </w:rPr>
        <w:t>is a key contributor to the national economy</w:t>
      </w:r>
      <w:r w:rsidRPr="00D92690">
        <w:rPr>
          <w:rFonts w:asciiTheme="minorHAnsi" w:eastAsiaTheme="minorHAnsi" w:hAnsiTheme="minorHAnsi" w:cstheme="minorBidi"/>
          <w:bCs/>
          <w:sz w:val="22"/>
          <w:szCs w:val="22"/>
        </w:rPr>
        <w:t>. While the industry has sought to increase its productivity via the uptake of high productivity vehicles</w:t>
      </w:r>
      <w:r w:rsidR="00C87641" w:rsidRPr="00D92690">
        <w:rPr>
          <w:rFonts w:asciiTheme="minorHAnsi" w:eastAsiaTheme="minorHAnsi" w:hAnsiTheme="minorHAnsi" w:cstheme="minorBidi"/>
          <w:bCs/>
          <w:sz w:val="22"/>
          <w:szCs w:val="22"/>
        </w:rPr>
        <w:t>, inefficient</w:t>
      </w:r>
      <w:r w:rsidR="00ED185A" w:rsidRPr="00D92690">
        <w:rPr>
          <w:rFonts w:asciiTheme="minorHAnsi" w:eastAsiaTheme="minorHAnsi" w:hAnsiTheme="minorHAnsi" w:cstheme="minorBidi"/>
          <w:bCs/>
          <w:sz w:val="22"/>
          <w:szCs w:val="22"/>
        </w:rPr>
        <w:t xml:space="preserve"> road networks, asset protection </w:t>
      </w:r>
      <w:r w:rsidR="00C87641" w:rsidRPr="00D92690">
        <w:rPr>
          <w:rFonts w:asciiTheme="minorHAnsi" w:eastAsiaTheme="minorHAnsi" w:hAnsiTheme="minorHAnsi" w:cstheme="minorBidi"/>
          <w:bCs/>
          <w:sz w:val="22"/>
          <w:szCs w:val="22"/>
        </w:rPr>
        <w:t>by road agencies</w:t>
      </w:r>
      <w:r w:rsidR="00ED185A" w:rsidRPr="00D92690">
        <w:rPr>
          <w:rFonts w:asciiTheme="minorHAnsi" w:eastAsiaTheme="minorHAnsi" w:hAnsiTheme="minorHAnsi" w:cstheme="minorBidi"/>
          <w:bCs/>
          <w:sz w:val="22"/>
          <w:szCs w:val="22"/>
        </w:rPr>
        <w:t xml:space="preserve"> and declining road quality have</w:t>
      </w:r>
      <w:r w:rsidRPr="00D92690">
        <w:rPr>
          <w:rFonts w:asciiTheme="minorHAnsi" w:eastAsiaTheme="minorHAnsi" w:hAnsiTheme="minorHAnsi" w:cstheme="minorBidi"/>
          <w:bCs/>
          <w:sz w:val="22"/>
          <w:szCs w:val="22"/>
        </w:rPr>
        <w:t xml:space="preserve"> blocked further productivity gains that can be made. </w:t>
      </w:r>
      <w:r w:rsidR="00DE33F9" w:rsidRPr="00D92690">
        <w:rPr>
          <w:rFonts w:asciiTheme="minorHAnsi" w:eastAsiaTheme="minorHAnsi" w:hAnsiTheme="minorHAnsi" w:cstheme="minorBidi"/>
          <w:bCs/>
          <w:sz w:val="22"/>
          <w:szCs w:val="22"/>
        </w:rPr>
        <w:t>The price of goods domestically and for export reflect the cost of transport and any increased inefficient expenses will cost the competitiveness of the trucking industry</w:t>
      </w:r>
      <w:r w:rsidR="00C87641" w:rsidRPr="00D92690">
        <w:rPr>
          <w:rFonts w:asciiTheme="minorHAnsi" w:eastAsiaTheme="minorHAnsi" w:hAnsiTheme="minorHAnsi" w:cstheme="minorBidi"/>
          <w:bCs/>
          <w:sz w:val="22"/>
          <w:szCs w:val="22"/>
        </w:rPr>
        <w:t xml:space="preserve"> and the Australian economy</w:t>
      </w:r>
      <w:r w:rsidR="00DE33F9" w:rsidRPr="00D92690">
        <w:rPr>
          <w:rFonts w:asciiTheme="minorHAnsi" w:eastAsiaTheme="minorHAnsi" w:hAnsiTheme="minorHAnsi" w:cstheme="minorBidi"/>
          <w:bCs/>
          <w:sz w:val="22"/>
          <w:szCs w:val="22"/>
        </w:rPr>
        <w:t xml:space="preserve">. </w:t>
      </w:r>
    </w:p>
    <w:p w:rsidR="00CB4D57" w:rsidRPr="00D92690" w:rsidRDefault="00CB4D57" w:rsidP="00D92690">
      <w:pPr>
        <w:pStyle w:val="NormalWeb"/>
        <w:shd w:val="clear" w:color="auto" w:fill="FFFFFF"/>
        <w:spacing w:before="0" w:beforeAutospacing="0" w:after="0" w:afterAutospacing="0"/>
        <w:jc w:val="both"/>
        <w:rPr>
          <w:rFonts w:asciiTheme="minorHAnsi" w:eastAsiaTheme="minorHAnsi" w:hAnsiTheme="minorHAnsi" w:cstheme="minorBidi"/>
          <w:bCs/>
          <w:sz w:val="22"/>
          <w:szCs w:val="22"/>
          <w:lang w:eastAsia="en-US"/>
        </w:rPr>
      </w:pPr>
    </w:p>
    <w:p w:rsidR="00EA3322" w:rsidRPr="00D92690" w:rsidRDefault="00EA3322" w:rsidP="00D92690">
      <w:pPr>
        <w:jc w:val="both"/>
        <w:rPr>
          <w:rFonts w:asciiTheme="minorHAnsi" w:hAnsiTheme="minorHAnsi"/>
          <w:bCs/>
        </w:rPr>
      </w:pPr>
      <w:r w:rsidRPr="00D92690">
        <w:rPr>
          <w:rFonts w:asciiTheme="minorHAnsi" w:hAnsiTheme="minorHAnsi"/>
          <w:bCs/>
        </w:rPr>
        <w:t xml:space="preserve">The ATA has provided strategic and </w:t>
      </w:r>
      <w:r w:rsidR="00F3294F" w:rsidRPr="00D92690">
        <w:rPr>
          <w:rFonts w:asciiTheme="minorHAnsi" w:hAnsiTheme="minorHAnsi"/>
          <w:bCs/>
        </w:rPr>
        <w:t>practical policy advice to the Government and G</w:t>
      </w:r>
      <w:r w:rsidRPr="00D92690">
        <w:rPr>
          <w:rFonts w:asciiTheme="minorHAnsi" w:hAnsiTheme="minorHAnsi"/>
          <w:bCs/>
        </w:rPr>
        <w:t xml:space="preserve">overnment organisations in order for them to better understand the industry and to increase the productivity of the industry to meet the growing freight task, which is set to double by 2030 and triple by 2050. </w:t>
      </w:r>
    </w:p>
    <w:p w:rsidR="00050AC8" w:rsidRPr="00D92690" w:rsidRDefault="00050AC8" w:rsidP="00D92690">
      <w:pPr>
        <w:jc w:val="both"/>
        <w:rPr>
          <w:rFonts w:asciiTheme="minorHAnsi" w:hAnsiTheme="minorHAnsi"/>
          <w:bCs/>
        </w:rPr>
      </w:pPr>
    </w:p>
    <w:p w:rsidR="00EA3322" w:rsidRPr="00D92690" w:rsidRDefault="00167289" w:rsidP="00D92690">
      <w:pPr>
        <w:jc w:val="both"/>
        <w:rPr>
          <w:rFonts w:asciiTheme="minorHAnsi" w:hAnsiTheme="minorHAnsi"/>
          <w:bCs/>
        </w:rPr>
      </w:pPr>
      <w:r w:rsidRPr="00D92690">
        <w:rPr>
          <w:rFonts w:asciiTheme="minorHAnsi" w:hAnsiTheme="minorHAnsi"/>
          <w:bCs/>
        </w:rPr>
        <w:t>The Coalition proposed a range of pre-election actions it was set to take if it came to form Govern</w:t>
      </w:r>
      <w:r w:rsidR="00F3294F" w:rsidRPr="00D92690">
        <w:rPr>
          <w:rFonts w:asciiTheme="minorHAnsi" w:hAnsiTheme="minorHAnsi"/>
          <w:bCs/>
        </w:rPr>
        <w:t>ment. The industry supports</w:t>
      </w:r>
      <w:r w:rsidRPr="00D92690">
        <w:rPr>
          <w:rFonts w:asciiTheme="minorHAnsi" w:hAnsiTheme="minorHAnsi"/>
          <w:bCs/>
        </w:rPr>
        <w:t xml:space="preserve"> </w:t>
      </w:r>
      <w:r w:rsidR="00F3294F" w:rsidRPr="00D92690">
        <w:rPr>
          <w:rFonts w:asciiTheme="minorHAnsi" w:hAnsiTheme="minorHAnsi"/>
          <w:bCs/>
        </w:rPr>
        <w:t xml:space="preserve">many of </w:t>
      </w:r>
      <w:r w:rsidRPr="00D92690">
        <w:rPr>
          <w:rFonts w:asciiTheme="minorHAnsi" w:hAnsiTheme="minorHAnsi"/>
          <w:bCs/>
        </w:rPr>
        <w:t>the Coalition</w:t>
      </w:r>
      <w:r w:rsidR="00F3294F" w:rsidRPr="00D92690">
        <w:rPr>
          <w:rFonts w:asciiTheme="minorHAnsi" w:hAnsiTheme="minorHAnsi"/>
          <w:bCs/>
        </w:rPr>
        <w:t>’</w:t>
      </w:r>
      <w:r w:rsidRPr="00D92690">
        <w:rPr>
          <w:rFonts w:asciiTheme="minorHAnsi" w:hAnsiTheme="minorHAnsi"/>
          <w:bCs/>
        </w:rPr>
        <w:t xml:space="preserve">s </w:t>
      </w:r>
      <w:r w:rsidR="00F3294F" w:rsidRPr="00D92690">
        <w:rPr>
          <w:rFonts w:asciiTheme="minorHAnsi" w:hAnsiTheme="minorHAnsi"/>
          <w:bCs/>
        </w:rPr>
        <w:t>policies</w:t>
      </w:r>
      <w:r w:rsidRPr="00D92690">
        <w:rPr>
          <w:rFonts w:asciiTheme="minorHAnsi" w:hAnsiTheme="minorHAnsi"/>
          <w:bCs/>
        </w:rPr>
        <w:t xml:space="preserve"> and urges </w:t>
      </w:r>
      <w:r w:rsidR="00F3294F" w:rsidRPr="00D92690">
        <w:rPr>
          <w:rFonts w:asciiTheme="minorHAnsi" w:hAnsiTheme="minorHAnsi"/>
          <w:bCs/>
        </w:rPr>
        <w:t>it</w:t>
      </w:r>
      <w:r w:rsidRPr="00D92690">
        <w:rPr>
          <w:rFonts w:asciiTheme="minorHAnsi" w:hAnsiTheme="minorHAnsi"/>
          <w:bCs/>
        </w:rPr>
        <w:t xml:space="preserve"> to take action to</w:t>
      </w:r>
      <w:r w:rsidR="00ED185A" w:rsidRPr="00D92690">
        <w:rPr>
          <w:rFonts w:asciiTheme="minorHAnsi" w:hAnsiTheme="minorHAnsi"/>
          <w:bCs/>
        </w:rPr>
        <w:t xml:space="preserve"> improve the productivity of </w:t>
      </w:r>
      <w:r w:rsidR="00F3294F" w:rsidRPr="00D92690">
        <w:rPr>
          <w:rFonts w:asciiTheme="minorHAnsi" w:hAnsiTheme="minorHAnsi"/>
          <w:bCs/>
        </w:rPr>
        <w:t xml:space="preserve">our </w:t>
      </w:r>
      <w:r w:rsidR="00ED185A" w:rsidRPr="00D92690">
        <w:rPr>
          <w:rFonts w:asciiTheme="minorHAnsi" w:hAnsiTheme="minorHAnsi"/>
          <w:bCs/>
        </w:rPr>
        <w:t>road</w:t>
      </w:r>
      <w:r w:rsidR="00F3294F" w:rsidRPr="00D92690">
        <w:rPr>
          <w:rFonts w:asciiTheme="minorHAnsi" w:hAnsiTheme="minorHAnsi"/>
          <w:bCs/>
        </w:rPr>
        <w:t>s</w:t>
      </w:r>
      <w:r w:rsidR="00ED185A" w:rsidRPr="00D92690">
        <w:rPr>
          <w:rFonts w:asciiTheme="minorHAnsi" w:hAnsiTheme="minorHAnsi"/>
          <w:bCs/>
        </w:rPr>
        <w:t xml:space="preserve"> provision</w:t>
      </w:r>
      <w:r w:rsidR="000A2996" w:rsidRPr="00D92690">
        <w:rPr>
          <w:rFonts w:asciiTheme="minorHAnsi" w:hAnsiTheme="minorHAnsi"/>
          <w:bCs/>
        </w:rPr>
        <w:t xml:space="preserve"> and to </w:t>
      </w:r>
      <w:r w:rsidR="00DD2EAD" w:rsidRPr="00D92690">
        <w:rPr>
          <w:rFonts w:asciiTheme="minorHAnsi" w:hAnsiTheme="minorHAnsi"/>
          <w:bCs/>
        </w:rPr>
        <w:t>the</w:t>
      </w:r>
      <w:r w:rsidR="000A2996" w:rsidRPr="00D92690">
        <w:rPr>
          <w:rFonts w:asciiTheme="minorHAnsi" w:hAnsiTheme="minorHAnsi"/>
          <w:bCs/>
        </w:rPr>
        <w:t xml:space="preserve"> burden</w:t>
      </w:r>
      <w:r w:rsidR="00F3294F" w:rsidRPr="00D92690">
        <w:rPr>
          <w:rFonts w:asciiTheme="minorHAnsi" w:hAnsiTheme="minorHAnsi"/>
          <w:bCs/>
        </w:rPr>
        <w:t xml:space="preserve"> of red tape</w:t>
      </w:r>
      <w:r w:rsidRPr="00D92690">
        <w:rPr>
          <w:rFonts w:asciiTheme="minorHAnsi" w:hAnsiTheme="minorHAnsi"/>
          <w:bCs/>
        </w:rPr>
        <w:t xml:space="preserve">.  </w:t>
      </w:r>
    </w:p>
    <w:p w:rsidR="00050AC8" w:rsidRPr="00D92690" w:rsidRDefault="00050AC8" w:rsidP="00D92690">
      <w:pPr>
        <w:jc w:val="both"/>
        <w:rPr>
          <w:rFonts w:asciiTheme="minorHAnsi" w:hAnsiTheme="minorHAnsi"/>
          <w:b/>
        </w:rPr>
      </w:pPr>
    </w:p>
    <w:p w:rsidR="00576ED0" w:rsidRPr="00D92690" w:rsidRDefault="00576ED0" w:rsidP="00D92690">
      <w:pPr>
        <w:pStyle w:val="Heading1"/>
        <w:jc w:val="both"/>
        <w:rPr>
          <w:rFonts w:asciiTheme="minorHAnsi" w:hAnsiTheme="minorHAnsi"/>
          <w:szCs w:val="22"/>
        </w:rPr>
      </w:pPr>
      <w:bookmarkStart w:id="1" w:name="_Toc378749500"/>
      <w:r w:rsidRPr="00D92690">
        <w:rPr>
          <w:rFonts w:asciiTheme="minorHAnsi" w:hAnsiTheme="minorHAnsi"/>
          <w:szCs w:val="22"/>
        </w:rPr>
        <w:t>Australian Trucking Association</w:t>
      </w:r>
      <w:bookmarkEnd w:id="1"/>
    </w:p>
    <w:p w:rsidR="004008C7" w:rsidRPr="00D92690" w:rsidRDefault="004008C7" w:rsidP="00D92690">
      <w:pPr>
        <w:pStyle w:val="BodyText2"/>
        <w:jc w:val="both"/>
        <w:rPr>
          <w:rFonts w:asciiTheme="minorHAnsi" w:hAnsiTheme="minorHAnsi"/>
          <w:b w:val="0"/>
          <w:szCs w:val="22"/>
        </w:rPr>
      </w:pPr>
    </w:p>
    <w:p w:rsidR="000D5E4E" w:rsidRPr="00D92690" w:rsidRDefault="004008C7" w:rsidP="00D92690">
      <w:pPr>
        <w:pStyle w:val="BodyText2"/>
        <w:jc w:val="both"/>
        <w:rPr>
          <w:rFonts w:asciiTheme="minorHAnsi" w:hAnsiTheme="minorHAnsi"/>
          <w:b w:val="0"/>
          <w:szCs w:val="22"/>
        </w:rPr>
      </w:pPr>
      <w:r w:rsidRPr="00D92690">
        <w:rPr>
          <w:rFonts w:asciiTheme="minorHAnsi" w:hAnsiTheme="minorHAnsi"/>
          <w:b w:val="0"/>
          <w:szCs w:val="22"/>
        </w:rPr>
        <w:t>The</w:t>
      </w:r>
      <w:r w:rsidR="001F7268" w:rsidRPr="00D92690">
        <w:rPr>
          <w:rFonts w:asciiTheme="minorHAnsi" w:hAnsiTheme="minorHAnsi"/>
          <w:b w:val="0"/>
          <w:szCs w:val="22"/>
        </w:rPr>
        <w:t xml:space="preserve"> ATA</w:t>
      </w:r>
      <w:r w:rsidRPr="00D92690">
        <w:rPr>
          <w:rFonts w:asciiTheme="minorHAnsi" w:hAnsiTheme="minorHAnsi"/>
          <w:b w:val="0"/>
          <w:szCs w:val="22"/>
        </w:rPr>
        <w:t xml:space="preserve"> is the peak body that represents the trucking industry. Its members include state and </w:t>
      </w:r>
      <w:r w:rsidR="002A243F" w:rsidRPr="00D92690">
        <w:rPr>
          <w:rFonts w:asciiTheme="minorHAnsi" w:hAnsiTheme="minorHAnsi"/>
          <w:b w:val="0"/>
          <w:szCs w:val="22"/>
        </w:rPr>
        <w:t>sector-</w:t>
      </w:r>
      <w:r w:rsidRPr="00D92690">
        <w:rPr>
          <w:rFonts w:asciiTheme="minorHAnsi" w:hAnsiTheme="minorHAnsi"/>
          <w:b w:val="0"/>
          <w:szCs w:val="22"/>
        </w:rPr>
        <w:t>based trucking associations, some of the nation’s largest transport companies, and businesses with leading expertise in truck technology.</w:t>
      </w:r>
      <w:r w:rsidR="00A047CA" w:rsidRPr="00D92690">
        <w:rPr>
          <w:rFonts w:asciiTheme="minorHAnsi" w:hAnsiTheme="minorHAnsi"/>
          <w:b w:val="0"/>
          <w:szCs w:val="22"/>
        </w:rPr>
        <w:t xml:space="preserve"> </w:t>
      </w:r>
    </w:p>
    <w:p w:rsidR="000D5E4E" w:rsidRPr="00D92690" w:rsidRDefault="000D5E4E" w:rsidP="00D92690">
      <w:pPr>
        <w:jc w:val="both"/>
        <w:rPr>
          <w:rFonts w:asciiTheme="minorHAnsi" w:eastAsia="Times New Roman" w:hAnsiTheme="minorHAnsi" w:cs="Arial"/>
          <w:bCs/>
        </w:rPr>
      </w:pPr>
      <w:r w:rsidRPr="00D92690">
        <w:rPr>
          <w:rFonts w:asciiTheme="minorHAnsi" w:hAnsiTheme="minorHAnsi"/>
          <w:b/>
        </w:rPr>
        <w:br w:type="page"/>
      </w:r>
    </w:p>
    <w:p w:rsidR="00A023EA" w:rsidRPr="00D92690" w:rsidRDefault="00A023EA" w:rsidP="00D92690">
      <w:pPr>
        <w:pStyle w:val="Heading1"/>
        <w:jc w:val="both"/>
        <w:rPr>
          <w:rFonts w:asciiTheme="minorHAnsi" w:hAnsiTheme="minorHAnsi"/>
          <w:szCs w:val="22"/>
        </w:rPr>
      </w:pPr>
      <w:bookmarkStart w:id="2" w:name="_Toc378749501"/>
      <w:r w:rsidRPr="00D92690">
        <w:rPr>
          <w:rFonts w:asciiTheme="minorHAnsi" w:hAnsiTheme="minorHAnsi"/>
          <w:szCs w:val="22"/>
        </w:rPr>
        <w:lastRenderedPageBreak/>
        <w:t>Recommendation</w:t>
      </w:r>
      <w:r w:rsidR="00CB73A3" w:rsidRPr="00D92690">
        <w:rPr>
          <w:rFonts w:asciiTheme="minorHAnsi" w:hAnsiTheme="minorHAnsi"/>
          <w:szCs w:val="22"/>
        </w:rPr>
        <w:t>s</w:t>
      </w:r>
      <w:bookmarkEnd w:id="2"/>
    </w:p>
    <w:p w:rsidR="00CB4D57" w:rsidRDefault="00CB4D57" w:rsidP="00CB4D57">
      <w:pPr>
        <w:jc w:val="both"/>
        <w:rPr>
          <w:rFonts w:asciiTheme="minorHAnsi" w:eastAsiaTheme="minorHAnsi" w:hAnsiTheme="minorHAnsi" w:cs="Arial"/>
          <w:b/>
        </w:rPr>
      </w:pPr>
    </w:p>
    <w:p w:rsidR="00CB4D57" w:rsidRPr="00D92690" w:rsidRDefault="00CB4D57" w:rsidP="00CB4D57">
      <w:pPr>
        <w:jc w:val="both"/>
        <w:rPr>
          <w:rFonts w:asciiTheme="minorHAnsi" w:eastAsiaTheme="minorHAnsi" w:hAnsiTheme="minorHAnsi" w:cs="Arial"/>
          <w:b/>
        </w:rPr>
      </w:pPr>
      <w:r w:rsidRPr="00D92690">
        <w:rPr>
          <w:rFonts w:asciiTheme="minorHAnsi" w:eastAsiaTheme="minorHAnsi" w:hAnsiTheme="minorHAnsi" w:cs="Arial"/>
          <w:b/>
        </w:rPr>
        <w:t>ATA recommendation - Building roads for productivity</w:t>
      </w:r>
    </w:p>
    <w:p w:rsidR="00CB4D57" w:rsidRPr="00D92690" w:rsidRDefault="00CB4D57" w:rsidP="00CB4D57">
      <w:pPr>
        <w:jc w:val="both"/>
        <w:rPr>
          <w:rFonts w:asciiTheme="minorHAnsi" w:eastAsiaTheme="minorHAnsi" w:hAnsiTheme="minorHAnsi" w:cs="Arial"/>
        </w:rPr>
      </w:pPr>
    </w:p>
    <w:p w:rsidR="00CB4D57" w:rsidRDefault="00CB4D57" w:rsidP="00CB4D57">
      <w:pPr>
        <w:jc w:val="both"/>
        <w:rPr>
          <w:rFonts w:asciiTheme="minorHAnsi" w:eastAsiaTheme="minorHAnsi" w:hAnsiTheme="minorHAnsi" w:cs="Arial"/>
        </w:rPr>
      </w:pPr>
      <w:r w:rsidRPr="00D92690">
        <w:rPr>
          <w:rFonts w:asciiTheme="minorHAnsi" w:eastAsiaTheme="minorHAnsi" w:hAnsiTheme="minorHAnsi" w:cs="Arial"/>
        </w:rPr>
        <w:t xml:space="preserve">The Government should require road standards on the National Land Transport Network that enable the use of high productivity vehicles in order to increase the freight industry’s productivity and lead to reduced freight and infrastructure costs, and increasing the attractiveness of Australian exports.  </w:t>
      </w:r>
    </w:p>
    <w:p w:rsidR="00CB4D57" w:rsidRDefault="00CB4D57" w:rsidP="00CB4D57">
      <w:pPr>
        <w:jc w:val="both"/>
        <w:rPr>
          <w:rFonts w:asciiTheme="minorHAnsi" w:eastAsiaTheme="minorHAnsi" w:hAnsiTheme="minorHAnsi" w:cs="Arial"/>
        </w:rPr>
      </w:pPr>
    </w:p>
    <w:p w:rsidR="00CB4D57" w:rsidRPr="00CB4D57" w:rsidRDefault="00CB4D57" w:rsidP="00CB4D57">
      <w:pPr>
        <w:jc w:val="both"/>
        <w:rPr>
          <w:rFonts w:asciiTheme="minorHAnsi" w:eastAsiaTheme="minorHAnsi" w:hAnsiTheme="minorHAnsi" w:cs="Arial"/>
          <w:b/>
        </w:rPr>
      </w:pPr>
      <w:r w:rsidRPr="00CB4D57">
        <w:rPr>
          <w:rFonts w:asciiTheme="minorHAnsi" w:eastAsiaTheme="minorHAnsi" w:hAnsiTheme="minorHAnsi" w:cs="Arial"/>
          <w:b/>
        </w:rPr>
        <w:t>ATA recommendation - Rest areas</w:t>
      </w:r>
    </w:p>
    <w:p w:rsidR="00CB4D57" w:rsidRPr="00CB4D57" w:rsidRDefault="00CB4D57" w:rsidP="00CB4D57">
      <w:pPr>
        <w:jc w:val="both"/>
        <w:rPr>
          <w:rFonts w:asciiTheme="minorHAnsi" w:eastAsiaTheme="minorHAnsi" w:hAnsiTheme="minorHAnsi" w:cs="Arial"/>
        </w:rPr>
      </w:pPr>
    </w:p>
    <w:p w:rsidR="00CB4D57" w:rsidRPr="00CB4D57" w:rsidRDefault="00CB4D57" w:rsidP="00CB4D57">
      <w:pPr>
        <w:jc w:val="both"/>
        <w:rPr>
          <w:rFonts w:asciiTheme="minorHAnsi" w:eastAsiaTheme="minorHAnsi" w:hAnsiTheme="minorHAnsi" w:cs="Arial"/>
        </w:rPr>
      </w:pPr>
      <w:r w:rsidRPr="00CB4D57">
        <w:rPr>
          <w:rFonts w:asciiTheme="minorHAnsi" w:eastAsiaTheme="minorHAnsi" w:hAnsiTheme="minorHAnsi" w:cs="Arial"/>
        </w:rPr>
        <w:t>The Government’s funding agreements with the states and territories should require them to build rest areas in line with the national guidelines on federally funded roads as they are constructed.</w:t>
      </w:r>
    </w:p>
    <w:p w:rsidR="00CB4D57" w:rsidRDefault="00CB4D57" w:rsidP="00CB4D57">
      <w:pPr>
        <w:jc w:val="both"/>
        <w:rPr>
          <w:rFonts w:asciiTheme="minorHAnsi" w:eastAsiaTheme="minorHAnsi" w:hAnsiTheme="minorHAnsi" w:cs="Arial"/>
        </w:rPr>
      </w:pPr>
    </w:p>
    <w:p w:rsidR="00CB4D57" w:rsidRPr="00D92690" w:rsidRDefault="00CB4D57" w:rsidP="00CB4D57">
      <w:pPr>
        <w:jc w:val="both"/>
        <w:rPr>
          <w:rFonts w:asciiTheme="minorHAnsi" w:eastAsiaTheme="minorHAnsi" w:hAnsiTheme="minorHAnsi" w:cs="Arial"/>
          <w:b/>
        </w:rPr>
      </w:pPr>
      <w:r w:rsidRPr="00D92690">
        <w:rPr>
          <w:rFonts w:asciiTheme="minorHAnsi" w:eastAsiaTheme="minorHAnsi" w:hAnsiTheme="minorHAnsi" w:cs="Arial"/>
          <w:b/>
        </w:rPr>
        <w:t xml:space="preserve">ATA recommendation - Bridges renewal program </w:t>
      </w:r>
    </w:p>
    <w:p w:rsidR="00CB4D57" w:rsidRDefault="00CB4D57" w:rsidP="00CB4D57">
      <w:pPr>
        <w:jc w:val="both"/>
        <w:rPr>
          <w:rFonts w:asciiTheme="minorHAnsi" w:eastAsiaTheme="minorHAnsi" w:hAnsiTheme="minorHAnsi" w:cs="Arial"/>
        </w:rPr>
      </w:pPr>
    </w:p>
    <w:p w:rsidR="00CB4D57" w:rsidRPr="00D92690" w:rsidRDefault="00CB4D57" w:rsidP="00CB4D57">
      <w:pPr>
        <w:jc w:val="both"/>
        <w:rPr>
          <w:rFonts w:asciiTheme="minorHAnsi" w:eastAsiaTheme="minorHAnsi" w:hAnsiTheme="minorHAnsi" w:cs="Arial"/>
        </w:rPr>
      </w:pPr>
      <w:r w:rsidRPr="00D92690">
        <w:rPr>
          <w:rFonts w:asciiTheme="minorHAnsi" w:eastAsiaTheme="minorHAnsi" w:hAnsiTheme="minorHAnsi" w:cs="Arial"/>
        </w:rPr>
        <w:t xml:space="preserve">The Government should announce in the Budget that the bridges to renewal program will: </w:t>
      </w:r>
    </w:p>
    <w:p w:rsidR="00CB4D57" w:rsidRPr="00D92690" w:rsidRDefault="00CB4D57" w:rsidP="00CB4D57">
      <w:pPr>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fund</w:t>
      </w:r>
      <w:proofErr w:type="gramEnd"/>
      <w:r w:rsidRPr="00D92690">
        <w:rPr>
          <w:rFonts w:asciiTheme="minorHAnsi" w:eastAsiaTheme="minorHAnsi" w:hAnsiTheme="minorHAnsi" w:cs="Arial"/>
        </w:rPr>
        <w:t xml:space="preserve"> projects on key last mile connections where a bridge renewal, or bridge renewals packaged with other works, would increase freight productivity. </w:t>
      </w:r>
    </w:p>
    <w:p w:rsidR="00CB4D57" w:rsidRPr="00D92690" w:rsidRDefault="00CB4D57" w:rsidP="00CB4D57">
      <w:pPr>
        <w:ind w:left="720"/>
        <w:contextualSpacing/>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not</w:t>
      </w:r>
      <w:proofErr w:type="gramEnd"/>
      <w:r w:rsidRPr="00D92690">
        <w:rPr>
          <w:rFonts w:asciiTheme="minorHAnsi" w:eastAsiaTheme="minorHAnsi" w:hAnsiTheme="minorHAnsi" w:cs="Arial"/>
        </w:rPr>
        <w:t xml:space="preserve"> fund routine or catch up maintenance. State governments and local councils have other sources of maintenance funding, including, for local councils, the Roads to Recovery program</w:t>
      </w:r>
      <w:r w:rsidR="00053DCB">
        <w:rPr>
          <w:rFonts w:asciiTheme="minorHAnsi" w:eastAsiaTheme="minorHAnsi" w:hAnsiTheme="minorHAnsi" w:cs="Arial"/>
        </w:rPr>
        <w:t xml:space="preserve"> and financial assistance grants.</w:t>
      </w:r>
      <w:r w:rsidRPr="00D92690">
        <w:rPr>
          <w:rFonts w:asciiTheme="minorHAnsi" w:eastAsiaTheme="minorHAnsi" w:hAnsiTheme="minorHAnsi" w:cs="Arial"/>
        </w:rPr>
        <w:t xml:space="preserve"> </w:t>
      </w:r>
    </w:p>
    <w:p w:rsidR="00CB4D57" w:rsidRPr="00D92690" w:rsidRDefault="00CB4D57" w:rsidP="00CB4D57">
      <w:pPr>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select</w:t>
      </w:r>
      <w:proofErr w:type="gramEnd"/>
      <w:r w:rsidRPr="00D92690">
        <w:rPr>
          <w:rFonts w:asciiTheme="minorHAnsi" w:eastAsiaTheme="minorHAnsi" w:hAnsiTheme="minorHAnsi" w:cs="Arial"/>
        </w:rPr>
        <w:t xml:space="preserve"> projects based on merit. Proponents should be required to submit a productivity case for each project, including the classes of freight vehicles (such as HML vehicles, B-doubles, road trains</w:t>
      </w:r>
      <w:r w:rsidR="00053DCB">
        <w:rPr>
          <w:rFonts w:asciiTheme="minorHAnsi" w:eastAsiaTheme="minorHAnsi" w:hAnsiTheme="minorHAnsi" w:cs="Arial"/>
        </w:rPr>
        <w:t>, or longer multi-combinations</w:t>
      </w:r>
      <w:r w:rsidRPr="00D92690">
        <w:rPr>
          <w:rFonts w:asciiTheme="minorHAnsi" w:eastAsiaTheme="minorHAnsi" w:hAnsiTheme="minorHAnsi" w:cs="Arial"/>
        </w:rPr>
        <w:t>) that would be able to use each route once the upgrade work was complete. The productivity cases should be made public.</w:t>
      </w:r>
    </w:p>
    <w:p w:rsidR="00CB4D57" w:rsidRPr="00D92690" w:rsidRDefault="00CB4D57" w:rsidP="00CB4D57">
      <w:pPr>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require</w:t>
      </w:r>
      <w:proofErr w:type="gramEnd"/>
      <w:r w:rsidRPr="00D92690">
        <w:rPr>
          <w:rFonts w:asciiTheme="minorHAnsi" w:eastAsiaTheme="minorHAnsi" w:hAnsiTheme="minorHAnsi" w:cs="Arial"/>
        </w:rPr>
        <w:t xml:space="preserve"> funding conditions that all bridges to be built in accordance with the </w:t>
      </w:r>
      <w:proofErr w:type="spellStart"/>
      <w:r w:rsidRPr="00D92690">
        <w:rPr>
          <w:rFonts w:asciiTheme="minorHAnsi" w:eastAsiaTheme="minorHAnsi" w:hAnsiTheme="minorHAnsi" w:cs="Arial"/>
        </w:rPr>
        <w:t>AS5100</w:t>
      </w:r>
      <w:proofErr w:type="spellEnd"/>
      <w:r w:rsidRPr="00D92690">
        <w:rPr>
          <w:rFonts w:asciiTheme="minorHAnsi" w:eastAsiaTheme="minorHAnsi" w:hAnsiTheme="minorHAnsi" w:cs="Arial"/>
        </w:rPr>
        <w:t xml:space="preserve"> </w:t>
      </w:r>
      <w:proofErr w:type="spellStart"/>
      <w:r w:rsidRPr="00D92690">
        <w:rPr>
          <w:rFonts w:asciiTheme="minorHAnsi" w:eastAsiaTheme="minorHAnsi" w:hAnsiTheme="minorHAnsi" w:cs="Arial"/>
        </w:rPr>
        <w:t>SM1600</w:t>
      </w:r>
      <w:proofErr w:type="spellEnd"/>
      <w:r w:rsidRPr="00D92690">
        <w:rPr>
          <w:rFonts w:asciiTheme="minorHAnsi" w:eastAsiaTheme="minorHAnsi" w:hAnsiTheme="minorHAnsi" w:cs="Arial"/>
        </w:rPr>
        <w:t xml:space="preserve"> loading standards, in order to future proof the network. </w:t>
      </w:r>
    </w:p>
    <w:p w:rsidR="00CB4D57" w:rsidRPr="00D92690" w:rsidRDefault="00CB4D57" w:rsidP="00CB4D57">
      <w:pPr>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require</w:t>
      </w:r>
      <w:proofErr w:type="gramEnd"/>
      <w:r w:rsidRPr="00D92690">
        <w:rPr>
          <w:rFonts w:asciiTheme="minorHAnsi" w:eastAsiaTheme="minorHAnsi" w:hAnsiTheme="minorHAnsi" w:cs="Arial"/>
        </w:rPr>
        <w:t xml:space="preserve"> proponents to approve each upgraded route for the classes of freight vehicles specified in its productivity case. Renewing a bridge will not, by itself, increase productivity. Once the work is done, the asset owner will need to issue the necessary approvals to allow the vehicles specified in the productivity case to use it.</w:t>
      </w:r>
    </w:p>
    <w:p w:rsidR="00CB4D57" w:rsidRPr="00D92690" w:rsidRDefault="00CB4D57" w:rsidP="00CB4D57">
      <w:pPr>
        <w:ind w:left="360"/>
        <w:jc w:val="both"/>
        <w:rPr>
          <w:rFonts w:asciiTheme="minorHAnsi" w:eastAsiaTheme="minorHAnsi" w:hAnsiTheme="minorHAnsi" w:cs="Arial"/>
        </w:rPr>
      </w:pPr>
    </w:p>
    <w:p w:rsidR="00CB4D57" w:rsidRPr="00D92690" w:rsidRDefault="00CB4D57" w:rsidP="00CB4D57">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should</w:t>
      </w:r>
      <w:proofErr w:type="gramEnd"/>
      <w:r w:rsidRPr="00D92690">
        <w:rPr>
          <w:rFonts w:asciiTheme="minorHAnsi" w:eastAsiaTheme="minorHAnsi" w:hAnsiTheme="minorHAnsi" w:cs="Arial"/>
        </w:rPr>
        <w:t xml:space="preserve"> make sure that in its audit program </w:t>
      </w:r>
      <w:proofErr w:type="spellStart"/>
      <w:r w:rsidRPr="00D92690">
        <w:rPr>
          <w:rFonts w:asciiTheme="minorHAnsi" w:eastAsiaTheme="minorHAnsi" w:hAnsiTheme="minorHAnsi" w:cs="Arial"/>
        </w:rPr>
        <w:t>DIRD</w:t>
      </w:r>
      <w:proofErr w:type="spellEnd"/>
      <w:r w:rsidRPr="00D92690">
        <w:rPr>
          <w:rFonts w:asciiTheme="minorHAnsi" w:eastAsiaTheme="minorHAnsi" w:hAnsiTheme="minorHAnsi" w:cs="Arial"/>
        </w:rPr>
        <w:t xml:space="preserve"> check funding conditions have been met. A previous audit of the Roads to Recovery program showed that:</w:t>
      </w:r>
    </w:p>
    <w:p w:rsidR="00CB4D57" w:rsidRPr="00D92690" w:rsidRDefault="00CB4D57" w:rsidP="00CB4D57">
      <w:pPr>
        <w:ind w:left="720"/>
        <w:contextualSpacing/>
        <w:jc w:val="both"/>
        <w:rPr>
          <w:rFonts w:asciiTheme="minorHAnsi" w:eastAsiaTheme="minorHAnsi" w:hAnsiTheme="minorHAnsi" w:cs="Arial"/>
        </w:rPr>
      </w:pPr>
    </w:p>
    <w:p w:rsidR="00CB4D57" w:rsidRPr="00D92690" w:rsidRDefault="00CB4D57" w:rsidP="00CB4D57">
      <w:pPr>
        <w:numPr>
          <w:ilvl w:val="0"/>
          <w:numId w:val="5"/>
        </w:numPr>
        <w:contextualSpacing/>
        <w:jc w:val="both"/>
        <w:rPr>
          <w:rFonts w:asciiTheme="minorHAnsi" w:eastAsiaTheme="minorHAnsi" w:hAnsiTheme="minorHAnsi" w:cs="Arial"/>
        </w:rPr>
      </w:pPr>
      <w:r w:rsidRPr="00D92690">
        <w:rPr>
          <w:rFonts w:asciiTheme="minorHAnsi" w:eastAsiaTheme="minorHAnsi" w:hAnsiTheme="minorHAnsi" w:cs="Arial"/>
        </w:rPr>
        <w:t>the quality of the work undertaken by councils varied considerably, and in some cases the work had to be redone; and</w:t>
      </w:r>
    </w:p>
    <w:p w:rsidR="00CB4D57" w:rsidRPr="00D92690" w:rsidRDefault="00CB4D57" w:rsidP="00CB4D57">
      <w:pPr>
        <w:numPr>
          <w:ilvl w:val="0"/>
          <w:numId w:val="5"/>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compliance</w:t>
      </w:r>
      <w:proofErr w:type="gramEnd"/>
      <w:r w:rsidRPr="00D92690">
        <w:rPr>
          <w:rFonts w:asciiTheme="minorHAnsi" w:eastAsiaTheme="minorHAnsi" w:hAnsiTheme="minorHAnsi" w:cs="Arial"/>
        </w:rPr>
        <w:t xml:space="preserve"> with the funding conditions was problematic.</w:t>
      </w:r>
      <w:r w:rsidRPr="00D92690">
        <w:rPr>
          <w:rFonts w:asciiTheme="minorHAnsi" w:eastAsiaTheme="minorHAnsi" w:hAnsiTheme="minorHAnsi" w:cs="Arial"/>
          <w:vertAlign w:val="superscript"/>
        </w:rPr>
        <w:footnoteReference w:id="1"/>
      </w:r>
    </w:p>
    <w:p w:rsidR="00CB4D57" w:rsidRDefault="00CB4D57" w:rsidP="00CB4D57">
      <w:pPr>
        <w:jc w:val="both"/>
        <w:rPr>
          <w:rFonts w:asciiTheme="minorHAnsi" w:eastAsiaTheme="minorHAnsi" w:hAnsiTheme="minorHAnsi" w:cs="Arial"/>
        </w:rPr>
      </w:pPr>
    </w:p>
    <w:p w:rsidR="00CB4D57" w:rsidRPr="00D92690" w:rsidRDefault="00CB4D57" w:rsidP="00CB4D57">
      <w:pPr>
        <w:jc w:val="both"/>
        <w:rPr>
          <w:rFonts w:asciiTheme="minorHAnsi" w:eastAsiaTheme="minorHAnsi" w:hAnsiTheme="minorHAnsi" w:cs="Arial"/>
          <w:b/>
        </w:rPr>
      </w:pPr>
      <w:r w:rsidRPr="00D92690">
        <w:rPr>
          <w:rFonts w:asciiTheme="minorHAnsi" w:eastAsiaTheme="minorHAnsi" w:hAnsiTheme="minorHAnsi" w:cs="Arial"/>
          <w:b/>
        </w:rPr>
        <w:t>ATA Recommendation - Roads to Recovery and Black Spot funding</w:t>
      </w:r>
    </w:p>
    <w:p w:rsidR="00CB4D57" w:rsidRDefault="00CB4D57" w:rsidP="00CB4D57">
      <w:pPr>
        <w:jc w:val="both"/>
        <w:rPr>
          <w:rFonts w:asciiTheme="minorHAnsi" w:hAnsiTheme="minorHAnsi"/>
        </w:rPr>
      </w:pPr>
    </w:p>
    <w:p w:rsidR="00CB4D57" w:rsidRDefault="00B612B6" w:rsidP="00CB4D57">
      <w:pPr>
        <w:jc w:val="both"/>
        <w:rPr>
          <w:rFonts w:asciiTheme="minorHAnsi" w:hAnsiTheme="minorHAnsi"/>
        </w:rPr>
      </w:pPr>
      <w:r>
        <w:rPr>
          <w:rFonts w:asciiTheme="minorHAnsi" w:hAnsiTheme="minorHAnsi"/>
        </w:rPr>
        <w:t xml:space="preserve">The </w:t>
      </w:r>
      <w:r w:rsidR="00CB4D57" w:rsidRPr="00D92690">
        <w:rPr>
          <w:rFonts w:asciiTheme="minorHAnsi" w:hAnsiTheme="minorHAnsi"/>
        </w:rPr>
        <w:t xml:space="preserve">Government should continue to fund the Roads to Recovery program and the Black Spot program. </w:t>
      </w:r>
    </w:p>
    <w:p w:rsidR="00CB4D57" w:rsidRDefault="00CB4D57" w:rsidP="00CB4D57">
      <w:pPr>
        <w:jc w:val="both"/>
        <w:rPr>
          <w:rFonts w:asciiTheme="minorHAnsi" w:eastAsiaTheme="minorHAnsi" w:hAnsiTheme="minorHAnsi" w:cs="Arial"/>
        </w:rPr>
      </w:pPr>
    </w:p>
    <w:p w:rsidR="00CB4D57" w:rsidRPr="00CB4D57" w:rsidRDefault="00CB4D57" w:rsidP="00CB4D57">
      <w:pPr>
        <w:jc w:val="both"/>
        <w:rPr>
          <w:rFonts w:asciiTheme="minorHAnsi" w:eastAsiaTheme="minorHAnsi" w:hAnsiTheme="minorHAnsi" w:cs="Arial"/>
          <w:b/>
        </w:rPr>
      </w:pPr>
      <w:r w:rsidRPr="00CB4D57">
        <w:rPr>
          <w:rFonts w:asciiTheme="minorHAnsi" w:eastAsiaTheme="minorHAnsi" w:hAnsiTheme="minorHAnsi" w:cs="Arial"/>
          <w:b/>
        </w:rPr>
        <w:t>ATA recommendation - Database of coronial recommendations about road safety</w:t>
      </w:r>
    </w:p>
    <w:p w:rsidR="00CB4D57" w:rsidRPr="00CB4D57" w:rsidRDefault="00CB4D57" w:rsidP="00CB4D57">
      <w:pPr>
        <w:jc w:val="both"/>
        <w:rPr>
          <w:rFonts w:asciiTheme="minorHAnsi" w:eastAsiaTheme="minorHAnsi" w:hAnsiTheme="minorHAnsi" w:cs="Arial"/>
        </w:rPr>
      </w:pPr>
    </w:p>
    <w:p w:rsidR="00CB4D57" w:rsidRPr="00CB4D57" w:rsidRDefault="00CB4D57" w:rsidP="00CB4D57">
      <w:pPr>
        <w:jc w:val="both"/>
        <w:rPr>
          <w:rFonts w:asciiTheme="minorHAnsi" w:eastAsiaTheme="minorHAnsi" w:hAnsiTheme="minorHAnsi" w:cs="Arial"/>
        </w:rPr>
      </w:pPr>
      <w:r w:rsidRPr="00CB4D57">
        <w:rPr>
          <w:rFonts w:asciiTheme="minorHAnsi" w:eastAsiaTheme="minorHAnsi" w:hAnsiTheme="minorHAnsi" w:cs="Arial"/>
        </w:rPr>
        <w:t>The Government should p</w:t>
      </w:r>
      <w:r w:rsidR="00053DCB">
        <w:rPr>
          <w:rFonts w:asciiTheme="minorHAnsi" w:eastAsiaTheme="minorHAnsi" w:hAnsiTheme="minorHAnsi" w:cs="Arial"/>
        </w:rPr>
        <w:t>rovide the ATSB with an extra $4</w:t>
      </w:r>
      <w:r w:rsidR="00D6034D">
        <w:rPr>
          <w:rFonts w:asciiTheme="minorHAnsi" w:eastAsiaTheme="minorHAnsi" w:hAnsiTheme="minorHAnsi" w:cs="Arial"/>
        </w:rPr>
        <w:t>.3</w:t>
      </w:r>
      <w:r w:rsidRPr="00CB4D57">
        <w:rPr>
          <w:rFonts w:asciiTheme="minorHAnsi" w:eastAsiaTheme="minorHAnsi" w:hAnsiTheme="minorHAnsi" w:cs="Arial"/>
        </w:rPr>
        <w:t xml:space="preserve"> million over four years to establish a national database of coronial recommendations about road safety and a national database of serious heavy vehicle accidents. </w:t>
      </w:r>
    </w:p>
    <w:p w:rsidR="00CB4D57" w:rsidRDefault="00CB4D57" w:rsidP="00CB4D57">
      <w:pPr>
        <w:jc w:val="both"/>
        <w:rPr>
          <w:rFonts w:asciiTheme="minorHAnsi" w:eastAsiaTheme="minorHAnsi" w:hAnsiTheme="minorHAnsi" w:cs="Arial"/>
        </w:rPr>
      </w:pPr>
    </w:p>
    <w:p w:rsidR="00CB4D57" w:rsidRPr="00D92690" w:rsidRDefault="00CB4D57" w:rsidP="00CB4D57">
      <w:pPr>
        <w:jc w:val="both"/>
        <w:rPr>
          <w:rFonts w:asciiTheme="minorHAnsi" w:eastAsiaTheme="minorHAnsi" w:hAnsiTheme="minorHAnsi" w:cs="Arial"/>
        </w:rPr>
      </w:pPr>
    </w:p>
    <w:p w:rsidR="00CB4D57" w:rsidRPr="00CB4D57" w:rsidRDefault="00CB4D57" w:rsidP="00CB4D57">
      <w:pPr>
        <w:jc w:val="both"/>
        <w:rPr>
          <w:rFonts w:asciiTheme="minorHAnsi" w:hAnsiTheme="minorHAnsi" w:cs="Arial"/>
          <w:b/>
        </w:rPr>
      </w:pPr>
      <w:r w:rsidRPr="00CB4D57">
        <w:rPr>
          <w:rFonts w:asciiTheme="minorHAnsi" w:hAnsiTheme="minorHAnsi" w:cs="Arial"/>
          <w:b/>
        </w:rPr>
        <w:t>ATA recommendation – Fuel tax credits</w:t>
      </w:r>
    </w:p>
    <w:p w:rsidR="00CB4D57" w:rsidRPr="00CB4D57" w:rsidRDefault="00CB4D57" w:rsidP="00CB4D57">
      <w:pPr>
        <w:jc w:val="both"/>
        <w:rPr>
          <w:rFonts w:asciiTheme="minorHAnsi" w:hAnsiTheme="minorHAnsi" w:cs="Arial"/>
          <w:iCs/>
        </w:rPr>
      </w:pPr>
    </w:p>
    <w:p w:rsidR="00CB4D57" w:rsidRPr="00CB4D57" w:rsidRDefault="00CB4D57" w:rsidP="00CB4D57">
      <w:pPr>
        <w:jc w:val="both"/>
        <w:rPr>
          <w:rFonts w:asciiTheme="minorHAnsi" w:hAnsiTheme="minorHAnsi" w:cs="Arial"/>
          <w:iCs/>
        </w:rPr>
      </w:pPr>
      <w:r w:rsidRPr="00CB4D57">
        <w:rPr>
          <w:rFonts w:asciiTheme="minorHAnsi" w:hAnsiTheme="minorHAnsi" w:cs="Arial"/>
          <w:iCs/>
        </w:rPr>
        <w:t xml:space="preserve">The Government should retain the fuel tax credit </w:t>
      </w:r>
      <w:r w:rsidR="00053DCB">
        <w:rPr>
          <w:rFonts w:asciiTheme="minorHAnsi" w:hAnsiTheme="minorHAnsi" w:cs="Arial"/>
          <w:iCs/>
        </w:rPr>
        <w:t xml:space="preserve">scheme </w:t>
      </w:r>
      <w:r w:rsidRPr="00CB4D57">
        <w:rPr>
          <w:rFonts w:asciiTheme="minorHAnsi" w:hAnsiTheme="minorHAnsi" w:cs="Arial"/>
          <w:iCs/>
        </w:rPr>
        <w:t xml:space="preserve">in the 2013-2014 Budget. </w:t>
      </w:r>
    </w:p>
    <w:p w:rsidR="007F2D2A" w:rsidRDefault="007F2D2A" w:rsidP="00D92690">
      <w:pPr>
        <w:jc w:val="both"/>
        <w:rPr>
          <w:rFonts w:asciiTheme="minorHAnsi" w:hAnsiTheme="minorHAnsi" w:cs="Arial"/>
        </w:rPr>
      </w:pPr>
    </w:p>
    <w:p w:rsidR="00CB4D57" w:rsidRPr="00CB4D57" w:rsidRDefault="00CB4D57" w:rsidP="00CB4D57">
      <w:pPr>
        <w:jc w:val="both"/>
        <w:rPr>
          <w:rFonts w:asciiTheme="minorHAnsi" w:hAnsiTheme="minorHAnsi" w:cs="Arial"/>
          <w:b/>
        </w:rPr>
      </w:pPr>
      <w:r w:rsidRPr="00CB4D57">
        <w:rPr>
          <w:rFonts w:asciiTheme="minorHAnsi" w:hAnsiTheme="minorHAnsi" w:cs="Arial"/>
          <w:b/>
        </w:rPr>
        <w:t>ATA recommendation – NTC 2014 Heavy Vehicle Charges Determination</w:t>
      </w:r>
    </w:p>
    <w:p w:rsidR="00CB4D57" w:rsidRPr="00CB4D57" w:rsidRDefault="00CB4D57" w:rsidP="00CB4D57">
      <w:pPr>
        <w:jc w:val="both"/>
        <w:rPr>
          <w:rFonts w:asciiTheme="minorHAnsi" w:hAnsiTheme="minorHAnsi" w:cs="Arial"/>
          <w:iCs/>
        </w:rPr>
      </w:pPr>
    </w:p>
    <w:p w:rsidR="00CB4D57" w:rsidRPr="00CB4D57" w:rsidRDefault="00CB4D57" w:rsidP="00CB4D57">
      <w:pPr>
        <w:jc w:val="both"/>
        <w:rPr>
          <w:rFonts w:asciiTheme="minorHAnsi" w:hAnsiTheme="minorHAnsi" w:cs="Arial"/>
          <w:iCs/>
        </w:rPr>
      </w:pPr>
      <w:r w:rsidRPr="00CB4D57">
        <w:rPr>
          <w:rFonts w:asciiTheme="minorHAnsi" w:hAnsiTheme="minorHAnsi" w:cs="Arial"/>
          <w:iCs/>
        </w:rPr>
        <w:t>The Government should implement option A in the 2014-15 Budget and option B in subsequent budgets, which would see the fuel tax credit rate for trucking operators set at 13.043 cents per litre in 2014-2015.</w:t>
      </w:r>
    </w:p>
    <w:p w:rsidR="00CB4D57" w:rsidRDefault="00CB4D57" w:rsidP="00D92690">
      <w:pPr>
        <w:jc w:val="both"/>
        <w:rPr>
          <w:rFonts w:asciiTheme="minorHAnsi" w:hAnsiTheme="minorHAnsi" w:cs="Arial"/>
        </w:rPr>
      </w:pPr>
    </w:p>
    <w:p w:rsidR="00CB4D57" w:rsidRPr="00CB4D57" w:rsidRDefault="00CB4D57" w:rsidP="00CB4D57">
      <w:pPr>
        <w:jc w:val="both"/>
        <w:rPr>
          <w:rFonts w:asciiTheme="minorHAnsi" w:hAnsiTheme="minorHAnsi" w:cs="Arial"/>
          <w:b/>
        </w:rPr>
      </w:pPr>
      <w:r w:rsidRPr="00CB4D57">
        <w:rPr>
          <w:rFonts w:asciiTheme="minorHAnsi" w:hAnsiTheme="minorHAnsi" w:cs="Arial"/>
          <w:b/>
        </w:rPr>
        <w:t>ATA recommendation – Heavy Veh</w:t>
      </w:r>
      <w:r>
        <w:rPr>
          <w:rFonts w:asciiTheme="minorHAnsi" w:hAnsiTheme="minorHAnsi" w:cs="Arial"/>
          <w:b/>
        </w:rPr>
        <w:t>icle Charges and Investment reform</w:t>
      </w:r>
    </w:p>
    <w:p w:rsidR="00CB4D57" w:rsidRPr="00CB4D57" w:rsidRDefault="00CB4D57" w:rsidP="00CB4D57">
      <w:pPr>
        <w:jc w:val="both"/>
        <w:rPr>
          <w:rFonts w:asciiTheme="minorHAnsi" w:hAnsiTheme="minorHAnsi" w:cs="Arial"/>
          <w:b/>
        </w:rPr>
      </w:pPr>
    </w:p>
    <w:p w:rsidR="00CB4D57" w:rsidRPr="00CB4D57" w:rsidRDefault="00CB4D57" w:rsidP="00CB4D57">
      <w:pPr>
        <w:jc w:val="both"/>
        <w:rPr>
          <w:rFonts w:asciiTheme="minorHAnsi" w:hAnsiTheme="minorHAnsi" w:cs="Arial"/>
          <w:iCs/>
        </w:rPr>
      </w:pPr>
      <w:r w:rsidRPr="00CB4D57">
        <w:rPr>
          <w:rFonts w:asciiTheme="minorHAnsi" w:hAnsiTheme="minorHAnsi" w:cs="Arial"/>
          <w:iCs/>
        </w:rPr>
        <w:t>The Government should disband the HVCI work as the outcome of their recommendations will increase the cost of transporting freight, increase costs in rural Australia, add extra administration costs to trucking businesses and not provide improvements in road provision.</w:t>
      </w:r>
    </w:p>
    <w:p w:rsidR="00CB4D57" w:rsidRDefault="00CB4D57" w:rsidP="00D92690">
      <w:pPr>
        <w:jc w:val="both"/>
        <w:rPr>
          <w:rFonts w:asciiTheme="minorHAnsi" w:hAnsiTheme="minorHAnsi" w:cs="Arial"/>
        </w:rPr>
      </w:pPr>
    </w:p>
    <w:p w:rsidR="00CB4D57" w:rsidRPr="00CB4D57" w:rsidRDefault="00CB4D57" w:rsidP="00CB4D57">
      <w:pPr>
        <w:jc w:val="both"/>
        <w:rPr>
          <w:rFonts w:asciiTheme="minorHAnsi" w:hAnsiTheme="minorHAnsi" w:cs="Arial"/>
          <w:b/>
        </w:rPr>
      </w:pPr>
      <w:r w:rsidRPr="00CB4D57">
        <w:rPr>
          <w:rFonts w:asciiTheme="minorHAnsi" w:hAnsiTheme="minorHAnsi" w:cs="Arial"/>
          <w:b/>
        </w:rPr>
        <w:t>ATA recommendation - Establish a Joint taskforce to review regulation</w:t>
      </w:r>
    </w:p>
    <w:p w:rsidR="00CB4D57" w:rsidRPr="00CB4D57" w:rsidRDefault="00CB4D57" w:rsidP="00CB4D57">
      <w:pPr>
        <w:jc w:val="both"/>
        <w:rPr>
          <w:rFonts w:asciiTheme="minorHAnsi" w:hAnsiTheme="minorHAnsi" w:cs="Arial"/>
          <w:b/>
        </w:rPr>
      </w:pPr>
    </w:p>
    <w:p w:rsidR="00CB4D57" w:rsidRPr="00CB4D57" w:rsidRDefault="00CB4D57" w:rsidP="00CB4D57">
      <w:pPr>
        <w:jc w:val="both"/>
        <w:rPr>
          <w:rFonts w:asciiTheme="minorHAnsi" w:hAnsiTheme="minorHAnsi" w:cs="Arial"/>
        </w:rPr>
      </w:pPr>
      <w:r w:rsidRPr="00CB4D57">
        <w:rPr>
          <w:rFonts w:asciiTheme="minorHAnsi" w:hAnsiTheme="minorHAnsi" w:cs="Arial"/>
        </w:rPr>
        <w:t>The Government should leverage its investment in abatement through the Emissions Reduction Fund by convening a government-industry taskforce to review the vehicle standards and regulations that prevent the trucking industry from increasing its energy efficiency further.</w:t>
      </w:r>
    </w:p>
    <w:p w:rsidR="00CB4D57" w:rsidRDefault="00CB4D57" w:rsidP="00D92690">
      <w:pPr>
        <w:jc w:val="both"/>
        <w:rPr>
          <w:rFonts w:asciiTheme="minorHAnsi" w:hAnsiTheme="minorHAnsi" w:cs="Arial"/>
        </w:rPr>
      </w:pPr>
    </w:p>
    <w:p w:rsidR="00CB4D57" w:rsidRPr="00CB4D57" w:rsidRDefault="00CB4D57" w:rsidP="00CB4D57">
      <w:pPr>
        <w:jc w:val="both"/>
        <w:rPr>
          <w:rFonts w:asciiTheme="minorHAnsi" w:hAnsiTheme="minorHAnsi" w:cs="Arial"/>
        </w:rPr>
      </w:pPr>
      <w:r w:rsidRPr="00CB4D57">
        <w:rPr>
          <w:rFonts w:asciiTheme="minorHAnsi" w:hAnsiTheme="minorHAnsi" w:cs="Arial"/>
          <w:b/>
          <w:bCs/>
        </w:rPr>
        <w:t>ATA recommendation - Funding for research into renewable fuels</w:t>
      </w:r>
      <w:r w:rsidRPr="00CB4D57">
        <w:rPr>
          <w:rFonts w:asciiTheme="minorHAnsi" w:hAnsiTheme="minorHAnsi" w:cs="Arial"/>
        </w:rPr>
        <w:t xml:space="preserve"> </w:t>
      </w:r>
    </w:p>
    <w:p w:rsidR="00CB4D57" w:rsidRPr="00CB4D57" w:rsidRDefault="00CB4D57" w:rsidP="00CB4D57">
      <w:pPr>
        <w:jc w:val="both"/>
        <w:rPr>
          <w:rFonts w:asciiTheme="minorHAnsi" w:hAnsiTheme="minorHAnsi" w:cs="Arial"/>
        </w:rPr>
      </w:pPr>
    </w:p>
    <w:p w:rsidR="00CB4D57" w:rsidRPr="00CB4D57" w:rsidRDefault="00CB4D57" w:rsidP="00CB4D57">
      <w:pPr>
        <w:jc w:val="both"/>
        <w:rPr>
          <w:rFonts w:asciiTheme="minorHAnsi" w:hAnsiTheme="minorHAnsi" w:cs="Arial"/>
        </w:rPr>
      </w:pPr>
      <w:r w:rsidRPr="00CB4D57">
        <w:rPr>
          <w:rFonts w:asciiTheme="minorHAnsi" w:hAnsiTheme="minorHAnsi" w:cs="Arial"/>
        </w:rPr>
        <w:t xml:space="preserve">The </w:t>
      </w:r>
      <w:r w:rsidR="00B612B6">
        <w:rPr>
          <w:rFonts w:asciiTheme="minorHAnsi" w:hAnsiTheme="minorHAnsi" w:cs="Arial"/>
        </w:rPr>
        <w:t>G</w:t>
      </w:r>
      <w:r w:rsidRPr="00CB4D57">
        <w:rPr>
          <w:rFonts w:asciiTheme="minorHAnsi" w:hAnsiTheme="minorHAnsi" w:cs="Arial"/>
        </w:rPr>
        <w:t xml:space="preserve">overnment should contribute an additional $5 million per year for five years to support the further development of synthesising macro algae into synthetic crude oil. </w:t>
      </w:r>
    </w:p>
    <w:p w:rsidR="00CB4D57" w:rsidRPr="00D92690" w:rsidRDefault="00CB4D57" w:rsidP="00D92690">
      <w:pPr>
        <w:jc w:val="both"/>
        <w:rPr>
          <w:rFonts w:asciiTheme="minorHAnsi" w:hAnsiTheme="minorHAnsi" w:cs="Arial"/>
        </w:rPr>
      </w:pPr>
    </w:p>
    <w:p w:rsidR="00A023EA" w:rsidRPr="00CB4D57" w:rsidRDefault="003B2024" w:rsidP="00D92690">
      <w:pPr>
        <w:pStyle w:val="Heading1"/>
        <w:jc w:val="both"/>
        <w:rPr>
          <w:rFonts w:asciiTheme="minorHAnsi" w:hAnsiTheme="minorHAnsi"/>
          <w:szCs w:val="22"/>
        </w:rPr>
      </w:pPr>
      <w:r w:rsidRPr="00CB4D57">
        <w:rPr>
          <w:rFonts w:asciiTheme="minorHAnsi" w:hAnsiTheme="minorHAnsi"/>
          <w:szCs w:val="22"/>
        </w:rPr>
        <w:fldChar w:fldCharType="begin"/>
      </w:r>
      <w:r w:rsidR="00A023EA" w:rsidRPr="00CB4D57">
        <w:rPr>
          <w:rFonts w:asciiTheme="minorHAnsi" w:hAnsiTheme="minorHAnsi"/>
          <w:szCs w:val="22"/>
        </w:rPr>
        <w:instrText xml:space="preserve"> TOC \n \p " " \t "Recommendation Style,1,Recommendation Style 2,2,Recommendation Style 3,3" </w:instrText>
      </w:r>
      <w:r w:rsidRPr="00CB4D57">
        <w:rPr>
          <w:rFonts w:asciiTheme="minorHAnsi" w:hAnsiTheme="minorHAnsi"/>
          <w:szCs w:val="22"/>
        </w:rPr>
        <w:fldChar w:fldCharType="end"/>
      </w:r>
      <w:r w:rsidR="002B0559" w:rsidRPr="00CB4D57">
        <w:rPr>
          <w:rFonts w:asciiTheme="minorHAnsi" w:hAnsiTheme="minorHAnsi"/>
          <w:szCs w:val="22"/>
        </w:rPr>
        <w:t xml:space="preserve"> </w:t>
      </w:r>
      <w:bookmarkStart w:id="3" w:name="_Toc378749502"/>
      <w:r w:rsidR="0057019E" w:rsidRPr="00CB4D57">
        <w:rPr>
          <w:rFonts w:asciiTheme="minorHAnsi" w:hAnsiTheme="minorHAnsi"/>
          <w:szCs w:val="22"/>
        </w:rPr>
        <w:t>The role</w:t>
      </w:r>
      <w:r w:rsidR="00EA3322" w:rsidRPr="00CB4D57">
        <w:rPr>
          <w:rFonts w:asciiTheme="minorHAnsi" w:hAnsiTheme="minorHAnsi"/>
          <w:szCs w:val="22"/>
        </w:rPr>
        <w:t xml:space="preserve"> of the heavy vehicle industry</w:t>
      </w:r>
      <w:bookmarkEnd w:id="3"/>
    </w:p>
    <w:p w:rsidR="00A023EA" w:rsidRPr="00D92690" w:rsidRDefault="00A023EA" w:rsidP="00D92690">
      <w:pPr>
        <w:pStyle w:val="BodyText2"/>
        <w:jc w:val="both"/>
        <w:rPr>
          <w:rFonts w:asciiTheme="minorHAnsi" w:hAnsiTheme="minorHAnsi"/>
          <w:b w:val="0"/>
          <w:szCs w:val="22"/>
        </w:rPr>
      </w:pPr>
    </w:p>
    <w:p w:rsidR="00CB73A3" w:rsidRPr="00D92690" w:rsidRDefault="004116EA" w:rsidP="00D92690">
      <w:pPr>
        <w:autoSpaceDE w:val="0"/>
        <w:autoSpaceDN w:val="0"/>
        <w:adjustRightInd w:val="0"/>
        <w:jc w:val="both"/>
        <w:rPr>
          <w:rFonts w:asciiTheme="minorHAnsi" w:hAnsiTheme="minorHAnsi" w:cs="Arial"/>
        </w:rPr>
      </w:pPr>
      <w:r w:rsidRPr="00D92690">
        <w:rPr>
          <w:rFonts w:asciiTheme="minorHAnsi" w:hAnsiTheme="minorHAnsi" w:cs="Arial"/>
        </w:rPr>
        <w:t xml:space="preserve">The heavy vehicle industry </w:t>
      </w:r>
      <w:r w:rsidR="00046251" w:rsidRPr="00D92690">
        <w:rPr>
          <w:rFonts w:asciiTheme="minorHAnsi" w:hAnsiTheme="minorHAnsi" w:cs="Arial"/>
        </w:rPr>
        <w:t xml:space="preserve">is a significant contributor to economic activity, generating direct as well as flow on </w:t>
      </w:r>
      <w:r w:rsidR="00046251" w:rsidRPr="00D92690">
        <w:rPr>
          <w:rFonts w:asciiTheme="minorHAnsi" w:hAnsiTheme="minorHAnsi" w:cs="Georgia"/>
          <w:color w:val="000000"/>
          <w:lang w:eastAsia="en-AU"/>
        </w:rPr>
        <w:t>activity through its support to a diverse range of industries and supply chains.  The road transport industry added over $18 billion to the Australian economy in FY2012 or 1.4 per cent of Gross Domestic Product.</w:t>
      </w:r>
      <w:r w:rsidR="00793AD6" w:rsidRPr="00D92690">
        <w:rPr>
          <w:rStyle w:val="FootnoteReference"/>
          <w:rFonts w:asciiTheme="minorHAnsi" w:hAnsiTheme="minorHAnsi"/>
          <w:color w:val="000000"/>
          <w:lang w:eastAsia="en-AU"/>
        </w:rPr>
        <w:footnoteReference w:id="2"/>
      </w:r>
    </w:p>
    <w:p w:rsidR="00D93EA3" w:rsidRPr="00D92690" w:rsidRDefault="00D93EA3" w:rsidP="00D92690">
      <w:pPr>
        <w:autoSpaceDE w:val="0"/>
        <w:autoSpaceDN w:val="0"/>
        <w:adjustRightInd w:val="0"/>
        <w:jc w:val="both"/>
        <w:rPr>
          <w:rFonts w:asciiTheme="minorHAnsi" w:hAnsiTheme="minorHAnsi" w:cs="Arial"/>
        </w:rPr>
      </w:pPr>
    </w:p>
    <w:p w:rsidR="00CB73A3" w:rsidRPr="00D92690" w:rsidRDefault="004116EA" w:rsidP="00D92690">
      <w:pPr>
        <w:autoSpaceDE w:val="0"/>
        <w:autoSpaceDN w:val="0"/>
        <w:adjustRightInd w:val="0"/>
        <w:jc w:val="both"/>
        <w:rPr>
          <w:rFonts w:asciiTheme="minorHAnsi" w:hAnsiTheme="minorHAnsi" w:cs="Georgia"/>
          <w:lang w:eastAsia="en-AU"/>
        </w:rPr>
      </w:pPr>
      <w:r w:rsidRPr="00D92690">
        <w:rPr>
          <w:rFonts w:asciiTheme="minorHAnsi" w:hAnsiTheme="minorHAnsi" w:cs="Arial"/>
        </w:rPr>
        <w:t xml:space="preserve">Road is the dominant mode of transport for freight in Australia. </w:t>
      </w:r>
      <w:r w:rsidRPr="00D92690">
        <w:rPr>
          <w:rFonts w:asciiTheme="minorHAnsi" w:hAnsiTheme="minorHAnsi" w:cs="Georgia"/>
          <w:lang w:eastAsia="en-AU"/>
        </w:rPr>
        <w:t xml:space="preserve">Road freight transported more than 70 per cent of the 2,930 million tonnes of Australian domestic freight in </w:t>
      </w:r>
      <w:proofErr w:type="spellStart"/>
      <w:r w:rsidRPr="00D92690">
        <w:rPr>
          <w:rFonts w:asciiTheme="minorHAnsi" w:hAnsiTheme="minorHAnsi" w:cs="Georgia"/>
          <w:lang w:eastAsia="en-AU"/>
        </w:rPr>
        <w:t>FY2010</w:t>
      </w:r>
      <w:proofErr w:type="spellEnd"/>
      <w:r w:rsidRPr="00D92690">
        <w:rPr>
          <w:rFonts w:asciiTheme="minorHAnsi" w:hAnsiTheme="minorHAnsi" w:cs="Georgia"/>
          <w:lang w:eastAsia="en-AU"/>
        </w:rPr>
        <w:t>.</w:t>
      </w:r>
      <w:r w:rsidR="00793AD6" w:rsidRPr="00D92690">
        <w:rPr>
          <w:rStyle w:val="FootnoteReference"/>
          <w:rFonts w:asciiTheme="minorHAnsi" w:hAnsiTheme="minorHAnsi"/>
          <w:lang w:eastAsia="en-AU"/>
        </w:rPr>
        <w:footnoteReference w:id="3"/>
      </w:r>
    </w:p>
    <w:p w:rsidR="00174273" w:rsidRPr="00D92690" w:rsidRDefault="00174273" w:rsidP="00D92690">
      <w:pPr>
        <w:autoSpaceDE w:val="0"/>
        <w:autoSpaceDN w:val="0"/>
        <w:adjustRightInd w:val="0"/>
        <w:jc w:val="both"/>
        <w:rPr>
          <w:rFonts w:asciiTheme="minorHAnsi" w:hAnsiTheme="minorHAnsi" w:cs="Georgia"/>
          <w:lang w:eastAsia="en-AU"/>
        </w:rPr>
      </w:pPr>
    </w:p>
    <w:p w:rsidR="004116EA" w:rsidRPr="00D92690" w:rsidRDefault="004116EA" w:rsidP="00D92690">
      <w:pPr>
        <w:autoSpaceDE w:val="0"/>
        <w:autoSpaceDN w:val="0"/>
        <w:adjustRightInd w:val="0"/>
        <w:jc w:val="both"/>
        <w:rPr>
          <w:rFonts w:asciiTheme="minorHAnsi" w:hAnsiTheme="minorHAnsi" w:cs="Georgia"/>
          <w:color w:val="000000"/>
          <w:lang w:eastAsia="en-AU"/>
        </w:rPr>
      </w:pPr>
      <w:r w:rsidRPr="00D92690">
        <w:rPr>
          <w:rFonts w:asciiTheme="minorHAnsi" w:hAnsiTheme="minorHAnsi" w:cs="Georgia"/>
          <w:lang w:eastAsia="en-AU"/>
        </w:rPr>
        <w:t>Trucks tend to carry non</w:t>
      </w:r>
      <w:r w:rsidR="00CD305B" w:rsidRPr="00D92690">
        <w:rPr>
          <w:rFonts w:asciiTheme="minorHAnsi" w:hAnsiTheme="minorHAnsi" w:cs="Georgia"/>
          <w:lang w:eastAsia="en-AU"/>
        </w:rPr>
        <w:t>-</w:t>
      </w:r>
      <w:r w:rsidRPr="00D92690">
        <w:rPr>
          <w:rFonts w:asciiTheme="minorHAnsi" w:hAnsiTheme="minorHAnsi" w:cs="Georgia"/>
          <w:lang w:eastAsia="en-AU"/>
        </w:rPr>
        <w:t xml:space="preserve">bulk freight such as consumer goods, over short distances and rail excels at transporting bulk materials over a large distance. </w:t>
      </w:r>
      <w:r w:rsidR="00CB73A3" w:rsidRPr="00D92690">
        <w:rPr>
          <w:rFonts w:asciiTheme="minorHAnsi" w:hAnsiTheme="minorHAnsi" w:cs="Georgia"/>
          <w:color w:val="000000"/>
          <w:lang w:eastAsia="en-AU"/>
        </w:rPr>
        <w:t>Road</w:t>
      </w:r>
      <w:r w:rsidR="00050AC8" w:rsidRPr="00D92690">
        <w:rPr>
          <w:rFonts w:asciiTheme="minorHAnsi" w:hAnsiTheme="minorHAnsi" w:cs="Georgia"/>
          <w:color w:val="000000"/>
          <w:lang w:eastAsia="en-AU"/>
        </w:rPr>
        <w:t xml:space="preserve"> freight</w:t>
      </w:r>
      <w:r w:rsidRPr="00D92690">
        <w:rPr>
          <w:rFonts w:asciiTheme="minorHAnsi" w:hAnsiTheme="minorHAnsi" w:cs="Georgia"/>
          <w:color w:val="000000"/>
          <w:lang w:eastAsia="en-AU"/>
        </w:rPr>
        <w:t xml:space="preserve"> </w:t>
      </w:r>
      <w:r w:rsidR="00050AC8" w:rsidRPr="00D92690">
        <w:rPr>
          <w:rFonts w:asciiTheme="minorHAnsi" w:hAnsiTheme="minorHAnsi" w:cs="Georgia"/>
          <w:color w:val="000000"/>
          <w:lang w:eastAsia="en-AU"/>
        </w:rPr>
        <w:t>transport often complements rail and coastal shipping by</w:t>
      </w:r>
      <w:r w:rsidRPr="00D92690">
        <w:rPr>
          <w:rFonts w:asciiTheme="minorHAnsi" w:hAnsiTheme="minorHAnsi" w:cs="Georgia"/>
          <w:color w:val="000000"/>
          <w:lang w:eastAsia="en-AU"/>
        </w:rPr>
        <w:t xml:space="preserve"> </w:t>
      </w:r>
      <w:r w:rsidR="00050AC8" w:rsidRPr="00D92690">
        <w:rPr>
          <w:rFonts w:asciiTheme="minorHAnsi" w:hAnsiTheme="minorHAnsi" w:cs="Georgia"/>
          <w:color w:val="000000"/>
          <w:lang w:eastAsia="en-AU"/>
        </w:rPr>
        <w:t>providing the local pickup and delivery services to and from</w:t>
      </w:r>
      <w:r w:rsidRPr="00D92690">
        <w:rPr>
          <w:rFonts w:asciiTheme="minorHAnsi" w:hAnsiTheme="minorHAnsi" w:cs="Georgia"/>
          <w:color w:val="000000"/>
          <w:lang w:eastAsia="en-AU"/>
        </w:rPr>
        <w:t xml:space="preserve"> </w:t>
      </w:r>
      <w:r w:rsidR="00050AC8" w:rsidRPr="00D92690">
        <w:rPr>
          <w:rFonts w:asciiTheme="minorHAnsi" w:hAnsiTheme="minorHAnsi" w:cs="Georgia"/>
          <w:color w:val="000000"/>
          <w:lang w:eastAsia="en-AU"/>
        </w:rPr>
        <w:t>rail terminals and ports in domestic and international freight</w:t>
      </w:r>
      <w:r w:rsidRPr="00D92690">
        <w:rPr>
          <w:rFonts w:asciiTheme="minorHAnsi" w:hAnsiTheme="minorHAnsi" w:cs="Georgia"/>
          <w:color w:val="000000"/>
          <w:lang w:eastAsia="en-AU"/>
        </w:rPr>
        <w:t xml:space="preserve"> </w:t>
      </w:r>
      <w:r w:rsidR="00CB73A3" w:rsidRPr="00D92690">
        <w:rPr>
          <w:rFonts w:asciiTheme="minorHAnsi" w:hAnsiTheme="minorHAnsi" w:cs="Georgia"/>
          <w:color w:val="000000"/>
          <w:lang w:eastAsia="en-AU"/>
        </w:rPr>
        <w:t>journeys</w:t>
      </w:r>
      <w:r w:rsidR="00DE33F9" w:rsidRPr="00D92690">
        <w:rPr>
          <w:rFonts w:asciiTheme="minorHAnsi" w:hAnsiTheme="minorHAnsi" w:cs="Georgia"/>
          <w:color w:val="000000"/>
          <w:lang w:eastAsia="en-AU"/>
        </w:rPr>
        <w:t>.</w:t>
      </w:r>
      <w:r w:rsidR="00793AD6" w:rsidRPr="00D92690">
        <w:rPr>
          <w:rStyle w:val="FootnoteReference"/>
          <w:rFonts w:asciiTheme="minorHAnsi" w:hAnsiTheme="minorHAnsi"/>
          <w:color w:val="000000"/>
          <w:lang w:eastAsia="en-AU"/>
        </w:rPr>
        <w:footnoteReference w:id="4"/>
      </w:r>
    </w:p>
    <w:p w:rsidR="00CB73A3" w:rsidRPr="00D92690" w:rsidRDefault="00CB73A3" w:rsidP="00D92690">
      <w:pPr>
        <w:autoSpaceDE w:val="0"/>
        <w:autoSpaceDN w:val="0"/>
        <w:adjustRightInd w:val="0"/>
        <w:jc w:val="both"/>
        <w:rPr>
          <w:rFonts w:asciiTheme="minorHAnsi" w:hAnsiTheme="minorHAnsi" w:cs="Georgia"/>
          <w:lang w:eastAsia="en-AU"/>
        </w:rPr>
      </w:pPr>
    </w:p>
    <w:p w:rsidR="00DE33F9" w:rsidRPr="00D92690" w:rsidRDefault="00CB73A3" w:rsidP="00D92690">
      <w:pPr>
        <w:autoSpaceDE w:val="0"/>
        <w:autoSpaceDN w:val="0"/>
        <w:adjustRightInd w:val="0"/>
        <w:jc w:val="both"/>
        <w:rPr>
          <w:rFonts w:asciiTheme="minorHAnsi" w:hAnsiTheme="minorHAnsi" w:cs="Georgia"/>
          <w:color w:val="000000"/>
          <w:lang w:eastAsia="en-AU"/>
        </w:rPr>
      </w:pPr>
      <w:r w:rsidRPr="00D92690">
        <w:rPr>
          <w:rFonts w:asciiTheme="minorHAnsi" w:hAnsiTheme="minorHAnsi" w:cs="Georgia"/>
          <w:color w:val="000000"/>
          <w:lang w:eastAsia="en-AU"/>
        </w:rPr>
        <w:t>While the heavy vehicle industry is a significant contributor to the national economy</w:t>
      </w:r>
      <w:r w:rsidR="00C15FEE" w:rsidRPr="00D92690">
        <w:rPr>
          <w:rFonts w:asciiTheme="minorHAnsi" w:hAnsiTheme="minorHAnsi" w:cs="Georgia"/>
          <w:color w:val="000000"/>
          <w:lang w:eastAsia="en-AU"/>
        </w:rPr>
        <w:t>,</w:t>
      </w:r>
      <w:r w:rsidRPr="00D92690">
        <w:rPr>
          <w:rFonts w:asciiTheme="minorHAnsi" w:hAnsiTheme="minorHAnsi" w:cs="Georgia"/>
          <w:color w:val="000000"/>
          <w:lang w:eastAsia="en-AU"/>
        </w:rPr>
        <w:t xml:space="preserve"> the industry is mainly populated with small bus</w:t>
      </w:r>
      <w:r w:rsidR="00751BF0">
        <w:rPr>
          <w:rFonts w:asciiTheme="minorHAnsi" w:hAnsiTheme="minorHAnsi" w:cs="Georgia"/>
          <w:color w:val="000000"/>
          <w:lang w:eastAsia="en-AU"/>
        </w:rPr>
        <w:t>inesses, with 72 per cent</w:t>
      </w:r>
      <w:r w:rsidRPr="00D92690">
        <w:rPr>
          <w:rFonts w:asciiTheme="minorHAnsi" w:hAnsiTheme="minorHAnsi" w:cs="Georgia"/>
          <w:color w:val="000000"/>
          <w:lang w:eastAsia="en-AU"/>
        </w:rPr>
        <w:t xml:space="preserve"> of oper</w:t>
      </w:r>
      <w:r w:rsidR="00751BF0">
        <w:rPr>
          <w:rFonts w:asciiTheme="minorHAnsi" w:hAnsiTheme="minorHAnsi" w:cs="Georgia"/>
          <w:color w:val="000000"/>
          <w:lang w:eastAsia="en-AU"/>
        </w:rPr>
        <w:t>ators owning 1 truck and only 1 per cent</w:t>
      </w:r>
      <w:r w:rsidRPr="00D92690">
        <w:rPr>
          <w:rFonts w:asciiTheme="minorHAnsi" w:hAnsiTheme="minorHAnsi" w:cs="Georgia"/>
          <w:color w:val="000000"/>
          <w:lang w:eastAsia="en-AU"/>
        </w:rPr>
        <w:t xml:space="preserve"> of operators owning more than 10 trucks.</w:t>
      </w:r>
      <w:r w:rsidR="00410341" w:rsidRPr="00D92690">
        <w:rPr>
          <w:rStyle w:val="FootnoteReference"/>
          <w:rFonts w:asciiTheme="minorHAnsi" w:hAnsiTheme="minorHAnsi"/>
          <w:color w:val="000000"/>
          <w:lang w:eastAsia="en-AU"/>
        </w:rPr>
        <w:footnoteReference w:id="5"/>
      </w:r>
      <w:r w:rsidRPr="00D92690">
        <w:rPr>
          <w:rFonts w:asciiTheme="minorHAnsi" w:hAnsiTheme="minorHAnsi" w:cs="Georgia"/>
          <w:color w:val="000000"/>
          <w:lang w:eastAsia="en-AU"/>
        </w:rPr>
        <w:t xml:space="preserve"> This industry composition should be taken into consideration when the government considers implementing changes that will affect the trucking industry. </w:t>
      </w:r>
    </w:p>
    <w:p w:rsidR="00C15FEE" w:rsidRPr="00D92690" w:rsidRDefault="00C15FEE" w:rsidP="00D92690">
      <w:pPr>
        <w:autoSpaceDE w:val="0"/>
        <w:autoSpaceDN w:val="0"/>
        <w:adjustRightInd w:val="0"/>
        <w:jc w:val="both"/>
        <w:rPr>
          <w:rFonts w:asciiTheme="minorHAnsi" w:hAnsiTheme="minorHAnsi" w:cs="Georgia"/>
          <w:color w:val="000000"/>
          <w:lang w:eastAsia="en-AU"/>
        </w:rPr>
      </w:pPr>
    </w:p>
    <w:p w:rsidR="001E70A3" w:rsidRPr="00D92690" w:rsidRDefault="001E70A3" w:rsidP="00D92690">
      <w:pPr>
        <w:autoSpaceDE w:val="0"/>
        <w:autoSpaceDN w:val="0"/>
        <w:adjustRightInd w:val="0"/>
        <w:jc w:val="both"/>
        <w:rPr>
          <w:rFonts w:asciiTheme="minorHAnsi" w:hAnsiTheme="minorHAnsi" w:cs="Georgia"/>
          <w:color w:val="000000"/>
          <w:lang w:eastAsia="en-AU"/>
        </w:rPr>
      </w:pPr>
      <w:r w:rsidRPr="00D92690">
        <w:rPr>
          <w:rFonts w:asciiTheme="minorHAnsi" w:hAnsiTheme="minorHAnsi" w:cs="Georgia"/>
          <w:color w:val="000000"/>
          <w:lang w:eastAsia="en-AU"/>
        </w:rPr>
        <w:t xml:space="preserve">Unnecessary costs and unjustified restrictions on productivity of trucking simply </w:t>
      </w:r>
      <w:proofErr w:type="gramStart"/>
      <w:r w:rsidR="00DD2EAD" w:rsidRPr="00D92690">
        <w:rPr>
          <w:rFonts w:asciiTheme="minorHAnsi" w:hAnsiTheme="minorHAnsi" w:cs="Georgia"/>
          <w:color w:val="000000"/>
          <w:lang w:eastAsia="en-AU"/>
        </w:rPr>
        <w:t>burdens</w:t>
      </w:r>
      <w:proofErr w:type="gramEnd"/>
      <w:r w:rsidRPr="00D92690">
        <w:rPr>
          <w:rFonts w:asciiTheme="minorHAnsi" w:hAnsiTheme="minorHAnsi" w:cs="Georgia"/>
          <w:color w:val="000000"/>
          <w:lang w:eastAsia="en-AU"/>
        </w:rPr>
        <w:t xml:space="preserve"> the economy and constrain</w:t>
      </w:r>
      <w:r w:rsidR="00DD2EAD" w:rsidRPr="00D92690">
        <w:rPr>
          <w:rFonts w:asciiTheme="minorHAnsi" w:hAnsiTheme="minorHAnsi" w:cs="Georgia"/>
          <w:color w:val="000000"/>
          <w:lang w:eastAsia="en-AU"/>
        </w:rPr>
        <w:t>s</w:t>
      </w:r>
      <w:r w:rsidRPr="00D92690">
        <w:rPr>
          <w:rFonts w:asciiTheme="minorHAnsi" w:hAnsiTheme="minorHAnsi" w:cs="Georgia"/>
          <w:color w:val="000000"/>
          <w:lang w:eastAsia="en-AU"/>
        </w:rPr>
        <w:t xml:space="preserve"> growth. </w:t>
      </w:r>
    </w:p>
    <w:p w:rsidR="00E15852" w:rsidRDefault="00E15852" w:rsidP="00D92690">
      <w:pPr>
        <w:pStyle w:val="Heading1"/>
        <w:numPr>
          <w:ilvl w:val="0"/>
          <w:numId w:val="0"/>
        </w:numPr>
        <w:ind w:left="360" w:hanging="360"/>
        <w:jc w:val="both"/>
        <w:rPr>
          <w:rFonts w:asciiTheme="minorHAnsi" w:hAnsiTheme="minorHAnsi"/>
          <w:sz w:val="22"/>
          <w:szCs w:val="22"/>
        </w:rPr>
      </w:pPr>
    </w:p>
    <w:p w:rsidR="00CB4D57" w:rsidRPr="00CB4D57" w:rsidRDefault="00CB4D57" w:rsidP="00CB4D57"/>
    <w:p w:rsidR="00C15FEE" w:rsidRPr="00D92690" w:rsidRDefault="00C15FEE" w:rsidP="00D92690"/>
    <w:p w:rsidR="00773733" w:rsidRPr="00D92690" w:rsidRDefault="00773733" w:rsidP="00D92690">
      <w:pPr>
        <w:pStyle w:val="Heading1"/>
        <w:jc w:val="both"/>
        <w:rPr>
          <w:rFonts w:asciiTheme="minorHAnsi" w:hAnsiTheme="minorHAnsi"/>
          <w:szCs w:val="22"/>
        </w:rPr>
      </w:pPr>
      <w:bookmarkStart w:id="4" w:name="_Toc378749503"/>
      <w:r w:rsidRPr="00D92690">
        <w:rPr>
          <w:rFonts w:asciiTheme="minorHAnsi" w:hAnsiTheme="minorHAnsi"/>
          <w:szCs w:val="22"/>
        </w:rPr>
        <w:lastRenderedPageBreak/>
        <w:t>Key issues for the</w:t>
      </w:r>
      <w:r w:rsidR="00634824" w:rsidRPr="00D92690">
        <w:rPr>
          <w:rFonts w:asciiTheme="minorHAnsi" w:hAnsiTheme="minorHAnsi"/>
          <w:szCs w:val="22"/>
        </w:rPr>
        <w:t xml:space="preserve"> industry in the</w:t>
      </w:r>
      <w:r w:rsidRPr="00D92690">
        <w:rPr>
          <w:rFonts w:asciiTheme="minorHAnsi" w:hAnsiTheme="minorHAnsi"/>
          <w:szCs w:val="22"/>
        </w:rPr>
        <w:t xml:space="preserve"> 2013-2014 Budget</w:t>
      </w:r>
      <w:bookmarkEnd w:id="4"/>
    </w:p>
    <w:p w:rsidR="00C15FEE" w:rsidRPr="00D92690" w:rsidRDefault="00C15FEE" w:rsidP="00D92690"/>
    <w:p w:rsidR="00DC22B8" w:rsidRPr="00D92690" w:rsidRDefault="00DC22B8" w:rsidP="00D92690">
      <w:pPr>
        <w:pStyle w:val="ATAHeading2"/>
        <w:spacing w:before="0" w:after="0" w:line="240" w:lineRule="auto"/>
        <w:ind w:left="851" w:hanging="851"/>
        <w:jc w:val="both"/>
        <w:rPr>
          <w:rFonts w:asciiTheme="minorHAnsi" w:hAnsiTheme="minorHAnsi"/>
          <w:sz w:val="28"/>
          <w:szCs w:val="22"/>
        </w:rPr>
      </w:pPr>
      <w:bookmarkStart w:id="5" w:name="_Toc378749504"/>
      <w:r w:rsidRPr="00D92690">
        <w:rPr>
          <w:rFonts w:asciiTheme="minorHAnsi" w:hAnsiTheme="minorHAnsi"/>
          <w:sz w:val="28"/>
          <w:szCs w:val="22"/>
        </w:rPr>
        <w:t>Infrastructure</w:t>
      </w:r>
      <w:bookmarkEnd w:id="5"/>
      <w:r w:rsidRPr="00D92690">
        <w:rPr>
          <w:rFonts w:asciiTheme="minorHAnsi" w:hAnsiTheme="minorHAnsi"/>
          <w:sz w:val="28"/>
          <w:szCs w:val="22"/>
        </w:rPr>
        <w:t xml:space="preserve"> </w:t>
      </w:r>
    </w:p>
    <w:p w:rsidR="00D92690" w:rsidRPr="00D92690" w:rsidRDefault="00D92690" w:rsidP="00D92690">
      <w:pPr>
        <w:pStyle w:val="ATAHeading2"/>
        <w:numPr>
          <w:ilvl w:val="0"/>
          <w:numId w:val="0"/>
        </w:numPr>
        <w:spacing w:before="0" w:after="0" w:line="240" w:lineRule="auto"/>
        <w:jc w:val="both"/>
        <w:rPr>
          <w:rFonts w:asciiTheme="minorHAnsi" w:hAnsiTheme="minorHAnsi"/>
          <w:sz w:val="22"/>
          <w:szCs w:val="22"/>
        </w:rPr>
      </w:pPr>
    </w:p>
    <w:p w:rsidR="00C15FEE" w:rsidRDefault="00DC22B8" w:rsidP="00D92690">
      <w:pPr>
        <w:jc w:val="both"/>
        <w:rPr>
          <w:rFonts w:asciiTheme="minorHAnsi" w:eastAsiaTheme="minorHAnsi" w:hAnsiTheme="minorHAnsi" w:cs="Arial"/>
        </w:rPr>
      </w:pPr>
      <w:r w:rsidRPr="00D92690">
        <w:rPr>
          <w:rFonts w:asciiTheme="minorHAnsi" w:eastAsiaTheme="minorHAnsi" w:hAnsiTheme="minorHAnsi" w:cs="Arial"/>
        </w:rPr>
        <w:t>In the election campaign, the Government announced $11.3 billion in road projects over the next four years.</w:t>
      </w:r>
      <w:r w:rsidRPr="00D92690">
        <w:rPr>
          <w:rFonts w:asciiTheme="minorHAnsi" w:eastAsiaTheme="minorHAnsi" w:hAnsiTheme="minorHAnsi" w:cs="Arial"/>
          <w:vertAlign w:val="superscript"/>
        </w:rPr>
        <w:footnoteReference w:id="6"/>
      </w:r>
      <w:r w:rsidRPr="00D92690">
        <w:rPr>
          <w:rFonts w:asciiTheme="minorHAnsi" w:eastAsiaTheme="minorHAnsi" w:hAnsiTheme="minorHAnsi" w:cs="Arial"/>
        </w:rPr>
        <w:t xml:space="preserve"> </w:t>
      </w:r>
    </w:p>
    <w:p w:rsidR="00D92690" w:rsidRPr="00D92690" w:rsidRDefault="00D92690" w:rsidP="00D92690">
      <w:pPr>
        <w:jc w:val="both"/>
        <w:rPr>
          <w:rFonts w:asciiTheme="minorHAnsi" w:eastAsiaTheme="minorHAnsi" w:hAnsiTheme="minorHAnsi" w:cs="Arial"/>
        </w:rPr>
      </w:pPr>
    </w:p>
    <w:p w:rsidR="00DC22B8" w:rsidRDefault="00DC22B8" w:rsidP="00D92690">
      <w:pPr>
        <w:pStyle w:val="ATAHeading2"/>
        <w:numPr>
          <w:ilvl w:val="2"/>
          <w:numId w:val="15"/>
        </w:numPr>
        <w:spacing w:before="0" w:after="0" w:line="240" w:lineRule="auto"/>
        <w:jc w:val="both"/>
        <w:rPr>
          <w:rFonts w:asciiTheme="minorHAnsi" w:hAnsiTheme="minorHAnsi"/>
          <w:sz w:val="24"/>
          <w:szCs w:val="22"/>
        </w:rPr>
      </w:pPr>
      <w:bookmarkStart w:id="6" w:name="_Toc378749505"/>
      <w:r w:rsidRPr="00D92690">
        <w:rPr>
          <w:rFonts w:asciiTheme="minorHAnsi" w:hAnsiTheme="minorHAnsi"/>
          <w:sz w:val="24"/>
          <w:szCs w:val="22"/>
        </w:rPr>
        <w:t>Building roads for productivity</w:t>
      </w:r>
      <w:bookmarkEnd w:id="6"/>
    </w:p>
    <w:p w:rsidR="00D92690" w:rsidRPr="00D92690" w:rsidRDefault="00D92690" w:rsidP="00D92690">
      <w:pPr>
        <w:pStyle w:val="ATAHeading2"/>
        <w:numPr>
          <w:ilvl w:val="0"/>
          <w:numId w:val="0"/>
        </w:numPr>
        <w:spacing w:before="0" w:after="0" w:line="240" w:lineRule="auto"/>
        <w:jc w:val="both"/>
        <w:rPr>
          <w:rFonts w:asciiTheme="minorHAnsi" w:hAnsiTheme="minorHAnsi"/>
          <w:sz w:val="22"/>
          <w:szCs w:val="22"/>
        </w:rPr>
      </w:pPr>
    </w:p>
    <w:p w:rsidR="00DC22B8"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One of the key objectives of the Government’s infrastructure program is to reverse the decline in Australia’s productivity.</w:t>
      </w:r>
      <w:r w:rsidRPr="00D92690">
        <w:rPr>
          <w:rFonts w:asciiTheme="minorHAnsi" w:eastAsiaTheme="minorHAnsi" w:hAnsiTheme="minorHAnsi" w:cs="Arial"/>
          <w:vertAlign w:val="superscript"/>
        </w:rPr>
        <w:footnoteReference w:id="7"/>
      </w:r>
      <w:r w:rsidRPr="00D92690">
        <w:rPr>
          <w:rFonts w:asciiTheme="minorHAnsi" w:eastAsiaTheme="minorHAnsi" w:hAnsiTheme="minorHAnsi" w:cs="Arial"/>
        </w:rPr>
        <w:t xml:space="preserve"> Building new roads has the potential to do this, but the new roads need to reduce the time it takes to undertake freight journeys and enable the industry to use vehicles that can carry heavier loads.</w:t>
      </w:r>
    </w:p>
    <w:p w:rsidR="00DC22B8" w:rsidRPr="00D92690" w:rsidRDefault="00DC22B8" w:rsidP="00D92690">
      <w:pPr>
        <w:jc w:val="both"/>
        <w:rPr>
          <w:rFonts w:asciiTheme="minorHAnsi" w:eastAsiaTheme="minorHAnsi" w:hAnsiTheme="minorHAnsi" w:cs="Arial"/>
        </w:rPr>
      </w:pPr>
    </w:p>
    <w:p w:rsidR="00DC22B8"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The trucking industry’s experience between 1971 and 2007 is illustrative. During this period, the industry’s productivity increased six-fold. The productivity increase occurred because the average distance travelled by articulated trucks increased by almost 90 per cent and the average load they carried doubled.</w:t>
      </w:r>
      <w:r w:rsidRPr="00D92690">
        <w:rPr>
          <w:rFonts w:asciiTheme="minorHAnsi" w:eastAsiaTheme="minorHAnsi" w:hAnsiTheme="minorHAnsi" w:cs="Arial"/>
          <w:vertAlign w:val="superscript"/>
        </w:rPr>
        <w:footnoteReference w:id="8"/>
      </w:r>
      <w:r w:rsidRPr="00D92690">
        <w:rPr>
          <w:rFonts w:asciiTheme="minorHAnsi" w:eastAsiaTheme="minorHAnsi" w:hAnsiTheme="minorHAnsi" w:cs="Arial"/>
        </w:rPr>
        <w:t xml:space="preserve"> </w:t>
      </w:r>
    </w:p>
    <w:p w:rsidR="00DC22B8" w:rsidRPr="00D92690" w:rsidRDefault="00DC22B8" w:rsidP="00D92690">
      <w:pPr>
        <w:jc w:val="both"/>
        <w:rPr>
          <w:rFonts w:asciiTheme="minorHAnsi" w:eastAsiaTheme="minorHAnsi" w:hAnsiTheme="minorHAnsi" w:cs="Arial"/>
        </w:rPr>
      </w:pPr>
    </w:p>
    <w:p w:rsidR="00DD2EAD"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To reap the productivity gains available from using high productivity vehicles, PricewaterhouseCoopers has recommended that governments should set target engineering and access standards for each tier of the road freight network.</w:t>
      </w:r>
      <w:r w:rsidRPr="00D92690">
        <w:rPr>
          <w:rFonts w:asciiTheme="minorHAnsi" w:eastAsiaTheme="minorHAnsi" w:hAnsiTheme="minorHAnsi" w:cs="Arial"/>
          <w:vertAlign w:val="superscript"/>
        </w:rPr>
        <w:footnoteReference w:id="9"/>
      </w:r>
      <w:r w:rsidRPr="00D92690">
        <w:rPr>
          <w:rFonts w:asciiTheme="minorHAnsi" w:eastAsiaTheme="minorHAnsi" w:hAnsiTheme="minorHAnsi" w:cs="Arial"/>
        </w:rPr>
        <w:t xml:space="preserve"> </w:t>
      </w:r>
      <w:r w:rsidR="00DD2EAD" w:rsidRPr="00D92690">
        <w:rPr>
          <w:rFonts w:asciiTheme="minorHAnsi" w:eastAsiaTheme="minorHAnsi" w:hAnsiTheme="minorHAnsi" w:cs="Arial"/>
        </w:rPr>
        <w:t xml:space="preserve">The effect of the increased productivity would mean reduced freight costs and reduced road wear due to less vehicles being needed to complete the freight task.  </w:t>
      </w:r>
    </w:p>
    <w:p w:rsidR="00DD2EAD" w:rsidRPr="00D92690" w:rsidRDefault="00DD2EAD" w:rsidP="00D92690">
      <w:pPr>
        <w:jc w:val="both"/>
        <w:rPr>
          <w:rFonts w:asciiTheme="minorHAnsi" w:eastAsiaTheme="minorHAnsi" w:hAnsiTheme="minorHAnsi" w:cs="Arial"/>
        </w:rPr>
      </w:pPr>
    </w:p>
    <w:p w:rsidR="00DD2EAD" w:rsidRPr="00D92690" w:rsidRDefault="00DD2EAD" w:rsidP="00D92690">
      <w:pPr>
        <w:jc w:val="both"/>
        <w:rPr>
          <w:rFonts w:asciiTheme="minorHAnsi" w:eastAsiaTheme="minorHAnsi" w:hAnsiTheme="minorHAnsi" w:cs="Arial"/>
        </w:rPr>
      </w:pPr>
      <w:r w:rsidRPr="00D92690">
        <w:rPr>
          <w:rFonts w:asciiTheme="minorHAnsi" w:eastAsiaTheme="minorHAnsi" w:hAnsiTheme="minorHAnsi" w:cs="Arial"/>
        </w:rPr>
        <w:t>Having an efficient infrastructure network for freight is</w:t>
      </w:r>
      <w:r w:rsidR="008479ED" w:rsidRPr="00D92690">
        <w:rPr>
          <w:rFonts w:asciiTheme="minorHAnsi" w:eastAsiaTheme="minorHAnsi" w:hAnsiTheme="minorHAnsi" w:cs="Arial"/>
        </w:rPr>
        <w:t xml:space="preserve"> also</w:t>
      </w:r>
      <w:r w:rsidRPr="00D92690">
        <w:rPr>
          <w:rFonts w:asciiTheme="minorHAnsi" w:eastAsiaTheme="minorHAnsi" w:hAnsiTheme="minorHAnsi" w:cs="Arial"/>
        </w:rPr>
        <w:t xml:space="preserve"> essential </w:t>
      </w:r>
      <w:r w:rsidR="008479ED" w:rsidRPr="00D92690">
        <w:rPr>
          <w:rFonts w:asciiTheme="minorHAnsi" w:eastAsiaTheme="minorHAnsi" w:hAnsiTheme="minorHAnsi" w:cs="Arial"/>
        </w:rPr>
        <w:t>for</w:t>
      </w:r>
      <w:r w:rsidRPr="00D92690">
        <w:rPr>
          <w:rFonts w:asciiTheme="minorHAnsi" w:eastAsiaTheme="minorHAnsi" w:hAnsiTheme="minorHAnsi" w:cs="Arial"/>
        </w:rPr>
        <w:t xml:space="preserve"> competitive exports and </w:t>
      </w:r>
      <w:r w:rsidR="008479ED" w:rsidRPr="00D92690">
        <w:rPr>
          <w:rFonts w:asciiTheme="minorHAnsi" w:eastAsiaTheme="minorHAnsi" w:hAnsiTheme="minorHAnsi" w:cs="Arial"/>
        </w:rPr>
        <w:t xml:space="preserve">there is much that can be done to improve the productivity of the road network in Australia. </w:t>
      </w:r>
    </w:p>
    <w:p w:rsidR="007F2D2A" w:rsidRPr="00D92690" w:rsidRDefault="007F2D2A" w:rsidP="00D92690">
      <w:pPr>
        <w:jc w:val="both"/>
        <w:rPr>
          <w:rFonts w:asciiTheme="minorHAnsi" w:eastAsiaTheme="minorHAnsi" w:hAnsiTheme="minorHAnsi" w:cs="Arial"/>
          <w:b/>
        </w:rPr>
      </w:pPr>
    </w:p>
    <w:p w:rsidR="000C0F58" w:rsidRPr="00D92690" w:rsidRDefault="000C0F58" w:rsidP="00D92690">
      <w:pPr>
        <w:jc w:val="both"/>
        <w:rPr>
          <w:rFonts w:asciiTheme="minorHAnsi" w:eastAsiaTheme="minorHAnsi" w:hAnsiTheme="minorHAnsi" w:cs="Arial"/>
          <w:b/>
        </w:rPr>
      </w:pPr>
      <w:r w:rsidRPr="00D92690">
        <w:rPr>
          <w:rFonts w:asciiTheme="minorHAnsi" w:eastAsiaTheme="minorHAnsi" w:hAnsiTheme="minorHAnsi" w:cs="Arial"/>
          <w:b/>
        </w:rPr>
        <w:t xml:space="preserve">ATA recommendation </w:t>
      </w:r>
      <w:r w:rsidR="00F04548" w:rsidRPr="00D92690">
        <w:rPr>
          <w:rFonts w:asciiTheme="minorHAnsi" w:eastAsiaTheme="minorHAnsi" w:hAnsiTheme="minorHAnsi" w:cs="Arial"/>
          <w:b/>
        </w:rPr>
        <w:t>- Building roads for productivity</w:t>
      </w:r>
    </w:p>
    <w:p w:rsidR="00D92690" w:rsidRPr="00D92690" w:rsidRDefault="00D92690" w:rsidP="00D92690">
      <w:pPr>
        <w:jc w:val="both"/>
        <w:rPr>
          <w:rFonts w:asciiTheme="minorHAnsi" w:eastAsiaTheme="minorHAnsi" w:hAnsiTheme="minorHAnsi" w:cs="Arial"/>
        </w:rPr>
      </w:pPr>
    </w:p>
    <w:p w:rsidR="00C15FEE" w:rsidRPr="00D92690" w:rsidRDefault="00EB73AB" w:rsidP="00D92690">
      <w:pPr>
        <w:jc w:val="both"/>
        <w:rPr>
          <w:rFonts w:asciiTheme="minorHAnsi" w:eastAsiaTheme="minorHAnsi" w:hAnsiTheme="minorHAnsi" w:cs="Arial"/>
        </w:rPr>
      </w:pPr>
      <w:r w:rsidRPr="00D92690">
        <w:rPr>
          <w:rFonts w:asciiTheme="minorHAnsi" w:eastAsiaTheme="minorHAnsi" w:hAnsiTheme="minorHAnsi" w:cs="Arial"/>
        </w:rPr>
        <w:t xml:space="preserve">The Government should </w:t>
      </w:r>
      <w:r w:rsidR="008C10AA" w:rsidRPr="00D92690">
        <w:rPr>
          <w:rFonts w:asciiTheme="minorHAnsi" w:eastAsiaTheme="minorHAnsi" w:hAnsiTheme="minorHAnsi" w:cs="Arial"/>
        </w:rPr>
        <w:t>require</w:t>
      </w:r>
      <w:r w:rsidR="00174273" w:rsidRPr="00D92690">
        <w:rPr>
          <w:rFonts w:asciiTheme="minorHAnsi" w:eastAsiaTheme="minorHAnsi" w:hAnsiTheme="minorHAnsi" w:cs="Arial"/>
        </w:rPr>
        <w:t xml:space="preserve"> </w:t>
      </w:r>
      <w:r w:rsidRPr="00D92690">
        <w:rPr>
          <w:rFonts w:asciiTheme="minorHAnsi" w:eastAsiaTheme="minorHAnsi" w:hAnsiTheme="minorHAnsi" w:cs="Arial"/>
        </w:rPr>
        <w:t>road</w:t>
      </w:r>
      <w:r w:rsidR="00174273" w:rsidRPr="00D92690">
        <w:rPr>
          <w:rFonts w:asciiTheme="minorHAnsi" w:eastAsiaTheme="minorHAnsi" w:hAnsiTheme="minorHAnsi" w:cs="Arial"/>
        </w:rPr>
        <w:t xml:space="preserve"> standards</w:t>
      </w:r>
      <w:r w:rsidRPr="00D92690">
        <w:rPr>
          <w:rFonts w:asciiTheme="minorHAnsi" w:eastAsiaTheme="minorHAnsi" w:hAnsiTheme="minorHAnsi" w:cs="Arial"/>
        </w:rPr>
        <w:t xml:space="preserve"> on the National Land Transport Network that enable the us</w:t>
      </w:r>
      <w:r w:rsidR="00DD2EAD" w:rsidRPr="00D92690">
        <w:rPr>
          <w:rFonts w:asciiTheme="minorHAnsi" w:eastAsiaTheme="minorHAnsi" w:hAnsiTheme="minorHAnsi" w:cs="Arial"/>
        </w:rPr>
        <w:t xml:space="preserve">e of high productivity vehicles in order to increase the freight industry’s productivity and lead to reduced freight and infrastructure costs, and increasing the attractiveness of Australian exports.  </w:t>
      </w:r>
    </w:p>
    <w:p w:rsidR="00D92690" w:rsidRPr="00D92690" w:rsidRDefault="00D92690" w:rsidP="00D92690">
      <w:pPr>
        <w:jc w:val="both"/>
        <w:rPr>
          <w:rFonts w:asciiTheme="minorHAnsi" w:eastAsiaTheme="minorHAnsi" w:hAnsiTheme="minorHAnsi" w:cs="Arial"/>
        </w:rPr>
      </w:pPr>
    </w:p>
    <w:p w:rsidR="00DC22B8" w:rsidRPr="00D92690" w:rsidRDefault="00DC22B8" w:rsidP="00D92690">
      <w:pPr>
        <w:pStyle w:val="ATAHeading2"/>
        <w:numPr>
          <w:ilvl w:val="2"/>
          <w:numId w:val="15"/>
        </w:numPr>
        <w:spacing w:before="0" w:after="0" w:line="240" w:lineRule="auto"/>
        <w:jc w:val="both"/>
        <w:rPr>
          <w:rFonts w:asciiTheme="minorHAnsi" w:hAnsiTheme="minorHAnsi"/>
          <w:sz w:val="24"/>
          <w:szCs w:val="22"/>
        </w:rPr>
      </w:pPr>
      <w:bookmarkStart w:id="7" w:name="_Toc378749506"/>
      <w:r w:rsidRPr="00D92690">
        <w:rPr>
          <w:rFonts w:asciiTheme="minorHAnsi" w:hAnsiTheme="minorHAnsi"/>
          <w:sz w:val="24"/>
          <w:szCs w:val="22"/>
        </w:rPr>
        <w:t>Rest areas</w:t>
      </w:r>
      <w:bookmarkEnd w:id="7"/>
    </w:p>
    <w:p w:rsidR="00D92690" w:rsidRPr="00D92690" w:rsidRDefault="00D92690" w:rsidP="00D92690">
      <w:pPr>
        <w:pStyle w:val="ATAHeading2"/>
        <w:numPr>
          <w:ilvl w:val="0"/>
          <w:numId w:val="0"/>
        </w:numPr>
        <w:spacing w:before="0" w:after="0" w:line="240" w:lineRule="auto"/>
        <w:ind w:left="720"/>
        <w:jc w:val="both"/>
        <w:rPr>
          <w:rFonts w:asciiTheme="minorHAnsi" w:hAnsiTheme="minorHAnsi"/>
          <w:sz w:val="22"/>
          <w:szCs w:val="22"/>
        </w:rPr>
      </w:pPr>
    </w:p>
    <w:p w:rsidR="00DC22B8"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The 2008 review of truck rest areas found that none of Australia’s major highways fully met the national guidelines, which require a major rest area every 100 kilometres, a minor rest area every 50 kilometres, and a small truck parking bay every 30 kilometres.</w:t>
      </w:r>
      <w:r w:rsidRPr="00D92690">
        <w:rPr>
          <w:rFonts w:asciiTheme="minorHAnsi" w:eastAsiaTheme="minorHAnsi" w:hAnsiTheme="minorHAnsi" w:cs="Arial"/>
          <w:vertAlign w:val="superscript"/>
        </w:rPr>
        <w:footnoteReference w:id="10"/>
      </w:r>
    </w:p>
    <w:p w:rsidR="00CA5C45" w:rsidRPr="00D92690" w:rsidRDefault="00CA5C45" w:rsidP="00D92690">
      <w:pPr>
        <w:jc w:val="both"/>
        <w:rPr>
          <w:rFonts w:asciiTheme="minorHAnsi" w:eastAsiaTheme="minorHAnsi" w:hAnsiTheme="minorHAnsi" w:cs="Arial"/>
        </w:rPr>
      </w:pPr>
    </w:p>
    <w:p w:rsidR="00DC22B8"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Since then, the Heavy Vehicle Safety and Productivity Program (HVSPP) has funded the construction or upgrade of 95 rest areas, with another 92 to be funded in its third funding round.</w:t>
      </w:r>
      <w:r w:rsidR="008E4B38" w:rsidRPr="00D92690">
        <w:rPr>
          <w:rFonts w:asciiTheme="minorHAnsi" w:eastAsiaTheme="minorHAnsi" w:hAnsiTheme="minorHAnsi" w:cs="Arial"/>
        </w:rPr>
        <w:t xml:space="preserve"> The ATA welcomes the Coalitions commitment to continue to fund the HVSPP.</w:t>
      </w:r>
    </w:p>
    <w:p w:rsidR="00DC22B8" w:rsidRPr="00D92690" w:rsidRDefault="00DC22B8" w:rsidP="00D92690">
      <w:pPr>
        <w:jc w:val="both"/>
        <w:rPr>
          <w:rFonts w:asciiTheme="minorHAnsi" w:eastAsiaTheme="minorHAnsi" w:hAnsiTheme="minorHAnsi" w:cs="Arial"/>
        </w:rPr>
      </w:pPr>
    </w:p>
    <w:p w:rsidR="00E520C5" w:rsidRPr="00D92690" w:rsidRDefault="00DC22B8" w:rsidP="00D92690">
      <w:pPr>
        <w:jc w:val="both"/>
        <w:rPr>
          <w:rFonts w:asciiTheme="minorHAnsi" w:eastAsiaTheme="minorHAnsi" w:hAnsiTheme="minorHAnsi" w:cs="Arial"/>
        </w:rPr>
      </w:pPr>
      <w:r w:rsidRPr="00D92690">
        <w:rPr>
          <w:rFonts w:asciiTheme="minorHAnsi" w:eastAsiaTheme="minorHAnsi" w:hAnsiTheme="minorHAnsi" w:cs="Arial"/>
        </w:rPr>
        <w:t>The rest areas funded under HVSPP are relatively costly, because they are built as additions to existing roads. In addition to the rest areas funded by HVSPP, it would be efficient, and in the long run less expensive, to build rest areas as roads are constructed</w:t>
      </w:r>
      <w:r w:rsidR="00CA5C45">
        <w:rPr>
          <w:rFonts w:asciiTheme="minorHAnsi" w:eastAsiaTheme="minorHAnsi" w:hAnsiTheme="minorHAnsi" w:cs="Arial"/>
        </w:rPr>
        <w:t xml:space="preserve"> or upgraded.</w:t>
      </w:r>
    </w:p>
    <w:p w:rsidR="000C0F58" w:rsidRPr="00D92690" w:rsidRDefault="000C0F58" w:rsidP="00D92690">
      <w:pPr>
        <w:jc w:val="both"/>
        <w:rPr>
          <w:rFonts w:asciiTheme="minorHAnsi" w:eastAsiaTheme="minorHAnsi" w:hAnsiTheme="minorHAnsi" w:cs="Arial"/>
        </w:rPr>
      </w:pPr>
    </w:p>
    <w:p w:rsidR="00CB4D57" w:rsidRDefault="00CB4D57" w:rsidP="00D92690">
      <w:pPr>
        <w:jc w:val="both"/>
        <w:rPr>
          <w:rFonts w:asciiTheme="minorHAnsi" w:eastAsiaTheme="minorHAnsi" w:hAnsiTheme="minorHAnsi" w:cs="Arial"/>
          <w:b/>
        </w:rPr>
      </w:pPr>
    </w:p>
    <w:p w:rsidR="00CB4D57" w:rsidRDefault="00CB4D57" w:rsidP="00D92690">
      <w:pPr>
        <w:jc w:val="both"/>
        <w:rPr>
          <w:rFonts w:asciiTheme="minorHAnsi" w:eastAsiaTheme="minorHAnsi" w:hAnsiTheme="minorHAnsi" w:cs="Arial"/>
          <w:b/>
        </w:rPr>
      </w:pPr>
    </w:p>
    <w:p w:rsidR="00CB4D57" w:rsidRDefault="00CB4D57" w:rsidP="00D92690">
      <w:pPr>
        <w:jc w:val="both"/>
        <w:rPr>
          <w:rFonts w:asciiTheme="minorHAnsi" w:eastAsiaTheme="minorHAnsi" w:hAnsiTheme="minorHAnsi" w:cs="Arial"/>
          <w:b/>
        </w:rPr>
      </w:pPr>
    </w:p>
    <w:p w:rsidR="000C0F58" w:rsidRPr="00D92690" w:rsidRDefault="00F04548" w:rsidP="00D92690">
      <w:pPr>
        <w:jc w:val="both"/>
        <w:rPr>
          <w:rFonts w:asciiTheme="minorHAnsi" w:eastAsiaTheme="minorHAnsi" w:hAnsiTheme="minorHAnsi" w:cs="Arial"/>
          <w:b/>
        </w:rPr>
      </w:pPr>
      <w:r w:rsidRPr="00D92690">
        <w:rPr>
          <w:rFonts w:asciiTheme="minorHAnsi" w:eastAsiaTheme="minorHAnsi" w:hAnsiTheme="minorHAnsi" w:cs="Arial"/>
          <w:b/>
        </w:rPr>
        <w:lastRenderedPageBreak/>
        <w:t>ATA recommendation - Rest areas</w:t>
      </w:r>
    </w:p>
    <w:p w:rsidR="00D92690" w:rsidRDefault="00D92690" w:rsidP="00D92690">
      <w:pPr>
        <w:jc w:val="both"/>
        <w:rPr>
          <w:rFonts w:asciiTheme="minorHAnsi" w:eastAsiaTheme="minorHAnsi" w:hAnsiTheme="minorHAnsi" w:cs="Arial"/>
        </w:rPr>
      </w:pPr>
    </w:p>
    <w:p w:rsidR="00DC22B8" w:rsidRPr="00D92690" w:rsidRDefault="000C0F58" w:rsidP="00D92690">
      <w:pPr>
        <w:jc w:val="both"/>
        <w:rPr>
          <w:rFonts w:asciiTheme="minorHAnsi" w:eastAsiaTheme="minorHAnsi" w:hAnsiTheme="minorHAnsi" w:cs="Arial"/>
        </w:rPr>
      </w:pPr>
      <w:r w:rsidRPr="00D92690">
        <w:rPr>
          <w:rFonts w:asciiTheme="minorHAnsi" w:eastAsiaTheme="minorHAnsi" w:hAnsiTheme="minorHAnsi" w:cs="Arial"/>
        </w:rPr>
        <w:t>The Government’s funding agreements with the states and territories should require them to build rest areas in line with the national guidelines on federally funded roads as they are constructed.</w:t>
      </w:r>
    </w:p>
    <w:p w:rsidR="00350300" w:rsidRPr="00D92690" w:rsidRDefault="00350300" w:rsidP="00D92690">
      <w:pPr>
        <w:jc w:val="both"/>
        <w:rPr>
          <w:rFonts w:asciiTheme="minorHAnsi" w:hAnsiTheme="minorHAnsi" w:cs="Arial"/>
        </w:rPr>
      </w:pPr>
    </w:p>
    <w:p w:rsidR="00DC22B8" w:rsidRPr="00D92690" w:rsidRDefault="00DC22B8" w:rsidP="00D92690">
      <w:pPr>
        <w:pStyle w:val="ATAHeading2"/>
        <w:numPr>
          <w:ilvl w:val="2"/>
          <w:numId w:val="15"/>
        </w:numPr>
        <w:spacing w:before="0" w:after="0" w:line="240" w:lineRule="auto"/>
        <w:jc w:val="both"/>
        <w:rPr>
          <w:rFonts w:asciiTheme="minorHAnsi" w:hAnsiTheme="minorHAnsi"/>
          <w:sz w:val="24"/>
          <w:szCs w:val="22"/>
        </w:rPr>
      </w:pPr>
      <w:bookmarkStart w:id="8" w:name="_Toc378749507"/>
      <w:r w:rsidRPr="00D92690">
        <w:rPr>
          <w:rFonts w:asciiTheme="minorHAnsi" w:hAnsiTheme="minorHAnsi"/>
          <w:sz w:val="24"/>
          <w:szCs w:val="22"/>
        </w:rPr>
        <w:t>Bridges renewal program</w:t>
      </w:r>
      <w:bookmarkEnd w:id="8"/>
      <w:r w:rsidRPr="00D92690">
        <w:rPr>
          <w:rFonts w:asciiTheme="minorHAnsi" w:hAnsiTheme="minorHAnsi"/>
          <w:sz w:val="24"/>
          <w:szCs w:val="22"/>
        </w:rPr>
        <w:t xml:space="preserve"> </w:t>
      </w:r>
    </w:p>
    <w:p w:rsidR="00D92690" w:rsidRDefault="00D92690" w:rsidP="00D92690">
      <w:pPr>
        <w:jc w:val="both"/>
        <w:rPr>
          <w:rFonts w:asciiTheme="minorHAnsi" w:eastAsiaTheme="minorHAnsi" w:hAnsiTheme="minorHAnsi" w:cs="Arial"/>
        </w:rPr>
      </w:pPr>
    </w:p>
    <w:p w:rsidR="008E4B38" w:rsidRPr="00D92690" w:rsidRDefault="008E4B38" w:rsidP="00D92690">
      <w:pPr>
        <w:jc w:val="both"/>
        <w:rPr>
          <w:rFonts w:asciiTheme="minorHAnsi" w:eastAsiaTheme="minorHAnsi" w:hAnsiTheme="minorHAnsi" w:cs="Arial"/>
        </w:rPr>
      </w:pPr>
      <w:r w:rsidRPr="00D92690">
        <w:rPr>
          <w:rFonts w:asciiTheme="minorHAnsi" w:eastAsiaTheme="minorHAnsi" w:hAnsiTheme="minorHAnsi" w:cs="Arial"/>
        </w:rPr>
        <w:t xml:space="preserve">In the election campaign, the Government announced it </w:t>
      </w:r>
      <w:r w:rsidR="00EB73AB" w:rsidRPr="00D92690">
        <w:rPr>
          <w:rFonts w:asciiTheme="minorHAnsi" w:eastAsiaTheme="minorHAnsi" w:hAnsiTheme="minorHAnsi" w:cs="Arial"/>
        </w:rPr>
        <w:t>would</w:t>
      </w:r>
      <w:r w:rsidRPr="00D92690">
        <w:rPr>
          <w:rFonts w:asciiTheme="minorHAnsi" w:eastAsiaTheme="minorHAnsi" w:hAnsiTheme="minorHAnsi" w:cs="Arial"/>
        </w:rPr>
        <w:t xml:space="preserve"> invest $300 million to upgrade the nation’s deteriorating bridges, with the funding to be matched by state, territory and local governments. The plan is intended to make the roads safer and make the freight system more reliable and efficient.</w:t>
      </w:r>
    </w:p>
    <w:p w:rsidR="008E4B38" w:rsidRPr="00D92690" w:rsidRDefault="008E4B38" w:rsidP="00D92690">
      <w:pPr>
        <w:jc w:val="both"/>
        <w:rPr>
          <w:rFonts w:asciiTheme="minorHAnsi" w:eastAsiaTheme="minorHAnsi" w:hAnsiTheme="minorHAnsi" w:cs="Arial"/>
        </w:rPr>
      </w:pPr>
    </w:p>
    <w:p w:rsidR="008E4B38" w:rsidRPr="00D92690" w:rsidRDefault="008E4B38" w:rsidP="00D92690">
      <w:pPr>
        <w:jc w:val="both"/>
        <w:rPr>
          <w:rFonts w:asciiTheme="minorHAnsi" w:eastAsiaTheme="minorHAnsi" w:hAnsiTheme="minorHAnsi" w:cs="Arial"/>
          <w:lang w:val="en-US"/>
        </w:rPr>
      </w:pPr>
      <w:r w:rsidRPr="00D92690">
        <w:rPr>
          <w:rFonts w:asciiTheme="minorHAnsi" w:eastAsiaTheme="minorHAnsi" w:hAnsiTheme="minorHAnsi" w:cs="Arial"/>
          <w:lang w:val="en-US"/>
        </w:rPr>
        <w:t>The interstate freight on the road system is forecast to double between 2005 and 2030, as Australia’s population and economy grow.</w:t>
      </w:r>
    </w:p>
    <w:p w:rsidR="008E4B38" w:rsidRPr="00D92690" w:rsidRDefault="008E4B38" w:rsidP="00D92690">
      <w:pPr>
        <w:jc w:val="both"/>
        <w:rPr>
          <w:rFonts w:asciiTheme="minorHAnsi" w:eastAsiaTheme="minorHAnsi" w:hAnsiTheme="minorHAnsi" w:cs="Arial"/>
          <w:lang w:val="en-US"/>
        </w:rPr>
      </w:pPr>
    </w:p>
    <w:p w:rsidR="008E4B38" w:rsidRPr="00D92690" w:rsidRDefault="008E4B38" w:rsidP="00D92690">
      <w:pPr>
        <w:jc w:val="both"/>
        <w:rPr>
          <w:rFonts w:asciiTheme="minorHAnsi" w:eastAsiaTheme="minorHAnsi" w:hAnsiTheme="minorHAnsi" w:cs="Arial"/>
          <w:lang w:val="en-US"/>
        </w:rPr>
      </w:pPr>
      <w:proofErr w:type="gramStart"/>
      <w:r w:rsidRPr="00D92690">
        <w:rPr>
          <w:rFonts w:asciiTheme="minorHAnsi" w:eastAsiaTheme="minorHAnsi" w:hAnsiTheme="minorHAnsi" w:cs="Arial"/>
          <w:lang w:val="en-US"/>
        </w:rPr>
        <w:t>To cope with this freight growth, Australia needs to enable the trucking industry to increase its productivity, including by using more vehicles operating under higher mass limits and more high productivity vehicles like B-doubles, B-triples and super B-doubles.</w:t>
      </w:r>
      <w:proofErr w:type="gramEnd"/>
      <w:r w:rsidRPr="00D92690">
        <w:rPr>
          <w:rFonts w:asciiTheme="minorHAnsi" w:eastAsiaTheme="minorHAnsi" w:hAnsiTheme="minorHAnsi" w:cs="Arial"/>
          <w:lang w:val="en-US"/>
        </w:rPr>
        <w:t xml:space="preserve"> On many routes, old bridges limit the industry’s ability to upgrade to these vehicles.</w:t>
      </w:r>
    </w:p>
    <w:p w:rsidR="00DC22B8" w:rsidRPr="00D92690" w:rsidRDefault="00DC22B8" w:rsidP="00D92690">
      <w:pPr>
        <w:jc w:val="both"/>
        <w:rPr>
          <w:rFonts w:asciiTheme="minorHAnsi" w:eastAsiaTheme="minorHAnsi" w:hAnsiTheme="minorHAnsi" w:cs="Arial"/>
        </w:rPr>
      </w:pPr>
    </w:p>
    <w:p w:rsidR="00DC22B8" w:rsidRPr="00D92690" w:rsidRDefault="00F04548" w:rsidP="00D92690">
      <w:pPr>
        <w:jc w:val="both"/>
        <w:rPr>
          <w:rFonts w:asciiTheme="minorHAnsi" w:eastAsiaTheme="minorHAnsi" w:hAnsiTheme="minorHAnsi" w:cs="Arial"/>
          <w:b/>
        </w:rPr>
      </w:pPr>
      <w:r w:rsidRPr="00D92690">
        <w:rPr>
          <w:rFonts w:asciiTheme="minorHAnsi" w:eastAsiaTheme="minorHAnsi" w:hAnsiTheme="minorHAnsi" w:cs="Arial"/>
          <w:b/>
        </w:rPr>
        <w:t xml:space="preserve">ATA recommendation - Bridges renewal program </w:t>
      </w:r>
    </w:p>
    <w:p w:rsidR="00D92690" w:rsidRDefault="00D92690" w:rsidP="00D92690">
      <w:pPr>
        <w:jc w:val="both"/>
        <w:rPr>
          <w:rFonts w:asciiTheme="minorHAnsi" w:eastAsiaTheme="minorHAnsi" w:hAnsiTheme="minorHAnsi" w:cs="Arial"/>
        </w:rPr>
      </w:pPr>
    </w:p>
    <w:p w:rsidR="00FC027F" w:rsidRPr="00D92690" w:rsidRDefault="00EB73AB" w:rsidP="00D92690">
      <w:pPr>
        <w:jc w:val="both"/>
        <w:rPr>
          <w:rFonts w:asciiTheme="minorHAnsi" w:eastAsiaTheme="minorHAnsi" w:hAnsiTheme="minorHAnsi" w:cs="Arial"/>
        </w:rPr>
      </w:pPr>
      <w:r w:rsidRPr="00D92690">
        <w:rPr>
          <w:rFonts w:asciiTheme="minorHAnsi" w:eastAsiaTheme="minorHAnsi" w:hAnsiTheme="minorHAnsi" w:cs="Arial"/>
        </w:rPr>
        <w:t xml:space="preserve">The Government should announce in the Budget that the </w:t>
      </w:r>
      <w:r w:rsidR="00497CD2" w:rsidRPr="00D92690">
        <w:rPr>
          <w:rFonts w:asciiTheme="minorHAnsi" w:eastAsiaTheme="minorHAnsi" w:hAnsiTheme="minorHAnsi" w:cs="Arial"/>
        </w:rPr>
        <w:t>b</w:t>
      </w:r>
      <w:r w:rsidR="00FC027F" w:rsidRPr="00D92690">
        <w:rPr>
          <w:rFonts w:asciiTheme="minorHAnsi" w:eastAsiaTheme="minorHAnsi" w:hAnsiTheme="minorHAnsi" w:cs="Arial"/>
        </w:rPr>
        <w:t xml:space="preserve">ridges to renewal program will: </w:t>
      </w:r>
    </w:p>
    <w:p w:rsidR="00FC027F" w:rsidRPr="00D92690" w:rsidRDefault="00FC027F" w:rsidP="00D92690">
      <w:pPr>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f</w:t>
      </w:r>
      <w:r w:rsidR="00552289" w:rsidRPr="00D92690">
        <w:rPr>
          <w:rFonts w:asciiTheme="minorHAnsi" w:eastAsiaTheme="minorHAnsi" w:hAnsiTheme="minorHAnsi" w:cs="Arial"/>
        </w:rPr>
        <w:t>und</w:t>
      </w:r>
      <w:proofErr w:type="gramEnd"/>
      <w:r w:rsidR="00DC22B8" w:rsidRPr="00D92690">
        <w:rPr>
          <w:rFonts w:asciiTheme="minorHAnsi" w:eastAsiaTheme="minorHAnsi" w:hAnsiTheme="minorHAnsi" w:cs="Arial"/>
        </w:rPr>
        <w:t xml:space="preserve"> projects on key last mile connections where a bridge renewal, or bridge renewals packaged with other works, would increase freight productivity. </w:t>
      </w:r>
    </w:p>
    <w:p w:rsidR="00DC22B8" w:rsidRPr="00D92690" w:rsidRDefault="00DC22B8" w:rsidP="00D92690">
      <w:pPr>
        <w:ind w:left="720"/>
        <w:contextualSpacing/>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n</w:t>
      </w:r>
      <w:r w:rsidR="00552289" w:rsidRPr="00D92690">
        <w:rPr>
          <w:rFonts w:asciiTheme="minorHAnsi" w:eastAsiaTheme="minorHAnsi" w:hAnsiTheme="minorHAnsi" w:cs="Arial"/>
        </w:rPr>
        <w:t>ot</w:t>
      </w:r>
      <w:proofErr w:type="gramEnd"/>
      <w:r w:rsidR="00DC22B8" w:rsidRPr="00D92690">
        <w:rPr>
          <w:rFonts w:asciiTheme="minorHAnsi" w:eastAsiaTheme="minorHAnsi" w:hAnsiTheme="minorHAnsi" w:cs="Arial"/>
        </w:rPr>
        <w:t xml:space="preserve"> fund routine or catch up maintenance. State governments and local councils have other sources of maintenance funding, including, for local councils, the Roads to Recovery program</w:t>
      </w:r>
      <w:r w:rsidR="00053DCB">
        <w:rPr>
          <w:rFonts w:asciiTheme="minorHAnsi" w:eastAsiaTheme="minorHAnsi" w:hAnsiTheme="minorHAnsi" w:cs="Arial"/>
        </w:rPr>
        <w:t xml:space="preserve"> and financial assistance grants</w:t>
      </w:r>
      <w:r w:rsidR="00DC22B8" w:rsidRPr="00D92690">
        <w:rPr>
          <w:rFonts w:asciiTheme="minorHAnsi" w:eastAsiaTheme="minorHAnsi" w:hAnsiTheme="minorHAnsi" w:cs="Arial"/>
        </w:rPr>
        <w:t xml:space="preserve">. </w:t>
      </w:r>
    </w:p>
    <w:p w:rsidR="00DC22B8" w:rsidRPr="00D92690" w:rsidRDefault="00DC22B8" w:rsidP="00D92690">
      <w:pPr>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s</w:t>
      </w:r>
      <w:r w:rsidR="00552289" w:rsidRPr="00D92690">
        <w:rPr>
          <w:rFonts w:asciiTheme="minorHAnsi" w:eastAsiaTheme="minorHAnsi" w:hAnsiTheme="minorHAnsi" w:cs="Arial"/>
        </w:rPr>
        <w:t>elect</w:t>
      </w:r>
      <w:proofErr w:type="gramEnd"/>
      <w:r w:rsidR="00FC027F" w:rsidRPr="00D92690">
        <w:rPr>
          <w:rFonts w:asciiTheme="minorHAnsi" w:eastAsiaTheme="minorHAnsi" w:hAnsiTheme="minorHAnsi" w:cs="Arial"/>
        </w:rPr>
        <w:t xml:space="preserve"> projects based</w:t>
      </w:r>
      <w:r w:rsidR="00DC22B8" w:rsidRPr="00D92690">
        <w:rPr>
          <w:rFonts w:asciiTheme="minorHAnsi" w:eastAsiaTheme="minorHAnsi" w:hAnsiTheme="minorHAnsi" w:cs="Arial"/>
        </w:rPr>
        <w:t xml:space="preserve"> on merit. Proponents should be required to submit a productivity case for each project, including the classes of freight vehicles (such</w:t>
      </w:r>
      <w:r w:rsidR="00053DCB">
        <w:rPr>
          <w:rFonts w:asciiTheme="minorHAnsi" w:eastAsiaTheme="minorHAnsi" w:hAnsiTheme="minorHAnsi" w:cs="Arial"/>
        </w:rPr>
        <w:t xml:space="preserve"> as HML vehicles, B-doubles, </w:t>
      </w:r>
      <w:r w:rsidR="00DC22B8" w:rsidRPr="00D92690">
        <w:rPr>
          <w:rFonts w:asciiTheme="minorHAnsi" w:eastAsiaTheme="minorHAnsi" w:hAnsiTheme="minorHAnsi" w:cs="Arial"/>
        </w:rPr>
        <w:t>road trains</w:t>
      </w:r>
      <w:r w:rsidR="00053DCB">
        <w:rPr>
          <w:rFonts w:asciiTheme="minorHAnsi" w:eastAsiaTheme="minorHAnsi" w:hAnsiTheme="minorHAnsi" w:cs="Arial"/>
        </w:rPr>
        <w:t xml:space="preserve"> or longer multi-combinations</w:t>
      </w:r>
      <w:r w:rsidR="00DC22B8" w:rsidRPr="00D92690">
        <w:rPr>
          <w:rFonts w:asciiTheme="minorHAnsi" w:eastAsiaTheme="minorHAnsi" w:hAnsiTheme="minorHAnsi" w:cs="Arial"/>
        </w:rPr>
        <w:t>) that would be able to use each route once the upgrade work was complete. The productivity cases should be made public.</w:t>
      </w:r>
    </w:p>
    <w:p w:rsidR="00DC22B8" w:rsidRPr="00D92690" w:rsidRDefault="00DC22B8" w:rsidP="00D92690">
      <w:pPr>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r</w:t>
      </w:r>
      <w:r w:rsidR="00FC027F" w:rsidRPr="00D92690">
        <w:rPr>
          <w:rFonts w:asciiTheme="minorHAnsi" w:eastAsiaTheme="minorHAnsi" w:hAnsiTheme="minorHAnsi" w:cs="Arial"/>
        </w:rPr>
        <w:t>equire</w:t>
      </w:r>
      <w:proofErr w:type="gramEnd"/>
      <w:r w:rsidR="00FC027F" w:rsidRPr="00D92690">
        <w:rPr>
          <w:rFonts w:asciiTheme="minorHAnsi" w:eastAsiaTheme="minorHAnsi" w:hAnsiTheme="minorHAnsi" w:cs="Arial"/>
        </w:rPr>
        <w:t xml:space="preserve"> funding conditions that all bridges to be built in accordance with the </w:t>
      </w:r>
      <w:proofErr w:type="spellStart"/>
      <w:r w:rsidR="00FC027F" w:rsidRPr="00D92690">
        <w:rPr>
          <w:rFonts w:asciiTheme="minorHAnsi" w:eastAsiaTheme="minorHAnsi" w:hAnsiTheme="minorHAnsi" w:cs="Arial"/>
        </w:rPr>
        <w:t>AS5100</w:t>
      </w:r>
      <w:proofErr w:type="spellEnd"/>
      <w:r w:rsidR="00FC027F" w:rsidRPr="00D92690">
        <w:rPr>
          <w:rFonts w:asciiTheme="minorHAnsi" w:eastAsiaTheme="minorHAnsi" w:hAnsiTheme="minorHAnsi" w:cs="Arial"/>
        </w:rPr>
        <w:t xml:space="preserve"> </w:t>
      </w:r>
      <w:proofErr w:type="spellStart"/>
      <w:r w:rsidR="00FC027F" w:rsidRPr="00D92690">
        <w:rPr>
          <w:rFonts w:asciiTheme="minorHAnsi" w:eastAsiaTheme="minorHAnsi" w:hAnsiTheme="minorHAnsi" w:cs="Arial"/>
        </w:rPr>
        <w:t>SM1600</w:t>
      </w:r>
      <w:proofErr w:type="spellEnd"/>
      <w:r w:rsidR="00FC027F" w:rsidRPr="00D92690">
        <w:rPr>
          <w:rFonts w:asciiTheme="minorHAnsi" w:eastAsiaTheme="minorHAnsi" w:hAnsiTheme="minorHAnsi" w:cs="Arial"/>
        </w:rPr>
        <w:t xml:space="preserve"> loading standards, in order to</w:t>
      </w:r>
      <w:r w:rsidR="00DC22B8" w:rsidRPr="00D92690">
        <w:rPr>
          <w:rFonts w:asciiTheme="minorHAnsi" w:eastAsiaTheme="minorHAnsi" w:hAnsiTheme="minorHAnsi" w:cs="Arial"/>
        </w:rPr>
        <w:t xml:space="preserve"> future proof the network</w:t>
      </w:r>
      <w:r w:rsidR="00FC027F" w:rsidRPr="00D92690">
        <w:rPr>
          <w:rFonts w:asciiTheme="minorHAnsi" w:eastAsiaTheme="minorHAnsi" w:hAnsiTheme="minorHAnsi" w:cs="Arial"/>
        </w:rPr>
        <w:t>.</w:t>
      </w:r>
      <w:r w:rsidR="00DC22B8" w:rsidRPr="00D92690">
        <w:rPr>
          <w:rFonts w:asciiTheme="minorHAnsi" w:eastAsiaTheme="minorHAnsi" w:hAnsiTheme="minorHAnsi" w:cs="Arial"/>
        </w:rPr>
        <w:t xml:space="preserve"> </w:t>
      </w:r>
    </w:p>
    <w:p w:rsidR="00552289" w:rsidRPr="00D92690" w:rsidRDefault="00552289" w:rsidP="00D92690">
      <w:pPr>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r</w:t>
      </w:r>
      <w:r w:rsidR="00552289" w:rsidRPr="00D92690">
        <w:rPr>
          <w:rFonts w:asciiTheme="minorHAnsi" w:eastAsiaTheme="minorHAnsi" w:hAnsiTheme="minorHAnsi" w:cs="Arial"/>
        </w:rPr>
        <w:t>equire</w:t>
      </w:r>
      <w:proofErr w:type="gramEnd"/>
      <w:r w:rsidR="00DC22B8" w:rsidRPr="00D92690">
        <w:rPr>
          <w:rFonts w:asciiTheme="minorHAnsi" w:eastAsiaTheme="minorHAnsi" w:hAnsiTheme="minorHAnsi" w:cs="Arial"/>
        </w:rPr>
        <w:t xml:space="preserve"> proponents to approve each upgraded route for the classes of freight vehicles specified in its productivity case. Renewing a bridge will not, by itself, increase productivity. Once the work is done, the asset owner will need to issue the necessary approvals to allow the vehicles specified in the productivity case to use it.</w:t>
      </w:r>
    </w:p>
    <w:p w:rsidR="00DC22B8" w:rsidRPr="00D92690" w:rsidRDefault="00DC22B8" w:rsidP="00D92690">
      <w:pPr>
        <w:ind w:left="360"/>
        <w:jc w:val="both"/>
        <w:rPr>
          <w:rFonts w:asciiTheme="minorHAnsi" w:eastAsiaTheme="minorHAnsi" w:hAnsiTheme="minorHAnsi" w:cs="Arial"/>
        </w:rPr>
      </w:pPr>
    </w:p>
    <w:p w:rsidR="00DC22B8" w:rsidRPr="00D92690" w:rsidRDefault="00132E36" w:rsidP="00D92690">
      <w:pPr>
        <w:numPr>
          <w:ilvl w:val="0"/>
          <w:numId w:val="4"/>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s</w:t>
      </w:r>
      <w:r w:rsidR="00552289" w:rsidRPr="00D92690">
        <w:rPr>
          <w:rFonts w:asciiTheme="minorHAnsi" w:eastAsiaTheme="minorHAnsi" w:hAnsiTheme="minorHAnsi" w:cs="Arial"/>
        </w:rPr>
        <w:t>hould</w:t>
      </w:r>
      <w:proofErr w:type="gramEnd"/>
      <w:r w:rsidR="00DC22B8" w:rsidRPr="00D92690">
        <w:rPr>
          <w:rFonts w:asciiTheme="minorHAnsi" w:eastAsiaTheme="minorHAnsi" w:hAnsiTheme="minorHAnsi" w:cs="Arial"/>
        </w:rPr>
        <w:t xml:space="preserve"> </w:t>
      </w:r>
      <w:r w:rsidR="00FC027F" w:rsidRPr="00D92690">
        <w:rPr>
          <w:rFonts w:asciiTheme="minorHAnsi" w:eastAsiaTheme="minorHAnsi" w:hAnsiTheme="minorHAnsi" w:cs="Arial"/>
        </w:rPr>
        <w:t xml:space="preserve">make sure that in its audit program </w:t>
      </w:r>
      <w:proofErr w:type="spellStart"/>
      <w:r w:rsidR="00FC027F" w:rsidRPr="00D92690">
        <w:rPr>
          <w:rFonts w:asciiTheme="minorHAnsi" w:eastAsiaTheme="minorHAnsi" w:hAnsiTheme="minorHAnsi" w:cs="Arial"/>
        </w:rPr>
        <w:t>DIRD</w:t>
      </w:r>
      <w:proofErr w:type="spellEnd"/>
      <w:r w:rsidR="00FC027F" w:rsidRPr="00D92690">
        <w:rPr>
          <w:rFonts w:asciiTheme="minorHAnsi" w:eastAsiaTheme="minorHAnsi" w:hAnsiTheme="minorHAnsi" w:cs="Arial"/>
        </w:rPr>
        <w:t xml:space="preserve"> </w:t>
      </w:r>
      <w:r w:rsidR="00DC22B8" w:rsidRPr="00D92690">
        <w:rPr>
          <w:rFonts w:asciiTheme="minorHAnsi" w:eastAsiaTheme="minorHAnsi" w:hAnsiTheme="minorHAnsi" w:cs="Arial"/>
        </w:rPr>
        <w:t>check funding conditions have been met. A previous audit of the Roads to Recovery program showed that:</w:t>
      </w:r>
    </w:p>
    <w:p w:rsidR="00DC22B8" w:rsidRPr="00D92690" w:rsidRDefault="00DC22B8" w:rsidP="00D92690">
      <w:pPr>
        <w:ind w:left="720"/>
        <w:contextualSpacing/>
        <w:jc w:val="both"/>
        <w:rPr>
          <w:rFonts w:asciiTheme="minorHAnsi" w:eastAsiaTheme="minorHAnsi" w:hAnsiTheme="minorHAnsi" w:cs="Arial"/>
        </w:rPr>
      </w:pPr>
    </w:p>
    <w:p w:rsidR="00DC22B8" w:rsidRPr="00D92690" w:rsidRDefault="00DC22B8" w:rsidP="00D92690">
      <w:pPr>
        <w:numPr>
          <w:ilvl w:val="0"/>
          <w:numId w:val="5"/>
        </w:numPr>
        <w:contextualSpacing/>
        <w:jc w:val="both"/>
        <w:rPr>
          <w:rFonts w:asciiTheme="minorHAnsi" w:eastAsiaTheme="minorHAnsi" w:hAnsiTheme="minorHAnsi" w:cs="Arial"/>
        </w:rPr>
      </w:pPr>
      <w:r w:rsidRPr="00D92690">
        <w:rPr>
          <w:rFonts w:asciiTheme="minorHAnsi" w:eastAsiaTheme="minorHAnsi" w:hAnsiTheme="minorHAnsi" w:cs="Arial"/>
        </w:rPr>
        <w:t>the quality of the work undertaken by councils varied considerably, and in some cases the work had to be redone; and</w:t>
      </w:r>
    </w:p>
    <w:p w:rsidR="00DC22B8" w:rsidRPr="00D92690" w:rsidRDefault="00DC22B8" w:rsidP="00D92690">
      <w:pPr>
        <w:numPr>
          <w:ilvl w:val="0"/>
          <w:numId w:val="5"/>
        </w:numPr>
        <w:contextualSpacing/>
        <w:jc w:val="both"/>
        <w:rPr>
          <w:rFonts w:asciiTheme="minorHAnsi" w:eastAsiaTheme="minorHAnsi" w:hAnsiTheme="minorHAnsi" w:cs="Arial"/>
        </w:rPr>
      </w:pPr>
      <w:proofErr w:type="gramStart"/>
      <w:r w:rsidRPr="00D92690">
        <w:rPr>
          <w:rFonts w:asciiTheme="minorHAnsi" w:eastAsiaTheme="minorHAnsi" w:hAnsiTheme="minorHAnsi" w:cs="Arial"/>
        </w:rPr>
        <w:t>compliance</w:t>
      </w:r>
      <w:proofErr w:type="gramEnd"/>
      <w:r w:rsidRPr="00D92690">
        <w:rPr>
          <w:rFonts w:asciiTheme="minorHAnsi" w:eastAsiaTheme="minorHAnsi" w:hAnsiTheme="minorHAnsi" w:cs="Arial"/>
        </w:rPr>
        <w:t xml:space="preserve"> with the funding conditions was problematic.</w:t>
      </w:r>
      <w:r w:rsidRPr="00D92690">
        <w:rPr>
          <w:rFonts w:asciiTheme="minorHAnsi" w:eastAsiaTheme="minorHAnsi" w:hAnsiTheme="minorHAnsi" w:cs="Arial"/>
          <w:vertAlign w:val="superscript"/>
        </w:rPr>
        <w:footnoteReference w:id="11"/>
      </w:r>
    </w:p>
    <w:p w:rsidR="000D5E4E" w:rsidRPr="00D92690" w:rsidRDefault="000D5E4E" w:rsidP="00D92690">
      <w:pPr>
        <w:jc w:val="both"/>
        <w:rPr>
          <w:rFonts w:asciiTheme="minorHAnsi" w:eastAsiaTheme="minorHAnsi" w:hAnsiTheme="minorHAnsi" w:cs="Arial"/>
        </w:rPr>
      </w:pPr>
    </w:p>
    <w:p w:rsidR="00CB4D57" w:rsidRDefault="00CB4D57" w:rsidP="00CB4D57">
      <w:pPr>
        <w:pStyle w:val="ATAHeading2"/>
        <w:numPr>
          <w:ilvl w:val="0"/>
          <w:numId w:val="0"/>
        </w:numPr>
        <w:spacing w:before="0" w:after="0" w:line="240" w:lineRule="auto"/>
        <w:ind w:left="716" w:hanging="432"/>
        <w:jc w:val="both"/>
        <w:rPr>
          <w:rFonts w:asciiTheme="minorHAnsi" w:hAnsiTheme="minorHAnsi"/>
          <w:sz w:val="28"/>
          <w:szCs w:val="22"/>
        </w:rPr>
      </w:pPr>
    </w:p>
    <w:p w:rsidR="00CB4D57" w:rsidRDefault="00CB4D57" w:rsidP="00CB4D57">
      <w:pPr>
        <w:pStyle w:val="ATAHeading2"/>
        <w:numPr>
          <w:ilvl w:val="0"/>
          <w:numId w:val="0"/>
        </w:numPr>
        <w:spacing w:before="0" w:after="0" w:line="240" w:lineRule="auto"/>
        <w:ind w:left="716" w:hanging="432"/>
        <w:jc w:val="both"/>
        <w:rPr>
          <w:rFonts w:asciiTheme="minorHAnsi" w:hAnsiTheme="minorHAnsi"/>
          <w:sz w:val="28"/>
          <w:szCs w:val="22"/>
        </w:rPr>
      </w:pPr>
    </w:p>
    <w:p w:rsidR="00CB4D57" w:rsidRDefault="00CB4D57" w:rsidP="00CB4D57">
      <w:pPr>
        <w:pStyle w:val="ATAHeading2"/>
        <w:numPr>
          <w:ilvl w:val="0"/>
          <w:numId w:val="0"/>
        </w:numPr>
        <w:spacing w:before="0" w:after="0" w:line="240" w:lineRule="auto"/>
        <w:ind w:left="716" w:hanging="432"/>
        <w:jc w:val="both"/>
        <w:rPr>
          <w:rFonts w:asciiTheme="minorHAnsi" w:hAnsiTheme="minorHAnsi"/>
          <w:sz w:val="28"/>
          <w:szCs w:val="22"/>
        </w:rPr>
      </w:pPr>
    </w:p>
    <w:p w:rsidR="00CB4D57" w:rsidRDefault="00CB4D57" w:rsidP="00CB4D57">
      <w:pPr>
        <w:pStyle w:val="ATAHeading2"/>
        <w:numPr>
          <w:ilvl w:val="0"/>
          <w:numId w:val="0"/>
        </w:numPr>
        <w:spacing w:before="0" w:after="0" w:line="240" w:lineRule="auto"/>
        <w:ind w:left="716" w:hanging="432"/>
        <w:jc w:val="both"/>
        <w:rPr>
          <w:rFonts w:asciiTheme="minorHAnsi" w:hAnsiTheme="minorHAnsi"/>
          <w:sz w:val="28"/>
          <w:szCs w:val="22"/>
        </w:rPr>
      </w:pPr>
    </w:p>
    <w:p w:rsidR="00096B02" w:rsidRPr="00D92690" w:rsidRDefault="00096B02" w:rsidP="00D92690">
      <w:pPr>
        <w:pStyle w:val="ATAHeading2"/>
        <w:spacing w:before="0" w:after="0" w:line="240" w:lineRule="auto"/>
        <w:ind w:left="851" w:hanging="851"/>
        <w:jc w:val="both"/>
        <w:rPr>
          <w:rFonts w:asciiTheme="minorHAnsi" w:hAnsiTheme="minorHAnsi"/>
          <w:sz w:val="28"/>
          <w:szCs w:val="22"/>
        </w:rPr>
      </w:pPr>
      <w:bookmarkStart w:id="9" w:name="_Toc378749508"/>
      <w:r w:rsidRPr="00D92690">
        <w:rPr>
          <w:rFonts w:asciiTheme="minorHAnsi" w:hAnsiTheme="minorHAnsi"/>
          <w:sz w:val="28"/>
          <w:szCs w:val="22"/>
        </w:rPr>
        <w:t>Improving road safety</w:t>
      </w:r>
      <w:bookmarkEnd w:id="9"/>
    </w:p>
    <w:p w:rsidR="00D92690" w:rsidRDefault="00D92690" w:rsidP="00D92690">
      <w:pPr>
        <w:jc w:val="both"/>
        <w:rPr>
          <w:rFonts w:asciiTheme="minorHAnsi" w:hAnsiTheme="minorHAnsi"/>
        </w:rPr>
      </w:pPr>
    </w:p>
    <w:p w:rsidR="000A2C1A" w:rsidRPr="00D92690" w:rsidRDefault="003F0F16" w:rsidP="00D92690">
      <w:pPr>
        <w:jc w:val="both"/>
        <w:rPr>
          <w:rFonts w:asciiTheme="minorHAnsi" w:hAnsiTheme="minorHAnsi"/>
        </w:rPr>
      </w:pPr>
      <w:r w:rsidRPr="00D92690">
        <w:rPr>
          <w:rFonts w:asciiTheme="minorHAnsi" w:hAnsiTheme="minorHAnsi"/>
        </w:rPr>
        <w:t>Improving the safety of Australia roads and those who share the road is paramount for the ATA</w:t>
      </w:r>
      <w:r w:rsidR="002067C0" w:rsidRPr="00D92690">
        <w:rPr>
          <w:rFonts w:asciiTheme="minorHAnsi" w:hAnsiTheme="minorHAnsi"/>
        </w:rPr>
        <w:t>. The ATA is devoted to loweri</w:t>
      </w:r>
      <w:r w:rsidR="00FC027F" w:rsidRPr="00D92690">
        <w:rPr>
          <w:rFonts w:asciiTheme="minorHAnsi" w:hAnsiTheme="minorHAnsi"/>
        </w:rPr>
        <w:t xml:space="preserve">ng the road toll and the </w:t>
      </w:r>
      <w:r w:rsidR="00C15FEE" w:rsidRPr="00D92690">
        <w:rPr>
          <w:rFonts w:asciiTheme="minorHAnsi" w:hAnsiTheme="minorHAnsi"/>
        </w:rPr>
        <w:t>Government’s</w:t>
      </w:r>
      <w:r w:rsidR="002067C0" w:rsidRPr="00D92690">
        <w:rPr>
          <w:rFonts w:asciiTheme="minorHAnsi" w:hAnsiTheme="minorHAnsi"/>
        </w:rPr>
        <w:t xml:space="preserve"> commitment </w:t>
      </w:r>
      <w:r w:rsidR="00C15FEE" w:rsidRPr="00D92690">
        <w:rPr>
          <w:rFonts w:asciiTheme="minorHAnsi" w:hAnsiTheme="minorHAnsi"/>
        </w:rPr>
        <w:t>to improving</w:t>
      </w:r>
      <w:r w:rsidR="002067C0" w:rsidRPr="00D92690">
        <w:rPr>
          <w:rFonts w:asciiTheme="minorHAnsi" w:hAnsiTheme="minorHAnsi"/>
        </w:rPr>
        <w:t xml:space="preserve"> the safety of the roads is welcomed. </w:t>
      </w:r>
      <w:r w:rsidR="000A2C1A" w:rsidRPr="00D92690">
        <w:rPr>
          <w:rFonts w:asciiTheme="minorHAnsi" w:hAnsiTheme="minorHAnsi"/>
        </w:rPr>
        <w:t xml:space="preserve"> </w:t>
      </w:r>
    </w:p>
    <w:p w:rsidR="000A2C1A" w:rsidRPr="00D92690" w:rsidRDefault="000A2C1A" w:rsidP="00D92690">
      <w:pPr>
        <w:jc w:val="both"/>
        <w:rPr>
          <w:rFonts w:asciiTheme="minorHAnsi" w:hAnsiTheme="minorHAnsi"/>
        </w:rPr>
      </w:pPr>
    </w:p>
    <w:p w:rsidR="008E4B38" w:rsidRPr="00D92690" w:rsidRDefault="00F56FD2" w:rsidP="00D92690">
      <w:pPr>
        <w:pStyle w:val="ATAHeading2"/>
        <w:numPr>
          <w:ilvl w:val="2"/>
          <w:numId w:val="16"/>
        </w:numPr>
        <w:spacing w:before="0" w:after="0" w:line="240" w:lineRule="auto"/>
        <w:jc w:val="both"/>
        <w:rPr>
          <w:rFonts w:asciiTheme="minorHAnsi" w:hAnsiTheme="minorHAnsi"/>
          <w:sz w:val="24"/>
          <w:szCs w:val="22"/>
        </w:rPr>
      </w:pPr>
      <w:bookmarkStart w:id="10" w:name="_Toc378749509"/>
      <w:r w:rsidRPr="00D92690">
        <w:rPr>
          <w:rFonts w:asciiTheme="minorHAnsi" w:hAnsiTheme="minorHAnsi"/>
          <w:sz w:val="24"/>
          <w:szCs w:val="22"/>
        </w:rPr>
        <w:t>Roads to R</w:t>
      </w:r>
      <w:r w:rsidR="008E4B38" w:rsidRPr="00D92690">
        <w:rPr>
          <w:rFonts w:asciiTheme="minorHAnsi" w:hAnsiTheme="minorHAnsi"/>
          <w:sz w:val="24"/>
          <w:szCs w:val="22"/>
        </w:rPr>
        <w:t>ecovery and Black Spot funding</w:t>
      </w:r>
      <w:bookmarkEnd w:id="10"/>
    </w:p>
    <w:p w:rsidR="00D92690" w:rsidRPr="00D92690" w:rsidRDefault="00D92690" w:rsidP="00D92690">
      <w:pPr>
        <w:pStyle w:val="ATAHeading2"/>
        <w:numPr>
          <w:ilvl w:val="0"/>
          <w:numId w:val="0"/>
        </w:numPr>
        <w:spacing w:before="0" w:after="0" w:line="240" w:lineRule="auto"/>
        <w:ind w:left="720"/>
        <w:jc w:val="both"/>
        <w:rPr>
          <w:rFonts w:asciiTheme="minorHAnsi" w:hAnsiTheme="minorHAnsi"/>
          <w:sz w:val="22"/>
          <w:szCs w:val="22"/>
        </w:rPr>
      </w:pPr>
    </w:p>
    <w:p w:rsidR="002067C0" w:rsidRPr="00D92690" w:rsidRDefault="002067C0" w:rsidP="00D92690">
      <w:pPr>
        <w:jc w:val="both"/>
        <w:rPr>
          <w:rFonts w:asciiTheme="minorHAnsi" w:hAnsiTheme="minorHAnsi"/>
        </w:rPr>
      </w:pPr>
      <w:r w:rsidRPr="00D92690">
        <w:rPr>
          <w:rFonts w:asciiTheme="minorHAnsi" w:hAnsiTheme="minorHAnsi"/>
        </w:rPr>
        <w:t xml:space="preserve">The </w:t>
      </w:r>
      <w:r w:rsidR="00552289" w:rsidRPr="00D92690">
        <w:rPr>
          <w:rFonts w:asciiTheme="minorHAnsi" w:hAnsiTheme="minorHAnsi"/>
        </w:rPr>
        <w:t>Government</w:t>
      </w:r>
      <w:r w:rsidRPr="00D92690">
        <w:rPr>
          <w:rFonts w:asciiTheme="minorHAnsi" w:hAnsiTheme="minorHAnsi"/>
        </w:rPr>
        <w:t xml:space="preserve"> stated they </w:t>
      </w:r>
      <w:r w:rsidR="00D92690" w:rsidRPr="00D92690">
        <w:rPr>
          <w:rFonts w:asciiTheme="minorHAnsi" w:hAnsiTheme="minorHAnsi"/>
        </w:rPr>
        <w:t xml:space="preserve">would continue to the </w:t>
      </w:r>
      <w:r w:rsidR="00FC027F" w:rsidRPr="00D92690">
        <w:rPr>
          <w:rFonts w:asciiTheme="minorHAnsi" w:hAnsiTheme="minorHAnsi"/>
        </w:rPr>
        <w:t>Roads to R</w:t>
      </w:r>
      <w:r w:rsidR="00D92690" w:rsidRPr="00D92690">
        <w:rPr>
          <w:rFonts w:asciiTheme="minorHAnsi" w:hAnsiTheme="minorHAnsi"/>
        </w:rPr>
        <w:t>ecovery</w:t>
      </w:r>
      <w:r w:rsidRPr="00D92690">
        <w:rPr>
          <w:rFonts w:asciiTheme="minorHAnsi" w:hAnsiTheme="minorHAnsi"/>
        </w:rPr>
        <w:t xml:space="preserve"> program and look to expand it once </w:t>
      </w:r>
      <w:r w:rsidR="00965FDF" w:rsidRPr="00D92690">
        <w:rPr>
          <w:rFonts w:asciiTheme="minorHAnsi" w:hAnsiTheme="minorHAnsi"/>
        </w:rPr>
        <w:t>the B</w:t>
      </w:r>
      <w:r w:rsidRPr="00D92690">
        <w:rPr>
          <w:rFonts w:asciiTheme="minorHAnsi" w:hAnsiTheme="minorHAnsi"/>
        </w:rPr>
        <w:t>udget</w:t>
      </w:r>
      <w:r w:rsidR="00965FDF" w:rsidRPr="00D92690">
        <w:rPr>
          <w:rFonts w:asciiTheme="minorHAnsi" w:hAnsiTheme="minorHAnsi"/>
        </w:rPr>
        <w:t xml:space="preserve"> is</w:t>
      </w:r>
      <w:r w:rsidRPr="00D92690">
        <w:rPr>
          <w:rFonts w:asciiTheme="minorHAnsi" w:hAnsiTheme="minorHAnsi"/>
        </w:rPr>
        <w:t xml:space="preserve"> back in strong surplus. Along with the continuation of this program the </w:t>
      </w:r>
      <w:r w:rsidR="00552289" w:rsidRPr="00D92690">
        <w:rPr>
          <w:rFonts w:asciiTheme="minorHAnsi" w:hAnsiTheme="minorHAnsi"/>
        </w:rPr>
        <w:t>Government</w:t>
      </w:r>
      <w:r w:rsidRPr="00D92690">
        <w:rPr>
          <w:rFonts w:asciiTheme="minorHAnsi" w:hAnsiTheme="minorHAnsi"/>
        </w:rPr>
        <w:t xml:space="preserve"> will f</w:t>
      </w:r>
      <w:r w:rsidR="00FC027F" w:rsidRPr="00D92690">
        <w:rPr>
          <w:rFonts w:asciiTheme="minorHAnsi" w:hAnsiTheme="minorHAnsi"/>
        </w:rPr>
        <w:t>und the Black S</w:t>
      </w:r>
      <w:r w:rsidRPr="00D92690">
        <w:rPr>
          <w:rFonts w:asciiTheme="minorHAnsi" w:hAnsiTheme="minorHAnsi"/>
        </w:rPr>
        <w:t xml:space="preserve">pot program, providing $60 million a year to address road sites that are high risk areas for serious crashes. </w:t>
      </w:r>
    </w:p>
    <w:p w:rsidR="002067C0" w:rsidRPr="00D92690" w:rsidRDefault="002067C0" w:rsidP="00D92690">
      <w:pPr>
        <w:jc w:val="both"/>
        <w:rPr>
          <w:rFonts w:asciiTheme="minorHAnsi" w:hAnsiTheme="minorHAnsi"/>
        </w:rPr>
      </w:pPr>
    </w:p>
    <w:p w:rsidR="006E026F" w:rsidRPr="00D92690" w:rsidRDefault="00682B89" w:rsidP="00D92690">
      <w:pPr>
        <w:jc w:val="both"/>
        <w:rPr>
          <w:rFonts w:asciiTheme="minorHAnsi" w:eastAsiaTheme="minorHAnsi" w:hAnsiTheme="minorHAnsi" w:cs="Arial"/>
          <w:b/>
        </w:rPr>
      </w:pPr>
      <w:r w:rsidRPr="00D92690">
        <w:rPr>
          <w:rFonts w:asciiTheme="minorHAnsi" w:eastAsiaTheme="minorHAnsi" w:hAnsiTheme="minorHAnsi" w:cs="Arial"/>
          <w:b/>
        </w:rPr>
        <w:t xml:space="preserve">ATA </w:t>
      </w:r>
      <w:r w:rsidR="00351D4B" w:rsidRPr="00D92690">
        <w:rPr>
          <w:rFonts w:asciiTheme="minorHAnsi" w:eastAsiaTheme="minorHAnsi" w:hAnsiTheme="minorHAnsi" w:cs="Arial"/>
          <w:b/>
        </w:rPr>
        <w:t>Recommendation -</w:t>
      </w:r>
      <w:r w:rsidR="00497CD2" w:rsidRPr="00D92690">
        <w:rPr>
          <w:rFonts w:asciiTheme="minorHAnsi" w:eastAsiaTheme="minorHAnsi" w:hAnsiTheme="minorHAnsi" w:cs="Arial"/>
          <w:b/>
        </w:rPr>
        <w:t xml:space="preserve"> Roads to R</w:t>
      </w:r>
      <w:r w:rsidR="00F04548" w:rsidRPr="00D92690">
        <w:rPr>
          <w:rFonts w:asciiTheme="minorHAnsi" w:eastAsiaTheme="minorHAnsi" w:hAnsiTheme="minorHAnsi" w:cs="Arial"/>
          <w:b/>
        </w:rPr>
        <w:t>ecovery and Black Spot funding</w:t>
      </w:r>
    </w:p>
    <w:p w:rsidR="00D92690" w:rsidRDefault="00D92690" w:rsidP="00D92690">
      <w:pPr>
        <w:jc w:val="both"/>
        <w:rPr>
          <w:rFonts w:asciiTheme="minorHAnsi" w:hAnsiTheme="minorHAnsi"/>
        </w:rPr>
      </w:pPr>
    </w:p>
    <w:p w:rsidR="006E026F" w:rsidRDefault="00751BF0" w:rsidP="00D92690">
      <w:pPr>
        <w:jc w:val="both"/>
        <w:rPr>
          <w:rFonts w:asciiTheme="minorHAnsi" w:hAnsiTheme="minorHAnsi"/>
        </w:rPr>
      </w:pPr>
      <w:r>
        <w:rPr>
          <w:rFonts w:asciiTheme="minorHAnsi" w:hAnsiTheme="minorHAnsi"/>
        </w:rPr>
        <w:t xml:space="preserve">The </w:t>
      </w:r>
      <w:r w:rsidR="00552289" w:rsidRPr="00D92690">
        <w:rPr>
          <w:rFonts w:asciiTheme="minorHAnsi" w:hAnsiTheme="minorHAnsi"/>
        </w:rPr>
        <w:t>Government</w:t>
      </w:r>
      <w:r w:rsidR="006E026F" w:rsidRPr="00D92690">
        <w:rPr>
          <w:rFonts w:asciiTheme="minorHAnsi" w:hAnsiTheme="minorHAnsi"/>
        </w:rPr>
        <w:t xml:space="preserve"> </w:t>
      </w:r>
      <w:r w:rsidR="002B54EF" w:rsidRPr="00D92690">
        <w:rPr>
          <w:rFonts w:asciiTheme="minorHAnsi" w:hAnsiTheme="minorHAnsi"/>
        </w:rPr>
        <w:t xml:space="preserve">should </w:t>
      </w:r>
      <w:r w:rsidR="006E026F" w:rsidRPr="00D92690">
        <w:rPr>
          <w:rFonts w:asciiTheme="minorHAnsi" w:hAnsiTheme="minorHAnsi"/>
        </w:rPr>
        <w:t xml:space="preserve">continue to fund the </w:t>
      </w:r>
      <w:r w:rsidR="00552289" w:rsidRPr="00D92690">
        <w:rPr>
          <w:rFonts w:asciiTheme="minorHAnsi" w:hAnsiTheme="minorHAnsi"/>
        </w:rPr>
        <w:t>Roads to Recovery program and the Black S</w:t>
      </w:r>
      <w:r w:rsidR="006E026F" w:rsidRPr="00D92690">
        <w:rPr>
          <w:rFonts w:asciiTheme="minorHAnsi" w:hAnsiTheme="minorHAnsi"/>
        </w:rPr>
        <w:t xml:space="preserve">pot program. </w:t>
      </w:r>
    </w:p>
    <w:p w:rsidR="00D92690" w:rsidRPr="00D92690" w:rsidRDefault="00D92690" w:rsidP="00D92690">
      <w:pPr>
        <w:jc w:val="both"/>
        <w:rPr>
          <w:rFonts w:asciiTheme="minorHAnsi" w:hAnsiTheme="minorHAnsi"/>
        </w:rPr>
      </w:pPr>
    </w:p>
    <w:p w:rsidR="008E4B38" w:rsidRPr="00D92690" w:rsidRDefault="008E4B38" w:rsidP="00D92690">
      <w:pPr>
        <w:pStyle w:val="ATAHeading2"/>
        <w:numPr>
          <w:ilvl w:val="2"/>
          <w:numId w:val="16"/>
        </w:numPr>
        <w:spacing w:before="0" w:after="0" w:line="240" w:lineRule="auto"/>
        <w:jc w:val="both"/>
        <w:rPr>
          <w:rFonts w:asciiTheme="minorHAnsi" w:hAnsiTheme="minorHAnsi"/>
          <w:sz w:val="24"/>
          <w:szCs w:val="22"/>
        </w:rPr>
      </w:pPr>
      <w:bookmarkStart w:id="11" w:name="_Toc378749510"/>
      <w:r w:rsidRPr="00D92690">
        <w:rPr>
          <w:rFonts w:asciiTheme="minorHAnsi" w:hAnsiTheme="minorHAnsi"/>
          <w:sz w:val="24"/>
          <w:szCs w:val="22"/>
        </w:rPr>
        <w:t>Establish a national public database of coronial recommendations about road safety</w:t>
      </w:r>
      <w:bookmarkEnd w:id="11"/>
    </w:p>
    <w:p w:rsidR="00D92690" w:rsidRDefault="00D92690" w:rsidP="00D92690">
      <w:pPr>
        <w:jc w:val="both"/>
        <w:rPr>
          <w:rFonts w:asciiTheme="minorHAnsi" w:hAnsiTheme="minorHAnsi"/>
          <w:lang w:val="en-US"/>
        </w:rPr>
      </w:pPr>
    </w:p>
    <w:p w:rsidR="008E4B38" w:rsidRDefault="00552289" w:rsidP="00D92690">
      <w:pPr>
        <w:jc w:val="both"/>
        <w:rPr>
          <w:rFonts w:asciiTheme="minorHAnsi" w:hAnsiTheme="minorHAnsi"/>
          <w:lang w:val="en-US"/>
        </w:rPr>
      </w:pPr>
      <w:r w:rsidRPr="00D92690">
        <w:rPr>
          <w:rFonts w:asciiTheme="minorHAnsi" w:hAnsiTheme="minorHAnsi"/>
          <w:lang w:val="en-US"/>
        </w:rPr>
        <w:t>The G</w:t>
      </w:r>
      <w:r w:rsidR="008E4B38" w:rsidRPr="00D92690">
        <w:rPr>
          <w:rFonts w:asciiTheme="minorHAnsi" w:hAnsiTheme="minorHAnsi"/>
          <w:lang w:val="en-US"/>
        </w:rPr>
        <w:t xml:space="preserve">overnment needs to establish a national public database of coronial recommendations about road </w:t>
      </w:r>
      <w:r w:rsidRPr="00D92690">
        <w:rPr>
          <w:rFonts w:asciiTheme="minorHAnsi" w:hAnsiTheme="minorHAnsi"/>
          <w:lang w:val="en-US"/>
        </w:rPr>
        <w:t xml:space="preserve">safety and accident occurrences, together with responses </w:t>
      </w:r>
      <w:r w:rsidR="008E4B38" w:rsidRPr="00D92690">
        <w:rPr>
          <w:rFonts w:asciiTheme="minorHAnsi" w:hAnsiTheme="minorHAnsi"/>
          <w:lang w:val="en-US"/>
        </w:rPr>
        <w:t xml:space="preserve">and updates about the recommendations that have not been followed up. The database would need to be accessible to everyone: safety investigators, the industry, the public and the media. This new system would not require governments and the industry to follow every coroner’s recommendation, but it would make sure these recommendations were seriously considered. </w:t>
      </w:r>
    </w:p>
    <w:p w:rsidR="00D92690" w:rsidRDefault="00D92690" w:rsidP="00D92690">
      <w:pPr>
        <w:jc w:val="both"/>
        <w:rPr>
          <w:rFonts w:asciiTheme="minorHAnsi" w:hAnsiTheme="minorHAnsi"/>
          <w:lang w:val="en-US"/>
        </w:rPr>
      </w:pPr>
    </w:p>
    <w:p w:rsidR="008E4B38" w:rsidRDefault="00D92690" w:rsidP="00D92690">
      <w:pPr>
        <w:jc w:val="both"/>
        <w:rPr>
          <w:rFonts w:asciiTheme="minorHAnsi" w:hAnsiTheme="minorHAnsi"/>
          <w:lang w:val="en-US"/>
        </w:rPr>
      </w:pPr>
      <w:r>
        <w:rPr>
          <w:rFonts w:asciiTheme="minorHAnsi" w:hAnsiTheme="minorHAnsi"/>
          <w:lang w:val="en-US"/>
        </w:rPr>
        <w:t xml:space="preserve">The most appropriate body to run this database, along with a database of serious heavy vehicle accidents would be the </w:t>
      </w:r>
      <w:r w:rsidR="008E4B38" w:rsidRPr="00D92690">
        <w:rPr>
          <w:rFonts w:asciiTheme="minorHAnsi" w:hAnsiTheme="minorHAnsi"/>
          <w:lang w:val="en-US"/>
        </w:rPr>
        <w:t>Australian Transport Safety Bureau (ATSB)</w:t>
      </w:r>
      <w:r w:rsidR="00751BF0">
        <w:rPr>
          <w:rFonts w:asciiTheme="minorHAnsi" w:hAnsiTheme="minorHAnsi"/>
          <w:lang w:val="en-US"/>
        </w:rPr>
        <w:t xml:space="preserve"> who </w:t>
      </w:r>
      <w:proofErr w:type="gramStart"/>
      <w:r w:rsidR="00751BF0">
        <w:rPr>
          <w:rFonts w:asciiTheme="minorHAnsi" w:hAnsiTheme="minorHAnsi"/>
          <w:lang w:val="en-US"/>
        </w:rPr>
        <w:t>investigate</w:t>
      </w:r>
      <w:proofErr w:type="gramEnd"/>
      <w:r w:rsidR="008E4B38" w:rsidRPr="00D92690">
        <w:rPr>
          <w:rFonts w:asciiTheme="minorHAnsi" w:hAnsiTheme="minorHAnsi"/>
          <w:lang w:val="en-US"/>
        </w:rPr>
        <w:t xml:space="preserve"> marine, rail and air accidents. </w:t>
      </w:r>
      <w:r w:rsidR="005E23F5">
        <w:rPr>
          <w:rFonts w:asciiTheme="minorHAnsi" w:hAnsiTheme="minorHAnsi"/>
          <w:lang w:val="en-US"/>
        </w:rPr>
        <w:t xml:space="preserve">The ATSB has the expertise and infrastructure to run these two databases to maximum effect and at minimum cost. </w:t>
      </w:r>
    </w:p>
    <w:p w:rsidR="005E23F5" w:rsidRDefault="005E23F5" w:rsidP="00D92690">
      <w:pPr>
        <w:jc w:val="both"/>
        <w:rPr>
          <w:rFonts w:asciiTheme="minorHAnsi" w:hAnsiTheme="minorHAnsi"/>
          <w:lang w:val="en-US"/>
        </w:rPr>
      </w:pPr>
    </w:p>
    <w:p w:rsidR="005E23F5" w:rsidRPr="00D92690" w:rsidRDefault="005E23F5" w:rsidP="00D92690">
      <w:pPr>
        <w:jc w:val="both"/>
        <w:rPr>
          <w:rFonts w:asciiTheme="minorHAnsi" w:hAnsiTheme="minorHAnsi"/>
          <w:lang w:val="en-US"/>
        </w:rPr>
      </w:pPr>
      <w:r>
        <w:rPr>
          <w:rFonts w:asciiTheme="minorHAnsi" w:hAnsiTheme="minorHAnsi"/>
          <w:lang w:val="en-US"/>
        </w:rPr>
        <w:t>The ATA considers that the ATSB should be tasked in the longer term with conducting no blame investigations of serious heavy vehicle</w:t>
      </w:r>
      <w:r w:rsidR="005E661C">
        <w:rPr>
          <w:rFonts w:asciiTheme="minorHAnsi" w:hAnsiTheme="minorHAnsi"/>
          <w:lang w:val="en-US"/>
        </w:rPr>
        <w:t xml:space="preserve"> accidents where safety lessons can be learn</w:t>
      </w:r>
      <w:r w:rsidR="003E4EFE">
        <w:rPr>
          <w:rFonts w:asciiTheme="minorHAnsi" w:hAnsiTheme="minorHAnsi"/>
          <w:lang w:val="en-US"/>
        </w:rPr>
        <w:t>ed</w:t>
      </w:r>
      <w:r w:rsidR="005E661C">
        <w:rPr>
          <w:rFonts w:asciiTheme="minorHAnsi" w:hAnsiTheme="minorHAnsi"/>
          <w:lang w:val="en-US"/>
        </w:rPr>
        <w:t xml:space="preserve">. </w:t>
      </w:r>
    </w:p>
    <w:p w:rsidR="007F4E1E" w:rsidRPr="00D92690" w:rsidRDefault="007F4E1E" w:rsidP="00D92690">
      <w:pPr>
        <w:jc w:val="both"/>
        <w:rPr>
          <w:rFonts w:asciiTheme="minorHAnsi" w:hAnsiTheme="minorHAnsi"/>
        </w:rPr>
      </w:pPr>
    </w:p>
    <w:p w:rsidR="00963D1D" w:rsidRPr="00D92690" w:rsidRDefault="00497CD2" w:rsidP="00D92690">
      <w:pPr>
        <w:jc w:val="both"/>
        <w:rPr>
          <w:rFonts w:asciiTheme="minorHAnsi" w:eastAsiaTheme="minorHAnsi" w:hAnsiTheme="minorHAnsi" w:cs="Arial"/>
          <w:b/>
        </w:rPr>
      </w:pPr>
      <w:r w:rsidRPr="00D92690">
        <w:rPr>
          <w:rFonts w:asciiTheme="minorHAnsi" w:eastAsiaTheme="minorHAnsi" w:hAnsiTheme="minorHAnsi" w:cs="Arial"/>
          <w:b/>
        </w:rPr>
        <w:t>ATA r</w:t>
      </w:r>
      <w:r w:rsidR="00963D1D" w:rsidRPr="00D92690">
        <w:rPr>
          <w:rFonts w:asciiTheme="minorHAnsi" w:eastAsiaTheme="minorHAnsi" w:hAnsiTheme="minorHAnsi" w:cs="Arial"/>
          <w:b/>
        </w:rPr>
        <w:t>ecommendation</w:t>
      </w:r>
      <w:r w:rsidR="0041272C" w:rsidRPr="00D92690">
        <w:rPr>
          <w:rFonts w:asciiTheme="minorHAnsi" w:eastAsiaTheme="minorHAnsi" w:hAnsiTheme="minorHAnsi" w:cs="Arial"/>
          <w:b/>
        </w:rPr>
        <w:t xml:space="preserve"> - D</w:t>
      </w:r>
      <w:r w:rsidR="00F04548" w:rsidRPr="00D92690">
        <w:rPr>
          <w:rFonts w:asciiTheme="minorHAnsi" w:eastAsiaTheme="minorHAnsi" w:hAnsiTheme="minorHAnsi" w:cs="Arial"/>
          <w:b/>
        </w:rPr>
        <w:t>atabase of coronial recommendations about road safety</w:t>
      </w:r>
    </w:p>
    <w:p w:rsidR="00963D1D" w:rsidRPr="00D92690" w:rsidRDefault="00963D1D" w:rsidP="00D92690">
      <w:pPr>
        <w:autoSpaceDE w:val="0"/>
        <w:autoSpaceDN w:val="0"/>
        <w:adjustRightInd w:val="0"/>
        <w:jc w:val="both"/>
        <w:rPr>
          <w:rFonts w:asciiTheme="minorHAnsi" w:hAnsiTheme="minorHAnsi" w:cs="Arial"/>
          <w:lang w:eastAsia="en-AU"/>
        </w:rPr>
      </w:pPr>
    </w:p>
    <w:p w:rsidR="000A2C1A" w:rsidRDefault="00D92690" w:rsidP="00D92690">
      <w:pPr>
        <w:contextualSpacing/>
        <w:jc w:val="both"/>
        <w:rPr>
          <w:rFonts w:asciiTheme="minorHAnsi" w:eastAsiaTheme="minorHAnsi" w:hAnsiTheme="minorHAnsi" w:cs="Arial"/>
        </w:rPr>
      </w:pPr>
      <w:r>
        <w:rPr>
          <w:rFonts w:asciiTheme="minorHAnsi" w:eastAsiaTheme="minorHAnsi" w:hAnsiTheme="minorHAnsi" w:cs="Arial"/>
        </w:rPr>
        <w:t>T</w:t>
      </w:r>
      <w:r w:rsidR="006E026F" w:rsidRPr="00D92690">
        <w:rPr>
          <w:rFonts w:asciiTheme="minorHAnsi" w:eastAsiaTheme="minorHAnsi" w:hAnsiTheme="minorHAnsi" w:cs="Arial"/>
        </w:rPr>
        <w:t xml:space="preserve">he </w:t>
      </w:r>
      <w:r w:rsidR="00FC027F" w:rsidRPr="00D92690">
        <w:rPr>
          <w:rFonts w:asciiTheme="minorHAnsi" w:eastAsiaTheme="minorHAnsi" w:hAnsiTheme="minorHAnsi" w:cs="Arial"/>
        </w:rPr>
        <w:t>Government</w:t>
      </w:r>
      <w:r w:rsidR="006E026F" w:rsidRPr="00D92690">
        <w:rPr>
          <w:rFonts w:asciiTheme="minorHAnsi" w:eastAsiaTheme="minorHAnsi" w:hAnsiTheme="minorHAnsi" w:cs="Arial"/>
        </w:rPr>
        <w:t xml:space="preserve"> </w:t>
      </w:r>
      <w:r>
        <w:rPr>
          <w:rFonts w:asciiTheme="minorHAnsi" w:eastAsiaTheme="minorHAnsi" w:hAnsiTheme="minorHAnsi" w:cs="Arial"/>
        </w:rPr>
        <w:t xml:space="preserve">should </w:t>
      </w:r>
      <w:r w:rsidR="00497CD2" w:rsidRPr="00D92690">
        <w:rPr>
          <w:rFonts w:asciiTheme="minorHAnsi" w:eastAsiaTheme="minorHAnsi" w:hAnsiTheme="minorHAnsi" w:cs="Arial"/>
        </w:rPr>
        <w:t>provide the ATSB with an extra $</w:t>
      </w:r>
      <w:r w:rsidR="0023094F">
        <w:rPr>
          <w:rFonts w:asciiTheme="minorHAnsi" w:eastAsiaTheme="minorHAnsi" w:hAnsiTheme="minorHAnsi" w:cs="Arial"/>
        </w:rPr>
        <w:t>4</w:t>
      </w:r>
      <w:r w:rsidR="00D6034D">
        <w:rPr>
          <w:rFonts w:asciiTheme="minorHAnsi" w:eastAsiaTheme="minorHAnsi" w:hAnsiTheme="minorHAnsi" w:cs="Arial"/>
        </w:rPr>
        <w:t>.3</w:t>
      </w:r>
      <w:r w:rsidR="00497CD2" w:rsidRPr="00D92690">
        <w:rPr>
          <w:rFonts w:asciiTheme="minorHAnsi" w:eastAsiaTheme="minorHAnsi" w:hAnsiTheme="minorHAnsi" w:cs="Arial"/>
        </w:rPr>
        <w:t xml:space="preserve"> million over four years to </w:t>
      </w:r>
      <w:r w:rsidR="00963D1D" w:rsidRPr="00D92690">
        <w:rPr>
          <w:rFonts w:asciiTheme="minorHAnsi" w:eastAsiaTheme="minorHAnsi" w:hAnsiTheme="minorHAnsi" w:cs="Arial"/>
        </w:rPr>
        <w:t>establish a national database of coronial recommendations about road safety</w:t>
      </w:r>
      <w:r w:rsidR="00497CD2" w:rsidRPr="00D92690">
        <w:rPr>
          <w:rFonts w:asciiTheme="minorHAnsi" w:eastAsiaTheme="minorHAnsi" w:hAnsiTheme="minorHAnsi" w:cs="Arial"/>
        </w:rPr>
        <w:t xml:space="preserve"> and a national database of serious heavy vehicle accidents. </w:t>
      </w:r>
    </w:p>
    <w:p w:rsidR="00D92690" w:rsidRPr="00D92690" w:rsidRDefault="00D92690" w:rsidP="00D92690">
      <w:pPr>
        <w:contextualSpacing/>
        <w:jc w:val="both"/>
        <w:rPr>
          <w:rFonts w:asciiTheme="minorHAnsi" w:hAnsiTheme="minorHAnsi"/>
        </w:rPr>
      </w:pPr>
    </w:p>
    <w:p w:rsidR="0052056E" w:rsidRPr="00D92690" w:rsidRDefault="00F56FD2" w:rsidP="00D92690">
      <w:pPr>
        <w:pStyle w:val="ATAHeading2"/>
        <w:spacing w:before="0" w:after="0" w:line="240" w:lineRule="auto"/>
        <w:ind w:left="851" w:hanging="851"/>
        <w:jc w:val="both"/>
        <w:rPr>
          <w:rFonts w:asciiTheme="minorHAnsi" w:hAnsiTheme="minorHAnsi"/>
          <w:sz w:val="28"/>
          <w:szCs w:val="22"/>
        </w:rPr>
      </w:pPr>
      <w:bookmarkStart w:id="12" w:name="_Toc378749511"/>
      <w:r w:rsidRPr="00D92690">
        <w:rPr>
          <w:rFonts w:asciiTheme="minorHAnsi" w:hAnsiTheme="minorHAnsi"/>
          <w:sz w:val="28"/>
          <w:szCs w:val="22"/>
        </w:rPr>
        <w:t>Heavy v</w:t>
      </w:r>
      <w:r w:rsidR="0052056E" w:rsidRPr="00D92690">
        <w:rPr>
          <w:rFonts w:asciiTheme="minorHAnsi" w:hAnsiTheme="minorHAnsi"/>
          <w:sz w:val="28"/>
          <w:szCs w:val="22"/>
        </w:rPr>
        <w:t>ehicle</w:t>
      </w:r>
      <w:r w:rsidR="00D70374" w:rsidRPr="00D92690">
        <w:rPr>
          <w:rFonts w:asciiTheme="minorHAnsi" w:hAnsiTheme="minorHAnsi"/>
          <w:sz w:val="28"/>
          <w:szCs w:val="22"/>
        </w:rPr>
        <w:t xml:space="preserve"> road charges</w:t>
      </w:r>
      <w:bookmarkEnd w:id="12"/>
      <w:r w:rsidR="00D70374" w:rsidRPr="00D92690">
        <w:rPr>
          <w:rFonts w:asciiTheme="minorHAnsi" w:hAnsiTheme="minorHAnsi"/>
          <w:sz w:val="28"/>
          <w:szCs w:val="22"/>
        </w:rPr>
        <w:t xml:space="preserve"> </w:t>
      </w:r>
    </w:p>
    <w:p w:rsidR="00D92690" w:rsidRPr="00D92690" w:rsidRDefault="00D92690" w:rsidP="00D92690">
      <w:pPr>
        <w:pStyle w:val="ATAHeading2"/>
        <w:numPr>
          <w:ilvl w:val="0"/>
          <w:numId w:val="0"/>
        </w:numPr>
        <w:spacing w:before="0" w:after="0" w:line="240" w:lineRule="auto"/>
        <w:ind w:left="851"/>
        <w:jc w:val="both"/>
        <w:rPr>
          <w:rFonts w:asciiTheme="minorHAnsi" w:hAnsiTheme="minorHAnsi"/>
          <w:sz w:val="22"/>
          <w:szCs w:val="22"/>
        </w:rPr>
      </w:pPr>
    </w:p>
    <w:p w:rsidR="00CD44A5" w:rsidRPr="00D92690" w:rsidRDefault="00CD44A5" w:rsidP="00D92690">
      <w:pPr>
        <w:pStyle w:val="ATAHeading2"/>
        <w:numPr>
          <w:ilvl w:val="2"/>
          <w:numId w:val="17"/>
        </w:numPr>
        <w:spacing w:before="0" w:after="0" w:line="240" w:lineRule="auto"/>
        <w:jc w:val="both"/>
        <w:rPr>
          <w:rFonts w:asciiTheme="minorHAnsi" w:hAnsiTheme="minorHAnsi"/>
          <w:sz w:val="24"/>
          <w:szCs w:val="22"/>
        </w:rPr>
      </w:pPr>
      <w:bookmarkStart w:id="13" w:name="_Toc378749512"/>
      <w:r w:rsidRPr="00D92690">
        <w:rPr>
          <w:rFonts w:asciiTheme="minorHAnsi" w:hAnsiTheme="minorHAnsi"/>
          <w:sz w:val="24"/>
          <w:szCs w:val="22"/>
        </w:rPr>
        <w:t>Fuel Tax Credits</w:t>
      </w:r>
      <w:bookmarkEnd w:id="13"/>
    </w:p>
    <w:p w:rsidR="00D92690" w:rsidRPr="00D92690" w:rsidRDefault="00D92690" w:rsidP="00D92690">
      <w:pPr>
        <w:pStyle w:val="ATAHeading2"/>
        <w:numPr>
          <w:ilvl w:val="0"/>
          <w:numId w:val="0"/>
        </w:numPr>
        <w:spacing w:before="0" w:after="0" w:line="240" w:lineRule="auto"/>
        <w:ind w:left="720"/>
        <w:jc w:val="both"/>
        <w:rPr>
          <w:rFonts w:asciiTheme="minorHAnsi" w:hAnsiTheme="minorHAnsi"/>
          <w:sz w:val="22"/>
          <w:szCs w:val="22"/>
        </w:rPr>
      </w:pPr>
    </w:p>
    <w:p w:rsidR="00CD44A5" w:rsidRDefault="00CD44A5"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heavy vehicle industry pays fuel excise of </w:t>
      </w:r>
      <w:r w:rsidR="00FC027F" w:rsidRPr="00D92690">
        <w:rPr>
          <w:rFonts w:asciiTheme="minorHAnsi" w:hAnsiTheme="minorHAnsi" w:cs="Arial"/>
          <w:iCs/>
          <w:sz w:val="22"/>
          <w:szCs w:val="22"/>
        </w:rPr>
        <w:t>38</w:t>
      </w:r>
      <w:r w:rsidR="00D92690">
        <w:rPr>
          <w:rFonts w:asciiTheme="minorHAnsi" w:hAnsiTheme="minorHAnsi" w:cs="Arial"/>
          <w:iCs/>
          <w:sz w:val="22"/>
          <w:szCs w:val="22"/>
        </w:rPr>
        <w:t>.143</w:t>
      </w:r>
      <w:r w:rsidRPr="00D92690">
        <w:rPr>
          <w:rFonts w:asciiTheme="minorHAnsi" w:hAnsiTheme="minorHAnsi" w:cs="Arial"/>
          <w:iCs/>
          <w:sz w:val="22"/>
          <w:szCs w:val="22"/>
        </w:rPr>
        <w:t xml:space="preserve"> cents per litre in line with all other road users. The industry is eligible to claim the </w:t>
      </w:r>
      <w:r w:rsidRPr="00D92690">
        <w:rPr>
          <w:rFonts w:asciiTheme="minorHAnsi" w:hAnsiTheme="minorHAnsi" w:cs="Arial"/>
          <w:i/>
          <w:iCs/>
          <w:sz w:val="22"/>
          <w:szCs w:val="22"/>
        </w:rPr>
        <w:t>fuel tax credit</w:t>
      </w:r>
      <w:r w:rsidRPr="00D92690">
        <w:rPr>
          <w:rFonts w:asciiTheme="minorHAnsi" w:hAnsiTheme="minorHAnsi" w:cs="Arial"/>
          <w:iCs/>
          <w:sz w:val="22"/>
          <w:szCs w:val="22"/>
        </w:rPr>
        <w:t xml:space="preserve"> which is covered under the </w:t>
      </w:r>
      <w:r w:rsidR="00FC027F" w:rsidRPr="00D92690">
        <w:rPr>
          <w:rFonts w:asciiTheme="minorHAnsi" w:hAnsiTheme="minorHAnsi" w:cs="Arial"/>
          <w:i/>
          <w:iCs/>
          <w:sz w:val="22"/>
          <w:szCs w:val="22"/>
        </w:rPr>
        <w:t>Fuel T</w:t>
      </w:r>
      <w:r w:rsidRPr="00D92690">
        <w:rPr>
          <w:rFonts w:asciiTheme="minorHAnsi" w:hAnsiTheme="minorHAnsi" w:cs="Arial"/>
          <w:i/>
          <w:iCs/>
          <w:sz w:val="22"/>
          <w:szCs w:val="22"/>
        </w:rPr>
        <w:t>ax Act 2006</w:t>
      </w:r>
      <w:r w:rsidRPr="00D92690">
        <w:rPr>
          <w:rFonts w:asciiTheme="minorHAnsi" w:hAnsiTheme="minorHAnsi" w:cs="Arial"/>
          <w:iCs/>
          <w:sz w:val="22"/>
          <w:szCs w:val="22"/>
        </w:rPr>
        <w:t xml:space="preserve"> designated to allow businesses to recover excise paid on diesel a</w:t>
      </w:r>
      <w:r w:rsidR="003D27E1">
        <w:rPr>
          <w:rFonts w:asciiTheme="minorHAnsi" w:hAnsiTheme="minorHAnsi" w:cs="Arial"/>
          <w:iCs/>
          <w:sz w:val="22"/>
          <w:szCs w:val="22"/>
        </w:rPr>
        <w:t>nd petrol that has been consumed</w:t>
      </w:r>
      <w:r w:rsidRPr="00D92690">
        <w:rPr>
          <w:rFonts w:asciiTheme="minorHAnsi" w:hAnsiTheme="minorHAnsi" w:cs="Arial"/>
          <w:iCs/>
          <w:sz w:val="22"/>
          <w:szCs w:val="22"/>
        </w:rPr>
        <w:t xml:space="preserve"> for the purposes of car</w:t>
      </w:r>
      <w:r w:rsidR="00100A35">
        <w:rPr>
          <w:rFonts w:asciiTheme="minorHAnsi" w:hAnsiTheme="minorHAnsi" w:cs="Arial"/>
          <w:iCs/>
          <w:sz w:val="22"/>
          <w:szCs w:val="22"/>
        </w:rPr>
        <w:t>rying</w:t>
      </w:r>
      <w:r w:rsidRPr="00D92690">
        <w:rPr>
          <w:rFonts w:asciiTheme="minorHAnsi" w:hAnsiTheme="minorHAnsi" w:cs="Arial"/>
          <w:iCs/>
          <w:sz w:val="22"/>
          <w:szCs w:val="22"/>
        </w:rPr>
        <w:t xml:space="preserve"> o</w:t>
      </w:r>
      <w:r w:rsidR="00100A35">
        <w:rPr>
          <w:rFonts w:asciiTheme="minorHAnsi" w:hAnsiTheme="minorHAnsi" w:cs="Arial"/>
          <w:iCs/>
          <w:sz w:val="22"/>
          <w:szCs w:val="22"/>
        </w:rPr>
        <w:t>ut</w:t>
      </w:r>
      <w:r w:rsidRPr="00D92690">
        <w:rPr>
          <w:rFonts w:asciiTheme="minorHAnsi" w:hAnsiTheme="minorHAnsi" w:cs="Arial"/>
          <w:iCs/>
          <w:sz w:val="22"/>
          <w:szCs w:val="22"/>
        </w:rPr>
        <w:t xml:space="preserve"> the activities of the business.  </w:t>
      </w:r>
    </w:p>
    <w:p w:rsidR="00D92690" w:rsidRPr="00D92690" w:rsidRDefault="00D92690" w:rsidP="00D92690">
      <w:pPr>
        <w:pStyle w:val="NormalWeb"/>
        <w:spacing w:before="0" w:beforeAutospacing="0" w:after="0" w:afterAutospacing="0"/>
        <w:jc w:val="both"/>
        <w:rPr>
          <w:rFonts w:asciiTheme="minorHAnsi" w:hAnsiTheme="minorHAnsi" w:cs="Arial"/>
          <w:iCs/>
          <w:sz w:val="22"/>
          <w:szCs w:val="22"/>
        </w:rPr>
      </w:pPr>
    </w:p>
    <w:p w:rsidR="00A21925" w:rsidRDefault="00932BAB"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The fuel tax credit supports Australian</w:t>
      </w:r>
      <w:r w:rsidR="003D27E1">
        <w:rPr>
          <w:rFonts w:asciiTheme="minorHAnsi" w:hAnsiTheme="minorHAnsi" w:cs="Arial"/>
          <w:iCs/>
          <w:sz w:val="22"/>
          <w:szCs w:val="22"/>
        </w:rPr>
        <w:t xml:space="preserve"> trucking companies and as the Fuel T</w:t>
      </w:r>
      <w:r w:rsidRPr="00D92690">
        <w:rPr>
          <w:rFonts w:asciiTheme="minorHAnsi" w:hAnsiTheme="minorHAnsi" w:cs="Arial"/>
          <w:iCs/>
          <w:sz w:val="22"/>
          <w:szCs w:val="22"/>
        </w:rPr>
        <w:t xml:space="preserve">ax Act recognises, the fuel is used for the purposes of carrying out business actives. The credit provided is no different to the GST exemption for business purchases/inputs that other businesses are eligible for. Without the fuel tax credit the industry would be paying the full price for a business input and would pass on the cost the community leading to </w:t>
      </w:r>
      <w:r w:rsidR="00552289" w:rsidRPr="00D92690">
        <w:rPr>
          <w:rFonts w:asciiTheme="minorHAnsi" w:hAnsiTheme="minorHAnsi" w:cs="Arial"/>
          <w:iCs/>
          <w:sz w:val="22"/>
          <w:szCs w:val="22"/>
        </w:rPr>
        <w:t>an</w:t>
      </w:r>
      <w:r w:rsidRPr="00D92690">
        <w:rPr>
          <w:rFonts w:asciiTheme="minorHAnsi" w:hAnsiTheme="minorHAnsi" w:cs="Arial"/>
          <w:iCs/>
          <w:sz w:val="22"/>
          <w:szCs w:val="22"/>
        </w:rPr>
        <w:t xml:space="preserve"> increase in the </w:t>
      </w:r>
      <w:r w:rsidR="00552289" w:rsidRPr="00D92690">
        <w:rPr>
          <w:rFonts w:asciiTheme="minorHAnsi" w:hAnsiTheme="minorHAnsi" w:cs="Arial"/>
          <w:iCs/>
          <w:sz w:val="22"/>
          <w:szCs w:val="22"/>
        </w:rPr>
        <w:t xml:space="preserve">price of freighted goods. </w:t>
      </w:r>
      <w:r w:rsidRPr="00D92690">
        <w:rPr>
          <w:rFonts w:asciiTheme="minorHAnsi" w:hAnsiTheme="minorHAnsi" w:cs="Arial"/>
          <w:iCs/>
          <w:sz w:val="22"/>
          <w:szCs w:val="22"/>
        </w:rPr>
        <w:t xml:space="preserve"> </w:t>
      </w:r>
    </w:p>
    <w:p w:rsidR="00CB4D57" w:rsidRPr="00D92690" w:rsidRDefault="00CB4D57" w:rsidP="00D92690">
      <w:pPr>
        <w:pStyle w:val="NormalWeb"/>
        <w:spacing w:before="0" w:beforeAutospacing="0" w:after="0" w:afterAutospacing="0"/>
        <w:jc w:val="both"/>
        <w:rPr>
          <w:rFonts w:asciiTheme="minorHAnsi" w:hAnsiTheme="minorHAnsi" w:cs="Arial"/>
          <w:iCs/>
          <w:sz w:val="22"/>
          <w:szCs w:val="22"/>
        </w:rPr>
      </w:pPr>
    </w:p>
    <w:p w:rsidR="00D92690" w:rsidRDefault="00D92690" w:rsidP="00D92690">
      <w:pPr>
        <w:jc w:val="both"/>
        <w:rPr>
          <w:rFonts w:asciiTheme="minorHAnsi" w:eastAsiaTheme="minorHAnsi" w:hAnsiTheme="minorHAnsi" w:cs="Arial"/>
          <w:b/>
        </w:rPr>
      </w:pPr>
      <w:bookmarkStart w:id="14" w:name="_Toc377118304"/>
      <w:bookmarkStart w:id="15" w:name="_Toc377461077"/>
    </w:p>
    <w:p w:rsidR="00CD44A5" w:rsidRPr="00D92690" w:rsidRDefault="007F2D2A" w:rsidP="00D92690">
      <w:pPr>
        <w:jc w:val="both"/>
        <w:rPr>
          <w:rFonts w:asciiTheme="minorHAnsi" w:eastAsiaTheme="minorHAnsi" w:hAnsiTheme="minorHAnsi" w:cs="Arial"/>
          <w:b/>
        </w:rPr>
      </w:pPr>
      <w:r w:rsidRPr="00D92690">
        <w:rPr>
          <w:rFonts w:asciiTheme="minorHAnsi" w:eastAsiaTheme="minorHAnsi" w:hAnsiTheme="minorHAnsi" w:cs="Arial"/>
          <w:b/>
        </w:rPr>
        <w:t xml:space="preserve">ATA </w:t>
      </w:r>
      <w:r w:rsidR="00497CD2" w:rsidRPr="00D92690">
        <w:rPr>
          <w:rFonts w:asciiTheme="minorHAnsi" w:eastAsiaTheme="minorHAnsi" w:hAnsiTheme="minorHAnsi" w:cs="Arial"/>
          <w:b/>
        </w:rPr>
        <w:t>r</w:t>
      </w:r>
      <w:r w:rsidR="00CD44A5" w:rsidRPr="00D92690">
        <w:rPr>
          <w:rFonts w:asciiTheme="minorHAnsi" w:eastAsiaTheme="minorHAnsi" w:hAnsiTheme="minorHAnsi" w:cs="Arial"/>
          <w:b/>
        </w:rPr>
        <w:t>ecommendation</w:t>
      </w:r>
      <w:bookmarkEnd w:id="14"/>
      <w:r w:rsidR="00CD44A5" w:rsidRPr="00D92690">
        <w:rPr>
          <w:rFonts w:asciiTheme="minorHAnsi" w:eastAsiaTheme="minorHAnsi" w:hAnsiTheme="minorHAnsi" w:cs="Arial"/>
          <w:b/>
        </w:rPr>
        <w:t xml:space="preserve"> </w:t>
      </w:r>
      <w:bookmarkEnd w:id="15"/>
      <w:r w:rsidR="00F04548" w:rsidRPr="00D92690">
        <w:rPr>
          <w:rFonts w:asciiTheme="minorHAnsi" w:eastAsiaTheme="minorHAnsi" w:hAnsiTheme="minorHAnsi" w:cs="Arial"/>
          <w:b/>
        </w:rPr>
        <w:t>–</w:t>
      </w:r>
      <w:r w:rsidR="0041272C" w:rsidRPr="00D92690">
        <w:rPr>
          <w:rFonts w:asciiTheme="minorHAnsi" w:eastAsiaTheme="minorHAnsi" w:hAnsiTheme="minorHAnsi" w:cs="Arial"/>
          <w:b/>
        </w:rPr>
        <w:t xml:space="preserve"> F</w:t>
      </w:r>
      <w:r w:rsidR="00F04548" w:rsidRPr="00D92690">
        <w:rPr>
          <w:rFonts w:asciiTheme="minorHAnsi" w:eastAsiaTheme="minorHAnsi" w:hAnsiTheme="minorHAnsi" w:cs="Arial"/>
          <w:b/>
        </w:rPr>
        <w:t>uel tax credits</w:t>
      </w:r>
    </w:p>
    <w:p w:rsidR="00CD44A5" w:rsidRPr="00D92690" w:rsidRDefault="00CD44A5" w:rsidP="00D92690">
      <w:pPr>
        <w:pStyle w:val="Heading1"/>
        <w:numPr>
          <w:ilvl w:val="0"/>
          <w:numId w:val="0"/>
        </w:numPr>
        <w:ind w:left="360" w:hanging="360"/>
        <w:jc w:val="both"/>
        <w:rPr>
          <w:rFonts w:asciiTheme="minorHAnsi" w:eastAsia="Times New Roman" w:hAnsiTheme="minorHAnsi"/>
          <w:b w:val="0"/>
          <w:iCs/>
          <w:color w:val="auto"/>
          <w:sz w:val="22"/>
          <w:szCs w:val="22"/>
          <w:lang w:eastAsia="en-AU"/>
        </w:rPr>
      </w:pPr>
    </w:p>
    <w:p w:rsidR="00CB4D57" w:rsidRPr="00CB4D57" w:rsidRDefault="00CD44A5" w:rsidP="00CB4D57">
      <w:pPr>
        <w:pStyle w:val="Heading1"/>
        <w:numPr>
          <w:ilvl w:val="0"/>
          <w:numId w:val="0"/>
        </w:numPr>
        <w:ind w:left="360" w:hanging="360"/>
        <w:jc w:val="both"/>
        <w:rPr>
          <w:rFonts w:asciiTheme="minorHAnsi" w:eastAsia="Times New Roman" w:hAnsiTheme="minorHAnsi"/>
          <w:b w:val="0"/>
          <w:iCs/>
          <w:color w:val="auto"/>
          <w:sz w:val="22"/>
          <w:szCs w:val="22"/>
          <w:lang w:eastAsia="en-AU"/>
        </w:rPr>
      </w:pPr>
      <w:bookmarkStart w:id="16" w:name="_Toc377118305"/>
      <w:bookmarkStart w:id="17" w:name="_Toc377461078"/>
      <w:bookmarkStart w:id="18" w:name="_Toc377728331"/>
      <w:bookmarkStart w:id="19" w:name="_Toc377734297"/>
      <w:bookmarkStart w:id="20" w:name="_Toc378235165"/>
      <w:bookmarkStart w:id="21" w:name="_Toc378326332"/>
      <w:bookmarkStart w:id="22" w:name="_Toc378338528"/>
      <w:bookmarkStart w:id="23" w:name="_Toc378749513"/>
      <w:r w:rsidRPr="00D92690">
        <w:rPr>
          <w:rFonts w:asciiTheme="minorHAnsi" w:eastAsia="Times New Roman" w:hAnsiTheme="minorHAnsi"/>
          <w:b w:val="0"/>
          <w:iCs/>
          <w:color w:val="auto"/>
          <w:sz w:val="22"/>
          <w:szCs w:val="22"/>
          <w:lang w:eastAsia="en-AU"/>
        </w:rPr>
        <w:t xml:space="preserve">The Government should retain the fuel tax credit </w:t>
      </w:r>
      <w:r w:rsidR="0023094F">
        <w:rPr>
          <w:rFonts w:asciiTheme="minorHAnsi" w:eastAsia="Times New Roman" w:hAnsiTheme="minorHAnsi"/>
          <w:b w:val="0"/>
          <w:iCs/>
          <w:color w:val="auto"/>
          <w:sz w:val="22"/>
          <w:szCs w:val="22"/>
          <w:lang w:eastAsia="en-AU"/>
        </w:rPr>
        <w:t xml:space="preserve">scheme </w:t>
      </w:r>
      <w:r w:rsidRPr="00D92690">
        <w:rPr>
          <w:rFonts w:asciiTheme="minorHAnsi" w:eastAsia="Times New Roman" w:hAnsiTheme="minorHAnsi"/>
          <w:b w:val="0"/>
          <w:iCs/>
          <w:color w:val="auto"/>
          <w:sz w:val="22"/>
          <w:szCs w:val="22"/>
          <w:lang w:eastAsia="en-AU"/>
        </w:rPr>
        <w:t>in the 2013-2014 Budget</w:t>
      </w:r>
      <w:bookmarkEnd w:id="16"/>
      <w:bookmarkEnd w:id="17"/>
      <w:bookmarkEnd w:id="18"/>
      <w:bookmarkEnd w:id="19"/>
      <w:bookmarkEnd w:id="20"/>
      <w:bookmarkEnd w:id="21"/>
      <w:r w:rsidR="00A21925" w:rsidRPr="00D92690">
        <w:rPr>
          <w:rFonts w:asciiTheme="minorHAnsi" w:eastAsia="Times New Roman" w:hAnsiTheme="minorHAnsi"/>
          <w:b w:val="0"/>
          <w:iCs/>
          <w:color w:val="auto"/>
          <w:sz w:val="22"/>
          <w:szCs w:val="22"/>
          <w:lang w:eastAsia="en-AU"/>
        </w:rPr>
        <w:t>.</w:t>
      </w:r>
      <w:bookmarkEnd w:id="22"/>
      <w:bookmarkEnd w:id="23"/>
      <w:r w:rsidRPr="00D92690">
        <w:rPr>
          <w:rFonts w:asciiTheme="minorHAnsi" w:eastAsia="Times New Roman" w:hAnsiTheme="minorHAnsi"/>
          <w:b w:val="0"/>
          <w:iCs/>
          <w:color w:val="auto"/>
          <w:sz w:val="22"/>
          <w:szCs w:val="22"/>
          <w:lang w:eastAsia="en-AU"/>
        </w:rPr>
        <w:t xml:space="preserve"> </w:t>
      </w:r>
    </w:p>
    <w:p w:rsidR="00D92690" w:rsidRPr="00D92690" w:rsidRDefault="00D92690" w:rsidP="00D92690">
      <w:pPr>
        <w:rPr>
          <w:lang w:eastAsia="en-AU"/>
        </w:rPr>
      </w:pPr>
    </w:p>
    <w:p w:rsidR="00414BFC" w:rsidRPr="00D92690" w:rsidRDefault="00CD44A5" w:rsidP="00D92690">
      <w:pPr>
        <w:pStyle w:val="ATAHeading2"/>
        <w:numPr>
          <w:ilvl w:val="2"/>
          <w:numId w:val="17"/>
        </w:numPr>
        <w:spacing w:before="0" w:after="0" w:line="240" w:lineRule="auto"/>
        <w:jc w:val="both"/>
        <w:rPr>
          <w:rFonts w:asciiTheme="minorHAnsi" w:hAnsiTheme="minorHAnsi"/>
          <w:sz w:val="22"/>
          <w:szCs w:val="22"/>
        </w:rPr>
      </w:pPr>
      <w:bookmarkStart w:id="24" w:name="_Toc378749514"/>
      <w:r w:rsidRPr="00D92690">
        <w:rPr>
          <w:rFonts w:asciiTheme="minorHAnsi" w:hAnsiTheme="minorHAnsi"/>
          <w:sz w:val="22"/>
          <w:szCs w:val="22"/>
        </w:rPr>
        <w:t>The NTC 2014 Heavy Vehicle Charges Determination</w:t>
      </w:r>
      <w:bookmarkEnd w:id="24"/>
      <w:r w:rsidRPr="00D92690">
        <w:rPr>
          <w:rFonts w:asciiTheme="minorHAnsi" w:hAnsiTheme="minorHAnsi"/>
          <w:sz w:val="22"/>
          <w:szCs w:val="22"/>
        </w:rPr>
        <w:t xml:space="preserve"> </w:t>
      </w:r>
    </w:p>
    <w:p w:rsidR="00414BFC" w:rsidRPr="00D92690" w:rsidRDefault="00414BFC" w:rsidP="00D92690">
      <w:pPr>
        <w:pStyle w:val="NormalWeb"/>
        <w:spacing w:before="0" w:beforeAutospacing="0" w:after="0" w:afterAutospacing="0"/>
        <w:jc w:val="both"/>
        <w:rPr>
          <w:rFonts w:asciiTheme="minorHAnsi" w:hAnsiTheme="minorHAnsi" w:cs="Arial"/>
          <w:iCs/>
          <w:sz w:val="22"/>
          <w:szCs w:val="22"/>
        </w:rPr>
      </w:pPr>
    </w:p>
    <w:p w:rsidR="00414BFC" w:rsidRPr="00D92690" w:rsidRDefault="00282EF9"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heavy vehicle charges model </w:t>
      </w:r>
      <w:r w:rsidR="00414BFC" w:rsidRPr="00D92690">
        <w:rPr>
          <w:rFonts w:asciiTheme="minorHAnsi" w:hAnsiTheme="minorHAnsi" w:cs="Arial"/>
          <w:iCs/>
          <w:sz w:val="22"/>
          <w:szCs w:val="22"/>
        </w:rPr>
        <w:t xml:space="preserve">(PayGo) </w:t>
      </w:r>
      <w:r w:rsidRPr="00D92690">
        <w:rPr>
          <w:rFonts w:asciiTheme="minorHAnsi" w:hAnsiTheme="minorHAnsi" w:cs="Arial"/>
          <w:iCs/>
          <w:sz w:val="22"/>
          <w:szCs w:val="22"/>
        </w:rPr>
        <w:t xml:space="preserve">has been overcharging the industry since 2007, due to </w:t>
      </w:r>
      <w:r w:rsidR="00414BFC" w:rsidRPr="00D92690">
        <w:rPr>
          <w:rFonts w:asciiTheme="minorHAnsi" w:hAnsiTheme="minorHAnsi" w:cs="Arial"/>
          <w:iCs/>
          <w:sz w:val="22"/>
          <w:szCs w:val="22"/>
        </w:rPr>
        <w:t xml:space="preserve">the fact </w:t>
      </w:r>
      <w:r w:rsidR="00751BF0">
        <w:rPr>
          <w:rFonts w:asciiTheme="minorHAnsi" w:hAnsiTheme="minorHAnsi" w:cs="Arial"/>
          <w:iCs/>
          <w:sz w:val="22"/>
          <w:szCs w:val="22"/>
        </w:rPr>
        <w:t>the 7 year averaging model uses the</w:t>
      </w:r>
      <w:r w:rsidR="00414BFC" w:rsidRPr="00D92690">
        <w:rPr>
          <w:rFonts w:asciiTheme="minorHAnsi" w:hAnsiTheme="minorHAnsi" w:cs="Arial"/>
          <w:iCs/>
          <w:sz w:val="22"/>
          <w:szCs w:val="22"/>
        </w:rPr>
        <w:t xml:space="preserve"> most up-to-date expenditure figures to be recovered</w:t>
      </w:r>
      <w:r w:rsidR="00751BF0">
        <w:rPr>
          <w:rFonts w:asciiTheme="minorHAnsi" w:hAnsiTheme="minorHAnsi" w:cs="Arial"/>
          <w:iCs/>
          <w:sz w:val="22"/>
          <w:szCs w:val="22"/>
        </w:rPr>
        <w:t>,</w:t>
      </w:r>
      <w:r w:rsidR="00414BFC" w:rsidRPr="00D92690">
        <w:rPr>
          <w:rFonts w:asciiTheme="minorHAnsi" w:hAnsiTheme="minorHAnsi" w:cs="Arial"/>
          <w:iCs/>
          <w:sz w:val="22"/>
          <w:szCs w:val="22"/>
        </w:rPr>
        <w:t xml:space="preserve"> </w:t>
      </w:r>
      <w:r w:rsidR="007C5879">
        <w:rPr>
          <w:rFonts w:asciiTheme="minorHAnsi" w:hAnsiTheme="minorHAnsi" w:cs="Arial"/>
          <w:iCs/>
          <w:sz w:val="22"/>
          <w:szCs w:val="22"/>
        </w:rPr>
        <w:t xml:space="preserve">but </w:t>
      </w:r>
      <w:r w:rsidR="00414BFC" w:rsidRPr="00D92690">
        <w:rPr>
          <w:rFonts w:asciiTheme="minorHAnsi" w:hAnsiTheme="minorHAnsi" w:cs="Arial"/>
          <w:iCs/>
          <w:sz w:val="22"/>
          <w:szCs w:val="22"/>
        </w:rPr>
        <w:t xml:space="preserve">uses a midpoint lagged heavy vehicle population. The result of this means the model underestimates the true heavy vehicle population and heavy vehicle charges are higher than they should be. </w:t>
      </w:r>
    </w:p>
    <w:p w:rsidR="00414BFC" w:rsidRPr="00D92690" w:rsidRDefault="00414BFC" w:rsidP="00D92690">
      <w:pPr>
        <w:pStyle w:val="NormalWeb"/>
        <w:spacing w:before="0" w:beforeAutospacing="0" w:after="0" w:afterAutospacing="0"/>
        <w:jc w:val="both"/>
        <w:rPr>
          <w:rFonts w:asciiTheme="minorHAnsi" w:hAnsiTheme="minorHAnsi" w:cs="Arial"/>
          <w:iCs/>
          <w:sz w:val="22"/>
          <w:szCs w:val="22"/>
        </w:rPr>
      </w:pPr>
    </w:p>
    <w:p w:rsidR="00282EF9" w:rsidRPr="00D92690" w:rsidRDefault="00414BFC"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The ATA has calc</w:t>
      </w:r>
      <w:r w:rsidR="00751BF0">
        <w:rPr>
          <w:rFonts w:asciiTheme="minorHAnsi" w:hAnsiTheme="minorHAnsi" w:cs="Arial"/>
          <w:iCs/>
          <w:sz w:val="22"/>
          <w:szCs w:val="22"/>
        </w:rPr>
        <w:t>ulated over-recovery for 2013-</w:t>
      </w:r>
      <w:r w:rsidRPr="00D92690">
        <w:rPr>
          <w:rFonts w:asciiTheme="minorHAnsi" w:hAnsiTheme="minorHAnsi" w:cs="Arial"/>
          <w:iCs/>
          <w:sz w:val="22"/>
          <w:szCs w:val="22"/>
        </w:rPr>
        <w:t>14 by comparing the PayGo cost</w:t>
      </w:r>
      <w:r w:rsidR="00751BF0">
        <w:rPr>
          <w:rFonts w:asciiTheme="minorHAnsi" w:hAnsiTheme="minorHAnsi" w:cs="Arial"/>
          <w:iCs/>
          <w:sz w:val="22"/>
          <w:szCs w:val="22"/>
        </w:rPr>
        <w:t xml:space="preserve"> base to be recovered in 2013-</w:t>
      </w:r>
      <w:r w:rsidRPr="00D92690">
        <w:rPr>
          <w:rFonts w:asciiTheme="minorHAnsi" w:hAnsiTheme="minorHAnsi" w:cs="Arial"/>
          <w:iCs/>
          <w:sz w:val="22"/>
          <w:szCs w:val="22"/>
        </w:rPr>
        <w:t>14 ($2.9 billion) with the estimated revenue taken in th</w:t>
      </w:r>
      <w:r w:rsidR="00751BF0">
        <w:rPr>
          <w:rFonts w:asciiTheme="minorHAnsi" w:hAnsiTheme="minorHAnsi" w:cs="Arial"/>
          <w:iCs/>
          <w:sz w:val="22"/>
          <w:szCs w:val="22"/>
        </w:rPr>
        <w:t>e 2013-</w:t>
      </w:r>
      <w:r w:rsidRPr="00D92690">
        <w:rPr>
          <w:rFonts w:asciiTheme="minorHAnsi" w:hAnsiTheme="minorHAnsi" w:cs="Arial"/>
          <w:iCs/>
          <w:sz w:val="22"/>
          <w:szCs w:val="22"/>
        </w:rPr>
        <w:t>14 period using actual heavy vehicle registration figures provided by states and territories from December 2011. Estimated rev</w:t>
      </w:r>
      <w:r w:rsidR="00751BF0">
        <w:rPr>
          <w:rFonts w:asciiTheme="minorHAnsi" w:hAnsiTheme="minorHAnsi" w:cs="Arial"/>
          <w:iCs/>
          <w:sz w:val="22"/>
          <w:szCs w:val="22"/>
        </w:rPr>
        <w:t>enue is calculated using 2013-</w:t>
      </w:r>
      <w:r w:rsidRPr="00D92690">
        <w:rPr>
          <w:rFonts w:asciiTheme="minorHAnsi" w:hAnsiTheme="minorHAnsi" w:cs="Arial"/>
          <w:iCs/>
          <w:sz w:val="22"/>
          <w:szCs w:val="22"/>
        </w:rPr>
        <w:t>14 heavy vehicle</w:t>
      </w:r>
      <w:r w:rsidR="00751BF0">
        <w:rPr>
          <w:rFonts w:asciiTheme="minorHAnsi" w:hAnsiTheme="minorHAnsi" w:cs="Arial"/>
          <w:iCs/>
          <w:sz w:val="22"/>
          <w:szCs w:val="22"/>
        </w:rPr>
        <w:t xml:space="preserve"> charges and the </w:t>
      </w:r>
      <w:r w:rsidR="007C5879">
        <w:rPr>
          <w:rFonts w:asciiTheme="minorHAnsi" w:hAnsiTheme="minorHAnsi" w:cs="Arial"/>
          <w:iCs/>
          <w:sz w:val="22"/>
          <w:szCs w:val="22"/>
        </w:rPr>
        <w:t>road user charge (</w:t>
      </w:r>
      <w:r w:rsidR="00751BF0">
        <w:rPr>
          <w:rFonts w:asciiTheme="minorHAnsi" w:hAnsiTheme="minorHAnsi" w:cs="Arial"/>
          <w:iCs/>
          <w:sz w:val="22"/>
          <w:szCs w:val="22"/>
        </w:rPr>
        <w:t>RUC</w:t>
      </w:r>
      <w:r w:rsidR="007C5879">
        <w:rPr>
          <w:rFonts w:asciiTheme="minorHAnsi" w:hAnsiTheme="minorHAnsi" w:cs="Arial"/>
          <w:iCs/>
          <w:sz w:val="22"/>
          <w:szCs w:val="22"/>
        </w:rPr>
        <w:t>)</w:t>
      </w:r>
      <w:r w:rsidR="00751BF0">
        <w:rPr>
          <w:rFonts w:asciiTheme="minorHAnsi" w:hAnsiTheme="minorHAnsi" w:cs="Arial"/>
          <w:iCs/>
          <w:sz w:val="22"/>
          <w:szCs w:val="22"/>
        </w:rPr>
        <w:t xml:space="preserve"> for 2013-</w:t>
      </w:r>
      <w:r w:rsidRPr="00D92690">
        <w:rPr>
          <w:rFonts w:asciiTheme="minorHAnsi" w:hAnsiTheme="minorHAnsi" w:cs="Arial"/>
          <w:iCs/>
          <w:sz w:val="22"/>
          <w:szCs w:val="22"/>
        </w:rPr>
        <w:t xml:space="preserve">14. In this calculation industry is projected to pay $3.7 billion, meaning an over-recovery of over $800 million. </w:t>
      </w:r>
      <w:r w:rsidRPr="00D92690">
        <w:rPr>
          <w:rFonts w:asciiTheme="minorHAnsi" w:hAnsiTheme="minorHAnsi" w:cs="Arial"/>
          <w:iCs/>
          <w:sz w:val="22"/>
          <w:szCs w:val="22"/>
          <w:vertAlign w:val="superscript"/>
        </w:rPr>
        <w:footnoteReference w:id="12"/>
      </w:r>
      <w:r w:rsidRPr="00D92690">
        <w:rPr>
          <w:rFonts w:asciiTheme="minorHAnsi" w:hAnsiTheme="minorHAnsi" w:cs="Arial"/>
          <w:iCs/>
          <w:sz w:val="22"/>
          <w:szCs w:val="22"/>
        </w:rPr>
        <w:t xml:space="preserve"> </w:t>
      </w:r>
    </w:p>
    <w:p w:rsidR="006E026F" w:rsidRPr="00D92690" w:rsidRDefault="006E026F" w:rsidP="00D92690">
      <w:pPr>
        <w:pStyle w:val="NormalWeb"/>
        <w:spacing w:before="0" w:beforeAutospacing="0" w:after="0" w:afterAutospacing="0"/>
        <w:jc w:val="both"/>
        <w:rPr>
          <w:rFonts w:asciiTheme="minorHAnsi" w:hAnsiTheme="minorHAnsi" w:cs="Arial"/>
          <w:iCs/>
          <w:sz w:val="22"/>
          <w:szCs w:val="22"/>
        </w:rPr>
      </w:pPr>
    </w:p>
    <w:p w:rsidR="006E026F" w:rsidRPr="00D92690" w:rsidRDefault="006E026F"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NTC draft RIS presents 3 options: </w:t>
      </w:r>
    </w:p>
    <w:p w:rsidR="00AE132C" w:rsidRPr="00D92690" w:rsidRDefault="00682B89" w:rsidP="00D92690">
      <w:pPr>
        <w:pStyle w:val="NormalWeb"/>
        <w:numPr>
          <w:ilvl w:val="0"/>
          <w:numId w:val="4"/>
        </w:numPr>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A</w:t>
      </w:r>
      <w:r w:rsidR="000D5E4E" w:rsidRPr="00D92690">
        <w:rPr>
          <w:rFonts w:asciiTheme="minorHAnsi" w:hAnsiTheme="minorHAnsi" w:cs="Arial"/>
          <w:iCs/>
          <w:sz w:val="22"/>
          <w:szCs w:val="22"/>
        </w:rPr>
        <w:t>: Updates</w:t>
      </w:r>
      <w:r w:rsidR="006E026F" w:rsidRPr="00D92690">
        <w:rPr>
          <w:rFonts w:asciiTheme="minorHAnsi" w:hAnsiTheme="minorHAnsi" w:cs="Arial"/>
          <w:iCs/>
          <w:sz w:val="22"/>
          <w:szCs w:val="22"/>
        </w:rPr>
        <w:t xml:space="preserve"> all the</w:t>
      </w:r>
      <w:r w:rsidR="00AE132C" w:rsidRPr="00D92690">
        <w:rPr>
          <w:rFonts w:asciiTheme="minorHAnsi" w:hAnsiTheme="minorHAnsi" w:cs="Arial"/>
          <w:iCs/>
          <w:sz w:val="22"/>
          <w:szCs w:val="22"/>
        </w:rPr>
        <w:t xml:space="preserve"> technical changes the NTC are recommending, including up to date expenditure and heavy vehicle population</w:t>
      </w:r>
      <w:r w:rsidRPr="00D92690">
        <w:rPr>
          <w:rFonts w:asciiTheme="minorHAnsi" w:hAnsiTheme="minorHAnsi" w:cs="Arial"/>
          <w:iCs/>
          <w:sz w:val="22"/>
          <w:szCs w:val="22"/>
        </w:rPr>
        <w:t xml:space="preserve"> figures. </w:t>
      </w:r>
      <w:r w:rsidR="00AE132C" w:rsidRPr="00D92690">
        <w:rPr>
          <w:rFonts w:asciiTheme="minorHAnsi" w:hAnsiTheme="minorHAnsi" w:cs="Arial"/>
          <w:iCs/>
          <w:sz w:val="22"/>
          <w:szCs w:val="22"/>
        </w:rPr>
        <w:t xml:space="preserve"> </w:t>
      </w:r>
      <w:r w:rsidRPr="00D92690">
        <w:rPr>
          <w:rFonts w:asciiTheme="minorHAnsi" w:hAnsiTheme="minorHAnsi" w:cs="Arial"/>
          <w:iCs/>
          <w:sz w:val="22"/>
          <w:szCs w:val="22"/>
        </w:rPr>
        <w:t>T</w:t>
      </w:r>
      <w:r w:rsidR="00532F0A" w:rsidRPr="00D92690">
        <w:rPr>
          <w:rFonts w:asciiTheme="minorHAnsi" w:hAnsiTheme="minorHAnsi" w:cs="Arial"/>
          <w:iCs/>
          <w:sz w:val="22"/>
          <w:szCs w:val="22"/>
        </w:rPr>
        <w:t>he</w:t>
      </w:r>
      <w:r w:rsidR="007C5879">
        <w:rPr>
          <w:rFonts w:asciiTheme="minorHAnsi" w:hAnsiTheme="minorHAnsi" w:cs="Arial"/>
          <w:iCs/>
          <w:sz w:val="22"/>
          <w:szCs w:val="22"/>
        </w:rPr>
        <w:t xml:space="preserve"> </w:t>
      </w:r>
      <w:r w:rsidR="00AE132C" w:rsidRPr="00D92690">
        <w:rPr>
          <w:rFonts w:asciiTheme="minorHAnsi" w:hAnsiTheme="minorHAnsi" w:cs="Arial"/>
          <w:iCs/>
          <w:sz w:val="22"/>
          <w:szCs w:val="22"/>
        </w:rPr>
        <w:t>RUC and registration</w:t>
      </w:r>
      <w:r w:rsidRPr="00D92690">
        <w:rPr>
          <w:rFonts w:asciiTheme="minorHAnsi" w:hAnsiTheme="minorHAnsi" w:cs="Arial"/>
          <w:iCs/>
          <w:sz w:val="22"/>
          <w:szCs w:val="22"/>
        </w:rPr>
        <w:t xml:space="preserve"> charge will keep the current split of 64% RUC and 36% registration. </w:t>
      </w:r>
    </w:p>
    <w:p w:rsidR="00AE132C" w:rsidRPr="00D92690" w:rsidRDefault="00682B89" w:rsidP="00D92690">
      <w:pPr>
        <w:pStyle w:val="NormalWeb"/>
        <w:numPr>
          <w:ilvl w:val="0"/>
          <w:numId w:val="4"/>
        </w:numPr>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B: Updates all the technical changes the NTC are recommending, including up to date expenditure and heavy vehicle population figures.  The RUC and registration charge component shares change, with 70% RUC and 30% registration. </w:t>
      </w:r>
    </w:p>
    <w:p w:rsidR="00282EF9" w:rsidRDefault="00682B89" w:rsidP="00D92690">
      <w:pPr>
        <w:pStyle w:val="NormalWeb"/>
        <w:numPr>
          <w:ilvl w:val="0"/>
          <w:numId w:val="4"/>
        </w:numPr>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C: Updates all the technical changes the NTC are recommending, including up to date expenditure and heavy vehicle population figures.  The RUC and registration charge component shares change, with 77% RUC and 23% registration.</w:t>
      </w:r>
    </w:p>
    <w:p w:rsidR="00D92690" w:rsidRPr="00D92690" w:rsidRDefault="00D92690" w:rsidP="00D92690">
      <w:pPr>
        <w:pStyle w:val="NormalWeb"/>
        <w:spacing w:before="0" w:beforeAutospacing="0" w:after="0" w:afterAutospacing="0"/>
        <w:ind w:left="360"/>
        <w:jc w:val="both"/>
        <w:rPr>
          <w:rFonts w:asciiTheme="minorHAnsi" w:hAnsiTheme="minorHAnsi" w:cs="Arial"/>
          <w:iCs/>
          <w:sz w:val="22"/>
          <w:szCs w:val="22"/>
        </w:rPr>
      </w:pPr>
    </w:p>
    <w:p w:rsidR="007F2D2A" w:rsidRDefault="00682B89"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ATA supports a higher proportion of truck charges being recovered through the RUC. Increasing the variable charge reduces the cash constraint that a large fixed registration charge presents. It also promotes paying for use, as fuel burn is a proxy for mass, distance and road condition. Fuel consumption increases with increased combination mass and distance travelled. </w:t>
      </w:r>
      <w:r w:rsidR="00CD44A5" w:rsidRPr="00D92690">
        <w:rPr>
          <w:rFonts w:asciiTheme="minorHAnsi" w:hAnsiTheme="minorHAnsi" w:cs="Arial"/>
          <w:iCs/>
          <w:sz w:val="22"/>
          <w:szCs w:val="22"/>
        </w:rPr>
        <w:t>Increasing the proportion of charges made by fuel also advances the energy efficiency agenda of the Government, as operators become more conscious of fuel usage. Operators have also stressed that a larger portion of charges being recovered through the use related RUC, rather than through a fixed</w:t>
      </w:r>
      <w:r w:rsidR="00D74FD2">
        <w:rPr>
          <w:rFonts w:asciiTheme="minorHAnsi" w:hAnsiTheme="minorHAnsi" w:cs="Arial"/>
          <w:iCs/>
          <w:sz w:val="22"/>
          <w:szCs w:val="22"/>
        </w:rPr>
        <w:t xml:space="preserve"> registration charge, makes it </w:t>
      </w:r>
      <w:r w:rsidR="00CD44A5" w:rsidRPr="00D92690">
        <w:rPr>
          <w:rFonts w:asciiTheme="minorHAnsi" w:hAnsiTheme="minorHAnsi" w:cs="Arial"/>
          <w:iCs/>
          <w:sz w:val="22"/>
          <w:szCs w:val="22"/>
        </w:rPr>
        <w:t>easier to recover their costs</w:t>
      </w:r>
      <w:r w:rsidR="00D92690">
        <w:rPr>
          <w:rFonts w:asciiTheme="minorHAnsi" w:hAnsiTheme="minorHAnsi" w:cs="Arial"/>
          <w:iCs/>
          <w:sz w:val="22"/>
          <w:szCs w:val="22"/>
        </w:rPr>
        <w:t>.</w:t>
      </w:r>
    </w:p>
    <w:p w:rsidR="00132E36" w:rsidRPr="00D92690" w:rsidRDefault="00132E36" w:rsidP="00D92690">
      <w:pPr>
        <w:pStyle w:val="NormalWeb"/>
        <w:spacing w:before="0" w:beforeAutospacing="0" w:after="0" w:afterAutospacing="0"/>
        <w:jc w:val="both"/>
        <w:rPr>
          <w:rFonts w:asciiTheme="minorHAnsi" w:hAnsiTheme="minorHAnsi" w:cs="Arial"/>
          <w:iCs/>
          <w:sz w:val="22"/>
          <w:szCs w:val="22"/>
        </w:rPr>
      </w:pPr>
    </w:p>
    <w:p w:rsidR="00CD44A5" w:rsidRPr="00D92690" w:rsidRDefault="00CD44A5"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NTC have provided a proposal for a three year transition to </w:t>
      </w:r>
      <w:r w:rsidR="00BE69AC">
        <w:rPr>
          <w:rFonts w:asciiTheme="minorHAnsi" w:hAnsiTheme="minorHAnsi" w:cs="Arial"/>
          <w:iCs/>
          <w:sz w:val="22"/>
          <w:szCs w:val="22"/>
        </w:rPr>
        <w:t xml:space="preserve">option </w:t>
      </w:r>
      <w:r w:rsidRPr="00D92690">
        <w:rPr>
          <w:rFonts w:asciiTheme="minorHAnsi" w:hAnsiTheme="minorHAnsi" w:cs="Arial"/>
          <w:iCs/>
          <w:sz w:val="22"/>
          <w:szCs w:val="22"/>
        </w:rPr>
        <w:t>A due to concerns some states and territories have over the need to revise revenue predictions. The NTC have estimated there will be $200 million over-recovered from the trucking industry if option A is not adopted</w:t>
      </w:r>
      <w:r w:rsidR="00060651" w:rsidRPr="00D92690">
        <w:rPr>
          <w:rFonts w:asciiTheme="minorHAnsi" w:hAnsiTheme="minorHAnsi" w:cs="Arial"/>
          <w:iCs/>
          <w:sz w:val="22"/>
          <w:szCs w:val="22"/>
        </w:rPr>
        <w:t xml:space="preserve"> in 2014</w:t>
      </w:r>
      <w:r w:rsidRPr="00D92690">
        <w:rPr>
          <w:rFonts w:asciiTheme="minorHAnsi" w:hAnsiTheme="minorHAnsi" w:cs="Arial"/>
          <w:iCs/>
          <w:sz w:val="22"/>
          <w:szCs w:val="22"/>
        </w:rPr>
        <w:t xml:space="preserve">, due to not updating the technical inputs to the model. The ATA finds the three year staged implementation unacceptable because there </w:t>
      </w:r>
      <w:r w:rsidR="001D64FE">
        <w:rPr>
          <w:rFonts w:asciiTheme="minorHAnsi" w:hAnsiTheme="minorHAnsi" w:cs="Arial"/>
          <w:iCs/>
          <w:sz w:val="22"/>
          <w:szCs w:val="22"/>
        </w:rPr>
        <w:t>are</w:t>
      </w:r>
      <w:r w:rsidRPr="00D92690">
        <w:rPr>
          <w:rFonts w:asciiTheme="minorHAnsi" w:hAnsiTheme="minorHAnsi" w:cs="Arial"/>
          <w:iCs/>
          <w:sz w:val="22"/>
          <w:szCs w:val="22"/>
        </w:rPr>
        <w:t xml:space="preserve"> no technical reasons </w:t>
      </w:r>
      <w:r w:rsidR="00BE69AC">
        <w:rPr>
          <w:rFonts w:asciiTheme="minorHAnsi" w:hAnsiTheme="minorHAnsi" w:cs="Arial"/>
          <w:iCs/>
          <w:sz w:val="22"/>
          <w:szCs w:val="22"/>
        </w:rPr>
        <w:t>not to move to option</w:t>
      </w:r>
      <w:r w:rsidRPr="00D92690">
        <w:rPr>
          <w:rFonts w:asciiTheme="minorHAnsi" w:hAnsiTheme="minorHAnsi" w:cs="Arial"/>
          <w:iCs/>
          <w:sz w:val="22"/>
          <w:szCs w:val="22"/>
        </w:rPr>
        <w:t xml:space="preserve"> </w:t>
      </w:r>
      <w:proofErr w:type="gramStart"/>
      <w:r w:rsidRPr="00D92690">
        <w:rPr>
          <w:rFonts w:asciiTheme="minorHAnsi" w:hAnsiTheme="minorHAnsi" w:cs="Arial"/>
          <w:iCs/>
          <w:sz w:val="22"/>
          <w:szCs w:val="22"/>
        </w:rPr>
        <w:t>A</w:t>
      </w:r>
      <w:proofErr w:type="gramEnd"/>
      <w:r w:rsidRPr="00D92690">
        <w:rPr>
          <w:rFonts w:asciiTheme="minorHAnsi" w:hAnsiTheme="minorHAnsi" w:cs="Arial"/>
          <w:iCs/>
          <w:sz w:val="22"/>
          <w:szCs w:val="22"/>
        </w:rPr>
        <w:t>, input</w:t>
      </w:r>
      <w:r w:rsidR="00BE69AC">
        <w:rPr>
          <w:rFonts w:asciiTheme="minorHAnsi" w:hAnsiTheme="minorHAnsi" w:cs="Arial"/>
          <w:iCs/>
          <w:sz w:val="22"/>
          <w:szCs w:val="22"/>
        </w:rPr>
        <w:t>s</w:t>
      </w:r>
      <w:r w:rsidRPr="00D92690">
        <w:rPr>
          <w:rFonts w:asciiTheme="minorHAnsi" w:hAnsiTheme="minorHAnsi" w:cs="Arial"/>
          <w:iCs/>
          <w:sz w:val="22"/>
          <w:szCs w:val="22"/>
        </w:rPr>
        <w:t xml:space="preserve"> simply nee</w:t>
      </w:r>
      <w:r w:rsidR="00BE69AC">
        <w:rPr>
          <w:rFonts w:asciiTheme="minorHAnsi" w:hAnsiTheme="minorHAnsi" w:cs="Arial"/>
          <w:iCs/>
          <w:sz w:val="22"/>
          <w:szCs w:val="22"/>
        </w:rPr>
        <w:t>d to be updated. W</w:t>
      </w:r>
      <w:r w:rsidRPr="00D92690">
        <w:rPr>
          <w:rFonts w:asciiTheme="minorHAnsi" w:hAnsiTheme="minorHAnsi" w:cs="Arial"/>
          <w:iCs/>
          <w:sz w:val="22"/>
          <w:szCs w:val="22"/>
        </w:rPr>
        <w:t xml:space="preserve">hile $200 million shared between all states and the commonwealth is </w:t>
      </w:r>
      <w:r w:rsidR="00BE69AC">
        <w:rPr>
          <w:rFonts w:asciiTheme="minorHAnsi" w:hAnsiTheme="minorHAnsi" w:cs="Arial"/>
          <w:iCs/>
          <w:sz w:val="22"/>
          <w:szCs w:val="22"/>
        </w:rPr>
        <w:t xml:space="preserve">a </w:t>
      </w:r>
      <w:r w:rsidRPr="00D92690">
        <w:rPr>
          <w:rFonts w:asciiTheme="minorHAnsi" w:hAnsiTheme="minorHAnsi" w:cs="Arial"/>
          <w:iCs/>
          <w:sz w:val="22"/>
          <w:szCs w:val="22"/>
        </w:rPr>
        <w:t>relatively small dip in revenue it would be a large inefficient tax that the industry should not be paying for.</w:t>
      </w:r>
    </w:p>
    <w:p w:rsidR="005C4492" w:rsidRPr="00D92690" w:rsidRDefault="005C4492" w:rsidP="00D92690">
      <w:pPr>
        <w:pStyle w:val="NormalWeb"/>
        <w:spacing w:before="0" w:beforeAutospacing="0" w:after="0" w:afterAutospacing="0"/>
        <w:jc w:val="both"/>
        <w:rPr>
          <w:rFonts w:asciiTheme="minorHAnsi" w:hAnsiTheme="minorHAnsi" w:cs="Arial"/>
          <w:iCs/>
          <w:sz w:val="22"/>
          <w:szCs w:val="22"/>
        </w:rPr>
      </w:pPr>
    </w:p>
    <w:p w:rsidR="00414BFC" w:rsidRPr="00D92690" w:rsidRDefault="00282EF9"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ATA </w:t>
      </w:r>
      <w:r w:rsidR="00CD44A5" w:rsidRPr="00D92690">
        <w:rPr>
          <w:rFonts w:asciiTheme="minorHAnsi" w:hAnsiTheme="minorHAnsi" w:cs="Arial"/>
          <w:iCs/>
          <w:sz w:val="22"/>
          <w:szCs w:val="22"/>
        </w:rPr>
        <w:t xml:space="preserve">provided three </w:t>
      </w:r>
      <w:r w:rsidR="00965069" w:rsidRPr="00D92690">
        <w:rPr>
          <w:rFonts w:asciiTheme="minorHAnsi" w:hAnsiTheme="minorHAnsi" w:cs="Arial"/>
          <w:iCs/>
          <w:sz w:val="22"/>
          <w:szCs w:val="22"/>
        </w:rPr>
        <w:t>recommendations</w:t>
      </w:r>
      <w:r w:rsidR="00CD44A5" w:rsidRPr="00D92690">
        <w:rPr>
          <w:rFonts w:asciiTheme="minorHAnsi" w:hAnsiTheme="minorHAnsi" w:cs="Arial"/>
          <w:iCs/>
          <w:sz w:val="22"/>
          <w:szCs w:val="22"/>
        </w:rPr>
        <w:t xml:space="preserve"> to the NTC</w:t>
      </w:r>
      <w:r w:rsidRPr="00D92690">
        <w:rPr>
          <w:rFonts w:asciiTheme="minorHAnsi" w:hAnsiTheme="minorHAnsi" w:cs="Arial"/>
          <w:iCs/>
          <w:sz w:val="22"/>
          <w:szCs w:val="22"/>
        </w:rPr>
        <w:t xml:space="preserve">: </w:t>
      </w:r>
      <w:r w:rsidRPr="00D92690">
        <w:rPr>
          <w:rFonts w:asciiTheme="minorHAnsi" w:hAnsiTheme="minorHAnsi" w:cs="Arial"/>
          <w:iCs/>
          <w:sz w:val="22"/>
          <w:szCs w:val="22"/>
        </w:rPr>
        <w:tab/>
      </w:r>
    </w:p>
    <w:p w:rsidR="006E026F" w:rsidRPr="00D92690" w:rsidRDefault="006E026F" w:rsidP="00D92690">
      <w:pPr>
        <w:autoSpaceDE w:val="0"/>
        <w:autoSpaceDN w:val="0"/>
        <w:adjustRightInd w:val="0"/>
        <w:jc w:val="both"/>
        <w:rPr>
          <w:rFonts w:asciiTheme="minorHAnsi" w:hAnsiTheme="minorHAnsi" w:cs="Arial"/>
          <w:b/>
          <w:highlight w:val="white"/>
          <w:lang w:eastAsia="en-AU"/>
        </w:rPr>
      </w:pPr>
    </w:p>
    <w:p w:rsidR="006E026F" w:rsidRPr="00D92690" w:rsidRDefault="006E026F" w:rsidP="00D92690">
      <w:pPr>
        <w:pStyle w:val="ListParagraph"/>
        <w:numPr>
          <w:ilvl w:val="0"/>
          <w:numId w:val="4"/>
        </w:numPr>
        <w:autoSpaceDE w:val="0"/>
        <w:autoSpaceDN w:val="0"/>
        <w:adjustRightInd w:val="0"/>
        <w:spacing w:after="0" w:line="240" w:lineRule="auto"/>
        <w:jc w:val="both"/>
        <w:rPr>
          <w:rFonts w:asciiTheme="minorHAnsi" w:hAnsiTheme="minorHAnsi" w:cs="Arial"/>
          <w:highlight w:val="white"/>
          <w:lang w:eastAsia="en-AU"/>
        </w:rPr>
      </w:pPr>
      <w:r w:rsidRPr="00D92690">
        <w:rPr>
          <w:rFonts w:asciiTheme="minorHAnsi" w:hAnsiTheme="minorHAnsi" w:cs="Arial"/>
          <w:highlight w:val="white"/>
          <w:lang w:eastAsia="en-AU"/>
        </w:rPr>
        <w:t>The ATA recommends all the NTC proposed technical updates to the PayGo model, except the NHVR funding allocation methodology, be implemented by 1 July 2014, given industry feedback on the assumptions behind the proposed weightings of the allocation.</w:t>
      </w:r>
    </w:p>
    <w:p w:rsidR="006E026F" w:rsidRPr="00D92690" w:rsidRDefault="006E026F" w:rsidP="00D92690">
      <w:pPr>
        <w:pStyle w:val="ListParagraph"/>
        <w:autoSpaceDE w:val="0"/>
        <w:autoSpaceDN w:val="0"/>
        <w:adjustRightInd w:val="0"/>
        <w:spacing w:after="0" w:line="240" w:lineRule="auto"/>
        <w:jc w:val="both"/>
        <w:rPr>
          <w:rFonts w:asciiTheme="minorHAnsi" w:hAnsiTheme="minorHAnsi" w:cs="Arial"/>
          <w:highlight w:val="white"/>
          <w:lang w:eastAsia="en-AU"/>
        </w:rPr>
      </w:pPr>
    </w:p>
    <w:p w:rsidR="006E026F" w:rsidRPr="00D92690" w:rsidRDefault="006E026F" w:rsidP="00D92690">
      <w:pPr>
        <w:pStyle w:val="ListParagraph"/>
        <w:numPr>
          <w:ilvl w:val="0"/>
          <w:numId w:val="4"/>
        </w:numPr>
        <w:autoSpaceDE w:val="0"/>
        <w:autoSpaceDN w:val="0"/>
        <w:adjustRightInd w:val="0"/>
        <w:spacing w:after="0" w:line="240" w:lineRule="auto"/>
        <w:jc w:val="both"/>
        <w:rPr>
          <w:rFonts w:asciiTheme="minorHAnsi" w:hAnsiTheme="minorHAnsi" w:cs="Arial"/>
          <w:highlight w:val="white"/>
          <w:lang w:eastAsia="en-AU"/>
        </w:rPr>
      </w:pPr>
      <w:r w:rsidRPr="00D92690">
        <w:rPr>
          <w:rFonts w:asciiTheme="minorHAnsi" w:hAnsiTheme="minorHAnsi" w:cs="Arial"/>
          <w:highlight w:val="white"/>
          <w:lang w:eastAsia="en-AU"/>
        </w:rPr>
        <w:t xml:space="preserve">The ATA rejects the NTC proposal for a three year staged implementation to option A, given the $200 million over-recovery it will cause. </w:t>
      </w:r>
    </w:p>
    <w:p w:rsidR="006E026F" w:rsidRPr="00D92690" w:rsidRDefault="006E026F" w:rsidP="00D92690">
      <w:pPr>
        <w:pStyle w:val="ListParagraph"/>
        <w:autoSpaceDE w:val="0"/>
        <w:autoSpaceDN w:val="0"/>
        <w:adjustRightInd w:val="0"/>
        <w:spacing w:after="0" w:line="240" w:lineRule="auto"/>
        <w:jc w:val="both"/>
        <w:rPr>
          <w:rFonts w:asciiTheme="minorHAnsi" w:hAnsiTheme="minorHAnsi" w:cs="Arial"/>
          <w:b/>
          <w:highlight w:val="white"/>
          <w:lang w:eastAsia="en-AU"/>
        </w:rPr>
      </w:pPr>
    </w:p>
    <w:p w:rsidR="006E026F" w:rsidRDefault="006E026F" w:rsidP="00D92690">
      <w:pPr>
        <w:pStyle w:val="ListParagraph"/>
        <w:numPr>
          <w:ilvl w:val="0"/>
          <w:numId w:val="4"/>
        </w:numPr>
        <w:autoSpaceDE w:val="0"/>
        <w:autoSpaceDN w:val="0"/>
        <w:adjustRightInd w:val="0"/>
        <w:spacing w:after="0" w:line="240" w:lineRule="auto"/>
        <w:jc w:val="both"/>
        <w:rPr>
          <w:rFonts w:asciiTheme="minorHAnsi" w:hAnsiTheme="minorHAnsi" w:cs="Arial"/>
          <w:highlight w:val="white"/>
          <w:lang w:eastAsia="en-AU"/>
        </w:rPr>
      </w:pPr>
      <w:r w:rsidRPr="00D92690">
        <w:rPr>
          <w:rFonts w:asciiTheme="minorHAnsi" w:hAnsiTheme="minorHAnsi" w:cs="Arial"/>
          <w:highlight w:val="white"/>
          <w:lang w:eastAsia="en-AU"/>
        </w:rPr>
        <w:t xml:space="preserve">The ATA recommends option A be implemented  by 1 July 2014, moving to Option B on 1 July 2015 given government timeframes for implementing the road user charge revenue redistribution necessary with option B.   </w:t>
      </w:r>
    </w:p>
    <w:p w:rsidR="00D92690" w:rsidRPr="00D92690" w:rsidRDefault="00D92690" w:rsidP="00D92690">
      <w:pPr>
        <w:autoSpaceDE w:val="0"/>
        <w:autoSpaceDN w:val="0"/>
        <w:adjustRightInd w:val="0"/>
        <w:jc w:val="both"/>
        <w:rPr>
          <w:rFonts w:asciiTheme="minorHAnsi" w:hAnsiTheme="minorHAnsi" w:cs="Arial"/>
          <w:highlight w:val="white"/>
          <w:lang w:eastAsia="en-AU"/>
        </w:rPr>
      </w:pPr>
    </w:p>
    <w:p w:rsidR="00282EF9" w:rsidRPr="00D92690" w:rsidRDefault="00060651"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While</w:t>
      </w:r>
      <w:r w:rsidR="001D64FE">
        <w:rPr>
          <w:rFonts w:asciiTheme="minorHAnsi" w:hAnsiTheme="minorHAnsi" w:cs="Arial"/>
          <w:iCs/>
          <w:sz w:val="22"/>
          <w:szCs w:val="22"/>
        </w:rPr>
        <w:t xml:space="preserve"> </w:t>
      </w:r>
      <w:r w:rsidR="00CD44A5" w:rsidRPr="00D92690">
        <w:rPr>
          <w:rFonts w:asciiTheme="minorHAnsi" w:hAnsiTheme="minorHAnsi" w:cs="Arial"/>
          <w:iCs/>
          <w:sz w:val="22"/>
          <w:szCs w:val="22"/>
        </w:rPr>
        <w:t xml:space="preserve">removing the $200 million over-recovery </w:t>
      </w:r>
      <w:r w:rsidRPr="00D92690">
        <w:rPr>
          <w:rFonts w:asciiTheme="minorHAnsi" w:hAnsiTheme="minorHAnsi" w:cs="Arial"/>
          <w:iCs/>
          <w:sz w:val="22"/>
          <w:szCs w:val="22"/>
        </w:rPr>
        <w:t>from industry will have an</w:t>
      </w:r>
      <w:r w:rsidR="00B82008">
        <w:rPr>
          <w:rFonts w:asciiTheme="minorHAnsi" w:hAnsiTheme="minorHAnsi" w:cs="Arial"/>
          <w:iCs/>
          <w:sz w:val="22"/>
          <w:szCs w:val="22"/>
        </w:rPr>
        <w:t xml:space="preserve"> impact</w:t>
      </w:r>
      <w:r w:rsidRPr="00D92690">
        <w:rPr>
          <w:rFonts w:asciiTheme="minorHAnsi" w:hAnsiTheme="minorHAnsi" w:cs="Arial"/>
          <w:iCs/>
          <w:sz w:val="22"/>
          <w:szCs w:val="22"/>
        </w:rPr>
        <w:t xml:space="preserve"> on </w:t>
      </w:r>
      <w:r w:rsidR="00B82008">
        <w:rPr>
          <w:rFonts w:asciiTheme="minorHAnsi" w:hAnsiTheme="minorHAnsi" w:cs="Arial"/>
          <w:iCs/>
          <w:sz w:val="22"/>
          <w:szCs w:val="22"/>
        </w:rPr>
        <w:t xml:space="preserve">projected </w:t>
      </w:r>
      <w:r w:rsidRPr="00D92690">
        <w:rPr>
          <w:rFonts w:asciiTheme="minorHAnsi" w:hAnsiTheme="minorHAnsi" w:cs="Arial"/>
          <w:iCs/>
          <w:sz w:val="22"/>
          <w:szCs w:val="22"/>
        </w:rPr>
        <w:t xml:space="preserve">government revenue, it needs to </w:t>
      </w:r>
      <w:r w:rsidR="00B82008" w:rsidRPr="00D92690">
        <w:rPr>
          <w:rFonts w:asciiTheme="minorHAnsi" w:hAnsiTheme="minorHAnsi" w:cs="Arial"/>
          <w:iCs/>
          <w:sz w:val="22"/>
          <w:szCs w:val="22"/>
        </w:rPr>
        <w:t>balance</w:t>
      </w:r>
      <w:r w:rsidRPr="00D92690">
        <w:rPr>
          <w:rFonts w:asciiTheme="minorHAnsi" w:hAnsiTheme="minorHAnsi" w:cs="Arial"/>
          <w:iCs/>
          <w:sz w:val="22"/>
          <w:szCs w:val="22"/>
        </w:rPr>
        <w:t xml:space="preserve"> against the fact that it will result in lower freight movement costs and this will have flow on </w:t>
      </w:r>
      <w:r w:rsidR="00B82008">
        <w:rPr>
          <w:rFonts w:asciiTheme="minorHAnsi" w:hAnsiTheme="minorHAnsi" w:cs="Arial"/>
          <w:iCs/>
          <w:sz w:val="22"/>
          <w:szCs w:val="22"/>
        </w:rPr>
        <w:t>e</w:t>
      </w:r>
      <w:r w:rsidR="00B82008" w:rsidRPr="00D92690">
        <w:rPr>
          <w:rFonts w:asciiTheme="minorHAnsi" w:hAnsiTheme="minorHAnsi" w:cs="Arial"/>
          <w:iCs/>
          <w:sz w:val="22"/>
          <w:szCs w:val="22"/>
        </w:rPr>
        <w:t>ffect</w:t>
      </w:r>
      <w:r w:rsidRPr="00D92690">
        <w:rPr>
          <w:rFonts w:asciiTheme="minorHAnsi" w:hAnsiTheme="minorHAnsi" w:cs="Arial"/>
          <w:iCs/>
          <w:sz w:val="22"/>
          <w:szCs w:val="22"/>
        </w:rPr>
        <w:t xml:space="preserve"> to the price of consumer goods.  Adopting </w:t>
      </w:r>
      <w:r w:rsidR="00215F0D">
        <w:rPr>
          <w:rFonts w:asciiTheme="minorHAnsi" w:hAnsiTheme="minorHAnsi" w:cs="Arial"/>
          <w:iCs/>
          <w:sz w:val="22"/>
          <w:szCs w:val="22"/>
        </w:rPr>
        <w:t xml:space="preserve">option </w:t>
      </w:r>
      <w:proofErr w:type="gramStart"/>
      <w:r w:rsidRPr="00D92690">
        <w:rPr>
          <w:rFonts w:asciiTheme="minorHAnsi" w:hAnsiTheme="minorHAnsi" w:cs="Arial"/>
          <w:iCs/>
          <w:sz w:val="22"/>
          <w:szCs w:val="22"/>
        </w:rPr>
        <w:t>A</w:t>
      </w:r>
      <w:proofErr w:type="gramEnd"/>
      <w:r w:rsidRPr="00D92690">
        <w:rPr>
          <w:rFonts w:asciiTheme="minorHAnsi" w:hAnsiTheme="minorHAnsi" w:cs="Arial"/>
          <w:iCs/>
          <w:sz w:val="22"/>
          <w:szCs w:val="22"/>
        </w:rPr>
        <w:t xml:space="preserve"> in 2014 will also increase the competitiveness of Australia’s exports. </w:t>
      </w:r>
    </w:p>
    <w:p w:rsidR="00060651" w:rsidRPr="00D92690" w:rsidRDefault="00060651" w:rsidP="00D92690">
      <w:pPr>
        <w:pStyle w:val="NormalWeb"/>
        <w:spacing w:before="0" w:beforeAutospacing="0" w:after="0" w:afterAutospacing="0"/>
        <w:jc w:val="both"/>
        <w:rPr>
          <w:rFonts w:asciiTheme="minorHAnsi" w:hAnsiTheme="minorHAnsi" w:cs="Arial"/>
          <w:iCs/>
          <w:sz w:val="22"/>
          <w:szCs w:val="22"/>
        </w:rPr>
      </w:pPr>
    </w:p>
    <w:p w:rsidR="00060651" w:rsidRPr="00D92690" w:rsidRDefault="00060651" w:rsidP="00D92690">
      <w:pPr>
        <w:jc w:val="both"/>
        <w:rPr>
          <w:rFonts w:asciiTheme="minorHAnsi" w:eastAsiaTheme="minorHAnsi" w:hAnsiTheme="minorHAnsi" w:cs="Arial"/>
          <w:b/>
        </w:rPr>
      </w:pPr>
      <w:r w:rsidRPr="00D92690">
        <w:rPr>
          <w:rFonts w:asciiTheme="minorHAnsi" w:eastAsiaTheme="minorHAnsi" w:hAnsiTheme="minorHAnsi" w:cs="Arial"/>
          <w:b/>
        </w:rPr>
        <w:t>ATA recommendation</w:t>
      </w:r>
      <w:r w:rsidR="00F04548" w:rsidRPr="00D92690">
        <w:rPr>
          <w:rFonts w:asciiTheme="minorHAnsi" w:eastAsiaTheme="minorHAnsi" w:hAnsiTheme="minorHAnsi" w:cs="Arial"/>
          <w:b/>
        </w:rPr>
        <w:t xml:space="preserve"> – NTC 2014 Heavy Vehicle Charges Determination</w:t>
      </w:r>
    </w:p>
    <w:p w:rsidR="00060651" w:rsidRPr="00D92690" w:rsidRDefault="00060651" w:rsidP="00D92690">
      <w:pPr>
        <w:pStyle w:val="NormalWeb"/>
        <w:spacing w:before="0" w:beforeAutospacing="0" w:after="0" w:afterAutospacing="0"/>
        <w:jc w:val="both"/>
        <w:rPr>
          <w:rFonts w:asciiTheme="minorHAnsi" w:hAnsiTheme="minorHAnsi" w:cs="Arial"/>
          <w:iCs/>
          <w:color w:val="FF0000"/>
          <w:sz w:val="22"/>
          <w:szCs w:val="22"/>
        </w:rPr>
      </w:pPr>
    </w:p>
    <w:p w:rsidR="00CD44A5" w:rsidRDefault="00060651"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 xml:space="preserve">The </w:t>
      </w:r>
      <w:r w:rsidR="00FC027F" w:rsidRPr="00D92690">
        <w:rPr>
          <w:rFonts w:asciiTheme="minorHAnsi" w:hAnsiTheme="minorHAnsi" w:cs="Arial"/>
          <w:iCs/>
          <w:sz w:val="22"/>
          <w:szCs w:val="22"/>
        </w:rPr>
        <w:t>Government should imp</w:t>
      </w:r>
      <w:r w:rsidR="00497CD2" w:rsidRPr="00D92690">
        <w:rPr>
          <w:rFonts w:asciiTheme="minorHAnsi" w:hAnsiTheme="minorHAnsi" w:cs="Arial"/>
          <w:iCs/>
          <w:sz w:val="22"/>
          <w:szCs w:val="22"/>
        </w:rPr>
        <w:t>lement option A in the 2014-15 B</w:t>
      </w:r>
      <w:r w:rsidR="00FC027F" w:rsidRPr="00D92690">
        <w:rPr>
          <w:rFonts w:asciiTheme="minorHAnsi" w:hAnsiTheme="minorHAnsi" w:cs="Arial"/>
          <w:iCs/>
          <w:sz w:val="22"/>
          <w:szCs w:val="22"/>
        </w:rPr>
        <w:t xml:space="preserve">udget and </w:t>
      </w:r>
      <w:r w:rsidR="00497CD2" w:rsidRPr="00D92690">
        <w:rPr>
          <w:rFonts w:asciiTheme="minorHAnsi" w:hAnsiTheme="minorHAnsi" w:cs="Arial"/>
          <w:iCs/>
          <w:sz w:val="22"/>
          <w:szCs w:val="22"/>
        </w:rPr>
        <w:t xml:space="preserve">option B in subsequent </w:t>
      </w:r>
      <w:r w:rsidR="00FC027F" w:rsidRPr="00D92690">
        <w:rPr>
          <w:rFonts w:asciiTheme="minorHAnsi" w:hAnsiTheme="minorHAnsi" w:cs="Arial"/>
          <w:iCs/>
          <w:sz w:val="22"/>
          <w:szCs w:val="22"/>
        </w:rPr>
        <w:t xml:space="preserve">budgets, which would see the fuel tax credit rate for trucking operators </w:t>
      </w:r>
      <w:r w:rsidR="00497CD2" w:rsidRPr="00D92690">
        <w:rPr>
          <w:rFonts w:asciiTheme="minorHAnsi" w:hAnsiTheme="minorHAnsi" w:cs="Arial"/>
          <w:iCs/>
          <w:sz w:val="22"/>
          <w:szCs w:val="22"/>
        </w:rPr>
        <w:t xml:space="preserve">set at </w:t>
      </w:r>
      <w:r w:rsidR="006F0BC5" w:rsidRPr="00D92690">
        <w:rPr>
          <w:rFonts w:asciiTheme="minorHAnsi" w:hAnsiTheme="minorHAnsi" w:cs="Arial"/>
          <w:iCs/>
          <w:sz w:val="22"/>
          <w:szCs w:val="22"/>
        </w:rPr>
        <w:t>13</w:t>
      </w:r>
      <w:r w:rsidR="00497CD2" w:rsidRPr="00D92690">
        <w:rPr>
          <w:rFonts w:asciiTheme="minorHAnsi" w:hAnsiTheme="minorHAnsi" w:cs="Arial"/>
          <w:iCs/>
          <w:sz w:val="22"/>
          <w:szCs w:val="22"/>
        </w:rPr>
        <w:t>.043</w:t>
      </w:r>
      <w:r w:rsidR="006F0BC5" w:rsidRPr="00D92690">
        <w:rPr>
          <w:rFonts w:asciiTheme="minorHAnsi" w:hAnsiTheme="minorHAnsi" w:cs="Arial"/>
          <w:iCs/>
          <w:sz w:val="22"/>
          <w:szCs w:val="22"/>
        </w:rPr>
        <w:t xml:space="preserve"> c</w:t>
      </w:r>
      <w:r w:rsidR="00627F56">
        <w:rPr>
          <w:rFonts w:asciiTheme="minorHAnsi" w:hAnsiTheme="minorHAnsi" w:cs="Arial"/>
          <w:iCs/>
          <w:sz w:val="22"/>
          <w:szCs w:val="22"/>
        </w:rPr>
        <w:t>ents per litre in 2014-</w:t>
      </w:r>
      <w:r w:rsidR="00497CD2" w:rsidRPr="00D92690">
        <w:rPr>
          <w:rFonts w:asciiTheme="minorHAnsi" w:hAnsiTheme="minorHAnsi" w:cs="Arial"/>
          <w:iCs/>
          <w:sz w:val="22"/>
          <w:szCs w:val="22"/>
        </w:rPr>
        <w:t>15</w:t>
      </w:r>
      <w:r w:rsidR="00D92690">
        <w:rPr>
          <w:rFonts w:asciiTheme="minorHAnsi" w:hAnsiTheme="minorHAnsi" w:cs="Arial"/>
          <w:iCs/>
          <w:sz w:val="22"/>
          <w:szCs w:val="22"/>
        </w:rPr>
        <w:t>.</w:t>
      </w:r>
    </w:p>
    <w:p w:rsidR="00D92690" w:rsidRPr="00D92690" w:rsidRDefault="00D92690" w:rsidP="00D92690">
      <w:pPr>
        <w:pStyle w:val="NormalWeb"/>
        <w:spacing w:before="0" w:beforeAutospacing="0" w:after="0" w:afterAutospacing="0"/>
        <w:jc w:val="both"/>
        <w:rPr>
          <w:rFonts w:asciiTheme="minorHAnsi" w:hAnsiTheme="minorHAnsi" w:cs="Arial"/>
          <w:iCs/>
          <w:sz w:val="22"/>
          <w:szCs w:val="22"/>
        </w:rPr>
      </w:pPr>
    </w:p>
    <w:p w:rsidR="00060651" w:rsidRPr="00D92690" w:rsidRDefault="00282EF9" w:rsidP="00D92690">
      <w:pPr>
        <w:pStyle w:val="ATAHeading2"/>
        <w:numPr>
          <w:ilvl w:val="2"/>
          <w:numId w:val="17"/>
        </w:numPr>
        <w:spacing w:before="0" w:after="0" w:line="240" w:lineRule="auto"/>
        <w:jc w:val="both"/>
        <w:rPr>
          <w:rFonts w:asciiTheme="minorHAnsi" w:hAnsiTheme="minorHAnsi"/>
          <w:sz w:val="24"/>
          <w:szCs w:val="22"/>
        </w:rPr>
      </w:pPr>
      <w:bookmarkStart w:id="25" w:name="_Toc378749515"/>
      <w:r w:rsidRPr="00D92690">
        <w:rPr>
          <w:rFonts w:asciiTheme="minorHAnsi" w:hAnsiTheme="minorHAnsi"/>
          <w:sz w:val="24"/>
          <w:szCs w:val="22"/>
        </w:rPr>
        <w:t>Heavy Vehicle Charges and Investment reform</w:t>
      </w:r>
      <w:bookmarkEnd w:id="25"/>
      <w:r w:rsidRPr="00D92690">
        <w:rPr>
          <w:rFonts w:asciiTheme="minorHAnsi" w:hAnsiTheme="minorHAnsi"/>
          <w:sz w:val="24"/>
          <w:szCs w:val="22"/>
        </w:rPr>
        <w:t xml:space="preserve"> </w:t>
      </w:r>
    </w:p>
    <w:p w:rsidR="00D92690" w:rsidRPr="00D92690" w:rsidRDefault="00D92690" w:rsidP="00D92690">
      <w:pPr>
        <w:pStyle w:val="ATAHeading2"/>
        <w:numPr>
          <w:ilvl w:val="0"/>
          <w:numId w:val="0"/>
        </w:numPr>
        <w:spacing w:before="0" w:after="0" w:line="240" w:lineRule="auto"/>
        <w:ind w:left="720"/>
        <w:jc w:val="both"/>
        <w:rPr>
          <w:rFonts w:asciiTheme="minorHAnsi" w:hAnsiTheme="minorHAnsi"/>
          <w:sz w:val="22"/>
          <w:szCs w:val="22"/>
        </w:rPr>
      </w:pPr>
    </w:p>
    <w:p w:rsidR="00060651" w:rsidRPr="00D92690" w:rsidRDefault="00060651"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While the NTC</w:t>
      </w:r>
      <w:r w:rsidR="00D92690">
        <w:rPr>
          <w:rFonts w:asciiTheme="minorHAnsi" w:hAnsiTheme="minorHAnsi" w:cs="Arial"/>
          <w:iCs/>
          <w:sz w:val="22"/>
          <w:szCs w:val="22"/>
        </w:rPr>
        <w:t xml:space="preserve"> </w:t>
      </w:r>
      <w:r w:rsidRPr="00D92690">
        <w:rPr>
          <w:rFonts w:asciiTheme="minorHAnsi" w:hAnsiTheme="minorHAnsi" w:cs="Arial"/>
          <w:iCs/>
          <w:sz w:val="22"/>
          <w:szCs w:val="22"/>
        </w:rPr>
        <w:t>is examining the current charges model</w:t>
      </w:r>
      <w:r w:rsidR="007270C9">
        <w:rPr>
          <w:rFonts w:asciiTheme="minorHAnsi" w:hAnsiTheme="minorHAnsi" w:cs="Arial"/>
          <w:iCs/>
          <w:sz w:val="22"/>
          <w:szCs w:val="22"/>
        </w:rPr>
        <w:t>,</w:t>
      </w:r>
      <w:r w:rsidRPr="00D92690">
        <w:rPr>
          <w:rFonts w:asciiTheme="minorHAnsi" w:hAnsiTheme="minorHAnsi" w:cs="Arial"/>
          <w:iCs/>
          <w:sz w:val="22"/>
          <w:szCs w:val="22"/>
        </w:rPr>
        <w:t xml:space="preserve"> the Heavy Vehicle Charges and Investment (HVCI) reform </w:t>
      </w:r>
      <w:r w:rsidR="00D92690">
        <w:rPr>
          <w:rFonts w:asciiTheme="minorHAnsi" w:hAnsiTheme="minorHAnsi" w:cs="Arial"/>
          <w:iCs/>
          <w:sz w:val="22"/>
          <w:szCs w:val="22"/>
        </w:rPr>
        <w:t xml:space="preserve">project </w:t>
      </w:r>
      <w:r w:rsidRPr="00D92690">
        <w:rPr>
          <w:rFonts w:asciiTheme="minorHAnsi" w:hAnsiTheme="minorHAnsi" w:cs="Arial"/>
          <w:iCs/>
          <w:sz w:val="22"/>
          <w:szCs w:val="22"/>
        </w:rPr>
        <w:t xml:space="preserve">is trying to </w:t>
      </w:r>
      <w:r w:rsidR="007270C9">
        <w:rPr>
          <w:rFonts w:asciiTheme="minorHAnsi" w:hAnsiTheme="minorHAnsi" w:cs="Arial"/>
          <w:iCs/>
          <w:sz w:val="22"/>
          <w:szCs w:val="22"/>
        </w:rPr>
        <w:t>determine</w:t>
      </w:r>
      <w:r w:rsidRPr="00D92690">
        <w:rPr>
          <w:rFonts w:asciiTheme="minorHAnsi" w:hAnsiTheme="minorHAnsi" w:cs="Arial"/>
          <w:iCs/>
          <w:sz w:val="22"/>
          <w:szCs w:val="22"/>
        </w:rPr>
        <w:t xml:space="preserve"> the future of heavy vehicle charges and road provision</w:t>
      </w:r>
      <w:r w:rsidR="007270C9">
        <w:rPr>
          <w:rFonts w:asciiTheme="minorHAnsi" w:hAnsiTheme="minorHAnsi" w:cs="Arial"/>
          <w:iCs/>
          <w:sz w:val="22"/>
          <w:szCs w:val="22"/>
        </w:rPr>
        <w:t>.</w:t>
      </w:r>
      <w:r w:rsidRPr="00D92690">
        <w:rPr>
          <w:rFonts w:asciiTheme="minorHAnsi" w:hAnsiTheme="minorHAnsi" w:cs="Arial"/>
          <w:iCs/>
          <w:sz w:val="22"/>
          <w:szCs w:val="22"/>
        </w:rPr>
        <w:t xml:space="preserve"> </w:t>
      </w:r>
    </w:p>
    <w:p w:rsidR="00060651" w:rsidRPr="00D92690" w:rsidRDefault="00060651" w:rsidP="00D92690">
      <w:pPr>
        <w:pStyle w:val="NormalWeb"/>
        <w:spacing w:before="0" w:beforeAutospacing="0" w:after="0" w:afterAutospacing="0"/>
        <w:jc w:val="both"/>
        <w:rPr>
          <w:rFonts w:asciiTheme="minorHAnsi" w:hAnsiTheme="minorHAnsi" w:cs="Arial"/>
          <w:iCs/>
          <w:sz w:val="22"/>
          <w:szCs w:val="22"/>
        </w:rPr>
      </w:pPr>
    </w:p>
    <w:p w:rsidR="00060651" w:rsidRPr="00D92690" w:rsidRDefault="00060651"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HVCI have a fixation with mass distance location</w:t>
      </w:r>
      <w:r w:rsidR="007B665E" w:rsidRPr="00D92690">
        <w:rPr>
          <w:rFonts w:asciiTheme="minorHAnsi" w:hAnsiTheme="minorHAnsi" w:cs="Arial"/>
          <w:iCs/>
          <w:sz w:val="22"/>
          <w:szCs w:val="22"/>
        </w:rPr>
        <w:t xml:space="preserve"> (MDL)</w:t>
      </w:r>
      <w:r w:rsidRPr="00D92690">
        <w:rPr>
          <w:rFonts w:asciiTheme="minorHAnsi" w:hAnsiTheme="minorHAnsi" w:cs="Arial"/>
          <w:iCs/>
          <w:sz w:val="22"/>
          <w:szCs w:val="22"/>
        </w:rPr>
        <w:t xml:space="preserve"> pricing via </w:t>
      </w:r>
      <w:r w:rsidR="005C4492" w:rsidRPr="00D92690">
        <w:rPr>
          <w:rFonts w:asciiTheme="minorHAnsi" w:hAnsiTheme="minorHAnsi" w:cs="Arial"/>
          <w:iCs/>
          <w:sz w:val="22"/>
          <w:szCs w:val="22"/>
        </w:rPr>
        <w:t xml:space="preserve">regulatory </w:t>
      </w:r>
      <w:r w:rsidRPr="00D92690">
        <w:rPr>
          <w:rFonts w:asciiTheme="minorHAnsi" w:hAnsiTheme="minorHAnsi" w:cs="Arial"/>
          <w:iCs/>
          <w:sz w:val="22"/>
          <w:szCs w:val="22"/>
        </w:rPr>
        <w:t xml:space="preserve">telematics monitoring.  Industry has </w:t>
      </w:r>
      <w:r w:rsidR="007270C9">
        <w:rPr>
          <w:rFonts w:asciiTheme="minorHAnsi" w:hAnsiTheme="minorHAnsi" w:cs="Arial"/>
          <w:iCs/>
          <w:sz w:val="22"/>
          <w:szCs w:val="22"/>
        </w:rPr>
        <w:t>serious</w:t>
      </w:r>
      <w:r w:rsidRPr="00D92690">
        <w:rPr>
          <w:rFonts w:asciiTheme="minorHAnsi" w:hAnsiTheme="minorHAnsi" w:cs="Arial"/>
          <w:iCs/>
          <w:sz w:val="22"/>
          <w:szCs w:val="22"/>
        </w:rPr>
        <w:t xml:space="preserve"> concerns over the HVCI justification </w:t>
      </w:r>
      <w:r w:rsidR="00B82008">
        <w:rPr>
          <w:rFonts w:asciiTheme="minorHAnsi" w:hAnsiTheme="minorHAnsi" w:cs="Arial"/>
          <w:iCs/>
          <w:sz w:val="22"/>
          <w:szCs w:val="22"/>
        </w:rPr>
        <w:t>of this</w:t>
      </w:r>
      <w:r w:rsidRPr="00D92690">
        <w:rPr>
          <w:rFonts w:asciiTheme="minorHAnsi" w:hAnsiTheme="minorHAnsi" w:cs="Arial"/>
          <w:iCs/>
          <w:sz w:val="22"/>
          <w:szCs w:val="22"/>
        </w:rPr>
        <w:t xml:space="preserve"> </w:t>
      </w:r>
      <w:r w:rsidR="005C4492" w:rsidRPr="00D92690">
        <w:rPr>
          <w:rFonts w:asciiTheme="minorHAnsi" w:hAnsiTheme="minorHAnsi" w:cs="Arial"/>
          <w:iCs/>
          <w:sz w:val="22"/>
          <w:szCs w:val="22"/>
        </w:rPr>
        <w:t xml:space="preserve">view that this is best way forward. </w:t>
      </w:r>
      <w:r w:rsidR="00B82008">
        <w:rPr>
          <w:rFonts w:asciiTheme="minorHAnsi" w:hAnsiTheme="minorHAnsi" w:cs="Arial"/>
          <w:iCs/>
          <w:sz w:val="22"/>
          <w:szCs w:val="22"/>
        </w:rPr>
        <w:t>There are serious doubts about the</w:t>
      </w:r>
      <w:r w:rsidR="005C4492" w:rsidRPr="00D92690">
        <w:rPr>
          <w:rFonts w:asciiTheme="minorHAnsi" w:hAnsiTheme="minorHAnsi" w:cs="Arial"/>
          <w:iCs/>
          <w:sz w:val="22"/>
          <w:szCs w:val="22"/>
        </w:rPr>
        <w:t xml:space="preserve"> practicality behind having every truck in Australia monitored</w:t>
      </w:r>
      <w:r w:rsidR="005C4492" w:rsidRPr="005E23F5">
        <w:rPr>
          <w:rFonts w:asciiTheme="minorHAnsi" w:hAnsiTheme="minorHAnsi" w:cs="Arial"/>
          <w:iCs/>
          <w:sz w:val="22"/>
          <w:szCs w:val="22"/>
        </w:rPr>
        <w:t xml:space="preserve">. </w:t>
      </w:r>
      <w:r w:rsidR="00B82008">
        <w:rPr>
          <w:rFonts w:asciiTheme="minorHAnsi" w:hAnsiTheme="minorHAnsi" w:cs="Arial"/>
          <w:iCs/>
          <w:sz w:val="22"/>
          <w:szCs w:val="22"/>
        </w:rPr>
        <w:t xml:space="preserve">For instance, </w:t>
      </w:r>
      <w:r w:rsidR="00D71175">
        <w:rPr>
          <w:rFonts w:asciiTheme="minorHAnsi" w:hAnsiTheme="minorHAnsi" w:cs="Arial"/>
          <w:iCs/>
          <w:sz w:val="22"/>
          <w:szCs w:val="22"/>
        </w:rPr>
        <w:t xml:space="preserve">there are concerns about transmitting GPS data to monitoring services in Australia, short of providing more mobile phone and other infrastructure there will be drop outs in reporting. </w:t>
      </w:r>
    </w:p>
    <w:p w:rsidR="00FD016B" w:rsidRPr="00D92690" w:rsidRDefault="00FD016B" w:rsidP="00D92690">
      <w:pPr>
        <w:pStyle w:val="NormalWeb"/>
        <w:spacing w:before="0" w:beforeAutospacing="0" w:after="0" w:afterAutospacing="0"/>
        <w:jc w:val="both"/>
        <w:rPr>
          <w:rFonts w:asciiTheme="minorHAnsi" w:hAnsiTheme="minorHAnsi" w:cs="Arial"/>
          <w:iCs/>
          <w:sz w:val="22"/>
          <w:szCs w:val="22"/>
        </w:rPr>
      </w:pPr>
    </w:p>
    <w:p w:rsidR="00FD016B" w:rsidRPr="00D92690" w:rsidRDefault="00FD016B"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The cost to the industry has also been</w:t>
      </w:r>
      <w:r w:rsidR="005E23F5">
        <w:rPr>
          <w:rFonts w:asciiTheme="minorHAnsi" w:hAnsiTheme="minorHAnsi" w:cs="Arial"/>
          <w:iCs/>
          <w:sz w:val="22"/>
          <w:szCs w:val="22"/>
        </w:rPr>
        <w:t xml:space="preserve"> poorly assessed by HVCI. O</w:t>
      </w:r>
      <w:r w:rsidRPr="00D92690">
        <w:rPr>
          <w:rFonts w:asciiTheme="minorHAnsi" w:hAnsiTheme="minorHAnsi" w:cs="Arial"/>
          <w:iCs/>
          <w:sz w:val="22"/>
          <w:szCs w:val="22"/>
        </w:rPr>
        <w:t xml:space="preserve">perators would have to pay for the installation, upkeep and </w:t>
      </w:r>
      <w:r w:rsidR="00B82008">
        <w:rPr>
          <w:rFonts w:asciiTheme="minorHAnsi" w:hAnsiTheme="minorHAnsi" w:cs="Arial"/>
          <w:iCs/>
          <w:sz w:val="22"/>
          <w:szCs w:val="22"/>
        </w:rPr>
        <w:t>wear the business co</w:t>
      </w:r>
      <w:r w:rsidRPr="00D92690">
        <w:rPr>
          <w:rFonts w:asciiTheme="minorHAnsi" w:hAnsiTheme="minorHAnsi" w:cs="Arial"/>
          <w:iCs/>
          <w:sz w:val="22"/>
          <w:szCs w:val="22"/>
        </w:rPr>
        <w:t>s</w:t>
      </w:r>
      <w:r w:rsidR="00B82008">
        <w:rPr>
          <w:rFonts w:asciiTheme="minorHAnsi" w:hAnsiTheme="minorHAnsi" w:cs="Arial"/>
          <w:iCs/>
          <w:sz w:val="22"/>
          <w:szCs w:val="22"/>
        </w:rPr>
        <w:t>t</w:t>
      </w:r>
      <w:r w:rsidRPr="00D92690">
        <w:rPr>
          <w:rFonts w:asciiTheme="minorHAnsi" w:hAnsiTheme="minorHAnsi" w:cs="Arial"/>
          <w:iCs/>
          <w:sz w:val="22"/>
          <w:szCs w:val="22"/>
        </w:rPr>
        <w:t xml:space="preserve"> of downtime during recalibration. Indicative costs from HVCI state the annual cost of the system to operators will be $180. This figure has no basis in reality</w:t>
      </w:r>
      <w:r w:rsidR="005E23F5">
        <w:rPr>
          <w:rFonts w:asciiTheme="minorHAnsi" w:hAnsiTheme="minorHAnsi" w:cs="Arial"/>
          <w:iCs/>
          <w:sz w:val="22"/>
          <w:szCs w:val="22"/>
        </w:rPr>
        <w:t>.</w:t>
      </w:r>
      <w:r w:rsidRPr="00D92690">
        <w:rPr>
          <w:rFonts w:asciiTheme="minorHAnsi" w:hAnsiTheme="minorHAnsi" w:cs="Arial"/>
          <w:iCs/>
          <w:sz w:val="22"/>
          <w:szCs w:val="22"/>
        </w:rPr>
        <w:t xml:space="preserve"> </w:t>
      </w:r>
    </w:p>
    <w:p w:rsidR="00FD016B" w:rsidRPr="00D92690" w:rsidRDefault="00FD016B" w:rsidP="00D92690">
      <w:pPr>
        <w:pStyle w:val="NormalWeb"/>
        <w:spacing w:before="0" w:beforeAutospacing="0" w:after="0" w:afterAutospacing="0"/>
        <w:jc w:val="both"/>
        <w:rPr>
          <w:rFonts w:asciiTheme="minorHAnsi" w:hAnsiTheme="minorHAnsi" w:cs="Arial"/>
          <w:iCs/>
          <w:sz w:val="22"/>
          <w:szCs w:val="22"/>
        </w:rPr>
      </w:pPr>
    </w:p>
    <w:p w:rsidR="00FD016B" w:rsidRPr="00D92690" w:rsidRDefault="00FD016B"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While HVCI have been keen to publish the net b</w:t>
      </w:r>
      <w:r w:rsidR="006123DD" w:rsidRPr="00D92690">
        <w:rPr>
          <w:rFonts w:asciiTheme="minorHAnsi" w:hAnsiTheme="minorHAnsi" w:cs="Arial"/>
          <w:iCs/>
          <w:sz w:val="22"/>
          <w:szCs w:val="22"/>
        </w:rPr>
        <w:t>enefits being $22 billion over 20</w:t>
      </w:r>
      <w:r w:rsidRPr="00D92690">
        <w:rPr>
          <w:rFonts w:asciiTheme="minorHAnsi" w:hAnsiTheme="minorHAnsi" w:cs="Arial"/>
          <w:iCs/>
          <w:sz w:val="22"/>
          <w:szCs w:val="22"/>
        </w:rPr>
        <w:t xml:space="preserve"> years</w:t>
      </w:r>
      <w:r w:rsidR="007B665E" w:rsidRPr="00D92690">
        <w:rPr>
          <w:rFonts w:asciiTheme="minorHAnsi" w:hAnsiTheme="minorHAnsi" w:cs="Arial"/>
          <w:iCs/>
          <w:sz w:val="22"/>
          <w:szCs w:val="22"/>
        </w:rPr>
        <w:t>,</w:t>
      </w:r>
      <w:r w:rsidR="00B81003" w:rsidRPr="00D92690">
        <w:rPr>
          <w:rFonts w:asciiTheme="minorHAnsi" w:hAnsiTheme="minorHAnsi" w:cs="Arial"/>
          <w:iCs/>
          <w:sz w:val="22"/>
          <w:szCs w:val="22"/>
        </w:rPr>
        <w:t xml:space="preserve"> t</w:t>
      </w:r>
      <w:r w:rsidRPr="00D92690">
        <w:rPr>
          <w:rFonts w:asciiTheme="minorHAnsi" w:hAnsiTheme="minorHAnsi" w:cs="Arial"/>
          <w:iCs/>
          <w:sz w:val="22"/>
          <w:szCs w:val="22"/>
        </w:rPr>
        <w:t>he</w:t>
      </w:r>
      <w:r w:rsidR="006123DD" w:rsidRPr="00D92690">
        <w:rPr>
          <w:rFonts w:asciiTheme="minorHAnsi" w:hAnsiTheme="minorHAnsi" w:cs="Arial"/>
          <w:iCs/>
          <w:sz w:val="22"/>
          <w:szCs w:val="22"/>
        </w:rPr>
        <w:t xml:space="preserve"> net present value of doing pricing reform along will cost </w:t>
      </w:r>
      <w:r w:rsidR="006123DD" w:rsidRPr="00D92690">
        <w:rPr>
          <w:rFonts w:asciiTheme="minorHAnsi" w:hAnsiTheme="minorHAnsi" w:cs="Arial"/>
          <w:bCs/>
          <w:iCs/>
          <w:sz w:val="22"/>
          <w:szCs w:val="22"/>
        </w:rPr>
        <w:t xml:space="preserve">-$1.4 billion over 20 years. The industry fears that the supply side reforms HVCI are discussing will not eventuate and the industry will be saddled with an expensive and inefficient tax collection system.   </w:t>
      </w:r>
    </w:p>
    <w:p w:rsidR="00060651" w:rsidRPr="00D92690" w:rsidRDefault="00060651" w:rsidP="00D92690">
      <w:pPr>
        <w:pStyle w:val="NormalWeb"/>
        <w:spacing w:before="0" w:beforeAutospacing="0" w:after="0" w:afterAutospacing="0"/>
        <w:jc w:val="both"/>
        <w:rPr>
          <w:rFonts w:asciiTheme="minorHAnsi" w:hAnsiTheme="minorHAnsi" w:cs="Arial"/>
          <w:iCs/>
          <w:sz w:val="22"/>
          <w:szCs w:val="22"/>
        </w:rPr>
      </w:pPr>
    </w:p>
    <w:p w:rsidR="006123DD" w:rsidRPr="00D92690" w:rsidRDefault="006123DD"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It must also be remembered that if MDL pricing is implemented, operators will still have to purchase fuel and claim a full fuel tax credit; this will have significant effects on cash flow for operators.</w:t>
      </w:r>
      <w:r w:rsidR="005E23F5">
        <w:rPr>
          <w:rFonts w:asciiTheme="minorHAnsi" w:hAnsiTheme="minorHAnsi" w:cs="Arial"/>
          <w:iCs/>
          <w:sz w:val="22"/>
          <w:szCs w:val="22"/>
        </w:rPr>
        <w:t xml:space="preserve"> Operators will have two charging systems;</w:t>
      </w:r>
      <w:r w:rsidRPr="00D92690">
        <w:rPr>
          <w:rFonts w:asciiTheme="minorHAnsi" w:hAnsiTheme="minorHAnsi" w:cs="Arial"/>
          <w:iCs/>
          <w:sz w:val="22"/>
          <w:szCs w:val="22"/>
        </w:rPr>
        <w:t xml:space="preserve"> two sets of administrat</w:t>
      </w:r>
      <w:r w:rsidR="005E23F5">
        <w:rPr>
          <w:rFonts w:asciiTheme="minorHAnsi" w:hAnsiTheme="minorHAnsi" w:cs="Arial"/>
          <w:iCs/>
          <w:sz w:val="22"/>
          <w:szCs w:val="22"/>
        </w:rPr>
        <w:t>ive</w:t>
      </w:r>
      <w:r w:rsidRPr="00D92690">
        <w:rPr>
          <w:rFonts w:asciiTheme="minorHAnsi" w:hAnsiTheme="minorHAnsi" w:cs="Arial"/>
          <w:iCs/>
          <w:sz w:val="22"/>
          <w:szCs w:val="22"/>
        </w:rPr>
        <w:t xml:space="preserve"> burden</w:t>
      </w:r>
      <w:r w:rsidR="005E23F5">
        <w:rPr>
          <w:rFonts w:asciiTheme="minorHAnsi" w:hAnsiTheme="minorHAnsi" w:cs="Arial"/>
          <w:iCs/>
          <w:sz w:val="22"/>
          <w:szCs w:val="22"/>
        </w:rPr>
        <w:t>s;</w:t>
      </w:r>
      <w:r w:rsidRPr="00D92690">
        <w:rPr>
          <w:rFonts w:asciiTheme="minorHAnsi" w:hAnsiTheme="minorHAnsi" w:cs="Arial"/>
          <w:iCs/>
          <w:sz w:val="22"/>
          <w:szCs w:val="22"/>
        </w:rPr>
        <w:t xml:space="preserve"> two sets of compliance</w:t>
      </w:r>
      <w:r w:rsidR="005E23F5">
        <w:rPr>
          <w:rFonts w:asciiTheme="minorHAnsi" w:hAnsiTheme="minorHAnsi" w:cs="Arial"/>
          <w:iCs/>
          <w:sz w:val="22"/>
          <w:szCs w:val="22"/>
        </w:rPr>
        <w:t xml:space="preserve"> burdens</w:t>
      </w:r>
      <w:r w:rsidRPr="00D92690">
        <w:rPr>
          <w:rFonts w:asciiTheme="minorHAnsi" w:hAnsiTheme="minorHAnsi" w:cs="Arial"/>
          <w:iCs/>
          <w:sz w:val="22"/>
          <w:szCs w:val="22"/>
        </w:rPr>
        <w:t xml:space="preserve">. </w:t>
      </w:r>
      <w:r w:rsidR="009B73F5" w:rsidRPr="00D92690">
        <w:rPr>
          <w:rFonts w:asciiTheme="minorHAnsi" w:hAnsiTheme="minorHAnsi" w:cs="Arial"/>
          <w:iCs/>
          <w:sz w:val="22"/>
          <w:szCs w:val="22"/>
        </w:rPr>
        <w:t xml:space="preserve">HVCI have not considered this at all. </w:t>
      </w:r>
    </w:p>
    <w:p w:rsidR="005C4492" w:rsidRPr="00D92690" w:rsidRDefault="005C4492" w:rsidP="00D92690">
      <w:pPr>
        <w:pStyle w:val="NormalWeb"/>
        <w:spacing w:before="0" w:beforeAutospacing="0" w:after="0" w:afterAutospacing="0"/>
        <w:jc w:val="both"/>
        <w:rPr>
          <w:rFonts w:asciiTheme="minorHAnsi" w:hAnsiTheme="minorHAnsi" w:cs="Arial"/>
          <w:iCs/>
          <w:sz w:val="22"/>
          <w:szCs w:val="22"/>
        </w:rPr>
      </w:pPr>
    </w:p>
    <w:p w:rsidR="005C4492" w:rsidRPr="00D92690" w:rsidRDefault="005C4492"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HVCI’s proposal would greatly increase the cost of transporting freight in rural and regional areas, because roads in these areas are built to a lighter standard than major highways. To meet the cost of road wear, charges for local roads in rural areas would need to be 25 times higher than the charges for freeways.</w:t>
      </w:r>
      <w:r w:rsidR="00B82008">
        <w:rPr>
          <w:rStyle w:val="FootnoteReference"/>
          <w:rFonts w:asciiTheme="minorHAnsi" w:hAnsiTheme="minorHAnsi"/>
          <w:iCs/>
          <w:sz w:val="22"/>
          <w:szCs w:val="22"/>
        </w:rPr>
        <w:footnoteReference w:id="13"/>
      </w:r>
    </w:p>
    <w:p w:rsidR="005C4492" w:rsidRPr="00D92690" w:rsidRDefault="005C4492" w:rsidP="00D92690">
      <w:pPr>
        <w:jc w:val="both"/>
        <w:rPr>
          <w:color w:val="1F497D"/>
        </w:rPr>
      </w:pPr>
    </w:p>
    <w:p w:rsidR="004B64C9" w:rsidRPr="00D92690" w:rsidRDefault="005C4492" w:rsidP="00D92690">
      <w:pPr>
        <w:pStyle w:val="NormalWeb"/>
        <w:spacing w:before="0" w:beforeAutospacing="0" w:after="0" w:afterAutospacing="0"/>
        <w:jc w:val="both"/>
        <w:rPr>
          <w:rFonts w:asciiTheme="minorHAnsi" w:hAnsiTheme="minorHAnsi" w:cs="Arial"/>
          <w:iCs/>
          <w:sz w:val="22"/>
          <w:szCs w:val="22"/>
        </w:rPr>
      </w:pPr>
      <w:r w:rsidRPr="00D92690">
        <w:rPr>
          <w:rFonts w:asciiTheme="minorHAnsi" w:hAnsiTheme="minorHAnsi" w:cs="Arial"/>
          <w:iCs/>
          <w:sz w:val="22"/>
          <w:szCs w:val="22"/>
        </w:rPr>
        <w:t>The Australian Government has a commitment to reducing red tape. It should deliver on its commitment by</w:t>
      </w:r>
      <w:r w:rsidR="004B64C9" w:rsidRPr="00D92690">
        <w:rPr>
          <w:rFonts w:asciiTheme="minorHAnsi" w:hAnsiTheme="minorHAnsi" w:cs="Arial"/>
          <w:iCs/>
          <w:sz w:val="22"/>
          <w:szCs w:val="22"/>
        </w:rPr>
        <w:t xml:space="preserve"> halting work on the HVCI </w:t>
      </w:r>
      <w:r w:rsidR="00B81003" w:rsidRPr="00D92690">
        <w:rPr>
          <w:rFonts w:asciiTheme="minorHAnsi" w:hAnsiTheme="minorHAnsi" w:cs="Arial"/>
          <w:iCs/>
          <w:sz w:val="22"/>
          <w:szCs w:val="22"/>
        </w:rPr>
        <w:t>proposal.</w:t>
      </w:r>
      <w:r w:rsidR="004B64C9" w:rsidRPr="00D92690">
        <w:rPr>
          <w:rFonts w:asciiTheme="minorHAnsi" w:hAnsiTheme="minorHAnsi" w:cs="Arial"/>
          <w:iCs/>
          <w:sz w:val="22"/>
          <w:szCs w:val="22"/>
        </w:rPr>
        <w:t xml:space="preserve"> The ATA recommends the Government view the PwC work: </w:t>
      </w:r>
      <w:r w:rsidR="004B64C9" w:rsidRPr="00D92690">
        <w:rPr>
          <w:rFonts w:asciiTheme="minorHAnsi" w:hAnsiTheme="minorHAnsi" w:cs="Arial"/>
          <w:i/>
          <w:iCs/>
          <w:sz w:val="22"/>
          <w:szCs w:val="22"/>
        </w:rPr>
        <w:t>A future Strategy for Road Supply and Charging in Australia</w:t>
      </w:r>
      <w:r w:rsidR="004B64C9" w:rsidRPr="00D92690">
        <w:rPr>
          <w:rFonts w:asciiTheme="minorHAnsi" w:hAnsiTheme="minorHAnsi" w:cs="Arial"/>
          <w:iCs/>
          <w:sz w:val="22"/>
          <w:szCs w:val="22"/>
        </w:rPr>
        <w:t xml:space="preserve">, for a better idea of what the priories for reform should be. </w:t>
      </w:r>
    </w:p>
    <w:p w:rsidR="00CB4D57" w:rsidRDefault="00CB4D57" w:rsidP="00D92690">
      <w:pPr>
        <w:autoSpaceDE w:val="0"/>
        <w:autoSpaceDN w:val="0"/>
        <w:adjustRightInd w:val="0"/>
        <w:jc w:val="both"/>
        <w:rPr>
          <w:rFonts w:asciiTheme="minorHAnsi" w:hAnsiTheme="minorHAnsi"/>
        </w:rPr>
      </w:pPr>
    </w:p>
    <w:p w:rsidR="004B64C9" w:rsidRPr="00D92690" w:rsidRDefault="004B64C9" w:rsidP="00D92690">
      <w:pPr>
        <w:autoSpaceDE w:val="0"/>
        <w:autoSpaceDN w:val="0"/>
        <w:adjustRightInd w:val="0"/>
        <w:jc w:val="both"/>
        <w:rPr>
          <w:rFonts w:asciiTheme="minorHAnsi" w:hAnsiTheme="minorHAnsi"/>
        </w:rPr>
      </w:pPr>
      <w:r w:rsidRPr="00D92690">
        <w:rPr>
          <w:rFonts w:asciiTheme="minorHAnsi" w:hAnsiTheme="minorHAnsi"/>
        </w:rPr>
        <w:t xml:space="preserve">PwC provided a clear transition pathway to improve heavy vehicle charges and supply side provision. </w:t>
      </w:r>
    </w:p>
    <w:p w:rsidR="004B64C9" w:rsidRPr="00D92690" w:rsidRDefault="004B64C9" w:rsidP="00D92690">
      <w:pPr>
        <w:autoSpaceDE w:val="0"/>
        <w:autoSpaceDN w:val="0"/>
        <w:adjustRightInd w:val="0"/>
        <w:jc w:val="both"/>
        <w:rPr>
          <w:rFonts w:asciiTheme="minorHAnsi" w:hAnsiTheme="minorHAnsi"/>
        </w:rPr>
      </w:pPr>
    </w:p>
    <w:p w:rsidR="003B6265" w:rsidRDefault="003B6265" w:rsidP="00D92690">
      <w:pPr>
        <w:autoSpaceDE w:val="0"/>
        <w:autoSpaceDN w:val="0"/>
        <w:adjustRightInd w:val="0"/>
        <w:jc w:val="both"/>
        <w:rPr>
          <w:rFonts w:asciiTheme="minorHAnsi" w:hAnsiTheme="minorHAnsi"/>
        </w:rPr>
      </w:pPr>
    </w:p>
    <w:p w:rsidR="003B6265" w:rsidRDefault="003B6265" w:rsidP="00D92690">
      <w:pPr>
        <w:autoSpaceDE w:val="0"/>
        <w:autoSpaceDN w:val="0"/>
        <w:adjustRightInd w:val="0"/>
        <w:jc w:val="both"/>
        <w:rPr>
          <w:rFonts w:asciiTheme="minorHAnsi" w:hAnsiTheme="minorHAnsi"/>
        </w:rPr>
      </w:pPr>
    </w:p>
    <w:p w:rsidR="003B6265" w:rsidRDefault="003B6265" w:rsidP="00D92690">
      <w:pPr>
        <w:autoSpaceDE w:val="0"/>
        <w:autoSpaceDN w:val="0"/>
        <w:adjustRightInd w:val="0"/>
        <w:jc w:val="both"/>
        <w:rPr>
          <w:rFonts w:asciiTheme="minorHAnsi" w:hAnsiTheme="minorHAnsi"/>
        </w:rPr>
      </w:pPr>
    </w:p>
    <w:p w:rsidR="004B64C9" w:rsidRPr="00D92690" w:rsidRDefault="004B64C9" w:rsidP="00D92690">
      <w:pPr>
        <w:autoSpaceDE w:val="0"/>
        <w:autoSpaceDN w:val="0"/>
        <w:adjustRightInd w:val="0"/>
        <w:jc w:val="both"/>
        <w:rPr>
          <w:rFonts w:asciiTheme="minorHAnsi" w:hAnsiTheme="minorHAnsi"/>
        </w:rPr>
      </w:pPr>
      <w:r w:rsidRPr="00D92690">
        <w:rPr>
          <w:rFonts w:asciiTheme="minorHAnsi" w:hAnsiTheme="minorHAnsi"/>
        </w:rPr>
        <w:lastRenderedPageBreak/>
        <w:t xml:space="preserve">Short-term recommendations included: </w:t>
      </w:r>
    </w:p>
    <w:p w:rsidR="004B64C9" w:rsidRPr="00D92690" w:rsidRDefault="004B64C9" w:rsidP="00D92690">
      <w:pPr>
        <w:autoSpaceDE w:val="0"/>
        <w:autoSpaceDN w:val="0"/>
        <w:adjustRightInd w:val="0"/>
        <w:jc w:val="both"/>
        <w:rPr>
          <w:rFonts w:asciiTheme="minorHAnsi" w:hAnsiTheme="minorHAnsi"/>
        </w:rPr>
      </w:pPr>
    </w:p>
    <w:p w:rsidR="004B64C9" w:rsidRDefault="004B64C9" w:rsidP="00D92690">
      <w:pPr>
        <w:numPr>
          <w:ilvl w:val="0"/>
          <w:numId w:val="9"/>
        </w:numPr>
        <w:autoSpaceDE w:val="0"/>
        <w:autoSpaceDN w:val="0"/>
        <w:adjustRightInd w:val="0"/>
        <w:contextualSpacing/>
        <w:jc w:val="both"/>
        <w:rPr>
          <w:rFonts w:asciiTheme="minorHAnsi" w:hAnsiTheme="minorHAnsi"/>
        </w:rPr>
      </w:pPr>
      <w:r w:rsidRPr="00D92690">
        <w:rPr>
          <w:rFonts w:asciiTheme="minorHAnsi" w:hAnsiTheme="minorHAnsi"/>
        </w:rPr>
        <w:t xml:space="preserve">Defining a three tier freight network, which would target investment, reporting and funding on the basis of the level of service provided.   </w:t>
      </w:r>
    </w:p>
    <w:p w:rsidR="00CB4D57" w:rsidRPr="00D92690" w:rsidRDefault="00CB4D57" w:rsidP="00CB4D57">
      <w:pPr>
        <w:autoSpaceDE w:val="0"/>
        <w:autoSpaceDN w:val="0"/>
        <w:adjustRightInd w:val="0"/>
        <w:contextualSpacing/>
        <w:jc w:val="both"/>
        <w:rPr>
          <w:rFonts w:asciiTheme="minorHAnsi" w:hAnsiTheme="minorHAnsi"/>
        </w:rPr>
      </w:pPr>
    </w:p>
    <w:p w:rsidR="004B64C9" w:rsidRPr="00D92690" w:rsidRDefault="004B64C9" w:rsidP="00D92690">
      <w:pPr>
        <w:numPr>
          <w:ilvl w:val="0"/>
          <w:numId w:val="9"/>
        </w:numPr>
        <w:autoSpaceDE w:val="0"/>
        <w:autoSpaceDN w:val="0"/>
        <w:adjustRightInd w:val="0"/>
        <w:contextualSpacing/>
        <w:jc w:val="both"/>
        <w:rPr>
          <w:rFonts w:asciiTheme="minorHAnsi" w:hAnsiTheme="minorHAnsi"/>
        </w:rPr>
      </w:pPr>
      <w:r w:rsidRPr="00D92690">
        <w:rPr>
          <w:rFonts w:asciiTheme="minorHAnsi" w:hAnsiTheme="minorHAnsi"/>
        </w:rPr>
        <w:t>Reporting, benchmarking and reviewing road costs from states, territories and local government road owners on each tier of the network. Comparing these costs to established benchmarks and the associated level of access with the investment would improve the accountability of road agency spending</w:t>
      </w:r>
    </w:p>
    <w:p w:rsidR="004B64C9" w:rsidRPr="00D92690" w:rsidRDefault="004B64C9" w:rsidP="00D92690">
      <w:pPr>
        <w:numPr>
          <w:ilvl w:val="0"/>
          <w:numId w:val="9"/>
        </w:numPr>
        <w:autoSpaceDE w:val="0"/>
        <w:autoSpaceDN w:val="0"/>
        <w:adjustRightInd w:val="0"/>
        <w:contextualSpacing/>
        <w:jc w:val="both"/>
        <w:rPr>
          <w:rFonts w:asciiTheme="minorHAnsi" w:hAnsiTheme="minorHAnsi"/>
        </w:rPr>
      </w:pPr>
      <w:r w:rsidRPr="00D92690">
        <w:rPr>
          <w:rFonts w:asciiTheme="minorHAnsi" w:hAnsiTheme="minorHAnsi"/>
        </w:rPr>
        <w:t>A transparent formula for allocating funding to road suppliers. Allocating recovered funds should reflect heavy vehicle share of road costs, heavy vehicle use and access upgrades required for the three tiers. Existing and emerging data can support this allocation.  The formula would also include mechanism to fund low-volume roads through community service obligations.</w:t>
      </w:r>
    </w:p>
    <w:p w:rsidR="004B64C9" w:rsidRPr="00D92690" w:rsidRDefault="004B64C9" w:rsidP="00D92690">
      <w:pPr>
        <w:numPr>
          <w:ilvl w:val="0"/>
          <w:numId w:val="9"/>
        </w:numPr>
        <w:contextualSpacing/>
        <w:jc w:val="both"/>
        <w:rPr>
          <w:rFonts w:asciiTheme="minorHAnsi" w:hAnsiTheme="minorHAnsi"/>
        </w:rPr>
      </w:pPr>
      <w:r w:rsidRPr="00D92690">
        <w:rPr>
          <w:rFonts w:asciiTheme="minorHAnsi" w:hAnsiTheme="minorHAnsi"/>
        </w:rPr>
        <w:t>Improving cost reflectivity of road charges, such as increasing the data accuracy inputs and auditing road agency heavy vehicle expenditure inputs.</w:t>
      </w:r>
    </w:p>
    <w:p w:rsidR="004B64C9" w:rsidRPr="00D92690" w:rsidRDefault="004B64C9" w:rsidP="00D92690">
      <w:pPr>
        <w:contextualSpacing/>
        <w:jc w:val="both"/>
        <w:rPr>
          <w:rFonts w:asciiTheme="minorHAnsi" w:hAnsiTheme="minorHAnsi"/>
        </w:rPr>
      </w:pPr>
    </w:p>
    <w:p w:rsidR="004B64C9" w:rsidRPr="00D92690" w:rsidRDefault="004B64C9" w:rsidP="00D92690">
      <w:pPr>
        <w:contextualSpacing/>
        <w:jc w:val="both"/>
        <w:rPr>
          <w:rFonts w:asciiTheme="minorHAnsi" w:hAnsiTheme="minorHAnsi"/>
        </w:rPr>
      </w:pPr>
      <w:r w:rsidRPr="00D92690">
        <w:rPr>
          <w:rFonts w:asciiTheme="minorHAnsi" w:hAnsiTheme="minorHAnsi"/>
        </w:rPr>
        <w:t xml:space="preserve">PwC also provided medium and long-term recommendations that should only be implemented when the short-term recommendations are delivered and working: </w:t>
      </w:r>
    </w:p>
    <w:p w:rsidR="004B64C9" w:rsidRPr="00D92690" w:rsidRDefault="004B64C9" w:rsidP="00D92690">
      <w:pPr>
        <w:contextualSpacing/>
        <w:jc w:val="both"/>
        <w:rPr>
          <w:rFonts w:asciiTheme="minorHAnsi" w:hAnsiTheme="minorHAnsi"/>
        </w:rPr>
      </w:pPr>
    </w:p>
    <w:p w:rsidR="004B64C9" w:rsidRPr="00D92690" w:rsidRDefault="004B64C9" w:rsidP="00D92690">
      <w:pPr>
        <w:numPr>
          <w:ilvl w:val="0"/>
          <w:numId w:val="10"/>
        </w:numPr>
        <w:contextualSpacing/>
        <w:jc w:val="both"/>
        <w:rPr>
          <w:rFonts w:asciiTheme="minorHAnsi" w:hAnsiTheme="minorHAnsi"/>
        </w:rPr>
      </w:pPr>
      <w:r w:rsidRPr="00D92690">
        <w:rPr>
          <w:rFonts w:asciiTheme="minorHAnsi" w:hAnsiTheme="minorHAnsi"/>
        </w:rPr>
        <w:t>Reporting, benchmarking and review of efficient costs. Independent benchmarking of efficient road investment and maintenance costs should be tied to funding allocations for road agencies.</w:t>
      </w:r>
    </w:p>
    <w:p w:rsidR="004B64C9" w:rsidRPr="00D92690" w:rsidRDefault="004B64C9" w:rsidP="00D92690">
      <w:pPr>
        <w:numPr>
          <w:ilvl w:val="0"/>
          <w:numId w:val="10"/>
        </w:numPr>
        <w:contextualSpacing/>
        <w:jc w:val="both"/>
        <w:rPr>
          <w:rFonts w:asciiTheme="minorHAnsi" w:hAnsiTheme="minorHAnsi"/>
        </w:rPr>
      </w:pPr>
      <w:r w:rsidRPr="00D92690">
        <w:rPr>
          <w:rFonts w:asciiTheme="minorHAnsi" w:hAnsiTheme="minorHAnsi"/>
        </w:rPr>
        <w:t xml:space="preserve">Potentially establishing a national road fund. This would assess available freight demand data and submissions from government and the freight industry to develop forward looking investment and maintenance plans for each tier of the network. </w:t>
      </w:r>
    </w:p>
    <w:p w:rsidR="004B64C9" w:rsidRPr="00D92690" w:rsidRDefault="004B64C9" w:rsidP="00D92690">
      <w:pPr>
        <w:numPr>
          <w:ilvl w:val="0"/>
          <w:numId w:val="10"/>
        </w:numPr>
        <w:contextualSpacing/>
        <w:jc w:val="both"/>
        <w:rPr>
          <w:rFonts w:asciiTheme="minorHAnsi" w:hAnsiTheme="minorHAnsi"/>
        </w:rPr>
      </w:pPr>
      <w:r w:rsidRPr="00D92690">
        <w:rPr>
          <w:rFonts w:asciiTheme="minorHAnsi" w:hAnsiTheme="minorHAnsi"/>
        </w:rPr>
        <w:t xml:space="preserve">Further improving the cost reflectivity of road charges in the medium term, a majority fuel based charge should be adopted, reducing the role of registration charges. </w:t>
      </w:r>
    </w:p>
    <w:p w:rsidR="004B64C9" w:rsidRPr="00D92690" w:rsidRDefault="004B64C9" w:rsidP="00D92690">
      <w:pPr>
        <w:numPr>
          <w:ilvl w:val="0"/>
          <w:numId w:val="10"/>
        </w:numPr>
        <w:contextualSpacing/>
        <w:jc w:val="both"/>
        <w:rPr>
          <w:rFonts w:asciiTheme="minorHAnsi" w:hAnsiTheme="minorHAnsi"/>
        </w:rPr>
      </w:pPr>
      <w:r w:rsidRPr="00D92690">
        <w:rPr>
          <w:rFonts w:asciiTheme="minorHAnsi" w:hAnsiTheme="minorHAnsi"/>
        </w:rPr>
        <w:t>Continuing with a fuel and registration-based charge until a strong business case for variable charging emerges. A strong business case needs to be presented for a move to variable charging. This move will be costly and carries high risks of inefficiency in revenue collection.</w:t>
      </w:r>
    </w:p>
    <w:p w:rsidR="004B64C9" w:rsidRPr="00D92690" w:rsidRDefault="004B64C9" w:rsidP="00D92690">
      <w:pPr>
        <w:jc w:val="both"/>
        <w:rPr>
          <w:rFonts w:asciiTheme="minorHAnsi" w:hAnsiTheme="minorHAnsi"/>
        </w:rPr>
      </w:pPr>
    </w:p>
    <w:p w:rsidR="004B64C9" w:rsidRPr="00D92690" w:rsidRDefault="004B64C9" w:rsidP="00D92690">
      <w:pPr>
        <w:jc w:val="both"/>
        <w:rPr>
          <w:rFonts w:asciiTheme="minorHAnsi" w:hAnsiTheme="minorHAnsi"/>
        </w:rPr>
      </w:pPr>
      <w:r w:rsidRPr="00D92690">
        <w:rPr>
          <w:rFonts w:asciiTheme="minorHAnsi" w:hAnsiTheme="minorHAnsi"/>
        </w:rPr>
        <w:t xml:space="preserve">PwC recommend variable charging be implemented only if the government can demonstrate the detailed data collected through variable charging can, and will, be used to improve road investment decision-making, in such a way that the added cost, time and complexity is warranted.  </w:t>
      </w:r>
    </w:p>
    <w:p w:rsidR="007F2D2A" w:rsidRPr="00D92690" w:rsidRDefault="007F2D2A" w:rsidP="00D92690">
      <w:pPr>
        <w:jc w:val="both"/>
        <w:rPr>
          <w:rFonts w:asciiTheme="minorHAnsi" w:hAnsiTheme="minorHAnsi"/>
        </w:rPr>
      </w:pPr>
    </w:p>
    <w:p w:rsidR="00350300" w:rsidRPr="00D92690" w:rsidRDefault="00350300" w:rsidP="00D92690">
      <w:pPr>
        <w:jc w:val="both"/>
        <w:rPr>
          <w:rFonts w:asciiTheme="minorHAnsi" w:hAnsiTheme="minorHAnsi" w:cs="Arial"/>
          <w:b/>
        </w:rPr>
      </w:pPr>
      <w:r w:rsidRPr="00D92690">
        <w:rPr>
          <w:rFonts w:asciiTheme="minorHAnsi" w:hAnsiTheme="minorHAnsi" w:cs="Arial"/>
          <w:b/>
        </w:rPr>
        <w:t>ATA recommendation – Heavy Veh</w:t>
      </w:r>
      <w:r w:rsidR="00CB4D57">
        <w:rPr>
          <w:rFonts w:asciiTheme="minorHAnsi" w:hAnsiTheme="minorHAnsi" w:cs="Arial"/>
          <w:b/>
        </w:rPr>
        <w:t>icle Charges and Investment reform</w:t>
      </w:r>
    </w:p>
    <w:p w:rsidR="00350300" w:rsidRPr="00D92690" w:rsidRDefault="00350300" w:rsidP="00D92690">
      <w:pPr>
        <w:jc w:val="both"/>
        <w:rPr>
          <w:rFonts w:asciiTheme="minorHAnsi" w:hAnsiTheme="minorHAnsi" w:cs="Arial"/>
          <w:b/>
        </w:rPr>
      </w:pPr>
    </w:p>
    <w:p w:rsidR="00350300" w:rsidRDefault="00350300" w:rsidP="005E23F5">
      <w:pPr>
        <w:jc w:val="both"/>
        <w:rPr>
          <w:rFonts w:asciiTheme="minorHAnsi" w:hAnsiTheme="minorHAnsi" w:cs="Arial"/>
          <w:iCs/>
        </w:rPr>
      </w:pPr>
      <w:r w:rsidRPr="00D92690">
        <w:rPr>
          <w:rFonts w:asciiTheme="minorHAnsi" w:hAnsiTheme="minorHAnsi" w:cs="Arial"/>
          <w:iCs/>
        </w:rPr>
        <w:t xml:space="preserve">The Government should disband the HVCI work as the outcome of their recommendations will increase the cost of transporting freight, </w:t>
      </w:r>
      <w:r w:rsidR="00497CD2" w:rsidRPr="00D92690">
        <w:rPr>
          <w:rFonts w:asciiTheme="minorHAnsi" w:hAnsiTheme="minorHAnsi" w:cs="Arial"/>
          <w:iCs/>
        </w:rPr>
        <w:t>increase costs in</w:t>
      </w:r>
      <w:r w:rsidRPr="00D92690">
        <w:rPr>
          <w:rFonts w:asciiTheme="minorHAnsi" w:hAnsiTheme="minorHAnsi" w:cs="Arial"/>
          <w:iCs/>
        </w:rPr>
        <w:t xml:space="preserve"> rural Australia, add extra administration costs to trucking businesses and not provide improvements in road provision.</w:t>
      </w:r>
    </w:p>
    <w:p w:rsidR="005E23F5" w:rsidRPr="00D92690" w:rsidRDefault="005E23F5" w:rsidP="005E23F5">
      <w:pPr>
        <w:jc w:val="both"/>
        <w:rPr>
          <w:rFonts w:asciiTheme="minorHAnsi" w:hAnsiTheme="minorHAnsi" w:cs="Arial"/>
          <w:iCs/>
        </w:rPr>
      </w:pPr>
    </w:p>
    <w:p w:rsidR="00097329" w:rsidRPr="005E23F5" w:rsidRDefault="00097329" w:rsidP="00D92690">
      <w:pPr>
        <w:pStyle w:val="ATAHeading2"/>
        <w:spacing w:before="0" w:after="0" w:line="240" w:lineRule="auto"/>
        <w:ind w:left="851" w:hanging="851"/>
        <w:jc w:val="both"/>
        <w:rPr>
          <w:rFonts w:asciiTheme="minorHAnsi" w:hAnsiTheme="minorHAnsi"/>
          <w:sz w:val="28"/>
          <w:szCs w:val="22"/>
        </w:rPr>
      </w:pPr>
      <w:bookmarkStart w:id="26" w:name="_Toc378749516"/>
      <w:r w:rsidRPr="005E23F5">
        <w:rPr>
          <w:rFonts w:asciiTheme="minorHAnsi" w:hAnsiTheme="minorHAnsi"/>
          <w:sz w:val="28"/>
          <w:szCs w:val="22"/>
        </w:rPr>
        <w:t xml:space="preserve">Achieving productivity gains </w:t>
      </w:r>
      <w:r w:rsidR="00F50495" w:rsidRPr="005E23F5">
        <w:rPr>
          <w:rFonts w:asciiTheme="minorHAnsi" w:hAnsiTheme="minorHAnsi"/>
          <w:sz w:val="28"/>
          <w:szCs w:val="22"/>
        </w:rPr>
        <w:t>and reducing red tape</w:t>
      </w:r>
      <w:bookmarkEnd w:id="26"/>
      <w:r w:rsidRPr="005E23F5">
        <w:rPr>
          <w:rFonts w:asciiTheme="minorHAnsi" w:hAnsiTheme="minorHAnsi"/>
          <w:sz w:val="28"/>
          <w:szCs w:val="22"/>
        </w:rPr>
        <w:t xml:space="preserve"> </w:t>
      </w:r>
    </w:p>
    <w:p w:rsidR="005E23F5" w:rsidRPr="00D92690" w:rsidRDefault="005E23F5" w:rsidP="005E23F5">
      <w:pPr>
        <w:pStyle w:val="ATAHeading2"/>
        <w:numPr>
          <w:ilvl w:val="0"/>
          <w:numId w:val="0"/>
        </w:numPr>
        <w:spacing w:before="0" w:after="0" w:line="240" w:lineRule="auto"/>
        <w:ind w:left="851"/>
        <w:jc w:val="both"/>
        <w:rPr>
          <w:rFonts w:asciiTheme="minorHAnsi" w:hAnsiTheme="minorHAnsi"/>
          <w:sz w:val="22"/>
          <w:szCs w:val="22"/>
        </w:rPr>
      </w:pPr>
    </w:p>
    <w:p w:rsidR="00097329" w:rsidRDefault="00097329"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bookmarkStart w:id="27" w:name="_Toc377118310"/>
      <w:bookmarkStart w:id="28" w:name="_Toc377461083"/>
      <w:bookmarkStart w:id="29" w:name="_Toc377728335"/>
      <w:bookmarkStart w:id="30" w:name="_Toc377734301"/>
      <w:bookmarkStart w:id="31" w:name="_Toc378235170"/>
      <w:bookmarkStart w:id="32" w:name="_Toc378326336"/>
      <w:bookmarkStart w:id="33" w:name="_Toc378338532"/>
      <w:bookmarkStart w:id="34" w:name="_Toc378749517"/>
      <w:r w:rsidRPr="00D92690">
        <w:rPr>
          <w:rFonts w:asciiTheme="minorHAnsi" w:hAnsiTheme="minorHAnsi" w:cs="Times New Roman"/>
          <w:b w:val="0"/>
          <w:color w:val="auto"/>
          <w:sz w:val="22"/>
          <w:szCs w:val="22"/>
        </w:rPr>
        <w:t>While funding certainty of road projects is important it needs to go hand in hand with reform of government agencies and practices in order to stop the barriers and burdens to improving productivity in the heavy vehicle industry.</w:t>
      </w:r>
      <w:bookmarkEnd w:id="27"/>
      <w:bookmarkEnd w:id="28"/>
      <w:bookmarkEnd w:id="29"/>
      <w:bookmarkEnd w:id="30"/>
      <w:bookmarkEnd w:id="31"/>
      <w:bookmarkEnd w:id="32"/>
      <w:bookmarkEnd w:id="33"/>
      <w:bookmarkEnd w:id="34"/>
      <w:r w:rsidRPr="00D92690">
        <w:rPr>
          <w:rFonts w:asciiTheme="minorHAnsi" w:hAnsiTheme="minorHAnsi" w:cs="Times New Roman"/>
          <w:b w:val="0"/>
          <w:color w:val="auto"/>
          <w:sz w:val="22"/>
          <w:szCs w:val="22"/>
        </w:rPr>
        <w:t xml:space="preserve"> </w:t>
      </w:r>
    </w:p>
    <w:p w:rsidR="00CB4D57" w:rsidRPr="00D92690" w:rsidRDefault="00CB4D57"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p>
    <w:p w:rsidR="006939CC" w:rsidRPr="005E23F5" w:rsidRDefault="00097329" w:rsidP="00D92690">
      <w:pPr>
        <w:pStyle w:val="ATAHeading2"/>
        <w:numPr>
          <w:ilvl w:val="2"/>
          <w:numId w:val="18"/>
        </w:numPr>
        <w:spacing w:before="0" w:after="0" w:line="240" w:lineRule="auto"/>
        <w:jc w:val="both"/>
        <w:rPr>
          <w:rFonts w:asciiTheme="minorHAnsi" w:hAnsiTheme="minorHAnsi"/>
          <w:sz w:val="24"/>
          <w:szCs w:val="22"/>
        </w:rPr>
      </w:pPr>
      <w:bookmarkStart w:id="35" w:name="_Toc377118311"/>
      <w:bookmarkStart w:id="36" w:name="_Toc377461084"/>
      <w:bookmarkStart w:id="37" w:name="_Toc377728336"/>
      <w:bookmarkStart w:id="38" w:name="_Toc378749518"/>
      <w:r w:rsidRPr="005E23F5">
        <w:rPr>
          <w:rFonts w:asciiTheme="minorHAnsi" w:hAnsiTheme="minorHAnsi"/>
          <w:sz w:val="24"/>
          <w:szCs w:val="22"/>
        </w:rPr>
        <w:t>Changes to Infrastructure Australia</w:t>
      </w:r>
      <w:bookmarkEnd w:id="35"/>
      <w:bookmarkEnd w:id="36"/>
      <w:bookmarkEnd w:id="37"/>
      <w:bookmarkEnd w:id="38"/>
    </w:p>
    <w:p w:rsidR="005E23F5" w:rsidRDefault="005E23F5"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bookmarkStart w:id="39" w:name="_Toc377461085"/>
      <w:bookmarkStart w:id="40" w:name="_Toc377728337"/>
      <w:bookmarkStart w:id="41" w:name="_Toc377734303"/>
      <w:bookmarkStart w:id="42" w:name="_Toc378235172"/>
      <w:bookmarkStart w:id="43" w:name="_Toc378326338"/>
      <w:bookmarkStart w:id="44" w:name="_Toc378338534"/>
      <w:bookmarkStart w:id="45" w:name="_Toc377118312"/>
    </w:p>
    <w:p w:rsidR="00097329" w:rsidRPr="00D92690" w:rsidRDefault="00097329"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bookmarkStart w:id="46" w:name="_Toc378749519"/>
      <w:r w:rsidRPr="00D92690">
        <w:rPr>
          <w:rFonts w:asciiTheme="minorHAnsi" w:hAnsiTheme="minorHAnsi" w:cs="Times New Roman"/>
          <w:b w:val="0"/>
          <w:color w:val="auto"/>
          <w:sz w:val="22"/>
          <w:szCs w:val="22"/>
        </w:rPr>
        <w:t>The ATA is involved in many different forums dealing with infrastructure issues, however Infrastructure Australia’s (IA) presence at these forums has been lacking and IA stakeholder consultation on crucial issues, for example B-triple trials on the Hume, has been very poor.</w:t>
      </w:r>
      <w:bookmarkEnd w:id="39"/>
      <w:bookmarkEnd w:id="40"/>
      <w:bookmarkEnd w:id="41"/>
      <w:bookmarkEnd w:id="42"/>
      <w:bookmarkEnd w:id="43"/>
      <w:bookmarkEnd w:id="44"/>
      <w:bookmarkEnd w:id="46"/>
      <w:r w:rsidRPr="00D92690">
        <w:rPr>
          <w:rFonts w:asciiTheme="minorHAnsi" w:hAnsiTheme="minorHAnsi" w:cs="Times New Roman"/>
          <w:b w:val="0"/>
          <w:color w:val="auto"/>
          <w:sz w:val="22"/>
          <w:szCs w:val="22"/>
        </w:rPr>
        <w:t xml:space="preserve"> </w:t>
      </w:r>
    </w:p>
    <w:p w:rsidR="00097329" w:rsidRPr="00D92690" w:rsidRDefault="00097329"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p>
    <w:p w:rsidR="00FC027F" w:rsidRPr="00D92690" w:rsidRDefault="00FC027F"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bookmarkStart w:id="47" w:name="_Toc377461086"/>
      <w:bookmarkStart w:id="48" w:name="_Toc377728338"/>
      <w:bookmarkStart w:id="49" w:name="_Toc377734304"/>
      <w:bookmarkStart w:id="50" w:name="_Toc378235173"/>
      <w:bookmarkStart w:id="51" w:name="_Toc378326339"/>
      <w:bookmarkStart w:id="52" w:name="_Toc378338535"/>
      <w:bookmarkStart w:id="53" w:name="_Toc378749520"/>
      <w:r w:rsidRPr="00D92690">
        <w:rPr>
          <w:rFonts w:asciiTheme="minorHAnsi" w:hAnsiTheme="minorHAnsi" w:cs="Times New Roman"/>
          <w:b w:val="0"/>
          <w:color w:val="auto"/>
          <w:sz w:val="22"/>
          <w:szCs w:val="22"/>
        </w:rPr>
        <w:t>The Government</w:t>
      </w:r>
      <w:r w:rsidR="00097329" w:rsidRPr="00D92690">
        <w:rPr>
          <w:rFonts w:asciiTheme="minorHAnsi" w:hAnsiTheme="minorHAnsi" w:cs="Times New Roman"/>
          <w:b w:val="0"/>
          <w:color w:val="auto"/>
          <w:sz w:val="22"/>
          <w:szCs w:val="22"/>
        </w:rPr>
        <w:t xml:space="preserve"> have stated Infrastructure Australia (IA)</w:t>
      </w:r>
      <w:r w:rsidR="00D143AC">
        <w:rPr>
          <w:rFonts w:asciiTheme="minorHAnsi" w:hAnsiTheme="minorHAnsi" w:cs="Times New Roman"/>
          <w:b w:val="0"/>
          <w:color w:val="auto"/>
          <w:sz w:val="22"/>
          <w:szCs w:val="22"/>
        </w:rPr>
        <w:t xml:space="preserve"> will continue</w:t>
      </w:r>
      <w:r w:rsidR="00097329" w:rsidRPr="00D92690">
        <w:rPr>
          <w:rFonts w:asciiTheme="minorHAnsi" w:hAnsiTheme="minorHAnsi" w:cs="Times New Roman"/>
          <w:b w:val="0"/>
          <w:color w:val="auto"/>
          <w:sz w:val="22"/>
          <w:szCs w:val="22"/>
        </w:rPr>
        <w:t xml:space="preserve">. However, they are recommending restructuring </w:t>
      </w:r>
      <w:r w:rsidR="00D143AC">
        <w:rPr>
          <w:rFonts w:asciiTheme="minorHAnsi" w:hAnsiTheme="minorHAnsi" w:cs="Times New Roman"/>
          <w:b w:val="0"/>
          <w:color w:val="auto"/>
          <w:sz w:val="22"/>
          <w:szCs w:val="22"/>
        </w:rPr>
        <w:t>of IA</w:t>
      </w:r>
      <w:r w:rsidR="00097329" w:rsidRPr="00D92690">
        <w:rPr>
          <w:rFonts w:asciiTheme="minorHAnsi" w:hAnsiTheme="minorHAnsi" w:cs="Times New Roman"/>
          <w:b w:val="0"/>
          <w:color w:val="auto"/>
          <w:sz w:val="22"/>
          <w:szCs w:val="22"/>
        </w:rPr>
        <w:t xml:space="preserve"> scope, transparency and accountability of the organisation</w:t>
      </w:r>
      <w:bookmarkEnd w:id="45"/>
      <w:bookmarkEnd w:id="47"/>
      <w:bookmarkEnd w:id="48"/>
      <w:bookmarkEnd w:id="49"/>
      <w:bookmarkEnd w:id="50"/>
      <w:r w:rsidRPr="00D92690">
        <w:rPr>
          <w:rFonts w:asciiTheme="minorHAnsi" w:hAnsiTheme="minorHAnsi" w:cs="Times New Roman"/>
          <w:b w:val="0"/>
          <w:color w:val="auto"/>
          <w:sz w:val="22"/>
          <w:szCs w:val="22"/>
        </w:rPr>
        <w:t>, which is welcomed.</w:t>
      </w:r>
      <w:bookmarkEnd w:id="51"/>
      <w:bookmarkEnd w:id="52"/>
      <w:bookmarkEnd w:id="53"/>
    </w:p>
    <w:p w:rsidR="00FC027F" w:rsidRPr="00D92690" w:rsidRDefault="00FC027F"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p>
    <w:p w:rsidR="00097329" w:rsidRDefault="00097329"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bookmarkStart w:id="54" w:name="_Toc377118322"/>
      <w:bookmarkStart w:id="55" w:name="_Toc377461096"/>
      <w:bookmarkStart w:id="56" w:name="_Toc377728348"/>
      <w:bookmarkStart w:id="57" w:name="_Toc377734314"/>
      <w:bookmarkStart w:id="58" w:name="_Toc378235183"/>
      <w:bookmarkStart w:id="59" w:name="_Toc378326340"/>
      <w:bookmarkStart w:id="60" w:name="_Toc378338536"/>
      <w:bookmarkStart w:id="61" w:name="_Toc378749521"/>
      <w:r w:rsidRPr="00D92690">
        <w:rPr>
          <w:rFonts w:asciiTheme="minorHAnsi" w:hAnsiTheme="minorHAnsi" w:cs="Times New Roman"/>
          <w:b w:val="0"/>
          <w:color w:val="auto"/>
          <w:sz w:val="22"/>
          <w:szCs w:val="22"/>
        </w:rPr>
        <w:lastRenderedPageBreak/>
        <w:t>The aim of the changes is to create incentive for deeper engagement by investors and infrastructure sector.</w:t>
      </w:r>
      <w:bookmarkEnd w:id="54"/>
      <w:r w:rsidRPr="00D92690">
        <w:rPr>
          <w:rFonts w:asciiTheme="minorHAnsi" w:hAnsiTheme="minorHAnsi" w:cs="Times New Roman"/>
          <w:b w:val="0"/>
          <w:color w:val="auto"/>
          <w:sz w:val="22"/>
          <w:szCs w:val="22"/>
        </w:rPr>
        <w:t xml:space="preserve"> The changes recommended for IA are needed in order for IA to provide more strategic advice on infrastructure projects.</w:t>
      </w:r>
      <w:bookmarkEnd w:id="55"/>
      <w:bookmarkEnd w:id="56"/>
      <w:bookmarkEnd w:id="57"/>
      <w:bookmarkEnd w:id="58"/>
      <w:bookmarkEnd w:id="59"/>
      <w:bookmarkEnd w:id="60"/>
      <w:bookmarkEnd w:id="61"/>
      <w:r w:rsidRPr="00D92690">
        <w:rPr>
          <w:rFonts w:asciiTheme="minorHAnsi" w:hAnsiTheme="minorHAnsi" w:cs="Times New Roman"/>
          <w:b w:val="0"/>
          <w:color w:val="auto"/>
          <w:sz w:val="22"/>
          <w:szCs w:val="22"/>
        </w:rPr>
        <w:t xml:space="preserve">  </w:t>
      </w:r>
    </w:p>
    <w:p w:rsidR="005E23F5" w:rsidRPr="00D92690" w:rsidRDefault="005E23F5" w:rsidP="00D92690">
      <w:pPr>
        <w:pStyle w:val="ATAHeading2"/>
        <w:numPr>
          <w:ilvl w:val="0"/>
          <w:numId w:val="0"/>
        </w:numPr>
        <w:spacing w:before="0" w:after="0" w:line="240" w:lineRule="auto"/>
        <w:jc w:val="both"/>
        <w:rPr>
          <w:rFonts w:asciiTheme="minorHAnsi" w:hAnsiTheme="minorHAnsi" w:cs="Times New Roman"/>
          <w:b w:val="0"/>
          <w:color w:val="auto"/>
          <w:sz w:val="22"/>
          <w:szCs w:val="22"/>
        </w:rPr>
      </w:pPr>
    </w:p>
    <w:p w:rsidR="00F04548" w:rsidRPr="005E23F5" w:rsidRDefault="002B54EF" w:rsidP="00D92690">
      <w:pPr>
        <w:pStyle w:val="ATAHeading2"/>
        <w:numPr>
          <w:ilvl w:val="2"/>
          <w:numId w:val="18"/>
        </w:numPr>
        <w:spacing w:before="0" w:after="0" w:line="240" w:lineRule="auto"/>
        <w:jc w:val="both"/>
        <w:rPr>
          <w:rFonts w:asciiTheme="minorHAnsi" w:hAnsiTheme="minorHAnsi"/>
          <w:sz w:val="24"/>
          <w:szCs w:val="22"/>
        </w:rPr>
      </w:pPr>
      <w:bookmarkStart w:id="62" w:name="_Toc378749522"/>
      <w:r w:rsidRPr="005E23F5">
        <w:rPr>
          <w:rFonts w:asciiTheme="minorHAnsi" w:hAnsiTheme="minorHAnsi"/>
          <w:sz w:val="24"/>
          <w:szCs w:val="22"/>
        </w:rPr>
        <w:t xml:space="preserve">Establish a </w:t>
      </w:r>
      <w:r w:rsidR="00F56FD2" w:rsidRPr="005E23F5">
        <w:rPr>
          <w:rFonts w:asciiTheme="minorHAnsi" w:hAnsiTheme="minorHAnsi"/>
          <w:sz w:val="24"/>
          <w:szCs w:val="22"/>
        </w:rPr>
        <w:t>j</w:t>
      </w:r>
      <w:r w:rsidR="006939CC" w:rsidRPr="005E23F5">
        <w:rPr>
          <w:rFonts w:asciiTheme="minorHAnsi" w:hAnsiTheme="minorHAnsi"/>
          <w:sz w:val="24"/>
          <w:szCs w:val="22"/>
        </w:rPr>
        <w:t>oint taskforce to review regulation</w:t>
      </w:r>
      <w:bookmarkEnd w:id="62"/>
    </w:p>
    <w:p w:rsidR="005E23F5" w:rsidRPr="00D92690" w:rsidRDefault="005E23F5" w:rsidP="005E23F5">
      <w:pPr>
        <w:pStyle w:val="ATAHeading2"/>
        <w:numPr>
          <w:ilvl w:val="0"/>
          <w:numId w:val="0"/>
        </w:numPr>
        <w:spacing w:before="0" w:after="0" w:line="240" w:lineRule="auto"/>
        <w:ind w:left="720"/>
        <w:jc w:val="both"/>
        <w:rPr>
          <w:rFonts w:asciiTheme="minorHAnsi" w:hAnsiTheme="minorHAnsi"/>
          <w:sz w:val="22"/>
          <w:szCs w:val="22"/>
        </w:rPr>
      </w:pPr>
    </w:p>
    <w:p w:rsidR="00F04548" w:rsidRPr="00D92690" w:rsidRDefault="00F04548" w:rsidP="00D92690">
      <w:pPr>
        <w:pStyle w:val="PlainText"/>
        <w:jc w:val="both"/>
        <w:rPr>
          <w:rFonts w:asciiTheme="minorHAnsi" w:hAnsiTheme="minorHAnsi" w:cs="Times New Roman"/>
          <w:sz w:val="22"/>
          <w:szCs w:val="22"/>
        </w:rPr>
      </w:pPr>
      <w:r w:rsidRPr="00D92690">
        <w:rPr>
          <w:rFonts w:asciiTheme="minorHAnsi" w:hAnsiTheme="minorHAnsi" w:cs="Times New Roman"/>
          <w:sz w:val="22"/>
          <w:szCs w:val="22"/>
        </w:rPr>
        <w:t xml:space="preserve">Along with the changes to IA and RIS requirements the government should establish a joint taskforce with industry to reviews regulations that prevent the industry from increasing its productivity.  </w:t>
      </w:r>
    </w:p>
    <w:p w:rsidR="00F04548" w:rsidRPr="00D92690" w:rsidRDefault="00F04548" w:rsidP="00D92690">
      <w:pPr>
        <w:pStyle w:val="PlainText"/>
        <w:jc w:val="both"/>
        <w:rPr>
          <w:rFonts w:asciiTheme="minorHAnsi" w:hAnsiTheme="minorHAnsi" w:cs="Times New Roman"/>
          <w:sz w:val="22"/>
          <w:szCs w:val="22"/>
        </w:rPr>
      </w:pPr>
    </w:p>
    <w:p w:rsidR="002B54EF" w:rsidRDefault="002B54EF" w:rsidP="00D92690">
      <w:pPr>
        <w:tabs>
          <w:tab w:val="left" w:pos="8080"/>
        </w:tabs>
        <w:jc w:val="both"/>
        <w:rPr>
          <w:rFonts w:asciiTheme="minorHAnsi" w:eastAsia="Times New Roman" w:hAnsiTheme="minorHAnsi" w:cs="Arial"/>
        </w:rPr>
      </w:pPr>
      <w:r w:rsidRPr="00D92690">
        <w:rPr>
          <w:rFonts w:asciiTheme="minorHAnsi" w:eastAsia="Times New Roman" w:hAnsiTheme="minorHAnsi" w:cs="Arial"/>
        </w:rPr>
        <w:t>The trucking industry is limited in its ability to reduce greenhouse gas emissions by a series of regulatory and market barriers. For example:</w:t>
      </w:r>
    </w:p>
    <w:p w:rsidR="005E23F5" w:rsidRPr="00D92690" w:rsidRDefault="005E23F5" w:rsidP="00D92690">
      <w:pPr>
        <w:tabs>
          <w:tab w:val="left" w:pos="8080"/>
        </w:tabs>
        <w:jc w:val="both"/>
        <w:rPr>
          <w:rFonts w:asciiTheme="minorHAnsi" w:eastAsia="Times New Roman" w:hAnsiTheme="minorHAnsi" w:cs="Arial"/>
        </w:rPr>
      </w:pPr>
    </w:p>
    <w:p w:rsidR="00132E36" w:rsidRPr="00D92690" w:rsidRDefault="002B54EF" w:rsidP="00D92690">
      <w:pPr>
        <w:numPr>
          <w:ilvl w:val="0"/>
          <w:numId w:val="7"/>
        </w:numPr>
        <w:ind w:left="714" w:hanging="357"/>
        <w:jc w:val="both"/>
        <w:rPr>
          <w:rFonts w:asciiTheme="minorHAnsi" w:hAnsiTheme="minorHAnsi" w:cs="Arial"/>
        </w:rPr>
      </w:pPr>
      <w:proofErr w:type="gramStart"/>
      <w:r w:rsidRPr="00D92690">
        <w:rPr>
          <w:rFonts w:asciiTheme="minorHAnsi" w:hAnsiTheme="minorHAnsi" w:cs="Arial"/>
        </w:rPr>
        <w:t>fitting</w:t>
      </w:r>
      <w:proofErr w:type="gramEnd"/>
      <w:r w:rsidRPr="00D92690">
        <w:rPr>
          <w:rFonts w:asciiTheme="minorHAnsi" w:hAnsiTheme="minorHAnsi" w:cs="Arial"/>
        </w:rPr>
        <w:t xml:space="preserve"> aerodynamic fairings to the rear of trailers could achieve a 6 to 9 per cent improvement in fuel consumption. These fairings cannot be used in Australia because of the rear overhang and overall length limits on trucks. </w:t>
      </w:r>
    </w:p>
    <w:p w:rsidR="002B54EF" w:rsidRPr="00D92690" w:rsidRDefault="002B54EF" w:rsidP="00D92690">
      <w:pPr>
        <w:numPr>
          <w:ilvl w:val="0"/>
          <w:numId w:val="7"/>
        </w:numPr>
        <w:ind w:left="714" w:hanging="357"/>
        <w:jc w:val="both"/>
        <w:rPr>
          <w:rFonts w:asciiTheme="minorHAnsi" w:hAnsiTheme="minorHAnsi" w:cs="Arial"/>
        </w:rPr>
      </w:pPr>
      <w:proofErr w:type="gramStart"/>
      <w:r w:rsidRPr="00D92690">
        <w:rPr>
          <w:rFonts w:asciiTheme="minorHAnsi" w:hAnsiTheme="minorHAnsi" w:cs="Arial"/>
        </w:rPr>
        <w:t>replacing</w:t>
      </w:r>
      <w:proofErr w:type="gramEnd"/>
      <w:r w:rsidRPr="00D92690">
        <w:rPr>
          <w:rFonts w:asciiTheme="minorHAnsi" w:hAnsiTheme="minorHAnsi" w:cs="Arial"/>
        </w:rPr>
        <w:t xml:space="preserve"> the double tyres used on trucks and trailers with single </w:t>
      </w:r>
      <w:proofErr w:type="spellStart"/>
      <w:r w:rsidRPr="00D92690">
        <w:rPr>
          <w:rFonts w:asciiTheme="minorHAnsi" w:hAnsiTheme="minorHAnsi" w:cs="Arial"/>
        </w:rPr>
        <w:t>ultrawide</w:t>
      </w:r>
      <w:proofErr w:type="spellEnd"/>
      <w:r w:rsidRPr="00D92690">
        <w:rPr>
          <w:rFonts w:asciiTheme="minorHAnsi" w:hAnsiTheme="minorHAnsi" w:cs="Arial"/>
        </w:rPr>
        <w:t xml:space="preserve"> tyres could deliver a 4 to 8 per cent improvement in fuel consumption. Under the national mass limits, however, vehicles with single </w:t>
      </w:r>
      <w:proofErr w:type="spellStart"/>
      <w:r w:rsidRPr="00D92690">
        <w:rPr>
          <w:rFonts w:asciiTheme="minorHAnsi" w:hAnsiTheme="minorHAnsi" w:cs="Arial"/>
        </w:rPr>
        <w:t>ultrawide</w:t>
      </w:r>
      <w:proofErr w:type="spellEnd"/>
      <w:r w:rsidRPr="00D92690">
        <w:rPr>
          <w:rFonts w:asciiTheme="minorHAnsi" w:hAnsiTheme="minorHAnsi" w:cs="Arial"/>
        </w:rPr>
        <w:t xml:space="preserve"> tyres cannot carry as much mass as vehicles with double tyres. As a result, they are not used.</w:t>
      </w:r>
    </w:p>
    <w:p w:rsidR="002B54EF" w:rsidRPr="00D92690" w:rsidRDefault="002B54EF" w:rsidP="00D92690">
      <w:pPr>
        <w:numPr>
          <w:ilvl w:val="0"/>
          <w:numId w:val="7"/>
        </w:numPr>
        <w:ind w:left="714" w:hanging="357"/>
        <w:jc w:val="both"/>
        <w:rPr>
          <w:rFonts w:asciiTheme="minorHAnsi" w:hAnsiTheme="minorHAnsi" w:cs="Arial"/>
        </w:rPr>
      </w:pPr>
      <w:proofErr w:type="gramStart"/>
      <w:r w:rsidRPr="00D92690">
        <w:rPr>
          <w:rFonts w:asciiTheme="minorHAnsi" w:hAnsiTheme="minorHAnsi" w:cs="Arial"/>
        </w:rPr>
        <w:t>the</w:t>
      </w:r>
      <w:proofErr w:type="gramEnd"/>
      <w:r w:rsidRPr="00D92690">
        <w:rPr>
          <w:rFonts w:asciiTheme="minorHAnsi" w:hAnsiTheme="minorHAnsi" w:cs="Arial"/>
        </w:rPr>
        <w:t xml:space="preserve"> best way trucking businesses can reduce their fuel consumption is to use high productivity vehicles like B-triples or super B-doubles on appropriate routes. By using B-triples instead of semitrailers, an operator could reduce its fuel consumption and greenhouse gas emissions by 31 per cent. But progress on allowing the industry to use these safe and efficient vehicles has been slow.</w:t>
      </w:r>
    </w:p>
    <w:p w:rsidR="002B54EF" w:rsidRPr="00D92690" w:rsidRDefault="002B54EF" w:rsidP="00D92690">
      <w:pPr>
        <w:numPr>
          <w:ilvl w:val="0"/>
          <w:numId w:val="7"/>
        </w:numPr>
        <w:ind w:left="714" w:hanging="357"/>
        <w:jc w:val="both"/>
        <w:rPr>
          <w:rFonts w:asciiTheme="minorHAnsi" w:hAnsiTheme="minorHAnsi" w:cs="Arial"/>
        </w:rPr>
      </w:pPr>
      <w:proofErr w:type="gramStart"/>
      <w:r w:rsidRPr="00D92690">
        <w:rPr>
          <w:rFonts w:asciiTheme="minorHAnsi" w:hAnsiTheme="minorHAnsi" w:cs="Arial"/>
        </w:rPr>
        <w:t>the</w:t>
      </w:r>
      <w:proofErr w:type="gramEnd"/>
      <w:r w:rsidRPr="00D92690">
        <w:rPr>
          <w:rFonts w:asciiTheme="minorHAnsi" w:hAnsiTheme="minorHAnsi" w:cs="Arial"/>
        </w:rPr>
        <w:t xml:space="preserve"> </w:t>
      </w:r>
      <w:proofErr w:type="spellStart"/>
      <w:r w:rsidRPr="00D92690">
        <w:rPr>
          <w:rFonts w:asciiTheme="minorHAnsi" w:hAnsiTheme="minorHAnsi" w:cs="Arial"/>
        </w:rPr>
        <w:t>takeup</w:t>
      </w:r>
      <w:proofErr w:type="spellEnd"/>
      <w:r w:rsidRPr="00D92690">
        <w:rPr>
          <w:rFonts w:asciiTheme="minorHAnsi" w:hAnsiTheme="minorHAnsi" w:cs="Arial"/>
        </w:rPr>
        <w:t xml:space="preserve"> of alternative fuels in the trucking industry has been very limited. The availability of gaseous fuel is constrained by the supply infrastructure. In addition, because it can require larger fuel tanks, its rollout is constrained by truck mass and dimension limits.</w:t>
      </w:r>
    </w:p>
    <w:p w:rsidR="00D143AC" w:rsidRPr="00D143AC" w:rsidRDefault="002B54EF" w:rsidP="00D143AC">
      <w:pPr>
        <w:numPr>
          <w:ilvl w:val="0"/>
          <w:numId w:val="7"/>
        </w:numPr>
        <w:ind w:left="714" w:hanging="357"/>
        <w:jc w:val="both"/>
        <w:rPr>
          <w:rFonts w:asciiTheme="minorHAnsi" w:hAnsiTheme="minorHAnsi" w:cs="Arial"/>
        </w:rPr>
      </w:pPr>
      <w:proofErr w:type="gramStart"/>
      <w:r w:rsidRPr="00D92690">
        <w:rPr>
          <w:rFonts w:asciiTheme="minorHAnsi" w:hAnsiTheme="minorHAnsi" w:cs="Arial"/>
        </w:rPr>
        <w:t>the</w:t>
      </w:r>
      <w:proofErr w:type="gramEnd"/>
      <w:r w:rsidRPr="00D92690">
        <w:rPr>
          <w:rFonts w:asciiTheme="minorHAnsi" w:hAnsiTheme="minorHAnsi" w:cs="Arial"/>
        </w:rPr>
        <w:t xml:space="preserve"> use of biodiesel blends is constrained by availability, taxation and engine warranty issues. Biodiesel blends are not readily available in many areas. B20 (a standard blend containing 20 per cent biodiesel) can only be sold with a special approval under section 13 of the </w:t>
      </w:r>
      <w:r w:rsidRPr="00D92690">
        <w:rPr>
          <w:rFonts w:asciiTheme="minorHAnsi" w:hAnsiTheme="minorHAnsi" w:cs="Arial"/>
          <w:i/>
        </w:rPr>
        <w:t>Fuel Quality Standards Act</w:t>
      </w:r>
      <w:r w:rsidRPr="00D92690">
        <w:rPr>
          <w:rFonts w:asciiTheme="minorHAnsi" w:hAnsiTheme="minorHAnsi" w:cs="Arial"/>
        </w:rPr>
        <w:t>. For operators, using blends with more than 20 per cent biodiesel raises fuel tax issues.</w:t>
      </w:r>
      <w:r w:rsidR="00D143AC">
        <w:rPr>
          <w:rFonts w:asciiTheme="minorHAnsi" w:hAnsiTheme="minorHAnsi" w:cs="Arial"/>
        </w:rPr>
        <w:t xml:space="preserve"> </w:t>
      </w:r>
      <w:r w:rsidRPr="00D143AC">
        <w:rPr>
          <w:rFonts w:asciiTheme="minorHAnsi" w:hAnsiTheme="minorHAnsi" w:cs="Arial"/>
        </w:rPr>
        <w:t xml:space="preserve">Engine manufacturers are generally reluctant to approve the use of blends with biodiesel concentrations of more than 5-7 per cent. The use of blends with a concentration of biodiesel higher than this level is especially problematic for advanced engines that comply with the Euro 6 emission standard. </w:t>
      </w:r>
    </w:p>
    <w:p w:rsidR="00D143AC" w:rsidRDefault="00D143AC" w:rsidP="00D143AC">
      <w:pPr>
        <w:jc w:val="both"/>
        <w:rPr>
          <w:rFonts w:asciiTheme="minorHAnsi" w:hAnsiTheme="minorHAnsi" w:cs="Arial"/>
        </w:rPr>
      </w:pPr>
    </w:p>
    <w:p w:rsidR="002B54EF" w:rsidRDefault="002B54EF" w:rsidP="00D143AC">
      <w:pPr>
        <w:jc w:val="both"/>
        <w:rPr>
          <w:rFonts w:asciiTheme="minorHAnsi" w:hAnsiTheme="minorHAnsi" w:cs="Arial"/>
        </w:rPr>
      </w:pPr>
      <w:r w:rsidRPr="00D92690">
        <w:rPr>
          <w:rFonts w:asciiTheme="minorHAnsi" w:hAnsiTheme="minorHAnsi" w:cs="Arial"/>
        </w:rPr>
        <w:t xml:space="preserve">As a result, it seems likely that the widespread use of biofuels will be delayed until third generation fuels that are indistinguishable from diesel are available. </w:t>
      </w:r>
    </w:p>
    <w:p w:rsidR="005E23F5" w:rsidRPr="00D92690" w:rsidRDefault="005E23F5" w:rsidP="00D92690">
      <w:pPr>
        <w:ind w:left="714"/>
        <w:jc w:val="both"/>
        <w:rPr>
          <w:rFonts w:asciiTheme="minorHAnsi" w:hAnsiTheme="minorHAnsi" w:cs="Arial"/>
        </w:rPr>
      </w:pPr>
    </w:p>
    <w:p w:rsidR="00FC027F" w:rsidRPr="00D92690" w:rsidRDefault="003E3D6A" w:rsidP="00D92690">
      <w:pPr>
        <w:pStyle w:val="PlainText"/>
        <w:jc w:val="both"/>
        <w:rPr>
          <w:rFonts w:asciiTheme="minorHAnsi" w:eastAsia="Calibri" w:hAnsiTheme="minorHAnsi" w:cs="Times New Roman"/>
          <w:b/>
          <w:sz w:val="22"/>
          <w:szCs w:val="22"/>
          <w:lang w:eastAsia="en-US"/>
        </w:rPr>
      </w:pPr>
      <w:r w:rsidRPr="00D92690">
        <w:rPr>
          <w:rFonts w:asciiTheme="minorHAnsi" w:eastAsia="Calibri" w:hAnsiTheme="minorHAnsi" w:cs="Times New Roman"/>
          <w:b/>
          <w:sz w:val="22"/>
          <w:szCs w:val="22"/>
          <w:lang w:eastAsia="en-US"/>
        </w:rPr>
        <w:t>ATA r</w:t>
      </w:r>
      <w:r w:rsidR="00FC027F" w:rsidRPr="00D92690">
        <w:rPr>
          <w:rFonts w:asciiTheme="minorHAnsi" w:eastAsia="Calibri" w:hAnsiTheme="minorHAnsi" w:cs="Times New Roman"/>
          <w:b/>
          <w:sz w:val="22"/>
          <w:szCs w:val="22"/>
          <w:lang w:eastAsia="en-US"/>
        </w:rPr>
        <w:t>ecommendation - Establish a Joint taskforce to review regulation</w:t>
      </w:r>
    </w:p>
    <w:p w:rsidR="00FC027F" w:rsidRPr="00D92690" w:rsidRDefault="00FC027F" w:rsidP="00D92690">
      <w:pPr>
        <w:pStyle w:val="PlainText"/>
        <w:jc w:val="both"/>
        <w:rPr>
          <w:rFonts w:asciiTheme="minorHAnsi" w:eastAsia="Calibri" w:hAnsiTheme="minorHAnsi" w:cs="Times New Roman"/>
          <w:b/>
          <w:sz w:val="22"/>
          <w:szCs w:val="22"/>
          <w:lang w:eastAsia="en-US"/>
        </w:rPr>
      </w:pPr>
    </w:p>
    <w:p w:rsidR="003E3D6A" w:rsidRPr="00CB4D57" w:rsidRDefault="00FC027F" w:rsidP="00D92690">
      <w:pPr>
        <w:jc w:val="both"/>
        <w:rPr>
          <w:rFonts w:asciiTheme="minorHAnsi" w:hAnsiTheme="minorHAnsi" w:cs="Arial"/>
        </w:rPr>
      </w:pPr>
      <w:r w:rsidRPr="00D92690">
        <w:rPr>
          <w:rFonts w:asciiTheme="minorHAnsi" w:eastAsia="Times New Roman" w:hAnsiTheme="minorHAnsi" w:cs="Arial"/>
        </w:rPr>
        <w:t>T</w:t>
      </w:r>
      <w:r w:rsidR="002B54EF" w:rsidRPr="00D92690">
        <w:rPr>
          <w:rFonts w:asciiTheme="minorHAnsi" w:eastAsia="Times New Roman" w:hAnsiTheme="minorHAnsi" w:cs="Arial"/>
        </w:rPr>
        <w:t xml:space="preserve">he Government should leverage its investment in abatement </w:t>
      </w:r>
      <w:r w:rsidR="000D5E4E" w:rsidRPr="00D92690">
        <w:rPr>
          <w:rFonts w:asciiTheme="minorHAnsi" w:eastAsia="Times New Roman" w:hAnsiTheme="minorHAnsi" w:cs="Arial"/>
        </w:rPr>
        <w:t xml:space="preserve">through the Emissions </w:t>
      </w:r>
      <w:r w:rsidR="002B54EF" w:rsidRPr="00D92690">
        <w:rPr>
          <w:rFonts w:asciiTheme="minorHAnsi" w:eastAsia="Times New Roman" w:hAnsiTheme="minorHAnsi" w:cs="Arial"/>
        </w:rPr>
        <w:t>R</w:t>
      </w:r>
      <w:r w:rsidR="000D5E4E" w:rsidRPr="00D92690">
        <w:rPr>
          <w:rFonts w:asciiTheme="minorHAnsi" w:eastAsia="Times New Roman" w:hAnsiTheme="minorHAnsi" w:cs="Arial"/>
        </w:rPr>
        <w:t xml:space="preserve">eduction </w:t>
      </w:r>
      <w:r w:rsidR="002B54EF" w:rsidRPr="00D92690">
        <w:rPr>
          <w:rFonts w:asciiTheme="minorHAnsi" w:eastAsia="Times New Roman" w:hAnsiTheme="minorHAnsi" w:cs="Arial"/>
        </w:rPr>
        <w:t>F</w:t>
      </w:r>
      <w:r w:rsidR="000D5E4E" w:rsidRPr="00D92690">
        <w:rPr>
          <w:rFonts w:asciiTheme="minorHAnsi" w:eastAsia="Times New Roman" w:hAnsiTheme="minorHAnsi" w:cs="Arial"/>
        </w:rPr>
        <w:t>und</w:t>
      </w:r>
      <w:r w:rsidR="002B54EF" w:rsidRPr="00D92690">
        <w:rPr>
          <w:rFonts w:asciiTheme="minorHAnsi" w:eastAsia="Times New Roman" w:hAnsiTheme="minorHAnsi" w:cs="Arial"/>
        </w:rPr>
        <w:t xml:space="preserve"> by</w:t>
      </w:r>
      <w:r w:rsidRPr="00D92690">
        <w:rPr>
          <w:rFonts w:asciiTheme="minorHAnsi" w:eastAsia="Times New Roman" w:hAnsiTheme="minorHAnsi" w:cs="Arial"/>
        </w:rPr>
        <w:t xml:space="preserve"> </w:t>
      </w:r>
      <w:r w:rsidR="002B54EF" w:rsidRPr="00D92690">
        <w:rPr>
          <w:rFonts w:asciiTheme="minorHAnsi" w:hAnsiTheme="minorHAnsi" w:cs="Arial"/>
        </w:rPr>
        <w:t>convening a government-industry taskforce to review the vehicle standards and regulations that prevent the trucking industry from increasing its energy efficiency further</w:t>
      </w:r>
      <w:r w:rsidR="00583369" w:rsidRPr="00D92690">
        <w:rPr>
          <w:rFonts w:asciiTheme="minorHAnsi" w:hAnsiTheme="minorHAnsi" w:cs="Arial"/>
        </w:rPr>
        <w:t>.</w:t>
      </w:r>
    </w:p>
    <w:p w:rsidR="005E23F5" w:rsidRPr="00D92690" w:rsidRDefault="005E23F5" w:rsidP="00D92690">
      <w:pPr>
        <w:jc w:val="both"/>
        <w:rPr>
          <w:rFonts w:asciiTheme="minorHAnsi" w:eastAsia="Times New Roman" w:hAnsiTheme="minorHAnsi" w:cs="Arial"/>
        </w:rPr>
      </w:pPr>
    </w:p>
    <w:p w:rsidR="00583369" w:rsidRDefault="00583369" w:rsidP="00D92690">
      <w:pPr>
        <w:pStyle w:val="ATAHeading2"/>
        <w:numPr>
          <w:ilvl w:val="2"/>
          <w:numId w:val="18"/>
        </w:numPr>
        <w:spacing w:before="0" w:after="0" w:line="240" w:lineRule="auto"/>
        <w:jc w:val="both"/>
        <w:rPr>
          <w:rFonts w:asciiTheme="minorHAnsi" w:hAnsiTheme="minorHAnsi"/>
          <w:sz w:val="24"/>
          <w:szCs w:val="22"/>
        </w:rPr>
      </w:pPr>
      <w:bookmarkStart w:id="63" w:name="_Toc378749523"/>
      <w:r w:rsidRPr="005E23F5">
        <w:rPr>
          <w:rFonts w:asciiTheme="minorHAnsi" w:hAnsiTheme="minorHAnsi"/>
          <w:sz w:val="24"/>
          <w:szCs w:val="22"/>
        </w:rPr>
        <w:t>Funding for research into renewable fuels</w:t>
      </w:r>
      <w:bookmarkEnd w:id="63"/>
    </w:p>
    <w:p w:rsidR="005E23F5" w:rsidRPr="005E23F5" w:rsidRDefault="005E23F5" w:rsidP="005E23F5">
      <w:pPr>
        <w:pStyle w:val="ATAHeading2"/>
        <w:numPr>
          <w:ilvl w:val="0"/>
          <w:numId w:val="0"/>
        </w:numPr>
        <w:spacing w:before="0" w:after="0" w:line="240" w:lineRule="auto"/>
        <w:jc w:val="both"/>
        <w:rPr>
          <w:rFonts w:asciiTheme="minorHAnsi" w:hAnsiTheme="minorHAnsi"/>
          <w:sz w:val="22"/>
          <w:szCs w:val="22"/>
        </w:rPr>
      </w:pPr>
    </w:p>
    <w:p w:rsidR="00583369" w:rsidRPr="00D92690" w:rsidRDefault="00583369" w:rsidP="00D92690">
      <w:pPr>
        <w:pStyle w:val="PlainText"/>
        <w:jc w:val="both"/>
        <w:rPr>
          <w:rFonts w:asciiTheme="minorHAnsi" w:hAnsiTheme="minorHAnsi"/>
          <w:sz w:val="22"/>
          <w:szCs w:val="22"/>
        </w:rPr>
      </w:pPr>
      <w:r w:rsidRPr="00D92690">
        <w:rPr>
          <w:rFonts w:asciiTheme="minorHAnsi" w:hAnsiTheme="minorHAnsi"/>
          <w:sz w:val="22"/>
          <w:szCs w:val="22"/>
        </w:rPr>
        <w:t xml:space="preserve">As mentioned above, the industry has little access to alternative fuels and increased government funding to research renewable fuels could present not only a less carbon intensive fuel but reduced transport costs and </w:t>
      </w:r>
      <w:r w:rsidR="00F96568" w:rsidRPr="00D92690">
        <w:rPr>
          <w:rFonts w:asciiTheme="minorHAnsi" w:hAnsiTheme="minorHAnsi"/>
          <w:sz w:val="22"/>
          <w:szCs w:val="22"/>
        </w:rPr>
        <w:t xml:space="preserve">increase Australia’s competitiveness. </w:t>
      </w:r>
    </w:p>
    <w:p w:rsidR="00583369" w:rsidRDefault="00583369" w:rsidP="00D92690">
      <w:pPr>
        <w:pStyle w:val="PlainText"/>
        <w:jc w:val="both"/>
        <w:rPr>
          <w:rFonts w:asciiTheme="minorHAnsi" w:hAnsiTheme="minorHAnsi"/>
          <w:sz w:val="22"/>
          <w:szCs w:val="22"/>
        </w:rPr>
      </w:pPr>
    </w:p>
    <w:p w:rsidR="005E23F5" w:rsidRDefault="005E23F5" w:rsidP="00D92690">
      <w:pPr>
        <w:pStyle w:val="PlainText"/>
        <w:jc w:val="both"/>
        <w:rPr>
          <w:rFonts w:asciiTheme="minorHAnsi" w:hAnsiTheme="minorHAnsi"/>
          <w:sz w:val="22"/>
          <w:szCs w:val="22"/>
        </w:rPr>
      </w:pPr>
      <w:r w:rsidRPr="00D92690">
        <w:rPr>
          <w:rFonts w:asciiTheme="minorHAnsi" w:eastAsia="Times New Roman" w:hAnsiTheme="minorHAnsi" w:cs="Arial"/>
          <w:b/>
          <w:bCs/>
          <w:sz w:val="22"/>
          <w:szCs w:val="22"/>
          <w:lang w:eastAsia="en-US"/>
        </w:rPr>
        <w:t>ATA recommendation - Funding for research into renewable fuels</w:t>
      </w:r>
      <w:r>
        <w:rPr>
          <w:rFonts w:asciiTheme="minorHAnsi" w:hAnsiTheme="minorHAnsi"/>
          <w:sz w:val="22"/>
          <w:szCs w:val="22"/>
        </w:rPr>
        <w:t xml:space="preserve"> </w:t>
      </w:r>
    </w:p>
    <w:p w:rsidR="005E23F5" w:rsidRDefault="005E23F5" w:rsidP="00D92690">
      <w:pPr>
        <w:pStyle w:val="PlainText"/>
        <w:jc w:val="both"/>
        <w:rPr>
          <w:rFonts w:asciiTheme="minorHAnsi" w:hAnsiTheme="minorHAnsi"/>
          <w:sz w:val="22"/>
          <w:szCs w:val="22"/>
        </w:rPr>
      </w:pPr>
    </w:p>
    <w:p w:rsidR="00E464E0" w:rsidRPr="00D92690" w:rsidRDefault="005E23F5" w:rsidP="005E23F5">
      <w:pPr>
        <w:pStyle w:val="PlainText"/>
        <w:jc w:val="both"/>
        <w:rPr>
          <w:rFonts w:asciiTheme="minorHAnsi" w:eastAsia="Times New Roman" w:hAnsiTheme="minorHAnsi" w:cs="Arial"/>
          <w:bCs/>
          <w:sz w:val="22"/>
          <w:szCs w:val="22"/>
          <w:lang w:eastAsia="en-US"/>
        </w:rPr>
      </w:pPr>
      <w:r>
        <w:rPr>
          <w:rFonts w:asciiTheme="minorHAnsi" w:hAnsiTheme="minorHAnsi"/>
          <w:sz w:val="22"/>
          <w:szCs w:val="22"/>
        </w:rPr>
        <w:t xml:space="preserve">The </w:t>
      </w:r>
      <w:r w:rsidR="00B612B6">
        <w:rPr>
          <w:rFonts w:asciiTheme="minorHAnsi" w:hAnsiTheme="minorHAnsi"/>
          <w:sz w:val="22"/>
          <w:szCs w:val="22"/>
        </w:rPr>
        <w:t>G</w:t>
      </w:r>
      <w:r>
        <w:rPr>
          <w:rFonts w:asciiTheme="minorHAnsi" w:hAnsiTheme="minorHAnsi"/>
          <w:sz w:val="22"/>
          <w:szCs w:val="22"/>
        </w:rPr>
        <w:t>overnment should contribute</w:t>
      </w:r>
      <w:r w:rsidR="00583369" w:rsidRPr="00D92690">
        <w:rPr>
          <w:rFonts w:asciiTheme="minorHAnsi" w:eastAsia="Times New Roman" w:hAnsiTheme="minorHAnsi" w:cs="Arial"/>
          <w:sz w:val="22"/>
          <w:szCs w:val="22"/>
          <w:lang w:eastAsia="en-US"/>
        </w:rPr>
        <w:t xml:space="preserve"> an additional $5 million per year for five years to support the further development of synthesising macro algae into synthetic crude oil.</w:t>
      </w:r>
    </w:p>
    <w:sectPr w:rsidR="00E464E0" w:rsidRPr="00D92690" w:rsidSect="00A9141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08" w:rsidRDefault="00B82008" w:rsidP="000F3D9F">
      <w:r>
        <w:separator/>
      </w:r>
    </w:p>
  </w:endnote>
  <w:endnote w:type="continuationSeparator" w:id="0">
    <w:p w:rsidR="00B82008" w:rsidRDefault="00B82008"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B82008" w:rsidRPr="00E8056B" w:rsidRDefault="00B82008" w:rsidP="00E8056B">
    <w:pPr>
      <w:jc w:val="right"/>
      <w:rPr>
        <w:rFonts w:ascii="Arial" w:hAnsi="Arial" w:cs="Arial"/>
        <w:sz w:val="16"/>
        <w:szCs w:val="16"/>
      </w:rPr>
    </w:pPr>
  </w:p>
  <w:p w:rsidR="00B82008" w:rsidRPr="00E8056B" w:rsidRDefault="00B82008"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B82008" w:rsidRPr="00E8056B" w:rsidRDefault="00B82008"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3B2024">
    <w:pPr>
      <w:pStyle w:val="Footer"/>
      <w:jc w:val="right"/>
    </w:pPr>
    <w:fldSimple w:instr=" PAGE   \* MERGEFORMAT ">
      <w:r w:rsidR="00B82008">
        <w:rPr>
          <w:noProof/>
        </w:rPr>
        <w:t>7</w:t>
      </w:r>
    </w:fldSimple>
  </w:p>
  <w:p w:rsidR="00B82008" w:rsidRDefault="00B82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B82008" w:rsidRPr="00A91411" w:rsidTr="008E09F4">
      <w:trPr>
        <w:trHeight w:val="57"/>
      </w:trPr>
      <w:tc>
        <w:tcPr>
          <w:tcW w:w="4927" w:type="dxa"/>
          <w:vAlign w:val="center"/>
        </w:tcPr>
        <w:p w:rsidR="00B82008" w:rsidRPr="00A91411" w:rsidRDefault="00B82008" w:rsidP="008C10AA">
          <w:pPr>
            <w:pStyle w:val="Footer"/>
            <w:rPr>
              <w:rFonts w:ascii="Arial" w:hAnsi="Arial" w:cs="Arial"/>
              <w:sz w:val="14"/>
              <w:szCs w:val="14"/>
            </w:rPr>
          </w:pPr>
          <w:r>
            <w:rPr>
              <w:rFonts w:ascii="Arial" w:hAnsi="Arial" w:cs="Arial"/>
              <w:sz w:val="14"/>
              <w:szCs w:val="14"/>
            </w:rPr>
            <w:t xml:space="preserve">ATA Submission: </w:t>
          </w:r>
          <w:r w:rsidR="00400142">
            <w:rPr>
              <w:rFonts w:ascii="Arial" w:hAnsi="Arial" w:cs="Arial"/>
              <w:sz w:val="14"/>
              <w:szCs w:val="14"/>
            </w:rPr>
            <w:t>2014-</w:t>
          </w:r>
          <w:r w:rsidRPr="005F31DF">
            <w:rPr>
              <w:rFonts w:ascii="Arial" w:hAnsi="Arial" w:cs="Arial"/>
              <w:sz w:val="14"/>
              <w:szCs w:val="14"/>
            </w:rPr>
            <w:t>15 Pre-</w:t>
          </w:r>
          <w:r>
            <w:rPr>
              <w:rFonts w:ascii="Arial" w:hAnsi="Arial" w:cs="Arial"/>
              <w:sz w:val="14"/>
              <w:szCs w:val="14"/>
            </w:rPr>
            <w:t>b</w:t>
          </w:r>
          <w:r w:rsidRPr="005F31DF">
            <w:rPr>
              <w:rFonts w:ascii="Arial" w:hAnsi="Arial" w:cs="Arial"/>
              <w:sz w:val="14"/>
              <w:szCs w:val="14"/>
            </w:rPr>
            <w:t>udget Submission</w:t>
          </w:r>
        </w:p>
      </w:tc>
      <w:tc>
        <w:tcPr>
          <w:tcW w:w="4927" w:type="dxa"/>
          <w:vAlign w:val="center"/>
        </w:tcPr>
        <w:p w:rsidR="00B82008" w:rsidRPr="00A91411" w:rsidRDefault="00B82008" w:rsidP="00D735FF">
          <w:pPr>
            <w:pStyle w:val="Footer"/>
            <w:jc w:val="right"/>
            <w:rPr>
              <w:rFonts w:ascii="Arial" w:hAnsi="Arial" w:cs="Arial"/>
              <w:sz w:val="14"/>
              <w:szCs w:val="14"/>
            </w:rPr>
          </w:pPr>
          <w:r w:rsidRPr="00A91411">
            <w:rPr>
              <w:rFonts w:ascii="Arial" w:hAnsi="Arial" w:cs="Arial"/>
              <w:sz w:val="14"/>
              <w:szCs w:val="14"/>
            </w:rPr>
            <w:t xml:space="preserve">Page </w:t>
          </w:r>
          <w:r w:rsidR="003B2024"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3B2024" w:rsidRPr="00A91411">
            <w:rPr>
              <w:rFonts w:ascii="Arial" w:hAnsi="Arial" w:cs="Arial"/>
              <w:sz w:val="14"/>
              <w:szCs w:val="14"/>
            </w:rPr>
            <w:fldChar w:fldCharType="separate"/>
          </w:r>
          <w:r w:rsidR="003B6265">
            <w:rPr>
              <w:rFonts w:ascii="Arial" w:hAnsi="Arial" w:cs="Arial"/>
              <w:noProof/>
              <w:sz w:val="14"/>
              <w:szCs w:val="14"/>
            </w:rPr>
            <w:t>2</w:t>
          </w:r>
          <w:r w:rsidR="003B2024" w:rsidRPr="00A91411">
            <w:rPr>
              <w:rFonts w:ascii="Arial" w:hAnsi="Arial" w:cs="Arial"/>
              <w:sz w:val="14"/>
              <w:szCs w:val="14"/>
            </w:rPr>
            <w:fldChar w:fldCharType="end"/>
          </w:r>
        </w:p>
      </w:tc>
    </w:tr>
  </w:tbl>
  <w:p w:rsidR="00B82008" w:rsidRPr="00A91411" w:rsidRDefault="00B82008">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08" w:rsidRDefault="00B82008" w:rsidP="000F3D9F">
      <w:r>
        <w:separator/>
      </w:r>
    </w:p>
  </w:footnote>
  <w:footnote w:type="continuationSeparator" w:id="0">
    <w:p w:rsidR="00B82008" w:rsidRDefault="00B82008" w:rsidP="000F3D9F">
      <w:r>
        <w:continuationSeparator/>
      </w:r>
    </w:p>
  </w:footnote>
  <w:footnote w:id="1">
    <w:p w:rsidR="00B82008" w:rsidRPr="00EB73AB" w:rsidRDefault="00B82008" w:rsidP="00CB4D57">
      <w:pPr>
        <w:pStyle w:val="FootnoteText"/>
        <w:rPr>
          <w:rFonts w:asciiTheme="minorHAnsi" w:hAnsiTheme="minorHAnsi" w:cs="Arial"/>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w:t>
      </w:r>
      <w:r w:rsidRPr="00EB73AB">
        <w:rPr>
          <w:rFonts w:asciiTheme="minorHAnsi" w:hAnsiTheme="minorHAnsi" w:cs="Arial"/>
          <w:sz w:val="16"/>
          <w:szCs w:val="16"/>
        </w:rPr>
        <w:t xml:space="preserve">Australian National Audit Office (ANAO), </w:t>
      </w:r>
      <w:r w:rsidRPr="00EB73AB">
        <w:rPr>
          <w:rFonts w:asciiTheme="minorHAnsi" w:hAnsiTheme="minorHAnsi" w:cs="Arial"/>
          <w:i/>
          <w:sz w:val="16"/>
          <w:szCs w:val="16"/>
        </w:rPr>
        <w:t>Management of the AusLink Roads to Recovery Program</w:t>
      </w:r>
      <w:r w:rsidRPr="00EB73AB">
        <w:rPr>
          <w:rFonts w:asciiTheme="minorHAnsi" w:hAnsiTheme="minorHAnsi" w:cs="Arial"/>
          <w:sz w:val="16"/>
          <w:szCs w:val="16"/>
        </w:rPr>
        <w:t>, Canberra, 2010, pp 120, 121-124, 125-142.</w:t>
      </w:r>
    </w:p>
  </w:footnote>
  <w:footnote w:id="2">
    <w:p w:rsidR="00B82008" w:rsidRPr="00EB73AB" w:rsidRDefault="00B8200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Page 12 A future strategy for road supply and charging in Australia, PricewaterhouseCoopers 2013</w:t>
      </w:r>
    </w:p>
  </w:footnote>
  <w:footnote w:id="3">
    <w:p w:rsidR="00B82008" w:rsidRPr="00EB73AB" w:rsidRDefault="00B8200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Page 10 A future strategy for road supply and charging in Australia, PricewaterhouseCoopers 2013</w:t>
      </w:r>
    </w:p>
  </w:footnote>
  <w:footnote w:id="4">
    <w:p w:rsidR="00B82008" w:rsidRPr="00EB73AB" w:rsidRDefault="00B8200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Page 11</w:t>
      </w:r>
      <w:r w:rsidRPr="00EB73AB">
        <w:rPr>
          <w:rFonts w:asciiTheme="minorHAnsi" w:hAnsiTheme="minorHAnsi" w:cs="Arial"/>
          <w:sz w:val="16"/>
          <w:szCs w:val="16"/>
        </w:rPr>
        <w:t xml:space="preserve"> </w:t>
      </w:r>
      <w:r w:rsidRPr="00EB73AB">
        <w:rPr>
          <w:rFonts w:asciiTheme="minorHAnsi" w:hAnsiTheme="minorHAnsi"/>
          <w:sz w:val="16"/>
          <w:szCs w:val="16"/>
        </w:rPr>
        <w:t>A future strategy for road supply and charging in Australia, PricewaterhouseCoopers 2013</w:t>
      </w:r>
    </w:p>
  </w:footnote>
  <w:footnote w:id="5">
    <w:p w:rsidR="00B82008" w:rsidRPr="00EB73AB" w:rsidRDefault="00B8200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Page 18 A future strategy for road supply and charging in Australia, PricewaterhouseCoopers 2013</w:t>
      </w:r>
    </w:p>
  </w:footnote>
  <w:footnote w:id="6">
    <w:p w:rsidR="00B82008" w:rsidRPr="00EB73AB" w:rsidRDefault="00B82008" w:rsidP="00DC22B8">
      <w:pPr>
        <w:pStyle w:val="FootnoteText"/>
        <w:rPr>
          <w:rFonts w:asciiTheme="minorHAnsi" w:hAnsiTheme="minorHAnsi" w:cs="Arial"/>
          <w:sz w:val="16"/>
          <w:szCs w:val="16"/>
        </w:rPr>
      </w:pPr>
      <w:r w:rsidRPr="00EB73AB">
        <w:rPr>
          <w:rStyle w:val="FootnoteReference"/>
          <w:rFonts w:asciiTheme="minorHAnsi" w:hAnsiTheme="minorHAnsi" w:cs="Arial"/>
          <w:sz w:val="16"/>
          <w:szCs w:val="16"/>
        </w:rPr>
        <w:footnoteRef/>
      </w:r>
      <w:r w:rsidRPr="00EB73AB">
        <w:rPr>
          <w:rFonts w:asciiTheme="minorHAnsi" w:hAnsiTheme="minorHAnsi" w:cs="Arial"/>
          <w:sz w:val="16"/>
          <w:szCs w:val="16"/>
        </w:rPr>
        <w:t xml:space="preserve"> Hockey, J and A Robb, </w:t>
      </w:r>
      <w:r w:rsidRPr="00EB73AB">
        <w:rPr>
          <w:rFonts w:asciiTheme="minorHAnsi" w:hAnsiTheme="minorHAnsi" w:cs="Arial"/>
          <w:i/>
          <w:sz w:val="16"/>
          <w:szCs w:val="16"/>
        </w:rPr>
        <w:t>Final update on Coalition election policy commitments</w:t>
      </w:r>
      <w:r w:rsidRPr="00EB73AB">
        <w:rPr>
          <w:rFonts w:asciiTheme="minorHAnsi" w:hAnsiTheme="minorHAnsi" w:cs="Arial"/>
          <w:sz w:val="16"/>
          <w:szCs w:val="16"/>
        </w:rPr>
        <w:t>, Media release, 5 September 2013.</w:t>
      </w:r>
    </w:p>
  </w:footnote>
  <w:footnote w:id="7">
    <w:p w:rsidR="00B82008" w:rsidRPr="00EB73AB" w:rsidRDefault="00B82008" w:rsidP="00DC22B8">
      <w:pPr>
        <w:pStyle w:val="FootnoteText"/>
        <w:rPr>
          <w:rFonts w:asciiTheme="minorHAnsi" w:hAnsiTheme="minorHAnsi" w:cs="Arial"/>
          <w:sz w:val="16"/>
          <w:szCs w:val="16"/>
        </w:rPr>
      </w:pPr>
      <w:r w:rsidRPr="00EB73AB">
        <w:rPr>
          <w:rStyle w:val="FootnoteReference"/>
          <w:rFonts w:asciiTheme="minorHAnsi" w:hAnsiTheme="minorHAnsi" w:cs="Arial"/>
          <w:sz w:val="16"/>
          <w:szCs w:val="16"/>
        </w:rPr>
        <w:footnoteRef/>
      </w:r>
      <w:r w:rsidRPr="00EB73AB">
        <w:rPr>
          <w:rFonts w:asciiTheme="minorHAnsi" w:hAnsiTheme="minorHAnsi" w:cs="Arial"/>
          <w:sz w:val="16"/>
          <w:szCs w:val="16"/>
        </w:rPr>
        <w:t xml:space="preserve"> </w:t>
      </w:r>
      <w:proofErr w:type="gramStart"/>
      <w:r w:rsidRPr="00EB73AB">
        <w:rPr>
          <w:rFonts w:asciiTheme="minorHAnsi" w:hAnsiTheme="minorHAnsi" w:cs="Arial"/>
          <w:sz w:val="16"/>
          <w:szCs w:val="16"/>
        </w:rPr>
        <w:t xml:space="preserve">Liberal and National parties, </w:t>
      </w:r>
      <w:r w:rsidRPr="00EB73AB">
        <w:rPr>
          <w:rFonts w:asciiTheme="minorHAnsi" w:hAnsiTheme="minorHAnsi" w:cs="Arial"/>
          <w:i/>
          <w:sz w:val="16"/>
          <w:szCs w:val="16"/>
        </w:rPr>
        <w:t>The Coalition’s policy to deliver the infrastructure for the 21st century</w:t>
      </w:r>
      <w:r w:rsidRPr="00EB73AB">
        <w:rPr>
          <w:rFonts w:asciiTheme="minorHAnsi" w:hAnsiTheme="minorHAnsi" w:cs="Arial"/>
          <w:sz w:val="16"/>
          <w:szCs w:val="16"/>
        </w:rPr>
        <w:t>, September 2013.</w:t>
      </w:r>
      <w:proofErr w:type="gramEnd"/>
      <w:r w:rsidRPr="00EB73AB">
        <w:rPr>
          <w:rFonts w:asciiTheme="minorHAnsi" w:hAnsiTheme="minorHAnsi" w:cs="Arial"/>
          <w:sz w:val="16"/>
          <w:szCs w:val="16"/>
        </w:rPr>
        <w:t xml:space="preserve"> p3.</w:t>
      </w:r>
    </w:p>
  </w:footnote>
  <w:footnote w:id="8">
    <w:p w:rsidR="00B82008" w:rsidRPr="00EB73AB" w:rsidRDefault="00B82008" w:rsidP="00DC22B8">
      <w:pPr>
        <w:pStyle w:val="FootnoteText"/>
        <w:rPr>
          <w:rFonts w:asciiTheme="minorHAnsi" w:hAnsiTheme="minorHAnsi"/>
          <w:sz w:val="16"/>
          <w:szCs w:val="16"/>
        </w:rPr>
      </w:pPr>
      <w:r w:rsidRPr="00EB73AB">
        <w:rPr>
          <w:rStyle w:val="FootnoteReference"/>
          <w:rFonts w:asciiTheme="minorHAnsi" w:hAnsiTheme="minorHAnsi" w:cs="Arial"/>
          <w:sz w:val="16"/>
          <w:szCs w:val="16"/>
        </w:rPr>
        <w:footnoteRef/>
      </w:r>
      <w:r w:rsidRPr="00EB73AB">
        <w:rPr>
          <w:rFonts w:asciiTheme="minorHAnsi" w:hAnsiTheme="minorHAnsi" w:cs="Arial"/>
          <w:sz w:val="16"/>
          <w:szCs w:val="16"/>
        </w:rPr>
        <w:t xml:space="preserve"> Bureau of Infrastructure, Transport and Regional Economics, </w:t>
      </w:r>
      <w:r w:rsidRPr="00EB73AB">
        <w:rPr>
          <w:rFonts w:asciiTheme="minorHAnsi" w:hAnsiTheme="minorHAnsi" w:cs="Arial"/>
          <w:i/>
          <w:sz w:val="16"/>
          <w:szCs w:val="16"/>
        </w:rPr>
        <w:t>Truck productivity: sources, trends and future prospects</w:t>
      </w:r>
      <w:r w:rsidRPr="00EB73AB">
        <w:rPr>
          <w:rFonts w:asciiTheme="minorHAnsi" w:hAnsiTheme="minorHAnsi" w:cs="Arial"/>
          <w:sz w:val="16"/>
          <w:szCs w:val="16"/>
        </w:rPr>
        <w:t xml:space="preserve">. </w:t>
      </w:r>
      <w:proofErr w:type="gramStart"/>
      <w:r w:rsidRPr="00EB73AB">
        <w:rPr>
          <w:rFonts w:asciiTheme="minorHAnsi" w:hAnsiTheme="minorHAnsi" w:cs="Arial"/>
          <w:sz w:val="16"/>
          <w:szCs w:val="16"/>
        </w:rPr>
        <w:t>Report 123.</w:t>
      </w:r>
      <w:proofErr w:type="gramEnd"/>
      <w:r w:rsidRPr="00EB73AB">
        <w:rPr>
          <w:rFonts w:asciiTheme="minorHAnsi" w:hAnsiTheme="minorHAnsi" w:cs="Arial"/>
          <w:sz w:val="16"/>
          <w:szCs w:val="16"/>
        </w:rPr>
        <w:t xml:space="preserve"> BITRE, Canberra, 2011. </w:t>
      </w:r>
      <w:proofErr w:type="gramStart"/>
      <w:r w:rsidRPr="00EB73AB">
        <w:rPr>
          <w:rFonts w:asciiTheme="minorHAnsi" w:hAnsiTheme="minorHAnsi" w:cs="Arial"/>
          <w:sz w:val="16"/>
          <w:szCs w:val="16"/>
        </w:rPr>
        <w:t>p</w:t>
      </w:r>
      <w:proofErr w:type="gramEnd"/>
      <w:r w:rsidRPr="00EB73AB">
        <w:rPr>
          <w:rFonts w:asciiTheme="minorHAnsi" w:hAnsiTheme="minorHAnsi" w:cs="Arial"/>
          <w:sz w:val="16"/>
          <w:szCs w:val="16"/>
        </w:rPr>
        <w:t xml:space="preserve"> xv.</w:t>
      </w:r>
    </w:p>
  </w:footnote>
  <w:footnote w:id="9">
    <w:p w:rsidR="00B82008" w:rsidRPr="00EB73AB" w:rsidRDefault="00B82008" w:rsidP="00DC22B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w:t>
      </w:r>
      <w:proofErr w:type="gramStart"/>
      <w:r w:rsidRPr="00EB73AB">
        <w:rPr>
          <w:rFonts w:asciiTheme="minorHAnsi" w:hAnsiTheme="minorHAnsi" w:cs="Arial"/>
          <w:sz w:val="16"/>
          <w:szCs w:val="16"/>
        </w:rPr>
        <w:t xml:space="preserve">PricewaterhouseCoopers, </w:t>
      </w:r>
      <w:r w:rsidRPr="00EB73AB">
        <w:rPr>
          <w:rFonts w:asciiTheme="minorHAnsi" w:hAnsiTheme="minorHAnsi" w:cs="Arial"/>
          <w:i/>
          <w:sz w:val="16"/>
          <w:szCs w:val="16"/>
        </w:rPr>
        <w:t>A future strategy for road supply and charging in Australia</w:t>
      </w:r>
      <w:r w:rsidRPr="00EB73AB">
        <w:rPr>
          <w:rFonts w:asciiTheme="minorHAnsi" w:hAnsiTheme="minorHAnsi" w:cs="Arial"/>
          <w:sz w:val="16"/>
          <w:szCs w:val="16"/>
        </w:rPr>
        <w:t>.</w:t>
      </w:r>
      <w:proofErr w:type="gramEnd"/>
      <w:r w:rsidRPr="00EB73AB">
        <w:rPr>
          <w:rFonts w:asciiTheme="minorHAnsi" w:hAnsiTheme="minorHAnsi" w:cs="Arial"/>
          <w:sz w:val="16"/>
          <w:szCs w:val="16"/>
        </w:rPr>
        <w:t xml:space="preserve"> Report prepared for the Australian Trucking Association, March 2013, pp31-32.</w:t>
      </w:r>
    </w:p>
  </w:footnote>
  <w:footnote w:id="10">
    <w:p w:rsidR="00B82008" w:rsidRPr="00EB73AB" w:rsidRDefault="00B82008" w:rsidP="00DC22B8">
      <w:pPr>
        <w:pStyle w:val="FootnoteText"/>
        <w:rPr>
          <w:rFonts w:asciiTheme="minorHAnsi" w:hAnsiTheme="minorHAnsi" w:cs="Arial"/>
          <w:sz w:val="16"/>
          <w:szCs w:val="16"/>
        </w:rPr>
      </w:pPr>
      <w:r w:rsidRPr="00EB73AB">
        <w:rPr>
          <w:rStyle w:val="FootnoteReference"/>
          <w:rFonts w:asciiTheme="minorHAnsi" w:hAnsiTheme="minorHAnsi" w:cs="Arial"/>
          <w:sz w:val="16"/>
          <w:szCs w:val="16"/>
        </w:rPr>
        <w:footnoteRef/>
      </w:r>
      <w:r w:rsidRPr="00EB73AB">
        <w:rPr>
          <w:rFonts w:asciiTheme="minorHAnsi" w:hAnsiTheme="minorHAnsi" w:cs="Arial"/>
          <w:sz w:val="16"/>
          <w:szCs w:val="16"/>
        </w:rPr>
        <w:t xml:space="preserve"> Austroads, </w:t>
      </w:r>
      <w:r w:rsidRPr="00EB73AB">
        <w:rPr>
          <w:rFonts w:asciiTheme="minorHAnsi" w:hAnsiTheme="minorHAnsi" w:cs="Arial"/>
          <w:i/>
          <w:sz w:val="16"/>
          <w:szCs w:val="16"/>
        </w:rPr>
        <w:t>Audit of rest areas against national guidelines</w:t>
      </w:r>
      <w:r w:rsidRPr="00EB73AB">
        <w:rPr>
          <w:rFonts w:asciiTheme="minorHAnsi" w:hAnsiTheme="minorHAnsi" w:cs="Arial"/>
          <w:sz w:val="16"/>
          <w:szCs w:val="16"/>
        </w:rPr>
        <w:t xml:space="preserve">, Technical report AP-T95/08. Austroads, Sydney, 2008. </w:t>
      </w:r>
      <w:proofErr w:type="gramStart"/>
      <w:r w:rsidRPr="00EB73AB">
        <w:rPr>
          <w:rFonts w:asciiTheme="minorHAnsi" w:hAnsiTheme="minorHAnsi" w:cs="Arial"/>
          <w:sz w:val="16"/>
          <w:szCs w:val="16"/>
        </w:rPr>
        <w:t>pp49-53</w:t>
      </w:r>
      <w:proofErr w:type="gramEnd"/>
      <w:r w:rsidRPr="00EB73AB">
        <w:rPr>
          <w:rFonts w:asciiTheme="minorHAnsi" w:hAnsiTheme="minorHAnsi" w:cs="Arial"/>
          <w:sz w:val="16"/>
          <w:szCs w:val="16"/>
        </w:rPr>
        <w:t>.</w:t>
      </w:r>
    </w:p>
  </w:footnote>
  <w:footnote w:id="11">
    <w:p w:rsidR="00B82008" w:rsidRPr="00EB73AB" w:rsidRDefault="00B82008" w:rsidP="00DC22B8">
      <w:pPr>
        <w:pStyle w:val="FootnoteText"/>
        <w:rPr>
          <w:rFonts w:asciiTheme="minorHAnsi" w:hAnsiTheme="minorHAnsi" w:cs="Arial"/>
          <w:sz w:val="16"/>
          <w:szCs w:val="16"/>
        </w:rPr>
      </w:pPr>
      <w:r w:rsidRPr="00EB73AB">
        <w:rPr>
          <w:rStyle w:val="FootnoteReference"/>
          <w:rFonts w:asciiTheme="minorHAnsi" w:hAnsiTheme="minorHAnsi"/>
          <w:sz w:val="16"/>
          <w:szCs w:val="16"/>
        </w:rPr>
        <w:footnoteRef/>
      </w:r>
      <w:r w:rsidRPr="00EB73AB">
        <w:rPr>
          <w:rFonts w:asciiTheme="minorHAnsi" w:hAnsiTheme="minorHAnsi"/>
          <w:sz w:val="16"/>
          <w:szCs w:val="16"/>
        </w:rPr>
        <w:t xml:space="preserve"> </w:t>
      </w:r>
      <w:r w:rsidRPr="00EB73AB">
        <w:rPr>
          <w:rFonts w:asciiTheme="minorHAnsi" w:hAnsiTheme="minorHAnsi" w:cs="Arial"/>
          <w:sz w:val="16"/>
          <w:szCs w:val="16"/>
        </w:rPr>
        <w:t xml:space="preserve">Australian National Audit Office (ANAO), </w:t>
      </w:r>
      <w:r w:rsidRPr="00EB73AB">
        <w:rPr>
          <w:rFonts w:asciiTheme="minorHAnsi" w:hAnsiTheme="minorHAnsi" w:cs="Arial"/>
          <w:i/>
          <w:sz w:val="16"/>
          <w:szCs w:val="16"/>
        </w:rPr>
        <w:t>Management of the AusLink Roads to Recovery Program</w:t>
      </w:r>
      <w:r w:rsidRPr="00EB73AB">
        <w:rPr>
          <w:rFonts w:asciiTheme="minorHAnsi" w:hAnsiTheme="minorHAnsi" w:cs="Arial"/>
          <w:sz w:val="16"/>
          <w:szCs w:val="16"/>
        </w:rPr>
        <w:t>, Canberra, 2010, pp 120, 121-124, 125-142.</w:t>
      </w:r>
    </w:p>
  </w:footnote>
  <w:footnote w:id="12">
    <w:p w:rsidR="00B82008" w:rsidRPr="00EB73AB" w:rsidRDefault="00B82008">
      <w:pPr>
        <w:pStyle w:val="FootnoteText"/>
        <w:rPr>
          <w:rFonts w:asciiTheme="minorHAnsi" w:hAnsiTheme="minorHAnsi"/>
          <w:sz w:val="16"/>
          <w:szCs w:val="16"/>
        </w:rPr>
      </w:pPr>
      <w:r w:rsidRPr="00EB73AB">
        <w:rPr>
          <w:rStyle w:val="FootnoteReference"/>
          <w:rFonts w:asciiTheme="minorHAnsi" w:hAnsiTheme="minorHAnsi"/>
          <w:sz w:val="16"/>
          <w:szCs w:val="16"/>
        </w:rPr>
        <w:footnoteRef/>
      </w:r>
      <w:r w:rsidR="00053DCB">
        <w:rPr>
          <w:rFonts w:asciiTheme="minorHAnsi" w:hAnsiTheme="minorHAnsi"/>
          <w:sz w:val="16"/>
          <w:szCs w:val="16"/>
        </w:rPr>
        <w:t xml:space="preserve"> See the</w:t>
      </w:r>
      <w:r w:rsidRPr="00EB73AB">
        <w:rPr>
          <w:rFonts w:asciiTheme="minorHAnsi" w:hAnsiTheme="minorHAnsi"/>
          <w:sz w:val="16"/>
          <w:szCs w:val="16"/>
        </w:rPr>
        <w:t xml:space="preserve"> ATA submission to the NTC 2014 Heavy Vehicle Charges Determination, January 2014 for more detail. </w:t>
      </w:r>
    </w:p>
  </w:footnote>
  <w:footnote w:id="13">
    <w:p w:rsidR="00B82008" w:rsidRPr="00B82008" w:rsidRDefault="00B82008">
      <w:pPr>
        <w:pStyle w:val="FootnoteText"/>
        <w:rPr>
          <w:sz w:val="16"/>
        </w:rPr>
      </w:pPr>
      <w:r w:rsidRPr="00B82008">
        <w:rPr>
          <w:rStyle w:val="FootnoteReference"/>
          <w:sz w:val="16"/>
        </w:rPr>
        <w:footnoteRef/>
      </w:r>
      <w:r w:rsidRPr="00B82008">
        <w:rPr>
          <w:sz w:val="16"/>
        </w:rPr>
        <w:t xml:space="preserve"> Page V  - National Transport Commission  Modelling the Marginal Cost of Road Wear Research Paper May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Pr="00E8056B" w:rsidRDefault="00B82008"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B82008" w:rsidRDefault="00B820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Pr="0019542E" w:rsidRDefault="00B82008"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008" w:rsidRDefault="00B82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E3EBF"/>
    <w:multiLevelType w:val="multilevel"/>
    <w:tmpl w:val="EFECC6E8"/>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6226CF"/>
    <w:multiLevelType w:val="hybridMultilevel"/>
    <w:tmpl w:val="1190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13615"/>
    <w:multiLevelType w:val="hybridMultilevel"/>
    <w:tmpl w:val="D628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363CB"/>
    <w:multiLevelType w:val="multilevel"/>
    <w:tmpl w:val="5E86D86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F540BD"/>
    <w:multiLevelType w:val="hybridMultilevel"/>
    <w:tmpl w:val="721061DE"/>
    <w:lvl w:ilvl="0" w:tplc="0C090001">
      <w:start w:val="1"/>
      <w:numFmt w:val="bullet"/>
      <w:lvlText w:val=""/>
      <w:lvlJc w:val="left"/>
      <w:pPr>
        <w:ind w:left="720" w:hanging="360"/>
      </w:pPr>
      <w:rPr>
        <w:rFonts w:ascii="Symbol" w:hAnsi="Symbol" w:hint="default"/>
      </w:rPr>
    </w:lvl>
    <w:lvl w:ilvl="1" w:tplc="6C406E3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7">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0C34A06"/>
    <w:multiLevelType w:val="hybridMultilevel"/>
    <w:tmpl w:val="133C6AE2"/>
    <w:lvl w:ilvl="0" w:tplc="0C090001">
      <w:start w:val="1"/>
      <w:numFmt w:val="bullet"/>
      <w:lvlText w:val=""/>
      <w:lvlJc w:val="left"/>
      <w:pPr>
        <w:ind w:left="1794" w:hanging="72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nsid w:val="430442B3"/>
    <w:multiLevelType w:val="hybridMultilevel"/>
    <w:tmpl w:val="1368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3B6FCA"/>
    <w:multiLevelType w:val="multilevel"/>
    <w:tmpl w:val="BC20B5AC"/>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961E13"/>
    <w:multiLevelType w:val="hybridMultilevel"/>
    <w:tmpl w:val="3502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EA00A9"/>
    <w:multiLevelType w:val="hybridMultilevel"/>
    <w:tmpl w:val="479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71021A"/>
    <w:multiLevelType w:val="multilevel"/>
    <w:tmpl w:val="93628718"/>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606668BF"/>
    <w:multiLevelType w:val="hybridMultilevel"/>
    <w:tmpl w:val="444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BB5248"/>
    <w:multiLevelType w:val="hybridMultilevel"/>
    <w:tmpl w:val="AE7AEA5C"/>
    <w:lvl w:ilvl="0" w:tplc="6C406E3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8442215"/>
    <w:multiLevelType w:val="hybridMultilevel"/>
    <w:tmpl w:val="BBC6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69338C"/>
    <w:multiLevelType w:val="hybridMultilevel"/>
    <w:tmpl w:val="61D6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7E2CAB"/>
    <w:multiLevelType w:val="hybridMultilevel"/>
    <w:tmpl w:val="C1CE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12"/>
  </w:num>
  <w:num w:numId="5">
    <w:abstractNumId w:val="16"/>
  </w:num>
  <w:num w:numId="6">
    <w:abstractNumId w:val="17"/>
  </w:num>
  <w:num w:numId="7">
    <w:abstractNumId w:val="8"/>
  </w:num>
  <w:num w:numId="8">
    <w:abstractNumId w:val="18"/>
  </w:num>
  <w:num w:numId="9">
    <w:abstractNumId w:val="0"/>
  </w:num>
  <w:num w:numId="10">
    <w:abstractNumId w:val="6"/>
  </w:num>
  <w:num w:numId="11">
    <w:abstractNumId w:val="2"/>
  </w:num>
  <w:num w:numId="12">
    <w:abstractNumId w:val="11"/>
  </w:num>
  <w:num w:numId="13">
    <w:abstractNumId w:val="15"/>
  </w:num>
  <w:num w:numId="14">
    <w:abstractNumId w:val="3"/>
  </w:num>
  <w:num w:numId="15">
    <w:abstractNumId w:val="4"/>
  </w:num>
  <w:num w:numId="16">
    <w:abstractNumId w:val="10"/>
  </w:num>
  <w:num w:numId="17">
    <w:abstractNumId w:val="13"/>
  </w:num>
  <w:num w:numId="18">
    <w:abstractNumId w:val="1"/>
  </w:num>
  <w:num w:numId="19">
    <w:abstractNumId w:val="14"/>
  </w:num>
  <w:num w:numId="20">
    <w:abstractNumId w:val="5"/>
  </w:num>
  <w:num w:numId="21">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278E9"/>
    <w:rsid w:val="0000052A"/>
    <w:rsid w:val="00000CE3"/>
    <w:rsid w:val="00001E4D"/>
    <w:rsid w:val="00005A35"/>
    <w:rsid w:val="00005E0D"/>
    <w:rsid w:val="00006297"/>
    <w:rsid w:val="00006C53"/>
    <w:rsid w:val="00007CA7"/>
    <w:rsid w:val="00011661"/>
    <w:rsid w:val="000156D1"/>
    <w:rsid w:val="000169A5"/>
    <w:rsid w:val="00020B9C"/>
    <w:rsid w:val="00021886"/>
    <w:rsid w:val="00021D7D"/>
    <w:rsid w:val="00027E86"/>
    <w:rsid w:val="0003251D"/>
    <w:rsid w:val="00035CFC"/>
    <w:rsid w:val="0004081E"/>
    <w:rsid w:val="00040876"/>
    <w:rsid w:val="00040B35"/>
    <w:rsid w:val="000447B1"/>
    <w:rsid w:val="00046251"/>
    <w:rsid w:val="00050AC8"/>
    <w:rsid w:val="00050CE6"/>
    <w:rsid w:val="00052E9C"/>
    <w:rsid w:val="00053DCB"/>
    <w:rsid w:val="00056113"/>
    <w:rsid w:val="00056A74"/>
    <w:rsid w:val="00060365"/>
    <w:rsid w:val="00060651"/>
    <w:rsid w:val="0006283B"/>
    <w:rsid w:val="00063D15"/>
    <w:rsid w:val="00067698"/>
    <w:rsid w:val="00070737"/>
    <w:rsid w:val="00071A71"/>
    <w:rsid w:val="0007542B"/>
    <w:rsid w:val="00075E7B"/>
    <w:rsid w:val="00077364"/>
    <w:rsid w:val="00083C15"/>
    <w:rsid w:val="000848A1"/>
    <w:rsid w:val="00086A56"/>
    <w:rsid w:val="00087208"/>
    <w:rsid w:val="00091EB9"/>
    <w:rsid w:val="00093679"/>
    <w:rsid w:val="00094FE3"/>
    <w:rsid w:val="00095C3B"/>
    <w:rsid w:val="00096B02"/>
    <w:rsid w:val="00097329"/>
    <w:rsid w:val="000976B9"/>
    <w:rsid w:val="000A2163"/>
    <w:rsid w:val="000A2996"/>
    <w:rsid w:val="000A2BCF"/>
    <w:rsid w:val="000A2C1A"/>
    <w:rsid w:val="000A4EB0"/>
    <w:rsid w:val="000A6499"/>
    <w:rsid w:val="000B0410"/>
    <w:rsid w:val="000B069A"/>
    <w:rsid w:val="000B1819"/>
    <w:rsid w:val="000B496C"/>
    <w:rsid w:val="000C049C"/>
    <w:rsid w:val="000C0C35"/>
    <w:rsid w:val="000C0F58"/>
    <w:rsid w:val="000C4A62"/>
    <w:rsid w:val="000C7BBC"/>
    <w:rsid w:val="000D033C"/>
    <w:rsid w:val="000D5E4E"/>
    <w:rsid w:val="000D6EF5"/>
    <w:rsid w:val="000D7CD4"/>
    <w:rsid w:val="000E7B14"/>
    <w:rsid w:val="000F0F7B"/>
    <w:rsid w:val="000F314E"/>
    <w:rsid w:val="000F34E0"/>
    <w:rsid w:val="000F3D9F"/>
    <w:rsid w:val="000F53C2"/>
    <w:rsid w:val="000F566E"/>
    <w:rsid w:val="000F7F6F"/>
    <w:rsid w:val="00100A35"/>
    <w:rsid w:val="00103E24"/>
    <w:rsid w:val="001051CB"/>
    <w:rsid w:val="00110610"/>
    <w:rsid w:val="00110A53"/>
    <w:rsid w:val="001121A8"/>
    <w:rsid w:val="0011347C"/>
    <w:rsid w:val="00114FC5"/>
    <w:rsid w:val="001176CB"/>
    <w:rsid w:val="00121A4F"/>
    <w:rsid w:val="00121A53"/>
    <w:rsid w:val="00122285"/>
    <w:rsid w:val="00125023"/>
    <w:rsid w:val="0013041A"/>
    <w:rsid w:val="001320D2"/>
    <w:rsid w:val="00132E36"/>
    <w:rsid w:val="00134E0D"/>
    <w:rsid w:val="001368EB"/>
    <w:rsid w:val="00141274"/>
    <w:rsid w:val="00141395"/>
    <w:rsid w:val="0014300C"/>
    <w:rsid w:val="001431E4"/>
    <w:rsid w:val="0014683D"/>
    <w:rsid w:val="00150065"/>
    <w:rsid w:val="0015062F"/>
    <w:rsid w:val="0015211C"/>
    <w:rsid w:val="00152A71"/>
    <w:rsid w:val="001533F1"/>
    <w:rsid w:val="0015359E"/>
    <w:rsid w:val="0015386B"/>
    <w:rsid w:val="001552BC"/>
    <w:rsid w:val="00160FE3"/>
    <w:rsid w:val="001611AB"/>
    <w:rsid w:val="00163879"/>
    <w:rsid w:val="00166CBD"/>
    <w:rsid w:val="00167142"/>
    <w:rsid w:val="00167289"/>
    <w:rsid w:val="00172FC4"/>
    <w:rsid w:val="00174273"/>
    <w:rsid w:val="00176C09"/>
    <w:rsid w:val="001807A8"/>
    <w:rsid w:val="001811B8"/>
    <w:rsid w:val="001855CD"/>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64FE"/>
    <w:rsid w:val="001D77A8"/>
    <w:rsid w:val="001D7817"/>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DE8"/>
    <w:rsid w:val="00210088"/>
    <w:rsid w:val="0021270C"/>
    <w:rsid w:val="0021283E"/>
    <w:rsid w:val="002137D3"/>
    <w:rsid w:val="00215F0D"/>
    <w:rsid w:val="00216CE6"/>
    <w:rsid w:val="00225B24"/>
    <w:rsid w:val="002278E9"/>
    <w:rsid w:val="0023094F"/>
    <w:rsid w:val="00230DFC"/>
    <w:rsid w:val="002333DB"/>
    <w:rsid w:val="00237081"/>
    <w:rsid w:val="00241C15"/>
    <w:rsid w:val="00243731"/>
    <w:rsid w:val="00250025"/>
    <w:rsid w:val="0025225E"/>
    <w:rsid w:val="002527BE"/>
    <w:rsid w:val="00252AA9"/>
    <w:rsid w:val="002542D1"/>
    <w:rsid w:val="00254301"/>
    <w:rsid w:val="002543DF"/>
    <w:rsid w:val="00255617"/>
    <w:rsid w:val="00257D05"/>
    <w:rsid w:val="00260827"/>
    <w:rsid w:val="00262C0A"/>
    <w:rsid w:val="00263A7C"/>
    <w:rsid w:val="002647C3"/>
    <w:rsid w:val="00265EB9"/>
    <w:rsid w:val="00266881"/>
    <w:rsid w:val="00266915"/>
    <w:rsid w:val="00270995"/>
    <w:rsid w:val="00277981"/>
    <w:rsid w:val="00282EF9"/>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B0559"/>
    <w:rsid w:val="002B0F48"/>
    <w:rsid w:val="002B172B"/>
    <w:rsid w:val="002B3668"/>
    <w:rsid w:val="002B381D"/>
    <w:rsid w:val="002B54EF"/>
    <w:rsid w:val="002B7A60"/>
    <w:rsid w:val="002C015C"/>
    <w:rsid w:val="002C0499"/>
    <w:rsid w:val="002C1799"/>
    <w:rsid w:val="002C2485"/>
    <w:rsid w:val="002C5598"/>
    <w:rsid w:val="002D1187"/>
    <w:rsid w:val="002D592D"/>
    <w:rsid w:val="002E06F2"/>
    <w:rsid w:val="002E226D"/>
    <w:rsid w:val="002E453E"/>
    <w:rsid w:val="002E5D82"/>
    <w:rsid w:val="002E5F39"/>
    <w:rsid w:val="002E6075"/>
    <w:rsid w:val="002E7897"/>
    <w:rsid w:val="002E7F28"/>
    <w:rsid w:val="002F2F65"/>
    <w:rsid w:val="002F3241"/>
    <w:rsid w:val="002F438C"/>
    <w:rsid w:val="002F5A71"/>
    <w:rsid w:val="002F632C"/>
    <w:rsid w:val="00302E87"/>
    <w:rsid w:val="00304B46"/>
    <w:rsid w:val="003054ED"/>
    <w:rsid w:val="00306FBF"/>
    <w:rsid w:val="00307FF7"/>
    <w:rsid w:val="00315333"/>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A6"/>
    <w:rsid w:val="00356D3A"/>
    <w:rsid w:val="00360759"/>
    <w:rsid w:val="00364BA5"/>
    <w:rsid w:val="0036535E"/>
    <w:rsid w:val="00372137"/>
    <w:rsid w:val="00374990"/>
    <w:rsid w:val="00380998"/>
    <w:rsid w:val="00384772"/>
    <w:rsid w:val="00385F00"/>
    <w:rsid w:val="00385F9E"/>
    <w:rsid w:val="0039063B"/>
    <w:rsid w:val="00390696"/>
    <w:rsid w:val="003911E4"/>
    <w:rsid w:val="0039442F"/>
    <w:rsid w:val="003A4520"/>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E2B20"/>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5B6"/>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53C2"/>
    <w:rsid w:val="00440231"/>
    <w:rsid w:val="00443123"/>
    <w:rsid w:val="004436EB"/>
    <w:rsid w:val="00445CDC"/>
    <w:rsid w:val="00450FF8"/>
    <w:rsid w:val="00454D08"/>
    <w:rsid w:val="00455514"/>
    <w:rsid w:val="00462423"/>
    <w:rsid w:val="00463025"/>
    <w:rsid w:val="004640D1"/>
    <w:rsid w:val="00466E7F"/>
    <w:rsid w:val="00473A75"/>
    <w:rsid w:val="00475C39"/>
    <w:rsid w:val="00483BAA"/>
    <w:rsid w:val="00483F2E"/>
    <w:rsid w:val="00484068"/>
    <w:rsid w:val="00484C78"/>
    <w:rsid w:val="00487F0F"/>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C21BB"/>
    <w:rsid w:val="004C3CC3"/>
    <w:rsid w:val="004C7AD5"/>
    <w:rsid w:val="004C7EE3"/>
    <w:rsid w:val="004D3774"/>
    <w:rsid w:val="004D42D0"/>
    <w:rsid w:val="004D6BAD"/>
    <w:rsid w:val="004E1EBB"/>
    <w:rsid w:val="004E5885"/>
    <w:rsid w:val="004E5EA3"/>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2B6D"/>
    <w:rsid w:val="0052056E"/>
    <w:rsid w:val="005223FD"/>
    <w:rsid w:val="00525303"/>
    <w:rsid w:val="0053137B"/>
    <w:rsid w:val="0053194E"/>
    <w:rsid w:val="0053236A"/>
    <w:rsid w:val="00532BFB"/>
    <w:rsid w:val="00532EDD"/>
    <w:rsid w:val="00532F0A"/>
    <w:rsid w:val="00533381"/>
    <w:rsid w:val="00533467"/>
    <w:rsid w:val="00533DD1"/>
    <w:rsid w:val="0053492E"/>
    <w:rsid w:val="00535863"/>
    <w:rsid w:val="005359BF"/>
    <w:rsid w:val="005365E0"/>
    <w:rsid w:val="00542877"/>
    <w:rsid w:val="00543163"/>
    <w:rsid w:val="00545151"/>
    <w:rsid w:val="00545CB8"/>
    <w:rsid w:val="00550256"/>
    <w:rsid w:val="005507D4"/>
    <w:rsid w:val="005520B3"/>
    <w:rsid w:val="00552289"/>
    <w:rsid w:val="005551EA"/>
    <w:rsid w:val="005571CA"/>
    <w:rsid w:val="0056179B"/>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7C8F"/>
    <w:rsid w:val="00593217"/>
    <w:rsid w:val="0059482D"/>
    <w:rsid w:val="00596872"/>
    <w:rsid w:val="005A2A86"/>
    <w:rsid w:val="005A38CD"/>
    <w:rsid w:val="005B0230"/>
    <w:rsid w:val="005B1179"/>
    <w:rsid w:val="005B3729"/>
    <w:rsid w:val="005B4CA8"/>
    <w:rsid w:val="005B4F21"/>
    <w:rsid w:val="005B68E9"/>
    <w:rsid w:val="005C31A0"/>
    <w:rsid w:val="005C4492"/>
    <w:rsid w:val="005C4952"/>
    <w:rsid w:val="005C63F7"/>
    <w:rsid w:val="005D2355"/>
    <w:rsid w:val="005D2445"/>
    <w:rsid w:val="005D6CD2"/>
    <w:rsid w:val="005E117A"/>
    <w:rsid w:val="005E11FC"/>
    <w:rsid w:val="005E20ED"/>
    <w:rsid w:val="005E23F5"/>
    <w:rsid w:val="005E28FB"/>
    <w:rsid w:val="005E6294"/>
    <w:rsid w:val="005E661C"/>
    <w:rsid w:val="005E6D8B"/>
    <w:rsid w:val="005F1009"/>
    <w:rsid w:val="005F21D1"/>
    <w:rsid w:val="005F31DF"/>
    <w:rsid w:val="005F4FBC"/>
    <w:rsid w:val="005F5ACC"/>
    <w:rsid w:val="005F69CC"/>
    <w:rsid w:val="00600132"/>
    <w:rsid w:val="006007D6"/>
    <w:rsid w:val="00600AC6"/>
    <w:rsid w:val="006014C4"/>
    <w:rsid w:val="00601B01"/>
    <w:rsid w:val="00603655"/>
    <w:rsid w:val="00605FB9"/>
    <w:rsid w:val="006109E9"/>
    <w:rsid w:val="00610CFE"/>
    <w:rsid w:val="006110D1"/>
    <w:rsid w:val="006123DD"/>
    <w:rsid w:val="006244DA"/>
    <w:rsid w:val="00625BAD"/>
    <w:rsid w:val="006278F6"/>
    <w:rsid w:val="00627F56"/>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64D33"/>
    <w:rsid w:val="00666A1A"/>
    <w:rsid w:val="00667036"/>
    <w:rsid w:val="0066769B"/>
    <w:rsid w:val="006677C7"/>
    <w:rsid w:val="00682B89"/>
    <w:rsid w:val="00683D7C"/>
    <w:rsid w:val="00685443"/>
    <w:rsid w:val="00685459"/>
    <w:rsid w:val="006858FF"/>
    <w:rsid w:val="006859F7"/>
    <w:rsid w:val="00686470"/>
    <w:rsid w:val="0069019B"/>
    <w:rsid w:val="006932F3"/>
    <w:rsid w:val="00693363"/>
    <w:rsid w:val="006939CC"/>
    <w:rsid w:val="0069483A"/>
    <w:rsid w:val="00694C83"/>
    <w:rsid w:val="006A0105"/>
    <w:rsid w:val="006A1612"/>
    <w:rsid w:val="006A208A"/>
    <w:rsid w:val="006A522F"/>
    <w:rsid w:val="006A52C4"/>
    <w:rsid w:val="006A63B2"/>
    <w:rsid w:val="006A7735"/>
    <w:rsid w:val="006A797E"/>
    <w:rsid w:val="006B36C8"/>
    <w:rsid w:val="006B4B45"/>
    <w:rsid w:val="006B558F"/>
    <w:rsid w:val="006C38AD"/>
    <w:rsid w:val="006C428F"/>
    <w:rsid w:val="006D4D41"/>
    <w:rsid w:val="006D7818"/>
    <w:rsid w:val="006E026F"/>
    <w:rsid w:val="006E26D5"/>
    <w:rsid w:val="006F050F"/>
    <w:rsid w:val="006F0BC5"/>
    <w:rsid w:val="006F0C79"/>
    <w:rsid w:val="006F0EA4"/>
    <w:rsid w:val="006F2893"/>
    <w:rsid w:val="00704823"/>
    <w:rsid w:val="007062D8"/>
    <w:rsid w:val="00710395"/>
    <w:rsid w:val="00714204"/>
    <w:rsid w:val="007162A5"/>
    <w:rsid w:val="0071719F"/>
    <w:rsid w:val="0071762D"/>
    <w:rsid w:val="00717BAD"/>
    <w:rsid w:val="00725BC0"/>
    <w:rsid w:val="00726797"/>
    <w:rsid w:val="007270C9"/>
    <w:rsid w:val="00731DC4"/>
    <w:rsid w:val="00737149"/>
    <w:rsid w:val="00740005"/>
    <w:rsid w:val="00740DF8"/>
    <w:rsid w:val="00741304"/>
    <w:rsid w:val="007468FB"/>
    <w:rsid w:val="00746BF5"/>
    <w:rsid w:val="007470CF"/>
    <w:rsid w:val="00751BF0"/>
    <w:rsid w:val="00753F95"/>
    <w:rsid w:val="0075427A"/>
    <w:rsid w:val="00754EBD"/>
    <w:rsid w:val="007551E1"/>
    <w:rsid w:val="00757C3B"/>
    <w:rsid w:val="0076023A"/>
    <w:rsid w:val="0076304F"/>
    <w:rsid w:val="00763C32"/>
    <w:rsid w:val="00773733"/>
    <w:rsid w:val="00774FE0"/>
    <w:rsid w:val="0077582D"/>
    <w:rsid w:val="007802E1"/>
    <w:rsid w:val="00782256"/>
    <w:rsid w:val="00791216"/>
    <w:rsid w:val="00792CEB"/>
    <w:rsid w:val="00793AD6"/>
    <w:rsid w:val="00793EA7"/>
    <w:rsid w:val="007940E8"/>
    <w:rsid w:val="00795047"/>
    <w:rsid w:val="007A673A"/>
    <w:rsid w:val="007A69C1"/>
    <w:rsid w:val="007B03E4"/>
    <w:rsid w:val="007B3B54"/>
    <w:rsid w:val="007B3BE2"/>
    <w:rsid w:val="007B665E"/>
    <w:rsid w:val="007B711A"/>
    <w:rsid w:val="007C385B"/>
    <w:rsid w:val="007C3F49"/>
    <w:rsid w:val="007C5879"/>
    <w:rsid w:val="007C5AD5"/>
    <w:rsid w:val="007C746E"/>
    <w:rsid w:val="007C7FD7"/>
    <w:rsid w:val="007D4DD3"/>
    <w:rsid w:val="007D608A"/>
    <w:rsid w:val="007E0773"/>
    <w:rsid w:val="007E0ABA"/>
    <w:rsid w:val="007E3FCC"/>
    <w:rsid w:val="007E6163"/>
    <w:rsid w:val="007E7BC6"/>
    <w:rsid w:val="007E7F34"/>
    <w:rsid w:val="007F0554"/>
    <w:rsid w:val="007F15BB"/>
    <w:rsid w:val="007F2D2A"/>
    <w:rsid w:val="007F3589"/>
    <w:rsid w:val="007F4404"/>
    <w:rsid w:val="007F44BE"/>
    <w:rsid w:val="007F4C48"/>
    <w:rsid w:val="007F4E1E"/>
    <w:rsid w:val="0080211A"/>
    <w:rsid w:val="00804638"/>
    <w:rsid w:val="00804B17"/>
    <w:rsid w:val="008062BF"/>
    <w:rsid w:val="0081411F"/>
    <w:rsid w:val="00814C62"/>
    <w:rsid w:val="00821537"/>
    <w:rsid w:val="0082345F"/>
    <w:rsid w:val="00823880"/>
    <w:rsid w:val="008241D3"/>
    <w:rsid w:val="00824D91"/>
    <w:rsid w:val="00825673"/>
    <w:rsid w:val="008257C1"/>
    <w:rsid w:val="00825C08"/>
    <w:rsid w:val="0083058C"/>
    <w:rsid w:val="00830A8A"/>
    <w:rsid w:val="00831AA7"/>
    <w:rsid w:val="00832C0D"/>
    <w:rsid w:val="00836304"/>
    <w:rsid w:val="00846848"/>
    <w:rsid w:val="00846C4C"/>
    <w:rsid w:val="008479ED"/>
    <w:rsid w:val="00847D7A"/>
    <w:rsid w:val="00850D33"/>
    <w:rsid w:val="00852672"/>
    <w:rsid w:val="00852A83"/>
    <w:rsid w:val="00853473"/>
    <w:rsid w:val="00854D3E"/>
    <w:rsid w:val="008561E9"/>
    <w:rsid w:val="00861D20"/>
    <w:rsid w:val="00863B20"/>
    <w:rsid w:val="008648BB"/>
    <w:rsid w:val="008679F8"/>
    <w:rsid w:val="00871395"/>
    <w:rsid w:val="0087242A"/>
    <w:rsid w:val="00872E19"/>
    <w:rsid w:val="00874AAE"/>
    <w:rsid w:val="00875BF1"/>
    <w:rsid w:val="00877FD8"/>
    <w:rsid w:val="008808E3"/>
    <w:rsid w:val="00881A97"/>
    <w:rsid w:val="00882C09"/>
    <w:rsid w:val="00883178"/>
    <w:rsid w:val="00883881"/>
    <w:rsid w:val="00885151"/>
    <w:rsid w:val="00890346"/>
    <w:rsid w:val="008929C1"/>
    <w:rsid w:val="00893728"/>
    <w:rsid w:val="008979D4"/>
    <w:rsid w:val="008A1D8B"/>
    <w:rsid w:val="008A3948"/>
    <w:rsid w:val="008A5088"/>
    <w:rsid w:val="008A5FC4"/>
    <w:rsid w:val="008A74F8"/>
    <w:rsid w:val="008B0EEF"/>
    <w:rsid w:val="008B123F"/>
    <w:rsid w:val="008B2A89"/>
    <w:rsid w:val="008B3178"/>
    <w:rsid w:val="008B4082"/>
    <w:rsid w:val="008B7312"/>
    <w:rsid w:val="008C09D2"/>
    <w:rsid w:val="008C10AA"/>
    <w:rsid w:val="008C1818"/>
    <w:rsid w:val="008C21E6"/>
    <w:rsid w:val="008C3592"/>
    <w:rsid w:val="008C38B7"/>
    <w:rsid w:val="008C6E07"/>
    <w:rsid w:val="008D0899"/>
    <w:rsid w:val="008D3C61"/>
    <w:rsid w:val="008D3E3D"/>
    <w:rsid w:val="008D42D4"/>
    <w:rsid w:val="008D451E"/>
    <w:rsid w:val="008D6B14"/>
    <w:rsid w:val="008D7A86"/>
    <w:rsid w:val="008E09F4"/>
    <w:rsid w:val="008E0C8C"/>
    <w:rsid w:val="008E0E01"/>
    <w:rsid w:val="008E1721"/>
    <w:rsid w:val="008E2AB0"/>
    <w:rsid w:val="008E3865"/>
    <w:rsid w:val="008E417C"/>
    <w:rsid w:val="008E4B38"/>
    <w:rsid w:val="008F09AB"/>
    <w:rsid w:val="008F11A3"/>
    <w:rsid w:val="008F7601"/>
    <w:rsid w:val="008F79E1"/>
    <w:rsid w:val="0090378D"/>
    <w:rsid w:val="00904039"/>
    <w:rsid w:val="00907971"/>
    <w:rsid w:val="00907A05"/>
    <w:rsid w:val="009100A8"/>
    <w:rsid w:val="00912187"/>
    <w:rsid w:val="009132E3"/>
    <w:rsid w:val="009148AC"/>
    <w:rsid w:val="00914C1D"/>
    <w:rsid w:val="00915F3F"/>
    <w:rsid w:val="0091747C"/>
    <w:rsid w:val="00922A9B"/>
    <w:rsid w:val="009231B2"/>
    <w:rsid w:val="00923ADD"/>
    <w:rsid w:val="009279F2"/>
    <w:rsid w:val="00931B2F"/>
    <w:rsid w:val="00932BAB"/>
    <w:rsid w:val="0093306C"/>
    <w:rsid w:val="009339FC"/>
    <w:rsid w:val="009350CE"/>
    <w:rsid w:val="00940B60"/>
    <w:rsid w:val="00940D05"/>
    <w:rsid w:val="009433C1"/>
    <w:rsid w:val="00943829"/>
    <w:rsid w:val="0094402B"/>
    <w:rsid w:val="00946DC5"/>
    <w:rsid w:val="00946E17"/>
    <w:rsid w:val="00947278"/>
    <w:rsid w:val="009539FA"/>
    <w:rsid w:val="00960FE0"/>
    <w:rsid w:val="0096247E"/>
    <w:rsid w:val="00963D1D"/>
    <w:rsid w:val="00964284"/>
    <w:rsid w:val="00965069"/>
    <w:rsid w:val="00965FDF"/>
    <w:rsid w:val="009802CB"/>
    <w:rsid w:val="0098465E"/>
    <w:rsid w:val="00985D31"/>
    <w:rsid w:val="00986804"/>
    <w:rsid w:val="00993BAE"/>
    <w:rsid w:val="00993E39"/>
    <w:rsid w:val="0099546D"/>
    <w:rsid w:val="00996370"/>
    <w:rsid w:val="00997EED"/>
    <w:rsid w:val="009A375C"/>
    <w:rsid w:val="009A3853"/>
    <w:rsid w:val="009B0520"/>
    <w:rsid w:val="009B4220"/>
    <w:rsid w:val="009B5742"/>
    <w:rsid w:val="009B73F5"/>
    <w:rsid w:val="009C3182"/>
    <w:rsid w:val="009C34F3"/>
    <w:rsid w:val="009C5367"/>
    <w:rsid w:val="009C5B87"/>
    <w:rsid w:val="009D2F28"/>
    <w:rsid w:val="009D3731"/>
    <w:rsid w:val="009D38A1"/>
    <w:rsid w:val="009E3C08"/>
    <w:rsid w:val="009E77F2"/>
    <w:rsid w:val="009F23BD"/>
    <w:rsid w:val="009F593D"/>
    <w:rsid w:val="00A00503"/>
    <w:rsid w:val="00A0156A"/>
    <w:rsid w:val="00A01C6F"/>
    <w:rsid w:val="00A023EA"/>
    <w:rsid w:val="00A047CA"/>
    <w:rsid w:val="00A109D4"/>
    <w:rsid w:val="00A12D70"/>
    <w:rsid w:val="00A1430A"/>
    <w:rsid w:val="00A21842"/>
    <w:rsid w:val="00A21925"/>
    <w:rsid w:val="00A2215A"/>
    <w:rsid w:val="00A23059"/>
    <w:rsid w:val="00A2623B"/>
    <w:rsid w:val="00A26B28"/>
    <w:rsid w:val="00A300E2"/>
    <w:rsid w:val="00A323BD"/>
    <w:rsid w:val="00A34465"/>
    <w:rsid w:val="00A35D7E"/>
    <w:rsid w:val="00A37A93"/>
    <w:rsid w:val="00A40847"/>
    <w:rsid w:val="00A40FCF"/>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4647"/>
    <w:rsid w:val="00A97A9E"/>
    <w:rsid w:val="00A97D79"/>
    <w:rsid w:val="00AA0C5A"/>
    <w:rsid w:val="00AA2D57"/>
    <w:rsid w:val="00AA3E70"/>
    <w:rsid w:val="00AA4EF1"/>
    <w:rsid w:val="00AA6BA4"/>
    <w:rsid w:val="00AA7670"/>
    <w:rsid w:val="00AB3269"/>
    <w:rsid w:val="00AB3C78"/>
    <w:rsid w:val="00AB6D11"/>
    <w:rsid w:val="00AC0045"/>
    <w:rsid w:val="00AC4A34"/>
    <w:rsid w:val="00AC5B44"/>
    <w:rsid w:val="00AD0FD4"/>
    <w:rsid w:val="00AD281B"/>
    <w:rsid w:val="00AD29E4"/>
    <w:rsid w:val="00AD51CE"/>
    <w:rsid w:val="00AD6FA9"/>
    <w:rsid w:val="00AD7650"/>
    <w:rsid w:val="00AE132C"/>
    <w:rsid w:val="00AE1BC2"/>
    <w:rsid w:val="00AE2DD6"/>
    <w:rsid w:val="00AE3B7B"/>
    <w:rsid w:val="00AE4A80"/>
    <w:rsid w:val="00AE71A5"/>
    <w:rsid w:val="00AE7959"/>
    <w:rsid w:val="00AF1D10"/>
    <w:rsid w:val="00AF2921"/>
    <w:rsid w:val="00AF3FFC"/>
    <w:rsid w:val="00AF440E"/>
    <w:rsid w:val="00B00132"/>
    <w:rsid w:val="00B01A6B"/>
    <w:rsid w:val="00B02FF3"/>
    <w:rsid w:val="00B030B3"/>
    <w:rsid w:val="00B05F83"/>
    <w:rsid w:val="00B064C6"/>
    <w:rsid w:val="00B115A2"/>
    <w:rsid w:val="00B13AC3"/>
    <w:rsid w:val="00B13B6B"/>
    <w:rsid w:val="00B15CA5"/>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81003"/>
    <w:rsid w:val="00B818D7"/>
    <w:rsid w:val="00B82008"/>
    <w:rsid w:val="00B85678"/>
    <w:rsid w:val="00B867DD"/>
    <w:rsid w:val="00B90EA0"/>
    <w:rsid w:val="00B91BAA"/>
    <w:rsid w:val="00B91BC8"/>
    <w:rsid w:val="00B92538"/>
    <w:rsid w:val="00B92C39"/>
    <w:rsid w:val="00B9320E"/>
    <w:rsid w:val="00B93F58"/>
    <w:rsid w:val="00B952B5"/>
    <w:rsid w:val="00BA0CE8"/>
    <w:rsid w:val="00BA19BE"/>
    <w:rsid w:val="00BA1DFD"/>
    <w:rsid w:val="00BA1F1D"/>
    <w:rsid w:val="00BA2A76"/>
    <w:rsid w:val="00BA374F"/>
    <w:rsid w:val="00BA4A46"/>
    <w:rsid w:val="00BB48FA"/>
    <w:rsid w:val="00BB5312"/>
    <w:rsid w:val="00BC1B68"/>
    <w:rsid w:val="00BC3700"/>
    <w:rsid w:val="00BC5ACA"/>
    <w:rsid w:val="00BC5ECE"/>
    <w:rsid w:val="00BC6314"/>
    <w:rsid w:val="00BC67A2"/>
    <w:rsid w:val="00BD0BA3"/>
    <w:rsid w:val="00BD26FC"/>
    <w:rsid w:val="00BD44B9"/>
    <w:rsid w:val="00BD49FC"/>
    <w:rsid w:val="00BD4A08"/>
    <w:rsid w:val="00BD75B3"/>
    <w:rsid w:val="00BD7ACB"/>
    <w:rsid w:val="00BE0BD4"/>
    <w:rsid w:val="00BE391B"/>
    <w:rsid w:val="00BE46AC"/>
    <w:rsid w:val="00BE639D"/>
    <w:rsid w:val="00BE69AC"/>
    <w:rsid w:val="00BF33B0"/>
    <w:rsid w:val="00BF59B2"/>
    <w:rsid w:val="00C00DC1"/>
    <w:rsid w:val="00C01514"/>
    <w:rsid w:val="00C061E3"/>
    <w:rsid w:val="00C06240"/>
    <w:rsid w:val="00C07770"/>
    <w:rsid w:val="00C119C2"/>
    <w:rsid w:val="00C141DF"/>
    <w:rsid w:val="00C14967"/>
    <w:rsid w:val="00C14B25"/>
    <w:rsid w:val="00C15FEE"/>
    <w:rsid w:val="00C1627A"/>
    <w:rsid w:val="00C17198"/>
    <w:rsid w:val="00C1777A"/>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CE4"/>
    <w:rsid w:val="00C43619"/>
    <w:rsid w:val="00C43DAE"/>
    <w:rsid w:val="00C51A84"/>
    <w:rsid w:val="00C531DC"/>
    <w:rsid w:val="00C532F8"/>
    <w:rsid w:val="00C533FE"/>
    <w:rsid w:val="00C5376C"/>
    <w:rsid w:val="00C54162"/>
    <w:rsid w:val="00C54C55"/>
    <w:rsid w:val="00C61020"/>
    <w:rsid w:val="00C62631"/>
    <w:rsid w:val="00C63972"/>
    <w:rsid w:val="00C65241"/>
    <w:rsid w:val="00C66CB0"/>
    <w:rsid w:val="00C676E5"/>
    <w:rsid w:val="00C7661F"/>
    <w:rsid w:val="00C76787"/>
    <w:rsid w:val="00C772E3"/>
    <w:rsid w:val="00C83A4F"/>
    <w:rsid w:val="00C84379"/>
    <w:rsid w:val="00C8621A"/>
    <w:rsid w:val="00C87641"/>
    <w:rsid w:val="00C926AD"/>
    <w:rsid w:val="00C92826"/>
    <w:rsid w:val="00C93453"/>
    <w:rsid w:val="00CA04DC"/>
    <w:rsid w:val="00CA0ADF"/>
    <w:rsid w:val="00CA5938"/>
    <w:rsid w:val="00CA5C45"/>
    <w:rsid w:val="00CA5DEE"/>
    <w:rsid w:val="00CB3DBD"/>
    <w:rsid w:val="00CB4D57"/>
    <w:rsid w:val="00CB57FE"/>
    <w:rsid w:val="00CB7123"/>
    <w:rsid w:val="00CB73A3"/>
    <w:rsid w:val="00CB7F0D"/>
    <w:rsid w:val="00CC1DF7"/>
    <w:rsid w:val="00CC20F1"/>
    <w:rsid w:val="00CC28C6"/>
    <w:rsid w:val="00CC4808"/>
    <w:rsid w:val="00CC4BC8"/>
    <w:rsid w:val="00CC7D66"/>
    <w:rsid w:val="00CD0055"/>
    <w:rsid w:val="00CD0400"/>
    <w:rsid w:val="00CD211F"/>
    <w:rsid w:val="00CD305B"/>
    <w:rsid w:val="00CD44A5"/>
    <w:rsid w:val="00CE0D2C"/>
    <w:rsid w:val="00CE1B8A"/>
    <w:rsid w:val="00CE4936"/>
    <w:rsid w:val="00CE6205"/>
    <w:rsid w:val="00CE7A1E"/>
    <w:rsid w:val="00CF27C4"/>
    <w:rsid w:val="00D06F27"/>
    <w:rsid w:val="00D073F4"/>
    <w:rsid w:val="00D1102D"/>
    <w:rsid w:val="00D13DF0"/>
    <w:rsid w:val="00D143AC"/>
    <w:rsid w:val="00D14486"/>
    <w:rsid w:val="00D244C9"/>
    <w:rsid w:val="00D24520"/>
    <w:rsid w:val="00D25BF8"/>
    <w:rsid w:val="00D262EA"/>
    <w:rsid w:val="00D31703"/>
    <w:rsid w:val="00D40AAD"/>
    <w:rsid w:val="00D47ACC"/>
    <w:rsid w:val="00D5064E"/>
    <w:rsid w:val="00D51FE7"/>
    <w:rsid w:val="00D54B01"/>
    <w:rsid w:val="00D57274"/>
    <w:rsid w:val="00D600F0"/>
    <w:rsid w:val="00D6034D"/>
    <w:rsid w:val="00D61332"/>
    <w:rsid w:val="00D61F8A"/>
    <w:rsid w:val="00D6239E"/>
    <w:rsid w:val="00D640D7"/>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2690"/>
    <w:rsid w:val="00D9288B"/>
    <w:rsid w:val="00D93EA3"/>
    <w:rsid w:val="00D97AD0"/>
    <w:rsid w:val="00DA2373"/>
    <w:rsid w:val="00DA6F20"/>
    <w:rsid w:val="00DB17ED"/>
    <w:rsid w:val="00DB4087"/>
    <w:rsid w:val="00DB4755"/>
    <w:rsid w:val="00DC07A6"/>
    <w:rsid w:val="00DC22B8"/>
    <w:rsid w:val="00DC428F"/>
    <w:rsid w:val="00DD04B4"/>
    <w:rsid w:val="00DD2866"/>
    <w:rsid w:val="00DD2EAD"/>
    <w:rsid w:val="00DD332A"/>
    <w:rsid w:val="00DD3E03"/>
    <w:rsid w:val="00DD536D"/>
    <w:rsid w:val="00DD6622"/>
    <w:rsid w:val="00DE0CFB"/>
    <w:rsid w:val="00DE1245"/>
    <w:rsid w:val="00DE16B2"/>
    <w:rsid w:val="00DE17F9"/>
    <w:rsid w:val="00DE33F9"/>
    <w:rsid w:val="00DE3A75"/>
    <w:rsid w:val="00DE4C92"/>
    <w:rsid w:val="00DE6050"/>
    <w:rsid w:val="00DE65EC"/>
    <w:rsid w:val="00DF5393"/>
    <w:rsid w:val="00DF54C2"/>
    <w:rsid w:val="00DF5787"/>
    <w:rsid w:val="00DF794F"/>
    <w:rsid w:val="00E02336"/>
    <w:rsid w:val="00E023AA"/>
    <w:rsid w:val="00E02DF9"/>
    <w:rsid w:val="00E12228"/>
    <w:rsid w:val="00E15852"/>
    <w:rsid w:val="00E1630A"/>
    <w:rsid w:val="00E165CA"/>
    <w:rsid w:val="00E20A4D"/>
    <w:rsid w:val="00E23208"/>
    <w:rsid w:val="00E23A7E"/>
    <w:rsid w:val="00E24A0D"/>
    <w:rsid w:val="00E24A15"/>
    <w:rsid w:val="00E24F4E"/>
    <w:rsid w:val="00E25699"/>
    <w:rsid w:val="00E275CC"/>
    <w:rsid w:val="00E3023E"/>
    <w:rsid w:val="00E320BF"/>
    <w:rsid w:val="00E325CC"/>
    <w:rsid w:val="00E32F40"/>
    <w:rsid w:val="00E34B78"/>
    <w:rsid w:val="00E35F2E"/>
    <w:rsid w:val="00E37029"/>
    <w:rsid w:val="00E42F1F"/>
    <w:rsid w:val="00E45A6B"/>
    <w:rsid w:val="00E464E0"/>
    <w:rsid w:val="00E51FE7"/>
    <w:rsid w:val="00E520C5"/>
    <w:rsid w:val="00E53E66"/>
    <w:rsid w:val="00E540E3"/>
    <w:rsid w:val="00E54235"/>
    <w:rsid w:val="00E60D4B"/>
    <w:rsid w:val="00E61488"/>
    <w:rsid w:val="00E6207F"/>
    <w:rsid w:val="00E62F37"/>
    <w:rsid w:val="00E63547"/>
    <w:rsid w:val="00E63814"/>
    <w:rsid w:val="00E651B3"/>
    <w:rsid w:val="00E8056B"/>
    <w:rsid w:val="00E80729"/>
    <w:rsid w:val="00E80CF1"/>
    <w:rsid w:val="00E91E84"/>
    <w:rsid w:val="00E96BDF"/>
    <w:rsid w:val="00EA1831"/>
    <w:rsid w:val="00EA2204"/>
    <w:rsid w:val="00EA3251"/>
    <w:rsid w:val="00EA3322"/>
    <w:rsid w:val="00EA3F83"/>
    <w:rsid w:val="00EA6150"/>
    <w:rsid w:val="00EA6D50"/>
    <w:rsid w:val="00EB0C47"/>
    <w:rsid w:val="00EB3E6E"/>
    <w:rsid w:val="00EB73AB"/>
    <w:rsid w:val="00EC042B"/>
    <w:rsid w:val="00EC4A38"/>
    <w:rsid w:val="00ED0C35"/>
    <w:rsid w:val="00ED185A"/>
    <w:rsid w:val="00ED19EB"/>
    <w:rsid w:val="00ED1D0D"/>
    <w:rsid w:val="00ED2995"/>
    <w:rsid w:val="00ED39AB"/>
    <w:rsid w:val="00EE02B2"/>
    <w:rsid w:val="00EE1FFF"/>
    <w:rsid w:val="00EE2127"/>
    <w:rsid w:val="00EE22F2"/>
    <w:rsid w:val="00EE4129"/>
    <w:rsid w:val="00EE49F2"/>
    <w:rsid w:val="00EE65C7"/>
    <w:rsid w:val="00EF081A"/>
    <w:rsid w:val="00EF5F37"/>
    <w:rsid w:val="00F020D5"/>
    <w:rsid w:val="00F03AB9"/>
    <w:rsid w:val="00F04185"/>
    <w:rsid w:val="00F04548"/>
    <w:rsid w:val="00F16C2D"/>
    <w:rsid w:val="00F17E6F"/>
    <w:rsid w:val="00F2072F"/>
    <w:rsid w:val="00F21CE8"/>
    <w:rsid w:val="00F24FD9"/>
    <w:rsid w:val="00F25484"/>
    <w:rsid w:val="00F254C0"/>
    <w:rsid w:val="00F26132"/>
    <w:rsid w:val="00F3294F"/>
    <w:rsid w:val="00F32DC1"/>
    <w:rsid w:val="00F33008"/>
    <w:rsid w:val="00F33089"/>
    <w:rsid w:val="00F33FD1"/>
    <w:rsid w:val="00F35870"/>
    <w:rsid w:val="00F4251D"/>
    <w:rsid w:val="00F4543E"/>
    <w:rsid w:val="00F50495"/>
    <w:rsid w:val="00F51B8C"/>
    <w:rsid w:val="00F52310"/>
    <w:rsid w:val="00F5399F"/>
    <w:rsid w:val="00F56FD2"/>
    <w:rsid w:val="00F66724"/>
    <w:rsid w:val="00F70531"/>
    <w:rsid w:val="00F73ACC"/>
    <w:rsid w:val="00F811F7"/>
    <w:rsid w:val="00F81EED"/>
    <w:rsid w:val="00F84D4F"/>
    <w:rsid w:val="00F85E0E"/>
    <w:rsid w:val="00F946DC"/>
    <w:rsid w:val="00F96568"/>
    <w:rsid w:val="00F971D6"/>
    <w:rsid w:val="00F97FDE"/>
    <w:rsid w:val="00FA1D75"/>
    <w:rsid w:val="00FA2450"/>
    <w:rsid w:val="00FA2486"/>
    <w:rsid w:val="00FA321F"/>
    <w:rsid w:val="00FA6CB0"/>
    <w:rsid w:val="00FB5CCE"/>
    <w:rsid w:val="00FB7B56"/>
    <w:rsid w:val="00FC027F"/>
    <w:rsid w:val="00FC1291"/>
    <w:rsid w:val="00FC1708"/>
    <w:rsid w:val="00FC2E35"/>
    <w:rsid w:val="00FC3859"/>
    <w:rsid w:val="00FC54E7"/>
    <w:rsid w:val="00FC7369"/>
    <w:rsid w:val="00FD016B"/>
    <w:rsid w:val="00FD3FFC"/>
    <w:rsid w:val="00FD4E53"/>
    <w:rsid w:val="00FD7129"/>
    <w:rsid w:val="00FD74A6"/>
    <w:rsid w:val="00FE3DE2"/>
    <w:rsid w:val="00FE6FC6"/>
    <w:rsid w:val="00FE75E5"/>
    <w:rsid w:val="00FF0E3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6F14-FF44-4645-B151-01A05F17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4786</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31335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harbers</cp:lastModifiedBy>
  <cp:revision>3</cp:revision>
  <cp:lastPrinted>2012-09-06T04:44:00Z</cp:lastPrinted>
  <dcterms:created xsi:type="dcterms:W3CDTF">2014-01-31T03:12:00Z</dcterms:created>
  <dcterms:modified xsi:type="dcterms:W3CDTF">2014-01-31T03:20:00Z</dcterms:modified>
</cp:coreProperties>
</file>