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D735FF" w:rsidRPr="00540454" w:rsidTr="000156D1">
        <w:trPr>
          <w:trHeight w:val="756"/>
        </w:trPr>
        <w:tc>
          <w:tcPr>
            <w:tcW w:w="2660" w:type="dxa"/>
            <w:vAlign w:val="center"/>
          </w:tcPr>
          <w:p w:rsidR="00D735FF" w:rsidRPr="00540454" w:rsidRDefault="00D735FF" w:rsidP="009D1601">
            <w:pPr>
              <w:pStyle w:val="Header"/>
              <w:rPr>
                <w:rFonts w:ascii="Arial" w:hAnsi="Arial" w:cs="Arial"/>
                <w:b/>
                <w:sz w:val="32"/>
              </w:rPr>
            </w:pPr>
            <w:r w:rsidRPr="00540454">
              <w:rPr>
                <w:rFonts w:ascii="Arial" w:hAnsi="Arial" w:cs="Arial"/>
                <w:b/>
                <w:sz w:val="32"/>
              </w:rPr>
              <w:t>Submission to:</w:t>
            </w:r>
          </w:p>
        </w:tc>
        <w:tc>
          <w:tcPr>
            <w:tcW w:w="6379" w:type="dxa"/>
            <w:vAlign w:val="center"/>
          </w:tcPr>
          <w:p w:rsidR="00D735FF" w:rsidRPr="00540454" w:rsidRDefault="00F3294F" w:rsidP="009D1601">
            <w:pPr>
              <w:pStyle w:val="Header"/>
              <w:rPr>
                <w:rFonts w:ascii="Arial" w:hAnsi="Arial" w:cs="Arial"/>
                <w:sz w:val="32"/>
              </w:rPr>
            </w:pPr>
            <w:r w:rsidRPr="00540454">
              <w:rPr>
                <w:rFonts w:ascii="Arial" w:hAnsi="Arial" w:cs="Arial"/>
                <w:sz w:val="32"/>
              </w:rPr>
              <w:t>Treasury</w:t>
            </w:r>
          </w:p>
        </w:tc>
      </w:tr>
      <w:tr w:rsidR="00D735FF" w:rsidRPr="00540454" w:rsidTr="000156D1">
        <w:trPr>
          <w:trHeight w:val="756"/>
        </w:trPr>
        <w:tc>
          <w:tcPr>
            <w:tcW w:w="2660" w:type="dxa"/>
            <w:vAlign w:val="center"/>
          </w:tcPr>
          <w:p w:rsidR="00D735FF" w:rsidRPr="00540454" w:rsidRDefault="00D735FF" w:rsidP="009D1601">
            <w:pPr>
              <w:pStyle w:val="Header"/>
              <w:rPr>
                <w:rFonts w:ascii="Arial" w:hAnsi="Arial" w:cs="Arial"/>
                <w:b/>
                <w:sz w:val="32"/>
              </w:rPr>
            </w:pPr>
            <w:r w:rsidRPr="00540454">
              <w:rPr>
                <w:rFonts w:ascii="Arial" w:hAnsi="Arial" w:cs="Arial"/>
                <w:b/>
                <w:sz w:val="32"/>
              </w:rPr>
              <w:t>Title:</w:t>
            </w:r>
          </w:p>
        </w:tc>
        <w:tc>
          <w:tcPr>
            <w:tcW w:w="6379" w:type="dxa"/>
            <w:vAlign w:val="center"/>
          </w:tcPr>
          <w:p w:rsidR="00D735FF" w:rsidRPr="00540454" w:rsidRDefault="005507D4" w:rsidP="009D1601">
            <w:pPr>
              <w:pStyle w:val="Header"/>
              <w:rPr>
                <w:rFonts w:ascii="Arial" w:hAnsi="Arial" w:cs="Arial"/>
                <w:sz w:val="32"/>
              </w:rPr>
            </w:pPr>
            <w:r w:rsidRPr="00540454">
              <w:rPr>
                <w:rFonts w:ascii="Arial" w:hAnsi="Arial" w:cs="Arial"/>
                <w:sz w:val="32"/>
              </w:rPr>
              <w:t>201</w:t>
            </w:r>
            <w:r w:rsidR="00230C4F" w:rsidRPr="00540454">
              <w:rPr>
                <w:rFonts w:ascii="Arial" w:hAnsi="Arial" w:cs="Arial"/>
                <w:sz w:val="32"/>
              </w:rPr>
              <w:t>5</w:t>
            </w:r>
            <w:r w:rsidRPr="00540454">
              <w:rPr>
                <w:rFonts w:ascii="Arial" w:hAnsi="Arial" w:cs="Arial"/>
                <w:sz w:val="32"/>
              </w:rPr>
              <w:t>-</w:t>
            </w:r>
            <w:r w:rsidR="00230C4F" w:rsidRPr="00540454">
              <w:rPr>
                <w:rFonts w:ascii="Arial" w:hAnsi="Arial" w:cs="Arial"/>
                <w:sz w:val="32"/>
              </w:rPr>
              <w:t>16</w:t>
            </w:r>
            <w:r w:rsidR="006233B3">
              <w:rPr>
                <w:rFonts w:ascii="Arial" w:hAnsi="Arial" w:cs="Arial"/>
                <w:sz w:val="32"/>
              </w:rPr>
              <w:t xml:space="preserve"> Pre-B</w:t>
            </w:r>
            <w:r w:rsidR="00EA3322" w:rsidRPr="00540454">
              <w:rPr>
                <w:rFonts w:ascii="Arial" w:hAnsi="Arial" w:cs="Arial"/>
                <w:sz w:val="32"/>
              </w:rPr>
              <w:t>udget Submission</w:t>
            </w:r>
          </w:p>
        </w:tc>
      </w:tr>
      <w:tr w:rsidR="00D735FF" w:rsidRPr="00540454" w:rsidTr="000156D1">
        <w:trPr>
          <w:trHeight w:val="756"/>
        </w:trPr>
        <w:tc>
          <w:tcPr>
            <w:tcW w:w="2660" w:type="dxa"/>
            <w:vAlign w:val="center"/>
          </w:tcPr>
          <w:p w:rsidR="00D735FF" w:rsidRPr="00540454" w:rsidRDefault="00D735FF" w:rsidP="009D1601">
            <w:pPr>
              <w:pStyle w:val="Header"/>
              <w:rPr>
                <w:rFonts w:ascii="Arial" w:hAnsi="Arial" w:cs="Arial"/>
                <w:b/>
                <w:sz w:val="32"/>
              </w:rPr>
            </w:pPr>
            <w:r w:rsidRPr="00540454">
              <w:rPr>
                <w:rFonts w:ascii="Arial" w:hAnsi="Arial" w:cs="Arial"/>
                <w:b/>
                <w:sz w:val="32"/>
              </w:rPr>
              <w:t>Date:</w:t>
            </w:r>
          </w:p>
        </w:tc>
        <w:tc>
          <w:tcPr>
            <w:tcW w:w="6379" w:type="dxa"/>
            <w:vAlign w:val="center"/>
          </w:tcPr>
          <w:p w:rsidR="00D735FF" w:rsidRPr="00540454" w:rsidRDefault="00776E81" w:rsidP="009D1601">
            <w:pPr>
              <w:pStyle w:val="Header"/>
              <w:rPr>
                <w:rFonts w:ascii="Arial" w:hAnsi="Arial" w:cs="Arial"/>
                <w:sz w:val="32"/>
              </w:rPr>
            </w:pPr>
            <w:r w:rsidRPr="00540454">
              <w:rPr>
                <w:rFonts w:ascii="Arial" w:hAnsi="Arial" w:cs="Arial"/>
                <w:sz w:val="32"/>
              </w:rPr>
              <w:t>6 February 2015</w:t>
            </w:r>
          </w:p>
        </w:tc>
      </w:tr>
    </w:tbl>
    <w:p w:rsidR="00D735FF" w:rsidRPr="00540454" w:rsidRDefault="00D735FF" w:rsidP="009D1601">
      <w:pPr>
        <w:pStyle w:val="Header"/>
        <w:rPr>
          <w:rFonts w:ascii="Arial" w:hAnsi="Arial" w:cs="Arial"/>
          <w:sz w:val="32"/>
        </w:rPr>
      </w:pPr>
    </w:p>
    <w:p w:rsidR="00D735FF" w:rsidRPr="00540454" w:rsidRDefault="00D735FF" w:rsidP="009D1601">
      <w:pPr>
        <w:pStyle w:val="Header"/>
        <w:rPr>
          <w:rFonts w:ascii="Arial" w:hAnsi="Arial" w:cs="Arial"/>
          <w:sz w:val="32"/>
        </w:rPr>
      </w:pPr>
    </w:p>
    <w:p w:rsidR="00576ED0" w:rsidRPr="00540454" w:rsidRDefault="00576ED0" w:rsidP="009D1601">
      <w:pPr>
        <w:pStyle w:val="Header"/>
        <w:rPr>
          <w:rFonts w:ascii="Arial" w:hAnsi="Arial" w:cs="Arial"/>
          <w:sz w:val="32"/>
        </w:rPr>
      </w:pPr>
    </w:p>
    <w:p w:rsidR="00576ED0" w:rsidRPr="00540454" w:rsidRDefault="00576ED0" w:rsidP="009D1601">
      <w:pPr>
        <w:rPr>
          <w:rFonts w:ascii="Arial" w:hAnsi="Arial" w:cs="Arial"/>
        </w:rPr>
        <w:sectPr w:rsidR="00576ED0" w:rsidRPr="00540454"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540454" w:rsidRDefault="00576ED0"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B74E4" w:rsidP="009D1601">
      <w:pPr>
        <w:rPr>
          <w:rFonts w:ascii="Arial" w:hAnsi="Arial" w:cs="Arial"/>
          <w:b/>
          <w:color w:val="000064"/>
          <w:sz w:val="32"/>
        </w:rPr>
      </w:pPr>
      <w:r w:rsidRPr="00540454">
        <w:rPr>
          <w:rFonts w:ascii="Arial" w:hAnsi="Arial" w:cs="Arial"/>
          <w:b/>
          <w:color w:val="000064"/>
          <w:sz w:val="32"/>
        </w:rPr>
        <w:t>Contents</w:t>
      </w:r>
    </w:p>
    <w:p w:rsidR="00576ED0" w:rsidRPr="00540454" w:rsidRDefault="00576ED0" w:rsidP="009D1601">
      <w:pPr>
        <w:rPr>
          <w:rFonts w:ascii="Arial" w:hAnsi="Arial" w:cs="Arial"/>
        </w:rPr>
      </w:pPr>
    </w:p>
    <w:p w:rsidR="009B0520" w:rsidRPr="00540454" w:rsidRDefault="009B0520" w:rsidP="009D1601">
      <w:pPr>
        <w:rPr>
          <w:rFonts w:ascii="Arial" w:hAnsi="Arial" w:cs="Arial"/>
        </w:rPr>
      </w:pPr>
    </w:p>
    <w:p w:rsidR="006E05F0" w:rsidRPr="00125009" w:rsidRDefault="003B2024" w:rsidP="009D1601">
      <w:pPr>
        <w:pStyle w:val="TOC1"/>
        <w:tabs>
          <w:tab w:val="left" w:pos="442"/>
        </w:tabs>
        <w:rPr>
          <w:rFonts w:asciiTheme="minorHAnsi" w:eastAsiaTheme="minorEastAsia" w:hAnsiTheme="minorHAnsi" w:cstheme="minorBidi"/>
          <w:b w:val="0"/>
          <w:sz w:val="28"/>
          <w:szCs w:val="22"/>
          <w:lang w:eastAsia="en-AU"/>
        </w:rPr>
      </w:pPr>
      <w:r w:rsidRPr="00125009">
        <w:rPr>
          <w:b w:val="0"/>
          <w:sz w:val="28"/>
          <w:szCs w:val="22"/>
        </w:rPr>
        <w:fldChar w:fldCharType="begin"/>
      </w:r>
      <w:r w:rsidR="00BD49FC" w:rsidRPr="00125009">
        <w:rPr>
          <w:b w:val="0"/>
          <w:sz w:val="28"/>
          <w:szCs w:val="22"/>
        </w:rPr>
        <w:instrText xml:space="preserve"> TOC \o "1-2" \t "ATA Heading 2,2" </w:instrText>
      </w:r>
      <w:r w:rsidRPr="00125009">
        <w:rPr>
          <w:b w:val="0"/>
          <w:sz w:val="28"/>
          <w:szCs w:val="22"/>
        </w:rPr>
        <w:fldChar w:fldCharType="separate"/>
      </w:r>
      <w:r w:rsidR="006E05F0" w:rsidRPr="00125009">
        <w:rPr>
          <w:rFonts w:cs="Times New Roman"/>
          <w:b w:val="0"/>
          <w:sz w:val="24"/>
        </w:rPr>
        <w:t>1.</w:t>
      </w:r>
      <w:r w:rsidR="006E05F0" w:rsidRPr="00125009">
        <w:rPr>
          <w:rFonts w:asciiTheme="minorHAnsi" w:eastAsiaTheme="minorEastAsia" w:hAnsiTheme="minorHAnsi" w:cstheme="minorBidi"/>
          <w:b w:val="0"/>
          <w:sz w:val="28"/>
          <w:szCs w:val="22"/>
          <w:lang w:eastAsia="en-AU"/>
        </w:rPr>
        <w:tab/>
      </w:r>
      <w:r w:rsidR="006E05F0" w:rsidRPr="00125009">
        <w:rPr>
          <w:b w:val="0"/>
          <w:sz w:val="24"/>
        </w:rPr>
        <w:t>Australian Trucking Association</w:t>
      </w:r>
      <w:r w:rsidR="006E05F0" w:rsidRPr="00125009">
        <w:rPr>
          <w:b w:val="0"/>
          <w:sz w:val="24"/>
        </w:rPr>
        <w:tab/>
      </w:r>
      <w:r w:rsidR="006E05F0" w:rsidRPr="00125009">
        <w:rPr>
          <w:b w:val="0"/>
          <w:sz w:val="24"/>
        </w:rPr>
        <w:fldChar w:fldCharType="begin"/>
      </w:r>
      <w:r w:rsidR="006E05F0" w:rsidRPr="00125009">
        <w:rPr>
          <w:b w:val="0"/>
          <w:sz w:val="24"/>
        </w:rPr>
        <w:instrText xml:space="preserve"> PAGEREF _Toc410200543 \h </w:instrText>
      </w:r>
      <w:r w:rsidR="006E05F0" w:rsidRPr="00125009">
        <w:rPr>
          <w:b w:val="0"/>
          <w:sz w:val="24"/>
        </w:rPr>
      </w:r>
      <w:r w:rsidR="006E05F0" w:rsidRPr="00125009">
        <w:rPr>
          <w:b w:val="0"/>
          <w:sz w:val="24"/>
        </w:rPr>
        <w:fldChar w:fldCharType="separate"/>
      </w:r>
      <w:r w:rsidR="005E57AC">
        <w:rPr>
          <w:b w:val="0"/>
          <w:sz w:val="24"/>
        </w:rPr>
        <w:t>3</w:t>
      </w:r>
      <w:r w:rsidR="006E05F0" w:rsidRPr="00125009">
        <w:rPr>
          <w:b w:val="0"/>
          <w:sz w:val="24"/>
        </w:rPr>
        <w:fldChar w:fldCharType="end"/>
      </w:r>
    </w:p>
    <w:p w:rsidR="006E05F0" w:rsidRPr="00125009" w:rsidRDefault="006E05F0" w:rsidP="009D1601">
      <w:pPr>
        <w:pStyle w:val="TOC1"/>
        <w:tabs>
          <w:tab w:val="left" w:pos="442"/>
        </w:tabs>
        <w:rPr>
          <w:rFonts w:asciiTheme="minorHAnsi" w:eastAsiaTheme="minorEastAsia" w:hAnsiTheme="minorHAnsi" w:cstheme="minorBidi"/>
          <w:b w:val="0"/>
          <w:sz w:val="28"/>
          <w:szCs w:val="22"/>
          <w:lang w:eastAsia="en-AU"/>
        </w:rPr>
      </w:pPr>
      <w:r w:rsidRPr="00125009">
        <w:rPr>
          <w:rFonts w:cs="Times New Roman"/>
          <w:b w:val="0"/>
          <w:sz w:val="24"/>
        </w:rPr>
        <w:t>2.</w:t>
      </w:r>
      <w:r w:rsidRPr="00125009">
        <w:rPr>
          <w:rFonts w:asciiTheme="minorHAnsi" w:eastAsiaTheme="minorEastAsia" w:hAnsiTheme="minorHAnsi" w:cstheme="minorBidi"/>
          <w:b w:val="0"/>
          <w:sz w:val="28"/>
          <w:szCs w:val="22"/>
          <w:lang w:eastAsia="en-AU"/>
        </w:rPr>
        <w:tab/>
      </w:r>
      <w:r w:rsidRPr="00125009">
        <w:rPr>
          <w:b w:val="0"/>
          <w:sz w:val="24"/>
        </w:rPr>
        <w:t>Summary of recommendations</w:t>
      </w:r>
      <w:r w:rsidRPr="00125009">
        <w:rPr>
          <w:b w:val="0"/>
          <w:sz w:val="24"/>
        </w:rPr>
        <w:tab/>
      </w:r>
      <w:r w:rsidRPr="00125009">
        <w:rPr>
          <w:b w:val="0"/>
          <w:sz w:val="24"/>
        </w:rPr>
        <w:fldChar w:fldCharType="begin"/>
      </w:r>
      <w:r w:rsidRPr="00125009">
        <w:rPr>
          <w:b w:val="0"/>
          <w:sz w:val="24"/>
        </w:rPr>
        <w:instrText xml:space="preserve"> PAGEREF _Toc410200544 \h </w:instrText>
      </w:r>
      <w:r w:rsidRPr="00125009">
        <w:rPr>
          <w:b w:val="0"/>
          <w:sz w:val="24"/>
        </w:rPr>
      </w:r>
      <w:r w:rsidRPr="00125009">
        <w:rPr>
          <w:b w:val="0"/>
          <w:sz w:val="24"/>
        </w:rPr>
        <w:fldChar w:fldCharType="separate"/>
      </w:r>
      <w:r w:rsidR="005E57AC">
        <w:rPr>
          <w:b w:val="0"/>
          <w:sz w:val="24"/>
        </w:rPr>
        <w:t>3</w:t>
      </w:r>
      <w:r w:rsidRPr="00125009">
        <w:rPr>
          <w:b w:val="0"/>
          <w:sz w:val="24"/>
        </w:rPr>
        <w:fldChar w:fldCharType="end"/>
      </w:r>
    </w:p>
    <w:p w:rsidR="006E05F0" w:rsidRPr="00125009" w:rsidRDefault="006E05F0" w:rsidP="009D1601">
      <w:pPr>
        <w:pStyle w:val="TOC1"/>
        <w:tabs>
          <w:tab w:val="left" w:pos="442"/>
        </w:tabs>
        <w:rPr>
          <w:rFonts w:asciiTheme="minorHAnsi" w:eastAsiaTheme="minorEastAsia" w:hAnsiTheme="minorHAnsi" w:cstheme="minorBidi"/>
          <w:b w:val="0"/>
          <w:sz w:val="28"/>
          <w:szCs w:val="22"/>
          <w:lang w:eastAsia="en-AU"/>
        </w:rPr>
      </w:pPr>
      <w:r w:rsidRPr="00125009">
        <w:rPr>
          <w:rFonts w:cs="Times New Roman"/>
          <w:b w:val="0"/>
          <w:sz w:val="24"/>
        </w:rPr>
        <w:t>3.</w:t>
      </w:r>
      <w:r w:rsidRPr="00125009">
        <w:rPr>
          <w:rFonts w:asciiTheme="minorHAnsi" w:eastAsiaTheme="minorEastAsia" w:hAnsiTheme="minorHAnsi" w:cstheme="minorBidi"/>
          <w:b w:val="0"/>
          <w:sz w:val="28"/>
          <w:szCs w:val="22"/>
          <w:lang w:eastAsia="en-AU"/>
        </w:rPr>
        <w:tab/>
      </w:r>
      <w:r w:rsidRPr="00125009">
        <w:rPr>
          <w:b w:val="0"/>
          <w:sz w:val="24"/>
        </w:rPr>
        <w:t>Introduction</w:t>
      </w:r>
      <w:r w:rsidRPr="00125009">
        <w:rPr>
          <w:b w:val="0"/>
          <w:sz w:val="24"/>
        </w:rPr>
        <w:tab/>
      </w:r>
      <w:r w:rsidRPr="00125009">
        <w:rPr>
          <w:b w:val="0"/>
          <w:sz w:val="24"/>
        </w:rPr>
        <w:fldChar w:fldCharType="begin"/>
      </w:r>
      <w:r w:rsidRPr="00125009">
        <w:rPr>
          <w:b w:val="0"/>
          <w:sz w:val="24"/>
        </w:rPr>
        <w:instrText xml:space="preserve"> PAGEREF _Toc410200545 \h </w:instrText>
      </w:r>
      <w:r w:rsidRPr="00125009">
        <w:rPr>
          <w:b w:val="0"/>
          <w:sz w:val="24"/>
        </w:rPr>
      </w:r>
      <w:r w:rsidRPr="00125009">
        <w:rPr>
          <w:b w:val="0"/>
          <w:sz w:val="24"/>
        </w:rPr>
        <w:fldChar w:fldCharType="separate"/>
      </w:r>
      <w:r w:rsidR="005E57AC">
        <w:rPr>
          <w:b w:val="0"/>
          <w:sz w:val="24"/>
        </w:rPr>
        <w:t>4</w:t>
      </w:r>
      <w:r w:rsidRPr="00125009">
        <w:rPr>
          <w:b w:val="0"/>
          <w:sz w:val="24"/>
        </w:rPr>
        <w:fldChar w:fldCharType="end"/>
      </w:r>
    </w:p>
    <w:p w:rsidR="006E05F0" w:rsidRPr="00125009" w:rsidRDefault="006E05F0" w:rsidP="009D1601">
      <w:pPr>
        <w:pStyle w:val="TOC1"/>
        <w:tabs>
          <w:tab w:val="left" w:pos="442"/>
        </w:tabs>
        <w:rPr>
          <w:rFonts w:asciiTheme="minorHAnsi" w:eastAsiaTheme="minorEastAsia" w:hAnsiTheme="minorHAnsi" w:cstheme="minorBidi"/>
          <w:b w:val="0"/>
          <w:sz w:val="28"/>
          <w:szCs w:val="22"/>
          <w:lang w:eastAsia="en-AU"/>
        </w:rPr>
      </w:pPr>
      <w:r w:rsidRPr="00125009">
        <w:rPr>
          <w:rFonts w:cs="Times New Roman"/>
          <w:b w:val="0"/>
          <w:sz w:val="24"/>
        </w:rPr>
        <w:t>4.</w:t>
      </w:r>
      <w:r w:rsidRPr="00125009">
        <w:rPr>
          <w:rFonts w:asciiTheme="minorHAnsi" w:eastAsiaTheme="minorEastAsia" w:hAnsiTheme="minorHAnsi" w:cstheme="minorBidi"/>
          <w:b w:val="0"/>
          <w:sz w:val="28"/>
          <w:szCs w:val="22"/>
          <w:lang w:eastAsia="en-AU"/>
        </w:rPr>
        <w:tab/>
      </w:r>
      <w:r w:rsidRPr="00125009">
        <w:rPr>
          <w:b w:val="0"/>
          <w:sz w:val="24"/>
        </w:rPr>
        <w:t>The heavy vehicle industry and productivity</w:t>
      </w:r>
      <w:r w:rsidRPr="00125009">
        <w:rPr>
          <w:b w:val="0"/>
          <w:sz w:val="24"/>
        </w:rPr>
        <w:tab/>
      </w:r>
      <w:r w:rsidRPr="00125009">
        <w:rPr>
          <w:b w:val="0"/>
          <w:sz w:val="24"/>
        </w:rPr>
        <w:fldChar w:fldCharType="begin"/>
      </w:r>
      <w:r w:rsidRPr="00125009">
        <w:rPr>
          <w:b w:val="0"/>
          <w:sz w:val="24"/>
        </w:rPr>
        <w:instrText xml:space="preserve"> PAGEREF _Toc410200546 \h </w:instrText>
      </w:r>
      <w:r w:rsidRPr="00125009">
        <w:rPr>
          <w:b w:val="0"/>
          <w:sz w:val="24"/>
        </w:rPr>
      </w:r>
      <w:r w:rsidRPr="00125009">
        <w:rPr>
          <w:b w:val="0"/>
          <w:sz w:val="24"/>
        </w:rPr>
        <w:fldChar w:fldCharType="separate"/>
      </w:r>
      <w:r w:rsidR="005E57AC">
        <w:rPr>
          <w:b w:val="0"/>
          <w:sz w:val="24"/>
        </w:rPr>
        <w:t>5</w:t>
      </w:r>
      <w:r w:rsidRPr="00125009">
        <w:rPr>
          <w:b w:val="0"/>
          <w:sz w:val="24"/>
        </w:rPr>
        <w:fldChar w:fldCharType="end"/>
      </w:r>
    </w:p>
    <w:p w:rsidR="006E05F0" w:rsidRPr="00125009" w:rsidRDefault="006E05F0" w:rsidP="009D1601">
      <w:pPr>
        <w:pStyle w:val="TOC1"/>
        <w:tabs>
          <w:tab w:val="left" w:pos="442"/>
        </w:tabs>
        <w:rPr>
          <w:rFonts w:asciiTheme="minorHAnsi" w:eastAsiaTheme="minorEastAsia" w:hAnsiTheme="minorHAnsi" w:cstheme="minorBidi"/>
          <w:b w:val="0"/>
          <w:sz w:val="28"/>
          <w:szCs w:val="22"/>
          <w:lang w:eastAsia="en-AU"/>
        </w:rPr>
      </w:pPr>
      <w:r w:rsidRPr="00125009">
        <w:rPr>
          <w:rFonts w:cs="Times New Roman"/>
          <w:b w:val="0"/>
          <w:sz w:val="24"/>
        </w:rPr>
        <w:t>5.</w:t>
      </w:r>
      <w:r w:rsidRPr="00125009">
        <w:rPr>
          <w:rFonts w:asciiTheme="minorHAnsi" w:eastAsiaTheme="minorEastAsia" w:hAnsiTheme="minorHAnsi" w:cstheme="minorBidi"/>
          <w:b w:val="0"/>
          <w:sz w:val="28"/>
          <w:szCs w:val="22"/>
          <w:lang w:eastAsia="en-AU"/>
        </w:rPr>
        <w:tab/>
      </w:r>
      <w:r w:rsidRPr="00125009">
        <w:rPr>
          <w:b w:val="0"/>
          <w:sz w:val="24"/>
        </w:rPr>
        <w:t>Funding for workforce skills initiatives to grow productivity</w:t>
      </w:r>
      <w:r w:rsidRPr="00125009">
        <w:rPr>
          <w:b w:val="0"/>
          <w:sz w:val="24"/>
        </w:rPr>
        <w:tab/>
      </w:r>
      <w:r w:rsidRPr="00125009">
        <w:rPr>
          <w:b w:val="0"/>
          <w:sz w:val="24"/>
        </w:rPr>
        <w:fldChar w:fldCharType="begin"/>
      </w:r>
      <w:r w:rsidRPr="00125009">
        <w:rPr>
          <w:b w:val="0"/>
          <w:sz w:val="24"/>
        </w:rPr>
        <w:instrText xml:space="preserve"> PAGEREF _Toc410200552 \h </w:instrText>
      </w:r>
      <w:r w:rsidRPr="00125009">
        <w:rPr>
          <w:b w:val="0"/>
          <w:sz w:val="24"/>
        </w:rPr>
      </w:r>
      <w:r w:rsidRPr="00125009">
        <w:rPr>
          <w:b w:val="0"/>
          <w:sz w:val="24"/>
        </w:rPr>
        <w:fldChar w:fldCharType="separate"/>
      </w:r>
      <w:r w:rsidR="005E57AC">
        <w:rPr>
          <w:b w:val="0"/>
          <w:sz w:val="24"/>
        </w:rPr>
        <w:t>11</w:t>
      </w:r>
      <w:r w:rsidRPr="00125009">
        <w:rPr>
          <w:b w:val="0"/>
          <w:sz w:val="24"/>
        </w:rPr>
        <w:fldChar w:fldCharType="end"/>
      </w:r>
    </w:p>
    <w:p w:rsidR="00241C15" w:rsidRPr="006E05F0" w:rsidRDefault="003B2024" w:rsidP="009D1601">
      <w:pPr>
        <w:tabs>
          <w:tab w:val="right" w:leader="dot" w:pos="9645"/>
        </w:tabs>
        <w:rPr>
          <w:rFonts w:ascii="Arial" w:hAnsi="Arial" w:cs="Arial"/>
        </w:rPr>
      </w:pPr>
      <w:r w:rsidRPr="00125009">
        <w:rPr>
          <w:rFonts w:ascii="Arial" w:hAnsi="Arial" w:cs="Arial"/>
          <w:noProof/>
          <w:sz w:val="28"/>
        </w:rPr>
        <w:fldChar w:fldCharType="end"/>
      </w:r>
    </w:p>
    <w:p w:rsidR="00576ED0" w:rsidRPr="006E05F0" w:rsidRDefault="00576ED0" w:rsidP="009D1601">
      <w:pPr>
        <w:rPr>
          <w:rFonts w:ascii="Arial" w:hAnsi="Arial" w:cs="Arial"/>
        </w:rPr>
      </w:pPr>
      <w:r w:rsidRPr="006E05F0">
        <w:rPr>
          <w:rFonts w:ascii="Arial" w:hAnsi="Arial" w:cs="Arial"/>
        </w:rPr>
        <w:br w:type="page"/>
      </w:r>
    </w:p>
    <w:p w:rsidR="006233B3" w:rsidRDefault="006233B3" w:rsidP="009D1601">
      <w:pPr>
        <w:pStyle w:val="Heading1"/>
        <w:numPr>
          <w:ilvl w:val="0"/>
          <w:numId w:val="0"/>
        </w:numPr>
        <w:rPr>
          <w:szCs w:val="22"/>
        </w:rPr>
      </w:pPr>
    </w:p>
    <w:p w:rsidR="006233B3" w:rsidRPr="00540454" w:rsidRDefault="006233B3" w:rsidP="009D1601">
      <w:pPr>
        <w:pStyle w:val="Heading1"/>
        <w:rPr>
          <w:szCs w:val="22"/>
        </w:rPr>
      </w:pPr>
      <w:bookmarkStart w:id="0" w:name="_Toc410200543"/>
      <w:r w:rsidRPr="00540454">
        <w:rPr>
          <w:szCs w:val="22"/>
        </w:rPr>
        <w:t>Australian Trucking Association</w:t>
      </w:r>
      <w:bookmarkEnd w:id="0"/>
    </w:p>
    <w:p w:rsidR="006233B3" w:rsidRPr="00540454" w:rsidRDefault="006233B3" w:rsidP="009D1601">
      <w:pPr>
        <w:pStyle w:val="BodyText2"/>
        <w:rPr>
          <w:b w:val="0"/>
          <w:szCs w:val="22"/>
        </w:rPr>
      </w:pPr>
    </w:p>
    <w:p w:rsidR="006233B3" w:rsidRPr="00540454" w:rsidRDefault="006233B3" w:rsidP="009D1601">
      <w:pPr>
        <w:pStyle w:val="BodyText2"/>
        <w:rPr>
          <w:b w:val="0"/>
          <w:szCs w:val="22"/>
        </w:rPr>
      </w:pPr>
      <w:r w:rsidRPr="00540454">
        <w:rPr>
          <w:b w:val="0"/>
          <w:szCs w:val="22"/>
        </w:rPr>
        <w:t>The ATA is the peak body that represents the trucking industry. Its members include state and sector-based trucking associations, some of the nation’s largest transport companies, and businesses with leading expertise in truck technology.</w:t>
      </w:r>
    </w:p>
    <w:p w:rsidR="006233B3" w:rsidRDefault="006233B3" w:rsidP="009D1601">
      <w:pPr>
        <w:pStyle w:val="Heading1"/>
        <w:numPr>
          <w:ilvl w:val="0"/>
          <w:numId w:val="0"/>
        </w:numPr>
        <w:rPr>
          <w:szCs w:val="22"/>
        </w:rPr>
      </w:pPr>
    </w:p>
    <w:p w:rsidR="00A023EA" w:rsidRPr="00540454" w:rsidRDefault="006233B3" w:rsidP="009D1601">
      <w:pPr>
        <w:pStyle w:val="Heading1"/>
        <w:rPr>
          <w:szCs w:val="22"/>
        </w:rPr>
      </w:pPr>
      <w:bookmarkStart w:id="1" w:name="_Toc410200544"/>
      <w:r>
        <w:rPr>
          <w:szCs w:val="22"/>
        </w:rPr>
        <w:t>Summary of r</w:t>
      </w:r>
      <w:r w:rsidR="00A023EA" w:rsidRPr="00540454">
        <w:rPr>
          <w:szCs w:val="22"/>
        </w:rPr>
        <w:t>ecommendation</w:t>
      </w:r>
      <w:r w:rsidR="00CB73A3" w:rsidRPr="00540454">
        <w:rPr>
          <w:szCs w:val="22"/>
        </w:rPr>
        <w:t>s</w:t>
      </w:r>
      <w:bookmarkEnd w:id="1"/>
    </w:p>
    <w:p w:rsidR="00D92690" w:rsidRPr="00540454" w:rsidRDefault="00D92690" w:rsidP="009D1601">
      <w:pPr>
        <w:rPr>
          <w:rFonts w:ascii="Arial" w:eastAsiaTheme="minorHAnsi" w:hAnsi="Arial" w:cs="Arial"/>
        </w:rPr>
      </w:pPr>
    </w:p>
    <w:p w:rsidR="00CC3585" w:rsidRPr="00540454" w:rsidRDefault="00CC3585" w:rsidP="009D1601">
      <w:pPr>
        <w:rPr>
          <w:rFonts w:ascii="Arial" w:eastAsiaTheme="minorHAnsi" w:hAnsi="Arial" w:cs="Arial"/>
          <w:b/>
          <w:iCs/>
        </w:rPr>
      </w:pPr>
      <w:r w:rsidRPr="00540454">
        <w:rPr>
          <w:rFonts w:ascii="Arial" w:eastAsiaTheme="minorHAnsi" w:hAnsi="Arial" w:cs="Arial"/>
          <w:b/>
          <w:iCs/>
        </w:rPr>
        <w:t>Recommendation 1</w:t>
      </w:r>
    </w:p>
    <w:p w:rsidR="00CC3585" w:rsidRPr="00540454" w:rsidRDefault="00CC3585" w:rsidP="009D1601">
      <w:pPr>
        <w:rPr>
          <w:rFonts w:ascii="Arial" w:eastAsiaTheme="minorHAnsi" w:hAnsi="Arial" w:cs="Arial"/>
          <w:b/>
          <w:i/>
          <w:iCs/>
        </w:rPr>
      </w:pPr>
    </w:p>
    <w:p w:rsidR="00CC3585" w:rsidRPr="00540454" w:rsidRDefault="00CC3585" w:rsidP="009D1601">
      <w:pPr>
        <w:rPr>
          <w:rFonts w:ascii="Arial" w:eastAsiaTheme="minorHAnsi" w:hAnsi="Arial" w:cs="Arial"/>
          <w:iCs/>
        </w:rPr>
      </w:pPr>
      <w:r w:rsidRPr="00540454">
        <w:rPr>
          <w:rFonts w:ascii="Arial" w:eastAsiaTheme="minorHAnsi" w:hAnsi="Arial" w:cs="Arial"/>
          <w:iCs/>
        </w:rPr>
        <w:t>The Government should maintain the fuel tax credit for the heavy vehicle industry.</w:t>
      </w:r>
    </w:p>
    <w:p w:rsidR="00CC3585" w:rsidRPr="00540454" w:rsidRDefault="00CC3585" w:rsidP="009D1601">
      <w:pPr>
        <w:rPr>
          <w:rFonts w:ascii="Arial" w:eastAsiaTheme="minorHAnsi" w:hAnsi="Arial" w:cs="Arial"/>
        </w:rPr>
      </w:pPr>
    </w:p>
    <w:p w:rsidR="00CC3585" w:rsidRPr="00540454" w:rsidRDefault="00CC3585" w:rsidP="009D1601">
      <w:pPr>
        <w:rPr>
          <w:rFonts w:ascii="Arial" w:eastAsiaTheme="minorHAnsi" w:hAnsi="Arial" w:cs="Arial"/>
          <w:b/>
        </w:rPr>
      </w:pPr>
      <w:r w:rsidRPr="00540454">
        <w:rPr>
          <w:rFonts w:ascii="Arial" w:eastAsiaTheme="minorHAnsi" w:hAnsi="Arial" w:cs="Arial"/>
          <w:b/>
        </w:rPr>
        <w:t>Recommendation 2</w:t>
      </w:r>
    </w:p>
    <w:p w:rsidR="00CC3585" w:rsidRPr="00540454" w:rsidRDefault="00CC3585" w:rsidP="009D1601">
      <w:pPr>
        <w:rPr>
          <w:rFonts w:ascii="Arial" w:eastAsiaTheme="minorHAnsi" w:hAnsi="Arial" w:cs="Arial"/>
          <w:iCs/>
        </w:rPr>
      </w:pPr>
    </w:p>
    <w:p w:rsidR="00CC3585" w:rsidRPr="00540454" w:rsidRDefault="00CC3585" w:rsidP="009D1601">
      <w:pPr>
        <w:rPr>
          <w:rFonts w:ascii="Arial" w:eastAsiaTheme="minorHAnsi" w:hAnsi="Arial" w:cs="Arial"/>
          <w:iCs/>
        </w:rPr>
      </w:pPr>
      <w:r w:rsidRPr="00540454">
        <w:rPr>
          <w:rFonts w:ascii="Arial" w:eastAsiaTheme="minorHAnsi" w:hAnsi="Arial" w:cs="Arial"/>
          <w:iCs/>
        </w:rPr>
        <w:t>To address the over-recovery of tax from the industry the Government should implement option A of the NTC Heavy Vehicle Charges Determination RIS in the 2015-16 Budget.</w:t>
      </w:r>
      <w:r w:rsidR="00125009">
        <w:rPr>
          <w:rFonts w:ascii="Arial" w:eastAsiaTheme="minorHAnsi" w:hAnsi="Arial" w:cs="Arial"/>
          <w:iCs/>
        </w:rPr>
        <w:t xml:space="preserve"> The road user charge should not be increased. </w:t>
      </w:r>
    </w:p>
    <w:p w:rsidR="00CC3585" w:rsidRPr="00540454" w:rsidRDefault="00CC3585" w:rsidP="009D1601">
      <w:pPr>
        <w:rPr>
          <w:rFonts w:ascii="Arial" w:eastAsiaTheme="minorHAnsi" w:hAnsi="Arial" w:cs="Arial"/>
        </w:rPr>
      </w:pPr>
    </w:p>
    <w:p w:rsidR="00CC3585" w:rsidRPr="00540454" w:rsidRDefault="00CC3585" w:rsidP="009D1601">
      <w:pPr>
        <w:rPr>
          <w:rFonts w:ascii="Arial" w:eastAsiaTheme="minorHAnsi" w:hAnsi="Arial" w:cs="Arial"/>
          <w:b/>
        </w:rPr>
      </w:pPr>
      <w:r w:rsidRPr="00540454">
        <w:rPr>
          <w:rFonts w:ascii="Arial" w:eastAsiaTheme="minorHAnsi" w:hAnsi="Arial" w:cs="Arial"/>
          <w:b/>
        </w:rPr>
        <w:t>Recommendation 3</w:t>
      </w:r>
    </w:p>
    <w:p w:rsidR="00CC3585" w:rsidRPr="00540454" w:rsidRDefault="00CC3585" w:rsidP="009D1601">
      <w:pPr>
        <w:rPr>
          <w:rFonts w:ascii="Arial" w:eastAsiaTheme="minorHAnsi" w:hAnsi="Arial" w:cs="Arial"/>
          <w:b/>
        </w:rPr>
      </w:pPr>
    </w:p>
    <w:p w:rsidR="00CC3585" w:rsidRPr="00540454" w:rsidRDefault="00CC3585" w:rsidP="009D1601">
      <w:pPr>
        <w:rPr>
          <w:rFonts w:ascii="Arial" w:eastAsiaTheme="minorHAnsi" w:hAnsi="Arial" w:cs="Arial"/>
        </w:rPr>
      </w:pPr>
      <w:r w:rsidRPr="00540454">
        <w:rPr>
          <w:rFonts w:ascii="Arial" w:eastAsiaTheme="minorHAnsi" w:hAnsi="Arial" w:cs="Arial"/>
        </w:rPr>
        <w:t>The Government should implement the short term recommendations provided by PricewaterhouseCoopers to improve the performance and productivity of road agencies and subsequently road users.</w:t>
      </w:r>
    </w:p>
    <w:p w:rsidR="00CC3585" w:rsidRPr="00540454" w:rsidRDefault="00CC3585" w:rsidP="009D1601">
      <w:pPr>
        <w:rPr>
          <w:rFonts w:ascii="Arial" w:eastAsiaTheme="minorHAnsi" w:hAnsi="Arial" w:cs="Arial"/>
        </w:rPr>
      </w:pPr>
    </w:p>
    <w:p w:rsidR="00CC3585" w:rsidRPr="00540454" w:rsidRDefault="00CC3585" w:rsidP="009D1601">
      <w:pPr>
        <w:rPr>
          <w:rFonts w:ascii="Arial" w:eastAsiaTheme="minorHAnsi" w:hAnsi="Arial" w:cs="Arial"/>
          <w:b/>
          <w:iCs/>
        </w:rPr>
      </w:pPr>
      <w:r w:rsidRPr="00540454">
        <w:rPr>
          <w:rFonts w:ascii="Arial" w:eastAsiaTheme="minorHAnsi" w:hAnsi="Arial" w:cs="Arial"/>
          <w:b/>
          <w:iCs/>
        </w:rPr>
        <w:t>Recommendation 4</w:t>
      </w:r>
    </w:p>
    <w:p w:rsidR="00CC3585" w:rsidRPr="00540454" w:rsidRDefault="00CC3585" w:rsidP="009D1601">
      <w:pPr>
        <w:rPr>
          <w:rFonts w:ascii="Arial" w:eastAsiaTheme="minorHAnsi" w:hAnsi="Arial" w:cs="Arial"/>
          <w:iCs/>
        </w:rPr>
      </w:pPr>
    </w:p>
    <w:p w:rsidR="006E05F0" w:rsidRPr="006E05F0" w:rsidRDefault="006E05F0" w:rsidP="009D1601">
      <w:pPr>
        <w:rPr>
          <w:rFonts w:ascii="Arial" w:eastAsiaTheme="minorHAnsi" w:hAnsi="Arial" w:cs="Arial"/>
          <w:iCs/>
        </w:rPr>
      </w:pPr>
      <w:r w:rsidRPr="006E05F0">
        <w:rPr>
          <w:rFonts w:ascii="Arial" w:eastAsiaTheme="minorHAnsi" w:hAnsi="Arial" w:cs="Arial"/>
          <w:iCs/>
        </w:rPr>
        <w:t>The Government should implement the following Productivity Commission Public Infrastructure inquiry recommendations in order to increase productivity in supply side provision and subsequently road users:</w:t>
      </w:r>
    </w:p>
    <w:p w:rsidR="006E05F0" w:rsidRPr="006E05F0" w:rsidRDefault="006308E9" w:rsidP="009D1601">
      <w:pPr>
        <w:numPr>
          <w:ilvl w:val="0"/>
          <w:numId w:val="10"/>
        </w:numPr>
        <w:rPr>
          <w:rFonts w:ascii="Arial" w:eastAsiaTheme="minorHAnsi" w:hAnsi="Arial" w:cs="Arial"/>
          <w:iCs/>
        </w:rPr>
      </w:pPr>
      <w:r>
        <w:rPr>
          <w:rFonts w:ascii="Arial" w:eastAsiaTheme="minorHAnsi" w:hAnsi="Arial" w:cs="Arial"/>
          <w:iCs/>
        </w:rPr>
        <w:t>c</w:t>
      </w:r>
      <w:r w:rsidR="006E05F0" w:rsidRPr="006E05F0">
        <w:rPr>
          <w:rFonts w:ascii="Arial" w:eastAsiaTheme="minorHAnsi" w:hAnsi="Arial" w:cs="Arial"/>
          <w:iCs/>
        </w:rPr>
        <w:t>onditional funding for states</w:t>
      </w:r>
    </w:p>
    <w:p w:rsidR="006E05F0" w:rsidRPr="006E05F0" w:rsidRDefault="006E05F0" w:rsidP="009D1601">
      <w:pPr>
        <w:numPr>
          <w:ilvl w:val="0"/>
          <w:numId w:val="10"/>
        </w:numPr>
        <w:rPr>
          <w:rFonts w:ascii="Arial" w:eastAsiaTheme="minorHAnsi" w:hAnsi="Arial" w:cs="Arial"/>
          <w:iCs/>
        </w:rPr>
      </w:pPr>
      <w:r w:rsidRPr="006E05F0">
        <w:rPr>
          <w:rFonts w:ascii="Arial" w:eastAsiaTheme="minorHAnsi" w:hAnsi="Arial" w:cs="Arial"/>
          <w:iCs/>
        </w:rPr>
        <w:t>improved governance arrangements</w:t>
      </w:r>
    </w:p>
    <w:p w:rsidR="006E05F0" w:rsidRPr="006E05F0" w:rsidRDefault="006E05F0" w:rsidP="009D1601">
      <w:pPr>
        <w:numPr>
          <w:ilvl w:val="0"/>
          <w:numId w:val="10"/>
        </w:numPr>
        <w:rPr>
          <w:rFonts w:ascii="Arial" w:eastAsiaTheme="minorHAnsi" w:hAnsi="Arial" w:cs="Arial"/>
          <w:iCs/>
        </w:rPr>
      </w:pPr>
      <w:r w:rsidRPr="006E05F0">
        <w:rPr>
          <w:rFonts w:ascii="Arial" w:eastAsiaTheme="minorHAnsi" w:hAnsi="Arial" w:cs="Arial"/>
          <w:iCs/>
        </w:rPr>
        <w:t>project benchmarking</w:t>
      </w:r>
    </w:p>
    <w:p w:rsidR="006E05F0" w:rsidRPr="006E05F0" w:rsidRDefault="006E05F0" w:rsidP="009D1601">
      <w:pPr>
        <w:numPr>
          <w:ilvl w:val="0"/>
          <w:numId w:val="10"/>
        </w:numPr>
        <w:rPr>
          <w:rFonts w:ascii="Arial" w:eastAsiaTheme="minorHAnsi" w:hAnsi="Arial" w:cs="Arial"/>
          <w:iCs/>
        </w:rPr>
      </w:pPr>
      <w:r w:rsidRPr="006E05F0">
        <w:rPr>
          <w:rFonts w:ascii="Arial" w:eastAsiaTheme="minorHAnsi" w:hAnsi="Arial" w:cs="Arial"/>
          <w:iCs/>
        </w:rPr>
        <w:t xml:space="preserve">better project selection, and, </w:t>
      </w:r>
    </w:p>
    <w:p w:rsidR="006E05F0" w:rsidRPr="006E05F0" w:rsidRDefault="006E05F0" w:rsidP="009D1601">
      <w:pPr>
        <w:numPr>
          <w:ilvl w:val="0"/>
          <w:numId w:val="10"/>
        </w:numPr>
        <w:rPr>
          <w:rFonts w:ascii="Arial" w:eastAsiaTheme="minorHAnsi" w:hAnsi="Arial" w:cs="Arial"/>
          <w:iCs/>
        </w:rPr>
      </w:pPr>
      <w:r w:rsidRPr="006E05F0">
        <w:rPr>
          <w:rFonts w:ascii="Arial" w:eastAsiaTheme="minorHAnsi" w:hAnsi="Arial" w:cs="Arial"/>
          <w:iCs/>
        </w:rPr>
        <w:t>improved cost benefit analysis.</w:t>
      </w:r>
    </w:p>
    <w:p w:rsidR="00CC3585" w:rsidRDefault="00CC3585" w:rsidP="009D1601">
      <w:pPr>
        <w:rPr>
          <w:rFonts w:ascii="Arial" w:eastAsiaTheme="minorHAnsi" w:hAnsi="Arial" w:cs="Arial"/>
        </w:rPr>
      </w:pPr>
    </w:p>
    <w:p w:rsidR="006308E9" w:rsidRPr="006308E9" w:rsidRDefault="006308E9" w:rsidP="006308E9">
      <w:pPr>
        <w:rPr>
          <w:rFonts w:ascii="Arial" w:eastAsiaTheme="minorHAnsi" w:hAnsi="Arial" w:cs="Arial"/>
          <w:b/>
        </w:rPr>
      </w:pPr>
      <w:r w:rsidRPr="006308E9">
        <w:rPr>
          <w:rFonts w:ascii="Arial" w:eastAsiaTheme="minorHAnsi" w:hAnsi="Arial" w:cs="Arial"/>
          <w:b/>
        </w:rPr>
        <w:t>Recommendation 5</w:t>
      </w:r>
    </w:p>
    <w:p w:rsidR="006308E9" w:rsidRPr="006308E9" w:rsidRDefault="006308E9" w:rsidP="006308E9">
      <w:pPr>
        <w:rPr>
          <w:rFonts w:ascii="Arial" w:eastAsiaTheme="minorHAnsi" w:hAnsi="Arial" w:cs="Arial"/>
          <w:b/>
        </w:rPr>
      </w:pPr>
    </w:p>
    <w:p w:rsidR="00185B28" w:rsidRPr="006308E9" w:rsidRDefault="006308E9" w:rsidP="006308E9">
      <w:pPr>
        <w:rPr>
          <w:rFonts w:ascii="Arial" w:eastAsiaTheme="minorHAnsi" w:hAnsi="Arial" w:cs="Arial"/>
        </w:rPr>
      </w:pPr>
      <w:r w:rsidRPr="006308E9">
        <w:rPr>
          <w:rFonts w:ascii="Arial" w:eastAsiaTheme="minorHAnsi" w:hAnsi="Arial" w:cs="Arial"/>
        </w:rPr>
        <w:t>The Government should increase the small business turnover threshold to $3 million and investigate the feasibility of an increase to $5 million.</w:t>
      </w:r>
    </w:p>
    <w:p w:rsidR="006308E9" w:rsidRPr="00540454" w:rsidRDefault="006308E9" w:rsidP="006308E9">
      <w:pPr>
        <w:rPr>
          <w:rFonts w:ascii="Arial" w:eastAsiaTheme="minorHAnsi" w:hAnsi="Arial" w:cs="Arial"/>
        </w:rPr>
      </w:pPr>
    </w:p>
    <w:p w:rsidR="00CC3585" w:rsidRPr="00540454" w:rsidRDefault="00185B28" w:rsidP="009D1601">
      <w:pPr>
        <w:rPr>
          <w:rFonts w:ascii="Arial" w:eastAsiaTheme="minorHAnsi" w:hAnsi="Arial" w:cs="Arial"/>
          <w:b/>
        </w:rPr>
      </w:pPr>
      <w:r>
        <w:rPr>
          <w:rFonts w:ascii="Arial" w:eastAsiaTheme="minorHAnsi" w:hAnsi="Arial" w:cs="Arial"/>
          <w:b/>
        </w:rPr>
        <w:t>Recommendation 6</w:t>
      </w:r>
    </w:p>
    <w:p w:rsidR="00CC3585" w:rsidRPr="00540454" w:rsidRDefault="00CC3585" w:rsidP="009D1601">
      <w:pPr>
        <w:rPr>
          <w:rFonts w:ascii="Arial" w:eastAsiaTheme="minorHAnsi" w:hAnsi="Arial" w:cs="Arial"/>
          <w:b/>
        </w:rPr>
      </w:pPr>
    </w:p>
    <w:p w:rsidR="00CC3585" w:rsidRPr="00540454" w:rsidRDefault="00CC3585" w:rsidP="009D1601">
      <w:pPr>
        <w:rPr>
          <w:rFonts w:ascii="Arial" w:eastAsiaTheme="minorHAnsi" w:hAnsi="Arial" w:cs="Arial"/>
        </w:rPr>
      </w:pPr>
      <w:r w:rsidRPr="00540454">
        <w:rPr>
          <w:rFonts w:ascii="Arial" w:eastAsiaTheme="minorHAnsi" w:hAnsi="Arial" w:cs="Arial"/>
        </w:rPr>
        <w:t>The Government should continue to fund the following skills and workforce enhancement programs in order to improve workforce productivity:</w:t>
      </w:r>
    </w:p>
    <w:p w:rsidR="00CC3585" w:rsidRPr="00540454" w:rsidRDefault="006308E9" w:rsidP="009D1601">
      <w:pPr>
        <w:numPr>
          <w:ilvl w:val="0"/>
          <w:numId w:val="3"/>
        </w:numPr>
        <w:rPr>
          <w:rFonts w:ascii="Arial" w:eastAsiaTheme="minorHAnsi" w:hAnsi="Arial" w:cs="Arial"/>
        </w:rPr>
      </w:pPr>
      <w:r>
        <w:rPr>
          <w:rFonts w:ascii="Arial" w:eastAsiaTheme="minorHAnsi" w:hAnsi="Arial" w:cs="Arial"/>
        </w:rPr>
        <w:t>t</w:t>
      </w:r>
      <w:r w:rsidR="00CC3585" w:rsidRPr="00540454">
        <w:rPr>
          <w:rFonts w:ascii="Arial" w:eastAsiaTheme="minorHAnsi" w:hAnsi="Arial" w:cs="Arial"/>
        </w:rPr>
        <w:t>rain</w:t>
      </w:r>
      <w:r w:rsidR="006E05F0">
        <w:rPr>
          <w:rFonts w:ascii="Arial" w:eastAsiaTheme="minorHAnsi" w:hAnsi="Arial" w:cs="Arial"/>
        </w:rPr>
        <w:t>ing for employment scholarships,</w:t>
      </w:r>
    </w:p>
    <w:p w:rsidR="00CC3585" w:rsidRPr="00540454" w:rsidRDefault="006E05F0" w:rsidP="009D1601">
      <w:pPr>
        <w:numPr>
          <w:ilvl w:val="0"/>
          <w:numId w:val="3"/>
        </w:numPr>
        <w:rPr>
          <w:rFonts w:ascii="Arial" w:eastAsiaTheme="minorHAnsi" w:hAnsi="Arial" w:cs="Arial"/>
        </w:rPr>
      </w:pPr>
      <w:r>
        <w:rPr>
          <w:rFonts w:ascii="Arial" w:eastAsiaTheme="minorHAnsi" w:hAnsi="Arial" w:cs="Arial"/>
        </w:rPr>
        <w:t>youth employment pathways,</w:t>
      </w:r>
    </w:p>
    <w:p w:rsidR="00CC3585" w:rsidRPr="00540454" w:rsidRDefault="006E05F0" w:rsidP="009D1601">
      <w:pPr>
        <w:numPr>
          <w:ilvl w:val="0"/>
          <w:numId w:val="3"/>
        </w:numPr>
        <w:rPr>
          <w:rFonts w:ascii="Arial" w:eastAsiaTheme="minorHAnsi" w:hAnsi="Arial" w:cs="Arial"/>
        </w:rPr>
      </w:pPr>
      <w:r>
        <w:rPr>
          <w:rFonts w:ascii="Arial" w:eastAsiaTheme="minorHAnsi" w:hAnsi="Arial" w:cs="Arial"/>
        </w:rPr>
        <w:t>indigenous employment program, and</w:t>
      </w:r>
    </w:p>
    <w:p w:rsidR="00CC3585" w:rsidRPr="00540454" w:rsidRDefault="006E05F0" w:rsidP="009D1601">
      <w:pPr>
        <w:numPr>
          <w:ilvl w:val="0"/>
          <w:numId w:val="3"/>
        </w:numPr>
        <w:rPr>
          <w:rFonts w:ascii="Arial" w:eastAsiaTheme="minorHAnsi" w:hAnsi="Arial" w:cs="Arial"/>
        </w:rPr>
      </w:pPr>
      <w:r>
        <w:rPr>
          <w:rFonts w:ascii="Arial" w:eastAsiaTheme="minorHAnsi" w:hAnsi="Arial" w:cs="Arial"/>
        </w:rPr>
        <w:t>t</w:t>
      </w:r>
      <w:r w:rsidR="00CC3585" w:rsidRPr="00540454">
        <w:rPr>
          <w:rFonts w:ascii="Arial" w:eastAsiaTheme="minorHAnsi" w:hAnsi="Arial" w:cs="Arial"/>
        </w:rPr>
        <w:t>he</w:t>
      </w:r>
      <w:r>
        <w:rPr>
          <w:rFonts w:ascii="Arial" w:eastAsiaTheme="minorHAnsi" w:hAnsi="Arial" w:cs="Arial"/>
        </w:rPr>
        <w:t xml:space="preserve"> restart p</w:t>
      </w:r>
      <w:r w:rsidR="00CC3585" w:rsidRPr="00540454">
        <w:rPr>
          <w:rFonts w:ascii="Arial" w:eastAsiaTheme="minorHAnsi" w:hAnsi="Arial" w:cs="Arial"/>
        </w:rPr>
        <w:t>rogram.</w:t>
      </w:r>
    </w:p>
    <w:p w:rsidR="00540454" w:rsidRDefault="00540454"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Default="00185B28" w:rsidP="009D1601">
      <w:pPr>
        <w:ind w:left="720"/>
        <w:rPr>
          <w:rFonts w:ascii="Arial" w:eastAsiaTheme="minorHAnsi" w:hAnsi="Arial" w:cs="Arial"/>
        </w:rPr>
      </w:pPr>
    </w:p>
    <w:p w:rsidR="00185B28" w:rsidRPr="00540454" w:rsidRDefault="00185B28" w:rsidP="009D1601">
      <w:pPr>
        <w:ind w:left="720"/>
        <w:rPr>
          <w:rFonts w:ascii="Arial" w:eastAsiaTheme="minorHAnsi" w:hAnsi="Arial" w:cs="Arial"/>
        </w:rPr>
      </w:pPr>
    </w:p>
    <w:p w:rsidR="006233B3" w:rsidRPr="00540454" w:rsidRDefault="006233B3" w:rsidP="009D1601">
      <w:pPr>
        <w:pStyle w:val="Heading1"/>
        <w:rPr>
          <w:szCs w:val="22"/>
        </w:rPr>
      </w:pPr>
      <w:bookmarkStart w:id="2" w:name="_Toc410200545"/>
      <w:r w:rsidRPr="00540454">
        <w:rPr>
          <w:szCs w:val="22"/>
        </w:rPr>
        <w:t>Introduction</w:t>
      </w:r>
      <w:bookmarkEnd w:id="2"/>
    </w:p>
    <w:p w:rsidR="006233B3" w:rsidRPr="00540454" w:rsidRDefault="006233B3" w:rsidP="009D1601">
      <w:pPr>
        <w:rPr>
          <w:rFonts w:ascii="Arial" w:eastAsia="Times New Roman" w:hAnsi="Arial" w:cs="Arial"/>
          <w:bCs/>
        </w:rPr>
      </w:pPr>
    </w:p>
    <w:p w:rsidR="006233B3" w:rsidRPr="006233B3" w:rsidRDefault="006233B3" w:rsidP="009D1601">
      <w:pPr>
        <w:pStyle w:val="NormalWeb"/>
        <w:shd w:val="clear" w:color="auto" w:fill="FFFFFF"/>
        <w:spacing w:before="0" w:beforeAutospacing="0" w:after="0" w:afterAutospacing="0"/>
        <w:rPr>
          <w:rFonts w:ascii="Arial" w:eastAsiaTheme="minorHAnsi" w:hAnsi="Arial" w:cs="Arial"/>
          <w:bCs/>
          <w:sz w:val="22"/>
          <w:szCs w:val="22"/>
          <w:lang w:eastAsia="en-US"/>
        </w:rPr>
      </w:pPr>
      <w:r w:rsidRPr="006233B3">
        <w:rPr>
          <w:rFonts w:ascii="Arial" w:eastAsiaTheme="minorHAnsi" w:hAnsi="Arial" w:cs="Arial"/>
          <w:bCs/>
          <w:sz w:val="22"/>
          <w:szCs w:val="22"/>
          <w:lang w:eastAsia="en-US"/>
        </w:rPr>
        <w:t>The Australian Government has asked for submissions on priorities for the 2015-16 Budget.</w:t>
      </w:r>
    </w:p>
    <w:p w:rsidR="006233B3" w:rsidRPr="00540454" w:rsidRDefault="006233B3" w:rsidP="009D1601">
      <w:pPr>
        <w:pStyle w:val="NormalWeb"/>
        <w:shd w:val="clear" w:color="auto" w:fill="FFFFFF"/>
        <w:spacing w:before="0" w:beforeAutospacing="0" w:after="0" w:afterAutospacing="0"/>
        <w:rPr>
          <w:rFonts w:ascii="Arial" w:eastAsiaTheme="minorHAnsi" w:hAnsi="Arial" w:cs="Arial"/>
          <w:bCs/>
          <w:sz w:val="22"/>
          <w:szCs w:val="22"/>
          <w:lang w:eastAsia="en-US"/>
        </w:rPr>
      </w:pPr>
    </w:p>
    <w:p w:rsidR="00185B28" w:rsidRDefault="006233B3" w:rsidP="009D1601">
      <w:pPr>
        <w:pStyle w:val="NormalWeb"/>
        <w:shd w:val="clear" w:color="auto" w:fill="FFFFFF"/>
        <w:spacing w:before="0" w:beforeAutospacing="0" w:after="0" w:afterAutospacing="0"/>
        <w:rPr>
          <w:rFonts w:ascii="Arial" w:hAnsi="Arial" w:cs="Arial"/>
          <w:sz w:val="22"/>
          <w:szCs w:val="22"/>
        </w:rPr>
      </w:pPr>
      <w:r w:rsidRPr="006233B3">
        <w:rPr>
          <w:rFonts w:ascii="Arial" w:eastAsiaTheme="minorHAnsi" w:hAnsi="Arial" w:cs="Arial"/>
          <w:bCs/>
          <w:sz w:val="22"/>
          <w:szCs w:val="22"/>
          <w:lang w:eastAsia="en-US"/>
        </w:rPr>
        <w:t xml:space="preserve">Australia faces a challenge to increase productivity. </w:t>
      </w:r>
      <w:r>
        <w:rPr>
          <w:rFonts w:ascii="Arial" w:eastAsiaTheme="minorHAnsi" w:hAnsi="Arial" w:cs="Arial"/>
          <w:bCs/>
          <w:sz w:val="22"/>
          <w:szCs w:val="22"/>
          <w:lang w:eastAsia="en-US"/>
        </w:rPr>
        <w:t>L</w:t>
      </w:r>
      <w:r w:rsidRPr="006233B3">
        <w:rPr>
          <w:rFonts w:ascii="Arial" w:hAnsi="Arial" w:cs="Arial"/>
          <w:sz w:val="22"/>
          <w:szCs w:val="22"/>
        </w:rPr>
        <w:t>iving standards in Australia have been strongly influenced by the mining sect</w:t>
      </w:r>
      <w:r w:rsidR="00185B28">
        <w:rPr>
          <w:rFonts w:ascii="Arial" w:hAnsi="Arial" w:cs="Arial"/>
          <w:sz w:val="22"/>
          <w:szCs w:val="22"/>
        </w:rPr>
        <w:t>or. However, mining investments and a</w:t>
      </w:r>
      <w:r>
        <w:rPr>
          <w:rFonts w:ascii="Arial" w:hAnsi="Arial" w:cs="Arial"/>
          <w:sz w:val="22"/>
          <w:szCs w:val="22"/>
        </w:rPr>
        <w:t xml:space="preserve"> s</w:t>
      </w:r>
      <w:r w:rsidRPr="006233B3">
        <w:rPr>
          <w:rFonts w:ascii="Arial" w:hAnsi="Arial" w:cs="Arial"/>
          <w:sz w:val="22"/>
          <w:szCs w:val="22"/>
        </w:rPr>
        <w:t>ignificant fall in commodity prices have exposed the</w:t>
      </w:r>
      <w:r w:rsidR="00125009">
        <w:rPr>
          <w:rFonts w:ascii="Arial" w:hAnsi="Arial" w:cs="Arial"/>
          <w:sz w:val="22"/>
          <w:szCs w:val="22"/>
        </w:rPr>
        <w:t xml:space="preserve"> realities of Australia’s</w:t>
      </w:r>
      <w:r w:rsidRPr="006233B3">
        <w:rPr>
          <w:rFonts w:ascii="Arial" w:hAnsi="Arial" w:cs="Arial"/>
          <w:sz w:val="22"/>
          <w:szCs w:val="22"/>
        </w:rPr>
        <w:t xml:space="preserve"> two speed economy</w:t>
      </w:r>
      <w:r w:rsidR="00700742">
        <w:rPr>
          <w:rFonts w:ascii="Arial" w:hAnsi="Arial" w:cs="Arial"/>
          <w:sz w:val="22"/>
          <w:szCs w:val="22"/>
        </w:rPr>
        <w:t>. For many years m</w:t>
      </w:r>
      <w:r>
        <w:rPr>
          <w:rFonts w:ascii="Arial" w:hAnsi="Arial" w:cs="Arial"/>
          <w:sz w:val="22"/>
          <w:szCs w:val="22"/>
        </w:rPr>
        <w:t xml:space="preserve">ining’s contribution to GDP </w:t>
      </w:r>
      <w:r w:rsidR="00700742">
        <w:rPr>
          <w:rFonts w:ascii="Arial" w:hAnsi="Arial" w:cs="Arial"/>
          <w:sz w:val="22"/>
          <w:szCs w:val="22"/>
        </w:rPr>
        <w:t>has overshadowed</w:t>
      </w:r>
      <w:r>
        <w:rPr>
          <w:rFonts w:ascii="Arial" w:hAnsi="Arial" w:cs="Arial"/>
          <w:sz w:val="22"/>
          <w:szCs w:val="22"/>
        </w:rPr>
        <w:t xml:space="preserve"> and</w:t>
      </w:r>
      <w:r w:rsidR="00700742">
        <w:rPr>
          <w:rFonts w:ascii="Arial" w:hAnsi="Arial" w:cs="Arial"/>
          <w:sz w:val="22"/>
          <w:szCs w:val="22"/>
        </w:rPr>
        <w:t xml:space="preserve"> compensated</w:t>
      </w:r>
      <w:r w:rsidR="006308E9">
        <w:rPr>
          <w:rFonts w:ascii="Arial" w:hAnsi="Arial" w:cs="Arial"/>
          <w:sz w:val="22"/>
          <w:szCs w:val="22"/>
        </w:rPr>
        <w:t xml:space="preserve"> for the slow growth and low productivity of</w:t>
      </w:r>
      <w:r>
        <w:rPr>
          <w:rFonts w:ascii="Arial" w:hAnsi="Arial" w:cs="Arial"/>
          <w:sz w:val="22"/>
          <w:szCs w:val="22"/>
        </w:rPr>
        <w:t xml:space="preserve"> other local industries and sectors</w:t>
      </w:r>
      <w:r w:rsidRPr="006233B3">
        <w:rPr>
          <w:rFonts w:ascii="Arial" w:hAnsi="Arial" w:cs="Arial"/>
          <w:sz w:val="22"/>
          <w:szCs w:val="22"/>
        </w:rPr>
        <w:t>.</w:t>
      </w:r>
      <w:r w:rsidR="00185B28">
        <w:rPr>
          <w:rFonts w:ascii="Arial" w:hAnsi="Arial" w:cs="Arial"/>
          <w:sz w:val="22"/>
          <w:szCs w:val="22"/>
        </w:rPr>
        <w:t xml:space="preserve"> With the slowdown in revenue produced from the mining industry these other sectors </w:t>
      </w:r>
      <w:r w:rsidR="00700742">
        <w:rPr>
          <w:rFonts w:ascii="Arial" w:hAnsi="Arial" w:cs="Arial"/>
          <w:sz w:val="22"/>
          <w:szCs w:val="22"/>
        </w:rPr>
        <w:t xml:space="preserve">underlying productivity, or lack of, is being </w:t>
      </w:r>
      <w:r w:rsidR="00185B28">
        <w:rPr>
          <w:rFonts w:ascii="Arial" w:hAnsi="Arial" w:cs="Arial"/>
          <w:sz w:val="22"/>
          <w:szCs w:val="22"/>
        </w:rPr>
        <w:t>exposed</w:t>
      </w:r>
      <w:r w:rsidR="00700742">
        <w:rPr>
          <w:rFonts w:ascii="Arial" w:hAnsi="Arial" w:cs="Arial"/>
          <w:sz w:val="22"/>
          <w:szCs w:val="22"/>
        </w:rPr>
        <w:t>.</w:t>
      </w:r>
      <w:r w:rsidR="00185B28">
        <w:rPr>
          <w:rFonts w:ascii="Arial" w:hAnsi="Arial" w:cs="Arial"/>
          <w:sz w:val="22"/>
          <w:szCs w:val="22"/>
        </w:rPr>
        <w:t xml:space="preserve"> </w:t>
      </w:r>
    </w:p>
    <w:p w:rsidR="00185B28" w:rsidRDefault="00185B28" w:rsidP="009D1601">
      <w:pPr>
        <w:pStyle w:val="NormalWeb"/>
        <w:shd w:val="clear" w:color="auto" w:fill="FFFFFF"/>
        <w:spacing w:before="0" w:beforeAutospacing="0" w:after="0" w:afterAutospacing="0"/>
        <w:rPr>
          <w:rFonts w:ascii="Arial" w:hAnsi="Arial" w:cs="Arial"/>
          <w:sz w:val="22"/>
          <w:szCs w:val="22"/>
        </w:rPr>
      </w:pPr>
    </w:p>
    <w:p w:rsidR="006233B3" w:rsidRPr="006233B3" w:rsidRDefault="006233B3" w:rsidP="009D1601">
      <w:pPr>
        <w:pStyle w:val="NormalWeb"/>
        <w:shd w:val="clear" w:color="auto" w:fill="FFFFFF"/>
        <w:spacing w:before="0" w:beforeAutospacing="0" w:after="0" w:afterAutospacing="0"/>
        <w:rPr>
          <w:rFonts w:ascii="Arial" w:hAnsi="Arial" w:cs="Arial"/>
          <w:sz w:val="22"/>
          <w:szCs w:val="22"/>
        </w:rPr>
      </w:pPr>
      <w:r w:rsidRPr="006233B3">
        <w:rPr>
          <w:rFonts w:ascii="Arial" w:hAnsi="Arial" w:cs="Arial"/>
          <w:sz w:val="22"/>
          <w:szCs w:val="22"/>
        </w:rPr>
        <w:t xml:space="preserve"> </w:t>
      </w:r>
      <w:r w:rsidR="0071276D">
        <w:rPr>
          <w:rFonts w:ascii="Arial" w:hAnsi="Arial" w:cs="Arial"/>
          <w:sz w:val="22"/>
          <w:szCs w:val="22"/>
        </w:rPr>
        <w:t>Australia’s</w:t>
      </w:r>
      <w:r w:rsidRPr="006233B3">
        <w:rPr>
          <w:rFonts w:ascii="Arial" w:hAnsi="Arial" w:cs="Arial"/>
          <w:sz w:val="22"/>
          <w:szCs w:val="22"/>
        </w:rPr>
        <w:t xml:space="preserve"> terms of trade have fallen due to significant falls in prices of iron ore (down 30 per cent since the 2014 </w:t>
      </w:r>
      <w:r w:rsidR="006308E9">
        <w:rPr>
          <w:rFonts w:ascii="Arial" w:hAnsi="Arial" w:cs="Arial"/>
          <w:sz w:val="22"/>
          <w:szCs w:val="22"/>
        </w:rPr>
        <w:t>Budget) and coal</w:t>
      </w:r>
      <w:r w:rsidRPr="006233B3">
        <w:rPr>
          <w:rFonts w:ascii="Arial" w:hAnsi="Arial" w:cs="Arial"/>
          <w:sz w:val="22"/>
          <w:szCs w:val="22"/>
        </w:rPr>
        <w:t xml:space="preserve">. </w:t>
      </w:r>
      <w:r w:rsidR="0071276D">
        <w:rPr>
          <w:rFonts w:ascii="Arial" w:hAnsi="Arial" w:cs="Arial"/>
          <w:sz w:val="22"/>
          <w:szCs w:val="22"/>
        </w:rPr>
        <w:t>This</w:t>
      </w:r>
      <w:r w:rsidRPr="006233B3">
        <w:rPr>
          <w:rFonts w:ascii="Arial" w:hAnsi="Arial" w:cs="Arial"/>
          <w:sz w:val="22"/>
          <w:szCs w:val="22"/>
        </w:rPr>
        <w:t xml:space="preserve"> indicates the real need to remove inefficient regulation and burdensome taxes from the </w:t>
      </w:r>
      <w:r w:rsidR="00700742">
        <w:rPr>
          <w:rFonts w:ascii="Arial" w:hAnsi="Arial" w:cs="Arial"/>
          <w:sz w:val="22"/>
          <w:szCs w:val="22"/>
        </w:rPr>
        <w:t>economy</w:t>
      </w:r>
      <w:r w:rsidRPr="006233B3">
        <w:rPr>
          <w:rFonts w:ascii="Arial" w:hAnsi="Arial" w:cs="Arial"/>
          <w:sz w:val="22"/>
          <w:szCs w:val="22"/>
        </w:rPr>
        <w:t>.</w:t>
      </w:r>
    </w:p>
    <w:p w:rsidR="006233B3" w:rsidRPr="006233B3" w:rsidRDefault="006233B3" w:rsidP="009D1601">
      <w:pPr>
        <w:rPr>
          <w:rFonts w:ascii="Arial" w:hAnsi="Arial" w:cs="Arial"/>
        </w:rPr>
      </w:pPr>
    </w:p>
    <w:p w:rsidR="006233B3" w:rsidRPr="006233B3" w:rsidRDefault="006308E9" w:rsidP="009D1601">
      <w:pPr>
        <w:rPr>
          <w:rFonts w:ascii="Arial" w:hAnsi="Arial" w:cs="Arial"/>
        </w:rPr>
      </w:pPr>
      <w:r>
        <w:rPr>
          <w:rFonts w:ascii="Arial" w:hAnsi="Arial" w:cs="Arial"/>
        </w:rPr>
        <w:t>If the G</w:t>
      </w:r>
      <w:r w:rsidR="006233B3" w:rsidRPr="006233B3">
        <w:rPr>
          <w:rFonts w:ascii="Arial" w:hAnsi="Arial" w:cs="Arial"/>
        </w:rPr>
        <w:t>overnment want to ac</w:t>
      </w:r>
      <w:r w:rsidR="00125009">
        <w:rPr>
          <w:rFonts w:ascii="Arial" w:hAnsi="Arial" w:cs="Arial"/>
        </w:rPr>
        <w:t>hieve 2.5</w:t>
      </w:r>
      <w:r w:rsidR="006233B3" w:rsidRPr="006233B3">
        <w:rPr>
          <w:rFonts w:ascii="Arial" w:hAnsi="Arial" w:cs="Arial"/>
        </w:rPr>
        <w:t>-3 per cent growth for 2014-2016 much needs to be done to support businesses in being as efficient and productive as possible.</w:t>
      </w:r>
    </w:p>
    <w:p w:rsidR="006233B3" w:rsidRPr="006233B3" w:rsidRDefault="006233B3" w:rsidP="009D1601">
      <w:pPr>
        <w:pStyle w:val="NormalWeb"/>
        <w:shd w:val="clear" w:color="auto" w:fill="FFFFFF"/>
        <w:spacing w:before="0" w:beforeAutospacing="0" w:after="0" w:afterAutospacing="0"/>
        <w:rPr>
          <w:rFonts w:ascii="Arial" w:eastAsiaTheme="minorHAnsi" w:hAnsi="Arial" w:cs="Arial"/>
          <w:bCs/>
          <w:sz w:val="22"/>
          <w:szCs w:val="22"/>
          <w:lang w:eastAsia="en-US"/>
        </w:rPr>
      </w:pPr>
    </w:p>
    <w:p w:rsidR="006233B3" w:rsidRPr="006233B3" w:rsidRDefault="006233B3" w:rsidP="009D1601">
      <w:pPr>
        <w:pStyle w:val="NormalWeb"/>
        <w:shd w:val="clear" w:color="auto" w:fill="FFFFFF"/>
        <w:spacing w:before="0" w:beforeAutospacing="0" w:after="0" w:afterAutospacing="0"/>
        <w:rPr>
          <w:rFonts w:ascii="Arial" w:hAnsi="Arial" w:cs="Arial"/>
          <w:sz w:val="22"/>
          <w:szCs w:val="22"/>
        </w:rPr>
      </w:pPr>
      <w:r w:rsidRPr="006233B3">
        <w:rPr>
          <w:rFonts w:ascii="Arial" w:hAnsi="Arial" w:cs="Arial"/>
          <w:sz w:val="22"/>
          <w:szCs w:val="22"/>
        </w:rPr>
        <w:t xml:space="preserve">The heavy vehicle industry is a significant contributor to economic activity, generating direct as well as flow on </w:t>
      </w:r>
      <w:r w:rsidRPr="006233B3">
        <w:rPr>
          <w:rFonts w:ascii="Arial" w:hAnsi="Arial" w:cs="Arial"/>
          <w:color w:val="000000"/>
          <w:sz w:val="22"/>
          <w:szCs w:val="22"/>
        </w:rPr>
        <w:t xml:space="preserve">activity through its support to a diverse range of industries and supply chains.  The road transport industry added over $18 billion to the Australian economy in </w:t>
      </w:r>
      <w:proofErr w:type="spellStart"/>
      <w:r w:rsidRPr="006233B3">
        <w:rPr>
          <w:rFonts w:ascii="Arial" w:hAnsi="Arial" w:cs="Arial"/>
          <w:color w:val="000000"/>
          <w:sz w:val="22"/>
          <w:szCs w:val="22"/>
        </w:rPr>
        <w:t>FY2012</w:t>
      </w:r>
      <w:proofErr w:type="spellEnd"/>
      <w:r w:rsidRPr="006233B3">
        <w:rPr>
          <w:rFonts w:ascii="Arial" w:hAnsi="Arial" w:cs="Arial"/>
          <w:color w:val="000000"/>
          <w:sz w:val="22"/>
          <w:szCs w:val="22"/>
        </w:rPr>
        <w:t xml:space="preserve"> or 1.4 per cent of Gross Domestic Product.</w:t>
      </w:r>
      <w:r w:rsidRPr="006233B3">
        <w:rPr>
          <w:rStyle w:val="FootnoteReference"/>
          <w:rFonts w:ascii="Arial" w:hAnsi="Arial" w:cs="Arial"/>
          <w:color w:val="000000"/>
          <w:sz w:val="22"/>
          <w:szCs w:val="22"/>
        </w:rPr>
        <w:footnoteReference w:id="1"/>
      </w:r>
    </w:p>
    <w:p w:rsidR="006233B3" w:rsidRPr="006233B3" w:rsidRDefault="006233B3" w:rsidP="009D1601">
      <w:pPr>
        <w:autoSpaceDE w:val="0"/>
        <w:autoSpaceDN w:val="0"/>
        <w:adjustRightInd w:val="0"/>
        <w:rPr>
          <w:rFonts w:ascii="Arial" w:hAnsi="Arial" w:cs="Arial"/>
        </w:rPr>
      </w:pPr>
    </w:p>
    <w:p w:rsidR="006233B3" w:rsidRPr="006233B3" w:rsidRDefault="006233B3" w:rsidP="009D1601">
      <w:pPr>
        <w:autoSpaceDE w:val="0"/>
        <w:autoSpaceDN w:val="0"/>
        <w:adjustRightInd w:val="0"/>
        <w:rPr>
          <w:rFonts w:ascii="Arial" w:hAnsi="Arial" w:cs="Arial"/>
          <w:lang w:eastAsia="en-AU"/>
        </w:rPr>
      </w:pPr>
      <w:r w:rsidRPr="006233B3">
        <w:rPr>
          <w:rFonts w:ascii="Arial" w:hAnsi="Arial" w:cs="Arial"/>
        </w:rPr>
        <w:t xml:space="preserve">Road is the dominant mode of transport for freight in Australia. </w:t>
      </w:r>
      <w:r w:rsidRPr="006233B3">
        <w:rPr>
          <w:rFonts w:ascii="Arial" w:hAnsi="Arial" w:cs="Arial"/>
          <w:lang w:eastAsia="en-AU"/>
        </w:rPr>
        <w:t xml:space="preserve">Road freight transported more than 70 per cent of the 2,930 million tonnes of Australian domestic freight in </w:t>
      </w:r>
      <w:proofErr w:type="spellStart"/>
      <w:r w:rsidRPr="006233B3">
        <w:rPr>
          <w:rFonts w:ascii="Arial" w:hAnsi="Arial" w:cs="Arial"/>
          <w:lang w:eastAsia="en-AU"/>
        </w:rPr>
        <w:t>FY2010</w:t>
      </w:r>
      <w:proofErr w:type="spellEnd"/>
      <w:r w:rsidRPr="006233B3">
        <w:rPr>
          <w:rFonts w:ascii="Arial" w:hAnsi="Arial" w:cs="Arial"/>
          <w:lang w:eastAsia="en-AU"/>
        </w:rPr>
        <w:t>.</w:t>
      </w:r>
      <w:r w:rsidRPr="006233B3">
        <w:rPr>
          <w:rStyle w:val="FootnoteReference"/>
          <w:rFonts w:ascii="Arial" w:hAnsi="Arial" w:cs="Arial"/>
          <w:lang w:eastAsia="en-AU"/>
        </w:rPr>
        <w:footnoteReference w:id="2"/>
      </w:r>
    </w:p>
    <w:p w:rsidR="006233B3" w:rsidRPr="006233B3" w:rsidRDefault="006233B3" w:rsidP="009D1601">
      <w:pPr>
        <w:autoSpaceDE w:val="0"/>
        <w:autoSpaceDN w:val="0"/>
        <w:adjustRightInd w:val="0"/>
        <w:rPr>
          <w:rFonts w:ascii="Arial" w:hAnsi="Arial" w:cs="Arial"/>
          <w:color w:val="000000"/>
          <w:lang w:eastAsia="en-AU"/>
        </w:rPr>
      </w:pPr>
    </w:p>
    <w:p w:rsidR="006233B3" w:rsidRPr="006233B3" w:rsidRDefault="006233B3" w:rsidP="009D1601">
      <w:pPr>
        <w:autoSpaceDE w:val="0"/>
        <w:autoSpaceDN w:val="0"/>
        <w:adjustRightInd w:val="0"/>
        <w:rPr>
          <w:rFonts w:ascii="Arial" w:hAnsi="Arial" w:cs="Arial"/>
          <w:color w:val="000000"/>
          <w:lang w:eastAsia="en-AU"/>
        </w:rPr>
      </w:pPr>
      <w:r w:rsidRPr="006233B3">
        <w:rPr>
          <w:rFonts w:ascii="Arial" w:hAnsi="Arial" w:cs="Arial"/>
          <w:color w:val="000000"/>
          <w:lang w:eastAsia="en-AU"/>
        </w:rPr>
        <w:t>The industry is mainly populated with small businesses, with 72 per cent of operators owning one truck and only 1 percent of operators owning more than ten trucks.</w:t>
      </w:r>
      <w:r w:rsidRPr="006233B3">
        <w:rPr>
          <w:rStyle w:val="FootnoteReference"/>
          <w:rFonts w:ascii="Arial" w:hAnsi="Arial" w:cs="Arial"/>
          <w:color w:val="000000"/>
          <w:lang w:eastAsia="en-AU"/>
        </w:rPr>
        <w:footnoteReference w:id="3"/>
      </w:r>
      <w:r w:rsidRPr="006233B3">
        <w:rPr>
          <w:rFonts w:ascii="Arial" w:hAnsi="Arial" w:cs="Arial"/>
          <w:color w:val="000000"/>
          <w:lang w:eastAsia="en-AU"/>
        </w:rPr>
        <w:t xml:space="preserve"> </w:t>
      </w:r>
      <w:r w:rsidR="00700742">
        <w:rPr>
          <w:rFonts w:ascii="Arial" w:hAnsi="Arial" w:cs="Arial"/>
          <w:color w:val="000000"/>
          <w:lang w:eastAsia="en-AU"/>
        </w:rPr>
        <w:t>This</w:t>
      </w:r>
      <w:r w:rsidRPr="006233B3">
        <w:rPr>
          <w:rFonts w:ascii="Arial" w:hAnsi="Arial" w:cs="Arial"/>
          <w:color w:val="000000"/>
          <w:lang w:eastAsia="en-AU"/>
        </w:rPr>
        <w:t xml:space="preserve"> industry composition should be taken into consideration when the government considers implementing changes that will affect the trucking industry.</w:t>
      </w:r>
    </w:p>
    <w:p w:rsidR="006233B3" w:rsidRPr="006233B3" w:rsidRDefault="006233B3" w:rsidP="009D1601">
      <w:pPr>
        <w:autoSpaceDE w:val="0"/>
        <w:autoSpaceDN w:val="0"/>
        <w:adjustRightInd w:val="0"/>
        <w:rPr>
          <w:rFonts w:ascii="Arial" w:hAnsi="Arial" w:cs="Arial"/>
          <w:color w:val="000000"/>
          <w:lang w:eastAsia="en-AU"/>
        </w:rPr>
      </w:pPr>
    </w:p>
    <w:p w:rsidR="006233B3" w:rsidRPr="006233B3" w:rsidRDefault="006233B3" w:rsidP="009D1601">
      <w:pPr>
        <w:pStyle w:val="NormalWeb"/>
        <w:shd w:val="clear" w:color="auto" w:fill="FFFFFF"/>
        <w:spacing w:before="0" w:beforeAutospacing="0" w:after="0" w:afterAutospacing="0"/>
        <w:rPr>
          <w:rFonts w:ascii="Arial" w:eastAsiaTheme="minorHAnsi" w:hAnsi="Arial" w:cs="Arial"/>
          <w:bCs/>
          <w:sz w:val="22"/>
          <w:szCs w:val="22"/>
        </w:rPr>
      </w:pPr>
      <w:r w:rsidRPr="006233B3">
        <w:rPr>
          <w:rFonts w:ascii="Arial" w:eastAsiaTheme="minorHAnsi" w:hAnsi="Arial" w:cs="Arial"/>
          <w:bCs/>
          <w:sz w:val="22"/>
          <w:szCs w:val="22"/>
        </w:rPr>
        <w:t>The industry has sought to increase its productivity via the uptake of high productivity vehicles. However, inefficient road networks, unfair charges, asset protection by road agencies and declining road quality have blocked further productivity gains that can be made. The price of goods domestically and for export reflect the cost of transport and any increased inefficient expenses will cost the competitiveness of the trucking industry and the Australian economy.</w:t>
      </w:r>
    </w:p>
    <w:p w:rsidR="006233B3" w:rsidRPr="006233B3" w:rsidRDefault="006233B3" w:rsidP="009D1601">
      <w:pPr>
        <w:pStyle w:val="NormalWeb"/>
        <w:shd w:val="clear" w:color="auto" w:fill="FFFFFF"/>
        <w:spacing w:before="0" w:beforeAutospacing="0" w:after="0" w:afterAutospacing="0"/>
        <w:rPr>
          <w:rFonts w:ascii="Arial" w:eastAsiaTheme="minorHAnsi" w:hAnsi="Arial" w:cs="Arial"/>
          <w:bCs/>
          <w:sz w:val="22"/>
          <w:szCs w:val="22"/>
          <w:lang w:eastAsia="en-US"/>
        </w:rPr>
      </w:pPr>
    </w:p>
    <w:p w:rsidR="006233B3" w:rsidRPr="006233B3" w:rsidRDefault="006233B3" w:rsidP="009D1601">
      <w:pPr>
        <w:autoSpaceDE w:val="0"/>
        <w:autoSpaceDN w:val="0"/>
        <w:adjustRightInd w:val="0"/>
        <w:rPr>
          <w:rFonts w:ascii="Arial" w:hAnsi="Arial" w:cs="Arial"/>
          <w:color w:val="000000"/>
          <w:lang w:eastAsia="en-AU"/>
        </w:rPr>
      </w:pPr>
      <w:r w:rsidRPr="006233B3">
        <w:rPr>
          <w:rFonts w:ascii="Arial" w:hAnsi="Arial" w:cs="Arial"/>
          <w:color w:val="000000"/>
          <w:lang w:eastAsia="en-AU"/>
        </w:rPr>
        <w:t>Unnecessary costs and unjustified restrictions on the productivity of the trucking industry simply burdens the economy and constrains growth.</w:t>
      </w:r>
    </w:p>
    <w:p w:rsidR="00CC3585" w:rsidRDefault="00CC3585"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Default="00700742" w:rsidP="009D1601">
      <w:pPr>
        <w:rPr>
          <w:rFonts w:ascii="Arial" w:hAnsi="Arial" w:cs="Arial"/>
          <w:b/>
        </w:rPr>
      </w:pPr>
    </w:p>
    <w:p w:rsidR="00700742" w:rsidRPr="00540454" w:rsidRDefault="00700742" w:rsidP="009D1601">
      <w:pPr>
        <w:rPr>
          <w:rFonts w:ascii="Arial" w:eastAsiaTheme="minorHAnsi" w:hAnsi="Arial" w:cs="Arial"/>
        </w:rPr>
      </w:pPr>
    </w:p>
    <w:p w:rsidR="0052056E" w:rsidRPr="00540454" w:rsidRDefault="00540454" w:rsidP="009D1601">
      <w:pPr>
        <w:pStyle w:val="Heading1"/>
        <w:rPr>
          <w:szCs w:val="22"/>
        </w:rPr>
      </w:pPr>
      <w:bookmarkStart w:id="3" w:name="_Toc410200546"/>
      <w:r w:rsidRPr="00540454">
        <w:rPr>
          <w:szCs w:val="22"/>
        </w:rPr>
        <w:t>The h</w:t>
      </w:r>
      <w:r w:rsidR="00925758" w:rsidRPr="00540454">
        <w:rPr>
          <w:szCs w:val="22"/>
        </w:rPr>
        <w:t>eavy vehicle industry and productivity</w:t>
      </w:r>
      <w:bookmarkEnd w:id="3"/>
    </w:p>
    <w:p w:rsidR="00E73CC6" w:rsidRPr="00540454" w:rsidRDefault="00E73CC6" w:rsidP="009D1601">
      <w:pPr>
        <w:rPr>
          <w:rFonts w:ascii="Arial" w:hAnsi="Arial" w:cs="Arial"/>
          <w:b/>
          <w:color w:val="000064"/>
        </w:rPr>
      </w:pPr>
    </w:p>
    <w:p w:rsidR="002B7C87" w:rsidRPr="00540454" w:rsidRDefault="0071276D" w:rsidP="009D1601">
      <w:pPr>
        <w:rPr>
          <w:rFonts w:ascii="Arial" w:eastAsiaTheme="minorHAnsi" w:hAnsi="Arial" w:cs="Arial"/>
        </w:rPr>
      </w:pPr>
      <w:r>
        <w:rPr>
          <w:rFonts w:ascii="Arial" w:eastAsiaTheme="minorHAnsi" w:hAnsi="Arial" w:cs="Arial"/>
        </w:rPr>
        <w:t>In December 2014</w:t>
      </w:r>
      <w:r w:rsidR="006308E9">
        <w:rPr>
          <w:rFonts w:ascii="Arial" w:eastAsiaTheme="minorHAnsi" w:hAnsi="Arial" w:cs="Arial"/>
        </w:rPr>
        <w:t>,</w:t>
      </w:r>
      <w:r>
        <w:rPr>
          <w:rFonts w:ascii="Arial" w:eastAsiaTheme="minorHAnsi" w:hAnsi="Arial" w:cs="Arial"/>
        </w:rPr>
        <w:t xml:space="preserve"> th</w:t>
      </w:r>
      <w:r w:rsidR="002B7C87" w:rsidRPr="00540454">
        <w:rPr>
          <w:rFonts w:ascii="Arial" w:eastAsiaTheme="minorHAnsi" w:hAnsi="Arial" w:cs="Arial"/>
        </w:rPr>
        <w:t xml:space="preserve">e </w:t>
      </w:r>
      <w:r>
        <w:rPr>
          <w:rFonts w:ascii="Arial" w:eastAsiaTheme="minorHAnsi" w:hAnsi="Arial" w:cs="Arial"/>
        </w:rPr>
        <w:t xml:space="preserve">Deputy Prime Minister announced </w:t>
      </w:r>
      <w:r w:rsidR="002B7C87" w:rsidRPr="00540454">
        <w:rPr>
          <w:rFonts w:ascii="Arial" w:eastAsiaTheme="minorHAnsi" w:hAnsi="Arial" w:cs="Arial"/>
        </w:rPr>
        <w:t>there ha</w:t>
      </w:r>
      <w:r w:rsidR="00925758" w:rsidRPr="00540454">
        <w:rPr>
          <w:rFonts w:ascii="Arial" w:eastAsiaTheme="minorHAnsi" w:hAnsi="Arial" w:cs="Arial"/>
        </w:rPr>
        <w:t>s</w:t>
      </w:r>
      <w:r w:rsidR="002B7C87" w:rsidRPr="00540454">
        <w:rPr>
          <w:rFonts w:ascii="Arial" w:eastAsiaTheme="minorHAnsi" w:hAnsi="Arial" w:cs="Arial"/>
        </w:rPr>
        <w:t xml:space="preserve"> been </w:t>
      </w:r>
      <w:r w:rsidR="00925758" w:rsidRPr="00540454">
        <w:rPr>
          <w:rFonts w:ascii="Arial" w:eastAsiaTheme="minorHAnsi" w:hAnsi="Arial" w:cs="Arial"/>
        </w:rPr>
        <w:t xml:space="preserve">a </w:t>
      </w:r>
      <w:r w:rsidR="002B7C87" w:rsidRPr="00540454">
        <w:rPr>
          <w:rFonts w:ascii="Arial" w:eastAsiaTheme="minorHAnsi" w:hAnsi="Arial" w:cs="Arial"/>
        </w:rPr>
        <w:t>$50 billion infrastructure investment</w:t>
      </w:r>
      <w:r w:rsidR="00125009">
        <w:rPr>
          <w:rFonts w:ascii="Arial" w:eastAsiaTheme="minorHAnsi" w:hAnsi="Arial" w:cs="Arial"/>
        </w:rPr>
        <w:t>,</w:t>
      </w:r>
      <w:r w:rsidR="002B7C87" w:rsidRPr="00540454">
        <w:rPr>
          <w:rFonts w:ascii="Arial" w:eastAsiaTheme="minorHAnsi" w:hAnsi="Arial" w:cs="Arial"/>
        </w:rPr>
        <w:t xml:space="preserve"> </w:t>
      </w:r>
      <w:r w:rsidR="00925758" w:rsidRPr="00540454">
        <w:rPr>
          <w:rFonts w:ascii="Arial" w:eastAsiaTheme="minorHAnsi" w:hAnsi="Arial" w:cs="Arial"/>
        </w:rPr>
        <w:t xml:space="preserve">which </w:t>
      </w:r>
      <w:r w:rsidR="002B7C87" w:rsidRPr="00540454">
        <w:rPr>
          <w:rFonts w:ascii="Arial" w:eastAsiaTheme="minorHAnsi" w:hAnsi="Arial" w:cs="Arial"/>
        </w:rPr>
        <w:t xml:space="preserve">has seen work start </w:t>
      </w:r>
      <w:r w:rsidR="00925758" w:rsidRPr="00540454">
        <w:rPr>
          <w:rFonts w:ascii="Arial" w:eastAsiaTheme="minorHAnsi" w:hAnsi="Arial" w:cs="Arial"/>
        </w:rPr>
        <w:t xml:space="preserve">on </w:t>
      </w:r>
      <w:r w:rsidR="002B7C87" w:rsidRPr="00540454">
        <w:rPr>
          <w:rFonts w:ascii="Arial" w:eastAsiaTheme="minorHAnsi" w:hAnsi="Arial" w:cs="Arial"/>
        </w:rPr>
        <w:t xml:space="preserve">22 major projects </w:t>
      </w:r>
      <w:r w:rsidR="00925758" w:rsidRPr="00540454">
        <w:rPr>
          <w:rFonts w:ascii="Arial" w:eastAsiaTheme="minorHAnsi" w:hAnsi="Arial" w:cs="Arial"/>
        </w:rPr>
        <w:t>in 2014 and 47 projects this year</w:t>
      </w:r>
      <w:r w:rsidR="002B7C87" w:rsidRPr="00540454">
        <w:rPr>
          <w:rFonts w:ascii="Arial" w:eastAsiaTheme="minorHAnsi" w:hAnsi="Arial" w:cs="Arial"/>
        </w:rPr>
        <w:t>.</w:t>
      </w:r>
    </w:p>
    <w:p w:rsidR="002B7C87" w:rsidRPr="00540454" w:rsidRDefault="002B7C87" w:rsidP="009D1601">
      <w:pPr>
        <w:rPr>
          <w:rFonts w:ascii="Arial" w:eastAsiaTheme="minorHAnsi" w:hAnsi="Arial" w:cs="Arial"/>
        </w:rPr>
      </w:pPr>
    </w:p>
    <w:p w:rsidR="00925758" w:rsidRPr="00540454" w:rsidRDefault="00E73CC6" w:rsidP="009D1601">
      <w:pPr>
        <w:rPr>
          <w:rFonts w:ascii="Arial" w:eastAsiaTheme="minorHAnsi" w:hAnsi="Arial" w:cs="Arial"/>
        </w:rPr>
      </w:pPr>
      <w:r w:rsidRPr="00540454">
        <w:rPr>
          <w:rFonts w:ascii="Arial" w:eastAsiaTheme="minorHAnsi" w:hAnsi="Arial" w:cs="Arial"/>
        </w:rPr>
        <w:t>While providing new infrastructure wi</w:t>
      </w:r>
      <w:r w:rsidR="007D7F92" w:rsidRPr="00540454">
        <w:rPr>
          <w:rFonts w:ascii="Arial" w:eastAsiaTheme="minorHAnsi" w:hAnsi="Arial" w:cs="Arial"/>
        </w:rPr>
        <w:t>ll promote productivity</w:t>
      </w:r>
      <w:r w:rsidR="0071276D">
        <w:rPr>
          <w:rFonts w:ascii="Arial" w:eastAsiaTheme="minorHAnsi" w:hAnsi="Arial" w:cs="Arial"/>
        </w:rPr>
        <w:t>,</w:t>
      </w:r>
      <w:r w:rsidRPr="00540454">
        <w:rPr>
          <w:rFonts w:ascii="Arial" w:eastAsiaTheme="minorHAnsi" w:hAnsi="Arial" w:cs="Arial"/>
        </w:rPr>
        <w:t xml:space="preserve"> </w:t>
      </w:r>
      <w:r w:rsidR="007D7F92" w:rsidRPr="00540454">
        <w:rPr>
          <w:rFonts w:ascii="Arial" w:eastAsiaTheme="minorHAnsi" w:hAnsi="Arial" w:cs="Arial"/>
        </w:rPr>
        <w:t>n</w:t>
      </w:r>
      <w:r w:rsidR="00925758" w:rsidRPr="00540454">
        <w:rPr>
          <w:rFonts w:ascii="Arial" w:eastAsiaTheme="minorHAnsi" w:hAnsi="Arial" w:cs="Arial"/>
        </w:rPr>
        <w:t>ew roads also need to reduce the time it takes to undertake freight journeys and enable the industry to use vehicles that can carry heavier loads.</w:t>
      </w:r>
    </w:p>
    <w:p w:rsidR="00925758" w:rsidRDefault="00925758" w:rsidP="009D1601">
      <w:pPr>
        <w:rPr>
          <w:rFonts w:ascii="Arial" w:eastAsiaTheme="minorHAnsi" w:hAnsi="Arial" w:cs="Arial"/>
        </w:rPr>
      </w:pPr>
    </w:p>
    <w:p w:rsidR="0071276D" w:rsidRDefault="0071276D" w:rsidP="009D1601">
      <w:pPr>
        <w:rPr>
          <w:rFonts w:ascii="Arial" w:eastAsiaTheme="minorHAnsi" w:hAnsi="Arial" w:cs="Arial"/>
        </w:rPr>
      </w:pPr>
      <w:r>
        <w:rPr>
          <w:rFonts w:ascii="Arial" w:eastAsiaTheme="minorHAnsi" w:hAnsi="Arial" w:cs="Arial"/>
        </w:rPr>
        <w:t xml:space="preserve">Between 1971 and 2007 industry productivity increased </w:t>
      </w:r>
      <w:r w:rsidRPr="0071276D">
        <w:rPr>
          <w:rFonts w:ascii="Arial" w:eastAsiaTheme="minorHAnsi" w:hAnsi="Arial" w:cs="Arial"/>
        </w:rPr>
        <w:t>six-fold</w:t>
      </w:r>
      <w:r>
        <w:rPr>
          <w:rFonts w:ascii="Arial" w:eastAsiaTheme="minorHAnsi" w:hAnsi="Arial" w:cs="Arial"/>
        </w:rPr>
        <w:t xml:space="preserve">. </w:t>
      </w:r>
      <w:r w:rsidRPr="0071276D">
        <w:rPr>
          <w:rFonts w:ascii="Arial" w:eastAsiaTheme="minorHAnsi" w:hAnsi="Arial" w:cs="Arial"/>
        </w:rPr>
        <w:t xml:space="preserve"> </w:t>
      </w:r>
      <w:r>
        <w:rPr>
          <w:rFonts w:ascii="Arial" w:eastAsiaTheme="minorHAnsi" w:hAnsi="Arial" w:cs="Arial"/>
        </w:rPr>
        <w:t>This large</w:t>
      </w:r>
      <w:r w:rsidRPr="00540454">
        <w:rPr>
          <w:rFonts w:ascii="Arial" w:eastAsiaTheme="minorHAnsi" w:hAnsi="Arial" w:cs="Arial"/>
        </w:rPr>
        <w:t xml:space="preserve"> increase occurred because of the uptake of high productivity vehicles like B-doubles</w:t>
      </w:r>
      <w:r>
        <w:rPr>
          <w:rFonts w:ascii="Arial" w:eastAsiaTheme="minorHAnsi" w:hAnsi="Arial" w:cs="Arial"/>
        </w:rPr>
        <w:t>. In this time period t</w:t>
      </w:r>
      <w:r w:rsidRPr="00540454">
        <w:rPr>
          <w:rFonts w:ascii="Arial" w:eastAsiaTheme="minorHAnsi" w:hAnsi="Arial" w:cs="Arial"/>
        </w:rPr>
        <w:t>he average distance travelled by articulated trucks increased by almost 90 per cent and the average load they carried doubled.</w:t>
      </w:r>
      <w:r w:rsidRPr="00540454">
        <w:rPr>
          <w:rFonts w:ascii="Arial" w:eastAsiaTheme="minorHAnsi" w:hAnsi="Arial" w:cs="Arial"/>
          <w:vertAlign w:val="superscript"/>
        </w:rPr>
        <w:footnoteReference w:id="4"/>
      </w:r>
    </w:p>
    <w:p w:rsidR="00925758" w:rsidRPr="00540454" w:rsidRDefault="00925758" w:rsidP="009D1601">
      <w:pPr>
        <w:rPr>
          <w:rFonts w:ascii="Arial" w:eastAsiaTheme="minorHAnsi" w:hAnsi="Arial" w:cs="Arial"/>
        </w:rPr>
      </w:pPr>
    </w:p>
    <w:p w:rsidR="00540454" w:rsidRPr="00540454" w:rsidRDefault="00925758" w:rsidP="009D1601">
      <w:pPr>
        <w:rPr>
          <w:rFonts w:ascii="Arial" w:eastAsiaTheme="minorHAnsi" w:hAnsi="Arial" w:cs="Arial"/>
        </w:rPr>
      </w:pPr>
      <w:r w:rsidRPr="00540454">
        <w:rPr>
          <w:rFonts w:ascii="Arial" w:eastAsiaTheme="minorHAnsi" w:hAnsi="Arial" w:cs="Arial"/>
        </w:rPr>
        <w:t xml:space="preserve">The productivity gains to be derived by B-doubles have plateaued due to government </w:t>
      </w:r>
      <w:r w:rsidR="0071276D">
        <w:rPr>
          <w:rFonts w:ascii="Arial" w:eastAsiaTheme="minorHAnsi" w:hAnsi="Arial" w:cs="Arial"/>
        </w:rPr>
        <w:t>policy decisions</w:t>
      </w:r>
      <w:r w:rsidRPr="00540454">
        <w:rPr>
          <w:rFonts w:ascii="Arial" w:eastAsiaTheme="minorHAnsi" w:hAnsi="Arial" w:cs="Arial"/>
        </w:rPr>
        <w:t xml:space="preserve"> and slow response to the industry’s desire to use safer, longer, </w:t>
      </w:r>
      <w:r w:rsidR="00125009">
        <w:rPr>
          <w:rFonts w:ascii="Arial" w:eastAsiaTheme="minorHAnsi" w:hAnsi="Arial" w:cs="Arial"/>
        </w:rPr>
        <w:t>higher</w:t>
      </w:r>
      <w:r w:rsidRPr="00540454">
        <w:rPr>
          <w:rFonts w:ascii="Arial" w:eastAsiaTheme="minorHAnsi" w:hAnsi="Arial" w:cs="Arial"/>
        </w:rPr>
        <w:t xml:space="preserve"> productivity heavy vehicles.</w:t>
      </w:r>
    </w:p>
    <w:p w:rsidR="00704E66" w:rsidRPr="00540454" w:rsidRDefault="00704E66" w:rsidP="009D1601">
      <w:pPr>
        <w:rPr>
          <w:rFonts w:ascii="Arial" w:eastAsiaTheme="minorHAnsi" w:hAnsi="Arial" w:cs="Arial"/>
        </w:rPr>
      </w:pPr>
    </w:p>
    <w:p w:rsidR="008E5878" w:rsidRPr="00540454" w:rsidRDefault="008E5878" w:rsidP="009D1601">
      <w:pPr>
        <w:rPr>
          <w:rFonts w:ascii="Arial" w:eastAsiaTheme="minorHAnsi" w:hAnsi="Arial" w:cs="Arial"/>
        </w:rPr>
      </w:pPr>
      <w:r w:rsidRPr="00540454">
        <w:rPr>
          <w:rFonts w:ascii="Arial" w:eastAsiaTheme="minorHAnsi" w:hAnsi="Arial" w:cs="Arial"/>
        </w:rPr>
        <w:t>To reap the productivity gains available from using high productivity vehicles, PricewaterhouseCoopers has recommended that governments should set target engineering and access standards for each tier of the road freight network.</w:t>
      </w:r>
      <w:r w:rsidRPr="00540454">
        <w:rPr>
          <w:rFonts w:ascii="Arial" w:eastAsiaTheme="minorHAnsi" w:hAnsi="Arial" w:cs="Arial"/>
          <w:vertAlign w:val="superscript"/>
        </w:rPr>
        <w:footnoteReference w:id="5"/>
      </w:r>
      <w:r w:rsidRPr="00540454">
        <w:rPr>
          <w:rFonts w:ascii="Arial" w:eastAsiaTheme="minorHAnsi" w:hAnsi="Arial" w:cs="Arial"/>
        </w:rPr>
        <w:t xml:space="preserve"> The effect of the increased productivity would mean reduced freight costs and reduced road wear due to less vehicles being needed to complete the freight task.</w:t>
      </w:r>
    </w:p>
    <w:p w:rsidR="008E5878" w:rsidRPr="00540454" w:rsidRDefault="008E5878" w:rsidP="009D1601">
      <w:pPr>
        <w:rPr>
          <w:rFonts w:ascii="Arial" w:eastAsiaTheme="minorHAnsi" w:hAnsi="Arial" w:cs="Arial"/>
        </w:rPr>
      </w:pPr>
    </w:p>
    <w:p w:rsidR="008E5878" w:rsidRPr="00540454" w:rsidRDefault="008E5878" w:rsidP="009D1601">
      <w:pPr>
        <w:rPr>
          <w:rFonts w:ascii="Arial" w:eastAsiaTheme="minorHAnsi" w:hAnsi="Arial" w:cs="Arial"/>
        </w:rPr>
      </w:pPr>
      <w:r w:rsidRPr="00540454">
        <w:rPr>
          <w:rFonts w:ascii="Arial" w:eastAsiaTheme="minorHAnsi" w:hAnsi="Arial" w:cs="Arial"/>
        </w:rPr>
        <w:t>Having an efficient infrastructure network for freight is also essential for competitive exports and there is much that can be done to improve the productivity of the road network in Australia.</w:t>
      </w:r>
    </w:p>
    <w:p w:rsidR="008E5878" w:rsidRPr="00540454" w:rsidRDefault="008E5878" w:rsidP="009D1601">
      <w:pPr>
        <w:rPr>
          <w:rFonts w:ascii="Arial" w:eastAsiaTheme="minorHAnsi" w:hAnsi="Arial" w:cs="Arial"/>
        </w:rPr>
      </w:pPr>
    </w:p>
    <w:p w:rsidR="00700742" w:rsidRPr="00540454" w:rsidRDefault="008E5878" w:rsidP="009D1601">
      <w:pPr>
        <w:rPr>
          <w:rFonts w:ascii="Arial" w:eastAsiaTheme="minorHAnsi" w:hAnsi="Arial" w:cs="Arial"/>
        </w:rPr>
      </w:pPr>
      <w:r w:rsidRPr="00540454">
        <w:rPr>
          <w:rFonts w:ascii="Arial" w:eastAsiaTheme="minorHAnsi" w:hAnsi="Arial" w:cs="Arial"/>
        </w:rPr>
        <w:t xml:space="preserve">There are a number of actions and policies that need to be adhered to by the Government if the industry </w:t>
      </w:r>
      <w:r w:rsidR="00925758" w:rsidRPr="00540454">
        <w:rPr>
          <w:rFonts w:ascii="Arial" w:eastAsiaTheme="minorHAnsi" w:hAnsi="Arial" w:cs="Arial"/>
        </w:rPr>
        <w:t>and the sectors it support are</w:t>
      </w:r>
      <w:r w:rsidRPr="00540454">
        <w:rPr>
          <w:rFonts w:ascii="Arial" w:eastAsiaTheme="minorHAnsi" w:hAnsi="Arial" w:cs="Arial"/>
        </w:rPr>
        <w:t xml:space="preserve"> to increase productivity:</w:t>
      </w:r>
    </w:p>
    <w:p w:rsidR="00DD5672" w:rsidRPr="00540454" w:rsidRDefault="00DD5672" w:rsidP="009D1601">
      <w:pPr>
        <w:pStyle w:val="ATAHeading2"/>
        <w:numPr>
          <w:ilvl w:val="0"/>
          <w:numId w:val="0"/>
        </w:numPr>
        <w:spacing w:before="0" w:after="0" w:line="240" w:lineRule="auto"/>
        <w:rPr>
          <w:rFonts w:eastAsiaTheme="minorHAnsi"/>
          <w:color w:val="auto"/>
          <w:sz w:val="22"/>
          <w:szCs w:val="22"/>
        </w:rPr>
      </w:pPr>
    </w:p>
    <w:p w:rsidR="00CD44A5" w:rsidRPr="00540454" w:rsidRDefault="00540454" w:rsidP="009D1601">
      <w:pPr>
        <w:pStyle w:val="Heading1"/>
        <w:numPr>
          <w:ilvl w:val="0"/>
          <w:numId w:val="0"/>
        </w:numPr>
        <w:rPr>
          <w:sz w:val="24"/>
          <w:szCs w:val="22"/>
        </w:rPr>
      </w:pPr>
      <w:bookmarkStart w:id="4" w:name="_Toc409787593"/>
      <w:bookmarkStart w:id="5" w:name="_Toc409787944"/>
      <w:bookmarkStart w:id="6" w:name="_Toc410200547"/>
      <w:r w:rsidRPr="00540454">
        <w:rPr>
          <w:sz w:val="24"/>
          <w:szCs w:val="22"/>
        </w:rPr>
        <w:t xml:space="preserve">4.1 </w:t>
      </w:r>
      <w:r w:rsidR="008E5878" w:rsidRPr="00540454">
        <w:rPr>
          <w:sz w:val="24"/>
          <w:szCs w:val="22"/>
        </w:rPr>
        <w:t xml:space="preserve">Maintain </w:t>
      </w:r>
      <w:r w:rsidR="00CD44A5" w:rsidRPr="00540454">
        <w:rPr>
          <w:sz w:val="24"/>
          <w:szCs w:val="22"/>
        </w:rPr>
        <w:t>Fuel Tax Credits</w:t>
      </w:r>
      <w:r w:rsidR="00913890" w:rsidRPr="00540454">
        <w:rPr>
          <w:sz w:val="24"/>
          <w:szCs w:val="22"/>
        </w:rPr>
        <w:t>.</w:t>
      </w:r>
      <w:bookmarkEnd w:id="4"/>
      <w:bookmarkEnd w:id="5"/>
      <w:bookmarkEnd w:id="6"/>
    </w:p>
    <w:p w:rsidR="00D92690" w:rsidRPr="00540454" w:rsidRDefault="00D92690" w:rsidP="009D1601">
      <w:pPr>
        <w:pStyle w:val="ATAHeading2"/>
        <w:numPr>
          <w:ilvl w:val="0"/>
          <w:numId w:val="0"/>
        </w:numPr>
        <w:spacing w:before="0" w:after="0" w:line="240" w:lineRule="auto"/>
        <w:ind w:left="720"/>
        <w:rPr>
          <w:sz w:val="22"/>
          <w:szCs w:val="22"/>
        </w:rPr>
      </w:pPr>
    </w:p>
    <w:p w:rsidR="00CD44A5" w:rsidRPr="00540454" w:rsidRDefault="00CD44A5" w:rsidP="009D1601">
      <w:pPr>
        <w:pStyle w:val="NormalWeb"/>
        <w:spacing w:before="0" w:beforeAutospacing="0" w:after="0" w:afterAutospacing="0"/>
        <w:rPr>
          <w:rFonts w:ascii="Arial" w:hAnsi="Arial" w:cs="Arial"/>
          <w:iCs/>
          <w:sz w:val="22"/>
          <w:szCs w:val="22"/>
        </w:rPr>
      </w:pPr>
      <w:r w:rsidRPr="00540454">
        <w:rPr>
          <w:rFonts w:ascii="Arial" w:hAnsi="Arial" w:cs="Arial"/>
          <w:iCs/>
          <w:sz w:val="22"/>
          <w:szCs w:val="22"/>
        </w:rPr>
        <w:t xml:space="preserve">The heavy vehicle industry pays fuel </w:t>
      </w:r>
      <w:r w:rsidR="00125009">
        <w:rPr>
          <w:rFonts w:ascii="Arial" w:hAnsi="Arial" w:cs="Arial"/>
          <w:iCs/>
          <w:sz w:val="22"/>
          <w:szCs w:val="22"/>
        </w:rPr>
        <w:t>tax</w:t>
      </w:r>
      <w:r w:rsidRPr="00540454">
        <w:rPr>
          <w:rFonts w:ascii="Arial" w:hAnsi="Arial" w:cs="Arial"/>
          <w:iCs/>
          <w:sz w:val="22"/>
          <w:szCs w:val="22"/>
        </w:rPr>
        <w:t xml:space="preserve"> in line with all other road users</w:t>
      </w:r>
      <w:r w:rsidR="0071276D">
        <w:rPr>
          <w:rFonts w:ascii="Arial" w:hAnsi="Arial" w:cs="Arial"/>
          <w:iCs/>
          <w:sz w:val="22"/>
          <w:szCs w:val="22"/>
        </w:rPr>
        <w:t>.</w:t>
      </w:r>
      <w:r w:rsidRPr="00540454">
        <w:rPr>
          <w:rFonts w:ascii="Arial" w:hAnsi="Arial" w:cs="Arial"/>
          <w:iCs/>
          <w:sz w:val="22"/>
          <w:szCs w:val="22"/>
        </w:rPr>
        <w:t xml:space="preserve"> The industry is eligible to claim the </w:t>
      </w:r>
      <w:r w:rsidRPr="00540454">
        <w:rPr>
          <w:rFonts w:ascii="Arial" w:hAnsi="Arial" w:cs="Arial"/>
          <w:i/>
          <w:iCs/>
          <w:sz w:val="22"/>
          <w:szCs w:val="22"/>
        </w:rPr>
        <w:t>fuel tax credit</w:t>
      </w:r>
      <w:r w:rsidRPr="00540454">
        <w:rPr>
          <w:rFonts w:ascii="Arial" w:hAnsi="Arial" w:cs="Arial"/>
          <w:iCs/>
          <w:sz w:val="22"/>
          <w:szCs w:val="22"/>
        </w:rPr>
        <w:t xml:space="preserve"> which is covered under the </w:t>
      </w:r>
      <w:r w:rsidR="00FC027F" w:rsidRPr="00540454">
        <w:rPr>
          <w:rFonts w:ascii="Arial" w:hAnsi="Arial" w:cs="Arial"/>
          <w:i/>
          <w:iCs/>
          <w:sz w:val="22"/>
          <w:szCs w:val="22"/>
        </w:rPr>
        <w:t>Fuel T</w:t>
      </w:r>
      <w:r w:rsidRPr="00540454">
        <w:rPr>
          <w:rFonts w:ascii="Arial" w:hAnsi="Arial" w:cs="Arial"/>
          <w:i/>
          <w:iCs/>
          <w:sz w:val="22"/>
          <w:szCs w:val="22"/>
        </w:rPr>
        <w:t>ax Act 2006</w:t>
      </w:r>
      <w:r w:rsidRPr="00540454">
        <w:rPr>
          <w:rFonts w:ascii="Arial" w:hAnsi="Arial" w:cs="Arial"/>
          <w:iCs/>
          <w:sz w:val="22"/>
          <w:szCs w:val="22"/>
        </w:rPr>
        <w:t xml:space="preserve"> designated to allow businesses to recover </w:t>
      </w:r>
      <w:r w:rsidR="00125009">
        <w:rPr>
          <w:rFonts w:ascii="Arial" w:hAnsi="Arial" w:cs="Arial"/>
          <w:iCs/>
          <w:sz w:val="22"/>
          <w:szCs w:val="22"/>
        </w:rPr>
        <w:t>the tax</w:t>
      </w:r>
      <w:r w:rsidRPr="00540454">
        <w:rPr>
          <w:rFonts w:ascii="Arial" w:hAnsi="Arial" w:cs="Arial"/>
          <w:iCs/>
          <w:sz w:val="22"/>
          <w:szCs w:val="22"/>
        </w:rPr>
        <w:t xml:space="preserve"> paid on diesel a</w:t>
      </w:r>
      <w:r w:rsidR="003D27E1" w:rsidRPr="00540454">
        <w:rPr>
          <w:rFonts w:ascii="Arial" w:hAnsi="Arial" w:cs="Arial"/>
          <w:iCs/>
          <w:sz w:val="22"/>
          <w:szCs w:val="22"/>
        </w:rPr>
        <w:t>nd petrol that has been consumed</w:t>
      </w:r>
      <w:r w:rsidRPr="00540454">
        <w:rPr>
          <w:rFonts w:ascii="Arial" w:hAnsi="Arial" w:cs="Arial"/>
          <w:iCs/>
          <w:sz w:val="22"/>
          <w:szCs w:val="22"/>
        </w:rPr>
        <w:t xml:space="preserve"> for the purposes of car</w:t>
      </w:r>
      <w:r w:rsidR="00100A35" w:rsidRPr="00540454">
        <w:rPr>
          <w:rFonts w:ascii="Arial" w:hAnsi="Arial" w:cs="Arial"/>
          <w:iCs/>
          <w:sz w:val="22"/>
          <w:szCs w:val="22"/>
        </w:rPr>
        <w:t>rying</w:t>
      </w:r>
      <w:r w:rsidRPr="00540454">
        <w:rPr>
          <w:rFonts w:ascii="Arial" w:hAnsi="Arial" w:cs="Arial"/>
          <w:iCs/>
          <w:sz w:val="22"/>
          <w:szCs w:val="22"/>
        </w:rPr>
        <w:t xml:space="preserve"> o</w:t>
      </w:r>
      <w:r w:rsidR="00100A35" w:rsidRPr="00540454">
        <w:rPr>
          <w:rFonts w:ascii="Arial" w:hAnsi="Arial" w:cs="Arial"/>
          <w:iCs/>
          <w:sz w:val="22"/>
          <w:szCs w:val="22"/>
        </w:rPr>
        <w:t>ut</w:t>
      </w:r>
      <w:r w:rsidRPr="00540454">
        <w:rPr>
          <w:rFonts w:ascii="Arial" w:hAnsi="Arial" w:cs="Arial"/>
          <w:iCs/>
          <w:sz w:val="22"/>
          <w:szCs w:val="22"/>
        </w:rPr>
        <w:t xml:space="preserve"> the activities of the business.</w:t>
      </w:r>
    </w:p>
    <w:p w:rsidR="00D92690" w:rsidRPr="00540454" w:rsidRDefault="00D92690" w:rsidP="009D1601">
      <w:pPr>
        <w:pStyle w:val="NormalWeb"/>
        <w:spacing w:before="0" w:beforeAutospacing="0" w:after="0" w:afterAutospacing="0"/>
        <w:rPr>
          <w:rFonts w:ascii="Arial" w:hAnsi="Arial" w:cs="Arial"/>
          <w:iCs/>
          <w:sz w:val="22"/>
          <w:szCs w:val="22"/>
        </w:rPr>
      </w:pPr>
    </w:p>
    <w:p w:rsidR="00D92690" w:rsidRPr="00540454" w:rsidRDefault="00932BAB" w:rsidP="009D1601">
      <w:pPr>
        <w:pStyle w:val="NormalWeb"/>
        <w:spacing w:before="0" w:beforeAutospacing="0" w:after="0" w:afterAutospacing="0"/>
        <w:rPr>
          <w:rFonts w:ascii="Arial" w:hAnsi="Arial" w:cs="Arial"/>
          <w:iCs/>
          <w:sz w:val="22"/>
          <w:szCs w:val="22"/>
        </w:rPr>
      </w:pPr>
      <w:r w:rsidRPr="00540454">
        <w:rPr>
          <w:rFonts w:ascii="Arial" w:hAnsi="Arial" w:cs="Arial"/>
          <w:iCs/>
          <w:sz w:val="22"/>
          <w:szCs w:val="22"/>
        </w:rPr>
        <w:t>The fuel tax credit supports Australian</w:t>
      </w:r>
      <w:r w:rsidR="003D27E1" w:rsidRPr="00540454">
        <w:rPr>
          <w:rFonts w:ascii="Arial" w:hAnsi="Arial" w:cs="Arial"/>
          <w:iCs/>
          <w:sz w:val="22"/>
          <w:szCs w:val="22"/>
        </w:rPr>
        <w:t xml:space="preserve"> trucking companies and as the </w:t>
      </w:r>
      <w:r w:rsidR="003D27E1" w:rsidRPr="006308E9">
        <w:rPr>
          <w:rFonts w:ascii="Arial" w:hAnsi="Arial" w:cs="Arial"/>
          <w:i/>
          <w:iCs/>
          <w:sz w:val="22"/>
          <w:szCs w:val="22"/>
        </w:rPr>
        <w:t>Fuel T</w:t>
      </w:r>
      <w:r w:rsidRPr="006308E9">
        <w:rPr>
          <w:rFonts w:ascii="Arial" w:hAnsi="Arial" w:cs="Arial"/>
          <w:i/>
          <w:iCs/>
          <w:sz w:val="22"/>
          <w:szCs w:val="22"/>
        </w:rPr>
        <w:t>ax Act</w:t>
      </w:r>
      <w:r w:rsidRPr="00540454">
        <w:rPr>
          <w:rFonts w:ascii="Arial" w:hAnsi="Arial" w:cs="Arial"/>
          <w:iCs/>
          <w:sz w:val="22"/>
          <w:szCs w:val="22"/>
        </w:rPr>
        <w:t xml:space="preserve"> recognises, the fuel is used for the purposes of carrying out business actives. The credit provided is no different to the GST exemption for business purchases/inputs that other businesses are eligible for. Without the fuel tax credit the industry would be paying the full price for a business input and would pass on the cost the community leading to </w:t>
      </w:r>
      <w:r w:rsidR="00552289" w:rsidRPr="00540454">
        <w:rPr>
          <w:rFonts w:ascii="Arial" w:hAnsi="Arial" w:cs="Arial"/>
          <w:iCs/>
          <w:sz w:val="22"/>
          <w:szCs w:val="22"/>
        </w:rPr>
        <w:t>an</w:t>
      </w:r>
      <w:r w:rsidRPr="00540454">
        <w:rPr>
          <w:rFonts w:ascii="Arial" w:hAnsi="Arial" w:cs="Arial"/>
          <w:iCs/>
          <w:sz w:val="22"/>
          <w:szCs w:val="22"/>
        </w:rPr>
        <w:t xml:space="preserve"> increase in the </w:t>
      </w:r>
      <w:r w:rsidR="00552289" w:rsidRPr="00540454">
        <w:rPr>
          <w:rFonts w:ascii="Arial" w:hAnsi="Arial" w:cs="Arial"/>
          <w:iCs/>
          <w:sz w:val="22"/>
          <w:szCs w:val="22"/>
        </w:rPr>
        <w:t>price of freighted goods.</w:t>
      </w:r>
      <w:bookmarkStart w:id="7" w:name="_Toc377118304"/>
      <w:bookmarkStart w:id="8" w:name="_Toc377461077"/>
    </w:p>
    <w:p w:rsidR="00605F3F" w:rsidRPr="00540454" w:rsidRDefault="00605F3F" w:rsidP="009D1601">
      <w:pPr>
        <w:pStyle w:val="NormalWeb"/>
        <w:spacing w:before="0" w:beforeAutospacing="0" w:after="0" w:afterAutospacing="0"/>
        <w:rPr>
          <w:rFonts w:ascii="Arial" w:hAnsi="Arial" w:cs="Arial"/>
          <w:iCs/>
          <w:sz w:val="22"/>
          <w:szCs w:val="22"/>
        </w:rPr>
      </w:pPr>
    </w:p>
    <w:p w:rsidR="00605F3F" w:rsidRPr="00540454" w:rsidRDefault="00605F3F" w:rsidP="009D1601">
      <w:pPr>
        <w:pStyle w:val="NormalWeb"/>
        <w:spacing w:before="0" w:beforeAutospacing="0" w:after="0" w:afterAutospacing="0"/>
        <w:rPr>
          <w:rFonts w:ascii="Arial" w:hAnsi="Arial" w:cs="Arial"/>
          <w:b/>
          <w:iCs/>
          <w:sz w:val="22"/>
          <w:szCs w:val="22"/>
        </w:rPr>
      </w:pPr>
      <w:r w:rsidRPr="00540454">
        <w:rPr>
          <w:rFonts w:ascii="Arial" w:hAnsi="Arial" w:cs="Arial"/>
          <w:b/>
          <w:iCs/>
          <w:sz w:val="22"/>
          <w:szCs w:val="22"/>
        </w:rPr>
        <w:t>Recommendation 1</w:t>
      </w:r>
    </w:p>
    <w:p w:rsidR="00605F3F" w:rsidRPr="00540454" w:rsidRDefault="00605F3F" w:rsidP="009D1601">
      <w:pPr>
        <w:pStyle w:val="NormalWeb"/>
        <w:spacing w:before="0" w:beforeAutospacing="0" w:after="0" w:afterAutospacing="0"/>
        <w:rPr>
          <w:rFonts w:ascii="Arial" w:hAnsi="Arial" w:cs="Arial"/>
          <w:b/>
          <w:i/>
          <w:iCs/>
          <w:sz w:val="22"/>
          <w:szCs w:val="22"/>
        </w:rPr>
      </w:pPr>
    </w:p>
    <w:p w:rsidR="00605F3F" w:rsidRPr="00540454" w:rsidRDefault="00605F3F" w:rsidP="009D1601">
      <w:pPr>
        <w:pStyle w:val="NormalWeb"/>
        <w:spacing w:before="0" w:beforeAutospacing="0" w:after="0" w:afterAutospacing="0"/>
        <w:rPr>
          <w:rFonts w:ascii="Arial" w:hAnsi="Arial" w:cs="Arial"/>
          <w:iCs/>
          <w:sz w:val="22"/>
          <w:szCs w:val="22"/>
        </w:rPr>
      </w:pPr>
      <w:r w:rsidRPr="00540454">
        <w:rPr>
          <w:rFonts w:ascii="Arial" w:hAnsi="Arial" w:cs="Arial"/>
          <w:iCs/>
          <w:sz w:val="22"/>
          <w:szCs w:val="22"/>
        </w:rPr>
        <w:t>The Government should maintain the fuel tax credit for the heavy vehicle industry.</w:t>
      </w:r>
    </w:p>
    <w:bookmarkEnd w:id="7"/>
    <w:bookmarkEnd w:id="8"/>
    <w:p w:rsidR="00D92690" w:rsidRDefault="00D92690" w:rsidP="009D1601">
      <w:pPr>
        <w:pStyle w:val="Heading1"/>
        <w:numPr>
          <w:ilvl w:val="0"/>
          <w:numId w:val="0"/>
        </w:numPr>
        <w:rPr>
          <w:szCs w:val="22"/>
        </w:rPr>
      </w:pPr>
    </w:p>
    <w:p w:rsidR="00700742" w:rsidRDefault="00700742" w:rsidP="009D1601"/>
    <w:p w:rsidR="00700742" w:rsidRDefault="00700742" w:rsidP="009D1601"/>
    <w:p w:rsidR="00700742" w:rsidRDefault="00700742" w:rsidP="009D1601"/>
    <w:p w:rsidR="00700742" w:rsidRDefault="00700742" w:rsidP="009D1601"/>
    <w:p w:rsidR="00700742" w:rsidRDefault="00700742" w:rsidP="009D1601"/>
    <w:p w:rsidR="00700742" w:rsidRPr="00700742" w:rsidRDefault="00700742" w:rsidP="009D1601"/>
    <w:p w:rsidR="008E5878" w:rsidRPr="00540454" w:rsidRDefault="00540454" w:rsidP="009D1601">
      <w:pPr>
        <w:pStyle w:val="Heading1"/>
        <w:numPr>
          <w:ilvl w:val="0"/>
          <w:numId w:val="0"/>
        </w:numPr>
        <w:rPr>
          <w:sz w:val="24"/>
          <w:szCs w:val="22"/>
        </w:rPr>
      </w:pPr>
      <w:bookmarkStart w:id="9" w:name="_Toc409787594"/>
      <w:bookmarkStart w:id="10" w:name="_Toc409787945"/>
      <w:bookmarkStart w:id="11" w:name="_Toc410200548"/>
      <w:r w:rsidRPr="00540454">
        <w:rPr>
          <w:sz w:val="24"/>
          <w:szCs w:val="22"/>
        </w:rPr>
        <w:t xml:space="preserve">4.2 </w:t>
      </w:r>
      <w:r w:rsidR="008E5878" w:rsidRPr="00540454">
        <w:rPr>
          <w:sz w:val="24"/>
          <w:szCs w:val="22"/>
        </w:rPr>
        <w:t>Implement the NTC 2014 Heavy Vehicle Charges Determination recommendations</w:t>
      </w:r>
      <w:r w:rsidR="00913890" w:rsidRPr="00540454">
        <w:rPr>
          <w:sz w:val="24"/>
          <w:szCs w:val="22"/>
        </w:rPr>
        <w:t>.</w:t>
      </w:r>
      <w:bookmarkEnd w:id="9"/>
      <w:bookmarkEnd w:id="10"/>
      <w:bookmarkEnd w:id="11"/>
    </w:p>
    <w:p w:rsidR="00007723" w:rsidRPr="00540454" w:rsidRDefault="00007723" w:rsidP="009D1601">
      <w:pPr>
        <w:rPr>
          <w:rFonts w:ascii="Arial" w:hAnsi="Arial" w:cs="Arial"/>
        </w:rPr>
      </w:pPr>
    </w:p>
    <w:p w:rsidR="0071276D" w:rsidRDefault="0071276D" w:rsidP="009D1601">
      <w:pPr>
        <w:rPr>
          <w:rFonts w:ascii="Arial" w:hAnsi="Arial" w:cs="Arial"/>
        </w:rPr>
      </w:pPr>
      <w:r>
        <w:rPr>
          <w:rFonts w:ascii="Arial" w:hAnsi="Arial" w:cs="Arial"/>
        </w:rPr>
        <w:t>The heavy vehicle industry pays heavy vehicle registration and a road user charge calculated via a 7 year averaging charging model (PayGo)</w:t>
      </w:r>
      <w:r w:rsidR="00700742">
        <w:rPr>
          <w:rFonts w:ascii="Arial" w:hAnsi="Arial" w:cs="Arial"/>
        </w:rPr>
        <w:t>. A</w:t>
      </w:r>
      <w:r>
        <w:rPr>
          <w:rFonts w:ascii="Arial" w:hAnsi="Arial" w:cs="Arial"/>
        </w:rPr>
        <w:t xml:space="preserve">ttributable heavy vehicle road expenditure and heavy vehicle population figures </w:t>
      </w:r>
      <w:r w:rsidR="00700742">
        <w:rPr>
          <w:rFonts w:ascii="Arial" w:hAnsi="Arial" w:cs="Arial"/>
        </w:rPr>
        <w:t xml:space="preserve">are used </w:t>
      </w:r>
      <w:r>
        <w:rPr>
          <w:rFonts w:ascii="Arial" w:hAnsi="Arial" w:cs="Arial"/>
        </w:rPr>
        <w:t xml:space="preserve">to allocate costs over the heavy vehicle fleet. However, the heavy vehicle industry has been </w:t>
      </w:r>
      <w:r w:rsidR="00540ABF">
        <w:rPr>
          <w:rFonts w:ascii="Arial" w:hAnsi="Arial" w:cs="Arial"/>
        </w:rPr>
        <w:t xml:space="preserve">significantly </w:t>
      </w:r>
      <w:r>
        <w:rPr>
          <w:rFonts w:ascii="Arial" w:hAnsi="Arial" w:cs="Arial"/>
        </w:rPr>
        <w:t>over</w:t>
      </w:r>
      <w:r w:rsidR="00540ABF">
        <w:rPr>
          <w:rFonts w:ascii="Arial" w:hAnsi="Arial" w:cs="Arial"/>
        </w:rPr>
        <w:t xml:space="preserve">paying </w:t>
      </w:r>
      <w:r>
        <w:rPr>
          <w:rFonts w:ascii="Arial" w:hAnsi="Arial" w:cs="Arial"/>
        </w:rPr>
        <w:t xml:space="preserve">since 2007 as the model uses the most up to date road expenditure data but a lagged heavy vehicle population figure. </w:t>
      </w:r>
      <w:r w:rsidR="00125009">
        <w:rPr>
          <w:rFonts w:ascii="Arial" w:hAnsi="Arial" w:cs="Arial"/>
        </w:rPr>
        <w:t>As a result,</w:t>
      </w:r>
      <w:r>
        <w:rPr>
          <w:rFonts w:ascii="Arial" w:hAnsi="Arial" w:cs="Arial"/>
        </w:rPr>
        <w:t xml:space="preserve"> in the model </w:t>
      </w:r>
      <w:r w:rsidR="00540ABF" w:rsidRPr="0071276D">
        <w:rPr>
          <w:rFonts w:ascii="Arial" w:hAnsi="Arial" w:cs="Arial"/>
        </w:rPr>
        <w:t>considerably</w:t>
      </w:r>
      <w:r w:rsidRPr="0071276D">
        <w:rPr>
          <w:rFonts w:ascii="Arial" w:hAnsi="Arial" w:cs="Arial"/>
        </w:rPr>
        <w:t xml:space="preserve"> </w:t>
      </w:r>
      <w:r w:rsidR="00700742">
        <w:rPr>
          <w:rFonts w:ascii="Arial" w:hAnsi="Arial" w:cs="Arial"/>
        </w:rPr>
        <w:t>underestimates</w:t>
      </w:r>
      <w:r>
        <w:rPr>
          <w:rFonts w:ascii="Arial" w:hAnsi="Arial" w:cs="Arial"/>
        </w:rPr>
        <w:t xml:space="preserve"> the h</w:t>
      </w:r>
      <w:r w:rsidR="00700742">
        <w:rPr>
          <w:rFonts w:ascii="Arial" w:hAnsi="Arial" w:cs="Arial"/>
        </w:rPr>
        <w:t>eavy vehicle fleet and produces</w:t>
      </w:r>
      <w:r>
        <w:rPr>
          <w:rFonts w:ascii="Arial" w:hAnsi="Arial" w:cs="Arial"/>
        </w:rPr>
        <w:t xml:space="preserve"> heavy vehicle charges that are excessively high. </w:t>
      </w:r>
    </w:p>
    <w:p w:rsidR="00012205" w:rsidRPr="00540454" w:rsidRDefault="00012205" w:rsidP="009D1601">
      <w:pPr>
        <w:rPr>
          <w:rFonts w:ascii="Arial" w:hAnsi="Arial" w:cs="Arial"/>
        </w:rPr>
      </w:pPr>
    </w:p>
    <w:p w:rsidR="00007723" w:rsidRPr="00540454" w:rsidRDefault="00007723" w:rsidP="009D1601">
      <w:pPr>
        <w:rPr>
          <w:rFonts w:ascii="Arial" w:hAnsi="Arial" w:cs="Arial"/>
        </w:rPr>
      </w:pPr>
      <w:r w:rsidRPr="00540454">
        <w:rPr>
          <w:rFonts w:ascii="Arial" w:hAnsi="Arial" w:cs="Arial"/>
        </w:rPr>
        <w:t>In 2014</w:t>
      </w:r>
      <w:r w:rsidR="00125009">
        <w:rPr>
          <w:rFonts w:ascii="Arial" w:hAnsi="Arial" w:cs="Arial"/>
        </w:rPr>
        <w:t>,</w:t>
      </w:r>
      <w:r w:rsidRPr="00540454">
        <w:rPr>
          <w:rFonts w:ascii="Arial" w:hAnsi="Arial" w:cs="Arial"/>
        </w:rPr>
        <w:t xml:space="preserve"> transport ministers were asked to consider a National Transport Commission Regulatory Impact statement (RIS) </w:t>
      </w:r>
      <w:r w:rsidRPr="00540454">
        <w:rPr>
          <w:rFonts w:ascii="Arial" w:hAnsi="Arial" w:cs="Arial"/>
          <w:i/>
        </w:rPr>
        <w:t>Heavy Vehicle Charges Determination RIS February 2014</w:t>
      </w:r>
      <w:r w:rsidR="00125009">
        <w:rPr>
          <w:rFonts w:ascii="Arial" w:hAnsi="Arial" w:cs="Arial"/>
        </w:rPr>
        <w:t xml:space="preserve">. </w:t>
      </w:r>
    </w:p>
    <w:p w:rsidR="00007723" w:rsidRPr="00540454" w:rsidRDefault="00007723" w:rsidP="009D1601">
      <w:pPr>
        <w:rPr>
          <w:rFonts w:ascii="Arial" w:hAnsi="Arial" w:cs="Arial"/>
        </w:rPr>
      </w:pPr>
    </w:p>
    <w:p w:rsidR="00985AD3" w:rsidRPr="00540454" w:rsidRDefault="00985AD3" w:rsidP="009D1601">
      <w:pPr>
        <w:rPr>
          <w:rFonts w:ascii="Arial" w:hAnsi="Arial" w:cs="Arial"/>
        </w:rPr>
      </w:pPr>
      <w:r w:rsidRPr="00540454">
        <w:rPr>
          <w:rFonts w:ascii="Arial" w:hAnsi="Arial" w:cs="Arial"/>
        </w:rPr>
        <w:t xml:space="preserve">The RIS recommended the removal of over-recovery from the heavy vehicle charges model that meant the industry had been over-taxed since 2007. This was </w:t>
      </w:r>
      <w:r w:rsidR="00012205" w:rsidRPr="00540454">
        <w:rPr>
          <w:rFonts w:ascii="Arial" w:hAnsi="Arial" w:cs="Arial"/>
        </w:rPr>
        <w:t xml:space="preserve">called </w:t>
      </w:r>
      <w:r w:rsidRPr="00540454">
        <w:rPr>
          <w:rFonts w:ascii="Arial" w:hAnsi="Arial" w:cs="Arial"/>
        </w:rPr>
        <w:t xml:space="preserve">option A. </w:t>
      </w:r>
      <w:r w:rsidR="00012205" w:rsidRPr="00540454">
        <w:rPr>
          <w:rFonts w:ascii="Arial" w:hAnsi="Arial" w:cs="Arial"/>
        </w:rPr>
        <w:t xml:space="preserve"> </w:t>
      </w:r>
      <w:r w:rsidRPr="00540454">
        <w:rPr>
          <w:rFonts w:ascii="Arial" w:hAnsi="Arial" w:cs="Arial"/>
        </w:rPr>
        <w:t>Option A would update the heavy vehicle population figures</w:t>
      </w:r>
      <w:r w:rsidR="00012205" w:rsidRPr="00540454">
        <w:rPr>
          <w:rFonts w:ascii="Arial" w:hAnsi="Arial" w:cs="Arial"/>
        </w:rPr>
        <w:t xml:space="preserve"> and heavy vehicle infrastructure impact figures</w:t>
      </w:r>
      <w:r w:rsidRPr="00540454">
        <w:rPr>
          <w:rFonts w:ascii="Arial" w:hAnsi="Arial" w:cs="Arial"/>
        </w:rPr>
        <w:t xml:space="preserve"> in the seven year PayGo charges model.</w:t>
      </w:r>
    </w:p>
    <w:p w:rsidR="00985AD3" w:rsidRPr="00540454" w:rsidRDefault="00985AD3" w:rsidP="009D1601">
      <w:pPr>
        <w:rPr>
          <w:rFonts w:ascii="Arial" w:hAnsi="Arial" w:cs="Arial"/>
        </w:rPr>
      </w:pPr>
    </w:p>
    <w:p w:rsidR="00985AD3" w:rsidRPr="00540454" w:rsidRDefault="00985AD3" w:rsidP="009D1601">
      <w:pPr>
        <w:rPr>
          <w:rFonts w:ascii="Arial" w:hAnsi="Arial" w:cs="Arial"/>
        </w:rPr>
      </w:pPr>
      <w:r w:rsidRPr="00540454">
        <w:rPr>
          <w:rFonts w:ascii="Arial" w:hAnsi="Arial" w:cs="Arial"/>
        </w:rPr>
        <w:t>Transport ministers did not agree to the NTC recommendation, although departmental advisers and industry had been agreed on the most reasonable option in the construction of the RIS.</w:t>
      </w:r>
    </w:p>
    <w:p w:rsidR="00985AD3" w:rsidRPr="00540454" w:rsidRDefault="00985AD3" w:rsidP="009D1601">
      <w:pPr>
        <w:rPr>
          <w:rFonts w:ascii="Arial" w:hAnsi="Arial" w:cs="Arial"/>
        </w:rPr>
      </w:pPr>
    </w:p>
    <w:p w:rsidR="00007723" w:rsidRPr="00540454" w:rsidRDefault="00985AD3" w:rsidP="009D1601">
      <w:pPr>
        <w:rPr>
          <w:rFonts w:ascii="Arial" w:hAnsi="Arial" w:cs="Arial"/>
        </w:rPr>
      </w:pPr>
      <w:r w:rsidRPr="00540454">
        <w:rPr>
          <w:rFonts w:ascii="Arial" w:hAnsi="Arial" w:cs="Arial"/>
        </w:rPr>
        <w:t>Because of this decision i</w:t>
      </w:r>
      <w:r w:rsidR="00007723" w:rsidRPr="00540454">
        <w:rPr>
          <w:rFonts w:ascii="Arial" w:hAnsi="Arial" w:cs="Arial"/>
        </w:rPr>
        <w:t>n 2014-2015, the heavy vehicle industry will be overcharged by over $200 million dollars according to National Transport Commission figures in registration charges and fuel excise.</w:t>
      </w:r>
      <w:r w:rsidR="00007723" w:rsidRPr="00540454">
        <w:rPr>
          <w:rFonts w:ascii="Arial" w:hAnsi="Arial" w:cs="Arial"/>
          <w:vertAlign w:val="superscript"/>
        </w:rPr>
        <w:footnoteReference w:id="6"/>
      </w:r>
      <w:r w:rsidR="00007723" w:rsidRPr="00540454">
        <w:rPr>
          <w:rFonts w:ascii="Arial" w:hAnsi="Arial" w:cs="Arial"/>
        </w:rPr>
        <w:t xml:space="preserve">  The Australian Government acknowledged the over-recovery and decided to not raise the road user charge in 2014-15.</w:t>
      </w:r>
    </w:p>
    <w:p w:rsidR="00007723" w:rsidRPr="00540454" w:rsidRDefault="00007723" w:rsidP="009D1601">
      <w:pPr>
        <w:rPr>
          <w:rFonts w:ascii="Arial" w:hAnsi="Arial" w:cs="Arial"/>
        </w:rPr>
      </w:pPr>
    </w:p>
    <w:p w:rsidR="00007723" w:rsidRPr="00540454" w:rsidRDefault="00007723" w:rsidP="009D1601">
      <w:pPr>
        <w:rPr>
          <w:rFonts w:ascii="Arial" w:hAnsi="Arial" w:cs="Arial"/>
        </w:rPr>
      </w:pPr>
      <w:r w:rsidRPr="00540454">
        <w:rPr>
          <w:rFonts w:ascii="Arial" w:hAnsi="Arial" w:cs="Arial"/>
        </w:rPr>
        <w:t>The burden of unfair increased taxes effects the competitiveness of the freight industry and Australia as a whole. The charges the heavy vehicle industry pays should be calculated and charged correctly.</w:t>
      </w:r>
    </w:p>
    <w:p w:rsidR="00D32D1E" w:rsidRPr="00540454" w:rsidRDefault="00D32D1E" w:rsidP="009D1601">
      <w:pPr>
        <w:rPr>
          <w:rFonts w:ascii="Arial" w:hAnsi="Arial" w:cs="Arial"/>
        </w:rPr>
      </w:pPr>
    </w:p>
    <w:p w:rsidR="00D32D1E" w:rsidRPr="00540454" w:rsidRDefault="00D32D1E" w:rsidP="009D1601">
      <w:pPr>
        <w:rPr>
          <w:rFonts w:ascii="Arial" w:hAnsi="Arial" w:cs="Arial"/>
          <w:b/>
        </w:rPr>
      </w:pPr>
      <w:r w:rsidRPr="00540454">
        <w:rPr>
          <w:rFonts w:ascii="Arial" w:hAnsi="Arial" w:cs="Arial"/>
          <w:b/>
        </w:rPr>
        <w:t>Recommendation 2</w:t>
      </w:r>
    </w:p>
    <w:p w:rsidR="00CE6BF8" w:rsidRPr="00540454" w:rsidRDefault="00CE6BF8" w:rsidP="009D1601">
      <w:pPr>
        <w:pStyle w:val="NormalWeb"/>
        <w:spacing w:before="0" w:beforeAutospacing="0" w:after="0" w:afterAutospacing="0"/>
        <w:rPr>
          <w:rFonts w:ascii="Arial" w:hAnsi="Arial" w:cs="Arial"/>
          <w:iCs/>
          <w:sz w:val="22"/>
          <w:szCs w:val="22"/>
        </w:rPr>
      </w:pPr>
    </w:p>
    <w:p w:rsidR="00125009" w:rsidRPr="00125009" w:rsidRDefault="00E07B27" w:rsidP="00125009">
      <w:pPr>
        <w:rPr>
          <w:rFonts w:ascii="Arial" w:hAnsi="Arial" w:cs="Arial"/>
          <w:iCs/>
        </w:rPr>
      </w:pPr>
      <w:r w:rsidRPr="00540454">
        <w:rPr>
          <w:rFonts w:ascii="Arial" w:hAnsi="Arial" w:cs="Arial"/>
          <w:iCs/>
        </w:rPr>
        <w:t>To address the over-recovery of tax from the industry t</w:t>
      </w:r>
      <w:r w:rsidR="00D32D1E" w:rsidRPr="00540454">
        <w:rPr>
          <w:rFonts w:ascii="Arial" w:hAnsi="Arial" w:cs="Arial"/>
          <w:iCs/>
        </w:rPr>
        <w:t>he Government should</w:t>
      </w:r>
      <w:r w:rsidR="00360AD1" w:rsidRPr="00540454">
        <w:rPr>
          <w:rFonts w:ascii="Arial" w:hAnsi="Arial" w:cs="Arial"/>
          <w:iCs/>
        </w:rPr>
        <w:t xml:space="preserve"> implement option A </w:t>
      </w:r>
      <w:r w:rsidRPr="00540454">
        <w:rPr>
          <w:rFonts w:ascii="Arial" w:hAnsi="Arial" w:cs="Arial"/>
          <w:iCs/>
        </w:rPr>
        <w:t>of the NTC Heavy Vehicle Charges Determination RIS in</w:t>
      </w:r>
      <w:r w:rsidR="00360AD1" w:rsidRPr="00540454">
        <w:rPr>
          <w:rFonts w:ascii="Arial" w:hAnsi="Arial" w:cs="Arial"/>
          <w:iCs/>
        </w:rPr>
        <w:t xml:space="preserve"> the 2015-16 Budget.</w:t>
      </w:r>
      <w:r w:rsidR="00125009" w:rsidRPr="00125009">
        <w:rPr>
          <w:rFonts w:ascii="Arial" w:eastAsiaTheme="minorHAnsi" w:hAnsi="Arial" w:cs="Arial"/>
          <w:iCs/>
        </w:rPr>
        <w:t xml:space="preserve"> </w:t>
      </w:r>
      <w:r w:rsidR="00125009" w:rsidRPr="00125009">
        <w:rPr>
          <w:rFonts w:ascii="Arial" w:hAnsi="Arial" w:cs="Arial"/>
          <w:iCs/>
        </w:rPr>
        <w:t xml:space="preserve">The road user charge should not be increased. </w:t>
      </w:r>
    </w:p>
    <w:p w:rsidR="00913890" w:rsidRDefault="00913890" w:rsidP="009D1601">
      <w:pPr>
        <w:pStyle w:val="NormalWeb"/>
        <w:spacing w:before="0" w:beforeAutospacing="0" w:after="0" w:afterAutospacing="0"/>
        <w:rPr>
          <w:rFonts w:ascii="Arial" w:hAnsi="Arial" w:cs="Arial"/>
          <w:iCs/>
          <w:sz w:val="22"/>
          <w:szCs w:val="22"/>
        </w:rPr>
      </w:pPr>
    </w:p>
    <w:p w:rsidR="006308E9" w:rsidRPr="00540454" w:rsidRDefault="006308E9" w:rsidP="009D1601">
      <w:pPr>
        <w:pStyle w:val="NormalWeb"/>
        <w:spacing w:before="0" w:beforeAutospacing="0" w:after="0" w:afterAutospacing="0"/>
        <w:rPr>
          <w:rFonts w:ascii="Arial" w:hAnsi="Arial" w:cs="Arial"/>
          <w:iCs/>
          <w:sz w:val="22"/>
          <w:szCs w:val="22"/>
        </w:rPr>
      </w:pPr>
    </w:p>
    <w:p w:rsidR="00360AD1" w:rsidRPr="00540454" w:rsidRDefault="00540454" w:rsidP="009D1601">
      <w:pPr>
        <w:pStyle w:val="Heading1"/>
        <w:numPr>
          <w:ilvl w:val="0"/>
          <w:numId w:val="0"/>
        </w:numPr>
        <w:rPr>
          <w:sz w:val="24"/>
          <w:szCs w:val="22"/>
        </w:rPr>
      </w:pPr>
      <w:bookmarkStart w:id="12" w:name="_Toc409787595"/>
      <w:bookmarkStart w:id="13" w:name="_Toc409787946"/>
      <w:bookmarkStart w:id="14" w:name="_Toc410200549"/>
      <w:r w:rsidRPr="00540454">
        <w:rPr>
          <w:sz w:val="24"/>
          <w:szCs w:val="22"/>
        </w:rPr>
        <w:t xml:space="preserve">4.3 </w:t>
      </w:r>
      <w:r w:rsidR="00DD5672">
        <w:rPr>
          <w:sz w:val="24"/>
          <w:szCs w:val="22"/>
        </w:rPr>
        <w:t xml:space="preserve">Implement </w:t>
      </w:r>
      <w:r w:rsidR="00CE6BF8" w:rsidRPr="00540454">
        <w:rPr>
          <w:sz w:val="24"/>
          <w:szCs w:val="22"/>
        </w:rPr>
        <w:t xml:space="preserve">the </w:t>
      </w:r>
      <w:bookmarkStart w:id="15" w:name="_Toc384105351"/>
      <w:r w:rsidR="00CE6BF8" w:rsidRPr="00540454">
        <w:rPr>
          <w:sz w:val="24"/>
          <w:szCs w:val="22"/>
        </w:rPr>
        <w:t>PricewaterhouseCoopers (PwC) report: A future strategy for road supply and charging in Australia</w:t>
      </w:r>
      <w:bookmarkEnd w:id="15"/>
      <w:r w:rsidR="00CE6BF8" w:rsidRPr="00540454">
        <w:rPr>
          <w:sz w:val="24"/>
          <w:szCs w:val="22"/>
        </w:rPr>
        <w:t xml:space="preserve"> supply side reform measure</w:t>
      </w:r>
      <w:r w:rsidR="00913890" w:rsidRPr="00540454">
        <w:rPr>
          <w:sz w:val="24"/>
          <w:szCs w:val="22"/>
        </w:rPr>
        <w:t>s.</w:t>
      </w:r>
      <w:bookmarkEnd w:id="12"/>
      <w:bookmarkEnd w:id="13"/>
      <w:bookmarkEnd w:id="14"/>
    </w:p>
    <w:p w:rsidR="00360AD1" w:rsidRPr="00540454" w:rsidRDefault="00360AD1" w:rsidP="009D1601">
      <w:pPr>
        <w:rPr>
          <w:rFonts w:ascii="Arial" w:hAnsi="Arial" w:cs="Arial"/>
          <w:iCs/>
        </w:rPr>
      </w:pPr>
    </w:p>
    <w:p w:rsidR="006E0E88" w:rsidRPr="00540454" w:rsidRDefault="006E0E88" w:rsidP="009D1601">
      <w:pPr>
        <w:rPr>
          <w:rFonts w:ascii="Arial" w:hAnsi="Arial" w:cs="Arial"/>
          <w:iCs/>
        </w:rPr>
      </w:pPr>
      <w:r w:rsidRPr="00540454">
        <w:rPr>
          <w:rFonts w:ascii="Arial" w:hAnsi="Arial" w:cs="Arial"/>
          <w:iCs/>
        </w:rPr>
        <w:t xml:space="preserve">The PwC work: </w:t>
      </w:r>
      <w:r w:rsidRPr="00540454">
        <w:rPr>
          <w:rFonts w:ascii="Arial" w:hAnsi="Arial" w:cs="Arial"/>
          <w:i/>
          <w:iCs/>
        </w:rPr>
        <w:t>A future Strategy for Road Supply and Charging in Australia</w:t>
      </w:r>
      <w:r w:rsidRPr="00540454">
        <w:rPr>
          <w:rFonts w:ascii="Arial" w:hAnsi="Arial" w:cs="Arial"/>
          <w:iCs/>
        </w:rPr>
        <w:t xml:space="preserve">, sets out clear priorities for reforming road supply and charging. </w:t>
      </w:r>
      <w:r w:rsidR="005F01B0" w:rsidRPr="00540454">
        <w:rPr>
          <w:rFonts w:ascii="Arial" w:hAnsi="Arial" w:cs="Arial"/>
          <w:iCs/>
        </w:rPr>
        <w:t>Implementing these recommendations would increase productivity of road agencies and would rationalise the connection between road users and road managers.</w:t>
      </w:r>
    </w:p>
    <w:p w:rsidR="006E0E88" w:rsidRPr="00540454" w:rsidRDefault="006E0E88" w:rsidP="009D1601">
      <w:pPr>
        <w:rPr>
          <w:rFonts w:ascii="Arial" w:hAnsi="Arial" w:cs="Arial"/>
          <w:iCs/>
        </w:rPr>
      </w:pPr>
    </w:p>
    <w:p w:rsidR="006E0E88" w:rsidRPr="00540454" w:rsidRDefault="006E0E88" w:rsidP="009D1601">
      <w:pPr>
        <w:rPr>
          <w:rFonts w:ascii="Arial" w:hAnsi="Arial" w:cs="Arial"/>
        </w:rPr>
      </w:pPr>
      <w:r w:rsidRPr="00540454">
        <w:rPr>
          <w:rFonts w:ascii="Arial" w:hAnsi="Arial" w:cs="Arial"/>
        </w:rPr>
        <w:t>PwC provided a transition pathway to improve supply side provision.</w:t>
      </w:r>
    </w:p>
    <w:p w:rsidR="006E0E88" w:rsidRPr="00540454" w:rsidRDefault="006E0E88" w:rsidP="009D1601">
      <w:pPr>
        <w:rPr>
          <w:rFonts w:ascii="Arial" w:hAnsi="Arial" w:cs="Arial"/>
        </w:rPr>
      </w:pPr>
    </w:p>
    <w:p w:rsidR="006E0E88" w:rsidRPr="00540454" w:rsidRDefault="00125009" w:rsidP="009D1601">
      <w:pPr>
        <w:rPr>
          <w:rFonts w:ascii="Arial" w:hAnsi="Arial" w:cs="Arial"/>
        </w:rPr>
      </w:pPr>
      <w:r>
        <w:rPr>
          <w:rFonts w:ascii="Arial" w:hAnsi="Arial" w:cs="Arial"/>
        </w:rPr>
        <w:t>The s</w:t>
      </w:r>
      <w:r w:rsidR="006E0E88" w:rsidRPr="00540454">
        <w:rPr>
          <w:rFonts w:ascii="Arial" w:hAnsi="Arial" w:cs="Arial"/>
        </w:rPr>
        <w:t>hort-term recommendations included:</w:t>
      </w:r>
    </w:p>
    <w:p w:rsidR="006E0E88" w:rsidRPr="00540454" w:rsidRDefault="006E0E88" w:rsidP="009D1601">
      <w:pPr>
        <w:rPr>
          <w:rFonts w:ascii="Arial" w:hAnsi="Arial" w:cs="Arial"/>
        </w:rPr>
      </w:pPr>
    </w:p>
    <w:p w:rsidR="00540ABF" w:rsidRDefault="006308E9" w:rsidP="009D1601">
      <w:pPr>
        <w:numPr>
          <w:ilvl w:val="0"/>
          <w:numId w:val="4"/>
        </w:numPr>
        <w:rPr>
          <w:rFonts w:ascii="Arial" w:hAnsi="Arial" w:cs="Arial"/>
        </w:rPr>
      </w:pPr>
      <w:proofErr w:type="gramStart"/>
      <w:r>
        <w:rPr>
          <w:rFonts w:ascii="Arial" w:hAnsi="Arial" w:cs="Arial"/>
        </w:rPr>
        <w:t>d</w:t>
      </w:r>
      <w:r w:rsidR="006E0E88" w:rsidRPr="00540ABF">
        <w:rPr>
          <w:rFonts w:ascii="Arial" w:hAnsi="Arial" w:cs="Arial"/>
        </w:rPr>
        <w:t>efining</w:t>
      </w:r>
      <w:proofErr w:type="gramEnd"/>
      <w:r w:rsidR="006E0E88" w:rsidRPr="00540ABF">
        <w:rPr>
          <w:rFonts w:ascii="Arial" w:hAnsi="Arial" w:cs="Arial"/>
        </w:rPr>
        <w:t xml:space="preserve"> a three-tier road freight network, which would target investment, reporting and funding on the basis of the level of service provided.</w:t>
      </w:r>
    </w:p>
    <w:p w:rsidR="006308E9" w:rsidRDefault="006308E9" w:rsidP="006308E9">
      <w:pPr>
        <w:rPr>
          <w:rFonts w:ascii="Arial" w:hAnsi="Arial" w:cs="Arial"/>
        </w:rPr>
      </w:pPr>
    </w:p>
    <w:p w:rsidR="006308E9" w:rsidRPr="00540ABF" w:rsidRDefault="006308E9" w:rsidP="006308E9">
      <w:pPr>
        <w:rPr>
          <w:rFonts w:ascii="Arial" w:hAnsi="Arial" w:cs="Arial"/>
        </w:rPr>
      </w:pPr>
    </w:p>
    <w:p w:rsidR="00E07B27" w:rsidRPr="00540ABF" w:rsidRDefault="006308E9" w:rsidP="009D1601">
      <w:pPr>
        <w:numPr>
          <w:ilvl w:val="0"/>
          <w:numId w:val="4"/>
        </w:numPr>
        <w:rPr>
          <w:rFonts w:ascii="Arial" w:hAnsi="Arial" w:cs="Arial"/>
        </w:rPr>
      </w:pPr>
      <w:proofErr w:type="gramStart"/>
      <w:r>
        <w:rPr>
          <w:rFonts w:ascii="Arial" w:hAnsi="Arial" w:cs="Arial"/>
        </w:rPr>
        <w:lastRenderedPageBreak/>
        <w:t>r</w:t>
      </w:r>
      <w:r w:rsidR="006E0E88" w:rsidRPr="00540ABF">
        <w:rPr>
          <w:rFonts w:ascii="Arial" w:hAnsi="Arial" w:cs="Arial"/>
        </w:rPr>
        <w:t>eporting</w:t>
      </w:r>
      <w:proofErr w:type="gramEnd"/>
      <w:r w:rsidR="006E0E88" w:rsidRPr="00540ABF">
        <w:rPr>
          <w:rFonts w:ascii="Arial" w:hAnsi="Arial" w:cs="Arial"/>
        </w:rPr>
        <w:t>, benchmarking and reviewing road costs reported by states, territories and local government road owners on each tier of the network. Comparing these costs to established benchmarks and the associated level of access with the investment would improve the account</w:t>
      </w:r>
      <w:r w:rsidR="00540ABF" w:rsidRPr="00540ABF">
        <w:rPr>
          <w:rFonts w:ascii="Arial" w:hAnsi="Arial" w:cs="Arial"/>
        </w:rPr>
        <w:t>ability of road agency spending.</w:t>
      </w:r>
    </w:p>
    <w:p w:rsidR="006E0E88" w:rsidRPr="00540454" w:rsidRDefault="006308E9" w:rsidP="009D1601">
      <w:pPr>
        <w:numPr>
          <w:ilvl w:val="0"/>
          <w:numId w:val="4"/>
        </w:numPr>
        <w:rPr>
          <w:rFonts w:ascii="Arial" w:hAnsi="Arial" w:cs="Arial"/>
        </w:rPr>
      </w:pPr>
      <w:proofErr w:type="gramStart"/>
      <w:r>
        <w:rPr>
          <w:rFonts w:ascii="Arial" w:hAnsi="Arial" w:cs="Arial"/>
        </w:rPr>
        <w:t>a</w:t>
      </w:r>
      <w:proofErr w:type="gramEnd"/>
      <w:r w:rsidR="006E0E88" w:rsidRPr="00540454">
        <w:rPr>
          <w:rFonts w:ascii="Arial" w:hAnsi="Arial" w:cs="Arial"/>
        </w:rPr>
        <w:t xml:space="preserve"> transparent formula for allocating funding to infrastructure suppliers. Allocating recovered funds should reflect the heavy vehicle share of road costs, heavy vehicle use and access upgrades required for the three tiers. Existing and emerging data can support this allocation.  The formula would also include a mechanism to fund low-volume roads through community service obligations.</w:t>
      </w:r>
    </w:p>
    <w:p w:rsidR="006E0E88" w:rsidRPr="00540454" w:rsidRDefault="006E0E88" w:rsidP="009D1601">
      <w:pPr>
        <w:rPr>
          <w:rFonts w:ascii="Arial" w:hAnsi="Arial" w:cs="Arial"/>
        </w:rPr>
      </w:pPr>
    </w:p>
    <w:p w:rsidR="006E0E88" w:rsidRPr="00540454" w:rsidRDefault="006E0E88" w:rsidP="009D1601">
      <w:pPr>
        <w:rPr>
          <w:rFonts w:ascii="Arial" w:hAnsi="Arial" w:cs="Arial"/>
        </w:rPr>
      </w:pPr>
      <w:r w:rsidRPr="00540454">
        <w:rPr>
          <w:rFonts w:ascii="Arial" w:hAnsi="Arial" w:cs="Arial"/>
        </w:rPr>
        <w:t>PwC also provided medium and long-term recommendations that should only be implemented, if and when, the short-term recommendations are delivered and operating:</w:t>
      </w:r>
    </w:p>
    <w:p w:rsidR="006E0E88" w:rsidRPr="00540454" w:rsidRDefault="006E0E88" w:rsidP="009D1601">
      <w:pPr>
        <w:rPr>
          <w:rFonts w:ascii="Arial" w:hAnsi="Arial" w:cs="Arial"/>
        </w:rPr>
      </w:pPr>
    </w:p>
    <w:p w:rsidR="006E0E88" w:rsidRPr="00540454" w:rsidRDefault="006308E9" w:rsidP="009D1601">
      <w:pPr>
        <w:numPr>
          <w:ilvl w:val="0"/>
          <w:numId w:val="5"/>
        </w:numPr>
        <w:rPr>
          <w:rFonts w:ascii="Arial" w:hAnsi="Arial" w:cs="Arial"/>
        </w:rPr>
      </w:pPr>
      <w:proofErr w:type="gramStart"/>
      <w:r>
        <w:rPr>
          <w:rFonts w:ascii="Arial" w:hAnsi="Arial" w:cs="Arial"/>
        </w:rPr>
        <w:t>r</w:t>
      </w:r>
      <w:r w:rsidR="006E0E88" w:rsidRPr="00540454">
        <w:rPr>
          <w:rFonts w:ascii="Arial" w:hAnsi="Arial" w:cs="Arial"/>
        </w:rPr>
        <w:t>eporting</w:t>
      </w:r>
      <w:proofErr w:type="gramEnd"/>
      <w:r w:rsidR="006E0E88" w:rsidRPr="00540454">
        <w:rPr>
          <w:rFonts w:ascii="Arial" w:hAnsi="Arial" w:cs="Arial"/>
        </w:rPr>
        <w:t>, benchmarking and review of efficient costs. Independent benchmarking of efficient road investment and maintenance costs should be tied to funding allocations for road agencies.</w:t>
      </w:r>
    </w:p>
    <w:p w:rsidR="006E0E88" w:rsidRPr="00540454" w:rsidRDefault="006308E9" w:rsidP="009D1601">
      <w:pPr>
        <w:numPr>
          <w:ilvl w:val="0"/>
          <w:numId w:val="5"/>
        </w:numPr>
        <w:rPr>
          <w:rFonts w:ascii="Arial" w:hAnsi="Arial" w:cs="Arial"/>
        </w:rPr>
      </w:pPr>
      <w:proofErr w:type="gramStart"/>
      <w:r>
        <w:rPr>
          <w:rFonts w:ascii="Arial" w:hAnsi="Arial" w:cs="Arial"/>
        </w:rPr>
        <w:t>p</w:t>
      </w:r>
      <w:r w:rsidR="006E0E88" w:rsidRPr="00540454">
        <w:rPr>
          <w:rFonts w:ascii="Arial" w:hAnsi="Arial" w:cs="Arial"/>
        </w:rPr>
        <w:t>otentially</w:t>
      </w:r>
      <w:proofErr w:type="gramEnd"/>
      <w:r w:rsidR="006E0E88" w:rsidRPr="00540454">
        <w:rPr>
          <w:rFonts w:ascii="Arial" w:hAnsi="Arial" w:cs="Arial"/>
        </w:rPr>
        <w:t xml:space="preserve"> establishing a national road fund. This would assess available freight demand data and submissions from government and the freight industry to develop forward looking investment and maintenance plans for each tier of the network.</w:t>
      </w:r>
    </w:p>
    <w:p w:rsidR="006E0E88" w:rsidRPr="00540454" w:rsidRDefault="006308E9" w:rsidP="009D1601">
      <w:pPr>
        <w:numPr>
          <w:ilvl w:val="0"/>
          <w:numId w:val="5"/>
        </w:numPr>
        <w:rPr>
          <w:rFonts w:ascii="Arial" w:hAnsi="Arial" w:cs="Arial"/>
        </w:rPr>
      </w:pPr>
      <w:proofErr w:type="gramStart"/>
      <w:r>
        <w:rPr>
          <w:rFonts w:ascii="Arial" w:hAnsi="Arial" w:cs="Arial"/>
        </w:rPr>
        <w:t>f</w:t>
      </w:r>
      <w:r w:rsidR="006E0E88" w:rsidRPr="00540454">
        <w:rPr>
          <w:rFonts w:ascii="Arial" w:hAnsi="Arial" w:cs="Arial"/>
        </w:rPr>
        <w:t>urther</w:t>
      </w:r>
      <w:proofErr w:type="gramEnd"/>
      <w:r w:rsidR="006E0E88" w:rsidRPr="00540454">
        <w:rPr>
          <w:rFonts w:ascii="Arial" w:hAnsi="Arial" w:cs="Arial"/>
        </w:rPr>
        <w:t xml:space="preserve"> improving the cost reflectivity of road charges in the medium term, a majority fuel based charge should be adopted, reducing the role of registration charges.</w:t>
      </w:r>
    </w:p>
    <w:p w:rsidR="006E0E88" w:rsidRPr="00540454" w:rsidRDefault="006308E9" w:rsidP="009D1601">
      <w:pPr>
        <w:numPr>
          <w:ilvl w:val="0"/>
          <w:numId w:val="5"/>
        </w:numPr>
        <w:rPr>
          <w:rFonts w:ascii="Arial" w:hAnsi="Arial" w:cs="Arial"/>
        </w:rPr>
      </w:pPr>
      <w:proofErr w:type="gramStart"/>
      <w:r>
        <w:rPr>
          <w:rFonts w:ascii="Arial" w:hAnsi="Arial" w:cs="Arial"/>
        </w:rPr>
        <w:t>c</w:t>
      </w:r>
      <w:r w:rsidR="006E0E88" w:rsidRPr="00540454">
        <w:rPr>
          <w:rFonts w:ascii="Arial" w:hAnsi="Arial" w:cs="Arial"/>
        </w:rPr>
        <w:t>ontinuing</w:t>
      </w:r>
      <w:proofErr w:type="gramEnd"/>
      <w:r w:rsidR="006E0E88" w:rsidRPr="00540454">
        <w:rPr>
          <w:rFonts w:ascii="Arial" w:hAnsi="Arial" w:cs="Arial"/>
        </w:rPr>
        <w:t xml:space="preserve"> with a fuel and registration-based charge until a strong business case for variable charging emerges. A move to variable charging will be costly and carries high risks of inefficiency in revenue collection.</w:t>
      </w:r>
    </w:p>
    <w:p w:rsidR="006E0E88" w:rsidRPr="00540454" w:rsidRDefault="006E0E88" w:rsidP="009D1601">
      <w:pPr>
        <w:rPr>
          <w:rFonts w:ascii="Arial" w:hAnsi="Arial" w:cs="Arial"/>
        </w:rPr>
      </w:pPr>
    </w:p>
    <w:p w:rsidR="005A49DD" w:rsidRDefault="006E0E88" w:rsidP="009D1601">
      <w:pPr>
        <w:rPr>
          <w:rFonts w:ascii="Arial" w:eastAsiaTheme="minorHAnsi" w:hAnsi="Arial" w:cs="Arial"/>
        </w:rPr>
      </w:pPr>
      <w:r w:rsidRPr="00540454">
        <w:rPr>
          <w:rFonts w:ascii="Arial" w:hAnsi="Arial" w:cs="Arial"/>
        </w:rPr>
        <w:t>PwC recommend</w:t>
      </w:r>
      <w:r w:rsidR="00CE6BF8" w:rsidRPr="00540454">
        <w:rPr>
          <w:rFonts w:ascii="Arial" w:hAnsi="Arial" w:cs="Arial"/>
        </w:rPr>
        <w:t>ed</w:t>
      </w:r>
      <w:r w:rsidRPr="00540454">
        <w:rPr>
          <w:rFonts w:ascii="Arial" w:hAnsi="Arial" w:cs="Arial"/>
        </w:rPr>
        <w:t xml:space="preserve"> variable charging be implemented only if government</w:t>
      </w:r>
      <w:r w:rsidR="00540ABF">
        <w:rPr>
          <w:rFonts w:ascii="Arial" w:hAnsi="Arial" w:cs="Arial"/>
        </w:rPr>
        <w:t>s</w:t>
      </w:r>
      <w:r w:rsidRPr="00540454">
        <w:rPr>
          <w:rFonts w:ascii="Arial" w:hAnsi="Arial" w:cs="Arial"/>
        </w:rPr>
        <w:t xml:space="preserve"> can demonstrate the detailed data collected through variable charging can, and will, be used to improve road investment decision-making, in such a way that the added cost, time and complexity of the new process is warranted.</w:t>
      </w:r>
      <w:r w:rsidR="005A49DD" w:rsidRPr="005A49DD">
        <w:rPr>
          <w:rFonts w:ascii="Arial" w:eastAsiaTheme="minorHAnsi" w:hAnsi="Arial" w:cs="Arial"/>
        </w:rPr>
        <w:t xml:space="preserve"> </w:t>
      </w:r>
    </w:p>
    <w:p w:rsidR="005A49DD" w:rsidRDefault="005A49DD" w:rsidP="009D1601">
      <w:pPr>
        <w:rPr>
          <w:rFonts w:ascii="Arial" w:eastAsiaTheme="minorHAnsi" w:hAnsi="Arial" w:cs="Arial"/>
        </w:rPr>
      </w:pPr>
    </w:p>
    <w:p w:rsidR="005A49DD" w:rsidRDefault="005A49DD" w:rsidP="009D1601">
      <w:pPr>
        <w:rPr>
          <w:rFonts w:ascii="Arial" w:eastAsiaTheme="minorHAnsi" w:hAnsi="Arial" w:cs="Arial"/>
        </w:rPr>
      </w:pPr>
      <w:r>
        <w:rPr>
          <w:rFonts w:ascii="Arial" w:eastAsiaTheme="minorHAnsi" w:hAnsi="Arial" w:cs="Arial"/>
        </w:rPr>
        <w:t xml:space="preserve">The Governments approach to user charges was clarified in </w:t>
      </w:r>
      <w:r w:rsidR="006308E9">
        <w:rPr>
          <w:rFonts w:ascii="Arial" w:eastAsiaTheme="minorHAnsi" w:hAnsi="Arial" w:cs="Arial"/>
        </w:rPr>
        <w:t>its</w:t>
      </w:r>
      <w:r>
        <w:rPr>
          <w:rFonts w:ascii="Arial" w:eastAsiaTheme="minorHAnsi" w:hAnsi="Arial" w:cs="Arial"/>
        </w:rPr>
        <w:t xml:space="preserve"> response to the Productivity Commission inquiry into Public Infrastructure. The Australian government stated</w:t>
      </w:r>
      <w:r w:rsidRPr="005A49DD">
        <w:rPr>
          <w:rFonts w:ascii="Arial" w:eastAsiaTheme="minorHAnsi" w:hAnsi="Arial" w:cs="Arial"/>
        </w:rPr>
        <w:t xml:space="preserve"> there are sound economic arguments for user charging on certain key freight and transport corridors that are under significant pressure. Opportunities to test the practical application of road funds could be implemented as pilot schemes, such as building on the regional based roads and transport alliance model currently in place in </w:t>
      </w:r>
      <w:r w:rsidR="00DA068C" w:rsidRPr="005A49DD">
        <w:rPr>
          <w:rFonts w:ascii="Arial" w:eastAsiaTheme="minorHAnsi" w:hAnsi="Arial" w:cs="Arial"/>
        </w:rPr>
        <w:t>Q</w:t>
      </w:r>
      <w:r w:rsidR="00DA068C">
        <w:rPr>
          <w:rFonts w:ascii="Arial" w:eastAsiaTheme="minorHAnsi" w:hAnsi="Arial" w:cs="Arial"/>
        </w:rPr>
        <w:t>ueensland</w:t>
      </w:r>
      <w:r w:rsidR="00DA068C">
        <w:rPr>
          <w:rStyle w:val="FootnoteReference"/>
          <w:rFonts w:ascii="Arial" w:eastAsiaTheme="minorHAnsi" w:hAnsi="Arial"/>
        </w:rPr>
        <w:footnoteReference w:id="7"/>
      </w:r>
      <w:r w:rsidR="00DA068C">
        <w:rPr>
          <w:rFonts w:ascii="Arial" w:eastAsiaTheme="minorHAnsi" w:hAnsi="Arial" w:cs="Arial"/>
        </w:rPr>
        <w:t xml:space="preserve">. </w:t>
      </w:r>
    </w:p>
    <w:p w:rsidR="005A49DD" w:rsidRDefault="005A49DD" w:rsidP="009D1601">
      <w:pPr>
        <w:rPr>
          <w:rFonts w:ascii="Arial" w:eastAsiaTheme="minorHAnsi" w:hAnsi="Arial" w:cs="Arial"/>
        </w:rPr>
      </w:pPr>
    </w:p>
    <w:p w:rsidR="005A49DD" w:rsidRPr="005A49DD" w:rsidRDefault="005A49DD" w:rsidP="009D1601">
      <w:pPr>
        <w:rPr>
          <w:rFonts w:ascii="Arial" w:eastAsiaTheme="minorHAnsi" w:hAnsi="Arial" w:cs="Arial"/>
        </w:rPr>
      </w:pPr>
      <w:r w:rsidRPr="005A49DD">
        <w:rPr>
          <w:rFonts w:ascii="Arial" w:eastAsiaTheme="minorHAnsi" w:hAnsi="Arial" w:cs="Arial"/>
        </w:rPr>
        <w:t>However,</w:t>
      </w:r>
      <w:r>
        <w:rPr>
          <w:rFonts w:ascii="Arial" w:eastAsiaTheme="minorHAnsi" w:hAnsi="Arial" w:cs="Arial"/>
        </w:rPr>
        <w:t xml:space="preserve"> the Government acknowledg</w:t>
      </w:r>
      <w:r w:rsidR="00DA068C">
        <w:rPr>
          <w:rFonts w:ascii="Arial" w:eastAsiaTheme="minorHAnsi" w:hAnsi="Arial" w:cs="Arial"/>
        </w:rPr>
        <w:t>e</w:t>
      </w:r>
      <w:r w:rsidRPr="005A49DD">
        <w:rPr>
          <w:rFonts w:ascii="Arial" w:eastAsiaTheme="minorHAnsi" w:hAnsi="Arial" w:cs="Arial"/>
        </w:rPr>
        <w:t xml:space="preserve"> there are many complex issues that need to be worked through before user charging could be rolled out on the scale proposed by the Productivity Commission. There is a need to consider equity, the technology and privacy implication of options like vehicle telematics and the availability of alternatives.</w:t>
      </w:r>
      <w:r w:rsidR="00DA068C">
        <w:rPr>
          <w:rStyle w:val="FootnoteReference"/>
          <w:rFonts w:ascii="Arial" w:eastAsiaTheme="minorHAnsi" w:hAnsi="Arial"/>
        </w:rPr>
        <w:footnoteReference w:id="8"/>
      </w:r>
    </w:p>
    <w:p w:rsidR="006E0E88" w:rsidRPr="005A49DD" w:rsidRDefault="005A49DD" w:rsidP="009D1601">
      <w:pPr>
        <w:rPr>
          <w:rFonts w:ascii="Arial" w:eastAsiaTheme="minorHAnsi" w:hAnsi="Arial" w:cs="Arial"/>
        </w:rPr>
      </w:pPr>
      <w:r>
        <w:rPr>
          <w:rFonts w:ascii="Arial" w:eastAsiaTheme="minorHAnsi" w:hAnsi="Arial" w:cs="Arial"/>
        </w:rPr>
        <w:t xml:space="preserve"> </w:t>
      </w:r>
    </w:p>
    <w:p w:rsidR="00E73E8E" w:rsidRDefault="006E0E88" w:rsidP="009D1601">
      <w:pPr>
        <w:rPr>
          <w:rFonts w:ascii="Arial" w:eastAsiaTheme="minorHAnsi" w:hAnsi="Arial" w:cs="Arial"/>
        </w:rPr>
      </w:pPr>
      <w:r w:rsidRPr="00540454">
        <w:rPr>
          <w:rFonts w:ascii="Arial" w:eastAsiaTheme="minorHAnsi" w:hAnsi="Arial" w:cs="Arial"/>
        </w:rPr>
        <w:t>The ATA supports the short-term PwC recommendations and once the short-term recommendations are established it will consider the medium to long-term recommendations.</w:t>
      </w:r>
    </w:p>
    <w:p w:rsidR="006E0E88" w:rsidRPr="00540454" w:rsidRDefault="006E0E88" w:rsidP="009D1601">
      <w:pPr>
        <w:rPr>
          <w:rFonts w:ascii="Arial" w:eastAsiaTheme="minorHAnsi" w:hAnsi="Arial" w:cs="Arial"/>
          <w:b/>
        </w:rPr>
      </w:pPr>
    </w:p>
    <w:p w:rsidR="005F01B0" w:rsidRPr="00540454" w:rsidRDefault="005F01B0" w:rsidP="009D1601">
      <w:pPr>
        <w:rPr>
          <w:rFonts w:ascii="Arial" w:eastAsiaTheme="minorHAnsi" w:hAnsi="Arial" w:cs="Arial"/>
          <w:b/>
        </w:rPr>
      </w:pPr>
      <w:r w:rsidRPr="00540454">
        <w:rPr>
          <w:rFonts w:ascii="Arial" w:eastAsiaTheme="minorHAnsi" w:hAnsi="Arial" w:cs="Arial"/>
          <w:b/>
        </w:rPr>
        <w:t>Recommendation 3</w:t>
      </w:r>
    </w:p>
    <w:p w:rsidR="005F01B0" w:rsidRPr="00540454" w:rsidRDefault="005F01B0" w:rsidP="009D1601">
      <w:pPr>
        <w:rPr>
          <w:rFonts w:ascii="Arial" w:eastAsiaTheme="minorHAnsi" w:hAnsi="Arial" w:cs="Arial"/>
          <w:b/>
        </w:rPr>
      </w:pPr>
    </w:p>
    <w:p w:rsidR="005F01B0" w:rsidRDefault="005F01B0" w:rsidP="009D1601">
      <w:pPr>
        <w:rPr>
          <w:rFonts w:ascii="Arial" w:eastAsiaTheme="minorHAnsi" w:hAnsi="Arial" w:cs="Arial"/>
        </w:rPr>
      </w:pPr>
      <w:r w:rsidRPr="00540454">
        <w:rPr>
          <w:rFonts w:ascii="Arial" w:eastAsiaTheme="minorHAnsi" w:hAnsi="Arial" w:cs="Arial"/>
        </w:rPr>
        <w:t>The Government should implement the short term recommendations provided by PricewaterhouseCoopers to improve the performance and productivity of road agencie</w:t>
      </w:r>
      <w:r w:rsidR="00913890" w:rsidRPr="00540454">
        <w:rPr>
          <w:rFonts w:ascii="Arial" w:eastAsiaTheme="minorHAnsi" w:hAnsi="Arial" w:cs="Arial"/>
        </w:rPr>
        <w:t>s and subsequently road users.</w:t>
      </w:r>
    </w:p>
    <w:p w:rsidR="00540454" w:rsidRDefault="00540454" w:rsidP="009D1601">
      <w:pPr>
        <w:rPr>
          <w:rFonts w:ascii="Arial" w:eastAsiaTheme="minorHAnsi" w:hAnsi="Arial" w:cs="Arial"/>
        </w:rPr>
      </w:pPr>
    </w:p>
    <w:p w:rsidR="00700742" w:rsidRDefault="00700742" w:rsidP="009D1601">
      <w:pPr>
        <w:rPr>
          <w:rFonts w:ascii="Arial" w:eastAsiaTheme="minorHAnsi" w:hAnsi="Arial" w:cs="Arial"/>
        </w:rPr>
      </w:pPr>
    </w:p>
    <w:p w:rsidR="006E0E88" w:rsidRPr="00540454" w:rsidRDefault="00540454" w:rsidP="009D1601">
      <w:pPr>
        <w:pStyle w:val="Heading1"/>
        <w:numPr>
          <w:ilvl w:val="0"/>
          <w:numId w:val="0"/>
        </w:numPr>
        <w:rPr>
          <w:sz w:val="24"/>
          <w:szCs w:val="22"/>
        </w:rPr>
      </w:pPr>
      <w:bookmarkStart w:id="16" w:name="_Toc409787947"/>
      <w:bookmarkStart w:id="17" w:name="_Toc410200550"/>
      <w:r w:rsidRPr="00540454">
        <w:rPr>
          <w:sz w:val="24"/>
          <w:szCs w:val="22"/>
        </w:rPr>
        <w:lastRenderedPageBreak/>
        <w:t xml:space="preserve">4.4 </w:t>
      </w:r>
      <w:r w:rsidR="00E73E8E">
        <w:rPr>
          <w:sz w:val="24"/>
          <w:szCs w:val="22"/>
        </w:rPr>
        <w:t>I</w:t>
      </w:r>
      <w:r w:rsidR="00CE6BF8" w:rsidRPr="00540454">
        <w:rPr>
          <w:sz w:val="24"/>
          <w:szCs w:val="22"/>
        </w:rPr>
        <w:t xml:space="preserve">mplement </w:t>
      </w:r>
      <w:r w:rsidR="00E73E8E">
        <w:rPr>
          <w:sz w:val="24"/>
          <w:szCs w:val="22"/>
        </w:rPr>
        <w:t>select</w:t>
      </w:r>
      <w:r w:rsidR="00125009">
        <w:rPr>
          <w:sz w:val="24"/>
          <w:szCs w:val="22"/>
        </w:rPr>
        <w:t>ed</w:t>
      </w:r>
      <w:r w:rsidR="00CE6BF8" w:rsidRPr="00540454">
        <w:rPr>
          <w:sz w:val="24"/>
          <w:szCs w:val="22"/>
        </w:rPr>
        <w:t xml:space="preserve"> Productivity Commission recommendations from the Public Infrastructure Inquiry.</w:t>
      </w:r>
      <w:bookmarkEnd w:id="16"/>
      <w:bookmarkEnd w:id="17"/>
    </w:p>
    <w:p w:rsidR="00CE6BF8" w:rsidRPr="00540454" w:rsidRDefault="00CE6BF8" w:rsidP="009D1601">
      <w:pPr>
        <w:rPr>
          <w:rFonts w:ascii="Arial" w:eastAsiaTheme="minorHAnsi" w:hAnsi="Arial" w:cs="Arial"/>
          <w:b/>
        </w:rPr>
      </w:pPr>
    </w:p>
    <w:p w:rsidR="005F01B0" w:rsidRDefault="005F01B0" w:rsidP="009D1601">
      <w:pPr>
        <w:rPr>
          <w:rFonts w:ascii="Arial" w:eastAsiaTheme="minorHAnsi" w:hAnsi="Arial" w:cs="Arial"/>
        </w:rPr>
      </w:pPr>
      <w:r w:rsidRPr="00540454">
        <w:rPr>
          <w:rFonts w:ascii="Arial" w:eastAsiaTheme="minorHAnsi" w:hAnsi="Arial" w:cs="Arial"/>
        </w:rPr>
        <w:t>The ATA contributed to the Productivity Commission inquiry into Public Infrastructure and s</w:t>
      </w:r>
      <w:r w:rsidR="00E86E35" w:rsidRPr="00540454">
        <w:rPr>
          <w:rFonts w:ascii="Arial" w:eastAsiaTheme="minorHAnsi" w:hAnsi="Arial" w:cs="Arial"/>
        </w:rPr>
        <w:t xml:space="preserve">upported a number of </w:t>
      </w:r>
      <w:r w:rsidR="006308E9" w:rsidRPr="00540454">
        <w:rPr>
          <w:rFonts w:ascii="Arial" w:eastAsiaTheme="minorHAnsi" w:hAnsi="Arial" w:cs="Arial"/>
        </w:rPr>
        <w:t>Commission’s</w:t>
      </w:r>
      <w:r w:rsidR="00E86E35" w:rsidRPr="00540454">
        <w:rPr>
          <w:rFonts w:ascii="Arial" w:eastAsiaTheme="minorHAnsi" w:hAnsi="Arial" w:cs="Arial"/>
        </w:rPr>
        <w:t xml:space="preserve"> recommendations in regards to road supply and user charges</w:t>
      </w:r>
      <w:r w:rsidR="006308E9">
        <w:rPr>
          <w:rFonts w:ascii="Arial" w:eastAsiaTheme="minorHAnsi" w:hAnsi="Arial" w:cs="Arial"/>
        </w:rPr>
        <w:t xml:space="preserve"> reforms</w:t>
      </w:r>
      <w:r w:rsidR="00E86E35" w:rsidRPr="00540454">
        <w:rPr>
          <w:rFonts w:ascii="Arial" w:eastAsiaTheme="minorHAnsi" w:hAnsi="Arial" w:cs="Arial"/>
        </w:rPr>
        <w:t>.</w:t>
      </w:r>
      <w:r w:rsidR="00D30A63">
        <w:rPr>
          <w:rFonts w:ascii="Arial" w:eastAsiaTheme="minorHAnsi" w:hAnsi="Arial" w:cs="Arial"/>
        </w:rPr>
        <w:t xml:space="preserve"> The Government response to the Productivity Commission supported a number of the Commission’s recommendations to improve road provision. </w:t>
      </w:r>
    </w:p>
    <w:p w:rsidR="005F01B0" w:rsidRPr="00540454" w:rsidRDefault="005F01B0" w:rsidP="009D1601">
      <w:pPr>
        <w:rPr>
          <w:rFonts w:ascii="Arial" w:eastAsiaTheme="minorHAnsi" w:hAnsi="Arial" w:cs="Arial"/>
          <w:b/>
        </w:rPr>
      </w:pPr>
    </w:p>
    <w:p w:rsidR="00CE6BF8" w:rsidRPr="00540454" w:rsidRDefault="00CE6BF8" w:rsidP="009D1601">
      <w:pPr>
        <w:rPr>
          <w:rFonts w:ascii="Arial" w:eastAsiaTheme="minorHAnsi" w:hAnsi="Arial" w:cs="Arial"/>
          <w:b/>
        </w:rPr>
      </w:pPr>
      <w:r w:rsidRPr="00540454">
        <w:rPr>
          <w:rFonts w:ascii="Arial" w:eastAsiaTheme="minorHAnsi" w:hAnsi="Arial" w:cs="Arial"/>
          <w:b/>
        </w:rPr>
        <w:t>Conditional funding for states</w:t>
      </w:r>
    </w:p>
    <w:p w:rsidR="00CE6BF8" w:rsidRPr="00540454" w:rsidRDefault="00CE6BF8" w:rsidP="009D1601">
      <w:pPr>
        <w:rPr>
          <w:rFonts w:ascii="Arial" w:eastAsiaTheme="minorHAnsi" w:hAnsi="Arial" w:cs="Arial"/>
          <w:b/>
        </w:rPr>
      </w:pPr>
    </w:p>
    <w:p w:rsidR="005B34B7" w:rsidRPr="00540454" w:rsidRDefault="00CE6BF8" w:rsidP="009D1601">
      <w:pPr>
        <w:rPr>
          <w:rFonts w:ascii="Arial" w:eastAsiaTheme="minorHAnsi" w:hAnsi="Arial" w:cs="Arial"/>
          <w:bCs/>
        </w:rPr>
      </w:pPr>
      <w:r w:rsidRPr="00540454">
        <w:rPr>
          <w:rFonts w:ascii="Arial" w:eastAsiaTheme="minorHAnsi" w:hAnsi="Arial" w:cs="Arial"/>
        </w:rPr>
        <w:t>The ATA supports the Productivity Commission recommendation</w:t>
      </w:r>
      <w:r w:rsidR="00411625" w:rsidRPr="00540454">
        <w:rPr>
          <w:rFonts w:ascii="Arial" w:hAnsi="Arial" w:cs="Arial"/>
          <w:b/>
        </w:rPr>
        <w:t xml:space="preserve"> </w:t>
      </w:r>
      <w:r w:rsidR="00411625" w:rsidRPr="00540454">
        <w:rPr>
          <w:rFonts w:ascii="Arial" w:eastAsiaTheme="minorHAnsi" w:hAnsi="Arial" w:cs="Arial"/>
          <w:bCs/>
        </w:rPr>
        <w:t>that Australian Government funding or other forms of assistance (such as loans and government guarantees) for public infrastructure that is provided to local, sta</w:t>
      </w:r>
      <w:r w:rsidR="00540ABF">
        <w:rPr>
          <w:rFonts w:ascii="Arial" w:eastAsiaTheme="minorHAnsi" w:hAnsi="Arial" w:cs="Arial"/>
          <w:bCs/>
        </w:rPr>
        <w:t>te and territory g</w:t>
      </w:r>
      <w:r w:rsidR="00411625" w:rsidRPr="00540454">
        <w:rPr>
          <w:rFonts w:ascii="Arial" w:eastAsiaTheme="minorHAnsi" w:hAnsi="Arial" w:cs="Arial"/>
          <w:bCs/>
        </w:rPr>
        <w:t>overnments should be conditional.</w:t>
      </w:r>
      <w:r w:rsidR="005B34B7" w:rsidRPr="00540454">
        <w:rPr>
          <w:rFonts w:ascii="Arial" w:eastAsiaTheme="minorHAnsi" w:hAnsi="Arial" w:cs="Arial"/>
          <w:bCs/>
        </w:rPr>
        <w:t xml:space="preserve"> </w:t>
      </w:r>
      <w:r w:rsidR="00CB38F2" w:rsidRPr="00540454">
        <w:rPr>
          <w:rFonts w:ascii="Arial" w:eastAsiaTheme="minorHAnsi" w:hAnsi="Arial" w:cs="Arial"/>
          <w:bCs/>
        </w:rPr>
        <w:t>Grants</w:t>
      </w:r>
      <w:r w:rsidR="005B34B7" w:rsidRPr="00540454">
        <w:rPr>
          <w:rFonts w:ascii="Arial" w:eastAsiaTheme="minorHAnsi" w:hAnsi="Arial" w:cs="Arial"/>
          <w:bCs/>
        </w:rPr>
        <w:t xml:space="preserve"> currently given by the Commonwealth to states and local governments are not made on a conditional basis. This means that there are loose guidelines governing where monies originally earmarked for roads are spent.</w:t>
      </w:r>
    </w:p>
    <w:p w:rsidR="00CB38F2" w:rsidRPr="00540454" w:rsidRDefault="00CB38F2" w:rsidP="009D1601">
      <w:pPr>
        <w:rPr>
          <w:rFonts w:ascii="Arial" w:eastAsiaTheme="minorHAnsi" w:hAnsi="Arial" w:cs="Arial"/>
          <w:bCs/>
        </w:rPr>
      </w:pPr>
    </w:p>
    <w:p w:rsidR="00CB38F2" w:rsidRPr="00540454" w:rsidRDefault="00913890" w:rsidP="009D1601">
      <w:pPr>
        <w:rPr>
          <w:rFonts w:ascii="Arial" w:eastAsiaTheme="minorHAnsi" w:hAnsi="Arial" w:cs="Arial"/>
          <w:bCs/>
        </w:rPr>
      </w:pPr>
      <w:r w:rsidRPr="00540454">
        <w:rPr>
          <w:rFonts w:ascii="Arial" w:eastAsiaTheme="minorHAnsi" w:hAnsi="Arial" w:cs="Arial"/>
          <w:bCs/>
        </w:rPr>
        <w:t>The Commission suggested</w:t>
      </w:r>
      <w:r w:rsidR="00CB38F2" w:rsidRPr="00540454">
        <w:rPr>
          <w:rFonts w:ascii="Arial" w:eastAsiaTheme="minorHAnsi" w:hAnsi="Arial" w:cs="Arial"/>
          <w:bCs/>
        </w:rPr>
        <w:t xml:space="preserve"> a sensible set of conditions for funding:</w:t>
      </w:r>
    </w:p>
    <w:p w:rsidR="00CB38F2" w:rsidRPr="00540454" w:rsidRDefault="006308E9" w:rsidP="009D1601">
      <w:pPr>
        <w:numPr>
          <w:ilvl w:val="0"/>
          <w:numId w:val="7"/>
        </w:numPr>
        <w:rPr>
          <w:rFonts w:ascii="Arial" w:eastAsiaTheme="minorHAnsi" w:hAnsi="Arial" w:cs="Arial"/>
          <w:bCs/>
        </w:rPr>
      </w:pPr>
      <w:proofErr w:type="gramStart"/>
      <w:r>
        <w:rPr>
          <w:rFonts w:ascii="Arial" w:eastAsiaTheme="minorHAnsi" w:hAnsi="Arial" w:cs="Arial"/>
          <w:bCs/>
        </w:rPr>
        <w:t>u</w:t>
      </w:r>
      <w:r w:rsidR="00CB38F2" w:rsidRPr="00540454">
        <w:rPr>
          <w:rFonts w:ascii="Arial" w:eastAsiaTheme="minorHAnsi" w:hAnsi="Arial" w:cs="Arial"/>
          <w:bCs/>
        </w:rPr>
        <w:t>se</w:t>
      </w:r>
      <w:proofErr w:type="gramEnd"/>
      <w:r w:rsidR="00CB38F2" w:rsidRPr="00540454">
        <w:rPr>
          <w:rFonts w:ascii="Arial" w:eastAsiaTheme="minorHAnsi" w:hAnsi="Arial" w:cs="Arial"/>
          <w:bCs/>
        </w:rPr>
        <w:t xml:space="preserve"> of effective cost benefit analysis and transparency assessments including the methodology and assumptions.</w:t>
      </w:r>
    </w:p>
    <w:p w:rsidR="00CB38F2" w:rsidRPr="00540454" w:rsidRDefault="006308E9" w:rsidP="009D1601">
      <w:pPr>
        <w:numPr>
          <w:ilvl w:val="0"/>
          <w:numId w:val="8"/>
        </w:numPr>
        <w:rPr>
          <w:rFonts w:ascii="Arial" w:eastAsiaTheme="minorHAnsi" w:hAnsi="Arial" w:cs="Arial"/>
          <w:bCs/>
        </w:rPr>
      </w:pPr>
      <w:proofErr w:type="gramStart"/>
      <w:r>
        <w:rPr>
          <w:rFonts w:ascii="Arial" w:eastAsiaTheme="minorHAnsi" w:hAnsi="Arial" w:cs="Arial"/>
          <w:bCs/>
        </w:rPr>
        <w:t>e</w:t>
      </w:r>
      <w:r w:rsidR="00CB38F2" w:rsidRPr="00540454">
        <w:rPr>
          <w:rFonts w:ascii="Arial" w:eastAsiaTheme="minorHAnsi" w:hAnsi="Arial" w:cs="Arial"/>
          <w:bCs/>
        </w:rPr>
        <w:t>vidence</w:t>
      </w:r>
      <w:proofErr w:type="gramEnd"/>
      <w:r w:rsidR="00CB38F2" w:rsidRPr="00540454">
        <w:rPr>
          <w:rFonts w:ascii="Arial" w:eastAsiaTheme="minorHAnsi" w:hAnsi="Arial" w:cs="Arial"/>
          <w:bCs/>
        </w:rPr>
        <w:t xml:space="preserve"> of demonstrable net public benefits from the project which is not obtainable without Australian Government support.</w:t>
      </w:r>
    </w:p>
    <w:p w:rsidR="00CB38F2" w:rsidRPr="00540454" w:rsidRDefault="006308E9" w:rsidP="009D1601">
      <w:pPr>
        <w:numPr>
          <w:ilvl w:val="0"/>
          <w:numId w:val="8"/>
        </w:numPr>
        <w:rPr>
          <w:rFonts w:ascii="Arial" w:eastAsiaTheme="minorHAnsi" w:hAnsi="Arial" w:cs="Arial"/>
          <w:bCs/>
        </w:rPr>
      </w:pPr>
      <w:proofErr w:type="gramStart"/>
      <w:r>
        <w:rPr>
          <w:rFonts w:ascii="Arial" w:eastAsiaTheme="minorHAnsi" w:hAnsi="Arial" w:cs="Arial"/>
          <w:bCs/>
        </w:rPr>
        <w:t>e</w:t>
      </w:r>
      <w:r w:rsidR="00CB38F2" w:rsidRPr="00540454">
        <w:rPr>
          <w:rFonts w:ascii="Arial" w:eastAsiaTheme="minorHAnsi" w:hAnsi="Arial" w:cs="Arial"/>
          <w:bCs/>
        </w:rPr>
        <w:t>vidence</w:t>
      </w:r>
      <w:proofErr w:type="gramEnd"/>
      <w:r w:rsidR="00CB38F2" w:rsidRPr="00540454">
        <w:rPr>
          <w:rFonts w:ascii="Arial" w:eastAsiaTheme="minorHAnsi" w:hAnsi="Arial" w:cs="Arial"/>
          <w:bCs/>
        </w:rPr>
        <w:t xml:space="preserve"> that competitive processes will be used for the selection of financing, design, construction, maintenance and operation of public infrastructure services where these tasks have been outsourced to the private sector.</w:t>
      </w:r>
    </w:p>
    <w:p w:rsidR="00CB38F2" w:rsidRPr="00540454" w:rsidRDefault="006308E9" w:rsidP="009D1601">
      <w:pPr>
        <w:numPr>
          <w:ilvl w:val="0"/>
          <w:numId w:val="8"/>
        </w:numPr>
        <w:rPr>
          <w:rFonts w:ascii="Arial" w:eastAsiaTheme="minorHAnsi" w:hAnsi="Arial" w:cs="Arial"/>
          <w:bCs/>
        </w:rPr>
      </w:pPr>
      <w:proofErr w:type="gramStart"/>
      <w:r>
        <w:rPr>
          <w:rFonts w:ascii="Arial" w:eastAsiaTheme="minorHAnsi" w:hAnsi="Arial" w:cs="Arial"/>
          <w:bCs/>
        </w:rPr>
        <w:t>e</w:t>
      </w:r>
      <w:r w:rsidR="00CB38F2" w:rsidRPr="00540454">
        <w:rPr>
          <w:rFonts w:ascii="Arial" w:eastAsiaTheme="minorHAnsi" w:hAnsi="Arial" w:cs="Arial"/>
          <w:bCs/>
        </w:rPr>
        <w:t>x-post</w:t>
      </w:r>
      <w:proofErr w:type="gramEnd"/>
      <w:r w:rsidR="00CB38F2" w:rsidRPr="00540454">
        <w:rPr>
          <w:rFonts w:ascii="Arial" w:eastAsiaTheme="minorHAnsi" w:hAnsi="Arial" w:cs="Arial"/>
          <w:bCs/>
        </w:rPr>
        <w:t xml:space="preserve"> evaluation and publication of public infrastructure project outcomes.</w:t>
      </w:r>
    </w:p>
    <w:p w:rsidR="00CB38F2" w:rsidRPr="00540454" w:rsidRDefault="006308E9" w:rsidP="009D1601">
      <w:pPr>
        <w:numPr>
          <w:ilvl w:val="0"/>
          <w:numId w:val="8"/>
        </w:numPr>
        <w:rPr>
          <w:rFonts w:ascii="Arial" w:eastAsiaTheme="minorHAnsi" w:hAnsi="Arial" w:cs="Arial"/>
          <w:bCs/>
        </w:rPr>
      </w:pPr>
      <w:proofErr w:type="gramStart"/>
      <w:r>
        <w:rPr>
          <w:rFonts w:ascii="Arial" w:eastAsiaTheme="minorHAnsi" w:hAnsi="Arial" w:cs="Arial"/>
          <w:bCs/>
        </w:rPr>
        <w:t>c</w:t>
      </w:r>
      <w:r w:rsidR="00CB38F2" w:rsidRPr="00540454">
        <w:rPr>
          <w:rFonts w:ascii="Arial" w:eastAsiaTheme="minorHAnsi" w:hAnsi="Arial" w:cs="Arial"/>
          <w:bCs/>
        </w:rPr>
        <w:t>onsultation</w:t>
      </w:r>
      <w:proofErr w:type="gramEnd"/>
      <w:r w:rsidR="00CB38F2" w:rsidRPr="00540454">
        <w:rPr>
          <w:rFonts w:ascii="Arial" w:eastAsiaTheme="minorHAnsi" w:hAnsi="Arial" w:cs="Arial"/>
          <w:bCs/>
        </w:rPr>
        <w:t xml:space="preserve"> on the criteria to be applied and any potential implementation issues associated with such an approach should be undertaken with local, state and territory governments.</w:t>
      </w:r>
    </w:p>
    <w:p w:rsidR="00CB38F2" w:rsidRPr="00540454" w:rsidRDefault="006308E9" w:rsidP="009D1601">
      <w:pPr>
        <w:numPr>
          <w:ilvl w:val="0"/>
          <w:numId w:val="8"/>
        </w:numPr>
        <w:rPr>
          <w:rFonts w:ascii="Arial" w:eastAsiaTheme="minorHAnsi" w:hAnsi="Arial" w:cs="Arial"/>
          <w:bCs/>
        </w:rPr>
      </w:pPr>
      <w:proofErr w:type="gramStart"/>
      <w:r>
        <w:rPr>
          <w:rFonts w:ascii="Arial" w:eastAsiaTheme="minorHAnsi" w:hAnsi="Arial" w:cs="Arial"/>
          <w:bCs/>
        </w:rPr>
        <w:t>a</w:t>
      </w:r>
      <w:r w:rsidR="00CB38F2" w:rsidRPr="00540454">
        <w:rPr>
          <w:rFonts w:ascii="Arial" w:eastAsiaTheme="minorHAnsi" w:hAnsi="Arial" w:cs="Arial"/>
          <w:bCs/>
        </w:rPr>
        <w:t>ll</w:t>
      </w:r>
      <w:proofErr w:type="gramEnd"/>
      <w:r w:rsidR="00CB38F2" w:rsidRPr="00540454">
        <w:rPr>
          <w:rFonts w:ascii="Arial" w:eastAsiaTheme="minorHAnsi" w:hAnsi="Arial" w:cs="Arial"/>
          <w:bCs/>
        </w:rPr>
        <w:t xml:space="preserve"> governments should be encouraged to apply the above principles and action</w:t>
      </w:r>
      <w:r>
        <w:rPr>
          <w:rFonts w:ascii="Arial" w:eastAsiaTheme="minorHAnsi" w:hAnsi="Arial" w:cs="Arial"/>
          <w:bCs/>
        </w:rPr>
        <w:t>s to their own-funded projects.</w:t>
      </w:r>
      <w:r w:rsidR="00CB38F2" w:rsidRPr="00540454">
        <w:rPr>
          <w:rFonts w:ascii="Arial" w:eastAsiaTheme="minorHAnsi" w:hAnsi="Arial" w:cs="Arial"/>
          <w:bCs/>
          <w:vertAlign w:val="superscript"/>
        </w:rPr>
        <w:footnoteReference w:id="9"/>
      </w:r>
    </w:p>
    <w:p w:rsidR="00CE6BF8" w:rsidRPr="00540454" w:rsidRDefault="00CE6BF8" w:rsidP="009D1601">
      <w:pPr>
        <w:rPr>
          <w:rFonts w:ascii="Arial" w:eastAsiaTheme="minorHAnsi" w:hAnsi="Arial" w:cs="Arial"/>
        </w:rPr>
      </w:pPr>
    </w:p>
    <w:p w:rsidR="00CB38F2" w:rsidRPr="00540454" w:rsidRDefault="00CB38F2" w:rsidP="009D1601">
      <w:pPr>
        <w:rPr>
          <w:rFonts w:ascii="Arial" w:eastAsiaTheme="minorHAnsi" w:hAnsi="Arial" w:cs="Arial"/>
        </w:rPr>
      </w:pPr>
      <w:r w:rsidRPr="00540454">
        <w:rPr>
          <w:rFonts w:ascii="Arial" w:eastAsiaTheme="minorHAnsi" w:hAnsi="Arial" w:cs="Arial"/>
          <w:b/>
        </w:rPr>
        <w:t>Improved governance arrangements</w:t>
      </w:r>
    </w:p>
    <w:p w:rsidR="00CB38F2" w:rsidRPr="00540454" w:rsidRDefault="00CB38F2" w:rsidP="009D1601">
      <w:pPr>
        <w:rPr>
          <w:rFonts w:ascii="Arial" w:eastAsiaTheme="minorHAnsi" w:hAnsi="Arial" w:cs="Arial"/>
        </w:rPr>
      </w:pPr>
    </w:p>
    <w:p w:rsidR="006E0E88" w:rsidRPr="00540454" w:rsidRDefault="005F01B0" w:rsidP="009D1601">
      <w:pPr>
        <w:rPr>
          <w:rFonts w:ascii="Arial" w:eastAsiaTheme="minorHAnsi" w:hAnsi="Arial" w:cs="Arial"/>
        </w:rPr>
      </w:pPr>
      <w:r w:rsidRPr="00540454">
        <w:rPr>
          <w:rFonts w:ascii="Arial" w:eastAsiaTheme="minorHAnsi" w:hAnsi="Arial" w:cs="Arial"/>
        </w:rPr>
        <w:t>The ATA also supports the Commissions</w:t>
      </w:r>
      <w:r w:rsidR="005B34B7" w:rsidRPr="00540454">
        <w:rPr>
          <w:rFonts w:ascii="Arial" w:eastAsiaTheme="minorHAnsi" w:hAnsi="Arial" w:cs="Arial"/>
        </w:rPr>
        <w:t xml:space="preserve"> improved governance arrangements for road agencies such as:</w:t>
      </w:r>
    </w:p>
    <w:p w:rsidR="006E0E88" w:rsidRPr="00540454" w:rsidRDefault="006308E9" w:rsidP="009D1601">
      <w:pPr>
        <w:pStyle w:val="BodyText2"/>
        <w:numPr>
          <w:ilvl w:val="0"/>
          <w:numId w:val="6"/>
        </w:numPr>
        <w:rPr>
          <w:b w:val="0"/>
          <w:szCs w:val="22"/>
        </w:rPr>
      </w:pPr>
      <w:proofErr w:type="gramStart"/>
      <w:r>
        <w:rPr>
          <w:b w:val="0"/>
          <w:szCs w:val="22"/>
        </w:rPr>
        <w:t>t</w:t>
      </w:r>
      <w:r w:rsidR="006E0E88" w:rsidRPr="00540454">
        <w:rPr>
          <w:b w:val="0"/>
          <w:szCs w:val="22"/>
        </w:rPr>
        <w:t>he</w:t>
      </w:r>
      <w:proofErr w:type="gramEnd"/>
      <w:r w:rsidR="006E0E88" w:rsidRPr="00540454">
        <w:rPr>
          <w:b w:val="0"/>
          <w:szCs w:val="22"/>
        </w:rPr>
        <w:t xml:space="preserve"> principal objective of ensuring that decisions are undertaken in the public interest.</w:t>
      </w:r>
    </w:p>
    <w:p w:rsidR="006E0E88" w:rsidRPr="00540454" w:rsidRDefault="006308E9" w:rsidP="009D1601">
      <w:pPr>
        <w:pStyle w:val="BodyText2"/>
        <w:numPr>
          <w:ilvl w:val="0"/>
          <w:numId w:val="6"/>
        </w:numPr>
        <w:rPr>
          <w:b w:val="0"/>
          <w:szCs w:val="22"/>
        </w:rPr>
      </w:pPr>
      <w:proofErr w:type="gramStart"/>
      <w:r>
        <w:rPr>
          <w:b w:val="0"/>
          <w:szCs w:val="22"/>
        </w:rPr>
        <w:t>c</w:t>
      </w:r>
      <w:r w:rsidR="006E0E88" w:rsidRPr="00540454">
        <w:rPr>
          <w:b w:val="0"/>
          <w:szCs w:val="22"/>
        </w:rPr>
        <w:t>lear</w:t>
      </w:r>
      <w:proofErr w:type="gramEnd"/>
      <w:r w:rsidR="006E0E88" w:rsidRPr="00540454">
        <w:rPr>
          <w:b w:val="0"/>
          <w:szCs w:val="22"/>
        </w:rPr>
        <w:t xml:space="preserve"> and transparent public infrastructure service standards.</w:t>
      </w:r>
    </w:p>
    <w:p w:rsidR="006E0E88" w:rsidRPr="00540454" w:rsidRDefault="006308E9" w:rsidP="009D1601">
      <w:pPr>
        <w:pStyle w:val="BodyText2"/>
        <w:numPr>
          <w:ilvl w:val="0"/>
          <w:numId w:val="6"/>
        </w:numPr>
        <w:rPr>
          <w:b w:val="0"/>
          <w:szCs w:val="22"/>
        </w:rPr>
      </w:pPr>
      <w:r>
        <w:rPr>
          <w:b w:val="0"/>
          <w:szCs w:val="22"/>
        </w:rPr>
        <w:t>e</w:t>
      </w:r>
      <w:r w:rsidR="006E0E88" w:rsidRPr="00540454">
        <w:rPr>
          <w:b w:val="0"/>
          <w:szCs w:val="22"/>
        </w:rPr>
        <w:t>ffective processes, procedures and policy guidelines for planning and selecting public infrastructure projects, including rigorous application of cost benefit analysis and transparency in cost benefit assessments, public consultation and public reporting of the decision (including transparent review of the decision by an independent body, for example, an Auditor General or Infrastructure Australia).</w:t>
      </w:r>
    </w:p>
    <w:p w:rsidR="006E0E88" w:rsidRPr="00540454" w:rsidRDefault="006308E9" w:rsidP="009D1601">
      <w:pPr>
        <w:pStyle w:val="BodyText2"/>
        <w:numPr>
          <w:ilvl w:val="0"/>
          <w:numId w:val="6"/>
        </w:numPr>
        <w:rPr>
          <w:b w:val="0"/>
          <w:szCs w:val="22"/>
        </w:rPr>
      </w:pPr>
      <w:proofErr w:type="gramStart"/>
      <w:r>
        <w:rPr>
          <w:b w:val="0"/>
          <w:szCs w:val="22"/>
        </w:rPr>
        <w:t>e</w:t>
      </w:r>
      <w:r w:rsidR="006E0E88" w:rsidRPr="00540454">
        <w:rPr>
          <w:b w:val="0"/>
          <w:szCs w:val="22"/>
        </w:rPr>
        <w:t>fficient</w:t>
      </w:r>
      <w:proofErr w:type="gramEnd"/>
      <w:r w:rsidR="006E0E88" w:rsidRPr="00540454">
        <w:rPr>
          <w:b w:val="0"/>
          <w:szCs w:val="22"/>
        </w:rPr>
        <w:t xml:space="preserve"> allocation and monitoring of project risks between government and the private sector.</w:t>
      </w:r>
    </w:p>
    <w:p w:rsidR="006E0E88" w:rsidRPr="00540454" w:rsidRDefault="006308E9" w:rsidP="009D1601">
      <w:pPr>
        <w:pStyle w:val="BodyText2"/>
        <w:numPr>
          <w:ilvl w:val="0"/>
          <w:numId w:val="6"/>
        </w:numPr>
        <w:rPr>
          <w:b w:val="0"/>
          <w:szCs w:val="22"/>
        </w:rPr>
      </w:pPr>
      <w:proofErr w:type="gramStart"/>
      <w:r>
        <w:rPr>
          <w:b w:val="0"/>
          <w:szCs w:val="22"/>
        </w:rPr>
        <w:t>u</w:t>
      </w:r>
      <w:r w:rsidR="006E0E88" w:rsidRPr="00540454">
        <w:rPr>
          <w:b w:val="0"/>
          <w:szCs w:val="22"/>
        </w:rPr>
        <w:t>se</w:t>
      </w:r>
      <w:proofErr w:type="gramEnd"/>
      <w:r w:rsidR="006E0E88" w:rsidRPr="00540454">
        <w:rPr>
          <w:b w:val="0"/>
          <w:szCs w:val="22"/>
        </w:rPr>
        <w:t xml:space="preserve"> of transparent and competitive processes for the selection of private sector partners for the design, financing, construction maintenance and/or operation of public infrastructure.</w:t>
      </w:r>
    </w:p>
    <w:p w:rsidR="006E0E88" w:rsidRPr="00540454" w:rsidRDefault="006308E9" w:rsidP="009D1601">
      <w:pPr>
        <w:pStyle w:val="BodyText2"/>
        <w:numPr>
          <w:ilvl w:val="0"/>
          <w:numId w:val="6"/>
        </w:numPr>
        <w:rPr>
          <w:b w:val="0"/>
          <w:szCs w:val="22"/>
        </w:rPr>
      </w:pPr>
      <w:proofErr w:type="gramStart"/>
      <w:r>
        <w:rPr>
          <w:b w:val="0"/>
          <w:szCs w:val="22"/>
        </w:rPr>
        <w:t>s</w:t>
      </w:r>
      <w:r w:rsidR="006E0E88" w:rsidRPr="00540454">
        <w:rPr>
          <w:b w:val="0"/>
          <w:szCs w:val="22"/>
        </w:rPr>
        <w:t>ufficiently</w:t>
      </w:r>
      <w:proofErr w:type="gramEnd"/>
      <w:r w:rsidR="006E0E88" w:rsidRPr="00540454">
        <w:rPr>
          <w:b w:val="0"/>
          <w:szCs w:val="22"/>
        </w:rPr>
        <w:t xml:space="preserve"> skilled public sector employees who are responsible and accountable for performing their functions.</w:t>
      </w:r>
    </w:p>
    <w:p w:rsidR="006E0E88" w:rsidRPr="00540454" w:rsidRDefault="006308E9" w:rsidP="009D1601">
      <w:pPr>
        <w:pStyle w:val="BodyText2"/>
        <w:numPr>
          <w:ilvl w:val="0"/>
          <w:numId w:val="6"/>
        </w:numPr>
        <w:rPr>
          <w:b w:val="0"/>
          <w:szCs w:val="22"/>
        </w:rPr>
      </w:pPr>
      <w:proofErr w:type="gramStart"/>
      <w:r>
        <w:rPr>
          <w:b w:val="0"/>
          <w:szCs w:val="22"/>
        </w:rPr>
        <w:t>p</w:t>
      </w:r>
      <w:r w:rsidR="006E0E88" w:rsidRPr="00540454">
        <w:rPr>
          <w:b w:val="0"/>
          <w:szCs w:val="22"/>
        </w:rPr>
        <w:t>rinciples</w:t>
      </w:r>
      <w:proofErr w:type="gramEnd"/>
      <w:r w:rsidR="006E0E88" w:rsidRPr="00540454">
        <w:rPr>
          <w:b w:val="0"/>
          <w:szCs w:val="22"/>
        </w:rPr>
        <w:t xml:space="preserve"> and processes for selecting efficient financing mechanisms and transparency of financing arrangements.</w:t>
      </w:r>
    </w:p>
    <w:p w:rsidR="006E0E88" w:rsidRPr="00540454" w:rsidRDefault="006308E9" w:rsidP="009D1601">
      <w:pPr>
        <w:pStyle w:val="BodyText2"/>
        <w:numPr>
          <w:ilvl w:val="0"/>
          <w:numId w:val="6"/>
        </w:numPr>
        <w:rPr>
          <w:b w:val="0"/>
          <w:szCs w:val="22"/>
        </w:rPr>
      </w:pPr>
      <w:proofErr w:type="gramStart"/>
      <w:r>
        <w:rPr>
          <w:b w:val="0"/>
          <w:szCs w:val="22"/>
        </w:rPr>
        <w:t>p</w:t>
      </w:r>
      <w:r w:rsidR="006E0E88" w:rsidRPr="00540454">
        <w:rPr>
          <w:b w:val="0"/>
          <w:szCs w:val="22"/>
        </w:rPr>
        <w:t>erformance</w:t>
      </w:r>
      <w:proofErr w:type="gramEnd"/>
      <w:r w:rsidR="006E0E88" w:rsidRPr="00540454">
        <w:rPr>
          <w:b w:val="0"/>
          <w:szCs w:val="22"/>
        </w:rPr>
        <w:t xml:space="preserve"> reporting and independent evaluation of public infr</w:t>
      </w:r>
      <w:r>
        <w:rPr>
          <w:b w:val="0"/>
          <w:szCs w:val="22"/>
        </w:rPr>
        <w:t>astructure project performance.</w:t>
      </w:r>
      <w:r w:rsidR="006E0E88" w:rsidRPr="00540454">
        <w:rPr>
          <w:rStyle w:val="FootnoteReference"/>
          <w:rFonts w:cs="Arial"/>
          <w:b w:val="0"/>
          <w:szCs w:val="22"/>
        </w:rPr>
        <w:footnoteReference w:id="10"/>
      </w:r>
    </w:p>
    <w:p w:rsidR="006E0E88" w:rsidRPr="00540454" w:rsidRDefault="006E0E88" w:rsidP="009D1601">
      <w:pPr>
        <w:pStyle w:val="BodyText2"/>
        <w:rPr>
          <w:b w:val="0"/>
          <w:szCs w:val="22"/>
        </w:rPr>
      </w:pPr>
    </w:p>
    <w:p w:rsidR="006E0E88" w:rsidRPr="00540454" w:rsidRDefault="00DD638B" w:rsidP="009D1601">
      <w:pPr>
        <w:rPr>
          <w:rFonts w:ascii="Arial" w:eastAsiaTheme="minorHAnsi" w:hAnsi="Arial" w:cs="Arial"/>
          <w:b/>
        </w:rPr>
      </w:pPr>
      <w:r>
        <w:rPr>
          <w:rFonts w:ascii="Arial" w:eastAsiaTheme="minorHAnsi" w:hAnsi="Arial" w:cs="Arial"/>
          <w:b/>
        </w:rPr>
        <w:lastRenderedPageBreak/>
        <w:t xml:space="preserve">Project </w:t>
      </w:r>
      <w:r w:rsidR="00125009">
        <w:rPr>
          <w:rFonts w:ascii="Arial" w:eastAsiaTheme="minorHAnsi" w:hAnsi="Arial" w:cs="Arial"/>
          <w:b/>
        </w:rPr>
        <w:t>b</w:t>
      </w:r>
      <w:r w:rsidR="00CB38F2" w:rsidRPr="00540454">
        <w:rPr>
          <w:rFonts w:ascii="Arial" w:eastAsiaTheme="minorHAnsi" w:hAnsi="Arial" w:cs="Arial"/>
          <w:b/>
        </w:rPr>
        <w:t>enchmarking</w:t>
      </w:r>
    </w:p>
    <w:p w:rsidR="00304FB2" w:rsidRPr="00540454" w:rsidRDefault="00304FB2" w:rsidP="009D1601">
      <w:pPr>
        <w:pStyle w:val="BodyText2"/>
        <w:rPr>
          <w:b w:val="0"/>
        </w:rPr>
      </w:pPr>
    </w:p>
    <w:p w:rsidR="006E0E88" w:rsidRPr="00540454" w:rsidRDefault="006E0E88" w:rsidP="009D1601">
      <w:pPr>
        <w:pStyle w:val="BodyText2"/>
        <w:rPr>
          <w:b w:val="0"/>
        </w:rPr>
      </w:pPr>
      <w:r w:rsidRPr="00540454">
        <w:rPr>
          <w:b w:val="0"/>
        </w:rPr>
        <w:t>The ATA supports the Commission’s view that t</w:t>
      </w:r>
      <w:r w:rsidRPr="00540454">
        <w:rPr>
          <w:b w:val="0"/>
          <w:szCs w:val="22"/>
        </w:rPr>
        <w:t>he provision of data to support the benchmarking framework should be a requirement attached to all Australian Government funding for major infrastructure projects. Ongoing benchmarking must be seen to be independent of both government and industry influence and also be seen as technically robust and credible</w:t>
      </w:r>
      <w:r w:rsidRPr="00540454">
        <w:rPr>
          <w:rStyle w:val="FootnoteReference"/>
          <w:rFonts w:cs="Arial"/>
          <w:b w:val="0"/>
          <w:szCs w:val="22"/>
        </w:rPr>
        <w:footnoteReference w:id="11"/>
      </w:r>
      <w:r w:rsidRPr="00540454">
        <w:rPr>
          <w:b w:val="0"/>
          <w:szCs w:val="22"/>
        </w:rPr>
        <w:t>.</w:t>
      </w:r>
    </w:p>
    <w:p w:rsidR="006E0E88" w:rsidRPr="00540454" w:rsidRDefault="006E0E88" w:rsidP="009D1601">
      <w:pPr>
        <w:pStyle w:val="BodyText2"/>
        <w:rPr>
          <w:b w:val="0"/>
          <w:szCs w:val="22"/>
        </w:rPr>
      </w:pPr>
    </w:p>
    <w:p w:rsidR="006E0E88" w:rsidRDefault="006E0E88" w:rsidP="009D1601">
      <w:pPr>
        <w:pStyle w:val="BodyText2"/>
        <w:rPr>
          <w:b w:val="0"/>
          <w:szCs w:val="22"/>
        </w:rPr>
      </w:pPr>
      <w:r w:rsidRPr="00540454">
        <w:rPr>
          <w:b w:val="0"/>
          <w:szCs w:val="22"/>
        </w:rPr>
        <w:t>The move towards benchmarking is in line with the PwC’s short-term recommendation to improve accountability and transparency in road provision.</w:t>
      </w:r>
    </w:p>
    <w:p w:rsidR="00304FB2" w:rsidRDefault="00304FB2" w:rsidP="009D1601">
      <w:pPr>
        <w:pStyle w:val="BodyText2"/>
        <w:rPr>
          <w:b w:val="0"/>
          <w:szCs w:val="22"/>
        </w:rPr>
      </w:pPr>
    </w:p>
    <w:p w:rsidR="00304FB2" w:rsidRDefault="00304FB2" w:rsidP="009D1601">
      <w:pPr>
        <w:pStyle w:val="BodyText2"/>
        <w:rPr>
          <w:b w:val="0"/>
          <w:szCs w:val="22"/>
        </w:rPr>
      </w:pPr>
      <w:r>
        <w:rPr>
          <w:b w:val="0"/>
          <w:szCs w:val="22"/>
        </w:rPr>
        <w:t xml:space="preserve">The Government has shown support for project benchmarking. Stating that that Australian state and territory government have agreed to the development of a benchmarking framework for infrastructure. </w:t>
      </w:r>
      <w:r w:rsidRPr="00304FB2">
        <w:rPr>
          <w:b w:val="0"/>
          <w:szCs w:val="22"/>
        </w:rPr>
        <w:t>As a first step, the Government have agreed to the systematic collection of project information for land transport infrastructure, led by BITRE</w:t>
      </w:r>
      <w:r>
        <w:rPr>
          <w:b w:val="0"/>
          <w:szCs w:val="22"/>
        </w:rPr>
        <w:t>.</w:t>
      </w:r>
    </w:p>
    <w:p w:rsidR="00F2650A" w:rsidRDefault="00F2650A" w:rsidP="009D1601">
      <w:pPr>
        <w:pStyle w:val="BodyText2"/>
        <w:rPr>
          <w:b w:val="0"/>
          <w:szCs w:val="22"/>
        </w:rPr>
      </w:pPr>
    </w:p>
    <w:p w:rsidR="00F2650A" w:rsidRPr="00540454" w:rsidRDefault="00F2650A" w:rsidP="009D1601">
      <w:pPr>
        <w:pStyle w:val="BodyText2"/>
        <w:rPr>
          <w:b w:val="0"/>
          <w:szCs w:val="22"/>
        </w:rPr>
      </w:pPr>
      <w:r>
        <w:rPr>
          <w:b w:val="0"/>
          <w:szCs w:val="22"/>
        </w:rPr>
        <w:t>Additionally, the Government wants to implement p</w:t>
      </w:r>
      <w:r w:rsidRPr="00F2650A">
        <w:rPr>
          <w:b w:val="0"/>
          <w:szCs w:val="22"/>
        </w:rPr>
        <w:t xml:space="preserve">ost build evaluations for </w:t>
      </w:r>
      <w:r w:rsidR="00700742">
        <w:rPr>
          <w:b w:val="0"/>
          <w:szCs w:val="22"/>
        </w:rPr>
        <w:t>C</w:t>
      </w:r>
      <w:r w:rsidRPr="00F2650A">
        <w:rPr>
          <w:b w:val="0"/>
          <w:szCs w:val="22"/>
        </w:rPr>
        <w:t>ommonwealth funded land transport projects to ensure projects that are delivered with Australian government funds are completed satisfactory. Testing variations from the original scope and timelines, comparison of cost estimates with final costs, and effectiveness and efficiency of particular delivery mechanisms such as PPP or Project Alliances. Evaluations will improve future delivery of projects can be made with more awareness of potential risks</w:t>
      </w:r>
      <w:r w:rsidR="00DA068C">
        <w:rPr>
          <w:rStyle w:val="FootnoteReference"/>
          <w:b w:val="0"/>
          <w:szCs w:val="22"/>
        </w:rPr>
        <w:footnoteReference w:id="12"/>
      </w:r>
      <w:r w:rsidRPr="00F2650A">
        <w:rPr>
          <w:b w:val="0"/>
          <w:szCs w:val="22"/>
        </w:rPr>
        <w:t>.</w:t>
      </w:r>
    </w:p>
    <w:p w:rsidR="006E0E88" w:rsidRPr="00540454" w:rsidRDefault="006E0E88" w:rsidP="009D1601">
      <w:pPr>
        <w:rPr>
          <w:rFonts w:ascii="Arial" w:eastAsiaTheme="minorHAnsi" w:hAnsi="Arial" w:cs="Arial"/>
          <w:b/>
        </w:rPr>
      </w:pPr>
    </w:p>
    <w:p w:rsidR="006E0E88" w:rsidRPr="00540454" w:rsidRDefault="006E0E88" w:rsidP="009D1601">
      <w:pPr>
        <w:rPr>
          <w:rFonts w:ascii="Arial" w:eastAsiaTheme="minorHAnsi" w:hAnsi="Arial" w:cs="Arial"/>
          <w:b/>
        </w:rPr>
      </w:pPr>
      <w:bookmarkStart w:id="18" w:name="_Toc384105356"/>
      <w:r w:rsidRPr="00540454">
        <w:rPr>
          <w:rFonts w:ascii="Arial" w:eastAsiaTheme="minorHAnsi" w:hAnsi="Arial" w:cs="Arial"/>
          <w:b/>
        </w:rPr>
        <w:t>Project selection</w:t>
      </w:r>
      <w:bookmarkEnd w:id="18"/>
    </w:p>
    <w:p w:rsidR="006E0E88" w:rsidRPr="00540454" w:rsidRDefault="006E0E88" w:rsidP="009D1601">
      <w:pPr>
        <w:rPr>
          <w:rFonts w:ascii="Arial" w:hAnsi="Arial" w:cs="Arial"/>
        </w:rPr>
      </w:pPr>
    </w:p>
    <w:p w:rsidR="006E0E88" w:rsidRPr="00DD638B" w:rsidRDefault="006E0E88" w:rsidP="009D1601">
      <w:pPr>
        <w:ind w:left="1134" w:right="1134"/>
        <w:rPr>
          <w:rFonts w:ascii="Arial" w:eastAsiaTheme="minorHAnsi" w:hAnsi="Arial" w:cs="Arial"/>
        </w:rPr>
      </w:pPr>
      <w:r w:rsidRPr="00DD638B">
        <w:rPr>
          <w:rFonts w:ascii="Arial" w:hAnsi="Arial" w:cs="Arial"/>
        </w:rPr>
        <w:t>Governments are sometimes weak at determining what, where and when infrastructure projects should be scoped and constructed. This stems from deficiencies in using coherent decision making frameworks – especially scoping and developing transparent cost benefit analysis, rigorous demand forecasting, investigating project risks fully (including latent risks borne by governments) and efficiently allocating risks betwe</w:t>
      </w:r>
      <w:r w:rsidR="006308E9">
        <w:rPr>
          <w:rFonts w:ascii="Arial" w:hAnsi="Arial" w:cs="Arial"/>
        </w:rPr>
        <w:t>en public and private partners.</w:t>
      </w:r>
      <w:r w:rsidRPr="00DD638B">
        <w:rPr>
          <w:rStyle w:val="FootnoteReference"/>
          <w:rFonts w:ascii="Arial" w:hAnsi="Arial" w:cs="Arial"/>
        </w:rPr>
        <w:footnoteReference w:id="13"/>
      </w:r>
    </w:p>
    <w:p w:rsidR="006E0E88" w:rsidRPr="00540454" w:rsidRDefault="006E0E88" w:rsidP="009D1601">
      <w:pPr>
        <w:pStyle w:val="BodyText2"/>
        <w:rPr>
          <w:b w:val="0"/>
          <w:szCs w:val="22"/>
        </w:rPr>
      </w:pPr>
    </w:p>
    <w:p w:rsidR="006E0E88" w:rsidRPr="00540454" w:rsidRDefault="00E5657E" w:rsidP="009D1601">
      <w:pPr>
        <w:pStyle w:val="BodyText2"/>
        <w:rPr>
          <w:b w:val="0"/>
          <w:szCs w:val="22"/>
        </w:rPr>
      </w:pPr>
      <w:r w:rsidRPr="00540454">
        <w:rPr>
          <w:b w:val="0"/>
          <w:szCs w:val="22"/>
        </w:rPr>
        <w:t>M</w:t>
      </w:r>
      <w:r w:rsidR="006E0E88" w:rsidRPr="00540454">
        <w:rPr>
          <w:b w:val="0"/>
          <w:szCs w:val="22"/>
        </w:rPr>
        <w:t>any major projects and ribbon cutting exercises come at the expense of periodic maintenance (to extend and exploit the asset lifecycle) and of small scale de-bottlenecking options that could postpone or even avoid the need for costly asset expansions.</w:t>
      </w:r>
    </w:p>
    <w:p w:rsidR="006E0E88" w:rsidRPr="00540454" w:rsidRDefault="006E0E88" w:rsidP="009D1601">
      <w:pPr>
        <w:pStyle w:val="BodyText2"/>
        <w:rPr>
          <w:b w:val="0"/>
          <w:szCs w:val="22"/>
        </w:rPr>
      </w:pPr>
    </w:p>
    <w:p w:rsidR="006E0E88" w:rsidRPr="00540454" w:rsidRDefault="006E0E88" w:rsidP="009D1601">
      <w:pPr>
        <w:pStyle w:val="BodyText2"/>
        <w:rPr>
          <w:b w:val="0"/>
          <w:szCs w:val="22"/>
        </w:rPr>
      </w:pPr>
      <w:r w:rsidRPr="00540454">
        <w:rPr>
          <w:b w:val="0"/>
          <w:szCs w:val="22"/>
        </w:rPr>
        <w:t>Evidence from the Newell Highway shows strategic investment can improve safety significantly, at lower cost than dual carriageway</w:t>
      </w:r>
      <w:r w:rsidR="00540ABF">
        <w:rPr>
          <w:b w:val="0"/>
          <w:szCs w:val="22"/>
        </w:rPr>
        <w:t>s</w:t>
      </w:r>
      <w:r w:rsidRPr="00540454">
        <w:rPr>
          <w:b w:val="0"/>
          <w:szCs w:val="22"/>
        </w:rPr>
        <w:t>.</w:t>
      </w:r>
    </w:p>
    <w:p w:rsidR="006E0E88" w:rsidRPr="00540454" w:rsidRDefault="006E0E88" w:rsidP="009D1601">
      <w:pPr>
        <w:pStyle w:val="BodyText2"/>
        <w:rPr>
          <w:b w:val="0"/>
          <w:szCs w:val="22"/>
        </w:rPr>
      </w:pPr>
    </w:p>
    <w:p w:rsidR="006E0E88" w:rsidRPr="00540454" w:rsidRDefault="006E0E88" w:rsidP="009D1601">
      <w:pPr>
        <w:pStyle w:val="BodyText2"/>
        <w:rPr>
          <w:b w:val="0"/>
          <w:szCs w:val="22"/>
        </w:rPr>
      </w:pPr>
      <w:r w:rsidRPr="00540454">
        <w:rPr>
          <w:b w:val="0"/>
          <w:szCs w:val="22"/>
        </w:rPr>
        <w:t xml:space="preserve">The issue of periodic maintenance cannot be ignored if the road quality and stock of Australia is to improve. </w:t>
      </w:r>
      <w:r w:rsidR="00CB38F2" w:rsidRPr="00540454">
        <w:rPr>
          <w:b w:val="0"/>
          <w:szCs w:val="22"/>
        </w:rPr>
        <w:t>B</w:t>
      </w:r>
      <w:r w:rsidRPr="00540454">
        <w:rPr>
          <w:b w:val="0"/>
          <w:szCs w:val="22"/>
        </w:rPr>
        <w:t>udgets for maintenance are reducing over time and there is a need to address the issue of poor maintenance programs.</w:t>
      </w:r>
    </w:p>
    <w:p w:rsidR="006E0E88" w:rsidRPr="00540454" w:rsidRDefault="006E0E88" w:rsidP="009D1601">
      <w:pPr>
        <w:pStyle w:val="BodyText2"/>
        <w:rPr>
          <w:b w:val="0"/>
          <w:szCs w:val="22"/>
        </w:rPr>
      </w:pPr>
    </w:p>
    <w:p w:rsidR="006E0E88" w:rsidRPr="00540454" w:rsidRDefault="006E0E88" w:rsidP="009D1601">
      <w:pPr>
        <w:rPr>
          <w:rFonts w:ascii="Arial" w:hAnsi="Arial" w:cs="Arial"/>
        </w:rPr>
      </w:pPr>
      <w:r w:rsidRPr="00540454">
        <w:rPr>
          <w:rFonts w:ascii="Arial" w:hAnsi="Arial" w:cs="Arial"/>
        </w:rPr>
        <w:t xml:space="preserve">Poor road maintenance and </w:t>
      </w:r>
      <w:r w:rsidR="00540ABF">
        <w:rPr>
          <w:rFonts w:ascii="Arial" w:hAnsi="Arial" w:cs="Arial"/>
        </w:rPr>
        <w:t xml:space="preserve">poor </w:t>
      </w:r>
      <w:r w:rsidRPr="00540454">
        <w:rPr>
          <w:rFonts w:ascii="Arial" w:hAnsi="Arial" w:cs="Arial"/>
        </w:rPr>
        <w:t xml:space="preserve">quality decisions will be worn by the industry again and again. Having a consistent and accurate maintenance program is crucial to providing roads that do not cause industry undue cost. While it is not feasible </w:t>
      </w:r>
      <w:r w:rsidRPr="00540454">
        <w:rPr>
          <w:rFonts w:ascii="Arial" w:eastAsiaTheme="minorHAnsi" w:hAnsi="Arial" w:cs="Arial"/>
        </w:rPr>
        <w:t>to</w:t>
      </w:r>
      <w:r w:rsidRPr="00540454">
        <w:rPr>
          <w:rFonts w:ascii="Arial" w:hAnsi="Arial" w:cs="Arial"/>
        </w:rPr>
        <w:t xml:space="preserve"> upgrade every road in Australia to bitumen quality, poorly maintained roads cost users higher than necessary vehicle operating costs.</w:t>
      </w:r>
    </w:p>
    <w:p w:rsidR="006E0E88" w:rsidRPr="00540454" w:rsidRDefault="006E0E88" w:rsidP="009D1601">
      <w:pPr>
        <w:pStyle w:val="BodyText2"/>
        <w:rPr>
          <w:b w:val="0"/>
          <w:szCs w:val="22"/>
        </w:rPr>
      </w:pPr>
    </w:p>
    <w:p w:rsidR="006E0E88" w:rsidRDefault="006E0E88" w:rsidP="009D1601">
      <w:pPr>
        <w:pStyle w:val="BodyText2"/>
        <w:rPr>
          <w:b w:val="0"/>
          <w:szCs w:val="22"/>
        </w:rPr>
      </w:pPr>
      <w:r w:rsidRPr="00540454">
        <w:rPr>
          <w:b w:val="0"/>
          <w:szCs w:val="22"/>
        </w:rPr>
        <w:t xml:space="preserve">We </w:t>
      </w:r>
      <w:r w:rsidR="006308E9">
        <w:rPr>
          <w:b w:val="0"/>
          <w:szCs w:val="22"/>
        </w:rPr>
        <w:t>share</w:t>
      </w:r>
      <w:r w:rsidRPr="00540454">
        <w:rPr>
          <w:b w:val="0"/>
          <w:szCs w:val="22"/>
        </w:rPr>
        <w:t xml:space="preserve"> the </w:t>
      </w:r>
      <w:r w:rsidR="00E5657E" w:rsidRPr="00540454">
        <w:rPr>
          <w:b w:val="0"/>
          <w:szCs w:val="22"/>
        </w:rPr>
        <w:t xml:space="preserve">Productivity </w:t>
      </w:r>
      <w:r w:rsidRPr="00540454">
        <w:rPr>
          <w:b w:val="0"/>
          <w:szCs w:val="22"/>
        </w:rPr>
        <w:t>Commission’s view that correct project selection or provision is the most important aspect of achieving good outcomes for the community from public infrastructure irrespective of the financing approach ultimately chosen.</w:t>
      </w:r>
    </w:p>
    <w:p w:rsidR="00F2650A" w:rsidRDefault="00F2650A" w:rsidP="009D1601">
      <w:pPr>
        <w:pStyle w:val="BodyText2"/>
        <w:rPr>
          <w:b w:val="0"/>
          <w:szCs w:val="22"/>
        </w:rPr>
      </w:pPr>
    </w:p>
    <w:p w:rsidR="00F2650A" w:rsidRPr="00540454" w:rsidRDefault="00BF5839" w:rsidP="009D1601">
      <w:pPr>
        <w:pStyle w:val="BodyText2"/>
        <w:rPr>
          <w:b w:val="0"/>
          <w:szCs w:val="22"/>
        </w:rPr>
      </w:pPr>
      <w:r>
        <w:rPr>
          <w:b w:val="0"/>
          <w:szCs w:val="22"/>
        </w:rPr>
        <w:lastRenderedPageBreak/>
        <w:t>T</w:t>
      </w:r>
      <w:r w:rsidR="00F2650A">
        <w:rPr>
          <w:b w:val="0"/>
          <w:szCs w:val="22"/>
        </w:rPr>
        <w:t>he Government will be reviewing National Guidelines on project delivery this year, which will seek to improve the process of project selection and delivery</w:t>
      </w:r>
      <w:r>
        <w:rPr>
          <w:rStyle w:val="FootnoteReference"/>
          <w:b w:val="0"/>
          <w:szCs w:val="22"/>
        </w:rPr>
        <w:footnoteReference w:id="14"/>
      </w:r>
      <w:r w:rsidR="00F2650A">
        <w:rPr>
          <w:b w:val="0"/>
          <w:szCs w:val="22"/>
        </w:rPr>
        <w:t xml:space="preserve">. </w:t>
      </w:r>
    </w:p>
    <w:p w:rsidR="00E5657E" w:rsidRPr="00540454" w:rsidRDefault="00E5657E" w:rsidP="009D1601">
      <w:pPr>
        <w:pStyle w:val="BodyText2"/>
        <w:rPr>
          <w:b w:val="0"/>
          <w:szCs w:val="22"/>
        </w:rPr>
      </w:pPr>
    </w:p>
    <w:p w:rsidR="006E0E88" w:rsidRPr="00540454" w:rsidRDefault="006E0E88" w:rsidP="009D1601">
      <w:pPr>
        <w:pStyle w:val="BodyText2"/>
        <w:rPr>
          <w:b w:val="0"/>
          <w:szCs w:val="22"/>
        </w:rPr>
      </w:pPr>
      <w:r w:rsidRPr="00540454">
        <w:rPr>
          <w:b w:val="0"/>
          <w:szCs w:val="22"/>
        </w:rPr>
        <w:t xml:space="preserve">Along with good governance arrangements there should be a set of </w:t>
      </w:r>
      <w:r w:rsidR="00F2650A">
        <w:rPr>
          <w:b w:val="0"/>
          <w:szCs w:val="22"/>
        </w:rPr>
        <w:t xml:space="preserve">maintenance </w:t>
      </w:r>
      <w:r w:rsidR="00F2650A" w:rsidRPr="00540454">
        <w:rPr>
          <w:b w:val="0"/>
          <w:szCs w:val="22"/>
        </w:rPr>
        <w:t>strategies</w:t>
      </w:r>
      <w:r w:rsidRPr="00540454">
        <w:rPr>
          <w:b w:val="0"/>
          <w:szCs w:val="22"/>
        </w:rPr>
        <w:t>, developed by engineers, to give road agencies a clear set of directives for maintenance of road infrastructure. While there is considerable discussion about road user charges to indicate usage figures for roads, a telematic device cannot tell a road agency where a pothole exists or where the road layer has subsided over time. Telematics will not solve the maintenance problems that persist and any subsequent safety issues.</w:t>
      </w:r>
    </w:p>
    <w:p w:rsidR="006E0E88" w:rsidRPr="00540454" w:rsidRDefault="006E0E88" w:rsidP="009D1601">
      <w:pPr>
        <w:rPr>
          <w:rFonts w:ascii="Arial" w:eastAsiaTheme="minorHAnsi" w:hAnsi="Arial" w:cs="Arial"/>
          <w:b/>
        </w:rPr>
      </w:pPr>
    </w:p>
    <w:p w:rsidR="006E0E88" w:rsidRPr="00540454" w:rsidRDefault="006E0E88" w:rsidP="009D1601">
      <w:pPr>
        <w:rPr>
          <w:rFonts w:ascii="Arial" w:eastAsiaTheme="minorHAnsi" w:hAnsi="Arial" w:cs="Arial"/>
          <w:b/>
        </w:rPr>
      </w:pPr>
      <w:bookmarkStart w:id="19" w:name="_Toc384105358"/>
      <w:r w:rsidRPr="00540454">
        <w:rPr>
          <w:rFonts w:ascii="Arial" w:eastAsiaTheme="minorHAnsi" w:hAnsi="Arial" w:cs="Arial"/>
          <w:b/>
        </w:rPr>
        <w:t>Cost benefit analysis</w:t>
      </w:r>
      <w:bookmarkEnd w:id="19"/>
    </w:p>
    <w:p w:rsidR="006E0E88" w:rsidRPr="00540454" w:rsidRDefault="006E0E88" w:rsidP="009D1601">
      <w:pPr>
        <w:pStyle w:val="BodyText2"/>
        <w:rPr>
          <w:b w:val="0"/>
          <w:szCs w:val="22"/>
          <w:u w:val="single"/>
        </w:rPr>
      </w:pPr>
    </w:p>
    <w:p w:rsidR="006E0E88" w:rsidRPr="00540454" w:rsidRDefault="006E0E88" w:rsidP="009D1601">
      <w:pPr>
        <w:pStyle w:val="BodyText2"/>
        <w:rPr>
          <w:b w:val="0"/>
          <w:szCs w:val="22"/>
        </w:rPr>
      </w:pPr>
      <w:r w:rsidRPr="00540454">
        <w:rPr>
          <w:b w:val="0"/>
          <w:szCs w:val="22"/>
        </w:rPr>
        <w:t>The ATA supports the extension of appropriate cost benefit analyses (CBA) to make sure that benefits and costs are accurately assessed for significant projects. However, recent experience with CBA work has indicated that there has to be sufficient time for stakeholders to interrogate the findings.</w:t>
      </w:r>
    </w:p>
    <w:p w:rsidR="006E0E88" w:rsidRPr="00540454" w:rsidRDefault="006E0E88" w:rsidP="009D1601">
      <w:pPr>
        <w:pStyle w:val="BodyText2"/>
        <w:rPr>
          <w:b w:val="0"/>
          <w:szCs w:val="22"/>
        </w:rPr>
      </w:pPr>
    </w:p>
    <w:p w:rsidR="006E0E88" w:rsidRPr="00540454" w:rsidRDefault="006E0E88" w:rsidP="009D1601">
      <w:pPr>
        <w:pStyle w:val="BodyText2"/>
        <w:rPr>
          <w:b w:val="0"/>
          <w:szCs w:val="22"/>
        </w:rPr>
      </w:pPr>
      <w:r w:rsidRPr="00540454">
        <w:rPr>
          <w:b w:val="0"/>
          <w:szCs w:val="22"/>
        </w:rPr>
        <w:t>The Commission identified that a properly conducted CBA is an important starting point for guiding project selection and improving the transparency of decision making. This should be augmented with real options analysis where appropriate.</w:t>
      </w:r>
    </w:p>
    <w:p w:rsidR="006E0E88" w:rsidRPr="00540454" w:rsidRDefault="006E0E88" w:rsidP="009D1601">
      <w:pPr>
        <w:pStyle w:val="BodyText2"/>
        <w:rPr>
          <w:b w:val="0"/>
          <w:szCs w:val="22"/>
        </w:rPr>
      </w:pPr>
    </w:p>
    <w:p w:rsidR="006E0E88" w:rsidRPr="00540454" w:rsidRDefault="006E0E88" w:rsidP="009D1601">
      <w:pPr>
        <w:pStyle w:val="BodyText2"/>
        <w:rPr>
          <w:b w:val="0"/>
          <w:szCs w:val="22"/>
        </w:rPr>
      </w:pPr>
      <w:r w:rsidRPr="00540454">
        <w:rPr>
          <w:b w:val="0"/>
          <w:szCs w:val="22"/>
        </w:rPr>
        <w:t>Making sure that political outcomes inform the option selection is also crucial to having supportable conclusions.</w:t>
      </w:r>
    </w:p>
    <w:p w:rsidR="006E0E88" w:rsidRPr="00540454" w:rsidRDefault="006E0E88" w:rsidP="009D1601">
      <w:pPr>
        <w:pStyle w:val="BodyText2"/>
        <w:rPr>
          <w:b w:val="0"/>
          <w:szCs w:val="22"/>
        </w:rPr>
      </w:pPr>
    </w:p>
    <w:p w:rsidR="00376E2F" w:rsidRDefault="006E0E88" w:rsidP="009D1601">
      <w:pPr>
        <w:pStyle w:val="BodyText2"/>
        <w:rPr>
          <w:b w:val="0"/>
          <w:szCs w:val="22"/>
        </w:rPr>
      </w:pPr>
      <w:r w:rsidRPr="00540454">
        <w:rPr>
          <w:b w:val="0"/>
          <w:szCs w:val="22"/>
        </w:rPr>
        <w:t>We support the Commission recommendation of making CBAs public (with clearly documented assumptions) for both projects that have been selected, and those that have been rejected, greatly improves the transparency of decision making. It also allows particular estimates to be debated and the consequences of different estimates of the project</w:t>
      </w:r>
      <w:r w:rsidR="00F2650A">
        <w:rPr>
          <w:b w:val="0"/>
          <w:szCs w:val="22"/>
        </w:rPr>
        <w:t>s net benefits to be calculated.</w:t>
      </w:r>
      <w:r w:rsidRPr="00540454">
        <w:rPr>
          <w:rStyle w:val="FootnoteReference"/>
          <w:rFonts w:cs="Arial"/>
          <w:b w:val="0"/>
          <w:szCs w:val="22"/>
        </w:rPr>
        <w:footnoteReference w:id="15"/>
      </w:r>
      <w:r w:rsidR="00F2650A">
        <w:rPr>
          <w:b w:val="0"/>
          <w:szCs w:val="22"/>
        </w:rPr>
        <w:t xml:space="preserve"> </w:t>
      </w:r>
    </w:p>
    <w:p w:rsidR="00376E2F" w:rsidRDefault="00376E2F" w:rsidP="009D1601">
      <w:pPr>
        <w:pStyle w:val="BodyText2"/>
        <w:rPr>
          <w:b w:val="0"/>
          <w:szCs w:val="22"/>
        </w:rPr>
      </w:pPr>
    </w:p>
    <w:p w:rsidR="00376E2F" w:rsidRPr="00376E2F" w:rsidRDefault="00F2650A" w:rsidP="009D1601">
      <w:pPr>
        <w:pStyle w:val="BodyText2"/>
        <w:rPr>
          <w:b w:val="0"/>
          <w:szCs w:val="22"/>
        </w:rPr>
      </w:pPr>
      <w:r>
        <w:rPr>
          <w:b w:val="0"/>
          <w:szCs w:val="22"/>
        </w:rPr>
        <w:t>The Government also concurs that improvement in the conduct of CBAs are necessary, recommending a best practice framework for evaluating project and a nationally consistent approach to CBAs.</w:t>
      </w:r>
      <w:r w:rsidR="00BF5839">
        <w:rPr>
          <w:rStyle w:val="FootnoteReference"/>
          <w:b w:val="0"/>
          <w:szCs w:val="22"/>
        </w:rPr>
        <w:footnoteReference w:id="16"/>
      </w:r>
      <w:r>
        <w:rPr>
          <w:b w:val="0"/>
          <w:szCs w:val="22"/>
        </w:rPr>
        <w:t xml:space="preserve"> </w:t>
      </w:r>
    </w:p>
    <w:p w:rsidR="00376E2F" w:rsidRPr="00540454" w:rsidRDefault="00376E2F" w:rsidP="009D1601">
      <w:pPr>
        <w:pStyle w:val="NormalWeb"/>
        <w:spacing w:before="0" w:beforeAutospacing="0" w:after="0" w:afterAutospacing="0"/>
        <w:rPr>
          <w:rFonts w:ascii="Arial" w:hAnsi="Arial" w:cs="Arial"/>
          <w:iCs/>
          <w:sz w:val="22"/>
          <w:szCs w:val="22"/>
        </w:rPr>
      </w:pPr>
    </w:p>
    <w:p w:rsidR="00913890" w:rsidRPr="00540454" w:rsidRDefault="00913890" w:rsidP="009D1601">
      <w:pPr>
        <w:pStyle w:val="NormalWeb"/>
        <w:spacing w:before="0" w:beforeAutospacing="0" w:after="0" w:afterAutospacing="0"/>
        <w:rPr>
          <w:rFonts w:ascii="Arial" w:hAnsi="Arial" w:cs="Arial"/>
          <w:b/>
          <w:iCs/>
          <w:sz w:val="22"/>
          <w:szCs w:val="22"/>
        </w:rPr>
      </w:pPr>
      <w:r w:rsidRPr="00540454">
        <w:rPr>
          <w:rFonts w:ascii="Arial" w:hAnsi="Arial" w:cs="Arial"/>
          <w:b/>
          <w:iCs/>
          <w:sz w:val="22"/>
          <w:szCs w:val="22"/>
        </w:rPr>
        <w:t>Recommendation 4</w:t>
      </w:r>
    </w:p>
    <w:p w:rsidR="00913890" w:rsidRPr="00540454" w:rsidRDefault="00913890" w:rsidP="009D1601">
      <w:pPr>
        <w:pStyle w:val="NormalWeb"/>
        <w:spacing w:before="0" w:beforeAutospacing="0" w:after="0" w:afterAutospacing="0"/>
        <w:rPr>
          <w:rFonts w:ascii="Arial" w:hAnsi="Arial" w:cs="Arial"/>
          <w:iCs/>
          <w:sz w:val="22"/>
          <w:szCs w:val="22"/>
        </w:rPr>
      </w:pPr>
    </w:p>
    <w:p w:rsidR="00913890" w:rsidRPr="00540454" w:rsidRDefault="00913890" w:rsidP="009D1601">
      <w:pPr>
        <w:pStyle w:val="NormalWeb"/>
        <w:spacing w:before="0" w:beforeAutospacing="0" w:after="0" w:afterAutospacing="0"/>
        <w:rPr>
          <w:rFonts w:ascii="Arial" w:hAnsi="Arial" w:cs="Arial"/>
          <w:iCs/>
          <w:sz w:val="22"/>
          <w:szCs w:val="22"/>
        </w:rPr>
      </w:pPr>
      <w:r w:rsidRPr="00540454">
        <w:rPr>
          <w:rFonts w:ascii="Arial" w:hAnsi="Arial" w:cs="Arial"/>
          <w:iCs/>
          <w:sz w:val="22"/>
          <w:szCs w:val="22"/>
        </w:rPr>
        <w:t>The Government should implement the following Productivity Commission Public Infrastructure inquiry recommendations</w:t>
      </w:r>
      <w:r w:rsidR="00E07B27" w:rsidRPr="00540454">
        <w:rPr>
          <w:rFonts w:ascii="Arial" w:hAnsi="Arial" w:cs="Arial"/>
          <w:iCs/>
          <w:sz w:val="22"/>
          <w:szCs w:val="22"/>
        </w:rPr>
        <w:t xml:space="preserve"> in order to increase productivity in supply side provision and subsequently road users</w:t>
      </w:r>
      <w:r w:rsidRPr="00540454">
        <w:rPr>
          <w:rFonts w:ascii="Arial" w:hAnsi="Arial" w:cs="Arial"/>
          <w:iCs/>
          <w:sz w:val="22"/>
          <w:szCs w:val="22"/>
        </w:rPr>
        <w:t>:</w:t>
      </w:r>
    </w:p>
    <w:p w:rsidR="00913890" w:rsidRPr="00540454" w:rsidRDefault="006308E9" w:rsidP="009D1601">
      <w:pPr>
        <w:pStyle w:val="ListParagraph"/>
        <w:numPr>
          <w:ilvl w:val="0"/>
          <w:numId w:val="10"/>
        </w:numPr>
        <w:rPr>
          <w:rFonts w:ascii="Arial" w:eastAsiaTheme="minorHAnsi" w:hAnsi="Arial" w:cs="Arial"/>
        </w:rPr>
      </w:pPr>
      <w:r>
        <w:rPr>
          <w:rFonts w:ascii="Arial" w:eastAsiaTheme="minorHAnsi" w:hAnsi="Arial" w:cs="Arial"/>
        </w:rPr>
        <w:t>c</w:t>
      </w:r>
      <w:r w:rsidR="00913890" w:rsidRPr="00540454">
        <w:rPr>
          <w:rFonts w:ascii="Arial" w:eastAsiaTheme="minorHAnsi" w:hAnsi="Arial" w:cs="Arial"/>
        </w:rPr>
        <w:t>onditional funding for states</w:t>
      </w:r>
    </w:p>
    <w:p w:rsidR="00913890" w:rsidRPr="00540454" w:rsidRDefault="006308E9" w:rsidP="009D1601">
      <w:pPr>
        <w:pStyle w:val="ListParagraph"/>
        <w:numPr>
          <w:ilvl w:val="0"/>
          <w:numId w:val="10"/>
        </w:numPr>
        <w:rPr>
          <w:rFonts w:ascii="Arial" w:eastAsiaTheme="minorHAnsi" w:hAnsi="Arial" w:cs="Arial"/>
        </w:rPr>
      </w:pPr>
      <w:r>
        <w:rPr>
          <w:rFonts w:ascii="Arial" w:eastAsiaTheme="minorHAnsi" w:hAnsi="Arial" w:cs="Arial"/>
        </w:rPr>
        <w:t>i</w:t>
      </w:r>
      <w:r w:rsidR="00913890" w:rsidRPr="00540454">
        <w:rPr>
          <w:rFonts w:ascii="Arial" w:eastAsiaTheme="minorHAnsi" w:hAnsi="Arial" w:cs="Arial"/>
        </w:rPr>
        <w:t>mproved governance arrangements</w:t>
      </w:r>
    </w:p>
    <w:p w:rsidR="00913890" w:rsidRPr="00540454" w:rsidRDefault="006E05F0" w:rsidP="009D1601">
      <w:pPr>
        <w:pStyle w:val="ListParagraph"/>
        <w:numPr>
          <w:ilvl w:val="0"/>
          <w:numId w:val="10"/>
        </w:numPr>
        <w:rPr>
          <w:rFonts w:ascii="Arial" w:eastAsiaTheme="minorHAnsi" w:hAnsi="Arial" w:cs="Arial"/>
        </w:rPr>
      </w:pPr>
      <w:r>
        <w:rPr>
          <w:rFonts w:ascii="Arial" w:eastAsiaTheme="minorHAnsi" w:hAnsi="Arial" w:cs="Arial"/>
        </w:rPr>
        <w:t>p</w:t>
      </w:r>
      <w:r w:rsidR="00DD638B">
        <w:rPr>
          <w:rFonts w:ascii="Arial" w:eastAsiaTheme="minorHAnsi" w:hAnsi="Arial" w:cs="Arial"/>
        </w:rPr>
        <w:t xml:space="preserve">roject </w:t>
      </w:r>
      <w:r>
        <w:rPr>
          <w:rFonts w:ascii="Arial" w:eastAsiaTheme="minorHAnsi" w:hAnsi="Arial" w:cs="Arial"/>
        </w:rPr>
        <w:t>b</w:t>
      </w:r>
      <w:r w:rsidR="00913890" w:rsidRPr="00540454">
        <w:rPr>
          <w:rFonts w:ascii="Arial" w:eastAsiaTheme="minorHAnsi" w:hAnsi="Arial" w:cs="Arial"/>
        </w:rPr>
        <w:t>enchmarking</w:t>
      </w:r>
    </w:p>
    <w:p w:rsidR="00913890" w:rsidRPr="00540454" w:rsidRDefault="006E05F0" w:rsidP="009D1601">
      <w:pPr>
        <w:pStyle w:val="ListParagraph"/>
        <w:numPr>
          <w:ilvl w:val="0"/>
          <w:numId w:val="10"/>
        </w:numPr>
        <w:rPr>
          <w:rFonts w:ascii="Arial" w:eastAsiaTheme="minorHAnsi" w:hAnsi="Arial" w:cs="Arial"/>
        </w:rPr>
      </w:pPr>
      <w:r>
        <w:rPr>
          <w:rFonts w:ascii="Arial" w:eastAsiaTheme="minorHAnsi" w:hAnsi="Arial" w:cs="Arial"/>
        </w:rPr>
        <w:t>better p</w:t>
      </w:r>
      <w:r w:rsidR="00913890" w:rsidRPr="00540454">
        <w:rPr>
          <w:rFonts w:ascii="Arial" w:eastAsiaTheme="minorHAnsi" w:hAnsi="Arial" w:cs="Arial"/>
        </w:rPr>
        <w:t>roject selection</w:t>
      </w:r>
      <w:r>
        <w:rPr>
          <w:rFonts w:ascii="Arial" w:eastAsiaTheme="minorHAnsi" w:hAnsi="Arial" w:cs="Arial"/>
        </w:rPr>
        <w:t xml:space="preserve">, and, </w:t>
      </w:r>
    </w:p>
    <w:p w:rsidR="00913890" w:rsidRPr="00376E2F" w:rsidRDefault="006E05F0" w:rsidP="009D1601">
      <w:pPr>
        <w:pStyle w:val="ListParagraph"/>
        <w:numPr>
          <w:ilvl w:val="0"/>
          <w:numId w:val="10"/>
        </w:numPr>
        <w:spacing w:after="0"/>
        <w:rPr>
          <w:rFonts w:ascii="Arial" w:hAnsi="Arial" w:cs="Arial"/>
          <w:iCs/>
        </w:rPr>
      </w:pPr>
      <w:r>
        <w:rPr>
          <w:rFonts w:ascii="Arial" w:eastAsiaTheme="minorHAnsi" w:hAnsi="Arial" w:cs="Arial"/>
        </w:rPr>
        <w:t>i</w:t>
      </w:r>
      <w:r w:rsidR="00E07B27" w:rsidRPr="00540454">
        <w:rPr>
          <w:rFonts w:ascii="Arial" w:eastAsiaTheme="minorHAnsi" w:hAnsi="Arial" w:cs="Arial"/>
        </w:rPr>
        <w:t xml:space="preserve">mproved </w:t>
      </w:r>
      <w:r>
        <w:rPr>
          <w:rFonts w:ascii="Arial" w:eastAsiaTheme="minorHAnsi" w:hAnsi="Arial" w:cs="Arial"/>
        </w:rPr>
        <w:t>c</w:t>
      </w:r>
      <w:r w:rsidR="00913890" w:rsidRPr="00540454">
        <w:rPr>
          <w:rFonts w:ascii="Arial" w:eastAsiaTheme="minorHAnsi" w:hAnsi="Arial" w:cs="Arial"/>
        </w:rPr>
        <w:t>ost benefit analysis</w:t>
      </w:r>
      <w:r>
        <w:rPr>
          <w:rFonts w:ascii="Arial" w:eastAsiaTheme="minorHAnsi" w:hAnsi="Arial" w:cs="Arial"/>
        </w:rPr>
        <w:t>.</w:t>
      </w:r>
    </w:p>
    <w:p w:rsidR="00376E2F" w:rsidRDefault="00376E2F" w:rsidP="009D1601">
      <w:pPr>
        <w:rPr>
          <w:rFonts w:ascii="Arial" w:hAnsi="Arial" w:cs="Arial"/>
          <w:iCs/>
        </w:rPr>
      </w:pPr>
    </w:p>
    <w:p w:rsidR="00376E2F" w:rsidRDefault="00376E2F" w:rsidP="009D1601">
      <w:pPr>
        <w:rPr>
          <w:rFonts w:ascii="Arial" w:hAnsi="Arial" w:cs="Arial"/>
          <w:iCs/>
        </w:rPr>
      </w:pPr>
    </w:p>
    <w:p w:rsidR="00376E2F" w:rsidRDefault="00376E2F" w:rsidP="009D1601">
      <w:pPr>
        <w:rPr>
          <w:rFonts w:ascii="Arial" w:hAnsi="Arial" w:cs="Arial"/>
          <w:iCs/>
        </w:rPr>
      </w:pPr>
    </w:p>
    <w:p w:rsidR="00376E2F" w:rsidRDefault="00376E2F" w:rsidP="009D1601">
      <w:pPr>
        <w:rPr>
          <w:rFonts w:ascii="Arial" w:hAnsi="Arial" w:cs="Arial"/>
          <w:iCs/>
        </w:rPr>
      </w:pPr>
    </w:p>
    <w:p w:rsidR="00376E2F" w:rsidRDefault="00376E2F" w:rsidP="009D1601">
      <w:pPr>
        <w:rPr>
          <w:rFonts w:ascii="Arial" w:hAnsi="Arial" w:cs="Arial"/>
          <w:iCs/>
        </w:rPr>
      </w:pPr>
    </w:p>
    <w:p w:rsidR="00376E2F" w:rsidRPr="00376E2F" w:rsidRDefault="00376E2F" w:rsidP="009D1601">
      <w:pPr>
        <w:rPr>
          <w:rFonts w:ascii="Arial" w:hAnsi="Arial" w:cs="Arial"/>
          <w:iCs/>
        </w:rPr>
      </w:pPr>
    </w:p>
    <w:p w:rsidR="00913890" w:rsidRDefault="00913890" w:rsidP="009D1601">
      <w:pPr>
        <w:pStyle w:val="NormalWeb"/>
        <w:spacing w:before="0" w:beforeAutospacing="0" w:after="0" w:afterAutospacing="0"/>
        <w:rPr>
          <w:rFonts w:ascii="Arial" w:eastAsia="Calibri" w:hAnsi="Arial" w:cs="Arial"/>
          <w:iCs/>
          <w:sz w:val="22"/>
          <w:szCs w:val="22"/>
          <w:lang w:eastAsia="en-US"/>
        </w:rPr>
      </w:pPr>
    </w:p>
    <w:p w:rsidR="00540ABF" w:rsidRPr="00540ABF" w:rsidRDefault="00540ABF" w:rsidP="009D1601">
      <w:pPr>
        <w:pStyle w:val="Heading1"/>
        <w:numPr>
          <w:ilvl w:val="0"/>
          <w:numId w:val="0"/>
        </w:numPr>
        <w:rPr>
          <w:sz w:val="24"/>
          <w:szCs w:val="22"/>
        </w:rPr>
      </w:pPr>
      <w:bookmarkStart w:id="21" w:name="_Toc410200551"/>
      <w:r w:rsidRPr="00540ABF">
        <w:rPr>
          <w:sz w:val="24"/>
          <w:szCs w:val="22"/>
        </w:rPr>
        <w:lastRenderedPageBreak/>
        <w:t xml:space="preserve">4.5 Increase the small business </w:t>
      </w:r>
      <w:r w:rsidR="00DE7094">
        <w:rPr>
          <w:sz w:val="24"/>
          <w:szCs w:val="22"/>
        </w:rPr>
        <w:t>turnover</w:t>
      </w:r>
      <w:r w:rsidRPr="00540ABF">
        <w:rPr>
          <w:sz w:val="24"/>
          <w:szCs w:val="22"/>
        </w:rPr>
        <w:t xml:space="preserve"> threshold </w:t>
      </w:r>
      <w:r w:rsidR="00CF46D9">
        <w:rPr>
          <w:sz w:val="24"/>
          <w:szCs w:val="22"/>
        </w:rPr>
        <w:t>from $2 million to $</w:t>
      </w:r>
      <w:r w:rsidR="00125009">
        <w:rPr>
          <w:sz w:val="24"/>
          <w:szCs w:val="22"/>
        </w:rPr>
        <w:t>3</w:t>
      </w:r>
      <w:r w:rsidR="00CF46D9">
        <w:rPr>
          <w:sz w:val="24"/>
          <w:szCs w:val="22"/>
        </w:rPr>
        <w:t xml:space="preserve"> million</w:t>
      </w:r>
      <w:bookmarkEnd w:id="21"/>
    </w:p>
    <w:p w:rsidR="00CF46D9" w:rsidRDefault="00CF46D9" w:rsidP="009D1601">
      <w:pPr>
        <w:rPr>
          <w:rFonts w:ascii="Arial" w:hAnsi="Arial" w:cs="Arial"/>
          <w:iCs/>
        </w:rPr>
      </w:pPr>
    </w:p>
    <w:p w:rsidR="00540ABF" w:rsidRPr="00540ABF" w:rsidRDefault="00540ABF" w:rsidP="009D1601">
      <w:pPr>
        <w:rPr>
          <w:rFonts w:ascii="Arial" w:hAnsi="Arial" w:cs="Arial"/>
        </w:rPr>
      </w:pPr>
      <w:r w:rsidRPr="00540ABF">
        <w:rPr>
          <w:rFonts w:ascii="Arial" w:hAnsi="Arial" w:cs="Arial"/>
        </w:rPr>
        <w:t xml:space="preserve">The ATO definition of ‘small business’ a business with a turnover of $2 million (excluding GST) or less does not capture all small businesses in the trucking industry. </w:t>
      </w:r>
    </w:p>
    <w:p w:rsidR="00540ABF" w:rsidRPr="00540ABF" w:rsidRDefault="00540ABF" w:rsidP="009D1601">
      <w:pPr>
        <w:rPr>
          <w:rFonts w:ascii="Arial" w:hAnsi="Arial" w:cs="Arial"/>
        </w:rPr>
      </w:pPr>
    </w:p>
    <w:p w:rsidR="00540ABF" w:rsidRDefault="00540ABF" w:rsidP="009D1601">
      <w:pPr>
        <w:rPr>
          <w:rFonts w:ascii="Arial" w:hAnsi="Arial" w:cs="Arial"/>
        </w:rPr>
      </w:pPr>
      <w:r w:rsidRPr="00540ABF">
        <w:rPr>
          <w:rFonts w:ascii="Arial" w:hAnsi="Arial" w:cs="Arial"/>
        </w:rPr>
        <w:t xml:space="preserve">A trucking company can have turnover of more than $2 million; however it may employ fewer than 20 workers. The amount of turnover is considerable but the resources available to complete tax administration, including business activity statements, superannuation payments and other tax responsibilities may not be sophisticated. </w:t>
      </w:r>
    </w:p>
    <w:p w:rsidR="00DE7094" w:rsidRPr="00540ABF" w:rsidRDefault="00DE7094" w:rsidP="009D1601">
      <w:pPr>
        <w:rPr>
          <w:rFonts w:ascii="Arial" w:hAnsi="Arial" w:cs="Arial"/>
        </w:rPr>
      </w:pPr>
    </w:p>
    <w:p w:rsidR="00185B28" w:rsidRDefault="00DE7094" w:rsidP="009D1601">
      <w:r>
        <w:rPr>
          <w:rFonts w:ascii="Arial" w:hAnsi="Arial" w:cs="Arial"/>
        </w:rPr>
        <w:t xml:space="preserve">In </w:t>
      </w:r>
      <w:r w:rsidRPr="00DE7094">
        <w:rPr>
          <w:rFonts w:ascii="Arial" w:hAnsi="Arial" w:cs="Arial"/>
        </w:rPr>
        <w:t>Australia's Future Tax System Review</w:t>
      </w:r>
      <w:r>
        <w:rPr>
          <w:rFonts w:ascii="Arial" w:hAnsi="Arial" w:cs="Arial"/>
        </w:rPr>
        <w:t xml:space="preserve"> report published in 2009 it was recommended that the </w:t>
      </w:r>
      <w:r w:rsidRPr="00185B28">
        <w:rPr>
          <w:rFonts w:ascii="Arial" w:hAnsi="Arial" w:cs="Arial"/>
        </w:rPr>
        <w:t xml:space="preserve">small business turnover threshold be increased from $2 million to $5 million. </w:t>
      </w:r>
      <w:r w:rsidR="00185B28" w:rsidRPr="00185B28">
        <w:rPr>
          <w:rFonts w:ascii="Arial" w:hAnsi="Arial" w:cs="Arial"/>
        </w:rPr>
        <w:t>This year the</w:t>
      </w:r>
      <w:r w:rsidRPr="00185B28">
        <w:rPr>
          <w:rFonts w:ascii="Arial" w:hAnsi="Arial" w:cs="Arial"/>
        </w:rPr>
        <w:t xml:space="preserve"> Board of Taxation </w:t>
      </w:r>
      <w:r w:rsidR="00185B28" w:rsidRPr="00185B28">
        <w:rPr>
          <w:rFonts w:ascii="Arial" w:hAnsi="Arial" w:cs="Arial"/>
        </w:rPr>
        <w:t xml:space="preserve">released a </w:t>
      </w:r>
      <w:r w:rsidRPr="00185B28">
        <w:rPr>
          <w:rFonts w:ascii="Arial" w:hAnsi="Arial" w:cs="Arial"/>
        </w:rPr>
        <w:t>review of tax impediments facing small business</w:t>
      </w:r>
      <w:r w:rsidR="00185B28">
        <w:rPr>
          <w:rFonts w:ascii="Arial" w:hAnsi="Arial" w:cs="Arial"/>
        </w:rPr>
        <w:t xml:space="preserve"> report reiterated </w:t>
      </w:r>
      <w:r w:rsidR="00185B28" w:rsidRPr="00185B28">
        <w:rPr>
          <w:rFonts w:ascii="Arial" w:hAnsi="Arial" w:cs="Arial"/>
        </w:rPr>
        <w:t>the</w:t>
      </w:r>
      <w:r w:rsidR="00185B28">
        <w:rPr>
          <w:rFonts w:ascii="Arial" w:hAnsi="Arial" w:cs="Arial"/>
        </w:rPr>
        <w:t xml:space="preserve"> point that the</w:t>
      </w:r>
      <w:r w:rsidR="00185B28" w:rsidRPr="00185B28">
        <w:rPr>
          <w:rFonts w:ascii="Arial" w:hAnsi="Arial" w:cs="Arial"/>
        </w:rPr>
        <w:t xml:space="preserve"> $2 million turnover threshold </w:t>
      </w:r>
      <w:r w:rsidR="00185B28">
        <w:rPr>
          <w:rFonts w:ascii="Arial" w:hAnsi="Arial" w:cs="Arial"/>
        </w:rPr>
        <w:t xml:space="preserve">for small business </w:t>
      </w:r>
      <w:r w:rsidR="00185B28" w:rsidRPr="00185B28">
        <w:rPr>
          <w:rFonts w:ascii="Arial" w:hAnsi="Arial" w:cs="Arial"/>
        </w:rPr>
        <w:t>is out of date. The Board recommended the threshold be increased to $3 million as this would achieve a reasonable balance and provide a degree of future proofing. The Board also recommended that there</w:t>
      </w:r>
      <w:r w:rsidR="00185B28">
        <w:rPr>
          <w:rFonts w:ascii="Arial" w:hAnsi="Arial" w:cs="Arial"/>
        </w:rPr>
        <w:t xml:space="preserve"> should</w:t>
      </w:r>
      <w:r w:rsidR="00185B28" w:rsidRPr="00185B28">
        <w:rPr>
          <w:rFonts w:ascii="Arial" w:hAnsi="Arial" w:cs="Arial"/>
        </w:rPr>
        <w:t xml:space="preserve"> be further investigation of</w:t>
      </w:r>
      <w:r w:rsidR="006308E9">
        <w:rPr>
          <w:rFonts w:ascii="Arial" w:hAnsi="Arial" w:cs="Arial"/>
        </w:rPr>
        <w:t xml:space="preserve"> the feasibility of an increase</w:t>
      </w:r>
      <w:r w:rsidR="00185B28" w:rsidRPr="00185B28">
        <w:rPr>
          <w:rFonts w:ascii="Arial" w:hAnsi="Arial" w:cs="Arial"/>
        </w:rPr>
        <w:t xml:space="preserve"> to $5 million.</w:t>
      </w:r>
      <w:r w:rsidR="00185B28">
        <w:t xml:space="preserve"> </w:t>
      </w:r>
    </w:p>
    <w:p w:rsidR="00540ABF" w:rsidRPr="00540ABF" w:rsidRDefault="00540ABF" w:rsidP="009D1601">
      <w:pPr>
        <w:rPr>
          <w:rFonts w:ascii="Arial" w:hAnsi="Arial" w:cs="Arial"/>
        </w:rPr>
      </w:pPr>
    </w:p>
    <w:p w:rsidR="00540ABF" w:rsidRPr="00540ABF" w:rsidRDefault="00185B28" w:rsidP="009D1601">
      <w:pPr>
        <w:rPr>
          <w:rFonts w:ascii="Arial" w:hAnsi="Arial" w:cs="Arial"/>
          <w:b/>
        </w:rPr>
      </w:pPr>
      <w:r>
        <w:rPr>
          <w:rFonts w:ascii="Arial" w:hAnsi="Arial" w:cs="Arial"/>
          <w:b/>
        </w:rPr>
        <w:t>Recommendation 5</w:t>
      </w:r>
    </w:p>
    <w:p w:rsidR="00540ABF" w:rsidRPr="00540ABF" w:rsidRDefault="00540ABF" w:rsidP="009D1601">
      <w:pPr>
        <w:rPr>
          <w:rFonts w:ascii="Arial" w:hAnsi="Arial" w:cs="Arial"/>
        </w:rPr>
      </w:pPr>
    </w:p>
    <w:p w:rsidR="00540ABF" w:rsidRPr="00540ABF" w:rsidRDefault="00540ABF" w:rsidP="009D1601">
      <w:pPr>
        <w:rPr>
          <w:rFonts w:ascii="Arial" w:hAnsi="Arial" w:cs="Arial"/>
        </w:rPr>
      </w:pPr>
      <w:r w:rsidRPr="00540ABF">
        <w:rPr>
          <w:rFonts w:ascii="Arial" w:hAnsi="Arial" w:cs="Arial"/>
        </w:rPr>
        <w:t xml:space="preserve">The </w:t>
      </w:r>
      <w:r w:rsidR="00185B28">
        <w:rPr>
          <w:rFonts w:ascii="Arial" w:hAnsi="Arial" w:cs="Arial"/>
        </w:rPr>
        <w:t xml:space="preserve">Government should </w:t>
      </w:r>
      <w:r w:rsidR="006308E9">
        <w:rPr>
          <w:rFonts w:ascii="Arial" w:hAnsi="Arial" w:cs="Arial"/>
        </w:rPr>
        <w:t xml:space="preserve">increase the small business turnover </w:t>
      </w:r>
      <w:r w:rsidR="006308E9" w:rsidRPr="006308E9">
        <w:rPr>
          <w:rFonts w:ascii="Arial" w:hAnsi="Arial" w:cs="Arial"/>
        </w:rPr>
        <w:t xml:space="preserve">threshold to $3 million </w:t>
      </w:r>
      <w:r w:rsidR="006308E9">
        <w:rPr>
          <w:rFonts w:ascii="Arial" w:hAnsi="Arial" w:cs="Arial"/>
        </w:rPr>
        <w:t>and investigate the feasibility of an increase</w:t>
      </w:r>
      <w:r w:rsidR="006308E9" w:rsidRPr="006308E9">
        <w:rPr>
          <w:rFonts w:ascii="Arial" w:hAnsi="Arial" w:cs="Arial"/>
        </w:rPr>
        <w:t xml:space="preserve"> to $5 million</w:t>
      </w:r>
      <w:r w:rsidR="006308E9">
        <w:rPr>
          <w:rFonts w:ascii="Arial" w:hAnsi="Arial" w:cs="Arial"/>
        </w:rPr>
        <w:t>.</w:t>
      </w:r>
    </w:p>
    <w:p w:rsidR="00540ABF" w:rsidRDefault="00540ABF" w:rsidP="009D1601">
      <w:pPr>
        <w:pStyle w:val="NormalWeb"/>
        <w:spacing w:before="0" w:beforeAutospacing="0" w:after="0" w:afterAutospacing="0"/>
        <w:rPr>
          <w:rFonts w:ascii="Arial" w:eastAsia="Calibri" w:hAnsi="Arial" w:cs="Arial"/>
          <w:iCs/>
          <w:sz w:val="22"/>
          <w:szCs w:val="22"/>
          <w:lang w:eastAsia="en-US"/>
        </w:rPr>
      </w:pPr>
    </w:p>
    <w:p w:rsidR="00540ABF" w:rsidRPr="00540454" w:rsidRDefault="00540ABF" w:rsidP="009D1601">
      <w:pPr>
        <w:pStyle w:val="NormalWeb"/>
        <w:spacing w:before="0" w:beforeAutospacing="0" w:after="0" w:afterAutospacing="0"/>
        <w:rPr>
          <w:rFonts w:ascii="Arial" w:hAnsi="Arial" w:cs="Arial"/>
          <w:iCs/>
          <w:sz w:val="22"/>
          <w:szCs w:val="22"/>
        </w:rPr>
      </w:pPr>
    </w:p>
    <w:p w:rsidR="004854A3" w:rsidRPr="00540454" w:rsidRDefault="004854A3" w:rsidP="009D1601">
      <w:pPr>
        <w:pStyle w:val="Heading1"/>
        <w:rPr>
          <w:szCs w:val="22"/>
        </w:rPr>
      </w:pPr>
      <w:bookmarkStart w:id="22" w:name="_Toc410200552"/>
      <w:r w:rsidRPr="00540454">
        <w:rPr>
          <w:szCs w:val="22"/>
        </w:rPr>
        <w:t xml:space="preserve">Funding for </w:t>
      </w:r>
      <w:r w:rsidR="008361ED" w:rsidRPr="00540454">
        <w:rPr>
          <w:szCs w:val="22"/>
        </w:rPr>
        <w:t xml:space="preserve">workforce </w:t>
      </w:r>
      <w:r w:rsidRPr="00540454">
        <w:rPr>
          <w:szCs w:val="22"/>
        </w:rPr>
        <w:t>skills initiatives</w:t>
      </w:r>
      <w:r w:rsidR="004847D2" w:rsidRPr="00540454">
        <w:rPr>
          <w:szCs w:val="22"/>
        </w:rPr>
        <w:t xml:space="preserve"> to grow productivity</w:t>
      </w:r>
      <w:bookmarkEnd w:id="22"/>
    </w:p>
    <w:p w:rsidR="0024360C" w:rsidRPr="00540454" w:rsidRDefault="0024360C" w:rsidP="009D1601">
      <w:pPr>
        <w:rPr>
          <w:rFonts w:ascii="Arial" w:hAnsi="Arial" w:cs="Arial"/>
        </w:rPr>
      </w:pPr>
    </w:p>
    <w:p w:rsidR="004854A3" w:rsidRPr="00540454" w:rsidRDefault="004847D2" w:rsidP="009D1601">
      <w:pPr>
        <w:rPr>
          <w:rFonts w:ascii="Arial" w:hAnsi="Arial" w:cs="Arial"/>
        </w:rPr>
      </w:pPr>
      <w:r w:rsidRPr="00540454">
        <w:rPr>
          <w:rFonts w:ascii="Arial" w:hAnsi="Arial" w:cs="Arial"/>
        </w:rPr>
        <w:t xml:space="preserve">While much can be done to improve government road provision and improving the quality of </w:t>
      </w:r>
      <w:r w:rsidR="00E73CC6" w:rsidRPr="00540454">
        <w:rPr>
          <w:rFonts w:ascii="Arial" w:hAnsi="Arial" w:cs="Arial"/>
        </w:rPr>
        <w:t xml:space="preserve">infrastructure, supporting the improved human capital and competency of the workforce also plays a vital role in improving productivity of the nation. Therefore the continuation of the </w:t>
      </w:r>
      <w:r w:rsidR="00662A4B" w:rsidRPr="00540454">
        <w:rPr>
          <w:rFonts w:ascii="Arial" w:hAnsi="Arial" w:cs="Arial"/>
        </w:rPr>
        <w:t>Industry Skills Fund</w:t>
      </w:r>
      <w:r w:rsidR="00E73CC6" w:rsidRPr="00540454">
        <w:rPr>
          <w:rFonts w:ascii="Arial" w:hAnsi="Arial" w:cs="Arial"/>
        </w:rPr>
        <w:t xml:space="preserve"> is supported by the ATA</w:t>
      </w:r>
      <w:r w:rsidR="00662A4B" w:rsidRPr="00540454">
        <w:rPr>
          <w:rFonts w:ascii="Arial" w:hAnsi="Arial" w:cs="Arial"/>
        </w:rPr>
        <w:t xml:space="preserve">. </w:t>
      </w:r>
      <w:r w:rsidR="00E73CC6" w:rsidRPr="00540454">
        <w:rPr>
          <w:rFonts w:ascii="Arial" w:hAnsi="Arial" w:cs="Arial"/>
        </w:rPr>
        <w:t xml:space="preserve">The fund </w:t>
      </w:r>
      <w:r w:rsidR="00662A4B" w:rsidRPr="00540454">
        <w:rPr>
          <w:rFonts w:ascii="Arial" w:hAnsi="Arial" w:cs="Arial"/>
        </w:rPr>
        <w:t>will provide</w:t>
      </w:r>
      <w:r w:rsidR="009E6C6B" w:rsidRPr="00540454">
        <w:rPr>
          <w:rFonts w:ascii="Arial" w:hAnsi="Arial" w:cs="Arial"/>
        </w:rPr>
        <w:t xml:space="preserve"> funding </w:t>
      </w:r>
      <w:r w:rsidR="00662A4B" w:rsidRPr="00540454">
        <w:rPr>
          <w:rFonts w:ascii="Arial" w:hAnsi="Arial" w:cs="Arial"/>
        </w:rPr>
        <w:t xml:space="preserve">for </w:t>
      </w:r>
      <w:r w:rsidR="009E6C6B" w:rsidRPr="00540454">
        <w:rPr>
          <w:rFonts w:ascii="Arial" w:hAnsi="Arial" w:cs="Arial"/>
        </w:rPr>
        <w:t>up to 200,000 training place</w:t>
      </w:r>
      <w:r w:rsidR="00662A4B" w:rsidRPr="00540454">
        <w:rPr>
          <w:rFonts w:ascii="Arial" w:hAnsi="Arial" w:cs="Arial"/>
        </w:rPr>
        <w:t>s</w:t>
      </w:r>
      <w:r w:rsidR="009E6C6B" w:rsidRPr="00540454">
        <w:rPr>
          <w:rFonts w:ascii="Arial" w:hAnsi="Arial" w:cs="Arial"/>
        </w:rPr>
        <w:t xml:space="preserve"> and support services over four years.</w:t>
      </w:r>
    </w:p>
    <w:p w:rsidR="009E6C6B" w:rsidRPr="00540454" w:rsidRDefault="009E6C6B" w:rsidP="009D1601">
      <w:pPr>
        <w:rPr>
          <w:rFonts w:ascii="Arial" w:hAnsi="Arial" w:cs="Arial"/>
        </w:rPr>
      </w:pPr>
    </w:p>
    <w:p w:rsidR="009E6C6B" w:rsidRPr="00540454" w:rsidRDefault="008361ED" w:rsidP="009D1601">
      <w:pPr>
        <w:rPr>
          <w:rFonts w:ascii="Arial" w:hAnsi="Arial" w:cs="Arial"/>
        </w:rPr>
      </w:pPr>
      <w:r w:rsidRPr="00540454">
        <w:rPr>
          <w:rFonts w:ascii="Arial" w:hAnsi="Arial" w:cs="Arial"/>
        </w:rPr>
        <w:t>The fund prioritises small to medium enterprises, including micro businesses</w:t>
      </w:r>
      <w:r w:rsidR="006308E9">
        <w:rPr>
          <w:rFonts w:ascii="Arial" w:hAnsi="Arial" w:cs="Arial"/>
        </w:rPr>
        <w:t>. A</w:t>
      </w:r>
      <w:r w:rsidRPr="00540454">
        <w:rPr>
          <w:rFonts w:ascii="Arial" w:hAnsi="Arial" w:cs="Arial"/>
        </w:rPr>
        <w:t xml:space="preserve">s </w:t>
      </w:r>
      <w:r w:rsidR="00662A4B" w:rsidRPr="00540454">
        <w:rPr>
          <w:rFonts w:ascii="Arial" w:hAnsi="Arial" w:cs="Arial"/>
        </w:rPr>
        <w:t>over 89%</w:t>
      </w:r>
      <w:r w:rsidRPr="00540454">
        <w:rPr>
          <w:rFonts w:ascii="Arial" w:hAnsi="Arial" w:cs="Arial"/>
        </w:rPr>
        <w:t xml:space="preserve"> of business own </w:t>
      </w:r>
      <w:r w:rsidR="00662A4B" w:rsidRPr="00540454">
        <w:rPr>
          <w:rFonts w:ascii="Arial" w:hAnsi="Arial" w:cs="Arial"/>
        </w:rPr>
        <w:t xml:space="preserve">2 or fewer </w:t>
      </w:r>
      <w:r w:rsidRPr="00540454">
        <w:rPr>
          <w:rFonts w:ascii="Arial" w:hAnsi="Arial" w:cs="Arial"/>
        </w:rPr>
        <w:t>trucks</w:t>
      </w:r>
      <w:r w:rsidR="00662A4B" w:rsidRPr="00540454">
        <w:rPr>
          <w:rStyle w:val="FootnoteReference"/>
          <w:rFonts w:ascii="Arial" w:hAnsi="Arial" w:cs="Arial"/>
        </w:rPr>
        <w:footnoteReference w:id="17"/>
      </w:r>
      <w:r w:rsidRPr="00540454">
        <w:rPr>
          <w:rFonts w:ascii="Arial" w:hAnsi="Arial" w:cs="Arial"/>
        </w:rPr>
        <w:t xml:space="preserve"> the fund will be useful to industry to increase its skills and competence</w:t>
      </w:r>
      <w:r w:rsidR="0099070F" w:rsidRPr="00540454">
        <w:rPr>
          <w:rFonts w:ascii="Arial" w:hAnsi="Arial" w:cs="Arial"/>
        </w:rPr>
        <w:t xml:space="preserve">. This will </w:t>
      </w:r>
      <w:r w:rsidRPr="00540454">
        <w:rPr>
          <w:rFonts w:ascii="Arial" w:hAnsi="Arial" w:cs="Arial"/>
        </w:rPr>
        <w:t>lead to safety outcomes and provide the workforce with better career progression</w:t>
      </w:r>
      <w:r w:rsidR="0099070F" w:rsidRPr="00540454">
        <w:rPr>
          <w:rFonts w:ascii="Arial" w:hAnsi="Arial" w:cs="Arial"/>
        </w:rPr>
        <w:t xml:space="preserve"> opportunities</w:t>
      </w:r>
      <w:r w:rsidRPr="00540454">
        <w:rPr>
          <w:rFonts w:ascii="Arial" w:hAnsi="Arial" w:cs="Arial"/>
        </w:rPr>
        <w:t>.</w:t>
      </w:r>
    </w:p>
    <w:p w:rsidR="008361ED" w:rsidRPr="00540454" w:rsidRDefault="008361ED" w:rsidP="009D1601">
      <w:pPr>
        <w:rPr>
          <w:rFonts w:ascii="Arial" w:hAnsi="Arial" w:cs="Arial"/>
        </w:rPr>
      </w:pPr>
    </w:p>
    <w:p w:rsidR="008361ED" w:rsidRPr="00540454" w:rsidRDefault="008361ED" w:rsidP="009D1601">
      <w:pPr>
        <w:rPr>
          <w:rFonts w:ascii="Arial" w:hAnsi="Arial" w:cs="Arial"/>
        </w:rPr>
      </w:pPr>
      <w:r w:rsidRPr="00540454">
        <w:rPr>
          <w:rFonts w:ascii="Arial" w:hAnsi="Arial" w:cs="Arial"/>
        </w:rPr>
        <w:t xml:space="preserve">The </w:t>
      </w:r>
      <w:r w:rsidR="006308E9">
        <w:rPr>
          <w:rFonts w:ascii="Arial" w:hAnsi="Arial" w:cs="Arial"/>
        </w:rPr>
        <w:t>f</w:t>
      </w:r>
      <w:r w:rsidRPr="00540454">
        <w:rPr>
          <w:rFonts w:ascii="Arial" w:hAnsi="Arial" w:cs="Arial"/>
        </w:rPr>
        <w:t>und commenced 1 January this year.</w:t>
      </w:r>
    </w:p>
    <w:p w:rsidR="008361ED" w:rsidRPr="00540454" w:rsidRDefault="008361ED" w:rsidP="009D1601">
      <w:pPr>
        <w:rPr>
          <w:rFonts w:ascii="Arial" w:hAnsi="Arial" w:cs="Arial"/>
        </w:rPr>
      </w:pPr>
    </w:p>
    <w:p w:rsidR="008361ED" w:rsidRPr="00540454" w:rsidRDefault="008361ED" w:rsidP="009D1601">
      <w:pPr>
        <w:rPr>
          <w:rFonts w:ascii="Arial" w:hAnsi="Arial" w:cs="Arial"/>
        </w:rPr>
      </w:pPr>
      <w:r w:rsidRPr="00540454">
        <w:rPr>
          <w:rFonts w:ascii="Arial" w:hAnsi="Arial" w:cs="Arial"/>
        </w:rPr>
        <w:t>The ATA recommends the federal government continue to fund the following programs:</w:t>
      </w:r>
    </w:p>
    <w:p w:rsidR="006E05F0" w:rsidRPr="006E05F0" w:rsidRDefault="006308E9" w:rsidP="009D1601">
      <w:pPr>
        <w:numPr>
          <w:ilvl w:val="0"/>
          <w:numId w:val="3"/>
        </w:numPr>
        <w:rPr>
          <w:rFonts w:ascii="Arial" w:hAnsi="Arial" w:cs="Arial"/>
        </w:rPr>
      </w:pPr>
      <w:r>
        <w:rPr>
          <w:rFonts w:ascii="Arial" w:hAnsi="Arial" w:cs="Arial"/>
        </w:rPr>
        <w:t>t</w:t>
      </w:r>
      <w:r w:rsidR="006E05F0" w:rsidRPr="006E05F0">
        <w:rPr>
          <w:rFonts w:ascii="Arial" w:hAnsi="Arial" w:cs="Arial"/>
        </w:rPr>
        <w:t>raining for employment scholarships,</w:t>
      </w:r>
    </w:p>
    <w:p w:rsidR="006E05F0" w:rsidRPr="006E05F0" w:rsidRDefault="006E05F0" w:rsidP="009D1601">
      <w:pPr>
        <w:numPr>
          <w:ilvl w:val="0"/>
          <w:numId w:val="3"/>
        </w:numPr>
        <w:rPr>
          <w:rFonts w:ascii="Arial" w:hAnsi="Arial" w:cs="Arial"/>
        </w:rPr>
      </w:pPr>
      <w:r w:rsidRPr="006E05F0">
        <w:rPr>
          <w:rFonts w:ascii="Arial" w:hAnsi="Arial" w:cs="Arial"/>
        </w:rPr>
        <w:t>youth employment pathways,</w:t>
      </w:r>
    </w:p>
    <w:p w:rsidR="006E05F0" w:rsidRPr="006E05F0" w:rsidRDefault="006E05F0" w:rsidP="009D1601">
      <w:pPr>
        <w:numPr>
          <w:ilvl w:val="0"/>
          <w:numId w:val="3"/>
        </w:numPr>
        <w:rPr>
          <w:rFonts w:ascii="Arial" w:hAnsi="Arial" w:cs="Arial"/>
        </w:rPr>
      </w:pPr>
      <w:r w:rsidRPr="006E05F0">
        <w:rPr>
          <w:rFonts w:ascii="Arial" w:hAnsi="Arial" w:cs="Arial"/>
        </w:rPr>
        <w:t>indigenous employment program, and</w:t>
      </w:r>
    </w:p>
    <w:p w:rsidR="006E05F0" w:rsidRPr="006E05F0" w:rsidRDefault="006E05F0" w:rsidP="009D1601">
      <w:pPr>
        <w:numPr>
          <w:ilvl w:val="0"/>
          <w:numId w:val="3"/>
        </w:numPr>
        <w:rPr>
          <w:rFonts w:ascii="Arial" w:hAnsi="Arial" w:cs="Arial"/>
        </w:rPr>
      </w:pPr>
      <w:r w:rsidRPr="006E05F0">
        <w:rPr>
          <w:rFonts w:ascii="Arial" w:hAnsi="Arial" w:cs="Arial"/>
        </w:rPr>
        <w:t>the restart program.</w:t>
      </w:r>
    </w:p>
    <w:p w:rsidR="006E05F0" w:rsidRDefault="006E05F0" w:rsidP="009D1601">
      <w:pPr>
        <w:rPr>
          <w:rFonts w:ascii="Arial" w:hAnsi="Arial" w:cs="Arial"/>
          <w:b/>
        </w:rPr>
      </w:pPr>
    </w:p>
    <w:p w:rsidR="00E86E35" w:rsidRPr="00540454" w:rsidRDefault="00E86E35" w:rsidP="009D1601">
      <w:pPr>
        <w:rPr>
          <w:rFonts w:ascii="Arial" w:hAnsi="Arial" w:cs="Arial"/>
          <w:b/>
        </w:rPr>
      </w:pPr>
      <w:r w:rsidRPr="00540454">
        <w:rPr>
          <w:rFonts w:ascii="Arial" w:hAnsi="Arial" w:cs="Arial"/>
          <w:b/>
        </w:rPr>
        <w:t>Recommendation</w:t>
      </w:r>
      <w:r w:rsidR="008361ED" w:rsidRPr="00540454">
        <w:rPr>
          <w:rFonts w:ascii="Arial" w:hAnsi="Arial" w:cs="Arial"/>
          <w:b/>
        </w:rPr>
        <w:t xml:space="preserve"> </w:t>
      </w:r>
      <w:r w:rsidR="00185B28">
        <w:rPr>
          <w:rFonts w:ascii="Arial" w:hAnsi="Arial" w:cs="Arial"/>
          <w:b/>
        </w:rPr>
        <w:t>6</w:t>
      </w:r>
    </w:p>
    <w:p w:rsidR="00E86E35" w:rsidRPr="00540454" w:rsidRDefault="00E86E35" w:rsidP="009D1601">
      <w:pPr>
        <w:rPr>
          <w:rFonts w:ascii="Arial" w:hAnsi="Arial" w:cs="Arial"/>
          <w:b/>
        </w:rPr>
      </w:pPr>
    </w:p>
    <w:p w:rsidR="006E05F0" w:rsidRPr="006E05F0" w:rsidRDefault="006E05F0" w:rsidP="009D1601">
      <w:pPr>
        <w:rPr>
          <w:rFonts w:ascii="Arial" w:eastAsiaTheme="minorHAnsi" w:hAnsi="Arial" w:cs="Arial"/>
        </w:rPr>
      </w:pPr>
      <w:r w:rsidRPr="006E05F0">
        <w:rPr>
          <w:rFonts w:ascii="Arial" w:eastAsiaTheme="minorHAnsi" w:hAnsi="Arial" w:cs="Arial"/>
        </w:rPr>
        <w:t>The Government should continue to fund the following skills and workforce enhancement programs in order to improve workforce productivity:</w:t>
      </w:r>
    </w:p>
    <w:p w:rsidR="006E05F0" w:rsidRPr="006E05F0" w:rsidRDefault="006308E9" w:rsidP="009D1601">
      <w:pPr>
        <w:numPr>
          <w:ilvl w:val="0"/>
          <w:numId w:val="3"/>
        </w:numPr>
        <w:rPr>
          <w:rFonts w:ascii="Arial" w:eastAsiaTheme="minorHAnsi" w:hAnsi="Arial" w:cs="Arial"/>
        </w:rPr>
      </w:pPr>
      <w:r>
        <w:rPr>
          <w:rFonts w:ascii="Arial" w:eastAsiaTheme="minorHAnsi" w:hAnsi="Arial" w:cs="Arial"/>
        </w:rPr>
        <w:t>t</w:t>
      </w:r>
      <w:r w:rsidR="006E05F0" w:rsidRPr="006E05F0">
        <w:rPr>
          <w:rFonts w:ascii="Arial" w:eastAsiaTheme="minorHAnsi" w:hAnsi="Arial" w:cs="Arial"/>
        </w:rPr>
        <w:t>raining for employment scholarships,</w:t>
      </w:r>
    </w:p>
    <w:p w:rsidR="006E05F0" w:rsidRPr="006E05F0" w:rsidRDefault="006E05F0" w:rsidP="009D1601">
      <w:pPr>
        <w:numPr>
          <w:ilvl w:val="0"/>
          <w:numId w:val="3"/>
        </w:numPr>
        <w:rPr>
          <w:rFonts w:ascii="Arial" w:eastAsiaTheme="minorHAnsi" w:hAnsi="Arial" w:cs="Arial"/>
        </w:rPr>
      </w:pPr>
      <w:r w:rsidRPr="006E05F0">
        <w:rPr>
          <w:rFonts w:ascii="Arial" w:eastAsiaTheme="minorHAnsi" w:hAnsi="Arial" w:cs="Arial"/>
        </w:rPr>
        <w:t>youth employment pathways,</w:t>
      </w:r>
    </w:p>
    <w:p w:rsidR="006E05F0" w:rsidRPr="006E05F0" w:rsidRDefault="006E05F0" w:rsidP="009D1601">
      <w:pPr>
        <w:numPr>
          <w:ilvl w:val="0"/>
          <w:numId w:val="3"/>
        </w:numPr>
        <w:rPr>
          <w:rFonts w:ascii="Arial" w:eastAsiaTheme="minorHAnsi" w:hAnsi="Arial" w:cs="Arial"/>
        </w:rPr>
      </w:pPr>
      <w:r w:rsidRPr="006E05F0">
        <w:rPr>
          <w:rFonts w:ascii="Arial" w:eastAsiaTheme="minorHAnsi" w:hAnsi="Arial" w:cs="Arial"/>
        </w:rPr>
        <w:t>indigenous employment program, and</w:t>
      </w:r>
    </w:p>
    <w:p w:rsidR="006E05F0" w:rsidRPr="006E05F0" w:rsidRDefault="006E05F0" w:rsidP="009D1601">
      <w:pPr>
        <w:numPr>
          <w:ilvl w:val="0"/>
          <w:numId w:val="3"/>
        </w:numPr>
        <w:rPr>
          <w:rFonts w:ascii="Arial" w:eastAsiaTheme="minorHAnsi" w:hAnsi="Arial" w:cs="Arial"/>
        </w:rPr>
      </w:pPr>
      <w:r w:rsidRPr="006E05F0">
        <w:rPr>
          <w:rFonts w:ascii="Arial" w:eastAsiaTheme="minorHAnsi" w:hAnsi="Arial" w:cs="Arial"/>
        </w:rPr>
        <w:t>the restart program.</w:t>
      </w:r>
    </w:p>
    <w:p w:rsidR="00E464E0" w:rsidRPr="00540454" w:rsidRDefault="00E464E0" w:rsidP="009D1601">
      <w:pPr>
        <w:pStyle w:val="PlainText"/>
        <w:rPr>
          <w:rFonts w:ascii="Arial" w:eastAsia="Times New Roman" w:hAnsi="Arial" w:cs="Arial"/>
          <w:bCs/>
          <w:sz w:val="22"/>
          <w:szCs w:val="22"/>
          <w:lang w:eastAsia="en-US"/>
        </w:rPr>
      </w:pPr>
    </w:p>
    <w:sectPr w:rsidR="00E464E0" w:rsidRPr="00540454"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B0" w:rsidRDefault="005F01B0" w:rsidP="000F3D9F">
      <w:r>
        <w:separator/>
      </w:r>
    </w:p>
  </w:endnote>
  <w:endnote w:type="continuationSeparator" w:id="0">
    <w:p w:rsidR="005F01B0" w:rsidRDefault="005F01B0"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0" w:rsidRDefault="006E0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Default="005F01B0"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14:anchorId="08A6DB1C" wp14:editId="04306537">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5F01B0" w:rsidRPr="00E8056B" w:rsidRDefault="005F01B0" w:rsidP="00E8056B">
    <w:pPr>
      <w:jc w:val="right"/>
      <w:rPr>
        <w:rFonts w:ascii="Arial" w:hAnsi="Arial" w:cs="Arial"/>
        <w:sz w:val="16"/>
        <w:szCs w:val="16"/>
      </w:rPr>
    </w:pPr>
  </w:p>
  <w:p w:rsidR="005F01B0" w:rsidRPr="00E8056B" w:rsidRDefault="005F01B0"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5F01B0" w:rsidRPr="00E8056B" w:rsidRDefault="005F01B0"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Default="005F01B0">
    <w:pPr>
      <w:pStyle w:val="Footer"/>
      <w:jc w:val="right"/>
    </w:pPr>
    <w:r>
      <w:fldChar w:fldCharType="begin"/>
    </w:r>
    <w:r>
      <w:instrText xml:space="preserve"> PAGE   \* MERGEFORMAT </w:instrText>
    </w:r>
    <w:r>
      <w:fldChar w:fldCharType="separate"/>
    </w:r>
    <w:r>
      <w:rPr>
        <w:noProof/>
      </w:rPr>
      <w:t>7</w:t>
    </w:r>
    <w:r>
      <w:rPr>
        <w:noProof/>
      </w:rPr>
      <w:fldChar w:fldCharType="end"/>
    </w:r>
  </w:p>
  <w:p w:rsidR="005F01B0" w:rsidRDefault="005F01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Default="005F01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5F01B0" w:rsidRPr="00A91411" w:rsidTr="008E09F4">
      <w:trPr>
        <w:trHeight w:val="57"/>
      </w:trPr>
      <w:tc>
        <w:tcPr>
          <w:tcW w:w="4927" w:type="dxa"/>
          <w:vAlign w:val="center"/>
        </w:tcPr>
        <w:p w:rsidR="005F01B0" w:rsidRPr="00A91411" w:rsidRDefault="005F01B0" w:rsidP="008C10AA">
          <w:pPr>
            <w:pStyle w:val="Footer"/>
            <w:rPr>
              <w:rFonts w:ascii="Arial" w:hAnsi="Arial" w:cs="Arial"/>
              <w:sz w:val="14"/>
              <w:szCs w:val="14"/>
            </w:rPr>
          </w:pPr>
          <w:r>
            <w:rPr>
              <w:rFonts w:ascii="Arial" w:hAnsi="Arial" w:cs="Arial"/>
              <w:sz w:val="14"/>
              <w:szCs w:val="14"/>
            </w:rPr>
            <w:t>ATA Submission: 2015-16</w:t>
          </w:r>
          <w:r w:rsidRPr="005F31DF">
            <w:rPr>
              <w:rFonts w:ascii="Arial" w:hAnsi="Arial" w:cs="Arial"/>
              <w:sz w:val="14"/>
              <w:szCs w:val="14"/>
            </w:rPr>
            <w:t xml:space="preserve"> Pre-</w:t>
          </w:r>
          <w:r>
            <w:rPr>
              <w:rFonts w:ascii="Arial" w:hAnsi="Arial" w:cs="Arial"/>
              <w:sz w:val="14"/>
              <w:szCs w:val="14"/>
            </w:rPr>
            <w:t>b</w:t>
          </w:r>
          <w:r w:rsidRPr="005F31DF">
            <w:rPr>
              <w:rFonts w:ascii="Arial" w:hAnsi="Arial" w:cs="Arial"/>
              <w:sz w:val="14"/>
              <w:szCs w:val="14"/>
            </w:rPr>
            <w:t>udget Submission</w:t>
          </w:r>
        </w:p>
      </w:tc>
      <w:tc>
        <w:tcPr>
          <w:tcW w:w="4927" w:type="dxa"/>
          <w:vAlign w:val="center"/>
        </w:tcPr>
        <w:p w:rsidR="005F01B0" w:rsidRPr="00A91411" w:rsidRDefault="005F01B0"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5E57AC">
            <w:rPr>
              <w:rFonts w:ascii="Arial" w:hAnsi="Arial" w:cs="Arial"/>
              <w:noProof/>
              <w:sz w:val="14"/>
              <w:szCs w:val="14"/>
            </w:rPr>
            <w:t>2</w:t>
          </w:r>
          <w:r w:rsidRPr="00A91411">
            <w:rPr>
              <w:rFonts w:ascii="Arial" w:hAnsi="Arial" w:cs="Arial"/>
              <w:sz w:val="14"/>
              <w:szCs w:val="14"/>
            </w:rPr>
            <w:fldChar w:fldCharType="end"/>
          </w:r>
        </w:p>
      </w:tc>
    </w:tr>
  </w:tbl>
  <w:p w:rsidR="005F01B0" w:rsidRPr="00A91411" w:rsidRDefault="005F01B0">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Default="005F0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B0" w:rsidRDefault="005F01B0" w:rsidP="000F3D9F">
      <w:r>
        <w:separator/>
      </w:r>
    </w:p>
  </w:footnote>
  <w:footnote w:type="continuationSeparator" w:id="0">
    <w:p w:rsidR="005F01B0" w:rsidRDefault="005F01B0" w:rsidP="000F3D9F">
      <w:r>
        <w:continuationSeparator/>
      </w:r>
    </w:p>
  </w:footnote>
  <w:footnote w:id="1">
    <w:p w:rsidR="006233B3" w:rsidRPr="00CF46D9" w:rsidRDefault="006233B3" w:rsidP="006233B3">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PricewaterhouseCoopers, </w:t>
      </w:r>
      <w:r w:rsidRPr="00CF46D9">
        <w:rPr>
          <w:rFonts w:ascii="Arial" w:hAnsi="Arial" w:cs="Arial"/>
          <w:i/>
          <w:sz w:val="16"/>
          <w:szCs w:val="16"/>
        </w:rPr>
        <w:t xml:space="preserve">A future strategy for road supply and charging in Australia, </w:t>
      </w:r>
      <w:r w:rsidRPr="00CF46D9">
        <w:rPr>
          <w:rFonts w:ascii="Arial" w:hAnsi="Arial" w:cs="Arial"/>
          <w:sz w:val="16"/>
          <w:szCs w:val="16"/>
        </w:rPr>
        <w:t xml:space="preserve">2013, accessible at: </w:t>
      </w:r>
      <w:hyperlink r:id="rId1" w:history="1">
        <w:r w:rsidRPr="00CF46D9">
          <w:rPr>
            <w:rStyle w:val="Hyperlink"/>
            <w:rFonts w:ascii="Arial" w:hAnsi="Arial" w:cs="Arial"/>
            <w:sz w:val="16"/>
            <w:szCs w:val="16"/>
          </w:rPr>
          <w:t>www.truck.net.au/industry-resources/future-strategy-road-supply-and-charging-australia</w:t>
        </w:r>
      </w:hyperlink>
      <w:r w:rsidRPr="00CF46D9">
        <w:rPr>
          <w:rFonts w:ascii="Arial" w:hAnsi="Arial" w:cs="Arial"/>
          <w:sz w:val="16"/>
          <w:szCs w:val="16"/>
        </w:rPr>
        <w:t>, page 12</w:t>
      </w:r>
    </w:p>
  </w:footnote>
  <w:footnote w:id="2">
    <w:p w:rsidR="006233B3" w:rsidRPr="00CF46D9" w:rsidRDefault="006233B3" w:rsidP="006233B3">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PricewaterhouseCoopers, </w:t>
      </w:r>
      <w:r w:rsidRPr="00CF46D9">
        <w:rPr>
          <w:rFonts w:ascii="Arial" w:hAnsi="Arial" w:cs="Arial"/>
          <w:i/>
          <w:sz w:val="16"/>
          <w:szCs w:val="16"/>
        </w:rPr>
        <w:t xml:space="preserve">A future strategy for road supply and charging in Australia, </w:t>
      </w:r>
      <w:r w:rsidRPr="00CF46D9">
        <w:rPr>
          <w:rFonts w:ascii="Arial" w:hAnsi="Arial" w:cs="Arial"/>
          <w:sz w:val="16"/>
          <w:szCs w:val="16"/>
        </w:rPr>
        <w:t xml:space="preserve">2013, accessible at: </w:t>
      </w:r>
      <w:hyperlink r:id="rId2" w:history="1">
        <w:r w:rsidRPr="00CF46D9">
          <w:rPr>
            <w:rStyle w:val="Hyperlink"/>
            <w:rFonts w:ascii="Arial" w:hAnsi="Arial" w:cs="Arial"/>
            <w:sz w:val="16"/>
            <w:szCs w:val="16"/>
          </w:rPr>
          <w:t>www.truck.net.au/industry-resources/future-strategy-road-supply-and-charging-australia</w:t>
        </w:r>
      </w:hyperlink>
      <w:r w:rsidRPr="00CF46D9">
        <w:rPr>
          <w:rFonts w:ascii="Arial" w:hAnsi="Arial" w:cs="Arial"/>
          <w:sz w:val="16"/>
          <w:szCs w:val="16"/>
        </w:rPr>
        <w:t>, page 10</w:t>
      </w:r>
    </w:p>
  </w:footnote>
  <w:footnote w:id="3">
    <w:p w:rsidR="006233B3" w:rsidRPr="00CF46D9" w:rsidRDefault="006233B3" w:rsidP="006233B3">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PricewaterhouseCoopers, </w:t>
      </w:r>
      <w:r w:rsidRPr="00CF46D9">
        <w:rPr>
          <w:rFonts w:ascii="Arial" w:hAnsi="Arial" w:cs="Arial"/>
          <w:i/>
          <w:sz w:val="16"/>
          <w:szCs w:val="16"/>
        </w:rPr>
        <w:t xml:space="preserve">A future strategy for road supply and charging in Australia, </w:t>
      </w:r>
      <w:r w:rsidRPr="00CF46D9">
        <w:rPr>
          <w:rFonts w:ascii="Arial" w:hAnsi="Arial" w:cs="Arial"/>
          <w:sz w:val="16"/>
          <w:szCs w:val="16"/>
        </w:rPr>
        <w:t xml:space="preserve">2013, accessible at: </w:t>
      </w:r>
      <w:hyperlink r:id="rId3" w:history="1">
        <w:r w:rsidRPr="00CF46D9">
          <w:rPr>
            <w:rStyle w:val="Hyperlink"/>
            <w:rFonts w:ascii="Arial" w:hAnsi="Arial" w:cs="Arial"/>
            <w:sz w:val="16"/>
            <w:szCs w:val="16"/>
          </w:rPr>
          <w:t>www.truck.net.au/industry-resources/future-strategy-road-supply-and-charging-australia</w:t>
        </w:r>
      </w:hyperlink>
      <w:r w:rsidRPr="00CF46D9">
        <w:rPr>
          <w:rFonts w:ascii="Arial" w:hAnsi="Arial" w:cs="Arial"/>
          <w:sz w:val="16"/>
          <w:szCs w:val="16"/>
        </w:rPr>
        <w:t>, page 18</w:t>
      </w:r>
    </w:p>
  </w:footnote>
  <w:footnote w:id="4">
    <w:p w:rsidR="0071276D" w:rsidRPr="00CF46D9" w:rsidRDefault="0071276D" w:rsidP="0071276D">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Bureau of Infrastructure, Transport and Regional Economics, </w:t>
      </w:r>
      <w:r w:rsidRPr="00CF46D9">
        <w:rPr>
          <w:rFonts w:ascii="Arial" w:hAnsi="Arial" w:cs="Arial"/>
          <w:i/>
          <w:sz w:val="16"/>
          <w:szCs w:val="16"/>
        </w:rPr>
        <w:t>Truck productivity: sources, trends and future prospects</w:t>
      </w:r>
      <w:r w:rsidRPr="00CF46D9">
        <w:rPr>
          <w:rFonts w:ascii="Arial" w:hAnsi="Arial" w:cs="Arial"/>
          <w:sz w:val="16"/>
          <w:szCs w:val="16"/>
        </w:rPr>
        <w:t xml:space="preserve">. Report 123. BITRE, Canberra, </w:t>
      </w:r>
      <w:proofErr w:type="gramStart"/>
      <w:r w:rsidRPr="00CF46D9">
        <w:rPr>
          <w:rFonts w:ascii="Arial" w:hAnsi="Arial" w:cs="Arial"/>
          <w:sz w:val="16"/>
          <w:szCs w:val="16"/>
        </w:rPr>
        <w:t>2011.,</w:t>
      </w:r>
      <w:proofErr w:type="gramEnd"/>
      <w:r w:rsidRPr="00CF46D9">
        <w:rPr>
          <w:rFonts w:ascii="Arial" w:hAnsi="Arial" w:cs="Arial"/>
          <w:sz w:val="16"/>
          <w:szCs w:val="16"/>
        </w:rPr>
        <w:t xml:space="preserve"> accessible at: </w:t>
      </w:r>
      <w:hyperlink r:id="rId4" w:history="1">
        <w:r w:rsidRPr="00CF46D9">
          <w:rPr>
            <w:rStyle w:val="Hyperlink"/>
            <w:rFonts w:ascii="Arial" w:hAnsi="Arial" w:cs="Arial"/>
            <w:sz w:val="16"/>
            <w:szCs w:val="16"/>
          </w:rPr>
          <w:t>www.bitre.gov.au/publications/2011/files/report_123.pdf</w:t>
        </w:r>
      </w:hyperlink>
      <w:r w:rsidRPr="00CF46D9">
        <w:rPr>
          <w:rFonts w:ascii="Arial" w:hAnsi="Arial" w:cs="Arial"/>
          <w:sz w:val="16"/>
          <w:szCs w:val="16"/>
        </w:rPr>
        <w:t xml:space="preserve"> page xv.</w:t>
      </w:r>
    </w:p>
  </w:footnote>
  <w:footnote w:id="5">
    <w:p w:rsidR="005F01B0" w:rsidRPr="00CF46D9" w:rsidRDefault="005F01B0" w:rsidP="008E5878">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PricewaterhouseCoopers, </w:t>
      </w:r>
      <w:r w:rsidRPr="00CF46D9">
        <w:rPr>
          <w:rFonts w:ascii="Arial" w:hAnsi="Arial" w:cs="Arial"/>
          <w:i/>
          <w:sz w:val="16"/>
          <w:szCs w:val="16"/>
        </w:rPr>
        <w:t xml:space="preserve">A future strategy for road supply and charging in Australia, </w:t>
      </w:r>
      <w:r w:rsidRPr="00CF46D9">
        <w:rPr>
          <w:rFonts w:ascii="Arial" w:hAnsi="Arial" w:cs="Arial"/>
          <w:sz w:val="16"/>
          <w:szCs w:val="16"/>
        </w:rPr>
        <w:t xml:space="preserve">2013, accessible at: </w:t>
      </w:r>
      <w:hyperlink r:id="rId5" w:history="1">
        <w:r w:rsidRPr="00CF46D9">
          <w:rPr>
            <w:rStyle w:val="Hyperlink"/>
            <w:rFonts w:ascii="Arial" w:hAnsi="Arial" w:cs="Arial"/>
            <w:sz w:val="16"/>
            <w:szCs w:val="16"/>
          </w:rPr>
          <w:t>www.truck.net.au/industry-resources/future-strategy-road-supply-and-charging-australia</w:t>
        </w:r>
      </w:hyperlink>
      <w:r w:rsidRPr="00CF46D9">
        <w:rPr>
          <w:rFonts w:ascii="Arial" w:hAnsi="Arial" w:cs="Arial"/>
          <w:sz w:val="16"/>
          <w:szCs w:val="16"/>
        </w:rPr>
        <w:t>, page 31-32.</w:t>
      </w:r>
    </w:p>
  </w:footnote>
  <w:footnote w:id="6">
    <w:p w:rsidR="005F01B0" w:rsidRPr="00CF46D9" w:rsidRDefault="005F01B0" w:rsidP="00007723">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National Transport Commission, </w:t>
      </w:r>
      <w:r w:rsidRPr="00CF46D9">
        <w:rPr>
          <w:rFonts w:ascii="Arial" w:hAnsi="Arial" w:cs="Arial"/>
          <w:i/>
          <w:sz w:val="16"/>
          <w:szCs w:val="16"/>
        </w:rPr>
        <w:t>2014 Heavy Vehicle Charges Determination RIS February 2014</w:t>
      </w:r>
      <w:r w:rsidRPr="00CF46D9">
        <w:rPr>
          <w:rFonts w:ascii="Arial" w:hAnsi="Arial" w:cs="Arial"/>
          <w:sz w:val="16"/>
          <w:szCs w:val="16"/>
        </w:rPr>
        <w:t>, Accessible at :</w:t>
      </w:r>
      <w:hyperlink r:id="rId6" w:history="1">
        <w:r w:rsidRPr="00CF46D9">
          <w:rPr>
            <w:rStyle w:val="Hyperlink"/>
            <w:rFonts w:ascii="Arial" w:hAnsi="Arial" w:cs="Arial"/>
            <w:sz w:val="16"/>
            <w:szCs w:val="16"/>
          </w:rPr>
          <w:t>http://www.ntc.gov.au/Media/Reports/(D72A1250-2EA5-5377-2008-17FE01D3DC72).pdf</w:t>
        </w:r>
      </w:hyperlink>
      <w:r w:rsidRPr="00CF46D9">
        <w:rPr>
          <w:rStyle w:val="Hyperlink"/>
          <w:rFonts w:ascii="Arial" w:hAnsi="Arial" w:cs="Arial"/>
          <w:color w:val="auto"/>
          <w:sz w:val="16"/>
          <w:szCs w:val="16"/>
        </w:rPr>
        <w:t>,</w:t>
      </w:r>
      <w:r w:rsidRPr="00CF46D9">
        <w:rPr>
          <w:rFonts w:ascii="Arial" w:hAnsi="Arial" w:cs="Arial"/>
          <w:sz w:val="16"/>
          <w:szCs w:val="16"/>
        </w:rPr>
        <w:t xml:space="preserve"> Page 59 </w:t>
      </w:r>
    </w:p>
  </w:footnote>
  <w:footnote w:id="7">
    <w:p w:rsidR="00DA068C" w:rsidRPr="00CF46D9" w:rsidRDefault="00DA068C">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BF5839" w:rsidRPr="00CF46D9">
        <w:rPr>
          <w:rFonts w:ascii="Arial" w:hAnsi="Arial" w:cs="Arial"/>
          <w:sz w:val="16"/>
          <w:szCs w:val="16"/>
        </w:rPr>
        <w:t xml:space="preserve">Australian Government Response, </w:t>
      </w:r>
      <w:r w:rsidR="00BF5839" w:rsidRPr="00CF46D9">
        <w:rPr>
          <w:rFonts w:ascii="Arial" w:hAnsi="Arial" w:cs="Arial"/>
          <w:i/>
          <w:sz w:val="16"/>
          <w:szCs w:val="16"/>
        </w:rPr>
        <w:t>Australian Government Response: Productivity Commission Inquiry Report into Public Infrastructure</w:t>
      </w:r>
      <w:r w:rsidR="00CF46D9" w:rsidRPr="00CF46D9">
        <w:rPr>
          <w:rFonts w:ascii="Arial" w:hAnsi="Arial" w:cs="Arial"/>
          <w:i/>
          <w:sz w:val="16"/>
          <w:szCs w:val="16"/>
        </w:rPr>
        <w:t xml:space="preserve"> </w:t>
      </w:r>
      <w:r w:rsidR="00BF5839" w:rsidRPr="00CF46D9">
        <w:rPr>
          <w:rFonts w:ascii="Arial" w:hAnsi="Arial" w:cs="Arial"/>
          <w:sz w:val="16"/>
          <w:szCs w:val="16"/>
        </w:rPr>
        <w:t>,2014</w:t>
      </w:r>
      <w:r w:rsidR="00CF46D9" w:rsidRPr="00CF46D9">
        <w:rPr>
          <w:rFonts w:ascii="Arial" w:hAnsi="Arial" w:cs="Arial"/>
          <w:sz w:val="16"/>
          <w:szCs w:val="16"/>
        </w:rPr>
        <w:t xml:space="preserve"> ,</w:t>
      </w:r>
      <w:r w:rsidR="00BF5839" w:rsidRPr="00CF46D9">
        <w:rPr>
          <w:rFonts w:ascii="Arial" w:hAnsi="Arial" w:cs="Arial"/>
          <w:sz w:val="16"/>
          <w:szCs w:val="16"/>
        </w:rPr>
        <w:t xml:space="preserve">accessible at: </w:t>
      </w:r>
      <w:hyperlink r:id="rId7" w:history="1">
        <w:r w:rsidR="00BF5839" w:rsidRPr="00CF46D9">
          <w:rPr>
            <w:rStyle w:val="Hyperlink"/>
            <w:rFonts w:ascii="Arial" w:hAnsi="Arial" w:cs="Arial"/>
            <w:sz w:val="16"/>
            <w:szCs w:val="16"/>
          </w:rPr>
          <w:t>http://www.infrastructure.gov.au/infrastructure/publications/files/Productivity_Commission_Inquiry_Report_into_Public_Infrastructure.pdf</w:t>
        </w:r>
      </w:hyperlink>
      <w:r w:rsidR="00BF5839" w:rsidRPr="00CF46D9">
        <w:rPr>
          <w:rFonts w:ascii="Arial" w:hAnsi="Arial" w:cs="Arial"/>
          <w:sz w:val="16"/>
          <w:szCs w:val="16"/>
        </w:rPr>
        <w:t xml:space="preserve"> </w:t>
      </w:r>
      <w:r w:rsidR="00CF46D9" w:rsidRPr="00CF46D9">
        <w:rPr>
          <w:rFonts w:ascii="Arial" w:hAnsi="Arial" w:cs="Arial"/>
          <w:sz w:val="16"/>
          <w:szCs w:val="16"/>
        </w:rPr>
        <w:t>, Page 6</w:t>
      </w:r>
    </w:p>
  </w:footnote>
  <w:footnote w:id="8">
    <w:p w:rsidR="00DA068C" w:rsidRPr="00CF46D9" w:rsidRDefault="00DA068C">
      <w:pPr>
        <w:pStyle w:val="FootnoteText"/>
        <w:rPr>
          <w:rFonts w:ascii="Arial" w:hAnsi="Arial" w:cs="Arial"/>
          <w:sz w:val="16"/>
          <w:szCs w:val="16"/>
        </w:rPr>
      </w:pPr>
      <w:r w:rsidRPr="00CF46D9">
        <w:rPr>
          <w:rStyle w:val="FootnoteReference"/>
          <w:rFonts w:ascii="Arial" w:hAnsi="Arial" w:cs="Arial"/>
          <w:sz w:val="16"/>
          <w:szCs w:val="16"/>
        </w:rPr>
        <w:footnoteRef/>
      </w:r>
      <w:r w:rsidR="00CF46D9" w:rsidRPr="00CF46D9">
        <w:rPr>
          <w:rFonts w:ascii="Arial" w:hAnsi="Arial" w:cs="Arial"/>
          <w:sz w:val="16"/>
          <w:szCs w:val="16"/>
          <w:vertAlign w:val="superscript"/>
        </w:rPr>
        <w:footnoteRef/>
      </w:r>
      <w:r w:rsidR="00CF46D9" w:rsidRPr="00CF46D9">
        <w:rPr>
          <w:rFonts w:ascii="Arial" w:hAnsi="Arial" w:cs="Arial"/>
          <w:sz w:val="16"/>
          <w:szCs w:val="16"/>
        </w:rPr>
        <w:t xml:space="preserve"> Australian Government Response, </w:t>
      </w:r>
      <w:r w:rsidR="00CF46D9" w:rsidRPr="00CF46D9">
        <w:rPr>
          <w:rFonts w:ascii="Arial" w:hAnsi="Arial" w:cs="Arial"/>
          <w:i/>
          <w:sz w:val="16"/>
          <w:szCs w:val="16"/>
        </w:rPr>
        <w:t xml:space="preserve">Australian Government Response: Productivity Commission Inquiry Report into Public Infrastructure </w:t>
      </w:r>
      <w:r w:rsidR="00CF46D9" w:rsidRPr="00CF46D9">
        <w:rPr>
          <w:rFonts w:ascii="Arial" w:hAnsi="Arial" w:cs="Arial"/>
          <w:sz w:val="16"/>
          <w:szCs w:val="16"/>
        </w:rPr>
        <w:t xml:space="preserve">,2014 ,accessible at: </w:t>
      </w:r>
      <w:hyperlink r:id="rId8" w:history="1">
        <w:r w:rsidR="00CF46D9" w:rsidRPr="00CF46D9">
          <w:rPr>
            <w:rStyle w:val="Hyperlink"/>
            <w:rFonts w:ascii="Arial" w:hAnsi="Arial" w:cs="Arial"/>
            <w:sz w:val="16"/>
            <w:szCs w:val="16"/>
          </w:rPr>
          <w:t>http://www.infrastructure.gov.au/infrastructure/publications/files/Productivity_Commission_Inquiry_Report_into_Public_Infrastructure.pdf</w:t>
        </w:r>
      </w:hyperlink>
      <w:r w:rsidRPr="00CF46D9">
        <w:rPr>
          <w:rFonts w:ascii="Arial" w:hAnsi="Arial" w:cs="Arial"/>
          <w:sz w:val="16"/>
          <w:szCs w:val="16"/>
        </w:rPr>
        <w:t xml:space="preserve"> Page 12</w:t>
      </w:r>
    </w:p>
  </w:footnote>
  <w:footnote w:id="9">
    <w:p w:rsidR="005F01B0" w:rsidRPr="00CF46D9" w:rsidRDefault="005F01B0" w:rsidP="00CB38F2">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CC3585" w:rsidRPr="00CF46D9">
        <w:rPr>
          <w:rFonts w:ascii="Arial" w:hAnsi="Arial" w:cs="Arial"/>
          <w:sz w:val="16"/>
          <w:szCs w:val="16"/>
        </w:rPr>
        <w:t xml:space="preserve">The Productivity Commission </w:t>
      </w:r>
      <w:r w:rsidR="00CC3585" w:rsidRPr="00CF46D9">
        <w:rPr>
          <w:rFonts w:ascii="Arial" w:hAnsi="Arial" w:cs="Arial"/>
          <w:i/>
          <w:sz w:val="16"/>
          <w:szCs w:val="16"/>
        </w:rPr>
        <w:t>Public Infrastructure Draft Report</w:t>
      </w:r>
      <w:r w:rsidR="00CC3585" w:rsidRPr="00CF46D9">
        <w:rPr>
          <w:rFonts w:ascii="Arial" w:hAnsi="Arial" w:cs="Arial"/>
          <w:sz w:val="16"/>
          <w:szCs w:val="16"/>
        </w:rPr>
        <w:t xml:space="preserve"> </w:t>
      </w:r>
      <w:r w:rsidR="00CC3585" w:rsidRPr="00CF46D9">
        <w:rPr>
          <w:rFonts w:ascii="Arial" w:hAnsi="Arial" w:cs="Arial"/>
          <w:i/>
          <w:sz w:val="16"/>
          <w:szCs w:val="16"/>
        </w:rPr>
        <w:t>March 2014</w:t>
      </w:r>
      <w:r w:rsidR="00CC3585" w:rsidRPr="00CF46D9">
        <w:rPr>
          <w:rFonts w:ascii="Arial" w:hAnsi="Arial" w:cs="Arial"/>
          <w:sz w:val="16"/>
          <w:szCs w:val="16"/>
        </w:rPr>
        <w:t xml:space="preserve">, accessible at: </w:t>
      </w:r>
      <w:hyperlink r:id="rId9" w:history="1">
        <w:r w:rsidR="00CC3585" w:rsidRPr="00CF46D9">
          <w:rPr>
            <w:rStyle w:val="Hyperlink"/>
            <w:rFonts w:ascii="Arial" w:hAnsi="Arial" w:cs="Arial"/>
            <w:sz w:val="16"/>
            <w:szCs w:val="16"/>
          </w:rPr>
          <w:t>http://www.pc.gov.au/inquiries/completed/infrastructure</w:t>
        </w:r>
      </w:hyperlink>
      <w:r w:rsidR="00CC3585" w:rsidRPr="00CF46D9">
        <w:rPr>
          <w:rFonts w:ascii="Arial" w:hAnsi="Arial" w:cs="Arial"/>
          <w:sz w:val="16"/>
          <w:szCs w:val="16"/>
        </w:rPr>
        <w:t xml:space="preserve">  Page 36</w:t>
      </w:r>
    </w:p>
  </w:footnote>
  <w:footnote w:id="10">
    <w:p w:rsidR="005F01B0" w:rsidRPr="00CF46D9" w:rsidRDefault="005F01B0" w:rsidP="006E0E88">
      <w:pPr>
        <w:pStyle w:val="FootnoteText"/>
        <w:rPr>
          <w:rFonts w:ascii="Arial" w:hAnsi="Arial" w:cs="Arial"/>
          <w:sz w:val="16"/>
          <w:szCs w:val="16"/>
        </w:rPr>
      </w:pPr>
      <w:r w:rsidRPr="00CF46D9">
        <w:rPr>
          <w:rStyle w:val="FootnoteReference"/>
          <w:rFonts w:ascii="Arial" w:hAnsi="Arial" w:cs="Arial"/>
          <w:sz w:val="16"/>
          <w:szCs w:val="16"/>
        </w:rPr>
        <w:footnoteRef/>
      </w:r>
      <w:r w:rsidR="00CC3585" w:rsidRPr="00CF46D9">
        <w:rPr>
          <w:rFonts w:ascii="Arial" w:hAnsi="Arial" w:cs="Arial"/>
          <w:sz w:val="16"/>
          <w:szCs w:val="16"/>
        </w:rPr>
        <w:t xml:space="preserve"> The Productivity Commission </w:t>
      </w:r>
      <w:r w:rsidR="00CC3585" w:rsidRPr="00CF46D9">
        <w:rPr>
          <w:rFonts w:ascii="Arial" w:hAnsi="Arial" w:cs="Arial"/>
          <w:i/>
          <w:sz w:val="16"/>
          <w:szCs w:val="16"/>
        </w:rPr>
        <w:t>Public Infrastructure Draft Report</w:t>
      </w:r>
      <w:r w:rsidR="00CC3585" w:rsidRPr="00CF46D9">
        <w:rPr>
          <w:rFonts w:ascii="Arial" w:hAnsi="Arial" w:cs="Arial"/>
          <w:sz w:val="16"/>
          <w:szCs w:val="16"/>
        </w:rPr>
        <w:t xml:space="preserve"> </w:t>
      </w:r>
      <w:r w:rsidR="00CC3585" w:rsidRPr="00CF46D9">
        <w:rPr>
          <w:rFonts w:ascii="Arial" w:hAnsi="Arial" w:cs="Arial"/>
          <w:i/>
          <w:sz w:val="16"/>
          <w:szCs w:val="16"/>
        </w:rPr>
        <w:t>March 2014</w:t>
      </w:r>
      <w:r w:rsidR="00CC3585" w:rsidRPr="00CF46D9">
        <w:rPr>
          <w:rFonts w:ascii="Arial" w:hAnsi="Arial" w:cs="Arial"/>
          <w:sz w:val="16"/>
          <w:szCs w:val="16"/>
        </w:rPr>
        <w:t xml:space="preserve">, accessible at: </w:t>
      </w:r>
      <w:hyperlink r:id="rId10" w:history="1">
        <w:r w:rsidR="00CC3585" w:rsidRPr="00CF46D9">
          <w:rPr>
            <w:rStyle w:val="Hyperlink"/>
            <w:rFonts w:ascii="Arial" w:hAnsi="Arial" w:cs="Arial"/>
            <w:sz w:val="16"/>
            <w:szCs w:val="16"/>
          </w:rPr>
          <w:t>http://www.pc.gov.au/inquiries/completed/infrastructure</w:t>
        </w:r>
      </w:hyperlink>
      <w:r w:rsidR="00CC3585" w:rsidRPr="00CF46D9">
        <w:rPr>
          <w:rFonts w:ascii="Arial" w:hAnsi="Arial" w:cs="Arial"/>
          <w:sz w:val="16"/>
          <w:szCs w:val="16"/>
        </w:rPr>
        <w:t xml:space="preserve">  Page 223</w:t>
      </w:r>
    </w:p>
  </w:footnote>
  <w:footnote w:id="11">
    <w:p w:rsidR="005F01B0" w:rsidRPr="00CF46D9" w:rsidRDefault="005F01B0" w:rsidP="006E0E88">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CC3585" w:rsidRPr="00CF46D9">
        <w:rPr>
          <w:rFonts w:ascii="Arial" w:hAnsi="Arial" w:cs="Arial"/>
          <w:sz w:val="16"/>
          <w:szCs w:val="16"/>
        </w:rPr>
        <w:t xml:space="preserve">The Productivity Commission </w:t>
      </w:r>
      <w:r w:rsidR="00CC3585" w:rsidRPr="00CF46D9">
        <w:rPr>
          <w:rFonts w:ascii="Arial" w:hAnsi="Arial" w:cs="Arial"/>
          <w:i/>
          <w:sz w:val="16"/>
          <w:szCs w:val="16"/>
        </w:rPr>
        <w:t>Public Infrastructure Draft Report</w:t>
      </w:r>
      <w:r w:rsidR="00CC3585" w:rsidRPr="00CF46D9">
        <w:rPr>
          <w:rFonts w:ascii="Arial" w:hAnsi="Arial" w:cs="Arial"/>
          <w:sz w:val="16"/>
          <w:szCs w:val="16"/>
        </w:rPr>
        <w:t xml:space="preserve"> </w:t>
      </w:r>
      <w:r w:rsidR="00CC3585" w:rsidRPr="00CF46D9">
        <w:rPr>
          <w:rFonts w:ascii="Arial" w:hAnsi="Arial" w:cs="Arial"/>
          <w:i/>
          <w:sz w:val="16"/>
          <w:szCs w:val="16"/>
        </w:rPr>
        <w:t>March 2014</w:t>
      </w:r>
      <w:r w:rsidR="00CC3585" w:rsidRPr="00CF46D9">
        <w:rPr>
          <w:rFonts w:ascii="Arial" w:hAnsi="Arial" w:cs="Arial"/>
          <w:sz w:val="16"/>
          <w:szCs w:val="16"/>
        </w:rPr>
        <w:t xml:space="preserve">, accessible at: </w:t>
      </w:r>
      <w:hyperlink r:id="rId11" w:history="1">
        <w:r w:rsidR="00CC3585" w:rsidRPr="00CF46D9">
          <w:rPr>
            <w:rStyle w:val="Hyperlink"/>
            <w:rFonts w:ascii="Arial" w:hAnsi="Arial" w:cs="Arial"/>
            <w:sz w:val="16"/>
            <w:szCs w:val="16"/>
          </w:rPr>
          <w:t>http://www.pc.gov.au/inquiries/completed/infrastructure</w:t>
        </w:r>
      </w:hyperlink>
      <w:r w:rsidR="00CC3585" w:rsidRPr="00CF46D9">
        <w:rPr>
          <w:rFonts w:ascii="Arial" w:hAnsi="Arial" w:cs="Arial"/>
          <w:sz w:val="16"/>
          <w:szCs w:val="16"/>
        </w:rPr>
        <w:t xml:space="preserve">  Page 303</w:t>
      </w:r>
    </w:p>
  </w:footnote>
  <w:footnote w:id="12">
    <w:p w:rsidR="00DA068C" w:rsidRPr="00CF46D9" w:rsidRDefault="00DA068C">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CF46D9" w:rsidRPr="00CF46D9">
        <w:rPr>
          <w:rFonts w:ascii="Arial" w:hAnsi="Arial" w:cs="Arial"/>
          <w:sz w:val="16"/>
          <w:szCs w:val="16"/>
        </w:rPr>
        <w:t xml:space="preserve">Australian Government Response, </w:t>
      </w:r>
      <w:r w:rsidR="00CF46D9" w:rsidRPr="00CF46D9">
        <w:rPr>
          <w:rFonts w:ascii="Arial" w:hAnsi="Arial" w:cs="Arial"/>
          <w:i/>
          <w:sz w:val="16"/>
          <w:szCs w:val="16"/>
        </w:rPr>
        <w:t xml:space="preserve">Australian Government Response: Productivity Commission Inquiry Report into Public Infrastructure </w:t>
      </w:r>
      <w:r w:rsidR="00CF46D9" w:rsidRPr="00CF46D9">
        <w:rPr>
          <w:rFonts w:ascii="Arial" w:hAnsi="Arial" w:cs="Arial"/>
          <w:sz w:val="16"/>
          <w:szCs w:val="16"/>
        </w:rPr>
        <w:t xml:space="preserve">,2014 ,accessible at: </w:t>
      </w:r>
      <w:hyperlink r:id="rId12" w:history="1">
        <w:r w:rsidR="00CF46D9" w:rsidRPr="00CF46D9">
          <w:rPr>
            <w:rStyle w:val="Hyperlink"/>
            <w:rFonts w:ascii="Arial" w:hAnsi="Arial" w:cs="Arial"/>
            <w:sz w:val="16"/>
            <w:szCs w:val="16"/>
          </w:rPr>
          <w:t>http://www.infrastructure.gov.au/infrastructure/publications/files/Productivity_Commission_Inquiry_Report_into_Public_Infrastructure.pdf</w:t>
        </w:r>
      </w:hyperlink>
      <w:r w:rsidR="00CF46D9">
        <w:rPr>
          <w:rFonts w:ascii="Arial" w:hAnsi="Arial" w:cs="Arial"/>
          <w:sz w:val="16"/>
          <w:szCs w:val="16"/>
        </w:rPr>
        <w:t>,</w:t>
      </w:r>
      <w:r w:rsidRPr="00CF46D9">
        <w:rPr>
          <w:rFonts w:ascii="Arial" w:hAnsi="Arial" w:cs="Arial"/>
          <w:sz w:val="16"/>
          <w:szCs w:val="16"/>
        </w:rPr>
        <w:t xml:space="preserve">Page 8 </w:t>
      </w:r>
    </w:p>
  </w:footnote>
  <w:footnote w:id="13">
    <w:p w:rsidR="00CC3585" w:rsidRPr="00CF46D9" w:rsidRDefault="005F01B0" w:rsidP="00CC3585">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CC3585" w:rsidRPr="00CF46D9">
        <w:rPr>
          <w:rFonts w:ascii="Arial" w:hAnsi="Arial" w:cs="Arial"/>
          <w:sz w:val="16"/>
          <w:szCs w:val="16"/>
        </w:rPr>
        <w:t xml:space="preserve">The Productivity Commission </w:t>
      </w:r>
      <w:r w:rsidR="00CC3585" w:rsidRPr="00CF46D9">
        <w:rPr>
          <w:rFonts w:ascii="Arial" w:hAnsi="Arial" w:cs="Arial"/>
          <w:i/>
          <w:sz w:val="16"/>
          <w:szCs w:val="16"/>
        </w:rPr>
        <w:t>Public Infrastructure Draft Report</w:t>
      </w:r>
      <w:r w:rsidR="00CC3585" w:rsidRPr="00CF46D9">
        <w:rPr>
          <w:rFonts w:ascii="Arial" w:hAnsi="Arial" w:cs="Arial"/>
          <w:sz w:val="16"/>
          <w:szCs w:val="16"/>
        </w:rPr>
        <w:t xml:space="preserve"> </w:t>
      </w:r>
      <w:r w:rsidR="00CC3585" w:rsidRPr="00CF46D9">
        <w:rPr>
          <w:rFonts w:ascii="Arial" w:hAnsi="Arial" w:cs="Arial"/>
          <w:i/>
          <w:sz w:val="16"/>
          <w:szCs w:val="16"/>
        </w:rPr>
        <w:t>March 2014</w:t>
      </w:r>
      <w:r w:rsidR="00CC3585" w:rsidRPr="00CF46D9">
        <w:rPr>
          <w:rFonts w:ascii="Arial" w:hAnsi="Arial" w:cs="Arial"/>
          <w:sz w:val="16"/>
          <w:szCs w:val="16"/>
        </w:rPr>
        <w:t xml:space="preserve">, accessible at: </w:t>
      </w:r>
      <w:hyperlink r:id="rId13" w:history="1">
        <w:r w:rsidR="00CC3585" w:rsidRPr="00CF46D9">
          <w:rPr>
            <w:rStyle w:val="Hyperlink"/>
            <w:rFonts w:ascii="Arial" w:hAnsi="Arial" w:cs="Arial"/>
            <w:sz w:val="16"/>
            <w:szCs w:val="16"/>
          </w:rPr>
          <w:t>http://www.pc.gov.au/inquiries/completed/infrastructure</w:t>
        </w:r>
      </w:hyperlink>
      <w:r w:rsidR="00CC3585" w:rsidRPr="00CF46D9">
        <w:rPr>
          <w:rFonts w:ascii="Arial" w:hAnsi="Arial" w:cs="Arial"/>
          <w:sz w:val="16"/>
          <w:szCs w:val="16"/>
        </w:rPr>
        <w:t xml:space="preserve">  Page 8</w:t>
      </w:r>
    </w:p>
    <w:p w:rsidR="005F01B0" w:rsidRPr="00CF46D9" w:rsidRDefault="005F01B0" w:rsidP="006E0E88">
      <w:pPr>
        <w:pStyle w:val="FootnoteText"/>
        <w:rPr>
          <w:rFonts w:ascii="Arial" w:hAnsi="Arial" w:cs="Arial"/>
          <w:sz w:val="16"/>
          <w:szCs w:val="16"/>
        </w:rPr>
      </w:pPr>
    </w:p>
  </w:footnote>
  <w:footnote w:id="14">
    <w:p w:rsidR="00BF5839" w:rsidRPr="00CF46D9" w:rsidRDefault="00BF5839">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CF46D9" w:rsidRPr="00CF46D9">
        <w:rPr>
          <w:rFonts w:ascii="Arial" w:hAnsi="Arial" w:cs="Arial"/>
          <w:sz w:val="16"/>
          <w:szCs w:val="16"/>
        </w:rPr>
        <w:t xml:space="preserve">Australian Government Response, </w:t>
      </w:r>
      <w:r w:rsidR="00CF46D9" w:rsidRPr="00CF46D9">
        <w:rPr>
          <w:rFonts w:ascii="Arial" w:hAnsi="Arial" w:cs="Arial"/>
          <w:i/>
          <w:sz w:val="16"/>
          <w:szCs w:val="16"/>
        </w:rPr>
        <w:t xml:space="preserve">Australian Government Response: Productivity Commission Inquiry Report into Public Infrastructure </w:t>
      </w:r>
      <w:r w:rsidR="00CF46D9" w:rsidRPr="00CF46D9">
        <w:rPr>
          <w:rFonts w:ascii="Arial" w:hAnsi="Arial" w:cs="Arial"/>
          <w:sz w:val="16"/>
          <w:szCs w:val="16"/>
        </w:rPr>
        <w:t xml:space="preserve">,2014 ,accessible at: </w:t>
      </w:r>
      <w:hyperlink r:id="rId14" w:history="1">
        <w:r w:rsidR="00CF46D9" w:rsidRPr="00CF46D9">
          <w:rPr>
            <w:rStyle w:val="Hyperlink"/>
            <w:rFonts w:ascii="Arial" w:hAnsi="Arial" w:cs="Arial"/>
            <w:sz w:val="16"/>
            <w:szCs w:val="16"/>
          </w:rPr>
          <w:t>http://www.infrastructure.gov.au/infrastructure/publications/files/Productivity_Commission_Inquiry_Report_into_Public_Infrastructure.pdf</w:t>
        </w:r>
      </w:hyperlink>
      <w:r w:rsidR="00CF46D9">
        <w:rPr>
          <w:rFonts w:ascii="Arial" w:hAnsi="Arial" w:cs="Arial"/>
          <w:sz w:val="16"/>
          <w:szCs w:val="16"/>
        </w:rPr>
        <w:t>,</w:t>
      </w:r>
      <w:r w:rsidRPr="00CF46D9">
        <w:rPr>
          <w:rFonts w:ascii="Arial" w:hAnsi="Arial" w:cs="Arial"/>
          <w:sz w:val="16"/>
          <w:szCs w:val="16"/>
        </w:rPr>
        <w:t>Page 4</w:t>
      </w:r>
    </w:p>
  </w:footnote>
  <w:footnote w:id="15">
    <w:p w:rsidR="005F01B0" w:rsidRPr="00CF46D9" w:rsidRDefault="005F01B0" w:rsidP="006E0E88">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CC3585" w:rsidRPr="00CF46D9">
        <w:rPr>
          <w:rFonts w:ascii="Arial" w:hAnsi="Arial" w:cs="Arial"/>
          <w:sz w:val="16"/>
          <w:szCs w:val="16"/>
        </w:rPr>
        <w:t xml:space="preserve">The Productivity Commission </w:t>
      </w:r>
      <w:r w:rsidR="00CC3585" w:rsidRPr="00CF46D9">
        <w:rPr>
          <w:rFonts w:ascii="Arial" w:hAnsi="Arial" w:cs="Arial"/>
          <w:i/>
          <w:sz w:val="16"/>
          <w:szCs w:val="16"/>
        </w:rPr>
        <w:t>Public Infrastructure Draft Report</w:t>
      </w:r>
      <w:r w:rsidR="00CC3585" w:rsidRPr="00CF46D9">
        <w:rPr>
          <w:rFonts w:ascii="Arial" w:hAnsi="Arial" w:cs="Arial"/>
          <w:sz w:val="16"/>
          <w:szCs w:val="16"/>
        </w:rPr>
        <w:t xml:space="preserve"> </w:t>
      </w:r>
      <w:r w:rsidR="00CC3585" w:rsidRPr="00CF46D9">
        <w:rPr>
          <w:rFonts w:ascii="Arial" w:hAnsi="Arial" w:cs="Arial"/>
          <w:i/>
          <w:sz w:val="16"/>
          <w:szCs w:val="16"/>
        </w:rPr>
        <w:t>March 2014</w:t>
      </w:r>
      <w:r w:rsidR="00CC3585" w:rsidRPr="00CF46D9">
        <w:rPr>
          <w:rFonts w:ascii="Arial" w:hAnsi="Arial" w:cs="Arial"/>
          <w:sz w:val="16"/>
          <w:szCs w:val="16"/>
        </w:rPr>
        <w:t xml:space="preserve">, accessible at: </w:t>
      </w:r>
      <w:hyperlink r:id="rId15" w:history="1">
        <w:r w:rsidR="00CC3585" w:rsidRPr="00CF46D9">
          <w:rPr>
            <w:rStyle w:val="Hyperlink"/>
            <w:rFonts w:ascii="Arial" w:hAnsi="Arial" w:cs="Arial"/>
            <w:sz w:val="16"/>
            <w:szCs w:val="16"/>
          </w:rPr>
          <w:t>http://www.pc.gov.au/inquiries/completed/infrastructure</w:t>
        </w:r>
      </w:hyperlink>
      <w:r w:rsidR="00CC3585" w:rsidRPr="00CF46D9">
        <w:rPr>
          <w:rFonts w:ascii="Arial" w:hAnsi="Arial" w:cs="Arial"/>
          <w:sz w:val="16"/>
          <w:szCs w:val="16"/>
        </w:rPr>
        <w:t xml:space="preserve">  Page 74</w:t>
      </w:r>
    </w:p>
  </w:footnote>
  <w:footnote w:id="16">
    <w:p w:rsidR="00BF5839" w:rsidRPr="00CF46D9" w:rsidRDefault="00BF5839">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 </w:t>
      </w:r>
      <w:r w:rsidR="00CF46D9" w:rsidRPr="00CF46D9">
        <w:rPr>
          <w:rFonts w:ascii="Arial" w:hAnsi="Arial" w:cs="Arial"/>
          <w:sz w:val="16"/>
          <w:szCs w:val="16"/>
        </w:rPr>
        <w:t xml:space="preserve">Australian Government Response, </w:t>
      </w:r>
      <w:r w:rsidR="00CF46D9" w:rsidRPr="00CF46D9">
        <w:rPr>
          <w:rFonts w:ascii="Arial" w:hAnsi="Arial" w:cs="Arial"/>
          <w:i/>
          <w:sz w:val="16"/>
          <w:szCs w:val="16"/>
        </w:rPr>
        <w:t>Australian Government Response: Productivity Commissio</w:t>
      </w:r>
      <w:bookmarkStart w:id="20" w:name="_GoBack"/>
      <w:bookmarkEnd w:id="20"/>
      <w:r w:rsidR="00CF46D9" w:rsidRPr="00CF46D9">
        <w:rPr>
          <w:rFonts w:ascii="Arial" w:hAnsi="Arial" w:cs="Arial"/>
          <w:i/>
          <w:sz w:val="16"/>
          <w:szCs w:val="16"/>
        </w:rPr>
        <w:t xml:space="preserve">n Inquiry Report into Public Infrastructure </w:t>
      </w:r>
      <w:r w:rsidR="00CF46D9" w:rsidRPr="00CF46D9">
        <w:rPr>
          <w:rFonts w:ascii="Arial" w:hAnsi="Arial" w:cs="Arial"/>
          <w:sz w:val="16"/>
          <w:szCs w:val="16"/>
        </w:rPr>
        <w:t xml:space="preserve">,2014 ,accessible at: </w:t>
      </w:r>
      <w:hyperlink r:id="rId16" w:history="1">
        <w:r w:rsidR="00CF46D9" w:rsidRPr="00CF46D9">
          <w:rPr>
            <w:rStyle w:val="Hyperlink"/>
            <w:rFonts w:ascii="Arial" w:hAnsi="Arial" w:cs="Arial"/>
            <w:sz w:val="16"/>
            <w:szCs w:val="16"/>
          </w:rPr>
          <w:t>http://www.infrastructure.gov.au/infrastructure/publications/files/Productivity_Commission_Inquiry_Report_into_Public_Infrastructure.pdf</w:t>
        </w:r>
      </w:hyperlink>
      <w:r w:rsidR="00CF46D9">
        <w:rPr>
          <w:rFonts w:ascii="Arial" w:hAnsi="Arial" w:cs="Arial"/>
          <w:sz w:val="16"/>
          <w:szCs w:val="16"/>
        </w:rPr>
        <w:t>,</w:t>
      </w:r>
      <w:r w:rsidRPr="00CF46D9">
        <w:rPr>
          <w:rFonts w:ascii="Arial" w:hAnsi="Arial" w:cs="Arial"/>
          <w:sz w:val="16"/>
          <w:szCs w:val="16"/>
        </w:rPr>
        <w:t>Page 4</w:t>
      </w:r>
    </w:p>
  </w:footnote>
  <w:footnote w:id="17">
    <w:p w:rsidR="005F01B0" w:rsidRPr="00CF46D9" w:rsidRDefault="005F01B0">
      <w:pPr>
        <w:pStyle w:val="FootnoteText"/>
        <w:rPr>
          <w:rFonts w:ascii="Arial" w:hAnsi="Arial" w:cs="Arial"/>
          <w:sz w:val="16"/>
          <w:szCs w:val="16"/>
        </w:rPr>
      </w:pPr>
      <w:r w:rsidRPr="00CF46D9">
        <w:rPr>
          <w:rStyle w:val="FootnoteReference"/>
          <w:rFonts w:ascii="Arial" w:hAnsi="Arial" w:cs="Arial"/>
          <w:sz w:val="16"/>
          <w:szCs w:val="16"/>
        </w:rPr>
        <w:footnoteRef/>
      </w:r>
      <w:r w:rsidRPr="00CF46D9">
        <w:rPr>
          <w:rFonts w:ascii="Arial" w:hAnsi="Arial" w:cs="Arial"/>
          <w:sz w:val="16"/>
          <w:szCs w:val="16"/>
        </w:rPr>
        <w:t xml:space="preserve">PricewaterhouseCoopers, </w:t>
      </w:r>
      <w:r w:rsidRPr="00CF46D9">
        <w:rPr>
          <w:rFonts w:ascii="Arial" w:hAnsi="Arial" w:cs="Arial"/>
          <w:i/>
          <w:sz w:val="16"/>
          <w:szCs w:val="16"/>
        </w:rPr>
        <w:t xml:space="preserve">A future strategy for road supply and charging in Australia, </w:t>
      </w:r>
      <w:r w:rsidRPr="00CF46D9">
        <w:rPr>
          <w:rFonts w:ascii="Arial" w:hAnsi="Arial" w:cs="Arial"/>
          <w:sz w:val="16"/>
          <w:szCs w:val="16"/>
        </w:rPr>
        <w:t xml:space="preserve">2013, accessible at: </w:t>
      </w:r>
      <w:hyperlink r:id="rId17" w:history="1">
        <w:r w:rsidRPr="00CF46D9">
          <w:rPr>
            <w:rStyle w:val="Hyperlink"/>
            <w:rFonts w:ascii="Arial" w:hAnsi="Arial" w:cs="Arial"/>
            <w:sz w:val="16"/>
            <w:szCs w:val="16"/>
          </w:rPr>
          <w:t>www.truck.net.au/industry-resources/future-strategy-road-supply-and-charging-australia</w:t>
        </w:r>
      </w:hyperlink>
      <w:r w:rsidRPr="00CF46D9">
        <w:rPr>
          <w:rFonts w:ascii="Arial" w:hAnsi="Arial" w:cs="Arial"/>
          <w:sz w:val="16"/>
          <w:szCs w:val="16"/>
        </w:rPr>
        <w:t>, page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0" w:rsidRDefault="006E0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0" w:rsidRDefault="006E0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Pr="00E8056B" w:rsidRDefault="005F01B0"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5F01B0" w:rsidRDefault="005F01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Default="005F01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Pr="0019542E" w:rsidRDefault="005F01B0"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B0" w:rsidRDefault="005F0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F3265C"/>
    <w:multiLevelType w:val="hybridMultilevel"/>
    <w:tmpl w:val="B9A2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6C3126"/>
    <w:multiLevelType w:val="multilevel"/>
    <w:tmpl w:val="872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5">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4BB4C3A"/>
    <w:multiLevelType w:val="multilevel"/>
    <w:tmpl w:val="0FE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3C84D13"/>
    <w:multiLevelType w:val="hybridMultilevel"/>
    <w:tmpl w:val="12D4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0"/>
  </w:num>
  <w:num w:numId="5">
    <w:abstractNumId w:val="4"/>
  </w:num>
  <w:num w:numId="6">
    <w:abstractNumId w:val="9"/>
  </w:num>
  <w:num w:numId="7">
    <w:abstractNumId w:val="6"/>
  </w:num>
  <w:num w:numId="8">
    <w:abstractNumId w:val="7"/>
  </w:num>
  <w:num w:numId="9">
    <w:abstractNumId w:val="2"/>
  </w:num>
  <w:num w:numId="10">
    <w:abstractNumId w:val="1"/>
  </w:num>
  <w:num w:numId="11">
    <w:abstractNumId w:val="10"/>
  </w:num>
  <w:num w:numId="12">
    <w:abstractNumId w:val="8"/>
  </w:num>
  <w:num w:numId="13">
    <w:abstractNumId w:val="3"/>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74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5A35"/>
    <w:rsid w:val="00005E0D"/>
    <w:rsid w:val="00006297"/>
    <w:rsid w:val="00006C53"/>
    <w:rsid w:val="00007723"/>
    <w:rsid w:val="00007CA7"/>
    <w:rsid w:val="00011661"/>
    <w:rsid w:val="00012205"/>
    <w:rsid w:val="000156D1"/>
    <w:rsid w:val="000169A5"/>
    <w:rsid w:val="00020B9C"/>
    <w:rsid w:val="00021886"/>
    <w:rsid w:val="00021D7D"/>
    <w:rsid w:val="00027E86"/>
    <w:rsid w:val="0003251D"/>
    <w:rsid w:val="00035304"/>
    <w:rsid w:val="00035CFC"/>
    <w:rsid w:val="0004081E"/>
    <w:rsid w:val="00040876"/>
    <w:rsid w:val="00040B35"/>
    <w:rsid w:val="000447B1"/>
    <w:rsid w:val="00046251"/>
    <w:rsid w:val="00050AC8"/>
    <w:rsid w:val="00050CE6"/>
    <w:rsid w:val="00052E9C"/>
    <w:rsid w:val="00053DCB"/>
    <w:rsid w:val="00056113"/>
    <w:rsid w:val="00056A74"/>
    <w:rsid w:val="00060365"/>
    <w:rsid w:val="00060651"/>
    <w:rsid w:val="0006283B"/>
    <w:rsid w:val="00063D15"/>
    <w:rsid w:val="00067698"/>
    <w:rsid w:val="00070737"/>
    <w:rsid w:val="00071A71"/>
    <w:rsid w:val="0007542B"/>
    <w:rsid w:val="00075E7B"/>
    <w:rsid w:val="00077364"/>
    <w:rsid w:val="00083C15"/>
    <w:rsid w:val="000848A1"/>
    <w:rsid w:val="00086A56"/>
    <w:rsid w:val="00087208"/>
    <w:rsid w:val="00091EB9"/>
    <w:rsid w:val="00093679"/>
    <w:rsid w:val="00094FE3"/>
    <w:rsid w:val="00095C3B"/>
    <w:rsid w:val="00096B02"/>
    <w:rsid w:val="00097329"/>
    <w:rsid w:val="000976B9"/>
    <w:rsid w:val="000A2163"/>
    <w:rsid w:val="000A2996"/>
    <w:rsid w:val="000A2BCF"/>
    <w:rsid w:val="000A2C1A"/>
    <w:rsid w:val="000A4EB0"/>
    <w:rsid w:val="000A6499"/>
    <w:rsid w:val="000B0410"/>
    <w:rsid w:val="000B069A"/>
    <w:rsid w:val="000B1819"/>
    <w:rsid w:val="000B496C"/>
    <w:rsid w:val="000C049C"/>
    <w:rsid w:val="000C0C35"/>
    <w:rsid w:val="000C0F58"/>
    <w:rsid w:val="000C4A62"/>
    <w:rsid w:val="000C7BBC"/>
    <w:rsid w:val="000D033C"/>
    <w:rsid w:val="000D5E4E"/>
    <w:rsid w:val="000D6EF5"/>
    <w:rsid w:val="000D7CD4"/>
    <w:rsid w:val="000E7B14"/>
    <w:rsid w:val="000F0F7B"/>
    <w:rsid w:val="000F314E"/>
    <w:rsid w:val="000F34E0"/>
    <w:rsid w:val="000F3ACC"/>
    <w:rsid w:val="000F3D9F"/>
    <w:rsid w:val="000F53C2"/>
    <w:rsid w:val="000F566E"/>
    <w:rsid w:val="000F5BB5"/>
    <w:rsid w:val="000F7F6F"/>
    <w:rsid w:val="00100A35"/>
    <w:rsid w:val="00103E24"/>
    <w:rsid w:val="001051CB"/>
    <w:rsid w:val="00110610"/>
    <w:rsid w:val="00110A53"/>
    <w:rsid w:val="001121A8"/>
    <w:rsid w:val="0011347C"/>
    <w:rsid w:val="00114FC5"/>
    <w:rsid w:val="001176CB"/>
    <w:rsid w:val="00121A4F"/>
    <w:rsid w:val="00121A53"/>
    <w:rsid w:val="00122285"/>
    <w:rsid w:val="00125009"/>
    <w:rsid w:val="00125023"/>
    <w:rsid w:val="0013041A"/>
    <w:rsid w:val="001320D2"/>
    <w:rsid w:val="00132E36"/>
    <w:rsid w:val="00134E0D"/>
    <w:rsid w:val="001368EB"/>
    <w:rsid w:val="00141274"/>
    <w:rsid w:val="00141395"/>
    <w:rsid w:val="0014179F"/>
    <w:rsid w:val="0014300C"/>
    <w:rsid w:val="001431E4"/>
    <w:rsid w:val="0014683D"/>
    <w:rsid w:val="00150065"/>
    <w:rsid w:val="0015008C"/>
    <w:rsid w:val="0015062F"/>
    <w:rsid w:val="0015211C"/>
    <w:rsid w:val="00152A71"/>
    <w:rsid w:val="001533F1"/>
    <w:rsid w:val="0015359E"/>
    <w:rsid w:val="0015386B"/>
    <w:rsid w:val="001552BC"/>
    <w:rsid w:val="00160FE3"/>
    <w:rsid w:val="001611AB"/>
    <w:rsid w:val="00163879"/>
    <w:rsid w:val="00166CBD"/>
    <w:rsid w:val="00167142"/>
    <w:rsid w:val="00167289"/>
    <w:rsid w:val="00172FC4"/>
    <w:rsid w:val="00174273"/>
    <w:rsid w:val="00176C09"/>
    <w:rsid w:val="001807A8"/>
    <w:rsid w:val="001811B8"/>
    <w:rsid w:val="001855CD"/>
    <w:rsid w:val="00185B28"/>
    <w:rsid w:val="0019542E"/>
    <w:rsid w:val="00195C1B"/>
    <w:rsid w:val="00197B9E"/>
    <w:rsid w:val="001A0DC3"/>
    <w:rsid w:val="001A0DEF"/>
    <w:rsid w:val="001A3A47"/>
    <w:rsid w:val="001A6510"/>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64FE"/>
    <w:rsid w:val="001D77A8"/>
    <w:rsid w:val="001D7817"/>
    <w:rsid w:val="001E0A75"/>
    <w:rsid w:val="001E1BA9"/>
    <w:rsid w:val="001E3AC7"/>
    <w:rsid w:val="001E474C"/>
    <w:rsid w:val="001E5BE0"/>
    <w:rsid w:val="001E5C29"/>
    <w:rsid w:val="001E70A3"/>
    <w:rsid w:val="001F0C6E"/>
    <w:rsid w:val="001F1455"/>
    <w:rsid w:val="001F187C"/>
    <w:rsid w:val="001F7268"/>
    <w:rsid w:val="00200A50"/>
    <w:rsid w:val="0020303C"/>
    <w:rsid w:val="002041FF"/>
    <w:rsid w:val="002067C0"/>
    <w:rsid w:val="00207DE8"/>
    <w:rsid w:val="00210088"/>
    <w:rsid w:val="0021270C"/>
    <w:rsid w:val="0021283E"/>
    <w:rsid w:val="002137D3"/>
    <w:rsid w:val="00214282"/>
    <w:rsid w:val="00215F0D"/>
    <w:rsid w:val="00216CE6"/>
    <w:rsid w:val="00225B24"/>
    <w:rsid w:val="002278E9"/>
    <w:rsid w:val="0023094F"/>
    <w:rsid w:val="00230C4F"/>
    <w:rsid w:val="00230DFC"/>
    <w:rsid w:val="002333DB"/>
    <w:rsid w:val="00237081"/>
    <w:rsid w:val="00241C15"/>
    <w:rsid w:val="0024248F"/>
    <w:rsid w:val="0024360C"/>
    <w:rsid w:val="00243731"/>
    <w:rsid w:val="00250025"/>
    <w:rsid w:val="0025225E"/>
    <w:rsid w:val="002527BE"/>
    <w:rsid w:val="00252AA9"/>
    <w:rsid w:val="002542D1"/>
    <w:rsid w:val="00254301"/>
    <w:rsid w:val="002543DF"/>
    <w:rsid w:val="00255617"/>
    <w:rsid w:val="00257D05"/>
    <w:rsid w:val="00260827"/>
    <w:rsid w:val="00262C0A"/>
    <w:rsid w:val="00263A7C"/>
    <w:rsid w:val="002647C3"/>
    <w:rsid w:val="00265EB9"/>
    <w:rsid w:val="00266881"/>
    <w:rsid w:val="00266915"/>
    <w:rsid w:val="00270995"/>
    <w:rsid w:val="00277981"/>
    <w:rsid w:val="00277D24"/>
    <w:rsid w:val="00282EF9"/>
    <w:rsid w:val="0028399D"/>
    <w:rsid w:val="00291C6F"/>
    <w:rsid w:val="0029355B"/>
    <w:rsid w:val="002938B5"/>
    <w:rsid w:val="00295501"/>
    <w:rsid w:val="00296633"/>
    <w:rsid w:val="00296A47"/>
    <w:rsid w:val="002A061F"/>
    <w:rsid w:val="002A243F"/>
    <w:rsid w:val="002A3F63"/>
    <w:rsid w:val="002A4859"/>
    <w:rsid w:val="002A4F45"/>
    <w:rsid w:val="002A5C2E"/>
    <w:rsid w:val="002A7CB7"/>
    <w:rsid w:val="002B0559"/>
    <w:rsid w:val="002B0F48"/>
    <w:rsid w:val="002B172B"/>
    <w:rsid w:val="002B3668"/>
    <w:rsid w:val="002B381D"/>
    <w:rsid w:val="002B54EF"/>
    <w:rsid w:val="002B7A60"/>
    <w:rsid w:val="002B7C87"/>
    <w:rsid w:val="002C015C"/>
    <w:rsid w:val="002C0499"/>
    <w:rsid w:val="002C1799"/>
    <w:rsid w:val="002C2485"/>
    <w:rsid w:val="002C5598"/>
    <w:rsid w:val="002D1187"/>
    <w:rsid w:val="002D592D"/>
    <w:rsid w:val="002E06F2"/>
    <w:rsid w:val="002E226D"/>
    <w:rsid w:val="002E453E"/>
    <w:rsid w:val="002E5D82"/>
    <w:rsid w:val="002E5F39"/>
    <w:rsid w:val="002E6075"/>
    <w:rsid w:val="002E7897"/>
    <w:rsid w:val="002E7F28"/>
    <w:rsid w:val="002F2F65"/>
    <w:rsid w:val="002F3241"/>
    <w:rsid w:val="002F438C"/>
    <w:rsid w:val="002F50FD"/>
    <w:rsid w:val="002F5A71"/>
    <w:rsid w:val="002F632C"/>
    <w:rsid w:val="00302E87"/>
    <w:rsid w:val="00304B46"/>
    <w:rsid w:val="00304FB2"/>
    <w:rsid w:val="003054ED"/>
    <w:rsid w:val="00306FBF"/>
    <w:rsid w:val="00307FF7"/>
    <w:rsid w:val="00315333"/>
    <w:rsid w:val="0032008B"/>
    <w:rsid w:val="00320AFE"/>
    <w:rsid w:val="00321A43"/>
    <w:rsid w:val="0032308F"/>
    <w:rsid w:val="00325A6C"/>
    <w:rsid w:val="003265BF"/>
    <w:rsid w:val="00330F29"/>
    <w:rsid w:val="00336512"/>
    <w:rsid w:val="00336760"/>
    <w:rsid w:val="00336EBD"/>
    <w:rsid w:val="00342826"/>
    <w:rsid w:val="00350300"/>
    <w:rsid w:val="00351556"/>
    <w:rsid w:val="00351657"/>
    <w:rsid w:val="00351D4B"/>
    <w:rsid w:val="003533CA"/>
    <w:rsid w:val="00354394"/>
    <w:rsid w:val="0035493A"/>
    <w:rsid w:val="00354DA6"/>
    <w:rsid w:val="00356D3A"/>
    <w:rsid w:val="00360759"/>
    <w:rsid w:val="00360AD1"/>
    <w:rsid w:val="00364BA5"/>
    <w:rsid w:val="0036535E"/>
    <w:rsid w:val="00372137"/>
    <w:rsid w:val="00374990"/>
    <w:rsid w:val="00376E2F"/>
    <w:rsid w:val="00380998"/>
    <w:rsid w:val="003828AD"/>
    <w:rsid w:val="00384772"/>
    <w:rsid w:val="00385F00"/>
    <w:rsid w:val="00385F9E"/>
    <w:rsid w:val="0039063B"/>
    <w:rsid w:val="00390696"/>
    <w:rsid w:val="003911E4"/>
    <w:rsid w:val="0039442F"/>
    <w:rsid w:val="003A223A"/>
    <w:rsid w:val="003A4520"/>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F49"/>
    <w:rsid w:val="003D75FC"/>
    <w:rsid w:val="003E2B20"/>
    <w:rsid w:val="003E3D6A"/>
    <w:rsid w:val="003E4EFE"/>
    <w:rsid w:val="003E7053"/>
    <w:rsid w:val="003F0B5C"/>
    <w:rsid w:val="003F0F16"/>
    <w:rsid w:val="003F6CA9"/>
    <w:rsid w:val="00400142"/>
    <w:rsid w:val="004008C7"/>
    <w:rsid w:val="004008D8"/>
    <w:rsid w:val="00402138"/>
    <w:rsid w:val="00403823"/>
    <w:rsid w:val="00404392"/>
    <w:rsid w:val="00404731"/>
    <w:rsid w:val="00404820"/>
    <w:rsid w:val="004053D4"/>
    <w:rsid w:val="00406222"/>
    <w:rsid w:val="00407EF2"/>
    <w:rsid w:val="00410341"/>
    <w:rsid w:val="004115B6"/>
    <w:rsid w:val="00411625"/>
    <w:rsid w:val="004116EA"/>
    <w:rsid w:val="00411877"/>
    <w:rsid w:val="0041272C"/>
    <w:rsid w:val="004130C2"/>
    <w:rsid w:val="00413868"/>
    <w:rsid w:val="00414BFC"/>
    <w:rsid w:val="00415126"/>
    <w:rsid w:val="00420431"/>
    <w:rsid w:val="0042052C"/>
    <w:rsid w:val="00420F75"/>
    <w:rsid w:val="00421306"/>
    <w:rsid w:val="00422BB7"/>
    <w:rsid w:val="00423CC7"/>
    <w:rsid w:val="00423CCC"/>
    <w:rsid w:val="00424D3E"/>
    <w:rsid w:val="0042557B"/>
    <w:rsid w:val="004263BE"/>
    <w:rsid w:val="00432273"/>
    <w:rsid w:val="004353C2"/>
    <w:rsid w:val="00440231"/>
    <w:rsid w:val="00443123"/>
    <w:rsid w:val="004436EB"/>
    <w:rsid w:val="00445CDC"/>
    <w:rsid w:val="00450FF8"/>
    <w:rsid w:val="00454D08"/>
    <w:rsid w:val="00455514"/>
    <w:rsid w:val="00462423"/>
    <w:rsid w:val="00463025"/>
    <w:rsid w:val="004640D1"/>
    <w:rsid w:val="00466E7F"/>
    <w:rsid w:val="00473A75"/>
    <w:rsid w:val="00475C39"/>
    <w:rsid w:val="00483BAA"/>
    <w:rsid w:val="00483F2E"/>
    <w:rsid w:val="00484068"/>
    <w:rsid w:val="004847D2"/>
    <w:rsid w:val="00484C78"/>
    <w:rsid w:val="004854A3"/>
    <w:rsid w:val="00487F0F"/>
    <w:rsid w:val="004952A7"/>
    <w:rsid w:val="0049636E"/>
    <w:rsid w:val="004977DE"/>
    <w:rsid w:val="00497CD2"/>
    <w:rsid w:val="004A2F6F"/>
    <w:rsid w:val="004A325F"/>
    <w:rsid w:val="004B0BF5"/>
    <w:rsid w:val="004B26EB"/>
    <w:rsid w:val="004B3EF6"/>
    <w:rsid w:val="004B4B20"/>
    <w:rsid w:val="004B509F"/>
    <w:rsid w:val="004B5FA9"/>
    <w:rsid w:val="004B6187"/>
    <w:rsid w:val="004B64C9"/>
    <w:rsid w:val="004B6C90"/>
    <w:rsid w:val="004C21BB"/>
    <w:rsid w:val="004C3CC3"/>
    <w:rsid w:val="004C7AD5"/>
    <w:rsid w:val="004C7EE3"/>
    <w:rsid w:val="004D3774"/>
    <w:rsid w:val="004D42D0"/>
    <w:rsid w:val="004D6BAD"/>
    <w:rsid w:val="004E1EBB"/>
    <w:rsid w:val="004E5885"/>
    <w:rsid w:val="004E5EA3"/>
    <w:rsid w:val="004F112A"/>
    <w:rsid w:val="004F38D2"/>
    <w:rsid w:val="004F3B07"/>
    <w:rsid w:val="004F500B"/>
    <w:rsid w:val="004F79DA"/>
    <w:rsid w:val="00500BCF"/>
    <w:rsid w:val="00501270"/>
    <w:rsid w:val="00502292"/>
    <w:rsid w:val="005022E4"/>
    <w:rsid w:val="0050368F"/>
    <w:rsid w:val="00503808"/>
    <w:rsid w:val="00504707"/>
    <w:rsid w:val="00504A7C"/>
    <w:rsid w:val="00510952"/>
    <w:rsid w:val="00510A99"/>
    <w:rsid w:val="00512B6D"/>
    <w:rsid w:val="0052056E"/>
    <w:rsid w:val="005223FD"/>
    <w:rsid w:val="00525303"/>
    <w:rsid w:val="0053137B"/>
    <w:rsid w:val="0053194E"/>
    <w:rsid w:val="0053236A"/>
    <w:rsid w:val="00532BFB"/>
    <w:rsid w:val="00532EDD"/>
    <w:rsid w:val="00532F0A"/>
    <w:rsid w:val="00533381"/>
    <w:rsid w:val="00533467"/>
    <w:rsid w:val="00533DD1"/>
    <w:rsid w:val="0053492E"/>
    <w:rsid w:val="00535863"/>
    <w:rsid w:val="005359BF"/>
    <w:rsid w:val="005365E0"/>
    <w:rsid w:val="00540454"/>
    <w:rsid w:val="00540ABF"/>
    <w:rsid w:val="00542877"/>
    <w:rsid w:val="00543163"/>
    <w:rsid w:val="005434F6"/>
    <w:rsid w:val="00545151"/>
    <w:rsid w:val="00545CB8"/>
    <w:rsid w:val="00550256"/>
    <w:rsid w:val="005507D4"/>
    <w:rsid w:val="005520B3"/>
    <w:rsid w:val="00552289"/>
    <w:rsid w:val="005551EA"/>
    <w:rsid w:val="005571CA"/>
    <w:rsid w:val="0056179B"/>
    <w:rsid w:val="0056479F"/>
    <w:rsid w:val="005648B3"/>
    <w:rsid w:val="00564DAA"/>
    <w:rsid w:val="00565F92"/>
    <w:rsid w:val="00566D20"/>
    <w:rsid w:val="0057019E"/>
    <w:rsid w:val="0057591D"/>
    <w:rsid w:val="00576ED0"/>
    <w:rsid w:val="00576F0D"/>
    <w:rsid w:val="005773CF"/>
    <w:rsid w:val="0057783F"/>
    <w:rsid w:val="00580BDF"/>
    <w:rsid w:val="0058247C"/>
    <w:rsid w:val="00583369"/>
    <w:rsid w:val="00587C8F"/>
    <w:rsid w:val="00593217"/>
    <w:rsid w:val="0059482D"/>
    <w:rsid w:val="00596872"/>
    <w:rsid w:val="005A2A86"/>
    <w:rsid w:val="005A38CD"/>
    <w:rsid w:val="005A49DD"/>
    <w:rsid w:val="005B0230"/>
    <w:rsid w:val="005B1179"/>
    <w:rsid w:val="005B34B7"/>
    <w:rsid w:val="005B3729"/>
    <w:rsid w:val="005B4CA8"/>
    <w:rsid w:val="005B4F21"/>
    <w:rsid w:val="005B68E9"/>
    <w:rsid w:val="005C31A0"/>
    <w:rsid w:val="005C4492"/>
    <w:rsid w:val="005C473F"/>
    <w:rsid w:val="005C4952"/>
    <w:rsid w:val="005C63F7"/>
    <w:rsid w:val="005C7729"/>
    <w:rsid w:val="005D00E8"/>
    <w:rsid w:val="005D2355"/>
    <w:rsid w:val="005D2445"/>
    <w:rsid w:val="005D6CD2"/>
    <w:rsid w:val="005E117A"/>
    <w:rsid w:val="005E11FC"/>
    <w:rsid w:val="005E20ED"/>
    <w:rsid w:val="005E23F5"/>
    <w:rsid w:val="005E28FB"/>
    <w:rsid w:val="005E57AC"/>
    <w:rsid w:val="005E6294"/>
    <w:rsid w:val="005E661C"/>
    <w:rsid w:val="005E6D8B"/>
    <w:rsid w:val="005F01B0"/>
    <w:rsid w:val="005F1009"/>
    <w:rsid w:val="005F21D1"/>
    <w:rsid w:val="005F31DF"/>
    <w:rsid w:val="005F4FBC"/>
    <w:rsid w:val="005F528E"/>
    <w:rsid w:val="005F5ACC"/>
    <w:rsid w:val="005F69CC"/>
    <w:rsid w:val="00600132"/>
    <w:rsid w:val="006007D6"/>
    <w:rsid w:val="00600AC6"/>
    <w:rsid w:val="006014C4"/>
    <w:rsid w:val="00601B01"/>
    <w:rsid w:val="00602F81"/>
    <w:rsid w:val="00603655"/>
    <w:rsid w:val="00605F3F"/>
    <w:rsid w:val="00605FB9"/>
    <w:rsid w:val="006109E9"/>
    <w:rsid w:val="00610CFE"/>
    <w:rsid w:val="006110D1"/>
    <w:rsid w:val="006123DD"/>
    <w:rsid w:val="006233B3"/>
    <w:rsid w:val="006244DA"/>
    <w:rsid w:val="00625BAD"/>
    <w:rsid w:val="00625E9E"/>
    <w:rsid w:val="006278F6"/>
    <w:rsid w:val="00627F56"/>
    <w:rsid w:val="006308E9"/>
    <w:rsid w:val="0063291A"/>
    <w:rsid w:val="00632AA0"/>
    <w:rsid w:val="00632D04"/>
    <w:rsid w:val="006331D5"/>
    <w:rsid w:val="00634824"/>
    <w:rsid w:val="0063609C"/>
    <w:rsid w:val="0063713C"/>
    <w:rsid w:val="00640DAD"/>
    <w:rsid w:val="006458F3"/>
    <w:rsid w:val="00646B21"/>
    <w:rsid w:val="00647FBE"/>
    <w:rsid w:val="00650566"/>
    <w:rsid w:val="006509D3"/>
    <w:rsid w:val="00651339"/>
    <w:rsid w:val="0065569F"/>
    <w:rsid w:val="00662A4B"/>
    <w:rsid w:val="00664D33"/>
    <w:rsid w:val="00666A1A"/>
    <w:rsid w:val="00667036"/>
    <w:rsid w:val="0066769B"/>
    <w:rsid w:val="006677C7"/>
    <w:rsid w:val="00682B89"/>
    <w:rsid w:val="00683D7C"/>
    <w:rsid w:val="00685443"/>
    <w:rsid w:val="00685459"/>
    <w:rsid w:val="006858FF"/>
    <w:rsid w:val="006859F7"/>
    <w:rsid w:val="00686470"/>
    <w:rsid w:val="0069019B"/>
    <w:rsid w:val="00692625"/>
    <w:rsid w:val="006932F3"/>
    <w:rsid w:val="00693363"/>
    <w:rsid w:val="006939CC"/>
    <w:rsid w:val="0069483A"/>
    <w:rsid w:val="00694C83"/>
    <w:rsid w:val="006A0105"/>
    <w:rsid w:val="006A1612"/>
    <w:rsid w:val="006A208A"/>
    <w:rsid w:val="006A522F"/>
    <w:rsid w:val="006A52C4"/>
    <w:rsid w:val="006A63B2"/>
    <w:rsid w:val="006A7735"/>
    <w:rsid w:val="006A797E"/>
    <w:rsid w:val="006B36C8"/>
    <w:rsid w:val="006B4B45"/>
    <w:rsid w:val="006B558F"/>
    <w:rsid w:val="006B7D6C"/>
    <w:rsid w:val="006C38AD"/>
    <w:rsid w:val="006C428F"/>
    <w:rsid w:val="006D4D41"/>
    <w:rsid w:val="006D7818"/>
    <w:rsid w:val="006E026F"/>
    <w:rsid w:val="006E05F0"/>
    <w:rsid w:val="006E0E88"/>
    <w:rsid w:val="006E26D5"/>
    <w:rsid w:val="006F050F"/>
    <w:rsid w:val="006F0BC5"/>
    <w:rsid w:val="006F0C79"/>
    <w:rsid w:val="006F0EA4"/>
    <w:rsid w:val="006F2893"/>
    <w:rsid w:val="00700742"/>
    <w:rsid w:val="00704823"/>
    <w:rsid w:val="00704E66"/>
    <w:rsid w:val="007062D8"/>
    <w:rsid w:val="00710395"/>
    <w:rsid w:val="0071276D"/>
    <w:rsid w:val="00714204"/>
    <w:rsid w:val="007162A5"/>
    <w:rsid w:val="0071719F"/>
    <w:rsid w:val="0071762D"/>
    <w:rsid w:val="00717BAD"/>
    <w:rsid w:val="00725BC0"/>
    <w:rsid w:val="00726797"/>
    <w:rsid w:val="007270C9"/>
    <w:rsid w:val="00731DC4"/>
    <w:rsid w:val="00737149"/>
    <w:rsid w:val="00740005"/>
    <w:rsid w:val="00740DF8"/>
    <w:rsid w:val="00741304"/>
    <w:rsid w:val="007468FB"/>
    <w:rsid w:val="00746BF5"/>
    <w:rsid w:val="007470CF"/>
    <w:rsid w:val="00751BF0"/>
    <w:rsid w:val="00753F95"/>
    <w:rsid w:val="0075427A"/>
    <w:rsid w:val="00754EBD"/>
    <w:rsid w:val="007551E1"/>
    <w:rsid w:val="00756F64"/>
    <w:rsid w:val="00757C3B"/>
    <w:rsid w:val="0076023A"/>
    <w:rsid w:val="0076304F"/>
    <w:rsid w:val="00763C32"/>
    <w:rsid w:val="00773733"/>
    <w:rsid w:val="00774FE0"/>
    <w:rsid w:val="0077582D"/>
    <w:rsid w:val="00776E81"/>
    <w:rsid w:val="007802E1"/>
    <w:rsid w:val="00780FAD"/>
    <w:rsid w:val="00782256"/>
    <w:rsid w:val="00791216"/>
    <w:rsid w:val="00791617"/>
    <w:rsid w:val="00792CEB"/>
    <w:rsid w:val="00793AD6"/>
    <w:rsid w:val="00793EA7"/>
    <w:rsid w:val="007940E8"/>
    <w:rsid w:val="00795047"/>
    <w:rsid w:val="007A673A"/>
    <w:rsid w:val="007A69C1"/>
    <w:rsid w:val="007B03E4"/>
    <w:rsid w:val="007B3B54"/>
    <w:rsid w:val="007B3BE2"/>
    <w:rsid w:val="007B665E"/>
    <w:rsid w:val="007B711A"/>
    <w:rsid w:val="007C385B"/>
    <w:rsid w:val="007C3F49"/>
    <w:rsid w:val="007C5879"/>
    <w:rsid w:val="007C5AD5"/>
    <w:rsid w:val="007C746E"/>
    <w:rsid w:val="007C7FD7"/>
    <w:rsid w:val="007D4DD3"/>
    <w:rsid w:val="007D608A"/>
    <w:rsid w:val="007D7F92"/>
    <w:rsid w:val="007E0773"/>
    <w:rsid w:val="007E0ABA"/>
    <w:rsid w:val="007E3FCC"/>
    <w:rsid w:val="007E6163"/>
    <w:rsid w:val="007E7BC6"/>
    <w:rsid w:val="007E7F34"/>
    <w:rsid w:val="007F0554"/>
    <w:rsid w:val="007F15BB"/>
    <w:rsid w:val="007F2D2A"/>
    <w:rsid w:val="007F3589"/>
    <w:rsid w:val="007F4404"/>
    <w:rsid w:val="007F44BE"/>
    <w:rsid w:val="007F4C48"/>
    <w:rsid w:val="007F4E1E"/>
    <w:rsid w:val="0080211A"/>
    <w:rsid w:val="00804638"/>
    <w:rsid w:val="00804B17"/>
    <w:rsid w:val="008062BF"/>
    <w:rsid w:val="0081411F"/>
    <w:rsid w:val="00814C62"/>
    <w:rsid w:val="00821537"/>
    <w:rsid w:val="0082345F"/>
    <w:rsid w:val="00823880"/>
    <w:rsid w:val="008241D3"/>
    <w:rsid w:val="00824D91"/>
    <w:rsid w:val="00825673"/>
    <w:rsid w:val="008257C1"/>
    <w:rsid w:val="00825C08"/>
    <w:rsid w:val="0083058C"/>
    <w:rsid w:val="00830A8A"/>
    <w:rsid w:val="00831AA7"/>
    <w:rsid w:val="00832C0D"/>
    <w:rsid w:val="008361ED"/>
    <w:rsid w:val="00836304"/>
    <w:rsid w:val="00846848"/>
    <w:rsid w:val="00846C4C"/>
    <w:rsid w:val="008472E2"/>
    <w:rsid w:val="008479ED"/>
    <w:rsid w:val="00847D7A"/>
    <w:rsid w:val="00850D33"/>
    <w:rsid w:val="00852672"/>
    <w:rsid w:val="00852A83"/>
    <w:rsid w:val="00853473"/>
    <w:rsid w:val="00854D3E"/>
    <w:rsid w:val="008561E9"/>
    <w:rsid w:val="00861D20"/>
    <w:rsid w:val="00863B20"/>
    <w:rsid w:val="008648BB"/>
    <w:rsid w:val="008653DE"/>
    <w:rsid w:val="008679F8"/>
    <w:rsid w:val="00870397"/>
    <w:rsid w:val="00871395"/>
    <w:rsid w:val="0087242A"/>
    <w:rsid w:val="00872E19"/>
    <w:rsid w:val="00874AAE"/>
    <w:rsid w:val="00875BF1"/>
    <w:rsid w:val="00877FD8"/>
    <w:rsid w:val="008808E3"/>
    <w:rsid w:val="00881A97"/>
    <w:rsid w:val="00882C09"/>
    <w:rsid w:val="00883178"/>
    <w:rsid w:val="00883881"/>
    <w:rsid w:val="00885151"/>
    <w:rsid w:val="00890346"/>
    <w:rsid w:val="008929C1"/>
    <w:rsid w:val="00893728"/>
    <w:rsid w:val="008979D4"/>
    <w:rsid w:val="008A1D8B"/>
    <w:rsid w:val="008A3948"/>
    <w:rsid w:val="008A5088"/>
    <w:rsid w:val="008A5FC4"/>
    <w:rsid w:val="008A74F8"/>
    <w:rsid w:val="008B0EEF"/>
    <w:rsid w:val="008B123F"/>
    <w:rsid w:val="008B2A89"/>
    <w:rsid w:val="008B3178"/>
    <w:rsid w:val="008B4082"/>
    <w:rsid w:val="008B7312"/>
    <w:rsid w:val="008C09D2"/>
    <w:rsid w:val="008C10AA"/>
    <w:rsid w:val="008C1818"/>
    <w:rsid w:val="008C21E6"/>
    <w:rsid w:val="008C3592"/>
    <w:rsid w:val="008C38B7"/>
    <w:rsid w:val="008C6E07"/>
    <w:rsid w:val="008D0899"/>
    <w:rsid w:val="008D0B92"/>
    <w:rsid w:val="008D3C61"/>
    <w:rsid w:val="008D3E3D"/>
    <w:rsid w:val="008D42D4"/>
    <w:rsid w:val="008D451E"/>
    <w:rsid w:val="008D49C3"/>
    <w:rsid w:val="008D6B14"/>
    <w:rsid w:val="008D7A86"/>
    <w:rsid w:val="008E09F4"/>
    <w:rsid w:val="008E0C8C"/>
    <w:rsid w:val="008E0E01"/>
    <w:rsid w:val="008E1721"/>
    <w:rsid w:val="008E2AB0"/>
    <w:rsid w:val="008E3865"/>
    <w:rsid w:val="008E417C"/>
    <w:rsid w:val="008E4B38"/>
    <w:rsid w:val="008E5878"/>
    <w:rsid w:val="008F09AB"/>
    <w:rsid w:val="008F11A3"/>
    <w:rsid w:val="008F7601"/>
    <w:rsid w:val="008F79E1"/>
    <w:rsid w:val="0090378D"/>
    <w:rsid w:val="00904039"/>
    <w:rsid w:val="00907971"/>
    <w:rsid w:val="00907A05"/>
    <w:rsid w:val="009100A8"/>
    <w:rsid w:val="00912187"/>
    <w:rsid w:val="009132E3"/>
    <w:rsid w:val="00913890"/>
    <w:rsid w:val="009148AC"/>
    <w:rsid w:val="00914C1D"/>
    <w:rsid w:val="00915F3F"/>
    <w:rsid w:val="00916228"/>
    <w:rsid w:val="0091747C"/>
    <w:rsid w:val="00922A9B"/>
    <w:rsid w:val="009231B2"/>
    <w:rsid w:val="00923ADD"/>
    <w:rsid w:val="00925758"/>
    <w:rsid w:val="009279F2"/>
    <w:rsid w:val="00931B2F"/>
    <w:rsid w:val="00932BAB"/>
    <w:rsid w:val="0093306C"/>
    <w:rsid w:val="009339FC"/>
    <w:rsid w:val="009350CE"/>
    <w:rsid w:val="00940B60"/>
    <w:rsid w:val="00940D05"/>
    <w:rsid w:val="009433C1"/>
    <w:rsid w:val="00943829"/>
    <w:rsid w:val="0094402B"/>
    <w:rsid w:val="00946DC5"/>
    <w:rsid w:val="00946E17"/>
    <w:rsid w:val="00947278"/>
    <w:rsid w:val="009539FA"/>
    <w:rsid w:val="00960FE0"/>
    <w:rsid w:val="0096247E"/>
    <w:rsid w:val="00963D1D"/>
    <w:rsid w:val="00964284"/>
    <w:rsid w:val="00965069"/>
    <w:rsid w:val="00965FDF"/>
    <w:rsid w:val="009802CB"/>
    <w:rsid w:val="0098465E"/>
    <w:rsid w:val="00985AD3"/>
    <w:rsid w:val="00985D31"/>
    <w:rsid w:val="00986804"/>
    <w:rsid w:val="0099070F"/>
    <w:rsid w:val="00993BAE"/>
    <w:rsid w:val="00993E39"/>
    <w:rsid w:val="0099546D"/>
    <w:rsid w:val="00996370"/>
    <w:rsid w:val="00997EED"/>
    <w:rsid w:val="009A375C"/>
    <w:rsid w:val="009A3853"/>
    <w:rsid w:val="009B0520"/>
    <w:rsid w:val="009B2803"/>
    <w:rsid w:val="009B4220"/>
    <w:rsid w:val="009B5742"/>
    <w:rsid w:val="009B73F5"/>
    <w:rsid w:val="009C3182"/>
    <w:rsid w:val="009C34F3"/>
    <w:rsid w:val="009C5367"/>
    <w:rsid w:val="009C5B87"/>
    <w:rsid w:val="009D1601"/>
    <w:rsid w:val="009D2F28"/>
    <w:rsid w:val="009D3731"/>
    <w:rsid w:val="009D38A1"/>
    <w:rsid w:val="009E3C08"/>
    <w:rsid w:val="009E6C6B"/>
    <w:rsid w:val="009E77F2"/>
    <w:rsid w:val="009F23BD"/>
    <w:rsid w:val="009F593D"/>
    <w:rsid w:val="00A00503"/>
    <w:rsid w:val="00A0156A"/>
    <w:rsid w:val="00A01C6F"/>
    <w:rsid w:val="00A023EA"/>
    <w:rsid w:val="00A047CA"/>
    <w:rsid w:val="00A109D4"/>
    <w:rsid w:val="00A12D70"/>
    <w:rsid w:val="00A1430A"/>
    <w:rsid w:val="00A16057"/>
    <w:rsid w:val="00A21842"/>
    <w:rsid w:val="00A21925"/>
    <w:rsid w:val="00A2215A"/>
    <w:rsid w:val="00A23059"/>
    <w:rsid w:val="00A2623B"/>
    <w:rsid w:val="00A26B28"/>
    <w:rsid w:val="00A300E2"/>
    <w:rsid w:val="00A323BD"/>
    <w:rsid w:val="00A34465"/>
    <w:rsid w:val="00A35D7E"/>
    <w:rsid w:val="00A37A93"/>
    <w:rsid w:val="00A40847"/>
    <w:rsid w:val="00A40FCF"/>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317"/>
    <w:rsid w:val="00A903D9"/>
    <w:rsid w:val="00A91411"/>
    <w:rsid w:val="00A931E9"/>
    <w:rsid w:val="00A93511"/>
    <w:rsid w:val="00A94647"/>
    <w:rsid w:val="00A9687E"/>
    <w:rsid w:val="00A97A9E"/>
    <w:rsid w:val="00A97D79"/>
    <w:rsid w:val="00AA0C5A"/>
    <w:rsid w:val="00AA2D57"/>
    <w:rsid w:val="00AA3E70"/>
    <w:rsid w:val="00AA4EF1"/>
    <w:rsid w:val="00AA6BA4"/>
    <w:rsid w:val="00AA7670"/>
    <w:rsid w:val="00AA7C25"/>
    <w:rsid w:val="00AB3269"/>
    <w:rsid w:val="00AB3C78"/>
    <w:rsid w:val="00AB6D11"/>
    <w:rsid w:val="00AC0045"/>
    <w:rsid w:val="00AC0C16"/>
    <w:rsid w:val="00AC4A34"/>
    <w:rsid w:val="00AC5B44"/>
    <w:rsid w:val="00AD0FD4"/>
    <w:rsid w:val="00AD281B"/>
    <w:rsid w:val="00AD29E4"/>
    <w:rsid w:val="00AD51CE"/>
    <w:rsid w:val="00AD6FA9"/>
    <w:rsid w:val="00AD7650"/>
    <w:rsid w:val="00AE132C"/>
    <w:rsid w:val="00AE1BC2"/>
    <w:rsid w:val="00AE2DD6"/>
    <w:rsid w:val="00AE3B7B"/>
    <w:rsid w:val="00AE4A80"/>
    <w:rsid w:val="00AE71A5"/>
    <w:rsid w:val="00AE7959"/>
    <w:rsid w:val="00AF1D10"/>
    <w:rsid w:val="00AF2921"/>
    <w:rsid w:val="00AF3FFC"/>
    <w:rsid w:val="00AF440E"/>
    <w:rsid w:val="00B00132"/>
    <w:rsid w:val="00B01A6B"/>
    <w:rsid w:val="00B02FF3"/>
    <w:rsid w:val="00B030B3"/>
    <w:rsid w:val="00B05F83"/>
    <w:rsid w:val="00B064C6"/>
    <w:rsid w:val="00B115A2"/>
    <w:rsid w:val="00B13AC3"/>
    <w:rsid w:val="00B13B6B"/>
    <w:rsid w:val="00B15CA5"/>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6272"/>
    <w:rsid w:val="00B53589"/>
    <w:rsid w:val="00B56443"/>
    <w:rsid w:val="00B568A2"/>
    <w:rsid w:val="00B57F53"/>
    <w:rsid w:val="00B612B6"/>
    <w:rsid w:val="00B636DC"/>
    <w:rsid w:val="00B639E5"/>
    <w:rsid w:val="00B67019"/>
    <w:rsid w:val="00B81003"/>
    <w:rsid w:val="00B818D7"/>
    <w:rsid w:val="00B82008"/>
    <w:rsid w:val="00B85678"/>
    <w:rsid w:val="00B867DD"/>
    <w:rsid w:val="00B90EA0"/>
    <w:rsid w:val="00B91BAA"/>
    <w:rsid w:val="00B91BC8"/>
    <w:rsid w:val="00B92538"/>
    <w:rsid w:val="00B92C39"/>
    <w:rsid w:val="00B9320E"/>
    <w:rsid w:val="00B93F58"/>
    <w:rsid w:val="00B952B5"/>
    <w:rsid w:val="00BA01D2"/>
    <w:rsid w:val="00BA0CE8"/>
    <w:rsid w:val="00BA19BE"/>
    <w:rsid w:val="00BA1DFD"/>
    <w:rsid w:val="00BA1F1D"/>
    <w:rsid w:val="00BA2A76"/>
    <w:rsid w:val="00BA374F"/>
    <w:rsid w:val="00BA4A46"/>
    <w:rsid w:val="00BB48FA"/>
    <w:rsid w:val="00BB5312"/>
    <w:rsid w:val="00BC1B68"/>
    <w:rsid w:val="00BC3700"/>
    <w:rsid w:val="00BC5ACA"/>
    <w:rsid w:val="00BC5ECE"/>
    <w:rsid w:val="00BC6314"/>
    <w:rsid w:val="00BC67A2"/>
    <w:rsid w:val="00BD0BA3"/>
    <w:rsid w:val="00BD26FC"/>
    <w:rsid w:val="00BD44B9"/>
    <w:rsid w:val="00BD49FC"/>
    <w:rsid w:val="00BD4A08"/>
    <w:rsid w:val="00BD75B3"/>
    <w:rsid w:val="00BD7ACB"/>
    <w:rsid w:val="00BE0BD4"/>
    <w:rsid w:val="00BE391B"/>
    <w:rsid w:val="00BE46AC"/>
    <w:rsid w:val="00BE639D"/>
    <w:rsid w:val="00BE69AC"/>
    <w:rsid w:val="00BF33B0"/>
    <w:rsid w:val="00BF5839"/>
    <w:rsid w:val="00BF59B2"/>
    <w:rsid w:val="00C00DC1"/>
    <w:rsid w:val="00C01514"/>
    <w:rsid w:val="00C061E3"/>
    <w:rsid w:val="00C06240"/>
    <w:rsid w:val="00C07770"/>
    <w:rsid w:val="00C119C2"/>
    <w:rsid w:val="00C141DF"/>
    <w:rsid w:val="00C14967"/>
    <w:rsid w:val="00C14B25"/>
    <w:rsid w:val="00C15FEE"/>
    <w:rsid w:val="00C1627A"/>
    <w:rsid w:val="00C17198"/>
    <w:rsid w:val="00C1777A"/>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4E8"/>
    <w:rsid w:val="00C42AAC"/>
    <w:rsid w:val="00C42CE4"/>
    <w:rsid w:val="00C43619"/>
    <w:rsid w:val="00C43DAE"/>
    <w:rsid w:val="00C51A84"/>
    <w:rsid w:val="00C531DC"/>
    <w:rsid w:val="00C532F8"/>
    <w:rsid w:val="00C533FE"/>
    <w:rsid w:val="00C5376C"/>
    <w:rsid w:val="00C54162"/>
    <w:rsid w:val="00C54C55"/>
    <w:rsid w:val="00C61020"/>
    <w:rsid w:val="00C62631"/>
    <w:rsid w:val="00C63972"/>
    <w:rsid w:val="00C65241"/>
    <w:rsid w:val="00C66CB0"/>
    <w:rsid w:val="00C676E5"/>
    <w:rsid w:val="00C7661F"/>
    <w:rsid w:val="00C76787"/>
    <w:rsid w:val="00C772E3"/>
    <w:rsid w:val="00C83A4F"/>
    <w:rsid w:val="00C84379"/>
    <w:rsid w:val="00C84D05"/>
    <w:rsid w:val="00C8621A"/>
    <w:rsid w:val="00C87641"/>
    <w:rsid w:val="00C926AD"/>
    <w:rsid w:val="00C92826"/>
    <w:rsid w:val="00C93453"/>
    <w:rsid w:val="00CA04DC"/>
    <w:rsid w:val="00CA0ADF"/>
    <w:rsid w:val="00CA5938"/>
    <w:rsid w:val="00CA5C45"/>
    <w:rsid w:val="00CA5DEE"/>
    <w:rsid w:val="00CB0E55"/>
    <w:rsid w:val="00CB38F2"/>
    <w:rsid w:val="00CB3DBD"/>
    <w:rsid w:val="00CB4D57"/>
    <w:rsid w:val="00CB57FE"/>
    <w:rsid w:val="00CB7123"/>
    <w:rsid w:val="00CB73A3"/>
    <w:rsid w:val="00CB7F0D"/>
    <w:rsid w:val="00CC1DF7"/>
    <w:rsid w:val="00CC20F1"/>
    <w:rsid w:val="00CC28C6"/>
    <w:rsid w:val="00CC3585"/>
    <w:rsid w:val="00CC4808"/>
    <w:rsid w:val="00CC4BC8"/>
    <w:rsid w:val="00CC7D66"/>
    <w:rsid w:val="00CD0055"/>
    <w:rsid w:val="00CD0400"/>
    <w:rsid w:val="00CD211F"/>
    <w:rsid w:val="00CD305B"/>
    <w:rsid w:val="00CD44A5"/>
    <w:rsid w:val="00CE0D2C"/>
    <w:rsid w:val="00CE1B8A"/>
    <w:rsid w:val="00CE3510"/>
    <w:rsid w:val="00CE4936"/>
    <w:rsid w:val="00CE4CC0"/>
    <w:rsid w:val="00CE6205"/>
    <w:rsid w:val="00CE6BF8"/>
    <w:rsid w:val="00CE7A1E"/>
    <w:rsid w:val="00CF27C4"/>
    <w:rsid w:val="00CF46D9"/>
    <w:rsid w:val="00D06F27"/>
    <w:rsid w:val="00D073F4"/>
    <w:rsid w:val="00D1102D"/>
    <w:rsid w:val="00D13DF0"/>
    <w:rsid w:val="00D143AC"/>
    <w:rsid w:val="00D14486"/>
    <w:rsid w:val="00D244C9"/>
    <w:rsid w:val="00D24520"/>
    <w:rsid w:val="00D25BF8"/>
    <w:rsid w:val="00D262EA"/>
    <w:rsid w:val="00D30A63"/>
    <w:rsid w:val="00D31703"/>
    <w:rsid w:val="00D32D1E"/>
    <w:rsid w:val="00D40AAD"/>
    <w:rsid w:val="00D47ACC"/>
    <w:rsid w:val="00D5064E"/>
    <w:rsid w:val="00D51FE7"/>
    <w:rsid w:val="00D54B01"/>
    <w:rsid w:val="00D57274"/>
    <w:rsid w:val="00D600F0"/>
    <w:rsid w:val="00D6034D"/>
    <w:rsid w:val="00D61332"/>
    <w:rsid w:val="00D61F8A"/>
    <w:rsid w:val="00D6239E"/>
    <w:rsid w:val="00D640D7"/>
    <w:rsid w:val="00D64A4B"/>
    <w:rsid w:val="00D66A48"/>
    <w:rsid w:val="00D70374"/>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C7"/>
    <w:rsid w:val="00D91FC5"/>
    <w:rsid w:val="00D92690"/>
    <w:rsid w:val="00D9288B"/>
    <w:rsid w:val="00D93EA3"/>
    <w:rsid w:val="00D97AD0"/>
    <w:rsid w:val="00DA068C"/>
    <w:rsid w:val="00DA2373"/>
    <w:rsid w:val="00DA6F20"/>
    <w:rsid w:val="00DB17ED"/>
    <w:rsid w:val="00DB35B2"/>
    <w:rsid w:val="00DB4087"/>
    <w:rsid w:val="00DB4755"/>
    <w:rsid w:val="00DC07A6"/>
    <w:rsid w:val="00DC22B8"/>
    <w:rsid w:val="00DC3E21"/>
    <w:rsid w:val="00DC428F"/>
    <w:rsid w:val="00DC48FC"/>
    <w:rsid w:val="00DD04B4"/>
    <w:rsid w:val="00DD2866"/>
    <w:rsid w:val="00DD2EAD"/>
    <w:rsid w:val="00DD332A"/>
    <w:rsid w:val="00DD3E03"/>
    <w:rsid w:val="00DD536D"/>
    <w:rsid w:val="00DD5672"/>
    <w:rsid w:val="00DD638B"/>
    <w:rsid w:val="00DD6622"/>
    <w:rsid w:val="00DE0CFB"/>
    <w:rsid w:val="00DE1245"/>
    <w:rsid w:val="00DE16B2"/>
    <w:rsid w:val="00DE17F9"/>
    <w:rsid w:val="00DE33F9"/>
    <w:rsid w:val="00DE3A75"/>
    <w:rsid w:val="00DE4C92"/>
    <w:rsid w:val="00DE6050"/>
    <w:rsid w:val="00DE65EC"/>
    <w:rsid w:val="00DE7094"/>
    <w:rsid w:val="00DF2EC9"/>
    <w:rsid w:val="00DF5393"/>
    <w:rsid w:val="00DF54C2"/>
    <w:rsid w:val="00DF5787"/>
    <w:rsid w:val="00DF794F"/>
    <w:rsid w:val="00E02336"/>
    <w:rsid w:val="00E023AA"/>
    <w:rsid w:val="00E02DF9"/>
    <w:rsid w:val="00E059CE"/>
    <w:rsid w:val="00E07B27"/>
    <w:rsid w:val="00E12228"/>
    <w:rsid w:val="00E15852"/>
    <w:rsid w:val="00E1630A"/>
    <w:rsid w:val="00E165CA"/>
    <w:rsid w:val="00E20A4D"/>
    <w:rsid w:val="00E23208"/>
    <w:rsid w:val="00E23A7E"/>
    <w:rsid w:val="00E24A0D"/>
    <w:rsid w:val="00E24A15"/>
    <w:rsid w:val="00E24F4E"/>
    <w:rsid w:val="00E25699"/>
    <w:rsid w:val="00E275BB"/>
    <w:rsid w:val="00E275CC"/>
    <w:rsid w:val="00E3023E"/>
    <w:rsid w:val="00E320BF"/>
    <w:rsid w:val="00E325CC"/>
    <w:rsid w:val="00E32F40"/>
    <w:rsid w:val="00E34B78"/>
    <w:rsid w:val="00E35F2E"/>
    <w:rsid w:val="00E37029"/>
    <w:rsid w:val="00E42F1F"/>
    <w:rsid w:val="00E45A6B"/>
    <w:rsid w:val="00E464E0"/>
    <w:rsid w:val="00E51FE7"/>
    <w:rsid w:val="00E520C5"/>
    <w:rsid w:val="00E5274C"/>
    <w:rsid w:val="00E53E66"/>
    <w:rsid w:val="00E540E3"/>
    <w:rsid w:val="00E54235"/>
    <w:rsid w:val="00E5657E"/>
    <w:rsid w:val="00E60D4B"/>
    <w:rsid w:val="00E61488"/>
    <w:rsid w:val="00E6207F"/>
    <w:rsid w:val="00E62F37"/>
    <w:rsid w:val="00E63547"/>
    <w:rsid w:val="00E63814"/>
    <w:rsid w:val="00E651B3"/>
    <w:rsid w:val="00E71B47"/>
    <w:rsid w:val="00E73CC6"/>
    <w:rsid w:val="00E73E8E"/>
    <w:rsid w:val="00E77018"/>
    <w:rsid w:val="00E8056B"/>
    <w:rsid w:val="00E80729"/>
    <w:rsid w:val="00E80CF1"/>
    <w:rsid w:val="00E86E35"/>
    <w:rsid w:val="00E91E84"/>
    <w:rsid w:val="00E96BDF"/>
    <w:rsid w:val="00EA1831"/>
    <w:rsid w:val="00EA2204"/>
    <w:rsid w:val="00EA2A85"/>
    <w:rsid w:val="00EA3251"/>
    <w:rsid w:val="00EA3322"/>
    <w:rsid w:val="00EA3F83"/>
    <w:rsid w:val="00EA6150"/>
    <w:rsid w:val="00EA6D50"/>
    <w:rsid w:val="00EB0C47"/>
    <w:rsid w:val="00EB3E6E"/>
    <w:rsid w:val="00EB73AB"/>
    <w:rsid w:val="00EC042B"/>
    <w:rsid w:val="00EC4A38"/>
    <w:rsid w:val="00EC7A14"/>
    <w:rsid w:val="00ED0C35"/>
    <w:rsid w:val="00ED185A"/>
    <w:rsid w:val="00ED19EB"/>
    <w:rsid w:val="00ED1D0D"/>
    <w:rsid w:val="00ED2995"/>
    <w:rsid w:val="00ED39AB"/>
    <w:rsid w:val="00EE02B2"/>
    <w:rsid w:val="00EE1FFF"/>
    <w:rsid w:val="00EE2127"/>
    <w:rsid w:val="00EE22F2"/>
    <w:rsid w:val="00EE4129"/>
    <w:rsid w:val="00EE49F2"/>
    <w:rsid w:val="00EE65C7"/>
    <w:rsid w:val="00EF081A"/>
    <w:rsid w:val="00EF5F37"/>
    <w:rsid w:val="00F020D5"/>
    <w:rsid w:val="00F03AB9"/>
    <w:rsid w:val="00F03D77"/>
    <w:rsid w:val="00F04185"/>
    <w:rsid w:val="00F04548"/>
    <w:rsid w:val="00F16C2D"/>
    <w:rsid w:val="00F17E6F"/>
    <w:rsid w:val="00F2072F"/>
    <w:rsid w:val="00F2165E"/>
    <w:rsid w:val="00F21CE8"/>
    <w:rsid w:val="00F24FD9"/>
    <w:rsid w:val="00F25484"/>
    <w:rsid w:val="00F254C0"/>
    <w:rsid w:val="00F26132"/>
    <w:rsid w:val="00F2650A"/>
    <w:rsid w:val="00F3294F"/>
    <w:rsid w:val="00F32DC1"/>
    <w:rsid w:val="00F33008"/>
    <w:rsid w:val="00F33089"/>
    <w:rsid w:val="00F33FD1"/>
    <w:rsid w:val="00F35870"/>
    <w:rsid w:val="00F377D3"/>
    <w:rsid w:val="00F4251D"/>
    <w:rsid w:val="00F4543E"/>
    <w:rsid w:val="00F50495"/>
    <w:rsid w:val="00F51B8C"/>
    <w:rsid w:val="00F52310"/>
    <w:rsid w:val="00F5399F"/>
    <w:rsid w:val="00F56FD2"/>
    <w:rsid w:val="00F6195A"/>
    <w:rsid w:val="00F66724"/>
    <w:rsid w:val="00F70531"/>
    <w:rsid w:val="00F73ACC"/>
    <w:rsid w:val="00F811F7"/>
    <w:rsid w:val="00F81EED"/>
    <w:rsid w:val="00F84D4F"/>
    <w:rsid w:val="00F85E0E"/>
    <w:rsid w:val="00F946DC"/>
    <w:rsid w:val="00F96568"/>
    <w:rsid w:val="00F971D6"/>
    <w:rsid w:val="00F97FDE"/>
    <w:rsid w:val="00FA1D75"/>
    <w:rsid w:val="00FA2450"/>
    <w:rsid w:val="00FA2486"/>
    <w:rsid w:val="00FA321F"/>
    <w:rsid w:val="00FA593F"/>
    <w:rsid w:val="00FA6CB0"/>
    <w:rsid w:val="00FB5CCE"/>
    <w:rsid w:val="00FB7B56"/>
    <w:rsid w:val="00FC027F"/>
    <w:rsid w:val="00FC1291"/>
    <w:rsid w:val="00FC1708"/>
    <w:rsid w:val="00FC2E35"/>
    <w:rsid w:val="00FC3859"/>
    <w:rsid w:val="00FC54E7"/>
    <w:rsid w:val="00FC7369"/>
    <w:rsid w:val="00FD016B"/>
    <w:rsid w:val="00FD3FFC"/>
    <w:rsid w:val="00FD4E53"/>
    <w:rsid w:val="00FD7129"/>
    <w:rsid w:val="00FD74A6"/>
    <w:rsid w:val="00FE3DE2"/>
    <w:rsid w:val="00FE6FC6"/>
    <w:rsid w:val="00FE75E5"/>
    <w:rsid w:val="00FF0E35"/>
    <w:rsid w:val="00FF4F15"/>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1"/>
    <o:shapelayout v:ext="edit">
      <o:idmap v:ext="edit" data="1"/>
    </o:shapelayout>
  </w:shapeDefaults>
  <w:decimalSymbol w:val="."/>
  <w:listSeparator w:val=","/>
  <w15:docId w15:val="{62AD07BA-7B4C-4A8B-8268-DF43AA77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281620142">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15923983">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00407637">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422175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2847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54155689">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93994821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nfrastructure.gov.au/infrastructure/publications/files/Productivity_Commission_Inquiry_Report_into_Public_Infrastructure.pdf" TargetMode="External"/><Relationship Id="rId13" Type="http://schemas.openxmlformats.org/officeDocument/2006/relationships/hyperlink" Target="http://www.pc.gov.au/inquiries/completed/infrastructure" TargetMode="External"/><Relationship Id="rId3" Type="http://schemas.openxmlformats.org/officeDocument/2006/relationships/hyperlink" Target="http://www.truck.net.au/industry-resources/future-strategy-road-supply-and-charging-australia" TargetMode="External"/><Relationship Id="rId7" Type="http://schemas.openxmlformats.org/officeDocument/2006/relationships/hyperlink" Target="http://www.infrastructure.gov.au/infrastructure/publications/files/Productivity_Commission_Inquiry_Report_into_Public_Infrastructure.pdf" TargetMode="External"/><Relationship Id="rId12" Type="http://schemas.openxmlformats.org/officeDocument/2006/relationships/hyperlink" Target="http://www.infrastructure.gov.au/infrastructure/publications/files/Productivity_Commission_Inquiry_Report_into_Public_Infrastructure.pdf" TargetMode="External"/><Relationship Id="rId17" Type="http://schemas.openxmlformats.org/officeDocument/2006/relationships/hyperlink" Target="http://www.truck.net.au/industry-resources/future-strategy-road-supply-and-charging-australia" TargetMode="External"/><Relationship Id="rId2" Type="http://schemas.openxmlformats.org/officeDocument/2006/relationships/hyperlink" Target="http://www.truck.net.au/industry-resources/future-strategy-road-supply-and-charging-australia" TargetMode="External"/><Relationship Id="rId16" Type="http://schemas.openxmlformats.org/officeDocument/2006/relationships/hyperlink" Target="http://www.infrastructure.gov.au/infrastructure/publications/files/Productivity_Commission_Inquiry_Report_into_Public_Infrastructure.pdf" TargetMode="External"/><Relationship Id="rId1" Type="http://schemas.openxmlformats.org/officeDocument/2006/relationships/hyperlink" Target="http://www.truck.net.au/industry-resources/future-strategy-road-supply-and-charging-australia" TargetMode="External"/><Relationship Id="rId6" Type="http://schemas.openxmlformats.org/officeDocument/2006/relationships/hyperlink" Target="http://www.ntc.gov.au/Media/Reports/(D72A1250-2EA5-5377-2008-17FE01D3DC72).pdf" TargetMode="External"/><Relationship Id="rId11" Type="http://schemas.openxmlformats.org/officeDocument/2006/relationships/hyperlink" Target="http://www.pc.gov.au/inquiries/completed/infrastructure" TargetMode="External"/><Relationship Id="rId5" Type="http://schemas.openxmlformats.org/officeDocument/2006/relationships/hyperlink" Target="http://www.truck.net.au/industry-resources/future-strategy-road-supply-and-charging-australia" TargetMode="External"/><Relationship Id="rId15" Type="http://schemas.openxmlformats.org/officeDocument/2006/relationships/hyperlink" Target="http://www.pc.gov.au/inquiries/completed/infrastructure" TargetMode="External"/><Relationship Id="rId10" Type="http://schemas.openxmlformats.org/officeDocument/2006/relationships/hyperlink" Target="http://www.pc.gov.au/inquiries/completed/infrastructure" TargetMode="External"/><Relationship Id="rId4" Type="http://schemas.openxmlformats.org/officeDocument/2006/relationships/hyperlink" Target="http://www.bitre.gov.au/publications/2011/files/report_123.pdf" TargetMode="External"/><Relationship Id="rId9" Type="http://schemas.openxmlformats.org/officeDocument/2006/relationships/hyperlink" Target="http://www.pc.gov.au/inquiries/completed/infrastructure" TargetMode="External"/><Relationship Id="rId14" Type="http://schemas.openxmlformats.org/officeDocument/2006/relationships/hyperlink" Target="http://www.infrastructure.gov.au/infrastructure/publications/files/Productivity_Commission_Inquiry_Report_into_Public_Infra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6937-BF31-4D95-B790-4CA1F48D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3557</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subject/>
  <dc:creator>harbers</dc:creator>
  <cp:keywords/>
  <dc:description/>
  <cp:lastModifiedBy>Sarah Harber</cp:lastModifiedBy>
  <cp:revision>3</cp:revision>
  <cp:lastPrinted>2015-02-06T03:09:00Z</cp:lastPrinted>
  <dcterms:created xsi:type="dcterms:W3CDTF">2015-02-06T03:09:00Z</dcterms:created>
  <dcterms:modified xsi:type="dcterms:W3CDTF">2015-02-06T03:27:00Z</dcterms:modified>
</cp:coreProperties>
</file>