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F0794C" w:rsidTr="000156D1">
        <w:trPr>
          <w:trHeight w:val="756"/>
        </w:trPr>
        <w:tc>
          <w:tcPr>
            <w:tcW w:w="2660" w:type="dxa"/>
            <w:vAlign w:val="center"/>
          </w:tcPr>
          <w:p w:rsidR="00D735FF" w:rsidRPr="00F0794C" w:rsidRDefault="00D735FF" w:rsidP="004B5863">
            <w:pPr>
              <w:pStyle w:val="Header"/>
              <w:jc w:val="both"/>
              <w:rPr>
                <w:rFonts w:asciiTheme="minorHAnsi" w:hAnsiTheme="minorHAnsi" w:cs="Arial"/>
                <w:b/>
                <w:sz w:val="32"/>
              </w:rPr>
            </w:pPr>
            <w:r w:rsidRPr="00F0794C">
              <w:rPr>
                <w:rFonts w:asciiTheme="minorHAnsi" w:hAnsiTheme="minorHAnsi" w:cs="Arial"/>
                <w:b/>
                <w:sz w:val="32"/>
              </w:rPr>
              <w:t>Submission to:</w:t>
            </w:r>
          </w:p>
        </w:tc>
        <w:tc>
          <w:tcPr>
            <w:tcW w:w="6379" w:type="dxa"/>
            <w:vAlign w:val="center"/>
          </w:tcPr>
          <w:p w:rsidR="00D735FF" w:rsidRPr="00F0794C" w:rsidRDefault="00FB4ED8" w:rsidP="004B5863">
            <w:pPr>
              <w:pStyle w:val="Header"/>
              <w:jc w:val="both"/>
              <w:rPr>
                <w:rFonts w:asciiTheme="minorHAnsi" w:hAnsiTheme="minorHAnsi" w:cs="Arial"/>
                <w:sz w:val="32"/>
              </w:rPr>
            </w:pPr>
            <w:r w:rsidRPr="00F0794C">
              <w:rPr>
                <w:rFonts w:asciiTheme="minorHAnsi" w:hAnsiTheme="minorHAnsi" w:cs="Arial"/>
                <w:sz w:val="32"/>
              </w:rPr>
              <w:t xml:space="preserve">The Productivity </w:t>
            </w:r>
            <w:r w:rsidR="005D5BD6" w:rsidRPr="00F0794C">
              <w:rPr>
                <w:rFonts w:asciiTheme="minorHAnsi" w:hAnsiTheme="minorHAnsi" w:cs="Arial"/>
                <w:sz w:val="32"/>
              </w:rPr>
              <w:t>Commission</w:t>
            </w:r>
          </w:p>
        </w:tc>
      </w:tr>
      <w:tr w:rsidR="00D735FF" w:rsidRPr="00F0794C" w:rsidTr="000156D1">
        <w:trPr>
          <w:trHeight w:val="756"/>
        </w:trPr>
        <w:tc>
          <w:tcPr>
            <w:tcW w:w="2660" w:type="dxa"/>
            <w:vAlign w:val="center"/>
          </w:tcPr>
          <w:p w:rsidR="00D735FF" w:rsidRPr="00F0794C" w:rsidRDefault="00D735FF" w:rsidP="004B5863">
            <w:pPr>
              <w:pStyle w:val="Header"/>
              <w:jc w:val="both"/>
              <w:rPr>
                <w:rFonts w:asciiTheme="minorHAnsi" w:hAnsiTheme="minorHAnsi" w:cs="Arial"/>
                <w:b/>
                <w:sz w:val="32"/>
              </w:rPr>
            </w:pPr>
            <w:r w:rsidRPr="00F0794C">
              <w:rPr>
                <w:rFonts w:asciiTheme="minorHAnsi" w:hAnsiTheme="minorHAnsi" w:cs="Arial"/>
                <w:b/>
                <w:sz w:val="32"/>
              </w:rPr>
              <w:t>Title:</w:t>
            </w:r>
          </w:p>
        </w:tc>
        <w:tc>
          <w:tcPr>
            <w:tcW w:w="6379" w:type="dxa"/>
            <w:vAlign w:val="center"/>
          </w:tcPr>
          <w:p w:rsidR="00D735FF" w:rsidRPr="00F0794C" w:rsidRDefault="00FB4ED8" w:rsidP="004B5863">
            <w:pPr>
              <w:pStyle w:val="Header"/>
              <w:jc w:val="both"/>
              <w:rPr>
                <w:rFonts w:asciiTheme="minorHAnsi" w:hAnsiTheme="minorHAnsi" w:cs="Arial"/>
                <w:sz w:val="32"/>
              </w:rPr>
            </w:pPr>
            <w:r w:rsidRPr="00F0794C">
              <w:rPr>
                <w:rFonts w:asciiTheme="minorHAnsi" w:hAnsiTheme="minorHAnsi" w:cs="Arial"/>
                <w:sz w:val="32"/>
              </w:rPr>
              <w:t xml:space="preserve">Public Infrastructure: Draft Report </w:t>
            </w:r>
            <w:r w:rsidR="00EA3322" w:rsidRPr="00F0794C">
              <w:rPr>
                <w:rFonts w:asciiTheme="minorHAnsi" w:hAnsiTheme="minorHAnsi" w:cs="Arial"/>
                <w:sz w:val="32"/>
              </w:rPr>
              <w:t xml:space="preserve"> </w:t>
            </w:r>
          </w:p>
        </w:tc>
      </w:tr>
      <w:tr w:rsidR="00D735FF" w:rsidRPr="00F0794C" w:rsidTr="000156D1">
        <w:trPr>
          <w:trHeight w:val="756"/>
        </w:trPr>
        <w:tc>
          <w:tcPr>
            <w:tcW w:w="2660" w:type="dxa"/>
            <w:vAlign w:val="center"/>
          </w:tcPr>
          <w:p w:rsidR="00D735FF" w:rsidRPr="00F0794C" w:rsidRDefault="00D735FF" w:rsidP="004B5863">
            <w:pPr>
              <w:pStyle w:val="Header"/>
              <w:jc w:val="both"/>
              <w:rPr>
                <w:rFonts w:asciiTheme="minorHAnsi" w:hAnsiTheme="minorHAnsi" w:cs="Arial"/>
                <w:b/>
                <w:sz w:val="32"/>
              </w:rPr>
            </w:pPr>
            <w:r w:rsidRPr="00F0794C">
              <w:rPr>
                <w:rFonts w:asciiTheme="minorHAnsi" w:hAnsiTheme="minorHAnsi" w:cs="Arial"/>
                <w:b/>
                <w:sz w:val="32"/>
              </w:rPr>
              <w:t>Date:</w:t>
            </w:r>
          </w:p>
        </w:tc>
        <w:tc>
          <w:tcPr>
            <w:tcW w:w="6379" w:type="dxa"/>
            <w:vAlign w:val="center"/>
          </w:tcPr>
          <w:p w:rsidR="00D735FF" w:rsidRPr="00F0794C" w:rsidRDefault="00CB47FB" w:rsidP="004B5863">
            <w:pPr>
              <w:pStyle w:val="Header"/>
              <w:jc w:val="both"/>
              <w:rPr>
                <w:rFonts w:asciiTheme="minorHAnsi" w:hAnsiTheme="minorHAnsi" w:cs="Arial"/>
                <w:sz w:val="32"/>
              </w:rPr>
            </w:pPr>
            <w:r>
              <w:rPr>
                <w:rFonts w:asciiTheme="minorHAnsi" w:hAnsiTheme="minorHAnsi" w:cs="Arial"/>
                <w:sz w:val="32"/>
              </w:rPr>
              <w:t>9</w:t>
            </w:r>
            <w:r w:rsidR="004E122C">
              <w:rPr>
                <w:rFonts w:asciiTheme="minorHAnsi" w:hAnsiTheme="minorHAnsi" w:cs="Arial"/>
                <w:sz w:val="32"/>
              </w:rPr>
              <w:t xml:space="preserve"> April 2014</w:t>
            </w:r>
          </w:p>
        </w:tc>
      </w:tr>
    </w:tbl>
    <w:p w:rsidR="00D735FF" w:rsidRPr="00F0794C" w:rsidRDefault="00D735FF" w:rsidP="004B5863">
      <w:pPr>
        <w:pStyle w:val="Header"/>
        <w:jc w:val="both"/>
        <w:rPr>
          <w:rFonts w:asciiTheme="minorHAnsi" w:hAnsiTheme="minorHAnsi" w:cs="Arial"/>
          <w:sz w:val="32"/>
        </w:rPr>
      </w:pPr>
    </w:p>
    <w:p w:rsidR="00D735FF" w:rsidRPr="00F0794C" w:rsidRDefault="00D735FF" w:rsidP="004B5863">
      <w:pPr>
        <w:pStyle w:val="Header"/>
        <w:jc w:val="both"/>
        <w:rPr>
          <w:rFonts w:asciiTheme="minorHAnsi" w:hAnsiTheme="minorHAnsi" w:cs="Arial"/>
          <w:sz w:val="32"/>
        </w:rPr>
      </w:pPr>
    </w:p>
    <w:p w:rsidR="00576ED0" w:rsidRPr="00F0794C" w:rsidRDefault="00576ED0" w:rsidP="004B5863">
      <w:pPr>
        <w:pStyle w:val="Header"/>
        <w:jc w:val="both"/>
        <w:rPr>
          <w:rFonts w:asciiTheme="minorHAnsi" w:hAnsiTheme="minorHAnsi" w:cs="Arial"/>
          <w:sz w:val="32"/>
        </w:rPr>
      </w:pPr>
    </w:p>
    <w:p w:rsidR="00576ED0" w:rsidRPr="00F0794C" w:rsidRDefault="00576ED0" w:rsidP="004B5863">
      <w:pPr>
        <w:jc w:val="both"/>
        <w:rPr>
          <w:rFonts w:asciiTheme="minorHAnsi" w:hAnsiTheme="minorHAnsi" w:cs="Arial"/>
        </w:rPr>
        <w:sectPr w:rsidR="00576ED0" w:rsidRPr="00F0794C"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F0794C" w:rsidRDefault="00576ED0" w:rsidP="004B5863">
      <w:pPr>
        <w:jc w:val="both"/>
        <w:rPr>
          <w:rFonts w:asciiTheme="minorHAnsi" w:hAnsiTheme="minorHAnsi" w:cs="Arial"/>
        </w:rPr>
      </w:pPr>
    </w:p>
    <w:p w:rsidR="0035493A" w:rsidRPr="00F0794C" w:rsidRDefault="0035493A" w:rsidP="004B5863">
      <w:pPr>
        <w:jc w:val="both"/>
        <w:rPr>
          <w:rFonts w:asciiTheme="minorHAnsi" w:hAnsiTheme="minorHAnsi" w:cs="Arial"/>
        </w:rPr>
      </w:pPr>
    </w:p>
    <w:p w:rsidR="0035493A" w:rsidRPr="00F0794C" w:rsidRDefault="0035493A" w:rsidP="004B5863">
      <w:pPr>
        <w:jc w:val="both"/>
        <w:rPr>
          <w:rFonts w:asciiTheme="minorHAnsi" w:hAnsiTheme="minorHAnsi" w:cs="Arial"/>
        </w:rPr>
      </w:pPr>
    </w:p>
    <w:p w:rsidR="0035493A" w:rsidRPr="00F0794C" w:rsidRDefault="0035493A" w:rsidP="004B5863">
      <w:pPr>
        <w:jc w:val="both"/>
        <w:rPr>
          <w:rFonts w:asciiTheme="minorHAnsi" w:hAnsiTheme="minorHAnsi" w:cs="Arial"/>
        </w:rPr>
      </w:pPr>
    </w:p>
    <w:p w:rsidR="0035493A" w:rsidRPr="00F0794C" w:rsidRDefault="0035493A" w:rsidP="004B5863">
      <w:pPr>
        <w:jc w:val="both"/>
        <w:rPr>
          <w:rFonts w:asciiTheme="minorHAnsi" w:hAnsiTheme="minorHAnsi" w:cs="Arial"/>
        </w:rPr>
      </w:pPr>
    </w:p>
    <w:p w:rsidR="0035493A" w:rsidRPr="00F0794C" w:rsidRDefault="003B74E4" w:rsidP="004B5863">
      <w:pPr>
        <w:jc w:val="both"/>
        <w:rPr>
          <w:rFonts w:asciiTheme="minorHAnsi" w:hAnsiTheme="minorHAnsi" w:cs="Arial"/>
          <w:b/>
          <w:color w:val="000064"/>
          <w:sz w:val="32"/>
        </w:rPr>
      </w:pPr>
      <w:r w:rsidRPr="00F0794C">
        <w:rPr>
          <w:rFonts w:asciiTheme="minorHAnsi" w:hAnsiTheme="minorHAnsi" w:cs="Arial"/>
          <w:b/>
          <w:color w:val="000064"/>
          <w:sz w:val="32"/>
        </w:rPr>
        <w:t>Contents</w:t>
      </w:r>
    </w:p>
    <w:p w:rsidR="00576ED0" w:rsidRPr="00F0794C" w:rsidRDefault="00576ED0" w:rsidP="004B5863">
      <w:pPr>
        <w:jc w:val="both"/>
        <w:rPr>
          <w:rFonts w:asciiTheme="minorHAnsi" w:hAnsiTheme="minorHAnsi" w:cs="Arial"/>
        </w:rPr>
      </w:pPr>
    </w:p>
    <w:p w:rsidR="009B0520" w:rsidRPr="00F0794C" w:rsidRDefault="009B0520" w:rsidP="004B5863">
      <w:pPr>
        <w:jc w:val="both"/>
        <w:rPr>
          <w:rFonts w:asciiTheme="minorHAnsi" w:hAnsiTheme="minorHAnsi" w:cs="Arial"/>
        </w:rPr>
      </w:pPr>
    </w:p>
    <w:p w:rsidR="00122A0D" w:rsidRPr="00F0794C" w:rsidRDefault="008644C9" w:rsidP="004B5863">
      <w:pPr>
        <w:pStyle w:val="TOC1"/>
        <w:tabs>
          <w:tab w:val="left" w:pos="442"/>
        </w:tabs>
        <w:jc w:val="both"/>
        <w:rPr>
          <w:rFonts w:asciiTheme="minorHAnsi" w:eastAsiaTheme="minorEastAsia" w:hAnsiTheme="minorHAnsi" w:cstheme="minorBidi"/>
          <w:b w:val="0"/>
          <w:sz w:val="22"/>
          <w:szCs w:val="22"/>
          <w:lang w:eastAsia="en-AU"/>
        </w:rPr>
      </w:pPr>
      <w:r w:rsidRPr="00F0794C">
        <w:rPr>
          <w:rFonts w:asciiTheme="minorHAnsi" w:hAnsiTheme="minorHAnsi"/>
          <w:sz w:val="22"/>
          <w:szCs w:val="22"/>
        </w:rPr>
        <w:fldChar w:fldCharType="begin"/>
      </w:r>
      <w:r w:rsidR="00BD49FC" w:rsidRPr="00F0794C">
        <w:rPr>
          <w:rFonts w:asciiTheme="minorHAnsi" w:hAnsiTheme="minorHAnsi"/>
          <w:sz w:val="22"/>
          <w:szCs w:val="22"/>
        </w:rPr>
        <w:instrText xml:space="preserve"> TOC \o "1-2" \t "ATA Heading 2,2" </w:instrText>
      </w:r>
      <w:r w:rsidRPr="00F0794C">
        <w:rPr>
          <w:rFonts w:asciiTheme="minorHAnsi" w:hAnsiTheme="minorHAnsi"/>
          <w:sz w:val="22"/>
          <w:szCs w:val="22"/>
        </w:rPr>
        <w:fldChar w:fldCharType="separate"/>
      </w:r>
      <w:r w:rsidR="00122A0D" w:rsidRPr="00F0794C">
        <w:rPr>
          <w:rFonts w:asciiTheme="minorHAnsi" w:hAnsiTheme="minorHAnsi" w:cs="Times New Roman"/>
        </w:rPr>
        <w:t>1.</w:t>
      </w:r>
      <w:r w:rsidR="00122A0D" w:rsidRPr="00F0794C">
        <w:rPr>
          <w:rFonts w:asciiTheme="minorHAnsi" w:eastAsiaTheme="minorEastAsia" w:hAnsiTheme="minorHAnsi" w:cstheme="minorBidi"/>
          <w:b w:val="0"/>
          <w:sz w:val="22"/>
          <w:szCs w:val="22"/>
          <w:lang w:eastAsia="en-AU"/>
        </w:rPr>
        <w:tab/>
      </w:r>
      <w:r w:rsidR="00122A0D" w:rsidRPr="00F0794C">
        <w:rPr>
          <w:rFonts w:asciiTheme="minorHAnsi" w:hAnsiTheme="minorHAnsi"/>
        </w:rPr>
        <w:t>Introduction</w:t>
      </w:r>
      <w:r w:rsidR="00122A0D" w:rsidRPr="00F0794C">
        <w:rPr>
          <w:rFonts w:asciiTheme="minorHAnsi" w:hAnsiTheme="minorHAnsi"/>
        </w:rPr>
        <w:tab/>
      </w:r>
      <w:r w:rsidRPr="00F0794C">
        <w:rPr>
          <w:rFonts w:asciiTheme="minorHAnsi" w:hAnsiTheme="minorHAnsi"/>
        </w:rPr>
        <w:fldChar w:fldCharType="begin"/>
      </w:r>
      <w:r w:rsidR="00122A0D" w:rsidRPr="00F0794C">
        <w:rPr>
          <w:rFonts w:asciiTheme="minorHAnsi" w:hAnsiTheme="minorHAnsi"/>
        </w:rPr>
        <w:instrText xml:space="preserve"> PAGEREF _Toc384105348 \h </w:instrText>
      </w:r>
      <w:r w:rsidRPr="00F0794C">
        <w:rPr>
          <w:rFonts w:asciiTheme="minorHAnsi" w:hAnsiTheme="minorHAnsi"/>
        </w:rPr>
      </w:r>
      <w:r w:rsidRPr="00F0794C">
        <w:rPr>
          <w:rFonts w:asciiTheme="minorHAnsi" w:hAnsiTheme="minorHAnsi"/>
        </w:rPr>
        <w:fldChar w:fldCharType="separate"/>
      </w:r>
      <w:r w:rsidR="007B6926">
        <w:rPr>
          <w:rFonts w:asciiTheme="minorHAnsi" w:hAnsiTheme="minorHAnsi"/>
        </w:rPr>
        <w:t>3</w:t>
      </w:r>
      <w:r w:rsidRPr="00F0794C">
        <w:rPr>
          <w:rFonts w:asciiTheme="minorHAnsi" w:hAnsiTheme="minorHAnsi"/>
        </w:rPr>
        <w:fldChar w:fldCharType="end"/>
      </w:r>
    </w:p>
    <w:p w:rsidR="00122A0D" w:rsidRPr="00F0794C" w:rsidRDefault="00122A0D" w:rsidP="004B5863">
      <w:pPr>
        <w:pStyle w:val="TOC1"/>
        <w:tabs>
          <w:tab w:val="left" w:pos="442"/>
        </w:tabs>
        <w:jc w:val="both"/>
        <w:rPr>
          <w:rFonts w:asciiTheme="minorHAnsi" w:eastAsiaTheme="minorEastAsia" w:hAnsiTheme="minorHAnsi" w:cstheme="minorBidi"/>
          <w:b w:val="0"/>
          <w:sz w:val="22"/>
          <w:szCs w:val="22"/>
          <w:lang w:eastAsia="en-AU"/>
        </w:rPr>
      </w:pPr>
      <w:r w:rsidRPr="00F0794C">
        <w:rPr>
          <w:rFonts w:asciiTheme="minorHAnsi" w:hAnsiTheme="minorHAnsi" w:cs="Times New Roman"/>
        </w:rPr>
        <w:t>2.</w:t>
      </w:r>
      <w:r w:rsidRPr="00F0794C">
        <w:rPr>
          <w:rFonts w:asciiTheme="minorHAnsi" w:eastAsiaTheme="minorEastAsia" w:hAnsiTheme="minorHAnsi" w:cstheme="minorBidi"/>
          <w:b w:val="0"/>
          <w:sz w:val="22"/>
          <w:szCs w:val="22"/>
          <w:lang w:eastAsia="en-AU"/>
        </w:rPr>
        <w:tab/>
      </w:r>
      <w:r w:rsidRPr="00F0794C">
        <w:rPr>
          <w:rFonts w:asciiTheme="minorHAnsi" w:hAnsiTheme="minorHAnsi"/>
        </w:rPr>
        <w:t>Australian Trucking Association</w:t>
      </w:r>
      <w:r w:rsidRPr="00F0794C">
        <w:rPr>
          <w:rFonts w:asciiTheme="minorHAnsi" w:hAnsiTheme="minorHAnsi"/>
        </w:rPr>
        <w:tab/>
      </w:r>
      <w:r w:rsidR="008644C9" w:rsidRPr="00F0794C">
        <w:rPr>
          <w:rFonts w:asciiTheme="minorHAnsi" w:hAnsiTheme="minorHAnsi"/>
        </w:rPr>
        <w:fldChar w:fldCharType="begin"/>
      </w:r>
      <w:r w:rsidRPr="00F0794C">
        <w:rPr>
          <w:rFonts w:asciiTheme="minorHAnsi" w:hAnsiTheme="minorHAnsi"/>
        </w:rPr>
        <w:instrText xml:space="preserve"> PAGEREF _Toc384105349 \h </w:instrText>
      </w:r>
      <w:r w:rsidR="008644C9" w:rsidRPr="00F0794C">
        <w:rPr>
          <w:rFonts w:asciiTheme="minorHAnsi" w:hAnsiTheme="minorHAnsi"/>
        </w:rPr>
      </w:r>
      <w:r w:rsidR="008644C9" w:rsidRPr="00F0794C">
        <w:rPr>
          <w:rFonts w:asciiTheme="minorHAnsi" w:hAnsiTheme="minorHAnsi"/>
        </w:rPr>
        <w:fldChar w:fldCharType="separate"/>
      </w:r>
      <w:r w:rsidR="007B6926">
        <w:rPr>
          <w:rFonts w:asciiTheme="minorHAnsi" w:hAnsiTheme="minorHAnsi"/>
        </w:rPr>
        <w:t>3</w:t>
      </w:r>
      <w:r w:rsidR="008644C9" w:rsidRPr="00F0794C">
        <w:rPr>
          <w:rFonts w:asciiTheme="minorHAnsi" w:hAnsiTheme="minorHAnsi"/>
        </w:rPr>
        <w:fldChar w:fldCharType="end"/>
      </w:r>
    </w:p>
    <w:p w:rsidR="00122A0D" w:rsidRPr="00F0794C" w:rsidRDefault="00122A0D" w:rsidP="004B5863">
      <w:pPr>
        <w:pStyle w:val="TOC1"/>
        <w:tabs>
          <w:tab w:val="left" w:pos="442"/>
        </w:tabs>
        <w:jc w:val="both"/>
        <w:rPr>
          <w:rFonts w:asciiTheme="minorHAnsi" w:eastAsiaTheme="minorEastAsia" w:hAnsiTheme="minorHAnsi" w:cstheme="minorBidi"/>
          <w:b w:val="0"/>
          <w:sz w:val="22"/>
          <w:szCs w:val="22"/>
          <w:lang w:eastAsia="en-AU"/>
        </w:rPr>
      </w:pPr>
      <w:r w:rsidRPr="00F0794C">
        <w:rPr>
          <w:rFonts w:asciiTheme="minorHAnsi" w:hAnsiTheme="minorHAnsi" w:cs="Times New Roman"/>
        </w:rPr>
        <w:t>3.</w:t>
      </w:r>
      <w:r w:rsidRPr="00F0794C">
        <w:rPr>
          <w:rFonts w:asciiTheme="minorHAnsi" w:eastAsiaTheme="minorEastAsia" w:hAnsiTheme="minorHAnsi" w:cstheme="minorBidi"/>
          <w:b w:val="0"/>
          <w:sz w:val="22"/>
          <w:szCs w:val="22"/>
          <w:lang w:eastAsia="en-AU"/>
        </w:rPr>
        <w:tab/>
      </w:r>
      <w:r w:rsidRPr="00F0794C">
        <w:rPr>
          <w:rFonts w:asciiTheme="minorHAnsi" w:hAnsiTheme="minorHAnsi"/>
        </w:rPr>
        <w:t>Recommendations</w:t>
      </w:r>
      <w:r w:rsidRPr="00F0794C">
        <w:rPr>
          <w:rFonts w:asciiTheme="minorHAnsi" w:hAnsiTheme="minorHAnsi"/>
        </w:rPr>
        <w:tab/>
      </w:r>
      <w:r w:rsidR="008644C9" w:rsidRPr="00F0794C">
        <w:rPr>
          <w:rFonts w:asciiTheme="minorHAnsi" w:hAnsiTheme="minorHAnsi"/>
        </w:rPr>
        <w:fldChar w:fldCharType="begin"/>
      </w:r>
      <w:r w:rsidRPr="00F0794C">
        <w:rPr>
          <w:rFonts w:asciiTheme="minorHAnsi" w:hAnsiTheme="minorHAnsi"/>
        </w:rPr>
        <w:instrText xml:space="preserve"> PAGEREF _Toc384105350 \h </w:instrText>
      </w:r>
      <w:r w:rsidR="008644C9" w:rsidRPr="00F0794C">
        <w:rPr>
          <w:rFonts w:asciiTheme="minorHAnsi" w:hAnsiTheme="minorHAnsi"/>
        </w:rPr>
      </w:r>
      <w:r w:rsidR="008644C9" w:rsidRPr="00F0794C">
        <w:rPr>
          <w:rFonts w:asciiTheme="minorHAnsi" w:hAnsiTheme="minorHAnsi"/>
        </w:rPr>
        <w:fldChar w:fldCharType="separate"/>
      </w:r>
      <w:r w:rsidR="007B6926">
        <w:rPr>
          <w:rFonts w:asciiTheme="minorHAnsi" w:hAnsiTheme="minorHAnsi"/>
        </w:rPr>
        <w:t>3</w:t>
      </w:r>
      <w:r w:rsidR="008644C9" w:rsidRPr="00F0794C">
        <w:rPr>
          <w:rFonts w:asciiTheme="minorHAnsi" w:hAnsiTheme="minorHAnsi"/>
        </w:rPr>
        <w:fldChar w:fldCharType="end"/>
      </w:r>
    </w:p>
    <w:p w:rsidR="00122A0D" w:rsidRPr="00F0794C" w:rsidRDefault="00122A0D" w:rsidP="004B5863">
      <w:pPr>
        <w:pStyle w:val="TOC1"/>
        <w:tabs>
          <w:tab w:val="left" w:pos="442"/>
        </w:tabs>
        <w:jc w:val="both"/>
        <w:rPr>
          <w:rFonts w:asciiTheme="minorHAnsi" w:eastAsiaTheme="minorEastAsia" w:hAnsiTheme="minorHAnsi" w:cstheme="minorBidi"/>
          <w:b w:val="0"/>
          <w:sz w:val="22"/>
          <w:szCs w:val="22"/>
          <w:lang w:eastAsia="en-AU"/>
        </w:rPr>
      </w:pPr>
      <w:r w:rsidRPr="00F0794C">
        <w:rPr>
          <w:rFonts w:asciiTheme="minorHAnsi" w:hAnsiTheme="minorHAnsi" w:cs="Times New Roman"/>
        </w:rPr>
        <w:t>4.</w:t>
      </w:r>
      <w:r w:rsidRPr="00F0794C">
        <w:rPr>
          <w:rFonts w:asciiTheme="minorHAnsi" w:eastAsiaTheme="minorEastAsia" w:hAnsiTheme="minorHAnsi" w:cstheme="minorBidi"/>
          <w:b w:val="0"/>
          <w:sz w:val="22"/>
          <w:szCs w:val="22"/>
          <w:lang w:eastAsia="en-AU"/>
        </w:rPr>
        <w:tab/>
      </w:r>
      <w:r w:rsidRPr="00F0794C">
        <w:rPr>
          <w:rFonts w:asciiTheme="minorHAnsi" w:hAnsiTheme="minorHAnsi"/>
        </w:rPr>
        <w:t>The PricewaterhouseCoopers report:</w:t>
      </w:r>
      <w:r w:rsidRPr="00F0794C">
        <w:rPr>
          <w:rFonts w:asciiTheme="minorHAnsi" w:hAnsiTheme="minorHAnsi"/>
          <w:iCs/>
        </w:rPr>
        <w:t xml:space="preserve"> A future Strategy for Road Supply and Charging in Australia</w:t>
      </w:r>
      <w:r w:rsidRPr="00F0794C">
        <w:rPr>
          <w:rFonts w:asciiTheme="minorHAnsi" w:hAnsiTheme="minorHAnsi"/>
        </w:rPr>
        <w:tab/>
      </w:r>
      <w:r w:rsidR="008644C9" w:rsidRPr="00F0794C">
        <w:rPr>
          <w:rFonts w:asciiTheme="minorHAnsi" w:hAnsiTheme="minorHAnsi"/>
        </w:rPr>
        <w:fldChar w:fldCharType="begin"/>
      </w:r>
      <w:r w:rsidRPr="00F0794C">
        <w:rPr>
          <w:rFonts w:asciiTheme="minorHAnsi" w:hAnsiTheme="minorHAnsi"/>
        </w:rPr>
        <w:instrText xml:space="preserve"> PAGEREF _Toc384105351 \h </w:instrText>
      </w:r>
      <w:r w:rsidR="008644C9" w:rsidRPr="00F0794C">
        <w:rPr>
          <w:rFonts w:asciiTheme="minorHAnsi" w:hAnsiTheme="minorHAnsi"/>
        </w:rPr>
      </w:r>
      <w:r w:rsidR="008644C9" w:rsidRPr="00F0794C">
        <w:rPr>
          <w:rFonts w:asciiTheme="minorHAnsi" w:hAnsiTheme="minorHAnsi"/>
        </w:rPr>
        <w:fldChar w:fldCharType="separate"/>
      </w:r>
      <w:r w:rsidR="007B6926">
        <w:rPr>
          <w:rFonts w:asciiTheme="minorHAnsi" w:hAnsiTheme="minorHAnsi"/>
        </w:rPr>
        <w:t>5</w:t>
      </w:r>
      <w:r w:rsidR="008644C9" w:rsidRPr="00F0794C">
        <w:rPr>
          <w:rFonts w:asciiTheme="minorHAnsi" w:hAnsiTheme="minorHAnsi"/>
        </w:rPr>
        <w:fldChar w:fldCharType="end"/>
      </w:r>
    </w:p>
    <w:p w:rsidR="00122A0D" w:rsidRPr="00F0794C" w:rsidRDefault="00122A0D" w:rsidP="004B5863">
      <w:pPr>
        <w:pStyle w:val="TOC1"/>
        <w:tabs>
          <w:tab w:val="left" w:pos="442"/>
        </w:tabs>
        <w:jc w:val="both"/>
        <w:rPr>
          <w:rFonts w:asciiTheme="minorHAnsi" w:eastAsiaTheme="minorEastAsia" w:hAnsiTheme="minorHAnsi" w:cstheme="minorBidi"/>
          <w:b w:val="0"/>
          <w:sz w:val="22"/>
          <w:szCs w:val="22"/>
          <w:lang w:eastAsia="en-AU"/>
        </w:rPr>
      </w:pPr>
      <w:r w:rsidRPr="00F0794C">
        <w:rPr>
          <w:rFonts w:asciiTheme="minorHAnsi" w:hAnsiTheme="minorHAnsi" w:cs="Times New Roman"/>
        </w:rPr>
        <w:t>5.</w:t>
      </w:r>
      <w:r w:rsidRPr="00F0794C">
        <w:rPr>
          <w:rFonts w:asciiTheme="minorHAnsi" w:eastAsiaTheme="minorEastAsia" w:hAnsiTheme="minorHAnsi" w:cstheme="minorBidi"/>
          <w:b w:val="0"/>
          <w:sz w:val="22"/>
          <w:szCs w:val="22"/>
          <w:lang w:eastAsia="en-AU"/>
        </w:rPr>
        <w:tab/>
      </w:r>
      <w:r w:rsidRPr="00F0794C">
        <w:rPr>
          <w:rFonts w:asciiTheme="minorHAnsi" w:hAnsiTheme="minorHAnsi"/>
        </w:rPr>
        <w:t>Supply side reform</w:t>
      </w:r>
      <w:r w:rsidRPr="00F0794C">
        <w:rPr>
          <w:rFonts w:asciiTheme="minorHAnsi" w:hAnsiTheme="minorHAnsi"/>
        </w:rPr>
        <w:tab/>
      </w:r>
      <w:r w:rsidR="008644C9" w:rsidRPr="00F0794C">
        <w:rPr>
          <w:rFonts w:asciiTheme="minorHAnsi" w:hAnsiTheme="minorHAnsi"/>
        </w:rPr>
        <w:fldChar w:fldCharType="begin"/>
      </w:r>
      <w:r w:rsidRPr="00F0794C">
        <w:rPr>
          <w:rFonts w:asciiTheme="minorHAnsi" w:hAnsiTheme="minorHAnsi"/>
        </w:rPr>
        <w:instrText xml:space="preserve"> PAGEREF _Toc384105352 \h </w:instrText>
      </w:r>
      <w:r w:rsidR="008644C9" w:rsidRPr="00F0794C">
        <w:rPr>
          <w:rFonts w:asciiTheme="minorHAnsi" w:hAnsiTheme="minorHAnsi"/>
        </w:rPr>
      </w:r>
      <w:r w:rsidR="008644C9" w:rsidRPr="00F0794C">
        <w:rPr>
          <w:rFonts w:asciiTheme="minorHAnsi" w:hAnsiTheme="minorHAnsi"/>
        </w:rPr>
        <w:fldChar w:fldCharType="separate"/>
      </w:r>
      <w:r w:rsidR="007B6926">
        <w:rPr>
          <w:rFonts w:asciiTheme="minorHAnsi" w:hAnsiTheme="minorHAnsi"/>
        </w:rPr>
        <w:t>6</w:t>
      </w:r>
      <w:r w:rsidR="008644C9" w:rsidRPr="00F0794C">
        <w:rPr>
          <w:rFonts w:asciiTheme="minorHAnsi" w:hAnsiTheme="minorHAnsi"/>
        </w:rPr>
        <w:fldChar w:fldCharType="end"/>
      </w:r>
    </w:p>
    <w:p w:rsidR="00122A0D" w:rsidRPr="00F0794C" w:rsidRDefault="00122A0D" w:rsidP="004B5863">
      <w:pPr>
        <w:pStyle w:val="TOC1"/>
        <w:tabs>
          <w:tab w:val="left" w:pos="660"/>
        </w:tabs>
        <w:spacing w:before="0" w:after="0"/>
        <w:jc w:val="both"/>
        <w:rPr>
          <w:rFonts w:asciiTheme="minorHAnsi" w:eastAsiaTheme="minorEastAsia" w:hAnsiTheme="minorHAnsi" w:cstheme="minorBidi"/>
          <w:b w:val="0"/>
          <w:sz w:val="22"/>
          <w:szCs w:val="22"/>
          <w:lang w:eastAsia="en-AU"/>
        </w:rPr>
      </w:pPr>
      <w:r w:rsidRPr="00F0794C">
        <w:rPr>
          <w:rFonts w:asciiTheme="minorHAnsi" w:hAnsiTheme="minorHAnsi"/>
          <w:b w:val="0"/>
        </w:rPr>
        <w:tab/>
        <w:t>5.1</w:t>
      </w:r>
      <w:r w:rsidRPr="00F0794C">
        <w:rPr>
          <w:rFonts w:asciiTheme="minorHAnsi" w:eastAsiaTheme="minorEastAsia" w:hAnsiTheme="minorHAnsi" w:cstheme="minorBidi"/>
          <w:b w:val="0"/>
          <w:sz w:val="22"/>
          <w:szCs w:val="22"/>
          <w:lang w:eastAsia="en-AU"/>
        </w:rPr>
        <w:t xml:space="preserve"> </w:t>
      </w:r>
      <w:r w:rsidRPr="00F0794C">
        <w:rPr>
          <w:rFonts w:asciiTheme="minorHAnsi" w:hAnsiTheme="minorHAnsi"/>
          <w:b w:val="0"/>
        </w:rPr>
        <w:t>Governance arrangements and conditional funding for states</w:t>
      </w:r>
      <w:r w:rsidRPr="00F0794C">
        <w:rPr>
          <w:rFonts w:asciiTheme="minorHAnsi" w:hAnsiTheme="minorHAnsi"/>
          <w:b w:val="0"/>
        </w:rPr>
        <w:tab/>
      </w:r>
      <w:r w:rsidR="008644C9" w:rsidRPr="00F0794C">
        <w:rPr>
          <w:rFonts w:asciiTheme="minorHAnsi" w:hAnsiTheme="minorHAnsi"/>
          <w:b w:val="0"/>
        </w:rPr>
        <w:fldChar w:fldCharType="begin"/>
      </w:r>
      <w:r w:rsidRPr="00F0794C">
        <w:rPr>
          <w:rFonts w:asciiTheme="minorHAnsi" w:hAnsiTheme="minorHAnsi"/>
          <w:b w:val="0"/>
        </w:rPr>
        <w:instrText xml:space="preserve"> PAGEREF _Toc384105353 \h </w:instrText>
      </w:r>
      <w:r w:rsidR="008644C9" w:rsidRPr="00F0794C">
        <w:rPr>
          <w:rFonts w:asciiTheme="minorHAnsi" w:hAnsiTheme="minorHAnsi"/>
          <w:b w:val="0"/>
        </w:rPr>
      </w:r>
      <w:r w:rsidR="008644C9" w:rsidRPr="00F0794C">
        <w:rPr>
          <w:rFonts w:asciiTheme="minorHAnsi" w:hAnsiTheme="minorHAnsi"/>
          <w:b w:val="0"/>
        </w:rPr>
        <w:fldChar w:fldCharType="separate"/>
      </w:r>
      <w:r w:rsidR="007B6926">
        <w:rPr>
          <w:rFonts w:asciiTheme="minorHAnsi" w:hAnsiTheme="minorHAnsi"/>
          <w:b w:val="0"/>
        </w:rPr>
        <w:t>6</w:t>
      </w:r>
      <w:r w:rsidR="008644C9" w:rsidRPr="00F0794C">
        <w:rPr>
          <w:rFonts w:asciiTheme="minorHAnsi" w:hAnsiTheme="minorHAnsi"/>
          <w:b w:val="0"/>
        </w:rPr>
        <w:fldChar w:fldCharType="end"/>
      </w:r>
    </w:p>
    <w:p w:rsidR="00122A0D" w:rsidRPr="00F0794C" w:rsidRDefault="00122A0D" w:rsidP="004B5863">
      <w:pPr>
        <w:pStyle w:val="TOC1"/>
        <w:tabs>
          <w:tab w:val="left" w:pos="660"/>
        </w:tabs>
        <w:spacing w:before="0" w:after="0"/>
        <w:jc w:val="both"/>
        <w:rPr>
          <w:rFonts w:asciiTheme="minorHAnsi" w:eastAsiaTheme="minorEastAsia" w:hAnsiTheme="minorHAnsi" w:cstheme="minorBidi"/>
          <w:b w:val="0"/>
          <w:sz w:val="22"/>
          <w:szCs w:val="22"/>
          <w:lang w:eastAsia="en-AU"/>
        </w:rPr>
      </w:pPr>
      <w:r w:rsidRPr="00F0794C">
        <w:rPr>
          <w:rFonts w:asciiTheme="minorHAnsi" w:hAnsiTheme="minorHAnsi"/>
          <w:b w:val="0"/>
        </w:rPr>
        <w:tab/>
        <w:t>5.2 Benchmarking</w:t>
      </w:r>
      <w:r w:rsidRPr="00F0794C">
        <w:rPr>
          <w:rFonts w:asciiTheme="minorHAnsi" w:hAnsiTheme="minorHAnsi"/>
          <w:b w:val="0"/>
        </w:rPr>
        <w:tab/>
      </w:r>
      <w:r w:rsidR="008644C9" w:rsidRPr="00F0794C">
        <w:rPr>
          <w:rFonts w:asciiTheme="minorHAnsi" w:hAnsiTheme="minorHAnsi"/>
          <w:b w:val="0"/>
        </w:rPr>
        <w:fldChar w:fldCharType="begin"/>
      </w:r>
      <w:r w:rsidRPr="00F0794C">
        <w:rPr>
          <w:rFonts w:asciiTheme="minorHAnsi" w:hAnsiTheme="minorHAnsi"/>
          <w:b w:val="0"/>
        </w:rPr>
        <w:instrText xml:space="preserve"> PAGEREF _Toc384105355 \h </w:instrText>
      </w:r>
      <w:r w:rsidR="008644C9" w:rsidRPr="00F0794C">
        <w:rPr>
          <w:rFonts w:asciiTheme="minorHAnsi" w:hAnsiTheme="minorHAnsi"/>
          <w:b w:val="0"/>
        </w:rPr>
      </w:r>
      <w:r w:rsidR="008644C9" w:rsidRPr="00F0794C">
        <w:rPr>
          <w:rFonts w:asciiTheme="minorHAnsi" w:hAnsiTheme="minorHAnsi"/>
          <w:b w:val="0"/>
        </w:rPr>
        <w:fldChar w:fldCharType="separate"/>
      </w:r>
      <w:r w:rsidR="007B6926">
        <w:rPr>
          <w:rFonts w:asciiTheme="minorHAnsi" w:hAnsiTheme="minorHAnsi"/>
          <w:b w:val="0"/>
        </w:rPr>
        <w:t>8</w:t>
      </w:r>
      <w:r w:rsidR="008644C9" w:rsidRPr="00F0794C">
        <w:rPr>
          <w:rFonts w:asciiTheme="minorHAnsi" w:hAnsiTheme="minorHAnsi"/>
          <w:b w:val="0"/>
        </w:rPr>
        <w:fldChar w:fldCharType="end"/>
      </w:r>
    </w:p>
    <w:p w:rsidR="00122A0D" w:rsidRPr="00F0794C" w:rsidRDefault="00122A0D" w:rsidP="004B5863">
      <w:pPr>
        <w:pStyle w:val="TOC1"/>
        <w:tabs>
          <w:tab w:val="left" w:pos="660"/>
        </w:tabs>
        <w:spacing w:before="0" w:after="0"/>
        <w:jc w:val="both"/>
        <w:rPr>
          <w:rFonts w:asciiTheme="minorHAnsi" w:eastAsiaTheme="minorEastAsia" w:hAnsiTheme="minorHAnsi" w:cstheme="minorBidi"/>
          <w:b w:val="0"/>
          <w:sz w:val="22"/>
          <w:szCs w:val="22"/>
          <w:lang w:eastAsia="en-AU"/>
        </w:rPr>
      </w:pPr>
      <w:r w:rsidRPr="00F0794C">
        <w:rPr>
          <w:rFonts w:asciiTheme="minorHAnsi" w:hAnsiTheme="minorHAnsi"/>
          <w:b w:val="0"/>
        </w:rPr>
        <w:tab/>
        <w:t>5.3 Project selection</w:t>
      </w:r>
      <w:r w:rsidRPr="00F0794C">
        <w:rPr>
          <w:rFonts w:asciiTheme="minorHAnsi" w:hAnsiTheme="minorHAnsi"/>
          <w:b w:val="0"/>
        </w:rPr>
        <w:tab/>
      </w:r>
      <w:r w:rsidR="008644C9" w:rsidRPr="00F0794C">
        <w:rPr>
          <w:rFonts w:asciiTheme="minorHAnsi" w:hAnsiTheme="minorHAnsi"/>
          <w:b w:val="0"/>
        </w:rPr>
        <w:fldChar w:fldCharType="begin"/>
      </w:r>
      <w:r w:rsidRPr="00F0794C">
        <w:rPr>
          <w:rFonts w:asciiTheme="minorHAnsi" w:hAnsiTheme="minorHAnsi"/>
          <w:b w:val="0"/>
        </w:rPr>
        <w:instrText xml:space="preserve"> PAGEREF _Toc384105356 \h </w:instrText>
      </w:r>
      <w:r w:rsidR="008644C9" w:rsidRPr="00F0794C">
        <w:rPr>
          <w:rFonts w:asciiTheme="minorHAnsi" w:hAnsiTheme="minorHAnsi"/>
          <w:b w:val="0"/>
        </w:rPr>
      </w:r>
      <w:r w:rsidR="008644C9" w:rsidRPr="00F0794C">
        <w:rPr>
          <w:rFonts w:asciiTheme="minorHAnsi" w:hAnsiTheme="minorHAnsi"/>
          <w:b w:val="0"/>
        </w:rPr>
        <w:fldChar w:fldCharType="separate"/>
      </w:r>
      <w:r w:rsidR="007B6926">
        <w:rPr>
          <w:rFonts w:asciiTheme="minorHAnsi" w:hAnsiTheme="minorHAnsi"/>
          <w:b w:val="0"/>
        </w:rPr>
        <w:t>8</w:t>
      </w:r>
      <w:r w:rsidR="008644C9" w:rsidRPr="00F0794C">
        <w:rPr>
          <w:rFonts w:asciiTheme="minorHAnsi" w:hAnsiTheme="minorHAnsi"/>
          <w:b w:val="0"/>
        </w:rPr>
        <w:fldChar w:fldCharType="end"/>
      </w:r>
    </w:p>
    <w:p w:rsidR="00122A0D" w:rsidRPr="00F0794C" w:rsidRDefault="00122A0D" w:rsidP="004B5863">
      <w:pPr>
        <w:pStyle w:val="TOC1"/>
        <w:tabs>
          <w:tab w:val="left" w:pos="660"/>
        </w:tabs>
        <w:spacing w:before="0" w:after="0"/>
        <w:jc w:val="both"/>
        <w:rPr>
          <w:rFonts w:asciiTheme="minorHAnsi" w:eastAsiaTheme="minorEastAsia" w:hAnsiTheme="minorHAnsi" w:cstheme="minorBidi"/>
          <w:b w:val="0"/>
          <w:sz w:val="22"/>
          <w:szCs w:val="22"/>
          <w:lang w:eastAsia="en-AU"/>
        </w:rPr>
      </w:pPr>
      <w:r w:rsidRPr="00F0794C">
        <w:rPr>
          <w:rFonts w:asciiTheme="minorHAnsi" w:hAnsiTheme="minorHAnsi"/>
          <w:b w:val="0"/>
        </w:rPr>
        <w:tab/>
        <w:t>5.4 Procurement</w:t>
      </w:r>
      <w:r w:rsidRPr="00F0794C">
        <w:rPr>
          <w:rFonts w:asciiTheme="minorHAnsi" w:hAnsiTheme="minorHAnsi"/>
          <w:b w:val="0"/>
        </w:rPr>
        <w:tab/>
      </w:r>
      <w:r w:rsidR="008644C9" w:rsidRPr="00F0794C">
        <w:rPr>
          <w:rFonts w:asciiTheme="minorHAnsi" w:hAnsiTheme="minorHAnsi"/>
          <w:b w:val="0"/>
        </w:rPr>
        <w:fldChar w:fldCharType="begin"/>
      </w:r>
      <w:r w:rsidRPr="00F0794C">
        <w:rPr>
          <w:rFonts w:asciiTheme="minorHAnsi" w:hAnsiTheme="minorHAnsi"/>
          <w:b w:val="0"/>
        </w:rPr>
        <w:instrText xml:space="preserve"> PAGEREF _Toc384105357 \h </w:instrText>
      </w:r>
      <w:r w:rsidR="008644C9" w:rsidRPr="00F0794C">
        <w:rPr>
          <w:rFonts w:asciiTheme="minorHAnsi" w:hAnsiTheme="minorHAnsi"/>
          <w:b w:val="0"/>
        </w:rPr>
      </w:r>
      <w:r w:rsidR="008644C9" w:rsidRPr="00F0794C">
        <w:rPr>
          <w:rFonts w:asciiTheme="minorHAnsi" w:hAnsiTheme="minorHAnsi"/>
          <w:b w:val="0"/>
        </w:rPr>
        <w:fldChar w:fldCharType="separate"/>
      </w:r>
      <w:r w:rsidR="007B6926">
        <w:rPr>
          <w:rFonts w:asciiTheme="minorHAnsi" w:hAnsiTheme="minorHAnsi"/>
          <w:b w:val="0"/>
        </w:rPr>
        <w:t>9</w:t>
      </w:r>
      <w:r w:rsidR="008644C9" w:rsidRPr="00F0794C">
        <w:rPr>
          <w:rFonts w:asciiTheme="minorHAnsi" w:hAnsiTheme="minorHAnsi"/>
          <w:b w:val="0"/>
        </w:rPr>
        <w:fldChar w:fldCharType="end"/>
      </w:r>
    </w:p>
    <w:p w:rsidR="00122A0D" w:rsidRPr="00F0794C" w:rsidRDefault="00122A0D" w:rsidP="004B5863">
      <w:pPr>
        <w:pStyle w:val="TOC1"/>
        <w:tabs>
          <w:tab w:val="left" w:pos="660"/>
        </w:tabs>
        <w:spacing w:before="0" w:after="0"/>
        <w:jc w:val="both"/>
        <w:rPr>
          <w:rFonts w:asciiTheme="minorHAnsi" w:eastAsiaTheme="minorEastAsia" w:hAnsiTheme="minorHAnsi" w:cstheme="minorBidi"/>
          <w:b w:val="0"/>
          <w:sz w:val="22"/>
          <w:szCs w:val="22"/>
          <w:lang w:eastAsia="en-AU"/>
        </w:rPr>
      </w:pPr>
      <w:r w:rsidRPr="00F0794C">
        <w:rPr>
          <w:rFonts w:asciiTheme="minorHAnsi" w:hAnsiTheme="minorHAnsi"/>
          <w:b w:val="0"/>
        </w:rPr>
        <w:tab/>
        <w:t>5.5 Cost benefit analysis</w:t>
      </w:r>
      <w:r w:rsidRPr="00F0794C">
        <w:rPr>
          <w:rFonts w:asciiTheme="minorHAnsi" w:hAnsiTheme="minorHAnsi"/>
          <w:b w:val="0"/>
        </w:rPr>
        <w:tab/>
      </w:r>
      <w:r w:rsidR="008644C9" w:rsidRPr="00F0794C">
        <w:rPr>
          <w:rFonts w:asciiTheme="minorHAnsi" w:hAnsiTheme="minorHAnsi"/>
          <w:b w:val="0"/>
        </w:rPr>
        <w:fldChar w:fldCharType="begin"/>
      </w:r>
      <w:r w:rsidRPr="00F0794C">
        <w:rPr>
          <w:rFonts w:asciiTheme="minorHAnsi" w:hAnsiTheme="minorHAnsi"/>
          <w:b w:val="0"/>
        </w:rPr>
        <w:instrText xml:space="preserve"> PAGEREF _Toc384105358 \h </w:instrText>
      </w:r>
      <w:r w:rsidR="008644C9" w:rsidRPr="00F0794C">
        <w:rPr>
          <w:rFonts w:asciiTheme="minorHAnsi" w:hAnsiTheme="minorHAnsi"/>
          <w:b w:val="0"/>
        </w:rPr>
      </w:r>
      <w:r w:rsidR="008644C9" w:rsidRPr="00F0794C">
        <w:rPr>
          <w:rFonts w:asciiTheme="minorHAnsi" w:hAnsiTheme="minorHAnsi"/>
          <w:b w:val="0"/>
        </w:rPr>
        <w:fldChar w:fldCharType="separate"/>
      </w:r>
      <w:r w:rsidR="007B6926">
        <w:rPr>
          <w:rFonts w:asciiTheme="minorHAnsi" w:hAnsiTheme="minorHAnsi"/>
          <w:b w:val="0"/>
        </w:rPr>
        <w:t>10</w:t>
      </w:r>
      <w:r w:rsidR="008644C9" w:rsidRPr="00F0794C">
        <w:rPr>
          <w:rFonts w:asciiTheme="minorHAnsi" w:hAnsiTheme="minorHAnsi"/>
          <w:b w:val="0"/>
        </w:rPr>
        <w:fldChar w:fldCharType="end"/>
      </w:r>
    </w:p>
    <w:p w:rsidR="00122A0D" w:rsidRPr="00F0794C" w:rsidRDefault="00122A0D" w:rsidP="004B5863">
      <w:pPr>
        <w:pStyle w:val="TOC1"/>
        <w:tabs>
          <w:tab w:val="left" w:pos="660"/>
        </w:tabs>
        <w:spacing w:before="0" w:after="0"/>
        <w:jc w:val="both"/>
        <w:rPr>
          <w:rFonts w:asciiTheme="minorHAnsi" w:eastAsiaTheme="minorEastAsia" w:hAnsiTheme="minorHAnsi" w:cstheme="minorBidi"/>
          <w:b w:val="0"/>
          <w:sz w:val="22"/>
          <w:szCs w:val="22"/>
          <w:lang w:eastAsia="en-AU"/>
        </w:rPr>
      </w:pPr>
      <w:r w:rsidRPr="00F0794C">
        <w:rPr>
          <w:rFonts w:asciiTheme="minorHAnsi" w:hAnsiTheme="minorHAnsi"/>
          <w:b w:val="0"/>
        </w:rPr>
        <w:tab/>
        <w:t>5.6 Community Service Obligations</w:t>
      </w:r>
      <w:r w:rsidRPr="00F0794C">
        <w:rPr>
          <w:rFonts w:asciiTheme="minorHAnsi" w:hAnsiTheme="minorHAnsi"/>
          <w:b w:val="0"/>
        </w:rPr>
        <w:tab/>
      </w:r>
      <w:r w:rsidR="008644C9" w:rsidRPr="00F0794C">
        <w:rPr>
          <w:rFonts w:asciiTheme="minorHAnsi" w:hAnsiTheme="minorHAnsi"/>
          <w:b w:val="0"/>
        </w:rPr>
        <w:fldChar w:fldCharType="begin"/>
      </w:r>
      <w:r w:rsidRPr="00F0794C">
        <w:rPr>
          <w:rFonts w:asciiTheme="minorHAnsi" w:hAnsiTheme="minorHAnsi"/>
          <w:b w:val="0"/>
        </w:rPr>
        <w:instrText xml:space="preserve"> PAGEREF _Toc384105359 \h </w:instrText>
      </w:r>
      <w:r w:rsidR="008644C9" w:rsidRPr="00F0794C">
        <w:rPr>
          <w:rFonts w:asciiTheme="minorHAnsi" w:hAnsiTheme="minorHAnsi"/>
          <w:b w:val="0"/>
        </w:rPr>
      </w:r>
      <w:r w:rsidR="008644C9" w:rsidRPr="00F0794C">
        <w:rPr>
          <w:rFonts w:asciiTheme="minorHAnsi" w:hAnsiTheme="minorHAnsi"/>
          <w:b w:val="0"/>
        </w:rPr>
        <w:fldChar w:fldCharType="separate"/>
      </w:r>
      <w:r w:rsidR="007B6926">
        <w:rPr>
          <w:rFonts w:asciiTheme="minorHAnsi" w:hAnsiTheme="minorHAnsi"/>
          <w:b w:val="0"/>
        </w:rPr>
        <w:t>14</w:t>
      </w:r>
      <w:r w:rsidR="008644C9" w:rsidRPr="00F0794C">
        <w:rPr>
          <w:rFonts w:asciiTheme="minorHAnsi" w:hAnsiTheme="minorHAnsi"/>
          <w:b w:val="0"/>
        </w:rPr>
        <w:fldChar w:fldCharType="end"/>
      </w:r>
    </w:p>
    <w:p w:rsidR="00122A0D" w:rsidRPr="00F0794C" w:rsidRDefault="00122A0D" w:rsidP="004B5863">
      <w:pPr>
        <w:pStyle w:val="TOC1"/>
        <w:tabs>
          <w:tab w:val="left" w:pos="660"/>
        </w:tabs>
        <w:spacing w:before="0" w:after="0"/>
        <w:jc w:val="both"/>
        <w:rPr>
          <w:rFonts w:asciiTheme="minorHAnsi" w:eastAsiaTheme="minorEastAsia" w:hAnsiTheme="minorHAnsi" w:cstheme="minorBidi"/>
          <w:b w:val="0"/>
          <w:sz w:val="22"/>
          <w:szCs w:val="22"/>
          <w:lang w:eastAsia="en-AU"/>
        </w:rPr>
      </w:pPr>
      <w:r w:rsidRPr="00F0794C">
        <w:rPr>
          <w:rFonts w:asciiTheme="minorHAnsi" w:hAnsiTheme="minorHAnsi"/>
          <w:b w:val="0"/>
        </w:rPr>
        <w:tab/>
        <w:t>5.7 Road funds</w:t>
      </w:r>
      <w:r w:rsidRPr="00F0794C">
        <w:rPr>
          <w:rFonts w:asciiTheme="minorHAnsi" w:hAnsiTheme="minorHAnsi"/>
          <w:b w:val="0"/>
        </w:rPr>
        <w:tab/>
      </w:r>
      <w:r w:rsidR="008644C9" w:rsidRPr="00F0794C">
        <w:rPr>
          <w:rFonts w:asciiTheme="minorHAnsi" w:hAnsiTheme="minorHAnsi"/>
          <w:b w:val="0"/>
        </w:rPr>
        <w:fldChar w:fldCharType="begin"/>
      </w:r>
      <w:r w:rsidRPr="00F0794C">
        <w:rPr>
          <w:rFonts w:asciiTheme="minorHAnsi" w:hAnsiTheme="minorHAnsi"/>
          <w:b w:val="0"/>
        </w:rPr>
        <w:instrText xml:space="preserve"> PAGEREF _Toc384105360 \h </w:instrText>
      </w:r>
      <w:r w:rsidR="008644C9" w:rsidRPr="00F0794C">
        <w:rPr>
          <w:rFonts w:asciiTheme="minorHAnsi" w:hAnsiTheme="minorHAnsi"/>
          <w:b w:val="0"/>
        </w:rPr>
      </w:r>
      <w:r w:rsidR="008644C9" w:rsidRPr="00F0794C">
        <w:rPr>
          <w:rFonts w:asciiTheme="minorHAnsi" w:hAnsiTheme="minorHAnsi"/>
          <w:b w:val="0"/>
        </w:rPr>
        <w:fldChar w:fldCharType="separate"/>
      </w:r>
      <w:r w:rsidR="007B6926">
        <w:rPr>
          <w:rFonts w:asciiTheme="minorHAnsi" w:hAnsiTheme="minorHAnsi"/>
          <w:b w:val="0"/>
        </w:rPr>
        <w:t>14</w:t>
      </w:r>
      <w:r w:rsidR="008644C9" w:rsidRPr="00F0794C">
        <w:rPr>
          <w:rFonts w:asciiTheme="minorHAnsi" w:hAnsiTheme="minorHAnsi"/>
          <w:b w:val="0"/>
        </w:rPr>
        <w:fldChar w:fldCharType="end"/>
      </w:r>
    </w:p>
    <w:p w:rsidR="00122A0D" w:rsidRPr="00F0794C" w:rsidRDefault="00122A0D" w:rsidP="004B5863">
      <w:pPr>
        <w:pStyle w:val="TOC1"/>
        <w:tabs>
          <w:tab w:val="left" w:pos="660"/>
        </w:tabs>
        <w:spacing w:before="0" w:after="0"/>
        <w:jc w:val="both"/>
        <w:rPr>
          <w:rFonts w:asciiTheme="minorHAnsi" w:eastAsiaTheme="minorEastAsia" w:hAnsiTheme="minorHAnsi" w:cstheme="minorBidi"/>
          <w:b w:val="0"/>
          <w:sz w:val="22"/>
          <w:szCs w:val="22"/>
          <w:lang w:eastAsia="en-AU"/>
        </w:rPr>
      </w:pPr>
      <w:r w:rsidRPr="00F0794C">
        <w:rPr>
          <w:rFonts w:asciiTheme="minorHAnsi" w:hAnsiTheme="minorHAnsi"/>
          <w:b w:val="0"/>
        </w:rPr>
        <w:tab/>
        <w:t>5.8 A regulator</w:t>
      </w:r>
      <w:r w:rsidRPr="00F0794C">
        <w:rPr>
          <w:rFonts w:asciiTheme="minorHAnsi" w:hAnsiTheme="minorHAnsi"/>
          <w:b w:val="0"/>
        </w:rPr>
        <w:tab/>
      </w:r>
      <w:r w:rsidR="008644C9" w:rsidRPr="00F0794C">
        <w:rPr>
          <w:rFonts w:asciiTheme="minorHAnsi" w:hAnsiTheme="minorHAnsi"/>
          <w:b w:val="0"/>
        </w:rPr>
        <w:fldChar w:fldCharType="begin"/>
      </w:r>
      <w:r w:rsidRPr="00F0794C">
        <w:rPr>
          <w:rFonts w:asciiTheme="minorHAnsi" w:hAnsiTheme="minorHAnsi"/>
          <w:b w:val="0"/>
        </w:rPr>
        <w:instrText xml:space="preserve"> PAGEREF _Toc384105361 \h </w:instrText>
      </w:r>
      <w:r w:rsidR="008644C9" w:rsidRPr="00F0794C">
        <w:rPr>
          <w:rFonts w:asciiTheme="minorHAnsi" w:hAnsiTheme="minorHAnsi"/>
          <w:b w:val="0"/>
        </w:rPr>
      </w:r>
      <w:r w:rsidR="008644C9" w:rsidRPr="00F0794C">
        <w:rPr>
          <w:rFonts w:asciiTheme="minorHAnsi" w:hAnsiTheme="minorHAnsi"/>
          <w:b w:val="0"/>
        </w:rPr>
        <w:fldChar w:fldCharType="separate"/>
      </w:r>
      <w:r w:rsidR="007B6926">
        <w:rPr>
          <w:rFonts w:asciiTheme="minorHAnsi" w:hAnsiTheme="minorHAnsi"/>
          <w:b w:val="0"/>
        </w:rPr>
        <w:t>15</w:t>
      </w:r>
      <w:r w:rsidR="008644C9" w:rsidRPr="00F0794C">
        <w:rPr>
          <w:rFonts w:asciiTheme="minorHAnsi" w:hAnsiTheme="minorHAnsi"/>
          <w:b w:val="0"/>
        </w:rPr>
        <w:fldChar w:fldCharType="end"/>
      </w:r>
    </w:p>
    <w:p w:rsidR="00122A0D" w:rsidRPr="00F0794C" w:rsidRDefault="00122A0D" w:rsidP="004B5863">
      <w:pPr>
        <w:pStyle w:val="TOC1"/>
        <w:tabs>
          <w:tab w:val="left" w:pos="442"/>
        </w:tabs>
        <w:jc w:val="both"/>
        <w:rPr>
          <w:rFonts w:asciiTheme="minorHAnsi" w:eastAsiaTheme="minorEastAsia" w:hAnsiTheme="minorHAnsi" w:cstheme="minorBidi"/>
          <w:b w:val="0"/>
          <w:sz w:val="22"/>
          <w:szCs w:val="22"/>
          <w:lang w:eastAsia="en-AU"/>
        </w:rPr>
      </w:pPr>
      <w:r w:rsidRPr="00F0794C">
        <w:rPr>
          <w:rFonts w:asciiTheme="minorHAnsi" w:hAnsiTheme="minorHAnsi" w:cs="Times New Roman"/>
        </w:rPr>
        <w:t>6.</w:t>
      </w:r>
      <w:r w:rsidRPr="00F0794C">
        <w:rPr>
          <w:rFonts w:asciiTheme="minorHAnsi" w:eastAsiaTheme="minorEastAsia" w:hAnsiTheme="minorHAnsi" w:cstheme="minorBidi"/>
          <w:b w:val="0"/>
          <w:sz w:val="22"/>
          <w:szCs w:val="22"/>
          <w:lang w:eastAsia="en-AU"/>
        </w:rPr>
        <w:tab/>
      </w:r>
      <w:r w:rsidRPr="00F0794C">
        <w:rPr>
          <w:rFonts w:asciiTheme="minorHAnsi" w:hAnsiTheme="minorHAnsi"/>
        </w:rPr>
        <w:t>User charges</w:t>
      </w:r>
      <w:r w:rsidRPr="00F0794C">
        <w:rPr>
          <w:rFonts w:asciiTheme="minorHAnsi" w:hAnsiTheme="minorHAnsi"/>
        </w:rPr>
        <w:tab/>
      </w:r>
      <w:r w:rsidR="008644C9" w:rsidRPr="00F0794C">
        <w:rPr>
          <w:rFonts w:asciiTheme="minorHAnsi" w:hAnsiTheme="minorHAnsi"/>
        </w:rPr>
        <w:fldChar w:fldCharType="begin"/>
      </w:r>
      <w:r w:rsidRPr="00F0794C">
        <w:rPr>
          <w:rFonts w:asciiTheme="minorHAnsi" w:hAnsiTheme="minorHAnsi"/>
        </w:rPr>
        <w:instrText xml:space="preserve"> PAGEREF _Toc384105363 \h </w:instrText>
      </w:r>
      <w:r w:rsidR="008644C9" w:rsidRPr="00F0794C">
        <w:rPr>
          <w:rFonts w:asciiTheme="minorHAnsi" w:hAnsiTheme="minorHAnsi"/>
        </w:rPr>
      </w:r>
      <w:r w:rsidR="008644C9" w:rsidRPr="00F0794C">
        <w:rPr>
          <w:rFonts w:asciiTheme="minorHAnsi" w:hAnsiTheme="minorHAnsi"/>
        </w:rPr>
        <w:fldChar w:fldCharType="separate"/>
      </w:r>
      <w:r w:rsidR="007B6926">
        <w:rPr>
          <w:rFonts w:asciiTheme="minorHAnsi" w:hAnsiTheme="minorHAnsi"/>
        </w:rPr>
        <w:t>15</w:t>
      </w:r>
      <w:r w:rsidR="008644C9" w:rsidRPr="00F0794C">
        <w:rPr>
          <w:rFonts w:asciiTheme="minorHAnsi" w:hAnsiTheme="minorHAnsi"/>
        </w:rPr>
        <w:fldChar w:fldCharType="end"/>
      </w:r>
    </w:p>
    <w:p w:rsidR="00122A0D" w:rsidRPr="00F0794C" w:rsidRDefault="00122A0D" w:rsidP="004B5863">
      <w:pPr>
        <w:pStyle w:val="TOC1"/>
        <w:tabs>
          <w:tab w:val="left" w:pos="660"/>
        </w:tabs>
        <w:spacing w:before="0" w:after="0"/>
        <w:jc w:val="both"/>
        <w:rPr>
          <w:rFonts w:asciiTheme="minorHAnsi" w:eastAsiaTheme="minorEastAsia" w:hAnsiTheme="minorHAnsi" w:cstheme="minorBidi"/>
          <w:b w:val="0"/>
          <w:sz w:val="22"/>
          <w:szCs w:val="22"/>
          <w:lang w:eastAsia="en-AU"/>
        </w:rPr>
      </w:pPr>
      <w:r w:rsidRPr="00F0794C">
        <w:rPr>
          <w:rFonts w:asciiTheme="minorHAnsi" w:hAnsiTheme="minorHAnsi"/>
          <w:b w:val="0"/>
        </w:rPr>
        <w:tab/>
        <w:t>6.1 The Heavy Vehicle Charging and Investment (HVCI) reform</w:t>
      </w:r>
      <w:r w:rsidRPr="00F0794C">
        <w:rPr>
          <w:rFonts w:asciiTheme="minorHAnsi" w:hAnsiTheme="minorHAnsi"/>
          <w:b w:val="0"/>
        </w:rPr>
        <w:tab/>
      </w:r>
      <w:r w:rsidR="008644C9" w:rsidRPr="00F0794C">
        <w:rPr>
          <w:rFonts w:asciiTheme="minorHAnsi" w:hAnsiTheme="minorHAnsi"/>
          <w:b w:val="0"/>
        </w:rPr>
        <w:fldChar w:fldCharType="begin"/>
      </w:r>
      <w:r w:rsidRPr="00F0794C">
        <w:rPr>
          <w:rFonts w:asciiTheme="minorHAnsi" w:hAnsiTheme="minorHAnsi"/>
          <w:b w:val="0"/>
        </w:rPr>
        <w:instrText xml:space="preserve"> PAGEREF _Toc384105364 \h </w:instrText>
      </w:r>
      <w:r w:rsidR="008644C9" w:rsidRPr="00F0794C">
        <w:rPr>
          <w:rFonts w:asciiTheme="minorHAnsi" w:hAnsiTheme="minorHAnsi"/>
          <w:b w:val="0"/>
        </w:rPr>
      </w:r>
      <w:r w:rsidR="008644C9" w:rsidRPr="00F0794C">
        <w:rPr>
          <w:rFonts w:asciiTheme="minorHAnsi" w:hAnsiTheme="minorHAnsi"/>
          <w:b w:val="0"/>
        </w:rPr>
        <w:fldChar w:fldCharType="separate"/>
      </w:r>
      <w:r w:rsidR="007B6926">
        <w:rPr>
          <w:rFonts w:asciiTheme="minorHAnsi" w:hAnsiTheme="minorHAnsi"/>
          <w:b w:val="0"/>
        </w:rPr>
        <w:t>16</w:t>
      </w:r>
      <w:r w:rsidR="008644C9" w:rsidRPr="00F0794C">
        <w:rPr>
          <w:rFonts w:asciiTheme="minorHAnsi" w:hAnsiTheme="minorHAnsi"/>
          <w:b w:val="0"/>
        </w:rPr>
        <w:fldChar w:fldCharType="end"/>
      </w:r>
    </w:p>
    <w:p w:rsidR="00122A0D" w:rsidRPr="00F0794C" w:rsidRDefault="00122A0D" w:rsidP="004B5863">
      <w:pPr>
        <w:pStyle w:val="TOC1"/>
        <w:tabs>
          <w:tab w:val="left" w:pos="660"/>
        </w:tabs>
        <w:spacing w:before="0" w:after="0"/>
        <w:jc w:val="both"/>
        <w:rPr>
          <w:rFonts w:asciiTheme="minorHAnsi" w:eastAsiaTheme="minorEastAsia" w:hAnsiTheme="minorHAnsi" w:cstheme="minorBidi"/>
          <w:b w:val="0"/>
          <w:sz w:val="22"/>
          <w:szCs w:val="22"/>
          <w:lang w:eastAsia="en-AU"/>
        </w:rPr>
      </w:pPr>
      <w:r w:rsidRPr="00F0794C">
        <w:rPr>
          <w:rFonts w:asciiTheme="minorHAnsi" w:hAnsiTheme="minorHAnsi"/>
          <w:b w:val="0"/>
        </w:rPr>
        <w:tab/>
        <w:t>6.2 Congestion charges</w:t>
      </w:r>
      <w:r w:rsidRPr="00F0794C">
        <w:rPr>
          <w:rFonts w:asciiTheme="minorHAnsi" w:hAnsiTheme="minorHAnsi"/>
          <w:b w:val="0"/>
        </w:rPr>
        <w:tab/>
      </w:r>
      <w:r w:rsidR="008644C9" w:rsidRPr="00F0794C">
        <w:rPr>
          <w:rFonts w:asciiTheme="minorHAnsi" w:hAnsiTheme="minorHAnsi"/>
          <w:b w:val="0"/>
        </w:rPr>
        <w:fldChar w:fldCharType="begin"/>
      </w:r>
      <w:r w:rsidRPr="00F0794C">
        <w:rPr>
          <w:rFonts w:asciiTheme="minorHAnsi" w:hAnsiTheme="minorHAnsi"/>
          <w:b w:val="0"/>
        </w:rPr>
        <w:instrText xml:space="preserve"> PAGEREF _Toc384105365 \h </w:instrText>
      </w:r>
      <w:r w:rsidR="008644C9" w:rsidRPr="00F0794C">
        <w:rPr>
          <w:rFonts w:asciiTheme="minorHAnsi" w:hAnsiTheme="minorHAnsi"/>
          <w:b w:val="0"/>
        </w:rPr>
      </w:r>
      <w:r w:rsidR="008644C9" w:rsidRPr="00F0794C">
        <w:rPr>
          <w:rFonts w:asciiTheme="minorHAnsi" w:hAnsiTheme="minorHAnsi"/>
          <w:b w:val="0"/>
        </w:rPr>
        <w:fldChar w:fldCharType="separate"/>
      </w:r>
      <w:r w:rsidR="007B6926">
        <w:rPr>
          <w:rFonts w:asciiTheme="minorHAnsi" w:hAnsiTheme="minorHAnsi"/>
          <w:b w:val="0"/>
        </w:rPr>
        <w:t>17</w:t>
      </w:r>
      <w:r w:rsidR="008644C9" w:rsidRPr="00F0794C">
        <w:rPr>
          <w:rFonts w:asciiTheme="minorHAnsi" w:hAnsiTheme="minorHAnsi"/>
          <w:b w:val="0"/>
        </w:rPr>
        <w:fldChar w:fldCharType="end"/>
      </w:r>
    </w:p>
    <w:p w:rsidR="00122A0D" w:rsidRPr="00F0794C" w:rsidRDefault="00122A0D" w:rsidP="004B5863">
      <w:pPr>
        <w:pStyle w:val="TOC1"/>
        <w:spacing w:before="0" w:after="0"/>
        <w:jc w:val="both"/>
        <w:rPr>
          <w:rFonts w:asciiTheme="minorHAnsi" w:eastAsiaTheme="minorEastAsia" w:hAnsiTheme="minorHAnsi" w:cstheme="minorBidi"/>
          <w:b w:val="0"/>
          <w:sz w:val="22"/>
          <w:szCs w:val="22"/>
          <w:lang w:eastAsia="en-AU"/>
        </w:rPr>
      </w:pPr>
      <w:r w:rsidRPr="00F0794C">
        <w:rPr>
          <w:rFonts w:asciiTheme="minorHAnsi" w:hAnsiTheme="minorHAnsi"/>
          <w:b w:val="0"/>
        </w:rPr>
        <w:t xml:space="preserve">              6.3 The way forward for user charges</w:t>
      </w:r>
      <w:r w:rsidRPr="00F0794C">
        <w:rPr>
          <w:rFonts w:asciiTheme="minorHAnsi" w:hAnsiTheme="minorHAnsi"/>
          <w:b w:val="0"/>
        </w:rPr>
        <w:tab/>
      </w:r>
      <w:r w:rsidR="008644C9" w:rsidRPr="00F0794C">
        <w:rPr>
          <w:rFonts w:asciiTheme="minorHAnsi" w:hAnsiTheme="minorHAnsi"/>
          <w:b w:val="0"/>
        </w:rPr>
        <w:fldChar w:fldCharType="begin"/>
      </w:r>
      <w:r w:rsidRPr="00F0794C">
        <w:rPr>
          <w:rFonts w:asciiTheme="minorHAnsi" w:hAnsiTheme="minorHAnsi"/>
          <w:b w:val="0"/>
        </w:rPr>
        <w:instrText xml:space="preserve"> PAGEREF _Toc384105366 \h </w:instrText>
      </w:r>
      <w:r w:rsidR="008644C9" w:rsidRPr="00F0794C">
        <w:rPr>
          <w:rFonts w:asciiTheme="minorHAnsi" w:hAnsiTheme="minorHAnsi"/>
          <w:b w:val="0"/>
        </w:rPr>
      </w:r>
      <w:r w:rsidR="008644C9" w:rsidRPr="00F0794C">
        <w:rPr>
          <w:rFonts w:asciiTheme="minorHAnsi" w:hAnsiTheme="minorHAnsi"/>
          <w:b w:val="0"/>
        </w:rPr>
        <w:fldChar w:fldCharType="separate"/>
      </w:r>
      <w:r w:rsidR="007B6926">
        <w:rPr>
          <w:rFonts w:asciiTheme="minorHAnsi" w:hAnsiTheme="minorHAnsi"/>
          <w:b w:val="0"/>
        </w:rPr>
        <w:t>18</w:t>
      </w:r>
      <w:r w:rsidR="008644C9" w:rsidRPr="00F0794C">
        <w:rPr>
          <w:rFonts w:asciiTheme="minorHAnsi" w:hAnsiTheme="minorHAnsi"/>
          <w:b w:val="0"/>
        </w:rPr>
        <w:fldChar w:fldCharType="end"/>
      </w:r>
    </w:p>
    <w:p w:rsidR="00241C15" w:rsidRPr="00F0794C" w:rsidRDefault="008644C9" w:rsidP="004B5863">
      <w:pPr>
        <w:tabs>
          <w:tab w:val="right" w:leader="dot" w:pos="9645"/>
        </w:tabs>
        <w:jc w:val="both"/>
        <w:rPr>
          <w:rFonts w:asciiTheme="minorHAnsi" w:hAnsiTheme="minorHAnsi" w:cs="Arial"/>
        </w:rPr>
      </w:pPr>
      <w:r w:rsidRPr="00F0794C">
        <w:rPr>
          <w:rFonts w:asciiTheme="minorHAnsi" w:hAnsiTheme="minorHAnsi" w:cs="Arial"/>
          <w:b/>
          <w:noProof/>
        </w:rPr>
        <w:fldChar w:fldCharType="end"/>
      </w:r>
    </w:p>
    <w:p w:rsidR="00576ED0" w:rsidRPr="00F0794C" w:rsidRDefault="00576ED0" w:rsidP="004B5863">
      <w:pPr>
        <w:jc w:val="both"/>
        <w:rPr>
          <w:rFonts w:asciiTheme="minorHAnsi" w:hAnsiTheme="minorHAnsi" w:cs="Arial"/>
        </w:rPr>
      </w:pPr>
      <w:r w:rsidRPr="00F0794C">
        <w:rPr>
          <w:rFonts w:asciiTheme="minorHAnsi" w:hAnsiTheme="minorHAnsi" w:cs="Arial"/>
        </w:rPr>
        <w:br w:type="page"/>
      </w:r>
    </w:p>
    <w:p w:rsidR="00600132" w:rsidRPr="00F0794C" w:rsidRDefault="00576ED0" w:rsidP="004B5863">
      <w:pPr>
        <w:pStyle w:val="Heading1"/>
        <w:jc w:val="both"/>
        <w:rPr>
          <w:rFonts w:asciiTheme="minorHAnsi" w:hAnsiTheme="minorHAnsi"/>
          <w:szCs w:val="22"/>
        </w:rPr>
      </w:pPr>
      <w:bookmarkStart w:id="0" w:name="_Toc384105348"/>
      <w:r w:rsidRPr="00F0794C">
        <w:rPr>
          <w:rFonts w:asciiTheme="minorHAnsi" w:hAnsiTheme="minorHAnsi"/>
          <w:szCs w:val="22"/>
        </w:rPr>
        <w:lastRenderedPageBreak/>
        <w:t>Introduction</w:t>
      </w:r>
      <w:bookmarkEnd w:id="0"/>
    </w:p>
    <w:p w:rsidR="00C322A1" w:rsidRPr="00F0794C" w:rsidRDefault="00C322A1" w:rsidP="004B5863">
      <w:pPr>
        <w:jc w:val="both"/>
        <w:rPr>
          <w:rFonts w:asciiTheme="minorHAnsi" w:eastAsia="Times New Roman" w:hAnsiTheme="minorHAnsi" w:cs="Arial"/>
          <w:bCs/>
        </w:rPr>
      </w:pPr>
    </w:p>
    <w:p w:rsidR="00155CDE" w:rsidRPr="00F0794C" w:rsidRDefault="00FB4ED8" w:rsidP="004B5863">
      <w:pPr>
        <w:pStyle w:val="NormalWeb"/>
        <w:shd w:val="clear" w:color="auto" w:fill="FFFFFF"/>
        <w:spacing w:before="0" w:beforeAutospacing="0" w:after="0" w:afterAutospacing="0"/>
        <w:jc w:val="both"/>
        <w:rPr>
          <w:rFonts w:asciiTheme="minorHAnsi" w:hAnsiTheme="minorHAnsi" w:cs="Arial"/>
          <w:sz w:val="22"/>
          <w:szCs w:val="22"/>
        </w:rPr>
      </w:pPr>
      <w:r w:rsidRPr="00F0794C">
        <w:rPr>
          <w:rFonts w:asciiTheme="minorHAnsi" w:eastAsiaTheme="minorHAnsi" w:hAnsiTheme="minorHAnsi" w:cstheme="minorBidi"/>
          <w:bCs/>
          <w:sz w:val="22"/>
          <w:szCs w:val="22"/>
          <w:lang w:eastAsia="en-US"/>
        </w:rPr>
        <w:t>The Productivity Commission</w:t>
      </w:r>
      <w:r w:rsidR="008C2575" w:rsidRPr="00F0794C">
        <w:rPr>
          <w:rFonts w:asciiTheme="minorHAnsi" w:eastAsiaTheme="minorHAnsi" w:hAnsiTheme="minorHAnsi" w:cstheme="minorBidi"/>
          <w:bCs/>
          <w:sz w:val="22"/>
          <w:szCs w:val="22"/>
          <w:lang w:eastAsia="en-US"/>
        </w:rPr>
        <w:t xml:space="preserve"> (the Commission)</w:t>
      </w:r>
      <w:r w:rsidRPr="00F0794C">
        <w:rPr>
          <w:rFonts w:asciiTheme="minorHAnsi" w:eastAsiaTheme="minorHAnsi" w:hAnsiTheme="minorHAnsi" w:cstheme="minorBidi"/>
          <w:bCs/>
          <w:sz w:val="22"/>
          <w:szCs w:val="22"/>
          <w:lang w:eastAsia="en-US"/>
        </w:rPr>
        <w:t xml:space="preserve"> </w:t>
      </w:r>
      <w:r w:rsidR="00A91577" w:rsidRPr="00F0794C">
        <w:rPr>
          <w:rFonts w:asciiTheme="minorHAnsi" w:eastAsiaTheme="minorHAnsi" w:hAnsiTheme="minorHAnsi" w:cstheme="minorBidi"/>
          <w:bCs/>
          <w:sz w:val="22"/>
          <w:szCs w:val="22"/>
          <w:lang w:eastAsia="en-US"/>
        </w:rPr>
        <w:t>has</w:t>
      </w:r>
      <w:r w:rsidR="00155CDE" w:rsidRPr="00F0794C">
        <w:rPr>
          <w:rFonts w:asciiTheme="minorHAnsi" w:eastAsiaTheme="minorHAnsi" w:hAnsiTheme="minorHAnsi" w:cstheme="minorBidi"/>
          <w:bCs/>
          <w:sz w:val="22"/>
          <w:szCs w:val="22"/>
          <w:lang w:eastAsia="en-US"/>
        </w:rPr>
        <w:t xml:space="preserve"> sought </w:t>
      </w:r>
      <w:r w:rsidR="00F47A00" w:rsidRPr="00F0794C">
        <w:rPr>
          <w:rFonts w:asciiTheme="minorHAnsi" w:eastAsiaTheme="minorHAnsi" w:hAnsiTheme="minorHAnsi" w:cstheme="minorBidi"/>
          <w:bCs/>
          <w:sz w:val="22"/>
          <w:szCs w:val="22"/>
          <w:lang w:eastAsia="en-US"/>
        </w:rPr>
        <w:t xml:space="preserve">to investigate costs, competitiveness and </w:t>
      </w:r>
      <w:r w:rsidR="00A91577" w:rsidRPr="00F0794C">
        <w:rPr>
          <w:rFonts w:asciiTheme="minorHAnsi" w:eastAsiaTheme="minorHAnsi" w:hAnsiTheme="minorHAnsi" w:cstheme="minorBidi"/>
          <w:bCs/>
          <w:sz w:val="22"/>
          <w:szCs w:val="22"/>
          <w:lang w:eastAsia="en-US"/>
        </w:rPr>
        <w:t xml:space="preserve">the provision of road infrastructure. </w:t>
      </w:r>
      <w:r w:rsidR="008C2575" w:rsidRPr="00F0794C">
        <w:rPr>
          <w:rFonts w:asciiTheme="minorHAnsi" w:hAnsiTheme="minorHAnsi" w:cs="Arial"/>
          <w:sz w:val="22"/>
          <w:szCs w:val="22"/>
        </w:rPr>
        <w:t>The Commission has</w:t>
      </w:r>
      <w:r w:rsidR="00155CDE" w:rsidRPr="00F0794C">
        <w:rPr>
          <w:rFonts w:asciiTheme="minorHAnsi" w:hAnsiTheme="minorHAnsi" w:cs="Arial"/>
          <w:sz w:val="22"/>
          <w:szCs w:val="22"/>
        </w:rPr>
        <w:t xml:space="preserve"> stated that there is a need for a comprehensive overhaul of processes in the assessment and development of public infrastructure projects.</w:t>
      </w:r>
    </w:p>
    <w:p w:rsidR="00155CDE" w:rsidRPr="00F0794C" w:rsidRDefault="00155CDE" w:rsidP="004B5863">
      <w:pPr>
        <w:autoSpaceDE w:val="0"/>
        <w:autoSpaceDN w:val="0"/>
        <w:adjustRightInd w:val="0"/>
        <w:jc w:val="both"/>
        <w:rPr>
          <w:rFonts w:asciiTheme="minorHAnsi" w:hAnsiTheme="minorHAnsi" w:cs="Arial"/>
        </w:rPr>
      </w:pPr>
    </w:p>
    <w:p w:rsidR="00155CDE" w:rsidRPr="00F0794C" w:rsidRDefault="008C2575" w:rsidP="004B5863">
      <w:pPr>
        <w:autoSpaceDE w:val="0"/>
        <w:autoSpaceDN w:val="0"/>
        <w:adjustRightInd w:val="0"/>
        <w:jc w:val="both"/>
        <w:rPr>
          <w:rFonts w:asciiTheme="minorHAnsi" w:hAnsiTheme="minorHAnsi" w:cs="Arial"/>
        </w:rPr>
      </w:pPr>
      <w:r w:rsidRPr="00F0794C">
        <w:rPr>
          <w:rFonts w:asciiTheme="minorHAnsi" w:hAnsiTheme="minorHAnsi" w:cs="Arial"/>
        </w:rPr>
        <w:t>The ATA shares some of the C</w:t>
      </w:r>
      <w:r w:rsidR="00155CDE" w:rsidRPr="00F0794C">
        <w:rPr>
          <w:rFonts w:asciiTheme="minorHAnsi" w:hAnsiTheme="minorHAnsi" w:cs="Arial"/>
        </w:rPr>
        <w:t>ommission’s sentiments:</w:t>
      </w:r>
    </w:p>
    <w:p w:rsidR="00155CDE" w:rsidRPr="00F0794C" w:rsidRDefault="00B91ACE" w:rsidP="004B5863">
      <w:pPr>
        <w:pStyle w:val="ListParagraph"/>
        <w:numPr>
          <w:ilvl w:val="0"/>
          <w:numId w:val="7"/>
        </w:numPr>
        <w:autoSpaceDE w:val="0"/>
        <w:autoSpaceDN w:val="0"/>
        <w:adjustRightInd w:val="0"/>
        <w:jc w:val="both"/>
        <w:rPr>
          <w:rFonts w:asciiTheme="minorHAnsi" w:hAnsiTheme="minorHAnsi" w:cs="Arial"/>
        </w:rPr>
      </w:pPr>
      <w:r>
        <w:rPr>
          <w:rFonts w:asciiTheme="minorHAnsi" w:hAnsiTheme="minorHAnsi" w:cs="Arial"/>
        </w:rPr>
        <w:t>t</w:t>
      </w:r>
      <w:r w:rsidR="00155CDE" w:rsidRPr="00F0794C">
        <w:rPr>
          <w:rFonts w:asciiTheme="minorHAnsi" w:hAnsiTheme="minorHAnsi" w:cs="Arial"/>
        </w:rPr>
        <w:t xml:space="preserve">hat without </w:t>
      </w:r>
      <w:r w:rsidR="00CC18B5" w:rsidRPr="00F0794C">
        <w:rPr>
          <w:rFonts w:asciiTheme="minorHAnsi" w:hAnsiTheme="minorHAnsi" w:cs="Arial"/>
        </w:rPr>
        <w:t xml:space="preserve">supply side </w:t>
      </w:r>
      <w:r w:rsidR="00155CDE" w:rsidRPr="00F0794C">
        <w:rPr>
          <w:rFonts w:asciiTheme="minorHAnsi" w:hAnsiTheme="minorHAnsi" w:cs="Arial"/>
        </w:rPr>
        <w:t>reform more spending will simply increase cost</w:t>
      </w:r>
      <w:r w:rsidR="008C2575" w:rsidRPr="00F0794C">
        <w:rPr>
          <w:rFonts w:asciiTheme="minorHAnsi" w:hAnsiTheme="minorHAnsi" w:cs="Arial"/>
        </w:rPr>
        <w:t>s</w:t>
      </w:r>
      <w:r w:rsidR="00155CDE" w:rsidRPr="00F0794C">
        <w:rPr>
          <w:rFonts w:asciiTheme="minorHAnsi" w:hAnsiTheme="minorHAnsi" w:cs="Arial"/>
        </w:rPr>
        <w:t xml:space="preserve"> </w:t>
      </w:r>
      <w:r w:rsidR="008C2575" w:rsidRPr="00F0794C">
        <w:rPr>
          <w:rFonts w:asciiTheme="minorHAnsi" w:hAnsiTheme="minorHAnsi" w:cs="Arial"/>
        </w:rPr>
        <w:t>for</w:t>
      </w:r>
      <w:r w:rsidR="00155CDE" w:rsidRPr="00F0794C">
        <w:rPr>
          <w:rFonts w:asciiTheme="minorHAnsi" w:hAnsiTheme="minorHAnsi" w:cs="Arial"/>
        </w:rPr>
        <w:t xml:space="preserve"> users, taxpayers, the community and </w:t>
      </w:r>
      <w:r w:rsidR="001F5825">
        <w:rPr>
          <w:rFonts w:asciiTheme="minorHAnsi" w:hAnsiTheme="minorHAnsi" w:cs="Arial"/>
        </w:rPr>
        <w:t xml:space="preserve">sustain </w:t>
      </w:r>
      <w:r w:rsidR="00155CDE" w:rsidRPr="00F0794C">
        <w:rPr>
          <w:rFonts w:asciiTheme="minorHAnsi" w:hAnsiTheme="minorHAnsi" w:cs="Arial"/>
        </w:rPr>
        <w:t>the provision of wasteful infrastructure</w:t>
      </w:r>
      <w:r>
        <w:rPr>
          <w:rFonts w:asciiTheme="minorHAnsi" w:hAnsiTheme="minorHAnsi" w:cs="Arial"/>
        </w:rPr>
        <w:t>,</w:t>
      </w:r>
      <w:r w:rsidR="00155CDE" w:rsidRPr="00F0794C">
        <w:rPr>
          <w:rFonts w:asciiTheme="minorHAnsi" w:hAnsiTheme="minorHAnsi" w:cs="Arial"/>
        </w:rPr>
        <w:t xml:space="preserve"> </w:t>
      </w:r>
    </w:p>
    <w:p w:rsidR="00155CDE" w:rsidRPr="00F0794C" w:rsidRDefault="00B91ACE" w:rsidP="004B5863">
      <w:pPr>
        <w:pStyle w:val="ListParagraph"/>
        <w:numPr>
          <w:ilvl w:val="0"/>
          <w:numId w:val="7"/>
        </w:numPr>
        <w:autoSpaceDE w:val="0"/>
        <w:autoSpaceDN w:val="0"/>
        <w:adjustRightInd w:val="0"/>
        <w:jc w:val="both"/>
        <w:rPr>
          <w:rFonts w:asciiTheme="minorHAnsi" w:hAnsiTheme="minorHAnsi" w:cs="Arial"/>
        </w:rPr>
      </w:pPr>
      <w:r>
        <w:rPr>
          <w:rFonts w:asciiTheme="minorHAnsi" w:hAnsiTheme="minorHAnsi" w:cs="Arial"/>
        </w:rPr>
        <w:t>t</w:t>
      </w:r>
      <w:r w:rsidR="00155CDE" w:rsidRPr="00F0794C">
        <w:rPr>
          <w:rFonts w:asciiTheme="minorHAnsi" w:hAnsiTheme="minorHAnsi" w:cs="Arial"/>
        </w:rPr>
        <w:t xml:space="preserve">here </w:t>
      </w:r>
      <w:r w:rsidR="008C2575" w:rsidRPr="00F0794C">
        <w:rPr>
          <w:rFonts w:asciiTheme="minorHAnsi" w:hAnsiTheme="minorHAnsi" w:cs="Arial"/>
        </w:rPr>
        <w:t>is</w:t>
      </w:r>
      <w:r w:rsidR="00155CDE" w:rsidRPr="00F0794C">
        <w:rPr>
          <w:rFonts w:asciiTheme="minorHAnsi" w:hAnsiTheme="minorHAnsi" w:cs="Arial"/>
        </w:rPr>
        <w:t xml:space="preserve"> poor value for money arising from inadequate project selection</w:t>
      </w:r>
      <w:r w:rsidR="00CC18B5" w:rsidRPr="00F0794C">
        <w:rPr>
          <w:rFonts w:asciiTheme="minorHAnsi" w:hAnsiTheme="minorHAnsi" w:cs="Arial"/>
        </w:rPr>
        <w:t xml:space="preserve"> and delivery</w:t>
      </w:r>
      <w:r>
        <w:rPr>
          <w:rFonts w:asciiTheme="minorHAnsi" w:hAnsiTheme="minorHAnsi" w:cs="Arial"/>
        </w:rPr>
        <w:t xml:space="preserve">; and </w:t>
      </w:r>
    </w:p>
    <w:p w:rsidR="00155CDE" w:rsidRPr="00F0794C" w:rsidRDefault="00B91ACE" w:rsidP="004B5863">
      <w:pPr>
        <w:pStyle w:val="ListParagraph"/>
        <w:numPr>
          <w:ilvl w:val="0"/>
          <w:numId w:val="7"/>
        </w:numPr>
        <w:shd w:val="clear" w:color="auto" w:fill="FFFFFF"/>
        <w:autoSpaceDE w:val="0"/>
        <w:autoSpaceDN w:val="0"/>
        <w:adjustRightInd w:val="0"/>
        <w:spacing w:after="0"/>
        <w:jc w:val="both"/>
        <w:rPr>
          <w:rFonts w:asciiTheme="minorHAnsi" w:eastAsiaTheme="minorHAnsi" w:hAnsiTheme="minorHAnsi" w:cstheme="minorBidi"/>
          <w:bCs/>
        </w:rPr>
      </w:pPr>
      <w:proofErr w:type="gramStart"/>
      <w:r>
        <w:rPr>
          <w:rFonts w:asciiTheme="minorHAnsi" w:hAnsiTheme="minorHAnsi" w:cs="Arial"/>
        </w:rPr>
        <w:t>t</w:t>
      </w:r>
      <w:r w:rsidR="00155CDE" w:rsidRPr="00F0794C">
        <w:rPr>
          <w:rFonts w:asciiTheme="minorHAnsi" w:hAnsiTheme="minorHAnsi" w:cs="Arial"/>
        </w:rPr>
        <w:t>hat</w:t>
      </w:r>
      <w:proofErr w:type="gramEnd"/>
      <w:r w:rsidR="00155CDE" w:rsidRPr="00F0794C">
        <w:rPr>
          <w:rFonts w:asciiTheme="minorHAnsi" w:hAnsiTheme="minorHAnsi" w:cs="Arial"/>
        </w:rPr>
        <w:t xml:space="preserve"> it is essential to reform governance and institutional arrangements for public infrastructure to promote </w:t>
      </w:r>
      <w:r w:rsidR="00E80135" w:rsidRPr="00F0794C">
        <w:rPr>
          <w:rFonts w:asciiTheme="minorHAnsi" w:hAnsiTheme="minorHAnsi" w:cs="Arial"/>
        </w:rPr>
        <w:t>better</w:t>
      </w:r>
      <w:r w:rsidR="00155CDE" w:rsidRPr="00F0794C">
        <w:rPr>
          <w:rFonts w:asciiTheme="minorHAnsi" w:hAnsiTheme="minorHAnsi" w:cs="Arial"/>
        </w:rPr>
        <w:t xml:space="preserve"> decision making in project selection, funding, financing and the delivery of infrastructure services. </w:t>
      </w:r>
    </w:p>
    <w:p w:rsidR="008C392D" w:rsidRPr="00F0794C" w:rsidRDefault="008C392D" w:rsidP="004B5863">
      <w:pPr>
        <w:pStyle w:val="BodyText2"/>
        <w:jc w:val="both"/>
        <w:rPr>
          <w:rFonts w:asciiTheme="minorHAnsi" w:eastAsia="Calibri" w:hAnsiTheme="minorHAnsi" w:cs="Times New Roman"/>
          <w:b w:val="0"/>
          <w:bCs w:val="0"/>
          <w:szCs w:val="22"/>
        </w:rPr>
      </w:pPr>
    </w:p>
    <w:p w:rsidR="0028687B" w:rsidRPr="00F0794C" w:rsidRDefault="008C392D" w:rsidP="004B5863">
      <w:pPr>
        <w:pStyle w:val="BodyText2"/>
        <w:jc w:val="both"/>
        <w:rPr>
          <w:rFonts w:asciiTheme="minorHAnsi" w:eastAsia="Calibri" w:hAnsiTheme="minorHAnsi" w:cs="Times New Roman"/>
          <w:b w:val="0"/>
          <w:bCs w:val="0"/>
          <w:szCs w:val="22"/>
        </w:rPr>
      </w:pPr>
      <w:r w:rsidRPr="00F0794C">
        <w:rPr>
          <w:rFonts w:asciiTheme="minorHAnsi" w:eastAsia="Calibri" w:hAnsiTheme="minorHAnsi" w:cs="Times New Roman"/>
          <w:b w:val="0"/>
          <w:bCs w:val="0"/>
          <w:szCs w:val="22"/>
        </w:rPr>
        <w:t>However, we disagree with the Commission</w:t>
      </w:r>
      <w:r w:rsidR="00B91ACE">
        <w:rPr>
          <w:rFonts w:asciiTheme="minorHAnsi" w:eastAsia="Calibri" w:hAnsiTheme="minorHAnsi" w:cs="Times New Roman"/>
          <w:b w:val="0"/>
          <w:bCs w:val="0"/>
          <w:szCs w:val="22"/>
        </w:rPr>
        <w:t>’</w:t>
      </w:r>
      <w:r w:rsidRPr="00F0794C">
        <w:rPr>
          <w:rFonts w:asciiTheme="minorHAnsi" w:eastAsia="Calibri" w:hAnsiTheme="minorHAnsi" w:cs="Times New Roman"/>
          <w:b w:val="0"/>
          <w:bCs w:val="0"/>
          <w:szCs w:val="22"/>
        </w:rPr>
        <w:t>s assertion that in order to improve institutional reform</w:t>
      </w:r>
      <w:r w:rsidR="001F5825">
        <w:rPr>
          <w:rFonts w:asciiTheme="minorHAnsi" w:eastAsia="Calibri" w:hAnsiTheme="minorHAnsi" w:cs="Times New Roman"/>
          <w:b w:val="0"/>
          <w:bCs w:val="0"/>
          <w:szCs w:val="22"/>
        </w:rPr>
        <w:t xml:space="preserve"> drastic</w:t>
      </w:r>
      <w:r w:rsidRPr="00F0794C">
        <w:rPr>
          <w:rFonts w:asciiTheme="minorHAnsi" w:eastAsia="Calibri" w:hAnsiTheme="minorHAnsi" w:cs="Times New Roman"/>
          <w:b w:val="0"/>
          <w:bCs w:val="0"/>
          <w:szCs w:val="22"/>
        </w:rPr>
        <w:t xml:space="preserve"> </w:t>
      </w:r>
      <w:r w:rsidR="001F5825">
        <w:rPr>
          <w:rFonts w:asciiTheme="minorHAnsi" w:eastAsia="Calibri" w:hAnsiTheme="minorHAnsi" w:cs="Times New Roman"/>
          <w:b w:val="0"/>
          <w:bCs w:val="0"/>
          <w:szCs w:val="22"/>
        </w:rPr>
        <w:t xml:space="preserve">road </w:t>
      </w:r>
      <w:r w:rsidRPr="00F0794C">
        <w:rPr>
          <w:rFonts w:asciiTheme="minorHAnsi" w:eastAsia="Calibri" w:hAnsiTheme="minorHAnsi" w:cs="Times New Roman"/>
          <w:b w:val="0"/>
          <w:bCs w:val="0"/>
          <w:szCs w:val="22"/>
        </w:rPr>
        <w:t xml:space="preserve">pricing </w:t>
      </w:r>
      <w:r w:rsidR="002D6FF6" w:rsidRPr="00F0794C">
        <w:rPr>
          <w:rFonts w:asciiTheme="minorHAnsi" w:eastAsia="Calibri" w:hAnsiTheme="minorHAnsi" w:cs="Times New Roman"/>
          <w:b w:val="0"/>
          <w:bCs w:val="0"/>
          <w:szCs w:val="22"/>
        </w:rPr>
        <w:t>change</w:t>
      </w:r>
      <w:r w:rsidRPr="00F0794C">
        <w:rPr>
          <w:rFonts w:asciiTheme="minorHAnsi" w:eastAsia="Calibri" w:hAnsiTheme="minorHAnsi" w:cs="Times New Roman"/>
          <w:b w:val="0"/>
          <w:bCs w:val="0"/>
          <w:szCs w:val="22"/>
        </w:rPr>
        <w:t xml:space="preserve"> is required</w:t>
      </w:r>
      <w:r w:rsidRPr="00F0794C">
        <w:rPr>
          <w:rStyle w:val="FootnoteReference"/>
          <w:rFonts w:asciiTheme="minorHAnsi" w:hAnsiTheme="minorHAnsi"/>
          <w:b w:val="0"/>
          <w:szCs w:val="22"/>
        </w:rPr>
        <w:footnoteReference w:id="1"/>
      </w:r>
      <w:r w:rsidRPr="00F0794C">
        <w:rPr>
          <w:rFonts w:asciiTheme="minorHAnsi" w:eastAsia="Calibri" w:hAnsiTheme="minorHAnsi" w:cs="Times New Roman"/>
          <w:b w:val="0"/>
          <w:bCs w:val="0"/>
          <w:szCs w:val="22"/>
        </w:rPr>
        <w:t xml:space="preserve">. </w:t>
      </w:r>
      <w:r w:rsidR="008C2575" w:rsidRPr="00F0794C">
        <w:rPr>
          <w:rFonts w:asciiTheme="minorHAnsi" w:eastAsia="Calibri" w:hAnsiTheme="minorHAnsi" w:cs="Times New Roman"/>
          <w:b w:val="0"/>
          <w:bCs w:val="0"/>
          <w:szCs w:val="22"/>
        </w:rPr>
        <w:t>Funding deficiencies have been exacer</w:t>
      </w:r>
      <w:r w:rsidRPr="00F0794C">
        <w:rPr>
          <w:rFonts w:asciiTheme="minorHAnsi" w:eastAsia="Calibri" w:hAnsiTheme="minorHAnsi" w:cs="Times New Roman"/>
          <w:b w:val="0"/>
          <w:bCs w:val="0"/>
          <w:szCs w:val="22"/>
        </w:rPr>
        <w:t>bated by poor decision making, meagre accountability and unconditional grants to</w:t>
      </w:r>
      <w:r w:rsidR="008C2575" w:rsidRPr="00F0794C">
        <w:rPr>
          <w:rFonts w:asciiTheme="minorHAnsi" w:eastAsia="Calibri" w:hAnsiTheme="minorHAnsi" w:cs="Times New Roman"/>
          <w:b w:val="0"/>
          <w:bCs w:val="0"/>
          <w:szCs w:val="22"/>
        </w:rPr>
        <w:t xml:space="preserve"> state level</w:t>
      </w:r>
      <w:r w:rsidRPr="00F0794C">
        <w:rPr>
          <w:rFonts w:asciiTheme="minorHAnsi" w:eastAsia="Calibri" w:hAnsiTheme="minorHAnsi" w:cs="Times New Roman"/>
          <w:b w:val="0"/>
          <w:bCs w:val="0"/>
          <w:szCs w:val="22"/>
        </w:rPr>
        <w:t xml:space="preserve"> road agencies. There are many </w:t>
      </w:r>
      <w:r w:rsidR="008C2575" w:rsidRPr="00F0794C">
        <w:rPr>
          <w:rFonts w:asciiTheme="minorHAnsi" w:eastAsia="Calibri" w:hAnsiTheme="minorHAnsi" w:cs="Times New Roman"/>
          <w:b w:val="0"/>
          <w:bCs w:val="0"/>
          <w:szCs w:val="22"/>
        </w:rPr>
        <w:t xml:space="preserve">immediate </w:t>
      </w:r>
      <w:r w:rsidRPr="00F0794C">
        <w:rPr>
          <w:rFonts w:asciiTheme="minorHAnsi" w:eastAsia="Calibri" w:hAnsiTheme="minorHAnsi" w:cs="Times New Roman"/>
          <w:b w:val="0"/>
          <w:bCs w:val="0"/>
          <w:szCs w:val="22"/>
        </w:rPr>
        <w:t xml:space="preserve">‘no regrets’ steps that can be taken on the activities of road agencies before any consideration of </w:t>
      </w:r>
      <w:r w:rsidR="001F5825">
        <w:rPr>
          <w:rFonts w:asciiTheme="minorHAnsi" w:eastAsia="Calibri" w:hAnsiTheme="minorHAnsi" w:cs="Times New Roman"/>
          <w:b w:val="0"/>
          <w:bCs w:val="0"/>
          <w:szCs w:val="22"/>
        </w:rPr>
        <w:t>mass distance location charging</w:t>
      </w:r>
      <w:r w:rsidRPr="00F0794C">
        <w:rPr>
          <w:rFonts w:asciiTheme="minorHAnsi" w:eastAsia="Calibri" w:hAnsiTheme="minorHAnsi" w:cs="Times New Roman"/>
          <w:b w:val="0"/>
          <w:bCs w:val="0"/>
          <w:szCs w:val="22"/>
        </w:rPr>
        <w:t xml:space="preserve"> </w:t>
      </w:r>
      <w:r w:rsidR="001F5825">
        <w:rPr>
          <w:rFonts w:asciiTheme="minorHAnsi" w:eastAsia="Calibri" w:hAnsiTheme="minorHAnsi" w:cs="Times New Roman"/>
          <w:b w:val="0"/>
          <w:bCs w:val="0"/>
          <w:szCs w:val="22"/>
        </w:rPr>
        <w:t>is</w:t>
      </w:r>
      <w:r w:rsidR="002D6FF6" w:rsidRPr="00F0794C">
        <w:rPr>
          <w:rFonts w:asciiTheme="minorHAnsi" w:eastAsia="Calibri" w:hAnsiTheme="minorHAnsi" w:cs="Times New Roman"/>
          <w:b w:val="0"/>
          <w:bCs w:val="0"/>
          <w:szCs w:val="22"/>
        </w:rPr>
        <w:t xml:space="preserve"> implemented. </w:t>
      </w:r>
      <w:r w:rsidRPr="00F0794C">
        <w:rPr>
          <w:rFonts w:asciiTheme="minorHAnsi" w:eastAsia="Calibri" w:hAnsiTheme="minorHAnsi" w:cs="Times New Roman"/>
          <w:b w:val="0"/>
          <w:bCs w:val="0"/>
          <w:szCs w:val="22"/>
        </w:rPr>
        <w:t xml:space="preserve">      </w:t>
      </w:r>
    </w:p>
    <w:p w:rsidR="00E80135" w:rsidRPr="00F0794C" w:rsidRDefault="00E80135" w:rsidP="004B5863">
      <w:pPr>
        <w:pStyle w:val="BodyText2"/>
        <w:jc w:val="both"/>
        <w:rPr>
          <w:rFonts w:asciiTheme="minorHAnsi" w:eastAsia="Calibri" w:hAnsiTheme="minorHAnsi" w:cs="Times New Roman"/>
          <w:b w:val="0"/>
          <w:bCs w:val="0"/>
          <w:szCs w:val="22"/>
        </w:rPr>
      </w:pPr>
    </w:p>
    <w:p w:rsidR="008D2CD8" w:rsidRPr="00F0794C" w:rsidRDefault="008D2CD8" w:rsidP="004B5863">
      <w:pPr>
        <w:pStyle w:val="BodyText2"/>
        <w:jc w:val="both"/>
        <w:rPr>
          <w:rFonts w:asciiTheme="minorHAnsi" w:hAnsiTheme="minorHAnsi"/>
          <w:szCs w:val="22"/>
        </w:rPr>
      </w:pPr>
      <w:r w:rsidRPr="00F0794C">
        <w:rPr>
          <w:rFonts w:asciiTheme="minorHAnsi" w:hAnsiTheme="minorHAnsi"/>
          <w:b w:val="0"/>
          <w:szCs w:val="22"/>
        </w:rPr>
        <w:t xml:space="preserve">The </w:t>
      </w:r>
      <w:r w:rsidR="008C2575" w:rsidRPr="00F0794C">
        <w:rPr>
          <w:rFonts w:asciiTheme="minorHAnsi" w:hAnsiTheme="minorHAnsi"/>
          <w:b w:val="0"/>
          <w:szCs w:val="22"/>
        </w:rPr>
        <w:t>Australian Automobile Association</w:t>
      </w:r>
      <w:r w:rsidRPr="00F0794C">
        <w:rPr>
          <w:rFonts w:asciiTheme="minorHAnsi" w:hAnsiTheme="minorHAnsi"/>
          <w:b w:val="0"/>
          <w:szCs w:val="22"/>
        </w:rPr>
        <w:t xml:space="preserve">, </w:t>
      </w:r>
      <w:r w:rsidR="008C2575" w:rsidRPr="00F0794C">
        <w:rPr>
          <w:rFonts w:asciiTheme="minorHAnsi" w:hAnsiTheme="minorHAnsi"/>
          <w:b w:val="0"/>
          <w:szCs w:val="22"/>
        </w:rPr>
        <w:t>The National Roads and Motorists' Association</w:t>
      </w:r>
      <w:r w:rsidRPr="00F0794C">
        <w:rPr>
          <w:rFonts w:asciiTheme="minorHAnsi" w:hAnsiTheme="minorHAnsi"/>
          <w:b w:val="0"/>
          <w:szCs w:val="22"/>
        </w:rPr>
        <w:t>, RACV, RACQ and Infrastructure Partners Australia released a</w:t>
      </w:r>
      <w:r w:rsidR="008C2575" w:rsidRPr="00F0794C">
        <w:rPr>
          <w:rFonts w:asciiTheme="minorHAnsi" w:hAnsiTheme="minorHAnsi"/>
          <w:b w:val="0"/>
          <w:szCs w:val="22"/>
        </w:rPr>
        <w:t xml:space="preserve"> </w:t>
      </w:r>
      <w:r w:rsidR="00CF112A" w:rsidRPr="00F0794C">
        <w:rPr>
          <w:rFonts w:asciiTheme="minorHAnsi" w:hAnsiTheme="minorHAnsi"/>
          <w:b w:val="0"/>
          <w:szCs w:val="22"/>
        </w:rPr>
        <w:t>recent</w:t>
      </w:r>
      <w:r w:rsidRPr="00F0794C">
        <w:rPr>
          <w:rFonts w:asciiTheme="minorHAnsi" w:hAnsiTheme="minorHAnsi"/>
          <w:b w:val="0"/>
          <w:szCs w:val="22"/>
        </w:rPr>
        <w:t xml:space="preserve"> report</w:t>
      </w:r>
      <w:r w:rsidRPr="00F0794C">
        <w:rPr>
          <w:rStyle w:val="FootnoteReference"/>
          <w:rFonts w:asciiTheme="minorHAnsi" w:hAnsiTheme="minorHAnsi"/>
          <w:b w:val="0"/>
          <w:szCs w:val="22"/>
        </w:rPr>
        <w:footnoteReference w:id="2"/>
      </w:r>
      <w:r w:rsidRPr="00F0794C">
        <w:rPr>
          <w:rFonts w:asciiTheme="minorHAnsi" w:hAnsiTheme="minorHAnsi"/>
          <w:b w:val="0"/>
          <w:szCs w:val="22"/>
        </w:rPr>
        <w:t xml:space="preserve"> in favour of user charges (congestion charge) for light vehicles. However, the report fails to recommend any supply side </w:t>
      </w:r>
      <w:r w:rsidR="00A91577" w:rsidRPr="00F0794C">
        <w:rPr>
          <w:rFonts w:asciiTheme="minorHAnsi" w:hAnsiTheme="minorHAnsi"/>
          <w:b w:val="0"/>
          <w:szCs w:val="22"/>
        </w:rPr>
        <w:t>reforms</w:t>
      </w:r>
      <w:r w:rsidR="00B91ACE">
        <w:rPr>
          <w:rFonts w:asciiTheme="minorHAnsi" w:hAnsiTheme="minorHAnsi"/>
          <w:b w:val="0"/>
          <w:szCs w:val="22"/>
        </w:rPr>
        <w:t>.</w:t>
      </w:r>
      <w:r w:rsidR="00A91577" w:rsidRPr="00F0794C">
        <w:rPr>
          <w:rFonts w:asciiTheme="minorHAnsi" w:hAnsiTheme="minorHAnsi"/>
          <w:b w:val="0"/>
          <w:szCs w:val="22"/>
        </w:rPr>
        <w:t xml:space="preserve"> </w:t>
      </w:r>
      <w:r w:rsidR="00B91ACE">
        <w:rPr>
          <w:rFonts w:asciiTheme="minorHAnsi" w:hAnsiTheme="minorHAnsi"/>
          <w:b w:val="0"/>
          <w:szCs w:val="22"/>
        </w:rPr>
        <w:t>T</w:t>
      </w:r>
      <w:r w:rsidR="00A91577" w:rsidRPr="00F0794C">
        <w:rPr>
          <w:rFonts w:asciiTheme="minorHAnsi" w:hAnsiTheme="minorHAnsi"/>
          <w:b w:val="0"/>
          <w:szCs w:val="22"/>
        </w:rPr>
        <w:t xml:space="preserve">he </w:t>
      </w:r>
      <w:r w:rsidR="00F63F4C" w:rsidRPr="00F0794C">
        <w:rPr>
          <w:rFonts w:asciiTheme="minorHAnsi" w:hAnsiTheme="minorHAnsi"/>
          <w:b w:val="0"/>
          <w:szCs w:val="22"/>
        </w:rPr>
        <w:t>Commission</w:t>
      </w:r>
      <w:r w:rsidR="00A91577" w:rsidRPr="00F0794C">
        <w:rPr>
          <w:rFonts w:asciiTheme="minorHAnsi" w:hAnsiTheme="minorHAnsi"/>
          <w:b w:val="0"/>
          <w:szCs w:val="22"/>
        </w:rPr>
        <w:t xml:space="preserve"> has demonstrated are</w:t>
      </w:r>
      <w:r w:rsidRPr="00F0794C">
        <w:rPr>
          <w:rFonts w:asciiTheme="minorHAnsi" w:hAnsiTheme="minorHAnsi"/>
          <w:b w:val="0"/>
          <w:szCs w:val="22"/>
        </w:rPr>
        <w:t xml:space="preserve"> </w:t>
      </w:r>
      <w:r w:rsidR="008C2575" w:rsidRPr="00F0794C">
        <w:rPr>
          <w:rFonts w:asciiTheme="minorHAnsi" w:hAnsiTheme="minorHAnsi"/>
          <w:b w:val="0"/>
          <w:szCs w:val="22"/>
        </w:rPr>
        <w:t>needed</w:t>
      </w:r>
      <w:r w:rsidRPr="00F0794C">
        <w:rPr>
          <w:rFonts w:asciiTheme="minorHAnsi" w:hAnsiTheme="minorHAnsi"/>
          <w:b w:val="0"/>
          <w:szCs w:val="22"/>
        </w:rPr>
        <w:t xml:space="preserve"> </w:t>
      </w:r>
      <w:r w:rsidR="00CF112A" w:rsidRPr="00F0794C">
        <w:rPr>
          <w:rFonts w:asciiTheme="minorHAnsi" w:hAnsiTheme="minorHAnsi"/>
          <w:b w:val="0"/>
          <w:szCs w:val="22"/>
        </w:rPr>
        <w:t>for</w:t>
      </w:r>
      <w:r w:rsidRPr="00F0794C">
        <w:rPr>
          <w:rFonts w:asciiTheme="minorHAnsi" w:hAnsiTheme="minorHAnsi"/>
          <w:b w:val="0"/>
          <w:szCs w:val="22"/>
        </w:rPr>
        <w:t xml:space="preserve"> improved accountability, transparency and benchmarking. </w:t>
      </w:r>
    </w:p>
    <w:p w:rsidR="008D2CD8" w:rsidRPr="00F0794C" w:rsidRDefault="008D2CD8" w:rsidP="004B5863">
      <w:pPr>
        <w:pStyle w:val="BodyText2"/>
        <w:jc w:val="both"/>
        <w:rPr>
          <w:rFonts w:asciiTheme="minorHAnsi" w:eastAsia="Calibri" w:hAnsiTheme="minorHAnsi" w:cs="Times New Roman"/>
          <w:b w:val="0"/>
          <w:bCs w:val="0"/>
          <w:szCs w:val="22"/>
        </w:rPr>
      </w:pPr>
    </w:p>
    <w:p w:rsidR="004527FD" w:rsidRPr="00F0794C" w:rsidRDefault="00B91ACE" w:rsidP="004B5863">
      <w:pPr>
        <w:pStyle w:val="NormalWeb"/>
        <w:shd w:val="clear" w:color="auto" w:fill="FFFFFF"/>
        <w:spacing w:before="0" w:beforeAutospacing="0" w:after="0" w:afterAutospacing="0"/>
        <w:jc w:val="both"/>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I</w:t>
      </w:r>
      <w:r w:rsidR="00155CDE" w:rsidRPr="00F0794C">
        <w:rPr>
          <w:rFonts w:asciiTheme="minorHAnsi" w:eastAsiaTheme="minorHAnsi" w:hAnsiTheme="minorHAnsi" w:cstheme="minorBidi"/>
          <w:bCs/>
          <w:sz w:val="22"/>
          <w:szCs w:val="22"/>
          <w:lang w:eastAsia="en-US"/>
        </w:rPr>
        <w:t xml:space="preserve">ndustrial relations matters </w:t>
      </w:r>
      <w:r w:rsidR="00CF112A" w:rsidRPr="00F0794C">
        <w:rPr>
          <w:rFonts w:asciiTheme="minorHAnsi" w:eastAsiaTheme="minorHAnsi" w:hAnsiTheme="minorHAnsi" w:cstheme="minorBidi"/>
          <w:bCs/>
          <w:sz w:val="22"/>
          <w:szCs w:val="22"/>
          <w:lang w:eastAsia="en-US"/>
        </w:rPr>
        <w:t>and</w:t>
      </w:r>
      <w:r w:rsidR="00C544DB" w:rsidRPr="00F0794C">
        <w:rPr>
          <w:rFonts w:asciiTheme="minorHAnsi" w:eastAsiaTheme="minorHAnsi" w:hAnsiTheme="minorHAnsi" w:cstheme="minorBidi"/>
          <w:bCs/>
          <w:sz w:val="22"/>
          <w:szCs w:val="22"/>
          <w:lang w:eastAsia="en-US"/>
        </w:rPr>
        <w:t xml:space="preserve"> financing </w:t>
      </w:r>
      <w:r w:rsidR="0028687B" w:rsidRPr="00F0794C">
        <w:rPr>
          <w:rFonts w:asciiTheme="minorHAnsi" w:eastAsiaTheme="minorHAnsi" w:hAnsiTheme="minorHAnsi" w:cstheme="minorBidi"/>
          <w:bCs/>
          <w:sz w:val="22"/>
          <w:szCs w:val="22"/>
          <w:lang w:eastAsia="en-US"/>
        </w:rPr>
        <w:t>arrangements</w:t>
      </w:r>
      <w:r w:rsidR="00C544DB" w:rsidRPr="00F0794C">
        <w:rPr>
          <w:rFonts w:asciiTheme="minorHAnsi" w:eastAsiaTheme="minorHAnsi" w:hAnsiTheme="minorHAnsi" w:cstheme="minorBidi"/>
          <w:bCs/>
          <w:sz w:val="22"/>
          <w:szCs w:val="22"/>
          <w:lang w:eastAsia="en-US"/>
        </w:rPr>
        <w:t xml:space="preserve"> </w:t>
      </w:r>
      <w:r w:rsidR="00CF112A" w:rsidRPr="00F0794C">
        <w:rPr>
          <w:rFonts w:asciiTheme="minorHAnsi" w:eastAsiaTheme="minorHAnsi" w:hAnsiTheme="minorHAnsi" w:cstheme="minorBidi"/>
          <w:bCs/>
          <w:sz w:val="22"/>
          <w:szCs w:val="22"/>
          <w:lang w:eastAsia="en-US"/>
        </w:rPr>
        <w:t>are outside the scope of this</w:t>
      </w:r>
      <w:r w:rsidR="00155CDE" w:rsidRPr="00F0794C">
        <w:rPr>
          <w:rFonts w:asciiTheme="minorHAnsi" w:eastAsiaTheme="minorHAnsi" w:hAnsiTheme="minorHAnsi" w:cstheme="minorBidi"/>
          <w:bCs/>
          <w:sz w:val="22"/>
          <w:szCs w:val="22"/>
          <w:lang w:eastAsia="en-US"/>
        </w:rPr>
        <w:t xml:space="preserve"> submission. </w:t>
      </w:r>
    </w:p>
    <w:p w:rsidR="00050AC8" w:rsidRPr="00F0794C" w:rsidRDefault="00050AC8" w:rsidP="004B5863">
      <w:pPr>
        <w:jc w:val="both"/>
        <w:rPr>
          <w:rFonts w:asciiTheme="minorHAnsi" w:hAnsiTheme="minorHAnsi"/>
          <w:b/>
        </w:rPr>
      </w:pPr>
    </w:p>
    <w:p w:rsidR="00576ED0" w:rsidRPr="00F0794C" w:rsidRDefault="00576ED0" w:rsidP="004B5863">
      <w:pPr>
        <w:pStyle w:val="Heading1"/>
        <w:jc w:val="both"/>
        <w:rPr>
          <w:rFonts w:asciiTheme="minorHAnsi" w:hAnsiTheme="minorHAnsi"/>
          <w:szCs w:val="22"/>
        </w:rPr>
      </w:pPr>
      <w:bookmarkStart w:id="1" w:name="_Toc384105349"/>
      <w:r w:rsidRPr="00F0794C">
        <w:rPr>
          <w:rFonts w:asciiTheme="minorHAnsi" w:hAnsiTheme="minorHAnsi"/>
          <w:szCs w:val="22"/>
        </w:rPr>
        <w:t>Australian Trucking Association</w:t>
      </w:r>
      <w:bookmarkEnd w:id="1"/>
    </w:p>
    <w:p w:rsidR="004008C7" w:rsidRPr="00F0794C" w:rsidRDefault="004008C7" w:rsidP="004B5863">
      <w:pPr>
        <w:pStyle w:val="BodyText2"/>
        <w:jc w:val="both"/>
        <w:rPr>
          <w:rFonts w:asciiTheme="minorHAnsi" w:hAnsiTheme="minorHAnsi"/>
          <w:b w:val="0"/>
          <w:szCs w:val="22"/>
        </w:rPr>
      </w:pPr>
    </w:p>
    <w:p w:rsidR="000D5E4E" w:rsidRPr="00F0794C" w:rsidRDefault="004008C7" w:rsidP="004B5863">
      <w:pPr>
        <w:pStyle w:val="BodyText2"/>
        <w:jc w:val="both"/>
        <w:rPr>
          <w:rFonts w:asciiTheme="minorHAnsi" w:hAnsiTheme="minorHAnsi"/>
          <w:b w:val="0"/>
          <w:szCs w:val="22"/>
        </w:rPr>
      </w:pPr>
      <w:r w:rsidRPr="00F0794C">
        <w:rPr>
          <w:rFonts w:asciiTheme="minorHAnsi" w:hAnsiTheme="minorHAnsi"/>
          <w:b w:val="0"/>
          <w:szCs w:val="22"/>
        </w:rPr>
        <w:t>The</w:t>
      </w:r>
      <w:r w:rsidR="001F7268" w:rsidRPr="00F0794C">
        <w:rPr>
          <w:rFonts w:asciiTheme="minorHAnsi" w:hAnsiTheme="minorHAnsi"/>
          <w:b w:val="0"/>
          <w:szCs w:val="22"/>
        </w:rPr>
        <w:t xml:space="preserve"> ATA</w:t>
      </w:r>
      <w:r w:rsidRPr="00F0794C">
        <w:rPr>
          <w:rFonts w:asciiTheme="minorHAnsi" w:hAnsiTheme="minorHAnsi"/>
          <w:b w:val="0"/>
          <w:szCs w:val="22"/>
        </w:rPr>
        <w:t xml:space="preserve"> is the peak body that represents the trucking industry. Its members include state and </w:t>
      </w:r>
      <w:r w:rsidR="002A243F" w:rsidRPr="00F0794C">
        <w:rPr>
          <w:rFonts w:asciiTheme="minorHAnsi" w:hAnsiTheme="minorHAnsi"/>
          <w:b w:val="0"/>
          <w:szCs w:val="22"/>
        </w:rPr>
        <w:t>sector-</w:t>
      </w:r>
      <w:r w:rsidRPr="00F0794C">
        <w:rPr>
          <w:rFonts w:asciiTheme="minorHAnsi" w:hAnsiTheme="minorHAnsi"/>
          <w:b w:val="0"/>
          <w:szCs w:val="22"/>
        </w:rPr>
        <w:t>based trucking associations, some of the nation’s largest transport companies, and businesses with leading expertise in truck technology.</w:t>
      </w:r>
      <w:r w:rsidR="00A047CA" w:rsidRPr="00F0794C">
        <w:rPr>
          <w:rFonts w:asciiTheme="minorHAnsi" w:hAnsiTheme="minorHAnsi"/>
          <w:b w:val="0"/>
          <w:szCs w:val="22"/>
        </w:rPr>
        <w:t xml:space="preserve"> </w:t>
      </w:r>
    </w:p>
    <w:p w:rsidR="00FB4ED8" w:rsidRPr="00F0794C" w:rsidRDefault="00FB4ED8" w:rsidP="004B5863">
      <w:pPr>
        <w:jc w:val="both"/>
        <w:rPr>
          <w:rFonts w:asciiTheme="minorHAnsi" w:hAnsiTheme="minorHAnsi"/>
          <w:b/>
          <w:sz w:val="24"/>
        </w:rPr>
      </w:pPr>
    </w:p>
    <w:p w:rsidR="00A023EA" w:rsidRPr="00F0794C" w:rsidRDefault="00A023EA" w:rsidP="004B5863">
      <w:pPr>
        <w:pStyle w:val="Heading1"/>
        <w:jc w:val="both"/>
        <w:rPr>
          <w:rFonts w:asciiTheme="minorHAnsi" w:hAnsiTheme="minorHAnsi"/>
        </w:rPr>
      </w:pPr>
      <w:bookmarkStart w:id="2" w:name="_Toc384105350"/>
      <w:r w:rsidRPr="00F0794C">
        <w:rPr>
          <w:rFonts w:asciiTheme="minorHAnsi" w:hAnsiTheme="minorHAnsi"/>
        </w:rPr>
        <w:t>Recommendation</w:t>
      </w:r>
      <w:r w:rsidR="00CB73A3" w:rsidRPr="00F0794C">
        <w:rPr>
          <w:rFonts w:asciiTheme="minorHAnsi" w:hAnsiTheme="minorHAnsi"/>
        </w:rPr>
        <w:t>s</w:t>
      </w:r>
      <w:bookmarkEnd w:id="2"/>
    </w:p>
    <w:p w:rsidR="00B95D89" w:rsidRPr="00F0794C" w:rsidRDefault="00B95D89" w:rsidP="004B5863">
      <w:pPr>
        <w:jc w:val="both"/>
        <w:rPr>
          <w:rFonts w:asciiTheme="minorHAnsi" w:hAnsiTheme="minorHAnsi"/>
        </w:rPr>
      </w:pPr>
    </w:p>
    <w:p w:rsidR="00815CBA" w:rsidRPr="00F0794C" w:rsidRDefault="00815CBA" w:rsidP="00815CBA">
      <w:pPr>
        <w:jc w:val="both"/>
        <w:rPr>
          <w:rFonts w:asciiTheme="minorHAnsi" w:eastAsiaTheme="minorHAnsi" w:hAnsiTheme="minorHAnsi" w:cs="Arial"/>
          <w:b/>
        </w:rPr>
      </w:pPr>
      <w:r w:rsidRPr="00F0794C">
        <w:rPr>
          <w:rFonts w:asciiTheme="minorHAnsi" w:eastAsiaTheme="minorHAnsi" w:hAnsiTheme="minorHAnsi" w:cs="Arial"/>
          <w:b/>
        </w:rPr>
        <w:t xml:space="preserve">Recommendation 1 </w:t>
      </w:r>
    </w:p>
    <w:p w:rsidR="00815CBA" w:rsidRPr="00F0794C" w:rsidRDefault="00815CBA" w:rsidP="00815CBA">
      <w:pPr>
        <w:jc w:val="both"/>
        <w:rPr>
          <w:rFonts w:asciiTheme="minorHAnsi" w:eastAsiaTheme="minorHAnsi" w:hAnsiTheme="minorHAnsi" w:cs="Arial"/>
          <w:b/>
        </w:rPr>
      </w:pPr>
    </w:p>
    <w:p w:rsidR="00815CBA" w:rsidRPr="00F0794C" w:rsidRDefault="00815CBA" w:rsidP="00815CBA">
      <w:pPr>
        <w:jc w:val="both"/>
        <w:rPr>
          <w:rFonts w:asciiTheme="minorHAnsi" w:eastAsiaTheme="minorHAnsi" w:hAnsiTheme="minorHAnsi" w:cs="Arial"/>
        </w:rPr>
      </w:pPr>
      <w:r w:rsidRPr="00F0794C">
        <w:rPr>
          <w:rFonts w:asciiTheme="minorHAnsi" w:eastAsiaTheme="minorHAnsi" w:hAnsiTheme="minorHAnsi" w:cs="Arial"/>
        </w:rPr>
        <w:t xml:space="preserve">The Commission should adopt </w:t>
      </w:r>
      <w:r w:rsidR="00842210">
        <w:rPr>
          <w:rFonts w:asciiTheme="minorHAnsi" w:eastAsiaTheme="minorHAnsi" w:hAnsiTheme="minorHAnsi" w:cs="Arial"/>
        </w:rPr>
        <w:t xml:space="preserve">the </w:t>
      </w:r>
      <w:r w:rsidRPr="00F0794C">
        <w:rPr>
          <w:rFonts w:asciiTheme="minorHAnsi" w:eastAsiaTheme="minorHAnsi" w:hAnsiTheme="minorHAnsi" w:cs="Arial"/>
        </w:rPr>
        <w:t>short</w:t>
      </w:r>
      <w:r w:rsidR="00E47301">
        <w:rPr>
          <w:rFonts w:asciiTheme="minorHAnsi" w:eastAsiaTheme="minorHAnsi" w:hAnsiTheme="minorHAnsi" w:cs="Arial"/>
        </w:rPr>
        <w:t>-</w:t>
      </w:r>
      <w:r w:rsidRPr="00F0794C">
        <w:rPr>
          <w:rFonts w:asciiTheme="minorHAnsi" w:eastAsiaTheme="minorHAnsi" w:hAnsiTheme="minorHAnsi" w:cs="Arial"/>
        </w:rPr>
        <w:t xml:space="preserve">term (no regrets) steps from the PricewaterhouseCoopers report: </w:t>
      </w:r>
      <w:r w:rsidRPr="00F0794C">
        <w:rPr>
          <w:rFonts w:asciiTheme="minorHAnsi" w:eastAsiaTheme="minorHAnsi" w:hAnsiTheme="minorHAnsi" w:cs="Arial"/>
          <w:i/>
          <w:iCs/>
        </w:rPr>
        <w:t>A future Strategy for Road Supply and Charging.</w:t>
      </w:r>
    </w:p>
    <w:p w:rsidR="00C42DF2" w:rsidRPr="00F0794C" w:rsidRDefault="00C42DF2" w:rsidP="004B5863">
      <w:pPr>
        <w:jc w:val="both"/>
        <w:rPr>
          <w:rFonts w:asciiTheme="minorHAnsi" w:hAnsiTheme="minorHAnsi"/>
        </w:rPr>
      </w:pPr>
    </w:p>
    <w:p w:rsidR="00447C81" w:rsidRPr="006F25E7" w:rsidRDefault="00447C81" w:rsidP="004B5863">
      <w:pPr>
        <w:jc w:val="both"/>
        <w:rPr>
          <w:rFonts w:asciiTheme="minorHAnsi" w:hAnsiTheme="minorHAnsi"/>
          <w:b/>
        </w:rPr>
      </w:pPr>
      <w:r w:rsidRPr="006F25E7">
        <w:rPr>
          <w:rFonts w:asciiTheme="minorHAnsi" w:hAnsiTheme="minorHAnsi"/>
          <w:b/>
        </w:rPr>
        <w:t>Recommendation 2</w:t>
      </w:r>
    </w:p>
    <w:p w:rsidR="00447C81" w:rsidRPr="006F25E7" w:rsidRDefault="00447C81" w:rsidP="004B5863">
      <w:pPr>
        <w:jc w:val="both"/>
        <w:rPr>
          <w:rFonts w:asciiTheme="minorHAnsi" w:hAnsiTheme="minorHAnsi"/>
        </w:rPr>
      </w:pPr>
    </w:p>
    <w:p w:rsidR="00815CBA" w:rsidRPr="006F25E7" w:rsidRDefault="00815CBA" w:rsidP="00815CBA">
      <w:pPr>
        <w:jc w:val="both"/>
        <w:rPr>
          <w:rFonts w:asciiTheme="minorHAnsi" w:hAnsiTheme="minorHAnsi"/>
          <w:bCs/>
        </w:rPr>
      </w:pPr>
      <w:r w:rsidRPr="006F25E7">
        <w:rPr>
          <w:rFonts w:asciiTheme="minorHAnsi" w:hAnsiTheme="minorHAnsi" w:cs="Arial"/>
        </w:rPr>
        <w:t>The ATA supports the Commission’s recommendations to improve governance arrangements and for conditional fund</w:t>
      </w:r>
      <w:r w:rsidR="006F25E7" w:rsidRPr="006F25E7">
        <w:rPr>
          <w:rFonts w:asciiTheme="minorHAnsi" w:hAnsiTheme="minorHAnsi" w:cs="Arial"/>
        </w:rPr>
        <w:t>ing for infrastructure projects.</w:t>
      </w:r>
      <w:r w:rsidRPr="006F25E7">
        <w:rPr>
          <w:rFonts w:asciiTheme="minorHAnsi" w:hAnsiTheme="minorHAnsi" w:cs="Arial"/>
        </w:rPr>
        <w:t xml:space="preserve"> </w:t>
      </w:r>
    </w:p>
    <w:p w:rsidR="00447C81" w:rsidRPr="00F0794C" w:rsidRDefault="00447C81" w:rsidP="004B5863">
      <w:pPr>
        <w:jc w:val="both"/>
        <w:rPr>
          <w:rFonts w:asciiTheme="minorHAnsi" w:hAnsiTheme="minorHAnsi"/>
          <w:b/>
          <w:bCs/>
        </w:rPr>
      </w:pPr>
    </w:p>
    <w:p w:rsidR="00447C81" w:rsidRPr="00F0794C" w:rsidRDefault="00447C81" w:rsidP="004B5863">
      <w:pPr>
        <w:jc w:val="both"/>
        <w:rPr>
          <w:rFonts w:asciiTheme="minorHAnsi" w:hAnsiTheme="minorHAnsi"/>
          <w:b/>
          <w:bCs/>
        </w:rPr>
      </w:pPr>
      <w:r w:rsidRPr="00F0794C">
        <w:rPr>
          <w:rFonts w:asciiTheme="minorHAnsi" w:hAnsiTheme="minorHAnsi"/>
          <w:b/>
          <w:bCs/>
        </w:rPr>
        <w:t>Recommendation 3</w:t>
      </w:r>
    </w:p>
    <w:p w:rsidR="00447C81" w:rsidRPr="00F0794C" w:rsidRDefault="00447C81" w:rsidP="004B5863">
      <w:pPr>
        <w:jc w:val="both"/>
        <w:rPr>
          <w:rFonts w:asciiTheme="minorHAnsi" w:hAnsiTheme="minorHAnsi"/>
          <w:bCs/>
        </w:rPr>
      </w:pPr>
    </w:p>
    <w:p w:rsidR="00C42DF2" w:rsidRDefault="00815CBA" w:rsidP="004B5863">
      <w:pPr>
        <w:jc w:val="both"/>
        <w:rPr>
          <w:rFonts w:asciiTheme="minorHAnsi" w:hAnsiTheme="minorHAnsi"/>
          <w:bCs/>
        </w:rPr>
      </w:pPr>
      <w:r w:rsidRPr="00F0794C">
        <w:rPr>
          <w:rFonts w:asciiTheme="minorHAnsi" w:hAnsiTheme="minorHAnsi"/>
          <w:bCs/>
        </w:rPr>
        <w:t xml:space="preserve">The ATA supports the Commission’s draft recommendation 8.2, with the substitution of </w:t>
      </w:r>
      <w:r w:rsidR="005C52F3">
        <w:rPr>
          <w:rFonts w:asciiTheme="minorHAnsi" w:hAnsiTheme="minorHAnsi"/>
          <w:bCs/>
          <w:i/>
        </w:rPr>
        <w:t>significant</w:t>
      </w:r>
      <w:r w:rsidRPr="00F0794C">
        <w:rPr>
          <w:rFonts w:asciiTheme="minorHAnsi" w:hAnsiTheme="minorHAnsi"/>
          <w:bCs/>
        </w:rPr>
        <w:t xml:space="preserve"> infrastructure projects in Australia being benchmarked, not just </w:t>
      </w:r>
      <w:r w:rsidRPr="00F0794C">
        <w:rPr>
          <w:rFonts w:asciiTheme="minorHAnsi" w:hAnsiTheme="minorHAnsi"/>
          <w:bCs/>
          <w:i/>
        </w:rPr>
        <w:t xml:space="preserve">major </w:t>
      </w:r>
      <w:r w:rsidRPr="00F0794C">
        <w:rPr>
          <w:rFonts w:asciiTheme="minorHAnsi" w:hAnsiTheme="minorHAnsi"/>
          <w:bCs/>
        </w:rPr>
        <w:t xml:space="preserve">projects. </w:t>
      </w:r>
    </w:p>
    <w:p w:rsidR="006F25E7" w:rsidRDefault="006F25E7" w:rsidP="004B5863">
      <w:pPr>
        <w:jc w:val="both"/>
        <w:rPr>
          <w:rFonts w:asciiTheme="minorHAnsi" w:hAnsiTheme="minorHAnsi"/>
          <w:bCs/>
        </w:rPr>
      </w:pPr>
    </w:p>
    <w:p w:rsidR="006F25E7" w:rsidRPr="00F0794C" w:rsidRDefault="006F25E7" w:rsidP="004B5863">
      <w:pPr>
        <w:jc w:val="both"/>
        <w:rPr>
          <w:rFonts w:asciiTheme="minorHAnsi" w:hAnsiTheme="minorHAnsi"/>
          <w:bCs/>
        </w:rPr>
      </w:pPr>
    </w:p>
    <w:p w:rsidR="00447C81" w:rsidRDefault="00447C81" w:rsidP="004B5863">
      <w:pPr>
        <w:jc w:val="both"/>
        <w:rPr>
          <w:rFonts w:asciiTheme="minorHAnsi" w:hAnsiTheme="minorHAnsi"/>
          <w:b/>
          <w:bCs/>
        </w:rPr>
      </w:pPr>
      <w:r w:rsidRPr="00F0794C">
        <w:rPr>
          <w:rFonts w:asciiTheme="minorHAnsi" w:hAnsiTheme="minorHAnsi"/>
          <w:b/>
          <w:bCs/>
        </w:rPr>
        <w:lastRenderedPageBreak/>
        <w:t xml:space="preserve">Recommendation 4 </w:t>
      </w:r>
    </w:p>
    <w:p w:rsidR="004E122C" w:rsidRPr="00F0794C" w:rsidRDefault="004E122C" w:rsidP="004B5863">
      <w:pPr>
        <w:jc w:val="both"/>
        <w:rPr>
          <w:rFonts w:asciiTheme="minorHAnsi" w:hAnsiTheme="minorHAnsi"/>
          <w:b/>
          <w:bCs/>
        </w:rPr>
      </w:pPr>
    </w:p>
    <w:p w:rsidR="008F1908" w:rsidRPr="008F1908" w:rsidRDefault="008F1908" w:rsidP="008F1908">
      <w:pPr>
        <w:jc w:val="both"/>
        <w:rPr>
          <w:rFonts w:asciiTheme="minorHAnsi" w:eastAsia="Times New Roman" w:hAnsiTheme="minorHAnsi" w:cs="Arial"/>
          <w:bCs/>
        </w:rPr>
      </w:pPr>
      <w:r w:rsidRPr="008F1908">
        <w:rPr>
          <w:rFonts w:asciiTheme="minorHAnsi" w:eastAsia="Times New Roman" w:hAnsiTheme="minorHAnsi" w:cs="Arial"/>
          <w:bCs/>
        </w:rPr>
        <w:t>The Commission should describe and recommend better governance processes, including benchmarking and asset quality management, to be mandated for all road agencies.</w:t>
      </w:r>
    </w:p>
    <w:p w:rsidR="00C42DF2" w:rsidRPr="00F0794C" w:rsidRDefault="00C42DF2" w:rsidP="004B5863">
      <w:pPr>
        <w:jc w:val="both"/>
        <w:rPr>
          <w:rFonts w:asciiTheme="minorHAnsi" w:hAnsiTheme="minorHAnsi"/>
        </w:rPr>
      </w:pPr>
    </w:p>
    <w:p w:rsidR="00447C81" w:rsidRPr="00F0794C" w:rsidRDefault="00447C81" w:rsidP="004B5863">
      <w:pPr>
        <w:jc w:val="both"/>
        <w:rPr>
          <w:rFonts w:asciiTheme="minorHAnsi" w:hAnsiTheme="minorHAnsi"/>
          <w:b/>
          <w:bCs/>
        </w:rPr>
      </w:pPr>
      <w:r w:rsidRPr="00F0794C">
        <w:rPr>
          <w:rFonts w:asciiTheme="minorHAnsi" w:hAnsiTheme="minorHAnsi"/>
          <w:b/>
          <w:bCs/>
        </w:rPr>
        <w:t>Recommendation 5</w:t>
      </w:r>
    </w:p>
    <w:p w:rsidR="00447C81" w:rsidRPr="00F0794C" w:rsidRDefault="00447C81" w:rsidP="004B5863">
      <w:pPr>
        <w:jc w:val="both"/>
        <w:rPr>
          <w:rFonts w:asciiTheme="minorHAnsi" w:hAnsiTheme="minorHAnsi"/>
          <w:bCs/>
        </w:rPr>
      </w:pPr>
    </w:p>
    <w:p w:rsidR="008F1908" w:rsidRPr="008F1908" w:rsidRDefault="008F1908" w:rsidP="008F1908">
      <w:pPr>
        <w:jc w:val="both"/>
        <w:rPr>
          <w:rFonts w:asciiTheme="minorHAnsi" w:hAnsiTheme="minorHAnsi"/>
          <w:bCs/>
        </w:rPr>
      </w:pPr>
      <w:r w:rsidRPr="008F1908">
        <w:rPr>
          <w:rFonts w:asciiTheme="minorHAnsi" w:hAnsiTheme="minorHAnsi"/>
          <w:bCs/>
        </w:rPr>
        <w:t xml:space="preserve">The Commission should promote draft recommendations 11.1, 11.2 and 11.3, which will improve the productivity of procurement practices. </w:t>
      </w:r>
    </w:p>
    <w:p w:rsidR="00C42DF2" w:rsidRPr="00F0794C" w:rsidRDefault="00C42DF2" w:rsidP="004B5863">
      <w:pPr>
        <w:jc w:val="both"/>
        <w:rPr>
          <w:rFonts w:asciiTheme="minorHAnsi" w:hAnsiTheme="minorHAnsi"/>
        </w:rPr>
      </w:pPr>
    </w:p>
    <w:p w:rsidR="00447C81" w:rsidRPr="00F0794C" w:rsidRDefault="00447C81" w:rsidP="004B5863">
      <w:pPr>
        <w:jc w:val="both"/>
        <w:rPr>
          <w:rFonts w:asciiTheme="minorHAnsi" w:hAnsiTheme="minorHAnsi"/>
          <w:b/>
          <w:bCs/>
        </w:rPr>
      </w:pPr>
      <w:r w:rsidRPr="00F0794C">
        <w:rPr>
          <w:rFonts w:asciiTheme="minorHAnsi" w:hAnsiTheme="minorHAnsi"/>
          <w:b/>
          <w:bCs/>
        </w:rPr>
        <w:t>Recommendation 6</w:t>
      </w:r>
    </w:p>
    <w:p w:rsidR="00447C81" w:rsidRPr="00F0794C" w:rsidRDefault="00447C81" w:rsidP="004B5863">
      <w:pPr>
        <w:jc w:val="both"/>
        <w:rPr>
          <w:rFonts w:asciiTheme="minorHAnsi" w:hAnsiTheme="minorHAnsi"/>
          <w:bCs/>
          <w:u w:val="single"/>
        </w:rPr>
      </w:pPr>
    </w:p>
    <w:p w:rsidR="00815CBA" w:rsidRPr="00F0794C" w:rsidRDefault="00815CBA" w:rsidP="00815CBA">
      <w:pPr>
        <w:pStyle w:val="BodyText2"/>
        <w:jc w:val="both"/>
        <w:rPr>
          <w:rFonts w:asciiTheme="minorHAnsi" w:hAnsiTheme="minorHAnsi"/>
          <w:b w:val="0"/>
          <w:szCs w:val="22"/>
        </w:rPr>
      </w:pPr>
      <w:r w:rsidRPr="00F0794C">
        <w:rPr>
          <w:rFonts w:asciiTheme="minorHAnsi" w:hAnsiTheme="minorHAnsi"/>
          <w:b w:val="0"/>
          <w:szCs w:val="22"/>
        </w:rPr>
        <w:t xml:space="preserve">The Commission should advise ministers to insist upon cost benefit analyses, following the publication of Commonwealth guidelines, to improve the quality and transparency of proposals. </w:t>
      </w:r>
    </w:p>
    <w:p w:rsidR="00C42DF2" w:rsidRPr="00F0794C" w:rsidRDefault="00C42DF2" w:rsidP="004B5863">
      <w:pPr>
        <w:jc w:val="both"/>
        <w:rPr>
          <w:rFonts w:asciiTheme="minorHAnsi" w:hAnsiTheme="minorHAnsi"/>
        </w:rPr>
      </w:pPr>
    </w:p>
    <w:p w:rsidR="00447C81" w:rsidRPr="00F0794C" w:rsidRDefault="00447C81" w:rsidP="004B5863">
      <w:pPr>
        <w:jc w:val="both"/>
        <w:rPr>
          <w:rFonts w:asciiTheme="minorHAnsi" w:hAnsiTheme="minorHAnsi"/>
          <w:b/>
          <w:bCs/>
        </w:rPr>
      </w:pPr>
      <w:r w:rsidRPr="00F0794C">
        <w:rPr>
          <w:rFonts w:asciiTheme="minorHAnsi" w:hAnsiTheme="minorHAnsi"/>
          <w:b/>
          <w:bCs/>
        </w:rPr>
        <w:t xml:space="preserve">Recommendations 7 </w:t>
      </w:r>
    </w:p>
    <w:p w:rsidR="00447C81" w:rsidRPr="00F0794C" w:rsidRDefault="00447C81" w:rsidP="004B5863">
      <w:pPr>
        <w:jc w:val="both"/>
        <w:rPr>
          <w:rFonts w:asciiTheme="minorHAnsi" w:hAnsiTheme="minorHAnsi"/>
          <w:bCs/>
        </w:rPr>
      </w:pPr>
    </w:p>
    <w:p w:rsidR="006F5A59" w:rsidRPr="00F0794C" w:rsidRDefault="006F5A59" w:rsidP="006F5A59">
      <w:pPr>
        <w:jc w:val="both"/>
        <w:rPr>
          <w:rFonts w:asciiTheme="minorHAnsi" w:hAnsiTheme="minorHAnsi"/>
          <w:bCs/>
        </w:rPr>
      </w:pPr>
      <w:r w:rsidRPr="00F0794C">
        <w:rPr>
          <w:rFonts w:asciiTheme="minorHAnsi" w:hAnsiTheme="minorHAnsi"/>
          <w:bCs/>
        </w:rPr>
        <w:t>The Commission should ensure that state and local government entities are made aware th</w:t>
      </w:r>
      <w:r>
        <w:rPr>
          <w:rFonts w:asciiTheme="minorHAnsi" w:hAnsiTheme="minorHAnsi"/>
          <w:bCs/>
        </w:rPr>
        <w:t>at community service obligation funding for roads</w:t>
      </w:r>
      <w:r w:rsidRPr="00F0794C">
        <w:rPr>
          <w:rFonts w:asciiTheme="minorHAnsi" w:hAnsiTheme="minorHAnsi"/>
          <w:bCs/>
        </w:rPr>
        <w:t xml:space="preserve"> must continue to exist</w:t>
      </w:r>
      <w:r>
        <w:rPr>
          <w:rFonts w:asciiTheme="minorHAnsi" w:hAnsiTheme="minorHAnsi"/>
          <w:bCs/>
        </w:rPr>
        <w:t>,</w:t>
      </w:r>
      <w:r w:rsidRPr="00F0794C">
        <w:rPr>
          <w:rFonts w:asciiTheme="minorHAnsi" w:hAnsiTheme="minorHAnsi"/>
          <w:bCs/>
        </w:rPr>
        <w:t xml:space="preserve"> as many roads will never be fully funded by users.</w:t>
      </w:r>
    </w:p>
    <w:p w:rsidR="00C42DF2" w:rsidRPr="00F0794C" w:rsidRDefault="00C42DF2" w:rsidP="004B5863">
      <w:pPr>
        <w:jc w:val="both"/>
        <w:rPr>
          <w:rFonts w:asciiTheme="minorHAnsi" w:hAnsiTheme="minorHAnsi"/>
        </w:rPr>
      </w:pPr>
    </w:p>
    <w:p w:rsidR="00447C81" w:rsidRPr="00F0794C" w:rsidRDefault="00447C81" w:rsidP="004B5863">
      <w:pPr>
        <w:jc w:val="both"/>
        <w:rPr>
          <w:rFonts w:asciiTheme="minorHAnsi" w:hAnsiTheme="minorHAnsi"/>
          <w:b/>
          <w:bCs/>
        </w:rPr>
      </w:pPr>
      <w:r w:rsidRPr="00F0794C">
        <w:rPr>
          <w:rFonts w:asciiTheme="minorHAnsi" w:hAnsiTheme="minorHAnsi"/>
          <w:b/>
          <w:bCs/>
        </w:rPr>
        <w:t>Recommendation 8</w:t>
      </w:r>
    </w:p>
    <w:p w:rsidR="00447C81" w:rsidRPr="00F0794C" w:rsidRDefault="00447C81" w:rsidP="004B5863">
      <w:pPr>
        <w:jc w:val="both"/>
        <w:rPr>
          <w:rFonts w:asciiTheme="minorHAnsi" w:hAnsiTheme="minorHAnsi"/>
          <w:bCs/>
        </w:rPr>
      </w:pPr>
    </w:p>
    <w:p w:rsidR="00865F6C" w:rsidRPr="00F0794C" w:rsidRDefault="00865F6C" w:rsidP="00865F6C">
      <w:pPr>
        <w:pStyle w:val="BodyText2"/>
        <w:jc w:val="both"/>
        <w:rPr>
          <w:rFonts w:asciiTheme="minorHAnsi" w:hAnsiTheme="minorHAnsi"/>
          <w:b w:val="0"/>
          <w:szCs w:val="22"/>
        </w:rPr>
      </w:pPr>
      <w:r w:rsidRPr="00F0794C">
        <w:rPr>
          <w:rFonts w:asciiTheme="minorHAnsi" w:hAnsiTheme="minorHAnsi"/>
          <w:b w:val="0"/>
          <w:szCs w:val="22"/>
        </w:rPr>
        <w:t xml:space="preserve">The Commission should </w:t>
      </w:r>
      <w:r w:rsidR="00B91ACE">
        <w:rPr>
          <w:rFonts w:asciiTheme="minorHAnsi" w:hAnsiTheme="minorHAnsi"/>
          <w:b w:val="0"/>
          <w:szCs w:val="22"/>
        </w:rPr>
        <w:t>reconsider the concept of a</w:t>
      </w:r>
      <w:r w:rsidRPr="00F0794C">
        <w:rPr>
          <w:rFonts w:asciiTheme="minorHAnsi" w:hAnsiTheme="minorHAnsi"/>
          <w:b w:val="0"/>
          <w:szCs w:val="22"/>
        </w:rPr>
        <w:t xml:space="preserve"> road fund given concerns over giving unelected officials ministerial-like funding powers. </w:t>
      </w:r>
    </w:p>
    <w:p w:rsidR="00C42DF2" w:rsidRPr="00F0794C" w:rsidRDefault="00C42DF2" w:rsidP="004B5863">
      <w:pPr>
        <w:jc w:val="both"/>
        <w:rPr>
          <w:rFonts w:asciiTheme="minorHAnsi" w:hAnsiTheme="minorHAnsi"/>
        </w:rPr>
      </w:pPr>
    </w:p>
    <w:p w:rsidR="00447C81" w:rsidRPr="00F0794C" w:rsidRDefault="00447C81" w:rsidP="004B5863">
      <w:pPr>
        <w:jc w:val="both"/>
        <w:rPr>
          <w:rFonts w:asciiTheme="minorHAnsi" w:hAnsiTheme="minorHAnsi"/>
          <w:b/>
          <w:bCs/>
        </w:rPr>
      </w:pPr>
      <w:r w:rsidRPr="00F0794C">
        <w:rPr>
          <w:rFonts w:asciiTheme="minorHAnsi" w:hAnsiTheme="minorHAnsi"/>
          <w:b/>
          <w:bCs/>
        </w:rPr>
        <w:t xml:space="preserve">Recommendation 9 </w:t>
      </w:r>
    </w:p>
    <w:p w:rsidR="00447C81" w:rsidRPr="00F0794C" w:rsidRDefault="00447C81" w:rsidP="004B5863">
      <w:pPr>
        <w:jc w:val="both"/>
        <w:rPr>
          <w:rFonts w:asciiTheme="minorHAnsi" w:hAnsiTheme="minorHAnsi"/>
          <w:bCs/>
        </w:rPr>
      </w:pPr>
    </w:p>
    <w:p w:rsidR="00865F6C" w:rsidRPr="00F0794C" w:rsidRDefault="00865F6C" w:rsidP="00865F6C">
      <w:pPr>
        <w:jc w:val="both"/>
        <w:rPr>
          <w:rFonts w:asciiTheme="minorHAnsi" w:hAnsiTheme="minorHAnsi"/>
          <w:bCs/>
        </w:rPr>
      </w:pPr>
      <w:r w:rsidRPr="00F0794C">
        <w:rPr>
          <w:rFonts w:asciiTheme="minorHAnsi" w:hAnsiTheme="minorHAnsi"/>
          <w:bCs/>
        </w:rPr>
        <w:t xml:space="preserve">The Commission should recommend basic public accountability processes for road agencies before a potentially costly regulator is created. </w:t>
      </w:r>
    </w:p>
    <w:p w:rsidR="00961690" w:rsidRPr="00F0794C" w:rsidRDefault="00961690" w:rsidP="004B5863">
      <w:pPr>
        <w:jc w:val="both"/>
        <w:rPr>
          <w:rFonts w:asciiTheme="minorHAnsi" w:hAnsiTheme="minorHAnsi"/>
          <w:bCs/>
        </w:rPr>
      </w:pPr>
    </w:p>
    <w:p w:rsidR="00961690" w:rsidRPr="00F0794C" w:rsidRDefault="006F25E7" w:rsidP="00961690">
      <w:pPr>
        <w:jc w:val="both"/>
        <w:rPr>
          <w:rFonts w:asciiTheme="minorHAnsi" w:hAnsiTheme="minorHAnsi"/>
          <w:b/>
          <w:bCs/>
        </w:rPr>
      </w:pPr>
      <w:r>
        <w:rPr>
          <w:rFonts w:asciiTheme="minorHAnsi" w:hAnsiTheme="minorHAnsi"/>
          <w:b/>
          <w:bCs/>
        </w:rPr>
        <w:t>Recommendation 10</w:t>
      </w:r>
      <w:r w:rsidR="00961690" w:rsidRPr="00F0794C">
        <w:rPr>
          <w:rFonts w:asciiTheme="minorHAnsi" w:hAnsiTheme="minorHAnsi"/>
          <w:b/>
          <w:bCs/>
        </w:rPr>
        <w:t xml:space="preserve"> </w:t>
      </w:r>
    </w:p>
    <w:p w:rsidR="00961690" w:rsidRPr="00F0794C" w:rsidRDefault="00961690" w:rsidP="00961690">
      <w:pPr>
        <w:jc w:val="both"/>
        <w:rPr>
          <w:rFonts w:asciiTheme="minorHAnsi" w:hAnsiTheme="minorHAnsi"/>
          <w:b/>
          <w:bCs/>
        </w:rPr>
      </w:pPr>
    </w:p>
    <w:p w:rsidR="00447C81" w:rsidRPr="00F0794C" w:rsidRDefault="00447C81" w:rsidP="004B5863">
      <w:pPr>
        <w:jc w:val="both"/>
        <w:rPr>
          <w:rFonts w:asciiTheme="minorHAnsi" w:hAnsiTheme="minorHAnsi"/>
          <w:bCs/>
        </w:rPr>
      </w:pPr>
      <w:r w:rsidRPr="00F0794C">
        <w:rPr>
          <w:rFonts w:asciiTheme="minorHAnsi" w:hAnsiTheme="minorHAnsi"/>
          <w:bCs/>
        </w:rPr>
        <w:t xml:space="preserve">The Commission should not support the heavy vehicle charging and investment (HVCI) reform as its user charges are not cost effective and will not produce any positive change in the industry’s road usage.  </w:t>
      </w:r>
    </w:p>
    <w:p w:rsidR="00961690" w:rsidRPr="00F0794C" w:rsidRDefault="00961690" w:rsidP="004B5863">
      <w:pPr>
        <w:jc w:val="both"/>
        <w:rPr>
          <w:rFonts w:asciiTheme="minorHAnsi" w:hAnsiTheme="minorHAnsi"/>
          <w:bCs/>
        </w:rPr>
      </w:pPr>
    </w:p>
    <w:p w:rsidR="00961690" w:rsidRPr="00F0794C" w:rsidRDefault="006F25E7" w:rsidP="00961690">
      <w:pPr>
        <w:jc w:val="both"/>
        <w:rPr>
          <w:rFonts w:asciiTheme="minorHAnsi" w:hAnsiTheme="minorHAnsi"/>
          <w:b/>
          <w:bCs/>
        </w:rPr>
      </w:pPr>
      <w:r>
        <w:rPr>
          <w:rFonts w:asciiTheme="minorHAnsi" w:hAnsiTheme="minorHAnsi"/>
          <w:b/>
          <w:bCs/>
        </w:rPr>
        <w:t>Recommendation 11</w:t>
      </w:r>
    </w:p>
    <w:p w:rsidR="00447C81" w:rsidRPr="00F0794C" w:rsidRDefault="00447C81" w:rsidP="004B5863">
      <w:pPr>
        <w:jc w:val="both"/>
        <w:rPr>
          <w:rFonts w:asciiTheme="minorHAnsi" w:hAnsiTheme="minorHAnsi"/>
          <w:bCs/>
        </w:rPr>
      </w:pPr>
    </w:p>
    <w:p w:rsidR="00FD4927" w:rsidRPr="00FD4927" w:rsidRDefault="00FD4927" w:rsidP="00FD4927">
      <w:pPr>
        <w:jc w:val="both"/>
        <w:rPr>
          <w:rFonts w:asciiTheme="minorHAnsi" w:hAnsiTheme="minorHAnsi"/>
          <w:bCs/>
        </w:rPr>
      </w:pPr>
      <w:r w:rsidRPr="00FD4927">
        <w:rPr>
          <w:rFonts w:asciiTheme="minorHAnsi" w:hAnsiTheme="minorHAnsi"/>
          <w:bCs/>
        </w:rPr>
        <w:t xml:space="preserve">The Commission should encourage road agencies to address congestion abatement in the other ways it has suggested before considering a congestion charge. </w:t>
      </w:r>
    </w:p>
    <w:p w:rsidR="00447C81" w:rsidRPr="00F0794C" w:rsidRDefault="00447C81" w:rsidP="004B5863">
      <w:pPr>
        <w:jc w:val="both"/>
        <w:rPr>
          <w:rFonts w:asciiTheme="minorHAnsi" w:hAnsiTheme="minorHAnsi"/>
          <w:bCs/>
        </w:rPr>
      </w:pPr>
    </w:p>
    <w:p w:rsidR="00447C81" w:rsidRPr="00F0794C" w:rsidRDefault="006F25E7" w:rsidP="004B5863">
      <w:pPr>
        <w:jc w:val="both"/>
        <w:rPr>
          <w:rFonts w:asciiTheme="minorHAnsi" w:hAnsiTheme="minorHAnsi"/>
          <w:b/>
          <w:bCs/>
        </w:rPr>
      </w:pPr>
      <w:r>
        <w:rPr>
          <w:rFonts w:asciiTheme="minorHAnsi" w:hAnsiTheme="minorHAnsi"/>
          <w:b/>
          <w:bCs/>
        </w:rPr>
        <w:t>Recommendation 12</w:t>
      </w:r>
    </w:p>
    <w:p w:rsidR="00447C81" w:rsidRPr="00F0794C" w:rsidRDefault="00447C81" w:rsidP="004B5863">
      <w:pPr>
        <w:jc w:val="both"/>
        <w:rPr>
          <w:rFonts w:asciiTheme="minorHAnsi" w:hAnsiTheme="minorHAnsi"/>
          <w:bCs/>
        </w:rPr>
      </w:pPr>
    </w:p>
    <w:p w:rsidR="00865F6C" w:rsidRPr="00F0794C" w:rsidRDefault="00865F6C" w:rsidP="00865F6C">
      <w:pPr>
        <w:pStyle w:val="BodyText2"/>
        <w:jc w:val="both"/>
        <w:rPr>
          <w:rFonts w:asciiTheme="minorHAnsi" w:hAnsiTheme="minorHAnsi"/>
          <w:b w:val="0"/>
        </w:rPr>
      </w:pPr>
      <w:r w:rsidRPr="00F0794C">
        <w:rPr>
          <w:rFonts w:asciiTheme="minorHAnsi" w:hAnsiTheme="minorHAnsi"/>
          <w:b w:val="0"/>
        </w:rPr>
        <w:t xml:space="preserve">The Commission should only support the implementation of variable charging if the government can demonstrate the detailed data collected through variable charging can, and will, be used to improve road investment decision-making and outcomes, in such a way that the added cost, time and complexity of the new process is warranted. </w:t>
      </w:r>
    </w:p>
    <w:p w:rsidR="00447C81" w:rsidRPr="00F0794C" w:rsidRDefault="006F25E7" w:rsidP="006F25E7">
      <w:pPr>
        <w:rPr>
          <w:rFonts w:asciiTheme="minorHAnsi" w:hAnsiTheme="minorHAnsi"/>
          <w:bCs/>
        </w:rPr>
      </w:pPr>
      <w:r>
        <w:rPr>
          <w:rFonts w:asciiTheme="minorHAnsi" w:hAnsiTheme="minorHAnsi"/>
          <w:bCs/>
        </w:rPr>
        <w:br w:type="page"/>
      </w:r>
    </w:p>
    <w:p w:rsidR="00DA1A33" w:rsidRPr="00F0794C" w:rsidRDefault="00DA1A33" w:rsidP="004B5863">
      <w:pPr>
        <w:pStyle w:val="Heading1"/>
        <w:jc w:val="both"/>
        <w:rPr>
          <w:rFonts w:asciiTheme="minorHAnsi" w:hAnsiTheme="minorHAnsi"/>
        </w:rPr>
      </w:pPr>
      <w:bookmarkStart w:id="3" w:name="_Toc384105351"/>
      <w:r w:rsidRPr="00F0794C">
        <w:rPr>
          <w:rFonts w:asciiTheme="minorHAnsi" w:hAnsiTheme="minorHAnsi"/>
          <w:szCs w:val="22"/>
        </w:rPr>
        <w:lastRenderedPageBreak/>
        <w:t>PricewaterhouseCoopers</w:t>
      </w:r>
      <w:r w:rsidR="00B55DAD" w:rsidRPr="00F0794C">
        <w:rPr>
          <w:rFonts w:asciiTheme="minorHAnsi" w:hAnsiTheme="minorHAnsi"/>
          <w:szCs w:val="22"/>
        </w:rPr>
        <w:t xml:space="preserve"> (PwC)</w:t>
      </w:r>
      <w:r w:rsidRPr="00F0794C">
        <w:rPr>
          <w:rFonts w:asciiTheme="minorHAnsi" w:hAnsiTheme="minorHAnsi"/>
        </w:rPr>
        <w:t xml:space="preserve"> report</w:t>
      </w:r>
      <w:r w:rsidR="00A91577" w:rsidRPr="00F0794C">
        <w:rPr>
          <w:rFonts w:asciiTheme="minorHAnsi" w:hAnsiTheme="minorHAnsi"/>
        </w:rPr>
        <w:t>:</w:t>
      </w:r>
      <w:r w:rsidR="004B5863" w:rsidRPr="00F0794C">
        <w:rPr>
          <w:rFonts w:asciiTheme="minorHAnsi" w:hAnsiTheme="minorHAnsi"/>
          <w:iCs/>
        </w:rPr>
        <w:t xml:space="preserve"> A future s</w:t>
      </w:r>
      <w:r w:rsidR="00972D62" w:rsidRPr="00F0794C">
        <w:rPr>
          <w:rFonts w:asciiTheme="minorHAnsi" w:hAnsiTheme="minorHAnsi"/>
          <w:iCs/>
        </w:rPr>
        <w:t xml:space="preserve">trategy for </w:t>
      </w:r>
      <w:r w:rsidR="004B5863" w:rsidRPr="00F0794C">
        <w:rPr>
          <w:rFonts w:asciiTheme="minorHAnsi" w:hAnsiTheme="minorHAnsi"/>
          <w:iCs/>
        </w:rPr>
        <w:t>road supply and c</w:t>
      </w:r>
      <w:r w:rsidR="00972D62" w:rsidRPr="00F0794C">
        <w:rPr>
          <w:rFonts w:asciiTheme="minorHAnsi" w:hAnsiTheme="minorHAnsi"/>
          <w:iCs/>
        </w:rPr>
        <w:t>harging in Australia</w:t>
      </w:r>
      <w:bookmarkEnd w:id="3"/>
    </w:p>
    <w:p w:rsidR="00DA1A33" w:rsidRPr="00F0794C" w:rsidRDefault="00DA1A33" w:rsidP="004B5863">
      <w:pPr>
        <w:jc w:val="both"/>
        <w:rPr>
          <w:rFonts w:asciiTheme="minorHAnsi" w:hAnsiTheme="minorHAnsi"/>
        </w:rPr>
      </w:pPr>
    </w:p>
    <w:p w:rsidR="00DA1A33" w:rsidRPr="00F0794C" w:rsidRDefault="00DA1A33" w:rsidP="004B5863">
      <w:pPr>
        <w:jc w:val="both"/>
        <w:rPr>
          <w:rFonts w:asciiTheme="minorHAnsi" w:hAnsiTheme="minorHAnsi"/>
          <w:iCs/>
        </w:rPr>
      </w:pPr>
      <w:r w:rsidRPr="00F0794C">
        <w:rPr>
          <w:rFonts w:asciiTheme="minorHAnsi" w:hAnsiTheme="minorHAnsi"/>
          <w:iCs/>
        </w:rPr>
        <w:t xml:space="preserve">The PwC work: </w:t>
      </w:r>
      <w:r w:rsidRPr="00F0794C">
        <w:rPr>
          <w:rFonts w:asciiTheme="minorHAnsi" w:hAnsiTheme="minorHAnsi"/>
          <w:i/>
          <w:iCs/>
        </w:rPr>
        <w:t xml:space="preserve">A future Strategy for Road Supply and Charging in </w:t>
      </w:r>
      <w:proofErr w:type="gramStart"/>
      <w:r w:rsidRPr="00F0794C">
        <w:rPr>
          <w:rFonts w:asciiTheme="minorHAnsi" w:hAnsiTheme="minorHAnsi"/>
          <w:i/>
          <w:iCs/>
        </w:rPr>
        <w:t>Australia</w:t>
      </w:r>
      <w:r w:rsidRPr="00F0794C">
        <w:rPr>
          <w:rFonts w:asciiTheme="minorHAnsi" w:hAnsiTheme="minorHAnsi"/>
          <w:iCs/>
        </w:rPr>
        <w:t>,</w:t>
      </w:r>
      <w:proofErr w:type="gramEnd"/>
      <w:r w:rsidRPr="00F0794C">
        <w:rPr>
          <w:rFonts w:asciiTheme="minorHAnsi" w:hAnsiTheme="minorHAnsi"/>
          <w:iCs/>
        </w:rPr>
        <w:t xml:space="preserve"> </w:t>
      </w:r>
      <w:r w:rsidR="00B91ACE">
        <w:rPr>
          <w:rFonts w:asciiTheme="minorHAnsi" w:hAnsiTheme="minorHAnsi"/>
          <w:iCs/>
        </w:rPr>
        <w:t>sets out</w:t>
      </w:r>
      <w:r w:rsidR="00FD4927">
        <w:rPr>
          <w:rFonts w:asciiTheme="minorHAnsi" w:hAnsiTheme="minorHAnsi"/>
          <w:iCs/>
        </w:rPr>
        <w:t xml:space="preserve"> clear priorities for reforming</w:t>
      </w:r>
      <w:r w:rsidR="00B91ACE">
        <w:rPr>
          <w:rFonts w:asciiTheme="minorHAnsi" w:hAnsiTheme="minorHAnsi"/>
          <w:iCs/>
        </w:rPr>
        <w:t xml:space="preserve"> road supply and charging. </w:t>
      </w:r>
    </w:p>
    <w:p w:rsidR="00DA1A33" w:rsidRPr="00F0794C" w:rsidRDefault="00DA1A33" w:rsidP="004B5863">
      <w:pPr>
        <w:jc w:val="both"/>
        <w:rPr>
          <w:rFonts w:asciiTheme="minorHAnsi" w:hAnsiTheme="minorHAnsi"/>
          <w:iCs/>
        </w:rPr>
      </w:pPr>
    </w:p>
    <w:p w:rsidR="00DA1A33" w:rsidRPr="00F0794C" w:rsidRDefault="00DA1A33" w:rsidP="004B5863">
      <w:pPr>
        <w:jc w:val="both"/>
        <w:rPr>
          <w:rFonts w:asciiTheme="minorHAnsi" w:hAnsiTheme="minorHAnsi"/>
        </w:rPr>
      </w:pPr>
      <w:r w:rsidRPr="00F0794C">
        <w:rPr>
          <w:rFonts w:asciiTheme="minorHAnsi" w:hAnsiTheme="minorHAnsi"/>
        </w:rPr>
        <w:t xml:space="preserve">PwC provided a transition pathway to improve heavy vehicle charges and supply side provision. </w:t>
      </w:r>
    </w:p>
    <w:p w:rsidR="00DA1A33" w:rsidRPr="00F0794C" w:rsidRDefault="00DA1A33" w:rsidP="004B5863">
      <w:pPr>
        <w:jc w:val="both"/>
        <w:rPr>
          <w:rFonts w:asciiTheme="minorHAnsi" w:hAnsiTheme="minorHAnsi"/>
        </w:rPr>
      </w:pPr>
    </w:p>
    <w:p w:rsidR="00DA1A33" w:rsidRPr="00F0794C" w:rsidRDefault="00DA1A33" w:rsidP="004B5863">
      <w:pPr>
        <w:jc w:val="both"/>
        <w:rPr>
          <w:rFonts w:asciiTheme="minorHAnsi" w:hAnsiTheme="minorHAnsi"/>
        </w:rPr>
      </w:pPr>
      <w:r w:rsidRPr="00F0794C">
        <w:rPr>
          <w:rFonts w:asciiTheme="minorHAnsi" w:hAnsiTheme="minorHAnsi"/>
        </w:rPr>
        <w:t xml:space="preserve">Short-term recommendations included: </w:t>
      </w:r>
    </w:p>
    <w:p w:rsidR="00DA1A33" w:rsidRPr="00F0794C" w:rsidRDefault="00DA1A33" w:rsidP="004B5863">
      <w:pPr>
        <w:jc w:val="both"/>
        <w:rPr>
          <w:rFonts w:asciiTheme="minorHAnsi" w:hAnsiTheme="minorHAnsi"/>
        </w:rPr>
      </w:pPr>
    </w:p>
    <w:p w:rsidR="00DA1A33" w:rsidRPr="00F0794C" w:rsidRDefault="00DA1A33" w:rsidP="004B5863">
      <w:pPr>
        <w:numPr>
          <w:ilvl w:val="0"/>
          <w:numId w:val="5"/>
        </w:numPr>
        <w:jc w:val="both"/>
        <w:rPr>
          <w:rFonts w:asciiTheme="minorHAnsi" w:hAnsiTheme="minorHAnsi"/>
        </w:rPr>
      </w:pPr>
      <w:r w:rsidRPr="00F0794C">
        <w:rPr>
          <w:rFonts w:asciiTheme="minorHAnsi" w:hAnsiTheme="minorHAnsi"/>
        </w:rPr>
        <w:t>Defining a three</w:t>
      </w:r>
      <w:r w:rsidR="00B91ACE">
        <w:rPr>
          <w:rFonts w:asciiTheme="minorHAnsi" w:hAnsiTheme="minorHAnsi"/>
        </w:rPr>
        <w:t>-</w:t>
      </w:r>
      <w:r w:rsidRPr="00F0794C">
        <w:rPr>
          <w:rFonts w:asciiTheme="minorHAnsi" w:hAnsiTheme="minorHAnsi"/>
        </w:rPr>
        <w:t xml:space="preserve">tier </w:t>
      </w:r>
      <w:r w:rsidR="00B55DAD" w:rsidRPr="00F0794C">
        <w:rPr>
          <w:rFonts w:asciiTheme="minorHAnsi" w:hAnsiTheme="minorHAnsi"/>
        </w:rPr>
        <w:t xml:space="preserve">road </w:t>
      </w:r>
      <w:r w:rsidRPr="00F0794C">
        <w:rPr>
          <w:rFonts w:asciiTheme="minorHAnsi" w:hAnsiTheme="minorHAnsi"/>
        </w:rPr>
        <w:t xml:space="preserve">freight network, </w:t>
      </w:r>
      <w:proofErr w:type="gramStart"/>
      <w:r w:rsidRPr="00F0794C">
        <w:rPr>
          <w:rFonts w:asciiTheme="minorHAnsi" w:hAnsiTheme="minorHAnsi"/>
        </w:rPr>
        <w:t>which would target investment, reporting and funding on the basis of the level of service provided.</w:t>
      </w:r>
      <w:proofErr w:type="gramEnd"/>
      <w:r w:rsidRPr="00F0794C">
        <w:rPr>
          <w:rFonts w:asciiTheme="minorHAnsi" w:hAnsiTheme="minorHAnsi"/>
        </w:rPr>
        <w:t xml:space="preserve">   </w:t>
      </w:r>
    </w:p>
    <w:p w:rsidR="00DA1A33" w:rsidRPr="00F0794C" w:rsidRDefault="00DA1A33" w:rsidP="004B5863">
      <w:pPr>
        <w:numPr>
          <w:ilvl w:val="0"/>
          <w:numId w:val="5"/>
        </w:numPr>
        <w:jc w:val="both"/>
        <w:rPr>
          <w:rFonts w:asciiTheme="minorHAnsi" w:hAnsiTheme="minorHAnsi"/>
        </w:rPr>
      </w:pPr>
      <w:r w:rsidRPr="00F0794C">
        <w:rPr>
          <w:rFonts w:asciiTheme="minorHAnsi" w:hAnsiTheme="minorHAnsi"/>
        </w:rPr>
        <w:t xml:space="preserve">Reporting, benchmarking and reviewing road costs </w:t>
      </w:r>
      <w:r w:rsidR="00B55DAD" w:rsidRPr="00F0794C">
        <w:rPr>
          <w:rFonts w:asciiTheme="minorHAnsi" w:hAnsiTheme="minorHAnsi"/>
        </w:rPr>
        <w:t>reported by</w:t>
      </w:r>
      <w:r w:rsidRPr="00F0794C">
        <w:rPr>
          <w:rFonts w:asciiTheme="minorHAnsi" w:hAnsiTheme="minorHAnsi"/>
        </w:rPr>
        <w:t xml:space="preserve"> states, territories and local government road owners on each tier of the network. Comparing these costs to established benchmarks and the associated level of access with the investment would improve the accountability of road agency spending</w:t>
      </w:r>
      <w:r w:rsidR="00842210">
        <w:rPr>
          <w:rFonts w:asciiTheme="minorHAnsi" w:hAnsiTheme="minorHAnsi"/>
        </w:rPr>
        <w:t>.</w:t>
      </w:r>
    </w:p>
    <w:p w:rsidR="00DA1A33" w:rsidRPr="00F0794C" w:rsidRDefault="00DA1A33" w:rsidP="004B5863">
      <w:pPr>
        <w:numPr>
          <w:ilvl w:val="0"/>
          <w:numId w:val="5"/>
        </w:numPr>
        <w:jc w:val="both"/>
        <w:rPr>
          <w:rFonts w:asciiTheme="minorHAnsi" w:hAnsiTheme="minorHAnsi"/>
        </w:rPr>
      </w:pPr>
      <w:r w:rsidRPr="00F0794C">
        <w:rPr>
          <w:rFonts w:asciiTheme="minorHAnsi" w:hAnsiTheme="minorHAnsi"/>
        </w:rPr>
        <w:t xml:space="preserve">A transparent formula for allocating funding to </w:t>
      </w:r>
      <w:r w:rsidR="00B55DAD" w:rsidRPr="00F0794C">
        <w:rPr>
          <w:rFonts w:asciiTheme="minorHAnsi" w:hAnsiTheme="minorHAnsi"/>
        </w:rPr>
        <w:t>infrastructure</w:t>
      </w:r>
      <w:r w:rsidRPr="00F0794C">
        <w:rPr>
          <w:rFonts w:asciiTheme="minorHAnsi" w:hAnsiTheme="minorHAnsi"/>
        </w:rPr>
        <w:t xml:space="preserve"> suppliers. Allocating recovered funds should reflect </w:t>
      </w:r>
      <w:r w:rsidR="00B55DAD" w:rsidRPr="00F0794C">
        <w:rPr>
          <w:rFonts w:asciiTheme="minorHAnsi" w:hAnsiTheme="minorHAnsi"/>
        </w:rPr>
        <w:t xml:space="preserve">the </w:t>
      </w:r>
      <w:r w:rsidRPr="00F0794C">
        <w:rPr>
          <w:rFonts w:asciiTheme="minorHAnsi" w:hAnsiTheme="minorHAnsi"/>
        </w:rPr>
        <w:t xml:space="preserve">heavy vehicle share of road costs, heavy vehicle use and access upgrades required for the three tiers. Existing and emerging data can support this allocation.  The formula would also include </w:t>
      </w:r>
      <w:r w:rsidR="002D6FF6" w:rsidRPr="00F0794C">
        <w:rPr>
          <w:rFonts w:asciiTheme="minorHAnsi" w:hAnsiTheme="minorHAnsi"/>
        </w:rPr>
        <w:t xml:space="preserve">a </w:t>
      </w:r>
      <w:r w:rsidRPr="00F0794C">
        <w:rPr>
          <w:rFonts w:asciiTheme="minorHAnsi" w:hAnsiTheme="minorHAnsi"/>
        </w:rPr>
        <w:t>mechanism to fund low-volume roads through community service obligations.</w:t>
      </w:r>
    </w:p>
    <w:p w:rsidR="00DA1A33" w:rsidRPr="00F0794C" w:rsidRDefault="00DA1A33" w:rsidP="004B5863">
      <w:pPr>
        <w:numPr>
          <w:ilvl w:val="0"/>
          <w:numId w:val="5"/>
        </w:numPr>
        <w:jc w:val="both"/>
        <w:rPr>
          <w:rFonts w:asciiTheme="minorHAnsi" w:hAnsiTheme="minorHAnsi"/>
        </w:rPr>
      </w:pPr>
      <w:r w:rsidRPr="00F0794C">
        <w:rPr>
          <w:rFonts w:asciiTheme="minorHAnsi" w:hAnsiTheme="minorHAnsi"/>
        </w:rPr>
        <w:t>Improving cost reflectivity of road charges, such as increasing the data accuracy</w:t>
      </w:r>
      <w:r w:rsidR="00D868B4" w:rsidRPr="00F0794C">
        <w:rPr>
          <w:rFonts w:asciiTheme="minorHAnsi" w:hAnsiTheme="minorHAnsi"/>
        </w:rPr>
        <w:t xml:space="preserve"> of</w:t>
      </w:r>
      <w:r w:rsidRPr="00F0794C">
        <w:rPr>
          <w:rFonts w:asciiTheme="minorHAnsi" w:hAnsiTheme="minorHAnsi"/>
        </w:rPr>
        <w:t xml:space="preserve"> inputs and auditing road agency heavy vehicle expenditure inputs.</w:t>
      </w:r>
    </w:p>
    <w:p w:rsidR="00DA1A33" w:rsidRPr="00F0794C" w:rsidRDefault="00DA1A33" w:rsidP="004B5863">
      <w:pPr>
        <w:jc w:val="both"/>
        <w:rPr>
          <w:rFonts w:asciiTheme="minorHAnsi" w:hAnsiTheme="minorHAnsi"/>
        </w:rPr>
      </w:pPr>
    </w:p>
    <w:p w:rsidR="00DA1A33" w:rsidRPr="00F0794C" w:rsidRDefault="00DA1A33" w:rsidP="004B5863">
      <w:pPr>
        <w:jc w:val="both"/>
        <w:rPr>
          <w:rFonts w:asciiTheme="minorHAnsi" w:hAnsiTheme="minorHAnsi"/>
        </w:rPr>
      </w:pPr>
      <w:r w:rsidRPr="00F0794C">
        <w:rPr>
          <w:rFonts w:asciiTheme="minorHAnsi" w:hAnsiTheme="minorHAnsi"/>
        </w:rPr>
        <w:t>PwC also provided medium and long-term recommendations that should only be implemented</w:t>
      </w:r>
      <w:r w:rsidR="00842210">
        <w:rPr>
          <w:rFonts w:asciiTheme="minorHAnsi" w:hAnsiTheme="minorHAnsi"/>
        </w:rPr>
        <w:t>,</w:t>
      </w:r>
      <w:r w:rsidRPr="00F0794C">
        <w:rPr>
          <w:rFonts w:asciiTheme="minorHAnsi" w:hAnsiTheme="minorHAnsi"/>
        </w:rPr>
        <w:t xml:space="preserve"> </w:t>
      </w:r>
      <w:r w:rsidR="00FA35A1" w:rsidRPr="00F0794C">
        <w:rPr>
          <w:rFonts w:asciiTheme="minorHAnsi" w:hAnsiTheme="minorHAnsi"/>
        </w:rPr>
        <w:t xml:space="preserve">if and </w:t>
      </w:r>
      <w:r w:rsidRPr="00F0794C">
        <w:rPr>
          <w:rFonts w:asciiTheme="minorHAnsi" w:hAnsiTheme="minorHAnsi"/>
        </w:rPr>
        <w:t>when</w:t>
      </w:r>
      <w:r w:rsidR="00842210">
        <w:rPr>
          <w:rFonts w:asciiTheme="minorHAnsi" w:hAnsiTheme="minorHAnsi"/>
        </w:rPr>
        <w:t>,</w:t>
      </w:r>
      <w:r w:rsidR="007462E8" w:rsidRPr="00F0794C">
        <w:rPr>
          <w:rFonts w:asciiTheme="minorHAnsi" w:hAnsiTheme="minorHAnsi"/>
        </w:rPr>
        <w:t xml:space="preserve"> the short-term recommendations </w:t>
      </w:r>
      <w:r w:rsidRPr="00F0794C">
        <w:rPr>
          <w:rFonts w:asciiTheme="minorHAnsi" w:hAnsiTheme="minorHAnsi"/>
        </w:rPr>
        <w:t xml:space="preserve">are delivered and </w:t>
      </w:r>
      <w:r w:rsidR="00FA35A1" w:rsidRPr="00F0794C">
        <w:rPr>
          <w:rFonts w:asciiTheme="minorHAnsi" w:hAnsiTheme="minorHAnsi"/>
        </w:rPr>
        <w:t>operating</w:t>
      </w:r>
      <w:r w:rsidRPr="00F0794C">
        <w:rPr>
          <w:rFonts w:asciiTheme="minorHAnsi" w:hAnsiTheme="minorHAnsi"/>
        </w:rPr>
        <w:t xml:space="preserve">: </w:t>
      </w:r>
    </w:p>
    <w:p w:rsidR="00DA1A33" w:rsidRPr="00F0794C" w:rsidRDefault="00DA1A33" w:rsidP="004B5863">
      <w:pPr>
        <w:jc w:val="both"/>
        <w:rPr>
          <w:rFonts w:asciiTheme="minorHAnsi" w:hAnsiTheme="minorHAnsi"/>
        </w:rPr>
      </w:pPr>
    </w:p>
    <w:p w:rsidR="00DA1A33" w:rsidRPr="00F0794C" w:rsidRDefault="00DA1A33" w:rsidP="004B5863">
      <w:pPr>
        <w:numPr>
          <w:ilvl w:val="0"/>
          <w:numId w:val="6"/>
        </w:numPr>
        <w:jc w:val="both"/>
        <w:rPr>
          <w:rFonts w:asciiTheme="minorHAnsi" w:hAnsiTheme="minorHAnsi"/>
        </w:rPr>
      </w:pPr>
      <w:r w:rsidRPr="00F0794C">
        <w:rPr>
          <w:rFonts w:asciiTheme="minorHAnsi" w:hAnsiTheme="minorHAnsi"/>
        </w:rPr>
        <w:t>Reporting, benchmarking and review of efficient costs. Independent benchmarking of efficient road investment and maintenance costs should be tied to funding allocations for road agencies.</w:t>
      </w:r>
    </w:p>
    <w:p w:rsidR="00DA1A33" w:rsidRPr="00F0794C" w:rsidRDefault="00DA1A33" w:rsidP="004B5863">
      <w:pPr>
        <w:numPr>
          <w:ilvl w:val="0"/>
          <w:numId w:val="6"/>
        </w:numPr>
        <w:jc w:val="both"/>
        <w:rPr>
          <w:rFonts w:asciiTheme="minorHAnsi" w:hAnsiTheme="minorHAnsi"/>
        </w:rPr>
      </w:pPr>
      <w:r w:rsidRPr="00F0794C">
        <w:rPr>
          <w:rFonts w:asciiTheme="minorHAnsi" w:hAnsiTheme="minorHAnsi"/>
        </w:rPr>
        <w:t xml:space="preserve">Potentially establishing a national road fund. This would assess available freight demand data and submissions from government and the freight industry to develop forward looking investment and maintenance plans for each tier of the network. </w:t>
      </w:r>
    </w:p>
    <w:p w:rsidR="00DA1A33" w:rsidRPr="00F0794C" w:rsidRDefault="00DA1A33" w:rsidP="004B5863">
      <w:pPr>
        <w:numPr>
          <w:ilvl w:val="0"/>
          <w:numId w:val="6"/>
        </w:numPr>
        <w:jc w:val="both"/>
        <w:rPr>
          <w:rFonts w:asciiTheme="minorHAnsi" w:hAnsiTheme="minorHAnsi"/>
        </w:rPr>
      </w:pPr>
      <w:r w:rsidRPr="00F0794C">
        <w:rPr>
          <w:rFonts w:asciiTheme="minorHAnsi" w:hAnsiTheme="minorHAnsi"/>
        </w:rPr>
        <w:t xml:space="preserve">Further improving the cost reflectivity of road charges in the medium term, a majority fuel based charge should be adopted, reducing the role of registration charges. </w:t>
      </w:r>
    </w:p>
    <w:p w:rsidR="00DA1A33" w:rsidRPr="00F0794C" w:rsidRDefault="00DA1A33" w:rsidP="004B5863">
      <w:pPr>
        <w:numPr>
          <w:ilvl w:val="0"/>
          <w:numId w:val="6"/>
        </w:numPr>
        <w:jc w:val="both"/>
        <w:rPr>
          <w:rFonts w:asciiTheme="minorHAnsi" w:hAnsiTheme="minorHAnsi"/>
        </w:rPr>
      </w:pPr>
      <w:r w:rsidRPr="00F0794C">
        <w:rPr>
          <w:rFonts w:asciiTheme="minorHAnsi" w:hAnsiTheme="minorHAnsi"/>
        </w:rPr>
        <w:t xml:space="preserve">Continuing with a fuel and registration-based charge until a strong business case for variable charging emerges. </w:t>
      </w:r>
      <w:r w:rsidR="00E47301">
        <w:rPr>
          <w:rFonts w:asciiTheme="minorHAnsi" w:hAnsiTheme="minorHAnsi"/>
        </w:rPr>
        <w:t>A</w:t>
      </w:r>
      <w:r w:rsidRPr="00F0794C">
        <w:rPr>
          <w:rFonts w:asciiTheme="minorHAnsi" w:hAnsiTheme="minorHAnsi"/>
        </w:rPr>
        <w:t xml:space="preserve"> move</w:t>
      </w:r>
      <w:r w:rsidR="00E47301">
        <w:rPr>
          <w:rFonts w:asciiTheme="minorHAnsi" w:hAnsiTheme="minorHAnsi"/>
        </w:rPr>
        <w:t xml:space="preserve"> to variable charging</w:t>
      </w:r>
      <w:r w:rsidRPr="00F0794C">
        <w:rPr>
          <w:rFonts w:asciiTheme="minorHAnsi" w:hAnsiTheme="minorHAnsi"/>
        </w:rPr>
        <w:t xml:space="preserve"> will be costly and carries high risks of inefficiency in revenue collection.</w:t>
      </w:r>
    </w:p>
    <w:p w:rsidR="00DA1A33" w:rsidRPr="00F0794C" w:rsidRDefault="00DA1A33" w:rsidP="004B5863">
      <w:pPr>
        <w:jc w:val="both"/>
        <w:rPr>
          <w:rFonts w:asciiTheme="minorHAnsi" w:hAnsiTheme="minorHAnsi"/>
        </w:rPr>
      </w:pPr>
    </w:p>
    <w:p w:rsidR="00DA1A33" w:rsidRPr="00F0794C" w:rsidRDefault="00DA1A33" w:rsidP="004B5863">
      <w:pPr>
        <w:jc w:val="both"/>
        <w:rPr>
          <w:rFonts w:asciiTheme="minorHAnsi" w:hAnsiTheme="minorHAnsi"/>
        </w:rPr>
      </w:pPr>
      <w:r w:rsidRPr="00F0794C">
        <w:rPr>
          <w:rFonts w:asciiTheme="minorHAnsi" w:hAnsiTheme="minorHAnsi"/>
        </w:rPr>
        <w:t>PwC recommend</w:t>
      </w:r>
      <w:r w:rsidR="007462E8" w:rsidRPr="00F0794C">
        <w:rPr>
          <w:rFonts w:asciiTheme="minorHAnsi" w:hAnsiTheme="minorHAnsi"/>
        </w:rPr>
        <w:t>s</w:t>
      </w:r>
      <w:r w:rsidRPr="00F0794C">
        <w:rPr>
          <w:rFonts w:asciiTheme="minorHAnsi" w:hAnsiTheme="minorHAnsi"/>
        </w:rPr>
        <w:t xml:space="preserve"> variable charging be implemented only if the government can demonstrate the detailed data collected through variable charging can, and will, be used to improve road investment decision-making, in such a way that the added cost, time and complexity</w:t>
      </w:r>
      <w:r w:rsidR="007462E8" w:rsidRPr="00F0794C">
        <w:rPr>
          <w:rFonts w:asciiTheme="minorHAnsi" w:hAnsiTheme="minorHAnsi"/>
        </w:rPr>
        <w:t xml:space="preserve"> of the new process</w:t>
      </w:r>
      <w:r w:rsidRPr="00F0794C">
        <w:rPr>
          <w:rFonts w:asciiTheme="minorHAnsi" w:hAnsiTheme="minorHAnsi"/>
        </w:rPr>
        <w:t xml:space="preserve"> is warranted.  </w:t>
      </w:r>
    </w:p>
    <w:p w:rsidR="00CB4D57" w:rsidRPr="00F0794C" w:rsidRDefault="00CB4D57" w:rsidP="004B5863">
      <w:pPr>
        <w:jc w:val="both"/>
        <w:rPr>
          <w:rFonts w:asciiTheme="minorHAnsi" w:eastAsiaTheme="minorHAnsi" w:hAnsiTheme="minorHAnsi" w:cs="Arial"/>
          <w:b/>
        </w:rPr>
      </w:pPr>
    </w:p>
    <w:p w:rsidR="00A91577" w:rsidRPr="00F0794C" w:rsidRDefault="00A91577" w:rsidP="004B5863">
      <w:pPr>
        <w:jc w:val="both"/>
        <w:rPr>
          <w:rFonts w:asciiTheme="minorHAnsi" w:eastAsiaTheme="minorHAnsi" w:hAnsiTheme="minorHAnsi" w:cs="Arial"/>
        </w:rPr>
      </w:pPr>
      <w:r w:rsidRPr="00F0794C">
        <w:rPr>
          <w:rFonts w:asciiTheme="minorHAnsi" w:eastAsiaTheme="minorHAnsi" w:hAnsiTheme="minorHAnsi" w:cs="Arial"/>
        </w:rPr>
        <w:t>The ATA supports the short</w:t>
      </w:r>
      <w:r w:rsidR="00E47301">
        <w:rPr>
          <w:rFonts w:asciiTheme="minorHAnsi" w:eastAsiaTheme="minorHAnsi" w:hAnsiTheme="minorHAnsi" w:cs="Arial"/>
        </w:rPr>
        <w:t>-</w:t>
      </w:r>
      <w:r w:rsidRPr="00F0794C">
        <w:rPr>
          <w:rFonts w:asciiTheme="minorHAnsi" w:eastAsiaTheme="minorHAnsi" w:hAnsiTheme="minorHAnsi" w:cs="Arial"/>
        </w:rPr>
        <w:t xml:space="preserve">term PwC recommendations and </w:t>
      </w:r>
      <w:r w:rsidR="007752A3" w:rsidRPr="00F0794C">
        <w:rPr>
          <w:rFonts w:asciiTheme="minorHAnsi" w:eastAsiaTheme="minorHAnsi" w:hAnsiTheme="minorHAnsi" w:cs="Arial"/>
        </w:rPr>
        <w:t>once the short</w:t>
      </w:r>
      <w:r w:rsidR="00E47301">
        <w:rPr>
          <w:rFonts w:asciiTheme="minorHAnsi" w:eastAsiaTheme="minorHAnsi" w:hAnsiTheme="minorHAnsi" w:cs="Arial"/>
        </w:rPr>
        <w:t>-</w:t>
      </w:r>
      <w:r w:rsidR="007752A3" w:rsidRPr="00F0794C">
        <w:rPr>
          <w:rFonts w:asciiTheme="minorHAnsi" w:eastAsiaTheme="minorHAnsi" w:hAnsiTheme="minorHAnsi" w:cs="Arial"/>
        </w:rPr>
        <w:t>term recommendations are established it will consider the medium to long</w:t>
      </w:r>
      <w:r w:rsidR="00E47301">
        <w:rPr>
          <w:rFonts w:asciiTheme="minorHAnsi" w:eastAsiaTheme="minorHAnsi" w:hAnsiTheme="minorHAnsi" w:cs="Arial"/>
        </w:rPr>
        <w:t>-</w:t>
      </w:r>
      <w:r w:rsidR="007752A3" w:rsidRPr="00F0794C">
        <w:rPr>
          <w:rFonts w:asciiTheme="minorHAnsi" w:eastAsiaTheme="minorHAnsi" w:hAnsiTheme="minorHAnsi" w:cs="Arial"/>
        </w:rPr>
        <w:t xml:space="preserve">term recommendations. </w:t>
      </w:r>
    </w:p>
    <w:p w:rsidR="00447C81" w:rsidRPr="00F0794C" w:rsidRDefault="00447C81" w:rsidP="004B5863">
      <w:pPr>
        <w:jc w:val="both"/>
        <w:rPr>
          <w:rFonts w:asciiTheme="minorHAnsi" w:eastAsiaTheme="minorHAnsi" w:hAnsiTheme="minorHAnsi" w:cs="Arial"/>
          <w:b/>
        </w:rPr>
      </w:pPr>
    </w:p>
    <w:p w:rsidR="00E54A99" w:rsidRPr="00F0794C" w:rsidRDefault="00CC18B5" w:rsidP="004B5863">
      <w:pPr>
        <w:jc w:val="both"/>
        <w:rPr>
          <w:rFonts w:asciiTheme="minorHAnsi" w:eastAsiaTheme="minorHAnsi" w:hAnsiTheme="minorHAnsi" w:cs="Arial"/>
          <w:b/>
        </w:rPr>
      </w:pPr>
      <w:r w:rsidRPr="00F0794C">
        <w:rPr>
          <w:rFonts w:asciiTheme="minorHAnsi" w:eastAsiaTheme="minorHAnsi" w:hAnsiTheme="minorHAnsi" w:cs="Arial"/>
          <w:b/>
        </w:rPr>
        <w:t xml:space="preserve">Recommendation 1 </w:t>
      </w:r>
    </w:p>
    <w:p w:rsidR="00CC18B5" w:rsidRPr="00F0794C" w:rsidRDefault="00CC18B5" w:rsidP="004B5863">
      <w:pPr>
        <w:jc w:val="both"/>
        <w:rPr>
          <w:rFonts w:asciiTheme="minorHAnsi" w:eastAsiaTheme="minorHAnsi" w:hAnsiTheme="minorHAnsi" w:cs="Arial"/>
          <w:b/>
        </w:rPr>
      </w:pPr>
    </w:p>
    <w:p w:rsidR="00CC18B5" w:rsidRPr="00F0794C" w:rsidRDefault="00CC18B5" w:rsidP="004B5863">
      <w:pPr>
        <w:jc w:val="both"/>
        <w:rPr>
          <w:rFonts w:asciiTheme="minorHAnsi" w:eastAsiaTheme="minorHAnsi" w:hAnsiTheme="minorHAnsi" w:cs="Arial"/>
        </w:rPr>
      </w:pPr>
      <w:r w:rsidRPr="00F0794C">
        <w:rPr>
          <w:rFonts w:asciiTheme="minorHAnsi" w:eastAsiaTheme="minorHAnsi" w:hAnsiTheme="minorHAnsi" w:cs="Arial"/>
        </w:rPr>
        <w:t xml:space="preserve">The Commission should adopt </w:t>
      </w:r>
      <w:r w:rsidR="00842210">
        <w:rPr>
          <w:rFonts w:asciiTheme="minorHAnsi" w:eastAsiaTheme="minorHAnsi" w:hAnsiTheme="minorHAnsi" w:cs="Arial"/>
        </w:rPr>
        <w:t xml:space="preserve">the </w:t>
      </w:r>
      <w:r w:rsidRPr="00F0794C">
        <w:rPr>
          <w:rFonts w:asciiTheme="minorHAnsi" w:eastAsiaTheme="minorHAnsi" w:hAnsiTheme="minorHAnsi" w:cs="Arial"/>
        </w:rPr>
        <w:t>short</w:t>
      </w:r>
      <w:r w:rsidR="00E47301">
        <w:rPr>
          <w:rFonts w:asciiTheme="minorHAnsi" w:eastAsiaTheme="minorHAnsi" w:hAnsiTheme="minorHAnsi" w:cs="Arial"/>
        </w:rPr>
        <w:t>-</w:t>
      </w:r>
      <w:r w:rsidRPr="00F0794C">
        <w:rPr>
          <w:rFonts w:asciiTheme="minorHAnsi" w:eastAsiaTheme="minorHAnsi" w:hAnsiTheme="minorHAnsi" w:cs="Arial"/>
        </w:rPr>
        <w:t xml:space="preserve">term (no regrets) steps </w:t>
      </w:r>
      <w:r w:rsidR="00815CBA" w:rsidRPr="00F0794C">
        <w:rPr>
          <w:rFonts w:asciiTheme="minorHAnsi" w:eastAsiaTheme="minorHAnsi" w:hAnsiTheme="minorHAnsi" w:cs="Arial"/>
        </w:rPr>
        <w:t>from</w:t>
      </w:r>
      <w:r w:rsidRPr="00F0794C">
        <w:rPr>
          <w:rFonts w:asciiTheme="minorHAnsi" w:eastAsiaTheme="minorHAnsi" w:hAnsiTheme="minorHAnsi" w:cs="Arial"/>
        </w:rPr>
        <w:t xml:space="preserve"> the </w:t>
      </w:r>
      <w:r w:rsidR="00815CBA" w:rsidRPr="00F0794C">
        <w:rPr>
          <w:rFonts w:asciiTheme="minorHAnsi" w:eastAsiaTheme="minorHAnsi" w:hAnsiTheme="minorHAnsi" w:cs="Arial"/>
        </w:rPr>
        <w:t>PricewaterhouseCoopers</w:t>
      </w:r>
      <w:r w:rsidRPr="00F0794C">
        <w:rPr>
          <w:rFonts w:asciiTheme="minorHAnsi" w:eastAsiaTheme="minorHAnsi" w:hAnsiTheme="minorHAnsi" w:cs="Arial"/>
        </w:rPr>
        <w:t xml:space="preserve"> report: </w:t>
      </w:r>
      <w:r w:rsidRPr="00F0794C">
        <w:rPr>
          <w:rFonts w:asciiTheme="minorHAnsi" w:eastAsiaTheme="minorHAnsi" w:hAnsiTheme="minorHAnsi" w:cs="Arial"/>
          <w:i/>
          <w:iCs/>
        </w:rPr>
        <w:t>A future Strate</w:t>
      </w:r>
      <w:r w:rsidR="00F23E65" w:rsidRPr="00F0794C">
        <w:rPr>
          <w:rFonts w:asciiTheme="minorHAnsi" w:eastAsiaTheme="minorHAnsi" w:hAnsiTheme="minorHAnsi" w:cs="Arial"/>
          <w:i/>
          <w:iCs/>
        </w:rPr>
        <w:t>gy for Road Supply and Charging</w:t>
      </w:r>
      <w:r w:rsidRPr="00F0794C">
        <w:rPr>
          <w:rFonts w:asciiTheme="minorHAnsi" w:eastAsiaTheme="minorHAnsi" w:hAnsiTheme="minorHAnsi" w:cs="Arial"/>
          <w:i/>
          <w:iCs/>
        </w:rPr>
        <w:t>.</w:t>
      </w:r>
    </w:p>
    <w:p w:rsidR="007462E8" w:rsidRDefault="007462E8" w:rsidP="004B5863">
      <w:pPr>
        <w:jc w:val="both"/>
        <w:rPr>
          <w:rFonts w:asciiTheme="minorHAnsi" w:eastAsiaTheme="minorHAnsi" w:hAnsiTheme="minorHAnsi" w:cs="Arial"/>
          <w:b/>
        </w:rPr>
      </w:pPr>
    </w:p>
    <w:p w:rsidR="00B91ACE" w:rsidRDefault="00B91ACE" w:rsidP="004B5863">
      <w:pPr>
        <w:jc w:val="both"/>
        <w:rPr>
          <w:rFonts w:asciiTheme="minorHAnsi" w:eastAsiaTheme="minorHAnsi" w:hAnsiTheme="minorHAnsi" w:cs="Arial"/>
          <w:b/>
        </w:rPr>
      </w:pPr>
    </w:p>
    <w:p w:rsidR="00B91ACE" w:rsidRDefault="00B91ACE" w:rsidP="004B5863">
      <w:pPr>
        <w:jc w:val="both"/>
        <w:rPr>
          <w:rFonts w:asciiTheme="minorHAnsi" w:eastAsiaTheme="minorHAnsi" w:hAnsiTheme="minorHAnsi" w:cs="Arial"/>
          <w:b/>
        </w:rPr>
      </w:pPr>
    </w:p>
    <w:p w:rsidR="00B91ACE" w:rsidRDefault="00B91ACE" w:rsidP="004B5863">
      <w:pPr>
        <w:jc w:val="both"/>
        <w:rPr>
          <w:rFonts w:asciiTheme="minorHAnsi" w:eastAsiaTheme="minorHAnsi" w:hAnsiTheme="minorHAnsi" w:cs="Arial"/>
          <w:b/>
        </w:rPr>
      </w:pPr>
    </w:p>
    <w:p w:rsidR="00B91ACE" w:rsidRDefault="00B91ACE" w:rsidP="004B5863">
      <w:pPr>
        <w:jc w:val="both"/>
        <w:rPr>
          <w:rFonts w:asciiTheme="minorHAnsi" w:eastAsiaTheme="minorHAnsi" w:hAnsiTheme="minorHAnsi" w:cs="Arial"/>
          <w:b/>
        </w:rPr>
      </w:pPr>
    </w:p>
    <w:p w:rsidR="00B91ACE" w:rsidRDefault="00B91ACE" w:rsidP="004B5863">
      <w:pPr>
        <w:jc w:val="both"/>
        <w:rPr>
          <w:rFonts w:asciiTheme="minorHAnsi" w:eastAsiaTheme="minorHAnsi" w:hAnsiTheme="minorHAnsi" w:cs="Arial"/>
          <w:b/>
        </w:rPr>
      </w:pPr>
    </w:p>
    <w:p w:rsidR="006F25E7" w:rsidRPr="00F0794C" w:rsidRDefault="006F25E7" w:rsidP="004B5863">
      <w:pPr>
        <w:jc w:val="both"/>
        <w:rPr>
          <w:rFonts w:asciiTheme="minorHAnsi" w:eastAsiaTheme="minorHAnsi" w:hAnsiTheme="minorHAnsi" w:cs="Arial"/>
          <w:b/>
        </w:rPr>
      </w:pPr>
    </w:p>
    <w:p w:rsidR="00972D62" w:rsidRPr="00F0794C" w:rsidRDefault="00E92610" w:rsidP="004B5863">
      <w:pPr>
        <w:pStyle w:val="Heading1"/>
        <w:jc w:val="both"/>
        <w:rPr>
          <w:rFonts w:asciiTheme="minorHAnsi" w:hAnsiTheme="minorHAnsi"/>
          <w:szCs w:val="22"/>
        </w:rPr>
      </w:pPr>
      <w:bookmarkStart w:id="4" w:name="_Toc384105352"/>
      <w:r w:rsidRPr="00F0794C">
        <w:rPr>
          <w:rFonts w:asciiTheme="minorHAnsi" w:hAnsiTheme="minorHAnsi"/>
          <w:szCs w:val="22"/>
        </w:rPr>
        <w:lastRenderedPageBreak/>
        <w:t>Supply side reform</w:t>
      </w:r>
      <w:bookmarkEnd w:id="4"/>
    </w:p>
    <w:p w:rsidR="00972D62" w:rsidRPr="00F0794C" w:rsidRDefault="00972D62" w:rsidP="004B5863">
      <w:pPr>
        <w:jc w:val="both"/>
        <w:rPr>
          <w:rFonts w:asciiTheme="minorHAnsi" w:hAnsiTheme="minorHAnsi"/>
        </w:rPr>
      </w:pPr>
    </w:p>
    <w:p w:rsidR="00E92610" w:rsidRPr="00F0794C" w:rsidRDefault="0022487F" w:rsidP="004B5863">
      <w:pPr>
        <w:pStyle w:val="Heading1"/>
        <w:numPr>
          <w:ilvl w:val="1"/>
          <w:numId w:val="16"/>
        </w:numPr>
        <w:jc w:val="both"/>
        <w:rPr>
          <w:rFonts w:asciiTheme="minorHAnsi" w:hAnsiTheme="minorHAnsi"/>
          <w:szCs w:val="22"/>
        </w:rPr>
      </w:pPr>
      <w:r w:rsidRPr="00F0794C">
        <w:rPr>
          <w:rFonts w:asciiTheme="minorHAnsi" w:hAnsiTheme="minorHAnsi"/>
          <w:szCs w:val="22"/>
        </w:rPr>
        <w:t xml:space="preserve"> </w:t>
      </w:r>
      <w:bookmarkStart w:id="5" w:name="_Toc384105353"/>
      <w:r w:rsidR="00E92610" w:rsidRPr="00F0794C">
        <w:rPr>
          <w:rFonts w:asciiTheme="minorHAnsi" w:hAnsiTheme="minorHAnsi"/>
          <w:szCs w:val="22"/>
        </w:rPr>
        <w:t>Governance arrangements</w:t>
      </w:r>
      <w:r w:rsidR="00972D62" w:rsidRPr="00F0794C">
        <w:rPr>
          <w:rFonts w:asciiTheme="minorHAnsi" w:hAnsiTheme="minorHAnsi"/>
          <w:szCs w:val="22"/>
        </w:rPr>
        <w:t xml:space="preserve"> </w:t>
      </w:r>
      <w:r w:rsidR="00E92610" w:rsidRPr="00F0794C">
        <w:rPr>
          <w:rFonts w:asciiTheme="minorHAnsi" w:hAnsiTheme="minorHAnsi"/>
          <w:szCs w:val="22"/>
        </w:rPr>
        <w:t>and conditional funding for states</w:t>
      </w:r>
      <w:bookmarkEnd w:id="5"/>
    </w:p>
    <w:p w:rsidR="00E92610" w:rsidRPr="00F0794C" w:rsidRDefault="00E92610" w:rsidP="004B5863">
      <w:pPr>
        <w:pStyle w:val="BodyText2"/>
        <w:jc w:val="both"/>
        <w:rPr>
          <w:rFonts w:asciiTheme="minorHAnsi" w:hAnsiTheme="minorHAnsi"/>
          <w:b w:val="0"/>
          <w:szCs w:val="22"/>
        </w:rPr>
      </w:pPr>
    </w:p>
    <w:p w:rsidR="00E54A99" w:rsidRPr="00F0794C" w:rsidRDefault="00E92610" w:rsidP="004B5863">
      <w:pPr>
        <w:pStyle w:val="BodyText2"/>
        <w:jc w:val="both"/>
        <w:rPr>
          <w:rFonts w:asciiTheme="minorHAnsi" w:hAnsiTheme="minorHAnsi"/>
          <w:b w:val="0"/>
          <w:szCs w:val="22"/>
        </w:rPr>
      </w:pPr>
      <w:r w:rsidRPr="00F0794C">
        <w:rPr>
          <w:rFonts w:asciiTheme="minorHAnsi" w:hAnsiTheme="minorHAnsi"/>
          <w:b w:val="0"/>
          <w:szCs w:val="22"/>
        </w:rPr>
        <w:t xml:space="preserve">The </w:t>
      </w:r>
      <w:r w:rsidR="005F5568" w:rsidRPr="00F0794C">
        <w:rPr>
          <w:rFonts w:asciiTheme="minorHAnsi" w:hAnsiTheme="minorHAnsi"/>
          <w:b w:val="0"/>
          <w:szCs w:val="22"/>
        </w:rPr>
        <w:t>Commission</w:t>
      </w:r>
      <w:r w:rsidRPr="00F0794C">
        <w:rPr>
          <w:rFonts w:asciiTheme="minorHAnsi" w:hAnsiTheme="minorHAnsi"/>
          <w:b w:val="0"/>
          <w:szCs w:val="22"/>
        </w:rPr>
        <w:t xml:space="preserve"> report </w:t>
      </w:r>
      <w:r w:rsidR="007462E8" w:rsidRPr="00F0794C">
        <w:rPr>
          <w:rFonts w:asciiTheme="minorHAnsi" w:hAnsiTheme="minorHAnsi"/>
          <w:b w:val="0"/>
          <w:szCs w:val="22"/>
        </w:rPr>
        <w:t>acknowledges</w:t>
      </w:r>
      <w:r w:rsidRPr="00F0794C">
        <w:rPr>
          <w:rFonts w:asciiTheme="minorHAnsi" w:hAnsiTheme="minorHAnsi"/>
          <w:b w:val="0"/>
          <w:szCs w:val="22"/>
        </w:rPr>
        <w:t xml:space="preserve"> the ATA’s comments that there </w:t>
      </w:r>
      <w:r w:rsidR="00E54A99" w:rsidRPr="00F0794C">
        <w:rPr>
          <w:rFonts w:asciiTheme="minorHAnsi" w:hAnsiTheme="minorHAnsi"/>
          <w:b w:val="0"/>
          <w:szCs w:val="22"/>
        </w:rPr>
        <w:t>are</w:t>
      </w:r>
      <w:r w:rsidRPr="00F0794C">
        <w:rPr>
          <w:rFonts w:asciiTheme="minorHAnsi" w:hAnsiTheme="minorHAnsi"/>
          <w:b w:val="0"/>
          <w:szCs w:val="22"/>
        </w:rPr>
        <w:t xml:space="preserve"> limited conditions</w:t>
      </w:r>
      <w:r w:rsidR="007462E8" w:rsidRPr="00F0794C">
        <w:rPr>
          <w:rFonts w:asciiTheme="minorHAnsi" w:hAnsiTheme="minorHAnsi"/>
          <w:b w:val="0"/>
          <w:szCs w:val="22"/>
        </w:rPr>
        <w:t xml:space="preserve"> currently</w:t>
      </w:r>
      <w:r w:rsidRPr="00F0794C">
        <w:rPr>
          <w:rFonts w:asciiTheme="minorHAnsi" w:hAnsiTheme="minorHAnsi"/>
          <w:b w:val="0"/>
          <w:szCs w:val="22"/>
        </w:rPr>
        <w:t xml:space="preserve"> for </w:t>
      </w:r>
      <w:r w:rsidR="00B279BF" w:rsidRPr="00F0794C">
        <w:rPr>
          <w:rFonts w:asciiTheme="minorHAnsi" w:hAnsiTheme="minorHAnsi"/>
          <w:b w:val="0"/>
          <w:szCs w:val="22"/>
        </w:rPr>
        <w:t>states</w:t>
      </w:r>
      <w:r w:rsidR="00E54A99" w:rsidRPr="00F0794C">
        <w:rPr>
          <w:rFonts w:asciiTheme="minorHAnsi" w:hAnsiTheme="minorHAnsi"/>
          <w:b w:val="0"/>
          <w:szCs w:val="22"/>
        </w:rPr>
        <w:t xml:space="preserve"> and territories</w:t>
      </w:r>
      <w:r w:rsidR="00B279BF" w:rsidRPr="00F0794C">
        <w:rPr>
          <w:rFonts w:asciiTheme="minorHAnsi" w:hAnsiTheme="minorHAnsi"/>
          <w:b w:val="0"/>
          <w:szCs w:val="22"/>
        </w:rPr>
        <w:t xml:space="preserve"> who receive government grants </w:t>
      </w:r>
      <w:r w:rsidR="00E54A99" w:rsidRPr="00F0794C">
        <w:rPr>
          <w:rFonts w:asciiTheme="minorHAnsi" w:hAnsiTheme="minorHAnsi"/>
          <w:b w:val="0"/>
          <w:szCs w:val="22"/>
        </w:rPr>
        <w:t xml:space="preserve">earmarked </w:t>
      </w:r>
      <w:r w:rsidR="00B279BF" w:rsidRPr="00F0794C">
        <w:rPr>
          <w:rFonts w:asciiTheme="minorHAnsi" w:hAnsiTheme="minorHAnsi"/>
          <w:b w:val="0"/>
          <w:szCs w:val="22"/>
        </w:rPr>
        <w:t>for road expenditure. Therefore, t</w:t>
      </w:r>
      <w:r w:rsidRPr="00F0794C">
        <w:rPr>
          <w:rFonts w:asciiTheme="minorHAnsi" w:hAnsiTheme="minorHAnsi"/>
          <w:b w:val="0"/>
          <w:szCs w:val="22"/>
        </w:rPr>
        <w:t>he ATA support</w:t>
      </w:r>
      <w:r w:rsidR="00B279BF" w:rsidRPr="00F0794C">
        <w:rPr>
          <w:rFonts w:asciiTheme="minorHAnsi" w:hAnsiTheme="minorHAnsi"/>
          <w:b w:val="0"/>
          <w:szCs w:val="22"/>
        </w:rPr>
        <w:t>s</w:t>
      </w:r>
      <w:r w:rsidR="00161A38">
        <w:rPr>
          <w:rFonts w:asciiTheme="minorHAnsi" w:hAnsiTheme="minorHAnsi"/>
          <w:b w:val="0"/>
          <w:szCs w:val="22"/>
        </w:rPr>
        <w:t xml:space="preserve"> draft recommendation</w:t>
      </w:r>
      <w:r w:rsidRPr="00F0794C">
        <w:rPr>
          <w:rFonts w:asciiTheme="minorHAnsi" w:hAnsiTheme="minorHAnsi"/>
          <w:b w:val="0"/>
          <w:szCs w:val="22"/>
        </w:rPr>
        <w:t xml:space="preserve"> 7.1 which </w:t>
      </w:r>
      <w:r w:rsidR="00AF67B0" w:rsidRPr="00F0794C">
        <w:rPr>
          <w:rFonts w:asciiTheme="minorHAnsi" w:hAnsiTheme="minorHAnsi"/>
          <w:b w:val="0"/>
          <w:szCs w:val="22"/>
        </w:rPr>
        <w:t>refer</w:t>
      </w:r>
      <w:r w:rsidR="00161A38">
        <w:rPr>
          <w:rFonts w:asciiTheme="minorHAnsi" w:hAnsiTheme="minorHAnsi"/>
          <w:b w:val="0"/>
          <w:szCs w:val="22"/>
        </w:rPr>
        <w:t>s</w:t>
      </w:r>
      <w:r w:rsidRPr="00F0794C">
        <w:rPr>
          <w:rFonts w:asciiTheme="minorHAnsi" w:hAnsiTheme="minorHAnsi"/>
          <w:b w:val="0"/>
          <w:szCs w:val="22"/>
        </w:rPr>
        <w:t xml:space="preserve"> </w:t>
      </w:r>
      <w:r w:rsidR="00AF67B0" w:rsidRPr="00F0794C">
        <w:rPr>
          <w:rFonts w:asciiTheme="minorHAnsi" w:hAnsiTheme="minorHAnsi"/>
          <w:b w:val="0"/>
          <w:szCs w:val="22"/>
        </w:rPr>
        <w:t>to good governance arrangements being incorporated int</w:t>
      </w:r>
      <w:r w:rsidRPr="00F0794C">
        <w:rPr>
          <w:rFonts w:asciiTheme="minorHAnsi" w:hAnsiTheme="minorHAnsi"/>
          <w:b w:val="0"/>
          <w:szCs w:val="22"/>
        </w:rPr>
        <w:t>o Institutional arrangements for the provision and delivery of public infrastructure</w:t>
      </w:r>
      <w:r w:rsidR="00B279BF" w:rsidRPr="00F0794C">
        <w:rPr>
          <w:rFonts w:asciiTheme="minorHAnsi" w:hAnsiTheme="minorHAnsi"/>
          <w:b w:val="0"/>
          <w:szCs w:val="22"/>
        </w:rPr>
        <w:t xml:space="preserve">. We also support recommendation 7.3 </w:t>
      </w:r>
      <w:r w:rsidRPr="00F0794C">
        <w:rPr>
          <w:rFonts w:asciiTheme="minorHAnsi" w:hAnsiTheme="minorHAnsi"/>
          <w:b w:val="0"/>
          <w:szCs w:val="22"/>
        </w:rPr>
        <w:t xml:space="preserve">that Australian Government funding or other forms of assistance (such as loans and governments guarantees) for public infrastructure that is provided to local, </w:t>
      </w:r>
      <w:r w:rsidR="00B91ACE">
        <w:rPr>
          <w:rFonts w:asciiTheme="minorHAnsi" w:hAnsiTheme="minorHAnsi"/>
          <w:b w:val="0"/>
          <w:szCs w:val="22"/>
        </w:rPr>
        <w:t>s</w:t>
      </w:r>
      <w:r w:rsidRPr="00F0794C">
        <w:rPr>
          <w:rFonts w:asciiTheme="minorHAnsi" w:hAnsiTheme="minorHAnsi"/>
          <w:b w:val="0"/>
          <w:szCs w:val="22"/>
        </w:rPr>
        <w:t xml:space="preserve">tate and </w:t>
      </w:r>
      <w:r w:rsidR="00B91ACE">
        <w:rPr>
          <w:rFonts w:asciiTheme="minorHAnsi" w:hAnsiTheme="minorHAnsi"/>
          <w:b w:val="0"/>
          <w:szCs w:val="22"/>
        </w:rPr>
        <w:t>t</w:t>
      </w:r>
      <w:r w:rsidRPr="00F0794C">
        <w:rPr>
          <w:rFonts w:asciiTheme="minorHAnsi" w:hAnsiTheme="minorHAnsi"/>
          <w:b w:val="0"/>
          <w:szCs w:val="22"/>
        </w:rPr>
        <w:t>erritory Governments should be conditional.</w:t>
      </w:r>
    </w:p>
    <w:p w:rsidR="00E54A99" w:rsidRPr="00F0794C" w:rsidRDefault="00E54A99" w:rsidP="004B5863">
      <w:pPr>
        <w:pStyle w:val="BodyText2"/>
        <w:jc w:val="both"/>
        <w:rPr>
          <w:rFonts w:asciiTheme="minorHAnsi" w:hAnsiTheme="minorHAnsi"/>
          <w:b w:val="0"/>
          <w:szCs w:val="22"/>
        </w:rPr>
      </w:pPr>
    </w:p>
    <w:p w:rsidR="00E92610" w:rsidRPr="00F0794C" w:rsidRDefault="00E92610" w:rsidP="004B5863">
      <w:pPr>
        <w:pStyle w:val="BodyText2"/>
        <w:jc w:val="both"/>
        <w:rPr>
          <w:rFonts w:asciiTheme="minorHAnsi" w:hAnsiTheme="minorHAnsi"/>
          <w:b w:val="0"/>
          <w:szCs w:val="22"/>
        </w:rPr>
      </w:pPr>
      <w:r w:rsidRPr="00F0794C">
        <w:rPr>
          <w:rFonts w:asciiTheme="minorHAnsi" w:hAnsiTheme="minorHAnsi"/>
          <w:b w:val="0"/>
          <w:szCs w:val="22"/>
        </w:rPr>
        <w:t>The good governance arrangements</w:t>
      </w:r>
      <w:r w:rsidR="00B91ACE">
        <w:rPr>
          <w:rFonts w:asciiTheme="minorHAnsi" w:hAnsiTheme="minorHAnsi"/>
          <w:b w:val="0"/>
          <w:szCs w:val="22"/>
        </w:rPr>
        <w:t xml:space="preserve"> should</w:t>
      </w:r>
      <w:r w:rsidRPr="00F0794C">
        <w:rPr>
          <w:rFonts w:asciiTheme="minorHAnsi" w:hAnsiTheme="minorHAnsi"/>
          <w:b w:val="0"/>
          <w:szCs w:val="22"/>
        </w:rPr>
        <w:t xml:space="preserve"> include:</w:t>
      </w:r>
    </w:p>
    <w:p w:rsidR="00E92610" w:rsidRPr="00F0794C" w:rsidRDefault="00B91ACE" w:rsidP="004B5863">
      <w:pPr>
        <w:pStyle w:val="BodyText2"/>
        <w:numPr>
          <w:ilvl w:val="0"/>
          <w:numId w:val="9"/>
        </w:numPr>
        <w:jc w:val="both"/>
        <w:rPr>
          <w:rFonts w:asciiTheme="minorHAnsi" w:hAnsiTheme="minorHAnsi"/>
          <w:b w:val="0"/>
          <w:szCs w:val="22"/>
        </w:rPr>
      </w:pPr>
      <w:r>
        <w:rPr>
          <w:rFonts w:asciiTheme="minorHAnsi" w:hAnsiTheme="minorHAnsi"/>
          <w:b w:val="0"/>
          <w:szCs w:val="22"/>
        </w:rPr>
        <w:t>The principal objective</w:t>
      </w:r>
      <w:r w:rsidR="00E92610" w:rsidRPr="00F0794C">
        <w:rPr>
          <w:rFonts w:asciiTheme="minorHAnsi" w:hAnsiTheme="minorHAnsi"/>
          <w:b w:val="0"/>
          <w:szCs w:val="22"/>
        </w:rPr>
        <w:t xml:space="preserve"> of ensuring that decision</w:t>
      </w:r>
      <w:r w:rsidR="00AF67B0" w:rsidRPr="00F0794C">
        <w:rPr>
          <w:rFonts w:asciiTheme="minorHAnsi" w:hAnsiTheme="minorHAnsi"/>
          <w:b w:val="0"/>
          <w:szCs w:val="22"/>
        </w:rPr>
        <w:t>s</w:t>
      </w:r>
      <w:r w:rsidR="00E92610" w:rsidRPr="00F0794C">
        <w:rPr>
          <w:rFonts w:asciiTheme="minorHAnsi" w:hAnsiTheme="minorHAnsi"/>
          <w:b w:val="0"/>
          <w:szCs w:val="22"/>
        </w:rPr>
        <w:t xml:space="preserve"> are undertaken in the public interest.</w:t>
      </w:r>
    </w:p>
    <w:p w:rsidR="00E92610" w:rsidRPr="00F0794C" w:rsidRDefault="00E92610" w:rsidP="004B5863">
      <w:pPr>
        <w:pStyle w:val="BodyText2"/>
        <w:numPr>
          <w:ilvl w:val="0"/>
          <w:numId w:val="9"/>
        </w:numPr>
        <w:jc w:val="both"/>
        <w:rPr>
          <w:rFonts w:asciiTheme="minorHAnsi" w:hAnsiTheme="minorHAnsi"/>
          <w:b w:val="0"/>
          <w:szCs w:val="22"/>
        </w:rPr>
      </w:pPr>
      <w:r w:rsidRPr="00F0794C">
        <w:rPr>
          <w:rFonts w:asciiTheme="minorHAnsi" w:hAnsiTheme="minorHAnsi"/>
          <w:b w:val="0"/>
          <w:szCs w:val="22"/>
        </w:rPr>
        <w:t xml:space="preserve">Clear and transparent public infrastructure service standards. </w:t>
      </w:r>
    </w:p>
    <w:p w:rsidR="00E92610" w:rsidRPr="00F0794C" w:rsidRDefault="00E92610" w:rsidP="004B5863">
      <w:pPr>
        <w:pStyle w:val="BodyText2"/>
        <w:numPr>
          <w:ilvl w:val="0"/>
          <w:numId w:val="9"/>
        </w:numPr>
        <w:jc w:val="both"/>
        <w:rPr>
          <w:rFonts w:asciiTheme="minorHAnsi" w:hAnsiTheme="minorHAnsi"/>
          <w:b w:val="0"/>
          <w:szCs w:val="22"/>
        </w:rPr>
      </w:pPr>
      <w:r w:rsidRPr="00F0794C">
        <w:rPr>
          <w:rFonts w:asciiTheme="minorHAnsi" w:hAnsiTheme="minorHAnsi"/>
          <w:b w:val="0"/>
          <w:szCs w:val="22"/>
        </w:rPr>
        <w:t>Effective processes, procedure</w:t>
      </w:r>
      <w:r w:rsidR="004E35A9" w:rsidRPr="00F0794C">
        <w:rPr>
          <w:rFonts w:asciiTheme="minorHAnsi" w:hAnsiTheme="minorHAnsi"/>
          <w:b w:val="0"/>
          <w:szCs w:val="22"/>
        </w:rPr>
        <w:t>s</w:t>
      </w:r>
      <w:r w:rsidRPr="00F0794C">
        <w:rPr>
          <w:rFonts w:asciiTheme="minorHAnsi" w:hAnsiTheme="minorHAnsi"/>
          <w:b w:val="0"/>
          <w:szCs w:val="22"/>
        </w:rPr>
        <w:t xml:space="preserve"> and policy guidelines for planning and selecting public infrastructure projects, including rigorous </w:t>
      </w:r>
      <w:r w:rsidR="004E35A9" w:rsidRPr="00F0794C">
        <w:rPr>
          <w:rFonts w:asciiTheme="minorHAnsi" w:hAnsiTheme="minorHAnsi"/>
          <w:b w:val="0"/>
          <w:szCs w:val="22"/>
        </w:rPr>
        <w:t>application</w:t>
      </w:r>
      <w:r w:rsidRPr="00F0794C">
        <w:rPr>
          <w:rFonts w:asciiTheme="minorHAnsi" w:hAnsiTheme="minorHAnsi"/>
          <w:b w:val="0"/>
          <w:szCs w:val="22"/>
        </w:rPr>
        <w:t xml:space="preserve"> of cost benefit analysis and transparency in cost benefit assessments, public consultation and public reporting of the decision (including transparent review of the decision by an ind</w:t>
      </w:r>
      <w:r w:rsidR="00161A38">
        <w:rPr>
          <w:rFonts w:asciiTheme="minorHAnsi" w:hAnsiTheme="minorHAnsi"/>
          <w:b w:val="0"/>
          <w:szCs w:val="22"/>
        </w:rPr>
        <w:t>ependent body, for example, an Auditor G</w:t>
      </w:r>
      <w:r w:rsidRPr="00F0794C">
        <w:rPr>
          <w:rFonts w:asciiTheme="minorHAnsi" w:hAnsiTheme="minorHAnsi"/>
          <w:b w:val="0"/>
          <w:szCs w:val="22"/>
        </w:rPr>
        <w:t xml:space="preserve">eneral or </w:t>
      </w:r>
      <w:r w:rsidR="005F5568" w:rsidRPr="00F0794C">
        <w:rPr>
          <w:rFonts w:asciiTheme="minorHAnsi" w:hAnsiTheme="minorHAnsi"/>
          <w:b w:val="0"/>
          <w:szCs w:val="22"/>
        </w:rPr>
        <w:t xml:space="preserve">Infrastructure </w:t>
      </w:r>
      <w:r w:rsidRPr="00F0794C">
        <w:rPr>
          <w:rFonts w:asciiTheme="minorHAnsi" w:hAnsiTheme="minorHAnsi"/>
          <w:b w:val="0"/>
          <w:szCs w:val="22"/>
        </w:rPr>
        <w:t>A</w:t>
      </w:r>
      <w:r w:rsidR="005F5568" w:rsidRPr="00F0794C">
        <w:rPr>
          <w:rFonts w:asciiTheme="minorHAnsi" w:hAnsiTheme="minorHAnsi"/>
          <w:b w:val="0"/>
          <w:szCs w:val="22"/>
        </w:rPr>
        <w:t>ustralia</w:t>
      </w:r>
      <w:r w:rsidRPr="00F0794C">
        <w:rPr>
          <w:rFonts w:asciiTheme="minorHAnsi" w:hAnsiTheme="minorHAnsi"/>
          <w:b w:val="0"/>
          <w:szCs w:val="22"/>
        </w:rPr>
        <w:t>).</w:t>
      </w:r>
    </w:p>
    <w:p w:rsidR="00E92610" w:rsidRPr="00F0794C" w:rsidRDefault="00E92610" w:rsidP="004B5863">
      <w:pPr>
        <w:pStyle w:val="BodyText2"/>
        <w:numPr>
          <w:ilvl w:val="0"/>
          <w:numId w:val="9"/>
        </w:numPr>
        <w:jc w:val="both"/>
        <w:rPr>
          <w:rFonts w:asciiTheme="minorHAnsi" w:hAnsiTheme="minorHAnsi"/>
          <w:b w:val="0"/>
          <w:szCs w:val="22"/>
        </w:rPr>
      </w:pPr>
      <w:r w:rsidRPr="00F0794C">
        <w:rPr>
          <w:rFonts w:asciiTheme="minorHAnsi" w:hAnsiTheme="minorHAnsi"/>
          <w:b w:val="0"/>
          <w:szCs w:val="22"/>
        </w:rPr>
        <w:t xml:space="preserve">Efficient allocation and monitoring of project risks between government and the private sector. </w:t>
      </w:r>
    </w:p>
    <w:p w:rsidR="00E92610" w:rsidRPr="00F0794C" w:rsidRDefault="00E92610" w:rsidP="004B5863">
      <w:pPr>
        <w:pStyle w:val="BodyText2"/>
        <w:numPr>
          <w:ilvl w:val="0"/>
          <w:numId w:val="9"/>
        </w:numPr>
        <w:jc w:val="both"/>
        <w:rPr>
          <w:rFonts w:asciiTheme="minorHAnsi" w:hAnsiTheme="minorHAnsi"/>
          <w:b w:val="0"/>
          <w:szCs w:val="22"/>
        </w:rPr>
      </w:pPr>
      <w:r w:rsidRPr="00F0794C">
        <w:rPr>
          <w:rFonts w:asciiTheme="minorHAnsi" w:hAnsiTheme="minorHAnsi"/>
          <w:b w:val="0"/>
          <w:szCs w:val="22"/>
        </w:rPr>
        <w:t>Use of transparent and competitive processes for the selection of private sector partners for the design, financing, construction maintenance and/or operation of public infrastructure.</w:t>
      </w:r>
    </w:p>
    <w:p w:rsidR="00E92610" w:rsidRPr="00F0794C" w:rsidRDefault="00E92610" w:rsidP="004B5863">
      <w:pPr>
        <w:pStyle w:val="BodyText2"/>
        <w:numPr>
          <w:ilvl w:val="0"/>
          <w:numId w:val="9"/>
        </w:numPr>
        <w:jc w:val="both"/>
        <w:rPr>
          <w:rFonts w:asciiTheme="minorHAnsi" w:hAnsiTheme="minorHAnsi"/>
          <w:b w:val="0"/>
          <w:szCs w:val="22"/>
        </w:rPr>
      </w:pPr>
      <w:r w:rsidRPr="00F0794C">
        <w:rPr>
          <w:rFonts w:asciiTheme="minorHAnsi" w:hAnsiTheme="minorHAnsi"/>
          <w:b w:val="0"/>
          <w:szCs w:val="22"/>
        </w:rPr>
        <w:t>Sufficiently skilled</w:t>
      </w:r>
      <w:r w:rsidR="004E35A9" w:rsidRPr="00F0794C">
        <w:rPr>
          <w:rFonts w:asciiTheme="minorHAnsi" w:hAnsiTheme="minorHAnsi"/>
          <w:b w:val="0"/>
          <w:szCs w:val="22"/>
        </w:rPr>
        <w:t xml:space="preserve"> public sector</w:t>
      </w:r>
      <w:r w:rsidRPr="00F0794C">
        <w:rPr>
          <w:rFonts w:asciiTheme="minorHAnsi" w:hAnsiTheme="minorHAnsi"/>
          <w:b w:val="0"/>
          <w:szCs w:val="22"/>
        </w:rPr>
        <w:t xml:space="preserve"> employees who are responsible and accountable for performing their functions. </w:t>
      </w:r>
    </w:p>
    <w:p w:rsidR="00E92610" w:rsidRPr="00F0794C" w:rsidRDefault="00E92610" w:rsidP="004B5863">
      <w:pPr>
        <w:pStyle w:val="BodyText2"/>
        <w:numPr>
          <w:ilvl w:val="0"/>
          <w:numId w:val="9"/>
        </w:numPr>
        <w:jc w:val="both"/>
        <w:rPr>
          <w:rFonts w:asciiTheme="minorHAnsi" w:hAnsiTheme="minorHAnsi"/>
          <w:b w:val="0"/>
          <w:szCs w:val="22"/>
        </w:rPr>
      </w:pPr>
      <w:r w:rsidRPr="00F0794C">
        <w:rPr>
          <w:rFonts w:asciiTheme="minorHAnsi" w:hAnsiTheme="minorHAnsi"/>
          <w:b w:val="0"/>
          <w:szCs w:val="22"/>
        </w:rPr>
        <w:t xml:space="preserve">Principles and processes for selecting efficient financing mechanisms and transparency of financing arrangements. </w:t>
      </w:r>
    </w:p>
    <w:p w:rsidR="00E92610" w:rsidRPr="00F0794C" w:rsidRDefault="00E92610" w:rsidP="004B5863">
      <w:pPr>
        <w:pStyle w:val="BodyText2"/>
        <w:numPr>
          <w:ilvl w:val="0"/>
          <w:numId w:val="9"/>
        </w:numPr>
        <w:jc w:val="both"/>
        <w:rPr>
          <w:rFonts w:asciiTheme="minorHAnsi" w:hAnsiTheme="minorHAnsi"/>
          <w:b w:val="0"/>
          <w:szCs w:val="22"/>
        </w:rPr>
      </w:pPr>
      <w:r w:rsidRPr="00F0794C">
        <w:rPr>
          <w:rFonts w:asciiTheme="minorHAnsi" w:hAnsiTheme="minorHAnsi"/>
          <w:b w:val="0"/>
          <w:szCs w:val="22"/>
        </w:rPr>
        <w:t xml:space="preserve">Performance reporting and independent evaluation of public infrastructure project performance. </w:t>
      </w:r>
      <w:r w:rsidRPr="00F0794C">
        <w:rPr>
          <w:rStyle w:val="FootnoteReference"/>
          <w:rFonts w:asciiTheme="minorHAnsi" w:hAnsiTheme="minorHAnsi"/>
          <w:b w:val="0"/>
          <w:szCs w:val="22"/>
        </w:rPr>
        <w:footnoteReference w:id="3"/>
      </w:r>
    </w:p>
    <w:p w:rsidR="00C42DF2" w:rsidRPr="00F0794C" w:rsidRDefault="00C42DF2" w:rsidP="004B5863">
      <w:pPr>
        <w:pStyle w:val="BodyText2"/>
        <w:jc w:val="both"/>
        <w:rPr>
          <w:rFonts w:asciiTheme="minorHAnsi" w:hAnsiTheme="minorHAnsi"/>
          <w:b w:val="0"/>
          <w:szCs w:val="22"/>
        </w:rPr>
      </w:pPr>
    </w:p>
    <w:p w:rsidR="00E92610" w:rsidRPr="00F0794C" w:rsidRDefault="00E92610" w:rsidP="004B5863">
      <w:pPr>
        <w:pStyle w:val="BodyText2"/>
        <w:jc w:val="both"/>
        <w:rPr>
          <w:rFonts w:asciiTheme="minorHAnsi" w:hAnsiTheme="minorHAnsi"/>
          <w:b w:val="0"/>
          <w:szCs w:val="22"/>
        </w:rPr>
      </w:pPr>
      <w:r w:rsidRPr="00F0794C">
        <w:rPr>
          <w:rFonts w:asciiTheme="minorHAnsi" w:hAnsiTheme="minorHAnsi"/>
          <w:b w:val="0"/>
          <w:szCs w:val="22"/>
        </w:rPr>
        <w:t>As noted in the report,</w:t>
      </w:r>
      <w:r w:rsidR="00AF4868" w:rsidRPr="00F0794C">
        <w:rPr>
          <w:rFonts w:asciiTheme="minorHAnsi" w:hAnsiTheme="minorHAnsi"/>
          <w:b w:val="0"/>
          <w:szCs w:val="22"/>
        </w:rPr>
        <w:t xml:space="preserve"> grants currently given by the C</w:t>
      </w:r>
      <w:r w:rsidRPr="00F0794C">
        <w:rPr>
          <w:rFonts w:asciiTheme="minorHAnsi" w:hAnsiTheme="minorHAnsi"/>
          <w:b w:val="0"/>
          <w:szCs w:val="22"/>
        </w:rPr>
        <w:t>ommonwealth to states and local government</w:t>
      </w:r>
      <w:r w:rsidR="00161A38">
        <w:rPr>
          <w:rFonts w:asciiTheme="minorHAnsi" w:hAnsiTheme="minorHAnsi"/>
          <w:b w:val="0"/>
          <w:szCs w:val="22"/>
        </w:rPr>
        <w:t>s</w:t>
      </w:r>
      <w:r w:rsidRPr="00F0794C">
        <w:rPr>
          <w:rFonts w:asciiTheme="minorHAnsi" w:hAnsiTheme="minorHAnsi"/>
          <w:b w:val="0"/>
          <w:szCs w:val="22"/>
        </w:rPr>
        <w:t xml:space="preserve"> are not </w:t>
      </w:r>
      <w:r w:rsidR="00AF4868" w:rsidRPr="00F0794C">
        <w:rPr>
          <w:rFonts w:asciiTheme="minorHAnsi" w:hAnsiTheme="minorHAnsi"/>
          <w:b w:val="0"/>
          <w:szCs w:val="22"/>
        </w:rPr>
        <w:t>made</w:t>
      </w:r>
      <w:r w:rsidRPr="00F0794C">
        <w:rPr>
          <w:rFonts w:asciiTheme="minorHAnsi" w:hAnsiTheme="minorHAnsi"/>
          <w:b w:val="0"/>
          <w:szCs w:val="22"/>
        </w:rPr>
        <w:t xml:space="preserve"> on </w:t>
      </w:r>
      <w:r w:rsidR="00AF4868" w:rsidRPr="00F0794C">
        <w:rPr>
          <w:rFonts w:asciiTheme="minorHAnsi" w:hAnsiTheme="minorHAnsi"/>
          <w:b w:val="0"/>
          <w:szCs w:val="22"/>
        </w:rPr>
        <w:t xml:space="preserve">a </w:t>
      </w:r>
      <w:r w:rsidRPr="00F0794C">
        <w:rPr>
          <w:rFonts w:asciiTheme="minorHAnsi" w:hAnsiTheme="minorHAnsi"/>
          <w:b w:val="0"/>
          <w:szCs w:val="22"/>
        </w:rPr>
        <w:t>condition</w:t>
      </w:r>
      <w:r w:rsidR="00AF4868" w:rsidRPr="00F0794C">
        <w:rPr>
          <w:rFonts w:asciiTheme="minorHAnsi" w:hAnsiTheme="minorHAnsi"/>
          <w:b w:val="0"/>
          <w:szCs w:val="22"/>
        </w:rPr>
        <w:t>al basis</w:t>
      </w:r>
      <w:r w:rsidRPr="00F0794C">
        <w:rPr>
          <w:rFonts w:asciiTheme="minorHAnsi" w:hAnsiTheme="minorHAnsi"/>
          <w:b w:val="0"/>
          <w:szCs w:val="22"/>
        </w:rPr>
        <w:t xml:space="preserve">. This means that there </w:t>
      </w:r>
      <w:r w:rsidR="00B6100E" w:rsidRPr="00F0794C">
        <w:rPr>
          <w:rFonts w:asciiTheme="minorHAnsi" w:hAnsiTheme="minorHAnsi"/>
          <w:b w:val="0"/>
          <w:szCs w:val="22"/>
        </w:rPr>
        <w:t xml:space="preserve">are </w:t>
      </w:r>
      <w:r w:rsidRPr="00F0794C">
        <w:rPr>
          <w:rFonts w:asciiTheme="minorHAnsi" w:hAnsiTheme="minorHAnsi"/>
          <w:b w:val="0"/>
          <w:szCs w:val="22"/>
        </w:rPr>
        <w:t>loose</w:t>
      </w:r>
      <w:r w:rsidR="00592A37" w:rsidRPr="00F0794C">
        <w:rPr>
          <w:rFonts w:asciiTheme="minorHAnsi" w:hAnsiTheme="minorHAnsi"/>
          <w:b w:val="0"/>
          <w:szCs w:val="22"/>
        </w:rPr>
        <w:t xml:space="preserve"> </w:t>
      </w:r>
      <w:r w:rsidRPr="00F0794C">
        <w:rPr>
          <w:rFonts w:asciiTheme="minorHAnsi" w:hAnsiTheme="minorHAnsi"/>
          <w:b w:val="0"/>
          <w:szCs w:val="22"/>
        </w:rPr>
        <w:t>guideline</w:t>
      </w:r>
      <w:r w:rsidR="00B6100E" w:rsidRPr="00F0794C">
        <w:rPr>
          <w:rFonts w:asciiTheme="minorHAnsi" w:hAnsiTheme="minorHAnsi"/>
          <w:b w:val="0"/>
          <w:szCs w:val="22"/>
        </w:rPr>
        <w:t>s</w:t>
      </w:r>
      <w:r w:rsidRPr="00F0794C">
        <w:rPr>
          <w:rFonts w:asciiTheme="minorHAnsi" w:hAnsiTheme="minorHAnsi"/>
          <w:b w:val="0"/>
          <w:szCs w:val="22"/>
        </w:rPr>
        <w:t xml:space="preserve"> </w:t>
      </w:r>
      <w:r w:rsidR="00592A37" w:rsidRPr="00F0794C">
        <w:rPr>
          <w:rFonts w:asciiTheme="minorHAnsi" w:hAnsiTheme="minorHAnsi"/>
          <w:b w:val="0"/>
          <w:szCs w:val="22"/>
        </w:rPr>
        <w:t xml:space="preserve">governing </w:t>
      </w:r>
      <w:r w:rsidRPr="00F0794C">
        <w:rPr>
          <w:rFonts w:asciiTheme="minorHAnsi" w:hAnsiTheme="minorHAnsi"/>
          <w:b w:val="0"/>
          <w:szCs w:val="22"/>
        </w:rPr>
        <w:t xml:space="preserve">where monies originally earmarked for roads are spent. </w:t>
      </w:r>
    </w:p>
    <w:p w:rsidR="00972D62" w:rsidRPr="00F0794C" w:rsidRDefault="00972D62" w:rsidP="004B5863">
      <w:pPr>
        <w:pStyle w:val="BodyText2"/>
        <w:jc w:val="both"/>
        <w:rPr>
          <w:rFonts w:asciiTheme="minorHAnsi" w:hAnsiTheme="minorHAnsi"/>
          <w:b w:val="0"/>
          <w:szCs w:val="22"/>
        </w:rPr>
      </w:pPr>
    </w:p>
    <w:p w:rsidR="00E92610" w:rsidRPr="00F0794C" w:rsidRDefault="00E92610" w:rsidP="004B5863">
      <w:pPr>
        <w:pStyle w:val="BodyText2"/>
        <w:jc w:val="both"/>
        <w:rPr>
          <w:rFonts w:asciiTheme="minorHAnsi" w:hAnsiTheme="minorHAnsi"/>
          <w:b w:val="0"/>
          <w:szCs w:val="22"/>
        </w:rPr>
      </w:pPr>
      <w:r w:rsidRPr="00F0794C">
        <w:rPr>
          <w:rFonts w:asciiTheme="minorHAnsi" w:hAnsiTheme="minorHAnsi"/>
          <w:b w:val="0"/>
          <w:szCs w:val="22"/>
        </w:rPr>
        <w:t>We also st</w:t>
      </w:r>
      <w:r w:rsidR="00592A37" w:rsidRPr="00F0794C">
        <w:rPr>
          <w:rFonts w:asciiTheme="minorHAnsi" w:hAnsiTheme="minorHAnsi"/>
          <w:b w:val="0"/>
          <w:szCs w:val="22"/>
        </w:rPr>
        <w:t>rongly support the request for Commonwealth</w:t>
      </w:r>
      <w:r w:rsidRPr="00F0794C">
        <w:rPr>
          <w:rFonts w:asciiTheme="minorHAnsi" w:hAnsiTheme="minorHAnsi"/>
          <w:b w:val="0"/>
          <w:szCs w:val="22"/>
        </w:rPr>
        <w:t xml:space="preserve"> funding </w:t>
      </w:r>
      <w:r w:rsidR="00592A37" w:rsidRPr="00F0794C">
        <w:rPr>
          <w:rFonts w:asciiTheme="minorHAnsi" w:hAnsiTheme="minorHAnsi"/>
          <w:b w:val="0"/>
          <w:szCs w:val="22"/>
        </w:rPr>
        <w:t>as</w:t>
      </w:r>
      <w:r w:rsidR="00B6100E" w:rsidRPr="00F0794C">
        <w:rPr>
          <w:rFonts w:asciiTheme="minorHAnsi" w:hAnsiTheme="minorHAnsi"/>
          <w:b w:val="0"/>
          <w:szCs w:val="22"/>
        </w:rPr>
        <w:t xml:space="preserve"> </w:t>
      </w:r>
      <w:r w:rsidRPr="00F0794C">
        <w:rPr>
          <w:rFonts w:asciiTheme="minorHAnsi" w:hAnsiTheme="minorHAnsi"/>
          <w:b w:val="0"/>
          <w:szCs w:val="22"/>
        </w:rPr>
        <w:t xml:space="preserve">conditional on compliance with a set of good practice governance principles and policy processes. </w:t>
      </w:r>
    </w:p>
    <w:p w:rsidR="00E92610" w:rsidRPr="00F0794C" w:rsidRDefault="00E92610" w:rsidP="004B5863">
      <w:pPr>
        <w:pStyle w:val="BodyText2"/>
        <w:jc w:val="both"/>
        <w:rPr>
          <w:rFonts w:asciiTheme="minorHAnsi" w:hAnsiTheme="minorHAnsi"/>
          <w:b w:val="0"/>
          <w:szCs w:val="22"/>
        </w:rPr>
      </w:pPr>
    </w:p>
    <w:p w:rsidR="00E92610" w:rsidRPr="00F0794C" w:rsidRDefault="00E92610" w:rsidP="004B5863">
      <w:pPr>
        <w:pStyle w:val="BodyText2"/>
        <w:jc w:val="both"/>
        <w:rPr>
          <w:rFonts w:asciiTheme="minorHAnsi" w:hAnsiTheme="minorHAnsi"/>
          <w:b w:val="0"/>
          <w:szCs w:val="22"/>
        </w:rPr>
      </w:pPr>
      <w:r w:rsidRPr="00F0794C">
        <w:rPr>
          <w:rFonts w:asciiTheme="minorHAnsi" w:hAnsiTheme="minorHAnsi"/>
          <w:b w:val="0"/>
          <w:szCs w:val="22"/>
        </w:rPr>
        <w:t xml:space="preserve">The Commission suggests a sensible set of conditions for funding: </w:t>
      </w:r>
    </w:p>
    <w:p w:rsidR="00E92610" w:rsidRPr="00F0794C" w:rsidRDefault="005F5568" w:rsidP="004B5863">
      <w:pPr>
        <w:pStyle w:val="BodyText2"/>
        <w:numPr>
          <w:ilvl w:val="0"/>
          <w:numId w:val="12"/>
        </w:numPr>
        <w:jc w:val="both"/>
        <w:rPr>
          <w:rFonts w:asciiTheme="minorHAnsi" w:hAnsiTheme="minorHAnsi"/>
          <w:b w:val="0"/>
          <w:szCs w:val="22"/>
        </w:rPr>
      </w:pPr>
      <w:proofErr w:type="gramStart"/>
      <w:r w:rsidRPr="00F0794C">
        <w:rPr>
          <w:rFonts w:asciiTheme="minorHAnsi" w:hAnsiTheme="minorHAnsi"/>
          <w:b w:val="0"/>
          <w:szCs w:val="22"/>
        </w:rPr>
        <w:t>Use of effective cost benefit</w:t>
      </w:r>
      <w:proofErr w:type="gramEnd"/>
      <w:r w:rsidRPr="00F0794C">
        <w:rPr>
          <w:rFonts w:asciiTheme="minorHAnsi" w:hAnsiTheme="minorHAnsi"/>
          <w:b w:val="0"/>
          <w:szCs w:val="22"/>
        </w:rPr>
        <w:t xml:space="preserve"> analysis</w:t>
      </w:r>
      <w:r w:rsidR="00E92610" w:rsidRPr="00F0794C">
        <w:rPr>
          <w:rFonts w:asciiTheme="minorHAnsi" w:hAnsiTheme="minorHAnsi"/>
          <w:b w:val="0"/>
          <w:szCs w:val="22"/>
        </w:rPr>
        <w:t xml:space="preserve"> and transparency assessments including the methodology and assumptions. </w:t>
      </w:r>
    </w:p>
    <w:p w:rsidR="00E92610" w:rsidRPr="00F0794C" w:rsidRDefault="00E92610" w:rsidP="004B5863">
      <w:pPr>
        <w:pStyle w:val="BodyText2"/>
        <w:numPr>
          <w:ilvl w:val="0"/>
          <w:numId w:val="11"/>
        </w:numPr>
        <w:jc w:val="both"/>
        <w:rPr>
          <w:rFonts w:asciiTheme="minorHAnsi" w:hAnsiTheme="minorHAnsi"/>
          <w:b w:val="0"/>
          <w:szCs w:val="22"/>
        </w:rPr>
      </w:pPr>
      <w:r w:rsidRPr="00F0794C">
        <w:rPr>
          <w:rFonts w:asciiTheme="minorHAnsi" w:hAnsiTheme="minorHAnsi"/>
          <w:b w:val="0"/>
          <w:szCs w:val="22"/>
        </w:rPr>
        <w:t xml:space="preserve">Evidence of demonstrable net public benefits from the project which is not obtainable without Australian Government support. </w:t>
      </w:r>
    </w:p>
    <w:p w:rsidR="00E92610" w:rsidRPr="00F0794C" w:rsidRDefault="00E92610" w:rsidP="004B5863">
      <w:pPr>
        <w:pStyle w:val="BodyText2"/>
        <w:numPr>
          <w:ilvl w:val="0"/>
          <w:numId w:val="11"/>
        </w:numPr>
        <w:jc w:val="both"/>
        <w:rPr>
          <w:rFonts w:asciiTheme="minorHAnsi" w:hAnsiTheme="minorHAnsi"/>
          <w:b w:val="0"/>
          <w:szCs w:val="22"/>
        </w:rPr>
      </w:pPr>
      <w:r w:rsidRPr="00F0794C">
        <w:rPr>
          <w:rFonts w:asciiTheme="minorHAnsi" w:hAnsiTheme="minorHAnsi"/>
          <w:b w:val="0"/>
          <w:szCs w:val="22"/>
        </w:rPr>
        <w:t xml:space="preserve">Evidence that competitive processes will be used for the selection of financing, design, construction, maintenance and operation of public infrastructure services where these tasks have been outsourced to the private sector. </w:t>
      </w:r>
    </w:p>
    <w:p w:rsidR="00E92610" w:rsidRPr="00F0794C" w:rsidRDefault="00B91ACE" w:rsidP="004B5863">
      <w:pPr>
        <w:pStyle w:val="BodyText2"/>
        <w:numPr>
          <w:ilvl w:val="0"/>
          <w:numId w:val="11"/>
        </w:numPr>
        <w:jc w:val="both"/>
        <w:rPr>
          <w:rFonts w:asciiTheme="minorHAnsi" w:hAnsiTheme="minorHAnsi"/>
          <w:b w:val="0"/>
          <w:szCs w:val="22"/>
        </w:rPr>
      </w:pPr>
      <w:r>
        <w:rPr>
          <w:rFonts w:asciiTheme="minorHAnsi" w:hAnsiTheme="minorHAnsi"/>
          <w:b w:val="0"/>
          <w:szCs w:val="22"/>
        </w:rPr>
        <w:t>Ex-</w:t>
      </w:r>
      <w:r w:rsidR="00E92610" w:rsidRPr="00F0794C">
        <w:rPr>
          <w:rFonts w:asciiTheme="minorHAnsi" w:hAnsiTheme="minorHAnsi"/>
          <w:b w:val="0"/>
          <w:szCs w:val="22"/>
        </w:rPr>
        <w:t xml:space="preserve">post evaluation and publication of public infrastructure project outcomes. </w:t>
      </w:r>
    </w:p>
    <w:p w:rsidR="00F0794C" w:rsidRPr="00B91ACE" w:rsidRDefault="00E92610" w:rsidP="00B91ACE">
      <w:pPr>
        <w:pStyle w:val="BodyText2"/>
        <w:numPr>
          <w:ilvl w:val="0"/>
          <w:numId w:val="11"/>
        </w:numPr>
        <w:jc w:val="both"/>
        <w:rPr>
          <w:rFonts w:asciiTheme="minorHAnsi" w:hAnsiTheme="minorHAnsi"/>
          <w:b w:val="0"/>
          <w:szCs w:val="22"/>
        </w:rPr>
      </w:pPr>
      <w:r w:rsidRPr="00F0794C">
        <w:rPr>
          <w:rFonts w:asciiTheme="minorHAnsi" w:hAnsiTheme="minorHAnsi"/>
          <w:b w:val="0"/>
          <w:szCs w:val="22"/>
        </w:rPr>
        <w:t xml:space="preserve">Consultation on the criteria to be applied and any potential implementation issues associated with such an approach should be undertaken with local, </w:t>
      </w:r>
      <w:r w:rsidR="00B6100E" w:rsidRPr="00F0794C">
        <w:rPr>
          <w:rFonts w:asciiTheme="minorHAnsi" w:hAnsiTheme="minorHAnsi"/>
          <w:b w:val="0"/>
          <w:szCs w:val="22"/>
        </w:rPr>
        <w:t>state and territory g</w:t>
      </w:r>
      <w:r w:rsidRPr="00F0794C">
        <w:rPr>
          <w:rFonts w:asciiTheme="minorHAnsi" w:hAnsiTheme="minorHAnsi"/>
          <w:b w:val="0"/>
          <w:szCs w:val="22"/>
        </w:rPr>
        <w:t>overnments.</w:t>
      </w:r>
    </w:p>
    <w:p w:rsidR="00E92610" w:rsidRPr="00F0794C" w:rsidRDefault="00E92610" w:rsidP="004B5863">
      <w:pPr>
        <w:pStyle w:val="BodyText2"/>
        <w:numPr>
          <w:ilvl w:val="0"/>
          <w:numId w:val="11"/>
        </w:numPr>
        <w:jc w:val="both"/>
        <w:rPr>
          <w:rFonts w:asciiTheme="minorHAnsi" w:hAnsiTheme="minorHAnsi"/>
          <w:b w:val="0"/>
          <w:szCs w:val="22"/>
        </w:rPr>
      </w:pPr>
      <w:r w:rsidRPr="00F0794C">
        <w:rPr>
          <w:rFonts w:asciiTheme="minorHAnsi" w:hAnsiTheme="minorHAnsi"/>
          <w:b w:val="0"/>
          <w:szCs w:val="22"/>
        </w:rPr>
        <w:t xml:space="preserve">All governments should be encouraged to apply the above principles and actions to their own-funded projects. </w:t>
      </w:r>
      <w:r w:rsidRPr="00F0794C">
        <w:rPr>
          <w:rStyle w:val="FootnoteReference"/>
          <w:rFonts w:asciiTheme="minorHAnsi" w:hAnsiTheme="minorHAnsi"/>
          <w:b w:val="0"/>
          <w:szCs w:val="22"/>
        </w:rPr>
        <w:footnoteReference w:id="4"/>
      </w:r>
    </w:p>
    <w:p w:rsidR="00E92610" w:rsidRPr="00F0794C" w:rsidRDefault="00E92610" w:rsidP="004B5863">
      <w:pPr>
        <w:pStyle w:val="BodyText2"/>
        <w:jc w:val="both"/>
        <w:rPr>
          <w:rFonts w:asciiTheme="minorHAnsi" w:hAnsiTheme="minorHAnsi"/>
          <w:b w:val="0"/>
          <w:szCs w:val="22"/>
        </w:rPr>
      </w:pPr>
    </w:p>
    <w:p w:rsidR="005F5568" w:rsidRPr="00F0794C" w:rsidRDefault="005F5568" w:rsidP="004B5863">
      <w:pPr>
        <w:pStyle w:val="BodyText2"/>
        <w:jc w:val="both"/>
        <w:rPr>
          <w:rFonts w:asciiTheme="minorHAnsi" w:hAnsiTheme="minorHAnsi"/>
          <w:b w:val="0"/>
          <w:szCs w:val="22"/>
        </w:rPr>
      </w:pPr>
    </w:p>
    <w:p w:rsidR="00CC7910" w:rsidRPr="00F0794C" w:rsidRDefault="00B91ACE" w:rsidP="004B5863">
      <w:pPr>
        <w:pStyle w:val="BodyText2"/>
        <w:jc w:val="both"/>
        <w:rPr>
          <w:rFonts w:asciiTheme="minorHAnsi" w:hAnsiTheme="minorHAnsi"/>
          <w:b w:val="0"/>
          <w:szCs w:val="22"/>
        </w:rPr>
      </w:pPr>
      <w:r>
        <w:rPr>
          <w:rFonts w:asciiTheme="minorHAnsi" w:hAnsiTheme="minorHAnsi"/>
          <w:b w:val="0"/>
          <w:szCs w:val="22"/>
        </w:rPr>
        <w:lastRenderedPageBreak/>
        <w:t>T</w:t>
      </w:r>
      <w:r w:rsidR="00CC7910" w:rsidRPr="00F0794C">
        <w:rPr>
          <w:rFonts w:asciiTheme="minorHAnsi" w:hAnsiTheme="minorHAnsi"/>
          <w:b w:val="0"/>
          <w:szCs w:val="22"/>
        </w:rPr>
        <w:t xml:space="preserve">he ATA does not support user charges in one </w:t>
      </w:r>
      <w:r w:rsidR="00ED480D" w:rsidRPr="00F0794C">
        <w:rPr>
          <w:rFonts w:asciiTheme="minorHAnsi" w:hAnsiTheme="minorHAnsi"/>
          <w:b w:val="0"/>
          <w:szCs w:val="22"/>
        </w:rPr>
        <w:t xml:space="preserve">transport </w:t>
      </w:r>
      <w:r w:rsidR="00CC7910" w:rsidRPr="00F0794C">
        <w:rPr>
          <w:rFonts w:asciiTheme="minorHAnsi" w:hAnsiTheme="minorHAnsi"/>
          <w:b w:val="0"/>
          <w:szCs w:val="22"/>
        </w:rPr>
        <w:t>mode being redirected to</w:t>
      </w:r>
      <w:r w:rsidR="00ED480D" w:rsidRPr="00F0794C">
        <w:rPr>
          <w:rFonts w:asciiTheme="minorHAnsi" w:hAnsiTheme="minorHAnsi"/>
          <w:b w:val="0"/>
          <w:szCs w:val="22"/>
        </w:rPr>
        <w:t xml:space="preserve"> support</w:t>
      </w:r>
      <w:r w:rsidR="00CC7910" w:rsidRPr="00F0794C">
        <w:rPr>
          <w:rFonts w:asciiTheme="minorHAnsi" w:hAnsiTheme="minorHAnsi"/>
          <w:b w:val="0"/>
          <w:szCs w:val="22"/>
        </w:rPr>
        <w:t xml:space="preserve"> other modes. For example truck charges should not fund rail developments</w:t>
      </w:r>
      <w:r w:rsidR="00ED480D" w:rsidRPr="00F0794C">
        <w:rPr>
          <w:rFonts w:asciiTheme="minorHAnsi" w:hAnsiTheme="minorHAnsi"/>
          <w:b w:val="0"/>
          <w:szCs w:val="22"/>
        </w:rPr>
        <w:t>, as this is cross subsidisation between modes</w:t>
      </w:r>
      <w:r w:rsidR="00CC7910" w:rsidRPr="00F0794C">
        <w:rPr>
          <w:rFonts w:asciiTheme="minorHAnsi" w:hAnsiTheme="minorHAnsi"/>
          <w:b w:val="0"/>
          <w:szCs w:val="22"/>
        </w:rPr>
        <w:t xml:space="preserve">.  </w:t>
      </w:r>
    </w:p>
    <w:p w:rsidR="00CC7910" w:rsidRPr="00F0794C" w:rsidRDefault="00CC7910" w:rsidP="004B5863">
      <w:pPr>
        <w:pStyle w:val="BodyText2"/>
        <w:jc w:val="both"/>
        <w:rPr>
          <w:rFonts w:asciiTheme="minorHAnsi" w:hAnsiTheme="minorHAnsi"/>
          <w:b w:val="0"/>
          <w:szCs w:val="22"/>
        </w:rPr>
      </w:pPr>
    </w:p>
    <w:p w:rsidR="00E92610" w:rsidRPr="00F0794C" w:rsidRDefault="00E92610" w:rsidP="004B5863">
      <w:pPr>
        <w:pStyle w:val="BodyText2"/>
        <w:jc w:val="both"/>
        <w:rPr>
          <w:rFonts w:asciiTheme="minorHAnsi" w:hAnsiTheme="minorHAnsi"/>
          <w:b w:val="0"/>
          <w:szCs w:val="22"/>
        </w:rPr>
      </w:pPr>
      <w:r w:rsidRPr="00F0794C">
        <w:rPr>
          <w:rFonts w:asciiTheme="minorHAnsi" w:hAnsiTheme="minorHAnsi"/>
          <w:b w:val="0"/>
          <w:szCs w:val="22"/>
        </w:rPr>
        <w:t>We also share the Commission</w:t>
      </w:r>
      <w:r w:rsidR="00ED480D" w:rsidRPr="00F0794C">
        <w:rPr>
          <w:rFonts w:asciiTheme="minorHAnsi" w:hAnsiTheme="minorHAnsi"/>
          <w:b w:val="0"/>
          <w:szCs w:val="22"/>
        </w:rPr>
        <w:t>’</w:t>
      </w:r>
      <w:r w:rsidRPr="00F0794C">
        <w:rPr>
          <w:rFonts w:asciiTheme="minorHAnsi" w:hAnsiTheme="minorHAnsi"/>
          <w:b w:val="0"/>
          <w:szCs w:val="22"/>
        </w:rPr>
        <w:t xml:space="preserve">s view that the stagnation in </w:t>
      </w:r>
      <w:r w:rsidR="00ED480D" w:rsidRPr="00F0794C">
        <w:rPr>
          <w:rFonts w:asciiTheme="minorHAnsi" w:hAnsiTheme="minorHAnsi"/>
          <w:b w:val="0"/>
          <w:szCs w:val="22"/>
        </w:rPr>
        <w:t>the provision of</w:t>
      </w:r>
      <w:r w:rsidRPr="00F0794C">
        <w:rPr>
          <w:rFonts w:asciiTheme="minorHAnsi" w:hAnsiTheme="minorHAnsi"/>
          <w:b w:val="0"/>
          <w:szCs w:val="22"/>
        </w:rPr>
        <w:t xml:space="preserve"> the correct infrastructure is the reason why there should be nationwide reform that could be boosted through leverage from the Australian government’s large annual outlays of infrastructure funding for the states and territories.</w:t>
      </w:r>
      <w:r w:rsidRPr="00F0794C">
        <w:rPr>
          <w:rStyle w:val="FootnoteReference"/>
          <w:rFonts w:asciiTheme="minorHAnsi" w:hAnsiTheme="minorHAnsi"/>
          <w:b w:val="0"/>
          <w:szCs w:val="22"/>
        </w:rPr>
        <w:footnoteReference w:id="5"/>
      </w:r>
    </w:p>
    <w:p w:rsidR="00B279BF" w:rsidRPr="00F0794C" w:rsidRDefault="00B279BF" w:rsidP="004B5863">
      <w:pPr>
        <w:pStyle w:val="BodyText2"/>
        <w:jc w:val="both"/>
        <w:rPr>
          <w:rFonts w:asciiTheme="minorHAnsi" w:hAnsiTheme="minorHAnsi"/>
          <w:b w:val="0"/>
          <w:szCs w:val="22"/>
        </w:rPr>
      </w:pPr>
    </w:p>
    <w:p w:rsidR="00B279BF" w:rsidRPr="00F0794C" w:rsidRDefault="00B279BF" w:rsidP="004B5863">
      <w:pPr>
        <w:pStyle w:val="BodyText2"/>
        <w:jc w:val="both"/>
        <w:rPr>
          <w:rFonts w:asciiTheme="minorHAnsi" w:hAnsiTheme="minorHAnsi"/>
          <w:b w:val="0"/>
          <w:szCs w:val="22"/>
        </w:rPr>
      </w:pPr>
      <w:r w:rsidRPr="00F0794C">
        <w:rPr>
          <w:rFonts w:asciiTheme="minorHAnsi" w:hAnsiTheme="minorHAnsi"/>
          <w:b w:val="0"/>
          <w:szCs w:val="22"/>
        </w:rPr>
        <w:t xml:space="preserve">In order to add </w:t>
      </w:r>
      <w:r w:rsidR="00ED480D" w:rsidRPr="00F0794C">
        <w:rPr>
          <w:rFonts w:asciiTheme="minorHAnsi" w:hAnsiTheme="minorHAnsi"/>
          <w:b w:val="0"/>
          <w:szCs w:val="22"/>
        </w:rPr>
        <w:t xml:space="preserve">support for </w:t>
      </w:r>
      <w:r w:rsidRPr="00F0794C">
        <w:rPr>
          <w:rFonts w:asciiTheme="minorHAnsi" w:hAnsiTheme="minorHAnsi"/>
          <w:b w:val="0"/>
          <w:szCs w:val="22"/>
        </w:rPr>
        <w:t xml:space="preserve">the ATA view and the </w:t>
      </w:r>
      <w:r w:rsidR="00C42DF2" w:rsidRPr="00F0794C">
        <w:rPr>
          <w:rFonts w:asciiTheme="minorHAnsi" w:hAnsiTheme="minorHAnsi"/>
          <w:b w:val="0"/>
          <w:szCs w:val="22"/>
        </w:rPr>
        <w:t>Commission</w:t>
      </w:r>
      <w:r w:rsidR="00210AB6">
        <w:rPr>
          <w:rFonts w:asciiTheme="minorHAnsi" w:hAnsiTheme="minorHAnsi"/>
          <w:b w:val="0"/>
          <w:szCs w:val="22"/>
        </w:rPr>
        <w:t>’s</w:t>
      </w:r>
      <w:r w:rsidRPr="00F0794C">
        <w:rPr>
          <w:rFonts w:asciiTheme="minorHAnsi" w:hAnsiTheme="minorHAnsi"/>
          <w:b w:val="0"/>
          <w:szCs w:val="22"/>
        </w:rPr>
        <w:t xml:space="preserve"> recommendations we provide the case study below.  </w:t>
      </w:r>
    </w:p>
    <w:p w:rsidR="00EC4865" w:rsidRPr="00F0794C" w:rsidRDefault="00EC4865" w:rsidP="004B5863">
      <w:pPr>
        <w:pStyle w:val="BodyText2"/>
        <w:jc w:val="both"/>
        <w:rPr>
          <w:rFonts w:asciiTheme="minorHAnsi" w:hAnsiTheme="minorHAnsi"/>
          <w:b w:val="0"/>
          <w:szCs w:val="22"/>
        </w:rPr>
      </w:pPr>
    </w:p>
    <w:tbl>
      <w:tblPr>
        <w:tblStyle w:val="TableGrid"/>
        <w:tblW w:w="0" w:type="auto"/>
        <w:tblLook w:val="04A0"/>
      </w:tblPr>
      <w:tblGrid>
        <w:gridCol w:w="9854"/>
      </w:tblGrid>
      <w:tr w:rsidR="00EC4865" w:rsidRPr="00F0794C" w:rsidTr="00EC4865">
        <w:tc>
          <w:tcPr>
            <w:tcW w:w="9854" w:type="dxa"/>
          </w:tcPr>
          <w:p w:rsidR="00EC4865" w:rsidRPr="00F0794C" w:rsidRDefault="00EC4865" w:rsidP="004B5863">
            <w:pPr>
              <w:pStyle w:val="ATAHeading2"/>
              <w:numPr>
                <w:ilvl w:val="0"/>
                <w:numId w:val="0"/>
              </w:numPr>
              <w:spacing w:before="0" w:after="0"/>
              <w:jc w:val="both"/>
              <w:rPr>
                <w:rFonts w:asciiTheme="minorHAnsi" w:eastAsia="Times New Roman" w:hAnsiTheme="minorHAnsi"/>
                <w:b w:val="0"/>
                <w:bCs/>
                <w:color w:val="auto"/>
                <w:sz w:val="22"/>
                <w:szCs w:val="22"/>
                <w:u w:val="single"/>
              </w:rPr>
            </w:pPr>
            <w:bookmarkStart w:id="6" w:name="_Toc306957640"/>
            <w:bookmarkStart w:id="7" w:name="_Toc383691598"/>
            <w:bookmarkStart w:id="8" w:name="_Toc383764912"/>
            <w:bookmarkStart w:id="9" w:name="_Toc383765134"/>
            <w:bookmarkStart w:id="10" w:name="_Toc383771323"/>
            <w:bookmarkStart w:id="11" w:name="_Toc384105354"/>
            <w:r w:rsidRPr="00F0794C">
              <w:rPr>
                <w:rFonts w:asciiTheme="minorHAnsi" w:eastAsia="Times New Roman" w:hAnsiTheme="minorHAnsi"/>
                <w:b w:val="0"/>
                <w:bCs/>
                <w:color w:val="auto"/>
                <w:sz w:val="22"/>
                <w:szCs w:val="22"/>
                <w:u w:val="single"/>
              </w:rPr>
              <w:t>Case Study 1: audit report on the management of the Strategic Regional Program.</w:t>
            </w:r>
            <w:bookmarkEnd w:id="6"/>
            <w:bookmarkEnd w:id="7"/>
            <w:bookmarkEnd w:id="8"/>
            <w:bookmarkEnd w:id="9"/>
            <w:bookmarkEnd w:id="10"/>
            <w:bookmarkEnd w:id="11"/>
            <w:r w:rsidRPr="00F0794C">
              <w:rPr>
                <w:rFonts w:asciiTheme="minorHAnsi" w:eastAsia="Times New Roman" w:hAnsiTheme="minorHAnsi"/>
                <w:b w:val="0"/>
                <w:bCs/>
                <w:color w:val="auto"/>
                <w:sz w:val="22"/>
                <w:szCs w:val="22"/>
                <w:u w:val="single"/>
              </w:rPr>
              <w:t xml:space="preserve"> </w:t>
            </w:r>
          </w:p>
          <w:p w:rsidR="00EC4865" w:rsidRPr="00F0794C" w:rsidRDefault="00EC4865" w:rsidP="004B5863">
            <w:pPr>
              <w:autoSpaceDE w:val="0"/>
              <w:autoSpaceDN w:val="0"/>
              <w:adjustRightInd w:val="0"/>
              <w:jc w:val="both"/>
              <w:rPr>
                <w:rFonts w:asciiTheme="minorHAnsi" w:hAnsiTheme="minorHAnsi" w:cs="Arial"/>
                <w:bCs/>
                <w:lang w:eastAsia="en-AU"/>
              </w:rPr>
            </w:pPr>
          </w:p>
          <w:p w:rsidR="00EC4865" w:rsidRPr="00F0794C" w:rsidRDefault="00EC4865" w:rsidP="004B5863">
            <w:pPr>
              <w:autoSpaceDE w:val="0"/>
              <w:autoSpaceDN w:val="0"/>
              <w:adjustRightInd w:val="0"/>
              <w:jc w:val="both"/>
              <w:rPr>
                <w:rFonts w:asciiTheme="minorHAnsi" w:hAnsiTheme="minorHAnsi" w:cs="Arial"/>
                <w:lang w:eastAsia="en-AU"/>
              </w:rPr>
            </w:pPr>
            <w:r w:rsidRPr="00F0794C">
              <w:rPr>
                <w:rFonts w:asciiTheme="minorHAnsi" w:hAnsiTheme="minorHAnsi" w:cs="Arial"/>
                <w:bCs/>
                <w:lang w:eastAsia="en-AU"/>
              </w:rPr>
              <w:t>The Australian National Audit Office (ANAO) carried out a performance audit on the Strategic Regional Program</w:t>
            </w:r>
            <w:r w:rsidRPr="00F0794C">
              <w:rPr>
                <w:rFonts w:asciiTheme="minorHAnsi" w:hAnsiTheme="minorHAnsi" w:cs="Arial"/>
                <w:lang w:eastAsia="en-AU"/>
              </w:rPr>
              <w:t xml:space="preserve"> in the Department of Infrastructure, Transport, Regional Development and Local Government.</w:t>
            </w:r>
            <w:r w:rsidRPr="00F0794C">
              <w:rPr>
                <w:rFonts w:asciiTheme="minorHAnsi" w:hAnsiTheme="minorHAnsi" w:cs="Arial"/>
                <w:bCs/>
                <w:lang w:eastAsia="en-AU"/>
              </w:rPr>
              <w:t xml:space="preserve"> The audit found that accountability over how Commonwealth funds were allocated and spent, and general practice</w:t>
            </w:r>
            <w:r w:rsidR="00210AB6">
              <w:rPr>
                <w:rFonts w:asciiTheme="minorHAnsi" w:hAnsiTheme="minorHAnsi" w:cs="Arial"/>
                <w:bCs/>
                <w:lang w:eastAsia="en-AU"/>
              </w:rPr>
              <w:t>s</w:t>
            </w:r>
            <w:r w:rsidRPr="00F0794C">
              <w:rPr>
                <w:rFonts w:asciiTheme="minorHAnsi" w:hAnsiTheme="minorHAnsi" w:cs="Arial"/>
                <w:bCs/>
                <w:lang w:eastAsia="en-AU"/>
              </w:rPr>
              <w:t xml:space="preserve"> of local </w:t>
            </w:r>
            <w:r w:rsidR="00210AB6" w:rsidRPr="00F0794C">
              <w:rPr>
                <w:rFonts w:asciiTheme="minorHAnsi" w:hAnsiTheme="minorHAnsi" w:cs="Arial"/>
                <w:bCs/>
                <w:lang w:eastAsia="en-AU"/>
              </w:rPr>
              <w:t>government</w:t>
            </w:r>
            <w:r w:rsidR="00210AB6">
              <w:rPr>
                <w:rFonts w:asciiTheme="minorHAnsi" w:hAnsiTheme="minorHAnsi" w:cs="Arial"/>
                <w:bCs/>
                <w:lang w:eastAsia="en-AU"/>
              </w:rPr>
              <w:t>s’</w:t>
            </w:r>
            <w:r w:rsidRPr="00F0794C">
              <w:rPr>
                <w:rFonts w:asciiTheme="minorHAnsi" w:hAnsiTheme="minorHAnsi" w:cs="Arial"/>
                <w:bCs/>
                <w:lang w:eastAsia="en-AU"/>
              </w:rPr>
              <w:t xml:space="preserve"> road provision </w:t>
            </w:r>
            <w:r w:rsidR="00210AB6">
              <w:rPr>
                <w:rFonts w:asciiTheme="minorHAnsi" w:hAnsiTheme="minorHAnsi" w:cs="Arial"/>
                <w:bCs/>
                <w:lang w:eastAsia="en-AU"/>
              </w:rPr>
              <w:t>were</w:t>
            </w:r>
            <w:r w:rsidRPr="00F0794C">
              <w:rPr>
                <w:rFonts w:asciiTheme="minorHAnsi" w:hAnsiTheme="minorHAnsi" w:cs="Arial"/>
                <w:bCs/>
                <w:lang w:eastAsia="en-AU"/>
              </w:rPr>
              <w:t xml:space="preserve"> not working as efficiently </w:t>
            </w:r>
            <w:r w:rsidR="00210AB6">
              <w:rPr>
                <w:rFonts w:asciiTheme="minorHAnsi" w:hAnsiTheme="minorHAnsi" w:cs="Arial"/>
                <w:bCs/>
                <w:lang w:eastAsia="en-AU"/>
              </w:rPr>
              <w:t>they</w:t>
            </w:r>
            <w:r w:rsidRPr="00F0794C">
              <w:rPr>
                <w:rFonts w:asciiTheme="minorHAnsi" w:hAnsiTheme="minorHAnsi" w:cs="Arial"/>
                <w:bCs/>
                <w:lang w:eastAsia="en-AU"/>
              </w:rPr>
              <w:t xml:space="preserve"> should</w:t>
            </w:r>
            <w:r w:rsidR="00210AB6">
              <w:rPr>
                <w:rFonts w:asciiTheme="minorHAnsi" w:hAnsiTheme="minorHAnsi" w:cs="Arial"/>
                <w:bCs/>
                <w:lang w:eastAsia="en-AU"/>
              </w:rPr>
              <w:t xml:space="preserve"> have been</w:t>
            </w:r>
            <w:r w:rsidRPr="00F0794C">
              <w:rPr>
                <w:rFonts w:asciiTheme="minorHAnsi" w:hAnsiTheme="minorHAnsi" w:cs="Arial"/>
                <w:bCs/>
                <w:lang w:eastAsia="en-AU"/>
              </w:rPr>
              <w:t xml:space="preserve">. </w:t>
            </w:r>
          </w:p>
          <w:p w:rsidR="00EC4865" w:rsidRPr="00F0794C" w:rsidRDefault="00EC4865" w:rsidP="004B5863">
            <w:pPr>
              <w:autoSpaceDE w:val="0"/>
              <w:autoSpaceDN w:val="0"/>
              <w:adjustRightInd w:val="0"/>
              <w:jc w:val="both"/>
              <w:rPr>
                <w:rFonts w:asciiTheme="minorHAnsi" w:hAnsiTheme="minorHAnsi" w:cs="Arial"/>
                <w:bCs/>
                <w:lang w:eastAsia="en-AU"/>
              </w:rPr>
            </w:pPr>
          </w:p>
          <w:p w:rsidR="00EC4865" w:rsidRPr="00F0794C" w:rsidRDefault="00EC4865" w:rsidP="004B5863">
            <w:pPr>
              <w:autoSpaceDE w:val="0"/>
              <w:autoSpaceDN w:val="0"/>
              <w:adjustRightInd w:val="0"/>
              <w:jc w:val="both"/>
              <w:rPr>
                <w:rFonts w:asciiTheme="minorHAnsi" w:hAnsiTheme="minorHAnsi" w:cs="Arial"/>
                <w:bCs/>
                <w:lang w:eastAsia="en-AU"/>
              </w:rPr>
            </w:pPr>
            <w:r w:rsidRPr="00F0794C">
              <w:rPr>
                <w:rFonts w:asciiTheme="minorHAnsi" w:hAnsiTheme="minorHAnsi" w:cs="Arial"/>
                <w:bCs/>
                <w:lang w:eastAsia="en-AU"/>
              </w:rPr>
              <w:t xml:space="preserve">The Program stated projects were based on the merits of meeting a set of guidelines which were meant to promote regional Australian </w:t>
            </w:r>
            <w:r w:rsidR="006B67E0" w:rsidRPr="00F0794C">
              <w:rPr>
                <w:rFonts w:asciiTheme="minorHAnsi" w:hAnsiTheme="minorHAnsi" w:cs="Arial"/>
                <w:bCs/>
                <w:lang w:eastAsia="en-AU"/>
              </w:rPr>
              <w:t>endeavours</w:t>
            </w:r>
            <w:r w:rsidRPr="00F0794C">
              <w:rPr>
                <w:rFonts w:asciiTheme="minorHAnsi" w:hAnsiTheme="minorHAnsi" w:cs="Arial"/>
                <w:bCs/>
                <w:lang w:eastAsia="en-AU"/>
              </w:rPr>
              <w:t>. However, failings in the drafting of these legislative guidelines did not enforce accountability on providers</w:t>
            </w:r>
            <w:r w:rsidRPr="00F0794C">
              <w:rPr>
                <w:rStyle w:val="FootnoteReference"/>
                <w:rFonts w:asciiTheme="minorHAnsi" w:hAnsiTheme="minorHAnsi" w:cs="Arial"/>
                <w:bCs/>
                <w:lang w:eastAsia="en-AU"/>
              </w:rPr>
              <w:footnoteReference w:id="6"/>
            </w:r>
            <w:r w:rsidRPr="00F0794C">
              <w:rPr>
                <w:rFonts w:asciiTheme="minorHAnsi" w:hAnsiTheme="minorHAnsi" w:cs="Arial"/>
                <w:bCs/>
                <w:lang w:eastAsia="en-AU"/>
              </w:rPr>
              <w:t>. Guidelines were updated in July 2009</w:t>
            </w:r>
            <w:r w:rsidRPr="00F0794C">
              <w:rPr>
                <w:rStyle w:val="FootnoteReference"/>
                <w:rFonts w:asciiTheme="minorHAnsi" w:hAnsiTheme="minorHAnsi" w:cs="Arial"/>
                <w:bCs/>
                <w:lang w:eastAsia="en-AU"/>
              </w:rPr>
              <w:footnoteReference w:id="7"/>
            </w:r>
            <w:r w:rsidRPr="00F0794C">
              <w:rPr>
                <w:rFonts w:asciiTheme="minorHAnsi" w:hAnsiTheme="minorHAnsi" w:cs="Arial"/>
                <w:bCs/>
                <w:lang w:eastAsia="en-AU"/>
              </w:rPr>
              <w:t xml:space="preserve"> aiming to improve the transparency and accountability of grant decision making processes. Nevertheless, the department found that by April 2010, 11 projects provided by local governments did not come under the requirements of the new grant guidelines.</w:t>
            </w:r>
            <w:r w:rsidRPr="00F0794C">
              <w:rPr>
                <w:rStyle w:val="FootnoteReference"/>
                <w:rFonts w:asciiTheme="minorHAnsi" w:hAnsiTheme="minorHAnsi" w:cs="Arial"/>
                <w:bCs/>
                <w:lang w:eastAsia="en-AU"/>
              </w:rPr>
              <w:footnoteReference w:id="8"/>
            </w:r>
          </w:p>
          <w:p w:rsidR="00EC4865" w:rsidRPr="00F0794C" w:rsidRDefault="00EC4865" w:rsidP="004B5863">
            <w:pPr>
              <w:autoSpaceDE w:val="0"/>
              <w:autoSpaceDN w:val="0"/>
              <w:adjustRightInd w:val="0"/>
              <w:jc w:val="both"/>
              <w:rPr>
                <w:rFonts w:asciiTheme="minorHAnsi" w:hAnsiTheme="minorHAnsi" w:cs="Arial"/>
                <w:bCs/>
                <w:lang w:eastAsia="en-AU"/>
              </w:rPr>
            </w:pPr>
          </w:p>
          <w:p w:rsidR="00EC4865" w:rsidRPr="00F0794C" w:rsidRDefault="00EC4865" w:rsidP="004B5863">
            <w:pPr>
              <w:jc w:val="both"/>
              <w:rPr>
                <w:rFonts w:asciiTheme="minorHAnsi" w:hAnsiTheme="minorHAnsi" w:cs="Arial"/>
              </w:rPr>
            </w:pPr>
            <w:r w:rsidRPr="00F0794C">
              <w:rPr>
                <w:rFonts w:asciiTheme="minorHAnsi" w:hAnsiTheme="minorHAnsi" w:cs="Arial"/>
              </w:rPr>
              <w:t xml:space="preserve">Flaws in judgement were discovered, with problems in decision makers rating projects correctly and being able to rank and price up projects accordingly. Ministers were given projects that were rated low in eligibility that were still approved at the time. </w:t>
            </w:r>
            <w:r w:rsidRPr="00F0794C">
              <w:rPr>
                <w:rStyle w:val="FootnoteReference"/>
                <w:rFonts w:asciiTheme="minorHAnsi" w:hAnsiTheme="minorHAnsi" w:cs="Arial"/>
              </w:rPr>
              <w:footnoteReference w:id="9"/>
            </w:r>
            <w:r w:rsidRPr="00F0794C">
              <w:rPr>
                <w:rFonts w:asciiTheme="minorHAnsi" w:hAnsiTheme="minorHAnsi" w:cs="Arial"/>
              </w:rPr>
              <w:t xml:space="preserve"> At the ANAO’s request ministers provided the evidence of projects that were not funded in 2006, they found that 83% of all application</w:t>
            </w:r>
            <w:r w:rsidR="00ED480D" w:rsidRPr="00F0794C">
              <w:rPr>
                <w:rFonts w:asciiTheme="minorHAnsi" w:hAnsiTheme="minorHAnsi" w:cs="Arial"/>
              </w:rPr>
              <w:t>s</w:t>
            </w:r>
            <w:r w:rsidRPr="00F0794C">
              <w:rPr>
                <w:rFonts w:asciiTheme="minorHAnsi" w:hAnsiTheme="minorHAnsi" w:cs="Arial"/>
              </w:rPr>
              <w:t xml:space="preserve"> were not approved for funding. </w:t>
            </w:r>
            <w:r w:rsidRPr="00F0794C">
              <w:rPr>
                <w:rStyle w:val="FootnoteReference"/>
                <w:rFonts w:asciiTheme="minorHAnsi" w:hAnsiTheme="minorHAnsi" w:cs="Arial"/>
              </w:rPr>
              <w:footnoteReference w:id="10"/>
            </w:r>
            <w:r w:rsidRPr="00F0794C">
              <w:rPr>
                <w:rFonts w:asciiTheme="minorHAnsi" w:hAnsiTheme="minorHAnsi" w:cs="Arial"/>
              </w:rPr>
              <w:t xml:space="preserve"> </w:t>
            </w:r>
          </w:p>
          <w:p w:rsidR="00447C81" w:rsidRPr="00F0794C" w:rsidRDefault="00447C81" w:rsidP="004B5863">
            <w:pPr>
              <w:jc w:val="both"/>
              <w:rPr>
                <w:rFonts w:asciiTheme="minorHAnsi" w:hAnsiTheme="minorHAnsi" w:cs="Arial"/>
              </w:rPr>
            </w:pPr>
          </w:p>
          <w:p w:rsidR="00EC4865" w:rsidRDefault="00EC4865" w:rsidP="004B5863">
            <w:pPr>
              <w:autoSpaceDE w:val="0"/>
              <w:autoSpaceDN w:val="0"/>
              <w:adjustRightInd w:val="0"/>
              <w:jc w:val="both"/>
              <w:rPr>
                <w:rFonts w:asciiTheme="minorHAnsi" w:hAnsiTheme="minorHAnsi" w:cs="Arial"/>
                <w:bCs/>
                <w:lang w:eastAsia="en-AU"/>
              </w:rPr>
            </w:pPr>
            <w:r w:rsidRPr="00F0794C">
              <w:rPr>
                <w:rFonts w:asciiTheme="minorHAnsi" w:hAnsiTheme="minorHAnsi" w:cs="Arial"/>
                <w:bCs/>
                <w:lang w:eastAsia="en-AU"/>
              </w:rPr>
              <w:t>The audit found that in 2006 “65% of projects approved for funding…by the then minister had either not been assessed against the published program guidelines; had been assessed as being ineligible under the guidelines; or had not been assessed as meeting the relevant criteria to a high degree.”</w:t>
            </w:r>
            <w:r w:rsidRPr="00F0794C">
              <w:rPr>
                <w:rStyle w:val="FootnoteReference"/>
                <w:rFonts w:asciiTheme="minorHAnsi" w:hAnsiTheme="minorHAnsi" w:cs="Arial"/>
                <w:bCs/>
                <w:lang w:eastAsia="en-AU"/>
              </w:rPr>
              <w:footnoteReference w:id="11"/>
            </w:r>
            <w:r w:rsidRPr="00F0794C">
              <w:rPr>
                <w:rFonts w:asciiTheme="minorHAnsi" w:hAnsiTheme="minorHAnsi" w:cs="Arial"/>
                <w:bCs/>
                <w:lang w:eastAsia="en-AU"/>
              </w:rPr>
              <w:t xml:space="preserve"> Along with ministers approving projects which were rated with low eligibility, administrative best practice was not enforced with much of the paperwork not provided for projects that were approved.</w:t>
            </w:r>
            <w:r w:rsidRPr="00F0794C">
              <w:rPr>
                <w:rStyle w:val="FootnoteReference"/>
                <w:rFonts w:asciiTheme="minorHAnsi" w:hAnsiTheme="minorHAnsi" w:cs="Arial"/>
              </w:rPr>
              <w:footnoteReference w:id="12"/>
            </w:r>
            <w:r w:rsidRPr="00F0794C">
              <w:rPr>
                <w:rFonts w:asciiTheme="minorHAnsi" w:hAnsiTheme="minorHAnsi" w:cs="Arial"/>
                <w:bCs/>
                <w:lang w:eastAsia="en-AU"/>
              </w:rPr>
              <w:t xml:space="preserve"> </w:t>
            </w:r>
            <w:bookmarkStart w:id="12" w:name="_Toc305670388"/>
            <w:bookmarkEnd w:id="12"/>
          </w:p>
          <w:p w:rsidR="00CA66DF" w:rsidRPr="00F0794C" w:rsidRDefault="00CA66DF" w:rsidP="004B5863">
            <w:pPr>
              <w:autoSpaceDE w:val="0"/>
              <w:autoSpaceDN w:val="0"/>
              <w:adjustRightInd w:val="0"/>
              <w:jc w:val="both"/>
              <w:rPr>
                <w:rFonts w:asciiTheme="minorHAnsi" w:hAnsiTheme="minorHAnsi" w:cs="Arial"/>
                <w:bCs/>
                <w:lang w:eastAsia="en-AU"/>
              </w:rPr>
            </w:pPr>
          </w:p>
          <w:p w:rsidR="00EC4865" w:rsidRPr="00F0794C" w:rsidRDefault="00EC4865" w:rsidP="004B5863">
            <w:pPr>
              <w:jc w:val="both"/>
              <w:rPr>
                <w:rFonts w:asciiTheme="minorHAnsi" w:hAnsiTheme="minorHAnsi" w:cs="Arial"/>
              </w:rPr>
            </w:pPr>
            <w:r w:rsidRPr="00F0794C">
              <w:rPr>
                <w:rFonts w:asciiTheme="minorHAnsi" w:hAnsiTheme="minorHAnsi" w:cs="Arial"/>
              </w:rPr>
              <w:t xml:space="preserve">The ANAO </w:t>
            </w:r>
            <w:r w:rsidR="00CA66DF" w:rsidRPr="00F0794C">
              <w:rPr>
                <w:rFonts w:asciiTheme="minorHAnsi" w:hAnsiTheme="minorHAnsi" w:cs="Arial"/>
              </w:rPr>
              <w:t>suggeste</w:t>
            </w:r>
            <w:r w:rsidR="00CA66DF">
              <w:rPr>
                <w:rFonts w:asciiTheme="minorHAnsi" w:hAnsiTheme="minorHAnsi" w:cs="Arial"/>
              </w:rPr>
              <w:t>d</w:t>
            </w:r>
            <w:r w:rsidRPr="00F0794C">
              <w:rPr>
                <w:rFonts w:asciiTheme="minorHAnsi" w:hAnsiTheme="minorHAnsi" w:cs="Arial"/>
              </w:rPr>
              <w:t xml:space="preserve"> a number of recommendations, based on its findings. Calling for</w:t>
            </w:r>
            <w:r w:rsidR="006B67E0" w:rsidRPr="00F0794C">
              <w:rPr>
                <w:rFonts w:asciiTheme="minorHAnsi" w:hAnsiTheme="minorHAnsi" w:cs="Arial"/>
              </w:rPr>
              <w:t xml:space="preserve"> an </w:t>
            </w:r>
            <w:r w:rsidRPr="00F0794C">
              <w:rPr>
                <w:rFonts w:asciiTheme="minorHAnsi" w:hAnsiTheme="minorHAnsi" w:cs="Arial"/>
              </w:rPr>
              <w:t>enhanced financial management framework to improve the transparency and accountability of the decision making processes.</w:t>
            </w:r>
            <w:r w:rsidRPr="00F0794C">
              <w:rPr>
                <w:rStyle w:val="FootnoteReference"/>
                <w:rFonts w:asciiTheme="minorHAnsi" w:hAnsiTheme="minorHAnsi" w:cs="Arial"/>
              </w:rPr>
              <w:footnoteReference w:id="13"/>
            </w:r>
            <w:r w:rsidRPr="00F0794C">
              <w:rPr>
                <w:rFonts w:asciiTheme="minorHAnsi" w:hAnsiTheme="minorHAnsi" w:cs="Arial"/>
              </w:rPr>
              <w:t xml:space="preserve"> </w:t>
            </w:r>
          </w:p>
          <w:p w:rsidR="00ED480D" w:rsidRPr="00F0794C" w:rsidRDefault="00ED480D" w:rsidP="004B5863">
            <w:pPr>
              <w:jc w:val="both"/>
              <w:rPr>
                <w:rFonts w:asciiTheme="minorHAnsi" w:hAnsiTheme="minorHAnsi" w:cs="Arial"/>
              </w:rPr>
            </w:pPr>
          </w:p>
          <w:p w:rsidR="00EC4865" w:rsidRPr="00F0794C" w:rsidRDefault="00EC4865" w:rsidP="00CA66DF">
            <w:pPr>
              <w:jc w:val="both"/>
              <w:rPr>
                <w:rFonts w:asciiTheme="minorHAnsi" w:hAnsiTheme="minorHAnsi" w:cs="Arial"/>
              </w:rPr>
            </w:pPr>
            <w:r w:rsidRPr="00F0794C">
              <w:rPr>
                <w:rFonts w:asciiTheme="minorHAnsi" w:hAnsiTheme="minorHAnsi" w:cs="Arial"/>
              </w:rPr>
              <w:t>Improving cost benefit analysis for ministers, so that better judgement calls can be made. Approving projects based on how well they fit legislative guidelines</w:t>
            </w:r>
            <w:r w:rsidRPr="00F0794C">
              <w:rPr>
                <w:rStyle w:val="FootnoteReference"/>
                <w:rFonts w:asciiTheme="minorHAnsi" w:hAnsiTheme="minorHAnsi" w:cs="Arial"/>
              </w:rPr>
              <w:footnoteReference w:id="14"/>
            </w:r>
            <w:r w:rsidRPr="00F0794C">
              <w:rPr>
                <w:rFonts w:asciiTheme="minorHAnsi" w:hAnsiTheme="minorHAnsi" w:cs="Arial"/>
              </w:rPr>
              <w:t xml:space="preserve"> and to p</w:t>
            </w:r>
            <w:r w:rsidR="00CA66DF">
              <w:rPr>
                <w:rFonts w:asciiTheme="minorHAnsi" w:hAnsiTheme="minorHAnsi" w:cs="Arial"/>
              </w:rPr>
              <w:t>romote value for money for the C</w:t>
            </w:r>
            <w:r w:rsidRPr="00F0794C">
              <w:rPr>
                <w:rFonts w:asciiTheme="minorHAnsi" w:hAnsiTheme="minorHAnsi" w:cs="Arial"/>
              </w:rPr>
              <w:t>ommonwealth and constituents.</w:t>
            </w:r>
            <w:r w:rsidRPr="00F0794C">
              <w:rPr>
                <w:rStyle w:val="FootnoteReference"/>
                <w:rFonts w:asciiTheme="minorHAnsi" w:hAnsiTheme="minorHAnsi" w:cs="Arial"/>
              </w:rPr>
              <w:t xml:space="preserve"> </w:t>
            </w:r>
            <w:r w:rsidRPr="00F0794C">
              <w:rPr>
                <w:rStyle w:val="FootnoteReference"/>
                <w:rFonts w:asciiTheme="minorHAnsi" w:hAnsiTheme="minorHAnsi" w:cs="Arial"/>
              </w:rPr>
              <w:footnoteReference w:id="15"/>
            </w:r>
            <w:r w:rsidRPr="00F0794C">
              <w:rPr>
                <w:rFonts w:asciiTheme="minorHAnsi" w:hAnsiTheme="minorHAnsi" w:cs="Arial"/>
              </w:rPr>
              <w:t xml:space="preserve">  </w:t>
            </w:r>
          </w:p>
        </w:tc>
      </w:tr>
    </w:tbl>
    <w:p w:rsidR="00EC4865" w:rsidRDefault="00EC4865" w:rsidP="004B5863">
      <w:pPr>
        <w:jc w:val="both"/>
        <w:rPr>
          <w:rFonts w:asciiTheme="minorHAnsi" w:hAnsiTheme="minorHAnsi" w:cs="Arial"/>
          <w:sz w:val="20"/>
          <w:szCs w:val="20"/>
        </w:rPr>
      </w:pPr>
    </w:p>
    <w:p w:rsidR="00CA66DF" w:rsidRDefault="00CA66DF" w:rsidP="004B5863">
      <w:pPr>
        <w:jc w:val="both"/>
        <w:rPr>
          <w:rFonts w:asciiTheme="minorHAnsi" w:hAnsiTheme="minorHAnsi" w:cs="Arial"/>
          <w:sz w:val="20"/>
          <w:szCs w:val="20"/>
        </w:rPr>
      </w:pPr>
    </w:p>
    <w:p w:rsidR="00CA66DF" w:rsidRDefault="00CA66DF" w:rsidP="004B5863">
      <w:pPr>
        <w:jc w:val="both"/>
        <w:rPr>
          <w:rFonts w:asciiTheme="minorHAnsi" w:hAnsiTheme="minorHAnsi" w:cs="Arial"/>
          <w:sz w:val="20"/>
          <w:szCs w:val="20"/>
        </w:rPr>
      </w:pPr>
    </w:p>
    <w:p w:rsidR="00CA66DF" w:rsidRPr="006F25E7" w:rsidRDefault="00CA66DF" w:rsidP="004B5863">
      <w:pPr>
        <w:jc w:val="both"/>
        <w:rPr>
          <w:rFonts w:asciiTheme="minorHAnsi" w:hAnsiTheme="minorHAnsi" w:cs="Arial"/>
          <w:sz w:val="20"/>
          <w:szCs w:val="20"/>
        </w:rPr>
      </w:pPr>
    </w:p>
    <w:p w:rsidR="006F25E7" w:rsidRPr="006F25E7" w:rsidRDefault="006F25E7" w:rsidP="006F25E7">
      <w:pPr>
        <w:jc w:val="both"/>
        <w:rPr>
          <w:rFonts w:asciiTheme="minorHAnsi" w:hAnsiTheme="minorHAnsi"/>
          <w:b/>
        </w:rPr>
      </w:pPr>
      <w:r w:rsidRPr="006F25E7">
        <w:rPr>
          <w:rFonts w:asciiTheme="minorHAnsi" w:hAnsiTheme="minorHAnsi"/>
          <w:b/>
        </w:rPr>
        <w:lastRenderedPageBreak/>
        <w:t>Recommendation 2</w:t>
      </w:r>
    </w:p>
    <w:p w:rsidR="006F25E7" w:rsidRPr="006F25E7" w:rsidRDefault="006F25E7" w:rsidP="006F25E7">
      <w:pPr>
        <w:jc w:val="both"/>
        <w:rPr>
          <w:rFonts w:asciiTheme="minorHAnsi" w:hAnsiTheme="minorHAnsi"/>
        </w:rPr>
      </w:pPr>
    </w:p>
    <w:p w:rsidR="006F25E7" w:rsidRPr="006F25E7" w:rsidRDefault="006F25E7" w:rsidP="006F25E7">
      <w:pPr>
        <w:jc w:val="both"/>
        <w:rPr>
          <w:rFonts w:asciiTheme="minorHAnsi" w:hAnsiTheme="minorHAnsi"/>
          <w:bCs/>
        </w:rPr>
      </w:pPr>
      <w:r w:rsidRPr="006F25E7">
        <w:rPr>
          <w:rFonts w:asciiTheme="minorHAnsi" w:hAnsiTheme="minorHAnsi" w:cs="Arial"/>
        </w:rPr>
        <w:t xml:space="preserve">The ATA supports the Commission’s recommendations to improve governance arrangements and for conditional funding for infrastructure projects. </w:t>
      </w:r>
    </w:p>
    <w:p w:rsidR="00E92610" w:rsidRPr="00F0794C" w:rsidRDefault="00E92610" w:rsidP="004B5863">
      <w:pPr>
        <w:pStyle w:val="BodyText2"/>
        <w:jc w:val="both"/>
        <w:rPr>
          <w:rFonts w:asciiTheme="minorHAnsi" w:eastAsia="Calibri" w:hAnsiTheme="minorHAnsi" w:cs="Times New Roman"/>
          <w:b w:val="0"/>
          <w:bCs w:val="0"/>
          <w:szCs w:val="22"/>
        </w:rPr>
      </w:pPr>
    </w:p>
    <w:p w:rsidR="00E92610" w:rsidRPr="00F0794C" w:rsidRDefault="00EA1FD6" w:rsidP="004B5863">
      <w:pPr>
        <w:pStyle w:val="Heading1"/>
        <w:numPr>
          <w:ilvl w:val="1"/>
          <w:numId w:val="16"/>
        </w:numPr>
        <w:jc w:val="both"/>
        <w:rPr>
          <w:rFonts w:asciiTheme="minorHAnsi" w:hAnsiTheme="minorHAnsi"/>
          <w:sz w:val="24"/>
        </w:rPr>
      </w:pPr>
      <w:bookmarkStart w:id="13" w:name="_Toc384105355"/>
      <w:r w:rsidRPr="00F0794C">
        <w:rPr>
          <w:rFonts w:asciiTheme="minorHAnsi" w:hAnsiTheme="minorHAnsi"/>
          <w:sz w:val="24"/>
        </w:rPr>
        <w:t>Benchmarking</w:t>
      </w:r>
      <w:bookmarkEnd w:id="13"/>
    </w:p>
    <w:p w:rsidR="00E92610" w:rsidRPr="00F0794C" w:rsidRDefault="00E92610" w:rsidP="004B5863">
      <w:pPr>
        <w:pStyle w:val="BodyText2"/>
        <w:jc w:val="both"/>
        <w:rPr>
          <w:rFonts w:asciiTheme="minorHAnsi" w:hAnsiTheme="minorHAnsi"/>
          <w:b w:val="0"/>
          <w:szCs w:val="22"/>
        </w:rPr>
      </w:pPr>
    </w:p>
    <w:p w:rsidR="00177A43" w:rsidRPr="00F0794C" w:rsidRDefault="00E92610" w:rsidP="004B5863">
      <w:pPr>
        <w:pStyle w:val="BodyText2"/>
        <w:jc w:val="both"/>
        <w:rPr>
          <w:rFonts w:asciiTheme="minorHAnsi" w:hAnsiTheme="minorHAnsi"/>
          <w:b w:val="0"/>
          <w:szCs w:val="22"/>
        </w:rPr>
      </w:pPr>
      <w:r w:rsidRPr="00F0794C">
        <w:rPr>
          <w:rFonts w:asciiTheme="minorHAnsi" w:hAnsiTheme="minorHAnsi"/>
          <w:b w:val="0"/>
          <w:szCs w:val="22"/>
        </w:rPr>
        <w:t xml:space="preserve">The ATA supports the </w:t>
      </w:r>
      <w:r w:rsidR="00C80F6E" w:rsidRPr="00F0794C">
        <w:rPr>
          <w:rFonts w:asciiTheme="minorHAnsi" w:hAnsiTheme="minorHAnsi"/>
          <w:b w:val="0"/>
          <w:szCs w:val="22"/>
        </w:rPr>
        <w:t>Commission’s</w:t>
      </w:r>
      <w:r w:rsidRPr="00F0794C">
        <w:rPr>
          <w:rFonts w:asciiTheme="minorHAnsi" w:hAnsiTheme="minorHAnsi"/>
          <w:b w:val="0"/>
          <w:szCs w:val="22"/>
        </w:rPr>
        <w:t xml:space="preserve"> recommendations that </w:t>
      </w:r>
      <w:r w:rsidR="00177A43" w:rsidRPr="00F0794C">
        <w:rPr>
          <w:rFonts w:asciiTheme="minorHAnsi" w:hAnsiTheme="minorHAnsi"/>
          <w:b w:val="0"/>
          <w:szCs w:val="22"/>
        </w:rPr>
        <w:t xml:space="preserve">the </w:t>
      </w:r>
      <w:r w:rsidR="008F1908">
        <w:rPr>
          <w:rFonts w:asciiTheme="minorHAnsi" w:hAnsiTheme="minorHAnsi"/>
          <w:b w:val="0"/>
          <w:szCs w:val="22"/>
        </w:rPr>
        <w:t>Australian G</w:t>
      </w:r>
      <w:r w:rsidRPr="00F0794C">
        <w:rPr>
          <w:rFonts w:asciiTheme="minorHAnsi" w:hAnsiTheme="minorHAnsi"/>
          <w:b w:val="0"/>
          <w:szCs w:val="22"/>
        </w:rPr>
        <w:t xml:space="preserve">overnment should include </w:t>
      </w:r>
      <w:r w:rsidR="00C80F6E" w:rsidRPr="00F0794C">
        <w:rPr>
          <w:rFonts w:asciiTheme="minorHAnsi" w:hAnsiTheme="minorHAnsi"/>
          <w:b w:val="0"/>
          <w:szCs w:val="22"/>
        </w:rPr>
        <w:t xml:space="preserve">a </w:t>
      </w:r>
      <w:r w:rsidRPr="00F0794C">
        <w:rPr>
          <w:rFonts w:asciiTheme="minorHAnsi" w:hAnsiTheme="minorHAnsi"/>
          <w:b w:val="0"/>
          <w:szCs w:val="22"/>
        </w:rPr>
        <w:t>detailed benchmarking framework for major construction projects throughout Australia, with the collection of data being a r</w:t>
      </w:r>
      <w:r w:rsidR="008F1908">
        <w:rPr>
          <w:rFonts w:asciiTheme="minorHAnsi" w:hAnsiTheme="minorHAnsi"/>
          <w:b w:val="0"/>
          <w:szCs w:val="22"/>
        </w:rPr>
        <w:t xml:space="preserve">equirement when </w:t>
      </w:r>
      <w:r w:rsidRPr="00F0794C">
        <w:rPr>
          <w:rFonts w:asciiTheme="minorHAnsi" w:hAnsiTheme="minorHAnsi"/>
          <w:b w:val="0"/>
          <w:szCs w:val="22"/>
        </w:rPr>
        <w:t>funding</w:t>
      </w:r>
      <w:r w:rsidR="008F1908">
        <w:rPr>
          <w:rFonts w:asciiTheme="minorHAnsi" w:hAnsiTheme="minorHAnsi"/>
          <w:b w:val="0"/>
          <w:szCs w:val="22"/>
        </w:rPr>
        <w:t xml:space="preserve"> is approved</w:t>
      </w:r>
      <w:r w:rsidR="00177A43" w:rsidRPr="00F0794C">
        <w:rPr>
          <w:rStyle w:val="FootnoteReference"/>
          <w:rFonts w:asciiTheme="minorHAnsi" w:hAnsiTheme="minorHAnsi"/>
          <w:b w:val="0"/>
          <w:szCs w:val="22"/>
        </w:rPr>
        <w:footnoteReference w:id="16"/>
      </w:r>
      <w:r w:rsidRPr="00F0794C">
        <w:rPr>
          <w:rFonts w:asciiTheme="minorHAnsi" w:hAnsiTheme="minorHAnsi"/>
          <w:b w:val="0"/>
          <w:szCs w:val="22"/>
        </w:rPr>
        <w:t xml:space="preserve">. </w:t>
      </w:r>
      <w:r w:rsidR="00177A43" w:rsidRPr="00F0794C">
        <w:rPr>
          <w:rFonts w:asciiTheme="minorHAnsi" w:hAnsiTheme="minorHAnsi"/>
          <w:b w:val="0"/>
          <w:szCs w:val="22"/>
        </w:rPr>
        <w:t xml:space="preserve"> We would also extend the data collection to </w:t>
      </w:r>
      <w:r w:rsidR="00CA66DF">
        <w:rPr>
          <w:rFonts w:asciiTheme="minorHAnsi" w:hAnsiTheme="minorHAnsi"/>
          <w:b w:val="0"/>
          <w:szCs w:val="22"/>
        </w:rPr>
        <w:t>significant road infrastructure projects,</w:t>
      </w:r>
      <w:r w:rsidR="00177A43" w:rsidRPr="00F0794C">
        <w:rPr>
          <w:rFonts w:asciiTheme="minorHAnsi" w:hAnsiTheme="minorHAnsi"/>
          <w:b w:val="0"/>
          <w:szCs w:val="22"/>
        </w:rPr>
        <w:t xml:space="preserve"> as the </w:t>
      </w:r>
      <w:r w:rsidR="00C80F6E" w:rsidRPr="00F0794C">
        <w:rPr>
          <w:rFonts w:asciiTheme="minorHAnsi" w:hAnsiTheme="minorHAnsi"/>
          <w:b w:val="0"/>
          <w:szCs w:val="22"/>
        </w:rPr>
        <w:t>Commission</w:t>
      </w:r>
      <w:r w:rsidR="00177A43" w:rsidRPr="00F0794C">
        <w:rPr>
          <w:rFonts w:asciiTheme="minorHAnsi" w:hAnsiTheme="minorHAnsi"/>
          <w:b w:val="0"/>
          <w:szCs w:val="22"/>
        </w:rPr>
        <w:t xml:space="preserve"> note</w:t>
      </w:r>
      <w:r w:rsidR="00CA66DF">
        <w:rPr>
          <w:rFonts w:asciiTheme="minorHAnsi" w:hAnsiTheme="minorHAnsi"/>
          <w:b w:val="0"/>
          <w:szCs w:val="22"/>
        </w:rPr>
        <w:t>d</w:t>
      </w:r>
      <w:r w:rsidR="00177A43" w:rsidRPr="00F0794C">
        <w:rPr>
          <w:rFonts w:asciiTheme="minorHAnsi" w:hAnsiTheme="minorHAnsi"/>
          <w:b w:val="0"/>
          <w:szCs w:val="22"/>
        </w:rPr>
        <w:t xml:space="preserve"> in the report</w:t>
      </w:r>
      <w:r w:rsidR="00CA66DF">
        <w:rPr>
          <w:rFonts w:asciiTheme="minorHAnsi" w:hAnsiTheme="minorHAnsi"/>
          <w:b w:val="0"/>
          <w:szCs w:val="22"/>
        </w:rPr>
        <w:t>,</w:t>
      </w:r>
      <w:r w:rsidR="00177A43" w:rsidRPr="00F0794C">
        <w:rPr>
          <w:rFonts w:asciiTheme="minorHAnsi" w:hAnsiTheme="minorHAnsi"/>
          <w:b w:val="0"/>
          <w:szCs w:val="22"/>
        </w:rPr>
        <w:t xml:space="preserve"> large projects can suffer from not being </w:t>
      </w:r>
      <w:r w:rsidR="004D66EF" w:rsidRPr="00F0794C">
        <w:rPr>
          <w:rFonts w:asciiTheme="minorHAnsi" w:hAnsiTheme="minorHAnsi"/>
          <w:b w:val="0"/>
          <w:szCs w:val="22"/>
        </w:rPr>
        <w:t>‘</w:t>
      </w:r>
      <w:r w:rsidR="00177A43" w:rsidRPr="00F0794C">
        <w:rPr>
          <w:rFonts w:asciiTheme="minorHAnsi" w:hAnsiTheme="minorHAnsi"/>
          <w:b w:val="0"/>
          <w:szCs w:val="22"/>
        </w:rPr>
        <w:t>like for like</w:t>
      </w:r>
      <w:r w:rsidR="004D66EF" w:rsidRPr="00F0794C">
        <w:rPr>
          <w:rFonts w:asciiTheme="minorHAnsi" w:hAnsiTheme="minorHAnsi"/>
          <w:b w:val="0"/>
          <w:szCs w:val="22"/>
        </w:rPr>
        <w:t>’</w:t>
      </w:r>
      <w:r w:rsidR="00177A43" w:rsidRPr="00F0794C">
        <w:rPr>
          <w:rFonts w:asciiTheme="minorHAnsi" w:hAnsiTheme="minorHAnsi"/>
          <w:b w:val="0"/>
          <w:szCs w:val="22"/>
        </w:rPr>
        <w:t xml:space="preserve"> and benchmarking usefulness could be limited. </w:t>
      </w:r>
    </w:p>
    <w:p w:rsidR="00E92610" w:rsidRPr="00F0794C" w:rsidRDefault="00E92610" w:rsidP="004B5863">
      <w:pPr>
        <w:pStyle w:val="BodyText2"/>
        <w:jc w:val="both"/>
        <w:rPr>
          <w:rFonts w:asciiTheme="minorHAnsi" w:hAnsiTheme="minorHAnsi"/>
          <w:b w:val="0"/>
          <w:szCs w:val="22"/>
        </w:rPr>
      </w:pPr>
    </w:p>
    <w:p w:rsidR="00177A43" w:rsidRPr="00F0794C" w:rsidRDefault="00177A43" w:rsidP="004B5863">
      <w:pPr>
        <w:pStyle w:val="BodyText2"/>
        <w:jc w:val="both"/>
        <w:rPr>
          <w:rFonts w:asciiTheme="minorHAnsi" w:hAnsiTheme="minorHAnsi"/>
          <w:b w:val="0"/>
        </w:rPr>
      </w:pPr>
      <w:r w:rsidRPr="00F0794C">
        <w:rPr>
          <w:rFonts w:asciiTheme="minorHAnsi" w:hAnsiTheme="minorHAnsi"/>
          <w:b w:val="0"/>
        </w:rPr>
        <w:t>The ATA therefore supports d</w:t>
      </w:r>
      <w:r w:rsidR="00E92610" w:rsidRPr="00F0794C">
        <w:rPr>
          <w:rFonts w:asciiTheme="minorHAnsi" w:hAnsiTheme="minorHAnsi"/>
          <w:b w:val="0"/>
        </w:rPr>
        <w:t>raft Recommendation 8.2</w:t>
      </w:r>
      <w:r w:rsidRPr="00F0794C">
        <w:rPr>
          <w:rFonts w:asciiTheme="minorHAnsi" w:hAnsiTheme="minorHAnsi"/>
          <w:b w:val="0"/>
        </w:rPr>
        <w:t xml:space="preserve"> with the addition of </w:t>
      </w:r>
      <w:r w:rsidR="00B91ACE">
        <w:rPr>
          <w:rFonts w:asciiTheme="minorHAnsi" w:hAnsiTheme="minorHAnsi"/>
          <w:b w:val="0"/>
        </w:rPr>
        <w:t>significant</w:t>
      </w:r>
      <w:r w:rsidRPr="00F0794C">
        <w:rPr>
          <w:rFonts w:asciiTheme="minorHAnsi" w:hAnsiTheme="minorHAnsi"/>
          <w:b w:val="0"/>
        </w:rPr>
        <w:t>, not just major</w:t>
      </w:r>
      <w:r w:rsidR="008F1908">
        <w:rPr>
          <w:rFonts w:asciiTheme="minorHAnsi" w:hAnsiTheme="minorHAnsi"/>
          <w:b w:val="0"/>
        </w:rPr>
        <w:t>,</w:t>
      </w:r>
      <w:r w:rsidRPr="00F0794C">
        <w:rPr>
          <w:rFonts w:asciiTheme="minorHAnsi" w:hAnsiTheme="minorHAnsi"/>
          <w:b w:val="0"/>
        </w:rPr>
        <w:t xml:space="preserve"> projects. Therefore the </w:t>
      </w:r>
      <w:r w:rsidR="00EE7A46" w:rsidRPr="00F0794C">
        <w:rPr>
          <w:rFonts w:asciiTheme="minorHAnsi" w:hAnsiTheme="minorHAnsi"/>
          <w:b w:val="0"/>
        </w:rPr>
        <w:t xml:space="preserve">Commission’s </w:t>
      </w:r>
      <w:r w:rsidRPr="00F0794C">
        <w:rPr>
          <w:rFonts w:asciiTheme="minorHAnsi" w:hAnsiTheme="minorHAnsi"/>
          <w:b w:val="0"/>
        </w:rPr>
        <w:t xml:space="preserve">recommendation should </w:t>
      </w:r>
      <w:r w:rsidR="00EE7A46" w:rsidRPr="00F0794C">
        <w:rPr>
          <w:rFonts w:asciiTheme="minorHAnsi" w:hAnsiTheme="minorHAnsi"/>
          <w:b w:val="0"/>
        </w:rPr>
        <w:t>read</w:t>
      </w:r>
      <w:r w:rsidRPr="00F0794C">
        <w:rPr>
          <w:rFonts w:asciiTheme="minorHAnsi" w:hAnsiTheme="minorHAnsi"/>
          <w:b w:val="0"/>
        </w:rPr>
        <w:t xml:space="preserve">: </w:t>
      </w:r>
    </w:p>
    <w:p w:rsidR="00177A43" w:rsidRPr="00F0794C" w:rsidRDefault="00177A43" w:rsidP="004B5863">
      <w:pPr>
        <w:pStyle w:val="BodyText2"/>
        <w:jc w:val="both"/>
        <w:rPr>
          <w:rFonts w:asciiTheme="minorHAnsi" w:hAnsiTheme="minorHAnsi"/>
          <w:b w:val="0"/>
        </w:rPr>
      </w:pPr>
    </w:p>
    <w:p w:rsidR="00E92610" w:rsidRPr="00F0794C" w:rsidRDefault="00E92610" w:rsidP="004B5863">
      <w:pPr>
        <w:pStyle w:val="BodyText2"/>
        <w:ind w:left="720" w:firstLine="30"/>
        <w:jc w:val="both"/>
        <w:rPr>
          <w:rFonts w:asciiTheme="minorHAnsi" w:hAnsiTheme="minorHAnsi"/>
          <w:b w:val="0"/>
        </w:rPr>
      </w:pPr>
      <w:r w:rsidRPr="00F0794C">
        <w:rPr>
          <w:rFonts w:asciiTheme="minorHAnsi" w:hAnsiTheme="minorHAnsi"/>
          <w:b w:val="0"/>
        </w:rPr>
        <w:t xml:space="preserve">The Australian Government should fund the development and ongoing implementation of a detailed benchmarking framework for </w:t>
      </w:r>
      <w:r w:rsidRPr="00F0794C">
        <w:rPr>
          <w:rFonts w:asciiTheme="minorHAnsi" w:hAnsiTheme="minorHAnsi"/>
          <w:b w:val="0"/>
          <w:strike/>
        </w:rPr>
        <w:t>major</w:t>
      </w:r>
      <w:r w:rsidRPr="00F0794C">
        <w:rPr>
          <w:rFonts w:asciiTheme="minorHAnsi" w:hAnsiTheme="minorHAnsi"/>
          <w:b w:val="0"/>
        </w:rPr>
        <w:t xml:space="preserve"> </w:t>
      </w:r>
      <w:r w:rsidR="00B91ACE">
        <w:rPr>
          <w:rFonts w:asciiTheme="minorHAnsi" w:hAnsiTheme="minorHAnsi"/>
          <w:b w:val="0"/>
        </w:rPr>
        <w:t>sign</w:t>
      </w:r>
      <w:r w:rsidR="001C4BA2">
        <w:rPr>
          <w:rFonts w:asciiTheme="minorHAnsi" w:hAnsiTheme="minorHAnsi"/>
          <w:b w:val="0"/>
        </w:rPr>
        <w:t>i</w:t>
      </w:r>
      <w:r w:rsidR="00B91ACE">
        <w:rPr>
          <w:rFonts w:asciiTheme="minorHAnsi" w:hAnsiTheme="minorHAnsi"/>
          <w:b w:val="0"/>
        </w:rPr>
        <w:t>ficant</w:t>
      </w:r>
      <w:r w:rsidR="00177A43" w:rsidRPr="00F0794C">
        <w:rPr>
          <w:rFonts w:asciiTheme="minorHAnsi" w:hAnsiTheme="minorHAnsi"/>
          <w:b w:val="0"/>
        </w:rPr>
        <w:t xml:space="preserve"> </w:t>
      </w:r>
      <w:r w:rsidRPr="00F0794C">
        <w:rPr>
          <w:rFonts w:asciiTheme="minorHAnsi" w:hAnsiTheme="minorHAnsi"/>
          <w:b w:val="0"/>
        </w:rPr>
        <w:t>infrastructure projects in Australia. This would substantially assist in the future planning an evaluation of projects, and is an essential factor in the m</w:t>
      </w:r>
      <w:r w:rsidR="00177A43" w:rsidRPr="00F0794C">
        <w:rPr>
          <w:rFonts w:asciiTheme="minorHAnsi" w:hAnsiTheme="minorHAnsi"/>
          <w:b w:val="0"/>
        </w:rPr>
        <w:t xml:space="preserve">uch cited pipelines of projects. </w:t>
      </w:r>
    </w:p>
    <w:p w:rsidR="00E92610" w:rsidRPr="00F0794C" w:rsidRDefault="00E92610" w:rsidP="004B5863">
      <w:pPr>
        <w:pStyle w:val="BodyText2"/>
        <w:jc w:val="both"/>
        <w:rPr>
          <w:rFonts w:asciiTheme="minorHAnsi" w:hAnsiTheme="minorHAnsi"/>
          <w:b w:val="0"/>
        </w:rPr>
      </w:pPr>
    </w:p>
    <w:p w:rsidR="00E92610" w:rsidRPr="00F0794C" w:rsidRDefault="007E232D" w:rsidP="004B5863">
      <w:pPr>
        <w:pStyle w:val="BodyText2"/>
        <w:jc w:val="both"/>
        <w:rPr>
          <w:rFonts w:asciiTheme="minorHAnsi" w:hAnsiTheme="minorHAnsi"/>
          <w:b w:val="0"/>
        </w:rPr>
      </w:pPr>
      <w:r w:rsidRPr="00F0794C">
        <w:rPr>
          <w:rFonts w:asciiTheme="minorHAnsi" w:hAnsiTheme="minorHAnsi"/>
          <w:b w:val="0"/>
        </w:rPr>
        <w:t xml:space="preserve">The ATA supports the </w:t>
      </w:r>
      <w:r w:rsidR="004D66EF" w:rsidRPr="00F0794C">
        <w:rPr>
          <w:rFonts w:asciiTheme="minorHAnsi" w:hAnsiTheme="minorHAnsi"/>
          <w:b w:val="0"/>
        </w:rPr>
        <w:t>Commission’s</w:t>
      </w:r>
      <w:r w:rsidRPr="00F0794C">
        <w:rPr>
          <w:rFonts w:asciiTheme="minorHAnsi" w:hAnsiTheme="minorHAnsi"/>
          <w:b w:val="0"/>
        </w:rPr>
        <w:t xml:space="preserve"> view that t</w:t>
      </w:r>
      <w:r w:rsidR="00E92610" w:rsidRPr="00F0794C">
        <w:rPr>
          <w:rFonts w:asciiTheme="minorHAnsi" w:hAnsiTheme="minorHAnsi"/>
          <w:b w:val="0"/>
          <w:szCs w:val="22"/>
        </w:rPr>
        <w:t>he provision of data to support the benchmarking framework should be a requirement attach</w:t>
      </w:r>
      <w:r w:rsidRPr="00F0794C">
        <w:rPr>
          <w:rFonts w:asciiTheme="minorHAnsi" w:hAnsiTheme="minorHAnsi"/>
          <w:b w:val="0"/>
          <w:szCs w:val="22"/>
        </w:rPr>
        <w:t>ed</w:t>
      </w:r>
      <w:r w:rsidR="00E92610" w:rsidRPr="00F0794C">
        <w:rPr>
          <w:rFonts w:asciiTheme="minorHAnsi" w:hAnsiTheme="minorHAnsi"/>
          <w:b w:val="0"/>
          <w:szCs w:val="22"/>
        </w:rPr>
        <w:t xml:space="preserve"> to all Australian Government funding for major infrastructure projects</w:t>
      </w:r>
      <w:r w:rsidR="00AA36A0" w:rsidRPr="00F0794C">
        <w:rPr>
          <w:rFonts w:asciiTheme="minorHAnsi" w:hAnsiTheme="minorHAnsi"/>
          <w:b w:val="0"/>
          <w:szCs w:val="22"/>
        </w:rPr>
        <w:t>. O</w:t>
      </w:r>
      <w:r w:rsidRPr="00F0794C">
        <w:rPr>
          <w:rFonts w:asciiTheme="minorHAnsi" w:hAnsiTheme="minorHAnsi"/>
          <w:b w:val="0"/>
          <w:szCs w:val="22"/>
        </w:rPr>
        <w:t>ngoing</w:t>
      </w:r>
      <w:r w:rsidR="00E92610" w:rsidRPr="00F0794C">
        <w:rPr>
          <w:rFonts w:asciiTheme="minorHAnsi" w:hAnsiTheme="minorHAnsi"/>
          <w:b w:val="0"/>
          <w:szCs w:val="22"/>
        </w:rPr>
        <w:t xml:space="preserve"> benchmarking must be seen to be independent of both government and industry influence and also be seen as technically robust and credible</w:t>
      </w:r>
      <w:r w:rsidRPr="00F0794C">
        <w:rPr>
          <w:rStyle w:val="FootnoteReference"/>
          <w:rFonts w:asciiTheme="minorHAnsi" w:hAnsiTheme="minorHAnsi"/>
          <w:b w:val="0"/>
          <w:szCs w:val="22"/>
        </w:rPr>
        <w:footnoteReference w:id="17"/>
      </w:r>
      <w:r w:rsidR="00E92610" w:rsidRPr="00F0794C">
        <w:rPr>
          <w:rFonts w:asciiTheme="minorHAnsi" w:hAnsiTheme="minorHAnsi"/>
          <w:b w:val="0"/>
          <w:szCs w:val="22"/>
        </w:rPr>
        <w:t xml:space="preserve">. </w:t>
      </w:r>
    </w:p>
    <w:p w:rsidR="007E232D" w:rsidRPr="00F0794C" w:rsidRDefault="007E232D" w:rsidP="004B5863">
      <w:pPr>
        <w:pStyle w:val="BodyText2"/>
        <w:jc w:val="both"/>
        <w:rPr>
          <w:rFonts w:asciiTheme="minorHAnsi" w:hAnsiTheme="minorHAnsi"/>
          <w:b w:val="0"/>
          <w:szCs w:val="22"/>
        </w:rPr>
      </w:pPr>
    </w:p>
    <w:p w:rsidR="00602BBD" w:rsidRPr="00F0794C" w:rsidRDefault="00DA1A33" w:rsidP="004B5863">
      <w:pPr>
        <w:pStyle w:val="BodyText2"/>
        <w:jc w:val="both"/>
        <w:rPr>
          <w:rFonts w:asciiTheme="minorHAnsi" w:hAnsiTheme="minorHAnsi"/>
          <w:b w:val="0"/>
          <w:szCs w:val="22"/>
        </w:rPr>
      </w:pPr>
      <w:r w:rsidRPr="00F0794C">
        <w:rPr>
          <w:rFonts w:asciiTheme="minorHAnsi" w:hAnsiTheme="minorHAnsi"/>
          <w:b w:val="0"/>
          <w:szCs w:val="22"/>
        </w:rPr>
        <w:t>The move towards benchmarking is in line with the PwC</w:t>
      </w:r>
      <w:r w:rsidR="00EE7A46" w:rsidRPr="00F0794C">
        <w:rPr>
          <w:rFonts w:asciiTheme="minorHAnsi" w:hAnsiTheme="minorHAnsi"/>
          <w:b w:val="0"/>
          <w:szCs w:val="22"/>
        </w:rPr>
        <w:t>’s</w:t>
      </w:r>
      <w:r w:rsidRPr="00F0794C">
        <w:rPr>
          <w:rFonts w:asciiTheme="minorHAnsi" w:hAnsiTheme="minorHAnsi"/>
          <w:b w:val="0"/>
          <w:szCs w:val="22"/>
        </w:rPr>
        <w:t xml:space="preserve"> short</w:t>
      </w:r>
      <w:r w:rsidR="00CA66DF">
        <w:rPr>
          <w:rFonts w:asciiTheme="minorHAnsi" w:hAnsiTheme="minorHAnsi"/>
          <w:b w:val="0"/>
          <w:szCs w:val="22"/>
        </w:rPr>
        <w:t>-</w:t>
      </w:r>
      <w:r w:rsidRPr="00F0794C">
        <w:rPr>
          <w:rFonts w:asciiTheme="minorHAnsi" w:hAnsiTheme="minorHAnsi"/>
          <w:b w:val="0"/>
          <w:szCs w:val="22"/>
        </w:rPr>
        <w:t xml:space="preserve">term recommendation to improve accountability and transparency in road provision. </w:t>
      </w:r>
    </w:p>
    <w:p w:rsidR="00815CBA" w:rsidRPr="00F0794C" w:rsidRDefault="00815CBA" w:rsidP="004B5863">
      <w:pPr>
        <w:pStyle w:val="BodyText2"/>
        <w:jc w:val="both"/>
        <w:rPr>
          <w:rFonts w:asciiTheme="minorHAnsi" w:hAnsiTheme="minorHAnsi"/>
          <w:b w:val="0"/>
          <w:szCs w:val="22"/>
          <w:u w:val="single"/>
        </w:rPr>
      </w:pPr>
    </w:p>
    <w:p w:rsidR="00E92610" w:rsidRPr="00F0794C" w:rsidRDefault="00DA1A33" w:rsidP="004B5863">
      <w:pPr>
        <w:pStyle w:val="BodyText2"/>
        <w:jc w:val="both"/>
        <w:rPr>
          <w:rFonts w:asciiTheme="minorHAnsi" w:hAnsiTheme="minorHAnsi"/>
          <w:b w:val="0"/>
          <w:szCs w:val="22"/>
          <w:u w:val="single"/>
        </w:rPr>
      </w:pPr>
      <w:r w:rsidRPr="00F0794C">
        <w:rPr>
          <w:rFonts w:asciiTheme="minorHAnsi" w:hAnsiTheme="minorHAnsi"/>
          <w:b w:val="0"/>
          <w:szCs w:val="22"/>
          <w:u w:val="single"/>
        </w:rPr>
        <w:t>Institutions suitable for benchmarking</w:t>
      </w:r>
    </w:p>
    <w:p w:rsidR="00DA1A33" w:rsidRPr="00F0794C" w:rsidRDefault="00DA1A33" w:rsidP="004B5863">
      <w:pPr>
        <w:pStyle w:val="BodyText2"/>
        <w:jc w:val="both"/>
        <w:rPr>
          <w:rFonts w:asciiTheme="minorHAnsi" w:hAnsiTheme="minorHAnsi"/>
          <w:b w:val="0"/>
          <w:szCs w:val="22"/>
        </w:rPr>
      </w:pPr>
    </w:p>
    <w:p w:rsidR="004D66EF" w:rsidRPr="00F0794C" w:rsidRDefault="004D66EF" w:rsidP="004B5863">
      <w:pPr>
        <w:pStyle w:val="BodyText2"/>
        <w:jc w:val="both"/>
        <w:rPr>
          <w:rFonts w:asciiTheme="minorHAnsi" w:hAnsiTheme="minorHAnsi"/>
          <w:b w:val="0"/>
          <w:szCs w:val="22"/>
        </w:rPr>
      </w:pPr>
      <w:r w:rsidRPr="00F0794C">
        <w:rPr>
          <w:rFonts w:asciiTheme="minorHAnsi" w:hAnsiTheme="minorHAnsi"/>
          <w:b w:val="0"/>
          <w:szCs w:val="22"/>
        </w:rPr>
        <w:t xml:space="preserve">There is a wide range of suitable entities that would be able to provide useful benchmarking data and reports, including: </w:t>
      </w:r>
    </w:p>
    <w:p w:rsidR="00DA1A33" w:rsidRPr="00F0794C" w:rsidRDefault="004D66EF" w:rsidP="004B5863">
      <w:pPr>
        <w:pStyle w:val="BodyText2"/>
        <w:numPr>
          <w:ilvl w:val="0"/>
          <w:numId w:val="19"/>
        </w:numPr>
        <w:jc w:val="both"/>
        <w:rPr>
          <w:rFonts w:asciiTheme="minorHAnsi" w:hAnsiTheme="minorHAnsi"/>
          <w:b w:val="0"/>
          <w:szCs w:val="22"/>
        </w:rPr>
      </w:pPr>
      <w:r w:rsidRPr="00F0794C">
        <w:rPr>
          <w:rFonts w:asciiTheme="minorHAnsi" w:hAnsiTheme="minorHAnsi"/>
          <w:b w:val="0"/>
          <w:szCs w:val="22"/>
        </w:rPr>
        <w:t>The Australian Bureau of Statistics.</w:t>
      </w:r>
    </w:p>
    <w:p w:rsidR="00DA1A33" w:rsidRPr="00F0794C" w:rsidRDefault="004D66EF" w:rsidP="004B5863">
      <w:pPr>
        <w:pStyle w:val="BodyText2"/>
        <w:numPr>
          <w:ilvl w:val="0"/>
          <w:numId w:val="19"/>
        </w:numPr>
        <w:jc w:val="both"/>
        <w:rPr>
          <w:rFonts w:asciiTheme="minorHAnsi" w:hAnsiTheme="minorHAnsi"/>
          <w:b w:val="0"/>
          <w:szCs w:val="22"/>
        </w:rPr>
      </w:pPr>
      <w:r w:rsidRPr="00F0794C">
        <w:rPr>
          <w:rFonts w:asciiTheme="minorHAnsi" w:hAnsiTheme="minorHAnsi"/>
          <w:b w:val="0"/>
          <w:szCs w:val="22"/>
        </w:rPr>
        <w:t>National Transport Commission.</w:t>
      </w:r>
    </w:p>
    <w:p w:rsidR="004D66EF" w:rsidRPr="00F0794C" w:rsidRDefault="004D66EF" w:rsidP="004B5863">
      <w:pPr>
        <w:pStyle w:val="BodyText2"/>
        <w:numPr>
          <w:ilvl w:val="0"/>
          <w:numId w:val="19"/>
        </w:numPr>
        <w:jc w:val="both"/>
        <w:rPr>
          <w:rFonts w:asciiTheme="minorHAnsi" w:hAnsiTheme="minorHAnsi"/>
          <w:b w:val="0"/>
          <w:szCs w:val="22"/>
        </w:rPr>
      </w:pPr>
      <w:r w:rsidRPr="00F0794C">
        <w:rPr>
          <w:rFonts w:asciiTheme="minorHAnsi" w:hAnsiTheme="minorHAnsi"/>
          <w:b w:val="0"/>
          <w:szCs w:val="22"/>
        </w:rPr>
        <w:t>Bureau of Infrastructure, Transport and Regional Economics.</w:t>
      </w:r>
    </w:p>
    <w:p w:rsidR="00472B3F" w:rsidRPr="00F0794C" w:rsidRDefault="00EE7A46" w:rsidP="004B5863">
      <w:pPr>
        <w:pStyle w:val="BodyText2"/>
        <w:numPr>
          <w:ilvl w:val="0"/>
          <w:numId w:val="19"/>
        </w:numPr>
        <w:jc w:val="both"/>
        <w:rPr>
          <w:rFonts w:asciiTheme="minorHAnsi" w:hAnsiTheme="minorHAnsi"/>
          <w:b w:val="0"/>
          <w:szCs w:val="22"/>
        </w:rPr>
      </w:pPr>
      <w:r w:rsidRPr="00F0794C">
        <w:rPr>
          <w:rFonts w:asciiTheme="minorHAnsi" w:hAnsiTheme="minorHAnsi"/>
          <w:b w:val="0"/>
          <w:szCs w:val="22"/>
        </w:rPr>
        <w:t>Reputable c</w:t>
      </w:r>
      <w:r w:rsidR="004D66EF" w:rsidRPr="00F0794C">
        <w:rPr>
          <w:rFonts w:asciiTheme="minorHAnsi" w:hAnsiTheme="minorHAnsi"/>
          <w:b w:val="0"/>
          <w:szCs w:val="22"/>
        </w:rPr>
        <w:t>onsultants, like PricewaterhouseCo</w:t>
      </w:r>
      <w:r w:rsidRPr="00F0794C">
        <w:rPr>
          <w:rFonts w:asciiTheme="minorHAnsi" w:hAnsiTheme="minorHAnsi"/>
          <w:b w:val="0"/>
          <w:szCs w:val="22"/>
        </w:rPr>
        <w:t>o</w:t>
      </w:r>
      <w:r w:rsidR="004D66EF" w:rsidRPr="00F0794C">
        <w:rPr>
          <w:rFonts w:asciiTheme="minorHAnsi" w:hAnsiTheme="minorHAnsi"/>
          <w:b w:val="0"/>
          <w:szCs w:val="22"/>
        </w:rPr>
        <w:t>pers</w:t>
      </w:r>
      <w:r w:rsidR="00AA36A0" w:rsidRPr="00F0794C">
        <w:rPr>
          <w:rFonts w:asciiTheme="minorHAnsi" w:hAnsiTheme="minorHAnsi"/>
          <w:b w:val="0"/>
          <w:szCs w:val="22"/>
        </w:rPr>
        <w:t>, and</w:t>
      </w:r>
    </w:p>
    <w:p w:rsidR="00472B3F" w:rsidRPr="00F0794C" w:rsidRDefault="00AA36A0" w:rsidP="004B5863">
      <w:pPr>
        <w:pStyle w:val="BodyText2"/>
        <w:numPr>
          <w:ilvl w:val="0"/>
          <w:numId w:val="19"/>
        </w:numPr>
        <w:jc w:val="both"/>
        <w:rPr>
          <w:rFonts w:asciiTheme="minorHAnsi" w:hAnsiTheme="minorHAnsi"/>
          <w:b w:val="0"/>
          <w:szCs w:val="22"/>
        </w:rPr>
      </w:pPr>
      <w:proofErr w:type="gramStart"/>
      <w:r w:rsidRPr="00F0794C">
        <w:rPr>
          <w:rFonts w:asciiTheme="minorHAnsi" w:hAnsiTheme="minorHAnsi"/>
          <w:b w:val="0"/>
          <w:szCs w:val="22"/>
        </w:rPr>
        <w:t>p</w:t>
      </w:r>
      <w:r w:rsidR="004D66EF" w:rsidRPr="00F0794C">
        <w:rPr>
          <w:rFonts w:asciiTheme="minorHAnsi" w:hAnsiTheme="minorHAnsi"/>
          <w:b w:val="0"/>
          <w:szCs w:val="22"/>
        </w:rPr>
        <w:t>rivate</w:t>
      </w:r>
      <w:proofErr w:type="gramEnd"/>
      <w:r w:rsidR="00472B3F" w:rsidRPr="00F0794C">
        <w:rPr>
          <w:rFonts w:asciiTheme="minorHAnsi" w:hAnsiTheme="minorHAnsi"/>
          <w:b w:val="0"/>
          <w:szCs w:val="22"/>
        </w:rPr>
        <w:t xml:space="preserve"> sector collectors of disaggregated transport data</w:t>
      </w:r>
      <w:r w:rsidR="004D66EF" w:rsidRPr="00F0794C">
        <w:rPr>
          <w:rFonts w:asciiTheme="minorHAnsi" w:hAnsiTheme="minorHAnsi"/>
          <w:b w:val="0"/>
          <w:szCs w:val="22"/>
        </w:rPr>
        <w:t>.</w:t>
      </w:r>
    </w:p>
    <w:p w:rsidR="00755B65" w:rsidRPr="00F0794C" w:rsidRDefault="00755B65" w:rsidP="004B5863">
      <w:pPr>
        <w:pStyle w:val="BodyText2"/>
        <w:jc w:val="both"/>
        <w:rPr>
          <w:rFonts w:asciiTheme="minorHAnsi" w:hAnsiTheme="minorHAnsi"/>
          <w:b w:val="0"/>
          <w:szCs w:val="22"/>
        </w:rPr>
      </w:pPr>
    </w:p>
    <w:p w:rsidR="00755B65" w:rsidRPr="00F0794C" w:rsidRDefault="00755B65" w:rsidP="004B5863">
      <w:pPr>
        <w:pStyle w:val="BodyText2"/>
        <w:jc w:val="both"/>
        <w:rPr>
          <w:rFonts w:asciiTheme="minorHAnsi" w:hAnsiTheme="minorHAnsi"/>
          <w:szCs w:val="22"/>
        </w:rPr>
      </w:pPr>
      <w:r w:rsidRPr="00F0794C">
        <w:rPr>
          <w:rFonts w:asciiTheme="minorHAnsi" w:hAnsiTheme="minorHAnsi"/>
          <w:szCs w:val="22"/>
        </w:rPr>
        <w:t>Recommendation 3</w:t>
      </w:r>
    </w:p>
    <w:p w:rsidR="00755B65" w:rsidRPr="00F0794C" w:rsidRDefault="00755B65" w:rsidP="004B5863">
      <w:pPr>
        <w:pStyle w:val="BodyText2"/>
        <w:jc w:val="both"/>
        <w:rPr>
          <w:rFonts w:asciiTheme="minorHAnsi" w:hAnsiTheme="minorHAnsi"/>
          <w:b w:val="0"/>
          <w:szCs w:val="22"/>
        </w:rPr>
      </w:pPr>
    </w:p>
    <w:p w:rsidR="00F63F4C" w:rsidRPr="00F0794C" w:rsidRDefault="00755B65" w:rsidP="004B5863">
      <w:pPr>
        <w:pStyle w:val="BodyText2"/>
        <w:jc w:val="both"/>
        <w:rPr>
          <w:rFonts w:asciiTheme="minorHAnsi" w:hAnsiTheme="minorHAnsi"/>
          <w:b w:val="0"/>
          <w:szCs w:val="22"/>
        </w:rPr>
      </w:pPr>
      <w:r w:rsidRPr="00F0794C">
        <w:rPr>
          <w:rFonts w:asciiTheme="minorHAnsi" w:hAnsiTheme="minorHAnsi"/>
          <w:b w:val="0"/>
          <w:szCs w:val="22"/>
        </w:rPr>
        <w:t xml:space="preserve">The ATA supports the </w:t>
      </w:r>
      <w:r w:rsidR="00EE7A46" w:rsidRPr="00F0794C">
        <w:rPr>
          <w:rFonts w:asciiTheme="minorHAnsi" w:hAnsiTheme="minorHAnsi"/>
          <w:b w:val="0"/>
          <w:szCs w:val="22"/>
        </w:rPr>
        <w:t xml:space="preserve">Commission’s </w:t>
      </w:r>
      <w:r w:rsidRPr="00F0794C">
        <w:rPr>
          <w:rFonts w:asciiTheme="minorHAnsi" w:hAnsiTheme="minorHAnsi"/>
          <w:b w:val="0"/>
          <w:szCs w:val="22"/>
        </w:rPr>
        <w:t xml:space="preserve">draft recommendation 8.2, with the </w:t>
      </w:r>
      <w:r w:rsidR="00815CBA" w:rsidRPr="00F0794C">
        <w:rPr>
          <w:rFonts w:asciiTheme="minorHAnsi" w:hAnsiTheme="minorHAnsi"/>
          <w:b w:val="0"/>
          <w:szCs w:val="22"/>
        </w:rPr>
        <w:t>substitution</w:t>
      </w:r>
      <w:r w:rsidRPr="00F0794C">
        <w:rPr>
          <w:rFonts w:asciiTheme="minorHAnsi" w:hAnsiTheme="minorHAnsi"/>
          <w:b w:val="0"/>
          <w:szCs w:val="22"/>
        </w:rPr>
        <w:t xml:space="preserve"> of </w:t>
      </w:r>
      <w:r w:rsidR="00B91ACE">
        <w:rPr>
          <w:rFonts w:asciiTheme="minorHAnsi" w:hAnsiTheme="minorHAnsi"/>
          <w:b w:val="0"/>
          <w:i/>
          <w:szCs w:val="22"/>
        </w:rPr>
        <w:t>significant</w:t>
      </w:r>
      <w:r w:rsidRPr="00F0794C">
        <w:rPr>
          <w:rFonts w:asciiTheme="minorHAnsi" w:hAnsiTheme="minorHAnsi"/>
          <w:b w:val="0"/>
          <w:szCs w:val="22"/>
        </w:rPr>
        <w:t xml:space="preserve"> infrastructure projects </w:t>
      </w:r>
      <w:r w:rsidR="00EE7A46" w:rsidRPr="00F0794C">
        <w:rPr>
          <w:rFonts w:asciiTheme="minorHAnsi" w:hAnsiTheme="minorHAnsi"/>
          <w:b w:val="0"/>
          <w:szCs w:val="22"/>
        </w:rPr>
        <w:t>in Australia being benchmarked</w:t>
      </w:r>
      <w:r w:rsidRPr="00F0794C">
        <w:rPr>
          <w:rFonts w:asciiTheme="minorHAnsi" w:hAnsiTheme="minorHAnsi"/>
          <w:b w:val="0"/>
          <w:szCs w:val="22"/>
        </w:rPr>
        <w:t xml:space="preserve">, not just </w:t>
      </w:r>
      <w:r w:rsidRPr="00F0794C">
        <w:rPr>
          <w:rFonts w:asciiTheme="minorHAnsi" w:hAnsiTheme="minorHAnsi"/>
          <w:b w:val="0"/>
          <w:i/>
          <w:szCs w:val="22"/>
        </w:rPr>
        <w:t>major</w:t>
      </w:r>
      <w:r w:rsidR="00EE7A46" w:rsidRPr="00F0794C">
        <w:rPr>
          <w:rFonts w:asciiTheme="minorHAnsi" w:hAnsiTheme="minorHAnsi"/>
          <w:b w:val="0"/>
          <w:i/>
          <w:szCs w:val="22"/>
        </w:rPr>
        <w:t xml:space="preserve"> </w:t>
      </w:r>
      <w:r w:rsidR="00EE7A46" w:rsidRPr="00F0794C">
        <w:rPr>
          <w:rFonts w:asciiTheme="minorHAnsi" w:hAnsiTheme="minorHAnsi"/>
          <w:b w:val="0"/>
          <w:szCs w:val="22"/>
        </w:rPr>
        <w:t>projects</w:t>
      </w:r>
      <w:r w:rsidRPr="00F0794C">
        <w:rPr>
          <w:rFonts w:asciiTheme="minorHAnsi" w:hAnsiTheme="minorHAnsi"/>
          <w:b w:val="0"/>
          <w:szCs w:val="22"/>
        </w:rPr>
        <w:t xml:space="preserve">. </w:t>
      </w:r>
    </w:p>
    <w:p w:rsidR="00F63F4C" w:rsidRPr="00F0794C" w:rsidRDefault="00F63F4C" w:rsidP="004B5863">
      <w:pPr>
        <w:jc w:val="both"/>
        <w:rPr>
          <w:rFonts w:asciiTheme="minorHAnsi" w:eastAsiaTheme="minorHAnsi" w:hAnsiTheme="minorHAnsi" w:cs="Arial"/>
          <w:b/>
        </w:rPr>
      </w:pPr>
    </w:p>
    <w:p w:rsidR="00155CDE" w:rsidRPr="00F0794C" w:rsidRDefault="00155CDE" w:rsidP="004B5863">
      <w:pPr>
        <w:pStyle w:val="Heading1"/>
        <w:numPr>
          <w:ilvl w:val="1"/>
          <w:numId w:val="16"/>
        </w:numPr>
        <w:jc w:val="both"/>
        <w:rPr>
          <w:rFonts w:asciiTheme="minorHAnsi" w:hAnsiTheme="minorHAnsi"/>
          <w:sz w:val="24"/>
        </w:rPr>
      </w:pPr>
      <w:bookmarkStart w:id="14" w:name="_Toc384105356"/>
      <w:r w:rsidRPr="00F0794C">
        <w:rPr>
          <w:rFonts w:asciiTheme="minorHAnsi" w:hAnsiTheme="minorHAnsi"/>
          <w:sz w:val="24"/>
        </w:rPr>
        <w:t>Project selection</w:t>
      </w:r>
      <w:bookmarkEnd w:id="14"/>
      <w:r w:rsidRPr="00F0794C">
        <w:rPr>
          <w:rFonts w:asciiTheme="minorHAnsi" w:hAnsiTheme="minorHAnsi"/>
          <w:sz w:val="24"/>
        </w:rPr>
        <w:t xml:space="preserve"> </w:t>
      </w:r>
    </w:p>
    <w:p w:rsidR="00B4622F" w:rsidRPr="00F0794C" w:rsidRDefault="00B4622F" w:rsidP="004B5863">
      <w:pPr>
        <w:jc w:val="both"/>
        <w:rPr>
          <w:rFonts w:asciiTheme="minorHAnsi" w:hAnsiTheme="minorHAnsi"/>
        </w:rPr>
      </w:pPr>
    </w:p>
    <w:p w:rsidR="00CB4D57" w:rsidRPr="00F0794C" w:rsidRDefault="00155CDE" w:rsidP="004B5863">
      <w:pPr>
        <w:ind w:left="720"/>
        <w:jc w:val="both"/>
        <w:rPr>
          <w:rFonts w:asciiTheme="minorHAnsi" w:eastAsiaTheme="minorHAnsi" w:hAnsiTheme="minorHAnsi" w:cs="Arial"/>
          <w:i/>
        </w:rPr>
      </w:pPr>
      <w:r w:rsidRPr="00F0794C">
        <w:rPr>
          <w:rFonts w:asciiTheme="minorHAnsi" w:hAnsiTheme="minorHAnsi"/>
          <w:i/>
        </w:rPr>
        <w:t xml:space="preserve">‘Governments are sometimes weak at determining what, where and when infrastructure projects should be scoped and constructed. This stems from deficiencies in using coherent decision making frameworks – especially scoping and developing transparent cost benefit analysis, rigorous demand forecasting, investigating project risks fully (including latent risks borne by governments) and efficiently allocating risks between public and private partners. </w:t>
      </w:r>
      <w:r w:rsidRPr="00F0794C">
        <w:rPr>
          <w:rStyle w:val="FootnoteReference"/>
          <w:rFonts w:asciiTheme="minorHAnsi" w:hAnsiTheme="minorHAnsi"/>
          <w:i/>
        </w:rPr>
        <w:footnoteReference w:id="18"/>
      </w:r>
    </w:p>
    <w:p w:rsidR="00A023EA" w:rsidRPr="00F0794C" w:rsidRDefault="00A023EA" w:rsidP="004B5863">
      <w:pPr>
        <w:pStyle w:val="BodyText2"/>
        <w:jc w:val="both"/>
        <w:rPr>
          <w:rFonts w:asciiTheme="minorHAnsi" w:hAnsiTheme="minorHAnsi"/>
          <w:b w:val="0"/>
          <w:szCs w:val="22"/>
        </w:rPr>
      </w:pPr>
    </w:p>
    <w:p w:rsidR="00A303BA" w:rsidRPr="00F0794C" w:rsidRDefault="00A303BA" w:rsidP="004B5863">
      <w:pPr>
        <w:pStyle w:val="BodyText2"/>
        <w:jc w:val="both"/>
        <w:rPr>
          <w:rFonts w:asciiTheme="minorHAnsi" w:hAnsiTheme="minorHAnsi"/>
          <w:b w:val="0"/>
          <w:szCs w:val="22"/>
        </w:rPr>
      </w:pPr>
      <w:r w:rsidRPr="00F0794C">
        <w:rPr>
          <w:rFonts w:asciiTheme="minorHAnsi" w:hAnsiTheme="minorHAnsi"/>
          <w:b w:val="0"/>
          <w:szCs w:val="22"/>
        </w:rPr>
        <w:lastRenderedPageBreak/>
        <w:t xml:space="preserve">We fully agree with the </w:t>
      </w:r>
      <w:r w:rsidR="004D66EF" w:rsidRPr="00F0794C">
        <w:rPr>
          <w:rFonts w:asciiTheme="minorHAnsi" w:hAnsiTheme="minorHAnsi"/>
          <w:b w:val="0"/>
          <w:szCs w:val="22"/>
        </w:rPr>
        <w:t>Commission’s</w:t>
      </w:r>
      <w:r w:rsidRPr="00F0794C">
        <w:rPr>
          <w:rFonts w:asciiTheme="minorHAnsi" w:hAnsiTheme="minorHAnsi"/>
          <w:b w:val="0"/>
          <w:szCs w:val="22"/>
        </w:rPr>
        <w:t xml:space="preserve"> statements that </w:t>
      </w:r>
      <w:r w:rsidR="00EE7A46" w:rsidRPr="00F0794C">
        <w:rPr>
          <w:rFonts w:asciiTheme="minorHAnsi" w:hAnsiTheme="minorHAnsi"/>
          <w:b w:val="0"/>
          <w:szCs w:val="22"/>
        </w:rPr>
        <w:t xml:space="preserve">many </w:t>
      </w:r>
      <w:r w:rsidRPr="00F0794C">
        <w:rPr>
          <w:rFonts w:asciiTheme="minorHAnsi" w:hAnsiTheme="minorHAnsi"/>
          <w:b w:val="0"/>
          <w:szCs w:val="22"/>
        </w:rPr>
        <w:t xml:space="preserve">major projects and ribbon cutting </w:t>
      </w:r>
      <w:r w:rsidR="00EE7A46" w:rsidRPr="00F0794C">
        <w:rPr>
          <w:rFonts w:asciiTheme="minorHAnsi" w:hAnsiTheme="minorHAnsi"/>
          <w:b w:val="0"/>
          <w:szCs w:val="22"/>
        </w:rPr>
        <w:t xml:space="preserve">exercises </w:t>
      </w:r>
      <w:r w:rsidRPr="00F0794C">
        <w:rPr>
          <w:rFonts w:asciiTheme="minorHAnsi" w:hAnsiTheme="minorHAnsi"/>
          <w:b w:val="0"/>
          <w:szCs w:val="22"/>
        </w:rPr>
        <w:t>come at the expense of periodic maintenance</w:t>
      </w:r>
      <w:r w:rsidR="00EE7A46" w:rsidRPr="00F0794C">
        <w:rPr>
          <w:rFonts w:asciiTheme="minorHAnsi" w:hAnsiTheme="minorHAnsi"/>
          <w:b w:val="0"/>
          <w:szCs w:val="22"/>
        </w:rPr>
        <w:t xml:space="preserve"> (to extend and exploit the asset lifecycle)</w:t>
      </w:r>
      <w:r w:rsidRPr="00F0794C">
        <w:rPr>
          <w:rFonts w:asciiTheme="minorHAnsi" w:hAnsiTheme="minorHAnsi"/>
          <w:b w:val="0"/>
          <w:szCs w:val="22"/>
        </w:rPr>
        <w:t xml:space="preserve"> and of small scale de-bottlenecking options that could postpone or even avoid the need for costly asset expansions.</w:t>
      </w:r>
      <w:r w:rsidRPr="00F0794C">
        <w:rPr>
          <w:rStyle w:val="FootnoteReference"/>
          <w:rFonts w:asciiTheme="minorHAnsi" w:hAnsiTheme="minorHAnsi"/>
          <w:b w:val="0"/>
          <w:szCs w:val="22"/>
        </w:rPr>
        <w:footnoteReference w:id="19"/>
      </w:r>
      <w:r w:rsidRPr="00F0794C">
        <w:rPr>
          <w:rFonts w:asciiTheme="minorHAnsi" w:hAnsiTheme="minorHAnsi"/>
          <w:b w:val="0"/>
          <w:szCs w:val="22"/>
        </w:rPr>
        <w:t xml:space="preserve"> </w:t>
      </w:r>
    </w:p>
    <w:p w:rsidR="00A303BA" w:rsidRPr="00F0794C" w:rsidRDefault="00A303BA" w:rsidP="004B5863">
      <w:pPr>
        <w:pStyle w:val="BodyText2"/>
        <w:jc w:val="both"/>
        <w:rPr>
          <w:rFonts w:asciiTheme="minorHAnsi" w:hAnsiTheme="minorHAnsi"/>
          <w:b w:val="0"/>
          <w:szCs w:val="22"/>
        </w:rPr>
      </w:pPr>
    </w:p>
    <w:p w:rsidR="00F45CDC" w:rsidRPr="00F0794C" w:rsidRDefault="00F45CDC" w:rsidP="004B5863">
      <w:pPr>
        <w:pStyle w:val="BodyText2"/>
        <w:jc w:val="both"/>
        <w:rPr>
          <w:rFonts w:asciiTheme="minorHAnsi" w:hAnsiTheme="minorHAnsi"/>
          <w:b w:val="0"/>
          <w:szCs w:val="22"/>
        </w:rPr>
      </w:pPr>
      <w:r w:rsidRPr="00F0794C">
        <w:rPr>
          <w:rFonts w:asciiTheme="minorHAnsi" w:hAnsiTheme="minorHAnsi"/>
          <w:b w:val="0"/>
          <w:szCs w:val="22"/>
        </w:rPr>
        <w:t>Evidence from the Newell Highway shows strategic investment can improve safety significantly</w:t>
      </w:r>
      <w:r w:rsidR="008F1908">
        <w:rPr>
          <w:rFonts w:asciiTheme="minorHAnsi" w:hAnsiTheme="minorHAnsi"/>
          <w:b w:val="0"/>
          <w:szCs w:val="22"/>
        </w:rPr>
        <w:t>,</w:t>
      </w:r>
      <w:r w:rsidRPr="00F0794C">
        <w:rPr>
          <w:rFonts w:asciiTheme="minorHAnsi" w:hAnsiTheme="minorHAnsi"/>
          <w:b w:val="0"/>
          <w:szCs w:val="22"/>
        </w:rPr>
        <w:t xml:space="preserve"> at lower cost than</w:t>
      </w:r>
      <w:r w:rsidR="00CC1DAB" w:rsidRPr="00F0794C">
        <w:rPr>
          <w:rFonts w:asciiTheme="minorHAnsi" w:hAnsiTheme="minorHAnsi"/>
          <w:b w:val="0"/>
          <w:szCs w:val="22"/>
        </w:rPr>
        <w:t xml:space="preserve"> a</w:t>
      </w:r>
      <w:r w:rsidR="00EE7A46" w:rsidRPr="00F0794C">
        <w:rPr>
          <w:rFonts w:asciiTheme="minorHAnsi" w:hAnsiTheme="minorHAnsi"/>
          <w:b w:val="0"/>
          <w:szCs w:val="22"/>
        </w:rPr>
        <w:t>n</w:t>
      </w:r>
      <w:r w:rsidR="00CC1DAB" w:rsidRPr="00F0794C">
        <w:rPr>
          <w:rFonts w:asciiTheme="minorHAnsi" w:hAnsiTheme="minorHAnsi"/>
          <w:b w:val="0"/>
          <w:szCs w:val="22"/>
        </w:rPr>
        <w:t xml:space="preserve"> </w:t>
      </w:r>
      <w:r w:rsidR="00EE7A46" w:rsidRPr="00F0794C">
        <w:rPr>
          <w:rFonts w:asciiTheme="minorHAnsi" w:hAnsiTheme="minorHAnsi"/>
          <w:b w:val="0"/>
          <w:szCs w:val="22"/>
        </w:rPr>
        <w:t xml:space="preserve">exorbitantly priced </w:t>
      </w:r>
      <w:r w:rsidR="00CC1DAB" w:rsidRPr="00F0794C">
        <w:rPr>
          <w:rFonts w:asciiTheme="minorHAnsi" w:hAnsiTheme="minorHAnsi"/>
          <w:b w:val="0"/>
          <w:szCs w:val="22"/>
        </w:rPr>
        <w:t>grand</w:t>
      </w:r>
      <w:r w:rsidRPr="00F0794C">
        <w:rPr>
          <w:rFonts w:asciiTheme="minorHAnsi" w:hAnsiTheme="minorHAnsi"/>
          <w:b w:val="0"/>
          <w:szCs w:val="22"/>
        </w:rPr>
        <w:t xml:space="preserve"> dual carriageway.  </w:t>
      </w:r>
    </w:p>
    <w:p w:rsidR="00F45CDC" w:rsidRPr="00F0794C" w:rsidRDefault="00F45CDC" w:rsidP="004B5863">
      <w:pPr>
        <w:pStyle w:val="BodyText2"/>
        <w:jc w:val="both"/>
        <w:rPr>
          <w:rFonts w:asciiTheme="minorHAnsi" w:hAnsiTheme="minorHAnsi"/>
          <w:b w:val="0"/>
          <w:szCs w:val="22"/>
        </w:rPr>
      </w:pPr>
    </w:p>
    <w:p w:rsidR="006A048D" w:rsidRPr="00F0794C" w:rsidRDefault="00A303BA" w:rsidP="004B5863">
      <w:pPr>
        <w:pStyle w:val="BodyText2"/>
        <w:jc w:val="both"/>
        <w:rPr>
          <w:rFonts w:asciiTheme="minorHAnsi" w:hAnsiTheme="minorHAnsi"/>
          <w:b w:val="0"/>
          <w:szCs w:val="22"/>
        </w:rPr>
      </w:pPr>
      <w:r w:rsidRPr="00F0794C">
        <w:rPr>
          <w:rFonts w:asciiTheme="minorHAnsi" w:hAnsiTheme="minorHAnsi"/>
          <w:b w:val="0"/>
          <w:szCs w:val="22"/>
        </w:rPr>
        <w:t>The issue of periodic maintenance cannot be ignored if the road quality and stock of Australia is to improve. As highligh</w:t>
      </w:r>
      <w:r w:rsidR="006A048D" w:rsidRPr="00F0794C">
        <w:rPr>
          <w:rFonts w:asciiTheme="minorHAnsi" w:hAnsiTheme="minorHAnsi"/>
          <w:b w:val="0"/>
          <w:szCs w:val="22"/>
        </w:rPr>
        <w:t xml:space="preserve">ted in </w:t>
      </w:r>
      <w:r w:rsidR="00D01326" w:rsidRPr="00F0794C">
        <w:rPr>
          <w:rFonts w:asciiTheme="minorHAnsi" w:hAnsiTheme="minorHAnsi"/>
          <w:b w:val="0"/>
          <w:szCs w:val="22"/>
        </w:rPr>
        <w:t>the ATA’s</w:t>
      </w:r>
      <w:r w:rsidR="006A048D" w:rsidRPr="00F0794C">
        <w:rPr>
          <w:rFonts w:asciiTheme="minorHAnsi" w:hAnsiTheme="minorHAnsi"/>
          <w:b w:val="0"/>
          <w:szCs w:val="22"/>
        </w:rPr>
        <w:t xml:space="preserve"> previous submission to the </w:t>
      </w:r>
      <w:r w:rsidR="008C0A86" w:rsidRPr="00F0794C">
        <w:rPr>
          <w:rFonts w:asciiTheme="minorHAnsi" w:hAnsiTheme="minorHAnsi"/>
          <w:b w:val="0"/>
          <w:szCs w:val="22"/>
        </w:rPr>
        <w:t>Commission</w:t>
      </w:r>
      <w:r w:rsidR="00AC73BA" w:rsidRPr="00F0794C">
        <w:rPr>
          <w:rFonts w:asciiTheme="minorHAnsi" w:hAnsiTheme="minorHAnsi"/>
          <w:b w:val="0"/>
          <w:szCs w:val="22"/>
        </w:rPr>
        <w:t xml:space="preserve"> on this issue</w:t>
      </w:r>
      <w:r w:rsidR="008C0A86" w:rsidRPr="00F0794C">
        <w:rPr>
          <w:rFonts w:asciiTheme="minorHAnsi" w:hAnsiTheme="minorHAnsi"/>
          <w:b w:val="0"/>
          <w:szCs w:val="22"/>
        </w:rPr>
        <w:t>,</w:t>
      </w:r>
      <w:r w:rsidR="006A048D" w:rsidRPr="00F0794C">
        <w:rPr>
          <w:rFonts w:asciiTheme="minorHAnsi" w:hAnsiTheme="minorHAnsi"/>
          <w:b w:val="0"/>
          <w:szCs w:val="22"/>
        </w:rPr>
        <w:t xml:space="preserve"> budgets for maintenance are reducing over time and </w:t>
      </w:r>
      <w:r w:rsidR="008C0A86" w:rsidRPr="00F0794C">
        <w:rPr>
          <w:rFonts w:asciiTheme="minorHAnsi" w:hAnsiTheme="minorHAnsi"/>
          <w:b w:val="0"/>
          <w:szCs w:val="22"/>
        </w:rPr>
        <w:t>there is a need to address</w:t>
      </w:r>
      <w:r w:rsidR="00750395" w:rsidRPr="00F0794C">
        <w:rPr>
          <w:rFonts w:asciiTheme="minorHAnsi" w:hAnsiTheme="minorHAnsi"/>
          <w:b w:val="0"/>
          <w:szCs w:val="22"/>
        </w:rPr>
        <w:t xml:space="preserve"> </w:t>
      </w:r>
      <w:r w:rsidR="006A048D" w:rsidRPr="00F0794C">
        <w:rPr>
          <w:rFonts w:asciiTheme="minorHAnsi" w:hAnsiTheme="minorHAnsi"/>
          <w:b w:val="0"/>
          <w:szCs w:val="22"/>
        </w:rPr>
        <w:t>the issue of poor maintenance programs</w:t>
      </w:r>
      <w:r w:rsidR="008C0A86" w:rsidRPr="00F0794C">
        <w:rPr>
          <w:rFonts w:asciiTheme="minorHAnsi" w:hAnsiTheme="minorHAnsi"/>
          <w:b w:val="0"/>
          <w:szCs w:val="22"/>
        </w:rPr>
        <w:t xml:space="preserve">. </w:t>
      </w:r>
    </w:p>
    <w:p w:rsidR="008C0A86" w:rsidRPr="00F0794C" w:rsidRDefault="008C0A86" w:rsidP="004B5863">
      <w:pPr>
        <w:pStyle w:val="BodyText2"/>
        <w:jc w:val="both"/>
        <w:rPr>
          <w:rFonts w:asciiTheme="minorHAnsi" w:hAnsiTheme="minorHAnsi"/>
          <w:b w:val="0"/>
          <w:szCs w:val="22"/>
        </w:rPr>
      </w:pPr>
    </w:p>
    <w:p w:rsidR="006A048D" w:rsidRPr="00F0794C" w:rsidRDefault="007F3785" w:rsidP="004B5863">
      <w:pPr>
        <w:pStyle w:val="BodyText2"/>
        <w:jc w:val="both"/>
        <w:rPr>
          <w:rFonts w:asciiTheme="minorHAnsi" w:hAnsiTheme="minorHAnsi"/>
          <w:b w:val="0"/>
          <w:szCs w:val="22"/>
        </w:rPr>
      </w:pPr>
      <w:r w:rsidRPr="00F0794C">
        <w:rPr>
          <w:rFonts w:asciiTheme="minorHAnsi" w:hAnsiTheme="minorHAnsi"/>
          <w:b w:val="0"/>
          <w:szCs w:val="22"/>
        </w:rPr>
        <w:t xml:space="preserve">Poor </w:t>
      </w:r>
      <w:r w:rsidR="00AC73BA" w:rsidRPr="00F0794C">
        <w:rPr>
          <w:rFonts w:asciiTheme="minorHAnsi" w:hAnsiTheme="minorHAnsi"/>
          <w:b w:val="0"/>
          <w:szCs w:val="22"/>
        </w:rPr>
        <w:t xml:space="preserve">road </w:t>
      </w:r>
      <w:r w:rsidRPr="00F0794C">
        <w:rPr>
          <w:rFonts w:asciiTheme="minorHAnsi" w:hAnsiTheme="minorHAnsi"/>
          <w:b w:val="0"/>
          <w:szCs w:val="22"/>
        </w:rPr>
        <w:t xml:space="preserve">maintenance and quality decisions will be worn by the industry again and again. Having a consistent and accurate maintenance program is </w:t>
      </w:r>
      <w:r w:rsidR="006B67AF" w:rsidRPr="00F0794C">
        <w:rPr>
          <w:rFonts w:asciiTheme="minorHAnsi" w:hAnsiTheme="minorHAnsi"/>
          <w:b w:val="0"/>
          <w:szCs w:val="22"/>
        </w:rPr>
        <w:t>crucial</w:t>
      </w:r>
      <w:r w:rsidRPr="00F0794C">
        <w:rPr>
          <w:rFonts w:asciiTheme="minorHAnsi" w:hAnsiTheme="minorHAnsi"/>
          <w:b w:val="0"/>
          <w:szCs w:val="22"/>
        </w:rPr>
        <w:t xml:space="preserve"> to providing roads that do not cause industry undue cost. While it is not feasible to </w:t>
      </w:r>
      <w:r w:rsidR="00AC73BA" w:rsidRPr="00F0794C">
        <w:rPr>
          <w:rFonts w:asciiTheme="minorHAnsi" w:hAnsiTheme="minorHAnsi"/>
          <w:b w:val="0"/>
          <w:szCs w:val="22"/>
        </w:rPr>
        <w:t>upgrade</w:t>
      </w:r>
      <w:r w:rsidRPr="00F0794C">
        <w:rPr>
          <w:rFonts w:asciiTheme="minorHAnsi" w:hAnsiTheme="minorHAnsi"/>
          <w:b w:val="0"/>
          <w:szCs w:val="22"/>
        </w:rPr>
        <w:t xml:space="preserve"> every road in Australia to bitumen quality, poorly maintained roads cost users </w:t>
      </w:r>
      <w:r w:rsidR="00AC73BA" w:rsidRPr="00F0794C">
        <w:rPr>
          <w:rFonts w:asciiTheme="minorHAnsi" w:hAnsiTheme="minorHAnsi"/>
          <w:b w:val="0"/>
          <w:szCs w:val="22"/>
        </w:rPr>
        <w:t xml:space="preserve">higher than necessary </w:t>
      </w:r>
      <w:r w:rsidRPr="00F0794C">
        <w:rPr>
          <w:rFonts w:asciiTheme="minorHAnsi" w:hAnsiTheme="minorHAnsi"/>
          <w:b w:val="0"/>
          <w:szCs w:val="22"/>
        </w:rPr>
        <w:t>vehicle operating costs.</w:t>
      </w:r>
    </w:p>
    <w:p w:rsidR="006B67AF" w:rsidRPr="00F0794C" w:rsidRDefault="006B67AF" w:rsidP="004B5863">
      <w:pPr>
        <w:pStyle w:val="BodyText2"/>
        <w:jc w:val="both"/>
        <w:rPr>
          <w:rFonts w:asciiTheme="minorHAnsi" w:hAnsiTheme="minorHAnsi"/>
          <w:b w:val="0"/>
          <w:szCs w:val="22"/>
        </w:rPr>
      </w:pPr>
    </w:p>
    <w:p w:rsidR="007F3785" w:rsidRPr="00F0794C" w:rsidRDefault="00493FF5" w:rsidP="004B5863">
      <w:pPr>
        <w:pStyle w:val="BodyText2"/>
        <w:jc w:val="both"/>
        <w:rPr>
          <w:rFonts w:asciiTheme="minorHAnsi" w:hAnsiTheme="minorHAnsi"/>
          <w:b w:val="0"/>
          <w:szCs w:val="22"/>
        </w:rPr>
      </w:pPr>
      <w:r w:rsidRPr="00F0794C">
        <w:rPr>
          <w:rFonts w:asciiTheme="minorHAnsi" w:hAnsiTheme="minorHAnsi"/>
          <w:b w:val="0"/>
          <w:szCs w:val="22"/>
        </w:rPr>
        <w:t xml:space="preserve">We hold the </w:t>
      </w:r>
      <w:r w:rsidR="008C0A86" w:rsidRPr="00F0794C">
        <w:rPr>
          <w:rFonts w:asciiTheme="minorHAnsi" w:hAnsiTheme="minorHAnsi"/>
          <w:b w:val="0"/>
          <w:szCs w:val="22"/>
        </w:rPr>
        <w:t>Commission’s</w:t>
      </w:r>
      <w:r w:rsidRPr="00F0794C">
        <w:rPr>
          <w:rFonts w:asciiTheme="minorHAnsi" w:hAnsiTheme="minorHAnsi"/>
          <w:b w:val="0"/>
          <w:szCs w:val="22"/>
        </w:rPr>
        <w:t xml:space="preserve"> view that</w:t>
      </w:r>
      <w:r w:rsidR="00FF10B9">
        <w:rPr>
          <w:rFonts w:asciiTheme="minorHAnsi" w:hAnsiTheme="minorHAnsi"/>
          <w:b w:val="0"/>
          <w:szCs w:val="22"/>
        </w:rPr>
        <w:t xml:space="preserve"> correct</w:t>
      </w:r>
      <w:r w:rsidRPr="00F0794C">
        <w:rPr>
          <w:rFonts w:asciiTheme="minorHAnsi" w:hAnsiTheme="minorHAnsi"/>
          <w:b w:val="0"/>
          <w:szCs w:val="22"/>
        </w:rPr>
        <w:t xml:space="preserve"> project </w:t>
      </w:r>
      <w:r w:rsidR="00FF10B9">
        <w:rPr>
          <w:rFonts w:asciiTheme="minorHAnsi" w:hAnsiTheme="minorHAnsi"/>
          <w:b w:val="0"/>
          <w:szCs w:val="22"/>
        </w:rPr>
        <w:t xml:space="preserve">selection </w:t>
      </w:r>
      <w:r w:rsidRPr="00F0794C">
        <w:rPr>
          <w:rFonts w:asciiTheme="minorHAnsi" w:hAnsiTheme="minorHAnsi"/>
          <w:b w:val="0"/>
          <w:szCs w:val="22"/>
        </w:rPr>
        <w:t xml:space="preserve">or provision is the most important aspect of achieving good outcomes for the community from public infrastructure </w:t>
      </w:r>
      <w:r w:rsidRPr="00F0794C">
        <w:rPr>
          <w:rFonts w:asciiTheme="minorHAnsi" w:hAnsiTheme="minorHAnsi"/>
          <w:b w:val="0"/>
          <w:szCs w:val="22"/>
          <w:u w:val="single"/>
        </w:rPr>
        <w:t>irrespective</w:t>
      </w:r>
      <w:r w:rsidRPr="00F0794C">
        <w:rPr>
          <w:rFonts w:asciiTheme="minorHAnsi" w:hAnsiTheme="minorHAnsi"/>
          <w:b w:val="0"/>
          <w:szCs w:val="22"/>
        </w:rPr>
        <w:t xml:space="preserve"> of the financing approach ultimately chosen. </w:t>
      </w:r>
      <w:r w:rsidR="00142215" w:rsidRPr="00F0794C">
        <w:rPr>
          <w:rStyle w:val="FootnoteReference"/>
          <w:rFonts w:asciiTheme="minorHAnsi" w:hAnsiTheme="minorHAnsi"/>
          <w:b w:val="0"/>
          <w:szCs w:val="22"/>
        </w:rPr>
        <w:footnoteReference w:id="20"/>
      </w:r>
    </w:p>
    <w:p w:rsidR="006B67AF" w:rsidRPr="00F0794C" w:rsidRDefault="006B67AF" w:rsidP="004B5863">
      <w:pPr>
        <w:pStyle w:val="BodyText2"/>
        <w:jc w:val="both"/>
        <w:rPr>
          <w:rFonts w:asciiTheme="minorHAnsi" w:hAnsiTheme="minorHAnsi"/>
          <w:b w:val="0"/>
          <w:szCs w:val="22"/>
        </w:rPr>
      </w:pPr>
    </w:p>
    <w:p w:rsidR="006B67AF" w:rsidRPr="00F0794C" w:rsidRDefault="006B67AF" w:rsidP="004B5863">
      <w:pPr>
        <w:pStyle w:val="BodyText2"/>
        <w:jc w:val="both"/>
        <w:rPr>
          <w:rFonts w:asciiTheme="minorHAnsi" w:hAnsiTheme="minorHAnsi"/>
          <w:b w:val="0"/>
          <w:szCs w:val="22"/>
        </w:rPr>
      </w:pPr>
      <w:r w:rsidRPr="00F0794C">
        <w:rPr>
          <w:rFonts w:asciiTheme="minorHAnsi" w:hAnsiTheme="minorHAnsi"/>
          <w:b w:val="0"/>
          <w:szCs w:val="22"/>
        </w:rPr>
        <w:t xml:space="preserve">Along with good governance arrangements there should be a set of guidelines, </w:t>
      </w:r>
      <w:r w:rsidR="008F1908">
        <w:rPr>
          <w:rFonts w:asciiTheme="minorHAnsi" w:hAnsiTheme="minorHAnsi"/>
          <w:b w:val="0"/>
          <w:szCs w:val="22"/>
        </w:rPr>
        <w:t>developed</w:t>
      </w:r>
      <w:r w:rsidRPr="00F0794C">
        <w:rPr>
          <w:rFonts w:asciiTheme="minorHAnsi" w:hAnsiTheme="minorHAnsi"/>
          <w:b w:val="0"/>
          <w:szCs w:val="22"/>
        </w:rPr>
        <w:t xml:space="preserve"> by engineers, to give road agencies a clear set of directives for maintenance of road infrastructure. While there is considerable discussion about road user charges to indicate usage figures for roads, a telematic device cannot</w:t>
      </w:r>
      <w:r w:rsidR="00AC73BA" w:rsidRPr="00F0794C">
        <w:rPr>
          <w:rFonts w:asciiTheme="minorHAnsi" w:hAnsiTheme="minorHAnsi"/>
          <w:b w:val="0"/>
          <w:szCs w:val="22"/>
        </w:rPr>
        <w:t xml:space="preserve"> tell a road agency where a pot</w:t>
      </w:r>
      <w:r w:rsidRPr="00F0794C">
        <w:rPr>
          <w:rFonts w:asciiTheme="minorHAnsi" w:hAnsiTheme="minorHAnsi"/>
          <w:b w:val="0"/>
          <w:szCs w:val="22"/>
        </w:rPr>
        <w:t>hole exists or where the road layer has subsided over time. Telematics will not solve the maintenance problems that persist</w:t>
      </w:r>
      <w:r w:rsidR="00AC73BA" w:rsidRPr="00F0794C">
        <w:rPr>
          <w:rFonts w:asciiTheme="minorHAnsi" w:hAnsiTheme="minorHAnsi"/>
          <w:b w:val="0"/>
          <w:szCs w:val="22"/>
        </w:rPr>
        <w:t xml:space="preserve"> and any subsequent safety issues.</w:t>
      </w:r>
      <w:r w:rsidRPr="00F0794C">
        <w:rPr>
          <w:rFonts w:asciiTheme="minorHAnsi" w:hAnsiTheme="minorHAnsi"/>
          <w:b w:val="0"/>
          <w:szCs w:val="22"/>
        </w:rPr>
        <w:t xml:space="preserve"> </w:t>
      </w:r>
    </w:p>
    <w:p w:rsidR="006B67AF" w:rsidRPr="00F0794C" w:rsidRDefault="006B67AF" w:rsidP="004B5863">
      <w:pPr>
        <w:pStyle w:val="BodyText2"/>
        <w:jc w:val="both"/>
        <w:rPr>
          <w:rFonts w:asciiTheme="minorHAnsi" w:hAnsiTheme="minorHAnsi"/>
          <w:b w:val="0"/>
          <w:szCs w:val="22"/>
        </w:rPr>
      </w:pPr>
    </w:p>
    <w:p w:rsidR="006B67AF" w:rsidRPr="00F0794C" w:rsidRDefault="001E4C51" w:rsidP="004B5863">
      <w:pPr>
        <w:pStyle w:val="BodyText2"/>
        <w:jc w:val="both"/>
        <w:rPr>
          <w:rFonts w:asciiTheme="minorHAnsi" w:hAnsiTheme="minorHAnsi"/>
          <w:b w:val="0"/>
          <w:szCs w:val="22"/>
        </w:rPr>
      </w:pPr>
      <w:r w:rsidRPr="00F0794C">
        <w:rPr>
          <w:rFonts w:asciiTheme="minorHAnsi" w:hAnsiTheme="minorHAnsi"/>
          <w:b w:val="0"/>
          <w:szCs w:val="22"/>
        </w:rPr>
        <w:t xml:space="preserve">Extending </w:t>
      </w:r>
      <w:r w:rsidR="005E2F4C" w:rsidRPr="00F0794C">
        <w:rPr>
          <w:rFonts w:asciiTheme="minorHAnsi" w:hAnsiTheme="minorHAnsi"/>
          <w:b w:val="0"/>
          <w:szCs w:val="22"/>
        </w:rPr>
        <w:t xml:space="preserve">the </w:t>
      </w:r>
      <w:r w:rsidRPr="00F0794C">
        <w:rPr>
          <w:rFonts w:asciiTheme="minorHAnsi" w:hAnsiTheme="minorHAnsi"/>
          <w:b w:val="0"/>
          <w:szCs w:val="22"/>
        </w:rPr>
        <w:t xml:space="preserve">national </w:t>
      </w:r>
      <w:r w:rsidR="005E2F4C" w:rsidRPr="00F0794C">
        <w:rPr>
          <w:rFonts w:asciiTheme="minorHAnsi" w:hAnsiTheme="minorHAnsi"/>
          <w:b w:val="0"/>
          <w:szCs w:val="22"/>
        </w:rPr>
        <w:t xml:space="preserve">policy </w:t>
      </w:r>
      <w:r w:rsidRPr="00F0794C">
        <w:rPr>
          <w:rFonts w:asciiTheme="minorHAnsi" w:hAnsiTheme="minorHAnsi"/>
          <w:b w:val="0"/>
          <w:szCs w:val="22"/>
        </w:rPr>
        <w:t xml:space="preserve">focus from institutions such as </w:t>
      </w:r>
      <w:r w:rsidR="008C0A86" w:rsidRPr="00F0794C">
        <w:rPr>
          <w:rFonts w:asciiTheme="minorHAnsi" w:hAnsiTheme="minorHAnsi"/>
          <w:b w:val="0"/>
          <w:szCs w:val="22"/>
        </w:rPr>
        <w:t xml:space="preserve">Infrastructure Australia </w:t>
      </w:r>
      <w:r w:rsidRPr="00F0794C">
        <w:rPr>
          <w:rFonts w:asciiTheme="minorHAnsi" w:hAnsiTheme="minorHAnsi"/>
          <w:b w:val="0"/>
          <w:szCs w:val="22"/>
        </w:rPr>
        <w:t>and the N</w:t>
      </w:r>
      <w:r w:rsidR="008C0A86" w:rsidRPr="00F0794C">
        <w:rPr>
          <w:rFonts w:asciiTheme="minorHAnsi" w:hAnsiTheme="minorHAnsi"/>
          <w:b w:val="0"/>
          <w:szCs w:val="22"/>
        </w:rPr>
        <w:t>ational Transport Commission</w:t>
      </w:r>
      <w:r w:rsidRPr="00F0794C">
        <w:rPr>
          <w:rFonts w:asciiTheme="minorHAnsi" w:hAnsiTheme="minorHAnsi"/>
          <w:b w:val="0"/>
          <w:szCs w:val="22"/>
        </w:rPr>
        <w:t xml:space="preserve"> to national maintenance programs will be one way to </w:t>
      </w:r>
      <w:r w:rsidR="00B4622F" w:rsidRPr="00F0794C">
        <w:rPr>
          <w:rFonts w:asciiTheme="minorHAnsi" w:hAnsiTheme="minorHAnsi"/>
          <w:b w:val="0"/>
          <w:szCs w:val="22"/>
        </w:rPr>
        <w:t>address the issue</w:t>
      </w:r>
      <w:r w:rsidRPr="00F0794C">
        <w:rPr>
          <w:rFonts w:asciiTheme="minorHAnsi" w:hAnsiTheme="minorHAnsi"/>
          <w:b w:val="0"/>
          <w:szCs w:val="22"/>
        </w:rPr>
        <w:t xml:space="preserve">.  </w:t>
      </w:r>
    </w:p>
    <w:p w:rsidR="004F5FEC" w:rsidRPr="00F0794C" w:rsidRDefault="004F5FEC" w:rsidP="004B5863">
      <w:pPr>
        <w:pStyle w:val="BodyText2"/>
        <w:jc w:val="both"/>
        <w:rPr>
          <w:rFonts w:asciiTheme="minorHAnsi" w:hAnsiTheme="minorHAnsi"/>
          <w:b w:val="0"/>
          <w:szCs w:val="22"/>
        </w:rPr>
      </w:pPr>
    </w:p>
    <w:p w:rsidR="004F5FEC" w:rsidRPr="00F0794C" w:rsidRDefault="004F5FEC" w:rsidP="004B5863">
      <w:pPr>
        <w:pStyle w:val="BodyText2"/>
        <w:jc w:val="both"/>
        <w:rPr>
          <w:rFonts w:asciiTheme="minorHAnsi" w:hAnsiTheme="minorHAnsi"/>
          <w:szCs w:val="22"/>
        </w:rPr>
      </w:pPr>
      <w:r w:rsidRPr="00F0794C">
        <w:rPr>
          <w:rFonts w:asciiTheme="minorHAnsi" w:hAnsiTheme="minorHAnsi"/>
          <w:szCs w:val="22"/>
        </w:rPr>
        <w:t xml:space="preserve">Recommendation 4 </w:t>
      </w:r>
    </w:p>
    <w:p w:rsidR="00842210" w:rsidRDefault="00842210" w:rsidP="00842210">
      <w:pPr>
        <w:pStyle w:val="BodyText2"/>
        <w:jc w:val="both"/>
        <w:rPr>
          <w:rFonts w:asciiTheme="minorHAnsi" w:hAnsiTheme="minorHAnsi"/>
          <w:b w:val="0"/>
          <w:szCs w:val="22"/>
        </w:rPr>
      </w:pPr>
    </w:p>
    <w:p w:rsidR="00842210" w:rsidRPr="00F0794C" w:rsidRDefault="00842210" w:rsidP="00842210">
      <w:pPr>
        <w:pStyle w:val="BodyText2"/>
        <w:jc w:val="both"/>
        <w:rPr>
          <w:rFonts w:asciiTheme="minorHAnsi" w:hAnsiTheme="minorHAnsi"/>
          <w:b w:val="0"/>
          <w:szCs w:val="22"/>
        </w:rPr>
      </w:pPr>
      <w:r w:rsidRPr="00F0794C">
        <w:rPr>
          <w:rFonts w:asciiTheme="minorHAnsi" w:hAnsiTheme="minorHAnsi"/>
          <w:b w:val="0"/>
          <w:szCs w:val="22"/>
        </w:rPr>
        <w:t>The Commission should describe and recommend better governance processes</w:t>
      </w:r>
      <w:r>
        <w:rPr>
          <w:rFonts w:asciiTheme="minorHAnsi" w:hAnsiTheme="minorHAnsi"/>
          <w:b w:val="0"/>
          <w:szCs w:val="22"/>
        </w:rPr>
        <w:t>,</w:t>
      </w:r>
      <w:r w:rsidRPr="00F0794C">
        <w:rPr>
          <w:rFonts w:asciiTheme="minorHAnsi" w:hAnsiTheme="minorHAnsi"/>
          <w:b w:val="0"/>
          <w:szCs w:val="22"/>
        </w:rPr>
        <w:t xml:space="preserve"> including benchmarking and asset quality management</w:t>
      </w:r>
      <w:r w:rsidR="008F1908">
        <w:rPr>
          <w:rFonts w:asciiTheme="minorHAnsi" w:hAnsiTheme="minorHAnsi"/>
          <w:b w:val="0"/>
          <w:szCs w:val="22"/>
        </w:rPr>
        <w:t>,</w:t>
      </w:r>
      <w:r w:rsidRPr="00F0794C">
        <w:rPr>
          <w:rFonts w:asciiTheme="minorHAnsi" w:hAnsiTheme="minorHAnsi"/>
          <w:b w:val="0"/>
          <w:szCs w:val="22"/>
        </w:rPr>
        <w:t xml:space="preserve"> to be mandated </w:t>
      </w:r>
      <w:r w:rsidR="008F1908">
        <w:rPr>
          <w:rFonts w:asciiTheme="minorHAnsi" w:hAnsiTheme="minorHAnsi"/>
          <w:b w:val="0"/>
          <w:szCs w:val="22"/>
        </w:rPr>
        <w:t>for</w:t>
      </w:r>
      <w:r w:rsidRPr="00F0794C">
        <w:rPr>
          <w:rFonts w:asciiTheme="minorHAnsi" w:hAnsiTheme="minorHAnsi"/>
          <w:b w:val="0"/>
          <w:szCs w:val="22"/>
        </w:rPr>
        <w:t xml:space="preserve"> all road agencies.</w:t>
      </w:r>
    </w:p>
    <w:p w:rsidR="00755B65" w:rsidRPr="00F0794C" w:rsidRDefault="00755B65" w:rsidP="004B5863">
      <w:pPr>
        <w:pStyle w:val="BodyText2"/>
        <w:jc w:val="both"/>
        <w:rPr>
          <w:rFonts w:asciiTheme="minorHAnsi" w:hAnsiTheme="minorHAnsi"/>
          <w:b w:val="0"/>
          <w:szCs w:val="22"/>
        </w:rPr>
      </w:pPr>
    </w:p>
    <w:p w:rsidR="00755B65" w:rsidRPr="00F0794C" w:rsidRDefault="008C0A86" w:rsidP="004B5863">
      <w:pPr>
        <w:pStyle w:val="Heading1"/>
        <w:numPr>
          <w:ilvl w:val="1"/>
          <w:numId w:val="16"/>
        </w:numPr>
        <w:jc w:val="both"/>
        <w:rPr>
          <w:rFonts w:asciiTheme="minorHAnsi" w:hAnsiTheme="minorHAnsi"/>
          <w:szCs w:val="22"/>
        </w:rPr>
      </w:pPr>
      <w:r w:rsidRPr="00F0794C">
        <w:rPr>
          <w:rFonts w:asciiTheme="minorHAnsi" w:hAnsiTheme="minorHAnsi"/>
          <w:szCs w:val="22"/>
        </w:rPr>
        <w:t xml:space="preserve"> </w:t>
      </w:r>
      <w:bookmarkStart w:id="15" w:name="_Toc384105357"/>
      <w:r w:rsidR="00755B65" w:rsidRPr="00F0794C">
        <w:rPr>
          <w:rFonts w:asciiTheme="minorHAnsi" w:hAnsiTheme="minorHAnsi"/>
          <w:szCs w:val="22"/>
        </w:rPr>
        <w:t>Procurement</w:t>
      </w:r>
      <w:bookmarkEnd w:id="15"/>
    </w:p>
    <w:p w:rsidR="00755B65" w:rsidRPr="00F0794C" w:rsidRDefault="00755B65" w:rsidP="004B5863">
      <w:pPr>
        <w:pStyle w:val="BodyText2"/>
        <w:jc w:val="both"/>
        <w:rPr>
          <w:rFonts w:asciiTheme="minorHAnsi" w:hAnsiTheme="minorHAnsi"/>
          <w:b w:val="0"/>
          <w:szCs w:val="22"/>
        </w:rPr>
      </w:pPr>
    </w:p>
    <w:p w:rsidR="00755B65" w:rsidRPr="00F0794C" w:rsidRDefault="00755B65" w:rsidP="004B5863">
      <w:pPr>
        <w:pStyle w:val="BodyText2"/>
        <w:jc w:val="both"/>
        <w:rPr>
          <w:rFonts w:asciiTheme="minorHAnsi" w:hAnsiTheme="minorHAnsi"/>
          <w:b w:val="0"/>
          <w:szCs w:val="22"/>
        </w:rPr>
      </w:pPr>
      <w:r w:rsidRPr="00F0794C">
        <w:rPr>
          <w:rFonts w:asciiTheme="minorHAnsi" w:hAnsiTheme="minorHAnsi"/>
          <w:b w:val="0"/>
          <w:szCs w:val="22"/>
        </w:rPr>
        <w:t>The ATA supports the Commission</w:t>
      </w:r>
      <w:r w:rsidR="00C726F8" w:rsidRPr="00F0794C">
        <w:rPr>
          <w:rFonts w:asciiTheme="minorHAnsi" w:hAnsiTheme="minorHAnsi"/>
          <w:b w:val="0"/>
          <w:szCs w:val="22"/>
        </w:rPr>
        <w:t>’</w:t>
      </w:r>
      <w:r w:rsidRPr="00F0794C">
        <w:rPr>
          <w:rFonts w:asciiTheme="minorHAnsi" w:hAnsiTheme="minorHAnsi"/>
          <w:b w:val="0"/>
          <w:szCs w:val="22"/>
        </w:rPr>
        <w:t>s recommendations to improve the productivity of procurement practices</w:t>
      </w:r>
      <w:r w:rsidR="0038285F" w:rsidRPr="00F0794C">
        <w:rPr>
          <w:rFonts w:asciiTheme="minorHAnsi" w:hAnsiTheme="minorHAnsi"/>
          <w:b w:val="0"/>
          <w:szCs w:val="22"/>
        </w:rPr>
        <w:t>,</w:t>
      </w:r>
      <w:r w:rsidRPr="00F0794C">
        <w:rPr>
          <w:rFonts w:asciiTheme="minorHAnsi" w:hAnsiTheme="minorHAnsi"/>
          <w:b w:val="0"/>
          <w:szCs w:val="22"/>
        </w:rPr>
        <w:t xml:space="preserve"> </w:t>
      </w:r>
      <w:r w:rsidR="00C726F8" w:rsidRPr="00F0794C">
        <w:rPr>
          <w:rFonts w:asciiTheme="minorHAnsi" w:hAnsiTheme="minorHAnsi"/>
          <w:b w:val="0"/>
          <w:szCs w:val="22"/>
        </w:rPr>
        <w:t>tender</w:t>
      </w:r>
      <w:r w:rsidRPr="00F0794C">
        <w:rPr>
          <w:rFonts w:asciiTheme="minorHAnsi" w:hAnsiTheme="minorHAnsi"/>
          <w:b w:val="0"/>
          <w:szCs w:val="22"/>
        </w:rPr>
        <w:t xml:space="preserve"> process improvements </w:t>
      </w:r>
      <w:r w:rsidR="0038285F" w:rsidRPr="00F0794C">
        <w:rPr>
          <w:rFonts w:asciiTheme="minorHAnsi" w:hAnsiTheme="minorHAnsi"/>
          <w:b w:val="0"/>
          <w:szCs w:val="22"/>
        </w:rPr>
        <w:t xml:space="preserve">and pursuing </w:t>
      </w:r>
      <w:r w:rsidRPr="00F0794C">
        <w:rPr>
          <w:rFonts w:asciiTheme="minorHAnsi" w:hAnsiTheme="minorHAnsi"/>
          <w:b w:val="0"/>
          <w:szCs w:val="22"/>
        </w:rPr>
        <w:t>‘value for money’ under project se</w:t>
      </w:r>
      <w:r w:rsidR="008C0A86" w:rsidRPr="00F0794C">
        <w:rPr>
          <w:rFonts w:asciiTheme="minorHAnsi" w:hAnsiTheme="minorHAnsi"/>
          <w:b w:val="0"/>
          <w:szCs w:val="22"/>
        </w:rPr>
        <w:t>le</w:t>
      </w:r>
      <w:r w:rsidRPr="00F0794C">
        <w:rPr>
          <w:rFonts w:asciiTheme="minorHAnsi" w:hAnsiTheme="minorHAnsi"/>
          <w:b w:val="0"/>
          <w:szCs w:val="22"/>
        </w:rPr>
        <w:t>ctions and procurement process</w:t>
      </w:r>
      <w:r w:rsidR="008C0A86" w:rsidRPr="00F0794C">
        <w:rPr>
          <w:rFonts w:asciiTheme="minorHAnsi" w:hAnsiTheme="minorHAnsi"/>
          <w:b w:val="0"/>
          <w:szCs w:val="22"/>
        </w:rPr>
        <w:t>’</w:t>
      </w:r>
      <w:r w:rsidRPr="00F0794C">
        <w:rPr>
          <w:rFonts w:asciiTheme="minorHAnsi" w:hAnsiTheme="minorHAnsi"/>
          <w:b w:val="0"/>
          <w:szCs w:val="22"/>
        </w:rPr>
        <w:t xml:space="preserve">. </w:t>
      </w:r>
    </w:p>
    <w:p w:rsidR="00755B65" w:rsidRPr="00F0794C" w:rsidRDefault="00755B65" w:rsidP="004B5863">
      <w:pPr>
        <w:pStyle w:val="BodyText2"/>
        <w:jc w:val="both"/>
        <w:rPr>
          <w:rFonts w:asciiTheme="minorHAnsi" w:hAnsiTheme="minorHAnsi"/>
          <w:b w:val="0"/>
          <w:szCs w:val="22"/>
        </w:rPr>
      </w:pPr>
    </w:p>
    <w:p w:rsidR="00594BC1" w:rsidRPr="00F0794C" w:rsidRDefault="0038285F" w:rsidP="004B5863">
      <w:pPr>
        <w:pStyle w:val="BodyText2"/>
        <w:jc w:val="both"/>
        <w:rPr>
          <w:rFonts w:asciiTheme="minorHAnsi" w:hAnsiTheme="minorHAnsi"/>
          <w:b w:val="0"/>
          <w:szCs w:val="22"/>
        </w:rPr>
      </w:pPr>
      <w:r w:rsidRPr="00F0794C">
        <w:rPr>
          <w:rFonts w:asciiTheme="minorHAnsi" w:hAnsiTheme="minorHAnsi"/>
          <w:b w:val="0"/>
          <w:szCs w:val="22"/>
        </w:rPr>
        <w:t>The ATA supports</w:t>
      </w:r>
      <w:r w:rsidR="00594BC1" w:rsidRPr="00F0794C">
        <w:rPr>
          <w:rFonts w:asciiTheme="minorHAnsi" w:hAnsiTheme="minorHAnsi"/>
          <w:b w:val="0"/>
          <w:szCs w:val="22"/>
        </w:rPr>
        <w:t>:</w:t>
      </w:r>
    </w:p>
    <w:p w:rsidR="00594BC1" w:rsidRPr="00F0794C" w:rsidRDefault="00594BC1" w:rsidP="004B5863">
      <w:pPr>
        <w:pStyle w:val="BodyText2"/>
        <w:jc w:val="both"/>
        <w:rPr>
          <w:rFonts w:asciiTheme="minorHAnsi" w:hAnsiTheme="minorHAnsi"/>
          <w:b w:val="0"/>
          <w:szCs w:val="22"/>
        </w:rPr>
      </w:pPr>
    </w:p>
    <w:p w:rsidR="00755B65" w:rsidRPr="00F0794C" w:rsidRDefault="00594BC1" w:rsidP="004B5863">
      <w:pPr>
        <w:pStyle w:val="BodyText2"/>
        <w:ind w:left="720"/>
        <w:jc w:val="both"/>
        <w:rPr>
          <w:rFonts w:asciiTheme="minorHAnsi" w:hAnsiTheme="minorHAnsi"/>
          <w:b w:val="0"/>
          <w:szCs w:val="22"/>
        </w:rPr>
      </w:pPr>
      <w:r w:rsidRPr="00F0794C">
        <w:rPr>
          <w:rFonts w:asciiTheme="minorHAnsi" w:hAnsiTheme="minorHAnsi"/>
          <w:b w:val="0"/>
          <w:szCs w:val="22"/>
        </w:rPr>
        <w:t>Draft</w:t>
      </w:r>
      <w:r w:rsidR="00B4622F" w:rsidRPr="00F0794C">
        <w:rPr>
          <w:rFonts w:asciiTheme="minorHAnsi" w:hAnsiTheme="minorHAnsi"/>
          <w:b w:val="0"/>
          <w:szCs w:val="22"/>
        </w:rPr>
        <w:t xml:space="preserve"> recommendation</w:t>
      </w:r>
      <w:r w:rsidR="00755B65" w:rsidRPr="00F0794C">
        <w:rPr>
          <w:rFonts w:asciiTheme="minorHAnsi" w:hAnsiTheme="minorHAnsi"/>
          <w:b w:val="0"/>
          <w:szCs w:val="22"/>
        </w:rPr>
        <w:t xml:space="preserve"> </w:t>
      </w:r>
      <w:r w:rsidRPr="00F0794C">
        <w:rPr>
          <w:rFonts w:asciiTheme="minorHAnsi" w:hAnsiTheme="minorHAnsi"/>
          <w:b w:val="0"/>
          <w:szCs w:val="22"/>
        </w:rPr>
        <w:t xml:space="preserve">11.1 </w:t>
      </w:r>
      <w:r w:rsidR="00755B65" w:rsidRPr="00F0794C">
        <w:rPr>
          <w:rFonts w:asciiTheme="minorHAnsi" w:hAnsiTheme="minorHAnsi"/>
          <w:b w:val="0"/>
          <w:szCs w:val="22"/>
        </w:rPr>
        <w:t xml:space="preserve">Governments should invest more in the initial concept design specifications to help reduce bid costs, but in doing so; provide opportunities for tenderers to contest the specifications of the design. </w:t>
      </w:r>
    </w:p>
    <w:p w:rsidR="00F63F4C" w:rsidRPr="00F0794C" w:rsidRDefault="00F63F4C" w:rsidP="00C726F8">
      <w:pPr>
        <w:pStyle w:val="BodyText2"/>
        <w:jc w:val="both"/>
        <w:rPr>
          <w:rFonts w:asciiTheme="minorHAnsi" w:hAnsiTheme="minorHAnsi"/>
          <w:b w:val="0"/>
          <w:szCs w:val="22"/>
        </w:rPr>
      </w:pPr>
    </w:p>
    <w:p w:rsidR="00755B65" w:rsidRPr="00F0794C" w:rsidRDefault="00755B65" w:rsidP="004B5863">
      <w:pPr>
        <w:pStyle w:val="BodyText2"/>
        <w:ind w:left="720"/>
        <w:jc w:val="both"/>
        <w:rPr>
          <w:rFonts w:asciiTheme="minorHAnsi" w:hAnsiTheme="minorHAnsi"/>
          <w:b w:val="0"/>
          <w:szCs w:val="22"/>
        </w:rPr>
      </w:pPr>
      <w:r w:rsidRPr="00F0794C">
        <w:rPr>
          <w:rFonts w:asciiTheme="minorHAnsi" w:hAnsiTheme="minorHAnsi"/>
          <w:b w:val="0"/>
          <w:szCs w:val="22"/>
        </w:rPr>
        <w:t xml:space="preserve">Draft recommendation 11.2 when tendering for major infrastructure work under design and construct arrangements, governments should consider contributing to the design costs of tenders on the condition that governments own </w:t>
      </w:r>
      <w:r w:rsidR="009B6F69" w:rsidRPr="00F0794C">
        <w:rPr>
          <w:rFonts w:asciiTheme="minorHAnsi" w:hAnsiTheme="minorHAnsi"/>
          <w:b w:val="0"/>
          <w:szCs w:val="22"/>
        </w:rPr>
        <w:t xml:space="preserve">the </w:t>
      </w:r>
      <w:r w:rsidRPr="00F0794C">
        <w:rPr>
          <w:rFonts w:asciiTheme="minorHAnsi" w:hAnsiTheme="minorHAnsi"/>
          <w:b w:val="0"/>
          <w:szCs w:val="22"/>
        </w:rPr>
        <w:t xml:space="preserve">design, where a thorough prior assessment has demonstrated that design innovation is both worth seeking and likely to be received. </w:t>
      </w:r>
    </w:p>
    <w:p w:rsidR="00755B65" w:rsidRPr="00F0794C" w:rsidRDefault="00755B65" w:rsidP="004B5863">
      <w:pPr>
        <w:pStyle w:val="BodyText2"/>
        <w:ind w:left="720"/>
        <w:jc w:val="both"/>
        <w:rPr>
          <w:rFonts w:asciiTheme="minorHAnsi" w:hAnsiTheme="minorHAnsi"/>
          <w:b w:val="0"/>
          <w:szCs w:val="22"/>
        </w:rPr>
      </w:pPr>
    </w:p>
    <w:p w:rsidR="00BE52A8" w:rsidRDefault="00BE52A8" w:rsidP="004B5863">
      <w:pPr>
        <w:pStyle w:val="BodyText2"/>
        <w:ind w:left="720"/>
        <w:jc w:val="both"/>
        <w:rPr>
          <w:rFonts w:asciiTheme="minorHAnsi" w:hAnsiTheme="minorHAnsi"/>
          <w:b w:val="0"/>
          <w:szCs w:val="22"/>
        </w:rPr>
      </w:pPr>
    </w:p>
    <w:p w:rsidR="00BE52A8" w:rsidRDefault="00BE52A8" w:rsidP="004B5863">
      <w:pPr>
        <w:pStyle w:val="BodyText2"/>
        <w:ind w:left="720"/>
        <w:jc w:val="both"/>
        <w:rPr>
          <w:rFonts w:asciiTheme="minorHAnsi" w:hAnsiTheme="minorHAnsi"/>
          <w:b w:val="0"/>
          <w:szCs w:val="22"/>
        </w:rPr>
      </w:pPr>
    </w:p>
    <w:p w:rsidR="00755B65" w:rsidRPr="00F0794C" w:rsidRDefault="00755B65" w:rsidP="004B5863">
      <w:pPr>
        <w:pStyle w:val="BodyText2"/>
        <w:ind w:left="720"/>
        <w:jc w:val="both"/>
        <w:rPr>
          <w:rFonts w:asciiTheme="minorHAnsi" w:hAnsiTheme="minorHAnsi"/>
          <w:b w:val="0"/>
          <w:szCs w:val="22"/>
        </w:rPr>
      </w:pPr>
      <w:r w:rsidRPr="00F0794C">
        <w:rPr>
          <w:rFonts w:asciiTheme="minorHAnsi" w:hAnsiTheme="minorHAnsi"/>
          <w:b w:val="0"/>
          <w:szCs w:val="22"/>
        </w:rPr>
        <w:lastRenderedPageBreak/>
        <w:t xml:space="preserve">Draft recommendation 11.3 Government clients should alter the timing of information provision in the tendering process for infrastructure projects so that non-design management plans are only required of the preferred tenderers. The obligation to produce documents upon becoming a preferred tender should remain a condition of the initial request for tender. </w:t>
      </w:r>
    </w:p>
    <w:p w:rsidR="00755B65" w:rsidRPr="00F0794C" w:rsidRDefault="00755B65" w:rsidP="004B5863">
      <w:pPr>
        <w:pStyle w:val="BodyText2"/>
        <w:jc w:val="both"/>
        <w:rPr>
          <w:rFonts w:asciiTheme="minorHAnsi" w:hAnsiTheme="minorHAnsi"/>
          <w:b w:val="0"/>
          <w:szCs w:val="22"/>
        </w:rPr>
      </w:pPr>
    </w:p>
    <w:p w:rsidR="00594BC1" w:rsidRPr="00F0794C" w:rsidRDefault="00594BC1" w:rsidP="004B5863">
      <w:pPr>
        <w:pStyle w:val="BodyText2"/>
        <w:jc w:val="both"/>
        <w:rPr>
          <w:rFonts w:asciiTheme="minorHAnsi" w:hAnsiTheme="minorHAnsi"/>
          <w:szCs w:val="22"/>
        </w:rPr>
      </w:pPr>
      <w:r w:rsidRPr="00F0794C">
        <w:rPr>
          <w:rFonts w:asciiTheme="minorHAnsi" w:hAnsiTheme="minorHAnsi"/>
          <w:szCs w:val="22"/>
        </w:rPr>
        <w:t>Recommendation 5</w:t>
      </w:r>
    </w:p>
    <w:p w:rsidR="00594BC1" w:rsidRPr="00F0794C" w:rsidRDefault="00594BC1" w:rsidP="004B5863">
      <w:pPr>
        <w:pStyle w:val="BodyText2"/>
        <w:jc w:val="both"/>
        <w:rPr>
          <w:rFonts w:asciiTheme="minorHAnsi" w:hAnsiTheme="minorHAnsi"/>
          <w:b w:val="0"/>
          <w:szCs w:val="22"/>
        </w:rPr>
      </w:pPr>
    </w:p>
    <w:p w:rsidR="00594BC1" w:rsidRPr="00F0794C" w:rsidRDefault="00594BC1" w:rsidP="004B5863">
      <w:pPr>
        <w:pStyle w:val="BodyText2"/>
        <w:jc w:val="both"/>
        <w:rPr>
          <w:rFonts w:asciiTheme="minorHAnsi" w:hAnsiTheme="minorHAnsi"/>
          <w:b w:val="0"/>
          <w:szCs w:val="22"/>
        </w:rPr>
      </w:pPr>
      <w:r w:rsidRPr="00F0794C">
        <w:rPr>
          <w:rFonts w:asciiTheme="minorHAnsi" w:hAnsiTheme="minorHAnsi"/>
          <w:b w:val="0"/>
          <w:szCs w:val="22"/>
        </w:rPr>
        <w:t xml:space="preserve">The </w:t>
      </w:r>
      <w:r w:rsidR="009B6F69" w:rsidRPr="00F0794C">
        <w:rPr>
          <w:rFonts w:asciiTheme="minorHAnsi" w:hAnsiTheme="minorHAnsi"/>
          <w:b w:val="0"/>
          <w:szCs w:val="22"/>
        </w:rPr>
        <w:t>Commission should promote</w:t>
      </w:r>
      <w:r w:rsidRPr="00F0794C">
        <w:rPr>
          <w:rFonts w:asciiTheme="minorHAnsi" w:hAnsiTheme="minorHAnsi"/>
          <w:b w:val="0"/>
          <w:szCs w:val="22"/>
        </w:rPr>
        <w:t xml:space="preserve"> draft recommendations 11.1</w:t>
      </w:r>
      <w:r w:rsidR="009D4D8B" w:rsidRPr="00F0794C">
        <w:rPr>
          <w:rFonts w:asciiTheme="minorHAnsi" w:hAnsiTheme="minorHAnsi"/>
          <w:b w:val="0"/>
          <w:szCs w:val="22"/>
        </w:rPr>
        <w:t>, 11.2</w:t>
      </w:r>
      <w:r w:rsidRPr="00F0794C">
        <w:rPr>
          <w:rFonts w:asciiTheme="minorHAnsi" w:hAnsiTheme="minorHAnsi"/>
          <w:b w:val="0"/>
          <w:szCs w:val="22"/>
        </w:rPr>
        <w:t xml:space="preserve"> and 11.3, which will improve the </w:t>
      </w:r>
      <w:r w:rsidR="008F1908">
        <w:rPr>
          <w:rFonts w:asciiTheme="minorHAnsi" w:hAnsiTheme="minorHAnsi"/>
          <w:b w:val="0"/>
          <w:szCs w:val="22"/>
        </w:rPr>
        <w:t xml:space="preserve">productivity </w:t>
      </w:r>
      <w:r w:rsidRPr="00F0794C">
        <w:rPr>
          <w:rFonts w:asciiTheme="minorHAnsi" w:hAnsiTheme="minorHAnsi"/>
          <w:b w:val="0"/>
          <w:szCs w:val="22"/>
        </w:rPr>
        <w:t xml:space="preserve">of procurement practices. </w:t>
      </w:r>
    </w:p>
    <w:p w:rsidR="001D797D" w:rsidRPr="00F0794C" w:rsidRDefault="001D797D" w:rsidP="004B5863">
      <w:pPr>
        <w:pStyle w:val="BodyText2"/>
        <w:jc w:val="both"/>
        <w:rPr>
          <w:rFonts w:asciiTheme="minorHAnsi" w:hAnsiTheme="minorHAnsi"/>
          <w:b w:val="0"/>
          <w:szCs w:val="22"/>
        </w:rPr>
      </w:pPr>
    </w:p>
    <w:p w:rsidR="00142215" w:rsidRPr="00F0794C" w:rsidRDefault="00972D62" w:rsidP="004B5863">
      <w:pPr>
        <w:pStyle w:val="Heading1"/>
        <w:numPr>
          <w:ilvl w:val="1"/>
          <w:numId w:val="16"/>
        </w:numPr>
        <w:jc w:val="both"/>
        <w:rPr>
          <w:rFonts w:asciiTheme="minorHAnsi" w:hAnsiTheme="minorHAnsi"/>
          <w:szCs w:val="22"/>
        </w:rPr>
      </w:pPr>
      <w:r w:rsidRPr="00F0794C">
        <w:rPr>
          <w:rFonts w:asciiTheme="minorHAnsi" w:hAnsiTheme="minorHAnsi"/>
          <w:szCs w:val="22"/>
        </w:rPr>
        <w:t xml:space="preserve"> </w:t>
      </w:r>
      <w:bookmarkStart w:id="16" w:name="_Toc384105358"/>
      <w:r w:rsidR="007F3785" w:rsidRPr="00F0794C">
        <w:rPr>
          <w:rFonts w:asciiTheme="minorHAnsi" w:hAnsiTheme="minorHAnsi"/>
          <w:szCs w:val="22"/>
        </w:rPr>
        <w:t>C</w:t>
      </w:r>
      <w:r w:rsidR="00142215" w:rsidRPr="00F0794C">
        <w:rPr>
          <w:rFonts w:asciiTheme="minorHAnsi" w:hAnsiTheme="minorHAnsi"/>
          <w:szCs w:val="22"/>
        </w:rPr>
        <w:t>ost benefit analysis</w:t>
      </w:r>
      <w:bookmarkEnd w:id="16"/>
    </w:p>
    <w:p w:rsidR="007F3785" w:rsidRPr="00F0794C" w:rsidRDefault="007F3785" w:rsidP="004B5863">
      <w:pPr>
        <w:pStyle w:val="BodyText2"/>
        <w:jc w:val="both"/>
        <w:rPr>
          <w:rFonts w:asciiTheme="minorHAnsi" w:hAnsiTheme="minorHAnsi"/>
          <w:b w:val="0"/>
          <w:szCs w:val="22"/>
          <w:u w:val="single"/>
        </w:rPr>
      </w:pPr>
    </w:p>
    <w:p w:rsidR="007F3785" w:rsidRPr="00F0794C" w:rsidRDefault="007F3785" w:rsidP="004B5863">
      <w:pPr>
        <w:pStyle w:val="BodyText2"/>
        <w:jc w:val="both"/>
        <w:rPr>
          <w:rFonts w:asciiTheme="minorHAnsi" w:hAnsiTheme="minorHAnsi"/>
          <w:b w:val="0"/>
          <w:szCs w:val="22"/>
        </w:rPr>
      </w:pPr>
      <w:r w:rsidRPr="00F0794C">
        <w:rPr>
          <w:rFonts w:asciiTheme="minorHAnsi" w:hAnsiTheme="minorHAnsi"/>
          <w:b w:val="0"/>
          <w:szCs w:val="22"/>
        </w:rPr>
        <w:t xml:space="preserve">The ATA fully supports the </w:t>
      </w:r>
      <w:r w:rsidR="00B70819" w:rsidRPr="00F0794C">
        <w:rPr>
          <w:rFonts w:asciiTheme="minorHAnsi" w:hAnsiTheme="minorHAnsi"/>
          <w:b w:val="0"/>
          <w:szCs w:val="22"/>
        </w:rPr>
        <w:t>extension</w:t>
      </w:r>
      <w:r w:rsidRPr="00F0794C">
        <w:rPr>
          <w:rFonts w:asciiTheme="minorHAnsi" w:hAnsiTheme="minorHAnsi"/>
          <w:b w:val="0"/>
          <w:szCs w:val="22"/>
        </w:rPr>
        <w:t xml:space="preserve"> of </w:t>
      </w:r>
      <w:r w:rsidR="009D4D8B" w:rsidRPr="00F0794C">
        <w:rPr>
          <w:rFonts w:asciiTheme="minorHAnsi" w:hAnsiTheme="minorHAnsi"/>
          <w:b w:val="0"/>
          <w:szCs w:val="22"/>
        </w:rPr>
        <w:t>appropriate</w:t>
      </w:r>
      <w:r w:rsidRPr="00F0794C">
        <w:rPr>
          <w:rFonts w:asciiTheme="minorHAnsi" w:hAnsiTheme="minorHAnsi"/>
          <w:b w:val="0"/>
          <w:szCs w:val="22"/>
        </w:rPr>
        <w:t xml:space="preserve"> cost benefit analys</w:t>
      </w:r>
      <w:r w:rsidR="00865F6C" w:rsidRPr="00F0794C">
        <w:rPr>
          <w:rFonts w:asciiTheme="minorHAnsi" w:hAnsiTheme="minorHAnsi"/>
          <w:b w:val="0"/>
          <w:szCs w:val="22"/>
        </w:rPr>
        <w:t>es</w:t>
      </w:r>
      <w:r w:rsidRPr="00F0794C">
        <w:rPr>
          <w:rFonts w:asciiTheme="minorHAnsi" w:hAnsiTheme="minorHAnsi"/>
          <w:b w:val="0"/>
          <w:szCs w:val="22"/>
        </w:rPr>
        <w:t xml:space="preserve"> </w:t>
      </w:r>
      <w:r w:rsidR="009D4D8B" w:rsidRPr="00F0794C">
        <w:rPr>
          <w:rFonts w:asciiTheme="minorHAnsi" w:hAnsiTheme="minorHAnsi"/>
          <w:b w:val="0"/>
          <w:szCs w:val="22"/>
        </w:rPr>
        <w:t xml:space="preserve">(CBA) </w:t>
      </w:r>
      <w:r w:rsidRPr="00F0794C">
        <w:rPr>
          <w:rFonts w:asciiTheme="minorHAnsi" w:hAnsiTheme="minorHAnsi"/>
          <w:b w:val="0"/>
          <w:szCs w:val="22"/>
        </w:rPr>
        <w:t xml:space="preserve">to make sure that benefits and costs are </w:t>
      </w:r>
      <w:r w:rsidR="00C726F8" w:rsidRPr="00F0794C">
        <w:rPr>
          <w:rFonts w:asciiTheme="minorHAnsi" w:hAnsiTheme="minorHAnsi"/>
          <w:b w:val="0"/>
          <w:szCs w:val="22"/>
        </w:rPr>
        <w:t>accurately</w:t>
      </w:r>
      <w:r w:rsidRPr="00F0794C">
        <w:rPr>
          <w:rFonts w:asciiTheme="minorHAnsi" w:hAnsiTheme="minorHAnsi"/>
          <w:b w:val="0"/>
          <w:szCs w:val="22"/>
        </w:rPr>
        <w:t xml:space="preserve"> assessed</w:t>
      </w:r>
      <w:r w:rsidR="006865EA" w:rsidRPr="00F0794C">
        <w:rPr>
          <w:rFonts w:asciiTheme="minorHAnsi" w:hAnsiTheme="minorHAnsi"/>
          <w:b w:val="0"/>
          <w:szCs w:val="22"/>
        </w:rPr>
        <w:t xml:space="preserve"> for significant projects</w:t>
      </w:r>
      <w:r w:rsidRPr="00F0794C">
        <w:rPr>
          <w:rFonts w:asciiTheme="minorHAnsi" w:hAnsiTheme="minorHAnsi"/>
          <w:b w:val="0"/>
          <w:szCs w:val="22"/>
        </w:rPr>
        <w:t xml:space="preserve">. However, recent experience with CBA work has indicated that there has to be </w:t>
      </w:r>
      <w:r w:rsidR="006865EA" w:rsidRPr="00F0794C">
        <w:rPr>
          <w:rFonts w:asciiTheme="minorHAnsi" w:hAnsiTheme="minorHAnsi"/>
          <w:b w:val="0"/>
          <w:szCs w:val="22"/>
        </w:rPr>
        <w:t>sufficient</w:t>
      </w:r>
      <w:r w:rsidR="008E24E8" w:rsidRPr="00F0794C">
        <w:rPr>
          <w:rFonts w:asciiTheme="minorHAnsi" w:hAnsiTheme="minorHAnsi"/>
          <w:b w:val="0"/>
          <w:szCs w:val="22"/>
        </w:rPr>
        <w:t xml:space="preserve"> time for stakeholders to interrogate the findings</w:t>
      </w:r>
      <w:r w:rsidR="00B70819" w:rsidRPr="00F0794C">
        <w:rPr>
          <w:rFonts w:asciiTheme="minorHAnsi" w:hAnsiTheme="minorHAnsi"/>
          <w:b w:val="0"/>
          <w:szCs w:val="22"/>
        </w:rPr>
        <w:t xml:space="preserve">. </w:t>
      </w:r>
    </w:p>
    <w:p w:rsidR="00B70819" w:rsidRPr="00F0794C" w:rsidRDefault="00B70819" w:rsidP="004B5863">
      <w:pPr>
        <w:pStyle w:val="BodyText2"/>
        <w:jc w:val="both"/>
        <w:rPr>
          <w:rFonts w:asciiTheme="minorHAnsi" w:hAnsiTheme="minorHAnsi"/>
          <w:b w:val="0"/>
          <w:szCs w:val="22"/>
        </w:rPr>
      </w:pPr>
    </w:p>
    <w:p w:rsidR="00476E12" w:rsidRPr="00F0794C" w:rsidRDefault="00C726F8" w:rsidP="004B5863">
      <w:pPr>
        <w:pStyle w:val="BodyText2"/>
        <w:jc w:val="both"/>
        <w:rPr>
          <w:rFonts w:asciiTheme="minorHAnsi" w:hAnsiTheme="minorHAnsi"/>
          <w:b w:val="0"/>
          <w:szCs w:val="22"/>
        </w:rPr>
      </w:pPr>
      <w:r w:rsidRPr="00F0794C">
        <w:rPr>
          <w:rFonts w:asciiTheme="minorHAnsi" w:hAnsiTheme="minorHAnsi"/>
          <w:b w:val="0"/>
          <w:szCs w:val="22"/>
        </w:rPr>
        <w:t>The Commission</w:t>
      </w:r>
      <w:r w:rsidR="00476E12" w:rsidRPr="00F0794C">
        <w:rPr>
          <w:rFonts w:asciiTheme="minorHAnsi" w:hAnsiTheme="minorHAnsi"/>
          <w:b w:val="0"/>
          <w:szCs w:val="22"/>
        </w:rPr>
        <w:t xml:space="preserve"> identified that </w:t>
      </w:r>
      <w:r w:rsidRPr="00F0794C">
        <w:rPr>
          <w:rFonts w:asciiTheme="minorHAnsi" w:hAnsiTheme="minorHAnsi"/>
          <w:b w:val="0"/>
          <w:szCs w:val="22"/>
        </w:rPr>
        <w:t xml:space="preserve">a </w:t>
      </w:r>
      <w:r w:rsidR="00476E12" w:rsidRPr="00F0794C">
        <w:rPr>
          <w:rFonts w:asciiTheme="minorHAnsi" w:hAnsiTheme="minorHAnsi"/>
          <w:b w:val="0"/>
          <w:szCs w:val="22"/>
        </w:rPr>
        <w:t xml:space="preserve">properly conducted CBA is an important starting point for guiding project selection and improving the transparency of decision making. This should be augmented with real options analysis where appropriate.  </w:t>
      </w:r>
    </w:p>
    <w:p w:rsidR="00476E12" w:rsidRPr="00F0794C" w:rsidRDefault="00476E12" w:rsidP="004B5863">
      <w:pPr>
        <w:pStyle w:val="BodyText2"/>
        <w:jc w:val="both"/>
        <w:rPr>
          <w:rFonts w:asciiTheme="minorHAnsi" w:hAnsiTheme="minorHAnsi"/>
          <w:b w:val="0"/>
          <w:szCs w:val="22"/>
        </w:rPr>
      </w:pPr>
    </w:p>
    <w:p w:rsidR="008E24E8" w:rsidRPr="00F0794C" w:rsidRDefault="00AC0934" w:rsidP="004B5863">
      <w:pPr>
        <w:pStyle w:val="BodyText2"/>
        <w:jc w:val="both"/>
        <w:rPr>
          <w:rFonts w:asciiTheme="minorHAnsi" w:hAnsiTheme="minorHAnsi"/>
          <w:b w:val="0"/>
          <w:szCs w:val="22"/>
        </w:rPr>
      </w:pPr>
      <w:r w:rsidRPr="00F0794C">
        <w:rPr>
          <w:rFonts w:asciiTheme="minorHAnsi" w:hAnsiTheme="minorHAnsi"/>
          <w:b w:val="0"/>
          <w:szCs w:val="22"/>
        </w:rPr>
        <w:t xml:space="preserve">Making sure that political outcomes </w:t>
      </w:r>
      <w:r w:rsidR="009B6F69" w:rsidRPr="00F0794C">
        <w:rPr>
          <w:rFonts w:asciiTheme="minorHAnsi" w:hAnsiTheme="minorHAnsi"/>
          <w:b w:val="0"/>
          <w:szCs w:val="22"/>
        </w:rPr>
        <w:t>inform</w:t>
      </w:r>
      <w:r w:rsidRPr="00F0794C">
        <w:rPr>
          <w:rFonts w:asciiTheme="minorHAnsi" w:hAnsiTheme="minorHAnsi"/>
          <w:b w:val="0"/>
          <w:szCs w:val="22"/>
        </w:rPr>
        <w:t xml:space="preserve"> the option selection is also crucial to having supportable </w:t>
      </w:r>
      <w:r w:rsidR="00B77735" w:rsidRPr="00F0794C">
        <w:rPr>
          <w:rFonts w:asciiTheme="minorHAnsi" w:hAnsiTheme="minorHAnsi"/>
          <w:b w:val="0"/>
          <w:szCs w:val="22"/>
        </w:rPr>
        <w:t>conclusions</w:t>
      </w:r>
      <w:r w:rsidRPr="00F0794C">
        <w:rPr>
          <w:rFonts w:asciiTheme="minorHAnsi" w:hAnsiTheme="minorHAnsi"/>
          <w:b w:val="0"/>
          <w:szCs w:val="22"/>
        </w:rPr>
        <w:t xml:space="preserve">. </w:t>
      </w:r>
    </w:p>
    <w:p w:rsidR="00266BDD" w:rsidRPr="00F0794C" w:rsidRDefault="00266BDD" w:rsidP="004B5863">
      <w:pPr>
        <w:pStyle w:val="BodyText2"/>
        <w:jc w:val="both"/>
        <w:rPr>
          <w:rFonts w:asciiTheme="minorHAnsi" w:hAnsiTheme="minorHAnsi"/>
          <w:b w:val="0"/>
          <w:szCs w:val="22"/>
        </w:rPr>
      </w:pPr>
    </w:p>
    <w:p w:rsidR="00266BDD" w:rsidRPr="00F0794C" w:rsidRDefault="000C1944" w:rsidP="004B5863">
      <w:pPr>
        <w:pStyle w:val="BodyText2"/>
        <w:jc w:val="both"/>
        <w:rPr>
          <w:rFonts w:asciiTheme="minorHAnsi" w:hAnsiTheme="minorHAnsi"/>
          <w:b w:val="0"/>
          <w:szCs w:val="22"/>
        </w:rPr>
      </w:pPr>
      <w:r w:rsidRPr="00F0794C">
        <w:rPr>
          <w:rFonts w:asciiTheme="minorHAnsi" w:hAnsiTheme="minorHAnsi"/>
          <w:b w:val="0"/>
          <w:szCs w:val="22"/>
        </w:rPr>
        <w:t>The c</w:t>
      </w:r>
      <w:r w:rsidR="00266BDD" w:rsidRPr="00F0794C">
        <w:rPr>
          <w:rFonts w:asciiTheme="minorHAnsi" w:hAnsiTheme="minorHAnsi"/>
          <w:b w:val="0"/>
          <w:szCs w:val="22"/>
        </w:rPr>
        <w:t xml:space="preserve">ase study </w:t>
      </w:r>
      <w:r w:rsidRPr="00F0794C">
        <w:rPr>
          <w:rFonts w:asciiTheme="minorHAnsi" w:hAnsiTheme="minorHAnsi"/>
          <w:b w:val="0"/>
          <w:szCs w:val="22"/>
        </w:rPr>
        <w:t xml:space="preserve">below </w:t>
      </w:r>
      <w:r w:rsidR="00266BDD" w:rsidRPr="00F0794C">
        <w:rPr>
          <w:rFonts w:asciiTheme="minorHAnsi" w:hAnsiTheme="minorHAnsi"/>
          <w:b w:val="0"/>
          <w:szCs w:val="22"/>
        </w:rPr>
        <w:t>of</w:t>
      </w:r>
      <w:r w:rsidR="00B77735" w:rsidRPr="00F0794C">
        <w:rPr>
          <w:rFonts w:asciiTheme="minorHAnsi" w:hAnsiTheme="minorHAnsi"/>
          <w:b w:val="0"/>
          <w:szCs w:val="22"/>
        </w:rPr>
        <w:t xml:space="preserve"> the</w:t>
      </w:r>
      <w:r w:rsidR="00C726F8" w:rsidRPr="00F0794C">
        <w:rPr>
          <w:rFonts w:asciiTheme="minorHAnsi" w:hAnsiTheme="minorHAnsi"/>
          <w:b w:val="0"/>
          <w:szCs w:val="22"/>
        </w:rPr>
        <w:t xml:space="preserve"> heavy v</w:t>
      </w:r>
      <w:r w:rsidR="00B77735" w:rsidRPr="00F0794C">
        <w:rPr>
          <w:rFonts w:asciiTheme="minorHAnsi" w:hAnsiTheme="minorHAnsi"/>
          <w:b w:val="0"/>
          <w:szCs w:val="22"/>
        </w:rPr>
        <w:t>ehicle charging and investment reform (H</w:t>
      </w:r>
      <w:r w:rsidR="00266BDD" w:rsidRPr="00F0794C">
        <w:rPr>
          <w:rFonts w:asciiTheme="minorHAnsi" w:hAnsiTheme="minorHAnsi"/>
          <w:b w:val="0"/>
          <w:szCs w:val="22"/>
        </w:rPr>
        <w:t>VCI</w:t>
      </w:r>
      <w:r w:rsidR="00B77735" w:rsidRPr="00F0794C">
        <w:rPr>
          <w:rFonts w:asciiTheme="minorHAnsi" w:hAnsiTheme="minorHAnsi"/>
          <w:b w:val="0"/>
          <w:szCs w:val="22"/>
        </w:rPr>
        <w:t>)</w:t>
      </w:r>
      <w:r w:rsidR="00266BDD" w:rsidRPr="00F0794C">
        <w:rPr>
          <w:rFonts w:asciiTheme="minorHAnsi" w:hAnsiTheme="minorHAnsi"/>
          <w:b w:val="0"/>
          <w:szCs w:val="22"/>
        </w:rPr>
        <w:t xml:space="preserve"> CBA work has exposed issues the </w:t>
      </w:r>
      <w:r w:rsidR="008C0A86" w:rsidRPr="00F0794C">
        <w:rPr>
          <w:rFonts w:asciiTheme="minorHAnsi" w:hAnsiTheme="minorHAnsi"/>
          <w:b w:val="0"/>
          <w:szCs w:val="22"/>
        </w:rPr>
        <w:t>Commission</w:t>
      </w:r>
      <w:r w:rsidR="00266BDD" w:rsidRPr="00F0794C">
        <w:rPr>
          <w:rFonts w:asciiTheme="minorHAnsi" w:hAnsiTheme="minorHAnsi"/>
          <w:b w:val="0"/>
          <w:szCs w:val="22"/>
        </w:rPr>
        <w:t xml:space="preserve"> highlighted </w:t>
      </w:r>
      <w:r w:rsidR="00F74527" w:rsidRPr="00F0794C">
        <w:rPr>
          <w:rFonts w:asciiTheme="minorHAnsi" w:hAnsiTheme="minorHAnsi"/>
          <w:b w:val="0"/>
          <w:szCs w:val="22"/>
        </w:rPr>
        <w:t xml:space="preserve">in the report and which </w:t>
      </w:r>
      <w:r w:rsidR="00FF10B9">
        <w:rPr>
          <w:rFonts w:asciiTheme="minorHAnsi" w:hAnsiTheme="minorHAnsi"/>
          <w:b w:val="0"/>
          <w:szCs w:val="22"/>
        </w:rPr>
        <w:t>emphasis</w:t>
      </w:r>
      <w:r w:rsidR="00FF10B9" w:rsidRPr="00F0794C">
        <w:rPr>
          <w:rFonts w:asciiTheme="minorHAnsi" w:hAnsiTheme="minorHAnsi"/>
          <w:b w:val="0"/>
          <w:szCs w:val="22"/>
        </w:rPr>
        <w:t>e</w:t>
      </w:r>
      <w:r w:rsidR="00F74527" w:rsidRPr="00F0794C">
        <w:rPr>
          <w:rFonts w:asciiTheme="minorHAnsi" w:hAnsiTheme="minorHAnsi"/>
          <w:b w:val="0"/>
          <w:szCs w:val="22"/>
        </w:rPr>
        <w:t xml:space="preserve"> the limitations of HVCI analysis generally. </w:t>
      </w:r>
      <w:r w:rsidR="00E93F85" w:rsidRPr="00F0794C">
        <w:rPr>
          <w:rFonts w:asciiTheme="minorHAnsi" w:hAnsiTheme="minorHAnsi"/>
          <w:b w:val="0"/>
          <w:szCs w:val="22"/>
        </w:rPr>
        <w:t>The</w:t>
      </w:r>
      <w:r w:rsidR="00C726F8" w:rsidRPr="00F0794C">
        <w:rPr>
          <w:rFonts w:asciiTheme="minorHAnsi" w:hAnsiTheme="minorHAnsi"/>
          <w:b w:val="0"/>
          <w:szCs w:val="22"/>
        </w:rPr>
        <w:t>se</w:t>
      </w:r>
      <w:r w:rsidR="00E93F85" w:rsidRPr="00F0794C">
        <w:rPr>
          <w:rFonts w:asciiTheme="minorHAnsi" w:hAnsiTheme="minorHAnsi"/>
          <w:b w:val="0"/>
          <w:szCs w:val="22"/>
        </w:rPr>
        <w:t xml:space="preserve"> issues have been raised with HVCI. </w:t>
      </w:r>
    </w:p>
    <w:p w:rsidR="00195233" w:rsidRPr="00F0794C" w:rsidRDefault="00195233" w:rsidP="004B5863">
      <w:pPr>
        <w:pStyle w:val="BodyText2"/>
        <w:jc w:val="both"/>
        <w:rPr>
          <w:rFonts w:asciiTheme="minorHAnsi" w:hAnsiTheme="minorHAnsi"/>
          <w:b w:val="0"/>
          <w:szCs w:val="22"/>
        </w:rPr>
      </w:pPr>
    </w:p>
    <w:tbl>
      <w:tblPr>
        <w:tblStyle w:val="TableGrid"/>
        <w:tblW w:w="0" w:type="auto"/>
        <w:tblLook w:val="04A0"/>
      </w:tblPr>
      <w:tblGrid>
        <w:gridCol w:w="9854"/>
      </w:tblGrid>
      <w:tr w:rsidR="00195233" w:rsidRPr="00F0794C" w:rsidTr="00195233">
        <w:tc>
          <w:tcPr>
            <w:tcW w:w="9854" w:type="dxa"/>
          </w:tcPr>
          <w:p w:rsidR="00195233" w:rsidRPr="00F0794C" w:rsidRDefault="00195233" w:rsidP="004B5863">
            <w:pPr>
              <w:pStyle w:val="BodyText2"/>
              <w:jc w:val="both"/>
              <w:rPr>
                <w:rFonts w:asciiTheme="minorHAnsi" w:hAnsiTheme="minorHAnsi"/>
                <w:b w:val="0"/>
                <w:szCs w:val="22"/>
                <w:u w:val="single"/>
              </w:rPr>
            </w:pPr>
            <w:r w:rsidRPr="00F0794C">
              <w:rPr>
                <w:rFonts w:asciiTheme="minorHAnsi" w:hAnsiTheme="minorHAnsi"/>
                <w:b w:val="0"/>
                <w:szCs w:val="22"/>
                <w:u w:val="single"/>
              </w:rPr>
              <w:t>Case study</w:t>
            </w:r>
            <w:r w:rsidR="00FF10B9">
              <w:rPr>
                <w:rFonts w:asciiTheme="minorHAnsi" w:hAnsiTheme="minorHAnsi"/>
                <w:b w:val="0"/>
                <w:szCs w:val="22"/>
                <w:u w:val="single"/>
              </w:rPr>
              <w:t xml:space="preserve"> 2</w:t>
            </w:r>
            <w:r w:rsidR="00EC4865" w:rsidRPr="00F0794C">
              <w:rPr>
                <w:rFonts w:asciiTheme="minorHAnsi" w:hAnsiTheme="minorHAnsi"/>
                <w:b w:val="0"/>
                <w:szCs w:val="22"/>
                <w:u w:val="single"/>
              </w:rPr>
              <w:t xml:space="preserve"> </w:t>
            </w:r>
            <w:r w:rsidRPr="00F0794C">
              <w:rPr>
                <w:rFonts w:asciiTheme="minorHAnsi" w:hAnsiTheme="minorHAnsi"/>
                <w:b w:val="0"/>
                <w:szCs w:val="22"/>
                <w:u w:val="single"/>
              </w:rPr>
              <w:t>: HVCI Deloitte</w:t>
            </w:r>
            <w:r w:rsidR="00CA4597" w:rsidRPr="00F0794C">
              <w:rPr>
                <w:rFonts w:asciiTheme="minorHAnsi" w:hAnsiTheme="minorHAnsi"/>
                <w:b w:val="0"/>
                <w:szCs w:val="22"/>
                <w:u w:val="single"/>
              </w:rPr>
              <w:t xml:space="preserve"> Access Economics (DAE)</w:t>
            </w:r>
            <w:r w:rsidRPr="00F0794C">
              <w:rPr>
                <w:rFonts w:asciiTheme="minorHAnsi" w:hAnsiTheme="minorHAnsi"/>
                <w:b w:val="0"/>
                <w:szCs w:val="22"/>
                <w:u w:val="single"/>
              </w:rPr>
              <w:t xml:space="preserve"> cost benefit analysis</w:t>
            </w:r>
          </w:p>
          <w:p w:rsidR="00195233" w:rsidRPr="00F0794C" w:rsidRDefault="00195233" w:rsidP="004B5863">
            <w:pPr>
              <w:pStyle w:val="BodyText2"/>
              <w:jc w:val="both"/>
              <w:rPr>
                <w:rFonts w:asciiTheme="minorHAnsi" w:hAnsiTheme="minorHAnsi"/>
                <w:b w:val="0"/>
                <w:szCs w:val="22"/>
              </w:rPr>
            </w:pPr>
          </w:p>
          <w:p w:rsidR="00195233" w:rsidRPr="00F0794C" w:rsidRDefault="00195233" w:rsidP="004B5863">
            <w:pPr>
              <w:spacing w:after="200"/>
              <w:jc w:val="both"/>
              <w:rPr>
                <w:rFonts w:asciiTheme="minorHAnsi" w:eastAsiaTheme="minorHAnsi" w:hAnsiTheme="minorHAnsi" w:cstheme="minorBidi"/>
              </w:rPr>
            </w:pPr>
            <w:r w:rsidRPr="00F0794C">
              <w:rPr>
                <w:rFonts w:asciiTheme="minorHAnsi" w:eastAsiaTheme="minorHAnsi" w:hAnsiTheme="minorHAnsi" w:cstheme="minorBidi"/>
              </w:rPr>
              <w:t xml:space="preserve">The CBA </w:t>
            </w:r>
            <w:r w:rsidR="003F5DCB" w:rsidRPr="00F0794C">
              <w:rPr>
                <w:rFonts w:asciiTheme="minorHAnsi" w:eastAsiaTheme="minorHAnsi" w:hAnsiTheme="minorHAnsi" w:cstheme="minorBidi"/>
              </w:rPr>
              <w:t xml:space="preserve">work produced by DAE for HVCI is the basis for recommendations made to ministers and informs other elements of the HVCI. </w:t>
            </w:r>
            <w:r w:rsidRPr="00F0794C">
              <w:rPr>
                <w:rFonts w:asciiTheme="minorHAnsi" w:eastAsiaTheme="minorHAnsi" w:hAnsiTheme="minorHAnsi" w:cstheme="minorBidi"/>
              </w:rPr>
              <w:t xml:space="preserve">The conclusions of the CBA require scrutiny given assumptions made and access to foundation documents used in the CBA work. </w:t>
            </w:r>
            <w:r w:rsidR="009B6F69" w:rsidRPr="00F0794C">
              <w:rPr>
                <w:rFonts w:asciiTheme="minorHAnsi" w:eastAsiaTheme="minorHAnsi" w:hAnsiTheme="minorHAnsi" w:cstheme="minorBidi"/>
              </w:rPr>
              <w:t xml:space="preserve">If the CBA is based upon flawed </w:t>
            </w:r>
            <w:r w:rsidR="00C726F8" w:rsidRPr="00F0794C">
              <w:rPr>
                <w:rFonts w:asciiTheme="minorHAnsi" w:eastAsiaTheme="minorHAnsi" w:hAnsiTheme="minorHAnsi" w:cstheme="minorBidi"/>
              </w:rPr>
              <w:t>premises</w:t>
            </w:r>
            <w:r w:rsidR="009B6F69" w:rsidRPr="00F0794C">
              <w:rPr>
                <w:rFonts w:asciiTheme="minorHAnsi" w:eastAsiaTheme="minorHAnsi" w:hAnsiTheme="minorHAnsi" w:cstheme="minorBidi"/>
              </w:rPr>
              <w:t xml:space="preserve"> the outcomes will be useless. </w:t>
            </w:r>
          </w:p>
          <w:p w:rsidR="00C726F8" w:rsidRPr="00F0794C" w:rsidRDefault="00195233" w:rsidP="004B5863">
            <w:pPr>
              <w:spacing w:after="200"/>
              <w:jc w:val="both"/>
              <w:rPr>
                <w:rFonts w:asciiTheme="minorHAnsi" w:eastAsiaTheme="minorHAnsi" w:hAnsiTheme="minorHAnsi" w:cstheme="minorBidi"/>
              </w:rPr>
            </w:pPr>
            <w:r w:rsidRPr="00F0794C">
              <w:rPr>
                <w:rFonts w:asciiTheme="minorHAnsi" w:eastAsiaTheme="minorHAnsi" w:hAnsiTheme="minorHAnsi" w:cstheme="minorBidi"/>
              </w:rPr>
              <w:t>The CBA work is testing options for reform including a fuel based charge (A), a semi MDL charge (B) and full MDL charge (C).</w:t>
            </w:r>
          </w:p>
          <w:p w:rsidR="00195233" w:rsidRPr="00F0794C" w:rsidRDefault="009B6F69" w:rsidP="004B5863">
            <w:pPr>
              <w:spacing w:after="200"/>
              <w:jc w:val="both"/>
              <w:rPr>
                <w:rFonts w:asciiTheme="minorHAnsi" w:eastAsiaTheme="minorHAnsi" w:hAnsiTheme="minorHAnsi" w:cstheme="minorBidi"/>
              </w:rPr>
            </w:pPr>
            <w:r w:rsidRPr="00F0794C">
              <w:rPr>
                <w:rFonts w:asciiTheme="minorHAnsi" w:eastAsiaTheme="minorHAnsi" w:hAnsiTheme="minorHAnsi" w:cstheme="minorBidi"/>
              </w:rPr>
              <w:t>T</w:t>
            </w:r>
            <w:r w:rsidR="00195233" w:rsidRPr="00F0794C">
              <w:rPr>
                <w:rFonts w:asciiTheme="minorHAnsi" w:eastAsiaTheme="minorHAnsi" w:hAnsiTheme="minorHAnsi" w:cstheme="minorBidi"/>
              </w:rPr>
              <w:t xml:space="preserve">he potential benefits </w:t>
            </w:r>
            <w:r w:rsidR="008F1908">
              <w:rPr>
                <w:rFonts w:asciiTheme="minorHAnsi" w:eastAsiaTheme="minorHAnsi" w:hAnsiTheme="minorHAnsi" w:cstheme="minorBidi"/>
              </w:rPr>
              <w:t xml:space="preserve">of HVCI </w:t>
            </w:r>
            <w:r w:rsidR="00195233" w:rsidRPr="00F0794C">
              <w:rPr>
                <w:rFonts w:asciiTheme="minorHAnsi" w:eastAsiaTheme="minorHAnsi" w:hAnsiTheme="minorHAnsi" w:cstheme="minorBidi"/>
              </w:rPr>
              <w:t>DAE identified are:</w:t>
            </w:r>
          </w:p>
          <w:p w:rsidR="00195233" w:rsidRPr="00F0794C" w:rsidRDefault="00195233" w:rsidP="004B5863">
            <w:pPr>
              <w:numPr>
                <w:ilvl w:val="0"/>
                <w:numId w:val="14"/>
              </w:numPr>
              <w:spacing w:after="200"/>
              <w:jc w:val="both"/>
              <w:rPr>
                <w:rFonts w:asciiTheme="minorHAnsi" w:eastAsiaTheme="minorHAnsi" w:hAnsiTheme="minorHAnsi" w:cstheme="minorBidi"/>
              </w:rPr>
            </w:pPr>
            <w:r w:rsidRPr="00F0794C">
              <w:rPr>
                <w:rFonts w:asciiTheme="minorHAnsi" w:eastAsiaTheme="minorHAnsi" w:hAnsiTheme="minorHAnsi" w:cstheme="minorBidi"/>
              </w:rPr>
              <w:t xml:space="preserve">a shift in the composition of the heavy vehicle fleet to more efficient vehicles, reducing the combined maintenance and vehicle operating costs, </w:t>
            </w:r>
          </w:p>
          <w:p w:rsidR="00195233" w:rsidRPr="00F0794C" w:rsidRDefault="00195233" w:rsidP="004B5863">
            <w:pPr>
              <w:numPr>
                <w:ilvl w:val="0"/>
                <w:numId w:val="14"/>
              </w:numPr>
              <w:spacing w:after="200"/>
              <w:jc w:val="both"/>
              <w:rPr>
                <w:rFonts w:asciiTheme="minorHAnsi" w:eastAsiaTheme="minorHAnsi" w:hAnsiTheme="minorHAnsi" w:cstheme="minorBidi"/>
              </w:rPr>
            </w:pPr>
            <w:r w:rsidRPr="00F0794C">
              <w:rPr>
                <w:rFonts w:asciiTheme="minorHAnsi" w:eastAsiaTheme="minorHAnsi" w:hAnsiTheme="minorHAnsi" w:cstheme="minorBidi"/>
              </w:rPr>
              <w:t>where alternative routes are available, a change in route patterns towards roads better able to carry heavy vehicles at low</w:t>
            </w:r>
            <w:r w:rsidR="008F1908">
              <w:rPr>
                <w:rFonts w:asciiTheme="minorHAnsi" w:eastAsiaTheme="minorHAnsi" w:hAnsiTheme="minorHAnsi" w:cstheme="minorBidi"/>
              </w:rPr>
              <w:t>er</w:t>
            </w:r>
            <w:r w:rsidRPr="00F0794C">
              <w:rPr>
                <w:rFonts w:asciiTheme="minorHAnsi" w:eastAsiaTheme="minorHAnsi" w:hAnsiTheme="minorHAnsi" w:cstheme="minorBidi"/>
              </w:rPr>
              <w:t xml:space="preserve"> costs, </w:t>
            </w:r>
          </w:p>
          <w:p w:rsidR="00195233" w:rsidRPr="00F0794C" w:rsidRDefault="00195233" w:rsidP="004B5863">
            <w:pPr>
              <w:numPr>
                <w:ilvl w:val="0"/>
                <w:numId w:val="14"/>
              </w:numPr>
              <w:spacing w:after="200"/>
              <w:jc w:val="both"/>
              <w:rPr>
                <w:rFonts w:asciiTheme="minorHAnsi" w:eastAsiaTheme="minorHAnsi" w:hAnsiTheme="minorHAnsi" w:cstheme="minorBidi"/>
              </w:rPr>
            </w:pPr>
            <w:r w:rsidRPr="00F0794C">
              <w:rPr>
                <w:rFonts w:asciiTheme="minorHAnsi" w:eastAsiaTheme="minorHAnsi" w:hAnsiTheme="minorHAnsi" w:cstheme="minorBidi"/>
              </w:rPr>
              <w:t xml:space="preserve">improved access to roads for larger vehicles, either through direct access to existing roads or to roads that have been upgraded to allow for increased access, </w:t>
            </w:r>
          </w:p>
          <w:p w:rsidR="00F63F4C" w:rsidRPr="00F0794C" w:rsidRDefault="00195233" w:rsidP="004B5863">
            <w:pPr>
              <w:numPr>
                <w:ilvl w:val="0"/>
                <w:numId w:val="14"/>
              </w:numPr>
              <w:spacing w:after="200"/>
              <w:jc w:val="both"/>
              <w:rPr>
                <w:rFonts w:asciiTheme="minorHAnsi" w:eastAsiaTheme="minorHAnsi" w:hAnsiTheme="minorHAnsi" w:cstheme="minorBidi"/>
              </w:rPr>
            </w:pPr>
            <w:r w:rsidRPr="00F0794C">
              <w:rPr>
                <w:rFonts w:asciiTheme="minorHAnsi" w:eastAsiaTheme="minorHAnsi" w:hAnsiTheme="minorHAnsi" w:cstheme="minorBidi"/>
              </w:rPr>
              <w:t>better management of lifecycle costs, potentially decreasing the lifetime cost of road maintenance</w:t>
            </w:r>
            <w:r w:rsidR="009B6F69" w:rsidRPr="00F0794C">
              <w:rPr>
                <w:rFonts w:asciiTheme="minorHAnsi" w:eastAsiaTheme="minorHAnsi" w:hAnsiTheme="minorHAnsi" w:cstheme="minorBidi"/>
              </w:rPr>
              <w:t>,</w:t>
            </w:r>
          </w:p>
          <w:p w:rsidR="00195233" w:rsidRPr="00F0794C" w:rsidRDefault="00195233" w:rsidP="004B5863">
            <w:pPr>
              <w:numPr>
                <w:ilvl w:val="0"/>
                <w:numId w:val="14"/>
              </w:numPr>
              <w:spacing w:after="200"/>
              <w:jc w:val="both"/>
              <w:rPr>
                <w:rFonts w:asciiTheme="minorHAnsi" w:eastAsiaTheme="minorHAnsi" w:hAnsiTheme="minorHAnsi" w:cstheme="minorBidi"/>
              </w:rPr>
            </w:pPr>
            <w:r w:rsidRPr="00F0794C">
              <w:rPr>
                <w:rFonts w:asciiTheme="minorHAnsi" w:eastAsiaTheme="minorHAnsi" w:hAnsiTheme="minorHAnsi" w:cstheme="minorBidi"/>
              </w:rPr>
              <w:t>potential for improved road qua</w:t>
            </w:r>
            <w:r w:rsidR="00B77735" w:rsidRPr="00F0794C">
              <w:rPr>
                <w:rFonts w:asciiTheme="minorHAnsi" w:eastAsiaTheme="minorHAnsi" w:hAnsiTheme="minorHAnsi" w:cstheme="minorBidi"/>
              </w:rPr>
              <w:t>lity and subsequent changes in v</w:t>
            </w:r>
            <w:r w:rsidRPr="00F0794C">
              <w:rPr>
                <w:rFonts w:asciiTheme="minorHAnsi" w:eastAsiaTheme="minorHAnsi" w:hAnsiTheme="minorHAnsi" w:cstheme="minorBidi"/>
              </w:rPr>
              <w:t>ehicle operating cost where regulated pricing allows the road owner to recover maintenance costs a</w:t>
            </w:r>
            <w:r w:rsidR="00A85AFD">
              <w:rPr>
                <w:rFonts w:asciiTheme="minorHAnsi" w:eastAsiaTheme="minorHAnsi" w:hAnsiTheme="minorHAnsi" w:cstheme="minorBidi"/>
              </w:rPr>
              <w:t>t an appropriate rate of return; and</w:t>
            </w:r>
          </w:p>
          <w:p w:rsidR="00195233" w:rsidRPr="00F0794C" w:rsidRDefault="00195233" w:rsidP="004B5863">
            <w:pPr>
              <w:numPr>
                <w:ilvl w:val="0"/>
                <w:numId w:val="14"/>
              </w:numPr>
              <w:spacing w:after="200"/>
              <w:jc w:val="both"/>
              <w:rPr>
                <w:rFonts w:asciiTheme="minorHAnsi" w:eastAsiaTheme="minorHAnsi" w:hAnsiTheme="minorHAnsi" w:cstheme="minorBidi"/>
              </w:rPr>
            </w:pPr>
            <w:proofErr w:type="gramStart"/>
            <w:r w:rsidRPr="00F0794C">
              <w:rPr>
                <w:rFonts w:asciiTheme="minorHAnsi" w:eastAsiaTheme="minorHAnsi" w:hAnsiTheme="minorHAnsi" w:cstheme="minorBidi"/>
              </w:rPr>
              <w:t>in</w:t>
            </w:r>
            <w:proofErr w:type="gramEnd"/>
            <w:r w:rsidRPr="00F0794C">
              <w:rPr>
                <w:rFonts w:asciiTheme="minorHAnsi" w:eastAsiaTheme="minorHAnsi" w:hAnsiTheme="minorHAnsi" w:cstheme="minorBidi"/>
              </w:rPr>
              <w:t xml:space="preserve"> the case of private service providers, the potential for increased efficiency of contracting. </w:t>
            </w:r>
          </w:p>
          <w:p w:rsidR="00B51244" w:rsidRDefault="00B51244" w:rsidP="004B5863">
            <w:pPr>
              <w:spacing w:after="200"/>
              <w:jc w:val="both"/>
              <w:rPr>
                <w:rFonts w:asciiTheme="minorHAnsi" w:eastAsiaTheme="minorHAnsi" w:hAnsiTheme="minorHAnsi" w:cstheme="minorBidi"/>
              </w:rPr>
            </w:pPr>
          </w:p>
          <w:p w:rsidR="00195233" w:rsidRPr="00F0794C" w:rsidRDefault="00195233" w:rsidP="004B5863">
            <w:pPr>
              <w:spacing w:after="200"/>
              <w:jc w:val="both"/>
              <w:rPr>
                <w:rFonts w:asciiTheme="minorHAnsi" w:eastAsiaTheme="minorHAnsi" w:hAnsiTheme="minorHAnsi" w:cstheme="minorBidi"/>
              </w:rPr>
            </w:pPr>
            <w:bookmarkStart w:id="17" w:name="_GoBack"/>
            <w:bookmarkEnd w:id="17"/>
            <w:r w:rsidRPr="00F0794C">
              <w:rPr>
                <w:rFonts w:asciiTheme="minorHAnsi" w:eastAsiaTheme="minorHAnsi" w:hAnsiTheme="minorHAnsi" w:cstheme="minorBidi"/>
              </w:rPr>
              <w:lastRenderedPageBreak/>
              <w:t>These should be balanced by the uncertainties over the sensitiv</w:t>
            </w:r>
            <w:r w:rsidR="00A85AFD">
              <w:rPr>
                <w:rFonts w:asciiTheme="minorHAnsi" w:eastAsiaTheme="minorHAnsi" w:hAnsiTheme="minorHAnsi" w:cstheme="minorBidi"/>
              </w:rPr>
              <w:t>ity</w:t>
            </w:r>
            <w:r w:rsidRPr="00F0794C">
              <w:rPr>
                <w:rFonts w:asciiTheme="minorHAnsi" w:eastAsiaTheme="minorHAnsi" w:hAnsiTheme="minorHAnsi" w:cstheme="minorBidi"/>
              </w:rPr>
              <w:t xml:space="preserve"> testing of some key parameters</w:t>
            </w:r>
            <w:r w:rsidR="009B6F69" w:rsidRPr="00F0794C">
              <w:rPr>
                <w:rFonts w:asciiTheme="minorHAnsi" w:eastAsiaTheme="minorHAnsi" w:hAnsiTheme="minorHAnsi" w:cstheme="minorBidi"/>
              </w:rPr>
              <w:t xml:space="preserve"> and doubts about inputs</w:t>
            </w:r>
            <w:r w:rsidRPr="00F0794C">
              <w:rPr>
                <w:rFonts w:asciiTheme="minorHAnsi" w:eastAsiaTheme="minorHAnsi" w:hAnsiTheme="minorHAnsi" w:cstheme="minorBidi"/>
              </w:rPr>
              <w:t>:</w:t>
            </w:r>
          </w:p>
          <w:p w:rsidR="00195233" w:rsidRPr="00F0794C" w:rsidRDefault="00195233" w:rsidP="004B5863">
            <w:pPr>
              <w:pStyle w:val="ListParagraph"/>
              <w:numPr>
                <w:ilvl w:val="0"/>
                <w:numId w:val="15"/>
              </w:numPr>
              <w:jc w:val="both"/>
              <w:rPr>
                <w:rFonts w:asciiTheme="minorHAnsi" w:eastAsiaTheme="minorHAnsi" w:hAnsiTheme="minorHAnsi" w:cstheme="minorBidi"/>
                <w:u w:val="single"/>
              </w:rPr>
            </w:pPr>
            <w:r w:rsidRPr="00F0794C">
              <w:rPr>
                <w:rFonts w:asciiTheme="minorHAnsi" w:eastAsiaTheme="minorHAnsi" w:hAnsiTheme="minorHAnsi" w:cstheme="minorBidi"/>
                <w:u w:val="single"/>
              </w:rPr>
              <w:t>The extent of substitution between different vehicle types</w:t>
            </w:r>
            <w:r w:rsidR="00B77735" w:rsidRPr="00F0794C">
              <w:rPr>
                <w:rFonts w:asciiTheme="minorHAnsi" w:eastAsiaTheme="minorHAnsi" w:hAnsiTheme="minorHAnsi" w:cstheme="minorBidi"/>
                <w:u w:val="single"/>
              </w:rPr>
              <w:t xml:space="preserve"> and routes</w:t>
            </w:r>
            <w:r w:rsidRPr="00F0794C">
              <w:rPr>
                <w:rFonts w:asciiTheme="minorHAnsi" w:eastAsiaTheme="minorHAnsi" w:hAnsiTheme="minorHAnsi" w:cstheme="minorBidi"/>
                <w:u w:val="single"/>
              </w:rPr>
              <w:t xml:space="preserve"> in response to price signals. </w:t>
            </w: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 xml:space="preserve">The CBA work uses the CRRP </w:t>
            </w:r>
            <w:r w:rsidR="00C726F8" w:rsidRPr="00F0794C">
              <w:rPr>
                <w:rFonts w:asciiTheme="minorHAnsi" w:eastAsiaTheme="minorHAnsi" w:hAnsiTheme="minorHAnsi" w:cstheme="minorBidi"/>
              </w:rPr>
              <w:t xml:space="preserve">demand </w:t>
            </w:r>
            <w:r w:rsidRPr="00F0794C">
              <w:rPr>
                <w:rFonts w:asciiTheme="minorHAnsi" w:eastAsiaTheme="minorHAnsi" w:hAnsiTheme="minorHAnsi" w:cstheme="minorBidi"/>
              </w:rPr>
              <w:t xml:space="preserve">elasticities which showed there were minor opportunities for the industry to switch routes.  The paper fails to describe the CRRP findings. </w:t>
            </w:r>
          </w:p>
          <w:p w:rsidR="00195233" w:rsidRPr="00F0794C" w:rsidRDefault="00195233" w:rsidP="004B5863">
            <w:pPr>
              <w:jc w:val="both"/>
              <w:rPr>
                <w:rFonts w:asciiTheme="minorHAnsi" w:eastAsiaTheme="minorHAnsi" w:hAnsiTheme="minorHAnsi" w:cstheme="minorBidi"/>
                <w:color w:val="FF0000"/>
              </w:rPr>
            </w:pPr>
          </w:p>
          <w:p w:rsidR="00195233" w:rsidRPr="00F0794C" w:rsidRDefault="00195233" w:rsidP="004B5863">
            <w:pPr>
              <w:jc w:val="both"/>
              <w:rPr>
                <w:rFonts w:asciiTheme="minorHAnsi" w:hAnsiTheme="minorHAnsi" w:cs="Arial"/>
              </w:rPr>
            </w:pPr>
            <w:r w:rsidRPr="00F0794C">
              <w:rPr>
                <w:rFonts w:asciiTheme="minorHAnsi" w:hAnsiTheme="minorHAnsi" w:cs="Arial"/>
              </w:rPr>
              <w:t xml:space="preserve">Previous CRRP work has shown that even with a more cost reflective charging system: </w:t>
            </w:r>
          </w:p>
          <w:p w:rsidR="00195233" w:rsidRPr="00F0794C" w:rsidRDefault="00195233" w:rsidP="004B5863">
            <w:pPr>
              <w:jc w:val="both"/>
              <w:rPr>
                <w:rFonts w:asciiTheme="minorHAnsi" w:hAnsiTheme="minorHAnsi" w:cs="Arial"/>
              </w:rPr>
            </w:pPr>
          </w:p>
          <w:p w:rsidR="00195233" w:rsidRPr="00F0794C" w:rsidRDefault="00195233" w:rsidP="004B5863">
            <w:pPr>
              <w:numPr>
                <w:ilvl w:val="0"/>
                <w:numId w:val="13"/>
              </w:numPr>
              <w:spacing w:after="200" w:line="276" w:lineRule="auto"/>
              <w:contextualSpacing/>
              <w:jc w:val="both"/>
              <w:rPr>
                <w:rFonts w:asciiTheme="minorHAnsi" w:hAnsiTheme="minorHAnsi" w:cs="Arial"/>
              </w:rPr>
            </w:pPr>
            <w:r w:rsidRPr="00F0794C">
              <w:rPr>
                <w:rFonts w:asciiTheme="minorHAnsi" w:hAnsiTheme="minorHAnsi" w:cs="Arial"/>
              </w:rPr>
              <w:t xml:space="preserve">Operators will not change their behaviour dramatically because of current operational limits (by road agencies) and the incentives operators already have to use the most efficient route and the most productive vehicle combination </w:t>
            </w:r>
          </w:p>
          <w:p w:rsidR="00195233" w:rsidRPr="00F0794C" w:rsidRDefault="00195233" w:rsidP="004B5863">
            <w:pPr>
              <w:numPr>
                <w:ilvl w:val="0"/>
                <w:numId w:val="13"/>
              </w:numPr>
              <w:spacing w:after="200" w:line="276" w:lineRule="auto"/>
              <w:contextualSpacing/>
              <w:jc w:val="both"/>
              <w:rPr>
                <w:rFonts w:asciiTheme="minorHAnsi" w:hAnsiTheme="minorHAnsi" w:cs="Arial"/>
              </w:rPr>
            </w:pPr>
            <w:r w:rsidRPr="00F0794C">
              <w:rPr>
                <w:rFonts w:asciiTheme="minorHAnsi" w:hAnsiTheme="minorHAnsi" w:cs="Arial"/>
              </w:rPr>
              <w:t xml:space="preserve">Only 25% of current freight trips have realistic alternative routes </w:t>
            </w:r>
          </w:p>
          <w:p w:rsidR="00195233" w:rsidRPr="00F0794C" w:rsidRDefault="00195233" w:rsidP="004B5863">
            <w:pPr>
              <w:numPr>
                <w:ilvl w:val="0"/>
                <w:numId w:val="13"/>
              </w:numPr>
              <w:spacing w:after="200" w:line="276" w:lineRule="auto"/>
              <w:contextualSpacing/>
              <w:jc w:val="both"/>
              <w:rPr>
                <w:rFonts w:asciiTheme="minorHAnsi" w:hAnsiTheme="minorHAnsi" w:cs="Arial"/>
              </w:rPr>
            </w:pPr>
            <w:r w:rsidRPr="00F0794C">
              <w:rPr>
                <w:rFonts w:asciiTheme="minorHAnsi" w:hAnsiTheme="minorHAnsi" w:cs="Arial"/>
              </w:rPr>
              <w:t>Only 11% of operators agreed they would have an alternative to the local roads on which they travel</w:t>
            </w:r>
            <w:r w:rsidRPr="00F0794C">
              <w:rPr>
                <w:rFonts w:asciiTheme="minorHAnsi" w:hAnsiTheme="minorHAnsi"/>
                <w:vertAlign w:val="superscript"/>
              </w:rPr>
              <w:footnoteReference w:id="21"/>
            </w:r>
            <w:r w:rsidRPr="00F0794C">
              <w:rPr>
                <w:rFonts w:asciiTheme="minorHAnsi" w:hAnsiTheme="minorHAnsi" w:cs="Arial"/>
              </w:rPr>
              <w:t xml:space="preserve">. </w:t>
            </w:r>
          </w:p>
          <w:p w:rsidR="00195233" w:rsidRPr="00F0794C" w:rsidRDefault="00195233" w:rsidP="004B5863">
            <w:pPr>
              <w:ind w:left="720"/>
              <w:contextualSpacing/>
              <w:jc w:val="both"/>
              <w:rPr>
                <w:rFonts w:asciiTheme="minorHAnsi" w:hAnsiTheme="minorHAnsi" w:cs="Arial"/>
              </w:rPr>
            </w:pPr>
          </w:p>
          <w:p w:rsidR="009B6F69" w:rsidRPr="00F0794C" w:rsidRDefault="00195233" w:rsidP="004B5863">
            <w:pPr>
              <w:jc w:val="both"/>
              <w:rPr>
                <w:rFonts w:asciiTheme="minorHAnsi" w:hAnsiTheme="minorHAnsi" w:cs="Arial"/>
              </w:rPr>
            </w:pPr>
            <w:r w:rsidRPr="00F0794C">
              <w:rPr>
                <w:rFonts w:asciiTheme="minorHAnsi" w:hAnsiTheme="minorHAnsi" w:cs="Arial"/>
              </w:rPr>
              <w:t xml:space="preserve">Therefore, indicating </w:t>
            </w:r>
            <w:r w:rsidR="00B77735" w:rsidRPr="00F0794C">
              <w:rPr>
                <w:rFonts w:asciiTheme="minorHAnsi" w:hAnsiTheme="minorHAnsi" w:cs="Arial"/>
              </w:rPr>
              <w:t xml:space="preserve">that </w:t>
            </w:r>
            <w:r w:rsidRPr="00F0794C">
              <w:rPr>
                <w:rFonts w:asciiTheme="minorHAnsi" w:hAnsiTheme="minorHAnsi" w:cs="Arial"/>
              </w:rPr>
              <w:t xml:space="preserve">there needs to be an improvement in route choice and fleet mix </w:t>
            </w:r>
            <w:r w:rsidR="001C376A">
              <w:rPr>
                <w:rFonts w:asciiTheme="minorHAnsi" w:hAnsiTheme="minorHAnsi" w:cs="Arial"/>
              </w:rPr>
              <w:t xml:space="preserve">is </w:t>
            </w:r>
            <w:r w:rsidRPr="00F0794C">
              <w:rPr>
                <w:rFonts w:asciiTheme="minorHAnsi" w:hAnsiTheme="minorHAnsi" w:cs="Arial"/>
              </w:rPr>
              <w:t xml:space="preserve">fanciful </w:t>
            </w:r>
            <w:r w:rsidR="001C376A">
              <w:rPr>
                <w:rFonts w:asciiTheme="minorHAnsi" w:hAnsiTheme="minorHAnsi" w:cs="Arial"/>
              </w:rPr>
              <w:t xml:space="preserve">there would not be a </w:t>
            </w:r>
            <w:r w:rsidR="001C376A" w:rsidRPr="00F0794C">
              <w:rPr>
                <w:rFonts w:asciiTheme="minorHAnsi" w:hAnsiTheme="minorHAnsi" w:cs="Arial"/>
              </w:rPr>
              <w:t>marginal</w:t>
            </w:r>
            <w:r w:rsidRPr="00F0794C">
              <w:rPr>
                <w:rFonts w:asciiTheme="minorHAnsi" w:hAnsiTheme="minorHAnsi" w:cs="Arial"/>
              </w:rPr>
              <w:t xml:space="preserve"> change even with fully variable charges</w:t>
            </w:r>
            <w:r w:rsidR="009B6F69" w:rsidRPr="00F0794C">
              <w:rPr>
                <w:rFonts w:asciiTheme="minorHAnsi" w:hAnsiTheme="minorHAnsi" w:cs="Arial"/>
              </w:rPr>
              <w:t>.</w:t>
            </w:r>
            <w:r w:rsidR="00C726F8" w:rsidRPr="00F0794C">
              <w:rPr>
                <w:rFonts w:asciiTheme="minorHAnsi" w:hAnsiTheme="minorHAnsi" w:cs="Arial"/>
              </w:rPr>
              <w:t xml:space="preserve"> Only new infrastructure can satisfy this vision. </w:t>
            </w:r>
          </w:p>
          <w:p w:rsidR="009B6F69" w:rsidRPr="00F0794C" w:rsidRDefault="009B6F69" w:rsidP="004B5863">
            <w:pPr>
              <w:jc w:val="both"/>
              <w:rPr>
                <w:rFonts w:asciiTheme="minorHAnsi" w:hAnsiTheme="minorHAnsi" w:cs="Arial"/>
              </w:rPr>
            </w:pPr>
          </w:p>
          <w:p w:rsidR="00195233" w:rsidRPr="00F0794C" w:rsidRDefault="009B6F69" w:rsidP="004B5863">
            <w:pPr>
              <w:jc w:val="both"/>
              <w:rPr>
                <w:rFonts w:asciiTheme="minorHAnsi" w:hAnsiTheme="minorHAnsi" w:cs="Arial"/>
              </w:rPr>
            </w:pPr>
            <w:r w:rsidRPr="00F0794C">
              <w:rPr>
                <w:rFonts w:asciiTheme="minorHAnsi" w:hAnsiTheme="minorHAnsi" w:cs="Arial"/>
              </w:rPr>
              <w:t xml:space="preserve">The </w:t>
            </w:r>
            <w:r w:rsidR="00195233" w:rsidRPr="00F0794C">
              <w:rPr>
                <w:rFonts w:asciiTheme="minorHAnsi" w:hAnsiTheme="minorHAnsi" w:cs="Arial"/>
              </w:rPr>
              <w:t xml:space="preserve">industry is making the best decisions it can </w:t>
            </w:r>
            <w:proofErr w:type="gramStart"/>
            <w:r w:rsidR="00195233" w:rsidRPr="00F0794C">
              <w:rPr>
                <w:rFonts w:asciiTheme="minorHAnsi" w:hAnsiTheme="minorHAnsi" w:cs="Arial"/>
              </w:rPr>
              <w:t>given</w:t>
            </w:r>
            <w:proofErr w:type="gramEnd"/>
            <w:r w:rsidR="00195233" w:rsidRPr="00F0794C">
              <w:rPr>
                <w:rFonts w:asciiTheme="minorHAnsi" w:hAnsiTheme="minorHAnsi" w:cs="Arial"/>
              </w:rPr>
              <w:t xml:space="preserve"> current access restrictions and fixed origin and destination. </w:t>
            </w:r>
          </w:p>
          <w:p w:rsidR="00195233" w:rsidRPr="00F0794C" w:rsidRDefault="00195233" w:rsidP="004B5863">
            <w:pPr>
              <w:jc w:val="both"/>
              <w:rPr>
                <w:rFonts w:asciiTheme="minorHAnsi" w:hAnsiTheme="minorHAnsi" w:cs="Arial"/>
              </w:rPr>
            </w:pPr>
          </w:p>
          <w:p w:rsidR="00195233" w:rsidRPr="00F0794C" w:rsidRDefault="00195233" w:rsidP="004B5863">
            <w:pPr>
              <w:jc w:val="both"/>
              <w:rPr>
                <w:rFonts w:asciiTheme="minorHAnsi" w:hAnsiTheme="minorHAnsi" w:cs="Arial"/>
              </w:rPr>
            </w:pPr>
            <w:r w:rsidRPr="00F0794C">
              <w:rPr>
                <w:rFonts w:asciiTheme="minorHAnsi" w:hAnsiTheme="minorHAnsi" w:cs="Arial"/>
              </w:rPr>
              <w:t xml:space="preserve">If HVCI is looking for a charges system that changes route choice it will struggle. HVCI also needs to consider that industry is constrained by noise curfews, time curfews, access curfews, depot operating hours and peak hour </w:t>
            </w:r>
            <w:r w:rsidR="00447C81" w:rsidRPr="00F0794C">
              <w:rPr>
                <w:rFonts w:asciiTheme="minorHAnsi" w:hAnsiTheme="minorHAnsi" w:cs="Arial"/>
              </w:rPr>
              <w:t xml:space="preserve">congestion. </w:t>
            </w:r>
            <w:r w:rsidRPr="00F0794C">
              <w:rPr>
                <w:rFonts w:asciiTheme="minorHAnsi" w:hAnsiTheme="minorHAnsi" w:cs="Arial"/>
              </w:rPr>
              <w:t xml:space="preserve">Any variable pricing mechanism needs to consider these constraints and the prices should reflect the barriers on operations and that industry encounters. </w:t>
            </w:r>
          </w:p>
          <w:p w:rsidR="00195233" w:rsidRPr="00F0794C" w:rsidRDefault="00195233" w:rsidP="004B5863">
            <w:pPr>
              <w:jc w:val="both"/>
              <w:rPr>
                <w:rFonts w:asciiTheme="minorHAnsi" w:hAnsiTheme="minorHAnsi" w:cs="Arial"/>
              </w:rPr>
            </w:pPr>
          </w:p>
          <w:p w:rsidR="00195233" w:rsidRPr="00F0794C" w:rsidRDefault="00195233" w:rsidP="004B5863">
            <w:pPr>
              <w:jc w:val="both"/>
              <w:rPr>
                <w:rFonts w:asciiTheme="minorHAnsi" w:hAnsiTheme="minorHAnsi" w:cs="Arial"/>
              </w:rPr>
            </w:pPr>
            <w:r w:rsidRPr="00F0794C">
              <w:rPr>
                <w:rFonts w:asciiTheme="minorHAnsi" w:hAnsiTheme="minorHAnsi" w:cs="Arial"/>
              </w:rPr>
              <w:t xml:space="preserve">Until these and other restrictions are addressed there is limited action industry can undertake to change delivery routes and </w:t>
            </w:r>
            <w:proofErr w:type="gramStart"/>
            <w:r w:rsidRPr="00F0794C">
              <w:rPr>
                <w:rFonts w:asciiTheme="minorHAnsi" w:hAnsiTheme="minorHAnsi" w:cs="Arial"/>
              </w:rPr>
              <w:t>times.</w:t>
            </w:r>
            <w:proofErr w:type="gramEnd"/>
            <w:r w:rsidRPr="00F0794C">
              <w:rPr>
                <w:rFonts w:asciiTheme="minorHAnsi" w:hAnsiTheme="minorHAnsi" w:cs="Arial"/>
              </w:rPr>
              <w:t xml:space="preserve"> </w:t>
            </w:r>
            <w:r w:rsidR="009B6F69" w:rsidRPr="00F0794C">
              <w:rPr>
                <w:rFonts w:asciiTheme="minorHAnsi" w:hAnsiTheme="minorHAnsi" w:cs="Arial"/>
              </w:rPr>
              <w:t xml:space="preserve"> Many of these actions require broader social change like changing to longer hours of service in core business. </w:t>
            </w:r>
          </w:p>
          <w:p w:rsidR="00B467E0" w:rsidRPr="00F0794C" w:rsidRDefault="00B467E0" w:rsidP="004B5863">
            <w:pPr>
              <w:jc w:val="both"/>
              <w:rPr>
                <w:rFonts w:asciiTheme="minorHAnsi" w:eastAsiaTheme="minorHAnsi" w:hAnsiTheme="minorHAnsi" w:cstheme="minorBidi"/>
              </w:rPr>
            </w:pPr>
          </w:p>
          <w:p w:rsidR="00195233" w:rsidRPr="00F0794C" w:rsidRDefault="00195233" w:rsidP="004B5863">
            <w:pPr>
              <w:pStyle w:val="ListParagraph"/>
              <w:numPr>
                <w:ilvl w:val="0"/>
                <w:numId w:val="15"/>
              </w:numPr>
              <w:jc w:val="both"/>
              <w:rPr>
                <w:rFonts w:asciiTheme="minorHAnsi" w:eastAsiaTheme="minorHAnsi" w:hAnsiTheme="minorHAnsi" w:cstheme="minorBidi"/>
                <w:u w:val="single"/>
              </w:rPr>
            </w:pPr>
            <w:r w:rsidRPr="00F0794C">
              <w:rPr>
                <w:rFonts w:asciiTheme="minorHAnsi" w:eastAsiaTheme="minorHAnsi" w:hAnsiTheme="minorHAnsi" w:cstheme="minorBidi"/>
                <w:u w:val="single"/>
              </w:rPr>
              <w:t>The source for the access calculations</w:t>
            </w:r>
          </w:p>
          <w:p w:rsidR="00195233" w:rsidRPr="00F0794C" w:rsidRDefault="00B467E0" w:rsidP="004B5863">
            <w:pPr>
              <w:jc w:val="both"/>
              <w:rPr>
                <w:rFonts w:asciiTheme="minorHAnsi" w:eastAsiaTheme="minorHAnsi" w:hAnsiTheme="minorHAnsi" w:cstheme="minorBidi"/>
              </w:rPr>
            </w:pPr>
            <w:r w:rsidRPr="00F0794C">
              <w:rPr>
                <w:rFonts w:asciiTheme="minorHAnsi" w:eastAsiaTheme="minorHAnsi" w:hAnsiTheme="minorHAnsi" w:cstheme="minorBidi"/>
              </w:rPr>
              <w:t>Using the P</w:t>
            </w:r>
            <w:r w:rsidR="00195233" w:rsidRPr="00F0794C">
              <w:rPr>
                <w:rFonts w:asciiTheme="minorHAnsi" w:eastAsiaTheme="minorHAnsi" w:hAnsiTheme="minorHAnsi" w:cstheme="minorBidi"/>
              </w:rPr>
              <w:t xml:space="preserve">erformance Based Standards (PBS) RIS as the basis for calculating the benefits of access should be balanced </w:t>
            </w:r>
            <w:r w:rsidRPr="00F0794C">
              <w:rPr>
                <w:rFonts w:asciiTheme="minorHAnsi" w:eastAsiaTheme="minorHAnsi" w:hAnsiTheme="minorHAnsi" w:cstheme="minorBidi"/>
              </w:rPr>
              <w:t xml:space="preserve">by an appraisal of </w:t>
            </w:r>
            <w:r w:rsidR="00195233" w:rsidRPr="00F0794C">
              <w:rPr>
                <w:rFonts w:asciiTheme="minorHAnsi" w:eastAsiaTheme="minorHAnsi" w:hAnsiTheme="minorHAnsi" w:cstheme="minorBidi"/>
              </w:rPr>
              <w:t xml:space="preserve">the outcomes of that scheme.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spacing w:after="200" w:line="276" w:lineRule="auto"/>
              <w:jc w:val="both"/>
              <w:rPr>
                <w:rFonts w:asciiTheme="minorHAnsi" w:eastAsiaTheme="minorHAnsi" w:hAnsiTheme="minorHAnsi" w:cs="Arial"/>
              </w:rPr>
            </w:pPr>
            <w:r w:rsidRPr="00F0794C">
              <w:rPr>
                <w:rFonts w:asciiTheme="minorHAnsi" w:eastAsiaTheme="minorHAnsi" w:hAnsiTheme="minorHAnsi" w:cs="Arial"/>
              </w:rPr>
              <w:t xml:space="preserve">The PBS system was created to allow innovative vehicles to meet select standards to prove their safety so they can operate as normal heavy vehicles. The rationale for the scheme is to make it easier for businesses to use innovative or specialised heavy vehicles. While businesses have complied with the strict criteria set, local governments and state agencies have made the scheme ineffectual, as PBS maps were supposed to have been produced in order to identify important information such as bridge capacity and rest stops for drivers. Local governments are either not able to </w:t>
            </w:r>
            <w:r w:rsidR="006865EA" w:rsidRPr="00F0794C">
              <w:rPr>
                <w:rFonts w:asciiTheme="minorHAnsi" w:eastAsiaTheme="minorHAnsi" w:hAnsiTheme="minorHAnsi" w:cs="Arial"/>
              </w:rPr>
              <w:t>identify</w:t>
            </w:r>
            <w:r w:rsidRPr="00F0794C">
              <w:rPr>
                <w:rFonts w:asciiTheme="minorHAnsi" w:eastAsiaTheme="minorHAnsi" w:hAnsiTheme="minorHAnsi" w:cs="Arial"/>
              </w:rPr>
              <w:t xml:space="preserve"> the routes for PBS maps because of lack of resources, or are not </w:t>
            </w:r>
            <w:r w:rsidR="00B467E0" w:rsidRPr="00F0794C">
              <w:rPr>
                <w:rFonts w:asciiTheme="minorHAnsi" w:eastAsiaTheme="minorHAnsi" w:hAnsiTheme="minorHAnsi" w:cs="Arial"/>
              </w:rPr>
              <w:t>sufficiently organised administratively</w:t>
            </w:r>
            <w:r w:rsidRPr="00F0794C">
              <w:rPr>
                <w:rFonts w:asciiTheme="minorHAnsi" w:eastAsiaTheme="minorHAnsi" w:hAnsiTheme="minorHAnsi" w:cs="Arial"/>
              </w:rPr>
              <w:t xml:space="preserve"> to do so.</w:t>
            </w: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Arial"/>
              </w:rPr>
              <w:t xml:space="preserve">PBS shows governments are not providing services that businesses have </w:t>
            </w:r>
            <w:r w:rsidR="009847BE" w:rsidRPr="00F0794C">
              <w:rPr>
                <w:rFonts w:asciiTheme="minorHAnsi" w:eastAsiaTheme="minorHAnsi" w:hAnsiTheme="minorHAnsi" w:cs="Arial"/>
              </w:rPr>
              <w:t xml:space="preserve">already </w:t>
            </w:r>
            <w:r w:rsidRPr="00F0794C">
              <w:rPr>
                <w:rFonts w:asciiTheme="minorHAnsi" w:eastAsiaTheme="minorHAnsi" w:hAnsiTheme="minorHAnsi" w:cs="Arial"/>
              </w:rPr>
              <w:t>paid for. The scheme has been operational since 2007 and 80 trucks and buses have registered as PBS as of January 2010</w:t>
            </w:r>
            <w:r w:rsidRPr="00F0794C">
              <w:rPr>
                <w:rFonts w:asciiTheme="minorHAnsi" w:eastAsiaTheme="minorHAnsi" w:hAnsiTheme="minorHAnsi" w:cs="Arial"/>
                <w:vertAlign w:val="superscript"/>
              </w:rPr>
              <w:footnoteReference w:id="22"/>
            </w:r>
            <w:r w:rsidRPr="00F0794C">
              <w:rPr>
                <w:rFonts w:asciiTheme="minorHAnsi" w:eastAsiaTheme="minorHAnsi" w:hAnsiTheme="minorHAnsi" w:cs="Arial"/>
              </w:rPr>
              <w:t xml:space="preserve">; and PBS mapping is still not complete.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The</w:t>
            </w:r>
            <w:r w:rsidR="009B6F69" w:rsidRPr="00F0794C">
              <w:rPr>
                <w:rFonts w:asciiTheme="minorHAnsi" w:eastAsiaTheme="minorHAnsi" w:hAnsiTheme="minorHAnsi" w:cstheme="minorBidi"/>
              </w:rPr>
              <w:t xml:space="preserve"> real</w:t>
            </w:r>
            <w:r w:rsidRPr="00F0794C">
              <w:rPr>
                <w:rFonts w:asciiTheme="minorHAnsi" w:eastAsiaTheme="minorHAnsi" w:hAnsiTheme="minorHAnsi" w:cstheme="minorBidi"/>
              </w:rPr>
              <w:t xml:space="preserve"> outcomes of PBS </w:t>
            </w:r>
            <w:r w:rsidR="00402485" w:rsidRPr="00F0794C">
              <w:rPr>
                <w:rFonts w:asciiTheme="minorHAnsi" w:eastAsiaTheme="minorHAnsi" w:hAnsiTheme="minorHAnsi" w:cstheme="minorBidi"/>
              </w:rPr>
              <w:t xml:space="preserve">to date </w:t>
            </w:r>
            <w:r w:rsidRPr="00F0794C">
              <w:rPr>
                <w:rFonts w:asciiTheme="minorHAnsi" w:eastAsiaTheme="minorHAnsi" w:hAnsiTheme="minorHAnsi" w:cstheme="minorBidi"/>
              </w:rPr>
              <w:t>should be included in any analysis.</w:t>
            </w:r>
            <w:r w:rsidR="009B6F69" w:rsidRPr="00F0794C">
              <w:rPr>
                <w:rFonts w:asciiTheme="minorHAnsi" w:eastAsiaTheme="minorHAnsi" w:hAnsiTheme="minorHAnsi" w:cstheme="minorBidi"/>
              </w:rPr>
              <w:t xml:space="preserve"> PBS has not been widely used due</w:t>
            </w:r>
            <w:r w:rsidR="00B77735" w:rsidRPr="00F0794C">
              <w:rPr>
                <w:rFonts w:asciiTheme="minorHAnsi" w:eastAsiaTheme="minorHAnsi" w:hAnsiTheme="minorHAnsi" w:cstheme="minorBidi"/>
              </w:rPr>
              <w:t xml:space="preserve"> to</w:t>
            </w:r>
            <w:r w:rsidR="005F7950" w:rsidRPr="00F0794C">
              <w:rPr>
                <w:rFonts w:asciiTheme="minorHAnsi" w:eastAsiaTheme="minorHAnsi" w:hAnsiTheme="minorHAnsi" w:cstheme="minorBidi"/>
              </w:rPr>
              <w:t xml:space="preserve"> its </w:t>
            </w:r>
            <w:r w:rsidR="009847BE" w:rsidRPr="00F0794C">
              <w:rPr>
                <w:rFonts w:asciiTheme="minorHAnsi" w:eastAsiaTheme="minorHAnsi" w:hAnsiTheme="minorHAnsi" w:cstheme="minorBidi"/>
              </w:rPr>
              <w:t>failure</w:t>
            </w:r>
            <w:r w:rsidR="005F7950" w:rsidRPr="00F0794C">
              <w:rPr>
                <w:rFonts w:asciiTheme="minorHAnsi" w:eastAsiaTheme="minorHAnsi" w:hAnsiTheme="minorHAnsi" w:cstheme="minorBidi"/>
              </w:rPr>
              <w:t xml:space="preserve"> to open up </w:t>
            </w:r>
            <w:r w:rsidR="009B6F69" w:rsidRPr="00F0794C">
              <w:rPr>
                <w:rFonts w:asciiTheme="minorHAnsi" w:eastAsiaTheme="minorHAnsi" w:hAnsiTheme="minorHAnsi" w:cstheme="minorBidi"/>
              </w:rPr>
              <w:t xml:space="preserve">access. </w:t>
            </w:r>
            <w:r w:rsidRPr="00F0794C">
              <w:rPr>
                <w:rFonts w:asciiTheme="minorHAnsi" w:eastAsiaTheme="minorHAnsi" w:hAnsiTheme="minorHAnsi" w:cstheme="minorBidi"/>
              </w:rPr>
              <w:t xml:space="preserve"> </w:t>
            </w: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lastRenderedPageBreak/>
              <w:t xml:space="preserve">Additionally, access benefits should be calculated from </w:t>
            </w:r>
            <w:r w:rsidR="00402485" w:rsidRPr="00F0794C">
              <w:rPr>
                <w:rFonts w:asciiTheme="minorHAnsi" w:eastAsiaTheme="minorHAnsi" w:hAnsiTheme="minorHAnsi" w:cstheme="minorBidi"/>
              </w:rPr>
              <w:t xml:space="preserve">real world </w:t>
            </w:r>
            <w:r w:rsidRPr="00F0794C">
              <w:rPr>
                <w:rFonts w:asciiTheme="minorHAnsi" w:eastAsiaTheme="minorHAnsi" w:hAnsiTheme="minorHAnsi" w:cstheme="minorBidi"/>
              </w:rPr>
              <w:t>case studies, not simply from the ‘model law’</w:t>
            </w:r>
            <w:r w:rsidR="00402485" w:rsidRPr="00F0794C">
              <w:rPr>
                <w:rFonts w:asciiTheme="minorHAnsi" w:eastAsiaTheme="minorHAnsi" w:hAnsiTheme="minorHAnsi" w:cstheme="minorBidi"/>
              </w:rPr>
              <w:t xml:space="preserve"> theory</w:t>
            </w:r>
            <w:r w:rsidRPr="00F0794C">
              <w:rPr>
                <w:rFonts w:asciiTheme="minorHAnsi" w:eastAsiaTheme="minorHAnsi" w:hAnsiTheme="minorHAnsi" w:cstheme="minorBidi"/>
              </w:rPr>
              <w:t xml:space="preserve"> of PBS.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pStyle w:val="ListParagraph"/>
              <w:numPr>
                <w:ilvl w:val="0"/>
                <w:numId w:val="15"/>
              </w:numPr>
              <w:jc w:val="both"/>
              <w:rPr>
                <w:rFonts w:asciiTheme="minorHAnsi" w:eastAsiaTheme="minorHAnsi" w:hAnsiTheme="minorHAnsi" w:cstheme="minorBidi"/>
                <w:u w:val="single"/>
              </w:rPr>
            </w:pPr>
            <w:r w:rsidRPr="00F0794C">
              <w:rPr>
                <w:rFonts w:asciiTheme="minorHAnsi" w:eastAsiaTheme="minorHAnsi" w:hAnsiTheme="minorHAnsi" w:cstheme="minorBidi"/>
                <w:u w:val="single"/>
              </w:rPr>
              <w:t>Change in road quality over the modelling period to assessment in the baseline of status quo and range of maintenance benefits that could be expected</w:t>
            </w: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 xml:space="preserve">The CBA work states that in reference to lifecycle maintenance costs there is not a lot of practical data available on the effect that a long term approach to funding would have on road expenditure. The literature used for lifecycle costs is based on pavement management systems. The saving stated for options A-C range from 8.6%-13.5% is this really a massive saving?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jc w:val="both"/>
              <w:rPr>
                <w:rFonts w:asciiTheme="minorHAnsi" w:eastAsiaTheme="minorHAnsi" w:hAnsiTheme="minorHAnsi" w:cstheme="minorBidi"/>
                <w:u w:val="single"/>
              </w:rPr>
            </w:pPr>
            <w:r w:rsidRPr="00F0794C">
              <w:rPr>
                <w:rFonts w:asciiTheme="minorHAnsi" w:eastAsiaTheme="minorHAnsi" w:hAnsiTheme="minorHAnsi" w:cstheme="minorBidi"/>
              </w:rPr>
              <w:t>We also question the worth of the HVCI reforms if road quality can only be improved by 0.4% a year.  This indicates that the reforms</w:t>
            </w:r>
            <w:r w:rsidR="009B6F69" w:rsidRPr="00F0794C">
              <w:rPr>
                <w:rFonts w:asciiTheme="minorHAnsi" w:eastAsiaTheme="minorHAnsi" w:hAnsiTheme="minorHAnsi" w:cstheme="minorBidi"/>
              </w:rPr>
              <w:t xml:space="preserve"> will not </w:t>
            </w:r>
            <w:r w:rsidR="00402485" w:rsidRPr="00F0794C">
              <w:rPr>
                <w:rFonts w:asciiTheme="minorHAnsi" w:eastAsiaTheme="minorHAnsi" w:hAnsiTheme="minorHAnsi" w:cstheme="minorBidi"/>
              </w:rPr>
              <w:t xml:space="preserve">ultimately </w:t>
            </w:r>
            <w:r w:rsidR="009B6F69" w:rsidRPr="00F0794C">
              <w:rPr>
                <w:rFonts w:asciiTheme="minorHAnsi" w:eastAsiaTheme="minorHAnsi" w:hAnsiTheme="minorHAnsi" w:cstheme="minorBidi"/>
              </w:rPr>
              <w:t>improve the quality of</w:t>
            </w:r>
            <w:r w:rsidRPr="00F0794C">
              <w:rPr>
                <w:rFonts w:asciiTheme="minorHAnsi" w:eastAsiaTheme="minorHAnsi" w:hAnsiTheme="minorHAnsi" w:cstheme="minorBidi"/>
              </w:rPr>
              <w:t xml:space="preserve"> road industry operates on. If this is supposed to be a service provider relationship, industry would expect more</w:t>
            </w:r>
            <w:r w:rsidR="00402485" w:rsidRPr="00F0794C">
              <w:rPr>
                <w:rFonts w:asciiTheme="minorHAnsi" w:eastAsiaTheme="minorHAnsi" w:hAnsiTheme="minorHAnsi" w:cstheme="minorBidi"/>
              </w:rPr>
              <w:t xml:space="preserve"> service</w:t>
            </w:r>
            <w:r w:rsidRPr="00F0794C">
              <w:rPr>
                <w:rFonts w:asciiTheme="minorHAnsi" w:eastAsiaTheme="minorHAnsi" w:hAnsiTheme="minorHAnsi" w:cstheme="minorBidi"/>
              </w:rPr>
              <w:t>.</w:t>
            </w:r>
          </w:p>
          <w:p w:rsidR="00195233" w:rsidRPr="00F0794C" w:rsidRDefault="00195233" w:rsidP="004B5863">
            <w:pPr>
              <w:jc w:val="both"/>
              <w:rPr>
                <w:rFonts w:asciiTheme="minorHAnsi" w:eastAsiaTheme="minorHAnsi" w:hAnsiTheme="minorHAnsi" w:cstheme="minorBidi"/>
                <w:u w:val="single"/>
              </w:rPr>
            </w:pPr>
          </w:p>
          <w:p w:rsidR="00195233" w:rsidRPr="00F0794C" w:rsidRDefault="00195233" w:rsidP="004B5863">
            <w:pPr>
              <w:pStyle w:val="ListParagraph"/>
              <w:numPr>
                <w:ilvl w:val="0"/>
                <w:numId w:val="15"/>
              </w:numPr>
              <w:jc w:val="both"/>
              <w:rPr>
                <w:rFonts w:asciiTheme="minorHAnsi" w:eastAsiaTheme="minorHAnsi" w:hAnsiTheme="minorHAnsi" w:cstheme="minorBidi"/>
                <w:u w:val="single"/>
              </w:rPr>
            </w:pPr>
            <w:r w:rsidRPr="00F0794C">
              <w:rPr>
                <w:rFonts w:asciiTheme="minorHAnsi" w:eastAsiaTheme="minorHAnsi" w:hAnsiTheme="minorHAnsi" w:cstheme="minorBidi"/>
                <w:u w:val="single"/>
              </w:rPr>
              <w:t xml:space="preserve">Supply chain changes </w:t>
            </w: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 xml:space="preserve">There is only a small amount of empirical evidence to support the concept of supply chain benefits and it is based on a US case </w:t>
            </w:r>
            <w:r w:rsidR="00402485" w:rsidRPr="00F0794C">
              <w:rPr>
                <w:rFonts w:asciiTheme="minorHAnsi" w:eastAsiaTheme="minorHAnsi" w:hAnsiTheme="minorHAnsi" w:cstheme="minorBidi"/>
              </w:rPr>
              <w:t>with</w:t>
            </w:r>
            <w:r w:rsidRPr="00F0794C">
              <w:rPr>
                <w:rFonts w:asciiTheme="minorHAnsi" w:eastAsiaTheme="minorHAnsi" w:hAnsiTheme="minorHAnsi" w:cstheme="minorBidi"/>
              </w:rPr>
              <w:t xml:space="preserve"> a different fleet composition to the Australian fleet.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Hard conclusions made on these findings should be balanced with the probab</w:t>
            </w:r>
            <w:r w:rsidR="005F7950" w:rsidRPr="00F0794C">
              <w:rPr>
                <w:rFonts w:asciiTheme="minorHAnsi" w:eastAsiaTheme="minorHAnsi" w:hAnsiTheme="minorHAnsi" w:cstheme="minorBidi"/>
              </w:rPr>
              <w:t>ility</w:t>
            </w:r>
            <w:r w:rsidRPr="00F0794C">
              <w:rPr>
                <w:rFonts w:asciiTheme="minorHAnsi" w:eastAsiaTheme="minorHAnsi" w:hAnsiTheme="minorHAnsi" w:cstheme="minorBidi"/>
              </w:rPr>
              <w:t xml:space="preserve"> of it</w:t>
            </w:r>
            <w:r w:rsidR="00402485" w:rsidRPr="00F0794C">
              <w:rPr>
                <w:rFonts w:asciiTheme="minorHAnsi" w:eastAsiaTheme="minorHAnsi" w:hAnsiTheme="minorHAnsi" w:cstheme="minorBidi"/>
              </w:rPr>
              <w:t xml:space="preserve"> then</w:t>
            </w:r>
            <w:r w:rsidRPr="00F0794C">
              <w:rPr>
                <w:rFonts w:asciiTheme="minorHAnsi" w:eastAsiaTheme="minorHAnsi" w:hAnsiTheme="minorHAnsi" w:cstheme="minorBidi"/>
              </w:rPr>
              <w:t xml:space="preserve"> translating to the Australian fleet.</w:t>
            </w:r>
          </w:p>
          <w:p w:rsidR="00195233" w:rsidRPr="00F0794C" w:rsidRDefault="00195233" w:rsidP="004B5863">
            <w:pPr>
              <w:jc w:val="both"/>
              <w:rPr>
                <w:rFonts w:asciiTheme="minorHAnsi" w:eastAsiaTheme="minorHAnsi" w:hAnsiTheme="minorHAnsi" w:cstheme="minorBidi"/>
                <w:u w:val="single"/>
              </w:rPr>
            </w:pPr>
          </w:p>
          <w:p w:rsidR="00195233" w:rsidRPr="00F0794C" w:rsidRDefault="00195233" w:rsidP="004B5863">
            <w:pPr>
              <w:pStyle w:val="ListParagraph"/>
              <w:numPr>
                <w:ilvl w:val="0"/>
                <w:numId w:val="15"/>
              </w:numPr>
              <w:jc w:val="both"/>
              <w:rPr>
                <w:rFonts w:asciiTheme="minorHAnsi" w:eastAsiaTheme="minorHAnsi" w:hAnsiTheme="minorHAnsi" w:cstheme="minorBidi"/>
                <w:u w:val="single"/>
              </w:rPr>
            </w:pPr>
            <w:r w:rsidRPr="00F0794C">
              <w:rPr>
                <w:rFonts w:asciiTheme="minorHAnsi" w:eastAsiaTheme="minorHAnsi" w:hAnsiTheme="minorHAnsi" w:cstheme="minorBidi"/>
                <w:u w:val="single"/>
              </w:rPr>
              <w:t xml:space="preserve">DAE also noted </w:t>
            </w:r>
            <w:r w:rsidR="00402485" w:rsidRPr="00F0794C">
              <w:rPr>
                <w:rFonts w:asciiTheme="minorHAnsi" w:eastAsiaTheme="minorHAnsi" w:hAnsiTheme="minorHAnsi" w:cstheme="minorBidi"/>
                <w:u w:val="single"/>
              </w:rPr>
              <w:t>it was not possible to</w:t>
            </w:r>
            <w:r w:rsidRPr="00F0794C">
              <w:rPr>
                <w:rFonts w:asciiTheme="minorHAnsi" w:eastAsiaTheme="minorHAnsi" w:hAnsiTheme="minorHAnsi" w:cstheme="minorBidi"/>
                <w:u w:val="single"/>
              </w:rPr>
              <w:t xml:space="preserve"> estimate any efficiencies flowing from a more co</w:t>
            </w:r>
            <w:r w:rsidR="00FC5FF8">
              <w:rPr>
                <w:rFonts w:asciiTheme="minorHAnsi" w:eastAsiaTheme="minorHAnsi" w:hAnsiTheme="minorHAnsi" w:cstheme="minorBidi"/>
                <w:u w:val="single"/>
              </w:rPr>
              <w:t>mmercial focus of road agencies</w:t>
            </w:r>
          </w:p>
          <w:p w:rsidR="00447C81"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 xml:space="preserve">Feedback from WA indicated that the complete outsourcing of road maintenance did not result in significant long term gains in terms of maintenance expenditure. Given the massive maintenance backlog that exists </w:t>
            </w:r>
            <w:r w:rsidR="00402485" w:rsidRPr="00F0794C">
              <w:rPr>
                <w:rFonts w:asciiTheme="minorHAnsi" w:eastAsiaTheme="minorHAnsi" w:hAnsiTheme="minorHAnsi" w:cstheme="minorBidi"/>
              </w:rPr>
              <w:t xml:space="preserve">nationally, </w:t>
            </w:r>
            <w:r w:rsidRPr="00F0794C">
              <w:rPr>
                <w:rFonts w:asciiTheme="minorHAnsi" w:eastAsiaTheme="minorHAnsi" w:hAnsiTheme="minorHAnsi" w:cstheme="minorBidi"/>
              </w:rPr>
              <w:t xml:space="preserve">the CBA work indicates that corporatisation will not solve the maintenance issues.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pStyle w:val="ListParagraph"/>
              <w:numPr>
                <w:ilvl w:val="0"/>
                <w:numId w:val="15"/>
              </w:numPr>
              <w:jc w:val="both"/>
              <w:rPr>
                <w:rFonts w:asciiTheme="minorHAnsi" w:eastAsiaTheme="minorHAnsi" w:hAnsiTheme="minorHAnsi" w:cstheme="minorBidi"/>
                <w:u w:val="single"/>
              </w:rPr>
            </w:pPr>
            <w:r w:rsidRPr="00F0794C">
              <w:rPr>
                <w:rFonts w:asciiTheme="minorHAnsi" w:eastAsiaTheme="minorHAnsi" w:hAnsiTheme="minorHAnsi" w:cstheme="minorBidi"/>
                <w:u w:val="single"/>
              </w:rPr>
              <w:t>Vehicle operating costs (VOC)</w:t>
            </w:r>
          </w:p>
          <w:p w:rsidR="00195233" w:rsidRPr="00F0794C" w:rsidRDefault="00402485" w:rsidP="004B5863">
            <w:pPr>
              <w:jc w:val="both"/>
              <w:rPr>
                <w:rFonts w:asciiTheme="minorHAnsi" w:eastAsiaTheme="minorHAnsi" w:hAnsiTheme="minorHAnsi" w:cstheme="minorBidi"/>
              </w:rPr>
            </w:pPr>
            <w:r w:rsidRPr="00F0794C">
              <w:rPr>
                <w:rFonts w:asciiTheme="minorHAnsi" w:eastAsiaTheme="minorHAnsi" w:hAnsiTheme="minorHAnsi" w:cstheme="minorBidi"/>
              </w:rPr>
              <w:t>Deloitte</w:t>
            </w:r>
            <w:r w:rsidR="00195233" w:rsidRPr="00F0794C">
              <w:rPr>
                <w:rFonts w:asciiTheme="minorHAnsi" w:eastAsiaTheme="minorHAnsi" w:hAnsiTheme="minorHAnsi" w:cstheme="minorBidi"/>
              </w:rPr>
              <w:t xml:space="preserve"> </w:t>
            </w:r>
            <w:r w:rsidR="001F1510" w:rsidRPr="00F0794C">
              <w:rPr>
                <w:rFonts w:asciiTheme="minorHAnsi" w:eastAsiaTheme="minorHAnsi" w:hAnsiTheme="minorHAnsi" w:cstheme="minorBidi"/>
              </w:rPr>
              <w:t>has</w:t>
            </w:r>
            <w:r w:rsidR="00195233" w:rsidRPr="00F0794C">
              <w:rPr>
                <w:rFonts w:asciiTheme="minorHAnsi" w:eastAsiaTheme="minorHAnsi" w:hAnsiTheme="minorHAnsi" w:cstheme="minorBidi"/>
              </w:rPr>
              <w:t xml:space="preserve"> used the NTC vehicle operating cost model, which is not public and was derided by industry at the last viewing due to its unrealistic costs and share of costs of business components. Using a non-public document that has failed under scrutiny is not acceptable.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 xml:space="preserve">The CBA work also assumes that vehicle operating costs are constant over time which does not seem correct.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 xml:space="preserve">Therefore the gains projected for VOC savings need to be re-evaluated with industry input.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 xml:space="preserve">Comparing the list of uncertainties to the claims DAE say can be quantified puts significant doubt about the accuracy of the claims made by DAE and HVCI.  Further, as the DAE work provides the inputs into the Monash CGE model the outcomes of that testing will be skewed by the assumptions.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pStyle w:val="ListParagraph"/>
              <w:numPr>
                <w:ilvl w:val="0"/>
                <w:numId w:val="15"/>
              </w:numPr>
              <w:jc w:val="both"/>
              <w:rPr>
                <w:rFonts w:asciiTheme="minorHAnsi" w:eastAsiaTheme="minorHAnsi" w:hAnsiTheme="minorHAnsi" w:cstheme="minorBidi"/>
                <w:u w:val="single"/>
              </w:rPr>
            </w:pPr>
            <w:r w:rsidRPr="00F0794C">
              <w:rPr>
                <w:rFonts w:asciiTheme="minorHAnsi" w:eastAsiaTheme="minorHAnsi" w:hAnsiTheme="minorHAnsi" w:cstheme="minorBidi"/>
                <w:u w:val="single"/>
              </w:rPr>
              <w:t xml:space="preserve">Industry cost estimates </w:t>
            </w: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 xml:space="preserve">A separate consultation is the basis for the costs stated in the strategic directions report. However, the estimates come from CRRP/SKM </w:t>
            </w:r>
            <w:r w:rsidRPr="00F0794C">
              <w:rPr>
                <w:rFonts w:asciiTheme="minorHAnsi" w:eastAsiaTheme="minorHAnsi" w:hAnsiTheme="minorHAnsi" w:cstheme="minorBidi"/>
                <w:i/>
              </w:rPr>
              <w:t>Compliance Cost Model</w:t>
            </w:r>
            <w:r w:rsidRPr="00F0794C">
              <w:rPr>
                <w:rFonts w:asciiTheme="minorHAnsi" w:eastAsiaTheme="minorHAnsi" w:hAnsiTheme="minorHAnsi" w:cstheme="minorBidi"/>
              </w:rPr>
              <w:t xml:space="preserve"> work which is out of date and not public. This </w:t>
            </w:r>
            <w:r w:rsidR="00402485" w:rsidRPr="00F0794C">
              <w:rPr>
                <w:rFonts w:asciiTheme="minorHAnsi" w:eastAsiaTheme="minorHAnsi" w:hAnsiTheme="minorHAnsi" w:cstheme="minorBidi"/>
              </w:rPr>
              <w:t xml:space="preserve">situation </w:t>
            </w:r>
            <w:r w:rsidRPr="00F0794C">
              <w:rPr>
                <w:rFonts w:asciiTheme="minorHAnsi" w:eastAsiaTheme="minorHAnsi" w:hAnsiTheme="minorHAnsi" w:cstheme="minorBidi"/>
              </w:rPr>
              <w:t xml:space="preserve">has to be </w:t>
            </w:r>
            <w:r w:rsidR="00402485" w:rsidRPr="00F0794C">
              <w:rPr>
                <w:rFonts w:asciiTheme="minorHAnsi" w:eastAsiaTheme="minorHAnsi" w:hAnsiTheme="minorHAnsi" w:cstheme="minorBidi"/>
              </w:rPr>
              <w:t>remedied</w:t>
            </w:r>
            <w:r w:rsidRPr="00F0794C">
              <w:rPr>
                <w:rFonts w:asciiTheme="minorHAnsi" w:eastAsiaTheme="minorHAnsi" w:hAnsiTheme="minorHAnsi" w:cstheme="minorBidi"/>
              </w:rPr>
              <w:t xml:space="preserve">. </w:t>
            </w:r>
          </w:p>
          <w:p w:rsidR="00195233" w:rsidRPr="00F0794C" w:rsidRDefault="00195233" w:rsidP="004B5863">
            <w:pPr>
              <w:jc w:val="both"/>
              <w:rPr>
                <w:rFonts w:asciiTheme="minorHAnsi" w:eastAsiaTheme="minorHAnsi" w:hAnsiTheme="minorHAnsi" w:cstheme="minorBidi"/>
              </w:rPr>
            </w:pPr>
          </w:p>
          <w:p w:rsidR="00F63F4C"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We cannot find the costs estimates included in the strategic directions report. Where did the calculations come from</w:t>
            </w:r>
            <w:r w:rsidR="009B6F69" w:rsidRPr="00F0794C">
              <w:rPr>
                <w:rFonts w:asciiTheme="minorHAnsi" w:eastAsiaTheme="minorHAnsi" w:hAnsiTheme="minorHAnsi" w:cstheme="minorBidi"/>
              </w:rPr>
              <w:t>,</w:t>
            </w:r>
            <w:r w:rsidRPr="00F0794C">
              <w:rPr>
                <w:rFonts w:asciiTheme="minorHAnsi" w:eastAsiaTheme="minorHAnsi" w:hAnsiTheme="minorHAnsi" w:cstheme="minorBidi"/>
              </w:rPr>
              <w:t xml:space="preserve"> if not from the consultation report? </w:t>
            </w:r>
          </w:p>
          <w:p w:rsidR="00F63F4C" w:rsidRDefault="00F63F4C" w:rsidP="004B5863">
            <w:pPr>
              <w:jc w:val="both"/>
              <w:rPr>
                <w:rFonts w:asciiTheme="minorHAnsi" w:eastAsiaTheme="minorHAnsi" w:hAnsiTheme="minorHAnsi" w:cstheme="minorBidi"/>
              </w:rPr>
            </w:pPr>
          </w:p>
          <w:p w:rsidR="006F25E7" w:rsidRDefault="006F25E7" w:rsidP="004B5863">
            <w:pPr>
              <w:jc w:val="both"/>
              <w:rPr>
                <w:rFonts w:asciiTheme="minorHAnsi" w:eastAsiaTheme="minorHAnsi" w:hAnsiTheme="minorHAnsi" w:cstheme="minorBidi"/>
              </w:rPr>
            </w:pPr>
          </w:p>
          <w:p w:rsidR="006F25E7" w:rsidRDefault="006F25E7" w:rsidP="004B5863">
            <w:pPr>
              <w:jc w:val="both"/>
              <w:rPr>
                <w:rFonts w:asciiTheme="minorHAnsi" w:eastAsiaTheme="minorHAnsi" w:hAnsiTheme="minorHAnsi" w:cstheme="minorBidi"/>
              </w:rPr>
            </w:pPr>
          </w:p>
          <w:p w:rsidR="00AB40FF" w:rsidRPr="00F0794C" w:rsidRDefault="00AB40FF" w:rsidP="004B5863">
            <w:pPr>
              <w:jc w:val="both"/>
              <w:rPr>
                <w:rFonts w:asciiTheme="minorHAnsi" w:eastAsiaTheme="minorHAnsi" w:hAnsiTheme="minorHAnsi" w:cstheme="minorBidi"/>
                <w:iCs/>
              </w:rPr>
            </w:pPr>
            <w:r w:rsidRPr="00F0794C">
              <w:rPr>
                <w:rFonts w:asciiTheme="minorHAnsi" w:eastAsiaTheme="minorHAnsi" w:hAnsiTheme="minorHAnsi" w:cstheme="minorBidi"/>
                <w:iCs/>
              </w:rPr>
              <w:lastRenderedPageBreak/>
              <w:t>The cost to the industry has also been poorly assessed by HVCI, operators would have to pay for the installation, u</w:t>
            </w:r>
            <w:r w:rsidR="00402485" w:rsidRPr="00F0794C">
              <w:rPr>
                <w:rFonts w:asciiTheme="minorHAnsi" w:eastAsiaTheme="minorHAnsi" w:hAnsiTheme="minorHAnsi" w:cstheme="minorBidi"/>
                <w:iCs/>
              </w:rPr>
              <w:t>pkeep and have the business costs</w:t>
            </w:r>
            <w:r w:rsidRPr="00F0794C">
              <w:rPr>
                <w:rFonts w:asciiTheme="minorHAnsi" w:eastAsiaTheme="minorHAnsi" w:hAnsiTheme="minorHAnsi" w:cstheme="minorBidi"/>
                <w:iCs/>
              </w:rPr>
              <w:t xml:space="preserve"> of downtime during recalibration. Indicative costs from HVCI state the annual cost of the system to </w:t>
            </w:r>
            <w:r w:rsidR="00402485" w:rsidRPr="00F0794C">
              <w:rPr>
                <w:rFonts w:asciiTheme="minorHAnsi" w:eastAsiaTheme="minorHAnsi" w:hAnsiTheme="minorHAnsi" w:cstheme="minorBidi"/>
                <w:iCs/>
              </w:rPr>
              <w:t>individual operators will be $1</w:t>
            </w:r>
            <w:r w:rsidRPr="00F0794C">
              <w:rPr>
                <w:rFonts w:asciiTheme="minorHAnsi" w:eastAsiaTheme="minorHAnsi" w:hAnsiTheme="minorHAnsi" w:cstheme="minorBidi"/>
                <w:iCs/>
              </w:rPr>
              <w:t>0</w:t>
            </w:r>
            <w:r w:rsidR="00402485" w:rsidRPr="00F0794C">
              <w:rPr>
                <w:rFonts w:asciiTheme="minorHAnsi" w:eastAsiaTheme="minorHAnsi" w:hAnsiTheme="minorHAnsi" w:cstheme="minorBidi"/>
                <w:iCs/>
              </w:rPr>
              <w:t>8</w:t>
            </w:r>
            <w:r w:rsidRPr="00F0794C">
              <w:rPr>
                <w:rFonts w:asciiTheme="minorHAnsi" w:eastAsiaTheme="minorHAnsi" w:hAnsiTheme="minorHAnsi" w:cstheme="minorBidi"/>
                <w:iCs/>
              </w:rPr>
              <w:t xml:space="preserve">. This figure has no basis in </w:t>
            </w:r>
            <w:r w:rsidR="00402485" w:rsidRPr="00F0794C">
              <w:rPr>
                <w:rFonts w:asciiTheme="minorHAnsi" w:eastAsiaTheme="minorHAnsi" w:hAnsiTheme="minorHAnsi" w:cstheme="minorBidi"/>
                <w:iCs/>
              </w:rPr>
              <w:t xml:space="preserve">market </w:t>
            </w:r>
            <w:r w:rsidRPr="00F0794C">
              <w:rPr>
                <w:rFonts w:asciiTheme="minorHAnsi" w:eastAsiaTheme="minorHAnsi" w:hAnsiTheme="minorHAnsi" w:cstheme="minorBidi"/>
                <w:iCs/>
              </w:rPr>
              <w:t>reality of what telematics systems actually cost to</w:t>
            </w:r>
            <w:r w:rsidR="00402485" w:rsidRPr="00F0794C">
              <w:rPr>
                <w:rFonts w:asciiTheme="minorHAnsi" w:eastAsiaTheme="minorHAnsi" w:hAnsiTheme="minorHAnsi" w:cstheme="minorBidi"/>
                <w:iCs/>
              </w:rPr>
              <w:t xml:space="preserve"> install and</w:t>
            </w:r>
            <w:r w:rsidRPr="00F0794C">
              <w:rPr>
                <w:rFonts w:asciiTheme="minorHAnsi" w:eastAsiaTheme="minorHAnsi" w:hAnsiTheme="minorHAnsi" w:cstheme="minorBidi"/>
                <w:iCs/>
              </w:rPr>
              <w:t xml:space="preserve"> maintain. </w:t>
            </w:r>
            <w:r w:rsidR="009B6F69" w:rsidRPr="00F0794C">
              <w:rPr>
                <w:rFonts w:asciiTheme="minorHAnsi" w:eastAsiaTheme="minorHAnsi" w:hAnsiTheme="minorHAnsi" w:cstheme="minorBidi"/>
                <w:iCs/>
              </w:rPr>
              <w:t xml:space="preserve"> Industry experience with telematics</w:t>
            </w:r>
            <w:r w:rsidR="00E43705" w:rsidRPr="00F0794C">
              <w:rPr>
                <w:rFonts w:asciiTheme="minorHAnsi" w:eastAsiaTheme="minorHAnsi" w:hAnsiTheme="minorHAnsi" w:cstheme="minorBidi"/>
                <w:iCs/>
              </w:rPr>
              <w:t xml:space="preserve"> shows that it costs</w:t>
            </w:r>
            <w:r w:rsidR="009B6F69" w:rsidRPr="00F0794C">
              <w:rPr>
                <w:rFonts w:asciiTheme="minorHAnsi" w:eastAsiaTheme="minorHAnsi" w:hAnsiTheme="minorHAnsi" w:cstheme="minorBidi"/>
                <w:iCs/>
              </w:rPr>
              <w:t xml:space="preserve"> many times larger than this. </w:t>
            </w:r>
          </w:p>
          <w:p w:rsidR="00AB40FF" w:rsidRPr="00F0794C" w:rsidRDefault="00AB40FF" w:rsidP="004B5863">
            <w:pPr>
              <w:jc w:val="both"/>
              <w:rPr>
                <w:rFonts w:asciiTheme="minorHAnsi" w:eastAsiaTheme="minorHAnsi" w:hAnsiTheme="minorHAnsi" w:cstheme="minorBidi"/>
                <w:iCs/>
              </w:rPr>
            </w:pPr>
          </w:p>
          <w:p w:rsidR="00AB40FF"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 xml:space="preserve">Additionally, the general </w:t>
            </w:r>
            <w:proofErr w:type="gramStart"/>
            <w:r w:rsidRPr="00F0794C">
              <w:rPr>
                <w:rFonts w:asciiTheme="minorHAnsi" w:eastAsiaTheme="minorHAnsi" w:hAnsiTheme="minorHAnsi" w:cstheme="minorBidi"/>
              </w:rPr>
              <w:t>sources for mate</w:t>
            </w:r>
            <w:r w:rsidR="00FC5FF8">
              <w:rPr>
                <w:rFonts w:asciiTheme="minorHAnsi" w:eastAsiaTheme="minorHAnsi" w:hAnsiTheme="minorHAnsi" w:cstheme="minorBidi"/>
              </w:rPr>
              <w:t>rial i</w:t>
            </w:r>
            <w:r w:rsidRPr="00F0794C">
              <w:rPr>
                <w:rFonts w:asciiTheme="minorHAnsi" w:eastAsiaTheme="minorHAnsi" w:hAnsiTheme="minorHAnsi" w:cstheme="minorBidi"/>
              </w:rPr>
              <w:t>n the CBA is</w:t>
            </w:r>
            <w:proofErr w:type="gramEnd"/>
            <w:r w:rsidRPr="00F0794C">
              <w:rPr>
                <w:rFonts w:asciiTheme="minorHAnsi" w:eastAsiaTheme="minorHAnsi" w:hAnsiTheme="minorHAnsi" w:cstheme="minorBidi"/>
              </w:rPr>
              <w:t xml:space="preserve"> limited; DAE only interviewed jurisdictions and selected government agencies on an issue which is supposed to reflect the cost of industry costs. </w:t>
            </w:r>
            <w:r w:rsidR="00591326" w:rsidRPr="00F0794C">
              <w:rPr>
                <w:rFonts w:asciiTheme="minorHAnsi" w:eastAsiaTheme="minorHAnsi" w:hAnsiTheme="minorHAnsi" w:cstheme="minorBidi"/>
              </w:rPr>
              <w:t>True</w:t>
            </w:r>
            <w:r w:rsidRPr="00F0794C">
              <w:rPr>
                <w:rFonts w:asciiTheme="minorHAnsi" w:eastAsiaTheme="minorHAnsi" w:hAnsiTheme="minorHAnsi" w:cstheme="minorBidi"/>
              </w:rPr>
              <w:t xml:space="preserve"> </w:t>
            </w:r>
            <w:r w:rsidR="00A70755" w:rsidRPr="00F0794C">
              <w:rPr>
                <w:rFonts w:asciiTheme="minorHAnsi" w:eastAsiaTheme="minorHAnsi" w:hAnsiTheme="minorHAnsi" w:cstheme="minorBidi"/>
              </w:rPr>
              <w:t xml:space="preserve">industry </w:t>
            </w:r>
            <w:r w:rsidRPr="00F0794C">
              <w:rPr>
                <w:rFonts w:asciiTheme="minorHAnsi" w:eastAsiaTheme="minorHAnsi" w:hAnsiTheme="minorHAnsi" w:cstheme="minorBidi"/>
              </w:rPr>
              <w:t xml:space="preserve">costs cannot be garnered from </w:t>
            </w:r>
            <w:r w:rsidR="00591326" w:rsidRPr="00F0794C">
              <w:rPr>
                <w:rFonts w:asciiTheme="minorHAnsi" w:eastAsiaTheme="minorHAnsi" w:hAnsiTheme="minorHAnsi" w:cstheme="minorBidi"/>
              </w:rPr>
              <w:t xml:space="preserve">the </w:t>
            </w:r>
            <w:r w:rsidRPr="00F0794C">
              <w:rPr>
                <w:rFonts w:asciiTheme="minorHAnsi" w:eastAsiaTheme="minorHAnsi" w:hAnsiTheme="minorHAnsi" w:cstheme="minorBidi"/>
              </w:rPr>
              <w:t xml:space="preserve">jurisdictions.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pStyle w:val="ListParagraph"/>
              <w:numPr>
                <w:ilvl w:val="0"/>
                <w:numId w:val="15"/>
              </w:numPr>
              <w:jc w:val="both"/>
              <w:rPr>
                <w:rFonts w:asciiTheme="minorHAnsi" w:eastAsiaTheme="minorHAnsi" w:hAnsiTheme="minorHAnsi" w:cstheme="minorBidi"/>
                <w:u w:val="single"/>
              </w:rPr>
            </w:pPr>
            <w:r w:rsidRPr="00F0794C">
              <w:rPr>
                <w:rFonts w:asciiTheme="minorHAnsi" w:eastAsiaTheme="minorHAnsi" w:hAnsiTheme="minorHAnsi" w:cstheme="minorBidi"/>
                <w:u w:val="single"/>
              </w:rPr>
              <w:t>Proposed benefits</w:t>
            </w:r>
          </w:p>
          <w:p w:rsidR="00195233" w:rsidRPr="00F0794C" w:rsidRDefault="001F1510" w:rsidP="004B5863">
            <w:pPr>
              <w:jc w:val="both"/>
              <w:rPr>
                <w:rFonts w:asciiTheme="minorHAnsi" w:eastAsiaTheme="minorHAnsi" w:hAnsiTheme="minorHAnsi" w:cstheme="minorBidi"/>
              </w:rPr>
            </w:pPr>
            <w:r w:rsidRPr="00F0794C">
              <w:rPr>
                <w:rFonts w:asciiTheme="minorHAnsi" w:eastAsiaTheme="minorHAnsi" w:hAnsiTheme="minorHAnsi" w:cstheme="minorBidi"/>
              </w:rPr>
              <w:t>The ATA has</w:t>
            </w:r>
            <w:r w:rsidR="00195233" w:rsidRPr="00F0794C">
              <w:rPr>
                <w:rFonts w:asciiTheme="minorHAnsi" w:eastAsiaTheme="minorHAnsi" w:hAnsiTheme="minorHAnsi" w:cstheme="minorBidi"/>
              </w:rPr>
              <w:t xml:space="preserve"> concerns that many of the largest benefits calculated are due to externalities in option C. The document notes that it is not entirely correct to use externalities in cost and benefit calculations and that it uses NSW estimates for congestion and accidents. Given this, there should be some weighting or correction to the final benefit/cost figure.  For example</w:t>
            </w:r>
            <w:r w:rsidR="00FC5FF8">
              <w:rPr>
                <w:rFonts w:asciiTheme="minorHAnsi" w:eastAsiaTheme="minorHAnsi" w:hAnsiTheme="minorHAnsi" w:cstheme="minorBidi"/>
              </w:rPr>
              <w:t>,</w:t>
            </w:r>
            <w:r w:rsidR="00195233" w:rsidRPr="00F0794C">
              <w:rPr>
                <w:rFonts w:asciiTheme="minorHAnsi" w:eastAsiaTheme="minorHAnsi" w:hAnsiTheme="minorHAnsi" w:cstheme="minorBidi"/>
              </w:rPr>
              <w:t xml:space="preserve"> for option C maintenance benefits are estimated at $8029 million while externality benefits are $9981 million</w:t>
            </w:r>
            <w:r w:rsidR="00911F2F" w:rsidRPr="00F0794C">
              <w:rPr>
                <w:rFonts w:asciiTheme="minorHAnsi" w:eastAsiaTheme="minorHAnsi" w:hAnsiTheme="minorHAnsi" w:cstheme="minorBidi"/>
              </w:rPr>
              <w:t xml:space="preserve"> and vehicle operating costs are $7088 million</w:t>
            </w:r>
            <w:r w:rsidR="00195233" w:rsidRPr="00F0794C">
              <w:rPr>
                <w:rFonts w:asciiTheme="minorHAnsi" w:eastAsiaTheme="minorHAnsi" w:hAnsiTheme="minorHAnsi" w:cstheme="minorBidi"/>
              </w:rPr>
              <w:t>.</w:t>
            </w:r>
          </w:p>
          <w:p w:rsidR="00195233" w:rsidRPr="00F0794C" w:rsidRDefault="00195233" w:rsidP="004B5863">
            <w:pPr>
              <w:jc w:val="both"/>
              <w:rPr>
                <w:rFonts w:asciiTheme="minorHAnsi" w:eastAsiaTheme="minorHAnsi" w:hAnsiTheme="minorHAnsi" w:cstheme="minorBidi"/>
              </w:rPr>
            </w:pPr>
          </w:p>
          <w:p w:rsidR="00AB40FF" w:rsidRPr="00F0794C" w:rsidRDefault="00AB40FF" w:rsidP="004B5863">
            <w:pPr>
              <w:jc w:val="both"/>
              <w:rPr>
                <w:rFonts w:asciiTheme="minorHAnsi" w:eastAsiaTheme="minorHAnsi" w:hAnsiTheme="minorHAnsi" w:cstheme="minorBidi"/>
                <w:bCs/>
                <w:iCs/>
              </w:rPr>
            </w:pPr>
            <w:r w:rsidRPr="00F0794C">
              <w:rPr>
                <w:rFonts w:asciiTheme="minorHAnsi" w:eastAsiaTheme="minorHAnsi" w:hAnsiTheme="minorHAnsi" w:cstheme="minorBidi"/>
                <w:iCs/>
              </w:rPr>
              <w:t xml:space="preserve">While HVCI </w:t>
            </w:r>
            <w:r w:rsidR="001F1510" w:rsidRPr="00F0794C">
              <w:rPr>
                <w:rFonts w:asciiTheme="minorHAnsi" w:eastAsiaTheme="minorHAnsi" w:hAnsiTheme="minorHAnsi" w:cstheme="minorBidi"/>
                <w:iCs/>
              </w:rPr>
              <w:t>has</w:t>
            </w:r>
            <w:r w:rsidRPr="00F0794C">
              <w:rPr>
                <w:rFonts w:asciiTheme="minorHAnsi" w:eastAsiaTheme="minorHAnsi" w:hAnsiTheme="minorHAnsi" w:cstheme="minorBidi"/>
                <w:iCs/>
              </w:rPr>
              <w:t xml:space="preserve"> been keen to publish net benefits </w:t>
            </w:r>
            <w:r w:rsidR="00591326" w:rsidRPr="00F0794C">
              <w:rPr>
                <w:rFonts w:asciiTheme="minorHAnsi" w:eastAsiaTheme="minorHAnsi" w:hAnsiTheme="minorHAnsi" w:cstheme="minorBidi"/>
                <w:iCs/>
              </w:rPr>
              <w:t>of</w:t>
            </w:r>
            <w:r w:rsidRPr="00F0794C">
              <w:rPr>
                <w:rFonts w:asciiTheme="minorHAnsi" w:eastAsiaTheme="minorHAnsi" w:hAnsiTheme="minorHAnsi" w:cstheme="minorBidi"/>
                <w:iCs/>
              </w:rPr>
              <w:t xml:space="preserve"> $22 billion over 20 years, the net present value of pricing reform alon</w:t>
            </w:r>
            <w:r w:rsidR="002D74B8" w:rsidRPr="00F0794C">
              <w:rPr>
                <w:rFonts w:asciiTheme="minorHAnsi" w:eastAsiaTheme="minorHAnsi" w:hAnsiTheme="minorHAnsi" w:cstheme="minorBidi"/>
                <w:iCs/>
              </w:rPr>
              <w:t>e</w:t>
            </w:r>
            <w:r w:rsidRPr="00F0794C">
              <w:rPr>
                <w:rFonts w:asciiTheme="minorHAnsi" w:eastAsiaTheme="minorHAnsi" w:hAnsiTheme="minorHAnsi" w:cstheme="minorBidi"/>
                <w:iCs/>
              </w:rPr>
              <w:t xml:space="preserve"> will </w:t>
            </w:r>
            <w:r w:rsidR="00591326" w:rsidRPr="00F0794C">
              <w:rPr>
                <w:rFonts w:asciiTheme="minorHAnsi" w:eastAsiaTheme="minorHAnsi" w:hAnsiTheme="minorHAnsi" w:cstheme="minorBidi"/>
                <w:iCs/>
              </w:rPr>
              <w:t>be</w:t>
            </w:r>
            <w:r w:rsidRPr="00F0794C">
              <w:rPr>
                <w:rFonts w:asciiTheme="minorHAnsi" w:eastAsiaTheme="minorHAnsi" w:hAnsiTheme="minorHAnsi" w:cstheme="minorBidi"/>
                <w:iCs/>
              </w:rPr>
              <w:t xml:space="preserve"> </w:t>
            </w:r>
            <w:r w:rsidRPr="00F0794C">
              <w:rPr>
                <w:rFonts w:asciiTheme="minorHAnsi" w:eastAsiaTheme="minorHAnsi" w:hAnsiTheme="minorHAnsi" w:cstheme="minorBidi"/>
                <w:bCs/>
                <w:iCs/>
              </w:rPr>
              <w:t>-$1.4 billion over 20 years. The industry fears that the supply side reforms HVCI are discussing will not eventuate and the industry will be saddled with a</w:t>
            </w:r>
            <w:r w:rsidR="00591326" w:rsidRPr="00F0794C">
              <w:rPr>
                <w:rFonts w:asciiTheme="minorHAnsi" w:eastAsiaTheme="minorHAnsi" w:hAnsiTheme="minorHAnsi" w:cstheme="minorBidi"/>
                <w:bCs/>
                <w:iCs/>
              </w:rPr>
              <w:t xml:space="preserve"> new,</w:t>
            </w:r>
            <w:r w:rsidRPr="00F0794C">
              <w:rPr>
                <w:rFonts w:asciiTheme="minorHAnsi" w:eastAsiaTheme="minorHAnsi" w:hAnsiTheme="minorHAnsi" w:cstheme="minorBidi"/>
                <w:bCs/>
                <w:iCs/>
              </w:rPr>
              <w:t xml:space="preserve"> expensive and inefficient tax collection system</w:t>
            </w:r>
            <w:r w:rsidR="00591326" w:rsidRPr="00F0794C">
              <w:rPr>
                <w:rFonts w:asciiTheme="minorHAnsi" w:eastAsiaTheme="minorHAnsi" w:hAnsiTheme="minorHAnsi" w:cstheme="minorBidi"/>
                <w:bCs/>
                <w:iCs/>
              </w:rPr>
              <w:t>.</w:t>
            </w:r>
          </w:p>
          <w:p w:rsidR="00AB40FF" w:rsidRPr="00F0794C" w:rsidRDefault="00AB40FF" w:rsidP="004B5863">
            <w:pPr>
              <w:jc w:val="both"/>
              <w:rPr>
                <w:rFonts w:asciiTheme="minorHAnsi" w:eastAsiaTheme="minorHAnsi" w:hAnsiTheme="minorHAnsi" w:cstheme="minorBidi"/>
                <w:bCs/>
                <w:iCs/>
              </w:rPr>
            </w:pP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Further work is needed on the CBA work in order for industry to have faith in the figures</w:t>
            </w:r>
            <w:r w:rsidR="00591326" w:rsidRPr="00F0794C">
              <w:rPr>
                <w:rFonts w:asciiTheme="minorHAnsi" w:eastAsiaTheme="minorHAnsi" w:hAnsiTheme="minorHAnsi" w:cstheme="minorBidi"/>
              </w:rPr>
              <w:t xml:space="preserve"> supporting reform</w:t>
            </w:r>
            <w:r w:rsidRPr="00F0794C">
              <w:rPr>
                <w:rFonts w:asciiTheme="minorHAnsi" w:eastAsiaTheme="minorHAnsi" w:hAnsiTheme="minorHAnsi" w:cstheme="minorBidi"/>
              </w:rPr>
              <w:t>. We hold concerns about the industry cost inputs</w:t>
            </w:r>
            <w:r w:rsidR="00FC5FF8">
              <w:rPr>
                <w:rFonts w:asciiTheme="minorHAnsi" w:eastAsiaTheme="minorHAnsi" w:hAnsiTheme="minorHAnsi" w:cstheme="minorBidi"/>
              </w:rPr>
              <w:t>,</w:t>
            </w:r>
            <w:r w:rsidRPr="00F0794C">
              <w:rPr>
                <w:rFonts w:asciiTheme="minorHAnsi" w:eastAsiaTheme="minorHAnsi" w:hAnsiTheme="minorHAnsi" w:cstheme="minorBidi"/>
              </w:rPr>
              <w:t xml:space="preserve"> as the</w:t>
            </w:r>
            <w:r w:rsidR="00591326" w:rsidRPr="00F0794C">
              <w:rPr>
                <w:rFonts w:asciiTheme="minorHAnsi" w:eastAsiaTheme="minorHAnsi" w:hAnsiTheme="minorHAnsi" w:cstheme="minorBidi"/>
              </w:rPr>
              <w:t>se</w:t>
            </w:r>
            <w:r w:rsidRPr="00F0794C">
              <w:rPr>
                <w:rFonts w:asciiTheme="minorHAnsi" w:eastAsiaTheme="minorHAnsi" w:hAnsiTheme="minorHAnsi" w:cstheme="minorBidi"/>
              </w:rPr>
              <w:t xml:space="preserve"> appear to be much lower than actual costs and there needs to be consideration of vehicle downtime</w:t>
            </w:r>
            <w:r w:rsidR="00591326" w:rsidRPr="00F0794C">
              <w:rPr>
                <w:rFonts w:asciiTheme="minorHAnsi" w:eastAsiaTheme="minorHAnsi" w:hAnsiTheme="minorHAnsi" w:cstheme="minorBidi"/>
              </w:rPr>
              <w:t xml:space="preserve"> included</w:t>
            </w:r>
            <w:r w:rsidRPr="00F0794C">
              <w:rPr>
                <w:rFonts w:asciiTheme="minorHAnsi" w:eastAsiaTheme="minorHAnsi" w:hAnsiTheme="minorHAnsi" w:cstheme="minorBidi"/>
              </w:rPr>
              <w:t xml:space="preserve">. </w:t>
            </w:r>
          </w:p>
          <w:p w:rsidR="00195233" w:rsidRPr="00F0794C" w:rsidRDefault="00195233" w:rsidP="004B5863">
            <w:pPr>
              <w:jc w:val="both"/>
              <w:rPr>
                <w:rFonts w:asciiTheme="minorHAnsi" w:eastAsiaTheme="minorHAnsi" w:hAnsiTheme="minorHAnsi" w:cstheme="minorBidi"/>
              </w:rPr>
            </w:pPr>
          </w:p>
          <w:p w:rsidR="00195233" w:rsidRPr="00F0794C" w:rsidRDefault="00195233" w:rsidP="004B5863">
            <w:pPr>
              <w:jc w:val="both"/>
              <w:rPr>
                <w:rFonts w:asciiTheme="minorHAnsi" w:eastAsiaTheme="minorHAnsi" w:hAnsiTheme="minorHAnsi" w:cstheme="minorBidi"/>
              </w:rPr>
            </w:pPr>
            <w:r w:rsidRPr="00F0794C">
              <w:rPr>
                <w:rFonts w:asciiTheme="minorHAnsi" w:eastAsiaTheme="minorHAnsi" w:hAnsiTheme="minorHAnsi" w:cstheme="minorBidi"/>
              </w:rPr>
              <w:t xml:space="preserve">The policy document needs to include case studies showing the impact of the reform on a range of representative trucking businesses.  </w:t>
            </w:r>
          </w:p>
        </w:tc>
      </w:tr>
    </w:tbl>
    <w:p w:rsidR="00447C81" w:rsidRPr="00F0794C" w:rsidRDefault="00447C81" w:rsidP="004B5863">
      <w:pPr>
        <w:pStyle w:val="BodyText2"/>
        <w:jc w:val="both"/>
        <w:rPr>
          <w:rFonts w:asciiTheme="minorHAnsi" w:hAnsiTheme="minorHAnsi"/>
          <w:b w:val="0"/>
          <w:szCs w:val="22"/>
        </w:rPr>
      </w:pPr>
    </w:p>
    <w:p w:rsidR="00B70819" w:rsidRPr="00F0794C" w:rsidRDefault="00AC0934" w:rsidP="004B5863">
      <w:pPr>
        <w:pStyle w:val="BodyText2"/>
        <w:jc w:val="both"/>
        <w:rPr>
          <w:rFonts w:asciiTheme="minorHAnsi" w:hAnsiTheme="minorHAnsi"/>
          <w:b w:val="0"/>
          <w:szCs w:val="22"/>
        </w:rPr>
      </w:pPr>
      <w:r w:rsidRPr="00F0794C">
        <w:rPr>
          <w:rFonts w:asciiTheme="minorHAnsi" w:hAnsiTheme="minorHAnsi"/>
          <w:b w:val="0"/>
          <w:szCs w:val="22"/>
        </w:rPr>
        <w:t>The HVCI CBA work is</w:t>
      </w:r>
      <w:r w:rsidR="002D74B8" w:rsidRPr="00F0794C">
        <w:rPr>
          <w:rFonts w:asciiTheme="minorHAnsi" w:hAnsiTheme="minorHAnsi"/>
          <w:b w:val="0"/>
          <w:szCs w:val="22"/>
        </w:rPr>
        <w:t xml:space="preserve"> not supported by the industry</w:t>
      </w:r>
      <w:r w:rsidRPr="00F0794C">
        <w:rPr>
          <w:rFonts w:asciiTheme="minorHAnsi" w:hAnsiTheme="minorHAnsi"/>
          <w:b w:val="0"/>
          <w:szCs w:val="22"/>
        </w:rPr>
        <w:t xml:space="preserve"> due to the assumptions used in the conclusions</w:t>
      </w:r>
      <w:proofErr w:type="gramStart"/>
      <w:r w:rsidRPr="00F0794C">
        <w:rPr>
          <w:rFonts w:asciiTheme="minorHAnsi" w:hAnsiTheme="minorHAnsi"/>
          <w:b w:val="0"/>
          <w:szCs w:val="22"/>
        </w:rPr>
        <w:t>.</w:t>
      </w:r>
      <w:r w:rsidR="00476E12" w:rsidRPr="00F0794C">
        <w:rPr>
          <w:rFonts w:asciiTheme="minorHAnsi" w:hAnsiTheme="minorHAnsi"/>
          <w:b w:val="0"/>
          <w:szCs w:val="22"/>
        </w:rPr>
        <w:t>.</w:t>
      </w:r>
      <w:proofErr w:type="gramEnd"/>
      <w:r w:rsidR="007D02ED" w:rsidRPr="00F0794C">
        <w:rPr>
          <w:rFonts w:asciiTheme="minorHAnsi" w:hAnsiTheme="minorHAnsi"/>
          <w:b w:val="0"/>
          <w:szCs w:val="22"/>
        </w:rPr>
        <w:t xml:space="preserve"> </w:t>
      </w:r>
    </w:p>
    <w:p w:rsidR="00476E12" w:rsidRPr="00F0794C" w:rsidRDefault="00476E12" w:rsidP="004B5863">
      <w:pPr>
        <w:pStyle w:val="BodyText2"/>
        <w:jc w:val="both"/>
        <w:rPr>
          <w:rFonts w:asciiTheme="minorHAnsi" w:hAnsiTheme="minorHAnsi"/>
          <w:b w:val="0"/>
          <w:szCs w:val="22"/>
        </w:rPr>
      </w:pPr>
    </w:p>
    <w:p w:rsidR="00362025" w:rsidRPr="00F0794C" w:rsidRDefault="00215E4A" w:rsidP="004B5863">
      <w:pPr>
        <w:pStyle w:val="BodyText2"/>
        <w:jc w:val="both"/>
        <w:rPr>
          <w:rFonts w:asciiTheme="minorHAnsi" w:hAnsiTheme="minorHAnsi"/>
          <w:b w:val="0"/>
          <w:szCs w:val="22"/>
        </w:rPr>
      </w:pPr>
      <w:r w:rsidRPr="00F0794C">
        <w:rPr>
          <w:rFonts w:asciiTheme="minorHAnsi" w:hAnsiTheme="minorHAnsi"/>
          <w:b w:val="0"/>
          <w:szCs w:val="22"/>
        </w:rPr>
        <w:t xml:space="preserve">We support the </w:t>
      </w:r>
      <w:r w:rsidR="006865EA" w:rsidRPr="00F0794C">
        <w:rPr>
          <w:rFonts w:asciiTheme="minorHAnsi" w:hAnsiTheme="minorHAnsi"/>
          <w:b w:val="0"/>
          <w:szCs w:val="22"/>
        </w:rPr>
        <w:t>Commission</w:t>
      </w:r>
      <w:r w:rsidRPr="00F0794C">
        <w:rPr>
          <w:rFonts w:asciiTheme="minorHAnsi" w:hAnsiTheme="minorHAnsi"/>
          <w:b w:val="0"/>
          <w:szCs w:val="22"/>
        </w:rPr>
        <w:t xml:space="preserve"> </w:t>
      </w:r>
      <w:r w:rsidR="007D02ED" w:rsidRPr="00F0794C">
        <w:rPr>
          <w:rFonts w:asciiTheme="minorHAnsi" w:hAnsiTheme="minorHAnsi"/>
          <w:b w:val="0"/>
          <w:szCs w:val="22"/>
        </w:rPr>
        <w:t xml:space="preserve">recommendation </w:t>
      </w:r>
      <w:r w:rsidR="00EA49BC" w:rsidRPr="00F0794C">
        <w:rPr>
          <w:rFonts w:asciiTheme="minorHAnsi" w:hAnsiTheme="minorHAnsi"/>
          <w:b w:val="0"/>
          <w:szCs w:val="22"/>
        </w:rPr>
        <w:t>of making CBAs</w:t>
      </w:r>
      <w:r w:rsidRPr="00F0794C">
        <w:rPr>
          <w:rFonts w:asciiTheme="minorHAnsi" w:hAnsiTheme="minorHAnsi"/>
          <w:b w:val="0"/>
          <w:szCs w:val="22"/>
        </w:rPr>
        <w:t xml:space="preserve"> public (with clearly documented assumptions) for both projects that have been selected, and those that have been rejected, greatly improves the transparency of decision making. </w:t>
      </w:r>
      <w:r w:rsidR="00362025" w:rsidRPr="00F0794C">
        <w:rPr>
          <w:rFonts w:asciiTheme="minorHAnsi" w:hAnsiTheme="minorHAnsi"/>
          <w:b w:val="0"/>
          <w:szCs w:val="22"/>
        </w:rPr>
        <w:t>It also allows particular estimate</w:t>
      </w:r>
      <w:r w:rsidR="002D74B8" w:rsidRPr="00F0794C">
        <w:rPr>
          <w:rFonts w:asciiTheme="minorHAnsi" w:hAnsiTheme="minorHAnsi"/>
          <w:b w:val="0"/>
          <w:szCs w:val="22"/>
        </w:rPr>
        <w:t>s</w:t>
      </w:r>
      <w:r w:rsidR="00362025" w:rsidRPr="00F0794C">
        <w:rPr>
          <w:rFonts w:asciiTheme="minorHAnsi" w:hAnsiTheme="minorHAnsi"/>
          <w:b w:val="0"/>
          <w:szCs w:val="22"/>
        </w:rPr>
        <w:t xml:space="preserve"> to be debated and the consequences of different estimates </w:t>
      </w:r>
      <w:r w:rsidR="00020098">
        <w:rPr>
          <w:rFonts w:asciiTheme="minorHAnsi" w:hAnsiTheme="minorHAnsi"/>
          <w:b w:val="0"/>
          <w:szCs w:val="22"/>
        </w:rPr>
        <w:t>of</w:t>
      </w:r>
      <w:r w:rsidR="00362025" w:rsidRPr="00F0794C">
        <w:rPr>
          <w:rFonts w:asciiTheme="minorHAnsi" w:hAnsiTheme="minorHAnsi"/>
          <w:b w:val="0"/>
          <w:szCs w:val="22"/>
        </w:rPr>
        <w:t xml:space="preserve"> the projects net benefits to be calculated. </w:t>
      </w:r>
      <w:r w:rsidR="00362025" w:rsidRPr="00F0794C">
        <w:rPr>
          <w:rStyle w:val="FootnoteReference"/>
          <w:rFonts w:asciiTheme="minorHAnsi" w:hAnsiTheme="minorHAnsi"/>
          <w:b w:val="0"/>
          <w:szCs w:val="22"/>
        </w:rPr>
        <w:footnoteReference w:id="23"/>
      </w:r>
    </w:p>
    <w:p w:rsidR="00476E12" w:rsidRPr="00F0794C" w:rsidRDefault="00476E12" w:rsidP="004B5863">
      <w:pPr>
        <w:pStyle w:val="BodyText2"/>
        <w:jc w:val="both"/>
        <w:rPr>
          <w:rFonts w:asciiTheme="minorHAnsi" w:hAnsiTheme="minorHAnsi"/>
          <w:b w:val="0"/>
          <w:szCs w:val="22"/>
        </w:rPr>
      </w:pPr>
    </w:p>
    <w:p w:rsidR="00D1272A" w:rsidRPr="00F0794C" w:rsidRDefault="00D1272A" w:rsidP="004B5863">
      <w:pPr>
        <w:pStyle w:val="BodyText2"/>
        <w:jc w:val="both"/>
        <w:rPr>
          <w:rFonts w:asciiTheme="minorHAnsi" w:hAnsiTheme="minorHAnsi"/>
          <w:b w:val="0"/>
          <w:szCs w:val="22"/>
        </w:rPr>
      </w:pPr>
      <w:r w:rsidRPr="00F0794C">
        <w:rPr>
          <w:rFonts w:asciiTheme="minorHAnsi" w:hAnsiTheme="minorHAnsi"/>
          <w:b w:val="0"/>
          <w:szCs w:val="22"/>
        </w:rPr>
        <w:t xml:space="preserve">The ATA also shares the </w:t>
      </w:r>
      <w:r w:rsidR="006865EA" w:rsidRPr="00F0794C">
        <w:rPr>
          <w:rFonts w:asciiTheme="minorHAnsi" w:hAnsiTheme="minorHAnsi"/>
          <w:b w:val="0"/>
          <w:szCs w:val="22"/>
        </w:rPr>
        <w:t>Commission</w:t>
      </w:r>
      <w:r w:rsidR="002D74B8" w:rsidRPr="00F0794C">
        <w:rPr>
          <w:rFonts w:asciiTheme="minorHAnsi" w:hAnsiTheme="minorHAnsi"/>
          <w:b w:val="0"/>
          <w:szCs w:val="22"/>
        </w:rPr>
        <w:t>’s</w:t>
      </w:r>
      <w:r w:rsidR="006865EA" w:rsidRPr="00F0794C">
        <w:rPr>
          <w:rFonts w:asciiTheme="minorHAnsi" w:hAnsiTheme="minorHAnsi"/>
          <w:b w:val="0"/>
          <w:szCs w:val="22"/>
        </w:rPr>
        <w:t xml:space="preserve"> </w:t>
      </w:r>
      <w:r w:rsidRPr="00F0794C">
        <w:rPr>
          <w:rFonts w:asciiTheme="minorHAnsi" w:hAnsiTheme="minorHAnsi"/>
          <w:b w:val="0"/>
          <w:szCs w:val="22"/>
        </w:rPr>
        <w:t>caution of including wider</w:t>
      </w:r>
      <w:r w:rsidR="00591326" w:rsidRPr="00F0794C">
        <w:rPr>
          <w:rFonts w:asciiTheme="minorHAnsi" w:hAnsiTheme="minorHAnsi"/>
          <w:b w:val="0"/>
          <w:szCs w:val="22"/>
        </w:rPr>
        <w:t xml:space="preserve"> unintended</w:t>
      </w:r>
      <w:r w:rsidRPr="00F0794C">
        <w:rPr>
          <w:rFonts w:asciiTheme="minorHAnsi" w:hAnsiTheme="minorHAnsi"/>
          <w:b w:val="0"/>
          <w:szCs w:val="22"/>
        </w:rPr>
        <w:t xml:space="preserve"> economic </w:t>
      </w:r>
      <w:r w:rsidR="00FC5FF8">
        <w:rPr>
          <w:rFonts w:asciiTheme="minorHAnsi" w:hAnsiTheme="minorHAnsi"/>
          <w:b w:val="0"/>
          <w:szCs w:val="22"/>
        </w:rPr>
        <w:t>impacts</w:t>
      </w:r>
      <w:r w:rsidR="00591326" w:rsidRPr="00F0794C">
        <w:rPr>
          <w:rFonts w:asciiTheme="minorHAnsi" w:hAnsiTheme="minorHAnsi"/>
          <w:b w:val="0"/>
          <w:szCs w:val="22"/>
        </w:rPr>
        <w:t xml:space="preserve"> (o</w:t>
      </w:r>
      <w:r w:rsidRPr="00F0794C">
        <w:rPr>
          <w:rFonts w:asciiTheme="minorHAnsi" w:hAnsiTheme="minorHAnsi"/>
          <w:b w:val="0"/>
          <w:szCs w:val="22"/>
        </w:rPr>
        <w:t>r externalities</w:t>
      </w:r>
      <w:r w:rsidR="00591326" w:rsidRPr="00F0794C">
        <w:rPr>
          <w:rFonts w:asciiTheme="minorHAnsi" w:hAnsiTheme="minorHAnsi"/>
          <w:b w:val="0"/>
          <w:szCs w:val="22"/>
        </w:rPr>
        <w:t xml:space="preserve">) whether </w:t>
      </w:r>
      <w:r w:rsidRPr="00F0794C">
        <w:rPr>
          <w:rFonts w:asciiTheme="minorHAnsi" w:hAnsiTheme="minorHAnsi"/>
          <w:b w:val="0"/>
          <w:szCs w:val="22"/>
        </w:rPr>
        <w:t>they</w:t>
      </w:r>
      <w:r w:rsidR="00591326" w:rsidRPr="00F0794C">
        <w:rPr>
          <w:rFonts w:asciiTheme="minorHAnsi" w:hAnsiTheme="minorHAnsi"/>
          <w:b w:val="0"/>
          <w:szCs w:val="22"/>
        </w:rPr>
        <w:t xml:space="preserve"> are</w:t>
      </w:r>
      <w:r w:rsidRPr="00F0794C">
        <w:rPr>
          <w:rFonts w:asciiTheme="minorHAnsi" w:hAnsiTheme="minorHAnsi"/>
          <w:b w:val="0"/>
          <w:szCs w:val="22"/>
        </w:rPr>
        <w:t xml:space="preserve"> positive or negative. There should be </w:t>
      </w:r>
      <w:r w:rsidR="00020098" w:rsidRPr="00F0794C">
        <w:rPr>
          <w:rFonts w:asciiTheme="minorHAnsi" w:hAnsiTheme="minorHAnsi"/>
          <w:b w:val="0"/>
          <w:szCs w:val="22"/>
        </w:rPr>
        <w:t>prudence</w:t>
      </w:r>
      <w:r w:rsidR="008477D3" w:rsidRPr="00F0794C">
        <w:rPr>
          <w:rFonts w:asciiTheme="minorHAnsi" w:hAnsiTheme="minorHAnsi"/>
          <w:b w:val="0"/>
          <w:szCs w:val="22"/>
        </w:rPr>
        <w:t xml:space="preserve"> and consistent treatment of </w:t>
      </w:r>
      <w:r w:rsidRPr="00F0794C">
        <w:rPr>
          <w:rFonts w:asciiTheme="minorHAnsi" w:hAnsiTheme="minorHAnsi"/>
          <w:b w:val="0"/>
          <w:szCs w:val="22"/>
        </w:rPr>
        <w:t xml:space="preserve">these calculations. </w:t>
      </w:r>
    </w:p>
    <w:p w:rsidR="00D1272A" w:rsidRPr="00F0794C" w:rsidRDefault="00D1272A" w:rsidP="004B5863">
      <w:pPr>
        <w:pStyle w:val="BodyText2"/>
        <w:jc w:val="both"/>
        <w:rPr>
          <w:rFonts w:asciiTheme="minorHAnsi" w:hAnsiTheme="minorHAnsi"/>
          <w:b w:val="0"/>
          <w:szCs w:val="22"/>
        </w:rPr>
      </w:pPr>
    </w:p>
    <w:p w:rsidR="008477D3" w:rsidRPr="00F0794C" w:rsidRDefault="00D1272A" w:rsidP="004B5863">
      <w:pPr>
        <w:pStyle w:val="BodyText2"/>
        <w:ind w:left="720"/>
        <w:jc w:val="both"/>
        <w:rPr>
          <w:rFonts w:asciiTheme="minorHAnsi" w:hAnsiTheme="minorHAnsi"/>
          <w:b w:val="0"/>
          <w:i/>
          <w:szCs w:val="22"/>
        </w:rPr>
      </w:pPr>
      <w:r w:rsidRPr="00F0794C">
        <w:rPr>
          <w:rFonts w:asciiTheme="minorHAnsi" w:hAnsiTheme="minorHAnsi"/>
          <w:b w:val="0"/>
          <w:i/>
          <w:szCs w:val="22"/>
        </w:rPr>
        <w:t>‘</w:t>
      </w:r>
      <w:r w:rsidR="008477D3" w:rsidRPr="00F0794C">
        <w:rPr>
          <w:rFonts w:asciiTheme="minorHAnsi" w:hAnsiTheme="minorHAnsi"/>
          <w:b w:val="0"/>
          <w:i/>
          <w:szCs w:val="22"/>
        </w:rPr>
        <w:t>Conceptually, genuine wider economic benefits should be taken into account in assessing the merits of projects. The difficulty arises because their estimation is in its infancy.</w:t>
      </w:r>
      <w:r w:rsidR="004F2E8C" w:rsidRPr="00F0794C">
        <w:rPr>
          <w:rFonts w:asciiTheme="minorHAnsi" w:hAnsiTheme="minorHAnsi"/>
          <w:b w:val="0"/>
          <w:i/>
          <w:szCs w:val="22"/>
        </w:rPr>
        <w:t xml:space="preserve"> Accordingly, the inclusion of wider benefits in CBA has potential to show one project to be superior to another purely because of differences in the way such benefits are estimated. </w:t>
      </w:r>
      <w:r w:rsidRPr="00F0794C">
        <w:rPr>
          <w:rFonts w:asciiTheme="minorHAnsi" w:hAnsiTheme="minorHAnsi"/>
          <w:b w:val="0"/>
          <w:i/>
          <w:szCs w:val="22"/>
        </w:rPr>
        <w:t>‘</w:t>
      </w:r>
      <w:r w:rsidRPr="00F0794C">
        <w:rPr>
          <w:rStyle w:val="FootnoteReference"/>
          <w:rFonts w:asciiTheme="minorHAnsi" w:hAnsiTheme="minorHAnsi"/>
          <w:b w:val="0"/>
          <w:szCs w:val="22"/>
        </w:rPr>
        <w:footnoteReference w:id="24"/>
      </w:r>
    </w:p>
    <w:p w:rsidR="004F2E8C" w:rsidRPr="00F0794C" w:rsidRDefault="004F2E8C" w:rsidP="004B5863">
      <w:pPr>
        <w:pStyle w:val="BodyText2"/>
        <w:jc w:val="both"/>
        <w:rPr>
          <w:rFonts w:asciiTheme="minorHAnsi" w:hAnsiTheme="minorHAnsi"/>
          <w:b w:val="0"/>
          <w:szCs w:val="22"/>
        </w:rPr>
      </w:pPr>
    </w:p>
    <w:p w:rsidR="00D1272A" w:rsidRPr="00F0794C" w:rsidRDefault="00911F2F" w:rsidP="004B5863">
      <w:pPr>
        <w:pStyle w:val="BodyText2"/>
        <w:jc w:val="both"/>
        <w:rPr>
          <w:rFonts w:asciiTheme="minorHAnsi" w:hAnsiTheme="minorHAnsi"/>
          <w:b w:val="0"/>
          <w:szCs w:val="22"/>
        </w:rPr>
      </w:pPr>
      <w:r w:rsidRPr="00F0794C">
        <w:rPr>
          <w:rFonts w:asciiTheme="minorHAnsi" w:hAnsiTheme="minorHAnsi"/>
          <w:b w:val="0"/>
          <w:szCs w:val="22"/>
        </w:rPr>
        <w:t>With the HVCI CBA work</w:t>
      </w:r>
      <w:r w:rsidR="00591326" w:rsidRPr="00F0794C">
        <w:rPr>
          <w:rFonts w:asciiTheme="minorHAnsi" w:hAnsiTheme="minorHAnsi"/>
          <w:b w:val="0"/>
          <w:szCs w:val="22"/>
        </w:rPr>
        <w:t>,</w:t>
      </w:r>
      <w:r w:rsidRPr="00F0794C">
        <w:rPr>
          <w:rFonts w:asciiTheme="minorHAnsi" w:hAnsiTheme="minorHAnsi"/>
          <w:b w:val="0"/>
          <w:szCs w:val="22"/>
        </w:rPr>
        <w:t xml:space="preserve"> a large share of the </w:t>
      </w:r>
      <w:r w:rsidR="00D1272A" w:rsidRPr="00F0794C">
        <w:rPr>
          <w:rFonts w:asciiTheme="minorHAnsi" w:hAnsiTheme="minorHAnsi"/>
          <w:b w:val="0"/>
          <w:szCs w:val="22"/>
        </w:rPr>
        <w:t xml:space="preserve">supposed benefit of MDL charging comes from these </w:t>
      </w:r>
      <w:r w:rsidR="00591326" w:rsidRPr="00F0794C">
        <w:rPr>
          <w:rFonts w:asciiTheme="minorHAnsi" w:hAnsiTheme="minorHAnsi"/>
          <w:b w:val="0"/>
          <w:szCs w:val="22"/>
        </w:rPr>
        <w:t>‘</w:t>
      </w:r>
      <w:r w:rsidR="00D1272A" w:rsidRPr="00F0794C">
        <w:rPr>
          <w:rFonts w:asciiTheme="minorHAnsi" w:hAnsiTheme="minorHAnsi"/>
          <w:b w:val="0"/>
          <w:szCs w:val="22"/>
        </w:rPr>
        <w:t>flow o</w:t>
      </w:r>
      <w:r w:rsidR="00A70755" w:rsidRPr="00F0794C">
        <w:rPr>
          <w:rFonts w:asciiTheme="minorHAnsi" w:hAnsiTheme="minorHAnsi"/>
          <w:b w:val="0"/>
          <w:szCs w:val="22"/>
        </w:rPr>
        <w:t>n</w:t>
      </w:r>
      <w:r w:rsidR="00591326" w:rsidRPr="00F0794C">
        <w:rPr>
          <w:rFonts w:asciiTheme="minorHAnsi" w:hAnsiTheme="minorHAnsi"/>
          <w:b w:val="0"/>
          <w:szCs w:val="22"/>
        </w:rPr>
        <w:t>’</w:t>
      </w:r>
      <w:r w:rsidR="00D1272A" w:rsidRPr="00F0794C">
        <w:rPr>
          <w:rFonts w:asciiTheme="minorHAnsi" w:hAnsiTheme="minorHAnsi"/>
          <w:b w:val="0"/>
          <w:szCs w:val="22"/>
        </w:rPr>
        <w:t xml:space="preserve"> </w:t>
      </w:r>
      <w:r w:rsidR="00020098">
        <w:rPr>
          <w:rFonts w:asciiTheme="minorHAnsi" w:hAnsiTheme="minorHAnsi"/>
          <w:b w:val="0"/>
          <w:szCs w:val="22"/>
        </w:rPr>
        <w:t>impacts</w:t>
      </w:r>
      <w:r w:rsidR="00D1272A" w:rsidRPr="00F0794C">
        <w:rPr>
          <w:rFonts w:asciiTheme="minorHAnsi" w:hAnsiTheme="minorHAnsi"/>
          <w:b w:val="0"/>
          <w:szCs w:val="22"/>
        </w:rPr>
        <w:t>. While the identification of externalities such as safety reduction and congestion abatement should be mentioned, if they are not the target fo</w:t>
      </w:r>
      <w:r w:rsidR="002D74B8" w:rsidRPr="00F0794C">
        <w:rPr>
          <w:rFonts w:asciiTheme="minorHAnsi" w:hAnsiTheme="minorHAnsi"/>
          <w:b w:val="0"/>
          <w:szCs w:val="22"/>
        </w:rPr>
        <w:t>r change then they should</w:t>
      </w:r>
      <w:r w:rsidR="00D1272A" w:rsidRPr="00F0794C">
        <w:rPr>
          <w:rFonts w:asciiTheme="minorHAnsi" w:hAnsiTheme="minorHAnsi"/>
          <w:b w:val="0"/>
          <w:szCs w:val="22"/>
        </w:rPr>
        <w:t xml:space="preserve"> </w:t>
      </w:r>
      <w:r w:rsidR="002D74B8" w:rsidRPr="00F0794C">
        <w:rPr>
          <w:rFonts w:asciiTheme="minorHAnsi" w:hAnsiTheme="minorHAnsi"/>
          <w:b w:val="0"/>
          <w:szCs w:val="22"/>
        </w:rPr>
        <w:t xml:space="preserve">be </w:t>
      </w:r>
      <w:r w:rsidR="00D1272A" w:rsidRPr="00F0794C">
        <w:rPr>
          <w:rFonts w:asciiTheme="minorHAnsi" w:hAnsiTheme="minorHAnsi"/>
          <w:b w:val="0"/>
          <w:szCs w:val="22"/>
        </w:rPr>
        <w:t xml:space="preserve">included with </w:t>
      </w:r>
      <w:r w:rsidR="00020098" w:rsidRPr="00F0794C">
        <w:rPr>
          <w:rFonts w:asciiTheme="minorHAnsi" w:hAnsiTheme="minorHAnsi"/>
          <w:b w:val="0"/>
          <w:szCs w:val="22"/>
        </w:rPr>
        <w:t>care</w:t>
      </w:r>
      <w:r w:rsidR="00D1272A" w:rsidRPr="00F0794C">
        <w:rPr>
          <w:rFonts w:asciiTheme="minorHAnsi" w:hAnsiTheme="minorHAnsi"/>
          <w:b w:val="0"/>
          <w:szCs w:val="22"/>
        </w:rPr>
        <w:t xml:space="preserve"> and be weighted appropriately in the conclusion on the options. </w:t>
      </w:r>
    </w:p>
    <w:p w:rsidR="00094788" w:rsidRPr="00F0794C" w:rsidRDefault="00094788" w:rsidP="004B5863">
      <w:pPr>
        <w:pStyle w:val="BodyText2"/>
        <w:jc w:val="both"/>
        <w:rPr>
          <w:rFonts w:asciiTheme="minorHAnsi" w:hAnsiTheme="minorHAnsi"/>
          <w:b w:val="0"/>
          <w:szCs w:val="22"/>
        </w:rPr>
      </w:pPr>
    </w:p>
    <w:p w:rsidR="00B51244" w:rsidRDefault="00B51244" w:rsidP="004B5863">
      <w:pPr>
        <w:pStyle w:val="BodyText2"/>
        <w:jc w:val="both"/>
        <w:rPr>
          <w:rFonts w:asciiTheme="minorHAnsi" w:hAnsiTheme="minorHAnsi"/>
          <w:b w:val="0"/>
          <w:szCs w:val="22"/>
        </w:rPr>
      </w:pPr>
    </w:p>
    <w:p w:rsidR="0004264E" w:rsidRPr="00F0794C" w:rsidRDefault="00C544DB" w:rsidP="004B5863">
      <w:pPr>
        <w:pStyle w:val="BodyText2"/>
        <w:jc w:val="both"/>
        <w:rPr>
          <w:rFonts w:asciiTheme="minorHAnsi" w:hAnsiTheme="minorHAnsi"/>
          <w:b w:val="0"/>
          <w:szCs w:val="22"/>
        </w:rPr>
      </w:pPr>
      <w:r w:rsidRPr="00F0794C">
        <w:rPr>
          <w:rFonts w:asciiTheme="minorHAnsi" w:hAnsiTheme="minorHAnsi"/>
          <w:b w:val="0"/>
          <w:szCs w:val="22"/>
        </w:rPr>
        <w:lastRenderedPageBreak/>
        <w:t>The reports also states</w:t>
      </w:r>
      <w:r w:rsidR="0004264E" w:rsidRPr="00F0794C">
        <w:rPr>
          <w:rFonts w:asciiTheme="minorHAnsi" w:hAnsiTheme="minorHAnsi"/>
          <w:b w:val="0"/>
          <w:szCs w:val="22"/>
        </w:rPr>
        <w:t xml:space="preserve"> that improved expertise and guidelines for conducting CBA would go some way towards addressing these types of deficiencies. </w:t>
      </w:r>
      <w:r w:rsidR="001F1510" w:rsidRPr="00F0794C">
        <w:rPr>
          <w:rFonts w:asciiTheme="minorHAnsi" w:hAnsiTheme="minorHAnsi"/>
          <w:b w:val="0"/>
          <w:szCs w:val="22"/>
        </w:rPr>
        <w:t xml:space="preserve">The Commission </w:t>
      </w:r>
      <w:r w:rsidR="0004264E" w:rsidRPr="00F0794C">
        <w:rPr>
          <w:rFonts w:asciiTheme="minorHAnsi" w:hAnsiTheme="minorHAnsi"/>
          <w:b w:val="0"/>
          <w:szCs w:val="22"/>
        </w:rPr>
        <w:t xml:space="preserve">also stated that governance arrangements </w:t>
      </w:r>
      <w:r w:rsidR="001F1510" w:rsidRPr="00F0794C">
        <w:rPr>
          <w:rFonts w:asciiTheme="minorHAnsi" w:hAnsiTheme="minorHAnsi"/>
          <w:b w:val="0"/>
          <w:szCs w:val="22"/>
        </w:rPr>
        <w:t>under which</w:t>
      </w:r>
      <w:r w:rsidR="0004264E" w:rsidRPr="00F0794C">
        <w:rPr>
          <w:rFonts w:asciiTheme="minorHAnsi" w:hAnsiTheme="minorHAnsi"/>
          <w:b w:val="0"/>
          <w:szCs w:val="22"/>
        </w:rPr>
        <w:t xml:space="preserve"> the project proposals are analysed are important, for ensuring transparency.  </w:t>
      </w:r>
      <w:r w:rsidR="001F1510" w:rsidRPr="00F0794C">
        <w:rPr>
          <w:rFonts w:asciiTheme="minorHAnsi" w:hAnsiTheme="minorHAnsi"/>
          <w:b w:val="0"/>
          <w:szCs w:val="22"/>
        </w:rPr>
        <w:t>Likewise, there</w:t>
      </w:r>
      <w:r w:rsidR="0004264E" w:rsidRPr="00F0794C">
        <w:rPr>
          <w:rFonts w:asciiTheme="minorHAnsi" w:hAnsiTheme="minorHAnsi"/>
          <w:b w:val="0"/>
          <w:szCs w:val="22"/>
        </w:rPr>
        <w:t xml:space="preserve"> needs to be a systematic review and analysis of </w:t>
      </w:r>
      <w:r w:rsidR="00591326" w:rsidRPr="00F0794C">
        <w:rPr>
          <w:rFonts w:asciiTheme="minorHAnsi" w:hAnsiTheme="minorHAnsi"/>
          <w:b w:val="0"/>
          <w:szCs w:val="22"/>
        </w:rPr>
        <w:t>finished</w:t>
      </w:r>
      <w:r w:rsidR="0004264E" w:rsidRPr="00F0794C">
        <w:rPr>
          <w:rFonts w:asciiTheme="minorHAnsi" w:hAnsiTheme="minorHAnsi"/>
          <w:b w:val="0"/>
          <w:szCs w:val="22"/>
        </w:rPr>
        <w:t xml:space="preserve"> projects both through </w:t>
      </w:r>
      <w:r w:rsidR="00591326" w:rsidRPr="00F0794C">
        <w:rPr>
          <w:rFonts w:asciiTheme="minorHAnsi" w:hAnsiTheme="minorHAnsi"/>
          <w:b w:val="0"/>
          <w:szCs w:val="22"/>
        </w:rPr>
        <w:t>the period of their development and post</w:t>
      </w:r>
      <w:r w:rsidR="0004264E" w:rsidRPr="00F0794C">
        <w:rPr>
          <w:rFonts w:asciiTheme="minorHAnsi" w:hAnsiTheme="minorHAnsi"/>
          <w:b w:val="0"/>
          <w:szCs w:val="22"/>
        </w:rPr>
        <w:t xml:space="preserve"> implementation. </w:t>
      </w:r>
      <w:r w:rsidR="00593E1F" w:rsidRPr="00F0794C">
        <w:rPr>
          <w:rStyle w:val="FootnoteReference"/>
          <w:rFonts w:asciiTheme="minorHAnsi" w:hAnsiTheme="minorHAnsi"/>
          <w:b w:val="0"/>
          <w:szCs w:val="22"/>
        </w:rPr>
        <w:footnoteReference w:id="25"/>
      </w:r>
    </w:p>
    <w:p w:rsidR="00C544DB" w:rsidRPr="00F0794C" w:rsidRDefault="00C544DB" w:rsidP="004B5863">
      <w:pPr>
        <w:pStyle w:val="BodyText2"/>
        <w:jc w:val="both"/>
        <w:rPr>
          <w:rFonts w:asciiTheme="minorHAnsi" w:hAnsiTheme="minorHAnsi"/>
          <w:b w:val="0"/>
          <w:szCs w:val="22"/>
          <w:u w:val="single"/>
        </w:rPr>
      </w:pPr>
    </w:p>
    <w:p w:rsidR="007D02ED" w:rsidRPr="00F0794C" w:rsidRDefault="007D02ED" w:rsidP="004B5863">
      <w:pPr>
        <w:pStyle w:val="BodyText2"/>
        <w:jc w:val="both"/>
        <w:rPr>
          <w:rFonts w:asciiTheme="minorHAnsi" w:hAnsiTheme="minorHAnsi"/>
          <w:szCs w:val="22"/>
        </w:rPr>
      </w:pPr>
      <w:r w:rsidRPr="00F0794C">
        <w:rPr>
          <w:rFonts w:asciiTheme="minorHAnsi" w:hAnsiTheme="minorHAnsi"/>
          <w:szCs w:val="22"/>
        </w:rPr>
        <w:t>Recommendation 6</w:t>
      </w:r>
    </w:p>
    <w:p w:rsidR="007D02ED" w:rsidRPr="00F0794C" w:rsidRDefault="007D02ED" w:rsidP="004B5863">
      <w:pPr>
        <w:pStyle w:val="BodyText2"/>
        <w:jc w:val="both"/>
        <w:rPr>
          <w:rFonts w:asciiTheme="minorHAnsi" w:hAnsiTheme="minorHAnsi"/>
          <w:b w:val="0"/>
          <w:szCs w:val="22"/>
          <w:u w:val="single"/>
        </w:rPr>
      </w:pPr>
    </w:p>
    <w:p w:rsidR="007D02ED" w:rsidRPr="00F0794C" w:rsidRDefault="00A70755" w:rsidP="004B5863">
      <w:pPr>
        <w:pStyle w:val="BodyText2"/>
        <w:jc w:val="both"/>
        <w:rPr>
          <w:rFonts w:asciiTheme="minorHAnsi" w:hAnsiTheme="minorHAnsi"/>
          <w:b w:val="0"/>
          <w:szCs w:val="22"/>
        </w:rPr>
      </w:pPr>
      <w:r w:rsidRPr="00F0794C">
        <w:rPr>
          <w:rFonts w:asciiTheme="minorHAnsi" w:hAnsiTheme="minorHAnsi"/>
          <w:b w:val="0"/>
          <w:szCs w:val="22"/>
        </w:rPr>
        <w:t>T</w:t>
      </w:r>
      <w:r w:rsidR="007D02ED" w:rsidRPr="00F0794C">
        <w:rPr>
          <w:rFonts w:asciiTheme="minorHAnsi" w:hAnsiTheme="minorHAnsi"/>
          <w:b w:val="0"/>
          <w:szCs w:val="22"/>
        </w:rPr>
        <w:t xml:space="preserve">he Commission </w:t>
      </w:r>
      <w:r w:rsidR="002D74B8" w:rsidRPr="00F0794C">
        <w:rPr>
          <w:rFonts w:asciiTheme="minorHAnsi" w:hAnsiTheme="minorHAnsi"/>
          <w:b w:val="0"/>
          <w:szCs w:val="22"/>
        </w:rPr>
        <w:t xml:space="preserve">should </w:t>
      </w:r>
      <w:r w:rsidR="00815CBA" w:rsidRPr="00F0794C">
        <w:rPr>
          <w:rFonts w:asciiTheme="minorHAnsi" w:hAnsiTheme="minorHAnsi"/>
          <w:b w:val="0"/>
          <w:szCs w:val="22"/>
        </w:rPr>
        <w:t>advise</w:t>
      </w:r>
      <w:r w:rsidR="007D02ED" w:rsidRPr="00F0794C">
        <w:rPr>
          <w:rFonts w:asciiTheme="minorHAnsi" w:hAnsiTheme="minorHAnsi"/>
          <w:b w:val="0"/>
          <w:szCs w:val="22"/>
        </w:rPr>
        <w:t xml:space="preserve"> ministers to i</w:t>
      </w:r>
      <w:r w:rsidRPr="00F0794C">
        <w:rPr>
          <w:rFonts w:asciiTheme="minorHAnsi" w:hAnsiTheme="minorHAnsi"/>
          <w:b w:val="0"/>
          <w:szCs w:val="22"/>
        </w:rPr>
        <w:t>nsist upon c</w:t>
      </w:r>
      <w:r w:rsidR="007D02ED" w:rsidRPr="00F0794C">
        <w:rPr>
          <w:rFonts w:asciiTheme="minorHAnsi" w:hAnsiTheme="minorHAnsi"/>
          <w:b w:val="0"/>
          <w:szCs w:val="22"/>
        </w:rPr>
        <w:t>ost benefit analys</w:t>
      </w:r>
      <w:r w:rsidR="00591326" w:rsidRPr="00F0794C">
        <w:rPr>
          <w:rFonts w:asciiTheme="minorHAnsi" w:hAnsiTheme="minorHAnsi"/>
          <w:b w:val="0"/>
          <w:szCs w:val="22"/>
        </w:rPr>
        <w:t>e</w:t>
      </w:r>
      <w:r w:rsidR="00815CBA" w:rsidRPr="00F0794C">
        <w:rPr>
          <w:rFonts w:asciiTheme="minorHAnsi" w:hAnsiTheme="minorHAnsi"/>
          <w:b w:val="0"/>
          <w:szCs w:val="22"/>
        </w:rPr>
        <w:t>s</w:t>
      </w:r>
      <w:r w:rsidRPr="00F0794C">
        <w:rPr>
          <w:rFonts w:asciiTheme="minorHAnsi" w:hAnsiTheme="minorHAnsi"/>
          <w:b w:val="0"/>
          <w:szCs w:val="22"/>
        </w:rPr>
        <w:t xml:space="preserve">, following </w:t>
      </w:r>
      <w:r w:rsidR="00591326" w:rsidRPr="00F0794C">
        <w:rPr>
          <w:rFonts w:asciiTheme="minorHAnsi" w:hAnsiTheme="minorHAnsi"/>
          <w:b w:val="0"/>
          <w:szCs w:val="22"/>
        </w:rPr>
        <w:t xml:space="preserve">the publication of </w:t>
      </w:r>
      <w:r w:rsidRPr="00F0794C">
        <w:rPr>
          <w:rFonts w:asciiTheme="minorHAnsi" w:hAnsiTheme="minorHAnsi"/>
          <w:b w:val="0"/>
          <w:szCs w:val="22"/>
        </w:rPr>
        <w:t xml:space="preserve">Commonwealth guidelines, </w:t>
      </w:r>
      <w:r w:rsidR="007D02ED" w:rsidRPr="00F0794C">
        <w:rPr>
          <w:rFonts w:asciiTheme="minorHAnsi" w:hAnsiTheme="minorHAnsi"/>
          <w:b w:val="0"/>
          <w:szCs w:val="22"/>
        </w:rPr>
        <w:t xml:space="preserve">to improve the quality and transparency of </w:t>
      </w:r>
      <w:r w:rsidRPr="00F0794C">
        <w:rPr>
          <w:rFonts w:asciiTheme="minorHAnsi" w:hAnsiTheme="minorHAnsi"/>
          <w:b w:val="0"/>
          <w:szCs w:val="22"/>
        </w:rPr>
        <w:t>proposals</w:t>
      </w:r>
      <w:r w:rsidR="007D02ED" w:rsidRPr="00F0794C">
        <w:rPr>
          <w:rFonts w:asciiTheme="minorHAnsi" w:hAnsiTheme="minorHAnsi"/>
          <w:b w:val="0"/>
          <w:szCs w:val="22"/>
        </w:rPr>
        <w:t xml:space="preserve">. </w:t>
      </w:r>
    </w:p>
    <w:p w:rsidR="007D02ED" w:rsidRPr="00F0794C" w:rsidRDefault="007D02ED" w:rsidP="004B5863">
      <w:pPr>
        <w:pStyle w:val="BodyText2"/>
        <w:jc w:val="both"/>
        <w:rPr>
          <w:rFonts w:asciiTheme="minorHAnsi" w:hAnsiTheme="minorHAnsi"/>
          <w:b w:val="0"/>
          <w:szCs w:val="22"/>
          <w:u w:val="single"/>
        </w:rPr>
      </w:pPr>
    </w:p>
    <w:p w:rsidR="00C92E5D" w:rsidRPr="00F0794C" w:rsidRDefault="00972D62" w:rsidP="004B5863">
      <w:pPr>
        <w:pStyle w:val="Heading1"/>
        <w:numPr>
          <w:ilvl w:val="1"/>
          <w:numId w:val="16"/>
        </w:numPr>
        <w:jc w:val="both"/>
        <w:rPr>
          <w:rFonts w:asciiTheme="minorHAnsi" w:hAnsiTheme="minorHAnsi"/>
          <w:szCs w:val="22"/>
        </w:rPr>
      </w:pPr>
      <w:r w:rsidRPr="00F0794C">
        <w:rPr>
          <w:rFonts w:asciiTheme="minorHAnsi" w:hAnsiTheme="minorHAnsi"/>
          <w:szCs w:val="22"/>
        </w:rPr>
        <w:t xml:space="preserve"> </w:t>
      </w:r>
      <w:bookmarkStart w:id="18" w:name="_Toc384105359"/>
      <w:r w:rsidRPr="00F0794C">
        <w:rPr>
          <w:rFonts w:asciiTheme="minorHAnsi" w:hAnsiTheme="minorHAnsi"/>
          <w:szCs w:val="22"/>
        </w:rPr>
        <w:t>C</w:t>
      </w:r>
      <w:r w:rsidR="00C92E5D" w:rsidRPr="00F0794C">
        <w:rPr>
          <w:rFonts w:asciiTheme="minorHAnsi" w:hAnsiTheme="minorHAnsi"/>
          <w:szCs w:val="22"/>
        </w:rPr>
        <w:t xml:space="preserve">ommunity </w:t>
      </w:r>
      <w:r w:rsidRPr="00F0794C">
        <w:rPr>
          <w:rFonts w:asciiTheme="minorHAnsi" w:hAnsiTheme="minorHAnsi"/>
          <w:szCs w:val="22"/>
        </w:rPr>
        <w:t>S</w:t>
      </w:r>
      <w:r w:rsidR="00C92E5D" w:rsidRPr="00F0794C">
        <w:rPr>
          <w:rFonts w:asciiTheme="minorHAnsi" w:hAnsiTheme="minorHAnsi"/>
          <w:szCs w:val="22"/>
        </w:rPr>
        <w:t xml:space="preserve">ervice </w:t>
      </w:r>
      <w:r w:rsidRPr="00F0794C">
        <w:rPr>
          <w:rFonts w:asciiTheme="minorHAnsi" w:hAnsiTheme="minorHAnsi"/>
          <w:szCs w:val="22"/>
        </w:rPr>
        <w:t>O</w:t>
      </w:r>
      <w:r w:rsidR="00C92E5D" w:rsidRPr="00F0794C">
        <w:rPr>
          <w:rFonts w:asciiTheme="minorHAnsi" w:hAnsiTheme="minorHAnsi"/>
          <w:szCs w:val="22"/>
        </w:rPr>
        <w:t>bligations</w:t>
      </w:r>
      <w:bookmarkEnd w:id="18"/>
    </w:p>
    <w:p w:rsidR="00972D62" w:rsidRPr="00F0794C" w:rsidRDefault="00972D62" w:rsidP="004B5863">
      <w:pPr>
        <w:pStyle w:val="Heading1"/>
        <w:numPr>
          <w:ilvl w:val="0"/>
          <w:numId w:val="0"/>
        </w:numPr>
        <w:jc w:val="both"/>
        <w:rPr>
          <w:rFonts w:asciiTheme="minorHAnsi" w:hAnsiTheme="minorHAnsi"/>
          <w:szCs w:val="22"/>
        </w:rPr>
      </w:pPr>
      <w:r w:rsidRPr="00F0794C">
        <w:rPr>
          <w:rFonts w:asciiTheme="minorHAnsi" w:hAnsiTheme="minorHAnsi"/>
          <w:szCs w:val="22"/>
        </w:rPr>
        <w:t xml:space="preserve"> </w:t>
      </w:r>
    </w:p>
    <w:p w:rsidR="00972D62" w:rsidRPr="002E1062" w:rsidRDefault="00591326" w:rsidP="004B5863">
      <w:pPr>
        <w:pStyle w:val="BodyText2"/>
        <w:jc w:val="both"/>
        <w:rPr>
          <w:rFonts w:asciiTheme="minorHAnsi" w:hAnsiTheme="minorHAnsi"/>
          <w:b w:val="0"/>
          <w:szCs w:val="22"/>
        </w:rPr>
      </w:pPr>
      <w:r w:rsidRPr="002E1062">
        <w:rPr>
          <w:rFonts w:asciiTheme="minorHAnsi" w:hAnsiTheme="minorHAnsi"/>
          <w:b w:val="0"/>
          <w:szCs w:val="22"/>
        </w:rPr>
        <w:t>The C</w:t>
      </w:r>
      <w:r w:rsidR="00972D62" w:rsidRPr="002E1062">
        <w:rPr>
          <w:rFonts w:asciiTheme="minorHAnsi" w:hAnsiTheme="minorHAnsi"/>
          <w:b w:val="0"/>
          <w:szCs w:val="22"/>
        </w:rPr>
        <w:t xml:space="preserve">ommission </w:t>
      </w:r>
      <w:r w:rsidR="00C92E5D" w:rsidRPr="002E1062">
        <w:rPr>
          <w:rFonts w:asciiTheme="minorHAnsi" w:hAnsiTheme="minorHAnsi"/>
          <w:b w:val="0"/>
          <w:szCs w:val="22"/>
        </w:rPr>
        <w:t>has</w:t>
      </w:r>
      <w:r w:rsidR="00972D62" w:rsidRPr="002E1062">
        <w:rPr>
          <w:rFonts w:asciiTheme="minorHAnsi" w:hAnsiTheme="minorHAnsi"/>
          <w:b w:val="0"/>
          <w:szCs w:val="22"/>
        </w:rPr>
        <w:t xml:space="preserve"> recognised that ‘the extent to which use</w:t>
      </w:r>
      <w:r w:rsidRPr="002E1062">
        <w:rPr>
          <w:rFonts w:asciiTheme="minorHAnsi" w:hAnsiTheme="minorHAnsi"/>
          <w:b w:val="0"/>
          <w:szCs w:val="22"/>
        </w:rPr>
        <w:t>r</w:t>
      </w:r>
      <w:r w:rsidR="00972D62" w:rsidRPr="002E1062">
        <w:rPr>
          <w:rFonts w:asciiTheme="minorHAnsi" w:hAnsiTheme="minorHAnsi"/>
          <w:b w:val="0"/>
          <w:szCs w:val="22"/>
        </w:rPr>
        <w:t xml:space="preserve"> charges are able to recover the full costs of supply differ across sector and region</w:t>
      </w:r>
      <w:r w:rsidR="00A340B1" w:rsidRPr="002E1062">
        <w:rPr>
          <w:rFonts w:asciiTheme="minorHAnsi" w:hAnsiTheme="minorHAnsi"/>
          <w:b w:val="0"/>
          <w:szCs w:val="22"/>
        </w:rPr>
        <w:t>’</w:t>
      </w:r>
      <w:r w:rsidR="00972D62" w:rsidRPr="002E1062">
        <w:rPr>
          <w:rFonts w:asciiTheme="minorHAnsi" w:hAnsiTheme="minorHAnsi"/>
          <w:b w:val="0"/>
          <w:szCs w:val="22"/>
          <w:vertAlign w:val="superscript"/>
        </w:rPr>
        <w:footnoteReference w:id="26"/>
      </w:r>
      <w:r w:rsidR="00972D62" w:rsidRPr="002E1062">
        <w:rPr>
          <w:rFonts w:asciiTheme="minorHAnsi" w:hAnsiTheme="minorHAnsi"/>
          <w:b w:val="0"/>
          <w:szCs w:val="22"/>
        </w:rPr>
        <w:t xml:space="preserve">. </w:t>
      </w:r>
    </w:p>
    <w:p w:rsidR="00972D62" w:rsidRPr="002E1062" w:rsidRDefault="00972D62" w:rsidP="004B5863">
      <w:pPr>
        <w:pStyle w:val="BodyText2"/>
        <w:jc w:val="both"/>
        <w:rPr>
          <w:rFonts w:asciiTheme="minorHAnsi" w:hAnsiTheme="minorHAnsi"/>
          <w:b w:val="0"/>
          <w:szCs w:val="22"/>
        </w:rPr>
      </w:pPr>
    </w:p>
    <w:p w:rsidR="00972D62" w:rsidRPr="002E1062" w:rsidRDefault="00972D62" w:rsidP="004B5863">
      <w:pPr>
        <w:pStyle w:val="BodyText2"/>
        <w:jc w:val="both"/>
        <w:rPr>
          <w:rFonts w:asciiTheme="minorHAnsi" w:hAnsiTheme="minorHAnsi"/>
          <w:b w:val="0"/>
          <w:szCs w:val="22"/>
        </w:rPr>
      </w:pPr>
      <w:r w:rsidRPr="002E1062">
        <w:rPr>
          <w:rFonts w:asciiTheme="minorHAnsi" w:hAnsiTheme="minorHAnsi"/>
          <w:b w:val="0"/>
          <w:szCs w:val="22"/>
        </w:rPr>
        <w:t xml:space="preserve">We also share the </w:t>
      </w:r>
      <w:r w:rsidR="00C92E5D" w:rsidRPr="002E1062">
        <w:rPr>
          <w:rFonts w:asciiTheme="minorHAnsi" w:hAnsiTheme="minorHAnsi"/>
          <w:b w:val="0"/>
          <w:szCs w:val="22"/>
        </w:rPr>
        <w:t>Commission’s</w:t>
      </w:r>
      <w:r w:rsidRPr="002E1062">
        <w:rPr>
          <w:rFonts w:asciiTheme="minorHAnsi" w:hAnsiTheme="minorHAnsi"/>
          <w:b w:val="0"/>
          <w:szCs w:val="22"/>
        </w:rPr>
        <w:t xml:space="preserve"> concerns that ‘user charging is not a panacea to meet all public infrastructure needs. There will continue to be a role for government </w:t>
      </w:r>
      <w:r w:rsidR="00C92E5D" w:rsidRPr="002E1062">
        <w:rPr>
          <w:rFonts w:asciiTheme="minorHAnsi" w:hAnsiTheme="minorHAnsi"/>
          <w:b w:val="0"/>
          <w:szCs w:val="22"/>
        </w:rPr>
        <w:t xml:space="preserve">to </w:t>
      </w:r>
      <w:r w:rsidRPr="002E1062">
        <w:rPr>
          <w:rFonts w:asciiTheme="minorHAnsi" w:hAnsiTheme="minorHAnsi"/>
          <w:b w:val="0"/>
          <w:szCs w:val="22"/>
        </w:rPr>
        <w:t xml:space="preserve">at least partly fund some types of public infrastructure. This can be warranted when it is impractical to exclude users who do not pay direct charges, the truncations costs exceed the benefits, the wider beneficiaries are difficult to identify or very diffuse, </w:t>
      </w:r>
      <w:r w:rsidR="00FC5FF8" w:rsidRPr="002E1062">
        <w:rPr>
          <w:rFonts w:asciiTheme="minorHAnsi" w:hAnsiTheme="minorHAnsi"/>
          <w:b w:val="0"/>
          <w:szCs w:val="22"/>
        </w:rPr>
        <w:t xml:space="preserve">and/or </w:t>
      </w:r>
      <w:r w:rsidRPr="002E1062">
        <w:rPr>
          <w:rFonts w:asciiTheme="minorHAnsi" w:hAnsiTheme="minorHAnsi"/>
          <w:b w:val="0"/>
          <w:szCs w:val="22"/>
        </w:rPr>
        <w:t>infrastructure is provided to meet equity goals.</w:t>
      </w:r>
      <w:r w:rsidR="00591326" w:rsidRPr="002E1062">
        <w:rPr>
          <w:rFonts w:asciiTheme="minorHAnsi" w:hAnsiTheme="minorHAnsi"/>
          <w:b w:val="0"/>
          <w:szCs w:val="22"/>
        </w:rPr>
        <w:t>’</w:t>
      </w:r>
      <w:r w:rsidRPr="002E1062">
        <w:rPr>
          <w:rFonts w:asciiTheme="minorHAnsi" w:hAnsiTheme="minorHAnsi" w:cs="Times New Roman"/>
          <w:b w:val="0"/>
          <w:vertAlign w:val="superscript"/>
        </w:rPr>
        <w:t xml:space="preserve"> </w:t>
      </w:r>
      <w:r w:rsidRPr="002E1062">
        <w:rPr>
          <w:rFonts w:asciiTheme="minorHAnsi" w:hAnsiTheme="minorHAnsi"/>
          <w:b w:val="0"/>
          <w:szCs w:val="22"/>
          <w:vertAlign w:val="superscript"/>
        </w:rPr>
        <w:footnoteReference w:id="27"/>
      </w:r>
      <w:r w:rsidRPr="002E1062">
        <w:rPr>
          <w:rFonts w:asciiTheme="minorHAnsi" w:hAnsiTheme="minorHAnsi"/>
          <w:b w:val="0"/>
          <w:szCs w:val="22"/>
        </w:rPr>
        <w:t xml:space="preserve"> </w:t>
      </w:r>
    </w:p>
    <w:p w:rsidR="00972D62" w:rsidRPr="002E1062" w:rsidRDefault="00972D62" w:rsidP="004B5863">
      <w:pPr>
        <w:pStyle w:val="BodyText2"/>
        <w:jc w:val="both"/>
        <w:rPr>
          <w:rFonts w:asciiTheme="minorHAnsi" w:hAnsiTheme="minorHAnsi"/>
          <w:b w:val="0"/>
          <w:szCs w:val="22"/>
        </w:rPr>
      </w:pPr>
    </w:p>
    <w:p w:rsidR="00C92E5D" w:rsidRPr="002E1062" w:rsidRDefault="00972D62" w:rsidP="004B5863">
      <w:pPr>
        <w:pStyle w:val="BodyText2"/>
        <w:jc w:val="both"/>
        <w:rPr>
          <w:rFonts w:asciiTheme="minorHAnsi" w:hAnsiTheme="minorHAnsi"/>
          <w:b w:val="0"/>
          <w:szCs w:val="22"/>
        </w:rPr>
      </w:pPr>
      <w:r w:rsidRPr="002E1062">
        <w:rPr>
          <w:rFonts w:asciiTheme="minorHAnsi" w:hAnsiTheme="minorHAnsi"/>
          <w:b w:val="0"/>
          <w:szCs w:val="22"/>
        </w:rPr>
        <w:t xml:space="preserve">As highlighted in the previous submission to the </w:t>
      </w:r>
      <w:r w:rsidR="00C92E5D" w:rsidRPr="002E1062">
        <w:rPr>
          <w:rFonts w:asciiTheme="minorHAnsi" w:hAnsiTheme="minorHAnsi"/>
          <w:b w:val="0"/>
          <w:szCs w:val="22"/>
        </w:rPr>
        <w:t>Commission</w:t>
      </w:r>
      <w:r w:rsidRPr="002E1062">
        <w:rPr>
          <w:rFonts w:asciiTheme="minorHAnsi" w:hAnsiTheme="minorHAnsi"/>
          <w:b w:val="0"/>
          <w:szCs w:val="22"/>
        </w:rPr>
        <w:t xml:space="preserve"> many of the roads in Australia come under </w:t>
      </w:r>
      <w:r w:rsidR="00C92E5D" w:rsidRPr="002E1062">
        <w:rPr>
          <w:rFonts w:asciiTheme="minorHAnsi" w:hAnsiTheme="minorHAnsi"/>
          <w:b w:val="0"/>
          <w:szCs w:val="22"/>
        </w:rPr>
        <w:t>community service obligations (</w:t>
      </w:r>
      <w:r w:rsidRPr="002E1062">
        <w:rPr>
          <w:rFonts w:asciiTheme="minorHAnsi" w:hAnsiTheme="minorHAnsi"/>
          <w:b w:val="0"/>
          <w:szCs w:val="22"/>
        </w:rPr>
        <w:t>CSO</w:t>
      </w:r>
      <w:r w:rsidR="00C92E5D" w:rsidRPr="002E1062">
        <w:rPr>
          <w:rFonts w:asciiTheme="minorHAnsi" w:hAnsiTheme="minorHAnsi"/>
          <w:b w:val="0"/>
          <w:szCs w:val="22"/>
        </w:rPr>
        <w:t>)</w:t>
      </w:r>
      <w:r w:rsidRPr="002E1062">
        <w:rPr>
          <w:rFonts w:asciiTheme="minorHAnsi" w:hAnsiTheme="minorHAnsi"/>
          <w:b w:val="0"/>
          <w:szCs w:val="22"/>
        </w:rPr>
        <w:t xml:space="preserve"> or other </w:t>
      </w:r>
      <w:r w:rsidR="00591326" w:rsidRPr="002E1062">
        <w:rPr>
          <w:rFonts w:asciiTheme="minorHAnsi" w:hAnsiTheme="minorHAnsi"/>
          <w:b w:val="0"/>
          <w:szCs w:val="22"/>
        </w:rPr>
        <w:t xml:space="preserve">forms of </w:t>
      </w:r>
      <w:r w:rsidRPr="002E1062">
        <w:rPr>
          <w:rFonts w:asciiTheme="minorHAnsi" w:hAnsiTheme="minorHAnsi"/>
          <w:b w:val="0"/>
          <w:szCs w:val="22"/>
        </w:rPr>
        <w:t xml:space="preserve">government funding due to the community service they provide. User charges will not cover the full cost of providing these roads.  </w:t>
      </w:r>
    </w:p>
    <w:p w:rsidR="00C92E5D" w:rsidRPr="002E1062" w:rsidRDefault="00C92E5D" w:rsidP="004B5863">
      <w:pPr>
        <w:pStyle w:val="BodyText2"/>
        <w:jc w:val="both"/>
        <w:rPr>
          <w:rFonts w:asciiTheme="minorHAnsi" w:hAnsiTheme="minorHAnsi"/>
          <w:b w:val="0"/>
          <w:szCs w:val="22"/>
        </w:rPr>
      </w:pPr>
    </w:p>
    <w:p w:rsidR="00C92E5D" w:rsidRPr="00F0794C" w:rsidRDefault="00972D62" w:rsidP="004B5863">
      <w:pPr>
        <w:pStyle w:val="BodyText2"/>
        <w:jc w:val="both"/>
        <w:rPr>
          <w:rFonts w:asciiTheme="minorHAnsi" w:hAnsiTheme="minorHAnsi"/>
          <w:b w:val="0"/>
          <w:szCs w:val="22"/>
        </w:rPr>
      </w:pPr>
      <w:r w:rsidRPr="00F0794C">
        <w:rPr>
          <w:rFonts w:asciiTheme="minorHAnsi" w:hAnsiTheme="minorHAnsi"/>
          <w:b w:val="0"/>
          <w:szCs w:val="22"/>
        </w:rPr>
        <w:t>In the case of heavy vehicles if marginal cost or full sunk cost via MDL charging is to happen it will mean that operators travelling on CSO roads will not pay t</w:t>
      </w:r>
      <w:r w:rsidR="00FC5FF8">
        <w:rPr>
          <w:rFonts w:asciiTheme="minorHAnsi" w:hAnsiTheme="minorHAnsi"/>
          <w:b w:val="0"/>
          <w:szCs w:val="22"/>
        </w:rPr>
        <w:t>heir full cost. T</w:t>
      </w:r>
      <w:r w:rsidRPr="00F0794C">
        <w:rPr>
          <w:rFonts w:asciiTheme="minorHAnsi" w:hAnsiTheme="minorHAnsi"/>
          <w:b w:val="0"/>
          <w:szCs w:val="22"/>
        </w:rPr>
        <w:t>herefore</w:t>
      </w:r>
      <w:r w:rsidR="00FC5FF8">
        <w:rPr>
          <w:rFonts w:asciiTheme="minorHAnsi" w:hAnsiTheme="minorHAnsi"/>
          <w:b w:val="0"/>
          <w:szCs w:val="22"/>
        </w:rPr>
        <w:t>,</w:t>
      </w:r>
      <w:r w:rsidRPr="00F0794C">
        <w:rPr>
          <w:rFonts w:asciiTheme="minorHAnsi" w:hAnsiTheme="minorHAnsi"/>
          <w:b w:val="0"/>
          <w:szCs w:val="22"/>
        </w:rPr>
        <w:t xml:space="preserve"> cross</w:t>
      </w:r>
      <w:r w:rsidR="006F5A59">
        <w:rPr>
          <w:rFonts w:asciiTheme="minorHAnsi" w:hAnsiTheme="minorHAnsi"/>
          <w:b w:val="0"/>
          <w:szCs w:val="22"/>
        </w:rPr>
        <w:t>-</w:t>
      </w:r>
      <w:r w:rsidRPr="00F0794C">
        <w:rPr>
          <w:rFonts w:asciiTheme="minorHAnsi" w:hAnsiTheme="minorHAnsi"/>
          <w:b w:val="0"/>
          <w:szCs w:val="22"/>
        </w:rPr>
        <w:t>subs</w:t>
      </w:r>
      <w:r w:rsidR="00591326" w:rsidRPr="00F0794C">
        <w:rPr>
          <w:rFonts w:asciiTheme="minorHAnsi" w:hAnsiTheme="minorHAnsi"/>
          <w:b w:val="0"/>
          <w:szCs w:val="22"/>
        </w:rPr>
        <w:t xml:space="preserve">idisation between heavy vehicle </w:t>
      </w:r>
      <w:r w:rsidR="006F5A59" w:rsidRPr="00F0794C">
        <w:rPr>
          <w:rFonts w:asciiTheme="minorHAnsi" w:hAnsiTheme="minorHAnsi"/>
          <w:b w:val="0"/>
          <w:szCs w:val="22"/>
        </w:rPr>
        <w:t>types will</w:t>
      </w:r>
      <w:r w:rsidRPr="00F0794C">
        <w:rPr>
          <w:rFonts w:asciiTheme="minorHAnsi" w:hAnsiTheme="minorHAnsi"/>
          <w:b w:val="0"/>
          <w:szCs w:val="22"/>
        </w:rPr>
        <w:t xml:space="preserve"> still exist.</w:t>
      </w:r>
    </w:p>
    <w:p w:rsidR="00C92E5D" w:rsidRPr="00F0794C" w:rsidRDefault="00C92E5D" w:rsidP="004B5863">
      <w:pPr>
        <w:pStyle w:val="BodyText2"/>
        <w:jc w:val="both"/>
        <w:rPr>
          <w:rFonts w:asciiTheme="minorHAnsi" w:hAnsiTheme="minorHAnsi"/>
          <w:b w:val="0"/>
          <w:szCs w:val="22"/>
        </w:rPr>
      </w:pPr>
    </w:p>
    <w:p w:rsidR="00972D62" w:rsidRPr="00F0794C" w:rsidRDefault="00972D62" w:rsidP="004B5863">
      <w:pPr>
        <w:pStyle w:val="BodyText2"/>
        <w:jc w:val="both"/>
        <w:rPr>
          <w:rFonts w:asciiTheme="minorHAnsi" w:hAnsiTheme="minorHAnsi"/>
          <w:b w:val="0"/>
          <w:szCs w:val="22"/>
        </w:rPr>
      </w:pPr>
      <w:r w:rsidRPr="00F0794C">
        <w:rPr>
          <w:rFonts w:asciiTheme="minorHAnsi" w:hAnsiTheme="minorHAnsi"/>
          <w:b w:val="0"/>
          <w:szCs w:val="22"/>
        </w:rPr>
        <w:t xml:space="preserve"> The pursuit of eliminating cross</w:t>
      </w:r>
      <w:r w:rsidR="00591326" w:rsidRPr="00F0794C">
        <w:rPr>
          <w:rFonts w:asciiTheme="minorHAnsi" w:hAnsiTheme="minorHAnsi"/>
          <w:b w:val="0"/>
          <w:szCs w:val="22"/>
        </w:rPr>
        <w:t>-</w:t>
      </w:r>
      <w:r w:rsidRPr="00F0794C">
        <w:rPr>
          <w:rFonts w:asciiTheme="minorHAnsi" w:hAnsiTheme="minorHAnsi"/>
          <w:b w:val="0"/>
          <w:szCs w:val="22"/>
        </w:rPr>
        <w:t>subsidisation comes at a cost and when we take into account CSO road</w:t>
      </w:r>
      <w:r w:rsidR="00C92E5D" w:rsidRPr="00F0794C">
        <w:rPr>
          <w:rFonts w:asciiTheme="minorHAnsi" w:hAnsiTheme="minorHAnsi"/>
          <w:b w:val="0"/>
          <w:szCs w:val="22"/>
        </w:rPr>
        <w:t>s</w:t>
      </w:r>
      <w:r w:rsidRPr="00F0794C">
        <w:rPr>
          <w:rFonts w:asciiTheme="minorHAnsi" w:hAnsiTheme="minorHAnsi"/>
          <w:b w:val="0"/>
          <w:szCs w:val="22"/>
        </w:rPr>
        <w:t xml:space="preserve"> and other </w:t>
      </w:r>
      <w:r w:rsidR="00591326" w:rsidRPr="00F0794C">
        <w:rPr>
          <w:rFonts w:asciiTheme="minorHAnsi" w:hAnsiTheme="minorHAnsi"/>
          <w:b w:val="0"/>
          <w:szCs w:val="22"/>
        </w:rPr>
        <w:t>utilities’</w:t>
      </w:r>
      <w:r w:rsidR="00C92E5D" w:rsidRPr="00F0794C">
        <w:rPr>
          <w:rFonts w:asciiTheme="minorHAnsi" w:hAnsiTheme="minorHAnsi"/>
          <w:b w:val="0"/>
          <w:szCs w:val="22"/>
        </w:rPr>
        <w:t xml:space="preserve"> </w:t>
      </w:r>
      <w:r w:rsidRPr="00F0794C">
        <w:rPr>
          <w:rFonts w:asciiTheme="minorHAnsi" w:hAnsiTheme="minorHAnsi"/>
          <w:b w:val="0"/>
          <w:szCs w:val="22"/>
        </w:rPr>
        <w:t>approach</w:t>
      </w:r>
      <w:r w:rsidR="00591326" w:rsidRPr="00F0794C">
        <w:rPr>
          <w:rFonts w:asciiTheme="minorHAnsi" w:hAnsiTheme="minorHAnsi"/>
          <w:b w:val="0"/>
          <w:szCs w:val="22"/>
        </w:rPr>
        <w:t>es</w:t>
      </w:r>
      <w:r w:rsidRPr="00F0794C">
        <w:rPr>
          <w:rFonts w:asciiTheme="minorHAnsi" w:hAnsiTheme="minorHAnsi"/>
          <w:b w:val="0"/>
          <w:szCs w:val="22"/>
        </w:rPr>
        <w:t xml:space="preserve"> to providing infrastructure we find a standard price is charged for </w:t>
      </w:r>
      <w:r w:rsidR="00FC5FF8">
        <w:rPr>
          <w:rFonts w:asciiTheme="minorHAnsi" w:hAnsiTheme="minorHAnsi"/>
          <w:b w:val="0"/>
          <w:szCs w:val="22"/>
        </w:rPr>
        <w:t xml:space="preserve">service provision </w:t>
      </w:r>
      <w:r w:rsidR="006F5A59">
        <w:rPr>
          <w:rFonts w:asciiTheme="minorHAnsi" w:hAnsiTheme="minorHAnsi"/>
          <w:b w:val="0"/>
          <w:szCs w:val="22"/>
        </w:rPr>
        <w:t>of</w:t>
      </w:r>
      <w:r w:rsidR="00FC5FF8">
        <w:rPr>
          <w:rFonts w:asciiTheme="minorHAnsi" w:hAnsiTheme="minorHAnsi"/>
          <w:b w:val="0"/>
          <w:szCs w:val="22"/>
        </w:rPr>
        <w:t xml:space="preserve"> a particular package</w:t>
      </w:r>
      <w:r w:rsidRPr="00F0794C">
        <w:rPr>
          <w:rFonts w:asciiTheme="minorHAnsi" w:hAnsiTheme="minorHAnsi"/>
          <w:b w:val="0"/>
          <w:szCs w:val="22"/>
        </w:rPr>
        <w:t>. There is a strong argument that welfare effects of paying the full cost of provision</w:t>
      </w:r>
      <w:r w:rsidR="00856FFF" w:rsidRPr="00F0794C">
        <w:rPr>
          <w:rFonts w:asciiTheme="minorHAnsi" w:hAnsiTheme="minorHAnsi"/>
          <w:b w:val="0"/>
          <w:szCs w:val="22"/>
        </w:rPr>
        <w:t xml:space="preserve"> should be taken into account. </w:t>
      </w:r>
      <w:r w:rsidRPr="00F0794C">
        <w:rPr>
          <w:rFonts w:asciiTheme="minorHAnsi" w:hAnsiTheme="minorHAnsi"/>
          <w:b w:val="0"/>
          <w:szCs w:val="22"/>
        </w:rPr>
        <w:t>Therefore</w:t>
      </w:r>
      <w:r w:rsidR="00FC5FF8">
        <w:rPr>
          <w:rFonts w:asciiTheme="minorHAnsi" w:hAnsiTheme="minorHAnsi"/>
          <w:b w:val="0"/>
          <w:szCs w:val="22"/>
        </w:rPr>
        <w:t>,</w:t>
      </w:r>
      <w:r w:rsidRPr="00F0794C">
        <w:rPr>
          <w:rFonts w:asciiTheme="minorHAnsi" w:hAnsiTheme="minorHAnsi"/>
          <w:b w:val="0"/>
          <w:szCs w:val="22"/>
        </w:rPr>
        <w:t xml:space="preserve"> the </w:t>
      </w:r>
      <w:r w:rsidR="002D74B8" w:rsidRPr="00F0794C">
        <w:rPr>
          <w:rFonts w:asciiTheme="minorHAnsi" w:hAnsiTheme="minorHAnsi"/>
          <w:b w:val="0"/>
          <w:szCs w:val="22"/>
        </w:rPr>
        <w:t>quest</w:t>
      </w:r>
      <w:r w:rsidRPr="00F0794C">
        <w:rPr>
          <w:rFonts w:asciiTheme="minorHAnsi" w:hAnsiTheme="minorHAnsi"/>
          <w:b w:val="0"/>
          <w:szCs w:val="22"/>
        </w:rPr>
        <w:t xml:space="preserve"> of removing cross-subsidies might work in non-CSO utilities however in this env</w:t>
      </w:r>
      <w:r w:rsidR="00856FFF" w:rsidRPr="00F0794C">
        <w:rPr>
          <w:rFonts w:asciiTheme="minorHAnsi" w:hAnsiTheme="minorHAnsi"/>
          <w:b w:val="0"/>
          <w:szCs w:val="22"/>
        </w:rPr>
        <w:t>ironment it will not achieve their</w:t>
      </w:r>
      <w:r w:rsidRPr="00F0794C">
        <w:rPr>
          <w:rFonts w:asciiTheme="minorHAnsi" w:hAnsiTheme="minorHAnsi"/>
          <w:b w:val="0"/>
          <w:szCs w:val="22"/>
        </w:rPr>
        <w:t xml:space="preserve"> removal and should be reconsidered in this approach. </w:t>
      </w:r>
    </w:p>
    <w:p w:rsidR="00247299" w:rsidRPr="00F0794C" w:rsidRDefault="00247299" w:rsidP="004B5863">
      <w:pPr>
        <w:pStyle w:val="BodyText2"/>
        <w:jc w:val="both"/>
        <w:rPr>
          <w:rFonts w:asciiTheme="minorHAnsi" w:hAnsiTheme="minorHAnsi"/>
          <w:b w:val="0"/>
          <w:szCs w:val="22"/>
        </w:rPr>
      </w:pPr>
    </w:p>
    <w:p w:rsidR="00247299" w:rsidRPr="00F0794C" w:rsidRDefault="00856FFF" w:rsidP="004B5863">
      <w:pPr>
        <w:pStyle w:val="BodyText2"/>
        <w:jc w:val="both"/>
        <w:rPr>
          <w:rFonts w:asciiTheme="minorHAnsi" w:hAnsiTheme="minorHAnsi"/>
          <w:szCs w:val="22"/>
        </w:rPr>
      </w:pPr>
      <w:r w:rsidRPr="00F0794C">
        <w:rPr>
          <w:rFonts w:asciiTheme="minorHAnsi" w:hAnsiTheme="minorHAnsi"/>
          <w:szCs w:val="22"/>
        </w:rPr>
        <w:t>Recommendation</w:t>
      </w:r>
      <w:r w:rsidR="00247299" w:rsidRPr="00F0794C">
        <w:rPr>
          <w:rFonts w:asciiTheme="minorHAnsi" w:hAnsiTheme="minorHAnsi"/>
          <w:szCs w:val="22"/>
        </w:rPr>
        <w:t xml:space="preserve"> 7 </w:t>
      </w:r>
    </w:p>
    <w:p w:rsidR="00247299" w:rsidRPr="00F0794C" w:rsidRDefault="00247299" w:rsidP="004B5863">
      <w:pPr>
        <w:pStyle w:val="BodyText2"/>
        <w:jc w:val="both"/>
        <w:rPr>
          <w:rFonts w:asciiTheme="minorHAnsi" w:hAnsiTheme="minorHAnsi"/>
          <w:b w:val="0"/>
          <w:szCs w:val="22"/>
        </w:rPr>
      </w:pPr>
    </w:p>
    <w:p w:rsidR="005C52F3" w:rsidRPr="00F0794C" w:rsidRDefault="005C52F3" w:rsidP="005C52F3">
      <w:pPr>
        <w:jc w:val="both"/>
        <w:rPr>
          <w:rFonts w:asciiTheme="minorHAnsi" w:hAnsiTheme="minorHAnsi"/>
          <w:bCs/>
        </w:rPr>
      </w:pPr>
      <w:r w:rsidRPr="00F0794C">
        <w:rPr>
          <w:rFonts w:asciiTheme="minorHAnsi" w:hAnsiTheme="minorHAnsi"/>
          <w:bCs/>
        </w:rPr>
        <w:t>The Commission should ensure that state and local government entities are made aware th</w:t>
      </w:r>
      <w:r w:rsidR="006F5A59">
        <w:rPr>
          <w:rFonts w:asciiTheme="minorHAnsi" w:hAnsiTheme="minorHAnsi"/>
          <w:bCs/>
        </w:rPr>
        <w:t>at community service o</w:t>
      </w:r>
      <w:r>
        <w:rPr>
          <w:rFonts w:asciiTheme="minorHAnsi" w:hAnsiTheme="minorHAnsi"/>
          <w:bCs/>
        </w:rPr>
        <w:t>bligation funding for roads</w:t>
      </w:r>
      <w:r w:rsidRPr="00F0794C">
        <w:rPr>
          <w:rFonts w:asciiTheme="minorHAnsi" w:hAnsiTheme="minorHAnsi"/>
          <w:bCs/>
        </w:rPr>
        <w:t xml:space="preserve"> must continue to exist</w:t>
      </w:r>
      <w:r>
        <w:rPr>
          <w:rFonts w:asciiTheme="minorHAnsi" w:hAnsiTheme="minorHAnsi"/>
          <w:bCs/>
        </w:rPr>
        <w:t>,</w:t>
      </w:r>
      <w:r w:rsidRPr="00F0794C">
        <w:rPr>
          <w:rFonts w:asciiTheme="minorHAnsi" w:hAnsiTheme="minorHAnsi"/>
          <w:bCs/>
        </w:rPr>
        <w:t xml:space="preserve"> as many roads will never be fully funded by users.</w:t>
      </w:r>
    </w:p>
    <w:p w:rsidR="00247299" w:rsidRPr="00F0794C" w:rsidRDefault="00247299" w:rsidP="004B5863">
      <w:pPr>
        <w:pStyle w:val="BodyText2"/>
        <w:jc w:val="both"/>
        <w:rPr>
          <w:rFonts w:asciiTheme="minorHAnsi" w:hAnsiTheme="minorHAnsi"/>
          <w:b w:val="0"/>
          <w:szCs w:val="22"/>
        </w:rPr>
      </w:pPr>
    </w:p>
    <w:p w:rsidR="00972D62" w:rsidRPr="00F0794C" w:rsidRDefault="00972D62" w:rsidP="004B5863">
      <w:pPr>
        <w:pStyle w:val="Heading1"/>
        <w:numPr>
          <w:ilvl w:val="1"/>
          <w:numId w:val="16"/>
        </w:numPr>
        <w:jc w:val="both"/>
        <w:rPr>
          <w:rFonts w:asciiTheme="minorHAnsi" w:hAnsiTheme="minorHAnsi"/>
          <w:szCs w:val="22"/>
        </w:rPr>
      </w:pPr>
      <w:r w:rsidRPr="00F0794C">
        <w:rPr>
          <w:rFonts w:asciiTheme="minorHAnsi" w:hAnsiTheme="minorHAnsi"/>
          <w:szCs w:val="22"/>
        </w:rPr>
        <w:t xml:space="preserve"> </w:t>
      </w:r>
      <w:bookmarkStart w:id="19" w:name="_Toc384105360"/>
      <w:r w:rsidRPr="00F0794C">
        <w:rPr>
          <w:rFonts w:asciiTheme="minorHAnsi" w:hAnsiTheme="minorHAnsi"/>
          <w:szCs w:val="22"/>
        </w:rPr>
        <w:t>Road funds</w:t>
      </w:r>
      <w:bookmarkEnd w:id="19"/>
    </w:p>
    <w:p w:rsidR="00972D62" w:rsidRPr="00F0794C" w:rsidRDefault="00972D62" w:rsidP="004B5863">
      <w:pPr>
        <w:pStyle w:val="BodyText2"/>
        <w:jc w:val="both"/>
        <w:rPr>
          <w:rFonts w:asciiTheme="minorHAnsi" w:hAnsiTheme="minorHAnsi"/>
          <w:b w:val="0"/>
          <w:szCs w:val="22"/>
        </w:rPr>
      </w:pPr>
    </w:p>
    <w:p w:rsidR="00972D62" w:rsidRPr="00F0794C" w:rsidRDefault="00972D62" w:rsidP="004B5863">
      <w:pPr>
        <w:pStyle w:val="BodyText2"/>
        <w:jc w:val="both"/>
        <w:rPr>
          <w:rFonts w:asciiTheme="minorHAnsi" w:hAnsiTheme="minorHAnsi"/>
          <w:b w:val="0"/>
          <w:szCs w:val="22"/>
        </w:rPr>
      </w:pPr>
      <w:r w:rsidRPr="00F0794C">
        <w:rPr>
          <w:rFonts w:asciiTheme="minorHAnsi" w:hAnsiTheme="minorHAnsi"/>
          <w:b w:val="0"/>
          <w:szCs w:val="22"/>
        </w:rPr>
        <w:t xml:space="preserve">The </w:t>
      </w:r>
      <w:r w:rsidR="00A340B1" w:rsidRPr="00F0794C">
        <w:rPr>
          <w:rFonts w:asciiTheme="minorHAnsi" w:hAnsiTheme="minorHAnsi"/>
          <w:b w:val="0"/>
          <w:szCs w:val="22"/>
        </w:rPr>
        <w:t xml:space="preserve">Commission </w:t>
      </w:r>
      <w:r w:rsidR="00856FFF" w:rsidRPr="00F0794C">
        <w:rPr>
          <w:rFonts w:asciiTheme="minorHAnsi" w:hAnsiTheme="minorHAnsi"/>
          <w:b w:val="0"/>
          <w:szCs w:val="22"/>
        </w:rPr>
        <w:t>provides detail</w:t>
      </w:r>
      <w:r w:rsidRPr="00F0794C">
        <w:rPr>
          <w:rFonts w:asciiTheme="minorHAnsi" w:hAnsiTheme="minorHAnsi"/>
          <w:b w:val="0"/>
          <w:szCs w:val="22"/>
        </w:rPr>
        <w:t xml:space="preserve"> on r</w:t>
      </w:r>
      <w:r w:rsidR="00633E2C" w:rsidRPr="00F0794C">
        <w:rPr>
          <w:rFonts w:asciiTheme="minorHAnsi" w:hAnsiTheme="minorHAnsi"/>
          <w:b w:val="0"/>
          <w:szCs w:val="22"/>
        </w:rPr>
        <w:t xml:space="preserve">oad funds and potential </w:t>
      </w:r>
      <w:r w:rsidR="00263385" w:rsidRPr="00F0794C">
        <w:rPr>
          <w:rFonts w:asciiTheme="minorHAnsi" w:hAnsiTheme="minorHAnsi"/>
          <w:b w:val="0"/>
          <w:szCs w:val="22"/>
        </w:rPr>
        <w:t>arrangements</w:t>
      </w:r>
      <w:r w:rsidR="00633E2C" w:rsidRPr="00F0794C">
        <w:rPr>
          <w:rFonts w:asciiTheme="minorHAnsi" w:hAnsiTheme="minorHAnsi"/>
          <w:b w:val="0"/>
          <w:szCs w:val="22"/>
        </w:rPr>
        <w:t>, w</w:t>
      </w:r>
      <w:r w:rsidR="00856FFF" w:rsidRPr="00F0794C">
        <w:rPr>
          <w:rFonts w:asciiTheme="minorHAnsi" w:hAnsiTheme="minorHAnsi"/>
          <w:b w:val="0"/>
          <w:szCs w:val="22"/>
        </w:rPr>
        <w:t>ith full hypothecation (</w:t>
      </w:r>
      <w:r w:rsidRPr="00F0794C">
        <w:rPr>
          <w:rFonts w:asciiTheme="minorHAnsi" w:hAnsiTheme="minorHAnsi"/>
          <w:b w:val="0"/>
          <w:szCs w:val="22"/>
        </w:rPr>
        <w:t xml:space="preserve">which would have to </w:t>
      </w:r>
      <w:r w:rsidR="00633E2C" w:rsidRPr="00F0794C">
        <w:rPr>
          <w:rFonts w:asciiTheme="minorHAnsi" w:hAnsiTheme="minorHAnsi"/>
          <w:b w:val="0"/>
          <w:szCs w:val="22"/>
        </w:rPr>
        <w:t>occur with</w:t>
      </w:r>
      <w:r w:rsidRPr="00F0794C">
        <w:rPr>
          <w:rFonts w:asciiTheme="minorHAnsi" w:hAnsiTheme="minorHAnsi"/>
          <w:b w:val="0"/>
          <w:szCs w:val="22"/>
        </w:rPr>
        <w:t xml:space="preserve"> direct user charges</w:t>
      </w:r>
      <w:r w:rsidR="00856FFF" w:rsidRPr="00F0794C">
        <w:rPr>
          <w:rFonts w:asciiTheme="minorHAnsi" w:hAnsiTheme="minorHAnsi"/>
          <w:b w:val="0"/>
          <w:szCs w:val="22"/>
        </w:rPr>
        <w:t>)</w:t>
      </w:r>
      <w:r w:rsidRPr="00F0794C">
        <w:rPr>
          <w:rFonts w:asciiTheme="minorHAnsi" w:hAnsiTheme="minorHAnsi"/>
          <w:b w:val="0"/>
          <w:szCs w:val="22"/>
        </w:rPr>
        <w:t xml:space="preserve">. </w:t>
      </w:r>
    </w:p>
    <w:p w:rsidR="00972D62" w:rsidRPr="00F0794C" w:rsidRDefault="00972D62" w:rsidP="004B5863">
      <w:pPr>
        <w:pStyle w:val="BodyText2"/>
        <w:jc w:val="both"/>
        <w:rPr>
          <w:rFonts w:asciiTheme="minorHAnsi" w:hAnsiTheme="minorHAnsi"/>
          <w:b w:val="0"/>
          <w:szCs w:val="22"/>
        </w:rPr>
      </w:pPr>
    </w:p>
    <w:p w:rsidR="006F25E7" w:rsidRDefault="006F25E7" w:rsidP="004B5863">
      <w:pPr>
        <w:pStyle w:val="BodyText2"/>
        <w:jc w:val="both"/>
        <w:rPr>
          <w:rFonts w:asciiTheme="minorHAnsi" w:hAnsiTheme="minorHAnsi"/>
          <w:b w:val="0"/>
          <w:szCs w:val="22"/>
        </w:rPr>
      </w:pPr>
    </w:p>
    <w:p w:rsidR="006F25E7" w:rsidRDefault="006F25E7" w:rsidP="004B5863">
      <w:pPr>
        <w:pStyle w:val="BodyText2"/>
        <w:jc w:val="both"/>
        <w:rPr>
          <w:rFonts w:asciiTheme="minorHAnsi" w:hAnsiTheme="minorHAnsi"/>
          <w:b w:val="0"/>
          <w:szCs w:val="22"/>
        </w:rPr>
      </w:pPr>
    </w:p>
    <w:p w:rsidR="006F25E7" w:rsidRDefault="006F25E7" w:rsidP="004B5863">
      <w:pPr>
        <w:pStyle w:val="BodyText2"/>
        <w:jc w:val="both"/>
        <w:rPr>
          <w:rFonts w:asciiTheme="minorHAnsi" w:hAnsiTheme="minorHAnsi"/>
          <w:b w:val="0"/>
          <w:szCs w:val="22"/>
        </w:rPr>
      </w:pPr>
    </w:p>
    <w:p w:rsidR="006F25E7" w:rsidRDefault="006F25E7" w:rsidP="004B5863">
      <w:pPr>
        <w:pStyle w:val="BodyText2"/>
        <w:jc w:val="both"/>
        <w:rPr>
          <w:rFonts w:asciiTheme="minorHAnsi" w:hAnsiTheme="minorHAnsi"/>
          <w:b w:val="0"/>
          <w:szCs w:val="22"/>
        </w:rPr>
      </w:pPr>
    </w:p>
    <w:p w:rsidR="006F25E7" w:rsidRDefault="006F25E7" w:rsidP="004B5863">
      <w:pPr>
        <w:pStyle w:val="BodyText2"/>
        <w:jc w:val="both"/>
        <w:rPr>
          <w:rFonts w:asciiTheme="minorHAnsi" w:hAnsiTheme="minorHAnsi"/>
          <w:b w:val="0"/>
          <w:szCs w:val="22"/>
        </w:rPr>
      </w:pPr>
    </w:p>
    <w:p w:rsidR="0017091B" w:rsidRPr="005925A4" w:rsidRDefault="00972D62" w:rsidP="0017091B">
      <w:pPr>
        <w:pStyle w:val="BodyText2"/>
        <w:jc w:val="both"/>
        <w:rPr>
          <w:rFonts w:asciiTheme="minorHAnsi" w:hAnsiTheme="minorHAnsi"/>
          <w:b w:val="0"/>
        </w:rPr>
      </w:pPr>
      <w:r w:rsidRPr="005925A4">
        <w:rPr>
          <w:rFonts w:asciiTheme="minorHAnsi" w:hAnsiTheme="minorHAnsi"/>
          <w:b w:val="0"/>
          <w:szCs w:val="22"/>
        </w:rPr>
        <w:t xml:space="preserve">The ATA has concerns about removing political oversight and prerogative </w:t>
      </w:r>
      <w:r w:rsidR="001C4BA2" w:rsidRPr="005925A4">
        <w:rPr>
          <w:rFonts w:asciiTheme="minorHAnsi" w:hAnsiTheme="minorHAnsi"/>
          <w:b w:val="0"/>
          <w:szCs w:val="22"/>
        </w:rPr>
        <w:t>through</w:t>
      </w:r>
      <w:r w:rsidRPr="005925A4">
        <w:rPr>
          <w:rFonts w:asciiTheme="minorHAnsi" w:hAnsiTheme="minorHAnsi"/>
          <w:b w:val="0"/>
          <w:szCs w:val="22"/>
        </w:rPr>
        <w:t xml:space="preserve"> a road fund ove</w:t>
      </w:r>
      <w:r w:rsidR="00856FFF" w:rsidRPr="005925A4">
        <w:rPr>
          <w:rFonts w:asciiTheme="minorHAnsi" w:hAnsiTheme="minorHAnsi"/>
          <w:b w:val="0"/>
          <w:szCs w:val="22"/>
        </w:rPr>
        <w:t>rseen by non-elected-</w:t>
      </w:r>
      <w:r w:rsidRPr="005925A4">
        <w:rPr>
          <w:rFonts w:asciiTheme="minorHAnsi" w:hAnsiTheme="minorHAnsi"/>
          <w:b w:val="0"/>
          <w:szCs w:val="22"/>
        </w:rPr>
        <w:t>officials.</w:t>
      </w:r>
      <w:r w:rsidR="00856FFF" w:rsidRPr="005925A4">
        <w:rPr>
          <w:rFonts w:asciiTheme="minorHAnsi" w:hAnsiTheme="minorHAnsi"/>
          <w:b w:val="0"/>
          <w:szCs w:val="22"/>
        </w:rPr>
        <w:t xml:space="preserve"> </w:t>
      </w:r>
      <w:r w:rsidR="0017091B" w:rsidRPr="005925A4">
        <w:rPr>
          <w:rFonts w:asciiTheme="minorHAnsi" w:hAnsiTheme="minorHAnsi"/>
          <w:b w:val="0"/>
        </w:rPr>
        <w:t>Elected representatives often have visionary transport portfolios. The portfolio of the current Federal Transport Minister, which incorporates infrastructure policy, shows that some want to encourage productivity and growth in the transport sector. The issue industry comes up against is ministers are sometimes poorly advised by their bureaucrats and their decisions or policies are not appropriately carried out. Ministers are accountable to the public and have incentive to deliver change in response to community input. They are also entitled to support the necessary processes and reporting that allows them to make informed decisions.</w:t>
      </w:r>
    </w:p>
    <w:p w:rsidR="0017091B" w:rsidRPr="0017091B" w:rsidRDefault="0017091B" w:rsidP="0017091B">
      <w:pPr>
        <w:pStyle w:val="BodyText2"/>
        <w:jc w:val="both"/>
        <w:rPr>
          <w:rFonts w:asciiTheme="minorHAnsi" w:hAnsiTheme="minorHAnsi"/>
          <w:b w:val="0"/>
          <w:color w:val="FF0000"/>
        </w:rPr>
      </w:pPr>
    </w:p>
    <w:p w:rsidR="0017091B" w:rsidRPr="005925A4" w:rsidRDefault="0017091B" w:rsidP="0017091B">
      <w:pPr>
        <w:pStyle w:val="BodyText2"/>
        <w:jc w:val="both"/>
        <w:rPr>
          <w:rFonts w:asciiTheme="minorHAnsi" w:hAnsiTheme="minorHAnsi"/>
          <w:b w:val="0"/>
        </w:rPr>
      </w:pPr>
      <w:r w:rsidRPr="005925A4">
        <w:rPr>
          <w:rFonts w:asciiTheme="minorHAnsi" w:hAnsiTheme="minorHAnsi"/>
          <w:b w:val="0"/>
        </w:rPr>
        <w:t>Ministerial oversight is not therefore a power that needs to be rolled back; instead both bureaucrats and party advisors need to be accountable for their input and actions. T</w:t>
      </w:r>
      <w:r w:rsidRPr="005925A4">
        <w:rPr>
          <w:rFonts w:asciiTheme="minorHAnsi" w:hAnsiTheme="minorHAnsi"/>
          <w:b w:val="0"/>
          <w:szCs w:val="22"/>
        </w:rPr>
        <w:t>he ATA is still unconvinced that allowing unelected bureaucrats the powers to make (ministerial) decisions over funding should happen, and believe there needs to be further consideration about the pros and cons of a road fund.</w:t>
      </w:r>
    </w:p>
    <w:p w:rsidR="00633E2C" w:rsidRPr="00F0794C" w:rsidRDefault="00633E2C" w:rsidP="004B5863">
      <w:pPr>
        <w:pStyle w:val="BodyText2"/>
        <w:jc w:val="both"/>
        <w:rPr>
          <w:rFonts w:asciiTheme="minorHAnsi" w:hAnsiTheme="minorHAnsi"/>
          <w:b w:val="0"/>
          <w:szCs w:val="22"/>
        </w:rPr>
      </w:pPr>
    </w:p>
    <w:p w:rsidR="00247299" w:rsidRPr="00F0794C" w:rsidRDefault="00247299" w:rsidP="004B5863">
      <w:pPr>
        <w:pStyle w:val="BodyText2"/>
        <w:jc w:val="both"/>
        <w:rPr>
          <w:rFonts w:asciiTheme="minorHAnsi" w:hAnsiTheme="minorHAnsi"/>
          <w:szCs w:val="22"/>
        </w:rPr>
      </w:pPr>
      <w:r w:rsidRPr="00F0794C">
        <w:rPr>
          <w:rFonts w:asciiTheme="minorHAnsi" w:hAnsiTheme="minorHAnsi"/>
          <w:szCs w:val="22"/>
        </w:rPr>
        <w:t>Recommendation 8</w:t>
      </w:r>
    </w:p>
    <w:p w:rsidR="002B0A61" w:rsidRPr="00F0794C" w:rsidRDefault="002B0A61" w:rsidP="004B5863">
      <w:pPr>
        <w:pStyle w:val="BodyText2"/>
        <w:jc w:val="both"/>
        <w:rPr>
          <w:rFonts w:asciiTheme="minorHAnsi" w:hAnsiTheme="minorHAnsi"/>
          <w:b w:val="0"/>
          <w:szCs w:val="22"/>
        </w:rPr>
      </w:pPr>
    </w:p>
    <w:p w:rsidR="002B0A61" w:rsidRPr="00F0794C" w:rsidRDefault="002B0A61" w:rsidP="004B5863">
      <w:pPr>
        <w:pStyle w:val="BodyText2"/>
        <w:jc w:val="both"/>
        <w:rPr>
          <w:rFonts w:asciiTheme="minorHAnsi" w:hAnsiTheme="minorHAnsi"/>
          <w:b w:val="0"/>
          <w:szCs w:val="22"/>
        </w:rPr>
      </w:pPr>
      <w:r w:rsidRPr="00F0794C">
        <w:rPr>
          <w:rFonts w:asciiTheme="minorHAnsi" w:hAnsiTheme="minorHAnsi"/>
          <w:b w:val="0"/>
          <w:szCs w:val="22"/>
        </w:rPr>
        <w:t>The Commission should further examine road funds given concerns over giving unelected officials ministerial</w:t>
      </w:r>
      <w:r w:rsidR="00856FFF" w:rsidRPr="00F0794C">
        <w:rPr>
          <w:rFonts w:asciiTheme="minorHAnsi" w:hAnsiTheme="minorHAnsi"/>
          <w:b w:val="0"/>
          <w:szCs w:val="22"/>
        </w:rPr>
        <w:t>-like</w:t>
      </w:r>
      <w:r w:rsidRPr="00F0794C">
        <w:rPr>
          <w:rFonts w:asciiTheme="minorHAnsi" w:hAnsiTheme="minorHAnsi"/>
          <w:b w:val="0"/>
          <w:szCs w:val="22"/>
        </w:rPr>
        <w:t xml:space="preserve"> funding powers. </w:t>
      </w:r>
    </w:p>
    <w:p w:rsidR="00247299" w:rsidRPr="00F0794C" w:rsidRDefault="00247299" w:rsidP="004B5863">
      <w:pPr>
        <w:pStyle w:val="BodyText2"/>
        <w:jc w:val="both"/>
        <w:rPr>
          <w:rFonts w:asciiTheme="minorHAnsi" w:hAnsiTheme="minorHAnsi"/>
          <w:b w:val="0"/>
          <w:szCs w:val="22"/>
        </w:rPr>
      </w:pPr>
    </w:p>
    <w:p w:rsidR="0022487F" w:rsidRPr="00F0794C" w:rsidRDefault="0022487F" w:rsidP="004B5863">
      <w:pPr>
        <w:pStyle w:val="Heading1"/>
        <w:numPr>
          <w:ilvl w:val="1"/>
          <w:numId w:val="16"/>
        </w:numPr>
        <w:jc w:val="both"/>
        <w:rPr>
          <w:rFonts w:asciiTheme="minorHAnsi" w:hAnsiTheme="minorHAnsi"/>
          <w:szCs w:val="22"/>
        </w:rPr>
      </w:pPr>
      <w:r w:rsidRPr="00F0794C">
        <w:rPr>
          <w:rFonts w:asciiTheme="minorHAnsi" w:hAnsiTheme="minorHAnsi"/>
          <w:szCs w:val="22"/>
        </w:rPr>
        <w:t xml:space="preserve"> </w:t>
      </w:r>
      <w:bookmarkStart w:id="20" w:name="_Toc384105361"/>
      <w:r w:rsidRPr="00F0794C">
        <w:rPr>
          <w:rFonts w:asciiTheme="minorHAnsi" w:hAnsiTheme="minorHAnsi"/>
          <w:szCs w:val="22"/>
        </w:rPr>
        <w:t>A regulator</w:t>
      </w:r>
      <w:bookmarkEnd w:id="20"/>
    </w:p>
    <w:p w:rsidR="0022487F" w:rsidRPr="00F0794C" w:rsidRDefault="0022487F" w:rsidP="004B5863">
      <w:pPr>
        <w:pStyle w:val="BodyText2"/>
        <w:jc w:val="both"/>
        <w:rPr>
          <w:rFonts w:asciiTheme="minorHAnsi" w:hAnsiTheme="minorHAnsi"/>
          <w:b w:val="0"/>
          <w:szCs w:val="22"/>
        </w:rPr>
      </w:pPr>
    </w:p>
    <w:p w:rsidR="0022487F" w:rsidRPr="00F0794C" w:rsidRDefault="0022487F" w:rsidP="004B5863">
      <w:pPr>
        <w:pStyle w:val="BodyText2"/>
        <w:jc w:val="both"/>
        <w:rPr>
          <w:rFonts w:asciiTheme="minorHAnsi" w:hAnsiTheme="minorHAnsi"/>
          <w:b w:val="0"/>
          <w:szCs w:val="22"/>
        </w:rPr>
      </w:pPr>
      <w:r w:rsidRPr="00F0794C">
        <w:rPr>
          <w:rFonts w:asciiTheme="minorHAnsi" w:hAnsiTheme="minorHAnsi"/>
          <w:b w:val="0"/>
          <w:szCs w:val="22"/>
        </w:rPr>
        <w:t>Only this year states</w:t>
      </w:r>
      <w:r w:rsidR="001D1F12" w:rsidRPr="00F0794C">
        <w:rPr>
          <w:rFonts w:asciiTheme="minorHAnsi" w:hAnsiTheme="minorHAnsi"/>
          <w:b w:val="0"/>
          <w:szCs w:val="22"/>
        </w:rPr>
        <w:t xml:space="preserve"> have</w:t>
      </w:r>
      <w:r w:rsidRPr="00F0794C">
        <w:rPr>
          <w:rFonts w:asciiTheme="minorHAnsi" w:hAnsiTheme="minorHAnsi"/>
          <w:b w:val="0"/>
          <w:szCs w:val="22"/>
        </w:rPr>
        <w:t xml:space="preserve"> (informally) agreed to undergo a one o</w:t>
      </w:r>
      <w:r w:rsidR="00633E2C" w:rsidRPr="00F0794C">
        <w:rPr>
          <w:rFonts w:asciiTheme="minorHAnsi" w:hAnsiTheme="minorHAnsi"/>
          <w:b w:val="0"/>
          <w:szCs w:val="22"/>
        </w:rPr>
        <w:t>f</w:t>
      </w:r>
      <w:r w:rsidRPr="00F0794C">
        <w:rPr>
          <w:rFonts w:asciiTheme="minorHAnsi" w:hAnsiTheme="minorHAnsi"/>
          <w:b w:val="0"/>
          <w:szCs w:val="22"/>
        </w:rPr>
        <w:t xml:space="preserve">f audit process of inputs into the heavy vehicle expenditure </w:t>
      </w:r>
      <w:r w:rsidR="00A340B1" w:rsidRPr="00F0794C">
        <w:rPr>
          <w:rFonts w:asciiTheme="minorHAnsi" w:hAnsiTheme="minorHAnsi"/>
          <w:b w:val="0"/>
          <w:szCs w:val="22"/>
        </w:rPr>
        <w:t xml:space="preserve">template, which is used in </w:t>
      </w:r>
      <w:r w:rsidRPr="00F0794C">
        <w:rPr>
          <w:rFonts w:asciiTheme="minorHAnsi" w:hAnsiTheme="minorHAnsi"/>
          <w:b w:val="0"/>
          <w:szCs w:val="22"/>
        </w:rPr>
        <w:t xml:space="preserve">the heavy vehicle charges model. </w:t>
      </w:r>
    </w:p>
    <w:p w:rsidR="0022487F" w:rsidRPr="00F0794C" w:rsidRDefault="0022487F" w:rsidP="004B5863">
      <w:pPr>
        <w:pStyle w:val="BodyText2"/>
        <w:jc w:val="both"/>
        <w:rPr>
          <w:rFonts w:asciiTheme="minorHAnsi" w:hAnsiTheme="minorHAnsi"/>
          <w:b w:val="0"/>
          <w:szCs w:val="22"/>
        </w:rPr>
      </w:pPr>
    </w:p>
    <w:p w:rsidR="0022487F" w:rsidRPr="00F0794C" w:rsidRDefault="0022487F" w:rsidP="004B5863">
      <w:pPr>
        <w:pStyle w:val="BodyText2"/>
        <w:jc w:val="both"/>
        <w:rPr>
          <w:rFonts w:asciiTheme="minorHAnsi" w:hAnsiTheme="minorHAnsi"/>
          <w:b w:val="0"/>
          <w:szCs w:val="22"/>
        </w:rPr>
      </w:pPr>
      <w:r w:rsidRPr="00F0794C">
        <w:rPr>
          <w:rFonts w:asciiTheme="minorHAnsi" w:hAnsiTheme="minorHAnsi"/>
          <w:b w:val="0"/>
          <w:szCs w:val="22"/>
        </w:rPr>
        <w:t>There is much that can be done</w:t>
      </w:r>
      <w:r w:rsidR="006F5A59">
        <w:rPr>
          <w:rFonts w:asciiTheme="minorHAnsi" w:hAnsiTheme="minorHAnsi"/>
          <w:b w:val="0"/>
          <w:szCs w:val="22"/>
        </w:rPr>
        <w:t xml:space="preserve"> on the supply side to improve road provision outcomes</w:t>
      </w:r>
      <w:r w:rsidR="006F5A59" w:rsidRPr="00F0794C">
        <w:rPr>
          <w:rFonts w:asciiTheme="minorHAnsi" w:hAnsiTheme="minorHAnsi"/>
          <w:b w:val="0"/>
          <w:szCs w:val="22"/>
        </w:rPr>
        <w:t>;</w:t>
      </w:r>
      <w:r w:rsidR="006F5A59">
        <w:rPr>
          <w:rFonts w:asciiTheme="minorHAnsi" w:hAnsiTheme="minorHAnsi"/>
          <w:b w:val="0"/>
          <w:szCs w:val="22"/>
        </w:rPr>
        <w:t xml:space="preserve"> however implementing a</w:t>
      </w:r>
      <w:r w:rsidRPr="00F0794C">
        <w:rPr>
          <w:rFonts w:asciiTheme="minorHAnsi" w:hAnsiTheme="minorHAnsi"/>
          <w:b w:val="0"/>
          <w:szCs w:val="22"/>
        </w:rPr>
        <w:t xml:space="preserve"> nationa</w:t>
      </w:r>
      <w:r w:rsidR="00F2228A">
        <w:rPr>
          <w:rFonts w:asciiTheme="minorHAnsi" w:hAnsiTheme="minorHAnsi"/>
          <w:b w:val="0"/>
          <w:szCs w:val="22"/>
        </w:rPr>
        <w:t>l regulator does not guarantee an automatic improvement in provision.</w:t>
      </w:r>
      <w:r w:rsidRPr="00F0794C">
        <w:rPr>
          <w:rFonts w:asciiTheme="minorHAnsi" w:hAnsiTheme="minorHAnsi"/>
          <w:b w:val="0"/>
          <w:szCs w:val="22"/>
        </w:rPr>
        <w:t xml:space="preserve"> </w:t>
      </w:r>
      <w:r w:rsidR="00633E2C" w:rsidRPr="00F0794C">
        <w:rPr>
          <w:rFonts w:asciiTheme="minorHAnsi" w:hAnsiTheme="minorHAnsi"/>
          <w:b w:val="0"/>
          <w:szCs w:val="22"/>
        </w:rPr>
        <w:t>The Commi</w:t>
      </w:r>
      <w:r w:rsidR="00A340B1" w:rsidRPr="00F0794C">
        <w:rPr>
          <w:rFonts w:asciiTheme="minorHAnsi" w:hAnsiTheme="minorHAnsi"/>
          <w:b w:val="0"/>
          <w:szCs w:val="22"/>
        </w:rPr>
        <w:t>s</w:t>
      </w:r>
      <w:r w:rsidR="00633E2C" w:rsidRPr="00F0794C">
        <w:rPr>
          <w:rFonts w:asciiTheme="minorHAnsi" w:hAnsiTheme="minorHAnsi"/>
          <w:b w:val="0"/>
          <w:szCs w:val="22"/>
        </w:rPr>
        <w:t>sion</w:t>
      </w:r>
      <w:r w:rsidRPr="00F0794C">
        <w:rPr>
          <w:rFonts w:asciiTheme="minorHAnsi" w:hAnsiTheme="minorHAnsi"/>
          <w:b w:val="0"/>
          <w:szCs w:val="22"/>
        </w:rPr>
        <w:t xml:space="preserve"> state that concerns about market power can lead to charges being determined or monitored by a regulator.</w:t>
      </w:r>
      <w:r w:rsidRPr="00F0794C">
        <w:rPr>
          <w:rFonts w:asciiTheme="minorHAnsi" w:eastAsia="Calibri" w:hAnsiTheme="minorHAnsi" w:cs="Times New Roman"/>
          <w:bCs w:val="0"/>
          <w:vertAlign w:val="superscript"/>
        </w:rPr>
        <w:t xml:space="preserve"> </w:t>
      </w:r>
      <w:r w:rsidRPr="00F0794C">
        <w:rPr>
          <w:rFonts w:asciiTheme="minorHAnsi" w:hAnsiTheme="minorHAnsi"/>
          <w:b w:val="0"/>
          <w:szCs w:val="22"/>
          <w:vertAlign w:val="superscript"/>
        </w:rPr>
        <w:footnoteReference w:id="28"/>
      </w:r>
      <w:r w:rsidR="00633E2C" w:rsidRPr="00F0794C">
        <w:rPr>
          <w:rFonts w:asciiTheme="minorHAnsi" w:hAnsiTheme="minorHAnsi"/>
          <w:b w:val="0"/>
          <w:szCs w:val="22"/>
        </w:rPr>
        <w:t xml:space="preserve"> </w:t>
      </w:r>
      <w:r w:rsidRPr="00F0794C">
        <w:rPr>
          <w:rFonts w:asciiTheme="minorHAnsi" w:hAnsiTheme="minorHAnsi"/>
          <w:b w:val="0"/>
          <w:szCs w:val="22"/>
        </w:rPr>
        <w:t xml:space="preserve">However, the issue isn’t market power it is making the right decisions and making sure all </w:t>
      </w:r>
      <w:r w:rsidR="00F2228A">
        <w:rPr>
          <w:rFonts w:asciiTheme="minorHAnsi" w:hAnsiTheme="minorHAnsi"/>
          <w:b w:val="0"/>
          <w:szCs w:val="22"/>
        </w:rPr>
        <w:t>maintenance programs exist</w:t>
      </w:r>
      <w:r w:rsidR="00633E2C" w:rsidRPr="00F0794C">
        <w:rPr>
          <w:rFonts w:asciiTheme="minorHAnsi" w:hAnsiTheme="minorHAnsi"/>
          <w:b w:val="0"/>
          <w:szCs w:val="22"/>
        </w:rPr>
        <w:t>. Industry does not ne</w:t>
      </w:r>
      <w:r w:rsidRPr="00F0794C">
        <w:rPr>
          <w:rFonts w:asciiTheme="minorHAnsi" w:hAnsiTheme="minorHAnsi"/>
          <w:b w:val="0"/>
          <w:szCs w:val="22"/>
        </w:rPr>
        <w:t xml:space="preserve">ed more bridges built under </w:t>
      </w:r>
      <w:r w:rsidR="006507A6" w:rsidRPr="00F0794C">
        <w:rPr>
          <w:rFonts w:asciiTheme="minorHAnsi" w:hAnsiTheme="minorHAnsi"/>
          <w:b w:val="0"/>
          <w:szCs w:val="22"/>
        </w:rPr>
        <w:t>general height</w:t>
      </w:r>
      <w:r w:rsidRPr="00F0794C">
        <w:rPr>
          <w:rFonts w:asciiTheme="minorHAnsi" w:hAnsiTheme="minorHAnsi"/>
          <w:b w:val="0"/>
          <w:szCs w:val="22"/>
        </w:rPr>
        <w:t xml:space="preserve"> </w:t>
      </w:r>
      <w:r w:rsidR="00405215" w:rsidRPr="00F0794C">
        <w:rPr>
          <w:rFonts w:asciiTheme="minorHAnsi" w:hAnsiTheme="minorHAnsi"/>
          <w:b w:val="0"/>
          <w:szCs w:val="22"/>
        </w:rPr>
        <w:t xml:space="preserve">restrictions </w:t>
      </w:r>
      <w:r w:rsidRPr="00F0794C">
        <w:rPr>
          <w:rFonts w:asciiTheme="minorHAnsi" w:hAnsiTheme="minorHAnsi"/>
          <w:b w:val="0"/>
          <w:szCs w:val="22"/>
        </w:rPr>
        <w:t xml:space="preserve">or main roads built with no rest areas </w:t>
      </w:r>
      <w:r w:rsidR="00A340B1" w:rsidRPr="00F0794C">
        <w:rPr>
          <w:rFonts w:asciiTheme="minorHAnsi" w:hAnsiTheme="minorHAnsi"/>
          <w:b w:val="0"/>
          <w:szCs w:val="22"/>
        </w:rPr>
        <w:t xml:space="preserve">or </w:t>
      </w:r>
      <w:r w:rsidRPr="00F0794C">
        <w:rPr>
          <w:rFonts w:asciiTheme="minorHAnsi" w:hAnsiTheme="minorHAnsi"/>
          <w:b w:val="0"/>
          <w:szCs w:val="22"/>
        </w:rPr>
        <w:t>de-coupling bay</w:t>
      </w:r>
      <w:r w:rsidR="00A340B1" w:rsidRPr="00F0794C">
        <w:rPr>
          <w:rFonts w:asciiTheme="minorHAnsi" w:hAnsiTheme="minorHAnsi"/>
          <w:b w:val="0"/>
          <w:szCs w:val="22"/>
        </w:rPr>
        <w:t>s</w:t>
      </w:r>
      <w:r w:rsidRPr="00F0794C">
        <w:rPr>
          <w:rFonts w:asciiTheme="minorHAnsi" w:hAnsiTheme="minorHAnsi"/>
          <w:b w:val="0"/>
          <w:szCs w:val="22"/>
        </w:rPr>
        <w:t xml:space="preserve">. </w:t>
      </w:r>
      <w:r w:rsidR="00F2228A">
        <w:rPr>
          <w:rFonts w:asciiTheme="minorHAnsi" w:hAnsiTheme="minorHAnsi"/>
          <w:b w:val="0"/>
          <w:szCs w:val="22"/>
        </w:rPr>
        <w:t xml:space="preserve">Basic accountability and benchmarking should be established before any discussion of a regulator. </w:t>
      </w:r>
    </w:p>
    <w:p w:rsidR="006507A6" w:rsidRPr="00F0794C" w:rsidRDefault="006507A6" w:rsidP="004B5863">
      <w:pPr>
        <w:jc w:val="both"/>
        <w:rPr>
          <w:rFonts w:asciiTheme="minorHAnsi" w:eastAsia="Times New Roman" w:hAnsiTheme="minorHAnsi" w:cs="Arial"/>
          <w:bCs/>
        </w:rPr>
      </w:pPr>
    </w:p>
    <w:p w:rsidR="00263385" w:rsidRPr="00F0794C" w:rsidRDefault="00263385" w:rsidP="004B5863">
      <w:pPr>
        <w:jc w:val="both"/>
        <w:rPr>
          <w:rFonts w:asciiTheme="minorHAnsi" w:eastAsia="Times New Roman" w:hAnsiTheme="minorHAnsi" w:cs="Arial"/>
          <w:b/>
          <w:bCs/>
        </w:rPr>
      </w:pPr>
      <w:r w:rsidRPr="00F0794C">
        <w:rPr>
          <w:rFonts w:asciiTheme="minorHAnsi" w:eastAsia="Times New Roman" w:hAnsiTheme="minorHAnsi" w:cs="Arial"/>
          <w:b/>
          <w:bCs/>
        </w:rPr>
        <w:t xml:space="preserve">Recommendation 9 </w:t>
      </w:r>
    </w:p>
    <w:p w:rsidR="00263385" w:rsidRPr="00F0794C" w:rsidRDefault="00263385" w:rsidP="004B5863">
      <w:pPr>
        <w:jc w:val="both"/>
        <w:rPr>
          <w:rFonts w:asciiTheme="minorHAnsi" w:eastAsia="Times New Roman" w:hAnsiTheme="minorHAnsi" w:cs="Arial"/>
          <w:bCs/>
        </w:rPr>
      </w:pPr>
    </w:p>
    <w:p w:rsidR="00004DE2" w:rsidRPr="00F0794C" w:rsidRDefault="00263385" w:rsidP="004B5863">
      <w:pPr>
        <w:jc w:val="both"/>
        <w:rPr>
          <w:rFonts w:asciiTheme="minorHAnsi" w:eastAsia="Times New Roman" w:hAnsiTheme="minorHAnsi" w:cs="Arial"/>
          <w:bCs/>
        </w:rPr>
      </w:pPr>
      <w:r w:rsidRPr="00F0794C">
        <w:rPr>
          <w:rFonts w:asciiTheme="minorHAnsi" w:eastAsia="Times New Roman" w:hAnsiTheme="minorHAnsi" w:cs="Arial"/>
          <w:bCs/>
        </w:rPr>
        <w:t xml:space="preserve">The Commission should recommend basic public accountability processes for road agencies before a potentially costly regulator </w:t>
      </w:r>
      <w:r w:rsidR="00004DE2" w:rsidRPr="00F0794C">
        <w:rPr>
          <w:rFonts w:asciiTheme="minorHAnsi" w:eastAsia="Times New Roman" w:hAnsiTheme="minorHAnsi" w:cs="Arial"/>
          <w:bCs/>
        </w:rPr>
        <w:t>is</w:t>
      </w:r>
      <w:r w:rsidRPr="00F0794C">
        <w:rPr>
          <w:rFonts w:asciiTheme="minorHAnsi" w:eastAsia="Times New Roman" w:hAnsiTheme="minorHAnsi" w:cs="Arial"/>
          <w:bCs/>
        </w:rPr>
        <w:t xml:space="preserve"> created. </w:t>
      </w:r>
    </w:p>
    <w:p w:rsidR="00004DE2" w:rsidRDefault="00004DE2" w:rsidP="004B5863">
      <w:pPr>
        <w:jc w:val="both"/>
        <w:rPr>
          <w:rFonts w:asciiTheme="minorHAnsi" w:eastAsia="Times New Roman" w:hAnsiTheme="minorHAnsi" w:cs="Arial"/>
          <w:bCs/>
        </w:rPr>
      </w:pPr>
    </w:p>
    <w:p w:rsidR="00B51244" w:rsidRPr="00F0794C" w:rsidRDefault="00B51244" w:rsidP="004B5863">
      <w:pPr>
        <w:jc w:val="both"/>
        <w:rPr>
          <w:rFonts w:asciiTheme="minorHAnsi" w:eastAsia="Times New Roman" w:hAnsiTheme="minorHAnsi" w:cs="Arial"/>
          <w:bCs/>
        </w:rPr>
      </w:pPr>
    </w:p>
    <w:p w:rsidR="005D5BD6" w:rsidRPr="00F0794C" w:rsidRDefault="005D5BD6" w:rsidP="004B5863">
      <w:pPr>
        <w:pStyle w:val="Heading1"/>
        <w:jc w:val="both"/>
        <w:rPr>
          <w:rFonts w:asciiTheme="minorHAnsi" w:hAnsiTheme="minorHAnsi"/>
          <w:szCs w:val="22"/>
        </w:rPr>
      </w:pPr>
      <w:bookmarkStart w:id="21" w:name="_Toc384105363"/>
      <w:r w:rsidRPr="00F0794C">
        <w:rPr>
          <w:rFonts w:asciiTheme="minorHAnsi" w:hAnsiTheme="minorHAnsi"/>
          <w:szCs w:val="22"/>
        </w:rPr>
        <w:t>User charges</w:t>
      </w:r>
      <w:bookmarkEnd w:id="21"/>
    </w:p>
    <w:p w:rsidR="00C544DB" w:rsidRPr="00F0794C" w:rsidRDefault="00C544DB" w:rsidP="004B5863">
      <w:pPr>
        <w:jc w:val="both"/>
        <w:rPr>
          <w:rFonts w:asciiTheme="minorHAnsi" w:hAnsiTheme="minorHAnsi"/>
        </w:rPr>
      </w:pPr>
    </w:p>
    <w:p w:rsidR="005D5BD6" w:rsidRPr="00F0794C" w:rsidRDefault="005D5BD6" w:rsidP="004B5863">
      <w:pPr>
        <w:pStyle w:val="BodyText2"/>
        <w:ind w:left="360" w:firstLine="30"/>
        <w:jc w:val="both"/>
        <w:rPr>
          <w:rFonts w:asciiTheme="minorHAnsi" w:hAnsiTheme="minorHAnsi"/>
          <w:b w:val="0"/>
          <w:i/>
          <w:szCs w:val="22"/>
        </w:rPr>
      </w:pPr>
      <w:r w:rsidRPr="00F0794C">
        <w:rPr>
          <w:rFonts w:asciiTheme="minorHAnsi" w:hAnsiTheme="minorHAnsi"/>
          <w:b w:val="0"/>
          <w:i/>
          <w:szCs w:val="22"/>
        </w:rPr>
        <w:t>‘</w:t>
      </w:r>
      <w:proofErr w:type="gramStart"/>
      <w:r w:rsidRPr="00F0794C">
        <w:rPr>
          <w:rFonts w:asciiTheme="minorHAnsi" w:hAnsiTheme="minorHAnsi"/>
          <w:b w:val="0"/>
          <w:i/>
          <w:szCs w:val="22"/>
        </w:rPr>
        <w:t>user</w:t>
      </w:r>
      <w:proofErr w:type="gramEnd"/>
      <w:r w:rsidRPr="00F0794C">
        <w:rPr>
          <w:rFonts w:asciiTheme="minorHAnsi" w:hAnsiTheme="minorHAnsi"/>
          <w:b w:val="0"/>
          <w:i/>
          <w:szCs w:val="22"/>
        </w:rPr>
        <w:t xml:space="preserve"> char</w:t>
      </w:r>
      <w:r w:rsidR="004416BA" w:rsidRPr="00F0794C">
        <w:rPr>
          <w:rFonts w:asciiTheme="minorHAnsi" w:hAnsiTheme="minorHAnsi"/>
          <w:b w:val="0"/>
          <w:i/>
          <w:szCs w:val="22"/>
        </w:rPr>
        <w:t>g</w:t>
      </w:r>
      <w:r w:rsidRPr="00F0794C">
        <w:rPr>
          <w:rFonts w:asciiTheme="minorHAnsi" w:hAnsiTheme="minorHAnsi"/>
          <w:b w:val="0"/>
          <w:i/>
          <w:szCs w:val="22"/>
        </w:rPr>
        <w:t>es should be used to the fullest extent that they can be justified. Efficient user charges are an effective means to reveal willingness to pay for new infrastructure and pay and improve the use of existing infrastructure.’</w:t>
      </w:r>
      <w:r w:rsidRPr="00F0794C">
        <w:rPr>
          <w:rStyle w:val="FootnoteReference"/>
          <w:rFonts w:asciiTheme="minorHAnsi" w:hAnsiTheme="minorHAnsi"/>
          <w:b w:val="0"/>
          <w:i/>
          <w:szCs w:val="22"/>
        </w:rPr>
        <w:footnoteReference w:id="29"/>
      </w:r>
      <w:r w:rsidRPr="00F0794C">
        <w:rPr>
          <w:rFonts w:asciiTheme="minorHAnsi" w:hAnsiTheme="minorHAnsi"/>
          <w:b w:val="0"/>
          <w:i/>
          <w:szCs w:val="22"/>
        </w:rPr>
        <w:t xml:space="preserve"> </w:t>
      </w:r>
    </w:p>
    <w:p w:rsidR="0022487F" w:rsidRPr="00F0794C" w:rsidRDefault="0022487F" w:rsidP="004B5863">
      <w:pPr>
        <w:pStyle w:val="BodyText2"/>
        <w:ind w:left="360" w:firstLine="30"/>
        <w:jc w:val="both"/>
        <w:rPr>
          <w:rFonts w:asciiTheme="minorHAnsi" w:hAnsiTheme="minorHAnsi"/>
          <w:b w:val="0"/>
          <w:i/>
          <w:szCs w:val="22"/>
        </w:rPr>
      </w:pPr>
    </w:p>
    <w:p w:rsidR="0022487F" w:rsidRPr="00F0794C" w:rsidRDefault="0022487F" w:rsidP="004B5863">
      <w:pPr>
        <w:pStyle w:val="BodyText2"/>
        <w:ind w:left="360" w:firstLine="30"/>
        <w:jc w:val="both"/>
        <w:rPr>
          <w:rFonts w:asciiTheme="minorHAnsi" w:hAnsiTheme="minorHAnsi"/>
          <w:b w:val="0"/>
          <w:i/>
        </w:rPr>
      </w:pPr>
      <w:r w:rsidRPr="00F0794C">
        <w:rPr>
          <w:rFonts w:asciiTheme="minorHAnsi" w:hAnsiTheme="minorHAnsi"/>
          <w:b w:val="0"/>
          <w:i/>
        </w:rPr>
        <w:t>A shift to direct charging on a wider basis would only be justified if the additional cost of monitoring how individual vehicles use a road network is clearly outweighed by the benefits of more effic</w:t>
      </w:r>
      <w:r w:rsidR="00FC5FF8">
        <w:rPr>
          <w:rFonts w:asciiTheme="minorHAnsi" w:hAnsiTheme="minorHAnsi"/>
          <w:b w:val="0"/>
          <w:i/>
        </w:rPr>
        <w:t>ient charging. I</w:t>
      </w:r>
      <w:r w:rsidRPr="00F0794C">
        <w:rPr>
          <w:rFonts w:asciiTheme="minorHAnsi" w:hAnsiTheme="minorHAnsi"/>
          <w:b w:val="0"/>
          <w:i/>
        </w:rPr>
        <w:t xml:space="preserve">t cannot be assumed that this will be the case, given there is a cost associated with telematics, and motorists already face a de facto form of distance based charging through fuel excise. Moreover, it would be unrealistic to expect direct user charges to ever fully fund the road network. There is a significant community service element to roads, especially in sparsely populated areas, which will have to continue to be funded by governments. </w:t>
      </w:r>
      <w:r w:rsidRPr="00F0794C">
        <w:rPr>
          <w:rFonts w:asciiTheme="minorHAnsi" w:hAnsiTheme="minorHAnsi"/>
          <w:b w:val="0"/>
          <w:i/>
          <w:vertAlign w:val="superscript"/>
        </w:rPr>
        <w:footnoteReference w:id="30"/>
      </w:r>
    </w:p>
    <w:p w:rsidR="0022487F" w:rsidRPr="00F0794C" w:rsidRDefault="0022487F" w:rsidP="004B5863">
      <w:pPr>
        <w:pStyle w:val="BodyText2"/>
        <w:ind w:left="360" w:firstLine="30"/>
        <w:jc w:val="both"/>
        <w:rPr>
          <w:rFonts w:asciiTheme="minorHAnsi" w:hAnsiTheme="minorHAnsi"/>
          <w:b w:val="0"/>
          <w:i/>
        </w:rPr>
      </w:pPr>
    </w:p>
    <w:p w:rsidR="0022487F" w:rsidRPr="00F0794C" w:rsidRDefault="0022487F" w:rsidP="004B5863">
      <w:pPr>
        <w:pStyle w:val="BodyText2"/>
        <w:ind w:left="360" w:firstLine="30"/>
        <w:jc w:val="both"/>
        <w:rPr>
          <w:rFonts w:asciiTheme="minorHAnsi" w:hAnsiTheme="minorHAnsi"/>
          <w:b w:val="0"/>
          <w:i/>
        </w:rPr>
      </w:pPr>
      <w:r w:rsidRPr="00F0794C">
        <w:rPr>
          <w:rFonts w:asciiTheme="minorHAnsi" w:hAnsiTheme="minorHAnsi"/>
          <w:b w:val="0"/>
          <w:i/>
        </w:rPr>
        <w:t>In conclusion, more widespread direct charging of light vehicles has the potential to provide a better road system for motorist</w:t>
      </w:r>
      <w:r w:rsidR="0013543A">
        <w:rPr>
          <w:rFonts w:asciiTheme="minorHAnsi" w:hAnsiTheme="minorHAnsi"/>
          <w:b w:val="0"/>
          <w:i/>
        </w:rPr>
        <w:t>s</w:t>
      </w:r>
      <w:r w:rsidRPr="00F0794C">
        <w:rPr>
          <w:rFonts w:asciiTheme="minorHAnsi" w:hAnsiTheme="minorHAnsi"/>
          <w:b w:val="0"/>
          <w:i/>
        </w:rPr>
        <w:t xml:space="preserve">, if combined with reforms that hypothecate the revenue to efficient road provision. However, this requires many difficult issues to be addressed and effective planning – a constant theme for all infrastructures – will be required. Moreover, as noted above, it cannot be assumed that the benefits from wider direct charging will outweigh the additional cost of monitoring how individual vehicles use a road network. </w:t>
      </w:r>
      <w:r w:rsidRPr="00F0794C">
        <w:rPr>
          <w:rFonts w:asciiTheme="minorHAnsi" w:hAnsiTheme="minorHAnsi"/>
          <w:b w:val="0"/>
          <w:i/>
          <w:vertAlign w:val="superscript"/>
        </w:rPr>
        <w:footnoteReference w:id="31"/>
      </w:r>
    </w:p>
    <w:p w:rsidR="00142215" w:rsidRPr="00F0794C" w:rsidRDefault="00142215" w:rsidP="004B5863">
      <w:pPr>
        <w:pStyle w:val="BodyText2"/>
        <w:jc w:val="both"/>
        <w:rPr>
          <w:rFonts w:asciiTheme="minorHAnsi" w:hAnsiTheme="minorHAnsi"/>
          <w:b w:val="0"/>
          <w:szCs w:val="22"/>
        </w:rPr>
      </w:pPr>
      <w:r w:rsidRPr="00F0794C">
        <w:rPr>
          <w:rFonts w:asciiTheme="minorHAnsi" w:hAnsiTheme="minorHAnsi"/>
          <w:b w:val="0"/>
          <w:szCs w:val="22"/>
        </w:rPr>
        <w:t xml:space="preserve">          </w:t>
      </w:r>
    </w:p>
    <w:p w:rsidR="000E4BE1" w:rsidRDefault="00C544DB" w:rsidP="004B5863">
      <w:pPr>
        <w:pStyle w:val="BodyText2"/>
        <w:jc w:val="both"/>
        <w:rPr>
          <w:rFonts w:asciiTheme="minorHAnsi" w:hAnsiTheme="minorHAnsi"/>
          <w:b w:val="0"/>
          <w:szCs w:val="22"/>
        </w:rPr>
      </w:pPr>
      <w:r w:rsidRPr="00F0794C">
        <w:rPr>
          <w:rFonts w:asciiTheme="minorHAnsi" w:hAnsiTheme="minorHAnsi"/>
          <w:b w:val="0"/>
          <w:szCs w:val="22"/>
        </w:rPr>
        <w:t xml:space="preserve">The </w:t>
      </w:r>
      <w:r w:rsidR="00115F37" w:rsidRPr="00F0794C">
        <w:rPr>
          <w:rFonts w:asciiTheme="minorHAnsi" w:hAnsiTheme="minorHAnsi"/>
          <w:b w:val="0"/>
          <w:szCs w:val="22"/>
        </w:rPr>
        <w:t xml:space="preserve">Commission’s </w:t>
      </w:r>
      <w:r w:rsidRPr="00F0794C">
        <w:rPr>
          <w:rFonts w:asciiTheme="minorHAnsi" w:hAnsiTheme="minorHAnsi"/>
          <w:b w:val="0"/>
          <w:szCs w:val="22"/>
        </w:rPr>
        <w:t xml:space="preserve">report states that user charges are already </w:t>
      </w:r>
      <w:r w:rsidR="00115F37" w:rsidRPr="00F0794C">
        <w:rPr>
          <w:rFonts w:asciiTheme="minorHAnsi" w:hAnsiTheme="minorHAnsi"/>
          <w:b w:val="0"/>
          <w:szCs w:val="22"/>
        </w:rPr>
        <w:t>usual</w:t>
      </w:r>
      <w:r w:rsidRPr="00F0794C">
        <w:rPr>
          <w:rFonts w:asciiTheme="minorHAnsi" w:hAnsiTheme="minorHAnsi"/>
          <w:b w:val="0"/>
          <w:szCs w:val="22"/>
        </w:rPr>
        <w:t xml:space="preserve"> for most types of economic infrastructure, such as electricity, telecommunications, gas and water. However, roads are not a typical utility. </w:t>
      </w:r>
      <w:r w:rsidR="002D28AF" w:rsidRPr="00F0794C">
        <w:rPr>
          <w:rFonts w:asciiTheme="minorHAnsi" w:hAnsiTheme="minorHAnsi"/>
          <w:b w:val="0"/>
          <w:szCs w:val="22"/>
        </w:rPr>
        <w:t>Specific</w:t>
      </w:r>
      <w:r w:rsidRPr="00F0794C">
        <w:rPr>
          <w:rFonts w:asciiTheme="minorHAnsi" w:hAnsiTheme="minorHAnsi"/>
          <w:b w:val="0"/>
          <w:szCs w:val="22"/>
        </w:rPr>
        <w:t xml:space="preserve"> work in user charges has separated light and heavy vehicles. The effect of this has mean</w:t>
      </w:r>
      <w:r w:rsidR="00F94D52" w:rsidRPr="00F0794C">
        <w:rPr>
          <w:rFonts w:asciiTheme="minorHAnsi" w:hAnsiTheme="minorHAnsi"/>
          <w:b w:val="0"/>
          <w:szCs w:val="22"/>
        </w:rPr>
        <w:t>t</w:t>
      </w:r>
      <w:r w:rsidRPr="00F0794C">
        <w:rPr>
          <w:rFonts w:asciiTheme="minorHAnsi" w:hAnsiTheme="minorHAnsi"/>
          <w:b w:val="0"/>
          <w:szCs w:val="22"/>
        </w:rPr>
        <w:t xml:space="preserve"> that </w:t>
      </w:r>
      <w:r w:rsidR="002D28AF" w:rsidRPr="00F0794C">
        <w:rPr>
          <w:rFonts w:asciiTheme="minorHAnsi" w:hAnsiTheme="minorHAnsi"/>
          <w:b w:val="0"/>
          <w:szCs w:val="22"/>
        </w:rPr>
        <w:t xml:space="preserve">for either </w:t>
      </w:r>
      <w:r w:rsidR="00F94D52" w:rsidRPr="00F0794C">
        <w:rPr>
          <w:rFonts w:asciiTheme="minorHAnsi" w:hAnsiTheme="minorHAnsi"/>
          <w:b w:val="0"/>
          <w:szCs w:val="22"/>
        </w:rPr>
        <w:t xml:space="preserve">of </w:t>
      </w:r>
      <w:r w:rsidR="002D28AF" w:rsidRPr="00F0794C">
        <w:rPr>
          <w:rFonts w:asciiTheme="minorHAnsi" w:hAnsiTheme="minorHAnsi"/>
          <w:b w:val="0"/>
          <w:szCs w:val="22"/>
        </w:rPr>
        <w:t xml:space="preserve">these vehicle types the government will be dealing with a partial market and will continue to do so </w:t>
      </w:r>
      <w:proofErr w:type="gramStart"/>
      <w:r w:rsidR="002D28AF" w:rsidRPr="00F0794C">
        <w:rPr>
          <w:rFonts w:asciiTheme="minorHAnsi" w:hAnsiTheme="minorHAnsi"/>
          <w:b w:val="0"/>
          <w:szCs w:val="22"/>
        </w:rPr>
        <w:t>given</w:t>
      </w:r>
      <w:proofErr w:type="gramEnd"/>
      <w:r w:rsidR="002D28AF" w:rsidRPr="00F0794C">
        <w:rPr>
          <w:rFonts w:asciiTheme="minorHAnsi" w:hAnsiTheme="minorHAnsi"/>
          <w:b w:val="0"/>
          <w:szCs w:val="22"/>
        </w:rPr>
        <w:t xml:space="preserve"> the d</w:t>
      </w:r>
      <w:r w:rsidR="0013543A">
        <w:rPr>
          <w:rFonts w:asciiTheme="minorHAnsi" w:hAnsiTheme="minorHAnsi"/>
          <w:b w:val="0"/>
          <w:szCs w:val="22"/>
        </w:rPr>
        <w:t>ifferent demands those vehicles t</w:t>
      </w:r>
      <w:r w:rsidR="002D28AF" w:rsidRPr="00F0794C">
        <w:rPr>
          <w:rFonts w:asciiTheme="minorHAnsi" w:hAnsiTheme="minorHAnsi"/>
          <w:b w:val="0"/>
          <w:szCs w:val="22"/>
        </w:rPr>
        <w:t xml:space="preserve">ypes </w:t>
      </w:r>
      <w:r w:rsidR="00FC5FF8">
        <w:rPr>
          <w:rFonts w:asciiTheme="minorHAnsi" w:hAnsiTheme="minorHAnsi"/>
          <w:b w:val="0"/>
          <w:szCs w:val="22"/>
        </w:rPr>
        <w:t>require</w:t>
      </w:r>
      <w:r w:rsidR="002D28AF" w:rsidRPr="00F0794C">
        <w:rPr>
          <w:rFonts w:asciiTheme="minorHAnsi" w:hAnsiTheme="minorHAnsi"/>
          <w:b w:val="0"/>
          <w:szCs w:val="22"/>
        </w:rPr>
        <w:t xml:space="preserve">. </w:t>
      </w:r>
    </w:p>
    <w:p w:rsidR="000E4BE1" w:rsidRDefault="000E4BE1" w:rsidP="004B5863">
      <w:pPr>
        <w:pStyle w:val="BodyText2"/>
        <w:jc w:val="both"/>
        <w:rPr>
          <w:rFonts w:asciiTheme="minorHAnsi" w:hAnsiTheme="minorHAnsi"/>
          <w:b w:val="0"/>
          <w:szCs w:val="22"/>
        </w:rPr>
      </w:pPr>
    </w:p>
    <w:p w:rsidR="00C544DB" w:rsidRPr="000E4BE1" w:rsidRDefault="000E4BE1" w:rsidP="000E4BE1">
      <w:pPr>
        <w:jc w:val="both"/>
        <w:rPr>
          <w:rFonts w:asciiTheme="minorHAnsi" w:eastAsia="Times New Roman" w:hAnsiTheme="minorHAnsi" w:cs="Arial"/>
          <w:bCs/>
        </w:rPr>
      </w:pPr>
      <w:r w:rsidRPr="000E4BE1">
        <w:rPr>
          <w:rFonts w:asciiTheme="minorHAnsi" w:eastAsia="Times New Roman" w:hAnsiTheme="minorHAnsi" w:cs="Arial"/>
          <w:bCs/>
        </w:rPr>
        <w:t xml:space="preserve">The two main parameters of road investment are </w:t>
      </w:r>
      <w:r w:rsidRPr="000E4BE1">
        <w:rPr>
          <w:rFonts w:asciiTheme="minorHAnsi" w:eastAsia="Times New Roman" w:hAnsiTheme="minorHAnsi" w:cs="Arial"/>
          <w:bCs/>
          <w:i/>
        </w:rPr>
        <w:t>durability</w:t>
      </w:r>
      <w:r w:rsidRPr="000E4BE1">
        <w:rPr>
          <w:rFonts w:asciiTheme="minorHAnsi" w:eastAsia="Times New Roman" w:hAnsiTheme="minorHAnsi" w:cs="Arial"/>
          <w:bCs/>
        </w:rPr>
        <w:t xml:space="preserve"> and </w:t>
      </w:r>
      <w:r w:rsidRPr="000E4BE1">
        <w:rPr>
          <w:rFonts w:asciiTheme="minorHAnsi" w:eastAsia="Times New Roman" w:hAnsiTheme="minorHAnsi" w:cs="Arial"/>
          <w:bCs/>
          <w:i/>
        </w:rPr>
        <w:t>capacity</w:t>
      </w:r>
      <w:r w:rsidRPr="000E4BE1">
        <w:rPr>
          <w:rFonts w:asciiTheme="minorHAnsi" w:eastAsia="Times New Roman" w:hAnsiTheme="minorHAnsi" w:cs="Arial"/>
          <w:bCs/>
        </w:rPr>
        <w:t xml:space="preserve">. Generally, durability specifications will be based on anticipated heavy vehicle usage while capacity will be based on demand by light vehicles. </w:t>
      </w:r>
      <w:r w:rsidRPr="000E4BE1">
        <w:rPr>
          <w:rFonts w:asciiTheme="minorHAnsi" w:hAnsiTheme="minorHAnsi"/>
        </w:rPr>
        <w:t>H</w:t>
      </w:r>
      <w:r w:rsidR="002D28AF" w:rsidRPr="000E4BE1">
        <w:rPr>
          <w:rFonts w:asciiTheme="minorHAnsi" w:hAnsiTheme="minorHAnsi"/>
        </w:rPr>
        <w:t>eavy vehicl</w:t>
      </w:r>
      <w:r w:rsidRPr="000E4BE1">
        <w:rPr>
          <w:rFonts w:asciiTheme="minorHAnsi" w:hAnsiTheme="minorHAnsi"/>
        </w:rPr>
        <w:t>es also require o</w:t>
      </w:r>
      <w:r w:rsidR="002D28AF" w:rsidRPr="000E4BE1">
        <w:rPr>
          <w:rFonts w:asciiTheme="minorHAnsi" w:hAnsiTheme="minorHAnsi"/>
        </w:rPr>
        <w:t>ff road requirements such as rest areas</w:t>
      </w:r>
      <w:r w:rsidR="00115F37" w:rsidRPr="000E4BE1">
        <w:rPr>
          <w:rFonts w:asciiTheme="minorHAnsi" w:hAnsiTheme="minorHAnsi"/>
        </w:rPr>
        <w:t>, pull over lanes</w:t>
      </w:r>
      <w:r w:rsidR="002D28AF" w:rsidRPr="000E4BE1">
        <w:rPr>
          <w:rFonts w:asciiTheme="minorHAnsi" w:hAnsiTheme="minorHAnsi"/>
        </w:rPr>
        <w:t xml:space="preserve"> and de-coupling bays. These different demands automatically mean a one size fits all direct </w:t>
      </w:r>
      <w:proofErr w:type="gramStart"/>
      <w:r w:rsidR="002D28AF" w:rsidRPr="000E4BE1">
        <w:rPr>
          <w:rFonts w:asciiTheme="minorHAnsi" w:hAnsiTheme="minorHAnsi"/>
        </w:rPr>
        <w:t>user</w:t>
      </w:r>
      <w:proofErr w:type="gramEnd"/>
      <w:r w:rsidR="002D28AF" w:rsidRPr="000E4BE1">
        <w:rPr>
          <w:rFonts w:asciiTheme="minorHAnsi" w:hAnsiTheme="minorHAnsi"/>
        </w:rPr>
        <w:t xml:space="preserve"> charging system will not work or achieve the same outcomes. </w:t>
      </w:r>
    </w:p>
    <w:p w:rsidR="002D28AF" w:rsidRPr="00F0794C" w:rsidRDefault="002D28AF" w:rsidP="004B5863">
      <w:pPr>
        <w:pStyle w:val="BodyText2"/>
        <w:jc w:val="both"/>
        <w:rPr>
          <w:rFonts w:asciiTheme="minorHAnsi" w:hAnsiTheme="minorHAnsi"/>
          <w:b w:val="0"/>
          <w:szCs w:val="22"/>
        </w:rPr>
      </w:pPr>
    </w:p>
    <w:p w:rsidR="002D28AF" w:rsidRDefault="002D28AF" w:rsidP="004B5863">
      <w:pPr>
        <w:pStyle w:val="BodyText2"/>
        <w:jc w:val="both"/>
        <w:rPr>
          <w:rFonts w:asciiTheme="minorHAnsi" w:hAnsiTheme="minorHAnsi"/>
          <w:b w:val="0"/>
          <w:szCs w:val="22"/>
        </w:rPr>
      </w:pPr>
      <w:r w:rsidRPr="00F0794C">
        <w:rPr>
          <w:rFonts w:asciiTheme="minorHAnsi" w:hAnsiTheme="minorHAnsi"/>
          <w:b w:val="0"/>
          <w:szCs w:val="22"/>
        </w:rPr>
        <w:t xml:space="preserve">The current system is a </w:t>
      </w:r>
      <w:r w:rsidR="00431CA4" w:rsidRPr="00F0794C">
        <w:rPr>
          <w:rFonts w:asciiTheme="minorHAnsi" w:hAnsiTheme="minorHAnsi"/>
          <w:b w:val="0"/>
          <w:szCs w:val="22"/>
        </w:rPr>
        <w:t>‘</w:t>
      </w:r>
      <w:r w:rsidRPr="00F0794C">
        <w:rPr>
          <w:rFonts w:asciiTheme="minorHAnsi" w:hAnsiTheme="minorHAnsi"/>
          <w:b w:val="0"/>
          <w:szCs w:val="22"/>
        </w:rPr>
        <w:t>one size fits all</w:t>
      </w:r>
      <w:r w:rsidR="00431CA4" w:rsidRPr="00F0794C">
        <w:rPr>
          <w:rFonts w:asciiTheme="minorHAnsi" w:hAnsiTheme="minorHAnsi"/>
          <w:b w:val="0"/>
          <w:szCs w:val="22"/>
        </w:rPr>
        <w:t>’</w:t>
      </w:r>
      <w:r w:rsidRPr="00F0794C">
        <w:rPr>
          <w:rFonts w:asciiTheme="minorHAnsi" w:hAnsiTheme="minorHAnsi"/>
          <w:b w:val="0"/>
          <w:szCs w:val="22"/>
        </w:rPr>
        <w:t xml:space="preserve"> registration and excise </w:t>
      </w:r>
      <w:r w:rsidR="00676913" w:rsidRPr="00F0794C">
        <w:rPr>
          <w:rFonts w:asciiTheme="minorHAnsi" w:hAnsiTheme="minorHAnsi"/>
          <w:b w:val="0"/>
          <w:szCs w:val="22"/>
        </w:rPr>
        <w:t xml:space="preserve">charge </w:t>
      </w:r>
      <w:r w:rsidRPr="00F0794C">
        <w:rPr>
          <w:rFonts w:asciiTheme="minorHAnsi" w:hAnsiTheme="minorHAnsi"/>
          <w:b w:val="0"/>
          <w:szCs w:val="22"/>
        </w:rPr>
        <w:t xml:space="preserve">for light and heavy vehicles. </w:t>
      </w:r>
      <w:r w:rsidR="00263385" w:rsidRPr="00F0794C">
        <w:rPr>
          <w:rFonts w:asciiTheme="minorHAnsi" w:hAnsiTheme="minorHAnsi"/>
          <w:b w:val="0"/>
          <w:szCs w:val="22"/>
        </w:rPr>
        <w:t>T</w:t>
      </w:r>
      <w:r w:rsidRPr="00F0794C">
        <w:rPr>
          <w:rFonts w:asciiTheme="minorHAnsi" w:hAnsiTheme="minorHAnsi"/>
          <w:b w:val="0"/>
          <w:szCs w:val="22"/>
        </w:rPr>
        <w:t>he</w:t>
      </w:r>
      <w:r w:rsidR="00263385" w:rsidRPr="00F0794C">
        <w:rPr>
          <w:rFonts w:asciiTheme="minorHAnsi" w:hAnsiTheme="minorHAnsi"/>
          <w:b w:val="0"/>
          <w:szCs w:val="22"/>
        </w:rPr>
        <w:t>re</w:t>
      </w:r>
      <w:r w:rsidRPr="00F0794C">
        <w:rPr>
          <w:rFonts w:asciiTheme="minorHAnsi" w:hAnsiTheme="minorHAnsi"/>
          <w:b w:val="0"/>
          <w:szCs w:val="22"/>
        </w:rPr>
        <w:t xml:space="preserve"> are relatively few ways</w:t>
      </w:r>
      <w:r w:rsidR="00431CA4" w:rsidRPr="00F0794C">
        <w:rPr>
          <w:rFonts w:asciiTheme="minorHAnsi" w:hAnsiTheme="minorHAnsi"/>
          <w:b w:val="0"/>
          <w:szCs w:val="22"/>
        </w:rPr>
        <w:t xml:space="preserve"> for users</w:t>
      </w:r>
      <w:r w:rsidRPr="00F0794C">
        <w:rPr>
          <w:rFonts w:asciiTheme="minorHAnsi" w:hAnsiTheme="minorHAnsi"/>
          <w:b w:val="0"/>
          <w:szCs w:val="22"/>
        </w:rPr>
        <w:t xml:space="preserve"> to avoid paying </w:t>
      </w:r>
      <w:r w:rsidR="00431CA4" w:rsidRPr="00F0794C">
        <w:rPr>
          <w:rFonts w:asciiTheme="minorHAnsi" w:hAnsiTheme="minorHAnsi"/>
          <w:b w:val="0"/>
          <w:szCs w:val="22"/>
        </w:rPr>
        <w:t>a</w:t>
      </w:r>
      <w:r w:rsidRPr="00F0794C">
        <w:rPr>
          <w:rFonts w:asciiTheme="minorHAnsi" w:hAnsiTheme="minorHAnsi"/>
          <w:b w:val="0"/>
          <w:szCs w:val="22"/>
        </w:rPr>
        <w:t xml:space="preserve"> fair share of costs. </w:t>
      </w:r>
    </w:p>
    <w:p w:rsidR="00CB5B48" w:rsidRPr="00F0794C" w:rsidRDefault="00CB5B48" w:rsidP="004B5863">
      <w:pPr>
        <w:pStyle w:val="BodyText2"/>
        <w:jc w:val="both"/>
        <w:rPr>
          <w:rFonts w:asciiTheme="minorHAnsi" w:hAnsiTheme="minorHAnsi"/>
          <w:b w:val="0"/>
          <w:szCs w:val="22"/>
        </w:rPr>
      </w:pPr>
    </w:p>
    <w:p w:rsidR="00A91577" w:rsidRPr="00F0794C" w:rsidRDefault="00853059" w:rsidP="004B5863">
      <w:pPr>
        <w:pStyle w:val="Heading1"/>
        <w:numPr>
          <w:ilvl w:val="1"/>
          <w:numId w:val="23"/>
        </w:numPr>
        <w:jc w:val="both"/>
        <w:rPr>
          <w:rFonts w:asciiTheme="minorHAnsi" w:hAnsiTheme="minorHAnsi"/>
          <w:szCs w:val="22"/>
        </w:rPr>
      </w:pPr>
      <w:r w:rsidRPr="00F0794C">
        <w:rPr>
          <w:rFonts w:asciiTheme="minorHAnsi" w:hAnsiTheme="minorHAnsi"/>
          <w:szCs w:val="22"/>
        </w:rPr>
        <w:t xml:space="preserve"> </w:t>
      </w:r>
      <w:bookmarkStart w:id="22" w:name="_Toc384105364"/>
      <w:r w:rsidR="00A91577" w:rsidRPr="00F0794C">
        <w:rPr>
          <w:rFonts w:asciiTheme="minorHAnsi" w:hAnsiTheme="minorHAnsi"/>
          <w:szCs w:val="22"/>
        </w:rPr>
        <w:t>The Heavy Vehicle Charging and Investment</w:t>
      </w:r>
      <w:r w:rsidR="006507A6" w:rsidRPr="00F0794C">
        <w:rPr>
          <w:rFonts w:asciiTheme="minorHAnsi" w:hAnsiTheme="minorHAnsi"/>
          <w:szCs w:val="22"/>
        </w:rPr>
        <w:t xml:space="preserve"> (HVCI) </w:t>
      </w:r>
      <w:r w:rsidR="00A91577" w:rsidRPr="00F0794C">
        <w:rPr>
          <w:rFonts w:asciiTheme="minorHAnsi" w:hAnsiTheme="minorHAnsi"/>
          <w:szCs w:val="22"/>
        </w:rPr>
        <w:t>reform</w:t>
      </w:r>
      <w:bookmarkEnd w:id="22"/>
    </w:p>
    <w:p w:rsidR="00A91577" w:rsidRPr="00F0794C" w:rsidRDefault="00A91577" w:rsidP="004B5863">
      <w:pPr>
        <w:pStyle w:val="BodyText2"/>
        <w:jc w:val="both"/>
        <w:rPr>
          <w:rFonts w:asciiTheme="minorHAnsi" w:hAnsiTheme="minorHAnsi"/>
          <w:b w:val="0"/>
          <w:szCs w:val="22"/>
        </w:rPr>
      </w:pPr>
    </w:p>
    <w:p w:rsidR="00523D7F" w:rsidRPr="00F0794C" w:rsidRDefault="002D28AF" w:rsidP="004B5863">
      <w:pPr>
        <w:pStyle w:val="BodyText2"/>
        <w:jc w:val="both"/>
        <w:rPr>
          <w:rFonts w:asciiTheme="minorHAnsi" w:hAnsiTheme="minorHAnsi"/>
          <w:b w:val="0"/>
          <w:szCs w:val="22"/>
        </w:rPr>
      </w:pPr>
      <w:r w:rsidRPr="00F0794C">
        <w:rPr>
          <w:rFonts w:asciiTheme="minorHAnsi" w:hAnsiTheme="minorHAnsi"/>
          <w:b w:val="0"/>
          <w:szCs w:val="22"/>
        </w:rPr>
        <w:t>HVC</w:t>
      </w:r>
      <w:r w:rsidR="00523D7F" w:rsidRPr="00F0794C">
        <w:rPr>
          <w:rFonts w:asciiTheme="minorHAnsi" w:hAnsiTheme="minorHAnsi"/>
          <w:b w:val="0"/>
          <w:szCs w:val="22"/>
        </w:rPr>
        <w:t>I are currently discussing a</w:t>
      </w:r>
      <w:r w:rsidR="00CB5B48">
        <w:rPr>
          <w:rFonts w:asciiTheme="minorHAnsi" w:hAnsiTheme="minorHAnsi"/>
          <w:b w:val="0"/>
          <w:szCs w:val="22"/>
        </w:rPr>
        <w:t xml:space="preserve"> direct user charge via</w:t>
      </w:r>
      <w:r w:rsidR="00523D7F" w:rsidRPr="00F0794C">
        <w:rPr>
          <w:rFonts w:asciiTheme="minorHAnsi" w:hAnsiTheme="minorHAnsi"/>
          <w:b w:val="0"/>
          <w:szCs w:val="22"/>
        </w:rPr>
        <w:t xml:space="preserve"> </w:t>
      </w:r>
      <w:r w:rsidRPr="00F0794C">
        <w:rPr>
          <w:rFonts w:asciiTheme="minorHAnsi" w:hAnsiTheme="minorHAnsi"/>
          <w:b w:val="0"/>
          <w:szCs w:val="22"/>
        </w:rPr>
        <w:t>mass distance location charge</w:t>
      </w:r>
      <w:r w:rsidR="0019645A" w:rsidRPr="00F0794C">
        <w:rPr>
          <w:rFonts w:asciiTheme="minorHAnsi" w:hAnsiTheme="minorHAnsi"/>
          <w:b w:val="0"/>
          <w:szCs w:val="22"/>
        </w:rPr>
        <w:t xml:space="preserve"> (MDL)</w:t>
      </w:r>
      <w:r w:rsidRPr="00F0794C">
        <w:rPr>
          <w:rFonts w:asciiTheme="minorHAnsi" w:hAnsiTheme="minorHAnsi"/>
          <w:b w:val="0"/>
          <w:szCs w:val="22"/>
        </w:rPr>
        <w:t>,</w:t>
      </w:r>
      <w:r w:rsidR="00523D7F" w:rsidRPr="00F0794C">
        <w:rPr>
          <w:rFonts w:asciiTheme="minorHAnsi" w:hAnsiTheme="minorHAnsi"/>
          <w:b w:val="0"/>
          <w:szCs w:val="22"/>
        </w:rPr>
        <w:t xml:space="preserve"> which would see multiple charging systems implemented </w:t>
      </w:r>
      <w:r w:rsidR="00DD2CC9" w:rsidRPr="00F0794C">
        <w:rPr>
          <w:rFonts w:asciiTheme="minorHAnsi" w:hAnsiTheme="minorHAnsi"/>
          <w:b w:val="0"/>
          <w:szCs w:val="22"/>
        </w:rPr>
        <w:t xml:space="preserve">across the heavy vehicle fleet. </w:t>
      </w:r>
    </w:p>
    <w:p w:rsidR="00DD2CC9" w:rsidRPr="00F0794C" w:rsidRDefault="00DD2CC9" w:rsidP="004B5863">
      <w:pPr>
        <w:pStyle w:val="BodyText2"/>
        <w:jc w:val="both"/>
        <w:rPr>
          <w:rFonts w:asciiTheme="minorHAnsi" w:hAnsiTheme="minorHAnsi"/>
          <w:b w:val="0"/>
          <w:szCs w:val="22"/>
        </w:rPr>
      </w:pPr>
    </w:p>
    <w:p w:rsidR="00CB5B48" w:rsidRDefault="00523D7F" w:rsidP="004B5863">
      <w:pPr>
        <w:pStyle w:val="BodyText2"/>
        <w:jc w:val="both"/>
        <w:rPr>
          <w:rFonts w:asciiTheme="minorHAnsi" w:hAnsiTheme="minorHAnsi"/>
          <w:b w:val="0"/>
          <w:szCs w:val="22"/>
        </w:rPr>
      </w:pPr>
      <w:r w:rsidRPr="00F0794C">
        <w:rPr>
          <w:rFonts w:asciiTheme="minorHAnsi" w:hAnsiTheme="minorHAnsi"/>
          <w:b w:val="0"/>
          <w:szCs w:val="22"/>
        </w:rPr>
        <w:t xml:space="preserve">The mass component would be </w:t>
      </w:r>
      <w:r w:rsidR="000F6AA4" w:rsidRPr="00F0794C">
        <w:rPr>
          <w:rFonts w:asciiTheme="minorHAnsi" w:hAnsiTheme="minorHAnsi"/>
          <w:b w:val="0"/>
          <w:szCs w:val="22"/>
        </w:rPr>
        <w:t xml:space="preserve">the </w:t>
      </w:r>
      <w:r w:rsidRPr="00F0794C">
        <w:rPr>
          <w:rFonts w:asciiTheme="minorHAnsi" w:hAnsiTheme="minorHAnsi"/>
          <w:b w:val="0"/>
          <w:szCs w:val="22"/>
        </w:rPr>
        <w:t xml:space="preserve">maximum declarable mass, </w:t>
      </w:r>
      <w:r w:rsidR="000F6AA4" w:rsidRPr="00F0794C">
        <w:rPr>
          <w:rFonts w:asciiTheme="minorHAnsi" w:hAnsiTheme="minorHAnsi"/>
          <w:b w:val="0"/>
          <w:szCs w:val="22"/>
        </w:rPr>
        <w:t>meaning that</w:t>
      </w:r>
      <w:r w:rsidRPr="00F0794C">
        <w:rPr>
          <w:rFonts w:asciiTheme="minorHAnsi" w:hAnsiTheme="minorHAnsi"/>
          <w:b w:val="0"/>
          <w:szCs w:val="22"/>
        </w:rPr>
        <w:t xml:space="preserve"> heavy vehicles </w:t>
      </w:r>
      <w:r w:rsidR="000F6AA4" w:rsidRPr="00F0794C">
        <w:rPr>
          <w:rFonts w:asciiTheme="minorHAnsi" w:hAnsiTheme="minorHAnsi"/>
          <w:b w:val="0"/>
          <w:szCs w:val="22"/>
        </w:rPr>
        <w:t>are</w:t>
      </w:r>
      <w:r w:rsidRPr="00F0794C">
        <w:rPr>
          <w:rFonts w:asciiTheme="minorHAnsi" w:hAnsiTheme="minorHAnsi"/>
          <w:b w:val="0"/>
          <w:szCs w:val="22"/>
        </w:rPr>
        <w:t xml:space="preserve"> assumed to be carrying full mass </w:t>
      </w:r>
      <w:r w:rsidR="004F7B9F" w:rsidRPr="00F0794C">
        <w:rPr>
          <w:rFonts w:asciiTheme="minorHAnsi" w:hAnsiTheme="minorHAnsi"/>
          <w:b w:val="0"/>
          <w:szCs w:val="22"/>
        </w:rPr>
        <w:t>all the time</w:t>
      </w:r>
      <w:r w:rsidR="00AB40FF" w:rsidRPr="00F0794C">
        <w:rPr>
          <w:rFonts w:asciiTheme="minorHAnsi" w:hAnsiTheme="minorHAnsi"/>
          <w:b w:val="0"/>
          <w:szCs w:val="22"/>
        </w:rPr>
        <w:t>,</w:t>
      </w:r>
      <w:r w:rsidR="004F7B9F" w:rsidRPr="00F0794C">
        <w:rPr>
          <w:rFonts w:asciiTheme="minorHAnsi" w:hAnsiTheme="minorHAnsi"/>
          <w:b w:val="0"/>
          <w:szCs w:val="22"/>
        </w:rPr>
        <w:t xml:space="preserve"> which is not accurate. The current PayGo model uses</w:t>
      </w:r>
      <w:r w:rsidR="00676913" w:rsidRPr="00F0794C">
        <w:rPr>
          <w:rFonts w:asciiTheme="minorHAnsi" w:hAnsiTheme="minorHAnsi"/>
          <w:b w:val="0"/>
          <w:szCs w:val="22"/>
        </w:rPr>
        <w:t xml:space="preserve"> the</w:t>
      </w:r>
      <w:r w:rsidR="004F7B9F" w:rsidRPr="00F0794C">
        <w:rPr>
          <w:rFonts w:asciiTheme="minorHAnsi" w:hAnsiTheme="minorHAnsi"/>
          <w:b w:val="0"/>
          <w:szCs w:val="22"/>
        </w:rPr>
        <w:t xml:space="preserve"> average gross mass of</w:t>
      </w:r>
      <w:r w:rsidR="00676913" w:rsidRPr="00F0794C">
        <w:rPr>
          <w:rFonts w:asciiTheme="minorHAnsi" w:hAnsiTheme="minorHAnsi"/>
          <w:b w:val="0"/>
          <w:szCs w:val="22"/>
        </w:rPr>
        <w:t xml:space="preserve"> a</w:t>
      </w:r>
      <w:r w:rsidR="004F7B9F" w:rsidRPr="00F0794C">
        <w:rPr>
          <w:rFonts w:asciiTheme="minorHAnsi" w:hAnsiTheme="minorHAnsi"/>
          <w:b w:val="0"/>
          <w:szCs w:val="22"/>
        </w:rPr>
        <w:t xml:space="preserve"> vehicle </w:t>
      </w:r>
      <w:r w:rsidR="00CB5B48">
        <w:rPr>
          <w:rFonts w:asciiTheme="minorHAnsi" w:hAnsiTheme="minorHAnsi"/>
          <w:b w:val="0"/>
          <w:szCs w:val="22"/>
        </w:rPr>
        <w:t xml:space="preserve">which </w:t>
      </w:r>
      <w:r w:rsidR="004F7B9F" w:rsidRPr="00F0794C">
        <w:rPr>
          <w:rFonts w:asciiTheme="minorHAnsi" w:hAnsiTheme="minorHAnsi"/>
          <w:b w:val="0"/>
          <w:szCs w:val="22"/>
        </w:rPr>
        <w:t>is taken from weigh</w:t>
      </w:r>
      <w:r w:rsidR="000F6AA4" w:rsidRPr="00F0794C">
        <w:rPr>
          <w:rFonts w:asciiTheme="minorHAnsi" w:hAnsiTheme="minorHAnsi"/>
          <w:b w:val="0"/>
          <w:szCs w:val="22"/>
        </w:rPr>
        <w:t>-</w:t>
      </w:r>
      <w:r w:rsidR="004F7B9F" w:rsidRPr="00F0794C">
        <w:rPr>
          <w:rFonts w:asciiTheme="minorHAnsi" w:hAnsiTheme="minorHAnsi"/>
          <w:b w:val="0"/>
          <w:szCs w:val="22"/>
        </w:rPr>
        <w:t>in</w:t>
      </w:r>
      <w:r w:rsidR="000F6AA4" w:rsidRPr="00F0794C">
        <w:rPr>
          <w:rFonts w:asciiTheme="minorHAnsi" w:hAnsiTheme="minorHAnsi"/>
          <w:b w:val="0"/>
          <w:szCs w:val="22"/>
        </w:rPr>
        <w:t>-</w:t>
      </w:r>
      <w:r w:rsidR="004F7B9F" w:rsidRPr="00F0794C">
        <w:rPr>
          <w:rFonts w:asciiTheme="minorHAnsi" w:hAnsiTheme="minorHAnsi"/>
          <w:b w:val="0"/>
          <w:szCs w:val="22"/>
        </w:rPr>
        <w:t>motion stations</w:t>
      </w:r>
      <w:r w:rsidR="00CB5B48">
        <w:rPr>
          <w:rFonts w:asciiTheme="minorHAnsi" w:hAnsiTheme="minorHAnsi"/>
          <w:b w:val="0"/>
          <w:szCs w:val="22"/>
        </w:rPr>
        <w:t>.</w:t>
      </w:r>
      <w:r w:rsidR="004F7B9F" w:rsidRPr="00F0794C">
        <w:rPr>
          <w:rFonts w:asciiTheme="minorHAnsi" w:hAnsiTheme="minorHAnsi"/>
          <w:b w:val="0"/>
          <w:szCs w:val="22"/>
        </w:rPr>
        <w:t xml:space="preserve"> </w:t>
      </w:r>
      <w:r w:rsidR="00CB5B48">
        <w:rPr>
          <w:rFonts w:asciiTheme="minorHAnsi" w:hAnsiTheme="minorHAnsi"/>
          <w:b w:val="0"/>
          <w:szCs w:val="22"/>
        </w:rPr>
        <w:t>Actual mass of</w:t>
      </w:r>
      <w:r w:rsidR="004F7B9F" w:rsidRPr="00F0794C">
        <w:rPr>
          <w:rFonts w:asciiTheme="minorHAnsi" w:hAnsiTheme="minorHAnsi"/>
          <w:b w:val="0"/>
          <w:szCs w:val="22"/>
        </w:rPr>
        <w:t xml:space="preserve"> a vehicle</w:t>
      </w:r>
      <w:r w:rsidR="00CB5B48">
        <w:rPr>
          <w:rFonts w:asciiTheme="minorHAnsi" w:hAnsiTheme="minorHAnsi"/>
          <w:b w:val="0"/>
          <w:szCs w:val="22"/>
        </w:rPr>
        <w:t xml:space="preserve"> is recorded</w:t>
      </w:r>
      <w:r w:rsidR="004F7B9F" w:rsidRPr="00F0794C">
        <w:rPr>
          <w:rFonts w:asciiTheme="minorHAnsi" w:hAnsiTheme="minorHAnsi"/>
          <w:b w:val="0"/>
          <w:szCs w:val="22"/>
        </w:rPr>
        <w:t xml:space="preserve">. Moving to fixed full declarable mass is </w:t>
      </w:r>
      <w:r w:rsidR="00CB5B48">
        <w:rPr>
          <w:rFonts w:asciiTheme="minorHAnsi" w:hAnsiTheme="minorHAnsi"/>
          <w:b w:val="0"/>
          <w:szCs w:val="22"/>
        </w:rPr>
        <w:t>less</w:t>
      </w:r>
      <w:r w:rsidR="004F7B9F" w:rsidRPr="00F0794C">
        <w:rPr>
          <w:rFonts w:asciiTheme="minorHAnsi" w:hAnsiTheme="minorHAnsi"/>
          <w:b w:val="0"/>
          <w:szCs w:val="22"/>
        </w:rPr>
        <w:t xml:space="preserve"> </w:t>
      </w:r>
      <w:r w:rsidR="004A6DDC" w:rsidRPr="00F0794C">
        <w:rPr>
          <w:rFonts w:asciiTheme="minorHAnsi" w:hAnsiTheme="minorHAnsi"/>
          <w:b w:val="0"/>
          <w:szCs w:val="22"/>
        </w:rPr>
        <w:t>precise</w:t>
      </w:r>
      <w:r w:rsidR="004F7B9F" w:rsidRPr="00F0794C">
        <w:rPr>
          <w:rFonts w:asciiTheme="minorHAnsi" w:hAnsiTheme="minorHAnsi"/>
          <w:b w:val="0"/>
          <w:szCs w:val="22"/>
        </w:rPr>
        <w:t xml:space="preserve">, in fact it is a step backward in terms of reflecting what </w:t>
      </w:r>
      <w:r w:rsidR="00CB5B48">
        <w:rPr>
          <w:rFonts w:asciiTheme="minorHAnsi" w:hAnsiTheme="minorHAnsi"/>
          <w:b w:val="0"/>
          <w:szCs w:val="22"/>
        </w:rPr>
        <w:t xml:space="preserve">mass </w:t>
      </w:r>
      <w:r w:rsidR="004F7B9F" w:rsidRPr="00F0794C">
        <w:rPr>
          <w:rFonts w:asciiTheme="minorHAnsi" w:hAnsiTheme="minorHAnsi"/>
          <w:b w:val="0"/>
          <w:szCs w:val="22"/>
        </w:rPr>
        <w:t xml:space="preserve">trucks actually </w:t>
      </w:r>
      <w:r w:rsidR="00CB5B48">
        <w:rPr>
          <w:rFonts w:asciiTheme="minorHAnsi" w:hAnsiTheme="minorHAnsi"/>
          <w:b w:val="0"/>
          <w:szCs w:val="22"/>
        </w:rPr>
        <w:t>are</w:t>
      </w:r>
      <w:r w:rsidR="000F6AA4" w:rsidRPr="00F0794C">
        <w:rPr>
          <w:rFonts w:asciiTheme="minorHAnsi" w:hAnsiTheme="minorHAnsi"/>
          <w:b w:val="0"/>
          <w:szCs w:val="22"/>
        </w:rPr>
        <w:t xml:space="preserve"> and </w:t>
      </w:r>
      <w:r w:rsidR="00CB5B48">
        <w:rPr>
          <w:rFonts w:asciiTheme="minorHAnsi" w:hAnsiTheme="minorHAnsi"/>
          <w:b w:val="0"/>
          <w:szCs w:val="22"/>
        </w:rPr>
        <w:t>the costs associated with that mass</w:t>
      </w:r>
      <w:r w:rsidR="004F7B9F" w:rsidRPr="00F0794C">
        <w:rPr>
          <w:rFonts w:asciiTheme="minorHAnsi" w:hAnsiTheme="minorHAnsi"/>
          <w:b w:val="0"/>
          <w:szCs w:val="22"/>
        </w:rPr>
        <w:t xml:space="preserve">. </w:t>
      </w:r>
    </w:p>
    <w:p w:rsidR="00CB5B48" w:rsidRDefault="00CB5B48" w:rsidP="004B5863">
      <w:pPr>
        <w:pStyle w:val="BodyText2"/>
        <w:jc w:val="both"/>
        <w:rPr>
          <w:rFonts w:asciiTheme="minorHAnsi" w:hAnsiTheme="minorHAnsi"/>
          <w:b w:val="0"/>
          <w:szCs w:val="22"/>
        </w:rPr>
      </w:pPr>
    </w:p>
    <w:p w:rsidR="00523D7F" w:rsidRPr="00F0794C" w:rsidRDefault="00CB5B48" w:rsidP="004B5863">
      <w:pPr>
        <w:pStyle w:val="BodyText2"/>
        <w:jc w:val="both"/>
        <w:rPr>
          <w:rFonts w:asciiTheme="minorHAnsi" w:hAnsiTheme="minorHAnsi"/>
          <w:b w:val="0"/>
          <w:szCs w:val="22"/>
        </w:rPr>
      </w:pPr>
      <w:r>
        <w:rPr>
          <w:rFonts w:asciiTheme="minorHAnsi" w:hAnsiTheme="minorHAnsi"/>
          <w:b w:val="0"/>
          <w:szCs w:val="22"/>
        </w:rPr>
        <w:t>Distinct</w:t>
      </w:r>
      <w:r w:rsidR="004F7B9F" w:rsidRPr="00F0794C">
        <w:rPr>
          <w:rFonts w:asciiTheme="minorHAnsi" w:hAnsiTheme="minorHAnsi"/>
          <w:b w:val="0"/>
          <w:szCs w:val="22"/>
        </w:rPr>
        <w:t xml:space="preserve"> sections of the industry ‘mass out’ differently, truck and dogs carrying bulk </w:t>
      </w:r>
      <w:r w:rsidR="000F6AA4" w:rsidRPr="00F0794C">
        <w:rPr>
          <w:rFonts w:asciiTheme="minorHAnsi" w:hAnsiTheme="minorHAnsi"/>
          <w:b w:val="0"/>
          <w:szCs w:val="22"/>
        </w:rPr>
        <w:t xml:space="preserve">freight </w:t>
      </w:r>
      <w:r w:rsidR="004F7B9F" w:rsidRPr="00F0794C">
        <w:rPr>
          <w:rFonts w:asciiTheme="minorHAnsi" w:hAnsiTheme="minorHAnsi"/>
          <w:b w:val="0"/>
          <w:szCs w:val="22"/>
        </w:rPr>
        <w:t xml:space="preserve">are likely to be close to </w:t>
      </w:r>
      <w:r w:rsidR="006507A6" w:rsidRPr="00F0794C">
        <w:rPr>
          <w:rFonts w:asciiTheme="minorHAnsi" w:hAnsiTheme="minorHAnsi"/>
          <w:b w:val="0"/>
          <w:szCs w:val="22"/>
        </w:rPr>
        <w:t>gross vehicle mass</w:t>
      </w:r>
      <w:r w:rsidR="004F7B9F" w:rsidRPr="00F0794C">
        <w:rPr>
          <w:rFonts w:asciiTheme="minorHAnsi" w:hAnsiTheme="minorHAnsi"/>
          <w:b w:val="0"/>
          <w:szCs w:val="22"/>
        </w:rPr>
        <w:t xml:space="preserve"> </w:t>
      </w:r>
      <w:r w:rsidR="00B518E9" w:rsidRPr="00F0794C">
        <w:rPr>
          <w:rFonts w:asciiTheme="minorHAnsi" w:hAnsiTheme="minorHAnsi"/>
          <w:b w:val="0"/>
          <w:szCs w:val="22"/>
        </w:rPr>
        <w:t>(GVM). H</w:t>
      </w:r>
      <w:r w:rsidR="004F7B9F" w:rsidRPr="00F0794C">
        <w:rPr>
          <w:rFonts w:asciiTheme="minorHAnsi" w:hAnsiTheme="minorHAnsi"/>
          <w:b w:val="0"/>
          <w:szCs w:val="22"/>
        </w:rPr>
        <w:t xml:space="preserve">owever, semi trailers or </w:t>
      </w:r>
      <w:r w:rsidR="006507A6" w:rsidRPr="00F0794C">
        <w:rPr>
          <w:rFonts w:asciiTheme="minorHAnsi" w:hAnsiTheme="minorHAnsi"/>
          <w:b w:val="0"/>
          <w:szCs w:val="22"/>
        </w:rPr>
        <w:t>high productivity vehicles</w:t>
      </w:r>
      <w:r w:rsidR="00B518E9" w:rsidRPr="00F0794C">
        <w:rPr>
          <w:rFonts w:asciiTheme="minorHAnsi" w:hAnsiTheme="minorHAnsi"/>
          <w:b w:val="0"/>
          <w:szCs w:val="22"/>
        </w:rPr>
        <w:t xml:space="preserve"> (HPV)</w:t>
      </w:r>
      <w:r w:rsidR="004F7B9F" w:rsidRPr="00F0794C">
        <w:rPr>
          <w:rFonts w:asciiTheme="minorHAnsi" w:hAnsiTheme="minorHAnsi"/>
          <w:b w:val="0"/>
          <w:szCs w:val="22"/>
        </w:rPr>
        <w:t xml:space="preserve"> are likely to </w:t>
      </w:r>
      <w:r w:rsidR="004A6DDC" w:rsidRPr="00F0794C">
        <w:rPr>
          <w:rFonts w:asciiTheme="minorHAnsi" w:hAnsiTheme="minorHAnsi"/>
          <w:b w:val="0"/>
          <w:szCs w:val="22"/>
        </w:rPr>
        <w:t xml:space="preserve">‘volume </w:t>
      </w:r>
      <w:r w:rsidR="004F7B9F" w:rsidRPr="00F0794C">
        <w:rPr>
          <w:rFonts w:asciiTheme="minorHAnsi" w:hAnsiTheme="minorHAnsi"/>
          <w:b w:val="0"/>
          <w:szCs w:val="22"/>
        </w:rPr>
        <w:t>out</w:t>
      </w:r>
      <w:r w:rsidR="004A6DDC" w:rsidRPr="00F0794C">
        <w:rPr>
          <w:rFonts w:asciiTheme="minorHAnsi" w:hAnsiTheme="minorHAnsi"/>
          <w:b w:val="0"/>
          <w:szCs w:val="22"/>
        </w:rPr>
        <w:t>’</w:t>
      </w:r>
      <w:r w:rsidR="004F7B9F" w:rsidRPr="00F0794C">
        <w:rPr>
          <w:rFonts w:asciiTheme="minorHAnsi" w:hAnsiTheme="minorHAnsi"/>
          <w:b w:val="0"/>
          <w:szCs w:val="22"/>
        </w:rPr>
        <w:t xml:space="preserve"> due to </w:t>
      </w:r>
      <w:r>
        <w:rPr>
          <w:rFonts w:asciiTheme="minorHAnsi" w:hAnsiTheme="minorHAnsi"/>
          <w:b w:val="0"/>
          <w:szCs w:val="22"/>
        </w:rPr>
        <w:t xml:space="preserve">freighting </w:t>
      </w:r>
      <w:r w:rsidR="00B518E9" w:rsidRPr="00F0794C">
        <w:rPr>
          <w:rFonts w:asciiTheme="minorHAnsi" w:hAnsiTheme="minorHAnsi"/>
          <w:b w:val="0"/>
          <w:szCs w:val="22"/>
        </w:rPr>
        <w:t>lighter</w:t>
      </w:r>
      <w:r w:rsidR="004F7B9F" w:rsidRPr="00F0794C">
        <w:rPr>
          <w:rFonts w:asciiTheme="minorHAnsi" w:hAnsiTheme="minorHAnsi"/>
          <w:b w:val="0"/>
          <w:szCs w:val="22"/>
        </w:rPr>
        <w:t xml:space="preserve"> consumer goods. </w:t>
      </w:r>
    </w:p>
    <w:p w:rsidR="004F7B9F" w:rsidRPr="00F0794C" w:rsidRDefault="004F7B9F" w:rsidP="004B5863">
      <w:pPr>
        <w:pStyle w:val="BodyText2"/>
        <w:jc w:val="both"/>
        <w:rPr>
          <w:rFonts w:asciiTheme="minorHAnsi" w:hAnsiTheme="minorHAnsi"/>
          <w:b w:val="0"/>
          <w:szCs w:val="22"/>
        </w:rPr>
      </w:pPr>
    </w:p>
    <w:p w:rsidR="004F7B9F" w:rsidRPr="00F0794C" w:rsidRDefault="004F7B9F" w:rsidP="004B5863">
      <w:pPr>
        <w:pStyle w:val="BodyText2"/>
        <w:jc w:val="both"/>
        <w:rPr>
          <w:rFonts w:asciiTheme="minorHAnsi" w:hAnsiTheme="minorHAnsi"/>
          <w:b w:val="0"/>
          <w:szCs w:val="22"/>
        </w:rPr>
      </w:pPr>
      <w:r w:rsidRPr="00F0794C">
        <w:rPr>
          <w:rFonts w:asciiTheme="minorHAnsi" w:hAnsiTheme="minorHAnsi"/>
          <w:b w:val="0"/>
          <w:szCs w:val="22"/>
        </w:rPr>
        <w:t xml:space="preserve">The distance and location based component of the charge depends upon the availability of mobile stations for transmitting data and this coverage is patchy across parts of regional, rural and remote Australia. </w:t>
      </w:r>
    </w:p>
    <w:p w:rsidR="004F7B9F" w:rsidRPr="00F0794C" w:rsidRDefault="004F7B9F" w:rsidP="004B5863">
      <w:pPr>
        <w:pStyle w:val="BodyText2"/>
        <w:jc w:val="both"/>
        <w:rPr>
          <w:rFonts w:asciiTheme="minorHAnsi" w:hAnsiTheme="minorHAnsi"/>
          <w:b w:val="0"/>
          <w:szCs w:val="22"/>
        </w:rPr>
      </w:pPr>
    </w:p>
    <w:p w:rsidR="004F7B9F" w:rsidRPr="00F0794C" w:rsidRDefault="004F7B9F" w:rsidP="004B5863">
      <w:pPr>
        <w:pStyle w:val="BodyText2"/>
        <w:jc w:val="both"/>
        <w:rPr>
          <w:rFonts w:asciiTheme="minorHAnsi" w:hAnsiTheme="minorHAnsi"/>
          <w:b w:val="0"/>
          <w:szCs w:val="22"/>
        </w:rPr>
      </w:pPr>
      <w:r w:rsidRPr="00F0794C">
        <w:rPr>
          <w:rFonts w:asciiTheme="minorHAnsi" w:hAnsiTheme="minorHAnsi"/>
          <w:b w:val="0"/>
          <w:szCs w:val="22"/>
        </w:rPr>
        <w:t xml:space="preserve">Also HVCI </w:t>
      </w:r>
      <w:r w:rsidR="001F1510" w:rsidRPr="00F0794C">
        <w:rPr>
          <w:rFonts w:asciiTheme="minorHAnsi" w:hAnsiTheme="minorHAnsi"/>
          <w:b w:val="0"/>
          <w:szCs w:val="22"/>
        </w:rPr>
        <w:t>has</w:t>
      </w:r>
      <w:r w:rsidRPr="00F0794C">
        <w:rPr>
          <w:rFonts w:asciiTheme="minorHAnsi" w:hAnsiTheme="minorHAnsi"/>
          <w:b w:val="0"/>
          <w:szCs w:val="22"/>
        </w:rPr>
        <w:t xml:space="preserve"> indicated that it is not cost effective for all trucks in Australia to have telematic devi</w:t>
      </w:r>
      <w:r w:rsidR="00CB5B48">
        <w:rPr>
          <w:rFonts w:asciiTheme="minorHAnsi" w:hAnsiTheme="minorHAnsi"/>
          <w:b w:val="0"/>
          <w:szCs w:val="22"/>
        </w:rPr>
        <w:t>ces in their vehicles. H</w:t>
      </w:r>
      <w:r w:rsidR="000C1944" w:rsidRPr="00F0794C">
        <w:rPr>
          <w:rFonts w:asciiTheme="minorHAnsi" w:hAnsiTheme="minorHAnsi"/>
          <w:b w:val="0"/>
          <w:szCs w:val="22"/>
        </w:rPr>
        <w:t>V</w:t>
      </w:r>
      <w:r w:rsidR="00CB5B48">
        <w:rPr>
          <w:rFonts w:asciiTheme="minorHAnsi" w:hAnsiTheme="minorHAnsi"/>
          <w:b w:val="0"/>
          <w:szCs w:val="22"/>
        </w:rPr>
        <w:t>C</w:t>
      </w:r>
      <w:r w:rsidR="000C1944" w:rsidRPr="00F0794C">
        <w:rPr>
          <w:rFonts w:asciiTheme="minorHAnsi" w:hAnsiTheme="minorHAnsi"/>
          <w:b w:val="0"/>
          <w:szCs w:val="22"/>
        </w:rPr>
        <w:t>I also</w:t>
      </w:r>
      <w:r w:rsidRPr="00F0794C">
        <w:rPr>
          <w:rFonts w:asciiTheme="minorHAnsi" w:hAnsiTheme="minorHAnsi"/>
          <w:b w:val="0"/>
          <w:szCs w:val="22"/>
        </w:rPr>
        <w:t xml:space="preserve"> recommended that </w:t>
      </w:r>
      <w:r w:rsidR="004A6DDC" w:rsidRPr="00F0794C">
        <w:rPr>
          <w:rFonts w:asciiTheme="minorHAnsi" w:hAnsiTheme="minorHAnsi"/>
          <w:b w:val="0"/>
          <w:szCs w:val="22"/>
        </w:rPr>
        <w:t>specific</w:t>
      </w:r>
      <w:r w:rsidRPr="00F0794C">
        <w:rPr>
          <w:rFonts w:asciiTheme="minorHAnsi" w:hAnsiTheme="minorHAnsi"/>
          <w:b w:val="0"/>
          <w:szCs w:val="22"/>
        </w:rPr>
        <w:t xml:space="preserve"> sections of the industry and different sized operators </w:t>
      </w:r>
      <w:r w:rsidR="000C1944" w:rsidRPr="00F0794C">
        <w:rPr>
          <w:rFonts w:asciiTheme="minorHAnsi" w:hAnsiTheme="minorHAnsi"/>
          <w:b w:val="0"/>
          <w:szCs w:val="22"/>
        </w:rPr>
        <w:t>would need</w:t>
      </w:r>
      <w:r w:rsidRPr="00F0794C">
        <w:rPr>
          <w:rFonts w:asciiTheme="minorHAnsi" w:hAnsiTheme="minorHAnsi"/>
          <w:b w:val="0"/>
          <w:szCs w:val="22"/>
        </w:rPr>
        <w:t xml:space="preserve"> </w:t>
      </w:r>
      <w:r w:rsidR="004A6DDC" w:rsidRPr="00F0794C">
        <w:rPr>
          <w:rFonts w:asciiTheme="minorHAnsi" w:hAnsiTheme="minorHAnsi"/>
          <w:b w:val="0"/>
          <w:szCs w:val="22"/>
        </w:rPr>
        <w:t>alternative</w:t>
      </w:r>
      <w:r w:rsidRPr="00F0794C">
        <w:rPr>
          <w:rFonts w:asciiTheme="minorHAnsi" w:hAnsiTheme="minorHAnsi"/>
          <w:b w:val="0"/>
          <w:szCs w:val="22"/>
        </w:rPr>
        <w:t xml:space="preserve"> charging systems</w:t>
      </w:r>
      <w:r w:rsidR="000C1944" w:rsidRPr="00F0794C">
        <w:rPr>
          <w:rFonts w:asciiTheme="minorHAnsi" w:hAnsiTheme="minorHAnsi"/>
          <w:b w:val="0"/>
          <w:szCs w:val="22"/>
        </w:rPr>
        <w:t xml:space="preserve">. This would result in </w:t>
      </w:r>
      <w:r w:rsidR="00CB5B48" w:rsidRPr="00F0794C">
        <w:rPr>
          <w:rFonts w:asciiTheme="minorHAnsi" w:hAnsiTheme="minorHAnsi"/>
          <w:b w:val="0"/>
          <w:szCs w:val="22"/>
        </w:rPr>
        <w:t>varied</w:t>
      </w:r>
      <w:r w:rsidRPr="00F0794C">
        <w:rPr>
          <w:rFonts w:asciiTheme="minorHAnsi" w:hAnsiTheme="minorHAnsi"/>
          <w:b w:val="0"/>
          <w:szCs w:val="22"/>
        </w:rPr>
        <w:t xml:space="preserve"> compliance and enforcement burdens.</w:t>
      </w:r>
      <w:r w:rsidR="00CB5B48">
        <w:rPr>
          <w:rFonts w:asciiTheme="minorHAnsi" w:hAnsiTheme="minorHAnsi"/>
          <w:b w:val="0"/>
          <w:szCs w:val="22"/>
        </w:rPr>
        <w:t xml:space="preserve"> Large operators with telematic</w:t>
      </w:r>
      <w:r w:rsidRPr="00F0794C">
        <w:rPr>
          <w:rFonts w:asciiTheme="minorHAnsi" w:hAnsiTheme="minorHAnsi"/>
          <w:b w:val="0"/>
          <w:szCs w:val="22"/>
        </w:rPr>
        <w:t xml:space="preserve"> capabilities could use a fully automated </w:t>
      </w:r>
      <w:proofErr w:type="gramStart"/>
      <w:r w:rsidRPr="00F0794C">
        <w:rPr>
          <w:rFonts w:asciiTheme="minorHAnsi" w:hAnsiTheme="minorHAnsi"/>
          <w:b w:val="0"/>
          <w:szCs w:val="22"/>
        </w:rPr>
        <w:t>system,</w:t>
      </w:r>
      <w:proofErr w:type="gramEnd"/>
      <w:r w:rsidRPr="00F0794C">
        <w:rPr>
          <w:rFonts w:asciiTheme="minorHAnsi" w:hAnsiTheme="minorHAnsi"/>
          <w:b w:val="0"/>
          <w:szCs w:val="22"/>
        </w:rPr>
        <w:t xml:space="preserve"> however, an operator with a</w:t>
      </w:r>
      <w:r w:rsidR="00B12E62">
        <w:rPr>
          <w:rFonts w:asciiTheme="minorHAnsi" w:hAnsiTheme="minorHAnsi"/>
          <w:b w:val="0"/>
          <w:szCs w:val="22"/>
        </w:rPr>
        <w:t xml:space="preserve"> few trucks (which makes up 89</w:t>
      </w:r>
      <w:r w:rsidRPr="00F0794C">
        <w:rPr>
          <w:rFonts w:asciiTheme="minorHAnsi" w:hAnsiTheme="minorHAnsi"/>
          <w:b w:val="0"/>
          <w:szCs w:val="22"/>
        </w:rPr>
        <w:t xml:space="preserve">% of </w:t>
      </w:r>
      <w:r w:rsidR="004A6DDC" w:rsidRPr="00F0794C">
        <w:rPr>
          <w:rFonts w:asciiTheme="minorHAnsi" w:hAnsiTheme="minorHAnsi"/>
          <w:b w:val="0"/>
          <w:szCs w:val="22"/>
        </w:rPr>
        <w:t xml:space="preserve">the </w:t>
      </w:r>
      <w:r w:rsidRPr="00F0794C">
        <w:rPr>
          <w:rFonts w:asciiTheme="minorHAnsi" w:hAnsiTheme="minorHAnsi"/>
          <w:b w:val="0"/>
          <w:szCs w:val="22"/>
        </w:rPr>
        <w:t>industry</w:t>
      </w:r>
      <w:r w:rsidR="00B12E62">
        <w:rPr>
          <w:rStyle w:val="FootnoteReference"/>
          <w:rFonts w:asciiTheme="minorHAnsi" w:hAnsiTheme="minorHAnsi"/>
          <w:b w:val="0"/>
          <w:szCs w:val="22"/>
        </w:rPr>
        <w:footnoteReference w:id="32"/>
      </w:r>
      <w:r w:rsidRPr="00F0794C">
        <w:rPr>
          <w:rFonts w:asciiTheme="minorHAnsi" w:hAnsiTheme="minorHAnsi"/>
          <w:b w:val="0"/>
          <w:szCs w:val="22"/>
        </w:rPr>
        <w:t xml:space="preserve">) would be expected to </w:t>
      </w:r>
      <w:r w:rsidR="004A6DDC" w:rsidRPr="00F0794C">
        <w:rPr>
          <w:rFonts w:asciiTheme="minorHAnsi" w:hAnsiTheme="minorHAnsi"/>
          <w:b w:val="0"/>
          <w:szCs w:val="22"/>
        </w:rPr>
        <w:t>complete extra</w:t>
      </w:r>
      <w:r w:rsidRPr="00F0794C">
        <w:rPr>
          <w:rFonts w:asciiTheme="minorHAnsi" w:hAnsiTheme="minorHAnsi"/>
          <w:b w:val="0"/>
          <w:szCs w:val="22"/>
        </w:rPr>
        <w:t xml:space="preserve"> self declaration </w:t>
      </w:r>
      <w:r w:rsidR="004A6DDC" w:rsidRPr="00F0794C">
        <w:rPr>
          <w:rFonts w:asciiTheme="minorHAnsi" w:hAnsiTheme="minorHAnsi"/>
          <w:b w:val="0"/>
          <w:szCs w:val="22"/>
        </w:rPr>
        <w:t>through</w:t>
      </w:r>
      <w:r w:rsidRPr="00F0794C">
        <w:rPr>
          <w:rFonts w:asciiTheme="minorHAnsi" w:hAnsiTheme="minorHAnsi"/>
          <w:b w:val="0"/>
          <w:szCs w:val="22"/>
        </w:rPr>
        <w:t xml:space="preserve"> additional paperwork and would undergo </w:t>
      </w:r>
      <w:r w:rsidR="004A6DDC" w:rsidRPr="00F0794C">
        <w:rPr>
          <w:rFonts w:asciiTheme="minorHAnsi" w:hAnsiTheme="minorHAnsi"/>
          <w:b w:val="0"/>
          <w:szCs w:val="22"/>
        </w:rPr>
        <w:t>further</w:t>
      </w:r>
      <w:r w:rsidRPr="00F0794C">
        <w:rPr>
          <w:rFonts w:asciiTheme="minorHAnsi" w:hAnsiTheme="minorHAnsi"/>
          <w:b w:val="0"/>
          <w:szCs w:val="22"/>
        </w:rPr>
        <w:t xml:space="preserve"> compliance and enforcement burdens. </w:t>
      </w:r>
    </w:p>
    <w:p w:rsidR="004F7B9F" w:rsidRDefault="004F7B9F" w:rsidP="004B5863">
      <w:pPr>
        <w:pStyle w:val="BodyText2"/>
        <w:jc w:val="both"/>
        <w:rPr>
          <w:rFonts w:asciiTheme="minorHAnsi" w:hAnsiTheme="minorHAnsi"/>
          <w:b w:val="0"/>
          <w:szCs w:val="22"/>
        </w:rPr>
      </w:pPr>
    </w:p>
    <w:p w:rsidR="00B51244" w:rsidRDefault="00B51244" w:rsidP="004B5863">
      <w:pPr>
        <w:pStyle w:val="BodyText2"/>
        <w:jc w:val="both"/>
        <w:rPr>
          <w:rFonts w:asciiTheme="minorHAnsi" w:hAnsiTheme="minorHAnsi"/>
          <w:b w:val="0"/>
          <w:szCs w:val="22"/>
        </w:rPr>
      </w:pPr>
    </w:p>
    <w:p w:rsidR="00B51244" w:rsidRDefault="00B51244" w:rsidP="004B5863">
      <w:pPr>
        <w:pStyle w:val="BodyText2"/>
        <w:jc w:val="both"/>
        <w:rPr>
          <w:rFonts w:asciiTheme="minorHAnsi" w:hAnsiTheme="minorHAnsi"/>
          <w:b w:val="0"/>
          <w:szCs w:val="22"/>
        </w:rPr>
      </w:pPr>
    </w:p>
    <w:p w:rsidR="00B51244" w:rsidRDefault="00B51244" w:rsidP="004B5863">
      <w:pPr>
        <w:pStyle w:val="BodyText2"/>
        <w:jc w:val="both"/>
        <w:rPr>
          <w:rFonts w:asciiTheme="minorHAnsi" w:hAnsiTheme="minorHAnsi"/>
          <w:b w:val="0"/>
          <w:szCs w:val="22"/>
        </w:rPr>
      </w:pPr>
    </w:p>
    <w:p w:rsidR="00B51244" w:rsidRPr="00F0794C" w:rsidRDefault="00B51244" w:rsidP="004B5863">
      <w:pPr>
        <w:pStyle w:val="BodyText2"/>
        <w:jc w:val="both"/>
        <w:rPr>
          <w:rFonts w:asciiTheme="minorHAnsi" w:hAnsiTheme="minorHAnsi"/>
          <w:b w:val="0"/>
          <w:szCs w:val="22"/>
        </w:rPr>
      </w:pPr>
    </w:p>
    <w:p w:rsidR="00B36BD8" w:rsidRPr="00F0794C" w:rsidRDefault="004F7B9F" w:rsidP="004B5863">
      <w:pPr>
        <w:pStyle w:val="BodyText2"/>
        <w:jc w:val="both"/>
        <w:rPr>
          <w:rFonts w:asciiTheme="minorHAnsi" w:hAnsiTheme="minorHAnsi"/>
          <w:b w:val="0"/>
          <w:szCs w:val="22"/>
        </w:rPr>
      </w:pPr>
      <w:r w:rsidRPr="00F0794C">
        <w:rPr>
          <w:rFonts w:asciiTheme="minorHAnsi" w:hAnsiTheme="minorHAnsi"/>
          <w:b w:val="0"/>
          <w:szCs w:val="22"/>
        </w:rPr>
        <w:lastRenderedPageBreak/>
        <w:t xml:space="preserve">HVCI MDL favours large operators and seeks to overburden smaller operators and small business. Compare this to the </w:t>
      </w:r>
      <w:r w:rsidR="00B36BD8" w:rsidRPr="00F0794C">
        <w:rPr>
          <w:rFonts w:asciiTheme="minorHAnsi" w:hAnsiTheme="minorHAnsi"/>
          <w:b w:val="0"/>
          <w:szCs w:val="22"/>
        </w:rPr>
        <w:t xml:space="preserve">current system where the </w:t>
      </w:r>
      <w:r w:rsidR="006507A6" w:rsidRPr="00F0794C">
        <w:rPr>
          <w:rFonts w:asciiTheme="minorHAnsi" w:hAnsiTheme="minorHAnsi"/>
          <w:b w:val="0"/>
          <w:szCs w:val="22"/>
        </w:rPr>
        <w:t xml:space="preserve">Australian </w:t>
      </w:r>
      <w:r w:rsidR="00B36BD8" w:rsidRPr="00F0794C">
        <w:rPr>
          <w:rFonts w:asciiTheme="minorHAnsi" w:hAnsiTheme="minorHAnsi"/>
          <w:b w:val="0"/>
          <w:szCs w:val="22"/>
        </w:rPr>
        <w:t>T</w:t>
      </w:r>
      <w:r w:rsidR="006507A6" w:rsidRPr="00F0794C">
        <w:rPr>
          <w:rFonts w:asciiTheme="minorHAnsi" w:hAnsiTheme="minorHAnsi"/>
          <w:b w:val="0"/>
          <w:szCs w:val="22"/>
        </w:rPr>
        <w:t xml:space="preserve">ax </w:t>
      </w:r>
      <w:r w:rsidR="00B36BD8" w:rsidRPr="00F0794C">
        <w:rPr>
          <w:rFonts w:asciiTheme="minorHAnsi" w:hAnsiTheme="minorHAnsi"/>
          <w:b w:val="0"/>
          <w:szCs w:val="22"/>
        </w:rPr>
        <w:t>O</w:t>
      </w:r>
      <w:r w:rsidR="006507A6" w:rsidRPr="00F0794C">
        <w:rPr>
          <w:rFonts w:asciiTheme="minorHAnsi" w:hAnsiTheme="minorHAnsi"/>
          <w:b w:val="0"/>
          <w:szCs w:val="22"/>
        </w:rPr>
        <w:t>ffice (ATO)</w:t>
      </w:r>
      <w:r w:rsidR="00B36BD8" w:rsidRPr="00F0794C">
        <w:rPr>
          <w:rFonts w:asciiTheme="minorHAnsi" w:hAnsiTheme="minorHAnsi"/>
          <w:b w:val="0"/>
          <w:szCs w:val="22"/>
        </w:rPr>
        <w:t xml:space="preserve"> affords small business</w:t>
      </w:r>
      <w:r w:rsidR="00CB5B48">
        <w:rPr>
          <w:rFonts w:asciiTheme="minorHAnsi" w:hAnsiTheme="minorHAnsi"/>
          <w:b w:val="0"/>
          <w:szCs w:val="22"/>
        </w:rPr>
        <w:t>es</w:t>
      </w:r>
      <w:r w:rsidR="00B36BD8" w:rsidRPr="00F0794C">
        <w:rPr>
          <w:rFonts w:asciiTheme="minorHAnsi" w:hAnsiTheme="minorHAnsi"/>
          <w:b w:val="0"/>
          <w:szCs w:val="22"/>
        </w:rPr>
        <w:t xml:space="preserve"> additional </w:t>
      </w:r>
      <w:r w:rsidR="006507A6" w:rsidRPr="00F0794C">
        <w:rPr>
          <w:rFonts w:asciiTheme="minorHAnsi" w:hAnsiTheme="minorHAnsi"/>
          <w:b w:val="0"/>
          <w:szCs w:val="22"/>
        </w:rPr>
        <w:t>assistance</w:t>
      </w:r>
      <w:r w:rsidR="00B36BD8" w:rsidRPr="00F0794C">
        <w:rPr>
          <w:rFonts w:asciiTheme="minorHAnsi" w:hAnsiTheme="minorHAnsi"/>
          <w:b w:val="0"/>
          <w:szCs w:val="22"/>
        </w:rPr>
        <w:t xml:space="preserve">. Moving to a fee for service as HVCI intends </w:t>
      </w:r>
      <w:r w:rsidR="006507A6" w:rsidRPr="00F0794C">
        <w:rPr>
          <w:rFonts w:asciiTheme="minorHAnsi" w:hAnsiTheme="minorHAnsi"/>
          <w:b w:val="0"/>
          <w:szCs w:val="22"/>
        </w:rPr>
        <w:t xml:space="preserve">with </w:t>
      </w:r>
      <w:r w:rsidR="00B36BD8" w:rsidRPr="00F0794C">
        <w:rPr>
          <w:rFonts w:asciiTheme="minorHAnsi" w:hAnsiTheme="minorHAnsi"/>
          <w:b w:val="0"/>
          <w:szCs w:val="22"/>
        </w:rPr>
        <w:t>MDL charges risks leaving small business</w:t>
      </w:r>
      <w:r w:rsidR="006507A6" w:rsidRPr="00F0794C">
        <w:rPr>
          <w:rFonts w:asciiTheme="minorHAnsi" w:hAnsiTheme="minorHAnsi"/>
          <w:b w:val="0"/>
          <w:szCs w:val="22"/>
        </w:rPr>
        <w:t xml:space="preserve"> exposed to a greater extent</w:t>
      </w:r>
      <w:r w:rsidR="00944548" w:rsidRPr="00F0794C">
        <w:rPr>
          <w:rFonts w:asciiTheme="minorHAnsi" w:hAnsiTheme="minorHAnsi"/>
          <w:b w:val="0"/>
          <w:szCs w:val="22"/>
        </w:rPr>
        <w:t xml:space="preserve"> financially</w:t>
      </w:r>
      <w:r w:rsidR="00B36BD8" w:rsidRPr="00F0794C">
        <w:rPr>
          <w:rFonts w:asciiTheme="minorHAnsi" w:hAnsiTheme="minorHAnsi"/>
          <w:b w:val="0"/>
          <w:szCs w:val="22"/>
        </w:rPr>
        <w:t xml:space="preserve">.  </w:t>
      </w:r>
      <w:r w:rsidR="00944548" w:rsidRPr="00F0794C">
        <w:rPr>
          <w:rFonts w:asciiTheme="minorHAnsi" w:hAnsiTheme="minorHAnsi"/>
          <w:b w:val="0"/>
          <w:szCs w:val="22"/>
        </w:rPr>
        <w:t>One</w:t>
      </w:r>
      <w:r w:rsidR="00B36BD8" w:rsidRPr="00F0794C">
        <w:rPr>
          <w:rFonts w:asciiTheme="minorHAnsi" w:hAnsiTheme="minorHAnsi"/>
          <w:b w:val="0"/>
          <w:szCs w:val="22"/>
        </w:rPr>
        <w:t xml:space="preserve"> currently cheat</w:t>
      </w:r>
      <w:r w:rsidR="00944548" w:rsidRPr="00F0794C">
        <w:rPr>
          <w:rFonts w:asciiTheme="minorHAnsi" w:hAnsiTheme="minorHAnsi"/>
          <w:b w:val="0"/>
          <w:szCs w:val="22"/>
        </w:rPr>
        <w:t>s</w:t>
      </w:r>
      <w:r w:rsidR="00B36BD8" w:rsidRPr="00F0794C">
        <w:rPr>
          <w:rFonts w:asciiTheme="minorHAnsi" w:hAnsiTheme="minorHAnsi"/>
          <w:b w:val="0"/>
          <w:szCs w:val="22"/>
        </w:rPr>
        <w:t xml:space="preserve"> the ATO at </w:t>
      </w:r>
      <w:r w:rsidR="00944548" w:rsidRPr="00F0794C">
        <w:rPr>
          <w:rFonts w:asciiTheme="minorHAnsi" w:hAnsiTheme="minorHAnsi"/>
          <w:b w:val="0"/>
          <w:szCs w:val="22"/>
        </w:rPr>
        <w:t>one’s</w:t>
      </w:r>
      <w:r w:rsidR="00B36BD8" w:rsidRPr="00F0794C">
        <w:rPr>
          <w:rFonts w:asciiTheme="minorHAnsi" w:hAnsiTheme="minorHAnsi"/>
          <w:b w:val="0"/>
          <w:szCs w:val="22"/>
        </w:rPr>
        <w:t xml:space="preserve"> own peril and benchmarks set by the ATO to identify at risk </w:t>
      </w:r>
      <w:r w:rsidR="006507A6" w:rsidRPr="00F0794C">
        <w:rPr>
          <w:rFonts w:asciiTheme="minorHAnsi" w:hAnsiTheme="minorHAnsi"/>
          <w:b w:val="0"/>
          <w:szCs w:val="22"/>
        </w:rPr>
        <w:t>businesses</w:t>
      </w:r>
      <w:r w:rsidR="00B36BD8" w:rsidRPr="00F0794C">
        <w:rPr>
          <w:rFonts w:asciiTheme="minorHAnsi" w:hAnsiTheme="minorHAnsi"/>
          <w:b w:val="0"/>
          <w:szCs w:val="22"/>
        </w:rPr>
        <w:t xml:space="preserve"> </w:t>
      </w:r>
      <w:r w:rsidR="00944548" w:rsidRPr="00F0794C">
        <w:rPr>
          <w:rFonts w:asciiTheme="minorHAnsi" w:hAnsiTheme="minorHAnsi"/>
          <w:b w:val="0"/>
          <w:szCs w:val="22"/>
        </w:rPr>
        <w:t>are</w:t>
      </w:r>
      <w:r w:rsidR="00B36BD8" w:rsidRPr="00F0794C">
        <w:rPr>
          <w:rFonts w:asciiTheme="minorHAnsi" w:hAnsiTheme="minorHAnsi"/>
          <w:b w:val="0"/>
          <w:szCs w:val="22"/>
        </w:rPr>
        <w:t xml:space="preserve"> a better way to asse</w:t>
      </w:r>
      <w:r w:rsidR="004A6DDC" w:rsidRPr="00F0794C">
        <w:rPr>
          <w:rFonts w:asciiTheme="minorHAnsi" w:hAnsiTheme="minorHAnsi"/>
          <w:b w:val="0"/>
          <w:szCs w:val="22"/>
        </w:rPr>
        <w:t>s</w:t>
      </w:r>
      <w:r w:rsidR="00B36BD8" w:rsidRPr="00F0794C">
        <w:rPr>
          <w:rFonts w:asciiTheme="minorHAnsi" w:hAnsiTheme="minorHAnsi"/>
          <w:b w:val="0"/>
          <w:szCs w:val="22"/>
        </w:rPr>
        <w:t xml:space="preserve">s risk of default than simply arbitrarily </w:t>
      </w:r>
      <w:r w:rsidR="006507A6" w:rsidRPr="00F0794C">
        <w:rPr>
          <w:rFonts w:asciiTheme="minorHAnsi" w:hAnsiTheme="minorHAnsi"/>
          <w:b w:val="0"/>
          <w:szCs w:val="22"/>
        </w:rPr>
        <w:t>dividing</w:t>
      </w:r>
      <w:r w:rsidR="00B36BD8" w:rsidRPr="00F0794C">
        <w:rPr>
          <w:rFonts w:asciiTheme="minorHAnsi" w:hAnsiTheme="minorHAnsi"/>
          <w:b w:val="0"/>
          <w:szCs w:val="22"/>
        </w:rPr>
        <w:t xml:space="preserve"> </w:t>
      </w:r>
      <w:r w:rsidR="00944548" w:rsidRPr="00F0794C">
        <w:rPr>
          <w:rFonts w:asciiTheme="minorHAnsi" w:hAnsiTheme="minorHAnsi"/>
          <w:b w:val="0"/>
          <w:szCs w:val="22"/>
        </w:rPr>
        <w:t xml:space="preserve">up </w:t>
      </w:r>
      <w:r w:rsidR="00B36BD8" w:rsidRPr="00F0794C">
        <w:rPr>
          <w:rFonts w:asciiTheme="minorHAnsi" w:hAnsiTheme="minorHAnsi"/>
          <w:b w:val="0"/>
          <w:szCs w:val="22"/>
        </w:rPr>
        <w:t xml:space="preserve">the industry as HVCI seek to do. </w:t>
      </w:r>
    </w:p>
    <w:p w:rsidR="0019645A" w:rsidRPr="00F0794C" w:rsidRDefault="0019645A" w:rsidP="004B5863">
      <w:pPr>
        <w:pStyle w:val="NormalWeb"/>
        <w:spacing w:before="0" w:beforeAutospacing="0" w:after="0" w:afterAutospacing="0"/>
        <w:jc w:val="both"/>
        <w:rPr>
          <w:rFonts w:asciiTheme="minorHAnsi" w:hAnsiTheme="minorHAnsi" w:cs="Arial"/>
          <w:iCs/>
          <w:sz w:val="22"/>
          <w:szCs w:val="22"/>
        </w:rPr>
      </w:pPr>
    </w:p>
    <w:p w:rsidR="00064F11" w:rsidRPr="00F0794C" w:rsidRDefault="00064F11" w:rsidP="004B5863">
      <w:pPr>
        <w:pStyle w:val="NormalWeb"/>
        <w:spacing w:before="0" w:beforeAutospacing="0" w:after="0" w:afterAutospacing="0"/>
        <w:jc w:val="both"/>
        <w:rPr>
          <w:rFonts w:asciiTheme="minorHAnsi" w:hAnsiTheme="minorHAnsi" w:cs="Arial"/>
          <w:iCs/>
          <w:sz w:val="22"/>
          <w:szCs w:val="22"/>
        </w:rPr>
      </w:pPr>
      <w:r w:rsidRPr="00F0794C">
        <w:rPr>
          <w:rFonts w:asciiTheme="minorHAnsi" w:hAnsiTheme="minorHAnsi" w:cs="Arial"/>
          <w:iCs/>
          <w:sz w:val="22"/>
          <w:szCs w:val="22"/>
        </w:rPr>
        <w:t>It must also be remembered that if MDL pricing is implemented, operators will still have to purchase fuel and claim a full fuel tax credit</w:t>
      </w:r>
      <w:r w:rsidR="0019645A" w:rsidRPr="00F0794C">
        <w:rPr>
          <w:rFonts w:asciiTheme="minorHAnsi" w:hAnsiTheme="minorHAnsi" w:cs="Arial"/>
          <w:iCs/>
          <w:sz w:val="22"/>
          <w:szCs w:val="22"/>
        </w:rPr>
        <w:t>. T</w:t>
      </w:r>
      <w:r w:rsidRPr="00F0794C">
        <w:rPr>
          <w:rFonts w:asciiTheme="minorHAnsi" w:hAnsiTheme="minorHAnsi" w:cs="Arial"/>
          <w:iCs/>
          <w:sz w:val="22"/>
          <w:szCs w:val="22"/>
        </w:rPr>
        <w:t>his will have</w:t>
      </w:r>
      <w:r w:rsidR="00901452" w:rsidRPr="00F0794C">
        <w:rPr>
          <w:rFonts w:asciiTheme="minorHAnsi" w:hAnsiTheme="minorHAnsi" w:cs="Arial"/>
          <w:iCs/>
          <w:sz w:val="22"/>
          <w:szCs w:val="22"/>
        </w:rPr>
        <w:t xml:space="preserve"> a significant effect</w:t>
      </w:r>
      <w:r w:rsidRPr="00F0794C">
        <w:rPr>
          <w:rFonts w:asciiTheme="minorHAnsi" w:hAnsiTheme="minorHAnsi" w:cs="Arial"/>
          <w:iCs/>
          <w:sz w:val="22"/>
          <w:szCs w:val="22"/>
        </w:rPr>
        <w:t xml:space="preserve"> on cash flow</w:t>
      </w:r>
      <w:r w:rsidR="00901452" w:rsidRPr="00F0794C">
        <w:rPr>
          <w:rFonts w:asciiTheme="minorHAnsi" w:hAnsiTheme="minorHAnsi" w:cs="Arial"/>
          <w:iCs/>
          <w:sz w:val="22"/>
          <w:szCs w:val="22"/>
        </w:rPr>
        <w:t>s</w:t>
      </w:r>
      <w:r w:rsidRPr="00F0794C">
        <w:rPr>
          <w:rFonts w:asciiTheme="minorHAnsi" w:hAnsiTheme="minorHAnsi" w:cs="Arial"/>
          <w:iCs/>
          <w:sz w:val="22"/>
          <w:szCs w:val="22"/>
        </w:rPr>
        <w:t xml:space="preserve"> for operators. Operators will have two charges systems, two sets of administrati</w:t>
      </w:r>
      <w:r w:rsidR="00901452" w:rsidRPr="00F0794C">
        <w:rPr>
          <w:rFonts w:asciiTheme="minorHAnsi" w:hAnsiTheme="minorHAnsi" w:cs="Arial"/>
          <w:iCs/>
          <w:sz w:val="22"/>
          <w:szCs w:val="22"/>
        </w:rPr>
        <w:t>ve</w:t>
      </w:r>
      <w:r w:rsidRPr="00F0794C">
        <w:rPr>
          <w:rFonts w:asciiTheme="minorHAnsi" w:hAnsiTheme="minorHAnsi" w:cs="Arial"/>
          <w:iCs/>
          <w:sz w:val="22"/>
          <w:szCs w:val="22"/>
        </w:rPr>
        <w:t xml:space="preserve"> burden</w:t>
      </w:r>
      <w:r w:rsidR="00901452" w:rsidRPr="00F0794C">
        <w:rPr>
          <w:rFonts w:asciiTheme="minorHAnsi" w:hAnsiTheme="minorHAnsi" w:cs="Arial"/>
          <w:iCs/>
          <w:sz w:val="22"/>
          <w:szCs w:val="22"/>
        </w:rPr>
        <w:t>s</w:t>
      </w:r>
      <w:r w:rsidRPr="00F0794C">
        <w:rPr>
          <w:rFonts w:asciiTheme="minorHAnsi" w:hAnsiTheme="minorHAnsi" w:cs="Arial"/>
          <w:iCs/>
          <w:sz w:val="22"/>
          <w:szCs w:val="22"/>
        </w:rPr>
        <w:t xml:space="preserve"> and two sets of compliance</w:t>
      </w:r>
      <w:r w:rsidR="00901452" w:rsidRPr="00F0794C">
        <w:rPr>
          <w:rFonts w:asciiTheme="minorHAnsi" w:hAnsiTheme="minorHAnsi" w:cs="Arial"/>
          <w:iCs/>
          <w:sz w:val="22"/>
          <w:szCs w:val="22"/>
        </w:rPr>
        <w:t xml:space="preserve"> processes</w:t>
      </w:r>
      <w:r w:rsidRPr="00F0794C">
        <w:rPr>
          <w:rFonts w:asciiTheme="minorHAnsi" w:hAnsiTheme="minorHAnsi" w:cs="Arial"/>
          <w:iCs/>
          <w:sz w:val="22"/>
          <w:szCs w:val="22"/>
        </w:rPr>
        <w:t xml:space="preserve">. </w:t>
      </w:r>
    </w:p>
    <w:p w:rsidR="00064F11" w:rsidRPr="00F0794C" w:rsidRDefault="00064F11" w:rsidP="004B5863">
      <w:pPr>
        <w:pStyle w:val="NormalWeb"/>
        <w:spacing w:before="0" w:beforeAutospacing="0" w:after="0" w:afterAutospacing="0"/>
        <w:jc w:val="both"/>
        <w:rPr>
          <w:rFonts w:asciiTheme="minorHAnsi" w:hAnsiTheme="minorHAnsi" w:cs="Arial"/>
          <w:iCs/>
          <w:sz w:val="22"/>
          <w:szCs w:val="22"/>
        </w:rPr>
      </w:pPr>
    </w:p>
    <w:p w:rsidR="00064F11" w:rsidRPr="00F0794C" w:rsidRDefault="00064F11" w:rsidP="004B5863">
      <w:pPr>
        <w:pStyle w:val="NormalWeb"/>
        <w:spacing w:before="0" w:beforeAutospacing="0" w:after="0" w:afterAutospacing="0"/>
        <w:jc w:val="both"/>
        <w:rPr>
          <w:rFonts w:asciiTheme="minorHAnsi" w:hAnsiTheme="minorHAnsi" w:cs="Arial"/>
          <w:iCs/>
          <w:sz w:val="22"/>
          <w:szCs w:val="22"/>
        </w:rPr>
      </w:pPr>
      <w:r w:rsidRPr="00F0794C">
        <w:rPr>
          <w:rFonts w:asciiTheme="minorHAnsi" w:hAnsiTheme="minorHAnsi" w:cs="Arial"/>
          <w:iCs/>
          <w:sz w:val="22"/>
          <w:szCs w:val="22"/>
        </w:rPr>
        <w:t xml:space="preserve">HVCI’s proposal would greatly increase the cost of transporting freight in rural and regional areas, because roads in these </w:t>
      </w:r>
      <w:r w:rsidR="00901452" w:rsidRPr="00F0794C">
        <w:rPr>
          <w:rFonts w:asciiTheme="minorHAnsi" w:hAnsiTheme="minorHAnsi" w:cs="Arial"/>
          <w:iCs/>
          <w:sz w:val="22"/>
          <w:szCs w:val="22"/>
        </w:rPr>
        <w:t>locations</w:t>
      </w:r>
      <w:r w:rsidRPr="00F0794C">
        <w:rPr>
          <w:rFonts w:asciiTheme="minorHAnsi" w:hAnsiTheme="minorHAnsi" w:cs="Arial"/>
          <w:iCs/>
          <w:sz w:val="22"/>
          <w:szCs w:val="22"/>
        </w:rPr>
        <w:t xml:space="preserve"> are built to a lighter standard than major highways. To meet the cost of road wear, charges for local roads in rural areas would need to be 25 times higher than the charges for freeways</w:t>
      </w:r>
      <w:r w:rsidR="002B5959" w:rsidRPr="00F0794C">
        <w:rPr>
          <w:rFonts w:asciiTheme="minorHAnsi" w:hAnsiTheme="minorHAnsi" w:cs="Arial"/>
          <w:iCs/>
          <w:sz w:val="22"/>
          <w:szCs w:val="22"/>
        </w:rPr>
        <w:t xml:space="preserve"> (see previous ATA submission to the </w:t>
      </w:r>
      <w:r w:rsidR="006507A6" w:rsidRPr="00F0794C">
        <w:rPr>
          <w:rFonts w:asciiTheme="minorHAnsi" w:hAnsiTheme="minorHAnsi" w:cs="Arial"/>
          <w:iCs/>
          <w:sz w:val="22"/>
          <w:szCs w:val="22"/>
        </w:rPr>
        <w:t>Productivity Commission</w:t>
      </w:r>
      <w:r w:rsidR="002B5959" w:rsidRPr="00F0794C">
        <w:rPr>
          <w:rFonts w:asciiTheme="minorHAnsi" w:hAnsiTheme="minorHAnsi" w:cs="Arial"/>
          <w:iCs/>
          <w:sz w:val="22"/>
          <w:szCs w:val="22"/>
        </w:rPr>
        <w:t>: public infrastructure for more information)</w:t>
      </w:r>
      <w:r w:rsidRPr="00F0794C">
        <w:rPr>
          <w:rFonts w:asciiTheme="minorHAnsi" w:hAnsiTheme="minorHAnsi" w:cs="Arial"/>
          <w:iCs/>
          <w:sz w:val="22"/>
          <w:szCs w:val="22"/>
        </w:rPr>
        <w:t>.</w:t>
      </w:r>
    </w:p>
    <w:p w:rsidR="002D44EC" w:rsidRPr="00F0794C" w:rsidRDefault="002D44EC" w:rsidP="004B5863">
      <w:pPr>
        <w:pStyle w:val="BodyText2"/>
        <w:jc w:val="both"/>
        <w:rPr>
          <w:rFonts w:asciiTheme="minorHAnsi" w:hAnsiTheme="minorHAnsi"/>
          <w:b w:val="0"/>
          <w:szCs w:val="22"/>
        </w:rPr>
      </w:pPr>
    </w:p>
    <w:p w:rsidR="00A85A1F" w:rsidRPr="00F0794C" w:rsidRDefault="00A85A1F" w:rsidP="004B5863">
      <w:pPr>
        <w:pStyle w:val="BodyText2"/>
        <w:jc w:val="both"/>
        <w:rPr>
          <w:rFonts w:asciiTheme="minorHAnsi" w:hAnsiTheme="minorHAnsi"/>
          <w:b w:val="0"/>
          <w:szCs w:val="22"/>
        </w:rPr>
      </w:pPr>
      <w:r w:rsidRPr="00F0794C">
        <w:rPr>
          <w:rFonts w:asciiTheme="minorHAnsi" w:hAnsiTheme="minorHAnsi"/>
          <w:b w:val="0"/>
        </w:rPr>
        <w:t>We do not support the Commission</w:t>
      </w:r>
      <w:r w:rsidR="006507A6" w:rsidRPr="00F0794C">
        <w:rPr>
          <w:rFonts w:asciiTheme="minorHAnsi" w:hAnsiTheme="minorHAnsi"/>
          <w:b w:val="0"/>
        </w:rPr>
        <w:t>’</w:t>
      </w:r>
      <w:r w:rsidRPr="00F0794C">
        <w:rPr>
          <w:rFonts w:asciiTheme="minorHAnsi" w:hAnsiTheme="minorHAnsi"/>
          <w:b w:val="0"/>
        </w:rPr>
        <w:t>s view that the HVCI project should continue</w:t>
      </w:r>
      <w:r w:rsidRPr="00F0794C">
        <w:rPr>
          <w:rFonts w:asciiTheme="minorHAnsi" w:hAnsiTheme="minorHAnsi"/>
          <w:b w:val="0"/>
          <w:vertAlign w:val="superscript"/>
        </w:rPr>
        <w:footnoteReference w:id="33"/>
      </w:r>
      <w:r w:rsidR="0067135D" w:rsidRPr="00F0794C">
        <w:rPr>
          <w:rFonts w:asciiTheme="minorHAnsi" w:hAnsiTheme="minorHAnsi"/>
          <w:b w:val="0"/>
        </w:rPr>
        <w:t xml:space="preserve">. The ATA </w:t>
      </w:r>
      <w:r w:rsidR="00037A25" w:rsidRPr="00F0794C">
        <w:rPr>
          <w:rFonts w:asciiTheme="minorHAnsi" w:hAnsiTheme="minorHAnsi"/>
          <w:b w:val="0"/>
        </w:rPr>
        <w:t>has</w:t>
      </w:r>
      <w:r w:rsidRPr="00F0794C">
        <w:rPr>
          <w:rFonts w:asciiTheme="minorHAnsi" w:hAnsiTheme="minorHAnsi"/>
          <w:b w:val="0"/>
        </w:rPr>
        <w:t xml:space="preserve"> recommended to </w:t>
      </w:r>
      <w:r w:rsidR="00C974B5">
        <w:rPr>
          <w:rFonts w:asciiTheme="minorHAnsi" w:hAnsiTheme="minorHAnsi"/>
          <w:b w:val="0"/>
        </w:rPr>
        <w:t xml:space="preserve">the </w:t>
      </w:r>
      <w:r w:rsidRPr="00F0794C">
        <w:rPr>
          <w:rFonts w:asciiTheme="minorHAnsi" w:hAnsiTheme="minorHAnsi"/>
          <w:b w:val="0"/>
        </w:rPr>
        <w:t>Commonwealth Treasury</w:t>
      </w:r>
      <w:r w:rsidR="0067135D" w:rsidRPr="00F0794C">
        <w:rPr>
          <w:rFonts w:asciiTheme="minorHAnsi" w:hAnsiTheme="minorHAnsi"/>
          <w:b w:val="0"/>
        </w:rPr>
        <w:t xml:space="preserve"> and other government organisations</w:t>
      </w:r>
      <w:r w:rsidRPr="00F0794C">
        <w:rPr>
          <w:rFonts w:asciiTheme="minorHAnsi" w:hAnsiTheme="minorHAnsi"/>
          <w:b w:val="0"/>
        </w:rPr>
        <w:t xml:space="preserve"> that HVCI </w:t>
      </w:r>
      <w:r w:rsidR="0067135D" w:rsidRPr="00F0794C">
        <w:rPr>
          <w:rFonts w:asciiTheme="minorHAnsi" w:hAnsiTheme="minorHAnsi"/>
          <w:b w:val="0"/>
        </w:rPr>
        <w:t xml:space="preserve">should </w:t>
      </w:r>
      <w:r w:rsidRPr="00F0794C">
        <w:rPr>
          <w:rFonts w:asciiTheme="minorHAnsi" w:hAnsiTheme="minorHAnsi"/>
          <w:b w:val="0"/>
        </w:rPr>
        <w:t xml:space="preserve">be disbanded </w:t>
      </w:r>
      <w:r w:rsidR="00037A25" w:rsidRPr="00F0794C">
        <w:rPr>
          <w:rFonts w:asciiTheme="minorHAnsi" w:hAnsiTheme="minorHAnsi"/>
          <w:b w:val="0"/>
        </w:rPr>
        <w:t>since</w:t>
      </w:r>
      <w:r w:rsidR="006507A6" w:rsidRPr="00F0794C">
        <w:rPr>
          <w:rFonts w:asciiTheme="minorHAnsi" w:hAnsiTheme="minorHAnsi"/>
          <w:b w:val="0"/>
          <w:iCs/>
        </w:rPr>
        <w:t xml:space="preserve"> the outcome</w:t>
      </w:r>
      <w:r w:rsidR="00C974B5">
        <w:rPr>
          <w:rFonts w:asciiTheme="minorHAnsi" w:hAnsiTheme="minorHAnsi"/>
          <w:b w:val="0"/>
          <w:iCs/>
        </w:rPr>
        <w:t>s</w:t>
      </w:r>
      <w:r w:rsidR="006507A6" w:rsidRPr="00F0794C">
        <w:rPr>
          <w:rFonts w:asciiTheme="minorHAnsi" w:hAnsiTheme="minorHAnsi"/>
          <w:b w:val="0"/>
          <w:iCs/>
        </w:rPr>
        <w:t xml:space="preserve"> of </w:t>
      </w:r>
      <w:r w:rsidR="00037A25" w:rsidRPr="00F0794C">
        <w:rPr>
          <w:rFonts w:asciiTheme="minorHAnsi" w:hAnsiTheme="minorHAnsi"/>
          <w:b w:val="0"/>
          <w:iCs/>
        </w:rPr>
        <w:t>its</w:t>
      </w:r>
      <w:r w:rsidR="006507A6" w:rsidRPr="00F0794C">
        <w:rPr>
          <w:rFonts w:asciiTheme="minorHAnsi" w:hAnsiTheme="minorHAnsi"/>
          <w:b w:val="0"/>
          <w:iCs/>
        </w:rPr>
        <w:t xml:space="preserve"> recommendations will increase the cost of transporting freight, increase costs in rural Australia, add extra administration costs to trucking businesses</w:t>
      </w:r>
      <w:r w:rsidR="00752CE3">
        <w:rPr>
          <w:rFonts w:asciiTheme="minorHAnsi" w:hAnsiTheme="minorHAnsi"/>
          <w:b w:val="0"/>
          <w:iCs/>
        </w:rPr>
        <w:t>,</w:t>
      </w:r>
      <w:r w:rsidR="006507A6" w:rsidRPr="00F0794C">
        <w:rPr>
          <w:rFonts w:asciiTheme="minorHAnsi" w:hAnsiTheme="minorHAnsi"/>
          <w:b w:val="0"/>
          <w:iCs/>
        </w:rPr>
        <w:t xml:space="preserve"> and not provide improvements in road provision.</w:t>
      </w:r>
    </w:p>
    <w:p w:rsidR="00A85A1F" w:rsidRPr="00F0794C" w:rsidRDefault="00A85A1F" w:rsidP="004B5863">
      <w:pPr>
        <w:pStyle w:val="BodyText2"/>
        <w:jc w:val="both"/>
        <w:rPr>
          <w:rFonts w:asciiTheme="minorHAnsi" w:hAnsiTheme="minorHAnsi"/>
          <w:b w:val="0"/>
          <w:szCs w:val="22"/>
        </w:rPr>
      </w:pPr>
    </w:p>
    <w:p w:rsidR="002B5959" w:rsidRPr="00F0794C" w:rsidRDefault="002D44EC" w:rsidP="004B5863">
      <w:pPr>
        <w:pStyle w:val="BodyText2"/>
        <w:jc w:val="both"/>
        <w:rPr>
          <w:rFonts w:asciiTheme="minorHAnsi" w:hAnsiTheme="minorHAnsi"/>
          <w:b w:val="0"/>
          <w:szCs w:val="22"/>
        </w:rPr>
      </w:pPr>
      <w:r w:rsidRPr="00F0794C">
        <w:rPr>
          <w:rFonts w:asciiTheme="minorHAnsi" w:hAnsiTheme="minorHAnsi"/>
          <w:b w:val="0"/>
          <w:szCs w:val="22"/>
        </w:rPr>
        <w:t xml:space="preserve">The </w:t>
      </w:r>
      <w:r w:rsidR="004814E3" w:rsidRPr="00F0794C">
        <w:rPr>
          <w:rFonts w:asciiTheme="minorHAnsi" w:hAnsiTheme="minorHAnsi"/>
          <w:b w:val="0"/>
          <w:szCs w:val="22"/>
        </w:rPr>
        <w:t>Commission</w:t>
      </w:r>
      <w:r w:rsidRPr="00F0794C">
        <w:rPr>
          <w:rFonts w:asciiTheme="minorHAnsi" w:hAnsiTheme="minorHAnsi"/>
          <w:b w:val="0"/>
          <w:szCs w:val="22"/>
        </w:rPr>
        <w:t xml:space="preserve"> also state that user charges should have </w:t>
      </w:r>
      <w:r w:rsidR="00037A25" w:rsidRPr="00F0794C">
        <w:rPr>
          <w:rFonts w:asciiTheme="minorHAnsi" w:hAnsiTheme="minorHAnsi"/>
          <w:b w:val="0"/>
          <w:szCs w:val="22"/>
        </w:rPr>
        <w:t xml:space="preserve">a </w:t>
      </w:r>
      <w:r w:rsidRPr="00F0794C">
        <w:rPr>
          <w:rFonts w:asciiTheme="minorHAnsi" w:hAnsiTheme="minorHAnsi"/>
          <w:b w:val="0"/>
          <w:szCs w:val="22"/>
        </w:rPr>
        <w:t xml:space="preserve">neutral revenue </w:t>
      </w:r>
      <w:r w:rsidR="004E122C" w:rsidRPr="00F0794C">
        <w:rPr>
          <w:rFonts w:asciiTheme="minorHAnsi" w:hAnsiTheme="minorHAnsi"/>
          <w:b w:val="0"/>
          <w:szCs w:val="22"/>
        </w:rPr>
        <w:t>effect;</w:t>
      </w:r>
      <w:r w:rsidRPr="00F0794C">
        <w:rPr>
          <w:rFonts w:asciiTheme="minorHAnsi" w:hAnsiTheme="minorHAnsi"/>
          <w:b w:val="0"/>
          <w:szCs w:val="22"/>
        </w:rPr>
        <w:t xml:space="preserve"> however, this will not be possible given the large shifts </w:t>
      </w:r>
      <w:r w:rsidR="00C974B5">
        <w:rPr>
          <w:rFonts w:asciiTheme="minorHAnsi" w:hAnsiTheme="minorHAnsi"/>
          <w:b w:val="0"/>
          <w:szCs w:val="22"/>
        </w:rPr>
        <w:t>in</w:t>
      </w:r>
      <w:r w:rsidRPr="00F0794C">
        <w:rPr>
          <w:rFonts w:asciiTheme="minorHAnsi" w:hAnsiTheme="minorHAnsi"/>
          <w:b w:val="0"/>
          <w:szCs w:val="22"/>
        </w:rPr>
        <w:t xml:space="preserve"> technology requirements n</w:t>
      </w:r>
      <w:r w:rsidR="00037A25" w:rsidRPr="00F0794C">
        <w:rPr>
          <w:rFonts w:asciiTheme="minorHAnsi" w:hAnsiTheme="minorHAnsi"/>
          <w:b w:val="0"/>
          <w:szCs w:val="22"/>
        </w:rPr>
        <w:t>eeded for distance and location</w:t>
      </w:r>
      <w:r w:rsidRPr="00F0794C">
        <w:rPr>
          <w:rFonts w:asciiTheme="minorHAnsi" w:hAnsiTheme="minorHAnsi"/>
          <w:b w:val="0"/>
          <w:szCs w:val="22"/>
        </w:rPr>
        <w:t xml:space="preserve"> charges for light vehicles and MDL charging devices or self declaration for heavy vehicles. </w:t>
      </w:r>
      <w:r w:rsidR="00EA339A" w:rsidRPr="00F0794C">
        <w:rPr>
          <w:rFonts w:asciiTheme="minorHAnsi" w:hAnsiTheme="minorHAnsi"/>
          <w:b w:val="0"/>
          <w:szCs w:val="22"/>
        </w:rPr>
        <w:t xml:space="preserve">The ATA </w:t>
      </w:r>
      <w:r w:rsidR="00C974B5">
        <w:rPr>
          <w:rFonts w:asciiTheme="minorHAnsi" w:hAnsiTheme="minorHAnsi"/>
          <w:b w:val="0"/>
          <w:szCs w:val="22"/>
        </w:rPr>
        <w:t>does not believe</w:t>
      </w:r>
      <w:r w:rsidRPr="00F0794C">
        <w:rPr>
          <w:rFonts w:asciiTheme="minorHAnsi" w:hAnsiTheme="minorHAnsi"/>
          <w:b w:val="0"/>
          <w:szCs w:val="22"/>
        </w:rPr>
        <w:t xml:space="preserve"> the move to more direct charges will not cost road users additional </w:t>
      </w:r>
      <w:r w:rsidR="00037A25" w:rsidRPr="00F0794C">
        <w:rPr>
          <w:rFonts w:asciiTheme="minorHAnsi" w:hAnsiTheme="minorHAnsi"/>
          <w:b w:val="0"/>
          <w:szCs w:val="22"/>
        </w:rPr>
        <w:t>monies</w:t>
      </w:r>
      <w:r w:rsidRPr="00F0794C">
        <w:rPr>
          <w:rFonts w:asciiTheme="minorHAnsi" w:hAnsiTheme="minorHAnsi"/>
          <w:b w:val="0"/>
          <w:szCs w:val="22"/>
        </w:rPr>
        <w:t xml:space="preserve"> on top of the current charges recovery method.  Therefore</w:t>
      </w:r>
      <w:r w:rsidR="00752CE3">
        <w:rPr>
          <w:rFonts w:asciiTheme="minorHAnsi" w:hAnsiTheme="minorHAnsi"/>
          <w:b w:val="0"/>
          <w:szCs w:val="22"/>
        </w:rPr>
        <w:t>,</w:t>
      </w:r>
      <w:r w:rsidRPr="00F0794C">
        <w:rPr>
          <w:rFonts w:asciiTheme="minorHAnsi" w:hAnsiTheme="minorHAnsi"/>
          <w:b w:val="0"/>
          <w:szCs w:val="22"/>
        </w:rPr>
        <w:t xml:space="preserve"> while recommendation 4.1 might be worth pursuing</w:t>
      </w:r>
      <w:r w:rsidR="00752CE3">
        <w:rPr>
          <w:rFonts w:asciiTheme="minorHAnsi" w:hAnsiTheme="minorHAnsi"/>
          <w:b w:val="0"/>
          <w:szCs w:val="22"/>
        </w:rPr>
        <w:t>, t</w:t>
      </w:r>
      <w:r w:rsidR="00037A25" w:rsidRPr="00F0794C">
        <w:rPr>
          <w:rFonts w:asciiTheme="minorHAnsi" w:hAnsiTheme="minorHAnsi"/>
          <w:b w:val="0"/>
          <w:szCs w:val="22"/>
        </w:rPr>
        <w:t>he ATA</w:t>
      </w:r>
      <w:r w:rsidR="00EC4865" w:rsidRPr="00F0794C">
        <w:rPr>
          <w:rFonts w:asciiTheme="minorHAnsi" w:hAnsiTheme="minorHAnsi"/>
          <w:b w:val="0"/>
          <w:szCs w:val="22"/>
        </w:rPr>
        <w:t xml:space="preserve"> </w:t>
      </w:r>
      <w:r w:rsidR="00752CE3">
        <w:rPr>
          <w:rFonts w:asciiTheme="minorHAnsi" w:hAnsiTheme="minorHAnsi"/>
          <w:b w:val="0"/>
          <w:szCs w:val="22"/>
        </w:rPr>
        <w:t xml:space="preserve">notes that </w:t>
      </w:r>
      <w:r w:rsidR="00EC4865" w:rsidRPr="00F0794C">
        <w:rPr>
          <w:rFonts w:asciiTheme="minorHAnsi" w:hAnsiTheme="minorHAnsi"/>
          <w:b w:val="0"/>
          <w:szCs w:val="22"/>
        </w:rPr>
        <w:t xml:space="preserve">more direct charges will </w:t>
      </w:r>
      <w:r w:rsidR="00EA339A" w:rsidRPr="00F0794C">
        <w:rPr>
          <w:rFonts w:asciiTheme="minorHAnsi" w:hAnsiTheme="minorHAnsi"/>
          <w:b w:val="0"/>
          <w:szCs w:val="22"/>
        </w:rPr>
        <w:t xml:space="preserve">not </w:t>
      </w:r>
      <w:r w:rsidR="00EC4865" w:rsidRPr="00F0794C">
        <w:rPr>
          <w:rFonts w:asciiTheme="minorHAnsi" w:hAnsiTheme="minorHAnsi"/>
          <w:b w:val="0"/>
          <w:szCs w:val="22"/>
        </w:rPr>
        <w:t xml:space="preserve">be revenue neutral. </w:t>
      </w:r>
    </w:p>
    <w:p w:rsidR="00F0794C" w:rsidRDefault="00F0794C" w:rsidP="00865F6C">
      <w:pPr>
        <w:pStyle w:val="BodyText2"/>
        <w:rPr>
          <w:rFonts w:asciiTheme="minorHAnsi" w:hAnsiTheme="minorHAnsi"/>
        </w:rPr>
      </w:pPr>
    </w:p>
    <w:p w:rsidR="00865F6C" w:rsidRPr="00F0794C" w:rsidRDefault="006F25E7" w:rsidP="00865F6C">
      <w:pPr>
        <w:pStyle w:val="BodyText2"/>
        <w:rPr>
          <w:rFonts w:asciiTheme="minorHAnsi" w:hAnsiTheme="minorHAnsi"/>
        </w:rPr>
      </w:pPr>
      <w:r>
        <w:rPr>
          <w:rFonts w:asciiTheme="minorHAnsi" w:hAnsiTheme="minorHAnsi"/>
        </w:rPr>
        <w:t>Recommendation 10</w:t>
      </w:r>
    </w:p>
    <w:p w:rsidR="00461711" w:rsidRPr="00F0794C" w:rsidRDefault="00461711" w:rsidP="004B5863">
      <w:pPr>
        <w:pStyle w:val="BodyText2"/>
        <w:jc w:val="both"/>
        <w:rPr>
          <w:rFonts w:asciiTheme="minorHAnsi" w:hAnsiTheme="minorHAnsi"/>
          <w:b w:val="0"/>
          <w:szCs w:val="22"/>
        </w:rPr>
      </w:pPr>
      <w:r w:rsidRPr="00F0794C">
        <w:rPr>
          <w:rFonts w:asciiTheme="minorHAnsi" w:hAnsiTheme="minorHAnsi"/>
          <w:b w:val="0"/>
          <w:szCs w:val="22"/>
        </w:rPr>
        <w:t xml:space="preserve">The Productivity Commission should not support the heavy vehicle charging and investment (HVCI) reform </w:t>
      </w:r>
      <w:r w:rsidR="00131D64" w:rsidRPr="00F0794C">
        <w:rPr>
          <w:rFonts w:asciiTheme="minorHAnsi" w:hAnsiTheme="minorHAnsi"/>
          <w:b w:val="0"/>
          <w:szCs w:val="22"/>
        </w:rPr>
        <w:t>because</w:t>
      </w:r>
      <w:r w:rsidRPr="00F0794C">
        <w:rPr>
          <w:rFonts w:asciiTheme="minorHAnsi" w:hAnsiTheme="minorHAnsi"/>
          <w:b w:val="0"/>
          <w:szCs w:val="22"/>
        </w:rPr>
        <w:t xml:space="preserve"> its user charges are not cost effective and will not produce any positive change in the industry</w:t>
      </w:r>
      <w:r w:rsidR="00840F04" w:rsidRPr="00F0794C">
        <w:rPr>
          <w:rFonts w:asciiTheme="minorHAnsi" w:hAnsiTheme="minorHAnsi"/>
          <w:b w:val="0"/>
          <w:szCs w:val="22"/>
        </w:rPr>
        <w:t>’s</w:t>
      </w:r>
      <w:r w:rsidR="00131D64" w:rsidRPr="00F0794C">
        <w:rPr>
          <w:rFonts w:asciiTheme="minorHAnsi" w:hAnsiTheme="minorHAnsi"/>
          <w:b w:val="0"/>
          <w:szCs w:val="22"/>
        </w:rPr>
        <w:t xml:space="preserve"> patterns of</w:t>
      </w:r>
      <w:r w:rsidRPr="00F0794C">
        <w:rPr>
          <w:rFonts w:asciiTheme="minorHAnsi" w:hAnsiTheme="minorHAnsi"/>
          <w:b w:val="0"/>
          <w:szCs w:val="22"/>
        </w:rPr>
        <w:t xml:space="preserve"> road usage.</w:t>
      </w:r>
      <w:r w:rsidR="00131D64" w:rsidRPr="00F0794C">
        <w:rPr>
          <w:rFonts w:asciiTheme="minorHAnsi" w:hAnsiTheme="minorHAnsi"/>
          <w:b w:val="0"/>
          <w:szCs w:val="22"/>
        </w:rPr>
        <w:t xml:space="preserve"> </w:t>
      </w:r>
      <w:r w:rsidRPr="00F0794C">
        <w:rPr>
          <w:rFonts w:asciiTheme="minorHAnsi" w:hAnsiTheme="minorHAnsi"/>
          <w:b w:val="0"/>
          <w:szCs w:val="22"/>
        </w:rPr>
        <w:t xml:space="preserve">  </w:t>
      </w:r>
    </w:p>
    <w:p w:rsidR="00461711" w:rsidRPr="00F0794C" w:rsidRDefault="00461711" w:rsidP="004B5863">
      <w:pPr>
        <w:pStyle w:val="BodyText2"/>
        <w:jc w:val="both"/>
        <w:rPr>
          <w:rFonts w:asciiTheme="minorHAnsi" w:hAnsiTheme="minorHAnsi"/>
          <w:b w:val="0"/>
          <w:szCs w:val="22"/>
        </w:rPr>
      </w:pPr>
    </w:p>
    <w:p w:rsidR="0022487F" w:rsidRPr="00F0794C" w:rsidRDefault="0022487F" w:rsidP="004B5863">
      <w:pPr>
        <w:pStyle w:val="Heading1"/>
        <w:numPr>
          <w:ilvl w:val="1"/>
          <w:numId w:val="23"/>
        </w:numPr>
        <w:jc w:val="both"/>
        <w:rPr>
          <w:rFonts w:asciiTheme="minorHAnsi" w:hAnsiTheme="minorHAnsi"/>
          <w:szCs w:val="22"/>
        </w:rPr>
      </w:pPr>
      <w:r w:rsidRPr="00F0794C">
        <w:rPr>
          <w:rFonts w:asciiTheme="minorHAnsi" w:hAnsiTheme="minorHAnsi"/>
          <w:szCs w:val="22"/>
        </w:rPr>
        <w:t xml:space="preserve"> </w:t>
      </w:r>
      <w:bookmarkStart w:id="23" w:name="_Toc384105365"/>
      <w:r w:rsidRPr="00F0794C">
        <w:rPr>
          <w:rFonts w:asciiTheme="minorHAnsi" w:hAnsiTheme="minorHAnsi"/>
          <w:szCs w:val="22"/>
        </w:rPr>
        <w:t>Congestion charges</w:t>
      </w:r>
      <w:bookmarkEnd w:id="23"/>
    </w:p>
    <w:p w:rsidR="00EC4865" w:rsidRPr="00F0794C" w:rsidRDefault="00EC4865" w:rsidP="004B5863">
      <w:pPr>
        <w:pStyle w:val="BodyText2"/>
        <w:jc w:val="both"/>
        <w:rPr>
          <w:rFonts w:asciiTheme="minorHAnsi" w:hAnsiTheme="minorHAnsi"/>
          <w:b w:val="0"/>
          <w:szCs w:val="22"/>
        </w:rPr>
      </w:pPr>
    </w:p>
    <w:p w:rsidR="00A85A1F" w:rsidRPr="00F0794C" w:rsidRDefault="002B5959" w:rsidP="004B5863">
      <w:pPr>
        <w:pStyle w:val="BodyText2"/>
        <w:jc w:val="both"/>
        <w:rPr>
          <w:rFonts w:asciiTheme="minorHAnsi" w:hAnsiTheme="minorHAnsi"/>
          <w:b w:val="0"/>
          <w:szCs w:val="22"/>
        </w:rPr>
      </w:pPr>
      <w:r w:rsidRPr="00F0794C">
        <w:rPr>
          <w:rFonts w:asciiTheme="minorHAnsi" w:hAnsiTheme="minorHAnsi"/>
          <w:b w:val="0"/>
          <w:szCs w:val="22"/>
        </w:rPr>
        <w:t xml:space="preserve">When discussing potential </w:t>
      </w:r>
      <w:r w:rsidR="00EC4865" w:rsidRPr="00F0794C">
        <w:rPr>
          <w:rFonts w:asciiTheme="minorHAnsi" w:hAnsiTheme="minorHAnsi"/>
          <w:b w:val="0"/>
          <w:szCs w:val="22"/>
        </w:rPr>
        <w:t xml:space="preserve">congestion charges </w:t>
      </w:r>
      <w:r w:rsidRPr="00F0794C">
        <w:rPr>
          <w:rFonts w:asciiTheme="minorHAnsi" w:hAnsiTheme="minorHAnsi"/>
          <w:b w:val="0"/>
          <w:szCs w:val="22"/>
        </w:rPr>
        <w:t xml:space="preserve">it must be </w:t>
      </w:r>
      <w:r w:rsidR="004A3725" w:rsidRPr="00F0794C">
        <w:rPr>
          <w:rFonts w:asciiTheme="minorHAnsi" w:hAnsiTheme="minorHAnsi"/>
          <w:b w:val="0"/>
          <w:szCs w:val="22"/>
        </w:rPr>
        <w:t>remembered</w:t>
      </w:r>
      <w:r w:rsidR="00840F04" w:rsidRPr="00F0794C">
        <w:rPr>
          <w:rFonts w:asciiTheme="minorHAnsi" w:hAnsiTheme="minorHAnsi"/>
          <w:b w:val="0"/>
          <w:szCs w:val="22"/>
        </w:rPr>
        <w:t>,</w:t>
      </w:r>
      <w:r w:rsidR="004A3725" w:rsidRPr="00F0794C">
        <w:rPr>
          <w:rFonts w:asciiTheme="minorHAnsi" w:hAnsiTheme="minorHAnsi"/>
          <w:b w:val="0"/>
          <w:szCs w:val="22"/>
        </w:rPr>
        <w:t xml:space="preserve"> </w:t>
      </w:r>
      <w:r w:rsidRPr="00F0794C">
        <w:rPr>
          <w:rFonts w:asciiTheme="minorHAnsi" w:hAnsiTheme="minorHAnsi"/>
          <w:b w:val="0"/>
          <w:szCs w:val="22"/>
        </w:rPr>
        <w:t>as noted above</w:t>
      </w:r>
      <w:r w:rsidR="00840F04" w:rsidRPr="00F0794C">
        <w:rPr>
          <w:rFonts w:asciiTheme="minorHAnsi" w:hAnsiTheme="minorHAnsi"/>
          <w:b w:val="0"/>
          <w:szCs w:val="22"/>
        </w:rPr>
        <w:t>,</w:t>
      </w:r>
      <w:r w:rsidRPr="00F0794C">
        <w:rPr>
          <w:rFonts w:asciiTheme="minorHAnsi" w:hAnsiTheme="minorHAnsi"/>
          <w:b w:val="0"/>
          <w:szCs w:val="22"/>
        </w:rPr>
        <w:t xml:space="preserve"> </w:t>
      </w:r>
      <w:r w:rsidR="004A3725" w:rsidRPr="00F0794C">
        <w:rPr>
          <w:rFonts w:asciiTheme="minorHAnsi" w:hAnsiTheme="minorHAnsi"/>
          <w:b w:val="0"/>
          <w:szCs w:val="22"/>
        </w:rPr>
        <w:t>that the heavy vehicle industry has little choice</w:t>
      </w:r>
      <w:r w:rsidR="00131D64" w:rsidRPr="00F0794C">
        <w:rPr>
          <w:rFonts w:asciiTheme="minorHAnsi" w:hAnsiTheme="minorHAnsi"/>
          <w:b w:val="0"/>
          <w:szCs w:val="22"/>
        </w:rPr>
        <w:t xml:space="preserve"> as to</w:t>
      </w:r>
      <w:r w:rsidR="004A3725" w:rsidRPr="00F0794C">
        <w:rPr>
          <w:rFonts w:asciiTheme="minorHAnsi" w:hAnsiTheme="minorHAnsi"/>
          <w:b w:val="0"/>
          <w:szCs w:val="22"/>
        </w:rPr>
        <w:t xml:space="preserve"> when it can operate on </w:t>
      </w:r>
      <w:r w:rsidRPr="00F0794C">
        <w:rPr>
          <w:rFonts w:asciiTheme="minorHAnsi" w:hAnsiTheme="minorHAnsi"/>
          <w:b w:val="0"/>
          <w:szCs w:val="22"/>
        </w:rPr>
        <w:t>roads,</w:t>
      </w:r>
      <w:r w:rsidR="004A3725" w:rsidRPr="00F0794C">
        <w:rPr>
          <w:rFonts w:asciiTheme="minorHAnsi" w:hAnsiTheme="minorHAnsi"/>
          <w:b w:val="0"/>
          <w:szCs w:val="22"/>
        </w:rPr>
        <w:t xml:space="preserve"> the </w:t>
      </w:r>
      <w:r w:rsidRPr="00F0794C">
        <w:rPr>
          <w:rFonts w:asciiTheme="minorHAnsi" w:hAnsiTheme="minorHAnsi"/>
          <w:b w:val="0"/>
          <w:szCs w:val="22"/>
        </w:rPr>
        <w:t>industry</w:t>
      </w:r>
      <w:r w:rsidR="004A3725" w:rsidRPr="00F0794C">
        <w:rPr>
          <w:rFonts w:asciiTheme="minorHAnsi" w:hAnsiTheme="minorHAnsi"/>
          <w:b w:val="0"/>
          <w:szCs w:val="22"/>
        </w:rPr>
        <w:t xml:space="preserve"> has curfews imposed</w:t>
      </w:r>
      <w:r w:rsidR="00131D64" w:rsidRPr="00F0794C">
        <w:rPr>
          <w:rFonts w:asciiTheme="minorHAnsi" w:hAnsiTheme="minorHAnsi"/>
          <w:b w:val="0"/>
          <w:szCs w:val="22"/>
        </w:rPr>
        <w:t xml:space="preserve"> externally</w:t>
      </w:r>
      <w:r w:rsidR="004A3725" w:rsidRPr="00F0794C">
        <w:rPr>
          <w:rFonts w:asciiTheme="minorHAnsi" w:hAnsiTheme="minorHAnsi"/>
          <w:b w:val="0"/>
          <w:szCs w:val="22"/>
        </w:rPr>
        <w:t xml:space="preserve">, and is even banned from </w:t>
      </w:r>
      <w:r w:rsidR="00131D64" w:rsidRPr="00F0794C">
        <w:rPr>
          <w:rFonts w:asciiTheme="minorHAnsi" w:hAnsiTheme="minorHAnsi"/>
          <w:b w:val="0"/>
          <w:szCs w:val="22"/>
        </w:rPr>
        <w:t>certain</w:t>
      </w:r>
      <w:r w:rsidR="004A3725" w:rsidRPr="00F0794C">
        <w:rPr>
          <w:rFonts w:asciiTheme="minorHAnsi" w:hAnsiTheme="minorHAnsi"/>
          <w:b w:val="0"/>
          <w:szCs w:val="22"/>
        </w:rPr>
        <w:t xml:space="preserve"> areas</w:t>
      </w:r>
      <w:r w:rsidR="00225CC0" w:rsidRPr="00F0794C">
        <w:rPr>
          <w:rFonts w:asciiTheme="minorHAnsi" w:hAnsiTheme="minorHAnsi"/>
          <w:b w:val="0"/>
          <w:szCs w:val="22"/>
        </w:rPr>
        <w:t xml:space="preserve"> altogether</w:t>
      </w:r>
      <w:r w:rsidR="004A3725" w:rsidRPr="00F0794C">
        <w:rPr>
          <w:rFonts w:asciiTheme="minorHAnsi" w:hAnsiTheme="minorHAnsi"/>
          <w:b w:val="0"/>
          <w:szCs w:val="22"/>
        </w:rPr>
        <w:t>.</w:t>
      </w:r>
      <w:r w:rsidR="00225CC0" w:rsidRPr="00F0794C">
        <w:rPr>
          <w:rFonts w:asciiTheme="minorHAnsi" w:hAnsiTheme="minorHAnsi"/>
          <w:b w:val="0"/>
          <w:szCs w:val="22"/>
        </w:rPr>
        <w:t xml:space="preserve"> Therefore</w:t>
      </w:r>
      <w:r w:rsidR="00840F04" w:rsidRPr="00F0794C">
        <w:rPr>
          <w:rFonts w:asciiTheme="minorHAnsi" w:hAnsiTheme="minorHAnsi"/>
          <w:b w:val="0"/>
          <w:szCs w:val="22"/>
        </w:rPr>
        <w:t>,</w:t>
      </w:r>
      <w:r w:rsidR="00225CC0" w:rsidRPr="00F0794C">
        <w:rPr>
          <w:rFonts w:asciiTheme="minorHAnsi" w:hAnsiTheme="minorHAnsi"/>
          <w:b w:val="0"/>
          <w:szCs w:val="22"/>
        </w:rPr>
        <w:t xml:space="preserve"> any </w:t>
      </w:r>
      <w:r w:rsidR="002A56D6" w:rsidRPr="00F0794C">
        <w:rPr>
          <w:rFonts w:asciiTheme="minorHAnsi" w:hAnsiTheme="minorHAnsi"/>
          <w:b w:val="0"/>
          <w:szCs w:val="22"/>
        </w:rPr>
        <w:t xml:space="preserve">broad </w:t>
      </w:r>
      <w:r w:rsidR="00225CC0" w:rsidRPr="00F0794C">
        <w:rPr>
          <w:rFonts w:asciiTheme="minorHAnsi" w:hAnsiTheme="minorHAnsi"/>
          <w:b w:val="0"/>
          <w:szCs w:val="22"/>
        </w:rPr>
        <w:t xml:space="preserve">implementation of a congestion charge is unfair on </w:t>
      </w:r>
      <w:r w:rsidR="00840F04" w:rsidRPr="00F0794C">
        <w:rPr>
          <w:rFonts w:asciiTheme="minorHAnsi" w:hAnsiTheme="minorHAnsi"/>
          <w:b w:val="0"/>
          <w:szCs w:val="22"/>
        </w:rPr>
        <w:t xml:space="preserve">the heavy vehicle industry, </w:t>
      </w:r>
      <w:r w:rsidR="00131D64" w:rsidRPr="00F0794C">
        <w:rPr>
          <w:rFonts w:asciiTheme="minorHAnsi" w:hAnsiTheme="minorHAnsi"/>
          <w:b w:val="0"/>
          <w:szCs w:val="22"/>
        </w:rPr>
        <w:t>since</w:t>
      </w:r>
      <w:r w:rsidR="00225CC0" w:rsidRPr="00F0794C">
        <w:rPr>
          <w:rFonts w:asciiTheme="minorHAnsi" w:hAnsiTheme="minorHAnsi"/>
          <w:b w:val="0"/>
          <w:szCs w:val="22"/>
        </w:rPr>
        <w:t xml:space="preserve"> there are limited</w:t>
      </w:r>
      <w:r w:rsidR="00131D64" w:rsidRPr="00F0794C">
        <w:rPr>
          <w:rFonts w:asciiTheme="minorHAnsi" w:hAnsiTheme="minorHAnsi"/>
          <w:b w:val="0"/>
          <w:szCs w:val="22"/>
        </w:rPr>
        <w:t>, (</w:t>
      </w:r>
      <w:r w:rsidR="00225CC0" w:rsidRPr="00F0794C">
        <w:rPr>
          <w:rFonts w:asciiTheme="minorHAnsi" w:hAnsiTheme="minorHAnsi"/>
          <w:b w:val="0"/>
          <w:szCs w:val="22"/>
        </w:rPr>
        <w:t>if any</w:t>
      </w:r>
      <w:r w:rsidR="00840F04" w:rsidRPr="00F0794C">
        <w:rPr>
          <w:rFonts w:asciiTheme="minorHAnsi" w:hAnsiTheme="minorHAnsi"/>
          <w:b w:val="0"/>
          <w:szCs w:val="22"/>
        </w:rPr>
        <w:t>,</w:t>
      </w:r>
      <w:r w:rsidR="00131D64" w:rsidRPr="00F0794C">
        <w:rPr>
          <w:rFonts w:asciiTheme="minorHAnsi" w:hAnsiTheme="minorHAnsi"/>
          <w:b w:val="0"/>
          <w:szCs w:val="22"/>
        </w:rPr>
        <w:t>)</w:t>
      </w:r>
      <w:r w:rsidR="00840F04" w:rsidRPr="00F0794C">
        <w:rPr>
          <w:rFonts w:asciiTheme="minorHAnsi" w:hAnsiTheme="minorHAnsi"/>
          <w:b w:val="0"/>
          <w:szCs w:val="22"/>
        </w:rPr>
        <w:t xml:space="preserve"> alternatives for delivery times</w:t>
      </w:r>
      <w:r w:rsidR="00225CC0" w:rsidRPr="00F0794C">
        <w:rPr>
          <w:rFonts w:asciiTheme="minorHAnsi" w:hAnsiTheme="minorHAnsi"/>
          <w:b w:val="0"/>
          <w:szCs w:val="22"/>
        </w:rPr>
        <w:t xml:space="preserve">.  Some have suggested that night time deliveries would </w:t>
      </w:r>
      <w:r w:rsidR="002A56D6" w:rsidRPr="00F0794C">
        <w:rPr>
          <w:rFonts w:asciiTheme="minorHAnsi" w:hAnsiTheme="minorHAnsi"/>
          <w:b w:val="0"/>
          <w:szCs w:val="22"/>
        </w:rPr>
        <w:t>be a better way to manage truck</w:t>
      </w:r>
      <w:r w:rsidR="00225CC0" w:rsidRPr="00F0794C">
        <w:rPr>
          <w:rFonts w:asciiTheme="minorHAnsi" w:hAnsiTheme="minorHAnsi"/>
          <w:b w:val="0"/>
          <w:szCs w:val="22"/>
        </w:rPr>
        <w:t xml:space="preserve"> </w:t>
      </w:r>
      <w:r w:rsidR="002A56D6" w:rsidRPr="00F0794C">
        <w:rPr>
          <w:rFonts w:asciiTheme="minorHAnsi" w:hAnsiTheme="minorHAnsi"/>
          <w:b w:val="0"/>
          <w:szCs w:val="22"/>
        </w:rPr>
        <w:t>movements. H</w:t>
      </w:r>
      <w:r w:rsidR="00225CC0" w:rsidRPr="00F0794C">
        <w:rPr>
          <w:rFonts w:asciiTheme="minorHAnsi" w:hAnsiTheme="minorHAnsi"/>
          <w:b w:val="0"/>
          <w:szCs w:val="22"/>
        </w:rPr>
        <w:t xml:space="preserve">owever, this will require someone to be working at the delivery point overnight. This is an extra cost for </w:t>
      </w:r>
      <w:r w:rsidR="002A56D6" w:rsidRPr="00F0794C">
        <w:rPr>
          <w:rFonts w:asciiTheme="minorHAnsi" w:hAnsiTheme="minorHAnsi"/>
          <w:b w:val="0"/>
          <w:szCs w:val="22"/>
        </w:rPr>
        <w:t xml:space="preserve">such </w:t>
      </w:r>
      <w:r w:rsidR="00225CC0" w:rsidRPr="00F0794C">
        <w:rPr>
          <w:rFonts w:asciiTheme="minorHAnsi" w:hAnsiTheme="minorHAnsi"/>
          <w:b w:val="0"/>
          <w:szCs w:val="22"/>
        </w:rPr>
        <w:t xml:space="preserve">businesses to wear. </w:t>
      </w:r>
    </w:p>
    <w:p w:rsidR="00A85A1F" w:rsidRPr="00F0794C" w:rsidRDefault="00A85A1F" w:rsidP="004B5863">
      <w:pPr>
        <w:pStyle w:val="BodyText2"/>
        <w:jc w:val="both"/>
        <w:rPr>
          <w:rFonts w:asciiTheme="minorHAnsi" w:hAnsiTheme="minorHAnsi"/>
          <w:szCs w:val="22"/>
        </w:rPr>
      </w:pPr>
    </w:p>
    <w:p w:rsidR="00A85A1F" w:rsidRPr="00F0794C" w:rsidRDefault="00A85A1F" w:rsidP="004B5863">
      <w:pPr>
        <w:pStyle w:val="BodyText2"/>
        <w:jc w:val="both"/>
        <w:rPr>
          <w:rFonts w:asciiTheme="minorHAnsi" w:hAnsiTheme="minorHAnsi"/>
          <w:b w:val="0"/>
          <w:szCs w:val="22"/>
        </w:rPr>
      </w:pPr>
      <w:r w:rsidRPr="00F0794C">
        <w:rPr>
          <w:rFonts w:asciiTheme="minorHAnsi" w:hAnsiTheme="minorHAnsi"/>
          <w:b w:val="0"/>
          <w:szCs w:val="22"/>
        </w:rPr>
        <w:t>Congestion is one of the biggest externalities that affect the industry. Urban congestion causes delays for deliveries, as well as forcing heavy vehicles to use other less direct routes in order to avoid the congestion. The time wasted</w:t>
      </w:r>
      <w:r w:rsidR="00752CE3">
        <w:rPr>
          <w:rFonts w:asciiTheme="minorHAnsi" w:hAnsiTheme="minorHAnsi"/>
          <w:b w:val="0"/>
          <w:szCs w:val="22"/>
        </w:rPr>
        <w:t xml:space="preserve"> and the fuel burnt</w:t>
      </w:r>
      <w:r w:rsidRPr="00F0794C">
        <w:rPr>
          <w:rFonts w:asciiTheme="minorHAnsi" w:hAnsiTheme="minorHAnsi"/>
          <w:b w:val="0"/>
          <w:szCs w:val="22"/>
        </w:rPr>
        <w:t xml:space="preserve"> due to congestion is a loss of productivity to the fleet</w:t>
      </w:r>
      <w:r w:rsidR="00910F36" w:rsidRPr="00F0794C">
        <w:rPr>
          <w:rFonts w:asciiTheme="minorHAnsi" w:hAnsiTheme="minorHAnsi"/>
          <w:b w:val="0"/>
          <w:szCs w:val="22"/>
        </w:rPr>
        <w:t xml:space="preserve"> and to the bottom line of every operator.</w:t>
      </w:r>
      <w:r w:rsidRPr="00F0794C">
        <w:rPr>
          <w:rFonts w:asciiTheme="minorHAnsi" w:hAnsiTheme="minorHAnsi"/>
          <w:b w:val="0"/>
          <w:szCs w:val="22"/>
        </w:rPr>
        <w:t xml:space="preserve"> </w:t>
      </w:r>
    </w:p>
    <w:p w:rsidR="00A85A1F" w:rsidRPr="00F0794C" w:rsidRDefault="00A85A1F" w:rsidP="004B5863">
      <w:pPr>
        <w:pStyle w:val="BodyText2"/>
        <w:jc w:val="both"/>
        <w:rPr>
          <w:rFonts w:asciiTheme="minorHAnsi" w:hAnsiTheme="minorHAnsi"/>
          <w:b w:val="0"/>
          <w:szCs w:val="22"/>
        </w:rPr>
      </w:pPr>
    </w:p>
    <w:p w:rsidR="00A85A1F" w:rsidRPr="00F0794C" w:rsidRDefault="00A85A1F" w:rsidP="004B5863">
      <w:pPr>
        <w:pStyle w:val="BodyText2"/>
        <w:jc w:val="both"/>
        <w:rPr>
          <w:rFonts w:asciiTheme="minorHAnsi" w:hAnsiTheme="minorHAnsi"/>
          <w:b w:val="0"/>
          <w:szCs w:val="22"/>
        </w:rPr>
      </w:pPr>
      <w:r w:rsidRPr="00F0794C">
        <w:rPr>
          <w:rFonts w:asciiTheme="minorHAnsi" w:hAnsiTheme="minorHAnsi"/>
          <w:b w:val="0"/>
          <w:szCs w:val="22"/>
        </w:rPr>
        <w:t>Additionally, due to the demand for goods and urbanisation of the population</w:t>
      </w:r>
      <w:r w:rsidR="00910F36" w:rsidRPr="00F0794C">
        <w:rPr>
          <w:rFonts w:asciiTheme="minorHAnsi" w:hAnsiTheme="minorHAnsi"/>
          <w:b w:val="0"/>
          <w:szCs w:val="22"/>
        </w:rPr>
        <w:t>,</w:t>
      </w:r>
      <w:r w:rsidRPr="00F0794C">
        <w:rPr>
          <w:rFonts w:asciiTheme="minorHAnsi" w:hAnsiTheme="minorHAnsi"/>
          <w:b w:val="0"/>
          <w:szCs w:val="22"/>
        </w:rPr>
        <w:t xml:space="preserve"> it is vital road providers take heavy vehicles into consideration </w:t>
      </w:r>
      <w:r w:rsidR="00910F36" w:rsidRPr="00F0794C">
        <w:rPr>
          <w:rFonts w:asciiTheme="minorHAnsi" w:hAnsiTheme="minorHAnsi"/>
          <w:b w:val="0"/>
          <w:szCs w:val="22"/>
        </w:rPr>
        <w:t>since</w:t>
      </w:r>
      <w:r w:rsidRPr="00F0794C">
        <w:rPr>
          <w:rFonts w:asciiTheme="minorHAnsi" w:hAnsiTheme="minorHAnsi"/>
          <w:b w:val="0"/>
          <w:szCs w:val="22"/>
        </w:rPr>
        <w:t xml:space="preserve"> they provide the majority of deliveries to </w:t>
      </w:r>
      <w:r w:rsidR="00910F36" w:rsidRPr="00F0794C">
        <w:rPr>
          <w:rFonts w:asciiTheme="minorHAnsi" w:hAnsiTheme="minorHAnsi"/>
          <w:b w:val="0"/>
          <w:szCs w:val="22"/>
        </w:rPr>
        <w:t>urban</w:t>
      </w:r>
      <w:r w:rsidRPr="00F0794C">
        <w:rPr>
          <w:rFonts w:asciiTheme="minorHAnsi" w:hAnsiTheme="minorHAnsi"/>
          <w:b w:val="0"/>
          <w:szCs w:val="22"/>
        </w:rPr>
        <w:t xml:space="preserve"> areas. </w:t>
      </w:r>
    </w:p>
    <w:p w:rsidR="007F0E05" w:rsidRDefault="007F0E05" w:rsidP="004B5863">
      <w:pPr>
        <w:pStyle w:val="BodyText2"/>
        <w:jc w:val="both"/>
        <w:rPr>
          <w:rFonts w:asciiTheme="minorHAnsi" w:hAnsiTheme="minorHAnsi"/>
          <w:b w:val="0"/>
          <w:szCs w:val="22"/>
        </w:rPr>
      </w:pPr>
    </w:p>
    <w:p w:rsidR="00B51244" w:rsidRDefault="00B51244" w:rsidP="004B5863">
      <w:pPr>
        <w:pStyle w:val="BodyText2"/>
        <w:jc w:val="both"/>
        <w:rPr>
          <w:rFonts w:asciiTheme="minorHAnsi" w:hAnsiTheme="minorHAnsi"/>
          <w:b w:val="0"/>
          <w:szCs w:val="22"/>
        </w:rPr>
      </w:pPr>
    </w:p>
    <w:p w:rsidR="00B51244" w:rsidRPr="00F0794C" w:rsidRDefault="00B51244" w:rsidP="004B5863">
      <w:pPr>
        <w:pStyle w:val="BodyText2"/>
        <w:jc w:val="both"/>
        <w:rPr>
          <w:rFonts w:asciiTheme="minorHAnsi" w:hAnsiTheme="minorHAnsi"/>
          <w:b w:val="0"/>
          <w:szCs w:val="22"/>
        </w:rPr>
      </w:pPr>
    </w:p>
    <w:p w:rsidR="0022487F" w:rsidRPr="00F0794C" w:rsidRDefault="0022487F" w:rsidP="004B5863">
      <w:pPr>
        <w:pStyle w:val="BodyText2"/>
        <w:jc w:val="both"/>
        <w:rPr>
          <w:rFonts w:asciiTheme="minorHAnsi" w:hAnsiTheme="minorHAnsi"/>
          <w:b w:val="0"/>
          <w:szCs w:val="22"/>
        </w:rPr>
      </w:pPr>
      <w:r w:rsidRPr="00F0794C">
        <w:rPr>
          <w:rFonts w:asciiTheme="minorHAnsi" w:hAnsiTheme="minorHAnsi"/>
          <w:b w:val="0"/>
          <w:szCs w:val="22"/>
        </w:rPr>
        <w:lastRenderedPageBreak/>
        <w:t xml:space="preserve">We support the </w:t>
      </w:r>
      <w:r w:rsidR="00F63F4C" w:rsidRPr="00F0794C">
        <w:rPr>
          <w:rFonts w:asciiTheme="minorHAnsi" w:hAnsiTheme="minorHAnsi"/>
          <w:b w:val="0"/>
          <w:szCs w:val="22"/>
        </w:rPr>
        <w:t>Commission</w:t>
      </w:r>
      <w:r w:rsidR="00910F36" w:rsidRPr="00F0794C">
        <w:rPr>
          <w:rFonts w:asciiTheme="minorHAnsi" w:hAnsiTheme="minorHAnsi"/>
          <w:b w:val="0"/>
          <w:szCs w:val="22"/>
        </w:rPr>
        <w:t>’</w:t>
      </w:r>
      <w:r w:rsidR="00F63F4C" w:rsidRPr="00F0794C">
        <w:rPr>
          <w:rFonts w:asciiTheme="minorHAnsi" w:hAnsiTheme="minorHAnsi"/>
          <w:b w:val="0"/>
          <w:szCs w:val="22"/>
        </w:rPr>
        <w:t>s</w:t>
      </w:r>
      <w:r w:rsidRPr="00F0794C">
        <w:rPr>
          <w:rFonts w:asciiTheme="minorHAnsi" w:hAnsiTheme="minorHAnsi"/>
          <w:b w:val="0"/>
          <w:szCs w:val="22"/>
        </w:rPr>
        <w:t xml:space="preserve"> interim suggestions </w:t>
      </w:r>
      <w:r w:rsidR="000422CE" w:rsidRPr="00F0794C">
        <w:rPr>
          <w:rFonts w:asciiTheme="minorHAnsi" w:hAnsiTheme="minorHAnsi"/>
          <w:b w:val="0"/>
          <w:szCs w:val="22"/>
        </w:rPr>
        <w:t>for governments</w:t>
      </w:r>
      <w:r w:rsidRPr="00F0794C">
        <w:rPr>
          <w:rFonts w:asciiTheme="minorHAnsi" w:hAnsiTheme="minorHAnsi"/>
          <w:b w:val="0"/>
          <w:szCs w:val="22"/>
        </w:rPr>
        <w:t xml:space="preserve"> to continue to explore alternative measures to address congestion such as: </w:t>
      </w:r>
    </w:p>
    <w:p w:rsidR="0022487F" w:rsidRPr="00F0794C" w:rsidRDefault="0022487F" w:rsidP="004B5863">
      <w:pPr>
        <w:pStyle w:val="BodyText2"/>
        <w:numPr>
          <w:ilvl w:val="0"/>
          <w:numId w:val="10"/>
        </w:numPr>
        <w:jc w:val="both"/>
        <w:rPr>
          <w:rFonts w:asciiTheme="minorHAnsi" w:hAnsiTheme="minorHAnsi"/>
          <w:b w:val="0"/>
          <w:szCs w:val="22"/>
        </w:rPr>
      </w:pPr>
      <w:r w:rsidRPr="00F0794C">
        <w:rPr>
          <w:rFonts w:asciiTheme="minorHAnsi" w:hAnsiTheme="minorHAnsi"/>
          <w:b w:val="0"/>
          <w:szCs w:val="22"/>
        </w:rPr>
        <w:t xml:space="preserve">Advanced traffic management technologies – including ramp metering, dynamic speed limits, lane controls and traffic lights – which can significantly increase traffic throughput on a given road. </w:t>
      </w:r>
    </w:p>
    <w:p w:rsidR="0022487F" w:rsidRPr="00F0794C" w:rsidRDefault="000422CE" w:rsidP="004B5863">
      <w:pPr>
        <w:pStyle w:val="BodyText2"/>
        <w:numPr>
          <w:ilvl w:val="0"/>
          <w:numId w:val="10"/>
        </w:numPr>
        <w:jc w:val="both"/>
        <w:rPr>
          <w:rFonts w:asciiTheme="minorHAnsi" w:hAnsiTheme="minorHAnsi"/>
          <w:b w:val="0"/>
          <w:szCs w:val="22"/>
        </w:rPr>
      </w:pPr>
      <w:r w:rsidRPr="00F0794C">
        <w:rPr>
          <w:rFonts w:asciiTheme="minorHAnsi" w:hAnsiTheme="minorHAnsi"/>
          <w:b w:val="0"/>
          <w:szCs w:val="22"/>
        </w:rPr>
        <w:t>Parking levies in city centres.</w:t>
      </w:r>
    </w:p>
    <w:p w:rsidR="0022487F" w:rsidRPr="00F0794C" w:rsidRDefault="0022487F" w:rsidP="004B5863">
      <w:pPr>
        <w:pStyle w:val="BodyText2"/>
        <w:numPr>
          <w:ilvl w:val="0"/>
          <w:numId w:val="10"/>
        </w:numPr>
        <w:jc w:val="both"/>
        <w:rPr>
          <w:rFonts w:asciiTheme="minorHAnsi" w:hAnsiTheme="minorHAnsi"/>
          <w:b w:val="0"/>
          <w:szCs w:val="22"/>
        </w:rPr>
      </w:pPr>
      <w:r w:rsidRPr="00F0794C">
        <w:rPr>
          <w:rFonts w:asciiTheme="minorHAnsi" w:hAnsiTheme="minorHAnsi"/>
          <w:b w:val="0"/>
          <w:szCs w:val="22"/>
        </w:rPr>
        <w:t>An additional subsidy for public transport above what is justified to meet equity goals and to fund wider benefits that accrue to more than just passengers, such as improved urban amenity.</w:t>
      </w:r>
    </w:p>
    <w:p w:rsidR="0022487F" w:rsidRPr="00F0794C" w:rsidRDefault="0022487F" w:rsidP="004B5863">
      <w:pPr>
        <w:pStyle w:val="BodyText2"/>
        <w:numPr>
          <w:ilvl w:val="0"/>
          <w:numId w:val="10"/>
        </w:numPr>
        <w:jc w:val="both"/>
        <w:rPr>
          <w:rFonts w:asciiTheme="minorHAnsi" w:hAnsiTheme="minorHAnsi"/>
          <w:b w:val="0"/>
          <w:szCs w:val="22"/>
        </w:rPr>
      </w:pPr>
      <w:r w:rsidRPr="00F0794C">
        <w:rPr>
          <w:rFonts w:asciiTheme="minorHAnsi" w:hAnsiTheme="minorHAnsi"/>
          <w:b w:val="0"/>
          <w:szCs w:val="22"/>
        </w:rPr>
        <w:t xml:space="preserve">Developments in vehicle technology – such as adaptive cruise control and navigation aids that monitor and inform drivers of traffic </w:t>
      </w:r>
      <w:r w:rsidR="004E122C" w:rsidRPr="00F0794C">
        <w:rPr>
          <w:rFonts w:asciiTheme="minorHAnsi" w:hAnsiTheme="minorHAnsi"/>
          <w:b w:val="0"/>
          <w:szCs w:val="22"/>
        </w:rPr>
        <w:t>conditions.</w:t>
      </w:r>
    </w:p>
    <w:p w:rsidR="0022487F" w:rsidRPr="00F0794C" w:rsidRDefault="0022487F" w:rsidP="004B5863">
      <w:pPr>
        <w:pStyle w:val="BodyText2"/>
        <w:jc w:val="both"/>
        <w:rPr>
          <w:rFonts w:asciiTheme="minorHAnsi" w:hAnsiTheme="minorHAnsi"/>
          <w:b w:val="0"/>
          <w:szCs w:val="22"/>
        </w:rPr>
      </w:pPr>
    </w:p>
    <w:p w:rsidR="0022487F" w:rsidRPr="00F0794C" w:rsidRDefault="0022487F" w:rsidP="004B5863">
      <w:pPr>
        <w:pStyle w:val="BodyText2"/>
        <w:jc w:val="both"/>
        <w:rPr>
          <w:rFonts w:asciiTheme="minorHAnsi" w:hAnsiTheme="minorHAnsi"/>
          <w:b w:val="0"/>
          <w:szCs w:val="22"/>
        </w:rPr>
      </w:pPr>
      <w:r w:rsidRPr="00F0794C">
        <w:rPr>
          <w:rFonts w:asciiTheme="minorHAnsi" w:hAnsiTheme="minorHAnsi"/>
          <w:b w:val="0"/>
          <w:szCs w:val="22"/>
        </w:rPr>
        <w:t xml:space="preserve">We are also </w:t>
      </w:r>
      <w:r w:rsidR="00840F04" w:rsidRPr="00F0794C">
        <w:rPr>
          <w:rFonts w:asciiTheme="minorHAnsi" w:hAnsiTheme="minorHAnsi"/>
          <w:b w:val="0"/>
          <w:szCs w:val="22"/>
        </w:rPr>
        <w:t>satisfied</w:t>
      </w:r>
      <w:r w:rsidRPr="00F0794C">
        <w:rPr>
          <w:rFonts w:asciiTheme="minorHAnsi" w:hAnsiTheme="minorHAnsi"/>
          <w:b w:val="0"/>
          <w:szCs w:val="22"/>
        </w:rPr>
        <w:t xml:space="preserve"> the </w:t>
      </w:r>
      <w:r w:rsidR="00F63F4C" w:rsidRPr="00F0794C">
        <w:rPr>
          <w:rFonts w:asciiTheme="minorHAnsi" w:hAnsiTheme="minorHAnsi"/>
          <w:b w:val="0"/>
          <w:szCs w:val="22"/>
        </w:rPr>
        <w:t>Productivity Commission</w:t>
      </w:r>
      <w:r w:rsidRPr="00F0794C">
        <w:rPr>
          <w:rFonts w:asciiTheme="minorHAnsi" w:hAnsiTheme="minorHAnsi"/>
          <w:b w:val="0"/>
          <w:szCs w:val="22"/>
        </w:rPr>
        <w:t xml:space="preserve"> recognises that some externalities are already internalised through insurance. </w:t>
      </w:r>
      <w:r w:rsidRPr="00F0794C">
        <w:rPr>
          <w:rFonts w:asciiTheme="minorHAnsi" w:hAnsiTheme="minorHAnsi"/>
          <w:b w:val="0"/>
          <w:szCs w:val="22"/>
          <w:vertAlign w:val="superscript"/>
        </w:rPr>
        <w:footnoteReference w:id="34"/>
      </w:r>
    </w:p>
    <w:p w:rsidR="007F0E05" w:rsidRPr="00F0794C" w:rsidRDefault="007F0E05" w:rsidP="004B5863">
      <w:pPr>
        <w:pStyle w:val="BodyText2"/>
        <w:jc w:val="both"/>
        <w:rPr>
          <w:rFonts w:asciiTheme="minorHAnsi" w:hAnsiTheme="minorHAnsi"/>
          <w:szCs w:val="22"/>
        </w:rPr>
      </w:pPr>
    </w:p>
    <w:p w:rsidR="007F0E05" w:rsidRPr="00F0794C" w:rsidRDefault="006F25E7" w:rsidP="004B5863">
      <w:pPr>
        <w:pStyle w:val="BodyText2"/>
        <w:jc w:val="both"/>
        <w:rPr>
          <w:rFonts w:asciiTheme="minorHAnsi" w:hAnsiTheme="minorHAnsi"/>
          <w:szCs w:val="22"/>
        </w:rPr>
      </w:pPr>
      <w:r>
        <w:rPr>
          <w:rFonts w:asciiTheme="minorHAnsi" w:hAnsiTheme="minorHAnsi"/>
          <w:szCs w:val="22"/>
        </w:rPr>
        <w:t>Recommendation 11</w:t>
      </w:r>
    </w:p>
    <w:p w:rsidR="007F0E05" w:rsidRPr="00F0794C" w:rsidRDefault="007F0E05" w:rsidP="004B5863">
      <w:pPr>
        <w:pStyle w:val="BodyText2"/>
        <w:jc w:val="both"/>
        <w:rPr>
          <w:rFonts w:asciiTheme="minorHAnsi" w:hAnsiTheme="minorHAnsi"/>
          <w:b w:val="0"/>
          <w:szCs w:val="22"/>
        </w:rPr>
      </w:pPr>
    </w:p>
    <w:p w:rsidR="007F0E05" w:rsidRPr="00F0794C" w:rsidRDefault="007F0E05" w:rsidP="004B5863">
      <w:pPr>
        <w:pStyle w:val="BodyText2"/>
        <w:jc w:val="both"/>
        <w:rPr>
          <w:rFonts w:asciiTheme="minorHAnsi" w:hAnsiTheme="minorHAnsi"/>
          <w:b w:val="0"/>
          <w:szCs w:val="22"/>
        </w:rPr>
      </w:pPr>
      <w:r w:rsidRPr="00F0794C">
        <w:rPr>
          <w:rFonts w:asciiTheme="minorHAnsi" w:hAnsiTheme="minorHAnsi"/>
          <w:b w:val="0"/>
          <w:szCs w:val="22"/>
        </w:rPr>
        <w:t xml:space="preserve">The Commission </w:t>
      </w:r>
      <w:r w:rsidR="00FD4927">
        <w:rPr>
          <w:rFonts w:asciiTheme="minorHAnsi" w:hAnsiTheme="minorHAnsi"/>
          <w:b w:val="0"/>
          <w:szCs w:val="22"/>
        </w:rPr>
        <w:t xml:space="preserve">should </w:t>
      </w:r>
      <w:r w:rsidRPr="00F0794C">
        <w:rPr>
          <w:rFonts w:asciiTheme="minorHAnsi" w:hAnsiTheme="minorHAnsi"/>
          <w:b w:val="0"/>
          <w:szCs w:val="22"/>
        </w:rPr>
        <w:t>encourage road agencies to address congestion</w:t>
      </w:r>
      <w:r w:rsidR="00FD4927">
        <w:rPr>
          <w:rFonts w:asciiTheme="minorHAnsi" w:hAnsiTheme="minorHAnsi"/>
          <w:b w:val="0"/>
          <w:szCs w:val="22"/>
        </w:rPr>
        <w:t xml:space="preserve"> abatement</w:t>
      </w:r>
      <w:r w:rsidRPr="00F0794C">
        <w:rPr>
          <w:rFonts w:asciiTheme="minorHAnsi" w:hAnsiTheme="minorHAnsi"/>
          <w:b w:val="0"/>
          <w:szCs w:val="22"/>
        </w:rPr>
        <w:t xml:space="preserve"> in </w:t>
      </w:r>
      <w:r w:rsidR="00FD4927">
        <w:rPr>
          <w:rFonts w:asciiTheme="minorHAnsi" w:hAnsiTheme="minorHAnsi"/>
          <w:b w:val="0"/>
          <w:szCs w:val="22"/>
        </w:rPr>
        <w:t xml:space="preserve">the </w:t>
      </w:r>
      <w:r w:rsidRPr="00F0794C">
        <w:rPr>
          <w:rFonts w:asciiTheme="minorHAnsi" w:hAnsiTheme="minorHAnsi"/>
          <w:b w:val="0"/>
          <w:szCs w:val="22"/>
        </w:rPr>
        <w:t xml:space="preserve">other ways it has </w:t>
      </w:r>
      <w:r w:rsidR="00910F36" w:rsidRPr="00F0794C">
        <w:rPr>
          <w:rFonts w:asciiTheme="minorHAnsi" w:hAnsiTheme="minorHAnsi"/>
          <w:b w:val="0"/>
          <w:szCs w:val="22"/>
        </w:rPr>
        <w:t>suggested</w:t>
      </w:r>
      <w:r w:rsidR="00FD4927">
        <w:rPr>
          <w:rFonts w:asciiTheme="minorHAnsi" w:hAnsiTheme="minorHAnsi"/>
          <w:b w:val="0"/>
          <w:szCs w:val="22"/>
        </w:rPr>
        <w:t xml:space="preserve"> before considering a congestion charge</w:t>
      </w:r>
      <w:r w:rsidRPr="00F0794C">
        <w:rPr>
          <w:rFonts w:asciiTheme="minorHAnsi" w:hAnsiTheme="minorHAnsi"/>
          <w:b w:val="0"/>
          <w:szCs w:val="22"/>
        </w:rPr>
        <w:t xml:space="preserve">. </w:t>
      </w:r>
    </w:p>
    <w:p w:rsidR="00F0794C" w:rsidRDefault="00F0794C" w:rsidP="006F25E7">
      <w:pPr>
        <w:pStyle w:val="Heading1"/>
        <w:numPr>
          <w:ilvl w:val="0"/>
          <w:numId w:val="0"/>
        </w:numPr>
        <w:jc w:val="both"/>
        <w:rPr>
          <w:rFonts w:asciiTheme="minorHAnsi" w:hAnsiTheme="minorHAnsi"/>
          <w:szCs w:val="22"/>
        </w:rPr>
      </w:pPr>
      <w:bookmarkStart w:id="24" w:name="_Toc384105366"/>
    </w:p>
    <w:p w:rsidR="00A97B8C" w:rsidRPr="00F0794C" w:rsidRDefault="0027126F" w:rsidP="004B5863">
      <w:pPr>
        <w:pStyle w:val="Heading1"/>
        <w:numPr>
          <w:ilvl w:val="0"/>
          <w:numId w:val="0"/>
        </w:numPr>
        <w:ind w:left="360" w:hanging="360"/>
        <w:jc w:val="both"/>
        <w:rPr>
          <w:rFonts w:asciiTheme="minorHAnsi" w:hAnsiTheme="minorHAnsi"/>
          <w:szCs w:val="22"/>
        </w:rPr>
      </w:pPr>
      <w:r w:rsidRPr="00F0794C">
        <w:rPr>
          <w:rFonts w:asciiTheme="minorHAnsi" w:hAnsiTheme="minorHAnsi"/>
          <w:szCs w:val="22"/>
        </w:rPr>
        <w:t>6</w:t>
      </w:r>
      <w:r w:rsidR="003F5DCB" w:rsidRPr="00F0794C">
        <w:rPr>
          <w:rFonts w:asciiTheme="minorHAnsi" w:hAnsiTheme="minorHAnsi"/>
          <w:szCs w:val="22"/>
        </w:rPr>
        <w:t>.</w:t>
      </w:r>
      <w:r w:rsidR="00A91577" w:rsidRPr="00F0794C">
        <w:rPr>
          <w:rFonts w:asciiTheme="minorHAnsi" w:hAnsiTheme="minorHAnsi"/>
          <w:szCs w:val="22"/>
        </w:rPr>
        <w:t>3</w:t>
      </w:r>
      <w:r w:rsidR="003F5DCB" w:rsidRPr="00F0794C">
        <w:rPr>
          <w:rFonts w:asciiTheme="minorHAnsi" w:hAnsiTheme="minorHAnsi"/>
          <w:szCs w:val="22"/>
        </w:rPr>
        <w:t xml:space="preserve"> </w:t>
      </w:r>
      <w:r w:rsidR="002B5959" w:rsidRPr="00F0794C">
        <w:rPr>
          <w:rFonts w:asciiTheme="minorHAnsi" w:hAnsiTheme="minorHAnsi"/>
          <w:szCs w:val="22"/>
        </w:rPr>
        <w:t>The way forward</w:t>
      </w:r>
      <w:r w:rsidR="003F5DCB" w:rsidRPr="00F0794C">
        <w:rPr>
          <w:rFonts w:asciiTheme="minorHAnsi" w:hAnsiTheme="minorHAnsi"/>
          <w:szCs w:val="22"/>
        </w:rPr>
        <w:t xml:space="preserve"> for user charges</w:t>
      </w:r>
      <w:bookmarkEnd w:id="24"/>
      <w:r w:rsidR="003F5DCB" w:rsidRPr="00F0794C">
        <w:rPr>
          <w:rFonts w:asciiTheme="minorHAnsi" w:hAnsiTheme="minorHAnsi"/>
          <w:szCs w:val="22"/>
        </w:rPr>
        <w:t xml:space="preserve"> </w:t>
      </w:r>
    </w:p>
    <w:p w:rsidR="00A97B8C" w:rsidRPr="00F0794C" w:rsidRDefault="00A97B8C" w:rsidP="004B5863">
      <w:pPr>
        <w:pStyle w:val="BodyText2"/>
        <w:jc w:val="both"/>
        <w:rPr>
          <w:rFonts w:asciiTheme="minorHAnsi" w:hAnsiTheme="minorHAnsi"/>
        </w:rPr>
      </w:pPr>
    </w:p>
    <w:p w:rsidR="00B12E62" w:rsidRDefault="000422CE" w:rsidP="004B5863">
      <w:pPr>
        <w:pStyle w:val="BodyText2"/>
        <w:jc w:val="both"/>
        <w:rPr>
          <w:rFonts w:asciiTheme="minorHAnsi" w:hAnsiTheme="minorHAnsi"/>
          <w:b w:val="0"/>
        </w:rPr>
      </w:pPr>
      <w:r w:rsidRPr="00F0794C">
        <w:rPr>
          <w:rFonts w:asciiTheme="minorHAnsi" w:hAnsiTheme="minorHAnsi"/>
          <w:b w:val="0"/>
        </w:rPr>
        <w:t>T</w:t>
      </w:r>
      <w:r w:rsidR="00ED3974" w:rsidRPr="00F0794C">
        <w:rPr>
          <w:rFonts w:asciiTheme="minorHAnsi" w:hAnsiTheme="minorHAnsi"/>
          <w:b w:val="0"/>
        </w:rPr>
        <w:t xml:space="preserve">he ATA rejects </w:t>
      </w:r>
      <w:r w:rsidR="003F5DCB" w:rsidRPr="00F0794C">
        <w:rPr>
          <w:rFonts w:asciiTheme="minorHAnsi" w:hAnsiTheme="minorHAnsi"/>
          <w:b w:val="0"/>
        </w:rPr>
        <w:t>direct user charges at this stage</w:t>
      </w:r>
      <w:r w:rsidRPr="00F0794C">
        <w:rPr>
          <w:rFonts w:asciiTheme="minorHAnsi" w:hAnsiTheme="minorHAnsi"/>
          <w:b w:val="0"/>
        </w:rPr>
        <w:t>,</w:t>
      </w:r>
      <w:r w:rsidR="003F5DCB" w:rsidRPr="00F0794C">
        <w:rPr>
          <w:rFonts w:asciiTheme="minorHAnsi" w:hAnsiTheme="minorHAnsi"/>
          <w:b w:val="0"/>
        </w:rPr>
        <w:t xml:space="preserve"> given that </w:t>
      </w:r>
      <w:r w:rsidR="00910F36" w:rsidRPr="00F0794C">
        <w:rPr>
          <w:rFonts w:asciiTheme="minorHAnsi" w:hAnsiTheme="minorHAnsi"/>
          <w:b w:val="0"/>
        </w:rPr>
        <w:t>this</w:t>
      </w:r>
      <w:r w:rsidR="003F5DCB" w:rsidRPr="00F0794C">
        <w:rPr>
          <w:rFonts w:asciiTheme="minorHAnsi" w:hAnsiTheme="minorHAnsi"/>
          <w:b w:val="0"/>
        </w:rPr>
        <w:t xml:space="preserve"> is cost prohibitive and that there is much to be done on the supply side before any drastic change</w:t>
      </w:r>
      <w:r w:rsidRPr="00F0794C">
        <w:rPr>
          <w:rFonts w:asciiTheme="minorHAnsi" w:hAnsiTheme="minorHAnsi"/>
          <w:b w:val="0"/>
        </w:rPr>
        <w:t xml:space="preserve">s are made to road user charges. </w:t>
      </w:r>
    </w:p>
    <w:p w:rsidR="00B12E62" w:rsidRDefault="00B12E62" w:rsidP="004B5863">
      <w:pPr>
        <w:pStyle w:val="BodyText2"/>
        <w:jc w:val="both"/>
        <w:rPr>
          <w:rFonts w:asciiTheme="minorHAnsi" w:hAnsiTheme="minorHAnsi"/>
          <w:b w:val="0"/>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Provision of infrastructure is underlined by the available finances and ongoing funding to keep the infrastructure maintained to a suitable level. The National Land Transport Network only covers 2.8% of the network.  Local governments own and manage around 80% of Australia’s total road network. Therefore, when considering what part of the network user charges and private partnership investments can economically and fairly recover the cost of providing capital and maintenance it should be considered under the reality of roads in Australia. The majority of regional, rural and remote roads in Australia will always need to be partly funded by consumer service obligations regardless of any direct chargin</w:t>
      </w:r>
      <w:r w:rsidR="00C974B5">
        <w:rPr>
          <w:rFonts w:asciiTheme="minorHAnsi" w:eastAsia="Times New Roman" w:hAnsiTheme="minorHAnsi" w:cs="Arial"/>
          <w:bCs/>
        </w:rPr>
        <w:t>g system, as the Commission has</w:t>
      </w:r>
      <w:r w:rsidRPr="0079119C">
        <w:rPr>
          <w:rFonts w:asciiTheme="minorHAnsi" w:eastAsia="Times New Roman" w:hAnsiTheme="minorHAnsi" w:cs="Arial"/>
          <w:bCs/>
        </w:rPr>
        <w:t xml:space="preserve"> indicated. </w:t>
      </w:r>
    </w:p>
    <w:p w:rsidR="00B12E62" w:rsidRPr="00B12E62" w:rsidRDefault="00B12E62" w:rsidP="00B12E62">
      <w:pPr>
        <w:jc w:val="both"/>
        <w:rPr>
          <w:rFonts w:asciiTheme="minorHAnsi" w:eastAsia="Times New Roman" w:hAnsiTheme="minorHAnsi" w:cs="Arial"/>
          <w:bCs/>
          <w:color w:val="FF0000"/>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 xml:space="preserve">Hence, there should be a rethink of the in vehicle focus of direct charges and look towards where it can have some positive impact on driver behaviour and recover the costs of provision fully. </w:t>
      </w:r>
    </w:p>
    <w:p w:rsidR="00B12E62" w:rsidRPr="00B12E62" w:rsidRDefault="00B12E62" w:rsidP="00B12E62">
      <w:pPr>
        <w:jc w:val="both"/>
        <w:rPr>
          <w:rFonts w:asciiTheme="minorHAnsi" w:eastAsia="Times New Roman" w:hAnsiTheme="minorHAnsi" w:cs="Arial"/>
          <w:bCs/>
          <w:color w:val="FF0000"/>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The current model for securing private sector</w:t>
      </w:r>
      <w:r w:rsidR="0079119C" w:rsidRPr="0079119C">
        <w:rPr>
          <w:rFonts w:asciiTheme="minorHAnsi" w:eastAsia="Times New Roman" w:hAnsiTheme="minorHAnsi" w:cs="Arial"/>
          <w:bCs/>
        </w:rPr>
        <w:t xml:space="preserve"> investment</w:t>
      </w:r>
      <w:r w:rsidRPr="0079119C">
        <w:rPr>
          <w:rFonts w:asciiTheme="minorHAnsi" w:eastAsia="Times New Roman" w:hAnsiTheme="minorHAnsi" w:cs="Arial"/>
          <w:bCs/>
        </w:rPr>
        <w:t xml:space="preserve"> towards road construction involves direct tolling. Superannuation funds and other private sector investor</w:t>
      </w:r>
      <w:r w:rsidR="0079119C" w:rsidRPr="0079119C">
        <w:rPr>
          <w:rFonts w:asciiTheme="minorHAnsi" w:eastAsia="Times New Roman" w:hAnsiTheme="minorHAnsi" w:cs="Arial"/>
          <w:bCs/>
        </w:rPr>
        <w:t>s</w:t>
      </w:r>
      <w:r w:rsidRPr="0079119C">
        <w:rPr>
          <w:rFonts w:asciiTheme="minorHAnsi" w:eastAsia="Times New Roman" w:hAnsiTheme="minorHAnsi" w:cs="Arial"/>
          <w:bCs/>
        </w:rPr>
        <w:t xml:space="preserve"> are interested in these assets, but only if they provide a secure income stream. There are issues surrounding the viability of these types of investment. A direct tolling system is far superior in targeting issues such as congestion instead of enforcing an expensive system on all of Australia that will only have a small impact on the behaviour of most drivers and penalise regional, </w:t>
      </w:r>
      <w:r w:rsidR="00C974B5">
        <w:rPr>
          <w:rFonts w:asciiTheme="minorHAnsi" w:eastAsia="Times New Roman" w:hAnsiTheme="minorHAnsi" w:cs="Arial"/>
          <w:bCs/>
        </w:rPr>
        <w:t>rural</w:t>
      </w:r>
      <w:r w:rsidRPr="0079119C">
        <w:rPr>
          <w:rFonts w:asciiTheme="minorHAnsi" w:eastAsia="Times New Roman" w:hAnsiTheme="minorHAnsi" w:cs="Arial"/>
          <w:bCs/>
        </w:rPr>
        <w:t xml:space="preserve"> and r</w:t>
      </w:r>
      <w:r w:rsidR="00C974B5">
        <w:rPr>
          <w:rFonts w:asciiTheme="minorHAnsi" w:eastAsia="Times New Roman" w:hAnsiTheme="minorHAnsi" w:cs="Arial"/>
          <w:bCs/>
        </w:rPr>
        <w:t>emote</w:t>
      </w:r>
      <w:r w:rsidRPr="0079119C">
        <w:rPr>
          <w:rFonts w:asciiTheme="minorHAnsi" w:eastAsia="Times New Roman" w:hAnsiTheme="minorHAnsi" w:cs="Arial"/>
          <w:bCs/>
        </w:rPr>
        <w:t xml:space="preserve"> communities. </w:t>
      </w:r>
    </w:p>
    <w:p w:rsidR="00B12E62" w:rsidRPr="00B12E62" w:rsidRDefault="00B12E62" w:rsidP="00B12E62">
      <w:pPr>
        <w:jc w:val="both"/>
        <w:rPr>
          <w:rFonts w:asciiTheme="minorHAnsi" w:eastAsia="Times New Roman" w:hAnsiTheme="minorHAnsi" w:cs="Arial"/>
          <w:bCs/>
          <w:color w:val="FF0000"/>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 xml:space="preserve">One justification for more direct user charges such as mass distance location charges is that road agencies have insufficient data to inform decision making. However, we question this assertion as after continued questioning states are yet to inform the industry of what data they use now and what they need in addition to this. </w:t>
      </w:r>
    </w:p>
    <w:p w:rsidR="00B12E62" w:rsidRPr="0079119C" w:rsidRDefault="00B12E62" w:rsidP="00B12E62">
      <w:pPr>
        <w:jc w:val="both"/>
        <w:rPr>
          <w:rFonts w:asciiTheme="minorHAnsi" w:eastAsia="Times New Roman" w:hAnsiTheme="minorHAnsi" w:cs="Arial"/>
          <w:bCs/>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 xml:space="preserve">There is presently considerable data available for this purpose. Simply increasing the amount of data that road agencies receive does not equate to better delivery outcomes.  </w:t>
      </w:r>
    </w:p>
    <w:p w:rsidR="00B12E62" w:rsidRPr="0079119C" w:rsidRDefault="00B12E62" w:rsidP="00B12E62">
      <w:pPr>
        <w:jc w:val="both"/>
        <w:rPr>
          <w:rFonts w:asciiTheme="minorHAnsi" w:eastAsia="Times New Roman" w:hAnsiTheme="minorHAnsi" w:cs="Arial"/>
          <w:bCs/>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 xml:space="preserve">Collecting data is also not a costless process. Hence, tradeoffs have to be made between cost, volume and accuracy of data when formulating policy. </w:t>
      </w:r>
    </w:p>
    <w:p w:rsidR="00B12E62" w:rsidRPr="0079119C" w:rsidRDefault="00B12E62" w:rsidP="00B12E62">
      <w:pPr>
        <w:jc w:val="both"/>
        <w:rPr>
          <w:rFonts w:asciiTheme="minorHAnsi" w:eastAsia="Times New Roman" w:hAnsiTheme="minorHAnsi" w:cs="Arial"/>
          <w:bCs/>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lastRenderedPageBreak/>
        <w:t>It is obvious to both road users and road asset holders where there are transport issues. Sir Rod Eddington’s report on UK infrastructure noted that</w:t>
      </w:r>
      <w:r w:rsidRPr="0079119C">
        <w:rPr>
          <w:rFonts w:asciiTheme="minorHAnsi" w:eastAsia="Times New Roman" w:hAnsiTheme="minorHAnsi" w:cs="Arial"/>
          <w:bCs/>
          <w:vertAlign w:val="superscript"/>
        </w:rPr>
        <w:footnoteReference w:id="35"/>
      </w:r>
      <w:r w:rsidRPr="0079119C">
        <w:rPr>
          <w:rFonts w:asciiTheme="minorHAnsi" w:eastAsia="Times New Roman" w:hAnsiTheme="minorHAnsi" w:cs="Arial"/>
          <w:bCs/>
        </w:rPr>
        <w:t>:</w:t>
      </w:r>
    </w:p>
    <w:p w:rsidR="00B12E62" w:rsidRPr="0079119C" w:rsidRDefault="00B12E62" w:rsidP="00B12E62">
      <w:pPr>
        <w:jc w:val="both"/>
        <w:rPr>
          <w:rFonts w:asciiTheme="minorHAnsi" w:eastAsia="Times New Roman" w:hAnsiTheme="minorHAnsi" w:cs="Arial"/>
          <w:bCs/>
          <w:i/>
          <w:iCs/>
        </w:rPr>
      </w:pPr>
    </w:p>
    <w:p w:rsidR="00B12E62" w:rsidRPr="0079119C" w:rsidRDefault="00B12E62" w:rsidP="00B12E62">
      <w:pPr>
        <w:jc w:val="both"/>
        <w:rPr>
          <w:rFonts w:asciiTheme="minorHAnsi" w:eastAsia="Times New Roman" w:hAnsiTheme="minorHAnsi" w:cs="Arial"/>
          <w:bCs/>
          <w:i/>
          <w:iCs/>
        </w:rPr>
      </w:pPr>
      <w:r w:rsidRPr="0079119C">
        <w:rPr>
          <w:rFonts w:asciiTheme="minorHAnsi" w:eastAsia="Times New Roman" w:hAnsiTheme="minorHAnsi" w:cs="Arial"/>
          <w:bCs/>
          <w:i/>
          <w:iCs/>
        </w:rPr>
        <w:t>In most cases, the best signals to identify where transport is acting to hold back growth will be the presence of clear signs of economic success (economic growth and very high wages and land prices), and that transport demand is starting to outstrip supply (signs of congestion and unreliability). In areas without such clear signs, it is unlikely that transport is holding back productivity and growth.</w:t>
      </w:r>
    </w:p>
    <w:p w:rsidR="00B12E62" w:rsidRPr="0079119C" w:rsidRDefault="00B12E62" w:rsidP="00B12E62">
      <w:pPr>
        <w:jc w:val="both"/>
        <w:rPr>
          <w:rFonts w:asciiTheme="minorHAnsi" w:eastAsia="Times New Roman" w:hAnsiTheme="minorHAnsi" w:cs="Arial"/>
          <w:b/>
          <w:bCs/>
          <w:i/>
          <w:iCs/>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 xml:space="preserve">There is a great deal of data available for heavy vehicle usage. The main sources are: </w:t>
      </w:r>
    </w:p>
    <w:p w:rsidR="00B12E62" w:rsidRPr="0079119C" w:rsidRDefault="00B12E62" w:rsidP="00B12E62">
      <w:pPr>
        <w:jc w:val="both"/>
        <w:rPr>
          <w:rFonts w:asciiTheme="minorHAnsi" w:eastAsia="Times New Roman" w:hAnsiTheme="minorHAnsi" w:cs="Arial"/>
          <w:b/>
          <w:bCs/>
        </w:rPr>
      </w:pPr>
    </w:p>
    <w:p w:rsidR="00B12E62" w:rsidRPr="0079119C" w:rsidRDefault="00B12E62" w:rsidP="00B12E62">
      <w:pPr>
        <w:numPr>
          <w:ilvl w:val="0"/>
          <w:numId w:val="24"/>
        </w:numPr>
        <w:jc w:val="both"/>
        <w:rPr>
          <w:rFonts w:asciiTheme="minorHAnsi" w:eastAsia="Times New Roman" w:hAnsiTheme="minorHAnsi" w:cs="Arial"/>
          <w:bCs/>
        </w:rPr>
      </w:pPr>
      <w:r w:rsidRPr="0079119C">
        <w:rPr>
          <w:rFonts w:asciiTheme="minorHAnsi" w:eastAsia="Times New Roman" w:hAnsiTheme="minorHAnsi" w:cs="Arial"/>
          <w:bCs/>
        </w:rPr>
        <w:t>State and territory CULWAY/WIM (weigh-in-motion) data;</w:t>
      </w:r>
    </w:p>
    <w:p w:rsidR="00B12E62" w:rsidRPr="0079119C" w:rsidRDefault="00B12E62" w:rsidP="00B12E62">
      <w:pPr>
        <w:numPr>
          <w:ilvl w:val="0"/>
          <w:numId w:val="24"/>
        </w:numPr>
        <w:jc w:val="both"/>
        <w:rPr>
          <w:rFonts w:asciiTheme="minorHAnsi" w:eastAsia="Times New Roman" w:hAnsiTheme="minorHAnsi" w:cs="Arial"/>
          <w:bCs/>
        </w:rPr>
      </w:pPr>
      <w:proofErr w:type="spellStart"/>
      <w:r w:rsidRPr="0079119C">
        <w:rPr>
          <w:rFonts w:asciiTheme="minorHAnsi" w:eastAsia="Times New Roman" w:hAnsiTheme="minorHAnsi" w:cs="Arial"/>
          <w:bCs/>
        </w:rPr>
        <w:t>FDF</w:t>
      </w:r>
      <w:proofErr w:type="spellEnd"/>
      <w:r w:rsidRPr="0079119C">
        <w:rPr>
          <w:rFonts w:asciiTheme="minorHAnsi" w:eastAsia="Times New Roman" w:hAnsiTheme="minorHAnsi" w:cs="Arial"/>
          <w:bCs/>
        </w:rPr>
        <w:t xml:space="preserve"> </w:t>
      </w:r>
      <w:proofErr w:type="spellStart"/>
      <w:r w:rsidRPr="0079119C">
        <w:rPr>
          <w:rFonts w:asciiTheme="minorHAnsi" w:eastAsia="Times New Roman" w:hAnsiTheme="minorHAnsi" w:cs="Arial"/>
          <w:bCs/>
        </w:rPr>
        <w:t>FreightInfo</w:t>
      </w:r>
      <w:proofErr w:type="spellEnd"/>
      <w:r w:rsidRPr="0079119C">
        <w:rPr>
          <w:rFonts w:asciiTheme="minorHAnsi" w:eastAsia="Times New Roman" w:hAnsiTheme="minorHAnsi" w:cs="Arial"/>
          <w:bCs/>
        </w:rPr>
        <w:t xml:space="preserve"> inter-regional freight movements database;</w:t>
      </w:r>
    </w:p>
    <w:p w:rsidR="00B12E62" w:rsidRPr="0079119C" w:rsidRDefault="00B12E62" w:rsidP="00B12E62">
      <w:pPr>
        <w:numPr>
          <w:ilvl w:val="0"/>
          <w:numId w:val="24"/>
        </w:numPr>
        <w:jc w:val="both"/>
        <w:rPr>
          <w:rFonts w:asciiTheme="minorHAnsi" w:eastAsia="Times New Roman" w:hAnsiTheme="minorHAnsi" w:cs="Arial"/>
          <w:bCs/>
        </w:rPr>
      </w:pPr>
      <w:r w:rsidRPr="0079119C">
        <w:rPr>
          <w:rFonts w:asciiTheme="minorHAnsi" w:eastAsia="Times New Roman" w:hAnsiTheme="minorHAnsi" w:cs="Arial"/>
          <w:bCs/>
        </w:rPr>
        <w:t>ABS Survey of Motor Vehicle Use (SMVU); and</w:t>
      </w:r>
    </w:p>
    <w:p w:rsidR="00B12E62" w:rsidRPr="0079119C" w:rsidRDefault="00B12E62" w:rsidP="00B12E62">
      <w:pPr>
        <w:numPr>
          <w:ilvl w:val="0"/>
          <w:numId w:val="24"/>
        </w:numPr>
        <w:jc w:val="both"/>
        <w:rPr>
          <w:rFonts w:asciiTheme="minorHAnsi" w:eastAsia="Times New Roman" w:hAnsiTheme="minorHAnsi" w:cs="Arial"/>
          <w:bCs/>
        </w:rPr>
      </w:pPr>
      <w:r w:rsidRPr="0079119C">
        <w:rPr>
          <w:rFonts w:asciiTheme="minorHAnsi" w:eastAsia="Times New Roman" w:hAnsiTheme="minorHAnsi" w:cs="Arial"/>
          <w:bCs/>
        </w:rPr>
        <w:t>State and territory commercial vehicle traffic counts.</w:t>
      </w:r>
      <w:r w:rsidRPr="0079119C">
        <w:rPr>
          <w:rFonts w:asciiTheme="minorHAnsi" w:eastAsia="Times New Roman" w:hAnsiTheme="minorHAnsi" w:cs="Arial"/>
          <w:bCs/>
          <w:vertAlign w:val="superscript"/>
        </w:rPr>
        <w:footnoteReference w:id="36"/>
      </w:r>
    </w:p>
    <w:p w:rsidR="00B12E62" w:rsidRPr="0079119C" w:rsidRDefault="00B12E62" w:rsidP="00B12E62">
      <w:pPr>
        <w:jc w:val="both"/>
        <w:rPr>
          <w:rFonts w:asciiTheme="minorHAnsi" w:eastAsia="Times New Roman" w:hAnsiTheme="minorHAnsi" w:cs="Arial"/>
          <w:bCs/>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Where a particular data source has shortcomings, these can often be overcome by using observed patterns from other data sources or via ‘informed estimates’. For instance, BITRE notes that:</w:t>
      </w:r>
    </w:p>
    <w:p w:rsidR="00B12E62" w:rsidRPr="0079119C" w:rsidRDefault="00B12E62" w:rsidP="00B12E62">
      <w:pPr>
        <w:jc w:val="both"/>
        <w:rPr>
          <w:rFonts w:asciiTheme="minorHAnsi" w:eastAsia="Times New Roman" w:hAnsiTheme="minorHAnsi" w:cs="Arial"/>
          <w:bCs/>
        </w:rPr>
      </w:pPr>
    </w:p>
    <w:p w:rsidR="00B12E62" w:rsidRPr="0079119C" w:rsidRDefault="00B12E62" w:rsidP="00B12E62">
      <w:pPr>
        <w:jc w:val="both"/>
        <w:rPr>
          <w:rFonts w:asciiTheme="minorHAnsi" w:eastAsia="Times New Roman" w:hAnsiTheme="minorHAnsi" w:cs="Arial"/>
          <w:bCs/>
          <w:i/>
        </w:rPr>
      </w:pPr>
      <w:r w:rsidRPr="0079119C">
        <w:rPr>
          <w:rFonts w:asciiTheme="minorHAnsi" w:eastAsia="Times New Roman" w:hAnsiTheme="minorHAnsi" w:cs="Arial"/>
          <w:bCs/>
          <w:i/>
        </w:rPr>
        <w:t>…some data (SA and NT) include estimates of the net freight task, others (NSW) the net freight task needs to be estimated by multiplying the difference between the average gross vehicle weight and the estimated average tare weight, for each Austroads vehicle class, by the total number of vehicles in each class, and summing over all vehicles classes.</w:t>
      </w:r>
    </w:p>
    <w:p w:rsidR="00B12E62" w:rsidRPr="0079119C" w:rsidRDefault="00B12E62" w:rsidP="00B12E62">
      <w:pPr>
        <w:jc w:val="both"/>
        <w:rPr>
          <w:rFonts w:asciiTheme="minorHAnsi" w:eastAsia="Times New Roman" w:hAnsiTheme="minorHAnsi" w:cs="Arial"/>
          <w:bCs/>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 xml:space="preserve">Overall, the Weigh-in-Motion (WIM) data provided by various state authorities provides an accurate real-world picture of road freight flows between capital cities, with the exception of the Sydney-Canberra route. </w:t>
      </w:r>
    </w:p>
    <w:p w:rsidR="00B12E62" w:rsidRPr="0079119C" w:rsidRDefault="00B12E62" w:rsidP="00B12E62">
      <w:pPr>
        <w:jc w:val="both"/>
        <w:rPr>
          <w:rFonts w:asciiTheme="minorHAnsi" w:eastAsia="Times New Roman" w:hAnsiTheme="minorHAnsi" w:cs="Arial"/>
          <w:bCs/>
        </w:rPr>
      </w:pPr>
    </w:p>
    <w:p w:rsidR="00C974B5" w:rsidRPr="00C974B5" w:rsidRDefault="00C974B5" w:rsidP="00C974B5">
      <w:pPr>
        <w:jc w:val="both"/>
        <w:rPr>
          <w:rFonts w:asciiTheme="minorHAnsi" w:eastAsia="Times New Roman" w:hAnsiTheme="minorHAnsi" w:cs="Arial"/>
          <w:bCs/>
        </w:rPr>
      </w:pPr>
      <w:r w:rsidRPr="00C974B5">
        <w:rPr>
          <w:rFonts w:asciiTheme="minorHAnsi" w:eastAsia="Times New Roman" w:hAnsiTheme="minorHAnsi" w:cs="Arial"/>
          <w:bCs/>
        </w:rPr>
        <w:t xml:space="preserve">The Transport and Infrastructure Senior Officials' Committee (TISOC) approved an expansion of the ABS SMVU to double the number of heavy vehicles surveyed and to have an additional focus on freight movements.  In addition, industry now has the capacity to gather statistics on demand from the national heavy vehicle regulator (NHVR) records of failed access requests and attendant statements of reasons. </w:t>
      </w:r>
    </w:p>
    <w:p w:rsidR="00B12E62" w:rsidRPr="0079119C" w:rsidRDefault="00B12E62" w:rsidP="00B12E62">
      <w:pPr>
        <w:jc w:val="both"/>
        <w:rPr>
          <w:rFonts w:asciiTheme="minorHAnsi" w:eastAsia="Times New Roman" w:hAnsiTheme="minorHAnsi" w:cs="Arial"/>
          <w:bCs/>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 xml:space="preserve">There is little evidence to suggest that more data being provided to road agencies and local government will lead to better delivery outcomes. Hence, data sought from direct user charges is already being provided through less costly methods than direct monitoring of road users. </w:t>
      </w:r>
    </w:p>
    <w:p w:rsidR="00B12E62" w:rsidRPr="0079119C" w:rsidRDefault="00B12E62" w:rsidP="00B12E62">
      <w:pPr>
        <w:jc w:val="both"/>
        <w:rPr>
          <w:rFonts w:asciiTheme="minorHAnsi" w:eastAsia="Times New Roman" w:hAnsiTheme="minorHAnsi" w:cs="Arial"/>
          <w:bCs/>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 xml:space="preserve">This data could also feed into the distribution of funds to states and local governments based on tier one to three spending and access expectations. </w:t>
      </w:r>
      <w:bookmarkStart w:id="25" w:name="_Toc361217293"/>
      <w:bookmarkStart w:id="26" w:name="_Toc361217666"/>
      <w:bookmarkStart w:id="27" w:name="_Toc361218195"/>
      <w:bookmarkEnd w:id="25"/>
      <w:bookmarkEnd w:id="26"/>
      <w:bookmarkEnd w:id="27"/>
    </w:p>
    <w:p w:rsidR="00B12E62" w:rsidRPr="00B12E62" w:rsidRDefault="00B12E62" w:rsidP="00B12E62">
      <w:pPr>
        <w:jc w:val="both"/>
        <w:rPr>
          <w:rFonts w:asciiTheme="minorHAnsi" w:eastAsia="Times New Roman" w:hAnsiTheme="minorHAnsi" w:cs="Arial"/>
          <w:bCs/>
          <w:color w:val="FF0000"/>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 xml:space="preserve">The Commission stated that a direct user charges system would have to be ‘revenue neutral’ for it to be acceptable. A better test would be ‘cost neutrality’ for industry. However, it is unlikely that mass distance and location charging which has such specific monitoring technology, extra compliance and enforcement costs, and government and operator administration costs, would be cost neutral. Someone in that chain will wear the excessive costs of a bloated data collection and charging system and it is likely to be the industry and the community. This will affect the competitive provision of infrastructure due to funding being spent on a complex charging system instead of on roads.  </w:t>
      </w:r>
    </w:p>
    <w:p w:rsidR="00B12E62" w:rsidRPr="0079119C" w:rsidRDefault="00B12E62" w:rsidP="00B12E62">
      <w:pPr>
        <w:jc w:val="both"/>
        <w:rPr>
          <w:rFonts w:asciiTheme="minorHAnsi" w:eastAsia="Times New Roman" w:hAnsiTheme="minorHAnsi" w:cs="Arial"/>
          <w:bCs/>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t>Comparing this to a direct tolling system where all the appropriate costs are recovered from the users of the toll road is far mor</w:t>
      </w:r>
      <w:r w:rsidR="00BA50DE">
        <w:rPr>
          <w:rFonts w:asciiTheme="minorHAnsi" w:eastAsia="Times New Roman" w:hAnsiTheme="minorHAnsi" w:cs="Arial"/>
          <w:bCs/>
        </w:rPr>
        <w:t>e efficient than a</w:t>
      </w:r>
      <w:r w:rsidRPr="0079119C">
        <w:rPr>
          <w:rFonts w:asciiTheme="minorHAnsi" w:eastAsia="Times New Roman" w:hAnsiTheme="minorHAnsi" w:cs="Arial"/>
          <w:bCs/>
        </w:rPr>
        <w:t xml:space="preserve"> whole system charging approach. If direct tolling is implemented with the PwC three tiered approach Australia would have a targeted, accountable and efficient system of providing and monitoring road infrastructure across Australia.</w:t>
      </w:r>
    </w:p>
    <w:p w:rsidR="00B51244" w:rsidRDefault="00B51244" w:rsidP="00B12E62">
      <w:pPr>
        <w:jc w:val="both"/>
        <w:rPr>
          <w:rFonts w:asciiTheme="minorHAnsi" w:eastAsia="Times New Roman" w:hAnsiTheme="minorHAnsi" w:cs="Arial"/>
          <w:bCs/>
        </w:rPr>
      </w:pPr>
    </w:p>
    <w:p w:rsidR="00B12E62" w:rsidRPr="0079119C" w:rsidRDefault="00B12E62" w:rsidP="00B12E62">
      <w:pPr>
        <w:jc w:val="both"/>
        <w:rPr>
          <w:rFonts w:asciiTheme="minorHAnsi" w:eastAsia="Times New Roman" w:hAnsiTheme="minorHAnsi" w:cs="Arial"/>
          <w:bCs/>
        </w:rPr>
      </w:pPr>
      <w:r w:rsidRPr="0079119C">
        <w:rPr>
          <w:rFonts w:asciiTheme="minorHAnsi" w:eastAsia="Times New Roman" w:hAnsiTheme="minorHAnsi" w:cs="Arial"/>
          <w:bCs/>
        </w:rPr>
        <w:lastRenderedPageBreak/>
        <w:t xml:space="preserve">We would urge the Commission to ignore the HVCI recommendations as they will negatively affect the productivity of the trucking industry and instead focus on implementing </w:t>
      </w:r>
      <w:r w:rsidR="0079119C">
        <w:rPr>
          <w:rFonts w:asciiTheme="minorHAnsi" w:eastAsia="Times New Roman" w:hAnsiTheme="minorHAnsi" w:cs="Arial"/>
          <w:bCs/>
        </w:rPr>
        <w:t xml:space="preserve">the </w:t>
      </w:r>
      <w:r w:rsidRPr="0079119C">
        <w:rPr>
          <w:rFonts w:asciiTheme="minorHAnsi" w:eastAsia="Times New Roman" w:hAnsiTheme="minorHAnsi" w:cs="Arial"/>
          <w:bCs/>
        </w:rPr>
        <w:t xml:space="preserve">PwC three tier </w:t>
      </w:r>
      <w:proofErr w:type="gramStart"/>
      <w:r w:rsidRPr="0079119C">
        <w:rPr>
          <w:rFonts w:asciiTheme="minorHAnsi" w:eastAsia="Times New Roman" w:hAnsiTheme="minorHAnsi" w:cs="Arial"/>
          <w:bCs/>
        </w:rPr>
        <w:t>approach</w:t>
      </w:r>
      <w:proofErr w:type="gramEnd"/>
      <w:r w:rsidRPr="0079119C">
        <w:rPr>
          <w:rFonts w:asciiTheme="minorHAnsi" w:eastAsia="Times New Roman" w:hAnsiTheme="minorHAnsi" w:cs="Arial"/>
          <w:bCs/>
        </w:rPr>
        <w:t xml:space="preserve"> and investigate ways to implement direct tolls where appropriate.</w:t>
      </w:r>
    </w:p>
    <w:p w:rsidR="00B12E62" w:rsidRDefault="00B12E62" w:rsidP="004B5863">
      <w:pPr>
        <w:pStyle w:val="BodyText2"/>
        <w:jc w:val="both"/>
        <w:rPr>
          <w:rFonts w:asciiTheme="minorHAnsi" w:hAnsiTheme="minorHAnsi"/>
          <w:b w:val="0"/>
        </w:rPr>
      </w:pPr>
    </w:p>
    <w:p w:rsidR="003F5DCB" w:rsidRPr="00F0794C" w:rsidRDefault="00B12E62" w:rsidP="004B5863">
      <w:pPr>
        <w:pStyle w:val="BodyText2"/>
        <w:jc w:val="both"/>
        <w:rPr>
          <w:rFonts w:asciiTheme="minorHAnsi" w:hAnsiTheme="minorHAnsi"/>
          <w:b w:val="0"/>
        </w:rPr>
      </w:pPr>
      <w:r>
        <w:rPr>
          <w:rFonts w:asciiTheme="minorHAnsi" w:hAnsiTheme="minorHAnsi"/>
          <w:b w:val="0"/>
        </w:rPr>
        <w:t>Additionally,</w:t>
      </w:r>
      <w:r w:rsidR="000422CE" w:rsidRPr="00F0794C">
        <w:rPr>
          <w:rFonts w:asciiTheme="minorHAnsi" w:hAnsiTheme="minorHAnsi"/>
          <w:b w:val="0"/>
        </w:rPr>
        <w:t xml:space="preserve"> t</w:t>
      </w:r>
      <w:r w:rsidR="003F5DCB" w:rsidRPr="00F0794C">
        <w:rPr>
          <w:rFonts w:asciiTheme="minorHAnsi" w:hAnsiTheme="minorHAnsi"/>
          <w:b w:val="0"/>
        </w:rPr>
        <w:t xml:space="preserve">he current system for truck charges can be enhanced to reflect </w:t>
      </w:r>
      <w:r w:rsidR="00910F36" w:rsidRPr="00F0794C">
        <w:rPr>
          <w:rFonts w:asciiTheme="minorHAnsi" w:hAnsiTheme="minorHAnsi"/>
          <w:b w:val="0"/>
        </w:rPr>
        <w:t xml:space="preserve">road </w:t>
      </w:r>
      <w:r w:rsidR="003F5DCB" w:rsidRPr="00F0794C">
        <w:rPr>
          <w:rFonts w:asciiTheme="minorHAnsi" w:hAnsiTheme="minorHAnsi"/>
          <w:b w:val="0"/>
        </w:rPr>
        <w:t xml:space="preserve">use better. </w:t>
      </w:r>
    </w:p>
    <w:p w:rsidR="00F0794C" w:rsidRDefault="00F0794C" w:rsidP="004B5863">
      <w:pPr>
        <w:jc w:val="both"/>
        <w:rPr>
          <w:rFonts w:asciiTheme="minorHAnsi" w:eastAsia="Times New Roman" w:hAnsiTheme="minorHAnsi" w:cs="Arial"/>
          <w:bCs/>
          <w:iCs/>
          <w:szCs w:val="20"/>
        </w:rPr>
      </w:pPr>
    </w:p>
    <w:p w:rsidR="00EA49BC" w:rsidRPr="00F0794C" w:rsidRDefault="00B40D63" w:rsidP="004B5863">
      <w:pPr>
        <w:jc w:val="both"/>
        <w:rPr>
          <w:rFonts w:asciiTheme="minorHAnsi" w:eastAsia="Times New Roman" w:hAnsiTheme="minorHAnsi" w:cs="Arial"/>
          <w:bCs/>
          <w:iCs/>
          <w:szCs w:val="20"/>
        </w:rPr>
      </w:pPr>
      <w:r w:rsidRPr="00F0794C">
        <w:rPr>
          <w:rFonts w:asciiTheme="minorHAnsi" w:eastAsia="Times New Roman" w:hAnsiTheme="minorHAnsi" w:cs="Arial"/>
          <w:bCs/>
          <w:iCs/>
          <w:szCs w:val="20"/>
        </w:rPr>
        <w:t xml:space="preserve">The ATA supports a higher proportion of truck charges being recovered through the </w:t>
      </w:r>
      <w:r w:rsidR="000422CE" w:rsidRPr="00F0794C">
        <w:rPr>
          <w:rFonts w:asciiTheme="minorHAnsi" w:eastAsia="Times New Roman" w:hAnsiTheme="minorHAnsi" w:cs="Arial"/>
          <w:bCs/>
          <w:iCs/>
          <w:szCs w:val="20"/>
        </w:rPr>
        <w:t>road user charge (</w:t>
      </w:r>
      <w:r w:rsidRPr="00F0794C">
        <w:rPr>
          <w:rFonts w:asciiTheme="minorHAnsi" w:eastAsia="Times New Roman" w:hAnsiTheme="minorHAnsi" w:cs="Arial"/>
          <w:bCs/>
          <w:iCs/>
          <w:szCs w:val="20"/>
        </w:rPr>
        <w:t>RUC</w:t>
      </w:r>
      <w:r w:rsidR="000422CE" w:rsidRPr="00F0794C">
        <w:rPr>
          <w:rFonts w:asciiTheme="minorHAnsi" w:eastAsia="Times New Roman" w:hAnsiTheme="minorHAnsi" w:cs="Arial"/>
          <w:bCs/>
          <w:iCs/>
          <w:szCs w:val="20"/>
        </w:rPr>
        <w:t>)</w:t>
      </w:r>
      <w:r w:rsidRPr="00F0794C">
        <w:rPr>
          <w:rFonts w:asciiTheme="minorHAnsi" w:eastAsia="Times New Roman" w:hAnsiTheme="minorHAnsi" w:cs="Arial"/>
          <w:bCs/>
          <w:iCs/>
          <w:szCs w:val="20"/>
        </w:rPr>
        <w:t xml:space="preserve">. Increasing the variable charge reduces the cash constraint that a large fixed registration charge presents. It also promotes paying for use, as fuel burn is a proxy for mass, distance and road condition. Fuel consumption </w:t>
      </w:r>
      <w:r w:rsidR="00910F36" w:rsidRPr="00F0794C">
        <w:rPr>
          <w:rFonts w:asciiTheme="minorHAnsi" w:eastAsia="Times New Roman" w:hAnsiTheme="minorHAnsi" w:cs="Arial"/>
          <w:bCs/>
          <w:iCs/>
          <w:szCs w:val="20"/>
        </w:rPr>
        <w:t xml:space="preserve">typically </w:t>
      </w:r>
      <w:r w:rsidRPr="00F0794C">
        <w:rPr>
          <w:rFonts w:asciiTheme="minorHAnsi" w:eastAsia="Times New Roman" w:hAnsiTheme="minorHAnsi" w:cs="Arial"/>
          <w:bCs/>
          <w:iCs/>
          <w:szCs w:val="20"/>
        </w:rPr>
        <w:t xml:space="preserve">increases with increased mass and distance travelled. Increasing the proportion of charges made by fuel also advances the energy efficiency agenda of the </w:t>
      </w:r>
      <w:r w:rsidR="00910F36" w:rsidRPr="00F0794C">
        <w:rPr>
          <w:rFonts w:asciiTheme="minorHAnsi" w:eastAsia="Times New Roman" w:hAnsiTheme="minorHAnsi" w:cs="Arial"/>
          <w:bCs/>
          <w:iCs/>
          <w:szCs w:val="20"/>
        </w:rPr>
        <w:t xml:space="preserve">current </w:t>
      </w:r>
      <w:r w:rsidRPr="00F0794C">
        <w:rPr>
          <w:rFonts w:asciiTheme="minorHAnsi" w:eastAsia="Times New Roman" w:hAnsiTheme="minorHAnsi" w:cs="Arial"/>
          <w:bCs/>
          <w:iCs/>
          <w:szCs w:val="20"/>
        </w:rPr>
        <w:t xml:space="preserve">Government, as operators </w:t>
      </w:r>
      <w:r w:rsidR="00910F36" w:rsidRPr="00F0794C">
        <w:rPr>
          <w:rFonts w:asciiTheme="minorHAnsi" w:eastAsia="Times New Roman" w:hAnsiTheme="minorHAnsi" w:cs="Arial"/>
          <w:bCs/>
          <w:iCs/>
          <w:szCs w:val="20"/>
        </w:rPr>
        <w:t xml:space="preserve">gradually </w:t>
      </w:r>
      <w:r w:rsidRPr="00F0794C">
        <w:rPr>
          <w:rFonts w:asciiTheme="minorHAnsi" w:eastAsia="Times New Roman" w:hAnsiTheme="minorHAnsi" w:cs="Arial"/>
          <w:bCs/>
          <w:iCs/>
          <w:szCs w:val="20"/>
        </w:rPr>
        <w:t xml:space="preserve">become more conscious of fuel usage. Operators have also stressed that a larger </w:t>
      </w:r>
      <w:r w:rsidR="00910F36" w:rsidRPr="00F0794C">
        <w:rPr>
          <w:rFonts w:asciiTheme="minorHAnsi" w:eastAsia="Times New Roman" w:hAnsiTheme="minorHAnsi" w:cs="Arial"/>
          <w:bCs/>
          <w:iCs/>
          <w:szCs w:val="20"/>
        </w:rPr>
        <w:t>pro</w:t>
      </w:r>
      <w:r w:rsidRPr="00F0794C">
        <w:rPr>
          <w:rFonts w:asciiTheme="minorHAnsi" w:eastAsia="Times New Roman" w:hAnsiTheme="minorHAnsi" w:cs="Arial"/>
          <w:bCs/>
          <w:iCs/>
          <w:szCs w:val="20"/>
        </w:rPr>
        <w:t xml:space="preserve">portion of charges recovered through the use related RUC, </w:t>
      </w:r>
      <w:r w:rsidR="00910F36" w:rsidRPr="00F0794C">
        <w:rPr>
          <w:rFonts w:asciiTheme="minorHAnsi" w:eastAsia="Times New Roman" w:hAnsiTheme="minorHAnsi" w:cs="Arial"/>
          <w:bCs/>
          <w:iCs/>
          <w:szCs w:val="20"/>
        </w:rPr>
        <w:t>(</w:t>
      </w:r>
      <w:r w:rsidRPr="00F0794C">
        <w:rPr>
          <w:rFonts w:asciiTheme="minorHAnsi" w:eastAsia="Times New Roman" w:hAnsiTheme="minorHAnsi" w:cs="Arial"/>
          <w:bCs/>
          <w:iCs/>
          <w:szCs w:val="20"/>
        </w:rPr>
        <w:t>rather than through a fixed registration charge</w:t>
      </w:r>
      <w:r w:rsidR="00910F36" w:rsidRPr="00F0794C">
        <w:rPr>
          <w:rFonts w:asciiTheme="minorHAnsi" w:eastAsia="Times New Roman" w:hAnsiTheme="minorHAnsi" w:cs="Arial"/>
          <w:bCs/>
          <w:iCs/>
          <w:szCs w:val="20"/>
        </w:rPr>
        <w:t>,)</w:t>
      </w:r>
      <w:r w:rsidRPr="00F0794C">
        <w:rPr>
          <w:rFonts w:asciiTheme="minorHAnsi" w:eastAsia="Times New Roman" w:hAnsiTheme="minorHAnsi" w:cs="Arial"/>
          <w:bCs/>
          <w:iCs/>
          <w:szCs w:val="20"/>
        </w:rPr>
        <w:t xml:space="preserve"> makes it far easier to recover their costs.</w:t>
      </w:r>
    </w:p>
    <w:p w:rsidR="003F5DCB" w:rsidRPr="00F0794C" w:rsidRDefault="003F5DCB" w:rsidP="004B5863">
      <w:pPr>
        <w:jc w:val="both"/>
        <w:rPr>
          <w:rFonts w:asciiTheme="minorHAnsi" w:eastAsia="Times New Roman" w:hAnsiTheme="minorHAnsi" w:cs="Arial"/>
          <w:bCs/>
          <w:szCs w:val="20"/>
        </w:rPr>
      </w:pPr>
    </w:p>
    <w:tbl>
      <w:tblPr>
        <w:tblStyle w:val="TableGrid"/>
        <w:tblW w:w="0" w:type="auto"/>
        <w:tblLook w:val="04A0"/>
      </w:tblPr>
      <w:tblGrid>
        <w:gridCol w:w="9854"/>
      </w:tblGrid>
      <w:tr w:rsidR="00B40D63" w:rsidRPr="00F0794C" w:rsidTr="00B40D63">
        <w:tc>
          <w:tcPr>
            <w:tcW w:w="9854" w:type="dxa"/>
          </w:tcPr>
          <w:p w:rsidR="00B40D63" w:rsidRPr="00F0794C" w:rsidRDefault="00B40D63" w:rsidP="004B5863">
            <w:pPr>
              <w:jc w:val="both"/>
              <w:rPr>
                <w:rFonts w:asciiTheme="minorHAnsi" w:eastAsia="Times New Roman" w:hAnsiTheme="minorHAnsi" w:cs="Arial"/>
                <w:bCs/>
                <w:szCs w:val="20"/>
                <w:u w:val="single"/>
              </w:rPr>
            </w:pPr>
            <w:r w:rsidRPr="00F0794C">
              <w:rPr>
                <w:rFonts w:asciiTheme="minorHAnsi" w:eastAsia="Times New Roman" w:hAnsiTheme="minorHAnsi" w:cs="Arial"/>
                <w:bCs/>
                <w:szCs w:val="20"/>
                <w:u w:val="single"/>
              </w:rPr>
              <w:t xml:space="preserve">Case study 3: The current charges model, over-recovery and opportunities </w:t>
            </w:r>
            <w:r w:rsidR="00BA50DE">
              <w:rPr>
                <w:rFonts w:asciiTheme="minorHAnsi" w:eastAsia="Times New Roman" w:hAnsiTheme="minorHAnsi" w:cs="Arial"/>
                <w:bCs/>
                <w:szCs w:val="20"/>
                <w:u w:val="single"/>
              </w:rPr>
              <w:t>for</w:t>
            </w:r>
            <w:r w:rsidRPr="00F0794C">
              <w:rPr>
                <w:rFonts w:asciiTheme="minorHAnsi" w:eastAsia="Times New Roman" w:hAnsiTheme="minorHAnsi" w:cs="Arial"/>
                <w:bCs/>
                <w:szCs w:val="20"/>
                <w:u w:val="single"/>
              </w:rPr>
              <w:t xml:space="preserve"> reform. </w:t>
            </w:r>
          </w:p>
          <w:p w:rsidR="00B40D63" w:rsidRPr="00F0794C" w:rsidRDefault="00B40D63" w:rsidP="004B5863">
            <w:pPr>
              <w:jc w:val="both"/>
              <w:rPr>
                <w:rFonts w:asciiTheme="minorHAnsi" w:eastAsia="Times New Roman" w:hAnsiTheme="minorHAnsi" w:cs="Arial"/>
                <w:bCs/>
                <w:szCs w:val="20"/>
              </w:rPr>
            </w:pPr>
          </w:p>
          <w:p w:rsidR="00B40D63" w:rsidRPr="00F0794C" w:rsidRDefault="00B40D63" w:rsidP="004B5863">
            <w:pPr>
              <w:jc w:val="both"/>
              <w:rPr>
                <w:rFonts w:asciiTheme="minorHAnsi" w:eastAsia="Times New Roman" w:hAnsiTheme="minorHAnsi" w:cs="Arial"/>
                <w:bCs/>
                <w:szCs w:val="20"/>
              </w:rPr>
            </w:pPr>
            <w:r w:rsidRPr="00F0794C">
              <w:rPr>
                <w:rFonts w:asciiTheme="minorHAnsi" w:eastAsia="Times New Roman" w:hAnsiTheme="minorHAnsi" w:cs="Arial"/>
                <w:bCs/>
                <w:szCs w:val="20"/>
              </w:rPr>
              <w:t xml:space="preserve">The National Transport Commission </w:t>
            </w:r>
            <w:r w:rsidR="00910F36" w:rsidRPr="00F0794C">
              <w:rPr>
                <w:rFonts w:asciiTheme="minorHAnsi" w:eastAsia="Times New Roman" w:hAnsiTheme="minorHAnsi" w:cs="Arial"/>
                <w:bCs/>
                <w:szCs w:val="20"/>
              </w:rPr>
              <w:t>has</w:t>
            </w:r>
            <w:r w:rsidRPr="00F0794C">
              <w:rPr>
                <w:rFonts w:asciiTheme="minorHAnsi" w:eastAsia="Times New Roman" w:hAnsiTheme="minorHAnsi" w:cs="Arial"/>
                <w:bCs/>
                <w:szCs w:val="20"/>
              </w:rPr>
              <w:t xml:space="preserve"> been reviewing the current charges model for </w:t>
            </w:r>
            <w:r w:rsidR="00BA50DE">
              <w:rPr>
                <w:rFonts w:asciiTheme="minorHAnsi" w:eastAsia="Times New Roman" w:hAnsiTheme="minorHAnsi" w:cs="Arial"/>
                <w:bCs/>
                <w:szCs w:val="20"/>
              </w:rPr>
              <w:t>heavy vehicles</w:t>
            </w:r>
            <w:r w:rsidRPr="00F0794C">
              <w:rPr>
                <w:rFonts w:asciiTheme="minorHAnsi" w:eastAsia="Times New Roman" w:hAnsiTheme="minorHAnsi" w:cs="Arial"/>
                <w:bCs/>
                <w:szCs w:val="20"/>
              </w:rPr>
              <w:t xml:space="preserve"> (PayGo) given industry concern about the accuracy of the charges.  The PayGo model is a 7 year averaging expenditure recovery model that recovers capital and maintenance attributable to heavy vehicles. </w:t>
            </w:r>
          </w:p>
          <w:p w:rsidR="00B40D63" w:rsidRPr="00F0794C" w:rsidRDefault="00B40D63" w:rsidP="004B5863">
            <w:pPr>
              <w:jc w:val="both"/>
              <w:rPr>
                <w:rFonts w:asciiTheme="minorHAnsi" w:eastAsia="Times New Roman" w:hAnsiTheme="minorHAnsi" w:cs="Arial"/>
                <w:bCs/>
                <w:szCs w:val="20"/>
              </w:rPr>
            </w:pPr>
          </w:p>
          <w:p w:rsidR="00B40D63" w:rsidRPr="00F0794C" w:rsidRDefault="00B40D63" w:rsidP="004B5863">
            <w:pPr>
              <w:jc w:val="both"/>
              <w:rPr>
                <w:rFonts w:asciiTheme="minorHAnsi" w:eastAsia="Times New Roman" w:hAnsiTheme="minorHAnsi" w:cs="Arial"/>
                <w:bCs/>
                <w:szCs w:val="20"/>
              </w:rPr>
            </w:pPr>
            <w:r w:rsidRPr="00F0794C">
              <w:rPr>
                <w:rFonts w:asciiTheme="minorHAnsi" w:eastAsia="Times New Roman" w:hAnsiTheme="minorHAnsi" w:cs="Arial"/>
                <w:bCs/>
                <w:szCs w:val="20"/>
              </w:rPr>
              <w:t xml:space="preserve">The deficiencies in the PayGo model, </w:t>
            </w:r>
            <w:r w:rsidR="00910F36" w:rsidRPr="00F0794C">
              <w:rPr>
                <w:rFonts w:asciiTheme="minorHAnsi" w:eastAsia="Times New Roman" w:hAnsiTheme="minorHAnsi" w:cs="Arial"/>
                <w:bCs/>
                <w:szCs w:val="20"/>
              </w:rPr>
              <w:t>(</w:t>
            </w:r>
            <w:r w:rsidRPr="00F0794C">
              <w:rPr>
                <w:rFonts w:asciiTheme="minorHAnsi" w:eastAsia="Times New Roman" w:hAnsiTheme="minorHAnsi" w:cs="Arial"/>
                <w:bCs/>
                <w:szCs w:val="20"/>
              </w:rPr>
              <w:t>a result of using a lagged midpoint population but the most recent expenditure year data,</w:t>
            </w:r>
            <w:r w:rsidR="00910F36" w:rsidRPr="00F0794C">
              <w:rPr>
                <w:rFonts w:asciiTheme="minorHAnsi" w:eastAsia="Times New Roman" w:hAnsiTheme="minorHAnsi" w:cs="Arial"/>
                <w:bCs/>
                <w:szCs w:val="20"/>
              </w:rPr>
              <w:t>) has</w:t>
            </w:r>
            <w:r w:rsidRPr="00F0794C">
              <w:rPr>
                <w:rFonts w:asciiTheme="minorHAnsi" w:eastAsia="Times New Roman" w:hAnsiTheme="minorHAnsi" w:cs="Arial"/>
                <w:bCs/>
                <w:szCs w:val="20"/>
              </w:rPr>
              <w:t xml:space="preserve"> meant the industry has been overcharged since PayGo was introduced in 2007. </w:t>
            </w:r>
            <w:r w:rsidRPr="00F0794C">
              <w:rPr>
                <w:rFonts w:asciiTheme="minorHAnsi" w:eastAsia="Times New Roman" w:hAnsiTheme="minorHAnsi" w:cs="Arial"/>
                <w:bCs/>
                <w:iCs/>
                <w:szCs w:val="20"/>
              </w:rPr>
              <w:t xml:space="preserve">This has meant the model underestimates the true heavy vehicle population and that heavy vehicle charges are </w:t>
            </w:r>
            <w:r w:rsidR="00FA6560" w:rsidRPr="00F0794C">
              <w:rPr>
                <w:rFonts w:asciiTheme="minorHAnsi" w:eastAsia="Times New Roman" w:hAnsiTheme="minorHAnsi" w:cs="Arial"/>
                <w:bCs/>
                <w:iCs/>
                <w:szCs w:val="20"/>
              </w:rPr>
              <w:t xml:space="preserve">much </w:t>
            </w:r>
            <w:r w:rsidRPr="00F0794C">
              <w:rPr>
                <w:rFonts w:asciiTheme="minorHAnsi" w:eastAsia="Times New Roman" w:hAnsiTheme="minorHAnsi" w:cs="Arial"/>
                <w:bCs/>
                <w:iCs/>
                <w:szCs w:val="20"/>
              </w:rPr>
              <w:t xml:space="preserve">higher </w:t>
            </w:r>
            <w:r w:rsidR="00FA6560" w:rsidRPr="00F0794C">
              <w:rPr>
                <w:rFonts w:asciiTheme="minorHAnsi" w:eastAsia="Times New Roman" w:hAnsiTheme="minorHAnsi" w:cs="Arial"/>
                <w:bCs/>
                <w:iCs/>
                <w:szCs w:val="20"/>
              </w:rPr>
              <w:t xml:space="preserve">overall </w:t>
            </w:r>
            <w:r w:rsidRPr="00F0794C">
              <w:rPr>
                <w:rFonts w:asciiTheme="minorHAnsi" w:eastAsia="Times New Roman" w:hAnsiTheme="minorHAnsi" w:cs="Arial"/>
                <w:bCs/>
                <w:iCs/>
                <w:szCs w:val="20"/>
              </w:rPr>
              <w:t xml:space="preserve">than they should be. </w:t>
            </w:r>
          </w:p>
          <w:p w:rsidR="00F22299" w:rsidRPr="00F0794C" w:rsidRDefault="00F22299" w:rsidP="004B5863">
            <w:pPr>
              <w:jc w:val="both"/>
              <w:rPr>
                <w:rFonts w:asciiTheme="minorHAnsi" w:eastAsia="Times New Roman" w:hAnsiTheme="minorHAnsi" w:cs="Arial"/>
                <w:bCs/>
                <w:iCs/>
                <w:szCs w:val="20"/>
              </w:rPr>
            </w:pPr>
          </w:p>
          <w:p w:rsidR="00B40D63" w:rsidRPr="00F0794C" w:rsidRDefault="00B40D63" w:rsidP="004B5863">
            <w:pPr>
              <w:jc w:val="both"/>
              <w:rPr>
                <w:rFonts w:asciiTheme="minorHAnsi" w:eastAsia="Times New Roman" w:hAnsiTheme="minorHAnsi" w:cs="Arial"/>
                <w:bCs/>
                <w:iCs/>
                <w:szCs w:val="20"/>
              </w:rPr>
            </w:pPr>
            <w:r w:rsidRPr="00F0794C">
              <w:rPr>
                <w:rFonts w:asciiTheme="minorHAnsi" w:eastAsia="Times New Roman" w:hAnsiTheme="minorHAnsi" w:cs="Arial"/>
                <w:bCs/>
                <w:iCs/>
                <w:szCs w:val="20"/>
              </w:rPr>
              <w:t xml:space="preserve">The ATA has calculated over-recovery for 2013-2014 by comparing the PayGo cost base to be recovered in 2013-2014 ($2.9 billion) with the estimated revenue taken in the 2013-2014 period using actual heavy vehicle registration figures provided by states and territories from December 2011. Estimated revenue is calculated using 2013-2014 heavy vehicle charges and the RUC for 2013-2014. In this calculation industry is projected to pay $3.7 billion, meaning an over-recovery of over $800 million. </w:t>
            </w:r>
            <w:r w:rsidRPr="00F0794C">
              <w:rPr>
                <w:rFonts w:asciiTheme="minorHAnsi" w:eastAsia="Times New Roman" w:hAnsiTheme="minorHAnsi" w:cs="Arial"/>
                <w:bCs/>
                <w:iCs/>
                <w:szCs w:val="20"/>
                <w:vertAlign w:val="superscript"/>
              </w:rPr>
              <w:footnoteReference w:id="37"/>
            </w:r>
            <w:r w:rsidRPr="00F0794C">
              <w:rPr>
                <w:rFonts w:asciiTheme="minorHAnsi" w:eastAsia="Times New Roman" w:hAnsiTheme="minorHAnsi" w:cs="Arial"/>
                <w:bCs/>
                <w:iCs/>
                <w:szCs w:val="20"/>
              </w:rPr>
              <w:t xml:space="preserve"> </w:t>
            </w:r>
          </w:p>
          <w:p w:rsidR="00B40D63" w:rsidRPr="00F0794C" w:rsidRDefault="00B40D63" w:rsidP="004B5863">
            <w:pPr>
              <w:jc w:val="both"/>
              <w:rPr>
                <w:rFonts w:asciiTheme="minorHAnsi" w:eastAsia="Times New Roman" w:hAnsiTheme="minorHAnsi" w:cs="Arial"/>
                <w:bCs/>
                <w:iCs/>
                <w:szCs w:val="20"/>
              </w:rPr>
            </w:pPr>
          </w:p>
          <w:p w:rsidR="00B40D63" w:rsidRPr="00F0794C" w:rsidRDefault="00B40D63" w:rsidP="004B5863">
            <w:pPr>
              <w:jc w:val="both"/>
              <w:rPr>
                <w:rFonts w:asciiTheme="minorHAnsi" w:eastAsia="Times New Roman" w:hAnsiTheme="minorHAnsi" w:cs="Arial"/>
                <w:bCs/>
                <w:iCs/>
                <w:szCs w:val="20"/>
              </w:rPr>
            </w:pPr>
            <w:r w:rsidRPr="00F0794C">
              <w:rPr>
                <w:rFonts w:asciiTheme="minorHAnsi" w:eastAsia="Times New Roman" w:hAnsiTheme="minorHAnsi" w:cs="Arial"/>
                <w:bCs/>
                <w:iCs/>
                <w:szCs w:val="20"/>
              </w:rPr>
              <w:t xml:space="preserve">The NTC draft </w:t>
            </w:r>
            <w:r w:rsidR="00034C01" w:rsidRPr="00F0794C">
              <w:rPr>
                <w:rFonts w:asciiTheme="minorHAnsi" w:eastAsia="Times New Roman" w:hAnsiTheme="minorHAnsi" w:cs="Arial"/>
                <w:bCs/>
                <w:iCs/>
                <w:szCs w:val="20"/>
              </w:rPr>
              <w:t xml:space="preserve">heavy vehicle charges determination </w:t>
            </w:r>
            <w:r w:rsidRPr="00F0794C">
              <w:rPr>
                <w:rFonts w:asciiTheme="minorHAnsi" w:eastAsia="Times New Roman" w:hAnsiTheme="minorHAnsi" w:cs="Arial"/>
                <w:bCs/>
                <w:iCs/>
                <w:szCs w:val="20"/>
              </w:rPr>
              <w:t xml:space="preserve">RIS presents 3 options: </w:t>
            </w:r>
          </w:p>
          <w:p w:rsidR="00B40D63" w:rsidRPr="00F0794C" w:rsidRDefault="00B40D63" w:rsidP="004B5863">
            <w:pPr>
              <w:numPr>
                <w:ilvl w:val="0"/>
                <w:numId w:val="4"/>
              </w:numPr>
              <w:jc w:val="both"/>
              <w:rPr>
                <w:rFonts w:asciiTheme="minorHAnsi" w:eastAsia="Times New Roman" w:hAnsiTheme="minorHAnsi" w:cs="Arial"/>
                <w:bCs/>
                <w:iCs/>
                <w:szCs w:val="20"/>
              </w:rPr>
            </w:pPr>
            <w:r w:rsidRPr="00F0794C">
              <w:rPr>
                <w:rFonts w:asciiTheme="minorHAnsi" w:eastAsia="Times New Roman" w:hAnsiTheme="minorHAnsi" w:cs="Arial"/>
                <w:b/>
                <w:bCs/>
                <w:iCs/>
                <w:szCs w:val="20"/>
              </w:rPr>
              <w:t>A</w:t>
            </w:r>
            <w:r w:rsidRPr="00F0794C">
              <w:rPr>
                <w:rFonts w:asciiTheme="minorHAnsi" w:eastAsia="Times New Roman" w:hAnsiTheme="minorHAnsi" w:cs="Arial"/>
                <w:bCs/>
                <w:iCs/>
                <w:szCs w:val="20"/>
              </w:rPr>
              <w:t xml:space="preserve">: Updates all the technical changes the NTC are recommending, including up to date expenditure and heavy vehicle population figures.  The </w:t>
            </w:r>
            <w:r w:rsidR="00034C01" w:rsidRPr="00F0794C">
              <w:rPr>
                <w:rFonts w:asciiTheme="minorHAnsi" w:eastAsia="Times New Roman" w:hAnsiTheme="minorHAnsi" w:cs="Arial"/>
                <w:bCs/>
                <w:iCs/>
                <w:szCs w:val="20"/>
              </w:rPr>
              <w:t>RUC</w:t>
            </w:r>
            <w:r w:rsidRPr="00F0794C">
              <w:rPr>
                <w:rFonts w:asciiTheme="minorHAnsi" w:eastAsia="Times New Roman" w:hAnsiTheme="minorHAnsi" w:cs="Arial"/>
                <w:bCs/>
                <w:iCs/>
                <w:szCs w:val="20"/>
              </w:rPr>
              <w:t xml:space="preserve"> and registration charge will keep the current split of 64% RUC and 36% registration. </w:t>
            </w:r>
          </w:p>
          <w:p w:rsidR="00B40D63" w:rsidRPr="00F0794C" w:rsidRDefault="00B40D63" w:rsidP="004B5863">
            <w:pPr>
              <w:numPr>
                <w:ilvl w:val="0"/>
                <w:numId w:val="4"/>
              </w:numPr>
              <w:jc w:val="both"/>
              <w:rPr>
                <w:rFonts w:asciiTheme="minorHAnsi" w:eastAsia="Times New Roman" w:hAnsiTheme="minorHAnsi" w:cs="Arial"/>
                <w:bCs/>
                <w:iCs/>
                <w:szCs w:val="20"/>
              </w:rPr>
            </w:pPr>
            <w:r w:rsidRPr="00F0794C">
              <w:rPr>
                <w:rFonts w:asciiTheme="minorHAnsi" w:eastAsia="Times New Roman" w:hAnsiTheme="minorHAnsi" w:cs="Arial"/>
                <w:b/>
                <w:bCs/>
                <w:iCs/>
                <w:szCs w:val="20"/>
              </w:rPr>
              <w:t>B</w:t>
            </w:r>
            <w:r w:rsidRPr="00F0794C">
              <w:rPr>
                <w:rFonts w:asciiTheme="minorHAnsi" w:eastAsia="Times New Roman" w:hAnsiTheme="minorHAnsi" w:cs="Arial"/>
                <w:bCs/>
                <w:iCs/>
                <w:szCs w:val="20"/>
              </w:rPr>
              <w:t xml:space="preserve">: Updates all the technical changes the NTC are recommending, including up to date expenditure and heavy vehicle population figures.  The RUC and registration charge component shares change, with 70% RUC and 30% registration. </w:t>
            </w:r>
          </w:p>
          <w:p w:rsidR="00B40D63" w:rsidRPr="00F0794C" w:rsidRDefault="00B40D63" w:rsidP="004B5863">
            <w:pPr>
              <w:numPr>
                <w:ilvl w:val="0"/>
                <w:numId w:val="4"/>
              </w:numPr>
              <w:jc w:val="both"/>
              <w:rPr>
                <w:rFonts w:asciiTheme="minorHAnsi" w:eastAsia="Times New Roman" w:hAnsiTheme="minorHAnsi" w:cs="Arial"/>
                <w:bCs/>
                <w:iCs/>
                <w:szCs w:val="20"/>
              </w:rPr>
            </w:pPr>
            <w:r w:rsidRPr="00F0794C">
              <w:rPr>
                <w:rFonts w:asciiTheme="minorHAnsi" w:eastAsia="Times New Roman" w:hAnsiTheme="minorHAnsi" w:cs="Arial"/>
                <w:b/>
                <w:bCs/>
                <w:iCs/>
                <w:szCs w:val="20"/>
              </w:rPr>
              <w:t>C</w:t>
            </w:r>
            <w:r w:rsidRPr="00F0794C">
              <w:rPr>
                <w:rFonts w:asciiTheme="minorHAnsi" w:eastAsia="Times New Roman" w:hAnsiTheme="minorHAnsi" w:cs="Arial"/>
                <w:bCs/>
                <w:iCs/>
                <w:szCs w:val="20"/>
              </w:rPr>
              <w:t>: Updates all the technical changes the NTC are recommending, including up to date expenditure and heavy vehicle population figures.  The RUC and registration charge component shares change, with 77% RUC and 23% registration.</w:t>
            </w:r>
          </w:p>
          <w:p w:rsidR="00B40D63" w:rsidRPr="00F0794C" w:rsidRDefault="00B40D63" w:rsidP="004B5863">
            <w:pPr>
              <w:jc w:val="both"/>
              <w:rPr>
                <w:rFonts w:asciiTheme="minorHAnsi" w:eastAsia="Times New Roman" w:hAnsiTheme="minorHAnsi" w:cs="Arial"/>
                <w:bCs/>
                <w:iCs/>
                <w:szCs w:val="20"/>
              </w:rPr>
            </w:pPr>
          </w:p>
          <w:p w:rsidR="00B40D63" w:rsidRPr="00F0794C" w:rsidRDefault="00B40D63" w:rsidP="004B5863">
            <w:pPr>
              <w:jc w:val="both"/>
              <w:rPr>
                <w:rFonts w:asciiTheme="minorHAnsi" w:eastAsia="Times New Roman" w:hAnsiTheme="minorHAnsi" w:cs="Arial"/>
                <w:bCs/>
                <w:iCs/>
                <w:szCs w:val="20"/>
              </w:rPr>
            </w:pPr>
            <w:r w:rsidRPr="00F0794C">
              <w:rPr>
                <w:rFonts w:asciiTheme="minorHAnsi" w:eastAsia="Times New Roman" w:hAnsiTheme="minorHAnsi" w:cs="Arial"/>
                <w:bCs/>
                <w:iCs/>
                <w:szCs w:val="20"/>
              </w:rPr>
              <w:t>However, the NTC ha</w:t>
            </w:r>
            <w:r w:rsidR="00FA6560" w:rsidRPr="00F0794C">
              <w:rPr>
                <w:rFonts w:asciiTheme="minorHAnsi" w:eastAsia="Times New Roman" w:hAnsiTheme="minorHAnsi" w:cs="Arial"/>
                <w:bCs/>
                <w:iCs/>
                <w:szCs w:val="20"/>
              </w:rPr>
              <w:t xml:space="preserve">s </w:t>
            </w:r>
            <w:r w:rsidRPr="00F0794C">
              <w:rPr>
                <w:rFonts w:asciiTheme="minorHAnsi" w:eastAsia="Times New Roman" w:hAnsiTheme="minorHAnsi" w:cs="Arial"/>
                <w:bCs/>
                <w:iCs/>
                <w:szCs w:val="20"/>
              </w:rPr>
              <w:t xml:space="preserve">provided a proposal for a three year transition to </w:t>
            </w:r>
            <w:r w:rsidR="00FA6560" w:rsidRPr="00F0794C">
              <w:rPr>
                <w:rFonts w:asciiTheme="minorHAnsi" w:eastAsia="Times New Roman" w:hAnsiTheme="minorHAnsi" w:cs="Arial"/>
                <w:bCs/>
                <w:iCs/>
                <w:szCs w:val="20"/>
              </w:rPr>
              <w:t xml:space="preserve">option </w:t>
            </w:r>
            <w:r w:rsidRPr="00F0794C">
              <w:rPr>
                <w:rFonts w:asciiTheme="minorHAnsi" w:eastAsia="Times New Roman" w:hAnsiTheme="minorHAnsi" w:cs="Arial"/>
                <w:bCs/>
                <w:iCs/>
                <w:szCs w:val="20"/>
              </w:rPr>
              <w:t xml:space="preserve">A due to concerns some states and territories have over the need to revise revenue predictions. The NTC </w:t>
            </w:r>
            <w:r w:rsidR="000C1944" w:rsidRPr="00F0794C">
              <w:rPr>
                <w:rFonts w:asciiTheme="minorHAnsi" w:eastAsia="Times New Roman" w:hAnsiTheme="minorHAnsi" w:cs="Arial"/>
                <w:bCs/>
                <w:iCs/>
                <w:szCs w:val="20"/>
              </w:rPr>
              <w:t>has</w:t>
            </w:r>
            <w:r w:rsidRPr="00F0794C">
              <w:rPr>
                <w:rFonts w:asciiTheme="minorHAnsi" w:eastAsia="Times New Roman" w:hAnsiTheme="minorHAnsi" w:cs="Arial"/>
                <w:bCs/>
                <w:iCs/>
                <w:szCs w:val="20"/>
              </w:rPr>
              <w:t xml:space="preserve"> estimated there will be $</w:t>
            </w:r>
            <w:r w:rsidR="00447C81" w:rsidRPr="00F0794C">
              <w:rPr>
                <w:rFonts w:asciiTheme="minorHAnsi" w:eastAsia="Times New Roman" w:hAnsiTheme="minorHAnsi" w:cs="Arial"/>
                <w:bCs/>
                <w:iCs/>
                <w:szCs w:val="20"/>
              </w:rPr>
              <w:t>232</w:t>
            </w:r>
            <w:r w:rsidRPr="00F0794C">
              <w:rPr>
                <w:rFonts w:asciiTheme="minorHAnsi" w:eastAsia="Times New Roman" w:hAnsiTheme="minorHAnsi" w:cs="Arial"/>
                <w:bCs/>
                <w:iCs/>
                <w:szCs w:val="20"/>
              </w:rPr>
              <w:t xml:space="preserve"> million over-recovered from the trucking industry</w:t>
            </w:r>
            <w:r w:rsidR="00034C01" w:rsidRPr="00F0794C">
              <w:rPr>
                <w:rFonts w:asciiTheme="minorHAnsi" w:eastAsia="Times New Roman" w:hAnsiTheme="minorHAnsi" w:cs="Arial"/>
                <w:bCs/>
                <w:iCs/>
                <w:szCs w:val="20"/>
              </w:rPr>
              <w:t xml:space="preserve"> in 2014-2015</w:t>
            </w:r>
            <w:r w:rsidRPr="00F0794C">
              <w:rPr>
                <w:rFonts w:asciiTheme="minorHAnsi" w:eastAsia="Times New Roman" w:hAnsiTheme="minorHAnsi" w:cs="Arial"/>
                <w:bCs/>
                <w:iCs/>
                <w:szCs w:val="20"/>
              </w:rPr>
              <w:t xml:space="preserve"> if option A is not adopted in 2014, due to not updating the technical inputs to the model. The ATA finds the three year staged implementation unacceptable because there are no technical reasons to not move to A, input</w:t>
            </w:r>
            <w:r w:rsidR="00034C01" w:rsidRPr="00F0794C">
              <w:rPr>
                <w:rFonts w:asciiTheme="minorHAnsi" w:eastAsia="Times New Roman" w:hAnsiTheme="minorHAnsi" w:cs="Arial"/>
                <w:bCs/>
                <w:iCs/>
                <w:szCs w:val="20"/>
              </w:rPr>
              <w:t>s</w:t>
            </w:r>
            <w:r w:rsidRPr="00F0794C">
              <w:rPr>
                <w:rFonts w:asciiTheme="minorHAnsi" w:eastAsia="Times New Roman" w:hAnsiTheme="minorHAnsi" w:cs="Arial"/>
                <w:bCs/>
                <w:iCs/>
                <w:szCs w:val="20"/>
              </w:rPr>
              <w:t xml:space="preserve"> simply need to be updated and while $</w:t>
            </w:r>
            <w:r w:rsidR="00447C81" w:rsidRPr="00F0794C">
              <w:rPr>
                <w:rFonts w:asciiTheme="minorHAnsi" w:eastAsia="Times New Roman" w:hAnsiTheme="minorHAnsi" w:cs="Arial"/>
                <w:bCs/>
                <w:iCs/>
                <w:szCs w:val="20"/>
              </w:rPr>
              <w:t>232</w:t>
            </w:r>
            <w:r w:rsidRPr="00F0794C">
              <w:rPr>
                <w:rFonts w:asciiTheme="minorHAnsi" w:eastAsia="Times New Roman" w:hAnsiTheme="minorHAnsi" w:cs="Arial"/>
                <w:bCs/>
                <w:iCs/>
                <w:szCs w:val="20"/>
              </w:rPr>
              <w:t xml:space="preserve"> million shared between all states and the </w:t>
            </w:r>
            <w:r w:rsidR="00BA50DE">
              <w:rPr>
                <w:rFonts w:asciiTheme="minorHAnsi" w:eastAsia="Times New Roman" w:hAnsiTheme="minorHAnsi" w:cs="Arial"/>
                <w:bCs/>
                <w:iCs/>
                <w:szCs w:val="20"/>
              </w:rPr>
              <w:t>C</w:t>
            </w:r>
            <w:r w:rsidRPr="00F0794C">
              <w:rPr>
                <w:rFonts w:asciiTheme="minorHAnsi" w:eastAsia="Times New Roman" w:hAnsiTheme="minorHAnsi" w:cs="Arial"/>
                <w:bCs/>
                <w:iCs/>
                <w:szCs w:val="20"/>
              </w:rPr>
              <w:t xml:space="preserve">ommonwealth is </w:t>
            </w:r>
            <w:r w:rsidR="00034C01" w:rsidRPr="00F0794C">
              <w:rPr>
                <w:rFonts w:asciiTheme="minorHAnsi" w:eastAsia="Times New Roman" w:hAnsiTheme="minorHAnsi" w:cs="Arial"/>
                <w:bCs/>
                <w:iCs/>
                <w:szCs w:val="20"/>
              </w:rPr>
              <w:t xml:space="preserve">a </w:t>
            </w:r>
            <w:r w:rsidRPr="00F0794C">
              <w:rPr>
                <w:rFonts w:asciiTheme="minorHAnsi" w:eastAsia="Times New Roman" w:hAnsiTheme="minorHAnsi" w:cs="Arial"/>
                <w:bCs/>
                <w:iCs/>
                <w:szCs w:val="20"/>
              </w:rPr>
              <w:t xml:space="preserve">relatively small dip in revenue it would be a </w:t>
            </w:r>
            <w:r w:rsidR="00034C01" w:rsidRPr="00F0794C">
              <w:rPr>
                <w:rFonts w:asciiTheme="minorHAnsi" w:eastAsia="Times New Roman" w:hAnsiTheme="minorHAnsi" w:cs="Arial"/>
                <w:bCs/>
                <w:iCs/>
                <w:szCs w:val="20"/>
              </w:rPr>
              <w:t>comparatively</w:t>
            </w:r>
            <w:r w:rsidRPr="00F0794C">
              <w:rPr>
                <w:rFonts w:asciiTheme="minorHAnsi" w:eastAsia="Times New Roman" w:hAnsiTheme="minorHAnsi" w:cs="Arial"/>
                <w:bCs/>
                <w:iCs/>
                <w:szCs w:val="20"/>
              </w:rPr>
              <w:t xml:space="preserve"> large inefficient tax that the industry should not be paying for.</w:t>
            </w:r>
          </w:p>
          <w:p w:rsidR="00F0794C" w:rsidRDefault="00F0794C" w:rsidP="004B5863">
            <w:pPr>
              <w:jc w:val="both"/>
              <w:rPr>
                <w:rFonts w:asciiTheme="minorHAnsi" w:eastAsia="Times New Roman" w:hAnsiTheme="minorHAnsi" w:cs="Arial"/>
                <w:bCs/>
                <w:iCs/>
                <w:szCs w:val="20"/>
              </w:rPr>
            </w:pPr>
          </w:p>
          <w:p w:rsidR="00B51244" w:rsidRDefault="00B51244" w:rsidP="004B5863">
            <w:pPr>
              <w:jc w:val="both"/>
              <w:rPr>
                <w:rFonts w:asciiTheme="minorHAnsi" w:eastAsia="Times New Roman" w:hAnsiTheme="minorHAnsi" w:cs="Arial"/>
                <w:bCs/>
                <w:iCs/>
                <w:szCs w:val="20"/>
              </w:rPr>
            </w:pPr>
          </w:p>
          <w:p w:rsidR="00B51244" w:rsidRDefault="00B51244" w:rsidP="004B5863">
            <w:pPr>
              <w:jc w:val="both"/>
              <w:rPr>
                <w:rFonts w:asciiTheme="minorHAnsi" w:eastAsia="Times New Roman" w:hAnsiTheme="minorHAnsi" w:cs="Arial"/>
                <w:bCs/>
                <w:iCs/>
                <w:szCs w:val="20"/>
              </w:rPr>
            </w:pPr>
          </w:p>
          <w:p w:rsidR="00B51244" w:rsidRPr="00F0794C" w:rsidRDefault="00B51244" w:rsidP="004B5863">
            <w:pPr>
              <w:jc w:val="both"/>
              <w:rPr>
                <w:rFonts w:asciiTheme="minorHAnsi" w:eastAsia="Times New Roman" w:hAnsiTheme="minorHAnsi" w:cs="Arial"/>
                <w:bCs/>
                <w:iCs/>
                <w:szCs w:val="20"/>
              </w:rPr>
            </w:pPr>
          </w:p>
          <w:p w:rsidR="00B40D63" w:rsidRPr="00F0794C" w:rsidRDefault="00B40D63" w:rsidP="004B5863">
            <w:pPr>
              <w:jc w:val="both"/>
              <w:rPr>
                <w:rFonts w:asciiTheme="minorHAnsi" w:eastAsia="Times New Roman" w:hAnsiTheme="minorHAnsi" w:cs="Arial"/>
                <w:bCs/>
                <w:iCs/>
                <w:szCs w:val="20"/>
              </w:rPr>
            </w:pPr>
            <w:r w:rsidRPr="00F0794C">
              <w:rPr>
                <w:rFonts w:asciiTheme="minorHAnsi" w:eastAsia="Times New Roman" w:hAnsiTheme="minorHAnsi" w:cs="Arial"/>
                <w:bCs/>
                <w:iCs/>
                <w:szCs w:val="20"/>
              </w:rPr>
              <w:lastRenderedPageBreak/>
              <w:t>While the effect of removing the $</w:t>
            </w:r>
            <w:r w:rsidR="00447C81" w:rsidRPr="00F0794C">
              <w:rPr>
                <w:rFonts w:asciiTheme="minorHAnsi" w:eastAsia="Times New Roman" w:hAnsiTheme="minorHAnsi" w:cs="Arial"/>
                <w:bCs/>
                <w:iCs/>
                <w:szCs w:val="20"/>
              </w:rPr>
              <w:t>232</w:t>
            </w:r>
            <w:r w:rsidRPr="00F0794C">
              <w:rPr>
                <w:rFonts w:asciiTheme="minorHAnsi" w:eastAsia="Times New Roman" w:hAnsiTheme="minorHAnsi" w:cs="Arial"/>
                <w:bCs/>
                <w:iCs/>
                <w:szCs w:val="20"/>
              </w:rPr>
              <w:t xml:space="preserve"> million over-recovery from industry will have an effect on government revenue, it needs to </w:t>
            </w:r>
            <w:r w:rsidR="00034C01" w:rsidRPr="00F0794C">
              <w:rPr>
                <w:rFonts w:asciiTheme="minorHAnsi" w:eastAsia="Times New Roman" w:hAnsiTheme="minorHAnsi" w:cs="Arial"/>
                <w:bCs/>
                <w:iCs/>
                <w:szCs w:val="20"/>
              </w:rPr>
              <w:t xml:space="preserve">be </w:t>
            </w:r>
            <w:r w:rsidRPr="00F0794C">
              <w:rPr>
                <w:rFonts w:asciiTheme="minorHAnsi" w:eastAsia="Times New Roman" w:hAnsiTheme="minorHAnsi" w:cs="Arial"/>
                <w:bCs/>
                <w:iCs/>
                <w:szCs w:val="20"/>
              </w:rPr>
              <w:t>balanced against the fact that it will result in lower freight movement costs and this will have flow on effe</w:t>
            </w:r>
            <w:r w:rsidR="00034C01" w:rsidRPr="00F0794C">
              <w:rPr>
                <w:rFonts w:asciiTheme="minorHAnsi" w:eastAsia="Times New Roman" w:hAnsiTheme="minorHAnsi" w:cs="Arial"/>
                <w:bCs/>
                <w:iCs/>
                <w:szCs w:val="20"/>
              </w:rPr>
              <w:t>cts to the rest of the economy</w:t>
            </w:r>
            <w:r w:rsidR="00B51244">
              <w:rPr>
                <w:rFonts w:asciiTheme="minorHAnsi" w:eastAsia="Times New Roman" w:hAnsiTheme="minorHAnsi" w:cs="Arial"/>
                <w:bCs/>
                <w:iCs/>
                <w:szCs w:val="20"/>
              </w:rPr>
              <w:t>.  Moreover, t</w:t>
            </w:r>
            <w:r w:rsidR="00BA50DE">
              <w:rPr>
                <w:rFonts w:asciiTheme="minorHAnsi" w:eastAsia="Times New Roman" w:hAnsiTheme="minorHAnsi" w:cs="Arial"/>
                <w:bCs/>
                <w:iCs/>
                <w:szCs w:val="20"/>
              </w:rPr>
              <w:t xml:space="preserve">he industry has been paying </w:t>
            </w:r>
            <w:r w:rsidR="00BE52A8">
              <w:rPr>
                <w:rFonts w:asciiTheme="minorHAnsi" w:eastAsia="Times New Roman" w:hAnsiTheme="minorHAnsi" w:cs="Arial"/>
                <w:bCs/>
                <w:iCs/>
                <w:szCs w:val="20"/>
              </w:rPr>
              <w:t>billions of dollars of extra</w:t>
            </w:r>
            <w:r w:rsidR="00BA50DE">
              <w:rPr>
                <w:rFonts w:asciiTheme="minorHAnsi" w:eastAsia="Times New Roman" w:hAnsiTheme="minorHAnsi" w:cs="Arial"/>
                <w:bCs/>
                <w:iCs/>
                <w:szCs w:val="20"/>
              </w:rPr>
              <w:t xml:space="preserve"> tax since 2007</w:t>
            </w:r>
            <w:r w:rsidRPr="00F0794C">
              <w:rPr>
                <w:rFonts w:asciiTheme="minorHAnsi" w:eastAsia="Times New Roman" w:hAnsiTheme="minorHAnsi" w:cs="Arial"/>
                <w:bCs/>
                <w:iCs/>
                <w:szCs w:val="20"/>
              </w:rPr>
              <w:t>.  Adopting</w:t>
            </w:r>
            <w:r w:rsidR="00EA339A" w:rsidRPr="00F0794C">
              <w:rPr>
                <w:rFonts w:asciiTheme="minorHAnsi" w:eastAsia="Times New Roman" w:hAnsiTheme="minorHAnsi" w:cs="Arial"/>
                <w:bCs/>
                <w:iCs/>
                <w:szCs w:val="20"/>
              </w:rPr>
              <w:t xml:space="preserve"> option</w:t>
            </w:r>
            <w:r w:rsidRPr="00F0794C">
              <w:rPr>
                <w:rFonts w:asciiTheme="minorHAnsi" w:eastAsia="Times New Roman" w:hAnsiTheme="minorHAnsi" w:cs="Arial"/>
                <w:bCs/>
                <w:iCs/>
                <w:szCs w:val="20"/>
              </w:rPr>
              <w:t xml:space="preserve"> </w:t>
            </w:r>
            <w:proofErr w:type="gramStart"/>
            <w:r w:rsidRPr="00F0794C">
              <w:rPr>
                <w:rFonts w:asciiTheme="minorHAnsi" w:eastAsia="Times New Roman" w:hAnsiTheme="minorHAnsi" w:cs="Arial"/>
                <w:bCs/>
                <w:iCs/>
                <w:szCs w:val="20"/>
              </w:rPr>
              <w:t>A</w:t>
            </w:r>
            <w:proofErr w:type="gramEnd"/>
            <w:r w:rsidRPr="00F0794C">
              <w:rPr>
                <w:rFonts w:asciiTheme="minorHAnsi" w:eastAsia="Times New Roman" w:hAnsiTheme="minorHAnsi" w:cs="Arial"/>
                <w:bCs/>
                <w:iCs/>
                <w:szCs w:val="20"/>
              </w:rPr>
              <w:t xml:space="preserve"> in 2014 will also increase the</w:t>
            </w:r>
            <w:r w:rsidR="00FA6560" w:rsidRPr="00F0794C">
              <w:rPr>
                <w:rFonts w:asciiTheme="minorHAnsi" w:eastAsia="Times New Roman" w:hAnsiTheme="minorHAnsi" w:cs="Arial"/>
                <w:bCs/>
                <w:iCs/>
                <w:szCs w:val="20"/>
              </w:rPr>
              <w:t xml:space="preserve"> flow and</w:t>
            </w:r>
            <w:r w:rsidRPr="00F0794C">
              <w:rPr>
                <w:rFonts w:asciiTheme="minorHAnsi" w:eastAsia="Times New Roman" w:hAnsiTheme="minorHAnsi" w:cs="Arial"/>
                <w:bCs/>
                <w:iCs/>
                <w:szCs w:val="20"/>
              </w:rPr>
              <w:t xml:space="preserve"> competitiveness of Australia’s exports. </w:t>
            </w:r>
          </w:p>
          <w:p w:rsidR="00B40D63" w:rsidRPr="00F0794C" w:rsidRDefault="00B40D63" w:rsidP="004B5863">
            <w:pPr>
              <w:jc w:val="both"/>
              <w:rPr>
                <w:rFonts w:asciiTheme="minorHAnsi" w:eastAsia="Times New Roman" w:hAnsiTheme="minorHAnsi" w:cs="Arial"/>
                <w:bCs/>
                <w:iCs/>
                <w:szCs w:val="20"/>
              </w:rPr>
            </w:pPr>
          </w:p>
          <w:p w:rsidR="00B40D63" w:rsidRPr="00F0794C" w:rsidRDefault="00B40D63" w:rsidP="004B5863">
            <w:pPr>
              <w:jc w:val="both"/>
              <w:rPr>
                <w:rFonts w:asciiTheme="minorHAnsi" w:eastAsia="Times New Roman" w:hAnsiTheme="minorHAnsi" w:cs="Arial"/>
                <w:bCs/>
                <w:iCs/>
                <w:szCs w:val="20"/>
              </w:rPr>
            </w:pPr>
            <w:r w:rsidRPr="00F0794C">
              <w:rPr>
                <w:rFonts w:asciiTheme="minorHAnsi" w:eastAsia="Times New Roman" w:hAnsiTheme="minorHAnsi" w:cs="Arial"/>
                <w:bCs/>
                <w:iCs/>
                <w:szCs w:val="20"/>
              </w:rPr>
              <w:t xml:space="preserve">The ATA provided three recommendations to the NTC: </w:t>
            </w:r>
            <w:r w:rsidRPr="00F0794C">
              <w:rPr>
                <w:rFonts w:asciiTheme="minorHAnsi" w:eastAsia="Times New Roman" w:hAnsiTheme="minorHAnsi" w:cs="Arial"/>
                <w:bCs/>
                <w:iCs/>
                <w:szCs w:val="20"/>
              </w:rPr>
              <w:tab/>
            </w:r>
          </w:p>
          <w:p w:rsidR="00B40D63" w:rsidRPr="00F0794C" w:rsidRDefault="00B40D63" w:rsidP="004B5863">
            <w:pPr>
              <w:jc w:val="both"/>
              <w:rPr>
                <w:rFonts w:asciiTheme="minorHAnsi" w:eastAsia="Times New Roman" w:hAnsiTheme="minorHAnsi" w:cs="Arial"/>
                <w:b/>
                <w:bCs/>
                <w:iCs/>
                <w:szCs w:val="20"/>
              </w:rPr>
            </w:pPr>
          </w:p>
          <w:p w:rsidR="00B40D63" w:rsidRDefault="00B40D63" w:rsidP="004B5863">
            <w:pPr>
              <w:numPr>
                <w:ilvl w:val="0"/>
                <w:numId w:val="4"/>
              </w:numPr>
              <w:jc w:val="both"/>
              <w:rPr>
                <w:rFonts w:asciiTheme="minorHAnsi" w:eastAsia="Times New Roman" w:hAnsiTheme="minorHAnsi" w:cs="Arial"/>
                <w:bCs/>
                <w:iCs/>
                <w:szCs w:val="20"/>
              </w:rPr>
            </w:pPr>
            <w:r w:rsidRPr="00F0794C">
              <w:rPr>
                <w:rFonts w:asciiTheme="minorHAnsi" w:eastAsia="Times New Roman" w:hAnsiTheme="minorHAnsi" w:cs="Arial"/>
                <w:bCs/>
                <w:iCs/>
                <w:szCs w:val="20"/>
              </w:rPr>
              <w:t xml:space="preserve">The ATA recommends all the NTC proposed technical updates to the PayGo model, </w:t>
            </w:r>
            <w:r w:rsidR="00FA6560" w:rsidRPr="00F0794C">
              <w:rPr>
                <w:rFonts w:asciiTheme="minorHAnsi" w:eastAsia="Times New Roman" w:hAnsiTheme="minorHAnsi" w:cs="Arial"/>
                <w:bCs/>
                <w:iCs/>
                <w:szCs w:val="20"/>
              </w:rPr>
              <w:t>(</w:t>
            </w:r>
            <w:r w:rsidRPr="00F0794C">
              <w:rPr>
                <w:rFonts w:asciiTheme="minorHAnsi" w:eastAsia="Times New Roman" w:hAnsiTheme="minorHAnsi" w:cs="Arial"/>
                <w:bCs/>
                <w:iCs/>
                <w:szCs w:val="20"/>
              </w:rPr>
              <w:t>except the NHVR funding allocation methodology,</w:t>
            </w:r>
            <w:r w:rsidR="00FA6560" w:rsidRPr="00F0794C">
              <w:rPr>
                <w:rFonts w:asciiTheme="minorHAnsi" w:eastAsia="Times New Roman" w:hAnsiTheme="minorHAnsi" w:cs="Arial"/>
                <w:bCs/>
                <w:iCs/>
                <w:szCs w:val="20"/>
              </w:rPr>
              <w:t>)</w:t>
            </w:r>
            <w:r w:rsidRPr="00F0794C">
              <w:rPr>
                <w:rFonts w:asciiTheme="minorHAnsi" w:eastAsia="Times New Roman" w:hAnsiTheme="minorHAnsi" w:cs="Arial"/>
                <w:bCs/>
                <w:iCs/>
                <w:szCs w:val="20"/>
              </w:rPr>
              <w:t xml:space="preserve"> be implemented by 1 July 2014, given industry feedback on the assumptions behind the proposed weightings of the allocation.</w:t>
            </w:r>
          </w:p>
          <w:p w:rsidR="00BE52A8" w:rsidRPr="00F0794C" w:rsidRDefault="00BE52A8" w:rsidP="00BE52A8">
            <w:pPr>
              <w:ind w:left="720"/>
              <w:jc w:val="both"/>
              <w:rPr>
                <w:rFonts w:asciiTheme="minorHAnsi" w:eastAsia="Times New Roman" w:hAnsiTheme="minorHAnsi" w:cs="Arial"/>
                <w:bCs/>
                <w:iCs/>
                <w:szCs w:val="20"/>
              </w:rPr>
            </w:pPr>
          </w:p>
          <w:p w:rsidR="00B40D63" w:rsidRDefault="00B40D63" w:rsidP="004B5863">
            <w:pPr>
              <w:numPr>
                <w:ilvl w:val="0"/>
                <w:numId w:val="4"/>
              </w:numPr>
              <w:jc w:val="both"/>
              <w:rPr>
                <w:rFonts w:asciiTheme="minorHAnsi" w:eastAsia="Times New Roman" w:hAnsiTheme="minorHAnsi" w:cs="Arial"/>
                <w:bCs/>
                <w:iCs/>
                <w:szCs w:val="20"/>
              </w:rPr>
            </w:pPr>
            <w:r w:rsidRPr="00F0794C">
              <w:rPr>
                <w:rFonts w:asciiTheme="minorHAnsi" w:eastAsia="Times New Roman" w:hAnsiTheme="minorHAnsi" w:cs="Arial"/>
                <w:bCs/>
                <w:iCs/>
                <w:szCs w:val="20"/>
              </w:rPr>
              <w:t>The ATA rejects the NTC proposal for a three year staged implementation to option A, given the $2</w:t>
            </w:r>
            <w:r w:rsidR="00447C81" w:rsidRPr="00F0794C">
              <w:rPr>
                <w:rFonts w:asciiTheme="minorHAnsi" w:eastAsia="Times New Roman" w:hAnsiTheme="minorHAnsi" w:cs="Arial"/>
                <w:bCs/>
                <w:iCs/>
                <w:szCs w:val="20"/>
              </w:rPr>
              <w:t>32</w:t>
            </w:r>
            <w:r w:rsidRPr="00F0794C">
              <w:rPr>
                <w:rFonts w:asciiTheme="minorHAnsi" w:eastAsia="Times New Roman" w:hAnsiTheme="minorHAnsi" w:cs="Arial"/>
                <w:bCs/>
                <w:iCs/>
                <w:szCs w:val="20"/>
              </w:rPr>
              <w:t xml:space="preserve"> million over-recovery it will cause. </w:t>
            </w:r>
          </w:p>
          <w:p w:rsidR="00BE52A8" w:rsidRPr="00F0794C" w:rsidRDefault="00BE52A8" w:rsidP="00BE52A8">
            <w:pPr>
              <w:ind w:left="720"/>
              <w:jc w:val="both"/>
              <w:rPr>
                <w:rFonts w:asciiTheme="minorHAnsi" w:eastAsia="Times New Roman" w:hAnsiTheme="minorHAnsi" w:cs="Arial"/>
                <w:bCs/>
                <w:iCs/>
                <w:szCs w:val="20"/>
              </w:rPr>
            </w:pPr>
          </w:p>
          <w:p w:rsidR="00B40D63" w:rsidRPr="00F0794C" w:rsidRDefault="00B51244" w:rsidP="00FA6560">
            <w:pPr>
              <w:numPr>
                <w:ilvl w:val="0"/>
                <w:numId w:val="4"/>
              </w:numPr>
              <w:jc w:val="both"/>
              <w:rPr>
                <w:rFonts w:asciiTheme="minorHAnsi" w:eastAsia="Times New Roman" w:hAnsiTheme="minorHAnsi" w:cs="Arial"/>
                <w:bCs/>
                <w:szCs w:val="20"/>
              </w:rPr>
            </w:pPr>
            <w:r>
              <w:rPr>
                <w:rFonts w:asciiTheme="minorHAnsi" w:eastAsia="Times New Roman" w:hAnsiTheme="minorHAnsi" w:cs="Arial"/>
                <w:bCs/>
                <w:iCs/>
                <w:szCs w:val="20"/>
              </w:rPr>
              <w:t>T</w:t>
            </w:r>
            <w:r w:rsidR="00B40D63" w:rsidRPr="00F0794C">
              <w:rPr>
                <w:rFonts w:asciiTheme="minorHAnsi" w:eastAsia="Times New Roman" w:hAnsiTheme="minorHAnsi" w:cs="Arial"/>
                <w:bCs/>
                <w:iCs/>
                <w:szCs w:val="20"/>
              </w:rPr>
              <w:t xml:space="preserve">he ATA recommends option A be implemented  by 1 July 2014, moving to Option B on 1 July 2015 given government timeframes for implementing the road user charge revenue redistribution necessary with option B.   </w:t>
            </w:r>
          </w:p>
        </w:tc>
      </w:tr>
    </w:tbl>
    <w:p w:rsidR="00F0794C" w:rsidRDefault="00F0794C" w:rsidP="004B5863">
      <w:pPr>
        <w:pStyle w:val="BodyText2"/>
        <w:jc w:val="both"/>
        <w:rPr>
          <w:rFonts w:asciiTheme="minorHAnsi" w:hAnsiTheme="minorHAnsi"/>
          <w:b w:val="0"/>
        </w:rPr>
      </w:pPr>
    </w:p>
    <w:p w:rsidR="007F0E05" w:rsidRPr="00F0794C" w:rsidRDefault="007F0E05" w:rsidP="004B5863">
      <w:pPr>
        <w:pStyle w:val="BodyText2"/>
        <w:jc w:val="both"/>
        <w:rPr>
          <w:rFonts w:asciiTheme="minorHAnsi" w:hAnsiTheme="minorHAnsi"/>
          <w:b w:val="0"/>
        </w:rPr>
      </w:pPr>
      <w:r w:rsidRPr="00F0794C">
        <w:rPr>
          <w:rFonts w:asciiTheme="minorHAnsi" w:hAnsiTheme="minorHAnsi"/>
          <w:b w:val="0"/>
        </w:rPr>
        <w:t xml:space="preserve">Currently there is much that can be done </w:t>
      </w:r>
      <w:r w:rsidR="00FA6560" w:rsidRPr="00F0794C">
        <w:rPr>
          <w:rFonts w:asciiTheme="minorHAnsi" w:hAnsiTheme="minorHAnsi"/>
          <w:b w:val="0"/>
        </w:rPr>
        <w:t xml:space="preserve">by government </w:t>
      </w:r>
      <w:r w:rsidRPr="00F0794C">
        <w:rPr>
          <w:rFonts w:asciiTheme="minorHAnsi" w:hAnsiTheme="minorHAnsi"/>
          <w:b w:val="0"/>
        </w:rPr>
        <w:t>on the supply side before major changes are made to the charging recovery methodology.</w:t>
      </w:r>
    </w:p>
    <w:p w:rsidR="007F0E05" w:rsidRPr="00F0794C" w:rsidRDefault="007F0E05" w:rsidP="004B5863">
      <w:pPr>
        <w:pStyle w:val="BodyText2"/>
        <w:jc w:val="both"/>
        <w:rPr>
          <w:rFonts w:asciiTheme="minorHAnsi" w:hAnsiTheme="minorHAnsi"/>
          <w:b w:val="0"/>
        </w:rPr>
      </w:pPr>
    </w:p>
    <w:p w:rsidR="007F0E05" w:rsidRPr="00F0794C" w:rsidRDefault="007F0E05" w:rsidP="004B5863">
      <w:pPr>
        <w:pStyle w:val="BodyText2"/>
        <w:jc w:val="both"/>
        <w:rPr>
          <w:rFonts w:asciiTheme="minorHAnsi" w:hAnsiTheme="minorHAnsi"/>
        </w:rPr>
      </w:pPr>
      <w:r w:rsidRPr="00F0794C">
        <w:rPr>
          <w:rFonts w:asciiTheme="minorHAnsi" w:hAnsiTheme="minorHAnsi"/>
          <w:b w:val="0"/>
        </w:rPr>
        <w:t xml:space="preserve"> </w:t>
      </w:r>
      <w:r w:rsidR="00865F6C" w:rsidRPr="00F0794C">
        <w:rPr>
          <w:rFonts w:asciiTheme="minorHAnsi" w:hAnsiTheme="minorHAnsi"/>
        </w:rPr>
        <w:t>Recommendation 1</w:t>
      </w:r>
      <w:r w:rsidR="006F25E7">
        <w:rPr>
          <w:rFonts w:asciiTheme="minorHAnsi" w:hAnsiTheme="minorHAnsi"/>
        </w:rPr>
        <w:t>2</w:t>
      </w:r>
    </w:p>
    <w:p w:rsidR="007F0E05" w:rsidRPr="00F0794C" w:rsidRDefault="007F0E05" w:rsidP="004B5863">
      <w:pPr>
        <w:pStyle w:val="BodyText2"/>
        <w:jc w:val="both"/>
        <w:rPr>
          <w:rFonts w:asciiTheme="minorHAnsi" w:hAnsiTheme="minorHAnsi"/>
          <w:b w:val="0"/>
        </w:rPr>
      </w:pPr>
    </w:p>
    <w:p w:rsidR="00A97B8C" w:rsidRPr="00F0794C" w:rsidRDefault="007F0E05" w:rsidP="004B5863">
      <w:pPr>
        <w:pStyle w:val="BodyText2"/>
        <w:jc w:val="both"/>
        <w:rPr>
          <w:rFonts w:asciiTheme="minorHAnsi" w:hAnsiTheme="minorHAnsi"/>
          <w:b w:val="0"/>
        </w:rPr>
      </w:pPr>
      <w:r w:rsidRPr="00F0794C">
        <w:rPr>
          <w:rFonts w:asciiTheme="minorHAnsi" w:hAnsiTheme="minorHAnsi"/>
          <w:b w:val="0"/>
        </w:rPr>
        <w:t xml:space="preserve">The Commission should only support the implementation of </w:t>
      </w:r>
      <w:r w:rsidR="00B40D63" w:rsidRPr="00F0794C">
        <w:rPr>
          <w:rFonts w:asciiTheme="minorHAnsi" w:hAnsiTheme="minorHAnsi"/>
          <w:b w:val="0"/>
        </w:rPr>
        <w:t>variable charging if the government can demonstrate the detailed data collected through variable charging can, and will, be used to improve road investment decision-making</w:t>
      </w:r>
      <w:r w:rsidR="00FA6560" w:rsidRPr="00F0794C">
        <w:rPr>
          <w:rFonts w:asciiTheme="minorHAnsi" w:hAnsiTheme="minorHAnsi"/>
          <w:b w:val="0"/>
        </w:rPr>
        <w:t xml:space="preserve"> and outcomes</w:t>
      </w:r>
      <w:r w:rsidR="00B40D63" w:rsidRPr="00F0794C">
        <w:rPr>
          <w:rFonts w:asciiTheme="minorHAnsi" w:hAnsiTheme="minorHAnsi"/>
          <w:b w:val="0"/>
        </w:rPr>
        <w:t xml:space="preserve">, in such a way that the added cost, time and complexity </w:t>
      </w:r>
      <w:r w:rsidR="00FA6560" w:rsidRPr="00F0794C">
        <w:rPr>
          <w:rFonts w:asciiTheme="minorHAnsi" w:hAnsiTheme="minorHAnsi"/>
          <w:b w:val="0"/>
        </w:rPr>
        <w:t xml:space="preserve">of the new process </w:t>
      </w:r>
      <w:r w:rsidR="00B40D63" w:rsidRPr="00F0794C">
        <w:rPr>
          <w:rFonts w:asciiTheme="minorHAnsi" w:hAnsiTheme="minorHAnsi"/>
          <w:b w:val="0"/>
        </w:rPr>
        <w:t>is warranted</w:t>
      </w:r>
      <w:r w:rsidR="00CD158C" w:rsidRPr="00F0794C">
        <w:rPr>
          <w:rFonts w:asciiTheme="minorHAnsi" w:hAnsiTheme="minorHAnsi"/>
          <w:b w:val="0"/>
        </w:rPr>
        <w:t xml:space="preserve">. </w:t>
      </w:r>
    </w:p>
    <w:p w:rsidR="005954DB" w:rsidRPr="00F0794C" w:rsidRDefault="005954DB" w:rsidP="004B5863">
      <w:pPr>
        <w:pStyle w:val="BodyText2"/>
        <w:jc w:val="both"/>
        <w:rPr>
          <w:rFonts w:asciiTheme="minorHAnsi" w:hAnsiTheme="minorHAnsi"/>
          <w:b w:val="0"/>
          <w:szCs w:val="22"/>
        </w:rPr>
      </w:pPr>
    </w:p>
    <w:p w:rsidR="00F63F4C" w:rsidRPr="00F0794C" w:rsidRDefault="00F63F4C" w:rsidP="004B5863">
      <w:pPr>
        <w:pStyle w:val="BodyText2"/>
        <w:jc w:val="both"/>
        <w:rPr>
          <w:rFonts w:asciiTheme="minorHAnsi" w:hAnsiTheme="minorHAnsi"/>
          <w:b w:val="0"/>
          <w:szCs w:val="22"/>
        </w:rPr>
      </w:pPr>
    </w:p>
    <w:p w:rsidR="006B67AF" w:rsidRPr="00F0794C" w:rsidRDefault="006B67AF" w:rsidP="004B5863">
      <w:pPr>
        <w:pStyle w:val="BodyText2"/>
        <w:jc w:val="both"/>
        <w:rPr>
          <w:rFonts w:asciiTheme="minorHAnsi" w:hAnsiTheme="minorHAnsi"/>
          <w:b w:val="0"/>
          <w:szCs w:val="22"/>
        </w:rPr>
      </w:pPr>
    </w:p>
    <w:sectPr w:rsidR="006B67AF" w:rsidRPr="00F0794C" w:rsidSect="00A9141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26" w:rsidRDefault="007B6926" w:rsidP="000F3D9F">
      <w:r>
        <w:separator/>
      </w:r>
    </w:p>
  </w:endnote>
  <w:endnote w:type="continuationSeparator" w:id="0">
    <w:p w:rsidR="007B6926" w:rsidRDefault="007B6926"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26" w:rsidRDefault="007B69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26" w:rsidRDefault="007B6926"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7B6926" w:rsidRPr="00E8056B" w:rsidRDefault="007B6926" w:rsidP="00E8056B">
    <w:pPr>
      <w:jc w:val="right"/>
      <w:rPr>
        <w:rFonts w:ascii="Arial" w:hAnsi="Arial" w:cs="Arial"/>
        <w:sz w:val="16"/>
        <w:szCs w:val="16"/>
      </w:rPr>
    </w:pPr>
  </w:p>
  <w:p w:rsidR="007B6926" w:rsidRPr="00E8056B" w:rsidRDefault="007B6926"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7B6926" w:rsidRPr="00E8056B" w:rsidRDefault="007B6926"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26" w:rsidRDefault="008644C9">
    <w:pPr>
      <w:pStyle w:val="Footer"/>
      <w:jc w:val="right"/>
    </w:pPr>
    <w:fldSimple w:instr=" PAGE   \* MERGEFORMAT ">
      <w:r w:rsidR="007B6926">
        <w:rPr>
          <w:noProof/>
        </w:rPr>
        <w:t>7</w:t>
      </w:r>
    </w:fldSimple>
  </w:p>
  <w:p w:rsidR="007B6926" w:rsidRDefault="007B692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26" w:rsidRDefault="007B692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7B6926" w:rsidRPr="00A91411" w:rsidTr="008E09F4">
      <w:trPr>
        <w:trHeight w:val="57"/>
      </w:trPr>
      <w:tc>
        <w:tcPr>
          <w:tcW w:w="4927" w:type="dxa"/>
          <w:vAlign w:val="center"/>
        </w:tcPr>
        <w:p w:rsidR="007B6926" w:rsidRPr="00A91411" w:rsidRDefault="007B6926" w:rsidP="007E232D">
          <w:pPr>
            <w:pStyle w:val="Footer"/>
            <w:rPr>
              <w:rFonts w:ascii="Arial" w:hAnsi="Arial" w:cs="Arial"/>
              <w:sz w:val="14"/>
              <w:szCs w:val="14"/>
            </w:rPr>
          </w:pPr>
          <w:r>
            <w:rPr>
              <w:rFonts w:ascii="Arial" w:hAnsi="Arial" w:cs="Arial"/>
              <w:sz w:val="14"/>
              <w:szCs w:val="14"/>
            </w:rPr>
            <w:t xml:space="preserve">ATA Submission: </w:t>
          </w:r>
          <w:r w:rsidRPr="007E232D">
            <w:rPr>
              <w:rFonts w:ascii="Arial" w:hAnsi="Arial" w:cs="Arial"/>
              <w:sz w:val="14"/>
              <w:szCs w:val="14"/>
            </w:rPr>
            <w:t>The Productivity Commission: Public Infrastructure</w:t>
          </w:r>
        </w:p>
      </w:tc>
      <w:tc>
        <w:tcPr>
          <w:tcW w:w="4927" w:type="dxa"/>
          <w:vAlign w:val="center"/>
        </w:tcPr>
        <w:p w:rsidR="007B6926" w:rsidRPr="00A91411" w:rsidRDefault="007B6926" w:rsidP="00D735FF">
          <w:pPr>
            <w:pStyle w:val="Footer"/>
            <w:jc w:val="right"/>
            <w:rPr>
              <w:rFonts w:ascii="Arial" w:hAnsi="Arial" w:cs="Arial"/>
              <w:sz w:val="14"/>
              <w:szCs w:val="14"/>
            </w:rPr>
          </w:pPr>
          <w:r w:rsidRPr="00A91411">
            <w:rPr>
              <w:rFonts w:ascii="Arial" w:hAnsi="Arial" w:cs="Arial"/>
              <w:sz w:val="14"/>
              <w:szCs w:val="14"/>
            </w:rPr>
            <w:t xml:space="preserve">Page </w:t>
          </w:r>
          <w:r w:rsidR="008644C9"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8644C9" w:rsidRPr="00A91411">
            <w:rPr>
              <w:rFonts w:ascii="Arial" w:hAnsi="Arial" w:cs="Arial"/>
              <w:sz w:val="14"/>
              <w:szCs w:val="14"/>
            </w:rPr>
            <w:fldChar w:fldCharType="separate"/>
          </w:r>
          <w:r w:rsidR="00E2691B">
            <w:rPr>
              <w:rFonts w:ascii="Arial" w:hAnsi="Arial" w:cs="Arial"/>
              <w:noProof/>
              <w:sz w:val="14"/>
              <w:szCs w:val="14"/>
            </w:rPr>
            <w:t>2</w:t>
          </w:r>
          <w:r w:rsidR="008644C9" w:rsidRPr="00A91411">
            <w:rPr>
              <w:rFonts w:ascii="Arial" w:hAnsi="Arial" w:cs="Arial"/>
              <w:sz w:val="14"/>
              <w:szCs w:val="14"/>
            </w:rPr>
            <w:fldChar w:fldCharType="end"/>
          </w:r>
        </w:p>
      </w:tc>
    </w:tr>
  </w:tbl>
  <w:p w:rsidR="007B6926" w:rsidRPr="00A91411" w:rsidRDefault="007B6926">
    <w:pPr>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26" w:rsidRDefault="007B6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26" w:rsidRDefault="007B6926" w:rsidP="000F3D9F">
      <w:r>
        <w:separator/>
      </w:r>
    </w:p>
  </w:footnote>
  <w:footnote w:type="continuationSeparator" w:id="0">
    <w:p w:rsidR="007B6926" w:rsidRDefault="007B6926" w:rsidP="000F3D9F">
      <w:r>
        <w:continuationSeparator/>
      </w:r>
    </w:p>
  </w:footnote>
  <w:footnote w:id="1">
    <w:p w:rsidR="007B6926" w:rsidRPr="00BE52A8" w:rsidRDefault="007B6926" w:rsidP="008C392D">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235 - The Productivity Commission: Public Infrastructure Draft Report - March 2014</w:t>
      </w:r>
    </w:p>
  </w:footnote>
  <w:footnote w:id="2">
    <w:p w:rsidR="007B6926" w:rsidRPr="00BE52A8" w:rsidRDefault="007B6926" w:rsidP="008D2CD8">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Road Pricing and Transport Infrastructure Funding: Reform pathways for Australia: Discussion Paper March 2014</w:t>
      </w:r>
    </w:p>
  </w:footnote>
  <w:footnote w:id="3">
    <w:p w:rsidR="007B6926" w:rsidRPr="00BE52A8" w:rsidRDefault="007B6926" w:rsidP="00E92610">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Page  223 - The Productivity Commission: Public Infrastructure Draft Report - March 2014</w:t>
      </w:r>
    </w:p>
  </w:footnote>
  <w:footnote w:id="4">
    <w:p w:rsidR="007B6926" w:rsidRPr="00BE52A8" w:rsidRDefault="007B6926" w:rsidP="00E92610">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36 - The Productivity Commission: Public Infrastructure Draft Report - March 2014</w:t>
      </w:r>
    </w:p>
  </w:footnote>
  <w:footnote w:id="5">
    <w:p w:rsidR="007B6926" w:rsidRPr="00BE52A8" w:rsidRDefault="007B6926" w:rsidP="00E92610">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30 - The Productivity Commission: Public Infrastructure Draft Report - March 2014</w:t>
      </w:r>
    </w:p>
  </w:footnote>
  <w:footnote w:id="6">
    <w:p w:rsidR="007B6926" w:rsidRPr="00BE52A8" w:rsidRDefault="007B6926" w:rsidP="00EC4865">
      <w:pPr>
        <w:autoSpaceDE w:val="0"/>
        <w:autoSpaceDN w:val="0"/>
        <w:adjustRightInd w:val="0"/>
        <w:rPr>
          <w:rFonts w:asciiTheme="minorHAnsi" w:hAnsiTheme="minorHAnsi" w:cs="ArialMT"/>
          <w:sz w:val="16"/>
          <w:szCs w:val="16"/>
          <w:lang w:eastAsia="en-AU"/>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22 paragraph  29 - </w:t>
      </w:r>
      <w:r w:rsidRPr="00BE52A8">
        <w:rPr>
          <w:rFonts w:asciiTheme="minorHAnsi" w:hAnsiTheme="minorHAnsi" w:cs="ArialMT"/>
          <w:sz w:val="16"/>
          <w:szCs w:val="16"/>
          <w:lang w:eastAsia="en-AU"/>
        </w:rPr>
        <w:t>ANAO Audit Report No.30 2009–10 Management of the Strategic Regional Program/Off-Network Program</w:t>
      </w:r>
    </w:p>
  </w:footnote>
  <w:footnote w:id="7">
    <w:p w:rsidR="007B6926" w:rsidRPr="00BE52A8" w:rsidRDefault="007B6926" w:rsidP="00EC4865">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Commonwealth Grant Guidelines: Policies and Principles for Grants Administration July 2009 </w:t>
      </w:r>
    </w:p>
  </w:footnote>
  <w:footnote w:id="8">
    <w:p w:rsidR="007B6926" w:rsidRPr="00BE52A8" w:rsidRDefault="007B6926" w:rsidP="00EC4865">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23 – paragraph 35 - ANAO Audit Report No.30 2009–10 Management of the Strategic Regional Program/Off-Network Program</w:t>
      </w:r>
    </w:p>
  </w:footnote>
  <w:footnote w:id="9">
    <w:p w:rsidR="007B6926" w:rsidRPr="00BE52A8" w:rsidRDefault="007B6926" w:rsidP="00EC4865">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29 – paragraph 47 - ANAO Audit Report No.30 2009–10 Management of the Strategic Regional Program/Off-Network Program</w:t>
      </w:r>
    </w:p>
  </w:footnote>
  <w:footnote w:id="10">
    <w:p w:rsidR="007B6926" w:rsidRPr="00BE52A8" w:rsidRDefault="007B6926" w:rsidP="00EC4865">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31 - paragraph  52- ANAO Audit Report No.30 2009–10 Management of the Strategic Regional Program/Off-Network Program</w:t>
      </w:r>
    </w:p>
  </w:footnote>
  <w:footnote w:id="11">
    <w:p w:rsidR="007B6926" w:rsidRPr="00BE52A8" w:rsidRDefault="007B6926" w:rsidP="00EC4865">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22 – paragraph 32 -  ANAO Audit Report No.30 2009–10 Management of the Strategic Regional Program/Off-Network Program</w:t>
      </w:r>
    </w:p>
  </w:footnote>
  <w:footnote w:id="12">
    <w:p w:rsidR="007B6926" w:rsidRPr="00BE52A8" w:rsidRDefault="007B6926" w:rsidP="00EC4865">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22- paragraph 33 ANAO Audit Report No.30 2009–10 Management of the Strategic Regional Program/Off-Network Program</w:t>
      </w:r>
    </w:p>
  </w:footnote>
  <w:footnote w:id="13">
    <w:p w:rsidR="007B6926" w:rsidRPr="00BE52A8" w:rsidRDefault="007B6926" w:rsidP="00EC4865">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40  - ANAO Audit Report No.30 2009–10 Management of the Strategic Regional Program/Off-Network Program</w:t>
      </w:r>
    </w:p>
  </w:footnote>
  <w:footnote w:id="14">
    <w:p w:rsidR="007B6926" w:rsidRPr="00BE52A8" w:rsidRDefault="007B6926" w:rsidP="00EC4865">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41 -  ANAO Audit Report No.30 2009–10 Management of the Strategic Regional Program/Off-Network Program</w:t>
      </w:r>
    </w:p>
  </w:footnote>
  <w:footnote w:id="15">
    <w:p w:rsidR="007B6926" w:rsidRPr="00BE52A8" w:rsidRDefault="007B6926" w:rsidP="00EC4865">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43 -  ANAO Audit Report No.30 2009–10 Management of the Strategic Regional Program/Off-Network Program</w:t>
      </w:r>
    </w:p>
  </w:footnote>
  <w:footnote w:id="16">
    <w:p w:rsidR="007B6926" w:rsidRPr="00BE52A8" w:rsidRDefault="007B6926" w:rsidP="00177A43">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20 - The Productivity Commission: Public Infrastructure Draft Report - March 2014</w:t>
      </w:r>
    </w:p>
  </w:footnote>
  <w:footnote w:id="17">
    <w:p w:rsidR="007B6926" w:rsidRPr="00BE52A8" w:rsidRDefault="007B6926" w:rsidP="007E232D">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303 - The Productivity Commission: Public Infrastructure Draft Report - March 2014</w:t>
      </w:r>
    </w:p>
  </w:footnote>
  <w:footnote w:id="18">
    <w:p w:rsidR="007B6926" w:rsidRPr="00BE52A8" w:rsidRDefault="007B6926" w:rsidP="00155CDE">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8 The Productivity Commission: Public Infrastructure Draft Report - March 2014</w:t>
      </w:r>
    </w:p>
  </w:footnote>
  <w:footnote w:id="19">
    <w:p w:rsidR="007B6926" w:rsidRPr="00BE52A8" w:rsidRDefault="007B6926" w:rsidP="00A303BA">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70  The Productivity Commission: Public Infrastructure Draft Report - March 2014</w:t>
      </w:r>
    </w:p>
  </w:footnote>
  <w:footnote w:id="20">
    <w:p w:rsidR="007B6926" w:rsidRPr="00BE52A8" w:rsidRDefault="007B6926">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9 The Productivity Commission: Public Infrastructure Draft Report - March 2014 </w:t>
      </w:r>
    </w:p>
  </w:footnote>
  <w:footnote w:id="21">
    <w:p w:rsidR="007B6926" w:rsidRPr="00BE52A8" w:rsidRDefault="007B6926" w:rsidP="00195233">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48</w:t>
      </w:r>
      <w:proofErr w:type="gramStart"/>
      <w:r w:rsidRPr="00BE52A8">
        <w:rPr>
          <w:rFonts w:asciiTheme="minorHAnsi" w:hAnsiTheme="minorHAnsi"/>
          <w:sz w:val="16"/>
          <w:szCs w:val="16"/>
        </w:rPr>
        <w:t>-  PwC</w:t>
      </w:r>
      <w:proofErr w:type="gramEnd"/>
      <w:r w:rsidRPr="00BE52A8">
        <w:rPr>
          <w:rFonts w:asciiTheme="minorHAnsi" w:hAnsiTheme="minorHAnsi"/>
          <w:sz w:val="16"/>
          <w:szCs w:val="16"/>
        </w:rPr>
        <w:t xml:space="preserve"> report to the Australian Trucking Association: A Future Strategy for Road Supply and Charging in Australia, March 2013.</w:t>
      </w:r>
    </w:p>
  </w:footnote>
  <w:footnote w:id="22">
    <w:p w:rsidR="007B6926" w:rsidRPr="00BE52A8" w:rsidRDefault="007B6926" w:rsidP="00195233">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w:t>
      </w:r>
      <w:hyperlink r:id="rId1" w:history="1">
        <w:r w:rsidRPr="00BE52A8">
          <w:rPr>
            <w:rStyle w:val="Hyperlink"/>
            <w:rFonts w:asciiTheme="minorHAnsi" w:hAnsiTheme="minorHAnsi"/>
            <w:sz w:val="16"/>
            <w:szCs w:val="16"/>
          </w:rPr>
          <w:t>http://www.ntc.gov.au/filemedia/Groups/PBSmapsportalFAQ.pdf</w:t>
        </w:r>
      </w:hyperlink>
      <w:r w:rsidRPr="00BE52A8">
        <w:rPr>
          <w:rFonts w:asciiTheme="minorHAnsi" w:hAnsiTheme="minorHAnsi"/>
          <w:sz w:val="16"/>
          <w:szCs w:val="16"/>
        </w:rPr>
        <w:t xml:space="preserve"> </w:t>
      </w:r>
    </w:p>
  </w:footnote>
  <w:footnote w:id="23">
    <w:p w:rsidR="007B6926" w:rsidRPr="00BE52A8" w:rsidRDefault="007B6926">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74 The Productivity Commission: Public Infrastructure Draft Report - March 2014</w:t>
      </w:r>
    </w:p>
  </w:footnote>
  <w:footnote w:id="24">
    <w:p w:rsidR="007B6926" w:rsidRPr="00BE52A8" w:rsidRDefault="007B6926" w:rsidP="00D1272A">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78 The Productivity Commission: Public Infrastructure Draft Report - March 2014</w:t>
      </w:r>
    </w:p>
  </w:footnote>
  <w:footnote w:id="25">
    <w:p w:rsidR="007B6926" w:rsidRPr="00BE52A8" w:rsidRDefault="007B6926">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80 The Productivity Commission: Public Infrastructure Draft Report - March 2014</w:t>
      </w:r>
    </w:p>
  </w:footnote>
  <w:footnote w:id="26">
    <w:p w:rsidR="007B6926" w:rsidRPr="00BE52A8" w:rsidRDefault="007B6926" w:rsidP="00972D62">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11 The Productivity Commission: Public Infrastructure Draft Report - March 2014</w:t>
      </w:r>
    </w:p>
  </w:footnote>
  <w:footnote w:id="27">
    <w:p w:rsidR="007B6926" w:rsidRPr="00BE52A8" w:rsidRDefault="007B6926" w:rsidP="00972D62">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36 The Productivity Commission: Public Infrastructure Draft Report - March 2014</w:t>
      </w:r>
    </w:p>
  </w:footnote>
  <w:footnote w:id="28">
    <w:p w:rsidR="007B6926" w:rsidRPr="00BE52A8" w:rsidRDefault="007B6926" w:rsidP="0022487F">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11 The Productivity Commission: Public Infrastructure Draft Report - March 2014</w:t>
      </w:r>
    </w:p>
  </w:footnote>
  <w:footnote w:id="29">
    <w:p w:rsidR="007B6926" w:rsidRPr="00BE52A8" w:rsidRDefault="007B6926">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11 The Productivity Commission: Public Infrastructure Draft Report - March 2014</w:t>
      </w:r>
    </w:p>
  </w:footnote>
  <w:footnote w:id="30">
    <w:p w:rsidR="007B6926" w:rsidRPr="00BE52A8" w:rsidRDefault="007B6926" w:rsidP="0022487F">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134 The Productivity Commission: Public Infrastructure Draft Report - March 2014</w:t>
      </w:r>
    </w:p>
  </w:footnote>
  <w:footnote w:id="31">
    <w:p w:rsidR="007B6926" w:rsidRPr="00BE52A8" w:rsidRDefault="007B6926" w:rsidP="0022487F">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136 The Productivity Commission: Public Infrastructure Draft Report - March 2014</w:t>
      </w:r>
    </w:p>
  </w:footnote>
  <w:footnote w:id="32">
    <w:p w:rsidR="007B6926" w:rsidRPr="00BE52A8" w:rsidRDefault="007B6926">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18 PwC report to the Australian Trucking Association: A Future Strategy for Road Supply and Charging in Australia, March 2013</w:t>
      </w:r>
    </w:p>
  </w:footnote>
  <w:footnote w:id="33">
    <w:p w:rsidR="007B6926" w:rsidRPr="00BE52A8" w:rsidRDefault="007B6926" w:rsidP="00A85A1F">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130 The Productivity Commission: Public Infrastructure Draft Report - March 2014</w:t>
      </w:r>
    </w:p>
  </w:footnote>
  <w:footnote w:id="34">
    <w:p w:rsidR="007B6926" w:rsidRPr="00BE52A8" w:rsidRDefault="007B6926" w:rsidP="0022487F">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Page 140 The Productivity Commission: Public Infrastructure Draft Report - March 2014</w:t>
      </w:r>
    </w:p>
  </w:footnote>
  <w:footnote w:id="35">
    <w:p w:rsidR="007B6926" w:rsidRPr="00BE52A8" w:rsidRDefault="007B6926" w:rsidP="00B12E62">
      <w:pPr>
        <w:pStyle w:val="FootnoteText"/>
        <w:rPr>
          <w:rFonts w:asciiTheme="minorHAnsi" w:hAnsiTheme="minorHAnsi" w:cs="Arial"/>
          <w:sz w:val="16"/>
          <w:szCs w:val="16"/>
        </w:rPr>
      </w:pPr>
      <w:r w:rsidRPr="00BE52A8">
        <w:rPr>
          <w:rStyle w:val="FootnoteReference"/>
          <w:rFonts w:asciiTheme="minorHAnsi" w:hAnsiTheme="minorHAnsi" w:cs="Arial"/>
          <w:sz w:val="16"/>
          <w:szCs w:val="16"/>
        </w:rPr>
        <w:footnoteRef/>
      </w:r>
      <w:r w:rsidRPr="00BE52A8">
        <w:rPr>
          <w:rFonts w:asciiTheme="minorHAnsi" w:hAnsiTheme="minorHAnsi" w:cs="Arial"/>
          <w:sz w:val="16"/>
          <w:szCs w:val="16"/>
        </w:rPr>
        <w:t xml:space="preserve">The Department of Transport </w:t>
      </w:r>
      <w:r w:rsidRPr="00BE52A8">
        <w:rPr>
          <w:rFonts w:asciiTheme="minorHAnsi" w:hAnsiTheme="minorHAnsi" w:cs="Arial"/>
          <w:bCs/>
          <w:sz w:val="16"/>
          <w:szCs w:val="16"/>
          <w:lang w:eastAsia="en-AU"/>
        </w:rPr>
        <w:t xml:space="preserve">The Eddington Transport Study </w:t>
      </w:r>
      <w:r w:rsidRPr="00BE52A8">
        <w:rPr>
          <w:rFonts w:asciiTheme="minorHAnsi" w:hAnsiTheme="minorHAnsi" w:cs="Arial"/>
          <w:sz w:val="16"/>
          <w:szCs w:val="16"/>
          <w:lang w:eastAsia="en-AU"/>
        </w:rPr>
        <w:t>December 2006</w:t>
      </w:r>
    </w:p>
  </w:footnote>
  <w:footnote w:id="36">
    <w:p w:rsidR="007B6926" w:rsidRPr="00BE52A8" w:rsidRDefault="007B6926" w:rsidP="00B12E62">
      <w:pPr>
        <w:pStyle w:val="FootnoteText"/>
        <w:rPr>
          <w:rFonts w:asciiTheme="minorHAnsi" w:hAnsiTheme="minorHAnsi" w:cs="Arial"/>
          <w:sz w:val="16"/>
          <w:szCs w:val="16"/>
        </w:rPr>
      </w:pPr>
      <w:r w:rsidRPr="00BE52A8">
        <w:rPr>
          <w:rStyle w:val="FootnoteReference"/>
          <w:rFonts w:asciiTheme="minorHAnsi" w:hAnsiTheme="minorHAnsi" w:cs="Arial"/>
          <w:sz w:val="16"/>
          <w:szCs w:val="16"/>
        </w:rPr>
        <w:footnoteRef/>
      </w:r>
      <w:r w:rsidRPr="00BE52A8">
        <w:rPr>
          <w:rFonts w:asciiTheme="minorHAnsi" w:hAnsiTheme="minorHAnsi" w:cs="Arial"/>
          <w:sz w:val="16"/>
          <w:szCs w:val="16"/>
        </w:rPr>
        <w:t xml:space="preserve"> </w:t>
      </w:r>
      <w:r w:rsidRPr="00BE52A8">
        <w:rPr>
          <w:rFonts w:asciiTheme="minorHAnsi" w:hAnsiTheme="minorHAnsi" w:cs="Arial"/>
          <w:iCs/>
          <w:sz w:val="16"/>
          <w:szCs w:val="16"/>
        </w:rPr>
        <w:t xml:space="preserve"> Page 195 - </w:t>
      </w:r>
      <w:r w:rsidRPr="00BE52A8">
        <w:rPr>
          <w:rFonts w:asciiTheme="minorHAnsi" w:hAnsiTheme="minorHAnsi" w:cs="Arial"/>
          <w:sz w:val="16"/>
          <w:szCs w:val="16"/>
        </w:rPr>
        <w:t xml:space="preserve">Bureau of Infrastructure, Transport and Regional Economics 2009, </w:t>
      </w:r>
      <w:r w:rsidRPr="00BE52A8">
        <w:rPr>
          <w:rFonts w:asciiTheme="minorHAnsi" w:hAnsiTheme="minorHAnsi" w:cs="Arial"/>
          <w:iCs/>
          <w:sz w:val="16"/>
          <w:szCs w:val="16"/>
        </w:rPr>
        <w:t>National road network intercity traffic projections to 2030</w:t>
      </w:r>
      <w:r w:rsidRPr="00BE52A8">
        <w:rPr>
          <w:rFonts w:asciiTheme="minorHAnsi" w:hAnsiTheme="minorHAnsi" w:cs="Arial"/>
          <w:sz w:val="16"/>
          <w:szCs w:val="16"/>
        </w:rPr>
        <w:t>, Working Paper 75, BITRE, Canberra</w:t>
      </w:r>
    </w:p>
  </w:footnote>
  <w:footnote w:id="37">
    <w:p w:rsidR="007B6926" w:rsidRPr="00BE52A8" w:rsidRDefault="007B6926" w:rsidP="00B40D63">
      <w:pPr>
        <w:pStyle w:val="FootnoteText"/>
        <w:rPr>
          <w:rFonts w:asciiTheme="minorHAnsi" w:hAnsiTheme="minorHAnsi"/>
          <w:sz w:val="16"/>
          <w:szCs w:val="16"/>
        </w:rPr>
      </w:pPr>
      <w:r w:rsidRPr="00BE52A8">
        <w:rPr>
          <w:rStyle w:val="FootnoteReference"/>
          <w:rFonts w:asciiTheme="minorHAnsi" w:hAnsiTheme="minorHAnsi"/>
          <w:sz w:val="16"/>
          <w:szCs w:val="16"/>
        </w:rPr>
        <w:footnoteRef/>
      </w:r>
      <w:r w:rsidRPr="00BE52A8">
        <w:rPr>
          <w:rFonts w:asciiTheme="minorHAnsi" w:hAnsiTheme="minorHAnsi"/>
          <w:sz w:val="16"/>
          <w:szCs w:val="16"/>
        </w:rPr>
        <w:t xml:space="preserve"> See the ATA submission to the NTC 2014 Heavy Vehicle Charges Determination, January 2014 for more detail.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26" w:rsidRDefault="007B69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26" w:rsidRDefault="007B69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26" w:rsidRPr="00E8056B" w:rsidRDefault="007B6926"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7B6926" w:rsidRDefault="007B692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26" w:rsidRDefault="007B692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26" w:rsidRPr="0019542E" w:rsidRDefault="007B6926"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26" w:rsidRDefault="007B69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036"/>
    <w:multiLevelType w:val="hybridMultilevel"/>
    <w:tmpl w:val="2D3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383C13"/>
    <w:multiLevelType w:val="hybridMultilevel"/>
    <w:tmpl w:val="D0281436"/>
    <w:lvl w:ilvl="0" w:tplc="3D240D2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3D0709"/>
    <w:multiLevelType w:val="multilevel"/>
    <w:tmpl w:val="08B215B4"/>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D30311"/>
    <w:multiLevelType w:val="hybridMultilevel"/>
    <w:tmpl w:val="83DC03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CA6116"/>
    <w:multiLevelType w:val="multilevel"/>
    <w:tmpl w:val="9692D73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F51C1D"/>
    <w:multiLevelType w:val="multilevel"/>
    <w:tmpl w:val="917A6E5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4D7332"/>
    <w:multiLevelType w:val="hybridMultilevel"/>
    <w:tmpl w:val="3C3E685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
    <w:nsid w:val="34015116"/>
    <w:multiLevelType w:val="multilevel"/>
    <w:tmpl w:val="00B2EBBA"/>
    <w:lvl w:ilvl="0">
      <w:start w:val="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465D43"/>
    <w:multiLevelType w:val="hybridMultilevel"/>
    <w:tmpl w:val="18804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1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44A079CD"/>
    <w:multiLevelType w:val="hybridMultilevel"/>
    <w:tmpl w:val="F6142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100DC5"/>
    <w:multiLevelType w:val="hybridMultilevel"/>
    <w:tmpl w:val="FC448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636987"/>
    <w:multiLevelType w:val="hybridMultilevel"/>
    <w:tmpl w:val="5BCC2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EA00A9"/>
    <w:multiLevelType w:val="hybridMultilevel"/>
    <w:tmpl w:val="47947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1B60ED"/>
    <w:multiLevelType w:val="hybridMultilevel"/>
    <w:tmpl w:val="5B9E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62B75732"/>
    <w:multiLevelType w:val="hybridMultilevel"/>
    <w:tmpl w:val="9F9235BA"/>
    <w:lvl w:ilvl="0" w:tplc="A0CC1B6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FA0FCA"/>
    <w:multiLevelType w:val="hybridMultilevel"/>
    <w:tmpl w:val="DE5294B8"/>
    <w:lvl w:ilvl="0" w:tplc="2EFA79C4">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C54441"/>
    <w:multiLevelType w:val="hybridMultilevel"/>
    <w:tmpl w:val="F8F6BF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97E2CAB"/>
    <w:multiLevelType w:val="hybridMultilevel"/>
    <w:tmpl w:val="C1CE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0"/>
  </w:num>
  <w:num w:numId="4">
    <w:abstractNumId w:val="14"/>
  </w:num>
  <w:num w:numId="5">
    <w:abstractNumId w:val="0"/>
  </w:num>
  <w:num w:numId="6">
    <w:abstractNumId w:val="9"/>
  </w:num>
  <w:num w:numId="7">
    <w:abstractNumId w:val="6"/>
  </w:num>
  <w:num w:numId="8">
    <w:abstractNumId w:val="11"/>
  </w:num>
  <w:num w:numId="9">
    <w:abstractNumId w:val="15"/>
  </w:num>
  <w:num w:numId="10">
    <w:abstractNumId w:val="17"/>
  </w:num>
  <w:num w:numId="11">
    <w:abstractNumId w:val="13"/>
  </w:num>
  <w:num w:numId="12">
    <w:abstractNumId w:val="12"/>
  </w:num>
  <w:num w:numId="13">
    <w:abstractNumId w:val="18"/>
  </w:num>
  <w:num w:numId="14">
    <w:abstractNumId w:val="1"/>
  </w:num>
  <w:num w:numId="15">
    <w:abstractNumId w:val="19"/>
  </w:num>
  <w:num w:numId="16">
    <w:abstractNumId w:val="4"/>
  </w:num>
  <w:num w:numId="17">
    <w:abstractNumId w:val="7"/>
  </w:num>
  <w:num w:numId="18">
    <w:abstractNumId w:val="16"/>
    <w:lvlOverride w:ilvl="0">
      <w:startOverride w:val="7"/>
    </w:lvlOverride>
  </w:num>
  <w:num w:numId="19">
    <w:abstractNumId w:val="8"/>
  </w:num>
  <w:num w:numId="20">
    <w:abstractNumId w:val="16"/>
  </w:num>
  <w:num w:numId="21">
    <w:abstractNumId w:val="2"/>
  </w:num>
  <w:num w:numId="22">
    <w:abstractNumId w:val="16"/>
  </w:num>
  <w:num w:numId="23">
    <w:abstractNumId w:val="5"/>
  </w:num>
  <w:num w:numId="24">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278E9"/>
    <w:rsid w:val="0000052A"/>
    <w:rsid w:val="00000CE3"/>
    <w:rsid w:val="00001E4D"/>
    <w:rsid w:val="00004DE2"/>
    <w:rsid w:val="00005A35"/>
    <w:rsid w:val="00005E0D"/>
    <w:rsid w:val="00006297"/>
    <w:rsid w:val="00006C53"/>
    <w:rsid w:val="00007CA7"/>
    <w:rsid w:val="0001015F"/>
    <w:rsid w:val="00010722"/>
    <w:rsid w:val="00011661"/>
    <w:rsid w:val="000156D1"/>
    <w:rsid w:val="000169A5"/>
    <w:rsid w:val="00020098"/>
    <w:rsid w:val="00020B9C"/>
    <w:rsid w:val="00021886"/>
    <w:rsid w:val="00021D7D"/>
    <w:rsid w:val="00027E86"/>
    <w:rsid w:val="0003251D"/>
    <w:rsid w:val="00034C01"/>
    <w:rsid w:val="00035CFC"/>
    <w:rsid w:val="00036589"/>
    <w:rsid w:val="00037A25"/>
    <w:rsid w:val="0004081E"/>
    <w:rsid w:val="00040876"/>
    <w:rsid w:val="00040B35"/>
    <w:rsid w:val="000422CE"/>
    <w:rsid w:val="0004264E"/>
    <w:rsid w:val="00043266"/>
    <w:rsid w:val="000447B1"/>
    <w:rsid w:val="00046251"/>
    <w:rsid w:val="00050AC8"/>
    <w:rsid w:val="00050CE6"/>
    <w:rsid w:val="00052E9C"/>
    <w:rsid w:val="00053DCB"/>
    <w:rsid w:val="00056113"/>
    <w:rsid w:val="00056A74"/>
    <w:rsid w:val="00060365"/>
    <w:rsid w:val="00060651"/>
    <w:rsid w:val="0006283B"/>
    <w:rsid w:val="00063D15"/>
    <w:rsid w:val="00064F11"/>
    <w:rsid w:val="00067309"/>
    <w:rsid w:val="00067698"/>
    <w:rsid w:val="00070737"/>
    <w:rsid w:val="00071A71"/>
    <w:rsid w:val="0007542B"/>
    <w:rsid w:val="00075E7B"/>
    <w:rsid w:val="00077364"/>
    <w:rsid w:val="0007773C"/>
    <w:rsid w:val="00083C15"/>
    <w:rsid w:val="000848A1"/>
    <w:rsid w:val="00086A56"/>
    <w:rsid w:val="00087208"/>
    <w:rsid w:val="00091EB9"/>
    <w:rsid w:val="00093679"/>
    <w:rsid w:val="00094788"/>
    <w:rsid w:val="00094FE3"/>
    <w:rsid w:val="0009523C"/>
    <w:rsid w:val="00095C3B"/>
    <w:rsid w:val="00096B02"/>
    <w:rsid w:val="00097329"/>
    <w:rsid w:val="000976B9"/>
    <w:rsid w:val="000A2163"/>
    <w:rsid w:val="000A2996"/>
    <w:rsid w:val="000A2BCF"/>
    <w:rsid w:val="000A2C1A"/>
    <w:rsid w:val="000A4EB0"/>
    <w:rsid w:val="000A6499"/>
    <w:rsid w:val="000B0410"/>
    <w:rsid w:val="000B069A"/>
    <w:rsid w:val="000B1819"/>
    <w:rsid w:val="000B496C"/>
    <w:rsid w:val="000C049C"/>
    <w:rsid w:val="000C0C35"/>
    <w:rsid w:val="000C0F58"/>
    <w:rsid w:val="000C1944"/>
    <w:rsid w:val="000C4A62"/>
    <w:rsid w:val="000C7BBC"/>
    <w:rsid w:val="000D033C"/>
    <w:rsid w:val="000D5E4E"/>
    <w:rsid w:val="000D6EF5"/>
    <w:rsid w:val="000D7CD4"/>
    <w:rsid w:val="000E4BE1"/>
    <w:rsid w:val="000E7B14"/>
    <w:rsid w:val="000F0F7B"/>
    <w:rsid w:val="000F314E"/>
    <w:rsid w:val="000F34E0"/>
    <w:rsid w:val="000F3D9F"/>
    <w:rsid w:val="000F53C2"/>
    <w:rsid w:val="000F566E"/>
    <w:rsid w:val="000F6AA4"/>
    <w:rsid w:val="000F6BC2"/>
    <w:rsid w:val="000F7F6F"/>
    <w:rsid w:val="00100A35"/>
    <w:rsid w:val="00103E24"/>
    <w:rsid w:val="001051CB"/>
    <w:rsid w:val="00110610"/>
    <w:rsid w:val="00110A53"/>
    <w:rsid w:val="001121A8"/>
    <w:rsid w:val="0011347C"/>
    <w:rsid w:val="00114FC5"/>
    <w:rsid w:val="00115C57"/>
    <w:rsid w:val="00115F37"/>
    <w:rsid w:val="001176CB"/>
    <w:rsid w:val="00121A4F"/>
    <w:rsid w:val="00121A53"/>
    <w:rsid w:val="00122285"/>
    <w:rsid w:val="00122A0D"/>
    <w:rsid w:val="00125023"/>
    <w:rsid w:val="00126932"/>
    <w:rsid w:val="0013041A"/>
    <w:rsid w:val="00131D64"/>
    <w:rsid w:val="001320D2"/>
    <w:rsid w:val="00132E36"/>
    <w:rsid w:val="00134E0D"/>
    <w:rsid w:val="0013543A"/>
    <w:rsid w:val="001368EB"/>
    <w:rsid w:val="00141274"/>
    <w:rsid w:val="00141395"/>
    <w:rsid w:val="00142215"/>
    <w:rsid w:val="0014300C"/>
    <w:rsid w:val="001431E4"/>
    <w:rsid w:val="0014683D"/>
    <w:rsid w:val="00150065"/>
    <w:rsid w:val="0015062F"/>
    <w:rsid w:val="0015211C"/>
    <w:rsid w:val="00152A71"/>
    <w:rsid w:val="001533F1"/>
    <w:rsid w:val="0015359E"/>
    <w:rsid w:val="0015386B"/>
    <w:rsid w:val="001552BC"/>
    <w:rsid w:val="00155662"/>
    <w:rsid w:val="00155CDE"/>
    <w:rsid w:val="00160FE3"/>
    <w:rsid w:val="001611AB"/>
    <w:rsid w:val="00161A38"/>
    <w:rsid w:val="00163879"/>
    <w:rsid w:val="00166CBD"/>
    <w:rsid w:val="00167142"/>
    <w:rsid w:val="00167289"/>
    <w:rsid w:val="0017091B"/>
    <w:rsid w:val="00172FC4"/>
    <w:rsid w:val="00174273"/>
    <w:rsid w:val="00176C09"/>
    <w:rsid w:val="00177A43"/>
    <w:rsid w:val="001807A8"/>
    <w:rsid w:val="001811B8"/>
    <w:rsid w:val="00182D29"/>
    <w:rsid w:val="001855CD"/>
    <w:rsid w:val="00195233"/>
    <w:rsid w:val="0019542E"/>
    <w:rsid w:val="00195C1B"/>
    <w:rsid w:val="0019645A"/>
    <w:rsid w:val="00197B9E"/>
    <w:rsid w:val="001A0DC3"/>
    <w:rsid w:val="001A0DEF"/>
    <w:rsid w:val="001A3A47"/>
    <w:rsid w:val="001A6510"/>
    <w:rsid w:val="001B0529"/>
    <w:rsid w:val="001B0E57"/>
    <w:rsid w:val="001B293E"/>
    <w:rsid w:val="001B2CD7"/>
    <w:rsid w:val="001B3675"/>
    <w:rsid w:val="001B36AC"/>
    <w:rsid w:val="001B3E52"/>
    <w:rsid w:val="001B5390"/>
    <w:rsid w:val="001C05C2"/>
    <w:rsid w:val="001C0C68"/>
    <w:rsid w:val="001C125D"/>
    <w:rsid w:val="001C3659"/>
    <w:rsid w:val="001C376A"/>
    <w:rsid w:val="001C4BA2"/>
    <w:rsid w:val="001C58B7"/>
    <w:rsid w:val="001C5B41"/>
    <w:rsid w:val="001D1F12"/>
    <w:rsid w:val="001D2D61"/>
    <w:rsid w:val="001D50C7"/>
    <w:rsid w:val="001D64FE"/>
    <w:rsid w:val="001D77A8"/>
    <w:rsid w:val="001D7817"/>
    <w:rsid w:val="001D797D"/>
    <w:rsid w:val="001E0A75"/>
    <w:rsid w:val="001E1BA9"/>
    <w:rsid w:val="001E3AC7"/>
    <w:rsid w:val="001E474C"/>
    <w:rsid w:val="001E4C51"/>
    <w:rsid w:val="001E5BE0"/>
    <w:rsid w:val="001E5C29"/>
    <w:rsid w:val="001E6C45"/>
    <w:rsid w:val="001E70A3"/>
    <w:rsid w:val="001F0C6E"/>
    <w:rsid w:val="001F1455"/>
    <w:rsid w:val="001F1510"/>
    <w:rsid w:val="001F187C"/>
    <w:rsid w:val="001F5825"/>
    <w:rsid w:val="001F7268"/>
    <w:rsid w:val="00200A50"/>
    <w:rsid w:val="0020303C"/>
    <w:rsid w:val="002041FF"/>
    <w:rsid w:val="002067C0"/>
    <w:rsid w:val="00207DE8"/>
    <w:rsid w:val="00210088"/>
    <w:rsid w:val="00210AB6"/>
    <w:rsid w:val="0021270C"/>
    <w:rsid w:val="0021283E"/>
    <w:rsid w:val="002137D3"/>
    <w:rsid w:val="00215E4A"/>
    <w:rsid w:val="00215F0D"/>
    <w:rsid w:val="00216CE6"/>
    <w:rsid w:val="0022487F"/>
    <w:rsid w:val="00225B24"/>
    <w:rsid w:val="00225CC0"/>
    <w:rsid w:val="002278E9"/>
    <w:rsid w:val="0023094F"/>
    <w:rsid w:val="00230DFC"/>
    <w:rsid w:val="002333DB"/>
    <w:rsid w:val="00237081"/>
    <w:rsid w:val="00241C15"/>
    <w:rsid w:val="00243731"/>
    <w:rsid w:val="0024511B"/>
    <w:rsid w:val="00247299"/>
    <w:rsid w:val="00250025"/>
    <w:rsid w:val="0025225E"/>
    <w:rsid w:val="002527BE"/>
    <w:rsid w:val="00252AA9"/>
    <w:rsid w:val="002542D1"/>
    <w:rsid w:val="00254301"/>
    <w:rsid w:val="002543DF"/>
    <w:rsid w:val="00255617"/>
    <w:rsid w:val="00257D05"/>
    <w:rsid w:val="00260827"/>
    <w:rsid w:val="00262C0A"/>
    <w:rsid w:val="00263385"/>
    <w:rsid w:val="00263A7C"/>
    <w:rsid w:val="002647C3"/>
    <w:rsid w:val="00265EB9"/>
    <w:rsid w:val="00266881"/>
    <w:rsid w:val="00266915"/>
    <w:rsid w:val="00266BDD"/>
    <w:rsid w:val="00270995"/>
    <w:rsid w:val="0027126F"/>
    <w:rsid w:val="00273CDE"/>
    <w:rsid w:val="002770BE"/>
    <w:rsid w:val="00277981"/>
    <w:rsid w:val="00282EF9"/>
    <w:rsid w:val="0028399D"/>
    <w:rsid w:val="0028687B"/>
    <w:rsid w:val="00291C6F"/>
    <w:rsid w:val="0029355B"/>
    <w:rsid w:val="002938B5"/>
    <w:rsid w:val="00295501"/>
    <w:rsid w:val="00296633"/>
    <w:rsid w:val="00296A47"/>
    <w:rsid w:val="002A061F"/>
    <w:rsid w:val="002A243F"/>
    <w:rsid w:val="002A3F63"/>
    <w:rsid w:val="002A4859"/>
    <w:rsid w:val="002A4F45"/>
    <w:rsid w:val="002A53E2"/>
    <w:rsid w:val="002A56D6"/>
    <w:rsid w:val="002A5C2E"/>
    <w:rsid w:val="002A7CB7"/>
    <w:rsid w:val="002B0559"/>
    <w:rsid w:val="002B0A61"/>
    <w:rsid w:val="002B0F48"/>
    <w:rsid w:val="002B145E"/>
    <w:rsid w:val="002B172B"/>
    <w:rsid w:val="002B2509"/>
    <w:rsid w:val="002B3668"/>
    <w:rsid w:val="002B381D"/>
    <w:rsid w:val="002B4710"/>
    <w:rsid w:val="002B54EF"/>
    <w:rsid w:val="002B5959"/>
    <w:rsid w:val="002B7A60"/>
    <w:rsid w:val="002C015C"/>
    <w:rsid w:val="002C0499"/>
    <w:rsid w:val="002C0D1A"/>
    <w:rsid w:val="002C1799"/>
    <w:rsid w:val="002C2485"/>
    <w:rsid w:val="002C5598"/>
    <w:rsid w:val="002D1187"/>
    <w:rsid w:val="002D28AF"/>
    <w:rsid w:val="002D44EC"/>
    <w:rsid w:val="002D592D"/>
    <w:rsid w:val="002D6FF6"/>
    <w:rsid w:val="002D74B8"/>
    <w:rsid w:val="002E06F2"/>
    <w:rsid w:val="002E1062"/>
    <w:rsid w:val="002E16B7"/>
    <w:rsid w:val="002E226D"/>
    <w:rsid w:val="002E453E"/>
    <w:rsid w:val="002E5D82"/>
    <w:rsid w:val="002E5F39"/>
    <w:rsid w:val="002E6075"/>
    <w:rsid w:val="002E7897"/>
    <w:rsid w:val="002E7F28"/>
    <w:rsid w:val="002F2F65"/>
    <w:rsid w:val="002F3241"/>
    <w:rsid w:val="002F438C"/>
    <w:rsid w:val="002F5A71"/>
    <w:rsid w:val="002F632C"/>
    <w:rsid w:val="00302E87"/>
    <w:rsid w:val="00304B46"/>
    <w:rsid w:val="003054ED"/>
    <w:rsid w:val="00306FBF"/>
    <w:rsid w:val="00307FF7"/>
    <w:rsid w:val="00315333"/>
    <w:rsid w:val="00320AFE"/>
    <w:rsid w:val="00321A43"/>
    <w:rsid w:val="0032308F"/>
    <w:rsid w:val="00324025"/>
    <w:rsid w:val="00324C2C"/>
    <w:rsid w:val="00325A6C"/>
    <w:rsid w:val="003265BF"/>
    <w:rsid w:val="00330F29"/>
    <w:rsid w:val="00331793"/>
    <w:rsid w:val="00336512"/>
    <w:rsid w:val="00336760"/>
    <w:rsid w:val="00336EBD"/>
    <w:rsid w:val="00341253"/>
    <w:rsid w:val="00342826"/>
    <w:rsid w:val="00350300"/>
    <w:rsid w:val="00351556"/>
    <w:rsid w:val="00351657"/>
    <w:rsid w:val="00351D4B"/>
    <w:rsid w:val="003533CA"/>
    <w:rsid w:val="00354394"/>
    <w:rsid w:val="0035493A"/>
    <w:rsid w:val="00354DA6"/>
    <w:rsid w:val="00356D3A"/>
    <w:rsid w:val="00360759"/>
    <w:rsid w:val="00362025"/>
    <w:rsid w:val="00363E36"/>
    <w:rsid w:val="00364BA5"/>
    <w:rsid w:val="0036535E"/>
    <w:rsid w:val="00372137"/>
    <w:rsid w:val="00374640"/>
    <w:rsid w:val="00374990"/>
    <w:rsid w:val="00380998"/>
    <w:rsid w:val="0038285F"/>
    <w:rsid w:val="00384772"/>
    <w:rsid w:val="00385F00"/>
    <w:rsid w:val="00385F9E"/>
    <w:rsid w:val="0039063B"/>
    <w:rsid w:val="00390696"/>
    <w:rsid w:val="003911E4"/>
    <w:rsid w:val="0039442F"/>
    <w:rsid w:val="00394E6A"/>
    <w:rsid w:val="003A11E7"/>
    <w:rsid w:val="003A1FE3"/>
    <w:rsid w:val="003A27B1"/>
    <w:rsid w:val="003A4520"/>
    <w:rsid w:val="003B1937"/>
    <w:rsid w:val="003B2024"/>
    <w:rsid w:val="003B23CF"/>
    <w:rsid w:val="003B2FEB"/>
    <w:rsid w:val="003B4D4A"/>
    <w:rsid w:val="003B56E7"/>
    <w:rsid w:val="003B580C"/>
    <w:rsid w:val="003B6265"/>
    <w:rsid w:val="003B74E4"/>
    <w:rsid w:val="003B76E9"/>
    <w:rsid w:val="003B7C68"/>
    <w:rsid w:val="003C2311"/>
    <w:rsid w:val="003C2DEE"/>
    <w:rsid w:val="003C42D2"/>
    <w:rsid w:val="003C4664"/>
    <w:rsid w:val="003C6085"/>
    <w:rsid w:val="003C6E58"/>
    <w:rsid w:val="003D0AC3"/>
    <w:rsid w:val="003D1163"/>
    <w:rsid w:val="003D26AD"/>
    <w:rsid w:val="003D27E1"/>
    <w:rsid w:val="003D3DC0"/>
    <w:rsid w:val="003D4281"/>
    <w:rsid w:val="003D5C05"/>
    <w:rsid w:val="003D6F49"/>
    <w:rsid w:val="003D75FC"/>
    <w:rsid w:val="003E2B20"/>
    <w:rsid w:val="003E3D6A"/>
    <w:rsid w:val="003E4EFE"/>
    <w:rsid w:val="003E7053"/>
    <w:rsid w:val="003F0B5C"/>
    <w:rsid w:val="003F0F16"/>
    <w:rsid w:val="003F2BE1"/>
    <w:rsid w:val="003F5DCB"/>
    <w:rsid w:val="003F6CA9"/>
    <w:rsid w:val="00400142"/>
    <w:rsid w:val="004008C7"/>
    <w:rsid w:val="004008D8"/>
    <w:rsid w:val="00402138"/>
    <w:rsid w:val="00402485"/>
    <w:rsid w:val="00403823"/>
    <w:rsid w:val="00404392"/>
    <w:rsid w:val="00404731"/>
    <w:rsid w:val="00404820"/>
    <w:rsid w:val="00405215"/>
    <w:rsid w:val="004053D4"/>
    <w:rsid w:val="00406222"/>
    <w:rsid w:val="00407EF2"/>
    <w:rsid w:val="00410341"/>
    <w:rsid w:val="004115B6"/>
    <w:rsid w:val="004116EA"/>
    <w:rsid w:val="00411877"/>
    <w:rsid w:val="0041272C"/>
    <w:rsid w:val="004130C2"/>
    <w:rsid w:val="00413868"/>
    <w:rsid w:val="00414BFC"/>
    <w:rsid w:val="00415126"/>
    <w:rsid w:val="00420431"/>
    <w:rsid w:val="0042052C"/>
    <w:rsid w:val="00420F75"/>
    <w:rsid w:val="00421306"/>
    <w:rsid w:val="0042209E"/>
    <w:rsid w:val="00422BB7"/>
    <w:rsid w:val="00423CC7"/>
    <w:rsid w:val="00423CCC"/>
    <w:rsid w:val="00424D3E"/>
    <w:rsid w:val="0042557B"/>
    <w:rsid w:val="004263BE"/>
    <w:rsid w:val="00431CA4"/>
    <w:rsid w:val="00432273"/>
    <w:rsid w:val="004353C2"/>
    <w:rsid w:val="00440231"/>
    <w:rsid w:val="004416BA"/>
    <w:rsid w:val="00443123"/>
    <w:rsid w:val="004436EB"/>
    <w:rsid w:val="00445CDC"/>
    <w:rsid w:val="00447C81"/>
    <w:rsid w:val="00450FF8"/>
    <w:rsid w:val="004527FD"/>
    <w:rsid w:val="00454D08"/>
    <w:rsid w:val="00455514"/>
    <w:rsid w:val="00455952"/>
    <w:rsid w:val="00461711"/>
    <w:rsid w:val="00462423"/>
    <w:rsid w:val="00463025"/>
    <w:rsid w:val="004640D1"/>
    <w:rsid w:val="00466E7F"/>
    <w:rsid w:val="00472B3F"/>
    <w:rsid w:val="00473A75"/>
    <w:rsid w:val="00475C39"/>
    <w:rsid w:val="00476E12"/>
    <w:rsid w:val="004814E3"/>
    <w:rsid w:val="00483BAA"/>
    <w:rsid w:val="00483F2E"/>
    <w:rsid w:val="00484068"/>
    <w:rsid w:val="00484C78"/>
    <w:rsid w:val="00487F0F"/>
    <w:rsid w:val="00493FF5"/>
    <w:rsid w:val="004952A7"/>
    <w:rsid w:val="0049636E"/>
    <w:rsid w:val="004977DE"/>
    <w:rsid w:val="00497CD2"/>
    <w:rsid w:val="004A2F6F"/>
    <w:rsid w:val="004A325F"/>
    <w:rsid w:val="004A3725"/>
    <w:rsid w:val="004A4A3E"/>
    <w:rsid w:val="004A6DDC"/>
    <w:rsid w:val="004B0BF5"/>
    <w:rsid w:val="004B26EB"/>
    <w:rsid w:val="004B3EF6"/>
    <w:rsid w:val="004B4B20"/>
    <w:rsid w:val="004B509F"/>
    <w:rsid w:val="004B5863"/>
    <w:rsid w:val="004B5FA9"/>
    <w:rsid w:val="004B6187"/>
    <w:rsid w:val="004B64C9"/>
    <w:rsid w:val="004C21BB"/>
    <w:rsid w:val="004C3CC3"/>
    <w:rsid w:val="004C7AD5"/>
    <w:rsid w:val="004C7EE3"/>
    <w:rsid w:val="004D3774"/>
    <w:rsid w:val="004D42D0"/>
    <w:rsid w:val="004D66EF"/>
    <w:rsid w:val="004D6BAD"/>
    <w:rsid w:val="004E122C"/>
    <w:rsid w:val="004E1EBB"/>
    <w:rsid w:val="004E35A9"/>
    <w:rsid w:val="004E5885"/>
    <w:rsid w:val="004E5EA3"/>
    <w:rsid w:val="004F112A"/>
    <w:rsid w:val="004F2DE2"/>
    <w:rsid w:val="004F2E8C"/>
    <w:rsid w:val="004F38D2"/>
    <w:rsid w:val="004F3B07"/>
    <w:rsid w:val="004F500B"/>
    <w:rsid w:val="004F5FEC"/>
    <w:rsid w:val="004F79DA"/>
    <w:rsid w:val="004F7B9F"/>
    <w:rsid w:val="00500BCF"/>
    <w:rsid w:val="00501270"/>
    <w:rsid w:val="00502292"/>
    <w:rsid w:val="005022E4"/>
    <w:rsid w:val="0050368F"/>
    <w:rsid w:val="00503808"/>
    <w:rsid w:val="00504093"/>
    <w:rsid w:val="00504707"/>
    <w:rsid w:val="00504A7C"/>
    <w:rsid w:val="00510952"/>
    <w:rsid w:val="00512B6D"/>
    <w:rsid w:val="0052056E"/>
    <w:rsid w:val="005223FD"/>
    <w:rsid w:val="00523D7F"/>
    <w:rsid w:val="00525303"/>
    <w:rsid w:val="0053137B"/>
    <w:rsid w:val="0053194E"/>
    <w:rsid w:val="0053236A"/>
    <w:rsid w:val="00532BFB"/>
    <w:rsid w:val="00532EDD"/>
    <w:rsid w:val="00532F0A"/>
    <w:rsid w:val="00533381"/>
    <w:rsid w:val="00533467"/>
    <w:rsid w:val="00533DD1"/>
    <w:rsid w:val="0053492E"/>
    <w:rsid w:val="00535863"/>
    <w:rsid w:val="005359BF"/>
    <w:rsid w:val="005365E0"/>
    <w:rsid w:val="00542877"/>
    <w:rsid w:val="00543163"/>
    <w:rsid w:val="00545151"/>
    <w:rsid w:val="00545CB8"/>
    <w:rsid w:val="00550256"/>
    <w:rsid w:val="005507D4"/>
    <w:rsid w:val="005520B3"/>
    <w:rsid w:val="00552289"/>
    <w:rsid w:val="005551EA"/>
    <w:rsid w:val="005571CA"/>
    <w:rsid w:val="0056179B"/>
    <w:rsid w:val="0056241F"/>
    <w:rsid w:val="0056479F"/>
    <w:rsid w:val="005648B3"/>
    <w:rsid w:val="00564DAA"/>
    <w:rsid w:val="00565F92"/>
    <w:rsid w:val="00566D20"/>
    <w:rsid w:val="0057019E"/>
    <w:rsid w:val="0057591D"/>
    <w:rsid w:val="00576ED0"/>
    <w:rsid w:val="00576F0D"/>
    <w:rsid w:val="005773CF"/>
    <w:rsid w:val="0057783F"/>
    <w:rsid w:val="00580BDF"/>
    <w:rsid w:val="0058247C"/>
    <w:rsid w:val="00583369"/>
    <w:rsid w:val="00587C8F"/>
    <w:rsid w:val="00591326"/>
    <w:rsid w:val="005925A4"/>
    <w:rsid w:val="00592A37"/>
    <w:rsid w:val="00593217"/>
    <w:rsid w:val="00593E1F"/>
    <w:rsid w:val="0059482D"/>
    <w:rsid w:val="00594BC1"/>
    <w:rsid w:val="00595142"/>
    <w:rsid w:val="005954DB"/>
    <w:rsid w:val="00596872"/>
    <w:rsid w:val="005A2A86"/>
    <w:rsid w:val="005A38CD"/>
    <w:rsid w:val="005B0230"/>
    <w:rsid w:val="005B1179"/>
    <w:rsid w:val="005B3729"/>
    <w:rsid w:val="005B4A90"/>
    <w:rsid w:val="005B4CA8"/>
    <w:rsid w:val="005B4F21"/>
    <w:rsid w:val="005B68E9"/>
    <w:rsid w:val="005C31A0"/>
    <w:rsid w:val="005C4492"/>
    <w:rsid w:val="005C4952"/>
    <w:rsid w:val="005C52F3"/>
    <w:rsid w:val="005C63F7"/>
    <w:rsid w:val="005D0990"/>
    <w:rsid w:val="005D2355"/>
    <w:rsid w:val="005D2445"/>
    <w:rsid w:val="005D5BD6"/>
    <w:rsid w:val="005D6CD2"/>
    <w:rsid w:val="005E0F4D"/>
    <w:rsid w:val="005E117A"/>
    <w:rsid w:val="005E11FC"/>
    <w:rsid w:val="005E20ED"/>
    <w:rsid w:val="005E23F5"/>
    <w:rsid w:val="005E28FB"/>
    <w:rsid w:val="005E2F4C"/>
    <w:rsid w:val="005E6294"/>
    <w:rsid w:val="005E661C"/>
    <w:rsid w:val="005E6D8B"/>
    <w:rsid w:val="005F1009"/>
    <w:rsid w:val="005F21D1"/>
    <w:rsid w:val="005F31DF"/>
    <w:rsid w:val="005F4FBC"/>
    <w:rsid w:val="005F5568"/>
    <w:rsid w:val="005F5ACC"/>
    <w:rsid w:val="005F69CC"/>
    <w:rsid w:val="005F7950"/>
    <w:rsid w:val="00600132"/>
    <w:rsid w:val="006007D6"/>
    <w:rsid w:val="00600AC6"/>
    <w:rsid w:val="006014C4"/>
    <w:rsid w:val="006014E6"/>
    <w:rsid w:val="00601B01"/>
    <w:rsid w:val="00602BBD"/>
    <w:rsid w:val="00603655"/>
    <w:rsid w:val="00605FB9"/>
    <w:rsid w:val="006109E9"/>
    <w:rsid w:val="00610CFE"/>
    <w:rsid w:val="006110D1"/>
    <w:rsid w:val="006123DD"/>
    <w:rsid w:val="006128EA"/>
    <w:rsid w:val="00614A2F"/>
    <w:rsid w:val="006244DA"/>
    <w:rsid w:val="00625BAD"/>
    <w:rsid w:val="006278F6"/>
    <w:rsid w:val="00627F56"/>
    <w:rsid w:val="00632AA0"/>
    <w:rsid w:val="00632D04"/>
    <w:rsid w:val="006331D5"/>
    <w:rsid w:val="00633E2C"/>
    <w:rsid w:val="00634824"/>
    <w:rsid w:val="0063609C"/>
    <w:rsid w:val="0063713C"/>
    <w:rsid w:val="00640D43"/>
    <w:rsid w:val="00640DAD"/>
    <w:rsid w:val="006458F3"/>
    <w:rsid w:val="00646B21"/>
    <w:rsid w:val="00647FBE"/>
    <w:rsid w:val="00650566"/>
    <w:rsid w:val="006507A6"/>
    <w:rsid w:val="006509D3"/>
    <w:rsid w:val="00651339"/>
    <w:rsid w:val="0065569F"/>
    <w:rsid w:val="00664D33"/>
    <w:rsid w:val="00666A1A"/>
    <w:rsid w:val="00667036"/>
    <w:rsid w:val="0066769B"/>
    <w:rsid w:val="006677C7"/>
    <w:rsid w:val="0067135D"/>
    <w:rsid w:val="00676913"/>
    <w:rsid w:val="00682B89"/>
    <w:rsid w:val="00683D7C"/>
    <w:rsid w:val="00685443"/>
    <w:rsid w:val="00685459"/>
    <w:rsid w:val="006858FF"/>
    <w:rsid w:val="006859F7"/>
    <w:rsid w:val="00686470"/>
    <w:rsid w:val="006865EA"/>
    <w:rsid w:val="0069019B"/>
    <w:rsid w:val="006932F3"/>
    <w:rsid w:val="00693363"/>
    <w:rsid w:val="006939CC"/>
    <w:rsid w:val="00693A30"/>
    <w:rsid w:val="006943D1"/>
    <w:rsid w:val="0069483A"/>
    <w:rsid w:val="00694C83"/>
    <w:rsid w:val="006A0105"/>
    <w:rsid w:val="006A048D"/>
    <w:rsid w:val="006A1612"/>
    <w:rsid w:val="006A208A"/>
    <w:rsid w:val="006A2C9E"/>
    <w:rsid w:val="006A4A6A"/>
    <w:rsid w:val="006A522F"/>
    <w:rsid w:val="006A52C4"/>
    <w:rsid w:val="006A63B2"/>
    <w:rsid w:val="006A7735"/>
    <w:rsid w:val="006A797E"/>
    <w:rsid w:val="006B36C8"/>
    <w:rsid w:val="006B4B45"/>
    <w:rsid w:val="006B558F"/>
    <w:rsid w:val="006B67AF"/>
    <w:rsid w:val="006B67E0"/>
    <w:rsid w:val="006C38AD"/>
    <w:rsid w:val="006C428F"/>
    <w:rsid w:val="006D2035"/>
    <w:rsid w:val="006D4D41"/>
    <w:rsid w:val="006D7818"/>
    <w:rsid w:val="006E026F"/>
    <w:rsid w:val="006E26D5"/>
    <w:rsid w:val="006F050F"/>
    <w:rsid w:val="006F0BC5"/>
    <w:rsid w:val="006F0C79"/>
    <w:rsid w:val="006F0EA4"/>
    <w:rsid w:val="006F25E7"/>
    <w:rsid w:val="006F2893"/>
    <w:rsid w:val="006F5A59"/>
    <w:rsid w:val="006F66AB"/>
    <w:rsid w:val="00704823"/>
    <w:rsid w:val="007062D8"/>
    <w:rsid w:val="00710395"/>
    <w:rsid w:val="00714204"/>
    <w:rsid w:val="007162A5"/>
    <w:rsid w:val="0071719F"/>
    <w:rsid w:val="0071762D"/>
    <w:rsid w:val="00717BAD"/>
    <w:rsid w:val="00725BC0"/>
    <w:rsid w:val="00726797"/>
    <w:rsid w:val="007270C9"/>
    <w:rsid w:val="00727D98"/>
    <w:rsid w:val="00731DC4"/>
    <w:rsid w:val="00737149"/>
    <w:rsid w:val="00740005"/>
    <w:rsid w:val="00740DF8"/>
    <w:rsid w:val="00741304"/>
    <w:rsid w:val="007462E8"/>
    <w:rsid w:val="007468FB"/>
    <w:rsid w:val="00746BF5"/>
    <w:rsid w:val="007470CF"/>
    <w:rsid w:val="00750395"/>
    <w:rsid w:val="00751BF0"/>
    <w:rsid w:val="00752CE3"/>
    <w:rsid w:val="00753F95"/>
    <w:rsid w:val="0075427A"/>
    <w:rsid w:val="00754EBD"/>
    <w:rsid w:val="007551E1"/>
    <w:rsid w:val="00755B65"/>
    <w:rsid w:val="00757C3B"/>
    <w:rsid w:val="0076023A"/>
    <w:rsid w:val="0076304F"/>
    <w:rsid w:val="00763C32"/>
    <w:rsid w:val="0076621C"/>
    <w:rsid w:val="007671D3"/>
    <w:rsid w:val="00773733"/>
    <w:rsid w:val="00774FE0"/>
    <w:rsid w:val="007752A3"/>
    <w:rsid w:val="0077582D"/>
    <w:rsid w:val="00776681"/>
    <w:rsid w:val="00777903"/>
    <w:rsid w:val="007802E1"/>
    <w:rsid w:val="00782256"/>
    <w:rsid w:val="0079119C"/>
    <w:rsid w:val="00791216"/>
    <w:rsid w:val="00792CEB"/>
    <w:rsid w:val="00793AD6"/>
    <w:rsid w:val="00793EA7"/>
    <w:rsid w:val="007940E8"/>
    <w:rsid w:val="00795047"/>
    <w:rsid w:val="007A673A"/>
    <w:rsid w:val="007A69C1"/>
    <w:rsid w:val="007B03E4"/>
    <w:rsid w:val="007B3A7D"/>
    <w:rsid w:val="007B3B54"/>
    <w:rsid w:val="007B3BE2"/>
    <w:rsid w:val="007B665E"/>
    <w:rsid w:val="007B6926"/>
    <w:rsid w:val="007B711A"/>
    <w:rsid w:val="007C385B"/>
    <w:rsid w:val="007C3F49"/>
    <w:rsid w:val="007C5879"/>
    <w:rsid w:val="007C5AD5"/>
    <w:rsid w:val="007C746E"/>
    <w:rsid w:val="007C7FD7"/>
    <w:rsid w:val="007D02ED"/>
    <w:rsid w:val="007D4DD3"/>
    <w:rsid w:val="007D608A"/>
    <w:rsid w:val="007E0773"/>
    <w:rsid w:val="007E0ABA"/>
    <w:rsid w:val="007E1CE2"/>
    <w:rsid w:val="007E232D"/>
    <w:rsid w:val="007E3FCC"/>
    <w:rsid w:val="007E6163"/>
    <w:rsid w:val="007E7BC6"/>
    <w:rsid w:val="007E7F34"/>
    <w:rsid w:val="007F0554"/>
    <w:rsid w:val="007F0E05"/>
    <w:rsid w:val="007F15BB"/>
    <w:rsid w:val="007F2D2A"/>
    <w:rsid w:val="007F3589"/>
    <w:rsid w:val="007F3785"/>
    <w:rsid w:val="007F4404"/>
    <w:rsid w:val="007F44BE"/>
    <w:rsid w:val="007F4C48"/>
    <w:rsid w:val="007F4E1E"/>
    <w:rsid w:val="007F5802"/>
    <w:rsid w:val="0080211A"/>
    <w:rsid w:val="00804638"/>
    <w:rsid w:val="00804B17"/>
    <w:rsid w:val="008062BF"/>
    <w:rsid w:val="0081411F"/>
    <w:rsid w:val="00814C62"/>
    <w:rsid w:val="00815CBA"/>
    <w:rsid w:val="00821537"/>
    <w:rsid w:val="0082345F"/>
    <w:rsid w:val="00823880"/>
    <w:rsid w:val="008241D3"/>
    <w:rsid w:val="00824D91"/>
    <w:rsid w:val="00825673"/>
    <w:rsid w:val="008257C1"/>
    <w:rsid w:val="00825C08"/>
    <w:rsid w:val="008272EF"/>
    <w:rsid w:val="0083058C"/>
    <w:rsid w:val="00830A8A"/>
    <w:rsid w:val="00831AA7"/>
    <w:rsid w:val="00832C0D"/>
    <w:rsid w:val="00832DE8"/>
    <w:rsid w:val="00833760"/>
    <w:rsid w:val="00836304"/>
    <w:rsid w:val="00840F04"/>
    <w:rsid w:val="00842210"/>
    <w:rsid w:val="00846848"/>
    <w:rsid w:val="00846C4C"/>
    <w:rsid w:val="008477D3"/>
    <w:rsid w:val="008479ED"/>
    <w:rsid w:val="00847D7A"/>
    <w:rsid w:val="00850D33"/>
    <w:rsid w:val="00852672"/>
    <w:rsid w:val="00852A83"/>
    <w:rsid w:val="00853059"/>
    <w:rsid w:val="00853473"/>
    <w:rsid w:val="00854D3E"/>
    <w:rsid w:val="008561E9"/>
    <w:rsid w:val="00856FFF"/>
    <w:rsid w:val="00857838"/>
    <w:rsid w:val="00861D20"/>
    <w:rsid w:val="00863B20"/>
    <w:rsid w:val="008644C9"/>
    <w:rsid w:val="008648BB"/>
    <w:rsid w:val="00865F6C"/>
    <w:rsid w:val="008679F8"/>
    <w:rsid w:val="00871395"/>
    <w:rsid w:val="0087242A"/>
    <w:rsid w:val="00872E19"/>
    <w:rsid w:val="00874AAE"/>
    <w:rsid w:val="00875BF1"/>
    <w:rsid w:val="00877FD8"/>
    <w:rsid w:val="008808E3"/>
    <w:rsid w:val="00881A97"/>
    <w:rsid w:val="00882C09"/>
    <w:rsid w:val="00883178"/>
    <w:rsid w:val="00883881"/>
    <w:rsid w:val="00885151"/>
    <w:rsid w:val="00890346"/>
    <w:rsid w:val="0089220D"/>
    <w:rsid w:val="008929C1"/>
    <w:rsid w:val="00893728"/>
    <w:rsid w:val="008979D4"/>
    <w:rsid w:val="008A1D8B"/>
    <w:rsid w:val="008A3948"/>
    <w:rsid w:val="008A5088"/>
    <w:rsid w:val="008A5FC4"/>
    <w:rsid w:val="008A74F8"/>
    <w:rsid w:val="008B0EEF"/>
    <w:rsid w:val="008B123F"/>
    <w:rsid w:val="008B2A89"/>
    <w:rsid w:val="008B3178"/>
    <w:rsid w:val="008B4082"/>
    <w:rsid w:val="008B7312"/>
    <w:rsid w:val="008B78BE"/>
    <w:rsid w:val="008C09D2"/>
    <w:rsid w:val="008C0A86"/>
    <w:rsid w:val="008C10AA"/>
    <w:rsid w:val="008C1818"/>
    <w:rsid w:val="008C21E6"/>
    <w:rsid w:val="008C2575"/>
    <w:rsid w:val="008C3592"/>
    <w:rsid w:val="008C38B7"/>
    <w:rsid w:val="008C392D"/>
    <w:rsid w:val="008C6E07"/>
    <w:rsid w:val="008D0899"/>
    <w:rsid w:val="008D2CD8"/>
    <w:rsid w:val="008D3C61"/>
    <w:rsid w:val="008D3E3D"/>
    <w:rsid w:val="008D42D4"/>
    <w:rsid w:val="008D451E"/>
    <w:rsid w:val="008D6B14"/>
    <w:rsid w:val="008D7A86"/>
    <w:rsid w:val="008E09F4"/>
    <w:rsid w:val="008E0C8C"/>
    <w:rsid w:val="008E0E01"/>
    <w:rsid w:val="008E1721"/>
    <w:rsid w:val="008E1E65"/>
    <w:rsid w:val="008E24E8"/>
    <w:rsid w:val="008E2AB0"/>
    <w:rsid w:val="008E3865"/>
    <w:rsid w:val="008E417C"/>
    <w:rsid w:val="008E4B38"/>
    <w:rsid w:val="008F09AB"/>
    <w:rsid w:val="008F11A3"/>
    <w:rsid w:val="008F1908"/>
    <w:rsid w:val="008F7601"/>
    <w:rsid w:val="008F79E1"/>
    <w:rsid w:val="00901452"/>
    <w:rsid w:val="0090378D"/>
    <w:rsid w:val="00904039"/>
    <w:rsid w:val="00906DFB"/>
    <w:rsid w:val="00907971"/>
    <w:rsid w:val="00907A05"/>
    <w:rsid w:val="009100A8"/>
    <w:rsid w:val="00910F36"/>
    <w:rsid w:val="00911F2F"/>
    <w:rsid w:val="00912187"/>
    <w:rsid w:val="009132E3"/>
    <w:rsid w:val="009148AC"/>
    <w:rsid w:val="00914C1D"/>
    <w:rsid w:val="00915F3F"/>
    <w:rsid w:val="0091747C"/>
    <w:rsid w:val="00922A9B"/>
    <w:rsid w:val="009231B2"/>
    <w:rsid w:val="00923ADD"/>
    <w:rsid w:val="00925FAA"/>
    <w:rsid w:val="009279F2"/>
    <w:rsid w:val="0093150B"/>
    <w:rsid w:val="00931B2F"/>
    <w:rsid w:val="00932BAB"/>
    <w:rsid w:val="0093306C"/>
    <w:rsid w:val="009339FC"/>
    <w:rsid w:val="009350CE"/>
    <w:rsid w:val="00940B60"/>
    <w:rsid w:val="00940D05"/>
    <w:rsid w:val="009433C1"/>
    <w:rsid w:val="00943829"/>
    <w:rsid w:val="0094402B"/>
    <w:rsid w:val="00944548"/>
    <w:rsid w:val="00946DC5"/>
    <w:rsid w:val="00946E17"/>
    <w:rsid w:val="00947278"/>
    <w:rsid w:val="009539FA"/>
    <w:rsid w:val="00960FE0"/>
    <w:rsid w:val="00961690"/>
    <w:rsid w:val="0096247E"/>
    <w:rsid w:val="00963D1D"/>
    <w:rsid w:val="00964284"/>
    <w:rsid w:val="00965069"/>
    <w:rsid w:val="00965FDF"/>
    <w:rsid w:val="00966C16"/>
    <w:rsid w:val="0097021C"/>
    <w:rsid w:val="00972D62"/>
    <w:rsid w:val="009802CB"/>
    <w:rsid w:val="0098465E"/>
    <w:rsid w:val="009847BE"/>
    <w:rsid w:val="00985D31"/>
    <w:rsid w:val="00986804"/>
    <w:rsid w:val="00987F79"/>
    <w:rsid w:val="00993BAE"/>
    <w:rsid w:val="00993E39"/>
    <w:rsid w:val="0099546D"/>
    <w:rsid w:val="00996370"/>
    <w:rsid w:val="00997EED"/>
    <w:rsid w:val="009A375C"/>
    <w:rsid w:val="009A3853"/>
    <w:rsid w:val="009B0520"/>
    <w:rsid w:val="009B28D3"/>
    <w:rsid w:val="009B4220"/>
    <w:rsid w:val="009B5742"/>
    <w:rsid w:val="009B6C7C"/>
    <w:rsid w:val="009B6F69"/>
    <w:rsid w:val="009B73F5"/>
    <w:rsid w:val="009C3182"/>
    <w:rsid w:val="009C34F3"/>
    <w:rsid w:val="009C5367"/>
    <w:rsid w:val="009C5B87"/>
    <w:rsid w:val="009D2F28"/>
    <w:rsid w:val="009D3731"/>
    <w:rsid w:val="009D38A1"/>
    <w:rsid w:val="009D4D8B"/>
    <w:rsid w:val="009E3C08"/>
    <w:rsid w:val="009E77F2"/>
    <w:rsid w:val="009F23BD"/>
    <w:rsid w:val="009F593D"/>
    <w:rsid w:val="00A00503"/>
    <w:rsid w:val="00A0156A"/>
    <w:rsid w:val="00A01C6F"/>
    <w:rsid w:val="00A023EA"/>
    <w:rsid w:val="00A047CA"/>
    <w:rsid w:val="00A1052E"/>
    <w:rsid w:val="00A109D4"/>
    <w:rsid w:val="00A12D70"/>
    <w:rsid w:val="00A1430A"/>
    <w:rsid w:val="00A21842"/>
    <w:rsid w:val="00A21925"/>
    <w:rsid w:val="00A2215A"/>
    <w:rsid w:val="00A23059"/>
    <w:rsid w:val="00A24931"/>
    <w:rsid w:val="00A255AF"/>
    <w:rsid w:val="00A2623B"/>
    <w:rsid w:val="00A26B28"/>
    <w:rsid w:val="00A300E2"/>
    <w:rsid w:val="00A303BA"/>
    <w:rsid w:val="00A323BD"/>
    <w:rsid w:val="00A340B1"/>
    <w:rsid w:val="00A34465"/>
    <w:rsid w:val="00A35D7E"/>
    <w:rsid w:val="00A37A93"/>
    <w:rsid w:val="00A40847"/>
    <w:rsid w:val="00A40B7A"/>
    <w:rsid w:val="00A40FCF"/>
    <w:rsid w:val="00A444A6"/>
    <w:rsid w:val="00A44995"/>
    <w:rsid w:val="00A45C33"/>
    <w:rsid w:val="00A466B6"/>
    <w:rsid w:val="00A5128C"/>
    <w:rsid w:val="00A5234E"/>
    <w:rsid w:val="00A57D2F"/>
    <w:rsid w:val="00A57DBC"/>
    <w:rsid w:val="00A60114"/>
    <w:rsid w:val="00A674D0"/>
    <w:rsid w:val="00A70755"/>
    <w:rsid w:val="00A71BAA"/>
    <w:rsid w:val="00A74122"/>
    <w:rsid w:val="00A76443"/>
    <w:rsid w:val="00A8447E"/>
    <w:rsid w:val="00A85A1F"/>
    <w:rsid w:val="00A85AFD"/>
    <w:rsid w:val="00A87317"/>
    <w:rsid w:val="00A903D9"/>
    <w:rsid w:val="00A91411"/>
    <w:rsid w:val="00A91577"/>
    <w:rsid w:val="00A931E9"/>
    <w:rsid w:val="00A94647"/>
    <w:rsid w:val="00A97A9E"/>
    <w:rsid w:val="00A97B8C"/>
    <w:rsid w:val="00A97D79"/>
    <w:rsid w:val="00AA0C5A"/>
    <w:rsid w:val="00AA2D57"/>
    <w:rsid w:val="00AA36A0"/>
    <w:rsid w:val="00AA3E70"/>
    <w:rsid w:val="00AA4EF1"/>
    <w:rsid w:val="00AA5BEA"/>
    <w:rsid w:val="00AA6BA4"/>
    <w:rsid w:val="00AA7670"/>
    <w:rsid w:val="00AB3269"/>
    <w:rsid w:val="00AB3C78"/>
    <w:rsid w:val="00AB40FF"/>
    <w:rsid w:val="00AB6D11"/>
    <w:rsid w:val="00AC0045"/>
    <w:rsid w:val="00AC0934"/>
    <w:rsid w:val="00AC2279"/>
    <w:rsid w:val="00AC4A34"/>
    <w:rsid w:val="00AC5B44"/>
    <w:rsid w:val="00AC73BA"/>
    <w:rsid w:val="00AD0FD4"/>
    <w:rsid w:val="00AD281B"/>
    <w:rsid w:val="00AD29E4"/>
    <w:rsid w:val="00AD51CE"/>
    <w:rsid w:val="00AD6FA9"/>
    <w:rsid w:val="00AD7650"/>
    <w:rsid w:val="00AE0F41"/>
    <w:rsid w:val="00AE132C"/>
    <w:rsid w:val="00AE1BC2"/>
    <w:rsid w:val="00AE2DD6"/>
    <w:rsid w:val="00AE3B7B"/>
    <w:rsid w:val="00AE4A80"/>
    <w:rsid w:val="00AE6B5F"/>
    <w:rsid w:val="00AE71A5"/>
    <w:rsid w:val="00AE7959"/>
    <w:rsid w:val="00AF1B47"/>
    <w:rsid w:val="00AF1D10"/>
    <w:rsid w:val="00AF2921"/>
    <w:rsid w:val="00AF3FFC"/>
    <w:rsid w:val="00AF440E"/>
    <w:rsid w:val="00AF4868"/>
    <w:rsid w:val="00AF67B0"/>
    <w:rsid w:val="00B00132"/>
    <w:rsid w:val="00B01A6B"/>
    <w:rsid w:val="00B01D34"/>
    <w:rsid w:val="00B02FF3"/>
    <w:rsid w:val="00B030B3"/>
    <w:rsid w:val="00B05273"/>
    <w:rsid w:val="00B05F83"/>
    <w:rsid w:val="00B064C6"/>
    <w:rsid w:val="00B115A2"/>
    <w:rsid w:val="00B12E62"/>
    <w:rsid w:val="00B13AC3"/>
    <w:rsid w:val="00B13B6B"/>
    <w:rsid w:val="00B15CA5"/>
    <w:rsid w:val="00B210F4"/>
    <w:rsid w:val="00B21270"/>
    <w:rsid w:val="00B233FA"/>
    <w:rsid w:val="00B248C0"/>
    <w:rsid w:val="00B279BF"/>
    <w:rsid w:val="00B31461"/>
    <w:rsid w:val="00B31649"/>
    <w:rsid w:val="00B3205C"/>
    <w:rsid w:val="00B33F89"/>
    <w:rsid w:val="00B344FD"/>
    <w:rsid w:val="00B34D24"/>
    <w:rsid w:val="00B3586B"/>
    <w:rsid w:val="00B36BD8"/>
    <w:rsid w:val="00B3706D"/>
    <w:rsid w:val="00B40005"/>
    <w:rsid w:val="00B407AE"/>
    <w:rsid w:val="00B40D63"/>
    <w:rsid w:val="00B4177C"/>
    <w:rsid w:val="00B42C45"/>
    <w:rsid w:val="00B43A28"/>
    <w:rsid w:val="00B43E2A"/>
    <w:rsid w:val="00B440EB"/>
    <w:rsid w:val="00B4622F"/>
    <w:rsid w:val="00B46272"/>
    <w:rsid w:val="00B467E0"/>
    <w:rsid w:val="00B51244"/>
    <w:rsid w:val="00B518E9"/>
    <w:rsid w:val="00B53589"/>
    <w:rsid w:val="00B55DAD"/>
    <w:rsid w:val="00B56443"/>
    <w:rsid w:val="00B568A2"/>
    <w:rsid w:val="00B57F53"/>
    <w:rsid w:val="00B6100E"/>
    <w:rsid w:val="00B612B6"/>
    <w:rsid w:val="00B636DC"/>
    <w:rsid w:val="00B639E5"/>
    <w:rsid w:val="00B67019"/>
    <w:rsid w:val="00B70819"/>
    <w:rsid w:val="00B75BCC"/>
    <w:rsid w:val="00B77735"/>
    <w:rsid w:val="00B81003"/>
    <w:rsid w:val="00B818D7"/>
    <w:rsid w:val="00B82008"/>
    <w:rsid w:val="00B85678"/>
    <w:rsid w:val="00B867DD"/>
    <w:rsid w:val="00B90EA0"/>
    <w:rsid w:val="00B91ACE"/>
    <w:rsid w:val="00B91BAA"/>
    <w:rsid w:val="00B91BC8"/>
    <w:rsid w:val="00B92538"/>
    <w:rsid w:val="00B92C39"/>
    <w:rsid w:val="00B9320E"/>
    <w:rsid w:val="00B93F58"/>
    <w:rsid w:val="00B952B5"/>
    <w:rsid w:val="00B95D89"/>
    <w:rsid w:val="00BA0CE8"/>
    <w:rsid w:val="00BA17E7"/>
    <w:rsid w:val="00BA19BE"/>
    <w:rsid w:val="00BA1DFD"/>
    <w:rsid w:val="00BA1F1D"/>
    <w:rsid w:val="00BA2A76"/>
    <w:rsid w:val="00BA374F"/>
    <w:rsid w:val="00BA4A46"/>
    <w:rsid w:val="00BA50DE"/>
    <w:rsid w:val="00BB48FA"/>
    <w:rsid w:val="00BB5312"/>
    <w:rsid w:val="00BC1B68"/>
    <w:rsid w:val="00BC3700"/>
    <w:rsid w:val="00BC37CC"/>
    <w:rsid w:val="00BC5ACA"/>
    <w:rsid w:val="00BC5ECE"/>
    <w:rsid w:val="00BC6314"/>
    <w:rsid w:val="00BC67A2"/>
    <w:rsid w:val="00BD0BA3"/>
    <w:rsid w:val="00BD26FC"/>
    <w:rsid w:val="00BD44B9"/>
    <w:rsid w:val="00BD49FC"/>
    <w:rsid w:val="00BD4A08"/>
    <w:rsid w:val="00BD75B3"/>
    <w:rsid w:val="00BD7ACB"/>
    <w:rsid w:val="00BE0BD4"/>
    <w:rsid w:val="00BE391B"/>
    <w:rsid w:val="00BE46AC"/>
    <w:rsid w:val="00BE52A8"/>
    <w:rsid w:val="00BE6263"/>
    <w:rsid w:val="00BE639D"/>
    <w:rsid w:val="00BE69AC"/>
    <w:rsid w:val="00BE75FE"/>
    <w:rsid w:val="00BF33B0"/>
    <w:rsid w:val="00BF59B2"/>
    <w:rsid w:val="00C00DC1"/>
    <w:rsid w:val="00C01514"/>
    <w:rsid w:val="00C05914"/>
    <w:rsid w:val="00C061E3"/>
    <w:rsid w:val="00C06240"/>
    <w:rsid w:val="00C07770"/>
    <w:rsid w:val="00C117C5"/>
    <w:rsid w:val="00C119C2"/>
    <w:rsid w:val="00C125D6"/>
    <w:rsid w:val="00C141DF"/>
    <w:rsid w:val="00C14967"/>
    <w:rsid w:val="00C14B25"/>
    <w:rsid w:val="00C15FEE"/>
    <w:rsid w:val="00C1627A"/>
    <w:rsid w:val="00C17198"/>
    <w:rsid w:val="00C1777A"/>
    <w:rsid w:val="00C20E15"/>
    <w:rsid w:val="00C222AC"/>
    <w:rsid w:val="00C244B7"/>
    <w:rsid w:val="00C24C12"/>
    <w:rsid w:val="00C252E8"/>
    <w:rsid w:val="00C26E47"/>
    <w:rsid w:val="00C3083F"/>
    <w:rsid w:val="00C31B7A"/>
    <w:rsid w:val="00C322A1"/>
    <w:rsid w:val="00C32E9F"/>
    <w:rsid w:val="00C33404"/>
    <w:rsid w:val="00C338CE"/>
    <w:rsid w:val="00C33BEE"/>
    <w:rsid w:val="00C34E14"/>
    <w:rsid w:val="00C364D6"/>
    <w:rsid w:val="00C4033E"/>
    <w:rsid w:val="00C40350"/>
    <w:rsid w:val="00C414E8"/>
    <w:rsid w:val="00C42CE4"/>
    <w:rsid w:val="00C42DF2"/>
    <w:rsid w:val="00C43619"/>
    <w:rsid w:val="00C43DAE"/>
    <w:rsid w:val="00C51A84"/>
    <w:rsid w:val="00C531DC"/>
    <w:rsid w:val="00C532F8"/>
    <w:rsid w:val="00C533FE"/>
    <w:rsid w:val="00C5376C"/>
    <w:rsid w:val="00C54162"/>
    <w:rsid w:val="00C544DB"/>
    <w:rsid w:val="00C54C55"/>
    <w:rsid w:val="00C61020"/>
    <w:rsid w:val="00C62631"/>
    <w:rsid w:val="00C63972"/>
    <w:rsid w:val="00C65241"/>
    <w:rsid w:val="00C66CB0"/>
    <w:rsid w:val="00C676E5"/>
    <w:rsid w:val="00C726F8"/>
    <w:rsid w:val="00C7661F"/>
    <w:rsid w:val="00C76787"/>
    <w:rsid w:val="00C772E3"/>
    <w:rsid w:val="00C80F6E"/>
    <w:rsid w:val="00C83A4F"/>
    <w:rsid w:val="00C84379"/>
    <w:rsid w:val="00C8621A"/>
    <w:rsid w:val="00C87641"/>
    <w:rsid w:val="00C92349"/>
    <w:rsid w:val="00C926AD"/>
    <w:rsid w:val="00C92826"/>
    <w:rsid w:val="00C92E5D"/>
    <w:rsid w:val="00C93453"/>
    <w:rsid w:val="00C974B5"/>
    <w:rsid w:val="00CA04DC"/>
    <w:rsid w:val="00CA0ADF"/>
    <w:rsid w:val="00CA4597"/>
    <w:rsid w:val="00CA5938"/>
    <w:rsid w:val="00CA5C45"/>
    <w:rsid w:val="00CA5DEE"/>
    <w:rsid w:val="00CA66DF"/>
    <w:rsid w:val="00CB1AB7"/>
    <w:rsid w:val="00CB3DBD"/>
    <w:rsid w:val="00CB47FB"/>
    <w:rsid w:val="00CB4D57"/>
    <w:rsid w:val="00CB57FE"/>
    <w:rsid w:val="00CB5B48"/>
    <w:rsid w:val="00CB7123"/>
    <w:rsid w:val="00CB73A3"/>
    <w:rsid w:val="00CB7F0D"/>
    <w:rsid w:val="00CC18B5"/>
    <w:rsid w:val="00CC1DAB"/>
    <w:rsid w:val="00CC1DF7"/>
    <w:rsid w:val="00CC20F1"/>
    <w:rsid w:val="00CC28C6"/>
    <w:rsid w:val="00CC4808"/>
    <w:rsid w:val="00CC4BC8"/>
    <w:rsid w:val="00CC7910"/>
    <w:rsid w:val="00CC7D66"/>
    <w:rsid w:val="00CD0055"/>
    <w:rsid w:val="00CD0400"/>
    <w:rsid w:val="00CD158C"/>
    <w:rsid w:val="00CD211F"/>
    <w:rsid w:val="00CD305B"/>
    <w:rsid w:val="00CD44A5"/>
    <w:rsid w:val="00CE0D2C"/>
    <w:rsid w:val="00CE1B8A"/>
    <w:rsid w:val="00CE4936"/>
    <w:rsid w:val="00CE6205"/>
    <w:rsid w:val="00CE7A1E"/>
    <w:rsid w:val="00CF112A"/>
    <w:rsid w:val="00CF27C4"/>
    <w:rsid w:val="00CF2A78"/>
    <w:rsid w:val="00D01326"/>
    <w:rsid w:val="00D0682E"/>
    <w:rsid w:val="00D06859"/>
    <w:rsid w:val="00D06F27"/>
    <w:rsid w:val="00D073F4"/>
    <w:rsid w:val="00D1102D"/>
    <w:rsid w:val="00D1272A"/>
    <w:rsid w:val="00D13DF0"/>
    <w:rsid w:val="00D143AC"/>
    <w:rsid w:val="00D14486"/>
    <w:rsid w:val="00D177BF"/>
    <w:rsid w:val="00D22884"/>
    <w:rsid w:val="00D244C9"/>
    <w:rsid w:val="00D24520"/>
    <w:rsid w:val="00D25BF8"/>
    <w:rsid w:val="00D262EA"/>
    <w:rsid w:val="00D31703"/>
    <w:rsid w:val="00D40AAD"/>
    <w:rsid w:val="00D47ACC"/>
    <w:rsid w:val="00D5064E"/>
    <w:rsid w:val="00D511DC"/>
    <w:rsid w:val="00D51FE7"/>
    <w:rsid w:val="00D54B01"/>
    <w:rsid w:val="00D57274"/>
    <w:rsid w:val="00D600F0"/>
    <w:rsid w:val="00D6034D"/>
    <w:rsid w:val="00D61332"/>
    <w:rsid w:val="00D61F8A"/>
    <w:rsid w:val="00D6239E"/>
    <w:rsid w:val="00D640D7"/>
    <w:rsid w:val="00D64A4B"/>
    <w:rsid w:val="00D66A48"/>
    <w:rsid w:val="00D70374"/>
    <w:rsid w:val="00D71175"/>
    <w:rsid w:val="00D7260B"/>
    <w:rsid w:val="00D729B1"/>
    <w:rsid w:val="00D730B5"/>
    <w:rsid w:val="00D73129"/>
    <w:rsid w:val="00D735FF"/>
    <w:rsid w:val="00D73A3C"/>
    <w:rsid w:val="00D7483C"/>
    <w:rsid w:val="00D74FD2"/>
    <w:rsid w:val="00D77CD3"/>
    <w:rsid w:val="00D813C5"/>
    <w:rsid w:val="00D83999"/>
    <w:rsid w:val="00D839BC"/>
    <w:rsid w:val="00D84ABE"/>
    <w:rsid w:val="00D84F60"/>
    <w:rsid w:val="00D868B4"/>
    <w:rsid w:val="00D87B35"/>
    <w:rsid w:val="00D9098B"/>
    <w:rsid w:val="00D91BC7"/>
    <w:rsid w:val="00D92690"/>
    <w:rsid w:val="00D9288B"/>
    <w:rsid w:val="00D93EA3"/>
    <w:rsid w:val="00D93EAB"/>
    <w:rsid w:val="00D9698B"/>
    <w:rsid w:val="00D97AD0"/>
    <w:rsid w:val="00DA1A33"/>
    <w:rsid w:val="00DA2373"/>
    <w:rsid w:val="00DA6C88"/>
    <w:rsid w:val="00DA6F20"/>
    <w:rsid w:val="00DB17ED"/>
    <w:rsid w:val="00DB4087"/>
    <w:rsid w:val="00DB4755"/>
    <w:rsid w:val="00DC00EF"/>
    <w:rsid w:val="00DC07A6"/>
    <w:rsid w:val="00DC22B8"/>
    <w:rsid w:val="00DC428F"/>
    <w:rsid w:val="00DC4E8E"/>
    <w:rsid w:val="00DD04B4"/>
    <w:rsid w:val="00DD083F"/>
    <w:rsid w:val="00DD16F2"/>
    <w:rsid w:val="00DD2866"/>
    <w:rsid w:val="00DD2CC9"/>
    <w:rsid w:val="00DD2EAD"/>
    <w:rsid w:val="00DD332A"/>
    <w:rsid w:val="00DD3E03"/>
    <w:rsid w:val="00DD536D"/>
    <w:rsid w:val="00DD6622"/>
    <w:rsid w:val="00DE0CE0"/>
    <w:rsid w:val="00DE0CFB"/>
    <w:rsid w:val="00DE1245"/>
    <w:rsid w:val="00DE16B2"/>
    <w:rsid w:val="00DE17F9"/>
    <w:rsid w:val="00DE33F9"/>
    <w:rsid w:val="00DE3A75"/>
    <w:rsid w:val="00DE4C92"/>
    <w:rsid w:val="00DE6050"/>
    <w:rsid w:val="00DE65EC"/>
    <w:rsid w:val="00DF5393"/>
    <w:rsid w:val="00DF54C2"/>
    <w:rsid w:val="00DF5787"/>
    <w:rsid w:val="00DF794F"/>
    <w:rsid w:val="00E02336"/>
    <w:rsid w:val="00E023AA"/>
    <w:rsid w:val="00E02DF9"/>
    <w:rsid w:val="00E038E1"/>
    <w:rsid w:val="00E12228"/>
    <w:rsid w:val="00E15852"/>
    <w:rsid w:val="00E1630A"/>
    <w:rsid w:val="00E165CA"/>
    <w:rsid w:val="00E20A4D"/>
    <w:rsid w:val="00E23208"/>
    <w:rsid w:val="00E23A7E"/>
    <w:rsid w:val="00E24A0D"/>
    <w:rsid w:val="00E24A15"/>
    <w:rsid w:val="00E24F4E"/>
    <w:rsid w:val="00E25699"/>
    <w:rsid w:val="00E2691B"/>
    <w:rsid w:val="00E275CC"/>
    <w:rsid w:val="00E3023E"/>
    <w:rsid w:val="00E320BF"/>
    <w:rsid w:val="00E3229C"/>
    <w:rsid w:val="00E325CC"/>
    <w:rsid w:val="00E32F40"/>
    <w:rsid w:val="00E34B78"/>
    <w:rsid w:val="00E35F2E"/>
    <w:rsid w:val="00E37029"/>
    <w:rsid w:val="00E42F1F"/>
    <w:rsid w:val="00E43705"/>
    <w:rsid w:val="00E45A6B"/>
    <w:rsid w:val="00E464E0"/>
    <w:rsid w:val="00E47301"/>
    <w:rsid w:val="00E51FE7"/>
    <w:rsid w:val="00E520C5"/>
    <w:rsid w:val="00E53E66"/>
    <w:rsid w:val="00E540E3"/>
    <w:rsid w:val="00E54235"/>
    <w:rsid w:val="00E54A99"/>
    <w:rsid w:val="00E60D4B"/>
    <w:rsid w:val="00E61488"/>
    <w:rsid w:val="00E6207F"/>
    <w:rsid w:val="00E62F37"/>
    <w:rsid w:val="00E63547"/>
    <w:rsid w:val="00E63814"/>
    <w:rsid w:val="00E63DD8"/>
    <w:rsid w:val="00E651B3"/>
    <w:rsid w:val="00E677E6"/>
    <w:rsid w:val="00E74A43"/>
    <w:rsid w:val="00E75A4E"/>
    <w:rsid w:val="00E80135"/>
    <w:rsid w:val="00E8056B"/>
    <w:rsid w:val="00E80729"/>
    <w:rsid w:val="00E80B8E"/>
    <w:rsid w:val="00E80CF1"/>
    <w:rsid w:val="00E91E84"/>
    <w:rsid w:val="00E92610"/>
    <w:rsid w:val="00E93F85"/>
    <w:rsid w:val="00E94FBD"/>
    <w:rsid w:val="00E96BDF"/>
    <w:rsid w:val="00EA1831"/>
    <w:rsid w:val="00EA1FD6"/>
    <w:rsid w:val="00EA2204"/>
    <w:rsid w:val="00EA3251"/>
    <w:rsid w:val="00EA3322"/>
    <w:rsid w:val="00EA339A"/>
    <w:rsid w:val="00EA3F83"/>
    <w:rsid w:val="00EA49BC"/>
    <w:rsid w:val="00EA6150"/>
    <w:rsid w:val="00EA65A4"/>
    <w:rsid w:val="00EA6D50"/>
    <w:rsid w:val="00EB0C47"/>
    <w:rsid w:val="00EB1A1E"/>
    <w:rsid w:val="00EB3E6E"/>
    <w:rsid w:val="00EB73AB"/>
    <w:rsid w:val="00EC042B"/>
    <w:rsid w:val="00EC4865"/>
    <w:rsid w:val="00EC4A38"/>
    <w:rsid w:val="00ED0C35"/>
    <w:rsid w:val="00ED185A"/>
    <w:rsid w:val="00ED19EB"/>
    <w:rsid w:val="00ED1D0D"/>
    <w:rsid w:val="00ED2995"/>
    <w:rsid w:val="00ED3974"/>
    <w:rsid w:val="00ED39AB"/>
    <w:rsid w:val="00ED480D"/>
    <w:rsid w:val="00EE02B2"/>
    <w:rsid w:val="00EE1FFF"/>
    <w:rsid w:val="00EE2127"/>
    <w:rsid w:val="00EE22F2"/>
    <w:rsid w:val="00EE4129"/>
    <w:rsid w:val="00EE49F2"/>
    <w:rsid w:val="00EE65C7"/>
    <w:rsid w:val="00EE7A46"/>
    <w:rsid w:val="00EF05B8"/>
    <w:rsid w:val="00EF081A"/>
    <w:rsid w:val="00EF5D75"/>
    <w:rsid w:val="00EF5F37"/>
    <w:rsid w:val="00F020D5"/>
    <w:rsid w:val="00F03AB9"/>
    <w:rsid w:val="00F04185"/>
    <w:rsid w:val="00F04548"/>
    <w:rsid w:val="00F0582A"/>
    <w:rsid w:val="00F0794C"/>
    <w:rsid w:val="00F16C2D"/>
    <w:rsid w:val="00F17E6F"/>
    <w:rsid w:val="00F2072F"/>
    <w:rsid w:val="00F21CE8"/>
    <w:rsid w:val="00F2228A"/>
    <w:rsid w:val="00F22299"/>
    <w:rsid w:val="00F23E65"/>
    <w:rsid w:val="00F24FD9"/>
    <w:rsid w:val="00F25484"/>
    <w:rsid w:val="00F254C0"/>
    <w:rsid w:val="00F26132"/>
    <w:rsid w:val="00F3280A"/>
    <w:rsid w:val="00F3294F"/>
    <w:rsid w:val="00F32DC1"/>
    <w:rsid w:val="00F33008"/>
    <w:rsid w:val="00F33089"/>
    <w:rsid w:val="00F33FD1"/>
    <w:rsid w:val="00F35870"/>
    <w:rsid w:val="00F4251D"/>
    <w:rsid w:val="00F4543E"/>
    <w:rsid w:val="00F45CDC"/>
    <w:rsid w:val="00F47A00"/>
    <w:rsid w:val="00F50495"/>
    <w:rsid w:val="00F51B8C"/>
    <w:rsid w:val="00F52310"/>
    <w:rsid w:val="00F5399F"/>
    <w:rsid w:val="00F56FD2"/>
    <w:rsid w:val="00F63F4C"/>
    <w:rsid w:val="00F653E3"/>
    <w:rsid w:val="00F66724"/>
    <w:rsid w:val="00F70531"/>
    <w:rsid w:val="00F73ACC"/>
    <w:rsid w:val="00F74527"/>
    <w:rsid w:val="00F77C9D"/>
    <w:rsid w:val="00F811F7"/>
    <w:rsid w:val="00F81EED"/>
    <w:rsid w:val="00F84D4F"/>
    <w:rsid w:val="00F85E0E"/>
    <w:rsid w:val="00F92700"/>
    <w:rsid w:val="00F9456D"/>
    <w:rsid w:val="00F946DC"/>
    <w:rsid w:val="00F94D52"/>
    <w:rsid w:val="00F96568"/>
    <w:rsid w:val="00F971D6"/>
    <w:rsid w:val="00F97FDE"/>
    <w:rsid w:val="00FA1D75"/>
    <w:rsid w:val="00FA2450"/>
    <w:rsid w:val="00FA2486"/>
    <w:rsid w:val="00FA321F"/>
    <w:rsid w:val="00FA35A1"/>
    <w:rsid w:val="00FA6560"/>
    <w:rsid w:val="00FA6CB0"/>
    <w:rsid w:val="00FB4ED8"/>
    <w:rsid w:val="00FB5CCE"/>
    <w:rsid w:val="00FB7B56"/>
    <w:rsid w:val="00FC027F"/>
    <w:rsid w:val="00FC1291"/>
    <w:rsid w:val="00FC1708"/>
    <w:rsid w:val="00FC2E35"/>
    <w:rsid w:val="00FC3859"/>
    <w:rsid w:val="00FC54E7"/>
    <w:rsid w:val="00FC5FF8"/>
    <w:rsid w:val="00FC7369"/>
    <w:rsid w:val="00FD016B"/>
    <w:rsid w:val="00FD3FFC"/>
    <w:rsid w:val="00FD4927"/>
    <w:rsid w:val="00FD4E53"/>
    <w:rsid w:val="00FD7129"/>
    <w:rsid w:val="00FD74A6"/>
    <w:rsid w:val="00FE3DE2"/>
    <w:rsid w:val="00FE6FC6"/>
    <w:rsid w:val="00FE75E5"/>
    <w:rsid w:val="00FE7C8F"/>
    <w:rsid w:val="00FF0E35"/>
    <w:rsid w:val="00FF10B9"/>
    <w:rsid w:val="00FF4934"/>
    <w:rsid w:val="00FF4F15"/>
    <w:rsid w:val="00FF66DB"/>
    <w:rsid w:val="00FF78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21127674">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 w:id="2080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tc.gov.au/filemedia/Groups/PBSmapsportal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F15C-1C00-475F-B3D3-E1019315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8942</Words>
  <Characters>50357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59181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dc:creator>
  <cp:lastModifiedBy>harbers</cp:lastModifiedBy>
  <cp:revision>8</cp:revision>
  <cp:lastPrinted>2014-04-09T22:31:00Z</cp:lastPrinted>
  <dcterms:created xsi:type="dcterms:W3CDTF">2014-04-09T02:20:00Z</dcterms:created>
  <dcterms:modified xsi:type="dcterms:W3CDTF">2014-04-10T00:12:00Z</dcterms:modified>
</cp:coreProperties>
</file>