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3A745E" w:rsidTr="000156D1">
        <w:trPr>
          <w:trHeight w:val="756"/>
        </w:trPr>
        <w:tc>
          <w:tcPr>
            <w:tcW w:w="2660" w:type="dxa"/>
            <w:vAlign w:val="center"/>
          </w:tcPr>
          <w:p w:rsidR="00D735FF" w:rsidRPr="003A745E" w:rsidRDefault="00D735FF" w:rsidP="008579D7">
            <w:pPr>
              <w:pStyle w:val="Header"/>
              <w:rPr>
                <w:rFonts w:asciiTheme="minorHAnsi" w:hAnsiTheme="minorHAnsi" w:cs="Arial"/>
                <w:b/>
                <w:sz w:val="28"/>
              </w:rPr>
            </w:pPr>
            <w:r w:rsidRPr="003A745E">
              <w:rPr>
                <w:rFonts w:asciiTheme="minorHAnsi" w:hAnsiTheme="minorHAnsi" w:cs="Arial"/>
                <w:b/>
                <w:sz w:val="28"/>
              </w:rPr>
              <w:t>Submission to:</w:t>
            </w:r>
          </w:p>
        </w:tc>
        <w:tc>
          <w:tcPr>
            <w:tcW w:w="6379" w:type="dxa"/>
            <w:vAlign w:val="center"/>
          </w:tcPr>
          <w:p w:rsidR="00D735FF" w:rsidRPr="003A745E" w:rsidRDefault="00EA3322" w:rsidP="008579D7">
            <w:pPr>
              <w:pStyle w:val="Header"/>
              <w:rPr>
                <w:rFonts w:asciiTheme="minorHAnsi" w:hAnsiTheme="minorHAnsi" w:cs="Arial"/>
                <w:sz w:val="28"/>
              </w:rPr>
            </w:pPr>
            <w:r w:rsidRPr="003A745E">
              <w:rPr>
                <w:rFonts w:asciiTheme="minorHAnsi" w:hAnsiTheme="minorHAnsi" w:cs="Arial"/>
                <w:sz w:val="28"/>
              </w:rPr>
              <w:t>The</w:t>
            </w:r>
            <w:r w:rsidR="00A00DD8" w:rsidRPr="003A745E">
              <w:rPr>
                <w:rFonts w:asciiTheme="minorHAnsi" w:hAnsiTheme="minorHAnsi" w:cs="Arial"/>
                <w:sz w:val="28"/>
              </w:rPr>
              <w:t xml:space="preserve"> National Transport Commission</w:t>
            </w:r>
            <w:r w:rsidRPr="003A745E">
              <w:rPr>
                <w:rFonts w:asciiTheme="minorHAnsi" w:hAnsiTheme="minorHAnsi" w:cs="Arial"/>
                <w:sz w:val="28"/>
              </w:rPr>
              <w:t xml:space="preserve"> </w:t>
            </w:r>
          </w:p>
        </w:tc>
      </w:tr>
      <w:tr w:rsidR="00D735FF" w:rsidRPr="003A745E" w:rsidTr="000156D1">
        <w:trPr>
          <w:trHeight w:val="756"/>
        </w:trPr>
        <w:tc>
          <w:tcPr>
            <w:tcW w:w="2660" w:type="dxa"/>
            <w:vAlign w:val="center"/>
          </w:tcPr>
          <w:p w:rsidR="00D735FF" w:rsidRPr="003A745E" w:rsidRDefault="00D735FF" w:rsidP="008579D7">
            <w:pPr>
              <w:pStyle w:val="Header"/>
              <w:rPr>
                <w:rFonts w:asciiTheme="minorHAnsi" w:hAnsiTheme="minorHAnsi" w:cs="Arial"/>
                <w:b/>
                <w:sz w:val="28"/>
              </w:rPr>
            </w:pPr>
            <w:r w:rsidRPr="003A745E">
              <w:rPr>
                <w:rFonts w:asciiTheme="minorHAnsi" w:hAnsiTheme="minorHAnsi" w:cs="Arial"/>
                <w:b/>
                <w:sz w:val="28"/>
              </w:rPr>
              <w:t>Title:</w:t>
            </w:r>
          </w:p>
        </w:tc>
        <w:tc>
          <w:tcPr>
            <w:tcW w:w="6379" w:type="dxa"/>
            <w:vAlign w:val="center"/>
          </w:tcPr>
          <w:p w:rsidR="00D735FF" w:rsidRPr="003A745E" w:rsidRDefault="00D91D79" w:rsidP="00D91D79">
            <w:pPr>
              <w:pStyle w:val="Header"/>
              <w:rPr>
                <w:rFonts w:asciiTheme="minorHAnsi" w:hAnsiTheme="minorHAnsi" w:cs="Arial"/>
                <w:sz w:val="28"/>
              </w:rPr>
            </w:pPr>
            <w:r>
              <w:rPr>
                <w:rFonts w:asciiTheme="minorHAnsi" w:hAnsiTheme="minorHAnsi" w:cs="Arial"/>
                <w:sz w:val="28"/>
              </w:rPr>
              <w:t xml:space="preserve">Time Counting and Residual Fatigue Risk Internal Consultation Draft </w:t>
            </w:r>
          </w:p>
        </w:tc>
      </w:tr>
      <w:tr w:rsidR="00D735FF" w:rsidRPr="003A745E" w:rsidTr="000156D1">
        <w:trPr>
          <w:trHeight w:val="756"/>
        </w:trPr>
        <w:tc>
          <w:tcPr>
            <w:tcW w:w="2660" w:type="dxa"/>
            <w:vAlign w:val="center"/>
          </w:tcPr>
          <w:p w:rsidR="00D735FF" w:rsidRPr="003A745E" w:rsidRDefault="00D735FF" w:rsidP="008579D7">
            <w:pPr>
              <w:pStyle w:val="Header"/>
              <w:rPr>
                <w:rFonts w:asciiTheme="minorHAnsi" w:hAnsiTheme="minorHAnsi" w:cs="Arial"/>
                <w:b/>
                <w:sz w:val="28"/>
              </w:rPr>
            </w:pPr>
            <w:r w:rsidRPr="003A745E">
              <w:rPr>
                <w:rFonts w:asciiTheme="minorHAnsi" w:hAnsiTheme="minorHAnsi" w:cs="Arial"/>
                <w:b/>
                <w:sz w:val="28"/>
              </w:rPr>
              <w:t>Date:</w:t>
            </w:r>
          </w:p>
        </w:tc>
        <w:tc>
          <w:tcPr>
            <w:tcW w:w="6379" w:type="dxa"/>
            <w:vAlign w:val="center"/>
          </w:tcPr>
          <w:p w:rsidR="00D735FF" w:rsidRPr="003A745E" w:rsidRDefault="00D91D79" w:rsidP="00A87123">
            <w:pPr>
              <w:pStyle w:val="Header"/>
              <w:rPr>
                <w:rFonts w:asciiTheme="minorHAnsi" w:hAnsiTheme="minorHAnsi" w:cs="Arial"/>
                <w:sz w:val="28"/>
              </w:rPr>
            </w:pPr>
            <w:r>
              <w:rPr>
                <w:rFonts w:asciiTheme="minorHAnsi" w:hAnsiTheme="minorHAnsi" w:cs="Arial"/>
                <w:sz w:val="28"/>
              </w:rPr>
              <w:t xml:space="preserve">February 2014 </w:t>
            </w:r>
          </w:p>
        </w:tc>
      </w:tr>
    </w:tbl>
    <w:p w:rsidR="00D735FF" w:rsidRPr="003A745E" w:rsidRDefault="00D735FF" w:rsidP="008579D7">
      <w:pPr>
        <w:pStyle w:val="Header"/>
        <w:rPr>
          <w:rFonts w:asciiTheme="minorHAnsi" w:hAnsiTheme="minorHAnsi" w:cs="Arial"/>
        </w:rPr>
      </w:pPr>
    </w:p>
    <w:p w:rsidR="00D735FF" w:rsidRPr="003A745E" w:rsidRDefault="00D735FF" w:rsidP="008579D7">
      <w:pPr>
        <w:pStyle w:val="Header"/>
        <w:rPr>
          <w:rFonts w:asciiTheme="minorHAnsi" w:hAnsiTheme="minorHAnsi" w:cs="Arial"/>
        </w:rPr>
      </w:pPr>
    </w:p>
    <w:p w:rsidR="00576ED0" w:rsidRPr="003A745E" w:rsidRDefault="00576ED0" w:rsidP="008579D7">
      <w:pPr>
        <w:pStyle w:val="Header"/>
        <w:rPr>
          <w:rFonts w:asciiTheme="minorHAnsi" w:hAnsiTheme="minorHAnsi" w:cs="Arial"/>
        </w:rPr>
      </w:pPr>
    </w:p>
    <w:p w:rsidR="00576ED0" w:rsidRPr="003A745E" w:rsidRDefault="00576ED0" w:rsidP="008579D7">
      <w:pPr>
        <w:rPr>
          <w:rFonts w:asciiTheme="minorHAnsi" w:hAnsiTheme="minorHAnsi" w:cs="Arial"/>
        </w:rPr>
        <w:sectPr w:rsidR="00576ED0" w:rsidRPr="003A745E" w:rsidSect="005F5ACC">
          <w:headerReference w:type="even" r:id="rId8"/>
          <w:headerReference w:type="default" r:id="rId9"/>
          <w:footerReference w:type="default" r:id="rId10"/>
          <w:headerReference w:type="first" r:id="rId11"/>
          <w:footerReference w:type="first" r:id="rId12"/>
          <w:pgSz w:w="11906" w:h="16838"/>
          <w:pgMar w:top="5103" w:right="1133" w:bottom="1418" w:left="1134" w:header="851" w:footer="651" w:gutter="0"/>
          <w:cols w:space="708"/>
          <w:docGrid w:linePitch="360"/>
        </w:sectPr>
      </w:pPr>
    </w:p>
    <w:p w:rsidR="00576ED0" w:rsidRPr="003A745E" w:rsidRDefault="00576ED0" w:rsidP="008579D7">
      <w:pPr>
        <w:rPr>
          <w:rFonts w:asciiTheme="minorHAnsi" w:hAnsiTheme="minorHAnsi" w:cs="Arial"/>
        </w:rPr>
      </w:pPr>
    </w:p>
    <w:p w:rsidR="0035493A" w:rsidRPr="003A745E" w:rsidRDefault="0035493A" w:rsidP="008579D7">
      <w:pPr>
        <w:rPr>
          <w:rFonts w:asciiTheme="minorHAnsi" w:hAnsiTheme="minorHAnsi" w:cs="Arial"/>
        </w:rPr>
      </w:pPr>
    </w:p>
    <w:p w:rsidR="0035493A" w:rsidRPr="003A745E" w:rsidRDefault="0035493A" w:rsidP="008579D7">
      <w:pPr>
        <w:rPr>
          <w:rFonts w:asciiTheme="minorHAnsi" w:hAnsiTheme="minorHAnsi" w:cs="Arial"/>
        </w:rPr>
      </w:pPr>
    </w:p>
    <w:p w:rsidR="0035493A" w:rsidRPr="003A745E" w:rsidRDefault="0035493A" w:rsidP="008579D7">
      <w:pPr>
        <w:rPr>
          <w:rFonts w:asciiTheme="minorHAnsi" w:hAnsiTheme="minorHAnsi" w:cs="Arial"/>
        </w:rPr>
      </w:pPr>
    </w:p>
    <w:p w:rsidR="0035493A" w:rsidRPr="003A745E" w:rsidRDefault="0035493A" w:rsidP="008579D7">
      <w:pPr>
        <w:rPr>
          <w:rFonts w:asciiTheme="minorHAnsi" w:hAnsiTheme="minorHAnsi" w:cs="Arial"/>
        </w:rPr>
      </w:pPr>
    </w:p>
    <w:p w:rsidR="0035493A" w:rsidRPr="003A745E" w:rsidRDefault="003B74E4" w:rsidP="008579D7">
      <w:pPr>
        <w:rPr>
          <w:rFonts w:asciiTheme="minorHAnsi" w:hAnsiTheme="minorHAnsi" w:cs="Arial"/>
          <w:b/>
          <w:color w:val="000064"/>
        </w:rPr>
      </w:pPr>
      <w:r w:rsidRPr="003A745E">
        <w:rPr>
          <w:rFonts w:asciiTheme="minorHAnsi" w:hAnsiTheme="minorHAnsi" w:cs="Arial"/>
          <w:b/>
          <w:color w:val="000064"/>
          <w:sz w:val="28"/>
        </w:rPr>
        <w:t>Contents</w:t>
      </w:r>
    </w:p>
    <w:p w:rsidR="00576ED0" w:rsidRPr="003A745E" w:rsidRDefault="00576ED0" w:rsidP="008579D7">
      <w:pPr>
        <w:rPr>
          <w:rFonts w:asciiTheme="minorHAnsi" w:hAnsiTheme="minorHAnsi" w:cs="Arial"/>
        </w:rPr>
      </w:pPr>
    </w:p>
    <w:p w:rsidR="009B0520" w:rsidRPr="003A745E" w:rsidRDefault="009B0520" w:rsidP="008579D7">
      <w:pPr>
        <w:rPr>
          <w:rFonts w:asciiTheme="minorHAnsi" w:hAnsiTheme="minorHAnsi" w:cs="Arial"/>
        </w:rPr>
      </w:pPr>
    </w:p>
    <w:p w:rsidR="003A1320" w:rsidRDefault="00DF35E8">
      <w:pPr>
        <w:pStyle w:val="TOC1"/>
        <w:tabs>
          <w:tab w:val="left" w:pos="442"/>
        </w:tabs>
        <w:rPr>
          <w:rFonts w:asciiTheme="minorHAnsi" w:eastAsiaTheme="minorEastAsia" w:hAnsiTheme="minorHAnsi" w:cstheme="minorBidi"/>
          <w:b w:val="0"/>
          <w:sz w:val="22"/>
          <w:szCs w:val="22"/>
          <w:lang w:eastAsia="en-AU"/>
        </w:rPr>
      </w:pPr>
      <w:r w:rsidRPr="003A745E">
        <w:rPr>
          <w:rFonts w:asciiTheme="minorHAnsi" w:hAnsiTheme="minorHAnsi"/>
          <w:b w:val="0"/>
          <w:sz w:val="22"/>
          <w:szCs w:val="22"/>
        </w:rPr>
        <w:fldChar w:fldCharType="begin"/>
      </w:r>
      <w:r w:rsidR="00BD49FC" w:rsidRPr="003A745E">
        <w:rPr>
          <w:rFonts w:asciiTheme="minorHAnsi" w:hAnsiTheme="minorHAnsi"/>
          <w:b w:val="0"/>
          <w:sz w:val="22"/>
          <w:szCs w:val="22"/>
        </w:rPr>
        <w:instrText xml:space="preserve"> TOC \o "1-2" \t "ATA Heading 2,2" </w:instrText>
      </w:r>
      <w:r w:rsidRPr="003A745E">
        <w:rPr>
          <w:rFonts w:asciiTheme="minorHAnsi" w:hAnsiTheme="minorHAnsi"/>
          <w:b w:val="0"/>
          <w:sz w:val="22"/>
          <w:szCs w:val="22"/>
        </w:rPr>
        <w:fldChar w:fldCharType="separate"/>
      </w:r>
      <w:r w:rsidR="003A1320" w:rsidRPr="00FA4A87">
        <w:rPr>
          <w:rFonts w:asciiTheme="minorHAnsi" w:hAnsiTheme="minorHAnsi" w:cs="Times New Roman"/>
        </w:rPr>
        <w:t>1.</w:t>
      </w:r>
      <w:r w:rsidR="003A1320">
        <w:rPr>
          <w:rFonts w:asciiTheme="minorHAnsi" w:eastAsiaTheme="minorEastAsia" w:hAnsiTheme="minorHAnsi" w:cstheme="minorBidi"/>
          <w:b w:val="0"/>
          <w:sz w:val="22"/>
          <w:szCs w:val="22"/>
          <w:lang w:eastAsia="en-AU"/>
        </w:rPr>
        <w:tab/>
      </w:r>
      <w:r w:rsidR="003A1320" w:rsidRPr="00FA4A87">
        <w:rPr>
          <w:rFonts w:asciiTheme="minorHAnsi" w:hAnsiTheme="minorHAnsi"/>
        </w:rPr>
        <w:t>Introduction</w:t>
      </w:r>
      <w:r w:rsidR="003A1320">
        <w:tab/>
      </w:r>
      <w:r w:rsidR="003A1320">
        <w:fldChar w:fldCharType="begin"/>
      </w:r>
      <w:r w:rsidR="003A1320">
        <w:instrText xml:space="preserve"> PAGEREF _Toc381003244 \h </w:instrText>
      </w:r>
      <w:r w:rsidR="003A1320">
        <w:fldChar w:fldCharType="separate"/>
      </w:r>
      <w:r w:rsidR="003A1320">
        <w:t>3</w:t>
      </w:r>
      <w:r w:rsidR="003A1320">
        <w:fldChar w:fldCharType="end"/>
      </w:r>
    </w:p>
    <w:p w:rsidR="003A1320" w:rsidRDefault="003A1320">
      <w:pPr>
        <w:pStyle w:val="TOC1"/>
        <w:tabs>
          <w:tab w:val="left" w:pos="442"/>
        </w:tabs>
        <w:rPr>
          <w:rFonts w:asciiTheme="minorHAnsi" w:eastAsiaTheme="minorEastAsia" w:hAnsiTheme="minorHAnsi" w:cstheme="minorBidi"/>
          <w:b w:val="0"/>
          <w:sz w:val="22"/>
          <w:szCs w:val="22"/>
          <w:lang w:eastAsia="en-AU"/>
        </w:rPr>
      </w:pPr>
      <w:r w:rsidRPr="00FA4A87">
        <w:rPr>
          <w:rFonts w:asciiTheme="minorHAnsi" w:hAnsiTheme="minorHAnsi" w:cs="Times New Roman"/>
        </w:rPr>
        <w:t>2.</w:t>
      </w:r>
      <w:r>
        <w:rPr>
          <w:rFonts w:asciiTheme="minorHAnsi" w:eastAsiaTheme="minorEastAsia" w:hAnsiTheme="minorHAnsi" w:cstheme="minorBidi"/>
          <w:b w:val="0"/>
          <w:sz w:val="22"/>
          <w:szCs w:val="22"/>
          <w:lang w:eastAsia="en-AU"/>
        </w:rPr>
        <w:tab/>
      </w:r>
      <w:r w:rsidRPr="00FA4A87">
        <w:rPr>
          <w:rFonts w:asciiTheme="minorHAnsi" w:hAnsiTheme="minorHAnsi"/>
        </w:rPr>
        <w:t>Australian Trucking Association</w:t>
      </w:r>
      <w:r>
        <w:tab/>
      </w:r>
      <w:r>
        <w:fldChar w:fldCharType="begin"/>
      </w:r>
      <w:r>
        <w:instrText xml:space="preserve"> PAGEREF _Toc381003245 \h </w:instrText>
      </w:r>
      <w:r>
        <w:fldChar w:fldCharType="separate"/>
      </w:r>
      <w:r>
        <w:t>3</w:t>
      </w:r>
      <w:r>
        <w:fldChar w:fldCharType="end"/>
      </w:r>
    </w:p>
    <w:p w:rsidR="003A1320" w:rsidRDefault="003A1320">
      <w:pPr>
        <w:pStyle w:val="TOC1"/>
        <w:tabs>
          <w:tab w:val="left" w:pos="442"/>
        </w:tabs>
        <w:rPr>
          <w:rFonts w:asciiTheme="minorHAnsi" w:eastAsiaTheme="minorEastAsia" w:hAnsiTheme="minorHAnsi" w:cstheme="minorBidi"/>
          <w:b w:val="0"/>
          <w:sz w:val="22"/>
          <w:szCs w:val="22"/>
          <w:lang w:eastAsia="en-AU"/>
        </w:rPr>
      </w:pPr>
      <w:r w:rsidRPr="00FA4A87">
        <w:rPr>
          <w:rFonts w:asciiTheme="minorHAnsi" w:hAnsiTheme="minorHAnsi" w:cs="Times New Roman"/>
        </w:rPr>
        <w:t>3.</w:t>
      </w:r>
      <w:r>
        <w:rPr>
          <w:rFonts w:asciiTheme="minorHAnsi" w:eastAsiaTheme="minorEastAsia" w:hAnsiTheme="minorHAnsi" w:cstheme="minorBidi"/>
          <w:b w:val="0"/>
          <w:sz w:val="22"/>
          <w:szCs w:val="22"/>
          <w:lang w:eastAsia="en-AU"/>
        </w:rPr>
        <w:tab/>
      </w:r>
      <w:r w:rsidRPr="00FA4A87">
        <w:rPr>
          <w:rFonts w:asciiTheme="minorHAnsi" w:hAnsiTheme="minorHAnsi"/>
        </w:rPr>
        <w:t>Recommendations</w:t>
      </w:r>
      <w:r>
        <w:tab/>
      </w:r>
      <w:r>
        <w:fldChar w:fldCharType="begin"/>
      </w:r>
      <w:r>
        <w:instrText xml:space="preserve"> PAGEREF _Toc381003246 \h </w:instrText>
      </w:r>
      <w:r>
        <w:fldChar w:fldCharType="separate"/>
      </w:r>
      <w:r>
        <w:t>3</w:t>
      </w:r>
      <w:r>
        <w:fldChar w:fldCharType="end"/>
      </w:r>
    </w:p>
    <w:p w:rsidR="003A1320" w:rsidRDefault="003A1320">
      <w:pPr>
        <w:pStyle w:val="TOC1"/>
        <w:tabs>
          <w:tab w:val="left" w:pos="442"/>
        </w:tabs>
        <w:rPr>
          <w:rFonts w:asciiTheme="minorHAnsi" w:eastAsiaTheme="minorEastAsia" w:hAnsiTheme="minorHAnsi" w:cstheme="minorBidi"/>
          <w:b w:val="0"/>
          <w:sz w:val="22"/>
          <w:szCs w:val="22"/>
          <w:lang w:eastAsia="en-AU"/>
        </w:rPr>
      </w:pPr>
      <w:r w:rsidRPr="00FA4A87">
        <w:rPr>
          <w:rFonts w:asciiTheme="minorHAnsi" w:hAnsiTheme="minorHAnsi" w:cs="Times New Roman"/>
        </w:rPr>
        <w:t>4.</w:t>
      </w:r>
      <w:r>
        <w:rPr>
          <w:rFonts w:asciiTheme="minorHAnsi" w:eastAsiaTheme="minorEastAsia" w:hAnsiTheme="minorHAnsi" w:cstheme="minorBidi"/>
          <w:b w:val="0"/>
          <w:sz w:val="22"/>
          <w:szCs w:val="22"/>
          <w:lang w:eastAsia="en-AU"/>
        </w:rPr>
        <w:tab/>
      </w:r>
      <w:r w:rsidRPr="00FA4A87">
        <w:rPr>
          <w:rFonts w:asciiTheme="minorHAnsi" w:hAnsiTheme="minorHAnsi"/>
        </w:rPr>
        <w:t>Discussion of NTC’s Consultation Draft Paper</w:t>
      </w:r>
      <w:r>
        <w:tab/>
      </w:r>
      <w:r>
        <w:fldChar w:fldCharType="begin"/>
      </w:r>
      <w:r>
        <w:instrText xml:space="preserve"> PAGEREF _Toc381003247 \h </w:instrText>
      </w:r>
      <w:r>
        <w:fldChar w:fldCharType="separate"/>
      </w:r>
      <w:r>
        <w:t>3</w:t>
      </w:r>
      <w:r>
        <w:fldChar w:fldCharType="end"/>
      </w:r>
    </w:p>
    <w:p w:rsidR="003A1320" w:rsidRDefault="003A1320">
      <w:pPr>
        <w:pStyle w:val="TOC1"/>
        <w:tabs>
          <w:tab w:val="left" w:pos="660"/>
        </w:tabs>
        <w:rPr>
          <w:rFonts w:asciiTheme="minorHAnsi" w:eastAsiaTheme="minorEastAsia" w:hAnsiTheme="minorHAnsi" w:cstheme="minorBidi"/>
          <w:b w:val="0"/>
          <w:sz w:val="22"/>
          <w:szCs w:val="22"/>
          <w:lang w:eastAsia="en-AU"/>
        </w:rPr>
      </w:pPr>
      <w:r w:rsidRPr="00FA4A87">
        <w:rPr>
          <w:rFonts w:asciiTheme="minorHAnsi" w:hAnsiTheme="minorHAnsi"/>
        </w:rPr>
        <w:t>4.1</w:t>
      </w:r>
      <w:r>
        <w:rPr>
          <w:rFonts w:asciiTheme="minorHAnsi" w:eastAsiaTheme="minorEastAsia" w:hAnsiTheme="minorHAnsi" w:cstheme="minorBidi"/>
          <w:b w:val="0"/>
          <w:sz w:val="22"/>
          <w:szCs w:val="22"/>
          <w:lang w:eastAsia="en-AU"/>
        </w:rPr>
        <w:tab/>
      </w:r>
      <w:r w:rsidRPr="00FA4A87">
        <w:rPr>
          <w:rFonts w:asciiTheme="minorHAnsi" w:hAnsiTheme="minorHAnsi"/>
        </w:rPr>
        <w:t>Amendment to Heavy Vehicle National Law and Regulation</w:t>
      </w:r>
      <w:r>
        <w:tab/>
      </w:r>
      <w:r>
        <w:fldChar w:fldCharType="begin"/>
      </w:r>
      <w:r>
        <w:instrText xml:space="preserve"> PAGEREF _Toc381003248 \h </w:instrText>
      </w:r>
      <w:r>
        <w:fldChar w:fldCharType="separate"/>
      </w:r>
      <w:r>
        <w:t>3</w:t>
      </w:r>
      <w:r>
        <w:fldChar w:fldCharType="end"/>
      </w:r>
    </w:p>
    <w:p w:rsidR="003A1320" w:rsidRDefault="003A1320">
      <w:pPr>
        <w:pStyle w:val="TOC1"/>
        <w:tabs>
          <w:tab w:val="left" w:pos="660"/>
        </w:tabs>
        <w:rPr>
          <w:rFonts w:asciiTheme="minorHAnsi" w:eastAsiaTheme="minorEastAsia" w:hAnsiTheme="minorHAnsi" w:cstheme="minorBidi"/>
          <w:b w:val="0"/>
          <w:sz w:val="22"/>
          <w:szCs w:val="22"/>
          <w:lang w:eastAsia="en-AU"/>
        </w:rPr>
      </w:pPr>
      <w:r w:rsidRPr="00FA4A87">
        <w:rPr>
          <w:rFonts w:asciiTheme="minorHAnsi" w:hAnsiTheme="minorHAnsi"/>
        </w:rPr>
        <w:t>4.2</w:t>
      </w:r>
      <w:r>
        <w:rPr>
          <w:rFonts w:asciiTheme="minorHAnsi" w:eastAsiaTheme="minorEastAsia" w:hAnsiTheme="minorHAnsi" w:cstheme="minorBidi"/>
          <w:b w:val="0"/>
          <w:sz w:val="22"/>
          <w:szCs w:val="22"/>
          <w:lang w:eastAsia="en-AU"/>
        </w:rPr>
        <w:tab/>
      </w:r>
      <w:r w:rsidRPr="00FA4A87">
        <w:rPr>
          <w:rFonts w:asciiTheme="minorHAnsi" w:hAnsiTheme="minorHAnsi"/>
        </w:rPr>
        <w:t>Informed Policy Change proposals</w:t>
      </w:r>
      <w:r>
        <w:tab/>
      </w:r>
      <w:r>
        <w:fldChar w:fldCharType="begin"/>
      </w:r>
      <w:r>
        <w:instrText xml:space="preserve"> PAGEREF _Toc381003249 \h </w:instrText>
      </w:r>
      <w:r>
        <w:fldChar w:fldCharType="separate"/>
      </w:r>
      <w:r>
        <w:t>4</w:t>
      </w:r>
      <w:r>
        <w:fldChar w:fldCharType="end"/>
      </w:r>
    </w:p>
    <w:p w:rsidR="003A1320" w:rsidRDefault="003A1320">
      <w:pPr>
        <w:pStyle w:val="TOC1"/>
        <w:tabs>
          <w:tab w:val="left" w:pos="660"/>
        </w:tabs>
        <w:rPr>
          <w:rFonts w:asciiTheme="minorHAnsi" w:eastAsiaTheme="minorEastAsia" w:hAnsiTheme="minorHAnsi" w:cstheme="minorBidi"/>
          <w:b w:val="0"/>
          <w:sz w:val="22"/>
          <w:szCs w:val="22"/>
          <w:lang w:eastAsia="en-AU"/>
        </w:rPr>
      </w:pPr>
      <w:r w:rsidRPr="00FA4A87">
        <w:rPr>
          <w:rFonts w:asciiTheme="minorHAnsi" w:hAnsiTheme="minorHAnsi"/>
        </w:rPr>
        <w:t>4.3</w:t>
      </w:r>
      <w:r>
        <w:rPr>
          <w:rFonts w:asciiTheme="minorHAnsi" w:eastAsiaTheme="minorEastAsia" w:hAnsiTheme="minorHAnsi" w:cstheme="minorBidi"/>
          <w:b w:val="0"/>
          <w:sz w:val="22"/>
          <w:szCs w:val="22"/>
          <w:lang w:eastAsia="en-AU"/>
        </w:rPr>
        <w:tab/>
      </w:r>
      <w:r w:rsidRPr="00FA4A87">
        <w:rPr>
          <w:rFonts w:asciiTheme="minorHAnsi" w:hAnsiTheme="minorHAnsi"/>
        </w:rPr>
        <w:t>Proposal to review Standard Driving Hours</w:t>
      </w:r>
      <w:r>
        <w:tab/>
      </w:r>
      <w:r>
        <w:fldChar w:fldCharType="begin"/>
      </w:r>
      <w:r>
        <w:instrText xml:space="preserve"> PAGEREF _Toc381003250 \h </w:instrText>
      </w:r>
      <w:r>
        <w:fldChar w:fldCharType="separate"/>
      </w:r>
      <w:r>
        <w:t>5</w:t>
      </w:r>
      <w:r>
        <w:fldChar w:fldCharType="end"/>
      </w:r>
    </w:p>
    <w:p w:rsidR="003A1320" w:rsidRDefault="003A1320">
      <w:pPr>
        <w:pStyle w:val="TOC1"/>
        <w:tabs>
          <w:tab w:val="left" w:pos="442"/>
        </w:tabs>
        <w:rPr>
          <w:rFonts w:asciiTheme="minorHAnsi" w:eastAsiaTheme="minorEastAsia" w:hAnsiTheme="minorHAnsi" w:cstheme="minorBidi"/>
          <w:b w:val="0"/>
          <w:sz w:val="22"/>
          <w:szCs w:val="22"/>
          <w:lang w:eastAsia="en-AU"/>
        </w:rPr>
      </w:pPr>
      <w:r w:rsidRPr="00FA4A87">
        <w:rPr>
          <w:rFonts w:asciiTheme="minorHAnsi" w:hAnsiTheme="minorHAnsi" w:cs="Times New Roman"/>
        </w:rPr>
        <w:t>5.</w:t>
      </w:r>
      <w:r>
        <w:rPr>
          <w:rFonts w:asciiTheme="minorHAnsi" w:eastAsiaTheme="minorEastAsia" w:hAnsiTheme="minorHAnsi" w:cstheme="minorBidi"/>
          <w:b w:val="0"/>
          <w:sz w:val="22"/>
          <w:szCs w:val="22"/>
          <w:lang w:eastAsia="en-AU"/>
        </w:rPr>
        <w:tab/>
      </w:r>
      <w:r w:rsidRPr="00FA4A87">
        <w:rPr>
          <w:rFonts w:asciiTheme="minorHAnsi" w:hAnsiTheme="minorHAnsi"/>
        </w:rPr>
        <w:t>Technical comments on parts of NTC’s Paper</w:t>
      </w:r>
      <w:r>
        <w:tab/>
      </w:r>
      <w:r>
        <w:fldChar w:fldCharType="begin"/>
      </w:r>
      <w:r>
        <w:instrText xml:space="preserve"> PAGEREF _Toc381003251 \h </w:instrText>
      </w:r>
      <w:r>
        <w:fldChar w:fldCharType="separate"/>
      </w:r>
      <w:r>
        <w:t>6</w:t>
      </w:r>
      <w:r>
        <w:fldChar w:fldCharType="end"/>
      </w:r>
    </w:p>
    <w:p w:rsidR="003A1320" w:rsidRDefault="003A1320">
      <w:pPr>
        <w:pStyle w:val="TOC1"/>
        <w:tabs>
          <w:tab w:val="left" w:pos="442"/>
        </w:tabs>
        <w:rPr>
          <w:rFonts w:asciiTheme="minorHAnsi" w:eastAsiaTheme="minorEastAsia" w:hAnsiTheme="minorHAnsi" w:cstheme="minorBidi"/>
          <w:b w:val="0"/>
          <w:sz w:val="22"/>
          <w:szCs w:val="22"/>
          <w:lang w:eastAsia="en-AU"/>
        </w:rPr>
      </w:pPr>
      <w:r w:rsidRPr="00FA4A87">
        <w:rPr>
          <w:rFonts w:asciiTheme="minorHAnsi" w:hAnsiTheme="minorHAnsi" w:cs="Times New Roman"/>
        </w:rPr>
        <w:t>6.</w:t>
      </w:r>
      <w:r>
        <w:rPr>
          <w:rFonts w:asciiTheme="minorHAnsi" w:eastAsiaTheme="minorEastAsia" w:hAnsiTheme="minorHAnsi" w:cstheme="minorBidi"/>
          <w:b w:val="0"/>
          <w:sz w:val="22"/>
          <w:szCs w:val="22"/>
          <w:lang w:eastAsia="en-AU"/>
        </w:rPr>
        <w:tab/>
      </w:r>
      <w:r w:rsidRPr="00FA4A87">
        <w:rPr>
          <w:rFonts w:asciiTheme="minorHAnsi" w:hAnsiTheme="minorHAnsi"/>
        </w:rPr>
        <w:t>Conclusion</w:t>
      </w:r>
      <w:r>
        <w:tab/>
      </w:r>
      <w:r>
        <w:fldChar w:fldCharType="begin"/>
      </w:r>
      <w:r>
        <w:instrText xml:space="preserve"> PAGEREF _Toc381003252 \h </w:instrText>
      </w:r>
      <w:r>
        <w:fldChar w:fldCharType="separate"/>
      </w:r>
      <w:r>
        <w:t>7</w:t>
      </w:r>
      <w:r>
        <w:fldChar w:fldCharType="end"/>
      </w:r>
    </w:p>
    <w:p w:rsidR="00241C15" w:rsidRPr="003A745E" w:rsidRDefault="00DF35E8" w:rsidP="008579D7">
      <w:pPr>
        <w:tabs>
          <w:tab w:val="right" w:leader="dot" w:pos="9645"/>
        </w:tabs>
        <w:rPr>
          <w:rFonts w:asciiTheme="minorHAnsi" w:hAnsiTheme="minorHAnsi" w:cs="Arial"/>
        </w:rPr>
      </w:pPr>
      <w:r w:rsidRPr="003A745E">
        <w:rPr>
          <w:rFonts w:asciiTheme="minorHAnsi" w:hAnsiTheme="minorHAnsi" w:cs="Arial"/>
          <w:noProof/>
        </w:rPr>
        <w:fldChar w:fldCharType="end"/>
      </w:r>
    </w:p>
    <w:p w:rsidR="00576ED0" w:rsidRPr="003A745E" w:rsidRDefault="00576ED0" w:rsidP="008579D7">
      <w:pPr>
        <w:rPr>
          <w:rFonts w:asciiTheme="minorHAnsi" w:hAnsiTheme="minorHAnsi" w:cs="Arial"/>
        </w:rPr>
      </w:pPr>
      <w:r w:rsidRPr="003A745E">
        <w:rPr>
          <w:rFonts w:asciiTheme="minorHAnsi" w:hAnsiTheme="minorHAnsi" w:cs="Arial"/>
        </w:rPr>
        <w:br w:type="page"/>
      </w:r>
    </w:p>
    <w:p w:rsidR="00600132" w:rsidRPr="003A745E" w:rsidRDefault="00576ED0" w:rsidP="008579D7">
      <w:pPr>
        <w:pStyle w:val="Heading1"/>
        <w:rPr>
          <w:rFonts w:asciiTheme="minorHAnsi" w:hAnsiTheme="minorHAnsi"/>
          <w:szCs w:val="22"/>
        </w:rPr>
      </w:pPr>
      <w:bookmarkStart w:id="0" w:name="_Toc381003244"/>
      <w:r w:rsidRPr="003A745E">
        <w:rPr>
          <w:rFonts w:asciiTheme="minorHAnsi" w:hAnsiTheme="minorHAnsi"/>
          <w:szCs w:val="22"/>
        </w:rPr>
        <w:lastRenderedPageBreak/>
        <w:t>Introduction</w:t>
      </w:r>
      <w:bookmarkEnd w:id="0"/>
    </w:p>
    <w:p w:rsidR="00C322A1" w:rsidRPr="003A745E" w:rsidRDefault="00C322A1" w:rsidP="008579D7">
      <w:pPr>
        <w:rPr>
          <w:rFonts w:asciiTheme="minorHAnsi" w:eastAsia="Times New Roman" w:hAnsiTheme="minorHAnsi" w:cs="Arial"/>
          <w:bCs/>
        </w:rPr>
      </w:pPr>
    </w:p>
    <w:p w:rsidR="00050AC8" w:rsidRPr="003A745E" w:rsidRDefault="00EA5BA3" w:rsidP="008579D7">
      <w:pPr>
        <w:rPr>
          <w:rFonts w:asciiTheme="minorHAnsi" w:hAnsiTheme="minorHAnsi"/>
        </w:rPr>
      </w:pPr>
      <w:r w:rsidRPr="003A745E">
        <w:rPr>
          <w:rFonts w:asciiTheme="minorHAnsi" w:hAnsiTheme="minorHAnsi"/>
        </w:rPr>
        <w:t>The N</w:t>
      </w:r>
      <w:r w:rsidR="0005411A">
        <w:rPr>
          <w:rFonts w:asciiTheme="minorHAnsi" w:hAnsiTheme="minorHAnsi"/>
        </w:rPr>
        <w:t xml:space="preserve">ational </w:t>
      </w:r>
      <w:r w:rsidRPr="003A745E">
        <w:rPr>
          <w:rFonts w:asciiTheme="minorHAnsi" w:hAnsiTheme="minorHAnsi"/>
        </w:rPr>
        <w:t>T</w:t>
      </w:r>
      <w:r w:rsidR="0005411A">
        <w:rPr>
          <w:rFonts w:asciiTheme="minorHAnsi" w:hAnsiTheme="minorHAnsi"/>
        </w:rPr>
        <w:t xml:space="preserve">ransport </w:t>
      </w:r>
      <w:r w:rsidR="0005411A" w:rsidRPr="003A745E">
        <w:rPr>
          <w:rFonts w:asciiTheme="minorHAnsi" w:hAnsiTheme="minorHAnsi"/>
        </w:rPr>
        <w:t>C</w:t>
      </w:r>
      <w:r w:rsidR="0005411A">
        <w:rPr>
          <w:rFonts w:asciiTheme="minorHAnsi" w:hAnsiTheme="minorHAnsi"/>
        </w:rPr>
        <w:t>ommission (NTC)</w:t>
      </w:r>
      <w:r w:rsidRPr="003A745E">
        <w:rPr>
          <w:rFonts w:asciiTheme="minorHAnsi" w:hAnsiTheme="minorHAnsi"/>
        </w:rPr>
        <w:t xml:space="preserve"> continues to develop and maintain nationally consistent road, rail and intermo</w:t>
      </w:r>
      <w:r w:rsidR="008579D7">
        <w:rPr>
          <w:rFonts w:asciiTheme="minorHAnsi" w:hAnsiTheme="minorHAnsi"/>
        </w:rPr>
        <w:t>dal transport reform</w:t>
      </w:r>
      <w:r w:rsidR="003A1320">
        <w:rPr>
          <w:rFonts w:asciiTheme="minorHAnsi" w:hAnsiTheme="minorHAnsi"/>
        </w:rPr>
        <w:t>s</w:t>
      </w:r>
      <w:r w:rsidR="008579D7">
        <w:rPr>
          <w:rFonts w:asciiTheme="minorHAnsi" w:hAnsiTheme="minorHAnsi"/>
        </w:rPr>
        <w:t xml:space="preserve"> to improve</w:t>
      </w:r>
      <w:r w:rsidRPr="003A745E">
        <w:rPr>
          <w:rFonts w:asciiTheme="minorHAnsi" w:hAnsiTheme="minorHAnsi"/>
        </w:rPr>
        <w:t xml:space="preserve"> safety</w:t>
      </w:r>
      <w:r w:rsidR="00DF2149">
        <w:rPr>
          <w:rFonts w:asciiTheme="minorHAnsi" w:hAnsiTheme="minorHAnsi"/>
        </w:rPr>
        <w:t>,</w:t>
      </w:r>
      <w:r w:rsidRPr="003A745E">
        <w:rPr>
          <w:rFonts w:asciiTheme="minorHAnsi" w:hAnsiTheme="minorHAnsi"/>
        </w:rPr>
        <w:t xml:space="preserve"> productivity and environmental outcomes. </w:t>
      </w:r>
      <w:r w:rsidR="00D91D79">
        <w:rPr>
          <w:rFonts w:asciiTheme="minorHAnsi" w:hAnsiTheme="minorHAnsi"/>
        </w:rPr>
        <w:t>The NTC</w:t>
      </w:r>
      <w:r w:rsidR="003A1320">
        <w:rPr>
          <w:rFonts w:asciiTheme="minorHAnsi" w:hAnsiTheme="minorHAnsi"/>
        </w:rPr>
        <w:t xml:space="preserve"> currently</w:t>
      </w:r>
      <w:r w:rsidR="00D91D79">
        <w:rPr>
          <w:rFonts w:asciiTheme="minorHAnsi" w:hAnsiTheme="minorHAnsi"/>
        </w:rPr>
        <w:t xml:space="preserve"> seeks to clarify the fatigue time counting practices following </w:t>
      </w:r>
      <w:r w:rsidR="003A1320">
        <w:rPr>
          <w:rFonts w:asciiTheme="minorHAnsi" w:hAnsiTheme="minorHAnsi"/>
        </w:rPr>
        <w:t xml:space="preserve">industry </w:t>
      </w:r>
      <w:r w:rsidR="00D91D79">
        <w:rPr>
          <w:rFonts w:asciiTheme="minorHAnsi" w:hAnsiTheme="minorHAnsi"/>
        </w:rPr>
        <w:t>complaints about unfairness and in response to judgements in courts of authority. The ATA is resolute that intended time counting policy should be delivered.</w:t>
      </w:r>
      <w:r w:rsidRPr="003A745E">
        <w:rPr>
          <w:rFonts w:asciiTheme="minorHAnsi" w:hAnsiTheme="minorHAnsi"/>
        </w:rPr>
        <w:t xml:space="preserve"> </w:t>
      </w:r>
    </w:p>
    <w:p w:rsidR="00A42C3C" w:rsidRPr="003A745E" w:rsidRDefault="00A42C3C" w:rsidP="008579D7">
      <w:pPr>
        <w:rPr>
          <w:rFonts w:asciiTheme="minorHAnsi" w:hAnsiTheme="minorHAnsi"/>
        </w:rPr>
      </w:pPr>
    </w:p>
    <w:p w:rsidR="000D0932" w:rsidRPr="003A745E" w:rsidRDefault="00A42C3C" w:rsidP="00D91D79">
      <w:pPr>
        <w:rPr>
          <w:rFonts w:asciiTheme="minorHAnsi" w:hAnsiTheme="minorHAnsi"/>
        </w:rPr>
      </w:pPr>
      <w:r w:rsidRPr="003A745E">
        <w:rPr>
          <w:rFonts w:asciiTheme="minorHAnsi" w:hAnsiTheme="minorHAnsi"/>
        </w:rPr>
        <w:t>Th</w:t>
      </w:r>
      <w:r w:rsidR="00D91D79">
        <w:rPr>
          <w:rFonts w:asciiTheme="minorHAnsi" w:hAnsiTheme="minorHAnsi"/>
        </w:rPr>
        <w:t xml:space="preserve">e NTC has released a discussion paper </w:t>
      </w:r>
      <w:r w:rsidR="003A1320">
        <w:rPr>
          <w:rFonts w:asciiTheme="minorHAnsi" w:hAnsiTheme="minorHAnsi"/>
        </w:rPr>
        <w:t>for</w:t>
      </w:r>
      <w:r w:rsidR="00D91D79">
        <w:rPr>
          <w:rFonts w:asciiTheme="minorHAnsi" w:hAnsiTheme="minorHAnsi"/>
        </w:rPr>
        <w:t xml:space="preserve"> limited circulation</w:t>
      </w:r>
      <w:r w:rsidR="00DF2149">
        <w:rPr>
          <w:rFonts w:asciiTheme="minorHAnsi" w:hAnsiTheme="minorHAnsi"/>
        </w:rPr>
        <w:t>,</w:t>
      </w:r>
      <w:r w:rsidR="00D91D79">
        <w:rPr>
          <w:rFonts w:asciiTheme="minorHAnsi" w:hAnsiTheme="minorHAnsi"/>
        </w:rPr>
        <w:t xml:space="preserve"> as intended legislative actions are minor. They also propose a broader review of standard driving hours which the ATA believes is not warranted. </w:t>
      </w:r>
    </w:p>
    <w:p w:rsidR="00EA5BA3" w:rsidRPr="003A745E" w:rsidRDefault="00EA5BA3" w:rsidP="008579D7">
      <w:pPr>
        <w:rPr>
          <w:rFonts w:asciiTheme="minorHAnsi" w:hAnsiTheme="minorHAnsi"/>
          <w:b/>
        </w:rPr>
      </w:pPr>
    </w:p>
    <w:p w:rsidR="00576ED0" w:rsidRPr="003A745E" w:rsidRDefault="00576ED0" w:rsidP="008579D7">
      <w:pPr>
        <w:pStyle w:val="Heading1"/>
        <w:rPr>
          <w:rFonts w:asciiTheme="minorHAnsi" w:hAnsiTheme="minorHAnsi"/>
          <w:szCs w:val="22"/>
        </w:rPr>
      </w:pPr>
      <w:bookmarkStart w:id="1" w:name="_Toc381003245"/>
      <w:r w:rsidRPr="003A745E">
        <w:rPr>
          <w:rFonts w:asciiTheme="minorHAnsi" w:hAnsiTheme="minorHAnsi"/>
          <w:szCs w:val="22"/>
        </w:rPr>
        <w:t>Australian Trucking Association</w:t>
      </w:r>
      <w:bookmarkEnd w:id="1"/>
    </w:p>
    <w:p w:rsidR="004008C7" w:rsidRPr="003A745E" w:rsidRDefault="004008C7" w:rsidP="008579D7">
      <w:pPr>
        <w:pStyle w:val="BodyText2"/>
        <w:rPr>
          <w:rFonts w:asciiTheme="minorHAnsi" w:hAnsiTheme="minorHAnsi"/>
          <w:b w:val="0"/>
          <w:szCs w:val="22"/>
        </w:rPr>
      </w:pPr>
    </w:p>
    <w:p w:rsidR="00CC28C6" w:rsidRPr="003A745E" w:rsidRDefault="004008C7" w:rsidP="008579D7">
      <w:pPr>
        <w:pStyle w:val="BodyText2"/>
        <w:rPr>
          <w:rFonts w:asciiTheme="minorHAnsi" w:hAnsiTheme="minorHAnsi"/>
          <w:b w:val="0"/>
          <w:szCs w:val="22"/>
        </w:rPr>
      </w:pPr>
      <w:r w:rsidRPr="003A745E">
        <w:rPr>
          <w:rFonts w:asciiTheme="minorHAnsi" w:hAnsiTheme="minorHAnsi"/>
          <w:b w:val="0"/>
          <w:szCs w:val="22"/>
        </w:rPr>
        <w:t>The</w:t>
      </w:r>
      <w:r w:rsidR="001F7268" w:rsidRPr="003A745E">
        <w:rPr>
          <w:rFonts w:asciiTheme="minorHAnsi" w:hAnsiTheme="minorHAnsi"/>
          <w:b w:val="0"/>
          <w:szCs w:val="22"/>
        </w:rPr>
        <w:t xml:space="preserve"> ATA</w:t>
      </w:r>
      <w:r w:rsidRPr="003A745E">
        <w:rPr>
          <w:rFonts w:asciiTheme="minorHAnsi" w:hAnsiTheme="minorHAnsi"/>
          <w:b w:val="0"/>
          <w:szCs w:val="22"/>
        </w:rPr>
        <w:t xml:space="preserve"> is the peak body that represents the trucking industry. Its members include state and </w:t>
      </w:r>
      <w:r w:rsidR="002A243F" w:rsidRPr="003A745E">
        <w:rPr>
          <w:rFonts w:asciiTheme="minorHAnsi" w:hAnsiTheme="minorHAnsi"/>
          <w:b w:val="0"/>
          <w:szCs w:val="22"/>
        </w:rPr>
        <w:t>sector-</w:t>
      </w:r>
      <w:r w:rsidRPr="003A745E">
        <w:rPr>
          <w:rFonts w:asciiTheme="minorHAnsi" w:hAnsiTheme="minorHAnsi"/>
          <w:b w:val="0"/>
          <w:szCs w:val="22"/>
        </w:rPr>
        <w:t>based trucking associations, some of the nation’s largest transport companies, and businesses with leading expertise in truck technology.</w:t>
      </w:r>
      <w:r w:rsidR="00A047CA" w:rsidRPr="003A745E">
        <w:rPr>
          <w:rFonts w:asciiTheme="minorHAnsi" w:hAnsiTheme="minorHAnsi"/>
          <w:b w:val="0"/>
          <w:szCs w:val="22"/>
        </w:rPr>
        <w:t xml:space="preserve"> </w:t>
      </w:r>
    </w:p>
    <w:p w:rsidR="00B13AC3" w:rsidRPr="003A745E" w:rsidRDefault="00B13AC3" w:rsidP="008579D7">
      <w:pPr>
        <w:pStyle w:val="BodyText2"/>
        <w:rPr>
          <w:rFonts w:asciiTheme="minorHAnsi" w:hAnsiTheme="minorHAnsi"/>
          <w:b w:val="0"/>
          <w:szCs w:val="22"/>
        </w:rPr>
      </w:pPr>
    </w:p>
    <w:p w:rsidR="00A023EA" w:rsidRPr="003A745E" w:rsidRDefault="00A023EA" w:rsidP="008579D7">
      <w:pPr>
        <w:pStyle w:val="Heading1"/>
        <w:rPr>
          <w:rFonts w:asciiTheme="minorHAnsi" w:hAnsiTheme="minorHAnsi"/>
          <w:szCs w:val="22"/>
        </w:rPr>
      </w:pPr>
      <w:bookmarkStart w:id="2" w:name="_Toc381003246"/>
      <w:r w:rsidRPr="003A745E">
        <w:rPr>
          <w:rFonts w:asciiTheme="minorHAnsi" w:hAnsiTheme="minorHAnsi"/>
          <w:szCs w:val="22"/>
        </w:rPr>
        <w:t>Recommendation</w:t>
      </w:r>
      <w:r w:rsidR="00CB73A3" w:rsidRPr="003A745E">
        <w:rPr>
          <w:rFonts w:asciiTheme="minorHAnsi" w:hAnsiTheme="minorHAnsi"/>
          <w:szCs w:val="22"/>
        </w:rPr>
        <w:t>s</w:t>
      </w:r>
      <w:bookmarkEnd w:id="2"/>
    </w:p>
    <w:p w:rsidR="00E15852" w:rsidRPr="003A745E" w:rsidRDefault="00E15852" w:rsidP="008579D7">
      <w:pPr>
        <w:pStyle w:val="Heading1"/>
        <w:numPr>
          <w:ilvl w:val="0"/>
          <w:numId w:val="0"/>
        </w:numPr>
        <w:rPr>
          <w:rFonts w:asciiTheme="minorHAnsi" w:hAnsiTheme="minorHAnsi"/>
          <w:sz w:val="22"/>
          <w:szCs w:val="22"/>
        </w:rPr>
      </w:pPr>
    </w:p>
    <w:p w:rsidR="001A40FE" w:rsidRPr="003A745E" w:rsidRDefault="001A40FE" w:rsidP="008579D7">
      <w:pPr>
        <w:rPr>
          <w:rFonts w:asciiTheme="minorHAnsi" w:hAnsiTheme="minorHAnsi"/>
          <w:b/>
          <w:bCs/>
        </w:rPr>
      </w:pPr>
      <w:r w:rsidRPr="003A745E">
        <w:rPr>
          <w:rFonts w:asciiTheme="minorHAnsi" w:hAnsiTheme="minorHAnsi"/>
          <w:b/>
          <w:bCs/>
        </w:rPr>
        <w:t>Recommendation 1</w:t>
      </w:r>
    </w:p>
    <w:p w:rsidR="001A40FE" w:rsidRPr="003A745E" w:rsidRDefault="001A40FE" w:rsidP="008579D7">
      <w:pPr>
        <w:rPr>
          <w:rFonts w:asciiTheme="minorHAnsi" w:hAnsiTheme="minorHAnsi"/>
          <w:bCs/>
        </w:rPr>
      </w:pPr>
    </w:p>
    <w:p w:rsidR="001A40FE" w:rsidRPr="003A745E" w:rsidRDefault="00026099" w:rsidP="008579D7">
      <w:pPr>
        <w:rPr>
          <w:rFonts w:asciiTheme="minorHAnsi" w:hAnsiTheme="minorHAnsi"/>
          <w:bCs/>
        </w:rPr>
      </w:pPr>
      <w:r>
        <w:t>The ATA recommends t</w:t>
      </w:r>
      <w:r w:rsidR="00997D73">
        <w:t xml:space="preserve">hat the Heavy Vehicle National Law be amended to clarify that </w:t>
      </w:r>
      <w:r w:rsidR="00997D73" w:rsidRPr="001C0D57">
        <w:rPr>
          <w:rFonts w:cs="Arial"/>
        </w:rPr>
        <w:t xml:space="preserve">a </w:t>
      </w:r>
      <w:r w:rsidR="00997D73">
        <w:rPr>
          <w:rFonts w:cs="Arial"/>
        </w:rPr>
        <w:t>‘</w:t>
      </w:r>
      <w:r w:rsidR="00997D73" w:rsidRPr="001C0D57">
        <w:rPr>
          <w:rFonts w:cs="Arial"/>
        </w:rPr>
        <w:t xml:space="preserve">relevant </w:t>
      </w:r>
      <w:r w:rsidR="00997D73">
        <w:rPr>
          <w:rFonts w:cs="Arial"/>
        </w:rPr>
        <w:t xml:space="preserve">major </w:t>
      </w:r>
      <w:r w:rsidR="00997D73" w:rsidRPr="001C0D57">
        <w:rPr>
          <w:rFonts w:cs="Arial"/>
        </w:rPr>
        <w:t>rest break</w:t>
      </w:r>
      <w:r w:rsidR="00997D73">
        <w:rPr>
          <w:rFonts w:cs="Arial"/>
        </w:rPr>
        <w:t>’</w:t>
      </w:r>
      <w:r w:rsidR="00997D73" w:rsidRPr="001C0D57">
        <w:rPr>
          <w:rFonts w:cs="Arial"/>
        </w:rPr>
        <w:t xml:space="preserve"> means the longest</w:t>
      </w:r>
      <w:r w:rsidR="00997D73">
        <w:rPr>
          <w:rFonts w:cs="Arial"/>
        </w:rPr>
        <w:t xml:space="preserve"> continuous</w:t>
      </w:r>
      <w:r w:rsidR="00997D73" w:rsidRPr="001C0D57">
        <w:rPr>
          <w:rFonts w:cs="Arial"/>
        </w:rPr>
        <w:t xml:space="preserve"> rest break required in a </w:t>
      </w:r>
      <w:r w:rsidR="00997D73">
        <w:rPr>
          <w:rFonts w:cs="Arial"/>
        </w:rPr>
        <w:t>given</w:t>
      </w:r>
      <w:r w:rsidR="00997D73" w:rsidRPr="001C0D57">
        <w:rPr>
          <w:rFonts w:cs="Arial"/>
        </w:rPr>
        <w:t xml:space="preserve"> period for</w:t>
      </w:r>
      <w:r w:rsidR="00997D73">
        <w:rPr>
          <w:rFonts w:cs="Arial"/>
        </w:rPr>
        <w:t xml:space="preserve"> each work and rest hours module</w:t>
      </w:r>
      <w:r w:rsidR="00997D73" w:rsidRPr="001C0D57">
        <w:rPr>
          <w:rFonts w:cs="Arial"/>
        </w:rPr>
        <w:t>.</w:t>
      </w:r>
      <w:r w:rsidR="00997D73">
        <w:rPr>
          <w:rFonts w:cs="Arial"/>
        </w:rPr>
        <w:t xml:space="preserve"> This recommendation follows the NTC</w:t>
      </w:r>
      <w:r w:rsidR="00D96060">
        <w:rPr>
          <w:rFonts w:cs="Arial"/>
        </w:rPr>
        <w:t>’s</w:t>
      </w:r>
      <w:r w:rsidR="00997D73">
        <w:rPr>
          <w:rFonts w:cs="Arial"/>
        </w:rPr>
        <w:t xml:space="preserve"> recommendation</w:t>
      </w:r>
      <w:r w:rsidR="008579D7">
        <w:rPr>
          <w:rFonts w:asciiTheme="minorHAnsi" w:hAnsiTheme="minorHAnsi"/>
          <w:bCs/>
        </w:rPr>
        <w:t xml:space="preserve">. </w:t>
      </w:r>
      <w:r w:rsidR="001A40FE" w:rsidRPr="003A745E">
        <w:rPr>
          <w:rFonts w:asciiTheme="minorHAnsi" w:hAnsiTheme="minorHAnsi"/>
          <w:bCs/>
        </w:rPr>
        <w:t xml:space="preserve"> </w:t>
      </w:r>
    </w:p>
    <w:p w:rsidR="001A40FE" w:rsidRPr="003A745E" w:rsidRDefault="001A40FE" w:rsidP="008579D7">
      <w:pPr>
        <w:rPr>
          <w:rFonts w:asciiTheme="minorHAnsi" w:hAnsiTheme="minorHAnsi"/>
        </w:rPr>
      </w:pPr>
    </w:p>
    <w:p w:rsidR="006D20A7" w:rsidRPr="003A745E" w:rsidRDefault="006D20A7" w:rsidP="008579D7">
      <w:pPr>
        <w:rPr>
          <w:rFonts w:asciiTheme="minorHAnsi" w:hAnsiTheme="minorHAnsi"/>
          <w:b/>
          <w:bCs/>
        </w:rPr>
      </w:pPr>
      <w:r w:rsidRPr="003A745E">
        <w:rPr>
          <w:rFonts w:asciiTheme="minorHAnsi" w:hAnsiTheme="minorHAnsi"/>
          <w:b/>
          <w:bCs/>
        </w:rPr>
        <w:t>Recommendation 2</w:t>
      </w:r>
    </w:p>
    <w:p w:rsidR="006D20A7" w:rsidRPr="003A745E" w:rsidRDefault="006D20A7" w:rsidP="008579D7">
      <w:pPr>
        <w:rPr>
          <w:rFonts w:asciiTheme="minorHAnsi" w:hAnsiTheme="minorHAnsi"/>
          <w:b/>
          <w:bCs/>
        </w:rPr>
      </w:pPr>
    </w:p>
    <w:p w:rsidR="003A745E" w:rsidRPr="003A745E" w:rsidRDefault="00997D73" w:rsidP="008579D7">
      <w:pPr>
        <w:pStyle w:val="BodyText2"/>
        <w:rPr>
          <w:rFonts w:asciiTheme="minorHAnsi" w:hAnsiTheme="minorHAnsi"/>
          <w:b w:val="0"/>
          <w:szCs w:val="22"/>
        </w:rPr>
      </w:pPr>
      <w:r>
        <w:rPr>
          <w:rFonts w:asciiTheme="minorHAnsi" w:hAnsiTheme="minorHAnsi"/>
          <w:b w:val="0"/>
          <w:szCs w:val="22"/>
        </w:rPr>
        <w:t>T</w:t>
      </w:r>
      <w:r w:rsidR="00026099">
        <w:rPr>
          <w:rFonts w:asciiTheme="minorHAnsi" w:hAnsiTheme="minorHAnsi"/>
          <w:b w:val="0"/>
          <w:szCs w:val="22"/>
        </w:rPr>
        <w:t>he ATA recommends t</w:t>
      </w:r>
      <w:r w:rsidRPr="00997D73">
        <w:rPr>
          <w:rFonts w:asciiTheme="minorHAnsi" w:hAnsiTheme="minorHAnsi"/>
          <w:b w:val="0"/>
          <w:szCs w:val="22"/>
        </w:rPr>
        <w:t>hat the NTC and the NHVR collaborate with industry</w:t>
      </w:r>
      <w:r w:rsidR="00627BFF">
        <w:rPr>
          <w:rFonts w:asciiTheme="minorHAnsi" w:hAnsiTheme="minorHAnsi"/>
          <w:b w:val="0"/>
          <w:szCs w:val="22"/>
        </w:rPr>
        <w:t>, the insurance industry</w:t>
      </w:r>
      <w:r w:rsidRPr="00997D73">
        <w:rPr>
          <w:rFonts w:asciiTheme="minorHAnsi" w:hAnsiTheme="minorHAnsi"/>
          <w:b w:val="0"/>
          <w:szCs w:val="22"/>
        </w:rPr>
        <w:t xml:space="preserve"> and governments to develop a national framework to collect real life operational data to better inform future fatigue policy.</w:t>
      </w:r>
      <w:r w:rsidR="003A745E" w:rsidRPr="003A745E">
        <w:rPr>
          <w:rFonts w:asciiTheme="minorHAnsi" w:hAnsiTheme="minorHAnsi"/>
          <w:b w:val="0"/>
          <w:szCs w:val="22"/>
        </w:rPr>
        <w:t xml:space="preserve"> </w:t>
      </w:r>
      <w:r w:rsidRPr="00997D73">
        <w:rPr>
          <w:rFonts w:asciiTheme="minorHAnsi" w:hAnsiTheme="minorHAnsi"/>
          <w:b w:val="0"/>
          <w:szCs w:val="22"/>
        </w:rPr>
        <w:t>This recommendation follows the NTC</w:t>
      </w:r>
      <w:r w:rsidR="00D96060">
        <w:rPr>
          <w:rFonts w:asciiTheme="minorHAnsi" w:hAnsiTheme="minorHAnsi"/>
          <w:b w:val="0"/>
          <w:szCs w:val="22"/>
        </w:rPr>
        <w:t>’s</w:t>
      </w:r>
      <w:r w:rsidRPr="00997D73">
        <w:rPr>
          <w:rFonts w:asciiTheme="minorHAnsi" w:hAnsiTheme="minorHAnsi"/>
          <w:b w:val="0"/>
          <w:szCs w:val="22"/>
        </w:rPr>
        <w:t xml:space="preserve"> recommendation</w:t>
      </w:r>
      <w:r>
        <w:rPr>
          <w:rFonts w:asciiTheme="minorHAnsi" w:hAnsiTheme="minorHAnsi"/>
          <w:b w:val="0"/>
          <w:szCs w:val="22"/>
        </w:rPr>
        <w:t>.</w:t>
      </w:r>
    </w:p>
    <w:p w:rsidR="001A40FE" w:rsidRDefault="001A40FE" w:rsidP="008579D7">
      <w:pPr>
        <w:rPr>
          <w:rFonts w:asciiTheme="minorHAnsi" w:hAnsiTheme="minorHAnsi"/>
        </w:rPr>
      </w:pPr>
    </w:p>
    <w:p w:rsidR="00997D73" w:rsidRPr="00997D73" w:rsidRDefault="00997D73" w:rsidP="00997D73">
      <w:pPr>
        <w:rPr>
          <w:rFonts w:asciiTheme="minorHAnsi" w:hAnsiTheme="minorHAnsi"/>
          <w:b/>
          <w:bCs/>
        </w:rPr>
      </w:pPr>
      <w:r w:rsidRPr="00997D73">
        <w:rPr>
          <w:rFonts w:asciiTheme="minorHAnsi" w:hAnsiTheme="minorHAnsi"/>
          <w:b/>
          <w:bCs/>
        </w:rPr>
        <w:t xml:space="preserve">Recommendation </w:t>
      </w:r>
      <w:r>
        <w:rPr>
          <w:rFonts w:asciiTheme="minorHAnsi" w:hAnsiTheme="minorHAnsi"/>
          <w:b/>
          <w:bCs/>
        </w:rPr>
        <w:t>3</w:t>
      </w:r>
    </w:p>
    <w:p w:rsidR="008579D7" w:rsidRDefault="008579D7" w:rsidP="008579D7">
      <w:pPr>
        <w:rPr>
          <w:rFonts w:asciiTheme="minorHAnsi" w:hAnsiTheme="minorHAnsi"/>
        </w:rPr>
      </w:pPr>
    </w:p>
    <w:p w:rsidR="008579D7" w:rsidRDefault="009D30A4" w:rsidP="008579D7">
      <w:pPr>
        <w:rPr>
          <w:rFonts w:asciiTheme="minorHAnsi" w:hAnsiTheme="minorHAnsi"/>
        </w:rPr>
      </w:pPr>
      <w:r>
        <w:rPr>
          <w:rFonts w:cs="Arial"/>
        </w:rPr>
        <w:t>T</w:t>
      </w:r>
      <w:r w:rsidR="00026099">
        <w:rPr>
          <w:rFonts w:cs="Arial"/>
        </w:rPr>
        <w:t xml:space="preserve">he ATA </w:t>
      </w:r>
      <w:r w:rsidR="00997D73" w:rsidRPr="00997D73">
        <w:rPr>
          <w:rFonts w:cs="Arial"/>
          <w:u w:val="single"/>
        </w:rPr>
        <w:t>does not</w:t>
      </w:r>
      <w:r w:rsidR="00997D73">
        <w:rPr>
          <w:rFonts w:cs="Arial"/>
        </w:rPr>
        <w:t xml:space="preserve"> </w:t>
      </w:r>
      <w:r w:rsidR="00026099">
        <w:rPr>
          <w:rFonts w:cs="Arial"/>
        </w:rPr>
        <w:t>support the NTC conduct</w:t>
      </w:r>
      <w:r w:rsidR="00A41ED8">
        <w:rPr>
          <w:rFonts w:cs="Arial"/>
        </w:rPr>
        <w:t>ing</w:t>
      </w:r>
      <w:r w:rsidR="00026099">
        <w:rPr>
          <w:rFonts w:cs="Arial"/>
        </w:rPr>
        <w:t xml:space="preserve"> </w:t>
      </w:r>
      <w:r w:rsidR="00997D73">
        <w:rPr>
          <w:rFonts w:cs="Arial"/>
        </w:rPr>
        <w:t xml:space="preserve">a </w:t>
      </w:r>
      <w:r w:rsidR="00026099">
        <w:rPr>
          <w:rFonts w:cs="Arial"/>
        </w:rPr>
        <w:t xml:space="preserve">further </w:t>
      </w:r>
      <w:r w:rsidR="00997D73">
        <w:rPr>
          <w:rFonts w:cs="Arial"/>
        </w:rPr>
        <w:t xml:space="preserve">review of the Standard </w:t>
      </w:r>
      <w:r w:rsidR="00026099">
        <w:rPr>
          <w:rFonts w:cs="Arial"/>
        </w:rPr>
        <w:t xml:space="preserve">Driving </w:t>
      </w:r>
      <w:r w:rsidR="00997D73">
        <w:rPr>
          <w:rFonts w:cs="Arial"/>
        </w:rPr>
        <w:t>Hours module</w:t>
      </w:r>
      <w:r w:rsidR="00026099">
        <w:rPr>
          <w:rFonts w:cs="Arial"/>
        </w:rPr>
        <w:t xml:space="preserve"> in coming years</w:t>
      </w:r>
      <w:r w:rsidR="00997D73">
        <w:rPr>
          <w:rFonts w:cs="Arial"/>
        </w:rPr>
        <w:t xml:space="preserve">. </w:t>
      </w:r>
      <w:r w:rsidR="00026099" w:rsidRPr="00026099">
        <w:rPr>
          <w:rFonts w:cs="Arial"/>
        </w:rPr>
        <w:t xml:space="preserve">This recommendation </w:t>
      </w:r>
      <w:r w:rsidR="00D96060">
        <w:rPr>
          <w:rFonts w:cs="Arial"/>
        </w:rPr>
        <w:t xml:space="preserve">is contrary to </w:t>
      </w:r>
      <w:r w:rsidR="00026099" w:rsidRPr="00026099">
        <w:rPr>
          <w:rFonts w:cs="Arial"/>
        </w:rPr>
        <w:t>the NTC</w:t>
      </w:r>
      <w:r w:rsidR="00D96060">
        <w:rPr>
          <w:rFonts w:cs="Arial"/>
        </w:rPr>
        <w:t>’s</w:t>
      </w:r>
      <w:r w:rsidR="00026099" w:rsidRPr="00026099">
        <w:rPr>
          <w:rFonts w:cs="Arial"/>
        </w:rPr>
        <w:t xml:space="preserve"> recommendation</w:t>
      </w:r>
      <w:r w:rsidR="005A1BB4">
        <w:rPr>
          <w:rFonts w:cs="Arial"/>
        </w:rPr>
        <w:t>.</w:t>
      </w:r>
      <w:r w:rsidR="00026099" w:rsidRPr="00026099">
        <w:rPr>
          <w:rFonts w:cs="Arial"/>
        </w:rPr>
        <w:t xml:space="preserve"> </w:t>
      </w:r>
    </w:p>
    <w:p w:rsidR="008579D7" w:rsidRDefault="008579D7" w:rsidP="008579D7">
      <w:pPr>
        <w:rPr>
          <w:rFonts w:asciiTheme="minorHAnsi" w:hAnsiTheme="minorHAnsi"/>
        </w:rPr>
      </w:pPr>
    </w:p>
    <w:p w:rsidR="008579D7" w:rsidRPr="003A745E" w:rsidRDefault="008579D7" w:rsidP="008579D7">
      <w:pPr>
        <w:rPr>
          <w:rFonts w:asciiTheme="minorHAnsi" w:hAnsiTheme="minorHAnsi"/>
        </w:rPr>
      </w:pPr>
    </w:p>
    <w:p w:rsidR="00773733" w:rsidRPr="003A745E" w:rsidRDefault="00D96060" w:rsidP="008579D7">
      <w:pPr>
        <w:pStyle w:val="Heading1"/>
        <w:rPr>
          <w:rFonts w:asciiTheme="minorHAnsi" w:hAnsiTheme="minorHAnsi"/>
          <w:szCs w:val="22"/>
        </w:rPr>
      </w:pPr>
      <w:bookmarkStart w:id="3" w:name="_Toc381003247"/>
      <w:r>
        <w:rPr>
          <w:rFonts w:asciiTheme="minorHAnsi" w:hAnsiTheme="minorHAnsi"/>
          <w:szCs w:val="22"/>
        </w:rPr>
        <w:t xml:space="preserve">Discussion of NTC’s </w:t>
      </w:r>
      <w:r w:rsidR="003A1320">
        <w:rPr>
          <w:rFonts w:asciiTheme="minorHAnsi" w:hAnsiTheme="minorHAnsi"/>
          <w:szCs w:val="22"/>
        </w:rPr>
        <w:t xml:space="preserve">Consultation Draft </w:t>
      </w:r>
      <w:r>
        <w:rPr>
          <w:rFonts w:asciiTheme="minorHAnsi" w:hAnsiTheme="minorHAnsi"/>
          <w:szCs w:val="22"/>
        </w:rPr>
        <w:t>Paper</w:t>
      </w:r>
      <w:bookmarkEnd w:id="3"/>
    </w:p>
    <w:p w:rsidR="00773733" w:rsidRPr="003A745E" w:rsidRDefault="00773733" w:rsidP="008579D7">
      <w:pPr>
        <w:pStyle w:val="BodyText2"/>
        <w:rPr>
          <w:rFonts w:asciiTheme="minorHAnsi" w:hAnsiTheme="minorHAnsi"/>
          <w:b w:val="0"/>
          <w:szCs w:val="22"/>
        </w:rPr>
      </w:pPr>
    </w:p>
    <w:p w:rsidR="00C1140C" w:rsidRDefault="008579D7" w:rsidP="008579D7">
      <w:pPr>
        <w:pStyle w:val="BodyText2"/>
        <w:rPr>
          <w:rFonts w:asciiTheme="minorHAnsi" w:hAnsiTheme="minorHAnsi"/>
          <w:b w:val="0"/>
          <w:szCs w:val="22"/>
        </w:rPr>
      </w:pPr>
      <w:r>
        <w:rPr>
          <w:rFonts w:asciiTheme="minorHAnsi" w:hAnsiTheme="minorHAnsi"/>
          <w:b w:val="0"/>
          <w:szCs w:val="22"/>
        </w:rPr>
        <w:t>The NTC has</w:t>
      </w:r>
      <w:r w:rsidR="00C1140C" w:rsidRPr="003A745E">
        <w:rPr>
          <w:rFonts w:asciiTheme="minorHAnsi" w:hAnsiTheme="minorHAnsi"/>
          <w:b w:val="0"/>
          <w:szCs w:val="22"/>
        </w:rPr>
        <w:t xml:space="preserve"> </w:t>
      </w:r>
      <w:r w:rsidR="00D96060">
        <w:rPr>
          <w:rFonts w:asciiTheme="minorHAnsi" w:hAnsiTheme="minorHAnsi"/>
          <w:b w:val="0"/>
          <w:szCs w:val="22"/>
        </w:rPr>
        <w:t xml:space="preserve">provided a draft internal consultation paper </w:t>
      </w:r>
      <w:r w:rsidR="00C1140C" w:rsidRPr="003A745E">
        <w:rPr>
          <w:rFonts w:asciiTheme="minorHAnsi" w:hAnsiTheme="minorHAnsi"/>
          <w:b w:val="0"/>
          <w:szCs w:val="22"/>
        </w:rPr>
        <w:t xml:space="preserve">aimed </w:t>
      </w:r>
      <w:r w:rsidR="00D96060">
        <w:rPr>
          <w:rFonts w:asciiTheme="minorHAnsi" w:hAnsiTheme="minorHAnsi"/>
          <w:b w:val="0"/>
          <w:szCs w:val="22"/>
        </w:rPr>
        <w:t xml:space="preserve">at settling three recommendations to </w:t>
      </w:r>
      <w:r w:rsidR="00BB0559">
        <w:rPr>
          <w:rFonts w:asciiTheme="minorHAnsi" w:hAnsiTheme="minorHAnsi"/>
          <w:b w:val="0"/>
          <w:szCs w:val="22"/>
        </w:rPr>
        <w:t xml:space="preserve">the </w:t>
      </w:r>
      <w:r w:rsidR="00D96060">
        <w:rPr>
          <w:rFonts w:asciiTheme="minorHAnsi" w:hAnsiTheme="minorHAnsi"/>
          <w:b w:val="0"/>
          <w:szCs w:val="22"/>
        </w:rPr>
        <w:t>Trans</w:t>
      </w:r>
      <w:r w:rsidR="00BB0559">
        <w:rPr>
          <w:rFonts w:asciiTheme="minorHAnsi" w:hAnsiTheme="minorHAnsi"/>
          <w:b w:val="0"/>
          <w:szCs w:val="22"/>
        </w:rPr>
        <w:t xml:space="preserve">port and Infrastructure </w:t>
      </w:r>
      <w:r w:rsidR="003A1320">
        <w:rPr>
          <w:rFonts w:asciiTheme="minorHAnsi" w:hAnsiTheme="minorHAnsi"/>
          <w:b w:val="0"/>
          <w:szCs w:val="22"/>
        </w:rPr>
        <w:t xml:space="preserve">Council </w:t>
      </w:r>
      <w:r w:rsidR="00BB0559">
        <w:rPr>
          <w:rFonts w:asciiTheme="minorHAnsi" w:hAnsiTheme="minorHAnsi"/>
          <w:b w:val="0"/>
          <w:szCs w:val="22"/>
        </w:rPr>
        <w:t>(</w:t>
      </w:r>
      <w:r w:rsidR="003A1320">
        <w:rPr>
          <w:rFonts w:asciiTheme="minorHAnsi" w:hAnsiTheme="minorHAnsi"/>
          <w:b w:val="0"/>
          <w:szCs w:val="22"/>
        </w:rPr>
        <w:t>The Council</w:t>
      </w:r>
      <w:r w:rsidR="00BB0559">
        <w:rPr>
          <w:rFonts w:asciiTheme="minorHAnsi" w:hAnsiTheme="minorHAnsi"/>
          <w:b w:val="0"/>
          <w:szCs w:val="22"/>
        </w:rPr>
        <w:t>) m</w:t>
      </w:r>
      <w:r w:rsidR="00D96060">
        <w:rPr>
          <w:rFonts w:asciiTheme="minorHAnsi" w:hAnsiTheme="minorHAnsi"/>
          <w:b w:val="0"/>
          <w:szCs w:val="22"/>
        </w:rPr>
        <w:t xml:space="preserve">inisters. </w:t>
      </w:r>
      <w:r w:rsidR="005A1BB4">
        <w:rPr>
          <w:rFonts w:asciiTheme="minorHAnsi" w:hAnsiTheme="minorHAnsi"/>
          <w:b w:val="0"/>
          <w:szCs w:val="22"/>
        </w:rPr>
        <w:t>The first</w:t>
      </w:r>
      <w:r w:rsidR="00D96060">
        <w:rPr>
          <w:rFonts w:asciiTheme="minorHAnsi" w:hAnsiTheme="minorHAnsi"/>
          <w:b w:val="0"/>
          <w:szCs w:val="22"/>
        </w:rPr>
        <w:t xml:space="preserve"> </w:t>
      </w:r>
      <w:r w:rsidR="003A1320">
        <w:rPr>
          <w:rFonts w:asciiTheme="minorHAnsi" w:hAnsiTheme="minorHAnsi"/>
          <w:b w:val="0"/>
          <w:szCs w:val="22"/>
        </w:rPr>
        <w:t xml:space="preserve">recommendation </w:t>
      </w:r>
      <w:r w:rsidR="00D96060">
        <w:rPr>
          <w:rFonts w:asciiTheme="minorHAnsi" w:hAnsiTheme="minorHAnsi"/>
          <w:b w:val="0"/>
          <w:szCs w:val="22"/>
        </w:rPr>
        <w:t>respond</w:t>
      </w:r>
      <w:r w:rsidR="005A1BB4">
        <w:rPr>
          <w:rFonts w:asciiTheme="minorHAnsi" w:hAnsiTheme="minorHAnsi"/>
          <w:b w:val="0"/>
          <w:szCs w:val="22"/>
        </w:rPr>
        <w:t>s</w:t>
      </w:r>
      <w:r w:rsidR="00D96060">
        <w:rPr>
          <w:rFonts w:asciiTheme="minorHAnsi" w:hAnsiTheme="minorHAnsi"/>
          <w:b w:val="0"/>
          <w:szCs w:val="22"/>
        </w:rPr>
        <w:t xml:space="preserve"> to operational differences between agencies and associated concerns</w:t>
      </w:r>
      <w:r w:rsidR="00BB0559">
        <w:rPr>
          <w:rFonts w:asciiTheme="minorHAnsi" w:hAnsiTheme="minorHAnsi"/>
          <w:b w:val="0"/>
          <w:szCs w:val="22"/>
        </w:rPr>
        <w:t>,</w:t>
      </w:r>
      <w:r w:rsidR="00D96060">
        <w:rPr>
          <w:rFonts w:asciiTheme="minorHAnsi" w:hAnsiTheme="minorHAnsi"/>
          <w:b w:val="0"/>
          <w:szCs w:val="22"/>
        </w:rPr>
        <w:t xml:space="preserve"> </w:t>
      </w:r>
      <w:r w:rsidR="005A1BB4">
        <w:rPr>
          <w:rFonts w:asciiTheme="minorHAnsi" w:hAnsiTheme="minorHAnsi"/>
          <w:b w:val="0"/>
          <w:szCs w:val="22"/>
        </w:rPr>
        <w:t>while the second re</w:t>
      </w:r>
      <w:r w:rsidR="003A1320">
        <w:rPr>
          <w:rFonts w:asciiTheme="minorHAnsi" w:hAnsiTheme="minorHAnsi"/>
          <w:b w:val="0"/>
          <w:szCs w:val="22"/>
        </w:rPr>
        <w:t xml:space="preserve">lates to </w:t>
      </w:r>
      <w:r w:rsidR="00D96060">
        <w:rPr>
          <w:rFonts w:asciiTheme="minorHAnsi" w:hAnsiTheme="minorHAnsi"/>
          <w:b w:val="0"/>
          <w:szCs w:val="22"/>
        </w:rPr>
        <w:t xml:space="preserve">a decision in </w:t>
      </w:r>
      <w:r w:rsidR="00BB0559">
        <w:rPr>
          <w:rFonts w:asciiTheme="minorHAnsi" w:hAnsiTheme="minorHAnsi"/>
          <w:b w:val="0"/>
          <w:szCs w:val="22"/>
        </w:rPr>
        <w:t xml:space="preserve">the </w:t>
      </w:r>
      <w:r w:rsidR="00D96060">
        <w:rPr>
          <w:rFonts w:asciiTheme="minorHAnsi" w:hAnsiTheme="minorHAnsi"/>
          <w:b w:val="0"/>
          <w:szCs w:val="22"/>
        </w:rPr>
        <w:t>Court of Authority</w:t>
      </w:r>
      <w:r w:rsidR="00A41ED8">
        <w:rPr>
          <w:rFonts w:asciiTheme="minorHAnsi" w:hAnsiTheme="minorHAnsi"/>
          <w:b w:val="0"/>
          <w:szCs w:val="22"/>
        </w:rPr>
        <w:t xml:space="preserve"> about count</w:t>
      </w:r>
      <w:r w:rsidR="003E6D0C">
        <w:rPr>
          <w:rFonts w:asciiTheme="minorHAnsi" w:hAnsiTheme="minorHAnsi"/>
          <w:b w:val="0"/>
          <w:szCs w:val="22"/>
        </w:rPr>
        <w:t>ing</w:t>
      </w:r>
      <w:r w:rsidR="00A41ED8">
        <w:rPr>
          <w:rFonts w:asciiTheme="minorHAnsi" w:hAnsiTheme="minorHAnsi"/>
          <w:b w:val="0"/>
          <w:szCs w:val="22"/>
        </w:rPr>
        <w:t xml:space="preserve"> time</w:t>
      </w:r>
      <w:r w:rsidR="00D96060">
        <w:rPr>
          <w:rFonts w:asciiTheme="minorHAnsi" w:hAnsiTheme="minorHAnsi"/>
          <w:b w:val="0"/>
          <w:szCs w:val="22"/>
        </w:rPr>
        <w:t xml:space="preserve">. The third seeks to amend </w:t>
      </w:r>
      <w:r w:rsidR="00BB0559">
        <w:rPr>
          <w:rFonts w:asciiTheme="minorHAnsi" w:hAnsiTheme="minorHAnsi"/>
          <w:b w:val="0"/>
          <w:szCs w:val="22"/>
        </w:rPr>
        <w:t xml:space="preserve">the </w:t>
      </w:r>
      <w:r w:rsidR="003E6D0C">
        <w:rPr>
          <w:rFonts w:asciiTheme="minorHAnsi" w:hAnsiTheme="minorHAnsi"/>
          <w:b w:val="0"/>
          <w:szCs w:val="22"/>
        </w:rPr>
        <w:t xml:space="preserve">NTC’s </w:t>
      </w:r>
      <w:r w:rsidR="00BB0559">
        <w:rPr>
          <w:rFonts w:asciiTheme="minorHAnsi" w:hAnsiTheme="minorHAnsi"/>
          <w:b w:val="0"/>
          <w:szCs w:val="22"/>
        </w:rPr>
        <w:t>forward work plan</w:t>
      </w:r>
      <w:r w:rsidR="00A41ED8">
        <w:rPr>
          <w:rFonts w:asciiTheme="minorHAnsi" w:hAnsiTheme="minorHAnsi"/>
          <w:b w:val="0"/>
          <w:szCs w:val="22"/>
        </w:rPr>
        <w:t xml:space="preserve"> to include a review of standard driving hours</w:t>
      </w:r>
      <w:r w:rsidR="00D96060">
        <w:rPr>
          <w:rFonts w:asciiTheme="minorHAnsi" w:hAnsiTheme="minorHAnsi"/>
          <w:b w:val="0"/>
          <w:szCs w:val="22"/>
        </w:rPr>
        <w:t xml:space="preserve">. </w:t>
      </w:r>
    </w:p>
    <w:p w:rsidR="00F142B3" w:rsidRPr="003A745E" w:rsidRDefault="00F142B3" w:rsidP="008579D7">
      <w:pPr>
        <w:pStyle w:val="Heading1"/>
        <w:numPr>
          <w:ilvl w:val="0"/>
          <w:numId w:val="0"/>
        </w:numPr>
        <w:ind w:left="360"/>
        <w:rPr>
          <w:rFonts w:asciiTheme="minorHAnsi" w:hAnsiTheme="minorHAnsi"/>
          <w:sz w:val="22"/>
          <w:szCs w:val="22"/>
        </w:rPr>
      </w:pPr>
    </w:p>
    <w:p w:rsidR="00F142B3" w:rsidRPr="003A745E" w:rsidRDefault="00D96060" w:rsidP="008579D7">
      <w:pPr>
        <w:pStyle w:val="Heading1"/>
        <w:numPr>
          <w:ilvl w:val="1"/>
          <w:numId w:val="27"/>
        </w:numPr>
        <w:rPr>
          <w:rFonts w:asciiTheme="minorHAnsi" w:hAnsiTheme="minorHAnsi"/>
          <w:sz w:val="24"/>
          <w:szCs w:val="22"/>
        </w:rPr>
      </w:pPr>
      <w:bookmarkStart w:id="4" w:name="_Toc381003248"/>
      <w:r>
        <w:rPr>
          <w:rFonts w:asciiTheme="minorHAnsi" w:hAnsiTheme="minorHAnsi"/>
          <w:sz w:val="24"/>
          <w:szCs w:val="22"/>
        </w:rPr>
        <w:t xml:space="preserve">Amendment to </w:t>
      </w:r>
      <w:r w:rsidR="00F142B3" w:rsidRPr="003A745E">
        <w:rPr>
          <w:rFonts w:asciiTheme="minorHAnsi" w:hAnsiTheme="minorHAnsi"/>
          <w:sz w:val="24"/>
          <w:szCs w:val="22"/>
        </w:rPr>
        <w:t xml:space="preserve">Heavy Vehicle National </w:t>
      </w:r>
      <w:r>
        <w:rPr>
          <w:rFonts w:asciiTheme="minorHAnsi" w:hAnsiTheme="minorHAnsi"/>
          <w:sz w:val="24"/>
          <w:szCs w:val="22"/>
        </w:rPr>
        <w:t xml:space="preserve">Law and </w:t>
      </w:r>
      <w:r w:rsidR="00F142B3" w:rsidRPr="003A745E">
        <w:rPr>
          <w:rFonts w:asciiTheme="minorHAnsi" w:hAnsiTheme="minorHAnsi"/>
          <w:sz w:val="24"/>
          <w:szCs w:val="22"/>
        </w:rPr>
        <w:t>Regulation</w:t>
      </w:r>
      <w:bookmarkEnd w:id="4"/>
    </w:p>
    <w:p w:rsidR="00F142B3" w:rsidRPr="003A745E" w:rsidRDefault="00F142B3" w:rsidP="008579D7">
      <w:pPr>
        <w:pStyle w:val="BodyText2"/>
        <w:rPr>
          <w:rFonts w:asciiTheme="minorHAnsi" w:hAnsiTheme="minorHAnsi"/>
          <w:b w:val="0"/>
          <w:szCs w:val="22"/>
        </w:rPr>
      </w:pPr>
    </w:p>
    <w:p w:rsidR="00BB0559" w:rsidRDefault="003E6D0C" w:rsidP="003E6D0C">
      <w:pPr>
        <w:pStyle w:val="ListParagraph"/>
        <w:ind w:left="0"/>
        <w:contextualSpacing w:val="0"/>
        <w:rPr>
          <w:rFonts w:cs="Arial"/>
        </w:rPr>
      </w:pPr>
      <w:r>
        <w:rPr>
          <w:rFonts w:cs="Arial"/>
        </w:rPr>
        <w:t xml:space="preserve">The ATA agrees </w:t>
      </w:r>
      <w:r w:rsidR="005A1BB4">
        <w:rPr>
          <w:rFonts w:cs="Arial"/>
        </w:rPr>
        <w:t>that</w:t>
      </w:r>
      <w:r w:rsidR="00BB0559">
        <w:rPr>
          <w:rFonts w:cs="Arial"/>
        </w:rPr>
        <w:t xml:space="preserve"> </w:t>
      </w:r>
      <w:r>
        <w:rPr>
          <w:rFonts w:cs="Arial"/>
        </w:rPr>
        <w:t>t</w:t>
      </w:r>
      <w:r w:rsidRPr="008C497D">
        <w:rPr>
          <w:rFonts w:cs="Arial"/>
        </w:rPr>
        <w:t xml:space="preserve">he definitional question of what ‘relevant’ means in ‘relevant </w:t>
      </w:r>
      <w:r>
        <w:rPr>
          <w:rFonts w:cs="Arial"/>
        </w:rPr>
        <w:t xml:space="preserve">major </w:t>
      </w:r>
      <w:r w:rsidRPr="008C497D">
        <w:rPr>
          <w:rFonts w:cs="Arial"/>
        </w:rPr>
        <w:t xml:space="preserve">rest break’ </w:t>
      </w:r>
      <w:r>
        <w:rPr>
          <w:rFonts w:cs="Arial"/>
        </w:rPr>
        <w:t>in the He</w:t>
      </w:r>
      <w:r w:rsidR="00BB0559">
        <w:rPr>
          <w:rFonts w:cs="Arial"/>
        </w:rPr>
        <w:t>avy Vehicle National Law (HVNL)</w:t>
      </w:r>
      <w:r>
        <w:rPr>
          <w:rFonts w:cs="Arial"/>
        </w:rPr>
        <w:t xml:space="preserve"> </w:t>
      </w:r>
      <w:r w:rsidRPr="008C497D">
        <w:rPr>
          <w:rFonts w:cs="Arial"/>
        </w:rPr>
        <w:t xml:space="preserve">requires immediate resolution and clarification. This is answered in the work diary instructions but not </w:t>
      </w:r>
      <w:r w:rsidR="00BB0559">
        <w:rPr>
          <w:rFonts w:cs="Arial"/>
        </w:rPr>
        <w:t xml:space="preserve">in </w:t>
      </w:r>
      <w:r w:rsidRPr="008C497D">
        <w:rPr>
          <w:rFonts w:cs="Arial"/>
        </w:rPr>
        <w:t>the legislation itself.</w:t>
      </w:r>
      <w:r>
        <w:rPr>
          <w:rFonts w:cs="Arial"/>
        </w:rPr>
        <w:t xml:space="preserve"> </w:t>
      </w:r>
    </w:p>
    <w:p w:rsidR="00BB0559" w:rsidRDefault="003E6D0C" w:rsidP="003E6D0C">
      <w:pPr>
        <w:pStyle w:val="ListParagraph"/>
        <w:ind w:left="0"/>
        <w:contextualSpacing w:val="0"/>
        <w:rPr>
          <w:rFonts w:cs="Arial"/>
        </w:rPr>
      </w:pPr>
      <w:r>
        <w:rPr>
          <w:rFonts w:cs="Arial"/>
        </w:rPr>
        <w:lastRenderedPageBreak/>
        <w:t xml:space="preserve">‘Relevant’ should mean the longest continuous rest break required in a given period for each work and rest </w:t>
      </w:r>
      <w:proofErr w:type="gramStart"/>
      <w:r>
        <w:rPr>
          <w:rFonts w:cs="Arial"/>
        </w:rPr>
        <w:t>hours</w:t>
      </w:r>
      <w:proofErr w:type="gramEnd"/>
      <w:r>
        <w:rPr>
          <w:rFonts w:cs="Arial"/>
        </w:rPr>
        <w:t xml:space="preserve"> option, consistent with the New South Wales</w:t>
      </w:r>
      <w:r w:rsidRPr="00A774F5">
        <w:rPr>
          <w:rStyle w:val="apple-converted-space"/>
          <w:rFonts w:cs="Arial"/>
        </w:rPr>
        <w:t> </w:t>
      </w:r>
      <w:proofErr w:type="spellStart"/>
      <w:r w:rsidRPr="00CB16E4">
        <w:rPr>
          <w:rFonts w:cs="Arial"/>
          <w:i/>
          <w:iCs/>
        </w:rPr>
        <w:t>Trinci</w:t>
      </w:r>
      <w:proofErr w:type="spellEnd"/>
      <w:r>
        <w:rPr>
          <w:rFonts w:cs="Arial"/>
          <w:iCs/>
        </w:rPr>
        <w:t xml:space="preserve"> decision</w:t>
      </w:r>
      <w:r w:rsidR="003A1320">
        <w:rPr>
          <w:rStyle w:val="FootnoteReference"/>
        </w:rPr>
        <w:footnoteReference w:id="1"/>
      </w:r>
      <w:r w:rsidR="00BB0559">
        <w:rPr>
          <w:rFonts w:cs="Arial"/>
        </w:rPr>
        <w:t xml:space="preserve">. </w:t>
      </w:r>
      <w:r w:rsidR="006712C4">
        <w:rPr>
          <w:rFonts w:cs="Arial"/>
        </w:rPr>
        <w:t xml:space="preserve">In the </w:t>
      </w:r>
      <w:proofErr w:type="spellStart"/>
      <w:r w:rsidR="006712C4">
        <w:rPr>
          <w:rFonts w:cs="Arial"/>
        </w:rPr>
        <w:t>Trinci</w:t>
      </w:r>
      <w:proofErr w:type="spellEnd"/>
      <w:r w:rsidR="006712C4">
        <w:rPr>
          <w:rFonts w:cs="Arial"/>
        </w:rPr>
        <w:t xml:space="preserve"> decision</w:t>
      </w:r>
      <w:r>
        <w:rPr>
          <w:rFonts w:cs="Arial"/>
        </w:rPr>
        <w:t xml:space="preserve"> ‘relevant’ means</w:t>
      </w:r>
      <w:r w:rsidRPr="00CB16E4">
        <w:rPr>
          <w:rFonts w:cs="Arial"/>
        </w:rPr>
        <w:t xml:space="preserve"> </w:t>
      </w:r>
      <w:r w:rsidR="00BB0559" w:rsidRPr="00CB16E4">
        <w:rPr>
          <w:rFonts w:cs="Arial"/>
        </w:rPr>
        <w:t>applicable</w:t>
      </w:r>
      <w:r w:rsidRPr="00CB16E4">
        <w:rPr>
          <w:rFonts w:cs="Arial"/>
        </w:rPr>
        <w:t xml:space="preserve"> </w:t>
      </w:r>
      <w:r>
        <w:rPr>
          <w:rFonts w:cs="Arial"/>
        </w:rPr>
        <w:t>to the fatigue management module</w:t>
      </w:r>
      <w:r w:rsidRPr="00CB16E4">
        <w:rPr>
          <w:rFonts w:cs="Arial"/>
        </w:rPr>
        <w:t xml:space="preserve"> under which the driver is operating.</w:t>
      </w:r>
      <w:r>
        <w:rPr>
          <w:rFonts w:cs="Arial"/>
        </w:rPr>
        <w:t xml:space="preserve"> </w:t>
      </w:r>
    </w:p>
    <w:p w:rsidR="006712C4" w:rsidRDefault="003E6D0C" w:rsidP="003E6D0C">
      <w:pPr>
        <w:pStyle w:val="ListParagraph"/>
        <w:ind w:left="0"/>
        <w:contextualSpacing w:val="0"/>
        <w:rPr>
          <w:rFonts w:cs="Arial"/>
        </w:rPr>
      </w:pPr>
      <w:r>
        <w:rPr>
          <w:rFonts w:cs="Arial"/>
        </w:rPr>
        <w:t xml:space="preserve">For example, a driver using Standard Hours must have at least </w:t>
      </w:r>
      <w:r w:rsidR="00BB0559">
        <w:rPr>
          <w:rFonts w:cs="Arial"/>
        </w:rPr>
        <w:t>seven hours continuous rest in twenty-four</w:t>
      </w:r>
      <w:r>
        <w:rPr>
          <w:rFonts w:cs="Arial"/>
        </w:rPr>
        <w:t xml:space="preserve"> hours</w:t>
      </w:r>
      <w:r w:rsidR="00325DAF">
        <w:rPr>
          <w:rFonts w:cs="Arial"/>
        </w:rPr>
        <w:t>, and the relevant</w:t>
      </w:r>
      <w:r w:rsidR="00BB0559">
        <w:rPr>
          <w:rFonts w:cs="Arial"/>
        </w:rPr>
        <w:t xml:space="preserve"> twenty-four </w:t>
      </w:r>
      <w:r w:rsidR="00325DAF">
        <w:rPr>
          <w:rFonts w:cs="Arial"/>
        </w:rPr>
        <w:t>hour period for considering compliance begins from the end of last long rest break</w:t>
      </w:r>
      <w:r>
        <w:rPr>
          <w:rFonts w:cs="Arial"/>
        </w:rPr>
        <w:t xml:space="preserve">. </w:t>
      </w:r>
    </w:p>
    <w:p w:rsidR="003E6D0C" w:rsidRPr="00A14B5F" w:rsidRDefault="003E6D0C" w:rsidP="003E6D0C">
      <w:pPr>
        <w:pStyle w:val="ListParagraph"/>
        <w:ind w:left="0"/>
        <w:contextualSpacing w:val="0"/>
        <w:rPr>
          <w:rFonts w:cs="Arial"/>
        </w:rPr>
      </w:pPr>
      <w:r>
        <w:rPr>
          <w:rFonts w:cs="Arial"/>
        </w:rPr>
        <w:t xml:space="preserve">This </w:t>
      </w:r>
      <w:r w:rsidR="00325DAF">
        <w:rPr>
          <w:rFonts w:cs="Arial"/>
        </w:rPr>
        <w:t xml:space="preserve">policy </w:t>
      </w:r>
      <w:r>
        <w:rPr>
          <w:rFonts w:cs="Arial"/>
        </w:rPr>
        <w:t xml:space="preserve">position also builds upon </w:t>
      </w:r>
      <w:r w:rsidR="00BB0559">
        <w:rPr>
          <w:rFonts w:cs="Arial"/>
        </w:rPr>
        <w:t xml:space="preserve">the </w:t>
      </w:r>
      <w:r>
        <w:rPr>
          <w:rFonts w:cs="Arial"/>
        </w:rPr>
        <w:t>NTC’s 2007 advice to</w:t>
      </w:r>
      <w:r w:rsidR="00BB0559">
        <w:rPr>
          <w:rFonts w:cs="Arial"/>
        </w:rPr>
        <w:t xml:space="preserve"> the</w:t>
      </w:r>
      <w:r>
        <w:rPr>
          <w:rFonts w:cs="Arial"/>
        </w:rPr>
        <w:t xml:space="preserve"> ATA that ‘relevant’ would be commonly understood in the </w:t>
      </w:r>
      <w:r w:rsidR="00325DAF">
        <w:rPr>
          <w:rFonts w:cs="Arial"/>
        </w:rPr>
        <w:t xml:space="preserve">‘allowed </w:t>
      </w:r>
      <w:r>
        <w:rPr>
          <w:rFonts w:cs="Arial"/>
        </w:rPr>
        <w:t>hours</w:t>
      </w:r>
      <w:r w:rsidR="00325DAF">
        <w:rPr>
          <w:rFonts w:cs="Arial"/>
        </w:rPr>
        <w:t>’</w:t>
      </w:r>
      <w:r>
        <w:rPr>
          <w:rFonts w:cs="Arial"/>
        </w:rPr>
        <w:t xml:space="preserve"> tables and </w:t>
      </w:r>
      <w:r w:rsidR="00325DAF">
        <w:rPr>
          <w:rFonts w:cs="Arial"/>
        </w:rPr>
        <w:t xml:space="preserve">hence their view at the time </w:t>
      </w:r>
      <w:r>
        <w:rPr>
          <w:rFonts w:cs="Arial"/>
        </w:rPr>
        <w:t xml:space="preserve">the word did not need to be included. </w:t>
      </w:r>
      <w:r w:rsidR="00325DAF">
        <w:rPr>
          <w:rFonts w:cs="Arial"/>
        </w:rPr>
        <w:t>While the New South Wales</w:t>
      </w:r>
      <w:r w:rsidR="00325DAF" w:rsidRPr="00A774F5">
        <w:rPr>
          <w:rStyle w:val="apple-converted-space"/>
          <w:rFonts w:cs="Arial"/>
        </w:rPr>
        <w:t> </w:t>
      </w:r>
      <w:proofErr w:type="spellStart"/>
      <w:r w:rsidR="00325DAF" w:rsidRPr="00CB16E4">
        <w:rPr>
          <w:rFonts w:cs="Arial"/>
          <w:i/>
          <w:iCs/>
        </w:rPr>
        <w:t>Trinci</w:t>
      </w:r>
      <w:proofErr w:type="spellEnd"/>
      <w:r w:rsidR="00325DAF">
        <w:rPr>
          <w:rFonts w:cs="Arial"/>
          <w:iCs/>
        </w:rPr>
        <w:t xml:space="preserve"> decision reflected this view, the NTC has finally accepted the ATA position that the word relevant needs to be included. Further, the definition of what is a long rest </w:t>
      </w:r>
      <w:r w:rsidR="003A1320">
        <w:rPr>
          <w:rFonts w:cs="Arial"/>
          <w:iCs/>
        </w:rPr>
        <w:t xml:space="preserve">break </w:t>
      </w:r>
      <w:r w:rsidR="00325DAF">
        <w:rPr>
          <w:rFonts w:cs="Arial"/>
          <w:iCs/>
        </w:rPr>
        <w:t>must be the defined</w:t>
      </w:r>
      <w:r w:rsidR="00E12632">
        <w:rPr>
          <w:rFonts w:cs="Arial"/>
          <w:iCs/>
        </w:rPr>
        <w:t xml:space="preserve"> for each scheme</w:t>
      </w:r>
      <w:r w:rsidR="00325DAF">
        <w:rPr>
          <w:rFonts w:cs="Arial"/>
          <w:iCs/>
        </w:rPr>
        <w:t xml:space="preserve">, as the definition </w:t>
      </w:r>
      <w:r w:rsidR="00E12632">
        <w:rPr>
          <w:rFonts w:cs="Arial"/>
          <w:iCs/>
        </w:rPr>
        <w:t xml:space="preserve">differs </w:t>
      </w:r>
      <w:r w:rsidR="003A1320">
        <w:rPr>
          <w:rFonts w:cs="Arial"/>
          <w:iCs/>
        </w:rPr>
        <w:t>across</w:t>
      </w:r>
      <w:r w:rsidR="00325DAF">
        <w:rPr>
          <w:rFonts w:cs="Arial"/>
          <w:iCs/>
        </w:rPr>
        <w:t xml:space="preserve"> schemes. The ATA therefore supports the NTC</w:t>
      </w:r>
      <w:r w:rsidR="00E12632">
        <w:rPr>
          <w:rFonts w:cs="Arial"/>
          <w:iCs/>
        </w:rPr>
        <w:t>’</w:t>
      </w:r>
      <w:r w:rsidR="00325DAF">
        <w:rPr>
          <w:rFonts w:cs="Arial"/>
          <w:iCs/>
        </w:rPr>
        <w:t xml:space="preserve">s first recommendation. </w:t>
      </w:r>
    </w:p>
    <w:p w:rsidR="001A40FE" w:rsidRPr="003A745E" w:rsidRDefault="001A40FE" w:rsidP="008579D7">
      <w:pPr>
        <w:pStyle w:val="BodyText2"/>
        <w:rPr>
          <w:rFonts w:asciiTheme="minorHAnsi" w:hAnsiTheme="minorHAnsi"/>
          <w:szCs w:val="22"/>
        </w:rPr>
      </w:pPr>
      <w:r w:rsidRPr="003A745E">
        <w:rPr>
          <w:rFonts w:asciiTheme="minorHAnsi" w:hAnsiTheme="minorHAnsi"/>
          <w:szCs w:val="22"/>
        </w:rPr>
        <w:t>Recommendation 1</w:t>
      </w:r>
    </w:p>
    <w:p w:rsidR="001A40FE" w:rsidRPr="003A745E" w:rsidRDefault="001A40FE" w:rsidP="008579D7">
      <w:pPr>
        <w:pStyle w:val="BodyText2"/>
        <w:rPr>
          <w:rFonts w:asciiTheme="minorHAnsi" w:hAnsiTheme="minorHAnsi"/>
          <w:b w:val="0"/>
          <w:szCs w:val="22"/>
        </w:rPr>
      </w:pPr>
    </w:p>
    <w:p w:rsidR="00325DAF" w:rsidRPr="003A745E" w:rsidRDefault="00325DAF" w:rsidP="00325DAF">
      <w:pPr>
        <w:rPr>
          <w:rFonts w:asciiTheme="minorHAnsi" w:hAnsiTheme="minorHAnsi"/>
          <w:bCs/>
        </w:rPr>
      </w:pPr>
      <w:r>
        <w:t xml:space="preserve">The ATA recommends that the Heavy Vehicle National Law be amended to clarify that </w:t>
      </w:r>
      <w:r w:rsidRPr="001C0D57">
        <w:rPr>
          <w:rFonts w:cs="Arial"/>
        </w:rPr>
        <w:t xml:space="preserve">a </w:t>
      </w:r>
      <w:r>
        <w:rPr>
          <w:rFonts w:cs="Arial"/>
        </w:rPr>
        <w:t>‘</w:t>
      </w:r>
      <w:r w:rsidRPr="001C0D57">
        <w:rPr>
          <w:rFonts w:cs="Arial"/>
        </w:rPr>
        <w:t xml:space="preserve">relevant </w:t>
      </w:r>
      <w:r>
        <w:rPr>
          <w:rFonts w:cs="Arial"/>
        </w:rPr>
        <w:t xml:space="preserve">major </w:t>
      </w:r>
      <w:r w:rsidRPr="001C0D57">
        <w:rPr>
          <w:rFonts w:cs="Arial"/>
        </w:rPr>
        <w:t>rest break</w:t>
      </w:r>
      <w:r>
        <w:rPr>
          <w:rFonts w:cs="Arial"/>
        </w:rPr>
        <w:t>’</w:t>
      </w:r>
      <w:r w:rsidRPr="001C0D57">
        <w:rPr>
          <w:rFonts w:cs="Arial"/>
        </w:rPr>
        <w:t xml:space="preserve"> means the longest</w:t>
      </w:r>
      <w:r>
        <w:rPr>
          <w:rFonts w:cs="Arial"/>
        </w:rPr>
        <w:t xml:space="preserve"> continuous</w:t>
      </w:r>
      <w:r w:rsidRPr="001C0D57">
        <w:rPr>
          <w:rFonts w:cs="Arial"/>
        </w:rPr>
        <w:t xml:space="preserve"> rest break required in a </w:t>
      </w:r>
      <w:r>
        <w:rPr>
          <w:rFonts w:cs="Arial"/>
        </w:rPr>
        <w:t>given</w:t>
      </w:r>
      <w:r w:rsidRPr="001C0D57">
        <w:rPr>
          <w:rFonts w:cs="Arial"/>
        </w:rPr>
        <w:t xml:space="preserve"> period </w:t>
      </w:r>
      <w:r w:rsidR="003A1320">
        <w:rPr>
          <w:rFonts w:cs="Arial"/>
        </w:rPr>
        <w:t xml:space="preserve">for the appropriate </w:t>
      </w:r>
      <w:r>
        <w:rPr>
          <w:rFonts w:cs="Arial"/>
        </w:rPr>
        <w:t>work and rest hours module</w:t>
      </w:r>
      <w:r w:rsidRPr="001C0D57">
        <w:rPr>
          <w:rFonts w:cs="Arial"/>
        </w:rPr>
        <w:t>.</w:t>
      </w:r>
      <w:r>
        <w:rPr>
          <w:rFonts w:cs="Arial"/>
        </w:rPr>
        <w:t xml:space="preserve"> This recommendation follows the NTC’s recommendation</w:t>
      </w:r>
      <w:r>
        <w:rPr>
          <w:rFonts w:asciiTheme="minorHAnsi" w:hAnsiTheme="minorHAnsi"/>
          <w:bCs/>
        </w:rPr>
        <w:t xml:space="preserve">. </w:t>
      </w:r>
      <w:r w:rsidRPr="003A745E">
        <w:rPr>
          <w:rFonts w:asciiTheme="minorHAnsi" w:hAnsiTheme="minorHAnsi"/>
          <w:bCs/>
        </w:rPr>
        <w:t xml:space="preserve"> </w:t>
      </w:r>
    </w:p>
    <w:p w:rsidR="00D561D7" w:rsidRPr="003A745E" w:rsidRDefault="00D561D7" w:rsidP="008579D7">
      <w:pPr>
        <w:pStyle w:val="BodyText2"/>
        <w:rPr>
          <w:rFonts w:asciiTheme="minorHAnsi" w:hAnsiTheme="minorHAnsi"/>
          <w:b w:val="0"/>
          <w:szCs w:val="22"/>
        </w:rPr>
      </w:pPr>
    </w:p>
    <w:p w:rsidR="002B110C" w:rsidRPr="00E651A3" w:rsidRDefault="00325DAF" w:rsidP="008579D7">
      <w:pPr>
        <w:pStyle w:val="Heading1"/>
        <w:numPr>
          <w:ilvl w:val="1"/>
          <w:numId w:val="27"/>
        </w:numPr>
        <w:rPr>
          <w:rFonts w:asciiTheme="minorHAnsi" w:hAnsiTheme="minorHAnsi"/>
          <w:sz w:val="24"/>
          <w:szCs w:val="22"/>
        </w:rPr>
      </w:pPr>
      <w:bookmarkStart w:id="5" w:name="_Toc381003249"/>
      <w:r>
        <w:rPr>
          <w:rFonts w:asciiTheme="minorHAnsi" w:hAnsiTheme="minorHAnsi"/>
          <w:sz w:val="24"/>
          <w:szCs w:val="22"/>
        </w:rPr>
        <w:t xml:space="preserve">Informed </w:t>
      </w:r>
      <w:r w:rsidR="002B110C" w:rsidRPr="003A745E">
        <w:rPr>
          <w:rFonts w:asciiTheme="minorHAnsi" w:hAnsiTheme="minorHAnsi"/>
          <w:sz w:val="24"/>
          <w:szCs w:val="22"/>
        </w:rPr>
        <w:t>Policy Change</w:t>
      </w:r>
      <w:r>
        <w:rPr>
          <w:rFonts w:asciiTheme="minorHAnsi" w:hAnsiTheme="minorHAnsi"/>
          <w:sz w:val="24"/>
          <w:szCs w:val="22"/>
        </w:rPr>
        <w:t xml:space="preserve"> proposals</w:t>
      </w:r>
      <w:bookmarkEnd w:id="5"/>
    </w:p>
    <w:p w:rsidR="00325DAF" w:rsidRDefault="0098085A" w:rsidP="00325DAF">
      <w:pPr>
        <w:spacing w:before="200"/>
        <w:rPr>
          <w:rFonts w:cs="Arial"/>
        </w:rPr>
      </w:pPr>
      <w:r>
        <w:rPr>
          <w:rFonts w:cs="Arial"/>
        </w:rPr>
        <w:t>At the NTC’s stakeholder working group meetings m</w:t>
      </w:r>
      <w:r w:rsidR="00325DAF" w:rsidRPr="008B260B">
        <w:rPr>
          <w:rFonts w:cs="Arial"/>
        </w:rPr>
        <w:t xml:space="preserve">ost </w:t>
      </w:r>
      <w:r w:rsidR="00325DAF">
        <w:rPr>
          <w:rFonts w:cs="Arial"/>
        </w:rPr>
        <w:t xml:space="preserve">workshop </w:t>
      </w:r>
      <w:r w:rsidR="00325DAF" w:rsidRPr="008B260B">
        <w:rPr>
          <w:rFonts w:cs="Arial"/>
        </w:rPr>
        <w:t>participants agreed it would be premature to prepare an options paper f</w:t>
      </w:r>
      <w:r w:rsidR="00325DAF">
        <w:rPr>
          <w:rFonts w:cs="Arial"/>
        </w:rPr>
        <w:t>or public consultation</w:t>
      </w:r>
      <w:r w:rsidR="005A1BB4">
        <w:rPr>
          <w:rFonts w:cs="Arial"/>
        </w:rPr>
        <w:t>, as</w:t>
      </w:r>
      <w:r w:rsidR="00325DAF">
        <w:rPr>
          <w:rFonts w:cs="Arial"/>
        </w:rPr>
        <w:t xml:space="preserve"> there is not</w:t>
      </w:r>
      <w:r w:rsidR="00325DAF" w:rsidRPr="008B260B">
        <w:rPr>
          <w:rFonts w:cs="Arial"/>
        </w:rPr>
        <w:t xml:space="preserve"> a clear definition of ‘nose-to-tail</w:t>
      </w:r>
      <w:r w:rsidR="00325DAF">
        <w:rPr>
          <w:rFonts w:cs="Arial"/>
        </w:rPr>
        <w:t xml:space="preserve">’ </w:t>
      </w:r>
      <w:r w:rsidR="005A1BB4">
        <w:rPr>
          <w:rFonts w:cs="Arial"/>
        </w:rPr>
        <w:t xml:space="preserve">practice. There is also </w:t>
      </w:r>
      <w:r w:rsidR="00325DAF">
        <w:rPr>
          <w:rFonts w:cs="Arial"/>
        </w:rPr>
        <w:t xml:space="preserve">inadequate evidence in relation to whether </w:t>
      </w:r>
      <w:r w:rsidR="006712C4">
        <w:rPr>
          <w:rFonts w:cs="Arial"/>
        </w:rPr>
        <w:t>these</w:t>
      </w:r>
      <w:r w:rsidR="00325DAF">
        <w:rPr>
          <w:rFonts w:cs="Arial"/>
        </w:rPr>
        <w:t xml:space="preserve"> schedules are a problem that</w:t>
      </w:r>
      <w:r w:rsidR="00823642">
        <w:rPr>
          <w:rFonts w:cs="Arial"/>
        </w:rPr>
        <w:t xml:space="preserve"> justif</w:t>
      </w:r>
      <w:r w:rsidR="003A1320">
        <w:rPr>
          <w:rFonts w:cs="Arial"/>
        </w:rPr>
        <w:t>ies</w:t>
      </w:r>
      <w:r w:rsidR="00823642">
        <w:rPr>
          <w:rFonts w:cs="Arial"/>
        </w:rPr>
        <w:t xml:space="preserve"> </w:t>
      </w:r>
      <w:r w:rsidR="00325DAF" w:rsidRPr="008B260B">
        <w:rPr>
          <w:rFonts w:cs="Arial"/>
        </w:rPr>
        <w:t>regulatory intervention.</w:t>
      </w:r>
      <w:r>
        <w:rPr>
          <w:rFonts w:cs="Arial"/>
        </w:rPr>
        <w:t xml:space="preserve"> </w:t>
      </w:r>
    </w:p>
    <w:p w:rsidR="0098085A" w:rsidRDefault="0098085A" w:rsidP="00325DAF">
      <w:pPr>
        <w:spacing w:before="200"/>
        <w:rPr>
          <w:rFonts w:cs="Arial"/>
        </w:rPr>
      </w:pPr>
      <w:r>
        <w:rPr>
          <w:rFonts w:cs="Arial"/>
        </w:rPr>
        <w:t>The ATA has not been shown any examples of the claimed ‘nose to tail’ work patterns over a full 28 day cycles that d</w:t>
      </w:r>
      <w:r w:rsidR="00E55689">
        <w:rPr>
          <w:rFonts w:cs="Arial"/>
        </w:rPr>
        <w:t xml:space="preserve">emonstrate a fatigue risk </w:t>
      </w:r>
      <w:r w:rsidR="006712C4">
        <w:rPr>
          <w:rFonts w:cs="Arial"/>
        </w:rPr>
        <w:t>occurring</w:t>
      </w:r>
      <w:r>
        <w:rPr>
          <w:rFonts w:cs="Arial"/>
        </w:rPr>
        <w:t>. The ATA believes the current rules have adequate controls and offsets to ensure drivers who do use</w:t>
      </w:r>
      <w:r w:rsidR="003A1320">
        <w:rPr>
          <w:rFonts w:cs="Arial"/>
        </w:rPr>
        <w:t xml:space="preserve"> the so called </w:t>
      </w:r>
      <w:r w:rsidR="00627BFF">
        <w:rPr>
          <w:rFonts w:cs="Arial"/>
        </w:rPr>
        <w:t>‘</w:t>
      </w:r>
      <w:r>
        <w:rPr>
          <w:rFonts w:cs="Arial"/>
        </w:rPr>
        <w:t>nose to tail</w:t>
      </w:r>
      <w:r w:rsidR="00627BFF">
        <w:rPr>
          <w:rFonts w:cs="Arial"/>
        </w:rPr>
        <w:t>’</w:t>
      </w:r>
      <w:r>
        <w:rPr>
          <w:rFonts w:cs="Arial"/>
        </w:rPr>
        <w:t xml:space="preserve"> work patterns do so safely. </w:t>
      </w:r>
      <w:r w:rsidR="00990AA4">
        <w:rPr>
          <w:rFonts w:cs="Arial"/>
        </w:rPr>
        <w:t xml:space="preserve">Also, the ATA cannot see any commercial advantages to ‘nose to tail’ work patterns that </w:t>
      </w:r>
      <w:r w:rsidR="003A1320">
        <w:rPr>
          <w:rFonts w:cs="Arial"/>
        </w:rPr>
        <w:t xml:space="preserve">might encourage </w:t>
      </w:r>
      <w:r w:rsidR="00990AA4">
        <w:rPr>
          <w:rFonts w:cs="Arial"/>
        </w:rPr>
        <w:t xml:space="preserve">their use. </w:t>
      </w:r>
      <w:r>
        <w:rPr>
          <w:rFonts w:cs="Arial"/>
        </w:rPr>
        <w:t>The rules were debated for</w:t>
      </w:r>
      <w:r w:rsidR="00BC0018">
        <w:rPr>
          <w:rFonts w:cs="Arial"/>
        </w:rPr>
        <w:t xml:space="preserve"> seven</w:t>
      </w:r>
      <w:r>
        <w:rPr>
          <w:rFonts w:cs="Arial"/>
        </w:rPr>
        <w:t xml:space="preserve"> years and included consideration of numerous expert opinions. These rules have been implemented for several years </w:t>
      </w:r>
      <w:r w:rsidR="00627BFF">
        <w:rPr>
          <w:rFonts w:cs="Arial"/>
        </w:rPr>
        <w:t>now. T</w:t>
      </w:r>
      <w:r w:rsidR="00BC0018">
        <w:rPr>
          <w:rFonts w:cs="Arial"/>
        </w:rPr>
        <w:t>here is no doubt fatigue crash</w:t>
      </w:r>
      <w:r>
        <w:rPr>
          <w:rFonts w:cs="Arial"/>
        </w:rPr>
        <w:t xml:space="preserve"> </w:t>
      </w:r>
      <w:r w:rsidR="00627BFF">
        <w:rPr>
          <w:rFonts w:cs="Arial"/>
        </w:rPr>
        <w:t xml:space="preserve">data is </w:t>
      </w:r>
      <w:r>
        <w:rPr>
          <w:rFonts w:cs="Arial"/>
        </w:rPr>
        <w:t>showing a reduction in incidents</w:t>
      </w:r>
      <w:r w:rsidR="00627BFF">
        <w:rPr>
          <w:rFonts w:cs="Arial"/>
        </w:rPr>
        <w:t>, as readily determined from the N</w:t>
      </w:r>
      <w:r w:rsidR="00BC0018">
        <w:rPr>
          <w:rFonts w:cs="Arial"/>
        </w:rPr>
        <w:t xml:space="preserve">ational </w:t>
      </w:r>
      <w:r w:rsidR="00627BFF">
        <w:rPr>
          <w:rFonts w:cs="Arial"/>
        </w:rPr>
        <w:t>T</w:t>
      </w:r>
      <w:r w:rsidR="00BC0018">
        <w:rPr>
          <w:rFonts w:cs="Arial"/>
        </w:rPr>
        <w:t xml:space="preserve">ruck </w:t>
      </w:r>
      <w:r w:rsidR="00627BFF">
        <w:rPr>
          <w:rFonts w:cs="Arial"/>
        </w:rPr>
        <w:t>I</w:t>
      </w:r>
      <w:r w:rsidR="00BC0018">
        <w:rPr>
          <w:rFonts w:cs="Arial"/>
        </w:rPr>
        <w:t>nsurance (NTI)</w:t>
      </w:r>
      <w:r w:rsidR="00627BFF">
        <w:rPr>
          <w:rFonts w:cs="Arial"/>
        </w:rPr>
        <w:t xml:space="preserve"> continuing series of Major Accident Investigation Reports or the Bureau </w:t>
      </w:r>
      <w:r w:rsidR="003A1320">
        <w:rPr>
          <w:rFonts w:cs="Arial"/>
        </w:rPr>
        <w:t xml:space="preserve">of Infrastructure, Transport and Regional Economics’ </w:t>
      </w:r>
      <w:r w:rsidR="00627BFF">
        <w:rPr>
          <w:rFonts w:cs="Arial"/>
        </w:rPr>
        <w:t>data.</w:t>
      </w:r>
      <w:r>
        <w:rPr>
          <w:rFonts w:cs="Arial"/>
        </w:rPr>
        <w:t xml:space="preserve">  </w:t>
      </w:r>
    </w:p>
    <w:p w:rsidR="003A745E" w:rsidRPr="00823642" w:rsidRDefault="001449D2" w:rsidP="00823642">
      <w:pPr>
        <w:pStyle w:val="ListParagraph"/>
        <w:spacing w:before="200"/>
        <w:ind w:left="0"/>
        <w:contextualSpacing w:val="0"/>
        <w:rPr>
          <w:rFonts w:cs="Arial"/>
        </w:rPr>
      </w:pPr>
      <w:r>
        <w:rPr>
          <w:rFonts w:cs="Arial"/>
        </w:rPr>
        <w:t xml:space="preserve">The </w:t>
      </w:r>
      <w:r w:rsidR="00627BFF">
        <w:rPr>
          <w:rFonts w:cs="Arial"/>
        </w:rPr>
        <w:t>A</w:t>
      </w:r>
      <w:r w:rsidR="0098085A">
        <w:rPr>
          <w:rFonts w:cs="Arial"/>
        </w:rPr>
        <w:t>TA supports the view that any further changes to fatigue rule</w:t>
      </w:r>
      <w:r w:rsidR="00627BFF">
        <w:rPr>
          <w:rFonts w:cs="Arial"/>
        </w:rPr>
        <w:t xml:space="preserve">s after the above clarification amendment </w:t>
      </w:r>
      <w:r w:rsidR="0098085A">
        <w:rPr>
          <w:rFonts w:cs="Arial"/>
        </w:rPr>
        <w:t xml:space="preserve">needs to be evidence based. Accordingly, the ATA believes </w:t>
      </w:r>
      <w:r w:rsidR="00325DAF">
        <w:rPr>
          <w:rFonts w:cs="Arial"/>
        </w:rPr>
        <w:t>the NTC and the NHVR should collaborate with industry</w:t>
      </w:r>
      <w:r w:rsidR="0098085A">
        <w:rPr>
          <w:rFonts w:cs="Arial"/>
        </w:rPr>
        <w:t xml:space="preserve">, insurance providers </w:t>
      </w:r>
      <w:r w:rsidR="00325DAF">
        <w:rPr>
          <w:rFonts w:cs="Arial"/>
        </w:rPr>
        <w:t xml:space="preserve">and governments to develop a national framework to collect </w:t>
      </w:r>
      <w:r w:rsidR="00325DAF" w:rsidRPr="001A7652">
        <w:rPr>
          <w:rFonts w:cs="Arial"/>
        </w:rPr>
        <w:t>r</w:t>
      </w:r>
      <w:r w:rsidR="00325DAF">
        <w:rPr>
          <w:rFonts w:cs="Arial"/>
        </w:rPr>
        <w:t>eal life operational data to better inform broader fatigue policy directions in the future</w:t>
      </w:r>
      <w:r w:rsidR="0098085A">
        <w:rPr>
          <w:rFonts w:cs="Arial"/>
        </w:rPr>
        <w:t xml:space="preserve">. </w:t>
      </w:r>
      <w:r w:rsidR="00325DAF">
        <w:rPr>
          <w:rFonts w:cs="Arial"/>
        </w:rPr>
        <w:t>This would involve analysis of the work diaries/shifts associated with recorded incidents</w:t>
      </w:r>
      <w:r w:rsidR="00325DAF" w:rsidRPr="00CB16E4">
        <w:rPr>
          <w:rFonts w:cs="Arial"/>
        </w:rPr>
        <w:t>.</w:t>
      </w:r>
      <w:r w:rsidR="00325DAF">
        <w:rPr>
          <w:rFonts w:cs="Arial"/>
        </w:rPr>
        <w:t xml:space="preserve"> Capturing data over longer timeframes</w:t>
      </w:r>
      <w:r w:rsidR="00325DAF" w:rsidRPr="00CB16E4">
        <w:rPr>
          <w:rFonts w:cs="Arial"/>
        </w:rPr>
        <w:t xml:space="preserve"> would provid</w:t>
      </w:r>
      <w:r w:rsidR="00325DAF">
        <w:rPr>
          <w:rFonts w:cs="Arial"/>
        </w:rPr>
        <w:t>e more informative data than that currently available</w:t>
      </w:r>
      <w:r w:rsidR="00325DAF" w:rsidRPr="00CB16E4">
        <w:rPr>
          <w:rFonts w:cs="Arial"/>
        </w:rPr>
        <w:t>.</w:t>
      </w:r>
      <w:r w:rsidR="00627BFF">
        <w:rPr>
          <w:rFonts w:cs="Arial"/>
        </w:rPr>
        <w:t xml:space="preserve"> This </w:t>
      </w:r>
      <w:r w:rsidR="003A1320">
        <w:rPr>
          <w:rFonts w:cs="Arial"/>
        </w:rPr>
        <w:t>analysis</w:t>
      </w:r>
      <w:r w:rsidR="00627BFF">
        <w:rPr>
          <w:rFonts w:cs="Arial"/>
        </w:rPr>
        <w:t xml:space="preserve"> should also include seeking data </w:t>
      </w:r>
      <w:r w:rsidR="00BC0018">
        <w:rPr>
          <w:rFonts w:cs="Arial"/>
        </w:rPr>
        <w:t>from existing AFM operators and</w:t>
      </w:r>
      <w:r w:rsidR="00627BFF">
        <w:rPr>
          <w:rFonts w:cs="Arial"/>
        </w:rPr>
        <w:t xml:space="preserve"> Pilot AFM operators</w:t>
      </w:r>
      <w:r w:rsidR="005A1BB4">
        <w:rPr>
          <w:rFonts w:cs="Arial"/>
        </w:rPr>
        <w:t>,</w:t>
      </w:r>
      <w:r w:rsidR="00627BFF">
        <w:rPr>
          <w:rFonts w:cs="Arial"/>
        </w:rPr>
        <w:t xml:space="preserve"> as these parties have many millions of kilometres of excellent safety outcomes that cannot be ignored. </w:t>
      </w:r>
    </w:p>
    <w:p w:rsidR="006D20A7" w:rsidRPr="003A745E" w:rsidRDefault="006D20A7" w:rsidP="008579D7">
      <w:pPr>
        <w:pStyle w:val="BodyText2"/>
        <w:rPr>
          <w:rFonts w:asciiTheme="minorHAnsi" w:hAnsiTheme="minorHAnsi"/>
          <w:szCs w:val="22"/>
        </w:rPr>
      </w:pPr>
      <w:r w:rsidRPr="003A745E">
        <w:rPr>
          <w:rFonts w:asciiTheme="minorHAnsi" w:hAnsiTheme="minorHAnsi"/>
          <w:szCs w:val="22"/>
        </w:rPr>
        <w:t>Recommendation 2</w:t>
      </w:r>
    </w:p>
    <w:p w:rsidR="006D20A7" w:rsidRPr="000D5BFB" w:rsidRDefault="006D20A7" w:rsidP="008579D7">
      <w:pPr>
        <w:pStyle w:val="BodyText2"/>
        <w:rPr>
          <w:rFonts w:asciiTheme="minorHAnsi" w:hAnsiTheme="minorHAnsi"/>
          <w:szCs w:val="22"/>
        </w:rPr>
      </w:pPr>
    </w:p>
    <w:p w:rsidR="00627BFF" w:rsidRPr="003A745E" w:rsidRDefault="00627BFF" w:rsidP="00627BFF">
      <w:pPr>
        <w:pStyle w:val="BodyText2"/>
        <w:rPr>
          <w:rFonts w:asciiTheme="minorHAnsi" w:hAnsiTheme="minorHAnsi"/>
          <w:b w:val="0"/>
          <w:szCs w:val="22"/>
        </w:rPr>
      </w:pPr>
      <w:r>
        <w:rPr>
          <w:rFonts w:asciiTheme="minorHAnsi" w:hAnsiTheme="minorHAnsi"/>
          <w:b w:val="0"/>
          <w:szCs w:val="22"/>
        </w:rPr>
        <w:t>The ATA recommends t</w:t>
      </w:r>
      <w:r w:rsidRPr="00997D73">
        <w:rPr>
          <w:rFonts w:asciiTheme="minorHAnsi" w:hAnsiTheme="minorHAnsi"/>
          <w:b w:val="0"/>
          <w:szCs w:val="22"/>
        </w:rPr>
        <w:t xml:space="preserve">hat the NTC and the NHVR collaborate with </w:t>
      </w:r>
      <w:r>
        <w:rPr>
          <w:rFonts w:asciiTheme="minorHAnsi" w:hAnsiTheme="minorHAnsi"/>
          <w:b w:val="0"/>
          <w:szCs w:val="22"/>
        </w:rPr>
        <w:t xml:space="preserve">the </w:t>
      </w:r>
      <w:r w:rsidRPr="00997D73">
        <w:rPr>
          <w:rFonts w:asciiTheme="minorHAnsi" w:hAnsiTheme="minorHAnsi"/>
          <w:b w:val="0"/>
          <w:szCs w:val="22"/>
        </w:rPr>
        <w:t>industry</w:t>
      </w:r>
      <w:r>
        <w:rPr>
          <w:rFonts w:asciiTheme="minorHAnsi" w:hAnsiTheme="minorHAnsi"/>
          <w:b w:val="0"/>
          <w:szCs w:val="22"/>
        </w:rPr>
        <w:t>, insurance industry</w:t>
      </w:r>
      <w:r w:rsidRPr="00997D73">
        <w:rPr>
          <w:rFonts w:asciiTheme="minorHAnsi" w:hAnsiTheme="minorHAnsi"/>
          <w:b w:val="0"/>
          <w:szCs w:val="22"/>
        </w:rPr>
        <w:t xml:space="preserve"> and governments to develop a national framework to collect real life operational data to better inform future fatigue policy</w:t>
      </w:r>
      <w:r w:rsidR="003A1320">
        <w:rPr>
          <w:rFonts w:asciiTheme="minorHAnsi" w:hAnsiTheme="minorHAnsi"/>
          <w:b w:val="0"/>
          <w:szCs w:val="22"/>
        </w:rPr>
        <w:t xml:space="preserve"> reform</w:t>
      </w:r>
      <w:r w:rsidRPr="00997D73">
        <w:rPr>
          <w:rFonts w:asciiTheme="minorHAnsi" w:hAnsiTheme="minorHAnsi"/>
          <w:b w:val="0"/>
          <w:szCs w:val="22"/>
        </w:rPr>
        <w:t>.</w:t>
      </w:r>
      <w:r w:rsidRPr="003A745E">
        <w:rPr>
          <w:rFonts w:asciiTheme="minorHAnsi" w:hAnsiTheme="minorHAnsi"/>
          <w:b w:val="0"/>
          <w:szCs w:val="22"/>
        </w:rPr>
        <w:t xml:space="preserve"> </w:t>
      </w:r>
      <w:r w:rsidRPr="00997D73">
        <w:rPr>
          <w:rFonts w:asciiTheme="minorHAnsi" w:hAnsiTheme="minorHAnsi"/>
          <w:b w:val="0"/>
          <w:szCs w:val="22"/>
        </w:rPr>
        <w:t>This recommendation follows the NTC</w:t>
      </w:r>
      <w:r>
        <w:rPr>
          <w:rFonts w:asciiTheme="minorHAnsi" w:hAnsiTheme="minorHAnsi"/>
          <w:b w:val="0"/>
          <w:szCs w:val="22"/>
        </w:rPr>
        <w:t>’s</w:t>
      </w:r>
      <w:r w:rsidRPr="00997D73">
        <w:rPr>
          <w:rFonts w:asciiTheme="minorHAnsi" w:hAnsiTheme="minorHAnsi"/>
          <w:b w:val="0"/>
          <w:szCs w:val="22"/>
        </w:rPr>
        <w:t xml:space="preserve"> recommendation</w:t>
      </w:r>
      <w:r>
        <w:rPr>
          <w:rFonts w:asciiTheme="minorHAnsi" w:hAnsiTheme="minorHAnsi"/>
          <w:b w:val="0"/>
          <w:szCs w:val="22"/>
        </w:rPr>
        <w:t>.</w:t>
      </w:r>
    </w:p>
    <w:p w:rsidR="006D20A7" w:rsidRDefault="006D20A7" w:rsidP="008579D7">
      <w:pPr>
        <w:pStyle w:val="BodyText2"/>
        <w:rPr>
          <w:rFonts w:asciiTheme="minorHAnsi" w:hAnsiTheme="minorHAnsi"/>
          <w:b w:val="0"/>
          <w:szCs w:val="22"/>
        </w:rPr>
      </w:pPr>
    </w:p>
    <w:p w:rsidR="00627BFF" w:rsidRDefault="00627BFF" w:rsidP="008579D7">
      <w:pPr>
        <w:pStyle w:val="BodyText2"/>
        <w:rPr>
          <w:rFonts w:asciiTheme="minorHAnsi" w:hAnsiTheme="minorHAnsi"/>
          <w:b w:val="0"/>
          <w:szCs w:val="22"/>
        </w:rPr>
      </w:pPr>
    </w:p>
    <w:p w:rsidR="00627BFF" w:rsidRPr="003A745E" w:rsidRDefault="00627BFF" w:rsidP="00627BFF">
      <w:pPr>
        <w:pStyle w:val="Heading1"/>
        <w:numPr>
          <w:ilvl w:val="1"/>
          <w:numId w:val="27"/>
        </w:numPr>
        <w:rPr>
          <w:rFonts w:asciiTheme="minorHAnsi" w:hAnsiTheme="minorHAnsi"/>
          <w:sz w:val="24"/>
          <w:szCs w:val="22"/>
        </w:rPr>
      </w:pPr>
      <w:bookmarkStart w:id="6" w:name="_Toc381003250"/>
      <w:r>
        <w:rPr>
          <w:rFonts w:asciiTheme="minorHAnsi" w:hAnsiTheme="minorHAnsi"/>
          <w:sz w:val="24"/>
          <w:szCs w:val="22"/>
        </w:rPr>
        <w:t>Proposal to review Standard Driving Hours</w:t>
      </w:r>
      <w:bookmarkEnd w:id="6"/>
    </w:p>
    <w:p w:rsidR="00627BFF" w:rsidRPr="00627BFF" w:rsidRDefault="00627BFF" w:rsidP="008579D7">
      <w:pPr>
        <w:pStyle w:val="BodyText2"/>
        <w:rPr>
          <w:rFonts w:asciiTheme="minorHAnsi" w:hAnsiTheme="minorHAnsi"/>
          <w:b w:val="0"/>
          <w:szCs w:val="22"/>
        </w:rPr>
      </w:pPr>
    </w:p>
    <w:p w:rsidR="005A1BB4" w:rsidRDefault="00E4791A" w:rsidP="00627BFF">
      <w:pPr>
        <w:pStyle w:val="BodyText2"/>
        <w:rPr>
          <w:rFonts w:asciiTheme="minorHAnsi" w:hAnsiTheme="minorHAnsi"/>
          <w:b w:val="0"/>
        </w:rPr>
      </w:pPr>
      <w:r>
        <w:rPr>
          <w:rFonts w:asciiTheme="minorHAnsi" w:hAnsiTheme="minorHAnsi"/>
          <w:b w:val="0"/>
        </w:rPr>
        <w:t>The NTC have stakeholder</w:t>
      </w:r>
      <w:r w:rsidR="00BC0018">
        <w:rPr>
          <w:rFonts w:asciiTheme="minorHAnsi" w:hAnsiTheme="minorHAnsi"/>
          <w:b w:val="0"/>
        </w:rPr>
        <w:t>s</w:t>
      </w:r>
      <w:r>
        <w:rPr>
          <w:rFonts w:asciiTheme="minorHAnsi" w:hAnsiTheme="minorHAnsi"/>
          <w:b w:val="0"/>
        </w:rPr>
        <w:t xml:space="preserve"> who do not accept that current rules adequately manage the potential risks from ‘nose to trail’ work patterns. In order to try to placate them</w:t>
      </w:r>
      <w:r w:rsidR="009F295D">
        <w:rPr>
          <w:rFonts w:asciiTheme="minorHAnsi" w:hAnsiTheme="minorHAnsi"/>
          <w:b w:val="0"/>
        </w:rPr>
        <w:t xml:space="preserve"> the NTC has suggested a review of the Standard Driving Hours be undertaken. </w:t>
      </w:r>
    </w:p>
    <w:p w:rsidR="005A1BB4" w:rsidRDefault="005A1BB4" w:rsidP="00627BFF">
      <w:pPr>
        <w:pStyle w:val="BodyText2"/>
        <w:rPr>
          <w:rFonts w:asciiTheme="minorHAnsi" w:hAnsiTheme="minorHAnsi"/>
          <w:b w:val="0"/>
        </w:rPr>
      </w:pPr>
    </w:p>
    <w:p w:rsidR="00814602" w:rsidRDefault="009F295D" w:rsidP="00627BFF">
      <w:pPr>
        <w:pStyle w:val="BodyText2"/>
        <w:rPr>
          <w:rFonts w:asciiTheme="minorHAnsi" w:hAnsiTheme="minorHAnsi"/>
          <w:b w:val="0"/>
        </w:rPr>
      </w:pPr>
      <w:r>
        <w:rPr>
          <w:rFonts w:asciiTheme="minorHAnsi" w:hAnsiTheme="minorHAnsi"/>
          <w:b w:val="0"/>
        </w:rPr>
        <w:t>The ATA is horrified that the NTC makes such a suggestion. Th</w:t>
      </w:r>
      <w:r w:rsidR="00157916">
        <w:rPr>
          <w:rFonts w:asciiTheme="minorHAnsi" w:hAnsiTheme="minorHAnsi"/>
          <w:b w:val="0"/>
        </w:rPr>
        <w:t>e NRTC and NTC have conducted t</w:t>
      </w:r>
      <w:r>
        <w:rPr>
          <w:rFonts w:asciiTheme="minorHAnsi" w:hAnsiTheme="minorHAnsi"/>
          <w:b w:val="0"/>
        </w:rPr>
        <w:t>w</w:t>
      </w:r>
      <w:r w:rsidR="00157916">
        <w:rPr>
          <w:rFonts w:asciiTheme="minorHAnsi" w:hAnsiTheme="minorHAnsi"/>
          <w:b w:val="0"/>
        </w:rPr>
        <w:t>o</w:t>
      </w:r>
      <w:r>
        <w:rPr>
          <w:rFonts w:asciiTheme="minorHAnsi" w:hAnsiTheme="minorHAnsi"/>
          <w:b w:val="0"/>
        </w:rPr>
        <w:t xml:space="preserve"> extensive reviews</w:t>
      </w:r>
      <w:r w:rsidR="005A1BB4">
        <w:rPr>
          <w:rFonts w:asciiTheme="minorHAnsi" w:hAnsiTheme="minorHAnsi"/>
          <w:b w:val="0"/>
        </w:rPr>
        <w:t xml:space="preserve"> of the fatigue laws,</w:t>
      </w:r>
      <w:r>
        <w:rPr>
          <w:rFonts w:asciiTheme="minorHAnsi" w:hAnsiTheme="minorHAnsi"/>
          <w:b w:val="0"/>
        </w:rPr>
        <w:t xml:space="preserve"> one around 1995 and another one</w:t>
      </w:r>
      <w:r w:rsidR="005A1BB4">
        <w:rPr>
          <w:rFonts w:asciiTheme="minorHAnsi" w:hAnsiTheme="minorHAnsi"/>
          <w:b w:val="0"/>
        </w:rPr>
        <w:t xml:space="preserve"> spanning from</w:t>
      </w:r>
      <w:r>
        <w:rPr>
          <w:rFonts w:asciiTheme="minorHAnsi" w:hAnsiTheme="minorHAnsi"/>
          <w:b w:val="0"/>
        </w:rPr>
        <w:t xml:space="preserve"> 2000 to 2007.</w:t>
      </w:r>
      <w:r w:rsidR="00E4791A">
        <w:rPr>
          <w:rFonts w:asciiTheme="minorHAnsi" w:hAnsiTheme="minorHAnsi"/>
          <w:b w:val="0"/>
        </w:rPr>
        <w:t xml:space="preserve"> </w:t>
      </w:r>
      <w:r>
        <w:rPr>
          <w:rFonts w:asciiTheme="minorHAnsi" w:hAnsiTheme="minorHAnsi"/>
          <w:b w:val="0"/>
        </w:rPr>
        <w:t xml:space="preserve">The outcome of the last review is still being </w:t>
      </w:r>
      <w:r w:rsidR="00F127E5">
        <w:rPr>
          <w:rFonts w:asciiTheme="minorHAnsi" w:hAnsiTheme="minorHAnsi"/>
          <w:b w:val="0"/>
        </w:rPr>
        <w:t xml:space="preserve">implemented and </w:t>
      </w:r>
      <w:r>
        <w:rPr>
          <w:rFonts w:asciiTheme="minorHAnsi" w:hAnsiTheme="minorHAnsi"/>
          <w:b w:val="0"/>
        </w:rPr>
        <w:t xml:space="preserve">bedded down as </w:t>
      </w:r>
      <w:r w:rsidR="00F127E5">
        <w:rPr>
          <w:rFonts w:asciiTheme="minorHAnsi" w:hAnsiTheme="minorHAnsi"/>
          <w:b w:val="0"/>
        </w:rPr>
        <w:t xml:space="preserve">is evidenced </w:t>
      </w:r>
      <w:r>
        <w:rPr>
          <w:rFonts w:asciiTheme="minorHAnsi" w:hAnsiTheme="minorHAnsi"/>
          <w:b w:val="0"/>
        </w:rPr>
        <w:t xml:space="preserve">by this very </w:t>
      </w:r>
      <w:r w:rsidR="005A1BB4">
        <w:rPr>
          <w:rFonts w:asciiTheme="minorHAnsi" w:hAnsiTheme="minorHAnsi"/>
          <w:b w:val="0"/>
        </w:rPr>
        <w:t>process. As a result of these processes, w</w:t>
      </w:r>
      <w:r>
        <w:rPr>
          <w:rFonts w:asciiTheme="minorHAnsi" w:hAnsiTheme="minorHAnsi"/>
          <w:b w:val="0"/>
        </w:rPr>
        <w:t xml:space="preserve">e have an </w:t>
      </w:r>
      <w:r w:rsidR="005A1BB4">
        <w:rPr>
          <w:rFonts w:asciiTheme="minorHAnsi" w:hAnsiTheme="minorHAnsi"/>
          <w:b w:val="0"/>
        </w:rPr>
        <w:t xml:space="preserve">actively </w:t>
      </w:r>
      <w:r>
        <w:rPr>
          <w:rFonts w:asciiTheme="minorHAnsi" w:hAnsiTheme="minorHAnsi"/>
          <w:b w:val="0"/>
        </w:rPr>
        <w:t xml:space="preserve">improving fatigue management outcome. The ATA sees no basis for opening the debate about Standard Driving Hours </w:t>
      </w:r>
      <w:r w:rsidR="001449D2">
        <w:rPr>
          <w:rFonts w:asciiTheme="minorHAnsi" w:hAnsiTheme="minorHAnsi"/>
          <w:b w:val="0"/>
        </w:rPr>
        <w:t xml:space="preserve">(SDH) </w:t>
      </w:r>
      <w:r>
        <w:rPr>
          <w:rFonts w:asciiTheme="minorHAnsi" w:hAnsiTheme="minorHAnsi"/>
          <w:b w:val="0"/>
        </w:rPr>
        <w:t xml:space="preserve">or Basic Fatigue Management </w:t>
      </w:r>
      <w:r w:rsidR="001449D2">
        <w:rPr>
          <w:rFonts w:asciiTheme="minorHAnsi" w:hAnsiTheme="minorHAnsi"/>
          <w:b w:val="0"/>
        </w:rPr>
        <w:t>(BFM) h</w:t>
      </w:r>
      <w:r>
        <w:rPr>
          <w:rFonts w:asciiTheme="minorHAnsi" w:hAnsiTheme="minorHAnsi"/>
          <w:b w:val="0"/>
        </w:rPr>
        <w:t>ours again until we see meaningful evidence of</w:t>
      </w:r>
      <w:r w:rsidR="005A1BB4">
        <w:rPr>
          <w:rFonts w:asciiTheme="minorHAnsi" w:hAnsiTheme="minorHAnsi"/>
          <w:b w:val="0"/>
        </w:rPr>
        <w:t xml:space="preserve"> </w:t>
      </w:r>
      <w:r w:rsidR="00F127E5">
        <w:rPr>
          <w:rFonts w:asciiTheme="minorHAnsi" w:hAnsiTheme="minorHAnsi"/>
          <w:b w:val="0"/>
        </w:rPr>
        <w:t xml:space="preserve">inadequate </w:t>
      </w:r>
      <w:r w:rsidR="00814602">
        <w:rPr>
          <w:rFonts w:asciiTheme="minorHAnsi" w:hAnsiTheme="minorHAnsi"/>
          <w:b w:val="0"/>
        </w:rPr>
        <w:t xml:space="preserve">on-road safety </w:t>
      </w:r>
      <w:r>
        <w:rPr>
          <w:rFonts w:asciiTheme="minorHAnsi" w:hAnsiTheme="minorHAnsi"/>
          <w:b w:val="0"/>
        </w:rPr>
        <w:t xml:space="preserve">outcomes or </w:t>
      </w:r>
      <w:r w:rsidR="00814602">
        <w:rPr>
          <w:rFonts w:asciiTheme="minorHAnsi" w:hAnsiTheme="minorHAnsi"/>
          <w:b w:val="0"/>
        </w:rPr>
        <w:t xml:space="preserve">other </w:t>
      </w:r>
      <w:r>
        <w:rPr>
          <w:rFonts w:asciiTheme="minorHAnsi" w:hAnsiTheme="minorHAnsi"/>
          <w:b w:val="0"/>
        </w:rPr>
        <w:t xml:space="preserve">sound drivers </w:t>
      </w:r>
      <w:r w:rsidR="00157916">
        <w:rPr>
          <w:rFonts w:asciiTheme="minorHAnsi" w:hAnsiTheme="minorHAnsi"/>
          <w:b w:val="0"/>
        </w:rPr>
        <w:t>for</w:t>
      </w:r>
      <w:r>
        <w:rPr>
          <w:rFonts w:asciiTheme="minorHAnsi" w:hAnsiTheme="minorHAnsi"/>
          <w:b w:val="0"/>
        </w:rPr>
        <w:t xml:space="preserve"> a need to review.</w:t>
      </w:r>
      <w:r w:rsidR="00E4791A">
        <w:rPr>
          <w:rFonts w:asciiTheme="minorHAnsi" w:hAnsiTheme="minorHAnsi"/>
          <w:b w:val="0"/>
        </w:rPr>
        <w:t xml:space="preserve"> </w:t>
      </w:r>
    </w:p>
    <w:p w:rsidR="00814602" w:rsidRDefault="00814602" w:rsidP="00627BFF">
      <w:pPr>
        <w:pStyle w:val="BodyText2"/>
        <w:rPr>
          <w:rFonts w:asciiTheme="minorHAnsi" w:hAnsiTheme="minorHAnsi"/>
          <w:b w:val="0"/>
        </w:rPr>
      </w:pPr>
    </w:p>
    <w:p w:rsidR="00814602" w:rsidRDefault="00814602" w:rsidP="00627BFF">
      <w:pPr>
        <w:pStyle w:val="BodyText2"/>
        <w:rPr>
          <w:rFonts w:asciiTheme="minorHAnsi" w:hAnsiTheme="minorHAnsi"/>
          <w:b w:val="0"/>
        </w:rPr>
      </w:pPr>
      <w:r>
        <w:rPr>
          <w:rFonts w:asciiTheme="minorHAnsi" w:hAnsiTheme="minorHAnsi"/>
          <w:b w:val="0"/>
        </w:rPr>
        <w:t>With regard to some points raised in the NTC paper around this matter</w:t>
      </w:r>
      <w:r w:rsidR="005A1BB4">
        <w:rPr>
          <w:rFonts w:asciiTheme="minorHAnsi" w:hAnsiTheme="minorHAnsi"/>
          <w:b w:val="0"/>
        </w:rPr>
        <w:t>,</w:t>
      </w:r>
      <w:r>
        <w:rPr>
          <w:rFonts w:asciiTheme="minorHAnsi" w:hAnsiTheme="minorHAnsi"/>
          <w:b w:val="0"/>
        </w:rPr>
        <w:t xml:space="preserve"> we offer the following comments. </w:t>
      </w:r>
    </w:p>
    <w:p w:rsidR="00814602" w:rsidRDefault="00814602" w:rsidP="00627BFF">
      <w:pPr>
        <w:pStyle w:val="BodyText2"/>
        <w:rPr>
          <w:rFonts w:asciiTheme="minorHAnsi" w:hAnsiTheme="minorHAnsi"/>
          <w:b w:val="0"/>
        </w:rPr>
      </w:pPr>
    </w:p>
    <w:p w:rsidR="00627BFF" w:rsidRDefault="00157916" w:rsidP="00814602">
      <w:pPr>
        <w:pStyle w:val="BodyText2"/>
        <w:rPr>
          <w:rFonts w:asciiTheme="minorHAnsi" w:hAnsiTheme="minorHAnsi"/>
          <w:b w:val="0"/>
        </w:rPr>
      </w:pPr>
      <w:r>
        <w:rPr>
          <w:rFonts w:asciiTheme="minorHAnsi" w:hAnsiTheme="minorHAnsi"/>
          <w:b w:val="0"/>
        </w:rPr>
        <w:t xml:space="preserve">The </w:t>
      </w:r>
      <w:r w:rsidR="00814602">
        <w:rPr>
          <w:rFonts w:asciiTheme="minorHAnsi" w:hAnsiTheme="minorHAnsi"/>
          <w:b w:val="0"/>
        </w:rPr>
        <w:t xml:space="preserve">NTC paper states: </w:t>
      </w:r>
      <w:r w:rsidR="00627BFF" w:rsidRPr="00627BFF">
        <w:rPr>
          <w:rFonts w:asciiTheme="minorHAnsi" w:hAnsiTheme="minorHAnsi"/>
          <w:b w:val="0"/>
        </w:rPr>
        <w:t>Insufficient sleep – taking only the minimum seven hour ‘major rest break’ for rest between long work periods, as the driver is likely to have six hours or less of actual sleep.</w:t>
      </w:r>
    </w:p>
    <w:p w:rsidR="00814602" w:rsidRDefault="00814602" w:rsidP="00814602">
      <w:pPr>
        <w:pStyle w:val="BodyText2"/>
        <w:rPr>
          <w:rFonts w:asciiTheme="minorHAnsi" w:hAnsiTheme="minorHAnsi"/>
          <w:b w:val="0"/>
        </w:rPr>
      </w:pPr>
    </w:p>
    <w:p w:rsidR="00814602" w:rsidRPr="00627BFF" w:rsidRDefault="00157916" w:rsidP="00F127E5">
      <w:pPr>
        <w:pStyle w:val="BodyText2"/>
        <w:ind w:left="720"/>
        <w:rPr>
          <w:rFonts w:asciiTheme="minorHAnsi" w:hAnsiTheme="minorHAnsi"/>
          <w:b w:val="0"/>
        </w:rPr>
      </w:pPr>
      <w:r>
        <w:rPr>
          <w:rFonts w:asciiTheme="minorHAnsi" w:hAnsiTheme="minorHAnsi"/>
          <w:b w:val="0"/>
        </w:rPr>
        <w:t xml:space="preserve">The </w:t>
      </w:r>
      <w:r w:rsidR="00814602">
        <w:rPr>
          <w:rFonts w:asciiTheme="minorHAnsi" w:hAnsiTheme="minorHAnsi"/>
          <w:b w:val="0"/>
        </w:rPr>
        <w:t>ATA respon</w:t>
      </w:r>
      <w:r>
        <w:rPr>
          <w:rFonts w:asciiTheme="minorHAnsi" w:hAnsiTheme="minorHAnsi"/>
          <w:b w:val="0"/>
        </w:rPr>
        <w:t>se</w:t>
      </w:r>
      <w:r w:rsidR="00814602">
        <w:rPr>
          <w:rFonts w:asciiTheme="minorHAnsi" w:hAnsiTheme="minorHAnsi"/>
          <w:b w:val="0"/>
        </w:rPr>
        <w:t xml:space="preserve">: The </w:t>
      </w:r>
      <w:r>
        <w:rPr>
          <w:rFonts w:asciiTheme="minorHAnsi" w:hAnsiTheme="minorHAnsi"/>
          <w:b w:val="0"/>
        </w:rPr>
        <w:t>seven</w:t>
      </w:r>
      <w:r w:rsidR="00814602">
        <w:rPr>
          <w:rFonts w:asciiTheme="minorHAnsi" w:hAnsiTheme="minorHAnsi"/>
          <w:b w:val="0"/>
        </w:rPr>
        <w:t xml:space="preserve"> hours long rest break has it</w:t>
      </w:r>
      <w:r>
        <w:rPr>
          <w:rFonts w:asciiTheme="minorHAnsi" w:hAnsiTheme="minorHAnsi"/>
          <w:b w:val="0"/>
        </w:rPr>
        <w:t>s</w:t>
      </w:r>
      <w:r w:rsidR="00814602">
        <w:rPr>
          <w:rFonts w:asciiTheme="minorHAnsi" w:hAnsiTheme="minorHAnsi"/>
          <w:b w:val="0"/>
        </w:rPr>
        <w:t xml:space="preserve"> basis in </w:t>
      </w:r>
      <w:r w:rsidR="00F127E5">
        <w:rPr>
          <w:rFonts w:asciiTheme="minorHAnsi" w:hAnsiTheme="minorHAnsi"/>
          <w:b w:val="0"/>
        </w:rPr>
        <w:t xml:space="preserve">fatigue </w:t>
      </w:r>
      <w:r w:rsidR="00814602">
        <w:rPr>
          <w:rFonts w:asciiTheme="minorHAnsi" w:hAnsiTheme="minorHAnsi"/>
          <w:b w:val="0"/>
        </w:rPr>
        <w:t>experts</w:t>
      </w:r>
      <w:r w:rsidR="001739C7">
        <w:rPr>
          <w:rFonts w:asciiTheme="minorHAnsi" w:hAnsiTheme="minorHAnsi"/>
          <w:b w:val="0"/>
        </w:rPr>
        <w:t>’</w:t>
      </w:r>
      <w:r>
        <w:rPr>
          <w:rFonts w:asciiTheme="minorHAnsi" w:hAnsiTheme="minorHAnsi"/>
          <w:b w:val="0"/>
        </w:rPr>
        <w:t xml:space="preserve"> advice that six</w:t>
      </w:r>
      <w:r w:rsidR="00814602">
        <w:rPr>
          <w:rFonts w:asciiTheme="minorHAnsi" w:hAnsiTheme="minorHAnsi"/>
          <w:b w:val="0"/>
        </w:rPr>
        <w:t xml:space="preserve"> hours sleep was requir</w:t>
      </w:r>
      <w:r>
        <w:rPr>
          <w:rFonts w:asciiTheme="minorHAnsi" w:hAnsiTheme="minorHAnsi"/>
          <w:b w:val="0"/>
        </w:rPr>
        <w:t xml:space="preserve">ed to provide restorative rest in </w:t>
      </w:r>
      <w:r w:rsidR="001449D2">
        <w:rPr>
          <w:rFonts w:asciiTheme="minorHAnsi" w:hAnsiTheme="minorHAnsi"/>
          <w:b w:val="0"/>
        </w:rPr>
        <w:t>SDH</w:t>
      </w:r>
      <w:r w:rsidR="005A1BB4">
        <w:rPr>
          <w:rFonts w:asciiTheme="minorHAnsi" w:hAnsiTheme="minorHAnsi"/>
          <w:b w:val="0"/>
        </w:rPr>
        <w:t>,</w:t>
      </w:r>
      <w:r w:rsidR="00814602">
        <w:rPr>
          <w:rFonts w:asciiTheme="minorHAnsi" w:hAnsiTheme="minorHAnsi"/>
          <w:b w:val="0"/>
        </w:rPr>
        <w:t xml:space="preserve"> ther</w:t>
      </w:r>
      <w:r>
        <w:rPr>
          <w:rFonts w:asciiTheme="minorHAnsi" w:hAnsiTheme="minorHAnsi"/>
          <w:b w:val="0"/>
        </w:rPr>
        <w:t>efore the rest break should be seven</w:t>
      </w:r>
      <w:r w:rsidR="00814602">
        <w:rPr>
          <w:rFonts w:asciiTheme="minorHAnsi" w:hAnsiTheme="minorHAnsi"/>
          <w:b w:val="0"/>
        </w:rPr>
        <w:t xml:space="preserve"> hours. What has changed? </w:t>
      </w:r>
    </w:p>
    <w:p w:rsidR="00627BFF" w:rsidRPr="00627BFF" w:rsidRDefault="00627BFF" w:rsidP="00814602">
      <w:pPr>
        <w:pStyle w:val="BodyText2"/>
        <w:rPr>
          <w:rFonts w:asciiTheme="minorHAnsi" w:hAnsiTheme="minorHAnsi"/>
          <w:b w:val="0"/>
        </w:rPr>
      </w:pPr>
    </w:p>
    <w:p w:rsidR="00627BFF" w:rsidRPr="00627BFF" w:rsidRDefault="00157916" w:rsidP="00814602">
      <w:pPr>
        <w:pStyle w:val="BodyText2"/>
        <w:rPr>
          <w:rFonts w:asciiTheme="minorHAnsi" w:hAnsiTheme="minorHAnsi"/>
          <w:b w:val="0"/>
        </w:rPr>
      </w:pPr>
      <w:r>
        <w:rPr>
          <w:rFonts w:asciiTheme="minorHAnsi" w:hAnsiTheme="minorHAnsi"/>
          <w:b w:val="0"/>
        </w:rPr>
        <w:t xml:space="preserve">The </w:t>
      </w:r>
      <w:r w:rsidR="001739C7">
        <w:rPr>
          <w:rFonts w:asciiTheme="minorHAnsi" w:hAnsiTheme="minorHAnsi"/>
          <w:b w:val="0"/>
        </w:rPr>
        <w:t xml:space="preserve">NTC paper states: </w:t>
      </w:r>
      <w:r w:rsidR="00627BFF" w:rsidRPr="00627BFF">
        <w:rPr>
          <w:rFonts w:asciiTheme="minorHAnsi" w:hAnsiTheme="minorHAnsi"/>
          <w:b w:val="0"/>
        </w:rPr>
        <w:t>Long work shifts – where a single ‘work opportu</w:t>
      </w:r>
      <w:r>
        <w:rPr>
          <w:rFonts w:asciiTheme="minorHAnsi" w:hAnsiTheme="minorHAnsi"/>
          <w:b w:val="0"/>
        </w:rPr>
        <w:t>nity’ or shift is longer than twelve</w:t>
      </w:r>
      <w:r w:rsidR="00627BFF" w:rsidRPr="00627BFF">
        <w:rPr>
          <w:rFonts w:asciiTheme="minorHAnsi" w:hAnsiTheme="minorHAnsi"/>
          <w:b w:val="0"/>
        </w:rPr>
        <w:t xml:space="preserve"> hours.</w:t>
      </w:r>
    </w:p>
    <w:p w:rsidR="00627BFF" w:rsidRDefault="00627BFF" w:rsidP="00814602">
      <w:pPr>
        <w:pStyle w:val="BodyText2"/>
        <w:rPr>
          <w:rFonts w:asciiTheme="minorHAnsi" w:hAnsiTheme="minorHAnsi"/>
          <w:b w:val="0"/>
        </w:rPr>
      </w:pPr>
    </w:p>
    <w:p w:rsidR="001739C7" w:rsidRDefault="00157916" w:rsidP="00F127E5">
      <w:pPr>
        <w:pStyle w:val="BodyText2"/>
        <w:ind w:left="720"/>
        <w:rPr>
          <w:rFonts w:asciiTheme="minorHAnsi" w:hAnsiTheme="minorHAnsi"/>
          <w:b w:val="0"/>
        </w:rPr>
      </w:pPr>
      <w:r w:rsidRPr="00157916">
        <w:rPr>
          <w:rFonts w:asciiTheme="minorHAnsi" w:hAnsiTheme="minorHAnsi"/>
          <w:b w:val="0"/>
        </w:rPr>
        <w:t>The ATA response</w:t>
      </w:r>
      <w:r w:rsidR="001739C7">
        <w:rPr>
          <w:rFonts w:asciiTheme="minorHAnsi" w:hAnsiTheme="minorHAnsi"/>
          <w:b w:val="0"/>
        </w:rPr>
        <w:t xml:space="preserve">: The SDH does not allow more than </w:t>
      </w:r>
      <w:r>
        <w:rPr>
          <w:rFonts w:asciiTheme="minorHAnsi" w:hAnsiTheme="minorHAnsi"/>
          <w:b w:val="0"/>
        </w:rPr>
        <w:t>twelve</w:t>
      </w:r>
      <w:r w:rsidR="001739C7">
        <w:rPr>
          <w:rFonts w:asciiTheme="minorHAnsi" w:hAnsiTheme="minorHAnsi"/>
          <w:b w:val="0"/>
        </w:rPr>
        <w:t xml:space="preserve"> </w:t>
      </w:r>
      <w:r>
        <w:rPr>
          <w:rFonts w:asciiTheme="minorHAnsi" w:hAnsiTheme="minorHAnsi"/>
          <w:b w:val="0"/>
        </w:rPr>
        <w:t>hours driving in any relevant twenty-four</w:t>
      </w:r>
      <w:r w:rsidR="001739C7">
        <w:rPr>
          <w:rFonts w:asciiTheme="minorHAnsi" w:hAnsiTheme="minorHAnsi"/>
          <w:b w:val="0"/>
        </w:rPr>
        <w:t xml:space="preserve"> hour period. Therefore, </w:t>
      </w:r>
      <w:r>
        <w:rPr>
          <w:rFonts w:asciiTheme="minorHAnsi" w:hAnsiTheme="minorHAnsi"/>
          <w:b w:val="0"/>
        </w:rPr>
        <w:t xml:space="preserve">the </w:t>
      </w:r>
      <w:r w:rsidR="001739C7">
        <w:rPr>
          <w:rFonts w:asciiTheme="minorHAnsi" w:hAnsiTheme="minorHAnsi"/>
          <w:b w:val="0"/>
        </w:rPr>
        <w:t>NTC claimed justification</w:t>
      </w:r>
      <w:r w:rsidR="005A1BB4">
        <w:rPr>
          <w:rFonts w:asciiTheme="minorHAnsi" w:hAnsiTheme="minorHAnsi"/>
          <w:b w:val="0"/>
        </w:rPr>
        <w:t xml:space="preserve"> is</w:t>
      </w:r>
      <w:r w:rsidR="001739C7">
        <w:rPr>
          <w:rFonts w:asciiTheme="minorHAnsi" w:hAnsiTheme="minorHAnsi"/>
          <w:b w:val="0"/>
        </w:rPr>
        <w:t xml:space="preserve"> not sound.</w:t>
      </w:r>
    </w:p>
    <w:p w:rsidR="001739C7" w:rsidRPr="00627BFF" w:rsidRDefault="001739C7" w:rsidP="00814602">
      <w:pPr>
        <w:pStyle w:val="BodyText2"/>
        <w:rPr>
          <w:rFonts w:asciiTheme="minorHAnsi" w:hAnsiTheme="minorHAnsi"/>
          <w:b w:val="0"/>
        </w:rPr>
      </w:pPr>
    </w:p>
    <w:p w:rsidR="00627BFF" w:rsidRPr="00627BFF" w:rsidRDefault="00157916" w:rsidP="00814602">
      <w:pPr>
        <w:pStyle w:val="BodyText2"/>
        <w:rPr>
          <w:rFonts w:asciiTheme="minorHAnsi" w:hAnsiTheme="minorHAnsi"/>
          <w:b w:val="0"/>
        </w:rPr>
      </w:pPr>
      <w:r>
        <w:rPr>
          <w:rFonts w:asciiTheme="minorHAnsi" w:hAnsiTheme="minorHAnsi"/>
          <w:b w:val="0"/>
        </w:rPr>
        <w:t xml:space="preserve">The </w:t>
      </w:r>
      <w:r w:rsidR="001739C7">
        <w:rPr>
          <w:rFonts w:asciiTheme="minorHAnsi" w:hAnsiTheme="minorHAnsi"/>
          <w:b w:val="0"/>
        </w:rPr>
        <w:t xml:space="preserve">NTC paper states: </w:t>
      </w:r>
      <w:r w:rsidR="00627BFF" w:rsidRPr="00627BFF">
        <w:rPr>
          <w:rFonts w:asciiTheme="minorHAnsi" w:hAnsiTheme="minorHAnsi"/>
          <w:b w:val="0"/>
        </w:rPr>
        <w:t>Circadian impacts – undertaking a work schedule that impinges on the natural circadian cycle, including work during the night, sleeping during the day and starting shifts in the early morning or at significantly different times on consecutive days.</w:t>
      </w:r>
    </w:p>
    <w:p w:rsidR="00627BFF" w:rsidRDefault="00627BFF" w:rsidP="00814602">
      <w:pPr>
        <w:pStyle w:val="BodyText2"/>
        <w:rPr>
          <w:rFonts w:asciiTheme="minorHAnsi" w:hAnsiTheme="minorHAnsi"/>
          <w:b w:val="0"/>
        </w:rPr>
      </w:pPr>
    </w:p>
    <w:p w:rsidR="001739C7" w:rsidRDefault="00157916" w:rsidP="00F127E5">
      <w:pPr>
        <w:pStyle w:val="BodyText2"/>
        <w:ind w:left="720"/>
        <w:rPr>
          <w:rFonts w:asciiTheme="minorHAnsi" w:hAnsiTheme="minorHAnsi"/>
          <w:b w:val="0"/>
        </w:rPr>
      </w:pPr>
      <w:r w:rsidRPr="00157916">
        <w:rPr>
          <w:rFonts w:asciiTheme="minorHAnsi" w:hAnsiTheme="minorHAnsi"/>
          <w:b w:val="0"/>
        </w:rPr>
        <w:t>The ATA response</w:t>
      </w:r>
      <w:r w:rsidR="001739C7">
        <w:rPr>
          <w:rFonts w:asciiTheme="minorHAnsi" w:hAnsiTheme="minorHAnsi"/>
          <w:b w:val="0"/>
        </w:rPr>
        <w:t>: The SDH was developed with adequate controls based upon expert advice to address rest needs of drivers over a 28 day work cycle. BFM include</w:t>
      </w:r>
      <w:r>
        <w:rPr>
          <w:rFonts w:asciiTheme="minorHAnsi" w:hAnsiTheme="minorHAnsi"/>
          <w:b w:val="0"/>
        </w:rPr>
        <w:t>s</w:t>
      </w:r>
      <w:r w:rsidR="001739C7">
        <w:rPr>
          <w:rFonts w:asciiTheme="minorHAnsi" w:hAnsiTheme="minorHAnsi"/>
          <w:b w:val="0"/>
        </w:rPr>
        <w:t xml:space="preserve"> specific offsets to address the potential increased risk under that more flexible scheme. Therefore, </w:t>
      </w:r>
      <w:r>
        <w:rPr>
          <w:rFonts w:asciiTheme="minorHAnsi" w:hAnsiTheme="minorHAnsi"/>
          <w:b w:val="0"/>
        </w:rPr>
        <w:t xml:space="preserve">the </w:t>
      </w:r>
      <w:r w:rsidR="001739C7">
        <w:rPr>
          <w:rFonts w:asciiTheme="minorHAnsi" w:hAnsiTheme="minorHAnsi"/>
          <w:b w:val="0"/>
        </w:rPr>
        <w:t>NTC claimed justification is not sound.</w:t>
      </w:r>
    </w:p>
    <w:p w:rsidR="001739C7" w:rsidRDefault="001739C7" w:rsidP="00814602">
      <w:pPr>
        <w:pStyle w:val="BodyText2"/>
        <w:rPr>
          <w:rFonts w:asciiTheme="minorHAnsi" w:hAnsiTheme="minorHAnsi"/>
          <w:b w:val="0"/>
        </w:rPr>
      </w:pPr>
    </w:p>
    <w:p w:rsidR="00627BFF" w:rsidRPr="00627BFF" w:rsidRDefault="00157916" w:rsidP="00814602">
      <w:pPr>
        <w:pStyle w:val="BodyText2"/>
        <w:rPr>
          <w:rFonts w:asciiTheme="minorHAnsi" w:hAnsiTheme="minorHAnsi"/>
          <w:b w:val="0"/>
        </w:rPr>
      </w:pPr>
      <w:r>
        <w:rPr>
          <w:rFonts w:asciiTheme="minorHAnsi" w:hAnsiTheme="minorHAnsi"/>
          <w:b w:val="0"/>
        </w:rPr>
        <w:t xml:space="preserve">The </w:t>
      </w:r>
      <w:r w:rsidR="001739C7">
        <w:rPr>
          <w:rFonts w:asciiTheme="minorHAnsi" w:hAnsiTheme="minorHAnsi"/>
          <w:b w:val="0"/>
        </w:rPr>
        <w:t xml:space="preserve">NTC paper states: </w:t>
      </w:r>
      <w:r w:rsidR="00627BFF" w:rsidRPr="00627BFF">
        <w:rPr>
          <w:rFonts w:asciiTheme="minorHAnsi" w:hAnsiTheme="minorHAnsi"/>
          <w:b w:val="0"/>
        </w:rPr>
        <w:t>Frequent nose-to-tail schedules – particularly consecutive nose-to-tail schedules.</w:t>
      </w:r>
    </w:p>
    <w:p w:rsidR="001739C7" w:rsidRDefault="001739C7" w:rsidP="00814602">
      <w:pPr>
        <w:pStyle w:val="BodyText2"/>
        <w:rPr>
          <w:rFonts w:asciiTheme="minorHAnsi" w:hAnsiTheme="minorHAnsi"/>
          <w:b w:val="0"/>
        </w:rPr>
      </w:pPr>
    </w:p>
    <w:p w:rsidR="00627BFF" w:rsidRDefault="00157916" w:rsidP="00F127E5">
      <w:pPr>
        <w:pStyle w:val="BodyText2"/>
        <w:ind w:left="720"/>
        <w:rPr>
          <w:rFonts w:asciiTheme="minorHAnsi" w:hAnsiTheme="minorHAnsi"/>
          <w:b w:val="0"/>
        </w:rPr>
      </w:pPr>
      <w:r w:rsidRPr="00157916">
        <w:rPr>
          <w:rFonts w:asciiTheme="minorHAnsi" w:hAnsiTheme="minorHAnsi"/>
          <w:b w:val="0"/>
        </w:rPr>
        <w:t>The ATA response</w:t>
      </w:r>
      <w:r w:rsidR="001739C7">
        <w:rPr>
          <w:rFonts w:asciiTheme="minorHAnsi" w:hAnsiTheme="minorHAnsi"/>
          <w:b w:val="0"/>
        </w:rPr>
        <w:t xml:space="preserve">: The SDH was developed with </w:t>
      </w:r>
      <w:r w:rsidR="00F127E5">
        <w:rPr>
          <w:rFonts w:asciiTheme="minorHAnsi" w:hAnsiTheme="minorHAnsi"/>
          <w:b w:val="0"/>
        </w:rPr>
        <w:t xml:space="preserve">suitable </w:t>
      </w:r>
      <w:r w:rsidR="001739C7">
        <w:rPr>
          <w:rFonts w:asciiTheme="minorHAnsi" w:hAnsiTheme="minorHAnsi"/>
          <w:b w:val="0"/>
        </w:rPr>
        <w:t xml:space="preserve">controls based upon expert advice to address </w:t>
      </w:r>
      <w:r w:rsidR="00F127E5">
        <w:rPr>
          <w:rFonts w:asciiTheme="minorHAnsi" w:hAnsiTheme="minorHAnsi"/>
          <w:b w:val="0"/>
        </w:rPr>
        <w:t xml:space="preserve">the </w:t>
      </w:r>
      <w:r w:rsidR="001739C7">
        <w:rPr>
          <w:rFonts w:asciiTheme="minorHAnsi" w:hAnsiTheme="minorHAnsi"/>
          <w:b w:val="0"/>
        </w:rPr>
        <w:t>rest needs of drivers over a 28 day work cycle, and no evidence has be brought forward that so called ‘nose to tail’ work patterns can occur in a way</w:t>
      </w:r>
      <w:r w:rsidR="00CA19E7">
        <w:rPr>
          <w:rFonts w:asciiTheme="minorHAnsi" w:hAnsiTheme="minorHAnsi"/>
          <w:b w:val="0"/>
        </w:rPr>
        <w:t xml:space="preserve"> that is</w:t>
      </w:r>
      <w:r w:rsidR="001739C7">
        <w:rPr>
          <w:rFonts w:asciiTheme="minorHAnsi" w:hAnsiTheme="minorHAnsi"/>
          <w:b w:val="0"/>
        </w:rPr>
        <w:t xml:space="preserve"> unsafe given the controls that apply. </w:t>
      </w:r>
    </w:p>
    <w:p w:rsidR="001739C7" w:rsidRPr="00627BFF" w:rsidRDefault="001739C7" w:rsidP="00814602">
      <w:pPr>
        <w:pStyle w:val="BodyText2"/>
        <w:rPr>
          <w:rFonts w:asciiTheme="minorHAnsi" w:hAnsiTheme="minorHAnsi"/>
          <w:b w:val="0"/>
        </w:rPr>
      </w:pPr>
    </w:p>
    <w:p w:rsidR="001449D2" w:rsidRDefault="00627BFF" w:rsidP="00627BFF">
      <w:pPr>
        <w:pStyle w:val="BodyText2"/>
        <w:rPr>
          <w:rFonts w:asciiTheme="minorHAnsi" w:hAnsiTheme="minorHAnsi"/>
          <w:b w:val="0"/>
        </w:rPr>
      </w:pPr>
      <w:r w:rsidRPr="00627BFF">
        <w:rPr>
          <w:rFonts w:asciiTheme="minorHAnsi" w:hAnsiTheme="minorHAnsi"/>
          <w:b w:val="0"/>
        </w:rPr>
        <w:t xml:space="preserve">The NTC believes the above concerns regarding broader fatigue risk factors, in addition to those associated with nose-to-tail style schedules, </w:t>
      </w:r>
      <w:proofErr w:type="gramStart"/>
      <w:r w:rsidRPr="00627BFF">
        <w:rPr>
          <w:rFonts w:asciiTheme="minorHAnsi" w:hAnsiTheme="minorHAnsi"/>
          <w:b w:val="0"/>
        </w:rPr>
        <w:t>would</w:t>
      </w:r>
      <w:proofErr w:type="gramEnd"/>
      <w:r w:rsidRPr="00627BFF">
        <w:rPr>
          <w:rFonts w:asciiTheme="minorHAnsi" w:hAnsiTheme="minorHAnsi"/>
          <w:b w:val="0"/>
        </w:rPr>
        <w:t xml:space="preserve"> be best considered holistically as part of a Standard Hours review.</w:t>
      </w:r>
      <w:r w:rsidR="001739C7">
        <w:rPr>
          <w:rFonts w:asciiTheme="minorHAnsi" w:hAnsiTheme="minorHAnsi"/>
          <w:b w:val="0"/>
        </w:rPr>
        <w:t xml:space="preserve"> </w:t>
      </w:r>
    </w:p>
    <w:p w:rsidR="001449D2" w:rsidRDefault="001449D2" w:rsidP="00627BFF">
      <w:pPr>
        <w:pStyle w:val="BodyText2"/>
        <w:rPr>
          <w:rFonts w:asciiTheme="minorHAnsi" w:hAnsiTheme="minorHAnsi"/>
          <w:b w:val="0"/>
        </w:rPr>
      </w:pPr>
    </w:p>
    <w:p w:rsidR="005F306A" w:rsidRDefault="001739C7" w:rsidP="00F127E5">
      <w:pPr>
        <w:pStyle w:val="BodyText2"/>
        <w:ind w:left="720"/>
        <w:rPr>
          <w:rFonts w:asciiTheme="minorHAnsi" w:hAnsiTheme="minorHAnsi"/>
          <w:b w:val="0"/>
        </w:rPr>
      </w:pPr>
      <w:r>
        <w:rPr>
          <w:rFonts w:asciiTheme="minorHAnsi" w:hAnsiTheme="minorHAnsi"/>
          <w:b w:val="0"/>
        </w:rPr>
        <w:t>The ATA strongly disagrees, as stakeholder</w:t>
      </w:r>
      <w:r w:rsidR="00CA19E7">
        <w:rPr>
          <w:rFonts w:asciiTheme="minorHAnsi" w:hAnsiTheme="minorHAnsi"/>
          <w:b w:val="0"/>
        </w:rPr>
        <w:t>s</w:t>
      </w:r>
      <w:r>
        <w:rPr>
          <w:rFonts w:asciiTheme="minorHAnsi" w:hAnsiTheme="minorHAnsi"/>
          <w:b w:val="0"/>
        </w:rPr>
        <w:t xml:space="preserve"> including road agencies, police, industry representative</w:t>
      </w:r>
      <w:r w:rsidR="00CA19E7">
        <w:rPr>
          <w:rFonts w:asciiTheme="minorHAnsi" w:hAnsiTheme="minorHAnsi"/>
          <w:b w:val="0"/>
        </w:rPr>
        <w:t>s</w:t>
      </w:r>
      <w:r>
        <w:rPr>
          <w:rFonts w:asciiTheme="minorHAnsi" w:hAnsiTheme="minorHAnsi"/>
          <w:b w:val="0"/>
        </w:rPr>
        <w:t>, expe</w:t>
      </w:r>
      <w:r w:rsidR="00CA19E7">
        <w:rPr>
          <w:rFonts w:asciiTheme="minorHAnsi" w:hAnsiTheme="minorHAnsi"/>
          <w:b w:val="0"/>
        </w:rPr>
        <w:t>rts and community groups spent seven</w:t>
      </w:r>
      <w:r>
        <w:rPr>
          <w:rFonts w:asciiTheme="minorHAnsi" w:hAnsiTheme="minorHAnsi"/>
          <w:b w:val="0"/>
        </w:rPr>
        <w:t xml:space="preserve"> years debating the current rules. The current rules have produced safety gains </w:t>
      </w:r>
      <w:r w:rsidR="005A1BB4">
        <w:rPr>
          <w:rFonts w:asciiTheme="minorHAnsi" w:hAnsiTheme="minorHAnsi"/>
          <w:b w:val="0"/>
        </w:rPr>
        <w:t>with</w:t>
      </w:r>
      <w:r w:rsidR="00EF0723">
        <w:rPr>
          <w:rFonts w:asciiTheme="minorHAnsi" w:hAnsiTheme="minorHAnsi"/>
          <w:b w:val="0"/>
        </w:rPr>
        <w:t xml:space="preserve"> crash and incident data show</w:t>
      </w:r>
      <w:r w:rsidR="005A1BB4">
        <w:rPr>
          <w:rFonts w:asciiTheme="minorHAnsi" w:hAnsiTheme="minorHAnsi"/>
          <w:b w:val="0"/>
        </w:rPr>
        <w:t>ing</w:t>
      </w:r>
      <w:r w:rsidR="00CA19E7">
        <w:rPr>
          <w:rFonts w:asciiTheme="minorHAnsi" w:hAnsiTheme="minorHAnsi"/>
          <w:b w:val="0"/>
        </w:rPr>
        <w:t xml:space="preserve"> </w:t>
      </w:r>
      <w:r w:rsidR="00EF0723">
        <w:rPr>
          <w:rFonts w:asciiTheme="minorHAnsi" w:hAnsiTheme="minorHAnsi"/>
          <w:b w:val="0"/>
        </w:rPr>
        <w:t xml:space="preserve">a marked reduction in incidents. There is no basis to open these issues again. At best, a few </w:t>
      </w:r>
      <w:r w:rsidR="00F127E5">
        <w:rPr>
          <w:rFonts w:asciiTheme="minorHAnsi" w:hAnsiTheme="minorHAnsi"/>
          <w:b w:val="0"/>
        </w:rPr>
        <w:t xml:space="preserve">minor </w:t>
      </w:r>
      <w:r w:rsidR="001449D2">
        <w:rPr>
          <w:rFonts w:asciiTheme="minorHAnsi" w:hAnsiTheme="minorHAnsi"/>
          <w:b w:val="0"/>
        </w:rPr>
        <w:t>alterations</w:t>
      </w:r>
      <w:r w:rsidR="00EF0723">
        <w:rPr>
          <w:rFonts w:asciiTheme="minorHAnsi" w:hAnsiTheme="minorHAnsi"/>
          <w:b w:val="0"/>
        </w:rPr>
        <w:t xml:space="preserve"> to </w:t>
      </w:r>
      <w:r w:rsidR="00EF0723">
        <w:rPr>
          <w:rFonts w:asciiTheme="minorHAnsi" w:hAnsiTheme="minorHAnsi"/>
          <w:b w:val="0"/>
        </w:rPr>
        <w:lastRenderedPageBreak/>
        <w:t xml:space="preserve">improve fairness and </w:t>
      </w:r>
      <w:r w:rsidR="00F127E5">
        <w:rPr>
          <w:rFonts w:asciiTheme="minorHAnsi" w:hAnsiTheme="minorHAnsi"/>
          <w:b w:val="0"/>
        </w:rPr>
        <w:t xml:space="preserve">refine the </w:t>
      </w:r>
      <w:r w:rsidR="00EF0723">
        <w:rPr>
          <w:rFonts w:asciiTheme="minorHAnsi" w:hAnsiTheme="minorHAnsi"/>
          <w:b w:val="0"/>
        </w:rPr>
        <w:t xml:space="preserve">practical application of the law are </w:t>
      </w:r>
      <w:r w:rsidR="00F127E5">
        <w:rPr>
          <w:rFonts w:asciiTheme="minorHAnsi" w:hAnsiTheme="minorHAnsi"/>
          <w:b w:val="0"/>
        </w:rPr>
        <w:t>needed</w:t>
      </w:r>
      <w:r w:rsidR="00EF0723">
        <w:rPr>
          <w:rFonts w:asciiTheme="minorHAnsi" w:hAnsiTheme="minorHAnsi"/>
          <w:b w:val="0"/>
        </w:rPr>
        <w:t xml:space="preserve"> as part of on-going maintenance of reforms.  </w:t>
      </w:r>
    </w:p>
    <w:p w:rsidR="005F306A" w:rsidRDefault="005F306A" w:rsidP="00627BFF">
      <w:pPr>
        <w:pStyle w:val="BodyText2"/>
        <w:rPr>
          <w:rFonts w:asciiTheme="minorHAnsi" w:hAnsiTheme="minorHAnsi"/>
          <w:b w:val="0"/>
        </w:rPr>
      </w:pPr>
    </w:p>
    <w:p w:rsidR="005A1BB4" w:rsidRDefault="005F306A" w:rsidP="00627BFF">
      <w:pPr>
        <w:pStyle w:val="BodyText2"/>
        <w:rPr>
          <w:rFonts w:asciiTheme="minorHAnsi" w:hAnsiTheme="minorHAnsi"/>
          <w:b w:val="0"/>
        </w:rPr>
      </w:pPr>
      <w:r>
        <w:rPr>
          <w:rFonts w:asciiTheme="minorHAnsi" w:hAnsiTheme="minorHAnsi"/>
          <w:b w:val="0"/>
        </w:rPr>
        <w:t>We note that governments still have not taken adequate steps to meet their duties under fatigue legislation</w:t>
      </w:r>
      <w:r w:rsidR="00F127E5">
        <w:rPr>
          <w:rFonts w:asciiTheme="minorHAnsi" w:hAnsiTheme="minorHAnsi"/>
          <w:b w:val="0"/>
        </w:rPr>
        <w:t xml:space="preserve">. We further note </w:t>
      </w:r>
      <w:r>
        <w:rPr>
          <w:rFonts w:asciiTheme="minorHAnsi" w:hAnsiTheme="minorHAnsi"/>
          <w:b w:val="0"/>
        </w:rPr>
        <w:t xml:space="preserve">changes to </w:t>
      </w:r>
      <w:proofErr w:type="gramStart"/>
      <w:r>
        <w:rPr>
          <w:rFonts w:asciiTheme="minorHAnsi" w:hAnsiTheme="minorHAnsi"/>
          <w:b w:val="0"/>
        </w:rPr>
        <w:t>SDH</w:t>
      </w:r>
      <w:r w:rsidR="00F127E5">
        <w:rPr>
          <w:rFonts w:asciiTheme="minorHAnsi" w:hAnsiTheme="minorHAnsi"/>
          <w:b w:val="0"/>
        </w:rPr>
        <w:t>,</w:t>
      </w:r>
      <w:r>
        <w:rPr>
          <w:rFonts w:asciiTheme="minorHAnsi" w:hAnsiTheme="minorHAnsi"/>
          <w:b w:val="0"/>
        </w:rPr>
        <w:t xml:space="preserve"> </w:t>
      </w:r>
      <w:r w:rsidR="0067144C">
        <w:rPr>
          <w:rFonts w:asciiTheme="minorHAnsi" w:hAnsiTheme="minorHAnsi"/>
          <w:b w:val="0"/>
        </w:rPr>
        <w:t>that</w:t>
      </w:r>
      <w:proofErr w:type="gramEnd"/>
      <w:r w:rsidR="0067144C">
        <w:rPr>
          <w:rFonts w:asciiTheme="minorHAnsi" w:hAnsiTheme="minorHAnsi"/>
          <w:b w:val="0"/>
        </w:rPr>
        <w:t xml:space="preserve"> </w:t>
      </w:r>
      <w:r w:rsidR="005A1BB4">
        <w:rPr>
          <w:rFonts w:asciiTheme="minorHAnsi" w:hAnsiTheme="minorHAnsi"/>
          <w:b w:val="0"/>
        </w:rPr>
        <w:t>would reduce work hours</w:t>
      </w:r>
      <w:r w:rsidR="00F127E5">
        <w:rPr>
          <w:rFonts w:asciiTheme="minorHAnsi" w:hAnsiTheme="minorHAnsi"/>
          <w:b w:val="0"/>
        </w:rPr>
        <w:t xml:space="preserve">, would </w:t>
      </w:r>
      <w:r w:rsidR="005A1BB4">
        <w:rPr>
          <w:rFonts w:asciiTheme="minorHAnsi" w:hAnsiTheme="minorHAnsi"/>
          <w:b w:val="0"/>
        </w:rPr>
        <w:t>compound the current short</w:t>
      </w:r>
      <w:r>
        <w:rPr>
          <w:rFonts w:asciiTheme="minorHAnsi" w:hAnsiTheme="minorHAnsi"/>
          <w:b w:val="0"/>
        </w:rPr>
        <w:t xml:space="preserve">falls in rest areas and change over opportunities. </w:t>
      </w:r>
    </w:p>
    <w:p w:rsidR="00F127E5" w:rsidRDefault="00F127E5" w:rsidP="00627BFF">
      <w:pPr>
        <w:pStyle w:val="BodyText2"/>
        <w:rPr>
          <w:rFonts w:asciiTheme="minorHAnsi" w:hAnsiTheme="minorHAnsi"/>
          <w:b w:val="0"/>
        </w:rPr>
      </w:pPr>
    </w:p>
    <w:p w:rsidR="00627BFF" w:rsidRPr="00627BFF" w:rsidRDefault="005F306A" w:rsidP="00627BFF">
      <w:pPr>
        <w:pStyle w:val="BodyText2"/>
        <w:rPr>
          <w:rFonts w:asciiTheme="minorHAnsi" w:hAnsiTheme="minorHAnsi"/>
          <w:b w:val="0"/>
        </w:rPr>
      </w:pPr>
      <w:r>
        <w:rPr>
          <w:rFonts w:asciiTheme="minorHAnsi" w:hAnsiTheme="minorHAnsi"/>
          <w:b w:val="0"/>
        </w:rPr>
        <w:t>Further</w:t>
      </w:r>
      <w:r w:rsidR="001449D2">
        <w:rPr>
          <w:rFonts w:asciiTheme="minorHAnsi" w:hAnsiTheme="minorHAnsi"/>
          <w:b w:val="0"/>
        </w:rPr>
        <w:t>,</w:t>
      </w:r>
      <w:r>
        <w:rPr>
          <w:rFonts w:asciiTheme="minorHAnsi" w:hAnsiTheme="minorHAnsi"/>
          <w:b w:val="0"/>
        </w:rPr>
        <w:t xml:space="preserve"> </w:t>
      </w:r>
      <w:r w:rsidR="00F127E5">
        <w:rPr>
          <w:rFonts w:asciiTheme="minorHAnsi" w:hAnsiTheme="minorHAnsi"/>
          <w:b w:val="0"/>
        </w:rPr>
        <w:t xml:space="preserve">reducing allowed driving hours </w:t>
      </w:r>
      <w:r>
        <w:rPr>
          <w:rFonts w:asciiTheme="minorHAnsi" w:hAnsiTheme="minorHAnsi"/>
          <w:b w:val="0"/>
        </w:rPr>
        <w:t xml:space="preserve">has potential </w:t>
      </w:r>
      <w:r w:rsidR="005A1BB4">
        <w:rPr>
          <w:rFonts w:asciiTheme="minorHAnsi" w:hAnsiTheme="minorHAnsi"/>
          <w:b w:val="0"/>
        </w:rPr>
        <w:t xml:space="preserve">to </w:t>
      </w:r>
      <w:r>
        <w:rPr>
          <w:rFonts w:asciiTheme="minorHAnsi" w:hAnsiTheme="minorHAnsi"/>
          <w:b w:val="0"/>
        </w:rPr>
        <w:t xml:space="preserve">lead to major structural change in the industry and its ability to service demand introducing significant inefficiencies. For example, overnight transport between Sydney and Melbourne </w:t>
      </w:r>
      <w:r w:rsidR="001449D2">
        <w:rPr>
          <w:rFonts w:asciiTheme="minorHAnsi" w:hAnsiTheme="minorHAnsi"/>
          <w:b w:val="0"/>
        </w:rPr>
        <w:t>can be achieved by S</w:t>
      </w:r>
      <w:r w:rsidR="00E91C39">
        <w:rPr>
          <w:rFonts w:asciiTheme="minorHAnsi" w:hAnsiTheme="minorHAnsi"/>
          <w:b w:val="0"/>
        </w:rPr>
        <w:t>D</w:t>
      </w:r>
      <w:r w:rsidR="001449D2">
        <w:rPr>
          <w:rFonts w:asciiTheme="minorHAnsi" w:hAnsiTheme="minorHAnsi"/>
          <w:b w:val="0"/>
        </w:rPr>
        <w:t>H,</w:t>
      </w:r>
      <w:r w:rsidR="00F127E5">
        <w:rPr>
          <w:rFonts w:asciiTheme="minorHAnsi" w:hAnsiTheme="minorHAnsi"/>
          <w:b w:val="0"/>
        </w:rPr>
        <w:t xml:space="preserve"> and </w:t>
      </w:r>
      <w:r w:rsidR="001449D2">
        <w:rPr>
          <w:rFonts w:asciiTheme="minorHAnsi" w:hAnsiTheme="minorHAnsi"/>
          <w:b w:val="0"/>
        </w:rPr>
        <w:t xml:space="preserve">this </w:t>
      </w:r>
      <w:r>
        <w:rPr>
          <w:rFonts w:asciiTheme="minorHAnsi" w:hAnsiTheme="minorHAnsi"/>
          <w:b w:val="0"/>
        </w:rPr>
        <w:t xml:space="preserve">is a clear expectation of the community. But </w:t>
      </w:r>
      <w:r w:rsidR="0067144C">
        <w:rPr>
          <w:rFonts w:asciiTheme="minorHAnsi" w:hAnsiTheme="minorHAnsi"/>
          <w:b w:val="0"/>
        </w:rPr>
        <w:t xml:space="preserve">the </w:t>
      </w:r>
      <w:r w:rsidR="00F127E5">
        <w:rPr>
          <w:rFonts w:asciiTheme="minorHAnsi" w:hAnsiTheme="minorHAnsi"/>
          <w:b w:val="0"/>
        </w:rPr>
        <w:t xml:space="preserve">real </w:t>
      </w:r>
      <w:r>
        <w:rPr>
          <w:rFonts w:asciiTheme="minorHAnsi" w:hAnsiTheme="minorHAnsi"/>
          <w:b w:val="0"/>
        </w:rPr>
        <w:t xml:space="preserve">journey time is not different </w:t>
      </w:r>
      <w:r w:rsidR="00F127E5">
        <w:rPr>
          <w:rFonts w:asciiTheme="minorHAnsi" w:hAnsiTheme="minorHAnsi"/>
          <w:b w:val="0"/>
        </w:rPr>
        <w:t xml:space="preserve">now </w:t>
      </w:r>
      <w:r>
        <w:rPr>
          <w:rFonts w:asciiTheme="minorHAnsi" w:hAnsiTheme="minorHAnsi"/>
          <w:b w:val="0"/>
        </w:rPr>
        <w:t xml:space="preserve">to </w:t>
      </w:r>
      <w:r w:rsidR="00F127E5">
        <w:rPr>
          <w:rFonts w:asciiTheme="minorHAnsi" w:hAnsiTheme="minorHAnsi"/>
          <w:b w:val="0"/>
        </w:rPr>
        <w:t xml:space="preserve">that journey in </w:t>
      </w:r>
      <w:r>
        <w:rPr>
          <w:rFonts w:asciiTheme="minorHAnsi" w:hAnsiTheme="minorHAnsi"/>
          <w:b w:val="0"/>
        </w:rPr>
        <w:t xml:space="preserve">1995 or 2000. </w:t>
      </w:r>
      <w:r w:rsidR="001449D2">
        <w:rPr>
          <w:rFonts w:asciiTheme="minorHAnsi" w:hAnsiTheme="minorHAnsi"/>
          <w:b w:val="0"/>
        </w:rPr>
        <w:t>I</w:t>
      </w:r>
      <w:r>
        <w:rPr>
          <w:rFonts w:asciiTheme="minorHAnsi" w:hAnsiTheme="minorHAnsi"/>
          <w:b w:val="0"/>
        </w:rPr>
        <w:t xml:space="preserve">f that journey cannot be completed under a revised scheme by a </w:t>
      </w:r>
      <w:r w:rsidR="0067144C">
        <w:rPr>
          <w:rFonts w:asciiTheme="minorHAnsi" w:hAnsiTheme="minorHAnsi"/>
          <w:b w:val="0"/>
        </w:rPr>
        <w:t xml:space="preserve">single </w:t>
      </w:r>
      <w:r>
        <w:rPr>
          <w:rFonts w:asciiTheme="minorHAnsi" w:hAnsiTheme="minorHAnsi"/>
          <w:b w:val="0"/>
        </w:rPr>
        <w:t xml:space="preserve">driver </w:t>
      </w:r>
      <w:r w:rsidR="0067144C">
        <w:rPr>
          <w:rFonts w:asciiTheme="minorHAnsi" w:hAnsiTheme="minorHAnsi"/>
          <w:b w:val="0"/>
        </w:rPr>
        <w:t xml:space="preserve">at least </w:t>
      </w:r>
      <w:r>
        <w:rPr>
          <w:rFonts w:asciiTheme="minorHAnsi" w:hAnsiTheme="minorHAnsi"/>
          <w:b w:val="0"/>
        </w:rPr>
        <w:t>85% of the industry would be excluded from th</w:t>
      </w:r>
      <w:r w:rsidR="0067144C">
        <w:rPr>
          <w:rFonts w:asciiTheme="minorHAnsi" w:hAnsiTheme="minorHAnsi"/>
          <w:b w:val="0"/>
        </w:rPr>
        <w:t xml:space="preserve">is </w:t>
      </w:r>
      <w:r>
        <w:rPr>
          <w:rFonts w:asciiTheme="minorHAnsi" w:hAnsiTheme="minorHAnsi"/>
          <w:b w:val="0"/>
        </w:rPr>
        <w:t>market</w:t>
      </w:r>
      <w:r w:rsidR="0067144C">
        <w:rPr>
          <w:rFonts w:asciiTheme="minorHAnsi" w:hAnsiTheme="minorHAnsi"/>
          <w:b w:val="0"/>
        </w:rPr>
        <w:t xml:space="preserve"> and all similar markets</w:t>
      </w:r>
      <w:r>
        <w:rPr>
          <w:rFonts w:asciiTheme="minorHAnsi" w:hAnsiTheme="minorHAnsi"/>
          <w:b w:val="0"/>
        </w:rPr>
        <w:t xml:space="preserve">. Such a reduction in competition </w:t>
      </w:r>
      <w:r w:rsidR="0067144C">
        <w:rPr>
          <w:rFonts w:asciiTheme="minorHAnsi" w:hAnsiTheme="minorHAnsi"/>
          <w:b w:val="0"/>
        </w:rPr>
        <w:t xml:space="preserve">will have consequences. </w:t>
      </w:r>
      <w:r w:rsidR="001739C7">
        <w:rPr>
          <w:rFonts w:asciiTheme="minorHAnsi" w:hAnsiTheme="minorHAnsi"/>
          <w:b w:val="0"/>
        </w:rPr>
        <w:t xml:space="preserve"> </w:t>
      </w:r>
    </w:p>
    <w:p w:rsidR="00627BFF" w:rsidRDefault="00627BFF" w:rsidP="008579D7">
      <w:pPr>
        <w:pStyle w:val="BodyText2"/>
        <w:rPr>
          <w:rFonts w:asciiTheme="minorHAnsi" w:hAnsiTheme="minorHAnsi"/>
          <w:b w:val="0"/>
          <w:szCs w:val="22"/>
        </w:rPr>
      </w:pPr>
    </w:p>
    <w:p w:rsidR="00EF0723" w:rsidRPr="00997D73" w:rsidRDefault="00EF0723" w:rsidP="00EF0723">
      <w:pPr>
        <w:rPr>
          <w:rFonts w:asciiTheme="minorHAnsi" w:hAnsiTheme="minorHAnsi"/>
          <w:b/>
          <w:bCs/>
        </w:rPr>
      </w:pPr>
      <w:r w:rsidRPr="00997D73">
        <w:rPr>
          <w:rFonts w:asciiTheme="minorHAnsi" w:hAnsiTheme="minorHAnsi"/>
          <w:b/>
          <w:bCs/>
        </w:rPr>
        <w:t xml:space="preserve">Recommendation </w:t>
      </w:r>
      <w:r>
        <w:rPr>
          <w:rFonts w:asciiTheme="minorHAnsi" w:hAnsiTheme="minorHAnsi"/>
          <w:b/>
          <w:bCs/>
        </w:rPr>
        <w:t>3</w:t>
      </w:r>
    </w:p>
    <w:p w:rsidR="00EF0723" w:rsidRDefault="00EF0723" w:rsidP="00EF0723">
      <w:pPr>
        <w:rPr>
          <w:rFonts w:asciiTheme="minorHAnsi" w:hAnsiTheme="minorHAnsi"/>
        </w:rPr>
      </w:pPr>
    </w:p>
    <w:p w:rsidR="00EF0723" w:rsidRDefault="00EF0723" w:rsidP="00EF0723">
      <w:pPr>
        <w:rPr>
          <w:rFonts w:asciiTheme="minorHAnsi" w:hAnsiTheme="minorHAnsi"/>
        </w:rPr>
      </w:pPr>
      <w:r>
        <w:rPr>
          <w:rFonts w:cs="Arial"/>
        </w:rPr>
        <w:t xml:space="preserve">The ATA </w:t>
      </w:r>
      <w:r w:rsidRPr="00997D73">
        <w:rPr>
          <w:rFonts w:cs="Arial"/>
          <w:u w:val="single"/>
        </w:rPr>
        <w:t>does not</w:t>
      </w:r>
      <w:r>
        <w:rPr>
          <w:rFonts w:cs="Arial"/>
        </w:rPr>
        <w:t xml:space="preserve"> support the NTC conducting a further review of the Standard Driving Hours module in coming years. </w:t>
      </w:r>
      <w:r w:rsidRPr="00026099">
        <w:rPr>
          <w:rFonts w:cs="Arial"/>
        </w:rPr>
        <w:t xml:space="preserve">This recommendation </w:t>
      </w:r>
      <w:r>
        <w:rPr>
          <w:rFonts w:cs="Arial"/>
        </w:rPr>
        <w:t xml:space="preserve">is contrary to </w:t>
      </w:r>
      <w:r w:rsidRPr="00026099">
        <w:rPr>
          <w:rFonts w:cs="Arial"/>
        </w:rPr>
        <w:t>the NTC</w:t>
      </w:r>
      <w:r>
        <w:rPr>
          <w:rFonts w:cs="Arial"/>
        </w:rPr>
        <w:t>’s</w:t>
      </w:r>
      <w:r w:rsidRPr="00026099">
        <w:rPr>
          <w:rFonts w:cs="Arial"/>
        </w:rPr>
        <w:t xml:space="preserve"> recommendation</w:t>
      </w:r>
      <w:r w:rsidR="005A1BB4">
        <w:rPr>
          <w:rFonts w:cs="Arial"/>
        </w:rPr>
        <w:t>.</w:t>
      </w:r>
      <w:r w:rsidRPr="00026099">
        <w:rPr>
          <w:rFonts w:cs="Arial"/>
        </w:rPr>
        <w:t xml:space="preserve"> </w:t>
      </w:r>
    </w:p>
    <w:p w:rsidR="00EF0723" w:rsidRDefault="00EF0723" w:rsidP="008579D7">
      <w:pPr>
        <w:pStyle w:val="BodyText2"/>
        <w:rPr>
          <w:rFonts w:asciiTheme="minorHAnsi" w:hAnsiTheme="minorHAnsi"/>
          <w:b w:val="0"/>
          <w:szCs w:val="22"/>
        </w:rPr>
      </w:pPr>
    </w:p>
    <w:p w:rsidR="00EF0723" w:rsidRDefault="00EF0723" w:rsidP="008579D7">
      <w:pPr>
        <w:pStyle w:val="BodyText2"/>
        <w:rPr>
          <w:rFonts w:asciiTheme="minorHAnsi" w:hAnsiTheme="minorHAnsi"/>
          <w:b w:val="0"/>
          <w:szCs w:val="22"/>
        </w:rPr>
      </w:pPr>
    </w:p>
    <w:p w:rsidR="00EF0723" w:rsidRPr="003A745E" w:rsidRDefault="00EF0723" w:rsidP="00EF0723">
      <w:pPr>
        <w:pStyle w:val="Heading1"/>
        <w:rPr>
          <w:rFonts w:asciiTheme="minorHAnsi" w:hAnsiTheme="minorHAnsi"/>
          <w:szCs w:val="22"/>
        </w:rPr>
      </w:pPr>
      <w:bookmarkStart w:id="7" w:name="_Toc381003251"/>
      <w:r>
        <w:rPr>
          <w:rFonts w:asciiTheme="minorHAnsi" w:hAnsiTheme="minorHAnsi"/>
          <w:szCs w:val="22"/>
        </w:rPr>
        <w:t>Technical comments on parts of NTC’s Paper</w:t>
      </w:r>
      <w:bookmarkEnd w:id="7"/>
    </w:p>
    <w:p w:rsidR="00EF0723" w:rsidRDefault="00EF0723" w:rsidP="008579D7">
      <w:pPr>
        <w:pStyle w:val="BodyText2"/>
        <w:rPr>
          <w:rFonts w:asciiTheme="minorHAnsi" w:hAnsiTheme="minorHAnsi"/>
          <w:b w:val="0"/>
          <w:szCs w:val="22"/>
        </w:rPr>
      </w:pPr>
    </w:p>
    <w:p w:rsidR="00EF0723" w:rsidRDefault="00EF0723" w:rsidP="00EF0723">
      <w:r>
        <w:t xml:space="preserve">Page 14 </w:t>
      </w:r>
    </w:p>
    <w:p w:rsidR="00EF0723" w:rsidRDefault="00EF0723" w:rsidP="00EF0723">
      <w:r>
        <w:t xml:space="preserve">“Using ‘nose-to-tail’ schedules, it is possible for a solo Standard Hours or BFM driver to work up to </w:t>
      </w:r>
      <w:r w:rsidR="006712C4">
        <w:t>sixteen and a quarter hours when counting a twenty-four</w:t>
      </w:r>
      <w:r>
        <w:t xml:space="preserve"> hour period from the end of a short rest within the driver’s first work opportunity </w:t>
      </w:r>
      <w:r w:rsidRPr="00972267">
        <w:t>(</w:t>
      </w:r>
      <w:proofErr w:type="spellStart"/>
      <w:r>
        <w:t>ie</w:t>
      </w:r>
      <w:proofErr w:type="spellEnd"/>
      <w:r w:rsidRPr="00972267">
        <w:t xml:space="preserve">, counting according to the amended counting rule that was previously in place in South Australia </w:t>
      </w:r>
      <w:r>
        <w:t>and Victoria</w:t>
      </w:r>
      <w:r w:rsidRPr="00972267">
        <w:t xml:space="preserve">). </w:t>
      </w:r>
      <w:r>
        <w:t>However, the driver</w:t>
      </w:r>
      <w:r w:rsidR="006712C4">
        <w:t xml:space="preserve"> will still be legally working</w:t>
      </w:r>
      <w:r>
        <w:t xml:space="preserve"> up to </w:t>
      </w:r>
      <w:r w:rsidR="006712C4">
        <w:t>twelve hours (Standard) or fourteen hours (BFM) in the twenty-four</w:t>
      </w:r>
      <w:r>
        <w:t xml:space="preserve"> hour periods that must be counted (</w:t>
      </w:r>
      <w:proofErr w:type="spellStart"/>
      <w:r>
        <w:t>ie</w:t>
      </w:r>
      <w:proofErr w:type="spellEnd"/>
      <w:r>
        <w:t>, from the end of relevant major rest breaks).”</w:t>
      </w:r>
    </w:p>
    <w:p w:rsidR="006712C4" w:rsidRPr="00225088" w:rsidRDefault="006712C4" w:rsidP="00EF0723">
      <w:pPr>
        <w:rPr>
          <w:rFonts w:cs="Arial"/>
        </w:rPr>
      </w:pPr>
    </w:p>
    <w:p w:rsidR="00EF0723" w:rsidRDefault="00EF0723" w:rsidP="008579D7">
      <w:pPr>
        <w:pStyle w:val="BodyText2"/>
        <w:rPr>
          <w:rFonts w:asciiTheme="minorHAnsi" w:hAnsiTheme="minorHAnsi"/>
          <w:b w:val="0"/>
          <w:szCs w:val="22"/>
        </w:rPr>
      </w:pPr>
      <w:r>
        <w:rPr>
          <w:rFonts w:asciiTheme="minorHAnsi" w:hAnsiTheme="minorHAnsi"/>
          <w:b w:val="0"/>
          <w:szCs w:val="22"/>
        </w:rPr>
        <w:t>The critical poi</w:t>
      </w:r>
      <w:r w:rsidR="006712C4">
        <w:rPr>
          <w:rFonts w:asciiTheme="minorHAnsi" w:hAnsiTheme="minorHAnsi"/>
          <w:b w:val="0"/>
          <w:szCs w:val="22"/>
        </w:rPr>
        <w:t>nt that the driver must take a seven</w:t>
      </w:r>
      <w:r>
        <w:rPr>
          <w:rFonts w:asciiTheme="minorHAnsi" w:hAnsiTheme="minorHAnsi"/>
          <w:b w:val="0"/>
          <w:szCs w:val="22"/>
        </w:rPr>
        <w:t xml:space="preserve"> hour long rest break between the two </w:t>
      </w:r>
      <w:r w:rsidR="00C811B2">
        <w:rPr>
          <w:rFonts w:asciiTheme="minorHAnsi" w:hAnsiTheme="minorHAnsi"/>
          <w:b w:val="0"/>
          <w:szCs w:val="22"/>
        </w:rPr>
        <w:t xml:space="preserve">long </w:t>
      </w:r>
      <w:r>
        <w:rPr>
          <w:rFonts w:asciiTheme="minorHAnsi" w:hAnsiTheme="minorHAnsi"/>
          <w:b w:val="0"/>
          <w:szCs w:val="22"/>
        </w:rPr>
        <w:t>periods of work and other mandatory short rest breaks is not made and it should be. Further, late</w:t>
      </w:r>
      <w:r w:rsidR="00C811B2">
        <w:rPr>
          <w:rFonts w:asciiTheme="minorHAnsi" w:hAnsiTheme="minorHAnsi"/>
          <w:b w:val="0"/>
          <w:szCs w:val="22"/>
        </w:rPr>
        <w:t>r</w:t>
      </w:r>
      <w:r>
        <w:rPr>
          <w:rFonts w:asciiTheme="minorHAnsi" w:hAnsiTheme="minorHAnsi"/>
          <w:b w:val="0"/>
          <w:szCs w:val="22"/>
        </w:rPr>
        <w:t xml:space="preserve"> on </w:t>
      </w:r>
      <w:r w:rsidR="005A1BB4">
        <w:rPr>
          <w:rFonts w:asciiTheme="minorHAnsi" w:hAnsiTheme="minorHAnsi"/>
          <w:b w:val="0"/>
          <w:szCs w:val="22"/>
        </w:rPr>
        <w:t xml:space="preserve">in </w:t>
      </w:r>
      <w:r>
        <w:rPr>
          <w:rFonts w:asciiTheme="minorHAnsi" w:hAnsiTheme="minorHAnsi"/>
          <w:b w:val="0"/>
          <w:szCs w:val="22"/>
        </w:rPr>
        <w:t xml:space="preserve">the </w:t>
      </w:r>
      <w:r w:rsidR="00C811B2">
        <w:rPr>
          <w:rFonts w:asciiTheme="minorHAnsi" w:hAnsiTheme="minorHAnsi"/>
          <w:b w:val="0"/>
          <w:szCs w:val="22"/>
        </w:rPr>
        <w:t xml:space="preserve">same </w:t>
      </w:r>
      <w:r>
        <w:rPr>
          <w:rFonts w:asciiTheme="minorHAnsi" w:hAnsiTheme="minorHAnsi"/>
          <w:b w:val="0"/>
          <w:szCs w:val="22"/>
        </w:rPr>
        <w:t xml:space="preserve">page the fact that </w:t>
      </w:r>
      <w:r w:rsidR="006872CB">
        <w:rPr>
          <w:rFonts w:asciiTheme="minorHAnsi" w:hAnsiTheme="minorHAnsi"/>
          <w:b w:val="0"/>
          <w:szCs w:val="22"/>
        </w:rPr>
        <w:t xml:space="preserve">there is a </w:t>
      </w:r>
      <w:r>
        <w:rPr>
          <w:rFonts w:asciiTheme="minorHAnsi" w:hAnsiTheme="minorHAnsi"/>
          <w:b w:val="0"/>
          <w:szCs w:val="22"/>
        </w:rPr>
        <w:t>suite of rule</w:t>
      </w:r>
      <w:r w:rsidR="00C811B2">
        <w:rPr>
          <w:rFonts w:asciiTheme="minorHAnsi" w:hAnsiTheme="minorHAnsi"/>
          <w:b w:val="0"/>
          <w:szCs w:val="22"/>
        </w:rPr>
        <w:t>s</w:t>
      </w:r>
      <w:r>
        <w:rPr>
          <w:rFonts w:asciiTheme="minorHAnsi" w:hAnsiTheme="minorHAnsi"/>
          <w:b w:val="0"/>
          <w:szCs w:val="22"/>
        </w:rPr>
        <w:t xml:space="preserve"> </w:t>
      </w:r>
      <w:r w:rsidR="006872CB">
        <w:rPr>
          <w:rFonts w:asciiTheme="minorHAnsi" w:hAnsiTheme="minorHAnsi"/>
          <w:b w:val="0"/>
          <w:szCs w:val="22"/>
        </w:rPr>
        <w:t xml:space="preserve">to </w:t>
      </w:r>
      <w:r>
        <w:rPr>
          <w:rFonts w:asciiTheme="minorHAnsi" w:hAnsiTheme="minorHAnsi"/>
          <w:b w:val="0"/>
          <w:szCs w:val="22"/>
        </w:rPr>
        <w:t xml:space="preserve">prevent re-occurring </w:t>
      </w:r>
      <w:r w:rsidR="00C811B2">
        <w:rPr>
          <w:rFonts w:asciiTheme="minorHAnsi" w:hAnsiTheme="minorHAnsi"/>
          <w:b w:val="0"/>
          <w:szCs w:val="22"/>
        </w:rPr>
        <w:t xml:space="preserve">nose to tail shifts is not adequately explained. The fact is if a driver consumes hours early in the 28 day cycle they are disadvantaging </w:t>
      </w:r>
      <w:r w:rsidR="006872CB">
        <w:rPr>
          <w:rFonts w:asciiTheme="minorHAnsi" w:hAnsiTheme="minorHAnsi"/>
          <w:b w:val="0"/>
          <w:szCs w:val="22"/>
        </w:rPr>
        <w:t xml:space="preserve">themselves </w:t>
      </w:r>
      <w:r w:rsidR="00C811B2">
        <w:rPr>
          <w:rFonts w:asciiTheme="minorHAnsi" w:hAnsiTheme="minorHAnsi"/>
          <w:b w:val="0"/>
          <w:szCs w:val="22"/>
        </w:rPr>
        <w:t xml:space="preserve">later in the full cycle. </w:t>
      </w:r>
      <w:r w:rsidR="001449D2">
        <w:rPr>
          <w:rFonts w:asciiTheme="minorHAnsi" w:hAnsiTheme="minorHAnsi"/>
          <w:b w:val="0"/>
          <w:szCs w:val="22"/>
        </w:rPr>
        <w:t>T</w:t>
      </w:r>
      <w:r w:rsidR="00C811B2">
        <w:rPr>
          <w:rFonts w:asciiTheme="minorHAnsi" w:hAnsiTheme="minorHAnsi"/>
          <w:b w:val="0"/>
          <w:szCs w:val="22"/>
        </w:rPr>
        <w:t>he checks and balances that exist</w:t>
      </w:r>
      <w:r w:rsidR="00E91C39">
        <w:rPr>
          <w:rFonts w:asciiTheme="minorHAnsi" w:hAnsiTheme="minorHAnsi"/>
          <w:b w:val="0"/>
          <w:szCs w:val="22"/>
        </w:rPr>
        <w:t>,</w:t>
      </w:r>
      <w:r w:rsidR="00C811B2">
        <w:rPr>
          <w:rFonts w:asciiTheme="minorHAnsi" w:hAnsiTheme="minorHAnsi"/>
          <w:b w:val="0"/>
          <w:szCs w:val="22"/>
        </w:rPr>
        <w:t xml:space="preserve"> work. </w:t>
      </w:r>
    </w:p>
    <w:p w:rsidR="00EF0723" w:rsidRPr="00627BFF" w:rsidRDefault="00EF0723" w:rsidP="008579D7">
      <w:pPr>
        <w:pStyle w:val="BodyText2"/>
        <w:rPr>
          <w:rFonts w:asciiTheme="minorHAnsi" w:hAnsiTheme="minorHAnsi"/>
          <w:b w:val="0"/>
          <w:szCs w:val="22"/>
        </w:rPr>
      </w:pPr>
    </w:p>
    <w:p w:rsidR="00627BFF" w:rsidRDefault="00C811B2" w:rsidP="008579D7">
      <w:pPr>
        <w:pStyle w:val="BodyText2"/>
        <w:rPr>
          <w:rFonts w:asciiTheme="minorHAnsi" w:hAnsiTheme="minorHAnsi"/>
          <w:b w:val="0"/>
          <w:szCs w:val="22"/>
        </w:rPr>
      </w:pPr>
      <w:r>
        <w:rPr>
          <w:rFonts w:asciiTheme="minorHAnsi" w:hAnsiTheme="minorHAnsi"/>
          <w:b w:val="0"/>
          <w:szCs w:val="22"/>
        </w:rPr>
        <w:t>Page 16</w:t>
      </w:r>
    </w:p>
    <w:p w:rsidR="00C811B2" w:rsidRDefault="00C811B2" w:rsidP="008579D7">
      <w:pPr>
        <w:pStyle w:val="BodyText2"/>
        <w:rPr>
          <w:rFonts w:asciiTheme="minorHAnsi" w:hAnsiTheme="minorHAnsi"/>
          <w:b w:val="0"/>
          <w:szCs w:val="22"/>
        </w:rPr>
      </w:pPr>
      <w:r>
        <w:rPr>
          <w:rFonts w:asciiTheme="minorHAnsi" w:hAnsiTheme="minorHAnsi"/>
          <w:b w:val="0"/>
          <w:szCs w:val="22"/>
        </w:rPr>
        <w:t>“</w:t>
      </w:r>
      <w:r w:rsidRPr="00C811B2">
        <w:rPr>
          <w:rFonts w:asciiTheme="minorHAnsi" w:hAnsiTheme="minorHAnsi"/>
          <w:b w:val="0"/>
          <w:szCs w:val="22"/>
        </w:rPr>
        <w:t>The AFM RCS indicates that some schedules currently possible under Standard Hours and BFM, including nose to tail schedules, are ‘high risk’.</w:t>
      </w:r>
      <w:r>
        <w:rPr>
          <w:rFonts w:asciiTheme="minorHAnsi" w:hAnsiTheme="minorHAnsi"/>
          <w:b w:val="0"/>
          <w:szCs w:val="22"/>
        </w:rPr>
        <w:t>” AFM RCS mean</w:t>
      </w:r>
      <w:r w:rsidR="005A1BB4">
        <w:rPr>
          <w:rFonts w:asciiTheme="minorHAnsi" w:hAnsiTheme="minorHAnsi"/>
          <w:b w:val="0"/>
          <w:szCs w:val="22"/>
        </w:rPr>
        <w:t>s Advance Fatigue Management Ris</w:t>
      </w:r>
      <w:r>
        <w:rPr>
          <w:rFonts w:asciiTheme="minorHAnsi" w:hAnsiTheme="minorHAnsi"/>
          <w:b w:val="0"/>
          <w:szCs w:val="22"/>
        </w:rPr>
        <w:t xml:space="preserve">k Classification System.  </w:t>
      </w:r>
    </w:p>
    <w:p w:rsidR="00C811B2" w:rsidRDefault="00C811B2" w:rsidP="008579D7">
      <w:pPr>
        <w:pStyle w:val="BodyText2"/>
        <w:rPr>
          <w:rFonts w:asciiTheme="minorHAnsi" w:hAnsiTheme="minorHAnsi"/>
          <w:b w:val="0"/>
          <w:szCs w:val="22"/>
        </w:rPr>
      </w:pPr>
    </w:p>
    <w:p w:rsidR="0004695B" w:rsidRDefault="00C811B2" w:rsidP="008579D7">
      <w:pPr>
        <w:pStyle w:val="BodyText2"/>
        <w:rPr>
          <w:rFonts w:asciiTheme="minorHAnsi" w:hAnsiTheme="minorHAnsi"/>
          <w:b w:val="0"/>
          <w:szCs w:val="22"/>
        </w:rPr>
      </w:pPr>
      <w:r>
        <w:rPr>
          <w:rFonts w:asciiTheme="minorHAnsi" w:hAnsiTheme="minorHAnsi"/>
          <w:b w:val="0"/>
          <w:szCs w:val="22"/>
        </w:rPr>
        <w:t>Th</w:t>
      </w:r>
      <w:r w:rsidR="00AC40D0">
        <w:rPr>
          <w:rFonts w:asciiTheme="minorHAnsi" w:hAnsiTheme="minorHAnsi"/>
          <w:b w:val="0"/>
          <w:szCs w:val="22"/>
        </w:rPr>
        <w:t>e AFM RCS was developed to screen AFM applications.</w:t>
      </w:r>
      <w:r w:rsidR="00E674DE">
        <w:rPr>
          <w:rFonts w:asciiTheme="minorHAnsi" w:hAnsiTheme="minorHAnsi"/>
          <w:b w:val="0"/>
          <w:szCs w:val="22"/>
        </w:rPr>
        <w:t xml:space="preserve"> In screening the AFM applications the tool has three outcome</w:t>
      </w:r>
      <w:r w:rsidR="0004695B">
        <w:rPr>
          <w:rFonts w:asciiTheme="minorHAnsi" w:hAnsiTheme="minorHAnsi"/>
          <w:b w:val="0"/>
          <w:szCs w:val="22"/>
        </w:rPr>
        <w:t>s. G</w:t>
      </w:r>
      <w:r w:rsidR="00E674DE">
        <w:rPr>
          <w:rFonts w:asciiTheme="minorHAnsi" w:hAnsiTheme="minorHAnsi"/>
          <w:b w:val="0"/>
          <w:szCs w:val="22"/>
        </w:rPr>
        <w:t>reen light, no further assessment required</w:t>
      </w:r>
      <w:r w:rsidR="0004695B">
        <w:rPr>
          <w:rFonts w:asciiTheme="minorHAnsi" w:hAnsiTheme="minorHAnsi"/>
          <w:b w:val="0"/>
          <w:szCs w:val="22"/>
        </w:rPr>
        <w:t>.</w:t>
      </w:r>
      <w:r w:rsidR="00E674DE">
        <w:rPr>
          <w:rFonts w:asciiTheme="minorHAnsi" w:hAnsiTheme="minorHAnsi"/>
          <w:b w:val="0"/>
          <w:szCs w:val="22"/>
        </w:rPr>
        <w:t xml:space="preserve"> </w:t>
      </w:r>
      <w:r w:rsidR="0004695B">
        <w:rPr>
          <w:rFonts w:asciiTheme="minorHAnsi" w:hAnsiTheme="minorHAnsi"/>
          <w:b w:val="0"/>
          <w:szCs w:val="22"/>
        </w:rPr>
        <w:t>O</w:t>
      </w:r>
      <w:r w:rsidR="00E674DE">
        <w:rPr>
          <w:rFonts w:asciiTheme="minorHAnsi" w:hAnsiTheme="minorHAnsi"/>
          <w:b w:val="0"/>
          <w:szCs w:val="22"/>
        </w:rPr>
        <w:t>range light</w:t>
      </w:r>
      <w:r w:rsidR="005A1BB4">
        <w:rPr>
          <w:rFonts w:asciiTheme="minorHAnsi" w:hAnsiTheme="minorHAnsi"/>
          <w:b w:val="0"/>
          <w:szCs w:val="22"/>
        </w:rPr>
        <w:t>, check i</w:t>
      </w:r>
      <w:r w:rsidR="00E674DE">
        <w:rPr>
          <w:rFonts w:asciiTheme="minorHAnsi" w:hAnsiTheme="minorHAnsi"/>
          <w:b w:val="0"/>
          <w:szCs w:val="22"/>
        </w:rPr>
        <w:t xml:space="preserve">f offsets </w:t>
      </w:r>
      <w:r w:rsidR="006872CB">
        <w:rPr>
          <w:rFonts w:asciiTheme="minorHAnsi" w:hAnsiTheme="minorHAnsi"/>
          <w:b w:val="0"/>
          <w:szCs w:val="22"/>
        </w:rPr>
        <w:t xml:space="preserve">are </w:t>
      </w:r>
      <w:r w:rsidR="00E674DE">
        <w:rPr>
          <w:rFonts w:asciiTheme="minorHAnsi" w:hAnsiTheme="minorHAnsi"/>
          <w:b w:val="0"/>
          <w:szCs w:val="22"/>
        </w:rPr>
        <w:t>require</w:t>
      </w:r>
      <w:r w:rsidR="0004695B">
        <w:rPr>
          <w:rFonts w:asciiTheme="minorHAnsi" w:hAnsiTheme="minorHAnsi"/>
          <w:b w:val="0"/>
          <w:szCs w:val="22"/>
        </w:rPr>
        <w:t>d</w:t>
      </w:r>
      <w:r w:rsidR="00E674DE">
        <w:rPr>
          <w:rFonts w:asciiTheme="minorHAnsi" w:hAnsiTheme="minorHAnsi"/>
          <w:b w:val="0"/>
          <w:szCs w:val="22"/>
        </w:rPr>
        <w:t xml:space="preserve"> and red light consideration by fatigue </w:t>
      </w:r>
      <w:r w:rsidR="0004695B">
        <w:rPr>
          <w:rFonts w:asciiTheme="minorHAnsi" w:hAnsiTheme="minorHAnsi"/>
          <w:b w:val="0"/>
          <w:szCs w:val="22"/>
        </w:rPr>
        <w:t xml:space="preserve">expert </w:t>
      </w:r>
      <w:r w:rsidR="00E674DE">
        <w:rPr>
          <w:rFonts w:asciiTheme="minorHAnsi" w:hAnsiTheme="minorHAnsi"/>
          <w:b w:val="0"/>
          <w:szCs w:val="22"/>
        </w:rPr>
        <w:t>group required</w:t>
      </w:r>
      <w:r w:rsidR="0004695B">
        <w:rPr>
          <w:rFonts w:asciiTheme="minorHAnsi" w:hAnsiTheme="minorHAnsi"/>
          <w:b w:val="0"/>
          <w:szCs w:val="22"/>
        </w:rPr>
        <w:t>,</w:t>
      </w:r>
      <w:r w:rsidR="00E674DE">
        <w:rPr>
          <w:rFonts w:asciiTheme="minorHAnsi" w:hAnsiTheme="minorHAnsi"/>
          <w:b w:val="0"/>
          <w:szCs w:val="22"/>
        </w:rPr>
        <w:t xml:space="preserve"> as offsets may need to be tailored to the situation.</w:t>
      </w:r>
      <w:r w:rsidR="00AC40D0">
        <w:rPr>
          <w:rFonts w:asciiTheme="minorHAnsi" w:hAnsiTheme="minorHAnsi"/>
          <w:b w:val="0"/>
          <w:szCs w:val="22"/>
        </w:rPr>
        <w:t xml:space="preserve"> </w:t>
      </w:r>
      <w:r w:rsidR="00E674DE">
        <w:rPr>
          <w:rFonts w:asciiTheme="minorHAnsi" w:hAnsiTheme="minorHAnsi"/>
          <w:b w:val="0"/>
          <w:szCs w:val="22"/>
        </w:rPr>
        <w:t>The experts who developed this tool and the NHVR gave the ATA and NatRoad an assurance that the tool would not be used to asse</w:t>
      </w:r>
      <w:r w:rsidR="0004695B">
        <w:rPr>
          <w:rFonts w:asciiTheme="minorHAnsi" w:hAnsiTheme="minorHAnsi"/>
          <w:b w:val="0"/>
          <w:szCs w:val="22"/>
        </w:rPr>
        <w:t>ss</w:t>
      </w:r>
      <w:r w:rsidR="00E674DE">
        <w:rPr>
          <w:rFonts w:asciiTheme="minorHAnsi" w:hAnsiTheme="minorHAnsi"/>
          <w:b w:val="0"/>
          <w:szCs w:val="22"/>
        </w:rPr>
        <w:t xml:space="preserve"> existing driving hour rules. We were all aware that applying the assessment tool to SDH would potentially generate </w:t>
      </w:r>
      <w:r w:rsidR="0004695B">
        <w:rPr>
          <w:rFonts w:asciiTheme="minorHAnsi" w:hAnsiTheme="minorHAnsi"/>
          <w:b w:val="0"/>
          <w:szCs w:val="22"/>
        </w:rPr>
        <w:t>non-</w:t>
      </w:r>
      <w:r w:rsidR="00E674DE">
        <w:rPr>
          <w:rFonts w:asciiTheme="minorHAnsi" w:hAnsiTheme="minorHAnsi"/>
          <w:b w:val="0"/>
          <w:szCs w:val="22"/>
        </w:rPr>
        <w:t xml:space="preserve"> green outcomes as the tool was designed to flag potential risks and did not necessarily account for all possible risk offsets. </w:t>
      </w:r>
    </w:p>
    <w:p w:rsidR="0004695B" w:rsidRDefault="0004695B" w:rsidP="008579D7">
      <w:pPr>
        <w:pStyle w:val="BodyText2"/>
        <w:rPr>
          <w:rFonts w:asciiTheme="minorHAnsi" w:hAnsiTheme="minorHAnsi"/>
          <w:b w:val="0"/>
          <w:szCs w:val="22"/>
        </w:rPr>
      </w:pPr>
    </w:p>
    <w:p w:rsidR="00C811B2" w:rsidRDefault="00E674DE" w:rsidP="008579D7">
      <w:pPr>
        <w:pStyle w:val="BodyText2"/>
        <w:rPr>
          <w:rFonts w:asciiTheme="minorHAnsi" w:hAnsiTheme="minorHAnsi"/>
          <w:b w:val="0"/>
          <w:szCs w:val="22"/>
        </w:rPr>
      </w:pPr>
      <w:r>
        <w:rPr>
          <w:rFonts w:asciiTheme="minorHAnsi" w:hAnsiTheme="minorHAnsi"/>
          <w:b w:val="0"/>
          <w:szCs w:val="22"/>
        </w:rPr>
        <w:t xml:space="preserve">Accordingly, we are </w:t>
      </w:r>
      <w:r w:rsidR="00E91C39">
        <w:rPr>
          <w:rFonts w:asciiTheme="minorHAnsi" w:hAnsiTheme="minorHAnsi"/>
          <w:b w:val="0"/>
          <w:szCs w:val="22"/>
        </w:rPr>
        <w:t>surprised</w:t>
      </w:r>
      <w:r>
        <w:rPr>
          <w:rFonts w:asciiTheme="minorHAnsi" w:hAnsiTheme="minorHAnsi"/>
          <w:b w:val="0"/>
          <w:szCs w:val="22"/>
        </w:rPr>
        <w:t xml:space="preserve"> by the NTC’s reference to, and misuse of, the AFM RCS tool in this discussion paper. We doubt that the tool has adequately been applied to ‘nose to tail’ work practices as no one has shown us a 28 day cycle using nose to tail work practices that complies with </w:t>
      </w:r>
      <w:r w:rsidR="0067144C">
        <w:rPr>
          <w:rFonts w:asciiTheme="minorHAnsi" w:hAnsiTheme="minorHAnsi"/>
          <w:b w:val="0"/>
          <w:szCs w:val="22"/>
        </w:rPr>
        <w:t>SDH</w:t>
      </w:r>
      <w:r>
        <w:rPr>
          <w:rFonts w:asciiTheme="minorHAnsi" w:hAnsiTheme="minorHAnsi"/>
          <w:b w:val="0"/>
          <w:szCs w:val="22"/>
        </w:rPr>
        <w:t xml:space="preserve"> and demonstrates unacceptable risk</w:t>
      </w:r>
      <w:r w:rsidR="006872CB">
        <w:rPr>
          <w:rFonts w:asciiTheme="minorHAnsi" w:hAnsiTheme="minorHAnsi"/>
          <w:b w:val="0"/>
          <w:szCs w:val="22"/>
        </w:rPr>
        <w:t>,</w:t>
      </w:r>
      <w:r w:rsidR="005F306A">
        <w:rPr>
          <w:rFonts w:asciiTheme="minorHAnsi" w:hAnsiTheme="minorHAnsi"/>
          <w:b w:val="0"/>
          <w:szCs w:val="22"/>
        </w:rPr>
        <w:t xml:space="preserve"> or </w:t>
      </w:r>
      <w:r w:rsidR="0067144C">
        <w:rPr>
          <w:rFonts w:asciiTheme="minorHAnsi" w:hAnsiTheme="minorHAnsi"/>
          <w:b w:val="0"/>
          <w:szCs w:val="22"/>
        </w:rPr>
        <w:t xml:space="preserve">shows </w:t>
      </w:r>
      <w:r w:rsidR="005F306A">
        <w:rPr>
          <w:rFonts w:asciiTheme="minorHAnsi" w:hAnsiTheme="minorHAnsi"/>
          <w:b w:val="0"/>
          <w:szCs w:val="22"/>
        </w:rPr>
        <w:t>risks not controlled by the suite of rules</w:t>
      </w:r>
      <w:r>
        <w:rPr>
          <w:rFonts w:asciiTheme="minorHAnsi" w:hAnsiTheme="minorHAnsi"/>
          <w:b w:val="0"/>
          <w:szCs w:val="22"/>
        </w:rPr>
        <w:t xml:space="preserve">. </w:t>
      </w:r>
    </w:p>
    <w:p w:rsidR="0067144C" w:rsidRDefault="0067144C" w:rsidP="008579D7">
      <w:pPr>
        <w:pStyle w:val="BodyText2"/>
        <w:rPr>
          <w:rFonts w:asciiTheme="minorHAnsi" w:hAnsiTheme="minorHAnsi"/>
          <w:b w:val="0"/>
          <w:szCs w:val="22"/>
        </w:rPr>
      </w:pPr>
    </w:p>
    <w:p w:rsidR="0067144C" w:rsidRDefault="0067144C" w:rsidP="008579D7">
      <w:pPr>
        <w:pStyle w:val="BodyText2"/>
        <w:rPr>
          <w:rFonts w:asciiTheme="minorHAnsi" w:hAnsiTheme="minorHAnsi"/>
          <w:b w:val="0"/>
          <w:szCs w:val="22"/>
        </w:rPr>
      </w:pPr>
      <w:r>
        <w:rPr>
          <w:rFonts w:asciiTheme="minorHAnsi" w:hAnsiTheme="minorHAnsi"/>
          <w:b w:val="0"/>
          <w:szCs w:val="22"/>
        </w:rPr>
        <w:lastRenderedPageBreak/>
        <w:t>These comments also apply to NTC discussions at page 17. In summary</w:t>
      </w:r>
      <w:r w:rsidR="005A1BB4">
        <w:rPr>
          <w:rFonts w:asciiTheme="minorHAnsi" w:hAnsiTheme="minorHAnsi"/>
          <w:b w:val="0"/>
          <w:szCs w:val="22"/>
        </w:rPr>
        <w:t>,</w:t>
      </w:r>
      <w:r>
        <w:rPr>
          <w:rFonts w:asciiTheme="minorHAnsi" w:hAnsiTheme="minorHAnsi"/>
          <w:b w:val="0"/>
          <w:szCs w:val="22"/>
        </w:rPr>
        <w:t xml:space="preserve"> the AFM RCS is not design</w:t>
      </w:r>
      <w:r w:rsidR="0004695B">
        <w:rPr>
          <w:rFonts w:asciiTheme="minorHAnsi" w:hAnsiTheme="minorHAnsi"/>
          <w:b w:val="0"/>
          <w:szCs w:val="22"/>
        </w:rPr>
        <w:t>ed</w:t>
      </w:r>
      <w:r>
        <w:rPr>
          <w:rFonts w:asciiTheme="minorHAnsi" w:hAnsiTheme="minorHAnsi"/>
          <w:b w:val="0"/>
          <w:szCs w:val="22"/>
        </w:rPr>
        <w:t xml:space="preserve"> nor intend</w:t>
      </w:r>
      <w:r w:rsidR="0004695B">
        <w:rPr>
          <w:rFonts w:asciiTheme="minorHAnsi" w:hAnsiTheme="minorHAnsi"/>
          <w:b w:val="0"/>
          <w:szCs w:val="22"/>
        </w:rPr>
        <w:t>ed</w:t>
      </w:r>
      <w:r>
        <w:rPr>
          <w:rFonts w:asciiTheme="minorHAnsi" w:hAnsiTheme="minorHAnsi"/>
          <w:b w:val="0"/>
          <w:szCs w:val="22"/>
        </w:rPr>
        <w:t xml:space="preserve"> to be applied for purposes outside screening AFM applications. </w:t>
      </w:r>
      <w:r w:rsidR="00990AA4">
        <w:rPr>
          <w:rFonts w:asciiTheme="minorHAnsi" w:hAnsiTheme="minorHAnsi"/>
          <w:b w:val="0"/>
          <w:szCs w:val="22"/>
        </w:rPr>
        <w:t xml:space="preserve">Further, industry has not be convinced that AFM RCS is workable or credible as its application to ‘proven safe’ fatigue pilot (and AFM) operators with many millions of safe kilometres </w:t>
      </w:r>
      <w:r w:rsidR="006872CB">
        <w:rPr>
          <w:rFonts w:asciiTheme="minorHAnsi" w:hAnsiTheme="minorHAnsi"/>
          <w:b w:val="0"/>
          <w:szCs w:val="22"/>
        </w:rPr>
        <w:t xml:space="preserve">demonstrates it </w:t>
      </w:r>
      <w:r w:rsidR="00990AA4">
        <w:rPr>
          <w:rFonts w:asciiTheme="minorHAnsi" w:hAnsiTheme="minorHAnsi"/>
          <w:b w:val="0"/>
          <w:szCs w:val="22"/>
        </w:rPr>
        <w:t xml:space="preserve">is </w:t>
      </w:r>
      <w:r w:rsidR="006872CB">
        <w:rPr>
          <w:rFonts w:asciiTheme="minorHAnsi" w:hAnsiTheme="minorHAnsi"/>
          <w:b w:val="0"/>
          <w:szCs w:val="22"/>
        </w:rPr>
        <w:t xml:space="preserve">a </w:t>
      </w:r>
      <w:r w:rsidR="00990AA4">
        <w:rPr>
          <w:rFonts w:asciiTheme="minorHAnsi" w:hAnsiTheme="minorHAnsi"/>
          <w:b w:val="0"/>
          <w:szCs w:val="22"/>
        </w:rPr>
        <w:t>problematic</w:t>
      </w:r>
      <w:r w:rsidR="006872CB">
        <w:rPr>
          <w:rFonts w:asciiTheme="minorHAnsi" w:hAnsiTheme="minorHAnsi"/>
          <w:b w:val="0"/>
          <w:szCs w:val="22"/>
        </w:rPr>
        <w:t xml:space="preserve"> tool</w:t>
      </w:r>
      <w:r w:rsidR="00990AA4">
        <w:rPr>
          <w:rFonts w:asciiTheme="minorHAnsi" w:hAnsiTheme="minorHAnsi"/>
          <w:b w:val="0"/>
          <w:szCs w:val="22"/>
        </w:rPr>
        <w:t xml:space="preserve">. </w:t>
      </w:r>
    </w:p>
    <w:p w:rsidR="0067144C" w:rsidRDefault="0067144C" w:rsidP="008579D7">
      <w:pPr>
        <w:pStyle w:val="BodyText2"/>
        <w:rPr>
          <w:rFonts w:asciiTheme="minorHAnsi" w:hAnsiTheme="minorHAnsi"/>
          <w:b w:val="0"/>
          <w:szCs w:val="22"/>
        </w:rPr>
      </w:pPr>
    </w:p>
    <w:p w:rsidR="0067144C" w:rsidRDefault="0067144C" w:rsidP="008579D7">
      <w:pPr>
        <w:pStyle w:val="BodyText2"/>
        <w:rPr>
          <w:rFonts w:asciiTheme="minorHAnsi" w:hAnsiTheme="minorHAnsi"/>
          <w:b w:val="0"/>
          <w:szCs w:val="22"/>
        </w:rPr>
      </w:pPr>
      <w:r>
        <w:rPr>
          <w:rFonts w:asciiTheme="minorHAnsi" w:hAnsiTheme="minorHAnsi"/>
          <w:b w:val="0"/>
          <w:szCs w:val="22"/>
        </w:rPr>
        <w:t>Page 22</w:t>
      </w:r>
    </w:p>
    <w:p w:rsidR="0067144C" w:rsidRDefault="0067144C" w:rsidP="008579D7">
      <w:pPr>
        <w:pStyle w:val="BodyText2"/>
        <w:rPr>
          <w:rFonts w:asciiTheme="minorHAnsi" w:hAnsiTheme="minorHAnsi"/>
          <w:b w:val="0"/>
          <w:szCs w:val="22"/>
        </w:rPr>
      </w:pPr>
      <w:r>
        <w:rPr>
          <w:rFonts w:asciiTheme="minorHAnsi" w:hAnsiTheme="minorHAnsi"/>
          <w:b w:val="0"/>
          <w:szCs w:val="22"/>
        </w:rPr>
        <w:t xml:space="preserve">In response to the </w:t>
      </w:r>
      <w:r w:rsidR="005A1BB4">
        <w:rPr>
          <w:rFonts w:asciiTheme="minorHAnsi" w:hAnsiTheme="minorHAnsi"/>
          <w:b w:val="0"/>
          <w:szCs w:val="22"/>
        </w:rPr>
        <w:t>discussion under the NTC</w:t>
      </w:r>
      <w:r>
        <w:rPr>
          <w:rFonts w:asciiTheme="minorHAnsi" w:hAnsiTheme="minorHAnsi"/>
          <w:b w:val="0"/>
          <w:szCs w:val="22"/>
        </w:rPr>
        <w:t xml:space="preserve"> request for advice </w:t>
      </w:r>
      <w:r w:rsidR="005A1BB4">
        <w:rPr>
          <w:rFonts w:asciiTheme="minorHAnsi" w:hAnsiTheme="minorHAnsi"/>
          <w:b w:val="0"/>
          <w:szCs w:val="22"/>
        </w:rPr>
        <w:t>“</w:t>
      </w:r>
      <w:r>
        <w:rPr>
          <w:rFonts w:asciiTheme="minorHAnsi" w:hAnsiTheme="minorHAnsi"/>
          <w:b w:val="0"/>
          <w:szCs w:val="22"/>
        </w:rPr>
        <w:t>heading</w:t>
      </w:r>
      <w:r w:rsidR="00E91C39">
        <w:rPr>
          <w:rFonts w:asciiTheme="minorHAnsi" w:hAnsiTheme="minorHAnsi"/>
          <w:b w:val="0"/>
          <w:szCs w:val="22"/>
        </w:rPr>
        <w:t>”</w:t>
      </w:r>
      <w:r>
        <w:rPr>
          <w:rFonts w:asciiTheme="minorHAnsi" w:hAnsiTheme="minorHAnsi"/>
          <w:b w:val="0"/>
          <w:szCs w:val="22"/>
        </w:rPr>
        <w:t xml:space="preserve">, the ATA needs to </w:t>
      </w:r>
      <w:r w:rsidR="006872CB">
        <w:rPr>
          <w:rFonts w:asciiTheme="minorHAnsi" w:hAnsiTheme="minorHAnsi"/>
          <w:b w:val="0"/>
          <w:szCs w:val="22"/>
        </w:rPr>
        <w:t xml:space="preserve">put on the record </w:t>
      </w:r>
      <w:r>
        <w:rPr>
          <w:rFonts w:asciiTheme="minorHAnsi" w:hAnsiTheme="minorHAnsi"/>
          <w:b w:val="0"/>
          <w:szCs w:val="22"/>
        </w:rPr>
        <w:t xml:space="preserve">that </w:t>
      </w:r>
      <w:r w:rsidR="00D72A8B">
        <w:rPr>
          <w:rFonts w:asciiTheme="minorHAnsi" w:hAnsiTheme="minorHAnsi"/>
          <w:b w:val="0"/>
          <w:szCs w:val="22"/>
        </w:rPr>
        <w:t xml:space="preserve">the ATA was not provided </w:t>
      </w:r>
      <w:r w:rsidR="006872CB">
        <w:rPr>
          <w:rFonts w:asciiTheme="minorHAnsi" w:hAnsiTheme="minorHAnsi"/>
          <w:b w:val="0"/>
          <w:szCs w:val="22"/>
        </w:rPr>
        <w:t xml:space="preserve">with </w:t>
      </w:r>
      <w:r w:rsidR="00D72A8B">
        <w:rPr>
          <w:rFonts w:asciiTheme="minorHAnsi" w:hAnsiTheme="minorHAnsi"/>
          <w:b w:val="0"/>
          <w:szCs w:val="22"/>
        </w:rPr>
        <w:t>the opportunity to comment o</w:t>
      </w:r>
      <w:r w:rsidR="0004695B">
        <w:rPr>
          <w:rFonts w:asciiTheme="minorHAnsi" w:hAnsiTheme="minorHAnsi"/>
          <w:b w:val="0"/>
          <w:szCs w:val="22"/>
        </w:rPr>
        <w:t>n</w:t>
      </w:r>
      <w:r w:rsidR="00D72A8B">
        <w:rPr>
          <w:rFonts w:asciiTheme="minorHAnsi" w:hAnsiTheme="minorHAnsi"/>
          <w:b w:val="0"/>
          <w:szCs w:val="22"/>
        </w:rPr>
        <w:t xml:space="preserve"> the </w:t>
      </w:r>
      <w:r w:rsidR="006872CB">
        <w:rPr>
          <w:rFonts w:asciiTheme="minorHAnsi" w:hAnsiTheme="minorHAnsi"/>
          <w:b w:val="0"/>
          <w:szCs w:val="22"/>
        </w:rPr>
        <w:t xml:space="preserve">‘terms of the </w:t>
      </w:r>
      <w:r w:rsidR="00D72A8B">
        <w:rPr>
          <w:rFonts w:asciiTheme="minorHAnsi" w:hAnsiTheme="minorHAnsi"/>
          <w:b w:val="0"/>
          <w:szCs w:val="22"/>
        </w:rPr>
        <w:t>request for advice</w:t>
      </w:r>
      <w:r w:rsidR="006872CB">
        <w:rPr>
          <w:rFonts w:asciiTheme="minorHAnsi" w:hAnsiTheme="minorHAnsi"/>
          <w:b w:val="0"/>
          <w:szCs w:val="22"/>
        </w:rPr>
        <w:t>’</w:t>
      </w:r>
      <w:r w:rsidR="00D72A8B">
        <w:rPr>
          <w:rFonts w:asciiTheme="minorHAnsi" w:hAnsiTheme="minorHAnsi"/>
          <w:b w:val="0"/>
          <w:szCs w:val="22"/>
        </w:rPr>
        <w:t xml:space="preserve"> before it was issued. If we had been provided the opportunity</w:t>
      </w:r>
      <w:r w:rsidR="00365F36">
        <w:rPr>
          <w:rFonts w:asciiTheme="minorHAnsi" w:hAnsiTheme="minorHAnsi"/>
          <w:b w:val="0"/>
          <w:szCs w:val="22"/>
        </w:rPr>
        <w:t>,</w:t>
      </w:r>
      <w:r w:rsidR="00D72A8B">
        <w:rPr>
          <w:rFonts w:asciiTheme="minorHAnsi" w:hAnsiTheme="minorHAnsi"/>
          <w:b w:val="0"/>
          <w:szCs w:val="22"/>
        </w:rPr>
        <w:t xml:space="preserve"> we would have made suggestions </w:t>
      </w:r>
      <w:r w:rsidR="00365F36">
        <w:rPr>
          <w:rFonts w:asciiTheme="minorHAnsi" w:hAnsiTheme="minorHAnsi"/>
          <w:b w:val="0"/>
          <w:szCs w:val="22"/>
        </w:rPr>
        <w:t>t</w:t>
      </w:r>
      <w:r w:rsidR="00D72A8B">
        <w:rPr>
          <w:rFonts w:asciiTheme="minorHAnsi" w:hAnsiTheme="minorHAnsi"/>
          <w:b w:val="0"/>
          <w:szCs w:val="22"/>
        </w:rPr>
        <w:t xml:space="preserve">o improve the questions and </w:t>
      </w:r>
      <w:r w:rsidR="005A1BB4">
        <w:rPr>
          <w:rFonts w:asciiTheme="minorHAnsi" w:hAnsiTheme="minorHAnsi"/>
          <w:b w:val="0"/>
          <w:szCs w:val="22"/>
        </w:rPr>
        <w:t xml:space="preserve">therefore be </w:t>
      </w:r>
      <w:r w:rsidR="00365F36">
        <w:rPr>
          <w:rFonts w:asciiTheme="minorHAnsi" w:hAnsiTheme="minorHAnsi"/>
          <w:b w:val="0"/>
          <w:szCs w:val="22"/>
        </w:rPr>
        <w:t xml:space="preserve">more likely to value the advice. Currently, as we disagree with </w:t>
      </w:r>
      <w:r w:rsidR="005A1BB4">
        <w:rPr>
          <w:rFonts w:asciiTheme="minorHAnsi" w:hAnsiTheme="minorHAnsi"/>
          <w:b w:val="0"/>
          <w:szCs w:val="22"/>
        </w:rPr>
        <w:t xml:space="preserve">many </w:t>
      </w:r>
      <w:r w:rsidR="00365F36">
        <w:rPr>
          <w:rFonts w:asciiTheme="minorHAnsi" w:hAnsiTheme="minorHAnsi"/>
          <w:b w:val="0"/>
          <w:szCs w:val="22"/>
        </w:rPr>
        <w:t xml:space="preserve">aspects of the request we do </w:t>
      </w:r>
      <w:r w:rsidR="00E91C39">
        <w:rPr>
          <w:rFonts w:asciiTheme="minorHAnsi" w:hAnsiTheme="minorHAnsi"/>
          <w:b w:val="0"/>
          <w:szCs w:val="22"/>
        </w:rPr>
        <w:t xml:space="preserve">not </w:t>
      </w:r>
      <w:r w:rsidR="00365F36">
        <w:rPr>
          <w:rFonts w:asciiTheme="minorHAnsi" w:hAnsiTheme="minorHAnsi"/>
          <w:b w:val="0"/>
          <w:szCs w:val="22"/>
        </w:rPr>
        <w:t xml:space="preserve">believe the resulting advice adequately reflects the full impact of the fatigue management controls currently in place. </w:t>
      </w:r>
      <w:r>
        <w:rPr>
          <w:rFonts w:asciiTheme="minorHAnsi" w:hAnsiTheme="minorHAnsi"/>
          <w:b w:val="0"/>
          <w:szCs w:val="22"/>
        </w:rPr>
        <w:t xml:space="preserve"> </w:t>
      </w:r>
    </w:p>
    <w:p w:rsidR="00365F36" w:rsidRDefault="00365F36" w:rsidP="008579D7">
      <w:pPr>
        <w:pStyle w:val="BodyText2"/>
        <w:rPr>
          <w:rFonts w:asciiTheme="minorHAnsi" w:hAnsiTheme="minorHAnsi"/>
          <w:b w:val="0"/>
          <w:szCs w:val="22"/>
        </w:rPr>
      </w:pPr>
    </w:p>
    <w:p w:rsidR="00E651A3" w:rsidRDefault="00E651A3" w:rsidP="008579D7">
      <w:pPr>
        <w:pStyle w:val="BodyText2"/>
        <w:rPr>
          <w:rFonts w:asciiTheme="minorHAnsi" w:hAnsiTheme="minorHAnsi"/>
          <w:b w:val="0"/>
          <w:szCs w:val="22"/>
        </w:rPr>
      </w:pPr>
    </w:p>
    <w:p w:rsidR="00365F36" w:rsidRPr="003A745E" w:rsidRDefault="00365F36" w:rsidP="00365F36">
      <w:pPr>
        <w:pStyle w:val="Heading1"/>
        <w:rPr>
          <w:rFonts w:asciiTheme="minorHAnsi" w:hAnsiTheme="minorHAnsi"/>
          <w:szCs w:val="22"/>
        </w:rPr>
      </w:pPr>
      <w:bookmarkStart w:id="8" w:name="_Toc381003252"/>
      <w:r>
        <w:rPr>
          <w:rFonts w:asciiTheme="minorHAnsi" w:hAnsiTheme="minorHAnsi"/>
          <w:szCs w:val="22"/>
        </w:rPr>
        <w:t>Conclusion</w:t>
      </w:r>
      <w:bookmarkEnd w:id="8"/>
      <w:r>
        <w:rPr>
          <w:rFonts w:asciiTheme="minorHAnsi" w:hAnsiTheme="minorHAnsi"/>
          <w:szCs w:val="22"/>
        </w:rPr>
        <w:t xml:space="preserve"> </w:t>
      </w:r>
    </w:p>
    <w:p w:rsidR="00365F36" w:rsidRDefault="00365F36" w:rsidP="008579D7">
      <w:pPr>
        <w:pStyle w:val="BodyText2"/>
        <w:rPr>
          <w:rFonts w:asciiTheme="minorHAnsi" w:hAnsiTheme="minorHAnsi"/>
          <w:b w:val="0"/>
          <w:szCs w:val="22"/>
        </w:rPr>
      </w:pPr>
    </w:p>
    <w:p w:rsidR="00365F36" w:rsidRDefault="00365F36" w:rsidP="008579D7">
      <w:pPr>
        <w:pStyle w:val="BodyText2"/>
        <w:rPr>
          <w:rFonts w:asciiTheme="minorHAnsi" w:hAnsiTheme="minorHAnsi"/>
          <w:b w:val="0"/>
          <w:szCs w:val="22"/>
        </w:rPr>
      </w:pPr>
      <w:r w:rsidRPr="00365F36">
        <w:rPr>
          <w:rFonts w:asciiTheme="minorHAnsi" w:hAnsiTheme="minorHAnsi"/>
          <w:b w:val="0"/>
          <w:szCs w:val="22"/>
        </w:rPr>
        <w:t>The ATA caution</w:t>
      </w:r>
      <w:r w:rsidR="006957F2">
        <w:rPr>
          <w:rFonts w:asciiTheme="minorHAnsi" w:hAnsiTheme="minorHAnsi"/>
          <w:b w:val="0"/>
          <w:szCs w:val="22"/>
        </w:rPr>
        <w:t>s</w:t>
      </w:r>
      <w:r w:rsidRPr="00365F36">
        <w:rPr>
          <w:rFonts w:asciiTheme="minorHAnsi" w:hAnsiTheme="minorHAnsi"/>
          <w:b w:val="0"/>
          <w:szCs w:val="22"/>
        </w:rPr>
        <w:t xml:space="preserve"> that </w:t>
      </w:r>
      <w:r w:rsidR="006957F2">
        <w:rPr>
          <w:rFonts w:asciiTheme="minorHAnsi" w:hAnsiTheme="minorHAnsi"/>
          <w:b w:val="0"/>
          <w:szCs w:val="22"/>
        </w:rPr>
        <w:t xml:space="preserve">determining </w:t>
      </w:r>
      <w:r w:rsidRPr="00365F36">
        <w:rPr>
          <w:rFonts w:asciiTheme="minorHAnsi" w:hAnsiTheme="minorHAnsi"/>
          <w:b w:val="0"/>
          <w:szCs w:val="22"/>
        </w:rPr>
        <w:t xml:space="preserve">whether or not the purpose and intent </w:t>
      </w:r>
      <w:r w:rsidR="006957F2">
        <w:rPr>
          <w:rFonts w:asciiTheme="minorHAnsi" w:hAnsiTheme="minorHAnsi"/>
          <w:b w:val="0"/>
          <w:szCs w:val="22"/>
        </w:rPr>
        <w:t xml:space="preserve">of the fatigue laws </w:t>
      </w:r>
      <w:r w:rsidRPr="00365F36">
        <w:rPr>
          <w:rFonts w:asciiTheme="minorHAnsi" w:hAnsiTheme="minorHAnsi"/>
          <w:b w:val="0"/>
          <w:szCs w:val="22"/>
        </w:rPr>
        <w:t xml:space="preserve">are actually undermined </w:t>
      </w:r>
      <w:r w:rsidR="006957F2">
        <w:rPr>
          <w:rFonts w:asciiTheme="minorHAnsi" w:hAnsiTheme="minorHAnsi"/>
          <w:b w:val="0"/>
          <w:szCs w:val="22"/>
        </w:rPr>
        <w:t xml:space="preserve">by ‘nose to tail’ work opportunities </w:t>
      </w:r>
      <w:r w:rsidRPr="00365F36">
        <w:rPr>
          <w:rFonts w:asciiTheme="minorHAnsi" w:hAnsiTheme="minorHAnsi"/>
          <w:b w:val="0"/>
          <w:szCs w:val="22"/>
        </w:rPr>
        <w:t xml:space="preserve">depends upon the driver’s activities in the rest of </w:t>
      </w:r>
      <w:r w:rsidR="006872CB">
        <w:rPr>
          <w:rFonts w:asciiTheme="minorHAnsi" w:hAnsiTheme="minorHAnsi"/>
          <w:b w:val="0"/>
          <w:szCs w:val="22"/>
        </w:rPr>
        <w:t xml:space="preserve">the </w:t>
      </w:r>
      <w:r w:rsidRPr="00365F36">
        <w:rPr>
          <w:rFonts w:asciiTheme="minorHAnsi" w:hAnsiTheme="minorHAnsi"/>
          <w:b w:val="0"/>
          <w:szCs w:val="22"/>
        </w:rPr>
        <w:t>28 day cycle. The ATA note</w:t>
      </w:r>
      <w:r w:rsidR="006957F2">
        <w:rPr>
          <w:rFonts w:asciiTheme="minorHAnsi" w:hAnsiTheme="minorHAnsi"/>
          <w:b w:val="0"/>
          <w:szCs w:val="22"/>
        </w:rPr>
        <w:t>s</w:t>
      </w:r>
      <w:r w:rsidRPr="00365F36">
        <w:rPr>
          <w:rFonts w:asciiTheme="minorHAnsi" w:hAnsiTheme="minorHAnsi"/>
          <w:b w:val="0"/>
          <w:szCs w:val="22"/>
        </w:rPr>
        <w:t xml:space="preserve"> that </w:t>
      </w:r>
      <w:r w:rsidR="006957F2">
        <w:rPr>
          <w:rFonts w:asciiTheme="minorHAnsi" w:hAnsiTheme="minorHAnsi"/>
          <w:b w:val="0"/>
          <w:szCs w:val="22"/>
        </w:rPr>
        <w:t xml:space="preserve">a compliant driver working within </w:t>
      </w:r>
      <w:r w:rsidRPr="00365F36">
        <w:rPr>
          <w:rFonts w:asciiTheme="minorHAnsi" w:hAnsiTheme="minorHAnsi"/>
          <w:b w:val="0"/>
          <w:szCs w:val="22"/>
        </w:rPr>
        <w:t xml:space="preserve">the total 28 day cycle manages risk well, </w:t>
      </w:r>
      <w:r w:rsidR="006957F2">
        <w:rPr>
          <w:rFonts w:asciiTheme="minorHAnsi" w:hAnsiTheme="minorHAnsi"/>
          <w:b w:val="0"/>
          <w:szCs w:val="22"/>
        </w:rPr>
        <w:t xml:space="preserve">so despite the inputs from concerned parties </w:t>
      </w:r>
      <w:r w:rsidRPr="00365F36">
        <w:rPr>
          <w:rFonts w:asciiTheme="minorHAnsi" w:hAnsiTheme="minorHAnsi"/>
          <w:b w:val="0"/>
          <w:szCs w:val="22"/>
        </w:rPr>
        <w:t xml:space="preserve">the ATA </w:t>
      </w:r>
      <w:r w:rsidR="006957F2">
        <w:rPr>
          <w:rFonts w:asciiTheme="minorHAnsi" w:hAnsiTheme="minorHAnsi"/>
          <w:b w:val="0"/>
          <w:szCs w:val="22"/>
        </w:rPr>
        <w:t xml:space="preserve">is still </w:t>
      </w:r>
      <w:r w:rsidRPr="00365F36">
        <w:rPr>
          <w:rFonts w:asciiTheme="minorHAnsi" w:hAnsiTheme="minorHAnsi"/>
          <w:b w:val="0"/>
          <w:szCs w:val="22"/>
        </w:rPr>
        <w:t>not sure what the problem is.</w:t>
      </w:r>
      <w:r>
        <w:rPr>
          <w:rFonts w:asciiTheme="minorHAnsi" w:hAnsiTheme="minorHAnsi"/>
          <w:b w:val="0"/>
          <w:szCs w:val="22"/>
        </w:rPr>
        <w:t xml:space="preserve"> </w:t>
      </w:r>
      <w:r w:rsidR="006957F2">
        <w:rPr>
          <w:rFonts w:asciiTheme="minorHAnsi" w:hAnsiTheme="minorHAnsi"/>
          <w:b w:val="0"/>
          <w:szCs w:val="22"/>
        </w:rPr>
        <w:t xml:space="preserve">Evidence of legal cycles by drivers that cause unacceptable fatigue is lacking. </w:t>
      </w:r>
    </w:p>
    <w:p w:rsidR="006957F2" w:rsidRDefault="006957F2" w:rsidP="008579D7">
      <w:pPr>
        <w:pStyle w:val="BodyText2"/>
        <w:rPr>
          <w:rFonts w:asciiTheme="minorHAnsi" w:hAnsiTheme="minorHAnsi"/>
          <w:b w:val="0"/>
          <w:szCs w:val="22"/>
        </w:rPr>
      </w:pPr>
    </w:p>
    <w:p w:rsidR="00365F36" w:rsidRPr="000D5BFB" w:rsidRDefault="00365F36" w:rsidP="008579D7">
      <w:pPr>
        <w:pStyle w:val="BodyText2"/>
        <w:rPr>
          <w:rFonts w:asciiTheme="minorHAnsi" w:hAnsiTheme="minorHAnsi"/>
          <w:b w:val="0"/>
          <w:szCs w:val="22"/>
        </w:rPr>
      </w:pPr>
      <w:r w:rsidRPr="00365F36">
        <w:rPr>
          <w:rFonts w:asciiTheme="minorHAnsi" w:hAnsiTheme="minorHAnsi"/>
          <w:b w:val="0"/>
          <w:szCs w:val="22"/>
        </w:rPr>
        <w:t xml:space="preserve">The ATA </w:t>
      </w:r>
      <w:r w:rsidR="006957F2">
        <w:rPr>
          <w:rFonts w:asciiTheme="minorHAnsi" w:hAnsiTheme="minorHAnsi"/>
          <w:b w:val="0"/>
          <w:szCs w:val="22"/>
        </w:rPr>
        <w:t xml:space="preserve">does </w:t>
      </w:r>
      <w:r w:rsidRPr="00365F36">
        <w:rPr>
          <w:rFonts w:asciiTheme="minorHAnsi" w:hAnsiTheme="minorHAnsi"/>
          <w:b w:val="0"/>
          <w:szCs w:val="22"/>
        </w:rPr>
        <w:t xml:space="preserve">not have an appetite to revisit Standard Hours or BFM. Time benefits associated with better highways are lost as urban congestion increases. The </w:t>
      </w:r>
      <w:r w:rsidR="0004695B">
        <w:rPr>
          <w:rFonts w:asciiTheme="minorHAnsi" w:hAnsiTheme="minorHAnsi"/>
          <w:b w:val="0"/>
          <w:szCs w:val="22"/>
        </w:rPr>
        <w:t>twelve</w:t>
      </w:r>
      <w:r w:rsidR="0004695B" w:rsidRPr="00365F36">
        <w:rPr>
          <w:rFonts w:asciiTheme="minorHAnsi" w:hAnsiTheme="minorHAnsi"/>
          <w:b w:val="0"/>
          <w:szCs w:val="22"/>
        </w:rPr>
        <w:t xml:space="preserve"> </w:t>
      </w:r>
      <w:r w:rsidRPr="00365F36">
        <w:rPr>
          <w:rFonts w:asciiTheme="minorHAnsi" w:hAnsiTheme="minorHAnsi"/>
          <w:b w:val="0"/>
          <w:szCs w:val="22"/>
        </w:rPr>
        <w:t xml:space="preserve">hour work timeframe is linked with </w:t>
      </w:r>
      <w:r w:rsidR="006872CB">
        <w:rPr>
          <w:rFonts w:asciiTheme="minorHAnsi" w:hAnsiTheme="minorHAnsi"/>
          <w:b w:val="0"/>
          <w:szCs w:val="22"/>
        </w:rPr>
        <w:t xml:space="preserve">national </w:t>
      </w:r>
      <w:r w:rsidRPr="00365F36">
        <w:rPr>
          <w:rFonts w:asciiTheme="minorHAnsi" w:hAnsiTheme="minorHAnsi"/>
          <w:b w:val="0"/>
          <w:szCs w:val="22"/>
        </w:rPr>
        <w:t xml:space="preserve">geography, as is </w:t>
      </w:r>
      <w:r w:rsidR="0004695B">
        <w:rPr>
          <w:rFonts w:asciiTheme="minorHAnsi" w:hAnsiTheme="minorHAnsi"/>
          <w:b w:val="0"/>
          <w:szCs w:val="22"/>
        </w:rPr>
        <w:t>fourteen</w:t>
      </w:r>
      <w:r w:rsidR="0004695B" w:rsidRPr="00365F36">
        <w:rPr>
          <w:rFonts w:asciiTheme="minorHAnsi" w:hAnsiTheme="minorHAnsi"/>
          <w:b w:val="0"/>
          <w:szCs w:val="22"/>
        </w:rPr>
        <w:t xml:space="preserve"> </w:t>
      </w:r>
      <w:r w:rsidRPr="00365F36">
        <w:rPr>
          <w:rFonts w:asciiTheme="minorHAnsi" w:hAnsiTheme="minorHAnsi"/>
          <w:b w:val="0"/>
          <w:szCs w:val="22"/>
        </w:rPr>
        <w:t>hours, and in an environment of improving safety outcomes</w:t>
      </w:r>
      <w:r w:rsidR="006872CB">
        <w:rPr>
          <w:rFonts w:asciiTheme="minorHAnsi" w:hAnsiTheme="minorHAnsi"/>
          <w:b w:val="0"/>
          <w:szCs w:val="22"/>
        </w:rPr>
        <w:t>;</w:t>
      </w:r>
      <w:r w:rsidRPr="00365F36">
        <w:rPr>
          <w:rFonts w:asciiTheme="minorHAnsi" w:hAnsiTheme="minorHAnsi"/>
          <w:b w:val="0"/>
          <w:szCs w:val="22"/>
        </w:rPr>
        <w:t xml:space="preserve"> what would be the motivation for such reviews?</w:t>
      </w:r>
    </w:p>
    <w:sectPr w:rsidR="00365F36" w:rsidRPr="000D5BFB" w:rsidSect="00A9141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E5" w:rsidRDefault="00F127E5" w:rsidP="000F3D9F">
      <w:r>
        <w:separator/>
      </w:r>
    </w:p>
  </w:endnote>
  <w:endnote w:type="continuationSeparator" w:id="0">
    <w:p w:rsidR="00F127E5" w:rsidRDefault="00F127E5"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F127E5" w:rsidRPr="00E8056B" w:rsidRDefault="00F127E5" w:rsidP="00E8056B">
    <w:pPr>
      <w:jc w:val="right"/>
      <w:rPr>
        <w:rFonts w:ascii="Arial" w:hAnsi="Arial" w:cs="Arial"/>
        <w:sz w:val="16"/>
        <w:szCs w:val="16"/>
      </w:rPr>
    </w:pPr>
  </w:p>
  <w:p w:rsidR="00F127E5" w:rsidRPr="00E8056B" w:rsidRDefault="00F127E5"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F127E5" w:rsidRPr="00E8056B" w:rsidRDefault="00F127E5"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Footer"/>
      <w:jc w:val="right"/>
    </w:pPr>
    <w:fldSimple w:instr=" PAGE   \* MERGEFORMAT ">
      <w:r>
        <w:rPr>
          <w:noProof/>
        </w:rPr>
        <w:t>7</w:t>
      </w:r>
    </w:fldSimple>
  </w:p>
  <w:p w:rsidR="00F127E5" w:rsidRDefault="00F12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F127E5" w:rsidRPr="005A1BB4" w:rsidTr="008E09F4">
      <w:trPr>
        <w:trHeight w:val="57"/>
      </w:trPr>
      <w:tc>
        <w:tcPr>
          <w:tcW w:w="4927" w:type="dxa"/>
          <w:vAlign w:val="center"/>
        </w:tcPr>
        <w:p w:rsidR="00F127E5" w:rsidRPr="005A1BB4" w:rsidRDefault="00F127E5" w:rsidP="005A1BB4">
          <w:pPr>
            <w:pStyle w:val="Footer"/>
            <w:rPr>
              <w:rFonts w:ascii="Arial" w:hAnsi="Arial" w:cs="Arial"/>
              <w:sz w:val="14"/>
              <w:szCs w:val="14"/>
            </w:rPr>
          </w:pPr>
          <w:r w:rsidRPr="005A1BB4">
            <w:rPr>
              <w:rFonts w:ascii="Arial" w:hAnsi="Arial" w:cs="Arial"/>
              <w:sz w:val="14"/>
              <w:szCs w:val="14"/>
            </w:rPr>
            <w:t xml:space="preserve">ATA Submission: NTC Time Counting and Residual Fatigue Risk Internal Consultation Draft  </w:t>
          </w:r>
        </w:p>
      </w:tc>
      <w:tc>
        <w:tcPr>
          <w:tcW w:w="4927" w:type="dxa"/>
          <w:vAlign w:val="center"/>
        </w:tcPr>
        <w:p w:rsidR="00F127E5" w:rsidRPr="005A1BB4" w:rsidRDefault="00F127E5" w:rsidP="00D735FF">
          <w:pPr>
            <w:pStyle w:val="Footer"/>
            <w:jc w:val="right"/>
            <w:rPr>
              <w:rFonts w:ascii="Arial" w:hAnsi="Arial" w:cs="Arial"/>
              <w:sz w:val="14"/>
              <w:szCs w:val="14"/>
            </w:rPr>
          </w:pPr>
          <w:r w:rsidRPr="005A1BB4">
            <w:rPr>
              <w:rFonts w:ascii="Arial" w:hAnsi="Arial" w:cs="Arial"/>
              <w:sz w:val="14"/>
              <w:szCs w:val="14"/>
            </w:rPr>
            <w:t xml:space="preserve">Page </w:t>
          </w:r>
          <w:r w:rsidRPr="005A1BB4">
            <w:rPr>
              <w:rFonts w:ascii="Arial" w:hAnsi="Arial" w:cs="Arial"/>
              <w:sz w:val="14"/>
              <w:szCs w:val="14"/>
            </w:rPr>
            <w:fldChar w:fldCharType="begin"/>
          </w:r>
          <w:r w:rsidRPr="005A1BB4">
            <w:rPr>
              <w:rFonts w:ascii="Arial" w:hAnsi="Arial" w:cs="Arial"/>
              <w:sz w:val="14"/>
              <w:szCs w:val="14"/>
            </w:rPr>
            <w:instrText xml:space="preserve"> PAGE   \* MERGEFORMAT </w:instrText>
          </w:r>
          <w:r w:rsidRPr="005A1BB4">
            <w:rPr>
              <w:rFonts w:ascii="Arial" w:hAnsi="Arial" w:cs="Arial"/>
              <w:sz w:val="14"/>
              <w:szCs w:val="14"/>
            </w:rPr>
            <w:fldChar w:fldCharType="separate"/>
          </w:r>
          <w:r w:rsidR="00B86C04">
            <w:rPr>
              <w:rFonts w:ascii="Arial" w:hAnsi="Arial" w:cs="Arial"/>
              <w:noProof/>
              <w:sz w:val="14"/>
              <w:szCs w:val="14"/>
            </w:rPr>
            <w:t>7</w:t>
          </w:r>
          <w:r w:rsidRPr="005A1BB4">
            <w:rPr>
              <w:rFonts w:ascii="Arial" w:hAnsi="Arial" w:cs="Arial"/>
              <w:sz w:val="14"/>
              <w:szCs w:val="14"/>
            </w:rPr>
            <w:fldChar w:fldCharType="end"/>
          </w:r>
        </w:p>
      </w:tc>
    </w:tr>
  </w:tbl>
  <w:p w:rsidR="00F127E5" w:rsidRPr="005A1BB4" w:rsidRDefault="00F127E5">
    <w:pPr>
      <w:rPr>
        <w:sz w:val="14"/>
        <w:szCs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E5" w:rsidRDefault="00F127E5" w:rsidP="000F3D9F">
      <w:r>
        <w:separator/>
      </w:r>
    </w:p>
  </w:footnote>
  <w:footnote w:type="continuationSeparator" w:id="0">
    <w:p w:rsidR="00F127E5" w:rsidRDefault="00F127E5" w:rsidP="000F3D9F">
      <w:r>
        <w:continuationSeparator/>
      </w:r>
    </w:p>
  </w:footnote>
  <w:footnote w:id="1">
    <w:p w:rsidR="00F127E5" w:rsidRPr="009C608E" w:rsidRDefault="00F127E5" w:rsidP="003A1320">
      <w:pPr>
        <w:pStyle w:val="FootnoteText"/>
        <w:rPr>
          <w:sz w:val="16"/>
          <w:szCs w:val="16"/>
        </w:rPr>
      </w:pPr>
      <w:r w:rsidRPr="009C608E">
        <w:rPr>
          <w:rStyle w:val="FootnoteReference"/>
          <w:sz w:val="16"/>
          <w:szCs w:val="16"/>
        </w:rPr>
        <w:footnoteRef/>
      </w:r>
      <w:r w:rsidRPr="009C608E">
        <w:rPr>
          <w:sz w:val="16"/>
          <w:szCs w:val="16"/>
        </w:rPr>
        <w:t xml:space="preserve"> </w:t>
      </w:r>
      <w:r w:rsidRPr="009C608E">
        <w:rPr>
          <w:rFonts w:cs="Arial"/>
          <w:bCs/>
          <w:i/>
          <w:color w:val="000000"/>
          <w:sz w:val="16"/>
          <w:szCs w:val="16"/>
          <w:shd w:val="clear" w:color="auto" w:fill="FFFFFF"/>
        </w:rPr>
        <w:t xml:space="preserve">Roads &amp; Traffic Authority of NSW v Frank </w:t>
      </w:r>
      <w:proofErr w:type="spellStart"/>
      <w:r w:rsidRPr="009C608E">
        <w:rPr>
          <w:rFonts w:cs="Arial"/>
          <w:bCs/>
          <w:i/>
          <w:color w:val="000000"/>
          <w:sz w:val="16"/>
          <w:szCs w:val="16"/>
          <w:shd w:val="clear" w:color="auto" w:fill="FFFFFF"/>
        </w:rPr>
        <w:t>Trinci</w:t>
      </w:r>
      <w:proofErr w:type="spellEnd"/>
      <w:r w:rsidRPr="009C608E">
        <w:rPr>
          <w:rFonts w:cs="Arial"/>
          <w:bCs/>
          <w:color w:val="000000"/>
          <w:sz w:val="16"/>
          <w:szCs w:val="16"/>
          <w:shd w:val="clear" w:color="auto" w:fill="FFFFFF"/>
        </w:rPr>
        <w:t> [2011]</w:t>
      </w:r>
      <w:r>
        <w:rPr>
          <w:rFonts w:cs="Arial"/>
          <w:bCs/>
          <w:color w:val="000000"/>
          <w:sz w:val="16"/>
          <w:szCs w:val="16"/>
          <w:shd w:val="clear" w:color="auto" w:fill="FFFFFF"/>
        </w:rPr>
        <w:t xml:space="preserve"> </w:t>
      </w:r>
      <w:r w:rsidRPr="00D067BE">
        <w:rPr>
          <w:rFonts w:cs="Arial"/>
          <w:bCs/>
          <w:color w:val="000000"/>
          <w:sz w:val="16"/>
          <w:szCs w:val="16"/>
          <w:shd w:val="clear" w:color="auto" w:fill="FFFFFF"/>
        </w:rPr>
        <w:t>NSWSC 211</w:t>
      </w:r>
      <w:r>
        <w:rPr>
          <w:rFonts w:cs="Arial"/>
          <w:bCs/>
          <w:color w:val="000000"/>
          <w:sz w:val="16"/>
          <w:szCs w:val="16"/>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Pr="00E8056B" w:rsidRDefault="00F127E5"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F127E5" w:rsidRDefault="00F127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Pr="0019542E" w:rsidRDefault="00F127E5"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5" w:rsidRDefault="00F12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4E0"/>
    <w:multiLevelType w:val="hybridMultilevel"/>
    <w:tmpl w:val="9CCCE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66E7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1C25D5"/>
    <w:multiLevelType w:val="hybridMultilevel"/>
    <w:tmpl w:val="0BFC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83B44"/>
    <w:multiLevelType w:val="multilevel"/>
    <w:tmpl w:val="AE72F27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FC303F"/>
    <w:multiLevelType w:val="hybridMultilevel"/>
    <w:tmpl w:val="5F36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0A225C"/>
    <w:multiLevelType w:val="hybridMultilevel"/>
    <w:tmpl w:val="98986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3E255F86"/>
    <w:multiLevelType w:val="hybridMultilevel"/>
    <w:tmpl w:val="BCAEE120"/>
    <w:lvl w:ilvl="0" w:tplc="9D4602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600E3A"/>
    <w:multiLevelType w:val="hybridMultilevel"/>
    <w:tmpl w:val="DC86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0F45A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CA11003"/>
    <w:multiLevelType w:val="hybridMultilevel"/>
    <w:tmpl w:val="CCD0D3D6"/>
    <w:lvl w:ilvl="0" w:tplc="C0C4C6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E17E22"/>
    <w:multiLevelType w:val="hybridMultilevel"/>
    <w:tmpl w:val="6362305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63B403A"/>
    <w:multiLevelType w:val="hybridMultilevel"/>
    <w:tmpl w:val="4C7A4BF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704D12B3"/>
    <w:multiLevelType w:val="hybridMultilevel"/>
    <w:tmpl w:val="2AC8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7E2CAB"/>
    <w:multiLevelType w:val="hybridMultilevel"/>
    <w:tmpl w:val="C1CE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5A6F37"/>
    <w:multiLevelType w:val="hybridMultilevel"/>
    <w:tmpl w:val="D8E2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6"/>
  </w:num>
  <w:num w:numId="4">
    <w:abstractNumId w:val="0"/>
  </w:num>
  <w:num w:numId="5">
    <w:abstractNumId w:val="6"/>
  </w:num>
  <w:num w:numId="6">
    <w:abstractNumId w:val="12"/>
  </w:num>
  <w:num w:numId="7">
    <w:abstractNumId w:val="5"/>
  </w:num>
  <w:num w:numId="8">
    <w:abstractNumId w:val="2"/>
  </w:num>
  <w:num w:numId="9">
    <w:abstractNumId w:val="16"/>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1"/>
  </w:num>
  <w:num w:numId="19">
    <w:abstractNumId w:val="4"/>
  </w:num>
  <w:num w:numId="20">
    <w:abstractNumId w:val="10"/>
  </w:num>
  <w:num w:numId="21">
    <w:abstractNumId w:val="7"/>
  </w:num>
  <w:num w:numId="22">
    <w:abstractNumId w:val="15"/>
  </w:num>
  <w:num w:numId="23">
    <w:abstractNumId w:val="14"/>
  </w:num>
  <w:num w:numId="24">
    <w:abstractNumId w:val="12"/>
  </w:num>
  <w:num w:numId="25">
    <w:abstractNumId w:val="8"/>
  </w:num>
  <w:num w:numId="26">
    <w:abstractNumId w:val="12"/>
  </w:num>
  <w:num w:numId="27">
    <w:abstractNumId w:val="3"/>
  </w:num>
  <w:num w:numId="28">
    <w:abstractNumId w:val="12"/>
  </w:num>
  <w:num w:numId="29">
    <w:abstractNumId w:val="13"/>
  </w:num>
  <w:num w:numId="30">
    <w:abstractNumId w:val="1"/>
  </w:num>
  <w:num w:numId="3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278E9"/>
    <w:rsid w:val="0000052A"/>
    <w:rsid w:val="00000CE3"/>
    <w:rsid w:val="00001E4D"/>
    <w:rsid w:val="00005A35"/>
    <w:rsid w:val="00005E0D"/>
    <w:rsid w:val="00006297"/>
    <w:rsid w:val="00006C53"/>
    <w:rsid w:val="00007420"/>
    <w:rsid w:val="00007CA7"/>
    <w:rsid w:val="00011661"/>
    <w:rsid w:val="000156D1"/>
    <w:rsid w:val="000169A5"/>
    <w:rsid w:val="00020B9C"/>
    <w:rsid w:val="00021886"/>
    <w:rsid w:val="00026099"/>
    <w:rsid w:val="00027E86"/>
    <w:rsid w:val="00035CFC"/>
    <w:rsid w:val="0004081E"/>
    <w:rsid w:val="00040876"/>
    <w:rsid w:val="00040B35"/>
    <w:rsid w:val="000447B1"/>
    <w:rsid w:val="00046251"/>
    <w:rsid w:val="0004695B"/>
    <w:rsid w:val="00050AC8"/>
    <w:rsid w:val="00050CE6"/>
    <w:rsid w:val="0005100C"/>
    <w:rsid w:val="00052E9C"/>
    <w:rsid w:val="0005411A"/>
    <w:rsid w:val="00056113"/>
    <w:rsid w:val="00056A74"/>
    <w:rsid w:val="00060365"/>
    <w:rsid w:val="0006283B"/>
    <w:rsid w:val="00063D15"/>
    <w:rsid w:val="00067698"/>
    <w:rsid w:val="00070737"/>
    <w:rsid w:val="0007542B"/>
    <w:rsid w:val="00075E7B"/>
    <w:rsid w:val="00077364"/>
    <w:rsid w:val="00083C15"/>
    <w:rsid w:val="000848A1"/>
    <w:rsid w:val="00086A56"/>
    <w:rsid w:val="00087208"/>
    <w:rsid w:val="00091EB9"/>
    <w:rsid w:val="00093679"/>
    <w:rsid w:val="00094FE3"/>
    <w:rsid w:val="00095C3B"/>
    <w:rsid w:val="00096B02"/>
    <w:rsid w:val="000976B9"/>
    <w:rsid w:val="000A2163"/>
    <w:rsid w:val="000A21C3"/>
    <w:rsid w:val="000A2BCF"/>
    <w:rsid w:val="000A4EB0"/>
    <w:rsid w:val="000A6499"/>
    <w:rsid w:val="000B0410"/>
    <w:rsid w:val="000B069A"/>
    <w:rsid w:val="000B1819"/>
    <w:rsid w:val="000B496C"/>
    <w:rsid w:val="000C0C35"/>
    <w:rsid w:val="000C4A62"/>
    <w:rsid w:val="000C7BBC"/>
    <w:rsid w:val="000D033C"/>
    <w:rsid w:val="000D0932"/>
    <w:rsid w:val="000D1B8E"/>
    <w:rsid w:val="000D5BFB"/>
    <w:rsid w:val="000D6EF5"/>
    <w:rsid w:val="000D7CD4"/>
    <w:rsid w:val="000E2CAD"/>
    <w:rsid w:val="000E7B14"/>
    <w:rsid w:val="000F0F7B"/>
    <w:rsid w:val="000F314E"/>
    <w:rsid w:val="000F34E0"/>
    <w:rsid w:val="000F3D9F"/>
    <w:rsid w:val="000F53C2"/>
    <w:rsid w:val="000F566E"/>
    <w:rsid w:val="000F7F6F"/>
    <w:rsid w:val="00103E24"/>
    <w:rsid w:val="001051CB"/>
    <w:rsid w:val="00110610"/>
    <w:rsid w:val="00110A53"/>
    <w:rsid w:val="0011347C"/>
    <w:rsid w:val="00114FC5"/>
    <w:rsid w:val="001176CB"/>
    <w:rsid w:val="00121A4F"/>
    <w:rsid w:val="00121A53"/>
    <w:rsid w:val="00122285"/>
    <w:rsid w:val="00125023"/>
    <w:rsid w:val="0013041A"/>
    <w:rsid w:val="001320D2"/>
    <w:rsid w:val="00134E0D"/>
    <w:rsid w:val="001368EB"/>
    <w:rsid w:val="00141274"/>
    <w:rsid w:val="00141395"/>
    <w:rsid w:val="0014300C"/>
    <w:rsid w:val="001431E4"/>
    <w:rsid w:val="001449D2"/>
    <w:rsid w:val="0014683D"/>
    <w:rsid w:val="00150065"/>
    <w:rsid w:val="0015062F"/>
    <w:rsid w:val="0015211C"/>
    <w:rsid w:val="00152A71"/>
    <w:rsid w:val="001533F1"/>
    <w:rsid w:val="0015359E"/>
    <w:rsid w:val="0015386B"/>
    <w:rsid w:val="001552BC"/>
    <w:rsid w:val="00157916"/>
    <w:rsid w:val="00160FE3"/>
    <w:rsid w:val="001611AB"/>
    <w:rsid w:val="00163879"/>
    <w:rsid w:val="00166CBD"/>
    <w:rsid w:val="00167289"/>
    <w:rsid w:val="00172FC4"/>
    <w:rsid w:val="001739C7"/>
    <w:rsid w:val="00176C09"/>
    <w:rsid w:val="001807A8"/>
    <w:rsid w:val="001811B8"/>
    <w:rsid w:val="001855CD"/>
    <w:rsid w:val="0019276D"/>
    <w:rsid w:val="0019542E"/>
    <w:rsid w:val="00195C1B"/>
    <w:rsid w:val="00197835"/>
    <w:rsid w:val="00197B9E"/>
    <w:rsid w:val="001A0DC3"/>
    <w:rsid w:val="001A0DEF"/>
    <w:rsid w:val="001A3A47"/>
    <w:rsid w:val="001A40FE"/>
    <w:rsid w:val="001A6510"/>
    <w:rsid w:val="001B0529"/>
    <w:rsid w:val="001B0E57"/>
    <w:rsid w:val="001B2CD7"/>
    <w:rsid w:val="001B3675"/>
    <w:rsid w:val="001B36AC"/>
    <w:rsid w:val="001B3E52"/>
    <w:rsid w:val="001B5390"/>
    <w:rsid w:val="001C0C68"/>
    <w:rsid w:val="001C125D"/>
    <w:rsid w:val="001C3659"/>
    <w:rsid w:val="001C50F5"/>
    <w:rsid w:val="001C5B41"/>
    <w:rsid w:val="001D2D61"/>
    <w:rsid w:val="001D50C7"/>
    <w:rsid w:val="001D77A8"/>
    <w:rsid w:val="001D7817"/>
    <w:rsid w:val="001E0A75"/>
    <w:rsid w:val="001E1BA9"/>
    <w:rsid w:val="001E3AC7"/>
    <w:rsid w:val="001E474C"/>
    <w:rsid w:val="001E5669"/>
    <w:rsid w:val="001E5BE0"/>
    <w:rsid w:val="001E5C29"/>
    <w:rsid w:val="001F0C6E"/>
    <w:rsid w:val="001F1455"/>
    <w:rsid w:val="001F187C"/>
    <w:rsid w:val="001F7268"/>
    <w:rsid w:val="00200A50"/>
    <w:rsid w:val="0020303C"/>
    <w:rsid w:val="002041FF"/>
    <w:rsid w:val="002067C0"/>
    <w:rsid w:val="00207DE8"/>
    <w:rsid w:val="00210088"/>
    <w:rsid w:val="0021270C"/>
    <w:rsid w:val="0021283E"/>
    <w:rsid w:val="002137D3"/>
    <w:rsid w:val="00216CE6"/>
    <w:rsid w:val="00225B24"/>
    <w:rsid w:val="002278E9"/>
    <w:rsid w:val="00230DFC"/>
    <w:rsid w:val="002333DB"/>
    <w:rsid w:val="00237081"/>
    <w:rsid w:val="00241C15"/>
    <w:rsid w:val="00243731"/>
    <w:rsid w:val="00250025"/>
    <w:rsid w:val="00252AA9"/>
    <w:rsid w:val="002542D1"/>
    <w:rsid w:val="00254301"/>
    <w:rsid w:val="002543DF"/>
    <w:rsid w:val="00255617"/>
    <w:rsid w:val="00257D05"/>
    <w:rsid w:val="00260827"/>
    <w:rsid w:val="00262C0A"/>
    <w:rsid w:val="00263A7C"/>
    <w:rsid w:val="002647C3"/>
    <w:rsid w:val="00265EB9"/>
    <w:rsid w:val="00266881"/>
    <w:rsid w:val="00266915"/>
    <w:rsid w:val="00270995"/>
    <w:rsid w:val="00277981"/>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B0559"/>
    <w:rsid w:val="002B0F48"/>
    <w:rsid w:val="002B110C"/>
    <w:rsid w:val="002B172B"/>
    <w:rsid w:val="002B3668"/>
    <w:rsid w:val="002B381D"/>
    <w:rsid w:val="002B7A60"/>
    <w:rsid w:val="002C015C"/>
    <w:rsid w:val="002C0499"/>
    <w:rsid w:val="002C1799"/>
    <w:rsid w:val="002C2485"/>
    <w:rsid w:val="002C5598"/>
    <w:rsid w:val="002D4ACE"/>
    <w:rsid w:val="002D592D"/>
    <w:rsid w:val="002E06F2"/>
    <w:rsid w:val="002E226D"/>
    <w:rsid w:val="002E453E"/>
    <w:rsid w:val="002E5D82"/>
    <w:rsid w:val="002E5F39"/>
    <w:rsid w:val="002E6075"/>
    <w:rsid w:val="002E7897"/>
    <w:rsid w:val="002E7F28"/>
    <w:rsid w:val="002F2F65"/>
    <w:rsid w:val="002F3241"/>
    <w:rsid w:val="002F438C"/>
    <w:rsid w:val="002F5A71"/>
    <w:rsid w:val="002F632C"/>
    <w:rsid w:val="00302E87"/>
    <w:rsid w:val="00304B46"/>
    <w:rsid w:val="003054ED"/>
    <w:rsid w:val="00306FBF"/>
    <w:rsid w:val="00307FF7"/>
    <w:rsid w:val="00315333"/>
    <w:rsid w:val="00320AFE"/>
    <w:rsid w:val="00321A43"/>
    <w:rsid w:val="0032308F"/>
    <w:rsid w:val="00325A6C"/>
    <w:rsid w:val="00325DAF"/>
    <w:rsid w:val="003265BF"/>
    <w:rsid w:val="00330F29"/>
    <w:rsid w:val="00336512"/>
    <w:rsid w:val="00336760"/>
    <w:rsid w:val="00342826"/>
    <w:rsid w:val="00351556"/>
    <w:rsid w:val="00351657"/>
    <w:rsid w:val="003533CA"/>
    <w:rsid w:val="00354394"/>
    <w:rsid w:val="0035493A"/>
    <w:rsid w:val="00354DA6"/>
    <w:rsid w:val="00356D3A"/>
    <w:rsid w:val="00360759"/>
    <w:rsid w:val="00364BA5"/>
    <w:rsid w:val="0036535E"/>
    <w:rsid w:val="00365F36"/>
    <w:rsid w:val="00372137"/>
    <w:rsid w:val="00373E2B"/>
    <w:rsid w:val="00374990"/>
    <w:rsid w:val="00380998"/>
    <w:rsid w:val="00384772"/>
    <w:rsid w:val="00385F00"/>
    <w:rsid w:val="00385F9E"/>
    <w:rsid w:val="0039063B"/>
    <w:rsid w:val="00390696"/>
    <w:rsid w:val="003911E4"/>
    <w:rsid w:val="0039442F"/>
    <w:rsid w:val="003A1320"/>
    <w:rsid w:val="003A4520"/>
    <w:rsid w:val="003A745E"/>
    <w:rsid w:val="003B1937"/>
    <w:rsid w:val="003B56E7"/>
    <w:rsid w:val="003B74E4"/>
    <w:rsid w:val="003B76E9"/>
    <w:rsid w:val="003B7C68"/>
    <w:rsid w:val="003C2311"/>
    <w:rsid w:val="003C2DEE"/>
    <w:rsid w:val="003C42D2"/>
    <w:rsid w:val="003C4664"/>
    <w:rsid w:val="003C6E58"/>
    <w:rsid w:val="003D0AC3"/>
    <w:rsid w:val="003D4281"/>
    <w:rsid w:val="003D5838"/>
    <w:rsid w:val="003D5C05"/>
    <w:rsid w:val="003D6F49"/>
    <w:rsid w:val="003D75FC"/>
    <w:rsid w:val="003E2B20"/>
    <w:rsid w:val="003E6D0C"/>
    <w:rsid w:val="003E7053"/>
    <w:rsid w:val="003F0B5C"/>
    <w:rsid w:val="003F0F16"/>
    <w:rsid w:val="003F6CA9"/>
    <w:rsid w:val="004008C7"/>
    <w:rsid w:val="004008D8"/>
    <w:rsid w:val="00402138"/>
    <w:rsid w:val="00403823"/>
    <w:rsid w:val="00404392"/>
    <w:rsid w:val="00404731"/>
    <w:rsid w:val="00404820"/>
    <w:rsid w:val="004053D4"/>
    <w:rsid w:val="00406222"/>
    <w:rsid w:val="00407EF2"/>
    <w:rsid w:val="00410341"/>
    <w:rsid w:val="004115B6"/>
    <w:rsid w:val="004116EA"/>
    <w:rsid w:val="00411877"/>
    <w:rsid w:val="004130C2"/>
    <w:rsid w:val="00413868"/>
    <w:rsid w:val="00415126"/>
    <w:rsid w:val="00420431"/>
    <w:rsid w:val="0042052C"/>
    <w:rsid w:val="00420F75"/>
    <w:rsid w:val="004210F3"/>
    <w:rsid w:val="00421306"/>
    <w:rsid w:val="004229DE"/>
    <w:rsid w:val="00422BB7"/>
    <w:rsid w:val="00423CC7"/>
    <w:rsid w:val="00423CCC"/>
    <w:rsid w:val="00424D3E"/>
    <w:rsid w:val="0042557B"/>
    <w:rsid w:val="004263BE"/>
    <w:rsid w:val="00432273"/>
    <w:rsid w:val="004353C2"/>
    <w:rsid w:val="00440231"/>
    <w:rsid w:val="00443123"/>
    <w:rsid w:val="004436EB"/>
    <w:rsid w:val="00445CDC"/>
    <w:rsid w:val="00450FF8"/>
    <w:rsid w:val="00454D08"/>
    <w:rsid w:val="00455514"/>
    <w:rsid w:val="00461456"/>
    <w:rsid w:val="00462423"/>
    <w:rsid w:val="004640D1"/>
    <w:rsid w:val="00466E7F"/>
    <w:rsid w:val="00473A75"/>
    <w:rsid w:val="00475C39"/>
    <w:rsid w:val="00483F2E"/>
    <w:rsid w:val="00484068"/>
    <w:rsid w:val="00487F0F"/>
    <w:rsid w:val="004952A7"/>
    <w:rsid w:val="00495F14"/>
    <w:rsid w:val="0049636E"/>
    <w:rsid w:val="004977DE"/>
    <w:rsid w:val="004A2F6F"/>
    <w:rsid w:val="004A325F"/>
    <w:rsid w:val="004B0BF5"/>
    <w:rsid w:val="004B26EB"/>
    <w:rsid w:val="004B3EF6"/>
    <w:rsid w:val="004B4B20"/>
    <w:rsid w:val="004B509F"/>
    <w:rsid w:val="004B5FA9"/>
    <w:rsid w:val="004B6187"/>
    <w:rsid w:val="004C21BB"/>
    <w:rsid w:val="004C3CC3"/>
    <w:rsid w:val="004C7AD5"/>
    <w:rsid w:val="004C7EE3"/>
    <w:rsid w:val="004D307B"/>
    <w:rsid w:val="004D42D0"/>
    <w:rsid w:val="004D6BAD"/>
    <w:rsid w:val="004E1EBB"/>
    <w:rsid w:val="004E5885"/>
    <w:rsid w:val="004E5EA3"/>
    <w:rsid w:val="004F112A"/>
    <w:rsid w:val="004F38D2"/>
    <w:rsid w:val="004F3B07"/>
    <w:rsid w:val="004F500B"/>
    <w:rsid w:val="004F79DA"/>
    <w:rsid w:val="00500BCF"/>
    <w:rsid w:val="00501270"/>
    <w:rsid w:val="00502292"/>
    <w:rsid w:val="005022E4"/>
    <w:rsid w:val="00503808"/>
    <w:rsid w:val="00504707"/>
    <w:rsid w:val="00504A7C"/>
    <w:rsid w:val="00510952"/>
    <w:rsid w:val="00512B6D"/>
    <w:rsid w:val="005223FD"/>
    <w:rsid w:val="00525303"/>
    <w:rsid w:val="0053137B"/>
    <w:rsid w:val="0053194E"/>
    <w:rsid w:val="0053236A"/>
    <w:rsid w:val="00532BFB"/>
    <w:rsid w:val="00532EDD"/>
    <w:rsid w:val="00533381"/>
    <w:rsid w:val="00533467"/>
    <w:rsid w:val="0053492E"/>
    <w:rsid w:val="00535863"/>
    <w:rsid w:val="005359BF"/>
    <w:rsid w:val="005365E0"/>
    <w:rsid w:val="0053691D"/>
    <w:rsid w:val="00542877"/>
    <w:rsid w:val="00543163"/>
    <w:rsid w:val="00545151"/>
    <w:rsid w:val="00545CB8"/>
    <w:rsid w:val="00550256"/>
    <w:rsid w:val="005551EA"/>
    <w:rsid w:val="005571CA"/>
    <w:rsid w:val="0056179B"/>
    <w:rsid w:val="00562B69"/>
    <w:rsid w:val="0056479F"/>
    <w:rsid w:val="005648B3"/>
    <w:rsid w:val="00564DAA"/>
    <w:rsid w:val="00565F92"/>
    <w:rsid w:val="00566D20"/>
    <w:rsid w:val="0057019E"/>
    <w:rsid w:val="0057591D"/>
    <w:rsid w:val="00576ED0"/>
    <w:rsid w:val="00576F0D"/>
    <w:rsid w:val="005773CF"/>
    <w:rsid w:val="0057783F"/>
    <w:rsid w:val="00580BDF"/>
    <w:rsid w:val="0058247C"/>
    <w:rsid w:val="00587C8F"/>
    <w:rsid w:val="00593217"/>
    <w:rsid w:val="0059482D"/>
    <w:rsid w:val="00596872"/>
    <w:rsid w:val="005A1BB4"/>
    <w:rsid w:val="005A2A86"/>
    <w:rsid w:val="005A38CD"/>
    <w:rsid w:val="005B0230"/>
    <w:rsid w:val="005B1179"/>
    <w:rsid w:val="005B3729"/>
    <w:rsid w:val="005B4CA8"/>
    <w:rsid w:val="005B4F21"/>
    <w:rsid w:val="005B68E9"/>
    <w:rsid w:val="005C31A0"/>
    <w:rsid w:val="005C4952"/>
    <w:rsid w:val="005C63F7"/>
    <w:rsid w:val="005D2355"/>
    <w:rsid w:val="005D2445"/>
    <w:rsid w:val="005D6CD2"/>
    <w:rsid w:val="005E117A"/>
    <w:rsid w:val="005E11FC"/>
    <w:rsid w:val="005E20ED"/>
    <w:rsid w:val="005E28FB"/>
    <w:rsid w:val="005E6294"/>
    <w:rsid w:val="005E6D8B"/>
    <w:rsid w:val="005F1009"/>
    <w:rsid w:val="005F21D1"/>
    <w:rsid w:val="005F306A"/>
    <w:rsid w:val="005F31DF"/>
    <w:rsid w:val="005F4FBC"/>
    <w:rsid w:val="005F5ACC"/>
    <w:rsid w:val="005F69CC"/>
    <w:rsid w:val="00600132"/>
    <w:rsid w:val="006007D6"/>
    <w:rsid w:val="00600AC6"/>
    <w:rsid w:val="006014C4"/>
    <w:rsid w:val="00601B01"/>
    <w:rsid w:val="00603655"/>
    <w:rsid w:val="00605FB9"/>
    <w:rsid w:val="006109E9"/>
    <w:rsid w:val="00610CFE"/>
    <w:rsid w:val="006110D1"/>
    <w:rsid w:val="00621E77"/>
    <w:rsid w:val="006244DA"/>
    <w:rsid w:val="00625BAD"/>
    <w:rsid w:val="006278F6"/>
    <w:rsid w:val="00627BFF"/>
    <w:rsid w:val="0063274E"/>
    <w:rsid w:val="00632AA0"/>
    <w:rsid w:val="00632D04"/>
    <w:rsid w:val="006331D5"/>
    <w:rsid w:val="00634824"/>
    <w:rsid w:val="0063609C"/>
    <w:rsid w:val="0063713C"/>
    <w:rsid w:val="00640DAD"/>
    <w:rsid w:val="006458F3"/>
    <w:rsid w:val="00647FBE"/>
    <w:rsid w:val="00650566"/>
    <w:rsid w:val="006509D3"/>
    <w:rsid w:val="00651339"/>
    <w:rsid w:val="0065569F"/>
    <w:rsid w:val="00664D33"/>
    <w:rsid w:val="00666A1A"/>
    <w:rsid w:val="00667036"/>
    <w:rsid w:val="0066769B"/>
    <w:rsid w:val="006677C7"/>
    <w:rsid w:val="006712C4"/>
    <w:rsid w:val="0067144C"/>
    <w:rsid w:val="00683D7C"/>
    <w:rsid w:val="00684D73"/>
    <w:rsid w:val="00685443"/>
    <w:rsid w:val="00685459"/>
    <w:rsid w:val="006858FF"/>
    <w:rsid w:val="006859F7"/>
    <w:rsid w:val="00686470"/>
    <w:rsid w:val="006872CB"/>
    <w:rsid w:val="0069019B"/>
    <w:rsid w:val="00693363"/>
    <w:rsid w:val="0069483A"/>
    <w:rsid w:val="00694C83"/>
    <w:rsid w:val="006957F2"/>
    <w:rsid w:val="006A0105"/>
    <w:rsid w:val="006A1612"/>
    <w:rsid w:val="006A208A"/>
    <w:rsid w:val="006A522F"/>
    <w:rsid w:val="006A52C4"/>
    <w:rsid w:val="006A7735"/>
    <w:rsid w:val="006A797E"/>
    <w:rsid w:val="006B36C8"/>
    <w:rsid w:val="006B558F"/>
    <w:rsid w:val="006C38AD"/>
    <w:rsid w:val="006C428F"/>
    <w:rsid w:val="006D20A7"/>
    <w:rsid w:val="006D4D41"/>
    <w:rsid w:val="006E26D5"/>
    <w:rsid w:val="006E26EF"/>
    <w:rsid w:val="006F050F"/>
    <w:rsid w:val="006F0C79"/>
    <w:rsid w:val="006F0EA4"/>
    <w:rsid w:val="006F2893"/>
    <w:rsid w:val="00704823"/>
    <w:rsid w:val="007062D8"/>
    <w:rsid w:val="00714204"/>
    <w:rsid w:val="007162A5"/>
    <w:rsid w:val="0071719F"/>
    <w:rsid w:val="0071762D"/>
    <w:rsid w:val="00717BAD"/>
    <w:rsid w:val="00725BC0"/>
    <w:rsid w:val="00726797"/>
    <w:rsid w:val="00726EB1"/>
    <w:rsid w:val="00734599"/>
    <w:rsid w:val="00737149"/>
    <w:rsid w:val="00740005"/>
    <w:rsid w:val="00740DF8"/>
    <w:rsid w:val="00741304"/>
    <w:rsid w:val="007468FB"/>
    <w:rsid w:val="00746BF5"/>
    <w:rsid w:val="007470CF"/>
    <w:rsid w:val="00753F95"/>
    <w:rsid w:val="0075427A"/>
    <w:rsid w:val="00754EBD"/>
    <w:rsid w:val="0076023A"/>
    <w:rsid w:val="0076304F"/>
    <w:rsid w:val="00773733"/>
    <w:rsid w:val="00774FE0"/>
    <w:rsid w:val="0077582D"/>
    <w:rsid w:val="007802E1"/>
    <w:rsid w:val="00782256"/>
    <w:rsid w:val="00791216"/>
    <w:rsid w:val="00791608"/>
    <w:rsid w:val="00792CEB"/>
    <w:rsid w:val="00793AD6"/>
    <w:rsid w:val="007940E8"/>
    <w:rsid w:val="00795047"/>
    <w:rsid w:val="007A673A"/>
    <w:rsid w:val="007A69C1"/>
    <w:rsid w:val="007B03E4"/>
    <w:rsid w:val="007B381C"/>
    <w:rsid w:val="007B3B54"/>
    <w:rsid w:val="007B3BE2"/>
    <w:rsid w:val="007B711A"/>
    <w:rsid w:val="007C385B"/>
    <w:rsid w:val="007C3F49"/>
    <w:rsid w:val="007C5AD5"/>
    <w:rsid w:val="007C746E"/>
    <w:rsid w:val="007D4DD3"/>
    <w:rsid w:val="007D608A"/>
    <w:rsid w:val="007E0ABA"/>
    <w:rsid w:val="007E3FCC"/>
    <w:rsid w:val="007E5B7F"/>
    <w:rsid w:val="007E6163"/>
    <w:rsid w:val="007E7BC6"/>
    <w:rsid w:val="007E7F34"/>
    <w:rsid w:val="007F0554"/>
    <w:rsid w:val="007F15BB"/>
    <w:rsid w:val="007F3589"/>
    <w:rsid w:val="007F4404"/>
    <w:rsid w:val="007F44BE"/>
    <w:rsid w:val="007F4C48"/>
    <w:rsid w:val="007F4E1E"/>
    <w:rsid w:val="0080211A"/>
    <w:rsid w:val="00804638"/>
    <w:rsid w:val="00804B17"/>
    <w:rsid w:val="008062BF"/>
    <w:rsid w:val="0081411F"/>
    <w:rsid w:val="00814602"/>
    <w:rsid w:val="00814C62"/>
    <w:rsid w:val="00821537"/>
    <w:rsid w:val="0082345F"/>
    <w:rsid w:val="00823642"/>
    <w:rsid w:val="00823880"/>
    <w:rsid w:val="008241D3"/>
    <w:rsid w:val="00824D91"/>
    <w:rsid w:val="00825673"/>
    <w:rsid w:val="008257C1"/>
    <w:rsid w:val="00825C08"/>
    <w:rsid w:val="0083058C"/>
    <w:rsid w:val="00830A8A"/>
    <w:rsid w:val="00831AA7"/>
    <w:rsid w:val="00832C0D"/>
    <w:rsid w:val="00836304"/>
    <w:rsid w:val="00841F16"/>
    <w:rsid w:val="008467A3"/>
    <w:rsid w:val="00846848"/>
    <w:rsid w:val="00846C4C"/>
    <w:rsid w:val="00847D7A"/>
    <w:rsid w:val="00850D33"/>
    <w:rsid w:val="00852672"/>
    <w:rsid w:val="00852A83"/>
    <w:rsid w:val="00853473"/>
    <w:rsid w:val="00854D3E"/>
    <w:rsid w:val="008561E9"/>
    <w:rsid w:val="008579D7"/>
    <w:rsid w:val="00861D20"/>
    <w:rsid w:val="00863B20"/>
    <w:rsid w:val="008648BB"/>
    <w:rsid w:val="008679F8"/>
    <w:rsid w:val="00871395"/>
    <w:rsid w:val="0087242A"/>
    <w:rsid w:val="0087262A"/>
    <w:rsid w:val="00872E19"/>
    <w:rsid w:val="00874AAE"/>
    <w:rsid w:val="00875BF1"/>
    <w:rsid w:val="00877FD8"/>
    <w:rsid w:val="008808E3"/>
    <w:rsid w:val="00881886"/>
    <w:rsid w:val="00881A97"/>
    <w:rsid w:val="00882C09"/>
    <w:rsid w:val="00883178"/>
    <w:rsid w:val="00885151"/>
    <w:rsid w:val="008869BE"/>
    <w:rsid w:val="00890346"/>
    <w:rsid w:val="008929C1"/>
    <w:rsid w:val="00893728"/>
    <w:rsid w:val="008979D4"/>
    <w:rsid w:val="008A1D8B"/>
    <w:rsid w:val="008A2766"/>
    <w:rsid w:val="008A3948"/>
    <w:rsid w:val="008A5088"/>
    <w:rsid w:val="008A74F8"/>
    <w:rsid w:val="008B0EEF"/>
    <w:rsid w:val="008B123F"/>
    <w:rsid w:val="008B26D4"/>
    <w:rsid w:val="008B2A89"/>
    <w:rsid w:val="008B3178"/>
    <w:rsid w:val="008B4082"/>
    <w:rsid w:val="008B7312"/>
    <w:rsid w:val="008C09D2"/>
    <w:rsid w:val="008C1818"/>
    <w:rsid w:val="008C21E6"/>
    <w:rsid w:val="008C3592"/>
    <w:rsid w:val="008C38B7"/>
    <w:rsid w:val="008C6E07"/>
    <w:rsid w:val="008D0899"/>
    <w:rsid w:val="008D3C61"/>
    <w:rsid w:val="008D3E3D"/>
    <w:rsid w:val="008D42D4"/>
    <w:rsid w:val="008D451E"/>
    <w:rsid w:val="008D6B14"/>
    <w:rsid w:val="008D7A86"/>
    <w:rsid w:val="008E09F4"/>
    <w:rsid w:val="008E0C8C"/>
    <w:rsid w:val="008E0E01"/>
    <w:rsid w:val="008E1721"/>
    <w:rsid w:val="008E2AB0"/>
    <w:rsid w:val="008E3865"/>
    <w:rsid w:val="008E417C"/>
    <w:rsid w:val="008F09AB"/>
    <w:rsid w:val="008F11A3"/>
    <w:rsid w:val="008F7601"/>
    <w:rsid w:val="008F79E1"/>
    <w:rsid w:val="0090366F"/>
    <w:rsid w:val="0090378D"/>
    <w:rsid w:val="00904039"/>
    <w:rsid w:val="00907971"/>
    <w:rsid w:val="00907A05"/>
    <w:rsid w:val="009100A8"/>
    <w:rsid w:val="00911092"/>
    <w:rsid w:val="00912104"/>
    <w:rsid w:val="00912187"/>
    <w:rsid w:val="009132E3"/>
    <w:rsid w:val="009148AC"/>
    <w:rsid w:val="00914C1D"/>
    <w:rsid w:val="00915F3F"/>
    <w:rsid w:val="0091747C"/>
    <w:rsid w:val="00922A9B"/>
    <w:rsid w:val="009231B2"/>
    <w:rsid w:val="00923ADD"/>
    <w:rsid w:val="009279F2"/>
    <w:rsid w:val="00931B2F"/>
    <w:rsid w:val="0093306C"/>
    <w:rsid w:val="00933407"/>
    <w:rsid w:val="009339FC"/>
    <w:rsid w:val="009350CE"/>
    <w:rsid w:val="00940B60"/>
    <w:rsid w:val="00940D05"/>
    <w:rsid w:val="009433C1"/>
    <w:rsid w:val="00943829"/>
    <w:rsid w:val="00946DC5"/>
    <w:rsid w:val="00946E17"/>
    <w:rsid w:val="00947278"/>
    <w:rsid w:val="009539FA"/>
    <w:rsid w:val="00960FE0"/>
    <w:rsid w:val="0096247E"/>
    <w:rsid w:val="00964284"/>
    <w:rsid w:val="00965FDF"/>
    <w:rsid w:val="009802CB"/>
    <w:rsid w:val="0098085A"/>
    <w:rsid w:val="0098465E"/>
    <w:rsid w:val="00985D31"/>
    <w:rsid w:val="00986804"/>
    <w:rsid w:val="00990AA4"/>
    <w:rsid w:val="00993BAE"/>
    <w:rsid w:val="00993E39"/>
    <w:rsid w:val="0099546D"/>
    <w:rsid w:val="00996370"/>
    <w:rsid w:val="00997D73"/>
    <w:rsid w:val="00997EED"/>
    <w:rsid w:val="009A375C"/>
    <w:rsid w:val="009A3853"/>
    <w:rsid w:val="009A3C3C"/>
    <w:rsid w:val="009B0520"/>
    <w:rsid w:val="009B4220"/>
    <w:rsid w:val="009B5742"/>
    <w:rsid w:val="009C3182"/>
    <w:rsid w:val="009C34F3"/>
    <w:rsid w:val="009C5367"/>
    <w:rsid w:val="009C5B87"/>
    <w:rsid w:val="009D2F28"/>
    <w:rsid w:val="009D30A4"/>
    <w:rsid w:val="009D3731"/>
    <w:rsid w:val="009D38A1"/>
    <w:rsid w:val="009E3C08"/>
    <w:rsid w:val="009E6C05"/>
    <w:rsid w:val="009E77F2"/>
    <w:rsid w:val="009F23BD"/>
    <w:rsid w:val="009F295D"/>
    <w:rsid w:val="009F593D"/>
    <w:rsid w:val="00A00DD8"/>
    <w:rsid w:val="00A0156A"/>
    <w:rsid w:val="00A01C6F"/>
    <w:rsid w:val="00A023EA"/>
    <w:rsid w:val="00A047CA"/>
    <w:rsid w:val="00A109D4"/>
    <w:rsid w:val="00A11FFC"/>
    <w:rsid w:val="00A12D70"/>
    <w:rsid w:val="00A1430A"/>
    <w:rsid w:val="00A21842"/>
    <w:rsid w:val="00A2215A"/>
    <w:rsid w:val="00A23059"/>
    <w:rsid w:val="00A25DE9"/>
    <w:rsid w:val="00A2623B"/>
    <w:rsid w:val="00A26B28"/>
    <w:rsid w:val="00A300E2"/>
    <w:rsid w:val="00A323BD"/>
    <w:rsid w:val="00A34465"/>
    <w:rsid w:val="00A35D7E"/>
    <w:rsid w:val="00A37A93"/>
    <w:rsid w:val="00A40847"/>
    <w:rsid w:val="00A41ED8"/>
    <w:rsid w:val="00A42C3C"/>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123"/>
    <w:rsid w:val="00A87317"/>
    <w:rsid w:val="00A903D9"/>
    <w:rsid w:val="00A91411"/>
    <w:rsid w:val="00A931E9"/>
    <w:rsid w:val="00A94647"/>
    <w:rsid w:val="00A97A9E"/>
    <w:rsid w:val="00A97D79"/>
    <w:rsid w:val="00AA0C5A"/>
    <w:rsid w:val="00AA2D57"/>
    <w:rsid w:val="00AA3E70"/>
    <w:rsid w:val="00AA4EF1"/>
    <w:rsid w:val="00AA6BA4"/>
    <w:rsid w:val="00AA7670"/>
    <w:rsid w:val="00AB3269"/>
    <w:rsid w:val="00AB3C78"/>
    <w:rsid w:val="00AB6D11"/>
    <w:rsid w:val="00AC0045"/>
    <w:rsid w:val="00AC40D0"/>
    <w:rsid w:val="00AC4A34"/>
    <w:rsid w:val="00AC5B44"/>
    <w:rsid w:val="00AD281B"/>
    <w:rsid w:val="00AD29E4"/>
    <w:rsid w:val="00AD51CE"/>
    <w:rsid w:val="00AD6FA9"/>
    <w:rsid w:val="00AD7650"/>
    <w:rsid w:val="00AE1BC2"/>
    <w:rsid w:val="00AE2DD6"/>
    <w:rsid w:val="00AE3B7B"/>
    <w:rsid w:val="00AE4A80"/>
    <w:rsid w:val="00AE71A5"/>
    <w:rsid w:val="00AE7959"/>
    <w:rsid w:val="00AF1D10"/>
    <w:rsid w:val="00AF2921"/>
    <w:rsid w:val="00AF3FFC"/>
    <w:rsid w:val="00AF440E"/>
    <w:rsid w:val="00B00132"/>
    <w:rsid w:val="00B01A6B"/>
    <w:rsid w:val="00B02FF3"/>
    <w:rsid w:val="00B030B3"/>
    <w:rsid w:val="00B05F83"/>
    <w:rsid w:val="00B064C6"/>
    <w:rsid w:val="00B115A2"/>
    <w:rsid w:val="00B13AC3"/>
    <w:rsid w:val="00B13B6B"/>
    <w:rsid w:val="00B15CA5"/>
    <w:rsid w:val="00B210F4"/>
    <w:rsid w:val="00B21270"/>
    <w:rsid w:val="00B233FA"/>
    <w:rsid w:val="00B31461"/>
    <w:rsid w:val="00B31649"/>
    <w:rsid w:val="00B335B0"/>
    <w:rsid w:val="00B344FD"/>
    <w:rsid w:val="00B3586B"/>
    <w:rsid w:val="00B3706D"/>
    <w:rsid w:val="00B40005"/>
    <w:rsid w:val="00B4177C"/>
    <w:rsid w:val="00B43A28"/>
    <w:rsid w:val="00B43E2A"/>
    <w:rsid w:val="00B440EB"/>
    <w:rsid w:val="00B53589"/>
    <w:rsid w:val="00B56443"/>
    <w:rsid w:val="00B568A2"/>
    <w:rsid w:val="00B57F53"/>
    <w:rsid w:val="00B636DC"/>
    <w:rsid w:val="00B639E5"/>
    <w:rsid w:val="00B67019"/>
    <w:rsid w:val="00B72FA7"/>
    <w:rsid w:val="00B818D7"/>
    <w:rsid w:val="00B85678"/>
    <w:rsid w:val="00B867DD"/>
    <w:rsid w:val="00B86C04"/>
    <w:rsid w:val="00B90EA0"/>
    <w:rsid w:val="00B91BAA"/>
    <w:rsid w:val="00B92538"/>
    <w:rsid w:val="00B92C39"/>
    <w:rsid w:val="00B9320E"/>
    <w:rsid w:val="00B93F58"/>
    <w:rsid w:val="00B952B5"/>
    <w:rsid w:val="00BA0CE8"/>
    <w:rsid w:val="00BA19BE"/>
    <w:rsid w:val="00BA1DFD"/>
    <w:rsid w:val="00BA1F1D"/>
    <w:rsid w:val="00BA2A76"/>
    <w:rsid w:val="00BA374F"/>
    <w:rsid w:val="00BA4A46"/>
    <w:rsid w:val="00BB0559"/>
    <w:rsid w:val="00BB48FA"/>
    <w:rsid w:val="00BB5312"/>
    <w:rsid w:val="00BC0018"/>
    <w:rsid w:val="00BC1B68"/>
    <w:rsid w:val="00BC3700"/>
    <w:rsid w:val="00BC5ACA"/>
    <w:rsid w:val="00BC5ECE"/>
    <w:rsid w:val="00BC6269"/>
    <w:rsid w:val="00BC67A2"/>
    <w:rsid w:val="00BD0BA3"/>
    <w:rsid w:val="00BD26FC"/>
    <w:rsid w:val="00BD44B9"/>
    <w:rsid w:val="00BD49FC"/>
    <w:rsid w:val="00BD4A08"/>
    <w:rsid w:val="00BD75B3"/>
    <w:rsid w:val="00BD7ACB"/>
    <w:rsid w:val="00BE0BD4"/>
    <w:rsid w:val="00BE391B"/>
    <w:rsid w:val="00BE46AC"/>
    <w:rsid w:val="00BE639D"/>
    <w:rsid w:val="00BF191E"/>
    <w:rsid w:val="00BF33B0"/>
    <w:rsid w:val="00BF59B2"/>
    <w:rsid w:val="00C00DC1"/>
    <w:rsid w:val="00C01514"/>
    <w:rsid w:val="00C061E3"/>
    <w:rsid w:val="00C06240"/>
    <w:rsid w:val="00C07770"/>
    <w:rsid w:val="00C1140C"/>
    <w:rsid w:val="00C119C2"/>
    <w:rsid w:val="00C141DF"/>
    <w:rsid w:val="00C14967"/>
    <w:rsid w:val="00C14B25"/>
    <w:rsid w:val="00C1627A"/>
    <w:rsid w:val="00C1777A"/>
    <w:rsid w:val="00C20E15"/>
    <w:rsid w:val="00C222AC"/>
    <w:rsid w:val="00C24C12"/>
    <w:rsid w:val="00C252E8"/>
    <w:rsid w:val="00C25961"/>
    <w:rsid w:val="00C26E47"/>
    <w:rsid w:val="00C3083F"/>
    <w:rsid w:val="00C31B7A"/>
    <w:rsid w:val="00C322A1"/>
    <w:rsid w:val="00C32E9F"/>
    <w:rsid w:val="00C33404"/>
    <w:rsid w:val="00C338CE"/>
    <w:rsid w:val="00C33BEE"/>
    <w:rsid w:val="00C34E14"/>
    <w:rsid w:val="00C364D6"/>
    <w:rsid w:val="00C40350"/>
    <w:rsid w:val="00C414E8"/>
    <w:rsid w:val="00C42CE4"/>
    <w:rsid w:val="00C43DAE"/>
    <w:rsid w:val="00C51A84"/>
    <w:rsid w:val="00C531DC"/>
    <w:rsid w:val="00C532F8"/>
    <w:rsid w:val="00C533FE"/>
    <w:rsid w:val="00C5376C"/>
    <w:rsid w:val="00C54162"/>
    <w:rsid w:val="00C61020"/>
    <w:rsid w:val="00C62631"/>
    <w:rsid w:val="00C65241"/>
    <w:rsid w:val="00C66CB0"/>
    <w:rsid w:val="00C676E5"/>
    <w:rsid w:val="00C7661F"/>
    <w:rsid w:val="00C76787"/>
    <w:rsid w:val="00C772E3"/>
    <w:rsid w:val="00C811B2"/>
    <w:rsid w:val="00C83A4F"/>
    <w:rsid w:val="00C84379"/>
    <w:rsid w:val="00C8621A"/>
    <w:rsid w:val="00C87641"/>
    <w:rsid w:val="00C87E4C"/>
    <w:rsid w:val="00C926AD"/>
    <w:rsid w:val="00CA04DC"/>
    <w:rsid w:val="00CA0ADF"/>
    <w:rsid w:val="00CA19E7"/>
    <w:rsid w:val="00CA5938"/>
    <w:rsid w:val="00CA5DEE"/>
    <w:rsid w:val="00CB3DBD"/>
    <w:rsid w:val="00CB57FE"/>
    <w:rsid w:val="00CB7123"/>
    <w:rsid w:val="00CB73A3"/>
    <w:rsid w:val="00CB7F0D"/>
    <w:rsid w:val="00CC1CF9"/>
    <w:rsid w:val="00CC1DF7"/>
    <w:rsid w:val="00CC28C6"/>
    <w:rsid w:val="00CC4808"/>
    <w:rsid w:val="00CC4BC8"/>
    <w:rsid w:val="00CC7D66"/>
    <w:rsid w:val="00CD0400"/>
    <w:rsid w:val="00CD211F"/>
    <w:rsid w:val="00CD305B"/>
    <w:rsid w:val="00CE0D2C"/>
    <w:rsid w:val="00CE1B8A"/>
    <w:rsid w:val="00CE4936"/>
    <w:rsid w:val="00CE6205"/>
    <w:rsid w:val="00CE64AA"/>
    <w:rsid w:val="00CF27C4"/>
    <w:rsid w:val="00D06F27"/>
    <w:rsid w:val="00D073F4"/>
    <w:rsid w:val="00D1102D"/>
    <w:rsid w:val="00D13DF0"/>
    <w:rsid w:val="00D14486"/>
    <w:rsid w:val="00D244C9"/>
    <w:rsid w:val="00D24520"/>
    <w:rsid w:val="00D2551F"/>
    <w:rsid w:val="00D25BF8"/>
    <w:rsid w:val="00D262EA"/>
    <w:rsid w:val="00D31703"/>
    <w:rsid w:val="00D40AAD"/>
    <w:rsid w:val="00D47ACC"/>
    <w:rsid w:val="00D51FE7"/>
    <w:rsid w:val="00D561D7"/>
    <w:rsid w:val="00D600F0"/>
    <w:rsid w:val="00D61332"/>
    <w:rsid w:val="00D61F8A"/>
    <w:rsid w:val="00D6239E"/>
    <w:rsid w:val="00D64A4B"/>
    <w:rsid w:val="00D66A48"/>
    <w:rsid w:val="00D729B1"/>
    <w:rsid w:val="00D72A8B"/>
    <w:rsid w:val="00D73129"/>
    <w:rsid w:val="00D735FF"/>
    <w:rsid w:val="00D73A3C"/>
    <w:rsid w:val="00D7483C"/>
    <w:rsid w:val="00D77CD3"/>
    <w:rsid w:val="00D813C5"/>
    <w:rsid w:val="00D83999"/>
    <w:rsid w:val="00D839BC"/>
    <w:rsid w:val="00D84ABE"/>
    <w:rsid w:val="00D84F60"/>
    <w:rsid w:val="00D87B35"/>
    <w:rsid w:val="00D9098B"/>
    <w:rsid w:val="00D91BC7"/>
    <w:rsid w:val="00D91D79"/>
    <w:rsid w:val="00D9288B"/>
    <w:rsid w:val="00D93EA3"/>
    <w:rsid w:val="00D96060"/>
    <w:rsid w:val="00D97AD0"/>
    <w:rsid w:val="00DA2373"/>
    <w:rsid w:val="00DA6F20"/>
    <w:rsid w:val="00DB17ED"/>
    <w:rsid w:val="00DB4087"/>
    <w:rsid w:val="00DB4755"/>
    <w:rsid w:val="00DC07A6"/>
    <w:rsid w:val="00DC428F"/>
    <w:rsid w:val="00DD04B4"/>
    <w:rsid w:val="00DD2866"/>
    <w:rsid w:val="00DD332A"/>
    <w:rsid w:val="00DD3E03"/>
    <w:rsid w:val="00DD536D"/>
    <w:rsid w:val="00DD6622"/>
    <w:rsid w:val="00DE0CFB"/>
    <w:rsid w:val="00DE1245"/>
    <w:rsid w:val="00DE16B2"/>
    <w:rsid w:val="00DE17F9"/>
    <w:rsid w:val="00DE33F9"/>
    <w:rsid w:val="00DE3A75"/>
    <w:rsid w:val="00DE4C92"/>
    <w:rsid w:val="00DE6050"/>
    <w:rsid w:val="00DE65EC"/>
    <w:rsid w:val="00DF2149"/>
    <w:rsid w:val="00DF35E8"/>
    <w:rsid w:val="00DF5393"/>
    <w:rsid w:val="00DF54C2"/>
    <w:rsid w:val="00DF5787"/>
    <w:rsid w:val="00DF794F"/>
    <w:rsid w:val="00E02336"/>
    <w:rsid w:val="00E02DF9"/>
    <w:rsid w:val="00E12228"/>
    <w:rsid w:val="00E12632"/>
    <w:rsid w:val="00E15852"/>
    <w:rsid w:val="00E1630A"/>
    <w:rsid w:val="00E165CA"/>
    <w:rsid w:val="00E20A4D"/>
    <w:rsid w:val="00E23208"/>
    <w:rsid w:val="00E23A7E"/>
    <w:rsid w:val="00E24A0D"/>
    <w:rsid w:val="00E24A15"/>
    <w:rsid w:val="00E24F4E"/>
    <w:rsid w:val="00E25699"/>
    <w:rsid w:val="00E275CC"/>
    <w:rsid w:val="00E3023E"/>
    <w:rsid w:val="00E31D83"/>
    <w:rsid w:val="00E325CC"/>
    <w:rsid w:val="00E32F40"/>
    <w:rsid w:val="00E34B78"/>
    <w:rsid w:val="00E35F2E"/>
    <w:rsid w:val="00E37029"/>
    <w:rsid w:val="00E42F1F"/>
    <w:rsid w:val="00E4791A"/>
    <w:rsid w:val="00E51FE7"/>
    <w:rsid w:val="00E540E3"/>
    <w:rsid w:val="00E54235"/>
    <w:rsid w:val="00E55689"/>
    <w:rsid w:val="00E60D4B"/>
    <w:rsid w:val="00E61488"/>
    <w:rsid w:val="00E6207F"/>
    <w:rsid w:val="00E62F37"/>
    <w:rsid w:val="00E63547"/>
    <w:rsid w:val="00E63814"/>
    <w:rsid w:val="00E651A3"/>
    <w:rsid w:val="00E651B3"/>
    <w:rsid w:val="00E674DE"/>
    <w:rsid w:val="00E8056B"/>
    <w:rsid w:val="00E80729"/>
    <w:rsid w:val="00E80CF1"/>
    <w:rsid w:val="00E91C39"/>
    <w:rsid w:val="00E96BDF"/>
    <w:rsid w:val="00EA1831"/>
    <w:rsid w:val="00EA2204"/>
    <w:rsid w:val="00EA3251"/>
    <w:rsid w:val="00EA3322"/>
    <w:rsid w:val="00EA3F83"/>
    <w:rsid w:val="00EA5BA3"/>
    <w:rsid w:val="00EA6150"/>
    <w:rsid w:val="00EA6D50"/>
    <w:rsid w:val="00EB0C47"/>
    <w:rsid w:val="00EB3E6E"/>
    <w:rsid w:val="00EC042B"/>
    <w:rsid w:val="00EC4A38"/>
    <w:rsid w:val="00ED0C35"/>
    <w:rsid w:val="00ED185A"/>
    <w:rsid w:val="00ED19EB"/>
    <w:rsid w:val="00ED1D0D"/>
    <w:rsid w:val="00ED2995"/>
    <w:rsid w:val="00ED39AB"/>
    <w:rsid w:val="00EE1FFF"/>
    <w:rsid w:val="00EE2127"/>
    <w:rsid w:val="00EE22F2"/>
    <w:rsid w:val="00EE4129"/>
    <w:rsid w:val="00EE49F2"/>
    <w:rsid w:val="00EE65C7"/>
    <w:rsid w:val="00EF0723"/>
    <w:rsid w:val="00EF081A"/>
    <w:rsid w:val="00EF5F37"/>
    <w:rsid w:val="00F03AB9"/>
    <w:rsid w:val="00F04185"/>
    <w:rsid w:val="00F127E5"/>
    <w:rsid w:val="00F142B3"/>
    <w:rsid w:val="00F16C2D"/>
    <w:rsid w:val="00F17E6F"/>
    <w:rsid w:val="00F2072F"/>
    <w:rsid w:val="00F21CE8"/>
    <w:rsid w:val="00F24FD9"/>
    <w:rsid w:val="00F25484"/>
    <w:rsid w:val="00F254C0"/>
    <w:rsid w:val="00F26132"/>
    <w:rsid w:val="00F32456"/>
    <w:rsid w:val="00F32DC1"/>
    <w:rsid w:val="00F33008"/>
    <w:rsid w:val="00F33089"/>
    <w:rsid w:val="00F35870"/>
    <w:rsid w:val="00F4251D"/>
    <w:rsid w:val="00F4543E"/>
    <w:rsid w:val="00F51ADE"/>
    <w:rsid w:val="00F51B8C"/>
    <w:rsid w:val="00F52310"/>
    <w:rsid w:val="00F5399F"/>
    <w:rsid w:val="00F70531"/>
    <w:rsid w:val="00F73ACC"/>
    <w:rsid w:val="00F811F7"/>
    <w:rsid w:val="00F84D4F"/>
    <w:rsid w:val="00F85E0E"/>
    <w:rsid w:val="00F946DC"/>
    <w:rsid w:val="00F971D6"/>
    <w:rsid w:val="00F97FDE"/>
    <w:rsid w:val="00FA2450"/>
    <w:rsid w:val="00FA2486"/>
    <w:rsid w:val="00FA321F"/>
    <w:rsid w:val="00FA6CB0"/>
    <w:rsid w:val="00FB5CCE"/>
    <w:rsid w:val="00FB7B56"/>
    <w:rsid w:val="00FC1291"/>
    <w:rsid w:val="00FC1708"/>
    <w:rsid w:val="00FC2E35"/>
    <w:rsid w:val="00FC3859"/>
    <w:rsid w:val="00FC54E7"/>
    <w:rsid w:val="00FC7369"/>
    <w:rsid w:val="00FC74E8"/>
    <w:rsid w:val="00FD3FFC"/>
    <w:rsid w:val="00FD4E53"/>
    <w:rsid w:val="00FD7129"/>
    <w:rsid w:val="00FD74A6"/>
    <w:rsid w:val="00FE6FC6"/>
    <w:rsid w:val="00FE75E5"/>
    <w:rsid w:val="00FF0E35"/>
    <w:rsid w:val="00FF424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0F53C2"/>
    <w:rPr>
      <w:sz w:val="20"/>
      <w:szCs w:val="20"/>
    </w:rPr>
  </w:style>
  <w:style w:type="character" w:customStyle="1" w:styleId="FootnoteTextChar">
    <w:name w:val="Footnote Text Char"/>
    <w:basedOn w:val="DefaultParagraphFont"/>
    <w:link w:val="FootnoteText"/>
    <w:uiPriority w:val="99"/>
    <w:locked/>
    <w:rsid w:val="000F53C2"/>
    <w:rPr>
      <w:rFonts w:cs="Times New Roman"/>
      <w:lang w:eastAsia="en-US"/>
    </w:rPr>
  </w:style>
  <w:style w:type="character" w:styleId="FootnoteReference">
    <w:name w:val="footnote reference"/>
    <w:basedOn w:val="DefaultParagraphFont"/>
    <w:uiPriority w:val="99"/>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character" w:customStyle="1" w:styleId="apple-converted-space">
    <w:name w:val="apple-converted-space"/>
    <w:uiPriority w:val="99"/>
    <w:rsid w:val="003E6D0C"/>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511913849">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028096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13EE-BA86-4838-8634-A91FD565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2485</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coonand</cp:lastModifiedBy>
  <cp:revision>2</cp:revision>
  <cp:lastPrinted>2012-09-06T04:44:00Z</cp:lastPrinted>
  <dcterms:created xsi:type="dcterms:W3CDTF">2014-02-24T00:30:00Z</dcterms:created>
  <dcterms:modified xsi:type="dcterms:W3CDTF">2014-02-24T00:30:00Z</dcterms:modified>
</cp:coreProperties>
</file>