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660"/>
        <w:gridCol w:w="6379"/>
      </w:tblGrid>
      <w:tr w:rsidR="00D735FF" w:rsidRPr="00540454" w:rsidTr="000156D1">
        <w:trPr>
          <w:trHeight w:val="756"/>
        </w:trPr>
        <w:tc>
          <w:tcPr>
            <w:tcW w:w="2660" w:type="dxa"/>
            <w:vAlign w:val="center"/>
          </w:tcPr>
          <w:p w:rsidR="00D735FF" w:rsidRPr="00054F0E" w:rsidRDefault="00D735FF" w:rsidP="009D1601">
            <w:pPr>
              <w:pStyle w:val="Header"/>
              <w:rPr>
                <w:rFonts w:ascii="Arial" w:hAnsi="Arial" w:cs="Arial"/>
                <w:b/>
                <w:sz w:val="28"/>
                <w:szCs w:val="28"/>
              </w:rPr>
            </w:pPr>
            <w:bookmarkStart w:id="0" w:name="_GoBack"/>
            <w:bookmarkEnd w:id="0"/>
            <w:r w:rsidRPr="00054F0E">
              <w:rPr>
                <w:rFonts w:ascii="Arial" w:hAnsi="Arial" w:cs="Arial"/>
                <w:b/>
                <w:sz w:val="28"/>
                <w:szCs w:val="28"/>
              </w:rPr>
              <w:t>Submission to:</w:t>
            </w:r>
          </w:p>
        </w:tc>
        <w:tc>
          <w:tcPr>
            <w:tcW w:w="6379" w:type="dxa"/>
            <w:vAlign w:val="center"/>
          </w:tcPr>
          <w:p w:rsidR="00D735FF" w:rsidRPr="00054F0E" w:rsidRDefault="00FB38C7" w:rsidP="009D1601">
            <w:pPr>
              <w:pStyle w:val="Header"/>
              <w:rPr>
                <w:rFonts w:ascii="Arial" w:hAnsi="Arial" w:cs="Arial"/>
                <w:sz w:val="28"/>
                <w:szCs w:val="28"/>
              </w:rPr>
            </w:pPr>
            <w:r>
              <w:rPr>
                <w:rFonts w:ascii="Arial" w:hAnsi="Arial" w:cs="Arial"/>
                <w:sz w:val="28"/>
                <w:szCs w:val="28"/>
              </w:rPr>
              <w:t>National Transport Commission</w:t>
            </w:r>
          </w:p>
        </w:tc>
      </w:tr>
      <w:tr w:rsidR="00D735FF" w:rsidRPr="00540454" w:rsidTr="000156D1">
        <w:trPr>
          <w:trHeight w:val="756"/>
        </w:trPr>
        <w:tc>
          <w:tcPr>
            <w:tcW w:w="2660" w:type="dxa"/>
            <w:vAlign w:val="center"/>
          </w:tcPr>
          <w:p w:rsidR="00D735FF" w:rsidRPr="00054F0E" w:rsidRDefault="00D735FF" w:rsidP="009D1601">
            <w:pPr>
              <w:pStyle w:val="Header"/>
              <w:rPr>
                <w:rFonts w:ascii="Arial" w:hAnsi="Arial" w:cs="Arial"/>
                <w:b/>
                <w:sz w:val="28"/>
                <w:szCs w:val="28"/>
              </w:rPr>
            </w:pPr>
            <w:r w:rsidRPr="00054F0E">
              <w:rPr>
                <w:rFonts w:ascii="Arial" w:hAnsi="Arial" w:cs="Arial"/>
                <w:b/>
                <w:sz w:val="28"/>
                <w:szCs w:val="28"/>
              </w:rPr>
              <w:t>Title:</w:t>
            </w:r>
          </w:p>
        </w:tc>
        <w:tc>
          <w:tcPr>
            <w:tcW w:w="6379" w:type="dxa"/>
            <w:vAlign w:val="center"/>
          </w:tcPr>
          <w:p w:rsidR="00D735FF" w:rsidRPr="00054F0E" w:rsidRDefault="00A75D06" w:rsidP="009D1601">
            <w:pPr>
              <w:pStyle w:val="Header"/>
              <w:rPr>
                <w:rFonts w:ascii="Arial" w:hAnsi="Arial" w:cs="Arial"/>
                <w:sz w:val="28"/>
                <w:szCs w:val="28"/>
              </w:rPr>
            </w:pPr>
            <w:r>
              <w:rPr>
                <w:rFonts w:ascii="Arial" w:hAnsi="Arial" w:cs="Arial"/>
                <w:sz w:val="28"/>
                <w:szCs w:val="28"/>
              </w:rPr>
              <w:t>Heavy vehicle charges—options for improving the accuracy and stability of the PAYGO heavy vehicle charges methodology</w:t>
            </w:r>
          </w:p>
        </w:tc>
      </w:tr>
      <w:tr w:rsidR="00D735FF" w:rsidRPr="00540454" w:rsidTr="000156D1">
        <w:trPr>
          <w:trHeight w:val="756"/>
        </w:trPr>
        <w:tc>
          <w:tcPr>
            <w:tcW w:w="2660" w:type="dxa"/>
            <w:vAlign w:val="center"/>
          </w:tcPr>
          <w:p w:rsidR="00D735FF" w:rsidRPr="00054F0E" w:rsidRDefault="00D735FF" w:rsidP="009D1601">
            <w:pPr>
              <w:pStyle w:val="Header"/>
              <w:rPr>
                <w:rFonts w:ascii="Arial" w:hAnsi="Arial" w:cs="Arial"/>
                <w:b/>
                <w:sz w:val="28"/>
                <w:szCs w:val="28"/>
              </w:rPr>
            </w:pPr>
            <w:r w:rsidRPr="00054F0E">
              <w:rPr>
                <w:rFonts w:ascii="Arial" w:hAnsi="Arial" w:cs="Arial"/>
                <w:b/>
                <w:sz w:val="28"/>
                <w:szCs w:val="28"/>
              </w:rPr>
              <w:t>Date:</w:t>
            </w:r>
          </w:p>
        </w:tc>
        <w:tc>
          <w:tcPr>
            <w:tcW w:w="6379" w:type="dxa"/>
            <w:vAlign w:val="center"/>
          </w:tcPr>
          <w:p w:rsidR="00D735FF" w:rsidRPr="00054F0E" w:rsidRDefault="00A75D06" w:rsidP="009D1601">
            <w:pPr>
              <w:pStyle w:val="Header"/>
              <w:rPr>
                <w:rFonts w:ascii="Arial" w:hAnsi="Arial" w:cs="Arial"/>
                <w:sz w:val="28"/>
                <w:szCs w:val="28"/>
              </w:rPr>
            </w:pPr>
            <w:r>
              <w:rPr>
                <w:rFonts w:ascii="Arial" w:hAnsi="Arial" w:cs="Arial"/>
                <w:sz w:val="28"/>
                <w:szCs w:val="28"/>
              </w:rPr>
              <w:t xml:space="preserve">27 July </w:t>
            </w:r>
            <w:r w:rsidR="00054F0E" w:rsidRPr="00054F0E">
              <w:rPr>
                <w:rFonts w:ascii="Arial" w:hAnsi="Arial" w:cs="Arial"/>
                <w:sz w:val="28"/>
                <w:szCs w:val="28"/>
              </w:rPr>
              <w:t>2016</w:t>
            </w:r>
          </w:p>
        </w:tc>
      </w:tr>
    </w:tbl>
    <w:p w:rsidR="00D735FF" w:rsidRPr="00540454" w:rsidRDefault="00D735FF" w:rsidP="009D1601">
      <w:pPr>
        <w:pStyle w:val="Header"/>
        <w:rPr>
          <w:rFonts w:ascii="Arial" w:hAnsi="Arial" w:cs="Arial"/>
          <w:sz w:val="32"/>
        </w:rPr>
      </w:pPr>
    </w:p>
    <w:p w:rsidR="00D735FF" w:rsidRPr="00540454" w:rsidRDefault="00D735FF" w:rsidP="009D1601">
      <w:pPr>
        <w:pStyle w:val="Header"/>
        <w:rPr>
          <w:rFonts w:ascii="Arial" w:hAnsi="Arial" w:cs="Arial"/>
          <w:sz w:val="32"/>
        </w:rPr>
      </w:pPr>
    </w:p>
    <w:p w:rsidR="00576ED0" w:rsidRPr="00540454" w:rsidRDefault="00576ED0" w:rsidP="009D1601">
      <w:pPr>
        <w:pStyle w:val="Header"/>
        <w:rPr>
          <w:rFonts w:ascii="Arial" w:hAnsi="Arial" w:cs="Arial"/>
          <w:sz w:val="32"/>
        </w:rPr>
      </w:pPr>
    </w:p>
    <w:p w:rsidR="00576ED0" w:rsidRPr="00540454" w:rsidRDefault="00576ED0" w:rsidP="009D1601">
      <w:pPr>
        <w:rPr>
          <w:rFonts w:ascii="Arial" w:hAnsi="Arial" w:cs="Arial"/>
        </w:rPr>
        <w:sectPr w:rsidR="00576ED0" w:rsidRPr="00540454" w:rsidSect="005F5ACC">
          <w:headerReference w:type="even" r:id="rId8"/>
          <w:headerReference w:type="default" r:id="rId9"/>
          <w:footerReference w:type="even" r:id="rId10"/>
          <w:footerReference w:type="default" r:id="rId11"/>
          <w:headerReference w:type="first" r:id="rId12"/>
          <w:footerReference w:type="first" r:id="rId13"/>
          <w:pgSz w:w="11906" w:h="16838"/>
          <w:pgMar w:top="5103" w:right="1133" w:bottom="1418" w:left="1134" w:header="851" w:footer="651" w:gutter="0"/>
          <w:cols w:space="708"/>
          <w:docGrid w:linePitch="360"/>
        </w:sectPr>
      </w:pPr>
    </w:p>
    <w:p w:rsidR="00576ED0" w:rsidRPr="00540454" w:rsidRDefault="00576ED0" w:rsidP="009D1601">
      <w:pPr>
        <w:rPr>
          <w:rFonts w:ascii="Arial" w:hAnsi="Arial" w:cs="Arial"/>
        </w:rPr>
      </w:pPr>
    </w:p>
    <w:p w:rsidR="0035493A" w:rsidRPr="00540454" w:rsidRDefault="0035493A" w:rsidP="009D1601">
      <w:pPr>
        <w:rPr>
          <w:rFonts w:ascii="Arial" w:hAnsi="Arial" w:cs="Arial"/>
        </w:rPr>
      </w:pPr>
    </w:p>
    <w:p w:rsidR="0035493A" w:rsidRPr="00540454" w:rsidRDefault="0035493A" w:rsidP="009D1601">
      <w:pPr>
        <w:rPr>
          <w:rFonts w:ascii="Arial" w:hAnsi="Arial" w:cs="Arial"/>
        </w:rPr>
      </w:pPr>
    </w:p>
    <w:p w:rsidR="0035493A" w:rsidRPr="00540454" w:rsidRDefault="0035493A" w:rsidP="009D1601">
      <w:pPr>
        <w:rPr>
          <w:rFonts w:ascii="Arial" w:hAnsi="Arial" w:cs="Arial"/>
        </w:rPr>
      </w:pPr>
    </w:p>
    <w:p w:rsidR="0035493A" w:rsidRPr="00540454" w:rsidRDefault="0035493A" w:rsidP="009D1601">
      <w:pPr>
        <w:rPr>
          <w:rFonts w:ascii="Arial" w:hAnsi="Arial" w:cs="Arial"/>
        </w:rPr>
      </w:pPr>
    </w:p>
    <w:p w:rsidR="0035493A" w:rsidRPr="00054F0E" w:rsidRDefault="003B74E4" w:rsidP="009D1601">
      <w:pPr>
        <w:rPr>
          <w:rFonts w:ascii="Arial" w:hAnsi="Arial" w:cs="Arial"/>
          <w:b/>
          <w:color w:val="000064"/>
          <w:sz w:val="28"/>
          <w:szCs w:val="28"/>
        </w:rPr>
      </w:pPr>
      <w:r w:rsidRPr="00054F0E">
        <w:rPr>
          <w:rFonts w:ascii="Arial" w:hAnsi="Arial" w:cs="Arial"/>
          <w:b/>
          <w:color w:val="000064"/>
          <w:sz w:val="28"/>
          <w:szCs w:val="28"/>
        </w:rPr>
        <w:t>Contents</w:t>
      </w:r>
    </w:p>
    <w:p w:rsidR="00576ED0" w:rsidRPr="00540454" w:rsidRDefault="00576ED0" w:rsidP="009D1601">
      <w:pPr>
        <w:rPr>
          <w:rFonts w:ascii="Arial" w:hAnsi="Arial" w:cs="Arial"/>
        </w:rPr>
      </w:pPr>
    </w:p>
    <w:p w:rsidR="009B0520" w:rsidRPr="00540454" w:rsidRDefault="009B0520" w:rsidP="009D1601">
      <w:pPr>
        <w:rPr>
          <w:rFonts w:ascii="Arial" w:hAnsi="Arial" w:cs="Arial"/>
        </w:rPr>
      </w:pPr>
    </w:p>
    <w:p w:rsidR="00B04338" w:rsidRDefault="003B2024">
      <w:pPr>
        <w:pStyle w:val="TOC1"/>
        <w:tabs>
          <w:tab w:val="left" w:pos="442"/>
        </w:tabs>
        <w:rPr>
          <w:rFonts w:asciiTheme="minorHAnsi" w:eastAsiaTheme="minorEastAsia" w:hAnsiTheme="minorHAnsi" w:cstheme="minorBidi"/>
          <w:b w:val="0"/>
          <w:sz w:val="22"/>
          <w:szCs w:val="22"/>
          <w:lang w:eastAsia="en-AU"/>
        </w:rPr>
      </w:pPr>
      <w:r w:rsidRPr="00054F0E">
        <w:rPr>
          <w:b w:val="0"/>
          <w:sz w:val="22"/>
          <w:szCs w:val="22"/>
        </w:rPr>
        <w:fldChar w:fldCharType="begin"/>
      </w:r>
      <w:r w:rsidR="00BD49FC" w:rsidRPr="00054F0E">
        <w:rPr>
          <w:b w:val="0"/>
          <w:sz w:val="22"/>
          <w:szCs w:val="22"/>
        </w:rPr>
        <w:instrText xml:space="preserve"> TOC \o "1-2" \t "ATA Heading 2,2" </w:instrText>
      </w:r>
      <w:r w:rsidRPr="00054F0E">
        <w:rPr>
          <w:b w:val="0"/>
          <w:sz w:val="22"/>
          <w:szCs w:val="22"/>
        </w:rPr>
        <w:fldChar w:fldCharType="separate"/>
      </w:r>
      <w:r w:rsidR="00B04338" w:rsidRPr="00D42BD0">
        <w:rPr>
          <w:rFonts w:cs="Times New Roman"/>
        </w:rPr>
        <w:t>1.</w:t>
      </w:r>
      <w:r w:rsidR="00B04338">
        <w:rPr>
          <w:rFonts w:asciiTheme="minorHAnsi" w:eastAsiaTheme="minorEastAsia" w:hAnsiTheme="minorHAnsi" w:cstheme="minorBidi"/>
          <w:b w:val="0"/>
          <w:sz w:val="22"/>
          <w:szCs w:val="22"/>
          <w:lang w:eastAsia="en-AU"/>
        </w:rPr>
        <w:tab/>
      </w:r>
      <w:r w:rsidR="00B04338">
        <w:t>About the Australian Trucking Association</w:t>
      </w:r>
      <w:r w:rsidR="00B04338">
        <w:tab/>
      </w:r>
      <w:r w:rsidR="00B04338">
        <w:fldChar w:fldCharType="begin"/>
      </w:r>
      <w:r w:rsidR="00B04338">
        <w:instrText xml:space="preserve"> PAGEREF _Toc457400394 \h </w:instrText>
      </w:r>
      <w:r w:rsidR="00B04338">
        <w:fldChar w:fldCharType="separate"/>
      </w:r>
      <w:r w:rsidR="00B04338">
        <w:t>3</w:t>
      </w:r>
      <w:r w:rsidR="00B04338">
        <w:fldChar w:fldCharType="end"/>
      </w:r>
    </w:p>
    <w:p w:rsidR="00B04338" w:rsidRDefault="00B04338">
      <w:pPr>
        <w:pStyle w:val="TOC1"/>
        <w:tabs>
          <w:tab w:val="left" w:pos="442"/>
        </w:tabs>
        <w:rPr>
          <w:rFonts w:asciiTheme="minorHAnsi" w:eastAsiaTheme="minorEastAsia" w:hAnsiTheme="minorHAnsi" w:cstheme="minorBidi"/>
          <w:b w:val="0"/>
          <w:sz w:val="22"/>
          <w:szCs w:val="22"/>
          <w:lang w:eastAsia="en-AU"/>
        </w:rPr>
      </w:pPr>
      <w:r w:rsidRPr="00D42BD0">
        <w:rPr>
          <w:rFonts w:cs="Times New Roman"/>
        </w:rPr>
        <w:t>2.</w:t>
      </w:r>
      <w:r>
        <w:rPr>
          <w:rFonts w:asciiTheme="minorHAnsi" w:eastAsiaTheme="minorEastAsia" w:hAnsiTheme="minorHAnsi" w:cstheme="minorBidi"/>
          <w:b w:val="0"/>
          <w:sz w:val="22"/>
          <w:szCs w:val="22"/>
          <w:lang w:eastAsia="en-AU"/>
        </w:rPr>
        <w:tab/>
      </w:r>
      <w:r>
        <w:t>Recommendations</w:t>
      </w:r>
      <w:r>
        <w:tab/>
      </w:r>
      <w:r>
        <w:fldChar w:fldCharType="begin"/>
      </w:r>
      <w:r>
        <w:instrText xml:space="preserve"> PAGEREF _Toc457400395 \h </w:instrText>
      </w:r>
      <w:r>
        <w:fldChar w:fldCharType="separate"/>
      </w:r>
      <w:r>
        <w:t>3</w:t>
      </w:r>
      <w:r>
        <w:fldChar w:fldCharType="end"/>
      </w:r>
    </w:p>
    <w:p w:rsidR="00B04338" w:rsidRDefault="00B04338">
      <w:pPr>
        <w:pStyle w:val="TOC1"/>
        <w:tabs>
          <w:tab w:val="left" w:pos="442"/>
        </w:tabs>
        <w:rPr>
          <w:rFonts w:asciiTheme="minorHAnsi" w:eastAsiaTheme="minorEastAsia" w:hAnsiTheme="minorHAnsi" w:cstheme="minorBidi"/>
          <w:b w:val="0"/>
          <w:sz w:val="22"/>
          <w:szCs w:val="22"/>
          <w:lang w:eastAsia="en-AU"/>
        </w:rPr>
      </w:pPr>
      <w:r w:rsidRPr="00D42BD0">
        <w:rPr>
          <w:rFonts w:cs="Times New Roman"/>
        </w:rPr>
        <w:t>3.</w:t>
      </w:r>
      <w:r>
        <w:rPr>
          <w:rFonts w:asciiTheme="minorHAnsi" w:eastAsiaTheme="minorEastAsia" w:hAnsiTheme="minorHAnsi" w:cstheme="minorBidi"/>
          <w:b w:val="0"/>
          <w:sz w:val="22"/>
          <w:szCs w:val="22"/>
          <w:lang w:eastAsia="en-AU"/>
        </w:rPr>
        <w:tab/>
      </w:r>
      <w:r>
        <w:t>Introduction and summary</w:t>
      </w:r>
      <w:r>
        <w:tab/>
      </w:r>
      <w:r>
        <w:fldChar w:fldCharType="begin"/>
      </w:r>
      <w:r>
        <w:instrText xml:space="preserve"> PAGEREF _Toc457400396 \h </w:instrText>
      </w:r>
      <w:r>
        <w:fldChar w:fldCharType="separate"/>
      </w:r>
      <w:r>
        <w:t>5</w:t>
      </w:r>
      <w:r>
        <w:fldChar w:fldCharType="end"/>
      </w:r>
    </w:p>
    <w:p w:rsidR="00B04338" w:rsidRDefault="00B04338">
      <w:pPr>
        <w:pStyle w:val="TOC1"/>
        <w:tabs>
          <w:tab w:val="left" w:pos="442"/>
        </w:tabs>
        <w:rPr>
          <w:rFonts w:asciiTheme="minorHAnsi" w:eastAsiaTheme="minorEastAsia" w:hAnsiTheme="minorHAnsi" w:cstheme="minorBidi"/>
          <w:b w:val="0"/>
          <w:sz w:val="22"/>
          <w:szCs w:val="22"/>
          <w:lang w:eastAsia="en-AU"/>
        </w:rPr>
      </w:pPr>
      <w:r w:rsidRPr="00D42BD0">
        <w:rPr>
          <w:rFonts w:cs="Times New Roman"/>
        </w:rPr>
        <w:t>4.</w:t>
      </w:r>
      <w:r>
        <w:rPr>
          <w:rFonts w:asciiTheme="minorHAnsi" w:eastAsiaTheme="minorEastAsia" w:hAnsiTheme="minorHAnsi" w:cstheme="minorBidi"/>
          <w:b w:val="0"/>
          <w:sz w:val="22"/>
          <w:szCs w:val="22"/>
          <w:lang w:eastAsia="en-AU"/>
        </w:rPr>
        <w:tab/>
      </w:r>
      <w:r>
        <w:t>The trucking industry’s preferred option</w:t>
      </w:r>
      <w:r>
        <w:tab/>
      </w:r>
      <w:r>
        <w:fldChar w:fldCharType="begin"/>
      </w:r>
      <w:r>
        <w:instrText xml:space="preserve"> PAGEREF _Toc457400397 \h </w:instrText>
      </w:r>
      <w:r>
        <w:fldChar w:fldCharType="separate"/>
      </w:r>
      <w:r>
        <w:t>6</w:t>
      </w:r>
      <w:r>
        <w:fldChar w:fldCharType="end"/>
      </w:r>
    </w:p>
    <w:p w:rsidR="00B04338" w:rsidRDefault="00B04338">
      <w:pPr>
        <w:pStyle w:val="TOC1"/>
        <w:tabs>
          <w:tab w:val="left" w:pos="442"/>
        </w:tabs>
        <w:rPr>
          <w:rFonts w:asciiTheme="minorHAnsi" w:eastAsiaTheme="minorEastAsia" w:hAnsiTheme="minorHAnsi" w:cstheme="minorBidi"/>
          <w:b w:val="0"/>
          <w:sz w:val="22"/>
          <w:szCs w:val="22"/>
          <w:lang w:eastAsia="en-AU"/>
        </w:rPr>
      </w:pPr>
      <w:r w:rsidRPr="00D42BD0">
        <w:rPr>
          <w:rFonts w:cs="Times New Roman"/>
        </w:rPr>
        <w:t>5.</w:t>
      </w:r>
      <w:r>
        <w:rPr>
          <w:rFonts w:asciiTheme="minorHAnsi" w:eastAsiaTheme="minorEastAsia" w:hAnsiTheme="minorHAnsi" w:cstheme="minorBidi"/>
          <w:b w:val="0"/>
          <w:sz w:val="22"/>
          <w:szCs w:val="22"/>
          <w:lang w:eastAsia="en-AU"/>
        </w:rPr>
        <w:tab/>
      </w:r>
      <w:r>
        <w:t>Problem definition</w:t>
      </w:r>
      <w:r>
        <w:tab/>
      </w:r>
      <w:r>
        <w:fldChar w:fldCharType="begin"/>
      </w:r>
      <w:r>
        <w:instrText xml:space="preserve"> PAGEREF _Toc457400398 \h </w:instrText>
      </w:r>
      <w:r>
        <w:fldChar w:fldCharType="separate"/>
      </w:r>
      <w:r>
        <w:t>6</w:t>
      </w:r>
      <w:r>
        <w:fldChar w:fldCharType="end"/>
      </w:r>
    </w:p>
    <w:p w:rsidR="00B04338" w:rsidRDefault="00B04338">
      <w:pPr>
        <w:pStyle w:val="TOC2"/>
        <w:rPr>
          <w:rFonts w:asciiTheme="minorHAnsi" w:eastAsiaTheme="minorEastAsia" w:hAnsiTheme="minorHAnsi" w:cstheme="minorBidi"/>
          <w:noProof/>
          <w:sz w:val="22"/>
          <w:lang w:eastAsia="en-AU"/>
        </w:rPr>
      </w:pPr>
      <w:r>
        <w:rPr>
          <w:noProof/>
        </w:rPr>
        <w:t>The mismatch between actual revenue and the cost base</w:t>
      </w:r>
      <w:r>
        <w:rPr>
          <w:noProof/>
        </w:rPr>
        <w:tab/>
      </w:r>
      <w:r>
        <w:rPr>
          <w:noProof/>
        </w:rPr>
        <w:fldChar w:fldCharType="begin"/>
      </w:r>
      <w:r>
        <w:rPr>
          <w:noProof/>
        </w:rPr>
        <w:instrText xml:space="preserve"> PAGEREF _Toc457400399 \h </w:instrText>
      </w:r>
      <w:r>
        <w:rPr>
          <w:noProof/>
        </w:rPr>
      </w:r>
      <w:r>
        <w:rPr>
          <w:noProof/>
        </w:rPr>
        <w:fldChar w:fldCharType="separate"/>
      </w:r>
      <w:r>
        <w:rPr>
          <w:noProof/>
        </w:rPr>
        <w:t>7</w:t>
      </w:r>
      <w:r>
        <w:rPr>
          <w:noProof/>
        </w:rPr>
        <w:fldChar w:fldCharType="end"/>
      </w:r>
    </w:p>
    <w:p w:rsidR="00B04338" w:rsidRDefault="00B04338">
      <w:pPr>
        <w:pStyle w:val="TOC2"/>
        <w:rPr>
          <w:rFonts w:asciiTheme="minorHAnsi" w:eastAsiaTheme="minorEastAsia" w:hAnsiTheme="minorHAnsi" w:cstheme="minorBidi"/>
          <w:noProof/>
          <w:sz w:val="22"/>
          <w:lang w:eastAsia="en-AU"/>
        </w:rPr>
      </w:pPr>
      <w:r>
        <w:rPr>
          <w:noProof/>
        </w:rPr>
        <w:t>Lack and predictability and stability</w:t>
      </w:r>
      <w:r>
        <w:rPr>
          <w:noProof/>
        </w:rPr>
        <w:tab/>
      </w:r>
      <w:r>
        <w:rPr>
          <w:noProof/>
        </w:rPr>
        <w:fldChar w:fldCharType="begin"/>
      </w:r>
      <w:r>
        <w:rPr>
          <w:noProof/>
        </w:rPr>
        <w:instrText xml:space="preserve"> PAGEREF _Toc457400400 \h </w:instrText>
      </w:r>
      <w:r>
        <w:rPr>
          <w:noProof/>
        </w:rPr>
      </w:r>
      <w:r>
        <w:rPr>
          <w:noProof/>
        </w:rPr>
        <w:fldChar w:fldCharType="separate"/>
      </w:r>
      <w:r>
        <w:rPr>
          <w:noProof/>
        </w:rPr>
        <w:t>8</w:t>
      </w:r>
      <w:r>
        <w:rPr>
          <w:noProof/>
        </w:rPr>
        <w:fldChar w:fldCharType="end"/>
      </w:r>
    </w:p>
    <w:p w:rsidR="00B04338" w:rsidRDefault="00B04338">
      <w:pPr>
        <w:pStyle w:val="TOC2"/>
        <w:rPr>
          <w:rFonts w:asciiTheme="minorHAnsi" w:eastAsiaTheme="minorEastAsia" w:hAnsiTheme="minorHAnsi" w:cstheme="minorBidi"/>
          <w:noProof/>
          <w:sz w:val="22"/>
          <w:lang w:eastAsia="en-AU"/>
        </w:rPr>
      </w:pPr>
      <w:r>
        <w:rPr>
          <w:noProof/>
        </w:rPr>
        <w:t>Cashflow and compliance costs</w:t>
      </w:r>
      <w:r>
        <w:rPr>
          <w:noProof/>
        </w:rPr>
        <w:tab/>
      </w:r>
      <w:r>
        <w:rPr>
          <w:noProof/>
        </w:rPr>
        <w:fldChar w:fldCharType="begin"/>
      </w:r>
      <w:r>
        <w:rPr>
          <w:noProof/>
        </w:rPr>
        <w:instrText xml:space="preserve"> PAGEREF _Toc457400401 \h </w:instrText>
      </w:r>
      <w:r>
        <w:rPr>
          <w:noProof/>
        </w:rPr>
      </w:r>
      <w:r>
        <w:rPr>
          <w:noProof/>
        </w:rPr>
        <w:fldChar w:fldCharType="separate"/>
      </w:r>
      <w:r>
        <w:rPr>
          <w:noProof/>
        </w:rPr>
        <w:t>9</w:t>
      </w:r>
      <w:r>
        <w:rPr>
          <w:noProof/>
        </w:rPr>
        <w:fldChar w:fldCharType="end"/>
      </w:r>
    </w:p>
    <w:p w:rsidR="00B04338" w:rsidRDefault="00B04338">
      <w:pPr>
        <w:pStyle w:val="TOC1"/>
        <w:tabs>
          <w:tab w:val="left" w:pos="442"/>
        </w:tabs>
        <w:rPr>
          <w:rFonts w:asciiTheme="minorHAnsi" w:eastAsiaTheme="minorEastAsia" w:hAnsiTheme="minorHAnsi" w:cstheme="minorBidi"/>
          <w:b w:val="0"/>
          <w:sz w:val="22"/>
          <w:szCs w:val="22"/>
          <w:lang w:eastAsia="en-AU"/>
        </w:rPr>
      </w:pPr>
      <w:r w:rsidRPr="00D42BD0">
        <w:rPr>
          <w:rFonts w:cs="Times New Roman"/>
        </w:rPr>
        <w:t>6.</w:t>
      </w:r>
      <w:r>
        <w:rPr>
          <w:rFonts w:asciiTheme="minorHAnsi" w:eastAsiaTheme="minorEastAsia" w:hAnsiTheme="minorHAnsi" w:cstheme="minorBidi"/>
          <w:b w:val="0"/>
          <w:sz w:val="22"/>
          <w:szCs w:val="22"/>
          <w:lang w:eastAsia="en-AU"/>
        </w:rPr>
        <w:tab/>
      </w:r>
      <w:r>
        <w:t>Assessment of NTC options</w:t>
      </w:r>
      <w:r>
        <w:tab/>
      </w:r>
      <w:r>
        <w:fldChar w:fldCharType="begin"/>
      </w:r>
      <w:r>
        <w:instrText xml:space="preserve"> PAGEREF _Toc457400402 \h </w:instrText>
      </w:r>
      <w:r>
        <w:fldChar w:fldCharType="separate"/>
      </w:r>
      <w:r>
        <w:t>9</w:t>
      </w:r>
      <w:r>
        <w:fldChar w:fldCharType="end"/>
      </w:r>
    </w:p>
    <w:p w:rsidR="00B04338" w:rsidRDefault="00B04338">
      <w:pPr>
        <w:pStyle w:val="TOC2"/>
        <w:rPr>
          <w:rFonts w:asciiTheme="minorHAnsi" w:eastAsiaTheme="minorEastAsia" w:hAnsiTheme="minorHAnsi" w:cstheme="minorBidi"/>
          <w:noProof/>
          <w:sz w:val="22"/>
          <w:lang w:eastAsia="en-AU"/>
        </w:rPr>
      </w:pPr>
      <w:r>
        <w:rPr>
          <w:noProof/>
        </w:rPr>
        <w:t>NTC option 1: Adopt a life cycle approach using forward looking costs</w:t>
      </w:r>
      <w:r>
        <w:rPr>
          <w:noProof/>
        </w:rPr>
        <w:tab/>
      </w:r>
      <w:r>
        <w:rPr>
          <w:noProof/>
        </w:rPr>
        <w:fldChar w:fldCharType="begin"/>
      </w:r>
      <w:r>
        <w:rPr>
          <w:noProof/>
        </w:rPr>
        <w:instrText xml:space="preserve"> PAGEREF _Toc457400403 \h </w:instrText>
      </w:r>
      <w:r>
        <w:rPr>
          <w:noProof/>
        </w:rPr>
      </w:r>
      <w:r>
        <w:rPr>
          <w:noProof/>
        </w:rPr>
        <w:fldChar w:fldCharType="separate"/>
      </w:r>
      <w:r>
        <w:rPr>
          <w:noProof/>
        </w:rPr>
        <w:t>10</w:t>
      </w:r>
      <w:r>
        <w:rPr>
          <w:noProof/>
        </w:rPr>
        <w:fldChar w:fldCharType="end"/>
      </w:r>
    </w:p>
    <w:p w:rsidR="00B04338" w:rsidRDefault="00B04338">
      <w:pPr>
        <w:pStyle w:val="TOC2"/>
        <w:rPr>
          <w:rFonts w:asciiTheme="minorHAnsi" w:eastAsiaTheme="minorEastAsia" w:hAnsiTheme="minorHAnsi" w:cstheme="minorBidi"/>
          <w:noProof/>
          <w:sz w:val="22"/>
          <w:lang w:eastAsia="en-AU"/>
        </w:rPr>
      </w:pPr>
      <w:r>
        <w:rPr>
          <w:noProof/>
        </w:rPr>
        <w:t>NTC option 2: Adopt a forward looking cost base using forecast budgets</w:t>
      </w:r>
      <w:r>
        <w:rPr>
          <w:noProof/>
        </w:rPr>
        <w:tab/>
      </w:r>
      <w:r>
        <w:rPr>
          <w:noProof/>
        </w:rPr>
        <w:fldChar w:fldCharType="begin"/>
      </w:r>
      <w:r>
        <w:rPr>
          <w:noProof/>
        </w:rPr>
        <w:instrText xml:space="preserve"> PAGEREF _Toc457400404 \h </w:instrText>
      </w:r>
      <w:r>
        <w:rPr>
          <w:noProof/>
        </w:rPr>
      </w:r>
      <w:r>
        <w:rPr>
          <w:noProof/>
        </w:rPr>
        <w:fldChar w:fldCharType="separate"/>
      </w:r>
      <w:r>
        <w:rPr>
          <w:noProof/>
        </w:rPr>
        <w:t>12</w:t>
      </w:r>
      <w:r>
        <w:rPr>
          <w:noProof/>
        </w:rPr>
        <w:fldChar w:fldCharType="end"/>
      </w:r>
    </w:p>
    <w:p w:rsidR="00B04338" w:rsidRDefault="00B04338">
      <w:pPr>
        <w:pStyle w:val="TOC2"/>
        <w:rPr>
          <w:rFonts w:asciiTheme="minorHAnsi" w:eastAsiaTheme="minorEastAsia" w:hAnsiTheme="minorHAnsi" w:cstheme="minorBidi"/>
          <w:noProof/>
          <w:sz w:val="22"/>
          <w:lang w:eastAsia="en-AU"/>
        </w:rPr>
      </w:pPr>
      <w:r>
        <w:rPr>
          <w:noProof/>
        </w:rPr>
        <w:t>NTC option 3: Ring fencing heavy vehicle charges revenue</w:t>
      </w:r>
      <w:r>
        <w:rPr>
          <w:noProof/>
        </w:rPr>
        <w:tab/>
      </w:r>
      <w:r>
        <w:rPr>
          <w:noProof/>
        </w:rPr>
        <w:fldChar w:fldCharType="begin"/>
      </w:r>
      <w:r>
        <w:rPr>
          <w:noProof/>
        </w:rPr>
        <w:instrText xml:space="preserve"> PAGEREF _Toc457400405 \h </w:instrText>
      </w:r>
      <w:r>
        <w:rPr>
          <w:noProof/>
        </w:rPr>
      </w:r>
      <w:r>
        <w:rPr>
          <w:noProof/>
        </w:rPr>
        <w:fldChar w:fldCharType="separate"/>
      </w:r>
      <w:r>
        <w:rPr>
          <w:noProof/>
        </w:rPr>
        <w:t>14</w:t>
      </w:r>
      <w:r>
        <w:rPr>
          <w:noProof/>
        </w:rPr>
        <w:fldChar w:fldCharType="end"/>
      </w:r>
    </w:p>
    <w:p w:rsidR="00B04338" w:rsidRDefault="00B04338">
      <w:pPr>
        <w:pStyle w:val="TOC2"/>
        <w:rPr>
          <w:rFonts w:asciiTheme="minorHAnsi" w:eastAsiaTheme="minorEastAsia" w:hAnsiTheme="minorHAnsi" w:cstheme="minorBidi"/>
          <w:noProof/>
          <w:sz w:val="22"/>
          <w:lang w:eastAsia="en-AU"/>
        </w:rPr>
      </w:pPr>
      <w:r>
        <w:rPr>
          <w:noProof/>
        </w:rPr>
        <w:t>NTC option 4: Introduce an unders and overs account</w:t>
      </w:r>
      <w:r>
        <w:rPr>
          <w:noProof/>
        </w:rPr>
        <w:tab/>
      </w:r>
      <w:r>
        <w:rPr>
          <w:noProof/>
        </w:rPr>
        <w:fldChar w:fldCharType="begin"/>
      </w:r>
      <w:r>
        <w:rPr>
          <w:noProof/>
        </w:rPr>
        <w:instrText xml:space="preserve"> PAGEREF _Toc457400406 \h </w:instrText>
      </w:r>
      <w:r>
        <w:rPr>
          <w:noProof/>
        </w:rPr>
      </w:r>
      <w:r>
        <w:rPr>
          <w:noProof/>
        </w:rPr>
        <w:fldChar w:fldCharType="separate"/>
      </w:r>
      <w:r>
        <w:rPr>
          <w:noProof/>
        </w:rPr>
        <w:t>15</w:t>
      </w:r>
      <w:r>
        <w:rPr>
          <w:noProof/>
        </w:rPr>
        <w:fldChar w:fldCharType="end"/>
      </w:r>
    </w:p>
    <w:p w:rsidR="00B04338" w:rsidRDefault="00B04338">
      <w:pPr>
        <w:pStyle w:val="TOC2"/>
        <w:rPr>
          <w:rFonts w:asciiTheme="minorHAnsi" w:eastAsiaTheme="minorEastAsia" w:hAnsiTheme="minorHAnsi" w:cstheme="minorBidi"/>
          <w:noProof/>
          <w:sz w:val="22"/>
          <w:lang w:eastAsia="en-AU"/>
        </w:rPr>
      </w:pPr>
      <w:r>
        <w:rPr>
          <w:noProof/>
        </w:rPr>
        <w:t>NTC option 9: Independent price regulation</w:t>
      </w:r>
      <w:r>
        <w:rPr>
          <w:noProof/>
        </w:rPr>
        <w:tab/>
      </w:r>
      <w:r>
        <w:rPr>
          <w:noProof/>
        </w:rPr>
        <w:fldChar w:fldCharType="begin"/>
      </w:r>
      <w:r>
        <w:rPr>
          <w:noProof/>
        </w:rPr>
        <w:instrText xml:space="preserve"> PAGEREF _Toc457400407 \h </w:instrText>
      </w:r>
      <w:r>
        <w:rPr>
          <w:noProof/>
        </w:rPr>
      </w:r>
      <w:r>
        <w:rPr>
          <w:noProof/>
        </w:rPr>
        <w:fldChar w:fldCharType="separate"/>
      </w:r>
      <w:r>
        <w:rPr>
          <w:noProof/>
        </w:rPr>
        <w:t>16</w:t>
      </w:r>
      <w:r>
        <w:rPr>
          <w:noProof/>
        </w:rPr>
        <w:fldChar w:fldCharType="end"/>
      </w:r>
    </w:p>
    <w:p w:rsidR="00B04338" w:rsidRDefault="00B04338">
      <w:pPr>
        <w:pStyle w:val="TOC1"/>
        <w:tabs>
          <w:tab w:val="left" w:pos="442"/>
        </w:tabs>
        <w:rPr>
          <w:rFonts w:asciiTheme="minorHAnsi" w:eastAsiaTheme="minorEastAsia" w:hAnsiTheme="minorHAnsi" w:cstheme="minorBidi"/>
          <w:b w:val="0"/>
          <w:sz w:val="22"/>
          <w:szCs w:val="22"/>
          <w:lang w:eastAsia="en-AU"/>
        </w:rPr>
      </w:pPr>
      <w:r w:rsidRPr="00D42BD0">
        <w:rPr>
          <w:rFonts w:cs="Times New Roman"/>
        </w:rPr>
        <w:t>7.</w:t>
      </w:r>
      <w:r>
        <w:rPr>
          <w:rFonts w:asciiTheme="minorHAnsi" w:eastAsiaTheme="minorEastAsia" w:hAnsiTheme="minorHAnsi" w:cstheme="minorBidi"/>
          <w:b w:val="0"/>
          <w:sz w:val="22"/>
          <w:szCs w:val="22"/>
          <w:lang w:eastAsia="en-AU"/>
        </w:rPr>
        <w:tab/>
      </w:r>
      <w:r>
        <w:t>Additional ATA proposals</w:t>
      </w:r>
      <w:r>
        <w:tab/>
      </w:r>
      <w:r>
        <w:fldChar w:fldCharType="begin"/>
      </w:r>
      <w:r>
        <w:instrText xml:space="preserve"> PAGEREF _Toc457400408 \h </w:instrText>
      </w:r>
      <w:r>
        <w:fldChar w:fldCharType="separate"/>
      </w:r>
      <w:r>
        <w:t>17</w:t>
      </w:r>
      <w:r>
        <w:fldChar w:fldCharType="end"/>
      </w:r>
    </w:p>
    <w:p w:rsidR="00B04338" w:rsidRDefault="00B04338">
      <w:pPr>
        <w:pStyle w:val="TOC2"/>
        <w:rPr>
          <w:rFonts w:asciiTheme="minorHAnsi" w:eastAsiaTheme="minorEastAsia" w:hAnsiTheme="minorHAnsi" w:cstheme="minorBidi"/>
          <w:noProof/>
          <w:sz w:val="22"/>
          <w:lang w:eastAsia="en-AU"/>
        </w:rPr>
      </w:pPr>
      <w:r>
        <w:rPr>
          <w:noProof/>
        </w:rPr>
        <w:t>Addressing cashflow issues and compliance costs</w:t>
      </w:r>
      <w:r>
        <w:rPr>
          <w:noProof/>
        </w:rPr>
        <w:tab/>
      </w:r>
      <w:r>
        <w:rPr>
          <w:noProof/>
        </w:rPr>
        <w:fldChar w:fldCharType="begin"/>
      </w:r>
      <w:r>
        <w:rPr>
          <w:noProof/>
        </w:rPr>
        <w:instrText xml:space="preserve"> PAGEREF _Toc457400409 \h </w:instrText>
      </w:r>
      <w:r>
        <w:rPr>
          <w:noProof/>
        </w:rPr>
      </w:r>
      <w:r>
        <w:rPr>
          <w:noProof/>
        </w:rPr>
        <w:fldChar w:fldCharType="separate"/>
      </w:r>
      <w:r>
        <w:rPr>
          <w:noProof/>
        </w:rPr>
        <w:t>17</w:t>
      </w:r>
      <w:r>
        <w:rPr>
          <w:noProof/>
        </w:rPr>
        <w:fldChar w:fldCharType="end"/>
      </w:r>
    </w:p>
    <w:p w:rsidR="00B04338" w:rsidRDefault="00B04338">
      <w:pPr>
        <w:pStyle w:val="TOC2"/>
        <w:rPr>
          <w:rFonts w:asciiTheme="minorHAnsi" w:eastAsiaTheme="minorEastAsia" w:hAnsiTheme="minorHAnsi" w:cstheme="minorBidi"/>
          <w:noProof/>
          <w:sz w:val="22"/>
          <w:lang w:eastAsia="en-AU"/>
        </w:rPr>
      </w:pPr>
      <w:r>
        <w:rPr>
          <w:noProof/>
        </w:rPr>
        <w:t>Increasing accountability and transparency</w:t>
      </w:r>
      <w:r>
        <w:rPr>
          <w:noProof/>
        </w:rPr>
        <w:tab/>
      </w:r>
      <w:r>
        <w:rPr>
          <w:noProof/>
        </w:rPr>
        <w:fldChar w:fldCharType="begin"/>
      </w:r>
      <w:r>
        <w:rPr>
          <w:noProof/>
        </w:rPr>
        <w:instrText xml:space="preserve"> PAGEREF _Toc457400410 \h </w:instrText>
      </w:r>
      <w:r>
        <w:rPr>
          <w:noProof/>
        </w:rPr>
      </w:r>
      <w:r>
        <w:rPr>
          <w:noProof/>
        </w:rPr>
        <w:fldChar w:fldCharType="separate"/>
      </w:r>
      <w:r>
        <w:rPr>
          <w:noProof/>
        </w:rPr>
        <w:t>17</w:t>
      </w:r>
      <w:r>
        <w:rPr>
          <w:noProof/>
        </w:rPr>
        <w:fldChar w:fldCharType="end"/>
      </w:r>
    </w:p>
    <w:p w:rsidR="00B04338" w:rsidRDefault="00B04338">
      <w:pPr>
        <w:pStyle w:val="TOC2"/>
        <w:rPr>
          <w:rFonts w:asciiTheme="minorHAnsi" w:eastAsiaTheme="minorEastAsia" w:hAnsiTheme="minorHAnsi" w:cstheme="minorBidi"/>
          <w:noProof/>
          <w:sz w:val="22"/>
          <w:lang w:eastAsia="en-AU"/>
        </w:rPr>
      </w:pPr>
      <w:r>
        <w:rPr>
          <w:noProof/>
        </w:rPr>
        <w:t>Carrying out determinations every five years</w:t>
      </w:r>
      <w:r>
        <w:rPr>
          <w:noProof/>
        </w:rPr>
        <w:tab/>
      </w:r>
      <w:r>
        <w:rPr>
          <w:noProof/>
        </w:rPr>
        <w:fldChar w:fldCharType="begin"/>
      </w:r>
      <w:r>
        <w:rPr>
          <w:noProof/>
        </w:rPr>
        <w:instrText xml:space="preserve"> PAGEREF _Toc457400411 \h </w:instrText>
      </w:r>
      <w:r>
        <w:rPr>
          <w:noProof/>
        </w:rPr>
      </w:r>
      <w:r>
        <w:rPr>
          <w:noProof/>
        </w:rPr>
        <w:fldChar w:fldCharType="separate"/>
      </w:r>
      <w:r>
        <w:rPr>
          <w:noProof/>
        </w:rPr>
        <w:t>18</w:t>
      </w:r>
      <w:r>
        <w:rPr>
          <w:noProof/>
        </w:rPr>
        <w:fldChar w:fldCharType="end"/>
      </w:r>
    </w:p>
    <w:p w:rsidR="00B04338" w:rsidRDefault="00B04338">
      <w:pPr>
        <w:pStyle w:val="TOC2"/>
        <w:rPr>
          <w:rFonts w:asciiTheme="minorHAnsi" w:eastAsiaTheme="minorEastAsia" w:hAnsiTheme="minorHAnsi" w:cstheme="minorBidi"/>
          <w:noProof/>
          <w:sz w:val="22"/>
          <w:lang w:eastAsia="en-AU"/>
        </w:rPr>
      </w:pPr>
      <w:r w:rsidRPr="00D42BD0">
        <w:rPr>
          <w:rFonts w:eastAsiaTheme="minorHAnsi"/>
          <w:noProof/>
        </w:rPr>
        <w:t>Smoothing changes to heavy vehicle charges</w:t>
      </w:r>
      <w:r>
        <w:rPr>
          <w:noProof/>
        </w:rPr>
        <w:tab/>
      </w:r>
      <w:r>
        <w:rPr>
          <w:noProof/>
        </w:rPr>
        <w:fldChar w:fldCharType="begin"/>
      </w:r>
      <w:r>
        <w:rPr>
          <w:noProof/>
        </w:rPr>
        <w:instrText xml:space="preserve"> PAGEREF _Toc457400412 \h </w:instrText>
      </w:r>
      <w:r>
        <w:rPr>
          <w:noProof/>
        </w:rPr>
      </w:r>
      <w:r>
        <w:rPr>
          <w:noProof/>
        </w:rPr>
        <w:fldChar w:fldCharType="separate"/>
      </w:r>
      <w:r>
        <w:rPr>
          <w:noProof/>
        </w:rPr>
        <w:t>19</w:t>
      </w:r>
      <w:r>
        <w:rPr>
          <w:noProof/>
        </w:rPr>
        <w:fldChar w:fldCharType="end"/>
      </w:r>
    </w:p>
    <w:p w:rsidR="00241C15" w:rsidRPr="006E05F0" w:rsidRDefault="003B2024" w:rsidP="009D1601">
      <w:pPr>
        <w:tabs>
          <w:tab w:val="right" w:leader="dot" w:pos="9645"/>
        </w:tabs>
        <w:rPr>
          <w:rFonts w:ascii="Arial" w:hAnsi="Arial" w:cs="Arial"/>
        </w:rPr>
      </w:pPr>
      <w:r w:rsidRPr="00054F0E">
        <w:rPr>
          <w:rFonts w:ascii="Arial" w:hAnsi="Arial" w:cs="Arial"/>
          <w:noProof/>
        </w:rPr>
        <w:fldChar w:fldCharType="end"/>
      </w:r>
    </w:p>
    <w:p w:rsidR="00576ED0" w:rsidRPr="006E05F0" w:rsidRDefault="00576ED0" w:rsidP="009D1601">
      <w:pPr>
        <w:rPr>
          <w:rFonts w:ascii="Arial" w:hAnsi="Arial" w:cs="Arial"/>
        </w:rPr>
      </w:pPr>
      <w:r w:rsidRPr="006E05F0">
        <w:rPr>
          <w:rFonts w:ascii="Arial" w:hAnsi="Arial" w:cs="Arial"/>
        </w:rPr>
        <w:br w:type="page"/>
      </w:r>
    </w:p>
    <w:p w:rsidR="006233B3" w:rsidRDefault="006233B3" w:rsidP="009D1601">
      <w:pPr>
        <w:pStyle w:val="Heading1"/>
        <w:numPr>
          <w:ilvl w:val="0"/>
          <w:numId w:val="0"/>
        </w:numPr>
        <w:rPr>
          <w:szCs w:val="22"/>
        </w:rPr>
      </w:pPr>
    </w:p>
    <w:p w:rsidR="006233B3" w:rsidRPr="00054F0E" w:rsidRDefault="00054F0E" w:rsidP="009D1601">
      <w:pPr>
        <w:pStyle w:val="Heading1"/>
        <w:rPr>
          <w:sz w:val="24"/>
          <w:szCs w:val="24"/>
        </w:rPr>
      </w:pPr>
      <w:bookmarkStart w:id="1" w:name="_Toc457400394"/>
      <w:r>
        <w:rPr>
          <w:sz w:val="24"/>
          <w:szCs w:val="24"/>
        </w:rPr>
        <w:t xml:space="preserve">About the </w:t>
      </w:r>
      <w:r w:rsidR="006233B3" w:rsidRPr="00054F0E">
        <w:rPr>
          <w:sz w:val="24"/>
          <w:szCs w:val="24"/>
        </w:rPr>
        <w:t>Australian Trucking Association</w:t>
      </w:r>
      <w:bookmarkEnd w:id="1"/>
    </w:p>
    <w:p w:rsidR="006233B3" w:rsidRPr="00540454" w:rsidRDefault="006233B3" w:rsidP="009D1601">
      <w:pPr>
        <w:pStyle w:val="BodyText2"/>
        <w:rPr>
          <w:b w:val="0"/>
          <w:szCs w:val="22"/>
        </w:rPr>
      </w:pPr>
    </w:p>
    <w:p w:rsidR="006233B3" w:rsidRPr="00540454" w:rsidRDefault="006233B3" w:rsidP="009D1601">
      <w:pPr>
        <w:pStyle w:val="BodyText2"/>
        <w:rPr>
          <w:b w:val="0"/>
          <w:szCs w:val="22"/>
        </w:rPr>
      </w:pPr>
      <w:r w:rsidRPr="00540454">
        <w:rPr>
          <w:b w:val="0"/>
          <w:szCs w:val="22"/>
        </w:rPr>
        <w:t>The ATA is the peak body that represents the trucking industry. Its members include state and sector-based trucking associations, some of the nation’s largest transport companies, and businesses with leading expertise in truck technology.</w:t>
      </w:r>
    </w:p>
    <w:p w:rsidR="006233B3" w:rsidRDefault="006233B3" w:rsidP="009D1601">
      <w:pPr>
        <w:pStyle w:val="Heading1"/>
        <w:numPr>
          <w:ilvl w:val="0"/>
          <w:numId w:val="0"/>
        </w:numPr>
        <w:rPr>
          <w:b w:val="0"/>
          <w:sz w:val="22"/>
          <w:szCs w:val="22"/>
        </w:rPr>
      </w:pPr>
    </w:p>
    <w:p w:rsidR="00054F0E" w:rsidRPr="00054F0E" w:rsidRDefault="00054F0E" w:rsidP="00054F0E"/>
    <w:p w:rsidR="00A023EA" w:rsidRPr="00054F0E" w:rsidRDefault="00033C3F" w:rsidP="009D1601">
      <w:pPr>
        <w:pStyle w:val="Heading1"/>
        <w:rPr>
          <w:sz w:val="24"/>
          <w:szCs w:val="24"/>
        </w:rPr>
      </w:pPr>
      <w:bookmarkStart w:id="2" w:name="_Toc457400395"/>
      <w:r>
        <w:rPr>
          <w:sz w:val="24"/>
          <w:szCs w:val="24"/>
        </w:rPr>
        <w:t>R</w:t>
      </w:r>
      <w:r w:rsidR="00A023EA" w:rsidRPr="00054F0E">
        <w:rPr>
          <w:sz w:val="24"/>
          <w:szCs w:val="24"/>
        </w:rPr>
        <w:t>ecommendation</w:t>
      </w:r>
      <w:r w:rsidR="00CB73A3" w:rsidRPr="00054F0E">
        <w:rPr>
          <w:sz w:val="24"/>
          <w:szCs w:val="24"/>
        </w:rPr>
        <w:t>s</w:t>
      </w:r>
      <w:bookmarkEnd w:id="2"/>
    </w:p>
    <w:p w:rsidR="00CC3585" w:rsidRDefault="00CC3585" w:rsidP="009D1601">
      <w:pPr>
        <w:rPr>
          <w:rFonts w:ascii="Arial" w:eastAsiaTheme="minorHAnsi" w:hAnsi="Arial" w:cs="Arial"/>
        </w:rPr>
      </w:pPr>
    </w:p>
    <w:p w:rsidR="00F24EE2" w:rsidRDefault="00F24EE2" w:rsidP="00F24EE2">
      <w:pPr>
        <w:keepNext/>
        <w:rPr>
          <w:rFonts w:ascii="Arial" w:eastAsiaTheme="minorHAnsi" w:hAnsi="Arial" w:cs="Arial"/>
          <w:b/>
        </w:rPr>
      </w:pPr>
      <w:r w:rsidRPr="00F55075">
        <w:rPr>
          <w:rFonts w:ascii="Arial" w:eastAsiaTheme="minorHAnsi" w:hAnsi="Arial" w:cs="Arial"/>
          <w:b/>
        </w:rPr>
        <w:t>Recommendation 1</w:t>
      </w:r>
    </w:p>
    <w:p w:rsidR="00F24EE2" w:rsidRDefault="00F24EE2" w:rsidP="00F24EE2">
      <w:pPr>
        <w:keepNext/>
        <w:rPr>
          <w:rFonts w:ascii="Arial" w:eastAsiaTheme="minorHAnsi" w:hAnsi="Arial" w:cs="Arial"/>
          <w:b/>
        </w:rPr>
      </w:pPr>
    </w:p>
    <w:p w:rsidR="00F24EE2" w:rsidRPr="00F24EE2" w:rsidRDefault="00F24EE2" w:rsidP="00F24EE2">
      <w:pPr>
        <w:keepNext/>
        <w:rPr>
          <w:rFonts w:ascii="Arial" w:eastAsiaTheme="minorHAnsi" w:hAnsi="Arial" w:cs="Arial"/>
        </w:rPr>
      </w:pPr>
      <w:r w:rsidRPr="00F24EE2">
        <w:rPr>
          <w:rFonts w:ascii="Arial" w:eastAsiaTheme="minorHAnsi" w:hAnsi="Arial" w:cs="Arial"/>
        </w:rPr>
        <w:t>Governments should reconsider their objections to the direct implementation option and immediately cut the road user charge and registration charges.</w:t>
      </w:r>
    </w:p>
    <w:p w:rsidR="00F24EE2" w:rsidRDefault="00F24EE2" w:rsidP="009D1601">
      <w:pPr>
        <w:rPr>
          <w:rFonts w:ascii="Arial" w:eastAsiaTheme="minorHAnsi" w:hAnsi="Arial" w:cs="Arial"/>
        </w:rPr>
      </w:pPr>
    </w:p>
    <w:p w:rsidR="00F24EE2" w:rsidRPr="00227208" w:rsidRDefault="00F24EE2" w:rsidP="00F24EE2">
      <w:pPr>
        <w:pStyle w:val="NormalWeb"/>
        <w:spacing w:before="0" w:beforeAutospacing="0" w:after="0" w:afterAutospacing="0"/>
        <w:rPr>
          <w:rFonts w:ascii="Arial" w:hAnsi="Arial" w:cs="Arial"/>
          <w:b/>
          <w:iCs/>
          <w:sz w:val="22"/>
          <w:szCs w:val="22"/>
        </w:rPr>
      </w:pPr>
      <w:r w:rsidRPr="00227208">
        <w:rPr>
          <w:rFonts w:ascii="Arial" w:hAnsi="Arial" w:cs="Arial"/>
          <w:b/>
          <w:iCs/>
          <w:sz w:val="22"/>
          <w:szCs w:val="22"/>
        </w:rPr>
        <w:t>Recommendation</w:t>
      </w:r>
      <w:r>
        <w:rPr>
          <w:rFonts w:ascii="Arial" w:hAnsi="Arial" w:cs="Arial"/>
          <w:b/>
          <w:iCs/>
          <w:sz w:val="22"/>
          <w:szCs w:val="22"/>
        </w:rPr>
        <w:t xml:space="preserve"> 2</w:t>
      </w:r>
    </w:p>
    <w:p w:rsidR="00F24EE2" w:rsidRPr="00AF3BFA" w:rsidRDefault="00F24EE2" w:rsidP="00F24EE2">
      <w:pPr>
        <w:pStyle w:val="NormalWeb"/>
        <w:spacing w:before="0" w:beforeAutospacing="0" w:after="0" w:afterAutospacing="0"/>
        <w:rPr>
          <w:rFonts w:ascii="Arial" w:hAnsi="Arial" w:cs="Arial"/>
          <w:iCs/>
          <w:sz w:val="22"/>
          <w:szCs w:val="22"/>
        </w:rPr>
      </w:pPr>
    </w:p>
    <w:p w:rsidR="00F24EE2" w:rsidRPr="00AF3BFA" w:rsidRDefault="0074123D" w:rsidP="00F24EE2">
      <w:pPr>
        <w:pStyle w:val="NormalWeb"/>
        <w:spacing w:before="0" w:beforeAutospacing="0" w:after="0" w:afterAutospacing="0"/>
        <w:rPr>
          <w:rFonts w:ascii="Arial" w:hAnsi="Arial" w:cs="Arial"/>
          <w:iCs/>
          <w:sz w:val="22"/>
          <w:szCs w:val="22"/>
        </w:rPr>
      </w:pPr>
      <w:r>
        <w:rPr>
          <w:rFonts w:ascii="Arial" w:hAnsi="Arial" w:cs="Arial"/>
          <w:iCs/>
          <w:sz w:val="22"/>
          <w:szCs w:val="22"/>
        </w:rPr>
        <w:t>If recommendation 1 is not adopted, t</w:t>
      </w:r>
      <w:r w:rsidR="00F24EE2" w:rsidRPr="00AF3BFA">
        <w:rPr>
          <w:rFonts w:ascii="Arial" w:hAnsi="Arial" w:cs="Arial"/>
          <w:iCs/>
          <w:sz w:val="22"/>
          <w:szCs w:val="22"/>
        </w:rPr>
        <w:t>he NTC should investigate moving the cost base forward to include one year of forecast and one year of estimated expenditure. As part of its investigation, the weights in the EMA should be reviewed.</w:t>
      </w:r>
    </w:p>
    <w:p w:rsidR="00F24EE2" w:rsidRDefault="00F24EE2" w:rsidP="009D1601">
      <w:pPr>
        <w:rPr>
          <w:rFonts w:ascii="Arial" w:eastAsiaTheme="minorHAnsi" w:hAnsi="Arial" w:cs="Arial"/>
        </w:rPr>
      </w:pPr>
    </w:p>
    <w:p w:rsidR="00F24EE2" w:rsidRDefault="00F24EE2" w:rsidP="00F24EE2">
      <w:pPr>
        <w:pStyle w:val="NormalWeb"/>
        <w:keepNext/>
        <w:spacing w:before="0" w:beforeAutospacing="0" w:after="0" w:afterAutospacing="0"/>
        <w:rPr>
          <w:rFonts w:ascii="Arial" w:hAnsi="Arial" w:cs="Arial"/>
          <w:b/>
          <w:iCs/>
          <w:sz w:val="22"/>
          <w:szCs w:val="22"/>
        </w:rPr>
      </w:pPr>
      <w:r w:rsidRPr="004C73AE">
        <w:rPr>
          <w:rFonts w:ascii="Arial" w:hAnsi="Arial" w:cs="Arial"/>
          <w:b/>
          <w:iCs/>
          <w:sz w:val="22"/>
          <w:szCs w:val="22"/>
        </w:rPr>
        <w:t>Recommen</w:t>
      </w:r>
      <w:r>
        <w:rPr>
          <w:rFonts w:ascii="Arial" w:hAnsi="Arial" w:cs="Arial"/>
          <w:b/>
          <w:iCs/>
          <w:sz w:val="22"/>
          <w:szCs w:val="22"/>
        </w:rPr>
        <w:t>dation 3</w:t>
      </w:r>
    </w:p>
    <w:p w:rsidR="00F24EE2" w:rsidRPr="00AF3BFA" w:rsidRDefault="00F24EE2" w:rsidP="00F24EE2">
      <w:pPr>
        <w:pStyle w:val="NormalWeb"/>
        <w:keepNext/>
        <w:spacing w:before="0" w:beforeAutospacing="0" w:after="0" w:afterAutospacing="0"/>
        <w:rPr>
          <w:rFonts w:ascii="Arial" w:hAnsi="Arial" w:cs="Arial"/>
          <w:iCs/>
          <w:sz w:val="22"/>
          <w:szCs w:val="22"/>
        </w:rPr>
      </w:pPr>
    </w:p>
    <w:p w:rsidR="00F24EE2" w:rsidRPr="00AF3BFA" w:rsidRDefault="00F24EE2" w:rsidP="00F24EE2">
      <w:pPr>
        <w:pStyle w:val="NormalWeb"/>
        <w:keepNext/>
        <w:spacing w:before="0" w:beforeAutospacing="0" w:after="0" w:afterAutospacing="0"/>
        <w:rPr>
          <w:rFonts w:ascii="Arial" w:hAnsi="Arial" w:cs="Arial"/>
          <w:iCs/>
          <w:sz w:val="22"/>
          <w:szCs w:val="22"/>
        </w:rPr>
      </w:pPr>
      <w:r w:rsidRPr="00AF3BFA">
        <w:rPr>
          <w:rFonts w:ascii="Arial" w:hAnsi="Arial" w:cs="Arial"/>
          <w:iCs/>
          <w:sz w:val="22"/>
          <w:szCs w:val="22"/>
        </w:rPr>
        <w:t>Governments should establish independent road funds and hypothecate road-related revenue to them. Ring fencing heavy vehicle revenue should only be adopted as a step toward the establishment of more general road funds, or if it is necessary to support the other recommendations in this submission.</w:t>
      </w:r>
    </w:p>
    <w:p w:rsidR="00F24EE2" w:rsidRDefault="00F24EE2" w:rsidP="009D1601">
      <w:pPr>
        <w:rPr>
          <w:rFonts w:ascii="Arial" w:eastAsiaTheme="minorHAnsi" w:hAnsi="Arial" w:cs="Arial"/>
        </w:rPr>
      </w:pPr>
    </w:p>
    <w:p w:rsidR="00F24EE2" w:rsidRPr="003C4FCE" w:rsidRDefault="00F24EE2" w:rsidP="00F24EE2">
      <w:pPr>
        <w:pStyle w:val="NormalWeb"/>
        <w:keepNext/>
        <w:spacing w:before="0" w:beforeAutospacing="0" w:after="0" w:afterAutospacing="0"/>
        <w:rPr>
          <w:rFonts w:ascii="Arial" w:hAnsi="Arial" w:cs="Arial"/>
          <w:b/>
          <w:iCs/>
          <w:sz w:val="22"/>
          <w:szCs w:val="22"/>
        </w:rPr>
      </w:pPr>
      <w:r w:rsidRPr="003C4FCE">
        <w:rPr>
          <w:rFonts w:ascii="Arial" w:hAnsi="Arial" w:cs="Arial"/>
          <w:b/>
          <w:iCs/>
          <w:sz w:val="22"/>
          <w:szCs w:val="22"/>
        </w:rPr>
        <w:t>Recommendation</w:t>
      </w:r>
      <w:r>
        <w:rPr>
          <w:rFonts w:ascii="Arial" w:hAnsi="Arial" w:cs="Arial"/>
          <w:b/>
          <w:iCs/>
          <w:sz w:val="22"/>
          <w:szCs w:val="22"/>
        </w:rPr>
        <w:t xml:space="preserve"> 4</w:t>
      </w:r>
    </w:p>
    <w:p w:rsidR="00F24EE2" w:rsidRPr="00AF3BFA" w:rsidRDefault="00F24EE2" w:rsidP="00F24EE2">
      <w:pPr>
        <w:pStyle w:val="NormalWeb"/>
        <w:keepNext/>
        <w:spacing w:before="0" w:beforeAutospacing="0" w:after="0" w:afterAutospacing="0"/>
        <w:rPr>
          <w:rFonts w:ascii="Arial" w:hAnsi="Arial" w:cs="Arial"/>
          <w:iCs/>
          <w:sz w:val="22"/>
          <w:szCs w:val="22"/>
        </w:rPr>
      </w:pPr>
    </w:p>
    <w:p w:rsidR="00F24EE2" w:rsidRPr="00AF3BFA" w:rsidRDefault="00F24EE2" w:rsidP="00F24EE2">
      <w:pPr>
        <w:pStyle w:val="NormalWeb"/>
        <w:keepNext/>
        <w:spacing w:before="0" w:beforeAutospacing="0" w:after="0" w:afterAutospacing="0"/>
        <w:rPr>
          <w:rFonts w:ascii="Arial" w:hAnsi="Arial" w:cs="Arial"/>
          <w:iCs/>
          <w:sz w:val="22"/>
          <w:szCs w:val="22"/>
        </w:rPr>
      </w:pPr>
      <w:r w:rsidRPr="00AF3BFA">
        <w:rPr>
          <w:rFonts w:ascii="Arial" w:hAnsi="Arial" w:cs="Arial"/>
          <w:iCs/>
          <w:sz w:val="22"/>
          <w:szCs w:val="22"/>
        </w:rPr>
        <w:t>The NTC should investigate including an unders and overs mechanism in PAYGO to address:</w:t>
      </w:r>
    </w:p>
    <w:p w:rsidR="00F24EE2" w:rsidRPr="00AF3BFA" w:rsidRDefault="00F24EE2" w:rsidP="00F24EE2">
      <w:pPr>
        <w:pStyle w:val="NormalWeb"/>
        <w:spacing w:before="0" w:beforeAutospacing="0" w:after="0" w:afterAutospacing="0"/>
        <w:rPr>
          <w:rFonts w:ascii="Arial" w:hAnsi="Arial" w:cs="Arial"/>
          <w:iCs/>
          <w:sz w:val="22"/>
          <w:szCs w:val="22"/>
        </w:rPr>
      </w:pPr>
    </w:p>
    <w:p w:rsidR="00F24EE2" w:rsidRPr="00AF3BFA" w:rsidRDefault="00F24EE2" w:rsidP="00F24EE2">
      <w:pPr>
        <w:pStyle w:val="NormalWeb"/>
        <w:numPr>
          <w:ilvl w:val="0"/>
          <w:numId w:val="40"/>
        </w:numPr>
        <w:spacing w:before="0" w:beforeAutospacing="0" w:after="0" w:afterAutospacing="0"/>
        <w:rPr>
          <w:rFonts w:ascii="Arial" w:hAnsi="Arial" w:cs="Arial"/>
          <w:iCs/>
          <w:sz w:val="22"/>
          <w:szCs w:val="22"/>
        </w:rPr>
      </w:pPr>
      <w:r w:rsidRPr="00AF3BFA">
        <w:rPr>
          <w:rFonts w:ascii="Arial" w:hAnsi="Arial" w:cs="Arial"/>
          <w:iCs/>
          <w:sz w:val="22"/>
          <w:szCs w:val="22"/>
        </w:rPr>
        <w:t>forecasting errors resulting from the use of estimated and forecast expenditure figures</w:t>
      </w:r>
    </w:p>
    <w:p w:rsidR="00F24EE2" w:rsidRPr="00AF3BFA" w:rsidRDefault="00F24EE2" w:rsidP="00F24EE2">
      <w:pPr>
        <w:pStyle w:val="NormalWeb"/>
        <w:numPr>
          <w:ilvl w:val="0"/>
          <w:numId w:val="40"/>
        </w:numPr>
        <w:spacing w:before="0" w:beforeAutospacing="0" w:after="0" w:afterAutospacing="0"/>
        <w:rPr>
          <w:rFonts w:ascii="Arial" w:hAnsi="Arial" w:cs="Arial"/>
          <w:iCs/>
          <w:sz w:val="22"/>
          <w:szCs w:val="22"/>
        </w:rPr>
      </w:pPr>
      <w:r w:rsidRPr="00AF3BFA">
        <w:rPr>
          <w:rFonts w:ascii="Arial" w:hAnsi="Arial" w:cs="Arial"/>
          <w:iCs/>
          <w:sz w:val="22"/>
          <w:szCs w:val="22"/>
        </w:rPr>
        <w:t>smoothing the trajectory of the road user or registration charges.</w:t>
      </w:r>
    </w:p>
    <w:p w:rsidR="00F24EE2" w:rsidRDefault="00F24EE2" w:rsidP="009D1601">
      <w:pPr>
        <w:rPr>
          <w:rFonts w:ascii="Arial" w:eastAsiaTheme="minorHAnsi" w:hAnsi="Arial" w:cs="Arial"/>
        </w:rPr>
      </w:pPr>
    </w:p>
    <w:p w:rsidR="00F24EE2" w:rsidRPr="000C608F" w:rsidRDefault="00F24EE2" w:rsidP="00F24EE2">
      <w:pPr>
        <w:pStyle w:val="NormalWeb"/>
        <w:spacing w:before="0" w:beforeAutospacing="0" w:after="0" w:afterAutospacing="0"/>
        <w:rPr>
          <w:rFonts w:ascii="Arial" w:hAnsi="Arial" w:cs="Arial"/>
          <w:b/>
          <w:iCs/>
          <w:sz w:val="22"/>
          <w:szCs w:val="22"/>
        </w:rPr>
      </w:pPr>
      <w:r>
        <w:rPr>
          <w:rFonts w:ascii="Arial" w:hAnsi="Arial" w:cs="Arial"/>
          <w:b/>
          <w:iCs/>
          <w:sz w:val="22"/>
          <w:szCs w:val="22"/>
        </w:rPr>
        <w:t>Recommendation 5</w:t>
      </w:r>
    </w:p>
    <w:p w:rsidR="00F24EE2" w:rsidRPr="00AF3BFA" w:rsidRDefault="00F24EE2" w:rsidP="00F24EE2">
      <w:pPr>
        <w:pStyle w:val="NormalWeb"/>
        <w:spacing w:before="0" w:beforeAutospacing="0" w:after="0" w:afterAutospacing="0"/>
        <w:rPr>
          <w:rFonts w:ascii="Arial" w:hAnsi="Arial" w:cs="Arial"/>
          <w:iCs/>
          <w:sz w:val="22"/>
          <w:szCs w:val="22"/>
        </w:rPr>
      </w:pPr>
    </w:p>
    <w:p w:rsidR="00F24EE2" w:rsidRPr="00AF3BFA" w:rsidRDefault="00F24EE2" w:rsidP="00F24EE2">
      <w:pPr>
        <w:pStyle w:val="NormalWeb"/>
        <w:spacing w:before="0" w:beforeAutospacing="0" w:after="0" w:afterAutospacing="0"/>
        <w:rPr>
          <w:rFonts w:ascii="Arial" w:hAnsi="Arial" w:cs="Arial"/>
          <w:iCs/>
          <w:sz w:val="22"/>
          <w:szCs w:val="22"/>
        </w:rPr>
      </w:pPr>
      <w:r w:rsidRPr="00AF3BFA">
        <w:rPr>
          <w:rFonts w:ascii="Arial" w:hAnsi="Arial" w:cs="Arial"/>
          <w:iCs/>
          <w:sz w:val="22"/>
          <w:szCs w:val="22"/>
        </w:rPr>
        <w:t>The NTC should be designated as the independent pricing regulator for heavy vehicle charges. Its decisions should be enforceable and subject to merits review by the Australian Competition Tribunal.</w:t>
      </w:r>
    </w:p>
    <w:p w:rsidR="00F24EE2" w:rsidRDefault="00F24EE2" w:rsidP="009D1601">
      <w:pPr>
        <w:rPr>
          <w:rFonts w:ascii="Arial" w:eastAsiaTheme="minorHAnsi" w:hAnsi="Arial" w:cs="Arial"/>
        </w:rPr>
      </w:pPr>
    </w:p>
    <w:p w:rsidR="00F24EE2" w:rsidRPr="000C09F0" w:rsidRDefault="00F24EE2" w:rsidP="00F24EE2">
      <w:pPr>
        <w:keepNext/>
        <w:rPr>
          <w:rFonts w:ascii="Arial" w:hAnsi="Arial" w:cs="Arial"/>
          <w:b/>
          <w:lang w:eastAsia="en-AU"/>
        </w:rPr>
      </w:pPr>
      <w:r>
        <w:rPr>
          <w:rFonts w:ascii="Arial" w:hAnsi="Arial" w:cs="Arial"/>
          <w:b/>
          <w:lang w:eastAsia="en-AU"/>
        </w:rPr>
        <w:t>Recommendation 6</w:t>
      </w:r>
    </w:p>
    <w:p w:rsidR="00F24EE2" w:rsidRPr="00AF3BFA" w:rsidRDefault="00F24EE2" w:rsidP="00F24EE2">
      <w:pPr>
        <w:keepNext/>
        <w:rPr>
          <w:rFonts w:ascii="Arial" w:hAnsi="Arial" w:cs="Arial"/>
          <w:lang w:eastAsia="en-AU"/>
        </w:rPr>
      </w:pPr>
    </w:p>
    <w:p w:rsidR="00F24EE2" w:rsidRPr="00AF3BFA" w:rsidRDefault="00F24EE2" w:rsidP="00F24EE2">
      <w:pPr>
        <w:keepNext/>
        <w:rPr>
          <w:rFonts w:ascii="Arial" w:hAnsi="Arial" w:cs="Arial"/>
          <w:lang w:eastAsia="en-AU"/>
        </w:rPr>
      </w:pPr>
      <w:r w:rsidRPr="00AF3BFA">
        <w:rPr>
          <w:rFonts w:ascii="Arial" w:hAnsi="Arial" w:cs="Arial"/>
          <w:lang w:eastAsia="en-AU"/>
        </w:rPr>
        <w:t xml:space="preserve">As part of the reforms to heavy vehicle charging, the requirement for heavy vehicles to have registration labels should be removed. </w:t>
      </w:r>
    </w:p>
    <w:p w:rsidR="00F24EE2" w:rsidRPr="00AF3BFA" w:rsidRDefault="00F24EE2" w:rsidP="00F24EE2">
      <w:pPr>
        <w:rPr>
          <w:rFonts w:ascii="Arial" w:hAnsi="Arial" w:cs="Arial"/>
          <w:lang w:eastAsia="en-AU"/>
        </w:rPr>
      </w:pPr>
    </w:p>
    <w:p w:rsidR="00F24EE2" w:rsidRPr="00AF3BFA" w:rsidRDefault="00F24EE2" w:rsidP="00F24EE2">
      <w:pPr>
        <w:rPr>
          <w:rFonts w:ascii="Arial" w:hAnsi="Arial" w:cs="Arial"/>
          <w:lang w:eastAsia="en-AU"/>
        </w:rPr>
      </w:pPr>
      <w:r w:rsidRPr="00AF3BFA">
        <w:rPr>
          <w:rFonts w:ascii="Arial" w:hAnsi="Arial" w:cs="Arial"/>
          <w:lang w:eastAsia="en-AU"/>
        </w:rPr>
        <w:t>Heavy vehicle operators should be able to pay registration charges on a monthly basis by direct debit. Operators should be able to opt in to receive reminders by SMS/email about registration payments that are due.</w:t>
      </w:r>
    </w:p>
    <w:p w:rsidR="00F24EE2" w:rsidRDefault="00F24EE2" w:rsidP="00A75D06">
      <w:pPr>
        <w:pStyle w:val="NormalWeb"/>
        <w:spacing w:before="0" w:beforeAutospacing="0" w:after="0" w:afterAutospacing="0"/>
        <w:rPr>
          <w:rFonts w:ascii="Arial" w:hAnsi="Arial" w:cs="Arial"/>
          <w:iCs/>
          <w:sz w:val="22"/>
          <w:szCs w:val="22"/>
        </w:rPr>
      </w:pPr>
    </w:p>
    <w:p w:rsidR="00F24EE2" w:rsidRPr="003E0651" w:rsidRDefault="00F24EE2" w:rsidP="00F24EE2">
      <w:pPr>
        <w:pStyle w:val="NormalWeb"/>
        <w:keepNext/>
        <w:spacing w:before="0" w:beforeAutospacing="0" w:after="0" w:afterAutospacing="0"/>
        <w:rPr>
          <w:rFonts w:ascii="Arial" w:hAnsi="Arial" w:cs="Arial"/>
          <w:b/>
          <w:iCs/>
          <w:sz w:val="22"/>
          <w:szCs w:val="22"/>
        </w:rPr>
      </w:pPr>
      <w:r w:rsidRPr="003E0651">
        <w:rPr>
          <w:rFonts w:ascii="Arial" w:hAnsi="Arial" w:cs="Arial"/>
          <w:b/>
          <w:iCs/>
          <w:sz w:val="22"/>
          <w:szCs w:val="22"/>
        </w:rPr>
        <w:t>Recommendation</w:t>
      </w:r>
      <w:r>
        <w:rPr>
          <w:rFonts w:ascii="Arial" w:hAnsi="Arial" w:cs="Arial"/>
          <w:b/>
          <w:iCs/>
          <w:sz w:val="22"/>
          <w:szCs w:val="22"/>
        </w:rPr>
        <w:t xml:space="preserve"> 7</w:t>
      </w:r>
    </w:p>
    <w:p w:rsidR="00F24EE2" w:rsidRDefault="00F24EE2" w:rsidP="00F24EE2">
      <w:pPr>
        <w:pStyle w:val="NormalWeb"/>
        <w:keepNext/>
        <w:spacing w:before="0" w:beforeAutospacing="0" w:after="0" w:afterAutospacing="0"/>
        <w:rPr>
          <w:rFonts w:ascii="Arial" w:hAnsi="Arial" w:cs="Arial"/>
          <w:iCs/>
          <w:sz w:val="22"/>
          <w:szCs w:val="22"/>
        </w:rPr>
      </w:pPr>
    </w:p>
    <w:p w:rsidR="00F24EE2" w:rsidRPr="00AF3BFA" w:rsidRDefault="00F24EE2" w:rsidP="00F24EE2">
      <w:pPr>
        <w:pStyle w:val="NormalWeb"/>
        <w:keepNext/>
        <w:spacing w:before="0" w:beforeAutospacing="0" w:after="0" w:afterAutospacing="0"/>
        <w:rPr>
          <w:rFonts w:ascii="Arial" w:hAnsi="Arial" w:cs="Arial"/>
          <w:iCs/>
          <w:sz w:val="22"/>
          <w:szCs w:val="22"/>
        </w:rPr>
      </w:pPr>
      <w:r w:rsidRPr="00AF3BFA">
        <w:rPr>
          <w:rFonts w:ascii="Arial" w:hAnsi="Arial" w:cs="Arial"/>
          <w:iCs/>
          <w:sz w:val="22"/>
          <w:szCs w:val="22"/>
        </w:rPr>
        <w:t>Any reforms to PAYGO should include regular audits of state expenditure data.</w:t>
      </w:r>
    </w:p>
    <w:p w:rsidR="00F24EE2" w:rsidRDefault="00F24EE2" w:rsidP="00F24EE2">
      <w:pPr>
        <w:pStyle w:val="NormalWeb"/>
        <w:spacing w:before="0" w:beforeAutospacing="0" w:after="0" w:afterAutospacing="0"/>
        <w:rPr>
          <w:rFonts w:ascii="Arial" w:hAnsi="Arial" w:cs="Arial"/>
          <w:iCs/>
          <w:sz w:val="22"/>
          <w:szCs w:val="22"/>
        </w:rPr>
      </w:pPr>
    </w:p>
    <w:p w:rsidR="00F24EE2" w:rsidRPr="003E0651" w:rsidRDefault="00F24EE2" w:rsidP="00F24EE2">
      <w:pPr>
        <w:pStyle w:val="NormalWeb"/>
        <w:spacing w:before="0" w:beforeAutospacing="0" w:after="0" w:afterAutospacing="0"/>
        <w:rPr>
          <w:rFonts w:ascii="Arial" w:hAnsi="Arial" w:cs="Arial"/>
          <w:iCs/>
          <w:sz w:val="22"/>
          <w:szCs w:val="22"/>
        </w:rPr>
      </w:pPr>
    </w:p>
    <w:p w:rsidR="00F24EE2" w:rsidRPr="002D0CF6" w:rsidRDefault="00F24EE2" w:rsidP="00F24EE2">
      <w:pPr>
        <w:pStyle w:val="NormalWeb"/>
        <w:keepNext/>
        <w:spacing w:before="0" w:beforeAutospacing="0" w:after="0" w:afterAutospacing="0"/>
        <w:rPr>
          <w:rFonts w:ascii="Arial" w:hAnsi="Arial" w:cs="Arial"/>
          <w:b/>
          <w:iCs/>
          <w:sz w:val="22"/>
          <w:szCs w:val="22"/>
        </w:rPr>
      </w:pPr>
      <w:r>
        <w:rPr>
          <w:rFonts w:ascii="Arial" w:hAnsi="Arial" w:cs="Arial"/>
          <w:b/>
          <w:iCs/>
          <w:sz w:val="22"/>
          <w:szCs w:val="22"/>
        </w:rPr>
        <w:lastRenderedPageBreak/>
        <w:t>Recommendation 8</w:t>
      </w:r>
    </w:p>
    <w:p w:rsidR="00F24EE2" w:rsidRPr="002D0CF6" w:rsidRDefault="00F24EE2" w:rsidP="00F24EE2">
      <w:pPr>
        <w:pStyle w:val="NormalWeb"/>
        <w:keepNext/>
        <w:spacing w:before="0" w:beforeAutospacing="0" w:after="0" w:afterAutospacing="0"/>
        <w:rPr>
          <w:rFonts w:ascii="Arial" w:hAnsi="Arial" w:cs="Arial"/>
          <w:b/>
          <w:iCs/>
          <w:sz w:val="22"/>
          <w:szCs w:val="22"/>
        </w:rPr>
      </w:pPr>
    </w:p>
    <w:p w:rsidR="00F24EE2" w:rsidRPr="00AF3BFA" w:rsidRDefault="00F24EE2" w:rsidP="00F24EE2">
      <w:pPr>
        <w:pStyle w:val="NormalWeb"/>
        <w:keepNext/>
        <w:spacing w:before="0" w:beforeAutospacing="0" w:after="0" w:afterAutospacing="0"/>
        <w:rPr>
          <w:rFonts w:ascii="Arial" w:hAnsi="Arial" w:cs="Arial"/>
          <w:iCs/>
          <w:sz w:val="22"/>
          <w:szCs w:val="22"/>
        </w:rPr>
      </w:pPr>
      <w:r w:rsidRPr="00AF3BFA">
        <w:rPr>
          <w:rFonts w:ascii="Arial" w:hAnsi="Arial" w:cs="Arial"/>
          <w:iCs/>
          <w:sz w:val="22"/>
          <w:szCs w:val="22"/>
        </w:rPr>
        <w:t>The NTC expenditure reporting template should be revised so expenditure reported in the template can be matched against the four year expenditure and investment plans for key freight routes released by the Transport and Infrastructure Council.</w:t>
      </w:r>
    </w:p>
    <w:p w:rsidR="00AF404A" w:rsidRPr="00AF404A" w:rsidRDefault="00AF404A" w:rsidP="009D1601">
      <w:pPr>
        <w:rPr>
          <w:rFonts w:ascii="Arial" w:eastAsiaTheme="minorHAnsi" w:hAnsi="Arial" w:cs="Arial"/>
        </w:rPr>
      </w:pPr>
    </w:p>
    <w:p w:rsidR="00F24EE2" w:rsidRPr="006540B5" w:rsidRDefault="00F24EE2" w:rsidP="00F24EE2">
      <w:pPr>
        <w:keepNext/>
        <w:rPr>
          <w:rFonts w:ascii="Arial" w:eastAsiaTheme="minorHAnsi" w:hAnsi="Arial" w:cs="Arial"/>
          <w:b/>
        </w:rPr>
      </w:pPr>
      <w:r>
        <w:rPr>
          <w:rFonts w:ascii="Arial" w:eastAsiaTheme="minorHAnsi" w:hAnsi="Arial" w:cs="Arial"/>
          <w:b/>
        </w:rPr>
        <w:t>Recommendation 9</w:t>
      </w:r>
    </w:p>
    <w:p w:rsidR="00F24EE2" w:rsidRPr="00AF3BFA" w:rsidRDefault="00F24EE2" w:rsidP="00F24EE2">
      <w:pPr>
        <w:keepNext/>
        <w:rPr>
          <w:rFonts w:ascii="Arial" w:eastAsiaTheme="minorHAnsi" w:hAnsi="Arial" w:cs="Arial"/>
        </w:rPr>
      </w:pPr>
    </w:p>
    <w:p w:rsidR="00F24EE2" w:rsidRDefault="00F24EE2" w:rsidP="00F24EE2">
      <w:pPr>
        <w:keepNext/>
        <w:rPr>
          <w:rFonts w:ascii="Arial" w:eastAsiaTheme="minorHAnsi" w:hAnsi="Arial" w:cs="Arial"/>
        </w:rPr>
      </w:pPr>
      <w:r w:rsidRPr="00AF3BFA">
        <w:rPr>
          <w:rFonts w:ascii="Arial" w:eastAsiaTheme="minorHAnsi" w:hAnsi="Arial" w:cs="Arial"/>
        </w:rPr>
        <w:t xml:space="preserve">Heavy vehicle charging determinations should be developed on a five year cycle, with the next determination to come into force in 2019. </w:t>
      </w:r>
    </w:p>
    <w:p w:rsidR="0074123D" w:rsidRDefault="0074123D" w:rsidP="00F24EE2">
      <w:pPr>
        <w:keepNext/>
        <w:rPr>
          <w:rFonts w:ascii="Arial" w:eastAsiaTheme="minorHAnsi" w:hAnsi="Arial" w:cs="Arial"/>
          <w:b/>
        </w:rPr>
      </w:pPr>
    </w:p>
    <w:p w:rsidR="00F24EE2" w:rsidRDefault="00F24EE2" w:rsidP="00F24EE2">
      <w:pPr>
        <w:keepNext/>
        <w:rPr>
          <w:rFonts w:ascii="Arial" w:eastAsiaTheme="minorHAnsi" w:hAnsi="Arial" w:cs="Arial"/>
          <w:b/>
        </w:rPr>
      </w:pPr>
      <w:r w:rsidRPr="003C44F2">
        <w:rPr>
          <w:rFonts w:ascii="Arial" w:eastAsiaTheme="minorHAnsi" w:hAnsi="Arial" w:cs="Arial"/>
          <w:b/>
        </w:rPr>
        <w:t>Recommendation 10</w:t>
      </w:r>
    </w:p>
    <w:p w:rsidR="00F24EE2" w:rsidRPr="00AF3BFA" w:rsidRDefault="00F24EE2" w:rsidP="00F24EE2">
      <w:pPr>
        <w:keepNext/>
        <w:rPr>
          <w:rFonts w:ascii="Arial" w:eastAsiaTheme="minorHAnsi" w:hAnsi="Arial" w:cs="Arial"/>
        </w:rPr>
      </w:pPr>
    </w:p>
    <w:p w:rsidR="00F24EE2" w:rsidRPr="00AF3BFA" w:rsidRDefault="00F24EE2" w:rsidP="00F24EE2">
      <w:pPr>
        <w:keepNext/>
        <w:rPr>
          <w:rFonts w:ascii="Arial" w:eastAsiaTheme="minorHAnsi" w:hAnsi="Arial" w:cs="Arial"/>
        </w:rPr>
      </w:pPr>
      <w:r w:rsidRPr="00AF3BFA">
        <w:rPr>
          <w:rFonts w:ascii="Arial" w:eastAsiaTheme="minorHAnsi" w:hAnsi="Arial" w:cs="Arial"/>
        </w:rPr>
        <w:t xml:space="preserve">The NTC should </w:t>
      </w:r>
      <w:r w:rsidR="00AF3BFA">
        <w:rPr>
          <w:rFonts w:ascii="Arial" w:eastAsiaTheme="minorHAnsi" w:hAnsi="Arial" w:cs="Arial"/>
        </w:rPr>
        <w:t xml:space="preserve">be able to </w:t>
      </w:r>
      <w:r w:rsidRPr="00AF3BFA">
        <w:rPr>
          <w:rFonts w:ascii="Arial" w:eastAsiaTheme="minorHAnsi" w:hAnsi="Arial" w:cs="Arial"/>
        </w:rPr>
        <w:t>determine a smoothed path for heavy vehicle charges throughout each determination period. The COAG pricing principles should be revised if necessary to accommodate this approach.</w:t>
      </w:r>
    </w:p>
    <w:p w:rsidR="00242D21" w:rsidRDefault="00242D21">
      <w:pPr>
        <w:rPr>
          <w:rFonts w:ascii="Arial" w:hAnsi="Arial" w:cs="Arial"/>
          <w:b/>
          <w:color w:val="000064"/>
          <w:sz w:val="28"/>
        </w:rPr>
      </w:pPr>
      <w:r>
        <w:br w:type="page"/>
      </w:r>
    </w:p>
    <w:p w:rsidR="006233B3" w:rsidRPr="00242D21" w:rsidRDefault="006233B3" w:rsidP="009D1601">
      <w:pPr>
        <w:pStyle w:val="Heading1"/>
        <w:rPr>
          <w:sz w:val="24"/>
          <w:szCs w:val="24"/>
        </w:rPr>
      </w:pPr>
      <w:bookmarkStart w:id="3" w:name="_Toc457400396"/>
      <w:r w:rsidRPr="00242D21">
        <w:rPr>
          <w:sz w:val="24"/>
          <w:szCs w:val="24"/>
        </w:rPr>
        <w:lastRenderedPageBreak/>
        <w:t>Introduction</w:t>
      </w:r>
      <w:r w:rsidR="00033C3F">
        <w:rPr>
          <w:sz w:val="24"/>
          <w:szCs w:val="24"/>
        </w:rPr>
        <w:t xml:space="preserve"> and summary</w:t>
      </w:r>
      <w:bookmarkEnd w:id="3"/>
    </w:p>
    <w:p w:rsidR="006233B3" w:rsidRPr="00540454" w:rsidRDefault="006233B3" w:rsidP="009D1601">
      <w:pPr>
        <w:rPr>
          <w:rFonts w:ascii="Arial" w:eastAsia="Times New Roman" w:hAnsi="Arial" w:cs="Arial"/>
          <w:bCs/>
        </w:rPr>
      </w:pPr>
    </w:p>
    <w:p w:rsidR="00A75D06" w:rsidRPr="002E4551" w:rsidRDefault="00A75D06" w:rsidP="00A75D06">
      <w:pPr>
        <w:rPr>
          <w:rFonts w:ascii="Arial" w:eastAsia="Times New Roman" w:hAnsi="Arial" w:cs="Arial"/>
        </w:rPr>
      </w:pPr>
      <w:r>
        <w:rPr>
          <w:rFonts w:ascii="Arial" w:eastAsia="Times New Roman" w:hAnsi="Arial" w:cs="Arial"/>
        </w:rPr>
        <w:t xml:space="preserve">Truck and bus operators pay for their use of the road system through </w:t>
      </w:r>
      <w:r w:rsidRPr="002E4551">
        <w:rPr>
          <w:rFonts w:ascii="Arial" w:eastAsia="Times New Roman" w:hAnsi="Arial" w:cs="Arial"/>
        </w:rPr>
        <w:t>a fuel-based road user charge</w:t>
      </w:r>
      <w:r>
        <w:rPr>
          <w:rFonts w:ascii="Arial" w:eastAsia="Times New Roman" w:hAnsi="Arial" w:cs="Arial"/>
        </w:rPr>
        <w:t>, administered as a reduction in their fuel tax credits,</w:t>
      </w:r>
      <w:r w:rsidRPr="002E4551">
        <w:rPr>
          <w:rFonts w:ascii="Arial" w:eastAsia="Times New Roman" w:hAnsi="Arial" w:cs="Arial"/>
        </w:rPr>
        <w:t xml:space="preserve"> and very high registration charges.</w:t>
      </w:r>
    </w:p>
    <w:p w:rsidR="00A75D06" w:rsidRPr="002E4551" w:rsidRDefault="00A75D06" w:rsidP="00A75D06">
      <w:pPr>
        <w:rPr>
          <w:rFonts w:ascii="Arial" w:eastAsia="Times New Roman" w:hAnsi="Arial" w:cs="Arial"/>
        </w:rPr>
      </w:pPr>
    </w:p>
    <w:p w:rsidR="00A75D06" w:rsidRPr="002E4551" w:rsidRDefault="00A75D06" w:rsidP="00A75D06">
      <w:pPr>
        <w:rPr>
          <w:rFonts w:ascii="Arial" w:eastAsia="Times New Roman" w:hAnsi="Arial" w:cs="Arial"/>
        </w:rPr>
      </w:pPr>
      <w:r>
        <w:rPr>
          <w:rFonts w:ascii="Arial" w:eastAsia="Times New Roman" w:hAnsi="Arial" w:cs="Arial"/>
        </w:rPr>
        <w:t>T</w:t>
      </w:r>
      <w:r w:rsidRPr="002E4551">
        <w:rPr>
          <w:rFonts w:ascii="Arial" w:eastAsia="Times New Roman" w:hAnsi="Arial" w:cs="Arial"/>
        </w:rPr>
        <w:t>h</w:t>
      </w:r>
      <w:r>
        <w:rPr>
          <w:rFonts w:ascii="Arial" w:eastAsia="Times New Roman" w:hAnsi="Arial" w:cs="Arial"/>
        </w:rPr>
        <w:t>e National Transport Commission (NTC)</w:t>
      </w:r>
      <w:r w:rsidRPr="002E4551">
        <w:rPr>
          <w:rFonts w:ascii="Arial" w:eastAsia="Times New Roman" w:hAnsi="Arial" w:cs="Arial"/>
        </w:rPr>
        <w:t xml:space="preserve"> </w:t>
      </w:r>
      <w:r>
        <w:rPr>
          <w:rFonts w:ascii="Arial" w:eastAsia="Times New Roman" w:hAnsi="Arial" w:cs="Arial"/>
        </w:rPr>
        <w:t>found in 2014</w:t>
      </w:r>
      <w:r w:rsidRPr="002E4551">
        <w:rPr>
          <w:rFonts w:ascii="Arial" w:eastAsia="Times New Roman" w:hAnsi="Arial" w:cs="Arial"/>
        </w:rPr>
        <w:t xml:space="preserve"> </w:t>
      </w:r>
      <w:r>
        <w:rPr>
          <w:rFonts w:ascii="Arial" w:eastAsia="Times New Roman" w:hAnsi="Arial" w:cs="Arial"/>
        </w:rPr>
        <w:t>that this system overcharged</w:t>
      </w:r>
      <w:r w:rsidRPr="002E4551">
        <w:rPr>
          <w:rFonts w:ascii="Arial" w:eastAsia="Times New Roman" w:hAnsi="Arial" w:cs="Arial"/>
        </w:rPr>
        <w:t xml:space="preserve"> truck and bus operators</w:t>
      </w:r>
      <w:r>
        <w:rPr>
          <w:rFonts w:ascii="Arial" w:eastAsia="Times New Roman" w:hAnsi="Arial" w:cs="Arial"/>
        </w:rPr>
        <w:t>,</w:t>
      </w:r>
      <w:r w:rsidRPr="002E4551">
        <w:rPr>
          <w:rFonts w:ascii="Arial" w:eastAsia="Times New Roman" w:hAnsi="Arial" w:cs="Arial"/>
        </w:rPr>
        <w:t xml:space="preserve"> because it consistently underestimated the number of heavy vehicles on the road.</w:t>
      </w:r>
    </w:p>
    <w:p w:rsidR="00A75D06" w:rsidRDefault="00A75D06" w:rsidP="00A75D06">
      <w:pPr>
        <w:pStyle w:val="NoSpacing"/>
        <w:rPr>
          <w:rFonts w:ascii="Arial" w:hAnsi="Arial" w:cs="Arial"/>
          <w:color w:val="auto"/>
          <w:sz w:val="22"/>
          <w:szCs w:val="22"/>
        </w:rPr>
      </w:pPr>
    </w:p>
    <w:p w:rsidR="00A75D06" w:rsidRDefault="00A75D06" w:rsidP="00A75D06">
      <w:pPr>
        <w:rPr>
          <w:rFonts w:ascii="Arial" w:hAnsi="Arial" w:cs="Arial"/>
          <w:szCs w:val="24"/>
          <w:lang w:eastAsia="en-AU"/>
        </w:rPr>
      </w:pPr>
      <w:r>
        <w:rPr>
          <w:rFonts w:ascii="Arial" w:hAnsi="Arial" w:cs="Arial"/>
        </w:rPr>
        <w:t xml:space="preserve">The NTC </w:t>
      </w:r>
      <w:r w:rsidRPr="0009785A">
        <w:rPr>
          <w:rFonts w:ascii="Arial" w:hAnsi="Arial" w:cs="Arial"/>
        </w:rPr>
        <w:t xml:space="preserve">recommended a number of technical amendments to the system, </w:t>
      </w:r>
      <w:r>
        <w:rPr>
          <w:rFonts w:ascii="Arial" w:hAnsi="Arial" w:cs="Arial"/>
        </w:rPr>
        <w:t xml:space="preserve">which governments accepted, and later put forward three options for dealing with the overcharging from 2016-17. </w:t>
      </w:r>
      <w:r>
        <w:rPr>
          <w:rFonts w:ascii="Arial" w:hAnsi="Arial" w:cs="Arial"/>
          <w:szCs w:val="24"/>
          <w:lang w:eastAsia="en-AU"/>
        </w:rPr>
        <w:t>Of these, the ATA urged governments to adopt what the NTC described as ‘direct implementation’ – an immediate cut to the road user charge and registration charges to eliminate the over-recovery.</w:t>
      </w:r>
    </w:p>
    <w:p w:rsidR="00033C3F" w:rsidRDefault="00033C3F" w:rsidP="00A75D06">
      <w:pPr>
        <w:rPr>
          <w:rFonts w:ascii="Arial" w:hAnsi="Arial" w:cs="Arial"/>
          <w:szCs w:val="24"/>
          <w:lang w:eastAsia="en-AU"/>
        </w:rPr>
      </w:pPr>
    </w:p>
    <w:p w:rsidR="00033C3F" w:rsidRDefault="00033C3F" w:rsidP="00033C3F">
      <w:pPr>
        <w:autoSpaceDE w:val="0"/>
        <w:autoSpaceDN w:val="0"/>
        <w:adjustRightInd w:val="0"/>
        <w:rPr>
          <w:rFonts w:ascii="Arial" w:hAnsi="Arial" w:cs="Arial"/>
          <w:color w:val="000000"/>
          <w:lang w:eastAsia="en-AU"/>
        </w:rPr>
      </w:pPr>
      <w:r>
        <w:rPr>
          <w:rFonts w:ascii="Arial" w:hAnsi="Arial" w:cs="Arial"/>
          <w:color w:val="000000"/>
          <w:lang w:eastAsia="en-AU"/>
        </w:rPr>
        <w:t>Instead, g</w:t>
      </w:r>
      <w:r w:rsidR="00237A72">
        <w:rPr>
          <w:rFonts w:ascii="Arial" w:hAnsi="Arial" w:cs="Arial"/>
          <w:color w:val="000000"/>
          <w:lang w:eastAsia="en-AU"/>
        </w:rPr>
        <w:t>overnments chose</w:t>
      </w:r>
      <w:r>
        <w:rPr>
          <w:rFonts w:ascii="Arial" w:hAnsi="Arial" w:cs="Arial"/>
          <w:color w:val="000000"/>
          <w:lang w:eastAsia="en-AU"/>
        </w:rPr>
        <w:t xml:space="preserve"> to freeze revenue from heavy vehicle charges, and decided that the NTC should ‘explore options to advance the methodology to better balance heavy vehicle charges and government revenues.’</w:t>
      </w:r>
    </w:p>
    <w:p w:rsidR="006D136F" w:rsidRDefault="006D136F" w:rsidP="00033C3F">
      <w:pPr>
        <w:autoSpaceDE w:val="0"/>
        <w:autoSpaceDN w:val="0"/>
        <w:adjustRightInd w:val="0"/>
        <w:rPr>
          <w:rFonts w:ascii="Arial" w:hAnsi="Arial" w:cs="Arial"/>
          <w:color w:val="000000"/>
          <w:lang w:eastAsia="en-AU"/>
        </w:rPr>
      </w:pPr>
    </w:p>
    <w:p w:rsidR="00033C3F" w:rsidRDefault="00033C3F" w:rsidP="00033C3F">
      <w:pPr>
        <w:autoSpaceDE w:val="0"/>
        <w:autoSpaceDN w:val="0"/>
        <w:adjustRightInd w:val="0"/>
        <w:rPr>
          <w:rFonts w:ascii="Arial" w:hAnsi="Arial" w:cs="Arial"/>
          <w:color w:val="000000"/>
          <w:lang w:eastAsia="en-AU"/>
        </w:rPr>
      </w:pPr>
      <w:r>
        <w:rPr>
          <w:rFonts w:ascii="Arial" w:hAnsi="Arial" w:cs="Arial"/>
          <w:color w:val="000000"/>
          <w:lang w:eastAsia="en-AU"/>
        </w:rPr>
        <w:t xml:space="preserve">The </w:t>
      </w:r>
      <w:r w:rsidR="0025341C">
        <w:rPr>
          <w:rFonts w:ascii="Arial" w:hAnsi="Arial" w:cs="Arial"/>
          <w:color w:val="000000"/>
          <w:lang w:eastAsia="en-AU"/>
        </w:rPr>
        <w:t xml:space="preserve">resulting </w:t>
      </w:r>
      <w:r>
        <w:rPr>
          <w:rFonts w:ascii="Arial" w:hAnsi="Arial" w:cs="Arial"/>
          <w:color w:val="000000"/>
          <w:lang w:eastAsia="en-AU"/>
        </w:rPr>
        <w:t>NTC</w:t>
      </w:r>
      <w:r w:rsidR="00C6004F">
        <w:rPr>
          <w:rFonts w:ascii="Arial" w:hAnsi="Arial" w:cs="Arial"/>
          <w:color w:val="000000"/>
          <w:lang w:eastAsia="en-AU"/>
        </w:rPr>
        <w:t xml:space="preserve"> discussion paper looks at nine options for changing the PAYGO methodology.</w:t>
      </w:r>
    </w:p>
    <w:p w:rsidR="00C6004F" w:rsidRDefault="00C6004F" w:rsidP="00033C3F">
      <w:pPr>
        <w:autoSpaceDE w:val="0"/>
        <w:autoSpaceDN w:val="0"/>
        <w:adjustRightInd w:val="0"/>
        <w:rPr>
          <w:rFonts w:ascii="Arial" w:hAnsi="Arial" w:cs="Arial"/>
          <w:color w:val="000000"/>
          <w:lang w:eastAsia="en-AU"/>
        </w:rPr>
      </w:pPr>
    </w:p>
    <w:p w:rsidR="0020542E" w:rsidRDefault="00C6004F" w:rsidP="005C1437">
      <w:pPr>
        <w:rPr>
          <w:rFonts w:ascii="Arial" w:eastAsiaTheme="minorHAnsi" w:hAnsi="Arial" w:cs="Arial"/>
        </w:rPr>
      </w:pPr>
      <w:r>
        <w:rPr>
          <w:rFonts w:ascii="Arial" w:hAnsi="Arial" w:cs="Arial"/>
          <w:color w:val="000000"/>
          <w:lang w:eastAsia="en-AU"/>
        </w:rPr>
        <w:t xml:space="preserve">The trucking industry’s preferred option </w:t>
      </w:r>
      <w:r w:rsidR="0020542E">
        <w:rPr>
          <w:rFonts w:ascii="Arial" w:hAnsi="Arial" w:cs="Arial"/>
          <w:color w:val="000000"/>
          <w:lang w:eastAsia="en-AU"/>
        </w:rPr>
        <w:t xml:space="preserve">is not in the discussion paper. We believe that governments should accept that cost reflective charges can go down as well as up, reconsider </w:t>
      </w:r>
      <w:r w:rsidR="0020542E" w:rsidRPr="0020542E">
        <w:rPr>
          <w:rFonts w:ascii="Arial" w:eastAsiaTheme="minorHAnsi" w:hAnsi="Arial" w:cs="Arial"/>
        </w:rPr>
        <w:t>their objections to t</w:t>
      </w:r>
      <w:r w:rsidR="0020542E">
        <w:rPr>
          <w:rFonts w:ascii="Arial" w:eastAsiaTheme="minorHAnsi" w:hAnsi="Arial" w:cs="Arial"/>
        </w:rPr>
        <w:t>he direct implementation option</w:t>
      </w:r>
      <w:r w:rsidR="0020542E" w:rsidRPr="0020542E">
        <w:rPr>
          <w:rFonts w:ascii="Arial" w:eastAsiaTheme="minorHAnsi" w:hAnsi="Arial" w:cs="Arial"/>
        </w:rPr>
        <w:t xml:space="preserve"> and immediately cut the road user </w:t>
      </w:r>
      <w:r w:rsidR="004915A1">
        <w:rPr>
          <w:rFonts w:ascii="Arial" w:eastAsiaTheme="minorHAnsi" w:hAnsi="Arial" w:cs="Arial"/>
        </w:rPr>
        <w:t>charge and registration charges</w:t>
      </w:r>
      <w:r w:rsidR="0020542E">
        <w:rPr>
          <w:rFonts w:ascii="Arial" w:eastAsiaTheme="minorHAnsi" w:hAnsi="Arial" w:cs="Arial"/>
        </w:rPr>
        <w:t xml:space="preserve"> </w:t>
      </w:r>
      <w:r w:rsidR="005C1437">
        <w:rPr>
          <w:rFonts w:ascii="Arial" w:eastAsiaTheme="minorHAnsi" w:hAnsi="Arial" w:cs="Arial"/>
        </w:rPr>
        <w:t>(recommendation 1)</w:t>
      </w:r>
      <w:r w:rsidR="004915A1">
        <w:rPr>
          <w:rFonts w:ascii="Arial" w:eastAsiaTheme="minorHAnsi" w:hAnsi="Arial" w:cs="Arial"/>
        </w:rPr>
        <w:t>.</w:t>
      </w:r>
    </w:p>
    <w:p w:rsidR="006D136F" w:rsidRPr="006D136F" w:rsidRDefault="006D136F" w:rsidP="006D136F">
      <w:pPr>
        <w:autoSpaceDE w:val="0"/>
        <w:autoSpaceDN w:val="0"/>
        <w:adjustRightInd w:val="0"/>
        <w:rPr>
          <w:rFonts w:ascii="Arial" w:hAnsi="Arial" w:cs="Arial"/>
          <w:color w:val="000000"/>
          <w:lang w:eastAsia="en-AU"/>
        </w:rPr>
      </w:pPr>
    </w:p>
    <w:p w:rsidR="006D136F" w:rsidRPr="006D136F" w:rsidRDefault="006D136F" w:rsidP="006D136F">
      <w:pPr>
        <w:autoSpaceDE w:val="0"/>
        <w:autoSpaceDN w:val="0"/>
        <w:adjustRightInd w:val="0"/>
        <w:rPr>
          <w:rFonts w:ascii="Arial" w:hAnsi="Arial" w:cs="Arial"/>
          <w:color w:val="000000"/>
          <w:lang w:eastAsia="en-AU"/>
        </w:rPr>
      </w:pPr>
      <w:r>
        <w:rPr>
          <w:rFonts w:ascii="Arial" w:hAnsi="Arial" w:cs="Arial"/>
          <w:color w:val="000000"/>
          <w:lang w:val="en-US" w:eastAsia="en-AU"/>
        </w:rPr>
        <w:t>This is because the</w:t>
      </w:r>
      <w:r w:rsidRPr="006D136F">
        <w:rPr>
          <w:rFonts w:ascii="Arial" w:hAnsi="Arial" w:cs="Arial"/>
          <w:color w:val="000000"/>
          <w:lang w:val="en-US" w:eastAsia="en-AU"/>
        </w:rPr>
        <w:t xml:space="preserve"> ATA and its members are of the view t</w:t>
      </w:r>
      <w:r>
        <w:rPr>
          <w:rFonts w:ascii="Arial" w:hAnsi="Arial" w:cs="Arial"/>
          <w:color w:val="000000"/>
          <w:lang w:val="en-US" w:eastAsia="en-AU"/>
        </w:rPr>
        <w:t xml:space="preserve">hat the only acceptable way to </w:t>
      </w:r>
      <w:r w:rsidRPr="006D136F">
        <w:rPr>
          <w:rFonts w:ascii="Arial" w:hAnsi="Arial" w:cs="Arial"/>
          <w:color w:val="000000"/>
          <w:lang w:val="en-US" w:eastAsia="en-AU"/>
        </w:rPr>
        <w:t xml:space="preserve">better balance heavy vehicle </w:t>
      </w:r>
      <w:r>
        <w:rPr>
          <w:rFonts w:ascii="Arial" w:hAnsi="Arial" w:cs="Arial"/>
          <w:color w:val="000000"/>
          <w:lang w:val="en-US" w:eastAsia="en-AU"/>
        </w:rPr>
        <w:t>charges and government revenues</w:t>
      </w:r>
      <w:r w:rsidRPr="006D136F">
        <w:rPr>
          <w:rFonts w:ascii="Arial" w:hAnsi="Arial" w:cs="Arial"/>
          <w:color w:val="000000"/>
          <w:lang w:val="en-US" w:eastAsia="en-AU"/>
        </w:rPr>
        <w:t xml:space="preserve"> is to restrict that revenue to that generated from charges set to genuinely reflect the assessed impact of heavy vehicles on the roads and not to adjust charges upwards as a means of maintaining revenue. Anything beyond this would alter the charges regime from an appropriate cost-recovery mechanism to a general taxation regime. </w:t>
      </w:r>
    </w:p>
    <w:p w:rsidR="006D136F" w:rsidRDefault="006D136F" w:rsidP="005C1437">
      <w:pPr>
        <w:rPr>
          <w:rFonts w:ascii="Arial" w:eastAsiaTheme="minorHAnsi" w:hAnsi="Arial" w:cs="Arial"/>
        </w:rPr>
      </w:pPr>
    </w:p>
    <w:p w:rsidR="005C1437" w:rsidRDefault="005C1437" w:rsidP="005C1437">
      <w:pPr>
        <w:rPr>
          <w:rFonts w:ascii="Arial" w:hAnsi="Arial" w:cs="Arial"/>
          <w:iCs/>
        </w:rPr>
      </w:pPr>
      <w:r>
        <w:rPr>
          <w:rFonts w:ascii="Arial" w:eastAsiaTheme="minorHAnsi" w:hAnsi="Arial" w:cs="Arial"/>
        </w:rPr>
        <w:t xml:space="preserve">If governments do not accept this recommendation, the ATA </w:t>
      </w:r>
      <w:r w:rsidR="006D136F">
        <w:rPr>
          <w:rFonts w:ascii="Arial" w:eastAsiaTheme="minorHAnsi" w:hAnsi="Arial" w:cs="Arial"/>
        </w:rPr>
        <w:t xml:space="preserve">considers that the only acceptable alternative would be </w:t>
      </w:r>
      <w:r w:rsidR="0074123D">
        <w:rPr>
          <w:rFonts w:ascii="Arial" w:eastAsiaTheme="minorHAnsi" w:hAnsi="Arial" w:cs="Arial"/>
        </w:rPr>
        <w:t xml:space="preserve">to adopt </w:t>
      </w:r>
      <w:r w:rsidR="006D136F">
        <w:rPr>
          <w:rFonts w:ascii="Arial" w:eastAsiaTheme="minorHAnsi" w:hAnsi="Arial" w:cs="Arial"/>
        </w:rPr>
        <w:t>a narrow version of NTC</w:t>
      </w:r>
      <w:r>
        <w:rPr>
          <w:rFonts w:ascii="Arial" w:eastAsiaTheme="minorHAnsi" w:hAnsi="Arial" w:cs="Arial"/>
        </w:rPr>
        <w:t xml:space="preserve"> option 2</w:t>
      </w:r>
      <w:r w:rsidR="006D136F">
        <w:rPr>
          <w:rFonts w:ascii="Arial" w:eastAsiaTheme="minorHAnsi" w:hAnsi="Arial" w:cs="Arial"/>
        </w:rPr>
        <w:t>.</w:t>
      </w:r>
      <w:r>
        <w:rPr>
          <w:rFonts w:ascii="Arial" w:eastAsiaTheme="minorHAnsi" w:hAnsi="Arial" w:cs="Arial"/>
        </w:rPr>
        <w:t xml:space="preserve"> </w:t>
      </w:r>
      <w:r w:rsidRPr="005C1437">
        <w:rPr>
          <w:rFonts w:ascii="Arial" w:eastAsiaTheme="minorHAnsi" w:hAnsi="Arial" w:cs="Arial"/>
        </w:rPr>
        <w:t xml:space="preserve">The NTC should investigate moving the </w:t>
      </w:r>
      <w:r>
        <w:rPr>
          <w:rFonts w:ascii="Arial" w:eastAsiaTheme="minorHAnsi" w:hAnsi="Arial" w:cs="Arial"/>
        </w:rPr>
        <w:t xml:space="preserve">PAYGO </w:t>
      </w:r>
      <w:r w:rsidRPr="005C1437">
        <w:rPr>
          <w:rFonts w:ascii="Arial" w:eastAsiaTheme="minorHAnsi" w:hAnsi="Arial" w:cs="Arial"/>
        </w:rPr>
        <w:t>cost base forward to include one year of forecast and one year of estimated expenditure. As part of its investigation, the weights in the EMA should be reviewed</w:t>
      </w:r>
      <w:r>
        <w:rPr>
          <w:rFonts w:ascii="Arial" w:eastAsiaTheme="minorHAnsi" w:hAnsi="Arial" w:cs="Arial"/>
        </w:rPr>
        <w:t xml:space="preserve"> (recommendation 2)</w:t>
      </w:r>
      <w:r w:rsidRPr="005C1437">
        <w:rPr>
          <w:rFonts w:ascii="Arial" w:eastAsiaTheme="minorHAnsi" w:hAnsi="Arial" w:cs="Arial"/>
        </w:rPr>
        <w:t>.</w:t>
      </w:r>
      <w:r w:rsidRPr="005C1437">
        <w:rPr>
          <w:rFonts w:ascii="Arial" w:hAnsi="Arial" w:cs="Arial"/>
          <w:iCs/>
        </w:rPr>
        <w:t xml:space="preserve"> </w:t>
      </w:r>
    </w:p>
    <w:p w:rsidR="005C1437" w:rsidRDefault="005C1437" w:rsidP="005C1437">
      <w:pPr>
        <w:rPr>
          <w:rFonts w:ascii="Arial" w:hAnsi="Arial" w:cs="Arial"/>
          <w:iCs/>
        </w:rPr>
      </w:pPr>
    </w:p>
    <w:p w:rsidR="005C1437" w:rsidRDefault="005C1437" w:rsidP="005C1437">
      <w:pPr>
        <w:rPr>
          <w:rFonts w:ascii="Arial" w:eastAsiaTheme="minorHAnsi" w:hAnsi="Arial" w:cs="Arial"/>
        </w:rPr>
      </w:pPr>
      <w:r>
        <w:rPr>
          <w:rFonts w:ascii="Arial" w:hAnsi="Arial" w:cs="Arial"/>
          <w:iCs/>
        </w:rPr>
        <w:t xml:space="preserve">Modelling commissioned by the ATA shows that this approach should address the revenue concerns of governments while still providing fair results for the industry. To ensure that the inclusion of forecast and estimated expenditure in the model does not result in over or under-recovery, </w:t>
      </w:r>
      <w:r w:rsidR="004915A1">
        <w:rPr>
          <w:rFonts w:ascii="Arial" w:hAnsi="Arial" w:cs="Arial"/>
          <w:iCs/>
        </w:rPr>
        <w:t xml:space="preserve">however, </w:t>
      </w:r>
      <w:r>
        <w:rPr>
          <w:rFonts w:ascii="Arial" w:eastAsiaTheme="minorHAnsi" w:hAnsi="Arial" w:cs="Arial"/>
        </w:rPr>
        <w:t>t</w:t>
      </w:r>
      <w:r w:rsidRPr="005C1437">
        <w:rPr>
          <w:rFonts w:ascii="Arial" w:eastAsiaTheme="minorHAnsi" w:hAnsi="Arial" w:cs="Arial"/>
        </w:rPr>
        <w:t>he submission recommends the PAYGO model should be altered to include an unders and overs account (recommendation 4)</w:t>
      </w:r>
      <w:r>
        <w:rPr>
          <w:rFonts w:ascii="Arial" w:eastAsiaTheme="minorHAnsi" w:hAnsi="Arial" w:cs="Arial"/>
        </w:rPr>
        <w:t xml:space="preserve">. It also recommends stronger transparency and accountability mechanisms </w:t>
      </w:r>
      <w:r w:rsidR="00E75B2B">
        <w:rPr>
          <w:rFonts w:ascii="Arial" w:eastAsiaTheme="minorHAnsi" w:hAnsi="Arial" w:cs="Arial"/>
        </w:rPr>
        <w:t>(recommendations 7 and 8).</w:t>
      </w:r>
    </w:p>
    <w:p w:rsidR="005C1437" w:rsidRDefault="005C1437" w:rsidP="005C1437">
      <w:pPr>
        <w:rPr>
          <w:rFonts w:ascii="Arial" w:eastAsiaTheme="minorHAnsi" w:hAnsi="Arial" w:cs="Arial"/>
        </w:rPr>
      </w:pPr>
    </w:p>
    <w:p w:rsidR="00E75B2B" w:rsidRDefault="005C1437" w:rsidP="005C1437">
      <w:pPr>
        <w:rPr>
          <w:rFonts w:ascii="Arial" w:hAnsi="Arial" w:cs="Arial"/>
          <w:iCs/>
        </w:rPr>
      </w:pPr>
      <w:r>
        <w:rPr>
          <w:rFonts w:ascii="Arial" w:eastAsiaTheme="minorHAnsi" w:hAnsi="Arial" w:cs="Arial"/>
        </w:rPr>
        <w:t xml:space="preserve">The submission recommends that the </w:t>
      </w:r>
      <w:r w:rsidRPr="005C1437">
        <w:rPr>
          <w:rFonts w:ascii="Arial" w:hAnsi="Arial" w:cs="Arial"/>
          <w:iCs/>
        </w:rPr>
        <w:t>NTC should be designated</w:t>
      </w:r>
      <w:r>
        <w:rPr>
          <w:rFonts w:ascii="Arial" w:hAnsi="Arial" w:cs="Arial"/>
          <w:iCs/>
        </w:rPr>
        <w:t>, for the present,</w:t>
      </w:r>
      <w:r w:rsidRPr="005C1437">
        <w:rPr>
          <w:rFonts w:ascii="Arial" w:hAnsi="Arial" w:cs="Arial"/>
          <w:iCs/>
        </w:rPr>
        <w:t xml:space="preserve"> as </w:t>
      </w:r>
      <w:r>
        <w:rPr>
          <w:rFonts w:ascii="Arial" w:hAnsi="Arial" w:cs="Arial"/>
          <w:iCs/>
        </w:rPr>
        <w:t xml:space="preserve">the </w:t>
      </w:r>
      <w:r w:rsidRPr="005C1437">
        <w:rPr>
          <w:rFonts w:ascii="Arial" w:hAnsi="Arial" w:cs="Arial"/>
          <w:iCs/>
        </w:rPr>
        <w:t xml:space="preserve">independent pricing regulator for heavy vehicle charges, with decisions appealable to the </w:t>
      </w:r>
      <w:r w:rsidR="00E75B2B">
        <w:rPr>
          <w:rFonts w:ascii="Arial" w:hAnsi="Arial" w:cs="Arial"/>
          <w:iCs/>
        </w:rPr>
        <w:t>Australian Competition Tribunal</w:t>
      </w:r>
      <w:r>
        <w:rPr>
          <w:rFonts w:ascii="Arial" w:hAnsi="Arial" w:cs="Arial"/>
          <w:iCs/>
        </w:rPr>
        <w:t xml:space="preserve"> (recommendation 5). </w:t>
      </w:r>
    </w:p>
    <w:p w:rsidR="0074123D" w:rsidRDefault="0074123D" w:rsidP="005C1437">
      <w:pPr>
        <w:rPr>
          <w:rFonts w:ascii="Arial" w:hAnsi="Arial" w:cs="Arial"/>
          <w:iCs/>
        </w:rPr>
      </w:pPr>
    </w:p>
    <w:p w:rsidR="00E75B2B" w:rsidRDefault="00E75B2B" w:rsidP="005C1437">
      <w:pPr>
        <w:rPr>
          <w:rFonts w:ascii="Arial" w:hAnsi="Arial" w:cs="Arial"/>
          <w:iCs/>
        </w:rPr>
      </w:pPr>
      <w:r>
        <w:rPr>
          <w:rFonts w:ascii="Arial" w:hAnsi="Arial" w:cs="Arial"/>
          <w:iCs/>
        </w:rPr>
        <w:t>The problem definition section of the NTC discussion paper does not examine the cashflow and compliance issues associated with high yearly registration charges and the continued use of outdated and unnecessary registration labels. The submission urges governments to follow Western Australia’s lead and eliminate registration labels for trucks, as well as allowing businesses to pay their registration charges monthly via direct debit (recommendation 6).</w:t>
      </w:r>
    </w:p>
    <w:p w:rsidR="00E75B2B" w:rsidRDefault="00E75B2B" w:rsidP="005C1437">
      <w:pPr>
        <w:rPr>
          <w:rFonts w:ascii="Arial" w:hAnsi="Arial" w:cs="Arial"/>
          <w:iCs/>
        </w:rPr>
      </w:pPr>
    </w:p>
    <w:p w:rsidR="0074123D" w:rsidRDefault="0074123D" w:rsidP="005C1437">
      <w:pPr>
        <w:rPr>
          <w:rFonts w:ascii="Arial" w:hAnsi="Arial" w:cs="Arial"/>
          <w:iCs/>
        </w:rPr>
      </w:pPr>
      <w:r>
        <w:rPr>
          <w:rFonts w:ascii="Arial" w:hAnsi="Arial" w:cs="Arial"/>
          <w:iCs/>
        </w:rPr>
        <w:t>The submission also urges governments to address the unpredictability and instability of registration charges under PAYGO by empowering the NTC to determine a smoothed path for charges during each, fixed, determination period (recommendations 9 and 10).</w:t>
      </w:r>
    </w:p>
    <w:p w:rsidR="0074123D" w:rsidRDefault="0074123D">
      <w:pPr>
        <w:rPr>
          <w:rFonts w:ascii="Arial" w:hAnsi="Arial" w:cs="Arial"/>
          <w:iCs/>
        </w:rPr>
      </w:pPr>
      <w:r>
        <w:rPr>
          <w:rFonts w:ascii="Arial" w:hAnsi="Arial" w:cs="Arial"/>
          <w:iCs/>
        </w:rPr>
        <w:br w:type="page"/>
      </w:r>
    </w:p>
    <w:p w:rsidR="00223D83" w:rsidRPr="00242D21" w:rsidRDefault="00223D83" w:rsidP="00223D83">
      <w:pPr>
        <w:pStyle w:val="Heading1"/>
        <w:rPr>
          <w:sz w:val="24"/>
          <w:szCs w:val="24"/>
        </w:rPr>
      </w:pPr>
      <w:bookmarkStart w:id="4" w:name="_Toc457400397"/>
      <w:r>
        <w:rPr>
          <w:sz w:val="24"/>
          <w:szCs w:val="24"/>
        </w:rPr>
        <w:lastRenderedPageBreak/>
        <w:t>The trucking industry’s preferred option</w:t>
      </w:r>
      <w:bookmarkEnd w:id="4"/>
    </w:p>
    <w:p w:rsidR="00223D83" w:rsidRDefault="00223D83">
      <w:pPr>
        <w:rPr>
          <w:rFonts w:ascii="Arial" w:eastAsiaTheme="minorHAnsi" w:hAnsi="Arial" w:cs="Arial"/>
        </w:rPr>
      </w:pPr>
    </w:p>
    <w:p w:rsidR="00F335B2" w:rsidRDefault="00F335B2">
      <w:pPr>
        <w:rPr>
          <w:rFonts w:ascii="Arial" w:eastAsiaTheme="minorHAnsi" w:hAnsi="Arial" w:cs="Arial"/>
        </w:rPr>
      </w:pPr>
      <w:r>
        <w:rPr>
          <w:rFonts w:ascii="Arial" w:eastAsiaTheme="minorHAnsi" w:hAnsi="Arial" w:cs="Arial"/>
        </w:rPr>
        <w:t xml:space="preserve">The 2014 heavy vehicle </w:t>
      </w:r>
      <w:r w:rsidR="001A7D3D">
        <w:rPr>
          <w:rFonts w:ascii="Arial" w:eastAsiaTheme="minorHAnsi" w:hAnsi="Arial" w:cs="Arial"/>
        </w:rPr>
        <w:t xml:space="preserve">charges </w:t>
      </w:r>
      <w:r>
        <w:rPr>
          <w:rFonts w:ascii="Arial" w:eastAsiaTheme="minorHAnsi" w:hAnsi="Arial" w:cs="Arial"/>
        </w:rPr>
        <w:t>determination was developed through an effective and transparent co-design process with the trucking industry and other stakeholders.</w:t>
      </w:r>
    </w:p>
    <w:p w:rsidR="00F335B2" w:rsidRDefault="00F335B2">
      <w:pPr>
        <w:rPr>
          <w:rFonts w:ascii="Arial" w:eastAsiaTheme="minorHAnsi" w:hAnsi="Arial" w:cs="Arial"/>
        </w:rPr>
      </w:pPr>
    </w:p>
    <w:p w:rsidR="00F335B2" w:rsidRDefault="00F335B2">
      <w:pPr>
        <w:rPr>
          <w:rFonts w:ascii="Arial" w:eastAsiaTheme="minorHAnsi" w:hAnsi="Arial" w:cs="Arial"/>
        </w:rPr>
      </w:pPr>
      <w:r>
        <w:rPr>
          <w:rFonts w:ascii="Arial" w:eastAsiaTheme="minorHAnsi" w:hAnsi="Arial" w:cs="Arial"/>
        </w:rPr>
        <w:t xml:space="preserve">The review process generated a number of </w:t>
      </w:r>
      <w:r w:rsidR="006A0416">
        <w:rPr>
          <w:rFonts w:ascii="Arial" w:eastAsiaTheme="minorHAnsi" w:hAnsi="Arial" w:cs="Arial"/>
        </w:rPr>
        <w:t>important technical</w:t>
      </w:r>
      <w:r>
        <w:rPr>
          <w:rFonts w:ascii="Arial" w:eastAsiaTheme="minorHAnsi" w:hAnsi="Arial" w:cs="Arial"/>
        </w:rPr>
        <w:t xml:space="preserve"> improvements to PAYGO, including:</w:t>
      </w:r>
    </w:p>
    <w:p w:rsidR="00F335B2" w:rsidRDefault="00F335B2">
      <w:pPr>
        <w:rPr>
          <w:rFonts w:ascii="Arial" w:eastAsiaTheme="minorHAnsi" w:hAnsi="Arial" w:cs="Arial"/>
        </w:rPr>
      </w:pPr>
    </w:p>
    <w:p w:rsidR="00F335B2" w:rsidRPr="00F55075" w:rsidRDefault="00F335B2" w:rsidP="00F55075">
      <w:pPr>
        <w:pStyle w:val="ListParagraph"/>
        <w:numPr>
          <w:ilvl w:val="0"/>
          <w:numId w:val="31"/>
        </w:numPr>
        <w:spacing w:after="0" w:line="240" w:lineRule="auto"/>
        <w:ind w:left="714" w:hanging="357"/>
        <w:rPr>
          <w:rFonts w:ascii="Arial" w:eastAsiaTheme="minorHAnsi" w:hAnsi="Arial" w:cs="Arial"/>
        </w:rPr>
      </w:pPr>
      <w:r w:rsidRPr="00F55075">
        <w:rPr>
          <w:rFonts w:ascii="Arial" w:eastAsiaTheme="minorHAnsi" w:hAnsi="Arial" w:cs="Arial"/>
        </w:rPr>
        <w:t>An improved usage dataset, including the use of current vehicle numbers</w:t>
      </w:r>
    </w:p>
    <w:p w:rsidR="00F335B2" w:rsidRPr="00F55075" w:rsidRDefault="00F335B2" w:rsidP="00F55075">
      <w:pPr>
        <w:pStyle w:val="ListParagraph"/>
        <w:numPr>
          <w:ilvl w:val="0"/>
          <w:numId w:val="31"/>
        </w:numPr>
        <w:spacing w:after="0" w:line="240" w:lineRule="auto"/>
        <w:ind w:left="714" w:hanging="357"/>
        <w:rPr>
          <w:rFonts w:ascii="Arial" w:eastAsiaTheme="minorHAnsi" w:hAnsi="Arial" w:cs="Arial"/>
        </w:rPr>
      </w:pPr>
      <w:r w:rsidRPr="00F55075">
        <w:rPr>
          <w:rFonts w:ascii="Arial" w:eastAsiaTheme="minorHAnsi" w:hAnsi="Arial" w:cs="Arial"/>
        </w:rPr>
        <w:t xml:space="preserve">A shift to </w:t>
      </w:r>
      <w:r w:rsidR="006A0416">
        <w:rPr>
          <w:rFonts w:ascii="Arial" w:eastAsiaTheme="minorHAnsi" w:hAnsi="Arial" w:cs="Arial"/>
        </w:rPr>
        <w:t>using a</w:t>
      </w:r>
      <w:r w:rsidRPr="00F55075">
        <w:rPr>
          <w:rFonts w:ascii="Arial" w:eastAsiaTheme="minorHAnsi" w:hAnsi="Arial" w:cs="Arial"/>
        </w:rPr>
        <w:t xml:space="preserve"> 7 year exponential moving average of nominal expenditure to calculate the cost base, in place of the previous averaging methodology</w:t>
      </w:r>
    </w:p>
    <w:p w:rsidR="00F335B2" w:rsidRPr="00F55075" w:rsidRDefault="00F335B2" w:rsidP="00F55075">
      <w:pPr>
        <w:pStyle w:val="ListParagraph"/>
        <w:numPr>
          <w:ilvl w:val="0"/>
          <w:numId w:val="31"/>
        </w:numPr>
        <w:spacing w:after="0" w:line="240" w:lineRule="auto"/>
        <w:ind w:left="714" w:hanging="357"/>
        <w:rPr>
          <w:rFonts w:ascii="Arial" w:eastAsiaTheme="minorHAnsi" w:hAnsi="Arial" w:cs="Arial"/>
        </w:rPr>
      </w:pPr>
      <w:r w:rsidRPr="00F55075">
        <w:rPr>
          <w:rFonts w:ascii="Arial" w:eastAsiaTheme="minorHAnsi" w:hAnsi="Arial" w:cs="Arial"/>
        </w:rPr>
        <w:t>Updated ESA values</w:t>
      </w:r>
    </w:p>
    <w:p w:rsidR="00F335B2" w:rsidRPr="00F55075" w:rsidRDefault="006A0416" w:rsidP="00F55075">
      <w:pPr>
        <w:pStyle w:val="ListParagraph"/>
        <w:numPr>
          <w:ilvl w:val="0"/>
          <w:numId w:val="31"/>
        </w:numPr>
        <w:spacing w:after="0" w:line="240" w:lineRule="auto"/>
        <w:ind w:left="714" w:hanging="357"/>
        <w:rPr>
          <w:rFonts w:ascii="Arial" w:eastAsiaTheme="minorHAnsi" w:hAnsi="Arial" w:cs="Arial"/>
        </w:rPr>
      </w:pPr>
      <w:r>
        <w:rPr>
          <w:rFonts w:ascii="Arial" w:eastAsiaTheme="minorHAnsi" w:hAnsi="Arial" w:cs="Arial"/>
        </w:rPr>
        <w:t>A</w:t>
      </w:r>
      <w:r w:rsidR="00F335B2" w:rsidRPr="00F55075">
        <w:rPr>
          <w:rFonts w:ascii="Arial" w:eastAsiaTheme="minorHAnsi" w:hAnsi="Arial" w:cs="Arial"/>
        </w:rPr>
        <w:t>xle group charging</w:t>
      </w:r>
    </w:p>
    <w:p w:rsidR="00F335B2" w:rsidRPr="00F55075" w:rsidRDefault="006A0416" w:rsidP="00F55075">
      <w:pPr>
        <w:pStyle w:val="ListParagraph"/>
        <w:numPr>
          <w:ilvl w:val="0"/>
          <w:numId w:val="31"/>
        </w:numPr>
        <w:spacing w:after="0" w:line="240" w:lineRule="auto"/>
        <w:ind w:left="714" w:hanging="357"/>
        <w:rPr>
          <w:rFonts w:ascii="Arial" w:eastAsiaTheme="minorHAnsi" w:hAnsi="Arial" w:cs="Arial"/>
        </w:rPr>
      </w:pPr>
      <w:r>
        <w:rPr>
          <w:rFonts w:ascii="Arial" w:eastAsiaTheme="minorHAnsi" w:hAnsi="Arial" w:cs="Arial"/>
        </w:rPr>
        <w:t>The i</w:t>
      </w:r>
      <w:r w:rsidR="00F335B2" w:rsidRPr="00F55075">
        <w:rPr>
          <w:rFonts w:ascii="Arial" w:eastAsiaTheme="minorHAnsi" w:hAnsi="Arial" w:cs="Arial"/>
        </w:rPr>
        <w:t xml:space="preserve">nclusion of a regulatory charge to fund the NHVR </w:t>
      </w:r>
    </w:p>
    <w:p w:rsidR="00F335B2" w:rsidRDefault="00F55075" w:rsidP="00F55075">
      <w:pPr>
        <w:pStyle w:val="ListParagraph"/>
        <w:numPr>
          <w:ilvl w:val="0"/>
          <w:numId w:val="31"/>
        </w:numPr>
        <w:spacing w:after="0" w:line="240" w:lineRule="auto"/>
        <w:ind w:left="714" w:hanging="357"/>
        <w:rPr>
          <w:rFonts w:ascii="Arial" w:eastAsiaTheme="minorHAnsi" w:hAnsi="Arial" w:cs="Arial"/>
        </w:rPr>
      </w:pPr>
      <w:r w:rsidRPr="00F55075">
        <w:rPr>
          <w:rFonts w:ascii="Arial" w:eastAsiaTheme="minorHAnsi" w:hAnsi="Arial" w:cs="Arial"/>
        </w:rPr>
        <w:t>A dynamic annual adjustment formula.</w:t>
      </w:r>
      <w:r w:rsidR="006A0416">
        <w:rPr>
          <w:rStyle w:val="FootnoteReference"/>
          <w:rFonts w:ascii="Arial" w:eastAsiaTheme="minorHAnsi" w:hAnsi="Arial"/>
        </w:rPr>
        <w:footnoteReference w:id="1"/>
      </w:r>
    </w:p>
    <w:p w:rsidR="00F55075" w:rsidRDefault="00F55075" w:rsidP="00F55075">
      <w:pPr>
        <w:rPr>
          <w:rFonts w:ascii="Arial" w:eastAsiaTheme="minorHAnsi" w:hAnsi="Arial" w:cs="Arial"/>
        </w:rPr>
      </w:pPr>
    </w:p>
    <w:p w:rsidR="00F55075" w:rsidRDefault="00F55075" w:rsidP="00F55075">
      <w:pPr>
        <w:rPr>
          <w:rFonts w:ascii="Arial" w:hAnsi="Arial" w:cs="Arial"/>
          <w:szCs w:val="24"/>
          <w:lang w:eastAsia="en-AU"/>
        </w:rPr>
      </w:pPr>
      <w:r>
        <w:rPr>
          <w:rFonts w:ascii="Arial" w:eastAsiaTheme="minorHAnsi" w:hAnsi="Arial" w:cs="Arial"/>
        </w:rPr>
        <w:t xml:space="preserve">As a result of these improvements, the NTC ultimately </w:t>
      </w:r>
      <w:r>
        <w:rPr>
          <w:rFonts w:ascii="Arial" w:hAnsi="Arial" w:cs="Arial"/>
        </w:rPr>
        <w:t xml:space="preserve">put forward three options for dealing with the overcharging </w:t>
      </w:r>
      <w:r w:rsidR="001A7D3D">
        <w:rPr>
          <w:rFonts w:ascii="Arial" w:hAnsi="Arial" w:cs="Arial"/>
        </w:rPr>
        <w:t>under PAYGO</w:t>
      </w:r>
      <w:r>
        <w:rPr>
          <w:rFonts w:ascii="Arial" w:hAnsi="Arial" w:cs="Arial"/>
        </w:rPr>
        <w:t xml:space="preserve">. </w:t>
      </w:r>
      <w:r>
        <w:rPr>
          <w:rFonts w:ascii="Arial" w:hAnsi="Arial" w:cs="Arial"/>
          <w:szCs w:val="24"/>
          <w:lang w:eastAsia="en-AU"/>
        </w:rPr>
        <w:t>Of these, the ATA urged governments to adopt what the NTC described as ‘direct implementation’ – an immediate cut to the road user charge and registration charges to eliminate the over-recovery.</w:t>
      </w:r>
    </w:p>
    <w:p w:rsidR="00F55075" w:rsidRDefault="00F55075" w:rsidP="00F55075">
      <w:pPr>
        <w:autoSpaceDE w:val="0"/>
        <w:autoSpaceDN w:val="0"/>
        <w:adjustRightInd w:val="0"/>
        <w:rPr>
          <w:rFonts w:ascii="Arial" w:hAnsi="Arial" w:cs="Arial"/>
          <w:color w:val="000000"/>
          <w:lang w:eastAsia="en-AU"/>
        </w:rPr>
      </w:pPr>
    </w:p>
    <w:p w:rsidR="00F55075" w:rsidRPr="00A75D06" w:rsidRDefault="00F55075" w:rsidP="00F55075">
      <w:pPr>
        <w:autoSpaceDE w:val="0"/>
        <w:autoSpaceDN w:val="0"/>
        <w:adjustRightInd w:val="0"/>
        <w:rPr>
          <w:rFonts w:ascii="Arial" w:hAnsi="Arial" w:cs="Arial"/>
          <w:color w:val="000000"/>
          <w:lang w:eastAsia="en-AU"/>
        </w:rPr>
      </w:pPr>
      <w:r>
        <w:rPr>
          <w:rFonts w:ascii="Arial" w:hAnsi="Arial" w:cs="Arial"/>
          <w:color w:val="000000"/>
          <w:lang w:eastAsia="en-AU"/>
        </w:rPr>
        <w:t>Governments instead decided to freeze revenue from heavy vehicle charges, and further decided that the NTC should ‘explore options to advance the methodology to better balance heavy vehicle charges and government revenues.’</w:t>
      </w:r>
      <w:r>
        <w:rPr>
          <w:rStyle w:val="FootnoteReference"/>
          <w:rFonts w:ascii="Arial" w:hAnsi="Arial"/>
          <w:color w:val="000000"/>
          <w:lang w:eastAsia="en-AU"/>
        </w:rPr>
        <w:footnoteReference w:id="2"/>
      </w:r>
    </w:p>
    <w:p w:rsidR="00F55075" w:rsidRDefault="00F55075" w:rsidP="00F55075">
      <w:pPr>
        <w:rPr>
          <w:rFonts w:ascii="Arial" w:eastAsiaTheme="minorHAnsi" w:hAnsi="Arial" w:cs="Arial"/>
        </w:rPr>
      </w:pPr>
    </w:p>
    <w:p w:rsidR="00F55075" w:rsidRDefault="00F55075" w:rsidP="00F55075">
      <w:pPr>
        <w:rPr>
          <w:rFonts w:ascii="Arial" w:eastAsiaTheme="minorHAnsi" w:hAnsi="Arial" w:cs="Arial"/>
        </w:rPr>
      </w:pPr>
      <w:r>
        <w:rPr>
          <w:rFonts w:ascii="Arial" w:eastAsiaTheme="minorHAnsi" w:hAnsi="Arial" w:cs="Arial"/>
        </w:rPr>
        <w:t>In this review, the trucking industry’s preferred option is that government</w:t>
      </w:r>
      <w:r w:rsidR="001A7D3D">
        <w:rPr>
          <w:rFonts w:ascii="Arial" w:eastAsiaTheme="minorHAnsi" w:hAnsi="Arial" w:cs="Arial"/>
        </w:rPr>
        <w:t>s</w:t>
      </w:r>
      <w:r>
        <w:rPr>
          <w:rFonts w:ascii="Arial" w:eastAsiaTheme="minorHAnsi" w:hAnsi="Arial" w:cs="Arial"/>
        </w:rPr>
        <w:t xml:space="preserve"> should reconsider their objections to t</w:t>
      </w:r>
      <w:r w:rsidR="001A7D3D">
        <w:rPr>
          <w:rFonts w:ascii="Arial" w:eastAsiaTheme="minorHAnsi" w:hAnsi="Arial" w:cs="Arial"/>
        </w:rPr>
        <w:t>he direct implementation option</w:t>
      </w:r>
      <w:r>
        <w:rPr>
          <w:rFonts w:ascii="Arial" w:eastAsiaTheme="minorHAnsi" w:hAnsi="Arial" w:cs="Arial"/>
        </w:rPr>
        <w:t xml:space="preserve"> and immediately cut the road user charge and registration charges.</w:t>
      </w:r>
      <w:r w:rsidR="006D136F">
        <w:rPr>
          <w:rFonts w:ascii="Arial" w:eastAsiaTheme="minorHAnsi" w:hAnsi="Arial" w:cs="Arial"/>
        </w:rPr>
        <w:t xml:space="preserve"> </w:t>
      </w:r>
      <w:r w:rsidR="006D136F">
        <w:rPr>
          <w:rFonts w:ascii="Arial" w:hAnsi="Arial" w:cs="Arial"/>
          <w:color w:val="000000"/>
          <w:lang w:val="en-US" w:eastAsia="en-AU"/>
        </w:rPr>
        <w:t>T</w:t>
      </w:r>
      <w:r w:rsidR="006D136F" w:rsidRPr="006D136F">
        <w:rPr>
          <w:rFonts w:ascii="Arial" w:hAnsi="Arial" w:cs="Arial"/>
          <w:color w:val="000000"/>
          <w:lang w:val="en-US" w:eastAsia="en-AU"/>
        </w:rPr>
        <w:t xml:space="preserve">he charges </w:t>
      </w:r>
      <w:r w:rsidR="006D136F">
        <w:rPr>
          <w:rFonts w:ascii="Arial" w:hAnsi="Arial" w:cs="Arial"/>
          <w:color w:val="000000"/>
          <w:lang w:val="en-US" w:eastAsia="en-AU"/>
        </w:rPr>
        <w:t xml:space="preserve">system must be </w:t>
      </w:r>
      <w:r w:rsidR="006D136F" w:rsidRPr="006D136F">
        <w:rPr>
          <w:rFonts w:ascii="Arial" w:hAnsi="Arial" w:cs="Arial"/>
          <w:color w:val="000000"/>
          <w:lang w:val="en-US" w:eastAsia="en-AU"/>
        </w:rPr>
        <w:t>an appropriate cost-recovery mechanism</w:t>
      </w:r>
      <w:r w:rsidR="006D136F">
        <w:rPr>
          <w:rFonts w:ascii="Arial" w:hAnsi="Arial" w:cs="Arial"/>
          <w:color w:val="000000"/>
          <w:lang w:val="en-US" w:eastAsia="en-AU"/>
        </w:rPr>
        <w:t>,</w:t>
      </w:r>
      <w:r w:rsidR="006D136F" w:rsidRPr="006D136F">
        <w:rPr>
          <w:rFonts w:ascii="Arial" w:hAnsi="Arial" w:cs="Arial"/>
          <w:color w:val="000000"/>
          <w:lang w:val="en-US" w:eastAsia="en-AU"/>
        </w:rPr>
        <w:t xml:space="preserve"> </w:t>
      </w:r>
      <w:r w:rsidR="006D136F">
        <w:rPr>
          <w:rFonts w:ascii="Arial" w:hAnsi="Arial" w:cs="Arial"/>
          <w:color w:val="000000"/>
          <w:lang w:val="en-US" w:eastAsia="en-AU"/>
        </w:rPr>
        <w:t xml:space="preserve">not </w:t>
      </w:r>
      <w:r w:rsidR="006D136F" w:rsidRPr="006D136F">
        <w:rPr>
          <w:rFonts w:ascii="Arial" w:hAnsi="Arial" w:cs="Arial"/>
          <w:color w:val="000000"/>
          <w:lang w:val="en-US" w:eastAsia="en-AU"/>
        </w:rPr>
        <w:t>a general taxation regime.</w:t>
      </w:r>
    </w:p>
    <w:p w:rsidR="00F55075" w:rsidRDefault="00F55075" w:rsidP="00F55075">
      <w:pPr>
        <w:rPr>
          <w:rFonts w:ascii="Arial" w:eastAsiaTheme="minorHAnsi" w:hAnsi="Arial" w:cs="Arial"/>
        </w:rPr>
      </w:pPr>
    </w:p>
    <w:p w:rsidR="00F55075" w:rsidRDefault="00F55075" w:rsidP="00F55075">
      <w:pPr>
        <w:rPr>
          <w:rFonts w:ascii="Arial" w:eastAsiaTheme="minorHAnsi" w:hAnsi="Arial" w:cs="Arial"/>
        </w:rPr>
      </w:pPr>
      <w:r>
        <w:rPr>
          <w:rFonts w:ascii="Arial" w:eastAsiaTheme="minorHAnsi" w:hAnsi="Arial" w:cs="Arial"/>
        </w:rPr>
        <w:t>The other recommendations in this submission should be viewed in this light.</w:t>
      </w:r>
    </w:p>
    <w:p w:rsidR="00F55075" w:rsidRDefault="00F55075" w:rsidP="00F55075">
      <w:pPr>
        <w:rPr>
          <w:rFonts w:ascii="Arial" w:eastAsiaTheme="minorHAnsi" w:hAnsi="Arial" w:cs="Arial"/>
        </w:rPr>
      </w:pPr>
    </w:p>
    <w:p w:rsidR="00F55075" w:rsidRDefault="00F55075" w:rsidP="00F55075">
      <w:pPr>
        <w:rPr>
          <w:rFonts w:ascii="Arial" w:eastAsiaTheme="minorHAnsi" w:hAnsi="Arial" w:cs="Arial"/>
        </w:rPr>
      </w:pPr>
    </w:p>
    <w:p w:rsidR="00F55075" w:rsidRDefault="00F55075" w:rsidP="00033C3F">
      <w:pPr>
        <w:keepNext/>
        <w:rPr>
          <w:rFonts w:ascii="Arial" w:eastAsiaTheme="minorHAnsi" w:hAnsi="Arial" w:cs="Arial"/>
          <w:b/>
        </w:rPr>
      </w:pPr>
      <w:r w:rsidRPr="00F55075">
        <w:rPr>
          <w:rFonts w:ascii="Arial" w:eastAsiaTheme="minorHAnsi" w:hAnsi="Arial" w:cs="Arial"/>
          <w:b/>
        </w:rPr>
        <w:t>Recommendation 1</w:t>
      </w:r>
    </w:p>
    <w:p w:rsidR="00F55075" w:rsidRDefault="00F55075" w:rsidP="00033C3F">
      <w:pPr>
        <w:keepNext/>
        <w:rPr>
          <w:rFonts w:ascii="Arial" w:eastAsiaTheme="minorHAnsi" w:hAnsi="Arial" w:cs="Arial"/>
          <w:b/>
        </w:rPr>
      </w:pPr>
    </w:p>
    <w:p w:rsidR="00F55075" w:rsidRPr="00F55075" w:rsidRDefault="00F55075" w:rsidP="00033C3F">
      <w:pPr>
        <w:keepNext/>
        <w:rPr>
          <w:rFonts w:ascii="Arial" w:eastAsiaTheme="minorHAnsi" w:hAnsi="Arial" w:cs="Arial"/>
          <w:b/>
        </w:rPr>
      </w:pPr>
      <w:r>
        <w:rPr>
          <w:rFonts w:ascii="Arial" w:eastAsiaTheme="minorHAnsi" w:hAnsi="Arial" w:cs="Arial"/>
          <w:b/>
        </w:rPr>
        <w:t>Governments should reconsider their objections to t</w:t>
      </w:r>
      <w:r w:rsidR="001A7D3D">
        <w:rPr>
          <w:rFonts w:ascii="Arial" w:eastAsiaTheme="minorHAnsi" w:hAnsi="Arial" w:cs="Arial"/>
          <w:b/>
        </w:rPr>
        <w:t>he direct implementation option</w:t>
      </w:r>
      <w:r>
        <w:rPr>
          <w:rFonts w:ascii="Arial" w:eastAsiaTheme="minorHAnsi" w:hAnsi="Arial" w:cs="Arial"/>
          <w:b/>
        </w:rPr>
        <w:t xml:space="preserve"> and immediately cut the road user charge and registration charges.</w:t>
      </w:r>
    </w:p>
    <w:p w:rsidR="00242D21" w:rsidRDefault="00242D21">
      <w:pPr>
        <w:rPr>
          <w:rFonts w:ascii="Arial" w:eastAsiaTheme="minorHAnsi" w:hAnsi="Arial" w:cs="Arial"/>
        </w:rPr>
      </w:pPr>
    </w:p>
    <w:p w:rsidR="00033C3F" w:rsidRDefault="00033C3F">
      <w:pPr>
        <w:rPr>
          <w:rFonts w:ascii="Arial" w:eastAsiaTheme="minorHAnsi" w:hAnsi="Arial" w:cs="Arial"/>
        </w:rPr>
      </w:pPr>
    </w:p>
    <w:p w:rsidR="00706722" w:rsidRPr="00223D83" w:rsidRDefault="005028C0" w:rsidP="00223D83">
      <w:pPr>
        <w:pStyle w:val="Heading1"/>
        <w:rPr>
          <w:sz w:val="24"/>
          <w:szCs w:val="24"/>
        </w:rPr>
      </w:pPr>
      <w:bookmarkStart w:id="5" w:name="_Toc457400398"/>
      <w:r w:rsidRPr="00223D83">
        <w:rPr>
          <w:sz w:val="24"/>
          <w:szCs w:val="24"/>
        </w:rPr>
        <w:t>Problem definition</w:t>
      </w:r>
      <w:bookmarkEnd w:id="5"/>
    </w:p>
    <w:p w:rsidR="0009785A" w:rsidRDefault="0009785A" w:rsidP="0009785A">
      <w:pPr>
        <w:pStyle w:val="NoSpacing"/>
        <w:rPr>
          <w:rFonts w:ascii="Arial" w:hAnsi="Arial" w:cs="Arial"/>
          <w:color w:val="auto"/>
          <w:sz w:val="22"/>
          <w:szCs w:val="22"/>
        </w:rPr>
      </w:pPr>
    </w:p>
    <w:p w:rsidR="00B2703E" w:rsidRDefault="003D495C" w:rsidP="007C19F7">
      <w:pPr>
        <w:rPr>
          <w:rFonts w:ascii="Arial" w:hAnsi="Arial" w:cs="Arial"/>
          <w:szCs w:val="24"/>
          <w:lang w:eastAsia="en-AU"/>
        </w:rPr>
      </w:pPr>
      <w:r>
        <w:rPr>
          <w:rFonts w:ascii="Arial" w:hAnsi="Arial" w:cs="Arial"/>
          <w:szCs w:val="24"/>
          <w:lang w:eastAsia="en-AU"/>
        </w:rPr>
        <w:t xml:space="preserve">The </w:t>
      </w:r>
      <w:r w:rsidR="00B2703E">
        <w:rPr>
          <w:rFonts w:ascii="Arial" w:hAnsi="Arial" w:cs="Arial"/>
          <w:szCs w:val="24"/>
          <w:lang w:eastAsia="en-AU"/>
        </w:rPr>
        <w:t>discussion paper argues that the current PAYGO system has five inherent limitations:</w:t>
      </w:r>
    </w:p>
    <w:p w:rsidR="00B2703E" w:rsidRDefault="00B2703E" w:rsidP="00B2703E">
      <w:pPr>
        <w:rPr>
          <w:rFonts w:ascii="Arial" w:hAnsi="Arial" w:cs="Arial"/>
          <w:szCs w:val="24"/>
          <w:lang w:eastAsia="en-AU"/>
        </w:rPr>
      </w:pPr>
    </w:p>
    <w:p w:rsidR="00B2703E" w:rsidRPr="00B2703E" w:rsidRDefault="00B2703E" w:rsidP="00B2703E">
      <w:pPr>
        <w:pStyle w:val="ListParagraph"/>
        <w:numPr>
          <w:ilvl w:val="0"/>
          <w:numId w:val="30"/>
        </w:numPr>
        <w:spacing w:after="0" w:line="240" w:lineRule="auto"/>
        <w:rPr>
          <w:rFonts w:ascii="Arial" w:hAnsi="Arial" w:cs="Arial"/>
          <w:szCs w:val="24"/>
          <w:lang w:eastAsia="en-AU"/>
        </w:rPr>
      </w:pPr>
      <w:r w:rsidRPr="00B2703E">
        <w:rPr>
          <w:rFonts w:ascii="Arial" w:hAnsi="Arial" w:cs="Arial"/>
          <w:szCs w:val="24"/>
          <w:lang w:eastAsia="en-AU"/>
        </w:rPr>
        <w:t>Volatility in the cost base and heavy vehicle charges and, concurrently, persistent mismatches in any given year between actual revenue and the cost base</w:t>
      </w:r>
    </w:p>
    <w:p w:rsidR="00B2703E" w:rsidRPr="00B2703E" w:rsidRDefault="00B2703E" w:rsidP="00B2703E">
      <w:pPr>
        <w:pStyle w:val="ListParagraph"/>
        <w:numPr>
          <w:ilvl w:val="0"/>
          <w:numId w:val="30"/>
        </w:numPr>
        <w:spacing w:after="0" w:line="240" w:lineRule="auto"/>
        <w:rPr>
          <w:rFonts w:ascii="Arial" w:hAnsi="Arial" w:cs="Arial"/>
          <w:szCs w:val="24"/>
          <w:lang w:eastAsia="en-AU"/>
        </w:rPr>
      </w:pPr>
      <w:r w:rsidRPr="00B2703E">
        <w:rPr>
          <w:rFonts w:ascii="Arial" w:hAnsi="Arial" w:cs="Arial"/>
          <w:szCs w:val="24"/>
          <w:lang w:eastAsia="en-AU"/>
        </w:rPr>
        <w:t>Revenue uncertainty for governments and no direct link between expenditure and revenue</w:t>
      </w:r>
    </w:p>
    <w:p w:rsidR="00B2703E" w:rsidRPr="00B2703E" w:rsidRDefault="00B2703E" w:rsidP="00B2703E">
      <w:pPr>
        <w:pStyle w:val="ListParagraph"/>
        <w:numPr>
          <w:ilvl w:val="0"/>
          <w:numId w:val="30"/>
        </w:numPr>
        <w:spacing w:after="0" w:line="240" w:lineRule="auto"/>
        <w:rPr>
          <w:rFonts w:ascii="Arial" w:hAnsi="Arial" w:cs="Arial"/>
          <w:szCs w:val="24"/>
          <w:lang w:eastAsia="en-AU"/>
        </w:rPr>
      </w:pPr>
      <w:r w:rsidRPr="00B2703E">
        <w:rPr>
          <w:rFonts w:ascii="Arial" w:hAnsi="Arial" w:cs="Arial"/>
          <w:szCs w:val="24"/>
          <w:lang w:eastAsia="en-AU"/>
        </w:rPr>
        <w:t>Lack of predictability and stability</w:t>
      </w:r>
    </w:p>
    <w:p w:rsidR="00B2703E" w:rsidRPr="00B2703E" w:rsidRDefault="00B2703E" w:rsidP="00B2703E">
      <w:pPr>
        <w:pStyle w:val="ListParagraph"/>
        <w:numPr>
          <w:ilvl w:val="0"/>
          <w:numId w:val="30"/>
        </w:numPr>
        <w:spacing w:after="0" w:line="240" w:lineRule="auto"/>
        <w:rPr>
          <w:rFonts w:ascii="Arial" w:hAnsi="Arial" w:cs="Arial"/>
          <w:szCs w:val="24"/>
          <w:lang w:eastAsia="en-AU"/>
        </w:rPr>
      </w:pPr>
      <w:r w:rsidRPr="00B2703E">
        <w:rPr>
          <w:rFonts w:ascii="Arial" w:hAnsi="Arial" w:cs="Arial"/>
          <w:szCs w:val="24"/>
          <w:lang w:eastAsia="en-AU"/>
        </w:rPr>
        <w:t>Lack of transparency</w:t>
      </w:r>
    </w:p>
    <w:p w:rsidR="00B2703E" w:rsidRPr="00B2703E" w:rsidRDefault="00B2703E" w:rsidP="00B2703E">
      <w:pPr>
        <w:pStyle w:val="ListParagraph"/>
        <w:numPr>
          <w:ilvl w:val="0"/>
          <w:numId w:val="30"/>
        </w:numPr>
        <w:spacing w:after="0" w:line="240" w:lineRule="auto"/>
        <w:rPr>
          <w:rFonts w:ascii="Arial" w:hAnsi="Arial" w:cs="Arial"/>
          <w:szCs w:val="24"/>
          <w:lang w:eastAsia="en-AU"/>
        </w:rPr>
      </w:pPr>
      <w:r w:rsidRPr="00B2703E">
        <w:rPr>
          <w:rFonts w:ascii="Arial" w:hAnsi="Arial" w:cs="Arial"/>
          <w:szCs w:val="24"/>
          <w:lang w:eastAsia="en-AU"/>
        </w:rPr>
        <w:t>The charge setting process</w:t>
      </w:r>
      <w:r>
        <w:rPr>
          <w:rFonts w:ascii="Arial" w:hAnsi="Arial" w:cs="Arial"/>
          <w:szCs w:val="24"/>
          <w:lang w:eastAsia="en-AU"/>
        </w:rPr>
        <w:t>.</w:t>
      </w:r>
      <w:r>
        <w:rPr>
          <w:rStyle w:val="FootnoteReference"/>
          <w:rFonts w:ascii="Arial" w:hAnsi="Arial"/>
          <w:szCs w:val="24"/>
          <w:lang w:eastAsia="en-AU"/>
        </w:rPr>
        <w:footnoteReference w:id="3"/>
      </w:r>
    </w:p>
    <w:p w:rsidR="00B2703E" w:rsidRDefault="00B2703E" w:rsidP="007C19F7">
      <w:pPr>
        <w:rPr>
          <w:rFonts w:ascii="Arial" w:hAnsi="Arial" w:cs="Arial"/>
          <w:szCs w:val="24"/>
          <w:lang w:eastAsia="en-AU"/>
        </w:rPr>
      </w:pPr>
    </w:p>
    <w:p w:rsidR="003F5267" w:rsidRDefault="003F5267" w:rsidP="007C19F7">
      <w:pPr>
        <w:rPr>
          <w:rFonts w:ascii="Arial" w:hAnsi="Arial" w:cs="Arial"/>
          <w:szCs w:val="24"/>
          <w:lang w:eastAsia="en-AU"/>
        </w:rPr>
      </w:pPr>
      <w:r>
        <w:rPr>
          <w:rFonts w:ascii="Arial" w:hAnsi="Arial" w:cs="Arial"/>
          <w:szCs w:val="24"/>
          <w:lang w:eastAsia="en-AU"/>
        </w:rPr>
        <w:t>T</w:t>
      </w:r>
      <w:r w:rsidR="00057204">
        <w:rPr>
          <w:rFonts w:ascii="Arial" w:hAnsi="Arial" w:cs="Arial"/>
          <w:szCs w:val="24"/>
          <w:lang w:eastAsia="en-AU"/>
        </w:rPr>
        <w:t>he</w:t>
      </w:r>
      <w:r w:rsidR="00FE222C">
        <w:rPr>
          <w:rFonts w:ascii="Arial" w:hAnsi="Arial" w:cs="Arial"/>
          <w:szCs w:val="24"/>
          <w:lang w:eastAsia="en-AU"/>
        </w:rPr>
        <w:t xml:space="preserve">se are </w:t>
      </w:r>
      <w:r>
        <w:rPr>
          <w:rFonts w:ascii="Arial" w:hAnsi="Arial" w:cs="Arial"/>
          <w:szCs w:val="24"/>
          <w:lang w:eastAsia="en-AU"/>
        </w:rPr>
        <w:t xml:space="preserve">all important issues. </w:t>
      </w:r>
    </w:p>
    <w:p w:rsidR="003F5267" w:rsidRDefault="003F5267" w:rsidP="007C19F7">
      <w:pPr>
        <w:rPr>
          <w:rFonts w:ascii="Arial" w:hAnsi="Arial" w:cs="Arial"/>
          <w:szCs w:val="24"/>
          <w:lang w:eastAsia="en-AU"/>
        </w:rPr>
      </w:pPr>
    </w:p>
    <w:p w:rsidR="0078248B" w:rsidRDefault="003F5267" w:rsidP="007C19F7">
      <w:pPr>
        <w:rPr>
          <w:rFonts w:ascii="Arial" w:hAnsi="Arial" w:cs="Arial"/>
          <w:szCs w:val="24"/>
          <w:lang w:eastAsia="en-AU"/>
        </w:rPr>
      </w:pPr>
      <w:r w:rsidRPr="0078248B">
        <w:rPr>
          <w:rFonts w:ascii="Arial" w:hAnsi="Arial" w:cs="Arial"/>
          <w:szCs w:val="24"/>
          <w:lang w:eastAsia="en-AU"/>
        </w:rPr>
        <w:t xml:space="preserve">The ATA has additional, industry-focused concerns </w:t>
      </w:r>
      <w:r w:rsidR="00FE222C" w:rsidRPr="0078248B">
        <w:rPr>
          <w:rFonts w:ascii="Arial" w:hAnsi="Arial" w:cs="Arial"/>
          <w:szCs w:val="24"/>
          <w:lang w:eastAsia="en-AU"/>
        </w:rPr>
        <w:t xml:space="preserve">about </w:t>
      </w:r>
      <w:r w:rsidRPr="0078248B">
        <w:rPr>
          <w:rFonts w:ascii="Arial" w:hAnsi="Arial" w:cs="Arial"/>
          <w:szCs w:val="24"/>
          <w:lang w:eastAsia="en-AU"/>
        </w:rPr>
        <w:t xml:space="preserve">the </w:t>
      </w:r>
      <w:r w:rsidR="001A7D3D">
        <w:rPr>
          <w:rFonts w:ascii="Arial" w:hAnsi="Arial" w:cs="Arial"/>
          <w:szCs w:val="24"/>
          <w:lang w:eastAsia="en-AU"/>
        </w:rPr>
        <w:t>current mismatch</w:t>
      </w:r>
      <w:r w:rsidRPr="0078248B">
        <w:rPr>
          <w:rFonts w:ascii="Arial" w:hAnsi="Arial" w:cs="Arial"/>
          <w:szCs w:val="24"/>
          <w:lang w:eastAsia="en-AU"/>
        </w:rPr>
        <w:t xml:space="preserve"> between actual revenue and the cost base, and the lack of predictability and stability. </w:t>
      </w:r>
    </w:p>
    <w:p w:rsidR="0078248B" w:rsidRDefault="0078248B" w:rsidP="007C19F7">
      <w:pPr>
        <w:rPr>
          <w:rFonts w:ascii="Arial" w:hAnsi="Arial" w:cs="Arial"/>
          <w:szCs w:val="24"/>
          <w:lang w:eastAsia="en-AU"/>
        </w:rPr>
      </w:pPr>
    </w:p>
    <w:p w:rsidR="003D495C" w:rsidRPr="0078248B" w:rsidRDefault="00270DAD" w:rsidP="007C19F7">
      <w:pPr>
        <w:rPr>
          <w:rFonts w:ascii="Arial" w:hAnsi="Arial" w:cs="Arial"/>
          <w:szCs w:val="24"/>
          <w:lang w:eastAsia="en-AU"/>
        </w:rPr>
      </w:pPr>
      <w:r>
        <w:rPr>
          <w:rFonts w:ascii="Arial" w:hAnsi="Arial" w:cs="Arial"/>
          <w:szCs w:val="24"/>
          <w:lang w:eastAsia="en-AU"/>
        </w:rPr>
        <w:t xml:space="preserve">This submission </w:t>
      </w:r>
      <w:r w:rsidR="00895E1C">
        <w:rPr>
          <w:rFonts w:ascii="Arial" w:hAnsi="Arial" w:cs="Arial"/>
          <w:szCs w:val="24"/>
          <w:lang w:eastAsia="en-AU"/>
        </w:rPr>
        <w:t xml:space="preserve">also </w:t>
      </w:r>
      <w:r>
        <w:rPr>
          <w:rFonts w:ascii="Arial" w:hAnsi="Arial" w:cs="Arial"/>
          <w:szCs w:val="24"/>
          <w:lang w:eastAsia="en-AU"/>
        </w:rPr>
        <w:t>identifies a</w:t>
      </w:r>
      <w:r w:rsidR="00770025">
        <w:rPr>
          <w:rFonts w:ascii="Arial" w:hAnsi="Arial" w:cs="Arial"/>
          <w:szCs w:val="24"/>
          <w:lang w:eastAsia="en-AU"/>
        </w:rPr>
        <w:t xml:space="preserve"> further problem with the charging system: its implications for </w:t>
      </w:r>
      <w:r w:rsidR="003F5267" w:rsidRPr="0078248B">
        <w:rPr>
          <w:rFonts w:ascii="Arial" w:hAnsi="Arial" w:cs="Arial"/>
          <w:szCs w:val="24"/>
          <w:lang w:eastAsia="en-AU"/>
        </w:rPr>
        <w:t>cashflow and compliance costs</w:t>
      </w:r>
      <w:r w:rsidR="00770025">
        <w:rPr>
          <w:rFonts w:ascii="Arial" w:hAnsi="Arial" w:cs="Arial"/>
          <w:szCs w:val="24"/>
          <w:lang w:eastAsia="en-AU"/>
        </w:rPr>
        <w:t>.</w:t>
      </w:r>
    </w:p>
    <w:p w:rsidR="00B2703E" w:rsidRDefault="00B2703E" w:rsidP="007C19F7">
      <w:pPr>
        <w:rPr>
          <w:rFonts w:ascii="Arial" w:hAnsi="Arial" w:cs="Arial"/>
          <w:szCs w:val="24"/>
          <w:lang w:eastAsia="en-AU"/>
        </w:rPr>
      </w:pPr>
    </w:p>
    <w:p w:rsidR="003F5267" w:rsidRDefault="003F5267" w:rsidP="007C19F7">
      <w:pPr>
        <w:rPr>
          <w:rFonts w:ascii="Arial" w:hAnsi="Arial" w:cs="Arial"/>
          <w:szCs w:val="24"/>
          <w:lang w:eastAsia="en-AU"/>
        </w:rPr>
      </w:pPr>
    </w:p>
    <w:p w:rsidR="00787884" w:rsidRPr="00B2703E" w:rsidRDefault="00662B09" w:rsidP="00A31C93">
      <w:pPr>
        <w:pStyle w:val="Heading2"/>
      </w:pPr>
      <w:bookmarkStart w:id="6" w:name="_Toc457400399"/>
      <w:r>
        <w:t xml:space="preserve">The </w:t>
      </w:r>
      <w:r w:rsidR="003F5267">
        <w:t>mismatch between actual revenue and the cost base</w:t>
      </w:r>
      <w:bookmarkEnd w:id="6"/>
    </w:p>
    <w:p w:rsidR="00B2703E" w:rsidRDefault="00B2703E" w:rsidP="007C19F7">
      <w:pPr>
        <w:rPr>
          <w:rFonts w:ascii="Arial" w:hAnsi="Arial" w:cs="Arial"/>
          <w:szCs w:val="24"/>
          <w:lang w:eastAsia="en-AU"/>
        </w:rPr>
      </w:pPr>
    </w:p>
    <w:p w:rsidR="00044118" w:rsidRDefault="00044118" w:rsidP="007C19F7">
      <w:pPr>
        <w:rPr>
          <w:rFonts w:ascii="Arial" w:hAnsi="Arial" w:cs="Arial"/>
          <w:szCs w:val="24"/>
          <w:lang w:eastAsia="en-AU"/>
        </w:rPr>
      </w:pPr>
      <w:r>
        <w:rPr>
          <w:rFonts w:ascii="Arial" w:hAnsi="Arial" w:cs="Arial"/>
          <w:szCs w:val="24"/>
          <w:lang w:eastAsia="en-AU"/>
        </w:rPr>
        <w:t>Figure 6 in the discussion paper confirms that heavy vehicle related revenue has exceeded expenditure since the 2012 annual adjustment.</w:t>
      </w:r>
      <w:r>
        <w:rPr>
          <w:rStyle w:val="FootnoteReference"/>
          <w:rFonts w:ascii="Arial" w:hAnsi="Arial"/>
          <w:szCs w:val="24"/>
          <w:lang w:eastAsia="en-AU"/>
        </w:rPr>
        <w:footnoteReference w:id="4"/>
      </w:r>
    </w:p>
    <w:p w:rsidR="00044118" w:rsidRDefault="00044118" w:rsidP="007C19F7">
      <w:pPr>
        <w:rPr>
          <w:rFonts w:ascii="Arial" w:hAnsi="Arial" w:cs="Arial"/>
          <w:szCs w:val="24"/>
          <w:lang w:eastAsia="en-AU"/>
        </w:rPr>
      </w:pPr>
    </w:p>
    <w:p w:rsidR="00044118" w:rsidRDefault="00044118" w:rsidP="00044118">
      <w:pPr>
        <w:rPr>
          <w:rFonts w:ascii="Arial" w:hAnsi="Arial" w:cs="Arial"/>
        </w:rPr>
      </w:pPr>
      <w:r>
        <w:rPr>
          <w:rFonts w:ascii="Arial" w:hAnsi="Arial" w:cs="Arial"/>
          <w:lang w:eastAsia="en-AU"/>
        </w:rPr>
        <w:t xml:space="preserve">The November 2015 decision by governments to freeze </w:t>
      </w:r>
      <w:r w:rsidRPr="007C19F7">
        <w:rPr>
          <w:rFonts w:ascii="Arial" w:hAnsi="Arial" w:cs="Arial"/>
        </w:rPr>
        <w:t>the revenue from the road user charge and heavy vehicle registration charges at 2015-16 levels for two yea</w:t>
      </w:r>
      <w:r>
        <w:rPr>
          <w:rFonts w:ascii="Arial" w:hAnsi="Arial" w:cs="Arial"/>
        </w:rPr>
        <w:t xml:space="preserve">rs has continued the overcharging. </w:t>
      </w:r>
    </w:p>
    <w:p w:rsidR="00044118" w:rsidRPr="007C19F7" w:rsidRDefault="00044118" w:rsidP="00044118">
      <w:pPr>
        <w:pStyle w:val="NoSpacing"/>
        <w:rPr>
          <w:rFonts w:ascii="Arial" w:hAnsi="Arial" w:cs="Arial"/>
          <w:color w:val="auto"/>
          <w:sz w:val="22"/>
          <w:szCs w:val="22"/>
        </w:rPr>
      </w:pPr>
    </w:p>
    <w:p w:rsidR="00044118" w:rsidRDefault="00044118" w:rsidP="00044118">
      <w:pPr>
        <w:rPr>
          <w:rFonts w:ascii="Arial" w:hAnsi="Arial" w:cs="Arial"/>
          <w:szCs w:val="24"/>
          <w:lang w:eastAsia="en-AU"/>
        </w:rPr>
      </w:pPr>
      <w:r w:rsidRPr="0039737E">
        <w:rPr>
          <w:rFonts w:ascii="Arial" w:hAnsi="Arial" w:cs="Arial"/>
          <w:szCs w:val="24"/>
          <w:lang w:eastAsia="en-AU"/>
        </w:rPr>
        <w:t xml:space="preserve">Based on NTC figures, </w:t>
      </w:r>
      <w:r>
        <w:rPr>
          <w:rFonts w:ascii="Arial" w:hAnsi="Arial" w:cs="Arial"/>
          <w:szCs w:val="24"/>
          <w:lang w:eastAsia="en-AU"/>
        </w:rPr>
        <w:t>the governments’ decision</w:t>
      </w:r>
      <w:r w:rsidRPr="0039737E">
        <w:rPr>
          <w:rFonts w:ascii="Arial" w:hAnsi="Arial" w:cs="Arial"/>
          <w:szCs w:val="24"/>
          <w:lang w:eastAsia="en-AU"/>
        </w:rPr>
        <w:t xml:space="preserve"> will overcharge truck and bus operators $250.2 million in 2016-17 and $264.8 million in 2017-18 </w:t>
      </w:r>
      <w:r w:rsidRPr="00617C9D">
        <w:rPr>
          <w:rFonts w:ascii="Arial" w:hAnsi="Arial" w:cs="Arial"/>
          <w:szCs w:val="24"/>
          <w:lang w:eastAsia="en-AU"/>
        </w:rPr>
        <w:t>– $515</w:t>
      </w:r>
      <w:r>
        <w:rPr>
          <w:rFonts w:ascii="Arial" w:hAnsi="Arial" w:cs="Arial"/>
          <w:szCs w:val="24"/>
          <w:lang w:eastAsia="en-AU"/>
        </w:rPr>
        <w:t>.0</w:t>
      </w:r>
      <w:r w:rsidRPr="00617C9D">
        <w:rPr>
          <w:rFonts w:ascii="Arial" w:hAnsi="Arial" w:cs="Arial"/>
          <w:szCs w:val="24"/>
          <w:lang w:eastAsia="en-AU"/>
        </w:rPr>
        <w:t xml:space="preserve"> million in all</w:t>
      </w:r>
      <w:r w:rsidRPr="0039737E">
        <w:rPr>
          <w:rFonts w:ascii="Arial" w:hAnsi="Arial" w:cs="Arial"/>
          <w:szCs w:val="24"/>
          <w:lang w:eastAsia="en-AU"/>
        </w:rPr>
        <w:t xml:space="preserve">. </w:t>
      </w:r>
      <w:r>
        <w:rPr>
          <w:rFonts w:ascii="Arial" w:hAnsi="Arial" w:cs="Arial"/>
          <w:szCs w:val="24"/>
          <w:lang w:eastAsia="en-AU"/>
        </w:rPr>
        <w:t>Table 1 summarises how these figures are calculated:</w:t>
      </w:r>
    </w:p>
    <w:p w:rsidR="00044118" w:rsidRDefault="00044118" w:rsidP="00044118">
      <w:pPr>
        <w:rPr>
          <w:rFonts w:ascii="Arial" w:hAnsi="Arial" w:cs="Arial"/>
          <w:szCs w:val="24"/>
          <w:lang w:eastAsia="en-AU"/>
        </w:rPr>
      </w:pPr>
    </w:p>
    <w:p w:rsidR="00044118" w:rsidRDefault="00044118" w:rsidP="00044118">
      <w:pPr>
        <w:rPr>
          <w:rFonts w:ascii="Arial" w:hAnsi="Arial" w:cs="Arial"/>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2395"/>
        <w:gridCol w:w="2396"/>
        <w:gridCol w:w="2100"/>
      </w:tblGrid>
      <w:tr w:rsidR="00044118" w:rsidTr="00C148D7">
        <w:tc>
          <w:tcPr>
            <w:tcW w:w="9498" w:type="dxa"/>
            <w:gridSpan w:val="4"/>
            <w:tcBorders>
              <w:bottom w:val="single" w:sz="4" w:space="0" w:color="auto"/>
            </w:tcBorders>
          </w:tcPr>
          <w:p w:rsidR="00044118" w:rsidRPr="00222A5F" w:rsidRDefault="00044118" w:rsidP="00C148D7">
            <w:pPr>
              <w:rPr>
                <w:rFonts w:ascii="Arial" w:hAnsi="Arial" w:cs="Arial"/>
                <w:b/>
                <w:sz w:val="20"/>
                <w:szCs w:val="20"/>
              </w:rPr>
            </w:pPr>
            <w:r>
              <w:rPr>
                <w:rFonts w:ascii="Arial" w:hAnsi="Arial" w:cs="Arial"/>
                <w:b/>
                <w:sz w:val="20"/>
                <w:szCs w:val="20"/>
              </w:rPr>
              <w:t>Table 1: B</w:t>
            </w:r>
            <w:r w:rsidRPr="00222A5F">
              <w:rPr>
                <w:rFonts w:ascii="Arial" w:hAnsi="Arial" w:cs="Arial"/>
                <w:b/>
                <w:sz w:val="20"/>
                <w:szCs w:val="20"/>
              </w:rPr>
              <w:t>reakdown of overcharging, 2016-17 and 2017-18</w:t>
            </w:r>
          </w:p>
        </w:tc>
      </w:tr>
      <w:tr w:rsidR="00044118" w:rsidTr="00C148D7">
        <w:tc>
          <w:tcPr>
            <w:tcW w:w="2607" w:type="dxa"/>
            <w:tcBorders>
              <w:top w:val="single" w:sz="4" w:space="0" w:color="auto"/>
              <w:bottom w:val="single" w:sz="4" w:space="0" w:color="auto"/>
            </w:tcBorders>
          </w:tcPr>
          <w:p w:rsidR="00044118" w:rsidRDefault="00044118" w:rsidP="00C148D7">
            <w:pPr>
              <w:rPr>
                <w:rFonts w:ascii="Arial" w:hAnsi="Arial" w:cs="Arial"/>
              </w:rPr>
            </w:pPr>
          </w:p>
        </w:tc>
        <w:tc>
          <w:tcPr>
            <w:tcW w:w="2395" w:type="dxa"/>
            <w:tcBorders>
              <w:top w:val="single" w:sz="4" w:space="0" w:color="auto"/>
              <w:bottom w:val="single" w:sz="4" w:space="0" w:color="auto"/>
            </w:tcBorders>
          </w:tcPr>
          <w:p w:rsidR="00044118" w:rsidRPr="002B3C02" w:rsidRDefault="00044118" w:rsidP="00C148D7">
            <w:pPr>
              <w:jc w:val="right"/>
              <w:rPr>
                <w:rFonts w:ascii="Arial" w:hAnsi="Arial" w:cs="Arial"/>
                <w:sz w:val="20"/>
                <w:szCs w:val="20"/>
              </w:rPr>
            </w:pPr>
            <w:r w:rsidRPr="002B3C02">
              <w:rPr>
                <w:rFonts w:ascii="Arial" w:hAnsi="Arial" w:cs="Arial"/>
                <w:sz w:val="20"/>
                <w:szCs w:val="20"/>
              </w:rPr>
              <w:t>2016-17</w:t>
            </w:r>
          </w:p>
        </w:tc>
        <w:tc>
          <w:tcPr>
            <w:tcW w:w="2396" w:type="dxa"/>
            <w:tcBorders>
              <w:top w:val="single" w:sz="4" w:space="0" w:color="auto"/>
              <w:bottom w:val="single" w:sz="4" w:space="0" w:color="auto"/>
            </w:tcBorders>
          </w:tcPr>
          <w:p w:rsidR="00044118" w:rsidRPr="002B3C02" w:rsidRDefault="00044118" w:rsidP="00C148D7">
            <w:pPr>
              <w:jc w:val="right"/>
              <w:rPr>
                <w:rFonts w:ascii="Arial" w:hAnsi="Arial" w:cs="Arial"/>
                <w:sz w:val="20"/>
                <w:szCs w:val="20"/>
              </w:rPr>
            </w:pPr>
            <w:r w:rsidRPr="002B3C02">
              <w:rPr>
                <w:rFonts w:ascii="Arial" w:hAnsi="Arial" w:cs="Arial"/>
                <w:sz w:val="20"/>
                <w:szCs w:val="20"/>
              </w:rPr>
              <w:t>2017-18</w:t>
            </w:r>
          </w:p>
        </w:tc>
        <w:tc>
          <w:tcPr>
            <w:tcW w:w="2100" w:type="dxa"/>
            <w:tcBorders>
              <w:top w:val="single" w:sz="4" w:space="0" w:color="auto"/>
              <w:bottom w:val="single" w:sz="4" w:space="0" w:color="auto"/>
            </w:tcBorders>
          </w:tcPr>
          <w:p w:rsidR="00044118" w:rsidRPr="002B3C02" w:rsidRDefault="00044118" w:rsidP="00C148D7">
            <w:pPr>
              <w:jc w:val="right"/>
              <w:rPr>
                <w:rFonts w:ascii="Arial" w:hAnsi="Arial" w:cs="Arial"/>
                <w:sz w:val="20"/>
                <w:szCs w:val="20"/>
              </w:rPr>
            </w:pPr>
            <w:r>
              <w:rPr>
                <w:rFonts w:ascii="Arial" w:hAnsi="Arial" w:cs="Arial"/>
                <w:sz w:val="20"/>
                <w:szCs w:val="20"/>
              </w:rPr>
              <w:t>Total</w:t>
            </w:r>
          </w:p>
        </w:tc>
      </w:tr>
      <w:tr w:rsidR="00044118" w:rsidTr="00C148D7">
        <w:tc>
          <w:tcPr>
            <w:tcW w:w="2607" w:type="dxa"/>
            <w:tcBorders>
              <w:top w:val="single" w:sz="4" w:space="0" w:color="auto"/>
            </w:tcBorders>
          </w:tcPr>
          <w:p w:rsidR="00044118" w:rsidRPr="002B3C02" w:rsidRDefault="00044118" w:rsidP="00C148D7">
            <w:pPr>
              <w:rPr>
                <w:rFonts w:ascii="Arial" w:hAnsi="Arial" w:cs="Arial"/>
                <w:sz w:val="20"/>
                <w:szCs w:val="20"/>
              </w:rPr>
            </w:pPr>
            <w:r>
              <w:rPr>
                <w:rFonts w:ascii="Arial" w:hAnsi="Arial" w:cs="Arial"/>
                <w:sz w:val="20"/>
                <w:szCs w:val="20"/>
              </w:rPr>
              <w:t>Registration</w:t>
            </w:r>
            <w:r w:rsidRPr="002B3C02">
              <w:rPr>
                <w:rFonts w:ascii="Arial" w:hAnsi="Arial" w:cs="Arial"/>
                <w:sz w:val="20"/>
                <w:szCs w:val="20"/>
              </w:rPr>
              <w:t xml:space="preserve"> charges</w:t>
            </w:r>
          </w:p>
        </w:tc>
        <w:tc>
          <w:tcPr>
            <w:tcW w:w="2395" w:type="dxa"/>
            <w:tcBorders>
              <w:top w:val="single" w:sz="4" w:space="0" w:color="auto"/>
            </w:tcBorders>
          </w:tcPr>
          <w:p w:rsidR="00044118" w:rsidRPr="002B3C02" w:rsidRDefault="00044118" w:rsidP="00C148D7">
            <w:pPr>
              <w:jc w:val="right"/>
              <w:rPr>
                <w:rFonts w:ascii="Arial" w:hAnsi="Arial" w:cs="Arial"/>
                <w:sz w:val="20"/>
                <w:szCs w:val="20"/>
              </w:rPr>
            </w:pPr>
            <w:r>
              <w:rPr>
                <w:rFonts w:ascii="Arial" w:hAnsi="Arial" w:cs="Arial"/>
                <w:sz w:val="20"/>
                <w:szCs w:val="20"/>
              </w:rPr>
              <w:t>201.2</w:t>
            </w:r>
          </w:p>
        </w:tc>
        <w:tc>
          <w:tcPr>
            <w:tcW w:w="2396" w:type="dxa"/>
            <w:tcBorders>
              <w:top w:val="single" w:sz="4" w:space="0" w:color="auto"/>
            </w:tcBorders>
          </w:tcPr>
          <w:p w:rsidR="00044118" w:rsidRPr="002B3C02" w:rsidRDefault="00044118" w:rsidP="00C148D7">
            <w:pPr>
              <w:jc w:val="right"/>
              <w:rPr>
                <w:rFonts w:ascii="Arial" w:hAnsi="Arial" w:cs="Arial"/>
                <w:sz w:val="20"/>
                <w:szCs w:val="20"/>
              </w:rPr>
            </w:pPr>
            <w:r>
              <w:rPr>
                <w:rFonts w:ascii="Arial" w:hAnsi="Arial" w:cs="Arial"/>
                <w:sz w:val="20"/>
                <w:szCs w:val="20"/>
              </w:rPr>
              <w:t>212.8</w:t>
            </w:r>
          </w:p>
        </w:tc>
        <w:tc>
          <w:tcPr>
            <w:tcW w:w="2100" w:type="dxa"/>
            <w:tcBorders>
              <w:top w:val="single" w:sz="4" w:space="0" w:color="auto"/>
            </w:tcBorders>
          </w:tcPr>
          <w:p w:rsidR="00044118" w:rsidRDefault="00044118" w:rsidP="00C148D7">
            <w:pPr>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=SUM(LEFT) \# "#,##.0" </w:instrText>
            </w:r>
            <w:r>
              <w:rPr>
                <w:rFonts w:ascii="Arial" w:hAnsi="Arial" w:cs="Arial"/>
                <w:sz w:val="20"/>
                <w:szCs w:val="20"/>
              </w:rPr>
              <w:fldChar w:fldCharType="separate"/>
            </w:r>
            <w:r>
              <w:rPr>
                <w:rFonts w:ascii="Arial" w:hAnsi="Arial" w:cs="Arial"/>
                <w:noProof/>
                <w:sz w:val="20"/>
                <w:szCs w:val="20"/>
              </w:rPr>
              <w:t>414.0</w:t>
            </w:r>
            <w:r>
              <w:rPr>
                <w:rFonts w:ascii="Arial" w:hAnsi="Arial" w:cs="Arial"/>
                <w:sz w:val="20"/>
                <w:szCs w:val="20"/>
              </w:rPr>
              <w:fldChar w:fldCharType="end"/>
            </w:r>
          </w:p>
        </w:tc>
      </w:tr>
      <w:tr w:rsidR="00044118" w:rsidTr="00C148D7">
        <w:tc>
          <w:tcPr>
            <w:tcW w:w="2607" w:type="dxa"/>
          </w:tcPr>
          <w:p w:rsidR="00044118" w:rsidRPr="002B3C02" w:rsidRDefault="00044118" w:rsidP="00C148D7">
            <w:pPr>
              <w:rPr>
                <w:rFonts w:ascii="Arial" w:hAnsi="Arial" w:cs="Arial"/>
                <w:sz w:val="20"/>
                <w:szCs w:val="20"/>
              </w:rPr>
            </w:pPr>
            <w:r w:rsidRPr="002B3C02">
              <w:rPr>
                <w:rFonts w:ascii="Arial" w:hAnsi="Arial" w:cs="Arial"/>
                <w:sz w:val="20"/>
                <w:szCs w:val="20"/>
              </w:rPr>
              <w:t>Road user charge</w:t>
            </w:r>
          </w:p>
        </w:tc>
        <w:tc>
          <w:tcPr>
            <w:tcW w:w="2395" w:type="dxa"/>
          </w:tcPr>
          <w:p w:rsidR="00044118" w:rsidRPr="002B3C02" w:rsidRDefault="00044118" w:rsidP="00C148D7">
            <w:pPr>
              <w:jc w:val="right"/>
              <w:rPr>
                <w:rFonts w:ascii="Arial" w:hAnsi="Arial" w:cs="Arial"/>
                <w:sz w:val="20"/>
                <w:szCs w:val="20"/>
              </w:rPr>
            </w:pPr>
            <w:r>
              <w:rPr>
                <w:rFonts w:ascii="Arial" w:hAnsi="Arial" w:cs="Arial"/>
                <w:sz w:val="20"/>
                <w:szCs w:val="20"/>
              </w:rPr>
              <w:t>49.0</w:t>
            </w:r>
          </w:p>
        </w:tc>
        <w:tc>
          <w:tcPr>
            <w:tcW w:w="2396" w:type="dxa"/>
          </w:tcPr>
          <w:p w:rsidR="00044118" w:rsidRPr="002B3C02" w:rsidRDefault="00044118" w:rsidP="00C148D7">
            <w:pPr>
              <w:jc w:val="right"/>
              <w:rPr>
                <w:rFonts w:ascii="Arial" w:hAnsi="Arial" w:cs="Arial"/>
                <w:sz w:val="20"/>
                <w:szCs w:val="20"/>
              </w:rPr>
            </w:pPr>
            <w:r>
              <w:rPr>
                <w:rFonts w:ascii="Arial" w:hAnsi="Arial" w:cs="Arial"/>
                <w:sz w:val="20"/>
                <w:szCs w:val="20"/>
              </w:rPr>
              <w:t>52.1</w:t>
            </w:r>
          </w:p>
        </w:tc>
        <w:tc>
          <w:tcPr>
            <w:tcW w:w="2100" w:type="dxa"/>
          </w:tcPr>
          <w:p w:rsidR="00044118" w:rsidRDefault="00044118" w:rsidP="00C148D7">
            <w:pPr>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=SUM(LEFT) </w:instrText>
            </w:r>
            <w:r>
              <w:rPr>
                <w:rFonts w:ascii="Arial" w:hAnsi="Arial" w:cs="Arial"/>
                <w:sz w:val="20"/>
                <w:szCs w:val="20"/>
              </w:rPr>
              <w:fldChar w:fldCharType="separate"/>
            </w:r>
            <w:r>
              <w:rPr>
                <w:rFonts w:ascii="Arial" w:hAnsi="Arial" w:cs="Arial"/>
                <w:noProof/>
                <w:sz w:val="20"/>
                <w:szCs w:val="20"/>
              </w:rPr>
              <w:t>101.1</w:t>
            </w:r>
            <w:r>
              <w:rPr>
                <w:rFonts w:ascii="Arial" w:hAnsi="Arial" w:cs="Arial"/>
                <w:sz w:val="20"/>
                <w:szCs w:val="20"/>
              </w:rPr>
              <w:fldChar w:fldCharType="end"/>
            </w:r>
          </w:p>
        </w:tc>
      </w:tr>
      <w:tr w:rsidR="00044118" w:rsidTr="00C148D7">
        <w:tc>
          <w:tcPr>
            <w:tcW w:w="2607" w:type="dxa"/>
            <w:tcBorders>
              <w:bottom w:val="single" w:sz="4" w:space="0" w:color="auto"/>
            </w:tcBorders>
          </w:tcPr>
          <w:p w:rsidR="00044118" w:rsidRPr="002B3C02" w:rsidRDefault="00044118" w:rsidP="00C148D7">
            <w:pPr>
              <w:rPr>
                <w:rFonts w:ascii="Arial" w:hAnsi="Arial" w:cs="Arial"/>
                <w:sz w:val="20"/>
                <w:szCs w:val="20"/>
              </w:rPr>
            </w:pPr>
            <w:r>
              <w:rPr>
                <w:rFonts w:ascii="Arial" w:hAnsi="Arial" w:cs="Arial"/>
                <w:sz w:val="20"/>
                <w:szCs w:val="20"/>
              </w:rPr>
              <w:t>Total</w:t>
            </w:r>
          </w:p>
        </w:tc>
        <w:tc>
          <w:tcPr>
            <w:tcW w:w="2395" w:type="dxa"/>
            <w:tcBorders>
              <w:bottom w:val="single" w:sz="4" w:space="0" w:color="auto"/>
            </w:tcBorders>
          </w:tcPr>
          <w:p w:rsidR="00044118" w:rsidRPr="002B3C02" w:rsidRDefault="00044118" w:rsidP="00C148D7">
            <w:pPr>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=SUM(ABOVE) </w:instrText>
            </w:r>
            <w:r>
              <w:rPr>
                <w:rFonts w:ascii="Arial" w:hAnsi="Arial" w:cs="Arial"/>
                <w:sz w:val="20"/>
                <w:szCs w:val="20"/>
              </w:rPr>
              <w:fldChar w:fldCharType="separate"/>
            </w:r>
            <w:r>
              <w:rPr>
                <w:rFonts w:ascii="Arial" w:hAnsi="Arial" w:cs="Arial"/>
                <w:noProof/>
                <w:sz w:val="20"/>
                <w:szCs w:val="20"/>
              </w:rPr>
              <w:t>250.2</w:t>
            </w:r>
            <w:r>
              <w:rPr>
                <w:rFonts w:ascii="Arial" w:hAnsi="Arial" w:cs="Arial"/>
                <w:sz w:val="20"/>
                <w:szCs w:val="20"/>
              </w:rPr>
              <w:fldChar w:fldCharType="end"/>
            </w:r>
          </w:p>
        </w:tc>
        <w:tc>
          <w:tcPr>
            <w:tcW w:w="2396" w:type="dxa"/>
            <w:tcBorders>
              <w:bottom w:val="single" w:sz="4" w:space="0" w:color="auto"/>
            </w:tcBorders>
          </w:tcPr>
          <w:p w:rsidR="00044118" w:rsidRPr="002B3C02" w:rsidRDefault="00044118" w:rsidP="00C148D7">
            <w:pPr>
              <w:jc w:val="right"/>
              <w:rPr>
                <w:rFonts w:ascii="Arial" w:hAnsi="Arial" w:cs="Arial"/>
                <w:sz w:val="20"/>
                <w:szCs w:val="20"/>
              </w:rPr>
            </w:pPr>
            <w:r>
              <w:rPr>
                <w:rFonts w:ascii="Arial" w:hAnsi="Arial" w:cs="Arial"/>
                <w:sz w:val="20"/>
                <w:szCs w:val="20"/>
              </w:rPr>
              <w:t>264.8</w:t>
            </w:r>
          </w:p>
        </w:tc>
        <w:tc>
          <w:tcPr>
            <w:tcW w:w="2100" w:type="dxa"/>
            <w:tcBorders>
              <w:bottom w:val="single" w:sz="4" w:space="0" w:color="auto"/>
            </w:tcBorders>
          </w:tcPr>
          <w:p w:rsidR="00044118" w:rsidRDefault="00044118" w:rsidP="00C148D7">
            <w:pPr>
              <w:jc w:val="right"/>
              <w:rPr>
                <w:rFonts w:ascii="Arial" w:hAnsi="Arial" w:cs="Arial"/>
                <w:sz w:val="20"/>
                <w:szCs w:val="20"/>
              </w:rPr>
            </w:pPr>
            <w:r>
              <w:rPr>
                <w:rFonts w:ascii="Arial" w:hAnsi="Arial" w:cs="Arial"/>
                <w:sz w:val="20"/>
                <w:szCs w:val="20"/>
              </w:rPr>
              <w:t>515.0</w:t>
            </w:r>
          </w:p>
        </w:tc>
      </w:tr>
      <w:tr w:rsidR="00044118" w:rsidTr="00C148D7">
        <w:tc>
          <w:tcPr>
            <w:tcW w:w="9498" w:type="dxa"/>
            <w:gridSpan w:val="4"/>
            <w:tcBorders>
              <w:top w:val="single" w:sz="4" w:space="0" w:color="auto"/>
            </w:tcBorders>
          </w:tcPr>
          <w:p w:rsidR="00044118" w:rsidRPr="00617C9D" w:rsidRDefault="00044118" w:rsidP="00C148D7">
            <w:pPr>
              <w:rPr>
                <w:rFonts w:ascii="Arial" w:hAnsi="Arial" w:cs="Arial"/>
                <w:sz w:val="18"/>
                <w:szCs w:val="18"/>
              </w:rPr>
            </w:pPr>
            <w:r>
              <w:rPr>
                <w:rFonts w:ascii="Arial" w:hAnsi="Arial" w:cs="Arial"/>
                <w:sz w:val="18"/>
                <w:szCs w:val="18"/>
              </w:rPr>
              <w:t>Source: NTC. Figures may not add to totals due to rounding.</w:t>
            </w:r>
          </w:p>
        </w:tc>
      </w:tr>
    </w:tbl>
    <w:p w:rsidR="00044118" w:rsidRDefault="00044118" w:rsidP="00044118">
      <w:pPr>
        <w:rPr>
          <w:rFonts w:ascii="Arial" w:hAnsi="Arial" w:cs="Arial"/>
          <w:szCs w:val="24"/>
          <w:lang w:eastAsia="en-AU"/>
        </w:rPr>
      </w:pPr>
    </w:p>
    <w:p w:rsidR="00044118" w:rsidRDefault="00044118" w:rsidP="007C19F7">
      <w:pPr>
        <w:rPr>
          <w:rFonts w:ascii="Arial" w:hAnsi="Arial" w:cs="Arial"/>
          <w:szCs w:val="24"/>
          <w:lang w:eastAsia="en-AU"/>
        </w:rPr>
      </w:pPr>
    </w:p>
    <w:p w:rsidR="00A81843" w:rsidRDefault="00A81843" w:rsidP="003B1C96">
      <w:pPr>
        <w:pStyle w:val="NoSpacing"/>
        <w:rPr>
          <w:rFonts w:ascii="Arial" w:hAnsi="Arial" w:cs="Arial"/>
          <w:color w:val="auto"/>
          <w:sz w:val="22"/>
          <w:szCs w:val="22"/>
        </w:rPr>
      </w:pPr>
      <w:r>
        <w:rPr>
          <w:rFonts w:ascii="Arial" w:hAnsi="Arial" w:cs="Arial"/>
          <w:color w:val="auto"/>
          <w:sz w:val="22"/>
          <w:szCs w:val="22"/>
        </w:rPr>
        <w:t xml:space="preserve">There is a persistent myth that the overcharging is not a major problem because </w:t>
      </w:r>
      <w:r w:rsidR="003B1C96">
        <w:rPr>
          <w:rFonts w:ascii="Arial" w:hAnsi="Arial" w:cs="Arial"/>
          <w:color w:val="auto"/>
          <w:sz w:val="22"/>
          <w:szCs w:val="22"/>
        </w:rPr>
        <w:t>heavy vehicle charges are a relative</w:t>
      </w:r>
      <w:r>
        <w:rPr>
          <w:rFonts w:ascii="Arial" w:hAnsi="Arial" w:cs="Arial"/>
          <w:color w:val="auto"/>
          <w:sz w:val="22"/>
          <w:szCs w:val="22"/>
        </w:rPr>
        <w:t>ly small proportion of operating costs.</w:t>
      </w:r>
      <w:r w:rsidR="003B1C96">
        <w:rPr>
          <w:rStyle w:val="FootnoteReference"/>
          <w:rFonts w:ascii="Arial" w:hAnsi="Arial"/>
          <w:color w:val="auto"/>
          <w:sz w:val="22"/>
          <w:szCs w:val="22"/>
        </w:rPr>
        <w:footnoteReference w:id="5"/>
      </w:r>
      <w:r w:rsidR="003B1C96">
        <w:rPr>
          <w:rFonts w:ascii="Arial" w:hAnsi="Arial" w:cs="Arial"/>
          <w:color w:val="auto"/>
          <w:sz w:val="22"/>
          <w:szCs w:val="22"/>
        </w:rPr>
        <w:t xml:space="preserve"> </w:t>
      </w:r>
    </w:p>
    <w:p w:rsidR="00A81843" w:rsidRDefault="00A81843" w:rsidP="003B1C96">
      <w:pPr>
        <w:pStyle w:val="NoSpacing"/>
        <w:rPr>
          <w:rFonts w:ascii="Arial" w:hAnsi="Arial" w:cs="Arial"/>
          <w:color w:val="auto"/>
          <w:sz w:val="22"/>
          <w:szCs w:val="22"/>
        </w:rPr>
      </w:pPr>
    </w:p>
    <w:p w:rsidR="003B1C96" w:rsidRDefault="00A81843" w:rsidP="003B1C96">
      <w:pPr>
        <w:pStyle w:val="NoSpacing"/>
        <w:rPr>
          <w:rFonts w:ascii="Arial" w:hAnsi="Arial" w:cs="Arial"/>
          <w:color w:val="auto"/>
          <w:sz w:val="22"/>
          <w:szCs w:val="22"/>
        </w:rPr>
      </w:pPr>
      <w:r>
        <w:rPr>
          <w:rFonts w:ascii="Arial" w:hAnsi="Arial" w:cs="Arial"/>
          <w:color w:val="auto"/>
          <w:sz w:val="22"/>
          <w:szCs w:val="22"/>
        </w:rPr>
        <w:t>T</w:t>
      </w:r>
      <w:r w:rsidR="003B1C96">
        <w:rPr>
          <w:rFonts w:ascii="Arial" w:hAnsi="Arial" w:cs="Arial"/>
          <w:color w:val="auto"/>
          <w:sz w:val="22"/>
          <w:szCs w:val="22"/>
        </w:rPr>
        <w:t xml:space="preserve">he </w:t>
      </w:r>
      <w:r w:rsidR="003B1C96" w:rsidRPr="00177BE9">
        <w:rPr>
          <w:rFonts w:ascii="Arial" w:hAnsi="Arial" w:cs="Arial"/>
          <w:color w:val="auto"/>
          <w:sz w:val="22"/>
          <w:szCs w:val="22"/>
        </w:rPr>
        <w:t>NTC has previously recognised</w:t>
      </w:r>
      <w:r>
        <w:rPr>
          <w:rFonts w:ascii="Arial" w:hAnsi="Arial" w:cs="Arial"/>
          <w:color w:val="auto"/>
          <w:sz w:val="22"/>
          <w:szCs w:val="22"/>
        </w:rPr>
        <w:t>, however,</w:t>
      </w:r>
      <w:r w:rsidR="003B1C96" w:rsidRPr="00177BE9">
        <w:rPr>
          <w:rFonts w:ascii="Arial" w:hAnsi="Arial" w:cs="Arial"/>
          <w:color w:val="auto"/>
          <w:sz w:val="22"/>
          <w:szCs w:val="22"/>
        </w:rPr>
        <w:t xml:space="preserve"> </w:t>
      </w:r>
      <w:r w:rsidR="003B1C96">
        <w:rPr>
          <w:rFonts w:ascii="Arial" w:hAnsi="Arial" w:cs="Arial"/>
          <w:color w:val="auto"/>
          <w:sz w:val="22"/>
          <w:szCs w:val="22"/>
        </w:rPr>
        <w:t xml:space="preserve">that </w:t>
      </w:r>
      <w:r w:rsidR="003B1C96" w:rsidRPr="00D7083B">
        <w:rPr>
          <w:rFonts w:ascii="Arial" w:hAnsi="Arial" w:cs="Arial"/>
          <w:color w:val="auto"/>
          <w:sz w:val="22"/>
          <w:szCs w:val="22"/>
        </w:rPr>
        <w:t xml:space="preserve">any change in the quantum or structure of charges </w:t>
      </w:r>
      <w:r w:rsidR="003B1C96">
        <w:rPr>
          <w:rFonts w:ascii="Arial" w:hAnsi="Arial" w:cs="Arial"/>
          <w:color w:val="auto"/>
          <w:sz w:val="22"/>
          <w:szCs w:val="22"/>
        </w:rPr>
        <w:t xml:space="preserve">for operators on tight margins </w:t>
      </w:r>
      <w:r w:rsidR="003B1C96" w:rsidRPr="00D7083B">
        <w:rPr>
          <w:rFonts w:ascii="Arial" w:hAnsi="Arial" w:cs="Arial"/>
          <w:color w:val="auto"/>
          <w:sz w:val="22"/>
          <w:szCs w:val="22"/>
        </w:rPr>
        <w:t>could af</w:t>
      </w:r>
      <w:r w:rsidR="003B1C96">
        <w:rPr>
          <w:rFonts w:ascii="Arial" w:hAnsi="Arial" w:cs="Arial"/>
          <w:color w:val="auto"/>
          <w:sz w:val="22"/>
          <w:szCs w:val="22"/>
        </w:rPr>
        <w:t>fect their competitive position</w:t>
      </w:r>
      <w:r w:rsidR="003B1C96" w:rsidRPr="00D7083B">
        <w:rPr>
          <w:rFonts w:ascii="Arial" w:hAnsi="Arial" w:cs="Arial"/>
          <w:color w:val="auto"/>
          <w:sz w:val="22"/>
          <w:szCs w:val="22"/>
        </w:rPr>
        <w:t xml:space="preserve"> and have serious cash flow implications.</w:t>
      </w:r>
      <w:r w:rsidR="003B1C96" w:rsidRPr="00177BE9">
        <w:rPr>
          <w:rStyle w:val="FootnoteReference"/>
          <w:rFonts w:ascii="Arial" w:hAnsi="Arial" w:cs="Arial"/>
          <w:color w:val="auto"/>
          <w:sz w:val="22"/>
          <w:szCs w:val="22"/>
        </w:rPr>
        <w:footnoteReference w:id="6"/>
      </w:r>
      <w:r w:rsidR="003B1C96" w:rsidRPr="00177BE9">
        <w:rPr>
          <w:rFonts w:ascii="Arial" w:hAnsi="Arial" w:cs="Arial"/>
          <w:color w:val="auto"/>
          <w:sz w:val="22"/>
          <w:szCs w:val="22"/>
        </w:rPr>
        <w:t xml:space="preserve"> </w:t>
      </w:r>
    </w:p>
    <w:p w:rsidR="00A81843" w:rsidRDefault="00A81843" w:rsidP="003B1C96">
      <w:pPr>
        <w:pStyle w:val="NoSpacing"/>
        <w:rPr>
          <w:rFonts w:ascii="Arial" w:hAnsi="Arial" w:cs="Arial"/>
          <w:color w:val="auto"/>
          <w:sz w:val="22"/>
          <w:szCs w:val="22"/>
        </w:rPr>
      </w:pPr>
    </w:p>
    <w:p w:rsidR="00A31C93" w:rsidRDefault="00A31C93" w:rsidP="003B1C96">
      <w:pPr>
        <w:pStyle w:val="NoSpacing"/>
        <w:rPr>
          <w:rFonts w:ascii="Arial" w:hAnsi="Arial" w:cs="Arial"/>
          <w:color w:val="auto"/>
          <w:sz w:val="22"/>
          <w:szCs w:val="22"/>
        </w:rPr>
      </w:pPr>
      <w:r>
        <w:rPr>
          <w:rFonts w:ascii="Arial" w:hAnsi="Arial" w:cs="Arial"/>
          <w:color w:val="auto"/>
          <w:sz w:val="22"/>
          <w:szCs w:val="22"/>
        </w:rPr>
        <w:t>And the trucking industry is characterised by tight margins. Recent research by ANZ</w:t>
      </w:r>
      <w:r w:rsidR="00662B09">
        <w:rPr>
          <w:rFonts w:ascii="Arial" w:hAnsi="Arial" w:cs="Arial"/>
          <w:color w:val="auto"/>
          <w:sz w:val="22"/>
          <w:szCs w:val="22"/>
        </w:rPr>
        <w:t xml:space="preserve"> </w:t>
      </w:r>
      <w:r>
        <w:rPr>
          <w:rFonts w:ascii="Arial" w:hAnsi="Arial" w:cs="Arial"/>
          <w:color w:val="auto"/>
          <w:sz w:val="22"/>
          <w:szCs w:val="22"/>
        </w:rPr>
        <w:t>shows that the median EBIT margin for trucking businesses was 4.2 per cent in 2015. The bottom quartile of trucking businesses recorded negative</w:t>
      </w:r>
      <w:r w:rsidR="00E639E4">
        <w:rPr>
          <w:rFonts w:ascii="Arial" w:hAnsi="Arial" w:cs="Arial"/>
          <w:color w:val="auto"/>
          <w:sz w:val="22"/>
          <w:szCs w:val="22"/>
        </w:rPr>
        <w:t>, unsustainable</w:t>
      </w:r>
      <w:r>
        <w:rPr>
          <w:rFonts w:ascii="Arial" w:hAnsi="Arial" w:cs="Arial"/>
          <w:color w:val="auto"/>
          <w:sz w:val="22"/>
          <w:szCs w:val="22"/>
        </w:rPr>
        <w:t xml:space="preserve"> EBIT margins</w:t>
      </w:r>
      <w:r w:rsidR="00662B09">
        <w:rPr>
          <w:rFonts w:ascii="Arial" w:hAnsi="Arial" w:cs="Arial"/>
          <w:color w:val="auto"/>
          <w:sz w:val="22"/>
          <w:szCs w:val="22"/>
        </w:rPr>
        <w:t xml:space="preserve"> (figure 1)</w:t>
      </w:r>
      <w:r>
        <w:rPr>
          <w:rFonts w:ascii="Arial" w:hAnsi="Arial" w:cs="Arial"/>
          <w:color w:val="auto"/>
          <w:sz w:val="22"/>
          <w:szCs w:val="22"/>
        </w:rPr>
        <w:t>.</w:t>
      </w:r>
      <w:r w:rsidR="00662B09">
        <w:rPr>
          <w:rStyle w:val="FootnoteReference"/>
          <w:rFonts w:ascii="Arial" w:hAnsi="Arial"/>
          <w:color w:val="auto"/>
          <w:sz w:val="22"/>
          <w:szCs w:val="22"/>
        </w:rPr>
        <w:footnoteReference w:id="7"/>
      </w:r>
    </w:p>
    <w:p w:rsidR="00A31C93" w:rsidRDefault="00A31C93" w:rsidP="003B1C96">
      <w:pPr>
        <w:pStyle w:val="NoSpacing"/>
        <w:rPr>
          <w:rFonts w:ascii="Arial" w:hAnsi="Arial" w:cs="Arial"/>
          <w:color w:val="auto"/>
          <w:sz w:val="22"/>
          <w:szCs w:val="22"/>
        </w:rPr>
      </w:pPr>
    </w:p>
    <w:p w:rsidR="00770025" w:rsidRDefault="00770025" w:rsidP="003B1C96">
      <w:pPr>
        <w:pStyle w:val="NoSpacing"/>
        <w:rPr>
          <w:rFonts w:ascii="Arial" w:hAnsi="Arial" w:cs="Arial"/>
          <w:color w:val="auto"/>
          <w:sz w:val="22"/>
          <w:szCs w:val="22"/>
        </w:rPr>
      </w:pPr>
    </w:p>
    <w:p w:rsidR="00A31C93" w:rsidRDefault="00770025" w:rsidP="003B1C96">
      <w:pPr>
        <w:pStyle w:val="NoSpacing"/>
        <w:rPr>
          <w:rFonts w:ascii="Arial" w:hAnsi="Arial" w:cs="Arial"/>
          <w:color w:val="auto"/>
          <w:sz w:val="22"/>
          <w:szCs w:val="22"/>
        </w:rPr>
      </w:pPr>
      <w:r>
        <w:rPr>
          <w:noProof/>
        </w:rPr>
        <w:lastRenderedPageBreak/>
        <w:drawing>
          <wp:inline distT="0" distB="0" distL="0" distR="0" wp14:anchorId="612A2F50" wp14:editId="24CABD92">
            <wp:extent cx="5989320" cy="2743200"/>
            <wp:effectExtent l="0" t="0" r="1143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0025" w:rsidRDefault="00770025" w:rsidP="003B1C96">
      <w:pPr>
        <w:pStyle w:val="NoSpacing"/>
        <w:rPr>
          <w:rFonts w:ascii="Arial" w:hAnsi="Arial" w:cs="Arial"/>
          <w:color w:val="auto"/>
          <w:sz w:val="22"/>
          <w:szCs w:val="22"/>
        </w:rPr>
      </w:pPr>
    </w:p>
    <w:p w:rsidR="00662B09" w:rsidRDefault="00662B09" w:rsidP="003B1C96">
      <w:pPr>
        <w:pStyle w:val="NoSpacing"/>
        <w:rPr>
          <w:rFonts w:ascii="Arial" w:hAnsi="Arial" w:cs="Arial"/>
          <w:color w:val="auto"/>
          <w:sz w:val="22"/>
          <w:szCs w:val="22"/>
        </w:rPr>
      </w:pPr>
    </w:p>
    <w:p w:rsidR="00A31C93" w:rsidRDefault="00A31C93" w:rsidP="003B1C96">
      <w:pPr>
        <w:pStyle w:val="NoSpacing"/>
        <w:rPr>
          <w:rFonts w:ascii="Arial" w:hAnsi="Arial" w:cs="Arial"/>
          <w:color w:val="auto"/>
          <w:sz w:val="22"/>
          <w:szCs w:val="22"/>
        </w:rPr>
      </w:pPr>
      <w:r>
        <w:rPr>
          <w:rFonts w:ascii="Arial" w:hAnsi="Arial" w:cs="Arial"/>
          <w:color w:val="auto"/>
          <w:sz w:val="22"/>
          <w:szCs w:val="22"/>
        </w:rPr>
        <w:t xml:space="preserve">The vulnerability of these trucking businesses is worsened by the lack of predictability and stability in the charges, as well as </w:t>
      </w:r>
      <w:r w:rsidR="007E2522">
        <w:rPr>
          <w:rFonts w:ascii="Arial" w:hAnsi="Arial" w:cs="Arial"/>
          <w:color w:val="auto"/>
          <w:sz w:val="22"/>
          <w:szCs w:val="22"/>
        </w:rPr>
        <w:t>the lumpy cashflow impact of registration charges</w:t>
      </w:r>
      <w:r>
        <w:rPr>
          <w:rFonts w:ascii="Arial" w:hAnsi="Arial" w:cs="Arial"/>
          <w:color w:val="auto"/>
          <w:sz w:val="22"/>
          <w:szCs w:val="22"/>
        </w:rPr>
        <w:t>.</w:t>
      </w:r>
    </w:p>
    <w:p w:rsidR="003B1C96" w:rsidRDefault="003B1C96" w:rsidP="007C19F7">
      <w:pPr>
        <w:rPr>
          <w:rFonts w:ascii="Arial" w:hAnsi="Arial" w:cs="Arial"/>
          <w:szCs w:val="24"/>
          <w:lang w:eastAsia="en-AU"/>
        </w:rPr>
      </w:pPr>
    </w:p>
    <w:p w:rsidR="00787884" w:rsidRDefault="00787884" w:rsidP="007C19F7">
      <w:pPr>
        <w:rPr>
          <w:rFonts w:ascii="Arial" w:hAnsi="Arial" w:cs="Arial"/>
          <w:szCs w:val="24"/>
          <w:lang w:eastAsia="en-AU"/>
        </w:rPr>
      </w:pPr>
    </w:p>
    <w:p w:rsidR="00787884" w:rsidRPr="00A31C93" w:rsidRDefault="00B2703E" w:rsidP="00A31C93">
      <w:pPr>
        <w:pStyle w:val="Heading2"/>
      </w:pPr>
      <w:bookmarkStart w:id="7" w:name="_Toc457400400"/>
      <w:r w:rsidRPr="00A31C93">
        <w:t>Lack and predictability and stability</w:t>
      </w:r>
      <w:bookmarkEnd w:id="7"/>
    </w:p>
    <w:p w:rsidR="00787884" w:rsidRDefault="00787884" w:rsidP="00A31C93">
      <w:pPr>
        <w:keepNext/>
        <w:rPr>
          <w:rFonts w:ascii="Arial" w:hAnsi="Arial" w:cs="Arial"/>
          <w:szCs w:val="24"/>
          <w:lang w:eastAsia="en-AU"/>
        </w:rPr>
      </w:pPr>
    </w:p>
    <w:p w:rsidR="006C2F44" w:rsidRDefault="0082154D" w:rsidP="00A31C93">
      <w:pPr>
        <w:keepNext/>
        <w:rPr>
          <w:rFonts w:ascii="Arial" w:hAnsi="Arial" w:cs="Arial"/>
          <w:szCs w:val="24"/>
          <w:lang w:eastAsia="en-AU"/>
        </w:rPr>
      </w:pPr>
      <w:r>
        <w:rPr>
          <w:rFonts w:ascii="Arial" w:hAnsi="Arial" w:cs="Arial"/>
          <w:szCs w:val="24"/>
          <w:lang w:eastAsia="en-AU"/>
        </w:rPr>
        <w:t>T</w:t>
      </w:r>
      <w:r w:rsidR="00B62DD8">
        <w:rPr>
          <w:rFonts w:ascii="Arial" w:hAnsi="Arial" w:cs="Arial"/>
          <w:szCs w:val="24"/>
          <w:lang w:eastAsia="en-AU"/>
        </w:rPr>
        <w:t xml:space="preserve">rucking businesses need heavy vehicle charges to remain stable from year to year, or at least to </w:t>
      </w:r>
      <w:r>
        <w:rPr>
          <w:rFonts w:ascii="Arial" w:hAnsi="Arial" w:cs="Arial"/>
          <w:szCs w:val="24"/>
          <w:lang w:eastAsia="en-AU"/>
        </w:rPr>
        <w:t xml:space="preserve">change </w:t>
      </w:r>
      <w:r w:rsidR="00B62DD8">
        <w:rPr>
          <w:rFonts w:ascii="Arial" w:hAnsi="Arial" w:cs="Arial"/>
          <w:szCs w:val="24"/>
          <w:lang w:eastAsia="en-AU"/>
        </w:rPr>
        <w:t xml:space="preserve">at a </w:t>
      </w:r>
      <w:r>
        <w:rPr>
          <w:rFonts w:ascii="Arial" w:hAnsi="Arial" w:cs="Arial"/>
          <w:szCs w:val="24"/>
          <w:lang w:eastAsia="en-AU"/>
        </w:rPr>
        <w:t xml:space="preserve">relatively stable </w:t>
      </w:r>
      <w:r w:rsidR="00B62DD8">
        <w:rPr>
          <w:rFonts w:ascii="Arial" w:hAnsi="Arial" w:cs="Arial"/>
          <w:szCs w:val="24"/>
          <w:lang w:eastAsia="en-AU"/>
        </w:rPr>
        <w:t xml:space="preserve">rate. </w:t>
      </w:r>
    </w:p>
    <w:p w:rsidR="002C2819" w:rsidRDefault="002C2819" w:rsidP="007C19F7">
      <w:pPr>
        <w:rPr>
          <w:rFonts w:ascii="Arial" w:hAnsi="Arial" w:cs="Arial"/>
          <w:szCs w:val="24"/>
          <w:lang w:eastAsia="en-AU"/>
        </w:rPr>
      </w:pPr>
    </w:p>
    <w:p w:rsidR="00B62DD8" w:rsidRDefault="00B62DD8" w:rsidP="007C19F7">
      <w:pPr>
        <w:rPr>
          <w:rFonts w:ascii="Arial" w:hAnsi="Arial" w:cs="Arial"/>
          <w:szCs w:val="24"/>
          <w:lang w:eastAsia="en-AU"/>
        </w:rPr>
      </w:pPr>
      <w:r>
        <w:rPr>
          <w:rFonts w:ascii="Arial" w:hAnsi="Arial" w:cs="Arial"/>
          <w:szCs w:val="24"/>
          <w:lang w:eastAsia="en-AU"/>
        </w:rPr>
        <w:t xml:space="preserve">The discussion paper argues that industry participants may be able to renegotiate contracts to pass on at least </w:t>
      </w:r>
      <w:r w:rsidR="0082154D">
        <w:rPr>
          <w:rFonts w:ascii="Arial" w:hAnsi="Arial" w:cs="Arial"/>
          <w:szCs w:val="24"/>
          <w:lang w:eastAsia="en-AU"/>
        </w:rPr>
        <w:t>some of any cost increases arising</w:t>
      </w:r>
      <w:r>
        <w:rPr>
          <w:rFonts w:ascii="Arial" w:hAnsi="Arial" w:cs="Arial"/>
          <w:szCs w:val="24"/>
          <w:lang w:eastAsia="en-AU"/>
        </w:rPr>
        <w:t xml:space="preserve"> from </w:t>
      </w:r>
      <w:r w:rsidR="0082154D">
        <w:rPr>
          <w:rFonts w:ascii="Arial" w:hAnsi="Arial" w:cs="Arial"/>
          <w:szCs w:val="24"/>
          <w:lang w:eastAsia="en-AU"/>
        </w:rPr>
        <w:t xml:space="preserve">changes in </w:t>
      </w:r>
      <w:r>
        <w:rPr>
          <w:rFonts w:ascii="Arial" w:hAnsi="Arial" w:cs="Arial"/>
          <w:szCs w:val="24"/>
          <w:lang w:eastAsia="en-AU"/>
        </w:rPr>
        <w:t>heavy vehicle charges.</w:t>
      </w:r>
      <w:r>
        <w:rPr>
          <w:rStyle w:val="FootnoteReference"/>
          <w:rFonts w:ascii="Arial" w:hAnsi="Arial"/>
          <w:szCs w:val="24"/>
          <w:lang w:eastAsia="en-AU"/>
        </w:rPr>
        <w:footnoteReference w:id="8"/>
      </w:r>
    </w:p>
    <w:p w:rsidR="00B62DD8" w:rsidRDefault="00B62DD8" w:rsidP="007C19F7">
      <w:pPr>
        <w:rPr>
          <w:rFonts w:ascii="Arial" w:hAnsi="Arial" w:cs="Arial"/>
          <w:szCs w:val="24"/>
          <w:lang w:eastAsia="en-AU"/>
        </w:rPr>
      </w:pPr>
    </w:p>
    <w:p w:rsidR="0043731A" w:rsidRDefault="008A32F9" w:rsidP="007C19F7">
      <w:pPr>
        <w:rPr>
          <w:rFonts w:ascii="Arial" w:hAnsi="Arial" w:cs="Arial"/>
          <w:szCs w:val="24"/>
          <w:lang w:eastAsia="en-AU"/>
        </w:rPr>
      </w:pPr>
      <w:r>
        <w:rPr>
          <w:rFonts w:ascii="Arial" w:hAnsi="Arial" w:cs="Arial"/>
          <w:szCs w:val="24"/>
          <w:lang w:eastAsia="en-AU"/>
        </w:rPr>
        <w:t>But t</w:t>
      </w:r>
      <w:r w:rsidR="0043731A">
        <w:rPr>
          <w:rFonts w:ascii="Arial" w:hAnsi="Arial" w:cs="Arial"/>
          <w:szCs w:val="24"/>
          <w:lang w:eastAsia="en-AU"/>
        </w:rPr>
        <w:t xml:space="preserve">he ability of trucking companies to pass on changes </w:t>
      </w:r>
      <w:r>
        <w:rPr>
          <w:rFonts w:ascii="Arial" w:hAnsi="Arial" w:cs="Arial"/>
          <w:szCs w:val="24"/>
          <w:lang w:eastAsia="en-AU"/>
        </w:rPr>
        <w:t xml:space="preserve">in their costs </w:t>
      </w:r>
      <w:r w:rsidR="0043731A">
        <w:rPr>
          <w:rFonts w:ascii="Arial" w:hAnsi="Arial" w:cs="Arial"/>
          <w:szCs w:val="24"/>
          <w:lang w:eastAsia="en-AU"/>
        </w:rPr>
        <w:t>depends on their size and industry sector.</w:t>
      </w:r>
    </w:p>
    <w:p w:rsidR="0043731A" w:rsidRDefault="0043731A" w:rsidP="007C19F7">
      <w:pPr>
        <w:rPr>
          <w:rFonts w:ascii="Arial" w:hAnsi="Arial" w:cs="Arial"/>
          <w:szCs w:val="24"/>
          <w:lang w:eastAsia="en-AU"/>
        </w:rPr>
      </w:pPr>
    </w:p>
    <w:p w:rsidR="0043731A" w:rsidRDefault="002C2819" w:rsidP="007C19F7">
      <w:pPr>
        <w:rPr>
          <w:rFonts w:ascii="Arial" w:hAnsi="Arial" w:cs="Arial"/>
          <w:szCs w:val="24"/>
          <w:lang w:eastAsia="en-AU"/>
        </w:rPr>
      </w:pPr>
      <w:r>
        <w:rPr>
          <w:rFonts w:ascii="Arial" w:hAnsi="Arial" w:cs="Arial"/>
          <w:szCs w:val="24"/>
          <w:lang w:eastAsia="en-AU"/>
        </w:rPr>
        <w:t xml:space="preserve">Many </w:t>
      </w:r>
      <w:r w:rsidR="00CD672A">
        <w:rPr>
          <w:rFonts w:ascii="Arial" w:hAnsi="Arial" w:cs="Arial"/>
          <w:szCs w:val="24"/>
          <w:lang w:eastAsia="en-AU"/>
        </w:rPr>
        <w:t>larger</w:t>
      </w:r>
      <w:r>
        <w:rPr>
          <w:rFonts w:ascii="Arial" w:hAnsi="Arial" w:cs="Arial"/>
          <w:szCs w:val="24"/>
          <w:lang w:eastAsia="en-AU"/>
        </w:rPr>
        <w:t xml:space="preserve"> trucking businesses </w:t>
      </w:r>
      <w:r w:rsidR="0043731A">
        <w:rPr>
          <w:rFonts w:ascii="Arial" w:hAnsi="Arial" w:cs="Arial"/>
          <w:szCs w:val="24"/>
          <w:lang w:eastAsia="en-AU"/>
        </w:rPr>
        <w:t xml:space="preserve">have </w:t>
      </w:r>
      <w:r>
        <w:rPr>
          <w:rFonts w:ascii="Arial" w:hAnsi="Arial" w:cs="Arial"/>
          <w:szCs w:val="24"/>
          <w:lang w:eastAsia="en-AU"/>
        </w:rPr>
        <w:t>fuel surcharges.</w:t>
      </w:r>
      <w:r w:rsidR="0043731A">
        <w:rPr>
          <w:rFonts w:ascii="Arial" w:hAnsi="Arial" w:cs="Arial"/>
          <w:szCs w:val="24"/>
          <w:lang w:eastAsia="en-AU"/>
        </w:rPr>
        <w:t xml:space="preserve"> These surcharges enable them to pass on </w:t>
      </w:r>
      <w:r w:rsidR="0082154D">
        <w:rPr>
          <w:rFonts w:ascii="Arial" w:hAnsi="Arial" w:cs="Arial"/>
          <w:szCs w:val="24"/>
          <w:lang w:eastAsia="en-AU"/>
        </w:rPr>
        <w:t>adjustments to</w:t>
      </w:r>
      <w:r w:rsidR="0043731A">
        <w:rPr>
          <w:rFonts w:ascii="Arial" w:hAnsi="Arial" w:cs="Arial"/>
          <w:szCs w:val="24"/>
          <w:lang w:eastAsia="en-AU"/>
        </w:rPr>
        <w:t xml:space="preserve"> the road user charge, particular</w:t>
      </w:r>
      <w:r w:rsidR="008A32F9">
        <w:rPr>
          <w:rFonts w:ascii="Arial" w:hAnsi="Arial" w:cs="Arial"/>
          <w:szCs w:val="24"/>
          <w:lang w:eastAsia="en-AU"/>
        </w:rPr>
        <w:t>ly</w:t>
      </w:r>
      <w:r w:rsidR="0043731A">
        <w:rPr>
          <w:rFonts w:ascii="Arial" w:hAnsi="Arial" w:cs="Arial"/>
          <w:szCs w:val="24"/>
          <w:lang w:eastAsia="en-AU"/>
        </w:rPr>
        <w:t xml:space="preserve"> when those </w:t>
      </w:r>
      <w:r w:rsidR="0082154D">
        <w:rPr>
          <w:rFonts w:ascii="Arial" w:hAnsi="Arial" w:cs="Arial"/>
          <w:szCs w:val="24"/>
          <w:lang w:eastAsia="en-AU"/>
        </w:rPr>
        <w:t>adjustments</w:t>
      </w:r>
      <w:r w:rsidR="0043731A">
        <w:rPr>
          <w:rFonts w:ascii="Arial" w:hAnsi="Arial" w:cs="Arial"/>
          <w:szCs w:val="24"/>
          <w:lang w:eastAsia="en-AU"/>
        </w:rPr>
        <w:t xml:space="preserve"> are </w:t>
      </w:r>
      <w:r w:rsidR="0082154D">
        <w:rPr>
          <w:rFonts w:ascii="Arial" w:hAnsi="Arial" w:cs="Arial"/>
          <w:szCs w:val="24"/>
          <w:lang w:eastAsia="en-AU"/>
        </w:rPr>
        <w:t xml:space="preserve">notified </w:t>
      </w:r>
      <w:r w:rsidR="0043731A">
        <w:rPr>
          <w:rFonts w:ascii="Arial" w:hAnsi="Arial" w:cs="Arial"/>
          <w:szCs w:val="24"/>
          <w:lang w:eastAsia="en-AU"/>
        </w:rPr>
        <w:t>well in advance.</w:t>
      </w:r>
    </w:p>
    <w:p w:rsidR="0043731A" w:rsidRDefault="0043731A" w:rsidP="007C19F7">
      <w:pPr>
        <w:rPr>
          <w:rFonts w:ascii="Arial" w:hAnsi="Arial" w:cs="Arial"/>
          <w:szCs w:val="24"/>
          <w:lang w:eastAsia="en-AU"/>
        </w:rPr>
      </w:pPr>
    </w:p>
    <w:p w:rsidR="002C2819" w:rsidRDefault="00CD672A" w:rsidP="007C19F7">
      <w:pPr>
        <w:rPr>
          <w:rFonts w:ascii="Arial" w:hAnsi="Arial" w:cs="Arial"/>
          <w:szCs w:val="24"/>
          <w:lang w:eastAsia="en-AU"/>
        </w:rPr>
      </w:pPr>
      <w:r>
        <w:rPr>
          <w:rFonts w:ascii="Arial" w:hAnsi="Arial" w:cs="Arial"/>
          <w:szCs w:val="24"/>
          <w:lang w:eastAsia="en-AU"/>
        </w:rPr>
        <w:t>Even large t</w:t>
      </w:r>
      <w:r w:rsidR="0043731A">
        <w:rPr>
          <w:rFonts w:ascii="Arial" w:hAnsi="Arial" w:cs="Arial"/>
          <w:szCs w:val="24"/>
          <w:lang w:eastAsia="en-AU"/>
        </w:rPr>
        <w:t xml:space="preserve">rucking businesses find it </w:t>
      </w:r>
      <w:r w:rsidR="008A32F9">
        <w:rPr>
          <w:rFonts w:ascii="Arial" w:hAnsi="Arial" w:cs="Arial"/>
          <w:szCs w:val="24"/>
          <w:lang w:eastAsia="en-AU"/>
        </w:rPr>
        <w:t>hard</w:t>
      </w:r>
      <w:r w:rsidR="0043731A">
        <w:rPr>
          <w:rFonts w:ascii="Arial" w:hAnsi="Arial" w:cs="Arial"/>
          <w:szCs w:val="24"/>
          <w:lang w:eastAsia="en-AU"/>
        </w:rPr>
        <w:t xml:space="preserve"> to pass on in</w:t>
      </w:r>
      <w:r w:rsidR="00662B09">
        <w:rPr>
          <w:rFonts w:ascii="Arial" w:hAnsi="Arial" w:cs="Arial"/>
          <w:szCs w:val="24"/>
          <w:lang w:eastAsia="en-AU"/>
        </w:rPr>
        <w:t>creases in registration charges, however.</w:t>
      </w:r>
      <w:r w:rsidR="0043731A">
        <w:rPr>
          <w:rFonts w:ascii="Arial" w:hAnsi="Arial" w:cs="Arial"/>
          <w:szCs w:val="24"/>
          <w:lang w:eastAsia="en-AU"/>
        </w:rPr>
        <w:t xml:space="preserve"> It is rare for long term contracts to include clauses that allow freight rates to be adjust</w:t>
      </w:r>
      <w:r w:rsidR="008A32F9">
        <w:rPr>
          <w:rFonts w:ascii="Arial" w:hAnsi="Arial" w:cs="Arial"/>
          <w:szCs w:val="24"/>
          <w:lang w:eastAsia="en-AU"/>
        </w:rPr>
        <w:t>ed</w:t>
      </w:r>
      <w:r w:rsidR="0043731A">
        <w:rPr>
          <w:rFonts w:ascii="Arial" w:hAnsi="Arial" w:cs="Arial"/>
          <w:szCs w:val="24"/>
          <w:lang w:eastAsia="en-AU"/>
        </w:rPr>
        <w:t xml:space="preserve"> to reflect changes in input costs other than the cost of fuel. Those contracts that do a</w:t>
      </w:r>
      <w:r w:rsidR="007E2522">
        <w:rPr>
          <w:rFonts w:ascii="Arial" w:hAnsi="Arial" w:cs="Arial"/>
          <w:szCs w:val="24"/>
          <w:lang w:eastAsia="en-AU"/>
        </w:rPr>
        <w:t>llow adjustments often base the adjustments</w:t>
      </w:r>
      <w:r w:rsidR="0043731A">
        <w:rPr>
          <w:rFonts w:ascii="Arial" w:hAnsi="Arial" w:cs="Arial"/>
          <w:szCs w:val="24"/>
          <w:lang w:eastAsia="en-AU"/>
        </w:rPr>
        <w:t xml:space="preserve"> on</w:t>
      </w:r>
      <w:r w:rsidR="00AA43A5">
        <w:rPr>
          <w:rFonts w:ascii="Arial" w:hAnsi="Arial" w:cs="Arial"/>
          <w:szCs w:val="24"/>
          <w:lang w:eastAsia="en-AU"/>
        </w:rPr>
        <w:t xml:space="preserve"> the all groups</w:t>
      </w:r>
      <w:r w:rsidR="0043731A">
        <w:rPr>
          <w:rFonts w:ascii="Arial" w:hAnsi="Arial" w:cs="Arial"/>
          <w:szCs w:val="24"/>
          <w:lang w:eastAsia="en-AU"/>
        </w:rPr>
        <w:t xml:space="preserve"> or transport </w:t>
      </w:r>
      <w:r>
        <w:rPr>
          <w:rFonts w:ascii="Arial" w:hAnsi="Arial" w:cs="Arial"/>
          <w:szCs w:val="24"/>
          <w:lang w:eastAsia="en-AU"/>
        </w:rPr>
        <w:t xml:space="preserve">group </w:t>
      </w:r>
      <w:r w:rsidR="0043731A">
        <w:rPr>
          <w:rFonts w:ascii="Arial" w:hAnsi="Arial" w:cs="Arial"/>
          <w:szCs w:val="24"/>
          <w:lang w:eastAsia="en-AU"/>
        </w:rPr>
        <w:t xml:space="preserve">CPI </w:t>
      </w:r>
      <w:r>
        <w:rPr>
          <w:rFonts w:ascii="Arial" w:hAnsi="Arial" w:cs="Arial"/>
          <w:szCs w:val="24"/>
          <w:lang w:eastAsia="en-AU"/>
        </w:rPr>
        <w:t>rather than a more relevant index.</w:t>
      </w:r>
      <w:r w:rsidR="0043731A">
        <w:rPr>
          <w:rFonts w:ascii="Arial" w:hAnsi="Arial" w:cs="Arial"/>
          <w:szCs w:val="24"/>
          <w:lang w:eastAsia="en-AU"/>
        </w:rPr>
        <w:t xml:space="preserve"> </w:t>
      </w:r>
    </w:p>
    <w:p w:rsidR="002C2819" w:rsidRDefault="002C2819" w:rsidP="007C19F7">
      <w:pPr>
        <w:rPr>
          <w:rFonts w:ascii="Arial" w:hAnsi="Arial" w:cs="Arial"/>
          <w:szCs w:val="24"/>
          <w:lang w:eastAsia="en-AU"/>
        </w:rPr>
      </w:pPr>
    </w:p>
    <w:p w:rsidR="002C2819" w:rsidRDefault="00CD672A" w:rsidP="007C19F7">
      <w:pPr>
        <w:rPr>
          <w:rFonts w:ascii="Arial" w:hAnsi="Arial" w:cs="Arial"/>
          <w:szCs w:val="24"/>
          <w:lang w:eastAsia="en-AU"/>
        </w:rPr>
      </w:pPr>
      <w:r>
        <w:rPr>
          <w:rFonts w:ascii="Arial" w:hAnsi="Arial" w:cs="Arial"/>
          <w:szCs w:val="24"/>
          <w:lang w:eastAsia="en-AU"/>
        </w:rPr>
        <w:t>The vast majority of trucking businesses are small</w:t>
      </w:r>
      <w:r w:rsidR="008A32F9">
        <w:rPr>
          <w:rFonts w:ascii="Arial" w:hAnsi="Arial" w:cs="Arial"/>
          <w:szCs w:val="24"/>
          <w:lang w:eastAsia="en-AU"/>
        </w:rPr>
        <w:t xml:space="preserve"> businesses. T</w:t>
      </w:r>
      <w:r>
        <w:rPr>
          <w:rFonts w:ascii="Arial" w:hAnsi="Arial" w:cs="Arial"/>
          <w:szCs w:val="24"/>
          <w:lang w:eastAsia="en-AU"/>
        </w:rPr>
        <w:t xml:space="preserve">hey tend to be price takers and often have to accept the contract </w:t>
      </w:r>
      <w:r w:rsidR="00895E1C">
        <w:rPr>
          <w:rFonts w:ascii="Arial" w:hAnsi="Arial" w:cs="Arial"/>
          <w:szCs w:val="24"/>
          <w:lang w:eastAsia="en-AU"/>
        </w:rPr>
        <w:t xml:space="preserve">or spot </w:t>
      </w:r>
      <w:r>
        <w:rPr>
          <w:rFonts w:ascii="Arial" w:hAnsi="Arial" w:cs="Arial"/>
          <w:szCs w:val="24"/>
          <w:lang w:eastAsia="en-AU"/>
        </w:rPr>
        <w:t xml:space="preserve">terms they are offered. </w:t>
      </w:r>
      <w:r w:rsidR="008A32F9">
        <w:rPr>
          <w:rFonts w:ascii="Arial" w:hAnsi="Arial" w:cs="Arial"/>
          <w:szCs w:val="24"/>
          <w:lang w:eastAsia="en-AU"/>
        </w:rPr>
        <w:t>When</w:t>
      </w:r>
      <w:r>
        <w:rPr>
          <w:rFonts w:ascii="Arial" w:hAnsi="Arial" w:cs="Arial"/>
          <w:szCs w:val="24"/>
          <w:lang w:eastAsia="en-AU"/>
        </w:rPr>
        <w:t xml:space="preserve"> their contracts</w:t>
      </w:r>
      <w:r w:rsidR="002C2819">
        <w:rPr>
          <w:rFonts w:ascii="Arial" w:hAnsi="Arial" w:cs="Arial"/>
          <w:szCs w:val="24"/>
          <w:lang w:eastAsia="en-AU"/>
        </w:rPr>
        <w:t xml:space="preserve"> </w:t>
      </w:r>
      <w:r>
        <w:rPr>
          <w:rFonts w:ascii="Arial" w:hAnsi="Arial" w:cs="Arial"/>
          <w:szCs w:val="24"/>
          <w:lang w:eastAsia="en-AU"/>
        </w:rPr>
        <w:t>a</w:t>
      </w:r>
      <w:r w:rsidR="008A32F9">
        <w:rPr>
          <w:rFonts w:ascii="Arial" w:hAnsi="Arial" w:cs="Arial"/>
          <w:szCs w:val="24"/>
          <w:lang w:eastAsia="en-AU"/>
        </w:rPr>
        <w:t xml:space="preserve">llow for price adjustments </w:t>
      </w:r>
      <w:r w:rsidR="008A32F9" w:rsidRPr="0082154D">
        <w:rPr>
          <w:rFonts w:ascii="Arial" w:hAnsi="Arial" w:cs="Arial"/>
          <w:i/>
          <w:szCs w:val="24"/>
          <w:lang w:eastAsia="en-AU"/>
        </w:rPr>
        <w:t>at all</w:t>
      </w:r>
      <w:r w:rsidR="008A32F9" w:rsidRPr="008A32F9">
        <w:rPr>
          <w:rFonts w:ascii="Arial" w:hAnsi="Arial" w:cs="Arial"/>
          <w:szCs w:val="24"/>
          <w:lang w:eastAsia="en-AU"/>
        </w:rPr>
        <w:t>,</w:t>
      </w:r>
      <w:r w:rsidR="008A32F9">
        <w:rPr>
          <w:rFonts w:ascii="Arial" w:hAnsi="Arial" w:cs="Arial"/>
          <w:szCs w:val="24"/>
          <w:lang w:eastAsia="en-AU"/>
        </w:rPr>
        <w:t xml:space="preserve"> the contracts tend to </w:t>
      </w:r>
      <w:r>
        <w:rPr>
          <w:rFonts w:ascii="Arial" w:hAnsi="Arial" w:cs="Arial"/>
          <w:szCs w:val="24"/>
          <w:lang w:eastAsia="en-AU"/>
        </w:rPr>
        <w:t xml:space="preserve">have floors </w:t>
      </w:r>
      <w:r w:rsidR="0082154D">
        <w:rPr>
          <w:rFonts w:ascii="Arial" w:hAnsi="Arial" w:cs="Arial"/>
          <w:szCs w:val="24"/>
          <w:lang w:eastAsia="en-AU"/>
        </w:rPr>
        <w:t xml:space="preserve">and ceilings </w:t>
      </w:r>
      <w:r>
        <w:rPr>
          <w:rFonts w:ascii="Arial" w:hAnsi="Arial" w:cs="Arial"/>
          <w:szCs w:val="24"/>
          <w:lang w:eastAsia="en-AU"/>
        </w:rPr>
        <w:t>so</w:t>
      </w:r>
      <w:r w:rsidR="002C2819">
        <w:rPr>
          <w:rFonts w:ascii="Arial" w:hAnsi="Arial" w:cs="Arial"/>
          <w:szCs w:val="24"/>
          <w:lang w:eastAsia="en-AU"/>
        </w:rPr>
        <w:t xml:space="preserve"> they cannot change prices </w:t>
      </w:r>
      <w:r w:rsidR="008A32F9">
        <w:rPr>
          <w:rFonts w:ascii="Arial" w:hAnsi="Arial" w:cs="Arial"/>
          <w:szCs w:val="24"/>
          <w:lang w:eastAsia="en-AU"/>
        </w:rPr>
        <w:t xml:space="preserve">until several months after their </w:t>
      </w:r>
      <w:r w:rsidR="002C2819">
        <w:rPr>
          <w:rFonts w:ascii="Arial" w:hAnsi="Arial" w:cs="Arial"/>
          <w:szCs w:val="24"/>
          <w:lang w:eastAsia="en-AU"/>
        </w:rPr>
        <w:t xml:space="preserve">costs </w:t>
      </w:r>
      <w:r>
        <w:rPr>
          <w:rFonts w:ascii="Arial" w:hAnsi="Arial" w:cs="Arial"/>
          <w:szCs w:val="24"/>
          <w:lang w:eastAsia="en-AU"/>
        </w:rPr>
        <w:t>change</w:t>
      </w:r>
      <w:r w:rsidR="008A32F9">
        <w:rPr>
          <w:rFonts w:ascii="Arial" w:hAnsi="Arial" w:cs="Arial"/>
          <w:szCs w:val="24"/>
          <w:lang w:eastAsia="en-AU"/>
        </w:rPr>
        <w:t>.</w:t>
      </w:r>
    </w:p>
    <w:p w:rsidR="0082154D" w:rsidRDefault="0082154D" w:rsidP="007C19F7">
      <w:pPr>
        <w:rPr>
          <w:rFonts w:ascii="Arial" w:hAnsi="Arial" w:cs="Arial"/>
          <w:szCs w:val="24"/>
          <w:lang w:eastAsia="en-AU"/>
        </w:rPr>
      </w:pPr>
    </w:p>
    <w:p w:rsidR="002C2819" w:rsidRDefault="008A32F9" w:rsidP="007C19F7">
      <w:pPr>
        <w:rPr>
          <w:rFonts w:ascii="Arial" w:hAnsi="Arial" w:cs="Arial"/>
          <w:szCs w:val="24"/>
          <w:lang w:eastAsia="en-AU"/>
        </w:rPr>
      </w:pPr>
      <w:r>
        <w:rPr>
          <w:rFonts w:ascii="Arial" w:hAnsi="Arial" w:cs="Arial"/>
          <w:szCs w:val="24"/>
          <w:lang w:eastAsia="en-AU"/>
        </w:rPr>
        <w:t>PAYGO has not delivered the</w:t>
      </w:r>
      <w:r w:rsidR="002C2819">
        <w:rPr>
          <w:rFonts w:ascii="Arial" w:hAnsi="Arial" w:cs="Arial"/>
          <w:szCs w:val="24"/>
          <w:lang w:eastAsia="en-AU"/>
        </w:rPr>
        <w:t xml:space="preserve"> </w:t>
      </w:r>
      <w:r w:rsidR="00662B09">
        <w:rPr>
          <w:rFonts w:ascii="Arial" w:hAnsi="Arial" w:cs="Arial"/>
          <w:szCs w:val="24"/>
          <w:lang w:eastAsia="en-AU"/>
        </w:rPr>
        <w:t xml:space="preserve">predictability and </w:t>
      </w:r>
      <w:r w:rsidR="0082154D">
        <w:rPr>
          <w:rFonts w:ascii="Arial" w:hAnsi="Arial" w:cs="Arial"/>
          <w:szCs w:val="24"/>
          <w:lang w:eastAsia="en-AU"/>
        </w:rPr>
        <w:t xml:space="preserve">stability </w:t>
      </w:r>
      <w:r>
        <w:rPr>
          <w:rFonts w:ascii="Arial" w:hAnsi="Arial" w:cs="Arial"/>
          <w:szCs w:val="24"/>
          <w:lang w:eastAsia="en-AU"/>
        </w:rPr>
        <w:t>that businesses operating in this sort</w:t>
      </w:r>
      <w:r w:rsidR="00662B09">
        <w:rPr>
          <w:rFonts w:ascii="Arial" w:hAnsi="Arial" w:cs="Arial"/>
          <w:szCs w:val="24"/>
          <w:lang w:eastAsia="en-AU"/>
        </w:rPr>
        <w:t xml:space="preserve"> of commercial env</w:t>
      </w:r>
      <w:r w:rsidR="00895E1C">
        <w:rPr>
          <w:rFonts w:ascii="Arial" w:hAnsi="Arial" w:cs="Arial"/>
          <w:szCs w:val="24"/>
          <w:lang w:eastAsia="en-AU"/>
        </w:rPr>
        <w:t>ironment need, as table 2 shows.</w:t>
      </w:r>
    </w:p>
    <w:p w:rsidR="0082154D" w:rsidRDefault="0082154D" w:rsidP="00F52450">
      <w:pPr>
        <w:keepNext/>
        <w:keepLines/>
        <w:rPr>
          <w:rFonts w:ascii="Arial" w:hAnsi="Arial" w:cs="Arial"/>
          <w:szCs w:val="24"/>
          <w:lang w:eastAsia="en-AU"/>
        </w:rPr>
      </w:pPr>
    </w:p>
    <w:p w:rsidR="00662B09" w:rsidRPr="00627A5E" w:rsidRDefault="00662B09" w:rsidP="00F52450">
      <w:pPr>
        <w:keepNext/>
        <w:keepLines/>
        <w:spacing w:after="40"/>
        <w:jc w:val="both"/>
        <w:rPr>
          <w:rFonts w:ascii="Arial" w:hAnsi="Arial" w:cs="Arial"/>
          <w:b/>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2"/>
        <w:gridCol w:w="2755"/>
        <w:gridCol w:w="2891"/>
      </w:tblGrid>
      <w:tr w:rsidR="00A73A7A" w:rsidRPr="00007C86" w:rsidTr="00A73A7A">
        <w:trPr>
          <w:jc w:val="center"/>
        </w:trPr>
        <w:tc>
          <w:tcPr>
            <w:tcW w:w="5000" w:type="pct"/>
            <w:gridSpan w:val="3"/>
            <w:tcBorders>
              <w:bottom w:val="single" w:sz="4" w:space="0" w:color="auto"/>
            </w:tcBorders>
          </w:tcPr>
          <w:p w:rsidR="00A73A7A" w:rsidRPr="00A73A7A" w:rsidRDefault="00A73A7A" w:rsidP="00A73A7A">
            <w:pPr>
              <w:keepNext/>
              <w:keepLines/>
              <w:spacing w:after="40"/>
              <w:jc w:val="both"/>
              <w:rPr>
                <w:rFonts w:ascii="Arial" w:hAnsi="Arial" w:cs="Arial"/>
                <w:b/>
                <w:sz w:val="20"/>
                <w:szCs w:val="20"/>
              </w:rPr>
            </w:pPr>
            <w:r w:rsidRPr="00627A5E">
              <w:rPr>
                <w:rFonts w:ascii="Arial" w:hAnsi="Arial" w:cs="Arial"/>
                <w:b/>
                <w:sz w:val="20"/>
                <w:szCs w:val="20"/>
              </w:rPr>
              <w:t>Table 2: Recent high registration increases by configuration</w:t>
            </w:r>
          </w:p>
        </w:tc>
      </w:tr>
      <w:tr w:rsidR="00627A5E" w:rsidRPr="00007C86" w:rsidTr="00A73A7A">
        <w:trPr>
          <w:jc w:val="center"/>
        </w:trPr>
        <w:tc>
          <w:tcPr>
            <w:tcW w:w="2071" w:type="pct"/>
            <w:tcBorders>
              <w:top w:val="single" w:sz="4" w:space="0" w:color="auto"/>
              <w:bottom w:val="single" w:sz="4" w:space="0" w:color="auto"/>
            </w:tcBorders>
          </w:tcPr>
          <w:p w:rsidR="00627A5E" w:rsidRPr="00A73A7A" w:rsidRDefault="00627A5E" w:rsidP="00F52450">
            <w:pPr>
              <w:keepNext/>
              <w:keepLines/>
              <w:rPr>
                <w:rFonts w:ascii="Arial" w:hAnsi="Arial" w:cs="Arial"/>
                <w:sz w:val="20"/>
                <w:szCs w:val="20"/>
              </w:rPr>
            </w:pPr>
            <w:r w:rsidRPr="00A73A7A">
              <w:rPr>
                <w:rFonts w:ascii="Arial" w:hAnsi="Arial" w:cs="Arial"/>
                <w:sz w:val="20"/>
                <w:szCs w:val="20"/>
              </w:rPr>
              <w:t>Vehicle configuration</w:t>
            </w:r>
          </w:p>
        </w:tc>
        <w:tc>
          <w:tcPr>
            <w:tcW w:w="1429" w:type="pct"/>
            <w:tcBorders>
              <w:top w:val="single" w:sz="4" w:space="0" w:color="auto"/>
              <w:bottom w:val="single" w:sz="4" w:space="0" w:color="auto"/>
            </w:tcBorders>
          </w:tcPr>
          <w:p w:rsidR="00627A5E" w:rsidRPr="00A73A7A" w:rsidRDefault="00627A5E" w:rsidP="00F52450">
            <w:pPr>
              <w:keepNext/>
              <w:keepLines/>
              <w:rPr>
                <w:rFonts w:ascii="Arial" w:hAnsi="Arial" w:cs="Arial"/>
                <w:sz w:val="20"/>
                <w:szCs w:val="20"/>
              </w:rPr>
            </w:pPr>
            <w:r w:rsidRPr="00A73A7A">
              <w:rPr>
                <w:rFonts w:ascii="Arial" w:hAnsi="Arial" w:cs="Arial"/>
                <w:sz w:val="20"/>
                <w:szCs w:val="20"/>
              </w:rPr>
              <w:t>Adjustment date</w:t>
            </w:r>
          </w:p>
        </w:tc>
        <w:tc>
          <w:tcPr>
            <w:tcW w:w="1500" w:type="pct"/>
            <w:tcBorders>
              <w:top w:val="single" w:sz="4" w:space="0" w:color="auto"/>
              <w:bottom w:val="single" w:sz="4" w:space="0" w:color="auto"/>
            </w:tcBorders>
          </w:tcPr>
          <w:p w:rsidR="00F52450" w:rsidRPr="00A73A7A" w:rsidRDefault="00627A5E" w:rsidP="00F52450">
            <w:pPr>
              <w:keepNext/>
              <w:keepLines/>
              <w:jc w:val="right"/>
              <w:rPr>
                <w:rFonts w:ascii="Arial" w:hAnsi="Arial" w:cs="Arial"/>
                <w:sz w:val="20"/>
                <w:szCs w:val="20"/>
              </w:rPr>
            </w:pPr>
            <w:r w:rsidRPr="00A73A7A">
              <w:rPr>
                <w:rFonts w:ascii="Arial" w:hAnsi="Arial" w:cs="Arial"/>
                <w:sz w:val="20"/>
                <w:szCs w:val="20"/>
              </w:rPr>
              <w:t xml:space="preserve">% </w:t>
            </w:r>
            <w:r w:rsidR="00F52450" w:rsidRPr="00A73A7A">
              <w:rPr>
                <w:rFonts w:ascii="Arial" w:hAnsi="Arial" w:cs="Arial"/>
                <w:sz w:val="20"/>
                <w:szCs w:val="20"/>
              </w:rPr>
              <w:t xml:space="preserve">change </w:t>
            </w:r>
          </w:p>
          <w:p w:rsidR="00627A5E" w:rsidRPr="00A73A7A" w:rsidRDefault="00F52450" w:rsidP="00F52450">
            <w:pPr>
              <w:keepNext/>
              <w:keepLines/>
              <w:jc w:val="right"/>
              <w:rPr>
                <w:rFonts w:ascii="Arial" w:hAnsi="Arial" w:cs="Arial"/>
                <w:sz w:val="20"/>
                <w:szCs w:val="20"/>
              </w:rPr>
            </w:pPr>
            <w:r w:rsidRPr="00A73A7A">
              <w:rPr>
                <w:rFonts w:ascii="Arial" w:hAnsi="Arial" w:cs="Arial"/>
                <w:sz w:val="20"/>
                <w:szCs w:val="20"/>
              </w:rPr>
              <w:t>actual</w:t>
            </w:r>
          </w:p>
        </w:tc>
      </w:tr>
      <w:tr w:rsidR="00627A5E" w:rsidRPr="00007C86" w:rsidTr="00A73A7A">
        <w:trPr>
          <w:jc w:val="center"/>
        </w:trPr>
        <w:tc>
          <w:tcPr>
            <w:tcW w:w="2071" w:type="pct"/>
            <w:tcBorders>
              <w:top w:val="single" w:sz="4" w:space="0" w:color="auto"/>
            </w:tcBorders>
          </w:tcPr>
          <w:p w:rsidR="00627A5E" w:rsidRPr="00627A5E" w:rsidRDefault="00A73A7A" w:rsidP="00F52450">
            <w:pPr>
              <w:keepNext/>
              <w:keepLines/>
              <w:rPr>
                <w:rFonts w:ascii="Arial" w:hAnsi="Arial" w:cs="Arial"/>
                <w:sz w:val="20"/>
                <w:szCs w:val="20"/>
              </w:rPr>
            </w:pPr>
            <w:r>
              <w:rPr>
                <w:rFonts w:ascii="Arial" w:hAnsi="Arial" w:cs="Arial"/>
                <w:sz w:val="20"/>
                <w:szCs w:val="20"/>
              </w:rPr>
              <w:t>B-double 9 a</w:t>
            </w:r>
            <w:r w:rsidR="00627A5E" w:rsidRPr="00627A5E">
              <w:rPr>
                <w:rFonts w:ascii="Arial" w:hAnsi="Arial" w:cs="Arial"/>
                <w:sz w:val="20"/>
                <w:szCs w:val="20"/>
              </w:rPr>
              <w:t>xle</w:t>
            </w:r>
          </w:p>
        </w:tc>
        <w:tc>
          <w:tcPr>
            <w:tcW w:w="1429" w:type="pct"/>
            <w:tcBorders>
              <w:top w:val="single" w:sz="4" w:space="0" w:color="auto"/>
            </w:tcBorders>
          </w:tcPr>
          <w:p w:rsidR="00627A5E" w:rsidRPr="00627A5E" w:rsidRDefault="00627A5E" w:rsidP="00F52450">
            <w:pPr>
              <w:keepNext/>
              <w:keepLines/>
              <w:rPr>
                <w:rFonts w:ascii="Arial" w:hAnsi="Arial" w:cs="Arial"/>
                <w:sz w:val="20"/>
                <w:szCs w:val="20"/>
              </w:rPr>
            </w:pPr>
            <w:r>
              <w:rPr>
                <w:rFonts w:ascii="Arial" w:hAnsi="Arial" w:cs="Arial"/>
                <w:sz w:val="20"/>
                <w:szCs w:val="20"/>
              </w:rPr>
              <w:t>Sept q</w:t>
            </w:r>
            <w:r w:rsidRPr="00627A5E">
              <w:rPr>
                <w:rFonts w:ascii="Arial" w:hAnsi="Arial" w:cs="Arial"/>
                <w:sz w:val="20"/>
                <w:szCs w:val="20"/>
              </w:rPr>
              <w:t>tr 2010</w:t>
            </w:r>
          </w:p>
        </w:tc>
        <w:tc>
          <w:tcPr>
            <w:tcW w:w="1500" w:type="pct"/>
            <w:tcBorders>
              <w:top w:val="single" w:sz="4" w:space="0" w:color="auto"/>
            </w:tcBorders>
          </w:tcPr>
          <w:p w:rsidR="00627A5E" w:rsidRPr="00627A5E" w:rsidRDefault="00627A5E" w:rsidP="00F52450">
            <w:pPr>
              <w:keepNext/>
              <w:keepLines/>
              <w:jc w:val="right"/>
              <w:rPr>
                <w:rFonts w:ascii="Arial" w:hAnsi="Arial" w:cs="Arial"/>
                <w:sz w:val="20"/>
                <w:szCs w:val="20"/>
              </w:rPr>
            </w:pPr>
            <w:r>
              <w:rPr>
                <w:rFonts w:ascii="Arial" w:hAnsi="Arial" w:cs="Arial"/>
                <w:sz w:val="20"/>
                <w:szCs w:val="20"/>
              </w:rPr>
              <w:t>+25.5</w:t>
            </w:r>
          </w:p>
        </w:tc>
      </w:tr>
      <w:tr w:rsidR="00627A5E" w:rsidRPr="00007C86" w:rsidTr="00627A5E">
        <w:trPr>
          <w:jc w:val="center"/>
        </w:trPr>
        <w:tc>
          <w:tcPr>
            <w:tcW w:w="2071" w:type="pct"/>
          </w:tcPr>
          <w:p w:rsidR="00627A5E" w:rsidRPr="00627A5E" w:rsidRDefault="00A73A7A" w:rsidP="00F52450">
            <w:pPr>
              <w:keepNext/>
              <w:keepLines/>
              <w:rPr>
                <w:rFonts w:ascii="Arial" w:hAnsi="Arial" w:cs="Arial"/>
                <w:sz w:val="20"/>
                <w:szCs w:val="20"/>
              </w:rPr>
            </w:pPr>
            <w:r>
              <w:rPr>
                <w:rFonts w:ascii="Arial" w:hAnsi="Arial" w:cs="Arial"/>
                <w:sz w:val="20"/>
                <w:szCs w:val="20"/>
              </w:rPr>
              <w:t>B-double 9 a</w:t>
            </w:r>
            <w:r w:rsidR="00627A5E" w:rsidRPr="00627A5E">
              <w:rPr>
                <w:rFonts w:ascii="Arial" w:hAnsi="Arial" w:cs="Arial"/>
                <w:sz w:val="20"/>
                <w:szCs w:val="20"/>
              </w:rPr>
              <w:t>xle</w:t>
            </w:r>
          </w:p>
        </w:tc>
        <w:tc>
          <w:tcPr>
            <w:tcW w:w="1429" w:type="pct"/>
          </w:tcPr>
          <w:p w:rsidR="00627A5E" w:rsidRPr="00627A5E" w:rsidRDefault="00627A5E" w:rsidP="00F52450">
            <w:pPr>
              <w:keepNext/>
              <w:keepLines/>
              <w:rPr>
                <w:rFonts w:ascii="Arial" w:hAnsi="Arial" w:cs="Arial"/>
                <w:sz w:val="20"/>
                <w:szCs w:val="20"/>
              </w:rPr>
            </w:pPr>
            <w:r>
              <w:rPr>
                <w:rFonts w:ascii="Arial" w:hAnsi="Arial" w:cs="Arial"/>
                <w:sz w:val="20"/>
                <w:szCs w:val="20"/>
              </w:rPr>
              <w:t>Sept q</w:t>
            </w:r>
            <w:r w:rsidRPr="00627A5E">
              <w:rPr>
                <w:rFonts w:ascii="Arial" w:hAnsi="Arial" w:cs="Arial"/>
                <w:sz w:val="20"/>
                <w:szCs w:val="20"/>
              </w:rPr>
              <w:t>tr 2012</w:t>
            </w:r>
          </w:p>
        </w:tc>
        <w:tc>
          <w:tcPr>
            <w:tcW w:w="1500" w:type="pct"/>
          </w:tcPr>
          <w:p w:rsidR="00627A5E" w:rsidRPr="00627A5E" w:rsidRDefault="00627A5E" w:rsidP="00F52450">
            <w:pPr>
              <w:keepNext/>
              <w:keepLines/>
              <w:jc w:val="right"/>
              <w:rPr>
                <w:rFonts w:ascii="Arial" w:hAnsi="Arial" w:cs="Arial"/>
                <w:sz w:val="20"/>
                <w:szCs w:val="20"/>
              </w:rPr>
            </w:pPr>
            <w:r w:rsidRPr="00627A5E">
              <w:rPr>
                <w:rFonts w:ascii="Arial" w:hAnsi="Arial" w:cs="Arial"/>
                <w:sz w:val="20"/>
                <w:szCs w:val="20"/>
              </w:rPr>
              <w:t>-8.3</w:t>
            </w:r>
          </w:p>
        </w:tc>
      </w:tr>
      <w:tr w:rsidR="00627A5E" w:rsidRPr="00007C86" w:rsidTr="00627A5E">
        <w:trPr>
          <w:jc w:val="center"/>
        </w:trPr>
        <w:tc>
          <w:tcPr>
            <w:tcW w:w="2071" w:type="pct"/>
          </w:tcPr>
          <w:p w:rsidR="00627A5E" w:rsidRPr="00627A5E" w:rsidRDefault="00A73A7A" w:rsidP="00F52450">
            <w:pPr>
              <w:keepNext/>
              <w:keepLines/>
              <w:rPr>
                <w:rFonts w:ascii="Arial" w:hAnsi="Arial" w:cs="Arial"/>
                <w:sz w:val="20"/>
                <w:szCs w:val="20"/>
              </w:rPr>
            </w:pPr>
            <w:r>
              <w:rPr>
                <w:rFonts w:ascii="Arial" w:hAnsi="Arial" w:cs="Arial"/>
                <w:sz w:val="20"/>
                <w:szCs w:val="20"/>
              </w:rPr>
              <w:t>Road trains double, t</w:t>
            </w:r>
            <w:r w:rsidR="00627A5E" w:rsidRPr="00627A5E">
              <w:rPr>
                <w:rFonts w:ascii="Arial" w:hAnsi="Arial" w:cs="Arial"/>
                <w:sz w:val="20"/>
                <w:szCs w:val="20"/>
              </w:rPr>
              <w:t>riple</w:t>
            </w:r>
          </w:p>
        </w:tc>
        <w:tc>
          <w:tcPr>
            <w:tcW w:w="1429" w:type="pct"/>
          </w:tcPr>
          <w:p w:rsidR="00627A5E" w:rsidRPr="00627A5E" w:rsidRDefault="00627A5E" w:rsidP="00F52450">
            <w:pPr>
              <w:keepNext/>
              <w:keepLines/>
              <w:rPr>
                <w:rFonts w:ascii="Arial" w:hAnsi="Arial" w:cs="Arial"/>
                <w:sz w:val="20"/>
                <w:szCs w:val="20"/>
              </w:rPr>
            </w:pPr>
            <w:r>
              <w:rPr>
                <w:rFonts w:ascii="Arial" w:hAnsi="Arial" w:cs="Arial"/>
                <w:sz w:val="20"/>
                <w:szCs w:val="20"/>
              </w:rPr>
              <w:t>Sept q</w:t>
            </w:r>
            <w:r w:rsidRPr="00627A5E">
              <w:rPr>
                <w:rFonts w:ascii="Arial" w:hAnsi="Arial" w:cs="Arial"/>
                <w:sz w:val="20"/>
                <w:szCs w:val="20"/>
              </w:rPr>
              <w:t>tr 2012</w:t>
            </w:r>
          </w:p>
        </w:tc>
        <w:tc>
          <w:tcPr>
            <w:tcW w:w="1500" w:type="pct"/>
          </w:tcPr>
          <w:p w:rsidR="00627A5E" w:rsidRPr="00627A5E" w:rsidRDefault="00627A5E" w:rsidP="00F52450">
            <w:pPr>
              <w:keepNext/>
              <w:keepLines/>
              <w:jc w:val="right"/>
              <w:rPr>
                <w:rFonts w:ascii="Arial" w:hAnsi="Arial" w:cs="Arial"/>
                <w:sz w:val="20"/>
                <w:szCs w:val="20"/>
              </w:rPr>
            </w:pPr>
            <w:r w:rsidRPr="00627A5E">
              <w:rPr>
                <w:rFonts w:ascii="Arial" w:hAnsi="Arial" w:cs="Arial"/>
                <w:sz w:val="20"/>
                <w:szCs w:val="20"/>
              </w:rPr>
              <w:t>+21.0</w:t>
            </w:r>
          </w:p>
        </w:tc>
      </w:tr>
      <w:tr w:rsidR="00627A5E" w:rsidRPr="00007C86" w:rsidTr="00627A5E">
        <w:trPr>
          <w:jc w:val="center"/>
        </w:trPr>
        <w:tc>
          <w:tcPr>
            <w:tcW w:w="2071" w:type="pct"/>
          </w:tcPr>
          <w:p w:rsidR="00627A5E" w:rsidRPr="00627A5E" w:rsidRDefault="00A73A7A" w:rsidP="00F52450">
            <w:pPr>
              <w:keepNext/>
              <w:keepLines/>
              <w:rPr>
                <w:rFonts w:ascii="Arial" w:hAnsi="Arial" w:cs="Arial"/>
                <w:sz w:val="20"/>
                <w:szCs w:val="20"/>
              </w:rPr>
            </w:pPr>
            <w:r>
              <w:rPr>
                <w:rFonts w:ascii="Arial" w:hAnsi="Arial" w:cs="Arial"/>
                <w:sz w:val="20"/>
                <w:szCs w:val="20"/>
              </w:rPr>
              <w:t>2 axle rigid t</w:t>
            </w:r>
            <w:r w:rsidR="00627A5E" w:rsidRPr="00627A5E">
              <w:rPr>
                <w:rFonts w:ascii="Arial" w:hAnsi="Arial" w:cs="Arial"/>
                <w:sz w:val="20"/>
                <w:szCs w:val="20"/>
              </w:rPr>
              <w:t>ruck</w:t>
            </w:r>
          </w:p>
        </w:tc>
        <w:tc>
          <w:tcPr>
            <w:tcW w:w="1429" w:type="pct"/>
          </w:tcPr>
          <w:p w:rsidR="00627A5E" w:rsidRPr="00627A5E" w:rsidRDefault="00627A5E" w:rsidP="00F52450">
            <w:pPr>
              <w:keepNext/>
              <w:keepLines/>
              <w:rPr>
                <w:rFonts w:ascii="Arial" w:hAnsi="Arial" w:cs="Arial"/>
                <w:sz w:val="20"/>
                <w:szCs w:val="20"/>
              </w:rPr>
            </w:pPr>
            <w:r>
              <w:rPr>
                <w:rFonts w:ascii="Arial" w:hAnsi="Arial" w:cs="Arial"/>
                <w:sz w:val="20"/>
                <w:szCs w:val="20"/>
              </w:rPr>
              <w:t>Sept q</w:t>
            </w:r>
            <w:r w:rsidRPr="00627A5E">
              <w:rPr>
                <w:rFonts w:ascii="Arial" w:hAnsi="Arial" w:cs="Arial"/>
                <w:sz w:val="20"/>
                <w:szCs w:val="20"/>
              </w:rPr>
              <w:t>tr 2012</w:t>
            </w:r>
          </w:p>
        </w:tc>
        <w:tc>
          <w:tcPr>
            <w:tcW w:w="1500" w:type="pct"/>
          </w:tcPr>
          <w:p w:rsidR="00627A5E" w:rsidRPr="00627A5E" w:rsidRDefault="00627A5E" w:rsidP="00F52450">
            <w:pPr>
              <w:keepNext/>
              <w:keepLines/>
              <w:jc w:val="right"/>
              <w:rPr>
                <w:rFonts w:ascii="Arial" w:hAnsi="Arial" w:cs="Arial"/>
                <w:sz w:val="20"/>
                <w:szCs w:val="20"/>
              </w:rPr>
            </w:pPr>
            <w:r>
              <w:rPr>
                <w:rFonts w:ascii="Arial" w:hAnsi="Arial" w:cs="Arial"/>
                <w:sz w:val="20"/>
                <w:szCs w:val="20"/>
              </w:rPr>
              <w:t>+29.0</w:t>
            </w:r>
          </w:p>
        </w:tc>
      </w:tr>
      <w:tr w:rsidR="00627A5E" w:rsidRPr="00007C86" w:rsidTr="00627A5E">
        <w:trPr>
          <w:jc w:val="center"/>
        </w:trPr>
        <w:tc>
          <w:tcPr>
            <w:tcW w:w="2071" w:type="pct"/>
          </w:tcPr>
          <w:p w:rsidR="00627A5E" w:rsidRPr="00627A5E" w:rsidRDefault="00A73A7A" w:rsidP="00F52450">
            <w:pPr>
              <w:keepNext/>
              <w:keepLines/>
              <w:rPr>
                <w:rFonts w:ascii="Arial" w:hAnsi="Arial" w:cs="Arial"/>
                <w:sz w:val="20"/>
                <w:szCs w:val="20"/>
              </w:rPr>
            </w:pPr>
            <w:r>
              <w:rPr>
                <w:rFonts w:ascii="Arial" w:hAnsi="Arial" w:cs="Arial"/>
                <w:sz w:val="20"/>
                <w:szCs w:val="20"/>
              </w:rPr>
              <w:t>2 axle rigid t</w:t>
            </w:r>
            <w:r w:rsidR="00627A5E" w:rsidRPr="00627A5E">
              <w:rPr>
                <w:rFonts w:ascii="Arial" w:hAnsi="Arial" w:cs="Arial"/>
                <w:sz w:val="20"/>
                <w:szCs w:val="20"/>
              </w:rPr>
              <w:t>ruck</w:t>
            </w:r>
          </w:p>
        </w:tc>
        <w:tc>
          <w:tcPr>
            <w:tcW w:w="1429" w:type="pct"/>
          </w:tcPr>
          <w:p w:rsidR="00627A5E" w:rsidRPr="00627A5E" w:rsidRDefault="00627A5E" w:rsidP="00F52450">
            <w:pPr>
              <w:keepNext/>
              <w:keepLines/>
              <w:rPr>
                <w:rFonts w:ascii="Arial" w:hAnsi="Arial" w:cs="Arial"/>
                <w:sz w:val="20"/>
                <w:szCs w:val="20"/>
              </w:rPr>
            </w:pPr>
            <w:r w:rsidRPr="00627A5E">
              <w:rPr>
                <w:rFonts w:ascii="Arial" w:hAnsi="Arial" w:cs="Arial"/>
                <w:sz w:val="20"/>
                <w:szCs w:val="20"/>
              </w:rPr>
              <w:t>July 2016</w:t>
            </w:r>
          </w:p>
        </w:tc>
        <w:tc>
          <w:tcPr>
            <w:tcW w:w="1500" w:type="pct"/>
          </w:tcPr>
          <w:p w:rsidR="00627A5E" w:rsidRPr="00627A5E" w:rsidRDefault="00627A5E" w:rsidP="00F52450">
            <w:pPr>
              <w:keepNext/>
              <w:keepLines/>
              <w:jc w:val="right"/>
              <w:rPr>
                <w:rFonts w:ascii="Arial" w:hAnsi="Arial" w:cs="Arial"/>
                <w:sz w:val="20"/>
                <w:szCs w:val="20"/>
              </w:rPr>
            </w:pPr>
            <w:r>
              <w:rPr>
                <w:rFonts w:ascii="Arial" w:hAnsi="Arial" w:cs="Arial"/>
                <w:sz w:val="20"/>
                <w:szCs w:val="20"/>
              </w:rPr>
              <w:t>+11.0</w:t>
            </w:r>
          </w:p>
        </w:tc>
      </w:tr>
      <w:tr w:rsidR="00627A5E" w:rsidRPr="00007C86" w:rsidTr="00627A5E">
        <w:trPr>
          <w:jc w:val="center"/>
        </w:trPr>
        <w:tc>
          <w:tcPr>
            <w:tcW w:w="2071" w:type="pct"/>
          </w:tcPr>
          <w:p w:rsidR="00627A5E" w:rsidRPr="00627A5E" w:rsidRDefault="00A73A7A" w:rsidP="00F52450">
            <w:pPr>
              <w:keepNext/>
              <w:keepLines/>
              <w:rPr>
                <w:rFonts w:ascii="Arial" w:hAnsi="Arial" w:cs="Arial"/>
                <w:sz w:val="20"/>
                <w:szCs w:val="20"/>
              </w:rPr>
            </w:pPr>
            <w:r>
              <w:rPr>
                <w:rFonts w:ascii="Arial" w:hAnsi="Arial" w:cs="Arial"/>
                <w:sz w:val="20"/>
                <w:szCs w:val="20"/>
              </w:rPr>
              <w:t>6 a</w:t>
            </w:r>
            <w:r w:rsidR="00627A5E" w:rsidRPr="00627A5E">
              <w:rPr>
                <w:rFonts w:ascii="Arial" w:hAnsi="Arial" w:cs="Arial"/>
                <w:sz w:val="20"/>
                <w:szCs w:val="20"/>
              </w:rPr>
              <w:t xml:space="preserve">xle </w:t>
            </w:r>
            <w:r>
              <w:rPr>
                <w:rFonts w:ascii="Arial" w:hAnsi="Arial" w:cs="Arial"/>
                <w:sz w:val="20"/>
                <w:szCs w:val="20"/>
              </w:rPr>
              <w:t>semi</w:t>
            </w:r>
            <w:r w:rsidR="00627A5E" w:rsidRPr="00627A5E">
              <w:rPr>
                <w:rFonts w:ascii="Arial" w:hAnsi="Arial" w:cs="Arial"/>
                <w:sz w:val="20"/>
                <w:szCs w:val="20"/>
              </w:rPr>
              <w:t>trailer</w:t>
            </w:r>
          </w:p>
        </w:tc>
        <w:tc>
          <w:tcPr>
            <w:tcW w:w="1429" w:type="pct"/>
          </w:tcPr>
          <w:p w:rsidR="00627A5E" w:rsidRPr="00627A5E" w:rsidRDefault="00A73A7A" w:rsidP="00F52450">
            <w:pPr>
              <w:keepNext/>
              <w:keepLines/>
              <w:rPr>
                <w:rFonts w:ascii="Arial" w:hAnsi="Arial" w:cs="Arial"/>
                <w:sz w:val="20"/>
                <w:szCs w:val="20"/>
              </w:rPr>
            </w:pPr>
            <w:r>
              <w:rPr>
                <w:rFonts w:ascii="Arial" w:hAnsi="Arial" w:cs="Arial"/>
                <w:sz w:val="20"/>
                <w:szCs w:val="20"/>
              </w:rPr>
              <w:t>Sept q</w:t>
            </w:r>
            <w:r w:rsidR="00627A5E" w:rsidRPr="00627A5E">
              <w:rPr>
                <w:rFonts w:ascii="Arial" w:hAnsi="Arial" w:cs="Arial"/>
                <w:sz w:val="20"/>
                <w:szCs w:val="20"/>
              </w:rPr>
              <w:t>tr 2012</w:t>
            </w:r>
          </w:p>
        </w:tc>
        <w:tc>
          <w:tcPr>
            <w:tcW w:w="1500" w:type="pct"/>
          </w:tcPr>
          <w:p w:rsidR="00627A5E" w:rsidRPr="00627A5E" w:rsidRDefault="00627A5E" w:rsidP="00F52450">
            <w:pPr>
              <w:keepNext/>
              <w:keepLines/>
              <w:jc w:val="right"/>
              <w:rPr>
                <w:rFonts w:ascii="Arial" w:hAnsi="Arial" w:cs="Arial"/>
                <w:sz w:val="20"/>
                <w:szCs w:val="20"/>
              </w:rPr>
            </w:pPr>
            <w:r>
              <w:rPr>
                <w:rFonts w:ascii="Arial" w:hAnsi="Arial" w:cs="Arial"/>
                <w:sz w:val="20"/>
                <w:szCs w:val="20"/>
              </w:rPr>
              <w:t>+11.3</w:t>
            </w:r>
          </w:p>
        </w:tc>
      </w:tr>
      <w:tr w:rsidR="00627A5E" w:rsidRPr="00007C86" w:rsidTr="00627A5E">
        <w:trPr>
          <w:jc w:val="center"/>
        </w:trPr>
        <w:tc>
          <w:tcPr>
            <w:tcW w:w="2071" w:type="pct"/>
          </w:tcPr>
          <w:p w:rsidR="00627A5E" w:rsidRPr="00627A5E" w:rsidRDefault="00A73A7A" w:rsidP="00F52450">
            <w:pPr>
              <w:keepNext/>
              <w:keepLines/>
              <w:rPr>
                <w:rFonts w:ascii="Arial" w:hAnsi="Arial" w:cs="Arial"/>
                <w:sz w:val="20"/>
                <w:szCs w:val="20"/>
              </w:rPr>
            </w:pPr>
            <w:r>
              <w:rPr>
                <w:rFonts w:ascii="Arial" w:hAnsi="Arial" w:cs="Arial"/>
                <w:sz w:val="20"/>
                <w:szCs w:val="20"/>
              </w:rPr>
              <w:t>3 axle truck, 3 axle d</w:t>
            </w:r>
            <w:r w:rsidR="00627A5E" w:rsidRPr="00627A5E">
              <w:rPr>
                <w:rFonts w:ascii="Arial" w:hAnsi="Arial" w:cs="Arial"/>
                <w:sz w:val="20"/>
                <w:szCs w:val="20"/>
              </w:rPr>
              <w:t>og</w:t>
            </w:r>
          </w:p>
        </w:tc>
        <w:tc>
          <w:tcPr>
            <w:tcW w:w="1429" w:type="pct"/>
          </w:tcPr>
          <w:p w:rsidR="00627A5E" w:rsidRPr="00627A5E" w:rsidRDefault="00627A5E" w:rsidP="00F52450">
            <w:pPr>
              <w:keepNext/>
              <w:keepLines/>
              <w:rPr>
                <w:rFonts w:ascii="Arial" w:hAnsi="Arial" w:cs="Arial"/>
                <w:sz w:val="20"/>
                <w:szCs w:val="20"/>
              </w:rPr>
            </w:pPr>
            <w:r w:rsidRPr="00627A5E">
              <w:rPr>
                <w:rFonts w:ascii="Arial" w:hAnsi="Arial" w:cs="Arial"/>
                <w:sz w:val="20"/>
                <w:szCs w:val="20"/>
              </w:rPr>
              <w:t>July 2016</w:t>
            </w:r>
          </w:p>
        </w:tc>
        <w:tc>
          <w:tcPr>
            <w:tcW w:w="1500" w:type="pct"/>
          </w:tcPr>
          <w:p w:rsidR="00627A5E" w:rsidRPr="00627A5E" w:rsidRDefault="00627A5E" w:rsidP="00F52450">
            <w:pPr>
              <w:keepNext/>
              <w:keepLines/>
              <w:jc w:val="right"/>
              <w:rPr>
                <w:rFonts w:ascii="Arial" w:hAnsi="Arial" w:cs="Arial"/>
                <w:sz w:val="20"/>
                <w:szCs w:val="20"/>
              </w:rPr>
            </w:pPr>
            <w:r w:rsidRPr="00627A5E">
              <w:rPr>
                <w:rFonts w:ascii="Arial" w:hAnsi="Arial" w:cs="Arial"/>
                <w:sz w:val="20"/>
                <w:szCs w:val="20"/>
              </w:rPr>
              <w:t>+32.0</w:t>
            </w:r>
          </w:p>
        </w:tc>
      </w:tr>
      <w:tr w:rsidR="00627A5E" w:rsidRPr="00007C86" w:rsidTr="00A73A7A">
        <w:trPr>
          <w:jc w:val="center"/>
        </w:trPr>
        <w:tc>
          <w:tcPr>
            <w:tcW w:w="2071" w:type="pct"/>
          </w:tcPr>
          <w:p w:rsidR="00627A5E" w:rsidRPr="00627A5E" w:rsidRDefault="00627A5E" w:rsidP="00F52450">
            <w:pPr>
              <w:keepNext/>
              <w:keepLines/>
              <w:rPr>
                <w:rFonts w:ascii="Arial" w:hAnsi="Arial" w:cs="Arial"/>
                <w:sz w:val="20"/>
                <w:szCs w:val="20"/>
              </w:rPr>
            </w:pPr>
            <w:r w:rsidRPr="00627A5E">
              <w:rPr>
                <w:rFonts w:ascii="Arial" w:hAnsi="Arial" w:cs="Arial"/>
                <w:sz w:val="20"/>
                <w:szCs w:val="20"/>
              </w:rPr>
              <w:t>3</w:t>
            </w:r>
            <w:r w:rsidR="00A73A7A">
              <w:rPr>
                <w:rFonts w:ascii="Arial" w:hAnsi="Arial" w:cs="Arial"/>
                <w:sz w:val="20"/>
                <w:szCs w:val="20"/>
              </w:rPr>
              <w:t xml:space="preserve"> axle t</w:t>
            </w:r>
            <w:r w:rsidRPr="00627A5E">
              <w:rPr>
                <w:rFonts w:ascii="Arial" w:hAnsi="Arial" w:cs="Arial"/>
                <w:sz w:val="20"/>
                <w:szCs w:val="20"/>
              </w:rPr>
              <w:t>ruck</w:t>
            </w:r>
            <w:r w:rsidR="00A73A7A">
              <w:rPr>
                <w:rFonts w:ascii="Arial" w:hAnsi="Arial" w:cs="Arial"/>
                <w:sz w:val="20"/>
                <w:szCs w:val="20"/>
              </w:rPr>
              <w:t>, 4 axle d</w:t>
            </w:r>
            <w:r w:rsidRPr="00627A5E">
              <w:rPr>
                <w:rFonts w:ascii="Arial" w:hAnsi="Arial" w:cs="Arial"/>
                <w:sz w:val="20"/>
                <w:szCs w:val="20"/>
              </w:rPr>
              <w:t>og</w:t>
            </w:r>
          </w:p>
        </w:tc>
        <w:tc>
          <w:tcPr>
            <w:tcW w:w="1429" w:type="pct"/>
          </w:tcPr>
          <w:p w:rsidR="00627A5E" w:rsidRPr="00627A5E" w:rsidRDefault="00627A5E" w:rsidP="00F52450">
            <w:pPr>
              <w:keepNext/>
              <w:keepLines/>
              <w:rPr>
                <w:rFonts w:ascii="Arial" w:hAnsi="Arial" w:cs="Arial"/>
                <w:sz w:val="20"/>
                <w:szCs w:val="20"/>
              </w:rPr>
            </w:pPr>
            <w:r w:rsidRPr="00627A5E">
              <w:rPr>
                <w:rFonts w:ascii="Arial" w:hAnsi="Arial" w:cs="Arial"/>
                <w:sz w:val="20"/>
                <w:szCs w:val="20"/>
              </w:rPr>
              <w:t>July 2016</w:t>
            </w:r>
          </w:p>
        </w:tc>
        <w:tc>
          <w:tcPr>
            <w:tcW w:w="1500" w:type="pct"/>
          </w:tcPr>
          <w:p w:rsidR="00627A5E" w:rsidRPr="00627A5E" w:rsidRDefault="00627A5E" w:rsidP="00F52450">
            <w:pPr>
              <w:keepNext/>
              <w:keepLines/>
              <w:jc w:val="right"/>
              <w:rPr>
                <w:rFonts w:ascii="Arial" w:hAnsi="Arial" w:cs="Arial"/>
                <w:sz w:val="20"/>
                <w:szCs w:val="20"/>
              </w:rPr>
            </w:pPr>
            <w:r>
              <w:rPr>
                <w:rFonts w:ascii="Arial" w:hAnsi="Arial" w:cs="Arial"/>
                <w:sz w:val="20"/>
                <w:szCs w:val="20"/>
              </w:rPr>
              <w:t>+30.7</w:t>
            </w:r>
          </w:p>
        </w:tc>
      </w:tr>
      <w:tr w:rsidR="00627A5E" w:rsidRPr="00007C86" w:rsidTr="00A73A7A">
        <w:trPr>
          <w:jc w:val="center"/>
        </w:trPr>
        <w:tc>
          <w:tcPr>
            <w:tcW w:w="2071" w:type="pct"/>
            <w:tcBorders>
              <w:bottom w:val="single" w:sz="4" w:space="0" w:color="auto"/>
            </w:tcBorders>
            <w:tcMar>
              <w:bottom w:w="0" w:type="dxa"/>
            </w:tcMar>
          </w:tcPr>
          <w:p w:rsidR="00627A5E" w:rsidRPr="00627A5E" w:rsidRDefault="00A73A7A" w:rsidP="00F52450">
            <w:pPr>
              <w:keepNext/>
              <w:keepLines/>
              <w:rPr>
                <w:rFonts w:ascii="Arial" w:hAnsi="Arial" w:cs="Arial"/>
                <w:sz w:val="20"/>
                <w:szCs w:val="20"/>
              </w:rPr>
            </w:pPr>
            <w:r>
              <w:rPr>
                <w:rFonts w:ascii="Arial" w:hAnsi="Arial" w:cs="Arial"/>
                <w:sz w:val="20"/>
                <w:szCs w:val="20"/>
              </w:rPr>
              <w:t>Rigid t</w:t>
            </w:r>
            <w:r w:rsidR="00627A5E" w:rsidRPr="00627A5E">
              <w:rPr>
                <w:rFonts w:ascii="Arial" w:hAnsi="Arial" w:cs="Arial"/>
                <w:sz w:val="20"/>
                <w:szCs w:val="20"/>
              </w:rPr>
              <w:t>ruck 8 x 4</w:t>
            </w:r>
          </w:p>
        </w:tc>
        <w:tc>
          <w:tcPr>
            <w:tcW w:w="1429" w:type="pct"/>
            <w:tcBorders>
              <w:bottom w:val="single" w:sz="4" w:space="0" w:color="auto"/>
            </w:tcBorders>
            <w:tcMar>
              <w:bottom w:w="0" w:type="dxa"/>
            </w:tcMar>
          </w:tcPr>
          <w:p w:rsidR="00627A5E" w:rsidRPr="00627A5E" w:rsidRDefault="00627A5E" w:rsidP="00F52450">
            <w:pPr>
              <w:keepNext/>
              <w:keepLines/>
              <w:rPr>
                <w:rFonts w:ascii="Arial" w:hAnsi="Arial" w:cs="Arial"/>
                <w:sz w:val="20"/>
                <w:szCs w:val="20"/>
              </w:rPr>
            </w:pPr>
            <w:r w:rsidRPr="00627A5E">
              <w:rPr>
                <w:rFonts w:ascii="Arial" w:hAnsi="Arial" w:cs="Arial"/>
                <w:sz w:val="20"/>
                <w:szCs w:val="20"/>
              </w:rPr>
              <w:t>July 2016</w:t>
            </w:r>
          </w:p>
        </w:tc>
        <w:tc>
          <w:tcPr>
            <w:tcW w:w="1500" w:type="pct"/>
            <w:tcBorders>
              <w:bottom w:val="single" w:sz="4" w:space="0" w:color="auto"/>
            </w:tcBorders>
            <w:tcMar>
              <w:bottom w:w="0" w:type="dxa"/>
            </w:tcMar>
          </w:tcPr>
          <w:p w:rsidR="00627A5E" w:rsidRPr="00627A5E" w:rsidRDefault="00627A5E" w:rsidP="00F52450">
            <w:pPr>
              <w:keepNext/>
              <w:keepLines/>
              <w:jc w:val="right"/>
              <w:rPr>
                <w:rFonts w:ascii="Arial" w:hAnsi="Arial" w:cs="Arial"/>
                <w:sz w:val="20"/>
                <w:szCs w:val="20"/>
              </w:rPr>
            </w:pPr>
            <w:r>
              <w:rPr>
                <w:rFonts w:ascii="Arial" w:hAnsi="Arial" w:cs="Arial"/>
                <w:sz w:val="20"/>
                <w:szCs w:val="20"/>
              </w:rPr>
              <w:t>+11.4</w:t>
            </w:r>
          </w:p>
        </w:tc>
      </w:tr>
    </w:tbl>
    <w:p w:rsidR="00662B09" w:rsidRPr="00F42D38" w:rsidRDefault="00F42D38" w:rsidP="00F52450">
      <w:pPr>
        <w:keepNext/>
        <w:keepLines/>
        <w:rPr>
          <w:rFonts w:ascii="Arial" w:hAnsi="Arial" w:cs="Arial"/>
          <w:sz w:val="18"/>
          <w:szCs w:val="18"/>
        </w:rPr>
      </w:pPr>
      <w:r>
        <w:rPr>
          <w:rFonts w:ascii="Arial" w:hAnsi="Arial" w:cs="Arial"/>
          <w:sz w:val="18"/>
          <w:szCs w:val="18"/>
        </w:rPr>
        <w:t>Source: NTC annual r</w:t>
      </w:r>
      <w:r w:rsidR="00662B09" w:rsidRPr="00F42D38">
        <w:rPr>
          <w:rFonts w:ascii="Arial" w:hAnsi="Arial" w:cs="Arial"/>
          <w:sz w:val="18"/>
          <w:szCs w:val="18"/>
        </w:rPr>
        <w:t>egistration notifications</w:t>
      </w:r>
    </w:p>
    <w:p w:rsidR="00662B09" w:rsidRDefault="00662B09" w:rsidP="007C19F7">
      <w:pPr>
        <w:rPr>
          <w:rFonts w:ascii="Arial" w:hAnsi="Arial" w:cs="Arial"/>
          <w:szCs w:val="24"/>
          <w:lang w:eastAsia="en-AU"/>
        </w:rPr>
      </w:pPr>
    </w:p>
    <w:p w:rsidR="00787884" w:rsidRDefault="00787884" w:rsidP="007C19F7">
      <w:pPr>
        <w:rPr>
          <w:rFonts w:ascii="Arial" w:hAnsi="Arial" w:cs="Arial"/>
          <w:szCs w:val="24"/>
          <w:lang w:eastAsia="en-AU"/>
        </w:rPr>
      </w:pPr>
    </w:p>
    <w:p w:rsidR="00787884" w:rsidRPr="00A31C93" w:rsidRDefault="00787884" w:rsidP="00662B09">
      <w:pPr>
        <w:pStyle w:val="Heading2"/>
        <w:keepNext/>
      </w:pPr>
      <w:bookmarkStart w:id="8" w:name="_Toc457400401"/>
      <w:r w:rsidRPr="00A31C93">
        <w:t xml:space="preserve">Cashflow and </w:t>
      </w:r>
      <w:r w:rsidR="003F5267" w:rsidRPr="00A31C93">
        <w:t>compliance costs</w:t>
      </w:r>
      <w:bookmarkEnd w:id="8"/>
    </w:p>
    <w:p w:rsidR="00D7083B" w:rsidRDefault="00D7083B" w:rsidP="00662B09">
      <w:pPr>
        <w:pStyle w:val="NoSpacing"/>
        <w:keepNext/>
        <w:rPr>
          <w:rFonts w:ascii="Arial" w:hAnsi="Arial" w:cs="Arial"/>
          <w:color w:val="auto"/>
          <w:sz w:val="22"/>
          <w:szCs w:val="22"/>
        </w:rPr>
      </w:pPr>
    </w:p>
    <w:p w:rsidR="00D7083B" w:rsidRDefault="00787884" w:rsidP="00662B09">
      <w:pPr>
        <w:pStyle w:val="NoSpacing"/>
        <w:keepNext/>
        <w:rPr>
          <w:rFonts w:ascii="Arial" w:hAnsi="Arial" w:cs="Arial"/>
          <w:color w:val="auto"/>
          <w:sz w:val="22"/>
          <w:szCs w:val="22"/>
        </w:rPr>
      </w:pPr>
      <w:r w:rsidRPr="00177BE9">
        <w:rPr>
          <w:rFonts w:ascii="Arial" w:hAnsi="Arial" w:cs="Arial"/>
          <w:color w:val="auto"/>
          <w:sz w:val="22"/>
          <w:szCs w:val="22"/>
        </w:rPr>
        <w:t xml:space="preserve">The </w:t>
      </w:r>
      <w:r w:rsidR="00D7083B">
        <w:rPr>
          <w:rFonts w:ascii="Arial" w:hAnsi="Arial" w:cs="Arial"/>
          <w:color w:val="auto"/>
          <w:sz w:val="22"/>
          <w:szCs w:val="22"/>
        </w:rPr>
        <w:t xml:space="preserve">impact of the charging system </w:t>
      </w:r>
      <w:r w:rsidR="007D6812">
        <w:rPr>
          <w:rFonts w:ascii="Arial" w:hAnsi="Arial" w:cs="Arial"/>
          <w:color w:val="auto"/>
          <w:sz w:val="22"/>
          <w:szCs w:val="22"/>
        </w:rPr>
        <w:t xml:space="preserve">on operators </w:t>
      </w:r>
      <w:r w:rsidR="00D7083B">
        <w:rPr>
          <w:rFonts w:ascii="Arial" w:hAnsi="Arial" w:cs="Arial"/>
          <w:color w:val="auto"/>
          <w:sz w:val="22"/>
          <w:szCs w:val="22"/>
        </w:rPr>
        <w:t xml:space="preserve">is </w:t>
      </w:r>
      <w:r w:rsidRPr="00177BE9">
        <w:rPr>
          <w:rFonts w:ascii="Arial" w:hAnsi="Arial" w:cs="Arial"/>
          <w:color w:val="auto"/>
          <w:sz w:val="22"/>
          <w:szCs w:val="22"/>
        </w:rPr>
        <w:t xml:space="preserve">exacerbated by the </w:t>
      </w:r>
      <w:r w:rsidR="00D7083B">
        <w:rPr>
          <w:rFonts w:ascii="Arial" w:hAnsi="Arial" w:cs="Arial"/>
          <w:color w:val="auto"/>
          <w:sz w:val="22"/>
          <w:szCs w:val="22"/>
        </w:rPr>
        <w:t>payment cycle for registration charges, which are typically imposed as a single lump sum each year. Operators in some states can register their vehicles quarterly to smooth out their cashflow, but the registration label requi</w:t>
      </w:r>
      <w:r w:rsidR="004F047C">
        <w:rPr>
          <w:rFonts w:ascii="Arial" w:hAnsi="Arial" w:cs="Arial"/>
          <w:color w:val="auto"/>
          <w:sz w:val="22"/>
          <w:szCs w:val="22"/>
        </w:rPr>
        <w:t>rements for heavy vehicles make</w:t>
      </w:r>
      <w:r w:rsidR="00D7083B">
        <w:rPr>
          <w:rFonts w:ascii="Arial" w:hAnsi="Arial" w:cs="Arial"/>
          <w:color w:val="auto"/>
          <w:sz w:val="22"/>
          <w:szCs w:val="22"/>
        </w:rPr>
        <w:t xml:space="preserve"> this option highly resource intensive.</w:t>
      </w:r>
    </w:p>
    <w:p w:rsidR="00D7083B" w:rsidRDefault="00D7083B" w:rsidP="00D7083B">
      <w:pPr>
        <w:pStyle w:val="NoSpacing"/>
        <w:rPr>
          <w:rFonts w:ascii="Arial" w:hAnsi="Arial" w:cs="Arial"/>
          <w:color w:val="auto"/>
          <w:sz w:val="22"/>
          <w:szCs w:val="22"/>
        </w:rPr>
      </w:pPr>
    </w:p>
    <w:p w:rsidR="00787884" w:rsidRPr="00D7083B" w:rsidRDefault="00787884" w:rsidP="00B2703E">
      <w:pPr>
        <w:pStyle w:val="NoSpacing"/>
        <w:keepNext/>
        <w:rPr>
          <w:rFonts w:ascii="Arial" w:hAnsi="Arial" w:cs="Arial"/>
          <w:color w:val="auto"/>
          <w:sz w:val="22"/>
          <w:szCs w:val="22"/>
        </w:rPr>
      </w:pPr>
      <w:r w:rsidRPr="00D7083B">
        <w:rPr>
          <w:rFonts w:ascii="Arial" w:hAnsi="Arial" w:cs="Arial"/>
          <w:color w:val="auto"/>
          <w:sz w:val="22"/>
          <w:szCs w:val="22"/>
        </w:rPr>
        <w:t>As one Tasmanian operator explained:</w:t>
      </w:r>
    </w:p>
    <w:p w:rsidR="00787884" w:rsidRDefault="00787884" w:rsidP="00B2703E">
      <w:pPr>
        <w:keepNext/>
        <w:rPr>
          <w:rFonts w:ascii="Arial" w:hAnsi="Arial" w:cs="Arial"/>
          <w:szCs w:val="24"/>
          <w:lang w:eastAsia="en-AU"/>
        </w:rPr>
      </w:pPr>
    </w:p>
    <w:p w:rsidR="00787884" w:rsidRPr="00787884" w:rsidRDefault="00787884" w:rsidP="00B2703E">
      <w:pPr>
        <w:keepNext/>
        <w:ind w:left="1134" w:right="1134"/>
        <w:rPr>
          <w:rFonts w:ascii="Arial" w:hAnsi="Arial" w:cs="Arial"/>
          <w:sz w:val="20"/>
          <w:szCs w:val="20"/>
          <w:lang w:eastAsia="en-AU"/>
        </w:rPr>
      </w:pPr>
      <w:r w:rsidRPr="00787884">
        <w:rPr>
          <w:rFonts w:ascii="Arial" w:hAnsi="Arial" w:cs="Arial"/>
          <w:sz w:val="20"/>
          <w:szCs w:val="20"/>
          <w:lang w:eastAsia="en-AU"/>
        </w:rPr>
        <w:t xml:space="preserve">Given the costs of registration; we tackle </w:t>
      </w:r>
      <w:r>
        <w:rPr>
          <w:rFonts w:ascii="Arial" w:hAnsi="Arial" w:cs="Arial"/>
          <w:sz w:val="20"/>
          <w:szCs w:val="20"/>
          <w:lang w:eastAsia="en-AU"/>
        </w:rPr>
        <w:t>the need for registration labels</w:t>
      </w:r>
      <w:r w:rsidRPr="00787884">
        <w:rPr>
          <w:rFonts w:ascii="Arial" w:hAnsi="Arial" w:cs="Arial"/>
          <w:sz w:val="20"/>
          <w:szCs w:val="20"/>
          <w:lang w:eastAsia="en-AU"/>
        </w:rPr>
        <w:t xml:space="preserve"> by visiting Service Tas</w:t>
      </w:r>
      <w:r>
        <w:rPr>
          <w:rFonts w:ascii="Arial" w:hAnsi="Arial" w:cs="Arial"/>
          <w:sz w:val="20"/>
          <w:szCs w:val="20"/>
          <w:lang w:eastAsia="en-AU"/>
        </w:rPr>
        <w:t>mania</w:t>
      </w:r>
      <w:r w:rsidRPr="00787884">
        <w:rPr>
          <w:rFonts w:ascii="Arial" w:hAnsi="Arial" w:cs="Arial"/>
          <w:sz w:val="20"/>
          <w:szCs w:val="20"/>
          <w:lang w:eastAsia="en-AU"/>
        </w:rPr>
        <w:t>, for each unit, on a just in time basis (ie not undertaken some two or three weeks in advance in the hope of getting the sticker to the unit in time to avoid a potential lapse in registration</w:t>
      </w:r>
      <w:r>
        <w:rPr>
          <w:rFonts w:ascii="Arial" w:hAnsi="Arial" w:cs="Arial"/>
          <w:sz w:val="20"/>
          <w:szCs w:val="20"/>
          <w:lang w:eastAsia="en-AU"/>
        </w:rPr>
        <w:t>).</w:t>
      </w:r>
    </w:p>
    <w:p w:rsidR="00787884" w:rsidRPr="00787884" w:rsidRDefault="00787884" w:rsidP="00787884">
      <w:pPr>
        <w:ind w:left="1134" w:right="1134"/>
        <w:rPr>
          <w:rFonts w:ascii="Arial" w:hAnsi="Arial" w:cs="Arial"/>
          <w:sz w:val="20"/>
          <w:szCs w:val="20"/>
          <w:lang w:eastAsia="en-AU"/>
        </w:rPr>
      </w:pPr>
    </w:p>
    <w:p w:rsidR="00787884" w:rsidRPr="00787884" w:rsidRDefault="00787884" w:rsidP="00787884">
      <w:pPr>
        <w:ind w:left="1134" w:right="1134"/>
        <w:rPr>
          <w:rFonts w:ascii="Arial" w:hAnsi="Arial" w:cs="Arial"/>
          <w:sz w:val="20"/>
          <w:szCs w:val="20"/>
          <w:lang w:eastAsia="en-AU"/>
        </w:rPr>
      </w:pPr>
      <w:r w:rsidRPr="00787884">
        <w:rPr>
          <w:rFonts w:ascii="Arial" w:hAnsi="Arial" w:cs="Arial"/>
          <w:sz w:val="20"/>
          <w:szCs w:val="20"/>
          <w:lang w:eastAsia="en-AU"/>
        </w:rPr>
        <w:t xml:space="preserve">Every re-registration requires us to visit Service Tas – we have some 300 odd pieces of equipment, of which around 70 are managed on a three monthly basis (all trailers, rigids, forklifts and light vehicles </w:t>
      </w:r>
      <w:r>
        <w:rPr>
          <w:rFonts w:ascii="Arial" w:hAnsi="Arial" w:cs="Arial"/>
          <w:sz w:val="20"/>
          <w:szCs w:val="20"/>
          <w:lang w:eastAsia="en-AU"/>
        </w:rPr>
        <w:t xml:space="preserve">are </w:t>
      </w:r>
      <w:r w:rsidRPr="00787884">
        <w:rPr>
          <w:rFonts w:ascii="Arial" w:hAnsi="Arial" w:cs="Arial"/>
          <w:sz w:val="20"/>
          <w:szCs w:val="20"/>
          <w:lang w:eastAsia="en-AU"/>
        </w:rPr>
        <w:t>managed an</w:t>
      </w:r>
      <w:r>
        <w:rPr>
          <w:rFonts w:ascii="Arial" w:hAnsi="Arial" w:cs="Arial"/>
          <w:sz w:val="20"/>
          <w:szCs w:val="20"/>
          <w:lang w:eastAsia="en-AU"/>
        </w:rPr>
        <w:t>nually). E</w:t>
      </w:r>
      <w:r w:rsidRPr="00787884">
        <w:rPr>
          <w:rFonts w:ascii="Arial" w:hAnsi="Arial" w:cs="Arial"/>
          <w:sz w:val="20"/>
          <w:szCs w:val="20"/>
          <w:lang w:eastAsia="en-AU"/>
        </w:rPr>
        <w:t>ach visit costs us 30 minutes in downtime</w:t>
      </w:r>
      <w:r>
        <w:rPr>
          <w:rFonts w:ascii="Arial" w:hAnsi="Arial" w:cs="Arial"/>
          <w:sz w:val="20"/>
          <w:szCs w:val="20"/>
          <w:lang w:eastAsia="en-AU"/>
        </w:rPr>
        <w:t>.</w:t>
      </w:r>
    </w:p>
    <w:p w:rsidR="00787884" w:rsidRPr="00787884" w:rsidRDefault="00787884" w:rsidP="00787884">
      <w:pPr>
        <w:ind w:left="1134" w:right="1134"/>
        <w:rPr>
          <w:rFonts w:ascii="Arial" w:hAnsi="Arial" w:cs="Arial"/>
          <w:sz w:val="20"/>
          <w:szCs w:val="20"/>
          <w:lang w:eastAsia="en-AU"/>
        </w:rPr>
      </w:pPr>
    </w:p>
    <w:p w:rsidR="00787884" w:rsidRPr="00787884" w:rsidRDefault="00787884" w:rsidP="00787884">
      <w:pPr>
        <w:ind w:left="1134" w:right="1134"/>
        <w:rPr>
          <w:rFonts w:ascii="Arial" w:hAnsi="Arial" w:cs="Arial"/>
          <w:sz w:val="20"/>
          <w:szCs w:val="20"/>
          <w:lang w:eastAsia="en-AU"/>
        </w:rPr>
      </w:pPr>
      <w:r w:rsidRPr="00787884">
        <w:rPr>
          <w:rFonts w:ascii="Arial" w:hAnsi="Arial" w:cs="Arial"/>
          <w:sz w:val="20"/>
          <w:szCs w:val="20"/>
          <w:lang w:eastAsia="en-AU"/>
        </w:rPr>
        <w:t xml:space="preserve">Once the sticker is received, it is overnighted to the depot responsible for the piece </w:t>
      </w:r>
      <w:r>
        <w:rPr>
          <w:rFonts w:ascii="Arial" w:hAnsi="Arial" w:cs="Arial"/>
          <w:sz w:val="20"/>
          <w:szCs w:val="20"/>
          <w:lang w:eastAsia="en-AU"/>
        </w:rPr>
        <w:t>of equipment and then either a b</w:t>
      </w:r>
      <w:r w:rsidRPr="00787884">
        <w:rPr>
          <w:rFonts w:ascii="Arial" w:hAnsi="Arial" w:cs="Arial"/>
          <w:sz w:val="20"/>
          <w:szCs w:val="20"/>
          <w:lang w:eastAsia="en-AU"/>
        </w:rPr>
        <w:t>ra</w:t>
      </w:r>
      <w:r>
        <w:rPr>
          <w:rFonts w:ascii="Arial" w:hAnsi="Arial" w:cs="Arial"/>
          <w:sz w:val="20"/>
          <w:szCs w:val="20"/>
          <w:lang w:eastAsia="en-AU"/>
        </w:rPr>
        <w:t>nch or t</w:t>
      </w:r>
      <w:r w:rsidR="007E4D75">
        <w:rPr>
          <w:rFonts w:ascii="Arial" w:hAnsi="Arial" w:cs="Arial"/>
          <w:sz w:val="20"/>
          <w:szCs w:val="20"/>
          <w:lang w:eastAsia="en-AU"/>
        </w:rPr>
        <w:t>eam m</w:t>
      </w:r>
      <w:r w:rsidRPr="00787884">
        <w:rPr>
          <w:rFonts w:ascii="Arial" w:hAnsi="Arial" w:cs="Arial"/>
          <w:sz w:val="20"/>
          <w:szCs w:val="20"/>
          <w:lang w:eastAsia="en-AU"/>
        </w:rPr>
        <w:t>anager needs to track this down and apply it (or get a driver to apply it) – this equates to a minimum of 20 minutes per piece of equipment and often the gear is</w:t>
      </w:r>
      <w:r>
        <w:rPr>
          <w:rFonts w:ascii="Arial" w:hAnsi="Arial" w:cs="Arial"/>
          <w:sz w:val="20"/>
          <w:szCs w:val="20"/>
          <w:lang w:eastAsia="en-AU"/>
        </w:rPr>
        <w:t xml:space="preserve"> working somewhere else in the s</w:t>
      </w:r>
      <w:r w:rsidRPr="00787884">
        <w:rPr>
          <w:rFonts w:ascii="Arial" w:hAnsi="Arial" w:cs="Arial"/>
          <w:sz w:val="20"/>
          <w:szCs w:val="20"/>
          <w:lang w:eastAsia="en-AU"/>
        </w:rPr>
        <w:t>tate and therefore the risk of registration lapse is very real as is the chance of us being pulled up and fined during the lapse period</w:t>
      </w:r>
    </w:p>
    <w:p w:rsidR="00787884" w:rsidRPr="00787884" w:rsidRDefault="00787884" w:rsidP="00787884">
      <w:pPr>
        <w:ind w:left="1134" w:right="1134"/>
        <w:rPr>
          <w:rFonts w:ascii="Arial" w:hAnsi="Arial" w:cs="Arial"/>
          <w:sz w:val="20"/>
          <w:szCs w:val="20"/>
          <w:lang w:eastAsia="en-AU"/>
        </w:rPr>
      </w:pPr>
    </w:p>
    <w:p w:rsidR="00787884" w:rsidRPr="00787884" w:rsidRDefault="00787884" w:rsidP="00787884">
      <w:pPr>
        <w:ind w:left="1134" w:right="1134"/>
        <w:rPr>
          <w:rFonts w:ascii="Arial" w:hAnsi="Arial" w:cs="Arial"/>
          <w:sz w:val="20"/>
          <w:szCs w:val="20"/>
          <w:lang w:eastAsia="en-AU"/>
        </w:rPr>
      </w:pPr>
      <w:r w:rsidRPr="00787884">
        <w:rPr>
          <w:rFonts w:ascii="Arial" w:hAnsi="Arial" w:cs="Arial"/>
          <w:sz w:val="20"/>
          <w:szCs w:val="20"/>
          <w:lang w:eastAsia="en-AU"/>
        </w:rPr>
        <w:t>If we want to change a prime mover from HC to MC (or return) then the same process detailed above must be followed through and this restricts the flexibility we need to manage or fleet and various tasks, especially if we are responding to a breakdown or an urgent client req</w:t>
      </w:r>
      <w:r>
        <w:rPr>
          <w:rFonts w:ascii="Arial" w:hAnsi="Arial" w:cs="Arial"/>
          <w:sz w:val="20"/>
          <w:szCs w:val="20"/>
          <w:lang w:eastAsia="en-AU"/>
        </w:rPr>
        <w:t>uest. F</w:t>
      </w:r>
      <w:r w:rsidRPr="00787884">
        <w:rPr>
          <w:rFonts w:ascii="Arial" w:hAnsi="Arial" w:cs="Arial"/>
          <w:sz w:val="20"/>
          <w:szCs w:val="20"/>
          <w:lang w:eastAsia="en-AU"/>
        </w:rPr>
        <w:t>or obvious reasons, we are not going to r</w:t>
      </w:r>
      <w:r>
        <w:rPr>
          <w:rFonts w:ascii="Arial" w:hAnsi="Arial" w:cs="Arial"/>
          <w:sz w:val="20"/>
          <w:szCs w:val="20"/>
          <w:lang w:eastAsia="en-AU"/>
        </w:rPr>
        <w:t>egister all prime movers for MC.</w:t>
      </w:r>
      <w:r w:rsidRPr="00787884">
        <w:rPr>
          <w:rFonts w:ascii="Arial" w:hAnsi="Arial" w:cs="Arial"/>
          <w:sz w:val="20"/>
          <w:szCs w:val="20"/>
          <w:lang w:eastAsia="en-AU"/>
        </w:rPr>
        <w:t xml:space="preserve"> This equates to a minimum 24 hour delay before we can change the prime mover’s tasking.</w:t>
      </w:r>
    </w:p>
    <w:p w:rsidR="00787884" w:rsidRDefault="00787884" w:rsidP="007C19F7">
      <w:pPr>
        <w:rPr>
          <w:rFonts w:ascii="Arial" w:hAnsi="Arial" w:cs="Arial"/>
          <w:szCs w:val="24"/>
          <w:lang w:eastAsia="en-AU"/>
        </w:rPr>
      </w:pPr>
    </w:p>
    <w:p w:rsidR="00662B09" w:rsidRDefault="00662B09" w:rsidP="007C19F7">
      <w:pPr>
        <w:rPr>
          <w:rFonts w:ascii="Arial" w:hAnsi="Arial" w:cs="Arial"/>
          <w:szCs w:val="24"/>
          <w:lang w:eastAsia="en-AU"/>
        </w:rPr>
      </w:pPr>
    </w:p>
    <w:p w:rsidR="00706722" w:rsidRPr="00706722" w:rsidRDefault="009D143C" w:rsidP="009D143C">
      <w:pPr>
        <w:pStyle w:val="Heading1"/>
        <w:keepNext/>
        <w:rPr>
          <w:sz w:val="24"/>
          <w:szCs w:val="24"/>
        </w:rPr>
      </w:pPr>
      <w:bookmarkStart w:id="9" w:name="_Toc457400402"/>
      <w:r>
        <w:rPr>
          <w:sz w:val="24"/>
          <w:szCs w:val="24"/>
        </w:rPr>
        <w:t>Assessment of NTC options</w:t>
      </w:r>
      <w:bookmarkEnd w:id="9"/>
    </w:p>
    <w:p w:rsidR="00B74C0E" w:rsidRDefault="00B74C0E" w:rsidP="009D143C">
      <w:pPr>
        <w:keepNext/>
        <w:rPr>
          <w:rFonts w:ascii="Arial" w:eastAsiaTheme="minorHAnsi" w:hAnsi="Arial" w:cs="Arial"/>
        </w:rPr>
      </w:pPr>
    </w:p>
    <w:p w:rsidR="001701F4" w:rsidRDefault="001701F4" w:rsidP="00FB7C7C">
      <w:pPr>
        <w:keepNext/>
        <w:rPr>
          <w:rFonts w:ascii="Arial" w:eastAsiaTheme="minorHAnsi" w:hAnsi="Arial" w:cs="Arial"/>
        </w:rPr>
      </w:pPr>
      <w:r>
        <w:rPr>
          <w:rFonts w:ascii="Arial" w:eastAsiaTheme="minorHAnsi" w:hAnsi="Arial" w:cs="Arial"/>
        </w:rPr>
        <w:t>The discussion paper sets out nine potential options for addressing the current limitations with the PAYGO system. This sub</w:t>
      </w:r>
      <w:r w:rsidR="004F047C">
        <w:rPr>
          <w:rFonts w:ascii="Arial" w:eastAsiaTheme="minorHAnsi" w:hAnsi="Arial" w:cs="Arial"/>
        </w:rPr>
        <w:t>mission</w:t>
      </w:r>
      <w:r w:rsidR="003F5267">
        <w:rPr>
          <w:rFonts w:ascii="Arial" w:eastAsiaTheme="minorHAnsi" w:hAnsi="Arial" w:cs="Arial"/>
        </w:rPr>
        <w:t xml:space="preserve"> considers </w:t>
      </w:r>
      <w:r w:rsidR="0016025B">
        <w:rPr>
          <w:rFonts w:ascii="Arial" w:eastAsiaTheme="minorHAnsi" w:hAnsi="Arial" w:cs="Arial"/>
        </w:rPr>
        <w:t>five</w:t>
      </w:r>
      <w:r w:rsidR="00EA6F6A">
        <w:rPr>
          <w:rFonts w:ascii="Arial" w:eastAsiaTheme="minorHAnsi" w:hAnsi="Arial" w:cs="Arial"/>
        </w:rPr>
        <w:t xml:space="preserve"> </w:t>
      </w:r>
      <w:r>
        <w:rPr>
          <w:rFonts w:ascii="Arial" w:eastAsiaTheme="minorHAnsi" w:hAnsi="Arial" w:cs="Arial"/>
        </w:rPr>
        <w:t>options in detail. Of the remainder:</w:t>
      </w:r>
    </w:p>
    <w:p w:rsidR="001701F4" w:rsidRDefault="001701F4" w:rsidP="00FB7C7C">
      <w:pPr>
        <w:rPr>
          <w:rFonts w:ascii="Arial" w:eastAsiaTheme="minorHAnsi" w:hAnsi="Arial" w:cs="Arial"/>
        </w:rPr>
      </w:pPr>
    </w:p>
    <w:p w:rsidR="001701F4" w:rsidRDefault="001701F4" w:rsidP="00017DEC">
      <w:pPr>
        <w:pStyle w:val="ListParagraph"/>
        <w:numPr>
          <w:ilvl w:val="0"/>
          <w:numId w:val="29"/>
        </w:numPr>
        <w:spacing w:after="0" w:line="240" w:lineRule="auto"/>
        <w:rPr>
          <w:rFonts w:ascii="Arial" w:eastAsiaTheme="minorHAnsi" w:hAnsi="Arial" w:cs="Arial"/>
        </w:rPr>
      </w:pPr>
      <w:r w:rsidRPr="004D5211">
        <w:rPr>
          <w:rFonts w:ascii="Arial" w:eastAsiaTheme="minorHAnsi" w:hAnsi="Arial" w:cs="Arial"/>
          <w:b/>
        </w:rPr>
        <w:t>Option 5</w:t>
      </w:r>
      <w:r w:rsidRPr="004D5211">
        <w:rPr>
          <w:rFonts w:ascii="Arial" w:eastAsiaTheme="minorHAnsi" w:hAnsi="Arial" w:cs="Arial"/>
        </w:rPr>
        <w:t xml:space="preserve"> (turning heavy vehicle charges into a tax) would be inconsistent with broader government policy, given the Australian Government’s plan to work through COAG to develop steps to transition to independent heavy vehicle price regulation by 2017-18.</w:t>
      </w:r>
      <w:r w:rsidRPr="001701F4">
        <w:rPr>
          <w:rStyle w:val="FootnoteReference"/>
          <w:rFonts w:ascii="Arial" w:eastAsiaTheme="minorHAnsi" w:hAnsi="Arial"/>
        </w:rPr>
        <w:footnoteReference w:id="9"/>
      </w:r>
      <w:r w:rsidRPr="004D5211">
        <w:rPr>
          <w:rFonts w:ascii="Arial" w:eastAsiaTheme="minorHAnsi" w:hAnsi="Arial" w:cs="Arial"/>
        </w:rPr>
        <w:t xml:space="preserve"> </w:t>
      </w:r>
    </w:p>
    <w:p w:rsidR="00EA6F6A" w:rsidRPr="004D5211" w:rsidRDefault="00EA6F6A" w:rsidP="00EA6F6A">
      <w:pPr>
        <w:pStyle w:val="ListParagraph"/>
        <w:spacing w:after="0" w:line="240" w:lineRule="auto"/>
        <w:rPr>
          <w:rFonts w:ascii="Arial" w:eastAsiaTheme="minorHAnsi" w:hAnsi="Arial" w:cs="Arial"/>
        </w:rPr>
      </w:pPr>
    </w:p>
    <w:p w:rsidR="001701F4" w:rsidRDefault="001701F4" w:rsidP="00FB7C7C">
      <w:pPr>
        <w:pStyle w:val="ListParagraph"/>
        <w:numPr>
          <w:ilvl w:val="0"/>
          <w:numId w:val="28"/>
        </w:numPr>
        <w:spacing w:after="0" w:line="240" w:lineRule="auto"/>
        <w:rPr>
          <w:rFonts w:ascii="Arial" w:eastAsiaTheme="minorHAnsi" w:hAnsi="Arial" w:cs="Arial"/>
        </w:rPr>
      </w:pPr>
      <w:r w:rsidRPr="001701F4">
        <w:rPr>
          <w:rFonts w:ascii="Arial" w:eastAsiaTheme="minorHAnsi" w:hAnsi="Arial" w:cs="Arial"/>
          <w:b/>
        </w:rPr>
        <w:lastRenderedPageBreak/>
        <w:t>Option 6</w:t>
      </w:r>
      <w:r w:rsidR="00FB7C7C">
        <w:rPr>
          <w:rFonts w:ascii="Arial" w:eastAsiaTheme="minorHAnsi" w:hAnsi="Arial" w:cs="Arial"/>
        </w:rPr>
        <w:t xml:space="preserve"> (continue freezing revenues) w</w:t>
      </w:r>
      <w:r>
        <w:rPr>
          <w:rFonts w:ascii="Arial" w:eastAsiaTheme="minorHAnsi" w:hAnsi="Arial" w:cs="Arial"/>
        </w:rPr>
        <w:t xml:space="preserve">ould </w:t>
      </w:r>
      <w:r w:rsidR="00FB7C7C">
        <w:rPr>
          <w:rFonts w:ascii="Arial" w:eastAsiaTheme="minorHAnsi" w:hAnsi="Arial" w:cs="Arial"/>
        </w:rPr>
        <w:t xml:space="preserve">be appropriate </w:t>
      </w:r>
      <w:r>
        <w:rPr>
          <w:rFonts w:ascii="Arial" w:eastAsiaTheme="minorHAnsi" w:hAnsi="Arial" w:cs="Arial"/>
        </w:rPr>
        <w:t>a</w:t>
      </w:r>
      <w:r w:rsidR="00FB7C7C">
        <w:rPr>
          <w:rFonts w:ascii="Arial" w:eastAsiaTheme="minorHAnsi" w:hAnsi="Arial" w:cs="Arial"/>
        </w:rPr>
        <w:t>s an</w:t>
      </w:r>
      <w:r>
        <w:rPr>
          <w:rFonts w:ascii="Arial" w:eastAsiaTheme="minorHAnsi" w:hAnsi="Arial" w:cs="Arial"/>
        </w:rPr>
        <w:t xml:space="preserve"> interim </w:t>
      </w:r>
      <w:r w:rsidR="00FB7C7C">
        <w:rPr>
          <w:rFonts w:ascii="Arial" w:eastAsiaTheme="minorHAnsi" w:hAnsi="Arial" w:cs="Arial"/>
        </w:rPr>
        <w:t xml:space="preserve">measure </w:t>
      </w:r>
      <w:r>
        <w:rPr>
          <w:rFonts w:ascii="Arial" w:eastAsiaTheme="minorHAnsi" w:hAnsi="Arial" w:cs="Arial"/>
        </w:rPr>
        <w:t>but is not a long term solution.</w:t>
      </w:r>
      <w:r w:rsidR="006D136F">
        <w:rPr>
          <w:rFonts w:ascii="Arial" w:eastAsiaTheme="minorHAnsi" w:hAnsi="Arial" w:cs="Arial"/>
        </w:rPr>
        <w:t xml:space="preserve"> It must not continue beyond the two year period decided by governments in November 2015.</w:t>
      </w:r>
    </w:p>
    <w:p w:rsidR="00EA6F6A" w:rsidRDefault="00EA6F6A" w:rsidP="00EA6F6A">
      <w:pPr>
        <w:pStyle w:val="ListParagraph"/>
        <w:spacing w:after="0" w:line="240" w:lineRule="auto"/>
        <w:rPr>
          <w:rFonts w:ascii="Arial" w:eastAsiaTheme="minorHAnsi" w:hAnsi="Arial" w:cs="Arial"/>
        </w:rPr>
      </w:pPr>
    </w:p>
    <w:p w:rsidR="001701F4" w:rsidRPr="001701F4" w:rsidRDefault="001701F4" w:rsidP="00FB7C7C">
      <w:pPr>
        <w:pStyle w:val="ListParagraph"/>
        <w:numPr>
          <w:ilvl w:val="0"/>
          <w:numId w:val="28"/>
        </w:numPr>
        <w:spacing w:after="0" w:line="240" w:lineRule="auto"/>
        <w:rPr>
          <w:rFonts w:ascii="Arial" w:eastAsiaTheme="minorHAnsi" w:hAnsi="Arial" w:cs="Arial"/>
        </w:rPr>
      </w:pPr>
      <w:r>
        <w:rPr>
          <w:rFonts w:ascii="Arial" w:eastAsiaTheme="minorHAnsi" w:hAnsi="Arial" w:cs="Arial"/>
          <w:b/>
        </w:rPr>
        <w:t xml:space="preserve">Options 7 and 8 </w:t>
      </w:r>
      <w:r w:rsidRPr="001701F4">
        <w:rPr>
          <w:rFonts w:ascii="Arial" w:eastAsiaTheme="minorHAnsi" w:hAnsi="Arial" w:cs="Arial"/>
        </w:rPr>
        <w:t>(</w:t>
      </w:r>
      <w:r>
        <w:rPr>
          <w:rFonts w:ascii="Arial" w:eastAsiaTheme="minorHAnsi" w:hAnsi="Arial" w:cs="Arial"/>
        </w:rPr>
        <w:t>re-examine the heavy vehicle cost base allocators and the amount of local government expenditure excluded from the PAYGO cost base) would</w:t>
      </w:r>
      <w:r w:rsidR="00DF624A">
        <w:rPr>
          <w:rFonts w:ascii="Arial" w:eastAsiaTheme="minorHAnsi" w:hAnsi="Arial" w:cs="Arial"/>
        </w:rPr>
        <w:t>, as the discussion paper points out,</w:t>
      </w:r>
      <w:r>
        <w:rPr>
          <w:rFonts w:ascii="Arial" w:eastAsiaTheme="minorHAnsi" w:hAnsi="Arial" w:cs="Arial"/>
        </w:rPr>
        <w:t xml:space="preserve"> involve costly and </w:t>
      </w:r>
      <w:r w:rsidR="00FB7C7C">
        <w:rPr>
          <w:rFonts w:ascii="Arial" w:eastAsiaTheme="minorHAnsi" w:hAnsi="Arial" w:cs="Arial"/>
        </w:rPr>
        <w:t>time consuming research.</w:t>
      </w:r>
      <w:r w:rsidR="00FB7C7C">
        <w:rPr>
          <w:rStyle w:val="FootnoteReference"/>
          <w:rFonts w:ascii="Arial" w:eastAsiaTheme="minorHAnsi" w:hAnsi="Arial"/>
        </w:rPr>
        <w:footnoteReference w:id="10"/>
      </w:r>
      <w:r w:rsidR="00FB7C7C">
        <w:rPr>
          <w:rFonts w:ascii="Arial" w:eastAsiaTheme="minorHAnsi" w:hAnsi="Arial" w:cs="Arial"/>
        </w:rPr>
        <w:t xml:space="preserve"> They c</w:t>
      </w:r>
      <w:r>
        <w:rPr>
          <w:rFonts w:ascii="Arial" w:eastAsiaTheme="minorHAnsi" w:hAnsi="Arial" w:cs="Arial"/>
        </w:rPr>
        <w:t>ould be</w:t>
      </w:r>
      <w:r w:rsidR="00FB7C7C">
        <w:rPr>
          <w:rFonts w:ascii="Arial" w:eastAsiaTheme="minorHAnsi" w:hAnsi="Arial" w:cs="Arial"/>
        </w:rPr>
        <w:t>st be</w:t>
      </w:r>
      <w:r>
        <w:rPr>
          <w:rFonts w:ascii="Arial" w:eastAsiaTheme="minorHAnsi" w:hAnsi="Arial" w:cs="Arial"/>
        </w:rPr>
        <w:t xml:space="preserve"> considered </w:t>
      </w:r>
      <w:r w:rsidR="00DF624A">
        <w:rPr>
          <w:rFonts w:ascii="Arial" w:eastAsiaTheme="minorHAnsi" w:hAnsi="Arial" w:cs="Arial"/>
        </w:rPr>
        <w:t xml:space="preserve">as research projects to support </w:t>
      </w:r>
      <w:r w:rsidR="004F047C">
        <w:rPr>
          <w:rFonts w:ascii="Arial" w:eastAsiaTheme="minorHAnsi" w:hAnsi="Arial" w:cs="Arial"/>
        </w:rPr>
        <w:t>a possible 2019 determination, given ATA recommendation</w:t>
      </w:r>
      <w:r w:rsidR="00DF624A">
        <w:rPr>
          <w:rFonts w:ascii="Arial" w:eastAsiaTheme="minorHAnsi" w:hAnsi="Arial" w:cs="Arial"/>
        </w:rPr>
        <w:t xml:space="preserve"> </w:t>
      </w:r>
      <w:r w:rsidR="004F047C">
        <w:rPr>
          <w:rFonts w:ascii="Arial" w:eastAsiaTheme="minorHAnsi" w:hAnsi="Arial" w:cs="Arial"/>
        </w:rPr>
        <w:t>9.</w:t>
      </w:r>
    </w:p>
    <w:p w:rsidR="00223D83" w:rsidRDefault="00223D83" w:rsidP="00223D83">
      <w:pPr>
        <w:pStyle w:val="NormalWeb"/>
        <w:spacing w:before="0" w:beforeAutospacing="0" w:after="0" w:afterAutospacing="0"/>
        <w:rPr>
          <w:rFonts w:ascii="Arial" w:hAnsi="Arial" w:cs="Arial"/>
          <w:iCs/>
          <w:sz w:val="22"/>
          <w:szCs w:val="22"/>
        </w:rPr>
      </w:pPr>
    </w:p>
    <w:p w:rsidR="00223D83" w:rsidRDefault="00223D83" w:rsidP="00223D83">
      <w:pPr>
        <w:pStyle w:val="NormalWeb"/>
        <w:spacing w:before="0" w:beforeAutospacing="0" w:after="0" w:afterAutospacing="0"/>
        <w:rPr>
          <w:rFonts w:ascii="Arial" w:hAnsi="Arial" w:cs="Arial"/>
          <w:iCs/>
          <w:sz w:val="22"/>
          <w:szCs w:val="22"/>
        </w:rPr>
      </w:pPr>
    </w:p>
    <w:p w:rsidR="009D143C" w:rsidRDefault="0041457F" w:rsidP="0045458E">
      <w:pPr>
        <w:pStyle w:val="Heading2"/>
        <w:keepNext/>
      </w:pPr>
      <w:bookmarkStart w:id="10" w:name="_Toc457400403"/>
      <w:r>
        <w:t>NTC option 1: A</w:t>
      </w:r>
      <w:r w:rsidR="00223D83">
        <w:t>dopt a life cycle approach using forward looking costs</w:t>
      </w:r>
      <w:bookmarkEnd w:id="10"/>
    </w:p>
    <w:p w:rsidR="0045458E" w:rsidRDefault="0045458E" w:rsidP="0045458E">
      <w:pPr>
        <w:keepNext/>
        <w:rPr>
          <w:lang w:eastAsia="en-AU"/>
        </w:rPr>
      </w:pPr>
    </w:p>
    <w:p w:rsidR="0045458E" w:rsidRPr="0045458E" w:rsidRDefault="0045458E" w:rsidP="0045458E">
      <w:pPr>
        <w:keepNext/>
        <w:rPr>
          <w:lang w:eastAsia="en-AU"/>
        </w:rPr>
      </w:pPr>
    </w:p>
    <w:p w:rsidR="009D143C" w:rsidRPr="00651560" w:rsidRDefault="0045458E" w:rsidP="0045458E">
      <w:pPr>
        <w:pStyle w:val="NormalWeb"/>
        <w:keepNext/>
        <w:spacing w:before="0" w:beforeAutospacing="0" w:after="0" w:afterAutospacing="0"/>
        <w:rPr>
          <w:rFonts w:ascii="Arial" w:hAnsi="Arial" w:cs="Arial"/>
          <w:b/>
          <w:iCs/>
          <w:sz w:val="20"/>
          <w:szCs w:val="20"/>
        </w:rPr>
      </w:pPr>
      <w:r w:rsidRPr="00651560">
        <w:rPr>
          <w:rFonts w:ascii="Arial" w:hAnsi="Arial" w:cs="Arial"/>
          <w:b/>
          <w:iCs/>
          <w:sz w:val="20"/>
          <w:szCs w:val="20"/>
        </w:rPr>
        <w:t>Figure 2: key features of the building block model</w:t>
      </w:r>
    </w:p>
    <w:p w:rsidR="005A147B" w:rsidRDefault="0045458E" w:rsidP="00085D97">
      <w:pPr>
        <w:pStyle w:val="NormalWeb"/>
        <w:keepNext/>
        <w:spacing w:before="0" w:beforeAutospacing="0" w:after="0" w:afterAutospacing="0"/>
        <w:rPr>
          <w:rFonts w:ascii="Arial" w:hAnsi="Arial" w:cs="Arial"/>
          <w:iCs/>
          <w:sz w:val="22"/>
          <w:szCs w:val="22"/>
        </w:rPr>
      </w:pPr>
      <w:r>
        <w:rPr>
          <w:rFonts w:ascii="Arial" w:hAnsi="Arial" w:cs="Arial"/>
          <w:iCs/>
          <w:sz w:val="22"/>
          <w:szCs w:val="22"/>
        </w:rPr>
        <w:object w:dxaOrig="9620"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227.4pt" o:ole="">
            <v:imagedata r:id="rId15" o:title="" croptop="5231f" cropbottom="5231f"/>
          </v:shape>
          <o:OLEObject Type="Embed" ProgID="PowerPoint.Show.12" ShapeID="_x0000_i1025" DrawAspect="Content" ObjectID="_1531547811" r:id="rId16"/>
        </w:object>
      </w:r>
    </w:p>
    <w:p w:rsidR="00651560" w:rsidRDefault="00651560" w:rsidP="00085D97">
      <w:pPr>
        <w:pStyle w:val="NormalWeb"/>
        <w:keepNext/>
        <w:spacing w:before="0" w:beforeAutospacing="0" w:after="0" w:afterAutospacing="0"/>
        <w:rPr>
          <w:rFonts w:ascii="Arial" w:hAnsi="Arial" w:cs="Arial"/>
          <w:iCs/>
          <w:sz w:val="22"/>
          <w:szCs w:val="22"/>
        </w:rPr>
      </w:pPr>
    </w:p>
    <w:p w:rsidR="007E2522" w:rsidRPr="0060297C" w:rsidRDefault="007E2522" w:rsidP="007E2522">
      <w:pPr>
        <w:pStyle w:val="NormalWeb"/>
        <w:keepNext/>
        <w:spacing w:before="0" w:beforeAutospacing="0" w:after="0" w:afterAutospacing="0"/>
        <w:rPr>
          <w:rFonts w:ascii="Arial" w:hAnsi="Arial" w:cs="Arial"/>
          <w:iCs/>
        </w:rPr>
      </w:pPr>
      <w:r w:rsidRPr="0060297C">
        <w:rPr>
          <w:rFonts w:ascii="Arial" w:hAnsi="Arial" w:cs="Arial"/>
          <w:iCs/>
          <w:sz w:val="22"/>
          <w:szCs w:val="22"/>
        </w:rPr>
        <w:t>Option 1 proposes the use of the ‘building block’ pricing model that is</w:t>
      </w:r>
      <w:r>
        <w:rPr>
          <w:rFonts w:ascii="Arial" w:hAnsi="Arial" w:cs="Arial"/>
          <w:iCs/>
          <w:sz w:val="22"/>
          <w:szCs w:val="22"/>
        </w:rPr>
        <w:t xml:space="preserve"> used in Australia to regulate </w:t>
      </w:r>
      <w:r w:rsidRPr="0060297C">
        <w:rPr>
          <w:rFonts w:ascii="Arial" w:hAnsi="Arial" w:cs="Arial"/>
          <w:iCs/>
          <w:sz w:val="22"/>
          <w:szCs w:val="22"/>
        </w:rPr>
        <w:t>the prices of monopoly assets such as railways, ports, electricity networks, water pipelines, gas pipelines and airports.</w:t>
      </w:r>
    </w:p>
    <w:p w:rsidR="007E2522" w:rsidRPr="0060297C" w:rsidRDefault="007E2522" w:rsidP="007E2522">
      <w:pPr>
        <w:pStyle w:val="NormalWeb"/>
        <w:keepNext/>
        <w:spacing w:before="0" w:beforeAutospacing="0" w:after="0" w:afterAutospacing="0"/>
        <w:rPr>
          <w:rFonts w:ascii="Arial" w:hAnsi="Arial" w:cs="Arial"/>
          <w:iCs/>
        </w:rPr>
      </w:pPr>
    </w:p>
    <w:p w:rsidR="007E2522" w:rsidRDefault="007E2522" w:rsidP="007E2522">
      <w:pPr>
        <w:pStyle w:val="NormalWeb"/>
        <w:keepNext/>
        <w:spacing w:before="0" w:beforeAutospacing="0" w:after="0" w:afterAutospacing="0"/>
        <w:rPr>
          <w:rFonts w:ascii="Arial" w:hAnsi="Arial" w:cs="Arial"/>
          <w:iCs/>
          <w:sz w:val="22"/>
          <w:szCs w:val="22"/>
        </w:rPr>
      </w:pPr>
      <w:r>
        <w:rPr>
          <w:rFonts w:ascii="Arial" w:hAnsi="Arial" w:cs="Arial"/>
          <w:iCs/>
          <w:sz w:val="22"/>
          <w:szCs w:val="22"/>
        </w:rPr>
        <w:t>Figure 2 sets out the main components of the building block model. Under this model, the revenue requirements of regulated entities are determined by adding up:</w:t>
      </w:r>
    </w:p>
    <w:p w:rsidR="007E2522" w:rsidRDefault="007E2522" w:rsidP="007E2522">
      <w:pPr>
        <w:pStyle w:val="NormalWeb"/>
        <w:spacing w:before="0" w:beforeAutospacing="0" w:after="0" w:afterAutospacing="0"/>
        <w:rPr>
          <w:rFonts w:ascii="Arial" w:hAnsi="Arial" w:cs="Arial"/>
          <w:iCs/>
          <w:sz w:val="22"/>
          <w:szCs w:val="22"/>
        </w:rPr>
      </w:pPr>
    </w:p>
    <w:p w:rsidR="007E2522" w:rsidRDefault="007E2522" w:rsidP="007E2522">
      <w:pPr>
        <w:pStyle w:val="NormalWeb"/>
        <w:numPr>
          <w:ilvl w:val="0"/>
          <w:numId w:val="33"/>
        </w:numPr>
        <w:spacing w:before="0" w:beforeAutospacing="0" w:after="0" w:afterAutospacing="0"/>
        <w:ind w:left="714" w:hanging="357"/>
        <w:rPr>
          <w:rFonts w:ascii="Arial" w:hAnsi="Arial" w:cs="Arial"/>
          <w:iCs/>
          <w:sz w:val="22"/>
          <w:szCs w:val="22"/>
        </w:rPr>
      </w:pPr>
      <w:r>
        <w:rPr>
          <w:rFonts w:ascii="Arial" w:hAnsi="Arial" w:cs="Arial"/>
          <w:iCs/>
          <w:sz w:val="22"/>
          <w:szCs w:val="22"/>
        </w:rPr>
        <w:t>a regulated return on capital, based on agreed asset valuations and an agreed allowable rate of return, or weighted average cost of capital (WACC)</w:t>
      </w:r>
    </w:p>
    <w:p w:rsidR="007E2522" w:rsidRDefault="007E2522" w:rsidP="007E2522">
      <w:pPr>
        <w:pStyle w:val="NormalWeb"/>
        <w:numPr>
          <w:ilvl w:val="0"/>
          <w:numId w:val="33"/>
        </w:numPr>
        <w:spacing w:before="0" w:beforeAutospacing="0" w:after="0" w:afterAutospacing="0"/>
        <w:ind w:left="714" w:hanging="357"/>
        <w:rPr>
          <w:rFonts w:ascii="Arial" w:hAnsi="Arial" w:cs="Arial"/>
          <w:iCs/>
          <w:sz w:val="22"/>
          <w:szCs w:val="22"/>
        </w:rPr>
      </w:pPr>
      <w:r>
        <w:rPr>
          <w:rFonts w:ascii="Arial" w:hAnsi="Arial" w:cs="Arial"/>
          <w:iCs/>
          <w:sz w:val="22"/>
          <w:szCs w:val="22"/>
        </w:rPr>
        <w:t>a depreciation allowance</w:t>
      </w:r>
    </w:p>
    <w:p w:rsidR="007E2522" w:rsidRDefault="007E2522" w:rsidP="007E2522">
      <w:pPr>
        <w:pStyle w:val="NormalWeb"/>
        <w:numPr>
          <w:ilvl w:val="0"/>
          <w:numId w:val="33"/>
        </w:numPr>
        <w:spacing w:before="0" w:beforeAutospacing="0" w:after="0" w:afterAutospacing="0"/>
        <w:ind w:left="714" w:hanging="357"/>
        <w:rPr>
          <w:rFonts w:ascii="Arial" w:hAnsi="Arial" w:cs="Arial"/>
          <w:iCs/>
          <w:sz w:val="22"/>
          <w:szCs w:val="22"/>
        </w:rPr>
      </w:pPr>
      <w:r>
        <w:rPr>
          <w:rFonts w:ascii="Arial" w:hAnsi="Arial" w:cs="Arial"/>
          <w:iCs/>
          <w:sz w:val="22"/>
          <w:szCs w:val="22"/>
        </w:rPr>
        <w:t>maintenance and operating costs</w:t>
      </w:r>
    </w:p>
    <w:p w:rsidR="007E2522" w:rsidRDefault="007E2522" w:rsidP="007E2522">
      <w:pPr>
        <w:pStyle w:val="NormalWeb"/>
        <w:numPr>
          <w:ilvl w:val="0"/>
          <w:numId w:val="33"/>
        </w:numPr>
        <w:spacing w:before="0" w:beforeAutospacing="0" w:after="0" w:afterAutospacing="0"/>
        <w:ind w:left="714" w:hanging="357"/>
        <w:rPr>
          <w:rFonts w:ascii="Arial" w:hAnsi="Arial" w:cs="Arial"/>
          <w:iCs/>
          <w:sz w:val="22"/>
          <w:szCs w:val="22"/>
        </w:rPr>
      </w:pPr>
      <w:r>
        <w:rPr>
          <w:rFonts w:ascii="Arial" w:hAnsi="Arial" w:cs="Arial"/>
          <w:iCs/>
          <w:sz w:val="22"/>
          <w:szCs w:val="22"/>
        </w:rPr>
        <w:t>corporate overheads</w:t>
      </w:r>
    </w:p>
    <w:p w:rsidR="007E2522" w:rsidRDefault="007E2522" w:rsidP="007E2522">
      <w:pPr>
        <w:pStyle w:val="NormalWeb"/>
        <w:numPr>
          <w:ilvl w:val="0"/>
          <w:numId w:val="33"/>
        </w:numPr>
        <w:spacing w:before="0" w:beforeAutospacing="0" w:after="0" w:afterAutospacing="0"/>
        <w:ind w:left="714" w:hanging="357"/>
        <w:rPr>
          <w:rFonts w:ascii="Arial" w:hAnsi="Arial" w:cs="Arial"/>
          <w:iCs/>
          <w:sz w:val="22"/>
          <w:szCs w:val="22"/>
        </w:rPr>
      </w:pPr>
      <w:r>
        <w:rPr>
          <w:rFonts w:ascii="Arial" w:hAnsi="Arial" w:cs="Arial"/>
          <w:iCs/>
          <w:sz w:val="22"/>
          <w:szCs w:val="22"/>
        </w:rPr>
        <w:t>tax where relevant.</w:t>
      </w:r>
    </w:p>
    <w:p w:rsidR="007E2522" w:rsidRDefault="007E2522" w:rsidP="007E2522">
      <w:pPr>
        <w:pStyle w:val="NormalWeb"/>
        <w:spacing w:before="0" w:beforeAutospacing="0" w:after="0" w:afterAutospacing="0"/>
        <w:rPr>
          <w:rFonts w:ascii="Arial" w:hAnsi="Arial" w:cs="Arial"/>
          <w:iCs/>
          <w:sz w:val="22"/>
          <w:szCs w:val="22"/>
        </w:rPr>
      </w:pPr>
    </w:p>
    <w:p w:rsidR="007E2522" w:rsidRDefault="007E2522" w:rsidP="007E2522">
      <w:pPr>
        <w:pStyle w:val="NormalWeb"/>
        <w:spacing w:before="0" w:beforeAutospacing="0" w:after="0" w:afterAutospacing="0"/>
        <w:rPr>
          <w:rFonts w:ascii="Arial" w:hAnsi="Arial" w:cs="Arial"/>
          <w:iCs/>
          <w:sz w:val="22"/>
          <w:szCs w:val="22"/>
        </w:rPr>
      </w:pPr>
      <w:r>
        <w:rPr>
          <w:rFonts w:ascii="Arial" w:hAnsi="Arial" w:cs="Arial"/>
          <w:iCs/>
          <w:sz w:val="22"/>
          <w:szCs w:val="22"/>
        </w:rPr>
        <w:t>Prices for services are then derived by dividing the annual revenue requirements by an estimate of the demand for the service.</w:t>
      </w:r>
    </w:p>
    <w:p w:rsidR="007E2522" w:rsidRDefault="007E2522" w:rsidP="007E2522">
      <w:pPr>
        <w:pStyle w:val="NormalWeb"/>
        <w:spacing w:before="0" w:beforeAutospacing="0" w:after="0" w:afterAutospacing="0"/>
        <w:rPr>
          <w:rFonts w:ascii="Arial" w:hAnsi="Arial" w:cs="Arial"/>
          <w:iCs/>
          <w:sz w:val="22"/>
          <w:szCs w:val="22"/>
        </w:rPr>
      </w:pPr>
    </w:p>
    <w:p w:rsidR="007E2522" w:rsidRDefault="007E2522" w:rsidP="007E2522">
      <w:pPr>
        <w:pStyle w:val="NormalWeb"/>
        <w:spacing w:before="0" w:beforeAutospacing="0" w:after="0" w:afterAutospacing="0"/>
        <w:rPr>
          <w:rFonts w:ascii="Arial" w:hAnsi="Arial" w:cs="Arial"/>
          <w:iCs/>
          <w:sz w:val="22"/>
          <w:szCs w:val="22"/>
        </w:rPr>
      </w:pPr>
      <w:r>
        <w:rPr>
          <w:rFonts w:ascii="Arial" w:hAnsi="Arial" w:cs="Arial"/>
          <w:iCs/>
          <w:sz w:val="22"/>
          <w:szCs w:val="22"/>
        </w:rPr>
        <w:t>The approach uses efficient costs, with the regulator questioning, and if necessary adjusting, the cost estimates provided by regulated firms. Prices for the customers of regulated entities are typically set for the duration of a multi-year regulatory period, often with a smoothed price path.</w:t>
      </w:r>
    </w:p>
    <w:p w:rsidR="007E2522" w:rsidRDefault="007E2522" w:rsidP="007E2522">
      <w:pPr>
        <w:pStyle w:val="NormalWeb"/>
        <w:spacing w:before="0" w:beforeAutospacing="0" w:after="0" w:afterAutospacing="0"/>
        <w:rPr>
          <w:rFonts w:ascii="Arial" w:hAnsi="Arial" w:cs="Arial"/>
          <w:iCs/>
          <w:sz w:val="22"/>
          <w:szCs w:val="22"/>
        </w:rPr>
      </w:pPr>
    </w:p>
    <w:p w:rsidR="007E2522" w:rsidRDefault="007E2522" w:rsidP="007E2522">
      <w:pPr>
        <w:pStyle w:val="NormalWeb"/>
        <w:spacing w:before="0" w:beforeAutospacing="0" w:after="0" w:afterAutospacing="0"/>
        <w:rPr>
          <w:rFonts w:ascii="Arial" w:hAnsi="Arial" w:cs="Arial"/>
          <w:iCs/>
          <w:sz w:val="22"/>
          <w:szCs w:val="22"/>
        </w:rPr>
      </w:pPr>
      <w:r>
        <w:rPr>
          <w:rFonts w:ascii="Arial" w:hAnsi="Arial" w:cs="Arial"/>
          <w:iCs/>
          <w:sz w:val="22"/>
          <w:szCs w:val="22"/>
        </w:rPr>
        <w:lastRenderedPageBreak/>
        <w:t>The discussion paper sets out the possible benefits of applying this approach to road charging.</w:t>
      </w:r>
      <w:r>
        <w:rPr>
          <w:rStyle w:val="FootnoteReference"/>
          <w:rFonts w:ascii="Arial" w:hAnsi="Arial"/>
          <w:iCs/>
          <w:sz w:val="22"/>
          <w:szCs w:val="22"/>
        </w:rPr>
        <w:footnoteReference w:id="11"/>
      </w:r>
      <w:r>
        <w:rPr>
          <w:rFonts w:ascii="Arial" w:hAnsi="Arial" w:cs="Arial"/>
          <w:iCs/>
          <w:sz w:val="22"/>
          <w:szCs w:val="22"/>
        </w:rPr>
        <w:t xml:space="preserve"> There are, however, also considerable difficulties with the approach, including:</w:t>
      </w:r>
    </w:p>
    <w:p w:rsidR="00085D97" w:rsidRDefault="00085D97" w:rsidP="00085D97">
      <w:pPr>
        <w:pStyle w:val="NormalWeb"/>
        <w:spacing w:before="0" w:beforeAutospacing="0" w:after="0" w:afterAutospacing="0"/>
        <w:rPr>
          <w:rFonts w:ascii="Arial" w:hAnsi="Arial" w:cs="Arial"/>
          <w:iCs/>
          <w:sz w:val="22"/>
          <w:szCs w:val="22"/>
        </w:rPr>
      </w:pPr>
    </w:p>
    <w:p w:rsidR="00085D97" w:rsidRDefault="00085D97" w:rsidP="00085D97">
      <w:pPr>
        <w:pStyle w:val="NormalWeb"/>
        <w:spacing w:before="0" w:beforeAutospacing="0" w:after="0" w:afterAutospacing="0"/>
        <w:rPr>
          <w:rFonts w:ascii="Arial" w:hAnsi="Arial" w:cs="Arial"/>
          <w:iCs/>
          <w:sz w:val="22"/>
          <w:szCs w:val="22"/>
        </w:rPr>
      </w:pPr>
    </w:p>
    <w:p w:rsidR="00085D97" w:rsidRPr="00085D97" w:rsidRDefault="00085D97" w:rsidP="007E2522">
      <w:pPr>
        <w:pStyle w:val="NormalWeb"/>
        <w:keepNext/>
        <w:spacing w:before="0" w:beforeAutospacing="0" w:after="0" w:afterAutospacing="0"/>
        <w:rPr>
          <w:rFonts w:ascii="Arial" w:hAnsi="Arial" w:cs="Arial"/>
          <w:i/>
          <w:iCs/>
          <w:sz w:val="22"/>
          <w:szCs w:val="22"/>
        </w:rPr>
      </w:pPr>
      <w:r w:rsidRPr="00085D97">
        <w:rPr>
          <w:rFonts w:ascii="Arial" w:hAnsi="Arial" w:cs="Arial"/>
          <w:i/>
          <w:iCs/>
          <w:sz w:val="22"/>
          <w:szCs w:val="22"/>
        </w:rPr>
        <w:t>How much is the road system worth?</w:t>
      </w:r>
    </w:p>
    <w:p w:rsidR="00085D97" w:rsidRDefault="00085D97" w:rsidP="007E2522">
      <w:pPr>
        <w:pStyle w:val="NormalWeb"/>
        <w:keepNext/>
        <w:spacing w:before="0" w:beforeAutospacing="0" w:after="0" w:afterAutospacing="0"/>
        <w:rPr>
          <w:rFonts w:ascii="Arial" w:hAnsi="Arial" w:cs="Arial"/>
          <w:iCs/>
          <w:sz w:val="22"/>
          <w:szCs w:val="22"/>
        </w:rPr>
      </w:pPr>
    </w:p>
    <w:p w:rsidR="00085D97" w:rsidRDefault="00895E1C" w:rsidP="007E2522">
      <w:pPr>
        <w:pStyle w:val="NormalWeb"/>
        <w:keepNext/>
        <w:spacing w:before="0" w:beforeAutospacing="0" w:after="0" w:afterAutospacing="0"/>
        <w:rPr>
          <w:rFonts w:ascii="Arial" w:hAnsi="Arial" w:cs="Arial"/>
          <w:iCs/>
          <w:sz w:val="22"/>
          <w:szCs w:val="22"/>
        </w:rPr>
      </w:pPr>
      <w:r>
        <w:rPr>
          <w:rFonts w:ascii="Arial" w:hAnsi="Arial" w:cs="Arial"/>
          <w:iCs/>
          <w:sz w:val="22"/>
          <w:szCs w:val="22"/>
        </w:rPr>
        <w:t>Using</w:t>
      </w:r>
      <w:r w:rsidR="00C912E3">
        <w:rPr>
          <w:rFonts w:ascii="Arial" w:hAnsi="Arial" w:cs="Arial"/>
          <w:iCs/>
          <w:sz w:val="22"/>
          <w:szCs w:val="22"/>
        </w:rPr>
        <w:t xml:space="preserve"> t</w:t>
      </w:r>
      <w:r w:rsidR="00DD6427">
        <w:rPr>
          <w:rFonts w:ascii="Arial" w:hAnsi="Arial" w:cs="Arial"/>
          <w:iCs/>
          <w:sz w:val="22"/>
          <w:szCs w:val="22"/>
        </w:rPr>
        <w:t xml:space="preserve">he building block model </w:t>
      </w:r>
      <w:r w:rsidR="00C912E3">
        <w:rPr>
          <w:rFonts w:ascii="Arial" w:hAnsi="Arial" w:cs="Arial"/>
          <w:iCs/>
          <w:sz w:val="22"/>
          <w:szCs w:val="22"/>
        </w:rPr>
        <w:t>would require</w:t>
      </w:r>
      <w:r w:rsidR="00DD6427">
        <w:rPr>
          <w:rFonts w:ascii="Arial" w:hAnsi="Arial" w:cs="Arial"/>
          <w:iCs/>
          <w:sz w:val="22"/>
          <w:szCs w:val="22"/>
        </w:rPr>
        <w:t xml:space="preserve"> a valuation of the road system, including the age of the road assets and their expected lives. This information does not currently exist</w:t>
      </w:r>
      <w:r w:rsidR="00C912E3">
        <w:rPr>
          <w:rFonts w:ascii="Arial" w:hAnsi="Arial" w:cs="Arial"/>
          <w:iCs/>
          <w:sz w:val="22"/>
          <w:szCs w:val="22"/>
        </w:rPr>
        <w:t xml:space="preserve"> in a consistent and usable form.</w:t>
      </w:r>
    </w:p>
    <w:p w:rsidR="00DD6427" w:rsidRDefault="00DD6427" w:rsidP="00DD6427">
      <w:pPr>
        <w:pStyle w:val="NormalWeb"/>
        <w:spacing w:before="0" w:beforeAutospacing="0" w:after="0" w:afterAutospacing="0"/>
        <w:rPr>
          <w:rFonts w:ascii="Arial" w:hAnsi="Arial" w:cs="Arial"/>
          <w:iCs/>
          <w:sz w:val="22"/>
          <w:szCs w:val="22"/>
        </w:rPr>
      </w:pPr>
    </w:p>
    <w:p w:rsidR="007C1E6E" w:rsidRDefault="007B631C" w:rsidP="007B631C">
      <w:pPr>
        <w:pStyle w:val="NormalWeb"/>
        <w:spacing w:before="0" w:beforeAutospacing="0" w:after="0" w:afterAutospacing="0"/>
        <w:rPr>
          <w:rFonts w:ascii="Arial" w:hAnsi="Arial" w:cs="Arial"/>
          <w:iCs/>
          <w:sz w:val="22"/>
          <w:szCs w:val="22"/>
        </w:rPr>
      </w:pPr>
      <w:r>
        <w:rPr>
          <w:rFonts w:ascii="Arial" w:hAnsi="Arial" w:cs="Arial"/>
          <w:iCs/>
          <w:sz w:val="22"/>
          <w:szCs w:val="22"/>
        </w:rPr>
        <w:t xml:space="preserve">When </w:t>
      </w:r>
      <w:r w:rsidR="007C1E6E">
        <w:rPr>
          <w:rFonts w:ascii="Arial" w:hAnsi="Arial" w:cs="Arial"/>
          <w:iCs/>
          <w:sz w:val="22"/>
          <w:szCs w:val="22"/>
        </w:rPr>
        <w:t>the Queensland coal lines were regulated, the Queensland Competition Authority (QCA) commissioned GHD to calculate the value of 1,919 kilometres of rail assets. GHD carried out its work using an asset register provided by QR (which proved to be inadequate), as well as:</w:t>
      </w:r>
    </w:p>
    <w:p w:rsidR="007C1E6E" w:rsidRDefault="007C1E6E" w:rsidP="007B631C">
      <w:pPr>
        <w:pStyle w:val="NormalWeb"/>
        <w:spacing w:before="0" w:beforeAutospacing="0" w:after="0" w:afterAutospacing="0"/>
        <w:rPr>
          <w:rFonts w:ascii="Arial" w:hAnsi="Arial" w:cs="Arial"/>
          <w:iCs/>
          <w:sz w:val="22"/>
          <w:szCs w:val="22"/>
        </w:rPr>
      </w:pPr>
      <w:r>
        <w:rPr>
          <w:rFonts w:ascii="Arial" w:hAnsi="Arial" w:cs="Arial"/>
          <w:iCs/>
          <w:sz w:val="22"/>
          <w:szCs w:val="22"/>
        </w:rPr>
        <w:t xml:space="preserve"> </w:t>
      </w:r>
    </w:p>
    <w:p w:rsidR="007C1E6E" w:rsidRPr="007C1E6E" w:rsidRDefault="00FA1800" w:rsidP="00FA1800">
      <w:pPr>
        <w:pStyle w:val="ListParagraph"/>
        <w:numPr>
          <w:ilvl w:val="1"/>
          <w:numId w:val="43"/>
        </w:numPr>
        <w:autoSpaceDE w:val="0"/>
        <w:autoSpaceDN w:val="0"/>
        <w:adjustRightInd w:val="0"/>
        <w:spacing w:after="0" w:line="240" w:lineRule="auto"/>
        <w:ind w:left="1434" w:hanging="357"/>
        <w:rPr>
          <w:rFonts w:ascii="Arial" w:hAnsi="Arial" w:cs="Arial"/>
          <w:lang w:eastAsia="en-AU"/>
        </w:rPr>
      </w:pPr>
      <w:r>
        <w:rPr>
          <w:rFonts w:ascii="Arial" w:hAnsi="Arial" w:cs="Arial"/>
          <w:lang w:eastAsia="en-AU"/>
        </w:rPr>
        <w:t>line s</w:t>
      </w:r>
      <w:r w:rsidR="007C1E6E" w:rsidRPr="007C1E6E">
        <w:rPr>
          <w:rFonts w:ascii="Arial" w:hAnsi="Arial" w:cs="Arial"/>
          <w:lang w:eastAsia="en-AU"/>
        </w:rPr>
        <w:t xml:space="preserve">ections </w:t>
      </w:r>
    </w:p>
    <w:p w:rsidR="007C1E6E" w:rsidRPr="007C1E6E" w:rsidRDefault="00FA1800" w:rsidP="00FA1800">
      <w:pPr>
        <w:pStyle w:val="ListParagraph"/>
        <w:numPr>
          <w:ilvl w:val="1"/>
          <w:numId w:val="43"/>
        </w:numPr>
        <w:autoSpaceDE w:val="0"/>
        <w:autoSpaceDN w:val="0"/>
        <w:adjustRightInd w:val="0"/>
        <w:spacing w:after="0" w:line="240" w:lineRule="auto"/>
        <w:ind w:left="1434" w:hanging="357"/>
        <w:rPr>
          <w:rFonts w:ascii="Arial" w:hAnsi="Arial" w:cs="Arial"/>
          <w:lang w:eastAsia="en-AU"/>
        </w:rPr>
      </w:pPr>
      <w:r>
        <w:rPr>
          <w:rFonts w:ascii="Arial" w:hAnsi="Arial" w:cs="Arial"/>
          <w:lang w:eastAsia="en-AU"/>
        </w:rPr>
        <w:t>a</w:t>
      </w:r>
      <w:r w:rsidR="007C1E6E" w:rsidRPr="007C1E6E">
        <w:rPr>
          <w:rFonts w:ascii="Arial" w:hAnsi="Arial" w:cs="Arial"/>
          <w:lang w:eastAsia="en-AU"/>
        </w:rPr>
        <w:t>s built civil working plan and section drawings</w:t>
      </w:r>
    </w:p>
    <w:p w:rsidR="007C1E6E" w:rsidRPr="007C1E6E" w:rsidRDefault="00FA1800" w:rsidP="00FA1800">
      <w:pPr>
        <w:pStyle w:val="ListParagraph"/>
        <w:numPr>
          <w:ilvl w:val="1"/>
          <w:numId w:val="43"/>
        </w:numPr>
        <w:autoSpaceDE w:val="0"/>
        <w:autoSpaceDN w:val="0"/>
        <w:adjustRightInd w:val="0"/>
        <w:spacing w:after="0" w:line="240" w:lineRule="auto"/>
        <w:ind w:left="1434" w:hanging="357"/>
        <w:rPr>
          <w:rFonts w:ascii="Arial" w:hAnsi="Arial" w:cs="Arial"/>
          <w:lang w:eastAsia="en-AU"/>
        </w:rPr>
      </w:pPr>
      <w:r>
        <w:rPr>
          <w:rFonts w:ascii="Arial" w:hAnsi="Arial" w:cs="Arial"/>
          <w:lang w:eastAsia="en-AU"/>
        </w:rPr>
        <w:t>e</w:t>
      </w:r>
      <w:r w:rsidR="007C1E6E" w:rsidRPr="007C1E6E">
        <w:rPr>
          <w:rFonts w:ascii="Arial" w:hAnsi="Arial" w:cs="Arial"/>
          <w:lang w:eastAsia="en-AU"/>
        </w:rPr>
        <w:t>lectrical traction power isolation diagrams</w:t>
      </w:r>
    </w:p>
    <w:p w:rsidR="007C1E6E" w:rsidRPr="007C1E6E" w:rsidRDefault="00FA1800" w:rsidP="00FA1800">
      <w:pPr>
        <w:pStyle w:val="ListParagraph"/>
        <w:numPr>
          <w:ilvl w:val="1"/>
          <w:numId w:val="43"/>
        </w:numPr>
        <w:autoSpaceDE w:val="0"/>
        <w:autoSpaceDN w:val="0"/>
        <w:adjustRightInd w:val="0"/>
        <w:spacing w:after="0" w:line="240" w:lineRule="auto"/>
        <w:ind w:left="1434" w:hanging="357"/>
        <w:rPr>
          <w:rFonts w:ascii="Arial" w:hAnsi="Arial" w:cs="Arial"/>
          <w:lang w:eastAsia="en-AU"/>
        </w:rPr>
      </w:pPr>
      <w:r>
        <w:rPr>
          <w:rFonts w:ascii="Arial" w:hAnsi="Arial" w:cs="Arial"/>
          <w:lang w:eastAsia="en-AU"/>
        </w:rPr>
        <w:t>s</w:t>
      </w:r>
      <w:r w:rsidR="007C1E6E" w:rsidRPr="007C1E6E">
        <w:rPr>
          <w:rFonts w:ascii="Arial" w:hAnsi="Arial" w:cs="Arial"/>
          <w:lang w:eastAsia="en-AU"/>
        </w:rPr>
        <w:t xml:space="preserve">ignalling drawings </w:t>
      </w:r>
    </w:p>
    <w:p w:rsidR="007C1E6E" w:rsidRPr="007C1E6E" w:rsidRDefault="00FA1800" w:rsidP="00FA1800">
      <w:pPr>
        <w:pStyle w:val="NormalWeb"/>
        <w:numPr>
          <w:ilvl w:val="1"/>
          <w:numId w:val="43"/>
        </w:numPr>
        <w:spacing w:before="0" w:beforeAutospacing="0" w:after="0" w:afterAutospacing="0"/>
        <w:ind w:left="1434" w:hanging="357"/>
        <w:rPr>
          <w:rFonts w:ascii="Arial" w:hAnsi="Arial" w:cs="Arial"/>
          <w:iCs/>
          <w:sz w:val="22"/>
          <w:szCs w:val="22"/>
        </w:rPr>
      </w:pPr>
      <w:r>
        <w:rPr>
          <w:rFonts w:ascii="Arial" w:hAnsi="Arial" w:cs="Arial"/>
          <w:sz w:val="22"/>
          <w:szCs w:val="22"/>
        </w:rPr>
        <w:t>c</w:t>
      </w:r>
      <w:r w:rsidR="007C1E6E" w:rsidRPr="007C1E6E">
        <w:rPr>
          <w:rFonts w:ascii="Arial" w:hAnsi="Arial" w:cs="Arial"/>
          <w:sz w:val="22"/>
          <w:szCs w:val="22"/>
        </w:rPr>
        <w:t>ommunications and signalling cable layout drawings.</w:t>
      </w:r>
      <w:r w:rsidR="00FE09B2">
        <w:rPr>
          <w:rStyle w:val="FootnoteReference"/>
          <w:rFonts w:ascii="Arial" w:hAnsi="Arial"/>
          <w:sz w:val="22"/>
          <w:szCs w:val="22"/>
        </w:rPr>
        <w:footnoteReference w:id="12"/>
      </w:r>
    </w:p>
    <w:p w:rsidR="007C1E6E" w:rsidRDefault="007C1E6E" w:rsidP="007B631C">
      <w:pPr>
        <w:pStyle w:val="NormalWeb"/>
        <w:spacing w:before="0" w:beforeAutospacing="0" w:after="0" w:afterAutospacing="0"/>
        <w:rPr>
          <w:rFonts w:ascii="Arial" w:hAnsi="Arial" w:cs="Arial"/>
          <w:iCs/>
          <w:sz w:val="22"/>
          <w:szCs w:val="22"/>
        </w:rPr>
      </w:pPr>
    </w:p>
    <w:p w:rsidR="007B631C" w:rsidRDefault="007C1E6E" w:rsidP="007C1E6E">
      <w:pPr>
        <w:pStyle w:val="NormalWeb"/>
        <w:spacing w:before="0" w:beforeAutospacing="0" w:after="0" w:afterAutospacing="0"/>
        <w:rPr>
          <w:rFonts w:ascii="Arial" w:hAnsi="Arial" w:cs="Arial"/>
          <w:iCs/>
          <w:sz w:val="22"/>
          <w:szCs w:val="22"/>
        </w:rPr>
      </w:pPr>
      <w:r>
        <w:rPr>
          <w:rFonts w:ascii="Arial" w:hAnsi="Arial" w:cs="Arial"/>
          <w:iCs/>
          <w:sz w:val="22"/>
          <w:szCs w:val="22"/>
        </w:rPr>
        <w:t xml:space="preserve">The cost of valuing the </w:t>
      </w:r>
      <w:r w:rsidR="00FE09B2">
        <w:rPr>
          <w:rFonts w:ascii="Arial" w:hAnsi="Arial" w:cs="Arial"/>
          <w:iCs/>
          <w:sz w:val="22"/>
          <w:szCs w:val="22"/>
        </w:rPr>
        <w:t>874,000 kilometres of roads</w:t>
      </w:r>
      <w:r w:rsidR="00FE09B2">
        <w:rPr>
          <w:rStyle w:val="FootnoteReference"/>
          <w:rFonts w:ascii="Arial" w:hAnsi="Arial"/>
          <w:iCs/>
          <w:sz w:val="22"/>
          <w:szCs w:val="22"/>
        </w:rPr>
        <w:footnoteReference w:id="13"/>
      </w:r>
      <w:r w:rsidR="00FE09B2">
        <w:rPr>
          <w:rFonts w:ascii="Arial" w:hAnsi="Arial" w:cs="Arial"/>
          <w:iCs/>
          <w:sz w:val="22"/>
          <w:szCs w:val="22"/>
        </w:rPr>
        <w:t xml:space="preserve"> in Australia on a similar best practice basis would be prohibitive.</w:t>
      </w:r>
    </w:p>
    <w:p w:rsidR="007B631C" w:rsidRDefault="007B631C" w:rsidP="00DD6427">
      <w:pPr>
        <w:pStyle w:val="NormalWeb"/>
        <w:spacing w:before="0" w:beforeAutospacing="0" w:after="0" w:afterAutospacing="0"/>
        <w:rPr>
          <w:rFonts w:ascii="Arial" w:hAnsi="Arial" w:cs="Arial"/>
          <w:iCs/>
          <w:sz w:val="22"/>
          <w:szCs w:val="22"/>
        </w:rPr>
      </w:pPr>
    </w:p>
    <w:p w:rsidR="00DD6427" w:rsidRDefault="007B631C" w:rsidP="00DD6427">
      <w:pPr>
        <w:pStyle w:val="NormalWeb"/>
        <w:spacing w:before="0" w:beforeAutospacing="0" w:after="0" w:afterAutospacing="0"/>
        <w:rPr>
          <w:rFonts w:ascii="Arial" w:hAnsi="Arial" w:cs="Arial"/>
          <w:iCs/>
          <w:sz w:val="22"/>
          <w:szCs w:val="22"/>
        </w:rPr>
      </w:pPr>
      <w:r>
        <w:rPr>
          <w:rFonts w:ascii="Arial" w:hAnsi="Arial" w:cs="Arial"/>
          <w:iCs/>
          <w:sz w:val="22"/>
          <w:szCs w:val="22"/>
        </w:rPr>
        <w:t xml:space="preserve">Before option 1 could be progressed, the </w:t>
      </w:r>
      <w:r w:rsidR="00DD6427">
        <w:rPr>
          <w:rFonts w:ascii="Arial" w:hAnsi="Arial" w:cs="Arial"/>
          <w:iCs/>
          <w:sz w:val="22"/>
          <w:szCs w:val="22"/>
        </w:rPr>
        <w:t xml:space="preserve">NTC would </w:t>
      </w:r>
      <w:r w:rsidR="00FE09B2">
        <w:rPr>
          <w:rFonts w:ascii="Arial" w:hAnsi="Arial" w:cs="Arial"/>
          <w:iCs/>
          <w:sz w:val="22"/>
          <w:szCs w:val="22"/>
        </w:rPr>
        <w:t xml:space="preserve">therefore </w:t>
      </w:r>
      <w:r w:rsidR="00DD6427">
        <w:rPr>
          <w:rFonts w:ascii="Arial" w:hAnsi="Arial" w:cs="Arial"/>
          <w:iCs/>
          <w:sz w:val="22"/>
          <w:szCs w:val="22"/>
        </w:rPr>
        <w:t>need to prop</w:t>
      </w:r>
      <w:r>
        <w:rPr>
          <w:rFonts w:ascii="Arial" w:hAnsi="Arial" w:cs="Arial"/>
          <w:iCs/>
          <w:sz w:val="22"/>
          <w:szCs w:val="22"/>
        </w:rPr>
        <w:t xml:space="preserve">ose an alternative asset valuation approach, or probably several approaches with the results checked </w:t>
      </w:r>
      <w:r w:rsidR="00651560">
        <w:rPr>
          <w:rFonts w:ascii="Arial" w:hAnsi="Arial" w:cs="Arial"/>
          <w:iCs/>
          <w:sz w:val="22"/>
          <w:szCs w:val="22"/>
        </w:rPr>
        <w:t>against each other</w:t>
      </w:r>
      <w:r>
        <w:rPr>
          <w:rFonts w:ascii="Arial" w:hAnsi="Arial" w:cs="Arial"/>
          <w:iCs/>
          <w:sz w:val="22"/>
          <w:szCs w:val="22"/>
        </w:rPr>
        <w:t>. T</w:t>
      </w:r>
      <w:r w:rsidR="00DD6427" w:rsidRPr="00DD6427">
        <w:rPr>
          <w:rFonts w:ascii="Arial" w:hAnsi="Arial" w:cs="Arial"/>
          <w:iCs/>
          <w:sz w:val="22"/>
          <w:szCs w:val="22"/>
        </w:rPr>
        <w:t xml:space="preserve">he simplest approach would be to derive an opening value that produced a similar price to the current price. Alternatively, capex on roads over a given period (say 20 years) could be used to build the asset base, </w:t>
      </w:r>
      <w:r>
        <w:rPr>
          <w:rFonts w:ascii="Arial" w:hAnsi="Arial" w:cs="Arial"/>
          <w:iCs/>
          <w:sz w:val="22"/>
          <w:szCs w:val="22"/>
        </w:rPr>
        <w:t>with the result discoun</w:t>
      </w:r>
      <w:r w:rsidR="00FE09B2">
        <w:rPr>
          <w:rFonts w:ascii="Arial" w:hAnsi="Arial" w:cs="Arial"/>
          <w:iCs/>
          <w:sz w:val="22"/>
          <w:szCs w:val="22"/>
        </w:rPr>
        <w:t>ted by a heavy vehicle road use</w:t>
      </w:r>
      <w:r>
        <w:rPr>
          <w:rFonts w:ascii="Arial" w:hAnsi="Arial" w:cs="Arial"/>
          <w:iCs/>
          <w:sz w:val="22"/>
          <w:szCs w:val="22"/>
        </w:rPr>
        <w:t xml:space="preserve"> factor</w:t>
      </w:r>
      <w:r w:rsidR="007E2522">
        <w:rPr>
          <w:rFonts w:ascii="Arial" w:hAnsi="Arial" w:cs="Arial"/>
          <w:iCs/>
          <w:sz w:val="22"/>
          <w:szCs w:val="22"/>
        </w:rPr>
        <w:t xml:space="preserve"> and an estimate of the value of the assets already funded by heavy vehicle road user and registration charges.</w:t>
      </w:r>
    </w:p>
    <w:p w:rsidR="00DD6427" w:rsidRDefault="00DD6427" w:rsidP="00DD6427">
      <w:pPr>
        <w:pStyle w:val="NormalWeb"/>
        <w:spacing w:before="0" w:beforeAutospacing="0" w:after="0" w:afterAutospacing="0"/>
        <w:rPr>
          <w:rFonts w:ascii="Arial" w:hAnsi="Arial" w:cs="Arial"/>
          <w:iCs/>
          <w:sz w:val="22"/>
          <w:szCs w:val="22"/>
        </w:rPr>
      </w:pPr>
    </w:p>
    <w:p w:rsidR="004463AE" w:rsidRDefault="004463AE" w:rsidP="00571F8F">
      <w:pPr>
        <w:pStyle w:val="NormalWeb"/>
        <w:spacing w:before="0" w:beforeAutospacing="0" w:after="0" w:afterAutospacing="0"/>
        <w:rPr>
          <w:rFonts w:ascii="Arial" w:hAnsi="Arial" w:cs="Arial"/>
          <w:iCs/>
          <w:sz w:val="22"/>
          <w:szCs w:val="22"/>
        </w:rPr>
      </w:pPr>
    </w:p>
    <w:p w:rsidR="00DD6427" w:rsidRPr="00DD6427" w:rsidRDefault="00DD6427" w:rsidP="00571F8F">
      <w:pPr>
        <w:pStyle w:val="NormalWeb"/>
        <w:spacing w:before="0" w:beforeAutospacing="0" w:after="0" w:afterAutospacing="0"/>
        <w:rPr>
          <w:rFonts w:ascii="Arial" w:hAnsi="Arial" w:cs="Arial"/>
          <w:i/>
          <w:iCs/>
          <w:sz w:val="22"/>
          <w:szCs w:val="22"/>
        </w:rPr>
      </w:pPr>
      <w:r w:rsidRPr="00DD6427">
        <w:rPr>
          <w:rFonts w:ascii="Arial" w:hAnsi="Arial" w:cs="Arial"/>
          <w:i/>
          <w:iCs/>
          <w:sz w:val="22"/>
          <w:szCs w:val="22"/>
        </w:rPr>
        <w:t>What WACC should be used?</w:t>
      </w:r>
    </w:p>
    <w:p w:rsidR="00223D83" w:rsidRDefault="00223D83" w:rsidP="00237A45">
      <w:pPr>
        <w:pStyle w:val="Heading2"/>
        <w:rPr>
          <w:b w:val="0"/>
        </w:rPr>
      </w:pPr>
    </w:p>
    <w:p w:rsidR="00DD6427" w:rsidRDefault="00401AEA" w:rsidP="00DD6427">
      <w:pPr>
        <w:rPr>
          <w:rFonts w:ascii="Arial" w:hAnsi="Arial" w:cs="Arial"/>
          <w:lang w:eastAsia="en-AU"/>
        </w:rPr>
      </w:pPr>
      <w:r>
        <w:rPr>
          <w:rFonts w:ascii="Arial" w:hAnsi="Arial" w:cs="Arial"/>
          <w:lang w:eastAsia="en-AU"/>
        </w:rPr>
        <w:t>In the building block model, t</w:t>
      </w:r>
      <w:r w:rsidR="00834397">
        <w:rPr>
          <w:rFonts w:ascii="Arial" w:hAnsi="Arial" w:cs="Arial"/>
          <w:lang w:eastAsia="en-AU"/>
        </w:rPr>
        <w:t xml:space="preserve">he </w:t>
      </w:r>
      <w:r>
        <w:rPr>
          <w:rFonts w:ascii="Arial" w:hAnsi="Arial" w:cs="Arial"/>
          <w:lang w:eastAsia="en-AU"/>
        </w:rPr>
        <w:t xml:space="preserve">WACC is used to set the allowable rate of return on the regulated asset base. </w:t>
      </w:r>
      <w:r w:rsidR="00834397">
        <w:rPr>
          <w:rFonts w:ascii="Arial" w:hAnsi="Arial" w:cs="Arial"/>
          <w:lang w:eastAsia="en-AU"/>
        </w:rPr>
        <w:t>The selection of the WACC is critical, and has resulted in increasingly arcane and expensive arguments in other regulated sectors.</w:t>
      </w:r>
      <w:r w:rsidR="00834397">
        <w:rPr>
          <w:rStyle w:val="FootnoteReference"/>
          <w:rFonts w:ascii="Arial" w:hAnsi="Arial"/>
          <w:lang w:eastAsia="en-AU"/>
        </w:rPr>
        <w:footnoteReference w:id="14"/>
      </w:r>
      <w:r w:rsidR="00834397">
        <w:rPr>
          <w:rFonts w:ascii="Arial" w:hAnsi="Arial" w:cs="Arial"/>
          <w:lang w:eastAsia="en-AU"/>
        </w:rPr>
        <w:t xml:space="preserve"> In 2004, the Productivity Commission pointed out that there is no single correct method for determining a rate of return.</w:t>
      </w:r>
      <w:r w:rsidR="006543DD">
        <w:rPr>
          <w:rStyle w:val="FootnoteReference"/>
          <w:rFonts w:ascii="Arial" w:hAnsi="Arial"/>
          <w:lang w:eastAsia="en-AU"/>
        </w:rPr>
        <w:footnoteReference w:id="15"/>
      </w:r>
    </w:p>
    <w:p w:rsidR="007E2522" w:rsidRDefault="007E2522" w:rsidP="00DD6427">
      <w:pPr>
        <w:rPr>
          <w:rFonts w:ascii="Arial" w:hAnsi="Arial" w:cs="Arial"/>
          <w:lang w:eastAsia="en-AU"/>
        </w:rPr>
      </w:pPr>
    </w:p>
    <w:p w:rsidR="007E2522" w:rsidRDefault="007E2522" w:rsidP="007E2522">
      <w:pPr>
        <w:rPr>
          <w:rFonts w:ascii="Arial" w:hAnsi="Arial" w:cs="Arial"/>
          <w:lang w:eastAsia="en-AU"/>
        </w:rPr>
      </w:pPr>
      <w:r>
        <w:rPr>
          <w:rFonts w:ascii="Arial" w:hAnsi="Arial" w:cs="Arial"/>
          <w:lang w:eastAsia="en-AU"/>
        </w:rPr>
        <w:t xml:space="preserve">The NTC has not provided any guidance about how it </w:t>
      </w:r>
      <w:r w:rsidR="00895E1C">
        <w:rPr>
          <w:rFonts w:ascii="Arial" w:hAnsi="Arial" w:cs="Arial"/>
          <w:lang w:eastAsia="en-AU"/>
        </w:rPr>
        <w:t>would propose</w:t>
      </w:r>
      <w:r>
        <w:rPr>
          <w:rFonts w:ascii="Arial" w:hAnsi="Arial" w:cs="Arial"/>
          <w:lang w:eastAsia="en-AU"/>
        </w:rPr>
        <w:t xml:space="preserve"> to </w:t>
      </w:r>
      <w:r w:rsidR="00BF5842">
        <w:rPr>
          <w:rFonts w:ascii="Arial" w:hAnsi="Arial" w:cs="Arial"/>
          <w:lang w:eastAsia="en-AU"/>
        </w:rPr>
        <w:t>s</w:t>
      </w:r>
      <w:r w:rsidR="00895E1C">
        <w:rPr>
          <w:rFonts w:ascii="Arial" w:hAnsi="Arial" w:cs="Arial"/>
          <w:lang w:eastAsia="en-AU"/>
        </w:rPr>
        <w:t>elect</w:t>
      </w:r>
      <w:r>
        <w:rPr>
          <w:rFonts w:ascii="Arial" w:hAnsi="Arial" w:cs="Arial"/>
          <w:lang w:eastAsia="en-AU"/>
        </w:rPr>
        <w:t xml:space="preserve"> an appropriate WACC for determining prices on the road network.</w:t>
      </w:r>
    </w:p>
    <w:p w:rsidR="00DD6427" w:rsidRDefault="00DD6427" w:rsidP="00DD6427">
      <w:pPr>
        <w:rPr>
          <w:rFonts w:ascii="Arial" w:hAnsi="Arial" w:cs="Arial"/>
          <w:lang w:eastAsia="en-AU"/>
        </w:rPr>
      </w:pPr>
    </w:p>
    <w:p w:rsidR="007E2522" w:rsidRDefault="007E2522" w:rsidP="00DD6427">
      <w:pPr>
        <w:rPr>
          <w:rFonts w:ascii="Arial" w:hAnsi="Arial" w:cs="Arial"/>
          <w:lang w:eastAsia="en-AU"/>
        </w:rPr>
      </w:pPr>
    </w:p>
    <w:p w:rsidR="00DD6427" w:rsidRPr="00DD6427" w:rsidRDefault="004B18F3" w:rsidP="00834397">
      <w:pPr>
        <w:keepNext/>
        <w:rPr>
          <w:rFonts w:ascii="Arial" w:hAnsi="Arial" w:cs="Arial"/>
          <w:i/>
          <w:lang w:eastAsia="en-AU"/>
        </w:rPr>
      </w:pPr>
      <w:r>
        <w:rPr>
          <w:rFonts w:ascii="Arial" w:hAnsi="Arial" w:cs="Arial"/>
          <w:i/>
          <w:lang w:eastAsia="en-AU"/>
        </w:rPr>
        <w:t>Forecasting</w:t>
      </w:r>
      <w:r w:rsidR="00DD6427" w:rsidRPr="00DD6427">
        <w:rPr>
          <w:rFonts w:ascii="Arial" w:hAnsi="Arial" w:cs="Arial"/>
          <w:i/>
          <w:lang w:eastAsia="en-AU"/>
        </w:rPr>
        <w:t xml:space="preserve"> capex and opex </w:t>
      </w:r>
      <w:r>
        <w:rPr>
          <w:rFonts w:ascii="Arial" w:hAnsi="Arial" w:cs="Arial"/>
          <w:i/>
          <w:lang w:eastAsia="en-AU"/>
        </w:rPr>
        <w:t>over the regulatory period</w:t>
      </w:r>
    </w:p>
    <w:p w:rsidR="00DD6427" w:rsidRDefault="00DD6427" w:rsidP="00834397">
      <w:pPr>
        <w:keepNext/>
        <w:rPr>
          <w:rFonts w:ascii="Arial" w:hAnsi="Arial" w:cs="Arial"/>
          <w:lang w:eastAsia="en-AU"/>
        </w:rPr>
      </w:pPr>
    </w:p>
    <w:p w:rsidR="00401AEA" w:rsidRDefault="00401AEA" w:rsidP="00834397">
      <w:pPr>
        <w:keepNext/>
        <w:rPr>
          <w:rFonts w:ascii="Arial" w:hAnsi="Arial" w:cs="Arial"/>
          <w:lang w:eastAsia="en-AU"/>
        </w:rPr>
      </w:pPr>
      <w:r>
        <w:rPr>
          <w:rFonts w:ascii="Arial" w:hAnsi="Arial" w:cs="Arial"/>
          <w:lang w:eastAsia="en-AU"/>
        </w:rPr>
        <w:t>The building block model also requires reliable forecasts of capex and o</w:t>
      </w:r>
      <w:r w:rsidR="00FD01E4">
        <w:rPr>
          <w:rFonts w:ascii="Arial" w:hAnsi="Arial" w:cs="Arial"/>
          <w:lang w:eastAsia="en-AU"/>
        </w:rPr>
        <w:t>pex over the regulatory period, typically with an adjustment to the RAB at the end of the period if the capex forecasts are different to the actuals.</w:t>
      </w:r>
    </w:p>
    <w:p w:rsidR="00FD01E4" w:rsidRDefault="00FD01E4" w:rsidP="00A73A7A">
      <w:pPr>
        <w:rPr>
          <w:rFonts w:ascii="Arial" w:hAnsi="Arial" w:cs="Arial"/>
          <w:lang w:eastAsia="en-AU"/>
        </w:rPr>
      </w:pPr>
    </w:p>
    <w:p w:rsidR="00DD6427" w:rsidRDefault="00DD6427" w:rsidP="00A73A7A">
      <w:pPr>
        <w:rPr>
          <w:rFonts w:ascii="Arial" w:hAnsi="Arial" w:cs="Arial"/>
          <w:lang w:eastAsia="en-AU"/>
        </w:rPr>
      </w:pPr>
      <w:r>
        <w:rPr>
          <w:rFonts w:ascii="Arial" w:hAnsi="Arial" w:cs="Arial"/>
          <w:lang w:eastAsia="en-AU"/>
        </w:rPr>
        <w:t xml:space="preserve">Governments have </w:t>
      </w:r>
      <w:r w:rsidR="00FD01E4">
        <w:rPr>
          <w:rFonts w:ascii="Arial" w:hAnsi="Arial" w:cs="Arial"/>
          <w:lang w:eastAsia="en-AU"/>
        </w:rPr>
        <w:t xml:space="preserve">started the process of developing these forecasts </w:t>
      </w:r>
      <w:r w:rsidR="007E2522">
        <w:rPr>
          <w:rFonts w:ascii="Arial" w:hAnsi="Arial" w:cs="Arial"/>
          <w:lang w:eastAsia="en-AU"/>
        </w:rPr>
        <w:t xml:space="preserve">for roads </w:t>
      </w:r>
      <w:r w:rsidR="00FD01E4">
        <w:rPr>
          <w:rFonts w:ascii="Arial" w:hAnsi="Arial" w:cs="Arial"/>
          <w:lang w:eastAsia="en-AU"/>
        </w:rPr>
        <w:t xml:space="preserve">with the release of four year </w:t>
      </w:r>
      <w:r>
        <w:rPr>
          <w:rFonts w:ascii="Arial" w:hAnsi="Arial" w:cs="Arial"/>
          <w:lang w:eastAsia="en-AU"/>
        </w:rPr>
        <w:t>expenditure plans for key freight routes,</w:t>
      </w:r>
      <w:r w:rsidR="00FE18E9">
        <w:rPr>
          <w:rStyle w:val="FootnoteReference"/>
          <w:rFonts w:ascii="Arial" w:hAnsi="Arial"/>
          <w:lang w:eastAsia="en-AU"/>
        </w:rPr>
        <w:footnoteReference w:id="16"/>
      </w:r>
      <w:r>
        <w:rPr>
          <w:rFonts w:ascii="Arial" w:hAnsi="Arial" w:cs="Arial"/>
          <w:lang w:eastAsia="en-AU"/>
        </w:rPr>
        <w:t xml:space="preserve"> however, </w:t>
      </w:r>
      <w:r w:rsidR="00DA79E0">
        <w:rPr>
          <w:rFonts w:ascii="Arial" w:hAnsi="Arial" w:cs="Arial"/>
          <w:lang w:eastAsia="en-AU"/>
        </w:rPr>
        <w:t xml:space="preserve">these forecasts are indicative and </w:t>
      </w:r>
      <w:r w:rsidR="00406FE0">
        <w:rPr>
          <w:rFonts w:ascii="Arial" w:hAnsi="Arial" w:cs="Arial"/>
          <w:lang w:eastAsia="en-AU"/>
        </w:rPr>
        <w:t>only cover a part of the capex and opex that would need to be included in the pricing model.</w:t>
      </w:r>
    </w:p>
    <w:p w:rsidR="00DD6427" w:rsidRDefault="00DD6427" w:rsidP="00A73A7A">
      <w:pPr>
        <w:rPr>
          <w:rFonts w:ascii="Arial" w:hAnsi="Arial" w:cs="Arial"/>
          <w:lang w:eastAsia="en-AU"/>
        </w:rPr>
      </w:pPr>
    </w:p>
    <w:p w:rsidR="00DD6427" w:rsidRDefault="00DD6427" w:rsidP="00DD6427">
      <w:pPr>
        <w:rPr>
          <w:rFonts w:ascii="Arial" w:hAnsi="Arial" w:cs="Arial"/>
          <w:lang w:eastAsia="en-AU"/>
        </w:rPr>
      </w:pPr>
    </w:p>
    <w:p w:rsidR="00DD6427" w:rsidRPr="00DD6427" w:rsidRDefault="004B18F3" w:rsidP="00DD6427">
      <w:pPr>
        <w:rPr>
          <w:rFonts w:ascii="Arial" w:hAnsi="Arial" w:cs="Arial"/>
          <w:i/>
          <w:lang w:eastAsia="en-AU"/>
        </w:rPr>
      </w:pPr>
      <w:r>
        <w:rPr>
          <w:rFonts w:ascii="Arial" w:hAnsi="Arial" w:cs="Arial"/>
          <w:i/>
          <w:lang w:eastAsia="en-AU"/>
        </w:rPr>
        <w:t>Closing the loop on improving efficiency</w:t>
      </w:r>
    </w:p>
    <w:p w:rsidR="00DD6427" w:rsidRDefault="00DD6427" w:rsidP="00DD6427">
      <w:pPr>
        <w:rPr>
          <w:rFonts w:ascii="Arial" w:hAnsi="Arial" w:cs="Arial"/>
          <w:lang w:eastAsia="en-AU"/>
        </w:rPr>
      </w:pPr>
    </w:p>
    <w:p w:rsidR="007E2522" w:rsidRDefault="007E2522" w:rsidP="007E2522">
      <w:pPr>
        <w:rPr>
          <w:rFonts w:ascii="Arial" w:hAnsi="Arial" w:cs="Arial"/>
          <w:lang w:eastAsia="en-AU"/>
        </w:rPr>
      </w:pPr>
      <w:r>
        <w:rPr>
          <w:rFonts w:ascii="Arial" w:hAnsi="Arial" w:cs="Arial"/>
          <w:lang w:eastAsia="en-AU"/>
        </w:rPr>
        <w:t xml:space="preserve">A key reason for the success of the building block model in other regulated sectors is that the regulator and other stakeholders can question, and if necessary adjust, the proposals lodged by regulated entities. </w:t>
      </w:r>
    </w:p>
    <w:p w:rsidR="00775EF4" w:rsidRDefault="00775EF4" w:rsidP="00DD6427">
      <w:pPr>
        <w:rPr>
          <w:rFonts w:ascii="Arial" w:hAnsi="Arial" w:cs="Arial"/>
          <w:lang w:eastAsia="en-AU"/>
        </w:rPr>
      </w:pPr>
    </w:p>
    <w:p w:rsidR="009F3442" w:rsidRDefault="009F3442" w:rsidP="00DD6427">
      <w:pPr>
        <w:rPr>
          <w:rFonts w:ascii="Arial" w:hAnsi="Arial" w:cs="Arial"/>
          <w:lang w:eastAsia="en-AU"/>
        </w:rPr>
      </w:pPr>
      <w:r>
        <w:rPr>
          <w:rFonts w:ascii="Arial" w:hAnsi="Arial" w:cs="Arial"/>
          <w:lang w:eastAsia="en-AU"/>
        </w:rPr>
        <w:t xml:space="preserve">For example, the </w:t>
      </w:r>
      <w:r w:rsidR="00775EF4">
        <w:rPr>
          <w:rFonts w:ascii="Arial" w:hAnsi="Arial" w:cs="Arial"/>
          <w:lang w:eastAsia="en-AU"/>
        </w:rPr>
        <w:t xml:space="preserve">Australian Energy Regulator’s most recent decision on Ergon Energy, an electricity distributor in Queensland, allows the distributor to recover $6,295 million from its customers between 2015 and 2020. This </w:t>
      </w:r>
      <w:r w:rsidR="00406FE0">
        <w:rPr>
          <w:rFonts w:ascii="Arial" w:hAnsi="Arial" w:cs="Arial"/>
          <w:lang w:eastAsia="en-AU"/>
        </w:rPr>
        <w:t>was</w:t>
      </w:r>
      <w:r w:rsidR="00775EF4">
        <w:rPr>
          <w:rFonts w:ascii="Arial" w:hAnsi="Arial" w:cs="Arial"/>
          <w:lang w:eastAsia="en-AU"/>
        </w:rPr>
        <w:t xml:space="preserve"> 19.3 per cent lower than the final proposal that Ergon Energy put to the regulator.</w:t>
      </w:r>
      <w:r w:rsidR="00775EF4">
        <w:rPr>
          <w:rStyle w:val="FootnoteReference"/>
          <w:rFonts w:ascii="Arial" w:hAnsi="Arial"/>
          <w:lang w:eastAsia="en-AU"/>
        </w:rPr>
        <w:footnoteReference w:id="17"/>
      </w:r>
    </w:p>
    <w:p w:rsidR="003058BC" w:rsidRDefault="003058BC" w:rsidP="00DD6427">
      <w:pPr>
        <w:rPr>
          <w:rFonts w:ascii="Arial" w:hAnsi="Arial" w:cs="Arial"/>
          <w:lang w:eastAsia="en-AU"/>
        </w:rPr>
      </w:pPr>
    </w:p>
    <w:p w:rsidR="00406FE0" w:rsidRPr="00406FE0" w:rsidRDefault="00895E1C" w:rsidP="00406FE0">
      <w:pPr>
        <w:autoSpaceDE w:val="0"/>
        <w:autoSpaceDN w:val="0"/>
        <w:adjustRightInd w:val="0"/>
        <w:rPr>
          <w:rFonts w:ascii="Arial" w:hAnsi="Arial" w:cs="Arial"/>
          <w:color w:val="000000"/>
          <w:lang w:eastAsia="en-AU"/>
        </w:rPr>
      </w:pPr>
      <w:r>
        <w:rPr>
          <w:rFonts w:ascii="Arial" w:hAnsi="Arial" w:cs="Arial"/>
          <w:color w:val="000000"/>
          <w:lang w:eastAsia="en-AU"/>
        </w:rPr>
        <w:t>In another example</w:t>
      </w:r>
      <w:r w:rsidR="00406FE0">
        <w:rPr>
          <w:rFonts w:ascii="Arial" w:hAnsi="Arial" w:cs="Arial"/>
          <w:color w:val="000000"/>
          <w:lang w:eastAsia="en-AU"/>
        </w:rPr>
        <w:t xml:space="preserve">, the QCA benchmarked </w:t>
      </w:r>
      <w:r w:rsidR="00406FE0" w:rsidRPr="00406FE0">
        <w:rPr>
          <w:rFonts w:ascii="Arial" w:hAnsi="Arial" w:cs="Arial"/>
          <w:color w:val="000000"/>
          <w:lang w:eastAsia="en-AU"/>
        </w:rPr>
        <w:t>Aurizon</w:t>
      </w:r>
      <w:r w:rsidR="00406FE0">
        <w:rPr>
          <w:rFonts w:ascii="Arial" w:hAnsi="Arial" w:cs="Arial"/>
          <w:color w:val="000000"/>
          <w:lang w:eastAsia="en-AU"/>
        </w:rPr>
        <w:t xml:space="preserve">’s expenditure on ballast cleaning (some 30 per cent of its maintenance cost allowance) and found it was significantly higher than expenditure on comparable networks, such as </w:t>
      </w:r>
      <w:r w:rsidR="00406FE0" w:rsidRPr="00406FE0">
        <w:rPr>
          <w:rFonts w:ascii="Arial" w:hAnsi="Arial" w:cs="Arial"/>
          <w:color w:val="000000"/>
          <w:lang w:eastAsia="en-AU"/>
        </w:rPr>
        <w:t>ARTC’s Hunter Valley network</w:t>
      </w:r>
      <w:r w:rsidR="00406FE0">
        <w:rPr>
          <w:rFonts w:ascii="Arial" w:hAnsi="Arial" w:cs="Arial"/>
          <w:color w:val="000000"/>
          <w:lang w:eastAsia="en-AU"/>
        </w:rPr>
        <w:t>.</w:t>
      </w:r>
    </w:p>
    <w:p w:rsidR="00406FE0" w:rsidRDefault="00406FE0" w:rsidP="007E2522">
      <w:pPr>
        <w:autoSpaceDE w:val="0"/>
        <w:autoSpaceDN w:val="0"/>
        <w:adjustRightInd w:val="0"/>
        <w:rPr>
          <w:rFonts w:ascii="Arial" w:hAnsi="Arial" w:cs="Arial"/>
          <w:color w:val="000000"/>
          <w:lang w:eastAsia="en-AU"/>
        </w:rPr>
      </w:pPr>
    </w:p>
    <w:p w:rsidR="00406FE0" w:rsidRPr="00406FE0" w:rsidRDefault="00406FE0" w:rsidP="00406FE0">
      <w:pPr>
        <w:autoSpaceDE w:val="0"/>
        <w:autoSpaceDN w:val="0"/>
        <w:adjustRightInd w:val="0"/>
        <w:rPr>
          <w:rFonts w:ascii="Arial" w:hAnsi="Arial" w:cs="Arial"/>
          <w:color w:val="000000"/>
          <w:lang w:eastAsia="en-AU"/>
        </w:rPr>
      </w:pPr>
      <w:r w:rsidRPr="00406FE0">
        <w:rPr>
          <w:rFonts w:ascii="Arial" w:hAnsi="Arial" w:cs="Arial"/>
          <w:color w:val="000000"/>
          <w:lang w:eastAsia="en-AU"/>
        </w:rPr>
        <w:t xml:space="preserve">QCA concluded that the </w:t>
      </w:r>
      <w:r>
        <w:rPr>
          <w:rFonts w:ascii="Arial" w:hAnsi="Arial" w:cs="Arial"/>
          <w:color w:val="000000"/>
          <w:lang w:eastAsia="en-AU"/>
        </w:rPr>
        <w:t xml:space="preserve">need for the </w:t>
      </w:r>
      <w:r w:rsidRPr="00406FE0">
        <w:rPr>
          <w:rFonts w:ascii="Arial" w:hAnsi="Arial" w:cs="Arial"/>
          <w:color w:val="000000"/>
          <w:lang w:eastAsia="en-AU"/>
        </w:rPr>
        <w:t xml:space="preserve">ballast cleaning </w:t>
      </w:r>
      <w:r>
        <w:rPr>
          <w:rFonts w:ascii="Arial" w:hAnsi="Arial" w:cs="Arial"/>
          <w:color w:val="000000"/>
          <w:lang w:eastAsia="en-AU"/>
        </w:rPr>
        <w:t xml:space="preserve">was </w:t>
      </w:r>
      <w:r w:rsidRPr="00406FE0">
        <w:rPr>
          <w:rFonts w:ascii="Arial" w:hAnsi="Arial" w:cs="Arial"/>
          <w:color w:val="000000"/>
          <w:lang w:eastAsia="en-AU"/>
        </w:rPr>
        <w:t xml:space="preserve">due to </w:t>
      </w:r>
      <w:r>
        <w:rPr>
          <w:rFonts w:ascii="Arial" w:hAnsi="Arial" w:cs="Arial"/>
          <w:color w:val="000000"/>
          <w:lang w:eastAsia="en-AU"/>
        </w:rPr>
        <w:t>the overloading of</w:t>
      </w:r>
      <w:r w:rsidRPr="00406FE0">
        <w:rPr>
          <w:rFonts w:ascii="Arial" w:hAnsi="Arial" w:cs="Arial"/>
          <w:color w:val="000000"/>
          <w:lang w:eastAsia="en-AU"/>
        </w:rPr>
        <w:t xml:space="preserve"> coal wagons</w:t>
      </w:r>
      <w:r>
        <w:rPr>
          <w:rFonts w:ascii="Arial" w:hAnsi="Arial" w:cs="Arial"/>
          <w:color w:val="000000"/>
          <w:lang w:eastAsia="en-AU"/>
        </w:rPr>
        <w:t xml:space="preserve">. </w:t>
      </w:r>
      <w:r w:rsidRPr="00406FE0">
        <w:rPr>
          <w:rFonts w:ascii="Arial" w:hAnsi="Arial" w:cs="Arial"/>
          <w:color w:val="000000"/>
          <w:lang w:eastAsia="en-AU"/>
        </w:rPr>
        <w:t>As a result</w:t>
      </w:r>
      <w:r>
        <w:rPr>
          <w:rFonts w:ascii="Arial" w:hAnsi="Arial" w:cs="Arial"/>
          <w:color w:val="000000"/>
          <w:lang w:eastAsia="en-AU"/>
        </w:rPr>
        <w:t>,</w:t>
      </w:r>
      <w:r w:rsidRPr="00406FE0">
        <w:rPr>
          <w:rFonts w:ascii="Arial" w:hAnsi="Arial" w:cs="Arial"/>
          <w:color w:val="000000"/>
          <w:lang w:eastAsia="en-AU"/>
        </w:rPr>
        <w:t xml:space="preserve"> </w:t>
      </w:r>
      <w:r>
        <w:rPr>
          <w:rFonts w:ascii="Arial" w:hAnsi="Arial" w:cs="Arial"/>
          <w:color w:val="000000"/>
          <w:lang w:eastAsia="en-AU"/>
        </w:rPr>
        <w:t xml:space="preserve">it wrote </w:t>
      </w:r>
      <w:r w:rsidRPr="00406FE0">
        <w:rPr>
          <w:rFonts w:ascii="Arial" w:hAnsi="Arial" w:cs="Arial"/>
          <w:color w:val="000000"/>
          <w:lang w:eastAsia="en-AU"/>
        </w:rPr>
        <w:t>down the value of Aurizon’s track assets by around $100</w:t>
      </w:r>
      <w:r>
        <w:rPr>
          <w:rFonts w:ascii="Arial" w:hAnsi="Arial" w:cs="Arial"/>
          <w:color w:val="000000"/>
          <w:lang w:eastAsia="en-AU"/>
        </w:rPr>
        <w:t xml:space="preserve"> </w:t>
      </w:r>
      <w:r w:rsidRPr="00406FE0">
        <w:rPr>
          <w:rFonts w:ascii="Arial" w:hAnsi="Arial" w:cs="Arial"/>
          <w:color w:val="000000"/>
          <w:lang w:eastAsia="en-AU"/>
        </w:rPr>
        <w:t>m</w:t>
      </w:r>
      <w:r>
        <w:rPr>
          <w:rFonts w:ascii="Arial" w:hAnsi="Arial" w:cs="Arial"/>
          <w:color w:val="000000"/>
          <w:lang w:eastAsia="en-AU"/>
        </w:rPr>
        <w:t xml:space="preserve">illion – </w:t>
      </w:r>
      <w:r w:rsidRPr="00406FE0">
        <w:rPr>
          <w:rFonts w:ascii="Arial" w:hAnsi="Arial" w:cs="Arial"/>
          <w:color w:val="000000"/>
          <w:lang w:eastAsia="en-AU"/>
        </w:rPr>
        <w:t>effectively</w:t>
      </w:r>
      <w:r>
        <w:rPr>
          <w:rFonts w:ascii="Arial" w:hAnsi="Arial" w:cs="Arial"/>
          <w:color w:val="000000"/>
          <w:lang w:eastAsia="en-AU"/>
        </w:rPr>
        <w:t>, a revenue reduction of $20 million per year.</w:t>
      </w:r>
      <w:r>
        <w:rPr>
          <w:rStyle w:val="FootnoteReference"/>
          <w:rFonts w:ascii="Arial" w:hAnsi="Arial"/>
          <w:color w:val="000000"/>
          <w:lang w:eastAsia="en-AU"/>
        </w:rPr>
        <w:footnoteReference w:id="18"/>
      </w:r>
    </w:p>
    <w:p w:rsidR="00406FE0" w:rsidRDefault="00406FE0" w:rsidP="00DD6427">
      <w:pPr>
        <w:rPr>
          <w:rFonts w:ascii="Arial" w:hAnsi="Arial" w:cs="Arial"/>
          <w:lang w:eastAsia="en-AU"/>
        </w:rPr>
      </w:pPr>
    </w:p>
    <w:p w:rsidR="007E2522" w:rsidRDefault="007E2522" w:rsidP="007E2522">
      <w:pPr>
        <w:rPr>
          <w:rFonts w:ascii="Arial" w:hAnsi="Arial" w:cs="Arial"/>
          <w:lang w:eastAsia="en-AU"/>
        </w:rPr>
      </w:pPr>
      <w:r>
        <w:rPr>
          <w:rFonts w:ascii="Arial" w:hAnsi="Arial" w:cs="Arial"/>
          <w:lang w:eastAsia="en-AU"/>
        </w:rPr>
        <w:t>This approach would not be able to be adopted with respect to roads without substantial supply side reform. At present road capex and opex are effectively pass throughs of actual costs and there is no mechanism for reviewing them.</w:t>
      </w:r>
    </w:p>
    <w:p w:rsidR="007E2522" w:rsidRDefault="007E2522" w:rsidP="007E2522">
      <w:pPr>
        <w:rPr>
          <w:rFonts w:ascii="Arial" w:hAnsi="Arial" w:cs="Arial"/>
          <w:lang w:eastAsia="en-AU"/>
        </w:rPr>
      </w:pPr>
    </w:p>
    <w:p w:rsidR="007E2522" w:rsidRDefault="007E2522" w:rsidP="007E2522">
      <w:pPr>
        <w:rPr>
          <w:rFonts w:ascii="Arial" w:hAnsi="Arial" w:cs="Arial"/>
          <w:lang w:eastAsia="en-AU"/>
        </w:rPr>
      </w:pPr>
    </w:p>
    <w:p w:rsidR="007E2522" w:rsidRPr="00DD6427" w:rsidRDefault="007E2522" w:rsidP="007E2522">
      <w:pPr>
        <w:keepNext/>
        <w:keepLines/>
        <w:rPr>
          <w:rFonts w:ascii="Arial" w:hAnsi="Arial" w:cs="Arial"/>
          <w:i/>
          <w:lang w:eastAsia="en-AU"/>
        </w:rPr>
      </w:pPr>
      <w:r>
        <w:rPr>
          <w:rFonts w:ascii="Arial" w:hAnsi="Arial" w:cs="Arial"/>
          <w:i/>
          <w:lang w:eastAsia="en-AU"/>
        </w:rPr>
        <w:t>The cost of regulation</w:t>
      </w:r>
    </w:p>
    <w:p w:rsidR="007E2522" w:rsidRDefault="007E2522" w:rsidP="007E2522">
      <w:pPr>
        <w:keepNext/>
        <w:keepLines/>
        <w:rPr>
          <w:rFonts w:ascii="Arial" w:hAnsi="Arial" w:cs="Arial"/>
          <w:lang w:eastAsia="en-AU"/>
        </w:rPr>
      </w:pPr>
    </w:p>
    <w:p w:rsidR="007E2522" w:rsidRDefault="007E2522" w:rsidP="007E2522">
      <w:pPr>
        <w:keepNext/>
        <w:keepLines/>
        <w:rPr>
          <w:rFonts w:ascii="Arial" w:hAnsi="Arial" w:cs="Arial"/>
          <w:lang w:eastAsia="en-AU"/>
        </w:rPr>
      </w:pPr>
      <w:r>
        <w:rPr>
          <w:rFonts w:ascii="Arial" w:hAnsi="Arial" w:cs="Arial"/>
          <w:lang w:eastAsia="en-AU"/>
        </w:rPr>
        <w:t xml:space="preserve">The administration of the regulatory process can be expensive for </w:t>
      </w:r>
      <w:r w:rsidR="00895E1C">
        <w:rPr>
          <w:rFonts w:ascii="Arial" w:hAnsi="Arial" w:cs="Arial"/>
          <w:lang w:eastAsia="en-AU"/>
        </w:rPr>
        <w:t xml:space="preserve">governments, </w:t>
      </w:r>
      <w:r>
        <w:rPr>
          <w:rFonts w:ascii="Arial" w:hAnsi="Arial" w:cs="Arial"/>
          <w:lang w:eastAsia="en-AU"/>
        </w:rPr>
        <w:t>users</w:t>
      </w:r>
      <w:r w:rsidR="00895E1C">
        <w:rPr>
          <w:rFonts w:ascii="Arial" w:hAnsi="Arial" w:cs="Arial"/>
          <w:lang w:eastAsia="en-AU"/>
        </w:rPr>
        <w:t xml:space="preserve"> and regulated entities</w:t>
      </w:r>
      <w:r>
        <w:rPr>
          <w:rFonts w:ascii="Arial" w:hAnsi="Arial" w:cs="Arial"/>
          <w:lang w:eastAsia="en-AU"/>
        </w:rPr>
        <w:t>. These additional costs can only be justified if it can be shown that there would be significant efficiency gains and it is unclear that these will be realised if only heavy vehicle charges are set using the model.</w:t>
      </w:r>
    </w:p>
    <w:p w:rsidR="007E2522" w:rsidRDefault="007E2522" w:rsidP="007E2522">
      <w:pPr>
        <w:rPr>
          <w:rFonts w:ascii="Arial" w:hAnsi="Arial" w:cs="Arial"/>
          <w:lang w:eastAsia="en-AU"/>
        </w:rPr>
      </w:pPr>
    </w:p>
    <w:p w:rsidR="007E2522" w:rsidRDefault="007E2522" w:rsidP="007E2522">
      <w:pPr>
        <w:rPr>
          <w:rFonts w:ascii="Arial" w:hAnsi="Arial" w:cs="Arial"/>
          <w:lang w:eastAsia="en-AU"/>
        </w:rPr>
      </w:pPr>
    </w:p>
    <w:p w:rsidR="007E2522" w:rsidRPr="00B62849" w:rsidRDefault="007E2522" w:rsidP="007E2522">
      <w:pPr>
        <w:rPr>
          <w:rFonts w:ascii="Arial" w:hAnsi="Arial" w:cs="Arial"/>
          <w:i/>
          <w:lang w:eastAsia="en-AU"/>
        </w:rPr>
      </w:pPr>
      <w:r>
        <w:rPr>
          <w:rFonts w:ascii="Arial" w:hAnsi="Arial" w:cs="Arial"/>
          <w:i/>
          <w:lang w:eastAsia="en-AU"/>
        </w:rPr>
        <w:t>Option 1 in summary</w:t>
      </w:r>
    </w:p>
    <w:p w:rsidR="007E2522" w:rsidRDefault="007E2522" w:rsidP="007E2522">
      <w:pPr>
        <w:rPr>
          <w:rFonts w:ascii="Arial" w:hAnsi="Arial" w:cs="Arial"/>
          <w:lang w:eastAsia="en-AU"/>
        </w:rPr>
      </w:pPr>
    </w:p>
    <w:p w:rsidR="007E2522" w:rsidRDefault="007E2522" w:rsidP="007E2522">
      <w:pPr>
        <w:rPr>
          <w:rFonts w:ascii="Arial" w:hAnsi="Arial" w:cs="Arial"/>
          <w:lang w:eastAsia="en-AU"/>
        </w:rPr>
      </w:pPr>
      <w:r>
        <w:rPr>
          <w:rFonts w:ascii="Arial" w:hAnsi="Arial" w:cs="Arial"/>
          <w:lang w:eastAsia="en-AU"/>
        </w:rPr>
        <w:t>In summary, then, the building block model would be a complex and potentially expensive approach to setting road prices. At this stage there is considerable uncertainty with respect to how the model would be applied to the road sector. Much of the data needed to run the model is not currently available. In addition, the supply side arrangements for achieving the efficiency gains that are undoubtedly achievable under this approach are not currently in place.</w:t>
      </w:r>
    </w:p>
    <w:p w:rsidR="007E2522" w:rsidRDefault="007E2522" w:rsidP="007E2522">
      <w:pPr>
        <w:rPr>
          <w:rFonts w:ascii="Arial" w:hAnsi="Arial" w:cs="Arial"/>
          <w:lang w:eastAsia="en-AU"/>
        </w:rPr>
      </w:pPr>
    </w:p>
    <w:p w:rsidR="007E2522" w:rsidRDefault="007E2522" w:rsidP="007E2522">
      <w:pPr>
        <w:rPr>
          <w:rFonts w:ascii="Arial" w:hAnsi="Arial" w:cs="Arial"/>
          <w:lang w:eastAsia="en-AU"/>
        </w:rPr>
      </w:pPr>
      <w:r>
        <w:rPr>
          <w:rFonts w:ascii="Arial" w:hAnsi="Arial" w:cs="Arial"/>
          <w:lang w:eastAsia="en-AU"/>
        </w:rPr>
        <w:t xml:space="preserve">For these reasons, the ATA does not support option 1 at this stage: it should only be considered after supply side reform occurs. </w:t>
      </w:r>
    </w:p>
    <w:p w:rsidR="00BD59D1" w:rsidRDefault="00BD59D1" w:rsidP="00DD6427">
      <w:pPr>
        <w:rPr>
          <w:rFonts w:ascii="Arial" w:hAnsi="Arial" w:cs="Arial"/>
          <w:lang w:eastAsia="en-AU"/>
        </w:rPr>
      </w:pPr>
    </w:p>
    <w:p w:rsidR="00DD6427" w:rsidRPr="00DD6427" w:rsidRDefault="00DD6427" w:rsidP="00DD6427">
      <w:pPr>
        <w:rPr>
          <w:rFonts w:ascii="Arial" w:hAnsi="Arial" w:cs="Arial"/>
          <w:lang w:eastAsia="en-AU"/>
        </w:rPr>
      </w:pPr>
    </w:p>
    <w:p w:rsidR="00223D83" w:rsidRPr="00223D83" w:rsidRDefault="00223D83" w:rsidP="00651560">
      <w:pPr>
        <w:pStyle w:val="Heading2"/>
        <w:keepNext/>
      </w:pPr>
      <w:bookmarkStart w:id="11" w:name="_Toc457400404"/>
      <w:r w:rsidRPr="00223D83">
        <w:t>NTC option 2: Adopt a forward looking cost base using forecast budgets</w:t>
      </w:r>
      <w:bookmarkEnd w:id="11"/>
    </w:p>
    <w:p w:rsidR="00223D83" w:rsidRPr="00AD218E" w:rsidRDefault="00223D83" w:rsidP="00651560">
      <w:pPr>
        <w:pStyle w:val="NormalWeb"/>
        <w:keepNext/>
        <w:spacing w:before="0" w:beforeAutospacing="0" w:after="0" w:afterAutospacing="0"/>
        <w:rPr>
          <w:rFonts w:ascii="Arial" w:hAnsi="Arial" w:cs="Arial"/>
          <w:iCs/>
          <w:sz w:val="22"/>
          <w:szCs w:val="22"/>
        </w:rPr>
      </w:pPr>
    </w:p>
    <w:p w:rsidR="00531E13" w:rsidRDefault="00AD218E" w:rsidP="00651560">
      <w:pPr>
        <w:pStyle w:val="NormalWeb"/>
        <w:keepNext/>
        <w:spacing w:before="0" w:beforeAutospacing="0" w:after="0" w:afterAutospacing="0"/>
        <w:rPr>
          <w:rFonts w:ascii="Arial" w:hAnsi="Arial" w:cs="Arial"/>
          <w:iCs/>
          <w:sz w:val="22"/>
          <w:szCs w:val="22"/>
        </w:rPr>
      </w:pPr>
      <w:r>
        <w:rPr>
          <w:rFonts w:ascii="Arial" w:hAnsi="Arial" w:cs="Arial"/>
          <w:iCs/>
          <w:sz w:val="22"/>
          <w:szCs w:val="22"/>
        </w:rPr>
        <w:t xml:space="preserve">One of the recognised </w:t>
      </w:r>
      <w:r w:rsidR="00F77232">
        <w:rPr>
          <w:rFonts w:ascii="Arial" w:hAnsi="Arial" w:cs="Arial"/>
          <w:iCs/>
          <w:sz w:val="22"/>
          <w:szCs w:val="22"/>
        </w:rPr>
        <w:t xml:space="preserve">issues with PAYGO is that </w:t>
      </w:r>
      <w:r w:rsidR="00F11E8C">
        <w:rPr>
          <w:rFonts w:ascii="Arial" w:hAnsi="Arial" w:cs="Arial"/>
          <w:iCs/>
          <w:sz w:val="22"/>
          <w:szCs w:val="22"/>
        </w:rPr>
        <w:t xml:space="preserve">the </w:t>
      </w:r>
      <w:r w:rsidR="00F77232">
        <w:rPr>
          <w:rFonts w:ascii="Arial" w:hAnsi="Arial" w:cs="Arial"/>
          <w:iCs/>
          <w:sz w:val="22"/>
          <w:szCs w:val="22"/>
        </w:rPr>
        <w:t>road expenditure data used to generate the cost base is always two years behind.</w:t>
      </w:r>
      <w:r w:rsidR="00F11E8C">
        <w:rPr>
          <w:rFonts w:ascii="Arial" w:hAnsi="Arial" w:cs="Arial"/>
          <w:iCs/>
          <w:sz w:val="22"/>
          <w:szCs w:val="22"/>
        </w:rPr>
        <w:t xml:space="preserve"> </w:t>
      </w:r>
      <w:r w:rsidR="00F11E8C" w:rsidRPr="00F11E8C">
        <w:rPr>
          <w:rFonts w:ascii="Arial" w:hAnsi="Arial" w:cs="Arial"/>
          <w:iCs/>
          <w:sz w:val="22"/>
          <w:szCs w:val="22"/>
        </w:rPr>
        <w:t xml:space="preserve">For example, the charges </w:t>
      </w:r>
      <w:r w:rsidR="00F11E8C">
        <w:rPr>
          <w:rFonts w:ascii="Arial" w:hAnsi="Arial" w:cs="Arial"/>
          <w:iCs/>
          <w:sz w:val="22"/>
          <w:szCs w:val="22"/>
        </w:rPr>
        <w:t xml:space="preserve">in the 2014 determination were </w:t>
      </w:r>
      <w:r w:rsidR="00F11E8C" w:rsidRPr="00F11E8C">
        <w:rPr>
          <w:rFonts w:ascii="Arial" w:hAnsi="Arial" w:cs="Arial"/>
          <w:iCs/>
          <w:sz w:val="22"/>
          <w:szCs w:val="22"/>
        </w:rPr>
        <w:t>based on expe</w:t>
      </w:r>
      <w:r w:rsidR="00F11E8C">
        <w:rPr>
          <w:rFonts w:ascii="Arial" w:hAnsi="Arial" w:cs="Arial"/>
          <w:iCs/>
          <w:sz w:val="22"/>
          <w:szCs w:val="22"/>
        </w:rPr>
        <w:t>nditure data for the seven year period ending in 2012-13.</w:t>
      </w:r>
      <w:r w:rsidR="00F11E8C">
        <w:rPr>
          <w:rStyle w:val="FootnoteReference"/>
          <w:rFonts w:ascii="Arial" w:hAnsi="Arial"/>
          <w:iCs/>
          <w:sz w:val="22"/>
          <w:szCs w:val="22"/>
        </w:rPr>
        <w:footnoteReference w:id="19"/>
      </w:r>
    </w:p>
    <w:p w:rsidR="00F11E8C" w:rsidRDefault="00F11E8C" w:rsidP="00571F8F">
      <w:pPr>
        <w:pStyle w:val="NormalWeb"/>
        <w:spacing w:before="0" w:beforeAutospacing="0" w:after="0" w:afterAutospacing="0"/>
        <w:rPr>
          <w:rFonts w:ascii="Arial" w:hAnsi="Arial" w:cs="Arial"/>
          <w:iCs/>
          <w:sz w:val="22"/>
          <w:szCs w:val="22"/>
        </w:rPr>
      </w:pPr>
    </w:p>
    <w:p w:rsidR="00F11E8C" w:rsidRPr="00AD218E" w:rsidRDefault="00F11E8C" w:rsidP="00571F8F">
      <w:pPr>
        <w:pStyle w:val="NormalWeb"/>
        <w:spacing w:before="0" w:beforeAutospacing="0" w:after="0" w:afterAutospacing="0"/>
        <w:rPr>
          <w:rFonts w:ascii="Arial" w:hAnsi="Arial" w:cs="Arial"/>
          <w:iCs/>
          <w:sz w:val="22"/>
          <w:szCs w:val="22"/>
        </w:rPr>
      </w:pPr>
      <w:r>
        <w:rPr>
          <w:rFonts w:ascii="Arial" w:hAnsi="Arial" w:cs="Arial"/>
          <w:iCs/>
          <w:sz w:val="22"/>
          <w:szCs w:val="22"/>
        </w:rPr>
        <w:t xml:space="preserve">NTC option 2 would see the introduction of a forward looking cost base using forecast budgets. The discussion paper notes that this approach could overcome the two year lag in the current methodology and match investment needs with charges more accurately. It comments, however, </w:t>
      </w:r>
      <w:r>
        <w:rPr>
          <w:rFonts w:ascii="Arial" w:hAnsi="Arial" w:cs="Arial"/>
          <w:iCs/>
          <w:sz w:val="22"/>
          <w:szCs w:val="22"/>
        </w:rPr>
        <w:lastRenderedPageBreak/>
        <w:t>that the available data may not be sufficiently robust to produce reliable and stable forward cost estimates.</w:t>
      </w:r>
      <w:r>
        <w:rPr>
          <w:rStyle w:val="FootnoteReference"/>
          <w:rFonts w:ascii="Arial" w:hAnsi="Arial"/>
          <w:iCs/>
          <w:sz w:val="22"/>
          <w:szCs w:val="22"/>
        </w:rPr>
        <w:footnoteReference w:id="20"/>
      </w:r>
    </w:p>
    <w:p w:rsidR="00223D83" w:rsidRDefault="00223D83" w:rsidP="00571F8F">
      <w:pPr>
        <w:pStyle w:val="NormalWeb"/>
        <w:spacing w:before="0" w:beforeAutospacing="0" w:after="0" w:afterAutospacing="0"/>
        <w:rPr>
          <w:rFonts w:ascii="Arial" w:hAnsi="Arial" w:cs="Arial"/>
          <w:iCs/>
          <w:sz w:val="22"/>
          <w:szCs w:val="22"/>
        </w:rPr>
      </w:pPr>
    </w:p>
    <w:p w:rsidR="00F057E2" w:rsidRDefault="00F11E8C" w:rsidP="00571F8F">
      <w:pPr>
        <w:pStyle w:val="NormalWeb"/>
        <w:spacing w:before="0" w:beforeAutospacing="0" w:after="0" w:afterAutospacing="0"/>
        <w:rPr>
          <w:rFonts w:ascii="Arial" w:hAnsi="Arial" w:cs="Arial"/>
          <w:iCs/>
          <w:sz w:val="22"/>
          <w:szCs w:val="22"/>
        </w:rPr>
      </w:pPr>
      <w:r>
        <w:rPr>
          <w:rFonts w:ascii="Arial" w:hAnsi="Arial" w:cs="Arial"/>
          <w:iCs/>
          <w:sz w:val="22"/>
          <w:szCs w:val="22"/>
        </w:rPr>
        <w:t xml:space="preserve">The ATA shares the NTC’s concerns about the quality of forward looking roads expenditure data. </w:t>
      </w:r>
      <w:r w:rsidR="00F057E2">
        <w:rPr>
          <w:rFonts w:ascii="Arial" w:hAnsi="Arial" w:cs="Arial"/>
          <w:iCs/>
          <w:sz w:val="22"/>
          <w:szCs w:val="22"/>
        </w:rPr>
        <w:t>We do</w:t>
      </w:r>
      <w:r w:rsidR="002016E8">
        <w:rPr>
          <w:rFonts w:ascii="Arial" w:hAnsi="Arial" w:cs="Arial"/>
          <w:iCs/>
          <w:sz w:val="22"/>
          <w:szCs w:val="22"/>
        </w:rPr>
        <w:t xml:space="preserve"> consider, however, that there are advantages to closing the two year gap in the cost base by </w:t>
      </w:r>
      <w:r w:rsidR="007457D0">
        <w:rPr>
          <w:rFonts w:ascii="Arial" w:hAnsi="Arial" w:cs="Arial"/>
          <w:iCs/>
          <w:sz w:val="22"/>
          <w:szCs w:val="22"/>
        </w:rPr>
        <w:t xml:space="preserve">moving the seven year averaging process forward to include one year of </w:t>
      </w:r>
      <w:r w:rsidR="002016E8">
        <w:rPr>
          <w:rFonts w:ascii="Arial" w:hAnsi="Arial" w:cs="Arial"/>
          <w:iCs/>
          <w:sz w:val="22"/>
          <w:szCs w:val="22"/>
        </w:rPr>
        <w:t>estimated</w:t>
      </w:r>
      <w:r w:rsidR="007457D0">
        <w:rPr>
          <w:rFonts w:ascii="Arial" w:hAnsi="Arial" w:cs="Arial"/>
          <w:iCs/>
          <w:sz w:val="22"/>
          <w:szCs w:val="22"/>
        </w:rPr>
        <w:t xml:space="preserve"> and one year of forecast </w:t>
      </w:r>
      <w:r w:rsidR="00F057E2">
        <w:rPr>
          <w:rFonts w:ascii="Arial" w:hAnsi="Arial" w:cs="Arial"/>
          <w:iCs/>
          <w:sz w:val="22"/>
          <w:szCs w:val="22"/>
        </w:rPr>
        <w:t>expenditure</w:t>
      </w:r>
      <w:r w:rsidR="007457D0">
        <w:rPr>
          <w:rFonts w:ascii="Arial" w:hAnsi="Arial" w:cs="Arial"/>
          <w:iCs/>
          <w:sz w:val="22"/>
          <w:szCs w:val="22"/>
        </w:rPr>
        <w:t xml:space="preserve">. </w:t>
      </w:r>
      <w:r w:rsidR="007E2522">
        <w:rPr>
          <w:rFonts w:ascii="Arial" w:hAnsi="Arial" w:cs="Arial"/>
          <w:iCs/>
          <w:sz w:val="22"/>
          <w:szCs w:val="22"/>
        </w:rPr>
        <w:t>In particular, we consider that it would help bring greater focus and scrutiny on road agencies’ investment decision making and forecasting processes.</w:t>
      </w:r>
    </w:p>
    <w:p w:rsidR="00F057E2" w:rsidRDefault="00F057E2" w:rsidP="00571F8F">
      <w:pPr>
        <w:pStyle w:val="NormalWeb"/>
        <w:spacing w:before="0" w:beforeAutospacing="0" w:after="0" w:afterAutospacing="0"/>
        <w:rPr>
          <w:rFonts w:ascii="Arial" w:hAnsi="Arial" w:cs="Arial"/>
          <w:iCs/>
          <w:sz w:val="22"/>
          <w:szCs w:val="22"/>
        </w:rPr>
      </w:pPr>
    </w:p>
    <w:p w:rsidR="002016E8" w:rsidRDefault="007457D0" w:rsidP="00571F8F">
      <w:pPr>
        <w:pStyle w:val="NormalWeb"/>
        <w:spacing w:before="0" w:beforeAutospacing="0" w:after="0" w:afterAutospacing="0"/>
        <w:rPr>
          <w:rFonts w:ascii="Arial" w:hAnsi="Arial" w:cs="Arial"/>
          <w:iCs/>
          <w:sz w:val="22"/>
          <w:szCs w:val="22"/>
        </w:rPr>
      </w:pPr>
      <w:r>
        <w:rPr>
          <w:rFonts w:ascii="Arial" w:hAnsi="Arial" w:cs="Arial"/>
          <w:iCs/>
          <w:sz w:val="22"/>
          <w:szCs w:val="22"/>
        </w:rPr>
        <w:t>If the 2014 determin</w:t>
      </w:r>
      <w:r w:rsidR="007E2522">
        <w:rPr>
          <w:rFonts w:ascii="Arial" w:hAnsi="Arial" w:cs="Arial"/>
          <w:iCs/>
          <w:sz w:val="22"/>
          <w:szCs w:val="22"/>
        </w:rPr>
        <w:t>ation had been conducted on the proposed</w:t>
      </w:r>
      <w:r>
        <w:rPr>
          <w:rFonts w:ascii="Arial" w:hAnsi="Arial" w:cs="Arial"/>
          <w:iCs/>
          <w:sz w:val="22"/>
          <w:szCs w:val="22"/>
        </w:rPr>
        <w:t xml:space="preserve"> basis, the cost base would have been calculated based on:</w:t>
      </w:r>
    </w:p>
    <w:p w:rsidR="007457D0" w:rsidRDefault="007457D0" w:rsidP="00571F8F">
      <w:pPr>
        <w:pStyle w:val="NormalWeb"/>
        <w:spacing w:before="0" w:beforeAutospacing="0" w:after="0" w:afterAutospacing="0"/>
        <w:rPr>
          <w:rFonts w:ascii="Arial" w:hAnsi="Arial" w:cs="Arial"/>
          <w:iCs/>
          <w:sz w:val="22"/>
          <w:szCs w:val="22"/>
        </w:rPr>
      </w:pPr>
    </w:p>
    <w:p w:rsidR="007457D0" w:rsidRDefault="007457D0" w:rsidP="007457D0">
      <w:pPr>
        <w:pStyle w:val="NormalWeb"/>
        <w:numPr>
          <w:ilvl w:val="0"/>
          <w:numId w:val="37"/>
        </w:numPr>
        <w:spacing w:before="0" w:beforeAutospacing="0" w:after="0" w:afterAutospacing="0"/>
        <w:rPr>
          <w:rFonts w:ascii="Arial" w:hAnsi="Arial" w:cs="Arial"/>
          <w:iCs/>
          <w:sz w:val="22"/>
          <w:szCs w:val="22"/>
        </w:rPr>
      </w:pPr>
      <w:r>
        <w:rPr>
          <w:rFonts w:ascii="Arial" w:hAnsi="Arial" w:cs="Arial"/>
          <w:iCs/>
          <w:sz w:val="22"/>
          <w:szCs w:val="22"/>
        </w:rPr>
        <w:t>Forecast expenditure for 2014-15</w:t>
      </w:r>
    </w:p>
    <w:p w:rsidR="007457D0" w:rsidRDefault="007457D0" w:rsidP="007457D0">
      <w:pPr>
        <w:pStyle w:val="NormalWeb"/>
        <w:numPr>
          <w:ilvl w:val="0"/>
          <w:numId w:val="37"/>
        </w:numPr>
        <w:spacing w:before="0" w:beforeAutospacing="0" w:after="0" w:afterAutospacing="0"/>
        <w:rPr>
          <w:rFonts w:ascii="Arial" w:hAnsi="Arial" w:cs="Arial"/>
          <w:iCs/>
          <w:sz w:val="22"/>
          <w:szCs w:val="22"/>
        </w:rPr>
      </w:pPr>
      <w:r>
        <w:rPr>
          <w:rFonts w:ascii="Arial" w:hAnsi="Arial" w:cs="Arial"/>
          <w:iCs/>
          <w:sz w:val="22"/>
          <w:szCs w:val="22"/>
        </w:rPr>
        <w:t>Estimated expenditure for 2013-14 and</w:t>
      </w:r>
    </w:p>
    <w:p w:rsidR="007457D0" w:rsidRDefault="007457D0" w:rsidP="007457D0">
      <w:pPr>
        <w:pStyle w:val="NormalWeb"/>
        <w:numPr>
          <w:ilvl w:val="0"/>
          <w:numId w:val="37"/>
        </w:numPr>
        <w:spacing w:before="0" w:beforeAutospacing="0" w:after="0" w:afterAutospacing="0"/>
        <w:rPr>
          <w:rFonts w:ascii="Arial" w:hAnsi="Arial" w:cs="Arial"/>
          <w:iCs/>
          <w:sz w:val="22"/>
          <w:szCs w:val="22"/>
        </w:rPr>
      </w:pPr>
      <w:r>
        <w:rPr>
          <w:rFonts w:ascii="Arial" w:hAnsi="Arial" w:cs="Arial"/>
          <w:iCs/>
          <w:sz w:val="22"/>
          <w:szCs w:val="22"/>
        </w:rPr>
        <w:t xml:space="preserve">Five years of actual </w:t>
      </w:r>
      <w:r w:rsidR="00F057E2">
        <w:rPr>
          <w:rFonts w:ascii="Arial" w:hAnsi="Arial" w:cs="Arial"/>
          <w:iCs/>
          <w:sz w:val="22"/>
          <w:szCs w:val="22"/>
        </w:rPr>
        <w:t xml:space="preserve">expenditure </w:t>
      </w:r>
      <w:r>
        <w:rPr>
          <w:rFonts w:ascii="Arial" w:hAnsi="Arial" w:cs="Arial"/>
          <w:iCs/>
          <w:sz w:val="22"/>
          <w:szCs w:val="22"/>
        </w:rPr>
        <w:t>to 2012-13</w:t>
      </w:r>
      <w:r w:rsidR="00B744AD">
        <w:rPr>
          <w:rFonts w:ascii="Arial" w:hAnsi="Arial" w:cs="Arial"/>
          <w:iCs/>
          <w:sz w:val="22"/>
          <w:szCs w:val="22"/>
        </w:rPr>
        <w:t>.</w:t>
      </w:r>
    </w:p>
    <w:p w:rsidR="002016E8" w:rsidRDefault="002016E8" w:rsidP="00571F8F">
      <w:pPr>
        <w:pStyle w:val="NormalWeb"/>
        <w:spacing w:before="0" w:beforeAutospacing="0" w:after="0" w:afterAutospacing="0"/>
        <w:rPr>
          <w:rFonts w:ascii="Arial" w:hAnsi="Arial" w:cs="Arial"/>
          <w:iCs/>
          <w:sz w:val="22"/>
          <w:szCs w:val="22"/>
        </w:rPr>
      </w:pPr>
    </w:p>
    <w:p w:rsidR="002016E8" w:rsidRDefault="007E2522" w:rsidP="00571F8F">
      <w:pPr>
        <w:pStyle w:val="NormalWeb"/>
        <w:spacing w:before="0" w:beforeAutospacing="0" w:after="0" w:afterAutospacing="0"/>
        <w:rPr>
          <w:rFonts w:ascii="Arial" w:hAnsi="Arial" w:cs="Arial"/>
          <w:iCs/>
          <w:sz w:val="22"/>
          <w:szCs w:val="22"/>
        </w:rPr>
      </w:pPr>
      <w:r>
        <w:rPr>
          <w:rFonts w:ascii="Arial" w:hAnsi="Arial" w:cs="Arial"/>
          <w:iCs/>
          <w:sz w:val="22"/>
          <w:szCs w:val="22"/>
        </w:rPr>
        <w:t>Figure 3</w:t>
      </w:r>
      <w:r w:rsidR="007457D0">
        <w:rPr>
          <w:rFonts w:ascii="Arial" w:hAnsi="Arial" w:cs="Arial"/>
          <w:iCs/>
          <w:sz w:val="22"/>
          <w:szCs w:val="22"/>
        </w:rPr>
        <w:t xml:space="preserve"> </w:t>
      </w:r>
      <w:r w:rsidR="002016E8">
        <w:rPr>
          <w:rFonts w:ascii="Arial" w:hAnsi="Arial" w:cs="Arial"/>
          <w:iCs/>
          <w:sz w:val="22"/>
          <w:szCs w:val="22"/>
        </w:rPr>
        <w:t xml:space="preserve">shows how </w:t>
      </w:r>
      <w:r w:rsidR="007457D0">
        <w:rPr>
          <w:rFonts w:ascii="Arial" w:hAnsi="Arial" w:cs="Arial"/>
          <w:iCs/>
          <w:sz w:val="22"/>
          <w:szCs w:val="22"/>
        </w:rPr>
        <w:t>actual expenditure data would replace estimates and forecasts over the years.</w:t>
      </w:r>
    </w:p>
    <w:p w:rsidR="00F11E8C" w:rsidRDefault="00F11E8C" w:rsidP="00571F8F">
      <w:pPr>
        <w:pStyle w:val="NormalWeb"/>
        <w:spacing w:before="0" w:beforeAutospacing="0" w:after="0" w:afterAutospacing="0"/>
        <w:rPr>
          <w:rFonts w:ascii="Arial" w:hAnsi="Arial" w:cs="Arial"/>
          <w:iCs/>
          <w:sz w:val="22"/>
          <w:szCs w:val="22"/>
        </w:rPr>
      </w:pPr>
    </w:p>
    <w:p w:rsidR="00E72BA4" w:rsidRDefault="00E72BA4" w:rsidP="00E72BA4">
      <w:pPr>
        <w:rPr>
          <w:rFonts w:ascii="Arial" w:hAnsi="Arial" w:cs="Arial"/>
          <w:b/>
          <w:sz w:val="28"/>
          <w:szCs w:val="28"/>
        </w:rPr>
      </w:pPr>
    </w:p>
    <w:p w:rsidR="00E72BA4" w:rsidRDefault="00662B09" w:rsidP="00406FE0">
      <w:pPr>
        <w:keepNext/>
        <w:keepLines/>
        <w:rPr>
          <w:rFonts w:ascii="Arial" w:hAnsi="Arial" w:cs="Arial"/>
          <w:b/>
          <w:sz w:val="20"/>
          <w:szCs w:val="20"/>
        </w:rPr>
      </w:pPr>
      <w:r>
        <w:rPr>
          <w:rFonts w:ascii="Arial" w:hAnsi="Arial" w:cs="Arial"/>
          <w:b/>
          <w:sz w:val="20"/>
          <w:szCs w:val="20"/>
        </w:rPr>
        <w:t>Figure 3</w:t>
      </w:r>
      <w:r w:rsidR="00E72BA4" w:rsidRPr="009B23AB">
        <w:rPr>
          <w:rFonts w:ascii="Arial" w:hAnsi="Arial" w:cs="Arial"/>
          <w:b/>
          <w:sz w:val="20"/>
          <w:szCs w:val="20"/>
        </w:rPr>
        <w:t>: Replacement of forecast with actual expenditure data</w:t>
      </w:r>
    </w:p>
    <w:p w:rsidR="009B23AB" w:rsidRPr="009B23AB" w:rsidRDefault="009B23AB" w:rsidP="00406FE0">
      <w:pPr>
        <w:keepNext/>
        <w:keepLines/>
        <w:rPr>
          <w:rFonts w:ascii="Arial" w:hAnsi="Arial" w:cs="Arial"/>
          <w:b/>
          <w:sz w:val="20"/>
          <w:szCs w:val="20"/>
        </w:rPr>
      </w:pPr>
    </w:p>
    <w:p w:rsidR="00E72BA4" w:rsidRDefault="00AB42D9" w:rsidP="00406FE0">
      <w:pPr>
        <w:keepNext/>
        <w:keepLines/>
        <w:rPr>
          <w:rFonts w:ascii="Arial" w:hAnsi="Arial" w:cs="Arial"/>
          <w:b/>
          <w:sz w:val="28"/>
          <w:szCs w:val="28"/>
        </w:rPr>
      </w:pPr>
      <w:r>
        <w:rPr>
          <w:rFonts w:ascii="Arial" w:hAnsi="Arial" w:cs="Arial"/>
          <w:b/>
          <w:noProof/>
          <w:sz w:val="28"/>
          <w:szCs w:val="28"/>
          <w:lang w:eastAsia="en-AU"/>
        </w:rPr>
        <mc:AlternateContent>
          <mc:Choice Requires="wps">
            <w:drawing>
              <wp:anchor distT="0" distB="0" distL="114300" distR="114300" simplePos="0" relativeHeight="251660288" behindDoc="0" locked="0" layoutInCell="1" allowOverlap="1" wp14:anchorId="7B96010A" wp14:editId="44B2D87D">
                <wp:simplePos x="0" y="0"/>
                <wp:positionH relativeFrom="column">
                  <wp:posOffset>2594610</wp:posOffset>
                </wp:positionH>
                <wp:positionV relativeFrom="paragraph">
                  <wp:posOffset>8890</wp:posOffset>
                </wp:positionV>
                <wp:extent cx="1663065" cy="1234440"/>
                <wp:effectExtent l="0" t="0" r="413385" b="899160"/>
                <wp:wrapNone/>
                <wp:docPr id="6" name="Rounded Rectangular Callout 6"/>
                <wp:cNvGraphicFramePr/>
                <a:graphic xmlns:a="http://schemas.openxmlformats.org/drawingml/2006/main">
                  <a:graphicData uri="http://schemas.microsoft.com/office/word/2010/wordprocessingShape">
                    <wps:wsp>
                      <wps:cNvSpPr/>
                      <wps:spPr>
                        <a:xfrm>
                          <a:off x="0" y="0"/>
                          <a:ext cx="1663065" cy="1234440"/>
                        </a:xfrm>
                        <a:prstGeom prst="wedgeRoundRectCallout">
                          <a:avLst>
                            <a:gd name="adj1" fmla="val 73812"/>
                            <a:gd name="adj2" fmla="val 11949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13AF1" w:rsidRPr="009B23AB" w:rsidRDefault="00613AF1" w:rsidP="00E72BA4">
                            <w:pPr>
                              <w:rPr>
                                <w:rFonts w:ascii="Arial" w:hAnsi="Arial" w:cs="Arial"/>
                                <w:color w:val="000000" w:themeColor="text1"/>
                                <w:sz w:val="20"/>
                                <w:szCs w:val="20"/>
                              </w:rPr>
                            </w:pPr>
                            <w:r w:rsidRPr="009B23AB">
                              <w:rPr>
                                <w:rFonts w:ascii="Arial" w:hAnsi="Arial" w:cs="Arial"/>
                                <w:color w:val="000000" w:themeColor="text1"/>
                                <w:sz w:val="20"/>
                                <w:szCs w:val="20"/>
                              </w:rPr>
                              <w:t>Year 7 in the first set of calculations becom</w:t>
                            </w:r>
                            <w:r>
                              <w:rPr>
                                <w:rFonts w:ascii="Arial" w:hAnsi="Arial" w:cs="Arial"/>
                                <w:color w:val="000000" w:themeColor="text1"/>
                                <w:sz w:val="20"/>
                                <w:szCs w:val="20"/>
                              </w:rPr>
                              <w:t>es year 6 in the following set.</w:t>
                            </w:r>
                            <w:r w:rsidRPr="009B23AB">
                              <w:rPr>
                                <w:rFonts w:ascii="Arial" w:hAnsi="Arial" w:cs="Arial"/>
                                <w:color w:val="000000" w:themeColor="text1"/>
                                <w:sz w:val="20"/>
                                <w:szCs w:val="20"/>
                              </w:rPr>
                              <w:t xml:space="preserve"> Forecasts of expendit</w:t>
                            </w:r>
                            <w:r>
                              <w:rPr>
                                <w:rFonts w:ascii="Arial" w:hAnsi="Arial" w:cs="Arial"/>
                                <w:color w:val="000000" w:themeColor="text1"/>
                                <w:sz w:val="20"/>
                                <w:szCs w:val="20"/>
                              </w:rPr>
                              <w:t>ure may be updated for the new y</w:t>
                            </w:r>
                            <w:r w:rsidRPr="009B23AB">
                              <w:rPr>
                                <w:rFonts w:ascii="Arial" w:hAnsi="Arial" w:cs="Arial"/>
                                <w:color w:val="000000" w:themeColor="text1"/>
                                <w:sz w:val="20"/>
                                <w:szCs w:val="20"/>
                              </w:rPr>
                              <w:t>ear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601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6" type="#_x0000_t62" style="position:absolute;margin-left:204.3pt;margin-top:.7pt;width:130.95pt;height:9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" adj="26743,36611" filled="f" strokecolor="#243f60 [1604]" strokeweight="2pt">
                <v:textbox>
                  <w:txbxContent>
                    <w:p w:rsidR="00613AF1" w:rsidRPr="009B23AB" w:rsidRDefault="00613AF1" w:rsidP="00E72BA4">
                      <w:pPr>
                        <w:rPr>
                          <w:rFonts w:ascii="Arial" w:hAnsi="Arial" w:cs="Arial"/>
                          <w:color w:val="000000" w:themeColor="text1"/>
                          <w:sz w:val="20"/>
                          <w:szCs w:val="20"/>
                        </w:rPr>
                      </w:pPr>
                      <w:r w:rsidRPr="009B23AB">
                        <w:rPr>
                          <w:rFonts w:ascii="Arial" w:hAnsi="Arial" w:cs="Arial"/>
                          <w:color w:val="000000" w:themeColor="text1"/>
                          <w:sz w:val="20"/>
                          <w:szCs w:val="20"/>
                        </w:rPr>
                        <w:t>Year 7 in the first set of calculations becom</w:t>
                      </w:r>
                      <w:r>
                        <w:rPr>
                          <w:rFonts w:ascii="Arial" w:hAnsi="Arial" w:cs="Arial"/>
                          <w:color w:val="000000" w:themeColor="text1"/>
                          <w:sz w:val="20"/>
                          <w:szCs w:val="20"/>
                        </w:rPr>
                        <w:t>es year 6 in the following set.</w:t>
                      </w:r>
                      <w:r w:rsidRPr="009B23AB">
                        <w:rPr>
                          <w:rFonts w:ascii="Arial" w:hAnsi="Arial" w:cs="Arial"/>
                          <w:color w:val="000000" w:themeColor="text1"/>
                          <w:sz w:val="20"/>
                          <w:szCs w:val="20"/>
                        </w:rPr>
                        <w:t xml:space="preserve"> Forecasts of expendit</w:t>
                      </w:r>
                      <w:r>
                        <w:rPr>
                          <w:rFonts w:ascii="Arial" w:hAnsi="Arial" w:cs="Arial"/>
                          <w:color w:val="000000" w:themeColor="text1"/>
                          <w:sz w:val="20"/>
                          <w:szCs w:val="20"/>
                        </w:rPr>
                        <w:t>ure may be updated for the new y</w:t>
                      </w:r>
                      <w:r w:rsidRPr="009B23AB">
                        <w:rPr>
                          <w:rFonts w:ascii="Arial" w:hAnsi="Arial" w:cs="Arial"/>
                          <w:color w:val="000000" w:themeColor="text1"/>
                          <w:sz w:val="20"/>
                          <w:szCs w:val="20"/>
                        </w:rPr>
                        <w:t>ear 6</w:t>
                      </w:r>
                    </w:p>
                  </w:txbxContent>
                </v:textbox>
              </v:shape>
            </w:pict>
          </mc:Fallback>
        </mc:AlternateContent>
      </w:r>
      <w:r w:rsidR="009B23AB" w:rsidRPr="009B23AB">
        <w:rPr>
          <w:rFonts w:ascii="Arial" w:hAnsi="Arial" w:cs="Arial"/>
          <w:b/>
          <w:noProof/>
          <w:sz w:val="20"/>
          <w:szCs w:val="20"/>
          <w:lang w:eastAsia="en-AU"/>
        </w:rPr>
        <mc:AlternateContent>
          <mc:Choice Requires="wps">
            <w:drawing>
              <wp:anchor distT="0" distB="0" distL="114300" distR="114300" simplePos="0" relativeHeight="251662336" behindDoc="0" locked="0" layoutInCell="1" allowOverlap="1" wp14:anchorId="64455D18" wp14:editId="54113F74">
                <wp:simplePos x="0" y="0"/>
                <wp:positionH relativeFrom="margin">
                  <wp:align>left</wp:align>
                </wp:positionH>
                <wp:positionV relativeFrom="paragraph">
                  <wp:posOffset>8255</wp:posOffset>
                </wp:positionV>
                <wp:extent cx="2218055" cy="1546860"/>
                <wp:effectExtent l="0" t="0" r="1763395" b="548640"/>
                <wp:wrapNone/>
                <wp:docPr id="3" name="Rounded Rectangular Callout 3"/>
                <wp:cNvGraphicFramePr/>
                <a:graphic xmlns:a="http://schemas.openxmlformats.org/drawingml/2006/main">
                  <a:graphicData uri="http://schemas.microsoft.com/office/word/2010/wordprocessingShape">
                    <wps:wsp>
                      <wps:cNvSpPr/>
                      <wps:spPr>
                        <a:xfrm>
                          <a:off x="716280" y="3634740"/>
                          <a:ext cx="2218055" cy="1546860"/>
                        </a:xfrm>
                        <a:prstGeom prst="wedgeRoundRectCallout">
                          <a:avLst>
                            <a:gd name="adj1" fmla="val 128890"/>
                            <a:gd name="adj2" fmla="val 83808"/>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13AF1" w:rsidRPr="009B23AB" w:rsidRDefault="00613AF1" w:rsidP="00E72BA4">
                            <w:pPr>
                              <w:rPr>
                                <w:rFonts w:ascii="Arial" w:hAnsi="Arial" w:cs="Arial"/>
                                <w:color w:val="000000" w:themeColor="text1"/>
                                <w:sz w:val="20"/>
                                <w:szCs w:val="20"/>
                              </w:rPr>
                            </w:pPr>
                            <w:r w:rsidRPr="009B23AB">
                              <w:rPr>
                                <w:rFonts w:ascii="Arial" w:hAnsi="Arial" w:cs="Arial"/>
                                <w:color w:val="000000" w:themeColor="text1"/>
                                <w:sz w:val="20"/>
                                <w:szCs w:val="20"/>
                              </w:rPr>
                              <w:t>Year 6 in the fir</w:t>
                            </w:r>
                            <w:r>
                              <w:rPr>
                                <w:rFonts w:ascii="Arial" w:hAnsi="Arial" w:cs="Arial"/>
                                <w:color w:val="000000" w:themeColor="text1"/>
                                <w:sz w:val="20"/>
                                <w:szCs w:val="20"/>
                              </w:rPr>
                              <w:t>st set of calculations becomes y</w:t>
                            </w:r>
                            <w:r w:rsidRPr="009B23AB">
                              <w:rPr>
                                <w:rFonts w:ascii="Arial" w:hAnsi="Arial" w:cs="Arial"/>
                                <w:color w:val="000000" w:themeColor="text1"/>
                                <w:sz w:val="20"/>
                                <w:szCs w:val="20"/>
                              </w:rPr>
                              <w:t xml:space="preserve">ear 5 </w:t>
                            </w:r>
                            <w:r>
                              <w:rPr>
                                <w:rFonts w:ascii="Arial" w:hAnsi="Arial" w:cs="Arial"/>
                                <w:color w:val="000000" w:themeColor="text1"/>
                                <w:sz w:val="20"/>
                                <w:szCs w:val="20"/>
                              </w:rPr>
                              <w:t>in the following set. Actual expenditure for the new y</w:t>
                            </w:r>
                            <w:r w:rsidRPr="009B23AB">
                              <w:rPr>
                                <w:rFonts w:ascii="Arial" w:hAnsi="Arial" w:cs="Arial"/>
                                <w:color w:val="000000" w:themeColor="text1"/>
                                <w:sz w:val="20"/>
                                <w:szCs w:val="20"/>
                              </w:rPr>
                              <w:t>ear 5 replaces forecast expenditure for the same period in the previous set of calculations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55D18" id="Rounded Rectangular Callout 3" o:spid="_x0000_s1027" type="#_x0000_t62" style="position:absolute;margin-left:0;margin-top:.65pt;width:174.65pt;height:121.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" adj="38640,28903" filled="f" strokecolor="#243f60 [1604]" strokeweight="2pt">
                <v:textbox>
                  <w:txbxContent>
                    <w:p w:rsidR="00613AF1" w:rsidRPr="009B23AB" w:rsidRDefault="00613AF1" w:rsidP="00E72BA4">
                      <w:pPr>
                        <w:rPr>
                          <w:rFonts w:ascii="Arial" w:hAnsi="Arial" w:cs="Arial"/>
                          <w:color w:val="000000" w:themeColor="text1"/>
                          <w:sz w:val="20"/>
                          <w:szCs w:val="20"/>
                        </w:rPr>
                      </w:pPr>
                      <w:r w:rsidRPr="009B23AB">
                        <w:rPr>
                          <w:rFonts w:ascii="Arial" w:hAnsi="Arial" w:cs="Arial"/>
                          <w:color w:val="000000" w:themeColor="text1"/>
                          <w:sz w:val="20"/>
                          <w:szCs w:val="20"/>
                        </w:rPr>
                        <w:t>Year 6 in the fir</w:t>
                      </w:r>
                      <w:r>
                        <w:rPr>
                          <w:rFonts w:ascii="Arial" w:hAnsi="Arial" w:cs="Arial"/>
                          <w:color w:val="000000" w:themeColor="text1"/>
                          <w:sz w:val="20"/>
                          <w:szCs w:val="20"/>
                        </w:rPr>
                        <w:t>st set of calculations becomes y</w:t>
                      </w:r>
                      <w:r w:rsidRPr="009B23AB">
                        <w:rPr>
                          <w:rFonts w:ascii="Arial" w:hAnsi="Arial" w:cs="Arial"/>
                          <w:color w:val="000000" w:themeColor="text1"/>
                          <w:sz w:val="20"/>
                          <w:szCs w:val="20"/>
                        </w:rPr>
                        <w:t xml:space="preserve">ear 5 </w:t>
                      </w:r>
                      <w:r>
                        <w:rPr>
                          <w:rFonts w:ascii="Arial" w:hAnsi="Arial" w:cs="Arial"/>
                          <w:color w:val="000000" w:themeColor="text1"/>
                          <w:sz w:val="20"/>
                          <w:szCs w:val="20"/>
                        </w:rPr>
                        <w:t>in the following set. Actual expenditure for the new y</w:t>
                      </w:r>
                      <w:r w:rsidRPr="009B23AB">
                        <w:rPr>
                          <w:rFonts w:ascii="Arial" w:hAnsi="Arial" w:cs="Arial"/>
                          <w:color w:val="000000" w:themeColor="text1"/>
                          <w:sz w:val="20"/>
                          <w:szCs w:val="20"/>
                        </w:rPr>
                        <w:t>ear 5 replaces forecast expenditure for the same period in the previous set of calculations</w:t>
                      </w:r>
                    </w:p>
                  </w:txbxContent>
                </v:textbox>
                <w10:wrap anchorx="margin"/>
              </v:shape>
            </w:pict>
          </mc:Fallback>
        </mc:AlternateContent>
      </w:r>
    </w:p>
    <w:p w:rsidR="00E72BA4" w:rsidRDefault="00E72BA4" w:rsidP="00406FE0">
      <w:pPr>
        <w:keepNext/>
        <w:keepLines/>
        <w:rPr>
          <w:rFonts w:ascii="Arial" w:hAnsi="Arial" w:cs="Arial"/>
          <w:b/>
          <w:sz w:val="28"/>
          <w:szCs w:val="28"/>
        </w:rPr>
      </w:pPr>
    </w:p>
    <w:tbl>
      <w:tblPr>
        <w:tblStyle w:val="TableGrid"/>
        <w:tblW w:w="9781" w:type="dxa"/>
        <w:tblLayout w:type="fixed"/>
        <w:tblLook w:val="04A0" w:firstRow="1" w:lastRow="0" w:firstColumn="1" w:lastColumn="0" w:noHBand="0" w:noVBand="1"/>
      </w:tblPr>
      <w:tblGrid>
        <w:gridCol w:w="978"/>
        <w:gridCol w:w="15"/>
        <w:gridCol w:w="963"/>
        <w:gridCol w:w="978"/>
        <w:gridCol w:w="978"/>
        <w:gridCol w:w="978"/>
        <w:gridCol w:w="978"/>
        <w:gridCol w:w="978"/>
        <w:gridCol w:w="978"/>
        <w:gridCol w:w="978"/>
        <w:gridCol w:w="979"/>
      </w:tblGrid>
      <w:tr w:rsidR="00E72BA4" w:rsidTr="00C10A27">
        <w:tc>
          <w:tcPr>
            <w:tcW w:w="978" w:type="dxa"/>
            <w:tcBorders>
              <w:top w:val="nil"/>
              <w:left w:val="nil"/>
              <w:bottom w:val="nil"/>
              <w:right w:val="nil"/>
            </w:tcBorders>
          </w:tcPr>
          <w:p w:rsidR="00E72BA4" w:rsidRDefault="00E72BA4" w:rsidP="00406FE0">
            <w:pPr>
              <w:keepNext/>
              <w:keepLines/>
              <w:rPr>
                <w:rFonts w:ascii="Arial" w:hAnsi="Arial" w:cs="Arial"/>
                <w:b/>
                <w:sz w:val="28"/>
                <w:szCs w:val="28"/>
              </w:rPr>
            </w:pPr>
          </w:p>
        </w:tc>
        <w:tc>
          <w:tcPr>
            <w:tcW w:w="978" w:type="dxa"/>
            <w:gridSpan w:val="2"/>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9"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r>
      <w:tr w:rsidR="00E72BA4" w:rsidTr="00C10A27">
        <w:tc>
          <w:tcPr>
            <w:tcW w:w="978" w:type="dxa"/>
            <w:tcBorders>
              <w:top w:val="nil"/>
              <w:left w:val="nil"/>
              <w:bottom w:val="nil"/>
              <w:right w:val="nil"/>
            </w:tcBorders>
          </w:tcPr>
          <w:p w:rsidR="00E72BA4" w:rsidRDefault="00E72BA4" w:rsidP="00406FE0">
            <w:pPr>
              <w:keepNext/>
              <w:keepLines/>
              <w:rPr>
                <w:rFonts w:ascii="Arial" w:hAnsi="Arial" w:cs="Arial"/>
                <w:b/>
                <w:sz w:val="28"/>
                <w:szCs w:val="28"/>
              </w:rPr>
            </w:pPr>
          </w:p>
        </w:tc>
        <w:tc>
          <w:tcPr>
            <w:tcW w:w="978" w:type="dxa"/>
            <w:gridSpan w:val="2"/>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9"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r>
      <w:tr w:rsidR="00E72BA4" w:rsidTr="00C10A27">
        <w:tc>
          <w:tcPr>
            <w:tcW w:w="978" w:type="dxa"/>
            <w:tcBorders>
              <w:top w:val="nil"/>
              <w:left w:val="nil"/>
              <w:bottom w:val="nil"/>
              <w:right w:val="nil"/>
            </w:tcBorders>
          </w:tcPr>
          <w:p w:rsidR="00E72BA4" w:rsidRDefault="00E72BA4" w:rsidP="00406FE0">
            <w:pPr>
              <w:keepNext/>
              <w:keepLines/>
              <w:rPr>
                <w:rFonts w:ascii="Arial" w:hAnsi="Arial" w:cs="Arial"/>
                <w:b/>
                <w:sz w:val="28"/>
                <w:szCs w:val="28"/>
              </w:rPr>
            </w:pPr>
          </w:p>
        </w:tc>
        <w:tc>
          <w:tcPr>
            <w:tcW w:w="978" w:type="dxa"/>
            <w:gridSpan w:val="2"/>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9"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r>
      <w:tr w:rsidR="00E72BA4" w:rsidTr="00C10A27">
        <w:tc>
          <w:tcPr>
            <w:tcW w:w="978" w:type="dxa"/>
            <w:tcBorders>
              <w:top w:val="nil"/>
              <w:left w:val="nil"/>
              <w:bottom w:val="nil"/>
              <w:right w:val="nil"/>
            </w:tcBorders>
          </w:tcPr>
          <w:p w:rsidR="00E72BA4" w:rsidRDefault="00E72BA4" w:rsidP="00406FE0">
            <w:pPr>
              <w:keepNext/>
              <w:keepLines/>
              <w:rPr>
                <w:rFonts w:ascii="Arial" w:hAnsi="Arial" w:cs="Arial"/>
                <w:b/>
                <w:sz w:val="28"/>
                <w:szCs w:val="28"/>
              </w:rPr>
            </w:pPr>
          </w:p>
        </w:tc>
        <w:tc>
          <w:tcPr>
            <w:tcW w:w="978" w:type="dxa"/>
            <w:gridSpan w:val="2"/>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9"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r>
      <w:tr w:rsidR="00E72BA4" w:rsidTr="00C10A27">
        <w:tc>
          <w:tcPr>
            <w:tcW w:w="978" w:type="dxa"/>
            <w:tcBorders>
              <w:top w:val="nil"/>
              <w:left w:val="nil"/>
              <w:bottom w:val="nil"/>
              <w:right w:val="nil"/>
            </w:tcBorders>
          </w:tcPr>
          <w:p w:rsidR="00E72BA4" w:rsidRDefault="00E72BA4" w:rsidP="00406FE0">
            <w:pPr>
              <w:keepNext/>
              <w:keepLines/>
              <w:rPr>
                <w:rFonts w:ascii="Arial" w:hAnsi="Arial" w:cs="Arial"/>
                <w:b/>
                <w:sz w:val="28"/>
                <w:szCs w:val="28"/>
              </w:rPr>
            </w:pPr>
          </w:p>
        </w:tc>
        <w:tc>
          <w:tcPr>
            <w:tcW w:w="978" w:type="dxa"/>
            <w:gridSpan w:val="2"/>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c>
          <w:tcPr>
            <w:tcW w:w="979"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r>
      <w:tr w:rsidR="00E72BA4" w:rsidTr="00C10A27">
        <w:tc>
          <w:tcPr>
            <w:tcW w:w="978" w:type="dxa"/>
            <w:tcBorders>
              <w:top w:val="nil"/>
              <w:left w:val="nil"/>
              <w:bottom w:val="nil"/>
              <w:right w:val="nil"/>
            </w:tcBorders>
          </w:tcPr>
          <w:p w:rsidR="00E72BA4" w:rsidRDefault="00E72BA4" w:rsidP="00406FE0">
            <w:pPr>
              <w:keepNext/>
              <w:keepLines/>
              <w:rPr>
                <w:rFonts w:ascii="Arial" w:hAnsi="Arial" w:cs="Arial"/>
                <w:b/>
                <w:sz w:val="28"/>
                <w:szCs w:val="28"/>
              </w:rPr>
            </w:pPr>
          </w:p>
        </w:tc>
        <w:tc>
          <w:tcPr>
            <w:tcW w:w="978" w:type="dxa"/>
            <w:gridSpan w:val="2"/>
            <w:tcBorders>
              <w:top w:val="nil"/>
              <w:left w:val="nil"/>
              <w:bottom w:val="single" w:sz="4" w:space="0" w:color="auto"/>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single" w:sz="4" w:space="0" w:color="auto"/>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single" w:sz="4" w:space="0" w:color="auto"/>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single" w:sz="4" w:space="0" w:color="auto"/>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single" w:sz="4" w:space="0" w:color="auto"/>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single" w:sz="4" w:space="0" w:color="auto"/>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single" w:sz="4" w:space="0" w:color="auto"/>
              <w:right w:val="nil"/>
            </w:tcBorders>
            <w:shd w:val="clear" w:color="auto" w:fill="auto"/>
          </w:tcPr>
          <w:p w:rsidR="00E72BA4" w:rsidRDefault="00E72BA4" w:rsidP="00406FE0">
            <w:pPr>
              <w:keepNext/>
              <w:keepLines/>
              <w:rPr>
                <w:rFonts w:ascii="Arial" w:hAnsi="Arial" w:cs="Arial"/>
                <w:b/>
                <w:sz w:val="28"/>
                <w:szCs w:val="28"/>
              </w:rPr>
            </w:pPr>
          </w:p>
        </w:tc>
        <w:tc>
          <w:tcPr>
            <w:tcW w:w="978"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r>
              <w:rPr>
                <w:rFonts w:ascii="Arial" w:hAnsi="Arial" w:cs="Arial"/>
                <w:b/>
                <w:noProof/>
                <w:sz w:val="28"/>
                <w:szCs w:val="28"/>
                <w:lang w:eastAsia="en-AU"/>
              </w:rPr>
              <mc:AlternateContent>
                <mc:Choice Requires="wps">
                  <w:drawing>
                    <wp:anchor distT="0" distB="0" distL="114300" distR="114300" simplePos="0" relativeHeight="251661312" behindDoc="0" locked="0" layoutInCell="1" allowOverlap="1" wp14:anchorId="34BC27E6" wp14:editId="31536578">
                      <wp:simplePos x="0" y="0"/>
                      <wp:positionH relativeFrom="column">
                        <wp:posOffset>-676275</wp:posOffset>
                      </wp:positionH>
                      <wp:positionV relativeFrom="paragraph">
                        <wp:posOffset>-1413813</wp:posOffset>
                      </wp:positionV>
                      <wp:extent cx="1867535" cy="1573530"/>
                      <wp:effectExtent l="0" t="0" r="18415" b="541020"/>
                      <wp:wrapNone/>
                      <wp:docPr id="7" name="Rounded Rectangular Callout 7"/>
                      <wp:cNvGraphicFramePr/>
                      <a:graphic xmlns:a="http://schemas.openxmlformats.org/drawingml/2006/main">
                        <a:graphicData uri="http://schemas.microsoft.com/office/word/2010/wordprocessingShape">
                          <wps:wsp>
                            <wps:cNvSpPr/>
                            <wps:spPr>
                              <a:xfrm>
                                <a:off x="0" y="0"/>
                                <a:ext cx="1867535" cy="1573530"/>
                              </a:xfrm>
                              <a:prstGeom prst="wedgeRoundRectCallout">
                                <a:avLst>
                                  <a:gd name="adj1" fmla="val -5542"/>
                                  <a:gd name="adj2" fmla="val 81229"/>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13AF1" w:rsidRPr="009B23AB" w:rsidRDefault="00613AF1" w:rsidP="00E72BA4">
                                  <w:pPr>
                                    <w:rPr>
                                      <w:rFonts w:ascii="Arial" w:hAnsi="Arial" w:cs="Arial"/>
                                      <w:color w:val="000000" w:themeColor="text1"/>
                                      <w:sz w:val="20"/>
                                      <w:szCs w:val="20"/>
                                    </w:rPr>
                                  </w:pPr>
                                  <w:r w:rsidRPr="009B23AB">
                                    <w:rPr>
                                      <w:rFonts w:ascii="Arial" w:hAnsi="Arial" w:cs="Arial"/>
                                      <w:color w:val="000000" w:themeColor="text1"/>
                                      <w:sz w:val="20"/>
                                      <w:szCs w:val="20"/>
                                    </w:rPr>
                                    <w:t>An additional y</w:t>
                                  </w:r>
                                  <w:r>
                                    <w:rPr>
                                      <w:rFonts w:ascii="Arial" w:hAnsi="Arial" w:cs="Arial"/>
                                      <w:color w:val="000000" w:themeColor="text1"/>
                                      <w:sz w:val="20"/>
                                      <w:szCs w:val="20"/>
                                    </w:rPr>
                                    <w:t>ear of data is added to become y</w:t>
                                  </w:r>
                                  <w:r w:rsidRPr="009B23AB">
                                    <w:rPr>
                                      <w:rFonts w:ascii="Arial" w:hAnsi="Arial" w:cs="Arial"/>
                                      <w:color w:val="000000" w:themeColor="text1"/>
                                      <w:sz w:val="20"/>
                                      <w:szCs w:val="20"/>
                                    </w:rPr>
                                    <w:t>ear 7 in the second set of calculatio</w:t>
                                  </w:r>
                                  <w:r>
                                    <w:rPr>
                                      <w:rFonts w:ascii="Arial" w:hAnsi="Arial" w:cs="Arial"/>
                                      <w:color w:val="000000" w:themeColor="text1"/>
                                      <w:sz w:val="20"/>
                                      <w:szCs w:val="20"/>
                                    </w:rPr>
                                    <w:t xml:space="preserve">ns using forecast expenditure. </w:t>
                                  </w:r>
                                  <w:r w:rsidRPr="009B23AB">
                                    <w:rPr>
                                      <w:rFonts w:ascii="Arial" w:hAnsi="Arial" w:cs="Arial"/>
                                      <w:color w:val="000000" w:themeColor="text1"/>
                                      <w:sz w:val="20"/>
                                      <w:szCs w:val="20"/>
                                    </w:rPr>
                                    <w:t xml:space="preserve">This year is not included in the first set of calculations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C27E6" id="Rounded Rectangular Callout 7" o:spid="_x0000_s1028" type="#_x0000_t62" style="position:absolute;margin-left:-53.25pt;margin-top:-111.3pt;width:147.05pt;height:1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" adj="9603,28345" filled="f" strokecolor="#243f60 [1604]" strokeweight="2pt">
                      <v:textbox>
                        <w:txbxContent>
                          <w:p w:rsidR="00613AF1" w:rsidRPr="009B23AB" w:rsidRDefault="00613AF1" w:rsidP="00E72BA4">
                            <w:pPr>
                              <w:rPr>
                                <w:rFonts w:ascii="Arial" w:hAnsi="Arial" w:cs="Arial"/>
                                <w:color w:val="000000" w:themeColor="text1"/>
                                <w:sz w:val="20"/>
                                <w:szCs w:val="20"/>
                              </w:rPr>
                            </w:pPr>
                            <w:r w:rsidRPr="009B23AB">
                              <w:rPr>
                                <w:rFonts w:ascii="Arial" w:hAnsi="Arial" w:cs="Arial"/>
                                <w:color w:val="000000" w:themeColor="text1"/>
                                <w:sz w:val="20"/>
                                <w:szCs w:val="20"/>
                              </w:rPr>
                              <w:t>An additional y</w:t>
                            </w:r>
                            <w:r>
                              <w:rPr>
                                <w:rFonts w:ascii="Arial" w:hAnsi="Arial" w:cs="Arial"/>
                                <w:color w:val="000000" w:themeColor="text1"/>
                                <w:sz w:val="20"/>
                                <w:szCs w:val="20"/>
                              </w:rPr>
                              <w:t>ear of data is added to become y</w:t>
                            </w:r>
                            <w:r w:rsidRPr="009B23AB">
                              <w:rPr>
                                <w:rFonts w:ascii="Arial" w:hAnsi="Arial" w:cs="Arial"/>
                                <w:color w:val="000000" w:themeColor="text1"/>
                                <w:sz w:val="20"/>
                                <w:szCs w:val="20"/>
                              </w:rPr>
                              <w:t>ear 7 in the second set of calculatio</w:t>
                            </w:r>
                            <w:r>
                              <w:rPr>
                                <w:rFonts w:ascii="Arial" w:hAnsi="Arial" w:cs="Arial"/>
                                <w:color w:val="000000" w:themeColor="text1"/>
                                <w:sz w:val="20"/>
                                <w:szCs w:val="20"/>
                              </w:rPr>
                              <w:t xml:space="preserve">ns using forecast expenditure. </w:t>
                            </w:r>
                            <w:r w:rsidRPr="009B23AB">
                              <w:rPr>
                                <w:rFonts w:ascii="Arial" w:hAnsi="Arial" w:cs="Arial"/>
                                <w:color w:val="000000" w:themeColor="text1"/>
                                <w:sz w:val="20"/>
                                <w:szCs w:val="20"/>
                              </w:rPr>
                              <w:t xml:space="preserve">This year is not included in the first set of calculations  </w:t>
                            </w:r>
                          </w:p>
                        </w:txbxContent>
                      </v:textbox>
                    </v:shape>
                  </w:pict>
                </mc:Fallback>
              </mc:AlternateContent>
            </w:r>
          </w:p>
        </w:tc>
        <w:tc>
          <w:tcPr>
            <w:tcW w:w="979" w:type="dxa"/>
            <w:tcBorders>
              <w:top w:val="nil"/>
              <w:left w:val="nil"/>
              <w:bottom w:val="nil"/>
              <w:right w:val="nil"/>
            </w:tcBorders>
            <w:shd w:val="clear" w:color="auto" w:fill="auto"/>
          </w:tcPr>
          <w:p w:rsidR="00E72BA4" w:rsidRDefault="00E72BA4" w:rsidP="00406FE0">
            <w:pPr>
              <w:keepNext/>
              <w:keepLines/>
              <w:rPr>
                <w:rFonts w:ascii="Arial" w:hAnsi="Arial" w:cs="Arial"/>
                <w:b/>
                <w:sz w:val="28"/>
                <w:szCs w:val="28"/>
              </w:rPr>
            </w:pPr>
          </w:p>
        </w:tc>
      </w:tr>
      <w:tr w:rsidR="00E72BA4" w:rsidRPr="00D66E00" w:rsidTr="009B23AB">
        <w:trPr>
          <w:trHeight w:val="567"/>
        </w:trPr>
        <w:tc>
          <w:tcPr>
            <w:tcW w:w="978" w:type="dxa"/>
            <w:tcBorders>
              <w:top w:val="nil"/>
              <w:left w:val="nil"/>
              <w:bottom w:val="nil"/>
              <w:right w:val="nil"/>
            </w:tcBorders>
            <w:shd w:val="clear" w:color="auto" w:fill="auto"/>
            <w:vAlign w:val="center"/>
          </w:tcPr>
          <w:p w:rsidR="00E72BA4" w:rsidRPr="009B23AB" w:rsidRDefault="00895E1C" w:rsidP="00406FE0">
            <w:pPr>
              <w:keepNext/>
              <w:keepLines/>
              <w:jc w:val="center"/>
              <w:rPr>
                <w:rFonts w:ascii="Arial" w:hAnsi="Arial" w:cs="Arial"/>
                <w:sz w:val="20"/>
                <w:szCs w:val="20"/>
              </w:rPr>
            </w:pPr>
            <w:r>
              <w:rPr>
                <w:rFonts w:ascii="Arial" w:hAnsi="Arial" w:cs="Arial"/>
                <w:sz w:val="20"/>
                <w:szCs w:val="20"/>
              </w:rPr>
              <w:t>Set</w:t>
            </w:r>
            <w:r w:rsidR="009B23AB" w:rsidRPr="009B23AB">
              <w:rPr>
                <w:rFonts w:ascii="Arial" w:hAnsi="Arial" w:cs="Arial"/>
                <w:sz w:val="20"/>
                <w:szCs w:val="20"/>
              </w:rPr>
              <w:t xml:space="preserve"> one</w:t>
            </w:r>
          </w:p>
        </w:tc>
        <w:tc>
          <w:tcPr>
            <w:tcW w:w="978" w:type="dxa"/>
            <w:gridSpan w:val="2"/>
            <w:tcBorders>
              <w:top w:val="single" w:sz="4" w:space="0" w:color="auto"/>
              <w:left w:val="nil"/>
              <w:bottom w:val="single" w:sz="4" w:space="0" w:color="auto"/>
              <w:right w:val="single" w:sz="4" w:space="0" w:color="auto"/>
            </w:tcBorders>
            <w:shd w:val="clear" w:color="auto" w:fill="4A442A" w:themeFill="background2" w:themeFillShade="40"/>
            <w:vAlign w:val="center"/>
          </w:tcPr>
          <w:p w:rsidR="00E72BA4" w:rsidRPr="009B23AB" w:rsidRDefault="00E72BA4" w:rsidP="00406FE0">
            <w:pPr>
              <w:keepNext/>
              <w:keepLines/>
              <w:jc w:val="center"/>
              <w:rPr>
                <w:rFonts w:ascii="Arial" w:hAnsi="Arial" w:cs="Arial"/>
                <w:sz w:val="20"/>
                <w:szCs w:val="20"/>
              </w:rPr>
            </w:pPr>
            <w:r w:rsidRPr="009B23AB">
              <w:rPr>
                <w:rFonts w:ascii="Arial" w:hAnsi="Arial" w:cs="Arial"/>
                <w:sz w:val="20"/>
                <w:szCs w:val="20"/>
              </w:rPr>
              <w:t>Year 1</w:t>
            </w:r>
          </w:p>
        </w:tc>
        <w:tc>
          <w:tcPr>
            <w:tcW w:w="978" w:type="dxa"/>
            <w:tcBorders>
              <w:top w:val="single" w:sz="4" w:space="0" w:color="auto"/>
              <w:left w:val="single" w:sz="4" w:space="0" w:color="auto"/>
              <w:bottom w:val="single" w:sz="4" w:space="0" w:color="auto"/>
              <w:right w:val="single" w:sz="4" w:space="0" w:color="auto"/>
            </w:tcBorders>
            <w:shd w:val="clear" w:color="auto" w:fill="4A442A" w:themeFill="background2" w:themeFillShade="40"/>
            <w:vAlign w:val="center"/>
          </w:tcPr>
          <w:p w:rsidR="00E72BA4" w:rsidRPr="009B23AB" w:rsidRDefault="00E72BA4" w:rsidP="00406FE0">
            <w:pPr>
              <w:keepNext/>
              <w:keepLines/>
              <w:jc w:val="center"/>
              <w:rPr>
                <w:rFonts w:ascii="Arial" w:hAnsi="Arial" w:cs="Arial"/>
                <w:sz w:val="20"/>
                <w:szCs w:val="20"/>
              </w:rPr>
            </w:pPr>
            <w:r w:rsidRPr="009B23AB">
              <w:rPr>
                <w:rFonts w:ascii="Arial" w:hAnsi="Arial" w:cs="Arial"/>
                <w:sz w:val="20"/>
                <w:szCs w:val="20"/>
              </w:rPr>
              <w:t>Year 2</w:t>
            </w:r>
          </w:p>
        </w:tc>
        <w:tc>
          <w:tcPr>
            <w:tcW w:w="978" w:type="dxa"/>
            <w:tcBorders>
              <w:top w:val="single" w:sz="4" w:space="0" w:color="auto"/>
              <w:left w:val="single" w:sz="4" w:space="0" w:color="auto"/>
              <w:bottom w:val="single" w:sz="4" w:space="0" w:color="auto"/>
              <w:right w:val="single" w:sz="4" w:space="0" w:color="auto"/>
            </w:tcBorders>
            <w:shd w:val="clear" w:color="auto" w:fill="4A442A" w:themeFill="background2" w:themeFillShade="40"/>
            <w:vAlign w:val="center"/>
          </w:tcPr>
          <w:p w:rsidR="00E72BA4" w:rsidRPr="009B23AB" w:rsidRDefault="00E72BA4" w:rsidP="00406FE0">
            <w:pPr>
              <w:keepNext/>
              <w:keepLines/>
              <w:jc w:val="center"/>
              <w:rPr>
                <w:rFonts w:ascii="Arial" w:hAnsi="Arial" w:cs="Arial"/>
                <w:sz w:val="20"/>
                <w:szCs w:val="20"/>
              </w:rPr>
            </w:pPr>
            <w:r w:rsidRPr="009B23AB">
              <w:rPr>
                <w:rFonts w:ascii="Arial" w:hAnsi="Arial" w:cs="Arial"/>
                <w:sz w:val="20"/>
                <w:szCs w:val="20"/>
              </w:rPr>
              <w:t>Year 3</w:t>
            </w:r>
          </w:p>
        </w:tc>
        <w:tc>
          <w:tcPr>
            <w:tcW w:w="978" w:type="dxa"/>
            <w:tcBorders>
              <w:top w:val="single" w:sz="4" w:space="0" w:color="auto"/>
              <w:left w:val="single" w:sz="4" w:space="0" w:color="auto"/>
              <w:bottom w:val="single" w:sz="4" w:space="0" w:color="auto"/>
              <w:right w:val="single" w:sz="4" w:space="0" w:color="auto"/>
            </w:tcBorders>
            <w:shd w:val="clear" w:color="auto" w:fill="4A442A" w:themeFill="background2" w:themeFillShade="40"/>
            <w:vAlign w:val="center"/>
          </w:tcPr>
          <w:p w:rsidR="00E72BA4" w:rsidRPr="009B23AB" w:rsidRDefault="00E72BA4" w:rsidP="00406FE0">
            <w:pPr>
              <w:keepNext/>
              <w:keepLines/>
              <w:jc w:val="center"/>
              <w:rPr>
                <w:rFonts w:ascii="Arial" w:hAnsi="Arial" w:cs="Arial"/>
                <w:sz w:val="20"/>
                <w:szCs w:val="20"/>
              </w:rPr>
            </w:pPr>
            <w:r w:rsidRPr="009B23AB">
              <w:rPr>
                <w:rFonts w:ascii="Arial" w:hAnsi="Arial" w:cs="Arial"/>
                <w:sz w:val="20"/>
                <w:szCs w:val="20"/>
              </w:rPr>
              <w:t>Year 4</w:t>
            </w:r>
          </w:p>
        </w:tc>
        <w:tc>
          <w:tcPr>
            <w:tcW w:w="978" w:type="dxa"/>
            <w:tcBorders>
              <w:top w:val="single" w:sz="4" w:space="0" w:color="auto"/>
              <w:left w:val="single" w:sz="4" w:space="0" w:color="auto"/>
              <w:bottom w:val="single" w:sz="4" w:space="0" w:color="auto"/>
              <w:right w:val="single" w:sz="4" w:space="0" w:color="auto"/>
            </w:tcBorders>
            <w:shd w:val="clear" w:color="auto" w:fill="4A442A" w:themeFill="background2" w:themeFillShade="40"/>
            <w:vAlign w:val="center"/>
          </w:tcPr>
          <w:p w:rsidR="00E72BA4" w:rsidRPr="009B23AB" w:rsidRDefault="00E72BA4" w:rsidP="00406FE0">
            <w:pPr>
              <w:keepNext/>
              <w:keepLines/>
              <w:jc w:val="center"/>
              <w:rPr>
                <w:rFonts w:ascii="Arial" w:hAnsi="Arial" w:cs="Arial"/>
                <w:sz w:val="20"/>
                <w:szCs w:val="20"/>
              </w:rPr>
            </w:pPr>
            <w:r w:rsidRPr="009B23AB">
              <w:rPr>
                <w:rFonts w:ascii="Arial" w:hAnsi="Arial" w:cs="Arial"/>
                <w:sz w:val="20"/>
                <w:szCs w:val="20"/>
              </w:rPr>
              <w:t>Year 5</w:t>
            </w:r>
          </w:p>
        </w:tc>
        <w:tc>
          <w:tcPr>
            <w:tcW w:w="97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72BA4" w:rsidRPr="009B23AB" w:rsidRDefault="00E72BA4" w:rsidP="00406FE0">
            <w:pPr>
              <w:keepNext/>
              <w:keepLines/>
              <w:jc w:val="center"/>
              <w:rPr>
                <w:rFonts w:ascii="Arial" w:hAnsi="Arial" w:cs="Arial"/>
                <w:sz w:val="20"/>
                <w:szCs w:val="20"/>
              </w:rPr>
            </w:pPr>
            <w:r w:rsidRPr="009B23AB">
              <w:rPr>
                <w:rFonts w:ascii="Arial" w:hAnsi="Arial" w:cs="Arial"/>
                <w:sz w:val="20"/>
                <w:szCs w:val="20"/>
              </w:rPr>
              <w:t>Year 6</w:t>
            </w:r>
          </w:p>
        </w:tc>
        <w:tc>
          <w:tcPr>
            <w:tcW w:w="97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72BA4" w:rsidRPr="009B23AB" w:rsidRDefault="00E72BA4" w:rsidP="00406FE0">
            <w:pPr>
              <w:keepNext/>
              <w:keepLines/>
              <w:jc w:val="center"/>
              <w:rPr>
                <w:rFonts w:ascii="Arial" w:hAnsi="Arial" w:cs="Arial"/>
                <w:sz w:val="20"/>
                <w:szCs w:val="20"/>
              </w:rPr>
            </w:pPr>
            <w:r w:rsidRPr="009B23AB">
              <w:rPr>
                <w:rFonts w:ascii="Arial" w:hAnsi="Arial" w:cs="Arial"/>
                <w:sz w:val="20"/>
                <w:szCs w:val="20"/>
              </w:rPr>
              <w:t>Year 7</w:t>
            </w:r>
          </w:p>
        </w:tc>
        <w:tc>
          <w:tcPr>
            <w:tcW w:w="978" w:type="dxa"/>
            <w:tcBorders>
              <w:top w:val="nil"/>
              <w:left w:val="single" w:sz="4" w:space="0" w:color="auto"/>
              <w:bottom w:val="single" w:sz="4" w:space="0" w:color="auto"/>
              <w:right w:val="nil"/>
            </w:tcBorders>
            <w:vAlign w:val="center"/>
          </w:tcPr>
          <w:p w:rsidR="00E72BA4" w:rsidRPr="009B23AB" w:rsidRDefault="00E72BA4" w:rsidP="00406FE0">
            <w:pPr>
              <w:keepNext/>
              <w:keepLines/>
              <w:jc w:val="center"/>
              <w:rPr>
                <w:rFonts w:ascii="Arial" w:hAnsi="Arial" w:cs="Arial"/>
                <w:sz w:val="20"/>
                <w:szCs w:val="20"/>
              </w:rPr>
            </w:pPr>
          </w:p>
        </w:tc>
        <w:tc>
          <w:tcPr>
            <w:tcW w:w="979" w:type="dxa"/>
            <w:tcBorders>
              <w:top w:val="nil"/>
              <w:left w:val="nil"/>
              <w:bottom w:val="nil"/>
              <w:right w:val="nil"/>
            </w:tcBorders>
            <w:vAlign w:val="center"/>
          </w:tcPr>
          <w:p w:rsidR="00E72BA4" w:rsidRPr="009B23AB" w:rsidRDefault="00E72BA4" w:rsidP="00406FE0">
            <w:pPr>
              <w:keepNext/>
              <w:keepLines/>
              <w:jc w:val="center"/>
              <w:rPr>
                <w:rFonts w:ascii="Arial" w:hAnsi="Arial" w:cs="Arial"/>
                <w:sz w:val="20"/>
                <w:szCs w:val="20"/>
              </w:rPr>
            </w:pPr>
          </w:p>
        </w:tc>
      </w:tr>
      <w:tr w:rsidR="00E72BA4" w:rsidRPr="00D66E00" w:rsidTr="009B23AB">
        <w:trPr>
          <w:trHeight w:val="567"/>
        </w:trPr>
        <w:tc>
          <w:tcPr>
            <w:tcW w:w="978" w:type="dxa"/>
            <w:tcBorders>
              <w:top w:val="nil"/>
              <w:left w:val="nil"/>
              <w:bottom w:val="nil"/>
              <w:right w:val="single" w:sz="4" w:space="0" w:color="FFFFFF" w:themeColor="background1"/>
            </w:tcBorders>
            <w:shd w:val="clear" w:color="auto" w:fill="auto"/>
            <w:vAlign w:val="center"/>
          </w:tcPr>
          <w:p w:rsidR="00E72BA4" w:rsidRPr="009B23AB" w:rsidRDefault="00895E1C" w:rsidP="00406FE0">
            <w:pPr>
              <w:keepNext/>
              <w:keepLines/>
              <w:jc w:val="center"/>
              <w:rPr>
                <w:rFonts w:ascii="Arial" w:hAnsi="Arial" w:cs="Arial"/>
                <w:sz w:val="20"/>
                <w:szCs w:val="20"/>
              </w:rPr>
            </w:pPr>
            <w:r>
              <w:rPr>
                <w:rFonts w:ascii="Arial" w:hAnsi="Arial" w:cs="Arial"/>
                <w:sz w:val="20"/>
                <w:szCs w:val="20"/>
              </w:rPr>
              <w:t>Set</w:t>
            </w:r>
            <w:r w:rsidR="009B23AB" w:rsidRPr="009B23AB">
              <w:rPr>
                <w:rFonts w:ascii="Arial" w:hAnsi="Arial" w:cs="Arial"/>
                <w:sz w:val="20"/>
                <w:szCs w:val="20"/>
              </w:rPr>
              <w:t xml:space="preserve"> two</w:t>
            </w:r>
          </w:p>
        </w:tc>
        <w:tc>
          <w:tcPr>
            <w:tcW w:w="978" w:type="dxa"/>
            <w:gridSpan w:val="2"/>
            <w:tcBorders>
              <w:top w:val="single" w:sz="4" w:space="0" w:color="auto"/>
              <w:left w:val="single" w:sz="4" w:space="0" w:color="FFFFFF" w:themeColor="background1"/>
              <w:bottom w:val="nil"/>
              <w:right w:val="single" w:sz="4" w:space="0" w:color="auto"/>
            </w:tcBorders>
            <w:vAlign w:val="center"/>
          </w:tcPr>
          <w:p w:rsidR="00E72BA4" w:rsidRPr="009B23AB" w:rsidRDefault="00E72BA4" w:rsidP="00406FE0">
            <w:pPr>
              <w:keepNext/>
              <w:keepLines/>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shd w:val="clear" w:color="auto" w:fill="4A442A" w:themeFill="background2" w:themeFillShade="40"/>
            <w:vAlign w:val="center"/>
          </w:tcPr>
          <w:p w:rsidR="00E72BA4" w:rsidRPr="009B23AB" w:rsidRDefault="00E72BA4" w:rsidP="00406FE0">
            <w:pPr>
              <w:keepNext/>
              <w:keepLines/>
              <w:jc w:val="center"/>
              <w:rPr>
                <w:rFonts w:ascii="Arial" w:hAnsi="Arial" w:cs="Arial"/>
                <w:sz w:val="20"/>
                <w:szCs w:val="20"/>
              </w:rPr>
            </w:pPr>
            <w:r w:rsidRPr="009B23AB">
              <w:rPr>
                <w:rFonts w:ascii="Arial" w:hAnsi="Arial" w:cs="Arial"/>
                <w:sz w:val="20"/>
                <w:szCs w:val="20"/>
              </w:rPr>
              <w:t>Year 1</w:t>
            </w:r>
          </w:p>
        </w:tc>
        <w:tc>
          <w:tcPr>
            <w:tcW w:w="978" w:type="dxa"/>
            <w:tcBorders>
              <w:top w:val="single" w:sz="4" w:space="0" w:color="auto"/>
              <w:left w:val="single" w:sz="4" w:space="0" w:color="auto"/>
              <w:bottom w:val="single" w:sz="4" w:space="0" w:color="auto"/>
              <w:right w:val="single" w:sz="4" w:space="0" w:color="auto"/>
            </w:tcBorders>
            <w:shd w:val="clear" w:color="auto" w:fill="4A442A" w:themeFill="background2" w:themeFillShade="40"/>
            <w:vAlign w:val="center"/>
          </w:tcPr>
          <w:p w:rsidR="00E72BA4" w:rsidRPr="009B23AB" w:rsidRDefault="00E72BA4" w:rsidP="00406FE0">
            <w:pPr>
              <w:keepNext/>
              <w:keepLines/>
              <w:jc w:val="center"/>
              <w:rPr>
                <w:rFonts w:ascii="Arial" w:hAnsi="Arial" w:cs="Arial"/>
                <w:sz w:val="20"/>
                <w:szCs w:val="20"/>
              </w:rPr>
            </w:pPr>
            <w:r w:rsidRPr="009B23AB">
              <w:rPr>
                <w:rFonts w:ascii="Arial" w:hAnsi="Arial" w:cs="Arial"/>
                <w:sz w:val="20"/>
                <w:szCs w:val="20"/>
              </w:rPr>
              <w:t>Year 2</w:t>
            </w:r>
          </w:p>
        </w:tc>
        <w:tc>
          <w:tcPr>
            <w:tcW w:w="978" w:type="dxa"/>
            <w:tcBorders>
              <w:top w:val="single" w:sz="4" w:space="0" w:color="auto"/>
              <w:left w:val="single" w:sz="4" w:space="0" w:color="auto"/>
              <w:bottom w:val="single" w:sz="4" w:space="0" w:color="auto"/>
              <w:right w:val="single" w:sz="4" w:space="0" w:color="auto"/>
            </w:tcBorders>
            <w:shd w:val="clear" w:color="auto" w:fill="4A442A" w:themeFill="background2" w:themeFillShade="40"/>
            <w:vAlign w:val="center"/>
          </w:tcPr>
          <w:p w:rsidR="00E72BA4" w:rsidRPr="009B23AB" w:rsidRDefault="00E72BA4" w:rsidP="00406FE0">
            <w:pPr>
              <w:keepNext/>
              <w:keepLines/>
              <w:jc w:val="center"/>
              <w:rPr>
                <w:rFonts w:ascii="Arial" w:hAnsi="Arial" w:cs="Arial"/>
                <w:sz w:val="20"/>
                <w:szCs w:val="20"/>
              </w:rPr>
            </w:pPr>
            <w:r w:rsidRPr="009B23AB">
              <w:rPr>
                <w:rFonts w:ascii="Arial" w:hAnsi="Arial" w:cs="Arial"/>
                <w:sz w:val="20"/>
                <w:szCs w:val="20"/>
              </w:rPr>
              <w:t>Year 3</w:t>
            </w:r>
          </w:p>
        </w:tc>
        <w:tc>
          <w:tcPr>
            <w:tcW w:w="978" w:type="dxa"/>
            <w:tcBorders>
              <w:top w:val="single" w:sz="4" w:space="0" w:color="auto"/>
              <w:left w:val="single" w:sz="4" w:space="0" w:color="auto"/>
              <w:bottom w:val="single" w:sz="4" w:space="0" w:color="auto"/>
              <w:right w:val="single" w:sz="4" w:space="0" w:color="auto"/>
            </w:tcBorders>
            <w:shd w:val="clear" w:color="auto" w:fill="4A442A" w:themeFill="background2" w:themeFillShade="40"/>
            <w:vAlign w:val="center"/>
          </w:tcPr>
          <w:p w:rsidR="00E72BA4" w:rsidRPr="009B23AB" w:rsidRDefault="00E72BA4" w:rsidP="00406FE0">
            <w:pPr>
              <w:keepNext/>
              <w:keepLines/>
              <w:jc w:val="center"/>
              <w:rPr>
                <w:rFonts w:ascii="Arial" w:hAnsi="Arial" w:cs="Arial"/>
                <w:sz w:val="20"/>
                <w:szCs w:val="20"/>
              </w:rPr>
            </w:pPr>
            <w:r w:rsidRPr="009B23AB">
              <w:rPr>
                <w:rFonts w:ascii="Arial" w:hAnsi="Arial" w:cs="Arial"/>
                <w:sz w:val="20"/>
                <w:szCs w:val="20"/>
              </w:rPr>
              <w:t>Year 4</w:t>
            </w:r>
          </w:p>
        </w:tc>
        <w:tc>
          <w:tcPr>
            <w:tcW w:w="978" w:type="dxa"/>
            <w:tcBorders>
              <w:top w:val="single" w:sz="4" w:space="0" w:color="auto"/>
              <w:left w:val="single" w:sz="4" w:space="0" w:color="auto"/>
              <w:bottom w:val="single" w:sz="4" w:space="0" w:color="auto"/>
              <w:right w:val="single" w:sz="4" w:space="0" w:color="auto"/>
            </w:tcBorders>
            <w:shd w:val="clear" w:color="auto" w:fill="4A442A" w:themeFill="background2" w:themeFillShade="40"/>
            <w:vAlign w:val="center"/>
          </w:tcPr>
          <w:p w:rsidR="00E72BA4" w:rsidRPr="009B23AB" w:rsidRDefault="00E72BA4" w:rsidP="00406FE0">
            <w:pPr>
              <w:keepNext/>
              <w:keepLines/>
              <w:jc w:val="center"/>
              <w:rPr>
                <w:rFonts w:ascii="Arial" w:hAnsi="Arial" w:cs="Arial"/>
                <w:sz w:val="20"/>
                <w:szCs w:val="20"/>
              </w:rPr>
            </w:pPr>
            <w:r w:rsidRPr="009B23AB">
              <w:rPr>
                <w:rFonts w:ascii="Arial" w:hAnsi="Arial" w:cs="Arial"/>
                <w:sz w:val="20"/>
                <w:szCs w:val="20"/>
              </w:rPr>
              <w:t>Year 5</w:t>
            </w:r>
          </w:p>
        </w:tc>
        <w:tc>
          <w:tcPr>
            <w:tcW w:w="97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72BA4" w:rsidRPr="009B23AB" w:rsidRDefault="00E72BA4" w:rsidP="00406FE0">
            <w:pPr>
              <w:keepNext/>
              <w:keepLines/>
              <w:jc w:val="center"/>
              <w:rPr>
                <w:rFonts w:ascii="Arial" w:hAnsi="Arial" w:cs="Arial"/>
                <w:sz w:val="20"/>
                <w:szCs w:val="20"/>
              </w:rPr>
            </w:pPr>
            <w:r w:rsidRPr="009B23AB">
              <w:rPr>
                <w:rFonts w:ascii="Arial" w:hAnsi="Arial" w:cs="Arial"/>
                <w:sz w:val="20"/>
                <w:szCs w:val="20"/>
              </w:rPr>
              <w:t>Year 6</w:t>
            </w:r>
          </w:p>
        </w:tc>
        <w:tc>
          <w:tcPr>
            <w:tcW w:w="97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72BA4" w:rsidRPr="009B23AB" w:rsidRDefault="00E72BA4" w:rsidP="00406FE0">
            <w:pPr>
              <w:keepNext/>
              <w:keepLines/>
              <w:jc w:val="center"/>
              <w:rPr>
                <w:rFonts w:ascii="Arial" w:hAnsi="Arial" w:cs="Arial"/>
                <w:sz w:val="20"/>
                <w:szCs w:val="20"/>
              </w:rPr>
            </w:pPr>
            <w:r w:rsidRPr="009B23AB">
              <w:rPr>
                <w:rFonts w:ascii="Arial" w:hAnsi="Arial" w:cs="Arial"/>
                <w:sz w:val="20"/>
                <w:szCs w:val="20"/>
              </w:rPr>
              <w:t>Year 7</w:t>
            </w:r>
          </w:p>
        </w:tc>
        <w:tc>
          <w:tcPr>
            <w:tcW w:w="979" w:type="dxa"/>
            <w:tcBorders>
              <w:top w:val="nil"/>
              <w:left w:val="single" w:sz="4" w:space="0" w:color="auto"/>
              <w:bottom w:val="single" w:sz="4" w:space="0" w:color="auto"/>
              <w:right w:val="nil"/>
            </w:tcBorders>
            <w:vAlign w:val="center"/>
          </w:tcPr>
          <w:p w:rsidR="00E72BA4" w:rsidRPr="009B23AB" w:rsidRDefault="00E72BA4" w:rsidP="00406FE0">
            <w:pPr>
              <w:keepNext/>
              <w:keepLines/>
              <w:jc w:val="center"/>
              <w:rPr>
                <w:rFonts w:ascii="Arial" w:hAnsi="Arial" w:cs="Arial"/>
                <w:sz w:val="20"/>
                <w:szCs w:val="20"/>
              </w:rPr>
            </w:pPr>
          </w:p>
        </w:tc>
      </w:tr>
      <w:tr w:rsidR="00E72BA4" w:rsidRPr="00D66E00" w:rsidTr="009B23AB">
        <w:trPr>
          <w:trHeight w:val="567"/>
        </w:trPr>
        <w:tc>
          <w:tcPr>
            <w:tcW w:w="978" w:type="dxa"/>
            <w:tcBorders>
              <w:top w:val="nil"/>
              <w:left w:val="nil"/>
              <w:bottom w:val="nil"/>
              <w:right w:val="nil"/>
            </w:tcBorders>
            <w:vAlign w:val="center"/>
          </w:tcPr>
          <w:p w:rsidR="00E72BA4" w:rsidRPr="009B23AB" w:rsidRDefault="00895E1C" w:rsidP="00406FE0">
            <w:pPr>
              <w:keepNext/>
              <w:keepLines/>
              <w:jc w:val="center"/>
              <w:rPr>
                <w:rFonts w:ascii="Arial" w:hAnsi="Arial" w:cs="Arial"/>
                <w:sz w:val="20"/>
                <w:szCs w:val="20"/>
              </w:rPr>
            </w:pPr>
            <w:r>
              <w:rPr>
                <w:rFonts w:ascii="Arial" w:hAnsi="Arial" w:cs="Arial"/>
                <w:sz w:val="20"/>
                <w:szCs w:val="20"/>
              </w:rPr>
              <w:t>Set</w:t>
            </w:r>
            <w:r w:rsidR="009B23AB" w:rsidRPr="009B23AB">
              <w:rPr>
                <w:rFonts w:ascii="Arial" w:hAnsi="Arial" w:cs="Arial"/>
                <w:sz w:val="20"/>
                <w:szCs w:val="20"/>
              </w:rPr>
              <w:t xml:space="preserve"> three</w:t>
            </w:r>
          </w:p>
        </w:tc>
        <w:tc>
          <w:tcPr>
            <w:tcW w:w="978" w:type="dxa"/>
            <w:gridSpan w:val="2"/>
            <w:tcBorders>
              <w:top w:val="nil"/>
              <w:left w:val="nil"/>
              <w:bottom w:val="nil"/>
              <w:right w:val="nil"/>
            </w:tcBorders>
            <w:vAlign w:val="center"/>
          </w:tcPr>
          <w:p w:rsidR="00E72BA4" w:rsidRPr="009B23AB" w:rsidRDefault="00E72BA4" w:rsidP="00406FE0">
            <w:pPr>
              <w:keepNext/>
              <w:keepLines/>
              <w:jc w:val="center"/>
              <w:rPr>
                <w:rFonts w:ascii="Arial" w:hAnsi="Arial" w:cs="Arial"/>
                <w:sz w:val="20"/>
                <w:szCs w:val="20"/>
              </w:rPr>
            </w:pPr>
          </w:p>
        </w:tc>
        <w:tc>
          <w:tcPr>
            <w:tcW w:w="978" w:type="dxa"/>
            <w:tcBorders>
              <w:top w:val="single" w:sz="4" w:space="0" w:color="auto"/>
              <w:left w:val="nil"/>
              <w:bottom w:val="nil"/>
              <w:right w:val="single" w:sz="4" w:space="0" w:color="auto"/>
            </w:tcBorders>
            <w:vAlign w:val="center"/>
          </w:tcPr>
          <w:p w:rsidR="00E72BA4" w:rsidRPr="009B23AB" w:rsidRDefault="00E72BA4" w:rsidP="00406FE0">
            <w:pPr>
              <w:keepNext/>
              <w:keepLines/>
              <w:jc w:val="cente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shd w:val="clear" w:color="auto" w:fill="4A442A" w:themeFill="background2" w:themeFillShade="40"/>
            <w:vAlign w:val="center"/>
          </w:tcPr>
          <w:p w:rsidR="00E72BA4" w:rsidRPr="009B23AB" w:rsidRDefault="00E72BA4" w:rsidP="00406FE0">
            <w:pPr>
              <w:keepNext/>
              <w:keepLines/>
              <w:jc w:val="center"/>
              <w:rPr>
                <w:rFonts w:ascii="Arial" w:hAnsi="Arial" w:cs="Arial"/>
                <w:sz w:val="20"/>
                <w:szCs w:val="20"/>
              </w:rPr>
            </w:pPr>
            <w:r w:rsidRPr="009B23AB">
              <w:rPr>
                <w:rFonts w:ascii="Arial" w:hAnsi="Arial" w:cs="Arial"/>
                <w:sz w:val="20"/>
                <w:szCs w:val="20"/>
              </w:rPr>
              <w:t>Year 1</w:t>
            </w:r>
          </w:p>
        </w:tc>
        <w:tc>
          <w:tcPr>
            <w:tcW w:w="978" w:type="dxa"/>
            <w:tcBorders>
              <w:top w:val="single" w:sz="4" w:space="0" w:color="auto"/>
              <w:left w:val="single" w:sz="4" w:space="0" w:color="auto"/>
              <w:bottom w:val="single" w:sz="4" w:space="0" w:color="auto"/>
              <w:right w:val="single" w:sz="4" w:space="0" w:color="auto"/>
            </w:tcBorders>
            <w:shd w:val="clear" w:color="auto" w:fill="4A442A" w:themeFill="background2" w:themeFillShade="40"/>
            <w:vAlign w:val="center"/>
          </w:tcPr>
          <w:p w:rsidR="00E72BA4" w:rsidRPr="009B23AB" w:rsidRDefault="00E72BA4" w:rsidP="00406FE0">
            <w:pPr>
              <w:keepNext/>
              <w:keepLines/>
              <w:jc w:val="center"/>
              <w:rPr>
                <w:rFonts w:ascii="Arial" w:hAnsi="Arial" w:cs="Arial"/>
                <w:sz w:val="20"/>
                <w:szCs w:val="20"/>
              </w:rPr>
            </w:pPr>
            <w:r w:rsidRPr="009B23AB">
              <w:rPr>
                <w:rFonts w:ascii="Arial" w:hAnsi="Arial" w:cs="Arial"/>
                <w:sz w:val="20"/>
                <w:szCs w:val="20"/>
              </w:rPr>
              <w:t>Year 2</w:t>
            </w:r>
          </w:p>
        </w:tc>
        <w:tc>
          <w:tcPr>
            <w:tcW w:w="978" w:type="dxa"/>
            <w:tcBorders>
              <w:top w:val="single" w:sz="4" w:space="0" w:color="auto"/>
              <w:left w:val="single" w:sz="4" w:space="0" w:color="auto"/>
              <w:bottom w:val="single" w:sz="4" w:space="0" w:color="auto"/>
              <w:right w:val="single" w:sz="4" w:space="0" w:color="auto"/>
            </w:tcBorders>
            <w:shd w:val="clear" w:color="auto" w:fill="4A442A" w:themeFill="background2" w:themeFillShade="40"/>
            <w:vAlign w:val="center"/>
          </w:tcPr>
          <w:p w:rsidR="00E72BA4" w:rsidRPr="009B23AB" w:rsidRDefault="00E72BA4" w:rsidP="00406FE0">
            <w:pPr>
              <w:keepNext/>
              <w:keepLines/>
              <w:jc w:val="center"/>
              <w:rPr>
                <w:rFonts w:ascii="Arial" w:hAnsi="Arial" w:cs="Arial"/>
                <w:sz w:val="20"/>
                <w:szCs w:val="20"/>
              </w:rPr>
            </w:pPr>
            <w:r w:rsidRPr="009B23AB">
              <w:rPr>
                <w:rFonts w:ascii="Arial" w:hAnsi="Arial" w:cs="Arial"/>
                <w:sz w:val="20"/>
                <w:szCs w:val="20"/>
              </w:rPr>
              <w:t>Year 3</w:t>
            </w:r>
          </w:p>
        </w:tc>
        <w:tc>
          <w:tcPr>
            <w:tcW w:w="978" w:type="dxa"/>
            <w:tcBorders>
              <w:top w:val="single" w:sz="4" w:space="0" w:color="auto"/>
              <w:left w:val="single" w:sz="4" w:space="0" w:color="auto"/>
              <w:bottom w:val="single" w:sz="4" w:space="0" w:color="auto"/>
              <w:right w:val="single" w:sz="4" w:space="0" w:color="auto"/>
            </w:tcBorders>
            <w:shd w:val="clear" w:color="auto" w:fill="4A442A" w:themeFill="background2" w:themeFillShade="40"/>
            <w:vAlign w:val="center"/>
          </w:tcPr>
          <w:p w:rsidR="00E72BA4" w:rsidRPr="009B23AB" w:rsidRDefault="00E72BA4" w:rsidP="00406FE0">
            <w:pPr>
              <w:keepNext/>
              <w:keepLines/>
              <w:jc w:val="center"/>
              <w:rPr>
                <w:rFonts w:ascii="Arial" w:hAnsi="Arial" w:cs="Arial"/>
                <w:sz w:val="20"/>
                <w:szCs w:val="20"/>
              </w:rPr>
            </w:pPr>
            <w:r w:rsidRPr="009B23AB">
              <w:rPr>
                <w:rFonts w:ascii="Arial" w:hAnsi="Arial" w:cs="Arial"/>
                <w:sz w:val="20"/>
                <w:szCs w:val="20"/>
              </w:rPr>
              <w:t>Year 4</w:t>
            </w:r>
          </w:p>
        </w:tc>
        <w:tc>
          <w:tcPr>
            <w:tcW w:w="978" w:type="dxa"/>
            <w:tcBorders>
              <w:top w:val="single" w:sz="4" w:space="0" w:color="auto"/>
              <w:left w:val="single" w:sz="4" w:space="0" w:color="auto"/>
              <w:bottom w:val="single" w:sz="4" w:space="0" w:color="auto"/>
              <w:right w:val="single" w:sz="4" w:space="0" w:color="auto"/>
            </w:tcBorders>
            <w:shd w:val="clear" w:color="auto" w:fill="4A442A" w:themeFill="background2" w:themeFillShade="40"/>
            <w:vAlign w:val="center"/>
          </w:tcPr>
          <w:p w:rsidR="00E72BA4" w:rsidRPr="009B23AB" w:rsidRDefault="00E72BA4" w:rsidP="00406FE0">
            <w:pPr>
              <w:keepNext/>
              <w:keepLines/>
              <w:jc w:val="center"/>
              <w:rPr>
                <w:rFonts w:ascii="Arial" w:hAnsi="Arial" w:cs="Arial"/>
                <w:sz w:val="20"/>
                <w:szCs w:val="20"/>
              </w:rPr>
            </w:pPr>
            <w:r w:rsidRPr="009B23AB">
              <w:rPr>
                <w:rFonts w:ascii="Arial" w:hAnsi="Arial" w:cs="Arial"/>
                <w:sz w:val="20"/>
                <w:szCs w:val="20"/>
              </w:rPr>
              <w:t>Year 5</w:t>
            </w:r>
          </w:p>
        </w:tc>
        <w:tc>
          <w:tcPr>
            <w:tcW w:w="97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72BA4" w:rsidRPr="009B23AB" w:rsidRDefault="00E72BA4" w:rsidP="00406FE0">
            <w:pPr>
              <w:keepNext/>
              <w:keepLines/>
              <w:jc w:val="center"/>
              <w:rPr>
                <w:rFonts w:ascii="Arial" w:hAnsi="Arial" w:cs="Arial"/>
                <w:sz w:val="20"/>
                <w:szCs w:val="20"/>
              </w:rPr>
            </w:pPr>
            <w:r w:rsidRPr="009B23AB">
              <w:rPr>
                <w:rFonts w:ascii="Arial" w:hAnsi="Arial" w:cs="Arial"/>
                <w:sz w:val="20"/>
                <w:szCs w:val="20"/>
              </w:rPr>
              <w:t>Year 6</w:t>
            </w:r>
          </w:p>
        </w:tc>
        <w:tc>
          <w:tcPr>
            <w:tcW w:w="979"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72BA4" w:rsidRPr="009B23AB" w:rsidRDefault="00E72BA4" w:rsidP="00406FE0">
            <w:pPr>
              <w:keepNext/>
              <w:keepLines/>
              <w:jc w:val="center"/>
              <w:rPr>
                <w:rFonts w:ascii="Arial" w:hAnsi="Arial" w:cs="Arial"/>
                <w:sz w:val="20"/>
                <w:szCs w:val="20"/>
              </w:rPr>
            </w:pPr>
            <w:r w:rsidRPr="009B23AB">
              <w:rPr>
                <w:rFonts w:ascii="Arial" w:hAnsi="Arial" w:cs="Arial"/>
                <w:sz w:val="20"/>
                <w:szCs w:val="20"/>
              </w:rPr>
              <w:t>Year 7</w:t>
            </w:r>
          </w:p>
        </w:tc>
      </w:tr>
      <w:tr w:rsidR="00E72BA4" w:rsidRPr="00D66E00" w:rsidTr="00C10A27">
        <w:trPr>
          <w:trHeight w:val="567"/>
        </w:trPr>
        <w:tc>
          <w:tcPr>
            <w:tcW w:w="978" w:type="dxa"/>
            <w:tcBorders>
              <w:top w:val="nil"/>
              <w:left w:val="nil"/>
              <w:bottom w:val="nil"/>
              <w:right w:val="nil"/>
            </w:tcBorders>
          </w:tcPr>
          <w:p w:rsidR="00E72BA4" w:rsidRPr="00D66E00" w:rsidRDefault="00E72BA4" w:rsidP="00406FE0">
            <w:pPr>
              <w:keepNext/>
              <w:keepLines/>
              <w:jc w:val="center"/>
              <w:rPr>
                <w:rFonts w:ascii="Arial" w:hAnsi="Arial" w:cs="Arial"/>
                <w:szCs w:val="28"/>
              </w:rPr>
            </w:pPr>
          </w:p>
        </w:tc>
        <w:tc>
          <w:tcPr>
            <w:tcW w:w="978" w:type="dxa"/>
            <w:gridSpan w:val="2"/>
            <w:tcBorders>
              <w:top w:val="nil"/>
              <w:left w:val="nil"/>
              <w:bottom w:val="nil"/>
              <w:right w:val="nil"/>
            </w:tcBorders>
            <w:shd w:val="clear" w:color="auto" w:fill="auto"/>
            <w:vAlign w:val="center"/>
          </w:tcPr>
          <w:p w:rsidR="00E72BA4" w:rsidRPr="00D66E00" w:rsidRDefault="00E72BA4" w:rsidP="00406FE0">
            <w:pPr>
              <w:keepNext/>
              <w:keepLines/>
              <w:jc w:val="center"/>
              <w:rPr>
                <w:rFonts w:ascii="Arial" w:hAnsi="Arial" w:cs="Arial"/>
                <w:szCs w:val="28"/>
              </w:rPr>
            </w:pPr>
          </w:p>
        </w:tc>
        <w:tc>
          <w:tcPr>
            <w:tcW w:w="978" w:type="dxa"/>
            <w:tcBorders>
              <w:top w:val="nil"/>
              <w:left w:val="nil"/>
              <w:bottom w:val="nil"/>
              <w:right w:val="nil"/>
            </w:tcBorders>
            <w:shd w:val="clear" w:color="auto" w:fill="auto"/>
            <w:vAlign w:val="center"/>
          </w:tcPr>
          <w:p w:rsidR="00E72BA4" w:rsidRPr="00D66E00" w:rsidRDefault="00E72BA4" w:rsidP="00406FE0">
            <w:pPr>
              <w:keepNext/>
              <w:keepLines/>
              <w:jc w:val="center"/>
              <w:rPr>
                <w:rFonts w:ascii="Arial" w:hAnsi="Arial" w:cs="Arial"/>
                <w:szCs w:val="28"/>
              </w:rPr>
            </w:pPr>
          </w:p>
        </w:tc>
        <w:tc>
          <w:tcPr>
            <w:tcW w:w="978" w:type="dxa"/>
            <w:tcBorders>
              <w:top w:val="single" w:sz="4" w:space="0" w:color="auto"/>
              <w:left w:val="nil"/>
              <w:bottom w:val="nil"/>
              <w:right w:val="nil"/>
            </w:tcBorders>
            <w:shd w:val="clear" w:color="auto" w:fill="auto"/>
            <w:vAlign w:val="center"/>
          </w:tcPr>
          <w:p w:rsidR="00E72BA4" w:rsidRPr="00D66E00" w:rsidRDefault="00E72BA4" w:rsidP="00406FE0">
            <w:pPr>
              <w:keepNext/>
              <w:keepLines/>
              <w:jc w:val="center"/>
              <w:rPr>
                <w:rFonts w:ascii="Arial" w:hAnsi="Arial" w:cs="Arial"/>
                <w:szCs w:val="28"/>
              </w:rPr>
            </w:pPr>
          </w:p>
        </w:tc>
        <w:tc>
          <w:tcPr>
            <w:tcW w:w="978" w:type="dxa"/>
            <w:tcBorders>
              <w:top w:val="single" w:sz="4" w:space="0" w:color="auto"/>
              <w:left w:val="nil"/>
              <w:bottom w:val="nil"/>
              <w:right w:val="nil"/>
            </w:tcBorders>
            <w:shd w:val="clear" w:color="auto" w:fill="auto"/>
            <w:vAlign w:val="center"/>
          </w:tcPr>
          <w:p w:rsidR="00E72BA4" w:rsidRPr="00D66E00" w:rsidRDefault="00E72BA4" w:rsidP="00406FE0">
            <w:pPr>
              <w:keepNext/>
              <w:keepLines/>
              <w:jc w:val="center"/>
              <w:rPr>
                <w:rFonts w:ascii="Arial" w:hAnsi="Arial" w:cs="Arial"/>
                <w:szCs w:val="28"/>
              </w:rPr>
            </w:pPr>
          </w:p>
        </w:tc>
        <w:tc>
          <w:tcPr>
            <w:tcW w:w="978" w:type="dxa"/>
            <w:tcBorders>
              <w:top w:val="single" w:sz="4" w:space="0" w:color="auto"/>
              <w:left w:val="nil"/>
              <w:bottom w:val="nil"/>
              <w:right w:val="nil"/>
            </w:tcBorders>
            <w:shd w:val="clear" w:color="auto" w:fill="auto"/>
            <w:vAlign w:val="center"/>
          </w:tcPr>
          <w:p w:rsidR="00E72BA4" w:rsidRPr="00D66E00" w:rsidRDefault="00E72BA4" w:rsidP="00406FE0">
            <w:pPr>
              <w:keepNext/>
              <w:keepLines/>
              <w:jc w:val="center"/>
              <w:rPr>
                <w:rFonts w:ascii="Arial" w:hAnsi="Arial" w:cs="Arial"/>
                <w:szCs w:val="28"/>
              </w:rPr>
            </w:pPr>
          </w:p>
        </w:tc>
        <w:tc>
          <w:tcPr>
            <w:tcW w:w="978" w:type="dxa"/>
            <w:tcBorders>
              <w:top w:val="single" w:sz="4" w:space="0" w:color="auto"/>
              <w:left w:val="nil"/>
              <w:bottom w:val="nil"/>
              <w:right w:val="nil"/>
            </w:tcBorders>
            <w:shd w:val="clear" w:color="auto" w:fill="auto"/>
            <w:vAlign w:val="center"/>
          </w:tcPr>
          <w:p w:rsidR="00E72BA4" w:rsidRPr="00D66E00" w:rsidRDefault="00E72BA4" w:rsidP="00406FE0">
            <w:pPr>
              <w:keepNext/>
              <w:keepLines/>
              <w:jc w:val="center"/>
              <w:rPr>
                <w:rFonts w:ascii="Arial" w:hAnsi="Arial" w:cs="Arial"/>
                <w:szCs w:val="28"/>
              </w:rPr>
            </w:pPr>
          </w:p>
        </w:tc>
        <w:tc>
          <w:tcPr>
            <w:tcW w:w="978" w:type="dxa"/>
            <w:tcBorders>
              <w:top w:val="single" w:sz="4" w:space="0" w:color="auto"/>
              <w:left w:val="nil"/>
              <w:bottom w:val="nil"/>
              <w:right w:val="nil"/>
            </w:tcBorders>
            <w:shd w:val="clear" w:color="auto" w:fill="auto"/>
            <w:vAlign w:val="center"/>
          </w:tcPr>
          <w:p w:rsidR="00E72BA4" w:rsidRPr="00D66E00" w:rsidRDefault="00E72BA4" w:rsidP="00406FE0">
            <w:pPr>
              <w:keepNext/>
              <w:keepLines/>
              <w:jc w:val="center"/>
              <w:rPr>
                <w:rFonts w:ascii="Arial" w:hAnsi="Arial" w:cs="Arial"/>
                <w:szCs w:val="28"/>
              </w:rPr>
            </w:pPr>
          </w:p>
        </w:tc>
        <w:tc>
          <w:tcPr>
            <w:tcW w:w="978" w:type="dxa"/>
            <w:tcBorders>
              <w:top w:val="single" w:sz="4" w:space="0" w:color="auto"/>
              <w:left w:val="nil"/>
              <w:bottom w:val="nil"/>
              <w:right w:val="nil"/>
            </w:tcBorders>
            <w:shd w:val="clear" w:color="auto" w:fill="auto"/>
            <w:vAlign w:val="center"/>
          </w:tcPr>
          <w:p w:rsidR="00E72BA4" w:rsidRPr="00D66E00" w:rsidRDefault="00E72BA4" w:rsidP="00406FE0">
            <w:pPr>
              <w:keepNext/>
              <w:keepLines/>
              <w:jc w:val="center"/>
              <w:rPr>
                <w:rFonts w:ascii="Arial" w:hAnsi="Arial" w:cs="Arial"/>
                <w:szCs w:val="28"/>
              </w:rPr>
            </w:pPr>
          </w:p>
        </w:tc>
        <w:tc>
          <w:tcPr>
            <w:tcW w:w="979" w:type="dxa"/>
            <w:tcBorders>
              <w:top w:val="single" w:sz="4" w:space="0" w:color="auto"/>
              <w:left w:val="nil"/>
              <w:bottom w:val="nil"/>
              <w:right w:val="nil"/>
            </w:tcBorders>
            <w:shd w:val="clear" w:color="auto" w:fill="auto"/>
            <w:vAlign w:val="center"/>
          </w:tcPr>
          <w:p w:rsidR="00E72BA4" w:rsidRPr="00D66E00" w:rsidRDefault="00E72BA4" w:rsidP="00406FE0">
            <w:pPr>
              <w:keepNext/>
              <w:keepLines/>
              <w:jc w:val="center"/>
              <w:rPr>
                <w:rFonts w:ascii="Arial" w:hAnsi="Arial" w:cs="Arial"/>
                <w:szCs w:val="28"/>
              </w:rPr>
            </w:pPr>
          </w:p>
        </w:tc>
      </w:tr>
      <w:tr w:rsidR="009B23AB" w:rsidRPr="00D66E00" w:rsidTr="009B23AB">
        <w:trPr>
          <w:trHeight w:val="567"/>
        </w:trPr>
        <w:tc>
          <w:tcPr>
            <w:tcW w:w="993" w:type="dxa"/>
            <w:gridSpan w:val="2"/>
            <w:tcBorders>
              <w:top w:val="nil"/>
              <w:left w:val="nil"/>
              <w:bottom w:val="nil"/>
              <w:right w:val="nil"/>
            </w:tcBorders>
            <w:shd w:val="clear" w:color="auto" w:fill="4A442A" w:themeFill="background2" w:themeFillShade="40"/>
          </w:tcPr>
          <w:p w:rsidR="009B23AB" w:rsidRPr="00D66E00" w:rsidRDefault="009B23AB" w:rsidP="00406FE0">
            <w:pPr>
              <w:keepNext/>
              <w:keepLines/>
              <w:jc w:val="center"/>
              <w:rPr>
                <w:rFonts w:ascii="Arial" w:hAnsi="Arial" w:cs="Arial"/>
                <w:szCs w:val="28"/>
              </w:rPr>
            </w:pPr>
          </w:p>
        </w:tc>
        <w:tc>
          <w:tcPr>
            <w:tcW w:w="3897" w:type="dxa"/>
            <w:gridSpan w:val="4"/>
            <w:tcBorders>
              <w:top w:val="nil"/>
              <w:left w:val="nil"/>
              <w:bottom w:val="nil"/>
              <w:right w:val="nil"/>
            </w:tcBorders>
            <w:shd w:val="clear" w:color="auto" w:fill="auto"/>
            <w:vAlign w:val="center"/>
          </w:tcPr>
          <w:p w:rsidR="009B23AB" w:rsidRPr="00D66E00" w:rsidRDefault="009B23AB" w:rsidP="00406FE0">
            <w:pPr>
              <w:keepNext/>
              <w:keepLines/>
              <w:rPr>
                <w:rFonts w:ascii="Arial" w:hAnsi="Arial" w:cs="Arial"/>
                <w:szCs w:val="28"/>
              </w:rPr>
            </w:pPr>
            <w:r w:rsidRPr="00784592">
              <w:rPr>
                <w:rFonts w:ascii="Arial" w:hAnsi="Arial" w:cs="Arial"/>
                <w:sz w:val="18"/>
                <w:szCs w:val="28"/>
              </w:rPr>
              <w:t>Actual Expenditure</w:t>
            </w:r>
          </w:p>
        </w:tc>
        <w:tc>
          <w:tcPr>
            <w:tcW w:w="4891" w:type="dxa"/>
            <w:gridSpan w:val="5"/>
            <w:tcBorders>
              <w:top w:val="nil"/>
              <w:left w:val="nil"/>
              <w:bottom w:val="nil"/>
              <w:right w:val="nil"/>
            </w:tcBorders>
            <w:shd w:val="clear" w:color="auto" w:fill="auto"/>
            <w:vAlign w:val="center"/>
          </w:tcPr>
          <w:p w:rsidR="009B23AB" w:rsidRPr="00784592" w:rsidRDefault="009B23AB" w:rsidP="00406FE0">
            <w:pPr>
              <w:keepNext/>
              <w:keepLines/>
              <w:rPr>
                <w:rFonts w:ascii="Arial" w:hAnsi="Arial" w:cs="Arial"/>
                <w:sz w:val="18"/>
                <w:szCs w:val="28"/>
              </w:rPr>
            </w:pPr>
          </w:p>
        </w:tc>
      </w:tr>
      <w:tr w:rsidR="009B23AB" w:rsidRPr="00D66E00" w:rsidTr="009B23AB">
        <w:trPr>
          <w:trHeight w:val="567"/>
        </w:trPr>
        <w:tc>
          <w:tcPr>
            <w:tcW w:w="993" w:type="dxa"/>
            <w:gridSpan w:val="2"/>
            <w:tcBorders>
              <w:top w:val="nil"/>
              <w:left w:val="nil"/>
              <w:bottom w:val="nil"/>
              <w:right w:val="nil"/>
            </w:tcBorders>
            <w:shd w:val="clear" w:color="auto" w:fill="C4BC96" w:themeFill="background2" w:themeFillShade="BF"/>
          </w:tcPr>
          <w:p w:rsidR="009B23AB" w:rsidRPr="00D66E00" w:rsidRDefault="009B23AB" w:rsidP="00406FE0">
            <w:pPr>
              <w:keepNext/>
              <w:keepLines/>
              <w:jc w:val="center"/>
              <w:rPr>
                <w:rFonts w:ascii="Arial" w:hAnsi="Arial" w:cs="Arial"/>
                <w:szCs w:val="28"/>
              </w:rPr>
            </w:pPr>
          </w:p>
        </w:tc>
        <w:tc>
          <w:tcPr>
            <w:tcW w:w="3897" w:type="dxa"/>
            <w:gridSpan w:val="4"/>
            <w:tcBorders>
              <w:top w:val="nil"/>
              <w:left w:val="nil"/>
              <w:bottom w:val="nil"/>
              <w:right w:val="nil"/>
            </w:tcBorders>
            <w:shd w:val="clear" w:color="auto" w:fill="auto"/>
            <w:vAlign w:val="center"/>
          </w:tcPr>
          <w:p w:rsidR="009B23AB" w:rsidRPr="00D66E00" w:rsidRDefault="009B23AB" w:rsidP="00406FE0">
            <w:pPr>
              <w:keepNext/>
              <w:keepLines/>
              <w:rPr>
                <w:rFonts w:ascii="Arial" w:hAnsi="Arial" w:cs="Arial"/>
                <w:szCs w:val="28"/>
              </w:rPr>
            </w:pPr>
            <w:r w:rsidRPr="00784592">
              <w:rPr>
                <w:rFonts w:ascii="Arial" w:hAnsi="Arial" w:cs="Arial"/>
                <w:sz w:val="18"/>
                <w:szCs w:val="28"/>
              </w:rPr>
              <w:t>Forecast Expenditure</w:t>
            </w:r>
          </w:p>
        </w:tc>
        <w:tc>
          <w:tcPr>
            <w:tcW w:w="4891" w:type="dxa"/>
            <w:gridSpan w:val="5"/>
            <w:tcBorders>
              <w:top w:val="nil"/>
              <w:left w:val="nil"/>
              <w:bottom w:val="nil"/>
              <w:right w:val="nil"/>
            </w:tcBorders>
            <w:shd w:val="clear" w:color="auto" w:fill="auto"/>
            <w:vAlign w:val="center"/>
          </w:tcPr>
          <w:p w:rsidR="009B23AB" w:rsidRPr="00784592" w:rsidRDefault="009B23AB" w:rsidP="00406FE0">
            <w:pPr>
              <w:keepNext/>
              <w:keepLines/>
              <w:rPr>
                <w:rFonts w:ascii="Arial" w:hAnsi="Arial" w:cs="Arial"/>
                <w:sz w:val="18"/>
                <w:szCs w:val="28"/>
              </w:rPr>
            </w:pPr>
          </w:p>
        </w:tc>
      </w:tr>
    </w:tbl>
    <w:p w:rsidR="00E72BA4" w:rsidRPr="00B744AD" w:rsidRDefault="00E72BA4" w:rsidP="00E72BA4">
      <w:pPr>
        <w:rPr>
          <w:rFonts w:ascii="Arial" w:hAnsi="Arial" w:cs="Arial"/>
          <w:b/>
        </w:rPr>
      </w:pPr>
    </w:p>
    <w:p w:rsidR="00E72BA4" w:rsidRDefault="00E72BA4" w:rsidP="00571F8F">
      <w:pPr>
        <w:pStyle w:val="NormalWeb"/>
        <w:spacing w:before="0" w:beforeAutospacing="0" w:after="0" w:afterAutospacing="0"/>
        <w:rPr>
          <w:rFonts w:ascii="Arial" w:hAnsi="Arial" w:cs="Arial"/>
          <w:iCs/>
          <w:sz w:val="22"/>
          <w:szCs w:val="22"/>
        </w:rPr>
      </w:pPr>
    </w:p>
    <w:p w:rsidR="00E72BA4" w:rsidRDefault="00B744AD" w:rsidP="00571F8F">
      <w:pPr>
        <w:pStyle w:val="NormalWeb"/>
        <w:spacing w:before="0" w:beforeAutospacing="0" w:after="0" w:afterAutospacing="0"/>
        <w:rPr>
          <w:rFonts w:ascii="Arial" w:hAnsi="Arial" w:cs="Arial"/>
          <w:iCs/>
          <w:sz w:val="22"/>
          <w:szCs w:val="22"/>
        </w:rPr>
      </w:pPr>
      <w:r>
        <w:rPr>
          <w:rFonts w:ascii="Arial" w:hAnsi="Arial" w:cs="Arial"/>
          <w:iCs/>
          <w:sz w:val="22"/>
          <w:szCs w:val="22"/>
        </w:rPr>
        <w:t>The ATA commissioned the Industrial Logistics Institute to model the effects of this approach</w:t>
      </w:r>
      <w:r w:rsidR="002D2E24">
        <w:rPr>
          <w:rFonts w:ascii="Arial" w:hAnsi="Arial" w:cs="Arial"/>
          <w:iCs/>
          <w:sz w:val="22"/>
          <w:szCs w:val="22"/>
        </w:rPr>
        <w:t>.</w:t>
      </w:r>
      <w:r>
        <w:rPr>
          <w:rFonts w:ascii="Arial" w:hAnsi="Arial" w:cs="Arial"/>
          <w:iCs/>
          <w:sz w:val="22"/>
          <w:szCs w:val="22"/>
        </w:rPr>
        <w:t xml:space="preserve"> </w:t>
      </w:r>
    </w:p>
    <w:p w:rsidR="002D2E24" w:rsidRDefault="002D2E24" w:rsidP="00571F8F">
      <w:pPr>
        <w:pStyle w:val="NormalWeb"/>
        <w:spacing w:before="0" w:beforeAutospacing="0" w:after="0" w:afterAutospacing="0"/>
        <w:rPr>
          <w:rFonts w:ascii="Arial" w:hAnsi="Arial" w:cs="Arial"/>
          <w:iCs/>
          <w:sz w:val="22"/>
          <w:szCs w:val="22"/>
        </w:rPr>
      </w:pPr>
    </w:p>
    <w:p w:rsidR="00DE3464" w:rsidRPr="00DE3464" w:rsidRDefault="00895E1C" w:rsidP="00895E1C">
      <w:pPr>
        <w:pStyle w:val="NormalWeb"/>
        <w:spacing w:before="0" w:beforeAutospacing="0" w:after="0" w:afterAutospacing="0"/>
        <w:rPr>
          <w:rFonts w:ascii="Arial" w:hAnsi="Arial" w:cs="Arial"/>
          <w:iCs/>
          <w:sz w:val="22"/>
          <w:szCs w:val="22"/>
        </w:rPr>
      </w:pPr>
      <w:r>
        <w:rPr>
          <w:rFonts w:ascii="Arial" w:hAnsi="Arial" w:cs="Arial"/>
          <w:iCs/>
          <w:sz w:val="22"/>
          <w:szCs w:val="22"/>
        </w:rPr>
        <w:t>Figure 4</w:t>
      </w:r>
      <w:r w:rsidR="00ED05D1">
        <w:rPr>
          <w:rFonts w:ascii="Arial" w:hAnsi="Arial" w:cs="Arial"/>
          <w:iCs/>
          <w:sz w:val="22"/>
          <w:szCs w:val="22"/>
        </w:rPr>
        <w:t xml:space="preserve"> compares the </w:t>
      </w:r>
      <w:r w:rsidR="00227208">
        <w:rPr>
          <w:rFonts w:ascii="Arial" w:hAnsi="Arial" w:cs="Arial"/>
          <w:iCs/>
          <w:sz w:val="22"/>
          <w:szCs w:val="22"/>
        </w:rPr>
        <w:t>NTC’s projections of the cost base in the 2016 information paper</w:t>
      </w:r>
      <w:r w:rsidR="00227208">
        <w:rPr>
          <w:rStyle w:val="FootnoteReference"/>
          <w:rFonts w:ascii="Arial" w:hAnsi="Arial"/>
          <w:iCs/>
          <w:sz w:val="22"/>
          <w:szCs w:val="22"/>
        </w:rPr>
        <w:footnoteReference w:id="21"/>
      </w:r>
      <w:r w:rsidR="00227208">
        <w:rPr>
          <w:rFonts w:ascii="Arial" w:hAnsi="Arial" w:cs="Arial"/>
          <w:iCs/>
          <w:sz w:val="22"/>
          <w:szCs w:val="22"/>
        </w:rPr>
        <w:t xml:space="preserve"> with </w:t>
      </w:r>
      <w:r w:rsidR="00DE3464">
        <w:rPr>
          <w:rFonts w:ascii="Arial" w:hAnsi="Arial" w:cs="Arial"/>
          <w:iCs/>
          <w:sz w:val="22"/>
          <w:szCs w:val="22"/>
        </w:rPr>
        <w:t>looking ahead two years and applying t</w:t>
      </w:r>
      <w:r>
        <w:rPr>
          <w:rFonts w:ascii="Arial" w:hAnsi="Arial" w:cs="Arial"/>
          <w:iCs/>
          <w:sz w:val="22"/>
          <w:szCs w:val="22"/>
        </w:rPr>
        <w:t xml:space="preserve">he same weights used by the NTC. </w:t>
      </w:r>
      <w:r w:rsidR="00DE3464">
        <w:rPr>
          <w:rFonts w:ascii="Arial" w:hAnsi="Arial" w:cs="Arial"/>
          <w:iCs/>
          <w:sz w:val="22"/>
          <w:szCs w:val="22"/>
        </w:rPr>
        <w:t>These EMA weights were applied for modelling purposes only</w:t>
      </w:r>
      <w:r w:rsidR="008D1FDA">
        <w:rPr>
          <w:rFonts w:ascii="Arial" w:hAnsi="Arial" w:cs="Arial"/>
          <w:iCs/>
          <w:sz w:val="22"/>
          <w:szCs w:val="22"/>
        </w:rPr>
        <w:t>.</w:t>
      </w:r>
    </w:p>
    <w:p w:rsidR="00227208" w:rsidRDefault="00227208" w:rsidP="00571F8F">
      <w:pPr>
        <w:pStyle w:val="NormalWeb"/>
        <w:spacing w:before="0" w:beforeAutospacing="0" w:after="0" w:afterAutospacing="0"/>
        <w:rPr>
          <w:rFonts w:ascii="Arial" w:hAnsi="Arial" w:cs="Arial"/>
          <w:iCs/>
          <w:sz w:val="22"/>
          <w:szCs w:val="22"/>
        </w:rPr>
      </w:pPr>
    </w:p>
    <w:p w:rsidR="00FB1723" w:rsidRDefault="00227208" w:rsidP="00571F8F">
      <w:pPr>
        <w:pStyle w:val="NormalWeb"/>
        <w:spacing w:before="0" w:beforeAutospacing="0" w:after="0" w:afterAutospacing="0"/>
        <w:rPr>
          <w:rFonts w:ascii="Arial" w:hAnsi="Arial" w:cs="Arial"/>
          <w:iCs/>
          <w:sz w:val="22"/>
          <w:szCs w:val="22"/>
        </w:rPr>
      </w:pPr>
      <w:r>
        <w:rPr>
          <w:rFonts w:ascii="Arial" w:hAnsi="Arial" w:cs="Arial"/>
          <w:iCs/>
          <w:sz w:val="22"/>
          <w:szCs w:val="22"/>
        </w:rPr>
        <w:t xml:space="preserve">The </w:t>
      </w:r>
      <w:r w:rsidR="00895E1C">
        <w:rPr>
          <w:rFonts w:ascii="Arial" w:hAnsi="Arial" w:cs="Arial"/>
          <w:iCs/>
          <w:sz w:val="22"/>
          <w:szCs w:val="22"/>
        </w:rPr>
        <w:t xml:space="preserve">modelling, which should be regarded as indicative, suggests the </w:t>
      </w:r>
      <w:r>
        <w:rPr>
          <w:rFonts w:ascii="Arial" w:hAnsi="Arial" w:cs="Arial"/>
          <w:iCs/>
          <w:sz w:val="22"/>
          <w:szCs w:val="22"/>
        </w:rPr>
        <w:t xml:space="preserve">application of </w:t>
      </w:r>
      <w:r w:rsidR="00895E1C">
        <w:rPr>
          <w:rFonts w:ascii="Arial" w:hAnsi="Arial" w:cs="Arial"/>
          <w:iCs/>
          <w:sz w:val="22"/>
          <w:szCs w:val="22"/>
        </w:rPr>
        <w:t xml:space="preserve">the 2+5 approach would provide </w:t>
      </w:r>
      <w:r>
        <w:rPr>
          <w:rFonts w:ascii="Arial" w:hAnsi="Arial" w:cs="Arial"/>
          <w:iCs/>
          <w:sz w:val="22"/>
          <w:szCs w:val="22"/>
        </w:rPr>
        <w:t xml:space="preserve">a </w:t>
      </w:r>
      <w:r w:rsidR="00ED05D1">
        <w:rPr>
          <w:rFonts w:ascii="Arial" w:hAnsi="Arial" w:cs="Arial"/>
          <w:iCs/>
          <w:sz w:val="22"/>
          <w:szCs w:val="22"/>
        </w:rPr>
        <w:t>slightly, but not unreasonably, higher estimate of the cost base</w:t>
      </w:r>
      <w:r w:rsidR="00895E1C">
        <w:rPr>
          <w:rFonts w:ascii="Arial" w:hAnsi="Arial" w:cs="Arial"/>
          <w:iCs/>
          <w:sz w:val="22"/>
          <w:szCs w:val="22"/>
        </w:rPr>
        <w:t>.</w:t>
      </w:r>
      <w:r w:rsidR="00FB1723">
        <w:rPr>
          <w:rFonts w:ascii="Arial" w:hAnsi="Arial" w:cs="Arial"/>
          <w:iCs/>
          <w:sz w:val="22"/>
          <w:szCs w:val="22"/>
        </w:rPr>
        <w:t xml:space="preserve"> </w:t>
      </w:r>
    </w:p>
    <w:p w:rsidR="00FB1723" w:rsidRDefault="00FB1723" w:rsidP="00571F8F">
      <w:pPr>
        <w:pStyle w:val="NormalWeb"/>
        <w:spacing w:before="0" w:beforeAutospacing="0" w:after="0" w:afterAutospacing="0"/>
        <w:rPr>
          <w:rFonts w:ascii="Arial" w:hAnsi="Arial" w:cs="Arial"/>
          <w:iCs/>
          <w:sz w:val="22"/>
          <w:szCs w:val="22"/>
        </w:rPr>
      </w:pPr>
    </w:p>
    <w:p w:rsidR="002D2E24" w:rsidRDefault="00227208" w:rsidP="00571F8F">
      <w:pPr>
        <w:pStyle w:val="NormalWeb"/>
        <w:spacing w:before="0" w:beforeAutospacing="0" w:after="0" w:afterAutospacing="0"/>
        <w:rPr>
          <w:rFonts w:ascii="Arial" w:hAnsi="Arial" w:cs="Arial"/>
          <w:iCs/>
          <w:sz w:val="22"/>
          <w:szCs w:val="22"/>
        </w:rPr>
      </w:pPr>
      <w:r>
        <w:rPr>
          <w:rFonts w:ascii="Arial" w:hAnsi="Arial" w:cs="Arial"/>
          <w:iCs/>
          <w:sz w:val="22"/>
          <w:szCs w:val="22"/>
        </w:rPr>
        <w:lastRenderedPageBreak/>
        <w:t xml:space="preserve">The ATA considers that this </w:t>
      </w:r>
      <w:r w:rsidR="008D1FDA">
        <w:rPr>
          <w:rFonts w:ascii="Arial" w:hAnsi="Arial" w:cs="Arial"/>
          <w:iCs/>
          <w:sz w:val="22"/>
          <w:szCs w:val="22"/>
        </w:rPr>
        <w:t xml:space="preserve">approach </w:t>
      </w:r>
      <w:r>
        <w:rPr>
          <w:rFonts w:ascii="Arial" w:hAnsi="Arial" w:cs="Arial"/>
          <w:iCs/>
          <w:sz w:val="22"/>
          <w:szCs w:val="22"/>
        </w:rPr>
        <w:t>should address the revenue concerns of governments while still providin</w:t>
      </w:r>
      <w:r w:rsidR="008D1FDA">
        <w:rPr>
          <w:rFonts w:ascii="Arial" w:hAnsi="Arial" w:cs="Arial"/>
          <w:iCs/>
          <w:sz w:val="22"/>
          <w:szCs w:val="22"/>
        </w:rPr>
        <w:t xml:space="preserve">g fair results for the industry, although the EMA weights used to calculate the cost base would need to be </w:t>
      </w:r>
      <w:r w:rsidR="00AB42D9">
        <w:rPr>
          <w:rFonts w:ascii="Arial" w:hAnsi="Arial" w:cs="Arial"/>
          <w:iCs/>
          <w:sz w:val="22"/>
          <w:szCs w:val="22"/>
        </w:rPr>
        <w:t>looked at again</w:t>
      </w:r>
      <w:r w:rsidR="008D1FDA">
        <w:rPr>
          <w:rFonts w:ascii="Arial" w:hAnsi="Arial" w:cs="Arial"/>
          <w:iCs/>
          <w:sz w:val="22"/>
          <w:szCs w:val="22"/>
        </w:rPr>
        <w:t>.</w:t>
      </w:r>
    </w:p>
    <w:p w:rsidR="00A76E3C" w:rsidRDefault="00A76E3C" w:rsidP="00571F8F">
      <w:pPr>
        <w:pStyle w:val="NormalWeb"/>
        <w:spacing w:before="0" w:beforeAutospacing="0" w:after="0" w:afterAutospacing="0"/>
        <w:rPr>
          <w:rFonts w:ascii="Arial" w:hAnsi="Arial" w:cs="Arial"/>
          <w:iCs/>
          <w:sz w:val="22"/>
          <w:szCs w:val="22"/>
        </w:rPr>
      </w:pPr>
    </w:p>
    <w:p w:rsidR="00ED05D1" w:rsidRDefault="00ED05D1" w:rsidP="00571F8F">
      <w:pPr>
        <w:pStyle w:val="NormalWeb"/>
        <w:spacing w:before="0" w:beforeAutospacing="0" w:after="0" w:afterAutospacing="0"/>
        <w:rPr>
          <w:rFonts w:ascii="Arial" w:hAnsi="Arial" w:cs="Arial"/>
          <w:iCs/>
          <w:sz w:val="22"/>
          <w:szCs w:val="22"/>
        </w:rPr>
      </w:pPr>
    </w:p>
    <w:p w:rsidR="00ED05D1" w:rsidRDefault="00224D0B" w:rsidP="00227208">
      <w:pPr>
        <w:pStyle w:val="NormalWeb"/>
        <w:spacing w:before="0" w:beforeAutospacing="0" w:after="0" w:afterAutospacing="0"/>
        <w:jc w:val="center"/>
        <w:rPr>
          <w:rFonts w:ascii="Arial" w:hAnsi="Arial" w:cs="Arial"/>
          <w:iCs/>
          <w:sz w:val="22"/>
          <w:szCs w:val="22"/>
        </w:rPr>
      </w:pPr>
      <w:r>
        <w:rPr>
          <w:noProof/>
        </w:rPr>
        <w:drawing>
          <wp:inline distT="0" distB="0" distL="0" distR="0" wp14:anchorId="1971D4C0" wp14:editId="5178A64F">
            <wp:extent cx="5996940" cy="2743200"/>
            <wp:effectExtent l="0" t="0" r="381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05D1" w:rsidRDefault="00ED05D1" w:rsidP="00571F8F">
      <w:pPr>
        <w:pStyle w:val="NormalWeb"/>
        <w:spacing w:before="0" w:beforeAutospacing="0" w:after="0" w:afterAutospacing="0"/>
        <w:rPr>
          <w:rFonts w:ascii="Arial" w:hAnsi="Arial" w:cs="Arial"/>
          <w:iCs/>
          <w:sz w:val="22"/>
          <w:szCs w:val="22"/>
        </w:rPr>
      </w:pPr>
    </w:p>
    <w:p w:rsidR="00E72BA4" w:rsidRDefault="00E72BA4" w:rsidP="00571F8F">
      <w:pPr>
        <w:pStyle w:val="NormalWeb"/>
        <w:spacing w:before="0" w:beforeAutospacing="0" w:after="0" w:afterAutospacing="0"/>
        <w:rPr>
          <w:rFonts w:ascii="Arial" w:hAnsi="Arial" w:cs="Arial"/>
          <w:iCs/>
          <w:sz w:val="22"/>
          <w:szCs w:val="22"/>
        </w:rPr>
      </w:pPr>
    </w:p>
    <w:p w:rsidR="002F5F21" w:rsidRDefault="002F5F21" w:rsidP="002F5F21">
      <w:pPr>
        <w:pStyle w:val="NormalWeb"/>
        <w:spacing w:before="0" w:beforeAutospacing="0" w:after="0" w:afterAutospacing="0"/>
        <w:rPr>
          <w:rFonts w:ascii="Arial" w:hAnsi="Arial" w:cs="Arial"/>
          <w:iCs/>
          <w:sz w:val="22"/>
          <w:szCs w:val="22"/>
        </w:rPr>
      </w:pPr>
      <w:r>
        <w:rPr>
          <w:rFonts w:ascii="Arial" w:hAnsi="Arial" w:cs="Arial"/>
          <w:iCs/>
          <w:sz w:val="22"/>
          <w:szCs w:val="22"/>
        </w:rPr>
        <w:t>The ATA recognises that the use of estimated figures in the cost base would raise concerns about forecasting error. These concerns could be addressed in two ways:</w:t>
      </w:r>
    </w:p>
    <w:p w:rsidR="002F5F21" w:rsidRDefault="002F5F21" w:rsidP="002F5F21">
      <w:pPr>
        <w:pStyle w:val="NormalWeb"/>
        <w:spacing w:before="0" w:beforeAutospacing="0" w:after="0" w:afterAutospacing="0"/>
        <w:rPr>
          <w:rFonts w:ascii="Arial" w:hAnsi="Arial" w:cs="Arial"/>
          <w:iCs/>
          <w:sz w:val="22"/>
          <w:szCs w:val="22"/>
        </w:rPr>
      </w:pPr>
    </w:p>
    <w:p w:rsidR="002F5F21" w:rsidRDefault="002F5F21" w:rsidP="002F5F21">
      <w:pPr>
        <w:pStyle w:val="NormalWeb"/>
        <w:numPr>
          <w:ilvl w:val="0"/>
          <w:numId w:val="39"/>
        </w:numPr>
        <w:spacing w:before="0" w:beforeAutospacing="0" w:after="0" w:afterAutospacing="0"/>
        <w:rPr>
          <w:rFonts w:ascii="Arial" w:hAnsi="Arial" w:cs="Arial"/>
          <w:iCs/>
          <w:sz w:val="22"/>
          <w:szCs w:val="22"/>
        </w:rPr>
      </w:pPr>
      <w:r>
        <w:rPr>
          <w:rFonts w:ascii="Arial" w:hAnsi="Arial" w:cs="Arial"/>
          <w:iCs/>
          <w:sz w:val="22"/>
          <w:szCs w:val="22"/>
        </w:rPr>
        <w:t xml:space="preserve">by replacing the </w:t>
      </w:r>
      <w:r w:rsidR="00DB7E56">
        <w:rPr>
          <w:rFonts w:ascii="Arial" w:hAnsi="Arial" w:cs="Arial"/>
          <w:iCs/>
          <w:sz w:val="22"/>
          <w:szCs w:val="22"/>
        </w:rPr>
        <w:t>forecast</w:t>
      </w:r>
      <w:r>
        <w:rPr>
          <w:rFonts w:ascii="Arial" w:hAnsi="Arial" w:cs="Arial"/>
          <w:iCs/>
          <w:sz w:val="22"/>
          <w:szCs w:val="22"/>
        </w:rPr>
        <w:t xml:space="preserve"> figures with more reliable estimates and then actuals in the calculation of the cost base once they become available and</w:t>
      </w:r>
    </w:p>
    <w:p w:rsidR="002F5F21" w:rsidRDefault="002F5F21" w:rsidP="002F5F21">
      <w:pPr>
        <w:pStyle w:val="NormalWeb"/>
        <w:numPr>
          <w:ilvl w:val="0"/>
          <w:numId w:val="39"/>
        </w:numPr>
        <w:spacing w:before="0" w:beforeAutospacing="0" w:after="0" w:afterAutospacing="0"/>
        <w:rPr>
          <w:rFonts w:ascii="Arial" w:hAnsi="Arial" w:cs="Arial"/>
          <w:iCs/>
          <w:sz w:val="22"/>
          <w:szCs w:val="22"/>
        </w:rPr>
      </w:pPr>
      <w:r>
        <w:rPr>
          <w:rFonts w:ascii="Arial" w:hAnsi="Arial" w:cs="Arial"/>
          <w:iCs/>
          <w:sz w:val="22"/>
          <w:szCs w:val="22"/>
        </w:rPr>
        <w:t>by including an unders and overs mechanism in the PAYGO model. This is considered further in the discussion about NTC option 4.</w:t>
      </w:r>
    </w:p>
    <w:p w:rsidR="002F5F21" w:rsidRDefault="002F5F21" w:rsidP="00571F8F">
      <w:pPr>
        <w:pStyle w:val="NormalWeb"/>
        <w:spacing w:before="0" w:beforeAutospacing="0" w:after="0" w:afterAutospacing="0"/>
        <w:rPr>
          <w:rFonts w:ascii="Arial" w:hAnsi="Arial" w:cs="Arial"/>
          <w:iCs/>
          <w:sz w:val="22"/>
          <w:szCs w:val="22"/>
        </w:rPr>
      </w:pPr>
    </w:p>
    <w:p w:rsidR="002F5F21" w:rsidRDefault="002F5F21" w:rsidP="00571F8F">
      <w:pPr>
        <w:pStyle w:val="NormalWeb"/>
        <w:spacing w:before="0" w:beforeAutospacing="0" w:after="0" w:afterAutospacing="0"/>
        <w:rPr>
          <w:rFonts w:ascii="Arial" w:hAnsi="Arial" w:cs="Arial"/>
          <w:iCs/>
          <w:sz w:val="22"/>
          <w:szCs w:val="22"/>
        </w:rPr>
      </w:pPr>
    </w:p>
    <w:p w:rsidR="00E72BA4" w:rsidRPr="00227208" w:rsidRDefault="00227208" w:rsidP="00571F8F">
      <w:pPr>
        <w:pStyle w:val="NormalWeb"/>
        <w:spacing w:before="0" w:beforeAutospacing="0" w:after="0" w:afterAutospacing="0"/>
        <w:rPr>
          <w:rFonts w:ascii="Arial" w:hAnsi="Arial" w:cs="Arial"/>
          <w:b/>
          <w:iCs/>
          <w:sz w:val="22"/>
          <w:szCs w:val="22"/>
        </w:rPr>
      </w:pPr>
      <w:r w:rsidRPr="00227208">
        <w:rPr>
          <w:rFonts w:ascii="Arial" w:hAnsi="Arial" w:cs="Arial"/>
          <w:b/>
          <w:iCs/>
          <w:sz w:val="22"/>
          <w:szCs w:val="22"/>
        </w:rPr>
        <w:t>Recommendation</w:t>
      </w:r>
      <w:r w:rsidR="00B948CB">
        <w:rPr>
          <w:rFonts w:ascii="Arial" w:hAnsi="Arial" w:cs="Arial"/>
          <w:b/>
          <w:iCs/>
          <w:sz w:val="22"/>
          <w:szCs w:val="22"/>
        </w:rPr>
        <w:t xml:space="preserve"> 2</w:t>
      </w:r>
    </w:p>
    <w:p w:rsidR="00227208" w:rsidRDefault="00227208" w:rsidP="00571F8F">
      <w:pPr>
        <w:pStyle w:val="NormalWeb"/>
        <w:spacing w:before="0" w:beforeAutospacing="0" w:after="0" w:afterAutospacing="0"/>
        <w:rPr>
          <w:rFonts w:ascii="Arial" w:hAnsi="Arial" w:cs="Arial"/>
          <w:iCs/>
          <w:sz w:val="22"/>
          <w:szCs w:val="22"/>
        </w:rPr>
      </w:pPr>
    </w:p>
    <w:p w:rsidR="00227208" w:rsidRPr="00227208" w:rsidRDefault="00895E1C" w:rsidP="00571F8F">
      <w:pPr>
        <w:pStyle w:val="NormalWeb"/>
        <w:spacing w:before="0" w:beforeAutospacing="0" w:after="0" w:afterAutospacing="0"/>
        <w:rPr>
          <w:rFonts w:ascii="Arial" w:hAnsi="Arial" w:cs="Arial"/>
          <w:b/>
          <w:iCs/>
          <w:sz w:val="22"/>
          <w:szCs w:val="22"/>
        </w:rPr>
      </w:pPr>
      <w:r>
        <w:rPr>
          <w:rFonts w:ascii="Arial" w:hAnsi="Arial" w:cs="Arial"/>
          <w:b/>
          <w:iCs/>
          <w:sz w:val="22"/>
          <w:szCs w:val="22"/>
        </w:rPr>
        <w:t>If recommendation 1 is not adopted, t</w:t>
      </w:r>
      <w:r w:rsidR="00227208" w:rsidRPr="00227208">
        <w:rPr>
          <w:rFonts w:ascii="Arial" w:hAnsi="Arial" w:cs="Arial"/>
          <w:b/>
          <w:iCs/>
          <w:sz w:val="22"/>
          <w:szCs w:val="22"/>
        </w:rPr>
        <w:t xml:space="preserve">he NTC should investigate moving the cost base forward to include </w:t>
      </w:r>
      <w:r w:rsidR="00DB7E56">
        <w:rPr>
          <w:rFonts w:ascii="Arial" w:hAnsi="Arial" w:cs="Arial"/>
          <w:b/>
          <w:iCs/>
          <w:sz w:val="22"/>
          <w:szCs w:val="22"/>
        </w:rPr>
        <w:t>one year</w:t>
      </w:r>
      <w:r w:rsidR="00227208" w:rsidRPr="00227208">
        <w:rPr>
          <w:rFonts w:ascii="Arial" w:hAnsi="Arial" w:cs="Arial"/>
          <w:b/>
          <w:iCs/>
          <w:sz w:val="22"/>
          <w:szCs w:val="22"/>
        </w:rPr>
        <w:t xml:space="preserve"> of </w:t>
      </w:r>
      <w:r w:rsidR="00DB7E56">
        <w:rPr>
          <w:rFonts w:ascii="Arial" w:hAnsi="Arial" w:cs="Arial"/>
          <w:b/>
          <w:iCs/>
          <w:sz w:val="22"/>
          <w:szCs w:val="22"/>
        </w:rPr>
        <w:t xml:space="preserve">forecast and one year of </w:t>
      </w:r>
      <w:r w:rsidR="00227208" w:rsidRPr="00227208">
        <w:rPr>
          <w:rFonts w:ascii="Arial" w:hAnsi="Arial" w:cs="Arial"/>
          <w:b/>
          <w:iCs/>
          <w:sz w:val="22"/>
          <w:szCs w:val="22"/>
        </w:rPr>
        <w:t>estimated expenditure.</w:t>
      </w:r>
      <w:r w:rsidR="00227208">
        <w:rPr>
          <w:rFonts w:ascii="Arial" w:hAnsi="Arial" w:cs="Arial"/>
          <w:b/>
          <w:iCs/>
          <w:sz w:val="22"/>
          <w:szCs w:val="22"/>
        </w:rPr>
        <w:t xml:space="preserve"> </w:t>
      </w:r>
      <w:r w:rsidR="00DE3464">
        <w:rPr>
          <w:rFonts w:ascii="Arial" w:hAnsi="Arial" w:cs="Arial"/>
          <w:b/>
          <w:iCs/>
          <w:sz w:val="22"/>
          <w:szCs w:val="22"/>
        </w:rPr>
        <w:t>As part of its investigation, the weights in the EMA should be reviewed.</w:t>
      </w:r>
    </w:p>
    <w:p w:rsidR="00E72BA4" w:rsidRDefault="00E72BA4" w:rsidP="00571F8F">
      <w:pPr>
        <w:pStyle w:val="NormalWeb"/>
        <w:spacing w:before="0" w:beforeAutospacing="0" w:after="0" w:afterAutospacing="0"/>
        <w:rPr>
          <w:rFonts w:ascii="Arial" w:hAnsi="Arial" w:cs="Arial"/>
          <w:iCs/>
          <w:sz w:val="22"/>
          <w:szCs w:val="22"/>
        </w:rPr>
      </w:pPr>
    </w:p>
    <w:p w:rsidR="00227208" w:rsidRPr="00AD218E" w:rsidRDefault="00227208" w:rsidP="00571F8F">
      <w:pPr>
        <w:pStyle w:val="NormalWeb"/>
        <w:spacing w:before="0" w:beforeAutospacing="0" w:after="0" w:afterAutospacing="0"/>
        <w:rPr>
          <w:rFonts w:ascii="Arial" w:hAnsi="Arial" w:cs="Arial"/>
          <w:iCs/>
          <w:sz w:val="22"/>
          <w:szCs w:val="22"/>
        </w:rPr>
      </w:pPr>
    </w:p>
    <w:p w:rsidR="00223D83" w:rsidRPr="00223D83" w:rsidRDefault="00223D83" w:rsidP="00C50AF8">
      <w:pPr>
        <w:pStyle w:val="Heading2"/>
        <w:keepNext/>
      </w:pPr>
      <w:bookmarkStart w:id="12" w:name="_Toc457400405"/>
      <w:r w:rsidRPr="00223D83">
        <w:t>NTC option 3: Ring fencing heavy vehicle charges revenue</w:t>
      </w:r>
      <w:bookmarkEnd w:id="12"/>
    </w:p>
    <w:p w:rsidR="00223D83" w:rsidRDefault="00223D83" w:rsidP="00C50AF8">
      <w:pPr>
        <w:pStyle w:val="NormalWeb"/>
        <w:keepNext/>
        <w:spacing w:before="0" w:beforeAutospacing="0" w:after="0" w:afterAutospacing="0"/>
        <w:rPr>
          <w:rFonts w:ascii="Arial" w:hAnsi="Arial" w:cs="Arial"/>
          <w:iCs/>
          <w:sz w:val="22"/>
          <w:szCs w:val="22"/>
        </w:rPr>
      </w:pPr>
    </w:p>
    <w:p w:rsidR="00223D83" w:rsidRDefault="00223D83" w:rsidP="00C50AF8">
      <w:pPr>
        <w:pStyle w:val="NormalWeb"/>
        <w:keepNext/>
        <w:spacing w:before="0" w:beforeAutospacing="0" w:after="0" w:afterAutospacing="0"/>
        <w:rPr>
          <w:rFonts w:ascii="Arial" w:hAnsi="Arial" w:cs="Arial"/>
          <w:iCs/>
          <w:sz w:val="22"/>
          <w:szCs w:val="22"/>
        </w:rPr>
      </w:pPr>
      <w:r>
        <w:rPr>
          <w:rFonts w:ascii="Arial" w:hAnsi="Arial" w:cs="Arial"/>
          <w:iCs/>
          <w:sz w:val="22"/>
          <w:szCs w:val="22"/>
        </w:rPr>
        <w:t>In its public infrastructure report, the Productivity Commission recommended the adoption of a well-designed road fund model, where independent road funds would make transparent funding decisions. The funds would receive hypothecated revenue from road users and government funding to cover community service obligations.</w:t>
      </w:r>
      <w:r>
        <w:rPr>
          <w:rStyle w:val="FootnoteReference"/>
          <w:rFonts w:ascii="Arial" w:hAnsi="Arial"/>
          <w:iCs/>
          <w:sz w:val="22"/>
          <w:szCs w:val="22"/>
        </w:rPr>
        <w:footnoteReference w:id="22"/>
      </w:r>
    </w:p>
    <w:p w:rsidR="00223D83" w:rsidRPr="00E22030" w:rsidRDefault="00223D83" w:rsidP="00223D83">
      <w:pPr>
        <w:pStyle w:val="NormalWeb"/>
        <w:spacing w:before="0" w:beforeAutospacing="0" w:after="0" w:afterAutospacing="0"/>
        <w:rPr>
          <w:rFonts w:ascii="Arial" w:hAnsi="Arial" w:cs="Arial"/>
          <w:iCs/>
          <w:sz w:val="22"/>
          <w:szCs w:val="22"/>
        </w:rPr>
      </w:pPr>
    </w:p>
    <w:p w:rsidR="00E22030" w:rsidRPr="00E22030" w:rsidRDefault="00E22030" w:rsidP="00E22030">
      <w:pPr>
        <w:pStyle w:val="NormalWeb"/>
        <w:spacing w:before="0" w:beforeAutospacing="0" w:after="0" w:afterAutospacing="0"/>
        <w:rPr>
          <w:rFonts w:ascii="Arial" w:hAnsi="Arial" w:cs="Arial"/>
          <w:sz w:val="22"/>
          <w:szCs w:val="22"/>
        </w:rPr>
      </w:pPr>
      <w:r w:rsidRPr="00E22030">
        <w:rPr>
          <w:rFonts w:ascii="Arial" w:hAnsi="Arial" w:cs="Arial"/>
          <w:iCs/>
          <w:sz w:val="22"/>
          <w:szCs w:val="22"/>
        </w:rPr>
        <w:t>Similar</w:t>
      </w:r>
      <w:r w:rsidR="00AD218E">
        <w:rPr>
          <w:rFonts w:ascii="Arial" w:hAnsi="Arial" w:cs="Arial"/>
          <w:iCs/>
          <w:sz w:val="22"/>
          <w:szCs w:val="22"/>
        </w:rPr>
        <w:t>ly</w:t>
      </w:r>
      <w:r w:rsidRPr="00E22030">
        <w:rPr>
          <w:rFonts w:ascii="Arial" w:hAnsi="Arial" w:cs="Arial"/>
          <w:iCs/>
          <w:sz w:val="22"/>
          <w:szCs w:val="22"/>
        </w:rPr>
        <w:t>, the Harper competition review concluded that an in</w:t>
      </w:r>
      <w:r w:rsidR="00A2157A">
        <w:rPr>
          <w:rFonts w:ascii="Arial" w:hAnsi="Arial" w:cs="Arial"/>
          <w:iCs/>
          <w:sz w:val="22"/>
          <w:szCs w:val="22"/>
        </w:rPr>
        <w:t>itial step toward road reform c</w:t>
      </w:r>
      <w:r w:rsidRPr="00E22030">
        <w:rPr>
          <w:rFonts w:ascii="Arial" w:hAnsi="Arial" w:cs="Arial"/>
          <w:iCs/>
          <w:sz w:val="22"/>
          <w:szCs w:val="22"/>
        </w:rPr>
        <w:t>ould be for g</w:t>
      </w:r>
      <w:r w:rsidR="00A2157A">
        <w:rPr>
          <w:rFonts w:ascii="Arial" w:hAnsi="Arial" w:cs="Arial"/>
          <w:iCs/>
          <w:sz w:val="22"/>
          <w:szCs w:val="22"/>
        </w:rPr>
        <w:t xml:space="preserve">overnments to set up road funds </w:t>
      </w:r>
      <w:r w:rsidRPr="00E22030">
        <w:rPr>
          <w:rFonts w:ascii="Arial" w:hAnsi="Arial" w:cs="Arial"/>
          <w:iCs/>
          <w:sz w:val="22"/>
          <w:szCs w:val="22"/>
        </w:rPr>
        <w:t xml:space="preserve">separate from their general budgets to increase transparency around road funding. The review recommended that </w:t>
      </w:r>
      <w:r w:rsidRPr="00E22030">
        <w:rPr>
          <w:rFonts w:ascii="Arial" w:hAnsi="Arial" w:cs="Arial"/>
          <w:sz w:val="22"/>
          <w:szCs w:val="22"/>
        </w:rPr>
        <w:t xml:space="preserve">fuel taxes and other indirect taxes levied on road users be hypothecated to these </w:t>
      </w:r>
      <w:r>
        <w:rPr>
          <w:rFonts w:ascii="Arial" w:hAnsi="Arial" w:cs="Arial"/>
          <w:sz w:val="22"/>
          <w:szCs w:val="22"/>
        </w:rPr>
        <w:t>funds.</w:t>
      </w:r>
      <w:r w:rsidR="00A2157A">
        <w:rPr>
          <w:rStyle w:val="FootnoteReference"/>
          <w:rFonts w:ascii="Arial" w:hAnsi="Arial"/>
          <w:sz w:val="22"/>
          <w:szCs w:val="22"/>
        </w:rPr>
        <w:footnoteReference w:id="23"/>
      </w:r>
    </w:p>
    <w:p w:rsidR="00E22030" w:rsidRPr="00E22030" w:rsidRDefault="00E22030" w:rsidP="00E22030">
      <w:pPr>
        <w:rPr>
          <w:rFonts w:ascii="Arial" w:eastAsia="Times New Roman" w:hAnsi="Arial" w:cs="Arial"/>
          <w:lang w:eastAsia="en-AU"/>
        </w:rPr>
      </w:pPr>
    </w:p>
    <w:p w:rsidR="004C73AE" w:rsidRDefault="00A2157A" w:rsidP="00223D83">
      <w:pPr>
        <w:pStyle w:val="NormalWeb"/>
        <w:spacing w:before="0" w:beforeAutospacing="0" w:after="0" w:afterAutospacing="0"/>
        <w:rPr>
          <w:rFonts w:ascii="Arial" w:hAnsi="Arial" w:cs="Arial"/>
          <w:iCs/>
          <w:sz w:val="22"/>
          <w:szCs w:val="22"/>
        </w:rPr>
      </w:pPr>
      <w:r>
        <w:rPr>
          <w:rFonts w:ascii="Arial" w:hAnsi="Arial" w:cs="Arial"/>
          <w:iCs/>
          <w:sz w:val="22"/>
          <w:szCs w:val="22"/>
        </w:rPr>
        <w:t>The ATA agrees with these recommendations. Estab</w:t>
      </w:r>
      <w:r w:rsidR="00AD218E">
        <w:rPr>
          <w:rFonts w:ascii="Arial" w:hAnsi="Arial" w:cs="Arial"/>
          <w:iCs/>
          <w:sz w:val="22"/>
          <w:szCs w:val="22"/>
        </w:rPr>
        <w:t>lishing separate funds for road</w:t>
      </w:r>
      <w:r>
        <w:rPr>
          <w:rFonts w:ascii="Arial" w:hAnsi="Arial" w:cs="Arial"/>
          <w:iCs/>
          <w:sz w:val="22"/>
          <w:szCs w:val="22"/>
        </w:rPr>
        <w:t xml:space="preserve"> construction and maintenance would help separate long term infrastructure decisions from the budgetary and electoral cycle</w:t>
      </w:r>
      <w:r w:rsidR="007623C9">
        <w:rPr>
          <w:rFonts w:ascii="Arial" w:hAnsi="Arial" w:cs="Arial"/>
          <w:iCs/>
          <w:sz w:val="22"/>
          <w:szCs w:val="22"/>
        </w:rPr>
        <w:t>s</w:t>
      </w:r>
      <w:r>
        <w:rPr>
          <w:rFonts w:ascii="Arial" w:hAnsi="Arial" w:cs="Arial"/>
          <w:iCs/>
          <w:sz w:val="22"/>
          <w:szCs w:val="22"/>
        </w:rPr>
        <w:t xml:space="preserve">. </w:t>
      </w:r>
    </w:p>
    <w:p w:rsidR="004C73AE" w:rsidRDefault="004C73AE" w:rsidP="00223D83">
      <w:pPr>
        <w:pStyle w:val="NormalWeb"/>
        <w:spacing w:before="0" w:beforeAutospacing="0" w:after="0" w:afterAutospacing="0"/>
        <w:rPr>
          <w:rFonts w:ascii="Arial" w:hAnsi="Arial" w:cs="Arial"/>
          <w:iCs/>
          <w:sz w:val="22"/>
          <w:szCs w:val="22"/>
        </w:rPr>
      </w:pPr>
    </w:p>
    <w:p w:rsidR="00E22030" w:rsidRDefault="004C73AE" w:rsidP="00223D83">
      <w:pPr>
        <w:pStyle w:val="NormalWeb"/>
        <w:spacing w:before="0" w:beforeAutospacing="0" w:after="0" w:afterAutospacing="0"/>
        <w:rPr>
          <w:rFonts w:ascii="Arial" w:hAnsi="Arial" w:cs="Arial"/>
          <w:iCs/>
          <w:sz w:val="22"/>
          <w:szCs w:val="22"/>
        </w:rPr>
      </w:pPr>
      <w:r>
        <w:rPr>
          <w:rFonts w:ascii="Arial" w:hAnsi="Arial" w:cs="Arial"/>
          <w:iCs/>
          <w:sz w:val="22"/>
          <w:szCs w:val="22"/>
        </w:rPr>
        <w:lastRenderedPageBreak/>
        <w:t>S</w:t>
      </w:r>
      <w:r w:rsidR="00A2157A">
        <w:rPr>
          <w:rFonts w:ascii="Arial" w:hAnsi="Arial" w:cs="Arial"/>
          <w:iCs/>
          <w:sz w:val="22"/>
          <w:szCs w:val="22"/>
        </w:rPr>
        <w:t xml:space="preserve">eparate funds would also be the essential first step toward regulating road funding and pricing under the building block model proposed </w:t>
      </w:r>
      <w:r w:rsidR="00AD218E">
        <w:rPr>
          <w:rFonts w:ascii="Arial" w:hAnsi="Arial" w:cs="Arial"/>
          <w:iCs/>
          <w:sz w:val="22"/>
          <w:szCs w:val="22"/>
        </w:rPr>
        <w:t>by the</w:t>
      </w:r>
      <w:r w:rsidR="00A2157A">
        <w:rPr>
          <w:rFonts w:ascii="Arial" w:hAnsi="Arial" w:cs="Arial"/>
          <w:iCs/>
          <w:sz w:val="22"/>
          <w:szCs w:val="22"/>
        </w:rPr>
        <w:t xml:space="preserve"> NTC </w:t>
      </w:r>
      <w:r w:rsidR="00AD218E">
        <w:rPr>
          <w:rFonts w:ascii="Arial" w:hAnsi="Arial" w:cs="Arial"/>
          <w:iCs/>
          <w:sz w:val="22"/>
          <w:szCs w:val="22"/>
        </w:rPr>
        <w:t xml:space="preserve">in </w:t>
      </w:r>
      <w:r w:rsidR="00A2157A">
        <w:rPr>
          <w:rFonts w:ascii="Arial" w:hAnsi="Arial" w:cs="Arial"/>
          <w:iCs/>
          <w:sz w:val="22"/>
          <w:szCs w:val="22"/>
        </w:rPr>
        <w:t xml:space="preserve">option 1, </w:t>
      </w:r>
      <w:r>
        <w:rPr>
          <w:rFonts w:ascii="Arial" w:hAnsi="Arial" w:cs="Arial"/>
          <w:iCs/>
          <w:sz w:val="22"/>
          <w:szCs w:val="22"/>
        </w:rPr>
        <w:t>because the funds could be subject to economic as well as price regulation.</w:t>
      </w:r>
    </w:p>
    <w:p w:rsidR="00223D83" w:rsidRDefault="00223D83" w:rsidP="00571F8F">
      <w:pPr>
        <w:pStyle w:val="NormalWeb"/>
        <w:spacing w:before="0" w:beforeAutospacing="0" w:after="0" w:afterAutospacing="0"/>
        <w:rPr>
          <w:rFonts w:ascii="Arial" w:hAnsi="Arial" w:cs="Arial"/>
          <w:iCs/>
          <w:sz w:val="22"/>
          <w:szCs w:val="22"/>
        </w:rPr>
      </w:pPr>
    </w:p>
    <w:p w:rsidR="004C73AE" w:rsidRDefault="004C73AE" w:rsidP="00571F8F">
      <w:pPr>
        <w:pStyle w:val="NormalWeb"/>
        <w:spacing w:before="0" w:beforeAutospacing="0" w:after="0" w:afterAutospacing="0"/>
        <w:rPr>
          <w:rFonts w:ascii="Arial" w:hAnsi="Arial" w:cs="Arial"/>
          <w:iCs/>
          <w:sz w:val="22"/>
          <w:szCs w:val="22"/>
        </w:rPr>
      </w:pPr>
      <w:r>
        <w:rPr>
          <w:rFonts w:ascii="Arial" w:hAnsi="Arial" w:cs="Arial"/>
          <w:iCs/>
          <w:sz w:val="22"/>
          <w:szCs w:val="22"/>
        </w:rPr>
        <w:t xml:space="preserve">The discussion paper argues that the full benefits of ring fencing would only be fully realised if </w:t>
      </w:r>
      <w:r w:rsidR="007623C9">
        <w:rPr>
          <w:rFonts w:ascii="Arial" w:hAnsi="Arial" w:cs="Arial"/>
          <w:iCs/>
          <w:sz w:val="22"/>
          <w:szCs w:val="22"/>
        </w:rPr>
        <w:t xml:space="preserve">it </w:t>
      </w:r>
      <w:r>
        <w:rPr>
          <w:rFonts w:ascii="Arial" w:hAnsi="Arial" w:cs="Arial"/>
          <w:iCs/>
          <w:sz w:val="22"/>
          <w:szCs w:val="22"/>
        </w:rPr>
        <w:t>applied to both heavy and light vehicle revenues.</w:t>
      </w:r>
      <w:r>
        <w:rPr>
          <w:rStyle w:val="FootnoteReference"/>
          <w:rFonts w:ascii="Arial" w:hAnsi="Arial"/>
          <w:iCs/>
          <w:sz w:val="22"/>
          <w:szCs w:val="22"/>
        </w:rPr>
        <w:footnoteReference w:id="24"/>
      </w:r>
      <w:r>
        <w:rPr>
          <w:rFonts w:ascii="Arial" w:hAnsi="Arial" w:cs="Arial"/>
          <w:iCs/>
          <w:sz w:val="22"/>
          <w:szCs w:val="22"/>
        </w:rPr>
        <w:t xml:space="preserve"> The ATA agrees. Ring fenced heavy vehicle revenue would amount to </w:t>
      </w:r>
      <w:r w:rsidR="007E2522">
        <w:rPr>
          <w:rFonts w:ascii="Arial" w:hAnsi="Arial" w:cs="Arial"/>
          <w:iCs/>
          <w:sz w:val="22"/>
          <w:szCs w:val="22"/>
        </w:rPr>
        <w:t xml:space="preserve">only </w:t>
      </w:r>
      <w:r>
        <w:rPr>
          <w:rFonts w:ascii="Arial" w:hAnsi="Arial" w:cs="Arial"/>
          <w:iCs/>
          <w:sz w:val="22"/>
          <w:szCs w:val="22"/>
        </w:rPr>
        <w:t>19 per cent of governments’ expenditure on roads. Expenditure from the heavy vehicle fund</w:t>
      </w:r>
      <w:r w:rsidR="007623C9">
        <w:rPr>
          <w:rFonts w:ascii="Arial" w:hAnsi="Arial" w:cs="Arial"/>
          <w:iCs/>
          <w:sz w:val="22"/>
          <w:szCs w:val="22"/>
        </w:rPr>
        <w:t>s</w:t>
      </w:r>
      <w:r>
        <w:rPr>
          <w:rFonts w:ascii="Arial" w:hAnsi="Arial" w:cs="Arial"/>
          <w:iCs/>
          <w:sz w:val="22"/>
          <w:szCs w:val="22"/>
        </w:rPr>
        <w:t xml:space="preserve"> would disappear into the overall budgetary process.</w:t>
      </w:r>
    </w:p>
    <w:p w:rsidR="004C73AE" w:rsidRDefault="004C73AE" w:rsidP="00571F8F">
      <w:pPr>
        <w:pStyle w:val="NormalWeb"/>
        <w:spacing w:before="0" w:beforeAutospacing="0" w:after="0" w:afterAutospacing="0"/>
        <w:rPr>
          <w:rFonts w:ascii="Arial" w:hAnsi="Arial" w:cs="Arial"/>
          <w:iCs/>
          <w:sz w:val="22"/>
          <w:szCs w:val="22"/>
        </w:rPr>
      </w:pPr>
    </w:p>
    <w:p w:rsidR="007623C9" w:rsidRDefault="007623C9" w:rsidP="00571F8F">
      <w:pPr>
        <w:pStyle w:val="NormalWeb"/>
        <w:spacing w:before="0" w:beforeAutospacing="0" w:after="0" w:afterAutospacing="0"/>
        <w:rPr>
          <w:rFonts w:ascii="Arial" w:hAnsi="Arial" w:cs="Arial"/>
          <w:iCs/>
          <w:sz w:val="22"/>
          <w:szCs w:val="22"/>
        </w:rPr>
      </w:pPr>
      <w:r>
        <w:rPr>
          <w:rFonts w:ascii="Arial" w:hAnsi="Arial" w:cs="Arial"/>
          <w:iCs/>
          <w:sz w:val="22"/>
          <w:szCs w:val="22"/>
        </w:rPr>
        <w:t>Accordingly, ring fencing heavy vehicle revenue should only be considered if:</w:t>
      </w:r>
    </w:p>
    <w:p w:rsidR="007623C9" w:rsidRDefault="007623C9" w:rsidP="007623C9">
      <w:pPr>
        <w:pStyle w:val="NormalWeb"/>
        <w:spacing w:before="0" w:beforeAutospacing="0" w:after="0" w:afterAutospacing="0"/>
        <w:rPr>
          <w:rFonts w:ascii="Arial" w:hAnsi="Arial" w:cs="Arial"/>
          <w:iCs/>
          <w:sz w:val="22"/>
          <w:szCs w:val="22"/>
        </w:rPr>
      </w:pPr>
    </w:p>
    <w:p w:rsidR="007623C9" w:rsidRDefault="007623C9" w:rsidP="007623C9">
      <w:pPr>
        <w:pStyle w:val="NormalWeb"/>
        <w:numPr>
          <w:ilvl w:val="0"/>
          <w:numId w:val="45"/>
        </w:numPr>
        <w:spacing w:before="0" w:beforeAutospacing="0" w:after="0" w:afterAutospacing="0"/>
        <w:rPr>
          <w:rFonts w:ascii="Arial" w:hAnsi="Arial" w:cs="Arial"/>
          <w:iCs/>
          <w:sz w:val="22"/>
          <w:szCs w:val="22"/>
        </w:rPr>
      </w:pPr>
      <w:r>
        <w:rPr>
          <w:rFonts w:ascii="Arial" w:hAnsi="Arial" w:cs="Arial"/>
          <w:iCs/>
          <w:sz w:val="22"/>
          <w:szCs w:val="22"/>
        </w:rPr>
        <w:t xml:space="preserve">it would be part of a well-articulated plan to ring fence light vehicle revenue as well, possibly for part of the road system only. </w:t>
      </w:r>
      <w:r w:rsidR="0025341C">
        <w:rPr>
          <w:rFonts w:ascii="Arial" w:hAnsi="Arial" w:cs="Arial"/>
          <w:iCs/>
          <w:sz w:val="22"/>
          <w:szCs w:val="22"/>
        </w:rPr>
        <w:t>Highways England</w:t>
      </w:r>
      <w:r>
        <w:rPr>
          <w:rFonts w:ascii="Arial" w:hAnsi="Arial" w:cs="Arial"/>
          <w:iCs/>
          <w:sz w:val="22"/>
          <w:szCs w:val="22"/>
        </w:rPr>
        <w:t xml:space="preserve"> is an example of this approach</w:t>
      </w:r>
    </w:p>
    <w:p w:rsidR="007623C9" w:rsidRDefault="007623C9" w:rsidP="007623C9">
      <w:pPr>
        <w:pStyle w:val="NormalWeb"/>
        <w:numPr>
          <w:ilvl w:val="0"/>
          <w:numId w:val="45"/>
        </w:numPr>
        <w:spacing w:before="0" w:beforeAutospacing="0" w:after="0" w:afterAutospacing="0"/>
        <w:rPr>
          <w:rFonts w:ascii="Arial" w:hAnsi="Arial" w:cs="Arial"/>
          <w:iCs/>
          <w:sz w:val="22"/>
          <w:szCs w:val="22"/>
        </w:rPr>
      </w:pPr>
      <w:r>
        <w:rPr>
          <w:rFonts w:ascii="Arial" w:hAnsi="Arial" w:cs="Arial"/>
          <w:iCs/>
          <w:sz w:val="22"/>
          <w:szCs w:val="22"/>
        </w:rPr>
        <w:t>it would be necessary to support the other changes to PAYGO recommended in this submission, such as the introduction of unders and overs and better charge smoothing.</w:t>
      </w:r>
    </w:p>
    <w:p w:rsidR="007623C9" w:rsidRDefault="007623C9" w:rsidP="007623C9">
      <w:pPr>
        <w:pStyle w:val="NormalWeb"/>
        <w:spacing w:before="0" w:beforeAutospacing="0" w:after="0" w:afterAutospacing="0"/>
        <w:rPr>
          <w:rFonts w:ascii="Arial" w:hAnsi="Arial" w:cs="Arial"/>
          <w:iCs/>
          <w:sz w:val="22"/>
          <w:szCs w:val="22"/>
        </w:rPr>
      </w:pPr>
    </w:p>
    <w:p w:rsidR="004C73AE" w:rsidRDefault="004C73AE" w:rsidP="00571F8F">
      <w:pPr>
        <w:pStyle w:val="NormalWeb"/>
        <w:spacing w:before="0" w:beforeAutospacing="0" w:after="0" w:afterAutospacing="0"/>
        <w:rPr>
          <w:rFonts w:ascii="Arial" w:hAnsi="Arial" w:cs="Arial"/>
          <w:iCs/>
          <w:sz w:val="22"/>
          <w:szCs w:val="22"/>
        </w:rPr>
      </w:pPr>
    </w:p>
    <w:p w:rsidR="004C73AE" w:rsidRDefault="004C73AE" w:rsidP="00A76E3C">
      <w:pPr>
        <w:pStyle w:val="NormalWeb"/>
        <w:keepNext/>
        <w:spacing w:before="0" w:beforeAutospacing="0" w:after="0" w:afterAutospacing="0"/>
        <w:rPr>
          <w:rFonts w:ascii="Arial" w:hAnsi="Arial" w:cs="Arial"/>
          <w:b/>
          <w:iCs/>
          <w:sz w:val="22"/>
          <w:szCs w:val="22"/>
        </w:rPr>
      </w:pPr>
      <w:r w:rsidRPr="004C73AE">
        <w:rPr>
          <w:rFonts w:ascii="Arial" w:hAnsi="Arial" w:cs="Arial"/>
          <w:b/>
          <w:iCs/>
          <w:sz w:val="22"/>
          <w:szCs w:val="22"/>
        </w:rPr>
        <w:t>Recommen</w:t>
      </w:r>
      <w:r>
        <w:rPr>
          <w:rFonts w:ascii="Arial" w:hAnsi="Arial" w:cs="Arial"/>
          <w:b/>
          <w:iCs/>
          <w:sz w:val="22"/>
          <w:szCs w:val="22"/>
        </w:rPr>
        <w:t>dation</w:t>
      </w:r>
      <w:r w:rsidR="00B948CB">
        <w:rPr>
          <w:rFonts w:ascii="Arial" w:hAnsi="Arial" w:cs="Arial"/>
          <w:b/>
          <w:iCs/>
          <w:sz w:val="22"/>
          <w:szCs w:val="22"/>
        </w:rPr>
        <w:t xml:space="preserve"> 3</w:t>
      </w:r>
    </w:p>
    <w:p w:rsidR="004C73AE" w:rsidRDefault="004C73AE" w:rsidP="00A76E3C">
      <w:pPr>
        <w:pStyle w:val="NormalWeb"/>
        <w:keepNext/>
        <w:spacing w:before="0" w:beforeAutospacing="0" w:after="0" w:afterAutospacing="0"/>
        <w:rPr>
          <w:rFonts w:ascii="Arial" w:hAnsi="Arial" w:cs="Arial"/>
          <w:b/>
          <w:iCs/>
          <w:sz w:val="22"/>
          <w:szCs w:val="22"/>
        </w:rPr>
      </w:pPr>
    </w:p>
    <w:p w:rsidR="004C73AE" w:rsidRPr="004C73AE" w:rsidRDefault="004C73AE" w:rsidP="00A76E3C">
      <w:pPr>
        <w:pStyle w:val="NormalWeb"/>
        <w:keepNext/>
        <w:spacing w:before="0" w:beforeAutospacing="0" w:after="0" w:afterAutospacing="0"/>
        <w:rPr>
          <w:rFonts w:ascii="Arial" w:hAnsi="Arial" w:cs="Arial"/>
          <w:b/>
          <w:iCs/>
          <w:sz w:val="22"/>
          <w:szCs w:val="22"/>
        </w:rPr>
      </w:pPr>
      <w:r>
        <w:rPr>
          <w:rFonts w:ascii="Arial" w:hAnsi="Arial" w:cs="Arial"/>
          <w:b/>
          <w:iCs/>
          <w:sz w:val="22"/>
          <w:szCs w:val="22"/>
        </w:rPr>
        <w:t xml:space="preserve">Governments should establish independent road funds and hypothecate road-related revenue to them. </w:t>
      </w:r>
      <w:r w:rsidR="0066471C">
        <w:rPr>
          <w:rFonts w:ascii="Arial" w:hAnsi="Arial" w:cs="Arial"/>
          <w:b/>
          <w:iCs/>
          <w:sz w:val="22"/>
          <w:szCs w:val="22"/>
        </w:rPr>
        <w:t>Ring fencing heavy vehicle revenue should</w:t>
      </w:r>
      <w:r w:rsidR="00AD218E">
        <w:rPr>
          <w:rFonts w:ascii="Arial" w:hAnsi="Arial" w:cs="Arial"/>
          <w:b/>
          <w:iCs/>
          <w:sz w:val="22"/>
          <w:szCs w:val="22"/>
        </w:rPr>
        <w:t xml:space="preserve"> only be adopted as a step toward the establish</w:t>
      </w:r>
      <w:r w:rsidR="007623C9">
        <w:rPr>
          <w:rFonts w:ascii="Arial" w:hAnsi="Arial" w:cs="Arial"/>
          <w:b/>
          <w:iCs/>
          <w:sz w:val="22"/>
          <w:szCs w:val="22"/>
        </w:rPr>
        <w:t>ment of more general road funds, or if it is necessary to support the other recommendations in this submission.</w:t>
      </w:r>
    </w:p>
    <w:p w:rsidR="004C73AE" w:rsidRDefault="004C73AE" w:rsidP="00571F8F">
      <w:pPr>
        <w:pStyle w:val="NormalWeb"/>
        <w:spacing w:before="0" w:beforeAutospacing="0" w:after="0" w:afterAutospacing="0"/>
        <w:rPr>
          <w:rFonts w:ascii="Arial" w:hAnsi="Arial" w:cs="Arial"/>
          <w:iCs/>
          <w:sz w:val="22"/>
          <w:szCs w:val="22"/>
        </w:rPr>
      </w:pPr>
      <w:r>
        <w:rPr>
          <w:rFonts w:ascii="Arial" w:hAnsi="Arial" w:cs="Arial"/>
          <w:iCs/>
          <w:sz w:val="22"/>
          <w:szCs w:val="22"/>
        </w:rPr>
        <w:t xml:space="preserve"> </w:t>
      </w:r>
    </w:p>
    <w:p w:rsidR="0016025B" w:rsidRDefault="0016025B" w:rsidP="00571F8F">
      <w:pPr>
        <w:pStyle w:val="NormalWeb"/>
        <w:spacing w:before="0" w:beforeAutospacing="0" w:after="0" w:afterAutospacing="0"/>
        <w:rPr>
          <w:rFonts w:ascii="Arial" w:hAnsi="Arial" w:cs="Arial"/>
          <w:iCs/>
          <w:sz w:val="22"/>
          <w:szCs w:val="22"/>
        </w:rPr>
      </w:pPr>
    </w:p>
    <w:p w:rsidR="0016025B" w:rsidRPr="0016025B" w:rsidRDefault="0016025B" w:rsidP="0041457F">
      <w:pPr>
        <w:pStyle w:val="Heading2"/>
      </w:pPr>
      <w:bookmarkStart w:id="13" w:name="_Toc457400406"/>
      <w:r w:rsidRPr="0016025B">
        <w:t>NTC option 4: Introduce an unders and overs account</w:t>
      </w:r>
      <w:bookmarkEnd w:id="13"/>
    </w:p>
    <w:p w:rsidR="0016025B" w:rsidRDefault="0016025B" w:rsidP="00571F8F">
      <w:pPr>
        <w:pStyle w:val="NormalWeb"/>
        <w:spacing w:before="0" w:beforeAutospacing="0" w:after="0" w:afterAutospacing="0"/>
        <w:rPr>
          <w:rFonts w:ascii="Arial" w:hAnsi="Arial" w:cs="Arial"/>
          <w:iCs/>
          <w:sz w:val="22"/>
          <w:szCs w:val="22"/>
        </w:rPr>
      </w:pPr>
    </w:p>
    <w:p w:rsidR="00855FEE" w:rsidRDefault="002F5F21" w:rsidP="00571F8F">
      <w:pPr>
        <w:pStyle w:val="NormalWeb"/>
        <w:spacing w:before="0" w:beforeAutospacing="0" w:after="0" w:afterAutospacing="0"/>
        <w:rPr>
          <w:rFonts w:ascii="Arial" w:hAnsi="Arial" w:cs="Arial"/>
          <w:iCs/>
          <w:sz w:val="22"/>
          <w:szCs w:val="22"/>
        </w:rPr>
      </w:pPr>
      <w:r>
        <w:rPr>
          <w:rFonts w:ascii="Arial" w:hAnsi="Arial" w:cs="Arial"/>
          <w:iCs/>
          <w:sz w:val="22"/>
          <w:szCs w:val="22"/>
        </w:rPr>
        <w:t>Unders and over</w:t>
      </w:r>
      <w:r w:rsidR="007623C9">
        <w:rPr>
          <w:rFonts w:ascii="Arial" w:hAnsi="Arial" w:cs="Arial"/>
          <w:iCs/>
          <w:sz w:val="22"/>
          <w:szCs w:val="22"/>
        </w:rPr>
        <w:t>s</w:t>
      </w:r>
      <w:r>
        <w:rPr>
          <w:rFonts w:ascii="Arial" w:hAnsi="Arial" w:cs="Arial"/>
          <w:iCs/>
          <w:sz w:val="22"/>
          <w:szCs w:val="22"/>
        </w:rPr>
        <w:t xml:space="preserve"> accounts or carry forward mechanisms are a </w:t>
      </w:r>
      <w:r w:rsidR="00855FEE">
        <w:rPr>
          <w:rFonts w:ascii="Arial" w:hAnsi="Arial" w:cs="Arial"/>
          <w:iCs/>
          <w:sz w:val="22"/>
          <w:szCs w:val="22"/>
        </w:rPr>
        <w:t>well-established</w:t>
      </w:r>
      <w:r>
        <w:rPr>
          <w:rFonts w:ascii="Arial" w:hAnsi="Arial" w:cs="Arial"/>
          <w:iCs/>
          <w:sz w:val="22"/>
          <w:szCs w:val="22"/>
        </w:rPr>
        <w:t xml:space="preserve"> feature of </w:t>
      </w:r>
      <w:r w:rsidR="00613AF1">
        <w:rPr>
          <w:rFonts w:ascii="Arial" w:hAnsi="Arial" w:cs="Arial"/>
          <w:iCs/>
          <w:sz w:val="22"/>
          <w:szCs w:val="22"/>
        </w:rPr>
        <w:t>economic regulation.</w:t>
      </w:r>
      <w:r>
        <w:rPr>
          <w:rFonts w:ascii="Arial" w:hAnsi="Arial" w:cs="Arial"/>
          <w:iCs/>
          <w:sz w:val="22"/>
          <w:szCs w:val="22"/>
        </w:rPr>
        <w:t xml:space="preserve"> </w:t>
      </w:r>
    </w:p>
    <w:p w:rsidR="00C90D4F" w:rsidRDefault="00C90D4F" w:rsidP="00571F8F">
      <w:pPr>
        <w:pStyle w:val="NormalWeb"/>
        <w:spacing w:before="0" w:beforeAutospacing="0" w:after="0" w:afterAutospacing="0"/>
        <w:rPr>
          <w:rFonts w:ascii="Arial" w:hAnsi="Arial" w:cs="Arial"/>
          <w:iCs/>
          <w:sz w:val="22"/>
          <w:szCs w:val="22"/>
        </w:rPr>
      </w:pPr>
    </w:p>
    <w:p w:rsidR="002F5F21" w:rsidRDefault="004D5E7D" w:rsidP="00571F8F">
      <w:pPr>
        <w:pStyle w:val="NormalWeb"/>
        <w:spacing w:before="0" w:beforeAutospacing="0" w:after="0" w:afterAutospacing="0"/>
        <w:rPr>
          <w:rFonts w:ascii="Arial" w:hAnsi="Arial" w:cs="Arial"/>
          <w:iCs/>
          <w:sz w:val="22"/>
          <w:szCs w:val="22"/>
        </w:rPr>
      </w:pPr>
      <w:r>
        <w:rPr>
          <w:rFonts w:ascii="Arial" w:hAnsi="Arial" w:cs="Arial"/>
          <w:iCs/>
          <w:sz w:val="22"/>
          <w:szCs w:val="22"/>
        </w:rPr>
        <w:t>T</w:t>
      </w:r>
      <w:r w:rsidR="002744B1">
        <w:rPr>
          <w:rFonts w:ascii="Arial" w:hAnsi="Arial" w:cs="Arial"/>
          <w:iCs/>
          <w:sz w:val="22"/>
          <w:szCs w:val="22"/>
        </w:rPr>
        <w:t xml:space="preserve">he </w:t>
      </w:r>
      <w:r w:rsidR="002F5F21">
        <w:rPr>
          <w:rFonts w:ascii="Arial" w:hAnsi="Arial" w:cs="Arial"/>
          <w:iCs/>
          <w:sz w:val="22"/>
          <w:szCs w:val="22"/>
        </w:rPr>
        <w:t xml:space="preserve">ATA considers </w:t>
      </w:r>
      <w:r>
        <w:rPr>
          <w:rFonts w:ascii="Arial" w:hAnsi="Arial" w:cs="Arial"/>
          <w:iCs/>
          <w:sz w:val="22"/>
          <w:szCs w:val="22"/>
        </w:rPr>
        <w:t>that a limited</w:t>
      </w:r>
      <w:r w:rsidR="002744B1">
        <w:rPr>
          <w:rFonts w:ascii="Arial" w:hAnsi="Arial" w:cs="Arial"/>
          <w:iCs/>
          <w:sz w:val="22"/>
          <w:szCs w:val="22"/>
        </w:rPr>
        <w:t xml:space="preserve"> unders and overs mechanism sh</w:t>
      </w:r>
      <w:r w:rsidR="002F5F21">
        <w:rPr>
          <w:rFonts w:ascii="Arial" w:hAnsi="Arial" w:cs="Arial"/>
          <w:iCs/>
          <w:sz w:val="22"/>
          <w:szCs w:val="22"/>
        </w:rPr>
        <w:t>ould be added to the PAYGO model to address two issues:</w:t>
      </w:r>
    </w:p>
    <w:p w:rsidR="002F5F21" w:rsidRDefault="002F5F21" w:rsidP="00571F8F">
      <w:pPr>
        <w:pStyle w:val="NormalWeb"/>
        <w:spacing w:before="0" w:beforeAutospacing="0" w:after="0" w:afterAutospacing="0"/>
        <w:rPr>
          <w:rFonts w:ascii="Arial" w:hAnsi="Arial" w:cs="Arial"/>
          <w:iCs/>
          <w:sz w:val="22"/>
          <w:szCs w:val="22"/>
        </w:rPr>
      </w:pPr>
    </w:p>
    <w:p w:rsidR="002F5F21" w:rsidRDefault="002F5F21" w:rsidP="00855FEE">
      <w:pPr>
        <w:pStyle w:val="NormalWeb"/>
        <w:numPr>
          <w:ilvl w:val="0"/>
          <w:numId w:val="40"/>
        </w:numPr>
        <w:spacing w:before="0" w:beforeAutospacing="0" w:after="0" w:afterAutospacing="0"/>
        <w:rPr>
          <w:rFonts w:ascii="Arial" w:hAnsi="Arial" w:cs="Arial"/>
          <w:iCs/>
          <w:sz w:val="22"/>
          <w:szCs w:val="22"/>
        </w:rPr>
      </w:pPr>
      <w:r>
        <w:rPr>
          <w:rFonts w:ascii="Arial" w:hAnsi="Arial" w:cs="Arial"/>
          <w:iCs/>
          <w:sz w:val="22"/>
          <w:szCs w:val="22"/>
        </w:rPr>
        <w:t>forecasting errors resulting from the use of estimated</w:t>
      </w:r>
      <w:r w:rsidR="004D5E7D">
        <w:rPr>
          <w:rFonts w:ascii="Arial" w:hAnsi="Arial" w:cs="Arial"/>
          <w:iCs/>
          <w:sz w:val="22"/>
          <w:szCs w:val="22"/>
        </w:rPr>
        <w:t xml:space="preserve"> and forecast</w:t>
      </w:r>
      <w:r>
        <w:rPr>
          <w:rFonts w:ascii="Arial" w:hAnsi="Arial" w:cs="Arial"/>
          <w:iCs/>
          <w:sz w:val="22"/>
          <w:szCs w:val="22"/>
        </w:rPr>
        <w:t xml:space="preserve"> expenditure figures and</w:t>
      </w:r>
    </w:p>
    <w:p w:rsidR="00855FEE" w:rsidRDefault="00855FEE" w:rsidP="00855FEE">
      <w:pPr>
        <w:pStyle w:val="NormalWeb"/>
        <w:numPr>
          <w:ilvl w:val="0"/>
          <w:numId w:val="40"/>
        </w:numPr>
        <w:spacing w:before="0" w:beforeAutospacing="0" w:after="0" w:afterAutospacing="0"/>
        <w:rPr>
          <w:rFonts w:ascii="Arial" w:hAnsi="Arial" w:cs="Arial"/>
          <w:iCs/>
          <w:sz w:val="22"/>
          <w:szCs w:val="22"/>
        </w:rPr>
      </w:pPr>
      <w:r>
        <w:rPr>
          <w:rFonts w:ascii="Arial" w:hAnsi="Arial" w:cs="Arial"/>
          <w:iCs/>
          <w:sz w:val="22"/>
          <w:szCs w:val="22"/>
        </w:rPr>
        <w:t xml:space="preserve">governmental concerns about revenue loss due to </w:t>
      </w:r>
      <w:r w:rsidR="004D5E7D">
        <w:rPr>
          <w:rFonts w:ascii="Arial" w:hAnsi="Arial" w:cs="Arial"/>
          <w:iCs/>
          <w:sz w:val="22"/>
          <w:szCs w:val="22"/>
        </w:rPr>
        <w:t xml:space="preserve">smoothing the trajectory of </w:t>
      </w:r>
      <w:r w:rsidR="000A3E9F">
        <w:rPr>
          <w:rFonts w:ascii="Arial" w:hAnsi="Arial" w:cs="Arial"/>
          <w:iCs/>
          <w:sz w:val="22"/>
          <w:szCs w:val="22"/>
        </w:rPr>
        <w:t xml:space="preserve">the </w:t>
      </w:r>
      <w:r>
        <w:rPr>
          <w:rFonts w:ascii="Arial" w:hAnsi="Arial" w:cs="Arial"/>
          <w:iCs/>
          <w:sz w:val="22"/>
          <w:szCs w:val="22"/>
        </w:rPr>
        <w:t>road user or registration charges.</w:t>
      </w:r>
    </w:p>
    <w:p w:rsidR="004D5E7D" w:rsidRDefault="004D5E7D" w:rsidP="00571F8F">
      <w:pPr>
        <w:pStyle w:val="NormalWeb"/>
        <w:spacing w:before="0" w:beforeAutospacing="0" w:after="0" w:afterAutospacing="0"/>
        <w:rPr>
          <w:rFonts w:ascii="Arial" w:hAnsi="Arial" w:cs="Arial"/>
          <w:iCs/>
          <w:sz w:val="22"/>
          <w:szCs w:val="22"/>
        </w:rPr>
      </w:pPr>
    </w:p>
    <w:p w:rsidR="00855FEE" w:rsidRDefault="00855FEE" w:rsidP="00571F8F">
      <w:pPr>
        <w:pStyle w:val="NormalWeb"/>
        <w:spacing w:before="0" w:beforeAutospacing="0" w:after="0" w:afterAutospacing="0"/>
        <w:rPr>
          <w:rFonts w:ascii="Arial" w:hAnsi="Arial" w:cs="Arial"/>
          <w:iCs/>
          <w:sz w:val="22"/>
          <w:szCs w:val="22"/>
        </w:rPr>
      </w:pPr>
      <w:r>
        <w:rPr>
          <w:rFonts w:ascii="Arial" w:hAnsi="Arial" w:cs="Arial"/>
          <w:iCs/>
          <w:sz w:val="22"/>
          <w:szCs w:val="22"/>
        </w:rPr>
        <w:t>The NTC notes that the introduction of an unders and overs mechanism would require a decision about the interest rate to be applied to any carry forwards.</w:t>
      </w:r>
      <w:r w:rsidR="004D5E7D">
        <w:rPr>
          <w:rStyle w:val="FootnoteReference"/>
          <w:rFonts w:ascii="Arial" w:hAnsi="Arial"/>
          <w:iCs/>
          <w:sz w:val="22"/>
          <w:szCs w:val="22"/>
        </w:rPr>
        <w:footnoteReference w:id="25"/>
      </w:r>
      <w:r>
        <w:rPr>
          <w:rFonts w:ascii="Arial" w:hAnsi="Arial" w:cs="Arial"/>
          <w:iCs/>
          <w:sz w:val="22"/>
          <w:szCs w:val="22"/>
        </w:rPr>
        <w:t xml:space="preserve"> For simplicity, </w:t>
      </w:r>
      <w:r w:rsidR="004D5E7D">
        <w:rPr>
          <w:rFonts w:ascii="Arial" w:hAnsi="Arial" w:cs="Arial"/>
          <w:iCs/>
          <w:sz w:val="22"/>
          <w:szCs w:val="22"/>
        </w:rPr>
        <w:t xml:space="preserve">and to avoid contentious debates about setting the cost of capital (see above), </w:t>
      </w:r>
      <w:r>
        <w:rPr>
          <w:rFonts w:ascii="Arial" w:hAnsi="Arial" w:cs="Arial"/>
          <w:iCs/>
          <w:sz w:val="22"/>
          <w:szCs w:val="22"/>
        </w:rPr>
        <w:t>the ATA would recommend applying the 10 year Commonwealth bond rate.</w:t>
      </w:r>
    </w:p>
    <w:p w:rsidR="0016025B" w:rsidRDefault="0016025B" w:rsidP="002744B1">
      <w:pPr>
        <w:pStyle w:val="NormalWeb"/>
        <w:spacing w:before="0" w:beforeAutospacing="0" w:after="0" w:afterAutospacing="0"/>
        <w:rPr>
          <w:rFonts w:ascii="Arial" w:hAnsi="Arial" w:cs="Arial"/>
          <w:iCs/>
          <w:sz w:val="22"/>
          <w:szCs w:val="22"/>
        </w:rPr>
      </w:pPr>
    </w:p>
    <w:p w:rsidR="002744B1" w:rsidRDefault="002744B1" w:rsidP="002744B1">
      <w:pPr>
        <w:pStyle w:val="NormalWeb"/>
        <w:spacing w:before="0" w:beforeAutospacing="0" w:after="0" w:afterAutospacing="0"/>
        <w:rPr>
          <w:rFonts w:ascii="Arial" w:hAnsi="Arial" w:cs="Arial"/>
          <w:iCs/>
          <w:sz w:val="22"/>
          <w:szCs w:val="22"/>
        </w:rPr>
      </w:pPr>
    </w:p>
    <w:p w:rsidR="002744B1" w:rsidRPr="003C4FCE" w:rsidRDefault="002744B1" w:rsidP="005C1437">
      <w:pPr>
        <w:pStyle w:val="NormalWeb"/>
        <w:keepNext/>
        <w:spacing w:before="0" w:beforeAutospacing="0" w:after="0" w:afterAutospacing="0"/>
        <w:rPr>
          <w:rFonts w:ascii="Arial" w:hAnsi="Arial" w:cs="Arial"/>
          <w:b/>
          <w:iCs/>
          <w:sz w:val="22"/>
          <w:szCs w:val="22"/>
        </w:rPr>
      </w:pPr>
      <w:r w:rsidRPr="003C4FCE">
        <w:rPr>
          <w:rFonts w:ascii="Arial" w:hAnsi="Arial" w:cs="Arial"/>
          <w:b/>
          <w:iCs/>
          <w:sz w:val="22"/>
          <w:szCs w:val="22"/>
        </w:rPr>
        <w:t>Recommendation</w:t>
      </w:r>
      <w:r w:rsidR="00B948CB">
        <w:rPr>
          <w:rFonts w:ascii="Arial" w:hAnsi="Arial" w:cs="Arial"/>
          <w:b/>
          <w:iCs/>
          <w:sz w:val="22"/>
          <w:szCs w:val="22"/>
        </w:rPr>
        <w:t xml:space="preserve"> 4</w:t>
      </w:r>
    </w:p>
    <w:p w:rsidR="002744B1" w:rsidRPr="003C4FCE" w:rsidRDefault="002744B1" w:rsidP="005C1437">
      <w:pPr>
        <w:pStyle w:val="NormalWeb"/>
        <w:keepNext/>
        <w:spacing w:before="0" w:beforeAutospacing="0" w:after="0" w:afterAutospacing="0"/>
        <w:rPr>
          <w:rFonts w:ascii="Arial" w:hAnsi="Arial" w:cs="Arial"/>
          <w:b/>
          <w:iCs/>
          <w:sz w:val="22"/>
          <w:szCs w:val="22"/>
        </w:rPr>
      </w:pPr>
    </w:p>
    <w:p w:rsidR="002744B1" w:rsidRPr="003C4FCE" w:rsidRDefault="002744B1" w:rsidP="005C1437">
      <w:pPr>
        <w:pStyle w:val="NormalWeb"/>
        <w:keepNext/>
        <w:spacing w:before="0" w:beforeAutospacing="0" w:after="0" w:afterAutospacing="0"/>
        <w:rPr>
          <w:rFonts w:ascii="Arial" w:hAnsi="Arial" w:cs="Arial"/>
          <w:b/>
          <w:iCs/>
          <w:sz w:val="22"/>
          <w:szCs w:val="22"/>
        </w:rPr>
      </w:pPr>
      <w:r w:rsidRPr="003C4FCE">
        <w:rPr>
          <w:rFonts w:ascii="Arial" w:hAnsi="Arial" w:cs="Arial"/>
          <w:b/>
          <w:iCs/>
          <w:sz w:val="22"/>
          <w:szCs w:val="22"/>
        </w:rPr>
        <w:t>The NTC should investigate including an unders and overs mechanism in PAYGO to address:</w:t>
      </w:r>
    </w:p>
    <w:p w:rsidR="002744B1" w:rsidRPr="003C4FCE" w:rsidRDefault="002744B1" w:rsidP="002744B1">
      <w:pPr>
        <w:pStyle w:val="NormalWeb"/>
        <w:spacing w:before="0" w:beforeAutospacing="0" w:after="0" w:afterAutospacing="0"/>
        <w:rPr>
          <w:rFonts w:ascii="Arial" w:hAnsi="Arial" w:cs="Arial"/>
          <w:b/>
          <w:iCs/>
          <w:sz w:val="22"/>
          <w:szCs w:val="22"/>
        </w:rPr>
      </w:pPr>
    </w:p>
    <w:p w:rsidR="002744B1" w:rsidRPr="003C4FCE" w:rsidRDefault="002744B1" w:rsidP="002744B1">
      <w:pPr>
        <w:pStyle w:val="NormalWeb"/>
        <w:numPr>
          <w:ilvl w:val="0"/>
          <w:numId w:val="40"/>
        </w:numPr>
        <w:spacing w:before="0" w:beforeAutospacing="0" w:after="0" w:afterAutospacing="0"/>
        <w:rPr>
          <w:rFonts w:ascii="Arial" w:hAnsi="Arial" w:cs="Arial"/>
          <w:b/>
          <w:iCs/>
          <w:sz w:val="22"/>
          <w:szCs w:val="22"/>
        </w:rPr>
      </w:pPr>
      <w:r w:rsidRPr="003C4FCE">
        <w:rPr>
          <w:rFonts w:ascii="Arial" w:hAnsi="Arial" w:cs="Arial"/>
          <w:b/>
          <w:iCs/>
          <w:sz w:val="22"/>
          <w:szCs w:val="22"/>
        </w:rPr>
        <w:t xml:space="preserve">forecasting errors resulting from the use of estimated </w:t>
      </w:r>
      <w:r w:rsidR="000A3E9F">
        <w:rPr>
          <w:rFonts w:ascii="Arial" w:hAnsi="Arial" w:cs="Arial"/>
          <w:b/>
          <w:iCs/>
          <w:sz w:val="22"/>
          <w:szCs w:val="22"/>
        </w:rPr>
        <w:t xml:space="preserve">and forecast </w:t>
      </w:r>
      <w:r w:rsidRPr="003C4FCE">
        <w:rPr>
          <w:rFonts w:ascii="Arial" w:hAnsi="Arial" w:cs="Arial"/>
          <w:b/>
          <w:iCs/>
          <w:sz w:val="22"/>
          <w:szCs w:val="22"/>
        </w:rPr>
        <w:t>expenditure figures and</w:t>
      </w:r>
    </w:p>
    <w:p w:rsidR="002744B1" w:rsidRPr="003C4FCE" w:rsidRDefault="002744B1" w:rsidP="002744B1">
      <w:pPr>
        <w:pStyle w:val="NormalWeb"/>
        <w:numPr>
          <w:ilvl w:val="0"/>
          <w:numId w:val="40"/>
        </w:numPr>
        <w:spacing w:before="0" w:beforeAutospacing="0" w:after="0" w:afterAutospacing="0"/>
        <w:rPr>
          <w:rFonts w:ascii="Arial" w:hAnsi="Arial" w:cs="Arial"/>
          <w:b/>
          <w:iCs/>
          <w:sz w:val="22"/>
          <w:szCs w:val="22"/>
        </w:rPr>
      </w:pPr>
      <w:r w:rsidRPr="003C4FCE">
        <w:rPr>
          <w:rFonts w:ascii="Arial" w:hAnsi="Arial" w:cs="Arial"/>
          <w:b/>
          <w:iCs/>
          <w:sz w:val="22"/>
          <w:szCs w:val="22"/>
        </w:rPr>
        <w:t xml:space="preserve">smoothing </w:t>
      </w:r>
      <w:r w:rsidR="000A3E9F">
        <w:rPr>
          <w:rFonts w:ascii="Arial" w:hAnsi="Arial" w:cs="Arial"/>
          <w:b/>
          <w:iCs/>
          <w:sz w:val="22"/>
          <w:szCs w:val="22"/>
        </w:rPr>
        <w:t>the trajectory of</w:t>
      </w:r>
      <w:r w:rsidRPr="003C4FCE">
        <w:rPr>
          <w:rFonts w:ascii="Arial" w:hAnsi="Arial" w:cs="Arial"/>
          <w:b/>
          <w:iCs/>
          <w:sz w:val="22"/>
          <w:szCs w:val="22"/>
        </w:rPr>
        <w:t xml:space="preserve"> the road user or registration charges.</w:t>
      </w:r>
    </w:p>
    <w:p w:rsidR="0016025B" w:rsidRDefault="0016025B" w:rsidP="00571F8F">
      <w:pPr>
        <w:pStyle w:val="NormalWeb"/>
        <w:spacing w:before="0" w:beforeAutospacing="0" w:after="0" w:afterAutospacing="0"/>
        <w:rPr>
          <w:rFonts w:ascii="Arial" w:hAnsi="Arial" w:cs="Arial"/>
          <w:iCs/>
          <w:sz w:val="22"/>
          <w:szCs w:val="22"/>
        </w:rPr>
      </w:pPr>
    </w:p>
    <w:p w:rsidR="00223D83" w:rsidRDefault="00223D83" w:rsidP="00571F8F">
      <w:pPr>
        <w:pStyle w:val="NormalWeb"/>
        <w:spacing w:before="0" w:beforeAutospacing="0" w:after="0" w:afterAutospacing="0"/>
        <w:rPr>
          <w:rFonts w:ascii="Arial" w:hAnsi="Arial" w:cs="Arial"/>
          <w:iCs/>
          <w:sz w:val="22"/>
          <w:szCs w:val="22"/>
        </w:rPr>
      </w:pPr>
    </w:p>
    <w:p w:rsidR="00223D83" w:rsidRPr="00223D83" w:rsidRDefault="00223D83" w:rsidP="003C4FCE">
      <w:pPr>
        <w:pStyle w:val="Heading2"/>
        <w:keepNext/>
      </w:pPr>
      <w:bookmarkStart w:id="14" w:name="_Toc457400407"/>
      <w:r w:rsidRPr="00223D83">
        <w:lastRenderedPageBreak/>
        <w:t>NTC option 9: Independent price regulation</w:t>
      </w:r>
      <w:bookmarkEnd w:id="14"/>
    </w:p>
    <w:p w:rsidR="00223D83" w:rsidRPr="00C07345" w:rsidRDefault="00223D83" w:rsidP="003C4FCE">
      <w:pPr>
        <w:keepNext/>
        <w:rPr>
          <w:rFonts w:ascii="Arial" w:eastAsia="Times New Roman" w:hAnsi="Arial" w:cs="Arial"/>
        </w:rPr>
      </w:pPr>
    </w:p>
    <w:p w:rsidR="00C148D7" w:rsidRPr="00C148D7" w:rsidRDefault="00C148D7" w:rsidP="003C4FCE">
      <w:pPr>
        <w:pStyle w:val="NormalWeb"/>
        <w:keepNext/>
        <w:spacing w:before="0" w:beforeAutospacing="0" w:after="0" w:afterAutospacing="0"/>
        <w:rPr>
          <w:rFonts w:ascii="Arial" w:eastAsiaTheme="minorHAnsi" w:hAnsi="Arial" w:cs="Arial"/>
          <w:sz w:val="22"/>
          <w:szCs w:val="22"/>
        </w:rPr>
      </w:pPr>
      <w:r w:rsidRPr="00C148D7">
        <w:rPr>
          <w:rFonts w:ascii="Arial" w:hAnsi="Arial" w:cs="Arial"/>
          <w:sz w:val="22"/>
          <w:szCs w:val="22"/>
          <w:lang w:eastAsia="en-US"/>
        </w:rPr>
        <w:t xml:space="preserve">The </w:t>
      </w:r>
      <w:r w:rsidR="006A246F">
        <w:rPr>
          <w:rFonts w:ascii="Arial" w:hAnsi="Arial" w:cs="Arial"/>
          <w:sz w:val="22"/>
          <w:szCs w:val="22"/>
          <w:lang w:eastAsia="en-US"/>
        </w:rPr>
        <w:t xml:space="preserve">ATA supports the </w:t>
      </w:r>
      <w:r w:rsidRPr="00C148D7">
        <w:rPr>
          <w:rFonts w:ascii="Arial" w:hAnsi="Arial" w:cs="Arial"/>
          <w:sz w:val="22"/>
          <w:szCs w:val="22"/>
          <w:lang w:eastAsia="en-US"/>
        </w:rPr>
        <w:t>Australian Government</w:t>
      </w:r>
      <w:r w:rsidR="006A246F">
        <w:rPr>
          <w:rFonts w:ascii="Arial" w:hAnsi="Arial" w:cs="Arial"/>
          <w:sz w:val="22"/>
          <w:szCs w:val="22"/>
          <w:lang w:eastAsia="en-US"/>
        </w:rPr>
        <w:t>’s</w:t>
      </w:r>
      <w:r w:rsidRPr="00C148D7">
        <w:rPr>
          <w:rFonts w:ascii="Arial" w:hAnsi="Arial" w:cs="Arial"/>
          <w:sz w:val="22"/>
          <w:szCs w:val="22"/>
          <w:lang w:eastAsia="en-US"/>
        </w:rPr>
        <w:t xml:space="preserve"> </w:t>
      </w:r>
      <w:r w:rsidRPr="00C148D7">
        <w:rPr>
          <w:rFonts w:ascii="Arial" w:eastAsiaTheme="minorHAnsi" w:hAnsi="Arial" w:cs="Arial"/>
          <w:sz w:val="22"/>
          <w:szCs w:val="22"/>
        </w:rPr>
        <w:t>plan to transition to independent heavy vehicle price regulation by 2017-18.</w:t>
      </w:r>
      <w:r w:rsidR="0067606A">
        <w:rPr>
          <w:rFonts w:ascii="Arial" w:eastAsiaTheme="minorHAnsi" w:hAnsi="Arial" w:cs="Arial"/>
          <w:sz w:val="22"/>
          <w:szCs w:val="22"/>
        </w:rPr>
        <w:t xml:space="preserve"> </w:t>
      </w:r>
    </w:p>
    <w:p w:rsidR="00C148D7" w:rsidRPr="00C148D7" w:rsidRDefault="00C148D7" w:rsidP="00223D83">
      <w:pPr>
        <w:pStyle w:val="NormalWeb"/>
        <w:spacing w:before="0" w:beforeAutospacing="0" w:after="0" w:afterAutospacing="0"/>
        <w:rPr>
          <w:rFonts w:ascii="Arial" w:eastAsiaTheme="minorHAnsi" w:hAnsi="Arial" w:cs="Arial"/>
          <w:sz w:val="22"/>
          <w:szCs w:val="22"/>
        </w:rPr>
      </w:pPr>
    </w:p>
    <w:p w:rsidR="00C148D7" w:rsidRDefault="00C148D7" w:rsidP="00223D83">
      <w:pPr>
        <w:pStyle w:val="NormalWeb"/>
        <w:spacing w:before="0" w:beforeAutospacing="0" w:after="0" w:afterAutospacing="0"/>
        <w:rPr>
          <w:rFonts w:ascii="Arial" w:hAnsi="Arial" w:cs="Arial"/>
          <w:sz w:val="22"/>
          <w:szCs w:val="22"/>
          <w:lang w:eastAsia="en-US"/>
        </w:rPr>
      </w:pPr>
      <w:r>
        <w:rPr>
          <w:rFonts w:ascii="Arial" w:hAnsi="Arial" w:cs="Arial"/>
          <w:sz w:val="22"/>
          <w:szCs w:val="22"/>
          <w:lang w:eastAsia="en-US"/>
        </w:rPr>
        <w:t xml:space="preserve">Given </w:t>
      </w:r>
      <w:r w:rsidR="0067606A">
        <w:rPr>
          <w:rFonts w:ascii="Arial" w:hAnsi="Arial" w:cs="Arial"/>
          <w:sz w:val="22"/>
          <w:szCs w:val="22"/>
          <w:lang w:eastAsia="en-US"/>
        </w:rPr>
        <w:t xml:space="preserve">the tight </w:t>
      </w:r>
      <w:r>
        <w:rPr>
          <w:rFonts w:ascii="Arial" w:hAnsi="Arial" w:cs="Arial"/>
          <w:sz w:val="22"/>
          <w:szCs w:val="22"/>
          <w:lang w:eastAsia="en-US"/>
        </w:rPr>
        <w:t>timeframe</w:t>
      </w:r>
      <w:r w:rsidR="0067606A">
        <w:rPr>
          <w:rFonts w:ascii="Arial" w:hAnsi="Arial" w:cs="Arial"/>
          <w:sz w:val="22"/>
          <w:szCs w:val="22"/>
          <w:lang w:eastAsia="en-US"/>
        </w:rPr>
        <w:t xml:space="preserve"> proposed by the Government</w:t>
      </w:r>
      <w:r>
        <w:rPr>
          <w:rFonts w:ascii="Arial" w:hAnsi="Arial" w:cs="Arial"/>
          <w:sz w:val="22"/>
          <w:szCs w:val="22"/>
          <w:lang w:eastAsia="en-US"/>
        </w:rPr>
        <w:t xml:space="preserve">, the ATA </w:t>
      </w:r>
      <w:r w:rsidR="0067606A">
        <w:rPr>
          <w:rFonts w:ascii="Arial" w:hAnsi="Arial" w:cs="Arial"/>
          <w:sz w:val="22"/>
          <w:szCs w:val="22"/>
          <w:lang w:eastAsia="en-US"/>
        </w:rPr>
        <w:t xml:space="preserve">considers </w:t>
      </w:r>
      <w:r>
        <w:rPr>
          <w:rFonts w:ascii="Arial" w:hAnsi="Arial" w:cs="Arial"/>
          <w:sz w:val="22"/>
          <w:szCs w:val="22"/>
          <w:lang w:eastAsia="en-US"/>
        </w:rPr>
        <w:t xml:space="preserve">the NTC should have initial responsibility for price regulation, on the basis of the regulatory </w:t>
      </w:r>
      <w:r w:rsidR="000106D7">
        <w:rPr>
          <w:rFonts w:ascii="Arial" w:hAnsi="Arial" w:cs="Arial"/>
          <w:sz w:val="22"/>
          <w:szCs w:val="22"/>
          <w:lang w:eastAsia="en-US"/>
        </w:rPr>
        <w:t xml:space="preserve">architecture set out in table </w:t>
      </w:r>
      <w:r w:rsidR="00D64864">
        <w:rPr>
          <w:rFonts w:ascii="Arial" w:hAnsi="Arial" w:cs="Arial"/>
          <w:sz w:val="22"/>
          <w:szCs w:val="22"/>
          <w:lang w:eastAsia="en-US"/>
        </w:rPr>
        <w:t>3</w:t>
      </w:r>
      <w:r>
        <w:rPr>
          <w:rFonts w:ascii="Arial" w:hAnsi="Arial" w:cs="Arial"/>
          <w:sz w:val="22"/>
          <w:szCs w:val="22"/>
          <w:lang w:eastAsia="en-US"/>
        </w:rPr>
        <w:t>. Legislation would be required at Commonwealth level and in all the states intending to adopt national registration charges.</w:t>
      </w:r>
    </w:p>
    <w:p w:rsidR="00C148D7" w:rsidRDefault="00C148D7" w:rsidP="00223D83">
      <w:pPr>
        <w:pStyle w:val="NormalWeb"/>
        <w:spacing w:before="0" w:beforeAutospacing="0" w:after="0" w:afterAutospacing="0"/>
        <w:rPr>
          <w:rFonts w:ascii="Arial" w:hAnsi="Arial" w:cs="Arial"/>
          <w:sz w:val="22"/>
          <w:szCs w:val="22"/>
          <w:lang w:eastAsia="en-US"/>
        </w:rPr>
      </w:pPr>
    </w:p>
    <w:p w:rsidR="009E5B19" w:rsidRDefault="009E5B19" w:rsidP="00223D83">
      <w:pPr>
        <w:pStyle w:val="NormalWeb"/>
        <w:spacing w:before="0" w:beforeAutospacing="0" w:after="0" w:afterAutospacing="0"/>
        <w:rPr>
          <w:rFonts w:ascii="Arial" w:hAnsi="Arial" w:cs="Arial"/>
          <w:sz w:val="22"/>
          <w:szCs w:val="22"/>
          <w:lang w:eastAsia="en-US"/>
        </w:rPr>
      </w:pPr>
    </w:p>
    <w:tbl>
      <w:tblPr>
        <w:tblStyle w:val="TableGrid"/>
        <w:tblW w:w="0" w:type="auto"/>
        <w:tblCellMar>
          <w:bottom w:w="108" w:type="dxa"/>
        </w:tblCellMar>
        <w:tblLook w:val="04A0" w:firstRow="1" w:lastRow="0" w:firstColumn="1" w:lastColumn="0" w:noHBand="0" w:noVBand="1"/>
      </w:tblPr>
      <w:tblGrid>
        <w:gridCol w:w="3397"/>
        <w:gridCol w:w="6231"/>
      </w:tblGrid>
      <w:tr w:rsidR="00AF713F" w:rsidTr="00AF713F">
        <w:tc>
          <w:tcPr>
            <w:tcW w:w="9628" w:type="dxa"/>
            <w:gridSpan w:val="2"/>
            <w:tcBorders>
              <w:top w:val="nil"/>
              <w:left w:val="nil"/>
              <w:bottom w:val="single" w:sz="4" w:space="0" w:color="auto"/>
              <w:right w:val="nil"/>
            </w:tcBorders>
          </w:tcPr>
          <w:p w:rsidR="00AF713F" w:rsidRPr="00AF713F" w:rsidRDefault="004F047C" w:rsidP="00223D83">
            <w:pPr>
              <w:pStyle w:val="NormalWeb"/>
              <w:spacing w:before="0" w:beforeAutospacing="0" w:after="0" w:afterAutospacing="0"/>
              <w:rPr>
                <w:rFonts w:ascii="Arial" w:hAnsi="Arial" w:cs="Arial"/>
                <w:b/>
                <w:sz w:val="20"/>
                <w:szCs w:val="20"/>
                <w:lang w:eastAsia="en-US"/>
              </w:rPr>
            </w:pPr>
            <w:r>
              <w:rPr>
                <w:rFonts w:ascii="Arial" w:hAnsi="Arial" w:cs="Arial"/>
                <w:b/>
                <w:sz w:val="20"/>
                <w:szCs w:val="20"/>
                <w:lang w:eastAsia="en-US"/>
              </w:rPr>
              <w:t>Table 3</w:t>
            </w:r>
            <w:r w:rsidR="000A3E9F">
              <w:rPr>
                <w:rFonts w:ascii="Arial" w:hAnsi="Arial" w:cs="Arial"/>
                <w:b/>
                <w:sz w:val="20"/>
                <w:szCs w:val="20"/>
                <w:lang w:eastAsia="en-US"/>
              </w:rPr>
              <w:t>: P</w:t>
            </w:r>
            <w:r w:rsidR="00AF713F">
              <w:rPr>
                <w:rFonts w:ascii="Arial" w:hAnsi="Arial" w:cs="Arial"/>
                <w:b/>
                <w:sz w:val="20"/>
                <w:szCs w:val="20"/>
                <w:lang w:eastAsia="en-US"/>
              </w:rPr>
              <w:t>ossible architecture for independent price regulation</w:t>
            </w:r>
          </w:p>
        </w:tc>
      </w:tr>
      <w:tr w:rsidR="003B20EE" w:rsidTr="00AF713F">
        <w:tc>
          <w:tcPr>
            <w:tcW w:w="3397" w:type="dxa"/>
            <w:tcBorders>
              <w:top w:val="single" w:sz="4" w:space="0" w:color="auto"/>
              <w:left w:val="nil"/>
              <w:bottom w:val="nil"/>
              <w:right w:val="nil"/>
            </w:tcBorders>
          </w:tcPr>
          <w:p w:rsidR="003B20EE" w:rsidRPr="009E5B19" w:rsidRDefault="009E5B19" w:rsidP="00223D83">
            <w:pPr>
              <w:pStyle w:val="NormalWeb"/>
              <w:spacing w:before="0" w:beforeAutospacing="0" w:after="0" w:afterAutospacing="0"/>
              <w:rPr>
                <w:rFonts w:ascii="Arial" w:hAnsi="Arial" w:cs="Arial"/>
                <w:sz w:val="20"/>
                <w:szCs w:val="20"/>
                <w:lang w:eastAsia="en-US"/>
              </w:rPr>
            </w:pPr>
            <w:r w:rsidRPr="009E5B19">
              <w:rPr>
                <w:rFonts w:ascii="Arial" w:hAnsi="Arial" w:cs="Arial"/>
                <w:sz w:val="20"/>
                <w:szCs w:val="20"/>
                <w:lang w:eastAsia="en-US"/>
              </w:rPr>
              <w:t>Overarching legislation</w:t>
            </w:r>
          </w:p>
        </w:tc>
        <w:tc>
          <w:tcPr>
            <w:tcW w:w="6231" w:type="dxa"/>
            <w:tcBorders>
              <w:top w:val="single" w:sz="4" w:space="0" w:color="auto"/>
              <w:left w:val="nil"/>
              <w:bottom w:val="nil"/>
              <w:right w:val="nil"/>
            </w:tcBorders>
          </w:tcPr>
          <w:p w:rsidR="003B20EE" w:rsidRDefault="009E5B19" w:rsidP="00223D83">
            <w:pPr>
              <w:pStyle w:val="NormalWeb"/>
              <w:spacing w:before="0" w:beforeAutospacing="0" w:after="0" w:afterAutospacing="0"/>
              <w:rPr>
                <w:rFonts w:ascii="Arial" w:hAnsi="Arial" w:cs="Arial"/>
                <w:sz w:val="20"/>
                <w:szCs w:val="20"/>
                <w:lang w:eastAsia="en-US"/>
              </w:rPr>
            </w:pPr>
            <w:r w:rsidRPr="009E5B19">
              <w:rPr>
                <w:rFonts w:ascii="Arial" w:hAnsi="Arial" w:cs="Arial"/>
                <w:i/>
                <w:sz w:val="20"/>
                <w:szCs w:val="20"/>
                <w:lang w:eastAsia="en-US"/>
              </w:rPr>
              <w:t>National Transport Commission Act</w:t>
            </w:r>
            <w:r w:rsidR="007A668F">
              <w:rPr>
                <w:rFonts w:ascii="Arial" w:hAnsi="Arial" w:cs="Arial"/>
                <w:i/>
                <w:sz w:val="20"/>
                <w:szCs w:val="20"/>
                <w:lang w:eastAsia="en-US"/>
              </w:rPr>
              <w:t xml:space="preserve"> 2003, </w:t>
            </w:r>
            <w:r>
              <w:rPr>
                <w:rFonts w:ascii="Arial" w:hAnsi="Arial" w:cs="Arial"/>
                <w:sz w:val="20"/>
                <w:szCs w:val="20"/>
                <w:lang w:eastAsia="en-US"/>
              </w:rPr>
              <w:t>amended to:</w:t>
            </w:r>
          </w:p>
          <w:p w:rsidR="009E5B19" w:rsidRDefault="009E5B19" w:rsidP="00223D83">
            <w:pPr>
              <w:pStyle w:val="NormalWeb"/>
              <w:spacing w:before="0" w:beforeAutospacing="0" w:after="0" w:afterAutospacing="0"/>
              <w:rPr>
                <w:rFonts w:ascii="Arial" w:hAnsi="Arial" w:cs="Arial"/>
                <w:sz w:val="20"/>
                <w:szCs w:val="20"/>
                <w:lang w:eastAsia="en-US"/>
              </w:rPr>
            </w:pPr>
          </w:p>
          <w:p w:rsidR="009E5B19" w:rsidRDefault="00531E13" w:rsidP="00017DEC">
            <w:pPr>
              <w:pStyle w:val="NormalWeb"/>
              <w:numPr>
                <w:ilvl w:val="0"/>
                <w:numId w:val="36"/>
              </w:numPr>
              <w:spacing w:before="0" w:beforeAutospacing="0" w:after="0" w:afterAutospacing="0"/>
              <w:rPr>
                <w:rFonts w:ascii="Arial" w:hAnsi="Arial" w:cs="Arial"/>
                <w:sz w:val="20"/>
                <w:szCs w:val="20"/>
                <w:lang w:eastAsia="en-US"/>
              </w:rPr>
            </w:pPr>
            <w:r>
              <w:rPr>
                <w:rFonts w:ascii="Arial" w:hAnsi="Arial" w:cs="Arial"/>
                <w:sz w:val="20"/>
                <w:szCs w:val="20"/>
                <w:lang w:eastAsia="en-US"/>
              </w:rPr>
              <w:t>e</w:t>
            </w:r>
            <w:r w:rsidR="009E5B19">
              <w:rPr>
                <w:rFonts w:ascii="Arial" w:hAnsi="Arial" w:cs="Arial"/>
                <w:sz w:val="20"/>
                <w:szCs w:val="20"/>
                <w:lang w:eastAsia="en-US"/>
              </w:rPr>
              <w:t xml:space="preserve">mpower the NTC to </w:t>
            </w:r>
            <w:r w:rsidR="00017DEC">
              <w:rPr>
                <w:rFonts w:ascii="Arial" w:hAnsi="Arial" w:cs="Arial"/>
                <w:sz w:val="20"/>
                <w:szCs w:val="20"/>
                <w:lang w:eastAsia="en-US"/>
              </w:rPr>
              <w:t>make</w:t>
            </w:r>
            <w:r w:rsidR="009E5B19">
              <w:rPr>
                <w:rFonts w:ascii="Arial" w:hAnsi="Arial" w:cs="Arial"/>
                <w:sz w:val="20"/>
                <w:szCs w:val="20"/>
                <w:lang w:eastAsia="en-US"/>
              </w:rPr>
              <w:t xml:space="preserve"> </w:t>
            </w:r>
            <w:r w:rsidR="00017DEC">
              <w:rPr>
                <w:rFonts w:ascii="Arial" w:hAnsi="Arial" w:cs="Arial"/>
                <w:sz w:val="20"/>
                <w:szCs w:val="20"/>
                <w:lang w:eastAsia="en-US"/>
              </w:rPr>
              <w:t>pricing determinations</w:t>
            </w:r>
          </w:p>
          <w:p w:rsidR="009E5B19" w:rsidRDefault="00531E13" w:rsidP="00017DEC">
            <w:pPr>
              <w:pStyle w:val="NormalWeb"/>
              <w:numPr>
                <w:ilvl w:val="0"/>
                <w:numId w:val="36"/>
              </w:numPr>
              <w:spacing w:before="0" w:beforeAutospacing="0" w:after="0" w:afterAutospacing="0"/>
              <w:rPr>
                <w:rFonts w:ascii="Arial" w:hAnsi="Arial" w:cs="Arial"/>
                <w:sz w:val="20"/>
                <w:szCs w:val="20"/>
                <w:lang w:eastAsia="en-US"/>
              </w:rPr>
            </w:pPr>
            <w:r>
              <w:rPr>
                <w:rFonts w:ascii="Arial" w:hAnsi="Arial" w:cs="Arial"/>
                <w:sz w:val="20"/>
                <w:szCs w:val="20"/>
                <w:lang w:eastAsia="en-US"/>
              </w:rPr>
              <w:t>e</w:t>
            </w:r>
            <w:r w:rsidR="009E5B19">
              <w:rPr>
                <w:rFonts w:ascii="Arial" w:hAnsi="Arial" w:cs="Arial"/>
                <w:sz w:val="20"/>
                <w:szCs w:val="20"/>
                <w:lang w:eastAsia="en-US"/>
              </w:rPr>
              <w:t xml:space="preserve">nable the ministerial council to </w:t>
            </w:r>
            <w:r w:rsidR="00017DEC">
              <w:rPr>
                <w:rFonts w:ascii="Arial" w:hAnsi="Arial" w:cs="Arial"/>
                <w:sz w:val="20"/>
                <w:szCs w:val="20"/>
                <w:lang w:eastAsia="en-US"/>
              </w:rPr>
              <w:t xml:space="preserve">making </w:t>
            </w:r>
            <w:r w:rsidR="009E5B19">
              <w:rPr>
                <w:rFonts w:ascii="Arial" w:hAnsi="Arial" w:cs="Arial"/>
                <w:sz w:val="20"/>
                <w:szCs w:val="20"/>
                <w:lang w:eastAsia="en-US"/>
              </w:rPr>
              <w:t xml:space="preserve">legally binding pricing rules, </w:t>
            </w:r>
            <w:r w:rsidR="00017DEC">
              <w:rPr>
                <w:rFonts w:ascii="Arial" w:hAnsi="Arial" w:cs="Arial"/>
                <w:sz w:val="20"/>
                <w:szCs w:val="20"/>
                <w:lang w:eastAsia="en-US"/>
              </w:rPr>
              <w:t>in accordance with legislated pricing and consultation principles</w:t>
            </w:r>
            <w:r w:rsidR="00DE3464">
              <w:rPr>
                <w:rFonts w:ascii="Arial" w:hAnsi="Arial" w:cs="Arial"/>
                <w:sz w:val="20"/>
                <w:szCs w:val="20"/>
                <w:lang w:eastAsia="en-US"/>
              </w:rPr>
              <w:t>. The legislated principles would need to provide that the goal of the price regulation system is to recover costs (including opportunity costs as appropriate) not to generate a profit for governments</w:t>
            </w:r>
          </w:p>
          <w:p w:rsidR="00DE3464" w:rsidRDefault="00DE3464" w:rsidP="00017DEC">
            <w:pPr>
              <w:pStyle w:val="NormalWeb"/>
              <w:numPr>
                <w:ilvl w:val="0"/>
                <w:numId w:val="36"/>
              </w:numPr>
              <w:spacing w:before="0" w:beforeAutospacing="0" w:after="0" w:afterAutospacing="0"/>
              <w:rPr>
                <w:rFonts w:ascii="Arial" w:hAnsi="Arial" w:cs="Arial"/>
                <w:sz w:val="20"/>
                <w:szCs w:val="20"/>
                <w:lang w:eastAsia="en-US"/>
              </w:rPr>
            </w:pPr>
            <w:r>
              <w:rPr>
                <w:rFonts w:ascii="Arial" w:hAnsi="Arial" w:cs="Arial"/>
                <w:sz w:val="20"/>
                <w:szCs w:val="20"/>
                <w:lang w:eastAsia="en-US"/>
              </w:rPr>
              <w:t>make it clear that the ministerial council does not have the power to override or review NTC pricing determinations</w:t>
            </w:r>
          </w:p>
          <w:p w:rsidR="009E5B19" w:rsidRPr="009E5B19" w:rsidRDefault="00531E13" w:rsidP="00017DEC">
            <w:pPr>
              <w:pStyle w:val="NormalWeb"/>
              <w:numPr>
                <w:ilvl w:val="0"/>
                <w:numId w:val="36"/>
              </w:numPr>
              <w:spacing w:before="0" w:beforeAutospacing="0" w:after="0" w:afterAutospacing="0"/>
              <w:rPr>
                <w:rFonts w:ascii="Arial" w:hAnsi="Arial" w:cs="Arial"/>
                <w:sz w:val="20"/>
                <w:szCs w:val="20"/>
                <w:lang w:eastAsia="en-US"/>
              </w:rPr>
            </w:pPr>
            <w:r>
              <w:rPr>
                <w:rFonts w:ascii="Arial" w:hAnsi="Arial" w:cs="Arial"/>
                <w:sz w:val="20"/>
                <w:szCs w:val="20"/>
                <w:lang w:eastAsia="en-US"/>
              </w:rPr>
              <w:t>e</w:t>
            </w:r>
            <w:r w:rsidR="008F1949">
              <w:rPr>
                <w:rFonts w:ascii="Arial" w:hAnsi="Arial" w:cs="Arial"/>
                <w:sz w:val="20"/>
                <w:szCs w:val="20"/>
                <w:lang w:eastAsia="en-US"/>
              </w:rPr>
              <w:t xml:space="preserve">stablish appeal </w:t>
            </w:r>
            <w:r w:rsidR="00017DEC">
              <w:rPr>
                <w:rFonts w:ascii="Arial" w:hAnsi="Arial" w:cs="Arial"/>
                <w:sz w:val="20"/>
                <w:szCs w:val="20"/>
                <w:lang w:eastAsia="en-US"/>
              </w:rPr>
              <w:t xml:space="preserve">rights, including merits-based appeals to </w:t>
            </w:r>
            <w:r w:rsidR="008F1949">
              <w:rPr>
                <w:rFonts w:ascii="Arial" w:hAnsi="Arial" w:cs="Arial"/>
                <w:sz w:val="20"/>
                <w:szCs w:val="20"/>
                <w:lang w:eastAsia="en-US"/>
              </w:rPr>
              <w:t xml:space="preserve">the </w:t>
            </w:r>
            <w:r w:rsidR="008F1949" w:rsidRPr="008F1949">
              <w:rPr>
                <w:rFonts w:ascii="Arial" w:hAnsi="Arial" w:cs="Arial"/>
                <w:sz w:val="20"/>
                <w:szCs w:val="20"/>
                <w:lang w:eastAsia="en-US"/>
              </w:rPr>
              <w:t>Australian Competition Tribunal.</w:t>
            </w:r>
          </w:p>
        </w:tc>
      </w:tr>
      <w:tr w:rsidR="003B20EE" w:rsidTr="00AF713F">
        <w:tc>
          <w:tcPr>
            <w:tcW w:w="3397" w:type="dxa"/>
            <w:tcBorders>
              <w:top w:val="nil"/>
              <w:left w:val="nil"/>
              <w:bottom w:val="nil"/>
              <w:right w:val="nil"/>
            </w:tcBorders>
          </w:tcPr>
          <w:p w:rsidR="003B20EE" w:rsidRPr="009E5B19" w:rsidRDefault="009E5B19" w:rsidP="00223D83">
            <w:pPr>
              <w:pStyle w:val="NormalWeb"/>
              <w:spacing w:before="0" w:beforeAutospacing="0" w:after="0" w:afterAutospacing="0"/>
              <w:rPr>
                <w:rFonts w:ascii="Arial" w:hAnsi="Arial" w:cs="Arial"/>
                <w:sz w:val="20"/>
                <w:szCs w:val="20"/>
                <w:lang w:eastAsia="en-US"/>
              </w:rPr>
            </w:pPr>
            <w:r w:rsidRPr="009E5B19">
              <w:rPr>
                <w:rFonts w:ascii="Arial" w:hAnsi="Arial" w:cs="Arial"/>
                <w:sz w:val="20"/>
                <w:szCs w:val="20"/>
                <w:lang w:eastAsia="en-US"/>
              </w:rPr>
              <w:t>Pricing rules</w:t>
            </w:r>
          </w:p>
        </w:tc>
        <w:tc>
          <w:tcPr>
            <w:tcW w:w="6231" w:type="dxa"/>
            <w:tcBorders>
              <w:top w:val="nil"/>
              <w:left w:val="nil"/>
              <w:bottom w:val="nil"/>
              <w:right w:val="nil"/>
            </w:tcBorders>
          </w:tcPr>
          <w:p w:rsidR="009E5B19" w:rsidRPr="009E5B19" w:rsidRDefault="007A668F" w:rsidP="007A668F">
            <w:pPr>
              <w:pStyle w:val="NormalWeb"/>
              <w:spacing w:before="0" w:beforeAutospacing="0" w:after="0" w:afterAutospacing="0"/>
              <w:rPr>
                <w:rFonts w:ascii="Arial" w:hAnsi="Arial" w:cs="Arial"/>
                <w:sz w:val="20"/>
                <w:szCs w:val="20"/>
                <w:lang w:eastAsia="en-US"/>
              </w:rPr>
            </w:pPr>
            <w:r>
              <w:rPr>
                <w:rFonts w:ascii="Arial" w:hAnsi="Arial" w:cs="Arial"/>
                <w:sz w:val="20"/>
                <w:szCs w:val="20"/>
                <w:lang w:eastAsia="en-US"/>
              </w:rPr>
              <w:t>P</w:t>
            </w:r>
            <w:r w:rsidR="009E5B19">
              <w:rPr>
                <w:rFonts w:ascii="Arial" w:hAnsi="Arial" w:cs="Arial"/>
                <w:sz w:val="20"/>
                <w:szCs w:val="20"/>
                <w:lang w:eastAsia="en-US"/>
              </w:rPr>
              <w:t xml:space="preserve">ricing rules </w:t>
            </w:r>
            <w:r w:rsidR="00017DEC">
              <w:rPr>
                <w:rFonts w:ascii="Arial" w:hAnsi="Arial" w:cs="Arial"/>
                <w:sz w:val="20"/>
                <w:szCs w:val="20"/>
                <w:lang w:eastAsia="en-US"/>
              </w:rPr>
              <w:t xml:space="preserve">under the Act would set out a step by step process for making pricing determinations. </w:t>
            </w:r>
            <w:r w:rsidR="009E5B19">
              <w:rPr>
                <w:rFonts w:ascii="Arial" w:hAnsi="Arial" w:cs="Arial"/>
                <w:sz w:val="20"/>
                <w:szCs w:val="20"/>
                <w:lang w:eastAsia="en-US"/>
              </w:rPr>
              <w:t xml:space="preserve">The rules would </w:t>
            </w:r>
            <w:r w:rsidR="00017DEC">
              <w:rPr>
                <w:rFonts w:ascii="Arial" w:hAnsi="Arial" w:cs="Arial"/>
                <w:sz w:val="20"/>
                <w:szCs w:val="20"/>
                <w:lang w:eastAsia="en-US"/>
              </w:rPr>
              <w:t xml:space="preserve">have the force of the law and </w:t>
            </w:r>
            <w:r w:rsidR="009E5B19">
              <w:rPr>
                <w:rFonts w:ascii="Arial" w:hAnsi="Arial" w:cs="Arial"/>
                <w:sz w:val="20"/>
                <w:szCs w:val="20"/>
                <w:lang w:eastAsia="en-US"/>
              </w:rPr>
              <w:t xml:space="preserve">would bind the NTC. </w:t>
            </w:r>
          </w:p>
        </w:tc>
      </w:tr>
      <w:tr w:rsidR="003B20EE" w:rsidTr="00AF713F">
        <w:tc>
          <w:tcPr>
            <w:tcW w:w="3397" w:type="dxa"/>
            <w:tcBorders>
              <w:top w:val="nil"/>
              <w:left w:val="nil"/>
              <w:bottom w:val="nil"/>
              <w:right w:val="nil"/>
            </w:tcBorders>
          </w:tcPr>
          <w:p w:rsidR="003B20EE" w:rsidRDefault="00017DEC" w:rsidP="00223D83">
            <w:pPr>
              <w:pStyle w:val="NormalWeb"/>
              <w:spacing w:before="0" w:beforeAutospacing="0" w:after="0" w:afterAutospacing="0"/>
              <w:rPr>
                <w:rFonts w:ascii="Arial" w:hAnsi="Arial" w:cs="Arial"/>
                <w:sz w:val="20"/>
                <w:szCs w:val="20"/>
                <w:lang w:eastAsia="en-US"/>
              </w:rPr>
            </w:pPr>
            <w:r>
              <w:rPr>
                <w:rFonts w:ascii="Arial" w:hAnsi="Arial" w:cs="Arial"/>
                <w:sz w:val="20"/>
                <w:szCs w:val="20"/>
                <w:lang w:eastAsia="en-US"/>
              </w:rPr>
              <w:t>P</w:t>
            </w:r>
            <w:r w:rsidR="009E5B19" w:rsidRPr="009E5B19">
              <w:rPr>
                <w:rFonts w:ascii="Arial" w:hAnsi="Arial" w:cs="Arial"/>
                <w:sz w:val="20"/>
                <w:szCs w:val="20"/>
                <w:lang w:eastAsia="en-US"/>
              </w:rPr>
              <w:t>ricing guidelines</w:t>
            </w:r>
          </w:p>
          <w:p w:rsidR="009E5B19" w:rsidRPr="009E5B19" w:rsidRDefault="009E5B19" w:rsidP="00223D83">
            <w:pPr>
              <w:pStyle w:val="NormalWeb"/>
              <w:spacing w:before="0" w:beforeAutospacing="0" w:after="0" w:afterAutospacing="0"/>
              <w:rPr>
                <w:rFonts w:ascii="Arial" w:hAnsi="Arial" w:cs="Arial"/>
                <w:sz w:val="20"/>
                <w:szCs w:val="20"/>
                <w:lang w:eastAsia="en-US"/>
              </w:rPr>
            </w:pPr>
          </w:p>
        </w:tc>
        <w:tc>
          <w:tcPr>
            <w:tcW w:w="6231" w:type="dxa"/>
            <w:tcBorders>
              <w:top w:val="nil"/>
              <w:left w:val="nil"/>
              <w:bottom w:val="nil"/>
              <w:right w:val="nil"/>
            </w:tcBorders>
          </w:tcPr>
          <w:p w:rsidR="003B20EE" w:rsidRPr="00017DEC" w:rsidRDefault="00017DEC" w:rsidP="00CA10E7">
            <w:pPr>
              <w:pStyle w:val="NormalWeb"/>
              <w:spacing w:before="0" w:beforeAutospacing="0" w:after="0" w:afterAutospacing="0"/>
              <w:rPr>
                <w:rFonts w:ascii="Arial" w:hAnsi="Arial" w:cs="Arial"/>
                <w:sz w:val="20"/>
                <w:szCs w:val="20"/>
                <w:lang w:eastAsia="en-US"/>
              </w:rPr>
            </w:pPr>
            <w:r>
              <w:rPr>
                <w:rFonts w:ascii="Arial" w:hAnsi="Arial" w:cs="Arial"/>
                <w:sz w:val="20"/>
                <w:szCs w:val="20"/>
                <w:lang w:eastAsia="en-US"/>
              </w:rPr>
              <w:t xml:space="preserve">The NTC </w:t>
            </w:r>
            <w:r w:rsidR="00BA05FC">
              <w:rPr>
                <w:rFonts w:ascii="Arial" w:hAnsi="Arial" w:cs="Arial"/>
                <w:sz w:val="20"/>
                <w:szCs w:val="20"/>
                <w:lang w:eastAsia="en-US"/>
              </w:rPr>
              <w:t xml:space="preserve">would be able to </w:t>
            </w:r>
            <w:r>
              <w:rPr>
                <w:rFonts w:ascii="Arial" w:hAnsi="Arial" w:cs="Arial"/>
                <w:sz w:val="20"/>
                <w:szCs w:val="20"/>
                <w:lang w:eastAsia="en-US"/>
              </w:rPr>
              <w:t>make guidelines</w:t>
            </w:r>
            <w:r w:rsidR="00BA05FC">
              <w:rPr>
                <w:rFonts w:ascii="Arial" w:hAnsi="Arial" w:cs="Arial"/>
                <w:sz w:val="20"/>
                <w:szCs w:val="20"/>
                <w:lang w:eastAsia="en-US"/>
              </w:rPr>
              <w:t xml:space="preserve"> under the rules</w:t>
            </w:r>
            <w:r>
              <w:rPr>
                <w:rFonts w:ascii="Arial" w:hAnsi="Arial" w:cs="Arial"/>
                <w:sz w:val="20"/>
                <w:szCs w:val="20"/>
                <w:lang w:eastAsia="en-US"/>
              </w:rPr>
              <w:t xml:space="preserve">, such as guidelines for </w:t>
            </w:r>
            <w:r w:rsidR="00BA05FC">
              <w:rPr>
                <w:rFonts w:ascii="Arial" w:hAnsi="Arial" w:cs="Arial"/>
                <w:sz w:val="20"/>
                <w:szCs w:val="20"/>
                <w:lang w:eastAsia="en-US"/>
              </w:rPr>
              <w:t xml:space="preserve">jurisdictional </w:t>
            </w:r>
            <w:r>
              <w:rPr>
                <w:rFonts w:ascii="Arial" w:hAnsi="Arial" w:cs="Arial"/>
                <w:sz w:val="20"/>
                <w:szCs w:val="20"/>
                <w:lang w:eastAsia="en-US"/>
              </w:rPr>
              <w:t xml:space="preserve">expenditure </w:t>
            </w:r>
            <w:r w:rsidR="00BA05FC">
              <w:rPr>
                <w:rFonts w:ascii="Arial" w:hAnsi="Arial" w:cs="Arial"/>
                <w:sz w:val="20"/>
                <w:szCs w:val="20"/>
                <w:lang w:eastAsia="en-US"/>
              </w:rPr>
              <w:t>reporting</w:t>
            </w:r>
            <w:r>
              <w:rPr>
                <w:rFonts w:ascii="Arial" w:hAnsi="Arial" w:cs="Arial"/>
                <w:sz w:val="20"/>
                <w:szCs w:val="20"/>
                <w:lang w:eastAsia="en-US"/>
              </w:rPr>
              <w:t>.</w:t>
            </w:r>
          </w:p>
        </w:tc>
      </w:tr>
      <w:tr w:rsidR="003B20EE" w:rsidTr="00AF713F">
        <w:tc>
          <w:tcPr>
            <w:tcW w:w="3397" w:type="dxa"/>
            <w:tcBorders>
              <w:top w:val="nil"/>
              <w:left w:val="nil"/>
              <w:bottom w:val="nil"/>
              <w:right w:val="nil"/>
            </w:tcBorders>
          </w:tcPr>
          <w:p w:rsidR="003B20EE" w:rsidRPr="009E5B19" w:rsidRDefault="009E5B19" w:rsidP="00223D83">
            <w:pPr>
              <w:pStyle w:val="NormalWeb"/>
              <w:spacing w:before="0" w:beforeAutospacing="0" w:after="0" w:afterAutospacing="0"/>
              <w:rPr>
                <w:rFonts w:ascii="Arial" w:hAnsi="Arial" w:cs="Arial"/>
                <w:sz w:val="20"/>
                <w:szCs w:val="20"/>
                <w:lang w:eastAsia="en-US"/>
              </w:rPr>
            </w:pPr>
            <w:r>
              <w:rPr>
                <w:rFonts w:ascii="Arial" w:hAnsi="Arial" w:cs="Arial"/>
                <w:sz w:val="20"/>
                <w:szCs w:val="20"/>
                <w:lang w:eastAsia="en-US"/>
              </w:rPr>
              <w:t>Setting the road user charge</w:t>
            </w:r>
          </w:p>
        </w:tc>
        <w:tc>
          <w:tcPr>
            <w:tcW w:w="6231" w:type="dxa"/>
            <w:tcBorders>
              <w:top w:val="nil"/>
              <w:left w:val="nil"/>
              <w:bottom w:val="nil"/>
              <w:right w:val="nil"/>
            </w:tcBorders>
          </w:tcPr>
          <w:p w:rsidR="0091179F" w:rsidRPr="009E5B19" w:rsidRDefault="009E5B19" w:rsidP="0091179F">
            <w:pPr>
              <w:pStyle w:val="NormalWeb"/>
              <w:spacing w:before="0" w:beforeAutospacing="0" w:after="0" w:afterAutospacing="0"/>
              <w:rPr>
                <w:rFonts w:ascii="Arial" w:hAnsi="Arial" w:cs="Arial"/>
                <w:sz w:val="20"/>
                <w:szCs w:val="20"/>
                <w:lang w:eastAsia="en-US"/>
              </w:rPr>
            </w:pPr>
            <w:r>
              <w:rPr>
                <w:rFonts w:ascii="Arial" w:hAnsi="Arial" w:cs="Arial"/>
                <w:sz w:val="20"/>
                <w:szCs w:val="20"/>
                <w:lang w:eastAsia="en-US"/>
              </w:rPr>
              <w:t xml:space="preserve">Section </w:t>
            </w:r>
            <w:r w:rsidR="00017DEC">
              <w:rPr>
                <w:rFonts w:ascii="Arial" w:hAnsi="Arial" w:cs="Arial"/>
                <w:sz w:val="20"/>
                <w:szCs w:val="20"/>
                <w:lang w:eastAsia="en-US"/>
              </w:rPr>
              <w:t>43-10</w:t>
            </w:r>
            <w:r>
              <w:rPr>
                <w:rFonts w:ascii="Arial" w:hAnsi="Arial" w:cs="Arial"/>
                <w:sz w:val="20"/>
                <w:szCs w:val="20"/>
                <w:lang w:eastAsia="en-US"/>
              </w:rPr>
              <w:t xml:space="preserve"> of the </w:t>
            </w:r>
            <w:r w:rsidRPr="00017DEC">
              <w:rPr>
                <w:rFonts w:ascii="Arial" w:hAnsi="Arial" w:cs="Arial"/>
                <w:i/>
                <w:sz w:val="20"/>
                <w:szCs w:val="20"/>
                <w:lang w:eastAsia="en-US"/>
              </w:rPr>
              <w:t xml:space="preserve">Fuel Tax Act </w:t>
            </w:r>
            <w:r w:rsidR="00017DEC" w:rsidRPr="00017DEC">
              <w:rPr>
                <w:rFonts w:ascii="Arial" w:hAnsi="Arial" w:cs="Arial"/>
                <w:i/>
                <w:sz w:val="20"/>
                <w:szCs w:val="20"/>
                <w:lang w:eastAsia="en-US"/>
              </w:rPr>
              <w:t>2006</w:t>
            </w:r>
            <w:r w:rsidR="00017DEC">
              <w:rPr>
                <w:rFonts w:ascii="Arial" w:hAnsi="Arial" w:cs="Arial"/>
                <w:sz w:val="20"/>
                <w:szCs w:val="20"/>
                <w:lang w:eastAsia="en-US"/>
              </w:rPr>
              <w:t xml:space="preserve"> (Cth) </w:t>
            </w:r>
            <w:r>
              <w:rPr>
                <w:rFonts w:ascii="Arial" w:hAnsi="Arial" w:cs="Arial"/>
                <w:sz w:val="20"/>
                <w:szCs w:val="20"/>
                <w:lang w:eastAsia="en-US"/>
              </w:rPr>
              <w:t xml:space="preserve">would be amended to enable the NTC to </w:t>
            </w:r>
            <w:r w:rsidR="0091179F">
              <w:rPr>
                <w:rFonts w:ascii="Arial" w:hAnsi="Arial" w:cs="Arial"/>
                <w:sz w:val="20"/>
                <w:szCs w:val="20"/>
                <w:lang w:eastAsia="en-US"/>
              </w:rPr>
              <w:t xml:space="preserve">determine </w:t>
            </w:r>
            <w:r w:rsidR="00017DEC">
              <w:rPr>
                <w:rFonts w:ascii="Arial" w:hAnsi="Arial" w:cs="Arial"/>
                <w:sz w:val="20"/>
                <w:szCs w:val="20"/>
                <w:lang w:eastAsia="en-US"/>
              </w:rPr>
              <w:t xml:space="preserve">the road user charge, rather than the responsible minister. </w:t>
            </w:r>
            <w:r w:rsidR="007A668F">
              <w:rPr>
                <w:rFonts w:ascii="Arial" w:hAnsi="Arial" w:cs="Arial"/>
                <w:sz w:val="20"/>
                <w:szCs w:val="20"/>
                <w:lang w:eastAsia="en-US"/>
              </w:rPr>
              <w:t xml:space="preserve">The consultation provisions could be removed; however, ss </w:t>
            </w:r>
            <w:r w:rsidR="00017DEC">
              <w:rPr>
                <w:rFonts w:ascii="Arial" w:hAnsi="Arial" w:cs="Arial"/>
                <w:sz w:val="20"/>
                <w:szCs w:val="20"/>
                <w:lang w:eastAsia="en-US"/>
              </w:rPr>
              <w:t>43-10(11A) and 43-10(12) should be retained.</w:t>
            </w:r>
          </w:p>
        </w:tc>
      </w:tr>
      <w:tr w:rsidR="003B20EE" w:rsidTr="00956C65">
        <w:tc>
          <w:tcPr>
            <w:tcW w:w="3397" w:type="dxa"/>
            <w:tcBorders>
              <w:top w:val="nil"/>
              <w:left w:val="nil"/>
              <w:bottom w:val="nil"/>
              <w:right w:val="nil"/>
            </w:tcBorders>
          </w:tcPr>
          <w:p w:rsidR="003B20EE" w:rsidRPr="0091179F" w:rsidRDefault="0091179F" w:rsidP="00223D83">
            <w:pPr>
              <w:pStyle w:val="NormalWeb"/>
              <w:spacing w:before="0" w:beforeAutospacing="0" w:after="0" w:afterAutospacing="0"/>
              <w:rPr>
                <w:rFonts w:ascii="Arial" w:hAnsi="Arial" w:cs="Arial"/>
                <w:sz w:val="20"/>
                <w:szCs w:val="20"/>
                <w:lang w:eastAsia="en-US"/>
              </w:rPr>
            </w:pPr>
            <w:r w:rsidRPr="0091179F">
              <w:rPr>
                <w:rFonts w:ascii="Arial" w:hAnsi="Arial" w:cs="Arial"/>
                <w:sz w:val="20"/>
                <w:szCs w:val="20"/>
                <w:lang w:eastAsia="en-US"/>
              </w:rPr>
              <w:t>Setting registration charges</w:t>
            </w:r>
          </w:p>
        </w:tc>
        <w:tc>
          <w:tcPr>
            <w:tcW w:w="6231" w:type="dxa"/>
            <w:tcBorders>
              <w:top w:val="nil"/>
              <w:left w:val="nil"/>
              <w:bottom w:val="nil"/>
              <w:right w:val="nil"/>
            </w:tcBorders>
          </w:tcPr>
          <w:p w:rsidR="0091179F" w:rsidRPr="0091179F" w:rsidRDefault="006626DC" w:rsidP="0091179F">
            <w:pPr>
              <w:pStyle w:val="NormalWeb"/>
              <w:spacing w:before="0" w:beforeAutospacing="0" w:after="0" w:afterAutospacing="0"/>
              <w:rPr>
                <w:rFonts w:ascii="Arial" w:hAnsi="Arial" w:cs="Arial"/>
                <w:sz w:val="20"/>
                <w:szCs w:val="20"/>
                <w:lang w:eastAsia="en-US"/>
              </w:rPr>
            </w:pPr>
            <w:r>
              <w:rPr>
                <w:rFonts w:ascii="Arial" w:hAnsi="Arial" w:cs="Arial"/>
                <w:sz w:val="20"/>
                <w:szCs w:val="20"/>
                <w:lang w:eastAsia="en-US"/>
              </w:rPr>
              <w:t>The Heavy Vehicle Charges Model Law and the law</w:t>
            </w:r>
            <w:r w:rsidR="00E16F39">
              <w:rPr>
                <w:rFonts w:ascii="Arial" w:hAnsi="Arial" w:cs="Arial"/>
                <w:sz w:val="20"/>
                <w:szCs w:val="20"/>
                <w:lang w:eastAsia="en-US"/>
              </w:rPr>
              <w:t>s</w:t>
            </w:r>
            <w:r>
              <w:rPr>
                <w:rFonts w:ascii="Arial" w:hAnsi="Arial" w:cs="Arial"/>
                <w:sz w:val="20"/>
                <w:szCs w:val="20"/>
                <w:lang w:eastAsia="en-US"/>
              </w:rPr>
              <w:t xml:space="preserve"> of participating jurisdictions </w:t>
            </w:r>
            <w:r w:rsidR="00956C65">
              <w:rPr>
                <w:rFonts w:ascii="Arial" w:hAnsi="Arial" w:cs="Arial"/>
                <w:sz w:val="20"/>
                <w:szCs w:val="20"/>
                <w:lang w:eastAsia="en-US"/>
              </w:rPr>
              <w:t xml:space="preserve">(including the </w:t>
            </w:r>
            <w:r w:rsidR="00956C65" w:rsidRPr="00956C65">
              <w:rPr>
                <w:rFonts w:ascii="Arial" w:hAnsi="Arial" w:cs="Arial"/>
                <w:i/>
                <w:sz w:val="20"/>
                <w:szCs w:val="20"/>
                <w:lang w:eastAsia="en-US"/>
              </w:rPr>
              <w:t xml:space="preserve">Interstate Road Transport </w:t>
            </w:r>
            <w:r w:rsidR="007A668F">
              <w:rPr>
                <w:rFonts w:ascii="Arial" w:hAnsi="Arial" w:cs="Arial"/>
                <w:i/>
                <w:sz w:val="20"/>
                <w:szCs w:val="20"/>
                <w:lang w:eastAsia="en-US"/>
              </w:rPr>
              <w:t>Charges Regulations 2009</w:t>
            </w:r>
            <w:r w:rsidR="00956C65">
              <w:rPr>
                <w:rFonts w:ascii="Arial" w:hAnsi="Arial" w:cs="Arial"/>
                <w:sz w:val="20"/>
                <w:szCs w:val="20"/>
                <w:lang w:eastAsia="en-US"/>
              </w:rPr>
              <w:t xml:space="preserve">) </w:t>
            </w:r>
            <w:r>
              <w:rPr>
                <w:rFonts w:ascii="Arial" w:hAnsi="Arial" w:cs="Arial"/>
                <w:sz w:val="20"/>
                <w:szCs w:val="20"/>
                <w:lang w:eastAsia="en-US"/>
              </w:rPr>
              <w:t xml:space="preserve">would be amended to </w:t>
            </w:r>
            <w:r w:rsidR="0091179F">
              <w:rPr>
                <w:rFonts w:ascii="Arial" w:hAnsi="Arial" w:cs="Arial"/>
                <w:sz w:val="20"/>
                <w:szCs w:val="20"/>
                <w:lang w:eastAsia="en-US"/>
              </w:rPr>
              <w:t>enable the NTC to</w:t>
            </w:r>
            <w:r>
              <w:rPr>
                <w:rFonts w:ascii="Arial" w:hAnsi="Arial" w:cs="Arial"/>
                <w:sz w:val="20"/>
                <w:szCs w:val="20"/>
                <w:lang w:eastAsia="en-US"/>
              </w:rPr>
              <w:t xml:space="preserve"> determine registration charges, instead of the ministerial council.</w:t>
            </w:r>
          </w:p>
        </w:tc>
      </w:tr>
      <w:tr w:rsidR="003B20EE" w:rsidTr="00956C65">
        <w:tc>
          <w:tcPr>
            <w:tcW w:w="3397" w:type="dxa"/>
            <w:tcBorders>
              <w:top w:val="nil"/>
              <w:left w:val="nil"/>
              <w:bottom w:val="single" w:sz="4" w:space="0" w:color="auto"/>
              <w:right w:val="nil"/>
            </w:tcBorders>
          </w:tcPr>
          <w:p w:rsidR="003B20EE" w:rsidRPr="0091179F" w:rsidRDefault="0091179F" w:rsidP="00017DEC">
            <w:pPr>
              <w:pStyle w:val="NormalWeb"/>
              <w:spacing w:before="0" w:beforeAutospacing="0" w:after="0" w:afterAutospacing="0"/>
              <w:rPr>
                <w:rFonts w:ascii="Arial" w:hAnsi="Arial" w:cs="Arial"/>
                <w:sz w:val="20"/>
                <w:szCs w:val="20"/>
                <w:lang w:eastAsia="en-US"/>
              </w:rPr>
            </w:pPr>
            <w:r w:rsidRPr="0091179F">
              <w:rPr>
                <w:rFonts w:ascii="Arial" w:hAnsi="Arial" w:cs="Arial"/>
                <w:sz w:val="20"/>
                <w:szCs w:val="20"/>
                <w:lang w:eastAsia="en-US"/>
              </w:rPr>
              <w:t>Appeal</w:t>
            </w:r>
            <w:r w:rsidR="00017DEC">
              <w:rPr>
                <w:rFonts w:ascii="Arial" w:hAnsi="Arial" w:cs="Arial"/>
                <w:sz w:val="20"/>
                <w:szCs w:val="20"/>
                <w:lang w:eastAsia="en-US"/>
              </w:rPr>
              <w:t>s</w:t>
            </w:r>
          </w:p>
        </w:tc>
        <w:tc>
          <w:tcPr>
            <w:tcW w:w="6231" w:type="dxa"/>
            <w:tcBorders>
              <w:top w:val="nil"/>
              <w:left w:val="nil"/>
              <w:bottom w:val="single" w:sz="4" w:space="0" w:color="auto"/>
              <w:right w:val="nil"/>
            </w:tcBorders>
          </w:tcPr>
          <w:p w:rsidR="003B20EE" w:rsidRDefault="002E7266" w:rsidP="00223D83">
            <w:pPr>
              <w:pStyle w:val="NormalWeb"/>
              <w:spacing w:before="0" w:beforeAutospacing="0" w:after="0" w:afterAutospacing="0"/>
              <w:rPr>
                <w:rFonts w:ascii="Arial" w:hAnsi="Arial" w:cs="Arial"/>
                <w:sz w:val="20"/>
                <w:szCs w:val="20"/>
                <w:lang w:eastAsia="en-US"/>
              </w:rPr>
            </w:pPr>
            <w:r>
              <w:rPr>
                <w:rFonts w:ascii="Arial" w:hAnsi="Arial" w:cs="Arial"/>
                <w:sz w:val="20"/>
                <w:szCs w:val="20"/>
                <w:lang w:eastAsia="en-US"/>
              </w:rPr>
              <w:t xml:space="preserve">Pricing decisions </w:t>
            </w:r>
            <w:r w:rsidR="000A3E9F">
              <w:rPr>
                <w:rFonts w:ascii="Arial" w:hAnsi="Arial" w:cs="Arial"/>
                <w:sz w:val="20"/>
                <w:szCs w:val="20"/>
                <w:lang w:eastAsia="en-US"/>
              </w:rPr>
              <w:t xml:space="preserve">would be appealable </w:t>
            </w:r>
            <w:r w:rsidR="006626DC">
              <w:rPr>
                <w:rFonts w:ascii="Arial" w:hAnsi="Arial" w:cs="Arial"/>
                <w:sz w:val="20"/>
                <w:szCs w:val="20"/>
                <w:lang w:eastAsia="en-US"/>
              </w:rPr>
              <w:t>on their merits</w:t>
            </w:r>
            <w:r>
              <w:rPr>
                <w:rFonts w:ascii="Arial" w:hAnsi="Arial" w:cs="Arial"/>
                <w:sz w:val="20"/>
                <w:szCs w:val="20"/>
                <w:lang w:eastAsia="en-US"/>
              </w:rPr>
              <w:t xml:space="preserve"> to the Australian Competition Tribunal.</w:t>
            </w:r>
          </w:p>
          <w:p w:rsidR="006626DC" w:rsidRDefault="006626DC" w:rsidP="00223D83">
            <w:pPr>
              <w:pStyle w:val="NormalWeb"/>
              <w:spacing w:before="0" w:beforeAutospacing="0" w:after="0" w:afterAutospacing="0"/>
              <w:rPr>
                <w:rFonts w:ascii="Arial" w:hAnsi="Arial" w:cs="Arial"/>
                <w:sz w:val="20"/>
                <w:szCs w:val="20"/>
                <w:lang w:eastAsia="en-US"/>
              </w:rPr>
            </w:pPr>
          </w:p>
          <w:p w:rsidR="0091179F" w:rsidRPr="0091179F" w:rsidRDefault="006626DC" w:rsidP="00223D83">
            <w:pPr>
              <w:pStyle w:val="NormalWeb"/>
              <w:spacing w:before="0" w:beforeAutospacing="0" w:after="0" w:afterAutospacing="0"/>
              <w:rPr>
                <w:rFonts w:ascii="Arial" w:hAnsi="Arial" w:cs="Arial"/>
                <w:sz w:val="20"/>
                <w:szCs w:val="20"/>
                <w:lang w:eastAsia="en-US"/>
              </w:rPr>
            </w:pPr>
            <w:r>
              <w:rPr>
                <w:rFonts w:ascii="Arial" w:hAnsi="Arial" w:cs="Arial"/>
                <w:sz w:val="20"/>
                <w:szCs w:val="20"/>
                <w:lang w:eastAsia="en-US"/>
              </w:rPr>
              <w:t>In addition, RUC determinations would continue to be subject to parliamentary disallowance</w:t>
            </w:r>
            <w:r w:rsidR="007A668F">
              <w:rPr>
                <w:rFonts w:ascii="Arial" w:hAnsi="Arial" w:cs="Arial"/>
                <w:sz w:val="20"/>
                <w:szCs w:val="20"/>
                <w:lang w:eastAsia="en-US"/>
              </w:rPr>
              <w:t>.</w:t>
            </w:r>
          </w:p>
        </w:tc>
      </w:tr>
    </w:tbl>
    <w:p w:rsidR="00C148D7" w:rsidRDefault="00C148D7" w:rsidP="00223D83">
      <w:pPr>
        <w:pStyle w:val="NormalWeb"/>
        <w:spacing w:before="0" w:beforeAutospacing="0" w:after="0" w:afterAutospacing="0"/>
        <w:rPr>
          <w:rFonts w:ascii="Arial" w:hAnsi="Arial" w:cs="Arial"/>
          <w:sz w:val="22"/>
          <w:szCs w:val="22"/>
          <w:lang w:eastAsia="en-US"/>
        </w:rPr>
      </w:pPr>
    </w:p>
    <w:p w:rsidR="00223D83" w:rsidRDefault="00223D83" w:rsidP="00223D83">
      <w:pPr>
        <w:pStyle w:val="NormalWeb"/>
        <w:spacing w:before="0" w:beforeAutospacing="0" w:after="0" w:afterAutospacing="0"/>
        <w:rPr>
          <w:rFonts w:ascii="Arial" w:hAnsi="Arial" w:cs="Arial"/>
          <w:iCs/>
          <w:sz w:val="22"/>
          <w:szCs w:val="22"/>
        </w:rPr>
      </w:pPr>
    </w:p>
    <w:p w:rsidR="00223D83" w:rsidRDefault="00223D83" w:rsidP="00223D83">
      <w:pPr>
        <w:pStyle w:val="NormalWeb"/>
        <w:spacing w:before="0" w:beforeAutospacing="0" w:after="0" w:afterAutospacing="0"/>
        <w:rPr>
          <w:rFonts w:ascii="Arial" w:hAnsi="Arial" w:cs="Arial"/>
          <w:iCs/>
          <w:sz w:val="22"/>
          <w:szCs w:val="22"/>
        </w:rPr>
      </w:pPr>
      <w:r>
        <w:rPr>
          <w:rFonts w:ascii="Arial" w:hAnsi="Arial" w:cs="Arial"/>
          <w:iCs/>
          <w:sz w:val="22"/>
          <w:szCs w:val="22"/>
        </w:rPr>
        <w:t xml:space="preserve">In </w:t>
      </w:r>
      <w:r w:rsidR="006B216D">
        <w:rPr>
          <w:rFonts w:ascii="Arial" w:hAnsi="Arial" w:cs="Arial"/>
          <w:iCs/>
          <w:sz w:val="22"/>
          <w:szCs w:val="22"/>
        </w:rPr>
        <w:t xml:space="preserve">the longer term, the price regulation role of the NTC, or the </w:t>
      </w:r>
      <w:r w:rsidR="00124583">
        <w:rPr>
          <w:rFonts w:ascii="Arial" w:hAnsi="Arial" w:cs="Arial"/>
          <w:iCs/>
          <w:sz w:val="22"/>
          <w:szCs w:val="22"/>
        </w:rPr>
        <w:t>single Access and Pricing Regulator recommended by the Harper Review</w:t>
      </w:r>
      <w:r w:rsidR="006B216D">
        <w:rPr>
          <w:rFonts w:ascii="Arial" w:hAnsi="Arial" w:cs="Arial"/>
          <w:iCs/>
          <w:sz w:val="22"/>
          <w:szCs w:val="22"/>
        </w:rPr>
        <w:t xml:space="preserve">, could be expanded to </w:t>
      </w:r>
      <w:r w:rsidR="00124583">
        <w:rPr>
          <w:rFonts w:ascii="Arial" w:hAnsi="Arial" w:cs="Arial"/>
          <w:iCs/>
          <w:sz w:val="22"/>
          <w:szCs w:val="22"/>
        </w:rPr>
        <w:t xml:space="preserve">cover economic regulation. This could occur when appropriate </w:t>
      </w:r>
      <w:r w:rsidR="000A3E9F">
        <w:rPr>
          <w:rFonts w:ascii="Arial" w:hAnsi="Arial" w:cs="Arial"/>
          <w:iCs/>
          <w:sz w:val="22"/>
          <w:szCs w:val="22"/>
        </w:rPr>
        <w:t xml:space="preserve">supply side </w:t>
      </w:r>
      <w:r w:rsidR="00124583">
        <w:rPr>
          <w:rFonts w:ascii="Arial" w:hAnsi="Arial" w:cs="Arial"/>
          <w:iCs/>
          <w:sz w:val="22"/>
          <w:szCs w:val="22"/>
        </w:rPr>
        <w:t xml:space="preserve">arrangements are in place. </w:t>
      </w:r>
    </w:p>
    <w:p w:rsidR="00223D83" w:rsidRDefault="00223D83" w:rsidP="00571F8F">
      <w:pPr>
        <w:pStyle w:val="NormalWeb"/>
        <w:spacing w:before="0" w:beforeAutospacing="0" w:after="0" w:afterAutospacing="0"/>
        <w:rPr>
          <w:rFonts w:ascii="Arial" w:hAnsi="Arial" w:cs="Arial"/>
          <w:iCs/>
          <w:sz w:val="22"/>
          <w:szCs w:val="22"/>
        </w:rPr>
      </w:pPr>
    </w:p>
    <w:p w:rsidR="000C608F" w:rsidRDefault="000C608F" w:rsidP="00571F8F">
      <w:pPr>
        <w:pStyle w:val="NormalWeb"/>
        <w:spacing w:before="0" w:beforeAutospacing="0" w:after="0" w:afterAutospacing="0"/>
        <w:rPr>
          <w:rFonts w:ascii="Arial" w:hAnsi="Arial" w:cs="Arial"/>
          <w:iCs/>
          <w:sz w:val="22"/>
          <w:szCs w:val="22"/>
        </w:rPr>
      </w:pPr>
    </w:p>
    <w:p w:rsidR="000C608F" w:rsidRPr="000C608F" w:rsidRDefault="00B948CB" w:rsidP="00571F8F">
      <w:pPr>
        <w:pStyle w:val="NormalWeb"/>
        <w:spacing w:before="0" w:beforeAutospacing="0" w:after="0" w:afterAutospacing="0"/>
        <w:rPr>
          <w:rFonts w:ascii="Arial" w:hAnsi="Arial" w:cs="Arial"/>
          <w:b/>
          <w:iCs/>
          <w:sz w:val="22"/>
          <w:szCs w:val="22"/>
        </w:rPr>
      </w:pPr>
      <w:r>
        <w:rPr>
          <w:rFonts w:ascii="Arial" w:hAnsi="Arial" w:cs="Arial"/>
          <w:b/>
          <w:iCs/>
          <w:sz w:val="22"/>
          <w:szCs w:val="22"/>
        </w:rPr>
        <w:t>Recommendation 5</w:t>
      </w:r>
    </w:p>
    <w:p w:rsidR="000C608F" w:rsidRPr="000C608F" w:rsidRDefault="000C608F" w:rsidP="00571F8F">
      <w:pPr>
        <w:pStyle w:val="NormalWeb"/>
        <w:spacing w:before="0" w:beforeAutospacing="0" w:after="0" w:afterAutospacing="0"/>
        <w:rPr>
          <w:rFonts w:ascii="Arial" w:hAnsi="Arial" w:cs="Arial"/>
          <w:b/>
          <w:iCs/>
          <w:sz w:val="22"/>
          <w:szCs w:val="22"/>
        </w:rPr>
      </w:pPr>
    </w:p>
    <w:p w:rsidR="000C608F" w:rsidRDefault="000A3E9F" w:rsidP="00571F8F">
      <w:pPr>
        <w:pStyle w:val="NormalWeb"/>
        <w:spacing w:before="0" w:beforeAutospacing="0" w:after="0" w:afterAutospacing="0"/>
        <w:rPr>
          <w:rFonts w:ascii="Arial" w:hAnsi="Arial" w:cs="Arial"/>
          <w:b/>
          <w:iCs/>
          <w:sz w:val="22"/>
          <w:szCs w:val="22"/>
        </w:rPr>
      </w:pPr>
      <w:r>
        <w:rPr>
          <w:rFonts w:ascii="Arial" w:hAnsi="Arial" w:cs="Arial"/>
          <w:b/>
          <w:iCs/>
          <w:sz w:val="22"/>
          <w:szCs w:val="22"/>
        </w:rPr>
        <w:t>T</w:t>
      </w:r>
      <w:r w:rsidR="000C608F">
        <w:rPr>
          <w:rFonts w:ascii="Arial" w:hAnsi="Arial" w:cs="Arial"/>
          <w:b/>
          <w:iCs/>
          <w:sz w:val="22"/>
          <w:szCs w:val="22"/>
        </w:rPr>
        <w:t xml:space="preserve">he NTC should be designated as </w:t>
      </w:r>
      <w:r>
        <w:rPr>
          <w:rFonts w:ascii="Arial" w:hAnsi="Arial" w:cs="Arial"/>
          <w:b/>
          <w:iCs/>
          <w:sz w:val="22"/>
          <w:szCs w:val="22"/>
        </w:rPr>
        <w:t xml:space="preserve">the </w:t>
      </w:r>
      <w:r w:rsidR="000C608F">
        <w:rPr>
          <w:rFonts w:ascii="Arial" w:hAnsi="Arial" w:cs="Arial"/>
          <w:b/>
          <w:iCs/>
          <w:sz w:val="22"/>
          <w:szCs w:val="22"/>
        </w:rPr>
        <w:t>independent pricing regu</w:t>
      </w:r>
      <w:r>
        <w:rPr>
          <w:rFonts w:ascii="Arial" w:hAnsi="Arial" w:cs="Arial"/>
          <w:b/>
          <w:iCs/>
          <w:sz w:val="22"/>
          <w:szCs w:val="22"/>
        </w:rPr>
        <w:t xml:space="preserve">lator for heavy vehicle charges. Its decisions </w:t>
      </w:r>
      <w:r w:rsidR="007E2522">
        <w:rPr>
          <w:rFonts w:ascii="Arial" w:hAnsi="Arial" w:cs="Arial"/>
          <w:b/>
          <w:iCs/>
          <w:sz w:val="22"/>
          <w:szCs w:val="22"/>
        </w:rPr>
        <w:t xml:space="preserve">should be enforceable and </w:t>
      </w:r>
      <w:r>
        <w:rPr>
          <w:rFonts w:ascii="Arial" w:hAnsi="Arial" w:cs="Arial"/>
          <w:b/>
          <w:iCs/>
          <w:sz w:val="22"/>
          <w:szCs w:val="22"/>
        </w:rPr>
        <w:t xml:space="preserve">subject to merits review by </w:t>
      </w:r>
      <w:r w:rsidR="000C608F">
        <w:rPr>
          <w:rFonts w:ascii="Arial" w:hAnsi="Arial" w:cs="Arial"/>
          <w:b/>
          <w:iCs/>
          <w:sz w:val="22"/>
          <w:szCs w:val="22"/>
        </w:rPr>
        <w:t>the Australian Competition Tribunal.</w:t>
      </w:r>
    </w:p>
    <w:p w:rsidR="000C608F" w:rsidRPr="000C608F" w:rsidRDefault="000C608F" w:rsidP="00571F8F">
      <w:pPr>
        <w:pStyle w:val="NormalWeb"/>
        <w:spacing w:before="0" w:beforeAutospacing="0" w:after="0" w:afterAutospacing="0"/>
        <w:rPr>
          <w:rFonts w:ascii="Arial" w:hAnsi="Arial" w:cs="Arial"/>
          <w:b/>
          <w:iCs/>
          <w:sz w:val="22"/>
          <w:szCs w:val="22"/>
        </w:rPr>
      </w:pPr>
    </w:p>
    <w:p w:rsidR="009D143C" w:rsidRDefault="009D143C" w:rsidP="00571F8F">
      <w:pPr>
        <w:pStyle w:val="NormalWeb"/>
        <w:spacing w:before="0" w:beforeAutospacing="0" w:after="0" w:afterAutospacing="0"/>
        <w:rPr>
          <w:rFonts w:ascii="Arial" w:hAnsi="Arial" w:cs="Arial"/>
          <w:iCs/>
          <w:sz w:val="22"/>
          <w:szCs w:val="22"/>
        </w:rPr>
      </w:pPr>
    </w:p>
    <w:p w:rsidR="009D143C" w:rsidRDefault="009D143C" w:rsidP="00237A45">
      <w:pPr>
        <w:pStyle w:val="Heading1"/>
        <w:keepNext/>
        <w:rPr>
          <w:sz w:val="24"/>
          <w:szCs w:val="24"/>
        </w:rPr>
      </w:pPr>
      <w:bookmarkStart w:id="15" w:name="_Toc457400408"/>
      <w:r>
        <w:rPr>
          <w:sz w:val="24"/>
          <w:szCs w:val="24"/>
        </w:rPr>
        <w:lastRenderedPageBreak/>
        <w:t xml:space="preserve">Additional </w:t>
      </w:r>
      <w:r w:rsidR="00223D83">
        <w:rPr>
          <w:sz w:val="24"/>
          <w:szCs w:val="24"/>
        </w:rPr>
        <w:t>ATA proposals</w:t>
      </w:r>
      <w:bookmarkEnd w:id="15"/>
    </w:p>
    <w:p w:rsidR="009D143C" w:rsidRDefault="009D143C" w:rsidP="00237A45">
      <w:pPr>
        <w:keepNext/>
        <w:rPr>
          <w:rFonts w:ascii="Arial" w:hAnsi="Arial" w:cs="Arial"/>
        </w:rPr>
      </w:pPr>
    </w:p>
    <w:p w:rsidR="00237A45" w:rsidRPr="00237A45" w:rsidRDefault="004E243D" w:rsidP="00237A45">
      <w:pPr>
        <w:pStyle w:val="Heading2"/>
      </w:pPr>
      <w:bookmarkStart w:id="16" w:name="_Toc457400409"/>
      <w:r>
        <w:t>A</w:t>
      </w:r>
      <w:r w:rsidR="00237A45" w:rsidRPr="00237A45">
        <w:t>ddress</w:t>
      </w:r>
      <w:r>
        <w:t>ing</w:t>
      </w:r>
      <w:r w:rsidR="00237A45" w:rsidRPr="00237A45">
        <w:t xml:space="preserve"> cashflow issues and compliance costs</w:t>
      </w:r>
      <w:bookmarkEnd w:id="16"/>
    </w:p>
    <w:p w:rsidR="00237A45" w:rsidRDefault="00237A45" w:rsidP="00237A45">
      <w:pPr>
        <w:rPr>
          <w:rFonts w:ascii="Arial" w:hAnsi="Arial" w:cs="Arial"/>
          <w:lang w:eastAsia="en-AU"/>
        </w:rPr>
      </w:pPr>
    </w:p>
    <w:p w:rsidR="00237A45" w:rsidRPr="00237A45" w:rsidRDefault="000C09F0" w:rsidP="00237A45">
      <w:pPr>
        <w:rPr>
          <w:rFonts w:ascii="Arial" w:hAnsi="Arial" w:cs="Arial"/>
          <w:lang w:eastAsia="en-AU"/>
        </w:rPr>
      </w:pPr>
      <w:r>
        <w:rPr>
          <w:rFonts w:ascii="Arial" w:hAnsi="Arial" w:cs="Arial"/>
          <w:lang w:eastAsia="en-AU"/>
        </w:rPr>
        <w:t xml:space="preserve">Section 5 of this submission examines the impact of high registration charges and the requirement for heavy vehicles to have registration </w:t>
      </w:r>
      <w:r w:rsidR="002D7532">
        <w:rPr>
          <w:rFonts w:ascii="Arial" w:hAnsi="Arial" w:cs="Arial"/>
          <w:lang w:eastAsia="en-AU"/>
        </w:rPr>
        <w:t>labels</w:t>
      </w:r>
      <w:r>
        <w:rPr>
          <w:rFonts w:ascii="Arial" w:hAnsi="Arial" w:cs="Arial"/>
          <w:lang w:eastAsia="en-AU"/>
        </w:rPr>
        <w:t>.</w:t>
      </w:r>
    </w:p>
    <w:p w:rsidR="00237A45" w:rsidRDefault="00237A45" w:rsidP="00237A45">
      <w:pPr>
        <w:rPr>
          <w:rFonts w:ascii="Arial" w:hAnsi="Arial" w:cs="Arial"/>
          <w:lang w:eastAsia="en-AU"/>
        </w:rPr>
      </w:pPr>
    </w:p>
    <w:p w:rsidR="000C09F0" w:rsidRDefault="000C09F0" w:rsidP="000C09F0">
      <w:pPr>
        <w:rPr>
          <w:rFonts w:ascii="Arial" w:hAnsi="Arial" w:cs="Arial"/>
          <w:szCs w:val="24"/>
          <w:lang w:eastAsia="en-AU"/>
        </w:rPr>
      </w:pPr>
      <w:r>
        <w:rPr>
          <w:rFonts w:ascii="Arial" w:hAnsi="Arial" w:cs="Arial"/>
          <w:szCs w:val="24"/>
          <w:lang w:eastAsia="en-AU"/>
        </w:rPr>
        <w:t>There is no reason the registration system has to work this way.</w:t>
      </w:r>
    </w:p>
    <w:p w:rsidR="000C09F0" w:rsidRDefault="000C09F0" w:rsidP="000C09F0">
      <w:pPr>
        <w:rPr>
          <w:rFonts w:ascii="Arial" w:hAnsi="Arial" w:cs="Arial"/>
          <w:szCs w:val="24"/>
          <w:lang w:eastAsia="en-AU"/>
        </w:rPr>
      </w:pPr>
    </w:p>
    <w:p w:rsidR="000C09F0" w:rsidRDefault="00F23671" w:rsidP="000C09F0">
      <w:pPr>
        <w:rPr>
          <w:rFonts w:ascii="Arial" w:hAnsi="Arial" w:cs="Arial"/>
          <w:szCs w:val="24"/>
          <w:lang w:eastAsia="en-AU"/>
        </w:rPr>
      </w:pPr>
      <w:r>
        <w:rPr>
          <w:rFonts w:ascii="Arial" w:hAnsi="Arial" w:cs="Arial"/>
          <w:szCs w:val="24"/>
          <w:lang w:eastAsia="en-AU"/>
        </w:rPr>
        <w:t xml:space="preserve">Between 2010 and 2014, </w:t>
      </w:r>
      <w:r w:rsidR="00DF4EF9">
        <w:rPr>
          <w:rFonts w:ascii="Arial" w:hAnsi="Arial" w:cs="Arial"/>
          <w:szCs w:val="24"/>
          <w:lang w:eastAsia="en-AU"/>
        </w:rPr>
        <w:t>every state and territory</w:t>
      </w:r>
      <w:r>
        <w:rPr>
          <w:rFonts w:ascii="Arial" w:hAnsi="Arial" w:cs="Arial"/>
          <w:szCs w:val="24"/>
          <w:lang w:eastAsia="en-AU"/>
        </w:rPr>
        <w:t xml:space="preserve"> removed their requirement for light vehicles to have r</w:t>
      </w:r>
      <w:r w:rsidR="00ED6CD9">
        <w:rPr>
          <w:rFonts w:ascii="Arial" w:hAnsi="Arial" w:cs="Arial"/>
          <w:szCs w:val="24"/>
          <w:lang w:eastAsia="en-AU"/>
        </w:rPr>
        <w:t xml:space="preserve">egistration </w:t>
      </w:r>
      <w:r w:rsidR="002D7532">
        <w:rPr>
          <w:rFonts w:ascii="Arial" w:hAnsi="Arial" w:cs="Arial"/>
          <w:szCs w:val="24"/>
          <w:lang w:eastAsia="en-AU"/>
        </w:rPr>
        <w:t>labels</w:t>
      </w:r>
      <w:r w:rsidR="00ED6CD9">
        <w:rPr>
          <w:rFonts w:ascii="Arial" w:hAnsi="Arial" w:cs="Arial"/>
          <w:szCs w:val="24"/>
          <w:lang w:eastAsia="en-AU"/>
        </w:rPr>
        <w:t>.</w:t>
      </w:r>
      <w:r w:rsidR="00B72028">
        <w:rPr>
          <w:rFonts w:ascii="Arial" w:hAnsi="Arial" w:cs="Arial"/>
          <w:szCs w:val="24"/>
          <w:lang w:eastAsia="en-AU"/>
        </w:rPr>
        <w:t xml:space="preserve"> </w:t>
      </w:r>
      <w:r>
        <w:rPr>
          <w:rFonts w:ascii="Arial" w:hAnsi="Arial" w:cs="Arial"/>
          <w:szCs w:val="24"/>
          <w:lang w:eastAsia="en-AU"/>
        </w:rPr>
        <w:t>South Australia</w:t>
      </w:r>
      <w:r w:rsidR="00B72028">
        <w:rPr>
          <w:rFonts w:ascii="Arial" w:hAnsi="Arial" w:cs="Arial"/>
          <w:szCs w:val="24"/>
          <w:lang w:eastAsia="en-AU"/>
        </w:rPr>
        <w:t xml:space="preserve"> now allows light vehicle owners to make monthly registration payments by direct debit or credit car</w:t>
      </w:r>
      <w:r>
        <w:rPr>
          <w:rFonts w:ascii="Arial" w:hAnsi="Arial" w:cs="Arial"/>
          <w:szCs w:val="24"/>
          <w:lang w:eastAsia="en-AU"/>
        </w:rPr>
        <w:t xml:space="preserve">d, and can send vehicle owners a reminder by email or SMS before their registration expires. </w:t>
      </w:r>
    </w:p>
    <w:p w:rsidR="00ED6CD9" w:rsidRDefault="00ED6CD9" w:rsidP="000C09F0">
      <w:pPr>
        <w:rPr>
          <w:rFonts w:ascii="Arial" w:hAnsi="Arial" w:cs="Arial"/>
          <w:szCs w:val="24"/>
          <w:lang w:eastAsia="en-AU"/>
        </w:rPr>
      </w:pPr>
    </w:p>
    <w:p w:rsidR="000C09F0" w:rsidRPr="00237A45" w:rsidRDefault="000C09F0" w:rsidP="000C09F0">
      <w:pPr>
        <w:rPr>
          <w:rFonts w:ascii="Arial" w:hAnsi="Arial" w:cs="Arial"/>
          <w:lang w:eastAsia="en-AU"/>
        </w:rPr>
      </w:pPr>
      <w:r>
        <w:rPr>
          <w:rFonts w:ascii="Arial" w:hAnsi="Arial" w:cs="Arial"/>
          <w:szCs w:val="24"/>
          <w:lang w:eastAsia="en-AU"/>
        </w:rPr>
        <w:t>The Western Australian Government removed the requirement for heavy vehicles to have registration labels on 1 July 2016. The WA Government said the decision would save thousands of hours of industry time per year and some $200,000 a year in government costs.</w:t>
      </w:r>
      <w:r>
        <w:rPr>
          <w:rStyle w:val="FootnoteReference"/>
          <w:rFonts w:ascii="Arial" w:hAnsi="Arial"/>
          <w:szCs w:val="24"/>
          <w:lang w:eastAsia="en-AU"/>
        </w:rPr>
        <w:footnoteReference w:id="26"/>
      </w:r>
    </w:p>
    <w:p w:rsidR="000C09F0" w:rsidRPr="000C09F0" w:rsidRDefault="000C09F0" w:rsidP="00237A45">
      <w:pPr>
        <w:pStyle w:val="Heading2"/>
        <w:rPr>
          <w:b w:val="0"/>
        </w:rPr>
      </w:pPr>
    </w:p>
    <w:p w:rsidR="000C09F0" w:rsidRPr="00064652" w:rsidRDefault="000C09F0" w:rsidP="00064652">
      <w:pPr>
        <w:rPr>
          <w:rFonts w:ascii="Arial" w:hAnsi="Arial" w:cs="Arial"/>
          <w:b/>
        </w:rPr>
      </w:pPr>
      <w:r w:rsidRPr="00064652">
        <w:rPr>
          <w:rFonts w:ascii="Arial" w:hAnsi="Arial" w:cs="Arial"/>
        </w:rPr>
        <w:t>The ATA considers that the WA approac</w:t>
      </w:r>
      <w:r w:rsidR="00143F9C" w:rsidRPr="00064652">
        <w:rPr>
          <w:rFonts w:ascii="Arial" w:hAnsi="Arial" w:cs="Arial"/>
        </w:rPr>
        <w:t xml:space="preserve">h </w:t>
      </w:r>
      <w:r w:rsidR="00F23671" w:rsidRPr="00064652">
        <w:rPr>
          <w:rFonts w:ascii="Arial" w:hAnsi="Arial" w:cs="Arial"/>
        </w:rPr>
        <w:t xml:space="preserve">to removing </w:t>
      </w:r>
      <w:r w:rsidR="00C90D4F">
        <w:rPr>
          <w:rFonts w:ascii="Arial" w:hAnsi="Arial" w:cs="Arial"/>
        </w:rPr>
        <w:t>labels</w:t>
      </w:r>
      <w:r w:rsidR="00F23671" w:rsidRPr="00064652">
        <w:rPr>
          <w:rFonts w:ascii="Arial" w:hAnsi="Arial" w:cs="Arial"/>
        </w:rPr>
        <w:t xml:space="preserve"> should be extended nationally. To reduce the cashflow burden of high registration charges, o</w:t>
      </w:r>
      <w:r w:rsidR="00143F9C" w:rsidRPr="00064652">
        <w:rPr>
          <w:rFonts w:ascii="Arial" w:hAnsi="Arial" w:cs="Arial"/>
        </w:rPr>
        <w:t xml:space="preserve">perators </w:t>
      </w:r>
      <w:r w:rsidR="00F23671" w:rsidRPr="00064652">
        <w:rPr>
          <w:rFonts w:ascii="Arial" w:hAnsi="Arial" w:cs="Arial"/>
        </w:rPr>
        <w:t xml:space="preserve">should be </w:t>
      </w:r>
      <w:r w:rsidR="00143F9C" w:rsidRPr="00064652">
        <w:rPr>
          <w:rFonts w:ascii="Arial" w:hAnsi="Arial" w:cs="Arial"/>
        </w:rPr>
        <w:t xml:space="preserve">able to </w:t>
      </w:r>
      <w:r w:rsidR="00F23671" w:rsidRPr="00064652">
        <w:rPr>
          <w:rFonts w:ascii="Arial" w:hAnsi="Arial" w:cs="Arial"/>
        </w:rPr>
        <w:t>make monthly payments.</w:t>
      </w:r>
    </w:p>
    <w:p w:rsidR="00143F9C" w:rsidRPr="00143F9C" w:rsidRDefault="00143F9C" w:rsidP="00143F9C">
      <w:pPr>
        <w:rPr>
          <w:rFonts w:ascii="Arial" w:hAnsi="Arial" w:cs="Arial"/>
          <w:lang w:eastAsia="en-AU"/>
        </w:rPr>
      </w:pPr>
    </w:p>
    <w:p w:rsidR="00143F9C" w:rsidRPr="00143F9C" w:rsidRDefault="00143F9C" w:rsidP="00143F9C">
      <w:pPr>
        <w:rPr>
          <w:rFonts w:ascii="Arial" w:hAnsi="Arial" w:cs="Arial"/>
          <w:lang w:eastAsia="en-AU"/>
        </w:rPr>
      </w:pPr>
      <w:r>
        <w:rPr>
          <w:rFonts w:ascii="Arial" w:hAnsi="Arial" w:cs="Arial"/>
          <w:lang w:eastAsia="en-AU"/>
        </w:rPr>
        <w:t xml:space="preserve">The ATA is aware that some operators use their registration </w:t>
      </w:r>
      <w:r w:rsidR="002D7532">
        <w:rPr>
          <w:rFonts w:ascii="Arial" w:hAnsi="Arial" w:cs="Arial"/>
          <w:lang w:eastAsia="en-AU"/>
        </w:rPr>
        <w:t xml:space="preserve">labels </w:t>
      </w:r>
      <w:r>
        <w:rPr>
          <w:rFonts w:ascii="Arial" w:hAnsi="Arial" w:cs="Arial"/>
          <w:lang w:eastAsia="en-AU"/>
        </w:rPr>
        <w:t xml:space="preserve">as a way of keeping track of when their renewals </w:t>
      </w:r>
      <w:r w:rsidR="00ED6CD9">
        <w:rPr>
          <w:rFonts w:ascii="Arial" w:hAnsi="Arial" w:cs="Arial"/>
          <w:lang w:eastAsia="en-AU"/>
        </w:rPr>
        <w:t xml:space="preserve">are due. </w:t>
      </w:r>
      <w:r w:rsidR="00DF4EF9">
        <w:rPr>
          <w:rFonts w:ascii="Arial" w:hAnsi="Arial" w:cs="Arial"/>
          <w:lang w:eastAsia="en-AU"/>
        </w:rPr>
        <w:t xml:space="preserve">As a result, vehicle owners </w:t>
      </w:r>
      <w:r w:rsidR="00ED6CD9" w:rsidRPr="00ED6CD9">
        <w:rPr>
          <w:rFonts w:ascii="Arial" w:hAnsi="Arial" w:cs="Arial"/>
          <w:lang w:eastAsia="en-AU"/>
        </w:rPr>
        <w:t>should be able to opt in to recei</w:t>
      </w:r>
      <w:r w:rsidR="00DF4EF9">
        <w:rPr>
          <w:rFonts w:ascii="Arial" w:hAnsi="Arial" w:cs="Arial"/>
          <w:lang w:eastAsia="en-AU"/>
        </w:rPr>
        <w:t xml:space="preserve">ve reminders by SMS or </w:t>
      </w:r>
      <w:r w:rsidR="00ED6CD9">
        <w:rPr>
          <w:rFonts w:ascii="Arial" w:hAnsi="Arial" w:cs="Arial"/>
          <w:lang w:eastAsia="en-AU"/>
        </w:rPr>
        <w:t>email</w:t>
      </w:r>
      <w:r w:rsidR="00DF4EF9">
        <w:rPr>
          <w:rFonts w:ascii="Arial" w:hAnsi="Arial" w:cs="Arial"/>
          <w:lang w:eastAsia="en-AU"/>
        </w:rPr>
        <w:t>.</w:t>
      </w:r>
      <w:r w:rsidR="00ED6CD9">
        <w:rPr>
          <w:rFonts w:ascii="Arial" w:hAnsi="Arial" w:cs="Arial"/>
          <w:lang w:eastAsia="en-AU"/>
        </w:rPr>
        <w:t xml:space="preserve"> </w:t>
      </w:r>
    </w:p>
    <w:p w:rsidR="000C09F0" w:rsidRPr="00143F9C" w:rsidRDefault="000C09F0" w:rsidP="000C09F0">
      <w:pPr>
        <w:rPr>
          <w:rFonts w:ascii="Arial" w:hAnsi="Arial" w:cs="Arial"/>
          <w:lang w:eastAsia="en-AU"/>
        </w:rPr>
      </w:pPr>
    </w:p>
    <w:p w:rsidR="000C09F0" w:rsidRPr="000C09F0" w:rsidRDefault="000C09F0" w:rsidP="000C09F0">
      <w:pPr>
        <w:rPr>
          <w:rFonts w:ascii="Arial" w:hAnsi="Arial" w:cs="Arial"/>
          <w:lang w:eastAsia="en-AU"/>
        </w:rPr>
      </w:pPr>
    </w:p>
    <w:p w:rsidR="000C09F0" w:rsidRPr="000C09F0" w:rsidRDefault="00B948CB" w:rsidP="003D0EAF">
      <w:pPr>
        <w:keepNext/>
        <w:rPr>
          <w:rFonts w:ascii="Arial" w:hAnsi="Arial" w:cs="Arial"/>
          <w:b/>
          <w:lang w:eastAsia="en-AU"/>
        </w:rPr>
      </w:pPr>
      <w:r>
        <w:rPr>
          <w:rFonts w:ascii="Arial" w:hAnsi="Arial" w:cs="Arial"/>
          <w:b/>
          <w:lang w:eastAsia="en-AU"/>
        </w:rPr>
        <w:t>Recommendation 6</w:t>
      </w:r>
    </w:p>
    <w:p w:rsidR="000C09F0" w:rsidRDefault="000C09F0" w:rsidP="003D0EAF">
      <w:pPr>
        <w:keepNext/>
        <w:rPr>
          <w:rFonts w:ascii="Arial" w:hAnsi="Arial" w:cs="Arial"/>
          <w:lang w:eastAsia="en-AU"/>
        </w:rPr>
      </w:pPr>
    </w:p>
    <w:p w:rsidR="00143F9C" w:rsidRDefault="000C09F0" w:rsidP="003D0EAF">
      <w:pPr>
        <w:keepNext/>
        <w:rPr>
          <w:rFonts w:ascii="Arial" w:hAnsi="Arial" w:cs="Arial"/>
          <w:b/>
          <w:lang w:eastAsia="en-AU"/>
        </w:rPr>
      </w:pPr>
      <w:r w:rsidRPr="00143F9C">
        <w:rPr>
          <w:rFonts w:ascii="Arial" w:hAnsi="Arial" w:cs="Arial"/>
          <w:b/>
          <w:lang w:eastAsia="en-AU"/>
        </w:rPr>
        <w:t xml:space="preserve">As part of the reforms to heavy vehicle charging, the requirement for heavy vehicles to have registration </w:t>
      </w:r>
      <w:r w:rsidR="002D7532">
        <w:rPr>
          <w:rFonts w:ascii="Arial" w:hAnsi="Arial" w:cs="Arial"/>
          <w:b/>
          <w:lang w:eastAsia="en-AU"/>
        </w:rPr>
        <w:t xml:space="preserve">labels </w:t>
      </w:r>
      <w:r w:rsidRPr="00143F9C">
        <w:rPr>
          <w:rFonts w:ascii="Arial" w:hAnsi="Arial" w:cs="Arial"/>
          <w:b/>
          <w:lang w:eastAsia="en-AU"/>
        </w:rPr>
        <w:t xml:space="preserve">should be </w:t>
      </w:r>
      <w:r w:rsidR="002D7532">
        <w:rPr>
          <w:rFonts w:ascii="Arial" w:hAnsi="Arial" w:cs="Arial"/>
          <w:b/>
          <w:lang w:eastAsia="en-AU"/>
        </w:rPr>
        <w:t>removed</w:t>
      </w:r>
      <w:r w:rsidRPr="00143F9C">
        <w:rPr>
          <w:rFonts w:ascii="Arial" w:hAnsi="Arial" w:cs="Arial"/>
          <w:b/>
          <w:lang w:eastAsia="en-AU"/>
        </w:rPr>
        <w:t xml:space="preserve">. </w:t>
      </w:r>
    </w:p>
    <w:p w:rsidR="00143F9C" w:rsidRDefault="00143F9C" w:rsidP="000C09F0">
      <w:pPr>
        <w:rPr>
          <w:rFonts w:ascii="Arial" w:hAnsi="Arial" w:cs="Arial"/>
          <w:b/>
          <w:lang w:eastAsia="en-AU"/>
        </w:rPr>
      </w:pPr>
    </w:p>
    <w:p w:rsidR="000C09F0" w:rsidRPr="00143F9C" w:rsidRDefault="00143F9C" w:rsidP="000C09F0">
      <w:pPr>
        <w:rPr>
          <w:rFonts w:ascii="Arial" w:hAnsi="Arial" w:cs="Arial"/>
          <w:b/>
          <w:lang w:eastAsia="en-AU"/>
        </w:rPr>
      </w:pPr>
      <w:r w:rsidRPr="00143F9C">
        <w:rPr>
          <w:rFonts w:ascii="Arial" w:hAnsi="Arial" w:cs="Arial"/>
          <w:b/>
          <w:lang w:eastAsia="en-AU"/>
        </w:rPr>
        <w:t xml:space="preserve">Heavy vehicle operators should be able to pay registration charges on </w:t>
      </w:r>
      <w:r>
        <w:rPr>
          <w:rFonts w:ascii="Arial" w:hAnsi="Arial" w:cs="Arial"/>
          <w:b/>
          <w:lang w:eastAsia="en-AU"/>
        </w:rPr>
        <w:t>a monthly basis by direct debit.</w:t>
      </w:r>
      <w:r w:rsidRPr="00143F9C">
        <w:rPr>
          <w:rFonts w:ascii="Arial" w:hAnsi="Arial" w:cs="Arial"/>
          <w:b/>
          <w:lang w:eastAsia="en-AU"/>
        </w:rPr>
        <w:t xml:space="preserve"> </w:t>
      </w:r>
      <w:r>
        <w:rPr>
          <w:rFonts w:ascii="Arial" w:hAnsi="Arial" w:cs="Arial"/>
          <w:b/>
          <w:lang w:eastAsia="en-AU"/>
        </w:rPr>
        <w:t>O</w:t>
      </w:r>
      <w:r w:rsidRPr="00143F9C">
        <w:rPr>
          <w:rFonts w:ascii="Arial" w:hAnsi="Arial" w:cs="Arial"/>
          <w:b/>
          <w:lang w:eastAsia="en-AU"/>
        </w:rPr>
        <w:t xml:space="preserve">perators </w:t>
      </w:r>
      <w:r>
        <w:rPr>
          <w:rFonts w:ascii="Arial" w:hAnsi="Arial" w:cs="Arial"/>
          <w:b/>
          <w:lang w:eastAsia="en-AU"/>
        </w:rPr>
        <w:t xml:space="preserve">should be </w:t>
      </w:r>
      <w:r w:rsidRPr="00143F9C">
        <w:rPr>
          <w:rFonts w:ascii="Arial" w:hAnsi="Arial" w:cs="Arial"/>
          <w:b/>
          <w:lang w:eastAsia="en-AU"/>
        </w:rPr>
        <w:t>able to opt in to receive reminders by SMS/email</w:t>
      </w:r>
      <w:r>
        <w:rPr>
          <w:rFonts w:ascii="Arial" w:hAnsi="Arial" w:cs="Arial"/>
          <w:b/>
          <w:lang w:eastAsia="en-AU"/>
        </w:rPr>
        <w:t xml:space="preserve"> about registration payments that are due</w:t>
      </w:r>
      <w:r w:rsidRPr="00143F9C">
        <w:rPr>
          <w:rFonts w:ascii="Arial" w:hAnsi="Arial" w:cs="Arial"/>
          <w:b/>
          <w:lang w:eastAsia="en-AU"/>
        </w:rPr>
        <w:t>.</w:t>
      </w:r>
    </w:p>
    <w:p w:rsidR="00143F9C" w:rsidRPr="000C09F0" w:rsidRDefault="00143F9C" w:rsidP="000C09F0">
      <w:pPr>
        <w:rPr>
          <w:rFonts w:ascii="Arial" w:hAnsi="Arial" w:cs="Arial"/>
          <w:lang w:eastAsia="en-AU"/>
        </w:rPr>
      </w:pPr>
    </w:p>
    <w:p w:rsidR="000C09F0" w:rsidRPr="000C09F0" w:rsidRDefault="000C09F0" w:rsidP="000C09F0">
      <w:pPr>
        <w:rPr>
          <w:rFonts w:ascii="Arial" w:hAnsi="Arial" w:cs="Arial"/>
          <w:lang w:eastAsia="en-AU"/>
        </w:rPr>
      </w:pPr>
    </w:p>
    <w:p w:rsidR="00223D83" w:rsidRPr="00237A45" w:rsidRDefault="004E243D" w:rsidP="000C09F0">
      <w:pPr>
        <w:pStyle w:val="Heading2"/>
        <w:keepNext/>
      </w:pPr>
      <w:bookmarkStart w:id="17" w:name="_Toc457400410"/>
      <w:r>
        <w:t>Increasing</w:t>
      </w:r>
      <w:r w:rsidR="00C737A5">
        <w:t xml:space="preserve"> </w:t>
      </w:r>
      <w:r w:rsidR="00074164">
        <w:t xml:space="preserve">accountability and </w:t>
      </w:r>
      <w:r w:rsidR="00C737A5">
        <w:t>transparency</w:t>
      </w:r>
      <w:bookmarkEnd w:id="17"/>
      <w:r w:rsidR="00C737A5">
        <w:t xml:space="preserve"> </w:t>
      </w:r>
    </w:p>
    <w:p w:rsidR="00223D83" w:rsidRDefault="00223D83" w:rsidP="00AC4FCF">
      <w:pPr>
        <w:pStyle w:val="NormalWeb"/>
        <w:spacing w:before="0" w:beforeAutospacing="0" w:after="0" w:afterAutospacing="0"/>
        <w:rPr>
          <w:rFonts w:ascii="Arial" w:hAnsi="Arial" w:cs="Arial"/>
          <w:iCs/>
          <w:sz w:val="22"/>
          <w:szCs w:val="22"/>
        </w:rPr>
      </w:pPr>
    </w:p>
    <w:p w:rsidR="00E375C2" w:rsidRDefault="00E375C2" w:rsidP="00AC4FCF">
      <w:pPr>
        <w:pStyle w:val="NormalWeb"/>
        <w:spacing w:before="0" w:beforeAutospacing="0" w:after="0" w:afterAutospacing="0"/>
        <w:rPr>
          <w:rFonts w:ascii="Arial" w:hAnsi="Arial" w:cs="Arial"/>
          <w:iCs/>
          <w:sz w:val="22"/>
          <w:szCs w:val="22"/>
        </w:rPr>
      </w:pPr>
      <w:r>
        <w:rPr>
          <w:rFonts w:ascii="Arial" w:hAnsi="Arial" w:cs="Arial"/>
          <w:iCs/>
          <w:sz w:val="22"/>
          <w:szCs w:val="22"/>
        </w:rPr>
        <w:t>In the 2014 RIS, the NTC recommended a one-off audit/review of expenditure data modelled on option 4 in table 10 of the RIS. The cost of this audit was to be recoverable from heavy vehicle charges.</w:t>
      </w:r>
      <w:r>
        <w:rPr>
          <w:rStyle w:val="FootnoteReference"/>
          <w:rFonts w:ascii="Arial" w:hAnsi="Arial"/>
          <w:iCs/>
          <w:sz w:val="22"/>
          <w:szCs w:val="22"/>
        </w:rPr>
        <w:footnoteReference w:id="27"/>
      </w:r>
    </w:p>
    <w:p w:rsidR="00E375C2" w:rsidRDefault="00E375C2" w:rsidP="00AC4FCF">
      <w:pPr>
        <w:pStyle w:val="NormalWeb"/>
        <w:spacing w:before="0" w:beforeAutospacing="0" w:after="0" w:afterAutospacing="0"/>
        <w:rPr>
          <w:rFonts w:ascii="Arial" w:hAnsi="Arial" w:cs="Arial"/>
          <w:iCs/>
          <w:sz w:val="22"/>
          <w:szCs w:val="22"/>
        </w:rPr>
      </w:pPr>
    </w:p>
    <w:p w:rsidR="00E375C2" w:rsidRDefault="00E375C2" w:rsidP="00AC4FCF">
      <w:pPr>
        <w:pStyle w:val="NormalWeb"/>
        <w:spacing w:before="0" w:beforeAutospacing="0" w:after="0" w:afterAutospacing="0"/>
        <w:rPr>
          <w:rFonts w:ascii="Arial" w:hAnsi="Arial" w:cs="Arial"/>
          <w:iCs/>
          <w:sz w:val="22"/>
          <w:szCs w:val="22"/>
        </w:rPr>
      </w:pPr>
      <w:r>
        <w:rPr>
          <w:rFonts w:ascii="Arial" w:hAnsi="Arial" w:cs="Arial"/>
          <w:iCs/>
          <w:sz w:val="22"/>
          <w:szCs w:val="22"/>
        </w:rPr>
        <w:t>The audit has not yet gone ahead, due to the NTC’s entirely appropriate focus on developing the PAYGO discussion paper.</w:t>
      </w:r>
    </w:p>
    <w:p w:rsidR="00E375C2" w:rsidRDefault="00E375C2" w:rsidP="00AC4FCF">
      <w:pPr>
        <w:pStyle w:val="NormalWeb"/>
        <w:spacing w:before="0" w:beforeAutospacing="0" w:after="0" w:afterAutospacing="0"/>
        <w:rPr>
          <w:rFonts w:ascii="Arial" w:hAnsi="Arial" w:cs="Arial"/>
          <w:iCs/>
          <w:sz w:val="22"/>
          <w:szCs w:val="22"/>
        </w:rPr>
      </w:pPr>
    </w:p>
    <w:p w:rsidR="00E375C2" w:rsidRDefault="00E375C2" w:rsidP="00AC4FCF">
      <w:pPr>
        <w:pStyle w:val="NormalWeb"/>
        <w:spacing w:before="0" w:beforeAutospacing="0" w:after="0" w:afterAutospacing="0"/>
        <w:rPr>
          <w:rFonts w:ascii="Arial" w:hAnsi="Arial" w:cs="Arial"/>
          <w:iCs/>
          <w:sz w:val="22"/>
          <w:szCs w:val="22"/>
        </w:rPr>
      </w:pPr>
      <w:r>
        <w:rPr>
          <w:rFonts w:ascii="Arial" w:hAnsi="Arial" w:cs="Arial"/>
          <w:iCs/>
          <w:sz w:val="22"/>
          <w:szCs w:val="22"/>
        </w:rPr>
        <w:t>The ATA considers that any reforms to the PAYGO model</w:t>
      </w:r>
      <w:r w:rsidR="002D7532">
        <w:rPr>
          <w:rFonts w:ascii="Arial" w:hAnsi="Arial" w:cs="Arial"/>
          <w:iCs/>
          <w:sz w:val="22"/>
          <w:szCs w:val="22"/>
        </w:rPr>
        <w:t xml:space="preserve"> must include regular audits, particularly if the cost base is altered to include estimated and forecast expenditure</w:t>
      </w:r>
      <w:r>
        <w:rPr>
          <w:rFonts w:ascii="Arial" w:hAnsi="Arial" w:cs="Arial"/>
          <w:iCs/>
          <w:sz w:val="22"/>
          <w:szCs w:val="22"/>
        </w:rPr>
        <w:t xml:space="preserve">. </w:t>
      </w:r>
    </w:p>
    <w:p w:rsidR="00E375C2" w:rsidRDefault="00E375C2" w:rsidP="00AC4FCF">
      <w:pPr>
        <w:pStyle w:val="NormalWeb"/>
        <w:spacing w:before="0" w:beforeAutospacing="0" w:after="0" w:afterAutospacing="0"/>
        <w:rPr>
          <w:rFonts w:ascii="Arial" w:hAnsi="Arial" w:cs="Arial"/>
          <w:iCs/>
          <w:sz w:val="22"/>
          <w:szCs w:val="22"/>
        </w:rPr>
      </w:pPr>
    </w:p>
    <w:p w:rsidR="003E0651" w:rsidRDefault="002D7532" w:rsidP="002D7532">
      <w:pPr>
        <w:pStyle w:val="NormalWeb"/>
        <w:spacing w:before="0" w:beforeAutospacing="0" w:after="0" w:afterAutospacing="0"/>
        <w:rPr>
          <w:rFonts w:ascii="Arial" w:hAnsi="Arial" w:cs="Arial"/>
          <w:iCs/>
          <w:sz w:val="22"/>
          <w:szCs w:val="22"/>
        </w:rPr>
      </w:pPr>
      <w:r>
        <w:rPr>
          <w:rFonts w:ascii="Arial" w:hAnsi="Arial" w:cs="Arial"/>
          <w:iCs/>
          <w:sz w:val="22"/>
          <w:szCs w:val="22"/>
        </w:rPr>
        <w:t xml:space="preserve">The expenditure template should also be revised so that expenditure reported in the template can be matched against the </w:t>
      </w:r>
      <w:r w:rsidR="003E0651">
        <w:rPr>
          <w:rFonts w:ascii="Arial" w:hAnsi="Arial" w:cs="Arial"/>
          <w:iCs/>
          <w:sz w:val="22"/>
          <w:szCs w:val="22"/>
        </w:rPr>
        <w:t xml:space="preserve">four-year road expenditure and investment plans </w:t>
      </w:r>
      <w:r>
        <w:rPr>
          <w:rFonts w:ascii="Arial" w:hAnsi="Arial" w:cs="Arial"/>
          <w:iCs/>
          <w:sz w:val="22"/>
          <w:szCs w:val="22"/>
        </w:rPr>
        <w:t xml:space="preserve">for key freight routes </w:t>
      </w:r>
      <w:r w:rsidR="003E0651">
        <w:rPr>
          <w:rFonts w:ascii="Arial" w:hAnsi="Arial" w:cs="Arial"/>
          <w:iCs/>
          <w:sz w:val="22"/>
          <w:szCs w:val="22"/>
        </w:rPr>
        <w:t>released by the Transport and Infrastructure Council</w:t>
      </w:r>
      <w:r>
        <w:rPr>
          <w:rFonts w:ascii="Arial" w:hAnsi="Arial" w:cs="Arial"/>
          <w:iCs/>
          <w:sz w:val="22"/>
          <w:szCs w:val="22"/>
        </w:rPr>
        <w:t>.</w:t>
      </w:r>
    </w:p>
    <w:p w:rsidR="00223D83" w:rsidRDefault="00223D83" w:rsidP="00223D83">
      <w:pPr>
        <w:pStyle w:val="NormalWeb"/>
        <w:spacing w:before="0" w:beforeAutospacing="0" w:after="0" w:afterAutospacing="0"/>
        <w:rPr>
          <w:rFonts w:ascii="Arial" w:hAnsi="Arial" w:cs="Arial"/>
          <w:iCs/>
          <w:sz w:val="22"/>
          <w:szCs w:val="22"/>
        </w:rPr>
      </w:pPr>
    </w:p>
    <w:p w:rsidR="00223D83" w:rsidRDefault="00223D83" w:rsidP="00223D83">
      <w:pPr>
        <w:pStyle w:val="NormalWeb"/>
        <w:spacing w:before="0" w:beforeAutospacing="0" w:after="0" w:afterAutospacing="0"/>
        <w:rPr>
          <w:rFonts w:ascii="Arial" w:hAnsi="Arial" w:cs="Arial"/>
          <w:iCs/>
          <w:sz w:val="22"/>
          <w:szCs w:val="22"/>
        </w:rPr>
      </w:pPr>
    </w:p>
    <w:p w:rsidR="003E0651" w:rsidRPr="003E0651" w:rsidRDefault="003E0651" w:rsidP="002D7532">
      <w:pPr>
        <w:pStyle w:val="NormalWeb"/>
        <w:keepNext/>
        <w:spacing w:before="0" w:beforeAutospacing="0" w:after="0" w:afterAutospacing="0"/>
        <w:rPr>
          <w:rFonts w:ascii="Arial" w:hAnsi="Arial" w:cs="Arial"/>
          <w:b/>
          <w:iCs/>
          <w:sz w:val="22"/>
          <w:szCs w:val="22"/>
        </w:rPr>
      </w:pPr>
      <w:r w:rsidRPr="003E0651">
        <w:rPr>
          <w:rFonts w:ascii="Arial" w:hAnsi="Arial" w:cs="Arial"/>
          <w:b/>
          <w:iCs/>
          <w:sz w:val="22"/>
          <w:szCs w:val="22"/>
        </w:rPr>
        <w:lastRenderedPageBreak/>
        <w:t>Recommendation</w:t>
      </w:r>
      <w:r w:rsidR="00B948CB">
        <w:rPr>
          <w:rFonts w:ascii="Arial" w:hAnsi="Arial" w:cs="Arial"/>
          <w:b/>
          <w:iCs/>
          <w:sz w:val="22"/>
          <w:szCs w:val="22"/>
        </w:rPr>
        <w:t xml:space="preserve"> 7</w:t>
      </w:r>
    </w:p>
    <w:p w:rsidR="003E0651" w:rsidRDefault="003E0651" w:rsidP="002D7532">
      <w:pPr>
        <w:pStyle w:val="NormalWeb"/>
        <w:keepNext/>
        <w:spacing w:before="0" w:beforeAutospacing="0" w:after="0" w:afterAutospacing="0"/>
        <w:rPr>
          <w:rFonts w:ascii="Arial" w:hAnsi="Arial" w:cs="Arial"/>
          <w:iCs/>
          <w:sz w:val="22"/>
          <w:szCs w:val="22"/>
        </w:rPr>
      </w:pPr>
    </w:p>
    <w:p w:rsidR="003E0651" w:rsidRPr="003E0651" w:rsidRDefault="002D7532" w:rsidP="002D7532">
      <w:pPr>
        <w:pStyle w:val="NormalWeb"/>
        <w:keepNext/>
        <w:spacing w:before="0" w:beforeAutospacing="0" w:after="0" w:afterAutospacing="0"/>
        <w:rPr>
          <w:rFonts w:ascii="Arial" w:hAnsi="Arial" w:cs="Arial"/>
          <w:b/>
          <w:iCs/>
          <w:sz w:val="22"/>
          <w:szCs w:val="22"/>
        </w:rPr>
      </w:pPr>
      <w:r>
        <w:rPr>
          <w:rFonts w:ascii="Arial" w:hAnsi="Arial" w:cs="Arial"/>
          <w:b/>
          <w:iCs/>
          <w:sz w:val="22"/>
          <w:szCs w:val="22"/>
        </w:rPr>
        <w:t>Any reforms to PAYGO should include regular audits of state expenditure data.</w:t>
      </w:r>
    </w:p>
    <w:p w:rsidR="003E0651" w:rsidRDefault="003E0651" w:rsidP="00223D83">
      <w:pPr>
        <w:pStyle w:val="NormalWeb"/>
        <w:spacing w:before="0" w:beforeAutospacing="0" w:after="0" w:afterAutospacing="0"/>
        <w:rPr>
          <w:rFonts w:ascii="Arial" w:hAnsi="Arial" w:cs="Arial"/>
          <w:iCs/>
          <w:sz w:val="22"/>
          <w:szCs w:val="22"/>
        </w:rPr>
      </w:pPr>
    </w:p>
    <w:p w:rsidR="003E0651" w:rsidRPr="003E0651" w:rsidRDefault="003E0651" w:rsidP="00223D83">
      <w:pPr>
        <w:pStyle w:val="NormalWeb"/>
        <w:spacing w:before="0" w:beforeAutospacing="0" w:after="0" w:afterAutospacing="0"/>
        <w:rPr>
          <w:rFonts w:ascii="Arial" w:hAnsi="Arial" w:cs="Arial"/>
          <w:iCs/>
          <w:sz w:val="22"/>
          <w:szCs w:val="22"/>
        </w:rPr>
      </w:pPr>
    </w:p>
    <w:p w:rsidR="00223D83" w:rsidRPr="002D0CF6" w:rsidRDefault="003E0651" w:rsidP="003D0EAF">
      <w:pPr>
        <w:pStyle w:val="NormalWeb"/>
        <w:keepNext/>
        <w:spacing w:before="0" w:beforeAutospacing="0" w:after="0" w:afterAutospacing="0"/>
        <w:rPr>
          <w:rFonts w:ascii="Arial" w:hAnsi="Arial" w:cs="Arial"/>
          <w:b/>
          <w:iCs/>
          <w:sz w:val="22"/>
          <w:szCs w:val="22"/>
        </w:rPr>
      </w:pPr>
      <w:r>
        <w:rPr>
          <w:rFonts w:ascii="Arial" w:hAnsi="Arial" w:cs="Arial"/>
          <w:b/>
          <w:iCs/>
          <w:sz w:val="22"/>
          <w:szCs w:val="22"/>
        </w:rPr>
        <w:t>Recommendation</w:t>
      </w:r>
      <w:r w:rsidR="00B948CB">
        <w:rPr>
          <w:rFonts w:ascii="Arial" w:hAnsi="Arial" w:cs="Arial"/>
          <w:b/>
          <w:iCs/>
          <w:sz w:val="22"/>
          <w:szCs w:val="22"/>
        </w:rPr>
        <w:t xml:space="preserve"> 8</w:t>
      </w:r>
    </w:p>
    <w:p w:rsidR="00223D83" w:rsidRPr="002D0CF6" w:rsidRDefault="00223D83" w:rsidP="003D0EAF">
      <w:pPr>
        <w:pStyle w:val="NormalWeb"/>
        <w:keepNext/>
        <w:spacing w:before="0" w:beforeAutospacing="0" w:after="0" w:afterAutospacing="0"/>
        <w:rPr>
          <w:rFonts w:ascii="Arial" w:hAnsi="Arial" w:cs="Arial"/>
          <w:b/>
          <w:iCs/>
          <w:sz w:val="22"/>
          <w:szCs w:val="22"/>
        </w:rPr>
      </w:pPr>
    </w:p>
    <w:p w:rsidR="00223D83" w:rsidRPr="002D0CF6" w:rsidRDefault="002D7532" w:rsidP="002D7532">
      <w:pPr>
        <w:pStyle w:val="NormalWeb"/>
        <w:keepNext/>
        <w:spacing w:before="0" w:beforeAutospacing="0" w:after="0" w:afterAutospacing="0"/>
        <w:rPr>
          <w:rFonts w:ascii="Arial" w:hAnsi="Arial" w:cs="Arial"/>
          <w:b/>
          <w:iCs/>
          <w:sz w:val="22"/>
          <w:szCs w:val="22"/>
        </w:rPr>
      </w:pPr>
      <w:r>
        <w:rPr>
          <w:rFonts w:ascii="Arial" w:hAnsi="Arial" w:cs="Arial"/>
          <w:b/>
          <w:iCs/>
          <w:sz w:val="22"/>
          <w:szCs w:val="22"/>
        </w:rPr>
        <w:t>The NTC expenditure reporting template should be revised so expenditure reported in the template can be matched against the four year expenditure and investment plans for key freight routes released by the Transport and Infrastructure Council</w:t>
      </w:r>
      <w:r w:rsidR="00F24EE2">
        <w:rPr>
          <w:rFonts w:ascii="Arial" w:hAnsi="Arial" w:cs="Arial"/>
          <w:b/>
          <w:iCs/>
          <w:sz w:val="22"/>
          <w:szCs w:val="22"/>
        </w:rPr>
        <w:t>.</w:t>
      </w:r>
    </w:p>
    <w:p w:rsidR="00223D83" w:rsidRDefault="00223D83" w:rsidP="00223D83">
      <w:pPr>
        <w:pStyle w:val="NormalWeb"/>
        <w:spacing w:before="0" w:beforeAutospacing="0" w:after="0" w:afterAutospacing="0"/>
        <w:rPr>
          <w:rFonts w:ascii="Arial" w:hAnsi="Arial" w:cs="Arial"/>
          <w:iCs/>
          <w:sz w:val="22"/>
          <w:szCs w:val="22"/>
        </w:rPr>
      </w:pPr>
    </w:p>
    <w:p w:rsidR="00223D83" w:rsidRPr="002D0CF6" w:rsidRDefault="00223D83" w:rsidP="00223D83">
      <w:pPr>
        <w:pStyle w:val="NormalWeb"/>
        <w:spacing w:before="0" w:beforeAutospacing="0" w:after="0" w:afterAutospacing="0"/>
        <w:rPr>
          <w:rFonts w:ascii="Arial" w:hAnsi="Arial" w:cs="Arial"/>
          <w:iCs/>
          <w:sz w:val="22"/>
          <w:szCs w:val="22"/>
        </w:rPr>
      </w:pPr>
    </w:p>
    <w:p w:rsidR="009D143C" w:rsidRPr="00492D2E" w:rsidRDefault="00223D83" w:rsidP="00C737A5">
      <w:pPr>
        <w:pStyle w:val="Heading2"/>
        <w:keepNext/>
      </w:pPr>
      <w:bookmarkStart w:id="18" w:name="_Toc457400411"/>
      <w:r>
        <w:t>Carry</w:t>
      </w:r>
      <w:r w:rsidR="004E243D">
        <w:t>ing</w:t>
      </w:r>
      <w:r>
        <w:t xml:space="preserve"> out determinations every five years</w:t>
      </w:r>
      <w:bookmarkEnd w:id="18"/>
    </w:p>
    <w:p w:rsidR="00492D2E" w:rsidRDefault="00492D2E" w:rsidP="00C737A5">
      <w:pPr>
        <w:keepNext/>
        <w:rPr>
          <w:rFonts w:ascii="Arial" w:hAnsi="Arial" w:cs="Arial"/>
        </w:rPr>
      </w:pPr>
    </w:p>
    <w:p w:rsidR="006540B5" w:rsidRDefault="00135ABA" w:rsidP="00C737A5">
      <w:pPr>
        <w:keepNext/>
        <w:rPr>
          <w:rFonts w:ascii="Arial" w:hAnsi="Arial" w:cs="Arial"/>
        </w:rPr>
      </w:pPr>
      <w:r>
        <w:rPr>
          <w:rFonts w:ascii="Arial" w:hAnsi="Arial" w:cs="Arial"/>
        </w:rPr>
        <w:t>At present, heavy vehicle charges determinations are triggered by a joint decision of transport ministers through the Transport and Infrastructure Council. The NTC can also suggest triggering a determination if a proposed annual adjustment does not meet the COAG pricing principles.</w:t>
      </w:r>
      <w:r>
        <w:rPr>
          <w:rStyle w:val="FootnoteReference"/>
          <w:rFonts w:ascii="Arial" w:hAnsi="Arial"/>
        </w:rPr>
        <w:footnoteReference w:id="28"/>
      </w:r>
    </w:p>
    <w:p w:rsidR="00A64F9C" w:rsidRDefault="00A64F9C" w:rsidP="00E548FC">
      <w:pPr>
        <w:rPr>
          <w:rFonts w:ascii="Arial" w:eastAsiaTheme="minorHAnsi" w:hAnsi="Arial" w:cs="Arial"/>
        </w:rPr>
      </w:pPr>
    </w:p>
    <w:p w:rsidR="00C70D4B" w:rsidRDefault="00C70D4B" w:rsidP="00E548FC">
      <w:pPr>
        <w:rPr>
          <w:rFonts w:ascii="Arial" w:eastAsiaTheme="minorHAnsi" w:hAnsi="Arial" w:cs="Arial"/>
        </w:rPr>
      </w:pPr>
      <w:r>
        <w:rPr>
          <w:rFonts w:ascii="Arial" w:eastAsiaTheme="minorHAnsi" w:hAnsi="Arial" w:cs="Arial"/>
        </w:rPr>
        <w:t>Because of the uncertainty about the timing of determinations, the charging methodology is endlessly re-litigated. Reviews are commissioned before the results of changes to the model can be evaluated. Major engineering and economic research projects are considered without any clarity about when the results could be put into effect.</w:t>
      </w:r>
    </w:p>
    <w:p w:rsidR="00C70D4B" w:rsidRDefault="00C70D4B" w:rsidP="00E548FC">
      <w:pPr>
        <w:rPr>
          <w:rFonts w:ascii="Arial" w:eastAsiaTheme="minorHAnsi" w:hAnsi="Arial" w:cs="Arial"/>
        </w:rPr>
      </w:pPr>
    </w:p>
    <w:p w:rsidR="00C70D4B" w:rsidRDefault="002D7532" w:rsidP="00E548FC">
      <w:pPr>
        <w:rPr>
          <w:rFonts w:ascii="Arial" w:eastAsiaTheme="minorHAnsi" w:hAnsi="Arial" w:cs="Arial"/>
        </w:rPr>
      </w:pPr>
      <w:r>
        <w:rPr>
          <w:rFonts w:ascii="Arial" w:eastAsiaTheme="minorHAnsi" w:hAnsi="Arial" w:cs="Arial"/>
        </w:rPr>
        <w:t>Many</w:t>
      </w:r>
      <w:r w:rsidR="00C70D4B">
        <w:rPr>
          <w:rFonts w:ascii="Arial" w:eastAsiaTheme="minorHAnsi" w:hAnsi="Arial" w:cs="Arial"/>
        </w:rPr>
        <w:t xml:space="preserve"> regulated </w:t>
      </w:r>
      <w:r>
        <w:rPr>
          <w:rFonts w:ascii="Arial" w:eastAsiaTheme="minorHAnsi" w:hAnsi="Arial" w:cs="Arial"/>
        </w:rPr>
        <w:t xml:space="preserve">sectors </w:t>
      </w:r>
      <w:r w:rsidR="00C70D4B">
        <w:rPr>
          <w:rFonts w:ascii="Arial" w:eastAsiaTheme="minorHAnsi" w:hAnsi="Arial" w:cs="Arial"/>
        </w:rPr>
        <w:t xml:space="preserve">have five year regulatory periods. </w:t>
      </w:r>
      <w:r>
        <w:rPr>
          <w:rFonts w:ascii="Arial" w:eastAsiaTheme="minorHAnsi" w:hAnsi="Arial" w:cs="Arial"/>
        </w:rPr>
        <w:t xml:space="preserve">Adopting a fixed, five year period for road user charging determinations </w:t>
      </w:r>
      <w:r w:rsidR="00C90D4F">
        <w:rPr>
          <w:rFonts w:ascii="Arial" w:eastAsiaTheme="minorHAnsi" w:hAnsi="Arial" w:cs="Arial"/>
        </w:rPr>
        <w:t xml:space="preserve">would </w:t>
      </w:r>
      <w:r>
        <w:rPr>
          <w:rFonts w:ascii="Arial" w:eastAsiaTheme="minorHAnsi" w:hAnsi="Arial" w:cs="Arial"/>
        </w:rPr>
        <w:t>provide enough time for</w:t>
      </w:r>
      <w:r w:rsidR="001806A4">
        <w:rPr>
          <w:rFonts w:ascii="Arial" w:eastAsiaTheme="minorHAnsi" w:hAnsi="Arial" w:cs="Arial"/>
        </w:rPr>
        <w:t xml:space="preserve"> research </w:t>
      </w:r>
      <w:r w:rsidR="005D77A5">
        <w:rPr>
          <w:rFonts w:ascii="Arial" w:eastAsiaTheme="minorHAnsi" w:hAnsi="Arial" w:cs="Arial"/>
        </w:rPr>
        <w:t xml:space="preserve">projects </w:t>
      </w:r>
      <w:r w:rsidR="00C90D4F">
        <w:rPr>
          <w:rFonts w:ascii="Arial" w:eastAsiaTheme="minorHAnsi" w:hAnsi="Arial" w:cs="Arial"/>
        </w:rPr>
        <w:t>– such as those</w:t>
      </w:r>
      <w:r w:rsidR="001806A4">
        <w:rPr>
          <w:rFonts w:ascii="Arial" w:eastAsiaTheme="minorHAnsi" w:hAnsi="Arial" w:cs="Arial"/>
        </w:rPr>
        <w:t xml:space="preserve"> proposed in NTC options 7 and 8 – to be carried out with certainty </w:t>
      </w:r>
      <w:r w:rsidR="00631E98">
        <w:rPr>
          <w:rFonts w:ascii="Arial" w:eastAsiaTheme="minorHAnsi" w:hAnsi="Arial" w:cs="Arial"/>
        </w:rPr>
        <w:t xml:space="preserve">about </w:t>
      </w:r>
      <w:r w:rsidR="001806A4">
        <w:rPr>
          <w:rFonts w:ascii="Arial" w:eastAsiaTheme="minorHAnsi" w:hAnsi="Arial" w:cs="Arial"/>
        </w:rPr>
        <w:t xml:space="preserve">the date </w:t>
      </w:r>
      <w:r w:rsidR="00631E98">
        <w:rPr>
          <w:rFonts w:ascii="Arial" w:eastAsiaTheme="minorHAnsi" w:hAnsi="Arial" w:cs="Arial"/>
        </w:rPr>
        <w:t xml:space="preserve">the results are </w:t>
      </w:r>
      <w:r w:rsidR="001806A4">
        <w:rPr>
          <w:rFonts w:ascii="Arial" w:eastAsiaTheme="minorHAnsi" w:hAnsi="Arial" w:cs="Arial"/>
        </w:rPr>
        <w:t>required.</w:t>
      </w:r>
    </w:p>
    <w:p w:rsidR="001806A4" w:rsidRDefault="001806A4" w:rsidP="00E548FC">
      <w:pPr>
        <w:rPr>
          <w:rFonts w:ascii="Arial" w:eastAsiaTheme="minorHAnsi" w:hAnsi="Arial" w:cs="Arial"/>
        </w:rPr>
      </w:pPr>
    </w:p>
    <w:p w:rsidR="002D7532" w:rsidRDefault="002D7532" w:rsidP="00E548FC">
      <w:pPr>
        <w:rPr>
          <w:rFonts w:ascii="Arial" w:eastAsiaTheme="minorHAnsi" w:hAnsi="Arial" w:cs="Arial"/>
        </w:rPr>
      </w:pPr>
      <w:r>
        <w:rPr>
          <w:rFonts w:ascii="Arial" w:eastAsiaTheme="minorHAnsi" w:hAnsi="Arial" w:cs="Arial"/>
        </w:rPr>
        <w:t>A fixed determination period would enable the path of the road user and registration charges to be smoothed, if recommendation 10 was adopted.</w:t>
      </w:r>
    </w:p>
    <w:p w:rsidR="002D7532" w:rsidRDefault="002D7532" w:rsidP="00E548FC">
      <w:pPr>
        <w:rPr>
          <w:rFonts w:ascii="Arial" w:eastAsiaTheme="minorHAnsi" w:hAnsi="Arial" w:cs="Arial"/>
        </w:rPr>
      </w:pPr>
    </w:p>
    <w:p w:rsidR="00C90D4F" w:rsidRDefault="001806A4" w:rsidP="00E548FC">
      <w:pPr>
        <w:rPr>
          <w:rFonts w:ascii="Arial" w:eastAsiaTheme="minorHAnsi" w:hAnsi="Arial" w:cs="Arial"/>
        </w:rPr>
      </w:pPr>
      <w:r>
        <w:rPr>
          <w:rFonts w:ascii="Arial" w:eastAsiaTheme="minorHAnsi" w:hAnsi="Arial" w:cs="Arial"/>
        </w:rPr>
        <w:t xml:space="preserve">Adopting a five year period would </w:t>
      </w:r>
      <w:r w:rsidR="00DC09CE">
        <w:rPr>
          <w:rFonts w:ascii="Arial" w:eastAsiaTheme="minorHAnsi" w:hAnsi="Arial" w:cs="Arial"/>
        </w:rPr>
        <w:t xml:space="preserve">also </w:t>
      </w:r>
      <w:r>
        <w:rPr>
          <w:rFonts w:ascii="Arial" w:eastAsiaTheme="minorHAnsi" w:hAnsi="Arial" w:cs="Arial"/>
        </w:rPr>
        <w:t xml:space="preserve">fit the </w:t>
      </w:r>
      <w:r w:rsidR="00DC09CE">
        <w:rPr>
          <w:rFonts w:ascii="Arial" w:eastAsiaTheme="minorHAnsi" w:hAnsi="Arial" w:cs="Arial"/>
        </w:rPr>
        <w:t xml:space="preserve">Australian Government’s plan to transition to independent heavy vehicle price regulation by 2017-18. The incoming independent regulator – whether it is the NTC or another agency – would have </w:t>
      </w:r>
      <w:r w:rsidR="00631E98">
        <w:rPr>
          <w:rFonts w:ascii="Arial" w:eastAsiaTheme="minorHAnsi" w:hAnsi="Arial" w:cs="Arial"/>
        </w:rPr>
        <w:t xml:space="preserve">time to develop a </w:t>
      </w:r>
      <w:r w:rsidR="00DC09CE">
        <w:rPr>
          <w:rFonts w:ascii="Arial" w:eastAsiaTheme="minorHAnsi" w:hAnsi="Arial" w:cs="Arial"/>
        </w:rPr>
        <w:t>new determination</w:t>
      </w:r>
      <w:r w:rsidR="00C90D4F">
        <w:rPr>
          <w:rFonts w:ascii="Arial" w:eastAsiaTheme="minorHAnsi" w:hAnsi="Arial" w:cs="Arial"/>
        </w:rPr>
        <w:t xml:space="preserve"> based on the recommendations in this submission</w:t>
      </w:r>
      <w:r w:rsidR="00DC09CE">
        <w:rPr>
          <w:rFonts w:ascii="Arial" w:eastAsiaTheme="minorHAnsi" w:hAnsi="Arial" w:cs="Arial"/>
        </w:rPr>
        <w:t xml:space="preserve"> in time for it to come into force in 2019, five years after the 2014 determination.</w:t>
      </w:r>
      <w:r w:rsidR="00A73A7A">
        <w:rPr>
          <w:rFonts w:ascii="Arial" w:eastAsiaTheme="minorHAnsi" w:hAnsi="Arial" w:cs="Arial"/>
        </w:rPr>
        <w:t xml:space="preserve"> </w:t>
      </w:r>
    </w:p>
    <w:p w:rsidR="00C90D4F" w:rsidRDefault="00C90D4F" w:rsidP="00E548FC">
      <w:pPr>
        <w:rPr>
          <w:rFonts w:ascii="Arial" w:eastAsiaTheme="minorHAnsi" w:hAnsi="Arial" w:cs="Arial"/>
        </w:rPr>
      </w:pPr>
    </w:p>
    <w:p w:rsidR="001806A4" w:rsidRDefault="00C90D4F" w:rsidP="00E548FC">
      <w:pPr>
        <w:rPr>
          <w:rFonts w:ascii="Arial" w:eastAsiaTheme="minorHAnsi" w:hAnsi="Arial" w:cs="Arial"/>
        </w:rPr>
      </w:pPr>
      <w:r>
        <w:rPr>
          <w:rFonts w:ascii="Arial" w:eastAsiaTheme="minorHAnsi" w:hAnsi="Arial" w:cs="Arial"/>
        </w:rPr>
        <w:t>In the interim, c</w:t>
      </w:r>
      <w:r w:rsidR="00A73A7A">
        <w:rPr>
          <w:rFonts w:ascii="Arial" w:eastAsiaTheme="minorHAnsi" w:hAnsi="Arial" w:cs="Arial"/>
        </w:rPr>
        <w:t>harges for 2017-18 should be set to maintain the</w:t>
      </w:r>
      <w:r w:rsidR="0025341C">
        <w:rPr>
          <w:rFonts w:ascii="Arial" w:eastAsiaTheme="minorHAnsi" w:hAnsi="Arial" w:cs="Arial"/>
        </w:rPr>
        <w:t xml:space="preserve"> agreed</w:t>
      </w:r>
      <w:r w:rsidR="00A73A7A">
        <w:rPr>
          <w:rFonts w:ascii="Arial" w:eastAsiaTheme="minorHAnsi" w:hAnsi="Arial" w:cs="Arial"/>
        </w:rPr>
        <w:t xml:space="preserve"> freeze on revenue; charges for 2018-19 should </w:t>
      </w:r>
      <w:r>
        <w:rPr>
          <w:rFonts w:ascii="Arial" w:eastAsiaTheme="minorHAnsi" w:hAnsi="Arial" w:cs="Arial"/>
        </w:rPr>
        <w:t>implement as many of the ATA recommendations as possible</w:t>
      </w:r>
      <w:r w:rsidR="00A73A7A">
        <w:rPr>
          <w:rFonts w:ascii="Arial" w:eastAsiaTheme="minorHAnsi" w:hAnsi="Arial" w:cs="Arial"/>
        </w:rPr>
        <w:t>.</w:t>
      </w:r>
    </w:p>
    <w:p w:rsidR="00230CBC" w:rsidRDefault="00230CBC" w:rsidP="00E548FC">
      <w:pPr>
        <w:rPr>
          <w:rFonts w:ascii="Arial" w:eastAsiaTheme="minorHAnsi" w:hAnsi="Arial" w:cs="Arial"/>
        </w:rPr>
      </w:pPr>
    </w:p>
    <w:p w:rsidR="00AB0548" w:rsidRDefault="00AB0548" w:rsidP="00E548FC">
      <w:pPr>
        <w:rPr>
          <w:rFonts w:ascii="Arial" w:eastAsiaTheme="minorHAnsi" w:hAnsi="Arial" w:cs="Arial"/>
        </w:rPr>
      </w:pPr>
    </w:p>
    <w:p w:rsidR="006540B5" w:rsidRPr="006540B5" w:rsidRDefault="00B948CB" w:rsidP="00AD416E">
      <w:pPr>
        <w:keepNext/>
        <w:rPr>
          <w:rFonts w:ascii="Arial" w:eastAsiaTheme="minorHAnsi" w:hAnsi="Arial" w:cs="Arial"/>
          <w:b/>
        </w:rPr>
      </w:pPr>
      <w:r>
        <w:rPr>
          <w:rFonts w:ascii="Arial" w:eastAsiaTheme="minorHAnsi" w:hAnsi="Arial" w:cs="Arial"/>
          <w:b/>
        </w:rPr>
        <w:lastRenderedPageBreak/>
        <w:t>Recommendation 9</w:t>
      </w:r>
    </w:p>
    <w:p w:rsidR="006540B5" w:rsidRPr="005F5AA9" w:rsidRDefault="006540B5" w:rsidP="00AD416E">
      <w:pPr>
        <w:keepNext/>
        <w:rPr>
          <w:rFonts w:ascii="Arial" w:eastAsiaTheme="minorHAnsi" w:hAnsi="Arial" w:cs="Arial"/>
        </w:rPr>
      </w:pPr>
    </w:p>
    <w:p w:rsidR="006540B5" w:rsidRDefault="00DC09CE" w:rsidP="00AD416E">
      <w:pPr>
        <w:keepNext/>
        <w:rPr>
          <w:rFonts w:ascii="Arial" w:eastAsiaTheme="minorHAnsi" w:hAnsi="Arial" w:cs="Arial"/>
          <w:b/>
        </w:rPr>
      </w:pPr>
      <w:r>
        <w:rPr>
          <w:rFonts w:ascii="Arial" w:eastAsiaTheme="minorHAnsi" w:hAnsi="Arial" w:cs="Arial"/>
          <w:b/>
        </w:rPr>
        <w:t xml:space="preserve">Heavy vehicle charging </w:t>
      </w:r>
      <w:r w:rsidR="006540B5" w:rsidRPr="006540B5">
        <w:rPr>
          <w:rFonts w:ascii="Arial" w:eastAsiaTheme="minorHAnsi" w:hAnsi="Arial" w:cs="Arial"/>
          <w:b/>
        </w:rPr>
        <w:t xml:space="preserve">determinations should be developed </w:t>
      </w:r>
      <w:r w:rsidR="00631E98">
        <w:rPr>
          <w:rFonts w:ascii="Arial" w:eastAsiaTheme="minorHAnsi" w:hAnsi="Arial" w:cs="Arial"/>
          <w:b/>
        </w:rPr>
        <w:t>on a five year cycle</w:t>
      </w:r>
      <w:r w:rsidR="006540B5" w:rsidRPr="006540B5">
        <w:rPr>
          <w:rFonts w:ascii="Arial" w:eastAsiaTheme="minorHAnsi" w:hAnsi="Arial" w:cs="Arial"/>
          <w:b/>
        </w:rPr>
        <w:t>, with the next determination to come into force in 2019</w:t>
      </w:r>
      <w:r w:rsidR="00AB0548">
        <w:rPr>
          <w:rFonts w:ascii="Arial" w:eastAsiaTheme="minorHAnsi" w:hAnsi="Arial" w:cs="Arial"/>
          <w:b/>
        </w:rPr>
        <w:t>.</w:t>
      </w:r>
      <w:r w:rsidR="00A73A7A">
        <w:rPr>
          <w:rFonts w:ascii="Arial" w:eastAsiaTheme="minorHAnsi" w:hAnsi="Arial" w:cs="Arial"/>
          <w:b/>
        </w:rPr>
        <w:t xml:space="preserve"> </w:t>
      </w:r>
    </w:p>
    <w:p w:rsidR="00A73A7A" w:rsidRDefault="00A73A7A" w:rsidP="00AD416E">
      <w:pPr>
        <w:keepNext/>
        <w:rPr>
          <w:rFonts w:ascii="Arial" w:eastAsiaTheme="minorHAnsi" w:hAnsi="Arial" w:cs="Arial"/>
          <w:b/>
        </w:rPr>
      </w:pPr>
    </w:p>
    <w:p w:rsidR="00A73A7A" w:rsidRDefault="00A73A7A" w:rsidP="00AD416E">
      <w:pPr>
        <w:keepNext/>
        <w:rPr>
          <w:rFonts w:ascii="Arial" w:eastAsiaTheme="minorHAnsi" w:hAnsi="Arial" w:cs="Arial"/>
          <w:b/>
        </w:rPr>
      </w:pPr>
    </w:p>
    <w:p w:rsidR="00A73A7A" w:rsidRPr="00F24EE2" w:rsidRDefault="00A73A7A" w:rsidP="00F24EE2">
      <w:pPr>
        <w:pStyle w:val="Heading2"/>
        <w:keepNext/>
        <w:rPr>
          <w:rFonts w:eastAsiaTheme="minorHAnsi"/>
        </w:rPr>
      </w:pPr>
      <w:bookmarkStart w:id="19" w:name="_Toc457400412"/>
      <w:r w:rsidRPr="00F24EE2">
        <w:rPr>
          <w:rFonts w:eastAsiaTheme="minorHAnsi"/>
        </w:rPr>
        <w:t>Smoothing changes to heavy vehicle charges</w:t>
      </w:r>
      <w:bookmarkEnd w:id="19"/>
    </w:p>
    <w:p w:rsidR="00A73A7A" w:rsidRDefault="00A73A7A" w:rsidP="00F24EE2">
      <w:pPr>
        <w:keepNext/>
        <w:rPr>
          <w:rFonts w:ascii="Arial" w:eastAsiaTheme="minorHAnsi" w:hAnsi="Arial" w:cs="Arial"/>
          <w:b/>
        </w:rPr>
      </w:pPr>
    </w:p>
    <w:p w:rsidR="00D52824" w:rsidRDefault="00A73A7A" w:rsidP="00F24EE2">
      <w:pPr>
        <w:keepNext/>
        <w:rPr>
          <w:rFonts w:ascii="Arial" w:eastAsiaTheme="minorHAnsi" w:hAnsi="Arial" w:cs="Arial"/>
        </w:rPr>
      </w:pPr>
      <w:r w:rsidRPr="00A73A7A">
        <w:rPr>
          <w:rFonts w:ascii="Arial" w:eastAsiaTheme="minorHAnsi" w:hAnsi="Arial" w:cs="Arial"/>
        </w:rPr>
        <w:t xml:space="preserve">As table 2 </w:t>
      </w:r>
      <w:r>
        <w:rPr>
          <w:rFonts w:ascii="Arial" w:eastAsiaTheme="minorHAnsi" w:hAnsi="Arial" w:cs="Arial"/>
        </w:rPr>
        <w:t xml:space="preserve">shows, heavy vehicle registration charges are </w:t>
      </w:r>
      <w:r w:rsidR="00BF6DB5">
        <w:rPr>
          <w:rFonts w:ascii="Arial" w:eastAsiaTheme="minorHAnsi" w:hAnsi="Arial" w:cs="Arial"/>
        </w:rPr>
        <w:t>unpredictable and unstable.</w:t>
      </w:r>
    </w:p>
    <w:p w:rsidR="00D52824" w:rsidRDefault="00D52824" w:rsidP="00AD416E">
      <w:pPr>
        <w:keepNext/>
        <w:rPr>
          <w:rFonts w:ascii="Arial" w:eastAsiaTheme="minorHAnsi" w:hAnsi="Arial" w:cs="Arial"/>
        </w:rPr>
      </w:pPr>
    </w:p>
    <w:p w:rsidR="00D52824" w:rsidRDefault="00D52824" w:rsidP="00AD416E">
      <w:pPr>
        <w:keepNext/>
        <w:rPr>
          <w:rFonts w:ascii="Arial" w:eastAsiaTheme="minorHAnsi" w:hAnsi="Arial" w:cs="Arial"/>
        </w:rPr>
      </w:pPr>
      <w:r>
        <w:rPr>
          <w:rFonts w:ascii="Arial" w:eastAsiaTheme="minorHAnsi" w:hAnsi="Arial" w:cs="Arial"/>
        </w:rPr>
        <w:t xml:space="preserve"> ATA recommendations 4, 5, 9 and if </w:t>
      </w:r>
      <w:r w:rsidR="00692951">
        <w:rPr>
          <w:rFonts w:ascii="Arial" w:eastAsiaTheme="minorHAnsi" w:hAnsi="Arial" w:cs="Arial"/>
        </w:rPr>
        <w:t>required</w:t>
      </w:r>
      <w:r>
        <w:rPr>
          <w:rFonts w:ascii="Arial" w:eastAsiaTheme="minorHAnsi" w:hAnsi="Arial" w:cs="Arial"/>
        </w:rPr>
        <w:t xml:space="preserve"> 3 would establish an environment where the NTC could implement a smoothed path for heavy vehicle charges throughout a determination period, rather than imposing sudden, disruptive changes. </w:t>
      </w:r>
    </w:p>
    <w:p w:rsidR="00D52824" w:rsidRDefault="00D52824" w:rsidP="00AD416E">
      <w:pPr>
        <w:keepNext/>
        <w:rPr>
          <w:rFonts w:ascii="Arial" w:eastAsiaTheme="minorHAnsi" w:hAnsi="Arial" w:cs="Arial"/>
        </w:rPr>
      </w:pPr>
    </w:p>
    <w:p w:rsidR="00A73A7A" w:rsidRDefault="00D52824" w:rsidP="00AD416E">
      <w:pPr>
        <w:keepNext/>
        <w:rPr>
          <w:rFonts w:ascii="Arial" w:eastAsiaTheme="minorHAnsi" w:hAnsi="Arial" w:cs="Arial"/>
        </w:rPr>
      </w:pPr>
      <w:r>
        <w:rPr>
          <w:rFonts w:ascii="Arial" w:eastAsiaTheme="minorHAnsi" w:hAnsi="Arial" w:cs="Arial"/>
        </w:rPr>
        <w:t xml:space="preserve">The implementation of an unders and overs account with an appropriate interest rate </w:t>
      </w:r>
      <w:r w:rsidR="003C44F2">
        <w:rPr>
          <w:rFonts w:ascii="Arial" w:eastAsiaTheme="minorHAnsi" w:hAnsi="Arial" w:cs="Arial"/>
        </w:rPr>
        <w:t xml:space="preserve">would mean that </w:t>
      </w:r>
      <w:r>
        <w:rPr>
          <w:rFonts w:ascii="Arial" w:eastAsiaTheme="minorHAnsi" w:hAnsi="Arial" w:cs="Arial"/>
        </w:rPr>
        <w:t xml:space="preserve">governments </w:t>
      </w:r>
      <w:r w:rsidR="003C44F2">
        <w:rPr>
          <w:rFonts w:ascii="Arial" w:eastAsiaTheme="minorHAnsi" w:hAnsi="Arial" w:cs="Arial"/>
        </w:rPr>
        <w:t xml:space="preserve">could be </w:t>
      </w:r>
      <w:r>
        <w:rPr>
          <w:rFonts w:ascii="Arial" w:eastAsiaTheme="minorHAnsi" w:hAnsi="Arial" w:cs="Arial"/>
        </w:rPr>
        <w:t>indifferent to the smoothing process: the NPV of their revenue would be the same.</w:t>
      </w:r>
    </w:p>
    <w:p w:rsidR="00D52824" w:rsidRDefault="00D52824" w:rsidP="00AD416E">
      <w:pPr>
        <w:keepNext/>
        <w:rPr>
          <w:rFonts w:ascii="Arial" w:eastAsiaTheme="minorHAnsi" w:hAnsi="Arial" w:cs="Arial"/>
        </w:rPr>
      </w:pPr>
    </w:p>
    <w:p w:rsidR="005F02DD" w:rsidRPr="005F02DD" w:rsidRDefault="005F02DD" w:rsidP="005F02DD">
      <w:pPr>
        <w:keepNext/>
        <w:rPr>
          <w:rFonts w:ascii="Arial" w:eastAsiaTheme="minorHAnsi" w:hAnsi="Arial" w:cs="Arial"/>
        </w:rPr>
      </w:pPr>
      <w:r w:rsidRPr="005F02DD">
        <w:rPr>
          <w:rFonts w:ascii="Arial" w:eastAsiaTheme="minorHAnsi" w:hAnsi="Arial" w:cs="Arial"/>
        </w:rPr>
        <w:t>The COAG pricing principles should be revised if necessary to accommodate this approach.</w:t>
      </w:r>
    </w:p>
    <w:p w:rsidR="003C44F2" w:rsidRDefault="003C44F2" w:rsidP="00AD416E">
      <w:pPr>
        <w:keepNext/>
        <w:rPr>
          <w:rFonts w:ascii="Arial" w:eastAsiaTheme="minorHAnsi" w:hAnsi="Arial" w:cs="Arial"/>
        </w:rPr>
      </w:pPr>
    </w:p>
    <w:p w:rsidR="003C44F2" w:rsidRDefault="003C44F2" w:rsidP="00AD416E">
      <w:pPr>
        <w:keepNext/>
        <w:rPr>
          <w:rFonts w:ascii="Arial" w:eastAsiaTheme="minorHAnsi" w:hAnsi="Arial" w:cs="Arial"/>
        </w:rPr>
      </w:pPr>
    </w:p>
    <w:p w:rsidR="003C44F2" w:rsidRDefault="003C44F2" w:rsidP="00AD416E">
      <w:pPr>
        <w:keepNext/>
        <w:rPr>
          <w:rFonts w:ascii="Arial" w:eastAsiaTheme="minorHAnsi" w:hAnsi="Arial" w:cs="Arial"/>
          <w:b/>
        </w:rPr>
      </w:pPr>
      <w:r w:rsidRPr="003C44F2">
        <w:rPr>
          <w:rFonts w:ascii="Arial" w:eastAsiaTheme="minorHAnsi" w:hAnsi="Arial" w:cs="Arial"/>
          <w:b/>
        </w:rPr>
        <w:t>Recommendation 10</w:t>
      </w:r>
    </w:p>
    <w:p w:rsidR="003C44F2" w:rsidRPr="003C44F2" w:rsidRDefault="003C44F2" w:rsidP="00AD416E">
      <w:pPr>
        <w:keepNext/>
        <w:rPr>
          <w:rFonts w:ascii="Arial" w:eastAsiaTheme="minorHAnsi" w:hAnsi="Arial" w:cs="Arial"/>
          <w:b/>
        </w:rPr>
      </w:pPr>
    </w:p>
    <w:p w:rsidR="003C44F2" w:rsidRPr="003C44F2" w:rsidRDefault="003C44F2" w:rsidP="00AD416E">
      <w:pPr>
        <w:keepNext/>
        <w:rPr>
          <w:rFonts w:ascii="Arial" w:eastAsiaTheme="minorHAnsi" w:hAnsi="Arial" w:cs="Arial"/>
          <w:b/>
        </w:rPr>
      </w:pPr>
      <w:r w:rsidRPr="003C44F2">
        <w:rPr>
          <w:rFonts w:ascii="Arial" w:eastAsiaTheme="minorHAnsi" w:hAnsi="Arial" w:cs="Arial"/>
          <w:b/>
        </w:rPr>
        <w:t xml:space="preserve">The NTC should </w:t>
      </w:r>
      <w:r w:rsidR="00AF3BFA">
        <w:rPr>
          <w:rFonts w:ascii="Arial" w:eastAsiaTheme="minorHAnsi" w:hAnsi="Arial" w:cs="Arial"/>
          <w:b/>
        </w:rPr>
        <w:t xml:space="preserve">able to </w:t>
      </w:r>
      <w:r w:rsidRPr="003C44F2">
        <w:rPr>
          <w:rFonts w:ascii="Arial" w:eastAsiaTheme="minorHAnsi" w:hAnsi="Arial" w:cs="Arial"/>
          <w:b/>
        </w:rPr>
        <w:t>determine a smoothed path for heavy vehicle charges throughout each determination period. The COAG pricing principles should be revised if necessary to accommodate this approach.</w:t>
      </w:r>
    </w:p>
    <w:sectPr w:rsidR="003C44F2" w:rsidRPr="003C44F2" w:rsidSect="00A91411">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567" w:left="1134" w:header="703"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F1" w:rsidRDefault="00613AF1" w:rsidP="000F3D9F">
      <w:r>
        <w:separator/>
      </w:r>
    </w:p>
  </w:endnote>
  <w:endnote w:type="continuationSeparator" w:id="0">
    <w:p w:rsidR="00613AF1" w:rsidRDefault="00613AF1" w:rsidP="000F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16" w:rsidRDefault="00F439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F1" w:rsidRDefault="00613AF1" w:rsidP="0000435D">
    <w:pPr>
      <w:jc w:val="right"/>
      <w:rPr>
        <w:rFonts w:ascii="Arial" w:hAnsi="Arial" w:cs="Arial"/>
        <w:smallCaps/>
        <w:noProof/>
        <w:szCs w:val="23"/>
        <w:lang w:eastAsia="en-AU"/>
      </w:rPr>
    </w:pPr>
    <w:r>
      <w:rPr>
        <w:rFonts w:ascii="Arial" w:hAnsi="Arial" w:cs="Arial"/>
        <w:smallCaps/>
        <w:noProof/>
        <w:szCs w:val="23"/>
        <w:lang w:eastAsia="en-AU"/>
      </w:rPr>
      <w:drawing>
        <wp:inline distT="0" distB="0" distL="0" distR="0" wp14:anchorId="19CF4117" wp14:editId="3F00CF92">
          <wp:extent cx="1751501" cy="84645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1501" cy="846455"/>
                  </a:xfrm>
                  <a:prstGeom prst="rect">
                    <a:avLst/>
                  </a:prstGeom>
                  <a:noFill/>
                  <a:ln w="9525">
                    <a:noFill/>
                    <a:miter lim="800000"/>
                    <a:headEnd/>
                    <a:tailEnd/>
                  </a:ln>
                </pic:spPr>
              </pic:pic>
            </a:graphicData>
          </a:graphic>
        </wp:inline>
      </w:drawing>
    </w:r>
  </w:p>
  <w:p w:rsidR="00613AF1" w:rsidRPr="00E8056B" w:rsidRDefault="00613AF1" w:rsidP="00E8056B">
    <w:pPr>
      <w:jc w:val="right"/>
      <w:rPr>
        <w:rFonts w:ascii="Arial" w:hAnsi="Arial" w:cs="Arial"/>
        <w:sz w:val="16"/>
        <w:szCs w:val="16"/>
      </w:rPr>
    </w:pPr>
  </w:p>
  <w:p w:rsidR="00613AF1" w:rsidRPr="00E8056B" w:rsidRDefault="00613AF1"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613AF1" w:rsidRPr="00E8056B" w:rsidRDefault="00613AF1"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F1" w:rsidRDefault="00613AF1">
    <w:pPr>
      <w:pStyle w:val="Footer"/>
      <w:jc w:val="right"/>
    </w:pPr>
    <w:r>
      <w:fldChar w:fldCharType="begin"/>
    </w:r>
    <w:r>
      <w:instrText xml:space="preserve"> PAGE   \* MERGEFORMAT </w:instrText>
    </w:r>
    <w:r>
      <w:fldChar w:fldCharType="separate"/>
    </w:r>
    <w:r>
      <w:rPr>
        <w:noProof/>
      </w:rPr>
      <w:t>7</w:t>
    </w:r>
    <w:r>
      <w:rPr>
        <w:noProof/>
      </w:rPr>
      <w:fldChar w:fldCharType="end"/>
    </w:r>
  </w:p>
  <w:p w:rsidR="00613AF1" w:rsidRDefault="00613A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F1" w:rsidRDefault="00613AF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insideH w:val="single" w:sz="4" w:space="0" w:color="000000"/>
      </w:tblBorders>
      <w:tblLook w:val="04A0" w:firstRow="1" w:lastRow="0" w:firstColumn="1" w:lastColumn="0" w:noHBand="0" w:noVBand="1"/>
    </w:tblPr>
    <w:tblGrid>
      <w:gridCol w:w="4825"/>
      <w:gridCol w:w="4813"/>
    </w:tblGrid>
    <w:tr w:rsidR="00613AF1" w:rsidRPr="00A91411" w:rsidTr="00A75D06">
      <w:trPr>
        <w:trHeight w:val="57"/>
      </w:trPr>
      <w:tc>
        <w:tcPr>
          <w:tcW w:w="4927" w:type="dxa"/>
          <w:tcBorders>
            <w:top w:val="nil"/>
            <w:bottom w:val="nil"/>
          </w:tcBorders>
          <w:vAlign w:val="center"/>
        </w:tcPr>
        <w:p w:rsidR="00613AF1" w:rsidRPr="00A91411" w:rsidRDefault="00613AF1" w:rsidP="008C10AA">
          <w:pPr>
            <w:pStyle w:val="Footer"/>
            <w:rPr>
              <w:rFonts w:ascii="Arial" w:hAnsi="Arial" w:cs="Arial"/>
              <w:sz w:val="14"/>
              <w:szCs w:val="14"/>
            </w:rPr>
          </w:pPr>
          <w:r>
            <w:rPr>
              <w:rFonts w:ascii="Arial" w:hAnsi="Arial" w:cs="Arial"/>
              <w:sz w:val="14"/>
              <w:szCs w:val="14"/>
            </w:rPr>
            <w:t>PAYGO heavy vehicle charges methodology</w:t>
          </w:r>
        </w:p>
      </w:tc>
      <w:tc>
        <w:tcPr>
          <w:tcW w:w="4927" w:type="dxa"/>
          <w:tcBorders>
            <w:top w:val="nil"/>
            <w:bottom w:val="nil"/>
          </w:tcBorders>
          <w:vAlign w:val="center"/>
        </w:tcPr>
        <w:p w:rsidR="00613AF1" w:rsidRPr="00A91411" w:rsidRDefault="00613AF1" w:rsidP="00D735FF">
          <w:pPr>
            <w:pStyle w:val="Footer"/>
            <w:jc w:val="right"/>
            <w:rPr>
              <w:rFonts w:ascii="Arial" w:hAnsi="Arial" w:cs="Arial"/>
              <w:sz w:val="14"/>
              <w:szCs w:val="14"/>
            </w:rPr>
          </w:pPr>
          <w:r w:rsidRPr="00A91411">
            <w:rPr>
              <w:rFonts w:ascii="Arial" w:hAnsi="Arial" w:cs="Arial"/>
              <w:sz w:val="14"/>
              <w:szCs w:val="14"/>
            </w:rPr>
            <w:t xml:space="preserve">Page </w:t>
          </w:r>
          <w:r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Pr="00A91411">
            <w:rPr>
              <w:rFonts w:ascii="Arial" w:hAnsi="Arial" w:cs="Arial"/>
              <w:sz w:val="14"/>
              <w:szCs w:val="14"/>
            </w:rPr>
            <w:fldChar w:fldCharType="separate"/>
          </w:r>
          <w:r w:rsidR="00B35075">
            <w:rPr>
              <w:rFonts w:ascii="Arial" w:hAnsi="Arial" w:cs="Arial"/>
              <w:noProof/>
              <w:sz w:val="14"/>
              <w:szCs w:val="14"/>
            </w:rPr>
            <w:t>19</w:t>
          </w:r>
          <w:r w:rsidRPr="00A91411">
            <w:rPr>
              <w:rFonts w:ascii="Arial" w:hAnsi="Arial" w:cs="Arial"/>
              <w:sz w:val="14"/>
              <w:szCs w:val="14"/>
            </w:rPr>
            <w:fldChar w:fldCharType="end"/>
          </w:r>
        </w:p>
      </w:tc>
    </w:tr>
  </w:tbl>
  <w:p w:rsidR="00613AF1" w:rsidRPr="00A91411" w:rsidRDefault="00613AF1">
    <w:pP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F1" w:rsidRDefault="00613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F1" w:rsidRDefault="00613AF1" w:rsidP="000F3D9F">
      <w:r>
        <w:separator/>
      </w:r>
    </w:p>
  </w:footnote>
  <w:footnote w:type="continuationSeparator" w:id="0">
    <w:p w:rsidR="00613AF1" w:rsidRDefault="00613AF1" w:rsidP="000F3D9F">
      <w:r>
        <w:continuationSeparator/>
      </w:r>
    </w:p>
  </w:footnote>
  <w:footnote w:id="1">
    <w:p w:rsidR="00613AF1" w:rsidRDefault="00613AF1">
      <w:pPr>
        <w:pStyle w:val="FootnoteText"/>
      </w:pPr>
      <w:r>
        <w:rPr>
          <w:rStyle w:val="FootnoteReference"/>
        </w:rPr>
        <w:footnoteRef/>
      </w:r>
      <w:r>
        <w:t xml:space="preserve"> </w:t>
      </w:r>
      <w:r>
        <w:rPr>
          <w:rFonts w:ascii="Arial" w:hAnsi="Arial" w:cs="Arial"/>
          <w:sz w:val="18"/>
          <w:szCs w:val="18"/>
        </w:rPr>
        <w:t xml:space="preserve">NTC, </w:t>
      </w:r>
      <w:hyperlink r:id="rId1" w:history="1">
        <w:r w:rsidRPr="00D7083B">
          <w:rPr>
            <w:rStyle w:val="Hyperlink"/>
            <w:rFonts w:ascii="Arial" w:hAnsi="Arial" w:cs="Arial"/>
            <w:sz w:val="18"/>
            <w:szCs w:val="18"/>
          </w:rPr>
          <w:t>2014 Heavy vehicle charges determination regulatory impact statement</w:t>
        </w:r>
      </w:hyperlink>
      <w:r>
        <w:rPr>
          <w:rFonts w:ascii="Arial" w:hAnsi="Arial" w:cs="Arial"/>
          <w:sz w:val="18"/>
          <w:szCs w:val="18"/>
        </w:rPr>
        <w:t>, xvii-xviii.</w:t>
      </w:r>
    </w:p>
  </w:footnote>
  <w:footnote w:id="2">
    <w:p w:rsidR="00613AF1" w:rsidRPr="00B2703E" w:rsidRDefault="00613AF1" w:rsidP="00F55075">
      <w:pPr>
        <w:pStyle w:val="FootnoteText"/>
        <w:rPr>
          <w:rFonts w:ascii="Arial" w:hAnsi="Arial" w:cs="Arial"/>
          <w:sz w:val="18"/>
          <w:szCs w:val="18"/>
        </w:rPr>
      </w:pPr>
      <w:r w:rsidRPr="00B2703E">
        <w:rPr>
          <w:rStyle w:val="FootnoteReference"/>
          <w:rFonts w:ascii="Arial" w:hAnsi="Arial" w:cs="Arial"/>
          <w:sz w:val="18"/>
          <w:szCs w:val="18"/>
        </w:rPr>
        <w:footnoteRef/>
      </w:r>
      <w:r w:rsidRPr="00B2703E">
        <w:rPr>
          <w:rFonts w:ascii="Arial" w:hAnsi="Arial" w:cs="Arial"/>
          <w:sz w:val="18"/>
          <w:szCs w:val="18"/>
        </w:rPr>
        <w:t xml:space="preserve"> Transport and</w:t>
      </w:r>
      <w:r>
        <w:rPr>
          <w:rFonts w:ascii="Arial" w:hAnsi="Arial" w:cs="Arial"/>
          <w:sz w:val="18"/>
          <w:szCs w:val="18"/>
        </w:rPr>
        <w:t xml:space="preserve"> Infrastructure Council, </w:t>
      </w:r>
      <w:hyperlink r:id="rId2" w:history="1">
        <w:r w:rsidR="00895E1C" w:rsidRPr="00895E1C">
          <w:rPr>
            <w:rStyle w:val="Hyperlink"/>
            <w:rFonts w:ascii="Arial" w:hAnsi="Arial" w:cs="Arial"/>
            <w:sz w:val="18"/>
            <w:szCs w:val="18"/>
          </w:rPr>
          <w:t>Communique</w:t>
        </w:r>
      </w:hyperlink>
      <w:r w:rsidR="00895E1C">
        <w:rPr>
          <w:rFonts w:ascii="Arial" w:hAnsi="Arial" w:cs="Arial"/>
          <w:sz w:val="18"/>
          <w:szCs w:val="18"/>
        </w:rPr>
        <w:t xml:space="preserve">, November </w:t>
      </w:r>
      <w:r>
        <w:rPr>
          <w:rFonts w:ascii="Arial" w:hAnsi="Arial" w:cs="Arial"/>
          <w:sz w:val="18"/>
          <w:szCs w:val="18"/>
        </w:rPr>
        <w:t xml:space="preserve">2015, </w:t>
      </w:r>
      <w:r w:rsidRPr="00B2703E">
        <w:rPr>
          <w:rFonts w:ascii="Arial" w:hAnsi="Arial" w:cs="Arial"/>
          <w:sz w:val="18"/>
          <w:szCs w:val="18"/>
        </w:rPr>
        <w:t>1.</w:t>
      </w:r>
    </w:p>
  </w:footnote>
  <w:footnote w:id="3">
    <w:p w:rsidR="00613AF1" w:rsidRPr="00B2703E" w:rsidRDefault="00613AF1">
      <w:pPr>
        <w:pStyle w:val="FootnoteText"/>
        <w:rPr>
          <w:rFonts w:ascii="Arial" w:hAnsi="Arial" w:cs="Arial"/>
          <w:sz w:val="18"/>
          <w:szCs w:val="18"/>
        </w:rPr>
      </w:pPr>
      <w:r w:rsidRPr="00B2703E">
        <w:rPr>
          <w:rStyle w:val="FootnoteReference"/>
          <w:rFonts w:ascii="Arial" w:hAnsi="Arial" w:cs="Arial"/>
          <w:sz w:val="18"/>
          <w:szCs w:val="18"/>
        </w:rPr>
        <w:footnoteRef/>
      </w:r>
      <w:r w:rsidRPr="00B2703E">
        <w:rPr>
          <w:rFonts w:ascii="Arial" w:hAnsi="Arial" w:cs="Arial"/>
          <w:sz w:val="18"/>
          <w:szCs w:val="18"/>
        </w:rPr>
        <w:t xml:space="preserve"> NTC, </w:t>
      </w:r>
      <w:hyperlink r:id="rId3" w:history="1">
        <w:r w:rsidR="00895E1C" w:rsidRPr="00895E1C">
          <w:rPr>
            <w:rStyle w:val="Hyperlink"/>
            <w:rFonts w:ascii="Arial" w:hAnsi="Arial" w:cs="Arial"/>
            <w:sz w:val="18"/>
            <w:szCs w:val="18"/>
          </w:rPr>
          <w:t>Heavy vehicle charges—options for improving the accuracy and stability of the PAYGO heavy vehicle charges methodology</w:t>
        </w:r>
      </w:hyperlink>
      <w:r w:rsidR="00895E1C">
        <w:rPr>
          <w:rFonts w:ascii="Arial" w:hAnsi="Arial" w:cs="Arial"/>
          <w:sz w:val="18"/>
          <w:szCs w:val="18"/>
        </w:rPr>
        <w:t xml:space="preserve">. June </w:t>
      </w:r>
      <w:r w:rsidRPr="00B2703E">
        <w:rPr>
          <w:rFonts w:ascii="Arial" w:hAnsi="Arial" w:cs="Arial"/>
          <w:sz w:val="18"/>
          <w:szCs w:val="18"/>
        </w:rPr>
        <w:t>2016, 15-16</w:t>
      </w:r>
      <w:r>
        <w:rPr>
          <w:rFonts w:ascii="Arial" w:hAnsi="Arial" w:cs="Arial"/>
          <w:sz w:val="18"/>
          <w:szCs w:val="18"/>
        </w:rPr>
        <w:t>.</w:t>
      </w:r>
    </w:p>
  </w:footnote>
  <w:footnote w:id="4">
    <w:p w:rsidR="00613AF1" w:rsidRPr="00044118" w:rsidRDefault="00613AF1">
      <w:pPr>
        <w:pStyle w:val="FootnoteText"/>
        <w:rPr>
          <w:rFonts w:ascii="Arial" w:hAnsi="Arial" w:cs="Arial"/>
          <w:sz w:val="18"/>
          <w:szCs w:val="18"/>
        </w:rPr>
      </w:pPr>
      <w:r>
        <w:rPr>
          <w:rStyle w:val="FootnoteReference"/>
        </w:rPr>
        <w:footnoteRef/>
      </w:r>
      <w:r>
        <w:t xml:space="preserve"> </w:t>
      </w:r>
      <w:r>
        <w:rPr>
          <w:rFonts w:ascii="Arial" w:hAnsi="Arial" w:cs="Arial"/>
          <w:sz w:val="18"/>
          <w:szCs w:val="18"/>
        </w:rPr>
        <w:t>NTC, 2016, 12.</w:t>
      </w:r>
    </w:p>
  </w:footnote>
  <w:footnote w:id="5">
    <w:p w:rsidR="00613AF1" w:rsidRPr="00D7083B" w:rsidRDefault="00613AF1" w:rsidP="003B1C96">
      <w:pPr>
        <w:pStyle w:val="FootnoteText"/>
        <w:rPr>
          <w:rFonts w:ascii="Arial" w:hAnsi="Arial" w:cs="Arial"/>
          <w:sz w:val="18"/>
          <w:szCs w:val="18"/>
        </w:rPr>
      </w:pPr>
      <w:r w:rsidRPr="00B2703E">
        <w:rPr>
          <w:rStyle w:val="FootnoteReference"/>
          <w:rFonts w:ascii="Arial" w:hAnsi="Arial" w:cs="Arial"/>
          <w:sz w:val="18"/>
          <w:szCs w:val="18"/>
        </w:rPr>
        <w:footnoteRef/>
      </w:r>
      <w:r w:rsidRPr="00B2703E">
        <w:rPr>
          <w:rFonts w:ascii="Arial" w:hAnsi="Arial" w:cs="Arial"/>
          <w:sz w:val="18"/>
          <w:szCs w:val="18"/>
        </w:rPr>
        <w:t xml:space="preserve"> NTC, 2016, 25.</w:t>
      </w:r>
    </w:p>
  </w:footnote>
  <w:footnote w:id="6">
    <w:p w:rsidR="00613AF1" w:rsidRPr="007F70C8" w:rsidRDefault="00613AF1" w:rsidP="003B1C96">
      <w:pPr>
        <w:pStyle w:val="FootnoteText"/>
        <w:rPr>
          <w:rFonts w:ascii="Arial" w:hAnsi="Arial" w:cs="Arial"/>
          <w:sz w:val="18"/>
          <w:szCs w:val="18"/>
        </w:rPr>
      </w:pPr>
      <w:r>
        <w:rPr>
          <w:rStyle w:val="FootnoteReference"/>
        </w:rPr>
        <w:footnoteRef/>
      </w:r>
      <w:r>
        <w:t xml:space="preserve"> </w:t>
      </w:r>
      <w:r>
        <w:rPr>
          <w:rFonts w:ascii="Arial" w:hAnsi="Arial" w:cs="Arial"/>
          <w:sz w:val="18"/>
          <w:szCs w:val="18"/>
        </w:rPr>
        <w:t>NTC, 2014, 80.</w:t>
      </w:r>
    </w:p>
  </w:footnote>
  <w:footnote w:id="7">
    <w:p w:rsidR="00662B09" w:rsidRPr="00662B09" w:rsidRDefault="00662B09">
      <w:pPr>
        <w:pStyle w:val="FootnoteText"/>
        <w:rPr>
          <w:rFonts w:ascii="Arial" w:hAnsi="Arial" w:cs="Arial"/>
          <w:sz w:val="18"/>
          <w:szCs w:val="18"/>
        </w:rPr>
      </w:pPr>
      <w:r w:rsidRPr="00662B09">
        <w:rPr>
          <w:rStyle w:val="FootnoteReference"/>
          <w:rFonts w:ascii="Arial" w:hAnsi="Arial" w:cs="Arial"/>
          <w:sz w:val="18"/>
          <w:szCs w:val="18"/>
        </w:rPr>
        <w:footnoteRef/>
      </w:r>
      <w:r w:rsidRPr="00662B09">
        <w:rPr>
          <w:rFonts w:ascii="Arial" w:hAnsi="Arial" w:cs="Arial"/>
          <w:sz w:val="18"/>
          <w:szCs w:val="18"/>
        </w:rPr>
        <w:t xml:space="preserve"> Suffield T. </w:t>
      </w:r>
      <w:r>
        <w:rPr>
          <w:rFonts w:ascii="Arial" w:hAnsi="Arial" w:cs="Arial"/>
          <w:sz w:val="18"/>
          <w:szCs w:val="18"/>
        </w:rPr>
        <w:t>“</w:t>
      </w:r>
      <w:r w:rsidRPr="00662B09">
        <w:rPr>
          <w:rFonts w:ascii="Arial" w:hAnsi="Arial" w:cs="Arial"/>
          <w:sz w:val="18"/>
          <w:szCs w:val="18"/>
        </w:rPr>
        <w:t>Road transport performance from a bank’s perspective.</w:t>
      </w:r>
      <w:r>
        <w:rPr>
          <w:rFonts w:ascii="Arial" w:hAnsi="Arial" w:cs="Arial"/>
          <w:sz w:val="18"/>
          <w:szCs w:val="18"/>
        </w:rPr>
        <w:t>”</w:t>
      </w:r>
      <w:r w:rsidRPr="00662B09">
        <w:rPr>
          <w:rFonts w:ascii="Arial" w:hAnsi="Arial" w:cs="Arial"/>
          <w:sz w:val="18"/>
          <w:szCs w:val="18"/>
        </w:rPr>
        <w:t xml:space="preserve"> Presentation at Trucking Australia 2016, 24 June 2016.</w:t>
      </w:r>
    </w:p>
  </w:footnote>
  <w:footnote w:id="8">
    <w:p w:rsidR="00613AF1" w:rsidRPr="00B2703E" w:rsidRDefault="00613AF1">
      <w:pPr>
        <w:pStyle w:val="FootnoteText"/>
        <w:rPr>
          <w:rFonts w:ascii="Arial" w:hAnsi="Arial" w:cs="Arial"/>
          <w:sz w:val="18"/>
          <w:szCs w:val="18"/>
        </w:rPr>
      </w:pPr>
      <w:r w:rsidRPr="00B2703E">
        <w:rPr>
          <w:rStyle w:val="FootnoteReference"/>
          <w:rFonts w:ascii="Arial" w:hAnsi="Arial" w:cs="Arial"/>
          <w:sz w:val="18"/>
          <w:szCs w:val="18"/>
        </w:rPr>
        <w:footnoteRef/>
      </w:r>
      <w:r w:rsidRPr="00B2703E">
        <w:rPr>
          <w:rFonts w:ascii="Arial" w:hAnsi="Arial" w:cs="Arial"/>
          <w:sz w:val="18"/>
          <w:szCs w:val="18"/>
        </w:rPr>
        <w:t xml:space="preserve"> NTC, 2016, 25.</w:t>
      </w:r>
    </w:p>
  </w:footnote>
  <w:footnote w:id="9">
    <w:p w:rsidR="00613AF1" w:rsidRPr="002A7D7F" w:rsidRDefault="00613AF1" w:rsidP="001701F4">
      <w:pPr>
        <w:pStyle w:val="FootnoteText"/>
        <w:rPr>
          <w:rFonts w:ascii="Arial" w:hAnsi="Arial" w:cs="Arial"/>
          <w:sz w:val="18"/>
          <w:szCs w:val="18"/>
        </w:rPr>
      </w:pPr>
      <w:r w:rsidRPr="005E13E3">
        <w:rPr>
          <w:rStyle w:val="FootnoteReference"/>
          <w:rFonts w:ascii="Arial" w:hAnsi="Arial" w:cs="Arial"/>
          <w:sz w:val="18"/>
          <w:szCs w:val="18"/>
        </w:rPr>
        <w:footnoteRef/>
      </w:r>
      <w:r w:rsidRPr="005E13E3">
        <w:rPr>
          <w:rFonts w:ascii="Arial" w:hAnsi="Arial" w:cs="Arial"/>
          <w:sz w:val="18"/>
          <w:szCs w:val="18"/>
        </w:rPr>
        <w:t xml:space="preserve"> Fletcher, P. (Minister for Major Projects, Territories and Local Government), </w:t>
      </w:r>
      <w:r w:rsidRPr="005E13E3">
        <w:rPr>
          <w:rFonts w:ascii="Arial" w:hAnsi="Arial" w:cs="Arial"/>
          <w:i/>
          <w:sz w:val="18"/>
          <w:szCs w:val="18"/>
        </w:rPr>
        <w:t>The Australian Government’s response to the Harper Review’s recommendations on road pricing</w:t>
      </w:r>
      <w:r>
        <w:rPr>
          <w:rFonts w:ascii="Arial" w:hAnsi="Arial" w:cs="Arial"/>
          <w:sz w:val="18"/>
          <w:szCs w:val="18"/>
        </w:rPr>
        <w:t>, 2 December 2015. 3.</w:t>
      </w:r>
    </w:p>
  </w:footnote>
  <w:footnote w:id="10">
    <w:p w:rsidR="00613AF1" w:rsidRPr="005E13E3" w:rsidRDefault="00613AF1">
      <w:pPr>
        <w:pStyle w:val="FootnoteText"/>
        <w:rPr>
          <w:rFonts w:ascii="Arial" w:hAnsi="Arial" w:cs="Arial"/>
          <w:sz w:val="18"/>
          <w:szCs w:val="18"/>
        </w:rPr>
      </w:pPr>
      <w:r w:rsidRPr="005E13E3">
        <w:rPr>
          <w:rStyle w:val="FootnoteReference"/>
          <w:rFonts w:ascii="Arial" w:hAnsi="Arial" w:cs="Arial"/>
          <w:sz w:val="18"/>
          <w:szCs w:val="18"/>
        </w:rPr>
        <w:footnoteRef/>
      </w:r>
      <w:r w:rsidRPr="005E13E3">
        <w:rPr>
          <w:rFonts w:ascii="Arial" w:hAnsi="Arial" w:cs="Arial"/>
          <w:sz w:val="18"/>
          <w:szCs w:val="18"/>
        </w:rPr>
        <w:t xml:space="preserve"> NTC, 2016, 28-29.</w:t>
      </w:r>
    </w:p>
  </w:footnote>
  <w:footnote w:id="11">
    <w:p w:rsidR="007E2522" w:rsidRPr="00DD6427" w:rsidRDefault="007E2522" w:rsidP="007E2522">
      <w:pPr>
        <w:pStyle w:val="FootnoteText"/>
        <w:rPr>
          <w:rFonts w:ascii="Arial" w:hAnsi="Arial" w:cs="Arial"/>
          <w:sz w:val="18"/>
          <w:szCs w:val="18"/>
        </w:rPr>
      </w:pPr>
      <w:r w:rsidRPr="00DD6427">
        <w:rPr>
          <w:rStyle w:val="FootnoteReference"/>
          <w:rFonts w:ascii="Arial" w:hAnsi="Arial" w:cs="Arial"/>
          <w:sz w:val="18"/>
          <w:szCs w:val="18"/>
        </w:rPr>
        <w:footnoteRef/>
      </w:r>
      <w:r w:rsidRPr="00DD6427">
        <w:rPr>
          <w:rFonts w:ascii="Arial" w:hAnsi="Arial" w:cs="Arial"/>
          <w:sz w:val="18"/>
          <w:szCs w:val="18"/>
        </w:rPr>
        <w:t xml:space="preserve"> NTC, 2016, 18.</w:t>
      </w:r>
    </w:p>
  </w:footnote>
  <w:footnote w:id="12">
    <w:p w:rsidR="00613AF1" w:rsidRPr="00FE09B2" w:rsidRDefault="00613AF1" w:rsidP="00FE09B2">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GHD, </w:t>
      </w:r>
      <w:r w:rsidRPr="00FE09B2">
        <w:rPr>
          <w:rFonts w:ascii="Arial" w:hAnsi="Arial" w:cs="Arial"/>
          <w:i/>
          <w:sz w:val="18"/>
          <w:szCs w:val="18"/>
        </w:rPr>
        <w:t>Valuation of Queensland Rail's Below Rail Assets for the Coal Network</w:t>
      </w:r>
      <w:r>
        <w:rPr>
          <w:rFonts w:ascii="Arial" w:hAnsi="Arial" w:cs="Arial"/>
          <w:sz w:val="18"/>
          <w:szCs w:val="18"/>
        </w:rPr>
        <w:t>. Report prepared for the Queensland Competition Authority, November 2000. 11.</w:t>
      </w:r>
    </w:p>
  </w:footnote>
  <w:footnote w:id="13">
    <w:p w:rsidR="00613AF1" w:rsidRPr="00FE09B2" w:rsidRDefault="00613AF1">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BITRE, </w:t>
      </w:r>
      <w:hyperlink r:id="rId4" w:history="1">
        <w:r w:rsidRPr="00FE09B2">
          <w:rPr>
            <w:rStyle w:val="Hyperlink"/>
            <w:rFonts w:ascii="Arial" w:hAnsi="Arial" w:cs="Arial"/>
            <w:sz w:val="18"/>
            <w:szCs w:val="18"/>
          </w:rPr>
          <w:t>Australian infrastructure statistics: yearbook 2015</w:t>
        </w:r>
      </w:hyperlink>
      <w:r>
        <w:rPr>
          <w:rFonts w:ascii="Arial" w:hAnsi="Arial" w:cs="Arial"/>
          <w:sz w:val="18"/>
          <w:szCs w:val="18"/>
        </w:rPr>
        <w:t xml:space="preserve">. Table T1.6. 44-45. </w:t>
      </w:r>
    </w:p>
  </w:footnote>
  <w:footnote w:id="14">
    <w:p w:rsidR="00613AF1" w:rsidRPr="00F77232" w:rsidRDefault="00613AF1">
      <w:pPr>
        <w:pStyle w:val="FootnoteText"/>
        <w:rPr>
          <w:rFonts w:ascii="Arial" w:hAnsi="Arial" w:cs="Arial"/>
          <w:sz w:val="18"/>
          <w:szCs w:val="18"/>
        </w:rPr>
      </w:pPr>
      <w:r w:rsidRPr="00F77232">
        <w:rPr>
          <w:rStyle w:val="FootnoteReference"/>
          <w:rFonts w:ascii="Arial" w:hAnsi="Arial" w:cs="Arial"/>
          <w:sz w:val="18"/>
          <w:szCs w:val="18"/>
        </w:rPr>
        <w:footnoteRef/>
      </w:r>
      <w:r w:rsidRPr="00F77232">
        <w:rPr>
          <w:rFonts w:ascii="Arial" w:hAnsi="Arial" w:cs="Arial"/>
          <w:sz w:val="18"/>
          <w:szCs w:val="18"/>
        </w:rPr>
        <w:t xml:space="preserve"> Biggar, D. </w:t>
      </w:r>
      <w:hyperlink r:id="rId5" w:history="1">
        <w:r w:rsidRPr="00F77232">
          <w:rPr>
            <w:rStyle w:val="Hyperlink"/>
            <w:rFonts w:ascii="Arial" w:hAnsi="Arial" w:cs="Arial"/>
            <w:sz w:val="18"/>
            <w:szCs w:val="18"/>
          </w:rPr>
          <w:t>Public utility regulation in Australia: Where have we got to? Where should we be going?</w:t>
        </w:r>
      </w:hyperlink>
      <w:r w:rsidRPr="00F77232">
        <w:rPr>
          <w:rFonts w:ascii="Arial" w:hAnsi="Arial" w:cs="Arial"/>
          <w:sz w:val="18"/>
          <w:szCs w:val="18"/>
        </w:rPr>
        <w:t xml:space="preserve"> ACCC/AER working paper no. 4, July 2011, 20.</w:t>
      </w:r>
    </w:p>
  </w:footnote>
  <w:footnote w:id="15">
    <w:p w:rsidR="00613AF1" w:rsidRPr="00F77232" w:rsidRDefault="00613AF1">
      <w:pPr>
        <w:pStyle w:val="FootnoteText"/>
        <w:rPr>
          <w:rFonts w:ascii="Arial" w:hAnsi="Arial" w:cs="Arial"/>
          <w:sz w:val="18"/>
          <w:szCs w:val="18"/>
        </w:rPr>
      </w:pPr>
      <w:r w:rsidRPr="00F77232">
        <w:rPr>
          <w:rStyle w:val="FootnoteReference"/>
          <w:rFonts w:ascii="Arial" w:hAnsi="Arial" w:cs="Arial"/>
          <w:sz w:val="18"/>
          <w:szCs w:val="18"/>
        </w:rPr>
        <w:footnoteRef/>
      </w:r>
      <w:r w:rsidRPr="00F77232">
        <w:rPr>
          <w:rFonts w:ascii="Arial" w:hAnsi="Arial" w:cs="Arial"/>
          <w:sz w:val="18"/>
          <w:szCs w:val="18"/>
        </w:rPr>
        <w:t xml:space="preserve"> Productivity Commission, </w:t>
      </w:r>
      <w:hyperlink r:id="rId6" w:history="1">
        <w:r w:rsidRPr="00F77232">
          <w:rPr>
            <w:rStyle w:val="Hyperlink"/>
            <w:rFonts w:ascii="Arial" w:hAnsi="Arial" w:cs="Arial"/>
            <w:sz w:val="18"/>
            <w:szCs w:val="18"/>
          </w:rPr>
          <w:t>Review of the gas access regime</w:t>
        </w:r>
      </w:hyperlink>
      <w:r w:rsidRPr="00F77232">
        <w:rPr>
          <w:rFonts w:ascii="Arial" w:hAnsi="Arial" w:cs="Arial"/>
          <w:sz w:val="18"/>
          <w:szCs w:val="18"/>
        </w:rPr>
        <w:t>. PC, 2004. 299</w:t>
      </w:r>
    </w:p>
  </w:footnote>
  <w:footnote w:id="16">
    <w:p w:rsidR="00613AF1" w:rsidRPr="00FE18E9" w:rsidRDefault="00613AF1">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See Transport and Infrastructure Council, </w:t>
      </w:r>
      <w:hyperlink r:id="rId7" w:history="1">
        <w:r w:rsidRPr="00FE18E9">
          <w:rPr>
            <w:rStyle w:val="Hyperlink"/>
            <w:rFonts w:ascii="Arial" w:hAnsi="Arial" w:cs="Arial"/>
            <w:sz w:val="18"/>
            <w:szCs w:val="18"/>
          </w:rPr>
          <w:t>Heavy vehicle road reform</w:t>
        </w:r>
      </w:hyperlink>
      <w:r>
        <w:rPr>
          <w:rFonts w:ascii="Arial" w:hAnsi="Arial" w:cs="Arial"/>
          <w:sz w:val="18"/>
          <w:szCs w:val="18"/>
        </w:rPr>
        <w:t>. Website, accessed 26-Jul-16.</w:t>
      </w:r>
    </w:p>
  </w:footnote>
  <w:footnote w:id="17">
    <w:p w:rsidR="00613AF1" w:rsidRPr="00F77232" w:rsidRDefault="00613AF1">
      <w:pPr>
        <w:pStyle w:val="FootnoteText"/>
        <w:rPr>
          <w:rFonts w:ascii="Arial" w:hAnsi="Arial" w:cs="Arial"/>
          <w:sz w:val="18"/>
          <w:szCs w:val="18"/>
        </w:rPr>
      </w:pPr>
      <w:r w:rsidRPr="00F77232">
        <w:rPr>
          <w:rStyle w:val="FootnoteReference"/>
          <w:rFonts w:ascii="Arial" w:hAnsi="Arial" w:cs="Arial"/>
          <w:sz w:val="18"/>
          <w:szCs w:val="18"/>
        </w:rPr>
        <w:footnoteRef/>
      </w:r>
      <w:r w:rsidRPr="00F77232">
        <w:rPr>
          <w:rFonts w:ascii="Arial" w:hAnsi="Arial" w:cs="Arial"/>
          <w:sz w:val="18"/>
          <w:szCs w:val="18"/>
        </w:rPr>
        <w:t xml:space="preserve"> Australian Energy Regulator, </w:t>
      </w:r>
      <w:hyperlink r:id="rId8" w:history="1">
        <w:r w:rsidRPr="00F77232">
          <w:rPr>
            <w:rStyle w:val="Hyperlink"/>
            <w:rFonts w:ascii="Arial" w:hAnsi="Arial" w:cs="Arial"/>
            <w:sz w:val="18"/>
            <w:szCs w:val="18"/>
          </w:rPr>
          <w:t>Final decision: Ergon Energy (distribution) 2015-2020</w:t>
        </w:r>
      </w:hyperlink>
      <w:r w:rsidRPr="00F77232">
        <w:rPr>
          <w:rFonts w:ascii="Arial" w:hAnsi="Arial" w:cs="Arial"/>
          <w:sz w:val="18"/>
          <w:szCs w:val="18"/>
        </w:rPr>
        <w:t>. Fact sheet, 2015. 1.</w:t>
      </w:r>
    </w:p>
  </w:footnote>
  <w:footnote w:id="18">
    <w:p w:rsidR="00613AF1" w:rsidRPr="00406FE0" w:rsidRDefault="00613AF1">
      <w:pPr>
        <w:pStyle w:val="FootnoteText"/>
        <w:rPr>
          <w:rFonts w:ascii="Arial" w:hAnsi="Arial" w:cs="Arial"/>
          <w:sz w:val="18"/>
          <w:szCs w:val="18"/>
        </w:rPr>
      </w:pPr>
      <w:r w:rsidRPr="00406FE0">
        <w:rPr>
          <w:rStyle w:val="FootnoteReference"/>
          <w:rFonts w:ascii="Arial" w:hAnsi="Arial" w:cs="Arial"/>
          <w:sz w:val="18"/>
          <w:szCs w:val="18"/>
        </w:rPr>
        <w:footnoteRef/>
      </w:r>
      <w:r w:rsidRPr="00406FE0">
        <w:rPr>
          <w:rFonts w:ascii="Arial" w:hAnsi="Arial" w:cs="Arial"/>
          <w:sz w:val="18"/>
          <w:szCs w:val="18"/>
        </w:rPr>
        <w:t xml:space="preserve"> Frost, T. </w:t>
      </w:r>
      <w:r w:rsidR="00895E1C">
        <w:rPr>
          <w:rFonts w:ascii="Arial" w:hAnsi="Arial" w:cs="Arial"/>
          <w:sz w:val="18"/>
          <w:szCs w:val="18"/>
        </w:rPr>
        <w:t>“</w:t>
      </w:r>
      <w:r w:rsidRPr="00895E1C">
        <w:rPr>
          <w:rFonts w:ascii="Arial" w:hAnsi="Arial" w:cs="Arial"/>
          <w:sz w:val="18"/>
          <w:szCs w:val="18"/>
        </w:rPr>
        <w:t>Understanding the key commercial risks for regulated entities operating under the building block model</w:t>
      </w:r>
      <w:r w:rsidRPr="00406FE0">
        <w:rPr>
          <w:rFonts w:ascii="Arial" w:hAnsi="Arial" w:cs="Arial"/>
          <w:sz w:val="18"/>
          <w:szCs w:val="18"/>
        </w:rPr>
        <w:t>.</w:t>
      </w:r>
      <w:r w:rsidR="00895E1C">
        <w:rPr>
          <w:rFonts w:ascii="Arial" w:hAnsi="Arial" w:cs="Arial"/>
          <w:sz w:val="18"/>
          <w:szCs w:val="18"/>
        </w:rPr>
        <w:t>”</w:t>
      </w:r>
      <w:r w:rsidRPr="00406FE0">
        <w:rPr>
          <w:rFonts w:ascii="Arial" w:hAnsi="Arial" w:cs="Arial"/>
          <w:sz w:val="18"/>
          <w:szCs w:val="18"/>
        </w:rPr>
        <w:t xml:space="preserve"> Presentation to the Business Valuation Special Interest Group, June 2013. </w:t>
      </w:r>
    </w:p>
  </w:footnote>
  <w:footnote w:id="19">
    <w:p w:rsidR="00613AF1" w:rsidRPr="00F11E8C" w:rsidRDefault="00613AF1">
      <w:pPr>
        <w:pStyle w:val="FootnoteText"/>
        <w:rPr>
          <w:rFonts w:ascii="Arial" w:hAnsi="Arial" w:cs="Arial"/>
          <w:sz w:val="18"/>
          <w:szCs w:val="18"/>
        </w:rPr>
      </w:pPr>
      <w:r>
        <w:rPr>
          <w:rStyle w:val="FootnoteReference"/>
        </w:rPr>
        <w:footnoteRef/>
      </w:r>
      <w:r>
        <w:t xml:space="preserve"> </w:t>
      </w:r>
      <w:r>
        <w:rPr>
          <w:rFonts w:ascii="Arial" w:hAnsi="Arial" w:cs="Arial"/>
          <w:sz w:val="18"/>
          <w:szCs w:val="18"/>
        </w:rPr>
        <w:t>NTC, 2014, 12.</w:t>
      </w:r>
    </w:p>
  </w:footnote>
  <w:footnote w:id="20">
    <w:p w:rsidR="00613AF1" w:rsidRPr="00F11E8C" w:rsidRDefault="00613AF1" w:rsidP="00F11E8C">
      <w:pPr>
        <w:pStyle w:val="FootnoteText"/>
        <w:rPr>
          <w:rFonts w:ascii="Arial" w:hAnsi="Arial" w:cs="Arial"/>
          <w:sz w:val="18"/>
          <w:szCs w:val="18"/>
        </w:rPr>
      </w:pPr>
      <w:r w:rsidRPr="00F11E8C">
        <w:rPr>
          <w:rStyle w:val="FootnoteReference"/>
          <w:rFonts w:ascii="Arial" w:hAnsi="Arial" w:cs="Arial"/>
          <w:sz w:val="18"/>
          <w:szCs w:val="18"/>
        </w:rPr>
        <w:footnoteRef/>
      </w:r>
      <w:r w:rsidRPr="00F11E8C">
        <w:rPr>
          <w:rFonts w:ascii="Arial" w:hAnsi="Arial" w:cs="Arial"/>
          <w:sz w:val="18"/>
          <w:szCs w:val="18"/>
        </w:rPr>
        <w:t xml:space="preserve"> NTC, 2016, 20.</w:t>
      </w:r>
    </w:p>
  </w:footnote>
  <w:footnote w:id="21">
    <w:p w:rsidR="00613AF1" w:rsidRPr="00A76E3C" w:rsidRDefault="00613AF1">
      <w:pPr>
        <w:pStyle w:val="FootnoteText"/>
        <w:rPr>
          <w:rFonts w:ascii="Arial" w:hAnsi="Arial" w:cs="Arial"/>
          <w:sz w:val="18"/>
          <w:szCs w:val="18"/>
        </w:rPr>
      </w:pPr>
      <w:r w:rsidRPr="00A76E3C">
        <w:rPr>
          <w:rStyle w:val="FootnoteReference"/>
          <w:rFonts w:ascii="Arial" w:hAnsi="Arial" w:cs="Arial"/>
          <w:sz w:val="18"/>
          <w:szCs w:val="18"/>
        </w:rPr>
        <w:footnoteRef/>
      </w:r>
      <w:r w:rsidRPr="00A76E3C">
        <w:rPr>
          <w:rFonts w:ascii="Arial" w:hAnsi="Arial" w:cs="Arial"/>
          <w:sz w:val="18"/>
          <w:szCs w:val="18"/>
        </w:rPr>
        <w:t xml:space="preserve"> The ‘NTC base case’ line </w:t>
      </w:r>
      <w:r>
        <w:rPr>
          <w:rFonts w:ascii="Arial" w:hAnsi="Arial" w:cs="Arial"/>
          <w:sz w:val="18"/>
          <w:szCs w:val="18"/>
        </w:rPr>
        <w:t>uses</w:t>
      </w:r>
      <w:r w:rsidRPr="00A76E3C">
        <w:rPr>
          <w:rFonts w:ascii="Arial" w:hAnsi="Arial" w:cs="Arial"/>
          <w:sz w:val="18"/>
          <w:szCs w:val="18"/>
        </w:rPr>
        <w:t xml:space="preserve"> the figures in the cost base row of table 4 </w:t>
      </w:r>
      <w:r>
        <w:rPr>
          <w:rFonts w:ascii="Arial" w:hAnsi="Arial" w:cs="Arial"/>
          <w:sz w:val="18"/>
          <w:szCs w:val="18"/>
        </w:rPr>
        <w:t>on p10 of NTC, 2015</w:t>
      </w:r>
      <w:r w:rsidRPr="00A76E3C">
        <w:rPr>
          <w:rFonts w:ascii="Arial" w:hAnsi="Arial" w:cs="Arial"/>
          <w:sz w:val="18"/>
          <w:szCs w:val="18"/>
        </w:rPr>
        <w:t>.</w:t>
      </w:r>
    </w:p>
  </w:footnote>
  <w:footnote w:id="22">
    <w:p w:rsidR="00613AF1" w:rsidRPr="005E13E3" w:rsidRDefault="00613AF1" w:rsidP="00223D83">
      <w:pPr>
        <w:pStyle w:val="FootnoteText"/>
        <w:rPr>
          <w:rFonts w:ascii="Arial" w:hAnsi="Arial" w:cs="Arial"/>
          <w:sz w:val="18"/>
          <w:szCs w:val="18"/>
        </w:rPr>
      </w:pPr>
      <w:r w:rsidRPr="005E13E3">
        <w:rPr>
          <w:rStyle w:val="FootnoteReference"/>
          <w:rFonts w:ascii="Arial" w:hAnsi="Arial" w:cs="Arial"/>
          <w:sz w:val="18"/>
          <w:szCs w:val="18"/>
        </w:rPr>
        <w:footnoteRef/>
      </w:r>
      <w:r w:rsidRPr="005E13E3">
        <w:rPr>
          <w:rFonts w:ascii="Arial" w:hAnsi="Arial" w:cs="Arial"/>
          <w:sz w:val="18"/>
          <w:szCs w:val="18"/>
        </w:rPr>
        <w:t xml:space="preserve"> Productivity Commission,</w:t>
      </w:r>
      <w:r w:rsidR="00C90D4F" w:rsidRPr="00C90D4F">
        <w:rPr>
          <w:rFonts w:ascii="Arial" w:hAnsi="Arial" w:cs="Arial"/>
          <w:i/>
          <w:sz w:val="18"/>
          <w:szCs w:val="18"/>
        </w:rPr>
        <w:t xml:space="preserve"> </w:t>
      </w:r>
      <w:hyperlink r:id="rId9" w:history="1">
        <w:r w:rsidR="00C90D4F" w:rsidRPr="00C90D4F">
          <w:rPr>
            <w:rStyle w:val="Hyperlink"/>
            <w:rFonts w:ascii="Arial" w:hAnsi="Arial" w:cs="Arial"/>
            <w:sz w:val="18"/>
            <w:szCs w:val="18"/>
          </w:rPr>
          <w:t>Public infrastructure</w:t>
        </w:r>
      </w:hyperlink>
      <w:r w:rsidR="00C90D4F" w:rsidRPr="00C90D4F">
        <w:rPr>
          <w:rFonts w:ascii="Arial" w:hAnsi="Arial" w:cs="Arial"/>
          <w:sz w:val="18"/>
          <w:szCs w:val="18"/>
        </w:rPr>
        <w:t>,</w:t>
      </w:r>
      <w:r w:rsidR="00C90D4F">
        <w:rPr>
          <w:rFonts w:ascii="Arial" w:hAnsi="Arial" w:cs="Arial"/>
          <w:sz w:val="18"/>
          <w:szCs w:val="18"/>
        </w:rPr>
        <w:t xml:space="preserve"> May 2014</w:t>
      </w:r>
      <w:r w:rsidRPr="005E13E3">
        <w:rPr>
          <w:rFonts w:ascii="Arial" w:hAnsi="Arial" w:cs="Arial"/>
          <w:sz w:val="18"/>
          <w:szCs w:val="18"/>
        </w:rPr>
        <w:t>, vol 1, p310.</w:t>
      </w:r>
    </w:p>
  </w:footnote>
  <w:footnote w:id="23">
    <w:p w:rsidR="00613AF1" w:rsidRPr="00A2157A" w:rsidRDefault="00613AF1">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Harper, I et al. </w:t>
      </w:r>
      <w:hyperlink r:id="rId10" w:history="1">
        <w:r w:rsidRPr="00A2157A">
          <w:rPr>
            <w:rStyle w:val="Hyperlink"/>
            <w:rFonts w:ascii="Arial" w:hAnsi="Arial" w:cs="Arial"/>
            <w:sz w:val="18"/>
            <w:szCs w:val="18"/>
          </w:rPr>
          <w:t>Competition policy review: final report</w:t>
        </w:r>
      </w:hyperlink>
      <w:r>
        <w:rPr>
          <w:rFonts w:ascii="Arial" w:hAnsi="Arial" w:cs="Arial"/>
          <w:sz w:val="18"/>
          <w:szCs w:val="18"/>
        </w:rPr>
        <w:t>, March 2015. 216.</w:t>
      </w:r>
    </w:p>
  </w:footnote>
  <w:footnote w:id="24">
    <w:p w:rsidR="00613AF1" w:rsidRPr="004C73AE" w:rsidRDefault="00613AF1">
      <w:pPr>
        <w:pStyle w:val="FootnoteText"/>
        <w:rPr>
          <w:rFonts w:ascii="Arial" w:hAnsi="Arial" w:cs="Arial"/>
          <w:sz w:val="18"/>
          <w:szCs w:val="18"/>
        </w:rPr>
      </w:pPr>
      <w:r>
        <w:rPr>
          <w:rStyle w:val="FootnoteReference"/>
        </w:rPr>
        <w:footnoteRef/>
      </w:r>
      <w:r>
        <w:t xml:space="preserve"> </w:t>
      </w:r>
      <w:r>
        <w:rPr>
          <w:rFonts w:ascii="Arial" w:hAnsi="Arial" w:cs="Arial"/>
          <w:sz w:val="18"/>
          <w:szCs w:val="18"/>
        </w:rPr>
        <w:t>NTC, 2016, 22.</w:t>
      </w:r>
    </w:p>
  </w:footnote>
  <w:footnote w:id="25">
    <w:p w:rsidR="004D5E7D" w:rsidRPr="004D5E7D" w:rsidRDefault="004D5E7D">
      <w:pPr>
        <w:pStyle w:val="FootnoteText"/>
        <w:rPr>
          <w:rFonts w:ascii="Arial" w:hAnsi="Arial" w:cs="Arial"/>
          <w:sz w:val="18"/>
          <w:szCs w:val="18"/>
        </w:rPr>
      </w:pPr>
      <w:r>
        <w:rPr>
          <w:rStyle w:val="FootnoteReference"/>
        </w:rPr>
        <w:footnoteRef/>
      </w:r>
      <w:r>
        <w:t xml:space="preserve"> </w:t>
      </w:r>
      <w:r>
        <w:rPr>
          <w:rFonts w:ascii="Arial" w:hAnsi="Arial" w:cs="Arial"/>
          <w:sz w:val="18"/>
          <w:szCs w:val="18"/>
        </w:rPr>
        <w:t>NTC, 2016, 23.</w:t>
      </w:r>
    </w:p>
  </w:footnote>
  <w:footnote w:id="26">
    <w:p w:rsidR="00613AF1" w:rsidRPr="005E13E3" w:rsidRDefault="00613AF1" w:rsidP="000C09F0">
      <w:pPr>
        <w:pStyle w:val="FootnoteText"/>
        <w:rPr>
          <w:rFonts w:ascii="Arial" w:hAnsi="Arial" w:cs="Arial"/>
          <w:sz w:val="18"/>
          <w:szCs w:val="18"/>
        </w:rPr>
      </w:pPr>
      <w:r w:rsidRPr="005E13E3">
        <w:rPr>
          <w:rStyle w:val="FootnoteReference"/>
          <w:rFonts w:ascii="Arial" w:hAnsi="Arial" w:cs="Arial"/>
          <w:sz w:val="18"/>
          <w:szCs w:val="18"/>
        </w:rPr>
        <w:footnoteRef/>
      </w:r>
      <w:r w:rsidRPr="005E13E3">
        <w:rPr>
          <w:rFonts w:ascii="Arial" w:hAnsi="Arial" w:cs="Arial"/>
          <w:sz w:val="18"/>
          <w:szCs w:val="18"/>
        </w:rPr>
        <w:t xml:space="preserve"> Nalder, D. </w:t>
      </w:r>
      <w:hyperlink r:id="rId11" w:history="1">
        <w:r w:rsidRPr="005E13E3">
          <w:rPr>
            <w:rStyle w:val="Hyperlink"/>
            <w:rFonts w:ascii="Arial" w:hAnsi="Arial" w:cs="Arial"/>
            <w:sz w:val="18"/>
            <w:szCs w:val="18"/>
          </w:rPr>
          <w:t>Heavy vehicle registration stickers to be phased out</w:t>
        </w:r>
      </w:hyperlink>
      <w:r w:rsidRPr="005E13E3">
        <w:rPr>
          <w:rFonts w:ascii="Arial" w:hAnsi="Arial" w:cs="Arial"/>
          <w:sz w:val="18"/>
          <w:szCs w:val="18"/>
        </w:rPr>
        <w:t>, Media release, 24 March 2016.</w:t>
      </w:r>
    </w:p>
  </w:footnote>
  <w:footnote w:id="27">
    <w:p w:rsidR="00613AF1" w:rsidRPr="00E375C2" w:rsidRDefault="00613AF1">
      <w:pPr>
        <w:pStyle w:val="FootnoteText"/>
        <w:rPr>
          <w:rFonts w:ascii="Arial" w:hAnsi="Arial" w:cs="Arial"/>
          <w:sz w:val="18"/>
          <w:szCs w:val="18"/>
        </w:rPr>
      </w:pPr>
      <w:r>
        <w:rPr>
          <w:rStyle w:val="FootnoteReference"/>
        </w:rPr>
        <w:footnoteRef/>
      </w:r>
      <w:r>
        <w:t xml:space="preserve"> </w:t>
      </w:r>
      <w:r>
        <w:rPr>
          <w:rFonts w:ascii="Arial" w:hAnsi="Arial" w:cs="Arial"/>
          <w:sz w:val="18"/>
          <w:szCs w:val="18"/>
        </w:rPr>
        <w:t>NTC, 2014, 22-23.</w:t>
      </w:r>
    </w:p>
  </w:footnote>
  <w:footnote w:id="28">
    <w:p w:rsidR="00613AF1" w:rsidRPr="00135ABA" w:rsidRDefault="00613AF1">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NTC, </w:t>
      </w:r>
      <w:hyperlink r:id="rId12" w:history="1">
        <w:r w:rsidRPr="00135ABA">
          <w:rPr>
            <w:rStyle w:val="Hyperlink"/>
            <w:rFonts w:ascii="Arial" w:hAnsi="Arial" w:cs="Arial"/>
            <w:sz w:val="18"/>
            <w:szCs w:val="18"/>
          </w:rPr>
          <w:t>Heavy vehicle charges review policy paper</w:t>
        </w:r>
      </w:hyperlink>
      <w:r>
        <w:rPr>
          <w:rFonts w:ascii="Arial" w:hAnsi="Arial" w:cs="Arial"/>
          <w:sz w:val="18"/>
          <w:szCs w:val="18"/>
        </w:rPr>
        <w:t>, May 2013. 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16" w:rsidRDefault="00F43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16" w:rsidRDefault="00F439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F1" w:rsidRPr="00E8056B" w:rsidRDefault="00613AF1"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613AF1" w:rsidRDefault="00613A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F1" w:rsidRDefault="00613A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F1" w:rsidRPr="0019542E" w:rsidRDefault="00613AF1"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F1" w:rsidRDefault="00613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186B8F"/>
    <w:multiLevelType w:val="hybridMultilevel"/>
    <w:tmpl w:val="107987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81036"/>
    <w:multiLevelType w:val="hybridMultilevel"/>
    <w:tmpl w:val="2D30E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30707"/>
    <w:multiLevelType w:val="hybridMultilevel"/>
    <w:tmpl w:val="90046C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CD6DA7"/>
    <w:multiLevelType w:val="hybridMultilevel"/>
    <w:tmpl w:val="B8FC2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CF0806"/>
    <w:multiLevelType w:val="hybridMultilevel"/>
    <w:tmpl w:val="E63AE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A48E1"/>
    <w:multiLevelType w:val="hybridMultilevel"/>
    <w:tmpl w:val="85463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960874"/>
    <w:multiLevelType w:val="hybridMultilevel"/>
    <w:tmpl w:val="EB7EF76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7D460B9"/>
    <w:multiLevelType w:val="hybridMultilevel"/>
    <w:tmpl w:val="BFD4A55E"/>
    <w:lvl w:ilvl="0" w:tplc="FF02832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731044"/>
    <w:multiLevelType w:val="hybridMultilevel"/>
    <w:tmpl w:val="513AA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DF0147"/>
    <w:multiLevelType w:val="hybridMultilevel"/>
    <w:tmpl w:val="72745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A72C2C"/>
    <w:multiLevelType w:val="hybridMultilevel"/>
    <w:tmpl w:val="9538E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875437"/>
    <w:multiLevelType w:val="hybridMultilevel"/>
    <w:tmpl w:val="0728D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D57A5A"/>
    <w:multiLevelType w:val="hybridMultilevel"/>
    <w:tmpl w:val="27485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F3265C"/>
    <w:multiLevelType w:val="hybridMultilevel"/>
    <w:tmpl w:val="B9A2E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5952C7"/>
    <w:multiLevelType w:val="hybridMultilevel"/>
    <w:tmpl w:val="A392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6C3126"/>
    <w:multiLevelType w:val="multilevel"/>
    <w:tmpl w:val="8724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883B2E"/>
    <w:multiLevelType w:val="hybridMultilevel"/>
    <w:tmpl w:val="3FB6A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0B6CBE"/>
    <w:multiLevelType w:val="hybridMultilevel"/>
    <w:tmpl w:val="FECA1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C83FE8"/>
    <w:multiLevelType w:val="hybridMultilevel"/>
    <w:tmpl w:val="EF88E13E"/>
    <w:lvl w:ilvl="0" w:tplc="0C090001">
      <w:start w:val="1"/>
      <w:numFmt w:val="bullet"/>
      <w:lvlText w:val=""/>
      <w:lvlJc w:val="left"/>
      <w:pPr>
        <w:ind w:left="751" w:hanging="360"/>
      </w:pPr>
      <w:rPr>
        <w:rFonts w:ascii="Symbol" w:hAnsi="Symbol"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19" w15:restartNumberingAfterBreak="0">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8471CF"/>
    <w:multiLevelType w:val="hybridMultilevel"/>
    <w:tmpl w:val="A4BE99E8"/>
    <w:lvl w:ilvl="0" w:tplc="FF028324">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100DC5"/>
    <w:multiLevelType w:val="hybridMultilevel"/>
    <w:tmpl w:val="FC448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7636987"/>
    <w:multiLevelType w:val="hybridMultilevel"/>
    <w:tmpl w:val="5BCC2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8802C92"/>
    <w:multiLevelType w:val="hybridMultilevel"/>
    <w:tmpl w:val="1C0EB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7A3ABA"/>
    <w:multiLevelType w:val="hybridMultilevel"/>
    <w:tmpl w:val="49268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A6186D"/>
    <w:multiLevelType w:val="hybridMultilevel"/>
    <w:tmpl w:val="83141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161178"/>
    <w:multiLevelType w:val="hybridMultilevel"/>
    <w:tmpl w:val="D39EE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4C4711"/>
    <w:multiLevelType w:val="hybridMultilevel"/>
    <w:tmpl w:val="31E0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A239D0"/>
    <w:multiLevelType w:val="hybridMultilevel"/>
    <w:tmpl w:val="28884AF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464B03"/>
    <w:multiLevelType w:val="hybridMultilevel"/>
    <w:tmpl w:val="F75C3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BB4C3A"/>
    <w:multiLevelType w:val="multilevel"/>
    <w:tmpl w:val="0FEA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3332E2"/>
    <w:multiLevelType w:val="hybridMultilevel"/>
    <w:tmpl w:val="9000E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1B60ED"/>
    <w:multiLevelType w:val="hybridMultilevel"/>
    <w:tmpl w:val="5B9E25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16"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3C84D13"/>
    <w:multiLevelType w:val="hybridMultilevel"/>
    <w:tmpl w:val="12D49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2D4BE2"/>
    <w:multiLevelType w:val="hybridMultilevel"/>
    <w:tmpl w:val="B922F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4F3BF5"/>
    <w:multiLevelType w:val="hybridMultilevel"/>
    <w:tmpl w:val="CC1CC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5C0C9B"/>
    <w:multiLevelType w:val="hybridMultilevel"/>
    <w:tmpl w:val="9A3EC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327026"/>
    <w:multiLevelType w:val="hybridMultilevel"/>
    <w:tmpl w:val="447CD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FB02BD"/>
    <w:multiLevelType w:val="hybridMultilevel"/>
    <w:tmpl w:val="96FCF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DE71E9"/>
    <w:multiLevelType w:val="hybridMultilevel"/>
    <w:tmpl w:val="CB865324"/>
    <w:lvl w:ilvl="0" w:tplc="0C090001">
      <w:start w:val="1"/>
      <w:numFmt w:val="bullet"/>
      <w:lvlText w:val=""/>
      <w:lvlJc w:val="left"/>
      <w:pPr>
        <w:ind w:left="720" w:hanging="360"/>
      </w:pPr>
      <w:rPr>
        <w:rFonts w:ascii="Symbol" w:hAnsi="Symbol" w:hint="default"/>
      </w:rPr>
    </w:lvl>
    <w:lvl w:ilvl="1" w:tplc="E7A8CE86">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54107B"/>
    <w:multiLevelType w:val="hybridMultilevel"/>
    <w:tmpl w:val="D49E4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F47D13"/>
    <w:multiLevelType w:val="hybridMultilevel"/>
    <w:tmpl w:val="3E105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34"/>
  </w:num>
  <w:num w:numId="4">
    <w:abstractNumId w:val="1"/>
  </w:num>
  <w:num w:numId="5">
    <w:abstractNumId w:val="18"/>
  </w:num>
  <w:num w:numId="6">
    <w:abstractNumId w:val="32"/>
  </w:num>
  <w:num w:numId="7">
    <w:abstractNumId w:val="21"/>
  </w:num>
  <w:num w:numId="8">
    <w:abstractNumId w:val="22"/>
  </w:num>
  <w:num w:numId="9">
    <w:abstractNumId w:val="13"/>
  </w:num>
  <w:num w:numId="10">
    <w:abstractNumId w:val="9"/>
  </w:num>
  <w:num w:numId="11">
    <w:abstractNumId w:val="33"/>
  </w:num>
  <w:num w:numId="12">
    <w:abstractNumId w:val="30"/>
  </w:num>
  <w:num w:numId="13">
    <w:abstractNumId w:val="15"/>
  </w:num>
  <w:num w:numId="14">
    <w:abstractNumId w:val="33"/>
  </w:num>
  <w:num w:numId="15">
    <w:abstractNumId w:val="6"/>
  </w:num>
  <w:num w:numId="16">
    <w:abstractNumId w:val="2"/>
  </w:num>
  <w:num w:numId="17">
    <w:abstractNumId w:val="5"/>
  </w:num>
  <w:num w:numId="18">
    <w:abstractNumId w:val="8"/>
  </w:num>
  <w:num w:numId="19">
    <w:abstractNumId w:val="36"/>
  </w:num>
  <w:num w:numId="20">
    <w:abstractNumId w:val="16"/>
  </w:num>
  <w:num w:numId="21">
    <w:abstractNumId w:val="39"/>
  </w:num>
  <w:num w:numId="22">
    <w:abstractNumId w:val="23"/>
  </w:num>
  <w:num w:numId="23">
    <w:abstractNumId w:val="4"/>
  </w:num>
  <w:num w:numId="24">
    <w:abstractNumId w:val="3"/>
  </w:num>
  <w:num w:numId="25">
    <w:abstractNumId w:val="12"/>
  </w:num>
  <w:num w:numId="26">
    <w:abstractNumId w:val="14"/>
  </w:num>
  <w:num w:numId="27">
    <w:abstractNumId w:val="25"/>
  </w:num>
  <w:num w:numId="28">
    <w:abstractNumId w:val="11"/>
  </w:num>
  <w:num w:numId="29">
    <w:abstractNumId w:val="40"/>
  </w:num>
  <w:num w:numId="30">
    <w:abstractNumId w:val="24"/>
  </w:num>
  <w:num w:numId="31">
    <w:abstractNumId w:val="37"/>
  </w:num>
  <w:num w:numId="32">
    <w:abstractNumId w:val="35"/>
  </w:num>
  <w:num w:numId="33">
    <w:abstractNumId w:val="29"/>
  </w:num>
  <w:num w:numId="34">
    <w:abstractNumId w:val="27"/>
  </w:num>
  <w:num w:numId="35">
    <w:abstractNumId w:val="7"/>
  </w:num>
  <w:num w:numId="36">
    <w:abstractNumId w:val="20"/>
  </w:num>
  <w:num w:numId="37">
    <w:abstractNumId w:val="41"/>
  </w:num>
  <w:num w:numId="38">
    <w:abstractNumId w:val="10"/>
  </w:num>
  <w:num w:numId="39">
    <w:abstractNumId w:val="17"/>
  </w:num>
  <w:num w:numId="40">
    <w:abstractNumId w:val="38"/>
  </w:num>
  <w:num w:numId="41">
    <w:abstractNumId w:val="42"/>
  </w:num>
  <w:num w:numId="42">
    <w:abstractNumId w:val="31"/>
  </w:num>
  <w:num w:numId="43">
    <w:abstractNumId w:val="28"/>
  </w:num>
  <w:num w:numId="44">
    <w:abstractNumId w:val="0"/>
  </w:num>
  <w:num w:numId="45">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E9"/>
    <w:rsid w:val="0000052A"/>
    <w:rsid w:val="00000CE3"/>
    <w:rsid w:val="00001E4D"/>
    <w:rsid w:val="0000435D"/>
    <w:rsid w:val="00005A35"/>
    <w:rsid w:val="00005E0D"/>
    <w:rsid w:val="00006297"/>
    <w:rsid w:val="00006C53"/>
    <w:rsid w:val="00007723"/>
    <w:rsid w:val="00007CA7"/>
    <w:rsid w:val="000106D7"/>
    <w:rsid w:val="00011661"/>
    <w:rsid w:val="00012191"/>
    <w:rsid w:val="00012205"/>
    <w:rsid w:val="000156D1"/>
    <w:rsid w:val="000169A5"/>
    <w:rsid w:val="00017DEC"/>
    <w:rsid w:val="00020B9C"/>
    <w:rsid w:val="00020E34"/>
    <w:rsid w:val="00021886"/>
    <w:rsid w:val="00021D7D"/>
    <w:rsid w:val="0002564A"/>
    <w:rsid w:val="00027E86"/>
    <w:rsid w:val="0003251D"/>
    <w:rsid w:val="00033C3F"/>
    <w:rsid w:val="00035304"/>
    <w:rsid w:val="00035CFC"/>
    <w:rsid w:val="0004081E"/>
    <w:rsid w:val="00040876"/>
    <w:rsid w:val="00040B35"/>
    <w:rsid w:val="00044118"/>
    <w:rsid w:val="000447B1"/>
    <w:rsid w:val="00046251"/>
    <w:rsid w:val="00046A9D"/>
    <w:rsid w:val="00047723"/>
    <w:rsid w:val="00047B01"/>
    <w:rsid w:val="00050538"/>
    <w:rsid w:val="00050AC8"/>
    <w:rsid w:val="00050CE6"/>
    <w:rsid w:val="00052E54"/>
    <w:rsid w:val="00052E9C"/>
    <w:rsid w:val="00053DCB"/>
    <w:rsid w:val="00054F0E"/>
    <w:rsid w:val="00056113"/>
    <w:rsid w:val="00056A74"/>
    <w:rsid w:val="00057204"/>
    <w:rsid w:val="00060365"/>
    <w:rsid w:val="00060651"/>
    <w:rsid w:val="0006283B"/>
    <w:rsid w:val="00063D15"/>
    <w:rsid w:val="00064652"/>
    <w:rsid w:val="00065105"/>
    <w:rsid w:val="00067698"/>
    <w:rsid w:val="00070737"/>
    <w:rsid w:val="00071A71"/>
    <w:rsid w:val="00072CCE"/>
    <w:rsid w:val="00074164"/>
    <w:rsid w:val="0007542B"/>
    <w:rsid w:val="00075811"/>
    <w:rsid w:val="00075E7B"/>
    <w:rsid w:val="00077364"/>
    <w:rsid w:val="00083C15"/>
    <w:rsid w:val="000848A1"/>
    <w:rsid w:val="00085D97"/>
    <w:rsid w:val="00086A56"/>
    <w:rsid w:val="00087208"/>
    <w:rsid w:val="00091EB9"/>
    <w:rsid w:val="00093679"/>
    <w:rsid w:val="00094FE3"/>
    <w:rsid w:val="000958E2"/>
    <w:rsid w:val="00095C3B"/>
    <w:rsid w:val="00096B02"/>
    <w:rsid w:val="0009718D"/>
    <w:rsid w:val="00097329"/>
    <w:rsid w:val="000976B9"/>
    <w:rsid w:val="0009785A"/>
    <w:rsid w:val="000A01D0"/>
    <w:rsid w:val="000A2163"/>
    <w:rsid w:val="000A2996"/>
    <w:rsid w:val="000A2BCF"/>
    <w:rsid w:val="000A2C1A"/>
    <w:rsid w:val="000A373E"/>
    <w:rsid w:val="000A3E9F"/>
    <w:rsid w:val="000A4EB0"/>
    <w:rsid w:val="000A6499"/>
    <w:rsid w:val="000B0410"/>
    <w:rsid w:val="000B069A"/>
    <w:rsid w:val="000B1819"/>
    <w:rsid w:val="000B2FAB"/>
    <w:rsid w:val="000B354A"/>
    <w:rsid w:val="000B496C"/>
    <w:rsid w:val="000C049C"/>
    <w:rsid w:val="000C09F0"/>
    <w:rsid w:val="000C0C35"/>
    <w:rsid w:val="000C0F58"/>
    <w:rsid w:val="000C4A62"/>
    <w:rsid w:val="000C608F"/>
    <w:rsid w:val="000C7BBC"/>
    <w:rsid w:val="000D033C"/>
    <w:rsid w:val="000D5E4E"/>
    <w:rsid w:val="000D6EF5"/>
    <w:rsid w:val="000D7CD4"/>
    <w:rsid w:val="000E00E4"/>
    <w:rsid w:val="000E7B14"/>
    <w:rsid w:val="000F0F7B"/>
    <w:rsid w:val="000F314E"/>
    <w:rsid w:val="000F34E0"/>
    <w:rsid w:val="000F3ACC"/>
    <w:rsid w:val="000F3ADB"/>
    <w:rsid w:val="000F3D9F"/>
    <w:rsid w:val="000F53C2"/>
    <w:rsid w:val="000F566E"/>
    <w:rsid w:val="000F5BB5"/>
    <w:rsid w:val="000F5FEE"/>
    <w:rsid w:val="000F7F6F"/>
    <w:rsid w:val="00100A35"/>
    <w:rsid w:val="00103E24"/>
    <w:rsid w:val="001051CB"/>
    <w:rsid w:val="00106FC6"/>
    <w:rsid w:val="00110610"/>
    <w:rsid w:val="00110711"/>
    <w:rsid w:val="00110A53"/>
    <w:rsid w:val="001121A8"/>
    <w:rsid w:val="0011347C"/>
    <w:rsid w:val="00114FC5"/>
    <w:rsid w:val="00116E87"/>
    <w:rsid w:val="001176CB"/>
    <w:rsid w:val="00121A4F"/>
    <w:rsid w:val="00121A53"/>
    <w:rsid w:val="00122285"/>
    <w:rsid w:val="00122F97"/>
    <w:rsid w:val="00124583"/>
    <w:rsid w:val="00125009"/>
    <w:rsid w:val="00125023"/>
    <w:rsid w:val="0013041A"/>
    <w:rsid w:val="001320D2"/>
    <w:rsid w:val="00132E36"/>
    <w:rsid w:val="00133207"/>
    <w:rsid w:val="00134E0D"/>
    <w:rsid w:val="001355B9"/>
    <w:rsid w:val="00135ABA"/>
    <w:rsid w:val="001368EB"/>
    <w:rsid w:val="00141274"/>
    <w:rsid w:val="00141395"/>
    <w:rsid w:val="0014179F"/>
    <w:rsid w:val="0014300C"/>
    <w:rsid w:val="001431E4"/>
    <w:rsid w:val="00143F9C"/>
    <w:rsid w:val="00145B71"/>
    <w:rsid w:val="0014683D"/>
    <w:rsid w:val="00150065"/>
    <w:rsid w:val="0015008C"/>
    <w:rsid w:val="00150435"/>
    <w:rsid w:val="0015062F"/>
    <w:rsid w:val="0015211C"/>
    <w:rsid w:val="00152A71"/>
    <w:rsid w:val="001533F1"/>
    <w:rsid w:val="0015359E"/>
    <w:rsid w:val="0015386B"/>
    <w:rsid w:val="001552BC"/>
    <w:rsid w:val="00155925"/>
    <w:rsid w:val="0016025B"/>
    <w:rsid w:val="00160FE3"/>
    <w:rsid w:val="001611AB"/>
    <w:rsid w:val="00163879"/>
    <w:rsid w:val="00166CBD"/>
    <w:rsid w:val="00167142"/>
    <w:rsid w:val="00167289"/>
    <w:rsid w:val="001701F4"/>
    <w:rsid w:val="00172FC4"/>
    <w:rsid w:val="00174273"/>
    <w:rsid w:val="00176C09"/>
    <w:rsid w:val="00177BE9"/>
    <w:rsid w:val="001806A4"/>
    <w:rsid w:val="001807A8"/>
    <w:rsid w:val="001811B8"/>
    <w:rsid w:val="00182115"/>
    <w:rsid w:val="001822CF"/>
    <w:rsid w:val="0018247A"/>
    <w:rsid w:val="001855CD"/>
    <w:rsid w:val="00185B28"/>
    <w:rsid w:val="0019542E"/>
    <w:rsid w:val="00195C1B"/>
    <w:rsid w:val="00197B9E"/>
    <w:rsid w:val="001A0DC3"/>
    <w:rsid w:val="001A0DEF"/>
    <w:rsid w:val="001A3A47"/>
    <w:rsid w:val="001A6510"/>
    <w:rsid w:val="001A6D98"/>
    <w:rsid w:val="001A7687"/>
    <w:rsid w:val="001A7D3D"/>
    <w:rsid w:val="001B0529"/>
    <w:rsid w:val="001B0E57"/>
    <w:rsid w:val="001B2CD7"/>
    <w:rsid w:val="001B3675"/>
    <w:rsid w:val="001B36AC"/>
    <w:rsid w:val="001B3E52"/>
    <w:rsid w:val="001B5390"/>
    <w:rsid w:val="001C05C2"/>
    <w:rsid w:val="001C0C68"/>
    <w:rsid w:val="001C125D"/>
    <w:rsid w:val="001C3659"/>
    <w:rsid w:val="001C5B41"/>
    <w:rsid w:val="001D2D61"/>
    <w:rsid w:val="001D50C7"/>
    <w:rsid w:val="001D64FE"/>
    <w:rsid w:val="001D77A8"/>
    <w:rsid w:val="001D7817"/>
    <w:rsid w:val="001E0A75"/>
    <w:rsid w:val="001E1BA9"/>
    <w:rsid w:val="001E3AC7"/>
    <w:rsid w:val="001E474C"/>
    <w:rsid w:val="001E5BE0"/>
    <w:rsid w:val="001E5C29"/>
    <w:rsid w:val="001E6B58"/>
    <w:rsid w:val="001E70A3"/>
    <w:rsid w:val="001F0C6E"/>
    <w:rsid w:val="001F1455"/>
    <w:rsid w:val="001F187C"/>
    <w:rsid w:val="001F7268"/>
    <w:rsid w:val="00200A50"/>
    <w:rsid w:val="002016E8"/>
    <w:rsid w:val="0020303C"/>
    <w:rsid w:val="002041FF"/>
    <w:rsid w:val="0020542E"/>
    <w:rsid w:val="002067C0"/>
    <w:rsid w:val="00207DE8"/>
    <w:rsid w:val="00210088"/>
    <w:rsid w:val="00212540"/>
    <w:rsid w:val="0021270C"/>
    <w:rsid w:val="0021283E"/>
    <w:rsid w:val="002137D3"/>
    <w:rsid w:val="00214282"/>
    <w:rsid w:val="0021562E"/>
    <w:rsid w:val="00215F0D"/>
    <w:rsid w:val="00216CE6"/>
    <w:rsid w:val="00222A5F"/>
    <w:rsid w:val="00223D83"/>
    <w:rsid w:val="00224D0B"/>
    <w:rsid w:val="00225B24"/>
    <w:rsid w:val="00227208"/>
    <w:rsid w:val="002278E9"/>
    <w:rsid w:val="0023094F"/>
    <w:rsid w:val="00230C4F"/>
    <w:rsid w:val="00230CBC"/>
    <w:rsid w:val="00230DFC"/>
    <w:rsid w:val="002333DB"/>
    <w:rsid w:val="00237081"/>
    <w:rsid w:val="00237A45"/>
    <w:rsid w:val="00237A72"/>
    <w:rsid w:val="00241C15"/>
    <w:rsid w:val="0024248F"/>
    <w:rsid w:val="00242D21"/>
    <w:rsid w:val="0024360C"/>
    <w:rsid w:val="00243731"/>
    <w:rsid w:val="00250025"/>
    <w:rsid w:val="00251727"/>
    <w:rsid w:val="0025225E"/>
    <w:rsid w:val="002527BE"/>
    <w:rsid w:val="00252AA9"/>
    <w:rsid w:val="0025341C"/>
    <w:rsid w:val="0025360A"/>
    <w:rsid w:val="002542D1"/>
    <w:rsid w:val="00254301"/>
    <w:rsid w:val="002543DF"/>
    <w:rsid w:val="00255617"/>
    <w:rsid w:val="00255826"/>
    <w:rsid w:val="00257D05"/>
    <w:rsid w:val="00260827"/>
    <w:rsid w:val="002619C1"/>
    <w:rsid w:val="00262C0A"/>
    <w:rsid w:val="00263A7C"/>
    <w:rsid w:val="002647C3"/>
    <w:rsid w:val="00265EB9"/>
    <w:rsid w:val="00266881"/>
    <w:rsid w:val="00266915"/>
    <w:rsid w:val="00267CAF"/>
    <w:rsid w:val="00267EA4"/>
    <w:rsid w:val="00270995"/>
    <w:rsid w:val="00270DAD"/>
    <w:rsid w:val="00271561"/>
    <w:rsid w:val="002744B1"/>
    <w:rsid w:val="00277981"/>
    <w:rsid w:val="00277D24"/>
    <w:rsid w:val="00282EF9"/>
    <w:rsid w:val="0028399D"/>
    <w:rsid w:val="00291C6F"/>
    <w:rsid w:val="0029355B"/>
    <w:rsid w:val="002938B5"/>
    <w:rsid w:val="00295501"/>
    <w:rsid w:val="00296633"/>
    <w:rsid w:val="00296A47"/>
    <w:rsid w:val="002A061F"/>
    <w:rsid w:val="002A243F"/>
    <w:rsid w:val="002A3F63"/>
    <w:rsid w:val="002A4859"/>
    <w:rsid w:val="002A4F45"/>
    <w:rsid w:val="002A5C2E"/>
    <w:rsid w:val="002A7CB7"/>
    <w:rsid w:val="002A7D7F"/>
    <w:rsid w:val="002B0559"/>
    <w:rsid w:val="002B0F48"/>
    <w:rsid w:val="002B172B"/>
    <w:rsid w:val="002B31AF"/>
    <w:rsid w:val="002B3668"/>
    <w:rsid w:val="002B381D"/>
    <w:rsid w:val="002B3C02"/>
    <w:rsid w:val="002B44CF"/>
    <w:rsid w:val="002B54EF"/>
    <w:rsid w:val="002B7A60"/>
    <w:rsid w:val="002B7C87"/>
    <w:rsid w:val="002C015C"/>
    <w:rsid w:val="002C0499"/>
    <w:rsid w:val="002C1799"/>
    <w:rsid w:val="002C2485"/>
    <w:rsid w:val="002C2819"/>
    <w:rsid w:val="002C5598"/>
    <w:rsid w:val="002D0CF6"/>
    <w:rsid w:val="002D1187"/>
    <w:rsid w:val="002D2E24"/>
    <w:rsid w:val="002D592D"/>
    <w:rsid w:val="002D7532"/>
    <w:rsid w:val="002E06F2"/>
    <w:rsid w:val="002E226D"/>
    <w:rsid w:val="002E453E"/>
    <w:rsid w:val="002E4551"/>
    <w:rsid w:val="002E5D82"/>
    <w:rsid w:val="002E5F39"/>
    <w:rsid w:val="002E6075"/>
    <w:rsid w:val="002E7266"/>
    <w:rsid w:val="002E7897"/>
    <w:rsid w:val="002E7F28"/>
    <w:rsid w:val="002F2F65"/>
    <w:rsid w:val="002F3241"/>
    <w:rsid w:val="002F438C"/>
    <w:rsid w:val="002F50FD"/>
    <w:rsid w:val="002F5A71"/>
    <w:rsid w:val="002F5F21"/>
    <w:rsid w:val="002F632C"/>
    <w:rsid w:val="00302E87"/>
    <w:rsid w:val="00304B46"/>
    <w:rsid w:val="00304E75"/>
    <w:rsid w:val="00304FB2"/>
    <w:rsid w:val="003054ED"/>
    <w:rsid w:val="003058BC"/>
    <w:rsid w:val="00306FBF"/>
    <w:rsid w:val="00307FF7"/>
    <w:rsid w:val="00315333"/>
    <w:rsid w:val="0032008B"/>
    <w:rsid w:val="00320150"/>
    <w:rsid w:val="003208A7"/>
    <w:rsid w:val="00320AFE"/>
    <w:rsid w:val="00321A43"/>
    <w:rsid w:val="0032308F"/>
    <w:rsid w:val="00325A6C"/>
    <w:rsid w:val="003265BF"/>
    <w:rsid w:val="00330F29"/>
    <w:rsid w:val="00336512"/>
    <w:rsid w:val="00336760"/>
    <w:rsid w:val="00336EBD"/>
    <w:rsid w:val="00342826"/>
    <w:rsid w:val="003449BF"/>
    <w:rsid w:val="00350300"/>
    <w:rsid w:val="00351556"/>
    <w:rsid w:val="00351657"/>
    <w:rsid w:val="00351D4B"/>
    <w:rsid w:val="003533CA"/>
    <w:rsid w:val="00354394"/>
    <w:rsid w:val="0035493A"/>
    <w:rsid w:val="00354DA6"/>
    <w:rsid w:val="00356D3A"/>
    <w:rsid w:val="00360759"/>
    <w:rsid w:val="00360AD1"/>
    <w:rsid w:val="00364BA5"/>
    <w:rsid w:val="0036535E"/>
    <w:rsid w:val="003672E9"/>
    <w:rsid w:val="00372137"/>
    <w:rsid w:val="00374990"/>
    <w:rsid w:val="00376E2F"/>
    <w:rsid w:val="00380998"/>
    <w:rsid w:val="003828AD"/>
    <w:rsid w:val="00383C36"/>
    <w:rsid w:val="00384772"/>
    <w:rsid w:val="00385F00"/>
    <w:rsid w:val="00385F9E"/>
    <w:rsid w:val="0039063B"/>
    <w:rsid w:val="00390696"/>
    <w:rsid w:val="003911E4"/>
    <w:rsid w:val="0039442F"/>
    <w:rsid w:val="003A0B65"/>
    <w:rsid w:val="003A17DE"/>
    <w:rsid w:val="003A223A"/>
    <w:rsid w:val="003A4520"/>
    <w:rsid w:val="003B1937"/>
    <w:rsid w:val="003B1C96"/>
    <w:rsid w:val="003B2024"/>
    <w:rsid w:val="003B20EE"/>
    <w:rsid w:val="003B23CF"/>
    <w:rsid w:val="003B56E7"/>
    <w:rsid w:val="003B6265"/>
    <w:rsid w:val="003B74E4"/>
    <w:rsid w:val="003B76E9"/>
    <w:rsid w:val="003B7C68"/>
    <w:rsid w:val="003C10A3"/>
    <w:rsid w:val="003C2311"/>
    <w:rsid w:val="003C2DEE"/>
    <w:rsid w:val="003C42D2"/>
    <w:rsid w:val="003C44F2"/>
    <w:rsid w:val="003C4664"/>
    <w:rsid w:val="003C4FCE"/>
    <w:rsid w:val="003C6E58"/>
    <w:rsid w:val="003D0990"/>
    <w:rsid w:val="003D0AC3"/>
    <w:rsid w:val="003D0EAF"/>
    <w:rsid w:val="003D1163"/>
    <w:rsid w:val="003D27E1"/>
    <w:rsid w:val="003D3DC0"/>
    <w:rsid w:val="003D4281"/>
    <w:rsid w:val="003D495C"/>
    <w:rsid w:val="003D58D4"/>
    <w:rsid w:val="003D5C05"/>
    <w:rsid w:val="003D6F49"/>
    <w:rsid w:val="003D75FC"/>
    <w:rsid w:val="003D7690"/>
    <w:rsid w:val="003E0651"/>
    <w:rsid w:val="003E06E7"/>
    <w:rsid w:val="003E2B20"/>
    <w:rsid w:val="003E3B58"/>
    <w:rsid w:val="003E3D6A"/>
    <w:rsid w:val="003E4EFE"/>
    <w:rsid w:val="003E7053"/>
    <w:rsid w:val="003F0B5C"/>
    <w:rsid w:val="003F0F16"/>
    <w:rsid w:val="003F14C7"/>
    <w:rsid w:val="003F5267"/>
    <w:rsid w:val="003F6CA9"/>
    <w:rsid w:val="00400142"/>
    <w:rsid w:val="004008C7"/>
    <w:rsid w:val="004008D8"/>
    <w:rsid w:val="00401AEA"/>
    <w:rsid w:val="00402138"/>
    <w:rsid w:val="00403823"/>
    <w:rsid w:val="00404392"/>
    <w:rsid w:val="00404731"/>
    <w:rsid w:val="00404820"/>
    <w:rsid w:val="004053D4"/>
    <w:rsid w:val="00406222"/>
    <w:rsid w:val="00406FE0"/>
    <w:rsid w:val="00407881"/>
    <w:rsid w:val="00407EF2"/>
    <w:rsid w:val="00410341"/>
    <w:rsid w:val="0041041B"/>
    <w:rsid w:val="004115B6"/>
    <w:rsid w:val="00411625"/>
    <w:rsid w:val="004116EA"/>
    <w:rsid w:val="00411877"/>
    <w:rsid w:val="0041272C"/>
    <w:rsid w:val="004130C2"/>
    <w:rsid w:val="00413868"/>
    <w:rsid w:val="0041457F"/>
    <w:rsid w:val="00414BFC"/>
    <w:rsid w:val="00415126"/>
    <w:rsid w:val="00420431"/>
    <w:rsid w:val="0042052C"/>
    <w:rsid w:val="004209B1"/>
    <w:rsid w:val="00420F75"/>
    <w:rsid w:val="00421306"/>
    <w:rsid w:val="00422BB7"/>
    <w:rsid w:val="00423CC7"/>
    <w:rsid w:val="00423CCC"/>
    <w:rsid w:val="00424D3E"/>
    <w:rsid w:val="0042557B"/>
    <w:rsid w:val="004263BE"/>
    <w:rsid w:val="00430557"/>
    <w:rsid w:val="00432273"/>
    <w:rsid w:val="004353C2"/>
    <w:rsid w:val="0043731A"/>
    <w:rsid w:val="00440231"/>
    <w:rsid w:val="00443123"/>
    <w:rsid w:val="004436EB"/>
    <w:rsid w:val="00445CDC"/>
    <w:rsid w:val="004463AE"/>
    <w:rsid w:val="00450FF8"/>
    <w:rsid w:val="0045153A"/>
    <w:rsid w:val="00451BB7"/>
    <w:rsid w:val="00451BD9"/>
    <w:rsid w:val="0045458E"/>
    <w:rsid w:val="00454D08"/>
    <w:rsid w:val="00455514"/>
    <w:rsid w:val="00462423"/>
    <w:rsid w:val="00463025"/>
    <w:rsid w:val="004640D1"/>
    <w:rsid w:val="00466E7F"/>
    <w:rsid w:val="00473A75"/>
    <w:rsid w:val="00474AAC"/>
    <w:rsid w:val="00475C39"/>
    <w:rsid w:val="004762BA"/>
    <w:rsid w:val="00483BAA"/>
    <w:rsid w:val="00483F2E"/>
    <w:rsid w:val="00484068"/>
    <w:rsid w:val="004847D2"/>
    <w:rsid w:val="00484C78"/>
    <w:rsid w:val="004854A3"/>
    <w:rsid w:val="00487F0F"/>
    <w:rsid w:val="004915A1"/>
    <w:rsid w:val="00492D2E"/>
    <w:rsid w:val="004952A7"/>
    <w:rsid w:val="0049636E"/>
    <w:rsid w:val="00496A24"/>
    <w:rsid w:val="004977DE"/>
    <w:rsid w:val="00497CD2"/>
    <w:rsid w:val="004A2F6F"/>
    <w:rsid w:val="004A325F"/>
    <w:rsid w:val="004A7B44"/>
    <w:rsid w:val="004B08E7"/>
    <w:rsid w:val="004B0BF5"/>
    <w:rsid w:val="004B18F3"/>
    <w:rsid w:val="004B26EB"/>
    <w:rsid w:val="004B2B19"/>
    <w:rsid w:val="004B3EF6"/>
    <w:rsid w:val="004B4B20"/>
    <w:rsid w:val="004B509F"/>
    <w:rsid w:val="004B5FA9"/>
    <w:rsid w:val="004B6187"/>
    <w:rsid w:val="004B64C9"/>
    <w:rsid w:val="004B6C90"/>
    <w:rsid w:val="004C1C6A"/>
    <w:rsid w:val="004C21BB"/>
    <w:rsid w:val="004C3CC3"/>
    <w:rsid w:val="004C73AE"/>
    <w:rsid w:val="004C78A5"/>
    <w:rsid w:val="004C7AD5"/>
    <w:rsid w:val="004C7EE3"/>
    <w:rsid w:val="004D0C5A"/>
    <w:rsid w:val="004D3774"/>
    <w:rsid w:val="004D42D0"/>
    <w:rsid w:val="004D5211"/>
    <w:rsid w:val="004D5E7D"/>
    <w:rsid w:val="004D6BAD"/>
    <w:rsid w:val="004E1EBB"/>
    <w:rsid w:val="004E243D"/>
    <w:rsid w:val="004E5885"/>
    <w:rsid w:val="004E5EA3"/>
    <w:rsid w:val="004E7118"/>
    <w:rsid w:val="004F047C"/>
    <w:rsid w:val="004F0A9B"/>
    <w:rsid w:val="004F112A"/>
    <w:rsid w:val="004F38D2"/>
    <w:rsid w:val="004F3B07"/>
    <w:rsid w:val="004F500B"/>
    <w:rsid w:val="004F6D2F"/>
    <w:rsid w:val="004F79DA"/>
    <w:rsid w:val="00500AFE"/>
    <w:rsid w:val="00500BCF"/>
    <w:rsid w:val="00501270"/>
    <w:rsid w:val="00502292"/>
    <w:rsid w:val="005022E4"/>
    <w:rsid w:val="005028C0"/>
    <w:rsid w:val="0050368F"/>
    <w:rsid w:val="00503808"/>
    <w:rsid w:val="00504707"/>
    <w:rsid w:val="00504A7C"/>
    <w:rsid w:val="00510952"/>
    <w:rsid w:val="00510A99"/>
    <w:rsid w:val="00512B6D"/>
    <w:rsid w:val="00512C46"/>
    <w:rsid w:val="0052056E"/>
    <w:rsid w:val="005208A7"/>
    <w:rsid w:val="00521437"/>
    <w:rsid w:val="005223FD"/>
    <w:rsid w:val="00525303"/>
    <w:rsid w:val="0053137B"/>
    <w:rsid w:val="0053194E"/>
    <w:rsid w:val="00531E13"/>
    <w:rsid w:val="0053236A"/>
    <w:rsid w:val="005326EB"/>
    <w:rsid w:val="00532BFB"/>
    <w:rsid w:val="00532EDD"/>
    <w:rsid w:val="00532F0A"/>
    <w:rsid w:val="00533381"/>
    <w:rsid w:val="00533467"/>
    <w:rsid w:val="00533DD1"/>
    <w:rsid w:val="0053492E"/>
    <w:rsid w:val="005350B5"/>
    <w:rsid w:val="00535155"/>
    <w:rsid w:val="00535863"/>
    <w:rsid w:val="005359BF"/>
    <w:rsid w:val="005365E0"/>
    <w:rsid w:val="00540454"/>
    <w:rsid w:val="00540ABF"/>
    <w:rsid w:val="00542877"/>
    <w:rsid w:val="00543163"/>
    <w:rsid w:val="005434F6"/>
    <w:rsid w:val="0054477E"/>
    <w:rsid w:val="00545151"/>
    <w:rsid w:val="00545CB8"/>
    <w:rsid w:val="00545E6C"/>
    <w:rsid w:val="00546664"/>
    <w:rsid w:val="00550256"/>
    <w:rsid w:val="005507D4"/>
    <w:rsid w:val="005520B3"/>
    <w:rsid w:val="00552289"/>
    <w:rsid w:val="005539F5"/>
    <w:rsid w:val="005551EA"/>
    <w:rsid w:val="005571CA"/>
    <w:rsid w:val="0056179B"/>
    <w:rsid w:val="00563FAD"/>
    <w:rsid w:val="0056479F"/>
    <w:rsid w:val="005648B3"/>
    <w:rsid w:val="00564DAA"/>
    <w:rsid w:val="00565CBE"/>
    <w:rsid w:val="00565F92"/>
    <w:rsid w:val="00566D20"/>
    <w:rsid w:val="00570127"/>
    <w:rsid w:val="0057019E"/>
    <w:rsid w:val="00571F8F"/>
    <w:rsid w:val="0057591D"/>
    <w:rsid w:val="00576710"/>
    <w:rsid w:val="00576ED0"/>
    <w:rsid w:val="00576F0D"/>
    <w:rsid w:val="005773CF"/>
    <w:rsid w:val="0057783F"/>
    <w:rsid w:val="00580BDF"/>
    <w:rsid w:val="0058247C"/>
    <w:rsid w:val="00583369"/>
    <w:rsid w:val="00586A8B"/>
    <w:rsid w:val="00587C8F"/>
    <w:rsid w:val="00591DEC"/>
    <w:rsid w:val="00593217"/>
    <w:rsid w:val="0059482D"/>
    <w:rsid w:val="00596872"/>
    <w:rsid w:val="00596DBF"/>
    <w:rsid w:val="005A147B"/>
    <w:rsid w:val="005A2A86"/>
    <w:rsid w:val="005A38CD"/>
    <w:rsid w:val="005A49DD"/>
    <w:rsid w:val="005B0230"/>
    <w:rsid w:val="005B0CD7"/>
    <w:rsid w:val="005B1179"/>
    <w:rsid w:val="005B34B7"/>
    <w:rsid w:val="005B3729"/>
    <w:rsid w:val="005B4CA8"/>
    <w:rsid w:val="005B4F21"/>
    <w:rsid w:val="005B68E9"/>
    <w:rsid w:val="005C1437"/>
    <w:rsid w:val="005C1B52"/>
    <w:rsid w:val="005C31A0"/>
    <w:rsid w:val="005C36D1"/>
    <w:rsid w:val="005C4492"/>
    <w:rsid w:val="005C473F"/>
    <w:rsid w:val="005C4952"/>
    <w:rsid w:val="005C61CC"/>
    <w:rsid w:val="005C63F7"/>
    <w:rsid w:val="005C7729"/>
    <w:rsid w:val="005C77F4"/>
    <w:rsid w:val="005D00E8"/>
    <w:rsid w:val="005D2355"/>
    <w:rsid w:val="005D2445"/>
    <w:rsid w:val="005D6CD2"/>
    <w:rsid w:val="005D77A5"/>
    <w:rsid w:val="005E117A"/>
    <w:rsid w:val="005E11FC"/>
    <w:rsid w:val="005E13E3"/>
    <w:rsid w:val="005E20ED"/>
    <w:rsid w:val="005E23F5"/>
    <w:rsid w:val="005E28FB"/>
    <w:rsid w:val="005E4356"/>
    <w:rsid w:val="005E57AC"/>
    <w:rsid w:val="005E6294"/>
    <w:rsid w:val="005E661C"/>
    <w:rsid w:val="005E6D8B"/>
    <w:rsid w:val="005F01B0"/>
    <w:rsid w:val="005F02DD"/>
    <w:rsid w:val="005F1009"/>
    <w:rsid w:val="005F21D1"/>
    <w:rsid w:val="005F31DF"/>
    <w:rsid w:val="005F4FBC"/>
    <w:rsid w:val="005F528E"/>
    <w:rsid w:val="005F5AA9"/>
    <w:rsid w:val="005F5ACC"/>
    <w:rsid w:val="005F69CC"/>
    <w:rsid w:val="00600132"/>
    <w:rsid w:val="006007D6"/>
    <w:rsid w:val="00600AC6"/>
    <w:rsid w:val="006014C4"/>
    <w:rsid w:val="00601B01"/>
    <w:rsid w:val="00602F81"/>
    <w:rsid w:val="00603655"/>
    <w:rsid w:val="00604795"/>
    <w:rsid w:val="00605F3F"/>
    <w:rsid w:val="00605FB9"/>
    <w:rsid w:val="00606FFD"/>
    <w:rsid w:val="006109E9"/>
    <w:rsid w:val="00610CFE"/>
    <w:rsid w:val="006110D1"/>
    <w:rsid w:val="006123DD"/>
    <w:rsid w:val="00613AF1"/>
    <w:rsid w:val="00614369"/>
    <w:rsid w:val="00617C9D"/>
    <w:rsid w:val="006233B3"/>
    <w:rsid w:val="006244DA"/>
    <w:rsid w:val="00625BAD"/>
    <w:rsid w:val="00625E9E"/>
    <w:rsid w:val="006278F6"/>
    <w:rsid w:val="00627A5E"/>
    <w:rsid w:val="00627F56"/>
    <w:rsid w:val="006308E9"/>
    <w:rsid w:val="00631E98"/>
    <w:rsid w:val="0063291A"/>
    <w:rsid w:val="00632AA0"/>
    <w:rsid w:val="00632D04"/>
    <w:rsid w:val="00632EB0"/>
    <w:rsid w:val="006331D5"/>
    <w:rsid w:val="00634824"/>
    <w:rsid w:val="0063609C"/>
    <w:rsid w:val="0063713C"/>
    <w:rsid w:val="00640DAD"/>
    <w:rsid w:val="006410BD"/>
    <w:rsid w:val="006458F3"/>
    <w:rsid w:val="00646B21"/>
    <w:rsid w:val="00647FBE"/>
    <w:rsid w:val="00650566"/>
    <w:rsid w:val="006509D3"/>
    <w:rsid w:val="00651339"/>
    <w:rsid w:val="00651560"/>
    <w:rsid w:val="006518D9"/>
    <w:rsid w:val="006540B5"/>
    <w:rsid w:val="006543DD"/>
    <w:rsid w:val="00654CDF"/>
    <w:rsid w:val="0065569F"/>
    <w:rsid w:val="00655A16"/>
    <w:rsid w:val="006626DC"/>
    <w:rsid w:val="0066270D"/>
    <w:rsid w:val="00662A4B"/>
    <w:rsid w:val="00662B09"/>
    <w:rsid w:val="00663AE8"/>
    <w:rsid w:val="0066471C"/>
    <w:rsid w:val="00664D33"/>
    <w:rsid w:val="00665680"/>
    <w:rsid w:val="00666A1A"/>
    <w:rsid w:val="00667036"/>
    <w:rsid w:val="0066769B"/>
    <w:rsid w:val="006677C7"/>
    <w:rsid w:val="0067606A"/>
    <w:rsid w:val="00682B89"/>
    <w:rsid w:val="00683D7C"/>
    <w:rsid w:val="00685443"/>
    <w:rsid w:val="00685459"/>
    <w:rsid w:val="006858FF"/>
    <w:rsid w:val="006859F7"/>
    <w:rsid w:val="00686470"/>
    <w:rsid w:val="0069019B"/>
    <w:rsid w:val="00692625"/>
    <w:rsid w:val="00692951"/>
    <w:rsid w:val="006932F3"/>
    <w:rsid w:val="00693363"/>
    <w:rsid w:val="006939CC"/>
    <w:rsid w:val="0069483A"/>
    <w:rsid w:val="00694C83"/>
    <w:rsid w:val="00694F97"/>
    <w:rsid w:val="0069582B"/>
    <w:rsid w:val="006A0105"/>
    <w:rsid w:val="006A0416"/>
    <w:rsid w:val="006A1612"/>
    <w:rsid w:val="006A208A"/>
    <w:rsid w:val="006A246F"/>
    <w:rsid w:val="006A522F"/>
    <w:rsid w:val="006A52C4"/>
    <w:rsid w:val="006A63B2"/>
    <w:rsid w:val="006A7735"/>
    <w:rsid w:val="006A797E"/>
    <w:rsid w:val="006B216D"/>
    <w:rsid w:val="006B36C8"/>
    <w:rsid w:val="006B4B45"/>
    <w:rsid w:val="006B558F"/>
    <w:rsid w:val="006B7D6C"/>
    <w:rsid w:val="006C2F44"/>
    <w:rsid w:val="006C38AD"/>
    <w:rsid w:val="006C428F"/>
    <w:rsid w:val="006D136F"/>
    <w:rsid w:val="006D4D41"/>
    <w:rsid w:val="006D7818"/>
    <w:rsid w:val="006E026F"/>
    <w:rsid w:val="006E05F0"/>
    <w:rsid w:val="006E0E88"/>
    <w:rsid w:val="006E26D5"/>
    <w:rsid w:val="006F050F"/>
    <w:rsid w:val="006F0BC5"/>
    <w:rsid w:val="006F0C79"/>
    <w:rsid w:val="006F0EA4"/>
    <w:rsid w:val="006F2893"/>
    <w:rsid w:val="006F6C3C"/>
    <w:rsid w:val="00700742"/>
    <w:rsid w:val="00704823"/>
    <w:rsid w:val="00704E66"/>
    <w:rsid w:val="007062D8"/>
    <w:rsid w:val="00706431"/>
    <w:rsid w:val="00706722"/>
    <w:rsid w:val="00710395"/>
    <w:rsid w:val="0071276D"/>
    <w:rsid w:val="00714204"/>
    <w:rsid w:val="007162A5"/>
    <w:rsid w:val="0071719F"/>
    <w:rsid w:val="0071762D"/>
    <w:rsid w:val="00717BAD"/>
    <w:rsid w:val="007224BA"/>
    <w:rsid w:val="00725BC0"/>
    <w:rsid w:val="00726797"/>
    <w:rsid w:val="007270C9"/>
    <w:rsid w:val="00731DC4"/>
    <w:rsid w:val="00737149"/>
    <w:rsid w:val="00740005"/>
    <w:rsid w:val="00740DF8"/>
    <w:rsid w:val="0074123D"/>
    <w:rsid w:val="00741304"/>
    <w:rsid w:val="007457D0"/>
    <w:rsid w:val="007468FB"/>
    <w:rsid w:val="00746BF5"/>
    <w:rsid w:val="007470CF"/>
    <w:rsid w:val="00751BF0"/>
    <w:rsid w:val="00753F95"/>
    <w:rsid w:val="0075427A"/>
    <w:rsid w:val="00754EBD"/>
    <w:rsid w:val="007551E1"/>
    <w:rsid w:val="00756F64"/>
    <w:rsid w:val="00757C3B"/>
    <w:rsid w:val="0076023A"/>
    <w:rsid w:val="007623C9"/>
    <w:rsid w:val="0076304F"/>
    <w:rsid w:val="00763C32"/>
    <w:rsid w:val="00770025"/>
    <w:rsid w:val="00773733"/>
    <w:rsid w:val="00774FE0"/>
    <w:rsid w:val="0077582D"/>
    <w:rsid w:val="00775EF4"/>
    <w:rsid w:val="00776E81"/>
    <w:rsid w:val="007802E1"/>
    <w:rsid w:val="00780FAD"/>
    <w:rsid w:val="00782256"/>
    <w:rsid w:val="0078248B"/>
    <w:rsid w:val="00787884"/>
    <w:rsid w:val="00791216"/>
    <w:rsid w:val="00791617"/>
    <w:rsid w:val="00792CEB"/>
    <w:rsid w:val="00793AD6"/>
    <w:rsid w:val="00793EA7"/>
    <w:rsid w:val="007940E8"/>
    <w:rsid w:val="00795047"/>
    <w:rsid w:val="00795FBF"/>
    <w:rsid w:val="00797CEC"/>
    <w:rsid w:val="007A668F"/>
    <w:rsid w:val="007A673A"/>
    <w:rsid w:val="007A69C1"/>
    <w:rsid w:val="007B03E4"/>
    <w:rsid w:val="007B3B54"/>
    <w:rsid w:val="007B3BE2"/>
    <w:rsid w:val="007B4B84"/>
    <w:rsid w:val="007B631C"/>
    <w:rsid w:val="007B665E"/>
    <w:rsid w:val="007B711A"/>
    <w:rsid w:val="007C19F7"/>
    <w:rsid w:val="007C1E6E"/>
    <w:rsid w:val="007C385B"/>
    <w:rsid w:val="007C3F49"/>
    <w:rsid w:val="007C5879"/>
    <w:rsid w:val="007C5AD5"/>
    <w:rsid w:val="007C746E"/>
    <w:rsid w:val="007C7FD7"/>
    <w:rsid w:val="007D4DD3"/>
    <w:rsid w:val="007D57CA"/>
    <w:rsid w:val="007D608A"/>
    <w:rsid w:val="007D6812"/>
    <w:rsid w:val="007D7F92"/>
    <w:rsid w:val="007E0773"/>
    <w:rsid w:val="007E0ABA"/>
    <w:rsid w:val="007E2522"/>
    <w:rsid w:val="007E3FCC"/>
    <w:rsid w:val="007E4D75"/>
    <w:rsid w:val="007E5D9B"/>
    <w:rsid w:val="007E6163"/>
    <w:rsid w:val="007E7BC6"/>
    <w:rsid w:val="007E7F34"/>
    <w:rsid w:val="007F0554"/>
    <w:rsid w:val="007F15BB"/>
    <w:rsid w:val="007F2D2A"/>
    <w:rsid w:val="007F3589"/>
    <w:rsid w:val="007F4404"/>
    <w:rsid w:val="007F44BE"/>
    <w:rsid w:val="007F4B03"/>
    <w:rsid w:val="007F4C48"/>
    <w:rsid w:val="007F4E1E"/>
    <w:rsid w:val="0080211A"/>
    <w:rsid w:val="008045A8"/>
    <w:rsid w:val="00804638"/>
    <w:rsid w:val="00804B17"/>
    <w:rsid w:val="008062BF"/>
    <w:rsid w:val="0080683E"/>
    <w:rsid w:val="0081411F"/>
    <w:rsid w:val="00814C62"/>
    <w:rsid w:val="00821537"/>
    <w:rsid w:val="0082154D"/>
    <w:rsid w:val="0082345F"/>
    <w:rsid w:val="00823880"/>
    <w:rsid w:val="008241D3"/>
    <w:rsid w:val="0082468F"/>
    <w:rsid w:val="00824D91"/>
    <w:rsid w:val="00825673"/>
    <w:rsid w:val="008257C1"/>
    <w:rsid w:val="00825C08"/>
    <w:rsid w:val="0083058C"/>
    <w:rsid w:val="00830A8A"/>
    <w:rsid w:val="00831AA7"/>
    <w:rsid w:val="00832C0D"/>
    <w:rsid w:val="00834397"/>
    <w:rsid w:val="008361ED"/>
    <w:rsid w:val="00836304"/>
    <w:rsid w:val="00846848"/>
    <w:rsid w:val="00846C4C"/>
    <w:rsid w:val="008472E2"/>
    <w:rsid w:val="008479ED"/>
    <w:rsid w:val="00847D7A"/>
    <w:rsid w:val="008501D4"/>
    <w:rsid w:val="00850D33"/>
    <w:rsid w:val="00852672"/>
    <w:rsid w:val="00852A83"/>
    <w:rsid w:val="00853473"/>
    <w:rsid w:val="00854D3E"/>
    <w:rsid w:val="00855FEE"/>
    <w:rsid w:val="008561E9"/>
    <w:rsid w:val="00860723"/>
    <w:rsid w:val="00861D20"/>
    <w:rsid w:val="00863B20"/>
    <w:rsid w:val="008648BB"/>
    <w:rsid w:val="008653DE"/>
    <w:rsid w:val="008679F8"/>
    <w:rsid w:val="0087010A"/>
    <w:rsid w:val="00870397"/>
    <w:rsid w:val="00871395"/>
    <w:rsid w:val="0087197A"/>
    <w:rsid w:val="0087242A"/>
    <w:rsid w:val="00872E19"/>
    <w:rsid w:val="00873E6C"/>
    <w:rsid w:val="00874AAE"/>
    <w:rsid w:val="00875BF1"/>
    <w:rsid w:val="00877FD8"/>
    <w:rsid w:val="008808E3"/>
    <w:rsid w:val="00880C51"/>
    <w:rsid w:val="00881A97"/>
    <w:rsid w:val="00882C09"/>
    <w:rsid w:val="00883178"/>
    <w:rsid w:val="00883881"/>
    <w:rsid w:val="00885151"/>
    <w:rsid w:val="00890346"/>
    <w:rsid w:val="008929C1"/>
    <w:rsid w:val="00893728"/>
    <w:rsid w:val="00894FDA"/>
    <w:rsid w:val="00895E1C"/>
    <w:rsid w:val="008979D4"/>
    <w:rsid w:val="008A1D8B"/>
    <w:rsid w:val="008A32F9"/>
    <w:rsid w:val="008A3948"/>
    <w:rsid w:val="008A5088"/>
    <w:rsid w:val="008A5348"/>
    <w:rsid w:val="008A5FC4"/>
    <w:rsid w:val="008A74F8"/>
    <w:rsid w:val="008B0EEF"/>
    <w:rsid w:val="008B123F"/>
    <w:rsid w:val="008B2A89"/>
    <w:rsid w:val="008B3178"/>
    <w:rsid w:val="008B4082"/>
    <w:rsid w:val="008B7312"/>
    <w:rsid w:val="008C09D2"/>
    <w:rsid w:val="008C10AA"/>
    <w:rsid w:val="008C1818"/>
    <w:rsid w:val="008C21E6"/>
    <w:rsid w:val="008C3592"/>
    <w:rsid w:val="008C38B7"/>
    <w:rsid w:val="008C6E07"/>
    <w:rsid w:val="008D0899"/>
    <w:rsid w:val="008D0B92"/>
    <w:rsid w:val="008D1FDA"/>
    <w:rsid w:val="008D3C61"/>
    <w:rsid w:val="008D3E3D"/>
    <w:rsid w:val="008D42D4"/>
    <w:rsid w:val="008D451E"/>
    <w:rsid w:val="008D49C3"/>
    <w:rsid w:val="008D6B14"/>
    <w:rsid w:val="008D7A86"/>
    <w:rsid w:val="008E09F4"/>
    <w:rsid w:val="008E0C8C"/>
    <w:rsid w:val="008E0E01"/>
    <w:rsid w:val="008E10C9"/>
    <w:rsid w:val="008E1721"/>
    <w:rsid w:val="008E2AB0"/>
    <w:rsid w:val="008E3865"/>
    <w:rsid w:val="008E417C"/>
    <w:rsid w:val="008E4B38"/>
    <w:rsid w:val="008E5878"/>
    <w:rsid w:val="008F09AB"/>
    <w:rsid w:val="008F11A3"/>
    <w:rsid w:val="008F1949"/>
    <w:rsid w:val="008F7601"/>
    <w:rsid w:val="008F79E1"/>
    <w:rsid w:val="00902F10"/>
    <w:rsid w:val="0090378D"/>
    <w:rsid w:val="00904039"/>
    <w:rsid w:val="00907971"/>
    <w:rsid w:val="00907A05"/>
    <w:rsid w:val="009100A8"/>
    <w:rsid w:val="0091179F"/>
    <w:rsid w:val="00912187"/>
    <w:rsid w:val="009132E3"/>
    <w:rsid w:val="00913890"/>
    <w:rsid w:val="009148AC"/>
    <w:rsid w:val="00914C1D"/>
    <w:rsid w:val="00915F3F"/>
    <w:rsid w:val="00916228"/>
    <w:rsid w:val="0091747C"/>
    <w:rsid w:val="00922A9B"/>
    <w:rsid w:val="009231B2"/>
    <w:rsid w:val="00923ADD"/>
    <w:rsid w:val="00925758"/>
    <w:rsid w:val="009279F2"/>
    <w:rsid w:val="00931B2F"/>
    <w:rsid w:val="00932BAB"/>
    <w:rsid w:val="0093306C"/>
    <w:rsid w:val="009339FC"/>
    <w:rsid w:val="009350CE"/>
    <w:rsid w:val="00936935"/>
    <w:rsid w:val="00937C3F"/>
    <w:rsid w:val="00940B60"/>
    <w:rsid w:val="00940D05"/>
    <w:rsid w:val="00942722"/>
    <w:rsid w:val="009433C1"/>
    <w:rsid w:val="00943829"/>
    <w:rsid w:val="0094402B"/>
    <w:rsid w:val="00944F04"/>
    <w:rsid w:val="00946124"/>
    <w:rsid w:val="00946DC5"/>
    <w:rsid w:val="00946E17"/>
    <w:rsid w:val="00947278"/>
    <w:rsid w:val="009539FA"/>
    <w:rsid w:val="009544B3"/>
    <w:rsid w:val="00956C65"/>
    <w:rsid w:val="00960FE0"/>
    <w:rsid w:val="0096247E"/>
    <w:rsid w:val="00963D1D"/>
    <w:rsid w:val="00964284"/>
    <w:rsid w:val="00965069"/>
    <w:rsid w:val="00965FDF"/>
    <w:rsid w:val="009802CB"/>
    <w:rsid w:val="0098465E"/>
    <w:rsid w:val="00985A2C"/>
    <w:rsid w:val="00985AD3"/>
    <w:rsid w:val="00985D31"/>
    <w:rsid w:val="00986804"/>
    <w:rsid w:val="0099070F"/>
    <w:rsid w:val="00993BAE"/>
    <w:rsid w:val="00993E39"/>
    <w:rsid w:val="0099546D"/>
    <w:rsid w:val="00996370"/>
    <w:rsid w:val="00997EED"/>
    <w:rsid w:val="009A2455"/>
    <w:rsid w:val="009A375C"/>
    <w:rsid w:val="009A3780"/>
    <w:rsid w:val="009A3853"/>
    <w:rsid w:val="009B0520"/>
    <w:rsid w:val="009B23AB"/>
    <w:rsid w:val="009B2803"/>
    <w:rsid w:val="009B4220"/>
    <w:rsid w:val="009B5742"/>
    <w:rsid w:val="009B709C"/>
    <w:rsid w:val="009B73F5"/>
    <w:rsid w:val="009C3182"/>
    <w:rsid w:val="009C34F3"/>
    <w:rsid w:val="009C5367"/>
    <w:rsid w:val="009C5B87"/>
    <w:rsid w:val="009D143C"/>
    <w:rsid w:val="009D1601"/>
    <w:rsid w:val="009D2F28"/>
    <w:rsid w:val="009D3731"/>
    <w:rsid w:val="009D38A1"/>
    <w:rsid w:val="009D7B21"/>
    <w:rsid w:val="009E3C08"/>
    <w:rsid w:val="009E5B19"/>
    <w:rsid w:val="009E6C6B"/>
    <w:rsid w:val="009E77F2"/>
    <w:rsid w:val="009F23BD"/>
    <w:rsid w:val="009F3442"/>
    <w:rsid w:val="009F593D"/>
    <w:rsid w:val="009F5982"/>
    <w:rsid w:val="00A00503"/>
    <w:rsid w:val="00A0156A"/>
    <w:rsid w:val="00A01C6F"/>
    <w:rsid w:val="00A023EA"/>
    <w:rsid w:val="00A047CA"/>
    <w:rsid w:val="00A109D4"/>
    <w:rsid w:val="00A12D70"/>
    <w:rsid w:val="00A1430A"/>
    <w:rsid w:val="00A16057"/>
    <w:rsid w:val="00A2157A"/>
    <w:rsid w:val="00A21842"/>
    <w:rsid w:val="00A21925"/>
    <w:rsid w:val="00A2215A"/>
    <w:rsid w:val="00A23059"/>
    <w:rsid w:val="00A23F74"/>
    <w:rsid w:val="00A2623B"/>
    <w:rsid w:val="00A26B28"/>
    <w:rsid w:val="00A300E2"/>
    <w:rsid w:val="00A31C93"/>
    <w:rsid w:val="00A323BD"/>
    <w:rsid w:val="00A34465"/>
    <w:rsid w:val="00A35D7E"/>
    <w:rsid w:val="00A37A93"/>
    <w:rsid w:val="00A40847"/>
    <w:rsid w:val="00A40FCF"/>
    <w:rsid w:val="00A444A6"/>
    <w:rsid w:val="00A44995"/>
    <w:rsid w:val="00A45C33"/>
    <w:rsid w:val="00A466B6"/>
    <w:rsid w:val="00A46EE9"/>
    <w:rsid w:val="00A5128C"/>
    <w:rsid w:val="00A5234E"/>
    <w:rsid w:val="00A57D2F"/>
    <w:rsid w:val="00A57DBC"/>
    <w:rsid w:val="00A57EC2"/>
    <w:rsid w:val="00A60114"/>
    <w:rsid w:val="00A62636"/>
    <w:rsid w:val="00A64F9C"/>
    <w:rsid w:val="00A674D0"/>
    <w:rsid w:val="00A71BAA"/>
    <w:rsid w:val="00A73A7A"/>
    <w:rsid w:val="00A74122"/>
    <w:rsid w:val="00A75D06"/>
    <w:rsid w:val="00A76443"/>
    <w:rsid w:val="00A76E3C"/>
    <w:rsid w:val="00A81843"/>
    <w:rsid w:val="00A8447E"/>
    <w:rsid w:val="00A86A07"/>
    <w:rsid w:val="00A87317"/>
    <w:rsid w:val="00A903D9"/>
    <w:rsid w:val="00A90C07"/>
    <w:rsid w:val="00A91411"/>
    <w:rsid w:val="00A931E9"/>
    <w:rsid w:val="00A93511"/>
    <w:rsid w:val="00A94647"/>
    <w:rsid w:val="00A9687E"/>
    <w:rsid w:val="00A97A9E"/>
    <w:rsid w:val="00A97D79"/>
    <w:rsid w:val="00AA0C5A"/>
    <w:rsid w:val="00AA2D57"/>
    <w:rsid w:val="00AA3E70"/>
    <w:rsid w:val="00AA43A5"/>
    <w:rsid w:val="00AA4EF1"/>
    <w:rsid w:val="00AA6BA4"/>
    <w:rsid w:val="00AA7670"/>
    <w:rsid w:val="00AA7A5D"/>
    <w:rsid w:val="00AA7C25"/>
    <w:rsid w:val="00AB0548"/>
    <w:rsid w:val="00AB3269"/>
    <w:rsid w:val="00AB3C78"/>
    <w:rsid w:val="00AB42D9"/>
    <w:rsid w:val="00AB6D11"/>
    <w:rsid w:val="00AC0045"/>
    <w:rsid w:val="00AC0C16"/>
    <w:rsid w:val="00AC45CF"/>
    <w:rsid w:val="00AC4A34"/>
    <w:rsid w:val="00AC4FCF"/>
    <w:rsid w:val="00AC5B44"/>
    <w:rsid w:val="00AC6679"/>
    <w:rsid w:val="00AD0FD4"/>
    <w:rsid w:val="00AD218E"/>
    <w:rsid w:val="00AD281B"/>
    <w:rsid w:val="00AD29E4"/>
    <w:rsid w:val="00AD416E"/>
    <w:rsid w:val="00AD51CE"/>
    <w:rsid w:val="00AD6FA9"/>
    <w:rsid w:val="00AD7650"/>
    <w:rsid w:val="00AE132C"/>
    <w:rsid w:val="00AE1BC2"/>
    <w:rsid w:val="00AE2DD6"/>
    <w:rsid w:val="00AE3B7B"/>
    <w:rsid w:val="00AE4A80"/>
    <w:rsid w:val="00AE71A5"/>
    <w:rsid w:val="00AE7959"/>
    <w:rsid w:val="00AF1D10"/>
    <w:rsid w:val="00AF2921"/>
    <w:rsid w:val="00AF3BFA"/>
    <w:rsid w:val="00AF3FFC"/>
    <w:rsid w:val="00AF404A"/>
    <w:rsid w:val="00AF440E"/>
    <w:rsid w:val="00AF713F"/>
    <w:rsid w:val="00B00132"/>
    <w:rsid w:val="00B01A6B"/>
    <w:rsid w:val="00B01C81"/>
    <w:rsid w:val="00B02FF3"/>
    <w:rsid w:val="00B030B3"/>
    <w:rsid w:val="00B04338"/>
    <w:rsid w:val="00B05F83"/>
    <w:rsid w:val="00B064C6"/>
    <w:rsid w:val="00B115A2"/>
    <w:rsid w:val="00B13AC3"/>
    <w:rsid w:val="00B13B6B"/>
    <w:rsid w:val="00B14978"/>
    <w:rsid w:val="00B15CA5"/>
    <w:rsid w:val="00B210F4"/>
    <w:rsid w:val="00B21270"/>
    <w:rsid w:val="00B233FA"/>
    <w:rsid w:val="00B2703E"/>
    <w:rsid w:val="00B31461"/>
    <w:rsid w:val="00B31649"/>
    <w:rsid w:val="00B344FD"/>
    <w:rsid w:val="00B35075"/>
    <w:rsid w:val="00B3586B"/>
    <w:rsid w:val="00B3706D"/>
    <w:rsid w:val="00B40005"/>
    <w:rsid w:val="00B4177C"/>
    <w:rsid w:val="00B41E03"/>
    <w:rsid w:val="00B42C45"/>
    <w:rsid w:val="00B43A28"/>
    <w:rsid w:val="00B43E2A"/>
    <w:rsid w:val="00B440EB"/>
    <w:rsid w:val="00B46272"/>
    <w:rsid w:val="00B47A01"/>
    <w:rsid w:val="00B53589"/>
    <w:rsid w:val="00B56443"/>
    <w:rsid w:val="00B568A2"/>
    <w:rsid w:val="00B57F53"/>
    <w:rsid w:val="00B612B6"/>
    <w:rsid w:val="00B62849"/>
    <w:rsid w:val="00B62DD8"/>
    <w:rsid w:val="00B636DC"/>
    <w:rsid w:val="00B639E5"/>
    <w:rsid w:val="00B67019"/>
    <w:rsid w:val="00B72028"/>
    <w:rsid w:val="00B73C58"/>
    <w:rsid w:val="00B744AD"/>
    <w:rsid w:val="00B74C0E"/>
    <w:rsid w:val="00B81003"/>
    <w:rsid w:val="00B818D7"/>
    <w:rsid w:val="00B82008"/>
    <w:rsid w:val="00B85678"/>
    <w:rsid w:val="00B867DD"/>
    <w:rsid w:val="00B90EA0"/>
    <w:rsid w:val="00B91BAA"/>
    <w:rsid w:val="00B91BC8"/>
    <w:rsid w:val="00B92538"/>
    <w:rsid w:val="00B92C39"/>
    <w:rsid w:val="00B9320E"/>
    <w:rsid w:val="00B93F58"/>
    <w:rsid w:val="00B948CB"/>
    <w:rsid w:val="00B952B5"/>
    <w:rsid w:val="00B9742B"/>
    <w:rsid w:val="00B9759E"/>
    <w:rsid w:val="00BA01D2"/>
    <w:rsid w:val="00BA05FC"/>
    <w:rsid w:val="00BA0CE8"/>
    <w:rsid w:val="00BA19BE"/>
    <w:rsid w:val="00BA1DFD"/>
    <w:rsid w:val="00BA1F1D"/>
    <w:rsid w:val="00BA2A76"/>
    <w:rsid w:val="00BA374F"/>
    <w:rsid w:val="00BA4A46"/>
    <w:rsid w:val="00BB270E"/>
    <w:rsid w:val="00BB48FA"/>
    <w:rsid w:val="00BB5312"/>
    <w:rsid w:val="00BC1B68"/>
    <w:rsid w:val="00BC3700"/>
    <w:rsid w:val="00BC5ACA"/>
    <w:rsid w:val="00BC5E7C"/>
    <w:rsid w:val="00BC5ECE"/>
    <w:rsid w:val="00BC6314"/>
    <w:rsid w:val="00BC67A2"/>
    <w:rsid w:val="00BD0BA3"/>
    <w:rsid w:val="00BD26FC"/>
    <w:rsid w:val="00BD44B9"/>
    <w:rsid w:val="00BD49FC"/>
    <w:rsid w:val="00BD4A08"/>
    <w:rsid w:val="00BD4A70"/>
    <w:rsid w:val="00BD59D1"/>
    <w:rsid w:val="00BD75B3"/>
    <w:rsid w:val="00BD7ACB"/>
    <w:rsid w:val="00BE0BD4"/>
    <w:rsid w:val="00BE391B"/>
    <w:rsid w:val="00BE46AC"/>
    <w:rsid w:val="00BE639D"/>
    <w:rsid w:val="00BE69AC"/>
    <w:rsid w:val="00BF013D"/>
    <w:rsid w:val="00BF33B0"/>
    <w:rsid w:val="00BF37F5"/>
    <w:rsid w:val="00BF5839"/>
    <w:rsid w:val="00BF5842"/>
    <w:rsid w:val="00BF59B2"/>
    <w:rsid w:val="00BF6DB5"/>
    <w:rsid w:val="00C00DC1"/>
    <w:rsid w:val="00C01514"/>
    <w:rsid w:val="00C061E3"/>
    <w:rsid w:val="00C06240"/>
    <w:rsid w:val="00C07345"/>
    <w:rsid w:val="00C07770"/>
    <w:rsid w:val="00C10A27"/>
    <w:rsid w:val="00C10AD1"/>
    <w:rsid w:val="00C119C2"/>
    <w:rsid w:val="00C141DF"/>
    <w:rsid w:val="00C148D7"/>
    <w:rsid w:val="00C14967"/>
    <w:rsid w:val="00C14B25"/>
    <w:rsid w:val="00C15360"/>
    <w:rsid w:val="00C15FEE"/>
    <w:rsid w:val="00C1627A"/>
    <w:rsid w:val="00C17198"/>
    <w:rsid w:val="00C1777A"/>
    <w:rsid w:val="00C20E15"/>
    <w:rsid w:val="00C222AC"/>
    <w:rsid w:val="00C24C12"/>
    <w:rsid w:val="00C252E8"/>
    <w:rsid w:val="00C26E47"/>
    <w:rsid w:val="00C3083F"/>
    <w:rsid w:val="00C30B76"/>
    <w:rsid w:val="00C311C5"/>
    <w:rsid w:val="00C31B7A"/>
    <w:rsid w:val="00C322A1"/>
    <w:rsid w:val="00C32E9F"/>
    <w:rsid w:val="00C33404"/>
    <w:rsid w:val="00C338CE"/>
    <w:rsid w:val="00C33BEE"/>
    <w:rsid w:val="00C34E14"/>
    <w:rsid w:val="00C364D6"/>
    <w:rsid w:val="00C40350"/>
    <w:rsid w:val="00C414E8"/>
    <w:rsid w:val="00C42AAC"/>
    <w:rsid w:val="00C42CE4"/>
    <w:rsid w:val="00C43619"/>
    <w:rsid w:val="00C43DAE"/>
    <w:rsid w:val="00C50AF8"/>
    <w:rsid w:val="00C51A84"/>
    <w:rsid w:val="00C531DC"/>
    <w:rsid w:val="00C532F8"/>
    <w:rsid w:val="00C533FE"/>
    <w:rsid w:val="00C5376C"/>
    <w:rsid w:val="00C54162"/>
    <w:rsid w:val="00C549B7"/>
    <w:rsid w:val="00C54C55"/>
    <w:rsid w:val="00C6004F"/>
    <w:rsid w:val="00C61020"/>
    <w:rsid w:val="00C62220"/>
    <w:rsid w:val="00C62631"/>
    <w:rsid w:val="00C63972"/>
    <w:rsid w:val="00C65241"/>
    <w:rsid w:val="00C66CB0"/>
    <w:rsid w:val="00C676E5"/>
    <w:rsid w:val="00C70D4B"/>
    <w:rsid w:val="00C737A5"/>
    <w:rsid w:val="00C7661F"/>
    <w:rsid w:val="00C76787"/>
    <w:rsid w:val="00C772E3"/>
    <w:rsid w:val="00C803E7"/>
    <w:rsid w:val="00C83A4F"/>
    <w:rsid w:val="00C84379"/>
    <w:rsid w:val="00C84D05"/>
    <w:rsid w:val="00C8621A"/>
    <w:rsid w:val="00C87641"/>
    <w:rsid w:val="00C90D4F"/>
    <w:rsid w:val="00C912E3"/>
    <w:rsid w:val="00C926AD"/>
    <w:rsid w:val="00C92826"/>
    <w:rsid w:val="00C93453"/>
    <w:rsid w:val="00C96889"/>
    <w:rsid w:val="00CA04DC"/>
    <w:rsid w:val="00CA0ADF"/>
    <w:rsid w:val="00CA10E7"/>
    <w:rsid w:val="00CA5938"/>
    <w:rsid w:val="00CA5C45"/>
    <w:rsid w:val="00CA5DEE"/>
    <w:rsid w:val="00CB0E55"/>
    <w:rsid w:val="00CB2266"/>
    <w:rsid w:val="00CB38F2"/>
    <w:rsid w:val="00CB3CB5"/>
    <w:rsid w:val="00CB3DBD"/>
    <w:rsid w:val="00CB4D57"/>
    <w:rsid w:val="00CB57FE"/>
    <w:rsid w:val="00CB7123"/>
    <w:rsid w:val="00CB73A3"/>
    <w:rsid w:val="00CB7F0D"/>
    <w:rsid w:val="00CC1DF7"/>
    <w:rsid w:val="00CC20F1"/>
    <w:rsid w:val="00CC28C6"/>
    <w:rsid w:val="00CC3585"/>
    <w:rsid w:val="00CC4808"/>
    <w:rsid w:val="00CC4BC8"/>
    <w:rsid w:val="00CC578F"/>
    <w:rsid w:val="00CC7D66"/>
    <w:rsid w:val="00CD0055"/>
    <w:rsid w:val="00CD0400"/>
    <w:rsid w:val="00CD211F"/>
    <w:rsid w:val="00CD305B"/>
    <w:rsid w:val="00CD44A5"/>
    <w:rsid w:val="00CD672A"/>
    <w:rsid w:val="00CE0D2C"/>
    <w:rsid w:val="00CE1B8A"/>
    <w:rsid w:val="00CE1F0B"/>
    <w:rsid w:val="00CE3510"/>
    <w:rsid w:val="00CE4936"/>
    <w:rsid w:val="00CE4CC0"/>
    <w:rsid w:val="00CE6205"/>
    <w:rsid w:val="00CE6BF8"/>
    <w:rsid w:val="00CE7A1E"/>
    <w:rsid w:val="00CF27C4"/>
    <w:rsid w:val="00CF46D9"/>
    <w:rsid w:val="00D06F27"/>
    <w:rsid w:val="00D073F4"/>
    <w:rsid w:val="00D103D5"/>
    <w:rsid w:val="00D1102D"/>
    <w:rsid w:val="00D13DF0"/>
    <w:rsid w:val="00D143AC"/>
    <w:rsid w:val="00D14486"/>
    <w:rsid w:val="00D244C9"/>
    <w:rsid w:val="00D24520"/>
    <w:rsid w:val="00D25BF8"/>
    <w:rsid w:val="00D262EA"/>
    <w:rsid w:val="00D30A63"/>
    <w:rsid w:val="00D31703"/>
    <w:rsid w:val="00D32D1E"/>
    <w:rsid w:val="00D36774"/>
    <w:rsid w:val="00D36B98"/>
    <w:rsid w:val="00D37D6E"/>
    <w:rsid w:val="00D40AAD"/>
    <w:rsid w:val="00D47ACC"/>
    <w:rsid w:val="00D5064E"/>
    <w:rsid w:val="00D50FE8"/>
    <w:rsid w:val="00D51FE7"/>
    <w:rsid w:val="00D52824"/>
    <w:rsid w:val="00D54B01"/>
    <w:rsid w:val="00D57274"/>
    <w:rsid w:val="00D600F0"/>
    <w:rsid w:val="00D6034D"/>
    <w:rsid w:val="00D61332"/>
    <w:rsid w:val="00D61F8A"/>
    <w:rsid w:val="00D6239E"/>
    <w:rsid w:val="00D63466"/>
    <w:rsid w:val="00D640D7"/>
    <w:rsid w:val="00D64864"/>
    <w:rsid w:val="00D64A4B"/>
    <w:rsid w:val="00D66A48"/>
    <w:rsid w:val="00D70374"/>
    <w:rsid w:val="00D7083B"/>
    <w:rsid w:val="00D71175"/>
    <w:rsid w:val="00D7260B"/>
    <w:rsid w:val="00D729B1"/>
    <w:rsid w:val="00D730B5"/>
    <w:rsid w:val="00D73129"/>
    <w:rsid w:val="00D735FF"/>
    <w:rsid w:val="00D73A3C"/>
    <w:rsid w:val="00D7483C"/>
    <w:rsid w:val="00D74FD2"/>
    <w:rsid w:val="00D77CD3"/>
    <w:rsid w:val="00D813C5"/>
    <w:rsid w:val="00D83999"/>
    <w:rsid w:val="00D839BC"/>
    <w:rsid w:val="00D84ABE"/>
    <w:rsid w:val="00D84F60"/>
    <w:rsid w:val="00D87B35"/>
    <w:rsid w:val="00D9098B"/>
    <w:rsid w:val="00D91B3F"/>
    <w:rsid w:val="00D91BC7"/>
    <w:rsid w:val="00D91FC5"/>
    <w:rsid w:val="00D92690"/>
    <w:rsid w:val="00D9288B"/>
    <w:rsid w:val="00D9376C"/>
    <w:rsid w:val="00D93EA3"/>
    <w:rsid w:val="00D97AD0"/>
    <w:rsid w:val="00DA068C"/>
    <w:rsid w:val="00DA2373"/>
    <w:rsid w:val="00DA6F20"/>
    <w:rsid w:val="00DA79E0"/>
    <w:rsid w:val="00DB17ED"/>
    <w:rsid w:val="00DB35B2"/>
    <w:rsid w:val="00DB4087"/>
    <w:rsid w:val="00DB4755"/>
    <w:rsid w:val="00DB7E56"/>
    <w:rsid w:val="00DC07A6"/>
    <w:rsid w:val="00DC09CE"/>
    <w:rsid w:val="00DC16B1"/>
    <w:rsid w:val="00DC22B8"/>
    <w:rsid w:val="00DC3E21"/>
    <w:rsid w:val="00DC428F"/>
    <w:rsid w:val="00DC48FC"/>
    <w:rsid w:val="00DD04B4"/>
    <w:rsid w:val="00DD2866"/>
    <w:rsid w:val="00DD2EAD"/>
    <w:rsid w:val="00DD332A"/>
    <w:rsid w:val="00DD3E03"/>
    <w:rsid w:val="00DD536D"/>
    <w:rsid w:val="00DD5672"/>
    <w:rsid w:val="00DD638B"/>
    <w:rsid w:val="00DD6427"/>
    <w:rsid w:val="00DD6622"/>
    <w:rsid w:val="00DE0CFB"/>
    <w:rsid w:val="00DE1245"/>
    <w:rsid w:val="00DE16B2"/>
    <w:rsid w:val="00DE17F9"/>
    <w:rsid w:val="00DE1EE8"/>
    <w:rsid w:val="00DE33F9"/>
    <w:rsid w:val="00DE3464"/>
    <w:rsid w:val="00DE3A75"/>
    <w:rsid w:val="00DE4C92"/>
    <w:rsid w:val="00DE6050"/>
    <w:rsid w:val="00DE65EC"/>
    <w:rsid w:val="00DE7094"/>
    <w:rsid w:val="00DF2EC9"/>
    <w:rsid w:val="00DF4EF9"/>
    <w:rsid w:val="00DF5393"/>
    <w:rsid w:val="00DF54C2"/>
    <w:rsid w:val="00DF5787"/>
    <w:rsid w:val="00DF57AB"/>
    <w:rsid w:val="00DF624A"/>
    <w:rsid w:val="00DF74E3"/>
    <w:rsid w:val="00DF794F"/>
    <w:rsid w:val="00E02336"/>
    <w:rsid w:val="00E023AA"/>
    <w:rsid w:val="00E02DF9"/>
    <w:rsid w:val="00E059CE"/>
    <w:rsid w:val="00E07B27"/>
    <w:rsid w:val="00E07EB6"/>
    <w:rsid w:val="00E12228"/>
    <w:rsid w:val="00E15852"/>
    <w:rsid w:val="00E1630A"/>
    <w:rsid w:val="00E165CA"/>
    <w:rsid w:val="00E16F39"/>
    <w:rsid w:val="00E20A4D"/>
    <w:rsid w:val="00E22030"/>
    <w:rsid w:val="00E23208"/>
    <w:rsid w:val="00E23A7E"/>
    <w:rsid w:val="00E24A0D"/>
    <w:rsid w:val="00E24A15"/>
    <w:rsid w:val="00E24F4E"/>
    <w:rsid w:val="00E25699"/>
    <w:rsid w:val="00E275BB"/>
    <w:rsid w:val="00E275CC"/>
    <w:rsid w:val="00E3023E"/>
    <w:rsid w:val="00E320BF"/>
    <w:rsid w:val="00E325CC"/>
    <w:rsid w:val="00E32F40"/>
    <w:rsid w:val="00E34B78"/>
    <w:rsid w:val="00E34BD0"/>
    <w:rsid w:val="00E35F2E"/>
    <w:rsid w:val="00E37029"/>
    <w:rsid w:val="00E375C2"/>
    <w:rsid w:val="00E42F1F"/>
    <w:rsid w:val="00E45A6B"/>
    <w:rsid w:val="00E464E0"/>
    <w:rsid w:val="00E51FE7"/>
    <w:rsid w:val="00E520C5"/>
    <w:rsid w:val="00E5274C"/>
    <w:rsid w:val="00E53E66"/>
    <w:rsid w:val="00E540E3"/>
    <w:rsid w:val="00E54235"/>
    <w:rsid w:val="00E548FC"/>
    <w:rsid w:val="00E5657E"/>
    <w:rsid w:val="00E60D4B"/>
    <w:rsid w:val="00E61488"/>
    <w:rsid w:val="00E6207F"/>
    <w:rsid w:val="00E62F37"/>
    <w:rsid w:val="00E63547"/>
    <w:rsid w:val="00E63814"/>
    <w:rsid w:val="00E639E4"/>
    <w:rsid w:val="00E651B3"/>
    <w:rsid w:val="00E71B47"/>
    <w:rsid w:val="00E72BA4"/>
    <w:rsid w:val="00E73CC6"/>
    <w:rsid w:val="00E73E8E"/>
    <w:rsid w:val="00E7447A"/>
    <w:rsid w:val="00E75B2B"/>
    <w:rsid w:val="00E77018"/>
    <w:rsid w:val="00E8056B"/>
    <w:rsid w:val="00E80729"/>
    <w:rsid w:val="00E80CF1"/>
    <w:rsid w:val="00E816A2"/>
    <w:rsid w:val="00E84A87"/>
    <w:rsid w:val="00E86E35"/>
    <w:rsid w:val="00E91E84"/>
    <w:rsid w:val="00E91F8C"/>
    <w:rsid w:val="00E924CE"/>
    <w:rsid w:val="00E96BDF"/>
    <w:rsid w:val="00EA1831"/>
    <w:rsid w:val="00EA2204"/>
    <w:rsid w:val="00EA257F"/>
    <w:rsid w:val="00EA2A85"/>
    <w:rsid w:val="00EA3251"/>
    <w:rsid w:val="00EA3322"/>
    <w:rsid w:val="00EA3F83"/>
    <w:rsid w:val="00EA6150"/>
    <w:rsid w:val="00EA6D50"/>
    <w:rsid w:val="00EA6F6A"/>
    <w:rsid w:val="00EB05BC"/>
    <w:rsid w:val="00EB0C47"/>
    <w:rsid w:val="00EB3E6E"/>
    <w:rsid w:val="00EB427E"/>
    <w:rsid w:val="00EB73AB"/>
    <w:rsid w:val="00EC042B"/>
    <w:rsid w:val="00EC4A38"/>
    <w:rsid w:val="00EC7A14"/>
    <w:rsid w:val="00ED05D1"/>
    <w:rsid w:val="00ED0C35"/>
    <w:rsid w:val="00ED0E44"/>
    <w:rsid w:val="00ED185A"/>
    <w:rsid w:val="00ED19EB"/>
    <w:rsid w:val="00ED1D0D"/>
    <w:rsid w:val="00ED2995"/>
    <w:rsid w:val="00ED39AB"/>
    <w:rsid w:val="00ED6CD9"/>
    <w:rsid w:val="00EE02B2"/>
    <w:rsid w:val="00EE1FFF"/>
    <w:rsid w:val="00EE2127"/>
    <w:rsid w:val="00EE22F2"/>
    <w:rsid w:val="00EE4129"/>
    <w:rsid w:val="00EE49F2"/>
    <w:rsid w:val="00EE51AD"/>
    <w:rsid w:val="00EE65C7"/>
    <w:rsid w:val="00EE7143"/>
    <w:rsid w:val="00EF081A"/>
    <w:rsid w:val="00EF5F37"/>
    <w:rsid w:val="00F020D5"/>
    <w:rsid w:val="00F03AB9"/>
    <w:rsid w:val="00F03D77"/>
    <w:rsid w:val="00F04185"/>
    <w:rsid w:val="00F04548"/>
    <w:rsid w:val="00F057E2"/>
    <w:rsid w:val="00F11E8C"/>
    <w:rsid w:val="00F14B69"/>
    <w:rsid w:val="00F16C2D"/>
    <w:rsid w:val="00F17BCD"/>
    <w:rsid w:val="00F17E6F"/>
    <w:rsid w:val="00F2072F"/>
    <w:rsid w:val="00F2165E"/>
    <w:rsid w:val="00F21CE8"/>
    <w:rsid w:val="00F23671"/>
    <w:rsid w:val="00F24EE2"/>
    <w:rsid w:val="00F24FD9"/>
    <w:rsid w:val="00F25484"/>
    <w:rsid w:val="00F254C0"/>
    <w:rsid w:val="00F26132"/>
    <w:rsid w:val="00F2650A"/>
    <w:rsid w:val="00F3294F"/>
    <w:rsid w:val="00F32DC1"/>
    <w:rsid w:val="00F33008"/>
    <w:rsid w:val="00F33089"/>
    <w:rsid w:val="00F335B2"/>
    <w:rsid w:val="00F33FD1"/>
    <w:rsid w:val="00F35870"/>
    <w:rsid w:val="00F3655A"/>
    <w:rsid w:val="00F377D3"/>
    <w:rsid w:val="00F4251D"/>
    <w:rsid w:val="00F42D38"/>
    <w:rsid w:val="00F43916"/>
    <w:rsid w:val="00F4543E"/>
    <w:rsid w:val="00F50495"/>
    <w:rsid w:val="00F51B8C"/>
    <w:rsid w:val="00F52310"/>
    <w:rsid w:val="00F52450"/>
    <w:rsid w:val="00F52883"/>
    <w:rsid w:val="00F5399F"/>
    <w:rsid w:val="00F55075"/>
    <w:rsid w:val="00F5516D"/>
    <w:rsid w:val="00F56FD2"/>
    <w:rsid w:val="00F6195A"/>
    <w:rsid w:val="00F6200B"/>
    <w:rsid w:val="00F66724"/>
    <w:rsid w:val="00F70531"/>
    <w:rsid w:val="00F73ACC"/>
    <w:rsid w:val="00F77232"/>
    <w:rsid w:val="00F811F7"/>
    <w:rsid w:val="00F81EED"/>
    <w:rsid w:val="00F8275D"/>
    <w:rsid w:val="00F8425A"/>
    <w:rsid w:val="00F84D4F"/>
    <w:rsid w:val="00F85E0E"/>
    <w:rsid w:val="00F86AF9"/>
    <w:rsid w:val="00F93B9A"/>
    <w:rsid w:val="00F946DC"/>
    <w:rsid w:val="00F96568"/>
    <w:rsid w:val="00F97116"/>
    <w:rsid w:val="00F971D6"/>
    <w:rsid w:val="00F97FDE"/>
    <w:rsid w:val="00FA12F8"/>
    <w:rsid w:val="00FA1800"/>
    <w:rsid w:val="00FA1D75"/>
    <w:rsid w:val="00FA2450"/>
    <w:rsid w:val="00FA2486"/>
    <w:rsid w:val="00FA321F"/>
    <w:rsid w:val="00FA56D3"/>
    <w:rsid w:val="00FA593F"/>
    <w:rsid w:val="00FA6CB0"/>
    <w:rsid w:val="00FB1723"/>
    <w:rsid w:val="00FB1DEC"/>
    <w:rsid w:val="00FB38C7"/>
    <w:rsid w:val="00FB5CCE"/>
    <w:rsid w:val="00FB7B56"/>
    <w:rsid w:val="00FB7C7C"/>
    <w:rsid w:val="00FC027F"/>
    <w:rsid w:val="00FC1291"/>
    <w:rsid w:val="00FC1708"/>
    <w:rsid w:val="00FC2E35"/>
    <w:rsid w:val="00FC3859"/>
    <w:rsid w:val="00FC54E7"/>
    <w:rsid w:val="00FC7369"/>
    <w:rsid w:val="00FD016B"/>
    <w:rsid w:val="00FD01E4"/>
    <w:rsid w:val="00FD3FFC"/>
    <w:rsid w:val="00FD4E53"/>
    <w:rsid w:val="00FD4FEB"/>
    <w:rsid w:val="00FD6520"/>
    <w:rsid w:val="00FD7129"/>
    <w:rsid w:val="00FD74A6"/>
    <w:rsid w:val="00FE09B2"/>
    <w:rsid w:val="00FE18E9"/>
    <w:rsid w:val="00FE222C"/>
    <w:rsid w:val="00FE3DE2"/>
    <w:rsid w:val="00FE6FC6"/>
    <w:rsid w:val="00FE75E5"/>
    <w:rsid w:val="00FF0E35"/>
    <w:rsid w:val="00FF4F15"/>
    <w:rsid w:val="00FF66DB"/>
    <w:rsid w:val="00FF7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5F0"/>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Web"/>
    <w:next w:val="Normal"/>
    <w:link w:val="Heading2Char"/>
    <w:unhideWhenUsed/>
    <w:qFormat/>
    <w:locked/>
    <w:rsid w:val="00237A45"/>
    <w:pPr>
      <w:spacing w:before="0" w:beforeAutospacing="0" w:after="0" w:afterAutospacing="0"/>
      <w:outlineLvl w:val="1"/>
    </w:pPr>
    <w:rPr>
      <w:rFonts w:ascii="Arial" w:hAnsi="Arial" w:cs="Arial"/>
      <w:b/>
      <w:iCs/>
      <w:sz w:val="22"/>
      <w:szCs w:val="22"/>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rsid w:val="00237A45"/>
    <w:rPr>
      <w:rFonts w:ascii="Arial" w:eastAsia="Times New Roman" w:hAnsi="Arial" w:cs="Arial"/>
      <w:b/>
      <w:iCs/>
      <w:sz w:val="22"/>
      <w:szCs w:val="22"/>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39"/>
    <w:rsid w:val="00C16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rFonts w:ascii="Times New Roman" w:hAnsi="Times New Roman"/>
      <w:color w:val="000000"/>
      <w:sz w:val="22"/>
      <w:szCs w:val="22"/>
      <w:lang w:val="en-AU" w:eastAsia="en-AU" w:bidi="ar-SA"/>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D13DF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rFonts w:ascii="Arial" w:hAnsi="Arial" w:cs="Arial"/>
      <w:b/>
      <w:i/>
      <w:sz w:val="22"/>
      <w:szCs w:val="22"/>
      <w:lang w:eastAsia="en-US"/>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rFonts w:ascii="Arial" w:hAnsi="Arial" w:cs="Arial"/>
      <w:b/>
      <w:color w:val="FFFFFF" w:themeColor="background1"/>
      <w:lang w:eastAsia="en-US"/>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93728"/>
    <w:pPr>
      <w:spacing w:before="100" w:beforeAutospacing="1" w:after="100" w:afterAutospacing="1"/>
    </w:pPr>
    <w:rPr>
      <w:rFonts w:ascii="Times New Roman" w:eastAsia="Times New Roman" w:hAnsi="Times New Roman"/>
      <w:sz w:val="24"/>
      <w:szCs w:val="24"/>
      <w:lang w:eastAsia="en-AU"/>
    </w:rPr>
  </w:style>
  <w:style w:type="character" w:customStyle="1" w:styleId="author-name2">
    <w:name w:val="author-name2"/>
    <w:basedOn w:val="DefaultParagraphFont"/>
    <w:rsid w:val="00FC1291"/>
    <w:rPr>
      <w:b/>
      <w:bCs/>
    </w:rPr>
  </w:style>
  <w:style w:type="character" w:customStyle="1" w:styleId="source-name5">
    <w:name w:val="source-name5"/>
    <w:basedOn w:val="DefaultParagraphFont"/>
    <w:rsid w:val="00FC1291"/>
    <w:rPr>
      <w:i/>
      <w:iCs/>
    </w:rPr>
  </w:style>
  <w:style w:type="character" w:customStyle="1" w:styleId="publish-date5">
    <w:name w:val="publish-date5"/>
    <w:basedOn w:val="DefaultParagraphFont"/>
    <w:rsid w:val="00FC1291"/>
    <w:rPr>
      <w:i/>
      <w:iCs/>
      <w:sz w:val="14"/>
      <w:szCs w:val="14"/>
    </w:rPr>
  </w:style>
  <w:style w:type="character" w:styleId="FollowedHyperlink">
    <w:name w:val="FollowedHyperlink"/>
    <w:basedOn w:val="DefaultParagraphFont"/>
    <w:uiPriority w:val="99"/>
    <w:semiHidden/>
    <w:unhideWhenUsed/>
    <w:rsid w:val="007C746E"/>
    <w:rPr>
      <w:color w:val="800080" w:themeColor="followedHyperlink"/>
      <w:u w:val="single"/>
    </w:rPr>
  </w:style>
  <w:style w:type="paragraph" w:customStyle="1" w:styleId="ATAPreMnorm">
    <w:name w:val="ATAPreM norm"/>
    <w:basedOn w:val="Normal"/>
    <w:link w:val="ATAPreMnormChar"/>
    <w:qFormat/>
    <w:rsid w:val="00F2072F"/>
    <w:rPr>
      <w:rFonts w:ascii="Arial" w:eastAsia="Times New Roman" w:hAnsi="Arial" w:cs="Arial"/>
      <w:i/>
      <w:color w:val="000000"/>
      <w:sz w:val="20"/>
      <w:szCs w:val="20"/>
      <w:lang w:eastAsia="en-AU"/>
    </w:rPr>
  </w:style>
  <w:style w:type="paragraph" w:customStyle="1" w:styleId="ATAPervMHeading">
    <w:name w:val="ATAPervMHeading"/>
    <w:basedOn w:val="Normal"/>
    <w:link w:val="ATAPervMHeadingChar"/>
    <w:qFormat/>
    <w:rsid w:val="00F2072F"/>
    <w:pPr>
      <w:tabs>
        <w:tab w:val="left" w:pos="851"/>
      </w:tabs>
      <w:ind w:left="851" w:hanging="851"/>
    </w:pPr>
    <w:rPr>
      <w:rFonts w:ascii="Arial" w:hAnsi="Arial" w:cs="Arial"/>
      <w:b/>
      <w:i/>
      <w:sz w:val="20"/>
      <w:szCs w:val="20"/>
    </w:rPr>
  </w:style>
  <w:style w:type="character" w:customStyle="1" w:styleId="ATAPreMnormChar">
    <w:name w:val="ATAPreM norm Char"/>
    <w:basedOn w:val="DefaultParagraphFont"/>
    <w:link w:val="ATAPreMnorm"/>
    <w:rsid w:val="00F2072F"/>
    <w:rPr>
      <w:rFonts w:ascii="Arial" w:eastAsia="Times New Roman" w:hAnsi="Arial" w:cs="Arial"/>
      <w:i/>
      <w:color w:val="000000"/>
    </w:rPr>
  </w:style>
  <w:style w:type="character" w:customStyle="1" w:styleId="ATAPervMHeadingChar">
    <w:name w:val="ATAPervMHeading Char"/>
    <w:basedOn w:val="DefaultParagraphFont"/>
    <w:link w:val="ATAPervMHeading"/>
    <w:rsid w:val="00F2072F"/>
    <w:rPr>
      <w:rFonts w:ascii="Arial" w:hAnsi="Arial" w:cs="Arial"/>
      <w:b/>
      <w:i/>
      <w:lang w:eastAsia="en-US"/>
    </w:rPr>
  </w:style>
  <w:style w:type="character" w:styleId="CommentReference">
    <w:name w:val="annotation reference"/>
    <w:basedOn w:val="DefaultParagraphFont"/>
    <w:uiPriority w:val="99"/>
    <w:semiHidden/>
    <w:unhideWhenUsed/>
    <w:rsid w:val="00603655"/>
    <w:rPr>
      <w:sz w:val="16"/>
      <w:szCs w:val="16"/>
    </w:rPr>
  </w:style>
  <w:style w:type="paragraph" w:styleId="CommentText">
    <w:name w:val="annotation text"/>
    <w:basedOn w:val="Normal"/>
    <w:link w:val="CommentTextChar"/>
    <w:uiPriority w:val="99"/>
    <w:semiHidden/>
    <w:unhideWhenUsed/>
    <w:rsid w:val="00603655"/>
    <w:rPr>
      <w:sz w:val="20"/>
      <w:szCs w:val="20"/>
    </w:rPr>
  </w:style>
  <w:style w:type="character" w:customStyle="1" w:styleId="CommentTextChar">
    <w:name w:val="Comment Text Char"/>
    <w:basedOn w:val="DefaultParagraphFont"/>
    <w:link w:val="CommentText"/>
    <w:uiPriority w:val="99"/>
    <w:semiHidden/>
    <w:rsid w:val="00603655"/>
    <w:rPr>
      <w:lang w:eastAsia="en-US"/>
    </w:rPr>
  </w:style>
  <w:style w:type="paragraph" w:styleId="CommentSubject">
    <w:name w:val="annotation subject"/>
    <w:basedOn w:val="CommentText"/>
    <w:next w:val="CommentText"/>
    <w:link w:val="CommentSubjectChar"/>
    <w:uiPriority w:val="99"/>
    <w:semiHidden/>
    <w:unhideWhenUsed/>
    <w:rsid w:val="00603655"/>
    <w:rPr>
      <w:b/>
      <w:bCs/>
    </w:rPr>
  </w:style>
  <w:style w:type="character" w:customStyle="1" w:styleId="CommentSubjectChar">
    <w:name w:val="Comment Subject Char"/>
    <w:basedOn w:val="CommentTextChar"/>
    <w:link w:val="CommentSubject"/>
    <w:uiPriority w:val="99"/>
    <w:semiHidden/>
    <w:rsid w:val="00603655"/>
    <w:rPr>
      <w:b/>
      <w:bCs/>
      <w:lang w:eastAsia="en-US"/>
    </w:rPr>
  </w:style>
  <w:style w:type="paragraph" w:styleId="PlainText">
    <w:name w:val="Plain Text"/>
    <w:basedOn w:val="Normal"/>
    <w:link w:val="PlainTextChar"/>
    <w:uiPriority w:val="99"/>
    <w:unhideWhenUsed/>
    <w:rsid w:val="00040B35"/>
    <w:rPr>
      <w:rFonts w:ascii="Consolas" w:eastAsiaTheme="minorHAnsi" w:hAnsi="Consolas" w:cs="Consolas"/>
      <w:sz w:val="21"/>
      <w:szCs w:val="21"/>
      <w:lang w:eastAsia="en-AU"/>
    </w:rPr>
  </w:style>
  <w:style w:type="character" w:customStyle="1" w:styleId="PlainTextChar">
    <w:name w:val="Plain Text Char"/>
    <w:basedOn w:val="DefaultParagraphFont"/>
    <w:link w:val="PlainText"/>
    <w:uiPriority w:val="99"/>
    <w:rsid w:val="00040B35"/>
    <w:rPr>
      <w:rFonts w:ascii="Consolas" w:eastAsiaTheme="minorHAnsi" w:hAnsi="Consolas" w:cs="Consolas"/>
      <w:sz w:val="21"/>
      <w:szCs w:val="21"/>
    </w:rPr>
  </w:style>
  <w:style w:type="paragraph" w:styleId="NoSpacing">
    <w:name w:val="No Spacing"/>
    <w:basedOn w:val="Normal"/>
    <w:uiPriority w:val="1"/>
    <w:qFormat/>
    <w:rsid w:val="005C4492"/>
    <w:rPr>
      <w:rFonts w:eastAsiaTheme="minorHAnsi"/>
      <w:color w:val="404040"/>
      <w:sz w:val="19"/>
      <w:szCs w:val="19"/>
      <w:lang w:eastAsia="en-AU"/>
    </w:rPr>
  </w:style>
  <w:style w:type="character" w:customStyle="1" w:styleId="apple-converted-space">
    <w:name w:val="apple-converted-space"/>
    <w:basedOn w:val="DefaultParagraphFont"/>
    <w:rsid w:val="00DF2EC9"/>
  </w:style>
  <w:style w:type="character" w:customStyle="1" w:styleId="filesize">
    <w:name w:val="filesize"/>
    <w:basedOn w:val="DefaultParagraphFont"/>
    <w:rsid w:val="00DF2EC9"/>
  </w:style>
  <w:style w:type="table" w:customStyle="1" w:styleId="TableGrid1">
    <w:name w:val="Table Grid1"/>
    <w:basedOn w:val="TableNormal"/>
    <w:next w:val="TableGrid"/>
    <w:uiPriority w:val="39"/>
    <w:rsid w:val="000077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707">
      <w:bodyDiv w:val="1"/>
      <w:marLeft w:val="0"/>
      <w:marRight w:val="0"/>
      <w:marTop w:val="0"/>
      <w:marBottom w:val="0"/>
      <w:divBdr>
        <w:top w:val="none" w:sz="0" w:space="0" w:color="auto"/>
        <w:left w:val="none" w:sz="0" w:space="0" w:color="auto"/>
        <w:bottom w:val="none" w:sz="0" w:space="0" w:color="auto"/>
        <w:right w:val="none" w:sz="0" w:space="0" w:color="auto"/>
      </w:divBdr>
    </w:div>
    <w:div w:id="243534529">
      <w:bodyDiv w:val="1"/>
      <w:marLeft w:val="0"/>
      <w:marRight w:val="0"/>
      <w:marTop w:val="0"/>
      <w:marBottom w:val="0"/>
      <w:divBdr>
        <w:top w:val="none" w:sz="0" w:space="0" w:color="auto"/>
        <w:left w:val="none" w:sz="0" w:space="0" w:color="auto"/>
        <w:bottom w:val="none" w:sz="0" w:space="0" w:color="auto"/>
        <w:right w:val="none" w:sz="0" w:space="0" w:color="auto"/>
      </w:divBdr>
    </w:div>
    <w:div w:id="281620142">
      <w:bodyDiv w:val="1"/>
      <w:marLeft w:val="0"/>
      <w:marRight w:val="0"/>
      <w:marTop w:val="0"/>
      <w:marBottom w:val="0"/>
      <w:divBdr>
        <w:top w:val="none" w:sz="0" w:space="0" w:color="auto"/>
        <w:left w:val="none" w:sz="0" w:space="0" w:color="auto"/>
        <w:bottom w:val="none" w:sz="0" w:space="0" w:color="auto"/>
        <w:right w:val="none" w:sz="0" w:space="0" w:color="auto"/>
      </w:divBdr>
    </w:div>
    <w:div w:id="300501640">
      <w:bodyDiv w:val="1"/>
      <w:marLeft w:val="0"/>
      <w:marRight w:val="0"/>
      <w:marTop w:val="0"/>
      <w:marBottom w:val="0"/>
      <w:divBdr>
        <w:top w:val="none" w:sz="0" w:space="0" w:color="auto"/>
        <w:left w:val="none" w:sz="0" w:space="0" w:color="auto"/>
        <w:bottom w:val="none" w:sz="0" w:space="0" w:color="auto"/>
        <w:right w:val="none" w:sz="0" w:space="0" w:color="auto"/>
      </w:divBdr>
      <w:divsChild>
        <w:div w:id="1953660714">
          <w:marLeft w:val="0"/>
          <w:marRight w:val="0"/>
          <w:marTop w:val="0"/>
          <w:marBottom w:val="0"/>
          <w:divBdr>
            <w:top w:val="none" w:sz="0" w:space="0" w:color="auto"/>
            <w:left w:val="none" w:sz="0" w:space="0" w:color="auto"/>
            <w:bottom w:val="none" w:sz="0" w:space="0" w:color="auto"/>
            <w:right w:val="none" w:sz="0" w:space="0" w:color="auto"/>
          </w:divBdr>
          <w:divsChild>
            <w:div w:id="749893250">
              <w:marLeft w:val="0"/>
              <w:marRight w:val="0"/>
              <w:marTop w:val="0"/>
              <w:marBottom w:val="0"/>
              <w:divBdr>
                <w:top w:val="none" w:sz="0" w:space="0" w:color="auto"/>
                <w:left w:val="none" w:sz="0" w:space="0" w:color="auto"/>
                <w:bottom w:val="none" w:sz="0" w:space="0" w:color="auto"/>
                <w:right w:val="none" w:sz="0" w:space="0" w:color="auto"/>
              </w:divBdr>
              <w:divsChild>
                <w:div w:id="1990743551">
                  <w:marLeft w:val="0"/>
                  <w:marRight w:val="0"/>
                  <w:marTop w:val="0"/>
                  <w:marBottom w:val="0"/>
                  <w:divBdr>
                    <w:top w:val="none" w:sz="0" w:space="0" w:color="auto"/>
                    <w:left w:val="none" w:sz="0" w:space="0" w:color="auto"/>
                    <w:bottom w:val="none" w:sz="0" w:space="0" w:color="auto"/>
                    <w:right w:val="none" w:sz="0" w:space="0" w:color="auto"/>
                  </w:divBdr>
                  <w:divsChild>
                    <w:div w:id="1398744426">
                      <w:marLeft w:val="0"/>
                      <w:marRight w:val="0"/>
                      <w:marTop w:val="0"/>
                      <w:marBottom w:val="173"/>
                      <w:divBdr>
                        <w:top w:val="none" w:sz="0" w:space="0" w:color="auto"/>
                        <w:left w:val="none" w:sz="0" w:space="0" w:color="auto"/>
                        <w:bottom w:val="single" w:sz="12" w:space="0" w:color="auto"/>
                        <w:right w:val="none" w:sz="0" w:space="0" w:color="auto"/>
                      </w:divBdr>
                      <w:divsChild>
                        <w:div w:id="151719399">
                          <w:marLeft w:val="0"/>
                          <w:marRight w:val="0"/>
                          <w:marTop w:val="0"/>
                          <w:marBottom w:val="0"/>
                          <w:divBdr>
                            <w:top w:val="none" w:sz="0" w:space="0" w:color="auto"/>
                            <w:left w:val="none" w:sz="0" w:space="0" w:color="auto"/>
                            <w:bottom w:val="none" w:sz="0" w:space="0" w:color="auto"/>
                            <w:right w:val="none" w:sz="0" w:space="0" w:color="auto"/>
                          </w:divBdr>
                          <w:divsChild>
                            <w:div w:id="846868594">
                              <w:marLeft w:val="0"/>
                              <w:marRight w:val="0"/>
                              <w:marTop w:val="0"/>
                              <w:marBottom w:val="0"/>
                              <w:divBdr>
                                <w:top w:val="none" w:sz="0" w:space="0" w:color="auto"/>
                                <w:left w:val="none" w:sz="0" w:space="0" w:color="auto"/>
                                <w:bottom w:val="none" w:sz="0" w:space="0" w:color="auto"/>
                                <w:right w:val="none" w:sz="0" w:space="0" w:color="auto"/>
                              </w:divBdr>
                              <w:divsChild>
                                <w:div w:id="64375558">
                                  <w:marLeft w:val="0"/>
                                  <w:marRight w:val="0"/>
                                  <w:marTop w:val="0"/>
                                  <w:marBottom w:val="0"/>
                                  <w:divBdr>
                                    <w:top w:val="none" w:sz="0" w:space="0" w:color="auto"/>
                                    <w:left w:val="none" w:sz="0" w:space="0" w:color="auto"/>
                                    <w:bottom w:val="none" w:sz="0" w:space="0" w:color="auto"/>
                                    <w:right w:val="none" w:sz="0" w:space="0" w:color="auto"/>
                                  </w:divBdr>
                                  <w:divsChild>
                                    <w:div w:id="1638073701">
                                      <w:marLeft w:val="0"/>
                                      <w:marRight w:val="0"/>
                                      <w:marTop w:val="0"/>
                                      <w:marBottom w:val="0"/>
                                      <w:divBdr>
                                        <w:top w:val="none" w:sz="0" w:space="0" w:color="auto"/>
                                        <w:left w:val="none" w:sz="0" w:space="0" w:color="auto"/>
                                        <w:bottom w:val="none" w:sz="0" w:space="0" w:color="auto"/>
                                        <w:right w:val="none" w:sz="0" w:space="0" w:color="auto"/>
                                      </w:divBdr>
                                      <w:divsChild>
                                        <w:div w:id="388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852183">
      <w:bodyDiv w:val="1"/>
      <w:marLeft w:val="0"/>
      <w:marRight w:val="0"/>
      <w:marTop w:val="0"/>
      <w:marBottom w:val="0"/>
      <w:divBdr>
        <w:top w:val="none" w:sz="0" w:space="0" w:color="auto"/>
        <w:left w:val="none" w:sz="0" w:space="0" w:color="auto"/>
        <w:bottom w:val="none" w:sz="0" w:space="0" w:color="auto"/>
        <w:right w:val="none" w:sz="0" w:space="0" w:color="auto"/>
      </w:divBdr>
      <w:divsChild>
        <w:div w:id="1062757597">
          <w:marLeft w:val="0"/>
          <w:marRight w:val="0"/>
          <w:marTop w:val="0"/>
          <w:marBottom w:val="0"/>
          <w:divBdr>
            <w:top w:val="single" w:sz="2" w:space="0" w:color="999999"/>
            <w:left w:val="single" w:sz="4" w:space="0" w:color="999999"/>
            <w:bottom w:val="single" w:sz="2" w:space="0" w:color="999999"/>
            <w:right w:val="single" w:sz="4" w:space="0" w:color="999999"/>
          </w:divBdr>
          <w:divsChild>
            <w:div w:id="659891644">
              <w:marLeft w:val="0"/>
              <w:marRight w:val="0"/>
              <w:marTop w:val="0"/>
              <w:marBottom w:val="0"/>
              <w:divBdr>
                <w:top w:val="none" w:sz="0" w:space="0" w:color="auto"/>
                <w:left w:val="none" w:sz="0" w:space="0" w:color="auto"/>
                <w:bottom w:val="none" w:sz="0" w:space="0" w:color="auto"/>
                <w:right w:val="none" w:sz="0" w:space="0" w:color="auto"/>
              </w:divBdr>
              <w:divsChild>
                <w:div w:id="8284792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708993285">
      <w:bodyDiv w:val="1"/>
      <w:marLeft w:val="0"/>
      <w:marRight w:val="0"/>
      <w:marTop w:val="0"/>
      <w:marBottom w:val="0"/>
      <w:divBdr>
        <w:top w:val="none" w:sz="0" w:space="0" w:color="auto"/>
        <w:left w:val="none" w:sz="0" w:space="0" w:color="auto"/>
        <w:bottom w:val="none" w:sz="0" w:space="0" w:color="auto"/>
        <w:right w:val="none" w:sz="0" w:space="0" w:color="auto"/>
      </w:divBdr>
    </w:div>
    <w:div w:id="764347823">
      <w:bodyDiv w:val="1"/>
      <w:marLeft w:val="0"/>
      <w:marRight w:val="0"/>
      <w:marTop w:val="0"/>
      <w:marBottom w:val="0"/>
      <w:divBdr>
        <w:top w:val="none" w:sz="0" w:space="0" w:color="auto"/>
        <w:left w:val="none" w:sz="0" w:space="0" w:color="auto"/>
        <w:bottom w:val="none" w:sz="0" w:space="0" w:color="auto"/>
        <w:right w:val="none" w:sz="0" w:space="0" w:color="auto"/>
      </w:divBdr>
      <w:divsChild>
        <w:div w:id="1504861412">
          <w:marLeft w:val="0"/>
          <w:marRight w:val="0"/>
          <w:marTop w:val="0"/>
          <w:marBottom w:val="0"/>
          <w:divBdr>
            <w:top w:val="none" w:sz="0" w:space="0" w:color="auto"/>
            <w:left w:val="none" w:sz="0" w:space="0" w:color="auto"/>
            <w:bottom w:val="none" w:sz="0" w:space="0" w:color="auto"/>
            <w:right w:val="none" w:sz="0" w:space="0" w:color="auto"/>
          </w:divBdr>
          <w:divsChild>
            <w:div w:id="101927376">
              <w:marLeft w:val="0"/>
              <w:marRight w:val="0"/>
              <w:marTop w:val="0"/>
              <w:marBottom w:val="0"/>
              <w:divBdr>
                <w:top w:val="none" w:sz="0" w:space="0" w:color="auto"/>
                <w:left w:val="none" w:sz="0" w:space="0" w:color="auto"/>
                <w:bottom w:val="none" w:sz="0" w:space="0" w:color="auto"/>
                <w:right w:val="none" w:sz="0" w:space="0" w:color="auto"/>
              </w:divBdr>
              <w:divsChild>
                <w:div w:id="1142624037">
                  <w:marLeft w:val="0"/>
                  <w:marRight w:val="0"/>
                  <w:marTop w:val="100"/>
                  <w:marBottom w:val="100"/>
                  <w:divBdr>
                    <w:top w:val="none" w:sz="0" w:space="0" w:color="auto"/>
                    <w:left w:val="none" w:sz="0" w:space="0" w:color="auto"/>
                    <w:bottom w:val="none" w:sz="0" w:space="0" w:color="auto"/>
                    <w:right w:val="none" w:sz="0" w:space="0" w:color="auto"/>
                  </w:divBdr>
                  <w:divsChild>
                    <w:div w:id="1542476904">
                      <w:marLeft w:val="0"/>
                      <w:marRight w:val="0"/>
                      <w:marTop w:val="0"/>
                      <w:marBottom w:val="0"/>
                      <w:divBdr>
                        <w:top w:val="none" w:sz="0" w:space="0" w:color="auto"/>
                        <w:left w:val="none" w:sz="0" w:space="0" w:color="auto"/>
                        <w:bottom w:val="none" w:sz="0" w:space="0" w:color="auto"/>
                        <w:right w:val="none" w:sz="0" w:space="0" w:color="auto"/>
                      </w:divBdr>
                      <w:divsChild>
                        <w:div w:id="172105108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1379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18695">
      <w:bodyDiv w:val="1"/>
      <w:marLeft w:val="0"/>
      <w:marRight w:val="0"/>
      <w:marTop w:val="0"/>
      <w:marBottom w:val="0"/>
      <w:divBdr>
        <w:top w:val="none" w:sz="0" w:space="0" w:color="auto"/>
        <w:left w:val="none" w:sz="0" w:space="0" w:color="auto"/>
        <w:bottom w:val="none" w:sz="0" w:space="0" w:color="auto"/>
        <w:right w:val="none" w:sz="0" w:space="0" w:color="auto"/>
      </w:divBdr>
    </w:div>
    <w:div w:id="815923983">
      <w:bodyDiv w:val="1"/>
      <w:marLeft w:val="0"/>
      <w:marRight w:val="0"/>
      <w:marTop w:val="0"/>
      <w:marBottom w:val="0"/>
      <w:divBdr>
        <w:top w:val="none" w:sz="0" w:space="0" w:color="auto"/>
        <w:left w:val="none" w:sz="0" w:space="0" w:color="auto"/>
        <w:bottom w:val="none" w:sz="0" w:space="0" w:color="auto"/>
        <w:right w:val="none" w:sz="0" w:space="0" w:color="auto"/>
      </w:divBdr>
    </w:div>
    <w:div w:id="828593103">
      <w:bodyDiv w:val="1"/>
      <w:marLeft w:val="0"/>
      <w:marRight w:val="0"/>
      <w:marTop w:val="0"/>
      <w:marBottom w:val="0"/>
      <w:divBdr>
        <w:top w:val="none" w:sz="0" w:space="0" w:color="auto"/>
        <w:left w:val="none" w:sz="0" w:space="0" w:color="auto"/>
        <w:bottom w:val="none" w:sz="0" w:space="0" w:color="auto"/>
        <w:right w:val="none" w:sz="0" w:space="0" w:color="auto"/>
      </w:divBdr>
    </w:div>
    <w:div w:id="900407637">
      <w:bodyDiv w:val="1"/>
      <w:marLeft w:val="0"/>
      <w:marRight w:val="0"/>
      <w:marTop w:val="0"/>
      <w:marBottom w:val="0"/>
      <w:divBdr>
        <w:top w:val="none" w:sz="0" w:space="0" w:color="auto"/>
        <w:left w:val="none" w:sz="0" w:space="0" w:color="auto"/>
        <w:bottom w:val="none" w:sz="0" w:space="0" w:color="auto"/>
        <w:right w:val="none" w:sz="0" w:space="0" w:color="auto"/>
      </w:divBdr>
    </w:div>
    <w:div w:id="1107240177">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126312516">
      <w:bodyDiv w:val="1"/>
      <w:marLeft w:val="0"/>
      <w:marRight w:val="0"/>
      <w:marTop w:val="0"/>
      <w:marBottom w:val="0"/>
      <w:divBdr>
        <w:top w:val="none" w:sz="0" w:space="0" w:color="auto"/>
        <w:left w:val="none" w:sz="0" w:space="0" w:color="auto"/>
        <w:bottom w:val="none" w:sz="0" w:space="0" w:color="auto"/>
        <w:right w:val="none" w:sz="0" w:space="0" w:color="auto"/>
      </w:divBdr>
      <w:divsChild>
        <w:div w:id="1500120403">
          <w:marLeft w:val="0"/>
          <w:marRight w:val="0"/>
          <w:marTop w:val="0"/>
          <w:marBottom w:val="0"/>
          <w:divBdr>
            <w:top w:val="single" w:sz="2" w:space="0" w:color="999999"/>
            <w:left w:val="single" w:sz="4" w:space="0" w:color="999999"/>
            <w:bottom w:val="single" w:sz="2" w:space="0" w:color="999999"/>
            <w:right w:val="single" w:sz="4" w:space="0" w:color="999999"/>
          </w:divBdr>
          <w:divsChild>
            <w:div w:id="2011176851">
              <w:marLeft w:val="0"/>
              <w:marRight w:val="0"/>
              <w:marTop w:val="0"/>
              <w:marBottom w:val="0"/>
              <w:divBdr>
                <w:top w:val="none" w:sz="0" w:space="0" w:color="auto"/>
                <w:left w:val="none" w:sz="0" w:space="0" w:color="auto"/>
                <w:bottom w:val="none" w:sz="0" w:space="0" w:color="auto"/>
                <w:right w:val="none" w:sz="0" w:space="0" w:color="auto"/>
              </w:divBdr>
              <w:divsChild>
                <w:div w:id="159208419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1168668862">
      <w:bodyDiv w:val="1"/>
      <w:marLeft w:val="0"/>
      <w:marRight w:val="0"/>
      <w:marTop w:val="0"/>
      <w:marBottom w:val="0"/>
      <w:divBdr>
        <w:top w:val="none" w:sz="0" w:space="0" w:color="auto"/>
        <w:left w:val="none" w:sz="0" w:space="0" w:color="auto"/>
        <w:bottom w:val="none" w:sz="0" w:space="0" w:color="auto"/>
        <w:right w:val="none" w:sz="0" w:space="0" w:color="auto"/>
      </w:divBdr>
    </w:div>
    <w:div w:id="1177578316">
      <w:bodyDiv w:val="1"/>
      <w:marLeft w:val="0"/>
      <w:marRight w:val="0"/>
      <w:marTop w:val="0"/>
      <w:marBottom w:val="0"/>
      <w:divBdr>
        <w:top w:val="none" w:sz="0" w:space="0" w:color="auto"/>
        <w:left w:val="none" w:sz="0" w:space="0" w:color="auto"/>
        <w:bottom w:val="none" w:sz="0" w:space="0" w:color="auto"/>
        <w:right w:val="none" w:sz="0" w:space="0" w:color="auto"/>
      </w:divBdr>
    </w:div>
    <w:div w:id="1264221754">
      <w:bodyDiv w:val="1"/>
      <w:marLeft w:val="0"/>
      <w:marRight w:val="0"/>
      <w:marTop w:val="0"/>
      <w:marBottom w:val="0"/>
      <w:divBdr>
        <w:top w:val="none" w:sz="0" w:space="0" w:color="auto"/>
        <w:left w:val="none" w:sz="0" w:space="0" w:color="auto"/>
        <w:bottom w:val="none" w:sz="0" w:space="0" w:color="auto"/>
        <w:right w:val="none" w:sz="0" w:space="0" w:color="auto"/>
      </w:divBdr>
    </w:div>
    <w:div w:id="1266157425">
      <w:bodyDiv w:val="1"/>
      <w:marLeft w:val="0"/>
      <w:marRight w:val="0"/>
      <w:marTop w:val="0"/>
      <w:marBottom w:val="0"/>
      <w:divBdr>
        <w:top w:val="none" w:sz="0" w:space="0" w:color="auto"/>
        <w:left w:val="none" w:sz="0" w:space="0" w:color="auto"/>
        <w:bottom w:val="none" w:sz="0" w:space="0" w:color="auto"/>
        <w:right w:val="none" w:sz="0" w:space="0" w:color="auto"/>
      </w:divBdr>
    </w:div>
    <w:div w:id="1295284791">
      <w:bodyDiv w:val="1"/>
      <w:marLeft w:val="0"/>
      <w:marRight w:val="0"/>
      <w:marTop w:val="0"/>
      <w:marBottom w:val="0"/>
      <w:divBdr>
        <w:top w:val="none" w:sz="0" w:space="0" w:color="auto"/>
        <w:left w:val="none" w:sz="0" w:space="0" w:color="auto"/>
        <w:bottom w:val="none" w:sz="0" w:space="0" w:color="auto"/>
        <w:right w:val="none" w:sz="0" w:space="0" w:color="auto"/>
      </w:divBdr>
    </w:div>
    <w:div w:id="1343555153">
      <w:bodyDiv w:val="1"/>
      <w:marLeft w:val="0"/>
      <w:marRight w:val="0"/>
      <w:marTop w:val="0"/>
      <w:marBottom w:val="0"/>
      <w:divBdr>
        <w:top w:val="none" w:sz="0" w:space="0" w:color="auto"/>
        <w:left w:val="none" w:sz="0" w:space="0" w:color="auto"/>
        <w:bottom w:val="none" w:sz="0" w:space="0" w:color="auto"/>
        <w:right w:val="none" w:sz="0" w:space="0" w:color="auto"/>
      </w:divBdr>
    </w:div>
    <w:div w:id="1365136524">
      <w:bodyDiv w:val="1"/>
      <w:marLeft w:val="0"/>
      <w:marRight w:val="0"/>
      <w:marTop w:val="0"/>
      <w:marBottom w:val="0"/>
      <w:divBdr>
        <w:top w:val="none" w:sz="0" w:space="0" w:color="auto"/>
        <w:left w:val="none" w:sz="0" w:space="0" w:color="auto"/>
        <w:bottom w:val="none" w:sz="0" w:space="0" w:color="auto"/>
        <w:right w:val="none" w:sz="0" w:space="0" w:color="auto"/>
      </w:divBdr>
      <w:divsChild>
        <w:div w:id="860053868">
          <w:marLeft w:val="0"/>
          <w:marRight w:val="0"/>
          <w:marTop w:val="0"/>
          <w:marBottom w:val="0"/>
          <w:divBdr>
            <w:top w:val="none" w:sz="0" w:space="0" w:color="auto"/>
            <w:left w:val="none" w:sz="0" w:space="0" w:color="auto"/>
            <w:bottom w:val="none" w:sz="0" w:space="0" w:color="auto"/>
            <w:right w:val="none" w:sz="0" w:space="0" w:color="auto"/>
          </w:divBdr>
        </w:div>
        <w:div w:id="390664934">
          <w:marLeft w:val="0"/>
          <w:marRight w:val="0"/>
          <w:marTop w:val="0"/>
          <w:marBottom w:val="0"/>
          <w:divBdr>
            <w:top w:val="none" w:sz="0" w:space="0" w:color="auto"/>
            <w:left w:val="none" w:sz="0" w:space="0" w:color="auto"/>
            <w:bottom w:val="none" w:sz="0" w:space="0" w:color="auto"/>
            <w:right w:val="none" w:sz="0" w:space="0" w:color="auto"/>
          </w:divBdr>
        </w:div>
        <w:div w:id="120652272">
          <w:marLeft w:val="0"/>
          <w:marRight w:val="0"/>
          <w:marTop w:val="0"/>
          <w:marBottom w:val="0"/>
          <w:divBdr>
            <w:top w:val="none" w:sz="0" w:space="0" w:color="auto"/>
            <w:left w:val="none" w:sz="0" w:space="0" w:color="auto"/>
            <w:bottom w:val="none" w:sz="0" w:space="0" w:color="auto"/>
            <w:right w:val="none" w:sz="0" w:space="0" w:color="auto"/>
          </w:divBdr>
        </w:div>
        <w:div w:id="1599437335">
          <w:marLeft w:val="0"/>
          <w:marRight w:val="0"/>
          <w:marTop w:val="0"/>
          <w:marBottom w:val="0"/>
          <w:divBdr>
            <w:top w:val="none" w:sz="0" w:space="0" w:color="auto"/>
            <w:left w:val="none" w:sz="0" w:space="0" w:color="auto"/>
            <w:bottom w:val="none" w:sz="0" w:space="0" w:color="auto"/>
            <w:right w:val="none" w:sz="0" w:space="0" w:color="auto"/>
          </w:divBdr>
        </w:div>
        <w:div w:id="1899124390">
          <w:marLeft w:val="0"/>
          <w:marRight w:val="0"/>
          <w:marTop w:val="0"/>
          <w:marBottom w:val="0"/>
          <w:divBdr>
            <w:top w:val="none" w:sz="0" w:space="0" w:color="auto"/>
            <w:left w:val="none" w:sz="0" w:space="0" w:color="auto"/>
            <w:bottom w:val="none" w:sz="0" w:space="0" w:color="auto"/>
            <w:right w:val="none" w:sz="0" w:space="0" w:color="auto"/>
          </w:divBdr>
        </w:div>
      </w:divsChild>
    </w:div>
    <w:div w:id="1393885428">
      <w:bodyDiv w:val="1"/>
      <w:marLeft w:val="0"/>
      <w:marRight w:val="0"/>
      <w:marTop w:val="0"/>
      <w:marBottom w:val="0"/>
      <w:divBdr>
        <w:top w:val="none" w:sz="0" w:space="0" w:color="auto"/>
        <w:left w:val="none" w:sz="0" w:space="0" w:color="auto"/>
        <w:bottom w:val="none" w:sz="0" w:space="0" w:color="auto"/>
        <w:right w:val="none" w:sz="0" w:space="0" w:color="auto"/>
      </w:divBdr>
    </w:div>
    <w:div w:id="1401636624">
      <w:bodyDiv w:val="1"/>
      <w:marLeft w:val="0"/>
      <w:marRight w:val="0"/>
      <w:marTop w:val="0"/>
      <w:marBottom w:val="0"/>
      <w:divBdr>
        <w:top w:val="none" w:sz="0" w:space="0" w:color="auto"/>
        <w:left w:val="none" w:sz="0" w:space="0" w:color="auto"/>
        <w:bottom w:val="none" w:sz="0" w:space="0" w:color="auto"/>
        <w:right w:val="none" w:sz="0" w:space="0" w:color="auto"/>
      </w:divBdr>
    </w:div>
    <w:div w:id="1443845593">
      <w:bodyDiv w:val="1"/>
      <w:marLeft w:val="0"/>
      <w:marRight w:val="0"/>
      <w:marTop w:val="0"/>
      <w:marBottom w:val="0"/>
      <w:divBdr>
        <w:top w:val="none" w:sz="0" w:space="0" w:color="auto"/>
        <w:left w:val="none" w:sz="0" w:space="0" w:color="auto"/>
        <w:bottom w:val="none" w:sz="0" w:space="0" w:color="auto"/>
        <w:right w:val="none" w:sz="0" w:space="0" w:color="auto"/>
      </w:divBdr>
    </w:div>
    <w:div w:id="1468546323">
      <w:bodyDiv w:val="1"/>
      <w:marLeft w:val="0"/>
      <w:marRight w:val="0"/>
      <w:marTop w:val="0"/>
      <w:marBottom w:val="0"/>
      <w:divBdr>
        <w:top w:val="none" w:sz="0" w:space="0" w:color="auto"/>
        <w:left w:val="none" w:sz="0" w:space="0" w:color="auto"/>
        <w:bottom w:val="none" w:sz="0" w:space="0" w:color="auto"/>
        <w:right w:val="none" w:sz="0" w:space="0" w:color="auto"/>
      </w:divBdr>
    </w:div>
    <w:div w:id="1537545818">
      <w:bodyDiv w:val="1"/>
      <w:marLeft w:val="0"/>
      <w:marRight w:val="0"/>
      <w:marTop w:val="0"/>
      <w:marBottom w:val="0"/>
      <w:divBdr>
        <w:top w:val="none" w:sz="0" w:space="0" w:color="auto"/>
        <w:left w:val="none" w:sz="0" w:space="0" w:color="auto"/>
        <w:bottom w:val="none" w:sz="0" w:space="0" w:color="auto"/>
        <w:right w:val="none" w:sz="0" w:space="0" w:color="auto"/>
      </w:divBdr>
    </w:div>
    <w:div w:id="1604262358">
      <w:bodyDiv w:val="1"/>
      <w:marLeft w:val="0"/>
      <w:marRight w:val="0"/>
      <w:marTop w:val="0"/>
      <w:marBottom w:val="0"/>
      <w:divBdr>
        <w:top w:val="none" w:sz="0" w:space="0" w:color="auto"/>
        <w:left w:val="none" w:sz="0" w:space="0" w:color="auto"/>
        <w:bottom w:val="none" w:sz="0" w:space="0" w:color="auto"/>
        <w:right w:val="none" w:sz="0" w:space="0" w:color="auto"/>
      </w:divBdr>
    </w:div>
    <w:div w:id="1634410312">
      <w:bodyDiv w:val="1"/>
      <w:marLeft w:val="0"/>
      <w:marRight w:val="0"/>
      <w:marTop w:val="0"/>
      <w:marBottom w:val="0"/>
      <w:divBdr>
        <w:top w:val="none" w:sz="0" w:space="0" w:color="auto"/>
        <w:left w:val="none" w:sz="0" w:space="0" w:color="auto"/>
        <w:bottom w:val="none" w:sz="0" w:space="0" w:color="auto"/>
        <w:right w:val="none" w:sz="0" w:space="0" w:color="auto"/>
      </w:divBdr>
      <w:divsChild>
        <w:div w:id="44764707">
          <w:marLeft w:val="0"/>
          <w:marRight w:val="0"/>
          <w:marTop w:val="0"/>
          <w:marBottom w:val="0"/>
          <w:divBdr>
            <w:top w:val="none" w:sz="0" w:space="0" w:color="auto"/>
            <w:left w:val="none" w:sz="0" w:space="0" w:color="auto"/>
            <w:bottom w:val="none" w:sz="0" w:space="0" w:color="auto"/>
            <w:right w:val="none" w:sz="0" w:space="0" w:color="auto"/>
          </w:divBdr>
        </w:div>
        <w:div w:id="1933010898">
          <w:marLeft w:val="0"/>
          <w:marRight w:val="0"/>
          <w:marTop w:val="0"/>
          <w:marBottom w:val="0"/>
          <w:divBdr>
            <w:top w:val="none" w:sz="0" w:space="0" w:color="auto"/>
            <w:left w:val="none" w:sz="0" w:space="0" w:color="auto"/>
            <w:bottom w:val="none" w:sz="0" w:space="0" w:color="auto"/>
            <w:right w:val="none" w:sz="0" w:space="0" w:color="auto"/>
          </w:divBdr>
        </w:div>
        <w:div w:id="161356897">
          <w:marLeft w:val="0"/>
          <w:marRight w:val="0"/>
          <w:marTop w:val="0"/>
          <w:marBottom w:val="0"/>
          <w:divBdr>
            <w:top w:val="none" w:sz="0" w:space="0" w:color="auto"/>
            <w:left w:val="none" w:sz="0" w:space="0" w:color="auto"/>
            <w:bottom w:val="none" w:sz="0" w:space="0" w:color="auto"/>
            <w:right w:val="none" w:sz="0" w:space="0" w:color="auto"/>
          </w:divBdr>
        </w:div>
        <w:div w:id="1020546311">
          <w:marLeft w:val="0"/>
          <w:marRight w:val="0"/>
          <w:marTop w:val="0"/>
          <w:marBottom w:val="0"/>
          <w:divBdr>
            <w:top w:val="none" w:sz="0" w:space="0" w:color="auto"/>
            <w:left w:val="none" w:sz="0" w:space="0" w:color="auto"/>
            <w:bottom w:val="none" w:sz="0" w:space="0" w:color="auto"/>
            <w:right w:val="none" w:sz="0" w:space="0" w:color="auto"/>
          </w:divBdr>
        </w:div>
        <w:div w:id="732509541">
          <w:marLeft w:val="0"/>
          <w:marRight w:val="0"/>
          <w:marTop w:val="0"/>
          <w:marBottom w:val="0"/>
          <w:divBdr>
            <w:top w:val="none" w:sz="0" w:space="0" w:color="auto"/>
            <w:left w:val="none" w:sz="0" w:space="0" w:color="auto"/>
            <w:bottom w:val="none" w:sz="0" w:space="0" w:color="auto"/>
            <w:right w:val="none" w:sz="0" w:space="0" w:color="auto"/>
          </w:divBdr>
        </w:div>
        <w:div w:id="24448622">
          <w:marLeft w:val="0"/>
          <w:marRight w:val="0"/>
          <w:marTop w:val="0"/>
          <w:marBottom w:val="0"/>
          <w:divBdr>
            <w:top w:val="none" w:sz="0" w:space="0" w:color="auto"/>
            <w:left w:val="none" w:sz="0" w:space="0" w:color="auto"/>
            <w:bottom w:val="none" w:sz="0" w:space="0" w:color="auto"/>
            <w:right w:val="none" w:sz="0" w:space="0" w:color="auto"/>
          </w:divBdr>
        </w:div>
        <w:div w:id="222256918">
          <w:marLeft w:val="0"/>
          <w:marRight w:val="0"/>
          <w:marTop w:val="0"/>
          <w:marBottom w:val="0"/>
          <w:divBdr>
            <w:top w:val="none" w:sz="0" w:space="0" w:color="auto"/>
            <w:left w:val="none" w:sz="0" w:space="0" w:color="auto"/>
            <w:bottom w:val="none" w:sz="0" w:space="0" w:color="auto"/>
            <w:right w:val="none" w:sz="0" w:space="0" w:color="auto"/>
          </w:divBdr>
        </w:div>
      </w:divsChild>
    </w:div>
    <w:div w:id="1683775583">
      <w:bodyDiv w:val="1"/>
      <w:marLeft w:val="0"/>
      <w:marRight w:val="0"/>
      <w:marTop w:val="0"/>
      <w:marBottom w:val="0"/>
      <w:divBdr>
        <w:top w:val="none" w:sz="0" w:space="0" w:color="auto"/>
        <w:left w:val="none" w:sz="0" w:space="0" w:color="auto"/>
        <w:bottom w:val="none" w:sz="0" w:space="0" w:color="auto"/>
        <w:right w:val="none" w:sz="0" w:space="0" w:color="auto"/>
      </w:divBdr>
    </w:div>
    <w:div w:id="1691907395">
      <w:bodyDiv w:val="1"/>
      <w:marLeft w:val="0"/>
      <w:marRight w:val="0"/>
      <w:marTop w:val="0"/>
      <w:marBottom w:val="0"/>
      <w:divBdr>
        <w:top w:val="none" w:sz="0" w:space="0" w:color="auto"/>
        <w:left w:val="none" w:sz="0" w:space="0" w:color="auto"/>
        <w:bottom w:val="none" w:sz="0" w:space="0" w:color="auto"/>
        <w:right w:val="none" w:sz="0" w:space="0" w:color="auto"/>
      </w:divBdr>
    </w:div>
    <w:div w:id="1754155689">
      <w:bodyDiv w:val="1"/>
      <w:marLeft w:val="0"/>
      <w:marRight w:val="0"/>
      <w:marTop w:val="0"/>
      <w:marBottom w:val="0"/>
      <w:divBdr>
        <w:top w:val="none" w:sz="0" w:space="0" w:color="auto"/>
        <w:left w:val="none" w:sz="0" w:space="0" w:color="auto"/>
        <w:bottom w:val="none" w:sz="0" w:space="0" w:color="auto"/>
        <w:right w:val="none" w:sz="0" w:space="0" w:color="auto"/>
      </w:divBdr>
    </w:div>
    <w:div w:id="1819109594">
      <w:bodyDiv w:val="1"/>
      <w:marLeft w:val="0"/>
      <w:marRight w:val="0"/>
      <w:marTop w:val="0"/>
      <w:marBottom w:val="0"/>
      <w:divBdr>
        <w:top w:val="none" w:sz="0" w:space="0" w:color="auto"/>
        <w:left w:val="none" w:sz="0" w:space="0" w:color="auto"/>
        <w:bottom w:val="none" w:sz="0" w:space="0" w:color="auto"/>
        <w:right w:val="none" w:sz="0" w:space="0" w:color="auto"/>
      </w:divBdr>
    </w:div>
    <w:div w:id="1939948211">
      <w:bodyDiv w:val="1"/>
      <w:marLeft w:val="0"/>
      <w:marRight w:val="0"/>
      <w:marTop w:val="0"/>
      <w:marBottom w:val="0"/>
      <w:divBdr>
        <w:top w:val="none" w:sz="0" w:space="0" w:color="auto"/>
        <w:left w:val="none" w:sz="0" w:space="0" w:color="auto"/>
        <w:bottom w:val="none" w:sz="0" w:space="0" w:color="auto"/>
        <w:right w:val="none" w:sz="0" w:space="0" w:color="auto"/>
      </w:divBdr>
    </w:div>
    <w:div w:id="19439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PowerPoint_Presentation1.pptx"/><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aer.gov.au/system/files/AER%20-%20Fact%20sheet%20-%20Final%20decision%20Ergon%20Energy%20distribution%20determination%20-%20October%202015_0.pdf" TargetMode="External"/><Relationship Id="rId3" Type="http://schemas.openxmlformats.org/officeDocument/2006/relationships/hyperlink" Target="http://www.ntc.gov.au/current-projects/options-to-improve-paygo/" TargetMode="External"/><Relationship Id="rId7" Type="http://schemas.openxmlformats.org/officeDocument/2006/relationships/hyperlink" Target="http://transportinfrastructurecouncil.gov.au/publications/heavy_vehicle_road_reform.aspx" TargetMode="External"/><Relationship Id="rId12" Type="http://schemas.openxmlformats.org/officeDocument/2006/relationships/hyperlink" Target="http://www.ntc.gov.au/Media/Reports/(9193209C-A24C-F252-1486-828DCDDC1F95).pdf" TargetMode="External"/><Relationship Id="rId2" Type="http://schemas.openxmlformats.org/officeDocument/2006/relationships/hyperlink" Target="http://transportinfrastructurecouncil.gov.au/communique/files/Council_4th_Communique_6_November_2015.pdf" TargetMode="External"/><Relationship Id="rId1" Type="http://schemas.openxmlformats.org/officeDocument/2006/relationships/hyperlink" Target="http://www.ntc.gov.au/Media/Reports/(D72A1250-2EA5-5377-2008-17FE01D3DC72).pdf" TargetMode="External"/><Relationship Id="rId6" Type="http://schemas.openxmlformats.org/officeDocument/2006/relationships/hyperlink" Target="http://www.pc.gov.au/inquiries/completed/gas/report/gas2.pdf" TargetMode="External"/><Relationship Id="rId11" Type="http://schemas.openxmlformats.org/officeDocument/2006/relationships/hyperlink" Target="https://www.mediastatements.wa.gov.au/Pages/Barnett/2016/03/Heavy-vehicle-registration-stickers-to-be-phased-out.aspx" TargetMode="External"/><Relationship Id="rId5" Type="http://schemas.openxmlformats.org/officeDocument/2006/relationships/hyperlink" Target="https://www.accc.gov.au/system/files/Working%20paper%20no.%204%20-%20Public%20utility%20regulation%20in%20Australia.pdf" TargetMode="External"/><Relationship Id="rId10" Type="http://schemas.openxmlformats.org/officeDocument/2006/relationships/hyperlink" Target="http://competitionpolicyreview.gov.au/files/2015/03/Competition-policy-review-report_online.pdf" TargetMode="External"/><Relationship Id="rId4" Type="http://schemas.openxmlformats.org/officeDocument/2006/relationships/hyperlink" Target="http://bitre.gov.au/publications/2015/files/BITRE_yearbook_2015_full_report.pdf" TargetMode="External"/><Relationship Id="rId9" Type="http://schemas.openxmlformats.org/officeDocument/2006/relationships/hyperlink" Target="http://www.pc.gov.au/inquiries/completed/infrastructure/repor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ATA-DC01\Administration_Common\Policy\2016\Projects\PAYGO%20discussion%20paper\Trucking%20industry%20EBIT%20margin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ATA-DC01\Administration_Common\Policy\2016\Projects\PAYGO%20discussion%20paper\Cost%20base%20model%20comparison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000" b="1" i="0" u="none" strike="noStrike" kern="1200" spc="0" baseline="0">
                <a:solidFill>
                  <a:schemeClr val="tx1">
                    <a:lumMod val="65000"/>
                    <a:lumOff val="35000"/>
                  </a:schemeClr>
                </a:solidFill>
                <a:latin typeface="+mn-lt"/>
                <a:ea typeface="+mn-ea"/>
                <a:cs typeface="+mn-cs"/>
              </a:defRPr>
            </a:pPr>
            <a:r>
              <a:rPr lang="en-US" sz="1000" b="1">
                <a:solidFill>
                  <a:sysClr val="windowText" lastClr="000000"/>
                </a:solidFill>
                <a:latin typeface="Arial" panose="020B0604020202020204" pitchFamily="34" charset="0"/>
                <a:cs typeface="Arial" panose="020B0604020202020204" pitchFamily="34" charset="0"/>
              </a:rPr>
              <a:t>Figure 1: Industry</a:t>
            </a:r>
            <a:r>
              <a:rPr lang="en-US" sz="1000" b="1" baseline="0">
                <a:solidFill>
                  <a:sysClr val="windowText" lastClr="000000"/>
                </a:solidFill>
                <a:latin typeface="Arial" panose="020B0604020202020204" pitchFamily="34" charset="0"/>
                <a:cs typeface="Arial" panose="020B0604020202020204" pitchFamily="34" charset="0"/>
              </a:rPr>
              <a:t> EBIT margins</a:t>
            </a:r>
            <a:endParaRPr lang="en-US" sz="10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5.536521675248607E-3"/>
          <c:y val="2.7777777777777776E-2"/>
        </c:manualLayout>
      </c:layout>
      <c:overlay val="0"/>
      <c:spPr>
        <a:noFill/>
        <a:ln>
          <a:noFill/>
        </a:ln>
        <a:effectLst/>
      </c:spPr>
      <c:txPr>
        <a:bodyPr rot="0" spcFirstLastPara="1" vertOverflow="ellipsis" vert="horz" wrap="square" anchor="ctr" anchorCtr="1"/>
        <a:lstStyle/>
        <a:p>
          <a:pPr algn="l">
            <a:defRPr sz="10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Top quartile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8.1999999999999993</c:v>
                </c:pt>
                <c:pt idx="1">
                  <c:v>12</c:v>
                </c:pt>
                <c:pt idx="2">
                  <c:v>11</c:v>
                </c:pt>
                <c:pt idx="3">
                  <c:v>8</c:v>
                </c:pt>
                <c:pt idx="4">
                  <c:v>8.6999999999999993</c:v>
                </c:pt>
              </c:numCache>
            </c:numRef>
          </c:val>
          <c:smooth val="0"/>
        </c:ser>
        <c:ser>
          <c:idx val="1"/>
          <c:order val="1"/>
          <c:tx>
            <c:strRef>
              <c:f>Sheet1!$C$1</c:f>
              <c:strCache>
                <c:ptCount val="1"/>
                <c:pt idx="0">
                  <c:v>Median quartile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Sheet1!$A$2:$A$6</c:f>
              <c:numCache>
                <c:formatCode>General</c:formatCode>
                <c:ptCount val="5"/>
                <c:pt idx="0">
                  <c:v>2011</c:v>
                </c:pt>
                <c:pt idx="1">
                  <c:v>2012</c:v>
                </c:pt>
                <c:pt idx="2">
                  <c:v>2013</c:v>
                </c:pt>
                <c:pt idx="3">
                  <c:v>2014</c:v>
                </c:pt>
                <c:pt idx="4">
                  <c:v>2015</c:v>
                </c:pt>
              </c:numCache>
            </c:numRef>
          </c:cat>
          <c:val>
            <c:numRef>
              <c:f>Sheet1!$C$2:$C$6</c:f>
              <c:numCache>
                <c:formatCode>General</c:formatCode>
                <c:ptCount val="5"/>
                <c:pt idx="0">
                  <c:v>5.5</c:v>
                </c:pt>
                <c:pt idx="1">
                  <c:v>6.8</c:v>
                </c:pt>
                <c:pt idx="2">
                  <c:v>6.3</c:v>
                </c:pt>
                <c:pt idx="3">
                  <c:v>5.0999999999999996</c:v>
                </c:pt>
                <c:pt idx="4">
                  <c:v>4.2</c:v>
                </c:pt>
              </c:numCache>
            </c:numRef>
          </c:val>
          <c:smooth val="0"/>
        </c:ser>
        <c:ser>
          <c:idx val="2"/>
          <c:order val="2"/>
          <c:tx>
            <c:strRef>
              <c:f>Sheet1!$D$1</c:f>
              <c:strCache>
                <c:ptCount val="1"/>
                <c:pt idx="0">
                  <c:v>Bottom quartile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Sheet1!$A$2:$A$6</c:f>
              <c:numCache>
                <c:formatCode>General</c:formatCode>
                <c:ptCount val="5"/>
                <c:pt idx="0">
                  <c:v>2011</c:v>
                </c:pt>
                <c:pt idx="1">
                  <c:v>2012</c:v>
                </c:pt>
                <c:pt idx="2">
                  <c:v>2013</c:v>
                </c:pt>
                <c:pt idx="3">
                  <c:v>2014</c:v>
                </c:pt>
                <c:pt idx="4">
                  <c:v>2015</c:v>
                </c:pt>
              </c:numCache>
            </c:numRef>
          </c:cat>
          <c:val>
            <c:numRef>
              <c:f>Sheet1!$D$2:$D$6</c:f>
              <c:numCache>
                <c:formatCode>General</c:formatCode>
                <c:ptCount val="5"/>
                <c:pt idx="0">
                  <c:v>2.9</c:v>
                </c:pt>
                <c:pt idx="1">
                  <c:v>3.1</c:v>
                </c:pt>
                <c:pt idx="2">
                  <c:v>4</c:v>
                </c:pt>
                <c:pt idx="3">
                  <c:v>1.2</c:v>
                </c:pt>
                <c:pt idx="4">
                  <c:v>-0.3</c:v>
                </c:pt>
              </c:numCache>
            </c:numRef>
          </c:val>
          <c:smooth val="0"/>
        </c:ser>
        <c:dLbls>
          <c:showLegendKey val="0"/>
          <c:showVal val="0"/>
          <c:showCatName val="0"/>
          <c:showSerName val="0"/>
          <c:showPercent val="0"/>
          <c:showBubbleSize val="0"/>
        </c:dLbls>
        <c:marker val="1"/>
        <c:smooth val="0"/>
        <c:axId val="162739024"/>
        <c:axId val="162795720"/>
      </c:lineChart>
      <c:catAx>
        <c:axId val="16273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2795720"/>
        <c:crosses val="autoZero"/>
        <c:auto val="1"/>
        <c:lblAlgn val="ctr"/>
        <c:lblOffset val="100"/>
        <c:noMultiLvlLbl val="0"/>
      </c:catAx>
      <c:valAx>
        <c:axId val="162795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Per cent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2739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AU" sz="1100" b="1">
                <a:solidFill>
                  <a:sysClr val="windowText" lastClr="000000"/>
                </a:solidFill>
                <a:latin typeface="Arial" panose="020B0604020202020204" pitchFamily="34" charset="0"/>
                <a:cs typeface="Arial" panose="020B0604020202020204" pitchFamily="34" charset="0"/>
              </a:rPr>
              <a:t>Figure 4: Indicative comparison of cost base models</a:t>
            </a:r>
          </a:p>
        </c:rich>
      </c:tx>
      <c:layout>
        <c:manualLayout>
          <c:xMode val="edge"/>
          <c:yMode val="edge"/>
          <c:x val="2.0122484689413987E-4"/>
          <c:y val="3.2407407407407406E-2"/>
        </c:manualLayout>
      </c:layout>
      <c:overlay val="0"/>
      <c:spPr>
        <a:noFill/>
        <a:ln>
          <a:noFill/>
        </a:ln>
        <a:effectLst/>
      </c:spPr>
      <c:txPr>
        <a:bodyPr rot="0" spcFirstLastPara="1" vertOverflow="ellipsis" vert="horz" wrap="square" anchor="ctr" anchorCtr="1"/>
        <a:lstStyle/>
        <a:p>
          <a:pPr algn="l">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1"/>
          <c:order val="0"/>
          <c:tx>
            <c:strRef>
              <c:f>Sheet1!$C$3</c:f>
              <c:strCache>
                <c:ptCount val="1"/>
                <c:pt idx="0">
                  <c:v>NTC base case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Sheet1!$A$4:$A$8</c:f>
              <c:strCache>
                <c:ptCount val="5"/>
                <c:pt idx="0">
                  <c:v>2014-15</c:v>
                </c:pt>
                <c:pt idx="1">
                  <c:v>2015-16</c:v>
                </c:pt>
                <c:pt idx="2">
                  <c:v>2016-17</c:v>
                </c:pt>
                <c:pt idx="3">
                  <c:v>2017-18</c:v>
                </c:pt>
                <c:pt idx="4">
                  <c:v>2018-19</c:v>
                </c:pt>
              </c:strCache>
            </c:strRef>
          </c:cat>
          <c:val>
            <c:numRef>
              <c:f>Sheet1!$C$4:$C$8</c:f>
              <c:numCache>
                <c:formatCode>General</c:formatCode>
                <c:ptCount val="5"/>
                <c:pt idx="0">
                  <c:v>3002</c:v>
                </c:pt>
                <c:pt idx="1">
                  <c:v>2995</c:v>
                </c:pt>
                <c:pt idx="2">
                  <c:v>2930</c:v>
                </c:pt>
                <c:pt idx="3">
                  <c:v>2915</c:v>
                </c:pt>
                <c:pt idx="4">
                  <c:v>2938</c:v>
                </c:pt>
              </c:numCache>
            </c:numRef>
          </c:val>
          <c:smooth val="0"/>
        </c:ser>
        <c:ser>
          <c:idx val="2"/>
          <c:order val="1"/>
          <c:tx>
            <c:strRef>
              <c:f>Sheet1!$D$3</c:f>
              <c:strCache>
                <c:ptCount val="1"/>
                <c:pt idx="0">
                  <c:v>2+5 EMA7</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Sheet1!$A$4:$A$8</c:f>
              <c:strCache>
                <c:ptCount val="5"/>
                <c:pt idx="0">
                  <c:v>2014-15</c:v>
                </c:pt>
                <c:pt idx="1">
                  <c:v>2015-16</c:v>
                </c:pt>
                <c:pt idx="2">
                  <c:v>2016-17</c:v>
                </c:pt>
                <c:pt idx="3">
                  <c:v>2017-18</c:v>
                </c:pt>
                <c:pt idx="4">
                  <c:v>2018-19</c:v>
                </c:pt>
              </c:strCache>
            </c:strRef>
          </c:cat>
          <c:val>
            <c:numRef>
              <c:f>Sheet1!$D$4:$D$8</c:f>
              <c:numCache>
                <c:formatCode>General</c:formatCode>
                <c:ptCount val="5"/>
                <c:pt idx="0">
                  <c:v>3017</c:v>
                </c:pt>
                <c:pt idx="1">
                  <c:v>3037</c:v>
                </c:pt>
                <c:pt idx="2">
                  <c:v>3007</c:v>
                </c:pt>
                <c:pt idx="3">
                  <c:v>2978</c:v>
                </c:pt>
                <c:pt idx="4">
                  <c:v>2960</c:v>
                </c:pt>
              </c:numCache>
            </c:numRef>
          </c:val>
          <c:smooth val="0"/>
        </c:ser>
        <c:dLbls>
          <c:showLegendKey val="0"/>
          <c:showVal val="0"/>
          <c:showCatName val="0"/>
          <c:showSerName val="0"/>
          <c:showPercent val="0"/>
          <c:showBubbleSize val="0"/>
        </c:dLbls>
        <c:marker val="1"/>
        <c:smooth val="0"/>
        <c:axId val="162105776"/>
        <c:axId val="161234192"/>
      </c:lineChart>
      <c:catAx>
        <c:axId val="16210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1234192"/>
        <c:crosses val="autoZero"/>
        <c:auto val="1"/>
        <c:lblAlgn val="ctr"/>
        <c:lblOffset val="100"/>
        <c:noMultiLvlLbl val="0"/>
      </c:catAx>
      <c:valAx>
        <c:axId val="161234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sz="900">
                    <a:solidFill>
                      <a:sysClr val="windowText" lastClr="000000"/>
                    </a:solidFill>
                    <a:latin typeface="Arial" panose="020B0604020202020204" pitchFamily="34" charset="0"/>
                    <a:cs typeface="Arial" panose="020B0604020202020204" pitchFamily="34" charset="0"/>
                  </a:rPr>
                  <a:t>$ million</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21057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3C9DF-CB56-4CDC-A059-2398E553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5888</Words>
  <Characters>32730</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2016-06-29T06:21:00Z</dcterms:created>
  <dcterms:modified xsi:type="dcterms:W3CDTF">2016-07-31T23:10:00Z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