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60"/>
        <w:gridCol w:w="6379"/>
      </w:tblGrid>
      <w:tr w:rsidR="00D735FF" w:rsidRPr="003A745E" w:rsidTr="000156D1">
        <w:trPr>
          <w:trHeight w:val="756"/>
        </w:trPr>
        <w:tc>
          <w:tcPr>
            <w:tcW w:w="2660" w:type="dxa"/>
            <w:vAlign w:val="center"/>
          </w:tcPr>
          <w:p w:rsidR="00D735FF" w:rsidRPr="003A745E" w:rsidRDefault="00D735FF" w:rsidP="008579D7">
            <w:pPr>
              <w:pStyle w:val="Header"/>
              <w:rPr>
                <w:rFonts w:asciiTheme="minorHAnsi" w:hAnsiTheme="minorHAnsi" w:cs="Arial"/>
                <w:b/>
                <w:sz w:val="28"/>
              </w:rPr>
            </w:pPr>
            <w:r w:rsidRPr="003A745E">
              <w:rPr>
                <w:rFonts w:asciiTheme="minorHAnsi" w:hAnsiTheme="minorHAnsi" w:cs="Arial"/>
                <w:b/>
                <w:sz w:val="28"/>
              </w:rPr>
              <w:t>Submission to:</w:t>
            </w:r>
          </w:p>
        </w:tc>
        <w:tc>
          <w:tcPr>
            <w:tcW w:w="6379" w:type="dxa"/>
            <w:vAlign w:val="center"/>
          </w:tcPr>
          <w:p w:rsidR="00D735FF" w:rsidRPr="003A745E" w:rsidRDefault="00EA3322" w:rsidP="008579D7">
            <w:pPr>
              <w:pStyle w:val="Header"/>
              <w:rPr>
                <w:rFonts w:asciiTheme="minorHAnsi" w:hAnsiTheme="minorHAnsi" w:cs="Arial"/>
                <w:sz w:val="28"/>
              </w:rPr>
            </w:pPr>
            <w:r w:rsidRPr="003A745E">
              <w:rPr>
                <w:rFonts w:asciiTheme="minorHAnsi" w:hAnsiTheme="minorHAnsi" w:cs="Arial"/>
                <w:sz w:val="28"/>
              </w:rPr>
              <w:t>The</w:t>
            </w:r>
            <w:r w:rsidR="00A00DD8" w:rsidRPr="003A745E">
              <w:rPr>
                <w:rFonts w:asciiTheme="minorHAnsi" w:hAnsiTheme="minorHAnsi" w:cs="Arial"/>
                <w:sz w:val="28"/>
              </w:rPr>
              <w:t xml:space="preserve"> National Transport Commission</w:t>
            </w:r>
            <w:r w:rsidRPr="003A745E">
              <w:rPr>
                <w:rFonts w:asciiTheme="minorHAnsi" w:hAnsiTheme="minorHAnsi" w:cs="Arial"/>
                <w:sz w:val="28"/>
              </w:rPr>
              <w:t xml:space="preserve"> </w:t>
            </w:r>
          </w:p>
        </w:tc>
      </w:tr>
      <w:tr w:rsidR="00D735FF" w:rsidRPr="003A745E" w:rsidTr="000156D1">
        <w:trPr>
          <w:trHeight w:val="756"/>
        </w:trPr>
        <w:tc>
          <w:tcPr>
            <w:tcW w:w="2660" w:type="dxa"/>
            <w:vAlign w:val="center"/>
          </w:tcPr>
          <w:p w:rsidR="00D735FF" w:rsidRPr="003A745E" w:rsidRDefault="00D735FF" w:rsidP="008579D7">
            <w:pPr>
              <w:pStyle w:val="Header"/>
              <w:rPr>
                <w:rFonts w:asciiTheme="minorHAnsi" w:hAnsiTheme="minorHAnsi" w:cs="Arial"/>
                <w:b/>
                <w:sz w:val="28"/>
              </w:rPr>
            </w:pPr>
            <w:r w:rsidRPr="003A745E">
              <w:rPr>
                <w:rFonts w:asciiTheme="minorHAnsi" w:hAnsiTheme="minorHAnsi" w:cs="Arial"/>
                <w:b/>
                <w:sz w:val="28"/>
              </w:rPr>
              <w:t>Title:</w:t>
            </w:r>
          </w:p>
        </w:tc>
        <w:tc>
          <w:tcPr>
            <w:tcW w:w="6379" w:type="dxa"/>
            <w:vAlign w:val="center"/>
          </w:tcPr>
          <w:p w:rsidR="00D735FF" w:rsidRPr="003A745E" w:rsidRDefault="00A00DD8" w:rsidP="008579D7">
            <w:pPr>
              <w:pStyle w:val="Header"/>
              <w:rPr>
                <w:rFonts w:asciiTheme="minorHAnsi" w:hAnsiTheme="minorHAnsi" w:cs="Arial"/>
                <w:sz w:val="28"/>
              </w:rPr>
            </w:pPr>
            <w:r w:rsidRPr="003A745E">
              <w:rPr>
                <w:rFonts w:asciiTheme="minorHAnsi" w:hAnsiTheme="minorHAnsi" w:cs="Arial"/>
                <w:sz w:val="28"/>
              </w:rPr>
              <w:t>Australian Vehicle Standards Rules 8</w:t>
            </w:r>
            <w:r w:rsidRPr="003A745E">
              <w:rPr>
                <w:rFonts w:asciiTheme="minorHAnsi" w:hAnsiTheme="minorHAnsi" w:cs="Arial"/>
                <w:sz w:val="28"/>
                <w:vertAlign w:val="superscript"/>
              </w:rPr>
              <w:t>th</w:t>
            </w:r>
            <w:r w:rsidRPr="003A745E">
              <w:rPr>
                <w:rFonts w:asciiTheme="minorHAnsi" w:hAnsiTheme="minorHAnsi" w:cs="Arial"/>
                <w:sz w:val="28"/>
              </w:rPr>
              <w:t xml:space="preserve"> Amendment Package: Explanation of Amendments. </w:t>
            </w:r>
            <w:r w:rsidR="00EA3322" w:rsidRPr="003A745E">
              <w:rPr>
                <w:rFonts w:asciiTheme="minorHAnsi" w:hAnsiTheme="minorHAnsi" w:cs="Arial"/>
                <w:sz w:val="28"/>
              </w:rPr>
              <w:t xml:space="preserve"> </w:t>
            </w:r>
          </w:p>
        </w:tc>
      </w:tr>
      <w:tr w:rsidR="00D735FF" w:rsidRPr="003A745E" w:rsidTr="000156D1">
        <w:trPr>
          <w:trHeight w:val="756"/>
        </w:trPr>
        <w:tc>
          <w:tcPr>
            <w:tcW w:w="2660" w:type="dxa"/>
            <w:vAlign w:val="center"/>
          </w:tcPr>
          <w:p w:rsidR="00D735FF" w:rsidRPr="003A745E" w:rsidRDefault="00D735FF" w:rsidP="008579D7">
            <w:pPr>
              <w:pStyle w:val="Header"/>
              <w:rPr>
                <w:rFonts w:asciiTheme="minorHAnsi" w:hAnsiTheme="minorHAnsi" w:cs="Arial"/>
                <w:b/>
                <w:sz w:val="28"/>
              </w:rPr>
            </w:pPr>
            <w:r w:rsidRPr="003A745E">
              <w:rPr>
                <w:rFonts w:asciiTheme="minorHAnsi" w:hAnsiTheme="minorHAnsi" w:cs="Arial"/>
                <w:b/>
                <w:sz w:val="28"/>
              </w:rPr>
              <w:t>Date:</w:t>
            </w:r>
          </w:p>
        </w:tc>
        <w:tc>
          <w:tcPr>
            <w:tcW w:w="6379" w:type="dxa"/>
            <w:vAlign w:val="center"/>
          </w:tcPr>
          <w:p w:rsidR="00D735FF" w:rsidRPr="003A745E" w:rsidRDefault="00FC10C4" w:rsidP="008579D7">
            <w:pPr>
              <w:pStyle w:val="Head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 xml:space="preserve">20 February 2014 </w:t>
            </w:r>
          </w:p>
        </w:tc>
      </w:tr>
    </w:tbl>
    <w:p w:rsidR="00D735FF" w:rsidRPr="003A745E" w:rsidRDefault="00D735FF" w:rsidP="008579D7">
      <w:pPr>
        <w:pStyle w:val="Header"/>
        <w:rPr>
          <w:rFonts w:asciiTheme="minorHAnsi" w:hAnsiTheme="minorHAnsi" w:cs="Arial"/>
        </w:rPr>
      </w:pPr>
    </w:p>
    <w:p w:rsidR="00D735FF" w:rsidRPr="003A745E" w:rsidRDefault="00D735FF" w:rsidP="008579D7">
      <w:pPr>
        <w:pStyle w:val="Header"/>
        <w:rPr>
          <w:rFonts w:asciiTheme="minorHAnsi" w:hAnsiTheme="minorHAnsi" w:cs="Arial"/>
        </w:rPr>
      </w:pPr>
    </w:p>
    <w:p w:rsidR="00576ED0" w:rsidRPr="003A745E" w:rsidRDefault="00576ED0" w:rsidP="008579D7">
      <w:pPr>
        <w:pStyle w:val="Header"/>
        <w:rPr>
          <w:rFonts w:asciiTheme="minorHAnsi" w:hAnsiTheme="minorHAnsi" w:cs="Arial"/>
        </w:rPr>
      </w:pPr>
    </w:p>
    <w:p w:rsidR="00576ED0" w:rsidRPr="003A745E" w:rsidRDefault="00576ED0" w:rsidP="008579D7">
      <w:pPr>
        <w:rPr>
          <w:rFonts w:asciiTheme="minorHAnsi" w:hAnsiTheme="minorHAnsi" w:cs="Arial"/>
        </w:rPr>
        <w:sectPr w:rsidR="00576ED0" w:rsidRPr="003A745E" w:rsidSect="005F5A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3" w:right="1133" w:bottom="1418" w:left="1134" w:header="851" w:footer="651" w:gutter="0"/>
          <w:cols w:space="708"/>
          <w:docGrid w:linePitch="360"/>
        </w:sectPr>
      </w:pPr>
    </w:p>
    <w:p w:rsidR="00576ED0" w:rsidRPr="003A745E" w:rsidRDefault="00576ED0" w:rsidP="008579D7">
      <w:pPr>
        <w:rPr>
          <w:rFonts w:asciiTheme="minorHAnsi" w:hAnsiTheme="minorHAnsi" w:cs="Arial"/>
        </w:rPr>
      </w:pPr>
    </w:p>
    <w:p w:rsidR="0035493A" w:rsidRPr="003A745E" w:rsidRDefault="0035493A" w:rsidP="008579D7">
      <w:pPr>
        <w:rPr>
          <w:rFonts w:asciiTheme="minorHAnsi" w:hAnsiTheme="minorHAnsi" w:cs="Arial"/>
        </w:rPr>
      </w:pPr>
    </w:p>
    <w:p w:rsidR="0035493A" w:rsidRPr="003A745E" w:rsidRDefault="0035493A" w:rsidP="008579D7">
      <w:pPr>
        <w:rPr>
          <w:rFonts w:asciiTheme="minorHAnsi" w:hAnsiTheme="minorHAnsi" w:cs="Arial"/>
        </w:rPr>
      </w:pPr>
    </w:p>
    <w:p w:rsidR="0035493A" w:rsidRPr="003A745E" w:rsidRDefault="0035493A" w:rsidP="008579D7">
      <w:pPr>
        <w:rPr>
          <w:rFonts w:asciiTheme="minorHAnsi" w:hAnsiTheme="minorHAnsi" w:cs="Arial"/>
        </w:rPr>
      </w:pPr>
    </w:p>
    <w:p w:rsidR="0035493A" w:rsidRPr="003A745E" w:rsidRDefault="0035493A" w:rsidP="008579D7">
      <w:pPr>
        <w:rPr>
          <w:rFonts w:asciiTheme="minorHAnsi" w:hAnsiTheme="minorHAnsi" w:cs="Arial"/>
        </w:rPr>
      </w:pPr>
    </w:p>
    <w:p w:rsidR="0035493A" w:rsidRPr="003A745E" w:rsidRDefault="003B74E4" w:rsidP="008579D7">
      <w:pPr>
        <w:rPr>
          <w:rFonts w:asciiTheme="minorHAnsi" w:hAnsiTheme="minorHAnsi" w:cs="Arial"/>
          <w:b/>
          <w:color w:val="000064"/>
        </w:rPr>
      </w:pPr>
      <w:r w:rsidRPr="003A745E">
        <w:rPr>
          <w:rFonts w:asciiTheme="minorHAnsi" w:hAnsiTheme="minorHAnsi" w:cs="Arial"/>
          <w:b/>
          <w:color w:val="000064"/>
          <w:sz w:val="28"/>
        </w:rPr>
        <w:t>Contents</w:t>
      </w:r>
    </w:p>
    <w:p w:rsidR="00576ED0" w:rsidRPr="003A745E" w:rsidRDefault="00576ED0" w:rsidP="008579D7">
      <w:pPr>
        <w:rPr>
          <w:rFonts w:asciiTheme="minorHAnsi" w:hAnsiTheme="minorHAnsi" w:cs="Arial"/>
        </w:rPr>
      </w:pPr>
    </w:p>
    <w:p w:rsidR="009B0520" w:rsidRPr="003A745E" w:rsidRDefault="009B0520" w:rsidP="008579D7">
      <w:pPr>
        <w:rPr>
          <w:rFonts w:asciiTheme="minorHAnsi" w:hAnsiTheme="minorHAnsi" w:cs="Arial"/>
        </w:rPr>
      </w:pPr>
    </w:p>
    <w:p w:rsidR="001A40FE" w:rsidRPr="003A745E" w:rsidRDefault="00D856AA" w:rsidP="008579D7">
      <w:pPr>
        <w:pStyle w:val="TOC1"/>
        <w:tabs>
          <w:tab w:val="left" w:pos="442"/>
        </w:tabs>
        <w:spacing w:before="0" w:after="0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3A745E">
        <w:rPr>
          <w:rFonts w:asciiTheme="minorHAnsi" w:hAnsiTheme="minorHAnsi"/>
          <w:b w:val="0"/>
          <w:sz w:val="22"/>
          <w:szCs w:val="22"/>
        </w:rPr>
        <w:fldChar w:fldCharType="begin"/>
      </w:r>
      <w:r w:rsidR="00BD49FC" w:rsidRPr="003A745E">
        <w:rPr>
          <w:rFonts w:asciiTheme="minorHAnsi" w:hAnsiTheme="minorHAnsi"/>
          <w:b w:val="0"/>
          <w:sz w:val="22"/>
          <w:szCs w:val="22"/>
        </w:rPr>
        <w:instrText xml:space="preserve"> TOC \o "1-2" \t "ATA Heading 2,2" </w:instrText>
      </w:r>
      <w:r w:rsidRPr="003A745E">
        <w:rPr>
          <w:rFonts w:asciiTheme="minorHAnsi" w:hAnsiTheme="minorHAnsi"/>
          <w:b w:val="0"/>
          <w:sz w:val="22"/>
          <w:szCs w:val="22"/>
        </w:rPr>
        <w:fldChar w:fldCharType="separate"/>
      </w:r>
      <w:r w:rsidR="001A40FE" w:rsidRPr="003A745E">
        <w:rPr>
          <w:rFonts w:asciiTheme="minorHAnsi" w:hAnsiTheme="minorHAnsi" w:cs="Times New Roman"/>
          <w:b w:val="0"/>
          <w:sz w:val="22"/>
          <w:szCs w:val="22"/>
        </w:rPr>
        <w:t>1.</w:t>
      </w:r>
      <w:r w:rsidR="001A40FE" w:rsidRPr="003A745E"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="001A40FE" w:rsidRPr="003A745E">
        <w:rPr>
          <w:rFonts w:asciiTheme="minorHAnsi" w:hAnsiTheme="minorHAnsi"/>
          <w:b w:val="0"/>
          <w:sz w:val="22"/>
          <w:szCs w:val="22"/>
        </w:rPr>
        <w:t>Introduction</w:t>
      </w:r>
      <w:r w:rsidR="001A40FE" w:rsidRPr="003A745E">
        <w:rPr>
          <w:rFonts w:asciiTheme="minorHAnsi" w:hAnsiTheme="minorHAnsi"/>
          <w:b w:val="0"/>
          <w:sz w:val="22"/>
          <w:szCs w:val="22"/>
        </w:rPr>
        <w:tab/>
      </w:r>
      <w:r w:rsidRPr="003A745E">
        <w:rPr>
          <w:rFonts w:asciiTheme="minorHAnsi" w:hAnsiTheme="minorHAnsi"/>
          <w:b w:val="0"/>
          <w:sz w:val="22"/>
          <w:szCs w:val="22"/>
        </w:rPr>
        <w:fldChar w:fldCharType="begin"/>
      </w:r>
      <w:r w:rsidR="001A40FE" w:rsidRPr="003A745E">
        <w:rPr>
          <w:rFonts w:asciiTheme="minorHAnsi" w:hAnsiTheme="minorHAnsi"/>
          <w:b w:val="0"/>
          <w:sz w:val="22"/>
          <w:szCs w:val="22"/>
        </w:rPr>
        <w:instrText xml:space="preserve"> PAGEREF _Toc378931965 \h </w:instrText>
      </w:r>
      <w:r w:rsidRPr="003A745E">
        <w:rPr>
          <w:rFonts w:asciiTheme="minorHAnsi" w:hAnsiTheme="minorHAnsi"/>
          <w:b w:val="0"/>
          <w:sz w:val="22"/>
          <w:szCs w:val="22"/>
        </w:rPr>
      </w:r>
      <w:r w:rsidRPr="003A745E">
        <w:rPr>
          <w:rFonts w:asciiTheme="minorHAnsi" w:hAnsiTheme="minorHAnsi"/>
          <w:b w:val="0"/>
          <w:sz w:val="22"/>
          <w:szCs w:val="22"/>
        </w:rPr>
        <w:fldChar w:fldCharType="separate"/>
      </w:r>
      <w:r w:rsidR="001A40FE" w:rsidRPr="003A745E">
        <w:rPr>
          <w:rFonts w:asciiTheme="minorHAnsi" w:hAnsiTheme="minorHAnsi"/>
          <w:b w:val="0"/>
          <w:sz w:val="22"/>
          <w:szCs w:val="22"/>
        </w:rPr>
        <w:t>3</w:t>
      </w:r>
      <w:r w:rsidRPr="003A745E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1A40FE" w:rsidRPr="003A745E" w:rsidRDefault="001A40FE" w:rsidP="008579D7">
      <w:pPr>
        <w:pStyle w:val="TOC1"/>
        <w:tabs>
          <w:tab w:val="left" w:pos="442"/>
        </w:tabs>
        <w:spacing w:before="0" w:after="0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3A745E">
        <w:rPr>
          <w:rFonts w:asciiTheme="minorHAnsi" w:hAnsiTheme="minorHAnsi" w:cs="Times New Roman"/>
          <w:b w:val="0"/>
          <w:sz w:val="22"/>
          <w:szCs w:val="22"/>
        </w:rPr>
        <w:t>2.</w:t>
      </w:r>
      <w:r w:rsidRPr="003A745E"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Pr="003A745E">
        <w:rPr>
          <w:rFonts w:asciiTheme="minorHAnsi" w:hAnsiTheme="minorHAnsi"/>
          <w:b w:val="0"/>
          <w:sz w:val="22"/>
          <w:szCs w:val="22"/>
        </w:rPr>
        <w:t>Australian Trucking Association</w:t>
      </w:r>
      <w:r w:rsidRPr="003A745E">
        <w:rPr>
          <w:rFonts w:asciiTheme="minorHAnsi" w:hAnsiTheme="minorHAnsi"/>
          <w:b w:val="0"/>
          <w:sz w:val="22"/>
          <w:szCs w:val="22"/>
        </w:rPr>
        <w:tab/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begin"/>
      </w:r>
      <w:r w:rsidRPr="003A745E">
        <w:rPr>
          <w:rFonts w:asciiTheme="minorHAnsi" w:hAnsiTheme="minorHAnsi"/>
          <w:b w:val="0"/>
          <w:sz w:val="22"/>
          <w:szCs w:val="22"/>
        </w:rPr>
        <w:instrText xml:space="preserve"> PAGEREF _Toc378931966 \h </w:instrText>
      </w:r>
      <w:r w:rsidR="00D856AA" w:rsidRPr="003A745E">
        <w:rPr>
          <w:rFonts w:asciiTheme="minorHAnsi" w:hAnsiTheme="minorHAnsi"/>
          <w:b w:val="0"/>
          <w:sz w:val="22"/>
          <w:szCs w:val="22"/>
        </w:rPr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3A745E">
        <w:rPr>
          <w:rFonts w:asciiTheme="minorHAnsi" w:hAnsiTheme="minorHAnsi"/>
          <w:b w:val="0"/>
          <w:sz w:val="22"/>
          <w:szCs w:val="22"/>
        </w:rPr>
        <w:t>3</w:t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1A40FE" w:rsidRPr="003A745E" w:rsidRDefault="001A40FE" w:rsidP="008579D7">
      <w:pPr>
        <w:pStyle w:val="TOC1"/>
        <w:tabs>
          <w:tab w:val="left" w:pos="442"/>
        </w:tabs>
        <w:spacing w:before="0" w:after="0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3A745E">
        <w:rPr>
          <w:rFonts w:asciiTheme="minorHAnsi" w:hAnsiTheme="minorHAnsi" w:cs="Times New Roman"/>
          <w:b w:val="0"/>
          <w:sz w:val="22"/>
          <w:szCs w:val="22"/>
        </w:rPr>
        <w:t>3.</w:t>
      </w:r>
      <w:r w:rsidRPr="003A745E"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Pr="003A745E">
        <w:rPr>
          <w:rFonts w:asciiTheme="minorHAnsi" w:hAnsiTheme="minorHAnsi"/>
          <w:b w:val="0"/>
          <w:sz w:val="22"/>
          <w:szCs w:val="22"/>
        </w:rPr>
        <w:t>Recommendations</w:t>
      </w:r>
      <w:r w:rsidRPr="003A745E">
        <w:rPr>
          <w:rFonts w:asciiTheme="minorHAnsi" w:hAnsiTheme="minorHAnsi"/>
          <w:b w:val="0"/>
          <w:sz w:val="22"/>
          <w:szCs w:val="22"/>
        </w:rPr>
        <w:tab/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begin"/>
      </w:r>
      <w:r w:rsidRPr="003A745E">
        <w:rPr>
          <w:rFonts w:asciiTheme="minorHAnsi" w:hAnsiTheme="minorHAnsi"/>
          <w:b w:val="0"/>
          <w:sz w:val="22"/>
          <w:szCs w:val="22"/>
        </w:rPr>
        <w:instrText xml:space="preserve"> PAGEREF _Toc378931967 \h </w:instrText>
      </w:r>
      <w:r w:rsidR="00D856AA" w:rsidRPr="003A745E">
        <w:rPr>
          <w:rFonts w:asciiTheme="minorHAnsi" w:hAnsiTheme="minorHAnsi"/>
          <w:b w:val="0"/>
          <w:sz w:val="22"/>
          <w:szCs w:val="22"/>
        </w:rPr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3A745E">
        <w:rPr>
          <w:rFonts w:asciiTheme="minorHAnsi" w:hAnsiTheme="minorHAnsi"/>
          <w:b w:val="0"/>
          <w:sz w:val="22"/>
          <w:szCs w:val="22"/>
        </w:rPr>
        <w:t>3</w:t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1A40FE" w:rsidRPr="003A745E" w:rsidRDefault="001A40FE" w:rsidP="008579D7">
      <w:pPr>
        <w:pStyle w:val="TOC1"/>
        <w:tabs>
          <w:tab w:val="left" w:pos="442"/>
        </w:tabs>
        <w:spacing w:before="0" w:after="0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3A745E">
        <w:rPr>
          <w:rFonts w:asciiTheme="minorHAnsi" w:hAnsiTheme="minorHAnsi" w:cs="Times New Roman"/>
          <w:b w:val="0"/>
          <w:sz w:val="22"/>
          <w:szCs w:val="22"/>
        </w:rPr>
        <w:t>4.</w:t>
      </w:r>
      <w:r w:rsidRPr="003A745E"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Pr="003A745E">
        <w:rPr>
          <w:rFonts w:asciiTheme="minorHAnsi" w:hAnsiTheme="minorHAnsi"/>
          <w:b w:val="0"/>
          <w:sz w:val="22"/>
          <w:szCs w:val="22"/>
        </w:rPr>
        <w:t>Proposed amendments</w:t>
      </w:r>
      <w:r w:rsidRPr="003A745E">
        <w:rPr>
          <w:rFonts w:asciiTheme="minorHAnsi" w:hAnsiTheme="minorHAnsi"/>
          <w:b w:val="0"/>
          <w:sz w:val="22"/>
          <w:szCs w:val="22"/>
        </w:rPr>
        <w:tab/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begin"/>
      </w:r>
      <w:r w:rsidRPr="003A745E">
        <w:rPr>
          <w:rFonts w:asciiTheme="minorHAnsi" w:hAnsiTheme="minorHAnsi"/>
          <w:b w:val="0"/>
          <w:sz w:val="22"/>
          <w:szCs w:val="22"/>
        </w:rPr>
        <w:instrText xml:space="preserve"> PAGEREF _Toc378931968 \h </w:instrText>
      </w:r>
      <w:r w:rsidR="00D856AA" w:rsidRPr="003A745E">
        <w:rPr>
          <w:rFonts w:asciiTheme="minorHAnsi" w:hAnsiTheme="minorHAnsi"/>
          <w:b w:val="0"/>
          <w:sz w:val="22"/>
          <w:szCs w:val="22"/>
        </w:rPr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3A745E">
        <w:rPr>
          <w:rFonts w:asciiTheme="minorHAnsi" w:hAnsiTheme="minorHAnsi"/>
          <w:b w:val="0"/>
          <w:sz w:val="22"/>
          <w:szCs w:val="22"/>
        </w:rPr>
        <w:t>3</w:t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1A40FE" w:rsidRPr="003A745E" w:rsidRDefault="001A40FE" w:rsidP="008579D7">
      <w:pPr>
        <w:pStyle w:val="TOC1"/>
        <w:tabs>
          <w:tab w:val="left" w:pos="660"/>
        </w:tabs>
        <w:spacing w:before="0" w:after="0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3A745E">
        <w:rPr>
          <w:rFonts w:asciiTheme="minorHAnsi" w:hAnsiTheme="minorHAnsi"/>
          <w:b w:val="0"/>
          <w:sz w:val="22"/>
          <w:szCs w:val="22"/>
        </w:rPr>
        <w:tab/>
        <w:t>4.1 Consistency with the Heavy Vehicle National Regulation</w:t>
      </w:r>
      <w:r w:rsidRPr="003A745E">
        <w:rPr>
          <w:rFonts w:asciiTheme="minorHAnsi" w:hAnsiTheme="minorHAnsi"/>
          <w:b w:val="0"/>
          <w:sz w:val="22"/>
          <w:szCs w:val="22"/>
        </w:rPr>
        <w:tab/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begin"/>
      </w:r>
      <w:r w:rsidRPr="003A745E">
        <w:rPr>
          <w:rFonts w:asciiTheme="minorHAnsi" w:hAnsiTheme="minorHAnsi"/>
          <w:b w:val="0"/>
          <w:sz w:val="22"/>
          <w:szCs w:val="22"/>
        </w:rPr>
        <w:instrText xml:space="preserve"> PAGEREF _Toc378931969 \h </w:instrText>
      </w:r>
      <w:r w:rsidR="00D856AA" w:rsidRPr="003A745E">
        <w:rPr>
          <w:rFonts w:asciiTheme="minorHAnsi" w:hAnsiTheme="minorHAnsi"/>
          <w:b w:val="0"/>
          <w:sz w:val="22"/>
          <w:szCs w:val="22"/>
        </w:rPr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3A745E">
        <w:rPr>
          <w:rFonts w:asciiTheme="minorHAnsi" w:hAnsiTheme="minorHAnsi"/>
          <w:b w:val="0"/>
          <w:sz w:val="22"/>
          <w:szCs w:val="22"/>
        </w:rPr>
        <w:t>3</w:t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1A40FE" w:rsidRPr="003A745E" w:rsidRDefault="001A40FE" w:rsidP="008579D7">
      <w:pPr>
        <w:pStyle w:val="TOC1"/>
        <w:tabs>
          <w:tab w:val="left" w:pos="660"/>
        </w:tabs>
        <w:spacing w:before="0" w:after="0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3A745E">
        <w:rPr>
          <w:rFonts w:asciiTheme="minorHAnsi" w:hAnsiTheme="minorHAnsi"/>
          <w:b w:val="0"/>
          <w:sz w:val="22"/>
          <w:szCs w:val="22"/>
        </w:rPr>
        <w:tab/>
        <w:t>4.2 Policy Changes</w:t>
      </w:r>
      <w:r w:rsidRPr="003A745E">
        <w:rPr>
          <w:rFonts w:asciiTheme="minorHAnsi" w:hAnsiTheme="minorHAnsi"/>
          <w:b w:val="0"/>
          <w:sz w:val="22"/>
          <w:szCs w:val="22"/>
        </w:rPr>
        <w:tab/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begin"/>
      </w:r>
      <w:r w:rsidRPr="003A745E">
        <w:rPr>
          <w:rFonts w:asciiTheme="minorHAnsi" w:hAnsiTheme="minorHAnsi"/>
          <w:b w:val="0"/>
          <w:sz w:val="22"/>
          <w:szCs w:val="22"/>
        </w:rPr>
        <w:instrText xml:space="preserve"> PAGEREF _Toc378931970 \h </w:instrText>
      </w:r>
      <w:r w:rsidR="00D856AA" w:rsidRPr="003A745E">
        <w:rPr>
          <w:rFonts w:asciiTheme="minorHAnsi" w:hAnsiTheme="minorHAnsi"/>
          <w:b w:val="0"/>
          <w:sz w:val="22"/>
          <w:szCs w:val="22"/>
        </w:rPr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3A745E">
        <w:rPr>
          <w:rFonts w:asciiTheme="minorHAnsi" w:hAnsiTheme="minorHAnsi"/>
          <w:b w:val="0"/>
          <w:sz w:val="22"/>
          <w:szCs w:val="22"/>
        </w:rPr>
        <w:t>4</w:t>
      </w:r>
      <w:r w:rsidR="00D856AA" w:rsidRPr="003A745E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241C15" w:rsidRPr="003A745E" w:rsidRDefault="00D856AA" w:rsidP="008579D7">
      <w:pPr>
        <w:tabs>
          <w:tab w:val="right" w:leader="dot" w:pos="9645"/>
        </w:tabs>
        <w:rPr>
          <w:rFonts w:asciiTheme="minorHAnsi" w:hAnsiTheme="minorHAnsi" w:cs="Arial"/>
        </w:rPr>
      </w:pPr>
      <w:r w:rsidRPr="003A745E">
        <w:rPr>
          <w:rFonts w:asciiTheme="minorHAnsi" w:hAnsiTheme="minorHAnsi" w:cs="Arial"/>
          <w:noProof/>
        </w:rPr>
        <w:fldChar w:fldCharType="end"/>
      </w:r>
    </w:p>
    <w:p w:rsidR="00576ED0" w:rsidRPr="003A745E" w:rsidRDefault="00576ED0" w:rsidP="008579D7">
      <w:pPr>
        <w:rPr>
          <w:rFonts w:asciiTheme="minorHAnsi" w:hAnsiTheme="minorHAnsi" w:cs="Arial"/>
        </w:rPr>
      </w:pPr>
      <w:r w:rsidRPr="003A745E">
        <w:rPr>
          <w:rFonts w:asciiTheme="minorHAnsi" w:hAnsiTheme="minorHAnsi" w:cs="Arial"/>
        </w:rPr>
        <w:br w:type="page"/>
      </w:r>
    </w:p>
    <w:p w:rsidR="00600132" w:rsidRPr="003A745E" w:rsidRDefault="00576ED0" w:rsidP="008579D7">
      <w:pPr>
        <w:pStyle w:val="Heading1"/>
        <w:rPr>
          <w:rFonts w:asciiTheme="minorHAnsi" w:hAnsiTheme="minorHAnsi"/>
          <w:szCs w:val="22"/>
        </w:rPr>
      </w:pPr>
      <w:bookmarkStart w:id="0" w:name="_Toc378931965"/>
      <w:r w:rsidRPr="003A745E">
        <w:rPr>
          <w:rFonts w:asciiTheme="minorHAnsi" w:hAnsiTheme="minorHAnsi"/>
          <w:szCs w:val="22"/>
        </w:rPr>
        <w:lastRenderedPageBreak/>
        <w:t>Introduction</w:t>
      </w:r>
      <w:bookmarkEnd w:id="0"/>
    </w:p>
    <w:p w:rsidR="00C322A1" w:rsidRPr="003A745E" w:rsidRDefault="00C322A1" w:rsidP="008579D7">
      <w:pPr>
        <w:rPr>
          <w:rFonts w:asciiTheme="minorHAnsi" w:eastAsia="Times New Roman" w:hAnsiTheme="minorHAnsi" w:cs="Arial"/>
          <w:bCs/>
        </w:rPr>
      </w:pPr>
    </w:p>
    <w:p w:rsidR="00050AC8" w:rsidRPr="003A745E" w:rsidRDefault="00EA5BA3" w:rsidP="008579D7">
      <w:pPr>
        <w:rPr>
          <w:rFonts w:asciiTheme="minorHAnsi" w:hAnsiTheme="minorHAnsi"/>
        </w:rPr>
      </w:pPr>
      <w:r w:rsidRPr="003A745E">
        <w:rPr>
          <w:rFonts w:asciiTheme="minorHAnsi" w:hAnsiTheme="minorHAnsi"/>
        </w:rPr>
        <w:t>The N</w:t>
      </w:r>
      <w:r w:rsidR="0005411A">
        <w:rPr>
          <w:rFonts w:asciiTheme="minorHAnsi" w:hAnsiTheme="minorHAnsi"/>
        </w:rPr>
        <w:t xml:space="preserve">ational </w:t>
      </w:r>
      <w:r w:rsidRPr="003A745E">
        <w:rPr>
          <w:rFonts w:asciiTheme="minorHAnsi" w:hAnsiTheme="minorHAnsi"/>
        </w:rPr>
        <w:t>T</w:t>
      </w:r>
      <w:r w:rsidR="0005411A">
        <w:rPr>
          <w:rFonts w:asciiTheme="minorHAnsi" w:hAnsiTheme="minorHAnsi"/>
        </w:rPr>
        <w:t xml:space="preserve">ransport </w:t>
      </w:r>
      <w:r w:rsidR="0005411A" w:rsidRPr="003A745E">
        <w:rPr>
          <w:rFonts w:asciiTheme="minorHAnsi" w:hAnsiTheme="minorHAnsi"/>
        </w:rPr>
        <w:t>C</w:t>
      </w:r>
      <w:r w:rsidR="0005411A">
        <w:rPr>
          <w:rFonts w:asciiTheme="minorHAnsi" w:hAnsiTheme="minorHAnsi"/>
        </w:rPr>
        <w:t>ommission (NTC)</w:t>
      </w:r>
      <w:r w:rsidRPr="003A745E">
        <w:rPr>
          <w:rFonts w:asciiTheme="minorHAnsi" w:hAnsiTheme="minorHAnsi"/>
        </w:rPr>
        <w:t xml:space="preserve"> continues to develop and maintain nationally consistent road, rail and intermo</w:t>
      </w:r>
      <w:r w:rsidR="008579D7">
        <w:rPr>
          <w:rFonts w:asciiTheme="minorHAnsi" w:hAnsiTheme="minorHAnsi"/>
        </w:rPr>
        <w:t>dal transport reform to improve</w:t>
      </w:r>
      <w:r w:rsidRPr="003A745E">
        <w:rPr>
          <w:rFonts w:asciiTheme="minorHAnsi" w:hAnsiTheme="minorHAnsi"/>
        </w:rPr>
        <w:t xml:space="preserve"> safety productivity and environmental outcomes.  While the N</w:t>
      </w:r>
      <w:r w:rsidR="000D0932" w:rsidRPr="003A745E">
        <w:rPr>
          <w:rFonts w:asciiTheme="minorHAnsi" w:hAnsiTheme="minorHAnsi"/>
        </w:rPr>
        <w:t xml:space="preserve">ational </w:t>
      </w:r>
      <w:r w:rsidRPr="003A745E">
        <w:rPr>
          <w:rFonts w:asciiTheme="minorHAnsi" w:hAnsiTheme="minorHAnsi"/>
        </w:rPr>
        <w:t>H</w:t>
      </w:r>
      <w:r w:rsidR="000D0932" w:rsidRPr="003A745E">
        <w:rPr>
          <w:rFonts w:asciiTheme="minorHAnsi" w:hAnsiTheme="minorHAnsi"/>
        </w:rPr>
        <w:t xml:space="preserve">eavy </w:t>
      </w:r>
      <w:r w:rsidRPr="003A745E">
        <w:rPr>
          <w:rFonts w:asciiTheme="minorHAnsi" w:hAnsiTheme="minorHAnsi"/>
        </w:rPr>
        <w:t>V</w:t>
      </w:r>
      <w:r w:rsidR="000D0932" w:rsidRPr="003A745E">
        <w:rPr>
          <w:rFonts w:asciiTheme="minorHAnsi" w:hAnsiTheme="minorHAnsi"/>
        </w:rPr>
        <w:t xml:space="preserve">ehicle Regulator (NHVR) </w:t>
      </w:r>
      <w:r w:rsidRPr="003A745E">
        <w:rPr>
          <w:rFonts w:asciiTheme="minorHAnsi" w:hAnsiTheme="minorHAnsi"/>
        </w:rPr>
        <w:t xml:space="preserve">is taking </w:t>
      </w:r>
      <w:r w:rsidR="008579D7">
        <w:rPr>
          <w:rFonts w:asciiTheme="minorHAnsi" w:hAnsiTheme="minorHAnsi"/>
        </w:rPr>
        <w:t>precedence</w:t>
      </w:r>
      <w:r w:rsidRPr="003A745E">
        <w:rPr>
          <w:rFonts w:asciiTheme="minorHAnsi" w:hAnsiTheme="minorHAnsi"/>
        </w:rPr>
        <w:t xml:space="preserve"> with many heavy vehicle standards</w:t>
      </w:r>
      <w:r w:rsidR="00A42C3C" w:rsidRPr="003A745E">
        <w:rPr>
          <w:rFonts w:asciiTheme="minorHAnsi" w:hAnsiTheme="minorHAnsi"/>
        </w:rPr>
        <w:t xml:space="preserve"> applied under the </w:t>
      </w:r>
      <w:r w:rsidR="00A42C3C" w:rsidRPr="003A745E">
        <w:rPr>
          <w:rFonts w:asciiTheme="minorHAnsi" w:hAnsiTheme="minorHAnsi"/>
          <w:i/>
        </w:rPr>
        <w:t>Heavy Vehicle (Vehicle Standards) National Regulation</w:t>
      </w:r>
      <w:r w:rsidR="00A42C3C" w:rsidRPr="003A745E">
        <w:rPr>
          <w:rFonts w:asciiTheme="minorHAnsi" w:hAnsiTheme="minorHAnsi"/>
        </w:rPr>
        <w:t>, the</w:t>
      </w:r>
      <w:r w:rsidRPr="003A745E">
        <w:rPr>
          <w:rFonts w:asciiTheme="minorHAnsi" w:hAnsiTheme="minorHAnsi"/>
        </w:rPr>
        <w:t xml:space="preserve"> </w:t>
      </w:r>
      <w:r w:rsidR="000D0932" w:rsidRPr="003A745E">
        <w:rPr>
          <w:rFonts w:asciiTheme="minorHAnsi" w:hAnsiTheme="minorHAnsi"/>
        </w:rPr>
        <w:t xml:space="preserve">Australian </w:t>
      </w:r>
      <w:r w:rsidRPr="003A745E">
        <w:rPr>
          <w:rFonts w:asciiTheme="minorHAnsi" w:hAnsiTheme="minorHAnsi"/>
        </w:rPr>
        <w:t>V</w:t>
      </w:r>
      <w:r w:rsidR="000D0932" w:rsidRPr="003A745E">
        <w:rPr>
          <w:rFonts w:asciiTheme="minorHAnsi" w:hAnsiTheme="minorHAnsi"/>
        </w:rPr>
        <w:t xml:space="preserve">ehicle </w:t>
      </w:r>
      <w:r w:rsidRPr="003A745E">
        <w:rPr>
          <w:rFonts w:asciiTheme="minorHAnsi" w:hAnsiTheme="minorHAnsi"/>
        </w:rPr>
        <w:t>S</w:t>
      </w:r>
      <w:r w:rsidR="000D0932" w:rsidRPr="003A745E">
        <w:rPr>
          <w:rFonts w:asciiTheme="minorHAnsi" w:hAnsiTheme="minorHAnsi"/>
        </w:rPr>
        <w:t xml:space="preserve">tandards </w:t>
      </w:r>
      <w:r w:rsidRPr="003A745E">
        <w:rPr>
          <w:rFonts w:asciiTheme="minorHAnsi" w:hAnsiTheme="minorHAnsi"/>
        </w:rPr>
        <w:t>R</w:t>
      </w:r>
      <w:r w:rsidR="000D0932" w:rsidRPr="003A745E">
        <w:rPr>
          <w:rFonts w:asciiTheme="minorHAnsi" w:hAnsiTheme="minorHAnsi"/>
        </w:rPr>
        <w:t>ule</w:t>
      </w:r>
      <w:r w:rsidRPr="003A745E">
        <w:rPr>
          <w:rFonts w:asciiTheme="minorHAnsi" w:hAnsiTheme="minorHAnsi"/>
        </w:rPr>
        <w:t>s</w:t>
      </w:r>
      <w:r w:rsidR="000D0932" w:rsidRPr="003A745E">
        <w:rPr>
          <w:rFonts w:asciiTheme="minorHAnsi" w:hAnsiTheme="minorHAnsi"/>
        </w:rPr>
        <w:t xml:space="preserve"> (AVSR)</w:t>
      </w:r>
      <w:r w:rsidRPr="003A745E">
        <w:rPr>
          <w:rFonts w:asciiTheme="minorHAnsi" w:hAnsiTheme="minorHAnsi"/>
        </w:rPr>
        <w:t xml:space="preserve"> continue to be the model for heavy vehicle standard law. </w:t>
      </w:r>
    </w:p>
    <w:p w:rsidR="00A42C3C" w:rsidRPr="003A745E" w:rsidRDefault="00A42C3C" w:rsidP="008579D7">
      <w:pPr>
        <w:rPr>
          <w:rFonts w:asciiTheme="minorHAnsi" w:hAnsiTheme="minorHAnsi"/>
        </w:rPr>
      </w:pPr>
    </w:p>
    <w:p w:rsidR="00A42C3C" w:rsidRPr="003A745E" w:rsidRDefault="00A42C3C" w:rsidP="008579D7">
      <w:pPr>
        <w:rPr>
          <w:rFonts w:asciiTheme="minorHAnsi" w:hAnsiTheme="minorHAnsi"/>
        </w:rPr>
      </w:pPr>
      <w:r w:rsidRPr="003A745E">
        <w:rPr>
          <w:rFonts w:asciiTheme="minorHAnsi" w:hAnsiTheme="minorHAnsi"/>
        </w:rPr>
        <w:t>This is the 8</w:t>
      </w:r>
      <w:r w:rsidRPr="003A745E">
        <w:rPr>
          <w:rFonts w:asciiTheme="minorHAnsi" w:hAnsiTheme="minorHAnsi"/>
          <w:vertAlign w:val="superscript"/>
        </w:rPr>
        <w:t>th</w:t>
      </w:r>
      <w:r w:rsidRPr="003A745E">
        <w:rPr>
          <w:rFonts w:asciiTheme="minorHAnsi" w:hAnsiTheme="minorHAnsi"/>
        </w:rPr>
        <w:t xml:space="preserve"> Amendment package to the AVSRs and will only take effect on</w:t>
      </w:r>
      <w:r w:rsidR="008579D7">
        <w:rPr>
          <w:rFonts w:asciiTheme="minorHAnsi" w:hAnsiTheme="minorHAnsi"/>
        </w:rPr>
        <w:t>c</w:t>
      </w:r>
      <w:r w:rsidRPr="003A745E">
        <w:rPr>
          <w:rFonts w:asciiTheme="minorHAnsi" w:hAnsiTheme="minorHAnsi"/>
        </w:rPr>
        <w:t xml:space="preserve">e they are adopted into the law of each state or territory. The amendments will only apply to heavy </w:t>
      </w:r>
      <w:r w:rsidR="00C25961" w:rsidRPr="003A745E">
        <w:rPr>
          <w:rFonts w:asciiTheme="minorHAnsi" w:hAnsiTheme="minorHAnsi"/>
        </w:rPr>
        <w:t>vehicles</w:t>
      </w:r>
      <w:r w:rsidRPr="003A745E">
        <w:rPr>
          <w:rFonts w:asciiTheme="minorHAnsi" w:hAnsiTheme="minorHAnsi"/>
        </w:rPr>
        <w:t xml:space="preserve"> where the </w:t>
      </w:r>
      <w:r w:rsidR="008579D7">
        <w:rPr>
          <w:rFonts w:asciiTheme="minorHAnsi" w:hAnsiTheme="minorHAnsi"/>
        </w:rPr>
        <w:t>Heavy Vehicle National Law (</w:t>
      </w:r>
      <w:r w:rsidRPr="003A745E">
        <w:rPr>
          <w:rFonts w:asciiTheme="minorHAnsi" w:hAnsiTheme="minorHAnsi"/>
        </w:rPr>
        <w:t>HVNL</w:t>
      </w:r>
      <w:r w:rsidR="008579D7">
        <w:rPr>
          <w:rFonts w:asciiTheme="minorHAnsi" w:hAnsiTheme="minorHAnsi"/>
        </w:rPr>
        <w:t>)</w:t>
      </w:r>
      <w:r w:rsidRPr="003A745E">
        <w:rPr>
          <w:rFonts w:asciiTheme="minorHAnsi" w:hAnsiTheme="minorHAnsi"/>
        </w:rPr>
        <w:t xml:space="preserve"> applies when the </w:t>
      </w:r>
      <w:r w:rsidR="00C25961" w:rsidRPr="003A745E">
        <w:rPr>
          <w:rFonts w:asciiTheme="minorHAnsi" w:hAnsiTheme="minorHAnsi"/>
        </w:rPr>
        <w:t>relevant</w:t>
      </w:r>
      <w:r w:rsidRPr="003A745E">
        <w:rPr>
          <w:rFonts w:asciiTheme="minorHAnsi" w:hAnsiTheme="minorHAnsi"/>
        </w:rPr>
        <w:t xml:space="preserve"> national </w:t>
      </w:r>
      <w:r w:rsidR="00C25961" w:rsidRPr="003A745E">
        <w:rPr>
          <w:rFonts w:asciiTheme="minorHAnsi" w:hAnsiTheme="minorHAnsi"/>
        </w:rPr>
        <w:t xml:space="preserve">regulation for heavy vehicle standards is amended. </w:t>
      </w:r>
    </w:p>
    <w:p w:rsidR="00461456" w:rsidRPr="003A745E" w:rsidRDefault="00461456" w:rsidP="008579D7">
      <w:pPr>
        <w:rPr>
          <w:rFonts w:asciiTheme="minorHAnsi" w:hAnsiTheme="minorHAnsi"/>
        </w:rPr>
      </w:pPr>
    </w:p>
    <w:p w:rsidR="00461456" w:rsidRPr="003A745E" w:rsidRDefault="008579D7" w:rsidP="008579D7">
      <w:pPr>
        <w:rPr>
          <w:rFonts w:asciiTheme="minorHAnsi" w:hAnsiTheme="minorHAnsi"/>
        </w:rPr>
      </w:pPr>
      <w:r>
        <w:rPr>
          <w:rFonts w:asciiTheme="minorHAnsi" w:hAnsiTheme="minorHAnsi"/>
        </w:rPr>
        <w:t>The AVSR</w:t>
      </w:r>
      <w:r w:rsidR="00461456" w:rsidRPr="003A745E">
        <w:rPr>
          <w:rFonts w:asciiTheme="minorHAnsi" w:hAnsiTheme="minorHAnsi"/>
        </w:rPr>
        <w:t xml:space="preserve"> cover</w:t>
      </w:r>
      <w:r>
        <w:rPr>
          <w:rFonts w:asciiTheme="minorHAnsi" w:hAnsiTheme="minorHAnsi"/>
        </w:rPr>
        <w:t>s</w:t>
      </w:r>
      <w:r w:rsidR="00461456" w:rsidRPr="003A745E">
        <w:rPr>
          <w:rFonts w:asciiTheme="minorHAnsi" w:hAnsiTheme="minorHAnsi"/>
        </w:rPr>
        <w:t xml:space="preserve"> </w:t>
      </w:r>
      <w:r w:rsidR="00BF191E" w:rsidRPr="003A745E">
        <w:rPr>
          <w:rFonts w:asciiTheme="minorHAnsi" w:hAnsiTheme="minorHAnsi"/>
        </w:rPr>
        <w:t xml:space="preserve">gaps in the </w:t>
      </w:r>
      <w:r>
        <w:rPr>
          <w:rFonts w:asciiTheme="minorHAnsi" w:hAnsiTheme="minorHAnsi"/>
        </w:rPr>
        <w:t xml:space="preserve">application of the </w:t>
      </w:r>
      <w:r w:rsidR="00BF191E" w:rsidRPr="003A745E">
        <w:rPr>
          <w:rFonts w:asciiTheme="minorHAnsi" w:hAnsiTheme="minorHAnsi"/>
        </w:rPr>
        <w:t xml:space="preserve">Australian design rules, including: </w:t>
      </w:r>
    </w:p>
    <w:p w:rsidR="00BF191E" w:rsidRPr="003A745E" w:rsidRDefault="008579D7" w:rsidP="008579D7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BF191E" w:rsidRPr="003A745E">
        <w:rPr>
          <w:rFonts w:asciiTheme="minorHAnsi" w:hAnsiTheme="minorHAnsi"/>
        </w:rPr>
        <w:t>ehicles built before 1969;</w:t>
      </w:r>
    </w:p>
    <w:p w:rsidR="00BF191E" w:rsidRPr="003A745E" w:rsidRDefault="008579D7" w:rsidP="008579D7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F191E" w:rsidRPr="003A745E">
        <w:rPr>
          <w:rFonts w:asciiTheme="minorHAnsi" w:hAnsiTheme="minorHAnsi"/>
        </w:rPr>
        <w:t>ombinations of vehicles;</w:t>
      </w:r>
    </w:p>
    <w:p w:rsidR="00BF191E" w:rsidRPr="003A745E" w:rsidRDefault="008579D7" w:rsidP="008579D7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BF191E" w:rsidRPr="003A745E">
        <w:rPr>
          <w:rFonts w:asciiTheme="minorHAnsi" w:hAnsiTheme="minorHAnsi"/>
        </w:rPr>
        <w:t xml:space="preserve">very safety feature for vehicles built between 1969 and 1988; </w:t>
      </w:r>
    </w:p>
    <w:p w:rsidR="00BF191E" w:rsidRPr="003A745E" w:rsidRDefault="008579D7" w:rsidP="008579D7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F191E" w:rsidRPr="003A745E">
        <w:rPr>
          <w:rFonts w:asciiTheme="minorHAnsi" w:hAnsiTheme="minorHAnsi"/>
        </w:rPr>
        <w:t xml:space="preserve">ertain standards made by bodies outside Australia; and </w:t>
      </w:r>
    </w:p>
    <w:p w:rsidR="00BF191E" w:rsidRDefault="008579D7" w:rsidP="008579D7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o</w:t>
      </w:r>
      <w:r w:rsidR="00BF191E" w:rsidRPr="003A745E">
        <w:rPr>
          <w:rFonts w:asciiTheme="minorHAnsi" w:hAnsiTheme="minorHAnsi"/>
        </w:rPr>
        <w:t>ngoing</w:t>
      </w:r>
      <w:proofErr w:type="gramEnd"/>
      <w:r w:rsidR="00BF191E" w:rsidRPr="003A745E">
        <w:rPr>
          <w:rFonts w:asciiTheme="minorHAnsi" w:hAnsiTheme="minorHAnsi"/>
        </w:rPr>
        <w:t xml:space="preserve"> maintenance requirements. </w:t>
      </w:r>
    </w:p>
    <w:p w:rsidR="0005411A" w:rsidRPr="0005411A" w:rsidRDefault="0005411A" w:rsidP="0005411A">
      <w:pPr>
        <w:ind w:left="360"/>
        <w:rPr>
          <w:rFonts w:asciiTheme="minorHAnsi" w:hAnsiTheme="minorHAnsi"/>
        </w:rPr>
      </w:pPr>
    </w:p>
    <w:p w:rsidR="000D0932" w:rsidRDefault="008579D7" w:rsidP="008579D7">
      <w:pPr>
        <w:rPr>
          <w:rFonts w:asciiTheme="minorHAnsi" w:hAnsiTheme="minorHAnsi"/>
        </w:rPr>
      </w:pPr>
      <w:r>
        <w:rPr>
          <w:rFonts w:asciiTheme="minorHAnsi" w:hAnsiTheme="minorHAnsi"/>
        </w:rPr>
        <w:t>The AVSR are model r</w:t>
      </w:r>
      <w:r w:rsidR="00BF191E" w:rsidRPr="003A745E">
        <w:rPr>
          <w:rFonts w:asciiTheme="minorHAnsi" w:hAnsiTheme="minorHAnsi"/>
        </w:rPr>
        <w:t>ules that set standards in relation to the construction and performance of motor vehicle</w:t>
      </w:r>
      <w:r w:rsidR="00C1140C" w:rsidRPr="003A745E">
        <w:rPr>
          <w:rFonts w:asciiTheme="minorHAnsi" w:hAnsiTheme="minorHAnsi"/>
        </w:rPr>
        <w:t>s, trailers and combinations.  I</w:t>
      </w:r>
      <w:r w:rsidR="00BF191E" w:rsidRPr="003A745E">
        <w:rPr>
          <w:rFonts w:asciiTheme="minorHAnsi" w:hAnsiTheme="minorHAnsi"/>
        </w:rPr>
        <w:t>n the future they will apply to heavy vehicles as a result of the</w:t>
      </w:r>
      <w:r w:rsidR="00BF191E" w:rsidRPr="003A745E">
        <w:rPr>
          <w:rFonts w:asciiTheme="minorHAnsi" w:hAnsiTheme="minorHAnsi"/>
          <w:i/>
        </w:rPr>
        <w:t xml:space="preserve"> Heavy Vehicle (Vehicle Standards) National Regulation </w:t>
      </w:r>
      <w:r w:rsidR="0087262A" w:rsidRPr="003A745E">
        <w:rPr>
          <w:rFonts w:asciiTheme="minorHAnsi" w:hAnsiTheme="minorHAnsi"/>
          <w:i/>
        </w:rPr>
        <w:t xml:space="preserve">(HVNR) </w:t>
      </w:r>
      <w:r w:rsidR="00BF191E" w:rsidRPr="003A745E">
        <w:rPr>
          <w:rFonts w:asciiTheme="minorHAnsi" w:hAnsiTheme="minorHAnsi"/>
        </w:rPr>
        <w:t xml:space="preserve">made under </w:t>
      </w:r>
      <w:r w:rsidR="000D0932" w:rsidRPr="003A745E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HVNL. </w:t>
      </w:r>
    </w:p>
    <w:p w:rsidR="008579D7" w:rsidRPr="003A745E" w:rsidRDefault="008579D7" w:rsidP="008579D7">
      <w:pPr>
        <w:rPr>
          <w:rFonts w:asciiTheme="minorHAnsi" w:hAnsiTheme="minorHAnsi"/>
        </w:rPr>
      </w:pPr>
    </w:p>
    <w:p w:rsidR="000D0932" w:rsidRPr="003A745E" w:rsidRDefault="000D0932" w:rsidP="008579D7">
      <w:pPr>
        <w:rPr>
          <w:rFonts w:asciiTheme="minorHAnsi" w:hAnsiTheme="minorHAnsi"/>
        </w:rPr>
      </w:pPr>
      <w:r w:rsidRPr="003A745E">
        <w:rPr>
          <w:rFonts w:asciiTheme="minorHAnsi" w:hAnsiTheme="minorHAnsi"/>
        </w:rPr>
        <w:t>While many of the amendments are minor and technical the ATA ha</w:t>
      </w:r>
      <w:r w:rsidR="008579D7">
        <w:rPr>
          <w:rFonts w:asciiTheme="minorHAnsi" w:hAnsiTheme="minorHAnsi"/>
        </w:rPr>
        <w:t xml:space="preserve">s some concerns over the effects of </w:t>
      </w:r>
      <w:r w:rsidR="00791608">
        <w:rPr>
          <w:rFonts w:asciiTheme="minorHAnsi" w:hAnsiTheme="minorHAnsi"/>
        </w:rPr>
        <w:t>changing Rules 147</w:t>
      </w:r>
      <w:r w:rsidRPr="003A745E">
        <w:rPr>
          <w:rFonts w:asciiTheme="minorHAnsi" w:hAnsiTheme="minorHAnsi"/>
        </w:rPr>
        <w:t xml:space="preserve"> and 148</w:t>
      </w:r>
      <w:r w:rsidR="00791608">
        <w:rPr>
          <w:rFonts w:asciiTheme="minorHAnsi" w:hAnsiTheme="minorHAnsi"/>
        </w:rPr>
        <w:t>, which refer to DT80 tests and exhaust placement</w:t>
      </w:r>
      <w:r w:rsidRPr="003A745E">
        <w:rPr>
          <w:rFonts w:asciiTheme="minorHAnsi" w:hAnsiTheme="minorHAnsi"/>
        </w:rPr>
        <w:t xml:space="preserve">. </w:t>
      </w:r>
    </w:p>
    <w:p w:rsidR="00EA5BA3" w:rsidRPr="003A745E" w:rsidRDefault="00EA5BA3" w:rsidP="008579D7">
      <w:pPr>
        <w:rPr>
          <w:rFonts w:asciiTheme="minorHAnsi" w:hAnsiTheme="minorHAnsi"/>
          <w:b/>
        </w:rPr>
      </w:pPr>
    </w:p>
    <w:p w:rsidR="00576ED0" w:rsidRPr="003A745E" w:rsidRDefault="00576ED0" w:rsidP="008579D7">
      <w:pPr>
        <w:pStyle w:val="Heading1"/>
        <w:rPr>
          <w:rFonts w:asciiTheme="minorHAnsi" w:hAnsiTheme="minorHAnsi"/>
          <w:szCs w:val="22"/>
        </w:rPr>
      </w:pPr>
      <w:bookmarkStart w:id="1" w:name="_Toc378931966"/>
      <w:r w:rsidRPr="003A745E">
        <w:rPr>
          <w:rFonts w:asciiTheme="minorHAnsi" w:hAnsiTheme="minorHAnsi"/>
          <w:szCs w:val="22"/>
        </w:rPr>
        <w:t>Australian Trucking Association</w:t>
      </w:r>
      <w:bookmarkEnd w:id="1"/>
    </w:p>
    <w:p w:rsidR="004008C7" w:rsidRPr="003A745E" w:rsidRDefault="004008C7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CC28C6" w:rsidRPr="003A745E" w:rsidRDefault="004008C7" w:rsidP="008579D7">
      <w:pPr>
        <w:pStyle w:val="BodyText2"/>
        <w:rPr>
          <w:rFonts w:asciiTheme="minorHAnsi" w:hAnsiTheme="minorHAnsi"/>
          <w:b w:val="0"/>
          <w:szCs w:val="22"/>
        </w:rPr>
      </w:pPr>
      <w:r w:rsidRPr="003A745E">
        <w:rPr>
          <w:rFonts w:asciiTheme="minorHAnsi" w:hAnsiTheme="minorHAnsi"/>
          <w:b w:val="0"/>
          <w:szCs w:val="22"/>
        </w:rPr>
        <w:t>The</w:t>
      </w:r>
      <w:r w:rsidR="001F7268" w:rsidRPr="003A745E">
        <w:rPr>
          <w:rFonts w:asciiTheme="minorHAnsi" w:hAnsiTheme="minorHAnsi"/>
          <w:b w:val="0"/>
          <w:szCs w:val="22"/>
        </w:rPr>
        <w:t xml:space="preserve"> ATA</w:t>
      </w:r>
      <w:r w:rsidRPr="003A745E">
        <w:rPr>
          <w:rFonts w:asciiTheme="minorHAnsi" w:hAnsiTheme="minorHAnsi"/>
          <w:b w:val="0"/>
          <w:szCs w:val="22"/>
        </w:rPr>
        <w:t xml:space="preserve"> is the peak body that represents the trucking industry. Its members include state and </w:t>
      </w:r>
      <w:r w:rsidR="002A243F" w:rsidRPr="003A745E">
        <w:rPr>
          <w:rFonts w:asciiTheme="minorHAnsi" w:hAnsiTheme="minorHAnsi"/>
          <w:b w:val="0"/>
          <w:szCs w:val="22"/>
        </w:rPr>
        <w:t>sector-</w:t>
      </w:r>
      <w:r w:rsidRPr="003A745E">
        <w:rPr>
          <w:rFonts w:asciiTheme="minorHAnsi" w:hAnsiTheme="minorHAnsi"/>
          <w:b w:val="0"/>
          <w:szCs w:val="22"/>
        </w:rPr>
        <w:t>based trucking associations, some of the nation’s largest transport companies, and businesses with leading expertise in truck technology.</w:t>
      </w:r>
      <w:r w:rsidR="00A047CA" w:rsidRPr="003A745E">
        <w:rPr>
          <w:rFonts w:asciiTheme="minorHAnsi" w:hAnsiTheme="minorHAnsi"/>
          <w:b w:val="0"/>
          <w:szCs w:val="22"/>
        </w:rPr>
        <w:t xml:space="preserve"> </w:t>
      </w:r>
    </w:p>
    <w:p w:rsidR="00B13AC3" w:rsidRPr="003A745E" w:rsidRDefault="00B13AC3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A023EA" w:rsidRPr="003A745E" w:rsidRDefault="00A023EA" w:rsidP="008579D7">
      <w:pPr>
        <w:pStyle w:val="Heading1"/>
        <w:rPr>
          <w:rFonts w:asciiTheme="minorHAnsi" w:hAnsiTheme="minorHAnsi"/>
          <w:szCs w:val="22"/>
        </w:rPr>
      </w:pPr>
      <w:bookmarkStart w:id="2" w:name="_Toc378931967"/>
      <w:r w:rsidRPr="003A745E">
        <w:rPr>
          <w:rFonts w:asciiTheme="minorHAnsi" w:hAnsiTheme="minorHAnsi"/>
          <w:szCs w:val="22"/>
        </w:rPr>
        <w:t>Recommendation</w:t>
      </w:r>
      <w:r w:rsidR="00CB73A3" w:rsidRPr="003A745E">
        <w:rPr>
          <w:rFonts w:asciiTheme="minorHAnsi" w:hAnsiTheme="minorHAnsi"/>
          <w:szCs w:val="22"/>
        </w:rPr>
        <w:t>s</w:t>
      </w:r>
      <w:bookmarkEnd w:id="2"/>
    </w:p>
    <w:p w:rsidR="00E15852" w:rsidRPr="003A745E" w:rsidRDefault="00E15852" w:rsidP="008579D7">
      <w:pPr>
        <w:pStyle w:val="Heading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1A40FE" w:rsidRPr="003A745E" w:rsidRDefault="001A40FE" w:rsidP="008579D7">
      <w:pPr>
        <w:rPr>
          <w:rFonts w:asciiTheme="minorHAnsi" w:hAnsiTheme="minorHAnsi"/>
          <w:b/>
          <w:bCs/>
        </w:rPr>
      </w:pPr>
      <w:r w:rsidRPr="003A745E">
        <w:rPr>
          <w:rFonts w:asciiTheme="minorHAnsi" w:hAnsiTheme="minorHAnsi"/>
          <w:b/>
          <w:bCs/>
        </w:rPr>
        <w:t>Recommendation 1</w:t>
      </w:r>
    </w:p>
    <w:p w:rsidR="001A40FE" w:rsidRPr="003A745E" w:rsidRDefault="001A40FE" w:rsidP="008579D7">
      <w:pPr>
        <w:rPr>
          <w:rFonts w:asciiTheme="minorHAnsi" w:hAnsiTheme="minorHAnsi"/>
          <w:bCs/>
        </w:rPr>
      </w:pPr>
    </w:p>
    <w:p w:rsidR="001A40FE" w:rsidRPr="003A745E" w:rsidRDefault="001A40FE" w:rsidP="008579D7">
      <w:pPr>
        <w:rPr>
          <w:rFonts w:asciiTheme="minorHAnsi" w:hAnsiTheme="minorHAnsi"/>
          <w:bCs/>
        </w:rPr>
      </w:pPr>
      <w:r w:rsidRPr="003A745E">
        <w:rPr>
          <w:rFonts w:asciiTheme="minorHAnsi" w:hAnsiTheme="minorHAnsi"/>
          <w:bCs/>
        </w:rPr>
        <w:t>Rule</w:t>
      </w:r>
      <w:r w:rsidR="008579D7">
        <w:rPr>
          <w:rFonts w:asciiTheme="minorHAnsi" w:hAnsiTheme="minorHAnsi"/>
          <w:bCs/>
        </w:rPr>
        <w:t>s</w:t>
      </w:r>
      <w:r w:rsidRPr="003A745E">
        <w:rPr>
          <w:rFonts w:asciiTheme="minorHAnsi" w:hAnsiTheme="minorHAnsi"/>
          <w:bCs/>
        </w:rPr>
        <w:t xml:space="preserve"> 147A and 147B sh</w:t>
      </w:r>
      <w:r w:rsidR="003A745E" w:rsidRPr="003A745E">
        <w:rPr>
          <w:rFonts w:asciiTheme="minorHAnsi" w:hAnsiTheme="minorHAnsi"/>
          <w:bCs/>
        </w:rPr>
        <w:t xml:space="preserve">ould have </w:t>
      </w:r>
      <w:r w:rsidR="008579D7">
        <w:rPr>
          <w:rFonts w:asciiTheme="minorHAnsi" w:hAnsiTheme="minorHAnsi"/>
          <w:bCs/>
        </w:rPr>
        <w:t>an</w:t>
      </w:r>
      <w:r w:rsidR="003A745E" w:rsidRPr="003A745E">
        <w:rPr>
          <w:rFonts w:asciiTheme="minorHAnsi" w:hAnsiTheme="minorHAnsi"/>
          <w:bCs/>
        </w:rPr>
        <w:t xml:space="preserve"> additional clause </w:t>
      </w:r>
      <w:r w:rsidR="00FC74E8" w:rsidRPr="003A745E">
        <w:rPr>
          <w:rFonts w:asciiTheme="minorHAnsi" w:hAnsiTheme="minorHAnsi"/>
          <w:bCs/>
        </w:rPr>
        <w:t>included</w:t>
      </w:r>
      <w:r w:rsidRPr="003A745E">
        <w:rPr>
          <w:rFonts w:asciiTheme="minorHAnsi" w:hAnsiTheme="minorHAnsi"/>
          <w:bCs/>
        </w:rPr>
        <w:t xml:space="preserve"> indicating that if a vehicle fails the DT80 test but is </w:t>
      </w:r>
      <w:r w:rsidR="00FC74E8" w:rsidRPr="003A745E">
        <w:rPr>
          <w:rFonts w:asciiTheme="minorHAnsi" w:hAnsiTheme="minorHAnsi"/>
          <w:bCs/>
        </w:rPr>
        <w:t xml:space="preserve">as </w:t>
      </w:r>
      <w:r w:rsidRPr="003A745E">
        <w:rPr>
          <w:rFonts w:asciiTheme="minorHAnsi" w:hAnsiTheme="minorHAnsi"/>
          <w:bCs/>
        </w:rPr>
        <w:t>originally constructed and within normal deterioration limi</w:t>
      </w:r>
      <w:r w:rsidR="008579D7">
        <w:rPr>
          <w:rFonts w:asciiTheme="minorHAnsi" w:hAnsiTheme="minorHAnsi"/>
          <w:bCs/>
        </w:rPr>
        <w:t>ts it</w:t>
      </w:r>
      <w:r w:rsidRPr="003A745E">
        <w:rPr>
          <w:rFonts w:asciiTheme="minorHAnsi" w:hAnsiTheme="minorHAnsi"/>
          <w:bCs/>
        </w:rPr>
        <w:t xml:space="preserve"> should not be defected.</w:t>
      </w:r>
      <w:r w:rsidR="008579D7">
        <w:rPr>
          <w:rFonts w:asciiTheme="minorHAnsi" w:hAnsiTheme="minorHAnsi"/>
          <w:bCs/>
        </w:rPr>
        <w:t xml:space="preserve"> This clause should be reflected in the HVNL. </w:t>
      </w:r>
      <w:r w:rsidRPr="003A745E">
        <w:rPr>
          <w:rFonts w:asciiTheme="minorHAnsi" w:hAnsiTheme="minorHAnsi"/>
          <w:bCs/>
        </w:rPr>
        <w:t xml:space="preserve"> </w:t>
      </w:r>
    </w:p>
    <w:p w:rsidR="001A40FE" w:rsidRPr="003A745E" w:rsidRDefault="001A40FE" w:rsidP="008579D7">
      <w:pPr>
        <w:rPr>
          <w:rFonts w:asciiTheme="minorHAnsi" w:hAnsiTheme="minorHAnsi"/>
        </w:rPr>
      </w:pPr>
    </w:p>
    <w:p w:rsidR="006D20A7" w:rsidRPr="003A745E" w:rsidRDefault="006D20A7" w:rsidP="008579D7">
      <w:pPr>
        <w:rPr>
          <w:rFonts w:asciiTheme="minorHAnsi" w:hAnsiTheme="minorHAnsi"/>
          <w:b/>
          <w:bCs/>
        </w:rPr>
      </w:pPr>
      <w:r w:rsidRPr="003A745E">
        <w:rPr>
          <w:rFonts w:asciiTheme="minorHAnsi" w:hAnsiTheme="minorHAnsi"/>
          <w:b/>
          <w:bCs/>
        </w:rPr>
        <w:t>Recommendation 2</w:t>
      </w:r>
    </w:p>
    <w:p w:rsidR="006D20A7" w:rsidRPr="003A745E" w:rsidRDefault="006D20A7" w:rsidP="008579D7">
      <w:pPr>
        <w:rPr>
          <w:rFonts w:asciiTheme="minorHAnsi" w:hAnsiTheme="minorHAnsi"/>
          <w:b/>
          <w:bCs/>
        </w:rPr>
      </w:pPr>
    </w:p>
    <w:p w:rsidR="003A745E" w:rsidRPr="003A745E" w:rsidRDefault="003A745E" w:rsidP="008579D7">
      <w:pPr>
        <w:pStyle w:val="BodyText2"/>
        <w:rPr>
          <w:rFonts w:asciiTheme="minorHAnsi" w:hAnsiTheme="minorHAnsi"/>
          <w:b w:val="0"/>
          <w:szCs w:val="22"/>
        </w:rPr>
      </w:pPr>
      <w:r w:rsidRPr="003A745E">
        <w:rPr>
          <w:rFonts w:asciiTheme="minorHAnsi" w:hAnsiTheme="minorHAnsi"/>
          <w:b w:val="0"/>
          <w:szCs w:val="22"/>
        </w:rPr>
        <w:t xml:space="preserve">Rule 148 amendments regarding deleting the requirement </w:t>
      </w:r>
      <w:r w:rsidR="008579D7">
        <w:rPr>
          <w:rFonts w:asciiTheme="minorHAnsi" w:hAnsiTheme="minorHAnsi"/>
          <w:b w:val="0"/>
          <w:szCs w:val="22"/>
        </w:rPr>
        <w:t>for exhaust placement</w:t>
      </w:r>
      <w:r w:rsidRPr="003A745E">
        <w:rPr>
          <w:rFonts w:asciiTheme="minorHAnsi" w:hAnsiTheme="minorHAnsi"/>
          <w:b w:val="0"/>
          <w:szCs w:val="22"/>
        </w:rPr>
        <w:t xml:space="preserve"> should include the </w:t>
      </w:r>
      <w:proofErr w:type="spellStart"/>
      <w:r w:rsidRPr="003A745E">
        <w:rPr>
          <w:rFonts w:asciiTheme="minorHAnsi" w:hAnsiTheme="minorHAnsi"/>
          <w:b w:val="0"/>
          <w:szCs w:val="22"/>
        </w:rPr>
        <w:t>NC</w:t>
      </w:r>
      <w:proofErr w:type="spellEnd"/>
      <w:r w:rsidRPr="003A745E">
        <w:rPr>
          <w:rFonts w:asciiTheme="minorHAnsi" w:hAnsiTheme="minorHAnsi"/>
          <w:b w:val="0"/>
          <w:szCs w:val="22"/>
        </w:rPr>
        <w:t xml:space="preserve"> vehicle category in addition to NA and </w:t>
      </w:r>
      <w:r w:rsidRPr="000D5BFB">
        <w:rPr>
          <w:rFonts w:asciiTheme="minorHAnsi" w:hAnsiTheme="minorHAnsi"/>
          <w:b w:val="0"/>
          <w:szCs w:val="22"/>
        </w:rPr>
        <w:t>NB. This is due to the industry’s need to comply with dangerous goods requirements</w:t>
      </w:r>
      <w:r w:rsidRPr="000D5BFB">
        <w:rPr>
          <w:rFonts w:asciiTheme="minorHAnsi" w:hAnsiTheme="minorHAnsi"/>
          <w:bCs w:val="0"/>
          <w:szCs w:val="22"/>
        </w:rPr>
        <w:t xml:space="preserve"> </w:t>
      </w:r>
      <w:r w:rsidRPr="000D5BFB">
        <w:rPr>
          <w:rFonts w:asciiTheme="minorHAnsi" w:hAnsiTheme="minorHAnsi"/>
          <w:b w:val="0"/>
          <w:bCs w:val="0"/>
          <w:szCs w:val="22"/>
        </w:rPr>
        <w:t>which are in conflict in the current AVSR Rule</w:t>
      </w:r>
      <w:r w:rsidR="008579D7">
        <w:rPr>
          <w:rFonts w:asciiTheme="minorHAnsi" w:hAnsiTheme="minorHAnsi"/>
          <w:b w:val="0"/>
          <w:bCs w:val="0"/>
          <w:szCs w:val="22"/>
        </w:rPr>
        <w:t xml:space="preserve">. </w:t>
      </w:r>
      <w:r w:rsidR="0005411A">
        <w:rPr>
          <w:rFonts w:asciiTheme="minorHAnsi" w:hAnsiTheme="minorHAnsi"/>
          <w:b w:val="0"/>
          <w:bCs w:val="0"/>
          <w:szCs w:val="22"/>
        </w:rPr>
        <w:t>R</w:t>
      </w:r>
      <w:r w:rsidRPr="000D5BFB">
        <w:rPr>
          <w:rFonts w:asciiTheme="minorHAnsi" w:hAnsiTheme="minorHAnsi"/>
          <w:b w:val="0"/>
          <w:bCs w:val="0"/>
          <w:szCs w:val="22"/>
        </w:rPr>
        <w:t>equests are pending to delete these requirements from the ADR</w:t>
      </w:r>
      <w:r w:rsidRPr="000D5BFB">
        <w:rPr>
          <w:rFonts w:asciiTheme="minorHAnsi" w:hAnsiTheme="minorHAnsi"/>
          <w:b w:val="0"/>
          <w:szCs w:val="22"/>
        </w:rPr>
        <w:t>.</w:t>
      </w:r>
      <w:r w:rsidRPr="003A745E">
        <w:rPr>
          <w:rFonts w:asciiTheme="minorHAnsi" w:hAnsiTheme="minorHAnsi"/>
          <w:b w:val="0"/>
          <w:szCs w:val="22"/>
        </w:rPr>
        <w:t xml:space="preserve"> </w:t>
      </w:r>
    </w:p>
    <w:p w:rsidR="001A40FE" w:rsidRDefault="001A40FE" w:rsidP="008579D7">
      <w:pPr>
        <w:rPr>
          <w:rFonts w:asciiTheme="minorHAnsi" w:hAnsiTheme="minorHAnsi"/>
        </w:rPr>
      </w:pPr>
    </w:p>
    <w:p w:rsidR="008579D7" w:rsidRDefault="008579D7" w:rsidP="008579D7">
      <w:pPr>
        <w:rPr>
          <w:rFonts w:asciiTheme="minorHAnsi" w:hAnsiTheme="minorHAnsi"/>
        </w:rPr>
      </w:pPr>
    </w:p>
    <w:p w:rsidR="008579D7" w:rsidRDefault="008579D7" w:rsidP="008579D7">
      <w:pPr>
        <w:rPr>
          <w:rFonts w:asciiTheme="minorHAnsi" w:hAnsiTheme="minorHAnsi"/>
        </w:rPr>
      </w:pPr>
    </w:p>
    <w:p w:rsidR="008579D7" w:rsidRDefault="008579D7" w:rsidP="008579D7">
      <w:pPr>
        <w:rPr>
          <w:rFonts w:asciiTheme="minorHAnsi" w:hAnsiTheme="minorHAnsi"/>
        </w:rPr>
      </w:pPr>
    </w:p>
    <w:p w:rsidR="008579D7" w:rsidRDefault="008579D7" w:rsidP="008579D7">
      <w:pPr>
        <w:rPr>
          <w:rFonts w:asciiTheme="minorHAnsi" w:hAnsiTheme="minorHAnsi"/>
        </w:rPr>
      </w:pPr>
    </w:p>
    <w:p w:rsidR="008579D7" w:rsidRDefault="008579D7" w:rsidP="008579D7">
      <w:pPr>
        <w:rPr>
          <w:rFonts w:asciiTheme="minorHAnsi" w:hAnsiTheme="minorHAnsi"/>
        </w:rPr>
      </w:pPr>
    </w:p>
    <w:p w:rsidR="008579D7" w:rsidRDefault="008579D7" w:rsidP="008579D7">
      <w:pPr>
        <w:rPr>
          <w:rFonts w:asciiTheme="minorHAnsi" w:hAnsiTheme="minorHAnsi"/>
        </w:rPr>
      </w:pPr>
    </w:p>
    <w:p w:rsidR="008579D7" w:rsidRDefault="008579D7" w:rsidP="008579D7">
      <w:pPr>
        <w:rPr>
          <w:rFonts w:asciiTheme="minorHAnsi" w:hAnsiTheme="minorHAnsi"/>
        </w:rPr>
      </w:pPr>
    </w:p>
    <w:p w:rsidR="008579D7" w:rsidRPr="003A745E" w:rsidRDefault="008579D7" w:rsidP="008579D7">
      <w:pPr>
        <w:rPr>
          <w:rFonts w:asciiTheme="minorHAnsi" w:hAnsiTheme="minorHAnsi"/>
        </w:rPr>
      </w:pPr>
    </w:p>
    <w:p w:rsidR="00773733" w:rsidRPr="003A745E" w:rsidRDefault="00C1140C" w:rsidP="008579D7">
      <w:pPr>
        <w:pStyle w:val="Heading1"/>
        <w:rPr>
          <w:rFonts w:asciiTheme="minorHAnsi" w:hAnsiTheme="minorHAnsi"/>
          <w:szCs w:val="22"/>
        </w:rPr>
      </w:pPr>
      <w:bookmarkStart w:id="3" w:name="_Toc378931968"/>
      <w:r w:rsidRPr="003A745E">
        <w:rPr>
          <w:rFonts w:asciiTheme="minorHAnsi" w:hAnsiTheme="minorHAnsi"/>
          <w:szCs w:val="22"/>
        </w:rPr>
        <w:t>Proposed amendments</w:t>
      </w:r>
      <w:bookmarkEnd w:id="3"/>
    </w:p>
    <w:p w:rsidR="00773733" w:rsidRPr="003A745E" w:rsidRDefault="00773733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C1140C" w:rsidRDefault="008579D7" w:rsidP="008579D7">
      <w:pPr>
        <w:pStyle w:val="BodyText2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The NTC has</w:t>
      </w:r>
      <w:r w:rsidR="00C1140C" w:rsidRPr="003A745E">
        <w:rPr>
          <w:rFonts w:asciiTheme="minorHAnsi" w:hAnsiTheme="minorHAnsi"/>
          <w:b w:val="0"/>
          <w:szCs w:val="22"/>
        </w:rPr>
        <w:t xml:space="preserve"> aimed to make </w:t>
      </w:r>
      <w:r w:rsidR="00495F14" w:rsidRPr="003A745E">
        <w:rPr>
          <w:rFonts w:asciiTheme="minorHAnsi" w:hAnsiTheme="minorHAnsi"/>
          <w:b w:val="0"/>
          <w:szCs w:val="22"/>
        </w:rPr>
        <w:t xml:space="preserve">sure </w:t>
      </w:r>
      <w:r w:rsidR="00C1140C" w:rsidRPr="003A745E">
        <w:rPr>
          <w:rFonts w:asciiTheme="minorHAnsi" w:hAnsiTheme="minorHAnsi"/>
          <w:b w:val="0"/>
          <w:szCs w:val="22"/>
        </w:rPr>
        <w:t>the 8</w:t>
      </w:r>
      <w:r w:rsidR="00C1140C" w:rsidRPr="003A745E">
        <w:rPr>
          <w:rFonts w:asciiTheme="minorHAnsi" w:hAnsiTheme="minorHAnsi"/>
          <w:b w:val="0"/>
          <w:szCs w:val="22"/>
          <w:vertAlign w:val="superscript"/>
        </w:rPr>
        <w:t>th</w:t>
      </w:r>
      <w:r w:rsidR="00495F14" w:rsidRPr="003A745E">
        <w:rPr>
          <w:rFonts w:asciiTheme="minorHAnsi" w:hAnsiTheme="minorHAnsi"/>
          <w:b w:val="0"/>
          <w:szCs w:val="22"/>
        </w:rPr>
        <w:t xml:space="preserve"> Amendment package proposals</w:t>
      </w:r>
      <w:r w:rsidR="00C1140C" w:rsidRPr="003A745E">
        <w:rPr>
          <w:rFonts w:asciiTheme="minorHAnsi" w:hAnsiTheme="minorHAnsi"/>
          <w:b w:val="0"/>
          <w:szCs w:val="22"/>
        </w:rPr>
        <w:t xml:space="preserve"> </w:t>
      </w:r>
      <w:r w:rsidR="00495F14" w:rsidRPr="003A745E">
        <w:rPr>
          <w:rFonts w:asciiTheme="minorHAnsi" w:hAnsiTheme="minorHAnsi"/>
          <w:b w:val="0"/>
          <w:szCs w:val="22"/>
        </w:rPr>
        <w:t>to the AVSRs</w:t>
      </w:r>
      <w:r w:rsidR="00C1140C" w:rsidRPr="003A745E">
        <w:rPr>
          <w:rFonts w:asciiTheme="minorHAnsi" w:hAnsiTheme="minorHAnsi"/>
          <w:b w:val="0"/>
          <w:szCs w:val="22"/>
        </w:rPr>
        <w:t xml:space="preserve"> correspond to changes that were made when the </w:t>
      </w:r>
      <w:r>
        <w:rPr>
          <w:rFonts w:asciiTheme="minorHAnsi" w:hAnsiTheme="minorHAnsi"/>
          <w:b w:val="0"/>
          <w:szCs w:val="22"/>
        </w:rPr>
        <w:t>HVNL</w:t>
      </w:r>
      <w:r w:rsidR="00C1140C" w:rsidRPr="003A745E">
        <w:rPr>
          <w:rFonts w:asciiTheme="minorHAnsi" w:hAnsiTheme="minorHAnsi"/>
          <w:b w:val="0"/>
          <w:szCs w:val="22"/>
        </w:rPr>
        <w:t xml:space="preserve"> was drafted. </w:t>
      </w:r>
    </w:p>
    <w:p w:rsidR="00F142B3" w:rsidRPr="003A745E" w:rsidRDefault="00F142B3" w:rsidP="008579D7">
      <w:pPr>
        <w:pStyle w:val="Heading1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:rsidR="00F142B3" w:rsidRPr="003A745E" w:rsidRDefault="00F142B3" w:rsidP="008579D7">
      <w:pPr>
        <w:pStyle w:val="Heading1"/>
        <w:numPr>
          <w:ilvl w:val="1"/>
          <w:numId w:val="27"/>
        </w:numPr>
        <w:rPr>
          <w:rFonts w:asciiTheme="minorHAnsi" w:hAnsiTheme="minorHAnsi"/>
          <w:sz w:val="24"/>
          <w:szCs w:val="22"/>
        </w:rPr>
      </w:pPr>
      <w:bookmarkStart w:id="4" w:name="_Toc378931969"/>
      <w:r w:rsidRPr="003A745E">
        <w:rPr>
          <w:rFonts w:asciiTheme="minorHAnsi" w:hAnsiTheme="minorHAnsi"/>
          <w:sz w:val="24"/>
          <w:szCs w:val="22"/>
        </w:rPr>
        <w:t>Consistency with the Heavy Vehicle National Regulation</w:t>
      </w:r>
      <w:bookmarkEnd w:id="4"/>
    </w:p>
    <w:p w:rsidR="00F142B3" w:rsidRPr="003A745E" w:rsidRDefault="00F142B3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F142B3" w:rsidRPr="003A745E" w:rsidRDefault="00912104" w:rsidP="008579D7">
      <w:pPr>
        <w:pStyle w:val="BodyText2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The ATA agrees with the changes to Rules </w:t>
      </w:r>
      <w:r w:rsidR="00495F14" w:rsidRPr="003A745E">
        <w:rPr>
          <w:rFonts w:asciiTheme="minorHAnsi" w:hAnsiTheme="minorHAnsi"/>
          <w:b w:val="0"/>
          <w:szCs w:val="22"/>
        </w:rPr>
        <w:t>35,</w:t>
      </w:r>
      <w:r w:rsidR="00FC74E8" w:rsidRPr="003A745E">
        <w:rPr>
          <w:rFonts w:asciiTheme="minorHAnsi" w:hAnsiTheme="minorHAnsi"/>
          <w:b w:val="0"/>
          <w:szCs w:val="22"/>
        </w:rPr>
        <w:t xml:space="preserve"> </w:t>
      </w:r>
      <w:r w:rsidR="00495F14" w:rsidRPr="003A745E">
        <w:rPr>
          <w:rFonts w:asciiTheme="minorHAnsi" w:hAnsiTheme="minorHAnsi"/>
          <w:b w:val="0"/>
          <w:szCs w:val="22"/>
        </w:rPr>
        <w:t>44,</w:t>
      </w:r>
      <w:r w:rsidR="00FC74E8" w:rsidRPr="003A745E">
        <w:rPr>
          <w:rFonts w:asciiTheme="minorHAnsi" w:hAnsiTheme="minorHAnsi"/>
          <w:b w:val="0"/>
          <w:szCs w:val="22"/>
        </w:rPr>
        <w:t xml:space="preserve"> </w:t>
      </w:r>
      <w:r w:rsidR="00495F14" w:rsidRPr="003A745E">
        <w:rPr>
          <w:rFonts w:asciiTheme="minorHAnsi" w:hAnsiTheme="minorHAnsi"/>
          <w:b w:val="0"/>
          <w:szCs w:val="22"/>
        </w:rPr>
        <w:t>118,</w:t>
      </w:r>
      <w:r w:rsidR="00FC74E8" w:rsidRPr="003A745E">
        <w:rPr>
          <w:rFonts w:asciiTheme="minorHAnsi" w:hAnsiTheme="minorHAnsi"/>
          <w:b w:val="0"/>
          <w:szCs w:val="22"/>
        </w:rPr>
        <w:t xml:space="preserve"> </w:t>
      </w:r>
      <w:r w:rsidR="00495F14" w:rsidRPr="003A745E">
        <w:rPr>
          <w:rFonts w:asciiTheme="minorHAnsi" w:hAnsiTheme="minorHAnsi"/>
          <w:b w:val="0"/>
          <w:szCs w:val="22"/>
        </w:rPr>
        <w:t xml:space="preserve">125 and </w:t>
      </w:r>
      <w:r>
        <w:rPr>
          <w:rFonts w:asciiTheme="minorHAnsi" w:hAnsiTheme="minorHAnsi"/>
          <w:b w:val="0"/>
          <w:szCs w:val="22"/>
        </w:rPr>
        <w:t xml:space="preserve">the </w:t>
      </w:r>
      <w:r w:rsidR="00495F14" w:rsidRPr="003A745E">
        <w:rPr>
          <w:rFonts w:asciiTheme="minorHAnsi" w:hAnsiTheme="minorHAnsi"/>
          <w:b w:val="0"/>
          <w:szCs w:val="22"/>
        </w:rPr>
        <w:t xml:space="preserve">widening of part 10 </w:t>
      </w:r>
      <w:proofErr w:type="gramStart"/>
      <w:r w:rsidR="00495F14" w:rsidRPr="003A745E">
        <w:rPr>
          <w:rFonts w:asciiTheme="minorHAnsi" w:hAnsiTheme="minorHAnsi"/>
          <w:b w:val="0"/>
          <w:szCs w:val="22"/>
        </w:rPr>
        <w:t>subdivision</w:t>
      </w:r>
      <w:proofErr w:type="gramEnd"/>
      <w:r w:rsidR="00495F14" w:rsidRPr="003A745E">
        <w:rPr>
          <w:rFonts w:asciiTheme="minorHAnsi" w:hAnsiTheme="minorHAnsi"/>
          <w:b w:val="0"/>
          <w:szCs w:val="22"/>
        </w:rPr>
        <w:t xml:space="preserve"> 3</w:t>
      </w:r>
      <w:r w:rsidR="00F142B3" w:rsidRPr="003A745E">
        <w:rPr>
          <w:rFonts w:asciiTheme="minorHAnsi" w:hAnsiTheme="minorHAnsi"/>
          <w:b w:val="0"/>
          <w:szCs w:val="22"/>
        </w:rPr>
        <w:t xml:space="preserve">. However, we have concerns with the </w:t>
      </w:r>
      <w:r w:rsidR="0087262A" w:rsidRPr="003A745E">
        <w:rPr>
          <w:rFonts w:asciiTheme="minorHAnsi" w:hAnsiTheme="minorHAnsi"/>
          <w:b w:val="0"/>
          <w:szCs w:val="22"/>
        </w:rPr>
        <w:t xml:space="preserve">amendment and </w:t>
      </w:r>
      <w:r w:rsidR="008579D7">
        <w:rPr>
          <w:rFonts w:asciiTheme="minorHAnsi" w:hAnsiTheme="minorHAnsi"/>
          <w:b w:val="0"/>
          <w:szCs w:val="22"/>
        </w:rPr>
        <w:t>application of Rule 147A (</w:t>
      </w:r>
      <w:r w:rsidR="00F142B3" w:rsidRPr="003A745E">
        <w:rPr>
          <w:rFonts w:asciiTheme="minorHAnsi" w:hAnsiTheme="minorHAnsi"/>
          <w:b w:val="0"/>
          <w:szCs w:val="22"/>
        </w:rPr>
        <w:t>Exhaust Emissions – diesel powered vehicles</w:t>
      </w:r>
      <w:r w:rsidR="008579D7">
        <w:rPr>
          <w:rFonts w:asciiTheme="minorHAnsi" w:hAnsiTheme="minorHAnsi"/>
          <w:b w:val="0"/>
          <w:szCs w:val="22"/>
        </w:rPr>
        <w:t>)</w:t>
      </w:r>
      <w:r w:rsidR="00F142B3" w:rsidRPr="003A745E">
        <w:rPr>
          <w:rFonts w:asciiTheme="minorHAnsi" w:hAnsiTheme="minorHAnsi"/>
          <w:b w:val="0"/>
          <w:szCs w:val="22"/>
        </w:rPr>
        <w:t xml:space="preserve">. </w:t>
      </w:r>
    </w:p>
    <w:p w:rsidR="00F142B3" w:rsidRPr="003A745E" w:rsidRDefault="00F142B3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87262A" w:rsidRPr="003A745E" w:rsidRDefault="0087262A" w:rsidP="008579D7">
      <w:pPr>
        <w:pStyle w:val="BodyText2"/>
        <w:rPr>
          <w:rFonts w:asciiTheme="minorHAnsi" w:hAnsiTheme="minorHAnsi"/>
          <w:b w:val="0"/>
          <w:szCs w:val="22"/>
        </w:rPr>
      </w:pPr>
      <w:r w:rsidRPr="003A745E">
        <w:rPr>
          <w:rFonts w:asciiTheme="minorHAnsi" w:hAnsiTheme="minorHAnsi"/>
          <w:b w:val="0"/>
          <w:szCs w:val="22"/>
        </w:rPr>
        <w:t xml:space="preserve">This Rule refers to the DT80 test used for clearing defects. </w:t>
      </w:r>
      <w:r w:rsidR="0053691D" w:rsidRPr="003A745E">
        <w:rPr>
          <w:rFonts w:asciiTheme="minorHAnsi" w:hAnsiTheme="minorHAnsi"/>
          <w:b w:val="0"/>
          <w:szCs w:val="22"/>
        </w:rPr>
        <w:t>The NTC have indicated that in order for the AVSR to be in line with the HVN</w:t>
      </w:r>
      <w:r w:rsidR="00912104">
        <w:rPr>
          <w:rFonts w:asciiTheme="minorHAnsi" w:hAnsiTheme="minorHAnsi"/>
          <w:b w:val="0"/>
          <w:szCs w:val="22"/>
        </w:rPr>
        <w:t>L,</w:t>
      </w:r>
      <w:r w:rsidR="0053691D" w:rsidRPr="003A745E">
        <w:rPr>
          <w:rFonts w:asciiTheme="minorHAnsi" w:hAnsiTheme="minorHAnsi"/>
          <w:b w:val="0"/>
          <w:szCs w:val="22"/>
        </w:rPr>
        <w:t xml:space="preserve"> </w:t>
      </w:r>
      <w:proofErr w:type="gramStart"/>
      <w:r w:rsidR="0053691D" w:rsidRPr="003A745E">
        <w:rPr>
          <w:rFonts w:asciiTheme="minorHAnsi" w:hAnsiTheme="minorHAnsi"/>
          <w:b w:val="0"/>
          <w:szCs w:val="22"/>
        </w:rPr>
        <w:t>specially</w:t>
      </w:r>
      <w:proofErr w:type="gramEnd"/>
      <w:r w:rsidR="0053691D" w:rsidRPr="003A745E">
        <w:rPr>
          <w:rFonts w:asciiTheme="minorHAnsi" w:hAnsiTheme="minorHAnsi"/>
          <w:b w:val="0"/>
          <w:szCs w:val="22"/>
        </w:rPr>
        <w:t xml:space="preserve"> Schedule 2 clauses 96, 97 and 98, amendments need to be made to Rule 147A and Schedule 1 </w:t>
      </w:r>
      <w:r w:rsidR="00912104">
        <w:rPr>
          <w:rFonts w:asciiTheme="minorHAnsi" w:hAnsiTheme="minorHAnsi"/>
          <w:b w:val="0"/>
          <w:szCs w:val="22"/>
        </w:rPr>
        <w:t>(</w:t>
      </w:r>
      <w:r w:rsidR="0053691D" w:rsidRPr="003A745E">
        <w:rPr>
          <w:rFonts w:asciiTheme="minorHAnsi" w:hAnsiTheme="minorHAnsi"/>
          <w:b w:val="0"/>
          <w:i/>
          <w:szCs w:val="22"/>
        </w:rPr>
        <w:t>DT80 transient test procedures for testing of diesel fuelled vehicle exhaust emissions</w:t>
      </w:r>
      <w:r w:rsidR="00912104">
        <w:rPr>
          <w:rFonts w:asciiTheme="minorHAnsi" w:hAnsiTheme="minorHAnsi"/>
          <w:b w:val="0"/>
          <w:i/>
          <w:szCs w:val="22"/>
        </w:rPr>
        <w:t>)</w:t>
      </w:r>
      <w:r w:rsidR="00912104">
        <w:rPr>
          <w:rFonts w:asciiTheme="minorHAnsi" w:hAnsiTheme="minorHAnsi"/>
          <w:b w:val="0"/>
          <w:szCs w:val="22"/>
        </w:rPr>
        <w:t>. As</w:t>
      </w:r>
      <w:r w:rsidR="0053691D" w:rsidRPr="003A745E">
        <w:rPr>
          <w:rFonts w:asciiTheme="minorHAnsi" w:hAnsiTheme="minorHAnsi"/>
          <w:b w:val="0"/>
          <w:szCs w:val="22"/>
        </w:rPr>
        <w:t xml:space="preserve"> well as the insertion of a new rule 147B </w:t>
      </w:r>
      <w:r w:rsidR="008579D7">
        <w:rPr>
          <w:rFonts w:asciiTheme="minorHAnsi" w:hAnsiTheme="minorHAnsi"/>
          <w:b w:val="0"/>
          <w:i/>
          <w:szCs w:val="22"/>
        </w:rPr>
        <w:t>R</w:t>
      </w:r>
      <w:r w:rsidR="0053691D" w:rsidRPr="003A745E">
        <w:rPr>
          <w:rFonts w:asciiTheme="minorHAnsi" w:hAnsiTheme="minorHAnsi"/>
          <w:b w:val="0"/>
          <w:i/>
          <w:szCs w:val="22"/>
        </w:rPr>
        <w:t>equirements of DT80 test cycle</w:t>
      </w:r>
      <w:r w:rsidR="0053691D" w:rsidRPr="003A745E">
        <w:rPr>
          <w:rFonts w:asciiTheme="minorHAnsi" w:hAnsiTheme="minorHAnsi"/>
          <w:b w:val="0"/>
          <w:szCs w:val="22"/>
        </w:rPr>
        <w:t xml:space="preserve"> and </w:t>
      </w:r>
      <w:r w:rsidR="008579D7">
        <w:rPr>
          <w:rFonts w:asciiTheme="minorHAnsi" w:hAnsiTheme="minorHAnsi"/>
          <w:b w:val="0"/>
          <w:szCs w:val="22"/>
        </w:rPr>
        <w:t xml:space="preserve">the </w:t>
      </w:r>
      <w:r w:rsidR="0053691D" w:rsidRPr="003A745E">
        <w:rPr>
          <w:rFonts w:asciiTheme="minorHAnsi" w:hAnsiTheme="minorHAnsi"/>
          <w:b w:val="0"/>
          <w:szCs w:val="22"/>
        </w:rPr>
        <w:t xml:space="preserve">definition of </w:t>
      </w:r>
      <w:r w:rsidR="008579D7" w:rsidRPr="008579D7">
        <w:rPr>
          <w:rFonts w:asciiTheme="minorHAnsi" w:hAnsiTheme="minorHAnsi"/>
          <w:b w:val="0"/>
          <w:szCs w:val="22"/>
        </w:rPr>
        <w:t xml:space="preserve">an </w:t>
      </w:r>
      <w:r w:rsidR="0053691D" w:rsidRPr="008579D7">
        <w:rPr>
          <w:rFonts w:asciiTheme="minorHAnsi" w:hAnsiTheme="minorHAnsi"/>
          <w:b w:val="0"/>
          <w:szCs w:val="22"/>
        </w:rPr>
        <w:t>exempt vehicle.</w:t>
      </w:r>
    </w:p>
    <w:p w:rsidR="002B110C" w:rsidRPr="003A745E" w:rsidRDefault="002B110C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53691D" w:rsidRPr="003A745E" w:rsidRDefault="0053691D" w:rsidP="008579D7">
      <w:pPr>
        <w:pStyle w:val="BodyText2"/>
        <w:rPr>
          <w:rFonts w:asciiTheme="minorHAnsi" w:hAnsiTheme="minorHAnsi"/>
          <w:b w:val="0"/>
          <w:szCs w:val="22"/>
        </w:rPr>
      </w:pPr>
      <w:r w:rsidRPr="003A745E">
        <w:rPr>
          <w:rFonts w:asciiTheme="minorHAnsi" w:hAnsiTheme="minorHAnsi"/>
          <w:b w:val="0"/>
          <w:szCs w:val="22"/>
        </w:rPr>
        <w:t>The ATA believes an additional clause should be included under this Rule stating that i</w:t>
      </w:r>
      <w:r w:rsidR="008579D7">
        <w:rPr>
          <w:rFonts w:asciiTheme="minorHAnsi" w:hAnsiTheme="minorHAnsi"/>
          <w:b w:val="0"/>
          <w:szCs w:val="22"/>
        </w:rPr>
        <w:t>f</w:t>
      </w:r>
      <w:r w:rsidRPr="003A745E">
        <w:rPr>
          <w:rFonts w:asciiTheme="minorHAnsi" w:hAnsiTheme="minorHAnsi"/>
          <w:b w:val="0"/>
          <w:szCs w:val="22"/>
        </w:rPr>
        <w:t xml:space="preserve"> a vehicle ensures it meets its ‘as </w:t>
      </w:r>
      <w:r w:rsidR="00FC74E8" w:rsidRPr="003A745E">
        <w:rPr>
          <w:rFonts w:asciiTheme="minorHAnsi" w:hAnsiTheme="minorHAnsi"/>
          <w:b w:val="0"/>
          <w:szCs w:val="22"/>
        </w:rPr>
        <w:t>built</w:t>
      </w:r>
      <w:r w:rsidRPr="003A745E">
        <w:rPr>
          <w:rFonts w:asciiTheme="minorHAnsi" w:hAnsiTheme="minorHAnsi"/>
          <w:b w:val="0"/>
          <w:szCs w:val="22"/>
        </w:rPr>
        <w:t xml:space="preserve">’ standards it should not be rejected by the DT80 test and therefore defected. </w:t>
      </w:r>
    </w:p>
    <w:p w:rsidR="0053691D" w:rsidRPr="003A745E" w:rsidRDefault="0053691D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3A745E" w:rsidRDefault="0053691D" w:rsidP="008579D7">
      <w:pPr>
        <w:pStyle w:val="BodyText2"/>
        <w:rPr>
          <w:rFonts w:asciiTheme="minorHAnsi" w:hAnsiTheme="minorHAnsi"/>
          <w:b w:val="0"/>
          <w:szCs w:val="22"/>
        </w:rPr>
      </w:pPr>
      <w:r w:rsidRPr="003A745E">
        <w:rPr>
          <w:rFonts w:asciiTheme="minorHAnsi" w:hAnsiTheme="minorHAnsi"/>
          <w:b w:val="0"/>
          <w:szCs w:val="22"/>
        </w:rPr>
        <w:t>This is because</w:t>
      </w:r>
      <w:r w:rsidR="0005100C" w:rsidRPr="003A745E">
        <w:rPr>
          <w:rFonts w:asciiTheme="minorHAnsi" w:hAnsiTheme="minorHAnsi"/>
          <w:b w:val="0"/>
          <w:szCs w:val="22"/>
        </w:rPr>
        <w:t xml:space="preserve"> the test may not be suitable for older designs still in service. Further, the clause is needed to address the situation where the operator</w:t>
      </w:r>
      <w:r w:rsidR="00FC74E8" w:rsidRPr="003A745E">
        <w:rPr>
          <w:rFonts w:asciiTheme="minorHAnsi" w:hAnsiTheme="minorHAnsi"/>
          <w:b w:val="0"/>
          <w:szCs w:val="22"/>
        </w:rPr>
        <w:t>’s</w:t>
      </w:r>
      <w:r w:rsidR="0005100C" w:rsidRPr="003A745E">
        <w:rPr>
          <w:rFonts w:asciiTheme="minorHAnsi" w:hAnsiTheme="minorHAnsi"/>
          <w:b w:val="0"/>
          <w:szCs w:val="22"/>
        </w:rPr>
        <w:t xml:space="preserve"> location is not within reasonable distance of a DT80</w:t>
      </w:r>
      <w:r w:rsidR="002D4ACE" w:rsidRPr="003A745E">
        <w:rPr>
          <w:rFonts w:asciiTheme="minorHAnsi" w:hAnsiTheme="minorHAnsi"/>
          <w:b w:val="0"/>
          <w:szCs w:val="22"/>
        </w:rPr>
        <w:t xml:space="preserve"> test service, as DT80 testing ser</w:t>
      </w:r>
      <w:r w:rsidRPr="003A745E">
        <w:rPr>
          <w:rFonts w:asciiTheme="minorHAnsi" w:hAnsiTheme="minorHAnsi"/>
          <w:b w:val="0"/>
          <w:szCs w:val="22"/>
        </w:rPr>
        <w:t>vice</w:t>
      </w:r>
      <w:r w:rsidR="00912104">
        <w:rPr>
          <w:rFonts w:asciiTheme="minorHAnsi" w:hAnsiTheme="minorHAnsi"/>
          <w:b w:val="0"/>
          <w:szCs w:val="22"/>
        </w:rPr>
        <w:t>s</w:t>
      </w:r>
      <w:r w:rsidRPr="003A745E">
        <w:rPr>
          <w:rFonts w:asciiTheme="minorHAnsi" w:hAnsiTheme="minorHAnsi"/>
          <w:b w:val="0"/>
          <w:szCs w:val="22"/>
        </w:rPr>
        <w:t xml:space="preserve"> </w:t>
      </w:r>
      <w:r w:rsidR="00912104">
        <w:rPr>
          <w:rFonts w:asciiTheme="minorHAnsi" w:hAnsiTheme="minorHAnsi"/>
          <w:b w:val="0"/>
          <w:szCs w:val="22"/>
        </w:rPr>
        <w:t>are</w:t>
      </w:r>
      <w:r w:rsidRPr="003A745E">
        <w:rPr>
          <w:rFonts w:asciiTheme="minorHAnsi" w:hAnsiTheme="minorHAnsi"/>
          <w:b w:val="0"/>
          <w:szCs w:val="22"/>
        </w:rPr>
        <w:t xml:space="preserve"> not readily available. To the ATA</w:t>
      </w:r>
      <w:r w:rsidR="008579D7">
        <w:rPr>
          <w:rFonts w:asciiTheme="minorHAnsi" w:hAnsiTheme="minorHAnsi"/>
          <w:b w:val="0"/>
          <w:szCs w:val="22"/>
        </w:rPr>
        <w:t>’s</w:t>
      </w:r>
      <w:r w:rsidRPr="003A745E">
        <w:rPr>
          <w:rFonts w:asciiTheme="minorHAnsi" w:hAnsiTheme="minorHAnsi"/>
          <w:b w:val="0"/>
          <w:szCs w:val="22"/>
        </w:rPr>
        <w:t xml:space="preserve"> knowledge only </w:t>
      </w:r>
      <w:r w:rsidR="008579D7">
        <w:rPr>
          <w:rFonts w:asciiTheme="minorHAnsi" w:hAnsiTheme="minorHAnsi"/>
          <w:b w:val="0"/>
          <w:szCs w:val="22"/>
        </w:rPr>
        <w:t>three</w:t>
      </w:r>
      <w:r w:rsidRPr="003A745E">
        <w:rPr>
          <w:rFonts w:asciiTheme="minorHAnsi" w:hAnsiTheme="minorHAnsi"/>
          <w:b w:val="0"/>
          <w:szCs w:val="22"/>
        </w:rPr>
        <w:t xml:space="preserve"> DT80 services stations exist in Australia.  </w:t>
      </w:r>
    </w:p>
    <w:p w:rsidR="003A745E" w:rsidRPr="003A745E" w:rsidRDefault="003A745E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53691D" w:rsidRPr="003A745E" w:rsidRDefault="008579D7" w:rsidP="008579D7">
      <w:pPr>
        <w:pStyle w:val="BodyText2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The impact statement for the national e</w:t>
      </w:r>
      <w:r w:rsidR="008A2766" w:rsidRPr="003A745E">
        <w:rPr>
          <w:rFonts w:asciiTheme="minorHAnsi" w:hAnsiTheme="minorHAnsi"/>
          <w:b w:val="0"/>
          <w:szCs w:val="22"/>
        </w:rPr>
        <w:t xml:space="preserve">nvironment </w:t>
      </w:r>
      <w:r>
        <w:rPr>
          <w:rFonts w:asciiTheme="minorHAnsi" w:hAnsiTheme="minorHAnsi"/>
          <w:b w:val="0"/>
          <w:szCs w:val="22"/>
        </w:rPr>
        <w:t>protection m</w:t>
      </w:r>
      <w:r w:rsidR="008A2766" w:rsidRPr="003A745E">
        <w:rPr>
          <w:rFonts w:asciiTheme="minorHAnsi" w:hAnsiTheme="minorHAnsi"/>
          <w:b w:val="0"/>
          <w:szCs w:val="22"/>
        </w:rPr>
        <w:t xml:space="preserve">easure specifically states: </w:t>
      </w:r>
    </w:p>
    <w:p w:rsidR="008579D7" w:rsidRDefault="008579D7" w:rsidP="008579D7">
      <w:pPr>
        <w:pStyle w:val="BodyText2"/>
        <w:ind w:left="720"/>
        <w:rPr>
          <w:rFonts w:asciiTheme="minorHAnsi" w:hAnsiTheme="minorHAnsi"/>
          <w:b w:val="0"/>
          <w:szCs w:val="22"/>
        </w:rPr>
      </w:pPr>
    </w:p>
    <w:p w:rsidR="008A2766" w:rsidRPr="003A745E" w:rsidRDefault="008A2766" w:rsidP="008579D7">
      <w:pPr>
        <w:pStyle w:val="BodyText2"/>
        <w:ind w:left="720"/>
        <w:rPr>
          <w:rFonts w:asciiTheme="minorHAnsi" w:hAnsiTheme="minorHAnsi"/>
          <w:b w:val="0"/>
          <w:szCs w:val="22"/>
        </w:rPr>
      </w:pPr>
      <w:r w:rsidRPr="003A745E">
        <w:rPr>
          <w:rFonts w:asciiTheme="minorHAnsi" w:hAnsiTheme="minorHAnsi"/>
          <w:b w:val="0"/>
          <w:szCs w:val="22"/>
        </w:rPr>
        <w:t>The proposed in-service Standards take into account the emission standard to which a vehicle was originally constructed, normal deterioration of engine components under adequate maintenance regimes and the emissions level at which vehicle repair invariably produces an improvement in emission performance.</w:t>
      </w:r>
      <w:r w:rsidR="0053691D" w:rsidRPr="003A745E">
        <w:rPr>
          <w:rStyle w:val="FootnoteReference"/>
          <w:rFonts w:asciiTheme="minorHAnsi" w:hAnsiTheme="minorHAnsi"/>
          <w:b w:val="0"/>
          <w:szCs w:val="22"/>
        </w:rPr>
        <w:footnoteReference w:id="1"/>
      </w:r>
    </w:p>
    <w:p w:rsidR="008A2766" w:rsidRPr="003A745E" w:rsidRDefault="008A2766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4D307B" w:rsidRPr="003A745E" w:rsidRDefault="008A2766" w:rsidP="008579D7">
      <w:pPr>
        <w:pStyle w:val="BodyText2"/>
        <w:rPr>
          <w:rFonts w:asciiTheme="minorHAnsi" w:hAnsiTheme="minorHAnsi"/>
          <w:b w:val="0"/>
          <w:szCs w:val="22"/>
        </w:rPr>
      </w:pPr>
      <w:r w:rsidRPr="003A745E">
        <w:rPr>
          <w:rFonts w:asciiTheme="minorHAnsi" w:hAnsiTheme="minorHAnsi"/>
          <w:b w:val="0"/>
          <w:szCs w:val="22"/>
        </w:rPr>
        <w:t>Therefore a clause allowing a defect to be lifted even if the DT</w:t>
      </w:r>
      <w:r w:rsidR="001A40FE" w:rsidRPr="003A745E">
        <w:rPr>
          <w:rFonts w:asciiTheme="minorHAnsi" w:hAnsiTheme="minorHAnsi"/>
          <w:b w:val="0"/>
          <w:szCs w:val="22"/>
        </w:rPr>
        <w:t>80 test</w:t>
      </w:r>
      <w:r w:rsidRPr="003A745E">
        <w:rPr>
          <w:rFonts w:asciiTheme="minorHAnsi" w:hAnsiTheme="minorHAnsi"/>
          <w:b w:val="0"/>
          <w:szCs w:val="22"/>
        </w:rPr>
        <w:t xml:space="preserve"> failed or </w:t>
      </w:r>
      <w:r w:rsidR="001A40FE" w:rsidRPr="003A745E">
        <w:rPr>
          <w:rFonts w:asciiTheme="minorHAnsi" w:hAnsiTheme="minorHAnsi"/>
          <w:b w:val="0"/>
          <w:szCs w:val="22"/>
        </w:rPr>
        <w:t xml:space="preserve">was </w:t>
      </w:r>
      <w:r w:rsidRPr="003A745E">
        <w:rPr>
          <w:rFonts w:asciiTheme="minorHAnsi" w:hAnsiTheme="minorHAnsi"/>
          <w:b w:val="0"/>
          <w:szCs w:val="22"/>
        </w:rPr>
        <w:t>unavailable up</w:t>
      </w:r>
      <w:r w:rsidR="001A40FE" w:rsidRPr="003A745E">
        <w:rPr>
          <w:rFonts w:asciiTheme="minorHAnsi" w:hAnsiTheme="minorHAnsi"/>
          <w:b w:val="0"/>
          <w:szCs w:val="22"/>
        </w:rPr>
        <w:t>on evidence by a repairer that a</w:t>
      </w:r>
      <w:r w:rsidRPr="003A745E">
        <w:rPr>
          <w:rFonts w:asciiTheme="minorHAnsi" w:hAnsiTheme="minorHAnsi"/>
          <w:b w:val="0"/>
          <w:szCs w:val="22"/>
        </w:rPr>
        <w:t xml:space="preserve"> vehicle is as “originally constructed and within normal deterioration limits” before a repair or rebuild would normally be required.</w:t>
      </w:r>
    </w:p>
    <w:p w:rsidR="004D307B" w:rsidRPr="003A745E" w:rsidRDefault="004D307B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1A40FE" w:rsidRPr="003A745E" w:rsidRDefault="004D307B" w:rsidP="008579D7">
      <w:pPr>
        <w:pStyle w:val="BodyText2"/>
        <w:rPr>
          <w:rFonts w:asciiTheme="minorHAnsi" w:hAnsiTheme="minorHAnsi"/>
          <w:b w:val="0"/>
          <w:szCs w:val="22"/>
        </w:rPr>
      </w:pPr>
      <w:r w:rsidRPr="003A745E">
        <w:rPr>
          <w:rFonts w:asciiTheme="minorHAnsi" w:hAnsiTheme="minorHAnsi"/>
          <w:b w:val="0"/>
          <w:szCs w:val="22"/>
        </w:rPr>
        <w:t xml:space="preserve">This additional clause also needs to be reflected in the HVNL as well as the AVSRs. </w:t>
      </w:r>
      <w:r w:rsidR="008A2766" w:rsidRPr="003A745E">
        <w:rPr>
          <w:rFonts w:asciiTheme="minorHAnsi" w:hAnsiTheme="minorHAnsi"/>
          <w:b w:val="0"/>
          <w:szCs w:val="22"/>
        </w:rPr>
        <w:t xml:space="preserve"> </w:t>
      </w:r>
    </w:p>
    <w:p w:rsidR="001A40FE" w:rsidRPr="003A745E" w:rsidRDefault="001A40FE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1A40FE" w:rsidRPr="003A745E" w:rsidRDefault="001A40FE" w:rsidP="008579D7">
      <w:pPr>
        <w:pStyle w:val="BodyText2"/>
        <w:rPr>
          <w:rFonts w:asciiTheme="minorHAnsi" w:hAnsiTheme="minorHAnsi"/>
          <w:szCs w:val="22"/>
        </w:rPr>
      </w:pPr>
      <w:r w:rsidRPr="003A745E">
        <w:rPr>
          <w:rFonts w:asciiTheme="minorHAnsi" w:hAnsiTheme="minorHAnsi"/>
          <w:szCs w:val="22"/>
        </w:rPr>
        <w:t>Recommendation 1</w:t>
      </w:r>
    </w:p>
    <w:p w:rsidR="001A40FE" w:rsidRPr="003A745E" w:rsidRDefault="001A40FE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8579D7" w:rsidRDefault="008579D7" w:rsidP="008579D7">
      <w:pPr>
        <w:rPr>
          <w:rFonts w:asciiTheme="minorHAnsi" w:hAnsiTheme="minorHAnsi"/>
          <w:bCs/>
        </w:rPr>
      </w:pPr>
      <w:r w:rsidRPr="003A745E">
        <w:rPr>
          <w:rFonts w:asciiTheme="minorHAnsi" w:hAnsiTheme="minorHAnsi"/>
          <w:bCs/>
        </w:rPr>
        <w:t>Rule</w:t>
      </w:r>
      <w:r>
        <w:rPr>
          <w:rFonts w:asciiTheme="minorHAnsi" w:hAnsiTheme="minorHAnsi"/>
          <w:bCs/>
        </w:rPr>
        <w:t>s</w:t>
      </w:r>
      <w:r w:rsidRPr="003A745E">
        <w:rPr>
          <w:rFonts w:asciiTheme="minorHAnsi" w:hAnsiTheme="minorHAnsi"/>
          <w:bCs/>
        </w:rPr>
        <w:t xml:space="preserve"> </w:t>
      </w:r>
      <w:proofErr w:type="spellStart"/>
      <w:r w:rsidRPr="003A745E">
        <w:rPr>
          <w:rFonts w:asciiTheme="minorHAnsi" w:hAnsiTheme="minorHAnsi"/>
          <w:bCs/>
        </w:rPr>
        <w:t>147A</w:t>
      </w:r>
      <w:proofErr w:type="spellEnd"/>
      <w:r w:rsidRPr="003A745E">
        <w:rPr>
          <w:rFonts w:asciiTheme="minorHAnsi" w:hAnsiTheme="minorHAnsi"/>
          <w:bCs/>
        </w:rPr>
        <w:t xml:space="preserve"> and </w:t>
      </w:r>
      <w:proofErr w:type="spellStart"/>
      <w:r w:rsidRPr="003A745E">
        <w:rPr>
          <w:rFonts w:asciiTheme="minorHAnsi" w:hAnsiTheme="minorHAnsi"/>
          <w:bCs/>
        </w:rPr>
        <w:t>147B</w:t>
      </w:r>
      <w:proofErr w:type="spellEnd"/>
      <w:r w:rsidRPr="003A745E">
        <w:rPr>
          <w:rFonts w:asciiTheme="minorHAnsi" w:hAnsiTheme="minorHAnsi"/>
          <w:bCs/>
        </w:rPr>
        <w:t xml:space="preserve"> should have </w:t>
      </w:r>
      <w:r>
        <w:rPr>
          <w:rFonts w:asciiTheme="minorHAnsi" w:hAnsiTheme="minorHAnsi"/>
          <w:bCs/>
        </w:rPr>
        <w:t>an</w:t>
      </w:r>
      <w:r w:rsidRPr="003A745E">
        <w:rPr>
          <w:rFonts w:asciiTheme="minorHAnsi" w:hAnsiTheme="minorHAnsi"/>
          <w:bCs/>
        </w:rPr>
        <w:t xml:space="preserve"> additional clause included indicating that if a vehicle fails the DT80 test but is as originally constructed and within normal deterioration limi</w:t>
      </w:r>
      <w:r>
        <w:rPr>
          <w:rFonts w:asciiTheme="minorHAnsi" w:hAnsiTheme="minorHAnsi"/>
          <w:bCs/>
        </w:rPr>
        <w:t>ts it</w:t>
      </w:r>
      <w:r w:rsidRPr="003A745E">
        <w:rPr>
          <w:rFonts w:asciiTheme="minorHAnsi" w:hAnsiTheme="minorHAnsi"/>
          <w:bCs/>
        </w:rPr>
        <w:t xml:space="preserve"> should not be defected.</w:t>
      </w:r>
      <w:r>
        <w:rPr>
          <w:rFonts w:asciiTheme="minorHAnsi" w:hAnsiTheme="minorHAnsi"/>
          <w:bCs/>
        </w:rPr>
        <w:t xml:space="preserve"> This clause should be reflected in the HVNL. </w:t>
      </w:r>
      <w:r w:rsidRPr="003A745E">
        <w:rPr>
          <w:rFonts w:asciiTheme="minorHAnsi" w:hAnsiTheme="minorHAnsi"/>
          <w:bCs/>
        </w:rPr>
        <w:t xml:space="preserve"> </w:t>
      </w:r>
    </w:p>
    <w:p w:rsidR="008579D7" w:rsidRDefault="008579D7" w:rsidP="008579D7">
      <w:pPr>
        <w:rPr>
          <w:rFonts w:asciiTheme="minorHAnsi" w:hAnsiTheme="minorHAnsi"/>
          <w:bCs/>
        </w:rPr>
      </w:pPr>
    </w:p>
    <w:p w:rsidR="008579D7" w:rsidRDefault="008579D7" w:rsidP="008579D7">
      <w:pPr>
        <w:rPr>
          <w:rFonts w:asciiTheme="minorHAnsi" w:hAnsiTheme="minorHAnsi"/>
          <w:bCs/>
        </w:rPr>
      </w:pPr>
    </w:p>
    <w:p w:rsidR="008579D7" w:rsidRDefault="008579D7" w:rsidP="008579D7">
      <w:pPr>
        <w:rPr>
          <w:rFonts w:asciiTheme="minorHAnsi" w:hAnsiTheme="minorHAnsi"/>
          <w:bCs/>
        </w:rPr>
      </w:pPr>
    </w:p>
    <w:p w:rsidR="008579D7" w:rsidRDefault="008579D7" w:rsidP="008579D7">
      <w:pPr>
        <w:rPr>
          <w:rFonts w:asciiTheme="minorHAnsi" w:hAnsiTheme="minorHAnsi"/>
          <w:bCs/>
        </w:rPr>
      </w:pPr>
    </w:p>
    <w:p w:rsidR="008579D7" w:rsidRDefault="008579D7" w:rsidP="008579D7">
      <w:pPr>
        <w:rPr>
          <w:rFonts w:asciiTheme="minorHAnsi" w:hAnsiTheme="minorHAnsi"/>
          <w:bCs/>
        </w:rPr>
      </w:pPr>
    </w:p>
    <w:p w:rsidR="008579D7" w:rsidRDefault="008579D7" w:rsidP="008579D7">
      <w:pPr>
        <w:rPr>
          <w:rFonts w:asciiTheme="minorHAnsi" w:hAnsiTheme="minorHAnsi"/>
          <w:bCs/>
        </w:rPr>
      </w:pPr>
    </w:p>
    <w:p w:rsidR="008579D7" w:rsidRDefault="008579D7" w:rsidP="008579D7">
      <w:pPr>
        <w:rPr>
          <w:rFonts w:asciiTheme="minorHAnsi" w:hAnsiTheme="minorHAnsi"/>
          <w:bCs/>
        </w:rPr>
      </w:pPr>
    </w:p>
    <w:p w:rsidR="008579D7" w:rsidRDefault="008579D7" w:rsidP="008579D7">
      <w:pPr>
        <w:rPr>
          <w:rFonts w:asciiTheme="minorHAnsi" w:hAnsiTheme="minorHAnsi"/>
          <w:bCs/>
        </w:rPr>
      </w:pPr>
    </w:p>
    <w:p w:rsidR="008579D7" w:rsidRPr="003A745E" w:rsidRDefault="008579D7" w:rsidP="008579D7">
      <w:pPr>
        <w:rPr>
          <w:rFonts w:asciiTheme="minorHAnsi" w:hAnsiTheme="minorHAnsi"/>
          <w:bCs/>
        </w:rPr>
      </w:pPr>
    </w:p>
    <w:p w:rsidR="00D561D7" w:rsidRPr="003A745E" w:rsidRDefault="00D561D7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2B110C" w:rsidRPr="003A745E" w:rsidRDefault="002B110C" w:rsidP="008579D7">
      <w:pPr>
        <w:pStyle w:val="Heading1"/>
        <w:numPr>
          <w:ilvl w:val="1"/>
          <w:numId w:val="27"/>
        </w:numPr>
        <w:rPr>
          <w:rFonts w:asciiTheme="minorHAnsi" w:hAnsiTheme="minorHAnsi"/>
          <w:sz w:val="24"/>
          <w:szCs w:val="22"/>
        </w:rPr>
      </w:pPr>
      <w:bookmarkStart w:id="5" w:name="_Toc378931970"/>
      <w:r w:rsidRPr="003A745E">
        <w:rPr>
          <w:rFonts w:asciiTheme="minorHAnsi" w:hAnsiTheme="minorHAnsi"/>
          <w:sz w:val="24"/>
          <w:szCs w:val="22"/>
        </w:rPr>
        <w:t>Policy Changes</w:t>
      </w:r>
      <w:bookmarkEnd w:id="5"/>
    </w:p>
    <w:p w:rsidR="002B110C" w:rsidRPr="003A745E" w:rsidRDefault="002B110C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1A40FE" w:rsidRDefault="002B110C" w:rsidP="008579D7">
      <w:pPr>
        <w:pStyle w:val="BodyText2"/>
        <w:rPr>
          <w:rFonts w:asciiTheme="minorHAnsi" w:hAnsiTheme="minorHAnsi"/>
          <w:b w:val="0"/>
          <w:szCs w:val="22"/>
        </w:rPr>
      </w:pPr>
      <w:r w:rsidRPr="003A745E">
        <w:rPr>
          <w:rFonts w:asciiTheme="minorHAnsi" w:hAnsiTheme="minorHAnsi"/>
          <w:b w:val="0"/>
          <w:szCs w:val="22"/>
        </w:rPr>
        <w:t xml:space="preserve">The ATA agrees with </w:t>
      </w:r>
      <w:r w:rsidR="00841F16" w:rsidRPr="003A745E">
        <w:rPr>
          <w:rFonts w:asciiTheme="minorHAnsi" w:hAnsiTheme="minorHAnsi"/>
          <w:b w:val="0"/>
          <w:szCs w:val="22"/>
        </w:rPr>
        <w:t xml:space="preserve">the </w:t>
      </w:r>
      <w:r w:rsidRPr="003A745E">
        <w:rPr>
          <w:rFonts w:asciiTheme="minorHAnsi" w:hAnsiTheme="minorHAnsi"/>
          <w:b w:val="0"/>
          <w:szCs w:val="22"/>
        </w:rPr>
        <w:t>NTC proposed amendments for Rule</w:t>
      </w:r>
      <w:r w:rsidR="001A40FE" w:rsidRPr="003A745E">
        <w:rPr>
          <w:rFonts w:asciiTheme="minorHAnsi" w:hAnsiTheme="minorHAnsi"/>
          <w:b w:val="0"/>
          <w:szCs w:val="22"/>
        </w:rPr>
        <w:t>s</w:t>
      </w:r>
      <w:r w:rsidRPr="003A745E">
        <w:rPr>
          <w:rFonts w:asciiTheme="minorHAnsi" w:hAnsiTheme="minorHAnsi"/>
          <w:b w:val="0"/>
          <w:szCs w:val="22"/>
        </w:rPr>
        <w:t xml:space="preserve"> 10, 66 and 149. However, Rule 148</w:t>
      </w:r>
      <w:r w:rsidR="008579D7">
        <w:rPr>
          <w:rFonts w:asciiTheme="minorHAnsi" w:hAnsiTheme="minorHAnsi"/>
          <w:b w:val="0"/>
          <w:szCs w:val="22"/>
        </w:rPr>
        <w:t xml:space="preserve"> (E</w:t>
      </w:r>
      <w:r w:rsidRPr="003A745E">
        <w:rPr>
          <w:rFonts w:asciiTheme="minorHAnsi" w:hAnsiTheme="minorHAnsi"/>
          <w:b w:val="0"/>
          <w:szCs w:val="22"/>
        </w:rPr>
        <w:t>xhaust Systems</w:t>
      </w:r>
      <w:r w:rsidR="008579D7">
        <w:rPr>
          <w:rFonts w:asciiTheme="minorHAnsi" w:hAnsiTheme="minorHAnsi"/>
          <w:b w:val="0"/>
          <w:szCs w:val="22"/>
        </w:rPr>
        <w:t>)</w:t>
      </w:r>
      <w:r w:rsidRPr="003A745E">
        <w:rPr>
          <w:rFonts w:asciiTheme="minorHAnsi" w:hAnsiTheme="minorHAnsi"/>
          <w:b w:val="0"/>
          <w:szCs w:val="22"/>
        </w:rPr>
        <w:t xml:space="preserve"> needs to be re-drawn to </w:t>
      </w:r>
      <w:r w:rsidR="001A40FE" w:rsidRPr="003A745E">
        <w:rPr>
          <w:rFonts w:asciiTheme="minorHAnsi" w:hAnsiTheme="minorHAnsi"/>
          <w:b w:val="0"/>
          <w:szCs w:val="22"/>
        </w:rPr>
        <w:t xml:space="preserve">include the NC </w:t>
      </w:r>
      <w:r w:rsidR="00B72FA7" w:rsidRPr="003A745E">
        <w:rPr>
          <w:rFonts w:asciiTheme="minorHAnsi" w:hAnsiTheme="minorHAnsi"/>
          <w:b w:val="0"/>
          <w:szCs w:val="22"/>
        </w:rPr>
        <w:t>(</w:t>
      </w:r>
      <w:r w:rsidR="000A21C3" w:rsidRPr="003A745E">
        <w:rPr>
          <w:rFonts w:asciiTheme="minorHAnsi" w:hAnsiTheme="minorHAnsi"/>
          <w:b w:val="0"/>
          <w:szCs w:val="22"/>
        </w:rPr>
        <w:t xml:space="preserve">heavy goods vehicle </w:t>
      </w:r>
      <w:r w:rsidR="00CE64AA" w:rsidRPr="003A745E">
        <w:rPr>
          <w:rFonts w:asciiTheme="minorHAnsi" w:hAnsiTheme="minorHAnsi"/>
          <w:b w:val="0"/>
          <w:szCs w:val="22"/>
        </w:rPr>
        <w:t xml:space="preserve">with gross vehicle mass </w:t>
      </w:r>
      <w:r w:rsidR="00B72FA7" w:rsidRPr="003A745E">
        <w:rPr>
          <w:rFonts w:asciiTheme="minorHAnsi" w:hAnsiTheme="minorHAnsi"/>
          <w:b w:val="0"/>
          <w:szCs w:val="22"/>
        </w:rPr>
        <w:t>over 12 tonnes</w:t>
      </w:r>
      <w:r w:rsidR="000A21C3" w:rsidRPr="003A745E">
        <w:rPr>
          <w:rFonts w:asciiTheme="minorHAnsi" w:hAnsiTheme="minorHAnsi"/>
          <w:b w:val="0"/>
          <w:szCs w:val="22"/>
        </w:rPr>
        <w:t>)</w:t>
      </w:r>
      <w:r w:rsidR="00B72FA7" w:rsidRPr="003A745E">
        <w:rPr>
          <w:rFonts w:asciiTheme="minorHAnsi" w:hAnsiTheme="minorHAnsi"/>
          <w:b w:val="0"/>
          <w:szCs w:val="22"/>
        </w:rPr>
        <w:t xml:space="preserve"> </w:t>
      </w:r>
      <w:r w:rsidR="000A21C3" w:rsidRPr="003A745E">
        <w:rPr>
          <w:rFonts w:asciiTheme="minorHAnsi" w:hAnsiTheme="minorHAnsi"/>
          <w:b w:val="0"/>
          <w:szCs w:val="22"/>
        </w:rPr>
        <w:t xml:space="preserve">category. </w:t>
      </w:r>
    </w:p>
    <w:p w:rsidR="001A40FE" w:rsidRPr="003A745E" w:rsidRDefault="001A40FE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2B110C" w:rsidRPr="003A745E" w:rsidRDefault="002B110C" w:rsidP="008579D7">
      <w:pPr>
        <w:pStyle w:val="BodyText2"/>
        <w:rPr>
          <w:rFonts w:asciiTheme="minorHAnsi" w:hAnsiTheme="minorHAnsi"/>
          <w:b w:val="0"/>
          <w:szCs w:val="22"/>
        </w:rPr>
      </w:pPr>
      <w:r w:rsidRPr="003A745E">
        <w:rPr>
          <w:rFonts w:asciiTheme="minorHAnsi" w:hAnsiTheme="minorHAnsi"/>
          <w:b w:val="0"/>
          <w:szCs w:val="22"/>
        </w:rPr>
        <w:t>The existing rule prescribes exhaust outlet positioning requirements for all classes of vehicles. Compilation 4 of the ADR 42/</w:t>
      </w:r>
      <w:proofErr w:type="gramStart"/>
      <w:r w:rsidRPr="003A745E">
        <w:rPr>
          <w:rFonts w:asciiTheme="minorHAnsi" w:hAnsiTheme="minorHAnsi"/>
          <w:b w:val="0"/>
          <w:szCs w:val="22"/>
        </w:rPr>
        <w:t xml:space="preserve">04 </w:t>
      </w:r>
      <w:r w:rsidR="0063274E" w:rsidRPr="003A745E">
        <w:rPr>
          <w:rFonts w:asciiTheme="minorHAnsi" w:hAnsiTheme="minorHAnsi"/>
          <w:b w:val="0"/>
          <w:szCs w:val="22"/>
        </w:rPr>
        <w:t xml:space="preserve"> </w:t>
      </w:r>
      <w:r w:rsidR="008579D7">
        <w:rPr>
          <w:rFonts w:asciiTheme="minorHAnsi" w:hAnsiTheme="minorHAnsi"/>
          <w:b w:val="0"/>
          <w:szCs w:val="22"/>
        </w:rPr>
        <w:t>(</w:t>
      </w:r>
      <w:proofErr w:type="gramEnd"/>
      <w:r w:rsidR="0063274E" w:rsidRPr="003A745E">
        <w:rPr>
          <w:rFonts w:asciiTheme="minorHAnsi" w:hAnsiTheme="minorHAnsi"/>
          <w:b w:val="0"/>
          <w:szCs w:val="22"/>
        </w:rPr>
        <w:t>General Safety requirements</w:t>
      </w:r>
      <w:r w:rsidR="008579D7">
        <w:rPr>
          <w:rFonts w:asciiTheme="minorHAnsi" w:hAnsiTheme="minorHAnsi"/>
          <w:b w:val="0"/>
          <w:szCs w:val="22"/>
        </w:rPr>
        <w:t>)</w:t>
      </w:r>
      <w:r w:rsidR="003D5838" w:rsidRPr="003A745E">
        <w:rPr>
          <w:rFonts w:asciiTheme="minorHAnsi" w:hAnsiTheme="minorHAnsi"/>
          <w:b w:val="0"/>
          <w:szCs w:val="22"/>
        </w:rPr>
        <w:t xml:space="preserve"> deletes exhaust o</w:t>
      </w:r>
      <w:r w:rsidR="006D20A7" w:rsidRPr="003A745E">
        <w:rPr>
          <w:rFonts w:asciiTheme="minorHAnsi" w:hAnsiTheme="minorHAnsi"/>
          <w:b w:val="0"/>
          <w:szCs w:val="22"/>
        </w:rPr>
        <w:t xml:space="preserve">utlet location requirements </w:t>
      </w:r>
      <w:r w:rsidR="008579D7">
        <w:rPr>
          <w:rFonts w:asciiTheme="minorHAnsi" w:hAnsiTheme="minorHAnsi"/>
          <w:b w:val="0"/>
          <w:szCs w:val="22"/>
        </w:rPr>
        <w:t xml:space="preserve">for </w:t>
      </w:r>
      <w:r w:rsidR="003D5838" w:rsidRPr="003A745E">
        <w:rPr>
          <w:rFonts w:asciiTheme="minorHAnsi" w:hAnsiTheme="minorHAnsi"/>
          <w:b w:val="0"/>
          <w:szCs w:val="22"/>
        </w:rPr>
        <w:t xml:space="preserve">NA </w:t>
      </w:r>
      <w:r w:rsidR="000A21C3" w:rsidRPr="003A745E">
        <w:rPr>
          <w:rFonts w:asciiTheme="minorHAnsi" w:hAnsiTheme="minorHAnsi"/>
          <w:b w:val="0"/>
          <w:szCs w:val="22"/>
        </w:rPr>
        <w:t xml:space="preserve">(Light Goods Vehicle) </w:t>
      </w:r>
      <w:r w:rsidR="003D5838" w:rsidRPr="003A745E">
        <w:rPr>
          <w:rFonts w:asciiTheme="minorHAnsi" w:hAnsiTheme="minorHAnsi"/>
          <w:b w:val="0"/>
          <w:szCs w:val="22"/>
        </w:rPr>
        <w:t xml:space="preserve">and NB </w:t>
      </w:r>
      <w:r w:rsidR="000A21C3" w:rsidRPr="003A745E">
        <w:rPr>
          <w:rFonts w:asciiTheme="minorHAnsi" w:hAnsiTheme="minorHAnsi"/>
          <w:b w:val="0"/>
          <w:szCs w:val="22"/>
        </w:rPr>
        <w:t xml:space="preserve">(Medium Goods Vehicle) </w:t>
      </w:r>
      <w:r w:rsidR="003D5838" w:rsidRPr="003A745E">
        <w:rPr>
          <w:rFonts w:asciiTheme="minorHAnsi" w:hAnsiTheme="minorHAnsi"/>
          <w:b w:val="0"/>
          <w:szCs w:val="22"/>
        </w:rPr>
        <w:t>category vehicles from the ADRs. NA and NB category vehicles are vehicles built to carry good</w:t>
      </w:r>
      <w:r w:rsidR="001A40FE" w:rsidRPr="003A745E">
        <w:rPr>
          <w:rFonts w:asciiTheme="minorHAnsi" w:hAnsiTheme="minorHAnsi"/>
          <w:b w:val="0"/>
          <w:szCs w:val="22"/>
        </w:rPr>
        <w:t>s</w:t>
      </w:r>
      <w:r w:rsidR="003D5838" w:rsidRPr="003A745E">
        <w:rPr>
          <w:rFonts w:asciiTheme="minorHAnsi" w:hAnsiTheme="minorHAnsi"/>
          <w:b w:val="0"/>
          <w:szCs w:val="22"/>
        </w:rPr>
        <w:t xml:space="preserve"> with a gross vehicle mass</w:t>
      </w:r>
      <w:r w:rsidR="008579D7">
        <w:rPr>
          <w:rFonts w:asciiTheme="minorHAnsi" w:hAnsiTheme="minorHAnsi"/>
          <w:b w:val="0"/>
          <w:szCs w:val="22"/>
        </w:rPr>
        <w:t xml:space="preserve"> of</w:t>
      </w:r>
      <w:r w:rsidR="003D5838" w:rsidRPr="003A745E">
        <w:rPr>
          <w:rFonts w:asciiTheme="minorHAnsi" w:hAnsiTheme="minorHAnsi"/>
          <w:b w:val="0"/>
          <w:szCs w:val="22"/>
        </w:rPr>
        <w:t xml:space="preserve"> less than 12 tonnes. </w:t>
      </w:r>
    </w:p>
    <w:p w:rsidR="003D5838" w:rsidRPr="000D5BFB" w:rsidRDefault="003D5838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D2551F" w:rsidRPr="000D5BFB" w:rsidRDefault="00CC1CF9" w:rsidP="008579D7">
      <w:pPr>
        <w:pStyle w:val="BodyText2"/>
        <w:rPr>
          <w:rFonts w:asciiTheme="minorHAnsi" w:hAnsiTheme="minorHAnsi"/>
          <w:b w:val="0"/>
          <w:szCs w:val="22"/>
        </w:rPr>
      </w:pPr>
      <w:r w:rsidRPr="000D5BFB">
        <w:rPr>
          <w:rFonts w:asciiTheme="minorHAnsi" w:hAnsiTheme="minorHAnsi"/>
          <w:b w:val="0"/>
          <w:szCs w:val="22"/>
        </w:rPr>
        <w:t xml:space="preserve">However, the amendments omit mention of NC vehicles. </w:t>
      </w:r>
      <w:proofErr w:type="spellStart"/>
      <w:r w:rsidRPr="000D5BFB">
        <w:rPr>
          <w:rFonts w:asciiTheme="minorHAnsi" w:hAnsiTheme="minorHAnsi"/>
          <w:b w:val="0"/>
          <w:szCs w:val="22"/>
        </w:rPr>
        <w:t>NC</w:t>
      </w:r>
      <w:proofErr w:type="spellEnd"/>
      <w:r w:rsidRPr="000D5BFB">
        <w:rPr>
          <w:rFonts w:asciiTheme="minorHAnsi" w:hAnsiTheme="minorHAnsi"/>
          <w:b w:val="0"/>
          <w:szCs w:val="22"/>
        </w:rPr>
        <w:t xml:space="preserve"> </w:t>
      </w:r>
      <w:r w:rsidR="00CE64AA" w:rsidRPr="000D5BFB">
        <w:rPr>
          <w:rFonts w:asciiTheme="minorHAnsi" w:hAnsiTheme="minorHAnsi"/>
          <w:b w:val="0"/>
          <w:szCs w:val="22"/>
        </w:rPr>
        <w:t>vehicles</w:t>
      </w:r>
      <w:r w:rsidRPr="000D5BFB">
        <w:rPr>
          <w:rFonts w:asciiTheme="minorHAnsi" w:hAnsiTheme="minorHAnsi"/>
          <w:b w:val="0"/>
          <w:szCs w:val="22"/>
        </w:rPr>
        <w:t xml:space="preserve"> </w:t>
      </w:r>
      <w:r w:rsidR="008579D7">
        <w:rPr>
          <w:rFonts w:asciiTheme="minorHAnsi" w:hAnsiTheme="minorHAnsi"/>
          <w:b w:val="0"/>
          <w:szCs w:val="22"/>
        </w:rPr>
        <w:t xml:space="preserve">should also be deleted </w:t>
      </w:r>
      <w:r w:rsidRPr="000D5BFB">
        <w:rPr>
          <w:rFonts w:asciiTheme="minorHAnsi" w:hAnsiTheme="minorHAnsi"/>
          <w:b w:val="0"/>
          <w:szCs w:val="22"/>
        </w:rPr>
        <w:t xml:space="preserve">in this </w:t>
      </w:r>
      <w:r w:rsidR="006D20A7" w:rsidRPr="000D5BFB">
        <w:rPr>
          <w:rFonts w:asciiTheme="minorHAnsi" w:hAnsiTheme="minorHAnsi"/>
          <w:b w:val="0"/>
          <w:szCs w:val="22"/>
        </w:rPr>
        <w:t xml:space="preserve">amendment </w:t>
      </w:r>
      <w:r w:rsidRPr="000D5BFB">
        <w:rPr>
          <w:rFonts w:asciiTheme="minorHAnsi" w:hAnsiTheme="minorHAnsi"/>
          <w:b w:val="0"/>
          <w:szCs w:val="22"/>
        </w:rPr>
        <w:t>becaus</w:t>
      </w:r>
      <w:r w:rsidR="00D2551F" w:rsidRPr="000D5BFB">
        <w:rPr>
          <w:rFonts w:asciiTheme="minorHAnsi" w:hAnsiTheme="minorHAnsi"/>
          <w:b w:val="0"/>
          <w:szCs w:val="22"/>
        </w:rPr>
        <w:t>e</w:t>
      </w:r>
      <w:r w:rsidR="008579D7">
        <w:rPr>
          <w:rFonts w:asciiTheme="minorHAnsi" w:hAnsiTheme="minorHAnsi"/>
          <w:b w:val="0"/>
          <w:szCs w:val="22"/>
        </w:rPr>
        <w:t xml:space="preserve"> this rule</w:t>
      </w:r>
      <w:r w:rsidR="00D2551F" w:rsidRPr="000D5BFB">
        <w:rPr>
          <w:rFonts w:asciiTheme="minorHAnsi" w:hAnsiTheme="minorHAnsi"/>
          <w:b w:val="0"/>
          <w:szCs w:val="22"/>
        </w:rPr>
        <w:t xml:space="preserve"> causes conflict with the</w:t>
      </w:r>
      <w:r w:rsidR="003A745E" w:rsidRPr="000D5BFB">
        <w:rPr>
          <w:rFonts w:asciiTheme="minorHAnsi" w:hAnsiTheme="minorHAnsi"/>
          <w:b w:val="0"/>
          <w:szCs w:val="22"/>
        </w:rPr>
        <w:t xml:space="preserve"> exhaust placement </w:t>
      </w:r>
      <w:r w:rsidR="008579D7">
        <w:rPr>
          <w:rFonts w:asciiTheme="minorHAnsi" w:hAnsiTheme="minorHAnsi"/>
          <w:b w:val="0"/>
          <w:szCs w:val="22"/>
        </w:rPr>
        <w:t xml:space="preserve">and the safe loading requirements </w:t>
      </w:r>
      <w:r w:rsidR="008579D7" w:rsidRPr="000D5BFB">
        <w:rPr>
          <w:rFonts w:asciiTheme="minorHAnsi" w:hAnsiTheme="minorHAnsi"/>
          <w:b w:val="0"/>
          <w:szCs w:val="22"/>
        </w:rPr>
        <w:t>of dangerous goods vehicles</w:t>
      </w:r>
      <w:r w:rsidR="008579D7">
        <w:rPr>
          <w:rFonts w:asciiTheme="minorHAnsi" w:hAnsiTheme="minorHAnsi"/>
          <w:b w:val="0"/>
          <w:szCs w:val="22"/>
        </w:rPr>
        <w:t>.</w:t>
      </w:r>
    </w:p>
    <w:p w:rsidR="00D2551F" w:rsidRPr="003A745E" w:rsidRDefault="008579D7" w:rsidP="008579D7">
      <w:pPr>
        <w:pStyle w:val="BodyText2"/>
        <w:tabs>
          <w:tab w:val="left" w:pos="5409"/>
        </w:tabs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ab/>
      </w:r>
    </w:p>
    <w:p w:rsidR="00FC74E8" w:rsidRPr="003A745E" w:rsidRDefault="00FC74E8" w:rsidP="008579D7">
      <w:pPr>
        <w:pStyle w:val="BodyText2"/>
        <w:rPr>
          <w:rFonts w:asciiTheme="minorHAnsi" w:hAnsiTheme="minorHAnsi"/>
          <w:b w:val="0"/>
          <w:szCs w:val="22"/>
        </w:rPr>
      </w:pPr>
      <w:r w:rsidRPr="003A745E">
        <w:rPr>
          <w:rFonts w:asciiTheme="minorHAnsi" w:hAnsiTheme="minorHAnsi"/>
          <w:b w:val="0"/>
          <w:szCs w:val="22"/>
        </w:rPr>
        <w:t>Industry has been seeking removal of exhaust position controls for heavy trucks</w:t>
      </w:r>
      <w:r w:rsidR="008579D7">
        <w:rPr>
          <w:rFonts w:asciiTheme="minorHAnsi" w:hAnsiTheme="minorHAnsi"/>
          <w:b w:val="0"/>
          <w:szCs w:val="22"/>
        </w:rPr>
        <w:t xml:space="preserve"> </w:t>
      </w:r>
      <w:r w:rsidRPr="003A745E">
        <w:rPr>
          <w:rFonts w:asciiTheme="minorHAnsi" w:hAnsiTheme="minorHAnsi"/>
          <w:b w:val="0"/>
          <w:szCs w:val="22"/>
        </w:rPr>
        <w:t>as similar control</w:t>
      </w:r>
      <w:r w:rsidR="003A745E" w:rsidRPr="003A745E">
        <w:rPr>
          <w:rFonts w:asciiTheme="minorHAnsi" w:hAnsiTheme="minorHAnsi"/>
          <w:b w:val="0"/>
          <w:szCs w:val="22"/>
        </w:rPr>
        <w:t>s</w:t>
      </w:r>
      <w:r w:rsidRPr="003A745E">
        <w:rPr>
          <w:rFonts w:asciiTheme="minorHAnsi" w:hAnsiTheme="minorHAnsi"/>
          <w:b w:val="0"/>
          <w:szCs w:val="22"/>
        </w:rPr>
        <w:t xml:space="preserve"> have </w:t>
      </w:r>
      <w:r w:rsidR="008579D7">
        <w:rPr>
          <w:rFonts w:asciiTheme="minorHAnsi" w:hAnsiTheme="minorHAnsi"/>
          <w:b w:val="0"/>
          <w:szCs w:val="22"/>
        </w:rPr>
        <w:t xml:space="preserve">already </w:t>
      </w:r>
      <w:r w:rsidRPr="003A745E">
        <w:rPr>
          <w:rFonts w:asciiTheme="minorHAnsi" w:hAnsiTheme="minorHAnsi"/>
          <w:b w:val="0"/>
          <w:szCs w:val="22"/>
        </w:rPr>
        <w:t xml:space="preserve">been removed for lighter trucks and cars. </w:t>
      </w:r>
    </w:p>
    <w:p w:rsidR="00FC74E8" w:rsidRPr="003A745E" w:rsidRDefault="00FC74E8" w:rsidP="008579D7">
      <w:pPr>
        <w:pStyle w:val="BodyText2"/>
        <w:rPr>
          <w:rFonts w:asciiTheme="minorHAnsi" w:hAnsiTheme="minorHAnsi"/>
          <w:b w:val="0"/>
          <w:szCs w:val="22"/>
        </w:rPr>
      </w:pPr>
    </w:p>
    <w:p w:rsidR="002B110C" w:rsidRPr="003A745E" w:rsidRDefault="00BC6269" w:rsidP="008579D7">
      <w:pPr>
        <w:pStyle w:val="BodyText2"/>
        <w:rPr>
          <w:rFonts w:asciiTheme="minorHAnsi" w:hAnsiTheme="minorHAnsi"/>
          <w:b w:val="0"/>
          <w:szCs w:val="22"/>
        </w:rPr>
      </w:pPr>
      <w:r w:rsidRPr="003A745E">
        <w:rPr>
          <w:rFonts w:asciiTheme="minorHAnsi" w:hAnsiTheme="minorHAnsi"/>
          <w:b w:val="0"/>
          <w:szCs w:val="22"/>
        </w:rPr>
        <w:t>Please not</w:t>
      </w:r>
      <w:r w:rsidR="003A745E" w:rsidRPr="003A745E">
        <w:rPr>
          <w:rFonts w:asciiTheme="minorHAnsi" w:hAnsiTheme="minorHAnsi"/>
          <w:b w:val="0"/>
          <w:szCs w:val="22"/>
        </w:rPr>
        <w:t>e that</w:t>
      </w:r>
      <w:r w:rsidRPr="003A745E">
        <w:rPr>
          <w:rFonts w:asciiTheme="minorHAnsi" w:hAnsiTheme="minorHAnsi"/>
          <w:b w:val="0"/>
          <w:szCs w:val="22"/>
        </w:rPr>
        <w:t xml:space="preserve"> b</w:t>
      </w:r>
      <w:r w:rsidR="00FC74E8" w:rsidRPr="003A745E">
        <w:rPr>
          <w:rFonts w:asciiTheme="minorHAnsi" w:hAnsiTheme="minorHAnsi"/>
          <w:b w:val="0"/>
          <w:szCs w:val="22"/>
        </w:rPr>
        <w:t>ecause</w:t>
      </w:r>
      <w:r w:rsidR="006D20A7" w:rsidRPr="003A745E">
        <w:rPr>
          <w:rFonts w:asciiTheme="minorHAnsi" w:hAnsiTheme="minorHAnsi"/>
          <w:b w:val="0"/>
          <w:szCs w:val="22"/>
        </w:rPr>
        <w:t xml:space="preserve"> of the importance of the exhaust placement for dangerous goods</w:t>
      </w:r>
      <w:r w:rsidR="008579D7">
        <w:rPr>
          <w:rFonts w:asciiTheme="minorHAnsi" w:hAnsiTheme="minorHAnsi"/>
          <w:b w:val="0"/>
          <w:szCs w:val="22"/>
        </w:rPr>
        <w:t>,</w:t>
      </w:r>
      <w:r w:rsidR="006D20A7" w:rsidRPr="003A745E">
        <w:rPr>
          <w:rFonts w:asciiTheme="minorHAnsi" w:hAnsiTheme="minorHAnsi"/>
          <w:b w:val="0"/>
          <w:szCs w:val="22"/>
        </w:rPr>
        <w:t xml:space="preserve"> the ATA </w:t>
      </w:r>
      <w:r w:rsidR="009A3C3C" w:rsidRPr="003A745E">
        <w:rPr>
          <w:rFonts w:asciiTheme="minorHAnsi" w:hAnsiTheme="minorHAnsi"/>
          <w:b w:val="0"/>
          <w:szCs w:val="22"/>
        </w:rPr>
        <w:t>has proposed</w:t>
      </w:r>
      <w:r w:rsidR="006D20A7" w:rsidRPr="003A745E">
        <w:rPr>
          <w:rFonts w:asciiTheme="minorHAnsi" w:hAnsiTheme="minorHAnsi"/>
          <w:b w:val="0"/>
          <w:szCs w:val="22"/>
        </w:rPr>
        <w:t xml:space="preserve"> that</w:t>
      </w:r>
      <w:r w:rsidR="009A3C3C" w:rsidRPr="003A745E">
        <w:rPr>
          <w:rFonts w:asciiTheme="minorHAnsi" w:hAnsiTheme="minorHAnsi"/>
          <w:b w:val="0"/>
          <w:szCs w:val="22"/>
        </w:rPr>
        <w:t xml:space="preserve"> o</w:t>
      </w:r>
      <w:r w:rsidR="003D5838" w:rsidRPr="003A745E">
        <w:rPr>
          <w:rFonts w:asciiTheme="minorHAnsi" w:hAnsiTheme="minorHAnsi"/>
          <w:b w:val="0"/>
          <w:szCs w:val="22"/>
        </w:rPr>
        <w:t xml:space="preserve">n the Government repeal day </w:t>
      </w:r>
      <w:r w:rsidR="008869BE">
        <w:rPr>
          <w:rFonts w:asciiTheme="minorHAnsi" w:hAnsiTheme="minorHAnsi"/>
          <w:b w:val="0"/>
          <w:szCs w:val="22"/>
        </w:rPr>
        <w:t>r</w:t>
      </w:r>
      <w:r w:rsidR="008579D7">
        <w:rPr>
          <w:rFonts w:asciiTheme="minorHAnsi" w:hAnsiTheme="minorHAnsi"/>
          <w:b w:val="0"/>
          <w:szCs w:val="22"/>
        </w:rPr>
        <w:t>ules regarding</w:t>
      </w:r>
      <w:r w:rsidR="003D5838" w:rsidRPr="003A745E">
        <w:rPr>
          <w:rFonts w:asciiTheme="minorHAnsi" w:hAnsiTheme="minorHAnsi"/>
          <w:b w:val="0"/>
          <w:szCs w:val="22"/>
        </w:rPr>
        <w:t xml:space="preserve"> </w:t>
      </w:r>
      <w:r w:rsidR="003A745E" w:rsidRPr="003A745E">
        <w:rPr>
          <w:rFonts w:asciiTheme="minorHAnsi" w:hAnsiTheme="minorHAnsi"/>
          <w:b w:val="0"/>
          <w:szCs w:val="22"/>
        </w:rPr>
        <w:t xml:space="preserve">the </w:t>
      </w:r>
      <w:r w:rsidR="003D5838" w:rsidRPr="003A745E">
        <w:rPr>
          <w:rFonts w:asciiTheme="minorHAnsi" w:hAnsiTheme="minorHAnsi"/>
          <w:b w:val="0"/>
          <w:szCs w:val="22"/>
        </w:rPr>
        <w:t xml:space="preserve">exhaust position for </w:t>
      </w:r>
      <w:proofErr w:type="spellStart"/>
      <w:r w:rsidR="003D5838" w:rsidRPr="003A745E">
        <w:rPr>
          <w:rFonts w:asciiTheme="minorHAnsi" w:hAnsiTheme="minorHAnsi"/>
          <w:b w:val="0"/>
          <w:szCs w:val="22"/>
        </w:rPr>
        <w:t>NC</w:t>
      </w:r>
      <w:proofErr w:type="spellEnd"/>
      <w:r w:rsidR="003D5838" w:rsidRPr="003A745E">
        <w:rPr>
          <w:rFonts w:asciiTheme="minorHAnsi" w:hAnsiTheme="minorHAnsi"/>
          <w:b w:val="0"/>
          <w:szCs w:val="22"/>
        </w:rPr>
        <w:t xml:space="preserve"> category</w:t>
      </w:r>
      <w:r w:rsidR="006D20A7" w:rsidRPr="003A745E">
        <w:rPr>
          <w:rFonts w:asciiTheme="minorHAnsi" w:hAnsiTheme="minorHAnsi"/>
          <w:b w:val="0"/>
          <w:szCs w:val="22"/>
        </w:rPr>
        <w:t xml:space="preserve"> vehicles be repealed (in the ADRS)</w:t>
      </w:r>
      <w:r w:rsidR="003D5838" w:rsidRPr="003A745E">
        <w:rPr>
          <w:rFonts w:asciiTheme="minorHAnsi" w:hAnsiTheme="minorHAnsi"/>
          <w:b w:val="0"/>
          <w:szCs w:val="22"/>
        </w:rPr>
        <w:t xml:space="preserve">. This </w:t>
      </w:r>
      <w:r w:rsidRPr="003A745E">
        <w:rPr>
          <w:rFonts w:asciiTheme="minorHAnsi" w:hAnsiTheme="minorHAnsi"/>
          <w:b w:val="0"/>
          <w:szCs w:val="22"/>
        </w:rPr>
        <w:t xml:space="preserve">AVSR </w:t>
      </w:r>
      <w:r w:rsidR="003D5838" w:rsidRPr="003A745E">
        <w:rPr>
          <w:rFonts w:asciiTheme="minorHAnsi" w:hAnsiTheme="minorHAnsi"/>
          <w:b w:val="0"/>
          <w:szCs w:val="22"/>
        </w:rPr>
        <w:t xml:space="preserve">package should follow suit. </w:t>
      </w:r>
    </w:p>
    <w:p w:rsidR="003A745E" w:rsidRPr="003A745E" w:rsidRDefault="003A745E" w:rsidP="008579D7">
      <w:pPr>
        <w:pStyle w:val="BodyText2"/>
        <w:rPr>
          <w:rFonts w:asciiTheme="minorHAnsi" w:hAnsiTheme="minorHAnsi"/>
          <w:szCs w:val="22"/>
        </w:rPr>
      </w:pPr>
    </w:p>
    <w:p w:rsidR="006D20A7" w:rsidRPr="003A745E" w:rsidRDefault="006D20A7" w:rsidP="008579D7">
      <w:pPr>
        <w:pStyle w:val="BodyText2"/>
        <w:rPr>
          <w:rFonts w:asciiTheme="minorHAnsi" w:hAnsiTheme="minorHAnsi"/>
          <w:szCs w:val="22"/>
        </w:rPr>
      </w:pPr>
      <w:r w:rsidRPr="003A745E">
        <w:rPr>
          <w:rFonts w:asciiTheme="minorHAnsi" w:hAnsiTheme="minorHAnsi"/>
          <w:szCs w:val="22"/>
        </w:rPr>
        <w:t>Recommendation 2</w:t>
      </w:r>
    </w:p>
    <w:p w:rsidR="006D20A7" w:rsidRPr="000D5BFB" w:rsidRDefault="006D20A7" w:rsidP="008579D7">
      <w:pPr>
        <w:pStyle w:val="BodyText2"/>
        <w:rPr>
          <w:rFonts w:asciiTheme="minorHAnsi" w:hAnsiTheme="minorHAnsi"/>
          <w:szCs w:val="22"/>
        </w:rPr>
      </w:pPr>
    </w:p>
    <w:p w:rsidR="008579D7" w:rsidRPr="003A745E" w:rsidRDefault="008579D7" w:rsidP="008579D7">
      <w:pPr>
        <w:pStyle w:val="BodyText2"/>
        <w:rPr>
          <w:rFonts w:asciiTheme="minorHAnsi" w:hAnsiTheme="minorHAnsi"/>
          <w:b w:val="0"/>
          <w:szCs w:val="22"/>
        </w:rPr>
      </w:pPr>
      <w:r w:rsidRPr="003A745E">
        <w:rPr>
          <w:rFonts w:asciiTheme="minorHAnsi" w:hAnsiTheme="minorHAnsi"/>
          <w:b w:val="0"/>
          <w:szCs w:val="22"/>
        </w:rPr>
        <w:t xml:space="preserve">Rule 148 amendments regarding deleting the requirement </w:t>
      </w:r>
      <w:r>
        <w:rPr>
          <w:rFonts w:asciiTheme="minorHAnsi" w:hAnsiTheme="minorHAnsi"/>
          <w:b w:val="0"/>
          <w:szCs w:val="22"/>
        </w:rPr>
        <w:t>for exhaust placement</w:t>
      </w:r>
      <w:r w:rsidRPr="003A745E">
        <w:rPr>
          <w:rFonts w:asciiTheme="minorHAnsi" w:hAnsiTheme="minorHAnsi"/>
          <w:b w:val="0"/>
          <w:szCs w:val="22"/>
        </w:rPr>
        <w:t xml:space="preserve"> should include the </w:t>
      </w:r>
      <w:proofErr w:type="spellStart"/>
      <w:r w:rsidRPr="003A745E">
        <w:rPr>
          <w:rFonts w:asciiTheme="minorHAnsi" w:hAnsiTheme="minorHAnsi"/>
          <w:b w:val="0"/>
          <w:szCs w:val="22"/>
        </w:rPr>
        <w:t>NC</w:t>
      </w:r>
      <w:proofErr w:type="spellEnd"/>
      <w:r w:rsidRPr="003A745E">
        <w:rPr>
          <w:rFonts w:asciiTheme="minorHAnsi" w:hAnsiTheme="minorHAnsi"/>
          <w:b w:val="0"/>
          <w:szCs w:val="22"/>
        </w:rPr>
        <w:t xml:space="preserve"> vehicle category in addition to NA and </w:t>
      </w:r>
      <w:r w:rsidRPr="000D5BFB">
        <w:rPr>
          <w:rFonts w:asciiTheme="minorHAnsi" w:hAnsiTheme="minorHAnsi"/>
          <w:b w:val="0"/>
          <w:szCs w:val="22"/>
        </w:rPr>
        <w:t>NB. This is due to the industry’s need to comply with dangerous goods requirements</w:t>
      </w:r>
      <w:r w:rsidRPr="000D5BFB">
        <w:rPr>
          <w:rFonts w:asciiTheme="minorHAnsi" w:hAnsiTheme="minorHAnsi"/>
          <w:bCs w:val="0"/>
          <w:szCs w:val="22"/>
        </w:rPr>
        <w:t xml:space="preserve"> </w:t>
      </w:r>
      <w:r w:rsidRPr="000D5BFB">
        <w:rPr>
          <w:rFonts w:asciiTheme="minorHAnsi" w:hAnsiTheme="minorHAnsi"/>
          <w:b w:val="0"/>
          <w:bCs w:val="0"/>
          <w:szCs w:val="22"/>
        </w:rPr>
        <w:t>which are in conflict in the current AVSR Rule</w:t>
      </w:r>
      <w:r>
        <w:rPr>
          <w:rFonts w:asciiTheme="minorHAnsi" w:hAnsiTheme="minorHAnsi"/>
          <w:b w:val="0"/>
          <w:bCs w:val="0"/>
          <w:szCs w:val="22"/>
        </w:rPr>
        <w:t>. R</w:t>
      </w:r>
      <w:r w:rsidRPr="000D5BFB">
        <w:rPr>
          <w:rFonts w:asciiTheme="minorHAnsi" w:hAnsiTheme="minorHAnsi"/>
          <w:b w:val="0"/>
          <w:bCs w:val="0"/>
          <w:szCs w:val="22"/>
        </w:rPr>
        <w:t>equests are pending to delete these requirements from the ADR</w:t>
      </w:r>
      <w:r w:rsidRPr="000D5BFB">
        <w:rPr>
          <w:rFonts w:asciiTheme="minorHAnsi" w:hAnsiTheme="minorHAnsi"/>
          <w:b w:val="0"/>
          <w:szCs w:val="22"/>
        </w:rPr>
        <w:t>.</w:t>
      </w:r>
      <w:r w:rsidRPr="003A745E">
        <w:rPr>
          <w:rFonts w:asciiTheme="minorHAnsi" w:hAnsiTheme="minorHAnsi"/>
          <w:b w:val="0"/>
          <w:szCs w:val="22"/>
        </w:rPr>
        <w:t xml:space="preserve"> </w:t>
      </w:r>
    </w:p>
    <w:p w:rsidR="006D20A7" w:rsidRPr="000D5BFB" w:rsidRDefault="006D20A7" w:rsidP="008579D7">
      <w:pPr>
        <w:pStyle w:val="BodyText2"/>
        <w:rPr>
          <w:rFonts w:asciiTheme="minorHAnsi" w:hAnsiTheme="minorHAnsi"/>
          <w:b w:val="0"/>
          <w:szCs w:val="22"/>
        </w:rPr>
      </w:pPr>
    </w:p>
    <w:sectPr w:rsidR="006D20A7" w:rsidRPr="000D5BFB" w:rsidSect="00A914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567" w:left="1134" w:header="703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04" w:rsidRDefault="00912104" w:rsidP="000F3D9F">
      <w:r>
        <w:separator/>
      </w:r>
    </w:p>
  </w:endnote>
  <w:endnote w:type="continuationSeparator" w:id="0">
    <w:p w:rsidR="00912104" w:rsidRDefault="00912104" w:rsidP="000F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6F" w:rsidRDefault="009036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04" w:rsidRDefault="00912104" w:rsidP="008E1721">
    <w:pPr>
      <w:ind w:right="-426"/>
      <w:jc w:val="right"/>
      <w:rPr>
        <w:rFonts w:ascii="Arial" w:hAnsi="Arial" w:cs="Arial"/>
        <w:smallCaps/>
        <w:noProof/>
        <w:szCs w:val="23"/>
        <w:lang w:eastAsia="en-AU"/>
      </w:rPr>
    </w:pPr>
    <w:r>
      <w:rPr>
        <w:rFonts w:ascii="Arial" w:hAnsi="Arial" w:cs="Arial"/>
        <w:smallCaps/>
        <w:noProof/>
        <w:szCs w:val="23"/>
        <w:lang w:eastAsia="en-AU"/>
      </w:rPr>
      <w:drawing>
        <wp:inline distT="0" distB="0" distL="0" distR="0">
          <wp:extent cx="1951355" cy="846455"/>
          <wp:effectExtent l="19050" t="0" r="0" b="0"/>
          <wp:docPr id="1" name="Picture 1" descr="LHead Logo ACT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ead Logo ACT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104" w:rsidRPr="00E8056B" w:rsidRDefault="00912104" w:rsidP="00E8056B">
    <w:pPr>
      <w:jc w:val="right"/>
      <w:rPr>
        <w:rFonts w:ascii="Arial" w:hAnsi="Arial" w:cs="Arial"/>
        <w:sz w:val="16"/>
        <w:szCs w:val="16"/>
      </w:rPr>
    </w:pPr>
  </w:p>
  <w:p w:rsidR="00912104" w:rsidRPr="00E8056B" w:rsidRDefault="00912104" w:rsidP="00E8056B">
    <w:pPr>
      <w:pStyle w:val="Footer"/>
      <w:jc w:val="right"/>
      <w:rPr>
        <w:rFonts w:ascii="Arial" w:hAnsi="Arial" w:cs="Arial"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E8056B">
          <w:rPr>
            <w:rFonts w:ascii="Arial" w:hAnsi="Arial" w:cs="Arial"/>
            <w:sz w:val="16"/>
            <w:szCs w:val="16"/>
          </w:rPr>
          <w:t>Minter</w:t>
        </w:r>
      </w:smartTag>
      <w:r w:rsidRPr="00E8056B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smartTag w:uri="urn:schemas-microsoft-com:office:smarttags" w:element="PlaceName">
          <w:r w:rsidRPr="00E8056B">
            <w:rPr>
              <w:rFonts w:ascii="Arial" w:hAnsi="Arial" w:cs="Arial"/>
              <w:sz w:val="16"/>
              <w:szCs w:val="16"/>
            </w:rPr>
            <w:t>Ellison</w:t>
          </w:r>
        </w:smartTag>
      </w:smartTag>
      <w:r w:rsidRPr="00E8056B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">
        <w:r w:rsidRPr="00E8056B">
          <w:rPr>
            <w:rFonts w:ascii="Arial" w:hAnsi="Arial" w:cs="Arial"/>
            <w:sz w:val="16"/>
            <w:szCs w:val="16"/>
          </w:rPr>
          <w:t>Building</w:t>
        </w:r>
      </w:smartTag>
    </w:smartTag>
    <w:r w:rsidRPr="00E8056B">
      <w:rPr>
        <w:rFonts w:ascii="Arial" w:hAnsi="Arial" w:cs="Arial"/>
        <w:sz w:val="16"/>
        <w:szCs w:val="16"/>
      </w:rPr>
      <w:t>, 25 National Circuit, Forrest ACT 2603</w:t>
    </w:r>
  </w:p>
  <w:p w:rsidR="00912104" w:rsidRPr="00E8056B" w:rsidRDefault="00912104" w:rsidP="00E8056B">
    <w:pPr>
      <w:pStyle w:val="Footer"/>
      <w:jc w:val="right"/>
      <w:rPr>
        <w:rFonts w:ascii="Arial" w:hAnsi="Arial" w:cs="Arial"/>
        <w:sz w:val="16"/>
        <w:szCs w:val="16"/>
      </w:rPr>
    </w:pPr>
    <w:r w:rsidRPr="00E8056B">
      <w:rPr>
        <w:rFonts w:ascii="Arial" w:hAnsi="Arial" w:cs="Arial"/>
        <w:b/>
        <w:sz w:val="16"/>
        <w:szCs w:val="16"/>
      </w:rPr>
      <w:t>P</w:t>
    </w:r>
    <w:r w:rsidRPr="00E8056B">
      <w:rPr>
        <w:rFonts w:ascii="Arial" w:hAnsi="Arial" w:cs="Arial"/>
        <w:sz w:val="16"/>
        <w:szCs w:val="16"/>
      </w:rPr>
      <w:t xml:space="preserve"> 02 6253 6900 </w:t>
    </w:r>
    <w:r w:rsidRPr="00E8056B">
      <w:rPr>
        <w:rFonts w:ascii="Arial" w:hAnsi="Arial" w:cs="Arial"/>
        <w:b/>
        <w:sz w:val="16"/>
        <w:szCs w:val="16"/>
      </w:rPr>
      <w:t>F</w:t>
    </w:r>
    <w:r w:rsidRPr="00E8056B">
      <w:rPr>
        <w:rFonts w:ascii="Arial" w:hAnsi="Arial" w:cs="Arial"/>
        <w:sz w:val="16"/>
        <w:szCs w:val="16"/>
      </w:rPr>
      <w:t xml:space="preserve"> 02 6253 6999 </w:t>
    </w:r>
    <w:r w:rsidRPr="00E8056B">
      <w:rPr>
        <w:rFonts w:ascii="Arial" w:hAnsi="Arial" w:cs="Arial"/>
        <w:b/>
        <w:sz w:val="16"/>
        <w:szCs w:val="16"/>
      </w:rPr>
      <w:t>E</w:t>
    </w:r>
    <w:r w:rsidRPr="00E805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ata@</w:t>
    </w:r>
    <w:r w:rsidRPr="00E8056B">
      <w:rPr>
        <w:rFonts w:ascii="Arial" w:hAnsi="Arial" w:cs="Arial"/>
        <w:bCs/>
        <w:sz w:val="16"/>
        <w:szCs w:val="16"/>
      </w:rPr>
      <w:t>truck.net.au</w:t>
    </w:r>
    <w:r w:rsidRPr="00E8056B">
      <w:rPr>
        <w:rFonts w:ascii="Arial" w:hAnsi="Arial" w:cs="Arial"/>
        <w:b/>
        <w:sz w:val="16"/>
        <w:szCs w:val="16"/>
      </w:rPr>
      <w:t xml:space="preserve"> W</w:t>
    </w:r>
    <w:r w:rsidRPr="00E805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www.</w:t>
    </w:r>
    <w:r w:rsidRPr="00E8056B">
      <w:rPr>
        <w:rFonts w:ascii="Arial" w:hAnsi="Arial" w:cs="Arial"/>
        <w:bCs/>
        <w:sz w:val="16"/>
        <w:szCs w:val="16"/>
      </w:rPr>
      <w:t>truck.net.au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04" w:rsidRDefault="00D856AA">
    <w:pPr>
      <w:pStyle w:val="Footer"/>
      <w:jc w:val="right"/>
    </w:pPr>
    <w:fldSimple w:instr=" PAGE   \* MERGEFORMAT ">
      <w:r w:rsidR="00912104">
        <w:rPr>
          <w:noProof/>
        </w:rPr>
        <w:t>7</w:t>
      </w:r>
    </w:fldSimple>
  </w:p>
  <w:p w:rsidR="00912104" w:rsidRDefault="0091210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04" w:rsidRDefault="0091210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/>
    </w:tblPr>
    <w:tblGrid>
      <w:gridCol w:w="4927"/>
      <w:gridCol w:w="4927"/>
    </w:tblGrid>
    <w:tr w:rsidR="00912104" w:rsidRPr="00A91411" w:rsidTr="008E09F4">
      <w:trPr>
        <w:trHeight w:val="57"/>
      </w:trPr>
      <w:tc>
        <w:tcPr>
          <w:tcW w:w="4927" w:type="dxa"/>
          <w:vAlign w:val="center"/>
        </w:tcPr>
        <w:p w:rsidR="00912104" w:rsidRPr="00A91411" w:rsidRDefault="00912104" w:rsidP="008E09F4">
          <w:pPr>
            <w:pStyle w:val="Foo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ATA Submission: </w:t>
          </w:r>
          <w:r w:rsidRPr="008579D7">
            <w:rPr>
              <w:rFonts w:ascii="Arial" w:hAnsi="Arial" w:cs="Arial"/>
              <w:sz w:val="14"/>
              <w:szCs w:val="14"/>
            </w:rPr>
            <w:t>Australian Vehicle Standards Rules 8</w:t>
          </w:r>
          <w:r w:rsidRPr="008579D7">
            <w:rPr>
              <w:rFonts w:ascii="Arial" w:hAnsi="Arial" w:cs="Arial"/>
              <w:sz w:val="14"/>
              <w:szCs w:val="14"/>
              <w:vertAlign w:val="superscript"/>
            </w:rPr>
            <w:t>th</w:t>
          </w:r>
          <w:r w:rsidRPr="008579D7">
            <w:rPr>
              <w:rFonts w:ascii="Arial" w:hAnsi="Arial" w:cs="Arial"/>
              <w:sz w:val="14"/>
              <w:szCs w:val="14"/>
            </w:rPr>
            <w:t xml:space="preserve"> Amendment Package: Explanation of Amendments.  </w:t>
          </w:r>
        </w:p>
      </w:tc>
      <w:tc>
        <w:tcPr>
          <w:tcW w:w="4927" w:type="dxa"/>
          <w:vAlign w:val="center"/>
        </w:tcPr>
        <w:p w:rsidR="00912104" w:rsidRPr="00A91411" w:rsidRDefault="00912104" w:rsidP="00D735FF">
          <w:pPr>
            <w:pStyle w:val="Footer"/>
            <w:jc w:val="right"/>
            <w:rPr>
              <w:rFonts w:ascii="Arial" w:hAnsi="Arial" w:cs="Arial"/>
              <w:sz w:val="14"/>
              <w:szCs w:val="14"/>
            </w:rPr>
          </w:pPr>
          <w:r w:rsidRPr="00A91411">
            <w:rPr>
              <w:rFonts w:ascii="Arial" w:hAnsi="Arial" w:cs="Arial"/>
              <w:sz w:val="14"/>
              <w:szCs w:val="14"/>
            </w:rPr>
            <w:t xml:space="preserve">Page </w:t>
          </w:r>
          <w:r w:rsidR="00D856AA" w:rsidRPr="00A91411">
            <w:rPr>
              <w:rFonts w:ascii="Arial" w:hAnsi="Arial" w:cs="Arial"/>
              <w:sz w:val="14"/>
              <w:szCs w:val="14"/>
            </w:rPr>
            <w:fldChar w:fldCharType="begin"/>
          </w:r>
          <w:r w:rsidRPr="00A91411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="00D856AA" w:rsidRPr="00A91411">
            <w:rPr>
              <w:rFonts w:ascii="Arial" w:hAnsi="Arial" w:cs="Arial"/>
              <w:sz w:val="14"/>
              <w:szCs w:val="14"/>
            </w:rPr>
            <w:fldChar w:fldCharType="separate"/>
          </w:r>
          <w:r w:rsidR="00FC10C4">
            <w:rPr>
              <w:rFonts w:ascii="Arial" w:hAnsi="Arial" w:cs="Arial"/>
              <w:noProof/>
              <w:sz w:val="14"/>
              <w:szCs w:val="14"/>
            </w:rPr>
            <w:t>5</w:t>
          </w:r>
          <w:r w:rsidR="00D856AA" w:rsidRPr="00A91411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912104" w:rsidRPr="00A91411" w:rsidRDefault="00912104">
    <w:pPr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04" w:rsidRDefault="00912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04" w:rsidRDefault="00912104" w:rsidP="000F3D9F">
      <w:r>
        <w:separator/>
      </w:r>
    </w:p>
  </w:footnote>
  <w:footnote w:type="continuationSeparator" w:id="0">
    <w:p w:rsidR="00912104" w:rsidRDefault="00912104" w:rsidP="000F3D9F">
      <w:r>
        <w:continuationSeparator/>
      </w:r>
    </w:p>
  </w:footnote>
  <w:footnote w:id="1">
    <w:p w:rsidR="00912104" w:rsidRPr="001A40FE" w:rsidRDefault="00912104">
      <w:pPr>
        <w:pStyle w:val="FootnoteText"/>
        <w:rPr>
          <w:sz w:val="16"/>
          <w:szCs w:val="16"/>
        </w:rPr>
      </w:pPr>
      <w:r w:rsidRPr="001A40FE">
        <w:rPr>
          <w:rStyle w:val="FootnoteReference"/>
          <w:sz w:val="16"/>
          <w:szCs w:val="16"/>
        </w:rPr>
        <w:footnoteRef/>
      </w:r>
      <w:r w:rsidRPr="001A40FE">
        <w:rPr>
          <w:sz w:val="16"/>
          <w:szCs w:val="16"/>
        </w:rPr>
        <w:t xml:space="preserve"> Page iii – Diesel Emissions: Impact Statement for the Draft National Environment Protection (Diesel Vehicle Emissions Measure) - National Environment Protection Council – February 2001.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6F" w:rsidRDefault="009036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6F" w:rsidRDefault="009036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04" w:rsidRPr="00E8056B" w:rsidRDefault="00912104" w:rsidP="001C3659">
    <w:pPr>
      <w:jc w:val="right"/>
      <w:rPr>
        <w:rFonts w:ascii="Arial" w:hAnsi="Arial" w:cs="Arial"/>
        <w:color w:val="FF0000"/>
        <w:sz w:val="18"/>
        <w:szCs w:val="18"/>
      </w:rPr>
    </w:pPr>
    <w:r w:rsidRPr="00E8056B">
      <w:rPr>
        <w:rFonts w:ascii="Arial" w:hAnsi="Arial" w:cs="Arial"/>
        <w:color w:val="000064"/>
        <w:sz w:val="18"/>
        <w:szCs w:val="18"/>
      </w:rPr>
      <w:t xml:space="preserve">AUSTRALIAN TRUCKING </w:t>
    </w:r>
    <w:r w:rsidRPr="00E8056B">
      <w:rPr>
        <w:rFonts w:ascii="Arial" w:hAnsi="Arial" w:cs="Arial"/>
        <w:color w:val="FF0000"/>
        <w:sz w:val="18"/>
        <w:szCs w:val="18"/>
      </w:rPr>
      <w:t>ASSOCIATION</w:t>
    </w:r>
  </w:p>
  <w:p w:rsidR="00912104" w:rsidRDefault="0091210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04" w:rsidRDefault="0091210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04" w:rsidRPr="0019542E" w:rsidRDefault="00912104" w:rsidP="00986804">
    <w:pPr>
      <w:jc w:val="right"/>
      <w:rPr>
        <w:sz w:val="4"/>
        <w:szCs w:val="4"/>
      </w:rPr>
    </w:pPr>
    <w:r w:rsidRPr="00565F92">
      <w:rPr>
        <w:rFonts w:ascii="Arial" w:hAnsi="Arial" w:cs="Arial"/>
        <w:color w:val="000064"/>
        <w:sz w:val="18"/>
        <w:szCs w:val="18"/>
      </w:rPr>
      <w:t xml:space="preserve">AUSTRALIAN TRUCKING </w:t>
    </w:r>
    <w:r w:rsidRPr="00565F92">
      <w:rPr>
        <w:rFonts w:ascii="Arial" w:hAnsi="Arial" w:cs="Arial"/>
        <w:color w:val="FF0000"/>
        <w:sz w:val="18"/>
        <w:szCs w:val="18"/>
      </w:rPr>
      <w:t>ASSOCIATION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04" w:rsidRDefault="009121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4E0"/>
    <w:multiLevelType w:val="hybridMultilevel"/>
    <w:tmpl w:val="9CCCEF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C25D5"/>
    <w:multiLevelType w:val="hybridMultilevel"/>
    <w:tmpl w:val="0BFC0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3B44"/>
    <w:multiLevelType w:val="multilevel"/>
    <w:tmpl w:val="AE72F27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5FC303F"/>
    <w:multiLevelType w:val="hybridMultilevel"/>
    <w:tmpl w:val="5F36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A225C"/>
    <w:multiLevelType w:val="hybridMultilevel"/>
    <w:tmpl w:val="98986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35423"/>
    <w:multiLevelType w:val="hybridMultilevel"/>
    <w:tmpl w:val="8968C0E4"/>
    <w:lvl w:ilvl="0" w:tplc="815878FA">
      <w:start w:val="1"/>
      <w:numFmt w:val="decimal"/>
      <w:pStyle w:val="RecommendationStyle"/>
      <w:lvlText w:val="Recommendation %1"/>
      <w:lvlJc w:val="left"/>
      <w:pPr>
        <w:tabs>
          <w:tab w:val="num" w:pos="1192"/>
        </w:tabs>
      </w:pPr>
      <w:rPr>
        <w:rFonts w:ascii="Arial" w:hAnsi="Arial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255F86"/>
    <w:multiLevelType w:val="hybridMultilevel"/>
    <w:tmpl w:val="BCAEE120"/>
    <w:lvl w:ilvl="0" w:tplc="9D460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00E3A"/>
    <w:multiLevelType w:val="hybridMultilevel"/>
    <w:tmpl w:val="DC86A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11003"/>
    <w:multiLevelType w:val="hybridMultilevel"/>
    <w:tmpl w:val="CCD0D3D6"/>
    <w:lvl w:ilvl="0" w:tplc="C0C4C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17E22"/>
    <w:multiLevelType w:val="hybridMultilevel"/>
    <w:tmpl w:val="63623058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5D554ED9"/>
    <w:multiLevelType w:val="multilevel"/>
    <w:tmpl w:val="652E1C9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TA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ATAHeading3"/>
      <w:lvlText w:val="%1.%2.%3."/>
      <w:lvlJc w:val="left"/>
      <w:pPr>
        <w:ind w:left="1224" w:hanging="504"/>
      </w:pPr>
      <w:rPr>
        <w:rFonts w:cs="Times New Roman" w:hint="default"/>
        <w:b/>
        <w:color w:val="00006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704D12B3"/>
    <w:multiLevelType w:val="hybridMultilevel"/>
    <w:tmpl w:val="2AC8A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E2CAB"/>
    <w:multiLevelType w:val="hybridMultilevel"/>
    <w:tmpl w:val="C1CEA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A6F37"/>
    <w:multiLevelType w:val="hybridMultilevel"/>
    <w:tmpl w:val="D8E2F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9"/>
  </w:num>
  <w:num w:numId="19">
    <w:abstractNumId w:val="3"/>
  </w:num>
  <w:num w:numId="20">
    <w:abstractNumId w:val="8"/>
  </w:num>
  <w:num w:numId="21">
    <w:abstractNumId w:val="6"/>
  </w:num>
  <w:num w:numId="22">
    <w:abstractNumId w:val="12"/>
  </w:num>
  <w:num w:numId="23">
    <w:abstractNumId w:val="11"/>
  </w:num>
  <w:num w:numId="24">
    <w:abstractNumId w:val="10"/>
  </w:num>
  <w:num w:numId="25">
    <w:abstractNumId w:val="7"/>
  </w:num>
  <w:num w:numId="26">
    <w:abstractNumId w:val="10"/>
  </w:num>
  <w:num w:numId="27">
    <w:abstractNumId w:val="2"/>
  </w:num>
  <w:num w:numId="28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/>
  <w:rsids>
    <w:rsidRoot w:val="002278E9"/>
    <w:rsid w:val="0000052A"/>
    <w:rsid w:val="00000CE3"/>
    <w:rsid w:val="00001E4D"/>
    <w:rsid w:val="00005A35"/>
    <w:rsid w:val="00005E0D"/>
    <w:rsid w:val="00006297"/>
    <w:rsid w:val="00006C53"/>
    <w:rsid w:val="00007420"/>
    <w:rsid w:val="00007CA7"/>
    <w:rsid w:val="00011661"/>
    <w:rsid w:val="000156D1"/>
    <w:rsid w:val="000169A5"/>
    <w:rsid w:val="00020B9C"/>
    <w:rsid w:val="00021886"/>
    <w:rsid w:val="00027E86"/>
    <w:rsid w:val="00035CFC"/>
    <w:rsid w:val="0004081E"/>
    <w:rsid w:val="00040876"/>
    <w:rsid w:val="00040B35"/>
    <w:rsid w:val="000447B1"/>
    <w:rsid w:val="00046251"/>
    <w:rsid w:val="00050AC8"/>
    <w:rsid w:val="00050CE6"/>
    <w:rsid w:val="0005100C"/>
    <w:rsid w:val="00052E9C"/>
    <w:rsid w:val="0005411A"/>
    <w:rsid w:val="00056113"/>
    <w:rsid w:val="00056A74"/>
    <w:rsid w:val="00060365"/>
    <w:rsid w:val="0006283B"/>
    <w:rsid w:val="00063D15"/>
    <w:rsid w:val="00067698"/>
    <w:rsid w:val="00070737"/>
    <w:rsid w:val="0007542B"/>
    <w:rsid w:val="00075E7B"/>
    <w:rsid w:val="00077364"/>
    <w:rsid w:val="00083C15"/>
    <w:rsid w:val="000848A1"/>
    <w:rsid w:val="00086A56"/>
    <w:rsid w:val="00087208"/>
    <w:rsid w:val="00091EB9"/>
    <w:rsid w:val="00093679"/>
    <w:rsid w:val="00094FE3"/>
    <w:rsid w:val="00095C3B"/>
    <w:rsid w:val="00096B02"/>
    <w:rsid w:val="000976B9"/>
    <w:rsid w:val="000A2163"/>
    <w:rsid w:val="000A21C3"/>
    <w:rsid w:val="000A2BCF"/>
    <w:rsid w:val="000A4EB0"/>
    <w:rsid w:val="000A6499"/>
    <w:rsid w:val="000B0410"/>
    <w:rsid w:val="000B069A"/>
    <w:rsid w:val="000B1819"/>
    <w:rsid w:val="000B496C"/>
    <w:rsid w:val="000C0C35"/>
    <w:rsid w:val="000C4A62"/>
    <w:rsid w:val="000C7BBC"/>
    <w:rsid w:val="000D033C"/>
    <w:rsid w:val="000D0932"/>
    <w:rsid w:val="000D1B8E"/>
    <w:rsid w:val="000D5BFB"/>
    <w:rsid w:val="000D6EF5"/>
    <w:rsid w:val="000D7CD4"/>
    <w:rsid w:val="000E7B14"/>
    <w:rsid w:val="000F0F7B"/>
    <w:rsid w:val="000F314E"/>
    <w:rsid w:val="000F34E0"/>
    <w:rsid w:val="000F3D9F"/>
    <w:rsid w:val="000F53C2"/>
    <w:rsid w:val="000F566E"/>
    <w:rsid w:val="000F7F6F"/>
    <w:rsid w:val="00103E24"/>
    <w:rsid w:val="001051CB"/>
    <w:rsid w:val="00110610"/>
    <w:rsid w:val="00110A53"/>
    <w:rsid w:val="0011347C"/>
    <w:rsid w:val="00114FC5"/>
    <w:rsid w:val="001176CB"/>
    <w:rsid w:val="00121A4F"/>
    <w:rsid w:val="00121A53"/>
    <w:rsid w:val="00122285"/>
    <w:rsid w:val="00125023"/>
    <w:rsid w:val="0013041A"/>
    <w:rsid w:val="001320D2"/>
    <w:rsid w:val="00134E0D"/>
    <w:rsid w:val="001368EB"/>
    <w:rsid w:val="00141274"/>
    <w:rsid w:val="00141395"/>
    <w:rsid w:val="0014300C"/>
    <w:rsid w:val="001431E4"/>
    <w:rsid w:val="0014683D"/>
    <w:rsid w:val="00150065"/>
    <w:rsid w:val="0015062F"/>
    <w:rsid w:val="0015211C"/>
    <w:rsid w:val="00152A71"/>
    <w:rsid w:val="001533F1"/>
    <w:rsid w:val="0015359E"/>
    <w:rsid w:val="0015386B"/>
    <w:rsid w:val="001552BC"/>
    <w:rsid w:val="00160FE3"/>
    <w:rsid w:val="001611AB"/>
    <w:rsid w:val="00163879"/>
    <w:rsid w:val="00166CBD"/>
    <w:rsid w:val="00167289"/>
    <w:rsid w:val="00172FC4"/>
    <w:rsid w:val="00176C09"/>
    <w:rsid w:val="001807A8"/>
    <w:rsid w:val="001811B8"/>
    <w:rsid w:val="001855CD"/>
    <w:rsid w:val="0019276D"/>
    <w:rsid w:val="0019542E"/>
    <w:rsid w:val="00195C1B"/>
    <w:rsid w:val="00197835"/>
    <w:rsid w:val="00197B9E"/>
    <w:rsid w:val="001A0DC3"/>
    <w:rsid w:val="001A0DEF"/>
    <w:rsid w:val="001A3A47"/>
    <w:rsid w:val="001A40FE"/>
    <w:rsid w:val="001A6510"/>
    <w:rsid w:val="001B0529"/>
    <w:rsid w:val="001B0E57"/>
    <w:rsid w:val="001B2CD7"/>
    <w:rsid w:val="001B3675"/>
    <w:rsid w:val="001B36AC"/>
    <w:rsid w:val="001B3E52"/>
    <w:rsid w:val="001B5390"/>
    <w:rsid w:val="001C0C68"/>
    <w:rsid w:val="001C125D"/>
    <w:rsid w:val="001C3659"/>
    <w:rsid w:val="001C5B41"/>
    <w:rsid w:val="001D2D61"/>
    <w:rsid w:val="001D50C7"/>
    <w:rsid w:val="001D77A8"/>
    <w:rsid w:val="001D7817"/>
    <w:rsid w:val="001E0A75"/>
    <w:rsid w:val="001E1BA9"/>
    <w:rsid w:val="001E3AC7"/>
    <w:rsid w:val="001E474C"/>
    <w:rsid w:val="001E5BE0"/>
    <w:rsid w:val="001E5C29"/>
    <w:rsid w:val="001F0C6E"/>
    <w:rsid w:val="001F1455"/>
    <w:rsid w:val="001F187C"/>
    <w:rsid w:val="001F7268"/>
    <w:rsid w:val="00200A50"/>
    <w:rsid w:val="0020303C"/>
    <w:rsid w:val="002041FF"/>
    <w:rsid w:val="002067C0"/>
    <w:rsid w:val="00207DE8"/>
    <w:rsid w:val="00210088"/>
    <w:rsid w:val="0021270C"/>
    <w:rsid w:val="0021283E"/>
    <w:rsid w:val="002137D3"/>
    <w:rsid w:val="00216CE6"/>
    <w:rsid w:val="00225B24"/>
    <w:rsid w:val="002278E9"/>
    <w:rsid w:val="00230DFC"/>
    <w:rsid w:val="002333DB"/>
    <w:rsid w:val="00237081"/>
    <w:rsid w:val="00241C15"/>
    <w:rsid w:val="00243731"/>
    <w:rsid w:val="00250025"/>
    <w:rsid w:val="00252AA9"/>
    <w:rsid w:val="002542D1"/>
    <w:rsid w:val="00254301"/>
    <w:rsid w:val="002543DF"/>
    <w:rsid w:val="00255617"/>
    <w:rsid w:val="00257D05"/>
    <w:rsid w:val="00260827"/>
    <w:rsid w:val="00262C0A"/>
    <w:rsid w:val="00263A7C"/>
    <w:rsid w:val="002647C3"/>
    <w:rsid w:val="00265EB9"/>
    <w:rsid w:val="00266881"/>
    <w:rsid w:val="00266915"/>
    <w:rsid w:val="00270995"/>
    <w:rsid w:val="00277981"/>
    <w:rsid w:val="0028399D"/>
    <w:rsid w:val="00291C6F"/>
    <w:rsid w:val="0029355B"/>
    <w:rsid w:val="002938B5"/>
    <w:rsid w:val="00295501"/>
    <w:rsid w:val="00296633"/>
    <w:rsid w:val="00296A47"/>
    <w:rsid w:val="002A061F"/>
    <w:rsid w:val="002A243F"/>
    <w:rsid w:val="002A3F63"/>
    <w:rsid w:val="002A4859"/>
    <w:rsid w:val="002A4F45"/>
    <w:rsid w:val="002A5C2E"/>
    <w:rsid w:val="002A7CB7"/>
    <w:rsid w:val="002B0559"/>
    <w:rsid w:val="002B0F48"/>
    <w:rsid w:val="002B110C"/>
    <w:rsid w:val="002B172B"/>
    <w:rsid w:val="002B3668"/>
    <w:rsid w:val="002B381D"/>
    <w:rsid w:val="002B7A60"/>
    <w:rsid w:val="002C015C"/>
    <w:rsid w:val="002C0499"/>
    <w:rsid w:val="002C1799"/>
    <w:rsid w:val="002C2485"/>
    <w:rsid w:val="002C5598"/>
    <w:rsid w:val="002D4ACE"/>
    <w:rsid w:val="002D592D"/>
    <w:rsid w:val="002E06F2"/>
    <w:rsid w:val="002E226D"/>
    <w:rsid w:val="002E453E"/>
    <w:rsid w:val="002E5D82"/>
    <w:rsid w:val="002E5F39"/>
    <w:rsid w:val="002E6075"/>
    <w:rsid w:val="002E7897"/>
    <w:rsid w:val="002E7F28"/>
    <w:rsid w:val="002F2F65"/>
    <w:rsid w:val="002F3241"/>
    <w:rsid w:val="002F438C"/>
    <w:rsid w:val="002F5A71"/>
    <w:rsid w:val="002F632C"/>
    <w:rsid w:val="00302E87"/>
    <w:rsid w:val="00304B46"/>
    <w:rsid w:val="003054ED"/>
    <w:rsid w:val="00306FBF"/>
    <w:rsid w:val="00307FF7"/>
    <w:rsid w:val="00315333"/>
    <w:rsid w:val="00320AFE"/>
    <w:rsid w:val="00321A43"/>
    <w:rsid w:val="0032308F"/>
    <w:rsid w:val="00325A6C"/>
    <w:rsid w:val="003265BF"/>
    <w:rsid w:val="00330F29"/>
    <w:rsid w:val="00336512"/>
    <w:rsid w:val="00336760"/>
    <w:rsid w:val="00342826"/>
    <w:rsid w:val="00351556"/>
    <w:rsid w:val="00351657"/>
    <w:rsid w:val="003533CA"/>
    <w:rsid w:val="00354394"/>
    <w:rsid w:val="0035493A"/>
    <w:rsid w:val="00354DA6"/>
    <w:rsid w:val="00356D3A"/>
    <w:rsid w:val="00360759"/>
    <w:rsid w:val="00364BA5"/>
    <w:rsid w:val="0036535E"/>
    <w:rsid w:val="00372137"/>
    <w:rsid w:val="00374990"/>
    <w:rsid w:val="00380998"/>
    <w:rsid w:val="00384772"/>
    <w:rsid w:val="00385F00"/>
    <w:rsid w:val="00385F9E"/>
    <w:rsid w:val="0039063B"/>
    <w:rsid w:val="00390696"/>
    <w:rsid w:val="003911E4"/>
    <w:rsid w:val="0039442F"/>
    <w:rsid w:val="003A4520"/>
    <w:rsid w:val="003A745E"/>
    <w:rsid w:val="003B1937"/>
    <w:rsid w:val="003B56E7"/>
    <w:rsid w:val="003B74E4"/>
    <w:rsid w:val="003B76E9"/>
    <w:rsid w:val="003B7C68"/>
    <w:rsid w:val="003C2311"/>
    <w:rsid w:val="003C2DEE"/>
    <w:rsid w:val="003C42D2"/>
    <w:rsid w:val="003C4664"/>
    <w:rsid w:val="003C6E58"/>
    <w:rsid w:val="003D0AC3"/>
    <w:rsid w:val="003D4281"/>
    <w:rsid w:val="003D5838"/>
    <w:rsid w:val="003D5C05"/>
    <w:rsid w:val="003D6F49"/>
    <w:rsid w:val="003D75FC"/>
    <w:rsid w:val="003E2B20"/>
    <w:rsid w:val="003E7053"/>
    <w:rsid w:val="003F0B5C"/>
    <w:rsid w:val="003F0F16"/>
    <w:rsid w:val="003F6CA9"/>
    <w:rsid w:val="004008C7"/>
    <w:rsid w:val="004008D8"/>
    <w:rsid w:val="00402138"/>
    <w:rsid w:val="00403823"/>
    <w:rsid w:val="00404392"/>
    <w:rsid w:val="00404731"/>
    <w:rsid w:val="00404820"/>
    <w:rsid w:val="004053D4"/>
    <w:rsid w:val="00406222"/>
    <w:rsid w:val="00407EF2"/>
    <w:rsid w:val="00410341"/>
    <w:rsid w:val="004115B6"/>
    <w:rsid w:val="004116EA"/>
    <w:rsid w:val="00411877"/>
    <w:rsid w:val="004130C2"/>
    <w:rsid w:val="00413868"/>
    <w:rsid w:val="00415126"/>
    <w:rsid w:val="00420431"/>
    <w:rsid w:val="0042052C"/>
    <w:rsid w:val="00420F75"/>
    <w:rsid w:val="00421306"/>
    <w:rsid w:val="004229DE"/>
    <w:rsid w:val="00422BB7"/>
    <w:rsid w:val="00423CC7"/>
    <w:rsid w:val="00423CCC"/>
    <w:rsid w:val="00424D3E"/>
    <w:rsid w:val="0042557B"/>
    <w:rsid w:val="004263BE"/>
    <w:rsid w:val="00432273"/>
    <w:rsid w:val="004353C2"/>
    <w:rsid w:val="00440231"/>
    <w:rsid w:val="00443123"/>
    <w:rsid w:val="004436EB"/>
    <w:rsid w:val="00445CDC"/>
    <w:rsid w:val="00450FF8"/>
    <w:rsid w:val="00454D08"/>
    <w:rsid w:val="00455514"/>
    <w:rsid w:val="00461456"/>
    <w:rsid w:val="00462423"/>
    <w:rsid w:val="004640D1"/>
    <w:rsid w:val="00466E7F"/>
    <w:rsid w:val="00473A75"/>
    <w:rsid w:val="00475C39"/>
    <w:rsid w:val="00483F2E"/>
    <w:rsid w:val="00484068"/>
    <w:rsid w:val="00487F0F"/>
    <w:rsid w:val="004952A7"/>
    <w:rsid w:val="00495F14"/>
    <w:rsid w:val="0049636E"/>
    <w:rsid w:val="004977DE"/>
    <w:rsid w:val="004A2F6F"/>
    <w:rsid w:val="004A325F"/>
    <w:rsid w:val="004B0BF5"/>
    <w:rsid w:val="004B26EB"/>
    <w:rsid w:val="004B3EF6"/>
    <w:rsid w:val="004B4B20"/>
    <w:rsid w:val="004B509F"/>
    <w:rsid w:val="004B5FA9"/>
    <w:rsid w:val="004B6187"/>
    <w:rsid w:val="004C21BB"/>
    <w:rsid w:val="004C3CC3"/>
    <w:rsid w:val="004C7AD5"/>
    <w:rsid w:val="004C7EE3"/>
    <w:rsid w:val="004D307B"/>
    <w:rsid w:val="004D42D0"/>
    <w:rsid w:val="004D6BAD"/>
    <w:rsid w:val="004E1EBB"/>
    <w:rsid w:val="004E5885"/>
    <w:rsid w:val="004E5EA3"/>
    <w:rsid w:val="004F112A"/>
    <w:rsid w:val="004F38D2"/>
    <w:rsid w:val="004F3B07"/>
    <w:rsid w:val="004F500B"/>
    <w:rsid w:val="004F79DA"/>
    <w:rsid w:val="00500BCF"/>
    <w:rsid w:val="00501270"/>
    <w:rsid w:val="00502292"/>
    <w:rsid w:val="005022E4"/>
    <w:rsid w:val="00503808"/>
    <w:rsid w:val="00504707"/>
    <w:rsid w:val="00504A7C"/>
    <w:rsid w:val="00510952"/>
    <w:rsid w:val="00512B6D"/>
    <w:rsid w:val="005223FD"/>
    <w:rsid w:val="00525303"/>
    <w:rsid w:val="0053137B"/>
    <w:rsid w:val="0053194E"/>
    <w:rsid w:val="0053236A"/>
    <w:rsid w:val="00532BFB"/>
    <w:rsid w:val="00532EDD"/>
    <w:rsid w:val="00533381"/>
    <w:rsid w:val="00533467"/>
    <w:rsid w:val="0053492E"/>
    <w:rsid w:val="00535863"/>
    <w:rsid w:val="005359BF"/>
    <w:rsid w:val="005365E0"/>
    <w:rsid w:val="0053691D"/>
    <w:rsid w:val="00542877"/>
    <w:rsid w:val="00543163"/>
    <w:rsid w:val="00545151"/>
    <w:rsid w:val="00545CB8"/>
    <w:rsid w:val="00550256"/>
    <w:rsid w:val="005551EA"/>
    <w:rsid w:val="005571CA"/>
    <w:rsid w:val="0056179B"/>
    <w:rsid w:val="00562B69"/>
    <w:rsid w:val="0056479F"/>
    <w:rsid w:val="005648B3"/>
    <w:rsid w:val="00564DAA"/>
    <w:rsid w:val="00565F92"/>
    <w:rsid w:val="00566D20"/>
    <w:rsid w:val="0057019E"/>
    <w:rsid w:val="0057591D"/>
    <w:rsid w:val="00576ED0"/>
    <w:rsid w:val="00576F0D"/>
    <w:rsid w:val="005773CF"/>
    <w:rsid w:val="0057783F"/>
    <w:rsid w:val="00580BDF"/>
    <w:rsid w:val="0058247C"/>
    <w:rsid w:val="00587C8F"/>
    <w:rsid w:val="00593217"/>
    <w:rsid w:val="0059482D"/>
    <w:rsid w:val="00596872"/>
    <w:rsid w:val="005A2A86"/>
    <w:rsid w:val="005A38CD"/>
    <w:rsid w:val="005B0230"/>
    <w:rsid w:val="005B1179"/>
    <w:rsid w:val="005B3729"/>
    <w:rsid w:val="005B4CA8"/>
    <w:rsid w:val="005B4F21"/>
    <w:rsid w:val="005B68E9"/>
    <w:rsid w:val="005C31A0"/>
    <w:rsid w:val="005C4952"/>
    <w:rsid w:val="005C63F7"/>
    <w:rsid w:val="005D2355"/>
    <w:rsid w:val="005D2445"/>
    <w:rsid w:val="005D6CD2"/>
    <w:rsid w:val="005E117A"/>
    <w:rsid w:val="005E11FC"/>
    <w:rsid w:val="005E20ED"/>
    <w:rsid w:val="005E28FB"/>
    <w:rsid w:val="005E6294"/>
    <w:rsid w:val="005E6D8B"/>
    <w:rsid w:val="005F1009"/>
    <w:rsid w:val="005F21D1"/>
    <w:rsid w:val="005F31DF"/>
    <w:rsid w:val="005F4FBC"/>
    <w:rsid w:val="005F5ACC"/>
    <w:rsid w:val="005F69CC"/>
    <w:rsid w:val="00600132"/>
    <w:rsid w:val="006007D6"/>
    <w:rsid w:val="00600AC6"/>
    <w:rsid w:val="006014C4"/>
    <w:rsid w:val="00601B01"/>
    <w:rsid w:val="00603655"/>
    <w:rsid w:val="00605FB9"/>
    <w:rsid w:val="006109E9"/>
    <w:rsid w:val="00610CFE"/>
    <w:rsid w:val="006110D1"/>
    <w:rsid w:val="00621E77"/>
    <w:rsid w:val="006244DA"/>
    <w:rsid w:val="00625BAD"/>
    <w:rsid w:val="006278F6"/>
    <w:rsid w:val="0063274E"/>
    <w:rsid w:val="00632AA0"/>
    <w:rsid w:val="00632D04"/>
    <w:rsid w:val="006331D5"/>
    <w:rsid w:val="00634824"/>
    <w:rsid w:val="0063609C"/>
    <w:rsid w:val="0063713C"/>
    <w:rsid w:val="00640DAD"/>
    <w:rsid w:val="006458F3"/>
    <w:rsid w:val="00647FBE"/>
    <w:rsid w:val="00650566"/>
    <w:rsid w:val="006509D3"/>
    <w:rsid w:val="00651339"/>
    <w:rsid w:val="0065569F"/>
    <w:rsid w:val="00664D33"/>
    <w:rsid w:val="00666A1A"/>
    <w:rsid w:val="00667036"/>
    <w:rsid w:val="0066769B"/>
    <w:rsid w:val="006677C7"/>
    <w:rsid w:val="00683D7C"/>
    <w:rsid w:val="00685443"/>
    <w:rsid w:val="00685459"/>
    <w:rsid w:val="006858FF"/>
    <w:rsid w:val="006859F7"/>
    <w:rsid w:val="00686470"/>
    <w:rsid w:val="0069019B"/>
    <w:rsid w:val="00693363"/>
    <w:rsid w:val="0069483A"/>
    <w:rsid w:val="00694C83"/>
    <w:rsid w:val="006A0105"/>
    <w:rsid w:val="006A1612"/>
    <w:rsid w:val="006A208A"/>
    <w:rsid w:val="006A522F"/>
    <w:rsid w:val="006A52C4"/>
    <w:rsid w:val="006A7735"/>
    <w:rsid w:val="006A797E"/>
    <w:rsid w:val="006B36C8"/>
    <w:rsid w:val="006B558F"/>
    <w:rsid w:val="006C38AD"/>
    <w:rsid w:val="006C428F"/>
    <w:rsid w:val="006D20A7"/>
    <w:rsid w:val="006D4D41"/>
    <w:rsid w:val="006E26D5"/>
    <w:rsid w:val="006F050F"/>
    <w:rsid w:val="006F0C79"/>
    <w:rsid w:val="006F0EA4"/>
    <w:rsid w:val="006F2893"/>
    <w:rsid w:val="00704823"/>
    <w:rsid w:val="007062D8"/>
    <w:rsid w:val="00714204"/>
    <w:rsid w:val="007162A5"/>
    <w:rsid w:val="0071719F"/>
    <w:rsid w:val="0071762D"/>
    <w:rsid w:val="00717BAD"/>
    <w:rsid w:val="00725BC0"/>
    <w:rsid w:val="00726797"/>
    <w:rsid w:val="00726EB1"/>
    <w:rsid w:val="00734599"/>
    <w:rsid w:val="00737149"/>
    <w:rsid w:val="00740005"/>
    <w:rsid w:val="00740DF8"/>
    <w:rsid w:val="00741304"/>
    <w:rsid w:val="007468FB"/>
    <w:rsid w:val="00746BF5"/>
    <w:rsid w:val="007470CF"/>
    <w:rsid w:val="00753F95"/>
    <w:rsid w:val="0075427A"/>
    <w:rsid w:val="00754EBD"/>
    <w:rsid w:val="0076023A"/>
    <w:rsid w:val="0076304F"/>
    <w:rsid w:val="00773733"/>
    <w:rsid w:val="00774FE0"/>
    <w:rsid w:val="0077582D"/>
    <w:rsid w:val="007802E1"/>
    <w:rsid w:val="00782256"/>
    <w:rsid w:val="00791216"/>
    <w:rsid w:val="00791608"/>
    <w:rsid w:val="00792CEB"/>
    <w:rsid w:val="00793AD6"/>
    <w:rsid w:val="007940E8"/>
    <w:rsid w:val="00795047"/>
    <w:rsid w:val="007A673A"/>
    <w:rsid w:val="007A69C1"/>
    <w:rsid w:val="007B03E4"/>
    <w:rsid w:val="007B381C"/>
    <w:rsid w:val="007B3B54"/>
    <w:rsid w:val="007B3BE2"/>
    <w:rsid w:val="007B711A"/>
    <w:rsid w:val="007C385B"/>
    <w:rsid w:val="007C3F49"/>
    <w:rsid w:val="007C5AD5"/>
    <w:rsid w:val="007C746E"/>
    <w:rsid w:val="007D4DD3"/>
    <w:rsid w:val="007D608A"/>
    <w:rsid w:val="007E0ABA"/>
    <w:rsid w:val="007E3FCC"/>
    <w:rsid w:val="007E5B7F"/>
    <w:rsid w:val="007E6163"/>
    <w:rsid w:val="007E7BC6"/>
    <w:rsid w:val="007E7F34"/>
    <w:rsid w:val="007F0554"/>
    <w:rsid w:val="007F15BB"/>
    <w:rsid w:val="007F3589"/>
    <w:rsid w:val="007F4404"/>
    <w:rsid w:val="007F44BE"/>
    <w:rsid w:val="007F4C48"/>
    <w:rsid w:val="007F4E1E"/>
    <w:rsid w:val="0080211A"/>
    <w:rsid w:val="00804638"/>
    <w:rsid w:val="00804B17"/>
    <w:rsid w:val="008062BF"/>
    <w:rsid w:val="0081411F"/>
    <w:rsid w:val="00814C62"/>
    <w:rsid w:val="00821537"/>
    <w:rsid w:val="0082345F"/>
    <w:rsid w:val="00823880"/>
    <w:rsid w:val="008241D3"/>
    <w:rsid w:val="00824D91"/>
    <w:rsid w:val="00825673"/>
    <w:rsid w:val="008257C1"/>
    <w:rsid w:val="00825C08"/>
    <w:rsid w:val="0083058C"/>
    <w:rsid w:val="00830A8A"/>
    <w:rsid w:val="00831AA7"/>
    <w:rsid w:val="00832C0D"/>
    <w:rsid w:val="00836304"/>
    <w:rsid w:val="00841F16"/>
    <w:rsid w:val="00846848"/>
    <w:rsid w:val="00846C4C"/>
    <w:rsid w:val="00847D7A"/>
    <w:rsid w:val="00850D33"/>
    <w:rsid w:val="00852672"/>
    <w:rsid w:val="00852A83"/>
    <w:rsid w:val="00853473"/>
    <w:rsid w:val="00854D3E"/>
    <w:rsid w:val="008561E9"/>
    <w:rsid w:val="008579D7"/>
    <w:rsid w:val="00861D20"/>
    <w:rsid w:val="00863B20"/>
    <w:rsid w:val="008648BB"/>
    <w:rsid w:val="008679F8"/>
    <w:rsid w:val="00871395"/>
    <w:rsid w:val="0087242A"/>
    <w:rsid w:val="0087262A"/>
    <w:rsid w:val="00872E19"/>
    <w:rsid w:val="00874AAE"/>
    <w:rsid w:val="00875BF1"/>
    <w:rsid w:val="00877FD8"/>
    <w:rsid w:val="008808E3"/>
    <w:rsid w:val="00881886"/>
    <w:rsid w:val="00881A97"/>
    <w:rsid w:val="00882C09"/>
    <w:rsid w:val="00883178"/>
    <w:rsid w:val="00885151"/>
    <w:rsid w:val="008869BE"/>
    <w:rsid w:val="00890346"/>
    <w:rsid w:val="008929C1"/>
    <w:rsid w:val="00893728"/>
    <w:rsid w:val="008979D4"/>
    <w:rsid w:val="008A1D8B"/>
    <w:rsid w:val="008A2766"/>
    <w:rsid w:val="008A3948"/>
    <w:rsid w:val="008A5088"/>
    <w:rsid w:val="008A74F8"/>
    <w:rsid w:val="008B0EEF"/>
    <w:rsid w:val="008B123F"/>
    <w:rsid w:val="008B26D4"/>
    <w:rsid w:val="008B2A89"/>
    <w:rsid w:val="008B3178"/>
    <w:rsid w:val="008B4082"/>
    <w:rsid w:val="008B7312"/>
    <w:rsid w:val="008C09D2"/>
    <w:rsid w:val="008C1818"/>
    <w:rsid w:val="008C21E6"/>
    <w:rsid w:val="008C3592"/>
    <w:rsid w:val="008C38B7"/>
    <w:rsid w:val="008C6E07"/>
    <w:rsid w:val="008D0899"/>
    <w:rsid w:val="008D3C61"/>
    <w:rsid w:val="008D3E3D"/>
    <w:rsid w:val="008D42D4"/>
    <w:rsid w:val="008D451E"/>
    <w:rsid w:val="008D6B14"/>
    <w:rsid w:val="008D7A86"/>
    <w:rsid w:val="008E09F4"/>
    <w:rsid w:val="008E0C8C"/>
    <w:rsid w:val="008E0E01"/>
    <w:rsid w:val="008E1721"/>
    <w:rsid w:val="008E2AB0"/>
    <w:rsid w:val="008E3865"/>
    <w:rsid w:val="008E417C"/>
    <w:rsid w:val="008F09AB"/>
    <w:rsid w:val="008F11A3"/>
    <w:rsid w:val="008F7601"/>
    <w:rsid w:val="008F79E1"/>
    <w:rsid w:val="0090366F"/>
    <w:rsid w:val="0090378D"/>
    <w:rsid w:val="00904039"/>
    <w:rsid w:val="00907971"/>
    <w:rsid w:val="00907A05"/>
    <w:rsid w:val="009100A8"/>
    <w:rsid w:val="00912104"/>
    <w:rsid w:val="00912187"/>
    <w:rsid w:val="009132E3"/>
    <w:rsid w:val="009148AC"/>
    <w:rsid w:val="00914C1D"/>
    <w:rsid w:val="00915F3F"/>
    <w:rsid w:val="0091747C"/>
    <w:rsid w:val="00922A9B"/>
    <w:rsid w:val="009231B2"/>
    <w:rsid w:val="00923ADD"/>
    <w:rsid w:val="009279F2"/>
    <w:rsid w:val="00931B2F"/>
    <w:rsid w:val="0093306C"/>
    <w:rsid w:val="00933407"/>
    <w:rsid w:val="009339FC"/>
    <w:rsid w:val="009350CE"/>
    <w:rsid w:val="00940B60"/>
    <w:rsid w:val="00940D05"/>
    <w:rsid w:val="009433C1"/>
    <w:rsid w:val="00943829"/>
    <w:rsid w:val="00946DC5"/>
    <w:rsid w:val="00946E17"/>
    <w:rsid w:val="00947278"/>
    <w:rsid w:val="009539FA"/>
    <w:rsid w:val="00960FE0"/>
    <w:rsid w:val="0096247E"/>
    <w:rsid w:val="00964284"/>
    <w:rsid w:val="00965FDF"/>
    <w:rsid w:val="009802CB"/>
    <w:rsid w:val="0098465E"/>
    <w:rsid w:val="00985D31"/>
    <w:rsid w:val="00986804"/>
    <w:rsid w:val="00993BAE"/>
    <w:rsid w:val="00993E39"/>
    <w:rsid w:val="0099546D"/>
    <w:rsid w:val="00996370"/>
    <w:rsid w:val="00997EED"/>
    <w:rsid w:val="009A375C"/>
    <w:rsid w:val="009A3853"/>
    <w:rsid w:val="009A3C3C"/>
    <w:rsid w:val="009B0520"/>
    <w:rsid w:val="009B4220"/>
    <w:rsid w:val="009B5742"/>
    <w:rsid w:val="009C3182"/>
    <w:rsid w:val="009C34F3"/>
    <w:rsid w:val="009C5367"/>
    <w:rsid w:val="009C5B87"/>
    <w:rsid w:val="009D2F28"/>
    <w:rsid w:val="009D3731"/>
    <w:rsid w:val="009D38A1"/>
    <w:rsid w:val="009E3C08"/>
    <w:rsid w:val="009E77F2"/>
    <w:rsid w:val="009F23BD"/>
    <w:rsid w:val="009F593D"/>
    <w:rsid w:val="00A00DD8"/>
    <w:rsid w:val="00A0156A"/>
    <w:rsid w:val="00A01C6F"/>
    <w:rsid w:val="00A023EA"/>
    <w:rsid w:val="00A047CA"/>
    <w:rsid w:val="00A109D4"/>
    <w:rsid w:val="00A11FFC"/>
    <w:rsid w:val="00A12D70"/>
    <w:rsid w:val="00A1430A"/>
    <w:rsid w:val="00A21842"/>
    <w:rsid w:val="00A2215A"/>
    <w:rsid w:val="00A23059"/>
    <w:rsid w:val="00A25DE9"/>
    <w:rsid w:val="00A2623B"/>
    <w:rsid w:val="00A26B28"/>
    <w:rsid w:val="00A300E2"/>
    <w:rsid w:val="00A323BD"/>
    <w:rsid w:val="00A34465"/>
    <w:rsid w:val="00A35D7E"/>
    <w:rsid w:val="00A37A93"/>
    <w:rsid w:val="00A40847"/>
    <w:rsid w:val="00A42C3C"/>
    <w:rsid w:val="00A444A6"/>
    <w:rsid w:val="00A44995"/>
    <w:rsid w:val="00A45C33"/>
    <w:rsid w:val="00A466B6"/>
    <w:rsid w:val="00A5128C"/>
    <w:rsid w:val="00A5234E"/>
    <w:rsid w:val="00A57D2F"/>
    <w:rsid w:val="00A57DBC"/>
    <w:rsid w:val="00A60114"/>
    <w:rsid w:val="00A674D0"/>
    <w:rsid w:val="00A71BAA"/>
    <w:rsid w:val="00A74122"/>
    <w:rsid w:val="00A76443"/>
    <w:rsid w:val="00A8447E"/>
    <w:rsid w:val="00A87317"/>
    <w:rsid w:val="00A903D9"/>
    <w:rsid w:val="00A91411"/>
    <w:rsid w:val="00A931E9"/>
    <w:rsid w:val="00A94647"/>
    <w:rsid w:val="00A97A9E"/>
    <w:rsid w:val="00A97D79"/>
    <w:rsid w:val="00AA0C5A"/>
    <w:rsid w:val="00AA2D57"/>
    <w:rsid w:val="00AA3E70"/>
    <w:rsid w:val="00AA4EF1"/>
    <w:rsid w:val="00AA6BA4"/>
    <w:rsid w:val="00AA7670"/>
    <w:rsid w:val="00AB3269"/>
    <w:rsid w:val="00AB3C78"/>
    <w:rsid w:val="00AB6D11"/>
    <w:rsid w:val="00AC0045"/>
    <w:rsid w:val="00AC4A34"/>
    <w:rsid w:val="00AC5B44"/>
    <w:rsid w:val="00AD281B"/>
    <w:rsid w:val="00AD29E4"/>
    <w:rsid w:val="00AD51CE"/>
    <w:rsid w:val="00AD6FA9"/>
    <w:rsid w:val="00AD7650"/>
    <w:rsid w:val="00AE1BC2"/>
    <w:rsid w:val="00AE2DD6"/>
    <w:rsid w:val="00AE3B7B"/>
    <w:rsid w:val="00AE4A80"/>
    <w:rsid w:val="00AE71A5"/>
    <w:rsid w:val="00AE7959"/>
    <w:rsid w:val="00AF1D10"/>
    <w:rsid w:val="00AF2921"/>
    <w:rsid w:val="00AF3FFC"/>
    <w:rsid w:val="00AF440E"/>
    <w:rsid w:val="00B00132"/>
    <w:rsid w:val="00B01A6B"/>
    <w:rsid w:val="00B02FF3"/>
    <w:rsid w:val="00B030B3"/>
    <w:rsid w:val="00B05F83"/>
    <w:rsid w:val="00B064C6"/>
    <w:rsid w:val="00B115A2"/>
    <w:rsid w:val="00B13AC3"/>
    <w:rsid w:val="00B13B6B"/>
    <w:rsid w:val="00B15CA5"/>
    <w:rsid w:val="00B210F4"/>
    <w:rsid w:val="00B21270"/>
    <w:rsid w:val="00B233FA"/>
    <w:rsid w:val="00B31461"/>
    <w:rsid w:val="00B31649"/>
    <w:rsid w:val="00B335B0"/>
    <w:rsid w:val="00B344FD"/>
    <w:rsid w:val="00B3586B"/>
    <w:rsid w:val="00B3706D"/>
    <w:rsid w:val="00B40005"/>
    <w:rsid w:val="00B4177C"/>
    <w:rsid w:val="00B43A28"/>
    <w:rsid w:val="00B43E2A"/>
    <w:rsid w:val="00B440EB"/>
    <w:rsid w:val="00B53589"/>
    <w:rsid w:val="00B56443"/>
    <w:rsid w:val="00B568A2"/>
    <w:rsid w:val="00B57F53"/>
    <w:rsid w:val="00B636DC"/>
    <w:rsid w:val="00B639E5"/>
    <w:rsid w:val="00B67019"/>
    <w:rsid w:val="00B72FA7"/>
    <w:rsid w:val="00B818D7"/>
    <w:rsid w:val="00B85678"/>
    <w:rsid w:val="00B867DD"/>
    <w:rsid w:val="00B90EA0"/>
    <w:rsid w:val="00B91BAA"/>
    <w:rsid w:val="00B92538"/>
    <w:rsid w:val="00B92C39"/>
    <w:rsid w:val="00B9320E"/>
    <w:rsid w:val="00B93F58"/>
    <w:rsid w:val="00B952B5"/>
    <w:rsid w:val="00BA0CE8"/>
    <w:rsid w:val="00BA19BE"/>
    <w:rsid w:val="00BA1DFD"/>
    <w:rsid w:val="00BA1F1D"/>
    <w:rsid w:val="00BA2A76"/>
    <w:rsid w:val="00BA374F"/>
    <w:rsid w:val="00BA4A46"/>
    <w:rsid w:val="00BB48FA"/>
    <w:rsid w:val="00BB5312"/>
    <w:rsid w:val="00BC1B68"/>
    <w:rsid w:val="00BC3700"/>
    <w:rsid w:val="00BC5ACA"/>
    <w:rsid w:val="00BC5ECE"/>
    <w:rsid w:val="00BC6269"/>
    <w:rsid w:val="00BC67A2"/>
    <w:rsid w:val="00BD0BA3"/>
    <w:rsid w:val="00BD26FC"/>
    <w:rsid w:val="00BD44B9"/>
    <w:rsid w:val="00BD49FC"/>
    <w:rsid w:val="00BD4A08"/>
    <w:rsid w:val="00BD75B3"/>
    <w:rsid w:val="00BD7ACB"/>
    <w:rsid w:val="00BE0BD4"/>
    <w:rsid w:val="00BE391B"/>
    <w:rsid w:val="00BE46AC"/>
    <w:rsid w:val="00BE639D"/>
    <w:rsid w:val="00BF191E"/>
    <w:rsid w:val="00BF33B0"/>
    <w:rsid w:val="00BF59B2"/>
    <w:rsid w:val="00C00DC1"/>
    <w:rsid w:val="00C01514"/>
    <w:rsid w:val="00C061E3"/>
    <w:rsid w:val="00C06240"/>
    <w:rsid w:val="00C07770"/>
    <w:rsid w:val="00C1140C"/>
    <w:rsid w:val="00C119C2"/>
    <w:rsid w:val="00C141DF"/>
    <w:rsid w:val="00C14967"/>
    <w:rsid w:val="00C14B25"/>
    <w:rsid w:val="00C1627A"/>
    <w:rsid w:val="00C1777A"/>
    <w:rsid w:val="00C20E15"/>
    <w:rsid w:val="00C222AC"/>
    <w:rsid w:val="00C24C12"/>
    <w:rsid w:val="00C252E8"/>
    <w:rsid w:val="00C25961"/>
    <w:rsid w:val="00C26E47"/>
    <w:rsid w:val="00C3083F"/>
    <w:rsid w:val="00C31B7A"/>
    <w:rsid w:val="00C322A1"/>
    <w:rsid w:val="00C32E9F"/>
    <w:rsid w:val="00C33404"/>
    <w:rsid w:val="00C338CE"/>
    <w:rsid w:val="00C33BEE"/>
    <w:rsid w:val="00C34E14"/>
    <w:rsid w:val="00C364D6"/>
    <w:rsid w:val="00C40350"/>
    <w:rsid w:val="00C414E8"/>
    <w:rsid w:val="00C42CE4"/>
    <w:rsid w:val="00C43DAE"/>
    <w:rsid w:val="00C51A84"/>
    <w:rsid w:val="00C531DC"/>
    <w:rsid w:val="00C532F8"/>
    <w:rsid w:val="00C533FE"/>
    <w:rsid w:val="00C5376C"/>
    <w:rsid w:val="00C54162"/>
    <w:rsid w:val="00C61020"/>
    <w:rsid w:val="00C62631"/>
    <w:rsid w:val="00C65241"/>
    <w:rsid w:val="00C66CB0"/>
    <w:rsid w:val="00C676E5"/>
    <w:rsid w:val="00C7661F"/>
    <w:rsid w:val="00C76787"/>
    <w:rsid w:val="00C772E3"/>
    <w:rsid w:val="00C83A4F"/>
    <w:rsid w:val="00C84379"/>
    <w:rsid w:val="00C8621A"/>
    <w:rsid w:val="00C87641"/>
    <w:rsid w:val="00C87E4C"/>
    <w:rsid w:val="00C926AD"/>
    <w:rsid w:val="00CA04DC"/>
    <w:rsid w:val="00CA0ADF"/>
    <w:rsid w:val="00CA5938"/>
    <w:rsid w:val="00CA5DEE"/>
    <w:rsid w:val="00CB3DBD"/>
    <w:rsid w:val="00CB57FE"/>
    <w:rsid w:val="00CB7123"/>
    <w:rsid w:val="00CB73A3"/>
    <w:rsid w:val="00CB7F0D"/>
    <w:rsid w:val="00CC1CF9"/>
    <w:rsid w:val="00CC1DF7"/>
    <w:rsid w:val="00CC28C6"/>
    <w:rsid w:val="00CC4808"/>
    <w:rsid w:val="00CC4BC8"/>
    <w:rsid w:val="00CC7D66"/>
    <w:rsid w:val="00CD0400"/>
    <w:rsid w:val="00CD211F"/>
    <w:rsid w:val="00CD305B"/>
    <w:rsid w:val="00CE0D2C"/>
    <w:rsid w:val="00CE1B8A"/>
    <w:rsid w:val="00CE4936"/>
    <w:rsid w:val="00CE6205"/>
    <w:rsid w:val="00CE64AA"/>
    <w:rsid w:val="00CF27C4"/>
    <w:rsid w:val="00D06F27"/>
    <w:rsid w:val="00D073F4"/>
    <w:rsid w:val="00D1102D"/>
    <w:rsid w:val="00D13DF0"/>
    <w:rsid w:val="00D14486"/>
    <w:rsid w:val="00D244C9"/>
    <w:rsid w:val="00D24520"/>
    <w:rsid w:val="00D2551F"/>
    <w:rsid w:val="00D25BF8"/>
    <w:rsid w:val="00D262EA"/>
    <w:rsid w:val="00D31703"/>
    <w:rsid w:val="00D40AAD"/>
    <w:rsid w:val="00D47ACC"/>
    <w:rsid w:val="00D51FE7"/>
    <w:rsid w:val="00D561D7"/>
    <w:rsid w:val="00D600F0"/>
    <w:rsid w:val="00D61332"/>
    <w:rsid w:val="00D61F8A"/>
    <w:rsid w:val="00D6239E"/>
    <w:rsid w:val="00D64A4B"/>
    <w:rsid w:val="00D66A48"/>
    <w:rsid w:val="00D729B1"/>
    <w:rsid w:val="00D73129"/>
    <w:rsid w:val="00D735FF"/>
    <w:rsid w:val="00D73A3C"/>
    <w:rsid w:val="00D7483C"/>
    <w:rsid w:val="00D77CD3"/>
    <w:rsid w:val="00D813C5"/>
    <w:rsid w:val="00D83999"/>
    <w:rsid w:val="00D839BC"/>
    <w:rsid w:val="00D84ABE"/>
    <w:rsid w:val="00D84F60"/>
    <w:rsid w:val="00D856AA"/>
    <w:rsid w:val="00D87B35"/>
    <w:rsid w:val="00D9098B"/>
    <w:rsid w:val="00D91BC7"/>
    <w:rsid w:val="00D9288B"/>
    <w:rsid w:val="00D93EA3"/>
    <w:rsid w:val="00D97AD0"/>
    <w:rsid w:val="00DA2373"/>
    <w:rsid w:val="00DA6F20"/>
    <w:rsid w:val="00DB17ED"/>
    <w:rsid w:val="00DB4087"/>
    <w:rsid w:val="00DB4755"/>
    <w:rsid w:val="00DC07A6"/>
    <w:rsid w:val="00DC428F"/>
    <w:rsid w:val="00DD04B4"/>
    <w:rsid w:val="00DD2866"/>
    <w:rsid w:val="00DD332A"/>
    <w:rsid w:val="00DD3E03"/>
    <w:rsid w:val="00DD536D"/>
    <w:rsid w:val="00DD6622"/>
    <w:rsid w:val="00DE0CFB"/>
    <w:rsid w:val="00DE1245"/>
    <w:rsid w:val="00DE16B2"/>
    <w:rsid w:val="00DE17F9"/>
    <w:rsid w:val="00DE33F9"/>
    <w:rsid w:val="00DE3A75"/>
    <w:rsid w:val="00DE4C92"/>
    <w:rsid w:val="00DE6050"/>
    <w:rsid w:val="00DE65EC"/>
    <w:rsid w:val="00DF5393"/>
    <w:rsid w:val="00DF54C2"/>
    <w:rsid w:val="00DF5787"/>
    <w:rsid w:val="00DF794F"/>
    <w:rsid w:val="00E02336"/>
    <w:rsid w:val="00E02DF9"/>
    <w:rsid w:val="00E12228"/>
    <w:rsid w:val="00E15852"/>
    <w:rsid w:val="00E1630A"/>
    <w:rsid w:val="00E165CA"/>
    <w:rsid w:val="00E20A4D"/>
    <w:rsid w:val="00E23208"/>
    <w:rsid w:val="00E23A7E"/>
    <w:rsid w:val="00E24A0D"/>
    <w:rsid w:val="00E24A15"/>
    <w:rsid w:val="00E24F4E"/>
    <w:rsid w:val="00E25699"/>
    <w:rsid w:val="00E275CC"/>
    <w:rsid w:val="00E3023E"/>
    <w:rsid w:val="00E325CC"/>
    <w:rsid w:val="00E32F40"/>
    <w:rsid w:val="00E34B78"/>
    <w:rsid w:val="00E35F2E"/>
    <w:rsid w:val="00E37029"/>
    <w:rsid w:val="00E42F1F"/>
    <w:rsid w:val="00E51FE7"/>
    <w:rsid w:val="00E540E3"/>
    <w:rsid w:val="00E54235"/>
    <w:rsid w:val="00E60D4B"/>
    <w:rsid w:val="00E61488"/>
    <w:rsid w:val="00E6207F"/>
    <w:rsid w:val="00E62F37"/>
    <w:rsid w:val="00E63547"/>
    <w:rsid w:val="00E63814"/>
    <w:rsid w:val="00E651B3"/>
    <w:rsid w:val="00E8056B"/>
    <w:rsid w:val="00E80729"/>
    <w:rsid w:val="00E80CF1"/>
    <w:rsid w:val="00E96BDF"/>
    <w:rsid w:val="00EA1831"/>
    <w:rsid w:val="00EA2204"/>
    <w:rsid w:val="00EA3251"/>
    <w:rsid w:val="00EA3322"/>
    <w:rsid w:val="00EA3F83"/>
    <w:rsid w:val="00EA5BA3"/>
    <w:rsid w:val="00EA6150"/>
    <w:rsid w:val="00EA6D50"/>
    <w:rsid w:val="00EB0C47"/>
    <w:rsid w:val="00EB3E6E"/>
    <w:rsid w:val="00EC042B"/>
    <w:rsid w:val="00EC4A38"/>
    <w:rsid w:val="00ED0C35"/>
    <w:rsid w:val="00ED185A"/>
    <w:rsid w:val="00ED19EB"/>
    <w:rsid w:val="00ED1D0D"/>
    <w:rsid w:val="00ED2995"/>
    <w:rsid w:val="00ED39AB"/>
    <w:rsid w:val="00EE1FFF"/>
    <w:rsid w:val="00EE2127"/>
    <w:rsid w:val="00EE22F2"/>
    <w:rsid w:val="00EE4129"/>
    <w:rsid w:val="00EE49F2"/>
    <w:rsid w:val="00EE65C7"/>
    <w:rsid w:val="00EF081A"/>
    <w:rsid w:val="00EF5F37"/>
    <w:rsid w:val="00F03AB9"/>
    <w:rsid w:val="00F04185"/>
    <w:rsid w:val="00F142B3"/>
    <w:rsid w:val="00F16C2D"/>
    <w:rsid w:val="00F17E6F"/>
    <w:rsid w:val="00F2072F"/>
    <w:rsid w:val="00F21CE8"/>
    <w:rsid w:val="00F24FD9"/>
    <w:rsid w:val="00F25484"/>
    <w:rsid w:val="00F254C0"/>
    <w:rsid w:val="00F26132"/>
    <w:rsid w:val="00F32DC1"/>
    <w:rsid w:val="00F33008"/>
    <w:rsid w:val="00F33089"/>
    <w:rsid w:val="00F35870"/>
    <w:rsid w:val="00F4251D"/>
    <w:rsid w:val="00F4543E"/>
    <w:rsid w:val="00F51ADE"/>
    <w:rsid w:val="00F51B8C"/>
    <w:rsid w:val="00F52310"/>
    <w:rsid w:val="00F5399F"/>
    <w:rsid w:val="00F70531"/>
    <w:rsid w:val="00F73ACC"/>
    <w:rsid w:val="00F811F7"/>
    <w:rsid w:val="00F84D4F"/>
    <w:rsid w:val="00F85E0E"/>
    <w:rsid w:val="00F946DC"/>
    <w:rsid w:val="00F971D6"/>
    <w:rsid w:val="00F97FDE"/>
    <w:rsid w:val="00FA2450"/>
    <w:rsid w:val="00FA2486"/>
    <w:rsid w:val="00FA321F"/>
    <w:rsid w:val="00FA6CB0"/>
    <w:rsid w:val="00FB5CCE"/>
    <w:rsid w:val="00FB7B56"/>
    <w:rsid w:val="00FC10C4"/>
    <w:rsid w:val="00FC1291"/>
    <w:rsid w:val="00FC1708"/>
    <w:rsid w:val="00FC2E35"/>
    <w:rsid w:val="00FC3859"/>
    <w:rsid w:val="00FC54E7"/>
    <w:rsid w:val="00FC7369"/>
    <w:rsid w:val="00FC74E8"/>
    <w:rsid w:val="00FD3FFC"/>
    <w:rsid w:val="00FD4E53"/>
    <w:rsid w:val="00FD7129"/>
    <w:rsid w:val="00FD74A6"/>
    <w:rsid w:val="00FE6FC6"/>
    <w:rsid w:val="00FE75E5"/>
    <w:rsid w:val="00FF0E35"/>
    <w:rsid w:val="00FF4F15"/>
    <w:rsid w:val="00FF66DB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7A"/>
    <w:rPr>
      <w:sz w:val="22"/>
      <w:szCs w:val="22"/>
      <w:lang w:eastAsia="en-US"/>
    </w:rPr>
  </w:style>
  <w:style w:type="paragraph" w:styleId="Heading1">
    <w:name w:val="heading 1"/>
    <w:aliases w:val="ATA Submission Heading 1"/>
    <w:basedOn w:val="Normal"/>
    <w:next w:val="Normal"/>
    <w:link w:val="Heading1Char"/>
    <w:uiPriority w:val="99"/>
    <w:qFormat/>
    <w:rsid w:val="003B74E4"/>
    <w:pPr>
      <w:numPr>
        <w:numId w:val="1"/>
      </w:numPr>
      <w:outlineLvl w:val="0"/>
    </w:pPr>
    <w:rPr>
      <w:rFonts w:ascii="Arial" w:hAnsi="Arial" w:cs="Arial"/>
      <w:b/>
      <w:color w:val="000064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85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53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TA Submission Heading 1 Char"/>
    <w:basedOn w:val="DefaultParagraphFont"/>
    <w:link w:val="Heading1"/>
    <w:uiPriority w:val="99"/>
    <w:locked/>
    <w:rsid w:val="003B74E4"/>
    <w:rPr>
      <w:rFonts w:ascii="Arial" w:hAnsi="Arial" w:cs="Arial"/>
      <w:b/>
      <w:color w:val="000064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685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53C2"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162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4B6187"/>
    <w:rPr>
      <w:rFonts w:ascii="Arial" w:eastAsia="Times New Roman" w:hAnsi="Arial" w:cs="Arial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6187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F3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D9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F3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D9F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F53C2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F53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F53C2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F53C2"/>
    <w:rPr>
      <w:rFonts w:cs="Times New Roman"/>
      <w:vertAlign w:val="superscript"/>
    </w:rPr>
  </w:style>
  <w:style w:type="paragraph" w:customStyle="1" w:styleId="Default">
    <w:name w:val="Default"/>
    <w:link w:val="DefaultChar"/>
    <w:uiPriority w:val="99"/>
    <w:rsid w:val="000F53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F53C2"/>
    <w:rPr>
      <w:rFonts w:ascii="Times New Roman" w:hAnsi="Times New Roman"/>
      <w:color w:val="000000"/>
      <w:sz w:val="24"/>
      <w:szCs w:val="24"/>
      <w:lang w:val="en-AU" w:eastAsia="en-AU" w:bidi="ar-SA"/>
    </w:rPr>
  </w:style>
  <w:style w:type="paragraph" w:customStyle="1" w:styleId="ATAHeading2">
    <w:name w:val="ATA Heading 2"/>
    <w:basedOn w:val="Normal"/>
    <w:link w:val="ATAHeading2Char"/>
    <w:uiPriority w:val="99"/>
    <w:rsid w:val="00B13B6B"/>
    <w:pPr>
      <w:numPr>
        <w:ilvl w:val="1"/>
        <w:numId w:val="1"/>
      </w:numPr>
      <w:spacing w:before="120" w:after="120" w:line="276" w:lineRule="auto"/>
    </w:pPr>
    <w:rPr>
      <w:rFonts w:ascii="Arial" w:hAnsi="Arial" w:cs="Arial"/>
      <w:b/>
      <w:color w:val="000064"/>
      <w:sz w:val="26"/>
      <w:szCs w:val="26"/>
    </w:rPr>
  </w:style>
  <w:style w:type="character" w:customStyle="1" w:styleId="ATAHeading2Char">
    <w:name w:val="ATA Heading 2 Char"/>
    <w:basedOn w:val="DefaultParagraphFont"/>
    <w:link w:val="ATAHeading2"/>
    <w:uiPriority w:val="99"/>
    <w:locked/>
    <w:rsid w:val="00B13B6B"/>
    <w:rPr>
      <w:rFonts w:ascii="Arial" w:hAnsi="Arial" w:cs="Arial"/>
      <w:b/>
      <w:color w:val="000064"/>
      <w:sz w:val="26"/>
      <w:szCs w:val="26"/>
      <w:lang w:eastAsia="en-US"/>
    </w:rPr>
  </w:style>
  <w:style w:type="paragraph" w:customStyle="1" w:styleId="ATAHeading3">
    <w:name w:val="ATA Heading 3"/>
    <w:basedOn w:val="ATAHeading2"/>
    <w:link w:val="ATAHeading3Char"/>
    <w:uiPriority w:val="99"/>
    <w:rsid w:val="00D40AAD"/>
    <w:pPr>
      <w:numPr>
        <w:ilvl w:val="2"/>
      </w:numPr>
      <w:tabs>
        <w:tab w:val="left" w:pos="992"/>
      </w:tabs>
    </w:pPr>
    <w:rPr>
      <w:i/>
      <w:color w:val="0D0D0D" w:themeColor="text1" w:themeTint="F2"/>
      <w:sz w:val="22"/>
      <w:szCs w:val="22"/>
    </w:rPr>
  </w:style>
  <w:style w:type="character" w:customStyle="1" w:styleId="ATAHeading3Char">
    <w:name w:val="ATA Heading 3 Char"/>
    <w:basedOn w:val="DefaultParagraphFont"/>
    <w:link w:val="ATAHeading3"/>
    <w:uiPriority w:val="99"/>
    <w:locked/>
    <w:rsid w:val="00D40AAD"/>
    <w:rPr>
      <w:rFonts w:ascii="Arial" w:hAnsi="Arial" w:cs="Arial"/>
      <w:b/>
      <w:i/>
      <w:color w:val="0D0D0D" w:themeColor="text1" w:themeTint="F2"/>
      <w:sz w:val="22"/>
      <w:szCs w:val="22"/>
      <w:lang w:eastAsia="en-US"/>
    </w:rPr>
  </w:style>
  <w:style w:type="paragraph" w:customStyle="1" w:styleId="Quotes">
    <w:name w:val="Quotes"/>
    <w:basedOn w:val="Default"/>
    <w:link w:val="QuotesChar"/>
    <w:uiPriority w:val="99"/>
    <w:rsid w:val="000F53C2"/>
    <w:pPr>
      <w:ind w:left="851"/>
    </w:pPr>
    <w:rPr>
      <w:sz w:val="22"/>
      <w:szCs w:val="22"/>
    </w:rPr>
  </w:style>
  <w:style w:type="character" w:customStyle="1" w:styleId="QuotesChar">
    <w:name w:val="Quotes Char"/>
    <w:basedOn w:val="DefaultChar"/>
    <w:link w:val="Quotes"/>
    <w:uiPriority w:val="99"/>
    <w:locked/>
    <w:rsid w:val="000F53C2"/>
    <w:rPr>
      <w:sz w:val="22"/>
      <w:szCs w:val="22"/>
    </w:rPr>
  </w:style>
  <w:style w:type="paragraph" w:customStyle="1" w:styleId="ATARecommendationHeading">
    <w:name w:val="ATA Recommendation Heading"/>
    <w:basedOn w:val="Normal"/>
    <w:link w:val="ATARecommendationHeadingChar"/>
    <w:uiPriority w:val="99"/>
    <w:rsid w:val="00740005"/>
    <w:rPr>
      <w:rFonts w:ascii="Arial" w:hAnsi="Arial" w:cs="Arial"/>
      <w:i/>
    </w:rPr>
  </w:style>
  <w:style w:type="character" w:customStyle="1" w:styleId="ATARecommendationHeadingChar">
    <w:name w:val="ATA Recommendation Heading Char"/>
    <w:basedOn w:val="DefaultParagraphFont"/>
    <w:link w:val="ATARecommendationHeading"/>
    <w:uiPriority w:val="99"/>
    <w:rsid w:val="006859F7"/>
    <w:rPr>
      <w:rFonts w:ascii="Arial" w:hAnsi="Arial" w:cs="Arial"/>
      <w:i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005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locked/>
    <w:rsid w:val="00960FE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41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412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E412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D13DF0"/>
    <w:pPr>
      <w:tabs>
        <w:tab w:val="right" w:leader="dot" w:pos="9628"/>
      </w:tabs>
      <w:spacing w:before="360" w:after="100"/>
    </w:pPr>
    <w:rPr>
      <w:rFonts w:ascii="Arial" w:hAnsi="Arial" w:cs="Arial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locked/>
    <w:rsid w:val="00907971"/>
    <w:pPr>
      <w:tabs>
        <w:tab w:val="right" w:leader="dot" w:pos="9628"/>
      </w:tabs>
      <w:spacing w:after="120"/>
      <w:ind w:left="221"/>
    </w:pPr>
    <w:rPr>
      <w:rFonts w:ascii="Arial" w:hAnsi="Arial"/>
      <w:sz w:val="20"/>
    </w:rPr>
  </w:style>
  <w:style w:type="paragraph" w:customStyle="1" w:styleId="RecommendationStyle">
    <w:name w:val="Recommendation Style"/>
    <w:basedOn w:val="ATARecommendationHeading"/>
    <w:link w:val="RecommendationStyleChar"/>
    <w:qFormat/>
    <w:rsid w:val="00907971"/>
    <w:pPr>
      <w:numPr>
        <w:numId w:val="2"/>
      </w:numPr>
      <w:tabs>
        <w:tab w:val="left" w:pos="2098"/>
      </w:tabs>
      <w:spacing w:before="240" w:after="120"/>
    </w:pPr>
    <w:rPr>
      <w:b/>
      <w:sz w:val="20"/>
      <w:szCs w:val="20"/>
    </w:rPr>
  </w:style>
  <w:style w:type="character" w:customStyle="1" w:styleId="RecommendationStyleChar">
    <w:name w:val="Recommendation Style Char"/>
    <w:basedOn w:val="ATARecommendationHeadingChar"/>
    <w:link w:val="RecommendationStyle"/>
    <w:rsid w:val="00907971"/>
    <w:rPr>
      <w:b/>
      <w:i/>
    </w:rPr>
  </w:style>
  <w:style w:type="paragraph" w:customStyle="1" w:styleId="RecommendationStyle2">
    <w:name w:val="Recommendation Style 2"/>
    <w:basedOn w:val="Normal"/>
    <w:link w:val="RecommendationStyle2Char"/>
    <w:qFormat/>
    <w:rsid w:val="006859F7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RecommendationStyle2Char">
    <w:name w:val="Recommendation Style 2 Char"/>
    <w:basedOn w:val="DefaultParagraphFont"/>
    <w:link w:val="RecommendationStyle2"/>
    <w:rsid w:val="006859F7"/>
    <w:rPr>
      <w:rFonts w:ascii="Arial" w:hAnsi="Arial" w:cs="Arial"/>
      <w:b/>
      <w:lang w:eastAsia="en-US"/>
    </w:rPr>
  </w:style>
  <w:style w:type="character" w:styleId="Hyperlink">
    <w:name w:val="Hyperlink"/>
    <w:basedOn w:val="DefaultParagraphFont"/>
    <w:uiPriority w:val="99"/>
    <w:unhideWhenUsed/>
    <w:rsid w:val="009E77F2"/>
    <w:rPr>
      <w:color w:val="0000FF" w:themeColor="hyperlink"/>
      <w:u w:val="single"/>
    </w:rPr>
  </w:style>
  <w:style w:type="paragraph" w:customStyle="1" w:styleId="RecommendationStyle3">
    <w:name w:val="Recommendation Style 3"/>
    <w:basedOn w:val="RecommendationStyle2"/>
    <w:link w:val="RecommendationStyle3Char"/>
    <w:qFormat/>
    <w:rsid w:val="00907971"/>
    <w:rPr>
      <w:color w:val="FFFFFF" w:themeColor="background1"/>
    </w:rPr>
  </w:style>
  <w:style w:type="paragraph" w:styleId="TOC3">
    <w:name w:val="toc 3"/>
    <w:basedOn w:val="Normal"/>
    <w:next w:val="Normal"/>
    <w:autoRedefine/>
    <w:uiPriority w:val="39"/>
    <w:locked/>
    <w:rsid w:val="00907971"/>
    <w:pPr>
      <w:tabs>
        <w:tab w:val="right" w:leader="dot" w:pos="9628"/>
      </w:tabs>
      <w:ind w:left="442"/>
    </w:pPr>
    <w:rPr>
      <w:noProof/>
      <w:color w:val="FFFFFF" w:themeColor="background1"/>
    </w:rPr>
  </w:style>
  <w:style w:type="character" w:customStyle="1" w:styleId="RecommendationStyle3Char">
    <w:name w:val="Recommendation Style 3 Char"/>
    <w:basedOn w:val="RecommendationStyle2Char"/>
    <w:link w:val="RecommendationStyle3"/>
    <w:rsid w:val="00907971"/>
    <w:rPr>
      <w:color w:val="FFFFFF" w:themeColor="background1"/>
    </w:rPr>
  </w:style>
  <w:style w:type="paragraph" w:customStyle="1" w:styleId="ATASubHead1">
    <w:name w:val="ATASubHead1"/>
    <w:basedOn w:val="Normal"/>
    <w:link w:val="ATASubHead1Char"/>
    <w:qFormat/>
    <w:rsid w:val="004008C7"/>
    <w:pPr>
      <w:tabs>
        <w:tab w:val="left" w:pos="851"/>
      </w:tabs>
      <w:spacing w:before="240" w:after="120"/>
    </w:pPr>
    <w:rPr>
      <w:rFonts w:ascii="Arial" w:hAnsi="Arial" w:cs="Arial"/>
      <w:b/>
      <w:color w:val="000064"/>
      <w:sz w:val="28"/>
      <w:szCs w:val="28"/>
    </w:rPr>
  </w:style>
  <w:style w:type="character" w:customStyle="1" w:styleId="ATASubHead1Char">
    <w:name w:val="ATASubHead1 Char"/>
    <w:link w:val="ATASubHead1"/>
    <w:rsid w:val="004008C7"/>
    <w:rPr>
      <w:rFonts w:ascii="Arial" w:hAnsi="Arial" w:cs="Arial"/>
      <w:b/>
      <w:color w:val="000064"/>
      <w:sz w:val="28"/>
      <w:szCs w:val="28"/>
      <w:lang w:eastAsia="en-US"/>
    </w:rPr>
  </w:style>
  <w:style w:type="table" w:customStyle="1" w:styleId="LightList-Accent11">
    <w:name w:val="Light List - Accent 11"/>
    <w:basedOn w:val="TableNormal"/>
    <w:uiPriority w:val="61"/>
    <w:rsid w:val="004008C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937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uthor-name2">
    <w:name w:val="author-name2"/>
    <w:basedOn w:val="DefaultParagraphFont"/>
    <w:rsid w:val="00FC1291"/>
    <w:rPr>
      <w:b/>
      <w:bCs/>
    </w:rPr>
  </w:style>
  <w:style w:type="character" w:customStyle="1" w:styleId="source-name5">
    <w:name w:val="source-name5"/>
    <w:basedOn w:val="DefaultParagraphFont"/>
    <w:rsid w:val="00FC1291"/>
    <w:rPr>
      <w:i/>
      <w:iCs/>
    </w:rPr>
  </w:style>
  <w:style w:type="character" w:customStyle="1" w:styleId="publish-date5">
    <w:name w:val="publish-date5"/>
    <w:basedOn w:val="DefaultParagraphFont"/>
    <w:rsid w:val="00FC1291"/>
    <w:rPr>
      <w:i/>
      <w:iCs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7C746E"/>
    <w:rPr>
      <w:color w:val="800080" w:themeColor="followedHyperlink"/>
      <w:u w:val="single"/>
    </w:rPr>
  </w:style>
  <w:style w:type="paragraph" w:customStyle="1" w:styleId="ATAPreMnorm">
    <w:name w:val="ATAPreM norm"/>
    <w:basedOn w:val="Normal"/>
    <w:link w:val="ATAPreMnormChar"/>
    <w:qFormat/>
    <w:rsid w:val="00F2072F"/>
    <w:rPr>
      <w:rFonts w:ascii="Arial" w:eastAsia="Times New Roman" w:hAnsi="Arial" w:cs="Arial"/>
      <w:i/>
      <w:color w:val="000000"/>
      <w:sz w:val="20"/>
      <w:szCs w:val="20"/>
      <w:lang w:eastAsia="en-AU"/>
    </w:rPr>
  </w:style>
  <w:style w:type="paragraph" w:customStyle="1" w:styleId="ATAPervMHeading">
    <w:name w:val="ATAPervMHeading"/>
    <w:basedOn w:val="Normal"/>
    <w:link w:val="ATAPervMHeadingChar"/>
    <w:qFormat/>
    <w:rsid w:val="00F2072F"/>
    <w:pPr>
      <w:tabs>
        <w:tab w:val="left" w:pos="851"/>
      </w:tabs>
      <w:ind w:left="851" w:hanging="851"/>
    </w:pPr>
    <w:rPr>
      <w:rFonts w:ascii="Arial" w:hAnsi="Arial" w:cs="Arial"/>
      <w:b/>
      <w:i/>
      <w:sz w:val="20"/>
      <w:szCs w:val="20"/>
    </w:rPr>
  </w:style>
  <w:style w:type="character" w:customStyle="1" w:styleId="ATAPreMnormChar">
    <w:name w:val="ATAPreM norm Char"/>
    <w:basedOn w:val="DefaultParagraphFont"/>
    <w:link w:val="ATAPreMnorm"/>
    <w:rsid w:val="00F2072F"/>
    <w:rPr>
      <w:rFonts w:ascii="Arial" w:eastAsia="Times New Roman" w:hAnsi="Arial" w:cs="Arial"/>
      <w:i/>
      <w:color w:val="000000"/>
    </w:rPr>
  </w:style>
  <w:style w:type="character" w:customStyle="1" w:styleId="ATAPervMHeadingChar">
    <w:name w:val="ATAPervMHeading Char"/>
    <w:basedOn w:val="DefaultParagraphFont"/>
    <w:link w:val="ATAPervMHeading"/>
    <w:rsid w:val="00F2072F"/>
    <w:rPr>
      <w:rFonts w:ascii="Arial" w:hAnsi="Arial" w:cs="Arial"/>
      <w:b/>
      <w:i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6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65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40B35"/>
    <w:rPr>
      <w:rFonts w:ascii="Consolas" w:eastAsiaTheme="minorHAnsi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40B35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4426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uto"/>
                        <w:right w:val="none" w:sz="0" w:space="0" w:color="auto"/>
                      </w:divBdr>
                      <w:divsChild>
                        <w:div w:id="1517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597">
          <w:marLeft w:val="0"/>
          <w:marRight w:val="0"/>
          <w:marTop w:val="0"/>
          <w:marBottom w:val="0"/>
          <w:divBdr>
            <w:top w:val="single" w:sz="2" w:space="0" w:color="999999"/>
            <w:left w:val="single" w:sz="4" w:space="0" w:color="999999"/>
            <w:bottom w:val="single" w:sz="2" w:space="0" w:color="999999"/>
            <w:right w:val="single" w:sz="4" w:space="0" w:color="999999"/>
          </w:divBdr>
          <w:divsChild>
            <w:div w:id="659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928">
                  <w:marLeft w:val="0"/>
                  <w:marRight w:val="23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40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403">
          <w:marLeft w:val="0"/>
          <w:marRight w:val="0"/>
          <w:marTop w:val="0"/>
          <w:marBottom w:val="0"/>
          <w:divBdr>
            <w:top w:val="single" w:sz="2" w:space="0" w:color="999999"/>
            <w:left w:val="single" w:sz="4" w:space="0" w:color="999999"/>
            <w:bottom w:val="single" w:sz="2" w:space="0" w:color="999999"/>
            <w:right w:val="single" w:sz="4" w:space="0" w:color="999999"/>
          </w:divBdr>
          <w:divsChild>
            <w:div w:id="2011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4198">
                  <w:marLeft w:val="0"/>
                  <w:marRight w:val="23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5156-67E0-42EB-A320-E8F4CC0A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PROPOSED HEAVY VEHICLE NATIONAL LAWS</vt:lpstr>
    </vt:vector>
  </TitlesOfParts>
  <Company>HP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PROPOSED HEAVY VEHICLE NATIONAL LAWS</dc:title>
  <dc:creator>harbers</dc:creator>
  <cp:lastModifiedBy>harbers</cp:lastModifiedBy>
  <cp:revision>2</cp:revision>
  <cp:lastPrinted>2012-09-06T04:44:00Z</cp:lastPrinted>
  <dcterms:created xsi:type="dcterms:W3CDTF">2014-02-19T22:25:00Z</dcterms:created>
  <dcterms:modified xsi:type="dcterms:W3CDTF">2014-02-19T22:25:00Z</dcterms:modified>
</cp:coreProperties>
</file>