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4A0" w:firstRow="1" w:lastRow="0" w:firstColumn="1" w:lastColumn="0" w:noHBand="0" w:noVBand="1"/>
      </w:tblPr>
      <w:tblGrid>
        <w:gridCol w:w="3011"/>
        <w:gridCol w:w="7218"/>
      </w:tblGrid>
      <w:tr w:rsidR="00D735FF" w:rsidRPr="00A26CD2" w:rsidTr="00611D83">
        <w:trPr>
          <w:trHeight w:val="811"/>
        </w:trPr>
        <w:tc>
          <w:tcPr>
            <w:tcW w:w="3011" w:type="dxa"/>
            <w:vAlign w:val="center"/>
          </w:tcPr>
          <w:p w:rsidR="00D735FF" w:rsidRPr="00A26CD2"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Submission to:</w:t>
            </w:r>
          </w:p>
        </w:tc>
        <w:tc>
          <w:tcPr>
            <w:tcW w:w="7218" w:type="dxa"/>
            <w:vAlign w:val="center"/>
          </w:tcPr>
          <w:p w:rsidR="00D735FF" w:rsidRPr="00A26CD2" w:rsidRDefault="00BF0CCF" w:rsidP="00A54132">
            <w:pPr>
              <w:pStyle w:val="Header"/>
              <w:rPr>
                <w:rFonts w:asciiTheme="minorHAnsi" w:hAnsiTheme="minorHAnsi" w:cs="Arial"/>
                <w:sz w:val="28"/>
                <w:szCs w:val="20"/>
              </w:rPr>
            </w:pPr>
            <w:r>
              <w:rPr>
                <w:rFonts w:asciiTheme="minorHAnsi" w:hAnsiTheme="minorHAnsi" w:cs="Arial"/>
                <w:sz w:val="28"/>
                <w:szCs w:val="20"/>
              </w:rPr>
              <w:t>National Transport Commission</w:t>
            </w:r>
          </w:p>
        </w:tc>
      </w:tr>
      <w:tr w:rsidR="00D735FF" w:rsidRPr="00A26CD2" w:rsidTr="00202AE7">
        <w:trPr>
          <w:trHeight w:val="68"/>
        </w:trPr>
        <w:tc>
          <w:tcPr>
            <w:tcW w:w="3011" w:type="dxa"/>
          </w:tcPr>
          <w:p w:rsidR="00D735FF" w:rsidRPr="00A26CD2" w:rsidRDefault="00D735FF" w:rsidP="000561A5">
            <w:pPr>
              <w:pStyle w:val="Header"/>
              <w:rPr>
                <w:rFonts w:asciiTheme="minorHAnsi" w:hAnsiTheme="minorHAnsi" w:cs="Arial"/>
                <w:b/>
                <w:sz w:val="28"/>
                <w:szCs w:val="20"/>
              </w:rPr>
            </w:pPr>
            <w:r w:rsidRPr="00A26CD2">
              <w:rPr>
                <w:rFonts w:asciiTheme="minorHAnsi" w:hAnsiTheme="minorHAnsi" w:cs="Arial"/>
                <w:b/>
                <w:sz w:val="28"/>
                <w:szCs w:val="20"/>
              </w:rPr>
              <w:t>Title:</w:t>
            </w:r>
          </w:p>
        </w:tc>
        <w:tc>
          <w:tcPr>
            <w:tcW w:w="7218" w:type="dxa"/>
          </w:tcPr>
          <w:p w:rsidR="00DA4390" w:rsidRPr="00A26CD2" w:rsidRDefault="003B7E94" w:rsidP="00202AE7">
            <w:pPr>
              <w:pStyle w:val="Header"/>
              <w:rPr>
                <w:rFonts w:asciiTheme="minorHAnsi" w:hAnsiTheme="minorHAnsi" w:cs="Arial"/>
                <w:sz w:val="28"/>
                <w:szCs w:val="20"/>
              </w:rPr>
            </w:pPr>
            <w:r>
              <w:rPr>
                <w:rFonts w:asciiTheme="minorHAnsi" w:hAnsiTheme="minorHAnsi" w:cs="Arial"/>
                <w:sz w:val="28"/>
                <w:szCs w:val="20"/>
              </w:rPr>
              <w:t>Chain of responsibility duties r</w:t>
            </w:r>
            <w:r w:rsidR="00BF0CCF">
              <w:rPr>
                <w:rFonts w:asciiTheme="minorHAnsi" w:hAnsiTheme="minorHAnsi" w:cs="Arial"/>
                <w:sz w:val="28"/>
                <w:szCs w:val="20"/>
              </w:rPr>
              <w:t>eview</w:t>
            </w:r>
          </w:p>
        </w:tc>
      </w:tr>
      <w:tr w:rsidR="00D735FF" w:rsidRPr="00A26CD2" w:rsidTr="00611D83">
        <w:trPr>
          <w:trHeight w:val="811"/>
        </w:trPr>
        <w:tc>
          <w:tcPr>
            <w:tcW w:w="3011" w:type="dxa"/>
            <w:vAlign w:val="center"/>
          </w:tcPr>
          <w:p w:rsidR="00D735FF" w:rsidRPr="00A26CD2"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Date:</w:t>
            </w:r>
          </w:p>
        </w:tc>
        <w:tc>
          <w:tcPr>
            <w:tcW w:w="7218" w:type="dxa"/>
            <w:vAlign w:val="center"/>
          </w:tcPr>
          <w:p w:rsidR="00D735FF" w:rsidRPr="008B7065" w:rsidRDefault="003B7E94" w:rsidP="00905C0A">
            <w:pPr>
              <w:pStyle w:val="Header"/>
              <w:rPr>
                <w:rFonts w:asciiTheme="minorHAnsi" w:hAnsiTheme="minorHAnsi" w:cs="Arial"/>
                <w:sz w:val="28"/>
                <w:szCs w:val="28"/>
              </w:rPr>
            </w:pPr>
            <w:r>
              <w:rPr>
                <w:rFonts w:asciiTheme="minorHAnsi" w:hAnsiTheme="minorHAnsi" w:cs="Arial"/>
                <w:noProof/>
                <w:sz w:val="28"/>
                <w:szCs w:val="28"/>
                <w:lang w:eastAsia="en-AU"/>
              </w:rPr>
              <w:t>30 January 2015</w:t>
            </w:r>
          </w:p>
        </w:tc>
      </w:tr>
    </w:tbl>
    <w:p w:rsidR="00D735FF" w:rsidRPr="00A26CD2" w:rsidRDefault="00D735FF" w:rsidP="001025C9">
      <w:pPr>
        <w:pStyle w:val="Header"/>
        <w:jc w:val="both"/>
        <w:rPr>
          <w:rFonts w:asciiTheme="minorHAnsi" w:hAnsiTheme="minorHAnsi" w:cs="Arial"/>
          <w:sz w:val="20"/>
          <w:szCs w:val="20"/>
        </w:rPr>
      </w:pPr>
    </w:p>
    <w:p w:rsidR="00576ED0" w:rsidRPr="00A26CD2" w:rsidRDefault="00576ED0" w:rsidP="001025C9">
      <w:pPr>
        <w:pStyle w:val="Header"/>
        <w:jc w:val="both"/>
        <w:rPr>
          <w:rFonts w:asciiTheme="minorHAnsi" w:hAnsiTheme="minorHAnsi" w:cs="Arial"/>
          <w:sz w:val="20"/>
          <w:szCs w:val="20"/>
        </w:rPr>
      </w:pPr>
    </w:p>
    <w:p w:rsidR="00576ED0" w:rsidRPr="00A26CD2" w:rsidRDefault="00576ED0" w:rsidP="001025C9">
      <w:pPr>
        <w:jc w:val="both"/>
        <w:rPr>
          <w:rFonts w:asciiTheme="minorHAnsi" w:hAnsiTheme="minorHAnsi" w:cs="Arial"/>
          <w:sz w:val="20"/>
          <w:szCs w:val="20"/>
          <w:lang w:val="en-GB"/>
        </w:rPr>
        <w:sectPr w:rsidR="00576ED0" w:rsidRPr="00A26CD2"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A26CD2" w:rsidRDefault="00576ED0"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4"/>
          <w:szCs w:val="20"/>
        </w:rPr>
      </w:pPr>
    </w:p>
    <w:p w:rsidR="0035493A" w:rsidRPr="00A26CD2" w:rsidRDefault="003B74E4" w:rsidP="001025C9">
      <w:pPr>
        <w:jc w:val="both"/>
        <w:rPr>
          <w:rFonts w:asciiTheme="minorHAnsi" w:hAnsiTheme="minorHAnsi" w:cs="Arial"/>
          <w:b/>
          <w:color w:val="000064"/>
          <w:sz w:val="24"/>
          <w:szCs w:val="20"/>
        </w:rPr>
      </w:pPr>
      <w:r w:rsidRPr="00A26CD2">
        <w:rPr>
          <w:rFonts w:asciiTheme="minorHAnsi" w:hAnsiTheme="minorHAnsi" w:cs="Arial"/>
          <w:b/>
          <w:color w:val="000064"/>
          <w:sz w:val="24"/>
          <w:szCs w:val="20"/>
        </w:rPr>
        <w:t>Contents</w:t>
      </w:r>
    </w:p>
    <w:p w:rsidR="00576ED0" w:rsidRPr="00A26CD2" w:rsidRDefault="00576ED0" w:rsidP="001025C9">
      <w:pPr>
        <w:jc w:val="both"/>
        <w:rPr>
          <w:rFonts w:asciiTheme="minorHAnsi" w:hAnsiTheme="minorHAnsi" w:cs="Arial"/>
          <w:sz w:val="24"/>
          <w:szCs w:val="20"/>
        </w:rPr>
      </w:pPr>
    </w:p>
    <w:p w:rsidR="009B0520" w:rsidRPr="00A26CD2" w:rsidRDefault="009B0520" w:rsidP="001025C9">
      <w:pPr>
        <w:jc w:val="both"/>
        <w:rPr>
          <w:rFonts w:asciiTheme="minorHAnsi" w:hAnsiTheme="minorHAnsi" w:cs="Arial"/>
          <w:b/>
          <w:sz w:val="24"/>
          <w:szCs w:val="20"/>
        </w:rPr>
      </w:pPr>
    </w:p>
    <w:p w:rsidR="00E741DC" w:rsidRDefault="0004142E">
      <w:pPr>
        <w:pStyle w:val="TOC1"/>
        <w:rPr>
          <w:rFonts w:asciiTheme="minorHAnsi" w:eastAsiaTheme="minorEastAsia" w:hAnsiTheme="minorHAnsi" w:cstheme="minorBidi"/>
          <w:b w:val="0"/>
          <w:color w:val="auto"/>
          <w:sz w:val="22"/>
          <w:szCs w:val="22"/>
          <w:lang w:eastAsia="en-AU"/>
        </w:rPr>
      </w:pPr>
      <w:r w:rsidRPr="00A26CD2">
        <w:rPr>
          <w:rFonts w:asciiTheme="minorHAnsi" w:hAnsiTheme="minorHAnsi" w:cs="Arial"/>
          <w:b w:val="0"/>
          <w:sz w:val="22"/>
          <w:szCs w:val="24"/>
        </w:rPr>
        <w:fldChar w:fldCharType="begin"/>
      </w:r>
      <w:r w:rsidR="0035493A" w:rsidRPr="00A26CD2">
        <w:rPr>
          <w:rFonts w:asciiTheme="minorHAnsi" w:hAnsiTheme="minorHAnsi" w:cs="Arial"/>
          <w:b w:val="0"/>
          <w:sz w:val="22"/>
          <w:szCs w:val="24"/>
        </w:rPr>
        <w:instrText xml:space="preserve"> TOC \o "1-2" \t "ATA Heading 2,2" </w:instrText>
      </w:r>
      <w:r w:rsidRPr="00A26CD2">
        <w:rPr>
          <w:rFonts w:asciiTheme="minorHAnsi" w:hAnsiTheme="minorHAnsi" w:cs="Arial"/>
          <w:b w:val="0"/>
          <w:sz w:val="22"/>
          <w:szCs w:val="24"/>
        </w:rPr>
        <w:fldChar w:fldCharType="separate"/>
      </w:r>
      <w:r w:rsidR="00E741DC" w:rsidRPr="009E3BD5">
        <w:rPr>
          <w:rFonts w:asciiTheme="minorHAnsi" w:hAnsiTheme="minorHAnsi"/>
        </w:rPr>
        <w:t>1.</w:t>
      </w:r>
      <w:r w:rsidR="00E741DC">
        <w:rPr>
          <w:rFonts w:asciiTheme="minorHAnsi" w:eastAsiaTheme="minorEastAsia" w:hAnsiTheme="minorHAnsi" w:cstheme="minorBidi"/>
          <w:b w:val="0"/>
          <w:color w:val="auto"/>
          <w:sz w:val="22"/>
          <w:szCs w:val="22"/>
          <w:lang w:eastAsia="en-AU"/>
        </w:rPr>
        <w:tab/>
      </w:r>
      <w:r w:rsidR="00E741DC" w:rsidRPr="009E3BD5">
        <w:rPr>
          <w:rFonts w:asciiTheme="minorHAnsi" w:hAnsiTheme="minorHAnsi"/>
        </w:rPr>
        <w:t>About the Australian Trucking Association</w:t>
      </w:r>
      <w:r w:rsidR="00E741DC">
        <w:tab/>
      </w:r>
      <w:r w:rsidR="00E741DC">
        <w:fldChar w:fldCharType="begin"/>
      </w:r>
      <w:r w:rsidR="00E741DC">
        <w:instrText xml:space="preserve"> PAGEREF _Toc410388144 \h </w:instrText>
      </w:r>
      <w:r w:rsidR="00E741DC">
        <w:fldChar w:fldCharType="separate"/>
      </w:r>
      <w:r w:rsidR="00560025">
        <w:t>3</w:t>
      </w:r>
      <w:r w:rsidR="00E741DC">
        <w:fldChar w:fldCharType="end"/>
      </w:r>
    </w:p>
    <w:p w:rsidR="00E741DC" w:rsidRDefault="00E741DC">
      <w:pPr>
        <w:pStyle w:val="TOC1"/>
        <w:rPr>
          <w:rFonts w:asciiTheme="minorHAnsi" w:eastAsiaTheme="minorEastAsia" w:hAnsiTheme="minorHAnsi" w:cstheme="minorBidi"/>
          <w:b w:val="0"/>
          <w:color w:val="auto"/>
          <w:sz w:val="22"/>
          <w:szCs w:val="22"/>
          <w:lang w:eastAsia="en-AU"/>
        </w:rPr>
      </w:pPr>
      <w:r w:rsidRPr="009E3BD5">
        <w:rPr>
          <w:rFonts w:asciiTheme="minorHAnsi" w:hAnsiTheme="minorHAnsi"/>
        </w:rPr>
        <w:t>2.</w:t>
      </w:r>
      <w:r>
        <w:rPr>
          <w:rFonts w:asciiTheme="minorHAnsi" w:eastAsiaTheme="minorEastAsia" w:hAnsiTheme="minorHAnsi" w:cstheme="minorBidi"/>
          <w:b w:val="0"/>
          <w:color w:val="auto"/>
          <w:sz w:val="22"/>
          <w:szCs w:val="22"/>
          <w:lang w:eastAsia="en-AU"/>
        </w:rPr>
        <w:tab/>
      </w:r>
      <w:r w:rsidRPr="009E3BD5">
        <w:rPr>
          <w:rFonts w:asciiTheme="minorHAnsi" w:hAnsiTheme="minorHAnsi"/>
        </w:rPr>
        <w:t>Summary of recommendations</w:t>
      </w:r>
      <w:r>
        <w:tab/>
      </w:r>
      <w:r>
        <w:fldChar w:fldCharType="begin"/>
      </w:r>
      <w:r>
        <w:instrText xml:space="preserve"> PAGEREF _Toc410388145 \h </w:instrText>
      </w:r>
      <w:r>
        <w:fldChar w:fldCharType="separate"/>
      </w:r>
      <w:r w:rsidR="00560025">
        <w:t>3</w:t>
      </w:r>
      <w:r>
        <w:fldChar w:fldCharType="end"/>
      </w:r>
    </w:p>
    <w:p w:rsidR="00E741DC" w:rsidRDefault="00E741DC">
      <w:pPr>
        <w:pStyle w:val="TOC1"/>
        <w:rPr>
          <w:rFonts w:asciiTheme="minorHAnsi" w:eastAsiaTheme="minorEastAsia" w:hAnsiTheme="minorHAnsi" w:cstheme="minorBidi"/>
          <w:b w:val="0"/>
          <w:color w:val="auto"/>
          <w:sz w:val="22"/>
          <w:szCs w:val="22"/>
          <w:lang w:eastAsia="en-AU"/>
        </w:rPr>
      </w:pPr>
      <w:r w:rsidRPr="009E3BD5">
        <w:rPr>
          <w:rFonts w:asciiTheme="minorHAnsi" w:hAnsiTheme="minorHAnsi"/>
        </w:rPr>
        <w:t>3.</w:t>
      </w:r>
      <w:r>
        <w:rPr>
          <w:rFonts w:asciiTheme="minorHAnsi" w:eastAsiaTheme="minorEastAsia" w:hAnsiTheme="minorHAnsi" w:cstheme="minorBidi"/>
          <w:b w:val="0"/>
          <w:color w:val="auto"/>
          <w:sz w:val="22"/>
          <w:szCs w:val="22"/>
          <w:lang w:eastAsia="en-AU"/>
        </w:rPr>
        <w:tab/>
      </w:r>
      <w:r w:rsidRPr="009E3BD5">
        <w:rPr>
          <w:rFonts w:asciiTheme="minorHAnsi" w:hAnsiTheme="minorHAnsi"/>
        </w:rPr>
        <w:t>Introduction</w:t>
      </w:r>
      <w:r>
        <w:tab/>
      </w:r>
      <w:r>
        <w:fldChar w:fldCharType="begin"/>
      </w:r>
      <w:r>
        <w:instrText xml:space="preserve"> PAGEREF _Toc410388146 \h </w:instrText>
      </w:r>
      <w:r>
        <w:fldChar w:fldCharType="separate"/>
      </w:r>
      <w:r w:rsidR="00560025">
        <w:t>4</w:t>
      </w:r>
      <w:r>
        <w:fldChar w:fldCharType="end"/>
      </w:r>
    </w:p>
    <w:p w:rsidR="00E741DC" w:rsidRDefault="00E741DC">
      <w:pPr>
        <w:pStyle w:val="TOC1"/>
        <w:rPr>
          <w:rFonts w:asciiTheme="minorHAnsi" w:eastAsiaTheme="minorEastAsia" w:hAnsiTheme="minorHAnsi" w:cstheme="minorBidi"/>
          <w:b w:val="0"/>
          <w:color w:val="auto"/>
          <w:sz w:val="22"/>
          <w:szCs w:val="22"/>
          <w:lang w:eastAsia="en-AU"/>
        </w:rPr>
      </w:pPr>
      <w:r w:rsidRPr="009E3BD5">
        <w:rPr>
          <w:rFonts w:asciiTheme="minorHAnsi" w:hAnsiTheme="minorHAnsi"/>
          <w:highlight w:val="white"/>
          <w:lang w:eastAsia="en-AU"/>
        </w:rPr>
        <w:t>4.</w:t>
      </w:r>
      <w:r>
        <w:rPr>
          <w:rFonts w:asciiTheme="minorHAnsi" w:eastAsiaTheme="minorEastAsia" w:hAnsiTheme="minorHAnsi" w:cstheme="minorBidi"/>
          <w:b w:val="0"/>
          <w:color w:val="auto"/>
          <w:sz w:val="22"/>
          <w:szCs w:val="22"/>
          <w:lang w:eastAsia="en-AU"/>
        </w:rPr>
        <w:tab/>
      </w:r>
      <w:r w:rsidRPr="009E3BD5">
        <w:rPr>
          <w:rFonts w:asciiTheme="minorHAnsi" w:hAnsiTheme="minorHAnsi"/>
          <w:highlight w:val="white"/>
          <w:lang w:eastAsia="en-AU"/>
        </w:rPr>
        <w:t>Issues with the CoR provisions in the HVNL</w:t>
      </w:r>
      <w:r>
        <w:tab/>
      </w:r>
      <w:r>
        <w:fldChar w:fldCharType="begin"/>
      </w:r>
      <w:r>
        <w:instrText xml:space="preserve"> PAGEREF _Toc410388147 \h </w:instrText>
      </w:r>
      <w:r>
        <w:fldChar w:fldCharType="separate"/>
      </w:r>
      <w:r w:rsidR="00560025">
        <w:t>4</w:t>
      </w:r>
      <w:r>
        <w:fldChar w:fldCharType="end"/>
      </w:r>
    </w:p>
    <w:p w:rsidR="00E741DC" w:rsidRDefault="00E741DC">
      <w:pPr>
        <w:pStyle w:val="TOC1"/>
        <w:rPr>
          <w:rFonts w:asciiTheme="minorHAnsi" w:eastAsiaTheme="minorEastAsia" w:hAnsiTheme="minorHAnsi" w:cstheme="minorBidi"/>
          <w:b w:val="0"/>
          <w:color w:val="auto"/>
          <w:sz w:val="22"/>
          <w:szCs w:val="22"/>
          <w:lang w:eastAsia="en-AU"/>
        </w:rPr>
      </w:pPr>
      <w:r w:rsidRPr="009E3BD5">
        <w:rPr>
          <w:rFonts w:asciiTheme="minorHAnsi" w:hAnsiTheme="minorHAnsi"/>
        </w:rPr>
        <w:t>5.</w:t>
      </w:r>
      <w:r>
        <w:rPr>
          <w:rFonts w:asciiTheme="minorHAnsi" w:eastAsiaTheme="minorEastAsia" w:hAnsiTheme="minorHAnsi" w:cstheme="minorBidi"/>
          <w:b w:val="0"/>
          <w:color w:val="auto"/>
          <w:sz w:val="22"/>
          <w:szCs w:val="22"/>
          <w:lang w:eastAsia="en-AU"/>
        </w:rPr>
        <w:tab/>
      </w:r>
      <w:r w:rsidRPr="009E3BD5">
        <w:rPr>
          <w:rFonts w:asciiTheme="minorHAnsi" w:hAnsiTheme="minorHAnsi"/>
        </w:rPr>
        <w:t>Assessment of the options in the NTC discussion paper</w:t>
      </w:r>
      <w:r>
        <w:tab/>
      </w:r>
      <w:r>
        <w:fldChar w:fldCharType="begin"/>
      </w:r>
      <w:r>
        <w:instrText xml:space="preserve"> PAGEREF _Toc410388148 \h </w:instrText>
      </w:r>
      <w:r>
        <w:fldChar w:fldCharType="separate"/>
      </w:r>
      <w:r w:rsidR="00560025">
        <w:t>7</w:t>
      </w:r>
      <w:r>
        <w:fldChar w:fldCharType="end"/>
      </w:r>
    </w:p>
    <w:p w:rsidR="00E741DC" w:rsidRDefault="00E741DC">
      <w:pPr>
        <w:pStyle w:val="TOC1"/>
        <w:rPr>
          <w:rFonts w:asciiTheme="minorHAnsi" w:eastAsiaTheme="minorEastAsia" w:hAnsiTheme="minorHAnsi" w:cstheme="minorBidi"/>
          <w:b w:val="0"/>
          <w:color w:val="auto"/>
          <w:sz w:val="22"/>
          <w:szCs w:val="22"/>
          <w:lang w:eastAsia="en-AU"/>
        </w:rPr>
      </w:pPr>
      <w:r w:rsidRPr="009E3BD5">
        <w:rPr>
          <w:rFonts w:asciiTheme="minorHAnsi" w:hAnsiTheme="minorHAnsi"/>
        </w:rPr>
        <w:t>6.</w:t>
      </w:r>
      <w:r>
        <w:rPr>
          <w:rFonts w:asciiTheme="minorHAnsi" w:eastAsiaTheme="minorEastAsia" w:hAnsiTheme="minorHAnsi" w:cstheme="minorBidi"/>
          <w:b w:val="0"/>
          <w:color w:val="auto"/>
          <w:sz w:val="22"/>
          <w:szCs w:val="22"/>
          <w:lang w:eastAsia="en-AU"/>
        </w:rPr>
        <w:tab/>
      </w:r>
      <w:r w:rsidRPr="009E3BD5">
        <w:rPr>
          <w:rFonts w:asciiTheme="minorHAnsi" w:hAnsiTheme="minorHAnsi"/>
        </w:rPr>
        <w:t>ATA proposal</w:t>
      </w:r>
      <w:r>
        <w:tab/>
      </w:r>
      <w:r>
        <w:fldChar w:fldCharType="begin"/>
      </w:r>
      <w:r>
        <w:instrText xml:space="preserve"> PAGEREF _Toc410388149 \h </w:instrText>
      </w:r>
      <w:r>
        <w:fldChar w:fldCharType="separate"/>
      </w:r>
      <w:r w:rsidR="00560025">
        <w:t>8</w:t>
      </w:r>
      <w: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t>Restructuring CoR duties by duty holder</w:t>
      </w:r>
      <w:r>
        <w:rPr>
          <w:noProof/>
        </w:rPr>
        <w:tab/>
      </w:r>
      <w:r>
        <w:rPr>
          <w:noProof/>
        </w:rPr>
        <w:fldChar w:fldCharType="begin"/>
      </w:r>
      <w:r>
        <w:rPr>
          <w:noProof/>
        </w:rPr>
        <w:instrText xml:space="preserve"> PAGEREF _Toc410388150 \h </w:instrText>
      </w:r>
      <w:r>
        <w:rPr>
          <w:noProof/>
        </w:rPr>
      </w:r>
      <w:r>
        <w:rPr>
          <w:noProof/>
        </w:rPr>
        <w:fldChar w:fldCharType="separate"/>
      </w:r>
      <w:r w:rsidR="00560025">
        <w:rPr>
          <w:noProof/>
        </w:rPr>
        <w:t>8</w:t>
      </w:r>
      <w:r>
        <w:rPr>
          <w:noProof/>
        </w:rP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lastRenderedPageBreak/>
        <w:t>Chapter based duties for safety and standards, MDLR and speed compliance</w:t>
      </w:r>
      <w:r>
        <w:rPr>
          <w:noProof/>
        </w:rPr>
        <w:tab/>
      </w:r>
      <w:r>
        <w:rPr>
          <w:noProof/>
        </w:rPr>
        <w:fldChar w:fldCharType="begin"/>
      </w:r>
      <w:r>
        <w:rPr>
          <w:noProof/>
        </w:rPr>
        <w:instrText xml:space="preserve"> PAGEREF _Toc410388151 \h </w:instrText>
      </w:r>
      <w:r>
        <w:rPr>
          <w:noProof/>
        </w:rPr>
      </w:r>
      <w:r>
        <w:rPr>
          <w:noProof/>
        </w:rPr>
        <w:fldChar w:fldCharType="separate"/>
      </w:r>
      <w:r w:rsidR="00560025">
        <w:rPr>
          <w:noProof/>
        </w:rPr>
        <w:t>10</w:t>
      </w:r>
      <w:r>
        <w:rPr>
          <w:noProof/>
        </w:rP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t>Replacing ‘all reasonable steps’ with ‘so far as is reasonably practicable’</w:t>
      </w:r>
      <w:r>
        <w:rPr>
          <w:noProof/>
        </w:rPr>
        <w:tab/>
      </w:r>
      <w:r>
        <w:rPr>
          <w:noProof/>
        </w:rPr>
        <w:fldChar w:fldCharType="begin"/>
      </w:r>
      <w:r>
        <w:rPr>
          <w:noProof/>
        </w:rPr>
        <w:instrText xml:space="preserve"> PAGEREF _Toc410388152 \h </w:instrText>
      </w:r>
      <w:r>
        <w:rPr>
          <w:noProof/>
        </w:rPr>
      </w:r>
      <w:r>
        <w:rPr>
          <w:noProof/>
        </w:rPr>
        <w:fldChar w:fldCharType="separate"/>
      </w:r>
      <w:r w:rsidR="00560025">
        <w:rPr>
          <w:noProof/>
        </w:rPr>
        <w:t>10</w:t>
      </w:r>
      <w:r>
        <w:rPr>
          <w:noProof/>
        </w:rP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t>Removing intermediate duties from the HVNL</w:t>
      </w:r>
      <w:r>
        <w:rPr>
          <w:noProof/>
        </w:rPr>
        <w:tab/>
      </w:r>
      <w:r>
        <w:rPr>
          <w:noProof/>
        </w:rPr>
        <w:fldChar w:fldCharType="begin"/>
      </w:r>
      <w:r>
        <w:rPr>
          <w:noProof/>
        </w:rPr>
        <w:instrText xml:space="preserve"> PAGEREF _Toc410388153 \h </w:instrText>
      </w:r>
      <w:r>
        <w:rPr>
          <w:noProof/>
        </w:rPr>
      </w:r>
      <w:r>
        <w:rPr>
          <w:noProof/>
        </w:rPr>
        <w:fldChar w:fldCharType="separate"/>
      </w:r>
      <w:r w:rsidR="00560025">
        <w:rPr>
          <w:noProof/>
        </w:rPr>
        <w:t>12</w:t>
      </w:r>
      <w:r>
        <w:rPr>
          <w:noProof/>
        </w:rP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t>Availability of industry codes of practice and guidance material</w:t>
      </w:r>
      <w:r>
        <w:rPr>
          <w:noProof/>
        </w:rPr>
        <w:tab/>
      </w:r>
      <w:r>
        <w:rPr>
          <w:noProof/>
        </w:rPr>
        <w:fldChar w:fldCharType="begin"/>
      </w:r>
      <w:r>
        <w:rPr>
          <w:noProof/>
        </w:rPr>
        <w:instrText xml:space="preserve"> PAGEREF _Toc410388154 \h </w:instrText>
      </w:r>
      <w:r>
        <w:rPr>
          <w:noProof/>
        </w:rPr>
      </w:r>
      <w:r>
        <w:rPr>
          <w:noProof/>
        </w:rPr>
        <w:fldChar w:fldCharType="separate"/>
      </w:r>
      <w:r w:rsidR="00560025">
        <w:rPr>
          <w:noProof/>
        </w:rPr>
        <w:t>13</w:t>
      </w:r>
      <w:r>
        <w:rPr>
          <w:noProof/>
        </w:rPr>
        <w:fldChar w:fldCharType="end"/>
      </w:r>
    </w:p>
    <w:p w:rsidR="00E741DC" w:rsidRDefault="00E741DC">
      <w:pPr>
        <w:pStyle w:val="TOC2"/>
        <w:rPr>
          <w:rFonts w:asciiTheme="minorHAnsi" w:eastAsiaTheme="minorEastAsia" w:hAnsiTheme="minorHAnsi" w:cstheme="minorBidi"/>
          <w:noProof/>
          <w:sz w:val="22"/>
          <w:lang w:eastAsia="en-AU"/>
        </w:rPr>
      </w:pPr>
      <w:r w:rsidRPr="009E3BD5">
        <w:rPr>
          <w:rFonts w:asciiTheme="minorHAnsi" w:hAnsiTheme="minorHAnsi" w:cs="Arial"/>
          <w:noProof/>
        </w:rPr>
        <w:t>These reforms will take time to develop</w:t>
      </w:r>
      <w:r>
        <w:rPr>
          <w:noProof/>
        </w:rPr>
        <w:tab/>
      </w:r>
      <w:r>
        <w:rPr>
          <w:noProof/>
        </w:rPr>
        <w:fldChar w:fldCharType="begin"/>
      </w:r>
      <w:r>
        <w:rPr>
          <w:noProof/>
        </w:rPr>
        <w:instrText xml:space="preserve"> PAGEREF _Toc410388155 \h </w:instrText>
      </w:r>
      <w:r>
        <w:rPr>
          <w:noProof/>
        </w:rPr>
      </w:r>
      <w:r>
        <w:rPr>
          <w:noProof/>
        </w:rPr>
        <w:fldChar w:fldCharType="separate"/>
      </w:r>
      <w:r w:rsidR="00560025">
        <w:rPr>
          <w:noProof/>
        </w:rPr>
        <w:t>13</w:t>
      </w:r>
      <w:r>
        <w:rPr>
          <w:noProof/>
        </w:rPr>
        <w:fldChar w:fldCharType="end"/>
      </w:r>
    </w:p>
    <w:p w:rsidR="00576ED0" w:rsidRPr="00A26CD2" w:rsidRDefault="0004142E" w:rsidP="00A26CD2">
      <w:pPr>
        <w:tabs>
          <w:tab w:val="right" w:leader="dot" w:pos="9645"/>
        </w:tabs>
        <w:jc w:val="both"/>
        <w:rPr>
          <w:rFonts w:asciiTheme="minorHAnsi" w:hAnsiTheme="minorHAnsi" w:cs="Arial"/>
          <w:sz w:val="20"/>
          <w:szCs w:val="20"/>
        </w:rPr>
      </w:pPr>
      <w:r w:rsidRPr="00A26CD2">
        <w:rPr>
          <w:rFonts w:asciiTheme="minorHAnsi" w:hAnsiTheme="minorHAnsi" w:cs="Arial"/>
          <w:szCs w:val="24"/>
        </w:rPr>
        <w:fldChar w:fldCharType="end"/>
      </w:r>
      <w:r w:rsidR="00576ED0" w:rsidRPr="00A26CD2">
        <w:rPr>
          <w:rFonts w:asciiTheme="minorHAnsi" w:hAnsiTheme="minorHAnsi" w:cs="Arial"/>
          <w:sz w:val="20"/>
          <w:szCs w:val="20"/>
        </w:rPr>
        <w:br w:type="page"/>
      </w:r>
    </w:p>
    <w:p w:rsidR="00F544FD" w:rsidRPr="00166926" w:rsidRDefault="00F544FD" w:rsidP="00166926">
      <w:pPr>
        <w:pStyle w:val="Heading1"/>
        <w:ind w:left="357" w:hanging="357"/>
        <w:jc w:val="both"/>
        <w:rPr>
          <w:rFonts w:asciiTheme="minorHAnsi" w:hAnsiTheme="minorHAnsi"/>
          <w:sz w:val="24"/>
          <w:szCs w:val="24"/>
        </w:rPr>
      </w:pPr>
      <w:bookmarkStart w:id="0" w:name="_Toc410388144"/>
      <w:r w:rsidRPr="00166926">
        <w:rPr>
          <w:rFonts w:asciiTheme="minorHAnsi" w:hAnsiTheme="minorHAnsi"/>
          <w:sz w:val="24"/>
          <w:szCs w:val="24"/>
        </w:rPr>
        <w:lastRenderedPageBreak/>
        <w:t>About the Australian Trucking Association</w:t>
      </w:r>
      <w:bookmarkEnd w:id="0"/>
      <w:r w:rsidRPr="00166926">
        <w:rPr>
          <w:rFonts w:asciiTheme="minorHAnsi" w:hAnsiTheme="minorHAnsi"/>
          <w:sz w:val="24"/>
          <w:szCs w:val="24"/>
        </w:rPr>
        <w:t xml:space="preserve">  </w:t>
      </w:r>
    </w:p>
    <w:p w:rsidR="00F544FD" w:rsidRPr="00A26CD2" w:rsidRDefault="00F544FD" w:rsidP="00F544FD">
      <w:pPr>
        <w:pStyle w:val="BodyText2"/>
        <w:jc w:val="both"/>
        <w:rPr>
          <w:rFonts w:asciiTheme="minorHAnsi" w:hAnsiTheme="minorHAnsi"/>
          <w:b w:val="0"/>
          <w:sz w:val="20"/>
        </w:rPr>
      </w:pPr>
    </w:p>
    <w:p w:rsidR="00F544FD" w:rsidRDefault="00F544FD" w:rsidP="00F544FD">
      <w:pPr>
        <w:pStyle w:val="BodyText2"/>
        <w:spacing w:line="269" w:lineRule="auto"/>
        <w:rPr>
          <w:rFonts w:asciiTheme="minorHAnsi" w:eastAsia="Calibri" w:hAnsiTheme="minorHAnsi"/>
          <w:b w:val="0"/>
          <w:bCs w:val="0"/>
          <w:sz w:val="20"/>
        </w:rPr>
      </w:pPr>
      <w:r w:rsidRPr="00A26CD2">
        <w:rPr>
          <w:rFonts w:asciiTheme="minorHAnsi" w:eastAsia="Calibri" w:hAnsiTheme="minorHAnsi"/>
          <w:b w:val="0"/>
          <w:bCs w:val="0"/>
          <w:sz w:val="20"/>
        </w:rPr>
        <w:t>The Australian Trucking Association (ATA) is the peak body that represents the trucking industry. Its members include state and sector based trucking associations, some of the nation’s la</w:t>
      </w:r>
      <w:r w:rsidR="007C0B37">
        <w:rPr>
          <w:rFonts w:asciiTheme="minorHAnsi" w:eastAsia="Calibri" w:hAnsiTheme="minorHAnsi"/>
          <w:b w:val="0"/>
          <w:bCs w:val="0"/>
          <w:sz w:val="20"/>
        </w:rPr>
        <w:t>rgest transport companies</w:t>
      </w:r>
      <w:r w:rsidRPr="00A26CD2">
        <w:rPr>
          <w:rFonts w:asciiTheme="minorHAnsi" w:eastAsia="Calibri" w:hAnsiTheme="minorHAnsi"/>
          <w:b w:val="0"/>
          <w:bCs w:val="0"/>
          <w:sz w:val="20"/>
        </w:rPr>
        <w:t xml:space="preserve"> and businesses with leading expertise in truck technology. </w:t>
      </w:r>
    </w:p>
    <w:p w:rsidR="00F544FD" w:rsidRDefault="00F544FD" w:rsidP="00F544FD">
      <w:pPr>
        <w:jc w:val="both"/>
        <w:rPr>
          <w:rFonts w:asciiTheme="minorHAnsi" w:eastAsia="Times New Roman" w:hAnsiTheme="minorHAnsi" w:cs="Arial"/>
          <w:bCs/>
          <w:sz w:val="20"/>
          <w:szCs w:val="20"/>
        </w:rPr>
      </w:pPr>
    </w:p>
    <w:p w:rsidR="00F544FD" w:rsidRPr="00A26CD2" w:rsidRDefault="00F544FD" w:rsidP="00F544FD">
      <w:pPr>
        <w:jc w:val="both"/>
        <w:rPr>
          <w:rFonts w:asciiTheme="minorHAnsi" w:eastAsia="Times New Roman" w:hAnsiTheme="minorHAnsi" w:cs="Arial"/>
          <w:bCs/>
          <w:sz w:val="20"/>
          <w:szCs w:val="20"/>
        </w:rPr>
      </w:pPr>
    </w:p>
    <w:p w:rsidR="00F544FD" w:rsidRPr="00166926" w:rsidRDefault="007A1491" w:rsidP="00166926">
      <w:pPr>
        <w:pStyle w:val="Heading1"/>
        <w:keepNext/>
        <w:ind w:left="357" w:hanging="357"/>
        <w:jc w:val="both"/>
        <w:rPr>
          <w:rFonts w:asciiTheme="minorHAnsi" w:hAnsiTheme="minorHAnsi"/>
          <w:sz w:val="24"/>
          <w:szCs w:val="24"/>
        </w:rPr>
      </w:pPr>
      <w:bookmarkStart w:id="1" w:name="_Toc410388145"/>
      <w:r>
        <w:rPr>
          <w:rFonts w:asciiTheme="minorHAnsi" w:hAnsiTheme="minorHAnsi"/>
          <w:sz w:val="24"/>
          <w:szCs w:val="24"/>
        </w:rPr>
        <w:lastRenderedPageBreak/>
        <w:t>Summary of r</w:t>
      </w:r>
      <w:r w:rsidR="00F544FD" w:rsidRPr="00166926">
        <w:rPr>
          <w:rFonts w:asciiTheme="minorHAnsi" w:hAnsiTheme="minorHAnsi"/>
          <w:sz w:val="24"/>
          <w:szCs w:val="24"/>
        </w:rPr>
        <w:t>ecommendation</w:t>
      </w:r>
      <w:r w:rsidR="00166926">
        <w:rPr>
          <w:rFonts w:asciiTheme="minorHAnsi" w:hAnsiTheme="minorHAnsi"/>
          <w:sz w:val="24"/>
          <w:szCs w:val="24"/>
        </w:rPr>
        <w:t>s</w:t>
      </w:r>
      <w:bookmarkEnd w:id="1"/>
      <w:r w:rsidR="00F544FD" w:rsidRPr="00166926">
        <w:rPr>
          <w:rFonts w:asciiTheme="minorHAnsi" w:hAnsiTheme="minorHAnsi"/>
          <w:noProof/>
          <w:color w:val="000000" w:themeColor="text1"/>
          <w:sz w:val="24"/>
          <w:szCs w:val="24"/>
        </w:rPr>
        <w:t xml:space="preserve"> </w:t>
      </w:r>
    </w:p>
    <w:p w:rsidR="00BF439D" w:rsidRPr="005A5571" w:rsidRDefault="00BF439D" w:rsidP="00F544FD">
      <w:pPr>
        <w:keepNext/>
        <w:autoSpaceDE w:val="0"/>
        <w:autoSpaceDN w:val="0"/>
        <w:adjustRightInd w:val="0"/>
        <w:rPr>
          <w:rFonts w:asciiTheme="minorHAnsi" w:hAnsiTheme="minorHAnsi" w:cs="Arial"/>
          <w:sz w:val="20"/>
          <w:szCs w:val="20"/>
          <w:highlight w:val="white"/>
          <w:lang w:eastAsia="en-AU"/>
        </w:rPr>
      </w:pPr>
    </w:p>
    <w:p w:rsidR="00CA49F3" w:rsidRPr="007E6327" w:rsidRDefault="00CA49F3" w:rsidP="00CA49F3">
      <w:pPr>
        <w:keepNext/>
        <w:rPr>
          <w:rFonts w:asciiTheme="minorHAnsi" w:hAnsiTheme="minorHAnsi" w:cs="Arial"/>
          <w:b/>
          <w:sz w:val="20"/>
          <w:szCs w:val="20"/>
        </w:rPr>
      </w:pPr>
      <w:r w:rsidRPr="007E6327">
        <w:rPr>
          <w:rFonts w:asciiTheme="minorHAnsi" w:hAnsiTheme="minorHAnsi" w:cs="Arial"/>
          <w:b/>
          <w:sz w:val="20"/>
          <w:szCs w:val="20"/>
        </w:rPr>
        <w:t>Recommendation 1</w:t>
      </w:r>
    </w:p>
    <w:p w:rsidR="00CA49F3" w:rsidRDefault="00CA49F3" w:rsidP="00CA49F3">
      <w:pPr>
        <w:keepNext/>
        <w:rPr>
          <w:rFonts w:asciiTheme="minorHAnsi" w:hAnsiTheme="minorHAnsi" w:cs="Arial"/>
          <w:sz w:val="20"/>
          <w:szCs w:val="20"/>
        </w:rPr>
      </w:pPr>
    </w:p>
    <w:p w:rsidR="00CA49F3" w:rsidRPr="008A4165" w:rsidRDefault="00CA49F3" w:rsidP="00CA49F3">
      <w:pPr>
        <w:keepNext/>
        <w:rPr>
          <w:rFonts w:asciiTheme="minorHAnsi" w:hAnsiTheme="minorHAnsi" w:cs="Arial"/>
          <w:sz w:val="20"/>
          <w:szCs w:val="20"/>
        </w:rPr>
      </w:pPr>
      <w:r w:rsidRPr="008A4165">
        <w:rPr>
          <w:rFonts w:asciiTheme="minorHAnsi" w:hAnsiTheme="minorHAnsi" w:cs="Arial"/>
          <w:sz w:val="20"/>
          <w:szCs w:val="20"/>
        </w:rPr>
        <w:t>The CoR duties in the HVNL should be consolidated into a single chapter and structured on the basis of who holds the duty. Duplicated provisions should be removed.</w:t>
      </w:r>
    </w:p>
    <w:p w:rsidR="005A5571" w:rsidRDefault="005A5571"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24119B" w:rsidRDefault="00CA49F3" w:rsidP="00CA49F3">
      <w:pPr>
        <w:pStyle w:val="NoSpacing"/>
        <w:keepNext/>
        <w:rPr>
          <w:rFonts w:asciiTheme="minorHAnsi" w:hAnsiTheme="minorHAnsi" w:cs="Arial"/>
          <w:b/>
          <w:sz w:val="20"/>
          <w:szCs w:val="20"/>
        </w:rPr>
      </w:pPr>
      <w:r w:rsidRPr="0024119B">
        <w:rPr>
          <w:rFonts w:asciiTheme="minorHAnsi" w:hAnsiTheme="minorHAnsi" w:cs="Arial"/>
          <w:b/>
          <w:sz w:val="20"/>
          <w:szCs w:val="20"/>
        </w:rPr>
        <w:t>Recommendation</w:t>
      </w:r>
      <w:r>
        <w:rPr>
          <w:rFonts w:asciiTheme="minorHAnsi" w:hAnsiTheme="minorHAnsi" w:cs="Arial"/>
          <w:b/>
          <w:sz w:val="20"/>
          <w:szCs w:val="20"/>
        </w:rPr>
        <w:t xml:space="preserve"> 2</w:t>
      </w:r>
    </w:p>
    <w:p w:rsidR="00CA49F3" w:rsidRPr="0024119B" w:rsidRDefault="00CA49F3" w:rsidP="00CA49F3">
      <w:pPr>
        <w:pStyle w:val="NoSpacing"/>
        <w:keepNext/>
        <w:rPr>
          <w:rFonts w:asciiTheme="minorHAnsi" w:hAnsiTheme="minorHAnsi" w:cs="Arial"/>
          <w:b/>
          <w:sz w:val="20"/>
          <w:szCs w:val="20"/>
        </w:rPr>
      </w:pPr>
    </w:p>
    <w:p w:rsidR="00CA49F3" w:rsidRPr="008A4165" w:rsidRDefault="00C44F52" w:rsidP="00CA49F3">
      <w:pPr>
        <w:keepNext/>
        <w:rPr>
          <w:rFonts w:asciiTheme="minorHAnsi" w:hAnsiTheme="minorHAnsi" w:cs="Arial"/>
          <w:sz w:val="20"/>
          <w:szCs w:val="20"/>
        </w:rPr>
      </w:pPr>
      <w:r>
        <w:rPr>
          <w:rFonts w:asciiTheme="minorHAnsi" w:hAnsiTheme="minorHAnsi" w:cs="Arial"/>
          <w:sz w:val="20"/>
          <w:szCs w:val="20"/>
        </w:rPr>
        <w:t>C</w:t>
      </w:r>
      <w:r w:rsidR="00CA49F3" w:rsidRPr="008A4165">
        <w:rPr>
          <w:rFonts w:asciiTheme="minorHAnsi" w:hAnsiTheme="minorHAnsi" w:cs="Arial"/>
          <w:sz w:val="20"/>
          <w:szCs w:val="20"/>
        </w:rPr>
        <w:t>hapter 1A of the HVNL should impose duties on supply chain participants in relation to mass, dimension and load restraint.</w:t>
      </w:r>
    </w:p>
    <w:p w:rsidR="00CA49F3" w:rsidRDefault="00CA49F3" w:rsidP="00CA49F3">
      <w:pPr>
        <w:rPr>
          <w:rFonts w:asciiTheme="minorHAnsi" w:hAnsiTheme="minorHAnsi" w:cs="Arial"/>
          <w:sz w:val="20"/>
          <w:szCs w:val="20"/>
        </w:rPr>
      </w:pPr>
    </w:p>
    <w:p w:rsidR="00CA49F3" w:rsidRDefault="00CA49F3" w:rsidP="00CA49F3">
      <w:pPr>
        <w:rPr>
          <w:rFonts w:asciiTheme="minorHAnsi" w:hAnsiTheme="minorHAnsi" w:cs="Arial"/>
          <w:sz w:val="20"/>
          <w:szCs w:val="20"/>
        </w:rPr>
      </w:pPr>
    </w:p>
    <w:p w:rsidR="00CA49F3" w:rsidRPr="0020535C" w:rsidRDefault="00CA49F3" w:rsidP="00CA49F3">
      <w:pPr>
        <w:rPr>
          <w:rFonts w:asciiTheme="minorHAnsi" w:hAnsiTheme="minorHAnsi" w:cs="Arial"/>
          <w:b/>
          <w:sz w:val="20"/>
          <w:szCs w:val="20"/>
        </w:rPr>
      </w:pPr>
      <w:r>
        <w:rPr>
          <w:rFonts w:asciiTheme="minorHAnsi" w:hAnsiTheme="minorHAnsi" w:cs="Arial"/>
          <w:b/>
          <w:sz w:val="20"/>
          <w:szCs w:val="20"/>
        </w:rPr>
        <w:t>Recommendation 3</w:t>
      </w:r>
    </w:p>
    <w:p w:rsidR="00CA49F3" w:rsidRPr="0020535C" w:rsidRDefault="00CA49F3" w:rsidP="00CA49F3">
      <w:pPr>
        <w:rPr>
          <w:rFonts w:asciiTheme="minorHAnsi" w:hAnsiTheme="minorHAnsi" w:cs="Arial"/>
          <w:b/>
          <w:sz w:val="20"/>
          <w:szCs w:val="20"/>
        </w:rPr>
      </w:pPr>
    </w:p>
    <w:p w:rsidR="00C44F52" w:rsidRPr="00C44F52" w:rsidRDefault="00C44F52" w:rsidP="00C44F52">
      <w:pPr>
        <w:rPr>
          <w:rFonts w:asciiTheme="minorHAnsi" w:hAnsiTheme="minorHAnsi" w:cs="Arial"/>
          <w:sz w:val="20"/>
          <w:szCs w:val="20"/>
        </w:rPr>
      </w:pPr>
      <w:r w:rsidRPr="00C44F52">
        <w:rPr>
          <w:rFonts w:asciiTheme="minorHAnsi" w:hAnsiTheme="minorHAnsi" w:cs="Arial"/>
          <w:sz w:val="20"/>
          <w:szCs w:val="20"/>
        </w:rPr>
        <w:t>Chapter 1A of the HVNL should require chain parties to ensure, so far as is reasonably practicable, that vehicles are free of defects, safe and maintained in a roadworthy condition. This requirement should be extended to outsourced vehicle maintenance providers.</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2C06A8" w:rsidRDefault="00CA49F3" w:rsidP="00CA49F3">
      <w:pPr>
        <w:keepNext/>
        <w:rPr>
          <w:rFonts w:asciiTheme="minorHAnsi" w:hAnsiTheme="minorHAnsi" w:cs="Arial"/>
          <w:b/>
          <w:sz w:val="20"/>
          <w:szCs w:val="20"/>
        </w:rPr>
      </w:pPr>
      <w:r>
        <w:rPr>
          <w:rFonts w:asciiTheme="minorHAnsi" w:hAnsiTheme="minorHAnsi" w:cs="Arial"/>
          <w:b/>
          <w:sz w:val="20"/>
          <w:szCs w:val="20"/>
        </w:rPr>
        <w:t>Recommendation 4</w:t>
      </w:r>
    </w:p>
    <w:p w:rsidR="00CA49F3" w:rsidRDefault="00CA49F3" w:rsidP="00CA49F3">
      <w:pPr>
        <w:keepNext/>
        <w:rPr>
          <w:rFonts w:asciiTheme="minorHAnsi" w:hAnsiTheme="minorHAnsi" w:cs="Arial"/>
          <w:sz w:val="20"/>
          <w:szCs w:val="20"/>
        </w:rPr>
      </w:pPr>
    </w:p>
    <w:p w:rsidR="00C44F52" w:rsidRPr="00C44F52" w:rsidRDefault="00C44F52" w:rsidP="00C44F52">
      <w:pPr>
        <w:keepNext/>
        <w:rPr>
          <w:rFonts w:asciiTheme="minorHAnsi" w:hAnsiTheme="minorHAnsi" w:cs="Arial"/>
          <w:sz w:val="20"/>
          <w:szCs w:val="20"/>
        </w:rPr>
      </w:pPr>
      <w:r w:rsidRPr="00C44F52">
        <w:rPr>
          <w:rFonts w:asciiTheme="minorHAnsi" w:hAnsiTheme="minorHAnsi" w:cs="Arial"/>
          <w:sz w:val="20"/>
          <w:szCs w:val="20"/>
        </w:rPr>
        <w:t>Chapter 1A of the HVNL should build on existing s229 to include general duties requiring parties in the chain of responsibility to ensure, so far as is reasonably practicable, that MDLR, speed, and vehicle safety and standards breaches do not occur.</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191B40" w:rsidRDefault="00CA49F3" w:rsidP="00CA49F3">
      <w:pPr>
        <w:keepNext/>
        <w:rPr>
          <w:rFonts w:asciiTheme="minorHAnsi" w:hAnsiTheme="minorHAnsi" w:cs="Arial"/>
          <w:b/>
          <w:sz w:val="20"/>
          <w:szCs w:val="20"/>
        </w:rPr>
      </w:pPr>
      <w:r w:rsidRPr="00191B40">
        <w:rPr>
          <w:rFonts w:asciiTheme="minorHAnsi" w:hAnsiTheme="minorHAnsi" w:cs="Arial"/>
          <w:b/>
          <w:sz w:val="20"/>
          <w:szCs w:val="20"/>
        </w:rPr>
        <w:t>Recommendation 5</w:t>
      </w:r>
    </w:p>
    <w:p w:rsidR="00CA49F3" w:rsidRPr="00191B40" w:rsidRDefault="00CA49F3" w:rsidP="00CA49F3">
      <w:pPr>
        <w:keepNext/>
        <w:rPr>
          <w:rFonts w:asciiTheme="minorHAnsi" w:hAnsiTheme="minorHAnsi" w:cs="Arial"/>
          <w:b/>
          <w:sz w:val="20"/>
          <w:szCs w:val="20"/>
        </w:rPr>
      </w:pPr>
    </w:p>
    <w:p w:rsidR="00C44F52" w:rsidRPr="00C44F52" w:rsidRDefault="00C44F52" w:rsidP="00C44F52">
      <w:pPr>
        <w:keepNext/>
        <w:keepLines/>
        <w:rPr>
          <w:rFonts w:asciiTheme="minorHAnsi" w:hAnsiTheme="minorHAnsi" w:cs="Arial"/>
          <w:sz w:val="20"/>
          <w:szCs w:val="20"/>
        </w:rPr>
      </w:pPr>
      <w:r w:rsidRPr="00C44F52">
        <w:rPr>
          <w:rFonts w:asciiTheme="minorHAnsi" w:hAnsiTheme="minorHAnsi" w:cs="Arial"/>
          <w:sz w:val="20"/>
          <w:szCs w:val="20"/>
        </w:rPr>
        <w:t xml:space="preserve">The term ‘all reasonable steps’ should be retired from the HVNL and replaced with ‘so far as </w:t>
      </w:r>
      <w:r w:rsidR="002F2AF7">
        <w:rPr>
          <w:rFonts w:asciiTheme="minorHAnsi" w:hAnsiTheme="minorHAnsi" w:cs="Arial"/>
          <w:sz w:val="20"/>
          <w:szCs w:val="20"/>
        </w:rPr>
        <w:t xml:space="preserve">is </w:t>
      </w:r>
      <w:r w:rsidRPr="00C44F52">
        <w:rPr>
          <w:rFonts w:asciiTheme="minorHAnsi" w:hAnsiTheme="minorHAnsi" w:cs="Arial"/>
          <w:sz w:val="20"/>
          <w:szCs w:val="20"/>
        </w:rPr>
        <w:t>reasonably practicable.’ Proposed chapter 1A should include a definition of ‘reasonably practicable’ that is consistent with the definition used in the model Work Health and Safety Act. Sections 620 and 622 of the HVNL should be removed; their relevant content should be transferred to a fact sheet or examples within the legislation.</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A81F4C" w:rsidRDefault="00CA49F3" w:rsidP="00CA49F3">
      <w:pPr>
        <w:rPr>
          <w:rFonts w:asciiTheme="minorHAnsi" w:hAnsiTheme="minorHAnsi" w:cs="Arial"/>
          <w:b/>
          <w:sz w:val="20"/>
          <w:szCs w:val="20"/>
        </w:rPr>
      </w:pPr>
      <w:r>
        <w:rPr>
          <w:rFonts w:asciiTheme="minorHAnsi" w:hAnsiTheme="minorHAnsi" w:cs="Arial"/>
          <w:b/>
          <w:sz w:val="20"/>
          <w:szCs w:val="20"/>
        </w:rPr>
        <w:t>Recommendation 6</w:t>
      </w:r>
    </w:p>
    <w:p w:rsidR="00CA49F3" w:rsidRDefault="00CA49F3" w:rsidP="00CA49F3">
      <w:pPr>
        <w:rPr>
          <w:rFonts w:asciiTheme="minorHAnsi" w:hAnsiTheme="minorHAnsi" w:cs="Arial"/>
          <w:sz w:val="20"/>
          <w:szCs w:val="20"/>
        </w:rPr>
      </w:pPr>
    </w:p>
    <w:p w:rsidR="00CA49F3" w:rsidRPr="008A4165" w:rsidRDefault="00CA49F3" w:rsidP="00CA49F3">
      <w:pPr>
        <w:rPr>
          <w:rFonts w:asciiTheme="minorHAnsi" w:hAnsiTheme="minorHAnsi" w:cs="Arial"/>
          <w:sz w:val="20"/>
          <w:szCs w:val="20"/>
        </w:rPr>
      </w:pPr>
      <w:r w:rsidRPr="008A4165">
        <w:rPr>
          <w:rFonts w:asciiTheme="minorHAnsi" w:hAnsiTheme="minorHAnsi" w:cs="Arial"/>
          <w:sz w:val="20"/>
          <w:szCs w:val="20"/>
        </w:rPr>
        <w:lastRenderedPageBreak/>
        <w:t>The intermediate duties set out in table 3 of this submission should be removed from the HVNL.</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32301B" w:rsidRDefault="00CA49F3" w:rsidP="00CA49F3">
      <w:pPr>
        <w:rPr>
          <w:rFonts w:asciiTheme="minorHAnsi" w:hAnsiTheme="minorHAnsi" w:cs="Arial"/>
          <w:b/>
          <w:sz w:val="20"/>
          <w:szCs w:val="20"/>
        </w:rPr>
      </w:pPr>
      <w:r>
        <w:rPr>
          <w:rFonts w:asciiTheme="minorHAnsi" w:hAnsiTheme="minorHAnsi" w:cs="Arial"/>
          <w:b/>
          <w:sz w:val="20"/>
          <w:szCs w:val="20"/>
        </w:rPr>
        <w:t>Recommendation 7</w:t>
      </w:r>
    </w:p>
    <w:p w:rsidR="00CA49F3" w:rsidRPr="0032301B" w:rsidRDefault="00CA49F3" w:rsidP="00CA49F3">
      <w:pPr>
        <w:rPr>
          <w:rFonts w:asciiTheme="minorHAnsi" w:hAnsiTheme="minorHAnsi" w:cs="Arial"/>
          <w:b/>
          <w:sz w:val="20"/>
          <w:szCs w:val="20"/>
        </w:rPr>
      </w:pPr>
    </w:p>
    <w:p w:rsidR="00C44F52" w:rsidRPr="00C44F52" w:rsidRDefault="00C44F52" w:rsidP="00C44F52">
      <w:pPr>
        <w:rPr>
          <w:rFonts w:asciiTheme="minorHAnsi" w:hAnsiTheme="minorHAnsi" w:cs="Arial"/>
          <w:sz w:val="20"/>
          <w:szCs w:val="20"/>
        </w:rPr>
      </w:pPr>
      <w:r w:rsidRPr="00C44F52">
        <w:rPr>
          <w:rFonts w:asciiTheme="minorHAnsi" w:hAnsiTheme="minorHAnsi" w:cs="Arial"/>
          <w:sz w:val="20"/>
          <w:szCs w:val="20"/>
        </w:rPr>
        <w:t>As soon as possible, the NHVR should issue guidelines under Part 13.2 of the HVNL for approving industry codes of practice. In addition, the NHVR and NTC should publish more non-code guidance material about how to comply with the HVNL. In doing this, the NHVR and NTC should:</w:t>
      </w:r>
    </w:p>
    <w:p w:rsidR="00C44F52" w:rsidRPr="00C44F52" w:rsidRDefault="00C44F52" w:rsidP="00C44F52">
      <w:pPr>
        <w:rPr>
          <w:rFonts w:asciiTheme="minorHAnsi" w:hAnsiTheme="minorHAnsi" w:cs="Arial"/>
          <w:sz w:val="20"/>
          <w:szCs w:val="20"/>
        </w:rPr>
      </w:pPr>
    </w:p>
    <w:p w:rsidR="00C44F52" w:rsidRPr="00C44F52" w:rsidRDefault="00C44F52" w:rsidP="00C44F52">
      <w:pPr>
        <w:pStyle w:val="ListParagraph"/>
        <w:numPr>
          <w:ilvl w:val="0"/>
          <w:numId w:val="12"/>
        </w:numPr>
        <w:spacing w:after="0" w:line="240" w:lineRule="auto"/>
        <w:ind w:left="714" w:hanging="357"/>
        <w:rPr>
          <w:rFonts w:asciiTheme="minorHAnsi" w:hAnsiTheme="minorHAnsi" w:cs="Arial"/>
          <w:sz w:val="20"/>
          <w:szCs w:val="20"/>
        </w:rPr>
      </w:pPr>
      <w:r w:rsidRPr="00C44F52">
        <w:rPr>
          <w:rFonts w:asciiTheme="minorHAnsi" w:hAnsiTheme="minorHAnsi" w:cs="Arial"/>
          <w:sz w:val="20"/>
          <w:szCs w:val="20"/>
        </w:rPr>
        <w:t>make it clear that the material is a guide only and is not authoritative</w:t>
      </w:r>
    </w:p>
    <w:p w:rsidR="00C44F52" w:rsidRPr="00C44F52" w:rsidRDefault="00C44F52" w:rsidP="00C44F52">
      <w:pPr>
        <w:pStyle w:val="ListParagraph"/>
        <w:numPr>
          <w:ilvl w:val="0"/>
          <w:numId w:val="12"/>
        </w:numPr>
        <w:spacing w:after="0" w:line="240" w:lineRule="auto"/>
        <w:ind w:left="714" w:hanging="357"/>
        <w:rPr>
          <w:rFonts w:asciiTheme="minorHAnsi" w:hAnsiTheme="minorHAnsi" w:cs="Arial"/>
          <w:sz w:val="20"/>
          <w:szCs w:val="20"/>
        </w:rPr>
      </w:pPr>
      <w:r w:rsidRPr="00C44F52">
        <w:rPr>
          <w:rFonts w:asciiTheme="minorHAnsi" w:hAnsiTheme="minorHAnsi" w:cs="Arial"/>
          <w:sz w:val="20"/>
          <w:szCs w:val="20"/>
        </w:rPr>
        <w:t xml:space="preserve">have processes to systematically </w:t>
      </w:r>
      <w:r w:rsidR="00CA039F">
        <w:rPr>
          <w:rFonts w:asciiTheme="minorHAnsi" w:hAnsiTheme="minorHAnsi" w:cs="Arial"/>
          <w:sz w:val="20"/>
          <w:szCs w:val="20"/>
        </w:rPr>
        <w:t xml:space="preserve">and promptly </w:t>
      </w:r>
      <w:r w:rsidRPr="00C44F52">
        <w:rPr>
          <w:rFonts w:asciiTheme="minorHAnsi" w:hAnsiTheme="minorHAnsi" w:cs="Arial"/>
          <w:sz w:val="20"/>
          <w:szCs w:val="20"/>
        </w:rPr>
        <w:t>review the guidance material as the HVNL case law evolves.</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8A4165" w:rsidRDefault="008A4165" w:rsidP="00F544FD">
      <w:pPr>
        <w:keepNext/>
        <w:autoSpaceDE w:val="0"/>
        <w:autoSpaceDN w:val="0"/>
        <w:adjustRightInd w:val="0"/>
        <w:rPr>
          <w:rFonts w:asciiTheme="minorHAnsi" w:hAnsiTheme="minorHAnsi" w:cs="Arial"/>
          <w:sz w:val="20"/>
          <w:szCs w:val="20"/>
          <w:highlight w:val="white"/>
          <w:lang w:eastAsia="en-AU"/>
        </w:rPr>
      </w:pPr>
    </w:p>
    <w:p w:rsidR="00CA49F3" w:rsidRPr="0070164E" w:rsidRDefault="00CA039F" w:rsidP="00CA49F3">
      <w:pPr>
        <w:keepNext/>
        <w:rPr>
          <w:rFonts w:asciiTheme="minorHAnsi" w:hAnsiTheme="minorHAnsi" w:cs="Arial"/>
          <w:b/>
          <w:sz w:val="20"/>
          <w:szCs w:val="20"/>
        </w:rPr>
      </w:pPr>
      <w:r>
        <w:rPr>
          <w:rFonts w:asciiTheme="minorHAnsi" w:hAnsiTheme="minorHAnsi" w:cs="Arial"/>
          <w:b/>
          <w:sz w:val="20"/>
          <w:szCs w:val="20"/>
        </w:rPr>
        <w:t>R</w:t>
      </w:r>
      <w:r w:rsidR="00CA49F3" w:rsidRPr="0070164E">
        <w:rPr>
          <w:rFonts w:asciiTheme="minorHAnsi" w:hAnsiTheme="minorHAnsi" w:cs="Arial"/>
          <w:b/>
          <w:sz w:val="20"/>
          <w:szCs w:val="20"/>
        </w:rPr>
        <w:t>ecommendation 8</w:t>
      </w:r>
    </w:p>
    <w:p w:rsidR="00CA49F3" w:rsidRPr="00432694" w:rsidRDefault="00CA49F3" w:rsidP="00CA49F3">
      <w:pPr>
        <w:keepNext/>
        <w:rPr>
          <w:rFonts w:asciiTheme="minorHAnsi" w:hAnsiTheme="minorHAnsi" w:cs="Arial"/>
          <w:b/>
          <w:sz w:val="20"/>
          <w:szCs w:val="20"/>
        </w:rPr>
      </w:pPr>
      <w:r w:rsidRPr="00432694">
        <w:rPr>
          <w:rFonts w:asciiTheme="minorHAnsi" w:hAnsiTheme="minorHAnsi" w:cs="Arial"/>
          <w:b/>
          <w:sz w:val="20"/>
          <w:szCs w:val="20"/>
        </w:rPr>
        <w:t xml:space="preserve"> </w:t>
      </w:r>
    </w:p>
    <w:p w:rsidR="00C44F52" w:rsidRPr="00C44F52" w:rsidRDefault="00C44F52" w:rsidP="00C44F52">
      <w:pPr>
        <w:rPr>
          <w:rFonts w:asciiTheme="minorHAnsi" w:hAnsiTheme="minorHAnsi" w:cs="Arial"/>
          <w:sz w:val="20"/>
          <w:szCs w:val="20"/>
        </w:rPr>
      </w:pPr>
      <w:r w:rsidRPr="00C44F52">
        <w:rPr>
          <w:rFonts w:asciiTheme="minorHAnsi" w:hAnsiTheme="minorHAnsi" w:cs="Arial"/>
          <w:sz w:val="20"/>
          <w:szCs w:val="20"/>
        </w:rPr>
        <w:t xml:space="preserve">The reforms to CoR duties should not be rushed. They should be considered and implemented as a package, with any new CoR duties accompanied by a streamlining of the </w:t>
      </w:r>
      <w:r w:rsidRPr="00C44F52">
        <w:rPr>
          <w:rFonts w:asciiTheme="minorHAnsi" w:hAnsiTheme="minorHAnsi" w:cs="Arial"/>
          <w:sz w:val="20"/>
          <w:szCs w:val="20"/>
        </w:rPr>
        <w:lastRenderedPageBreak/>
        <w:t>law. The reform package, including related reforms such as the proposed changes to executive officer liability, should be validated by a case study analysis that investigates its impact.</w:t>
      </w:r>
    </w:p>
    <w:p w:rsidR="00CA49F3" w:rsidRDefault="00CA49F3" w:rsidP="00F544FD">
      <w:pPr>
        <w:keepNext/>
        <w:autoSpaceDE w:val="0"/>
        <w:autoSpaceDN w:val="0"/>
        <w:adjustRightInd w:val="0"/>
        <w:rPr>
          <w:rFonts w:asciiTheme="minorHAnsi" w:hAnsiTheme="minorHAnsi" w:cs="Arial"/>
          <w:sz w:val="20"/>
          <w:szCs w:val="20"/>
          <w:highlight w:val="white"/>
          <w:lang w:eastAsia="en-AU"/>
        </w:rPr>
      </w:pPr>
    </w:p>
    <w:p w:rsidR="00CA49F3" w:rsidRPr="005A5571" w:rsidRDefault="00CA49F3" w:rsidP="00F544FD">
      <w:pPr>
        <w:keepNext/>
        <w:autoSpaceDE w:val="0"/>
        <w:autoSpaceDN w:val="0"/>
        <w:adjustRightInd w:val="0"/>
        <w:rPr>
          <w:rFonts w:asciiTheme="minorHAnsi" w:hAnsiTheme="minorHAnsi" w:cs="Arial"/>
          <w:sz w:val="20"/>
          <w:szCs w:val="20"/>
          <w:highlight w:val="white"/>
          <w:lang w:eastAsia="en-AU"/>
        </w:rPr>
      </w:pPr>
    </w:p>
    <w:p w:rsidR="00576ED0" w:rsidRPr="00166926" w:rsidRDefault="00576ED0" w:rsidP="008A4165">
      <w:pPr>
        <w:pStyle w:val="Heading1"/>
        <w:keepNext/>
        <w:ind w:left="357" w:hanging="357"/>
        <w:jc w:val="both"/>
        <w:rPr>
          <w:rFonts w:asciiTheme="minorHAnsi" w:hAnsiTheme="minorHAnsi"/>
          <w:sz w:val="24"/>
          <w:szCs w:val="24"/>
        </w:rPr>
      </w:pPr>
      <w:bookmarkStart w:id="2" w:name="_Toc410388146"/>
      <w:r w:rsidRPr="00166926">
        <w:rPr>
          <w:rFonts w:asciiTheme="minorHAnsi" w:hAnsiTheme="minorHAnsi"/>
          <w:sz w:val="24"/>
          <w:szCs w:val="24"/>
        </w:rPr>
        <w:t>Introduction</w:t>
      </w:r>
      <w:bookmarkEnd w:id="2"/>
    </w:p>
    <w:p w:rsidR="00A54132" w:rsidRDefault="00A54132" w:rsidP="008A4165">
      <w:pPr>
        <w:keepNext/>
        <w:rPr>
          <w:rFonts w:asciiTheme="minorHAnsi" w:eastAsiaTheme="minorHAnsi" w:hAnsiTheme="minorHAnsi" w:cstheme="minorBidi"/>
          <w:sz w:val="20"/>
          <w:szCs w:val="20"/>
        </w:rPr>
      </w:pPr>
    </w:p>
    <w:p w:rsidR="00FC2B85" w:rsidRDefault="00FC2B85" w:rsidP="008A4165">
      <w:pPr>
        <w:keepNext/>
        <w:rPr>
          <w:rFonts w:asciiTheme="minorHAnsi" w:eastAsiaTheme="minorHAnsi" w:hAnsiTheme="minorHAnsi" w:cstheme="minorBidi"/>
          <w:sz w:val="20"/>
          <w:szCs w:val="20"/>
        </w:rPr>
      </w:pPr>
      <w:r>
        <w:rPr>
          <w:rFonts w:asciiTheme="minorHAnsi" w:eastAsiaTheme="minorHAnsi" w:hAnsiTheme="minorHAnsi" w:cstheme="minorBidi"/>
          <w:sz w:val="20"/>
          <w:szCs w:val="20"/>
        </w:rPr>
        <w:t>In May 2014, Australia’s transport ministers agreed the NTC should establish a process to investigate the development of broader duties within the chain of responsibility. The decision followed a report by the Ch</w:t>
      </w:r>
      <w:r w:rsidR="00CA039F">
        <w:rPr>
          <w:rFonts w:asciiTheme="minorHAnsi" w:eastAsiaTheme="minorHAnsi" w:hAnsiTheme="minorHAnsi" w:cstheme="minorBidi"/>
          <w:sz w:val="20"/>
          <w:szCs w:val="20"/>
        </w:rPr>
        <w:t>ain of Responsibility Taskforce</w:t>
      </w:r>
      <w:r>
        <w:rPr>
          <w:rFonts w:asciiTheme="minorHAnsi" w:eastAsiaTheme="minorHAnsi" w:hAnsiTheme="minorHAnsi" w:cstheme="minorBidi"/>
          <w:sz w:val="20"/>
          <w:szCs w:val="20"/>
        </w:rPr>
        <w:t>.</w:t>
      </w:r>
    </w:p>
    <w:p w:rsidR="00FC2B85" w:rsidRDefault="00FC2B85" w:rsidP="00A54132">
      <w:pPr>
        <w:rPr>
          <w:rFonts w:asciiTheme="minorHAnsi" w:eastAsiaTheme="minorHAnsi" w:hAnsiTheme="minorHAnsi" w:cstheme="minorBidi"/>
          <w:sz w:val="20"/>
          <w:szCs w:val="20"/>
        </w:rPr>
      </w:pPr>
    </w:p>
    <w:p w:rsidR="00FC2B85" w:rsidRDefault="00FC2B85" w:rsidP="00A54132">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In November 2014, the NTC released a discussion paper about the development of </w:t>
      </w:r>
      <w:r w:rsidR="00822D2A">
        <w:rPr>
          <w:rFonts w:asciiTheme="minorHAnsi" w:eastAsiaTheme="minorHAnsi" w:hAnsiTheme="minorHAnsi" w:cstheme="minorBidi"/>
          <w:sz w:val="20"/>
          <w:szCs w:val="20"/>
        </w:rPr>
        <w:t xml:space="preserve">those broader duties. </w:t>
      </w:r>
      <w:r>
        <w:rPr>
          <w:rFonts w:asciiTheme="minorHAnsi" w:eastAsiaTheme="minorHAnsi" w:hAnsiTheme="minorHAnsi" w:cstheme="minorBidi"/>
          <w:sz w:val="20"/>
          <w:szCs w:val="20"/>
        </w:rPr>
        <w:t>The NTC aims to report to minister</w:t>
      </w:r>
      <w:r w:rsidR="00822D2A">
        <w:rPr>
          <w:rFonts w:asciiTheme="minorHAnsi" w:eastAsiaTheme="minorHAnsi" w:hAnsiTheme="minorHAnsi" w:cstheme="minorBidi"/>
          <w:sz w:val="20"/>
          <w:szCs w:val="20"/>
        </w:rPr>
        <w:t>s</w:t>
      </w:r>
      <w:r>
        <w:rPr>
          <w:rFonts w:asciiTheme="minorHAnsi" w:eastAsiaTheme="minorHAnsi" w:hAnsiTheme="minorHAnsi" w:cstheme="minorBidi"/>
          <w:sz w:val="20"/>
          <w:szCs w:val="20"/>
        </w:rPr>
        <w:t xml:space="preserve"> in May 2015 on a preferred approach. The NTC will then investigate the detail of </w:t>
      </w:r>
      <w:r w:rsidR="004111D4">
        <w:rPr>
          <w:rFonts w:asciiTheme="minorHAnsi" w:eastAsiaTheme="minorHAnsi" w:hAnsiTheme="minorHAnsi" w:cstheme="minorBidi"/>
          <w:sz w:val="20"/>
          <w:szCs w:val="20"/>
        </w:rPr>
        <w:t xml:space="preserve">the </w:t>
      </w:r>
      <w:r>
        <w:rPr>
          <w:rFonts w:asciiTheme="minorHAnsi" w:eastAsiaTheme="minorHAnsi" w:hAnsiTheme="minorHAnsi" w:cstheme="minorBidi"/>
          <w:sz w:val="20"/>
          <w:szCs w:val="20"/>
        </w:rPr>
        <w:t xml:space="preserve">approach </w:t>
      </w:r>
      <w:r w:rsidR="004111D4">
        <w:rPr>
          <w:rFonts w:asciiTheme="minorHAnsi" w:eastAsiaTheme="minorHAnsi" w:hAnsiTheme="minorHAnsi" w:cstheme="minorBidi"/>
          <w:sz w:val="20"/>
          <w:szCs w:val="20"/>
        </w:rPr>
        <w:t xml:space="preserve">agreed by ministers </w:t>
      </w:r>
      <w:r>
        <w:rPr>
          <w:rFonts w:asciiTheme="minorHAnsi" w:eastAsiaTheme="minorHAnsi" w:hAnsiTheme="minorHAnsi" w:cstheme="minorBidi"/>
          <w:sz w:val="20"/>
          <w:szCs w:val="20"/>
        </w:rPr>
        <w:t>and its potential legislative and operational consequences.</w:t>
      </w:r>
    </w:p>
    <w:p w:rsidR="0097748C" w:rsidRDefault="0097748C" w:rsidP="00E2768A">
      <w:pPr>
        <w:autoSpaceDE w:val="0"/>
        <w:autoSpaceDN w:val="0"/>
        <w:adjustRightInd w:val="0"/>
        <w:rPr>
          <w:rFonts w:asciiTheme="minorHAnsi" w:hAnsiTheme="minorHAnsi" w:cs="Arial"/>
          <w:sz w:val="20"/>
          <w:szCs w:val="20"/>
          <w:highlight w:val="white"/>
          <w:lang w:eastAsia="en-AU"/>
        </w:rPr>
      </w:pPr>
    </w:p>
    <w:p w:rsidR="00FC2B85" w:rsidRDefault="00FC2B85" w:rsidP="00E2768A">
      <w:pPr>
        <w:autoSpaceDE w:val="0"/>
        <w:autoSpaceDN w:val="0"/>
        <w:adjustRightInd w:val="0"/>
        <w:rPr>
          <w:sz w:val="20"/>
          <w:szCs w:val="20"/>
        </w:rPr>
      </w:pPr>
      <w:r>
        <w:rPr>
          <w:rFonts w:asciiTheme="minorHAnsi" w:hAnsiTheme="minorHAnsi" w:cs="Arial"/>
          <w:sz w:val="20"/>
          <w:szCs w:val="20"/>
          <w:highlight w:val="white"/>
          <w:lang w:eastAsia="en-AU"/>
        </w:rPr>
        <w:t xml:space="preserve">This submission outlines the ATA’s issues with the existing CoR provisions in the HVNL (section 4), before assessing the options put forward in the NTC discussion paper (section 5). The submission concludes that </w:t>
      </w:r>
      <w:r w:rsidR="00822D2A">
        <w:rPr>
          <w:rFonts w:asciiTheme="minorHAnsi" w:hAnsiTheme="minorHAnsi" w:cs="Arial"/>
          <w:sz w:val="20"/>
          <w:szCs w:val="20"/>
          <w:lang w:eastAsia="en-AU"/>
        </w:rPr>
        <w:t>the</w:t>
      </w:r>
      <w:r>
        <w:rPr>
          <w:sz w:val="20"/>
          <w:szCs w:val="20"/>
        </w:rPr>
        <w:t xml:space="preserve"> options </w:t>
      </w:r>
      <w:r w:rsidR="009B4F13">
        <w:rPr>
          <w:sz w:val="20"/>
          <w:szCs w:val="20"/>
        </w:rPr>
        <w:t xml:space="preserve">in the discussion paper </w:t>
      </w:r>
      <w:r>
        <w:rPr>
          <w:sz w:val="20"/>
          <w:szCs w:val="20"/>
        </w:rPr>
        <w:t xml:space="preserve">would </w:t>
      </w:r>
      <w:r w:rsidR="00822D2A">
        <w:rPr>
          <w:sz w:val="20"/>
          <w:szCs w:val="20"/>
        </w:rPr>
        <w:t xml:space="preserve">all raise </w:t>
      </w:r>
      <w:r>
        <w:rPr>
          <w:sz w:val="20"/>
          <w:szCs w:val="20"/>
        </w:rPr>
        <w:t xml:space="preserve">significant problems for industry. </w:t>
      </w:r>
    </w:p>
    <w:p w:rsidR="00FC2B85" w:rsidRDefault="00FC2B85" w:rsidP="00E2768A">
      <w:pPr>
        <w:autoSpaceDE w:val="0"/>
        <w:autoSpaceDN w:val="0"/>
        <w:adjustRightInd w:val="0"/>
        <w:rPr>
          <w:sz w:val="20"/>
          <w:szCs w:val="20"/>
        </w:rPr>
      </w:pPr>
    </w:p>
    <w:p w:rsidR="00FC2B85" w:rsidRDefault="00FC2B85" w:rsidP="00E2768A">
      <w:pPr>
        <w:autoSpaceDE w:val="0"/>
        <w:autoSpaceDN w:val="0"/>
        <w:adjustRightInd w:val="0"/>
        <w:rPr>
          <w:sz w:val="20"/>
          <w:szCs w:val="20"/>
        </w:rPr>
      </w:pPr>
      <w:r>
        <w:rPr>
          <w:sz w:val="20"/>
          <w:szCs w:val="20"/>
        </w:rPr>
        <w:t xml:space="preserve">Section 6 of the submission puts forward an </w:t>
      </w:r>
      <w:r w:rsidR="00822D2A">
        <w:rPr>
          <w:sz w:val="20"/>
          <w:szCs w:val="20"/>
        </w:rPr>
        <w:t xml:space="preserve">alternative </w:t>
      </w:r>
      <w:r>
        <w:rPr>
          <w:sz w:val="20"/>
          <w:szCs w:val="20"/>
        </w:rPr>
        <w:t xml:space="preserve">approach that would combine the best features of </w:t>
      </w:r>
      <w:r w:rsidR="00CA039F">
        <w:rPr>
          <w:sz w:val="20"/>
          <w:szCs w:val="20"/>
        </w:rPr>
        <w:t xml:space="preserve">NTC </w:t>
      </w:r>
      <w:r>
        <w:rPr>
          <w:sz w:val="20"/>
          <w:szCs w:val="20"/>
        </w:rPr>
        <w:t xml:space="preserve">options 1, 2 and 4 with a substantial streamlining of the </w:t>
      </w:r>
      <w:r w:rsidR="00E3215E">
        <w:rPr>
          <w:sz w:val="20"/>
          <w:szCs w:val="20"/>
        </w:rPr>
        <w:t>HVNL</w:t>
      </w:r>
      <w:r>
        <w:rPr>
          <w:sz w:val="20"/>
          <w:szCs w:val="20"/>
        </w:rPr>
        <w:t>.</w:t>
      </w:r>
    </w:p>
    <w:p w:rsidR="00E3215E" w:rsidRDefault="00E3215E" w:rsidP="00E2768A">
      <w:pPr>
        <w:autoSpaceDE w:val="0"/>
        <w:autoSpaceDN w:val="0"/>
        <w:adjustRightInd w:val="0"/>
        <w:rPr>
          <w:sz w:val="20"/>
          <w:szCs w:val="20"/>
        </w:rPr>
      </w:pPr>
    </w:p>
    <w:p w:rsidR="00E3215E" w:rsidRDefault="00E3215E" w:rsidP="00E2768A">
      <w:pPr>
        <w:autoSpaceDE w:val="0"/>
        <w:autoSpaceDN w:val="0"/>
        <w:adjustRightInd w:val="0"/>
        <w:rPr>
          <w:sz w:val="20"/>
          <w:szCs w:val="20"/>
        </w:rPr>
      </w:pPr>
      <w:r>
        <w:rPr>
          <w:sz w:val="20"/>
          <w:szCs w:val="20"/>
        </w:rPr>
        <w:t>In its discussion paper, the NTC pointed out that:</w:t>
      </w:r>
    </w:p>
    <w:p w:rsidR="00E3215E" w:rsidRDefault="00E3215E" w:rsidP="00E2768A">
      <w:pPr>
        <w:autoSpaceDE w:val="0"/>
        <w:autoSpaceDN w:val="0"/>
        <w:adjustRightInd w:val="0"/>
        <w:rPr>
          <w:sz w:val="20"/>
          <w:szCs w:val="20"/>
        </w:rPr>
      </w:pPr>
    </w:p>
    <w:p w:rsidR="00E3215E" w:rsidRDefault="00E3215E" w:rsidP="00E3215E">
      <w:pPr>
        <w:autoSpaceDE w:val="0"/>
        <w:autoSpaceDN w:val="0"/>
        <w:adjustRightInd w:val="0"/>
        <w:ind w:left="1134" w:right="1134"/>
        <w:rPr>
          <w:sz w:val="20"/>
          <w:szCs w:val="20"/>
        </w:rPr>
      </w:pPr>
      <w:r>
        <w:rPr>
          <w:sz w:val="20"/>
          <w:szCs w:val="20"/>
        </w:rPr>
        <w:t>Whichever approach/es are contemplated, it is important that stakeholders recognise, at the outset, that the adoption of any uniform approach to managing CoR duties in the HVNL represents significant reform. A piecemeal approach will be inadequate (…)</w:t>
      </w:r>
      <w:r>
        <w:rPr>
          <w:rStyle w:val="FootnoteReference"/>
          <w:sz w:val="20"/>
          <w:szCs w:val="20"/>
        </w:rPr>
        <w:footnoteReference w:id="1"/>
      </w:r>
    </w:p>
    <w:p w:rsidR="00E3215E" w:rsidRDefault="00E3215E" w:rsidP="00E2768A">
      <w:pPr>
        <w:autoSpaceDE w:val="0"/>
        <w:autoSpaceDN w:val="0"/>
        <w:adjustRightInd w:val="0"/>
        <w:rPr>
          <w:sz w:val="20"/>
          <w:szCs w:val="20"/>
        </w:rPr>
      </w:pPr>
    </w:p>
    <w:p w:rsidR="00616345" w:rsidRDefault="0048533B" w:rsidP="00E2768A">
      <w:pPr>
        <w:autoSpaceDE w:val="0"/>
        <w:autoSpaceDN w:val="0"/>
        <w:adjustRightInd w:val="0"/>
        <w:rPr>
          <w:sz w:val="20"/>
          <w:szCs w:val="20"/>
        </w:rPr>
      </w:pPr>
      <w:r>
        <w:rPr>
          <w:sz w:val="20"/>
          <w:szCs w:val="20"/>
        </w:rPr>
        <w:t xml:space="preserve">The ATA fully agrees. </w:t>
      </w:r>
      <w:r w:rsidR="00616345">
        <w:rPr>
          <w:sz w:val="20"/>
          <w:szCs w:val="20"/>
        </w:rPr>
        <w:t>The reform process must not and need not be rushed, because:</w:t>
      </w:r>
    </w:p>
    <w:p w:rsidR="00616345" w:rsidRDefault="00616345" w:rsidP="00E2768A">
      <w:pPr>
        <w:autoSpaceDE w:val="0"/>
        <w:autoSpaceDN w:val="0"/>
        <w:adjustRightInd w:val="0"/>
        <w:rPr>
          <w:sz w:val="20"/>
          <w:szCs w:val="20"/>
        </w:rPr>
      </w:pPr>
    </w:p>
    <w:p w:rsidR="00616345" w:rsidRPr="00616345" w:rsidRDefault="00616345" w:rsidP="0044412E">
      <w:pPr>
        <w:pStyle w:val="ListParagraph"/>
        <w:numPr>
          <w:ilvl w:val="0"/>
          <w:numId w:val="8"/>
        </w:numPr>
        <w:spacing w:after="0" w:line="240" w:lineRule="auto"/>
        <w:ind w:left="714" w:hanging="357"/>
        <w:rPr>
          <w:sz w:val="20"/>
          <w:szCs w:val="20"/>
        </w:rPr>
      </w:pPr>
      <w:r w:rsidRPr="00616345">
        <w:rPr>
          <w:sz w:val="20"/>
          <w:szCs w:val="20"/>
        </w:rPr>
        <w:t>the CoR laws are on the statute books now</w:t>
      </w:r>
    </w:p>
    <w:p w:rsidR="00616345" w:rsidRPr="00616345" w:rsidRDefault="00CA039F" w:rsidP="0044412E">
      <w:pPr>
        <w:pStyle w:val="ListParagraph"/>
        <w:numPr>
          <w:ilvl w:val="0"/>
          <w:numId w:val="8"/>
        </w:numPr>
        <w:spacing w:after="0" w:line="240" w:lineRule="auto"/>
        <w:ind w:left="714" w:hanging="357"/>
        <w:rPr>
          <w:sz w:val="20"/>
          <w:szCs w:val="20"/>
        </w:rPr>
      </w:pPr>
      <w:r>
        <w:rPr>
          <w:sz w:val="20"/>
          <w:szCs w:val="20"/>
        </w:rPr>
        <w:t xml:space="preserve">the rate of fatal </w:t>
      </w:r>
      <w:r w:rsidR="00822D2A">
        <w:rPr>
          <w:sz w:val="20"/>
          <w:szCs w:val="20"/>
        </w:rPr>
        <w:t>h</w:t>
      </w:r>
      <w:r w:rsidR="00616345" w:rsidRPr="00616345">
        <w:rPr>
          <w:sz w:val="20"/>
          <w:szCs w:val="20"/>
        </w:rPr>
        <w:t xml:space="preserve">eavy vehicle accidents </w:t>
      </w:r>
      <w:r>
        <w:rPr>
          <w:sz w:val="20"/>
          <w:szCs w:val="20"/>
        </w:rPr>
        <w:t xml:space="preserve">is on a downward trend, </w:t>
      </w:r>
      <w:r w:rsidR="009B4F13">
        <w:rPr>
          <w:sz w:val="20"/>
          <w:szCs w:val="20"/>
        </w:rPr>
        <w:t xml:space="preserve">despite </w:t>
      </w:r>
      <w:r>
        <w:rPr>
          <w:sz w:val="20"/>
          <w:szCs w:val="20"/>
        </w:rPr>
        <w:t xml:space="preserve">quarterly </w:t>
      </w:r>
      <w:r w:rsidR="009B4F13">
        <w:rPr>
          <w:sz w:val="20"/>
          <w:szCs w:val="20"/>
        </w:rPr>
        <w:t>fluctuations</w:t>
      </w:r>
      <w:r>
        <w:rPr>
          <w:sz w:val="20"/>
          <w:szCs w:val="20"/>
        </w:rPr>
        <w:t xml:space="preserve"> in the number of fatal crashes and fatalities</w:t>
      </w:r>
    </w:p>
    <w:p w:rsidR="00616345" w:rsidRPr="00616345" w:rsidRDefault="00616345" w:rsidP="0044412E">
      <w:pPr>
        <w:pStyle w:val="ListParagraph"/>
        <w:numPr>
          <w:ilvl w:val="0"/>
          <w:numId w:val="8"/>
        </w:numPr>
        <w:spacing w:after="0" w:line="240" w:lineRule="auto"/>
        <w:ind w:left="714" w:hanging="357"/>
        <w:rPr>
          <w:sz w:val="20"/>
          <w:szCs w:val="20"/>
        </w:rPr>
      </w:pPr>
      <w:r w:rsidRPr="00616345">
        <w:rPr>
          <w:sz w:val="20"/>
          <w:szCs w:val="20"/>
        </w:rPr>
        <w:lastRenderedPageBreak/>
        <w:t xml:space="preserve">notwithstanding the need for the streamlining set out in this submission, the CoR laws are operating reasonably well.  They provide an effective means for </w:t>
      </w:r>
      <w:r w:rsidR="009B4F13">
        <w:rPr>
          <w:sz w:val="20"/>
          <w:szCs w:val="20"/>
        </w:rPr>
        <w:t xml:space="preserve">CoR enforcement and prosecution, except </w:t>
      </w:r>
      <w:r w:rsidR="00CA039F">
        <w:rPr>
          <w:sz w:val="20"/>
          <w:szCs w:val="20"/>
        </w:rPr>
        <w:t>in the known problem area of</w:t>
      </w:r>
      <w:r w:rsidR="009B4F13">
        <w:rPr>
          <w:sz w:val="20"/>
          <w:szCs w:val="20"/>
        </w:rPr>
        <w:t xml:space="preserve"> vehicle standards and safety.</w:t>
      </w:r>
    </w:p>
    <w:p w:rsidR="00E3215E" w:rsidRDefault="00616345" w:rsidP="00E2768A">
      <w:pPr>
        <w:autoSpaceDE w:val="0"/>
        <w:autoSpaceDN w:val="0"/>
        <w:adjustRightInd w:val="0"/>
        <w:rPr>
          <w:sz w:val="20"/>
          <w:szCs w:val="20"/>
        </w:rPr>
      </w:pPr>
      <w:r>
        <w:rPr>
          <w:sz w:val="20"/>
          <w:szCs w:val="20"/>
        </w:rPr>
        <w:t xml:space="preserve"> </w:t>
      </w:r>
    </w:p>
    <w:p w:rsidR="00E3215E" w:rsidRDefault="00E3215E" w:rsidP="00E2768A">
      <w:pPr>
        <w:autoSpaceDE w:val="0"/>
        <w:autoSpaceDN w:val="0"/>
        <w:adjustRightInd w:val="0"/>
        <w:rPr>
          <w:rFonts w:asciiTheme="minorHAnsi" w:hAnsiTheme="minorHAnsi" w:cs="Arial"/>
          <w:sz w:val="20"/>
          <w:szCs w:val="20"/>
          <w:highlight w:val="white"/>
          <w:lang w:eastAsia="en-AU"/>
        </w:rPr>
      </w:pPr>
    </w:p>
    <w:p w:rsidR="00B92B30" w:rsidRPr="00B92B30" w:rsidRDefault="007D2632" w:rsidP="00B92B30">
      <w:pPr>
        <w:pStyle w:val="Heading1"/>
        <w:ind w:left="357" w:hanging="357"/>
        <w:rPr>
          <w:rFonts w:asciiTheme="minorHAnsi" w:hAnsiTheme="minorHAnsi"/>
          <w:sz w:val="24"/>
          <w:szCs w:val="24"/>
          <w:highlight w:val="white"/>
          <w:lang w:eastAsia="en-AU"/>
        </w:rPr>
      </w:pPr>
      <w:bookmarkStart w:id="3" w:name="_Toc410388147"/>
      <w:r>
        <w:rPr>
          <w:rFonts w:asciiTheme="minorHAnsi" w:hAnsiTheme="minorHAnsi"/>
          <w:sz w:val="24"/>
          <w:szCs w:val="24"/>
          <w:highlight w:val="white"/>
          <w:lang w:eastAsia="en-AU"/>
        </w:rPr>
        <w:t>Issues with the CoR provisions in the HVNL</w:t>
      </w:r>
      <w:bookmarkEnd w:id="3"/>
    </w:p>
    <w:p w:rsidR="00B92B30" w:rsidRDefault="00B92B30" w:rsidP="00E2768A">
      <w:pPr>
        <w:autoSpaceDE w:val="0"/>
        <w:autoSpaceDN w:val="0"/>
        <w:adjustRightInd w:val="0"/>
        <w:rPr>
          <w:rFonts w:asciiTheme="minorHAnsi" w:hAnsiTheme="minorHAnsi" w:cs="Arial"/>
          <w:sz w:val="20"/>
          <w:szCs w:val="20"/>
          <w:highlight w:val="white"/>
          <w:lang w:eastAsia="en-AU"/>
        </w:rPr>
      </w:pPr>
    </w:p>
    <w:p w:rsidR="00970BE9" w:rsidRDefault="00970BE9"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The </w:t>
      </w:r>
      <w:r w:rsidR="00EF4104">
        <w:rPr>
          <w:rFonts w:asciiTheme="minorHAnsi" w:hAnsiTheme="minorHAnsi" w:cs="Arial"/>
          <w:sz w:val="20"/>
          <w:szCs w:val="20"/>
          <w:highlight w:val="white"/>
          <w:lang w:eastAsia="en-AU"/>
        </w:rPr>
        <w:t>H</w:t>
      </w:r>
      <w:r w:rsidR="008D4E1C">
        <w:rPr>
          <w:rFonts w:asciiTheme="minorHAnsi" w:hAnsiTheme="minorHAnsi" w:cs="Arial"/>
          <w:sz w:val="20"/>
          <w:szCs w:val="20"/>
          <w:highlight w:val="white"/>
          <w:lang w:eastAsia="en-AU"/>
        </w:rPr>
        <w:t>VNL has a number of objectives, but its</w:t>
      </w:r>
      <w:r w:rsidR="00EF4104">
        <w:rPr>
          <w:rFonts w:asciiTheme="minorHAnsi" w:hAnsiTheme="minorHAnsi" w:cs="Arial"/>
          <w:sz w:val="20"/>
          <w:szCs w:val="20"/>
          <w:highlight w:val="white"/>
          <w:lang w:eastAsia="en-AU"/>
        </w:rPr>
        <w:t xml:space="preserve"> most impo</w:t>
      </w:r>
      <w:r w:rsidR="008D4E1C">
        <w:rPr>
          <w:rFonts w:asciiTheme="minorHAnsi" w:hAnsiTheme="minorHAnsi" w:cs="Arial"/>
          <w:sz w:val="20"/>
          <w:szCs w:val="20"/>
          <w:highlight w:val="white"/>
          <w:lang w:eastAsia="en-AU"/>
        </w:rPr>
        <w:t>rtant one is to improve safety.</w:t>
      </w:r>
      <w:r w:rsidR="00EF4104">
        <w:rPr>
          <w:rFonts w:asciiTheme="minorHAnsi" w:hAnsiTheme="minorHAnsi" w:cs="Arial"/>
          <w:sz w:val="20"/>
          <w:szCs w:val="20"/>
          <w:highlight w:val="white"/>
          <w:lang w:eastAsia="en-AU"/>
        </w:rPr>
        <w:t xml:space="preserve"> </w:t>
      </w:r>
      <w:r w:rsidR="008D4E1C">
        <w:rPr>
          <w:rFonts w:asciiTheme="minorHAnsi" w:hAnsiTheme="minorHAnsi" w:cs="Arial"/>
          <w:sz w:val="20"/>
          <w:szCs w:val="20"/>
          <w:highlight w:val="white"/>
          <w:lang w:eastAsia="en-AU"/>
        </w:rPr>
        <w:t>T</w:t>
      </w:r>
      <w:r w:rsidR="00EF4104">
        <w:rPr>
          <w:rFonts w:asciiTheme="minorHAnsi" w:hAnsiTheme="minorHAnsi" w:cs="Arial"/>
          <w:sz w:val="20"/>
          <w:szCs w:val="20"/>
          <w:highlight w:val="white"/>
          <w:lang w:eastAsia="en-AU"/>
        </w:rPr>
        <w:t xml:space="preserve">he </w:t>
      </w:r>
      <w:r>
        <w:rPr>
          <w:rFonts w:asciiTheme="minorHAnsi" w:hAnsiTheme="minorHAnsi" w:cs="Arial"/>
          <w:sz w:val="20"/>
          <w:szCs w:val="20"/>
          <w:highlight w:val="white"/>
          <w:lang w:eastAsia="en-AU"/>
        </w:rPr>
        <w:t xml:space="preserve">evidence shows that the CoR provisions in the </w:t>
      </w:r>
      <w:r w:rsidR="00EF4104">
        <w:rPr>
          <w:rFonts w:asciiTheme="minorHAnsi" w:hAnsiTheme="minorHAnsi" w:cs="Arial"/>
          <w:sz w:val="20"/>
          <w:szCs w:val="20"/>
          <w:highlight w:val="white"/>
          <w:lang w:eastAsia="en-AU"/>
        </w:rPr>
        <w:t xml:space="preserve">law </w:t>
      </w:r>
      <w:r>
        <w:rPr>
          <w:rFonts w:asciiTheme="minorHAnsi" w:hAnsiTheme="minorHAnsi" w:cs="Arial"/>
          <w:sz w:val="20"/>
          <w:szCs w:val="20"/>
          <w:highlight w:val="white"/>
          <w:lang w:eastAsia="en-AU"/>
        </w:rPr>
        <w:t xml:space="preserve">have </w:t>
      </w:r>
      <w:r w:rsidR="00927A60">
        <w:rPr>
          <w:rFonts w:asciiTheme="minorHAnsi" w:hAnsiTheme="minorHAnsi" w:cs="Arial"/>
          <w:sz w:val="20"/>
          <w:szCs w:val="20"/>
          <w:highlight w:val="white"/>
          <w:lang w:eastAsia="en-AU"/>
        </w:rPr>
        <w:t>done this.</w:t>
      </w:r>
      <w:r w:rsidR="00452484">
        <w:rPr>
          <w:rFonts w:asciiTheme="minorHAnsi" w:hAnsiTheme="minorHAnsi" w:cs="Arial"/>
          <w:sz w:val="20"/>
          <w:szCs w:val="20"/>
          <w:highlight w:val="white"/>
          <w:lang w:eastAsia="en-AU"/>
        </w:rPr>
        <w:t xml:space="preserve"> </w:t>
      </w:r>
    </w:p>
    <w:p w:rsidR="00452484" w:rsidRDefault="00452484" w:rsidP="00E2768A">
      <w:pPr>
        <w:autoSpaceDE w:val="0"/>
        <w:autoSpaceDN w:val="0"/>
        <w:adjustRightInd w:val="0"/>
        <w:rPr>
          <w:rFonts w:asciiTheme="minorHAnsi" w:hAnsiTheme="minorHAnsi" w:cs="Arial"/>
          <w:sz w:val="20"/>
          <w:szCs w:val="20"/>
          <w:highlight w:val="white"/>
          <w:lang w:eastAsia="en-AU"/>
        </w:rPr>
      </w:pPr>
    </w:p>
    <w:p w:rsidR="00927A60" w:rsidRDefault="00927A60"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Statistics compiled by National Transport I</w:t>
      </w:r>
      <w:r w:rsidR="001F1386">
        <w:rPr>
          <w:rFonts w:asciiTheme="minorHAnsi" w:hAnsiTheme="minorHAnsi" w:cs="Arial"/>
          <w:sz w:val="20"/>
          <w:szCs w:val="20"/>
          <w:highlight w:val="white"/>
          <w:lang w:eastAsia="en-AU"/>
        </w:rPr>
        <w:t>nsurance (NTI) show</w:t>
      </w:r>
      <w:r>
        <w:rPr>
          <w:rFonts w:asciiTheme="minorHAnsi" w:hAnsiTheme="minorHAnsi" w:cs="Arial"/>
          <w:sz w:val="20"/>
          <w:szCs w:val="20"/>
          <w:highlight w:val="white"/>
          <w:lang w:eastAsia="en-AU"/>
        </w:rPr>
        <w:t xml:space="preserve"> that the proportion of fatigue-related crashes </w:t>
      </w:r>
      <w:r w:rsidR="00CA039F">
        <w:rPr>
          <w:rFonts w:asciiTheme="minorHAnsi" w:hAnsiTheme="minorHAnsi" w:cs="Arial"/>
          <w:sz w:val="20"/>
          <w:szCs w:val="20"/>
          <w:highlight w:val="white"/>
          <w:lang w:eastAsia="en-AU"/>
        </w:rPr>
        <w:t xml:space="preserve">involving its insured vehicles </w:t>
      </w:r>
      <w:r>
        <w:rPr>
          <w:rFonts w:asciiTheme="minorHAnsi" w:hAnsiTheme="minorHAnsi" w:cs="Arial"/>
          <w:sz w:val="20"/>
          <w:szCs w:val="20"/>
          <w:highlight w:val="white"/>
          <w:lang w:eastAsia="en-AU"/>
        </w:rPr>
        <w:t>halved after the introduction of the fatigue CoR provisions in 2008.</w:t>
      </w:r>
      <w:r>
        <w:rPr>
          <w:rStyle w:val="FootnoteReference"/>
          <w:rFonts w:asciiTheme="minorHAnsi" w:hAnsiTheme="minorHAnsi"/>
          <w:sz w:val="20"/>
          <w:szCs w:val="20"/>
          <w:highlight w:val="white"/>
          <w:lang w:eastAsia="en-AU"/>
        </w:rPr>
        <w:footnoteReference w:id="2"/>
      </w:r>
      <w:r>
        <w:rPr>
          <w:rFonts w:asciiTheme="minorHAnsi" w:hAnsiTheme="minorHAnsi" w:cs="Arial"/>
          <w:sz w:val="20"/>
          <w:szCs w:val="20"/>
          <w:highlight w:val="white"/>
          <w:lang w:eastAsia="en-AU"/>
        </w:rPr>
        <w:t xml:space="preserve"> The proportion of fatigue-related </w:t>
      </w:r>
      <w:r w:rsidR="00663C65">
        <w:rPr>
          <w:rFonts w:asciiTheme="minorHAnsi" w:hAnsiTheme="minorHAnsi" w:cs="Arial"/>
          <w:sz w:val="20"/>
          <w:szCs w:val="20"/>
          <w:highlight w:val="white"/>
          <w:lang w:eastAsia="en-AU"/>
        </w:rPr>
        <w:t xml:space="preserve">crashes </w:t>
      </w:r>
      <w:r>
        <w:rPr>
          <w:rFonts w:asciiTheme="minorHAnsi" w:hAnsiTheme="minorHAnsi" w:cs="Arial"/>
          <w:sz w:val="20"/>
          <w:szCs w:val="20"/>
          <w:highlight w:val="white"/>
          <w:lang w:eastAsia="en-AU"/>
        </w:rPr>
        <w:t>has increased since then, but still remains much lower than the pre-</w:t>
      </w:r>
      <w:r w:rsidR="001B27CF">
        <w:rPr>
          <w:rFonts w:asciiTheme="minorHAnsi" w:hAnsiTheme="minorHAnsi" w:cs="Arial"/>
          <w:sz w:val="20"/>
          <w:szCs w:val="20"/>
          <w:highlight w:val="white"/>
          <w:lang w:eastAsia="en-AU"/>
        </w:rPr>
        <w:t>CoR</w:t>
      </w:r>
      <w:r>
        <w:rPr>
          <w:rFonts w:asciiTheme="minorHAnsi" w:hAnsiTheme="minorHAnsi" w:cs="Arial"/>
          <w:sz w:val="20"/>
          <w:szCs w:val="20"/>
          <w:highlight w:val="white"/>
          <w:lang w:eastAsia="en-AU"/>
        </w:rPr>
        <w:t xml:space="preserve"> figure.</w:t>
      </w:r>
    </w:p>
    <w:p w:rsidR="00452484" w:rsidRDefault="00452484" w:rsidP="00E2768A">
      <w:pPr>
        <w:autoSpaceDE w:val="0"/>
        <w:autoSpaceDN w:val="0"/>
        <w:adjustRightInd w:val="0"/>
        <w:rPr>
          <w:rFonts w:asciiTheme="minorHAnsi" w:hAnsiTheme="minorHAnsi" w:cs="Arial"/>
          <w:sz w:val="20"/>
          <w:szCs w:val="20"/>
          <w:highlight w:val="white"/>
          <w:lang w:eastAsia="en-AU"/>
        </w:rPr>
      </w:pPr>
    </w:p>
    <w:p w:rsidR="007E0C1C" w:rsidRDefault="001F1386"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lastRenderedPageBreak/>
        <w:t>T</w:t>
      </w:r>
      <w:r w:rsidR="00927A60">
        <w:rPr>
          <w:rFonts w:asciiTheme="minorHAnsi" w:hAnsiTheme="minorHAnsi" w:cs="Arial"/>
          <w:sz w:val="20"/>
          <w:szCs w:val="20"/>
          <w:highlight w:val="white"/>
          <w:lang w:eastAsia="en-AU"/>
        </w:rPr>
        <w:t xml:space="preserve">he number of heavy vehicle speeding offences recorded </w:t>
      </w:r>
      <w:r>
        <w:rPr>
          <w:rFonts w:asciiTheme="minorHAnsi" w:hAnsiTheme="minorHAnsi" w:cs="Arial"/>
          <w:sz w:val="20"/>
          <w:szCs w:val="20"/>
          <w:highlight w:val="white"/>
          <w:lang w:eastAsia="en-AU"/>
        </w:rPr>
        <w:t xml:space="preserve">in NSW </w:t>
      </w:r>
      <w:r w:rsidR="00927A60">
        <w:rPr>
          <w:rFonts w:asciiTheme="minorHAnsi" w:hAnsiTheme="minorHAnsi" w:cs="Arial"/>
          <w:sz w:val="20"/>
          <w:szCs w:val="20"/>
          <w:highlight w:val="white"/>
          <w:lang w:eastAsia="en-AU"/>
        </w:rPr>
        <w:t>fell more than 90 per cent between March 2011 and March 2014.</w:t>
      </w:r>
      <w:r w:rsidR="00927A60">
        <w:rPr>
          <w:rStyle w:val="FootnoteReference"/>
          <w:rFonts w:asciiTheme="minorHAnsi" w:hAnsiTheme="minorHAnsi"/>
          <w:sz w:val="20"/>
          <w:szCs w:val="20"/>
          <w:highlight w:val="white"/>
          <w:lang w:eastAsia="en-AU"/>
        </w:rPr>
        <w:footnoteReference w:id="3"/>
      </w:r>
    </w:p>
    <w:p w:rsidR="00452484" w:rsidRDefault="00452484" w:rsidP="00E2768A">
      <w:pPr>
        <w:autoSpaceDE w:val="0"/>
        <w:autoSpaceDN w:val="0"/>
        <w:adjustRightInd w:val="0"/>
        <w:rPr>
          <w:rFonts w:asciiTheme="minorHAnsi" w:hAnsiTheme="minorHAnsi" w:cs="Arial"/>
          <w:sz w:val="20"/>
          <w:szCs w:val="20"/>
          <w:highlight w:val="white"/>
          <w:lang w:eastAsia="en-AU"/>
        </w:rPr>
      </w:pPr>
    </w:p>
    <w:p w:rsidR="001F1386" w:rsidRDefault="00663C65" w:rsidP="00EC3F9B">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Meanwhile, </w:t>
      </w:r>
      <w:r w:rsidR="001F1386">
        <w:rPr>
          <w:rFonts w:asciiTheme="minorHAnsi" w:hAnsiTheme="minorHAnsi" w:cs="Arial"/>
          <w:sz w:val="20"/>
          <w:szCs w:val="20"/>
          <w:highlight w:val="white"/>
          <w:lang w:eastAsia="en-AU"/>
        </w:rPr>
        <w:t>BITRE figures show</w:t>
      </w:r>
      <w:r>
        <w:rPr>
          <w:rFonts w:asciiTheme="minorHAnsi" w:hAnsiTheme="minorHAnsi" w:cs="Arial"/>
          <w:sz w:val="20"/>
          <w:szCs w:val="20"/>
          <w:highlight w:val="white"/>
          <w:lang w:eastAsia="en-AU"/>
        </w:rPr>
        <w:t>:</w:t>
      </w:r>
      <w:r w:rsidR="001F1386">
        <w:rPr>
          <w:rFonts w:asciiTheme="minorHAnsi" w:hAnsiTheme="minorHAnsi" w:cs="Arial"/>
          <w:sz w:val="20"/>
          <w:szCs w:val="20"/>
          <w:highlight w:val="white"/>
          <w:lang w:eastAsia="en-AU"/>
        </w:rPr>
        <w:t xml:space="preserve"> </w:t>
      </w:r>
    </w:p>
    <w:p w:rsidR="00663C65" w:rsidRDefault="00663C65" w:rsidP="00EC3F9B">
      <w:pPr>
        <w:keepNext/>
        <w:autoSpaceDE w:val="0"/>
        <w:autoSpaceDN w:val="0"/>
        <w:adjustRightInd w:val="0"/>
        <w:rPr>
          <w:rFonts w:asciiTheme="minorHAnsi" w:hAnsiTheme="minorHAnsi" w:cs="Arial"/>
          <w:sz w:val="20"/>
          <w:szCs w:val="20"/>
          <w:highlight w:val="white"/>
          <w:lang w:eastAsia="en-AU"/>
        </w:rPr>
      </w:pPr>
    </w:p>
    <w:p w:rsidR="00663C65" w:rsidRPr="00663C65" w:rsidRDefault="00663C65" w:rsidP="00EC3F9B">
      <w:pPr>
        <w:pStyle w:val="ListParagraph"/>
        <w:keepNext/>
        <w:numPr>
          <w:ilvl w:val="0"/>
          <w:numId w:val="7"/>
        </w:numPr>
        <w:autoSpaceDE w:val="0"/>
        <w:autoSpaceDN w:val="0"/>
        <w:adjustRightInd w:val="0"/>
        <w:spacing w:after="0" w:line="240" w:lineRule="auto"/>
        <w:rPr>
          <w:rFonts w:asciiTheme="minorHAnsi" w:hAnsiTheme="minorHAnsi" w:cs="Arial"/>
          <w:sz w:val="20"/>
          <w:szCs w:val="20"/>
          <w:highlight w:val="white"/>
          <w:lang w:eastAsia="en-AU"/>
        </w:rPr>
      </w:pPr>
      <w:r w:rsidRPr="00663C65">
        <w:rPr>
          <w:rFonts w:asciiTheme="minorHAnsi" w:hAnsiTheme="minorHAnsi" w:cs="Arial"/>
          <w:sz w:val="20"/>
          <w:szCs w:val="20"/>
          <w:highlight w:val="white"/>
          <w:lang w:eastAsia="en-AU"/>
        </w:rPr>
        <w:t>the number of fatal crashes involving an articulated truck decreased 36.2 per cent between 2004 and 2013, with the number of fatal crashes involving a rigid truck decreasing 26.1 per cent</w:t>
      </w:r>
    </w:p>
    <w:p w:rsidR="00663C65" w:rsidRDefault="00663C65" w:rsidP="00663C65">
      <w:pPr>
        <w:autoSpaceDE w:val="0"/>
        <w:autoSpaceDN w:val="0"/>
        <w:adjustRightInd w:val="0"/>
        <w:ind w:left="720"/>
        <w:rPr>
          <w:rFonts w:asciiTheme="minorHAnsi" w:hAnsiTheme="minorHAnsi" w:cs="Arial"/>
          <w:sz w:val="20"/>
          <w:szCs w:val="20"/>
          <w:highlight w:val="white"/>
          <w:lang w:eastAsia="en-AU"/>
        </w:rPr>
      </w:pPr>
    </w:p>
    <w:p w:rsidR="00663C65" w:rsidRPr="00663C65" w:rsidRDefault="00663C65" w:rsidP="0044412E">
      <w:pPr>
        <w:pStyle w:val="ListParagraph"/>
        <w:numPr>
          <w:ilvl w:val="0"/>
          <w:numId w:val="7"/>
        </w:numPr>
        <w:autoSpaceDE w:val="0"/>
        <w:autoSpaceDN w:val="0"/>
        <w:adjustRightInd w:val="0"/>
        <w:spacing w:after="0" w:line="240" w:lineRule="auto"/>
        <w:rPr>
          <w:rFonts w:asciiTheme="minorHAnsi" w:hAnsiTheme="minorHAnsi" w:cs="Arial"/>
          <w:sz w:val="20"/>
          <w:szCs w:val="20"/>
          <w:highlight w:val="white"/>
          <w:lang w:eastAsia="en-AU"/>
        </w:rPr>
      </w:pPr>
      <w:r w:rsidRPr="00663C65">
        <w:rPr>
          <w:rFonts w:asciiTheme="minorHAnsi" w:hAnsiTheme="minorHAnsi" w:cs="Arial"/>
          <w:sz w:val="20"/>
          <w:szCs w:val="20"/>
          <w:highlight w:val="white"/>
          <w:lang w:eastAsia="en-AU"/>
        </w:rPr>
        <w:t xml:space="preserve">during the same period, the number of registered articulated trucks grew by 37 per cent and the number of registered heavy </w:t>
      </w:r>
      <w:r w:rsidR="00CA039F">
        <w:rPr>
          <w:rFonts w:asciiTheme="minorHAnsi" w:hAnsiTheme="minorHAnsi" w:cs="Arial"/>
          <w:sz w:val="20"/>
          <w:szCs w:val="20"/>
          <w:highlight w:val="white"/>
          <w:lang w:eastAsia="en-AU"/>
        </w:rPr>
        <w:t>rigid</w:t>
      </w:r>
      <w:r w:rsidRPr="00663C65">
        <w:rPr>
          <w:rFonts w:asciiTheme="minorHAnsi" w:hAnsiTheme="minorHAnsi" w:cs="Arial"/>
          <w:sz w:val="20"/>
          <w:szCs w:val="20"/>
          <w:highlight w:val="white"/>
          <w:lang w:eastAsia="en-AU"/>
        </w:rPr>
        <w:t xml:space="preserve"> trucks increased by 19 per cent.</w:t>
      </w:r>
      <w:r>
        <w:rPr>
          <w:rStyle w:val="FootnoteReference"/>
          <w:rFonts w:asciiTheme="minorHAnsi" w:hAnsiTheme="minorHAnsi"/>
          <w:sz w:val="20"/>
          <w:szCs w:val="20"/>
          <w:highlight w:val="white"/>
          <w:lang w:eastAsia="en-AU"/>
        </w:rPr>
        <w:footnoteReference w:id="4"/>
      </w:r>
    </w:p>
    <w:p w:rsidR="00663C65" w:rsidRDefault="00663C65" w:rsidP="00E2768A">
      <w:pPr>
        <w:autoSpaceDE w:val="0"/>
        <w:autoSpaceDN w:val="0"/>
        <w:adjustRightInd w:val="0"/>
        <w:rPr>
          <w:rFonts w:asciiTheme="minorHAnsi" w:hAnsiTheme="minorHAnsi" w:cs="Arial"/>
          <w:sz w:val="20"/>
          <w:szCs w:val="20"/>
          <w:highlight w:val="white"/>
          <w:lang w:eastAsia="en-AU"/>
        </w:rPr>
      </w:pPr>
    </w:p>
    <w:p w:rsidR="00A90A7E" w:rsidRDefault="00A90A7E" w:rsidP="00A90A7E">
      <w:pPr>
        <w:rPr>
          <w:rFonts w:asciiTheme="minorHAnsi" w:hAnsiTheme="minorHAnsi" w:cs="Arial"/>
          <w:sz w:val="20"/>
          <w:szCs w:val="20"/>
        </w:rPr>
      </w:pPr>
      <w:r>
        <w:rPr>
          <w:rFonts w:asciiTheme="minorHAnsi" w:hAnsiTheme="minorHAnsi" w:cs="Arial"/>
          <w:sz w:val="20"/>
          <w:szCs w:val="20"/>
          <w:highlight w:val="white"/>
          <w:lang w:eastAsia="en-AU"/>
        </w:rPr>
        <w:t xml:space="preserve">There is no room for complacency in these safety outcomes, but they show </w:t>
      </w:r>
      <w:r w:rsidR="009B4F13">
        <w:rPr>
          <w:rFonts w:asciiTheme="minorHAnsi" w:hAnsiTheme="minorHAnsi" w:cs="Arial"/>
          <w:sz w:val="20"/>
          <w:szCs w:val="20"/>
          <w:highlight w:val="white"/>
          <w:lang w:eastAsia="en-AU"/>
        </w:rPr>
        <w:t xml:space="preserve">the CoR provisions are achieving their broad safety objectives. </w:t>
      </w:r>
      <w:r>
        <w:rPr>
          <w:rFonts w:asciiTheme="minorHAnsi" w:hAnsiTheme="minorHAnsi" w:cs="Arial"/>
          <w:sz w:val="20"/>
          <w:szCs w:val="20"/>
          <w:highlight w:val="white"/>
          <w:lang w:eastAsia="en-AU"/>
        </w:rPr>
        <w:t xml:space="preserve">The exception is </w:t>
      </w:r>
      <w:r w:rsidR="009B4F13">
        <w:rPr>
          <w:rFonts w:asciiTheme="minorHAnsi" w:hAnsiTheme="minorHAnsi" w:cs="Arial"/>
          <w:sz w:val="20"/>
          <w:szCs w:val="20"/>
          <w:highlight w:val="white"/>
          <w:lang w:eastAsia="en-AU"/>
        </w:rPr>
        <w:t xml:space="preserve">vehicle standards </w:t>
      </w:r>
      <w:r w:rsidR="009B4F13">
        <w:rPr>
          <w:rFonts w:asciiTheme="minorHAnsi" w:hAnsiTheme="minorHAnsi" w:cs="Arial"/>
          <w:sz w:val="20"/>
          <w:szCs w:val="20"/>
          <w:highlight w:val="white"/>
          <w:lang w:eastAsia="en-AU"/>
        </w:rPr>
        <w:lastRenderedPageBreak/>
        <w:t>and safety.</w:t>
      </w:r>
      <w:r>
        <w:rPr>
          <w:rFonts w:asciiTheme="minorHAnsi" w:hAnsiTheme="minorHAnsi" w:cs="Arial"/>
          <w:sz w:val="20"/>
          <w:szCs w:val="20"/>
          <w:highlight w:val="white"/>
          <w:lang w:eastAsia="en-AU"/>
        </w:rPr>
        <w:t xml:space="preserve"> </w:t>
      </w:r>
      <w:r w:rsidR="009B4F13">
        <w:rPr>
          <w:rFonts w:asciiTheme="minorHAnsi" w:hAnsiTheme="minorHAnsi" w:cs="Arial"/>
          <w:sz w:val="20"/>
          <w:szCs w:val="20"/>
          <w:highlight w:val="white"/>
          <w:lang w:eastAsia="en-AU"/>
        </w:rPr>
        <w:t>T</w:t>
      </w:r>
      <w:r w:rsidR="00985511">
        <w:rPr>
          <w:rFonts w:asciiTheme="minorHAnsi" w:hAnsiTheme="minorHAnsi" w:cs="Arial"/>
          <w:sz w:val="20"/>
          <w:szCs w:val="20"/>
          <w:highlight w:val="white"/>
          <w:lang w:eastAsia="en-AU"/>
        </w:rPr>
        <w:t xml:space="preserve">he ATA </w:t>
      </w:r>
      <w:r>
        <w:rPr>
          <w:rFonts w:asciiTheme="minorHAnsi" w:hAnsiTheme="minorHAnsi" w:cs="Arial"/>
          <w:sz w:val="20"/>
          <w:szCs w:val="20"/>
        </w:rPr>
        <w:t xml:space="preserve">has previously recommended that the CoR concept should be extended to </w:t>
      </w:r>
      <w:r w:rsidR="009B4F13">
        <w:rPr>
          <w:rFonts w:asciiTheme="minorHAnsi" w:hAnsiTheme="minorHAnsi" w:cs="Arial"/>
          <w:sz w:val="20"/>
          <w:szCs w:val="20"/>
        </w:rPr>
        <w:t>this area</w:t>
      </w:r>
      <w:r>
        <w:rPr>
          <w:rFonts w:asciiTheme="minorHAnsi" w:hAnsiTheme="minorHAnsi" w:cs="Arial"/>
          <w:sz w:val="20"/>
          <w:szCs w:val="20"/>
        </w:rPr>
        <w:t>.</w:t>
      </w:r>
      <w:r>
        <w:rPr>
          <w:rStyle w:val="FootnoteReference"/>
          <w:rFonts w:asciiTheme="minorHAnsi" w:hAnsiTheme="minorHAnsi"/>
          <w:sz w:val="20"/>
          <w:szCs w:val="20"/>
        </w:rPr>
        <w:footnoteReference w:id="5"/>
      </w:r>
      <w:r>
        <w:rPr>
          <w:rFonts w:asciiTheme="minorHAnsi" w:hAnsiTheme="minorHAnsi" w:cs="Arial"/>
          <w:sz w:val="20"/>
          <w:szCs w:val="20"/>
        </w:rPr>
        <w:t xml:space="preserve"> The recent coronial findings into the deaths of John Posnakidis and James Venning on </w:t>
      </w:r>
      <w:r w:rsidR="00CA039F">
        <w:rPr>
          <w:rFonts w:asciiTheme="minorHAnsi" w:hAnsiTheme="minorHAnsi" w:cs="Arial"/>
          <w:sz w:val="20"/>
          <w:szCs w:val="20"/>
        </w:rPr>
        <w:t xml:space="preserve">the </w:t>
      </w:r>
      <w:r>
        <w:rPr>
          <w:rFonts w:asciiTheme="minorHAnsi" w:hAnsiTheme="minorHAnsi" w:cs="Arial"/>
          <w:sz w:val="20"/>
          <w:szCs w:val="20"/>
        </w:rPr>
        <w:t>South-Eastern Freeway in Adelaide confirm the importance of the ATA’s recommendation.</w:t>
      </w:r>
      <w:r>
        <w:rPr>
          <w:rStyle w:val="FootnoteReference"/>
          <w:rFonts w:asciiTheme="minorHAnsi" w:hAnsiTheme="minorHAnsi"/>
          <w:sz w:val="20"/>
          <w:szCs w:val="20"/>
        </w:rPr>
        <w:footnoteReference w:id="6"/>
      </w:r>
    </w:p>
    <w:p w:rsidR="00985511" w:rsidRDefault="00985511" w:rsidP="00E2768A">
      <w:pPr>
        <w:autoSpaceDE w:val="0"/>
        <w:autoSpaceDN w:val="0"/>
        <w:adjustRightInd w:val="0"/>
        <w:rPr>
          <w:rFonts w:asciiTheme="minorHAnsi" w:hAnsiTheme="minorHAnsi" w:cs="Arial"/>
          <w:sz w:val="20"/>
          <w:szCs w:val="20"/>
          <w:highlight w:val="white"/>
          <w:lang w:eastAsia="en-AU"/>
        </w:rPr>
      </w:pPr>
    </w:p>
    <w:p w:rsidR="00853F81" w:rsidRDefault="00A90A7E" w:rsidP="00853F81">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Apart from </w:t>
      </w:r>
      <w:r w:rsidR="009B4F13">
        <w:rPr>
          <w:rFonts w:asciiTheme="minorHAnsi" w:hAnsiTheme="minorHAnsi" w:cs="Arial"/>
          <w:sz w:val="20"/>
          <w:szCs w:val="20"/>
          <w:highlight w:val="white"/>
          <w:lang w:eastAsia="en-AU"/>
        </w:rPr>
        <w:t>vehicle standards</w:t>
      </w:r>
      <w:r>
        <w:rPr>
          <w:rFonts w:asciiTheme="minorHAnsi" w:hAnsiTheme="minorHAnsi" w:cs="Arial"/>
          <w:sz w:val="20"/>
          <w:szCs w:val="20"/>
          <w:highlight w:val="white"/>
          <w:lang w:eastAsia="en-AU"/>
        </w:rPr>
        <w:t>, t</w:t>
      </w:r>
      <w:r w:rsidR="00853F81">
        <w:rPr>
          <w:rFonts w:asciiTheme="minorHAnsi" w:hAnsiTheme="minorHAnsi" w:cs="Arial"/>
          <w:sz w:val="20"/>
          <w:szCs w:val="20"/>
          <w:highlight w:val="white"/>
          <w:lang w:eastAsia="en-AU"/>
        </w:rPr>
        <w:t>he</w:t>
      </w:r>
      <w:r w:rsidR="00663C65">
        <w:rPr>
          <w:rFonts w:asciiTheme="minorHAnsi" w:hAnsiTheme="minorHAnsi" w:cs="Arial"/>
          <w:sz w:val="20"/>
          <w:szCs w:val="20"/>
          <w:highlight w:val="white"/>
          <w:lang w:eastAsia="en-AU"/>
        </w:rPr>
        <w:t xml:space="preserve">re are, in the ATA’s view, </w:t>
      </w:r>
      <w:r w:rsidR="00853F81">
        <w:rPr>
          <w:rFonts w:asciiTheme="minorHAnsi" w:hAnsiTheme="minorHAnsi" w:cs="Arial"/>
          <w:sz w:val="20"/>
          <w:szCs w:val="20"/>
          <w:highlight w:val="white"/>
          <w:lang w:eastAsia="en-AU"/>
        </w:rPr>
        <w:t xml:space="preserve">two areas </w:t>
      </w:r>
      <w:r w:rsidR="00663C65">
        <w:rPr>
          <w:rFonts w:asciiTheme="minorHAnsi" w:hAnsiTheme="minorHAnsi" w:cs="Arial"/>
          <w:sz w:val="20"/>
          <w:szCs w:val="20"/>
          <w:highlight w:val="white"/>
          <w:lang w:eastAsia="en-AU"/>
        </w:rPr>
        <w:t xml:space="preserve">where </w:t>
      </w:r>
      <w:r w:rsidR="00853F81">
        <w:rPr>
          <w:rFonts w:asciiTheme="minorHAnsi" w:hAnsiTheme="minorHAnsi" w:cs="Arial"/>
          <w:sz w:val="20"/>
          <w:szCs w:val="20"/>
          <w:highlight w:val="white"/>
          <w:lang w:eastAsia="en-AU"/>
        </w:rPr>
        <w:t xml:space="preserve">the CoR provisions </w:t>
      </w:r>
      <w:r w:rsidR="00663C65">
        <w:rPr>
          <w:rFonts w:asciiTheme="minorHAnsi" w:hAnsiTheme="minorHAnsi" w:cs="Arial"/>
          <w:sz w:val="20"/>
          <w:szCs w:val="20"/>
          <w:highlight w:val="white"/>
          <w:lang w:eastAsia="en-AU"/>
        </w:rPr>
        <w:t xml:space="preserve">in the HVNL </w:t>
      </w:r>
      <w:r w:rsidR="00CA039F">
        <w:rPr>
          <w:rFonts w:asciiTheme="minorHAnsi" w:hAnsiTheme="minorHAnsi" w:cs="Arial"/>
          <w:sz w:val="20"/>
          <w:szCs w:val="20"/>
          <w:highlight w:val="white"/>
          <w:lang w:eastAsia="en-AU"/>
        </w:rPr>
        <w:t>need to be improved. T</w:t>
      </w:r>
      <w:r w:rsidR="00853F81">
        <w:rPr>
          <w:rFonts w:asciiTheme="minorHAnsi" w:hAnsiTheme="minorHAnsi" w:cs="Arial"/>
          <w:sz w:val="20"/>
          <w:szCs w:val="20"/>
          <w:highlight w:val="white"/>
          <w:lang w:eastAsia="en-AU"/>
        </w:rPr>
        <w:t>he existing provisions are unne</w:t>
      </w:r>
      <w:r w:rsidR="00CA039F">
        <w:rPr>
          <w:rFonts w:asciiTheme="minorHAnsi" w:hAnsiTheme="minorHAnsi" w:cs="Arial"/>
          <w:sz w:val="20"/>
          <w:szCs w:val="20"/>
          <w:highlight w:val="white"/>
          <w:lang w:eastAsia="en-AU"/>
        </w:rPr>
        <w:t xml:space="preserve">cessarily complex and confusing, and </w:t>
      </w:r>
      <w:r w:rsidR="00663C65">
        <w:rPr>
          <w:rFonts w:asciiTheme="minorHAnsi" w:hAnsiTheme="minorHAnsi" w:cs="Arial"/>
          <w:sz w:val="20"/>
          <w:szCs w:val="20"/>
          <w:highlight w:val="white"/>
          <w:lang w:eastAsia="en-AU"/>
        </w:rPr>
        <w:t>t</w:t>
      </w:r>
      <w:r w:rsidR="00853F81">
        <w:rPr>
          <w:rFonts w:asciiTheme="minorHAnsi" w:hAnsiTheme="minorHAnsi" w:cs="Arial"/>
          <w:sz w:val="20"/>
          <w:szCs w:val="20"/>
          <w:highlight w:val="white"/>
          <w:lang w:eastAsia="en-AU"/>
        </w:rPr>
        <w:t>hey are not consistent with best practice</w:t>
      </w:r>
      <w:r w:rsidR="00BB7477">
        <w:rPr>
          <w:rFonts w:asciiTheme="minorHAnsi" w:hAnsiTheme="minorHAnsi" w:cs="Arial"/>
          <w:sz w:val="20"/>
          <w:szCs w:val="20"/>
          <w:highlight w:val="white"/>
          <w:lang w:eastAsia="en-AU"/>
        </w:rPr>
        <w:t xml:space="preserve"> in safety regulation.</w:t>
      </w:r>
    </w:p>
    <w:p w:rsidR="00590779" w:rsidRDefault="00590779" w:rsidP="00E2768A">
      <w:pPr>
        <w:autoSpaceDE w:val="0"/>
        <w:autoSpaceDN w:val="0"/>
        <w:adjustRightInd w:val="0"/>
        <w:rPr>
          <w:rFonts w:asciiTheme="minorHAnsi" w:hAnsiTheme="minorHAnsi" w:cs="Arial"/>
          <w:sz w:val="20"/>
          <w:szCs w:val="20"/>
          <w:highlight w:val="white"/>
          <w:lang w:eastAsia="en-AU"/>
        </w:rPr>
      </w:pPr>
    </w:p>
    <w:p w:rsidR="00853F81" w:rsidRDefault="00853F81" w:rsidP="00E2768A">
      <w:pPr>
        <w:autoSpaceDE w:val="0"/>
        <w:autoSpaceDN w:val="0"/>
        <w:adjustRightInd w:val="0"/>
        <w:rPr>
          <w:rFonts w:asciiTheme="minorHAnsi" w:hAnsiTheme="minorHAnsi" w:cs="Arial"/>
          <w:sz w:val="20"/>
          <w:szCs w:val="20"/>
          <w:highlight w:val="white"/>
          <w:lang w:eastAsia="en-AU"/>
        </w:rPr>
      </w:pPr>
    </w:p>
    <w:p w:rsidR="007E0C1C" w:rsidRPr="00C00755" w:rsidRDefault="008415BA" w:rsidP="00E2768A">
      <w:pPr>
        <w:autoSpaceDE w:val="0"/>
        <w:autoSpaceDN w:val="0"/>
        <w:adjustRightInd w:val="0"/>
        <w:rPr>
          <w:rFonts w:asciiTheme="minorHAnsi" w:hAnsiTheme="minorHAnsi" w:cs="Arial"/>
          <w:b/>
          <w:sz w:val="24"/>
          <w:szCs w:val="24"/>
          <w:highlight w:val="white"/>
          <w:lang w:eastAsia="en-AU"/>
        </w:rPr>
      </w:pPr>
      <w:r w:rsidRPr="00C00755">
        <w:rPr>
          <w:rFonts w:asciiTheme="minorHAnsi" w:hAnsiTheme="minorHAnsi" w:cs="Arial"/>
          <w:b/>
          <w:sz w:val="24"/>
          <w:szCs w:val="24"/>
          <w:highlight w:val="white"/>
          <w:lang w:eastAsia="en-AU"/>
        </w:rPr>
        <w:t>Complexity and inconsistency</w:t>
      </w:r>
    </w:p>
    <w:p w:rsidR="007E0C1C" w:rsidRDefault="007E0C1C" w:rsidP="00E2768A">
      <w:pPr>
        <w:autoSpaceDE w:val="0"/>
        <w:autoSpaceDN w:val="0"/>
        <w:adjustRightInd w:val="0"/>
        <w:rPr>
          <w:rFonts w:asciiTheme="minorHAnsi" w:hAnsiTheme="minorHAnsi" w:cs="Arial"/>
          <w:sz w:val="20"/>
          <w:szCs w:val="20"/>
          <w:highlight w:val="white"/>
          <w:lang w:eastAsia="en-AU"/>
        </w:rPr>
      </w:pPr>
    </w:p>
    <w:p w:rsidR="002F4DB0" w:rsidRDefault="00391418"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lastRenderedPageBreak/>
        <w:t>T</w:t>
      </w:r>
      <w:r w:rsidR="002F4DB0">
        <w:rPr>
          <w:rFonts w:asciiTheme="minorHAnsi" w:hAnsiTheme="minorHAnsi" w:cs="Arial"/>
          <w:sz w:val="20"/>
          <w:szCs w:val="20"/>
          <w:highlight w:val="white"/>
          <w:lang w:eastAsia="en-AU"/>
        </w:rPr>
        <w:t>he ATA</w:t>
      </w:r>
      <w:r>
        <w:rPr>
          <w:rFonts w:asciiTheme="minorHAnsi" w:hAnsiTheme="minorHAnsi" w:cs="Arial"/>
          <w:sz w:val="20"/>
          <w:szCs w:val="20"/>
          <w:highlight w:val="white"/>
          <w:lang w:eastAsia="en-AU"/>
        </w:rPr>
        <w:t xml:space="preserve"> has long argued that the </w:t>
      </w:r>
      <w:r w:rsidR="008415BA">
        <w:rPr>
          <w:rFonts w:asciiTheme="minorHAnsi" w:hAnsiTheme="minorHAnsi" w:cs="Arial"/>
          <w:sz w:val="20"/>
          <w:szCs w:val="20"/>
          <w:highlight w:val="white"/>
          <w:lang w:eastAsia="en-AU"/>
        </w:rPr>
        <w:t>complexity and inconsistency of</w:t>
      </w:r>
      <w:r>
        <w:rPr>
          <w:rFonts w:asciiTheme="minorHAnsi" w:hAnsiTheme="minorHAnsi" w:cs="Arial"/>
          <w:sz w:val="20"/>
          <w:szCs w:val="20"/>
          <w:highlight w:val="white"/>
          <w:lang w:eastAsia="en-AU"/>
        </w:rPr>
        <w:t xml:space="preserve"> the </w:t>
      </w:r>
      <w:r w:rsidR="002F4DB0">
        <w:rPr>
          <w:rFonts w:asciiTheme="minorHAnsi" w:hAnsiTheme="minorHAnsi" w:cs="Arial"/>
          <w:sz w:val="20"/>
          <w:szCs w:val="20"/>
          <w:highlight w:val="white"/>
          <w:lang w:eastAsia="en-AU"/>
        </w:rPr>
        <w:t xml:space="preserve">existing CoR provisions </w:t>
      </w:r>
      <w:r>
        <w:rPr>
          <w:rFonts w:asciiTheme="minorHAnsi" w:hAnsiTheme="minorHAnsi" w:cs="Arial"/>
          <w:sz w:val="20"/>
          <w:szCs w:val="20"/>
          <w:highlight w:val="white"/>
          <w:lang w:eastAsia="en-AU"/>
        </w:rPr>
        <w:t>is a problem for both industry and regulators</w:t>
      </w:r>
      <w:r w:rsidR="002F4DB0">
        <w:rPr>
          <w:rFonts w:asciiTheme="minorHAnsi" w:hAnsiTheme="minorHAnsi" w:cs="Arial"/>
          <w:sz w:val="20"/>
          <w:szCs w:val="20"/>
          <w:highlight w:val="white"/>
          <w:lang w:eastAsia="en-AU"/>
        </w:rPr>
        <w:t>. The ATA fully agrees with the comment in the NTC discussion paper that:</w:t>
      </w:r>
    </w:p>
    <w:p w:rsidR="0024170B" w:rsidRDefault="0024170B" w:rsidP="00E2768A">
      <w:pPr>
        <w:autoSpaceDE w:val="0"/>
        <w:autoSpaceDN w:val="0"/>
        <w:adjustRightInd w:val="0"/>
        <w:rPr>
          <w:rFonts w:asciiTheme="minorHAnsi" w:hAnsiTheme="minorHAnsi" w:cs="Arial"/>
          <w:sz w:val="20"/>
          <w:szCs w:val="20"/>
          <w:highlight w:val="white"/>
          <w:lang w:eastAsia="en-AU"/>
        </w:rPr>
      </w:pPr>
    </w:p>
    <w:p w:rsidR="001B27CF" w:rsidRDefault="001B27CF" w:rsidP="00E2768A">
      <w:pPr>
        <w:autoSpaceDE w:val="0"/>
        <w:autoSpaceDN w:val="0"/>
        <w:adjustRightInd w:val="0"/>
        <w:rPr>
          <w:rFonts w:asciiTheme="minorHAnsi" w:hAnsiTheme="minorHAnsi" w:cs="Arial"/>
          <w:sz w:val="20"/>
          <w:szCs w:val="20"/>
          <w:highlight w:val="white"/>
          <w:lang w:eastAsia="en-AU"/>
        </w:rPr>
      </w:pPr>
    </w:p>
    <w:p w:rsidR="0024170B" w:rsidRDefault="0024170B" w:rsidP="0024170B">
      <w:pPr>
        <w:autoSpaceDE w:val="0"/>
        <w:autoSpaceDN w:val="0"/>
        <w:adjustRightInd w:val="0"/>
        <w:ind w:left="1134" w:right="1134"/>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As a result of the amalgamation of the model laws, which were drafted at different times and in different ways, the chapters of the HVNL dealing with fatigue, speed, mass, dimension and loading, and vehicle standards contain various duty types and constructions (…)</w:t>
      </w:r>
    </w:p>
    <w:p w:rsidR="0024170B" w:rsidRDefault="0024170B" w:rsidP="0024170B">
      <w:pPr>
        <w:autoSpaceDE w:val="0"/>
        <w:autoSpaceDN w:val="0"/>
        <w:adjustRightInd w:val="0"/>
        <w:ind w:left="1134" w:right="1134"/>
        <w:rPr>
          <w:rFonts w:asciiTheme="minorHAnsi" w:hAnsiTheme="minorHAnsi" w:cs="Arial"/>
          <w:sz w:val="20"/>
          <w:szCs w:val="20"/>
          <w:highlight w:val="white"/>
          <w:lang w:eastAsia="en-AU"/>
        </w:rPr>
      </w:pPr>
    </w:p>
    <w:p w:rsidR="0024170B" w:rsidRDefault="0024170B" w:rsidP="0024170B">
      <w:pPr>
        <w:autoSpaceDE w:val="0"/>
        <w:autoSpaceDN w:val="0"/>
        <w:adjustRightInd w:val="0"/>
        <w:ind w:left="1134" w:right="1134"/>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Difficulties may arise from the fact that industry parties must attempt to comply with multiple duties concerning separate subject matters (ie: speed, fatigue etc) found within different chapters rather than focusing at a higher level on the minimisation of safety risks. This may also lead to confusion and misunderstanding about which parties are responsible for particular obligations, how different obligations are related</w:t>
      </w:r>
      <w:r w:rsidR="00CA039F">
        <w:rPr>
          <w:rFonts w:asciiTheme="minorHAnsi" w:hAnsiTheme="minorHAnsi" w:cs="Arial"/>
          <w:sz w:val="20"/>
          <w:szCs w:val="20"/>
          <w:highlight w:val="white"/>
          <w:lang w:eastAsia="en-AU"/>
        </w:rPr>
        <w:t>,</w:t>
      </w:r>
      <w:r>
        <w:rPr>
          <w:rFonts w:asciiTheme="minorHAnsi" w:hAnsiTheme="minorHAnsi" w:cs="Arial"/>
          <w:sz w:val="20"/>
          <w:szCs w:val="20"/>
          <w:highlight w:val="white"/>
          <w:lang w:eastAsia="en-AU"/>
        </w:rPr>
        <w:t xml:space="preserve"> and how these obligations need to be met.</w:t>
      </w:r>
      <w:r w:rsidR="002F4DB0">
        <w:rPr>
          <w:rStyle w:val="FootnoteReference"/>
          <w:rFonts w:asciiTheme="minorHAnsi" w:hAnsiTheme="minorHAnsi"/>
          <w:sz w:val="20"/>
          <w:szCs w:val="20"/>
          <w:highlight w:val="white"/>
          <w:lang w:eastAsia="en-AU"/>
        </w:rPr>
        <w:footnoteReference w:id="7"/>
      </w:r>
    </w:p>
    <w:p w:rsidR="007E0C1C" w:rsidRDefault="007E0C1C" w:rsidP="00E2768A">
      <w:pPr>
        <w:autoSpaceDE w:val="0"/>
        <w:autoSpaceDN w:val="0"/>
        <w:adjustRightInd w:val="0"/>
        <w:rPr>
          <w:rFonts w:asciiTheme="minorHAnsi" w:hAnsiTheme="minorHAnsi" w:cs="Arial"/>
          <w:sz w:val="20"/>
          <w:szCs w:val="20"/>
          <w:highlight w:val="white"/>
          <w:lang w:eastAsia="en-AU"/>
        </w:rPr>
      </w:pPr>
    </w:p>
    <w:p w:rsidR="001B27CF" w:rsidRDefault="001B27CF" w:rsidP="00E2768A">
      <w:pPr>
        <w:autoSpaceDE w:val="0"/>
        <w:autoSpaceDN w:val="0"/>
        <w:adjustRightInd w:val="0"/>
        <w:rPr>
          <w:rFonts w:asciiTheme="minorHAnsi" w:hAnsiTheme="minorHAnsi" w:cs="Arial"/>
          <w:sz w:val="20"/>
          <w:szCs w:val="20"/>
          <w:highlight w:val="white"/>
          <w:lang w:eastAsia="en-AU"/>
        </w:rPr>
      </w:pPr>
    </w:p>
    <w:p w:rsidR="008A36F4" w:rsidRDefault="00391418" w:rsidP="008A36F4">
      <w:pPr>
        <w:autoSpaceDE w:val="0"/>
        <w:autoSpaceDN w:val="0"/>
        <w:adjustRightInd w:val="0"/>
        <w:rPr>
          <w:rFonts w:asciiTheme="minorHAnsi" w:hAnsiTheme="minorHAnsi" w:cs="Arial"/>
          <w:sz w:val="20"/>
          <w:szCs w:val="20"/>
          <w:lang w:eastAsia="en-AU"/>
        </w:rPr>
      </w:pPr>
      <w:r>
        <w:rPr>
          <w:rFonts w:asciiTheme="minorHAnsi" w:hAnsiTheme="minorHAnsi" w:cs="Arial"/>
          <w:sz w:val="20"/>
          <w:szCs w:val="20"/>
          <w:highlight w:val="white"/>
          <w:lang w:eastAsia="en-AU"/>
        </w:rPr>
        <w:lastRenderedPageBreak/>
        <w:t xml:space="preserve">From an industry point of view, the lack of clarity and sensible organisation in the law makes it unnecessarily difficult for businesses, managers and employees to understand </w:t>
      </w:r>
      <w:r w:rsidR="00CA039F">
        <w:rPr>
          <w:rFonts w:asciiTheme="minorHAnsi" w:hAnsiTheme="minorHAnsi" w:cs="Arial"/>
          <w:sz w:val="20"/>
          <w:szCs w:val="20"/>
          <w:highlight w:val="white"/>
          <w:lang w:eastAsia="en-AU"/>
        </w:rPr>
        <w:t xml:space="preserve">and comply with </w:t>
      </w:r>
      <w:r>
        <w:rPr>
          <w:rFonts w:asciiTheme="minorHAnsi" w:hAnsiTheme="minorHAnsi" w:cs="Arial"/>
          <w:sz w:val="20"/>
          <w:szCs w:val="20"/>
          <w:highlight w:val="white"/>
          <w:lang w:eastAsia="en-AU"/>
        </w:rPr>
        <w:t xml:space="preserve">their legal obligations. </w:t>
      </w:r>
    </w:p>
    <w:p w:rsidR="008415BA" w:rsidRDefault="008415BA" w:rsidP="008A36F4">
      <w:pPr>
        <w:autoSpaceDE w:val="0"/>
        <w:autoSpaceDN w:val="0"/>
        <w:adjustRightInd w:val="0"/>
        <w:rPr>
          <w:rFonts w:asciiTheme="minorHAnsi" w:hAnsiTheme="minorHAnsi" w:cs="Arial"/>
          <w:sz w:val="20"/>
          <w:szCs w:val="20"/>
          <w:lang w:eastAsia="en-AU"/>
        </w:rPr>
      </w:pPr>
    </w:p>
    <w:p w:rsidR="00391418" w:rsidRDefault="00391418"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It creates problems for the regulators and courts </w:t>
      </w:r>
      <w:r w:rsidR="00822D2A">
        <w:rPr>
          <w:rFonts w:asciiTheme="minorHAnsi" w:hAnsiTheme="minorHAnsi" w:cs="Arial"/>
          <w:sz w:val="20"/>
          <w:szCs w:val="20"/>
          <w:highlight w:val="white"/>
          <w:lang w:eastAsia="en-AU"/>
        </w:rPr>
        <w:t>too</w:t>
      </w:r>
      <w:r>
        <w:rPr>
          <w:rFonts w:asciiTheme="minorHAnsi" w:hAnsiTheme="minorHAnsi" w:cs="Arial"/>
          <w:sz w:val="20"/>
          <w:szCs w:val="20"/>
          <w:highlight w:val="white"/>
          <w:lang w:eastAsia="en-AU"/>
        </w:rPr>
        <w:t>.</w:t>
      </w:r>
    </w:p>
    <w:p w:rsidR="00391418" w:rsidRDefault="00391418" w:rsidP="00E2768A">
      <w:pPr>
        <w:autoSpaceDE w:val="0"/>
        <w:autoSpaceDN w:val="0"/>
        <w:adjustRightInd w:val="0"/>
        <w:rPr>
          <w:rFonts w:asciiTheme="minorHAnsi" w:hAnsiTheme="minorHAnsi" w:cs="Arial"/>
          <w:sz w:val="20"/>
          <w:szCs w:val="20"/>
          <w:highlight w:val="white"/>
          <w:lang w:eastAsia="en-AU"/>
        </w:rPr>
      </w:pPr>
    </w:p>
    <w:p w:rsidR="00534E32" w:rsidRPr="00D82594" w:rsidRDefault="000E0012"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In </w:t>
      </w:r>
      <w:r w:rsidRPr="00D82594">
        <w:rPr>
          <w:rFonts w:asciiTheme="minorHAnsi" w:hAnsiTheme="minorHAnsi" w:cs="Arial"/>
          <w:i/>
          <w:sz w:val="20"/>
          <w:szCs w:val="20"/>
          <w:highlight w:val="white"/>
          <w:lang w:eastAsia="en-AU"/>
        </w:rPr>
        <w:t>Damorange</w:t>
      </w:r>
      <w:r w:rsidRPr="00D82594">
        <w:rPr>
          <w:rFonts w:asciiTheme="minorHAnsi" w:hAnsiTheme="minorHAnsi" w:cs="Arial"/>
          <w:sz w:val="20"/>
          <w:szCs w:val="20"/>
          <w:highlight w:val="white"/>
          <w:lang w:eastAsia="en-AU"/>
        </w:rPr>
        <w:t xml:space="preserve">, for example, the </w:t>
      </w:r>
      <w:r w:rsidR="00822D2A">
        <w:rPr>
          <w:rFonts w:asciiTheme="minorHAnsi" w:hAnsiTheme="minorHAnsi" w:cs="Arial"/>
          <w:sz w:val="20"/>
          <w:szCs w:val="20"/>
          <w:highlight w:val="white"/>
          <w:lang w:eastAsia="en-AU"/>
        </w:rPr>
        <w:t xml:space="preserve">NSW </w:t>
      </w:r>
      <w:r w:rsidRPr="00D82594">
        <w:rPr>
          <w:rFonts w:asciiTheme="minorHAnsi" w:hAnsiTheme="minorHAnsi" w:cs="Arial"/>
          <w:sz w:val="20"/>
          <w:szCs w:val="20"/>
          <w:highlight w:val="white"/>
          <w:lang w:eastAsia="en-AU"/>
        </w:rPr>
        <w:t>Supreme Court rejected an appeal against the sentence imposed by a local court judge</w:t>
      </w:r>
      <w:r w:rsidR="00224EA1" w:rsidRPr="00D82594">
        <w:rPr>
          <w:rFonts w:asciiTheme="minorHAnsi" w:hAnsiTheme="minorHAnsi" w:cs="Arial"/>
          <w:sz w:val="20"/>
          <w:szCs w:val="20"/>
          <w:highlight w:val="white"/>
          <w:lang w:eastAsia="en-AU"/>
        </w:rPr>
        <w:t xml:space="preserve"> for a series of speed limiter offences. The </w:t>
      </w:r>
      <w:r w:rsidR="00822D2A">
        <w:rPr>
          <w:rFonts w:asciiTheme="minorHAnsi" w:hAnsiTheme="minorHAnsi" w:cs="Arial"/>
          <w:sz w:val="20"/>
          <w:szCs w:val="20"/>
          <w:highlight w:val="white"/>
          <w:lang w:eastAsia="en-AU"/>
        </w:rPr>
        <w:t xml:space="preserve">court </w:t>
      </w:r>
      <w:r w:rsidR="00224EA1" w:rsidRPr="00D82594">
        <w:rPr>
          <w:rFonts w:asciiTheme="minorHAnsi" w:hAnsiTheme="minorHAnsi" w:cs="Arial"/>
          <w:sz w:val="20"/>
          <w:szCs w:val="20"/>
          <w:highlight w:val="white"/>
          <w:lang w:eastAsia="en-AU"/>
        </w:rPr>
        <w:t>found that the prosecutor had misunderstood the ‘intricate legisla</w:t>
      </w:r>
      <w:r w:rsidR="0095735F" w:rsidRPr="00D82594">
        <w:rPr>
          <w:rFonts w:asciiTheme="minorHAnsi" w:hAnsiTheme="minorHAnsi" w:cs="Arial"/>
          <w:sz w:val="20"/>
          <w:szCs w:val="20"/>
          <w:highlight w:val="white"/>
          <w:lang w:eastAsia="en-AU"/>
        </w:rPr>
        <w:t>tive regime</w:t>
      </w:r>
      <w:r w:rsidR="00224EA1" w:rsidRPr="00D82594">
        <w:rPr>
          <w:rFonts w:asciiTheme="minorHAnsi" w:hAnsiTheme="minorHAnsi" w:cs="Arial"/>
          <w:sz w:val="20"/>
          <w:szCs w:val="20"/>
          <w:highlight w:val="white"/>
          <w:lang w:eastAsia="en-AU"/>
        </w:rPr>
        <w:t>.</w:t>
      </w:r>
      <w:r w:rsidR="0095735F" w:rsidRPr="00D82594">
        <w:rPr>
          <w:rFonts w:asciiTheme="minorHAnsi" w:hAnsiTheme="minorHAnsi" w:cs="Arial"/>
          <w:sz w:val="20"/>
          <w:szCs w:val="20"/>
          <w:highlight w:val="white"/>
          <w:lang w:eastAsia="en-AU"/>
        </w:rPr>
        <w:t>’</w:t>
      </w:r>
      <w:r w:rsidR="00224EA1" w:rsidRPr="00D82594">
        <w:rPr>
          <w:rStyle w:val="FootnoteReference"/>
          <w:rFonts w:asciiTheme="minorHAnsi" w:hAnsiTheme="minorHAnsi"/>
          <w:sz w:val="20"/>
          <w:szCs w:val="20"/>
          <w:highlight w:val="white"/>
          <w:lang w:eastAsia="en-AU"/>
        </w:rPr>
        <w:footnoteReference w:id="8"/>
      </w:r>
    </w:p>
    <w:p w:rsidR="0024170B" w:rsidRDefault="0024170B" w:rsidP="00E2768A">
      <w:pPr>
        <w:autoSpaceDE w:val="0"/>
        <w:autoSpaceDN w:val="0"/>
        <w:adjustRightInd w:val="0"/>
        <w:rPr>
          <w:rFonts w:asciiTheme="minorHAnsi" w:hAnsiTheme="minorHAnsi" w:cs="Arial"/>
          <w:sz w:val="20"/>
          <w:szCs w:val="20"/>
          <w:highlight w:val="white"/>
          <w:lang w:eastAsia="en-AU"/>
        </w:rPr>
      </w:pPr>
    </w:p>
    <w:p w:rsidR="008415BA" w:rsidRDefault="008415BA"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Because of the structure of the HVNL, the extra duties contemplated for the law are likely to lead to even more complexity and duplication.</w:t>
      </w:r>
    </w:p>
    <w:p w:rsidR="008415BA" w:rsidRDefault="008415BA" w:rsidP="00E2768A">
      <w:pPr>
        <w:autoSpaceDE w:val="0"/>
        <w:autoSpaceDN w:val="0"/>
        <w:adjustRightInd w:val="0"/>
        <w:rPr>
          <w:rFonts w:asciiTheme="minorHAnsi" w:hAnsiTheme="minorHAnsi" w:cs="Arial"/>
          <w:sz w:val="20"/>
          <w:szCs w:val="20"/>
          <w:highlight w:val="white"/>
          <w:lang w:eastAsia="en-AU"/>
        </w:rPr>
      </w:pPr>
    </w:p>
    <w:p w:rsidR="008415BA" w:rsidRDefault="008415BA"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For example, section 215 prohibits persons from making requests that wo</w:t>
      </w:r>
      <w:r w:rsidR="00CA039F">
        <w:rPr>
          <w:rFonts w:asciiTheme="minorHAnsi" w:hAnsiTheme="minorHAnsi" w:cs="Arial"/>
          <w:sz w:val="20"/>
          <w:szCs w:val="20"/>
          <w:highlight w:val="white"/>
          <w:lang w:eastAsia="en-AU"/>
        </w:rPr>
        <w:t>uld cause a driver to exceed a</w:t>
      </w:r>
      <w:r>
        <w:rPr>
          <w:rFonts w:asciiTheme="minorHAnsi" w:hAnsiTheme="minorHAnsi" w:cs="Arial"/>
          <w:sz w:val="20"/>
          <w:szCs w:val="20"/>
          <w:highlight w:val="white"/>
          <w:lang w:eastAsia="en-AU"/>
        </w:rPr>
        <w:t xml:space="preserve"> speed limit. Section 216 prohibits contracts that would have the same effect. Sections 240 and 241 are similar prohibitions, but apply to fatigue.</w:t>
      </w:r>
    </w:p>
    <w:p w:rsidR="008415BA" w:rsidRDefault="008415BA" w:rsidP="00E2768A">
      <w:pPr>
        <w:autoSpaceDE w:val="0"/>
        <w:autoSpaceDN w:val="0"/>
        <w:adjustRightInd w:val="0"/>
        <w:rPr>
          <w:rFonts w:asciiTheme="minorHAnsi" w:hAnsiTheme="minorHAnsi" w:cs="Arial"/>
          <w:sz w:val="20"/>
          <w:szCs w:val="20"/>
          <w:highlight w:val="white"/>
          <w:lang w:eastAsia="en-AU"/>
        </w:rPr>
      </w:pPr>
    </w:p>
    <w:p w:rsidR="008415BA" w:rsidRDefault="008415BA"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Extending the chain of responsibility concept to vehicle safety and standards would, under the current structure of the law, mean there would need to be two more sections</w:t>
      </w:r>
      <w:r w:rsidR="00AB51AF">
        <w:rPr>
          <w:rFonts w:asciiTheme="minorHAnsi" w:hAnsiTheme="minorHAnsi" w:cs="Arial"/>
          <w:sz w:val="20"/>
          <w:szCs w:val="20"/>
          <w:highlight w:val="white"/>
          <w:lang w:eastAsia="en-AU"/>
        </w:rPr>
        <w:t xml:space="preserve">, to </w:t>
      </w:r>
      <w:r w:rsidR="00AB51AF">
        <w:rPr>
          <w:rFonts w:asciiTheme="minorHAnsi" w:hAnsiTheme="minorHAnsi" w:cs="Arial"/>
          <w:sz w:val="20"/>
          <w:szCs w:val="20"/>
          <w:highlight w:val="white"/>
          <w:lang w:eastAsia="en-AU"/>
        </w:rPr>
        <w:lastRenderedPageBreak/>
        <w:t>prohibit</w:t>
      </w:r>
      <w:r>
        <w:rPr>
          <w:rFonts w:asciiTheme="minorHAnsi" w:hAnsiTheme="minorHAnsi" w:cs="Arial"/>
          <w:sz w:val="20"/>
          <w:szCs w:val="20"/>
          <w:highlight w:val="white"/>
          <w:lang w:eastAsia="en-AU"/>
        </w:rPr>
        <w:t xml:space="preserve"> requests and contracts that would breach the </w:t>
      </w:r>
      <w:r w:rsidR="00CA039F">
        <w:rPr>
          <w:rFonts w:asciiTheme="minorHAnsi" w:hAnsiTheme="minorHAnsi" w:cs="Arial"/>
          <w:sz w:val="20"/>
          <w:szCs w:val="20"/>
          <w:highlight w:val="white"/>
          <w:lang w:eastAsia="en-AU"/>
        </w:rPr>
        <w:t>requirements of chapter 3</w:t>
      </w:r>
      <w:r w:rsidR="00822D2A">
        <w:rPr>
          <w:rFonts w:asciiTheme="minorHAnsi" w:hAnsiTheme="minorHAnsi" w:cs="Arial"/>
          <w:sz w:val="20"/>
          <w:szCs w:val="20"/>
          <w:highlight w:val="white"/>
          <w:lang w:eastAsia="en-AU"/>
        </w:rPr>
        <w:t>. T</w:t>
      </w:r>
      <w:r>
        <w:rPr>
          <w:rFonts w:asciiTheme="minorHAnsi" w:hAnsiTheme="minorHAnsi" w:cs="Arial"/>
          <w:sz w:val="20"/>
          <w:szCs w:val="20"/>
          <w:highlight w:val="white"/>
          <w:lang w:eastAsia="en-AU"/>
        </w:rPr>
        <w:t>here would need to be</w:t>
      </w:r>
      <w:r w:rsidR="009B4F13">
        <w:rPr>
          <w:rFonts w:asciiTheme="minorHAnsi" w:hAnsiTheme="minorHAnsi" w:cs="Arial"/>
          <w:sz w:val="20"/>
          <w:szCs w:val="20"/>
          <w:highlight w:val="white"/>
          <w:lang w:eastAsia="en-AU"/>
        </w:rPr>
        <w:t xml:space="preserve"> another</w:t>
      </w:r>
      <w:r>
        <w:rPr>
          <w:rFonts w:asciiTheme="minorHAnsi" w:hAnsiTheme="minorHAnsi" w:cs="Arial"/>
          <w:sz w:val="20"/>
          <w:szCs w:val="20"/>
          <w:highlight w:val="white"/>
          <w:lang w:eastAsia="en-AU"/>
        </w:rPr>
        <w:t xml:space="preserve"> two sections, covering exactly the same ground, if CoR duties were introduced for mass, dimension and load restraint.</w:t>
      </w:r>
    </w:p>
    <w:p w:rsidR="008415BA" w:rsidRDefault="008415BA" w:rsidP="00E2768A">
      <w:pPr>
        <w:autoSpaceDE w:val="0"/>
        <w:autoSpaceDN w:val="0"/>
        <w:adjustRightInd w:val="0"/>
        <w:rPr>
          <w:rFonts w:asciiTheme="minorHAnsi" w:hAnsiTheme="minorHAnsi" w:cs="Arial"/>
          <w:sz w:val="20"/>
          <w:szCs w:val="20"/>
          <w:highlight w:val="white"/>
          <w:lang w:eastAsia="en-AU"/>
        </w:rPr>
      </w:pPr>
    </w:p>
    <w:p w:rsidR="008415BA" w:rsidRPr="00D82594" w:rsidRDefault="008415BA" w:rsidP="00E2768A">
      <w:pPr>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The HVNL would have eight sections doing the work of two.</w:t>
      </w:r>
    </w:p>
    <w:p w:rsidR="00534E32" w:rsidRDefault="00534E32" w:rsidP="00E2768A">
      <w:pPr>
        <w:autoSpaceDE w:val="0"/>
        <w:autoSpaceDN w:val="0"/>
        <w:adjustRightInd w:val="0"/>
        <w:rPr>
          <w:rFonts w:asciiTheme="minorHAnsi" w:hAnsiTheme="minorHAnsi" w:cs="Arial"/>
          <w:sz w:val="20"/>
          <w:szCs w:val="20"/>
          <w:highlight w:val="white"/>
          <w:lang w:eastAsia="en-AU"/>
        </w:rPr>
      </w:pPr>
    </w:p>
    <w:p w:rsidR="008415BA" w:rsidRPr="00D82594" w:rsidRDefault="008415BA" w:rsidP="00E2768A">
      <w:pPr>
        <w:autoSpaceDE w:val="0"/>
        <w:autoSpaceDN w:val="0"/>
        <w:adjustRightInd w:val="0"/>
        <w:rPr>
          <w:rFonts w:asciiTheme="minorHAnsi" w:hAnsiTheme="minorHAnsi" w:cs="Arial"/>
          <w:sz w:val="20"/>
          <w:szCs w:val="20"/>
          <w:highlight w:val="white"/>
          <w:lang w:eastAsia="en-AU"/>
        </w:rPr>
      </w:pPr>
    </w:p>
    <w:p w:rsidR="007E0C1C" w:rsidRPr="00C00755" w:rsidRDefault="0095735F" w:rsidP="0048533B">
      <w:pPr>
        <w:keepNext/>
        <w:autoSpaceDE w:val="0"/>
        <w:autoSpaceDN w:val="0"/>
        <w:adjustRightInd w:val="0"/>
        <w:rPr>
          <w:rFonts w:asciiTheme="minorHAnsi" w:hAnsiTheme="minorHAnsi" w:cs="Arial"/>
          <w:b/>
          <w:sz w:val="24"/>
          <w:szCs w:val="24"/>
          <w:highlight w:val="white"/>
          <w:lang w:eastAsia="en-AU"/>
        </w:rPr>
      </w:pPr>
      <w:r w:rsidRPr="00C00755">
        <w:rPr>
          <w:rFonts w:asciiTheme="minorHAnsi" w:hAnsiTheme="minorHAnsi" w:cs="Arial"/>
          <w:b/>
          <w:sz w:val="24"/>
          <w:szCs w:val="24"/>
          <w:highlight w:val="white"/>
          <w:lang w:eastAsia="en-AU"/>
        </w:rPr>
        <w:t xml:space="preserve">Consistency with best </w:t>
      </w:r>
      <w:r w:rsidR="00822D2A" w:rsidRPr="00C00755">
        <w:rPr>
          <w:rFonts w:asciiTheme="minorHAnsi" w:hAnsiTheme="minorHAnsi" w:cs="Arial"/>
          <w:b/>
          <w:sz w:val="24"/>
          <w:szCs w:val="24"/>
          <w:highlight w:val="white"/>
          <w:lang w:eastAsia="en-AU"/>
        </w:rPr>
        <w:t xml:space="preserve">practice </w:t>
      </w:r>
      <w:r w:rsidRPr="00C00755">
        <w:rPr>
          <w:rFonts w:asciiTheme="minorHAnsi" w:hAnsiTheme="minorHAnsi" w:cs="Arial"/>
          <w:b/>
          <w:sz w:val="24"/>
          <w:szCs w:val="24"/>
          <w:highlight w:val="white"/>
          <w:lang w:eastAsia="en-AU"/>
        </w:rPr>
        <w:t xml:space="preserve">safety </w:t>
      </w:r>
      <w:r w:rsidR="00916BE9" w:rsidRPr="00C00755">
        <w:rPr>
          <w:rFonts w:asciiTheme="minorHAnsi" w:hAnsiTheme="minorHAnsi" w:cs="Arial"/>
          <w:b/>
          <w:sz w:val="24"/>
          <w:szCs w:val="24"/>
          <w:highlight w:val="white"/>
          <w:lang w:eastAsia="en-AU"/>
        </w:rPr>
        <w:t xml:space="preserve">regulation </w:t>
      </w:r>
    </w:p>
    <w:p w:rsidR="007E0C1C" w:rsidRPr="00D82594" w:rsidRDefault="007E0C1C" w:rsidP="0048533B">
      <w:pPr>
        <w:keepNext/>
        <w:autoSpaceDE w:val="0"/>
        <w:autoSpaceDN w:val="0"/>
        <w:adjustRightInd w:val="0"/>
        <w:rPr>
          <w:rFonts w:asciiTheme="minorHAnsi" w:hAnsiTheme="minorHAnsi" w:cs="Arial"/>
          <w:sz w:val="20"/>
          <w:szCs w:val="20"/>
          <w:highlight w:val="white"/>
          <w:lang w:eastAsia="en-AU"/>
        </w:rPr>
      </w:pPr>
    </w:p>
    <w:p w:rsidR="00916BE9" w:rsidRPr="00D82594" w:rsidRDefault="00BF1FCE" w:rsidP="0048533B">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As table 1 shows, t</w:t>
      </w:r>
      <w:r w:rsidR="00916BE9" w:rsidRPr="00D82594">
        <w:rPr>
          <w:rFonts w:asciiTheme="minorHAnsi" w:hAnsiTheme="minorHAnsi" w:cs="Arial"/>
          <w:sz w:val="20"/>
          <w:szCs w:val="20"/>
          <w:highlight w:val="white"/>
          <w:lang w:eastAsia="en-AU"/>
        </w:rPr>
        <w:t xml:space="preserve">he </w:t>
      </w:r>
      <w:r w:rsidR="00694BA2">
        <w:rPr>
          <w:rFonts w:asciiTheme="minorHAnsi" w:hAnsiTheme="minorHAnsi" w:cs="Arial"/>
          <w:sz w:val="20"/>
          <w:szCs w:val="20"/>
          <w:highlight w:val="white"/>
          <w:lang w:eastAsia="en-AU"/>
        </w:rPr>
        <w:t xml:space="preserve">HVNL is not consistent with </w:t>
      </w:r>
      <w:r w:rsidR="00916BE9" w:rsidRPr="00D82594">
        <w:rPr>
          <w:rFonts w:asciiTheme="minorHAnsi" w:hAnsiTheme="minorHAnsi" w:cs="Arial"/>
          <w:sz w:val="20"/>
          <w:szCs w:val="20"/>
          <w:highlight w:val="white"/>
          <w:lang w:eastAsia="en-AU"/>
        </w:rPr>
        <w:t>best</w:t>
      </w:r>
      <w:r>
        <w:rPr>
          <w:rFonts w:asciiTheme="minorHAnsi" w:hAnsiTheme="minorHAnsi" w:cs="Arial"/>
          <w:sz w:val="20"/>
          <w:szCs w:val="20"/>
          <w:highlight w:val="white"/>
          <w:lang w:eastAsia="en-AU"/>
        </w:rPr>
        <w:t xml:space="preserve"> practice in safety regulation.</w:t>
      </w:r>
    </w:p>
    <w:p w:rsidR="00916BE9" w:rsidRDefault="00916BE9" w:rsidP="0048533B">
      <w:pPr>
        <w:keepNext/>
        <w:autoSpaceDE w:val="0"/>
        <w:autoSpaceDN w:val="0"/>
        <w:adjustRightInd w:val="0"/>
        <w:rPr>
          <w:rFonts w:asciiTheme="minorHAnsi" w:hAnsiTheme="minorHAnsi" w:cs="Arial"/>
          <w:sz w:val="20"/>
          <w:szCs w:val="20"/>
          <w:highlight w:val="white"/>
          <w:lang w:eastAsia="en-AU"/>
        </w:rPr>
      </w:pPr>
    </w:p>
    <w:p w:rsidR="00BF1FCE" w:rsidRDefault="00BF1FCE" w:rsidP="0048533B">
      <w:pPr>
        <w:keepNext/>
        <w:autoSpaceDE w:val="0"/>
        <w:autoSpaceDN w:val="0"/>
        <w:adjustRightInd w:val="0"/>
        <w:rPr>
          <w:rFonts w:asciiTheme="minorHAnsi" w:hAnsiTheme="minorHAnsi" w:cs="Arial"/>
          <w:sz w:val="20"/>
          <w:szCs w:val="20"/>
          <w:highlight w:val="white"/>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709"/>
        <w:gridCol w:w="4109"/>
      </w:tblGrid>
      <w:tr w:rsidR="0013169E" w:rsidTr="0003005A">
        <w:tc>
          <w:tcPr>
            <w:tcW w:w="9638" w:type="dxa"/>
            <w:gridSpan w:val="3"/>
            <w:tcBorders>
              <w:bottom w:val="single" w:sz="4" w:space="0" w:color="auto"/>
            </w:tcBorders>
            <w:tcMar>
              <w:bottom w:w="108" w:type="dxa"/>
            </w:tcMar>
          </w:tcPr>
          <w:p w:rsidR="0013169E" w:rsidRPr="00BF1FCE" w:rsidRDefault="0013169E" w:rsidP="0048533B">
            <w:pPr>
              <w:keepNext/>
              <w:autoSpaceDE w:val="0"/>
              <w:autoSpaceDN w:val="0"/>
              <w:adjustRightInd w:val="0"/>
              <w:rPr>
                <w:rFonts w:asciiTheme="minorHAnsi" w:hAnsiTheme="minorHAnsi" w:cs="Arial"/>
                <w:b/>
                <w:sz w:val="20"/>
                <w:szCs w:val="20"/>
                <w:highlight w:val="white"/>
                <w:lang w:eastAsia="en-AU"/>
              </w:rPr>
            </w:pPr>
            <w:r w:rsidRPr="00BF1FCE">
              <w:rPr>
                <w:rFonts w:asciiTheme="minorHAnsi" w:hAnsiTheme="minorHAnsi" w:cs="Arial"/>
                <w:b/>
                <w:sz w:val="20"/>
                <w:szCs w:val="20"/>
                <w:highlight w:val="white"/>
                <w:lang w:eastAsia="en-AU"/>
              </w:rPr>
              <w:t>Table 1: Consistency of the HVNL with best practice safety regulation</w:t>
            </w:r>
          </w:p>
        </w:tc>
      </w:tr>
      <w:tr w:rsidR="0013169E" w:rsidTr="0013169E">
        <w:tc>
          <w:tcPr>
            <w:tcW w:w="4820" w:type="dxa"/>
            <w:tcBorders>
              <w:top w:val="single" w:sz="4" w:space="0" w:color="auto"/>
            </w:tcBorders>
            <w:tcMar>
              <w:bottom w:w="108" w:type="dxa"/>
            </w:tcMar>
          </w:tcPr>
          <w:p w:rsidR="0013169E" w:rsidRPr="00BF1FCE" w:rsidRDefault="0013169E" w:rsidP="0048533B">
            <w:pPr>
              <w:keepNext/>
              <w:autoSpaceDE w:val="0"/>
              <w:autoSpaceDN w:val="0"/>
              <w:adjustRightInd w:val="0"/>
              <w:jc w:val="center"/>
              <w:rPr>
                <w:rFonts w:asciiTheme="minorHAnsi" w:hAnsiTheme="minorHAnsi" w:cs="Arial"/>
                <w:b/>
                <w:sz w:val="20"/>
                <w:szCs w:val="20"/>
                <w:highlight w:val="white"/>
                <w:lang w:eastAsia="en-AU"/>
              </w:rPr>
            </w:pPr>
            <w:r w:rsidRPr="00BF1FCE">
              <w:rPr>
                <w:rFonts w:asciiTheme="minorHAnsi" w:hAnsiTheme="minorHAnsi" w:cs="Arial"/>
                <w:b/>
                <w:sz w:val="20"/>
                <w:szCs w:val="20"/>
                <w:highlight w:val="white"/>
                <w:lang w:eastAsia="en-AU"/>
              </w:rPr>
              <w:t>Best practice</w:t>
            </w:r>
          </w:p>
        </w:tc>
        <w:tc>
          <w:tcPr>
            <w:tcW w:w="4818" w:type="dxa"/>
            <w:gridSpan w:val="2"/>
            <w:tcBorders>
              <w:top w:val="single" w:sz="4" w:space="0" w:color="auto"/>
            </w:tcBorders>
          </w:tcPr>
          <w:p w:rsidR="0013169E" w:rsidRPr="00BF1FCE" w:rsidRDefault="0013169E" w:rsidP="0048533B">
            <w:pPr>
              <w:keepNext/>
              <w:autoSpaceDE w:val="0"/>
              <w:autoSpaceDN w:val="0"/>
              <w:adjustRightInd w:val="0"/>
              <w:jc w:val="center"/>
              <w:rPr>
                <w:rFonts w:asciiTheme="minorHAnsi" w:hAnsiTheme="minorHAnsi" w:cs="Arial"/>
                <w:b/>
                <w:sz w:val="20"/>
                <w:szCs w:val="20"/>
                <w:highlight w:val="white"/>
                <w:lang w:eastAsia="en-AU"/>
              </w:rPr>
            </w:pPr>
            <w:r w:rsidRPr="00BF1FCE">
              <w:rPr>
                <w:rFonts w:asciiTheme="minorHAnsi" w:hAnsiTheme="minorHAnsi" w:cs="Arial"/>
                <w:b/>
                <w:sz w:val="20"/>
                <w:szCs w:val="20"/>
                <w:highlight w:val="white"/>
                <w:lang w:eastAsia="en-AU"/>
              </w:rPr>
              <w:t>HVNL</w:t>
            </w:r>
          </w:p>
        </w:tc>
      </w:tr>
      <w:tr w:rsidR="00BF1FCE" w:rsidTr="0013169E">
        <w:tc>
          <w:tcPr>
            <w:tcW w:w="4820" w:type="dxa"/>
            <w:tcMar>
              <w:bottom w:w="108" w:type="dxa"/>
            </w:tcMar>
          </w:tcPr>
          <w:p w:rsidR="00BF1FCE" w:rsidRPr="00BF1FCE" w:rsidRDefault="00BF1FCE" w:rsidP="0048533B">
            <w:pPr>
              <w:keepNext/>
              <w:autoSpaceDE w:val="0"/>
              <w:autoSpaceDN w:val="0"/>
              <w:adjustRightInd w:val="0"/>
              <w:rPr>
                <w:rFonts w:asciiTheme="minorHAnsi" w:hAnsiTheme="minorHAnsi" w:cs="Arial"/>
                <w:sz w:val="20"/>
                <w:szCs w:val="20"/>
                <w:highlight w:val="white"/>
                <w:lang w:eastAsia="en-AU"/>
              </w:rPr>
            </w:pPr>
            <w:r w:rsidRPr="00BF1FCE">
              <w:rPr>
                <w:rFonts w:asciiTheme="minorHAnsi" w:hAnsiTheme="minorHAnsi" w:cs="Arial"/>
                <w:sz w:val="20"/>
                <w:szCs w:val="20"/>
                <w:highlight w:val="white"/>
                <w:lang w:eastAsia="en-AU"/>
              </w:rPr>
              <w:t>General duties to establish the broad goals of the safety regulation and to fill in the cracks that will inevitably appear</w:t>
            </w:r>
          </w:p>
        </w:tc>
        <w:tc>
          <w:tcPr>
            <w:tcW w:w="709" w:type="dxa"/>
            <w:vAlign w:val="center"/>
          </w:tcPr>
          <w:p w:rsidR="00BF1FCE" w:rsidRPr="0013169E" w:rsidRDefault="0013169E" w:rsidP="0048533B">
            <w:pPr>
              <w:keepNext/>
              <w:autoSpaceDE w:val="0"/>
              <w:autoSpaceDN w:val="0"/>
              <w:adjustRightInd w:val="0"/>
              <w:jc w:val="center"/>
              <w:rPr>
                <w:rFonts w:asciiTheme="minorHAnsi" w:hAnsiTheme="minorHAnsi" w:cs="Arial"/>
                <w:sz w:val="72"/>
                <w:szCs w:val="72"/>
                <w:highlight w:val="white"/>
                <w:lang w:eastAsia="en-AU"/>
              </w:rPr>
            </w:pPr>
            <w:r w:rsidRPr="0013169E">
              <w:rPr>
                <w:rFonts w:asciiTheme="minorHAnsi" w:hAnsiTheme="minorHAnsi" w:cs="Arial"/>
                <w:sz w:val="72"/>
                <w:szCs w:val="72"/>
                <w:highlight w:val="white"/>
                <w:lang w:eastAsia="en-AU"/>
              </w:rPr>
              <w:sym w:font="Wingdings" w:char="F0FB"/>
            </w:r>
          </w:p>
        </w:tc>
        <w:tc>
          <w:tcPr>
            <w:tcW w:w="4109" w:type="dxa"/>
            <w:tcMar>
              <w:bottom w:w="108" w:type="dxa"/>
            </w:tcMar>
          </w:tcPr>
          <w:p w:rsidR="00BF1FCE" w:rsidRDefault="0003005A" w:rsidP="0048533B">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General duty for fatigue only (s229). No equivalent duties for speed management, MDLR or vehicle standards and safety</w:t>
            </w:r>
          </w:p>
        </w:tc>
      </w:tr>
      <w:tr w:rsidR="00BF1FCE" w:rsidTr="0013169E">
        <w:tc>
          <w:tcPr>
            <w:tcW w:w="4820" w:type="dxa"/>
            <w:tcMar>
              <w:bottom w:w="108" w:type="dxa"/>
            </w:tcMar>
          </w:tcPr>
          <w:p w:rsidR="00BF1FCE" w:rsidRPr="00BF1FCE" w:rsidRDefault="00BF1FCE" w:rsidP="0048533B">
            <w:pPr>
              <w:keepNext/>
              <w:autoSpaceDE w:val="0"/>
              <w:autoSpaceDN w:val="0"/>
              <w:adjustRightInd w:val="0"/>
              <w:rPr>
                <w:rFonts w:asciiTheme="minorHAnsi" w:hAnsiTheme="minorHAnsi" w:cs="Arial"/>
                <w:sz w:val="20"/>
                <w:szCs w:val="20"/>
                <w:highlight w:val="white"/>
                <w:lang w:eastAsia="en-AU"/>
              </w:rPr>
            </w:pPr>
            <w:r w:rsidRPr="00BF1FCE">
              <w:rPr>
                <w:rFonts w:asciiTheme="minorHAnsi" w:hAnsiTheme="minorHAnsi" w:cs="Arial"/>
                <w:sz w:val="20"/>
                <w:szCs w:val="20"/>
                <w:highlight w:val="white"/>
                <w:lang w:eastAsia="en-AU"/>
              </w:rPr>
              <w:t>Businesses required to have processes to systematically manage safety risks</w:t>
            </w:r>
          </w:p>
        </w:tc>
        <w:tc>
          <w:tcPr>
            <w:tcW w:w="709" w:type="dxa"/>
            <w:vAlign w:val="center"/>
          </w:tcPr>
          <w:p w:rsidR="00BF1FCE" w:rsidRPr="0013169E" w:rsidRDefault="0013169E" w:rsidP="0048533B">
            <w:pPr>
              <w:keepNext/>
              <w:autoSpaceDE w:val="0"/>
              <w:autoSpaceDN w:val="0"/>
              <w:adjustRightInd w:val="0"/>
              <w:jc w:val="center"/>
              <w:rPr>
                <w:rFonts w:asciiTheme="minorHAnsi" w:hAnsiTheme="minorHAnsi" w:cs="Arial"/>
                <w:sz w:val="72"/>
                <w:szCs w:val="72"/>
                <w:highlight w:val="white"/>
                <w:lang w:eastAsia="en-AU"/>
              </w:rPr>
            </w:pPr>
            <w:r w:rsidRPr="0013169E">
              <w:rPr>
                <w:rFonts w:asciiTheme="minorHAnsi" w:hAnsiTheme="minorHAnsi" w:cs="Arial"/>
                <w:sz w:val="72"/>
                <w:szCs w:val="72"/>
                <w:highlight w:val="white"/>
                <w:lang w:eastAsia="en-AU"/>
              </w:rPr>
              <w:sym w:font="Wingdings" w:char="F0FB"/>
            </w:r>
          </w:p>
        </w:tc>
        <w:tc>
          <w:tcPr>
            <w:tcW w:w="4109" w:type="dxa"/>
            <w:tcMar>
              <w:bottom w:w="108" w:type="dxa"/>
            </w:tcMar>
          </w:tcPr>
          <w:p w:rsidR="00BF1FCE" w:rsidRDefault="0003005A" w:rsidP="0048533B">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No requirements</w:t>
            </w:r>
            <w:r w:rsidR="00CA039F">
              <w:rPr>
                <w:rFonts w:asciiTheme="minorHAnsi" w:hAnsiTheme="minorHAnsi" w:cs="Arial"/>
                <w:sz w:val="20"/>
                <w:szCs w:val="20"/>
                <w:highlight w:val="white"/>
                <w:lang w:eastAsia="en-AU"/>
              </w:rPr>
              <w:t>, although s623 outlines a risk management approach that may be taken</w:t>
            </w:r>
          </w:p>
        </w:tc>
      </w:tr>
      <w:tr w:rsidR="00BF1FCE" w:rsidTr="0013169E">
        <w:tc>
          <w:tcPr>
            <w:tcW w:w="4820" w:type="dxa"/>
            <w:tcMar>
              <w:bottom w:w="108" w:type="dxa"/>
            </w:tcMar>
          </w:tcPr>
          <w:p w:rsidR="00BF1FCE" w:rsidRPr="00BF1FCE" w:rsidRDefault="00BF1FCE" w:rsidP="0048533B">
            <w:pPr>
              <w:keepNext/>
              <w:autoSpaceDE w:val="0"/>
              <w:autoSpaceDN w:val="0"/>
              <w:adjustRightInd w:val="0"/>
              <w:rPr>
                <w:rFonts w:asciiTheme="minorHAnsi" w:hAnsiTheme="minorHAnsi" w:cs="Arial"/>
                <w:sz w:val="20"/>
                <w:szCs w:val="20"/>
                <w:highlight w:val="white"/>
                <w:lang w:eastAsia="en-AU"/>
              </w:rPr>
            </w:pPr>
            <w:r w:rsidRPr="00BF1FCE">
              <w:rPr>
                <w:rFonts w:asciiTheme="minorHAnsi" w:hAnsiTheme="minorHAnsi" w:cs="Arial"/>
                <w:sz w:val="20"/>
                <w:szCs w:val="20"/>
                <w:highlight w:val="white"/>
                <w:lang w:eastAsia="en-AU"/>
              </w:rPr>
              <w:t>Evidentiary standards to provide guidance on how compliance can be achieved, while allowing for alternative actions that achieve an equivalent of better standard of care</w:t>
            </w:r>
          </w:p>
        </w:tc>
        <w:tc>
          <w:tcPr>
            <w:tcW w:w="709" w:type="dxa"/>
            <w:vAlign w:val="center"/>
          </w:tcPr>
          <w:p w:rsidR="00BF1FCE" w:rsidRPr="0013169E" w:rsidRDefault="0013169E" w:rsidP="0048533B">
            <w:pPr>
              <w:keepNext/>
              <w:autoSpaceDE w:val="0"/>
              <w:autoSpaceDN w:val="0"/>
              <w:adjustRightInd w:val="0"/>
              <w:jc w:val="center"/>
              <w:rPr>
                <w:rFonts w:asciiTheme="minorHAnsi" w:hAnsiTheme="minorHAnsi" w:cs="Arial"/>
                <w:sz w:val="72"/>
                <w:szCs w:val="72"/>
                <w:highlight w:val="white"/>
                <w:lang w:eastAsia="en-AU"/>
              </w:rPr>
            </w:pPr>
            <w:r w:rsidRPr="0013169E">
              <w:rPr>
                <w:rFonts w:asciiTheme="minorHAnsi" w:hAnsiTheme="minorHAnsi" w:cs="Arial"/>
                <w:sz w:val="72"/>
                <w:szCs w:val="72"/>
                <w:highlight w:val="white"/>
                <w:lang w:eastAsia="en-AU"/>
              </w:rPr>
              <w:sym w:font="Wingdings" w:char="F0FB"/>
            </w:r>
          </w:p>
        </w:tc>
        <w:tc>
          <w:tcPr>
            <w:tcW w:w="4109" w:type="dxa"/>
            <w:tcMar>
              <w:bottom w:w="108" w:type="dxa"/>
            </w:tcMar>
          </w:tcPr>
          <w:p w:rsidR="00BF1FCE" w:rsidRDefault="001867C7" w:rsidP="00F920F7">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 xml:space="preserve">The HVNL provides for industry sourced codes, but no guidelines have been issued. </w:t>
            </w:r>
            <w:r w:rsidR="0003005A">
              <w:rPr>
                <w:rFonts w:asciiTheme="minorHAnsi" w:hAnsiTheme="minorHAnsi" w:cs="Arial"/>
                <w:sz w:val="20"/>
                <w:szCs w:val="20"/>
                <w:highlight w:val="white"/>
                <w:lang w:eastAsia="en-AU"/>
              </w:rPr>
              <w:t>s624 allows regulations to be made about how to assess and manage fa</w:t>
            </w:r>
            <w:r>
              <w:rPr>
                <w:rFonts w:asciiTheme="minorHAnsi" w:hAnsiTheme="minorHAnsi" w:cs="Arial"/>
                <w:sz w:val="20"/>
                <w:szCs w:val="20"/>
                <w:highlight w:val="white"/>
                <w:lang w:eastAsia="en-AU"/>
              </w:rPr>
              <w:t xml:space="preserve">tigue risks, but </w:t>
            </w:r>
            <w:r w:rsidR="00CA039F">
              <w:rPr>
                <w:rFonts w:asciiTheme="minorHAnsi" w:hAnsiTheme="minorHAnsi" w:cs="Arial"/>
                <w:sz w:val="20"/>
                <w:szCs w:val="20"/>
                <w:highlight w:val="white"/>
                <w:lang w:eastAsia="en-AU"/>
              </w:rPr>
              <w:t xml:space="preserve">the regulations are not </w:t>
            </w:r>
            <w:r w:rsidR="00F920F7">
              <w:rPr>
                <w:rFonts w:asciiTheme="minorHAnsi" w:hAnsiTheme="minorHAnsi" w:cs="Arial"/>
                <w:sz w:val="20"/>
                <w:szCs w:val="20"/>
                <w:highlight w:val="white"/>
                <w:lang w:eastAsia="en-AU"/>
              </w:rPr>
              <w:t>readily usable</w:t>
            </w:r>
          </w:p>
        </w:tc>
      </w:tr>
      <w:tr w:rsidR="00BF1FCE" w:rsidTr="0013169E">
        <w:tc>
          <w:tcPr>
            <w:tcW w:w="4820" w:type="dxa"/>
            <w:tcBorders>
              <w:bottom w:val="single" w:sz="4" w:space="0" w:color="auto"/>
            </w:tcBorders>
            <w:tcMar>
              <w:bottom w:w="108" w:type="dxa"/>
            </w:tcMar>
          </w:tcPr>
          <w:p w:rsidR="00BF1FCE" w:rsidRPr="00BF1FCE" w:rsidRDefault="00BF1FCE" w:rsidP="0048533B">
            <w:pPr>
              <w:keepNext/>
              <w:autoSpaceDE w:val="0"/>
              <w:autoSpaceDN w:val="0"/>
              <w:adjustRightInd w:val="0"/>
              <w:rPr>
                <w:rFonts w:asciiTheme="minorHAnsi" w:hAnsiTheme="minorHAnsi" w:cs="Arial"/>
                <w:sz w:val="20"/>
                <w:szCs w:val="20"/>
                <w:highlight w:val="white"/>
                <w:lang w:eastAsia="en-AU"/>
              </w:rPr>
            </w:pPr>
            <w:r w:rsidRPr="00BF1FCE">
              <w:rPr>
                <w:rFonts w:asciiTheme="minorHAnsi" w:hAnsiTheme="minorHAnsi" w:cs="Arial"/>
                <w:sz w:val="20"/>
                <w:szCs w:val="20"/>
                <w:highlight w:val="white"/>
                <w:lang w:eastAsia="en-AU"/>
              </w:rPr>
              <w:lastRenderedPageBreak/>
              <w:t>Specification standards where there are specific, significant risks.</w:t>
            </w:r>
          </w:p>
        </w:tc>
        <w:tc>
          <w:tcPr>
            <w:tcW w:w="709" w:type="dxa"/>
            <w:tcBorders>
              <w:bottom w:val="single" w:sz="4" w:space="0" w:color="auto"/>
            </w:tcBorders>
            <w:vAlign w:val="center"/>
          </w:tcPr>
          <w:p w:rsidR="00BF1FCE" w:rsidRPr="0013169E" w:rsidRDefault="0013169E" w:rsidP="0048533B">
            <w:pPr>
              <w:keepNext/>
              <w:autoSpaceDE w:val="0"/>
              <w:autoSpaceDN w:val="0"/>
              <w:adjustRightInd w:val="0"/>
              <w:jc w:val="center"/>
              <w:rPr>
                <w:rFonts w:asciiTheme="minorHAnsi" w:hAnsiTheme="minorHAnsi" w:cs="Arial"/>
                <w:sz w:val="72"/>
                <w:szCs w:val="72"/>
                <w:highlight w:val="white"/>
                <w:lang w:eastAsia="en-AU"/>
              </w:rPr>
            </w:pPr>
            <w:r w:rsidRPr="0013169E">
              <w:rPr>
                <w:rFonts w:asciiTheme="minorHAnsi" w:hAnsiTheme="minorHAnsi" w:cs="Arial"/>
                <w:sz w:val="72"/>
                <w:szCs w:val="72"/>
                <w:highlight w:val="white"/>
                <w:lang w:eastAsia="en-AU"/>
              </w:rPr>
              <w:sym w:font="Wingdings" w:char="F0FC"/>
            </w:r>
          </w:p>
        </w:tc>
        <w:tc>
          <w:tcPr>
            <w:tcW w:w="4109" w:type="dxa"/>
            <w:tcBorders>
              <w:bottom w:val="single" w:sz="4" w:space="0" w:color="auto"/>
            </w:tcBorders>
            <w:tcMar>
              <w:bottom w:w="108" w:type="dxa"/>
            </w:tcMar>
          </w:tcPr>
          <w:p w:rsidR="00BF1FCE" w:rsidRDefault="0003005A" w:rsidP="0048533B">
            <w:pPr>
              <w:keepNext/>
              <w:autoSpaceDE w:val="0"/>
              <w:autoSpaceDN w:val="0"/>
              <w:adjustRightInd w:val="0"/>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t>Extensive specific</w:t>
            </w:r>
            <w:r w:rsidR="000B0787">
              <w:rPr>
                <w:rFonts w:asciiTheme="minorHAnsi" w:hAnsiTheme="minorHAnsi" w:cs="Arial"/>
                <w:sz w:val="20"/>
                <w:szCs w:val="20"/>
                <w:highlight w:val="white"/>
                <w:lang w:eastAsia="en-AU"/>
              </w:rPr>
              <w:t>ation</w:t>
            </w:r>
            <w:r>
              <w:rPr>
                <w:rFonts w:asciiTheme="minorHAnsi" w:hAnsiTheme="minorHAnsi" w:cs="Arial"/>
                <w:sz w:val="20"/>
                <w:szCs w:val="20"/>
                <w:highlight w:val="white"/>
                <w:lang w:eastAsia="en-AU"/>
              </w:rPr>
              <w:t xml:space="preserve"> standards covering fatigue work/rest hours and vehicle standards</w:t>
            </w:r>
          </w:p>
        </w:tc>
      </w:tr>
      <w:tr w:rsidR="0013169E" w:rsidTr="0013169E">
        <w:tc>
          <w:tcPr>
            <w:tcW w:w="9638" w:type="dxa"/>
            <w:gridSpan w:val="3"/>
            <w:tcBorders>
              <w:top w:val="single" w:sz="4" w:space="0" w:color="auto"/>
            </w:tcBorders>
          </w:tcPr>
          <w:p w:rsidR="0013169E" w:rsidRPr="00BF1FCE" w:rsidRDefault="0013169E" w:rsidP="00F920F7">
            <w:pPr>
              <w:keepNext/>
              <w:autoSpaceDE w:val="0"/>
              <w:autoSpaceDN w:val="0"/>
              <w:adjustRightInd w:val="0"/>
              <w:rPr>
                <w:rFonts w:asciiTheme="minorHAnsi" w:hAnsiTheme="minorHAnsi" w:cs="Arial"/>
                <w:sz w:val="18"/>
                <w:szCs w:val="18"/>
                <w:highlight w:val="white"/>
                <w:lang w:eastAsia="en-AU"/>
              </w:rPr>
            </w:pPr>
            <w:r w:rsidRPr="00BF1FCE">
              <w:rPr>
                <w:rFonts w:asciiTheme="minorHAnsi" w:hAnsiTheme="minorHAnsi" w:cs="Arial"/>
                <w:sz w:val="18"/>
                <w:szCs w:val="18"/>
                <w:highlight w:val="white"/>
                <w:lang w:eastAsia="en-AU"/>
              </w:rPr>
              <w:t xml:space="preserve">Source: </w:t>
            </w:r>
            <w:r w:rsidRPr="00BF1FCE">
              <w:rPr>
                <w:rFonts w:asciiTheme="minorHAnsi" w:hAnsiTheme="minorHAnsi"/>
                <w:sz w:val="18"/>
                <w:szCs w:val="18"/>
              </w:rPr>
              <w:t xml:space="preserve">Bluff, E and N Gunningham, “Principle, Process, Performance or What? New Approaches to OHS Standards Setting,” Working Paper 9, National Centre for OHS Regulation, </w:t>
            </w:r>
            <w:r w:rsidR="00F920F7">
              <w:rPr>
                <w:rFonts w:asciiTheme="minorHAnsi" w:hAnsiTheme="minorHAnsi"/>
                <w:sz w:val="18"/>
                <w:szCs w:val="18"/>
              </w:rPr>
              <w:t xml:space="preserve">July 2003, </w:t>
            </w:r>
            <w:r w:rsidRPr="00BF1FCE">
              <w:rPr>
                <w:rFonts w:asciiTheme="minorHAnsi" w:hAnsiTheme="minorHAnsi"/>
                <w:sz w:val="18"/>
                <w:szCs w:val="18"/>
              </w:rPr>
              <w:t>p30. Available at &lt;</w:t>
            </w:r>
            <w:hyperlink r:id="rId11" w:history="1">
              <w:r w:rsidRPr="00BF1FCE">
                <w:rPr>
                  <w:rStyle w:val="Hyperlink"/>
                  <w:rFonts w:asciiTheme="minorHAnsi" w:hAnsiTheme="minorHAnsi"/>
                  <w:sz w:val="18"/>
                  <w:szCs w:val="18"/>
                </w:rPr>
                <w:t>http://regnet.anu.edu.au/publications/wp-9-principle-process-performance-or-what-new-approaches-ohs-standards-setting</w:t>
              </w:r>
            </w:hyperlink>
            <w:r w:rsidRPr="00BF1FCE">
              <w:rPr>
                <w:rFonts w:asciiTheme="minorHAnsi" w:hAnsiTheme="minorHAnsi"/>
                <w:sz w:val="18"/>
                <w:szCs w:val="18"/>
              </w:rPr>
              <w:t>&gt;. Viewed 21 January 2015.</w:t>
            </w:r>
          </w:p>
        </w:tc>
      </w:tr>
    </w:tbl>
    <w:p w:rsidR="00BF1FCE" w:rsidRPr="00D82594" w:rsidRDefault="00BF1FCE" w:rsidP="0048533B">
      <w:pPr>
        <w:keepNext/>
        <w:autoSpaceDE w:val="0"/>
        <w:autoSpaceDN w:val="0"/>
        <w:adjustRightInd w:val="0"/>
        <w:rPr>
          <w:rFonts w:asciiTheme="minorHAnsi" w:hAnsiTheme="minorHAnsi" w:cs="Arial"/>
          <w:sz w:val="20"/>
          <w:szCs w:val="20"/>
          <w:highlight w:val="white"/>
          <w:lang w:eastAsia="en-AU"/>
        </w:rPr>
      </w:pPr>
    </w:p>
    <w:p w:rsidR="00916BE9" w:rsidRPr="00D82594" w:rsidRDefault="00916BE9" w:rsidP="007508AB">
      <w:pPr>
        <w:autoSpaceDE w:val="0"/>
        <w:autoSpaceDN w:val="0"/>
        <w:adjustRightInd w:val="0"/>
        <w:rPr>
          <w:rFonts w:asciiTheme="minorHAnsi" w:hAnsiTheme="minorHAnsi" w:cs="Arial"/>
          <w:sz w:val="20"/>
          <w:szCs w:val="20"/>
          <w:highlight w:val="white"/>
          <w:lang w:eastAsia="en-AU"/>
        </w:rPr>
      </w:pPr>
    </w:p>
    <w:p w:rsidR="0024170B" w:rsidRPr="00D50E1E" w:rsidRDefault="0003005A" w:rsidP="0024170B">
      <w:pPr>
        <w:rPr>
          <w:sz w:val="20"/>
          <w:szCs w:val="20"/>
        </w:rPr>
      </w:pPr>
      <w:r w:rsidRPr="00D50E1E">
        <w:rPr>
          <w:sz w:val="20"/>
          <w:szCs w:val="20"/>
        </w:rPr>
        <w:t xml:space="preserve">The ATA is particularly concerned about the </w:t>
      </w:r>
      <w:r w:rsidR="001867C7">
        <w:rPr>
          <w:sz w:val="20"/>
          <w:szCs w:val="20"/>
        </w:rPr>
        <w:t xml:space="preserve">rollout of </w:t>
      </w:r>
      <w:r w:rsidRPr="00D50E1E">
        <w:rPr>
          <w:sz w:val="20"/>
          <w:szCs w:val="20"/>
        </w:rPr>
        <w:t>evidentiary standards</w:t>
      </w:r>
      <w:r w:rsidR="000B0787" w:rsidRPr="00D50E1E">
        <w:rPr>
          <w:sz w:val="20"/>
          <w:szCs w:val="20"/>
        </w:rPr>
        <w:t xml:space="preserve"> </w:t>
      </w:r>
      <w:r w:rsidR="001867C7">
        <w:rPr>
          <w:sz w:val="20"/>
          <w:szCs w:val="20"/>
        </w:rPr>
        <w:t xml:space="preserve">under </w:t>
      </w:r>
      <w:r w:rsidR="000B0787" w:rsidRPr="00D50E1E">
        <w:rPr>
          <w:sz w:val="20"/>
          <w:szCs w:val="20"/>
        </w:rPr>
        <w:t>the HVNL</w:t>
      </w:r>
      <w:r w:rsidRPr="00D50E1E">
        <w:rPr>
          <w:sz w:val="20"/>
          <w:szCs w:val="20"/>
        </w:rPr>
        <w:t>.</w:t>
      </w:r>
    </w:p>
    <w:p w:rsidR="0003005A" w:rsidRPr="00D50E1E" w:rsidRDefault="0003005A" w:rsidP="0024170B">
      <w:pPr>
        <w:rPr>
          <w:sz w:val="20"/>
          <w:szCs w:val="20"/>
        </w:rPr>
      </w:pPr>
    </w:p>
    <w:p w:rsidR="0003005A" w:rsidRPr="00D50E1E" w:rsidRDefault="005F40A1" w:rsidP="0024170B">
      <w:pPr>
        <w:rPr>
          <w:sz w:val="20"/>
          <w:szCs w:val="20"/>
        </w:rPr>
      </w:pPr>
      <w:r w:rsidRPr="00D50E1E">
        <w:rPr>
          <w:sz w:val="20"/>
          <w:szCs w:val="20"/>
        </w:rPr>
        <w:t xml:space="preserve">Evidentiary standards are a key part of best practice safety regulation: they fill in the detail that is lacking in general duties, but do so in a flexible way. </w:t>
      </w:r>
      <w:r w:rsidR="00822D2A">
        <w:rPr>
          <w:sz w:val="20"/>
          <w:szCs w:val="20"/>
        </w:rPr>
        <w:t>B</w:t>
      </w:r>
      <w:r w:rsidRPr="00D50E1E">
        <w:rPr>
          <w:sz w:val="20"/>
          <w:szCs w:val="20"/>
        </w:rPr>
        <w:t xml:space="preserve">usinesses with sophisticated safety systems can choose not to follow </w:t>
      </w:r>
      <w:r w:rsidR="00822D2A">
        <w:rPr>
          <w:sz w:val="20"/>
          <w:szCs w:val="20"/>
        </w:rPr>
        <w:t>the relevant standard</w:t>
      </w:r>
      <w:r w:rsidRPr="00D50E1E">
        <w:rPr>
          <w:sz w:val="20"/>
          <w:szCs w:val="20"/>
        </w:rPr>
        <w:t>, but must be able to demonstrate that their systems achieve an equivalent or better safety outcome.</w:t>
      </w:r>
      <w:r w:rsidR="00F920F7">
        <w:rPr>
          <w:rStyle w:val="FootnoteReference"/>
          <w:sz w:val="20"/>
          <w:szCs w:val="20"/>
        </w:rPr>
        <w:footnoteReference w:id="9"/>
      </w:r>
    </w:p>
    <w:p w:rsidR="005F40A1" w:rsidRPr="00D50E1E" w:rsidRDefault="005F40A1" w:rsidP="0024170B">
      <w:pPr>
        <w:rPr>
          <w:sz w:val="20"/>
          <w:szCs w:val="20"/>
        </w:rPr>
      </w:pPr>
    </w:p>
    <w:p w:rsidR="005F40A1" w:rsidRPr="00D50E1E" w:rsidRDefault="005F40A1" w:rsidP="0024170B">
      <w:pPr>
        <w:rPr>
          <w:sz w:val="20"/>
          <w:szCs w:val="20"/>
        </w:rPr>
      </w:pPr>
      <w:r w:rsidRPr="00D50E1E">
        <w:rPr>
          <w:sz w:val="20"/>
          <w:szCs w:val="20"/>
        </w:rPr>
        <w:t xml:space="preserve">The </w:t>
      </w:r>
      <w:r w:rsidR="001B27CF">
        <w:rPr>
          <w:sz w:val="20"/>
          <w:szCs w:val="20"/>
        </w:rPr>
        <w:t xml:space="preserve">model </w:t>
      </w:r>
      <w:r w:rsidRPr="00D50E1E">
        <w:rPr>
          <w:sz w:val="20"/>
          <w:szCs w:val="20"/>
        </w:rPr>
        <w:t xml:space="preserve">Work Health and Safety Act implements the evidentiary standards concept through approved codes of practice under Part 14 of the Act. Under this Part, the responsible minister can approve codes of practice. Under section 275 of the Act, an approved code of practice is admissible in proceedings as evidence of whether a duty or </w:t>
      </w:r>
      <w:r w:rsidRPr="00D50E1E">
        <w:rPr>
          <w:sz w:val="20"/>
          <w:szCs w:val="20"/>
        </w:rPr>
        <w:lastRenderedPageBreak/>
        <w:t>obligation under the Act has been complied with.</w:t>
      </w:r>
      <w:r w:rsidR="001867C7">
        <w:rPr>
          <w:sz w:val="20"/>
          <w:szCs w:val="20"/>
        </w:rPr>
        <w:t xml:space="preserve"> </w:t>
      </w:r>
      <w:r w:rsidRPr="00D50E1E">
        <w:rPr>
          <w:sz w:val="20"/>
          <w:szCs w:val="20"/>
        </w:rPr>
        <w:t>Safe Work Australia has now released 23 model codes of practice that jurisdictions can adopt.</w:t>
      </w:r>
    </w:p>
    <w:p w:rsidR="005F40A1" w:rsidRPr="00D50E1E" w:rsidRDefault="005F40A1" w:rsidP="0024170B">
      <w:pPr>
        <w:rPr>
          <w:sz w:val="20"/>
          <w:szCs w:val="20"/>
        </w:rPr>
      </w:pPr>
    </w:p>
    <w:p w:rsidR="005F40A1" w:rsidRPr="00D50E1E" w:rsidRDefault="001867C7" w:rsidP="0024170B">
      <w:pPr>
        <w:rPr>
          <w:sz w:val="20"/>
          <w:szCs w:val="20"/>
        </w:rPr>
      </w:pPr>
      <w:r w:rsidRPr="00D50E1E">
        <w:rPr>
          <w:sz w:val="20"/>
          <w:szCs w:val="20"/>
        </w:rPr>
        <w:t xml:space="preserve">Part 13.2 </w:t>
      </w:r>
      <w:r>
        <w:rPr>
          <w:sz w:val="20"/>
          <w:szCs w:val="20"/>
        </w:rPr>
        <w:t xml:space="preserve">of the HVNL </w:t>
      </w:r>
      <w:r w:rsidRPr="00D50E1E">
        <w:rPr>
          <w:sz w:val="20"/>
          <w:szCs w:val="20"/>
        </w:rPr>
        <w:t>empowers the NHVR to develop guidelines for registering codes of practice developed by industry. Proof of compliance with</w:t>
      </w:r>
      <w:r>
        <w:rPr>
          <w:sz w:val="20"/>
          <w:szCs w:val="20"/>
        </w:rPr>
        <w:t xml:space="preserve"> an industry code has evidentiary</w:t>
      </w:r>
      <w:r w:rsidRPr="00D50E1E">
        <w:rPr>
          <w:sz w:val="20"/>
          <w:szCs w:val="20"/>
        </w:rPr>
        <w:t xml:space="preserve"> status (s625). The NHVR has not yet released guideline</w:t>
      </w:r>
      <w:r>
        <w:rPr>
          <w:sz w:val="20"/>
          <w:szCs w:val="20"/>
        </w:rPr>
        <w:t xml:space="preserve">s </w:t>
      </w:r>
      <w:r w:rsidR="00822D2A">
        <w:rPr>
          <w:sz w:val="20"/>
          <w:szCs w:val="20"/>
        </w:rPr>
        <w:t>for register</w:t>
      </w:r>
      <w:r w:rsidR="00AB51AF">
        <w:rPr>
          <w:sz w:val="20"/>
          <w:szCs w:val="20"/>
        </w:rPr>
        <w:t>ing industry codes, apart from transitional</w:t>
      </w:r>
      <w:r w:rsidR="00822D2A">
        <w:rPr>
          <w:sz w:val="20"/>
          <w:szCs w:val="20"/>
        </w:rPr>
        <w:t xml:space="preserve"> guidelines to allow codes registered under the previous model laws to be rolled over.</w:t>
      </w:r>
    </w:p>
    <w:p w:rsidR="005F40A1" w:rsidRPr="00D50E1E" w:rsidRDefault="005F40A1" w:rsidP="0024170B">
      <w:pPr>
        <w:rPr>
          <w:sz w:val="20"/>
          <w:szCs w:val="20"/>
        </w:rPr>
      </w:pPr>
    </w:p>
    <w:p w:rsidR="005F40A1" w:rsidRPr="00D50E1E" w:rsidRDefault="005F40A1" w:rsidP="0024170B">
      <w:pPr>
        <w:rPr>
          <w:sz w:val="20"/>
          <w:szCs w:val="20"/>
        </w:rPr>
      </w:pPr>
      <w:r w:rsidRPr="00D50E1E">
        <w:rPr>
          <w:sz w:val="20"/>
          <w:szCs w:val="20"/>
        </w:rPr>
        <w:t xml:space="preserve">Section 624 </w:t>
      </w:r>
      <w:r w:rsidR="001867C7">
        <w:rPr>
          <w:sz w:val="20"/>
          <w:szCs w:val="20"/>
        </w:rPr>
        <w:t xml:space="preserve">of the HVNL </w:t>
      </w:r>
      <w:r w:rsidRPr="00D50E1E">
        <w:rPr>
          <w:sz w:val="20"/>
          <w:szCs w:val="20"/>
        </w:rPr>
        <w:t xml:space="preserve">provides that the national regulations can provide ways, or examples of ways, that a person could identify and assess the risk of a contravention and then reduce its risk. </w:t>
      </w:r>
      <w:r w:rsidR="00F920F7">
        <w:rPr>
          <w:sz w:val="20"/>
          <w:szCs w:val="20"/>
        </w:rPr>
        <w:t xml:space="preserve">Section 27 of the </w:t>
      </w:r>
      <w:r w:rsidR="00F920F7" w:rsidRPr="00F920F7">
        <w:rPr>
          <w:i/>
          <w:sz w:val="20"/>
          <w:szCs w:val="20"/>
        </w:rPr>
        <w:t>Heavy Vehicle (Fatigue Management) National Regulation</w:t>
      </w:r>
      <w:r w:rsidR="00F920F7">
        <w:rPr>
          <w:sz w:val="20"/>
          <w:szCs w:val="20"/>
        </w:rPr>
        <w:t xml:space="preserve"> sets out these examples. </w:t>
      </w:r>
      <w:r w:rsidR="00AB51AF">
        <w:rPr>
          <w:sz w:val="20"/>
          <w:szCs w:val="20"/>
        </w:rPr>
        <w:t>The</w:t>
      </w:r>
      <w:r w:rsidRPr="00D50E1E">
        <w:rPr>
          <w:sz w:val="20"/>
          <w:szCs w:val="20"/>
        </w:rPr>
        <w:t xml:space="preserve"> </w:t>
      </w:r>
      <w:r w:rsidR="00F920F7">
        <w:rPr>
          <w:sz w:val="20"/>
          <w:szCs w:val="20"/>
        </w:rPr>
        <w:t>examples only apply</w:t>
      </w:r>
      <w:r w:rsidRPr="00D50E1E">
        <w:rPr>
          <w:sz w:val="20"/>
          <w:szCs w:val="20"/>
        </w:rPr>
        <w:t xml:space="preserve"> to fatigue management offences, </w:t>
      </w:r>
      <w:r w:rsidR="00AB51AF">
        <w:rPr>
          <w:sz w:val="20"/>
          <w:szCs w:val="20"/>
        </w:rPr>
        <w:t xml:space="preserve">though, </w:t>
      </w:r>
      <w:r w:rsidR="001C25E2" w:rsidRPr="00D50E1E">
        <w:rPr>
          <w:sz w:val="20"/>
          <w:szCs w:val="20"/>
        </w:rPr>
        <w:t>and in any case regulations are an inaccessible and inappropriate way of providing guidance to industry.</w:t>
      </w:r>
    </w:p>
    <w:p w:rsidR="001C25E2" w:rsidRPr="00D50E1E" w:rsidRDefault="001C25E2" w:rsidP="0024170B">
      <w:pPr>
        <w:rPr>
          <w:sz w:val="20"/>
          <w:szCs w:val="20"/>
        </w:rPr>
      </w:pPr>
    </w:p>
    <w:p w:rsidR="0048533B" w:rsidRPr="0018072A" w:rsidRDefault="0048533B" w:rsidP="0024170B"/>
    <w:p w:rsidR="0022256D" w:rsidRPr="00166926" w:rsidRDefault="007D2632" w:rsidP="001C25E2">
      <w:pPr>
        <w:pStyle w:val="Heading1"/>
        <w:keepNext/>
        <w:ind w:left="357" w:hanging="357"/>
        <w:rPr>
          <w:rFonts w:asciiTheme="minorHAnsi" w:hAnsiTheme="minorHAnsi"/>
          <w:sz w:val="24"/>
          <w:szCs w:val="24"/>
        </w:rPr>
      </w:pPr>
      <w:bookmarkStart w:id="4" w:name="_Toc410388148"/>
      <w:r>
        <w:rPr>
          <w:rFonts w:asciiTheme="minorHAnsi" w:hAnsiTheme="minorHAnsi"/>
          <w:sz w:val="24"/>
          <w:szCs w:val="24"/>
        </w:rPr>
        <w:lastRenderedPageBreak/>
        <w:t>Assessment of the options in the NTC discussion paper</w:t>
      </w:r>
      <w:bookmarkEnd w:id="4"/>
    </w:p>
    <w:p w:rsidR="0022256D" w:rsidRPr="00D82594" w:rsidRDefault="0022256D" w:rsidP="001C25E2">
      <w:pPr>
        <w:keepNext/>
        <w:rPr>
          <w:rFonts w:asciiTheme="minorHAnsi" w:hAnsiTheme="minorHAnsi"/>
          <w:sz w:val="20"/>
          <w:szCs w:val="20"/>
        </w:rPr>
      </w:pPr>
    </w:p>
    <w:p w:rsidR="009261D9" w:rsidRPr="00D82594" w:rsidRDefault="00D82594" w:rsidP="001C25E2">
      <w:pPr>
        <w:keepNext/>
        <w:rPr>
          <w:sz w:val="20"/>
          <w:szCs w:val="20"/>
        </w:rPr>
      </w:pPr>
      <w:r w:rsidRPr="00D82594">
        <w:rPr>
          <w:sz w:val="20"/>
          <w:szCs w:val="20"/>
        </w:rPr>
        <w:t>The discussion paper proposes four options for</w:t>
      </w:r>
      <w:r w:rsidR="00A02213">
        <w:rPr>
          <w:sz w:val="20"/>
          <w:szCs w:val="20"/>
        </w:rPr>
        <w:t xml:space="preserve"> reforming the CoR duties. They</w:t>
      </w:r>
      <w:r w:rsidRPr="00D82594">
        <w:rPr>
          <w:sz w:val="20"/>
          <w:szCs w:val="20"/>
        </w:rPr>
        <w:t xml:space="preserve"> are:</w:t>
      </w:r>
    </w:p>
    <w:p w:rsidR="00D82594" w:rsidRPr="00D82594" w:rsidRDefault="00D82594" w:rsidP="001C25E2">
      <w:pPr>
        <w:keepNext/>
        <w:rPr>
          <w:sz w:val="20"/>
          <w:szCs w:val="20"/>
        </w:rPr>
      </w:pPr>
    </w:p>
    <w:p w:rsidR="00D82594" w:rsidRPr="00D82594" w:rsidRDefault="00D82594" w:rsidP="001C25E2">
      <w:pPr>
        <w:keepNext/>
        <w:ind w:left="357"/>
        <w:rPr>
          <w:sz w:val="20"/>
          <w:szCs w:val="20"/>
        </w:rPr>
      </w:pPr>
      <w:r w:rsidRPr="00AF513D">
        <w:rPr>
          <w:b/>
          <w:sz w:val="20"/>
          <w:szCs w:val="20"/>
        </w:rPr>
        <w:t>Option 1:</w:t>
      </w:r>
      <w:r w:rsidRPr="00D82594">
        <w:rPr>
          <w:sz w:val="20"/>
          <w:szCs w:val="20"/>
        </w:rPr>
        <w:t xml:space="preserve"> adding a</w:t>
      </w:r>
      <w:r>
        <w:rPr>
          <w:sz w:val="20"/>
          <w:szCs w:val="20"/>
        </w:rPr>
        <w:t>n overarching</w:t>
      </w:r>
      <w:r w:rsidRPr="00D82594">
        <w:rPr>
          <w:sz w:val="20"/>
          <w:szCs w:val="20"/>
        </w:rPr>
        <w:t xml:space="preserve"> general duty of care </w:t>
      </w:r>
      <w:r>
        <w:rPr>
          <w:sz w:val="20"/>
          <w:szCs w:val="20"/>
        </w:rPr>
        <w:t xml:space="preserve">applicable to a wide range of parties, including </w:t>
      </w:r>
      <w:r w:rsidR="00AF513D">
        <w:rPr>
          <w:sz w:val="20"/>
          <w:szCs w:val="20"/>
        </w:rPr>
        <w:t>parties that are not currently in the chain of responsibility</w:t>
      </w:r>
    </w:p>
    <w:p w:rsidR="00D82594" w:rsidRPr="00D82594" w:rsidRDefault="00D82594" w:rsidP="001C25E2">
      <w:pPr>
        <w:keepNext/>
        <w:ind w:left="357"/>
        <w:rPr>
          <w:sz w:val="20"/>
          <w:szCs w:val="20"/>
        </w:rPr>
      </w:pPr>
      <w:r w:rsidRPr="00AF513D">
        <w:rPr>
          <w:b/>
          <w:sz w:val="20"/>
          <w:szCs w:val="20"/>
        </w:rPr>
        <w:t>Option 2:</w:t>
      </w:r>
      <w:r w:rsidRPr="00D82594">
        <w:rPr>
          <w:sz w:val="20"/>
          <w:szCs w:val="20"/>
        </w:rPr>
        <w:t xml:space="preserve"> adding </w:t>
      </w:r>
      <w:r w:rsidR="00AF513D">
        <w:rPr>
          <w:sz w:val="20"/>
          <w:szCs w:val="20"/>
        </w:rPr>
        <w:t>an overarching duty</w:t>
      </w:r>
      <w:r w:rsidRPr="00D82594">
        <w:rPr>
          <w:sz w:val="20"/>
          <w:szCs w:val="20"/>
        </w:rPr>
        <w:t xml:space="preserve"> to each chapter of the HVNL</w:t>
      </w:r>
      <w:r w:rsidR="00AF513D">
        <w:rPr>
          <w:sz w:val="20"/>
          <w:szCs w:val="20"/>
        </w:rPr>
        <w:t xml:space="preserve"> to complement the overarching </w:t>
      </w:r>
      <w:r w:rsidR="00A02213">
        <w:rPr>
          <w:sz w:val="20"/>
          <w:szCs w:val="20"/>
        </w:rPr>
        <w:t>duty in the fatigue chapter</w:t>
      </w:r>
    </w:p>
    <w:p w:rsidR="00D82594" w:rsidRPr="00D82594" w:rsidRDefault="00D82594" w:rsidP="001C25E2">
      <w:pPr>
        <w:keepNext/>
        <w:ind w:left="357"/>
        <w:rPr>
          <w:sz w:val="20"/>
          <w:szCs w:val="20"/>
        </w:rPr>
      </w:pPr>
      <w:r w:rsidRPr="00AF513D">
        <w:rPr>
          <w:b/>
          <w:sz w:val="20"/>
          <w:szCs w:val="20"/>
        </w:rPr>
        <w:t>Option 3:</w:t>
      </w:r>
      <w:r w:rsidRPr="00D82594">
        <w:rPr>
          <w:sz w:val="20"/>
          <w:szCs w:val="20"/>
        </w:rPr>
        <w:t xml:space="preserve"> adding additional specific obligations to </w:t>
      </w:r>
      <w:r w:rsidR="00F920F7">
        <w:rPr>
          <w:sz w:val="20"/>
          <w:szCs w:val="20"/>
        </w:rPr>
        <w:t>address specific risks and behaviours</w:t>
      </w:r>
    </w:p>
    <w:p w:rsidR="00D82594" w:rsidRPr="00D82594" w:rsidRDefault="00D82594" w:rsidP="001C25E2">
      <w:pPr>
        <w:keepNext/>
        <w:ind w:left="357"/>
        <w:rPr>
          <w:sz w:val="20"/>
          <w:szCs w:val="20"/>
        </w:rPr>
      </w:pPr>
      <w:r w:rsidRPr="00AF513D">
        <w:rPr>
          <w:b/>
          <w:sz w:val="20"/>
          <w:szCs w:val="20"/>
        </w:rPr>
        <w:t>Option 4:</w:t>
      </w:r>
      <w:r w:rsidRPr="00D82594">
        <w:rPr>
          <w:sz w:val="20"/>
          <w:szCs w:val="20"/>
        </w:rPr>
        <w:t xml:space="preserve"> providing better operational/policy guidelines and better guidance material to operators.</w:t>
      </w:r>
    </w:p>
    <w:p w:rsidR="0022256D" w:rsidRDefault="0022256D" w:rsidP="009A6D18">
      <w:pPr>
        <w:rPr>
          <w:sz w:val="20"/>
          <w:szCs w:val="20"/>
        </w:rPr>
      </w:pPr>
    </w:p>
    <w:p w:rsidR="00AF513D" w:rsidRDefault="00AF513D" w:rsidP="009A6D18">
      <w:pPr>
        <w:rPr>
          <w:sz w:val="20"/>
          <w:szCs w:val="20"/>
        </w:rPr>
      </w:pPr>
      <w:r>
        <w:rPr>
          <w:sz w:val="20"/>
          <w:szCs w:val="20"/>
        </w:rPr>
        <w:t>The discussion paper comments that the options are neither exhaustive nor exclusive of each other. It states that a combination of options may be the most appropriate way forward. The NTC believes that additional guidance and education to help parties comply with their obligations should be provided regardless of the reform option adopted.</w:t>
      </w:r>
      <w:r>
        <w:rPr>
          <w:rStyle w:val="FootnoteReference"/>
          <w:sz w:val="20"/>
          <w:szCs w:val="20"/>
        </w:rPr>
        <w:footnoteReference w:id="10"/>
      </w:r>
    </w:p>
    <w:p w:rsidR="00AF513D" w:rsidRDefault="00AF513D" w:rsidP="009A6D18">
      <w:pPr>
        <w:rPr>
          <w:sz w:val="20"/>
          <w:szCs w:val="20"/>
        </w:rPr>
      </w:pPr>
    </w:p>
    <w:p w:rsidR="00AF513D" w:rsidRDefault="00A02213" w:rsidP="009A6D18">
      <w:pPr>
        <w:rPr>
          <w:sz w:val="20"/>
          <w:szCs w:val="20"/>
        </w:rPr>
      </w:pPr>
      <w:r>
        <w:rPr>
          <w:sz w:val="20"/>
          <w:szCs w:val="20"/>
        </w:rPr>
        <w:lastRenderedPageBreak/>
        <w:t>In the ATA’s view,</w:t>
      </w:r>
      <w:r w:rsidR="00AF513D">
        <w:rPr>
          <w:sz w:val="20"/>
          <w:szCs w:val="20"/>
        </w:rPr>
        <w:t xml:space="preserve"> all four options have significant problems. The ATA </w:t>
      </w:r>
      <w:r>
        <w:rPr>
          <w:sz w:val="20"/>
          <w:szCs w:val="20"/>
        </w:rPr>
        <w:t xml:space="preserve">instead proposes </w:t>
      </w:r>
      <w:r w:rsidR="003C347A">
        <w:rPr>
          <w:sz w:val="20"/>
          <w:szCs w:val="20"/>
        </w:rPr>
        <w:t xml:space="preserve">an alternative approach that </w:t>
      </w:r>
      <w:r>
        <w:rPr>
          <w:sz w:val="20"/>
          <w:szCs w:val="20"/>
        </w:rPr>
        <w:t>would combine</w:t>
      </w:r>
      <w:r w:rsidR="003C347A">
        <w:rPr>
          <w:sz w:val="20"/>
          <w:szCs w:val="20"/>
        </w:rPr>
        <w:t xml:space="preserve"> the bes</w:t>
      </w:r>
      <w:r>
        <w:rPr>
          <w:sz w:val="20"/>
          <w:szCs w:val="20"/>
        </w:rPr>
        <w:t>t features of options 1, 2 and 4</w:t>
      </w:r>
      <w:r w:rsidR="003C347A">
        <w:rPr>
          <w:sz w:val="20"/>
          <w:szCs w:val="20"/>
        </w:rPr>
        <w:t xml:space="preserve"> with a substantial streamlining of the law.</w:t>
      </w:r>
    </w:p>
    <w:p w:rsidR="003C347A" w:rsidRDefault="003C347A" w:rsidP="009A6D18">
      <w:pPr>
        <w:rPr>
          <w:sz w:val="20"/>
          <w:szCs w:val="20"/>
        </w:rPr>
      </w:pPr>
    </w:p>
    <w:p w:rsidR="003C347A" w:rsidRDefault="003C347A" w:rsidP="009A6D18">
      <w:pPr>
        <w:rPr>
          <w:sz w:val="20"/>
          <w:szCs w:val="20"/>
        </w:rPr>
      </w:pPr>
    </w:p>
    <w:p w:rsidR="003C347A" w:rsidRPr="00C00755" w:rsidRDefault="003C347A" w:rsidP="00A02213">
      <w:pPr>
        <w:keepNext/>
        <w:rPr>
          <w:b/>
          <w:sz w:val="24"/>
          <w:szCs w:val="24"/>
        </w:rPr>
      </w:pPr>
      <w:r w:rsidRPr="00C00755">
        <w:rPr>
          <w:b/>
          <w:sz w:val="24"/>
          <w:szCs w:val="24"/>
        </w:rPr>
        <w:t>Option 1 – an overarching duty of care</w:t>
      </w:r>
    </w:p>
    <w:p w:rsidR="003C347A" w:rsidRDefault="003C347A" w:rsidP="00A02213">
      <w:pPr>
        <w:keepNext/>
        <w:rPr>
          <w:sz w:val="20"/>
          <w:szCs w:val="20"/>
        </w:rPr>
      </w:pPr>
    </w:p>
    <w:p w:rsidR="00C86344" w:rsidRDefault="00C86344" w:rsidP="00A02213">
      <w:pPr>
        <w:keepNext/>
        <w:rPr>
          <w:sz w:val="20"/>
          <w:szCs w:val="20"/>
        </w:rPr>
      </w:pPr>
      <w:r>
        <w:rPr>
          <w:sz w:val="20"/>
          <w:szCs w:val="20"/>
        </w:rPr>
        <w:t>Option 1 would amend the HVNL to include an overarching primary duty of care. As an example, the discussion paper proposes that the duty could read as follows:</w:t>
      </w:r>
    </w:p>
    <w:p w:rsidR="00C86344" w:rsidRDefault="00C86344" w:rsidP="009A6D18">
      <w:pPr>
        <w:rPr>
          <w:sz w:val="20"/>
          <w:szCs w:val="20"/>
        </w:rPr>
      </w:pPr>
    </w:p>
    <w:p w:rsidR="00C86344" w:rsidRDefault="00C86344" w:rsidP="00C86344">
      <w:pPr>
        <w:ind w:left="1134" w:right="1134"/>
        <w:rPr>
          <w:sz w:val="20"/>
          <w:szCs w:val="20"/>
        </w:rPr>
      </w:pPr>
      <w:r>
        <w:rPr>
          <w:sz w:val="20"/>
          <w:szCs w:val="20"/>
        </w:rPr>
        <w:t>A person conducting a transport undertaking must so far as reasonably practicable ensure that their actions or omissions do not endanger the health or safety of any person.</w:t>
      </w:r>
      <w:r w:rsidR="00A02213">
        <w:rPr>
          <w:rStyle w:val="FootnoteReference"/>
          <w:sz w:val="20"/>
          <w:szCs w:val="20"/>
        </w:rPr>
        <w:footnoteReference w:id="11"/>
      </w:r>
    </w:p>
    <w:p w:rsidR="00C86344" w:rsidRDefault="00C86344" w:rsidP="009A6D18">
      <w:pPr>
        <w:rPr>
          <w:sz w:val="20"/>
          <w:szCs w:val="20"/>
        </w:rPr>
      </w:pPr>
    </w:p>
    <w:p w:rsidR="00C86344" w:rsidRDefault="00A02213" w:rsidP="009A6D18">
      <w:pPr>
        <w:rPr>
          <w:sz w:val="20"/>
          <w:szCs w:val="20"/>
        </w:rPr>
      </w:pPr>
      <w:r>
        <w:rPr>
          <w:sz w:val="20"/>
          <w:szCs w:val="20"/>
        </w:rPr>
        <w:t>T</w:t>
      </w:r>
      <w:r w:rsidR="00C86344">
        <w:rPr>
          <w:sz w:val="20"/>
          <w:szCs w:val="20"/>
        </w:rPr>
        <w:t>he definition of a ‘person conducting a transport undertaking’ could be:</w:t>
      </w:r>
    </w:p>
    <w:p w:rsidR="003C347A" w:rsidRDefault="003C347A" w:rsidP="009A6D18">
      <w:pPr>
        <w:rPr>
          <w:sz w:val="20"/>
          <w:szCs w:val="20"/>
        </w:rPr>
      </w:pPr>
    </w:p>
    <w:p w:rsidR="00C86344" w:rsidRDefault="00C86344" w:rsidP="00C86344">
      <w:pPr>
        <w:ind w:left="1134" w:right="1134"/>
        <w:rPr>
          <w:sz w:val="20"/>
          <w:szCs w:val="20"/>
        </w:rPr>
      </w:pPr>
      <w:r>
        <w:rPr>
          <w:sz w:val="20"/>
          <w:szCs w:val="20"/>
        </w:rPr>
        <w:lastRenderedPageBreak/>
        <w:t>Any person whose acts or omissions affect, or exert influence on, on-road activities, or do affect or which are likely to affect the way on-road services are delivered.</w:t>
      </w:r>
      <w:r w:rsidR="00A02213">
        <w:rPr>
          <w:rStyle w:val="FootnoteReference"/>
          <w:sz w:val="20"/>
          <w:szCs w:val="20"/>
        </w:rPr>
        <w:footnoteReference w:id="12"/>
      </w:r>
    </w:p>
    <w:p w:rsidR="00EB2AB6" w:rsidRDefault="00EB2AB6" w:rsidP="009A6D18">
      <w:pPr>
        <w:rPr>
          <w:sz w:val="20"/>
          <w:szCs w:val="20"/>
        </w:rPr>
      </w:pPr>
    </w:p>
    <w:p w:rsidR="00EB2AB6" w:rsidRDefault="005D3014" w:rsidP="009A6D18">
      <w:pPr>
        <w:rPr>
          <w:sz w:val="20"/>
          <w:szCs w:val="20"/>
        </w:rPr>
      </w:pPr>
      <w:r>
        <w:rPr>
          <w:sz w:val="20"/>
          <w:szCs w:val="20"/>
        </w:rPr>
        <w:t xml:space="preserve">The proposed duty would be extremely broad. It would essentially replicate the primary duty of care in the </w:t>
      </w:r>
      <w:r w:rsidR="00F920F7">
        <w:rPr>
          <w:sz w:val="20"/>
          <w:szCs w:val="20"/>
        </w:rPr>
        <w:t xml:space="preserve">model </w:t>
      </w:r>
      <w:r>
        <w:rPr>
          <w:sz w:val="20"/>
          <w:szCs w:val="20"/>
        </w:rPr>
        <w:t xml:space="preserve">Work Health and Safety Act. It would generate considerable confusion about where a business’s duties would start and stop, because it would impose </w:t>
      </w:r>
      <w:r w:rsidR="00EB2AB6">
        <w:rPr>
          <w:sz w:val="20"/>
          <w:szCs w:val="20"/>
        </w:rPr>
        <w:t>obligations well beyond fatigue, speed, MDLR</w:t>
      </w:r>
      <w:r w:rsidR="00F920F7">
        <w:rPr>
          <w:sz w:val="20"/>
          <w:szCs w:val="20"/>
        </w:rPr>
        <w:t>,</w:t>
      </w:r>
      <w:r w:rsidR="00EB2AB6">
        <w:rPr>
          <w:sz w:val="20"/>
          <w:szCs w:val="20"/>
        </w:rPr>
        <w:t xml:space="preserve"> and vehicle standards a</w:t>
      </w:r>
      <w:r>
        <w:rPr>
          <w:sz w:val="20"/>
          <w:szCs w:val="20"/>
        </w:rPr>
        <w:t>nd safety.</w:t>
      </w:r>
    </w:p>
    <w:p w:rsidR="00EB2AB6" w:rsidRDefault="00EB2AB6" w:rsidP="009A6D18">
      <w:pPr>
        <w:rPr>
          <w:sz w:val="20"/>
          <w:szCs w:val="20"/>
        </w:rPr>
      </w:pPr>
    </w:p>
    <w:p w:rsidR="00C1557B" w:rsidRDefault="00EB2AB6" w:rsidP="00C1557B">
      <w:pPr>
        <w:rPr>
          <w:sz w:val="20"/>
          <w:szCs w:val="20"/>
        </w:rPr>
      </w:pPr>
      <w:r>
        <w:rPr>
          <w:sz w:val="20"/>
          <w:szCs w:val="20"/>
        </w:rPr>
        <w:t xml:space="preserve">The definition of ‘a person conducting a transport undertaking’ </w:t>
      </w:r>
      <w:r w:rsidR="005D3014">
        <w:rPr>
          <w:sz w:val="20"/>
          <w:szCs w:val="20"/>
        </w:rPr>
        <w:t xml:space="preserve">would also be </w:t>
      </w:r>
      <w:r w:rsidR="00D45D92">
        <w:rPr>
          <w:sz w:val="20"/>
          <w:szCs w:val="20"/>
        </w:rPr>
        <w:t xml:space="preserve">extremely broad. </w:t>
      </w:r>
      <w:r w:rsidR="00F920F7">
        <w:rPr>
          <w:sz w:val="20"/>
          <w:szCs w:val="20"/>
        </w:rPr>
        <w:t xml:space="preserve">The definition </w:t>
      </w:r>
      <w:r w:rsidR="00C1557B">
        <w:rPr>
          <w:sz w:val="20"/>
          <w:szCs w:val="20"/>
        </w:rPr>
        <w:t>would go well beyond the current chain of responsibility parties to include, for example, accreditation schemes and registered training organisations providing nationally recognised training in CoR. There is no evidence that extending the chain of responsibility to these additional and undefined parties would improve safety or compliance.</w:t>
      </w:r>
    </w:p>
    <w:p w:rsidR="00C1557B" w:rsidRDefault="00C1557B" w:rsidP="00C1557B">
      <w:pPr>
        <w:rPr>
          <w:sz w:val="20"/>
          <w:szCs w:val="20"/>
        </w:rPr>
      </w:pPr>
    </w:p>
    <w:p w:rsidR="00EB2AB6" w:rsidRDefault="005D3014" w:rsidP="009A6D18">
      <w:pPr>
        <w:rPr>
          <w:sz w:val="20"/>
          <w:szCs w:val="20"/>
        </w:rPr>
      </w:pPr>
      <w:r>
        <w:rPr>
          <w:sz w:val="20"/>
          <w:szCs w:val="20"/>
        </w:rPr>
        <w:lastRenderedPageBreak/>
        <w:t xml:space="preserve">Despite all these </w:t>
      </w:r>
      <w:r w:rsidR="00822D2A">
        <w:rPr>
          <w:sz w:val="20"/>
          <w:szCs w:val="20"/>
        </w:rPr>
        <w:t>problems</w:t>
      </w:r>
      <w:r>
        <w:rPr>
          <w:sz w:val="20"/>
          <w:szCs w:val="20"/>
        </w:rPr>
        <w:t xml:space="preserve">, </w:t>
      </w:r>
      <w:r w:rsidR="00C8722D">
        <w:rPr>
          <w:sz w:val="20"/>
          <w:szCs w:val="20"/>
        </w:rPr>
        <w:t xml:space="preserve">option </w:t>
      </w:r>
      <w:r>
        <w:rPr>
          <w:sz w:val="20"/>
          <w:szCs w:val="20"/>
        </w:rPr>
        <w:t xml:space="preserve">1 </w:t>
      </w:r>
      <w:r w:rsidR="00C8722D">
        <w:rPr>
          <w:sz w:val="20"/>
          <w:szCs w:val="20"/>
        </w:rPr>
        <w:t>would not r</w:t>
      </w:r>
      <w:r>
        <w:rPr>
          <w:sz w:val="20"/>
          <w:szCs w:val="20"/>
        </w:rPr>
        <w:t>educe</w:t>
      </w:r>
      <w:r w:rsidR="00C8722D">
        <w:rPr>
          <w:sz w:val="20"/>
          <w:szCs w:val="20"/>
        </w:rPr>
        <w:t xml:space="preserve"> the complexity of the l</w:t>
      </w:r>
      <w:r>
        <w:rPr>
          <w:sz w:val="20"/>
          <w:szCs w:val="20"/>
        </w:rPr>
        <w:t xml:space="preserve">aw. </w:t>
      </w:r>
      <w:r w:rsidR="00822D2A">
        <w:rPr>
          <w:sz w:val="20"/>
          <w:szCs w:val="20"/>
        </w:rPr>
        <w:t xml:space="preserve">It would not reduce the level of duplication. </w:t>
      </w:r>
      <w:r>
        <w:rPr>
          <w:sz w:val="20"/>
          <w:szCs w:val="20"/>
        </w:rPr>
        <w:t>On the contrary: it would make the law even more complex and even less consistent.</w:t>
      </w:r>
    </w:p>
    <w:p w:rsidR="00EB2AB6" w:rsidRDefault="00EB2AB6" w:rsidP="009A6D18">
      <w:pPr>
        <w:rPr>
          <w:sz w:val="20"/>
          <w:szCs w:val="20"/>
        </w:rPr>
      </w:pPr>
    </w:p>
    <w:p w:rsidR="00C86344" w:rsidRDefault="00C86344" w:rsidP="009A6D18">
      <w:pPr>
        <w:rPr>
          <w:sz w:val="20"/>
          <w:szCs w:val="20"/>
        </w:rPr>
      </w:pPr>
    </w:p>
    <w:p w:rsidR="003C347A" w:rsidRPr="00C00755" w:rsidRDefault="003C347A" w:rsidP="005A5571">
      <w:pPr>
        <w:keepNext/>
        <w:rPr>
          <w:b/>
          <w:sz w:val="24"/>
          <w:szCs w:val="24"/>
        </w:rPr>
      </w:pPr>
      <w:r w:rsidRPr="00C00755">
        <w:rPr>
          <w:b/>
          <w:sz w:val="24"/>
          <w:szCs w:val="24"/>
        </w:rPr>
        <w:t>Option 2 – chapter specific general duties</w:t>
      </w:r>
    </w:p>
    <w:p w:rsidR="003C347A" w:rsidRDefault="003C347A" w:rsidP="005A5571">
      <w:pPr>
        <w:keepNext/>
        <w:rPr>
          <w:sz w:val="20"/>
          <w:szCs w:val="20"/>
        </w:rPr>
      </w:pPr>
    </w:p>
    <w:p w:rsidR="003C347A" w:rsidRDefault="00C8722D" w:rsidP="005A5571">
      <w:pPr>
        <w:keepNext/>
        <w:rPr>
          <w:sz w:val="20"/>
          <w:szCs w:val="20"/>
        </w:rPr>
      </w:pPr>
      <w:r>
        <w:rPr>
          <w:sz w:val="20"/>
          <w:szCs w:val="20"/>
        </w:rPr>
        <w:t>Option 2 proposes the inclusion of high level duties within the chapters covering speed, fatigue, and mass, dimension and loading. The discussion paper notes that a chapter based duty could also be included in the vehicle standards chapter.</w:t>
      </w:r>
      <w:r w:rsidR="00DC6E6F">
        <w:rPr>
          <w:rStyle w:val="FootnoteReference"/>
          <w:sz w:val="20"/>
          <w:szCs w:val="20"/>
        </w:rPr>
        <w:footnoteReference w:id="13"/>
      </w:r>
    </w:p>
    <w:p w:rsidR="00C8722D" w:rsidRDefault="00C8722D" w:rsidP="009A6D18">
      <w:pPr>
        <w:rPr>
          <w:sz w:val="20"/>
          <w:szCs w:val="20"/>
        </w:rPr>
      </w:pPr>
    </w:p>
    <w:p w:rsidR="00C8722D" w:rsidRDefault="00C8722D" w:rsidP="009A6D18">
      <w:pPr>
        <w:rPr>
          <w:sz w:val="20"/>
          <w:szCs w:val="20"/>
        </w:rPr>
      </w:pPr>
      <w:r>
        <w:rPr>
          <w:sz w:val="20"/>
          <w:szCs w:val="20"/>
        </w:rPr>
        <w:t>The ATA agrees with the discussion paper that this approach would capture much of the advantage of a primary duty of care. It would impose general obligations but restrict the focus of each duty to the specific matters covered by the law.</w:t>
      </w:r>
    </w:p>
    <w:p w:rsidR="00C8722D" w:rsidRDefault="00C8722D" w:rsidP="009A6D18">
      <w:pPr>
        <w:rPr>
          <w:sz w:val="20"/>
          <w:szCs w:val="20"/>
        </w:rPr>
      </w:pPr>
    </w:p>
    <w:p w:rsidR="00C8722D" w:rsidRDefault="00C8722D" w:rsidP="009A6D18">
      <w:pPr>
        <w:rPr>
          <w:sz w:val="20"/>
          <w:szCs w:val="20"/>
        </w:rPr>
      </w:pPr>
      <w:r>
        <w:rPr>
          <w:sz w:val="20"/>
          <w:szCs w:val="20"/>
        </w:rPr>
        <w:t xml:space="preserve">But the discussion paper also highlights </w:t>
      </w:r>
      <w:r w:rsidR="00DC6E6F">
        <w:rPr>
          <w:sz w:val="20"/>
          <w:szCs w:val="20"/>
        </w:rPr>
        <w:t>the problem</w:t>
      </w:r>
      <w:r w:rsidR="00F920F7">
        <w:rPr>
          <w:sz w:val="20"/>
          <w:szCs w:val="20"/>
        </w:rPr>
        <w:t>s</w:t>
      </w:r>
      <w:r w:rsidR="00DC6E6F">
        <w:rPr>
          <w:sz w:val="20"/>
          <w:szCs w:val="20"/>
        </w:rPr>
        <w:t xml:space="preserve"> with the option</w:t>
      </w:r>
      <w:r>
        <w:rPr>
          <w:sz w:val="20"/>
          <w:szCs w:val="20"/>
        </w:rPr>
        <w:t>:</w:t>
      </w:r>
    </w:p>
    <w:p w:rsidR="00C8722D" w:rsidRDefault="00C8722D" w:rsidP="009A6D18">
      <w:pPr>
        <w:rPr>
          <w:sz w:val="20"/>
          <w:szCs w:val="20"/>
        </w:rPr>
      </w:pPr>
    </w:p>
    <w:p w:rsidR="00C8722D" w:rsidRDefault="005A5571" w:rsidP="005A5571">
      <w:pPr>
        <w:ind w:left="1134" w:right="1134"/>
        <w:rPr>
          <w:sz w:val="20"/>
          <w:szCs w:val="20"/>
        </w:rPr>
      </w:pPr>
      <w:r>
        <w:rPr>
          <w:sz w:val="20"/>
          <w:szCs w:val="20"/>
        </w:rPr>
        <w:lastRenderedPageBreak/>
        <w:t>…while chapter based duties can be more specific, numerous such duties can result in repetitive, lengthy legislation that necessitates the creation of complex guidelines (…) The inherent risk of a chapter-based approach is that by duplicating processes throughout different chapters the creation of clear, generic guidelines become progressively more challenging. Further, duplicated provisions increase compliance costs.</w:t>
      </w:r>
      <w:r>
        <w:rPr>
          <w:rStyle w:val="FootnoteReference"/>
          <w:sz w:val="20"/>
          <w:szCs w:val="20"/>
        </w:rPr>
        <w:footnoteReference w:id="14"/>
      </w:r>
    </w:p>
    <w:p w:rsidR="00C8722D" w:rsidRDefault="00C8722D" w:rsidP="009A6D18">
      <w:pPr>
        <w:rPr>
          <w:sz w:val="20"/>
          <w:szCs w:val="20"/>
        </w:rPr>
      </w:pPr>
    </w:p>
    <w:p w:rsidR="005A5571" w:rsidRDefault="00DC6E6F" w:rsidP="009A6D18">
      <w:pPr>
        <w:rPr>
          <w:sz w:val="20"/>
          <w:szCs w:val="20"/>
        </w:rPr>
      </w:pPr>
      <w:r>
        <w:rPr>
          <w:sz w:val="20"/>
          <w:szCs w:val="20"/>
        </w:rPr>
        <w:t>As a result</w:t>
      </w:r>
      <w:r w:rsidR="005A5571">
        <w:rPr>
          <w:sz w:val="20"/>
          <w:szCs w:val="20"/>
        </w:rPr>
        <w:t xml:space="preserve">, the ATA does not support option 2. </w:t>
      </w:r>
    </w:p>
    <w:p w:rsidR="005A5571" w:rsidRDefault="005A5571" w:rsidP="009A6D18">
      <w:pPr>
        <w:rPr>
          <w:sz w:val="20"/>
          <w:szCs w:val="20"/>
        </w:rPr>
      </w:pPr>
    </w:p>
    <w:p w:rsidR="00C8722D" w:rsidRDefault="00C8722D" w:rsidP="009A6D18">
      <w:pPr>
        <w:rPr>
          <w:sz w:val="20"/>
          <w:szCs w:val="20"/>
        </w:rPr>
      </w:pPr>
    </w:p>
    <w:p w:rsidR="003C347A" w:rsidRPr="00C00755" w:rsidRDefault="003C347A" w:rsidP="009A6D18">
      <w:pPr>
        <w:rPr>
          <w:b/>
          <w:sz w:val="24"/>
          <w:szCs w:val="24"/>
        </w:rPr>
      </w:pPr>
      <w:r w:rsidRPr="00C00755">
        <w:rPr>
          <w:b/>
          <w:sz w:val="24"/>
          <w:szCs w:val="24"/>
        </w:rPr>
        <w:t xml:space="preserve">Option 3 – adding </w:t>
      </w:r>
      <w:r w:rsidR="00F920F7">
        <w:rPr>
          <w:b/>
          <w:sz w:val="24"/>
          <w:szCs w:val="24"/>
        </w:rPr>
        <w:t>additional specific obligations</w:t>
      </w:r>
    </w:p>
    <w:p w:rsidR="003C347A" w:rsidRDefault="003C347A" w:rsidP="009A6D18">
      <w:pPr>
        <w:rPr>
          <w:sz w:val="20"/>
          <w:szCs w:val="20"/>
        </w:rPr>
      </w:pPr>
    </w:p>
    <w:p w:rsidR="005A5571" w:rsidRDefault="005A5571" w:rsidP="009A6D18">
      <w:pPr>
        <w:rPr>
          <w:sz w:val="20"/>
          <w:szCs w:val="20"/>
        </w:rPr>
      </w:pPr>
      <w:r>
        <w:rPr>
          <w:sz w:val="20"/>
          <w:szCs w:val="20"/>
        </w:rPr>
        <w:t>Option 3 would see the HVNL include additional obligations and provisions to ‘address specific risks and behaviours.’</w:t>
      </w:r>
      <w:r>
        <w:rPr>
          <w:rStyle w:val="FootnoteReference"/>
          <w:sz w:val="20"/>
          <w:szCs w:val="20"/>
        </w:rPr>
        <w:footnoteReference w:id="15"/>
      </w:r>
    </w:p>
    <w:p w:rsidR="005A5571" w:rsidRDefault="005A5571" w:rsidP="009A6D18">
      <w:pPr>
        <w:rPr>
          <w:sz w:val="20"/>
          <w:szCs w:val="20"/>
        </w:rPr>
      </w:pPr>
    </w:p>
    <w:p w:rsidR="005A5571" w:rsidRDefault="00DC6E6F" w:rsidP="009A6D18">
      <w:pPr>
        <w:rPr>
          <w:sz w:val="20"/>
          <w:szCs w:val="20"/>
        </w:rPr>
      </w:pPr>
      <w:r>
        <w:rPr>
          <w:sz w:val="20"/>
          <w:szCs w:val="20"/>
        </w:rPr>
        <w:t>T</w:t>
      </w:r>
      <w:r w:rsidR="005A5571">
        <w:rPr>
          <w:sz w:val="20"/>
          <w:szCs w:val="20"/>
        </w:rPr>
        <w:t xml:space="preserve">he HVNL is already </w:t>
      </w:r>
      <w:r>
        <w:rPr>
          <w:sz w:val="20"/>
          <w:szCs w:val="20"/>
        </w:rPr>
        <w:t xml:space="preserve">too </w:t>
      </w:r>
      <w:r w:rsidR="005A5571">
        <w:rPr>
          <w:sz w:val="20"/>
          <w:szCs w:val="20"/>
        </w:rPr>
        <w:t>complex. I</w:t>
      </w:r>
      <w:r>
        <w:rPr>
          <w:sz w:val="20"/>
          <w:szCs w:val="20"/>
        </w:rPr>
        <w:t>n the ATA’s view, i</w:t>
      </w:r>
      <w:r w:rsidR="005A5571">
        <w:rPr>
          <w:sz w:val="20"/>
          <w:szCs w:val="20"/>
        </w:rPr>
        <w:t xml:space="preserve">t needs to be simplified, not made longer and more </w:t>
      </w:r>
      <w:r>
        <w:rPr>
          <w:sz w:val="20"/>
          <w:szCs w:val="20"/>
        </w:rPr>
        <w:t>complicated</w:t>
      </w:r>
      <w:r w:rsidR="005A5571">
        <w:rPr>
          <w:sz w:val="20"/>
          <w:szCs w:val="20"/>
        </w:rPr>
        <w:t xml:space="preserve">. </w:t>
      </w:r>
      <w:r>
        <w:rPr>
          <w:sz w:val="20"/>
          <w:szCs w:val="20"/>
        </w:rPr>
        <w:t>O</w:t>
      </w:r>
      <w:r w:rsidR="005A5571">
        <w:rPr>
          <w:sz w:val="20"/>
          <w:szCs w:val="20"/>
        </w:rPr>
        <w:t>ption 3 should not be pursued further.</w:t>
      </w:r>
    </w:p>
    <w:p w:rsidR="005A5571" w:rsidRDefault="005A5571" w:rsidP="009A6D18">
      <w:pPr>
        <w:rPr>
          <w:sz w:val="20"/>
          <w:szCs w:val="20"/>
        </w:rPr>
      </w:pPr>
    </w:p>
    <w:p w:rsidR="003C347A" w:rsidRDefault="003C347A" w:rsidP="009A6D18">
      <w:pPr>
        <w:rPr>
          <w:sz w:val="20"/>
          <w:szCs w:val="20"/>
        </w:rPr>
      </w:pPr>
    </w:p>
    <w:p w:rsidR="003C347A" w:rsidRPr="00C00755" w:rsidRDefault="003C347A" w:rsidP="00C00755">
      <w:pPr>
        <w:rPr>
          <w:b/>
          <w:sz w:val="24"/>
          <w:szCs w:val="24"/>
        </w:rPr>
      </w:pPr>
      <w:r w:rsidRPr="00C00755">
        <w:rPr>
          <w:b/>
          <w:sz w:val="24"/>
          <w:szCs w:val="24"/>
        </w:rPr>
        <w:t>Option 4 – providing better operational/policy guidelines and better guidance material to operators</w:t>
      </w:r>
    </w:p>
    <w:p w:rsidR="003C347A" w:rsidRDefault="003C347A" w:rsidP="009A6D18">
      <w:pPr>
        <w:rPr>
          <w:sz w:val="20"/>
          <w:szCs w:val="20"/>
        </w:rPr>
      </w:pPr>
    </w:p>
    <w:p w:rsidR="00D50E1E" w:rsidRDefault="0069307D" w:rsidP="009A6D18">
      <w:pPr>
        <w:rPr>
          <w:sz w:val="20"/>
          <w:szCs w:val="20"/>
        </w:rPr>
      </w:pPr>
      <w:r>
        <w:rPr>
          <w:sz w:val="20"/>
          <w:szCs w:val="20"/>
        </w:rPr>
        <w:t>There is a</w:t>
      </w:r>
      <w:r w:rsidR="00D50E1E">
        <w:rPr>
          <w:sz w:val="20"/>
          <w:szCs w:val="20"/>
        </w:rPr>
        <w:t>n urgent</w:t>
      </w:r>
      <w:r>
        <w:rPr>
          <w:sz w:val="20"/>
          <w:szCs w:val="20"/>
        </w:rPr>
        <w:t xml:space="preserve"> need for better CoR g</w:t>
      </w:r>
      <w:r w:rsidR="00D50E1E">
        <w:rPr>
          <w:sz w:val="20"/>
          <w:szCs w:val="20"/>
        </w:rPr>
        <w:t>uidance mat</w:t>
      </w:r>
      <w:r w:rsidR="00F920F7">
        <w:rPr>
          <w:sz w:val="20"/>
          <w:szCs w:val="20"/>
        </w:rPr>
        <w:t>erial for operators; however, this</w:t>
      </w:r>
      <w:r w:rsidR="00D50E1E">
        <w:rPr>
          <w:sz w:val="20"/>
          <w:szCs w:val="20"/>
        </w:rPr>
        <w:t xml:space="preserve"> is not an option that </w:t>
      </w:r>
      <w:r w:rsidR="00E132F0">
        <w:rPr>
          <w:sz w:val="20"/>
          <w:szCs w:val="20"/>
        </w:rPr>
        <w:t>can</w:t>
      </w:r>
      <w:r w:rsidR="00D50E1E">
        <w:rPr>
          <w:sz w:val="20"/>
          <w:szCs w:val="20"/>
        </w:rPr>
        <w:t xml:space="preserve"> be implemented by itself</w:t>
      </w:r>
      <w:r w:rsidR="00E132F0">
        <w:rPr>
          <w:sz w:val="20"/>
          <w:szCs w:val="20"/>
        </w:rPr>
        <w:t xml:space="preserve"> and is not an alternative to amending the law</w:t>
      </w:r>
      <w:r w:rsidR="00D50E1E">
        <w:rPr>
          <w:sz w:val="20"/>
          <w:szCs w:val="20"/>
        </w:rPr>
        <w:t>.</w:t>
      </w:r>
    </w:p>
    <w:p w:rsidR="00D50E1E" w:rsidRDefault="00D50E1E" w:rsidP="009A6D18">
      <w:pPr>
        <w:rPr>
          <w:sz w:val="20"/>
          <w:szCs w:val="20"/>
        </w:rPr>
      </w:pPr>
    </w:p>
    <w:p w:rsidR="00D50E1E" w:rsidRDefault="00E132F0" w:rsidP="009A6D18">
      <w:pPr>
        <w:rPr>
          <w:sz w:val="20"/>
          <w:szCs w:val="20"/>
        </w:rPr>
      </w:pPr>
      <w:r>
        <w:rPr>
          <w:sz w:val="20"/>
          <w:szCs w:val="20"/>
        </w:rPr>
        <w:t xml:space="preserve">The production of </w:t>
      </w:r>
      <w:r w:rsidR="00D50E1E">
        <w:rPr>
          <w:sz w:val="20"/>
          <w:szCs w:val="20"/>
        </w:rPr>
        <w:t xml:space="preserve">better guidance material </w:t>
      </w:r>
      <w:r w:rsidR="00822D2A">
        <w:rPr>
          <w:sz w:val="20"/>
          <w:szCs w:val="20"/>
        </w:rPr>
        <w:t>can</w:t>
      </w:r>
      <w:r w:rsidR="00D50E1E">
        <w:rPr>
          <w:sz w:val="20"/>
          <w:szCs w:val="20"/>
        </w:rPr>
        <w:t xml:space="preserve">not </w:t>
      </w:r>
      <w:r>
        <w:rPr>
          <w:sz w:val="20"/>
          <w:szCs w:val="20"/>
        </w:rPr>
        <w:t>reduce the com</w:t>
      </w:r>
      <w:r w:rsidR="00853F81">
        <w:rPr>
          <w:sz w:val="20"/>
          <w:szCs w:val="20"/>
        </w:rPr>
        <w:t>plexity of the law or address its</w:t>
      </w:r>
      <w:r>
        <w:rPr>
          <w:sz w:val="20"/>
          <w:szCs w:val="20"/>
        </w:rPr>
        <w:t xml:space="preserve"> inconsistencies.</w:t>
      </w:r>
      <w:r w:rsidR="00A70F86">
        <w:rPr>
          <w:sz w:val="20"/>
          <w:szCs w:val="20"/>
        </w:rPr>
        <w:t xml:space="preserve"> In fact, the ATA’s experience is that </w:t>
      </w:r>
      <w:r w:rsidR="00D37F93">
        <w:rPr>
          <w:sz w:val="20"/>
          <w:szCs w:val="20"/>
        </w:rPr>
        <w:t xml:space="preserve">complex </w:t>
      </w:r>
      <w:r w:rsidR="00A70F86">
        <w:rPr>
          <w:sz w:val="20"/>
          <w:szCs w:val="20"/>
        </w:rPr>
        <w:t xml:space="preserve">and inconsistent legislation leads to </w:t>
      </w:r>
      <w:r w:rsidR="00D37F93">
        <w:rPr>
          <w:sz w:val="20"/>
          <w:szCs w:val="20"/>
        </w:rPr>
        <w:t xml:space="preserve">complex </w:t>
      </w:r>
      <w:r w:rsidR="00A70F86">
        <w:rPr>
          <w:sz w:val="20"/>
          <w:szCs w:val="20"/>
        </w:rPr>
        <w:t>and inconsistent guidance material.</w:t>
      </w:r>
    </w:p>
    <w:p w:rsidR="0069307D" w:rsidRDefault="0069307D" w:rsidP="009A6D18">
      <w:pPr>
        <w:rPr>
          <w:sz w:val="20"/>
          <w:szCs w:val="20"/>
        </w:rPr>
      </w:pPr>
    </w:p>
    <w:p w:rsidR="003C347A" w:rsidRPr="00D82594" w:rsidRDefault="003C347A" w:rsidP="009A6D18">
      <w:pPr>
        <w:rPr>
          <w:sz w:val="20"/>
          <w:szCs w:val="20"/>
        </w:rPr>
      </w:pPr>
    </w:p>
    <w:p w:rsidR="00BB4E99" w:rsidRPr="00166926" w:rsidRDefault="007D2632" w:rsidP="00166926">
      <w:pPr>
        <w:pStyle w:val="Heading1"/>
        <w:ind w:left="357" w:hanging="357"/>
        <w:rPr>
          <w:rFonts w:asciiTheme="minorHAnsi" w:hAnsiTheme="minorHAnsi"/>
          <w:sz w:val="24"/>
          <w:szCs w:val="24"/>
        </w:rPr>
      </w:pPr>
      <w:bookmarkStart w:id="5" w:name="_Toc410388149"/>
      <w:r>
        <w:rPr>
          <w:rFonts w:asciiTheme="minorHAnsi" w:hAnsiTheme="minorHAnsi"/>
          <w:sz w:val="24"/>
          <w:szCs w:val="24"/>
        </w:rPr>
        <w:t>ATA proposal</w:t>
      </w:r>
      <w:bookmarkEnd w:id="5"/>
    </w:p>
    <w:p w:rsidR="00593B10" w:rsidRDefault="00593B10" w:rsidP="00A26CD2">
      <w:pPr>
        <w:rPr>
          <w:rFonts w:asciiTheme="minorHAnsi" w:hAnsiTheme="minorHAnsi" w:cs="Arial"/>
          <w:sz w:val="20"/>
          <w:szCs w:val="20"/>
        </w:rPr>
      </w:pPr>
    </w:p>
    <w:p w:rsidR="00EF681E" w:rsidRDefault="008D4EFD" w:rsidP="008D4EFD">
      <w:pPr>
        <w:rPr>
          <w:rFonts w:asciiTheme="minorHAnsi" w:hAnsiTheme="minorHAnsi" w:cs="Arial"/>
          <w:sz w:val="20"/>
          <w:szCs w:val="20"/>
        </w:rPr>
      </w:pPr>
      <w:r>
        <w:rPr>
          <w:rFonts w:asciiTheme="minorHAnsi" w:hAnsiTheme="minorHAnsi" w:cs="Arial"/>
          <w:sz w:val="20"/>
          <w:szCs w:val="20"/>
        </w:rPr>
        <w:t>Sectio</w:t>
      </w:r>
      <w:r w:rsidR="00F920F7">
        <w:rPr>
          <w:rFonts w:asciiTheme="minorHAnsi" w:hAnsiTheme="minorHAnsi" w:cs="Arial"/>
          <w:sz w:val="20"/>
          <w:szCs w:val="20"/>
        </w:rPr>
        <w:t>n 5 of this submission concludes</w:t>
      </w:r>
      <w:r>
        <w:rPr>
          <w:rFonts w:asciiTheme="minorHAnsi" w:hAnsiTheme="minorHAnsi" w:cs="Arial"/>
          <w:sz w:val="20"/>
          <w:szCs w:val="20"/>
        </w:rPr>
        <w:t xml:space="preserve"> that none of the options </w:t>
      </w:r>
      <w:r w:rsidR="00EF681E">
        <w:rPr>
          <w:rFonts w:asciiTheme="minorHAnsi" w:hAnsiTheme="minorHAnsi" w:cs="Arial"/>
          <w:sz w:val="20"/>
          <w:szCs w:val="20"/>
        </w:rPr>
        <w:t>in the discussion paper fully me</w:t>
      </w:r>
      <w:r w:rsidR="00F920F7">
        <w:rPr>
          <w:rFonts w:asciiTheme="minorHAnsi" w:hAnsiTheme="minorHAnsi" w:cs="Arial"/>
          <w:sz w:val="20"/>
          <w:szCs w:val="20"/>
        </w:rPr>
        <w:t>e</w:t>
      </w:r>
      <w:r w:rsidR="00EF681E">
        <w:rPr>
          <w:rFonts w:asciiTheme="minorHAnsi" w:hAnsiTheme="minorHAnsi" w:cs="Arial"/>
          <w:sz w:val="20"/>
          <w:szCs w:val="20"/>
        </w:rPr>
        <w:t xml:space="preserve">t the industry’s concerns about the HVNL. The ATA recognises the value of including </w:t>
      </w:r>
      <w:r w:rsidR="0045733E">
        <w:rPr>
          <w:rFonts w:asciiTheme="minorHAnsi" w:hAnsiTheme="minorHAnsi" w:cs="Arial"/>
          <w:sz w:val="20"/>
          <w:szCs w:val="20"/>
        </w:rPr>
        <w:t xml:space="preserve">chapter-specific style </w:t>
      </w:r>
      <w:r w:rsidR="00EF681E">
        <w:rPr>
          <w:rFonts w:asciiTheme="minorHAnsi" w:hAnsiTheme="minorHAnsi" w:cs="Arial"/>
          <w:sz w:val="20"/>
          <w:szCs w:val="20"/>
        </w:rPr>
        <w:t xml:space="preserve">duties in the </w:t>
      </w:r>
      <w:r w:rsidR="0045733E">
        <w:rPr>
          <w:rFonts w:asciiTheme="minorHAnsi" w:hAnsiTheme="minorHAnsi" w:cs="Arial"/>
          <w:sz w:val="20"/>
          <w:szCs w:val="20"/>
        </w:rPr>
        <w:t>law</w:t>
      </w:r>
      <w:r w:rsidR="00EF681E">
        <w:rPr>
          <w:rFonts w:asciiTheme="minorHAnsi" w:hAnsiTheme="minorHAnsi" w:cs="Arial"/>
          <w:sz w:val="20"/>
          <w:szCs w:val="20"/>
        </w:rPr>
        <w:t xml:space="preserve">, but adding them to its existing structure would </w:t>
      </w:r>
      <w:r w:rsidR="0045733E">
        <w:rPr>
          <w:rFonts w:asciiTheme="minorHAnsi" w:hAnsiTheme="minorHAnsi" w:cs="Arial"/>
          <w:sz w:val="20"/>
          <w:szCs w:val="20"/>
        </w:rPr>
        <w:t>make a complex and inconsistent legislative scheme even more complex</w:t>
      </w:r>
      <w:r w:rsidR="00EF681E">
        <w:rPr>
          <w:rFonts w:asciiTheme="minorHAnsi" w:hAnsiTheme="minorHAnsi" w:cs="Arial"/>
          <w:sz w:val="20"/>
          <w:szCs w:val="20"/>
        </w:rPr>
        <w:t>.</w:t>
      </w:r>
    </w:p>
    <w:p w:rsidR="00EF681E" w:rsidRDefault="00EF681E" w:rsidP="008D4EFD">
      <w:pPr>
        <w:rPr>
          <w:rFonts w:asciiTheme="minorHAnsi" w:hAnsiTheme="minorHAnsi" w:cs="Arial"/>
          <w:sz w:val="20"/>
          <w:szCs w:val="20"/>
        </w:rPr>
      </w:pPr>
    </w:p>
    <w:p w:rsidR="00EF681E" w:rsidRDefault="00EF681E" w:rsidP="008D4EFD">
      <w:pPr>
        <w:rPr>
          <w:rFonts w:asciiTheme="minorHAnsi" w:hAnsiTheme="minorHAnsi" w:cs="Arial"/>
          <w:sz w:val="20"/>
          <w:szCs w:val="20"/>
        </w:rPr>
      </w:pPr>
      <w:r>
        <w:rPr>
          <w:rFonts w:asciiTheme="minorHAnsi" w:hAnsiTheme="minorHAnsi" w:cs="Arial"/>
          <w:sz w:val="20"/>
          <w:szCs w:val="20"/>
        </w:rPr>
        <w:t xml:space="preserve">Accordingly the ATA proposes a more substantial restructuring of the </w:t>
      </w:r>
      <w:r w:rsidR="0045733E">
        <w:rPr>
          <w:rFonts w:asciiTheme="minorHAnsi" w:hAnsiTheme="minorHAnsi" w:cs="Arial"/>
          <w:sz w:val="20"/>
          <w:szCs w:val="20"/>
        </w:rPr>
        <w:t>duties in the law.</w:t>
      </w:r>
    </w:p>
    <w:p w:rsidR="00EF681E" w:rsidRDefault="00EF681E" w:rsidP="00EF681E">
      <w:pPr>
        <w:rPr>
          <w:rFonts w:asciiTheme="minorHAnsi" w:hAnsiTheme="minorHAnsi"/>
          <w:sz w:val="20"/>
          <w:szCs w:val="20"/>
        </w:rPr>
      </w:pPr>
    </w:p>
    <w:p w:rsidR="008238C6" w:rsidRPr="007D2632" w:rsidRDefault="008238C6" w:rsidP="00EF681E">
      <w:pPr>
        <w:rPr>
          <w:rFonts w:asciiTheme="minorHAnsi" w:hAnsiTheme="minorHAnsi"/>
          <w:sz w:val="20"/>
          <w:szCs w:val="20"/>
        </w:rPr>
      </w:pPr>
    </w:p>
    <w:p w:rsidR="00EF681E" w:rsidRPr="00C00755" w:rsidRDefault="00EF681E" w:rsidP="00C00755">
      <w:pPr>
        <w:pStyle w:val="Heading2"/>
        <w:spacing w:before="0"/>
        <w:rPr>
          <w:rFonts w:asciiTheme="minorHAnsi" w:hAnsiTheme="minorHAnsi" w:cs="Arial"/>
          <w:color w:val="auto"/>
          <w:sz w:val="24"/>
          <w:szCs w:val="24"/>
        </w:rPr>
      </w:pPr>
      <w:bookmarkStart w:id="6" w:name="_Toc410388150"/>
      <w:r w:rsidRPr="00C00755">
        <w:rPr>
          <w:rFonts w:asciiTheme="minorHAnsi" w:hAnsiTheme="minorHAnsi" w:cs="Arial"/>
          <w:color w:val="auto"/>
          <w:sz w:val="24"/>
          <w:szCs w:val="24"/>
        </w:rPr>
        <w:t xml:space="preserve">Restructuring CoR duties by </w:t>
      </w:r>
      <w:r w:rsidR="007E6327" w:rsidRPr="00C00755">
        <w:rPr>
          <w:rFonts w:asciiTheme="minorHAnsi" w:hAnsiTheme="minorHAnsi" w:cs="Arial"/>
          <w:color w:val="auto"/>
          <w:sz w:val="24"/>
          <w:szCs w:val="24"/>
        </w:rPr>
        <w:t>duty holder</w:t>
      </w:r>
      <w:bookmarkEnd w:id="6"/>
    </w:p>
    <w:p w:rsidR="00EF681E" w:rsidRDefault="00EF681E" w:rsidP="008238C6">
      <w:pPr>
        <w:keepNext/>
        <w:rPr>
          <w:rFonts w:asciiTheme="minorHAnsi" w:hAnsiTheme="minorHAnsi" w:cs="Arial"/>
          <w:sz w:val="20"/>
          <w:szCs w:val="20"/>
        </w:rPr>
      </w:pPr>
    </w:p>
    <w:p w:rsidR="00EF681E" w:rsidRDefault="007F5E4A" w:rsidP="008238C6">
      <w:pPr>
        <w:keepNext/>
        <w:rPr>
          <w:rFonts w:asciiTheme="minorHAnsi" w:hAnsiTheme="minorHAnsi" w:cs="Arial"/>
          <w:sz w:val="20"/>
          <w:szCs w:val="20"/>
        </w:rPr>
      </w:pPr>
      <w:r>
        <w:rPr>
          <w:rFonts w:asciiTheme="minorHAnsi" w:hAnsiTheme="minorHAnsi" w:cs="Arial"/>
          <w:sz w:val="20"/>
          <w:szCs w:val="20"/>
        </w:rPr>
        <w:t xml:space="preserve">The current structure of chapters 3-6 is confusing and inconsistent. Many duties </w:t>
      </w:r>
      <w:r w:rsidR="00F920F7">
        <w:rPr>
          <w:rFonts w:asciiTheme="minorHAnsi" w:hAnsiTheme="minorHAnsi" w:cs="Arial"/>
          <w:sz w:val="20"/>
          <w:szCs w:val="20"/>
        </w:rPr>
        <w:t xml:space="preserve">in the speed and fatigue chapters </w:t>
      </w:r>
      <w:r>
        <w:rPr>
          <w:rFonts w:asciiTheme="minorHAnsi" w:hAnsiTheme="minorHAnsi" w:cs="Arial"/>
          <w:sz w:val="20"/>
          <w:szCs w:val="20"/>
        </w:rPr>
        <w:t>are duplicated almost word for word. Adding general duties, extending CoR to vehicle standards and safety</w:t>
      </w:r>
      <w:r w:rsidR="00401745">
        <w:rPr>
          <w:rFonts w:asciiTheme="minorHAnsi" w:hAnsiTheme="minorHAnsi" w:cs="Arial"/>
          <w:sz w:val="20"/>
          <w:szCs w:val="20"/>
        </w:rPr>
        <w:t>,</w:t>
      </w:r>
      <w:r>
        <w:rPr>
          <w:rFonts w:asciiTheme="minorHAnsi" w:hAnsiTheme="minorHAnsi" w:cs="Arial"/>
          <w:sz w:val="20"/>
          <w:szCs w:val="20"/>
        </w:rPr>
        <w:t xml:space="preserve"> or restructuring the MDLR chapter would add more complexity, length and inconsistency.</w:t>
      </w:r>
    </w:p>
    <w:p w:rsidR="00EF681E" w:rsidRDefault="00EF681E" w:rsidP="008D4EFD">
      <w:pPr>
        <w:rPr>
          <w:rFonts w:asciiTheme="minorHAnsi" w:hAnsiTheme="minorHAnsi" w:cs="Arial"/>
          <w:sz w:val="20"/>
          <w:szCs w:val="20"/>
        </w:rPr>
      </w:pPr>
    </w:p>
    <w:p w:rsidR="007F5E4A" w:rsidRDefault="007F5E4A" w:rsidP="008D4EFD">
      <w:pPr>
        <w:rPr>
          <w:rFonts w:asciiTheme="minorHAnsi" w:hAnsiTheme="minorHAnsi" w:cs="Arial"/>
          <w:sz w:val="20"/>
          <w:szCs w:val="20"/>
        </w:rPr>
      </w:pPr>
      <w:r>
        <w:rPr>
          <w:rFonts w:asciiTheme="minorHAnsi" w:hAnsiTheme="minorHAnsi" w:cs="Arial"/>
          <w:sz w:val="20"/>
          <w:szCs w:val="20"/>
        </w:rPr>
        <w:t>Accordingly, the ATA believes that the duty provisions in chapters 3-6</w:t>
      </w:r>
      <w:r w:rsidR="00401745">
        <w:rPr>
          <w:rFonts w:asciiTheme="minorHAnsi" w:hAnsiTheme="minorHAnsi" w:cs="Arial"/>
          <w:sz w:val="20"/>
          <w:szCs w:val="20"/>
        </w:rPr>
        <w:t xml:space="preserve"> should</w:t>
      </w:r>
      <w:r>
        <w:rPr>
          <w:rFonts w:asciiTheme="minorHAnsi" w:hAnsiTheme="minorHAnsi" w:cs="Arial"/>
          <w:sz w:val="20"/>
          <w:szCs w:val="20"/>
        </w:rPr>
        <w:t xml:space="preserve"> be restructured on a more logical basis.</w:t>
      </w:r>
    </w:p>
    <w:p w:rsidR="007F5E4A" w:rsidRDefault="007F5E4A" w:rsidP="008D4EFD">
      <w:pPr>
        <w:rPr>
          <w:rFonts w:asciiTheme="minorHAnsi" w:hAnsiTheme="minorHAnsi" w:cs="Arial"/>
          <w:sz w:val="20"/>
          <w:szCs w:val="20"/>
        </w:rPr>
      </w:pPr>
    </w:p>
    <w:p w:rsidR="00975FAE" w:rsidRDefault="00EF681E" w:rsidP="008D4EFD">
      <w:pPr>
        <w:rPr>
          <w:rFonts w:asciiTheme="minorHAnsi" w:hAnsiTheme="minorHAnsi" w:cs="Arial"/>
          <w:sz w:val="20"/>
          <w:szCs w:val="20"/>
        </w:rPr>
      </w:pPr>
      <w:r>
        <w:rPr>
          <w:rFonts w:asciiTheme="minorHAnsi" w:hAnsiTheme="minorHAnsi" w:cs="Arial"/>
          <w:sz w:val="20"/>
          <w:szCs w:val="20"/>
        </w:rPr>
        <w:t xml:space="preserve">The ATA </w:t>
      </w:r>
      <w:r w:rsidR="00234795">
        <w:rPr>
          <w:rFonts w:asciiTheme="minorHAnsi" w:hAnsiTheme="minorHAnsi" w:cs="Arial"/>
          <w:sz w:val="20"/>
          <w:szCs w:val="20"/>
        </w:rPr>
        <w:t xml:space="preserve">proposes </w:t>
      </w:r>
      <w:r w:rsidR="007F5E4A">
        <w:rPr>
          <w:rFonts w:asciiTheme="minorHAnsi" w:hAnsiTheme="minorHAnsi" w:cs="Arial"/>
          <w:sz w:val="20"/>
          <w:szCs w:val="20"/>
        </w:rPr>
        <w:t xml:space="preserve">that the HVNL should be amended by adding a new chapter, chapter 1A, </w:t>
      </w:r>
      <w:r w:rsidR="00B94123">
        <w:rPr>
          <w:rFonts w:asciiTheme="minorHAnsi" w:hAnsiTheme="minorHAnsi" w:cs="Arial"/>
          <w:sz w:val="20"/>
          <w:szCs w:val="20"/>
        </w:rPr>
        <w:t xml:space="preserve">that would </w:t>
      </w:r>
      <w:r w:rsidR="007F5E4A">
        <w:rPr>
          <w:rFonts w:asciiTheme="minorHAnsi" w:hAnsiTheme="minorHAnsi" w:cs="Arial"/>
          <w:sz w:val="20"/>
          <w:szCs w:val="20"/>
        </w:rPr>
        <w:t xml:space="preserve">set out the </w:t>
      </w:r>
      <w:r w:rsidR="00234795">
        <w:rPr>
          <w:rFonts w:asciiTheme="minorHAnsi" w:hAnsiTheme="minorHAnsi" w:cs="Arial"/>
          <w:sz w:val="20"/>
          <w:szCs w:val="20"/>
        </w:rPr>
        <w:t xml:space="preserve">CoR duties </w:t>
      </w:r>
      <w:r w:rsidR="008D4EFD" w:rsidRPr="008D4EFD">
        <w:rPr>
          <w:rFonts w:asciiTheme="minorHAnsi" w:hAnsiTheme="minorHAnsi" w:cs="Arial"/>
          <w:sz w:val="20"/>
          <w:szCs w:val="20"/>
        </w:rPr>
        <w:t xml:space="preserve">by </w:t>
      </w:r>
      <w:r w:rsidR="00165DB1">
        <w:rPr>
          <w:rFonts w:asciiTheme="minorHAnsi" w:hAnsiTheme="minorHAnsi" w:cs="Arial"/>
          <w:sz w:val="20"/>
          <w:szCs w:val="20"/>
        </w:rPr>
        <w:t>duty holder</w:t>
      </w:r>
      <w:r w:rsidR="008D4EFD" w:rsidRPr="008D4EFD">
        <w:rPr>
          <w:rFonts w:asciiTheme="minorHAnsi" w:hAnsiTheme="minorHAnsi" w:cs="Arial"/>
          <w:sz w:val="20"/>
          <w:szCs w:val="20"/>
        </w:rPr>
        <w:t xml:space="preserve">, rather than </w:t>
      </w:r>
      <w:r w:rsidR="00234795">
        <w:rPr>
          <w:rFonts w:asciiTheme="minorHAnsi" w:hAnsiTheme="minorHAnsi" w:cs="Arial"/>
          <w:sz w:val="20"/>
          <w:szCs w:val="20"/>
        </w:rPr>
        <w:t xml:space="preserve">by subject. </w:t>
      </w:r>
      <w:r w:rsidR="00401745">
        <w:rPr>
          <w:rFonts w:asciiTheme="minorHAnsi" w:hAnsiTheme="minorHAnsi" w:cs="Arial"/>
          <w:sz w:val="20"/>
          <w:szCs w:val="20"/>
        </w:rPr>
        <w:t>Table 2</w:t>
      </w:r>
      <w:r w:rsidR="004E7510">
        <w:rPr>
          <w:rFonts w:asciiTheme="minorHAnsi" w:hAnsiTheme="minorHAnsi" w:cs="Arial"/>
          <w:sz w:val="20"/>
          <w:szCs w:val="20"/>
        </w:rPr>
        <w:t xml:space="preserve"> sets out a possible division-level structure for the new chapter.</w:t>
      </w:r>
    </w:p>
    <w:p w:rsidR="00975FAE" w:rsidRDefault="00975FAE" w:rsidP="008D4EFD">
      <w:pPr>
        <w:rPr>
          <w:rFonts w:asciiTheme="minorHAnsi" w:hAnsiTheme="minorHAnsi" w:cs="Arial"/>
          <w:sz w:val="20"/>
          <w:szCs w:val="20"/>
        </w:rPr>
      </w:pPr>
    </w:p>
    <w:p w:rsidR="003C351E" w:rsidRDefault="003C351E" w:rsidP="00401745">
      <w:pPr>
        <w:keepNext/>
        <w:rPr>
          <w:rFonts w:asciiTheme="minorHAnsi" w:hAnsiTheme="minorHAnsi" w:cs="Arial"/>
          <w:sz w:val="20"/>
          <w:szCs w:val="20"/>
        </w:rPr>
      </w:pPr>
    </w:p>
    <w:tbl>
      <w:tblPr>
        <w:tblStyle w:val="TableGrid"/>
        <w:tblW w:w="0" w:type="auto"/>
        <w:tblLook w:val="04A0" w:firstRow="1" w:lastRow="0" w:firstColumn="1" w:lastColumn="0" w:noHBand="0" w:noVBand="1"/>
      </w:tblPr>
      <w:tblGrid>
        <w:gridCol w:w="6379"/>
        <w:gridCol w:w="3249"/>
      </w:tblGrid>
      <w:tr w:rsidR="003C351E" w:rsidTr="00A02213">
        <w:tc>
          <w:tcPr>
            <w:tcW w:w="9628" w:type="dxa"/>
            <w:gridSpan w:val="2"/>
            <w:tcBorders>
              <w:top w:val="nil"/>
              <w:left w:val="nil"/>
              <w:bottom w:val="single" w:sz="4" w:space="0" w:color="auto"/>
              <w:right w:val="nil"/>
            </w:tcBorders>
            <w:tcMar>
              <w:bottom w:w="108" w:type="dxa"/>
            </w:tcMar>
          </w:tcPr>
          <w:p w:rsidR="003C351E" w:rsidRPr="006951BB" w:rsidRDefault="00401745" w:rsidP="00401745">
            <w:pPr>
              <w:keepNext/>
              <w:tabs>
                <w:tab w:val="right" w:pos="9412"/>
              </w:tabs>
              <w:rPr>
                <w:rFonts w:asciiTheme="minorHAnsi" w:hAnsiTheme="minorHAnsi" w:cs="Arial"/>
                <w:b/>
                <w:sz w:val="20"/>
                <w:szCs w:val="20"/>
              </w:rPr>
            </w:pPr>
            <w:r>
              <w:rPr>
                <w:rFonts w:asciiTheme="minorHAnsi" w:hAnsiTheme="minorHAnsi" w:cs="Arial"/>
                <w:b/>
                <w:sz w:val="20"/>
                <w:szCs w:val="20"/>
              </w:rPr>
              <w:t>Table 2</w:t>
            </w:r>
            <w:r w:rsidR="003C351E" w:rsidRPr="006951BB">
              <w:rPr>
                <w:rFonts w:asciiTheme="minorHAnsi" w:hAnsiTheme="minorHAnsi" w:cs="Arial"/>
                <w:b/>
                <w:sz w:val="20"/>
                <w:szCs w:val="20"/>
              </w:rPr>
              <w:t xml:space="preserve">: </w:t>
            </w:r>
            <w:r w:rsidR="003C351E">
              <w:rPr>
                <w:rFonts w:asciiTheme="minorHAnsi" w:hAnsiTheme="minorHAnsi" w:cs="Arial"/>
                <w:b/>
                <w:sz w:val="20"/>
                <w:szCs w:val="20"/>
              </w:rPr>
              <w:t>Division level s</w:t>
            </w:r>
            <w:r w:rsidR="003C351E" w:rsidRPr="006951BB">
              <w:rPr>
                <w:rFonts w:asciiTheme="minorHAnsi" w:hAnsiTheme="minorHAnsi" w:cs="Arial"/>
                <w:b/>
                <w:sz w:val="20"/>
                <w:szCs w:val="20"/>
              </w:rPr>
              <w:t xml:space="preserve">tructure </w:t>
            </w:r>
            <w:r w:rsidR="003C351E">
              <w:rPr>
                <w:rFonts w:asciiTheme="minorHAnsi" w:hAnsiTheme="minorHAnsi" w:cs="Arial"/>
                <w:b/>
                <w:sz w:val="20"/>
                <w:szCs w:val="20"/>
              </w:rPr>
              <w:t>of proposed chapter 1</w:t>
            </w:r>
            <w:r w:rsidR="003C351E" w:rsidRPr="006951BB">
              <w:rPr>
                <w:rFonts w:asciiTheme="minorHAnsi" w:hAnsiTheme="minorHAnsi" w:cs="Arial"/>
                <w:b/>
                <w:sz w:val="20"/>
                <w:szCs w:val="20"/>
              </w:rPr>
              <w:t>A: Chain of responsibility duties</w:t>
            </w:r>
            <w:r w:rsidR="003C351E">
              <w:rPr>
                <w:rFonts w:asciiTheme="minorHAnsi" w:hAnsiTheme="minorHAnsi" w:cs="Arial"/>
                <w:b/>
                <w:sz w:val="20"/>
                <w:szCs w:val="20"/>
              </w:rPr>
              <w:tab/>
            </w:r>
          </w:p>
        </w:tc>
      </w:tr>
      <w:tr w:rsidR="003C351E" w:rsidTr="00A02213">
        <w:tc>
          <w:tcPr>
            <w:tcW w:w="6379" w:type="dxa"/>
            <w:tcBorders>
              <w:top w:val="single" w:sz="4" w:space="0" w:color="auto"/>
              <w:left w:val="nil"/>
              <w:bottom w:val="nil"/>
              <w:right w:val="nil"/>
            </w:tcBorders>
            <w:tcMar>
              <w:bottom w:w="108" w:type="dxa"/>
            </w:tcMar>
          </w:tcPr>
          <w:p w:rsidR="003C351E" w:rsidRPr="00065F14" w:rsidRDefault="003C351E" w:rsidP="00401745">
            <w:pPr>
              <w:keepNext/>
              <w:jc w:val="center"/>
              <w:rPr>
                <w:rFonts w:asciiTheme="minorHAnsi" w:hAnsiTheme="minorHAnsi" w:cs="Arial"/>
                <w:b/>
                <w:sz w:val="20"/>
                <w:szCs w:val="20"/>
              </w:rPr>
            </w:pPr>
            <w:r>
              <w:rPr>
                <w:rFonts w:asciiTheme="minorHAnsi" w:hAnsiTheme="minorHAnsi" w:cs="Arial"/>
                <w:b/>
                <w:sz w:val="20"/>
                <w:szCs w:val="20"/>
              </w:rPr>
              <w:t>D</w:t>
            </w:r>
            <w:r w:rsidRPr="00065F14">
              <w:rPr>
                <w:rFonts w:asciiTheme="minorHAnsi" w:hAnsiTheme="minorHAnsi" w:cs="Arial"/>
                <w:b/>
                <w:sz w:val="20"/>
                <w:szCs w:val="20"/>
              </w:rPr>
              <w:t>ivision</w:t>
            </w:r>
          </w:p>
        </w:tc>
        <w:tc>
          <w:tcPr>
            <w:tcW w:w="3249" w:type="dxa"/>
            <w:tcBorders>
              <w:top w:val="single" w:sz="4" w:space="0" w:color="auto"/>
              <w:left w:val="nil"/>
              <w:bottom w:val="nil"/>
              <w:right w:val="nil"/>
            </w:tcBorders>
            <w:tcMar>
              <w:bottom w:w="108" w:type="dxa"/>
            </w:tcMar>
          </w:tcPr>
          <w:p w:rsidR="003C351E" w:rsidRPr="00065F14" w:rsidRDefault="003C351E" w:rsidP="00401745">
            <w:pPr>
              <w:keepNext/>
              <w:jc w:val="center"/>
              <w:rPr>
                <w:rFonts w:asciiTheme="minorHAnsi" w:hAnsiTheme="minorHAnsi" w:cs="Arial"/>
                <w:b/>
                <w:sz w:val="20"/>
                <w:szCs w:val="20"/>
              </w:rPr>
            </w:pPr>
            <w:r>
              <w:rPr>
                <w:rFonts w:asciiTheme="minorHAnsi" w:hAnsiTheme="minorHAnsi" w:cs="Arial"/>
                <w:b/>
                <w:sz w:val="20"/>
                <w:szCs w:val="20"/>
              </w:rPr>
              <w:t>Content</w:t>
            </w:r>
            <w:r w:rsidR="0049292E">
              <w:rPr>
                <w:rFonts w:asciiTheme="minorHAnsi" w:hAnsiTheme="minorHAnsi" w:cs="Arial"/>
                <w:b/>
                <w:sz w:val="20"/>
                <w:szCs w:val="20"/>
              </w:rPr>
              <w:t xml:space="preserve"> to include</w:t>
            </w:r>
          </w:p>
        </w:tc>
      </w:tr>
      <w:tr w:rsidR="003C351E" w:rsidTr="00A02213">
        <w:tc>
          <w:tcPr>
            <w:tcW w:w="6379" w:type="dxa"/>
            <w:tcBorders>
              <w:top w:val="nil"/>
              <w:left w:val="nil"/>
              <w:bottom w:val="nil"/>
              <w:right w:val="nil"/>
            </w:tcBorders>
            <w:tcMar>
              <w:bottom w:w="0" w:type="dxa"/>
            </w:tcMar>
          </w:tcPr>
          <w:p w:rsidR="003C351E" w:rsidRPr="00065F14" w:rsidRDefault="003C351E" w:rsidP="00401745">
            <w:pPr>
              <w:keepNext/>
              <w:rPr>
                <w:rFonts w:asciiTheme="minorHAnsi" w:hAnsiTheme="minorHAnsi" w:cs="Arial"/>
                <w:sz w:val="20"/>
                <w:szCs w:val="20"/>
              </w:rPr>
            </w:pPr>
            <w:r w:rsidRPr="00065F14">
              <w:rPr>
                <w:rFonts w:asciiTheme="minorHAnsi" w:hAnsiTheme="minorHAnsi" w:cs="Arial"/>
                <w:sz w:val="20"/>
                <w:szCs w:val="20"/>
              </w:rPr>
              <w:lastRenderedPageBreak/>
              <w:t>Division 1: Introductory</w:t>
            </w:r>
          </w:p>
        </w:tc>
        <w:tc>
          <w:tcPr>
            <w:tcW w:w="3249" w:type="dxa"/>
            <w:tcBorders>
              <w:top w:val="nil"/>
              <w:left w:val="nil"/>
              <w:bottom w:val="nil"/>
              <w:right w:val="nil"/>
            </w:tcBorders>
            <w:tcMar>
              <w:bottom w:w="0" w:type="dxa"/>
            </w:tcMar>
          </w:tcPr>
          <w:p w:rsidR="003C351E" w:rsidRDefault="003C351E" w:rsidP="00401745">
            <w:pPr>
              <w:keepNext/>
              <w:rPr>
                <w:rFonts w:asciiTheme="minorHAnsi" w:hAnsiTheme="minorHAnsi" w:cs="Arial"/>
                <w:sz w:val="20"/>
                <w:szCs w:val="20"/>
              </w:rPr>
            </w:pPr>
          </w:p>
        </w:tc>
      </w:tr>
      <w:tr w:rsidR="003C351E" w:rsidTr="00A02213">
        <w:tc>
          <w:tcPr>
            <w:tcW w:w="6379" w:type="dxa"/>
            <w:tcBorders>
              <w:top w:val="nil"/>
              <w:left w:val="nil"/>
              <w:bottom w:val="nil"/>
              <w:right w:val="nil"/>
            </w:tcBorders>
          </w:tcPr>
          <w:p w:rsidR="003C351E" w:rsidRDefault="003C351E" w:rsidP="00401745">
            <w:pPr>
              <w:keepNext/>
              <w:ind w:left="357"/>
              <w:rPr>
                <w:rFonts w:asciiTheme="minorHAnsi" w:hAnsiTheme="minorHAnsi" w:cs="Arial"/>
                <w:sz w:val="20"/>
                <w:szCs w:val="20"/>
              </w:rPr>
            </w:pPr>
            <w:r>
              <w:rPr>
                <w:rFonts w:asciiTheme="minorHAnsi" w:hAnsiTheme="minorHAnsi" w:cs="Arial"/>
                <w:sz w:val="20"/>
                <w:szCs w:val="20"/>
              </w:rPr>
              <w:t>Subdivision 1: Who is a party in the chain of responsibility</w:t>
            </w:r>
          </w:p>
        </w:tc>
        <w:tc>
          <w:tcPr>
            <w:tcW w:w="3249" w:type="dxa"/>
            <w:tcBorders>
              <w:top w:val="nil"/>
              <w:left w:val="nil"/>
              <w:bottom w:val="nil"/>
              <w:right w:val="nil"/>
            </w:tcBorders>
          </w:tcPr>
          <w:p w:rsidR="003C351E" w:rsidRDefault="003C351E" w:rsidP="00401745">
            <w:pPr>
              <w:keepNext/>
              <w:rPr>
                <w:rFonts w:asciiTheme="minorHAnsi" w:hAnsiTheme="minorHAnsi" w:cs="Arial"/>
                <w:sz w:val="20"/>
                <w:szCs w:val="20"/>
              </w:rPr>
            </w:pPr>
            <w:r>
              <w:rPr>
                <w:rFonts w:asciiTheme="minorHAnsi" w:hAnsiTheme="minorHAnsi" w:cs="Arial"/>
                <w:sz w:val="20"/>
                <w:szCs w:val="20"/>
              </w:rPr>
              <w:t>ss214, 227</w:t>
            </w:r>
          </w:p>
        </w:tc>
      </w:tr>
      <w:tr w:rsidR="003C351E" w:rsidTr="00A02213">
        <w:tc>
          <w:tcPr>
            <w:tcW w:w="6379" w:type="dxa"/>
            <w:tcBorders>
              <w:top w:val="nil"/>
              <w:left w:val="nil"/>
              <w:bottom w:val="nil"/>
              <w:right w:val="nil"/>
            </w:tcBorders>
            <w:tcMar>
              <w:bottom w:w="108" w:type="dxa"/>
            </w:tcMar>
          </w:tcPr>
          <w:p w:rsidR="003C351E" w:rsidRPr="001C4689" w:rsidRDefault="003C351E" w:rsidP="0022435C">
            <w:pPr>
              <w:keepNext/>
              <w:ind w:left="357"/>
              <w:rPr>
                <w:rFonts w:asciiTheme="minorHAnsi" w:hAnsiTheme="minorHAnsi" w:cs="Arial"/>
                <w:sz w:val="20"/>
                <w:szCs w:val="20"/>
              </w:rPr>
            </w:pPr>
            <w:r w:rsidRPr="001C4689">
              <w:rPr>
                <w:rFonts w:asciiTheme="minorHAnsi" w:hAnsiTheme="minorHAnsi" w:cs="Arial"/>
                <w:sz w:val="20"/>
                <w:szCs w:val="20"/>
              </w:rPr>
              <w:t xml:space="preserve">Subdivision 2: What </w:t>
            </w:r>
            <w:r w:rsidR="0022435C">
              <w:rPr>
                <w:rFonts w:asciiTheme="minorHAnsi" w:hAnsiTheme="minorHAnsi" w:cs="Arial"/>
                <w:sz w:val="20"/>
                <w:szCs w:val="20"/>
              </w:rPr>
              <w:t>is reasonably practicable</w:t>
            </w:r>
          </w:p>
        </w:tc>
        <w:tc>
          <w:tcPr>
            <w:tcW w:w="3249" w:type="dxa"/>
            <w:tcBorders>
              <w:top w:val="nil"/>
              <w:left w:val="nil"/>
              <w:bottom w:val="nil"/>
              <w:right w:val="nil"/>
            </w:tcBorders>
            <w:tcMar>
              <w:bottom w:w="108" w:type="dxa"/>
            </w:tcMar>
          </w:tcPr>
          <w:p w:rsidR="003C351E" w:rsidRDefault="0049292E" w:rsidP="00401745">
            <w:pPr>
              <w:keepNext/>
              <w:rPr>
                <w:rFonts w:asciiTheme="minorHAnsi" w:hAnsiTheme="minorHAnsi" w:cs="Arial"/>
                <w:sz w:val="20"/>
                <w:szCs w:val="20"/>
              </w:rPr>
            </w:pPr>
            <w:r>
              <w:rPr>
                <w:rFonts w:asciiTheme="minorHAnsi" w:hAnsiTheme="minorHAnsi" w:cs="Arial"/>
                <w:sz w:val="20"/>
                <w:szCs w:val="20"/>
              </w:rPr>
              <w:t>See recommendation 5</w:t>
            </w:r>
          </w:p>
        </w:tc>
      </w:tr>
      <w:tr w:rsidR="003C351E" w:rsidTr="00A02213">
        <w:tc>
          <w:tcPr>
            <w:tcW w:w="6379" w:type="dxa"/>
            <w:tcBorders>
              <w:top w:val="nil"/>
              <w:left w:val="nil"/>
              <w:bottom w:val="nil"/>
              <w:right w:val="nil"/>
            </w:tcBorders>
            <w:tcMar>
              <w:bottom w:w="108" w:type="dxa"/>
            </w:tcMar>
          </w:tcPr>
          <w:p w:rsidR="003C351E" w:rsidRPr="001C4689" w:rsidRDefault="003C351E" w:rsidP="00401745">
            <w:pPr>
              <w:keepNext/>
              <w:rPr>
                <w:rFonts w:asciiTheme="minorHAnsi" w:hAnsiTheme="minorHAnsi" w:cs="Arial"/>
                <w:sz w:val="20"/>
                <w:szCs w:val="20"/>
              </w:rPr>
            </w:pPr>
            <w:r>
              <w:rPr>
                <w:rFonts w:asciiTheme="minorHAnsi" w:hAnsiTheme="minorHAnsi" w:cs="Arial"/>
                <w:sz w:val="20"/>
                <w:szCs w:val="20"/>
              </w:rPr>
              <w:t>Division 2</w:t>
            </w:r>
            <w:r w:rsidRPr="001C4689">
              <w:rPr>
                <w:rFonts w:asciiTheme="minorHAnsi" w:hAnsiTheme="minorHAnsi" w:cs="Arial"/>
                <w:sz w:val="20"/>
                <w:szCs w:val="20"/>
              </w:rPr>
              <w:t>: Duties of all parties in the chain of responsibility</w:t>
            </w:r>
          </w:p>
        </w:tc>
        <w:tc>
          <w:tcPr>
            <w:tcW w:w="3249" w:type="dxa"/>
            <w:tcBorders>
              <w:top w:val="nil"/>
              <w:left w:val="nil"/>
              <w:bottom w:val="nil"/>
              <w:right w:val="nil"/>
            </w:tcBorders>
            <w:tcMar>
              <w:bottom w:w="108" w:type="dxa"/>
            </w:tcMar>
          </w:tcPr>
          <w:p w:rsidR="003C351E" w:rsidRDefault="003C351E" w:rsidP="00F920F7">
            <w:pPr>
              <w:keepNext/>
              <w:rPr>
                <w:rFonts w:asciiTheme="minorHAnsi" w:hAnsiTheme="minorHAnsi" w:cs="Arial"/>
                <w:sz w:val="20"/>
                <w:szCs w:val="20"/>
              </w:rPr>
            </w:pPr>
            <w:r>
              <w:rPr>
                <w:rFonts w:asciiTheme="minorHAnsi" w:hAnsiTheme="minorHAnsi" w:cs="Arial"/>
                <w:sz w:val="20"/>
                <w:szCs w:val="20"/>
              </w:rPr>
              <w:t xml:space="preserve">Existing s229 expanded to cover </w:t>
            </w:r>
            <w:r w:rsidR="00F920F7">
              <w:rPr>
                <w:rFonts w:asciiTheme="minorHAnsi" w:hAnsiTheme="minorHAnsi" w:cs="Arial"/>
                <w:sz w:val="20"/>
                <w:szCs w:val="20"/>
              </w:rPr>
              <w:t>MDLR, speed, and vehicle standards and safety</w:t>
            </w:r>
            <w:r w:rsidR="0049292E">
              <w:rPr>
                <w:rFonts w:asciiTheme="minorHAnsi" w:hAnsiTheme="minorHAnsi" w:cs="Arial"/>
                <w:sz w:val="20"/>
                <w:szCs w:val="20"/>
              </w:rPr>
              <w:t xml:space="preserve"> (recommendation 4</w:t>
            </w:r>
            <w:r>
              <w:rPr>
                <w:rFonts w:asciiTheme="minorHAnsi" w:hAnsiTheme="minorHAnsi" w:cs="Arial"/>
                <w:sz w:val="20"/>
                <w:szCs w:val="20"/>
              </w:rPr>
              <w:t>); existing ss215, 216, 240, 241 with duplication removed</w:t>
            </w:r>
          </w:p>
        </w:tc>
      </w:tr>
      <w:tr w:rsidR="003C351E" w:rsidTr="00A02213">
        <w:tc>
          <w:tcPr>
            <w:tcW w:w="6379" w:type="dxa"/>
            <w:tcBorders>
              <w:top w:val="nil"/>
              <w:left w:val="nil"/>
              <w:bottom w:val="nil"/>
              <w:right w:val="nil"/>
            </w:tcBorders>
            <w:tcMar>
              <w:bottom w:w="108" w:type="dxa"/>
            </w:tcMar>
          </w:tcPr>
          <w:p w:rsidR="003C351E" w:rsidRPr="001C4689" w:rsidRDefault="003C351E" w:rsidP="00401745">
            <w:pPr>
              <w:keepNext/>
              <w:rPr>
                <w:rFonts w:asciiTheme="minorHAnsi" w:hAnsiTheme="minorHAnsi" w:cs="Arial"/>
                <w:sz w:val="20"/>
                <w:szCs w:val="20"/>
              </w:rPr>
            </w:pPr>
            <w:r>
              <w:rPr>
                <w:rFonts w:asciiTheme="minorHAnsi" w:hAnsiTheme="minorHAnsi" w:cs="Arial"/>
                <w:sz w:val="20"/>
                <w:szCs w:val="20"/>
              </w:rPr>
              <w:t>Division 3</w:t>
            </w:r>
            <w:r w:rsidRPr="001C4689">
              <w:rPr>
                <w:rFonts w:asciiTheme="minorHAnsi" w:hAnsiTheme="minorHAnsi" w:cs="Arial"/>
                <w:sz w:val="20"/>
                <w:szCs w:val="20"/>
              </w:rPr>
              <w:t>: Further duties of employers, prime contractors and operators</w:t>
            </w:r>
          </w:p>
        </w:tc>
        <w:tc>
          <w:tcPr>
            <w:tcW w:w="3249" w:type="dxa"/>
            <w:tcBorders>
              <w:top w:val="nil"/>
              <w:left w:val="nil"/>
              <w:bottom w:val="nil"/>
              <w:right w:val="nil"/>
            </w:tcBorders>
            <w:tcMar>
              <w:bottom w:w="108" w:type="dxa"/>
            </w:tcMar>
          </w:tcPr>
          <w:p w:rsidR="003C351E" w:rsidRDefault="003C351E" w:rsidP="00401745">
            <w:pPr>
              <w:keepNext/>
              <w:rPr>
                <w:rFonts w:asciiTheme="minorHAnsi" w:hAnsiTheme="minorHAnsi" w:cs="Arial"/>
                <w:sz w:val="20"/>
                <w:szCs w:val="20"/>
              </w:rPr>
            </w:pPr>
            <w:r>
              <w:rPr>
                <w:rFonts w:asciiTheme="minorHAnsi" w:hAnsiTheme="minorHAnsi" w:cs="Arial"/>
                <w:sz w:val="20"/>
                <w:szCs w:val="20"/>
              </w:rPr>
              <w:t>Existing ss204, 230 with duplication removed</w:t>
            </w:r>
          </w:p>
        </w:tc>
      </w:tr>
      <w:tr w:rsidR="003C351E" w:rsidTr="00A02213">
        <w:tc>
          <w:tcPr>
            <w:tcW w:w="6379" w:type="dxa"/>
            <w:tcBorders>
              <w:top w:val="nil"/>
              <w:left w:val="nil"/>
              <w:bottom w:val="nil"/>
              <w:right w:val="nil"/>
            </w:tcBorders>
            <w:tcMar>
              <w:bottom w:w="108" w:type="dxa"/>
            </w:tcMar>
          </w:tcPr>
          <w:p w:rsidR="003C351E" w:rsidRPr="001C4689" w:rsidRDefault="003C351E" w:rsidP="00401745">
            <w:pPr>
              <w:keepNext/>
              <w:rPr>
                <w:rFonts w:asciiTheme="minorHAnsi" w:hAnsiTheme="minorHAnsi" w:cs="Arial"/>
                <w:sz w:val="20"/>
                <w:szCs w:val="20"/>
              </w:rPr>
            </w:pPr>
            <w:r>
              <w:rPr>
                <w:rFonts w:asciiTheme="minorHAnsi" w:hAnsiTheme="minorHAnsi" w:cs="Arial"/>
                <w:sz w:val="20"/>
                <w:szCs w:val="20"/>
              </w:rPr>
              <w:t>Division 4</w:t>
            </w:r>
            <w:r w:rsidRPr="001C4689">
              <w:rPr>
                <w:rFonts w:asciiTheme="minorHAnsi" w:hAnsiTheme="minorHAnsi" w:cs="Arial"/>
                <w:sz w:val="20"/>
                <w:szCs w:val="20"/>
              </w:rPr>
              <w:t>: Further duties of consignors and consignees</w:t>
            </w:r>
          </w:p>
        </w:tc>
        <w:tc>
          <w:tcPr>
            <w:tcW w:w="3249" w:type="dxa"/>
            <w:tcBorders>
              <w:top w:val="nil"/>
              <w:left w:val="nil"/>
              <w:bottom w:val="nil"/>
              <w:right w:val="nil"/>
            </w:tcBorders>
            <w:tcMar>
              <w:bottom w:w="108" w:type="dxa"/>
            </w:tcMar>
          </w:tcPr>
          <w:p w:rsidR="003C351E" w:rsidRDefault="003C351E" w:rsidP="00401745">
            <w:pPr>
              <w:keepNext/>
              <w:rPr>
                <w:rFonts w:asciiTheme="minorHAnsi" w:hAnsiTheme="minorHAnsi" w:cs="Arial"/>
                <w:sz w:val="20"/>
                <w:szCs w:val="20"/>
              </w:rPr>
            </w:pPr>
            <w:r>
              <w:rPr>
                <w:rFonts w:asciiTheme="minorHAnsi" w:hAnsiTheme="minorHAnsi" w:cs="Arial"/>
                <w:sz w:val="20"/>
                <w:szCs w:val="20"/>
              </w:rPr>
              <w:t>Existing ss</w:t>
            </w:r>
            <w:r w:rsidR="009371FC">
              <w:rPr>
                <w:rFonts w:asciiTheme="minorHAnsi" w:hAnsiTheme="minorHAnsi" w:cs="Arial"/>
                <w:sz w:val="20"/>
                <w:szCs w:val="20"/>
              </w:rPr>
              <w:t xml:space="preserve">194, </w:t>
            </w:r>
            <w:r>
              <w:rPr>
                <w:rFonts w:asciiTheme="minorHAnsi" w:hAnsiTheme="minorHAnsi" w:cs="Arial"/>
                <w:sz w:val="20"/>
                <w:szCs w:val="20"/>
              </w:rPr>
              <w:t>212, 213, 235, 237 with duplication removed</w:t>
            </w:r>
          </w:p>
        </w:tc>
      </w:tr>
      <w:tr w:rsidR="0049292E" w:rsidTr="00A02213">
        <w:tc>
          <w:tcPr>
            <w:tcW w:w="6379" w:type="dxa"/>
            <w:tcBorders>
              <w:top w:val="nil"/>
              <w:left w:val="nil"/>
              <w:bottom w:val="nil"/>
              <w:right w:val="nil"/>
            </w:tcBorders>
            <w:tcMar>
              <w:bottom w:w="108" w:type="dxa"/>
            </w:tcMar>
          </w:tcPr>
          <w:p w:rsidR="0049292E" w:rsidRDefault="0049292E" w:rsidP="00401745">
            <w:pPr>
              <w:keepNext/>
              <w:rPr>
                <w:rFonts w:asciiTheme="minorHAnsi" w:hAnsiTheme="minorHAnsi" w:cs="Arial"/>
                <w:sz w:val="20"/>
                <w:szCs w:val="20"/>
              </w:rPr>
            </w:pPr>
            <w:r>
              <w:rPr>
                <w:rFonts w:asciiTheme="minorHAnsi" w:hAnsiTheme="minorHAnsi" w:cs="Arial"/>
                <w:sz w:val="20"/>
                <w:szCs w:val="20"/>
              </w:rPr>
              <w:t xml:space="preserve">Division 5: Further duties of </w:t>
            </w:r>
            <w:r w:rsidR="009371FC">
              <w:rPr>
                <w:rFonts w:asciiTheme="minorHAnsi" w:hAnsiTheme="minorHAnsi" w:cs="Arial"/>
                <w:sz w:val="20"/>
                <w:szCs w:val="20"/>
              </w:rPr>
              <w:t>outsourced vehicle</w:t>
            </w:r>
            <w:r>
              <w:rPr>
                <w:rFonts w:asciiTheme="minorHAnsi" w:hAnsiTheme="minorHAnsi" w:cs="Arial"/>
                <w:sz w:val="20"/>
                <w:szCs w:val="20"/>
              </w:rPr>
              <w:t xml:space="preserve"> maintainers</w:t>
            </w:r>
          </w:p>
        </w:tc>
        <w:tc>
          <w:tcPr>
            <w:tcW w:w="3249" w:type="dxa"/>
            <w:tcBorders>
              <w:top w:val="nil"/>
              <w:left w:val="nil"/>
              <w:bottom w:val="nil"/>
              <w:right w:val="nil"/>
            </w:tcBorders>
            <w:tcMar>
              <w:bottom w:w="108" w:type="dxa"/>
            </w:tcMar>
          </w:tcPr>
          <w:p w:rsidR="0049292E" w:rsidRDefault="0049292E" w:rsidP="00401745">
            <w:pPr>
              <w:keepNext/>
              <w:rPr>
                <w:rFonts w:asciiTheme="minorHAnsi" w:hAnsiTheme="minorHAnsi" w:cs="Arial"/>
                <w:sz w:val="20"/>
                <w:szCs w:val="20"/>
              </w:rPr>
            </w:pPr>
            <w:r>
              <w:rPr>
                <w:rFonts w:asciiTheme="minorHAnsi" w:hAnsiTheme="minorHAnsi" w:cs="Arial"/>
                <w:sz w:val="20"/>
                <w:szCs w:val="20"/>
              </w:rPr>
              <w:t>See recommendation 3</w:t>
            </w:r>
          </w:p>
        </w:tc>
      </w:tr>
      <w:tr w:rsidR="003C351E" w:rsidTr="00A02213">
        <w:tc>
          <w:tcPr>
            <w:tcW w:w="6379" w:type="dxa"/>
            <w:tcBorders>
              <w:top w:val="nil"/>
              <w:left w:val="nil"/>
              <w:bottom w:val="nil"/>
              <w:right w:val="nil"/>
            </w:tcBorders>
            <w:tcMar>
              <w:bottom w:w="108" w:type="dxa"/>
            </w:tcMar>
          </w:tcPr>
          <w:p w:rsidR="003C351E" w:rsidRPr="001C4689" w:rsidRDefault="0049292E" w:rsidP="00401745">
            <w:pPr>
              <w:keepNext/>
              <w:rPr>
                <w:rFonts w:asciiTheme="minorHAnsi" w:hAnsiTheme="minorHAnsi" w:cs="Arial"/>
                <w:sz w:val="20"/>
                <w:szCs w:val="20"/>
              </w:rPr>
            </w:pPr>
            <w:r>
              <w:rPr>
                <w:rFonts w:asciiTheme="minorHAnsi" w:hAnsiTheme="minorHAnsi" w:cs="Arial"/>
                <w:sz w:val="20"/>
                <w:szCs w:val="20"/>
              </w:rPr>
              <w:t>Division 6</w:t>
            </w:r>
            <w:r w:rsidR="003C351E" w:rsidRPr="001C4689">
              <w:rPr>
                <w:rFonts w:asciiTheme="minorHAnsi" w:hAnsiTheme="minorHAnsi" w:cs="Arial"/>
                <w:sz w:val="20"/>
                <w:szCs w:val="20"/>
              </w:rPr>
              <w:t>: Duties of executive officers, partners and managers</w:t>
            </w:r>
          </w:p>
        </w:tc>
        <w:tc>
          <w:tcPr>
            <w:tcW w:w="3249" w:type="dxa"/>
            <w:tcBorders>
              <w:top w:val="nil"/>
              <w:left w:val="nil"/>
              <w:bottom w:val="nil"/>
              <w:right w:val="nil"/>
            </w:tcBorders>
            <w:tcMar>
              <w:bottom w:w="108" w:type="dxa"/>
            </w:tcMar>
          </w:tcPr>
          <w:p w:rsidR="003C351E" w:rsidRDefault="003C351E" w:rsidP="00F920F7">
            <w:pPr>
              <w:keepNext/>
              <w:rPr>
                <w:rFonts w:asciiTheme="minorHAnsi" w:hAnsiTheme="minorHAnsi" w:cs="Arial"/>
                <w:sz w:val="20"/>
                <w:szCs w:val="20"/>
              </w:rPr>
            </w:pPr>
            <w:r>
              <w:rPr>
                <w:rFonts w:asciiTheme="minorHAnsi" w:hAnsiTheme="minorHAnsi" w:cs="Arial"/>
                <w:sz w:val="20"/>
                <w:szCs w:val="20"/>
              </w:rPr>
              <w:t>Existing ss636-638 with accessorial liability provisions removed. These provisions</w:t>
            </w:r>
            <w:r w:rsidR="00F920F7">
              <w:rPr>
                <w:rFonts w:asciiTheme="minorHAnsi" w:hAnsiTheme="minorHAnsi" w:cs="Arial"/>
                <w:sz w:val="20"/>
                <w:szCs w:val="20"/>
              </w:rPr>
              <w:t xml:space="preserve"> are misleading and</w:t>
            </w:r>
            <w:r>
              <w:rPr>
                <w:rFonts w:asciiTheme="minorHAnsi" w:hAnsiTheme="minorHAnsi" w:cs="Arial"/>
                <w:sz w:val="20"/>
                <w:szCs w:val="20"/>
              </w:rPr>
              <w:t xml:space="preserve"> duplicate </w:t>
            </w:r>
            <w:r w:rsidR="00F920F7">
              <w:rPr>
                <w:rFonts w:asciiTheme="minorHAnsi" w:hAnsiTheme="minorHAnsi" w:cs="Arial"/>
                <w:sz w:val="20"/>
                <w:szCs w:val="20"/>
              </w:rPr>
              <w:t xml:space="preserve">jurisdictional </w:t>
            </w:r>
            <w:r>
              <w:rPr>
                <w:rFonts w:asciiTheme="minorHAnsi" w:hAnsiTheme="minorHAnsi" w:cs="Arial"/>
                <w:sz w:val="20"/>
                <w:szCs w:val="20"/>
              </w:rPr>
              <w:t xml:space="preserve">criminal code provisions </w:t>
            </w:r>
          </w:p>
        </w:tc>
      </w:tr>
      <w:tr w:rsidR="003C351E" w:rsidTr="00A02213">
        <w:tc>
          <w:tcPr>
            <w:tcW w:w="6379" w:type="dxa"/>
            <w:tcBorders>
              <w:top w:val="nil"/>
              <w:left w:val="nil"/>
              <w:bottom w:val="nil"/>
              <w:right w:val="nil"/>
            </w:tcBorders>
            <w:tcMar>
              <w:bottom w:w="108" w:type="dxa"/>
            </w:tcMar>
          </w:tcPr>
          <w:p w:rsidR="003C351E" w:rsidRPr="001C4689" w:rsidRDefault="0049292E" w:rsidP="00401745">
            <w:pPr>
              <w:keepNext/>
              <w:rPr>
                <w:rFonts w:asciiTheme="minorHAnsi" w:hAnsiTheme="minorHAnsi" w:cs="Arial"/>
                <w:sz w:val="20"/>
                <w:szCs w:val="20"/>
              </w:rPr>
            </w:pPr>
            <w:r>
              <w:rPr>
                <w:rFonts w:asciiTheme="minorHAnsi" w:hAnsiTheme="minorHAnsi" w:cs="Arial"/>
                <w:sz w:val="20"/>
                <w:szCs w:val="20"/>
              </w:rPr>
              <w:t>Division 7</w:t>
            </w:r>
            <w:r w:rsidR="003C351E" w:rsidRPr="001C4689">
              <w:rPr>
                <w:rFonts w:asciiTheme="minorHAnsi" w:hAnsiTheme="minorHAnsi" w:cs="Arial"/>
                <w:sz w:val="20"/>
                <w:szCs w:val="20"/>
              </w:rPr>
              <w:t>: Duties of drivers</w:t>
            </w:r>
          </w:p>
        </w:tc>
        <w:tc>
          <w:tcPr>
            <w:tcW w:w="3249" w:type="dxa"/>
            <w:tcBorders>
              <w:top w:val="nil"/>
              <w:left w:val="nil"/>
              <w:bottom w:val="nil"/>
              <w:right w:val="nil"/>
            </w:tcBorders>
            <w:tcMar>
              <w:bottom w:w="108" w:type="dxa"/>
            </w:tcMar>
          </w:tcPr>
          <w:p w:rsidR="003C351E" w:rsidRDefault="003C351E" w:rsidP="00401745">
            <w:pPr>
              <w:keepNext/>
              <w:rPr>
                <w:rFonts w:asciiTheme="minorHAnsi" w:hAnsiTheme="minorHAnsi" w:cs="Arial"/>
                <w:sz w:val="20"/>
                <w:szCs w:val="20"/>
              </w:rPr>
            </w:pPr>
            <w:r>
              <w:rPr>
                <w:rFonts w:asciiTheme="minorHAnsi" w:hAnsiTheme="minorHAnsi" w:cs="Arial"/>
                <w:sz w:val="20"/>
                <w:szCs w:val="20"/>
              </w:rPr>
              <w:t>Existing ss192, 228</w:t>
            </w:r>
          </w:p>
        </w:tc>
      </w:tr>
      <w:tr w:rsidR="003C351E" w:rsidTr="00A02213">
        <w:tc>
          <w:tcPr>
            <w:tcW w:w="6379" w:type="dxa"/>
            <w:tcBorders>
              <w:top w:val="nil"/>
              <w:left w:val="nil"/>
              <w:bottom w:val="nil"/>
              <w:right w:val="nil"/>
            </w:tcBorders>
            <w:tcMar>
              <w:bottom w:w="108" w:type="dxa"/>
            </w:tcMar>
          </w:tcPr>
          <w:p w:rsidR="003C351E" w:rsidRPr="001C4689" w:rsidRDefault="0049292E" w:rsidP="00401745">
            <w:pPr>
              <w:keepNext/>
              <w:rPr>
                <w:rFonts w:asciiTheme="minorHAnsi" w:hAnsiTheme="minorHAnsi" w:cs="Arial"/>
                <w:sz w:val="20"/>
                <w:szCs w:val="20"/>
              </w:rPr>
            </w:pPr>
            <w:r>
              <w:rPr>
                <w:rFonts w:asciiTheme="minorHAnsi" w:hAnsiTheme="minorHAnsi" w:cs="Arial"/>
                <w:sz w:val="20"/>
                <w:szCs w:val="20"/>
              </w:rPr>
              <w:t>Division 8</w:t>
            </w:r>
            <w:r w:rsidR="003C351E" w:rsidRPr="001C4689">
              <w:rPr>
                <w:rFonts w:asciiTheme="minorHAnsi" w:hAnsiTheme="minorHAnsi" w:cs="Arial"/>
                <w:sz w:val="20"/>
                <w:szCs w:val="20"/>
              </w:rPr>
              <w:t>: Duties of schedulers</w:t>
            </w:r>
          </w:p>
        </w:tc>
        <w:tc>
          <w:tcPr>
            <w:tcW w:w="3249" w:type="dxa"/>
            <w:tcBorders>
              <w:top w:val="nil"/>
              <w:left w:val="nil"/>
              <w:bottom w:val="nil"/>
              <w:right w:val="nil"/>
            </w:tcBorders>
            <w:tcMar>
              <w:bottom w:w="108" w:type="dxa"/>
            </w:tcMar>
          </w:tcPr>
          <w:p w:rsidR="003C351E" w:rsidRDefault="003C351E" w:rsidP="00401745">
            <w:pPr>
              <w:keepNext/>
              <w:rPr>
                <w:rFonts w:asciiTheme="minorHAnsi" w:hAnsiTheme="minorHAnsi" w:cs="Arial"/>
                <w:sz w:val="20"/>
                <w:szCs w:val="20"/>
              </w:rPr>
            </w:pPr>
            <w:r>
              <w:rPr>
                <w:rFonts w:asciiTheme="minorHAnsi" w:hAnsiTheme="minorHAnsi" w:cs="Arial"/>
                <w:sz w:val="20"/>
                <w:szCs w:val="20"/>
              </w:rPr>
              <w:t>Existing ss207, 233</w:t>
            </w:r>
          </w:p>
        </w:tc>
      </w:tr>
      <w:tr w:rsidR="003C351E" w:rsidTr="00A02213">
        <w:tc>
          <w:tcPr>
            <w:tcW w:w="6379" w:type="dxa"/>
            <w:tcBorders>
              <w:top w:val="nil"/>
              <w:left w:val="nil"/>
              <w:bottom w:val="single" w:sz="4" w:space="0" w:color="auto"/>
              <w:right w:val="nil"/>
            </w:tcBorders>
            <w:tcMar>
              <w:bottom w:w="108" w:type="dxa"/>
            </w:tcMar>
          </w:tcPr>
          <w:p w:rsidR="003C351E" w:rsidRPr="001C4689" w:rsidRDefault="0049292E" w:rsidP="00401745">
            <w:pPr>
              <w:keepNext/>
              <w:rPr>
                <w:rFonts w:asciiTheme="minorHAnsi" w:hAnsiTheme="minorHAnsi" w:cs="Arial"/>
                <w:sz w:val="20"/>
                <w:szCs w:val="20"/>
              </w:rPr>
            </w:pPr>
            <w:r>
              <w:rPr>
                <w:rFonts w:asciiTheme="minorHAnsi" w:hAnsiTheme="minorHAnsi" w:cs="Arial"/>
                <w:sz w:val="20"/>
                <w:szCs w:val="20"/>
              </w:rPr>
              <w:t>Division 9</w:t>
            </w:r>
            <w:r w:rsidR="003C351E">
              <w:rPr>
                <w:rFonts w:asciiTheme="minorHAnsi" w:hAnsiTheme="minorHAnsi" w:cs="Arial"/>
                <w:sz w:val="20"/>
                <w:szCs w:val="20"/>
              </w:rPr>
              <w:t>: Duties of loading personnel</w:t>
            </w:r>
          </w:p>
        </w:tc>
        <w:tc>
          <w:tcPr>
            <w:tcW w:w="3249" w:type="dxa"/>
            <w:tcBorders>
              <w:top w:val="nil"/>
              <w:left w:val="nil"/>
              <w:bottom w:val="single" w:sz="4" w:space="0" w:color="auto"/>
              <w:right w:val="nil"/>
            </w:tcBorders>
            <w:tcMar>
              <w:bottom w:w="108" w:type="dxa"/>
            </w:tcMar>
          </w:tcPr>
          <w:p w:rsidR="003C351E" w:rsidRDefault="003C351E" w:rsidP="00F920F7">
            <w:pPr>
              <w:keepNext/>
              <w:rPr>
                <w:rFonts w:asciiTheme="minorHAnsi" w:hAnsiTheme="minorHAnsi" w:cs="Arial"/>
                <w:sz w:val="20"/>
                <w:szCs w:val="20"/>
              </w:rPr>
            </w:pPr>
            <w:r>
              <w:rPr>
                <w:rFonts w:asciiTheme="minorHAnsi" w:hAnsiTheme="minorHAnsi" w:cs="Arial"/>
                <w:sz w:val="20"/>
                <w:szCs w:val="20"/>
              </w:rPr>
              <w:t>Existing ss209, 238,</w:t>
            </w:r>
            <w:r w:rsidR="0049292E">
              <w:rPr>
                <w:rFonts w:asciiTheme="minorHAnsi" w:hAnsiTheme="minorHAnsi" w:cs="Arial"/>
                <w:sz w:val="20"/>
                <w:szCs w:val="20"/>
              </w:rPr>
              <w:t xml:space="preserve"> </w:t>
            </w:r>
            <w:r>
              <w:rPr>
                <w:rFonts w:asciiTheme="minorHAnsi" w:hAnsiTheme="minorHAnsi" w:cs="Arial"/>
                <w:sz w:val="20"/>
                <w:szCs w:val="20"/>
              </w:rPr>
              <w:t xml:space="preserve">239 </w:t>
            </w:r>
          </w:p>
        </w:tc>
      </w:tr>
    </w:tbl>
    <w:p w:rsidR="003C351E" w:rsidRDefault="003C351E" w:rsidP="00401745">
      <w:pPr>
        <w:keepNext/>
        <w:rPr>
          <w:rFonts w:asciiTheme="minorHAnsi" w:hAnsiTheme="minorHAnsi" w:cs="Arial"/>
          <w:sz w:val="20"/>
          <w:szCs w:val="20"/>
        </w:rPr>
      </w:pPr>
    </w:p>
    <w:p w:rsidR="003C351E" w:rsidRDefault="003C351E" w:rsidP="008D4EFD">
      <w:pPr>
        <w:rPr>
          <w:rFonts w:asciiTheme="minorHAnsi" w:hAnsiTheme="minorHAnsi" w:cs="Arial"/>
          <w:sz w:val="20"/>
          <w:szCs w:val="20"/>
        </w:rPr>
      </w:pPr>
    </w:p>
    <w:p w:rsidR="008D4EFD" w:rsidRDefault="007F445C" w:rsidP="008D4EFD">
      <w:pPr>
        <w:rPr>
          <w:rFonts w:asciiTheme="minorHAnsi" w:hAnsiTheme="minorHAnsi" w:cs="Arial"/>
          <w:sz w:val="20"/>
          <w:szCs w:val="20"/>
        </w:rPr>
      </w:pPr>
      <w:r>
        <w:rPr>
          <w:rFonts w:asciiTheme="minorHAnsi" w:hAnsiTheme="minorHAnsi" w:cs="Arial"/>
          <w:sz w:val="20"/>
          <w:szCs w:val="20"/>
        </w:rPr>
        <w:t xml:space="preserve">This structure would be more </w:t>
      </w:r>
      <w:r w:rsidR="00975FAE">
        <w:rPr>
          <w:rFonts w:asciiTheme="minorHAnsi" w:hAnsiTheme="minorHAnsi" w:cs="Arial"/>
          <w:sz w:val="20"/>
          <w:szCs w:val="20"/>
        </w:rPr>
        <w:t xml:space="preserve">straightforward </w:t>
      </w:r>
      <w:r>
        <w:rPr>
          <w:rFonts w:asciiTheme="minorHAnsi" w:hAnsiTheme="minorHAnsi" w:cs="Arial"/>
          <w:sz w:val="20"/>
          <w:szCs w:val="20"/>
        </w:rPr>
        <w:t>than the existing one</w:t>
      </w:r>
      <w:r w:rsidR="004E7510">
        <w:rPr>
          <w:rFonts w:asciiTheme="minorHAnsi" w:hAnsiTheme="minorHAnsi" w:cs="Arial"/>
          <w:sz w:val="20"/>
          <w:szCs w:val="20"/>
        </w:rPr>
        <w:t>, because the duties applying to each chain party would be easier to find</w:t>
      </w:r>
      <w:r>
        <w:rPr>
          <w:rFonts w:asciiTheme="minorHAnsi" w:hAnsiTheme="minorHAnsi" w:cs="Arial"/>
          <w:sz w:val="20"/>
          <w:szCs w:val="20"/>
        </w:rPr>
        <w:t xml:space="preserve">. </w:t>
      </w:r>
      <w:r w:rsidR="00975FAE">
        <w:rPr>
          <w:rFonts w:asciiTheme="minorHAnsi" w:hAnsiTheme="minorHAnsi" w:cs="Arial"/>
          <w:sz w:val="20"/>
          <w:szCs w:val="20"/>
        </w:rPr>
        <w:t>In line with legislative drafting</w:t>
      </w:r>
      <w:r w:rsidR="004E7510">
        <w:rPr>
          <w:rFonts w:asciiTheme="minorHAnsi" w:hAnsiTheme="minorHAnsi" w:cs="Arial"/>
          <w:sz w:val="20"/>
          <w:szCs w:val="20"/>
        </w:rPr>
        <w:t xml:space="preserve"> best </w:t>
      </w:r>
      <w:r w:rsidR="004E7510">
        <w:rPr>
          <w:rFonts w:asciiTheme="minorHAnsi" w:hAnsiTheme="minorHAnsi" w:cs="Arial"/>
          <w:sz w:val="20"/>
          <w:szCs w:val="20"/>
        </w:rPr>
        <w:lastRenderedPageBreak/>
        <w:t>practice</w:t>
      </w:r>
      <w:r w:rsidR="00975FAE">
        <w:rPr>
          <w:rFonts w:asciiTheme="minorHAnsi" w:hAnsiTheme="minorHAnsi" w:cs="Arial"/>
          <w:sz w:val="20"/>
          <w:szCs w:val="20"/>
        </w:rPr>
        <w:t>, t</w:t>
      </w:r>
      <w:r>
        <w:rPr>
          <w:rFonts w:asciiTheme="minorHAnsi" w:hAnsiTheme="minorHAnsi" w:cs="Arial"/>
          <w:sz w:val="20"/>
          <w:szCs w:val="20"/>
        </w:rPr>
        <w:t>he</w:t>
      </w:r>
      <w:r w:rsidR="004E7510">
        <w:rPr>
          <w:rFonts w:asciiTheme="minorHAnsi" w:hAnsiTheme="minorHAnsi" w:cs="Arial"/>
          <w:sz w:val="20"/>
          <w:szCs w:val="20"/>
        </w:rPr>
        <w:t xml:space="preserve"> important concepts in the law w</w:t>
      </w:r>
      <w:r>
        <w:rPr>
          <w:rFonts w:asciiTheme="minorHAnsi" w:hAnsiTheme="minorHAnsi" w:cs="Arial"/>
          <w:sz w:val="20"/>
          <w:szCs w:val="20"/>
        </w:rPr>
        <w:t xml:space="preserve">ould be stated as its central elements, instead of </w:t>
      </w:r>
      <w:r w:rsidR="00165DB1">
        <w:rPr>
          <w:rFonts w:asciiTheme="minorHAnsi" w:hAnsiTheme="minorHAnsi" w:cs="Arial"/>
          <w:sz w:val="20"/>
          <w:szCs w:val="20"/>
        </w:rPr>
        <w:t xml:space="preserve">being </w:t>
      </w:r>
      <w:r>
        <w:rPr>
          <w:rFonts w:asciiTheme="minorHAnsi" w:hAnsiTheme="minorHAnsi" w:cs="Arial"/>
          <w:sz w:val="20"/>
          <w:szCs w:val="20"/>
        </w:rPr>
        <w:t>buried in a morass of detail.</w:t>
      </w:r>
      <w:r w:rsidR="004E7510">
        <w:rPr>
          <w:rStyle w:val="FootnoteReference"/>
          <w:rFonts w:asciiTheme="minorHAnsi" w:hAnsiTheme="minorHAnsi"/>
          <w:sz w:val="20"/>
          <w:szCs w:val="20"/>
        </w:rPr>
        <w:footnoteReference w:id="16"/>
      </w:r>
      <w:r>
        <w:rPr>
          <w:rFonts w:asciiTheme="minorHAnsi" w:hAnsiTheme="minorHAnsi" w:cs="Arial"/>
          <w:sz w:val="20"/>
          <w:szCs w:val="20"/>
        </w:rPr>
        <w:t xml:space="preserve"> The duplicated </w:t>
      </w:r>
      <w:r w:rsidR="006A4BA5">
        <w:rPr>
          <w:rFonts w:asciiTheme="minorHAnsi" w:hAnsiTheme="minorHAnsi" w:cs="Arial"/>
          <w:sz w:val="20"/>
          <w:szCs w:val="20"/>
        </w:rPr>
        <w:t xml:space="preserve">provisions </w:t>
      </w:r>
      <w:r>
        <w:rPr>
          <w:rFonts w:asciiTheme="minorHAnsi" w:hAnsiTheme="minorHAnsi" w:cs="Arial"/>
          <w:sz w:val="20"/>
          <w:szCs w:val="20"/>
        </w:rPr>
        <w:t>in each chapter could be r</w:t>
      </w:r>
      <w:r w:rsidR="004E7510">
        <w:rPr>
          <w:rFonts w:asciiTheme="minorHAnsi" w:hAnsiTheme="minorHAnsi" w:cs="Arial"/>
          <w:sz w:val="20"/>
          <w:szCs w:val="20"/>
        </w:rPr>
        <w:t>ationalised</w:t>
      </w:r>
      <w:r>
        <w:rPr>
          <w:rFonts w:asciiTheme="minorHAnsi" w:hAnsiTheme="minorHAnsi" w:cs="Arial"/>
          <w:sz w:val="20"/>
          <w:szCs w:val="20"/>
        </w:rPr>
        <w:t xml:space="preserve">, which would </w:t>
      </w:r>
      <w:r w:rsidR="004E7510">
        <w:rPr>
          <w:rFonts w:asciiTheme="minorHAnsi" w:hAnsiTheme="minorHAnsi" w:cs="Arial"/>
          <w:sz w:val="20"/>
          <w:szCs w:val="20"/>
        </w:rPr>
        <w:t xml:space="preserve">further </w:t>
      </w:r>
      <w:r>
        <w:rPr>
          <w:rFonts w:asciiTheme="minorHAnsi" w:hAnsiTheme="minorHAnsi" w:cs="Arial"/>
          <w:sz w:val="20"/>
          <w:szCs w:val="20"/>
        </w:rPr>
        <w:t>simplify and reduce the length of the law.</w:t>
      </w:r>
    </w:p>
    <w:p w:rsidR="00EF681E" w:rsidRDefault="00EF681E" w:rsidP="008D4EFD">
      <w:pPr>
        <w:rPr>
          <w:rFonts w:asciiTheme="minorHAnsi" w:hAnsiTheme="minorHAnsi" w:cs="Arial"/>
          <w:sz w:val="20"/>
          <w:szCs w:val="20"/>
        </w:rPr>
      </w:pPr>
    </w:p>
    <w:p w:rsidR="003F600B" w:rsidRDefault="009B4F13" w:rsidP="003F600B">
      <w:pPr>
        <w:rPr>
          <w:rFonts w:asciiTheme="minorHAnsi" w:hAnsiTheme="minorHAnsi" w:cs="Arial"/>
          <w:sz w:val="20"/>
          <w:szCs w:val="20"/>
        </w:rPr>
      </w:pPr>
      <w:r>
        <w:rPr>
          <w:rFonts w:asciiTheme="minorHAnsi" w:hAnsiTheme="minorHAnsi" w:cs="Arial"/>
          <w:sz w:val="20"/>
          <w:szCs w:val="20"/>
        </w:rPr>
        <w:t>T</w:t>
      </w:r>
      <w:r w:rsidR="003F600B">
        <w:rPr>
          <w:rFonts w:asciiTheme="minorHAnsi" w:hAnsiTheme="minorHAnsi" w:cs="Arial"/>
          <w:sz w:val="20"/>
          <w:szCs w:val="20"/>
        </w:rPr>
        <w:t xml:space="preserve">he proposed structure would be broadly consistent with the structure of part 2 of the </w:t>
      </w:r>
      <w:r w:rsidR="001B27CF">
        <w:rPr>
          <w:rFonts w:asciiTheme="minorHAnsi" w:hAnsiTheme="minorHAnsi" w:cs="Arial"/>
          <w:sz w:val="20"/>
          <w:szCs w:val="20"/>
        </w:rPr>
        <w:t>model Work Health and Safety Act</w:t>
      </w:r>
      <w:r w:rsidR="003F600B">
        <w:rPr>
          <w:rFonts w:asciiTheme="minorHAnsi" w:hAnsiTheme="minorHAnsi" w:cs="Arial"/>
          <w:sz w:val="20"/>
          <w:szCs w:val="20"/>
        </w:rPr>
        <w:t>. This is deliberate. Trucking industry personnel who deal with chain of responsibility compliance are almost always responsible for work health and safety as well. Aligning the structure of the two laws would make the HVNL more straightforward for them to use.</w:t>
      </w:r>
    </w:p>
    <w:p w:rsidR="003F600B" w:rsidRDefault="003F600B" w:rsidP="008D4EFD">
      <w:pPr>
        <w:rPr>
          <w:rFonts w:asciiTheme="minorHAnsi" w:hAnsiTheme="minorHAnsi" w:cs="Arial"/>
          <w:sz w:val="20"/>
          <w:szCs w:val="20"/>
        </w:rPr>
      </w:pPr>
    </w:p>
    <w:p w:rsidR="004E7510" w:rsidRDefault="004E7510" w:rsidP="008D4EFD">
      <w:pPr>
        <w:rPr>
          <w:rFonts w:asciiTheme="minorHAnsi" w:hAnsiTheme="minorHAnsi" w:cs="Arial"/>
          <w:sz w:val="20"/>
          <w:szCs w:val="20"/>
        </w:rPr>
      </w:pPr>
      <w:r>
        <w:rPr>
          <w:rFonts w:asciiTheme="minorHAnsi" w:hAnsiTheme="minorHAnsi" w:cs="Arial"/>
          <w:sz w:val="20"/>
          <w:szCs w:val="20"/>
        </w:rPr>
        <w:t>The</w:t>
      </w:r>
      <w:r w:rsidR="00D80C44">
        <w:rPr>
          <w:rFonts w:asciiTheme="minorHAnsi" w:hAnsiTheme="minorHAnsi" w:cs="Arial"/>
          <w:sz w:val="20"/>
          <w:szCs w:val="20"/>
        </w:rPr>
        <w:t xml:space="preserve"> ATA believes the</w:t>
      </w:r>
      <w:r>
        <w:rPr>
          <w:rFonts w:asciiTheme="minorHAnsi" w:hAnsiTheme="minorHAnsi" w:cs="Arial"/>
          <w:sz w:val="20"/>
          <w:szCs w:val="20"/>
        </w:rPr>
        <w:t xml:space="preserve"> restructure should include the creation of new CoR duties covering mass, dimension and load restraint, and also vehicle standards and safety. The ATA has previously recommended that</w:t>
      </w:r>
      <w:r w:rsidR="003F600B">
        <w:rPr>
          <w:rFonts w:asciiTheme="minorHAnsi" w:hAnsiTheme="minorHAnsi" w:cs="Arial"/>
          <w:sz w:val="20"/>
          <w:szCs w:val="20"/>
        </w:rPr>
        <w:t xml:space="preserve"> these duties should be created.</w:t>
      </w:r>
      <w:r>
        <w:rPr>
          <w:rStyle w:val="FootnoteReference"/>
          <w:rFonts w:asciiTheme="minorHAnsi" w:hAnsiTheme="minorHAnsi"/>
          <w:sz w:val="20"/>
          <w:szCs w:val="20"/>
        </w:rPr>
        <w:footnoteReference w:id="17"/>
      </w:r>
      <w:r w:rsidR="003F600B">
        <w:rPr>
          <w:rFonts w:asciiTheme="minorHAnsi" w:hAnsiTheme="minorHAnsi" w:cs="Arial"/>
          <w:sz w:val="20"/>
          <w:szCs w:val="20"/>
        </w:rPr>
        <w:t xml:space="preserve"> </w:t>
      </w:r>
      <w:r w:rsidR="00AB51AF">
        <w:rPr>
          <w:rFonts w:asciiTheme="minorHAnsi" w:hAnsiTheme="minorHAnsi" w:cs="Arial"/>
          <w:sz w:val="20"/>
          <w:szCs w:val="20"/>
        </w:rPr>
        <w:t>It should</w:t>
      </w:r>
      <w:r w:rsidR="00F920F7">
        <w:rPr>
          <w:rFonts w:asciiTheme="minorHAnsi" w:hAnsiTheme="minorHAnsi" w:cs="Arial"/>
          <w:sz w:val="20"/>
          <w:szCs w:val="20"/>
        </w:rPr>
        <w:t xml:space="preserve"> not involve any change to the 12 tonne threshold for applying the fatigue provisions to heavy vehicles.</w:t>
      </w:r>
    </w:p>
    <w:p w:rsidR="00C23768" w:rsidRDefault="00C23768" w:rsidP="00A26CD2">
      <w:pPr>
        <w:rPr>
          <w:rFonts w:asciiTheme="minorHAnsi" w:hAnsiTheme="minorHAnsi" w:cs="Arial"/>
          <w:sz w:val="20"/>
          <w:szCs w:val="20"/>
        </w:rPr>
      </w:pPr>
    </w:p>
    <w:p w:rsidR="007E6327" w:rsidRDefault="007E6327" w:rsidP="00A26CD2">
      <w:pPr>
        <w:rPr>
          <w:rFonts w:asciiTheme="minorHAnsi" w:hAnsiTheme="minorHAnsi" w:cs="Arial"/>
          <w:sz w:val="20"/>
          <w:szCs w:val="20"/>
        </w:rPr>
      </w:pPr>
    </w:p>
    <w:p w:rsidR="007E6327" w:rsidRPr="007E6327" w:rsidRDefault="007E6327" w:rsidP="00E132F0">
      <w:pPr>
        <w:keepNext/>
        <w:rPr>
          <w:rFonts w:asciiTheme="minorHAnsi" w:hAnsiTheme="minorHAnsi" w:cs="Arial"/>
          <w:b/>
          <w:sz w:val="20"/>
          <w:szCs w:val="20"/>
        </w:rPr>
      </w:pPr>
      <w:r w:rsidRPr="007E6327">
        <w:rPr>
          <w:rFonts w:asciiTheme="minorHAnsi" w:hAnsiTheme="minorHAnsi" w:cs="Arial"/>
          <w:b/>
          <w:sz w:val="20"/>
          <w:szCs w:val="20"/>
        </w:rPr>
        <w:lastRenderedPageBreak/>
        <w:t>Recommendation 1</w:t>
      </w:r>
    </w:p>
    <w:p w:rsidR="00593B10" w:rsidRDefault="00593B10" w:rsidP="00E132F0">
      <w:pPr>
        <w:keepNext/>
        <w:rPr>
          <w:rFonts w:asciiTheme="minorHAnsi" w:hAnsiTheme="minorHAnsi" w:cs="Arial"/>
          <w:sz w:val="20"/>
          <w:szCs w:val="20"/>
        </w:rPr>
      </w:pPr>
    </w:p>
    <w:p w:rsidR="007E6327" w:rsidRPr="005A748B" w:rsidRDefault="007E6327" w:rsidP="00E132F0">
      <w:pPr>
        <w:keepNext/>
        <w:rPr>
          <w:rFonts w:asciiTheme="minorHAnsi" w:hAnsiTheme="minorHAnsi" w:cs="Arial"/>
          <w:b/>
          <w:sz w:val="20"/>
          <w:szCs w:val="20"/>
        </w:rPr>
      </w:pPr>
      <w:r w:rsidRPr="005A748B">
        <w:rPr>
          <w:rFonts w:asciiTheme="minorHAnsi" w:hAnsiTheme="minorHAnsi" w:cs="Arial"/>
          <w:b/>
          <w:sz w:val="20"/>
          <w:szCs w:val="20"/>
        </w:rPr>
        <w:t>The CoR duties in the HVNL should be consolidated into a single chapter and structured on the basis of who holds the duty. Duplicated provisions should be removed.</w:t>
      </w:r>
    </w:p>
    <w:p w:rsidR="007E6327" w:rsidRDefault="007E6327" w:rsidP="00A26CD2">
      <w:pPr>
        <w:rPr>
          <w:rFonts w:asciiTheme="minorHAnsi" w:hAnsiTheme="minorHAnsi" w:cs="Arial"/>
          <w:sz w:val="20"/>
          <w:szCs w:val="20"/>
        </w:rPr>
      </w:pPr>
    </w:p>
    <w:p w:rsidR="004E6C3A" w:rsidRPr="0024119B" w:rsidRDefault="004E6C3A" w:rsidP="00DE7032">
      <w:pPr>
        <w:pStyle w:val="NoSpacing"/>
        <w:keepNext/>
        <w:rPr>
          <w:rFonts w:asciiTheme="minorHAnsi" w:hAnsiTheme="minorHAnsi" w:cs="Arial"/>
          <w:b/>
          <w:sz w:val="20"/>
          <w:szCs w:val="20"/>
        </w:rPr>
      </w:pPr>
      <w:r w:rsidRPr="0024119B">
        <w:rPr>
          <w:rFonts w:asciiTheme="minorHAnsi" w:hAnsiTheme="minorHAnsi" w:cs="Arial"/>
          <w:b/>
          <w:sz w:val="20"/>
          <w:szCs w:val="20"/>
        </w:rPr>
        <w:t>Recommendation</w:t>
      </w:r>
      <w:r>
        <w:rPr>
          <w:rFonts w:asciiTheme="minorHAnsi" w:hAnsiTheme="minorHAnsi" w:cs="Arial"/>
          <w:b/>
          <w:sz w:val="20"/>
          <w:szCs w:val="20"/>
        </w:rPr>
        <w:t xml:space="preserve"> 2</w:t>
      </w:r>
    </w:p>
    <w:p w:rsidR="004E6C3A" w:rsidRPr="0024119B" w:rsidRDefault="004E6C3A" w:rsidP="00DE7032">
      <w:pPr>
        <w:pStyle w:val="NoSpacing"/>
        <w:keepNext/>
        <w:rPr>
          <w:rFonts w:asciiTheme="minorHAnsi" w:hAnsiTheme="minorHAnsi" w:cs="Arial"/>
          <w:b/>
          <w:sz w:val="20"/>
          <w:szCs w:val="20"/>
        </w:rPr>
      </w:pPr>
    </w:p>
    <w:p w:rsidR="004E6C3A" w:rsidRPr="0024119B" w:rsidRDefault="00C44F52" w:rsidP="00DE7032">
      <w:pPr>
        <w:keepNext/>
        <w:rPr>
          <w:rFonts w:asciiTheme="minorHAnsi" w:hAnsiTheme="minorHAnsi" w:cs="Arial"/>
          <w:sz w:val="20"/>
          <w:szCs w:val="20"/>
        </w:rPr>
      </w:pPr>
      <w:r>
        <w:rPr>
          <w:rFonts w:asciiTheme="minorHAnsi" w:hAnsiTheme="minorHAnsi" w:cs="Arial"/>
          <w:b/>
          <w:sz w:val="20"/>
          <w:szCs w:val="20"/>
        </w:rPr>
        <w:t>C</w:t>
      </w:r>
      <w:r w:rsidR="004E6C3A">
        <w:rPr>
          <w:rFonts w:asciiTheme="minorHAnsi" w:hAnsiTheme="minorHAnsi" w:cs="Arial"/>
          <w:b/>
          <w:sz w:val="20"/>
          <w:szCs w:val="20"/>
        </w:rPr>
        <w:t xml:space="preserve">hapter 1A of the HVNL should impose </w:t>
      </w:r>
      <w:r w:rsidR="004E6C3A" w:rsidRPr="0024119B">
        <w:rPr>
          <w:rFonts w:asciiTheme="minorHAnsi" w:hAnsiTheme="minorHAnsi" w:cs="Arial"/>
          <w:b/>
          <w:sz w:val="20"/>
          <w:szCs w:val="20"/>
        </w:rPr>
        <w:t>duties on supply chain participants in relation to mass, dimension and load restraint</w:t>
      </w:r>
      <w:r w:rsidR="004E6C3A">
        <w:rPr>
          <w:rFonts w:asciiTheme="minorHAnsi" w:hAnsiTheme="minorHAnsi" w:cs="Arial"/>
          <w:b/>
          <w:sz w:val="20"/>
          <w:szCs w:val="20"/>
        </w:rPr>
        <w:t>.</w:t>
      </w:r>
    </w:p>
    <w:p w:rsidR="004E7034" w:rsidRDefault="004E7034" w:rsidP="00A26CD2">
      <w:pPr>
        <w:rPr>
          <w:rFonts w:asciiTheme="minorHAnsi" w:hAnsiTheme="minorHAnsi" w:cs="Arial"/>
          <w:sz w:val="20"/>
          <w:szCs w:val="20"/>
        </w:rPr>
      </w:pPr>
    </w:p>
    <w:p w:rsidR="00D80C44" w:rsidRDefault="00D80C44" w:rsidP="00A26CD2">
      <w:pPr>
        <w:rPr>
          <w:rFonts w:asciiTheme="minorHAnsi" w:hAnsiTheme="minorHAnsi" w:cs="Arial"/>
          <w:sz w:val="20"/>
          <w:szCs w:val="20"/>
        </w:rPr>
      </w:pPr>
    </w:p>
    <w:p w:rsidR="004E6C3A" w:rsidRPr="0020535C" w:rsidRDefault="00D80C44" w:rsidP="004E6C3A">
      <w:pPr>
        <w:rPr>
          <w:rFonts w:asciiTheme="minorHAnsi" w:hAnsiTheme="minorHAnsi" w:cs="Arial"/>
          <w:b/>
          <w:sz w:val="20"/>
          <w:szCs w:val="20"/>
        </w:rPr>
      </w:pPr>
      <w:r>
        <w:rPr>
          <w:rFonts w:asciiTheme="minorHAnsi" w:hAnsiTheme="minorHAnsi" w:cs="Arial"/>
          <w:b/>
          <w:sz w:val="20"/>
          <w:szCs w:val="20"/>
        </w:rPr>
        <w:t>R</w:t>
      </w:r>
      <w:r w:rsidR="004E6C3A">
        <w:rPr>
          <w:rFonts w:asciiTheme="minorHAnsi" w:hAnsiTheme="minorHAnsi" w:cs="Arial"/>
          <w:b/>
          <w:sz w:val="20"/>
          <w:szCs w:val="20"/>
        </w:rPr>
        <w:t>ecommendation 3</w:t>
      </w:r>
    </w:p>
    <w:p w:rsidR="004E6C3A" w:rsidRPr="0020535C" w:rsidRDefault="004E6C3A" w:rsidP="004E6C3A">
      <w:pPr>
        <w:rPr>
          <w:rFonts w:asciiTheme="minorHAnsi" w:hAnsiTheme="minorHAnsi" w:cs="Arial"/>
          <w:b/>
          <w:sz w:val="20"/>
          <w:szCs w:val="20"/>
        </w:rPr>
      </w:pPr>
    </w:p>
    <w:p w:rsidR="004E6C3A" w:rsidRPr="0020535C" w:rsidRDefault="00C44F52" w:rsidP="004E6C3A">
      <w:pPr>
        <w:rPr>
          <w:rFonts w:asciiTheme="minorHAnsi" w:hAnsiTheme="minorHAnsi" w:cs="Arial"/>
          <w:b/>
          <w:sz w:val="20"/>
          <w:szCs w:val="20"/>
        </w:rPr>
      </w:pPr>
      <w:r>
        <w:rPr>
          <w:rFonts w:asciiTheme="minorHAnsi" w:hAnsiTheme="minorHAnsi" w:cs="Arial"/>
          <w:b/>
          <w:sz w:val="20"/>
          <w:szCs w:val="20"/>
        </w:rPr>
        <w:t>C</w:t>
      </w:r>
      <w:r w:rsidR="004E6C3A">
        <w:rPr>
          <w:rFonts w:asciiTheme="minorHAnsi" w:hAnsiTheme="minorHAnsi" w:cs="Arial"/>
          <w:b/>
          <w:sz w:val="20"/>
          <w:szCs w:val="20"/>
        </w:rPr>
        <w:t>hapter 1A of the HVNL should require</w:t>
      </w:r>
      <w:r w:rsidR="004E6C3A" w:rsidRPr="0020535C">
        <w:rPr>
          <w:rFonts w:asciiTheme="minorHAnsi" w:hAnsiTheme="minorHAnsi" w:cs="Arial"/>
          <w:b/>
          <w:sz w:val="20"/>
          <w:szCs w:val="20"/>
        </w:rPr>
        <w:t xml:space="preserve"> chain parties to ensure</w:t>
      </w:r>
      <w:r w:rsidR="0022435C">
        <w:rPr>
          <w:rFonts w:asciiTheme="minorHAnsi" w:hAnsiTheme="minorHAnsi" w:cs="Arial"/>
          <w:b/>
          <w:sz w:val="20"/>
          <w:szCs w:val="20"/>
        </w:rPr>
        <w:t xml:space="preserve">, </w:t>
      </w:r>
      <w:r w:rsidR="009B4F13">
        <w:rPr>
          <w:rFonts w:asciiTheme="minorHAnsi" w:hAnsiTheme="minorHAnsi" w:cs="Arial"/>
          <w:b/>
          <w:sz w:val="20"/>
          <w:szCs w:val="20"/>
        </w:rPr>
        <w:t>so far</w:t>
      </w:r>
      <w:r w:rsidR="0022435C">
        <w:rPr>
          <w:rFonts w:asciiTheme="minorHAnsi" w:hAnsiTheme="minorHAnsi" w:cs="Arial"/>
          <w:b/>
          <w:sz w:val="20"/>
          <w:szCs w:val="20"/>
        </w:rPr>
        <w:t xml:space="preserve"> as is reasonably practicable, that</w:t>
      </w:r>
      <w:r w:rsidR="004E6C3A" w:rsidRPr="0020535C">
        <w:rPr>
          <w:rFonts w:asciiTheme="minorHAnsi" w:hAnsiTheme="minorHAnsi" w:cs="Arial"/>
          <w:b/>
          <w:sz w:val="20"/>
          <w:szCs w:val="20"/>
        </w:rPr>
        <w:t xml:space="preserve"> vehicles are free of defects, safe and maintained in a roadworthy condition. </w:t>
      </w:r>
      <w:r w:rsidR="004E6C3A">
        <w:rPr>
          <w:rFonts w:asciiTheme="minorHAnsi" w:hAnsiTheme="minorHAnsi" w:cs="Arial"/>
          <w:b/>
          <w:sz w:val="20"/>
          <w:szCs w:val="20"/>
        </w:rPr>
        <w:t>This requirement should be extended to o</w:t>
      </w:r>
      <w:r w:rsidR="004E6C3A" w:rsidRPr="0020535C">
        <w:rPr>
          <w:rFonts w:asciiTheme="minorHAnsi" w:hAnsiTheme="minorHAnsi" w:cs="Arial"/>
          <w:b/>
          <w:sz w:val="20"/>
          <w:szCs w:val="20"/>
        </w:rPr>
        <w:t>utsourced vehicle maintenance providers.</w:t>
      </w:r>
    </w:p>
    <w:p w:rsidR="004E6C3A" w:rsidRDefault="004E6C3A" w:rsidP="00A26CD2">
      <w:pPr>
        <w:rPr>
          <w:rFonts w:asciiTheme="minorHAnsi" w:hAnsiTheme="minorHAnsi" w:cs="Arial"/>
          <w:sz w:val="20"/>
          <w:szCs w:val="20"/>
        </w:rPr>
      </w:pPr>
    </w:p>
    <w:p w:rsidR="004E6C3A" w:rsidRDefault="004E6C3A" w:rsidP="00A26CD2">
      <w:pPr>
        <w:rPr>
          <w:rFonts w:asciiTheme="minorHAnsi" w:hAnsiTheme="minorHAnsi" w:cs="Arial"/>
          <w:sz w:val="20"/>
          <w:szCs w:val="20"/>
        </w:rPr>
      </w:pPr>
    </w:p>
    <w:p w:rsidR="00CF1471" w:rsidRPr="00C00755" w:rsidRDefault="002F1319" w:rsidP="00C00755">
      <w:pPr>
        <w:pStyle w:val="Heading2"/>
        <w:spacing w:before="0"/>
        <w:rPr>
          <w:rFonts w:asciiTheme="minorHAnsi" w:hAnsiTheme="minorHAnsi" w:cs="Arial"/>
          <w:color w:val="auto"/>
          <w:sz w:val="24"/>
          <w:szCs w:val="24"/>
        </w:rPr>
      </w:pPr>
      <w:bookmarkStart w:id="7" w:name="_Toc410388151"/>
      <w:r w:rsidRPr="00C00755">
        <w:rPr>
          <w:rFonts w:asciiTheme="minorHAnsi" w:hAnsiTheme="minorHAnsi" w:cs="Arial"/>
          <w:color w:val="auto"/>
          <w:sz w:val="24"/>
          <w:szCs w:val="24"/>
        </w:rPr>
        <w:lastRenderedPageBreak/>
        <w:t>Chapter based</w:t>
      </w:r>
      <w:r w:rsidR="00934AB4" w:rsidRPr="00C00755">
        <w:rPr>
          <w:rFonts w:asciiTheme="minorHAnsi" w:hAnsiTheme="minorHAnsi" w:cs="Arial"/>
          <w:color w:val="auto"/>
          <w:sz w:val="24"/>
          <w:szCs w:val="24"/>
        </w:rPr>
        <w:t xml:space="preserve"> duties for safety and standards, MDLR and speed compliance</w:t>
      </w:r>
      <w:bookmarkEnd w:id="7"/>
    </w:p>
    <w:p w:rsidR="007D2632" w:rsidRDefault="007D2632">
      <w:pPr>
        <w:rPr>
          <w:rFonts w:asciiTheme="minorHAnsi" w:hAnsiTheme="minorHAnsi" w:cs="Arial"/>
          <w:sz w:val="20"/>
          <w:szCs w:val="20"/>
        </w:rPr>
      </w:pPr>
    </w:p>
    <w:p w:rsidR="002F1319" w:rsidRDefault="009B3D15">
      <w:pPr>
        <w:rPr>
          <w:rFonts w:asciiTheme="minorHAnsi" w:hAnsiTheme="minorHAnsi" w:cs="Arial"/>
          <w:sz w:val="20"/>
          <w:szCs w:val="20"/>
        </w:rPr>
      </w:pPr>
      <w:r>
        <w:rPr>
          <w:rFonts w:asciiTheme="minorHAnsi" w:hAnsiTheme="minorHAnsi" w:cs="Arial"/>
          <w:sz w:val="20"/>
          <w:szCs w:val="20"/>
        </w:rPr>
        <w:t xml:space="preserve">The ATA recognises the value of adding what the discussion paper calls chapter </w:t>
      </w:r>
      <w:r w:rsidR="002F1319">
        <w:rPr>
          <w:rFonts w:asciiTheme="minorHAnsi" w:hAnsiTheme="minorHAnsi" w:cs="Arial"/>
          <w:sz w:val="20"/>
          <w:szCs w:val="20"/>
        </w:rPr>
        <w:t xml:space="preserve">based </w:t>
      </w:r>
      <w:r>
        <w:rPr>
          <w:rFonts w:asciiTheme="minorHAnsi" w:hAnsiTheme="minorHAnsi" w:cs="Arial"/>
          <w:sz w:val="20"/>
          <w:szCs w:val="20"/>
        </w:rPr>
        <w:t xml:space="preserve">duties relating to vehicle safety and standards, MDLR and speed compliance to the law. </w:t>
      </w:r>
      <w:r w:rsidR="002F1319">
        <w:rPr>
          <w:rFonts w:asciiTheme="minorHAnsi" w:hAnsiTheme="minorHAnsi" w:cs="Arial"/>
          <w:sz w:val="20"/>
          <w:szCs w:val="20"/>
        </w:rPr>
        <w:t xml:space="preserve">There is already a chapter based duty </w:t>
      </w:r>
      <w:r w:rsidR="00FD0A57">
        <w:rPr>
          <w:rFonts w:asciiTheme="minorHAnsi" w:hAnsiTheme="minorHAnsi" w:cs="Arial"/>
          <w:sz w:val="20"/>
          <w:szCs w:val="20"/>
        </w:rPr>
        <w:t>relating to fatigue (s229), and the ATA envisages that the new duties would be along the same lines.</w:t>
      </w:r>
      <w:r w:rsidR="00F920F7">
        <w:rPr>
          <w:rFonts w:asciiTheme="minorHAnsi" w:hAnsiTheme="minorHAnsi" w:cs="Arial"/>
          <w:sz w:val="20"/>
          <w:szCs w:val="20"/>
        </w:rPr>
        <w:t xml:space="preserve"> </w:t>
      </w:r>
      <w:r w:rsidR="00AB51AF">
        <w:rPr>
          <w:rFonts w:asciiTheme="minorHAnsi" w:hAnsiTheme="minorHAnsi" w:cs="Arial"/>
          <w:sz w:val="20"/>
          <w:szCs w:val="20"/>
        </w:rPr>
        <w:t>T</w:t>
      </w:r>
      <w:r w:rsidR="00F920F7">
        <w:rPr>
          <w:rFonts w:asciiTheme="minorHAnsi" w:hAnsiTheme="minorHAnsi" w:cs="Arial"/>
          <w:sz w:val="20"/>
          <w:szCs w:val="20"/>
        </w:rPr>
        <w:t>he 12 tonne threshold for applying the fatigue provisions to heavy vehicles</w:t>
      </w:r>
      <w:r w:rsidR="00AB51AF">
        <w:rPr>
          <w:rFonts w:asciiTheme="minorHAnsi" w:hAnsiTheme="minorHAnsi" w:cs="Arial"/>
          <w:sz w:val="20"/>
          <w:szCs w:val="20"/>
        </w:rPr>
        <w:t xml:space="preserve"> should not be changed</w:t>
      </w:r>
      <w:r w:rsidR="00F920F7">
        <w:rPr>
          <w:rFonts w:asciiTheme="minorHAnsi" w:hAnsiTheme="minorHAnsi" w:cs="Arial"/>
          <w:sz w:val="20"/>
          <w:szCs w:val="20"/>
        </w:rPr>
        <w:t>.</w:t>
      </w:r>
    </w:p>
    <w:p w:rsidR="00FD0A57" w:rsidRDefault="00FD0A57">
      <w:pPr>
        <w:rPr>
          <w:rFonts w:asciiTheme="minorHAnsi" w:hAnsiTheme="minorHAnsi" w:cs="Arial"/>
          <w:sz w:val="20"/>
          <w:szCs w:val="20"/>
        </w:rPr>
      </w:pPr>
    </w:p>
    <w:p w:rsidR="009B3D15" w:rsidRDefault="009B3D15">
      <w:pPr>
        <w:rPr>
          <w:rFonts w:asciiTheme="minorHAnsi" w:hAnsiTheme="minorHAnsi" w:cs="Arial"/>
          <w:sz w:val="20"/>
          <w:szCs w:val="20"/>
        </w:rPr>
      </w:pPr>
      <w:r>
        <w:rPr>
          <w:rFonts w:asciiTheme="minorHAnsi" w:hAnsiTheme="minorHAnsi" w:cs="Arial"/>
          <w:sz w:val="20"/>
          <w:szCs w:val="20"/>
        </w:rPr>
        <w:t xml:space="preserve">Adding </w:t>
      </w:r>
      <w:r w:rsidR="00FD0A57">
        <w:rPr>
          <w:rFonts w:asciiTheme="minorHAnsi" w:hAnsiTheme="minorHAnsi" w:cs="Arial"/>
          <w:sz w:val="20"/>
          <w:szCs w:val="20"/>
        </w:rPr>
        <w:t xml:space="preserve">chapter based </w:t>
      </w:r>
      <w:r>
        <w:rPr>
          <w:rFonts w:asciiTheme="minorHAnsi" w:hAnsiTheme="minorHAnsi" w:cs="Arial"/>
          <w:sz w:val="20"/>
          <w:szCs w:val="20"/>
        </w:rPr>
        <w:t xml:space="preserve">duties </w:t>
      </w:r>
      <w:r w:rsidR="00FD0A57">
        <w:rPr>
          <w:rFonts w:asciiTheme="minorHAnsi" w:hAnsiTheme="minorHAnsi" w:cs="Arial"/>
          <w:sz w:val="20"/>
          <w:szCs w:val="20"/>
        </w:rPr>
        <w:t xml:space="preserve">to the HVNL </w:t>
      </w:r>
      <w:r>
        <w:rPr>
          <w:rFonts w:asciiTheme="minorHAnsi" w:hAnsiTheme="minorHAnsi" w:cs="Arial"/>
          <w:sz w:val="20"/>
          <w:szCs w:val="20"/>
        </w:rPr>
        <w:t>would:</w:t>
      </w:r>
    </w:p>
    <w:p w:rsidR="009B3D15" w:rsidRDefault="009B3D15">
      <w:pPr>
        <w:rPr>
          <w:rFonts w:asciiTheme="minorHAnsi" w:hAnsiTheme="minorHAnsi" w:cs="Arial"/>
          <w:sz w:val="20"/>
          <w:szCs w:val="20"/>
        </w:rPr>
      </w:pPr>
    </w:p>
    <w:p w:rsidR="007D2632" w:rsidRPr="001477F7" w:rsidRDefault="001477F7" w:rsidP="0044412E">
      <w:pPr>
        <w:pStyle w:val="ListParagraph"/>
        <w:numPr>
          <w:ilvl w:val="0"/>
          <w:numId w:val="4"/>
        </w:numPr>
        <w:spacing w:after="0" w:line="240" w:lineRule="auto"/>
        <w:rPr>
          <w:rFonts w:asciiTheme="minorHAnsi" w:hAnsiTheme="minorHAnsi" w:cs="Arial"/>
          <w:sz w:val="20"/>
          <w:szCs w:val="20"/>
        </w:rPr>
      </w:pPr>
      <w:r w:rsidRPr="001477F7">
        <w:rPr>
          <w:rFonts w:asciiTheme="minorHAnsi" w:hAnsiTheme="minorHAnsi" w:cs="Arial"/>
          <w:sz w:val="20"/>
          <w:szCs w:val="20"/>
        </w:rPr>
        <w:t xml:space="preserve">fill in </w:t>
      </w:r>
      <w:r w:rsidR="00FD0A57">
        <w:rPr>
          <w:rFonts w:asciiTheme="minorHAnsi" w:hAnsiTheme="minorHAnsi" w:cs="Arial"/>
          <w:sz w:val="20"/>
          <w:szCs w:val="20"/>
        </w:rPr>
        <w:t xml:space="preserve">the </w:t>
      </w:r>
      <w:r w:rsidRPr="001477F7">
        <w:rPr>
          <w:rFonts w:asciiTheme="minorHAnsi" w:hAnsiTheme="minorHAnsi" w:cs="Arial"/>
          <w:sz w:val="20"/>
          <w:szCs w:val="20"/>
        </w:rPr>
        <w:t xml:space="preserve">gaps in the existing </w:t>
      </w:r>
      <w:r w:rsidR="00FD0A57">
        <w:rPr>
          <w:rFonts w:asciiTheme="minorHAnsi" w:hAnsiTheme="minorHAnsi" w:cs="Arial"/>
          <w:sz w:val="20"/>
          <w:szCs w:val="20"/>
        </w:rPr>
        <w:t>duties</w:t>
      </w:r>
      <w:r w:rsidRPr="001477F7">
        <w:rPr>
          <w:rFonts w:asciiTheme="minorHAnsi" w:hAnsiTheme="minorHAnsi" w:cs="Arial"/>
          <w:sz w:val="20"/>
          <w:szCs w:val="20"/>
        </w:rPr>
        <w:t xml:space="preserve"> and avoid the need for </w:t>
      </w:r>
      <w:r w:rsidR="00FD0A57">
        <w:rPr>
          <w:rFonts w:asciiTheme="minorHAnsi" w:hAnsiTheme="minorHAnsi" w:cs="Arial"/>
          <w:sz w:val="20"/>
          <w:szCs w:val="20"/>
        </w:rPr>
        <w:t xml:space="preserve">tinkering with additional specific obligations </w:t>
      </w:r>
      <w:r w:rsidR="00401745">
        <w:rPr>
          <w:rFonts w:asciiTheme="minorHAnsi" w:hAnsiTheme="minorHAnsi" w:cs="Arial"/>
          <w:sz w:val="20"/>
          <w:szCs w:val="20"/>
        </w:rPr>
        <w:t>as business</w:t>
      </w:r>
      <w:r w:rsidRPr="001477F7">
        <w:rPr>
          <w:rFonts w:asciiTheme="minorHAnsi" w:hAnsiTheme="minorHAnsi" w:cs="Arial"/>
          <w:sz w:val="20"/>
          <w:szCs w:val="20"/>
        </w:rPr>
        <w:t xml:space="preserve"> practices in the industry change</w:t>
      </w:r>
    </w:p>
    <w:p w:rsidR="001477F7" w:rsidRDefault="001477F7" w:rsidP="001477F7">
      <w:pPr>
        <w:rPr>
          <w:rFonts w:asciiTheme="minorHAnsi" w:hAnsiTheme="minorHAnsi" w:cs="Arial"/>
          <w:sz w:val="20"/>
          <w:szCs w:val="20"/>
        </w:rPr>
      </w:pPr>
    </w:p>
    <w:p w:rsidR="001477F7" w:rsidRPr="001477F7" w:rsidRDefault="00FD0A57" w:rsidP="0044412E">
      <w:pPr>
        <w:pStyle w:val="ListParagraph"/>
        <w:numPr>
          <w:ilvl w:val="0"/>
          <w:numId w:val="4"/>
        </w:numPr>
        <w:spacing w:after="0" w:line="240" w:lineRule="auto"/>
        <w:rPr>
          <w:rFonts w:asciiTheme="minorHAnsi" w:hAnsiTheme="minorHAnsi" w:cs="Arial"/>
          <w:sz w:val="20"/>
          <w:szCs w:val="20"/>
        </w:rPr>
      </w:pPr>
      <w:r>
        <w:rPr>
          <w:rFonts w:asciiTheme="minorHAnsi" w:hAnsiTheme="minorHAnsi" w:cs="Arial"/>
          <w:sz w:val="20"/>
          <w:szCs w:val="20"/>
        </w:rPr>
        <w:t xml:space="preserve">enable the removal of some of the existing intermediate duties, because offences against these provisions </w:t>
      </w:r>
      <w:r w:rsidR="001477F7" w:rsidRPr="001477F7">
        <w:rPr>
          <w:rFonts w:asciiTheme="minorHAnsi" w:hAnsiTheme="minorHAnsi" w:cs="Arial"/>
          <w:sz w:val="20"/>
          <w:szCs w:val="20"/>
        </w:rPr>
        <w:t xml:space="preserve">could be prosecuted </w:t>
      </w:r>
      <w:r>
        <w:rPr>
          <w:rFonts w:asciiTheme="minorHAnsi" w:hAnsiTheme="minorHAnsi" w:cs="Arial"/>
          <w:sz w:val="20"/>
          <w:szCs w:val="20"/>
        </w:rPr>
        <w:t>under the relevant chapter based duty</w:t>
      </w:r>
      <w:r w:rsidR="001477F7" w:rsidRPr="001477F7">
        <w:rPr>
          <w:rFonts w:asciiTheme="minorHAnsi" w:hAnsiTheme="minorHAnsi" w:cs="Arial"/>
          <w:sz w:val="20"/>
          <w:szCs w:val="20"/>
        </w:rPr>
        <w:t>. This point is discussed further below.</w:t>
      </w:r>
    </w:p>
    <w:p w:rsidR="009B3D15" w:rsidRDefault="009B3D15">
      <w:pPr>
        <w:rPr>
          <w:rFonts w:asciiTheme="minorHAnsi" w:hAnsiTheme="minorHAnsi" w:cs="Arial"/>
          <w:sz w:val="20"/>
          <w:szCs w:val="20"/>
        </w:rPr>
      </w:pPr>
    </w:p>
    <w:p w:rsidR="00FD0A57" w:rsidRDefault="00FD0A57">
      <w:pPr>
        <w:rPr>
          <w:rFonts w:asciiTheme="minorHAnsi" w:hAnsiTheme="minorHAnsi" w:cs="Arial"/>
          <w:sz w:val="20"/>
          <w:szCs w:val="20"/>
        </w:rPr>
      </w:pPr>
      <w:r>
        <w:rPr>
          <w:rFonts w:asciiTheme="minorHAnsi" w:hAnsiTheme="minorHAnsi" w:cs="Arial"/>
          <w:sz w:val="20"/>
          <w:szCs w:val="20"/>
        </w:rPr>
        <w:lastRenderedPageBreak/>
        <w:t>The discussion paper argues that a disadvantage of the chapter based approach to duties is that numerous such duties can result in repetitive, lengthy legislation that necessitates the creation of complex guidelines.</w:t>
      </w:r>
      <w:r>
        <w:rPr>
          <w:rStyle w:val="FootnoteReference"/>
          <w:rFonts w:asciiTheme="minorHAnsi" w:hAnsiTheme="minorHAnsi"/>
          <w:sz w:val="20"/>
          <w:szCs w:val="20"/>
        </w:rPr>
        <w:footnoteReference w:id="18"/>
      </w:r>
      <w:r>
        <w:rPr>
          <w:rFonts w:asciiTheme="minorHAnsi" w:hAnsiTheme="minorHAnsi" w:cs="Arial"/>
          <w:sz w:val="20"/>
          <w:szCs w:val="20"/>
        </w:rPr>
        <w:t xml:space="preserve"> The ATA’s approach solves this problem by grouping all the duties in one place – division 2 of proposed chapter 1A.</w:t>
      </w:r>
    </w:p>
    <w:p w:rsidR="00FD0A57" w:rsidRDefault="00FD0A57">
      <w:pPr>
        <w:rPr>
          <w:rFonts w:asciiTheme="minorHAnsi" w:hAnsiTheme="minorHAnsi" w:cs="Arial"/>
          <w:sz w:val="20"/>
          <w:szCs w:val="20"/>
        </w:rPr>
      </w:pPr>
    </w:p>
    <w:p w:rsidR="002C06A8" w:rsidRDefault="002C06A8">
      <w:pPr>
        <w:rPr>
          <w:rFonts w:asciiTheme="minorHAnsi" w:hAnsiTheme="minorHAnsi" w:cs="Arial"/>
          <w:sz w:val="20"/>
          <w:szCs w:val="20"/>
        </w:rPr>
      </w:pPr>
    </w:p>
    <w:p w:rsidR="002C06A8" w:rsidRPr="002C06A8" w:rsidRDefault="0070164E" w:rsidP="00E44CAD">
      <w:pPr>
        <w:keepNext/>
        <w:rPr>
          <w:rFonts w:asciiTheme="minorHAnsi" w:hAnsiTheme="minorHAnsi" w:cs="Arial"/>
          <w:b/>
          <w:sz w:val="20"/>
          <w:szCs w:val="20"/>
        </w:rPr>
      </w:pPr>
      <w:r>
        <w:rPr>
          <w:rFonts w:asciiTheme="minorHAnsi" w:hAnsiTheme="minorHAnsi" w:cs="Arial"/>
          <w:b/>
          <w:sz w:val="20"/>
          <w:szCs w:val="20"/>
        </w:rPr>
        <w:t>Recommendation 4</w:t>
      </w:r>
    </w:p>
    <w:p w:rsidR="002C06A8" w:rsidRDefault="002C06A8" w:rsidP="00E44CAD">
      <w:pPr>
        <w:keepNext/>
        <w:rPr>
          <w:rFonts w:asciiTheme="minorHAnsi" w:hAnsiTheme="minorHAnsi" w:cs="Arial"/>
          <w:sz w:val="20"/>
          <w:szCs w:val="20"/>
        </w:rPr>
      </w:pPr>
    </w:p>
    <w:p w:rsidR="002C06A8" w:rsidRPr="002C06A8" w:rsidRDefault="002C06A8" w:rsidP="00E44CAD">
      <w:pPr>
        <w:keepNext/>
        <w:rPr>
          <w:rFonts w:asciiTheme="minorHAnsi" w:hAnsiTheme="minorHAnsi" w:cs="Arial"/>
          <w:b/>
          <w:sz w:val="20"/>
          <w:szCs w:val="20"/>
        </w:rPr>
      </w:pPr>
      <w:r w:rsidRPr="002C06A8">
        <w:rPr>
          <w:rFonts w:asciiTheme="minorHAnsi" w:hAnsiTheme="minorHAnsi" w:cs="Arial"/>
          <w:b/>
          <w:sz w:val="20"/>
          <w:szCs w:val="20"/>
        </w:rPr>
        <w:t xml:space="preserve">Chapter 1A of the HVNL should </w:t>
      </w:r>
      <w:r>
        <w:rPr>
          <w:rFonts w:asciiTheme="minorHAnsi" w:hAnsiTheme="minorHAnsi" w:cs="Arial"/>
          <w:b/>
          <w:sz w:val="20"/>
          <w:szCs w:val="20"/>
        </w:rPr>
        <w:t xml:space="preserve">build on existing s229 to </w:t>
      </w:r>
      <w:r w:rsidRPr="002C06A8">
        <w:rPr>
          <w:rFonts w:asciiTheme="minorHAnsi" w:hAnsiTheme="minorHAnsi" w:cs="Arial"/>
          <w:b/>
          <w:sz w:val="20"/>
          <w:szCs w:val="20"/>
        </w:rPr>
        <w:t>include general duties requiring parties in the chain of responsibility to</w:t>
      </w:r>
      <w:r w:rsidR="0022435C">
        <w:rPr>
          <w:rFonts w:asciiTheme="minorHAnsi" w:hAnsiTheme="minorHAnsi" w:cs="Arial"/>
          <w:b/>
          <w:sz w:val="20"/>
          <w:szCs w:val="20"/>
        </w:rPr>
        <w:t xml:space="preserve"> ensure, </w:t>
      </w:r>
      <w:r w:rsidR="009B4F13">
        <w:rPr>
          <w:rFonts w:asciiTheme="minorHAnsi" w:hAnsiTheme="minorHAnsi" w:cs="Arial"/>
          <w:b/>
          <w:sz w:val="20"/>
          <w:szCs w:val="20"/>
        </w:rPr>
        <w:t>so far</w:t>
      </w:r>
      <w:r w:rsidR="0022435C">
        <w:rPr>
          <w:rFonts w:asciiTheme="minorHAnsi" w:hAnsiTheme="minorHAnsi" w:cs="Arial"/>
          <w:b/>
          <w:sz w:val="20"/>
          <w:szCs w:val="20"/>
        </w:rPr>
        <w:t xml:space="preserve"> as </w:t>
      </w:r>
      <w:r w:rsidR="00C44F52">
        <w:rPr>
          <w:rFonts w:asciiTheme="minorHAnsi" w:hAnsiTheme="minorHAnsi" w:cs="Arial"/>
          <w:b/>
          <w:sz w:val="20"/>
          <w:szCs w:val="20"/>
        </w:rPr>
        <w:t xml:space="preserve">is </w:t>
      </w:r>
      <w:r w:rsidR="0022435C">
        <w:rPr>
          <w:rFonts w:asciiTheme="minorHAnsi" w:hAnsiTheme="minorHAnsi" w:cs="Arial"/>
          <w:b/>
          <w:sz w:val="20"/>
          <w:szCs w:val="20"/>
        </w:rPr>
        <w:t xml:space="preserve">reasonably practicable, </w:t>
      </w:r>
      <w:r w:rsidRPr="002C06A8">
        <w:rPr>
          <w:rFonts w:asciiTheme="minorHAnsi" w:hAnsiTheme="minorHAnsi" w:cs="Arial"/>
          <w:b/>
          <w:sz w:val="20"/>
          <w:szCs w:val="20"/>
        </w:rPr>
        <w:t>that MDLR, speed</w:t>
      </w:r>
      <w:r w:rsidR="00401745">
        <w:rPr>
          <w:rFonts w:asciiTheme="minorHAnsi" w:hAnsiTheme="minorHAnsi" w:cs="Arial"/>
          <w:b/>
          <w:sz w:val="20"/>
          <w:szCs w:val="20"/>
        </w:rPr>
        <w:t>,</w:t>
      </w:r>
      <w:r w:rsidRPr="002C06A8">
        <w:rPr>
          <w:rFonts w:asciiTheme="minorHAnsi" w:hAnsiTheme="minorHAnsi" w:cs="Arial"/>
          <w:b/>
          <w:sz w:val="20"/>
          <w:szCs w:val="20"/>
        </w:rPr>
        <w:t xml:space="preserve"> and vehicle safety and standards breaches do not occur.</w:t>
      </w:r>
    </w:p>
    <w:p w:rsidR="002C06A8" w:rsidRDefault="002C06A8">
      <w:pPr>
        <w:rPr>
          <w:rFonts w:asciiTheme="minorHAnsi" w:hAnsiTheme="minorHAnsi" w:cs="Arial"/>
          <w:sz w:val="20"/>
          <w:szCs w:val="20"/>
        </w:rPr>
      </w:pPr>
    </w:p>
    <w:p w:rsidR="00672957" w:rsidRDefault="00672957">
      <w:pPr>
        <w:rPr>
          <w:rFonts w:asciiTheme="minorHAnsi" w:hAnsiTheme="minorHAnsi" w:cs="Arial"/>
          <w:sz w:val="20"/>
          <w:szCs w:val="20"/>
        </w:rPr>
      </w:pPr>
    </w:p>
    <w:p w:rsidR="005732EC" w:rsidRPr="00C00755" w:rsidRDefault="00C40E57" w:rsidP="00AF1C0E">
      <w:pPr>
        <w:pStyle w:val="Heading2"/>
        <w:keepNext w:val="0"/>
        <w:keepLines w:val="0"/>
        <w:spacing w:before="0"/>
        <w:rPr>
          <w:rFonts w:asciiTheme="minorHAnsi" w:hAnsiTheme="minorHAnsi" w:cs="Arial"/>
          <w:color w:val="auto"/>
          <w:sz w:val="24"/>
          <w:szCs w:val="24"/>
        </w:rPr>
      </w:pPr>
      <w:bookmarkStart w:id="8" w:name="_Toc410388152"/>
      <w:r w:rsidRPr="00C00755">
        <w:rPr>
          <w:rFonts w:asciiTheme="minorHAnsi" w:hAnsiTheme="minorHAnsi" w:cs="Arial"/>
          <w:color w:val="auto"/>
          <w:sz w:val="24"/>
          <w:szCs w:val="24"/>
        </w:rPr>
        <w:t>Replacing ‘all reasonable steps’ with ‘</w:t>
      </w:r>
      <w:r w:rsidR="009B4F13">
        <w:rPr>
          <w:rFonts w:asciiTheme="minorHAnsi" w:hAnsiTheme="minorHAnsi" w:cs="Arial"/>
          <w:color w:val="auto"/>
          <w:sz w:val="24"/>
          <w:szCs w:val="24"/>
        </w:rPr>
        <w:t>so far</w:t>
      </w:r>
      <w:r w:rsidRPr="00C00755">
        <w:rPr>
          <w:rFonts w:asciiTheme="minorHAnsi" w:hAnsiTheme="minorHAnsi" w:cs="Arial"/>
          <w:color w:val="auto"/>
          <w:sz w:val="24"/>
          <w:szCs w:val="24"/>
        </w:rPr>
        <w:t xml:space="preserve"> as </w:t>
      </w:r>
      <w:r w:rsidR="00F920F7">
        <w:rPr>
          <w:rFonts w:asciiTheme="minorHAnsi" w:hAnsiTheme="minorHAnsi" w:cs="Arial"/>
          <w:color w:val="auto"/>
          <w:sz w:val="24"/>
          <w:szCs w:val="24"/>
        </w:rPr>
        <w:t xml:space="preserve">is </w:t>
      </w:r>
      <w:r w:rsidRPr="00C00755">
        <w:rPr>
          <w:rFonts w:asciiTheme="minorHAnsi" w:hAnsiTheme="minorHAnsi" w:cs="Arial"/>
          <w:color w:val="auto"/>
          <w:sz w:val="24"/>
          <w:szCs w:val="24"/>
        </w:rPr>
        <w:t>reasonably practicable’</w:t>
      </w:r>
      <w:bookmarkEnd w:id="8"/>
    </w:p>
    <w:p w:rsidR="005732EC" w:rsidRPr="005732EC" w:rsidRDefault="005732EC" w:rsidP="00AF1C0E">
      <w:pPr>
        <w:rPr>
          <w:rFonts w:asciiTheme="minorHAnsi" w:hAnsiTheme="minorHAnsi" w:cs="Arial"/>
          <w:sz w:val="20"/>
          <w:szCs w:val="20"/>
        </w:rPr>
      </w:pPr>
    </w:p>
    <w:p w:rsidR="005732EC" w:rsidRPr="005732EC" w:rsidRDefault="005732EC" w:rsidP="00AF1C0E">
      <w:pPr>
        <w:rPr>
          <w:rFonts w:asciiTheme="minorHAnsi" w:hAnsiTheme="minorHAnsi" w:cs="Arial"/>
          <w:sz w:val="20"/>
          <w:szCs w:val="20"/>
        </w:rPr>
      </w:pPr>
      <w:r>
        <w:rPr>
          <w:rFonts w:asciiTheme="minorHAnsi" w:hAnsiTheme="minorHAnsi" w:cs="Arial"/>
          <w:sz w:val="20"/>
          <w:szCs w:val="20"/>
        </w:rPr>
        <w:t xml:space="preserve">The duties in the HVNL require chain parties to take all reasonable steps to prevent a contravention of the law. Under some provisions of the law, a person may have access </w:t>
      </w:r>
      <w:r>
        <w:rPr>
          <w:rFonts w:asciiTheme="minorHAnsi" w:hAnsiTheme="minorHAnsi" w:cs="Arial"/>
          <w:sz w:val="20"/>
          <w:szCs w:val="20"/>
        </w:rPr>
        <w:lastRenderedPageBreak/>
        <w:t xml:space="preserve">to the reasonable steps defence, which can require the person charged to prove they took all reasonable steps to prevent </w:t>
      </w:r>
      <w:r w:rsidR="00401745">
        <w:rPr>
          <w:rFonts w:asciiTheme="minorHAnsi" w:hAnsiTheme="minorHAnsi" w:cs="Arial"/>
          <w:sz w:val="20"/>
          <w:szCs w:val="20"/>
        </w:rPr>
        <w:t>a contravention</w:t>
      </w:r>
      <w:r>
        <w:rPr>
          <w:rFonts w:asciiTheme="minorHAnsi" w:hAnsiTheme="minorHAnsi" w:cs="Arial"/>
          <w:sz w:val="20"/>
          <w:szCs w:val="20"/>
        </w:rPr>
        <w:t xml:space="preserve"> from occurring.</w:t>
      </w:r>
      <w:r>
        <w:rPr>
          <w:rStyle w:val="FootnoteReference"/>
          <w:rFonts w:asciiTheme="minorHAnsi" w:hAnsiTheme="minorHAnsi"/>
          <w:sz w:val="20"/>
          <w:szCs w:val="20"/>
        </w:rPr>
        <w:footnoteReference w:id="19"/>
      </w:r>
    </w:p>
    <w:p w:rsidR="005732EC" w:rsidRPr="005732EC" w:rsidRDefault="005732EC" w:rsidP="00AF1C0E">
      <w:pPr>
        <w:rPr>
          <w:rFonts w:asciiTheme="minorHAnsi" w:hAnsiTheme="minorHAnsi" w:cs="Arial"/>
          <w:sz w:val="20"/>
          <w:szCs w:val="20"/>
        </w:rPr>
      </w:pPr>
    </w:p>
    <w:p w:rsidR="00E60843" w:rsidRDefault="005732EC" w:rsidP="00AF1C0E">
      <w:pPr>
        <w:rPr>
          <w:rFonts w:asciiTheme="minorHAnsi" w:hAnsiTheme="minorHAnsi" w:cs="Arial"/>
          <w:sz w:val="20"/>
          <w:szCs w:val="20"/>
        </w:rPr>
      </w:pPr>
      <w:r>
        <w:rPr>
          <w:rFonts w:asciiTheme="minorHAnsi" w:hAnsiTheme="minorHAnsi" w:cs="Arial"/>
          <w:sz w:val="20"/>
          <w:szCs w:val="20"/>
        </w:rPr>
        <w:t xml:space="preserve">The HVNL does not anywhere define the </w:t>
      </w:r>
      <w:r w:rsidR="00A31855">
        <w:rPr>
          <w:rFonts w:asciiTheme="minorHAnsi" w:hAnsiTheme="minorHAnsi" w:cs="Arial"/>
          <w:sz w:val="20"/>
          <w:szCs w:val="20"/>
        </w:rPr>
        <w:t>meaning of all reasonable steps</w:t>
      </w:r>
      <w:r w:rsidR="00E60843">
        <w:rPr>
          <w:rFonts w:asciiTheme="minorHAnsi" w:hAnsiTheme="minorHAnsi" w:cs="Arial"/>
          <w:sz w:val="20"/>
          <w:szCs w:val="20"/>
        </w:rPr>
        <w:t>, although sections 620 and 622 set out non-ex</w:t>
      </w:r>
      <w:r w:rsidR="001B27CF">
        <w:rPr>
          <w:rFonts w:asciiTheme="minorHAnsi" w:hAnsiTheme="minorHAnsi" w:cs="Arial"/>
          <w:sz w:val="20"/>
          <w:szCs w:val="20"/>
        </w:rPr>
        <w:t>haustive</w:t>
      </w:r>
      <w:r w:rsidR="00E60843">
        <w:rPr>
          <w:rFonts w:asciiTheme="minorHAnsi" w:hAnsiTheme="minorHAnsi" w:cs="Arial"/>
          <w:sz w:val="20"/>
          <w:szCs w:val="20"/>
        </w:rPr>
        <w:t xml:space="preserve"> lists of matters that courts can consider when deciding if a person took all reasonable steps.</w:t>
      </w:r>
      <w:r w:rsidR="00A31855">
        <w:rPr>
          <w:rFonts w:asciiTheme="minorHAnsi" w:hAnsiTheme="minorHAnsi" w:cs="Arial"/>
          <w:sz w:val="20"/>
          <w:szCs w:val="20"/>
        </w:rPr>
        <w:t xml:space="preserve"> </w:t>
      </w:r>
      <w:r w:rsidR="00EC3F9B">
        <w:rPr>
          <w:rFonts w:asciiTheme="minorHAnsi" w:hAnsiTheme="minorHAnsi" w:cs="Arial"/>
          <w:sz w:val="20"/>
          <w:szCs w:val="20"/>
        </w:rPr>
        <w:t xml:space="preserve">Section 623 sets out a way that persons can demonstrate they took all reasonable steps. </w:t>
      </w:r>
    </w:p>
    <w:p w:rsidR="00E60843" w:rsidRDefault="00E60843" w:rsidP="00AF1C0E">
      <w:pPr>
        <w:rPr>
          <w:rFonts w:asciiTheme="minorHAnsi" w:hAnsiTheme="minorHAnsi" w:cs="Arial"/>
          <w:sz w:val="20"/>
          <w:szCs w:val="20"/>
        </w:rPr>
      </w:pPr>
    </w:p>
    <w:p w:rsidR="00A31855" w:rsidRDefault="00A31855" w:rsidP="00AF1C0E">
      <w:pPr>
        <w:rPr>
          <w:rFonts w:asciiTheme="minorHAnsi" w:hAnsiTheme="minorHAnsi" w:cs="Arial"/>
          <w:sz w:val="20"/>
          <w:szCs w:val="20"/>
        </w:rPr>
      </w:pPr>
      <w:r>
        <w:rPr>
          <w:rFonts w:asciiTheme="minorHAnsi" w:hAnsiTheme="minorHAnsi" w:cs="Arial"/>
          <w:sz w:val="20"/>
          <w:szCs w:val="20"/>
        </w:rPr>
        <w:t xml:space="preserve">Experience has shown that the term </w:t>
      </w:r>
      <w:r w:rsidR="00E60843">
        <w:rPr>
          <w:rFonts w:asciiTheme="minorHAnsi" w:hAnsiTheme="minorHAnsi" w:cs="Arial"/>
          <w:sz w:val="20"/>
          <w:szCs w:val="20"/>
        </w:rPr>
        <w:t xml:space="preserve">‘all reasonable steps’ </w:t>
      </w:r>
      <w:r>
        <w:rPr>
          <w:rFonts w:asciiTheme="minorHAnsi" w:hAnsiTheme="minorHAnsi" w:cs="Arial"/>
          <w:sz w:val="20"/>
          <w:szCs w:val="20"/>
        </w:rPr>
        <w:t xml:space="preserve">has serious </w:t>
      </w:r>
      <w:r w:rsidR="00465D16">
        <w:rPr>
          <w:rFonts w:asciiTheme="minorHAnsi" w:hAnsiTheme="minorHAnsi" w:cs="Arial"/>
          <w:sz w:val="20"/>
          <w:szCs w:val="20"/>
        </w:rPr>
        <w:t xml:space="preserve">practical </w:t>
      </w:r>
      <w:r w:rsidR="00E60843">
        <w:rPr>
          <w:rFonts w:asciiTheme="minorHAnsi" w:hAnsiTheme="minorHAnsi" w:cs="Arial"/>
          <w:sz w:val="20"/>
          <w:szCs w:val="20"/>
        </w:rPr>
        <w:t>problems</w:t>
      </w:r>
      <w:r w:rsidR="00465D16">
        <w:rPr>
          <w:rFonts w:asciiTheme="minorHAnsi" w:hAnsiTheme="minorHAnsi" w:cs="Arial"/>
          <w:sz w:val="20"/>
          <w:szCs w:val="20"/>
        </w:rPr>
        <w:t>:</w:t>
      </w:r>
    </w:p>
    <w:p w:rsidR="00A31855" w:rsidRDefault="00A31855" w:rsidP="00AF1C0E">
      <w:pPr>
        <w:rPr>
          <w:rFonts w:asciiTheme="minorHAnsi" w:hAnsiTheme="minorHAnsi" w:cs="Arial"/>
          <w:sz w:val="20"/>
          <w:szCs w:val="20"/>
        </w:rPr>
      </w:pPr>
    </w:p>
    <w:p w:rsidR="005732EC" w:rsidRPr="00465D16" w:rsidRDefault="00465D16" w:rsidP="0044412E">
      <w:pPr>
        <w:pStyle w:val="ListParagraph"/>
        <w:numPr>
          <w:ilvl w:val="0"/>
          <w:numId w:val="10"/>
        </w:numPr>
        <w:spacing w:after="0" w:line="240" w:lineRule="auto"/>
        <w:ind w:left="714" w:hanging="357"/>
        <w:rPr>
          <w:rFonts w:asciiTheme="minorHAnsi" w:hAnsiTheme="minorHAnsi" w:cs="Arial"/>
          <w:sz w:val="20"/>
          <w:szCs w:val="20"/>
        </w:rPr>
      </w:pPr>
      <w:r w:rsidRPr="00465D16">
        <w:rPr>
          <w:rFonts w:asciiTheme="minorHAnsi" w:hAnsiTheme="minorHAnsi" w:cs="Arial"/>
          <w:sz w:val="20"/>
          <w:szCs w:val="20"/>
        </w:rPr>
        <w:t>t</w:t>
      </w:r>
      <w:r w:rsidR="00A31855" w:rsidRPr="00465D16">
        <w:rPr>
          <w:rFonts w:asciiTheme="minorHAnsi" w:hAnsiTheme="minorHAnsi" w:cs="Arial"/>
          <w:sz w:val="20"/>
          <w:szCs w:val="20"/>
        </w:rPr>
        <w:t xml:space="preserve">he </w:t>
      </w:r>
      <w:r w:rsidR="001B27CF">
        <w:rPr>
          <w:rFonts w:asciiTheme="minorHAnsi" w:hAnsiTheme="minorHAnsi" w:cs="Arial"/>
          <w:sz w:val="20"/>
          <w:szCs w:val="20"/>
        </w:rPr>
        <w:t xml:space="preserve">ordinary meaning of the </w:t>
      </w:r>
      <w:r w:rsidR="00A31855" w:rsidRPr="00465D16">
        <w:rPr>
          <w:rFonts w:asciiTheme="minorHAnsi" w:hAnsiTheme="minorHAnsi" w:cs="Arial"/>
          <w:sz w:val="20"/>
          <w:szCs w:val="20"/>
        </w:rPr>
        <w:t xml:space="preserve">word ‘all’ suggests there is a list of reasonable steps </w:t>
      </w:r>
      <w:r w:rsidR="00E60843">
        <w:rPr>
          <w:rFonts w:asciiTheme="minorHAnsi" w:hAnsiTheme="minorHAnsi" w:cs="Arial"/>
          <w:sz w:val="20"/>
          <w:szCs w:val="20"/>
        </w:rPr>
        <w:t xml:space="preserve">somewhere </w:t>
      </w:r>
      <w:r w:rsidR="00A31855" w:rsidRPr="00465D16">
        <w:rPr>
          <w:rFonts w:asciiTheme="minorHAnsi" w:hAnsiTheme="minorHAnsi" w:cs="Arial"/>
          <w:sz w:val="20"/>
          <w:szCs w:val="20"/>
        </w:rPr>
        <w:t xml:space="preserve">that must </w:t>
      </w:r>
      <w:r w:rsidRPr="00465D16">
        <w:rPr>
          <w:rFonts w:asciiTheme="minorHAnsi" w:hAnsiTheme="minorHAnsi" w:cs="Arial"/>
          <w:sz w:val="20"/>
          <w:szCs w:val="20"/>
        </w:rPr>
        <w:t xml:space="preserve">all </w:t>
      </w:r>
      <w:r w:rsidR="00A31855" w:rsidRPr="00465D16">
        <w:rPr>
          <w:rFonts w:asciiTheme="minorHAnsi" w:hAnsiTheme="minorHAnsi" w:cs="Arial"/>
          <w:sz w:val="20"/>
          <w:szCs w:val="20"/>
        </w:rPr>
        <w:t xml:space="preserve">be </w:t>
      </w:r>
      <w:r>
        <w:rPr>
          <w:rFonts w:asciiTheme="minorHAnsi" w:hAnsiTheme="minorHAnsi" w:cs="Arial"/>
          <w:sz w:val="20"/>
          <w:szCs w:val="20"/>
        </w:rPr>
        <w:t>implemented</w:t>
      </w:r>
      <w:r w:rsidR="00A31855" w:rsidRPr="00465D16">
        <w:rPr>
          <w:rFonts w:asciiTheme="minorHAnsi" w:hAnsiTheme="minorHAnsi" w:cs="Arial"/>
          <w:sz w:val="20"/>
          <w:szCs w:val="20"/>
        </w:rPr>
        <w:t xml:space="preserve">, even if some of those steps </w:t>
      </w:r>
      <w:r w:rsidR="00E60843">
        <w:rPr>
          <w:rFonts w:asciiTheme="minorHAnsi" w:hAnsiTheme="minorHAnsi" w:cs="Arial"/>
          <w:sz w:val="20"/>
          <w:szCs w:val="20"/>
        </w:rPr>
        <w:t xml:space="preserve">cover the same ground </w:t>
      </w:r>
      <w:r>
        <w:rPr>
          <w:rFonts w:asciiTheme="minorHAnsi" w:hAnsiTheme="minorHAnsi" w:cs="Arial"/>
          <w:sz w:val="20"/>
          <w:szCs w:val="20"/>
        </w:rPr>
        <w:t>or are unnecessary given the risk profile or other characteristics of the business</w:t>
      </w:r>
    </w:p>
    <w:p w:rsidR="00465D16" w:rsidRDefault="00465D16" w:rsidP="0044412E">
      <w:pPr>
        <w:pStyle w:val="ListParagraph"/>
        <w:numPr>
          <w:ilvl w:val="0"/>
          <w:numId w:val="10"/>
        </w:numPr>
        <w:spacing w:after="0" w:line="240" w:lineRule="auto"/>
        <w:ind w:left="714" w:hanging="357"/>
        <w:rPr>
          <w:rFonts w:asciiTheme="minorHAnsi" w:hAnsiTheme="minorHAnsi" w:cs="Arial"/>
          <w:sz w:val="20"/>
          <w:szCs w:val="20"/>
        </w:rPr>
      </w:pPr>
      <w:r w:rsidRPr="00465D16">
        <w:rPr>
          <w:rFonts w:asciiTheme="minorHAnsi" w:hAnsiTheme="minorHAnsi" w:cs="Arial"/>
          <w:sz w:val="20"/>
          <w:szCs w:val="20"/>
        </w:rPr>
        <w:t xml:space="preserve">the term does not include any reference to </w:t>
      </w:r>
      <w:r>
        <w:rPr>
          <w:rFonts w:asciiTheme="minorHAnsi" w:hAnsiTheme="minorHAnsi" w:cs="Arial"/>
          <w:sz w:val="20"/>
          <w:szCs w:val="20"/>
        </w:rPr>
        <w:t xml:space="preserve">the </w:t>
      </w:r>
      <w:r w:rsidRPr="00465D16">
        <w:rPr>
          <w:rFonts w:asciiTheme="minorHAnsi" w:hAnsiTheme="minorHAnsi" w:cs="Arial"/>
          <w:sz w:val="20"/>
          <w:szCs w:val="20"/>
        </w:rPr>
        <w:t>practicability</w:t>
      </w:r>
      <w:r>
        <w:rPr>
          <w:rFonts w:asciiTheme="minorHAnsi" w:hAnsiTheme="minorHAnsi" w:cs="Arial"/>
          <w:sz w:val="20"/>
          <w:szCs w:val="20"/>
        </w:rPr>
        <w:t xml:space="preserve"> of implementing those steps</w:t>
      </w:r>
      <w:r w:rsidR="00E60843">
        <w:rPr>
          <w:rFonts w:asciiTheme="minorHAnsi" w:hAnsiTheme="minorHAnsi" w:cs="Arial"/>
          <w:sz w:val="20"/>
          <w:szCs w:val="20"/>
        </w:rPr>
        <w:t xml:space="preserve">, although s622(h) lists ‘the degree of ability’ of a person to implement </w:t>
      </w:r>
      <w:r w:rsidR="00E60843">
        <w:rPr>
          <w:rFonts w:asciiTheme="minorHAnsi" w:hAnsiTheme="minorHAnsi" w:cs="Arial"/>
          <w:sz w:val="20"/>
          <w:szCs w:val="20"/>
        </w:rPr>
        <w:lastRenderedPageBreak/>
        <w:t>measures as a matter a court can consider in relation to fatigue or speed management offences.</w:t>
      </w:r>
    </w:p>
    <w:p w:rsidR="00465D16" w:rsidRPr="00465D16" w:rsidRDefault="00465D16" w:rsidP="00465D16">
      <w:pPr>
        <w:pStyle w:val="ListParagraph"/>
        <w:keepNext/>
        <w:spacing w:after="0" w:line="240" w:lineRule="auto"/>
        <w:ind w:left="714"/>
        <w:rPr>
          <w:rFonts w:asciiTheme="minorHAnsi" w:hAnsiTheme="minorHAnsi" w:cs="Arial"/>
          <w:sz w:val="20"/>
          <w:szCs w:val="20"/>
        </w:rPr>
      </w:pPr>
    </w:p>
    <w:p w:rsidR="00391A59" w:rsidRDefault="00465D16" w:rsidP="006C23D9">
      <w:pPr>
        <w:rPr>
          <w:rFonts w:asciiTheme="minorHAnsi" w:hAnsiTheme="minorHAnsi" w:cs="Arial"/>
          <w:sz w:val="20"/>
          <w:szCs w:val="20"/>
        </w:rPr>
      </w:pPr>
      <w:r>
        <w:rPr>
          <w:rFonts w:asciiTheme="minorHAnsi" w:hAnsiTheme="minorHAnsi" w:cs="Arial"/>
          <w:sz w:val="20"/>
          <w:szCs w:val="20"/>
        </w:rPr>
        <w:t>These problems are compounded by s</w:t>
      </w:r>
      <w:r w:rsidRPr="00465D16">
        <w:rPr>
          <w:rFonts w:asciiTheme="minorHAnsi" w:hAnsiTheme="minorHAnsi" w:cs="Arial"/>
          <w:sz w:val="20"/>
          <w:szCs w:val="20"/>
        </w:rPr>
        <w:t>ections 620 and 622</w:t>
      </w:r>
      <w:r>
        <w:rPr>
          <w:rFonts w:asciiTheme="minorHAnsi" w:hAnsiTheme="minorHAnsi" w:cs="Arial"/>
          <w:sz w:val="20"/>
          <w:szCs w:val="20"/>
        </w:rPr>
        <w:t xml:space="preserve">. </w:t>
      </w:r>
      <w:r w:rsidR="006C23D9">
        <w:rPr>
          <w:rFonts w:asciiTheme="minorHAnsi" w:hAnsiTheme="minorHAnsi" w:cs="Arial"/>
          <w:sz w:val="20"/>
          <w:szCs w:val="20"/>
        </w:rPr>
        <w:t>The</w:t>
      </w:r>
      <w:r w:rsidR="00E60843">
        <w:rPr>
          <w:rFonts w:asciiTheme="minorHAnsi" w:hAnsiTheme="minorHAnsi" w:cs="Arial"/>
          <w:sz w:val="20"/>
          <w:szCs w:val="20"/>
        </w:rPr>
        <w:t xml:space="preserve"> section</w:t>
      </w:r>
      <w:r w:rsidR="006C23D9">
        <w:rPr>
          <w:rFonts w:asciiTheme="minorHAnsi" w:hAnsiTheme="minorHAnsi" w:cs="Arial"/>
          <w:sz w:val="20"/>
          <w:szCs w:val="20"/>
        </w:rPr>
        <w:t>s</w:t>
      </w:r>
      <w:r w:rsidR="00E60843">
        <w:rPr>
          <w:rFonts w:asciiTheme="minorHAnsi" w:hAnsiTheme="minorHAnsi" w:cs="Arial"/>
          <w:sz w:val="20"/>
          <w:szCs w:val="20"/>
        </w:rPr>
        <w:t xml:space="preserve"> are highly </w:t>
      </w:r>
      <w:r w:rsidR="00391A59">
        <w:rPr>
          <w:rFonts w:asciiTheme="minorHAnsi" w:hAnsiTheme="minorHAnsi" w:cs="Arial"/>
          <w:sz w:val="20"/>
          <w:szCs w:val="20"/>
        </w:rPr>
        <w:t xml:space="preserve">confusing to duty holders, because they </w:t>
      </w:r>
      <w:r w:rsidR="00391A59" w:rsidRPr="00391A59">
        <w:rPr>
          <w:rFonts w:asciiTheme="minorHAnsi" w:hAnsiTheme="minorHAnsi" w:cs="Arial"/>
          <w:sz w:val="20"/>
          <w:szCs w:val="20"/>
        </w:rPr>
        <w:t xml:space="preserve">read like a list </w:t>
      </w:r>
      <w:r w:rsidR="00391A59">
        <w:rPr>
          <w:rFonts w:asciiTheme="minorHAnsi" w:hAnsiTheme="minorHAnsi" w:cs="Arial"/>
          <w:sz w:val="20"/>
          <w:szCs w:val="20"/>
        </w:rPr>
        <w:t xml:space="preserve">of </w:t>
      </w:r>
      <w:r w:rsidR="00391A59" w:rsidRPr="00391A59">
        <w:rPr>
          <w:rFonts w:asciiTheme="minorHAnsi" w:hAnsiTheme="minorHAnsi" w:cs="Arial"/>
          <w:sz w:val="20"/>
          <w:szCs w:val="20"/>
        </w:rPr>
        <w:t xml:space="preserve">‘all reasonable steps’ </w:t>
      </w:r>
      <w:r w:rsidR="00391A59">
        <w:rPr>
          <w:rFonts w:asciiTheme="minorHAnsi" w:hAnsiTheme="minorHAnsi" w:cs="Arial"/>
          <w:sz w:val="20"/>
          <w:szCs w:val="20"/>
        </w:rPr>
        <w:t xml:space="preserve">that </w:t>
      </w:r>
      <w:r w:rsidR="006C23D9">
        <w:rPr>
          <w:rFonts w:asciiTheme="minorHAnsi" w:hAnsiTheme="minorHAnsi" w:cs="Arial"/>
          <w:sz w:val="20"/>
          <w:szCs w:val="20"/>
        </w:rPr>
        <w:t>must</w:t>
      </w:r>
      <w:r w:rsidR="00391A59">
        <w:rPr>
          <w:rFonts w:asciiTheme="minorHAnsi" w:hAnsiTheme="minorHAnsi" w:cs="Arial"/>
          <w:sz w:val="20"/>
          <w:szCs w:val="20"/>
        </w:rPr>
        <w:t xml:space="preserve"> be taken. </w:t>
      </w:r>
      <w:r w:rsidR="00C40E57">
        <w:rPr>
          <w:rFonts w:asciiTheme="minorHAnsi" w:hAnsiTheme="minorHAnsi" w:cs="Arial"/>
          <w:sz w:val="20"/>
          <w:szCs w:val="20"/>
        </w:rPr>
        <w:t>T</w:t>
      </w:r>
      <w:r w:rsidR="00391A59">
        <w:rPr>
          <w:rFonts w:asciiTheme="minorHAnsi" w:hAnsiTheme="minorHAnsi" w:cs="Arial"/>
          <w:sz w:val="20"/>
          <w:szCs w:val="20"/>
        </w:rPr>
        <w:t xml:space="preserve">here is a </w:t>
      </w:r>
      <w:r w:rsidR="006C23D9">
        <w:rPr>
          <w:rFonts w:asciiTheme="minorHAnsi" w:hAnsiTheme="minorHAnsi" w:cs="Arial"/>
          <w:sz w:val="20"/>
          <w:szCs w:val="20"/>
        </w:rPr>
        <w:t xml:space="preserve">natural </w:t>
      </w:r>
      <w:r w:rsidR="00391A59">
        <w:rPr>
          <w:rFonts w:asciiTheme="minorHAnsi" w:hAnsiTheme="minorHAnsi" w:cs="Arial"/>
          <w:sz w:val="20"/>
          <w:szCs w:val="20"/>
        </w:rPr>
        <w:t>tendency to treat them</w:t>
      </w:r>
      <w:r w:rsidR="006C23D9">
        <w:rPr>
          <w:rFonts w:asciiTheme="minorHAnsi" w:hAnsiTheme="minorHAnsi" w:cs="Arial"/>
          <w:sz w:val="20"/>
          <w:szCs w:val="20"/>
        </w:rPr>
        <w:t xml:space="preserve"> </w:t>
      </w:r>
      <w:r w:rsidR="00391A59">
        <w:rPr>
          <w:rFonts w:asciiTheme="minorHAnsi" w:hAnsiTheme="minorHAnsi" w:cs="Arial"/>
          <w:sz w:val="20"/>
          <w:szCs w:val="20"/>
        </w:rPr>
        <w:t>like checklist</w:t>
      </w:r>
      <w:r w:rsidR="00C40E57">
        <w:rPr>
          <w:rFonts w:asciiTheme="minorHAnsi" w:hAnsiTheme="minorHAnsi" w:cs="Arial"/>
          <w:sz w:val="20"/>
          <w:szCs w:val="20"/>
        </w:rPr>
        <w:t>s, and t</w:t>
      </w:r>
      <w:r w:rsidR="006C23D9">
        <w:rPr>
          <w:rFonts w:asciiTheme="minorHAnsi" w:hAnsiTheme="minorHAnsi" w:cs="Arial"/>
          <w:sz w:val="20"/>
          <w:szCs w:val="20"/>
        </w:rPr>
        <w:t xml:space="preserve">he ATA is aware of cases where trucking operators have been presented with compliance paperwork based </w:t>
      </w:r>
      <w:r w:rsidR="00C40E57">
        <w:rPr>
          <w:rFonts w:asciiTheme="minorHAnsi" w:hAnsiTheme="minorHAnsi" w:cs="Arial"/>
          <w:sz w:val="20"/>
          <w:szCs w:val="20"/>
        </w:rPr>
        <w:t>entirely on their provisions</w:t>
      </w:r>
      <w:r w:rsidR="006C23D9">
        <w:rPr>
          <w:rFonts w:asciiTheme="minorHAnsi" w:hAnsiTheme="minorHAnsi" w:cs="Arial"/>
          <w:sz w:val="20"/>
          <w:szCs w:val="20"/>
        </w:rPr>
        <w:t>.</w:t>
      </w:r>
      <w:r w:rsidR="00391A59" w:rsidRPr="00391A59">
        <w:rPr>
          <w:rFonts w:asciiTheme="minorHAnsi" w:hAnsiTheme="minorHAnsi" w:cs="Arial"/>
          <w:sz w:val="20"/>
          <w:szCs w:val="20"/>
        </w:rPr>
        <w:t xml:space="preserve"> </w:t>
      </w:r>
    </w:p>
    <w:p w:rsidR="00391A59" w:rsidRDefault="00391A59" w:rsidP="006C23D9">
      <w:pPr>
        <w:rPr>
          <w:rFonts w:asciiTheme="minorHAnsi" w:hAnsiTheme="minorHAnsi" w:cs="Arial"/>
          <w:sz w:val="20"/>
          <w:szCs w:val="20"/>
        </w:rPr>
      </w:pPr>
    </w:p>
    <w:p w:rsidR="00465D16" w:rsidRPr="00465D16" w:rsidRDefault="006C23D9" w:rsidP="006C23D9">
      <w:pPr>
        <w:rPr>
          <w:rFonts w:asciiTheme="minorHAnsi" w:hAnsiTheme="minorHAnsi" w:cs="Arial"/>
          <w:sz w:val="20"/>
          <w:szCs w:val="20"/>
        </w:rPr>
      </w:pPr>
      <w:r>
        <w:rPr>
          <w:rFonts w:asciiTheme="minorHAnsi" w:hAnsiTheme="minorHAnsi" w:cs="Arial"/>
          <w:sz w:val="20"/>
          <w:szCs w:val="20"/>
        </w:rPr>
        <w:t xml:space="preserve">Sections 620 and 622 </w:t>
      </w:r>
      <w:r w:rsidR="00391A59" w:rsidRPr="00391A59">
        <w:rPr>
          <w:rFonts w:asciiTheme="minorHAnsi" w:hAnsiTheme="minorHAnsi" w:cs="Arial"/>
          <w:sz w:val="20"/>
          <w:szCs w:val="20"/>
        </w:rPr>
        <w:t>are not a defi</w:t>
      </w:r>
      <w:r w:rsidR="00F920F7">
        <w:rPr>
          <w:rFonts w:asciiTheme="minorHAnsi" w:hAnsiTheme="minorHAnsi" w:cs="Arial"/>
          <w:sz w:val="20"/>
          <w:szCs w:val="20"/>
        </w:rPr>
        <w:t>nition of ‘all reasonable steps</w:t>
      </w:r>
      <w:r w:rsidR="00391A59" w:rsidRPr="00391A59">
        <w:rPr>
          <w:rFonts w:asciiTheme="minorHAnsi" w:hAnsiTheme="minorHAnsi" w:cs="Arial"/>
          <w:sz w:val="20"/>
          <w:szCs w:val="20"/>
        </w:rPr>
        <w:t>,</w:t>
      </w:r>
      <w:r w:rsidR="00F920F7">
        <w:rPr>
          <w:rFonts w:asciiTheme="minorHAnsi" w:hAnsiTheme="minorHAnsi" w:cs="Arial"/>
          <w:sz w:val="20"/>
          <w:szCs w:val="20"/>
        </w:rPr>
        <w:t>’</w:t>
      </w:r>
      <w:r w:rsidR="00391A59" w:rsidRPr="00391A59">
        <w:rPr>
          <w:rFonts w:asciiTheme="minorHAnsi" w:hAnsiTheme="minorHAnsi" w:cs="Arial"/>
          <w:sz w:val="20"/>
          <w:szCs w:val="20"/>
        </w:rPr>
        <w:t xml:space="preserve"> </w:t>
      </w:r>
      <w:r>
        <w:rPr>
          <w:rFonts w:asciiTheme="minorHAnsi" w:hAnsiTheme="minorHAnsi" w:cs="Arial"/>
          <w:sz w:val="20"/>
          <w:szCs w:val="20"/>
        </w:rPr>
        <w:t xml:space="preserve">and </w:t>
      </w:r>
      <w:r w:rsidR="00391A59" w:rsidRPr="00391A59">
        <w:rPr>
          <w:rFonts w:asciiTheme="minorHAnsi" w:hAnsiTheme="minorHAnsi" w:cs="Arial"/>
          <w:sz w:val="20"/>
          <w:szCs w:val="20"/>
        </w:rPr>
        <w:t xml:space="preserve">it is incorrect to treat them that way. </w:t>
      </w:r>
      <w:r>
        <w:rPr>
          <w:rFonts w:asciiTheme="minorHAnsi" w:hAnsiTheme="minorHAnsi" w:cs="Arial"/>
          <w:sz w:val="20"/>
          <w:szCs w:val="20"/>
        </w:rPr>
        <w:t>They are not even a comprehensive list of matters that courts can consider when deciding if a person took all reasonable steps. The</w:t>
      </w:r>
      <w:r w:rsidR="006B16F5">
        <w:rPr>
          <w:rFonts w:asciiTheme="minorHAnsi" w:hAnsiTheme="minorHAnsi" w:cs="Arial"/>
          <w:sz w:val="20"/>
          <w:szCs w:val="20"/>
        </w:rPr>
        <w:t>y are dangerously misleading.</w:t>
      </w:r>
    </w:p>
    <w:p w:rsidR="005732EC" w:rsidRDefault="005732EC" w:rsidP="006C23D9">
      <w:pPr>
        <w:rPr>
          <w:rFonts w:asciiTheme="minorHAnsi" w:hAnsiTheme="minorHAnsi" w:cs="Arial"/>
          <w:sz w:val="20"/>
          <w:szCs w:val="20"/>
        </w:rPr>
      </w:pPr>
    </w:p>
    <w:p w:rsidR="00C40E57" w:rsidRDefault="005732EC" w:rsidP="006C23D9">
      <w:pPr>
        <w:rPr>
          <w:rFonts w:asciiTheme="minorHAnsi" w:hAnsiTheme="minorHAnsi" w:cs="Arial"/>
          <w:sz w:val="20"/>
          <w:szCs w:val="20"/>
        </w:rPr>
      </w:pPr>
      <w:r>
        <w:rPr>
          <w:rFonts w:asciiTheme="minorHAnsi" w:hAnsiTheme="minorHAnsi" w:cs="Arial"/>
          <w:sz w:val="20"/>
          <w:szCs w:val="20"/>
        </w:rPr>
        <w:t xml:space="preserve">The </w:t>
      </w:r>
      <w:r w:rsidR="006C23D9">
        <w:rPr>
          <w:rFonts w:asciiTheme="minorHAnsi" w:hAnsiTheme="minorHAnsi" w:cs="Arial"/>
          <w:sz w:val="20"/>
          <w:szCs w:val="20"/>
        </w:rPr>
        <w:t xml:space="preserve">model </w:t>
      </w:r>
      <w:r w:rsidR="00401745">
        <w:rPr>
          <w:rFonts w:asciiTheme="minorHAnsi" w:hAnsiTheme="minorHAnsi" w:cs="Arial"/>
          <w:sz w:val="20"/>
          <w:szCs w:val="20"/>
        </w:rPr>
        <w:t xml:space="preserve">Work Health and Safety Act and </w:t>
      </w:r>
      <w:r w:rsidR="006C23D9">
        <w:rPr>
          <w:rFonts w:asciiTheme="minorHAnsi" w:hAnsiTheme="minorHAnsi" w:cs="Arial"/>
          <w:sz w:val="20"/>
          <w:szCs w:val="20"/>
        </w:rPr>
        <w:t xml:space="preserve">the </w:t>
      </w:r>
      <w:r>
        <w:rPr>
          <w:rFonts w:asciiTheme="minorHAnsi" w:hAnsiTheme="minorHAnsi" w:cs="Arial"/>
          <w:sz w:val="20"/>
          <w:szCs w:val="20"/>
        </w:rPr>
        <w:t>Rail Safety Nat</w:t>
      </w:r>
      <w:r w:rsidR="00401745">
        <w:rPr>
          <w:rFonts w:asciiTheme="minorHAnsi" w:hAnsiTheme="minorHAnsi" w:cs="Arial"/>
          <w:sz w:val="20"/>
          <w:szCs w:val="20"/>
        </w:rPr>
        <w:t>ional Law require</w:t>
      </w:r>
      <w:r>
        <w:rPr>
          <w:rFonts w:asciiTheme="minorHAnsi" w:hAnsiTheme="minorHAnsi" w:cs="Arial"/>
          <w:sz w:val="20"/>
          <w:szCs w:val="20"/>
        </w:rPr>
        <w:t xml:space="preserve"> duty holders to </w:t>
      </w:r>
      <w:r w:rsidR="006D1A2D">
        <w:rPr>
          <w:rFonts w:asciiTheme="minorHAnsi" w:hAnsiTheme="minorHAnsi" w:cs="Arial"/>
          <w:sz w:val="20"/>
          <w:szCs w:val="20"/>
        </w:rPr>
        <w:t xml:space="preserve">ensure safety </w:t>
      </w:r>
      <w:r w:rsidR="006C23D9">
        <w:rPr>
          <w:rFonts w:asciiTheme="minorHAnsi" w:hAnsiTheme="minorHAnsi" w:cs="Arial"/>
          <w:sz w:val="20"/>
          <w:szCs w:val="20"/>
        </w:rPr>
        <w:t>‘</w:t>
      </w:r>
      <w:r w:rsidR="006D1A2D">
        <w:rPr>
          <w:rFonts w:asciiTheme="minorHAnsi" w:hAnsiTheme="minorHAnsi" w:cs="Arial"/>
          <w:sz w:val="20"/>
          <w:szCs w:val="20"/>
        </w:rPr>
        <w:t>so far as is reasonably practicable.</w:t>
      </w:r>
      <w:r w:rsidR="006C23D9">
        <w:rPr>
          <w:rFonts w:asciiTheme="minorHAnsi" w:hAnsiTheme="minorHAnsi" w:cs="Arial"/>
          <w:sz w:val="20"/>
          <w:szCs w:val="20"/>
        </w:rPr>
        <w:t>’</w:t>
      </w:r>
      <w:r w:rsidR="006D1A2D">
        <w:rPr>
          <w:rFonts w:asciiTheme="minorHAnsi" w:hAnsiTheme="minorHAnsi" w:cs="Arial"/>
          <w:sz w:val="20"/>
          <w:szCs w:val="20"/>
        </w:rPr>
        <w:t xml:space="preserve"> </w:t>
      </w:r>
      <w:r w:rsidR="006C23D9">
        <w:rPr>
          <w:rFonts w:asciiTheme="minorHAnsi" w:hAnsiTheme="minorHAnsi" w:cs="Arial"/>
          <w:sz w:val="20"/>
          <w:szCs w:val="20"/>
        </w:rPr>
        <w:t>As a qualifier for safety duties, ‘reasonably practicable’ has a long history of consiste</w:t>
      </w:r>
      <w:r w:rsidR="00C40E57">
        <w:rPr>
          <w:rFonts w:asciiTheme="minorHAnsi" w:hAnsiTheme="minorHAnsi" w:cs="Arial"/>
          <w:sz w:val="20"/>
          <w:szCs w:val="20"/>
        </w:rPr>
        <w:t>nt interpretation by the courts, with</w:t>
      </w:r>
      <w:r w:rsidR="006C23D9">
        <w:rPr>
          <w:rFonts w:asciiTheme="minorHAnsi" w:hAnsiTheme="minorHAnsi" w:cs="Arial"/>
          <w:sz w:val="20"/>
          <w:szCs w:val="20"/>
        </w:rPr>
        <w:t xml:space="preserve"> the National Review into Model Occupational Health and Safety La</w:t>
      </w:r>
      <w:r w:rsidR="00C40E57">
        <w:rPr>
          <w:rFonts w:asciiTheme="minorHAnsi" w:hAnsiTheme="minorHAnsi" w:cs="Arial"/>
          <w:sz w:val="20"/>
          <w:szCs w:val="20"/>
        </w:rPr>
        <w:t>ws pointing</w:t>
      </w:r>
      <w:r w:rsidR="006C23D9">
        <w:rPr>
          <w:rFonts w:asciiTheme="minorHAnsi" w:hAnsiTheme="minorHAnsi" w:cs="Arial"/>
          <w:sz w:val="20"/>
          <w:szCs w:val="20"/>
        </w:rPr>
        <w:t xml:space="preserve"> to </w:t>
      </w:r>
      <w:r w:rsidR="00AA010D">
        <w:rPr>
          <w:rFonts w:asciiTheme="minorHAnsi" w:hAnsiTheme="minorHAnsi" w:cs="Arial"/>
          <w:sz w:val="20"/>
          <w:szCs w:val="20"/>
        </w:rPr>
        <w:t>case law</w:t>
      </w:r>
      <w:r w:rsidR="006C23D9">
        <w:rPr>
          <w:rFonts w:asciiTheme="minorHAnsi" w:hAnsiTheme="minorHAnsi" w:cs="Arial"/>
          <w:sz w:val="20"/>
          <w:szCs w:val="20"/>
        </w:rPr>
        <w:t xml:space="preserve"> going </w:t>
      </w:r>
      <w:r w:rsidR="001B27CF">
        <w:rPr>
          <w:rFonts w:asciiTheme="minorHAnsi" w:hAnsiTheme="minorHAnsi" w:cs="Arial"/>
          <w:sz w:val="20"/>
          <w:szCs w:val="20"/>
        </w:rPr>
        <w:t xml:space="preserve">back </w:t>
      </w:r>
      <w:r w:rsidR="004F11EA">
        <w:rPr>
          <w:rFonts w:asciiTheme="minorHAnsi" w:hAnsiTheme="minorHAnsi" w:cs="Arial"/>
          <w:sz w:val="20"/>
          <w:szCs w:val="20"/>
        </w:rPr>
        <w:t xml:space="preserve">to </w:t>
      </w:r>
      <w:r w:rsidR="006C23D9">
        <w:rPr>
          <w:rFonts w:asciiTheme="minorHAnsi" w:hAnsiTheme="minorHAnsi" w:cs="Arial"/>
          <w:sz w:val="20"/>
          <w:szCs w:val="20"/>
        </w:rPr>
        <w:t>1949.</w:t>
      </w:r>
      <w:r w:rsidR="00C40E57">
        <w:rPr>
          <w:rStyle w:val="FootnoteReference"/>
          <w:rFonts w:asciiTheme="minorHAnsi" w:hAnsiTheme="minorHAnsi"/>
          <w:sz w:val="20"/>
          <w:szCs w:val="20"/>
        </w:rPr>
        <w:footnoteReference w:id="20"/>
      </w:r>
      <w:r w:rsidR="006C23D9">
        <w:rPr>
          <w:rFonts w:asciiTheme="minorHAnsi" w:hAnsiTheme="minorHAnsi" w:cs="Arial"/>
          <w:sz w:val="20"/>
          <w:szCs w:val="20"/>
        </w:rPr>
        <w:t xml:space="preserve"> </w:t>
      </w:r>
    </w:p>
    <w:p w:rsidR="00C40E57" w:rsidRDefault="00C40E57" w:rsidP="006C23D9">
      <w:pPr>
        <w:rPr>
          <w:rFonts w:asciiTheme="minorHAnsi" w:hAnsiTheme="minorHAnsi" w:cs="Arial"/>
          <w:sz w:val="20"/>
          <w:szCs w:val="20"/>
        </w:rPr>
      </w:pPr>
    </w:p>
    <w:p w:rsidR="005732EC" w:rsidRDefault="00C40E57" w:rsidP="006C23D9">
      <w:pPr>
        <w:rPr>
          <w:rFonts w:asciiTheme="minorHAnsi" w:hAnsiTheme="minorHAnsi" w:cs="Arial"/>
          <w:sz w:val="20"/>
          <w:szCs w:val="20"/>
        </w:rPr>
      </w:pPr>
      <w:r>
        <w:rPr>
          <w:rFonts w:asciiTheme="minorHAnsi" w:hAnsiTheme="minorHAnsi" w:cs="Arial"/>
          <w:sz w:val="20"/>
          <w:szCs w:val="20"/>
        </w:rPr>
        <w:t>The model Work Health and Safety Act define</w:t>
      </w:r>
      <w:r w:rsidR="00603061">
        <w:rPr>
          <w:rFonts w:asciiTheme="minorHAnsi" w:hAnsiTheme="minorHAnsi" w:cs="Arial"/>
          <w:sz w:val="20"/>
          <w:szCs w:val="20"/>
        </w:rPr>
        <w:t>s</w:t>
      </w:r>
      <w:r w:rsidR="006D1A2D">
        <w:rPr>
          <w:rFonts w:asciiTheme="minorHAnsi" w:hAnsiTheme="minorHAnsi" w:cs="Arial"/>
          <w:sz w:val="20"/>
          <w:szCs w:val="20"/>
        </w:rPr>
        <w:t xml:space="preserve"> </w:t>
      </w:r>
      <w:r>
        <w:rPr>
          <w:rFonts w:asciiTheme="minorHAnsi" w:hAnsiTheme="minorHAnsi" w:cs="Arial"/>
          <w:sz w:val="20"/>
          <w:szCs w:val="20"/>
        </w:rPr>
        <w:t xml:space="preserve">‘reasonably practicable’ </w:t>
      </w:r>
      <w:r w:rsidR="006D1A2D">
        <w:rPr>
          <w:rFonts w:asciiTheme="minorHAnsi" w:hAnsiTheme="minorHAnsi" w:cs="Arial"/>
          <w:sz w:val="20"/>
          <w:szCs w:val="20"/>
        </w:rPr>
        <w:t>as:</w:t>
      </w:r>
    </w:p>
    <w:p w:rsidR="006D1A2D" w:rsidRDefault="006D1A2D" w:rsidP="006C23D9">
      <w:pPr>
        <w:rPr>
          <w:rFonts w:asciiTheme="minorHAnsi" w:hAnsiTheme="minorHAnsi" w:cs="Arial"/>
          <w:sz w:val="20"/>
          <w:szCs w:val="20"/>
        </w:rPr>
      </w:pPr>
    </w:p>
    <w:p w:rsidR="004F11EA" w:rsidRDefault="004F11EA" w:rsidP="006C23D9">
      <w:pPr>
        <w:rPr>
          <w:rFonts w:asciiTheme="minorHAnsi" w:hAnsiTheme="minorHAnsi" w:cs="Arial"/>
          <w:sz w:val="20"/>
          <w:szCs w:val="20"/>
        </w:rPr>
      </w:pPr>
    </w:p>
    <w:p w:rsidR="006D1A2D" w:rsidRDefault="006D1A2D" w:rsidP="006C23D9">
      <w:pPr>
        <w:ind w:leftChars="515" w:left="1133" w:right="1134"/>
        <w:rPr>
          <w:rFonts w:asciiTheme="minorHAnsi" w:hAnsiTheme="minorHAnsi" w:cs="Arial"/>
          <w:sz w:val="20"/>
          <w:szCs w:val="20"/>
        </w:rPr>
      </w:pPr>
      <w:r w:rsidRPr="001923C1">
        <w:rPr>
          <w:rFonts w:asciiTheme="minorHAnsi" w:hAnsiTheme="minorHAnsi" w:cs="Arial"/>
          <w:b/>
          <w:i/>
          <w:sz w:val="20"/>
          <w:szCs w:val="20"/>
        </w:rPr>
        <w:t>reasonably practicable</w:t>
      </w:r>
      <w:r>
        <w:rPr>
          <w:rFonts w:asciiTheme="minorHAnsi" w:hAnsiTheme="minorHAnsi" w:cs="Arial"/>
          <w:sz w:val="20"/>
          <w:szCs w:val="20"/>
        </w:rPr>
        <w:t>, in relation to a duty to ensu</w:t>
      </w:r>
      <w:r w:rsidR="00603061">
        <w:rPr>
          <w:rFonts w:asciiTheme="minorHAnsi" w:hAnsiTheme="minorHAnsi" w:cs="Arial"/>
          <w:sz w:val="20"/>
          <w:szCs w:val="20"/>
        </w:rPr>
        <w:t xml:space="preserve">re health and safety, means that which is, </w:t>
      </w:r>
      <w:r>
        <w:rPr>
          <w:rFonts w:asciiTheme="minorHAnsi" w:hAnsiTheme="minorHAnsi" w:cs="Arial"/>
          <w:sz w:val="20"/>
          <w:szCs w:val="20"/>
        </w:rPr>
        <w:t>or was at a particular time</w:t>
      </w:r>
      <w:r w:rsidR="00603061">
        <w:rPr>
          <w:rFonts w:asciiTheme="minorHAnsi" w:hAnsiTheme="minorHAnsi" w:cs="Arial"/>
          <w:sz w:val="20"/>
          <w:szCs w:val="20"/>
        </w:rPr>
        <w:t>,</w:t>
      </w:r>
      <w:r>
        <w:rPr>
          <w:rFonts w:asciiTheme="minorHAnsi" w:hAnsiTheme="minorHAnsi" w:cs="Arial"/>
          <w:sz w:val="20"/>
          <w:szCs w:val="20"/>
        </w:rPr>
        <w:t xml:space="preserve"> reasonably able to be done in relation to ensuring </w:t>
      </w:r>
      <w:r w:rsidR="00603061">
        <w:rPr>
          <w:rFonts w:asciiTheme="minorHAnsi" w:hAnsiTheme="minorHAnsi" w:cs="Arial"/>
          <w:sz w:val="20"/>
          <w:szCs w:val="20"/>
        </w:rPr>
        <w:t xml:space="preserve">health and </w:t>
      </w:r>
      <w:r>
        <w:rPr>
          <w:rFonts w:asciiTheme="minorHAnsi" w:hAnsiTheme="minorHAnsi" w:cs="Arial"/>
          <w:sz w:val="20"/>
          <w:szCs w:val="20"/>
        </w:rPr>
        <w:t>safety, taking into account and w</w:t>
      </w:r>
      <w:r w:rsidR="00F920F7">
        <w:rPr>
          <w:rFonts w:asciiTheme="minorHAnsi" w:hAnsiTheme="minorHAnsi" w:cs="Arial"/>
          <w:sz w:val="20"/>
          <w:szCs w:val="20"/>
        </w:rPr>
        <w:t>eighing up all relevant matters</w:t>
      </w:r>
      <w:r>
        <w:rPr>
          <w:rFonts w:asciiTheme="minorHAnsi" w:hAnsiTheme="minorHAnsi" w:cs="Arial"/>
          <w:sz w:val="20"/>
          <w:szCs w:val="20"/>
        </w:rPr>
        <w:t xml:space="preserve"> including–</w:t>
      </w:r>
    </w:p>
    <w:p w:rsidR="006D1A2D" w:rsidRDefault="006D1A2D" w:rsidP="006C23D9">
      <w:pPr>
        <w:ind w:leftChars="515" w:left="1133" w:right="1134"/>
        <w:rPr>
          <w:rFonts w:asciiTheme="minorHAnsi" w:hAnsiTheme="minorHAnsi" w:cs="Arial"/>
          <w:sz w:val="20"/>
          <w:szCs w:val="20"/>
        </w:rPr>
      </w:pPr>
    </w:p>
    <w:p w:rsidR="006D1A2D" w:rsidRDefault="006D1A2D" w:rsidP="0044412E">
      <w:pPr>
        <w:pStyle w:val="ListParagraph"/>
        <w:numPr>
          <w:ilvl w:val="0"/>
          <w:numId w:val="9"/>
        </w:numPr>
        <w:spacing w:after="0" w:line="240" w:lineRule="auto"/>
        <w:ind w:leftChars="515" w:left="1493" w:right="1134"/>
        <w:rPr>
          <w:rFonts w:asciiTheme="minorHAnsi" w:hAnsiTheme="minorHAnsi" w:cs="Arial"/>
          <w:sz w:val="20"/>
          <w:szCs w:val="20"/>
        </w:rPr>
      </w:pPr>
      <w:r>
        <w:rPr>
          <w:rFonts w:asciiTheme="minorHAnsi" w:hAnsiTheme="minorHAnsi" w:cs="Arial"/>
          <w:sz w:val="20"/>
          <w:szCs w:val="20"/>
        </w:rPr>
        <w:t xml:space="preserve">the likelihood of the hazard </w:t>
      </w:r>
      <w:r w:rsidR="00603061">
        <w:rPr>
          <w:rFonts w:asciiTheme="minorHAnsi" w:hAnsiTheme="minorHAnsi" w:cs="Arial"/>
          <w:sz w:val="20"/>
          <w:szCs w:val="20"/>
        </w:rPr>
        <w:t xml:space="preserve">or </w:t>
      </w:r>
      <w:r w:rsidR="00F920F7">
        <w:rPr>
          <w:rFonts w:asciiTheme="minorHAnsi" w:hAnsiTheme="minorHAnsi" w:cs="Arial"/>
          <w:sz w:val="20"/>
          <w:szCs w:val="20"/>
        </w:rPr>
        <w:t xml:space="preserve">the </w:t>
      </w:r>
      <w:r w:rsidR="00603061">
        <w:rPr>
          <w:rFonts w:asciiTheme="minorHAnsi" w:hAnsiTheme="minorHAnsi" w:cs="Arial"/>
          <w:sz w:val="20"/>
          <w:szCs w:val="20"/>
        </w:rPr>
        <w:t xml:space="preserve">risk concerned </w:t>
      </w:r>
      <w:r>
        <w:rPr>
          <w:rFonts w:asciiTheme="minorHAnsi" w:hAnsiTheme="minorHAnsi" w:cs="Arial"/>
          <w:sz w:val="20"/>
          <w:szCs w:val="20"/>
        </w:rPr>
        <w:t>occurring; and</w:t>
      </w:r>
    </w:p>
    <w:p w:rsidR="006D1A2D" w:rsidRDefault="006D1A2D" w:rsidP="0044412E">
      <w:pPr>
        <w:pStyle w:val="ListParagraph"/>
        <w:numPr>
          <w:ilvl w:val="0"/>
          <w:numId w:val="9"/>
        </w:numPr>
        <w:spacing w:after="0" w:line="240" w:lineRule="auto"/>
        <w:ind w:leftChars="515" w:left="1493" w:right="1134"/>
        <w:rPr>
          <w:rFonts w:asciiTheme="minorHAnsi" w:hAnsiTheme="minorHAnsi" w:cs="Arial"/>
          <w:sz w:val="20"/>
          <w:szCs w:val="20"/>
        </w:rPr>
      </w:pPr>
      <w:r>
        <w:rPr>
          <w:rFonts w:asciiTheme="minorHAnsi" w:hAnsiTheme="minorHAnsi" w:cs="Arial"/>
          <w:sz w:val="20"/>
          <w:szCs w:val="20"/>
        </w:rPr>
        <w:t xml:space="preserve">the degree of harm that might result from the hazard or </w:t>
      </w:r>
      <w:r w:rsidR="00603061">
        <w:rPr>
          <w:rFonts w:asciiTheme="minorHAnsi" w:hAnsiTheme="minorHAnsi" w:cs="Arial"/>
          <w:sz w:val="20"/>
          <w:szCs w:val="20"/>
        </w:rPr>
        <w:t xml:space="preserve">the </w:t>
      </w:r>
      <w:r>
        <w:rPr>
          <w:rFonts w:asciiTheme="minorHAnsi" w:hAnsiTheme="minorHAnsi" w:cs="Arial"/>
          <w:sz w:val="20"/>
          <w:szCs w:val="20"/>
        </w:rPr>
        <w:t>risk; and</w:t>
      </w:r>
    </w:p>
    <w:p w:rsidR="006D1A2D" w:rsidRDefault="006D1A2D" w:rsidP="0044412E">
      <w:pPr>
        <w:pStyle w:val="ListParagraph"/>
        <w:numPr>
          <w:ilvl w:val="0"/>
          <w:numId w:val="9"/>
        </w:numPr>
        <w:spacing w:after="0" w:line="240" w:lineRule="auto"/>
        <w:ind w:leftChars="515" w:left="1493" w:right="1134"/>
        <w:rPr>
          <w:rFonts w:asciiTheme="minorHAnsi" w:hAnsiTheme="minorHAnsi" w:cs="Arial"/>
          <w:sz w:val="20"/>
          <w:szCs w:val="20"/>
        </w:rPr>
      </w:pPr>
      <w:r>
        <w:rPr>
          <w:rFonts w:asciiTheme="minorHAnsi" w:hAnsiTheme="minorHAnsi" w:cs="Arial"/>
          <w:sz w:val="20"/>
          <w:szCs w:val="20"/>
        </w:rPr>
        <w:t>what the person concerned knows, or ought reasonably to know, about–</w:t>
      </w:r>
    </w:p>
    <w:p w:rsidR="006D1A2D" w:rsidRPr="00603061" w:rsidRDefault="006D1A2D" w:rsidP="0044412E">
      <w:pPr>
        <w:pStyle w:val="ListParagraph"/>
        <w:numPr>
          <w:ilvl w:val="0"/>
          <w:numId w:val="11"/>
        </w:numPr>
        <w:ind w:left="2058" w:rightChars="515" w:right="1133" w:hanging="357"/>
        <w:rPr>
          <w:rFonts w:asciiTheme="minorHAnsi" w:hAnsiTheme="minorHAnsi" w:cs="Arial"/>
          <w:sz w:val="20"/>
          <w:szCs w:val="20"/>
        </w:rPr>
      </w:pPr>
      <w:r w:rsidRPr="00603061">
        <w:rPr>
          <w:rFonts w:asciiTheme="minorHAnsi" w:hAnsiTheme="minorHAnsi" w:cs="Arial"/>
          <w:sz w:val="20"/>
          <w:szCs w:val="20"/>
        </w:rPr>
        <w:t>the hazard or the risk; and</w:t>
      </w:r>
    </w:p>
    <w:p w:rsidR="006D1A2D" w:rsidRDefault="001923C1" w:rsidP="0044412E">
      <w:pPr>
        <w:pStyle w:val="ListParagraph"/>
        <w:numPr>
          <w:ilvl w:val="0"/>
          <w:numId w:val="11"/>
        </w:numPr>
        <w:spacing w:after="0" w:line="240" w:lineRule="auto"/>
        <w:ind w:left="2058" w:right="1134" w:hanging="357"/>
        <w:rPr>
          <w:rFonts w:asciiTheme="minorHAnsi" w:hAnsiTheme="minorHAnsi" w:cs="Arial"/>
          <w:sz w:val="20"/>
          <w:szCs w:val="20"/>
        </w:rPr>
      </w:pPr>
      <w:r>
        <w:rPr>
          <w:rFonts w:asciiTheme="minorHAnsi" w:hAnsiTheme="minorHAnsi" w:cs="Arial"/>
          <w:sz w:val="20"/>
          <w:szCs w:val="20"/>
        </w:rPr>
        <w:t>w</w:t>
      </w:r>
      <w:r w:rsidR="006D1A2D">
        <w:rPr>
          <w:rFonts w:asciiTheme="minorHAnsi" w:hAnsiTheme="minorHAnsi" w:cs="Arial"/>
          <w:sz w:val="20"/>
          <w:szCs w:val="20"/>
        </w:rPr>
        <w:t>ays of eliminating or minimising the risk; and</w:t>
      </w:r>
    </w:p>
    <w:p w:rsidR="006D1A2D" w:rsidRDefault="00603061" w:rsidP="0044412E">
      <w:pPr>
        <w:pStyle w:val="ListParagraph"/>
        <w:numPr>
          <w:ilvl w:val="0"/>
          <w:numId w:val="9"/>
        </w:numPr>
        <w:spacing w:after="0" w:line="240" w:lineRule="auto"/>
        <w:ind w:leftChars="515" w:left="1493" w:right="1134"/>
        <w:rPr>
          <w:rFonts w:asciiTheme="minorHAnsi" w:hAnsiTheme="minorHAnsi" w:cs="Arial"/>
          <w:sz w:val="20"/>
          <w:szCs w:val="20"/>
        </w:rPr>
      </w:pPr>
      <w:r>
        <w:rPr>
          <w:rFonts w:asciiTheme="minorHAnsi" w:hAnsiTheme="minorHAnsi" w:cs="Arial"/>
          <w:sz w:val="20"/>
          <w:szCs w:val="20"/>
        </w:rPr>
        <w:t>t</w:t>
      </w:r>
      <w:r w:rsidR="006D1A2D">
        <w:rPr>
          <w:rFonts w:asciiTheme="minorHAnsi" w:hAnsiTheme="minorHAnsi" w:cs="Arial"/>
          <w:sz w:val="20"/>
          <w:szCs w:val="20"/>
        </w:rPr>
        <w:t>he availability and suitability of ways to eliminate or minimise the risk; and</w:t>
      </w:r>
    </w:p>
    <w:p w:rsidR="006D1A2D" w:rsidRDefault="00F920F7" w:rsidP="0044412E">
      <w:pPr>
        <w:pStyle w:val="ListParagraph"/>
        <w:numPr>
          <w:ilvl w:val="0"/>
          <w:numId w:val="9"/>
        </w:numPr>
        <w:spacing w:after="0" w:line="240" w:lineRule="auto"/>
        <w:ind w:leftChars="515" w:left="1493" w:right="1134"/>
        <w:rPr>
          <w:rFonts w:asciiTheme="minorHAnsi" w:hAnsiTheme="minorHAnsi" w:cs="Arial"/>
          <w:sz w:val="20"/>
          <w:szCs w:val="20"/>
        </w:rPr>
      </w:pPr>
      <w:r>
        <w:rPr>
          <w:rFonts w:asciiTheme="minorHAnsi" w:hAnsiTheme="minorHAnsi" w:cs="Arial"/>
          <w:sz w:val="20"/>
          <w:szCs w:val="20"/>
        </w:rPr>
        <w:t>a</w:t>
      </w:r>
      <w:r w:rsidR="006D1A2D">
        <w:rPr>
          <w:rFonts w:asciiTheme="minorHAnsi" w:hAnsiTheme="minorHAnsi" w:cs="Arial"/>
          <w:sz w:val="20"/>
          <w:szCs w:val="20"/>
        </w:rPr>
        <w:t>fter assessing the extent of the risk and the available ways of eli</w:t>
      </w:r>
      <w:r>
        <w:rPr>
          <w:rFonts w:asciiTheme="minorHAnsi" w:hAnsiTheme="minorHAnsi" w:cs="Arial"/>
          <w:sz w:val="20"/>
          <w:szCs w:val="20"/>
        </w:rPr>
        <w:t xml:space="preserve">minating or minimising the risk, </w:t>
      </w:r>
      <w:r w:rsidR="006D1A2D">
        <w:rPr>
          <w:rFonts w:asciiTheme="minorHAnsi" w:hAnsiTheme="minorHAnsi" w:cs="Arial"/>
          <w:sz w:val="20"/>
          <w:szCs w:val="20"/>
        </w:rPr>
        <w:t xml:space="preserve">the cost associated with available </w:t>
      </w:r>
      <w:r w:rsidR="006D1A2D">
        <w:rPr>
          <w:rFonts w:asciiTheme="minorHAnsi" w:hAnsiTheme="minorHAnsi" w:cs="Arial"/>
          <w:sz w:val="20"/>
          <w:szCs w:val="20"/>
        </w:rPr>
        <w:lastRenderedPageBreak/>
        <w:t>ways of elim</w:t>
      </w:r>
      <w:r w:rsidR="00603061">
        <w:rPr>
          <w:rFonts w:asciiTheme="minorHAnsi" w:hAnsiTheme="minorHAnsi" w:cs="Arial"/>
          <w:sz w:val="20"/>
          <w:szCs w:val="20"/>
        </w:rPr>
        <w:t xml:space="preserve">inating or minimising the risk, </w:t>
      </w:r>
      <w:r w:rsidR="006D1A2D">
        <w:rPr>
          <w:rFonts w:asciiTheme="minorHAnsi" w:hAnsiTheme="minorHAnsi" w:cs="Arial"/>
          <w:sz w:val="20"/>
          <w:szCs w:val="20"/>
        </w:rPr>
        <w:t>including whether the cost is gross</w:t>
      </w:r>
      <w:r w:rsidR="00603061">
        <w:rPr>
          <w:rFonts w:asciiTheme="minorHAnsi" w:hAnsiTheme="minorHAnsi" w:cs="Arial"/>
          <w:sz w:val="20"/>
          <w:szCs w:val="20"/>
        </w:rPr>
        <w:t>ly disproportionate to the risk</w:t>
      </w:r>
      <w:r w:rsidR="006D1A2D">
        <w:rPr>
          <w:rFonts w:asciiTheme="minorHAnsi" w:hAnsiTheme="minorHAnsi" w:cs="Arial"/>
          <w:sz w:val="20"/>
          <w:szCs w:val="20"/>
        </w:rPr>
        <w:t>.</w:t>
      </w:r>
    </w:p>
    <w:p w:rsidR="006D1A2D" w:rsidRDefault="006D1A2D" w:rsidP="006D1A2D">
      <w:pPr>
        <w:keepNext/>
        <w:rPr>
          <w:rFonts w:asciiTheme="minorHAnsi" w:hAnsiTheme="minorHAnsi" w:cs="Arial"/>
          <w:sz w:val="20"/>
          <w:szCs w:val="20"/>
        </w:rPr>
      </w:pPr>
    </w:p>
    <w:p w:rsidR="004F11EA" w:rsidRDefault="004F11EA" w:rsidP="006D1A2D">
      <w:pPr>
        <w:keepNext/>
        <w:rPr>
          <w:rFonts w:asciiTheme="minorHAnsi" w:hAnsiTheme="minorHAnsi" w:cs="Arial"/>
          <w:sz w:val="20"/>
          <w:szCs w:val="20"/>
        </w:rPr>
      </w:pPr>
    </w:p>
    <w:p w:rsidR="00F64989" w:rsidRDefault="002F0993" w:rsidP="006D1A2D">
      <w:pPr>
        <w:keepNext/>
        <w:rPr>
          <w:rFonts w:asciiTheme="minorHAnsi" w:hAnsiTheme="minorHAnsi" w:cs="Arial"/>
          <w:sz w:val="20"/>
          <w:szCs w:val="20"/>
        </w:rPr>
      </w:pPr>
      <w:r>
        <w:rPr>
          <w:rFonts w:asciiTheme="minorHAnsi" w:hAnsiTheme="minorHAnsi" w:cs="Arial"/>
          <w:sz w:val="20"/>
          <w:szCs w:val="20"/>
        </w:rPr>
        <w:t>This approach to</w:t>
      </w:r>
      <w:r w:rsidR="00C40E57" w:rsidRPr="00C40E57">
        <w:rPr>
          <w:rFonts w:asciiTheme="minorHAnsi" w:hAnsiTheme="minorHAnsi" w:cs="Arial"/>
          <w:sz w:val="20"/>
          <w:szCs w:val="20"/>
        </w:rPr>
        <w:t xml:space="preserve"> defining ‘reasonably practicable’ has been </w:t>
      </w:r>
      <w:r w:rsidR="001B27CF">
        <w:rPr>
          <w:rFonts w:asciiTheme="minorHAnsi" w:hAnsiTheme="minorHAnsi" w:cs="Arial"/>
          <w:sz w:val="20"/>
          <w:szCs w:val="20"/>
        </w:rPr>
        <w:t xml:space="preserve">extremely </w:t>
      </w:r>
      <w:r w:rsidR="00C40E57" w:rsidRPr="00C40E57">
        <w:rPr>
          <w:rFonts w:asciiTheme="minorHAnsi" w:hAnsiTheme="minorHAnsi" w:cs="Arial"/>
          <w:sz w:val="20"/>
          <w:szCs w:val="20"/>
        </w:rPr>
        <w:t>helpful for duty holders in interpreting their duties</w:t>
      </w:r>
      <w:r w:rsidR="00C40E57">
        <w:rPr>
          <w:rFonts w:asciiTheme="minorHAnsi" w:hAnsiTheme="minorHAnsi" w:cs="Arial"/>
          <w:sz w:val="20"/>
          <w:szCs w:val="20"/>
        </w:rPr>
        <w:t>.</w:t>
      </w:r>
      <w:r w:rsidR="00C40E57" w:rsidRPr="00C40E57">
        <w:rPr>
          <w:rFonts w:asciiTheme="minorHAnsi" w:hAnsiTheme="minorHAnsi" w:cs="Arial"/>
          <w:sz w:val="20"/>
          <w:szCs w:val="20"/>
        </w:rPr>
        <w:t xml:space="preserve"> </w:t>
      </w:r>
    </w:p>
    <w:p w:rsidR="00F64989" w:rsidRDefault="00F64989" w:rsidP="006D1A2D">
      <w:pPr>
        <w:keepNext/>
        <w:rPr>
          <w:rFonts w:asciiTheme="minorHAnsi" w:hAnsiTheme="minorHAnsi" w:cs="Arial"/>
          <w:sz w:val="20"/>
          <w:szCs w:val="20"/>
        </w:rPr>
      </w:pPr>
    </w:p>
    <w:p w:rsidR="001923C1" w:rsidRDefault="002F2AF7" w:rsidP="006D1A2D">
      <w:pPr>
        <w:keepNext/>
        <w:rPr>
          <w:rFonts w:asciiTheme="minorHAnsi" w:hAnsiTheme="minorHAnsi" w:cs="Arial"/>
          <w:sz w:val="20"/>
          <w:szCs w:val="20"/>
        </w:rPr>
      </w:pPr>
      <w:r>
        <w:rPr>
          <w:rFonts w:asciiTheme="minorHAnsi" w:hAnsiTheme="minorHAnsi" w:cs="Arial"/>
          <w:sz w:val="20"/>
          <w:szCs w:val="20"/>
        </w:rPr>
        <w:t>B</w:t>
      </w:r>
      <w:r w:rsidR="00C40E57" w:rsidRPr="00C40E57">
        <w:rPr>
          <w:rFonts w:asciiTheme="minorHAnsi" w:hAnsiTheme="minorHAnsi" w:cs="Arial"/>
          <w:sz w:val="20"/>
          <w:szCs w:val="20"/>
        </w:rPr>
        <w:t xml:space="preserve">usinesses have embraced the concept, invested significantly in understanding how to apply </w:t>
      </w:r>
      <w:r w:rsidR="001B27CF">
        <w:rPr>
          <w:rFonts w:asciiTheme="minorHAnsi" w:hAnsiTheme="minorHAnsi" w:cs="Arial"/>
          <w:sz w:val="20"/>
          <w:szCs w:val="20"/>
        </w:rPr>
        <w:t>it</w:t>
      </w:r>
      <w:r w:rsidR="00C40E57" w:rsidRPr="00C40E57">
        <w:rPr>
          <w:rFonts w:asciiTheme="minorHAnsi" w:hAnsiTheme="minorHAnsi" w:cs="Arial"/>
          <w:sz w:val="20"/>
          <w:szCs w:val="20"/>
        </w:rPr>
        <w:t xml:space="preserve">, and then implemented </w:t>
      </w:r>
      <w:r w:rsidR="00C40E57">
        <w:rPr>
          <w:rFonts w:asciiTheme="minorHAnsi" w:hAnsiTheme="minorHAnsi" w:cs="Arial"/>
          <w:sz w:val="20"/>
          <w:szCs w:val="20"/>
        </w:rPr>
        <w:t>it</w:t>
      </w:r>
      <w:r w:rsidR="00C40E57" w:rsidRPr="00C40E57">
        <w:rPr>
          <w:rFonts w:asciiTheme="minorHAnsi" w:hAnsiTheme="minorHAnsi" w:cs="Arial"/>
          <w:sz w:val="20"/>
          <w:szCs w:val="20"/>
        </w:rPr>
        <w:t>. The clarity of the definition and</w:t>
      </w:r>
      <w:r w:rsidR="00C40E57">
        <w:rPr>
          <w:rFonts w:asciiTheme="minorHAnsi" w:hAnsiTheme="minorHAnsi" w:cs="Arial"/>
          <w:sz w:val="20"/>
          <w:szCs w:val="20"/>
        </w:rPr>
        <w:t xml:space="preserve"> its application to the work health and safety </w:t>
      </w:r>
      <w:r w:rsidR="00C40E57" w:rsidRPr="00C40E57">
        <w:rPr>
          <w:rFonts w:asciiTheme="minorHAnsi" w:hAnsiTheme="minorHAnsi" w:cs="Arial"/>
          <w:sz w:val="20"/>
          <w:szCs w:val="20"/>
        </w:rPr>
        <w:t xml:space="preserve">duties </w:t>
      </w:r>
      <w:r w:rsidR="00C40E57">
        <w:rPr>
          <w:rFonts w:asciiTheme="minorHAnsi" w:hAnsiTheme="minorHAnsi" w:cs="Arial"/>
          <w:sz w:val="20"/>
          <w:szCs w:val="20"/>
        </w:rPr>
        <w:t xml:space="preserve">in the Act </w:t>
      </w:r>
      <w:r w:rsidR="00C40E57" w:rsidRPr="00C40E57">
        <w:rPr>
          <w:rFonts w:asciiTheme="minorHAnsi" w:hAnsiTheme="minorHAnsi" w:cs="Arial"/>
          <w:sz w:val="20"/>
          <w:szCs w:val="20"/>
        </w:rPr>
        <w:t>has meant that businesses can achieve a clear understanding of their obligations and how to satisfy them</w:t>
      </w:r>
      <w:r>
        <w:rPr>
          <w:rFonts w:asciiTheme="minorHAnsi" w:hAnsiTheme="minorHAnsi" w:cs="Arial"/>
          <w:sz w:val="20"/>
          <w:szCs w:val="20"/>
        </w:rPr>
        <w:t>. The</w:t>
      </w:r>
      <w:r w:rsidR="00C40E57" w:rsidRPr="00C40E57">
        <w:rPr>
          <w:rFonts w:asciiTheme="minorHAnsi" w:hAnsiTheme="minorHAnsi" w:cs="Arial"/>
          <w:sz w:val="20"/>
          <w:szCs w:val="20"/>
        </w:rPr>
        <w:t xml:space="preserve"> same businesses struggle </w:t>
      </w:r>
      <w:r w:rsidR="009B4F13">
        <w:rPr>
          <w:rFonts w:asciiTheme="minorHAnsi" w:hAnsiTheme="minorHAnsi" w:cs="Arial"/>
          <w:sz w:val="20"/>
          <w:szCs w:val="20"/>
        </w:rPr>
        <w:t>to understand</w:t>
      </w:r>
      <w:r w:rsidR="00C40E57" w:rsidRPr="00C40E57">
        <w:rPr>
          <w:rFonts w:asciiTheme="minorHAnsi" w:hAnsiTheme="minorHAnsi" w:cs="Arial"/>
          <w:sz w:val="20"/>
          <w:szCs w:val="20"/>
        </w:rPr>
        <w:t xml:space="preserve"> what their duties are under the HVNL and how to comply with them.</w:t>
      </w:r>
    </w:p>
    <w:p w:rsidR="00C40E57" w:rsidRDefault="00C40E57" w:rsidP="006D1A2D">
      <w:pPr>
        <w:keepNext/>
        <w:rPr>
          <w:rFonts w:asciiTheme="minorHAnsi" w:hAnsiTheme="minorHAnsi" w:cs="Arial"/>
          <w:sz w:val="20"/>
          <w:szCs w:val="20"/>
        </w:rPr>
      </w:pPr>
    </w:p>
    <w:p w:rsidR="00B71F98" w:rsidRDefault="002B5331" w:rsidP="00B71F98">
      <w:pPr>
        <w:rPr>
          <w:rFonts w:asciiTheme="minorHAnsi" w:hAnsiTheme="minorHAnsi" w:cs="Arial"/>
          <w:sz w:val="20"/>
          <w:szCs w:val="20"/>
        </w:rPr>
      </w:pPr>
      <w:r>
        <w:rPr>
          <w:rFonts w:asciiTheme="minorHAnsi" w:hAnsiTheme="minorHAnsi" w:cs="Arial"/>
          <w:sz w:val="20"/>
          <w:szCs w:val="20"/>
        </w:rPr>
        <w:t>Accordingly, t</w:t>
      </w:r>
      <w:r w:rsidR="006B16F5">
        <w:rPr>
          <w:rFonts w:asciiTheme="minorHAnsi" w:hAnsiTheme="minorHAnsi" w:cs="Arial"/>
          <w:sz w:val="20"/>
          <w:szCs w:val="20"/>
        </w:rPr>
        <w:t>he ATA proposes that t</w:t>
      </w:r>
      <w:r w:rsidR="006B16F5" w:rsidRPr="006B16F5">
        <w:rPr>
          <w:rFonts w:asciiTheme="minorHAnsi" w:hAnsiTheme="minorHAnsi" w:cs="Arial"/>
          <w:sz w:val="20"/>
          <w:szCs w:val="20"/>
        </w:rPr>
        <w:t xml:space="preserve">he term ‘all reasonable steps’ should be retired from the HVNL and </w:t>
      </w:r>
      <w:r w:rsidR="00B71F98">
        <w:rPr>
          <w:rFonts w:asciiTheme="minorHAnsi" w:hAnsiTheme="minorHAnsi" w:cs="Arial"/>
          <w:sz w:val="20"/>
          <w:szCs w:val="20"/>
        </w:rPr>
        <w:t xml:space="preserve">comprehensively </w:t>
      </w:r>
      <w:r w:rsidR="006B16F5" w:rsidRPr="006B16F5">
        <w:rPr>
          <w:rFonts w:asciiTheme="minorHAnsi" w:hAnsiTheme="minorHAnsi" w:cs="Arial"/>
          <w:sz w:val="20"/>
          <w:szCs w:val="20"/>
        </w:rPr>
        <w:t>replaced with ‘</w:t>
      </w:r>
      <w:r w:rsidR="009B4F13">
        <w:rPr>
          <w:rFonts w:asciiTheme="minorHAnsi" w:hAnsiTheme="minorHAnsi" w:cs="Arial"/>
          <w:sz w:val="20"/>
          <w:szCs w:val="20"/>
        </w:rPr>
        <w:t>so far</w:t>
      </w:r>
      <w:r w:rsidR="006B16F5">
        <w:rPr>
          <w:rFonts w:asciiTheme="minorHAnsi" w:hAnsiTheme="minorHAnsi" w:cs="Arial"/>
          <w:sz w:val="20"/>
          <w:szCs w:val="20"/>
        </w:rPr>
        <w:t xml:space="preserve"> as </w:t>
      </w:r>
      <w:r w:rsidR="0020079C">
        <w:rPr>
          <w:rFonts w:asciiTheme="minorHAnsi" w:hAnsiTheme="minorHAnsi" w:cs="Arial"/>
          <w:sz w:val="20"/>
          <w:szCs w:val="20"/>
        </w:rPr>
        <w:t xml:space="preserve">is </w:t>
      </w:r>
      <w:r w:rsidR="006B16F5">
        <w:rPr>
          <w:rFonts w:asciiTheme="minorHAnsi" w:hAnsiTheme="minorHAnsi" w:cs="Arial"/>
          <w:sz w:val="20"/>
          <w:szCs w:val="20"/>
        </w:rPr>
        <w:t xml:space="preserve">reasonably practicable.’ </w:t>
      </w:r>
    </w:p>
    <w:p w:rsidR="0020079C" w:rsidRDefault="0020079C" w:rsidP="00B71F98">
      <w:pPr>
        <w:rPr>
          <w:rFonts w:asciiTheme="minorHAnsi" w:hAnsiTheme="minorHAnsi" w:cs="Arial"/>
          <w:sz w:val="20"/>
          <w:szCs w:val="20"/>
        </w:rPr>
      </w:pPr>
    </w:p>
    <w:p w:rsidR="0020079C" w:rsidRDefault="0020079C" w:rsidP="00B71F98">
      <w:pPr>
        <w:rPr>
          <w:rFonts w:asciiTheme="minorHAnsi" w:hAnsiTheme="minorHAnsi" w:cs="Arial"/>
          <w:sz w:val="20"/>
          <w:szCs w:val="20"/>
        </w:rPr>
      </w:pPr>
      <w:r>
        <w:rPr>
          <w:rFonts w:asciiTheme="minorHAnsi" w:hAnsiTheme="minorHAnsi" w:cs="Arial"/>
          <w:sz w:val="20"/>
          <w:szCs w:val="20"/>
        </w:rPr>
        <w:t>The Hatcher review pointed out that there is probably little difference in the two standards;</w:t>
      </w:r>
      <w:r>
        <w:rPr>
          <w:rStyle w:val="FootnoteReference"/>
          <w:rFonts w:asciiTheme="minorHAnsi" w:hAnsiTheme="minorHAnsi"/>
          <w:sz w:val="20"/>
          <w:szCs w:val="20"/>
        </w:rPr>
        <w:footnoteReference w:id="21"/>
      </w:r>
      <w:r>
        <w:rPr>
          <w:rFonts w:asciiTheme="minorHAnsi" w:hAnsiTheme="minorHAnsi" w:cs="Arial"/>
          <w:sz w:val="20"/>
          <w:szCs w:val="20"/>
        </w:rPr>
        <w:t xml:space="preserve"> this proposal would make the HVNL clearer and more understandable without affecting safety.</w:t>
      </w:r>
    </w:p>
    <w:p w:rsidR="00B71F98" w:rsidRDefault="00B71F98" w:rsidP="00B71F98">
      <w:pPr>
        <w:rPr>
          <w:rFonts w:asciiTheme="minorHAnsi" w:hAnsiTheme="minorHAnsi" w:cs="Arial"/>
          <w:sz w:val="20"/>
          <w:szCs w:val="20"/>
        </w:rPr>
      </w:pPr>
    </w:p>
    <w:p w:rsidR="006B16F5" w:rsidRDefault="002F2AF7" w:rsidP="002F2AF7">
      <w:pPr>
        <w:rPr>
          <w:rFonts w:asciiTheme="minorHAnsi" w:hAnsiTheme="minorHAnsi" w:cs="Arial"/>
          <w:sz w:val="20"/>
          <w:szCs w:val="20"/>
        </w:rPr>
      </w:pPr>
      <w:r>
        <w:rPr>
          <w:rFonts w:asciiTheme="minorHAnsi" w:hAnsiTheme="minorHAnsi" w:cs="Arial"/>
          <w:sz w:val="20"/>
          <w:szCs w:val="20"/>
        </w:rPr>
        <w:t>In the ATA’s view, p</w:t>
      </w:r>
      <w:r w:rsidR="006B16F5" w:rsidRPr="006B16F5">
        <w:rPr>
          <w:rFonts w:asciiTheme="minorHAnsi" w:hAnsiTheme="minorHAnsi" w:cs="Arial"/>
          <w:sz w:val="20"/>
          <w:szCs w:val="20"/>
        </w:rPr>
        <w:t>roposed chapter 1A should include a definition of ‘reasonably practicable’ that is consistent with the definition used in the model W</w:t>
      </w:r>
      <w:r w:rsidR="006B16F5">
        <w:rPr>
          <w:rFonts w:asciiTheme="minorHAnsi" w:hAnsiTheme="minorHAnsi" w:cs="Arial"/>
          <w:sz w:val="20"/>
          <w:szCs w:val="20"/>
        </w:rPr>
        <w:t>ork Health and Safety Act, but adjusted as necessary to reflect</w:t>
      </w:r>
      <w:r w:rsidR="006B16F5" w:rsidRPr="006B16F5">
        <w:rPr>
          <w:rFonts w:asciiTheme="minorHAnsi" w:hAnsiTheme="minorHAnsi" w:cs="Arial"/>
          <w:sz w:val="20"/>
          <w:szCs w:val="20"/>
        </w:rPr>
        <w:t xml:space="preserve"> </w:t>
      </w:r>
      <w:r w:rsidR="006B16F5">
        <w:rPr>
          <w:rFonts w:asciiTheme="minorHAnsi" w:hAnsiTheme="minorHAnsi" w:cs="Arial"/>
          <w:sz w:val="20"/>
          <w:szCs w:val="20"/>
        </w:rPr>
        <w:t>the HVNL’s focus on compliance.</w:t>
      </w:r>
    </w:p>
    <w:p w:rsidR="006B16F5" w:rsidRDefault="006B16F5" w:rsidP="002F2AF7">
      <w:pPr>
        <w:rPr>
          <w:rFonts w:asciiTheme="minorHAnsi" w:hAnsiTheme="minorHAnsi" w:cs="Arial"/>
          <w:sz w:val="20"/>
          <w:szCs w:val="20"/>
        </w:rPr>
      </w:pPr>
    </w:p>
    <w:p w:rsidR="001923C1" w:rsidRDefault="006B16F5" w:rsidP="002F2AF7">
      <w:pPr>
        <w:rPr>
          <w:rFonts w:asciiTheme="minorHAnsi" w:hAnsiTheme="minorHAnsi" w:cs="Arial"/>
          <w:sz w:val="20"/>
          <w:szCs w:val="20"/>
        </w:rPr>
      </w:pPr>
      <w:r>
        <w:rPr>
          <w:rFonts w:asciiTheme="minorHAnsi" w:hAnsiTheme="minorHAnsi" w:cs="Arial"/>
          <w:sz w:val="20"/>
          <w:szCs w:val="20"/>
        </w:rPr>
        <w:t>The ATA further proposes that s</w:t>
      </w:r>
      <w:r w:rsidRPr="006B16F5">
        <w:rPr>
          <w:rFonts w:asciiTheme="minorHAnsi" w:hAnsiTheme="minorHAnsi" w:cs="Arial"/>
          <w:sz w:val="20"/>
          <w:szCs w:val="20"/>
        </w:rPr>
        <w:t>ections 620 and 62</w:t>
      </w:r>
      <w:r>
        <w:rPr>
          <w:rFonts w:asciiTheme="minorHAnsi" w:hAnsiTheme="minorHAnsi" w:cs="Arial"/>
          <w:sz w:val="20"/>
          <w:szCs w:val="20"/>
        </w:rPr>
        <w:t>2 of the HVNL should be removed. T</w:t>
      </w:r>
      <w:r w:rsidRPr="006B16F5">
        <w:rPr>
          <w:rFonts w:asciiTheme="minorHAnsi" w:hAnsiTheme="minorHAnsi" w:cs="Arial"/>
          <w:sz w:val="20"/>
          <w:szCs w:val="20"/>
        </w:rPr>
        <w:t xml:space="preserve">heir content should be </w:t>
      </w:r>
      <w:r>
        <w:rPr>
          <w:rFonts w:asciiTheme="minorHAnsi" w:hAnsiTheme="minorHAnsi" w:cs="Arial"/>
          <w:sz w:val="20"/>
          <w:szCs w:val="20"/>
        </w:rPr>
        <w:t>included in a fact sheet or guidance note</w:t>
      </w:r>
      <w:r w:rsidR="001B27CF">
        <w:rPr>
          <w:rFonts w:asciiTheme="minorHAnsi" w:hAnsiTheme="minorHAnsi" w:cs="Arial"/>
          <w:sz w:val="20"/>
          <w:szCs w:val="20"/>
        </w:rPr>
        <w:t>, with an explanation</w:t>
      </w:r>
      <w:r>
        <w:rPr>
          <w:rFonts w:asciiTheme="minorHAnsi" w:hAnsiTheme="minorHAnsi" w:cs="Arial"/>
          <w:sz w:val="20"/>
          <w:szCs w:val="20"/>
        </w:rPr>
        <w:t xml:space="preserve"> that </w:t>
      </w:r>
      <w:r w:rsidR="002B5331">
        <w:rPr>
          <w:rFonts w:asciiTheme="minorHAnsi" w:hAnsiTheme="minorHAnsi" w:cs="Arial"/>
          <w:sz w:val="20"/>
          <w:szCs w:val="20"/>
        </w:rPr>
        <w:t>the content is</w:t>
      </w:r>
      <w:r>
        <w:rPr>
          <w:rFonts w:asciiTheme="minorHAnsi" w:hAnsiTheme="minorHAnsi" w:cs="Arial"/>
          <w:sz w:val="20"/>
          <w:szCs w:val="20"/>
        </w:rPr>
        <w:t xml:space="preserve"> a list of examples and is not comprehensive. Some of the content could also be included as examples within the legislation.</w:t>
      </w:r>
      <w:r w:rsidR="00B71F98">
        <w:rPr>
          <w:rStyle w:val="FootnoteReference"/>
          <w:rFonts w:asciiTheme="minorHAnsi" w:hAnsiTheme="minorHAnsi"/>
          <w:sz w:val="20"/>
          <w:szCs w:val="20"/>
        </w:rPr>
        <w:footnoteReference w:id="22"/>
      </w:r>
    </w:p>
    <w:p w:rsidR="001923C1" w:rsidRDefault="001923C1" w:rsidP="006C23D9">
      <w:pPr>
        <w:rPr>
          <w:rFonts w:asciiTheme="minorHAnsi" w:hAnsiTheme="minorHAnsi" w:cs="Arial"/>
          <w:sz w:val="20"/>
          <w:szCs w:val="20"/>
        </w:rPr>
      </w:pPr>
    </w:p>
    <w:p w:rsidR="009371FC" w:rsidRDefault="009371FC" w:rsidP="006C23D9">
      <w:pPr>
        <w:rPr>
          <w:rFonts w:asciiTheme="minorHAnsi" w:hAnsiTheme="minorHAnsi" w:cs="Arial"/>
          <w:sz w:val="20"/>
          <w:szCs w:val="20"/>
        </w:rPr>
      </w:pPr>
    </w:p>
    <w:p w:rsidR="001923C1" w:rsidRPr="00191B40" w:rsidRDefault="001923C1" w:rsidP="004F11EA">
      <w:pPr>
        <w:keepNext/>
        <w:keepLines/>
        <w:rPr>
          <w:rFonts w:asciiTheme="minorHAnsi" w:hAnsiTheme="minorHAnsi" w:cs="Arial"/>
          <w:b/>
          <w:sz w:val="20"/>
          <w:szCs w:val="20"/>
        </w:rPr>
      </w:pPr>
      <w:r w:rsidRPr="00191B40">
        <w:rPr>
          <w:rFonts w:asciiTheme="minorHAnsi" w:hAnsiTheme="minorHAnsi" w:cs="Arial"/>
          <w:b/>
          <w:sz w:val="20"/>
          <w:szCs w:val="20"/>
        </w:rPr>
        <w:lastRenderedPageBreak/>
        <w:t xml:space="preserve">Recommendation </w:t>
      </w:r>
      <w:r w:rsidR="00191B40" w:rsidRPr="00191B40">
        <w:rPr>
          <w:rFonts w:asciiTheme="minorHAnsi" w:hAnsiTheme="minorHAnsi" w:cs="Arial"/>
          <w:b/>
          <w:sz w:val="20"/>
          <w:szCs w:val="20"/>
        </w:rPr>
        <w:t>5</w:t>
      </w:r>
    </w:p>
    <w:p w:rsidR="00191B40" w:rsidRPr="00191B40" w:rsidRDefault="00191B40" w:rsidP="004F11EA">
      <w:pPr>
        <w:keepNext/>
        <w:keepLines/>
        <w:rPr>
          <w:rFonts w:asciiTheme="minorHAnsi" w:hAnsiTheme="minorHAnsi" w:cs="Arial"/>
          <w:b/>
          <w:sz w:val="20"/>
          <w:szCs w:val="20"/>
        </w:rPr>
      </w:pPr>
    </w:p>
    <w:p w:rsidR="00191B40" w:rsidRPr="00191B40" w:rsidRDefault="00C40E57" w:rsidP="004F11EA">
      <w:pPr>
        <w:keepNext/>
        <w:keepLines/>
        <w:rPr>
          <w:rFonts w:asciiTheme="minorHAnsi" w:hAnsiTheme="minorHAnsi" w:cs="Arial"/>
          <w:b/>
          <w:sz w:val="20"/>
          <w:szCs w:val="20"/>
        </w:rPr>
      </w:pPr>
      <w:r>
        <w:rPr>
          <w:rFonts w:asciiTheme="minorHAnsi" w:hAnsiTheme="minorHAnsi" w:cs="Arial"/>
          <w:b/>
          <w:sz w:val="20"/>
          <w:szCs w:val="20"/>
        </w:rPr>
        <w:t>The term ‘all reasonable steps’ should be retired from the HVNL and replaced with ‘</w:t>
      </w:r>
      <w:r w:rsidR="009B4F13">
        <w:rPr>
          <w:rFonts w:asciiTheme="minorHAnsi" w:hAnsiTheme="minorHAnsi" w:cs="Arial"/>
          <w:b/>
          <w:sz w:val="20"/>
          <w:szCs w:val="20"/>
        </w:rPr>
        <w:t>so far</w:t>
      </w:r>
      <w:r>
        <w:rPr>
          <w:rFonts w:asciiTheme="minorHAnsi" w:hAnsiTheme="minorHAnsi" w:cs="Arial"/>
          <w:b/>
          <w:sz w:val="20"/>
          <w:szCs w:val="20"/>
        </w:rPr>
        <w:t xml:space="preserve"> as </w:t>
      </w:r>
      <w:r w:rsidR="002F2AF7">
        <w:rPr>
          <w:rFonts w:asciiTheme="minorHAnsi" w:hAnsiTheme="minorHAnsi" w:cs="Arial"/>
          <w:b/>
          <w:sz w:val="20"/>
          <w:szCs w:val="20"/>
        </w:rPr>
        <w:t xml:space="preserve">is </w:t>
      </w:r>
      <w:r>
        <w:rPr>
          <w:rFonts w:asciiTheme="minorHAnsi" w:hAnsiTheme="minorHAnsi" w:cs="Arial"/>
          <w:b/>
          <w:sz w:val="20"/>
          <w:szCs w:val="20"/>
        </w:rPr>
        <w:t xml:space="preserve">reasonably practicable.’ Proposed chapter 1A should include </w:t>
      </w:r>
      <w:r w:rsidR="00191B40" w:rsidRPr="00191B40">
        <w:rPr>
          <w:rFonts w:asciiTheme="minorHAnsi" w:hAnsiTheme="minorHAnsi" w:cs="Arial"/>
          <w:b/>
          <w:sz w:val="20"/>
          <w:szCs w:val="20"/>
        </w:rPr>
        <w:t>a definition of ‘</w:t>
      </w:r>
      <w:r>
        <w:rPr>
          <w:rFonts w:asciiTheme="minorHAnsi" w:hAnsiTheme="minorHAnsi" w:cs="Arial"/>
          <w:b/>
          <w:sz w:val="20"/>
          <w:szCs w:val="20"/>
        </w:rPr>
        <w:t>reasonably practicable</w:t>
      </w:r>
      <w:r w:rsidR="00191B40" w:rsidRPr="00191B40">
        <w:rPr>
          <w:rFonts w:asciiTheme="minorHAnsi" w:hAnsiTheme="minorHAnsi" w:cs="Arial"/>
          <w:b/>
          <w:sz w:val="20"/>
          <w:szCs w:val="20"/>
        </w:rPr>
        <w:t>’</w:t>
      </w:r>
      <w:r>
        <w:rPr>
          <w:rFonts w:asciiTheme="minorHAnsi" w:hAnsiTheme="minorHAnsi" w:cs="Arial"/>
          <w:b/>
          <w:sz w:val="20"/>
          <w:szCs w:val="20"/>
        </w:rPr>
        <w:t xml:space="preserve"> that is c</w:t>
      </w:r>
      <w:r w:rsidR="00F64989">
        <w:rPr>
          <w:rFonts w:asciiTheme="minorHAnsi" w:hAnsiTheme="minorHAnsi" w:cs="Arial"/>
          <w:b/>
          <w:sz w:val="20"/>
          <w:szCs w:val="20"/>
        </w:rPr>
        <w:t>onsistent with the definition</w:t>
      </w:r>
      <w:r>
        <w:rPr>
          <w:rFonts w:asciiTheme="minorHAnsi" w:hAnsiTheme="minorHAnsi" w:cs="Arial"/>
          <w:b/>
          <w:sz w:val="20"/>
          <w:szCs w:val="20"/>
        </w:rPr>
        <w:t xml:space="preserve"> used in the model Work Health and Safety Act.</w:t>
      </w:r>
      <w:r w:rsidR="00191B40" w:rsidRPr="00191B40">
        <w:rPr>
          <w:rFonts w:asciiTheme="minorHAnsi" w:hAnsiTheme="minorHAnsi" w:cs="Arial"/>
          <w:b/>
          <w:sz w:val="20"/>
          <w:szCs w:val="20"/>
        </w:rPr>
        <w:t xml:space="preserve"> </w:t>
      </w:r>
      <w:r>
        <w:rPr>
          <w:rFonts w:asciiTheme="minorHAnsi" w:hAnsiTheme="minorHAnsi" w:cs="Arial"/>
          <w:b/>
          <w:sz w:val="20"/>
          <w:szCs w:val="20"/>
        </w:rPr>
        <w:t>S</w:t>
      </w:r>
      <w:r w:rsidR="00191B40" w:rsidRPr="00191B40">
        <w:rPr>
          <w:rFonts w:asciiTheme="minorHAnsi" w:hAnsiTheme="minorHAnsi" w:cs="Arial"/>
          <w:b/>
          <w:sz w:val="20"/>
          <w:szCs w:val="20"/>
        </w:rPr>
        <w:t xml:space="preserve">ections 620 </w:t>
      </w:r>
      <w:r w:rsidR="00401745">
        <w:rPr>
          <w:rFonts w:asciiTheme="minorHAnsi" w:hAnsiTheme="minorHAnsi" w:cs="Arial"/>
          <w:b/>
          <w:sz w:val="20"/>
          <w:szCs w:val="20"/>
        </w:rPr>
        <w:t>a</w:t>
      </w:r>
      <w:r w:rsidR="00191B40" w:rsidRPr="00191B40">
        <w:rPr>
          <w:rFonts w:asciiTheme="minorHAnsi" w:hAnsiTheme="minorHAnsi" w:cs="Arial"/>
          <w:b/>
          <w:sz w:val="20"/>
          <w:szCs w:val="20"/>
        </w:rPr>
        <w:t xml:space="preserve">nd 622 </w:t>
      </w:r>
      <w:r w:rsidR="00F64989">
        <w:rPr>
          <w:rFonts w:asciiTheme="minorHAnsi" w:hAnsiTheme="minorHAnsi" w:cs="Arial"/>
          <w:b/>
          <w:sz w:val="20"/>
          <w:szCs w:val="20"/>
        </w:rPr>
        <w:t xml:space="preserve">of the HVNL should be removed; their </w:t>
      </w:r>
      <w:r w:rsidR="006B16F5">
        <w:rPr>
          <w:rFonts w:asciiTheme="minorHAnsi" w:hAnsiTheme="minorHAnsi" w:cs="Arial"/>
          <w:b/>
          <w:sz w:val="20"/>
          <w:szCs w:val="20"/>
        </w:rPr>
        <w:t xml:space="preserve">relevant content </w:t>
      </w:r>
      <w:r w:rsidR="00F64989">
        <w:rPr>
          <w:rFonts w:asciiTheme="minorHAnsi" w:hAnsiTheme="minorHAnsi" w:cs="Arial"/>
          <w:b/>
          <w:sz w:val="20"/>
          <w:szCs w:val="20"/>
        </w:rPr>
        <w:t xml:space="preserve">should be transferred to </w:t>
      </w:r>
      <w:r w:rsidR="002B5331">
        <w:rPr>
          <w:rFonts w:asciiTheme="minorHAnsi" w:hAnsiTheme="minorHAnsi" w:cs="Arial"/>
          <w:b/>
          <w:sz w:val="20"/>
          <w:szCs w:val="20"/>
        </w:rPr>
        <w:t xml:space="preserve">a </w:t>
      </w:r>
      <w:r w:rsidR="00F64989">
        <w:rPr>
          <w:rFonts w:asciiTheme="minorHAnsi" w:hAnsiTheme="minorHAnsi" w:cs="Arial"/>
          <w:b/>
          <w:sz w:val="20"/>
          <w:szCs w:val="20"/>
        </w:rPr>
        <w:t>f</w:t>
      </w:r>
      <w:r w:rsidR="002B5331">
        <w:rPr>
          <w:rFonts w:asciiTheme="minorHAnsi" w:hAnsiTheme="minorHAnsi" w:cs="Arial"/>
          <w:b/>
          <w:sz w:val="20"/>
          <w:szCs w:val="20"/>
        </w:rPr>
        <w:t>act sheet</w:t>
      </w:r>
      <w:r w:rsidR="00F64989">
        <w:rPr>
          <w:rFonts w:asciiTheme="minorHAnsi" w:hAnsiTheme="minorHAnsi" w:cs="Arial"/>
          <w:b/>
          <w:sz w:val="20"/>
          <w:szCs w:val="20"/>
        </w:rPr>
        <w:t xml:space="preserve"> or examples </w:t>
      </w:r>
      <w:r w:rsidR="006B16F5">
        <w:rPr>
          <w:rFonts w:asciiTheme="minorHAnsi" w:hAnsiTheme="minorHAnsi" w:cs="Arial"/>
          <w:b/>
          <w:sz w:val="20"/>
          <w:szCs w:val="20"/>
        </w:rPr>
        <w:t>within</w:t>
      </w:r>
      <w:r w:rsidR="00F64989">
        <w:rPr>
          <w:rFonts w:asciiTheme="minorHAnsi" w:hAnsiTheme="minorHAnsi" w:cs="Arial"/>
          <w:b/>
          <w:sz w:val="20"/>
          <w:szCs w:val="20"/>
        </w:rPr>
        <w:t xml:space="preserve"> the </w:t>
      </w:r>
      <w:r w:rsidR="00B71F98">
        <w:rPr>
          <w:rFonts w:asciiTheme="minorHAnsi" w:hAnsiTheme="minorHAnsi" w:cs="Arial"/>
          <w:b/>
          <w:sz w:val="20"/>
          <w:szCs w:val="20"/>
        </w:rPr>
        <w:t>legislation</w:t>
      </w:r>
      <w:r w:rsidR="00F64989">
        <w:rPr>
          <w:rFonts w:asciiTheme="minorHAnsi" w:hAnsiTheme="minorHAnsi" w:cs="Arial"/>
          <w:b/>
          <w:sz w:val="20"/>
          <w:szCs w:val="20"/>
        </w:rPr>
        <w:t>.</w:t>
      </w:r>
    </w:p>
    <w:p w:rsidR="005732EC" w:rsidRDefault="005732EC" w:rsidP="004F11EA">
      <w:pPr>
        <w:keepNext/>
        <w:keepLines/>
        <w:rPr>
          <w:rFonts w:asciiTheme="minorHAnsi" w:hAnsiTheme="minorHAnsi" w:cs="Arial"/>
          <w:i/>
          <w:sz w:val="20"/>
          <w:szCs w:val="20"/>
        </w:rPr>
      </w:pPr>
    </w:p>
    <w:p w:rsidR="009B4F13" w:rsidRDefault="009B4F13" w:rsidP="004F11EA">
      <w:pPr>
        <w:keepNext/>
        <w:keepLines/>
        <w:rPr>
          <w:rFonts w:asciiTheme="minorHAnsi" w:hAnsiTheme="minorHAnsi" w:cs="Arial"/>
          <w:i/>
          <w:sz w:val="20"/>
          <w:szCs w:val="20"/>
        </w:rPr>
      </w:pPr>
    </w:p>
    <w:p w:rsidR="009B4F13" w:rsidRDefault="000D003E" w:rsidP="009B4F13">
      <w:pPr>
        <w:keepNext/>
        <w:rPr>
          <w:rFonts w:asciiTheme="minorHAnsi" w:hAnsiTheme="minorHAnsi" w:cs="Arial"/>
          <w:sz w:val="20"/>
          <w:szCs w:val="20"/>
        </w:rPr>
      </w:pPr>
      <w:r>
        <w:rPr>
          <w:rFonts w:asciiTheme="minorHAnsi" w:hAnsiTheme="minorHAnsi" w:cs="Arial"/>
          <w:sz w:val="20"/>
          <w:szCs w:val="20"/>
        </w:rPr>
        <w:t>In developing this submission, t</w:t>
      </w:r>
      <w:r w:rsidR="009B4F13">
        <w:rPr>
          <w:rFonts w:asciiTheme="minorHAnsi" w:hAnsiTheme="minorHAnsi" w:cs="Arial"/>
          <w:sz w:val="20"/>
          <w:szCs w:val="20"/>
        </w:rPr>
        <w:t>he ATA considered a number of alternatives to recommendation 5, such as changing ‘all reasonable steps’ throughout the law to ‘reasonable steps.’ This would be our preferred approach if recommendation 5 is not adopted</w:t>
      </w:r>
      <w:r>
        <w:rPr>
          <w:rFonts w:asciiTheme="minorHAnsi" w:hAnsiTheme="minorHAnsi" w:cs="Arial"/>
          <w:sz w:val="20"/>
          <w:szCs w:val="20"/>
        </w:rPr>
        <w:t>.</w:t>
      </w:r>
    </w:p>
    <w:p w:rsidR="009B4F13" w:rsidRPr="009B4F13" w:rsidRDefault="009B4F13" w:rsidP="004F11EA">
      <w:pPr>
        <w:keepNext/>
        <w:keepLines/>
        <w:rPr>
          <w:rFonts w:asciiTheme="minorHAnsi" w:hAnsiTheme="minorHAnsi" w:cs="Arial"/>
          <w:sz w:val="20"/>
          <w:szCs w:val="20"/>
        </w:rPr>
      </w:pPr>
    </w:p>
    <w:p w:rsidR="00191B40" w:rsidRDefault="00191B40" w:rsidP="00E132F0">
      <w:pPr>
        <w:keepNext/>
        <w:rPr>
          <w:rFonts w:asciiTheme="minorHAnsi" w:hAnsiTheme="minorHAnsi" w:cs="Arial"/>
          <w:i/>
          <w:sz w:val="20"/>
          <w:szCs w:val="20"/>
        </w:rPr>
      </w:pPr>
    </w:p>
    <w:p w:rsidR="00672957" w:rsidRPr="00C00755" w:rsidRDefault="00672957" w:rsidP="00C00755">
      <w:pPr>
        <w:pStyle w:val="Heading2"/>
        <w:spacing w:before="0"/>
        <w:rPr>
          <w:rFonts w:asciiTheme="minorHAnsi" w:hAnsiTheme="minorHAnsi" w:cs="Arial"/>
          <w:color w:val="auto"/>
          <w:sz w:val="24"/>
          <w:szCs w:val="24"/>
        </w:rPr>
      </w:pPr>
      <w:bookmarkStart w:id="9" w:name="_Toc410388153"/>
      <w:r w:rsidRPr="00C00755">
        <w:rPr>
          <w:rFonts w:asciiTheme="minorHAnsi" w:hAnsiTheme="minorHAnsi" w:cs="Arial"/>
          <w:color w:val="auto"/>
          <w:sz w:val="24"/>
          <w:szCs w:val="24"/>
        </w:rPr>
        <w:t xml:space="preserve">Removing </w:t>
      </w:r>
      <w:r w:rsidR="00FD0A57" w:rsidRPr="00C00755">
        <w:rPr>
          <w:rFonts w:asciiTheme="minorHAnsi" w:hAnsiTheme="minorHAnsi" w:cs="Arial"/>
          <w:color w:val="auto"/>
          <w:sz w:val="24"/>
          <w:szCs w:val="24"/>
        </w:rPr>
        <w:t xml:space="preserve">intermediate duties </w:t>
      </w:r>
      <w:r w:rsidRPr="00C00755">
        <w:rPr>
          <w:rFonts w:asciiTheme="minorHAnsi" w:hAnsiTheme="minorHAnsi" w:cs="Arial"/>
          <w:color w:val="auto"/>
          <w:sz w:val="24"/>
          <w:szCs w:val="24"/>
        </w:rPr>
        <w:t xml:space="preserve">from the </w:t>
      </w:r>
      <w:r w:rsidR="00FD0A57" w:rsidRPr="00C00755">
        <w:rPr>
          <w:rFonts w:asciiTheme="minorHAnsi" w:hAnsiTheme="minorHAnsi" w:cs="Arial"/>
          <w:color w:val="auto"/>
          <w:sz w:val="24"/>
          <w:szCs w:val="24"/>
        </w:rPr>
        <w:t>HVNL</w:t>
      </w:r>
      <w:bookmarkEnd w:id="9"/>
    </w:p>
    <w:p w:rsidR="00672957" w:rsidRDefault="00672957" w:rsidP="00E132F0">
      <w:pPr>
        <w:keepNext/>
        <w:rPr>
          <w:rFonts w:asciiTheme="minorHAnsi" w:hAnsiTheme="minorHAnsi" w:cs="Arial"/>
          <w:sz w:val="20"/>
          <w:szCs w:val="20"/>
        </w:rPr>
      </w:pPr>
    </w:p>
    <w:p w:rsidR="00672957" w:rsidRDefault="00672957" w:rsidP="00E132F0">
      <w:pPr>
        <w:keepNext/>
        <w:rPr>
          <w:rFonts w:asciiTheme="minorHAnsi" w:hAnsiTheme="minorHAnsi" w:cs="Arial"/>
          <w:sz w:val="20"/>
          <w:szCs w:val="20"/>
        </w:rPr>
      </w:pPr>
      <w:r>
        <w:rPr>
          <w:rFonts w:asciiTheme="minorHAnsi" w:hAnsiTheme="minorHAnsi" w:cs="Arial"/>
          <w:sz w:val="20"/>
          <w:szCs w:val="20"/>
        </w:rPr>
        <w:t xml:space="preserve">At present, the HVNL includes a large number of </w:t>
      </w:r>
      <w:r w:rsidR="00FD0A57">
        <w:rPr>
          <w:rFonts w:asciiTheme="minorHAnsi" w:hAnsiTheme="minorHAnsi" w:cs="Arial"/>
          <w:sz w:val="20"/>
          <w:szCs w:val="20"/>
        </w:rPr>
        <w:t xml:space="preserve">intermediate duties </w:t>
      </w:r>
      <w:r>
        <w:rPr>
          <w:rFonts w:asciiTheme="minorHAnsi" w:hAnsiTheme="minorHAnsi" w:cs="Arial"/>
          <w:sz w:val="20"/>
          <w:szCs w:val="20"/>
        </w:rPr>
        <w:t xml:space="preserve">that </w:t>
      </w:r>
      <w:r w:rsidR="00FD0A57">
        <w:rPr>
          <w:rFonts w:asciiTheme="minorHAnsi" w:hAnsiTheme="minorHAnsi" w:cs="Arial"/>
          <w:sz w:val="20"/>
          <w:szCs w:val="20"/>
        </w:rPr>
        <w:t xml:space="preserve">prescribe </w:t>
      </w:r>
      <w:r>
        <w:rPr>
          <w:rFonts w:asciiTheme="minorHAnsi" w:hAnsiTheme="minorHAnsi" w:cs="Arial"/>
          <w:sz w:val="20"/>
          <w:szCs w:val="20"/>
        </w:rPr>
        <w:t>exactly how businesses must</w:t>
      </w:r>
      <w:r w:rsidR="00FD0A57">
        <w:rPr>
          <w:rFonts w:asciiTheme="minorHAnsi" w:hAnsiTheme="minorHAnsi" w:cs="Arial"/>
          <w:sz w:val="20"/>
          <w:szCs w:val="20"/>
        </w:rPr>
        <w:t xml:space="preserve"> operate</w:t>
      </w:r>
      <w:r>
        <w:rPr>
          <w:rFonts w:asciiTheme="minorHAnsi" w:hAnsiTheme="minorHAnsi" w:cs="Arial"/>
          <w:sz w:val="20"/>
          <w:szCs w:val="20"/>
        </w:rPr>
        <w:t>.</w:t>
      </w:r>
      <w:r w:rsidR="00FD0A57">
        <w:rPr>
          <w:rFonts w:asciiTheme="minorHAnsi" w:hAnsiTheme="minorHAnsi" w:cs="Arial"/>
          <w:sz w:val="20"/>
          <w:szCs w:val="20"/>
        </w:rPr>
        <w:t xml:space="preserve"> </w:t>
      </w:r>
      <w:r>
        <w:rPr>
          <w:rFonts w:asciiTheme="minorHAnsi" w:hAnsiTheme="minorHAnsi" w:cs="Arial"/>
          <w:sz w:val="20"/>
          <w:szCs w:val="20"/>
        </w:rPr>
        <w:t xml:space="preserve">For example, </w:t>
      </w:r>
      <w:r w:rsidR="00FD0A57">
        <w:rPr>
          <w:rFonts w:asciiTheme="minorHAnsi" w:hAnsiTheme="minorHAnsi" w:cs="Arial"/>
          <w:sz w:val="20"/>
          <w:szCs w:val="20"/>
        </w:rPr>
        <w:t xml:space="preserve">existing section </w:t>
      </w:r>
      <w:r w:rsidR="00D7343A">
        <w:rPr>
          <w:rFonts w:asciiTheme="minorHAnsi" w:hAnsiTheme="minorHAnsi" w:cs="Arial"/>
          <w:sz w:val="20"/>
          <w:szCs w:val="20"/>
        </w:rPr>
        <w:t>231 states that:</w:t>
      </w:r>
    </w:p>
    <w:p w:rsidR="00D7343A" w:rsidRDefault="00D7343A">
      <w:pPr>
        <w:rPr>
          <w:rFonts w:asciiTheme="minorHAnsi" w:hAnsiTheme="minorHAnsi" w:cs="Arial"/>
          <w:sz w:val="20"/>
          <w:szCs w:val="20"/>
        </w:rPr>
      </w:pPr>
    </w:p>
    <w:p w:rsidR="00D7343A" w:rsidRDefault="00D7343A" w:rsidP="0044412E">
      <w:pPr>
        <w:pStyle w:val="ListParagraph"/>
        <w:numPr>
          <w:ilvl w:val="0"/>
          <w:numId w:val="5"/>
        </w:numPr>
        <w:spacing w:after="0" w:line="240" w:lineRule="auto"/>
        <w:ind w:left="1491" w:right="1134" w:hanging="357"/>
        <w:rPr>
          <w:rFonts w:asciiTheme="minorHAnsi" w:hAnsiTheme="minorHAnsi" w:cs="Arial"/>
          <w:sz w:val="20"/>
          <w:szCs w:val="20"/>
        </w:rPr>
      </w:pPr>
      <w:r>
        <w:rPr>
          <w:rFonts w:asciiTheme="minorHAnsi" w:hAnsiTheme="minorHAnsi" w:cs="Arial"/>
          <w:sz w:val="20"/>
          <w:szCs w:val="20"/>
        </w:rPr>
        <w:lastRenderedPageBreak/>
        <w:t>An employer of an employed driver of a fatigue-regulated heavy vehicle must not cause the driver to drive the vehicle unless—</w:t>
      </w:r>
    </w:p>
    <w:p w:rsidR="00D7343A" w:rsidRDefault="001942B3" w:rsidP="0044412E">
      <w:pPr>
        <w:pStyle w:val="ListParagraph"/>
        <w:numPr>
          <w:ilvl w:val="2"/>
          <w:numId w:val="6"/>
        </w:numPr>
        <w:spacing w:after="0" w:line="240" w:lineRule="auto"/>
        <w:ind w:left="1848" w:right="1134" w:hanging="357"/>
        <w:rPr>
          <w:rFonts w:asciiTheme="minorHAnsi" w:hAnsiTheme="minorHAnsi" w:cs="Arial"/>
          <w:sz w:val="20"/>
          <w:szCs w:val="20"/>
        </w:rPr>
      </w:pPr>
      <w:r>
        <w:rPr>
          <w:rFonts w:asciiTheme="minorHAnsi" w:hAnsiTheme="minorHAnsi" w:cs="Arial"/>
          <w:sz w:val="20"/>
          <w:szCs w:val="20"/>
        </w:rPr>
        <w:t>t</w:t>
      </w:r>
      <w:r w:rsidR="00D7343A">
        <w:rPr>
          <w:rFonts w:asciiTheme="minorHAnsi" w:hAnsiTheme="minorHAnsi" w:cs="Arial"/>
          <w:sz w:val="20"/>
          <w:szCs w:val="20"/>
        </w:rPr>
        <w:t>he employer has complied with section 230; and</w:t>
      </w:r>
    </w:p>
    <w:p w:rsidR="00D7343A" w:rsidRDefault="001942B3" w:rsidP="0044412E">
      <w:pPr>
        <w:pStyle w:val="ListParagraph"/>
        <w:numPr>
          <w:ilvl w:val="2"/>
          <w:numId w:val="6"/>
        </w:numPr>
        <w:spacing w:after="0" w:line="240" w:lineRule="auto"/>
        <w:ind w:left="1848" w:right="1134" w:hanging="357"/>
        <w:rPr>
          <w:rFonts w:asciiTheme="minorHAnsi" w:hAnsiTheme="minorHAnsi" w:cs="Arial"/>
          <w:sz w:val="20"/>
          <w:szCs w:val="20"/>
        </w:rPr>
      </w:pPr>
      <w:r>
        <w:rPr>
          <w:rFonts w:asciiTheme="minorHAnsi" w:hAnsiTheme="minorHAnsi" w:cs="Arial"/>
          <w:sz w:val="20"/>
          <w:szCs w:val="20"/>
        </w:rPr>
        <w:t>t</w:t>
      </w:r>
      <w:r w:rsidR="00D7343A">
        <w:rPr>
          <w:rFonts w:asciiTheme="minorHAnsi" w:hAnsiTheme="minorHAnsi" w:cs="Arial"/>
          <w:sz w:val="20"/>
          <w:szCs w:val="20"/>
        </w:rPr>
        <w:t>he employer, after making reasonable inquiries, is satisfied each scheduler for the vehicle has complied with Division 4.</w:t>
      </w:r>
    </w:p>
    <w:p w:rsidR="00D7343A" w:rsidRPr="00D7343A" w:rsidRDefault="00D7343A" w:rsidP="001942B3">
      <w:pPr>
        <w:ind w:leftChars="253" w:left="557" w:right="1134" w:firstLine="881"/>
        <w:rPr>
          <w:rFonts w:asciiTheme="minorHAnsi" w:hAnsiTheme="minorHAnsi" w:cs="Arial"/>
          <w:sz w:val="20"/>
          <w:szCs w:val="20"/>
        </w:rPr>
      </w:pPr>
      <w:r w:rsidRPr="00D7343A">
        <w:rPr>
          <w:rFonts w:asciiTheme="minorHAnsi" w:hAnsiTheme="minorHAnsi" w:cs="Arial"/>
          <w:sz w:val="20"/>
          <w:szCs w:val="20"/>
        </w:rPr>
        <w:t>Maximum</w:t>
      </w:r>
      <w:r>
        <w:rPr>
          <w:rFonts w:asciiTheme="minorHAnsi" w:hAnsiTheme="minorHAnsi" w:cs="Arial"/>
          <w:sz w:val="20"/>
          <w:szCs w:val="20"/>
        </w:rPr>
        <w:t xml:space="preserve"> penalty</w:t>
      </w:r>
      <w:r w:rsidR="001942B3">
        <w:rPr>
          <w:rFonts w:asciiTheme="minorHAnsi" w:hAnsiTheme="minorHAnsi" w:cs="Arial"/>
          <w:sz w:val="20"/>
          <w:szCs w:val="20"/>
        </w:rPr>
        <w:t>—</w:t>
      </w:r>
      <w:r>
        <w:rPr>
          <w:rFonts w:asciiTheme="minorHAnsi" w:hAnsiTheme="minorHAnsi" w:cs="Arial"/>
          <w:sz w:val="20"/>
          <w:szCs w:val="20"/>
        </w:rPr>
        <w:t>$4000</w:t>
      </w:r>
    </w:p>
    <w:p w:rsidR="00D7343A" w:rsidRDefault="00D7343A">
      <w:pPr>
        <w:rPr>
          <w:rFonts w:asciiTheme="minorHAnsi" w:hAnsiTheme="minorHAnsi" w:cs="Arial"/>
          <w:sz w:val="20"/>
          <w:szCs w:val="20"/>
        </w:rPr>
      </w:pPr>
    </w:p>
    <w:p w:rsidR="00A81F4C" w:rsidRDefault="00A81F4C">
      <w:pPr>
        <w:rPr>
          <w:rFonts w:asciiTheme="minorHAnsi" w:hAnsiTheme="minorHAnsi" w:cs="Arial"/>
          <w:sz w:val="20"/>
          <w:szCs w:val="20"/>
        </w:rPr>
      </w:pPr>
      <w:r>
        <w:rPr>
          <w:rFonts w:asciiTheme="minorHAnsi" w:hAnsiTheme="minorHAnsi" w:cs="Arial"/>
          <w:sz w:val="20"/>
          <w:szCs w:val="20"/>
        </w:rPr>
        <w:t>These s</w:t>
      </w:r>
      <w:r w:rsidR="009B26B6">
        <w:rPr>
          <w:rFonts w:asciiTheme="minorHAnsi" w:hAnsiTheme="minorHAnsi" w:cs="Arial"/>
          <w:sz w:val="20"/>
          <w:szCs w:val="20"/>
        </w:rPr>
        <w:t>ections are overly prescriptive. They do not take into account the wide diversity of business circumstances in the industry and prevent chain parties from developing measures that suit their own risk profile.</w:t>
      </w:r>
    </w:p>
    <w:p w:rsidR="00A81F4C" w:rsidRDefault="00A81F4C">
      <w:pPr>
        <w:rPr>
          <w:rFonts w:asciiTheme="minorHAnsi" w:hAnsiTheme="minorHAnsi" w:cs="Arial"/>
          <w:sz w:val="20"/>
          <w:szCs w:val="20"/>
        </w:rPr>
      </w:pPr>
    </w:p>
    <w:p w:rsidR="009B26B6" w:rsidRDefault="009B26B6">
      <w:pPr>
        <w:rPr>
          <w:rFonts w:asciiTheme="minorHAnsi" w:hAnsiTheme="minorHAnsi" w:cs="Arial"/>
          <w:sz w:val="20"/>
          <w:szCs w:val="20"/>
        </w:rPr>
      </w:pPr>
      <w:r>
        <w:rPr>
          <w:rFonts w:asciiTheme="minorHAnsi" w:hAnsiTheme="minorHAnsi" w:cs="Arial"/>
          <w:sz w:val="20"/>
          <w:szCs w:val="20"/>
        </w:rPr>
        <w:t>The establishment of general duties in proposed chapter 1A of the HVNL would open the</w:t>
      </w:r>
      <w:r w:rsidR="00401745">
        <w:rPr>
          <w:rFonts w:asciiTheme="minorHAnsi" w:hAnsiTheme="minorHAnsi" w:cs="Arial"/>
          <w:sz w:val="20"/>
          <w:szCs w:val="20"/>
        </w:rPr>
        <w:t xml:space="preserve"> way for the sections in table 3</w:t>
      </w:r>
      <w:r>
        <w:rPr>
          <w:rFonts w:asciiTheme="minorHAnsi" w:hAnsiTheme="minorHAnsi" w:cs="Arial"/>
          <w:sz w:val="20"/>
          <w:szCs w:val="20"/>
        </w:rPr>
        <w:t xml:space="preserve"> to be removed from the law. Offences against these sections </w:t>
      </w:r>
      <w:r w:rsidRPr="001477F7">
        <w:rPr>
          <w:rFonts w:asciiTheme="minorHAnsi" w:hAnsiTheme="minorHAnsi" w:cs="Arial"/>
          <w:sz w:val="20"/>
          <w:szCs w:val="20"/>
        </w:rPr>
        <w:t xml:space="preserve">could instead be prosecuted </w:t>
      </w:r>
      <w:r>
        <w:rPr>
          <w:rFonts w:asciiTheme="minorHAnsi" w:hAnsiTheme="minorHAnsi" w:cs="Arial"/>
          <w:sz w:val="20"/>
          <w:szCs w:val="20"/>
        </w:rPr>
        <w:t>under the relevant general duty</w:t>
      </w:r>
      <w:r w:rsidRPr="001477F7">
        <w:rPr>
          <w:rFonts w:asciiTheme="minorHAnsi" w:hAnsiTheme="minorHAnsi" w:cs="Arial"/>
          <w:sz w:val="20"/>
          <w:szCs w:val="20"/>
        </w:rPr>
        <w:t>.</w:t>
      </w:r>
    </w:p>
    <w:p w:rsidR="009B26B6" w:rsidRDefault="009B26B6">
      <w:pPr>
        <w:rPr>
          <w:rFonts w:asciiTheme="minorHAnsi" w:hAnsiTheme="minorHAnsi" w:cs="Arial"/>
          <w:sz w:val="20"/>
          <w:szCs w:val="20"/>
        </w:rPr>
      </w:pPr>
    </w:p>
    <w:p w:rsidR="00077815" w:rsidRDefault="00077815">
      <w:pPr>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0"/>
      </w:tblGrid>
      <w:tr w:rsidR="009B26B6" w:rsidTr="009B26B6">
        <w:tc>
          <w:tcPr>
            <w:tcW w:w="9638" w:type="dxa"/>
            <w:gridSpan w:val="2"/>
            <w:tcBorders>
              <w:bottom w:val="single" w:sz="4" w:space="0" w:color="auto"/>
            </w:tcBorders>
            <w:tcMar>
              <w:bottom w:w="108" w:type="dxa"/>
            </w:tcMar>
          </w:tcPr>
          <w:p w:rsidR="009B26B6" w:rsidRPr="009B26B6" w:rsidRDefault="00401745">
            <w:pPr>
              <w:rPr>
                <w:rFonts w:asciiTheme="minorHAnsi" w:hAnsiTheme="minorHAnsi" w:cs="Arial"/>
                <w:b/>
                <w:sz w:val="20"/>
                <w:szCs w:val="20"/>
              </w:rPr>
            </w:pPr>
            <w:r>
              <w:rPr>
                <w:rFonts w:asciiTheme="minorHAnsi" w:hAnsiTheme="minorHAnsi" w:cs="Arial"/>
                <w:b/>
                <w:sz w:val="20"/>
                <w:szCs w:val="20"/>
              </w:rPr>
              <w:t>Table 3</w:t>
            </w:r>
            <w:r w:rsidR="009B26B6" w:rsidRPr="009B26B6">
              <w:rPr>
                <w:rFonts w:asciiTheme="minorHAnsi" w:hAnsiTheme="minorHAnsi" w:cs="Arial"/>
                <w:b/>
                <w:sz w:val="20"/>
                <w:szCs w:val="20"/>
              </w:rPr>
              <w:t>: Intermediate duties proposed for deletion</w:t>
            </w:r>
          </w:p>
        </w:tc>
      </w:tr>
      <w:tr w:rsidR="009B26B6" w:rsidTr="00077815">
        <w:tc>
          <w:tcPr>
            <w:tcW w:w="1418" w:type="dxa"/>
            <w:tcBorders>
              <w:top w:val="single" w:sz="4" w:space="0" w:color="auto"/>
            </w:tcBorders>
            <w:tcMar>
              <w:bottom w:w="108" w:type="dxa"/>
            </w:tcMar>
          </w:tcPr>
          <w:p w:rsidR="009B26B6" w:rsidRDefault="009B26B6">
            <w:pPr>
              <w:rPr>
                <w:rFonts w:asciiTheme="minorHAnsi" w:hAnsiTheme="minorHAnsi" w:cs="Arial"/>
                <w:sz w:val="20"/>
                <w:szCs w:val="20"/>
              </w:rPr>
            </w:pPr>
            <w:r>
              <w:rPr>
                <w:rFonts w:asciiTheme="minorHAnsi" w:hAnsiTheme="minorHAnsi" w:cs="Arial"/>
                <w:sz w:val="20"/>
                <w:szCs w:val="20"/>
              </w:rPr>
              <w:t>205</w:t>
            </w:r>
          </w:p>
        </w:tc>
        <w:tc>
          <w:tcPr>
            <w:tcW w:w="8220" w:type="dxa"/>
            <w:tcBorders>
              <w:top w:val="single" w:sz="4" w:space="0" w:color="auto"/>
            </w:tcBorders>
            <w:tcMar>
              <w:bottom w:w="108" w:type="dxa"/>
            </w:tcMar>
          </w:tcPr>
          <w:p w:rsidR="009B26B6" w:rsidRDefault="009B26B6">
            <w:pPr>
              <w:rPr>
                <w:rFonts w:asciiTheme="minorHAnsi" w:hAnsiTheme="minorHAnsi" w:cs="Arial"/>
                <w:sz w:val="20"/>
                <w:szCs w:val="20"/>
              </w:rPr>
            </w:pPr>
            <w:r>
              <w:rPr>
                <w:rFonts w:asciiTheme="minorHAnsi" w:hAnsiTheme="minorHAnsi" w:cs="Arial"/>
                <w:sz w:val="20"/>
                <w:szCs w:val="20"/>
              </w:rPr>
              <w:t>Duty of employer not to cause driver to drive if particular requirements not complied with</w:t>
            </w:r>
          </w:p>
        </w:tc>
      </w:tr>
      <w:tr w:rsidR="009B26B6" w:rsidTr="00077815">
        <w:tc>
          <w:tcPr>
            <w:tcW w:w="1418" w:type="dxa"/>
            <w:tcMar>
              <w:bottom w:w="108" w:type="dxa"/>
            </w:tcMar>
          </w:tcPr>
          <w:p w:rsidR="009B26B6" w:rsidRDefault="009B26B6">
            <w:pPr>
              <w:rPr>
                <w:rFonts w:asciiTheme="minorHAnsi" w:hAnsiTheme="minorHAnsi" w:cs="Arial"/>
                <w:sz w:val="20"/>
                <w:szCs w:val="20"/>
              </w:rPr>
            </w:pPr>
            <w:r>
              <w:rPr>
                <w:rFonts w:asciiTheme="minorHAnsi" w:hAnsiTheme="minorHAnsi" w:cs="Arial"/>
                <w:sz w:val="20"/>
                <w:szCs w:val="20"/>
              </w:rPr>
              <w:t>206</w:t>
            </w:r>
          </w:p>
        </w:tc>
        <w:tc>
          <w:tcPr>
            <w:tcW w:w="8220" w:type="dxa"/>
            <w:tcMar>
              <w:bottom w:w="108" w:type="dxa"/>
            </w:tcMar>
          </w:tcPr>
          <w:p w:rsidR="009B26B6" w:rsidRDefault="009B26B6">
            <w:pPr>
              <w:rPr>
                <w:rFonts w:asciiTheme="minorHAnsi" w:hAnsiTheme="minorHAnsi" w:cs="Arial"/>
                <w:sz w:val="20"/>
                <w:szCs w:val="20"/>
              </w:rPr>
            </w:pPr>
            <w:r>
              <w:rPr>
                <w:rFonts w:asciiTheme="minorHAnsi" w:hAnsiTheme="minorHAnsi" w:cs="Arial"/>
                <w:sz w:val="20"/>
                <w:szCs w:val="20"/>
              </w:rPr>
              <w:t>Duty of prime contractor or operator not to cause driver to drive if particular requirements not complied with</w:t>
            </w:r>
          </w:p>
        </w:tc>
      </w:tr>
      <w:tr w:rsidR="009B26B6" w:rsidTr="00077815">
        <w:tc>
          <w:tcPr>
            <w:tcW w:w="1418" w:type="dxa"/>
            <w:tcMar>
              <w:bottom w:w="108" w:type="dxa"/>
            </w:tcMar>
          </w:tcPr>
          <w:p w:rsidR="009B26B6" w:rsidRDefault="00077815">
            <w:pPr>
              <w:rPr>
                <w:rFonts w:asciiTheme="minorHAnsi" w:hAnsiTheme="minorHAnsi" w:cs="Arial"/>
                <w:sz w:val="20"/>
                <w:szCs w:val="20"/>
              </w:rPr>
            </w:pPr>
            <w:r>
              <w:rPr>
                <w:rFonts w:asciiTheme="minorHAnsi" w:hAnsiTheme="minorHAnsi" w:cs="Arial"/>
                <w:sz w:val="20"/>
                <w:szCs w:val="20"/>
              </w:rPr>
              <w:t>208</w:t>
            </w:r>
          </w:p>
        </w:tc>
        <w:tc>
          <w:tcPr>
            <w:tcW w:w="8220" w:type="dxa"/>
            <w:tcMar>
              <w:bottom w:w="108" w:type="dxa"/>
            </w:tcMar>
          </w:tcPr>
          <w:p w:rsidR="009B26B6" w:rsidRDefault="00077815" w:rsidP="00077815">
            <w:pPr>
              <w:rPr>
                <w:rFonts w:asciiTheme="minorHAnsi" w:hAnsiTheme="minorHAnsi" w:cs="Arial"/>
                <w:sz w:val="20"/>
                <w:szCs w:val="20"/>
              </w:rPr>
            </w:pPr>
            <w:r>
              <w:rPr>
                <w:rFonts w:asciiTheme="minorHAnsi" w:hAnsiTheme="minorHAnsi" w:cs="Arial"/>
                <w:sz w:val="20"/>
                <w:szCs w:val="20"/>
              </w:rPr>
              <w:t>Duty not to cause driver to drive if particular requirements not complied with</w:t>
            </w:r>
          </w:p>
        </w:tc>
      </w:tr>
      <w:tr w:rsidR="009B26B6" w:rsidTr="00077815">
        <w:tc>
          <w:tcPr>
            <w:tcW w:w="1418" w:type="dxa"/>
            <w:tcMar>
              <w:bottom w:w="108" w:type="dxa"/>
            </w:tcMar>
          </w:tcPr>
          <w:p w:rsidR="009B26B6" w:rsidRDefault="00077815">
            <w:pPr>
              <w:rPr>
                <w:rFonts w:asciiTheme="minorHAnsi" w:hAnsiTheme="minorHAnsi" w:cs="Arial"/>
                <w:sz w:val="20"/>
                <w:szCs w:val="20"/>
              </w:rPr>
            </w:pPr>
            <w:r>
              <w:rPr>
                <w:rFonts w:asciiTheme="minorHAnsi" w:hAnsiTheme="minorHAnsi" w:cs="Arial"/>
                <w:sz w:val="20"/>
                <w:szCs w:val="20"/>
              </w:rPr>
              <w:t>231</w:t>
            </w:r>
          </w:p>
        </w:tc>
        <w:tc>
          <w:tcPr>
            <w:tcW w:w="8220" w:type="dxa"/>
            <w:tcMar>
              <w:bottom w:w="108" w:type="dxa"/>
            </w:tcMar>
          </w:tcPr>
          <w:p w:rsidR="009B26B6" w:rsidRDefault="00077815">
            <w:pPr>
              <w:rPr>
                <w:rFonts w:asciiTheme="minorHAnsi" w:hAnsiTheme="minorHAnsi" w:cs="Arial"/>
                <w:sz w:val="20"/>
                <w:szCs w:val="20"/>
              </w:rPr>
            </w:pPr>
            <w:r>
              <w:rPr>
                <w:rFonts w:asciiTheme="minorHAnsi" w:hAnsiTheme="minorHAnsi" w:cs="Arial"/>
                <w:sz w:val="20"/>
                <w:szCs w:val="20"/>
              </w:rPr>
              <w:t>Duty of employer not to cause driver to drive if particular requirements not complied with</w:t>
            </w:r>
          </w:p>
        </w:tc>
      </w:tr>
      <w:tr w:rsidR="00077815" w:rsidTr="00077815">
        <w:tc>
          <w:tcPr>
            <w:tcW w:w="1418" w:type="dxa"/>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lastRenderedPageBreak/>
              <w:t>232</w:t>
            </w:r>
          </w:p>
        </w:tc>
        <w:tc>
          <w:tcPr>
            <w:tcW w:w="8220" w:type="dxa"/>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t>Duty of prime contractor or operator not to cause driver to drive if particular requirements not complied with</w:t>
            </w:r>
          </w:p>
        </w:tc>
      </w:tr>
      <w:tr w:rsidR="00077815" w:rsidTr="00077815">
        <w:tc>
          <w:tcPr>
            <w:tcW w:w="1418" w:type="dxa"/>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t>234</w:t>
            </w:r>
          </w:p>
        </w:tc>
        <w:tc>
          <w:tcPr>
            <w:tcW w:w="8220" w:type="dxa"/>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t>Duty not to cause driver to drive if particular requirements not complied with</w:t>
            </w:r>
          </w:p>
        </w:tc>
      </w:tr>
      <w:tr w:rsidR="00077815" w:rsidTr="00077815">
        <w:tc>
          <w:tcPr>
            <w:tcW w:w="1418" w:type="dxa"/>
            <w:tcBorders>
              <w:bottom w:val="single" w:sz="4" w:space="0" w:color="auto"/>
            </w:tcBorders>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t>236</w:t>
            </w:r>
          </w:p>
        </w:tc>
        <w:tc>
          <w:tcPr>
            <w:tcW w:w="8220" w:type="dxa"/>
            <w:tcBorders>
              <w:bottom w:val="single" w:sz="4" w:space="0" w:color="auto"/>
            </w:tcBorders>
            <w:tcMar>
              <w:bottom w:w="108" w:type="dxa"/>
            </w:tcMar>
          </w:tcPr>
          <w:p w:rsidR="00077815" w:rsidRDefault="00077815">
            <w:pPr>
              <w:rPr>
                <w:rFonts w:asciiTheme="minorHAnsi" w:hAnsiTheme="minorHAnsi" w:cs="Arial"/>
                <w:sz w:val="20"/>
                <w:szCs w:val="20"/>
              </w:rPr>
            </w:pPr>
            <w:r>
              <w:rPr>
                <w:rFonts w:asciiTheme="minorHAnsi" w:hAnsiTheme="minorHAnsi" w:cs="Arial"/>
                <w:sz w:val="20"/>
                <w:szCs w:val="20"/>
              </w:rPr>
              <w:t>Duty not to cause driver to drive if particular requirements not complied with</w:t>
            </w:r>
          </w:p>
        </w:tc>
      </w:tr>
    </w:tbl>
    <w:p w:rsidR="009B26B6" w:rsidRDefault="009B26B6">
      <w:pPr>
        <w:rPr>
          <w:rFonts w:asciiTheme="minorHAnsi" w:hAnsiTheme="minorHAnsi" w:cs="Arial"/>
          <w:sz w:val="20"/>
          <w:szCs w:val="20"/>
        </w:rPr>
      </w:pPr>
    </w:p>
    <w:p w:rsidR="009B26B6" w:rsidRDefault="009B26B6">
      <w:pPr>
        <w:rPr>
          <w:rFonts w:asciiTheme="minorHAnsi" w:hAnsiTheme="minorHAnsi" w:cs="Arial"/>
          <w:sz w:val="20"/>
          <w:szCs w:val="20"/>
        </w:rPr>
      </w:pPr>
    </w:p>
    <w:p w:rsidR="009B26B6" w:rsidRDefault="009B26B6" w:rsidP="009B26B6">
      <w:pPr>
        <w:rPr>
          <w:rFonts w:asciiTheme="minorHAnsi" w:hAnsiTheme="minorHAnsi" w:cs="Arial"/>
          <w:sz w:val="20"/>
          <w:szCs w:val="20"/>
        </w:rPr>
      </w:pPr>
      <w:r>
        <w:rPr>
          <w:rFonts w:asciiTheme="minorHAnsi" w:hAnsiTheme="minorHAnsi" w:cs="Arial"/>
          <w:sz w:val="20"/>
          <w:szCs w:val="20"/>
        </w:rPr>
        <w:t xml:space="preserve">There is a </w:t>
      </w:r>
      <w:r w:rsidR="00077815">
        <w:rPr>
          <w:rFonts w:asciiTheme="minorHAnsi" w:hAnsiTheme="minorHAnsi" w:cs="Arial"/>
          <w:sz w:val="20"/>
          <w:szCs w:val="20"/>
        </w:rPr>
        <w:t xml:space="preserve">need </w:t>
      </w:r>
      <w:r>
        <w:rPr>
          <w:rFonts w:asciiTheme="minorHAnsi" w:hAnsiTheme="minorHAnsi" w:cs="Arial"/>
          <w:sz w:val="20"/>
          <w:szCs w:val="20"/>
        </w:rPr>
        <w:t xml:space="preserve">for specific instructions that tells businesses exactly how they can comply with the law. These instructions belong in </w:t>
      </w:r>
      <w:r w:rsidR="00401745">
        <w:rPr>
          <w:rFonts w:asciiTheme="minorHAnsi" w:hAnsiTheme="minorHAnsi" w:cs="Arial"/>
          <w:sz w:val="20"/>
          <w:szCs w:val="20"/>
        </w:rPr>
        <w:t>registered industry codes</w:t>
      </w:r>
      <w:r>
        <w:rPr>
          <w:rFonts w:asciiTheme="minorHAnsi" w:hAnsiTheme="minorHAnsi" w:cs="Arial"/>
          <w:sz w:val="20"/>
          <w:szCs w:val="20"/>
        </w:rPr>
        <w:t xml:space="preserve"> that identify one way of complying with the law, while allowing businesses </w:t>
      </w:r>
      <w:r w:rsidR="000D003E">
        <w:rPr>
          <w:rFonts w:asciiTheme="minorHAnsi" w:hAnsiTheme="minorHAnsi" w:cs="Arial"/>
          <w:sz w:val="20"/>
          <w:szCs w:val="20"/>
        </w:rPr>
        <w:t xml:space="preserve">with more sophisticated safety systems </w:t>
      </w:r>
      <w:r>
        <w:rPr>
          <w:rFonts w:asciiTheme="minorHAnsi" w:hAnsiTheme="minorHAnsi" w:cs="Arial"/>
          <w:sz w:val="20"/>
          <w:szCs w:val="20"/>
        </w:rPr>
        <w:t>to comply in other ways</w:t>
      </w:r>
      <w:r w:rsidR="00401745">
        <w:rPr>
          <w:rFonts w:asciiTheme="minorHAnsi" w:hAnsiTheme="minorHAnsi" w:cs="Arial"/>
          <w:sz w:val="20"/>
          <w:szCs w:val="20"/>
        </w:rPr>
        <w:t>.</w:t>
      </w:r>
      <w:r w:rsidR="002F2AF7">
        <w:rPr>
          <w:rFonts w:asciiTheme="minorHAnsi" w:hAnsiTheme="minorHAnsi" w:cs="Arial"/>
          <w:sz w:val="20"/>
          <w:szCs w:val="20"/>
        </w:rPr>
        <w:t xml:space="preserve"> The</w:t>
      </w:r>
      <w:r w:rsidR="004B5017">
        <w:rPr>
          <w:rFonts w:asciiTheme="minorHAnsi" w:hAnsiTheme="minorHAnsi" w:cs="Arial"/>
          <w:sz w:val="20"/>
          <w:szCs w:val="20"/>
        </w:rPr>
        <w:t>y</w:t>
      </w:r>
      <w:bookmarkStart w:id="10" w:name="_GoBack"/>
      <w:bookmarkEnd w:id="10"/>
      <w:r w:rsidR="002F2AF7">
        <w:rPr>
          <w:rFonts w:asciiTheme="minorHAnsi" w:hAnsiTheme="minorHAnsi" w:cs="Arial"/>
          <w:sz w:val="20"/>
          <w:szCs w:val="20"/>
        </w:rPr>
        <w:t xml:space="preserve"> also belong in guidance material; they certainly do not belong in an Act.</w:t>
      </w:r>
    </w:p>
    <w:p w:rsidR="00A81F4C" w:rsidRDefault="00A81F4C">
      <w:pPr>
        <w:rPr>
          <w:rFonts w:asciiTheme="minorHAnsi" w:hAnsiTheme="minorHAnsi" w:cs="Arial"/>
          <w:sz w:val="20"/>
          <w:szCs w:val="20"/>
        </w:rPr>
      </w:pPr>
    </w:p>
    <w:p w:rsidR="00A81F4C" w:rsidRDefault="00A81F4C">
      <w:pPr>
        <w:rPr>
          <w:rFonts w:asciiTheme="minorHAnsi" w:hAnsiTheme="minorHAnsi" w:cs="Arial"/>
          <w:sz w:val="20"/>
          <w:szCs w:val="20"/>
        </w:rPr>
      </w:pPr>
    </w:p>
    <w:p w:rsidR="00A81F4C" w:rsidRPr="00A81F4C" w:rsidRDefault="0049292E">
      <w:pPr>
        <w:rPr>
          <w:rFonts w:asciiTheme="minorHAnsi" w:hAnsiTheme="minorHAnsi" w:cs="Arial"/>
          <w:b/>
          <w:sz w:val="20"/>
          <w:szCs w:val="20"/>
        </w:rPr>
      </w:pPr>
      <w:r>
        <w:rPr>
          <w:rFonts w:asciiTheme="minorHAnsi" w:hAnsiTheme="minorHAnsi" w:cs="Arial"/>
          <w:b/>
          <w:sz w:val="20"/>
          <w:szCs w:val="20"/>
        </w:rPr>
        <w:t>Recommendation 6</w:t>
      </w:r>
    </w:p>
    <w:p w:rsidR="00A81F4C" w:rsidRDefault="00A81F4C">
      <w:pPr>
        <w:rPr>
          <w:rFonts w:asciiTheme="minorHAnsi" w:hAnsiTheme="minorHAnsi" w:cs="Arial"/>
          <w:sz w:val="20"/>
          <w:szCs w:val="20"/>
        </w:rPr>
      </w:pPr>
    </w:p>
    <w:p w:rsidR="00A81F4C" w:rsidRPr="00A81F4C" w:rsidRDefault="00077815">
      <w:pPr>
        <w:rPr>
          <w:rFonts w:asciiTheme="minorHAnsi" w:hAnsiTheme="minorHAnsi" w:cs="Arial"/>
          <w:b/>
          <w:sz w:val="20"/>
          <w:szCs w:val="20"/>
        </w:rPr>
      </w:pPr>
      <w:r>
        <w:rPr>
          <w:rFonts w:asciiTheme="minorHAnsi" w:hAnsiTheme="minorHAnsi" w:cs="Arial"/>
          <w:b/>
          <w:sz w:val="20"/>
          <w:szCs w:val="20"/>
        </w:rPr>
        <w:t>The interm</w:t>
      </w:r>
      <w:r w:rsidR="00401745">
        <w:rPr>
          <w:rFonts w:asciiTheme="minorHAnsi" w:hAnsiTheme="minorHAnsi" w:cs="Arial"/>
          <w:b/>
          <w:sz w:val="20"/>
          <w:szCs w:val="20"/>
        </w:rPr>
        <w:t>ediate duties set out in table 3</w:t>
      </w:r>
      <w:r>
        <w:rPr>
          <w:rFonts w:asciiTheme="minorHAnsi" w:hAnsiTheme="minorHAnsi" w:cs="Arial"/>
          <w:b/>
          <w:sz w:val="20"/>
          <w:szCs w:val="20"/>
        </w:rPr>
        <w:t xml:space="preserve"> of this submission</w:t>
      </w:r>
      <w:r w:rsidR="00A81F4C" w:rsidRPr="00A81F4C">
        <w:rPr>
          <w:rFonts w:asciiTheme="minorHAnsi" w:hAnsiTheme="minorHAnsi" w:cs="Arial"/>
          <w:b/>
          <w:sz w:val="20"/>
          <w:szCs w:val="20"/>
        </w:rPr>
        <w:t xml:space="preserve"> should be removed from the</w:t>
      </w:r>
      <w:r w:rsidR="00A81F4C">
        <w:rPr>
          <w:rFonts w:asciiTheme="minorHAnsi" w:hAnsiTheme="minorHAnsi" w:cs="Arial"/>
          <w:b/>
          <w:sz w:val="20"/>
          <w:szCs w:val="20"/>
        </w:rPr>
        <w:t xml:space="preserve"> HVNL</w:t>
      </w:r>
      <w:r w:rsidR="00401745">
        <w:rPr>
          <w:rFonts w:asciiTheme="minorHAnsi" w:hAnsiTheme="minorHAnsi" w:cs="Arial"/>
          <w:b/>
          <w:sz w:val="20"/>
          <w:szCs w:val="20"/>
        </w:rPr>
        <w:t>.</w:t>
      </w:r>
    </w:p>
    <w:p w:rsidR="00A81F4C" w:rsidRDefault="00A81F4C">
      <w:pPr>
        <w:rPr>
          <w:rFonts w:asciiTheme="minorHAnsi" w:hAnsiTheme="minorHAnsi" w:cs="Arial"/>
          <w:sz w:val="20"/>
          <w:szCs w:val="20"/>
        </w:rPr>
      </w:pPr>
    </w:p>
    <w:p w:rsidR="005732EC" w:rsidRDefault="005732EC">
      <w:pPr>
        <w:rPr>
          <w:rFonts w:asciiTheme="minorHAnsi" w:hAnsiTheme="minorHAnsi" w:cs="Arial"/>
          <w:sz w:val="20"/>
          <w:szCs w:val="20"/>
        </w:rPr>
      </w:pPr>
    </w:p>
    <w:p w:rsidR="007D2632" w:rsidRPr="00C00755" w:rsidRDefault="00D7228E" w:rsidP="00C00755">
      <w:pPr>
        <w:pStyle w:val="Heading2"/>
        <w:spacing w:before="0"/>
        <w:rPr>
          <w:rFonts w:asciiTheme="minorHAnsi" w:hAnsiTheme="minorHAnsi" w:cs="Arial"/>
          <w:color w:val="auto"/>
          <w:sz w:val="24"/>
          <w:szCs w:val="24"/>
        </w:rPr>
      </w:pPr>
      <w:bookmarkStart w:id="11" w:name="_Toc410388154"/>
      <w:r w:rsidRPr="00C00755">
        <w:rPr>
          <w:rFonts w:asciiTheme="minorHAnsi" w:hAnsiTheme="minorHAnsi" w:cs="Arial"/>
          <w:color w:val="auto"/>
          <w:sz w:val="24"/>
          <w:szCs w:val="24"/>
        </w:rPr>
        <w:lastRenderedPageBreak/>
        <w:t>Availability of industry codes of practice</w:t>
      </w:r>
      <w:r w:rsidR="002F0993">
        <w:rPr>
          <w:rFonts w:asciiTheme="minorHAnsi" w:hAnsiTheme="minorHAnsi" w:cs="Arial"/>
          <w:color w:val="auto"/>
          <w:sz w:val="24"/>
          <w:szCs w:val="24"/>
        </w:rPr>
        <w:t xml:space="preserve"> and guidance material</w:t>
      </w:r>
      <w:bookmarkEnd w:id="11"/>
    </w:p>
    <w:p w:rsidR="007D2632" w:rsidRPr="007D2632" w:rsidRDefault="007D2632" w:rsidP="005A748B">
      <w:pPr>
        <w:keepNext/>
        <w:rPr>
          <w:rFonts w:asciiTheme="minorHAnsi" w:hAnsiTheme="minorHAnsi" w:cs="Arial"/>
          <w:sz w:val="20"/>
          <w:szCs w:val="20"/>
        </w:rPr>
      </w:pPr>
    </w:p>
    <w:p w:rsidR="006D6958" w:rsidRDefault="00E21B2B">
      <w:pPr>
        <w:rPr>
          <w:rFonts w:asciiTheme="minorHAnsi" w:hAnsiTheme="minorHAnsi" w:cs="Arial"/>
          <w:sz w:val="20"/>
          <w:szCs w:val="20"/>
        </w:rPr>
      </w:pPr>
      <w:r>
        <w:rPr>
          <w:rFonts w:asciiTheme="minorHAnsi" w:hAnsiTheme="minorHAnsi" w:cs="Arial"/>
          <w:sz w:val="20"/>
          <w:szCs w:val="20"/>
        </w:rPr>
        <w:t xml:space="preserve">The </w:t>
      </w:r>
      <w:r w:rsidR="00DE7032">
        <w:rPr>
          <w:rFonts w:asciiTheme="minorHAnsi" w:hAnsiTheme="minorHAnsi" w:cs="Arial"/>
          <w:sz w:val="20"/>
          <w:szCs w:val="20"/>
        </w:rPr>
        <w:t xml:space="preserve">availability of </w:t>
      </w:r>
      <w:r w:rsidR="000E3A38">
        <w:rPr>
          <w:rFonts w:asciiTheme="minorHAnsi" w:hAnsiTheme="minorHAnsi" w:cs="Arial"/>
          <w:sz w:val="20"/>
          <w:szCs w:val="20"/>
        </w:rPr>
        <w:t>codes of practice</w:t>
      </w:r>
      <w:r w:rsidR="00DE7032">
        <w:rPr>
          <w:rFonts w:asciiTheme="minorHAnsi" w:hAnsiTheme="minorHAnsi" w:cs="Arial"/>
          <w:sz w:val="20"/>
          <w:szCs w:val="20"/>
        </w:rPr>
        <w:t xml:space="preserve"> </w:t>
      </w:r>
      <w:r w:rsidR="0044412E">
        <w:rPr>
          <w:rFonts w:asciiTheme="minorHAnsi" w:hAnsiTheme="minorHAnsi" w:cs="Arial"/>
          <w:sz w:val="20"/>
          <w:szCs w:val="20"/>
        </w:rPr>
        <w:t xml:space="preserve">with evidentiary status </w:t>
      </w:r>
      <w:r w:rsidR="00DE7032">
        <w:rPr>
          <w:rFonts w:asciiTheme="minorHAnsi" w:hAnsiTheme="minorHAnsi" w:cs="Arial"/>
          <w:sz w:val="20"/>
          <w:szCs w:val="20"/>
        </w:rPr>
        <w:t>i</w:t>
      </w:r>
      <w:r w:rsidR="00D7228E">
        <w:rPr>
          <w:rFonts w:asciiTheme="minorHAnsi" w:hAnsiTheme="minorHAnsi" w:cs="Arial"/>
          <w:sz w:val="20"/>
          <w:szCs w:val="20"/>
        </w:rPr>
        <w:t xml:space="preserve">s an </w:t>
      </w:r>
      <w:r w:rsidR="0044412E">
        <w:rPr>
          <w:rFonts w:asciiTheme="minorHAnsi" w:hAnsiTheme="minorHAnsi" w:cs="Arial"/>
          <w:sz w:val="20"/>
          <w:szCs w:val="20"/>
        </w:rPr>
        <w:t>integral</w:t>
      </w:r>
      <w:r w:rsidR="00D7228E">
        <w:rPr>
          <w:rFonts w:asciiTheme="minorHAnsi" w:hAnsiTheme="minorHAnsi" w:cs="Arial"/>
          <w:sz w:val="20"/>
          <w:szCs w:val="20"/>
        </w:rPr>
        <w:t xml:space="preserve"> </w:t>
      </w:r>
      <w:r w:rsidR="00DE7032">
        <w:rPr>
          <w:rFonts w:asciiTheme="minorHAnsi" w:hAnsiTheme="minorHAnsi" w:cs="Arial"/>
          <w:sz w:val="20"/>
          <w:szCs w:val="20"/>
        </w:rPr>
        <w:t xml:space="preserve">part of </w:t>
      </w:r>
      <w:r w:rsidR="000E3A38">
        <w:rPr>
          <w:rFonts w:asciiTheme="minorHAnsi" w:hAnsiTheme="minorHAnsi" w:cs="Arial"/>
          <w:sz w:val="20"/>
          <w:szCs w:val="20"/>
        </w:rPr>
        <w:t xml:space="preserve">best practice safety regulation. </w:t>
      </w:r>
      <w:r w:rsidR="0044412E">
        <w:rPr>
          <w:rFonts w:asciiTheme="minorHAnsi" w:hAnsiTheme="minorHAnsi" w:cs="Arial"/>
          <w:sz w:val="20"/>
          <w:szCs w:val="20"/>
        </w:rPr>
        <w:t xml:space="preserve">That’s why the </w:t>
      </w:r>
      <w:r w:rsidR="006D6958">
        <w:rPr>
          <w:rFonts w:asciiTheme="minorHAnsi" w:hAnsiTheme="minorHAnsi" w:cs="Arial"/>
          <w:sz w:val="20"/>
          <w:szCs w:val="20"/>
        </w:rPr>
        <w:t>first tranche of work health and safety codes was released before the state and Commonwealth legislation based on the model Work Health and Safety Act came into effect.</w:t>
      </w:r>
      <w:r w:rsidR="006D6958">
        <w:rPr>
          <w:rStyle w:val="FootnoteReference"/>
          <w:rFonts w:asciiTheme="minorHAnsi" w:hAnsiTheme="minorHAnsi"/>
          <w:sz w:val="20"/>
          <w:szCs w:val="20"/>
        </w:rPr>
        <w:footnoteReference w:id="23"/>
      </w:r>
    </w:p>
    <w:p w:rsidR="006D6958" w:rsidRDefault="006D6958">
      <w:pPr>
        <w:rPr>
          <w:rFonts w:asciiTheme="minorHAnsi" w:hAnsiTheme="minorHAnsi" w:cs="Arial"/>
          <w:sz w:val="20"/>
          <w:szCs w:val="20"/>
        </w:rPr>
      </w:pPr>
    </w:p>
    <w:p w:rsidR="00A64FEC" w:rsidRDefault="00401745">
      <w:pPr>
        <w:rPr>
          <w:rFonts w:asciiTheme="minorHAnsi" w:hAnsiTheme="minorHAnsi" w:cs="Arial"/>
          <w:sz w:val="20"/>
          <w:szCs w:val="20"/>
        </w:rPr>
      </w:pPr>
      <w:r>
        <w:rPr>
          <w:rFonts w:asciiTheme="minorHAnsi" w:hAnsiTheme="minorHAnsi" w:cs="Arial"/>
          <w:sz w:val="20"/>
          <w:szCs w:val="20"/>
        </w:rPr>
        <w:t xml:space="preserve">Apart from </w:t>
      </w:r>
      <w:r w:rsidR="00714FDB">
        <w:rPr>
          <w:rFonts w:asciiTheme="minorHAnsi" w:hAnsiTheme="minorHAnsi" w:cs="Arial"/>
          <w:sz w:val="20"/>
          <w:szCs w:val="20"/>
        </w:rPr>
        <w:t xml:space="preserve">transitionally-registered </w:t>
      </w:r>
      <w:r>
        <w:rPr>
          <w:rFonts w:asciiTheme="minorHAnsi" w:hAnsiTheme="minorHAnsi" w:cs="Arial"/>
          <w:sz w:val="20"/>
          <w:szCs w:val="20"/>
        </w:rPr>
        <w:t xml:space="preserve">codes in </w:t>
      </w:r>
      <w:r w:rsidR="00714FDB">
        <w:rPr>
          <w:rFonts w:asciiTheme="minorHAnsi" w:hAnsiTheme="minorHAnsi" w:cs="Arial"/>
          <w:sz w:val="20"/>
          <w:szCs w:val="20"/>
        </w:rPr>
        <w:t>Victoria and South Australia</w:t>
      </w:r>
      <w:r>
        <w:rPr>
          <w:rFonts w:asciiTheme="minorHAnsi" w:hAnsiTheme="minorHAnsi" w:cs="Arial"/>
          <w:sz w:val="20"/>
          <w:szCs w:val="20"/>
        </w:rPr>
        <w:t>, t</w:t>
      </w:r>
      <w:r w:rsidR="000E3A38">
        <w:rPr>
          <w:rFonts w:asciiTheme="minorHAnsi" w:hAnsiTheme="minorHAnsi" w:cs="Arial"/>
          <w:sz w:val="20"/>
          <w:szCs w:val="20"/>
        </w:rPr>
        <w:t xml:space="preserve">here are no codes </w:t>
      </w:r>
      <w:r w:rsidR="00366D48">
        <w:rPr>
          <w:rFonts w:asciiTheme="minorHAnsi" w:hAnsiTheme="minorHAnsi" w:cs="Arial"/>
          <w:sz w:val="20"/>
          <w:szCs w:val="20"/>
        </w:rPr>
        <w:t xml:space="preserve">of practice </w:t>
      </w:r>
      <w:r w:rsidR="000E3A38">
        <w:rPr>
          <w:rFonts w:asciiTheme="minorHAnsi" w:hAnsiTheme="minorHAnsi" w:cs="Arial"/>
          <w:sz w:val="20"/>
          <w:szCs w:val="20"/>
        </w:rPr>
        <w:t xml:space="preserve">available </w:t>
      </w:r>
      <w:r w:rsidR="00DE7032">
        <w:rPr>
          <w:rFonts w:asciiTheme="minorHAnsi" w:hAnsiTheme="minorHAnsi" w:cs="Arial"/>
          <w:sz w:val="20"/>
          <w:szCs w:val="20"/>
        </w:rPr>
        <w:t>under the HVNL</w:t>
      </w:r>
      <w:r w:rsidR="005A5CAD">
        <w:rPr>
          <w:rFonts w:asciiTheme="minorHAnsi" w:hAnsiTheme="minorHAnsi" w:cs="Arial"/>
          <w:sz w:val="20"/>
          <w:szCs w:val="20"/>
        </w:rPr>
        <w:t>.</w:t>
      </w:r>
      <w:r w:rsidR="00366D48">
        <w:rPr>
          <w:rFonts w:asciiTheme="minorHAnsi" w:hAnsiTheme="minorHAnsi" w:cs="Arial"/>
          <w:sz w:val="20"/>
          <w:szCs w:val="20"/>
        </w:rPr>
        <w:t xml:space="preserve"> </w:t>
      </w:r>
      <w:r w:rsidR="005A5CAD">
        <w:rPr>
          <w:rFonts w:asciiTheme="minorHAnsi" w:hAnsiTheme="minorHAnsi" w:cs="Arial"/>
          <w:sz w:val="20"/>
          <w:szCs w:val="20"/>
        </w:rPr>
        <w:t>T</w:t>
      </w:r>
      <w:r w:rsidR="00366D48">
        <w:rPr>
          <w:rFonts w:asciiTheme="minorHAnsi" w:hAnsiTheme="minorHAnsi" w:cs="Arial"/>
          <w:sz w:val="20"/>
          <w:szCs w:val="20"/>
        </w:rPr>
        <w:t xml:space="preserve">he NHVR has not yet published guidelines under </w:t>
      </w:r>
      <w:r w:rsidR="0044412E">
        <w:rPr>
          <w:rFonts w:asciiTheme="minorHAnsi" w:hAnsiTheme="minorHAnsi" w:cs="Arial"/>
          <w:sz w:val="20"/>
          <w:szCs w:val="20"/>
        </w:rPr>
        <w:t xml:space="preserve">section 705 </w:t>
      </w:r>
      <w:r w:rsidR="005A5CAD">
        <w:rPr>
          <w:rFonts w:asciiTheme="minorHAnsi" w:hAnsiTheme="minorHAnsi" w:cs="Arial"/>
          <w:sz w:val="20"/>
          <w:szCs w:val="20"/>
        </w:rPr>
        <w:t>to enable them to be approved</w:t>
      </w:r>
      <w:r w:rsidR="0044412E">
        <w:rPr>
          <w:rFonts w:asciiTheme="minorHAnsi" w:hAnsiTheme="minorHAnsi" w:cs="Arial"/>
          <w:sz w:val="20"/>
          <w:szCs w:val="20"/>
        </w:rPr>
        <w:t>, even though this section came into effect a year before the substantive duty chapters.</w:t>
      </w:r>
      <w:r>
        <w:rPr>
          <w:rFonts w:asciiTheme="minorHAnsi" w:hAnsiTheme="minorHAnsi" w:cs="Arial"/>
          <w:sz w:val="20"/>
          <w:szCs w:val="20"/>
        </w:rPr>
        <w:t xml:space="preserve"> </w:t>
      </w:r>
    </w:p>
    <w:p w:rsidR="00A64FEC" w:rsidRDefault="00A64FEC">
      <w:pPr>
        <w:rPr>
          <w:rFonts w:asciiTheme="minorHAnsi" w:hAnsiTheme="minorHAnsi" w:cs="Arial"/>
          <w:sz w:val="20"/>
          <w:szCs w:val="20"/>
        </w:rPr>
      </w:pPr>
    </w:p>
    <w:p w:rsidR="008238C6" w:rsidRDefault="005A5CAD">
      <w:pPr>
        <w:rPr>
          <w:rFonts w:asciiTheme="minorHAnsi" w:hAnsiTheme="minorHAnsi" w:cs="Arial"/>
          <w:sz w:val="20"/>
          <w:szCs w:val="20"/>
        </w:rPr>
      </w:pPr>
      <w:r>
        <w:rPr>
          <w:rFonts w:asciiTheme="minorHAnsi" w:hAnsiTheme="minorHAnsi" w:cs="Arial"/>
          <w:sz w:val="20"/>
          <w:szCs w:val="20"/>
        </w:rPr>
        <w:t xml:space="preserve">Because of the importance of codes to the best practice safety regulation model, </w:t>
      </w:r>
      <w:r w:rsidR="00366D48">
        <w:rPr>
          <w:rFonts w:asciiTheme="minorHAnsi" w:hAnsiTheme="minorHAnsi" w:cs="Arial"/>
          <w:sz w:val="20"/>
          <w:szCs w:val="20"/>
        </w:rPr>
        <w:t xml:space="preserve">the NHVR </w:t>
      </w:r>
      <w:r w:rsidR="00833E26">
        <w:rPr>
          <w:rFonts w:asciiTheme="minorHAnsi" w:hAnsiTheme="minorHAnsi" w:cs="Arial"/>
          <w:sz w:val="20"/>
          <w:szCs w:val="20"/>
        </w:rPr>
        <w:t>needs to</w:t>
      </w:r>
      <w:r w:rsidR="00366D48">
        <w:rPr>
          <w:rFonts w:asciiTheme="minorHAnsi" w:hAnsiTheme="minorHAnsi" w:cs="Arial"/>
          <w:sz w:val="20"/>
          <w:szCs w:val="20"/>
        </w:rPr>
        <w:t xml:space="preserve"> publish guidelines </w:t>
      </w:r>
      <w:r w:rsidR="0044412E">
        <w:rPr>
          <w:rFonts w:asciiTheme="minorHAnsi" w:hAnsiTheme="minorHAnsi" w:cs="Arial"/>
          <w:sz w:val="20"/>
          <w:szCs w:val="20"/>
        </w:rPr>
        <w:t>for approving industry codes</w:t>
      </w:r>
      <w:r w:rsidR="000D003E">
        <w:rPr>
          <w:rFonts w:asciiTheme="minorHAnsi" w:hAnsiTheme="minorHAnsi" w:cs="Arial"/>
          <w:sz w:val="20"/>
          <w:szCs w:val="20"/>
        </w:rPr>
        <w:t xml:space="preserve"> as soon as possible</w:t>
      </w:r>
      <w:r w:rsidR="0044412E">
        <w:rPr>
          <w:rFonts w:asciiTheme="minorHAnsi" w:hAnsiTheme="minorHAnsi" w:cs="Arial"/>
          <w:sz w:val="20"/>
          <w:szCs w:val="20"/>
        </w:rPr>
        <w:t>.</w:t>
      </w:r>
    </w:p>
    <w:p w:rsidR="00366D48" w:rsidRDefault="00366D48">
      <w:pPr>
        <w:rPr>
          <w:rFonts w:asciiTheme="minorHAnsi" w:hAnsiTheme="minorHAnsi" w:cs="Arial"/>
          <w:sz w:val="20"/>
          <w:szCs w:val="20"/>
        </w:rPr>
      </w:pPr>
    </w:p>
    <w:p w:rsidR="00692E6A" w:rsidRDefault="00833E26">
      <w:pPr>
        <w:rPr>
          <w:rFonts w:asciiTheme="minorHAnsi" w:hAnsiTheme="minorHAnsi" w:cs="Arial"/>
          <w:sz w:val="20"/>
          <w:szCs w:val="20"/>
        </w:rPr>
      </w:pPr>
      <w:r>
        <w:rPr>
          <w:rFonts w:asciiTheme="minorHAnsi" w:hAnsiTheme="minorHAnsi" w:cs="Arial"/>
          <w:sz w:val="20"/>
          <w:szCs w:val="20"/>
        </w:rPr>
        <w:t xml:space="preserve">There is also a need for better guidance material about </w:t>
      </w:r>
      <w:r w:rsidR="0044412E">
        <w:rPr>
          <w:rFonts w:asciiTheme="minorHAnsi" w:hAnsiTheme="minorHAnsi" w:cs="Arial"/>
          <w:sz w:val="20"/>
          <w:szCs w:val="20"/>
        </w:rPr>
        <w:t xml:space="preserve">how to comply with </w:t>
      </w:r>
      <w:r>
        <w:rPr>
          <w:rFonts w:asciiTheme="minorHAnsi" w:hAnsiTheme="minorHAnsi" w:cs="Arial"/>
          <w:sz w:val="20"/>
          <w:szCs w:val="20"/>
        </w:rPr>
        <w:t xml:space="preserve">the HVNL, although guidance material like fact sheets cannot take the place of codes of practice </w:t>
      </w:r>
      <w:r>
        <w:rPr>
          <w:rFonts w:asciiTheme="minorHAnsi" w:hAnsiTheme="minorHAnsi" w:cs="Arial"/>
          <w:sz w:val="20"/>
          <w:szCs w:val="20"/>
        </w:rPr>
        <w:lastRenderedPageBreak/>
        <w:t xml:space="preserve">with special legal significance. </w:t>
      </w:r>
      <w:r w:rsidR="0044412E">
        <w:rPr>
          <w:rFonts w:asciiTheme="minorHAnsi" w:hAnsiTheme="minorHAnsi" w:cs="Arial"/>
          <w:sz w:val="20"/>
          <w:szCs w:val="20"/>
        </w:rPr>
        <w:t xml:space="preserve">This is because it </w:t>
      </w:r>
      <w:r>
        <w:rPr>
          <w:rFonts w:asciiTheme="minorHAnsi" w:hAnsiTheme="minorHAnsi" w:cs="Arial"/>
          <w:sz w:val="20"/>
          <w:szCs w:val="20"/>
        </w:rPr>
        <w:t xml:space="preserve">would be open to a court to find that a defendant had not satisfied the requirements of a </w:t>
      </w:r>
      <w:r w:rsidR="0044412E">
        <w:rPr>
          <w:rFonts w:asciiTheme="minorHAnsi" w:hAnsiTheme="minorHAnsi" w:cs="Arial"/>
          <w:sz w:val="20"/>
          <w:szCs w:val="20"/>
        </w:rPr>
        <w:t xml:space="preserve">CoR </w:t>
      </w:r>
      <w:r>
        <w:rPr>
          <w:rFonts w:asciiTheme="minorHAnsi" w:hAnsiTheme="minorHAnsi" w:cs="Arial"/>
          <w:sz w:val="20"/>
          <w:szCs w:val="20"/>
        </w:rPr>
        <w:t xml:space="preserve">duty even if the defendant had followed the instructions in an official fact sheet. </w:t>
      </w:r>
    </w:p>
    <w:p w:rsidR="00692E6A" w:rsidRDefault="00692E6A">
      <w:pPr>
        <w:rPr>
          <w:rFonts w:asciiTheme="minorHAnsi" w:hAnsiTheme="minorHAnsi" w:cs="Arial"/>
          <w:sz w:val="20"/>
          <w:szCs w:val="20"/>
        </w:rPr>
      </w:pPr>
    </w:p>
    <w:p w:rsidR="006779ED" w:rsidRDefault="0044412E">
      <w:pPr>
        <w:rPr>
          <w:rFonts w:asciiTheme="minorHAnsi" w:hAnsiTheme="minorHAnsi" w:cs="Arial"/>
          <w:sz w:val="20"/>
          <w:szCs w:val="20"/>
        </w:rPr>
      </w:pPr>
      <w:r>
        <w:rPr>
          <w:rFonts w:asciiTheme="minorHAnsi" w:hAnsiTheme="minorHAnsi" w:cs="Arial"/>
          <w:sz w:val="20"/>
          <w:szCs w:val="20"/>
        </w:rPr>
        <w:t xml:space="preserve">Nonetheless, the </w:t>
      </w:r>
      <w:r w:rsidR="00692E6A">
        <w:rPr>
          <w:rFonts w:asciiTheme="minorHAnsi" w:hAnsiTheme="minorHAnsi" w:cs="Arial"/>
          <w:sz w:val="20"/>
          <w:szCs w:val="20"/>
        </w:rPr>
        <w:t xml:space="preserve">work health and safety regulators have issued guidance material for </w:t>
      </w:r>
      <w:r>
        <w:rPr>
          <w:rFonts w:asciiTheme="minorHAnsi" w:hAnsiTheme="minorHAnsi" w:cs="Arial"/>
          <w:sz w:val="20"/>
          <w:szCs w:val="20"/>
        </w:rPr>
        <w:t xml:space="preserve">many years </w:t>
      </w:r>
      <w:r w:rsidR="00692E6A">
        <w:rPr>
          <w:rFonts w:asciiTheme="minorHAnsi" w:hAnsiTheme="minorHAnsi" w:cs="Arial"/>
          <w:sz w:val="20"/>
          <w:szCs w:val="20"/>
        </w:rPr>
        <w:t xml:space="preserve">and recognise that </w:t>
      </w:r>
      <w:r>
        <w:rPr>
          <w:rFonts w:asciiTheme="minorHAnsi" w:hAnsiTheme="minorHAnsi" w:cs="Arial"/>
          <w:sz w:val="20"/>
          <w:szCs w:val="20"/>
        </w:rPr>
        <w:t xml:space="preserve">providing support to industry </w:t>
      </w:r>
      <w:r w:rsidR="00692E6A">
        <w:rPr>
          <w:rFonts w:asciiTheme="minorHAnsi" w:hAnsiTheme="minorHAnsi" w:cs="Arial"/>
          <w:sz w:val="20"/>
          <w:szCs w:val="20"/>
        </w:rPr>
        <w:t>is more important than being concerned about the po</w:t>
      </w:r>
      <w:r>
        <w:rPr>
          <w:rFonts w:asciiTheme="minorHAnsi" w:hAnsiTheme="minorHAnsi" w:cs="Arial"/>
          <w:sz w:val="20"/>
          <w:szCs w:val="20"/>
        </w:rPr>
        <w:t>tential embarrassment that c</w:t>
      </w:r>
      <w:r w:rsidR="00692E6A">
        <w:rPr>
          <w:rFonts w:asciiTheme="minorHAnsi" w:hAnsiTheme="minorHAnsi" w:cs="Arial"/>
          <w:sz w:val="20"/>
          <w:szCs w:val="20"/>
        </w:rPr>
        <w:t xml:space="preserve">ould occur if a court found the guidance material was </w:t>
      </w:r>
      <w:r>
        <w:rPr>
          <w:rFonts w:asciiTheme="minorHAnsi" w:hAnsiTheme="minorHAnsi" w:cs="Arial"/>
          <w:sz w:val="20"/>
          <w:szCs w:val="20"/>
        </w:rPr>
        <w:t>wrong</w:t>
      </w:r>
      <w:r w:rsidR="00692E6A">
        <w:rPr>
          <w:rFonts w:asciiTheme="minorHAnsi" w:hAnsiTheme="minorHAnsi" w:cs="Arial"/>
          <w:sz w:val="20"/>
          <w:szCs w:val="20"/>
        </w:rPr>
        <w:t>.</w:t>
      </w:r>
    </w:p>
    <w:p w:rsidR="00833E26" w:rsidRDefault="00833E26">
      <w:pPr>
        <w:rPr>
          <w:rFonts w:asciiTheme="minorHAnsi" w:hAnsiTheme="minorHAnsi" w:cs="Arial"/>
          <w:sz w:val="20"/>
          <w:szCs w:val="20"/>
        </w:rPr>
      </w:pPr>
    </w:p>
    <w:p w:rsidR="0044412E" w:rsidRPr="0044412E" w:rsidRDefault="00692E6A" w:rsidP="0044412E">
      <w:pPr>
        <w:rPr>
          <w:rFonts w:asciiTheme="minorHAnsi" w:hAnsiTheme="minorHAnsi" w:cs="Arial"/>
          <w:sz w:val="20"/>
          <w:szCs w:val="20"/>
        </w:rPr>
      </w:pPr>
      <w:r>
        <w:rPr>
          <w:rFonts w:asciiTheme="minorHAnsi" w:hAnsiTheme="minorHAnsi" w:cs="Arial"/>
          <w:sz w:val="20"/>
          <w:szCs w:val="20"/>
        </w:rPr>
        <w:t>Accordingly</w:t>
      </w:r>
      <w:r w:rsidR="00833E26">
        <w:rPr>
          <w:rFonts w:asciiTheme="minorHAnsi" w:hAnsiTheme="minorHAnsi" w:cs="Arial"/>
          <w:sz w:val="20"/>
          <w:szCs w:val="20"/>
        </w:rPr>
        <w:t xml:space="preserve">, the ATA believes the NHVR and NTC should </w:t>
      </w:r>
      <w:r w:rsidR="0044412E">
        <w:rPr>
          <w:rFonts w:asciiTheme="minorHAnsi" w:hAnsiTheme="minorHAnsi" w:cs="Arial"/>
          <w:sz w:val="20"/>
          <w:szCs w:val="20"/>
        </w:rPr>
        <w:t>complement the development of industry codes with the publication of a range of non-code guidance material. In doing this, the NHVR and NTC should m</w:t>
      </w:r>
      <w:r w:rsidR="0044412E" w:rsidRPr="0044412E">
        <w:rPr>
          <w:rFonts w:asciiTheme="minorHAnsi" w:hAnsiTheme="minorHAnsi" w:cs="Arial"/>
          <w:sz w:val="20"/>
          <w:szCs w:val="20"/>
        </w:rPr>
        <w:t>ake it clear that the material is a guide only and is not authoritative</w:t>
      </w:r>
      <w:r w:rsidR="0044412E">
        <w:rPr>
          <w:rFonts w:asciiTheme="minorHAnsi" w:hAnsiTheme="minorHAnsi" w:cs="Arial"/>
          <w:sz w:val="20"/>
          <w:szCs w:val="20"/>
        </w:rPr>
        <w:t>. The two organisations would also need to h</w:t>
      </w:r>
      <w:r w:rsidR="0044412E" w:rsidRPr="0044412E">
        <w:rPr>
          <w:rFonts w:asciiTheme="minorHAnsi" w:hAnsiTheme="minorHAnsi" w:cs="Arial"/>
          <w:sz w:val="20"/>
          <w:szCs w:val="20"/>
        </w:rPr>
        <w:t>ave process</w:t>
      </w:r>
      <w:r w:rsidR="0044412E">
        <w:rPr>
          <w:rFonts w:asciiTheme="minorHAnsi" w:hAnsiTheme="minorHAnsi" w:cs="Arial"/>
          <w:sz w:val="20"/>
          <w:szCs w:val="20"/>
        </w:rPr>
        <w:t>es</w:t>
      </w:r>
      <w:r w:rsidR="0044412E" w:rsidRPr="0044412E">
        <w:rPr>
          <w:rFonts w:asciiTheme="minorHAnsi" w:hAnsiTheme="minorHAnsi" w:cs="Arial"/>
          <w:sz w:val="20"/>
          <w:szCs w:val="20"/>
        </w:rPr>
        <w:t xml:space="preserve"> to systematically </w:t>
      </w:r>
      <w:r w:rsidR="002F2AF7">
        <w:rPr>
          <w:rFonts w:asciiTheme="minorHAnsi" w:hAnsiTheme="minorHAnsi" w:cs="Arial"/>
          <w:sz w:val="20"/>
          <w:szCs w:val="20"/>
        </w:rPr>
        <w:t xml:space="preserve">and promptly </w:t>
      </w:r>
      <w:r w:rsidR="0044412E" w:rsidRPr="0044412E">
        <w:rPr>
          <w:rFonts w:asciiTheme="minorHAnsi" w:hAnsiTheme="minorHAnsi" w:cs="Arial"/>
          <w:sz w:val="20"/>
          <w:szCs w:val="20"/>
        </w:rPr>
        <w:t>review the</w:t>
      </w:r>
      <w:r w:rsidR="0044412E">
        <w:rPr>
          <w:rFonts w:asciiTheme="minorHAnsi" w:hAnsiTheme="minorHAnsi" w:cs="Arial"/>
          <w:sz w:val="20"/>
          <w:szCs w:val="20"/>
        </w:rPr>
        <w:t>ir</w:t>
      </w:r>
      <w:r w:rsidR="0044412E" w:rsidRPr="0044412E">
        <w:rPr>
          <w:rFonts w:asciiTheme="minorHAnsi" w:hAnsiTheme="minorHAnsi" w:cs="Arial"/>
          <w:sz w:val="20"/>
          <w:szCs w:val="20"/>
        </w:rPr>
        <w:t xml:space="preserve"> guidance material as the HVNL case law evolves.</w:t>
      </w:r>
    </w:p>
    <w:p w:rsidR="008238C6" w:rsidRDefault="008238C6">
      <w:pPr>
        <w:rPr>
          <w:rFonts w:asciiTheme="minorHAnsi" w:hAnsiTheme="minorHAnsi" w:cs="Arial"/>
          <w:sz w:val="20"/>
          <w:szCs w:val="20"/>
        </w:rPr>
      </w:pPr>
    </w:p>
    <w:p w:rsidR="0032301B" w:rsidRDefault="0032301B">
      <w:pPr>
        <w:rPr>
          <w:rFonts w:asciiTheme="minorHAnsi" w:hAnsiTheme="minorHAnsi" w:cs="Arial"/>
          <w:sz w:val="20"/>
          <w:szCs w:val="20"/>
        </w:rPr>
      </w:pPr>
    </w:p>
    <w:p w:rsidR="0032301B" w:rsidRPr="0032301B" w:rsidRDefault="0070164E">
      <w:pPr>
        <w:rPr>
          <w:rFonts w:asciiTheme="minorHAnsi" w:hAnsiTheme="minorHAnsi" w:cs="Arial"/>
          <w:b/>
          <w:sz w:val="20"/>
          <w:szCs w:val="20"/>
        </w:rPr>
      </w:pPr>
      <w:r>
        <w:rPr>
          <w:rFonts w:asciiTheme="minorHAnsi" w:hAnsiTheme="minorHAnsi" w:cs="Arial"/>
          <w:b/>
          <w:sz w:val="20"/>
          <w:szCs w:val="20"/>
        </w:rPr>
        <w:t>Recommendation 7</w:t>
      </w:r>
    </w:p>
    <w:p w:rsidR="0032301B" w:rsidRPr="0032301B" w:rsidRDefault="0032301B">
      <w:pPr>
        <w:rPr>
          <w:rFonts w:asciiTheme="minorHAnsi" w:hAnsiTheme="minorHAnsi" w:cs="Arial"/>
          <w:b/>
          <w:sz w:val="20"/>
          <w:szCs w:val="20"/>
        </w:rPr>
      </w:pPr>
    </w:p>
    <w:p w:rsidR="0044412E" w:rsidRPr="0044412E" w:rsidRDefault="000E3A38" w:rsidP="0044412E">
      <w:pPr>
        <w:rPr>
          <w:rFonts w:asciiTheme="minorHAnsi" w:hAnsiTheme="minorHAnsi" w:cs="Arial"/>
          <w:b/>
          <w:sz w:val="20"/>
          <w:szCs w:val="20"/>
        </w:rPr>
      </w:pPr>
      <w:r>
        <w:rPr>
          <w:rFonts w:asciiTheme="minorHAnsi" w:hAnsiTheme="minorHAnsi" w:cs="Arial"/>
          <w:b/>
          <w:sz w:val="20"/>
          <w:szCs w:val="20"/>
        </w:rPr>
        <w:lastRenderedPageBreak/>
        <w:t>As soon as possible, t</w:t>
      </w:r>
      <w:r w:rsidR="0032301B" w:rsidRPr="0032301B">
        <w:rPr>
          <w:rFonts w:asciiTheme="minorHAnsi" w:hAnsiTheme="minorHAnsi" w:cs="Arial"/>
          <w:b/>
          <w:sz w:val="20"/>
          <w:szCs w:val="20"/>
        </w:rPr>
        <w:t xml:space="preserve">he NHVR should issue guidelines </w:t>
      </w:r>
      <w:r w:rsidR="003F2F10" w:rsidRPr="0032301B">
        <w:rPr>
          <w:rFonts w:asciiTheme="minorHAnsi" w:hAnsiTheme="minorHAnsi" w:cs="Arial"/>
          <w:b/>
          <w:sz w:val="20"/>
          <w:szCs w:val="20"/>
        </w:rPr>
        <w:t xml:space="preserve">under </w:t>
      </w:r>
      <w:r w:rsidR="003F2F10">
        <w:rPr>
          <w:rFonts w:asciiTheme="minorHAnsi" w:hAnsiTheme="minorHAnsi" w:cs="Arial"/>
          <w:b/>
          <w:sz w:val="20"/>
          <w:szCs w:val="20"/>
        </w:rPr>
        <w:t>Part 13.2</w:t>
      </w:r>
      <w:r w:rsidR="003F2F10" w:rsidRPr="0032301B">
        <w:rPr>
          <w:rFonts w:asciiTheme="minorHAnsi" w:hAnsiTheme="minorHAnsi" w:cs="Arial"/>
          <w:b/>
          <w:sz w:val="20"/>
          <w:szCs w:val="20"/>
        </w:rPr>
        <w:t xml:space="preserve"> of the HVNL </w:t>
      </w:r>
      <w:r w:rsidR="0032301B" w:rsidRPr="0032301B">
        <w:rPr>
          <w:rFonts w:asciiTheme="minorHAnsi" w:hAnsiTheme="minorHAnsi" w:cs="Arial"/>
          <w:b/>
          <w:sz w:val="20"/>
          <w:szCs w:val="20"/>
        </w:rPr>
        <w:t>for approving industry codes of practice.</w:t>
      </w:r>
      <w:r w:rsidR="0044412E">
        <w:rPr>
          <w:rFonts w:asciiTheme="minorHAnsi" w:hAnsiTheme="minorHAnsi" w:cs="Arial"/>
          <w:b/>
          <w:sz w:val="20"/>
          <w:szCs w:val="20"/>
        </w:rPr>
        <w:t xml:space="preserve"> In addition, the NHVR and NTC should publish more non-code guidance material about how to comply with the HVNL. In doing this, </w:t>
      </w:r>
      <w:r w:rsidR="0044412E" w:rsidRPr="0044412E">
        <w:rPr>
          <w:rFonts w:asciiTheme="minorHAnsi" w:hAnsiTheme="minorHAnsi" w:cs="Arial"/>
          <w:b/>
          <w:sz w:val="20"/>
          <w:szCs w:val="20"/>
        </w:rPr>
        <w:t>the NHVR and NTC should:</w:t>
      </w:r>
    </w:p>
    <w:p w:rsidR="0044412E" w:rsidRPr="0044412E" w:rsidRDefault="0044412E" w:rsidP="0044412E">
      <w:pPr>
        <w:rPr>
          <w:rFonts w:asciiTheme="minorHAnsi" w:hAnsiTheme="minorHAnsi" w:cs="Arial"/>
          <w:b/>
          <w:sz w:val="20"/>
          <w:szCs w:val="20"/>
        </w:rPr>
      </w:pPr>
    </w:p>
    <w:p w:rsidR="0044412E" w:rsidRPr="0044412E" w:rsidRDefault="0044412E" w:rsidP="0044412E">
      <w:pPr>
        <w:pStyle w:val="ListParagraph"/>
        <w:numPr>
          <w:ilvl w:val="0"/>
          <w:numId w:val="12"/>
        </w:numPr>
        <w:spacing w:after="0" w:line="240" w:lineRule="auto"/>
        <w:ind w:left="714" w:hanging="357"/>
        <w:rPr>
          <w:rFonts w:asciiTheme="minorHAnsi" w:hAnsiTheme="minorHAnsi" w:cs="Arial"/>
          <w:b/>
          <w:sz w:val="20"/>
          <w:szCs w:val="20"/>
        </w:rPr>
      </w:pPr>
      <w:r w:rsidRPr="0044412E">
        <w:rPr>
          <w:rFonts w:asciiTheme="minorHAnsi" w:hAnsiTheme="minorHAnsi" w:cs="Arial"/>
          <w:b/>
          <w:sz w:val="20"/>
          <w:szCs w:val="20"/>
        </w:rPr>
        <w:t>make it clear that the material is a guide only and is not authoritative</w:t>
      </w:r>
    </w:p>
    <w:p w:rsidR="0044412E" w:rsidRPr="0044412E" w:rsidRDefault="0044412E" w:rsidP="0044412E">
      <w:pPr>
        <w:pStyle w:val="ListParagraph"/>
        <w:numPr>
          <w:ilvl w:val="0"/>
          <w:numId w:val="12"/>
        </w:numPr>
        <w:spacing w:after="0" w:line="240" w:lineRule="auto"/>
        <w:ind w:left="714" w:hanging="357"/>
        <w:rPr>
          <w:rFonts w:asciiTheme="minorHAnsi" w:hAnsiTheme="minorHAnsi" w:cs="Arial"/>
          <w:sz w:val="20"/>
          <w:szCs w:val="20"/>
        </w:rPr>
      </w:pPr>
      <w:r w:rsidRPr="0044412E">
        <w:rPr>
          <w:rFonts w:asciiTheme="minorHAnsi" w:hAnsiTheme="minorHAnsi" w:cs="Arial"/>
          <w:b/>
          <w:sz w:val="20"/>
          <w:szCs w:val="20"/>
        </w:rPr>
        <w:t xml:space="preserve">have processes to systematically </w:t>
      </w:r>
      <w:r w:rsidR="002F2AF7">
        <w:rPr>
          <w:rFonts w:asciiTheme="minorHAnsi" w:hAnsiTheme="minorHAnsi" w:cs="Arial"/>
          <w:b/>
          <w:sz w:val="20"/>
          <w:szCs w:val="20"/>
        </w:rPr>
        <w:t xml:space="preserve">and promptly </w:t>
      </w:r>
      <w:r w:rsidRPr="0044412E">
        <w:rPr>
          <w:rFonts w:asciiTheme="minorHAnsi" w:hAnsiTheme="minorHAnsi" w:cs="Arial"/>
          <w:b/>
          <w:sz w:val="20"/>
          <w:szCs w:val="20"/>
        </w:rPr>
        <w:t>review the guidance material as the HVNL case law evolves.</w:t>
      </w:r>
    </w:p>
    <w:p w:rsidR="0032301B" w:rsidRDefault="0032301B">
      <w:pPr>
        <w:rPr>
          <w:rFonts w:asciiTheme="minorHAnsi" w:hAnsiTheme="minorHAnsi" w:cs="Arial"/>
          <w:b/>
          <w:sz w:val="20"/>
          <w:szCs w:val="20"/>
        </w:rPr>
      </w:pPr>
    </w:p>
    <w:p w:rsidR="0032301B" w:rsidRPr="0032301B" w:rsidRDefault="0032301B">
      <w:pPr>
        <w:rPr>
          <w:rFonts w:asciiTheme="minorHAnsi" w:hAnsiTheme="minorHAnsi" w:cs="Arial"/>
          <w:sz w:val="20"/>
          <w:szCs w:val="20"/>
        </w:rPr>
      </w:pPr>
    </w:p>
    <w:p w:rsidR="0032301B" w:rsidRPr="00C00755" w:rsidRDefault="009E18EF" w:rsidP="00C00755">
      <w:pPr>
        <w:pStyle w:val="Heading2"/>
        <w:spacing w:before="0"/>
        <w:rPr>
          <w:rFonts w:asciiTheme="minorHAnsi" w:hAnsiTheme="minorHAnsi" w:cs="Arial"/>
          <w:color w:val="auto"/>
          <w:sz w:val="24"/>
          <w:szCs w:val="24"/>
        </w:rPr>
      </w:pPr>
      <w:bookmarkStart w:id="12" w:name="_Toc410388155"/>
      <w:r w:rsidRPr="00C00755">
        <w:rPr>
          <w:rFonts w:asciiTheme="minorHAnsi" w:hAnsiTheme="minorHAnsi" w:cs="Arial"/>
          <w:color w:val="auto"/>
          <w:sz w:val="24"/>
          <w:szCs w:val="24"/>
        </w:rPr>
        <w:t>T</w:t>
      </w:r>
      <w:r w:rsidR="0032301B" w:rsidRPr="00C00755">
        <w:rPr>
          <w:rFonts w:asciiTheme="minorHAnsi" w:hAnsiTheme="minorHAnsi" w:cs="Arial"/>
          <w:color w:val="auto"/>
          <w:sz w:val="24"/>
          <w:szCs w:val="24"/>
        </w:rPr>
        <w:t xml:space="preserve">hese reforms </w:t>
      </w:r>
      <w:r w:rsidRPr="00C00755">
        <w:rPr>
          <w:rFonts w:asciiTheme="minorHAnsi" w:hAnsiTheme="minorHAnsi" w:cs="Arial"/>
          <w:color w:val="auto"/>
          <w:sz w:val="24"/>
          <w:szCs w:val="24"/>
        </w:rPr>
        <w:t>will take time to develop</w:t>
      </w:r>
      <w:bookmarkEnd w:id="12"/>
    </w:p>
    <w:p w:rsidR="0032301B" w:rsidRDefault="0032301B" w:rsidP="009E18EF">
      <w:pPr>
        <w:keepNext/>
        <w:rPr>
          <w:rFonts w:asciiTheme="minorHAnsi" w:hAnsiTheme="minorHAnsi" w:cs="Arial"/>
          <w:sz w:val="20"/>
          <w:szCs w:val="20"/>
        </w:rPr>
      </w:pPr>
    </w:p>
    <w:p w:rsidR="009E18EF" w:rsidRDefault="009E18EF" w:rsidP="009E18EF">
      <w:pPr>
        <w:keepNext/>
        <w:autoSpaceDE w:val="0"/>
        <w:autoSpaceDN w:val="0"/>
        <w:adjustRightInd w:val="0"/>
        <w:rPr>
          <w:sz w:val="20"/>
          <w:szCs w:val="20"/>
        </w:rPr>
      </w:pPr>
      <w:r>
        <w:rPr>
          <w:sz w:val="20"/>
          <w:szCs w:val="20"/>
        </w:rPr>
        <w:t>In its discussion paper, the NTC pointed out that:</w:t>
      </w:r>
    </w:p>
    <w:p w:rsidR="009E18EF" w:rsidRDefault="009E18EF" w:rsidP="009E18EF">
      <w:pPr>
        <w:keepNext/>
        <w:autoSpaceDE w:val="0"/>
        <w:autoSpaceDN w:val="0"/>
        <w:adjustRightInd w:val="0"/>
        <w:rPr>
          <w:sz w:val="20"/>
          <w:szCs w:val="20"/>
        </w:rPr>
      </w:pPr>
    </w:p>
    <w:p w:rsidR="009E18EF" w:rsidRDefault="009E18EF" w:rsidP="009E18EF">
      <w:pPr>
        <w:keepNext/>
        <w:autoSpaceDE w:val="0"/>
        <w:autoSpaceDN w:val="0"/>
        <w:adjustRightInd w:val="0"/>
        <w:ind w:left="1134" w:right="1134"/>
        <w:rPr>
          <w:sz w:val="20"/>
          <w:szCs w:val="20"/>
        </w:rPr>
      </w:pPr>
      <w:r>
        <w:rPr>
          <w:sz w:val="20"/>
          <w:szCs w:val="20"/>
        </w:rPr>
        <w:t xml:space="preserve">Whichever approach/es are contemplated, it is important that stakeholders recognise, at the outset, that the adoption of any uniform approach </w:t>
      </w:r>
      <w:r>
        <w:rPr>
          <w:sz w:val="20"/>
          <w:szCs w:val="20"/>
        </w:rPr>
        <w:lastRenderedPageBreak/>
        <w:t>to managing CoR duties in the HVNL represents significant reform. A piecemeal approach will be inadequate (…)</w:t>
      </w:r>
      <w:r>
        <w:rPr>
          <w:rStyle w:val="FootnoteReference"/>
          <w:sz w:val="20"/>
          <w:szCs w:val="20"/>
        </w:rPr>
        <w:footnoteReference w:id="24"/>
      </w:r>
    </w:p>
    <w:p w:rsidR="009E18EF" w:rsidRDefault="009E18EF" w:rsidP="009E18EF">
      <w:pPr>
        <w:keepNext/>
        <w:autoSpaceDE w:val="0"/>
        <w:autoSpaceDN w:val="0"/>
        <w:adjustRightInd w:val="0"/>
        <w:rPr>
          <w:sz w:val="20"/>
          <w:szCs w:val="20"/>
        </w:rPr>
      </w:pPr>
    </w:p>
    <w:p w:rsidR="009E18EF" w:rsidRDefault="009E18EF" w:rsidP="009E18EF">
      <w:pPr>
        <w:autoSpaceDE w:val="0"/>
        <w:autoSpaceDN w:val="0"/>
        <w:adjustRightInd w:val="0"/>
        <w:rPr>
          <w:sz w:val="20"/>
          <w:szCs w:val="20"/>
        </w:rPr>
      </w:pPr>
      <w:r>
        <w:rPr>
          <w:sz w:val="20"/>
          <w:szCs w:val="20"/>
        </w:rPr>
        <w:t>The ATA fully agrees. Many of the issues we have with the HVNL origin</w:t>
      </w:r>
      <w:r w:rsidR="002F2AF7">
        <w:rPr>
          <w:sz w:val="20"/>
          <w:szCs w:val="20"/>
        </w:rPr>
        <w:t>ate</w:t>
      </w:r>
      <w:r>
        <w:rPr>
          <w:sz w:val="20"/>
          <w:szCs w:val="20"/>
        </w:rPr>
        <w:t xml:space="preserve"> in the rushed original drafting of the law. There was not enough attention given to drafting the law to minimise its complexity. </w:t>
      </w:r>
    </w:p>
    <w:p w:rsidR="009E18EF" w:rsidRDefault="009E18EF" w:rsidP="009E18EF">
      <w:pPr>
        <w:autoSpaceDE w:val="0"/>
        <w:autoSpaceDN w:val="0"/>
        <w:adjustRightInd w:val="0"/>
        <w:rPr>
          <w:sz w:val="20"/>
          <w:szCs w:val="20"/>
        </w:rPr>
      </w:pPr>
    </w:p>
    <w:p w:rsidR="009E18EF" w:rsidRDefault="009E18EF" w:rsidP="009E18EF">
      <w:pPr>
        <w:autoSpaceDE w:val="0"/>
        <w:autoSpaceDN w:val="0"/>
        <w:adjustRightInd w:val="0"/>
        <w:rPr>
          <w:sz w:val="20"/>
          <w:szCs w:val="20"/>
        </w:rPr>
      </w:pPr>
      <w:r>
        <w:rPr>
          <w:sz w:val="20"/>
          <w:szCs w:val="20"/>
        </w:rPr>
        <w:t xml:space="preserve">The ATA recognises that some decision-makers are concerned about the delays involved in this reform process and want it finished. But the reform process </w:t>
      </w:r>
      <w:r w:rsidR="00401745">
        <w:rPr>
          <w:sz w:val="20"/>
          <w:szCs w:val="20"/>
        </w:rPr>
        <w:t xml:space="preserve">can take as long as is </w:t>
      </w:r>
      <w:r w:rsidR="002D7AC6">
        <w:rPr>
          <w:sz w:val="20"/>
          <w:szCs w:val="20"/>
        </w:rPr>
        <w:t>reasonably needed</w:t>
      </w:r>
      <w:r w:rsidR="00401745">
        <w:rPr>
          <w:sz w:val="20"/>
          <w:szCs w:val="20"/>
        </w:rPr>
        <w:t xml:space="preserve"> to get the law right</w:t>
      </w:r>
      <w:r w:rsidR="002D7AC6">
        <w:rPr>
          <w:sz w:val="20"/>
          <w:szCs w:val="20"/>
        </w:rPr>
        <w:t xml:space="preserve">, </w:t>
      </w:r>
      <w:r>
        <w:rPr>
          <w:sz w:val="20"/>
          <w:szCs w:val="20"/>
        </w:rPr>
        <w:t>because:</w:t>
      </w:r>
    </w:p>
    <w:p w:rsidR="009E18EF" w:rsidRDefault="009E18EF" w:rsidP="009E18EF">
      <w:pPr>
        <w:autoSpaceDE w:val="0"/>
        <w:autoSpaceDN w:val="0"/>
        <w:adjustRightInd w:val="0"/>
        <w:rPr>
          <w:sz w:val="20"/>
          <w:szCs w:val="20"/>
        </w:rPr>
      </w:pPr>
    </w:p>
    <w:p w:rsidR="002F2AF7" w:rsidRPr="00616345" w:rsidRDefault="002F2AF7" w:rsidP="002F2AF7">
      <w:pPr>
        <w:pStyle w:val="ListParagraph"/>
        <w:numPr>
          <w:ilvl w:val="0"/>
          <w:numId w:val="8"/>
        </w:numPr>
        <w:spacing w:after="0" w:line="240" w:lineRule="auto"/>
        <w:ind w:left="714" w:hanging="357"/>
        <w:rPr>
          <w:sz w:val="20"/>
          <w:szCs w:val="20"/>
        </w:rPr>
      </w:pPr>
      <w:r w:rsidRPr="00616345">
        <w:rPr>
          <w:sz w:val="20"/>
          <w:szCs w:val="20"/>
        </w:rPr>
        <w:t>the CoR laws are on the statute books now</w:t>
      </w:r>
    </w:p>
    <w:p w:rsidR="002F2AF7" w:rsidRPr="00616345" w:rsidRDefault="002F2AF7" w:rsidP="002F2AF7">
      <w:pPr>
        <w:pStyle w:val="ListParagraph"/>
        <w:numPr>
          <w:ilvl w:val="0"/>
          <w:numId w:val="8"/>
        </w:numPr>
        <w:spacing w:after="0" w:line="240" w:lineRule="auto"/>
        <w:ind w:left="714" w:hanging="357"/>
        <w:rPr>
          <w:sz w:val="20"/>
          <w:szCs w:val="20"/>
        </w:rPr>
      </w:pPr>
      <w:r>
        <w:rPr>
          <w:sz w:val="20"/>
          <w:szCs w:val="20"/>
        </w:rPr>
        <w:t>the rate of fatal h</w:t>
      </w:r>
      <w:r w:rsidRPr="00616345">
        <w:rPr>
          <w:sz w:val="20"/>
          <w:szCs w:val="20"/>
        </w:rPr>
        <w:t xml:space="preserve">eavy vehicle accidents </w:t>
      </w:r>
      <w:r>
        <w:rPr>
          <w:sz w:val="20"/>
          <w:szCs w:val="20"/>
        </w:rPr>
        <w:t>is on a downward trend, despite quarterly fluctuations in the number of fatal crashes and fatalities</w:t>
      </w:r>
    </w:p>
    <w:p w:rsidR="002F2AF7" w:rsidRPr="00616345" w:rsidRDefault="002F2AF7" w:rsidP="002F2AF7">
      <w:pPr>
        <w:pStyle w:val="ListParagraph"/>
        <w:numPr>
          <w:ilvl w:val="0"/>
          <w:numId w:val="8"/>
        </w:numPr>
        <w:spacing w:after="0" w:line="240" w:lineRule="auto"/>
        <w:ind w:left="714" w:hanging="357"/>
        <w:rPr>
          <w:sz w:val="20"/>
          <w:szCs w:val="20"/>
        </w:rPr>
      </w:pPr>
      <w:r w:rsidRPr="00616345">
        <w:rPr>
          <w:sz w:val="20"/>
          <w:szCs w:val="20"/>
        </w:rPr>
        <w:t xml:space="preserve">notwithstanding the need for the streamlining set out in this submission, the CoR laws are operating reasonably well.  They provide an effective means for </w:t>
      </w:r>
      <w:r>
        <w:rPr>
          <w:sz w:val="20"/>
          <w:szCs w:val="20"/>
        </w:rPr>
        <w:t>CoR enforcement and prosecution, except in the known problem area of vehicle standards and safety.</w:t>
      </w:r>
    </w:p>
    <w:p w:rsidR="009E18EF" w:rsidRPr="0032301B" w:rsidRDefault="009E18EF">
      <w:pPr>
        <w:rPr>
          <w:rFonts w:asciiTheme="minorHAnsi" w:hAnsiTheme="minorHAnsi" w:cs="Arial"/>
          <w:sz w:val="20"/>
          <w:szCs w:val="20"/>
        </w:rPr>
      </w:pPr>
    </w:p>
    <w:p w:rsidR="0032301B" w:rsidRDefault="00432694">
      <w:pPr>
        <w:rPr>
          <w:rFonts w:asciiTheme="minorHAnsi" w:hAnsiTheme="minorHAnsi" w:cs="Arial"/>
          <w:sz w:val="20"/>
          <w:szCs w:val="20"/>
        </w:rPr>
      </w:pPr>
      <w:r>
        <w:rPr>
          <w:rFonts w:asciiTheme="minorHAnsi" w:hAnsiTheme="minorHAnsi" w:cs="Arial"/>
          <w:sz w:val="20"/>
          <w:szCs w:val="20"/>
        </w:rPr>
        <w:t>The</w:t>
      </w:r>
      <w:r w:rsidR="009E18EF">
        <w:rPr>
          <w:rFonts w:asciiTheme="minorHAnsi" w:hAnsiTheme="minorHAnsi" w:cs="Arial"/>
          <w:sz w:val="20"/>
          <w:szCs w:val="20"/>
        </w:rPr>
        <w:t xml:space="preserve"> ATA also recognises that the </w:t>
      </w:r>
      <w:r w:rsidR="00401745">
        <w:rPr>
          <w:rFonts w:asciiTheme="minorHAnsi" w:hAnsiTheme="minorHAnsi" w:cs="Arial"/>
          <w:sz w:val="20"/>
          <w:szCs w:val="20"/>
        </w:rPr>
        <w:t>CoR T</w:t>
      </w:r>
      <w:r>
        <w:rPr>
          <w:rFonts w:asciiTheme="minorHAnsi" w:hAnsiTheme="minorHAnsi" w:cs="Arial"/>
          <w:sz w:val="20"/>
          <w:szCs w:val="20"/>
        </w:rPr>
        <w:t>askforce recommended that the development of broader duties within the chain of responsibility should be the first step in resolving the outstanding issues with the HVNL.</w:t>
      </w:r>
      <w:r>
        <w:rPr>
          <w:rStyle w:val="FootnoteReference"/>
          <w:rFonts w:asciiTheme="minorHAnsi" w:hAnsiTheme="minorHAnsi"/>
          <w:sz w:val="20"/>
          <w:szCs w:val="20"/>
        </w:rPr>
        <w:footnoteReference w:id="25"/>
      </w:r>
      <w:r>
        <w:rPr>
          <w:rFonts w:asciiTheme="minorHAnsi" w:hAnsiTheme="minorHAnsi" w:cs="Arial"/>
          <w:sz w:val="20"/>
          <w:szCs w:val="20"/>
        </w:rPr>
        <w:t xml:space="preserve"> </w:t>
      </w:r>
      <w:r w:rsidR="008D4AD3">
        <w:rPr>
          <w:rFonts w:asciiTheme="minorHAnsi" w:hAnsiTheme="minorHAnsi" w:cs="Arial"/>
          <w:sz w:val="20"/>
          <w:szCs w:val="20"/>
        </w:rPr>
        <w:t>It said the consistency of the drafting of the CoR provisions should not be revisited until after the process to review the possible inclusion of additional duties was complete.</w:t>
      </w:r>
      <w:r w:rsidR="008D4AD3">
        <w:rPr>
          <w:rStyle w:val="FootnoteReference"/>
          <w:rFonts w:asciiTheme="minorHAnsi" w:hAnsiTheme="minorHAnsi"/>
          <w:sz w:val="20"/>
          <w:szCs w:val="20"/>
        </w:rPr>
        <w:footnoteReference w:id="26"/>
      </w:r>
    </w:p>
    <w:p w:rsidR="00432694" w:rsidRDefault="00432694">
      <w:pPr>
        <w:rPr>
          <w:rFonts w:asciiTheme="minorHAnsi" w:hAnsiTheme="minorHAnsi" w:cs="Arial"/>
          <w:sz w:val="20"/>
          <w:szCs w:val="20"/>
        </w:rPr>
      </w:pPr>
    </w:p>
    <w:p w:rsidR="00432694" w:rsidRDefault="00432694" w:rsidP="008D4AD3">
      <w:pPr>
        <w:rPr>
          <w:rFonts w:asciiTheme="minorHAnsi" w:hAnsiTheme="minorHAnsi" w:cs="Arial"/>
          <w:sz w:val="20"/>
          <w:szCs w:val="20"/>
        </w:rPr>
      </w:pPr>
      <w:r>
        <w:rPr>
          <w:rFonts w:asciiTheme="minorHAnsi" w:hAnsiTheme="minorHAnsi" w:cs="Arial"/>
          <w:sz w:val="20"/>
          <w:szCs w:val="20"/>
        </w:rPr>
        <w:t>T</w:t>
      </w:r>
      <w:r w:rsidR="008D4AD3">
        <w:rPr>
          <w:rFonts w:asciiTheme="minorHAnsi" w:hAnsiTheme="minorHAnsi" w:cs="Arial"/>
          <w:sz w:val="20"/>
          <w:szCs w:val="20"/>
        </w:rPr>
        <w:t xml:space="preserve">he ATA does not agree with </w:t>
      </w:r>
      <w:r w:rsidR="00401745">
        <w:rPr>
          <w:rFonts w:asciiTheme="minorHAnsi" w:hAnsiTheme="minorHAnsi" w:cs="Arial"/>
          <w:sz w:val="20"/>
          <w:szCs w:val="20"/>
        </w:rPr>
        <w:t>this approach</w:t>
      </w:r>
      <w:r>
        <w:rPr>
          <w:rFonts w:asciiTheme="minorHAnsi" w:hAnsiTheme="minorHAnsi" w:cs="Arial"/>
          <w:sz w:val="20"/>
          <w:szCs w:val="20"/>
        </w:rPr>
        <w:t xml:space="preserve">. </w:t>
      </w:r>
    </w:p>
    <w:p w:rsidR="00432694" w:rsidRDefault="00432694">
      <w:pPr>
        <w:rPr>
          <w:rFonts w:asciiTheme="minorHAnsi" w:hAnsiTheme="minorHAnsi" w:cs="Arial"/>
          <w:sz w:val="20"/>
          <w:szCs w:val="20"/>
        </w:rPr>
      </w:pPr>
    </w:p>
    <w:p w:rsidR="00432694" w:rsidRDefault="008D4AD3">
      <w:pPr>
        <w:rPr>
          <w:rFonts w:asciiTheme="minorHAnsi" w:hAnsiTheme="minorHAnsi" w:cs="Arial"/>
          <w:sz w:val="20"/>
          <w:szCs w:val="20"/>
        </w:rPr>
      </w:pPr>
      <w:r>
        <w:rPr>
          <w:rFonts w:asciiTheme="minorHAnsi" w:hAnsiTheme="minorHAnsi" w:cs="Arial"/>
          <w:sz w:val="20"/>
          <w:szCs w:val="20"/>
        </w:rPr>
        <w:t xml:space="preserve">It would be highly undesirable </w:t>
      </w:r>
      <w:r w:rsidR="009E18EF">
        <w:rPr>
          <w:rFonts w:asciiTheme="minorHAnsi" w:hAnsiTheme="minorHAnsi" w:cs="Arial"/>
          <w:sz w:val="20"/>
          <w:szCs w:val="20"/>
        </w:rPr>
        <w:t xml:space="preserve">for governments to take </w:t>
      </w:r>
      <w:r w:rsidR="002F2AF7">
        <w:rPr>
          <w:rFonts w:asciiTheme="minorHAnsi" w:hAnsiTheme="minorHAnsi" w:cs="Arial"/>
          <w:sz w:val="20"/>
          <w:szCs w:val="20"/>
        </w:rPr>
        <w:t>the</w:t>
      </w:r>
      <w:r w:rsidR="009E18EF">
        <w:rPr>
          <w:rFonts w:asciiTheme="minorHAnsi" w:hAnsiTheme="minorHAnsi" w:cs="Arial"/>
          <w:sz w:val="20"/>
          <w:szCs w:val="20"/>
        </w:rPr>
        <w:t xml:space="preserve"> piecemeal approach of </w:t>
      </w:r>
      <w:r w:rsidR="00A02213">
        <w:rPr>
          <w:rFonts w:asciiTheme="minorHAnsi" w:hAnsiTheme="minorHAnsi" w:cs="Arial"/>
          <w:sz w:val="20"/>
          <w:szCs w:val="20"/>
        </w:rPr>
        <w:t>add</w:t>
      </w:r>
      <w:r w:rsidR="009E18EF">
        <w:rPr>
          <w:rFonts w:asciiTheme="minorHAnsi" w:hAnsiTheme="minorHAnsi" w:cs="Arial"/>
          <w:sz w:val="20"/>
          <w:szCs w:val="20"/>
        </w:rPr>
        <w:t>ing</w:t>
      </w:r>
      <w:r w:rsidR="00A02213">
        <w:rPr>
          <w:rFonts w:asciiTheme="minorHAnsi" w:hAnsiTheme="minorHAnsi" w:cs="Arial"/>
          <w:sz w:val="20"/>
          <w:szCs w:val="20"/>
        </w:rPr>
        <w:t xml:space="preserve"> more </w:t>
      </w:r>
      <w:r>
        <w:rPr>
          <w:rFonts w:asciiTheme="minorHAnsi" w:hAnsiTheme="minorHAnsi" w:cs="Arial"/>
          <w:sz w:val="20"/>
          <w:szCs w:val="20"/>
        </w:rPr>
        <w:t xml:space="preserve">duties </w:t>
      </w:r>
      <w:r w:rsidR="002F2AF7">
        <w:rPr>
          <w:rFonts w:asciiTheme="minorHAnsi" w:hAnsiTheme="minorHAnsi" w:cs="Arial"/>
          <w:sz w:val="20"/>
          <w:szCs w:val="20"/>
        </w:rPr>
        <w:t xml:space="preserve">and complexity </w:t>
      </w:r>
      <w:r w:rsidR="00A02213">
        <w:rPr>
          <w:rFonts w:asciiTheme="minorHAnsi" w:hAnsiTheme="minorHAnsi" w:cs="Arial"/>
          <w:sz w:val="20"/>
          <w:szCs w:val="20"/>
        </w:rPr>
        <w:t xml:space="preserve">to the HVNL with the intention of going back and revisiting the complexity and consistency of the law later. </w:t>
      </w:r>
      <w:r w:rsidR="00432694">
        <w:rPr>
          <w:rFonts w:asciiTheme="minorHAnsi" w:hAnsiTheme="minorHAnsi" w:cs="Arial"/>
          <w:sz w:val="20"/>
          <w:szCs w:val="20"/>
        </w:rPr>
        <w:t xml:space="preserve">Minimising </w:t>
      </w:r>
      <w:r w:rsidR="009E18EF">
        <w:rPr>
          <w:rFonts w:asciiTheme="minorHAnsi" w:hAnsiTheme="minorHAnsi" w:cs="Arial"/>
          <w:sz w:val="20"/>
          <w:szCs w:val="20"/>
        </w:rPr>
        <w:t xml:space="preserve">legislative </w:t>
      </w:r>
      <w:r w:rsidR="00432694">
        <w:rPr>
          <w:rFonts w:asciiTheme="minorHAnsi" w:hAnsiTheme="minorHAnsi" w:cs="Arial"/>
          <w:sz w:val="20"/>
          <w:szCs w:val="20"/>
        </w:rPr>
        <w:t xml:space="preserve">complexity requires planning </w:t>
      </w:r>
      <w:r w:rsidR="00A02213">
        <w:rPr>
          <w:rFonts w:asciiTheme="minorHAnsi" w:hAnsiTheme="minorHAnsi" w:cs="Arial"/>
          <w:sz w:val="20"/>
          <w:szCs w:val="20"/>
        </w:rPr>
        <w:t xml:space="preserve">and a logical structure from the start. </w:t>
      </w:r>
      <w:r w:rsidR="001B7A3E">
        <w:rPr>
          <w:rFonts w:asciiTheme="minorHAnsi" w:hAnsiTheme="minorHAnsi" w:cs="Arial"/>
          <w:sz w:val="20"/>
          <w:szCs w:val="20"/>
        </w:rPr>
        <w:t>Th</w:t>
      </w:r>
      <w:r w:rsidR="008415BA">
        <w:rPr>
          <w:rFonts w:asciiTheme="minorHAnsi" w:hAnsiTheme="minorHAnsi" w:cs="Arial"/>
          <w:sz w:val="20"/>
          <w:szCs w:val="20"/>
        </w:rPr>
        <w:t>e current version of the HVNL represents</w:t>
      </w:r>
      <w:r w:rsidR="001B7A3E">
        <w:rPr>
          <w:rFonts w:asciiTheme="minorHAnsi" w:hAnsiTheme="minorHAnsi" w:cs="Arial"/>
          <w:sz w:val="20"/>
          <w:szCs w:val="20"/>
        </w:rPr>
        <w:t xml:space="preserve"> a missed opportunity to do this; it is im</w:t>
      </w:r>
      <w:r w:rsidR="008415BA">
        <w:rPr>
          <w:rFonts w:asciiTheme="minorHAnsi" w:hAnsiTheme="minorHAnsi" w:cs="Arial"/>
          <w:sz w:val="20"/>
          <w:szCs w:val="20"/>
        </w:rPr>
        <w:t xml:space="preserve">portant </w:t>
      </w:r>
      <w:r w:rsidR="001B27CF">
        <w:rPr>
          <w:rFonts w:asciiTheme="minorHAnsi" w:hAnsiTheme="minorHAnsi" w:cs="Arial"/>
          <w:sz w:val="20"/>
          <w:szCs w:val="20"/>
        </w:rPr>
        <w:t xml:space="preserve">that decision-makers do not </w:t>
      </w:r>
      <w:r w:rsidR="008415BA">
        <w:rPr>
          <w:rFonts w:asciiTheme="minorHAnsi" w:hAnsiTheme="minorHAnsi" w:cs="Arial"/>
          <w:sz w:val="20"/>
          <w:szCs w:val="20"/>
        </w:rPr>
        <w:t xml:space="preserve">miss the </w:t>
      </w:r>
      <w:r w:rsidR="001B7A3E">
        <w:rPr>
          <w:rFonts w:asciiTheme="minorHAnsi" w:hAnsiTheme="minorHAnsi" w:cs="Arial"/>
          <w:sz w:val="20"/>
          <w:szCs w:val="20"/>
        </w:rPr>
        <w:t xml:space="preserve">opportunity </w:t>
      </w:r>
      <w:r w:rsidR="00EA0375">
        <w:rPr>
          <w:rFonts w:asciiTheme="minorHAnsi" w:hAnsiTheme="minorHAnsi" w:cs="Arial"/>
          <w:sz w:val="20"/>
          <w:szCs w:val="20"/>
        </w:rPr>
        <w:t xml:space="preserve">to go back and do </w:t>
      </w:r>
      <w:r w:rsidR="001B27CF">
        <w:rPr>
          <w:rFonts w:asciiTheme="minorHAnsi" w:hAnsiTheme="minorHAnsi" w:cs="Arial"/>
          <w:sz w:val="20"/>
          <w:szCs w:val="20"/>
        </w:rPr>
        <w:t xml:space="preserve">it properly </w:t>
      </w:r>
      <w:r w:rsidR="00EA0375">
        <w:rPr>
          <w:rFonts w:asciiTheme="minorHAnsi" w:hAnsiTheme="minorHAnsi" w:cs="Arial"/>
          <w:sz w:val="20"/>
          <w:szCs w:val="20"/>
        </w:rPr>
        <w:t>now</w:t>
      </w:r>
      <w:r w:rsidR="001B7A3E">
        <w:rPr>
          <w:rFonts w:asciiTheme="minorHAnsi" w:hAnsiTheme="minorHAnsi" w:cs="Arial"/>
          <w:sz w:val="20"/>
          <w:szCs w:val="20"/>
        </w:rPr>
        <w:t>.</w:t>
      </w:r>
    </w:p>
    <w:p w:rsidR="00432694" w:rsidRDefault="00432694">
      <w:pPr>
        <w:rPr>
          <w:rFonts w:asciiTheme="minorHAnsi" w:hAnsiTheme="minorHAnsi" w:cs="Arial"/>
          <w:sz w:val="20"/>
          <w:szCs w:val="20"/>
        </w:rPr>
      </w:pPr>
    </w:p>
    <w:p w:rsidR="00EA0375" w:rsidRDefault="00EA0375">
      <w:pPr>
        <w:rPr>
          <w:rFonts w:asciiTheme="minorHAnsi" w:hAnsiTheme="minorHAnsi" w:cs="Arial"/>
          <w:sz w:val="20"/>
          <w:szCs w:val="20"/>
        </w:rPr>
      </w:pPr>
      <w:r>
        <w:rPr>
          <w:rFonts w:asciiTheme="minorHAnsi" w:hAnsiTheme="minorHAnsi" w:cs="Arial"/>
          <w:sz w:val="20"/>
          <w:szCs w:val="20"/>
        </w:rPr>
        <w:lastRenderedPageBreak/>
        <w:t xml:space="preserve">The </w:t>
      </w:r>
      <w:r w:rsidR="002F2AF7">
        <w:rPr>
          <w:rFonts w:asciiTheme="minorHAnsi" w:hAnsiTheme="minorHAnsi" w:cs="Arial"/>
          <w:sz w:val="20"/>
          <w:szCs w:val="20"/>
        </w:rPr>
        <w:t xml:space="preserve">overall </w:t>
      </w:r>
      <w:r>
        <w:rPr>
          <w:rFonts w:asciiTheme="minorHAnsi" w:hAnsiTheme="minorHAnsi" w:cs="Arial"/>
          <w:sz w:val="20"/>
          <w:szCs w:val="20"/>
        </w:rPr>
        <w:t>reform package</w:t>
      </w:r>
      <w:r w:rsidR="0022435C">
        <w:rPr>
          <w:rFonts w:asciiTheme="minorHAnsi" w:hAnsiTheme="minorHAnsi" w:cs="Arial"/>
          <w:sz w:val="20"/>
          <w:szCs w:val="20"/>
        </w:rPr>
        <w:t xml:space="preserve">, including related reforms such as the proposed changes to executive officer liability, </w:t>
      </w:r>
      <w:r>
        <w:rPr>
          <w:rFonts w:asciiTheme="minorHAnsi" w:hAnsiTheme="minorHAnsi" w:cs="Arial"/>
          <w:sz w:val="20"/>
          <w:szCs w:val="20"/>
        </w:rPr>
        <w:t xml:space="preserve">should be validated by a case study analysis that investigates its impact on the compliance obligations of chain parties and the </w:t>
      </w:r>
      <w:r w:rsidR="00DB7CA8">
        <w:rPr>
          <w:rFonts w:asciiTheme="minorHAnsi" w:hAnsiTheme="minorHAnsi" w:cs="Arial"/>
          <w:sz w:val="20"/>
          <w:szCs w:val="20"/>
        </w:rPr>
        <w:t>outcomes of real world prosecutions.</w:t>
      </w:r>
    </w:p>
    <w:p w:rsidR="0048533B" w:rsidRDefault="0048533B" w:rsidP="00432694">
      <w:pPr>
        <w:rPr>
          <w:rFonts w:asciiTheme="minorHAnsi" w:hAnsiTheme="minorHAnsi" w:cs="Arial"/>
          <w:sz w:val="20"/>
          <w:szCs w:val="20"/>
        </w:rPr>
      </w:pPr>
    </w:p>
    <w:p w:rsidR="00DB7CA8" w:rsidRPr="00432694" w:rsidRDefault="00DB7CA8" w:rsidP="00432694">
      <w:pPr>
        <w:rPr>
          <w:rFonts w:asciiTheme="minorHAnsi" w:hAnsiTheme="minorHAnsi" w:cs="Arial"/>
          <w:sz w:val="20"/>
          <w:szCs w:val="20"/>
        </w:rPr>
      </w:pPr>
    </w:p>
    <w:p w:rsidR="00432694" w:rsidRPr="0070164E" w:rsidRDefault="002F2AF7" w:rsidP="00432694">
      <w:pPr>
        <w:keepNext/>
        <w:rPr>
          <w:rFonts w:asciiTheme="minorHAnsi" w:hAnsiTheme="minorHAnsi" w:cs="Arial"/>
          <w:b/>
          <w:sz w:val="20"/>
          <w:szCs w:val="20"/>
        </w:rPr>
      </w:pPr>
      <w:r>
        <w:rPr>
          <w:rFonts w:asciiTheme="minorHAnsi" w:hAnsiTheme="minorHAnsi" w:cs="Arial"/>
          <w:b/>
          <w:sz w:val="20"/>
          <w:szCs w:val="20"/>
        </w:rPr>
        <w:t>R</w:t>
      </w:r>
      <w:r w:rsidR="0070164E" w:rsidRPr="0070164E">
        <w:rPr>
          <w:rFonts w:asciiTheme="minorHAnsi" w:hAnsiTheme="minorHAnsi" w:cs="Arial"/>
          <w:b/>
          <w:sz w:val="20"/>
          <w:szCs w:val="20"/>
        </w:rPr>
        <w:t>ecommendation 8</w:t>
      </w:r>
    </w:p>
    <w:p w:rsidR="00432694" w:rsidRPr="00432694" w:rsidRDefault="00432694" w:rsidP="00432694">
      <w:pPr>
        <w:keepNext/>
        <w:rPr>
          <w:rFonts w:asciiTheme="minorHAnsi" w:hAnsiTheme="minorHAnsi" w:cs="Arial"/>
          <w:b/>
          <w:sz w:val="20"/>
          <w:szCs w:val="20"/>
        </w:rPr>
      </w:pPr>
      <w:r w:rsidRPr="00432694">
        <w:rPr>
          <w:rFonts w:asciiTheme="minorHAnsi" w:hAnsiTheme="minorHAnsi" w:cs="Arial"/>
          <w:b/>
          <w:sz w:val="20"/>
          <w:szCs w:val="20"/>
        </w:rPr>
        <w:t xml:space="preserve"> </w:t>
      </w:r>
    </w:p>
    <w:p w:rsidR="00432694" w:rsidRPr="00432694" w:rsidRDefault="008415BA" w:rsidP="00432694">
      <w:pPr>
        <w:rPr>
          <w:rFonts w:asciiTheme="minorHAnsi" w:hAnsiTheme="minorHAnsi" w:cs="Arial"/>
          <w:b/>
          <w:sz w:val="20"/>
          <w:szCs w:val="20"/>
        </w:rPr>
      </w:pPr>
      <w:r>
        <w:rPr>
          <w:rFonts w:asciiTheme="minorHAnsi" w:hAnsiTheme="minorHAnsi" w:cs="Arial"/>
          <w:b/>
          <w:sz w:val="20"/>
          <w:szCs w:val="20"/>
        </w:rPr>
        <w:t>The reforms to CoR duties should not be rushed</w:t>
      </w:r>
      <w:r w:rsidR="00EA0375">
        <w:rPr>
          <w:rFonts w:asciiTheme="minorHAnsi" w:hAnsiTheme="minorHAnsi" w:cs="Arial"/>
          <w:b/>
          <w:sz w:val="20"/>
          <w:szCs w:val="20"/>
        </w:rPr>
        <w:t>. They</w:t>
      </w:r>
      <w:r>
        <w:rPr>
          <w:rFonts w:asciiTheme="minorHAnsi" w:hAnsiTheme="minorHAnsi" w:cs="Arial"/>
          <w:b/>
          <w:sz w:val="20"/>
          <w:szCs w:val="20"/>
        </w:rPr>
        <w:t xml:space="preserve"> should be </w:t>
      </w:r>
      <w:r w:rsidR="00EA0375">
        <w:rPr>
          <w:rFonts w:asciiTheme="minorHAnsi" w:hAnsiTheme="minorHAnsi" w:cs="Arial"/>
          <w:b/>
          <w:sz w:val="20"/>
          <w:szCs w:val="20"/>
        </w:rPr>
        <w:t xml:space="preserve">considered and </w:t>
      </w:r>
      <w:r>
        <w:rPr>
          <w:rFonts w:asciiTheme="minorHAnsi" w:hAnsiTheme="minorHAnsi" w:cs="Arial"/>
          <w:b/>
          <w:sz w:val="20"/>
          <w:szCs w:val="20"/>
        </w:rPr>
        <w:t>implemented as a package, with any new CoR duties accompanied by a streamlining of the law.</w:t>
      </w:r>
      <w:r w:rsidR="00EA0375">
        <w:rPr>
          <w:rFonts w:asciiTheme="minorHAnsi" w:hAnsiTheme="minorHAnsi" w:cs="Arial"/>
          <w:b/>
          <w:sz w:val="20"/>
          <w:szCs w:val="20"/>
        </w:rPr>
        <w:t xml:space="preserve"> The </w:t>
      </w:r>
      <w:r w:rsidR="0022435C">
        <w:rPr>
          <w:rFonts w:asciiTheme="minorHAnsi" w:hAnsiTheme="minorHAnsi" w:cs="Arial"/>
          <w:b/>
          <w:sz w:val="20"/>
          <w:szCs w:val="20"/>
        </w:rPr>
        <w:t>reform package,</w:t>
      </w:r>
      <w:r w:rsidR="0022435C" w:rsidRPr="0022435C">
        <w:rPr>
          <w:rFonts w:asciiTheme="minorHAnsi" w:hAnsiTheme="minorHAnsi" w:cs="Arial"/>
          <w:b/>
          <w:sz w:val="20"/>
          <w:szCs w:val="20"/>
        </w:rPr>
        <w:t xml:space="preserve"> including related reforms such as the proposed changes</w:t>
      </w:r>
      <w:r w:rsidR="0022435C">
        <w:rPr>
          <w:rFonts w:asciiTheme="minorHAnsi" w:hAnsiTheme="minorHAnsi" w:cs="Arial"/>
          <w:b/>
          <w:sz w:val="20"/>
          <w:szCs w:val="20"/>
        </w:rPr>
        <w:t xml:space="preserve"> to executive officer liability,</w:t>
      </w:r>
      <w:r w:rsidR="0022435C">
        <w:rPr>
          <w:rFonts w:asciiTheme="minorHAnsi" w:hAnsiTheme="minorHAnsi" w:cs="Arial"/>
          <w:sz w:val="20"/>
          <w:szCs w:val="20"/>
        </w:rPr>
        <w:t xml:space="preserve"> </w:t>
      </w:r>
      <w:r w:rsidR="00EA0375">
        <w:rPr>
          <w:rFonts w:asciiTheme="minorHAnsi" w:hAnsiTheme="minorHAnsi" w:cs="Arial"/>
          <w:b/>
          <w:sz w:val="20"/>
          <w:szCs w:val="20"/>
        </w:rPr>
        <w:t>should be validated by a case study analysis that investigates its impact.</w:t>
      </w:r>
    </w:p>
    <w:p w:rsidR="00432694" w:rsidRPr="0032301B" w:rsidRDefault="00432694">
      <w:pPr>
        <w:rPr>
          <w:rFonts w:asciiTheme="minorHAnsi" w:hAnsiTheme="minorHAnsi" w:cs="Arial"/>
          <w:sz w:val="20"/>
          <w:szCs w:val="20"/>
        </w:rPr>
      </w:pPr>
    </w:p>
    <w:sectPr w:rsidR="00432694" w:rsidRPr="0032301B" w:rsidSect="00CE77A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F7" w:rsidRDefault="00F920F7" w:rsidP="000F3D9F">
      <w:r>
        <w:separator/>
      </w:r>
    </w:p>
  </w:endnote>
  <w:endnote w:type="continuationSeparator" w:id="0">
    <w:p w:rsidR="00F920F7" w:rsidRDefault="00F920F7"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62031D" w:rsidRDefault="00F920F7"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F920F7" w:rsidRPr="0062031D" w:rsidRDefault="00F920F7"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F920F7" w:rsidRPr="0062031D" w:rsidRDefault="00F920F7"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F920F7" w:rsidRPr="00E8056B" w:rsidRDefault="00F920F7" w:rsidP="0062031D">
    <w:pPr>
      <w:ind w:right="-426"/>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jc w:val="right"/>
    </w:pPr>
    <w:r>
      <w:fldChar w:fldCharType="begin"/>
    </w:r>
    <w:r>
      <w:instrText xml:space="preserve"> PAGE   \* MERGEFORMAT </w:instrText>
    </w:r>
    <w:r>
      <w:fldChar w:fldCharType="separate"/>
    </w:r>
    <w:r>
      <w:rPr>
        <w:noProof/>
      </w:rPr>
      <w:t>7</w:t>
    </w:r>
    <w:r>
      <w:rPr>
        <w:noProof/>
      </w:rPr>
      <w:fldChar w:fldCharType="end"/>
    </w:r>
  </w:p>
  <w:p w:rsidR="00F920F7" w:rsidRDefault="00F92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5"/>
      <w:gridCol w:w="1983"/>
    </w:tblGrid>
    <w:tr w:rsidR="00F920F7" w:rsidRPr="007C0B37" w:rsidTr="00592D33">
      <w:trPr>
        <w:trHeight w:val="278"/>
      </w:trPr>
      <w:tc>
        <w:tcPr>
          <w:tcW w:w="7655" w:type="dxa"/>
          <w:vAlign w:val="center"/>
        </w:tcPr>
        <w:p w:rsidR="00F920F7" w:rsidRPr="007C0B37" w:rsidRDefault="00F920F7" w:rsidP="003B7E94">
          <w:pPr>
            <w:pStyle w:val="Footer"/>
            <w:rPr>
              <w:rFonts w:asciiTheme="minorHAnsi" w:hAnsiTheme="minorHAnsi" w:cs="Arial"/>
              <w:sz w:val="18"/>
              <w:szCs w:val="18"/>
            </w:rPr>
          </w:pPr>
          <w:r>
            <w:rPr>
              <w:rFonts w:asciiTheme="minorHAnsi" w:hAnsiTheme="minorHAnsi" w:cs="Arial"/>
              <w:sz w:val="18"/>
              <w:szCs w:val="18"/>
            </w:rPr>
            <w:t>ATA submission</w:t>
          </w:r>
          <w:r w:rsidRPr="007C0B37">
            <w:rPr>
              <w:rFonts w:asciiTheme="minorHAnsi" w:hAnsiTheme="minorHAnsi" w:cs="Arial"/>
              <w:sz w:val="18"/>
              <w:szCs w:val="18"/>
            </w:rPr>
            <w:t xml:space="preserve">: </w:t>
          </w:r>
          <w:r>
            <w:rPr>
              <w:rFonts w:asciiTheme="minorHAnsi" w:hAnsiTheme="minorHAnsi" w:cs="Arial"/>
              <w:sz w:val="18"/>
              <w:szCs w:val="18"/>
            </w:rPr>
            <w:t>Chain of responsibility duties review</w:t>
          </w:r>
        </w:p>
      </w:tc>
      <w:tc>
        <w:tcPr>
          <w:tcW w:w="1983" w:type="dxa"/>
        </w:tcPr>
        <w:p w:rsidR="00F920F7" w:rsidRPr="007C0B37" w:rsidRDefault="00F920F7" w:rsidP="007C0B37">
          <w:pPr>
            <w:pStyle w:val="Footer"/>
            <w:jc w:val="right"/>
            <w:rPr>
              <w:rFonts w:asciiTheme="minorHAnsi" w:hAnsiTheme="minorHAnsi" w:cs="Arial"/>
              <w:sz w:val="18"/>
              <w:szCs w:val="18"/>
            </w:rPr>
          </w:pPr>
          <w:r w:rsidRPr="007C0B37">
            <w:rPr>
              <w:rFonts w:asciiTheme="minorHAnsi" w:hAnsiTheme="minorHAnsi" w:cs="Arial"/>
              <w:sz w:val="18"/>
              <w:szCs w:val="18"/>
            </w:rPr>
            <w:t xml:space="preserve">Page </w:t>
          </w:r>
          <w:r w:rsidRPr="007C0B37">
            <w:rPr>
              <w:rFonts w:asciiTheme="minorHAnsi" w:hAnsiTheme="minorHAnsi" w:cs="Arial"/>
              <w:sz w:val="18"/>
              <w:szCs w:val="18"/>
            </w:rPr>
            <w:fldChar w:fldCharType="begin"/>
          </w:r>
          <w:r w:rsidRPr="007C0B37">
            <w:rPr>
              <w:rFonts w:asciiTheme="minorHAnsi" w:hAnsiTheme="minorHAnsi" w:cs="Arial"/>
              <w:sz w:val="18"/>
              <w:szCs w:val="18"/>
            </w:rPr>
            <w:instrText xml:space="preserve"> PAGE   \* MERGEFORMAT </w:instrText>
          </w:r>
          <w:r w:rsidRPr="007C0B37">
            <w:rPr>
              <w:rFonts w:asciiTheme="minorHAnsi" w:hAnsiTheme="minorHAnsi" w:cs="Arial"/>
              <w:sz w:val="18"/>
              <w:szCs w:val="18"/>
            </w:rPr>
            <w:fldChar w:fldCharType="separate"/>
          </w:r>
          <w:r w:rsidR="00560025">
            <w:rPr>
              <w:rFonts w:asciiTheme="minorHAnsi" w:hAnsiTheme="minorHAnsi" w:cs="Arial"/>
              <w:noProof/>
              <w:sz w:val="18"/>
              <w:szCs w:val="18"/>
            </w:rPr>
            <w:t>13</w:t>
          </w:r>
          <w:r w:rsidRPr="007C0B37">
            <w:rPr>
              <w:rFonts w:asciiTheme="minorHAnsi" w:hAnsiTheme="minorHAnsi" w:cs="Arial"/>
              <w:sz w:val="18"/>
              <w:szCs w:val="18"/>
            </w:rPr>
            <w:fldChar w:fldCharType="end"/>
          </w:r>
        </w:p>
      </w:tc>
    </w:tr>
  </w:tbl>
  <w:p w:rsidR="00F920F7" w:rsidRPr="00A91411" w:rsidRDefault="00F920F7">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F7" w:rsidRDefault="00F920F7" w:rsidP="000F3D9F">
      <w:r>
        <w:separator/>
      </w:r>
    </w:p>
  </w:footnote>
  <w:footnote w:type="continuationSeparator" w:id="0">
    <w:p w:rsidR="00F920F7" w:rsidRDefault="00F920F7" w:rsidP="000F3D9F">
      <w:r>
        <w:continuationSeparator/>
      </w:r>
    </w:p>
  </w:footnote>
  <w:footnote w:id="1">
    <w:p w:rsidR="00F920F7" w:rsidRDefault="00F920F7">
      <w:pPr>
        <w:pStyle w:val="FootnoteText"/>
      </w:pPr>
      <w:r>
        <w:rPr>
          <w:rStyle w:val="FootnoteReference"/>
        </w:rPr>
        <w:footnoteRef/>
      </w:r>
      <w:r>
        <w:t xml:space="preserve"> </w:t>
      </w:r>
      <w:r w:rsidRPr="00E3215E">
        <w:rPr>
          <w:sz w:val="18"/>
          <w:szCs w:val="18"/>
        </w:rPr>
        <w:t xml:space="preserve">National Transport Commission, </w:t>
      </w:r>
      <w:r w:rsidRPr="00E3215E">
        <w:rPr>
          <w:i/>
          <w:sz w:val="18"/>
          <w:szCs w:val="18"/>
        </w:rPr>
        <w:t>Chain of responsibility: duties review discussion paper</w:t>
      </w:r>
      <w:r>
        <w:rPr>
          <w:sz w:val="18"/>
          <w:szCs w:val="18"/>
        </w:rPr>
        <w:t>, November 2014, p24</w:t>
      </w:r>
      <w:r w:rsidRPr="00E3215E">
        <w:rPr>
          <w:sz w:val="18"/>
          <w:szCs w:val="18"/>
        </w:rPr>
        <w:t>.</w:t>
      </w:r>
    </w:p>
  </w:footnote>
  <w:footnote w:id="2">
    <w:p w:rsidR="00F920F7" w:rsidRPr="00927A60" w:rsidRDefault="00F920F7">
      <w:pPr>
        <w:pStyle w:val="FootnoteText"/>
        <w:rPr>
          <w:sz w:val="18"/>
          <w:szCs w:val="18"/>
        </w:rPr>
      </w:pPr>
      <w:r w:rsidRPr="00927A60">
        <w:rPr>
          <w:rStyle w:val="FootnoteReference"/>
          <w:sz w:val="18"/>
          <w:szCs w:val="18"/>
        </w:rPr>
        <w:footnoteRef/>
      </w:r>
      <w:r w:rsidRPr="00927A60">
        <w:rPr>
          <w:sz w:val="18"/>
          <w:szCs w:val="18"/>
        </w:rPr>
        <w:t xml:space="preserve"> </w:t>
      </w:r>
      <w:r>
        <w:rPr>
          <w:sz w:val="18"/>
          <w:szCs w:val="18"/>
        </w:rPr>
        <w:t xml:space="preserve">Driscoll, O. </w:t>
      </w:r>
      <w:r>
        <w:rPr>
          <w:i/>
          <w:sz w:val="18"/>
          <w:szCs w:val="18"/>
        </w:rPr>
        <w:t>2013</w:t>
      </w:r>
      <w:r w:rsidRPr="00927A60">
        <w:rPr>
          <w:i/>
          <w:sz w:val="18"/>
          <w:szCs w:val="18"/>
        </w:rPr>
        <w:t xml:space="preserve"> Major Accident Investigation Report</w:t>
      </w:r>
      <w:r>
        <w:rPr>
          <w:sz w:val="18"/>
          <w:szCs w:val="18"/>
        </w:rPr>
        <w:t>, National Truck Accident Research Centre, Brisbane, 2013. pp8-9.</w:t>
      </w:r>
    </w:p>
  </w:footnote>
  <w:footnote w:id="3">
    <w:p w:rsidR="00F920F7" w:rsidRPr="00927A60" w:rsidRDefault="00F920F7">
      <w:pPr>
        <w:pStyle w:val="FootnoteText"/>
        <w:rPr>
          <w:sz w:val="18"/>
          <w:szCs w:val="18"/>
        </w:rPr>
      </w:pPr>
      <w:r w:rsidRPr="00927A60">
        <w:rPr>
          <w:rStyle w:val="FootnoteReference"/>
          <w:sz w:val="18"/>
          <w:szCs w:val="18"/>
        </w:rPr>
        <w:footnoteRef/>
      </w:r>
      <w:r w:rsidRPr="00927A60">
        <w:rPr>
          <w:sz w:val="18"/>
          <w:szCs w:val="18"/>
        </w:rPr>
        <w:t xml:space="preserve"> Gay, D. “Australia’s toughest truck compliance regime brings down speeding by more than 90 per cent,” Media release, 6 July 2014.</w:t>
      </w:r>
    </w:p>
  </w:footnote>
  <w:footnote w:id="4">
    <w:p w:rsidR="00F920F7" w:rsidRPr="00663C65" w:rsidRDefault="00F920F7">
      <w:pPr>
        <w:pStyle w:val="FootnoteText"/>
        <w:rPr>
          <w:sz w:val="18"/>
          <w:szCs w:val="18"/>
        </w:rPr>
      </w:pPr>
      <w:r>
        <w:rPr>
          <w:rStyle w:val="FootnoteReference"/>
        </w:rPr>
        <w:footnoteRef/>
      </w:r>
      <w:r>
        <w:t xml:space="preserve"> </w:t>
      </w:r>
      <w:r>
        <w:rPr>
          <w:sz w:val="18"/>
          <w:szCs w:val="18"/>
        </w:rPr>
        <w:t xml:space="preserve">Bureau of Infrastructure, Transport and Regional Economics (BITRE), </w:t>
      </w:r>
      <w:r w:rsidRPr="00663C65">
        <w:rPr>
          <w:i/>
          <w:sz w:val="18"/>
          <w:szCs w:val="18"/>
        </w:rPr>
        <w:t>Impact of road trauma and measures to improve outcomes</w:t>
      </w:r>
      <w:r>
        <w:rPr>
          <w:sz w:val="18"/>
          <w:szCs w:val="18"/>
        </w:rPr>
        <w:t>, Report 140, December 2014, p17.</w:t>
      </w:r>
    </w:p>
  </w:footnote>
  <w:footnote w:id="5">
    <w:p w:rsidR="00F920F7" w:rsidRDefault="00F920F7" w:rsidP="00A90A7E">
      <w:pPr>
        <w:pStyle w:val="FootnoteText"/>
      </w:pPr>
      <w:r>
        <w:rPr>
          <w:rStyle w:val="FootnoteReference"/>
        </w:rPr>
        <w:footnoteRef/>
      </w:r>
      <w:r>
        <w:t xml:space="preserve"> </w:t>
      </w:r>
      <w:r w:rsidRPr="0069313B">
        <w:rPr>
          <w:sz w:val="18"/>
          <w:szCs w:val="18"/>
        </w:rPr>
        <w:t xml:space="preserve">See </w:t>
      </w:r>
      <w:r>
        <w:rPr>
          <w:sz w:val="18"/>
          <w:szCs w:val="18"/>
        </w:rPr>
        <w:t xml:space="preserve">ATA, </w:t>
      </w:r>
      <w:r w:rsidRPr="003F600B">
        <w:rPr>
          <w:i/>
          <w:sz w:val="18"/>
          <w:szCs w:val="18"/>
        </w:rPr>
        <w:t>Heavy vehicle roadworthiness review – phase 2 integrity review</w:t>
      </w:r>
      <w:r>
        <w:rPr>
          <w:sz w:val="18"/>
          <w:szCs w:val="18"/>
        </w:rPr>
        <w:t xml:space="preserve"> (submission to the NTC and NHVR), September 2014, p8.</w:t>
      </w:r>
    </w:p>
  </w:footnote>
  <w:footnote w:id="6">
    <w:p w:rsidR="00F920F7" w:rsidRPr="003C351E" w:rsidRDefault="00F920F7" w:rsidP="00A90A7E">
      <w:pPr>
        <w:pStyle w:val="FootnoteText"/>
        <w:rPr>
          <w:sz w:val="18"/>
          <w:szCs w:val="18"/>
        </w:rPr>
      </w:pPr>
      <w:r w:rsidRPr="003C351E">
        <w:rPr>
          <w:rStyle w:val="FootnoteReference"/>
          <w:sz w:val="18"/>
          <w:szCs w:val="18"/>
        </w:rPr>
        <w:footnoteRef/>
      </w:r>
      <w:r w:rsidRPr="003C351E">
        <w:rPr>
          <w:sz w:val="18"/>
          <w:szCs w:val="18"/>
        </w:rPr>
        <w:t xml:space="preserve"> </w:t>
      </w:r>
      <w:r w:rsidRPr="003C351E">
        <w:rPr>
          <w:i/>
          <w:sz w:val="18"/>
          <w:szCs w:val="18"/>
        </w:rPr>
        <w:t>Finding of inquest-John Posnakidis</w:t>
      </w:r>
      <w:r w:rsidRPr="003C351E">
        <w:rPr>
          <w:sz w:val="18"/>
          <w:szCs w:val="18"/>
        </w:rPr>
        <w:t xml:space="preserve"> (12 January 2015); </w:t>
      </w:r>
      <w:r w:rsidRPr="003C351E">
        <w:rPr>
          <w:i/>
          <w:sz w:val="18"/>
          <w:szCs w:val="18"/>
        </w:rPr>
        <w:t xml:space="preserve">Finding of inquest-James William Venning </w:t>
      </w:r>
      <w:r w:rsidRPr="003C351E">
        <w:rPr>
          <w:sz w:val="18"/>
          <w:szCs w:val="18"/>
        </w:rPr>
        <w:t>(12 January 2015)</w:t>
      </w:r>
      <w:r>
        <w:rPr>
          <w:sz w:val="18"/>
          <w:szCs w:val="18"/>
        </w:rPr>
        <w:t>. Available at &lt;</w:t>
      </w:r>
      <w:hyperlink r:id="rId1" w:history="1">
        <w:r w:rsidRPr="003C351E">
          <w:rPr>
            <w:rStyle w:val="Hyperlink"/>
            <w:sz w:val="18"/>
            <w:szCs w:val="18"/>
          </w:rPr>
          <w:t>www.courts.sa.gov.au/CoronersFindings/Pages/default.aspx</w:t>
        </w:r>
      </w:hyperlink>
      <w:r>
        <w:rPr>
          <w:sz w:val="18"/>
          <w:szCs w:val="18"/>
        </w:rPr>
        <w:t>&gt;. Viewed 20 January 2015.</w:t>
      </w:r>
    </w:p>
  </w:footnote>
  <w:footnote w:id="7">
    <w:p w:rsidR="00F920F7" w:rsidRPr="00927A60" w:rsidRDefault="00F920F7">
      <w:pPr>
        <w:pStyle w:val="FootnoteText"/>
        <w:rPr>
          <w:sz w:val="18"/>
          <w:szCs w:val="18"/>
        </w:rPr>
      </w:pPr>
      <w:r w:rsidRPr="00927A60">
        <w:rPr>
          <w:rStyle w:val="FootnoteReference"/>
          <w:sz w:val="18"/>
          <w:szCs w:val="18"/>
        </w:rPr>
        <w:footnoteRef/>
      </w:r>
      <w:r w:rsidRPr="00927A60">
        <w:rPr>
          <w:sz w:val="18"/>
          <w:szCs w:val="18"/>
        </w:rPr>
        <w:t xml:space="preserve"> NTC, p14</w:t>
      </w:r>
      <w:r>
        <w:rPr>
          <w:sz w:val="18"/>
          <w:szCs w:val="18"/>
        </w:rPr>
        <w:t>.</w:t>
      </w:r>
    </w:p>
  </w:footnote>
  <w:footnote w:id="8">
    <w:p w:rsidR="00F920F7" w:rsidRPr="00FF510C" w:rsidRDefault="00F920F7">
      <w:pPr>
        <w:pStyle w:val="FootnoteText"/>
        <w:rPr>
          <w:sz w:val="18"/>
          <w:szCs w:val="18"/>
        </w:rPr>
      </w:pPr>
      <w:r w:rsidRPr="00FF510C">
        <w:rPr>
          <w:rStyle w:val="FootnoteReference"/>
          <w:sz w:val="18"/>
          <w:szCs w:val="18"/>
        </w:rPr>
        <w:footnoteRef/>
      </w:r>
      <w:r w:rsidRPr="00FF510C">
        <w:rPr>
          <w:sz w:val="18"/>
          <w:szCs w:val="18"/>
        </w:rPr>
        <w:t xml:space="preserve"> </w:t>
      </w:r>
      <w:r w:rsidRPr="0069313B">
        <w:rPr>
          <w:i/>
          <w:sz w:val="18"/>
          <w:szCs w:val="18"/>
        </w:rPr>
        <w:t>Bimson,</w:t>
      </w:r>
      <w:r w:rsidRPr="00FF510C">
        <w:rPr>
          <w:sz w:val="18"/>
          <w:szCs w:val="18"/>
        </w:rPr>
        <w:t xml:space="preserve"> </w:t>
      </w:r>
      <w:r w:rsidRPr="00FF510C">
        <w:rPr>
          <w:i/>
          <w:sz w:val="18"/>
          <w:szCs w:val="18"/>
        </w:rPr>
        <w:t xml:space="preserve">Roads and Maritime Services v Damorange Pty Ltd </w:t>
      </w:r>
      <w:r w:rsidRPr="00CA039F">
        <w:rPr>
          <w:sz w:val="18"/>
          <w:szCs w:val="18"/>
        </w:rPr>
        <w:t xml:space="preserve">[2014] NSWSC 734 </w:t>
      </w:r>
      <w:r w:rsidRPr="00FF510C">
        <w:rPr>
          <w:sz w:val="18"/>
          <w:szCs w:val="18"/>
        </w:rPr>
        <w:t>at par 91.</w:t>
      </w:r>
    </w:p>
  </w:footnote>
  <w:footnote w:id="9">
    <w:p w:rsidR="00F920F7" w:rsidRDefault="00F920F7">
      <w:pPr>
        <w:pStyle w:val="FootnoteText"/>
      </w:pPr>
      <w:r>
        <w:rPr>
          <w:rStyle w:val="FootnoteReference"/>
        </w:rPr>
        <w:footnoteRef/>
      </w:r>
      <w:r>
        <w:t xml:space="preserve"> </w:t>
      </w:r>
      <w:r w:rsidRPr="00F920F7">
        <w:rPr>
          <w:sz w:val="18"/>
          <w:szCs w:val="18"/>
        </w:rPr>
        <w:t>Bluff, p26.</w:t>
      </w:r>
    </w:p>
  </w:footnote>
  <w:footnote w:id="10">
    <w:p w:rsidR="00F920F7" w:rsidRPr="00AF513D" w:rsidRDefault="00F920F7">
      <w:pPr>
        <w:pStyle w:val="FootnoteText"/>
        <w:rPr>
          <w:sz w:val="18"/>
          <w:szCs w:val="18"/>
        </w:rPr>
      </w:pPr>
      <w:r>
        <w:rPr>
          <w:rStyle w:val="FootnoteReference"/>
        </w:rPr>
        <w:footnoteRef/>
      </w:r>
      <w:r>
        <w:t xml:space="preserve"> </w:t>
      </w:r>
      <w:r>
        <w:rPr>
          <w:sz w:val="18"/>
          <w:szCs w:val="18"/>
        </w:rPr>
        <w:t>NTC, p17.</w:t>
      </w:r>
    </w:p>
  </w:footnote>
  <w:footnote w:id="11">
    <w:p w:rsidR="00F920F7" w:rsidRPr="00A02213" w:rsidRDefault="00F920F7">
      <w:pPr>
        <w:pStyle w:val="FootnoteText"/>
        <w:rPr>
          <w:sz w:val="18"/>
          <w:szCs w:val="18"/>
        </w:rPr>
      </w:pPr>
      <w:r>
        <w:rPr>
          <w:rStyle w:val="FootnoteReference"/>
        </w:rPr>
        <w:footnoteRef/>
      </w:r>
      <w:r>
        <w:t xml:space="preserve"> </w:t>
      </w:r>
      <w:r>
        <w:rPr>
          <w:sz w:val="18"/>
          <w:szCs w:val="18"/>
        </w:rPr>
        <w:t>NTC, p17.</w:t>
      </w:r>
    </w:p>
  </w:footnote>
  <w:footnote w:id="12">
    <w:p w:rsidR="00F920F7" w:rsidRDefault="00F920F7">
      <w:pPr>
        <w:pStyle w:val="FootnoteText"/>
      </w:pPr>
      <w:r>
        <w:rPr>
          <w:rStyle w:val="FootnoteReference"/>
        </w:rPr>
        <w:footnoteRef/>
      </w:r>
      <w:r>
        <w:t xml:space="preserve"> </w:t>
      </w:r>
      <w:r w:rsidRPr="00A02213">
        <w:rPr>
          <w:sz w:val="18"/>
          <w:szCs w:val="18"/>
        </w:rPr>
        <w:t>NTC, p17.</w:t>
      </w:r>
    </w:p>
  </w:footnote>
  <w:footnote w:id="13">
    <w:p w:rsidR="00F920F7" w:rsidRDefault="00F920F7">
      <w:pPr>
        <w:pStyle w:val="FootnoteText"/>
      </w:pPr>
      <w:r>
        <w:rPr>
          <w:rStyle w:val="FootnoteReference"/>
        </w:rPr>
        <w:footnoteRef/>
      </w:r>
      <w:r>
        <w:t xml:space="preserve"> </w:t>
      </w:r>
      <w:r w:rsidRPr="00DC6E6F">
        <w:rPr>
          <w:sz w:val="18"/>
          <w:szCs w:val="18"/>
        </w:rPr>
        <w:t>NTC, p19.</w:t>
      </w:r>
    </w:p>
  </w:footnote>
  <w:footnote w:id="14">
    <w:p w:rsidR="00F920F7" w:rsidRPr="005A5571" w:rsidRDefault="00F920F7">
      <w:pPr>
        <w:pStyle w:val="FootnoteText"/>
        <w:rPr>
          <w:sz w:val="18"/>
          <w:szCs w:val="18"/>
        </w:rPr>
      </w:pPr>
      <w:r w:rsidRPr="005A5571">
        <w:rPr>
          <w:rStyle w:val="FootnoteReference"/>
          <w:sz w:val="18"/>
          <w:szCs w:val="18"/>
        </w:rPr>
        <w:footnoteRef/>
      </w:r>
      <w:r w:rsidRPr="005A5571">
        <w:rPr>
          <w:sz w:val="18"/>
          <w:szCs w:val="18"/>
        </w:rPr>
        <w:t xml:space="preserve"> NTC, p21</w:t>
      </w:r>
      <w:r>
        <w:rPr>
          <w:sz w:val="18"/>
          <w:szCs w:val="18"/>
        </w:rPr>
        <w:t>.</w:t>
      </w:r>
    </w:p>
  </w:footnote>
  <w:footnote w:id="15">
    <w:p w:rsidR="00F920F7" w:rsidRPr="005A5571" w:rsidRDefault="00F920F7">
      <w:pPr>
        <w:pStyle w:val="FootnoteText"/>
        <w:rPr>
          <w:sz w:val="18"/>
          <w:szCs w:val="18"/>
        </w:rPr>
      </w:pPr>
      <w:r w:rsidRPr="005A5571">
        <w:rPr>
          <w:rStyle w:val="FootnoteReference"/>
          <w:sz w:val="18"/>
          <w:szCs w:val="18"/>
        </w:rPr>
        <w:footnoteRef/>
      </w:r>
      <w:r w:rsidRPr="005A5571">
        <w:rPr>
          <w:sz w:val="18"/>
          <w:szCs w:val="18"/>
        </w:rPr>
        <w:t xml:space="preserve"> NTC, p21</w:t>
      </w:r>
      <w:r>
        <w:rPr>
          <w:sz w:val="18"/>
          <w:szCs w:val="18"/>
        </w:rPr>
        <w:t>.</w:t>
      </w:r>
    </w:p>
  </w:footnote>
  <w:footnote w:id="16">
    <w:p w:rsidR="00F920F7" w:rsidRPr="004E7510" w:rsidRDefault="00F920F7">
      <w:pPr>
        <w:pStyle w:val="FootnoteText"/>
        <w:rPr>
          <w:sz w:val="18"/>
          <w:szCs w:val="18"/>
        </w:rPr>
      </w:pPr>
      <w:r w:rsidRPr="004E7510">
        <w:rPr>
          <w:rStyle w:val="FootnoteReference"/>
          <w:sz w:val="18"/>
          <w:szCs w:val="18"/>
        </w:rPr>
        <w:footnoteRef/>
      </w:r>
      <w:r w:rsidRPr="004E7510">
        <w:rPr>
          <w:sz w:val="18"/>
          <w:szCs w:val="18"/>
        </w:rPr>
        <w:t xml:space="preserve"> Office of Parliamentary Counsel (Cwlth), </w:t>
      </w:r>
      <w:r w:rsidRPr="004E7510">
        <w:rPr>
          <w:i/>
          <w:sz w:val="18"/>
          <w:szCs w:val="18"/>
        </w:rPr>
        <w:t>Reducing complexity in legislation</w:t>
      </w:r>
      <w:r w:rsidRPr="004E7510">
        <w:rPr>
          <w:sz w:val="18"/>
          <w:szCs w:val="18"/>
        </w:rPr>
        <w:t>, 2011, p8.</w:t>
      </w:r>
    </w:p>
  </w:footnote>
  <w:footnote w:id="17">
    <w:p w:rsidR="00F920F7" w:rsidRDefault="00F920F7">
      <w:pPr>
        <w:pStyle w:val="FootnoteText"/>
      </w:pPr>
      <w:r>
        <w:rPr>
          <w:rStyle w:val="FootnoteReference"/>
        </w:rPr>
        <w:footnoteRef/>
      </w:r>
      <w:r>
        <w:t xml:space="preserve"> </w:t>
      </w:r>
      <w:r w:rsidRPr="004E7510">
        <w:rPr>
          <w:sz w:val="18"/>
          <w:szCs w:val="18"/>
        </w:rPr>
        <w:t xml:space="preserve">See </w:t>
      </w:r>
      <w:r>
        <w:rPr>
          <w:sz w:val="18"/>
          <w:szCs w:val="18"/>
        </w:rPr>
        <w:t xml:space="preserve">ATA, </w:t>
      </w:r>
      <w:r w:rsidRPr="003F600B">
        <w:rPr>
          <w:i/>
          <w:sz w:val="18"/>
          <w:szCs w:val="18"/>
        </w:rPr>
        <w:t>Heavy Vehicle National Law Bill 2012</w:t>
      </w:r>
      <w:r>
        <w:rPr>
          <w:sz w:val="18"/>
          <w:szCs w:val="18"/>
        </w:rPr>
        <w:t xml:space="preserve"> (submission to the Queensland Parliamentary Transport and Local Government Committee), August 2012, p4 and ATA, </w:t>
      </w:r>
      <w:r w:rsidRPr="003F600B">
        <w:rPr>
          <w:i/>
          <w:sz w:val="18"/>
          <w:szCs w:val="18"/>
        </w:rPr>
        <w:t>Heavy vehicle roadworthiness review – phase 2 integrity review</w:t>
      </w:r>
      <w:r>
        <w:rPr>
          <w:sz w:val="18"/>
          <w:szCs w:val="18"/>
        </w:rPr>
        <w:t xml:space="preserve"> (submission to the NTC and NHVR), September 2014, p8.</w:t>
      </w:r>
    </w:p>
  </w:footnote>
  <w:footnote w:id="18">
    <w:p w:rsidR="00F920F7" w:rsidRPr="00FD0A57" w:rsidRDefault="00F920F7">
      <w:pPr>
        <w:pStyle w:val="FootnoteText"/>
        <w:rPr>
          <w:sz w:val="18"/>
          <w:szCs w:val="18"/>
        </w:rPr>
      </w:pPr>
      <w:r>
        <w:rPr>
          <w:rStyle w:val="FootnoteReference"/>
        </w:rPr>
        <w:footnoteRef/>
      </w:r>
      <w:r>
        <w:t xml:space="preserve"> </w:t>
      </w:r>
      <w:r>
        <w:rPr>
          <w:sz w:val="18"/>
          <w:szCs w:val="18"/>
        </w:rPr>
        <w:t>NTC, p21.</w:t>
      </w:r>
    </w:p>
  </w:footnote>
  <w:footnote w:id="19">
    <w:p w:rsidR="00F920F7" w:rsidRPr="005732EC" w:rsidRDefault="00F920F7">
      <w:pPr>
        <w:pStyle w:val="FootnoteText"/>
        <w:rPr>
          <w:sz w:val="18"/>
          <w:szCs w:val="18"/>
        </w:rPr>
      </w:pPr>
      <w:r w:rsidRPr="005732EC">
        <w:rPr>
          <w:rStyle w:val="FootnoteReference"/>
          <w:sz w:val="18"/>
          <w:szCs w:val="18"/>
        </w:rPr>
        <w:footnoteRef/>
      </w:r>
      <w:r w:rsidRPr="005732EC">
        <w:rPr>
          <w:sz w:val="18"/>
          <w:szCs w:val="18"/>
        </w:rPr>
        <w:t xml:space="preserve"> s618. Alternatively, the person could seek to prove there were no steps the</w:t>
      </w:r>
      <w:r>
        <w:rPr>
          <w:sz w:val="18"/>
          <w:szCs w:val="18"/>
        </w:rPr>
        <w:t>y</w:t>
      </w:r>
      <w:r w:rsidRPr="005732EC">
        <w:rPr>
          <w:sz w:val="18"/>
          <w:szCs w:val="18"/>
        </w:rPr>
        <w:t xml:space="preserve"> could reasonably </w:t>
      </w:r>
      <w:r>
        <w:rPr>
          <w:sz w:val="18"/>
          <w:szCs w:val="18"/>
        </w:rPr>
        <w:t>be</w:t>
      </w:r>
      <w:r w:rsidRPr="005732EC">
        <w:rPr>
          <w:sz w:val="18"/>
          <w:szCs w:val="18"/>
        </w:rPr>
        <w:t xml:space="preserve"> expected to have taken to prevent the </w:t>
      </w:r>
      <w:r>
        <w:rPr>
          <w:sz w:val="18"/>
          <w:szCs w:val="18"/>
        </w:rPr>
        <w:t>contravention</w:t>
      </w:r>
      <w:r w:rsidRPr="005732EC">
        <w:rPr>
          <w:sz w:val="18"/>
          <w:szCs w:val="18"/>
        </w:rPr>
        <w:t>.</w:t>
      </w:r>
    </w:p>
  </w:footnote>
  <w:footnote w:id="20">
    <w:p w:rsidR="00F920F7" w:rsidRPr="00C40E57" w:rsidRDefault="00F920F7">
      <w:pPr>
        <w:pStyle w:val="FootnoteText"/>
        <w:rPr>
          <w:sz w:val="18"/>
          <w:szCs w:val="18"/>
        </w:rPr>
      </w:pPr>
      <w:r w:rsidRPr="00C40E57">
        <w:rPr>
          <w:rStyle w:val="FootnoteReference"/>
          <w:sz w:val="18"/>
          <w:szCs w:val="18"/>
        </w:rPr>
        <w:footnoteRef/>
      </w:r>
      <w:r w:rsidRPr="00C40E57">
        <w:rPr>
          <w:sz w:val="18"/>
          <w:szCs w:val="18"/>
        </w:rPr>
        <w:t xml:space="preserve"> </w:t>
      </w:r>
      <w:r w:rsidRPr="00C40E57">
        <w:rPr>
          <w:i/>
          <w:sz w:val="18"/>
          <w:szCs w:val="18"/>
        </w:rPr>
        <w:t>Edwards v National Coal Board</w:t>
      </w:r>
      <w:r w:rsidRPr="00C40E57">
        <w:rPr>
          <w:sz w:val="18"/>
          <w:szCs w:val="18"/>
        </w:rPr>
        <w:t xml:space="preserve"> [1949] 1 KB 704</w:t>
      </w:r>
      <w:r>
        <w:rPr>
          <w:sz w:val="18"/>
          <w:szCs w:val="18"/>
        </w:rPr>
        <w:t>.</w:t>
      </w:r>
    </w:p>
  </w:footnote>
  <w:footnote w:id="21">
    <w:p w:rsidR="00F920F7" w:rsidRPr="0020076C" w:rsidRDefault="00F920F7" w:rsidP="0020079C">
      <w:pPr>
        <w:pStyle w:val="FootnoteText"/>
        <w:rPr>
          <w:sz w:val="18"/>
          <w:szCs w:val="18"/>
        </w:rPr>
      </w:pPr>
      <w:r w:rsidRPr="0020076C">
        <w:rPr>
          <w:rStyle w:val="FootnoteReference"/>
          <w:sz w:val="18"/>
          <w:szCs w:val="18"/>
        </w:rPr>
        <w:footnoteRef/>
      </w:r>
      <w:r w:rsidRPr="0020076C">
        <w:rPr>
          <w:sz w:val="18"/>
          <w:szCs w:val="18"/>
        </w:rPr>
        <w:t xml:space="preserve"> Hatcher, A. </w:t>
      </w:r>
      <w:r w:rsidRPr="0020076C">
        <w:rPr>
          <w:i/>
          <w:sz w:val="18"/>
          <w:szCs w:val="18"/>
        </w:rPr>
        <w:t>Review of regulatory approaches to transport safety law</w:t>
      </w:r>
      <w:r w:rsidRPr="0020076C">
        <w:rPr>
          <w:sz w:val="18"/>
          <w:szCs w:val="18"/>
        </w:rPr>
        <w:t>, 2008. p35.</w:t>
      </w:r>
    </w:p>
  </w:footnote>
  <w:footnote w:id="22">
    <w:p w:rsidR="00F920F7" w:rsidRPr="002B5331" w:rsidRDefault="00F920F7">
      <w:pPr>
        <w:pStyle w:val="FootnoteText"/>
        <w:rPr>
          <w:sz w:val="18"/>
          <w:szCs w:val="18"/>
        </w:rPr>
      </w:pPr>
      <w:r w:rsidRPr="002B5331">
        <w:rPr>
          <w:rStyle w:val="FootnoteReference"/>
          <w:sz w:val="18"/>
          <w:szCs w:val="18"/>
        </w:rPr>
        <w:footnoteRef/>
      </w:r>
      <w:r w:rsidRPr="002B5331">
        <w:rPr>
          <w:sz w:val="18"/>
          <w:szCs w:val="18"/>
        </w:rPr>
        <w:t xml:space="preserve"> Schedule 1</w:t>
      </w:r>
      <w:r>
        <w:rPr>
          <w:sz w:val="18"/>
          <w:szCs w:val="18"/>
        </w:rPr>
        <w:t>, s10</w:t>
      </w:r>
      <w:r w:rsidRPr="002B5331">
        <w:rPr>
          <w:sz w:val="18"/>
          <w:szCs w:val="18"/>
        </w:rPr>
        <w:t xml:space="preserve"> explains how examples in the </w:t>
      </w:r>
      <w:r>
        <w:rPr>
          <w:sz w:val="18"/>
          <w:szCs w:val="18"/>
        </w:rPr>
        <w:t xml:space="preserve">HVNL </w:t>
      </w:r>
      <w:r w:rsidRPr="002B5331">
        <w:rPr>
          <w:sz w:val="18"/>
          <w:szCs w:val="18"/>
        </w:rPr>
        <w:t xml:space="preserve">are </w:t>
      </w:r>
      <w:r>
        <w:rPr>
          <w:sz w:val="18"/>
          <w:szCs w:val="18"/>
        </w:rPr>
        <w:t xml:space="preserve">to be </w:t>
      </w:r>
      <w:r w:rsidRPr="002B5331">
        <w:rPr>
          <w:sz w:val="18"/>
          <w:szCs w:val="18"/>
        </w:rPr>
        <w:t>interpreted.</w:t>
      </w:r>
    </w:p>
  </w:footnote>
  <w:footnote w:id="23">
    <w:p w:rsidR="00F920F7" w:rsidRPr="00FA4F66" w:rsidRDefault="00F920F7">
      <w:pPr>
        <w:pStyle w:val="FootnoteText"/>
        <w:rPr>
          <w:sz w:val="18"/>
          <w:szCs w:val="18"/>
        </w:rPr>
      </w:pPr>
      <w:r w:rsidRPr="00FA4F66">
        <w:rPr>
          <w:rStyle w:val="FootnoteReference"/>
          <w:sz w:val="18"/>
          <w:szCs w:val="18"/>
        </w:rPr>
        <w:footnoteRef/>
      </w:r>
      <w:r w:rsidRPr="00FA4F66">
        <w:rPr>
          <w:sz w:val="18"/>
          <w:szCs w:val="18"/>
        </w:rPr>
        <w:t xml:space="preserve"> Dunn, C. et al, </w:t>
      </w:r>
      <w:r w:rsidRPr="00FA4F66">
        <w:rPr>
          <w:i/>
          <w:sz w:val="18"/>
          <w:szCs w:val="18"/>
        </w:rPr>
        <w:t>Australian Master Work Health and Safety Guide</w:t>
      </w:r>
      <w:r w:rsidRPr="00FA4F66">
        <w:rPr>
          <w:sz w:val="18"/>
          <w:szCs w:val="18"/>
        </w:rPr>
        <w:t>, 2nd edition. CCH, North Ryde, pp79-80.</w:t>
      </w:r>
    </w:p>
  </w:footnote>
  <w:footnote w:id="24">
    <w:p w:rsidR="00F920F7" w:rsidRDefault="00F920F7" w:rsidP="009E18EF">
      <w:pPr>
        <w:pStyle w:val="FootnoteText"/>
      </w:pPr>
      <w:r>
        <w:rPr>
          <w:rStyle w:val="FootnoteReference"/>
        </w:rPr>
        <w:footnoteRef/>
      </w:r>
      <w:r>
        <w:t xml:space="preserve"> </w:t>
      </w:r>
      <w:r>
        <w:rPr>
          <w:sz w:val="18"/>
          <w:szCs w:val="18"/>
        </w:rPr>
        <w:t>NTC</w:t>
      </w:r>
      <w:r w:rsidR="002F2AF7">
        <w:rPr>
          <w:sz w:val="18"/>
          <w:szCs w:val="18"/>
        </w:rPr>
        <w:t>, p24</w:t>
      </w:r>
      <w:r w:rsidRPr="00E3215E">
        <w:rPr>
          <w:sz w:val="18"/>
          <w:szCs w:val="18"/>
        </w:rPr>
        <w:t>.</w:t>
      </w:r>
    </w:p>
  </w:footnote>
  <w:footnote w:id="25">
    <w:p w:rsidR="00F920F7" w:rsidRPr="00432694" w:rsidRDefault="00F920F7">
      <w:pPr>
        <w:pStyle w:val="FootnoteText"/>
        <w:rPr>
          <w:rFonts w:asciiTheme="minorHAnsi" w:hAnsiTheme="minorHAnsi"/>
          <w:sz w:val="18"/>
          <w:szCs w:val="18"/>
        </w:rPr>
      </w:pPr>
      <w:r w:rsidRPr="00432694">
        <w:rPr>
          <w:rStyle w:val="FootnoteReference"/>
          <w:rFonts w:asciiTheme="minorHAnsi" w:hAnsiTheme="minorHAnsi"/>
          <w:sz w:val="18"/>
          <w:szCs w:val="18"/>
        </w:rPr>
        <w:footnoteRef/>
      </w:r>
      <w:r w:rsidRPr="00432694">
        <w:rPr>
          <w:rFonts w:asciiTheme="minorHAnsi" w:hAnsiTheme="minorHAnsi"/>
          <w:sz w:val="18"/>
          <w:szCs w:val="18"/>
        </w:rPr>
        <w:t xml:space="preserve"> Chain of Responsibility Taskforce, </w:t>
      </w:r>
      <w:r w:rsidRPr="00432694">
        <w:rPr>
          <w:rFonts w:asciiTheme="minorHAnsi" w:hAnsiTheme="minorHAnsi"/>
          <w:i/>
          <w:sz w:val="18"/>
          <w:szCs w:val="18"/>
        </w:rPr>
        <w:t>Chain of responsibility review taskforce report</w:t>
      </w:r>
      <w:r w:rsidRPr="00432694">
        <w:rPr>
          <w:rFonts w:asciiTheme="minorHAnsi" w:hAnsiTheme="minorHAnsi"/>
          <w:sz w:val="18"/>
          <w:szCs w:val="18"/>
        </w:rPr>
        <w:t>, June 2014, p25.</w:t>
      </w:r>
    </w:p>
  </w:footnote>
  <w:footnote w:id="26">
    <w:p w:rsidR="00F920F7" w:rsidRPr="008D4AD3" w:rsidRDefault="00F920F7">
      <w:pPr>
        <w:pStyle w:val="FootnoteText"/>
        <w:rPr>
          <w:sz w:val="18"/>
          <w:szCs w:val="18"/>
        </w:rPr>
      </w:pPr>
      <w:r w:rsidRPr="008D4AD3">
        <w:rPr>
          <w:rStyle w:val="FootnoteReference"/>
          <w:sz w:val="18"/>
          <w:szCs w:val="18"/>
        </w:rPr>
        <w:footnoteRef/>
      </w:r>
      <w:r w:rsidRPr="008D4AD3">
        <w:rPr>
          <w:sz w:val="18"/>
          <w:szCs w:val="18"/>
        </w:rPr>
        <w:t xml:space="preserve"> CoR Taskforce, p71.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E8056B" w:rsidRDefault="00F920F7"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F920F7" w:rsidRDefault="00F92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Pr="0062031D" w:rsidRDefault="00F920F7"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F920F7" w:rsidRPr="0062031D" w:rsidRDefault="00F920F7" w:rsidP="0062031D">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F7" w:rsidRDefault="00F92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67E"/>
    <w:multiLevelType w:val="hybridMultilevel"/>
    <w:tmpl w:val="7440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8502F"/>
    <w:multiLevelType w:val="hybridMultilevel"/>
    <w:tmpl w:val="C40A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7E5EEC"/>
    <w:multiLevelType w:val="hybridMultilevel"/>
    <w:tmpl w:val="93A0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66DD9"/>
    <w:multiLevelType w:val="hybridMultilevel"/>
    <w:tmpl w:val="6E0A113C"/>
    <w:lvl w:ilvl="0" w:tplc="715C62BE">
      <w:numFmt w:val="bullet"/>
      <w:lvlText w:val=""/>
      <w:lvlJc w:val="left"/>
      <w:pPr>
        <w:ind w:left="849" w:hanging="492"/>
      </w:pPr>
      <w:rPr>
        <w:rFonts w:ascii="Symbol" w:eastAsia="Calibri"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35A40D25"/>
    <w:multiLevelType w:val="hybridMultilevel"/>
    <w:tmpl w:val="D98C5B3E"/>
    <w:lvl w:ilvl="0" w:tplc="950A1A92">
      <w:start w:val="1"/>
      <w:numFmt w:val="lowerRoman"/>
      <w:lvlText w:val="(%1)"/>
      <w:lvlJc w:val="left"/>
      <w:pPr>
        <w:ind w:left="2804" w:hanging="720"/>
      </w:pPr>
      <w:rPr>
        <w:rFonts w:hint="default"/>
      </w:rPr>
    </w:lvl>
    <w:lvl w:ilvl="1" w:tplc="0C090019" w:tentative="1">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5">
    <w:nsid w:val="36E40A43"/>
    <w:multiLevelType w:val="hybridMultilevel"/>
    <w:tmpl w:val="C80A9FF6"/>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B30971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3221B5"/>
    <w:multiLevelType w:val="hybridMultilevel"/>
    <w:tmpl w:val="A64E9A46"/>
    <w:lvl w:ilvl="0" w:tplc="1F5C929A">
      <w:start w:val="1"/>
      <w:numFmt w:val="bullet"/>
      <w:pStyle w:val="Table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5D554ED9"/>
    <w:multiLevelType w:val="multilevel"/>
    <w:tmpl w:val="A4640850"/>
    <w:lvl w:ilvl="0">
      <w:start w:val="1"/>
      <w:numFmt w:val="decimal"/>
      <w:pStyle w:val="Heading1"/>
      <w:lvlText w:val="%1."/>
      <w:lvlJc w:val="left"/>
      <w:pPr>
        <w:ind w:left="6173" w:hanging="360"/>
      </w:pPr>
      <w:rPr>
        <w:rFonts w:asciiTheme="minorHAnsi" w:hAnsiTheme="minorHAnsi"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FE766B3"/>
    <w:multiLevelType w:val="hybridMultilevel"/>
    <w:tmpl w:val="FD46FEA0"/>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1F6D00"/>
    <w:multiLevelType w:val="hybridMultilevel"/>
    <w:tmpl w:val="6D5CBA28"/>
    <w:lvl w:ilvl="0" w:tplc="34CCE8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36D0CB5"/>
    <w:multiLevelType w:val="hybridMultilevel"/>
    <w:tmpl w:val="6D22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9"/>
  </w:num>
  <w:num w:numId="6">
    <w:abstractNumId w:val="5"/>
  </w:num>
  <w:num w:numId="7">
    <w:abstractNumId w:val="2"/>
  </w:num>
  <w:num w:numId="8">
    <w:abstractNumId w:val="3"/>
  </w:num>
  <w:num w:numId="9">
    <w:abstractNumId w:val="10"/>
  </w:num>
  <w:num w:numId="10">
    <w:abstractNumId w:val="11"/>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1AAA"/>
    <w:rsid w:val="00003BE5"/>
    <w:rsid w:val="00004DB4"/>
    <w:rsid w:val="00005E0D"/>
    <w:rsid w:val="000069AB"/>
    <w:rsid w:val="000118F7"/>
    <w:rsid w:val="00011D52"/>
    <w:rsid w:val="00014B23"/>
    <w:rsid w:val="000156D1"/>
    <w:rsid w:val="00016560"/>
    <w:rsid w:val="00016EB9"/>
    <w:rsid w:val="000223CC"/>
    <w:rsid w:val="00023B28"/>
    <w:rsid w:val="00025C3E"/>
    <w:rsid w:val="0003005A"/>
    <w:rsid w:val="00035CFC"/>
    <w:rsid w:val="00036F08"/>
    <w:rsid w:val="00040727"/>
    <w:rsid w:val="0004076B"/>
    <w:rsid w:val="00040876"/>
    <w:rsid w:val="00040CC5"/>
    <w:rsid w:val="00040D17"/>
    <w:rsid w:val="00040D26"/>
    <w:rsid w:val="0004142E"/>
    <w:rsid w:val="0004192B"/>
    <w:rsid w:val="00042462"/>
    <w:rsid w:val="00042746"/>
    <w:rsid w:val="00043430"/>
    <w:rsid w:val="00043AF0"/>
    <w:rsid w:val="00044533"/>
    <w:rsid w:val="00046042"/>
    <w:rsid w:val="000500EB"/>
    <w:rsid w:val="00050881"/>
    <w:rsid w:val="00052E9C"/>
    <w:rsid w:val="000530C7"/>
    <w:rsid w:val="0005451A"/>
    <w:rsid w:val="000561A5"/>
    <w:rsid w:val="00056848"/>
    <w:rsid w:val="00061236"/>
    <w:rsid w:val="000614BF"/>
    <w:rsid w:val="0006283B"/>
    <w:rsid w:val="000630C3"/>
    <w:rsid w:val="000653CA"/>
    <w:rsid w:val="00065F14"/>
    <w:rsid w:val="0007542B"/>
    <w:rsid w:val="00075E7B"/>
    <w:rsid w:val="00076C90"/>
    <w:rsid w:val="00077815"/>
    <w:rsid w:val="00080037"/>
    <w:rsid w:val="000833A3"/>
    <w:rsid w:val="00083C15"/>
    <w:rsid w:val="00084187"/>
    <w:rsid w:val="000848A1"/>
    <w:rsid w:val="00085055"/>
    <w:rsid w:val="000868C6"/>
    <w:rsid w:val="000875E7"/>
    <w:rsid w:val="00095C3B"/>
    <w:rsid w:val="000963BE"/>
    <w:rsid w:val="000A102A"/>
    <w:rsid w:val="000A151F"/>
    <w:rsid w:val="000A2BCF"/>
    <w:rsid w:val="000A3763"/>
    <w:rsid w:val="000A3F4E"/>
    <w:rsid w:val="000A4E76"/>
    <w:rsid w:val="000A4EB0"/>
    <w:rsid w:val="000A62F7"/>
    <w:rsid w:val="000A7880"/>
    <w:rsid w:val="000B069A"/>
    <w:rsid w:val="000B0787"/>
    <w:rsid w:val="000B2258"/>
    <w:rsid w:val="000B351D"/>
    <w:rsid w:val="000B4161"/>
    <w:rsid w:val="000B4942"/>
    <w:rsid w:val="000B6CAC"/>
    <w:rsid w:val="000B6D2A"/>
    <w:rsid w:val="000B773A"/>
    <w:rsid w:val="000B7D23"/>
    <w:rsid w:val="000C01AC"/>
    <w:rsid w:val="000C0C35"/>
    <w:rsid w:val="000C15B7"/>
    <w:rsid w:val="000C19AA"/>
    <w:rsid w:val="000C30F1"/>
    <w:rsid w:val="000C310A"/>
    <w:rsid w:val="000C58B5"/>
    <w:rsid w:val="000C594D"/>
    <w:rsid w:val="000C62B7"/>
    <w:rsid w:val="000D003E"/>
    <w:rsid w:val="000D0FE5"/>
    <w:rsid w:val="000D274C"/>
    <w:rsid w:val="000D528B"/>
    <w:rsid w:val="000D6381"/>
    <w:rsid w:val="000D6454"/>
    <w:rsid w:val="000E0012"/>
    <w:rsid w:val="000E3A38"/>
    <w:rsid w:val="000E408F"/>
    <w:rsid w:val="000E67CA"/>
    <w:rsid w:val="000E783D"/>
    <w:rsid w:val="000E7B14"/>
    <w:rsid w:val="000F0116"/>
    <w:rsid w:val="000F080E"/>
    <w:rsid w:val="000F0F7B"/>
    <w:rsid w:val="000F260D"/>
    <w:rsid w:val="000F30FF"/>
    <w:rsid w:val="000F349D"/>
    <w:rsid w:val="000F3D9F"/>
    <w:rsid w:val="000F4057"/>
    <w:rsid w:val="000F53C2"/>
    <w:rsid w:val="000F566E"/>
    <w:rsid w:val="000F7F6F"/>
    <w:rsid w:val="00100ED4"/>
    <w:rsid w:val="001016E8"/>
    <w:rsid w:val="001019C0"/>
    <w:rsid w:val="00101EAF"/>
    <w:rsid w:val="001023CB"/>
    <w:rsid w:val="001025C9"/>
    <w:rsid w:val="00105EE3"/>
    <w:rsid w:val="001071A4"/>
    <w:rsid w:val="00110610"/>
    <w:rsid w:val="00111F7D"/>
    <w:rsid w:val="001202C1"/>
    <w:rsid w:val="00121418"/>
    <w:rsid w:val="00121A53"/>
    <w:rsid w:val="00121A86"/>
    <w:rsid w:val="00121E1A"/>
    <w:rsid w:val="00122558"/>
    <w:rsid w:val="00125795"/>
    <w:rsid w:val="00127712"/>
    <w:rsid w:val="00127BC0"/>
    <w:rsid w:val="0013041A"/>
    <w:rsid w:val="0013169E"/>
    <w:rsid w:val="001332F2"/>
    <w:rsid w:val="00134A9F"/>
    <w:rsid w:val="00136219"/>
    <w:rsid w:val="001368EB"/>
    <w:rsid w:val="00136A61"/>
    <w:rsid w:val="0013765E"/>
    <w:rsid w:val="00137794"/>
    <w:rsid w:val="00141274"/>
    <w:rsid w:val="0014174B"/>
    <w:rsid w:val="0014437E"/>
    <w:rsid w:val="00145022"/>
    <w:rsid w:val="0014566C"/>
    <w:rsid w:val="001463C2"/>
    <w:rsid w:val="0014683D"/>
    <w:rsid w:val="0014697E"/>
    <w:rsid w:val="001475F7"/>
    <w:rsid w:val="001477F7"/>
    <w:rsid w:val="0014792B"/>
    <w:rsid w:val="00150065"/>
    <w:rsid w:val="0015168F"/>
    <w:rsid w:val="00151950"/>
    <w:rsid w:val="00151F88"/>
    <w:rsid w:val="00152A71"/>
    <w:rsid w:val="001533EC"/>
    <w:rsid w:val="00153D10"/>
    <w:rsid w:val="00154910"/>
    <w:rsid w:val="001555C9"/>
    <w:rsid w:val="00155B97"/>
    <w:rsid w:val="00156060"/>
    <w:rsid w:val="00160FE3"/>
    <w:rsid w:val="001611AB"/>
    <w:rsid w:val="0016265F"/>
    <w:rsid w:val="00164A4D"/>
    <w:rsid w:val="00165C3E"/>
    <w:rsid w:val="00165DB1"/>
    <w:rsid w:val="00166926"/>
    <w:rsid w:val="00170107"/>
    <w:rsid w:val="00170FC2"/>
    <w:rsid w:val="001727E8"/>
    <w:rsid w:val="00172D5B"/>
    <w:rsid w:val="0018072A"/>
    <w:rsid w:val="001811B8"/>
    <w:rsid w:val="0018136A"/>
    <w:rsid w:val="001817F5"/>
    <w:rsid w:val="00182648"/>
    <w:rsid w:val="00183923"/>
    <w:rsid w:val="00184A28"/>
    <w:rsid w:val="001867C7"/>
    <w:rsid w:val="001871CA"/>
    <w:rsid w:val="00191B40"/>
    <w:rsid w:val="001922E5"/>
    <w:rsid w:val="001923C1"/>
    <w:rsid w:val="001942B3"/>
    <w:rsid w:val="001943BE"/>
    <w:rsid w:val="0019542E"/>
    <w:rsid w:val="001968DC"/>
    <w:rsid w:val="001A024F"/>
    <w:rsid w:val="001A0CED"/>
    <w:rsid w:val="001A0DC3"/>
    <w:rsid w:val="001A2840"/>
    <w:rsid w:val="001A2BAF"/>
    <w:rsid w:val="001A33CC"/>
    <w:rsid w:val="001A3AAA"/>
    <w:rsid w:val="001A4430"/>
    <w:rsid w:val="001A4DF8"/>
    <w:rsid w:val="001A5FE2"/>
    <w:rsid w:val="001A6510"/>
    <w:rsid w:val="001A66A5"/>
    <w:rsid w:val="001A6CAB"/>
    <w:rsid w:val="001A744D"/>
    <w:rsid w:val="001A7BF4"/>
    <w:rsid w:val="001B1812"/>
    <w:rsid w:val="001B27CF"/>
    <w:rsid w:val="001B3E52"/>
    <w:rsid w:val="001B46F6"/>
    <w:rsid w:val="001B5564"/>
    <w:rsid w:val="001B6B29"/>
    <w:rsid w:val="001B7A3E"/>
    <w:rsid w:val="001B7B44"/>
    <w:rsid w:val="001C121B"/>
    <w:rsid w:val="001C125D"/>
    <w:rsid w:val="001C13A5"/>
    <w:rsid w:val="001C150C"/>
    <w:rsid w:val="001C1CEB"/>
    <w:rsid w:val="001C25E2"/>
    <w:rsid w:val="001C3659"/>
    <w:rsid w:val="001C3A79"/>
    <w:rsid w:val="001C4689"/>
    <w:rsid w:val="001C52FE"/>
    <w:rsid w:val="001C7551"/>
    <w:rsid w:val="001D038B"/>
    <w:rsid w:val="001D15A1"/>
    <w:rsid w:val="001D1836"/>
    <w:rsid w:val="001D298C"/>
    <w:rsid w:val="001D3D04"/>
    <w:rsid w:val="001D46D2"/>
    <w:rsid w:val="001D50C7"/>
    <w:rsid w:val="001D5BA0"/>
    <w:rsid w:val="001D77A8"/>
    <w:rsid w:val="001D7817"/>
    <w:rsid w:val="001E0A75"/>
    <w:rsid w:val="001E1665"/>
    <w:rsid w:val="001E232E"/>
    <w:rsid w:val="001E3126"/>
    <w:rsid w:val="001F024C"/>
    <w:rsid w:val="001F1386"/>
    <w:rsid w:val="001F187C"/>
    <w:rsid w:val="001F2FD4"/>
    <w:rsid w:val="001F32AB"/>
    <w:rsid w:val="001F5A9B"/>
    <w:rsid w:val="001F5BCB"/>
    <w:rsid w:val="001F5CDF"/>
    <w:rsid w:val="001F7244"/>
    <w:rsid w:val="0020076C"/>
    <w:rsid w:val="0020079C"/>
    <w:rsid w:val="00201A96"/>
    <w:rsid w:val="00202A6B"/>
    <w:rsid w:val="00202AE7"/>
    <w:rsid w:val="00203C7D"/>
    <w:rsid w:val="002041FF"/>
    <w:rsid w:val="00204DFF"/>
    <w:rsid w:val="0020535C"/>
    <w:rsid w:val="00205D00"/>
    <w:rsid w:val="0020791B"/>
    <w:rsid w:val="0020796A"/>
    <w:rsid w:val="0021180A"/>
    <w:rsid w:val="00212465"/>
    <w:rsid w:val="00212936"/>
    <w:rsid w:val="00213C59"/>
    <w:rsid w:val="002158C8"/>
    <w:rsid w:val="00216CE6"/>
    <w:rsid w:val="00216F19"/>
    <w:rsid w:val="002208FB"/>
    <w:rsid w:val="0022256D"/>
    <w:rsid w:val="0022435C"/>
    <w:rsid w:val="00224EA1"/>
    <w:rsid w:val="00225056"/>
    <w:rsid w:val="00225F89"/>
    <w:rsid w:val="00230598"/>
    <w:rsid w:val="00230DFC"/>
    <w:rsid w:val="002317DA"/>
    <w:rsid w:val="002327F8"/>
    <w:rsid w:val="0023296D"/>
    <w:rsid w:val="00234795"/>
    <w:rsid w:val="0023571B"/>
    <w:rsid w:val="002374B4"/>
    <w:rsid w:val="00237788"/>
    <w:rsid w:val="00237B5F"/>
    <w:rsid w:val="00240467"/>
    <w:rsid w:val="0024119B"/>
    <w:rsid w:val="0024170B"/>
    <w:rsid w:val="00241C15"/>
    <w:rsid w:val="00243126"/>
    <w:rsid w:val="00243F7B"/>
    <w:rsid w:val="00244543"/>
    <w:rsid w:val="00245CE4"/>
    <w:rsid w:val="002502E0"/>
    <w:rsid w:val="002502EF"/>
    <w:rsid w:val="00250E06"/>
    <w:rsid w:val="00252BD7"/>
    <w:rsid w:val="0025356A"/>
    <w:rsid w:val="00253E0B"/>
    <w:rsid w:val="00253F8D"/>
    <w:rsid w:val="002543DF"/>
    <w:rsid w:val="002550E9"/>
    <w:rsid w:val="0026131A"/>
    <w:rsid w:val="002629DC"/>
    <w:rsid w:val="00262C0A"/>
    <w:rsid w:val="00263997"/>
    <w:rsid w:val="0026620C"/>
    <w:rsid w:val="00266915"/>
    <w:rsid w:val="00267830"/>
    <w:rsid w:val="00273325"/>
    <w:rsid w:val="00273BB0"/>
    <w:rsid w:val="002742EF"/>
    <w:rsid w:val="00274BA8"/>
    <w:rsid w:val="00277F32"/>
    <w:rsid w:val="002819AA"/>
    <w:rsid w:val="00281EFE"/>
    <w:rsid w:val="002825A0"/>
    <w:rsid w:val="00286DB5"/>
    <w:rsid w:val="002875B7"/>
    <w:rsid w:val="00292DAD"/>
    <w:rsid w:val="0029330A"/>
    <w:rsid w:val="00294E3C"/>
    <w:rsid w:val="0029551B"/>
    <w:rsid w:val="00296633"/>
    <w:rsid w:val="002A00F5"/>
    <w:rsid w:val="002A010F"/>
    <w:rsid w:val="002A0424"/>
    <w:rsid w:val="002A237B"/>
    <w:rsid w:val="002A3061"/>
    <w:rsid w:val="002A43F0"/>
    <w:rsid w:val="002A455A"/>
    <w:rsid w:val="002A4859"/>
    <w:rsid w:val="002A4ACA"/>
    <w:rsid w:val="002A5A99"/>
    <w:rsid w:val="002B1F61"/>
    <w:rsid w:val="002B2136"/>
    <w:rsid w:val="002B381D"/>
    <w:rsid w:val="002B3AEF"/>
    <w:rsid w:val="002B5331"/>
    <w:rsid w:val="002B5D65"/>
    <w:rsid w:val="002B618E"/>
    <w:rsid w:val="002B6CC2"/>
    <w:rsid w:val="002C06A8"/>
    <w:rsid w:val="002C0C38"/>
    <w:rsid w:val="002C1799"/>
    <w:rsid w:val="002C3A51"/>
    <w:rsid w:val="002C6E2E"/>
    <w:rsid w:val="002C6F4E"/>
    <w:rsid w:val="002C7AB9"/>
    <w:rsid w:val="002C7D3E"/>
    <w:rsid w:val="002C7FF6"/>
    <w:rsid w:val="002D592D"/>
    <w:rsid w:val="002D5D45"/>
    <w:rsid w:val="002D7AC6"/>
    <w:rsid w:val="002D7FDB"/>
    <w:rsid w:val="002E06E3"/>
    <w:rsid w:val="002E06EB"/>
    <w:rsid w:val="002E453E"/>
    <w:rsid w:val="002E4E20"/>
    <w:rsid w:val="002E5D82"/>
    <w:rsid w:val="002E782F"/>
    <w:rsid w:val="002E7897"/>
    <w:rsid w:val="002E7F28"/>
    <w:rsid w:val="002F00C9"/>
    <w:rsid w:val="002F0993"/>
    <w:rsid w:val="002F0EBE"/>
    <w:rsid w:val="002F1319"/>
    <w:rsid w:val="002F1339"/>
    <w:rsid w:val="002F2AF7"/>
    <w:rsid w:val="002F2F65"/>
    <w:rsid w:val="002F42BE"/>
    <w:rsid w:val="002F4DB0"/>
    <w:rsid w:val="002F6212"/>
    <w:rsid w:val="002F632C"/>
    <w:rsid w:val="002F6D63"/>
    <w:rsid w:val="003016C4"/>
    <w:rsid w:val="00303296"/>
    <w:rsid w:val="00306FBF"/>
    <w:rsid w:val="00307AF8"/>
    <w:rsid w:val="00310B35"/>
    <w:rsid w:val="0031301A"/>
    <w:rsid w:val="003168CE"/>
    <w:rsid w:val="00320AFE"/>
    <w:rsid w:val="00320F07"/>
    <w:rsid w:val="00321554"/>
    <w:rsid w:val="003215A3"/>
    <w:rsid w:val="00321A43"/>
    <w:rsid w:val="00322C31"/>
    <w:rsid w:val="0032301B"/>
    <w:rsid w:val="0032308F"/>
    <w:rsid w:val="00324459"/>
    <w:rsid w:val="00325A6C"/>
    <w:rsid w:val="003268C1"/>
    <w:rsid w:val="00333BA6"/>
    <w:rsid w:val="003340FB"/>
    <w:rsid w:val="00334926"/>
    <w:rsid w:val="00336254"/>
    <w:rsid w:val="00336760"/>
    <w:rsid w:val="00337869"/>
    <w:rsid w:val="00341AE8"/>
    <w:rsid w:val="00341FEC"/>
    <w:rsid w:val="00342826"/>
    <w:rsid w:val="0034321B"/>
    <w:rsid w:val="00344D53"/>
    <w:rsid w:val="00352490"/>
    <w:rsid w:val="003533CA"/>
    <w:rsid w:val="00354394"/>
    <w:rsid w:val="0035493A"/>
    <w:rsid w:val="00355B9C"/>
    <w:rsid w:val="00360759"/>
    <w:rsid w:val="00365CB8"/>
    <w:rsid w:val="003669CC"/>
    <w:rsid w:val="00366D48"/>
    <w:rsid w:val="00367FA3"/>
    <w:rsid w:val="00372153"/>
    <w:rsid w:val="00374216"/>
    <w:rsid w:val="003769FA"/>
    <w:rsid w:val="0037778F"/>
    <w:rsid w:val="00380E64"/>
    <w:rsid w:val="00384772"/>
    <w:rsid w:val="00384AED"/>
    <w:rsid w:val="00385D4D"/>
    <w:rsid w:val="00386778"/>
    <w:rsid w:val="00387729"/>
    <w:rsid w:val="00387D57"/>
    <w:rsid w:val="0039063B"/>
    <w:rsid w:val="003911E4"/>
    <w:rsid w:val="00391418"/>
    <w:rsid w:val="00391557"/>
    <w:rsid w:val="00391A59"/>
    <w:rsid w:val="003932ED"/>
    <w:rsid w:val="003958D9"/>
    <w:rsid w:val="00397E45"/>
    <w:rsid w:val="003A0863"/>
    <w:rsid w:val="003A19A5"/>
    <w:rsid w:val="003A2034"/>
    <w:rsid w:val="003A269C"/>
    <w:rsid w:val="003A447E"/>
    <w:rsid w:val="003A6307"/>
    <w:rsid w:val="003A6A3B"/>
    <w:rsid w:val="003B01B7"/>
    <w:rsid w:val="003B0870"/>
    <w:rsid w:val="003B0AAE"/>
    <w:rsid w:val="003B0E35"/>
    <w:rsid w:val="003B1682"/>
    <w:rsid w:val="003B1937"/>
    <w:rsid w:val="003B4A6C"/>
    <w:rsid w:val="003B6150"/>
    <w:rsid w:val="003B660D"/>
    <w:rsid w:val="003B74E4"/>
    <w:rsid w:val="003B7E94"/>
    <w:rsid w:val="003C03EB"/>
    <w:rsid w:val="003C0A38"/>
    <w:rsid w:val="003C0A77"/>
    <w:rsid w:val="003C142B"/>
    <w:rsid w:val="003C1F90"/>
    <w:rsid w:val="003C2311"/>
    <w:rsid w:val="003C347A"/>
    <w:rsid w:val="003C351E"/>
    <w:rsid w:val="003D0183"/>
    <w:rsid w:val="003D0D26"/>
    <w:rsid w:val="003D4283"/>
    <w:rsid w:val="003D48A9"/>
    <w:rsid w:val="003D6219"/>
    <w:rsid w:val="003D662F"/>
    <w:rsid w:val="003D6FA8"/>
    <w:rsid w:val="003E022B"/>
    <w:rsid w:val="003E1F3D"/>
    <w:rsid w:val="003E269D"/>
    <w:rsid w:val="003E2B20"/>
    <w:rsid w:val="003F1027"/>
    <w:rsid w:val="003F2F10"/>
    <w:rsid w:val="003F600B"/>
    <w:rsid w:val="003F6CA9"/>
    <w:rsid w:val="004008C7"/>
    <w:rsid w:val="004011BA"/>
    <w:rsid w:val="00401745"/>
    <w:rsid w:val="00403823"/>
    <w:rsid w:val="00403AB5"/>
    <w:rsid w:val="00404731"/>
    <w:rsid w:val="004053D4"/>
    <w:rsid w:val="00406847"/>
    <w:rsid w:val="004111D4"/>
    <w:rsid w:val="004115B6"/>
    <w:rsid w:val="00413868"/>
    <w:rsid w:val="00413F6B"/>
    <w:rsid w:val="00414BA7"/>
    <w:rsid w:val="00415126"/>
    <w:rsid w:val="004152D6"/>
    <w:rsid w:val="004164B0"/>
    <w:rsid w:val="00417A6F"/>
    <w:rsid w:val="0042014B"/>
    <w:rsid w:val="004205EF"/>
    <w:rsid w:val="00421306"/>
    <w:rsid w:val="00422328"/>
    <w:rsid w:val="00422BB7"/>
    <w:rsid w:val="00423CCC"/>
    <w:rsid w:val="00424D3E"/>
    <w:rsid w:val="0042557B"/>
    <w:rsid w:val="004318DC"/>
    <w:rsid w:val="00432694"/>
    <w:rsid w:val="004347C9"/>
    <w:rsid w:val="004353C2"/>
    <w:rsid w:val="00436D3D"/>
    <w:rsid w:val="00436DF5"/>
    <w:rsid w:val="00440231"/>
    <w:rsid w:val="00440E22"/>
    <w:rsid w:val="00440F44"/>
    <w:rsid w:val="0044412E"/>
    <w:rsid w:val="004456CC"/>
    <w:rsid w:val="00445CDC"/>
    <w:rsid w:val="00446C35"/>
    <w:rsid w:val="00450702"/>
    <w:rsid w:val="00450E7A"/>
    <w:rsid w:val="00450FF8"/>
    <w:rsid w:val="00452484"/>
    <w:rsid w:val="004533ED"/>
    <w:rsid w:val="004552A2"/>
    <w:rsid w:val="00456D91"/>
    <w:rsid w:val="0045733E"/>
    <w:rsid w:val="00461C8E"/>
    <w:rsid w:val="00462767"/>
    <w:rsid w:val="004640D1"/>
    <w:rsid w:val="00465D16"/>
    <w:rsid w:val="0046717F"/>
    <w:rsid w:val="0047036B"/>
    <w:rsid w:val="00470721"/>
    <w:rsid w:val="00470B99"/>
    <w:rsid w:val="00472115"/>
    <w:rsid w:val="0047357F"/>
    <w:rsid w:val="00475C39"/>
    <w:rsid w:val="004803E5"/>
    <w:rsid w:val="00481B25"/>
    <w:rsid w:val="00482A22"/>
    <w:rsid w:val="00482B30"/>
    <w:rsid w:val="00484068"/>
    <w:rsid w:val="00484CC6"/>
    <w:rsid w:val="0048533B"/>
    <w:rsid w:val="00486626"/>
    <w:rsid w:val="0048754C"/>
    <w:rsid w:val="00487F0F"/>
    <w:rsid w:val="0049292E"/>
    <w:rsid w:val="0049414B"/>
    <w:rsid w:val="004977DE"/>
    <w:rsid w:val="004A1760"/>
    <w:rsid w:val="004A2115"/>
    <w:rsid w:val="004A2F6F"/>
    <w:rsid w:val="004B0EDE"/>
    <w:rsid w:val="004B10F5"/>
    <w:rsid w:val="004B26EB"/>
    <w:rsid w:val="004B48AF"/>
    <w:rsid w:val="004B5017"/>
    <w:rsid w:val="004B50BC"/>
    <w:rsid w:val="004B6187"/>
    <w:rsid w:val="004B7FFA"/>
    <w:rsid w:val="004C0182"/>
    <w:rsid w:val="004C03D5"/>
    <w:rsid w:val="004C21BB"/>
    <w:rsid w:val="004C2EB3"/>
    <w:rsid w:val="004C3CC3"/>
    <w:rsid w:val="004C4418"/>
    <w:rsid w:val="004C5006"/>
    <w:rsid w:val="004C625A"/>
    <w:rsid w:val="004C64D9"/>
    <w:rsid w:val="004C697F"/>
    <w:rsid w:val="004D43D2"/>
    <w:rsid w:val="004D652E"/>
    <w:rsid w:val="004E0529"/>
    <w:rsid w:val="004E0CAD"/>
    <w:rsid w:val="004E1EBB"/>
    <w:rsid w:val="004E3959"/>
    <w:rsid w:val="004E5EA3"/>
    <w:rsid w:val="004E6C3A"/>
    <w:rsid w:val="004E7034"/>
    <w:rsid w:val="004E7510"/>
    <w:rsid w:val="004E7F7D"/>
    <w:rsid w:val="004F0DFD"/>
    <w:rsid w:val="004F112A"/>
    <w:rsid w:val="004F11EA"/>
    <w:rsid w:val="004F1B89"/>
    <w:rsid w:val="004F3B07"/>
    <w:rsid w:val="004F42DC"/>
    <w:rsid w:val="004F6CE4"/>
    <w:rsid w:val="0050428E"/>
    <w:rsid w:val="0050670A"/>
    <w:rsid w:val="00510952"/>
    <w:rsid w:val="00512224"/>
    <w:rsid w:val="00517E23"/>
    <w:rsid w:val="005223FD"/>
    <w:rsid w:val="00525303"/>
    <w:rsid w:val="00527304"/>
    <w:rsid w:val="0053137B"/>
    <w:rsid w:val="00532423"/>
    <w:rsid w:val="00532BFB"/>
    <w:rsid w:val="00533E29"/>
    <w:rsid w:val="00534E32"/>
    <w:rsid w:val="00534EE2"/>
    <w:rsid w:val="00535B95"/>
    <w:rsid w:val="005365E0"/>
    <w:rsid w:val="00542479"/>
    <w:rsid w:val="00543AEF"/>
    <w:rsid w:val="00544362"/>
    <w:rsid w:val="0054722C"/>
    <w:rsid w:val="00547CA9"/>
    <w:rsid w:val="00547E18"/>
    <w:rsid w:val="00550256"/>
    <w:rsid w:val="0055055C"/>
    <w:rsid w:val="00554E38"/>
    <w:rsid w:val="0055577C"/>
    <w:rsid w:val="00557D15"/>
    <w:rsid w:val="00560025"/>
    <w:rsid w:val="00560034"/>
    <w:rsid w:val="00560171"/>
    <w:rsid w:val="00560BE3"/>
    <w:rsid w:val="0056179B"/>
    <w:rsid w:val="0056448B"/>
    <w:rsid w:val="00565F92"/>
    <w:rsid w:val="005701A7"/>
    <w:rsid w:val="00570A95"/>
    <w:rsid w:val="00571E75"/>
    <w:rsid w:val="005732EC"/>
    <w:rsid w:val="00573408"/>
    <w:rsid w:val="00573E0F"/>
    <w:rsid w:val="00576ED0"/>
    <w:rsid w:val="00576F0D"/>
    <w:rsid w:val="00580BDF"/>
    <w:rsid w:val="005819E4"/>
    <w:rsid w:val="00583EC7"/>
    <w:rsid w:val="00586C72"/>
    <w:rsid w:val="00587C8F"/>
    <w:rsid w:val="00590779"/>
    <w:rsid w:val="00591D34"/>
    <w:rsid w:val="00592D33"/>
    <w:rsid w:val="00593217"/>
    <w:rsid w:val="0059367E"/>
    <w:rsid w:val="00593B10"/>
    <w:rsid w:val="005959F9"/>
    <w:rsid w:val="00596AD2"/>
    <w:rsid w:val="00597798"/>
    <w:rsid w:val="005A0D15"/>
    <w:rsid w:val="005A18D7"/>
    <w:rsid w:val="005A2A86"/>
    <w:rsid w:val="005A4466"/>
    <w:rsid w:val="005A5392"/>
    <w:rsid w:val="005A540F"/>
    <w:rsid w:val="005A5571"/>
    <w:rsid w:val="005A5CAD"/>
    <w:rsid w:val="005A6891"/>
    <w:rsid w:val="005A6A2D"/>
    <w:rsid w:val="005A6E96"/>
    <w:rsid w:val="005A748B"/>
    <w:rsid w:val="005B3729"/>
    <w:rsid w:val="005B5ADE"/>
    <w:rsid w:val="005C154E"/>
    <w:rsid w:val="005C31A0"/>
    <w:rsid w:val="005C35BE"/>
    <w:rsid w:val="005C4952"/>
    <w:rsid w:val="005C63F7"/>
    <w:rsid w:val="005C74C9"/>
    <w:rsid w:val="005D0EE2"/>
    <w:rsid w:val="005D2355"/>
    <w:rsid w:val="005D2565"/>
    <w:rsid w:val="005D3014"/>
    <w:rsid w:val="005D6CD2"/>
    <w:rsid w:val="005D6E23"/>
    <w:rsid w:val="005D7A0C"/>
    <w:rsid w:val="005E11FC"/>
    <w:rsid w:val="005E16F9"/>
    <w:rsid w:val="005E28FB"/>
    <w:rsid w:val="005E5130"/>
    <w:rsid w:val="005E6294"/>
    <w:rsid w:val="005E6A30"/>
    <w:rsid w:val="005E6D8B"/>
    <w:rsid w:val="005E7C51"/>
    <w:rsid w:val="005E7C87"/>
    <w:rsid w:val="005F01D2"/>
    <w:rsid w:val="005F1009"/>
    <w:rsid w:val="005F1298"/>
    <w:rsid w:val="005F21D1"/>
    <w:rsid w:val="005F40A1"/>
    <w:rsid w:val="005F5ACC"/>
    <w:rsid w:val="005F6288"/>
    <w:rsid w:val="005F69CC"/>
    <w:rsid w:val="005F76B2"/>
    <w:rsid w:val="00603061"/>
    <w:rsid w:val="006037BD"/>
    <w:rsid w:val="00603FF6"/>
    <w:rsid w:val="00605DDD"/>
    <w:rsid w:val="00605E06"/>
    <w:rsid w:val="00607663"/>
    <w:rsid w:val="006104D6"/>
    <w:rsid w:val="006109E9"/>
    <w:rsid w:val="00610CFE"/>
    <w:rsid w:val="0061186C"/>
    <w:rsid w:val="00611D83"/>
    <w:rsid w:val="00611ED6"/>
    <w:rsid w:val="0061213E"/>
    <w:rsid w:val="00613278"/>
    <w:rsid w:val="006144AD"/>
    <w:rsid w:val="00614D51"/>
    <w:rsid w:val="0061556B"/>
    <w:rsid w:val="00616345"/>
    <w:rsid w:val="00617B32"/>
    <w:rsid w:val="0062031D"/>
    <w:rsid w:val="00622C71"/>
    <w:rsid w:val="006231E7"/>
    <w:rsid w:val="0062374D"/>
    <w:rsid w:val="0062389F"/>
    <w:rsid w:val="006244DA"/>
    <w:rsid w:val="0062473C"/>
    <w:rsid w:val="0063160F"/>
    <w:rsid w:val="00633196"/>
    <w:rsid w:val="00634850"/>
    <w:rsid w:val="00635D66"/>
    <w:rsid w:val="00640940"/>
    <w:rsid w:val="00640AF8"/>
    <w:rsid w:val="00640DAD"/>
    <w:rsid w:val="00640F10"/>
    <w:rsid w:val="0064190A"/>
    <w:rsid w:val="00642DBA"/>
    <w:rsid w:val="006435C7"/>
    <w:rsid w:val="00646310"/>
    <w:rsid w:val="00650891"/>
    <w:rsid w:val="00655B53"/>
    <w:rsid w:val="00657AAB"/>
    <w:rsid w:val="0066223E"/>
    <w:rsid w:val="00662536"/>
    <w:rsid w:val="00663C65"/>
    <w:rsid w:val="006663BD"/>
    <w:rsid w:val="0067006F"/>
    <w:rsid w:val="00670210"/>
    <w:rsid w:val="006724CC"/>
    <w:rsid w:val="00672804"/>
    <w:rsid w:val="00672957"/>
    <w:rsid w:val="00673AC2"/>
    <w:rsid w:val="00674463"/>
    <w:rsid w:val="006754D2"/>
    <w:rsid w:val="006779ED"/>
    <w:rsid w:val="00683D7C"/>
    <w:rsid w:val="006859F7"/>
    <w:rsid w:val="0069019B"/>
    <w:rsid w:val="00690B97"/>
    <w:rsid w:val="00692E6A"/>
    <w:rsid w:val="0069307D"/>
    <w:rsid w:val="0069313B"/>
    <w:rsid w:val="00693363"/>
    <w:rsid w:val="00693D92"/>
    <w:rsid w:val="00694BA2"/>
    <w:rsid w:val="006950EC"/>
    <w:rsid w:val="0069518F"/>
    <w:rsid w:val="006951BB"/>
    <w:rsid w:val="00696A94"/>
    <w:rsid w:val="00697A4F"/>
    <w:rsid w:val="006A386A"/>
    <w:rsid w:val="006A41AF"/>
    <w:rsid w:val="006A4BA5"/>
    <w:rsid w:val="006A5E3E"/>
    <w:rsid w:val="006A797E"/>
    <w:rsid w:val="006B0C72"/>
    <w:rsid w:val="006B16F5"/>
    <w:rsid w:val="006B4380"/>
    <w:rsid w:val="006B7BB6"/>
    <w:rsid w:val="006B7D84"/>
    <w:rsid w:val="006B7FC7"/>
    <w:rsid w:val="006C1B88"/>
    <w:rsid w:val="006C23D9"/>
    <w:rsid w:val="006C38AD"/>
    <w:rsid w:val="006C6B74"/>
    <w:rsid w:val="006D09EF"/>
    <w:rsid w:val="006D1A2D"/>
    <w:rsid w:val="006D4B39"/>
    <w:rsid w:val="006D4D41"/>
    <w:rsid w:val="006D6958"/>
    <w:rsid w:val="006E00E9"/>
    <w:rsid w:val="006E0E17"/>
    <w:rsid w:val="006E30D7"/>
    <w:rsid w:val="006E35F7"/>
    <w:rsid w:val="006E5B4B"/>
    <w:rsid w:val="006E6527"/>
    <w:rsid w:val="006F050F"/>
    <w:rsid w:val="006F2940"/>
    <w:rsid w:val="006F2CC8"/>
    <w:rsid w:val="006F3537"/>
    <w:rsid w:val="006F3F1B"/>
    <w:rsid w:val="006F513F"/>
    <w:rsid w:val="006F6450"/>
    <w:rsid w:val="006F73DA"/>
    <w:rsid w:val="007005CD"/>
    <w:rsid w:val="0070164E"/>
    <w:rsid w:val="00701E32"/>
    <w:rsid w:val="007027C5"/>
    <w:rsid w:val="00703EBF"/>
    <w:rsid w:val="007055B2"/>
    <w:rsid w:val="00705E1E"/>
    <w:rsid w:val="007069EB"/>
    <w:rsid w:val="00712ED5"/>
    <w:rsid w:val="0071489A"/>
    <w:rsid w:val="00714FDB"/>
    <w:rsid w:val="007162A5"/>
    <w:rsid w:val="0071762D"/>
    <w:rsid w:val="007231E9"/>
    <w:rsid w:val="00725BC0"/>
    <w:rsid w:val="00726797"/>
    <w:rsid w:val="00726CB4"/>
    <w:rsid w:val="007279E4"/>
    <w:rsid w:val="00731995"/>
    <w:rsid w:val="007320EE"/>
    <w:rsid w:val="00732125"/>
    <w:rsid w:val="007330D6"/>
    <w:rsid w:val="00733700"/>
    <w:rsid w:val="00734263"/>
    <w:rsid w:val="007360B9"/>
    <w:rsid w:val="00736E5C"/>
    <w:rsid w:val="00740005"/>
    <w:rsid w:val="0074020C"/>
    <w:rsid w:val="00740DF8"/>
    <w:rsid w:val="00741CD8"/>
    <w:rsid w:val="00744A2C"/>
    <w:rsid w:val="007471C7"/>
    <w:rsid w:val="007508AB"/>
    <w:rsid w:val="00750F7C"/>
    <w:rsid w:val="00751B9F"/>
    <w:rsid w:val="00753381"/>
    <w:rsid w:val="0075427A"/>
    <w:rsid w:val="00756AB3"/>
    <w:rsid w:val="0076304F"/>
    <w:rsid w:val="007639D7"/>
    <w:rsid w:val="00763B47"/>
    <w:rsid w:val="00764BCB"/>
    <w:rsid w:val="00772EBE"/>
    <w:rsid w:val="00773899"/>
    <w:rsid w:val="00776A60"/>
    <w:rsid w:val="00780473"/>
    <w:rsid w:val="00784200"/>
    <w:rsid w:val="00784B86"/>
    <w:rsid w:val="00786AF7"/>
    <w:rsid w:val="007907E5"/>
    <w:rsid w:val="00791216"/>
    <w:rsid w:val="00792CEB"/>
    <w:rsid w:val="00795D7B"/>
    <w:rsid w:val="00797654"/>
    <w:rsid w:val="007A0A87"/>
    <w:rsid w:val="007A0AE5"/>
    <w:rsid w:val="007A1491"/>
    <w:rsid w:val="007A24E7"/>
    <w:rsid w:val="007A3E56"/>
    <w:rsid w:val="007A5771"/>
    <w:rsid w:val="007A69C1"/>
    <w:rsid w:val="007A69E2"/>
    <w:rsid w:val="007B0238"/>
    <w:rsid w:val="007B1879"/>
    <w:rsid w:val="007B24B0"/>
    <w:rsid w:val="007B2559"/>
    <w:rsid w:val="007B3B54"/>
    <w:rsid w:val="007B3BE2"/>
    <w:rsid w:val="007B5566"/>
    <w:rsid w:val="007B6A76"/>
    <w:rsid w:val="007B711A"/>
    <w:rsid w:val="007C0B37"/>
    <w:rsid w:val="007C3F49"/>
    <w:rsid w:val="007C434F"/>
    <w:rsid w:val="007C5B64"/>
    <w:rsid w:val="007C65D4"/>
    <w:rsid w:val="007C6F7F"/>
    <w:rsid w:val="007C7127"/>
    <w:rsid w:val="007C7F97"/>
    <w:rsid w:val="007D008F"/>
    <w:rsid w:val="007D0647"/>
    <w:rsid w:val="007D0E21"/>
    <w:rsid w:val="007D1EFA"/>
    <w:rsid w:val="007D2632"/>
    <w:rsid w:val="007D532E"/>
    <w:rsid w:val="007D608A"/>
    <w:rsid w:val="007D7069"/>
    <w:rsid w:val="007E0C1C"/>
    <w:rsid w:val="007E17B5"/>
    <w:rsid w:val="007E242D"/>
    <w:rsid w:val="007E257F"/>
    <w:rsid w:val="007E6327"/>
    <w:rsid w:val="007E68E9"/>
    <w:rsid w:val="007E7452"/>
    <w:rsid w:val="007F0BC0"/>
    <w:rsid w:val="007F33DA"/>
    <w:rsid w:val="007F4404"/>
    <w:rsid w:val="007F445C"/>
    <w:rsid w:val="007F44BE"/>
    <w:rsid w:val="007F46BC"/>
    <w:rsid w:val="007F4C48"/>
    <w:rsid w:val="007F5E4A"/>
    <w:rsid w:val="00801C6F"/>
    <w:rsid w:val="00802108"/>
    <w:rsid w:val="008021B1"/>
    <w:rsid w:val="00802A51"/>
    <w:rsid w:val="00802CA7"/>
    <w:rsid w:val="00804BE3"/>
    <w:rsid w:val="00806377"/>
    <w:rsid w:val="00806EFF"/>
    <w:rsid w:val="00811601"/>
    <w:rsid w:val="00811EDA"/>
    <w:rsid w:val="00812636"/>
    <w:rsid w:val="00813C44"/>
    <w:rsid w:val="008146F9"/>
    <w:rsid w:val="0082056F"/>
    <w:rsid w:val="00821537"/>
    <w:rsid w:val="00822D2A"/>
    <w:rsid w:val="008238C6"/>
    <w:rsid w:val="008258CA"/>
    <w:rsid w:val="00825C08"/>
    <w:rsid w:val="00826A1C"/>
    <w:rsid w:val="0083058C"/>
    <w:rsid w:val="0083136F"/>
    <w:rsid w:val="0083363C"/>
    <w:rsid w:val="00833E26"/>
    <w:rsid w:val="008344FF"/>
    <w:rsid w:val="00834ACA"/>
    <w:rsid w:val="00834B1C"/>
    <w:rsid w:val="008354D5"/>
    <w:rsid w:val="00835DE7"/>
    <w:rsid w:val="00836304"/>
    <w:rsid w:val="0083631A"/>
    <w:rsid w:val="00840E08"/>
    <w:rsid w:val="008415BA"/>
    <w:rsid w:val="00842392"/>
    <w:rsid w:val="0084540A"/>
    <w:rsid w:val="00846097"/>
    <w:rsid w:val="008474A2"/>
    <w:rsid w:val="00850F11"/>
    <w:rsid w:val="00852A83"/>
    <w:rsid w:val="00852CAE"/>
    <w:rsid w:val="00853473"/>
    <w:rsid w:val="00853B8B"/>
    <w:rsid w:val="00853E1F"/>
    <w:rsid w:val="00853F81"/>
    <w:rsid w:val="00854D3E"/>
    <w:rsid w:val="00854F65"/>
    <w:rsid w:val="00857C69"/>
    <w:rsid w:val="00860B4A"/>
    <w:rsid w:val="00861D20"/>
    <w:rsid w:val="008622E4"/>
    <w:rsid w:val="008624B9"/>
    <w:rsid w:val="00865F30"/>
    <w:rsid w:val="00867A12"/>
    <w:rsid w:val="00871BB7"/>
    <w:rsid w:val="00872E19"/>
    <w:rsid w:val="00874AAE"/>
    <w:rsid w:val="00875708"/>
    <w:rsid w:val="00875BF1"/>
    <w:rsid w:val="00875E89"/>
    <w:rsid w:val="00877FD8"/>
    <w:rsid w:val="00881557"/>
    <w:rsid w:val="00881A97"/>
    <w:rsid w:val="008829FE"/>
    <w:rsid w:val="00883D46"/>
    <w:rsid w:val="00884122"/>
    <w:rsid w:val="00884504"/>
    <w:rsid w:val="00885F8A"/>
    <w:rsid w:val="00890186"/>
    <w:rsid w:val="00890346"/>
    <w:rsid w:val="00891979"/>
    <w:rsid w:val="0089433D"/>
    <w:rsid w:val="008952ED"/>
    <w:rsid w:val="00896DE6"/>
    <w:rsid w:val="008A2027"/>
    <w:rsid w:val="008A2CD6"/>
    <w:rsid w:val="008A343E"/>
    <w:rsid w:val="008A36F4"/>
    <w:rsid w:val="008A4165"/>
    <w:rsid w:val="008A419F"/>
    <w:rsid w:val="008A5088"/>
    <w:rsid w:val="008A5590"/>
    <w:rsid w:val="008A58A6"/>
    <w:rsid w:val="008A61F2"/>
    <w:rsid w:val="008A723F"/>
    <w:rsid w:val="008A7C6F"/>
    <w:rsid w:val="008B0D6E"/>
    <w:rsid w:val="008B0EEF"/>
    <w:rsid w:val="008B20CD"/>
    <w:rsid w:val="008B2BD8"/>
    <w:rsid w:val="008B4328"/>
    <w:rsid w:val="008B4B63"/>
    <w:rsid w:val="008B64B9"/>
    <w:rsid w:val="008B7065"/>
    <w:rsid w:val="008B72CA"/>
    <w:rsid w:val="008B7312"/>
    <w:rsid w:val="008B7F9F"/>
    <w:rsid w:val="008C1818"/>
    <w:rsid w:val="008C1A63"/>
    <w:rsid w:val="008C2AA4"/>
    <w:rsid w:val="008C3057"/>
    <w:rsid w:val="008C38B7"/>
    <w:rsid w:val="008C3EF1"/>
    <w:rsid w:val="008C6B4F"/>
    <w:rsid w:val="008D3859"/>
    <w:rsid w:val="008D3CDC"/>
    <w:rsid w:val="008D4AD3"/>
    <w:rsid w:val="008D4CD3"/>
    <w:rsid w:val="008D4E1C"/>
    <w:rsid w:val="008D4EFD"/>
    <w:rsid w:val="008D5426"/>
    <w:rsid w:val="008D5815"/>
    <w:rsid w:val="008E1721"/>
    <w:rsid w:val="008E3865"/>
    <w:rsid w:val="008E3CD2"/>
    <w:rsid w:val="008E3D9E"/>
    <w:rsid w:val="008E4E38"/>
    <w:rsid w:val="008E55FF"/>
    <w:rsid w:val="008F11A3"/>
    <w:rsid w:val="008F3744"/>
    <w:rsid w:val="008F5C51"/>
    <w:rsid w:val="008F7F78"/>
    <w:rsid w:val="0090183B"/>
    <w:rsid w:val="00902544"/>
    <w:rsid w:val="00905A43"/>
    <w:rsid w:val="00905C0A"/>
    <w:rsid w:val="00907060"/>
    <w:rsid w:val="00907274"/>
    <w:rsid w:val="00907971"/>
    <w:rsid w:val="00910C5A"/>
    <w:rsid w:val="009113F2"/>
    <w:rsid w:val="00912816"/>
    <w:rsid w:val="009132E3"/>
    <w:rsid w:val="009148AC"/>
    <w:rsid w:val="00914C1D"/>
    <w:rsid w:val="00914E57"/>
    <w:rsid w:val="00916BE9"/>
    <w:rsid w:val="00923A91"/>
    <w:rsid w:val="0092404B"/>
    <w:rsid w:val="009261D9"/>
    <w:rsid w:val="00927553"/>
    <w:rsid w:val="00927A60"/>
    <w:rsid w:val="00927B85"/>
    <w:rsid w:val="00927E3F"/>
    <w:rsid w:val="0093297A"/>
    <w:rsid w:val="009333F1"/>
    <w:rsid w:val="00934AB4"/>
    <w:rsid w:val="00934CC8"/>
    <w:rsid w:val="009371FC"/>
    <w:rsid w:val="0093720E"/>
    <w:rsid w:val="00937832"/>
    <w:rsid w:val="00940D05"/>
    <w:rsid w:val="0094128A"/>
    <w:rsid w:val="00941339"/>
    <w:rsid w:val="00941F1D"/>
    <w:rsid w:val="00943829"/>
    <w:rsid w:val="009441ED"/>
    <w:rsid w:val="00944508"/>
    <w:rsid w:val="009445FD"/>
    <w:rsid w:val="00945910"/>
    <w:rsid w:val="0094622B"/>
    <w:rsid w:val="00946E17"/>
    <w:rsid w:val="00955AD3"/>
    <w:rsid w:val="0095735F"/>
    <w:rsid w:val="00960FE0"/>
    <w:rsid w:val="00961E17"/>
    <w:rsid w:val="00964194"/>
    <w:rsid w:val="00964D25"/>
    <w:rsid w:val="00966A2E"/>
    <w:rsid w:val="00966E35"/>
    <w:rsid w:val="00970BBB"/>
    <w:rsid w:val="00970BE9"/>
    <w:rsid w:val="00973AF4"/>
    <w:rsid w:val="00975342"/>
    <w:rsid w:val="00975FAE"/>
    <w:rsid w:val="0097748C"/>
    <w:rsid w:val="00980FE0"/>
    <w:rsid w:val="009828B2"/>
    <w:rsid w:val="0098465E"/>
    <w:rsid w:val="00985511"/>
    <w:rsid w:val="00986804"/>
    <w:rsid w:val="00987C88"/>
    <w:rsid w:val="00990F9E"/>
    <w:rsid w:val="00992BD3"/>
    <w:rsid w:val="00993BAE"/>
    <w:rsid w:val="0099546D"/>
    <w:rsid w:val="009960F9"/>
    <w:rsid w:val="0099770C"/>
    <w:rsid w:val="00997881"/>
    <w:rsid w:val="00997A56"/>
    <w:rsid w:val="009A0227"/>
    <w:rsid w:val="009A3853"/>
    <w:rsid w:val="009A40A2"/>
    <w:rsid w:val="009A58E6"/>
    <w:rsid w:val="009A690F"/>
    <w:rsid w:val="009A6ABF"/>
    <w:rsid w:val="009A6D18"/>
    <w:rsid w:val="009A6EB9"/>
    <w:rsid w:val="009A6F40"/>
    <w:rsid w:val="009B016D"/>
    <w:rsid w:val="009B029F"/>
    <w:rsid w:val="009B0520"/>
    <w:rsid w:val="009B19FF"/>
    <w:rsid w:val="009B26B6"/>
    <w:rsid w:val="009B3D15"/>
    <w:rsid w:val="009B4220"/>
    <w:rsid w:val="009B4757"/>
    <w:rsid w:val="009B4F13"/>
    <w:rsid w:val="009B50C1"/>
    <w:rsid w:val="009B785D"/>
    <w:rsid w:val="009C2A3C"/>
    <w:rsid w:val="009C3D48"/>
    <w:rsid w:val="009C4CAC"/>
    <w:rsid w:val="009C5B73"/>
    <w:rsid w:val="009C5B87"/>
    <w:rsid w:val="009C5CA8"/>
    <w:rsid w:val="009C5E32"/>
    <w:rsid w:val="009C7A8C"/>
    <w:rsid w:val="009D07EF"/>
    <w:rsid w:val="009D23E9"/>
    <w:rsid w:val="009D2BC0"/>
    <w:rsid w:val="009D2F28"/>
    <w:rsid w:val="009D327F"/>
    <w:rsid w:val="009D3731"/>
    <w:rsid w:val="009D4E07"/>
    <w:rsid w:val="009D56D7"/>
    <w:rsid w:val="009D7F5D"/>
    <w:rsid w:val="009E18EF"/>
    <w:rsid w:val="009E41D3"/>
    <w:rsid w:val="009E5E25"/>
    <w:rsid w:val="009E77F2"/>
    <w:rsid w:val="009F13FE"/>
    <w:rsid w:val="009F2FF9"/>
    <w:rsid w:val="009F38A7"/>
    <w:rsid w:val="009F3DF5"/>
    <w:rsid w:val="00A0156A"/>
    <w:rsid w:val="00A02213"/>
    <w:rsid w:val="00A02972"/>
    <w:rsid w:val="00A0493F"/>
    <w:rsid w:val="00A05C28"/>
    <w:rsid w:val="00A06C96"/>
    <w:rsid w:val="00A072AE"/>
    <w:rsid w:val="00A079BE"/>
    <w:rsid w:val="00A10889"/>
    <w:rsid w:val="00A109D4"/>
    <w:rsid w:val="00A12126"/>
    <w:rsid w:val="00A12A25"/>
    <w:rsid w:val="00A12D57"/>
    <w:rsid w:val="00A12D70"/>
    <w:rsid w:val="00A1430A"/>
    <w:rsid w:val="00A14A82"/>
    <w:rsid w:val="00A1518E"/>
    <w:rsid w:val="00A17C7A"/>
    <w:rsid w:val="00A21469"/>
    <w:rsid w:val="00A21B50"/>
    <w:rsid w:val="00A2215A"/>
    <w:rsid w:val="00A2275D"/>
    <w:rsid w:val="00A22F48"/>
    <w:rsid w:val="00A256C3"/>
    <w:rsid w:val="00A25AFB"/>
    <w:rsid w:val="00A26CD2"/>
    <w:rsid w:val="00A300E2"/>
    <w:rsid w:val="00A31855"/>
    <w:rsid w:val="00A31C8A"/>
    <w:rsid w:val="00A36B6F"/>
    <w:rsid w:val="00A36C35"/>
    <w:rsid w:val="00A37A93"/>
    <w:rsid w:val="00A438B7"/>
    <w:rsid w:val="00A44995"/>
    <w:rsid w:val="00A44D65"/>
    <w:rsid w:val="00A44FF0"/>
    <w:rsid w:val="00A45F83"/>
    <w:rsid w:val="00A463BE"/>
    <w:rsid w:val="00A501AC"/>
    <w:rsid w:val="00A51C30"/>
    <w:rsid w:val="00A5226D"/>
    <w:rsid w:val="00A5361C"/>
    <w:rsid w:val="00A53730"/>
    <w:rsid w:val="00A54132"/>
    <w:rsid w:val="00A54248"/>
    <w:rsid w:val="00A5704A"/>
    <w:rsid w:val="00A57687"/>
    <w:rsid w:val="00A57D2F"/>
    <w:rsid w:val="00A61231"/>
    <w:rsid w:val="00A6297F"/>
    <w:rsid w:val="00A64FEC"/>
    <w:rsid w:val="00A65515"/>
    <w:rsid w:val="00A70F86"/>
    <w:rsid w:val="00A71876"/>
    <w:rsid w:val="00A7345B"/>
    <w:rsid w:val="00A76D9B"/>
    <w:rsid w:val="00A81F4C"/>
    <w:rsid w:val="00A832A0"/>
    <w:rsid w:val="00A8352D"/>
    <w:rsid w:val="00A83CCD"/>
    <w:rsid w:val="00A84EF0"/>
    <w:rsid w:val="00A85D81"/>
    <w:rsid w:val="00A87317"/>
    <w:rsid w:val="00A873DD"/>
    <w:rsid w:val="00A90A7E"/>
    <w:rsid w:val="00A91411"/>
    <w:rsid w:val="00A91872"/>
    <w:rsid w:val="00A94647"/>
    <w:rsid w:val="00A95D43"/>
    <w:rsid w:val="00A95F6F"/>
    <w:rsid w:val="00A960F1"/>
    <w:rsid w:val="00AA010D"/>
    <w:rsid w:val="00AA0612"/>
    <w:rsid w:val="00AA2D57"/>
    <w:rsid w:val="00AA3F14"/>
    <w:rsid w:val="00AA3F39"/>
    <w:rsid w:val="00AA6325"/>
    <w:rsid w:val="00AB0EDB"/>
    <w:rsid w:val="00AB29C7"/>
    <w:rsid w:val="00AB2BF1"/>
    <w:rsid w:val="00AB3B14"/>
    <w:rsid w:val="00AB48CD"/>
    <w:rsid w:val="00AB51AF"/>
    <w:rsid w:val="00AB538B"/>
    <w:rsid w:val="00AB6931"/>
    <w:rsid w:val="00AB6D11"/>
    <w:rsid w:val="00AB75B8"/>
    <w:rsid w:val="00AC1142"/>
    <w:rsid w:val="00AC2F06"/>
    <w:rsid w:val="00AC2FD9"/>
    <w:rsid w:val="00AC3266"/>
    <w:rsid w:val="00AC72F0"/>
    <w:rsid w:val="00AD0060"/>
    <w:rsid w:val="00AD0E7C"/>
    <w:rsid w:val="00AD29E4"/>
    <w:rsid w:val="00AD3080"/>
    <w:rsid w:val="00AD32D0"/>
    <w:rsid w:val="00AD3A50"/>
    <w:rsid w:val="00AD4887"/>
    <w:rsid w:val="00AD51CE"/>
    <w:rsid w:val="00AD735D"/>
    <w:rsid w:val="00AD7650"/>
    <w:rsid w:val="00AE061A"/>
    <w:rsid w:val="00AE0C9A"/>
    <w:rsid w:val="00AE3C95"/>
    <w:rsid w:val="00AE4FFB"/>
    <w:rsid w:val="00AE51CF"/>
    <w:rsid w:val="00AE54FE"/>
    <w:rsid w:val="00AE565F"/>
    <w:rsid w:val="00AE662D"/>
    <w:rsid w:val="00AE7959"/>
    <w:rsid w:val="00AF1C0E"/>
    <w:rsid w:val="00AF327F"/>
    <w:rsid w:val="00AF3626"/>
    <w:rsid w:val="00AF513D"/>
    <w:rsid w:val="00AF76B9"/>
    <w:rsid w:val="00B005E5"/>
    <w:rsid w:val="00B01724"/>
    <w:rsid w:val="00B04623"/>
    <w:rsid w:val="00B05F83"/>
    <w:rsid w:val="00B068AF"/>
    <w:rsid w:val="00B06F35"/>
    <w:rsid w:val="00B07BC7"/>
    <w:rsid w:val="00B107DE"/>
    <w:rsid w:val="00B11307"/>
    <w:rsid w:val="00B1330D"/>
    <w:rsid w:val="00B1368B"/>
    <w:rsid w:val="00B13B6B"/>
    <w:rsid w:val="00B14E27"/>
    <w:rsid w:val="00B15CA5"/>
    <w:rsid w:val="00B218A2"/>
    <w:rsid w:val="00B221AD"/>
    <w:rsid w:val="00B27371"/>
    <w:rsid w:val="00B30061"/>
    <w:rsid w:val="00B30162"/>
    <w:rsid w:val="00B31461"/>
    <w:rsid w:val="00B31649"/>
    <w:rsid w:val="00B35F5B"/>
    <w:rsid w:val="00B37596"/>
    <w:rsid w:val="00B37B7F"/>
    <w:rsid w:val="00B41E4B"/>
    <w:rsid w:val="00B42ECE"/>
    <w:rsid w:val="00B43C37"/>
    <w:rsid w:val="00B43E2A"/>
    <w:rsid w:val="00B44D4B"/>
    <w:rsid w:val="00B4550A"/>
    <w:rsid w:val="00B456A0"/>
    <w:rsid w:val="00B506F8"/>
    <w:rsid w:val="00B50C38"/>
    <w:rsid w:val="00B51BDB"/>
    <w:rsid w:val="00B53589"/>
    <w:rsid w:val="00B55023"/>
    <w:rsid w:val="00B55488"/>
    <w:rsid w:val="00B556AC"/>
    <w:rsid w:val="00B56443"/>
    <w:rsid w:val="00B615F9"/>
    <w:rsid w:val="00B63232"/>
    <w:rsid w:val="00B632B4"/>
    <w:rsid w:val="00B634C6"/>
    <w:rsid w:val="00B636DC"/>
    <w:rsid w:val="00B64B1F"/>
    <w:rsid w:val="00B64C58"/>
    <w:rsid w:val="00B668E7"/>
    <w:rsid w:val="00B672B1"/>
    <w:rsid w:val="00B70021"/>
    <w:rsid w:val="00B70A6F"/>
    <w:rsid w:val="00B71F98"/>
    <w:rsid w:val="00B72075"/>
    <w:rsid w:val="00B72F22"/>
    <w:rsid w:val="00B73302"/>
    <w:rsid w:val="00B73CD8"/>
    <w:rsid w:val="00B749C9"/>
    <w:rsid w:val="00B751A7"/>
    <w:rsid w:val="00B75AB6"/>
    <w:rsid w:val="00B8083A"/>
    <w:rsid w:val="00B8162A"/>
    <w:rsid w:val="00B81F04"/>
    <w:rsid w:val="00B81FCB"/>
    <w:rsid w:val="00B83783"/>
    <w:rsid w:val="00B840BB"/>
    <w:rsid w:val="00B867DD"/>
    <w:rsid w:val="00B90EA0"/>
    <w:rsid w:val="00B914D3"/>
    <w:rsid w:val="00B92B30"/>
    <w:rsid w:val="00B92E05"/>
    <w:rsid w:val="00B9375A"/>
    <w:rsid w:val="00B94123"/>
    <w:rsid w:val="00B96747"/>
    <w:rsid w:val="00B97112"/>
    <w:rsid w:val="00BA0CE8"/>
    <w:rsid w:val="00BA19BE"/>
    <w:rsid w:val="00BA4B0C"/>
    <w:rsid w:val="00BB1D59"/>
    <w:rsid w:val="00BB3B9E"/>
    <w:rsid w:val="00BB4E99"/>
    <w:rsid w:val="00BB5EA5"/>
    <w:rsid w:val="00BB5FBA"/>
    <w:rsid w:val="00BB7477"/>
    <w:rsid w:val="00BC0B49"/>
    <w:rsid w:val="00BC5FD4"/>
    <w:rsid w:val="00BC63F3"/>
    <w:rsid w:val="00BD1864"/>
    <w:rsid w:val="00BD2E15"/>
    <w:rsid w:val="00BD53EE"/>
    <w:rsid w:val="00BD751C"/>
    <w:rsid w:val="00BE24C3"/>
    <w:rsid w:val="00BE3964"/>
    <w:rsid w:val="00BE46AC"/>
    <w:rsid w:val="00BE639D"/>
    <w:rsid w:val="00BF0CCF"/>
    <w:rsid w:val="00BF1FCE"/>
    <w:rsid w:val="00BF3D7D"/>
    <w:rsid w:val="00BF439D"/>
    <w:rsid w:val="00BF44C4"/>
    <w:rsid w:val="00BF5081"/>
    <w:rsid w:val="00BF5C66"/>
    <w:rsid w:val="00BF6BE2"/>
    <w:rsid w:val="00C00755"/>
    <w:rsid w:val="00C01C01"/>
    <w:rsid w:val="00C02F16"/>
    <w:rsid w:val="00C04619"/>
    <w:rsid w:val="00C058F0"/>
    <w:rsid w:val="00C05A4F"/>
    <w:rsid w:val="00C05E5B"/>
    <w:rsid w:val="00C061E3"/>
    <w:rsid w:val="00C119C2"/>
    <w:rsid w:val="00C122D5"/>
    <w:rsid w:val="00C12B1C"/>
    <w:rsid w:val="00C14967"/>
    <w:rsid w:val="00C1557B"/>
    <w:rsid w:val="00C1627A"/>
    <w:rsid w:val="00C214AE"/>
    <w:rsid w:val="00C22F4C"/>
    <w:rsid w:val="00C23768"/>
    <w:rsid w:val="00C23789"/>
    <w:rsid w:val="00C23DBC"/>
    <w:rsid w:val="00C26866"/>
    <w:rsid w:val="00C26E47"/>
    <w:rsid w:val="00C2750C"/>
    <w:rsid w:val="00C30253"/>
    <w:rsid w:val="00C304C9"/>
    <w:rsid w:val="00C3083F"/>
    <w:rsid w:val="00C33404"/>
    <w:rsid w:val="00C33777"/>
    <w:rsid w:val="00C33D51"/>
    <w:rsid w:val="00C34A8C"/>
    <w:rsid w:val="00C3607A"/>
    <w:rsid w:val="00C36707"/>
    <w:rsid w:val="00C40E57"/>
    <w:rsid w:val="00C41927"/>
    <w:rsid w:val="00C42CE4"/>
    <w:rsid w:val="00C43BDE"/>
    <w:rsid w:val="00C446BD"/>
    <w:rsid w:val="00C4479F"/>
    <w:rsid w:val="00C44F52"/>
    <w:rsid w:val="00C455E4"/>
    <w:rsid w:val="00C502B8"/>
    <w:rsid w:val="00C524D5"/>
    <w:rsid w:val="00C53EDB"/>
    <w:rsid w:val="00C579BE"/>
    <w:rsid w:val="00C621F3"/>
    <w:rsid w:val="00C62334"/>
    <w:rsid w:val="00C6311E"/>
    <w:rsid w:val="00C652AA"/>
    <w:rsid w:val="00C65A50"/>
    <w:rsid w:val="00C676E5"/>
    <w:rsid w:val="00C7079D"/>
    <w:rsid w:val="00C71638"/>
    <w:rsid w:val="00C71A96"/>
    <w:rsid w:val="00C71E19"/>
    <w:rsid w:val="00C72FD3"/>
    <w:rsid w:val="00C7374A"/>
    <w:rsid w:val="00C81D29"/>
    <w:rsid w:val="00C86344"/>
    <w:rsid w:val="00C86566"/>
    <w:rsid w:val="00C8722D"/>
    <w:rsid w:val="00C87C4F"/>
    <w:rsid w:val="00C87E09"/>
    <w:rsid w:val="00C90DDF"/>
    <w:rsid w:val="00C917EB"/>
    <w:rsid w:val="00C926AD"/>
    <w:rsid w:val="00C92CFB"/>
    <w:rsid w:val="00C93193"/>
    <w:rsid w:val="00C97FF4"/>
    <w:rsid w:val="00CA039F"/>
    <w:rsid w:val="00CA0643"/>
    <w:rsid w:val="00CA0ADF"/>
    <w:rsid w:val="00CA3A14"/>
    <w:rsid w:val="00CA49F3"/>
    <w:rsid w:val="00CA5938"/>
    <w:rsid w:val="00CA5EBF"/>
    <w:rsid w:val="00CA6C07"/>
    <w:rsid w:val="00CB027B"/>
    <w:rsid w:val="00CB04F8"/>
    <w:rsid w:val="00CB43FE"/>
    <w:rsid w:val="00CB642F"/>
    <w:rsid w:val="00CB7F0D"/>
    <w:rsid w:val="00CC13E6"/>
    <w:rsid w:val="00CC1DF7"/>
    <w:rsid w:val="00CC28C6"/>
    <w:rsid w:val="00CC4808"/>
    <w:rsid w:val="00CC4C0C"/>
    <w:rsid w:val="00CD1B6F"/>
    <w:rsid w:val="00CD30AA"/>
    <w:rsid w:val="00CD3D90"/>
    <w:rsid w:val="00CD3F5B"/>
    <w:rsid w:val="00CD4A55"/>
    <w:rsid w:val="00CD56F8"/>
    <w:rsid w:val="00CD5923"/>
    <w:rsid w:val="00CD67E1"/>
    <w:rsid w:val="00CE0D2C"/>
    <w:rsid w:val="00CE0EFD"/>
    <w:rsid w:val="00CE1B8A"/>
    <w:rsid w:val="00CE4936"/>
    <w:rsid w:val="00CE5A65"/>
    <w:rsid w:val="00CE5BE1"/>
    <w:rsid w:val="00CE77AE"/>
    <w:rsid w:val="00CF0867"/>
    <w:rsid w:val="00CF1471"/>
    <w:rsid w:val="00CF17E9"/>
    <w:rsid w:val="00CF2D63"/>
    <w:rsid w:val="00CF32F4"/>
    <w:rsid w:val="00CF34A0"/>
    <w:rsid w:val="00CF3600"/>
    <w:rsid w:val="00CF5206"/>
    <w:rsid w:val="00CF65B7"/>
    <w:rsid w:val="00CF70FA"/>
    <w:rsid w:val="00D003B0"/>
    <w:rsid w:val="00D03610"/>
    <w:rsid w:val="00D04311"/>
    <w:rsid w:val="00D06F27"/>
    <w:rsid w:val="00D07271"/>
    <w:rsid w:val="00D07386"/>
    <w:rsid w:val="00D0747C"/>
    <w:rsid w:val="00D104D6"/>
    <w:rsid w:val="00D121F0"/>
    <w:rsid w:val="00D12DD0"/>
    <w:rsid w:val="00D13970"/>
    <w:rsid w:val="00D14EC0"/>
    <w:rsid w:val="00D15807"/>
    <w:rsid w:val="00D17563"/>
    <w:rsid w:val="00D2234D"/>
    <w:rsid w:val="00D22E66"/>
    <w:rsid w:val="00D24520"/>
    <w:rsid w:val="00D24C91"/>
    <w:rsid w:val="00D262EA"/>
    <w:rsid w:val="00D31595"/>
    <w:rsid w:val="00D31DFE"/>
    <w:rsid w:val="00D34A5C"/>
    <w:rsid w:val="00D360B4"/>
    <w:rsid w:val="00D378A3"/>
    <w:rsid w:val="00D37F93"/>
    <w:rsid w:val="00D404A8"/>
    <w:rsid w:val="00D40AAD"/>
    <w:rsid w:val="00D40DEC"/>
    <w:rsid w:val="00D4216F"/>
    <w:rsid w:val="00D4357C"/>
    <w:rsid w:val="00D4403D"/>
    <w:rsid w:val="00D4482D"/>
    <w:rsid w:val="00D44EBA"/>
    <w:rsid w:val="00D4526A"/>
    <w:rsid w:val="00D454E8"/>
    <w:rsid w:val="00D45D92"/>
    <w:rsid w:val="00D47ACC"/>
    <w:rsid w:val="00D50E1E"/>
    <w:rsid w:val="00D51066"/>
    <w:rsid w:val="00D51FE7"/>
    <w:rsid w:val="00D52F32"/>
    <w:rsid w:val="00D52FBB"/>
    <w:rsid w:val="00D53831"/>
    <w:rsid w:val="00D53954"/>
    <w:rsid w:val="00D54097"/>
    <w:rsid w:val="00D55E90"/>
    <w:rsid w:val="00D55FAC"/>
    <w:rsid w:val="00D60807"/>
    <w:rsid w:val="00D61332"/>
    <w:rsid w:val="00D62292"/>
    <w:rsid w:val="00D62F65"/>
    <w:rsid w:val="00D64D1F"/>
    <w:rsid w:val="00D66519"/>
    <w:rsid w:val="00D714CD"/>
    <w:rsid w:val="00D7160E"/>
    <w:rsid w:val="00D7228E"/>
    <w:rsid w:val="00D72CE4"/>
    <w:rsid w:val="00D73280"/>
    <w:rsid w:val="00D7343A"/>
    <w:rsid w:val="00D735FF"/>
    <w:rsid w:val="00D73A3C"/>
    <w:rsid w:val="00D74FF1"/>
    <w:rsid w:val="00D76851"/>
    <w:rsid w:val="00D80545"/>
    <w:rsid w:val="00D80C44"/>
    <w:rsid w:val="00D82594"/>
    <w:rsid w:val="00D82E72"/>
    <w:rsid w:val="00D840BA"/>
    <w:rsid w:val="00D903A6"/>
    <w:rsid w:val="00D9098B"/>
    <w:rsid w:val="00D91BC7"/>
    <w:rsid w:val="00D9288B"/>
    <w:rsid w:val="00D938F7"/>
    <w:rsid w:val="00D93A62"/>
    <w:rsid w:val="00D953AA"/>
    <w:rsid w:val="00D961B4"/>
    <w:rsid w:val="00DA0765"/>
    <w:rsid w:val="00DA1C78"/>
    <w:rsid w:val="00DA1E45"/>
    <w:rsid w:val="00DA3060"/>
    <w:rsid w:val="00DA4390"/>
    <w:rsid w:val="00DA4D58"/>
    <w:rsid w:val="00DA62A2"/>
    <w:rsid w:val="00DA6F20"/>
    <w:rsid w:val="00DB17ED"/>
    <w:rsid w:val="00DB33D5"/>
    <w:rsid w:val="00DB5B5B"/>
    <w:rsid w:val="00DB75F1"/>
    <w:rsid w:val="00DB7CA8"/>
    <w:rsid w:val="00DC2D7A"/>
    <w:rsid w:val="00DC2F4D"/>
    <w:rsid w:val="00DC63E0"/>
    <w:rsid w:val="00DC6E6F"/>
    <w:rsid w:val="00DD14E1"/>
    <w:rsid w:val="00DD2B65"/>
    <w:rsid w:val="00DE0959"/>
    <w:rsid w:val="00DE1245"/>
    <w:rsid w:val="00DE3A75"/>
    <w:rsid w:val="00DE46D5"/>
    <w:rsid w:val="00DE7032"/>
    <w:rsid w:val="00DF08B1"/>
    <w:rsid w:val="00DF0E82"/>
    <w:rsid w:val="00DF30A7"/>
    <w:rsid w:val="00DF5385"/>
    <w:rsid w:val="00DF53D7"/>
    <w:rsid w:val="00DF54C2"/>
    <w:rsid w:val="00DF5787"/>
    <w:rsid w:val="00E019D5"/>
    <w:rsid w:val="00E02771"/>
    <w:rsid w:val="00E02DF9"/>
    <w:rsid w:val="00E03E14"/>
    <w:rsid w:val="00E06474"/>
    <w:rsid w:val="00E06511"/>
    <w:rsid w:val="00E10948"/>
    <w:rsid w:val="00E1193F"/>
    <w:rsid w:val="00E132F0"/>
    <w:rsid w:val="00E138B2"/>
    <w:rsid w:val="00E13A95"/>
    <w:rsid w:val="00E1446D"/>
    <w:rsid w:val="00E146ED"/>
    <w:rsid w:val="00E14F64"/>
    <w:rsid w:val="00E15FD6"/>
    <w:rsid w:val="00E161B6"/>
    <w:rsid w:val="00E1630A"/>
    <w:rsid w:val="00E16787"/>
    <w:rsid w:val="00E16AED"/>
    <w:rsid w:val="00E205B3"/>
    <w:rsid w:val="00E21B2B"/>
    <w:rsid w:val="00E22DA3"/>
    <w:rsid w:val="00E23208"/>
    <w:rsid w:val="00E24A15"/>
    <w:rsid w:val="00E24F4E"/>
    <w:rsid w:val="00E275CC"/>
    <w:rsid w:val="00E2768A"/>
    <w:rsid w:val="00E3023E"/>
    <w:rsid w:val="00E302A6"/>
    <w:rsid w:val="00E31C94"/>
    <w:rsid w:val="00E3215E"/>
    <w:rsid w:val="00E338FA"/>
    <w:rsid w:val="00E33CB2"/>
    <w:rsid w:val="00E34B78"/>
    <w:rsid w:val="00E351E9"/>
    <w:rsid w:val="00E42723"/>
    <w:rsid w:val="00E44CAD"/>
    <w:rsid w:val="00E46F71"/>
    <w:rsid w:val="00E47019"/>
    <w:rsid w:val="00E47B3E"/>
    <w:rsid w:val="00E50A44"/>
    <w:rsid w:val="00E51E6B"/>
    <w:rsid w:val="00E51FE7"/>
    <w:rsid w:val="00E52021"/>
    <w:rsid w:val="00E52C7E"/>
    <w:rsid w:val="00E52DD7"/>
    <w:rsid w:val="00E53046"/>
    <w:rsid w:val="00E53AA1"/>
    <w:rsid w:val="00E53AD3"/>
    <w:rsid w:val="00E550F7"/>
    <w:rsid w:val="00E566D2"/>
    <w:rsid w:val="00E56A2C"/>
    <w:rsid w:val="00E56F98"/>
    <w:rsid w:val="00E60843"/>
    <w:rsid w:val="00E60E3B"/>
    <w:rsid w:val="00E62220"/>
    <w:rsid w:val="00E6281F"/>
    <w:rsid w:val="00E67F9B"/>
    <w:rsid w:val="00E710BE"/>
    <w:rsid w:val="00E741DC"/>
    <w:rsid w:val="00E7585E"/>
    <w:rsid w:val="00E760B6"/>
    <w:rsid w:val="00E7692F"/>
    <w:rsid w:val="00E8056B"/>
    <w:rsid w:val="00E80A1A"/>
    <w:rsid w:val="00E8228A"/>
    <w:rsid w:val="00E83F28"/>
    <w:rsid w:val="00E85C83"/>
    <w:rsid w:val="00E8626D"/>
    <w:rsid w:val="00E95091"/>
    <w:rsid w:val="00E96A18"/>
    <w:rsid w:val="00E96AA4"/>
    <w:rsid w:val="00EA0375"/>
    <w:rsid w:val="00EA1831"/>
    <w:rsid w:val="00EA2204"/>
    <w:rsid w:val="00EA2746"/>
    <w:rsid w:val="00EA3251"/>
    <w:rsid w:val="00EA46D8"/>
    <w:rsid w:val="00EA76CC"/>
    <w:rsid w:val="00EB0C47"/>
    <w:rsid w:val="00EB0E80"/>
    <w:rsid w:val="00EB1FE0"/>
    <w:rsid w:val="00EB23C3"/>
    <w:rsid w:val="00EB2AB6"/>
    <w:rsid w:val="00EB39FF"/>
    <w:rsid w:val="00EB43B7"/>
    <w:rsid w:val="00EB52D8"/>
    <w:rsid w:val="00EB5CBE"/>
    <w:rsid w:val="00EC3571"/>
    <w:rsid w:val="00EC3F9B"/>
    <w:rsid w:val="00EC6498"/>
    <w:rsid w:val="00EC7FDA"/>
    <w:rsid w:val="00ED06E4"/>
    <w:rsid w:val="00ED0B80"/>
    <w:rsid w:val="00ED0D3C"/>
    <w:rsid w:val="00ED1DB0"/>
    <w:rsid w:val="00ED2995"/>
    <w:rsid w:val="00ED3A2B"/>
    <w:rsid w:val="00ED41E0"/>
    <w:rsid w:val="00ED4667"/>
    <w:rsid w:val="00ED582F"/>
    <w:rsid w:val="00ED6831"/>
    <w:rsid w:val="00EE07EE"/>
    <w:rsid w:val="00EE1242"/>
    <w:rsid w:val="00EE275D"/>
    <w:rsid w:val="00EE3F5C"/>
    <w:rsid w:val="00EE4129"/>
    <w:rsid w:val="00EE4228"/>
    <w:rsid w:val="00EE6684"/>
    <w:rsid w:val="00EF014A"/>
    <w:rsid w:val="00EF0EA3"/>
    <w:rsid w:val="00EF3E38"/>
    <w:rsid w:val="00EF4104"/>
    <w:rsid w:val="00EF681E"/>
    <w:rsid w:val="00EF6EED"/>
    <w:rsid w:val="00F00BBD"/>
    <w:rsid w:val="00F00C11"/>
    <w:rsid w:val="00F019AA"/>
    <w:rsid w:val="00F042CA"/>
    <w:rsid w:val="00F050A9"/>
    <w:rsid w:val="00F05E29"/>
    <w:rsid w:val="00F0610C"/>
    <w:rsid w:val="00F06E9C"/>
    <w:rsid w:val="00F07114"/>
    <w:rsid w:val="00F105BF"/>
    <w:rsid w:val="00F12173"/>
    <w:rsid w:val="00F1550C"/>
    <w:rsid w:val="00F16C2D"/>
    <w:rsid w:val="00F17E6F"/>
    <w:rsid w:val="00F17EC7"/>
    <w:rsid w:val="00F20633"/>
    <w:rsid w:val="00F21CE8"/>
    <w:rsid w:val="00F23F7C"/>
    <w:rsid w:val="00F24050"/>
    <w:rsid w:val="00F24101"/>
    <w:rsid w:val="00F24AA1"/>
    <w:rsid w:val="00F25D32"/>
    <w:rsid w:val="00F26132"/>
    <w:rsid w:val="00F26CFA"/>
    <w:rsid w:val="00F26D5F"/>
    <w:rsid w:val="00F31C8B"/>
    <w:rsid w:val="00F322F1"/>
    <w:rsid w:val="00F32BD9"/>
    <w:rsid w:val="00F33008"/>
    <w:rsid w:val="00F35E3E"/>
    <w:rsid w:val="00F37828"/>
    <w:rsid w:val="00F41DA7"/>
    <w:rsid w:val="00F448EA"/>
    <w:rsid w:val="00F475EC"/>
    <w:rsid w:val="00F506FD"/>
    <w:rsid w:val="00F51B8C"/>
    <w:rsid w:val="00F51D1F"/>
    <w:rsid w:val="00F51D63"/>
    <w:rsid w:val="00F52310"/>
    <w:rsid w:val="00F53A4E"/>
    <w:rsid w:val="00F544FD"/>
    <w:rsid w:val="00F56101"/>
    <w:rsid w:val="00F56935"/>
    <w:rsid w:val="00F60E7F"/>
    <w:rsid w:val="00F637DB"/>
    <w:rsid w:val="00F64989"/>
    <w:rsid w:val="00F662E2"/>
    <w:rsid w:val="00F66A3C"/>
    <w:rsid w:val="00F67640"/>
    <w:rsid w:val="00F67C91"/>
    <w:rsid w:val="00F70859"/>
    <w:rsid w:val="00F729E0"/>
    <w:rsid w:val="00F748B9"/>
    <w:rsid w:val="00F74A6D"/>
    <w:rsid w:val="00F768EC"/>
    <w:rsid w:val="00F769BB"/>
    <w:rsid w:val="00F76AF2"/>
    <w:rsid w:val="00F80E00"/>
    <w:rsid w:val="00F839CF"/>
    <w:rsid w:val="00F83C66"/>
    <w:rsid w:val="00F83E5B"/>
    <w:rsid w:val="00F85530"/>
    <w:rsid w:val="00F91791"/>
    <w:rsid w:val="00F91F03"/>
    <w:rsid w:val="00F920F7"/>
    <w:rsid w:val="00F9546E"/>
    <w:rsid w:val="00F968AE"/>
    <w:rsid w:val="00F96F7D"/>
    <w:rsid w:val="00F971D6"/>
    <w:rsid w:val="00F97363"/>
    <w:rsid w:val="00F973F0"/>
    <w:rsid w:val="00FA1E1F"/>
    <w:rsid w:val="00FA26A5"/>
    <w:rsid w:val="00FA4249"/>
    <w:rsid w:val="00FA4F10"/>
    <w:rsid w:val="00FA4F66"/>
    <w:rsid w:val="00FB2CC5"/>
    <w:rsid w:val="00FB3029"/>
    <w:rsid w:val="00FB3E18"/>
    <w:rsid w:val="00FB5163"/>
    <w:rsid w:val="00FC1688"/>
    <w:rsid w:val="00FC2B85"/>
    <w:rsid w:val="00FC3859"/>
    <w:rsid w:val="00FC561A"/>
    <w:rsid w:val="00FC69C6"/>
    <w:rsid w:val="00FD0A57"/>
    <w:rsid w:val="00FD1B33"/>
    <w:rsid w:val="00FD280B"/>
    <w:rsid w:val="00FD2E25"/>
    <w:rsid w:val="00FD4C85"/>
    <w:rsid w:val="00FD681D"/>
    <w:rsid w:val="00FE1834"/>
    <w:rsid w:val="00FE2695"/>
    <w:rsid w:val="00FE49EC"/>
    <w:rsid w:val="00FE61A7"/>
    <w:rsid w:val="00FF114D"/>
    <w:rsid w:val="00FF3F1D"/>
    <w:rsid w:val="00FF4F15"/>
    <w:rsid w:val="00FF510C"/>
    <w:rsid w:val="00FF5EBB"/>
    <w:rsid w:val="00FF63CA"/>
    <w:rsid w:val="00FF6962"/>
    <w:rsid w:val="00FF6A2B"/>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ind w:left="360"/>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 w:type="paragraph" w:customStyle="1" w:styleId="TableHeading">
    <w:name w:val="Table Heading"/>
    <w:link w:val="TableHeadingChar"/>
    <w:autoRedefine/>
    <w:rsid w:val="00CF1471"/>
    <w:pPr>
      <w:numPr>
        <w:numId w:val="3"/>
      </w:numPr>
      <w:spacing w:before="240" w:after="60"/>
    </w:pPr>
    <w:rPr>
      <w:rFonts w:ascii="Arial" w:eastAsia="Times New Roman" w:hAnsi="Arial"/>
      <w:b/>
      <w:sz w:val="22"/>
      <w:szCs w:val="24"/>
      <w:lang w:eastAsia="en-US"/>
    </w:rPr>
  </w:style>
  <w:style w:type="character" w:customStyle="1" w:styleId="TableHeadingChar">
    <w:name w:val="Table Heading Char"/>
    <w:link w:val="TableHeading"/>
    <w:locked/>
    <w:rsid w:val="00CF1471"/>
    <w:rPr>
      <w:rFonts w:ascii="Arial" w:eastAsia="Times New Roman" w:hAnsi="Arial"/>
      <w:b/>
      <w:sz w:val="22"/>
      <w:szCs w:val="24"/>
      <w:lang w:eastAsia="en-US"/>
    </w:rPr>
  </w:style>
  <w:style w:type="paragraph" w:customStyle="1" w:styleId="Normal-TimesNewRoman">
    <w:name w:val="Normal - Times New Roman"/>
    <w:rsid w:val="00CF1471"/>
    <w:pPr>
      <w:suppressAutoHyphens/>
      <w:spacing w:after="180"/>
      <w:jc w:val="both"/>
    </w:pPr>
    <w:rPr>
      <w:rFonts w:ascii="Times New Roman" w:eastAsia="Arial" w:hAnsi="Times New Roman"/>
      <w:sz w:val="24"/>
      <w:lang w:eastAsia="ar-SA"/>
    </w:rPr>
  </w:style>
  <w:style w:type="paragraph" w:styleId="NoSpacing">
    <w:name w:val="No Spacing"/>
    <w:uiPriority w:val="1"/>
    <w:qFormat/>
    <w:rsid w:val="0024119B"/>
    <w:rPr>
      <w:sz w:val="22"/>
      <w:szCs w:val="22"/>
      <w:lang w:eastAsia="en-US"/>
    </w:rPr>
  </w:style>
  <w:style w:type="paragraph" w:styleId="NormalWeb">
    <w:name w:val="Normal (Web)"/>
    <w:basedOn w:val="Normal"/>
    <w:uiPriority w:val="99"/>
    <w:semiHidden/>
    <w:unhideWhenUsed/>
    <w:rsid w:val="0020535C"/>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429">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16808767">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48026050">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47204894">
      <w:bodyDiv w:val="1"/>
      <w:marLeft w:val="0"/>
      <w:marRight w:val="0"/>
      <w:marTop w:val="0"/>
      <w:marBottom w:val="0"/>
      <w:divBdr>
        <w:top w:val="none" w:sz="0" w:space="0" w:color="auto"/>
        <w:left w:val="none" w:sz="0" w:space="0" w:color="auto"/>
        <w:bottom w:val="none" w:sz="0" w:space="0" w:color="auto"/>
        <w:right w:val="none" w:sz="0" w:space="0" w:color="auto"/>
      </w:divBdr>
      <w:divsChild>
        <w:div w:id="1425883156">
          <w:marLeft w:val="0"/>
          <w:marRight w:val="0"/>
          <w:marTop w:val="0"/>
          <w:marBottom w:val="0"/>
          <w:divBdr>
            <w:top w:val="none" w:sz="0" w:space="0" w:color="auto"/>
            <w:left w:val="none" w:sz="0" w:space="0" w:color="auto"/>
            <w:bottom w:val="none" w:sz="0" w:space="0" w:color="auto"/>
            <w:right w:val="none" w:sz="0" w:space="0" w:color="auto"/>
          </w:divBdr>
        </w:div>
        <w:div w:id="1517964851">
          <w:marLeft w:val="0"/>
          <w:marRight w:val="0"/>
          <w:marTop w:val="0"/>
          <w:marBottom w:val="0"/>
          <w:divBdr>
            <w:top w:val="none" w:sz="0" w:space="0" w:color="auto"/>
            <w:left w:val="none" w:sz="0" w:space="0" w:color="auto"/>
            <w:bottom w:val="none" w:sz="0" w:space="0" w:color="auto"/>
            <w:right w:val="none" w:sz="0" w:space="0" w:color="auto"/>
          </w:divBdr>
        </w:div>
        <w:div w:id="307517322">
          <w:marLeft w:val="0"/>
          <w:marRight w:val="0"/>
          <w:marTop w:val="0"/>
          <w:marBottom w:val="0"/>
          <w:divBdr>
            <w:top w:val="none" w:sz="0" w:space="0" w:color="auto"/>
            <w:left w:val="none" w:sz="0" w:space="0" w:color="auto"/>
            <w:bottom w:val="none" w:sz="0" w:space="0" w:color="auto"/>
            <w:right w:val="none" w:sz="0" w:space="0" w:color="auto"/>
          </w:divBdr>
        </w:div>
        <w:div w:id="1524637398">
          <w:marLeft w:val="0"/>
          <w:marRight w:val="0"/>
          <w:marTop w:val="0"/>
          <w:marBottom w:val="0"/>
          <w:divBdr>
            <w:top w:val="none" w:sz="0" w:space="0" w:color="auto"/>
            <w:left w:val="none" w:sz="0" w:space="0" w:color="auto"/>
            <w:bottom w:val="none" w:sz="0" w:space="0" w:color="auto"/>
            <w:right w:val="none" w:sz="0" w:space="0" w:color="auto"/>
          </w:divBdr>
        </w:div>
        <w:div w:id="242489305">
          <w:marLeft w:val="0"/>
          <w:marRight w:val="0"/>
          <w:marTop w:val="0"/>
          <w:marBottom w:val="0"/>
          <w:divBdr>
            <w:top w:val="none" w:sz="0" w:space="0" w:color="auto"/>
            <w:left w:val="none" w:sz="0" w:space="0" w:color="auto"/>
            <w:bottom w:val="none" w:sz="0" w:space="0" w:color="auto"/>
            <w:right w:val="none" w:sz="0" w:space="0" w:color="auto"/>
          </w:divBdr>
        </w:div>
        <w:div w:id="1970937023">
          <w:marLeft w:val="0"/>
          <w:marRight w:val="0"/>
          <w:marTop w:val="0"/>
          <w:marBottom w:val="0"/>
          <w:divBdr>
            <w:top w:val="none" w:sz="0" w:space="0" w:color="auto"/>
            <w:left w:val="none" w:sz="0" w:space="0" w:color="auto"/>
            <w:bottom w:val="none" w:sz="0" w:space="0" w:color="auto"/>
            <w:right w:val="none" w:sz="0" w:space="0" w:color="auto"/>
          </w:divBdr>
        </w:div>
        <w:div w:id="1383358966">
          <w:marLeft w:val="0"/>
          <w:marRight w:val="0"/>
          <w:marTop w:val="0"/>
          <w:marBottom w:val="0"/>
          <w:divBdr>
            <w:top w:val="none" w:sz="0" w:space="0" w:color="auto"/>
            <w:left w:val="none" w:sz="0" w:space="0" w:color="auto"/>
            <w:bottom w:val="none" w:sz="0" w:space="0" w:color="auto"/>
            <w:right w:val="none" w:sz="0" w:space="0" w:color="auto"/>
          </w:divBdr>
        </w:div>
        <w:div w:id="800029389">
          <w:marLeft w:val="0"/>
          <w:marRight w:val="0"/>
          <w:marTop w:val="0"/>
          <w:marBottom w:val="0"/>
          <w:divBdr>
            <w:top w:val="none" w:sz="0" w:space="0" w:color="auto"/>
            <w:left w:val="none" w:sz="0" w:space="0" w:color="auto"/>
            <w:bottom w:val="none" w:sz="0" w:space="0" w:color="auto"/>
            <w:right w:val="none" w:sz="0" w:space="0" w:color="auto"/>
          </w:divBdr>
        </w:div>
        <w:div w:id="958495093">
          <w:marLeft w:val="0"/>
          <w:marRight w:val="0"/>
          <w:marTop w:val="0"/>
          <w:marBottom w:val="0"/>
          <w:divBdr>
            <w:top w:val="none" w:sz="0" w:space="0" w:color="auto"/>
            <w:left w:val="none" w:sz="0" w:space="0" w:color="auto"/>
            <w:bottom w:val="none" w:sz="0" w:space="0" w:color="auto"/>
            <w:right w:val="none" w:sz="0" w:space="0" w:color="auto"/>
          </w:divBdr>
        </w:div>
        <w:div w:id="475880714">
          <w:marLeft w:val="0"/>
          <w:marRight w:val="0"/>
          <w:marTop w:val="0"/>
          <w:marBottom w:val="0"/>
          <w:divBdr>
            <w:top w:val="none" w:sz="0" w:space="0" w:color="auto"/>
            <w:left w:val="none" w:sz="0" w:space="0" w:color="auto"/>
            <w:bottom w:val="none" w:sz="0" w:space="0" w:color="auto"/>
            <w:right w:val="none" w:sz="0" w:space="0" w:color="auto"/>
          </w:divBdr>
        </w:div>
        <w:div w:id="1623227070">
          <w:marLeft w:val="0"/>
          <w:marRight w:val="0"/>
          <w:marTop w:val="0"/>
          <w:marBottom w:val="0"/>
          <w:divBdr>
            <w:top w:val="none" w:sz="0" w:space="0" w:color="auto"/>
            <w:left w:val="none" w:sz="0" w:space="0" w:color="auto"/>
            <w:bottom w:val="none" w:sz="0" w:space="0" w:color="auto"/>
            <w:right w:val="none" w:sz="0" w:space="0" w:color="auto"/>
          </w:divBdr>
        </w:div>
        <w:div w:id="114326615">
          <w:marLeft w:val="0"/>
          <w:marRight w:val="0"/>
          <w:marTop w:val="0"/>
          <w:marBottom w:val="0"/>
          <w:divBdr>
            <w:top w:val="none" w:sz="0" w:space="0" w:color="auto"/>
            <w:left w:val="none" w:sz="0" w:space="0" w:color="auto"/>
            <w:bottom w:val="none" w:sz="0" w:space="0" w:color="auto"/>
            <w:right w:val="none" w:sz="0" w:space="0" w:color="auto"/>
          </w:divBdr>
        </w:div>
        <w:div w:id="863594781">
          <w:marLeft w:val="0"/>
          <w:marRight w:val="0"/>
          <w:marTop w:val="0"/>
          <w:marBottom w:val="0"/>
          <w:divBdr>
            <w:top w:val="none" w:sz="0" w:space="0" w:color="auto"/>
            <w:left w:val="none" w:sz="0" w:space="0" w:color="auto"/>
            <w:bottom w:val="none" w:sz="0" w:space="0" w:color="auto"/>
            <w:right w:val="none" w:sz="0" w:space="0" w:color="auto"/>
          </w:divBdr>
        </w:div>
        <w:div w:id="815537583">
          <w:marLeft w:val="0"/>
          <w:marRight w:val="0"/>
          <w:marTop w:val="0"/>
          <w:marBottom w:val="0"/>
          <w:divBdr>
            <w:top w:val="none" w:sz="0" w:space="0" w:color="auto"/>
            <w:left w:val="none" w:sz="0" w:space="0" w:color="auto"/>
            <w:bottom w:val="none" w:sz="0" w:space="0" w:color="auto"/>
            <w:right w:val="none" w:sz="0" w:space="0" w:color="auto"/>
          </w:divBdr>
        </w:div>
      </w:divsChild>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4177704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net.anu.edu.au/publications/wp-9-principle-process-performance-or-what-new-approaches-ohs-standards-settin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urts.sa.gov.au/CoronersFinding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0A5A-4214-4401-8E4C-FD606EC9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5684</Words>
  <Characters>30871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2015-01-09T00:52:00Z</dcterms:created>
  <dcterms:modified xsi:type="dcterms:W3CDTF">2015-02-06T05:04:00Z</dcterms:modified>
  <cp:contentStatus/>
</cp:coreProperties>
</file>