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4A0" w:firstRow="1" w:lastRow="0" w:firstColumn="1" w:lastColumn="0" w:noHBand="0" w:noVBand="1"/>
      </w:tblPr>
      <w:tblGrid>
        <w:gridCol w:w="3011"/>
        <w:gridCol w:w="7218"/>
      </w:tblGrid>
      <w:tr w:rsidR="00D735FF" w:rsidRPr="00A26CD2" w:rsidTr="00611D83">
        <w:trPr>
          <w:trHeight w:val="811"/>
        </w:trPr>
        <w:tc>
          <w:tcPr>
            <w:tcW w:w="3011" w:type="dxa"/>
            <w:vAlign w:val="center"/>
          </w:tcPr>
          <w:p w:rsidR="00D735FF" w:rsidRDefault="00D735FF" w:rsidP="001025C9">
            <w:pPr>
              <w:pStyle w:val="Header"/>
              <w:jc w:val="both"/>
              <w:rPr>
                <w:rFonts w:asciiTheme="minorHAnsi" w:hAnsiTheme="minorHAnsi" w:cs="Arial"/>
                <w:b/>
                <w:sz w:val="28"/>
                <w:szCs w:val="20"/>
              </w:rPr>
            </w:pPr>
            <w:bookmarkStart w:id="0" w:name="_GoBack"/>
            <w:bookmarkEnd w:id="0"/>
            <w:r w:rsidRPr="00A26CD2">
              <w:rPr>
                <w:rFonts w:asciiTheme="minorHAnsi" w:hAnsiTheme="minorHAnsi" w:cs="Arial"/>
                <w:b/>
                <w:sz w:val="28"/>
                <w:szCs w:val="20"/>
              </w:rPr>
              <w:t>Submission to:</w:t>
            </w:r>
          </w:p>
          <w:p w:rsidR="003E3FAF" w:rsidRPr="00A26CD2" w:rsidRDefault="003E3FAF" w:rsidP="001025C9">
            <w:pPr>
              <w:pStyle w:val="Header"/>
              <w:jc w:val="both"/>
              <w:rPr>
                <w:rFonts w:asciiTheme="minorHAnsi" w:hAnsiTheme="minorHAnsi" w:cs="Arial"/>
                <w:b/>
                <w:sz w:val="28"/>
                <w:szCs w:val="20"/>
              </w:rPr>
            </w:pPr>
          </w:p>
        </w:tc>
        <w:tc>
          <w:tcPr>
            <w:tcW w:w="7218" w:type="dxa"/>
            <w:vAlign w:val="center"/>
          </w:tcPr>
          <w:p w:rsidR="003E3FAF" w:rsidRDefault="003E3FAF" w:rsidP="00A54132">
            <w:pPr>
              <w:pStyle w:val="Header"/>
              <w:rPr>
                <w:rFonts w:asciiTheme="minorHAnsi" w:hAnsiTheme="minorHAnsi" w:cs="Arial"/>
                <w:sz w:val="28"/>
                <w:szCs w:val="20"/>
              </w:rPr>
            </w:pPr>
          </w:p>
          <w:p w:rsidR="00D735FF" w:rsidRDefault="003E3FAF" w:rsidP="00A54132">
            <w:pPr>
              <w:pStyle w:val="Header"/>
              <w:rPr>
                <w:rFonts w:asciiTheme="minorHAnsi" w:hAnsiTheme="minorHAnsi" w:cs="Arial"/>
                <w:sz w:val="28"/>
                <w:szCs w:val="20"/>
              </w:rPr>
            </w:pPr>
            <w:r w:rsidRPr="003E3FAF">
              <w:rPr>
                <w:rFonts w:asciiTheme="minorHAnsi" w:hAnsiTheme="minorHAnsi" w:cs="Arial"/>
                <w:sz w:val="28"/>
                <w:szCs w:val="20"/>
              </w:rPr>
              <w:t>Rural and Regional Affairs and Transport References Committee</w:t>
            </w:r>
          </w:p>
          <w:p w:rsidR="003E3FAF" w:rsidRPr="00A26CD2" w:rsidRDefault="003E3FAF" w:rsidP="00A54132">
            <w:pPr>
              <w:pStyle w:val="Header"/>
              <w:rPr>
                <w:rFonts w:asciiTheme="minorHAnsi" w:hAnsiTheme="minorHAnsi" w:cs="Arial"/>
                <w:sz w:val="28"/>
                <w:szCs w:val="20"/>
              </w:rPr>
            </w:pPr>
          </w:p>
        </w:tc>
      </w:tr>
      <w:tr w:rsidR="00D735FF" w:rsidRPr="00A26CD2" w:rsidTr="00202AE7">
        <w:trPr>
          <w:trHeight w:val="68"/>
        </w:trPr>
        <w:tc>
          <w:tcPr>
            <w:tcW w:w="3011" w:type="dxa"/>
          </w:tcPr>
          <w:p w:rsidR="00D735FF" w:rsidRPr="00A26CD2" w:rsidRDefault="00D735FF" w:rsidP="000561A5">
            <w:pPr>
              <w:pStyle w:val="Header"/>
              <w:rPr>
                <w:rFonts w:asciiTheme="minorHAnsi" w:hAnsiTheme="minorHAnsi" w:cs="Arial"/>
                <w:b/>
                <w:sz w:val="28"/>
                <w:szCs w:val="20"/>
              </w:rPr>
            </w:pPr>
            <w:r w:rsidRPr="00A26CD2">
              <w:rPr>
                <w:rFonts w:asciiTheme="minorHAnsi" w:hAnsiTheme="minorHAnsi" w:cs="Arial"/>
                <w:b/>
                <w:sz w:val="28"/>
                <w:szCs w:val="20"/>
              </w:rPr>
              <w:t>Title:</w:t>
            </w:r>
          </w:p>
        </w:tc>
        <w:tc>
          <w:tcPr>
            <w:tcW w:w="7218" w:type="dxa"/>
          </w:tcPr>
          <w:p w:rsidR="00DA4390" w:rsidRPr="00A26CD2" w:rsidRDefault="003E3FAF" w:rsidP="00202AE7">
            <w:pPr>
              <w:pStyle w:val="Header"/>
              <w:rPr>
                <w:rFonts w:asciiTheme="minorHAnsi" w:hAnsiTheme="minorHAnsi" w:cs="Arial"/>
                <w:sz w:val="28"/>
                <w:szCs w:val="20"/>
              </w:rPr>
            </w:pPr>
            <w:r>
              <w:rPr>
                <w:rFonts w:asciiTheme="minorHAnsi" w:hAnsiTheme="minorHAnsi" w:cs="Arial"/>
                <w:sz w:val="28"/>
                <w:szCs w:val="20"/>
              </w:rPr>
              <w:t>Aspects of road safety</w:t>
            </w:r>
            <w:r w:rsidR="001E4593">
              <w:rPr>
                <w:rFonts w:asciiTheme="minorHAnsi" w:hAnsiTheme="minorHAnsi" w:cs="Arial"/>
                <w:sz w:val="28"/>
                <w:szCs w:val="20"/>
              </w:rPr>
              <w:t xml:space="preserve"> in Australia</w:t>
            </w:r>
          </w:p>
        </w:tc>
      </w:tr>
      <w:tr w:rsidR="00D735FF" w:rsidRPr="00A26CD2" w:rsidTr="00611D83">
        <w:trPr>
          <w:trHeight w:val="811"/>
        </w:trPr>
        <w:tc>
          <w:tcPr>
            <w:tcW w:w="3011" w:type="dxa"/>
            <w:vAlign w:val="center"/>
          </w:tcPr>
          <w:p w:rsidR="00D735FF" w:rsidRPr="00A26CD2" w:rsidRDefault="00D735FF" w:rsidP="001025C9">
            <w:pPr>
              <w:pStyle w:val="Header"/>
              <w:jc w:val="both"/>
              <w:rPr>
                <w:rFonts w:asciiTheme="minorHAnsi" w:hAnsiTheme="minorHAnsi" w:cs="Arial"/>
                <w:b/>
                <w:sz w:val="28"/>
                <w:szCs w:val="20"/>
              </w:rPr>
            </w:pPr>
            <w:r w:rsidRPr="00A26CD2">
              <w:rPr>
                <w:rFonts w:asciiTheme="minorHAnsi" w:hAnsiTheme="minorHAnsi" w:cs="Arial"/>
                <w:b/>
                <w:sz w:val="28"/>
                <w:szCs w:val="20"/>
              </w:rPr>
              <w:t>Date:</w:t>
            </w:r>
          </w:p>
        </w:tc>
        <w:tc>
          <w:tcPr>
            <w:tcW w:w="7218" w:type="dxa"/>
            <w:vAlign w:val="center"/>
          </w:tcPr>
          <w:p w:rsidR="00D735FF" w:rsidRPr="008B7065" w:rsidRDefault="003E3FAF" w:rsidP="00905C0A">
            <w:pPr>
              <w:pStyle w:val="Header"/>
              <w:rPr>
                <w:rFonts w:asciiTheme="minorHAnsi" w:hAnsiTheme="minorHAnsi" w:cs="Arial"/>
                <w:sz w:val="28"/>
                <w:szCs w:val="28"/>
              </w:rPr>
            </w:pPr>
            <w:r>
              <w:rPr>
                <w:rFonts w:asciiTheme="minorHAnsi" w:hAnsiTheme="minorHAnsi" w:cs="Arial"/>
                <w:noProof/>
                <w:sz w:val="28"/>
                <w:szCs w:val="28"/>
                <w:lang w:eastAsia="en-AU"/>
              </w:rPr>
              <w:t>27 February</w:t>
            </w:r>
            <w:r w:rsidR="003B7E94">
              <w:rPr>
                <w:rFonts w:asciiTheme="minorHAnsi" w:hAnsiTheme="minorHAnsi" w:cs="Arial"/>
                <w:noProof/>
                <w:sz w:val="28"/>
                <w:szCs w:val="28"/>
                <w:lang w:eastAsia="en-AU"/>
              </w:rPr>
              <w:t xml:space="preserve"> 2015</w:t>
            </w:r>
          </w:p>
        </w:tc>
      </w:tr>
    </w:tbl>
    <w:p w:rsidR="00D735FF" w:rsidRPr="00A26CD2" w:rsidRDefault="00D735FF" w:rsidP="001025C9">
      <w:pPr>
        <w:pStyle w:val="Header"/>
        <w:jc w:val="both"/>
        <w:rPr>
          <w:rFonts w:asciiTheme="minorHAnsi" w:hAnsiTheme="minorHAnsi" w:cs="Arial"/>
          <w:sz w:val="20"/>
          <w:szCs w:val="20"/>
        </w:rPr>
      </w:pPr>
    </w:p>
    <w:p w:rsidR="00576ED0" w:rsidRPr="00A26CD2" w:rsidRDefault="00576ED0" w:rsidP="001025C9">
      <w:pPr>
        <w:pStyle w:val="Header"/>
        <w:jc w:val="both"/>
        <w:rPr>
          <w:rFonts w:asciiTheme="minorHAnsi" w:hAnsiTheme="minorHAnsi" w:cs="Arial"/>
          <w:sz w:val="20"/>
          <w:szCs w:val="20"/>
        </w:rPr>
      </w:pPr>
    </w:p>
    <w:p w:rsidR="00576ED0" w:rsidRPr="00A26CD2" w:rsidRDefault="00576ED0" w:rsidP="001025C9">
      <w:pPr>
        <w:jc w:val="both"/>
        <w:rPr>
          <w:rFonts w:asciiTheme="minorHAnsi" w:hAnsiTheme="minorHAnsi" w:cs="Arial"/>
          <w:sz w:val="20"/>
          <w:szCs w:val="20"/>
          <w:lang w:val="en-GB"/>
        </w:rPr>
        <w:sectPr w:rsidR="00576ED0" w:rsidRPr="00A26CD2"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A26CD2" w:rsidRDefault="00576ED0"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4"/>
          <w:szCs w:val="20"/>
        </w:rPr>
      </w:pPr>
    </w:p>
    <w:p w:rsidR="0035493A" w:rsidRPr="00A26CD2" w:rsidRDefault="003B74E4" w:rsidP="001025C9">
      <w:pPr>
        <w:jc w:val="both"/>
        <w:rPr>
          <w:rFonts w:asciiTheme="minorHAnsi" w:hAnsiTheme="minorHAnsi" w:cs="Arial"/>
          <w:b/>
          <w:color w:val="000064"/>
          <w:sz w:val="24"/>
          <w:szCs w:val="20"/>
        </w:rPr>
      </w:pPr>
      <w:r w:rsidRPr="00A26CD2">
        <w:rPr>
          <w:rFonts w:asciiTheme="minorHAnsi" w:hAnsiTheme="minorHAnsi" w:cs="Arial"/>
          <w:b/>
          <w:color w:val="000064"/>
          <w:sz w:val="24"/>
          <w:szCs w:val="20"/>
        </w:rPr>
        <w:t>Contents</w:t>
      </w:r>
    </w:p>
    <w:p w:rsidR="00576ED0" w:rsidRPr="00A26CD2" w:rsidRDefault="00576ED0" w:rsidP="001025C9">
      <w:pPr>
        <w:jc w:val="both"/>
        <w:rPr>
          <w:rFonts w:asciiTheme="minorHAnsi" w:hAnsiTheme="minorHAnsi" w:cs="Arial"/>
          <w:sz w:val="24"/>
          <w:szCs w:val="20"/>
        </w:rPr>
      </w:pPr>
    </w:p>
    <w:p w:rsidR="009B0520" w:rsidRPr="00A26CD2" w:rsidRDefault="009B0520" w:rsidP="001025C9">
      <w:pPr>
        <w:jc w:val="both"/>
        <w:rPr>
          <w:rFonts w:asciiTheme="minorHAnsi" w:hAnsiTheme="minorHAnsi" w:cs="Arial"/>
          <w:b/>
          <w:sz w:val="24"/>
          <w:szCs w:val="20"/>
        </w:rPr>
      </w:pPr>
    </w:p>
    <w:p w:rsidR="008144FA" w:rsidRPr="009D175C" w:rsidRDefault="0004142E">
      <w:pPr>
        <w:pStyle w:val="TOC1"/>
        <w:rPr>
          <w:rFonts w:asciiTheme="minorHAnsi" w:eastAsiaTheme="minorEastAsia" w:hAnsiTheme="minorHAnsi" w:cstheme="minorBidi"/>
          <w:b w:val="0"/>
          <w:color w:val="auto"/>
          <w:sz w:val="24"/>
          <w:szCs w:val="24"/>
          <w:lang w:eastAsia="en-AU"/>
        </w:rPr>
      </w:pPr>
      <w:r w:rsidRPr="009D175C">
        <w:rPr>
          <w:rFonts w:asciiTheme="minorHAnsi" w:hAnsiTheme="minorHAnsi" w:cs="Arial"/>
          <w:b w:val="0"/>
          <w:sz w:val="24"/>
          <w:szCs w:val="24"/>
        </w:rPr>
        <w:fldChar w:fldCharType="begin"/>
      </w:r>
      <w:r w:rsidR="0035493A" w:rsidRPr="009D175C">
        <w:rPr>
          <w:rFonts w:asciiTheme="minorHAnsi" w:hAnsiTheme="minorHAnsi" w:cs="Arial"/>
          <w:b w:val="0"/>
          <w:sz w:val="24"/>
          <w:szCs w:val="24"/>
        </w:rPr>
        <w:instrText xml:space="preserve"> TOC \o "1-2" \t "ATA Heading 2,2" </w:instrText>
      </w:r>
      <w:r w:rsidRPr="009D175C">
        <w:rPr>
          <w:rFonts w:asciiTheme="minorHAnsi" w:hAnsiTheme="minorHAnsi" w:cs="Arial"/>
          <w:b w:val="0"/>
          <w:sz w:val="24"/>
          <w:szCs w:val="24"/>
        </w:rPr>
        <w:fldChar w:fldCharType="separate"/>
      </w:r>
      <w:r w:rsidR="008144FA" w:rsidRPr="009D175C">
        <w:rPr>
          <w:rFonts w:asciiTheme="minorHAnsi" w:hAnsiTheme="minorHAnsi"/>
          <w:sz w:val="24"/>
          <w:szCs w:val="24"/>
        </w:rPr>
        <w:t>1.</w:t>
      </w:r>
      <w:r w:rsidR="008144FA" w:rsidRPr="009D175C">
        <w:rPr>
          <w:rFonts w:asciiTheme="minorHAnsi" w:eastAsiaTheme="minorEastAsia" w:hAnsiTheme="minorHAnsi" w:cstheme="minorBidi"/>
          <w:b w:val="0"/>
          <w:color w:val="auto"/>
          <w:sz w:val="24"/>
          <w:szCs w:val="24"/>
          <w:lang w:eastAsia="en-AU"/>
        </w:rPr>
        <w:tab/>
      </w:r>
      <w:r w:rsidR="008144FA" w:rsidRPr="009D175C">
        <w:rPr>
          <w:rFonts w:asciiTheme="minorHAnsi" w:hAnsiTheme="minorHAnsi"/>
          <w:sz w:val="24"/>
          <w:szCs w:val="24"/>
        </w:rPr>
        <w:t>About the Australian Trucking Association</w:t>
      </w:r>
      <w:r w:rsidR="008144FA" w:rsidRPr="009D175C">
        <w:rPr>
          <w:sz w:val="24"/>
          <w:szCs w:val="24"/>
        </w:rPr>
        <w:tab/>
      </w:r>
      <w:r w:rsidR="008144FA" w:rsidRPr="009D175C">
        <w:rPr>
          <w:sz w:val="24"/>
          <w:szCs w:val="24"/>
        </w:rPr>
        <w:fldChar w:fldCharType="begin"/>
      </w:r>
      <w:r w:rsidR="008144FA" w:rsidRPr="009D175C">
        <w:rPr>
          <w:sz w:val="24"/>
          <w:szCs w:val="24"/>
        </w:rPr>
        <w:instrText xml:space="preserve"> PAGEREF _Toc412201490 \h </w:instrText>
      </w:r>
      <w:r w:rsidR="008144FA" w:rsidRPr="009D175C">
        <w:rPr>
          <w:sz w:val="24"/>
          <w:szCs w:val="24"/>
        </w:rPr>
      </w:r>
      <w:r w:rsidR="008144FA" w:rsidRPr="009D175C">
        <w:rPr>
          <w:sz w:val="24"/>
          <w:szCs w:val="24"/>
        </w:rPr>
        <w:fldChar w:fldCharType="separate"/>
      </w:r>
      <w:r w:rsidR="006216C2">
        <w:rPr>
          <w:sz w:val="24"/>
          <w:szCs w:val="24"/>
        </w:rPr>
        <w:t>3</w:t>
      </w:r>
      <w:r w:rsidR="008144FA" w:rsidRPr="009D175C">
        <w:rPr>
          <w:sz w:val="24"/>
          <w:szCs w:val="24"/>
        </w:rPr>
        <w:fldChar w:fldCharType="end"/>
      </w:r>
    </w:p>
    <w:p w:rsidR="008144FA" w:rsidRPr="009D175C" w:rsidRDefault="008144FA">
      <w:pPr>
        <w:pStyle w:val="TOC1"/>
        <w:rPr>
          <w:rFonts w:asciiTheme="minorHAnsi" w:eastAsiaTheme="minorEastAsia" w:hAnsiTheme="minorHAnsi" w:cstheme="minorBidi"/>
          <w:b w:val="0"/>
          <w:color w:val="auto"/>
          <w:sz w:val="24"/>
          <w:szCs w:val="24"/>
          <w:lang w:eastAsia="en-AU"/>
        </w:rPr>
      </w:pPr>
      <w:r w:rsidRPr="009D175C">
        <w:rPr>
          <w:rFonts w:asciiTheme="minorHAnsi" w:hAnsiTheme="minorHAnsi"/>
          <w:sz w:val="24"/>
          <w:szCs w:val="24"/>
        </w:rPr>
        <w:t>2.</w:t>
      </w:r>
      <w:r w:rsidRPr="009D175C">
        <w:rPr>
          <w:rFonts w:asciiTheme="minorHAnsi" w:eastAsiaTheme="minorEastAsia" w:hAnsiTheme="minorHAnsi" w:cstheme="minorBidi"/>
          <w:b w:val="0"/>
          <w:color w:val="auto"/>
          <w:sz w:val="24"/>
          <w:szCs w:val="24"/>
          <w:lang w:eastAsia="en-AU"/>
        </w:rPr>
        <w:tab/>
      </w:r>
      <w:r w:rsidRPr="009D175C">
        <w:rPr>
          <w:rFonts w:asciiTheme="minorHAnsi" w:hAnsiTheme="minorHAnsi"/>
          <w:sz w:val="24"/>
          <w:szCs w:val="24"/>
        </w:rPr>
        <w:t>Summary of recommendations</w:t>
      </w:r>
      <w:r w:rsidRPr="009D175C">
        <w:rPr>
          <w:sz w:val="24"/>
          <w:szCs w:val="24"/>
        </w:rPr>
        <w:tab/>
        <w:t>3</w:t>
      </w:r>
    </w:p>
    <w:p w:rsidR="008144FA" w:rsidRPr="009D175C" w:rsidRDefault="008144FA">
      <w:pPr>
        <w:pStyle w:val="TOC1"/>
        <w:rPr>
          <w:rFonts w:asciiTheme="minorHAnsi" w:eastAsiaTheme="minorEastAsia" w:hAnsiTheme="minorHAnsi" w:cstheme="minorBidi"/>
          <w:b w:val="0"/>
          <w:color w:val="auto"/>
          <w:sz w:val="24"/>
          <w:szCs w:val="24"/>
          <w:lang w:eastAsia="en-AU"/>
        </w:rPr>
      </w:pPr>
      <w:r w:rsidRPr="009D175C">
        <w:rPr>
          <w:rFonts w:asciiTheme="minorHAnsi" w:hAnsiTheme="minorHAnsi"/>
          <w:sz w:val="24"/>
          <w:szCs w:val="24"/>
          <w:highlight w:val="white"/>
          <w:lang w:eastAsia="en-AU"/>
        </w:rPr>
        <w:t>3.</w:t>
      </w:r>
      <w:r w:rsidRPr="009D175C">
        <w:rPr>
          <w:rFonts w:asciiTheme="minorHAnsi" w:eastAsiaTheme="minorEastAsia" w:hAnsiTheme="minorHAnsi" w:cstheme="minorBidi"/>
          <w:b w:val="0"/>
          <w:color w:val="auto"/>
          <w:sz w:val="24"/>
          <w:szCs w:val="24"/>
          <w:lang w:eastAsia="en-AU"/>
        </w:rPr>
        <w:tab/>
      </w:r>
      <w:r w:rsidRPr="009D175C">
        <w:rPr>
          <w:rFonts w:asciiTheme="minorHAnsi" w:hAnsiTheme="minorHAnsi"/>
          <w:sz w:val="24"/>
          <w:szCs w:val="24"/>
          <w:highlight w:val="white"/>
          <w:lang w:eastAsia="en-AU"/>
        </w:rPr>
        <w:t>Introduction</w:t>
      </w:r>
      <w:r w:rsidRPr="009D175C">
        <w:rPr>
          <w:sz w:val="24"/>
          <w:szCs w:val="24"/>
        </w:rPr>
        <w:tab/>
      </w:r>
      <w:r w:rsidRPr="009D175C">
        <w:rPr>
          <w:sz w:val="24"/>
          <w:szCs w:val="24"/>
        </w:rPr>
        <w:fldChar w:fldCharType="begin"/>
      </w:r>
      <w:r w:rsidRPr="009D175C">
        <w:rPr>
          <w:sz w:val="24"/>
          <w:szCs w:val="24"/>
        </w:rPr>
        <w:instrText xml:space="preserve"> PAGEREF _Toc412201492 \h </w:instrText>
      </w:r>
      <w:r w:rsidRPr="009D175C">
        <w:rPr>
          <w:sz w:val="24"/>
          <w:szCs w:val="24"/>
        </w:rPr>
      </w:r>
      <w:r w:rsidRPr="009D175C">
        <w:rPr>
          <w:sz w:val="24"/>
          <w:szCs w:val="24"/>
        </w:rPr>
        <w:fldChar w:fldCharType="separate"/>
      </w:r>
      <w:r w:rsidR="006216C2">
        <w:rPr>
          <w:sz w:val="24"/>
          <w:szCs w:val="24"/>
        </w:rPr>
        <w:t>3</w:t>
      </w:r>
      <w:r w:rsidRPr="009D175C">
        <w:rPr>
          <w:sz w:val="24"/>
          <w:szCs w:val="24"/>
        </w:rPr>
        <w:fldChar w:fldCharType="end"/>
      </w:r>
    </w:p>
    <w:p w:rsidR="00027B59" w:rsidRPr="009D175C" w:rsidRDefault="00027B59" w:rsidP="00027B59">
      <w:pPr>
        <w:pStyle w:val="TOC1"/>
        <w:rPr>
          <w:sz w:val="24"/>
          <w:szCs w:val="24"/>
        </w:rPr>
      </w:pPr>
      <w:r w:rsidRPr="009D175C">
        <w:rPr>
          <w:rFonts w:asciiTheme="minorHAnsi" w:hAnsiTheme="minorHAnsi"/>
          <w:sz w:val="24"/>
          <w:szCs w:val="24"/>
          <w:highlight w:val="white"/>
          <w:lang w:eastAsia="en-AU"/>
        </w:rPr>
        <w:t>4.</w:t>
      </w:r>
      <w:r w:rsidRPr="009D175C">
        <w:rPr>
          <w:rFonts w:asciiTheme="minorHAnsi" w:eastAsiaTheme="minorEastAsia" w:hAnsiTheme="minorHAnsi" w:cstheme="minorBidi"/>
          <w:b w:val="0"/>
          <w:color w:val="auto"/>
          <w:sz w:val="24"/>
          <w:szCs w:val="24"/>
          <w:lang w:eastAsia="en-AU"/>
        </w:rPr>
        <w:tab/>
      </w:r>
      <w:r w:rsidRPr="009D175C">
        <w:rPr>
          <w:rFonts w:asciiTheme="minorHAnsi" w:hAnsiTheme="minorHAnsi"/>
          <w:sz w:val="24"/>
          <w:szCs w:val="24"/>
          <w:highlight w:val="white"/>
          <w:lang w:eastAsia="en-AU"/>
        </w:rPr>
        <w:t>Aspects of road safety</w:t>
      </w:r>
      <w:r w:rsidRPr="009D175C">
        <w:rPr>
          <w:sz w:val="24"/>
          <w:szCs w:val="24"/>
        </w:rPr>
        <w:tab/>
      </w:r>
      <w:r w:rsidRPr="009D175C">
        <w:rPr>
          <w:sz w:val="24"/>
          <w:szCs w:val="24"/>
        </w:rPr>
        <w:fldChar w:fldCharType="begin"/>
      </w:r>
      <w:r w:rsidRPr="009D175C">
        <w:rPr>
          <w:sz w:val="24"/>
          <w:szCs w:val="24"/>
        </w:rPr>
        <w:instrText xml:space="preserve"> PAGEREF _Toc412201493 \h </w:instrText>
      </w:r>
      <w:r w:rsidRPr="009D175C">
        <w:rPr>
          <w:sz w:val="24"/>
          <w:szCs w:val="24"/>
        </w:rPr>
      </w:r>
      <w:r w:rsidRPr="009D175C">
        <w:rPr>
          <w:sz w:val="24"/>
          <w:szCs w:val="24"/>
        </w:rPr>
        <w:fldChar w:fldCharType="separate"/>
      </w:r>
      <w:r w:rsidR="006216C2">
        <w:rPr>
          <w:sz w:val="24"/>
          <w:szCs w:val="24"/>
        </w:rPr>
        <w:t>4</w:t>
      </w:r>
      <w:r w:rsidRPr="009D175C">
        <w:rPr>
          <w:sz w:val="24"/>
          <w:szCs w:val="24"/>
        </w:rPr>
        <w:fldChar w:fldCharType="end"/>
      </w:r>
    </w:p>
    <w:p w:rsidR="00027B59" w:rsidRPr="009D175C" w:rsidRDefault="00027B59" w:rsidP="00027B59">
      <w:pPr>
        <w:rPr>
          <w:noProof/>
          <w:sz w:val="24"/>
          <w:szCs w:val="24"/>
        </w:rPr>
      </w:pPr>
    </w:p>
    <w:p w:rsidR="00027B59" w:rsidRPr="00027B59" w:rsidRDefault="0004142E" w:rsidP="00027B59">
      <w:pPr>
        <w:rPr>
          <w:sz w:val="20"/>
          <w:szCs w:val="20"/>
        </w:rPr>
      </w:pPr>
      <w:r w:rsidRPr="009D175C">
        <w:rPr>
          <w:sz w:val="24"/>
          <w:szCs w:val="24"/>
        </w:rPr>
        <w:fldChar w:fldCharType="end"/>
      </w:r>
    </w:p>
    <w:p w:rsidR="00651008" w:rsidRDefault="00651008" w:rsidP="008144FA">
      <w:pPr>
        <w:pStyle w:val="TOC1"/>
        <w:rPr>
          <w:rFonts w:asciiTheme="minorHAnsi" w:eastAsiaTheme="minorEastAsia" w:hAnsiTheme="minorHAnsi" w:cstheme="minorBidi"/>
          <w:b w:val="0"/>
          <w:color w:val="auto"/>
          <w:sz w:val="22"/>
          <w:szCs w:val="22"/>
          <w:lang w:eastAsia="en-AU"/>
        </w:rPr>
      </w:pPr>
    </w:p>
    <w:p w:rsidR="00576ED0" w:rsidRDefault="00576ED0" w:rsidP="00A26CD2">
      <w:pPr>
        <w:tabs>
          <w:tab w:val="right" w:leader="dot" w:pos="9645"/>
        </w:tabs>
        <w:jc w:val="both"/>
        <w:rPr>
          <w:rFonts w:asciiTheme="minorHAnsi" w:hAnsiTheme="minorHAnsi" w:cs="Arial"/>
          <w:sz w:val="20"/>
          <w:szCs w:val="20"/>
        </w:rPr>
      </w:pPr>
      <w:r w:rsidRPr="00A26CD2">
        <w:rPr>
          <w:rFonts w:asciiTheme="minorHAnsi" w:hAnsiTheme="minorHAnsi" w:cs="Arial"/>
          <w:sz w:val="20"/>
          <w:szCs w:val="20"/>
        </w:rPr>
        <w:br w:type="page"/>
      </w:r>
    </w:p>
    <w:p w:rsidR="009D175C" w:rsidRDefault="009D175C" w:rsidP="00A26CD2">
      <w:pPr>
        <w:tabs>
          <w:tab w:val="right" w:leader="dot" w:pos="9645"/>
        </w:tabs>
        <w:jc w:val="both"/>
        <w:rPr>
          <w:rFonts w:asciiTheme="minorHAnsi" w:hAnsiTheme="minorHAnsi" w:cs="Arial"/>
          <w:sz w:val="20"/>
          <w:szCs w:val="20"/>
        </w:rPr>
      </w:pPr>
    </w:p>
    <w:p w:rsidR="009D175C" w:rsidRPr="00A26CD2" w:rsidRDefault="009D175C" w:rsidP="00A26CD2">
      <w:pPr>
        <w:tabs>
          <w:tab w:val="right" w:leader="dot" w:pos="9645"/>
        </w:tabs>
        <w:jc w:val="both"/>
        <w:rPr>
          <w:rFonts w:asciiTheme="minorHAnsi" w:hAnsiTheme="minorHAnsi" w:cs="Arial"/>
          <w:sz w:val="20"/>
          <w:szCs w:val="20"/>
        </w:rPr>
      </w:pPr>
    </w:p>
    <w:p w:rsidR="00F544FD" w:rsidRPr="00166926" w:rsidRDefault="00F544FD" w:rsidP="00166926">
      <w:pPr>
        <w:pStyle w:val="Heading1"/>
        <w:ind w:left="357" w:hanging="357"/>
        <w:jc w:val="both"/>
        <w:rPr>
          <w:rFonts w:asciiTheme="minorHAnsi" w:hAnsiTheme="minorHAnsi"/>
          <w:sz w:val="24"/>
          <w:szCs w:val="24"/>
        </w:rPr>
      </w:pPr>
      <w:bookmarkStart w:id="1" w:name="_Toc412201490"/>
      <w:r w:rsidRPr="00166926">
        <w:rPr>
          <w:rFonts w:asciiTheme="minorHAnsi" w:hAnsiTheme="minorHAnsi"/>
          <w:sz w:val="24"/>
          <w:szCs w:val="24"/>
        </w:rPr>
        <w:t>About the Australian Trucking Association</w:t>
      </w:r>
      <w:bookmarkEnd w:id="1"/>
      <w:r w:rsidRPr="00166926">
        <w:rPr>
          <w:rFonts w:asciiTheme="minorHAnsi" w:hAnsiTheme="minorHAnsi"/>
          <w:sz w:val="24"/>
          <w:szCs w:val="24"/>
        </w:rPr>
        <w:t xml:space="preserve">  </w:t>
      </w:r>
    </w:p>
    <w:p w:rsidR="00F544FD" w:rsidRPr="00A26CD2" w:rsidRDefault="00F544FD" w:rsidP="00F544FD">
      <w:pPr>
        <w:pStyle w:val="BodyText2"/>
        <w:jc w:val="both"/>
        <w:rPr>
          <w:rFonts w:asciiTheme="minorHAnsi" w:hAnsiTheme="minorHAnsi"/>
          <w:b w:val="0"/>
          <w:sz w:val="20"/>
        </w:rPr>
      </w:pPr>
    </w:p>
    <w:p w:rsidR="00F544FD" w:rsidRDefault="00F544FD" w:rsidP="00CA0968">
      <w:pPr>
        <w:pStyle w:val="BodyText2"/>
        <w:spacing w:line="269" w:lineRule="auto"/>
        <w:rPr>
          <w:rFonts w:asciiTheme="minorHAnsi" w:hAnsiTheme="minorHAnsi"/>
          <w:bCs w:val="0"/>
          <w:sz w:val="20"/>
        </w:rPr>
      </w:pPr>
      <w:r w:rsidRPr="003758A7">
        <w:rPr>
          <w:rFonts w:asciiTheme="minorHAnsi" w:eastAsia="Calibri" w:hAnsiTheme="minorHAnsi"/>
          <w:b w:val="0"/>
          <w:bCs w:val="0"/>
          <w:szCs w:val="22"/>
        </w:rPr>
        <w:t>The Australian Trucking Association (ATA) is the peak body that represents the trucking industry. Its members include state and sector</w:t>
      </w:r>
      <w:r w:rsidR="005E3ADF" w:rsidRPr="003758A7">
        <w:rPr>
          <w:rFonts w:asciiTheme="minorHAnsi" w:eastAsia="Calibri" w:hAnsiTheme="minorHAnsi"/>
          <w:b w:val="0"/>
          <w:bCs w:val="0"/>
          <w:szCs w:val="22"/>
        </w:rPr>
        <w:t>-</w:t>
      </w:r>
      <w:r w:rsidRPr="003758A7">
        <w:rPr>
          <w:rFonts w:asciiTheme="minorHAnsi" w:eastAsia="Calibri" w:hAnsiTheme="minorHAnsi"/>
          <w:b w:val="0"/>
          <w:bCs w:val="0"/>
          <w:szCs w:val="22"/>
        </w:rPr>
        <w:t>based trucking associations, some of the nation’s la</w:t>
      </w:r>
      <w:r w:rsidR="007C0B37" w:rsidRPr="003758A7">
        <w:rPr>
          <w:rFonts w:asciiTheme="minorHAnsi" w:eastAsia="Calibri" w:hAnsiTheme="minorHAnsi"/>
          <w:b w:val="0"/>
          <w:bCs w:val="0"/>
          <w:szCs w:val="22"/>
        </w:rPr>
        <w:t>rgest transport companies</w:t>
      </w:r>
      <w:r w:rsidRPr="003758A7">
        <w:rPr>
          <w:rFonts w:asciiTheme="minorHAnsi" w:eastAsia="Calibri" w:hAnsiTheme="minorHAnsi"/>
          <w:b w:val="0"/>
          <w:bCs w:val="0"/>
          <w:szCs w:val="22"/>
        </w:rPr>
        <w:t xml:space="preserve"> and businesses with leading expertise in truck technology. </w:t>
      </w:r>
    </w:p>
    <w:p w:rsidR="0009439A" w:rsidRPr="00A26CD2" w:rsidRDefault="0009439A" w:rsidP="00F544FD">
      <w:pPr>
        <w:jc w:val="both"/>
        <w:rPr>
          <w:rFonts w:asciiTheme="minorHAnsi" w:eastAsia="Times New Roman" w:hAnsiTheme="minorHAnsi" w:cs="Arial"/>
          <w:bCs/>
          <w:sz w:val="20"/>
          <w:szCs w:val="20"/>
        </w:rPr>
      </w:pPr>
    </w:p>
    <w:p w:rsidR="00F544FD" w:rsidRPr="00166926" w:rsidRDefault="007A1491" w:rsidP="00166926">
      <w:pPr>
        <w:pStyle w:val="Heading1"/>
        <w:keepNext/>
        <w:ind w:left="357" w:hanging="357"/>
        <w:jc w:val="both"/>
        <w:rPr>
          <w:rFonts w:asciiTheme="minorHAnsi" w:hAnsiTheme="minorHAnsi"/>
          <w:sz w:val="24"/>
          <w:szCs w:val="24"/>
        </w:rPr>
      </w:pPr>
      <w:bookmarkStart w:id="2" w:name="_Toc412201491"/>
      <w:r>
        <w:rPr>
          <w:rFonts w:asciiTheme="minorHAnsi" w:hAnsiTheme="minorHAnsi"/>
          <w:sz w:val="24"/>
          <w:szCs w:val="24"/>
        </w:rPr>
        <w:t>Summary of r</w:t>
      </w:r>
      <w:r w:rsidR="00F544FD" w:rsidRPr="00166926">
        <w:rPr>
          <w:rFonts w:asciiTheme="minorHAnsi" w:hAnsiTheme="minorHAnsi"/>
          <w:sz w:val="24"/>
          <w:szCs w:val="24"/>
        </w:rPr>
        <w:t>ecommendation</w:t>
      </w:r>
      <w:r w:rsidR="00166926">
        <w:rPr>
          <w:rFonts w:asciiTheme="minorHAnsi" w:hAnsiTheme="minorHAnsi"/>
          <w:sz w:val="24"/>
          <w:szCs w:val="24"/>
        </w:rPr>
        <w:t>s</w:t>
      </w:r>
      <w:bookmarkEnd w:id="2"/>
      <w:r w:rsidR="00F544FD" w:rsidRPr="00166926">
        <w:rPr>
          <w:rFonts w:asciiTheme="minorHAnsi" w:hAnsiTheme="minorHAnsi"/>
          <w:noProof/>
          <w:color w:val="000000" w:themeColor="text1"/>
          <w:sz w:val="24"/>
          <w:szCs w:val="24"/>
        </w:rPr>
        <w:t xml:space="preserve"> </w:t>
      </w:r>
    </w:p>
    <w:p w:rsidR="00111DD3" w:rsidRDefault="00111DD3" w:rsidP="00565492">
      <w:pPr>
        <w:keepNext/>
        <w:autoSpaceDE w:val="0"/>
        <w:autoSpaceDN w:val="0"/>
        <w:adjustRightInd w:val="0"/>
        <w:rPr>
          <w:sz w:val="20"/>
          <w:szCs w:val="20"/>
        </w:rPr>
      </w:pPr>
    </w:p>
    <w:p w:rsidR="00087A48" w:rsidRPr="0079236F" w:rsidRDefault="00087A48" w:rsidP="00087A48">
      <w:pPr>
        <w:keepNext/>
        <w:rPr>
          <w:rFonts w:asciiTheme="minorHAnsi" w:hAnsiTheme="minorHAnsi" w:cs="Arial"/>
          <w:b/>
        </w:rPr>
      </w:pPr>
      <w:r w:rsidRPr="0079236F">
        <w:rPr>
          <w:rFonts w:asciiTheme="minorHAnsi" w:hAnsiTheme="minorHAnsi" w:cs="Arial"/>
          <w:b/>
        </w:rPr>
        <w:t>Recommendation</w:t>
      </w:r>
      <w:r w:rsidR="00075AE5" w:rsidRPr="0079236F">
        <w:rPr>
          <w:rFonts w:asciiTheme="minorHAnsi" w:hAnsiTheme="minorHAnsi" w:cs="Arial"/>
          <w:b/>
        </w:rPr>
        <w:t xml:space="preserve"> 1</w:t>
      </w:r>
      <w:r w:rsidRPr="0079236F">
        <w:rPr>
          <w:rFonts w:asciiTheme="minorHAnsi" w:hAnsiTheme="minorHAnsi" w:cs="Arial"/>
          <w:b/>
        </w:rPr>
        <w:t xml:space="preserve">  </w:t>
      </w:r>
    </w:p>
    <w:p w:rsidR="00087A48" w:rsidRPr="00CA0968" w:rsidRDefault="00087A48" w:rsidP="00087A48">
      <w:pPr>
        <w:keepNext/>
        <w:autoSpaceDE w:val="0"/>
        <w:autoSpaceDN w:val="0"/>
        <w:adjustRightInd w:val="0"/>
      </w:pPr>
      <w:r w:rsidRPr="00CA0968">
        <w:t>The national heavy vehicle law should conform where appropriate with accepted best practice in safety regulation.</w:t>
      </w:r>
    </w:p>
    <w:p w:rsidR="00087A48" w:rsidRPr="0076387F" w:rsidRDefault="00087A48" w:rsidP="00087A48">
      <w:pPr>
        <w:keepNext/>
        <w:autoSpaceDE w:val="0"/>
        <w:autoSpaceDN w:val="0"/>
        <w:adjustRightInd w:val="0"/>
        <w:rPr>
          <w:b/>
        </w:rPr>
      </w:pPr>
    </w:p>
    <w:p w:rsidR="003C5D5A" w:rsidRPr="0076387F" w:rsidRDefault="003C5D5A" w:rsidP="003C5D5A">
      <w:pPr>
        <w:keepNext/>
        <w:rPr>
          <w:rFonts w:asciiTheme="minorHAnsi" w:hAnsiTheme="minorHAnsi" w:cs="Arial"/>
          <w:b/>
        </w:rPr>
      </w:pPr>
      <w:r w:rsidRPr="0076387F">
        <w:rPr>
          <w:rFonts w:asciiTheme="minorHAnsi" w:hAnsiTheme="minorHAnsi" w:cs="Arial"/>
          <w:b/>
        </w:rPr>
        <w:t>Recommendation</w:t>
      </w:r>
      <w:r w:rsidR="00075AE5" w:rsidRPr="0076387F">
        <w:rPr>
          <w:rFonts w:asciiTheme="minorHAnsi" w:hAnsiTheme="minorHAnsi" w:cs="Arial"/>
          <w:b/>
        </w:rPr>
        <w:t xml:space="preserve"> 2</w:t>
      </w:r>
      <w:r w:rsidRPr="0076387F">
        <w:rPr>
          <w:rFonts w:asciiTheme="minorHAnsi" w:hAnsiTheme="minorHAnsi" w:cs="Arial"/>
          <w:b/>
        </w:rPr>
        <w:t xml:space="preserve">  </w:t>
      </w:r>
    </w:p>
    <w:p w:rsidR="003C5D5A" w:rsidRPr="00CA0968" w:rsidRDefault="00C84B3C" w:rsidP="003C5D5A">
      <w:pPr>
        <w:keepNext/>
        <w:rPr>
          <w:rFonts w:asciiTheme="minorHAnsi" w:hAnsiTheme="minorHAnsi" w:cs="Arial"/>
        </w:rPr>
      </w:pPr>
      <w:r w:rsidRPr="00CA0968">
        <w:rPr>
          <w:rFonts w:asciiTheme="minorHAnsi" w:hAnsiTheme="minorHAnsi" w:cs="Arial"/>
        </w:rPr>
        <w:t xml:space="preserve">ATA </w:t>
      </w:r>
      <w:r w:rsidR="003C5D5A" w:rsidRPr="00CA0968">
        <w:rPr>
          <w:rFonts w:asciiTheme="minorHAnsi" w:hAnsiTheme="minorHAnsi" w:cs="Arial"/>
        </w:rPr>
        <w:t xml:space="preserve">reform </w:t>
      </w:r>
      <w:r w:rsidRPr="00CA0968">
        <w:rPr>
          <w:rFonts w:asciiTheme="minorHAnsi" w:hAnsiTheme="minorHAnsi" w:cs="Arial"/>
        </w:rPr>
        <w:t xml:space="preserve">proposals </w:t>
      </w:r>
      <w:r w:rsidR="003C5D5A" w:rsidRPr="00CA0968">
        <w:rPr>
          <w:rFonts w:asciiTheme="minorHAnsi" w:hAnsiTheme="minorHAnsi" w:cs="Arial"/>
        </w:rPr>
        <w:t xml:space="preserve">to </w:t>
      </w:r>
      <w:r w:rsidR="00FF6008" w:rsidRPr="00CA0968">
        <w:rPr>
          <w:rFonts w:asciiTheme="minorHAnsi" w:hAnsiTheme="minorHAnsi" w:cs="Arial"/>
        </w:rPr>
        <w:t>re</w:t>
      </w:r>
      <w:r w:rsidR="00087A48" w:rsidRPr="00CA0968">
        <w:rPr>
          <w:rFonts w:asciiTheme="minorHAnsi" w:hAnsiTheme="minorHAnsi" w:cs="Arial"/>
        </w:rPr>
        <w:t xml:space="preserve">structure the </w:t>
      </w:r>
      <w:r w:rsidR="0076387F" w:rsidRPr="00CA0968">
        <w:t>Heavy Vehicle National Law</w:t>
      </w:r>
      <w:r w:rsidR="003C5D5A" w:rsidRPr="00CA0968">
        <w:t xml:space="preserve"> should be adopted</w:t>
      </w:r>
      <w:r w:rsidR="003C5D5A" w:rsidRPr="00CA0968">
        <w:rPr>
          <w:rFonts w:asciiTheme="minorHAnsi" w:hAnsiTheme="minorHAnsi" w:cs="Arial"/>
        </w:rPr>
        <w:t>.</w:t>
      </w:r>
    </w:p>
    <w:p w:rsidR="003C5D5A" w:rsidRPr="0076387F" w:rsidRDefault="003C5D5A" w:rsidP="003C5D5A">
      <w:pPr>
        <w:keepNext/>
        <w:rPr>
          <w:rFonts w:asciiTheme="minorHAnsi" w:hAnsiTheme="minorHAnsi" w:cs="Arial"/>
          <w:b/>
        </w:rPr>
      </w:pPr>
    </w:p>
    <w:p w:rsidR="003C5D5A" w:rsidRPr="0076387F" w:rsidRDefault="003C5D5A" w:rsidP="003C5D5A">
      <w:pPr>
        <w:keepNext/>
        <w:rPr>
          <w:rFonts w:asciiTheme="minorHAnsi" w:hAnsiTheme="minorHAnsi" w:cs="Arial"/>
          <w:b/>
        </w:rPr>
      </w:pPr>
      <w:r w:rsidRPr="0076387F">
        <w:rPr>
          <w:rFonts w:asciiTheme="minorHAnsi" w:hAnsiTheme="minorHAnsi" w:cs="Arial"/>
          <w:b/>
        </w:rPr>
        <w:t xml:space="preserve">Recommendation </w:t>
      </w:r>
      <w:r w:rsidR="00075AE5" w:rsidRPr="0076387F">
        <w:rPr>
          <w:rFonts w:asciiTheme="minorHAnsi" w:hAnsiTheme="minorHAnsi" w:cs="Arial"/>
          <w:b/>
        </w:rPr>
        <w:t>3</w:t>
      </w:r>
    </w:p>
    <w:p w:rsidR="003C5D5A" w:rsidRPr="00CA0968" w:rsidRDefault="003C5D5A" w:rsidP="003C5D5A">
      <w:pPr>
        <w:keepNext/>
        <w:autoSpaceDE w:val="0"/>
        <w:autoSpaceDN w:val="0"/>
        <w:adjustRightInd w:val="0"/>
      </w:pPr>
      <w:r w:rsidRPr="00CA0968">
        <w:t xml:space="preserve">ATA recommendations made in relation to the </w:t>
      </w:r>
      <w:r w:rsidRPr="00CA0968">
        <w:rPr>
          <w:i/>
        </w:rPr>
        <w:t xml:space="preserve">Motor Vehicle Standards Act 1989 </w:t>
      </w:r>
      <w:r w:rsidRPr="00CA0968">
        <w:t>review should be adopted.</w:t>
      </w:r>
    </w:p>
    <w:p w:rsidR="003C5D5A" w:rsidRPr="003758A7" w:rsidRDefault="003C5D5A" w:rsidP="003C5D5A"/>
    <w:p w:rsidR="0076387F" w:rsidRPr="00F5037C" w:rsidRDefault="0076387F" w:rsidP="0076387F">
      <w:pPr>
        <w:keepNext/>
        <w:rPr>
          <w:rFonts w:asciiTheme="minorHAnsi" w:hAnsiTheme="minorHAnsi" w:cs="Arial"/>
          <w:b/>
        </w:rPr>
      </w:pPr>
      <w:r w:rsidRPr="00F5037C">
        <w:rPr>
          <w:rFonts w:asciiTheme="minorHAnsi" w:hAnsiTheme="minorHAnsi" w:cs="Arial"/>
          <w:b/>
        </w:rPr>
        <w:t xml:space="preserve">Recommendation 4 </w:t>
      </w:r>
    </w:p>
    <w:p w:rsidR="0076387F" w:rsidRPr="00CA0968" w:rsidRDefault="0076387F" w:rsidP="0076387F">
      <w:pPr>
        <w:pStyle w:val="NormalWeb"/>
        <w:spacing w:before="0" w:beforeAutospacing="0" w:after="0" w:afterAutospacing="0"/>
        <w:rPr>
          <w:rFonts w:ascii="Calibri" w:eastAsia="Calibri" w:hAnsi="Calibri"/>
          <w:sz w:val="22"/>
          <w:szCs w:val="22"/>
          <w:lang w:eastAsia="en-US"/>
        </w:rPr>
      </w:pPr>
      <w:r w:rsidRPr="00CA0968">
        <w:rPr>
          <w:rFonts w:ascii="Calibri" w:eastAsia="Calibri" w:hAnsi="Calibri"/>
          <w:sz w:val="22"/>
          <w:szCs w:val="22"/>
          <w:lang w:eastAsia="en-US"/>
        </w:rPr>
        <w:t>Cost/benefit analyses should be considered for use where appropriate in the vehicle standards policy process.</w:t>
      </w:r>
    </w:p>
    <w:p w:rsidR="0076387F" w:rsidRPr="00F5037C" w:rsidRDefault="0076387F" w:rsidP="0076387F">
      <w:pPr>
        <w:rPr>
          <w:b/>
          <w:sz w:val="20"/>
          <w:szCs w:val="20"/>
        </w:rPr>
      </w:pPr>
    </w:p>
    <w:p w:rsidR="0076387F" w:rsidRPr="00F5037C" w:rsidRDefault="0076387F" w:rsidP="0076387F">
      <w:pPr>
        <w:keepNext/>
        <w:rPr>
          <w:rFonts w:asciiTheme="minorHAnsi" w:hAnsiTheme="minorHAnsi" w:cs="Arial"/>
          <w:b/>
        </w:rPr>
      </w:pPr>
      <w:r w:rsidRPr="00F5037C">
        <w:rPr>
          <w:rFonts w:asciiTheme="minorHAnsi" w:hAnsiTheme="minorHAnsi" w:cs="Arial"/>
          <w:b/>
        </w:rPr>
        <w:t>Recommendation 5</w:t>
      </w:r>
    </w:p>
    <w:p w:rsidR="0076387F" w:rsidRPr="00CA0968" w:rsidRDefault="0076387F" w:rsidP="0076387F">
      <w:pPr>
        <w:pStyle w:val="NormalWeb"/>
        <w:spacing w:before="0" w:beforeAutospacing="0" w:after="0" w:afterAutospacing="0"/>
      </w:pPr>
      <w:r w:rsidRPr="00CA0968">
        <w:rPr>
          <w:rFonts w:ascii="Calibri" w:eastAsia="Calibri" w:hAnsi="Calibri"/>
          <w:sz w:val="22"/>
          <w:szCs w:val="22"/>
          <w:lang w:eastAsia="en-US"/>
        </w:rPr>
        <w:t xml:space="preserve">The Performance Based Standards scheme should be overhauled to </w:t>
      </w:r>
      <w:r w:rsidR="00B356EF" w:rsidRPr="00CA0968">
        <w:rPr>
          <w:rFonts w:ascii="Calibri" w:eastAsia="Calibri" w:hAnsi="Calibri"/>
          <w:sz w:val="22"/>
          <w:szCs w:val="22"/>
          <w:lang w:eastAsia="en-US"/>
        </w:rPr>
        <w:t>remove</w:t>
      </w:r>
      <w:r w:rsidRPr="00CA0968">
        <w:rPr>
          <w:rFonts w:ascii="Calibri" w:eastAsia="Calibri" w:hAnsi="Calibri"/>
          <w:sz w:val="22"/>
          <w:szCs w:val="22"/>
          <w:lang w:eastAsia="en-US"/>
        </w:rPr>
        <w:t xml:space="preserve"> red tape and improve its outcomes.</w:t>
      </w:r>
    </w:p>
    <w:p w:rsidR="00E92008" w:rsidRPr="003758A7" w:rsidRDefault="00E92008" w:rsidP="00565492">
      <w:pPr>
        <w:keepNext/>
        <w:autoSpaceDE w:val="0"/>
        <w:autoSpaceDN w:val="0"/>
        <w:adjustRightInd w:val="0"/>
      </w:pPr>
    </w:p>
    <w:p w:rsidR="00D55F5E" w:rsidRPr="009E3F16" w:rsidRDefault="00D55F5E" w:rsidP="00D55F5E">
      <w:pPr>
        <w:keepNext/>
        <w:rPr>
          <w:rFonts w:asciiTheme="minorHAnsi" w:hAnsiTheme="minorHAnsi" w:cs="Arial"/>
          <w:b/>
        </w:rPr>
      </w:pPr>
      <w:r w:rsidRPr="009E3F16">
        <w:rPr>
          <w:rFonts w:asciiTheme="minorHAnsi" w:hAnsiTheme="minorHAnsi" w:cs="Arial"/>
          <w:b/>
        </w:rPr>
        <w:t>Recommendation 6</w:t>
      </w:r>
    </w:p>
    <w:p w:rsidR="00BD577A" w:rsidRPr="00BD577A" w:rsidRDefault="00BD577A" w:rsidP="00BD577A">
      <w:pPr>
        <w:keepNext/>
        <w:rPr>
          <w:rFonts w:asciiTheme="minorHAnsi" w:hAnsiTheme="minorHAnsi" w:cs="Arial"/>
        </w:rPr>
      </w:pPr>
      <w:r w:rsidRPr="00BD577A">
        <w:t xml:space="preserve">Guidance material should be published under </w:t>
      </w:r>
      <w:r w:rsidRPr="00BD577A">
        <w:rPr>
          <w:rFonts w:asciiTheme="minorHAnsi" w:hAnsiTheme="minorHAnsi" w:cs="Arial"/>
        </w:rPr>
        <w:t xml:space="preserve">the </w:t>
      </w:r>
      <w:r w:rsidRPr="00BD577A">
        <w:t>Heavy Vehicle National Law to help operators keep vehicles safe and legally compliant.</w:t>
      </w:r>
    </w:p>
    <w:p w:rsidR="003C5D5A" w:rsidRPr="003758A7" w:rsidRDefault="003C5D5A" w:rsidP="00565492">
      <w:pPr>
        <w:keepNext/>
        <w:autoSpaceDE w:val="0"/>
        <w:autoSpaceDN w:val="0"/>
        <w:adjustRightInd w:val="0"/>
      </w:pPr>
    </w:p>
    <w:p w:rsidR="009F551E" w:rsidRPr="009E3F16" w:rsidRDefault="009F551E" w:rsidP="009F551E">
      <w:pPr>
        <w:keepNext/>
        <w:rPr>
          <w:rFonts w:asciiTheme="minorHAnsi" w:hAnsiTheme="minorHAnsi" w:cs="Arial"/>
          <w:b/>
        </w:rPr>
      </w:pPr>
      <w:r w:rsidRPr="009E3F16">
        <w:rPr>
          <w:rFonts w:asciiTheme="minorHAnsi" w:hAnsiTheme="minorHAnsi" w:cs="Arial"/>
          <w:b/>
        </w:rPr>
        <w:t xml:space="preserve">Recommendation </w:t>
      </w:r>
      <w:r>
        <w:rPr>
          <w:rFonts w:asciiTheme="minorHAnsi" w:hAnsiTheme="minorHAnsi" w:cs="Arial"/>
          <w:b/>
        </w:rPr>
        <w:t>7</w:t>
      </w:r>
    </w:p>
    <w:p w:rsidR="009F551E" w:rsidRPr="00CA0968" w:rsidRDefault="009F551E" w:rsidP="009F551E">
      <w:pPr>
        <w:rPr>
          <w:rFonts w:asciiTheme="minorHAnsi" w:hAnsiTheme="minorHAnsi" w:cs="Arial"/>
          <w:lang w:eastAsia="en-AU"/>
        </w:rPr>
      </w:pPr>
      <w:r w:rsidRPr="00CA0968">
        <w:rPr>
          <w:rFonts w:asciiTheme="minorHAnsi" w:hAnsiTheme="minorHAnsi" w:cs="Arial"/>
          <w:lang w:eastAsia="en-AU"/>
        </w:rPr>
        <w:t xml:space="preserve">Training and education </w:t>
      </w:r>
      <w:r w:rsidRPr="00CA0968">
        <w:t xml:space="preserve">should be </w:t>
      </w:r>
      <w:r w:rsidRPr="00CA0968">
        <w:rPr>
          <w:rFonts w:asciiTheme="minorHAnsi" w:hAnsiTheme="minorHAnsi" w:cs="Arial"/>
          <w:lang w:eastAsia="en-AU"/>
        </w:rPr>
        <w:t>provided to light vehicle drivers on sharing the road safely with trucks.</w:t>
      </w:r>
    </w:p>
    <w:p w:rsidR="009F551E" w:rsidRPr="009E3F16" w:rsidRDefault="009F551E" w:rsidP="009F551E">
      <w:pPr>
        <w:keepNext/>
        <w:autoSpaceDE w:val="0"/>
        <w:autoSpaceDN w:val="0"/>
        <w:adjustRightInd w:val="0"/>
        <w:rPr>
          <w:b/>
          <w:sz w:val="20"/>
          <w:szCs w:val="20"/>
        </w:rPr>
      </w:pPr>
    </w:p>
    <w:p w:rsidR="00B715C7" w:rsidRDefault="00B715C7" w:rsidP="00565492">
      <w:pPr>
        <w:keepNext/>
        <w:autoSpaceDE w:val="0"/>
        <w:autoSpaceDN w:val="0"/>
        <w:adjustRightInd w:val="0"/>
        <w:rPr>
          <w:sz w:val="20"/>
          <w:szCs w:val="20"/>
        </w:rPr>
      </w:pPr>
    </w:p>
    <w:p w:rsidR="00AD6472" w:rsidRPr="00B92B30" w:rsidRDefault="00AD6472" w:rsidP="00AD6472">
      <w:pPr>
        <w:pStyle w:val="Heading1"/>
        <w:ind w:left="357" w:hanging="357"/>
        <w:rPr>
          <w:rFonts w:asciiTheme="minorHAnsi" w:hAnsiTheme="minorHAnsi"/>
          <w:sz w:val="24"/>
          <w:szCs w:val="24"/>
          <w:highlight w:val="white"/>
          <w:lang w:eastAsia="en-AU"/>
        </w:rPr>
      </w:pPr>
      <w:bookmarkStart w:id="3" w:name="_Toc412201492"/>
      <w:r>
        <w:rPr>
          <w:rFonts w:asciiTheme="minorHAnsi" w:hAnsiTheme="minorHAnsi"/>
          <w:sz w:val="24"/>
          <w:szCs w:val="24"/>
          <w:highlight w:val="white"/>
          <w:lang w:eastAsia="en-AU"/>
        </w:rPr>
        <w:t>Introduction</w:t>
      </w:r>
      <w:bookmarkEnd w:id="3"/>
    </w:p>
    <w:p w:rsidR="00003CBE" w:rsidRPr="0000059D" w:rsidRDefault="00CA0968" w:rsidP="00AD6472">
      <w:pPr>
        <w:autoSpaceDE w:val="0"/>
        <w:autoSpaceDN w:val="0"/>
        <w:adjustRightInd w:val="0"/>
        <w:rPr>
          <w:rFonts w:asciiTheme="minorHAnsi" w:hAnsiTheme="minorHAnsi" w:cs="Arial"/>
        </w:rPr>
      </w:pPr>
      <w:r>
        <w:rPr>
          <w:rFonts w:asciiTheme="minorHAnsi" w:hAnsiTheme="minorHAnsi" w:cs="Arial"/>
        </w:rPr>
        <w:t>T</w:t>
      </w:r>
      <w:r w:rsidR="000A0781" w:rsidRPr="0000059D">
        <w:rPr>
          <w:rFonts w:asciiTheme="minorHAnsi" w:hAnsiTheme="minorHAnsi" w:cs="Arial"/>
        </w:rPr>
        <w:t>he A</w:t>
      </w:r>
      <w:r w:rsidR="00AD6472" w:rsidRPr="0000059D">
        <w:rPr>
          <w:rFonts w:asciiTheme="minorHAnsi" w:hAnsiTheme="minorHAnsi" w:cs="Arial"/>
        </w:rPr>
        <w:t xml:space="preserve">TA </w:t>
      </w:r>
      <w:r>
        <w:rPr>
          <w:rFonts w:asciiTheme="minorHAnsi" w:hAnsiTheme="minorHAnsi" w:cs="Arial"/>
        </w:rPr>
        <w:t>believes that Australia must</w:t>
      </w:r>
      <w:r w:rsidR="00AD6472" w:rsidRPr="0000059D">
        <w:rPr>
          <w:rFonts w:asciiTheme="minorHAnsi" w:hAnsiTheme="minorHAnsi" w:cs="Arial"/>
        </w:rPr>
        <w:t xml:space="preserve"> have </w:t>
      </w:r>
      <w:r>
        <w:rPr>
          <w:rFonts w:asciiTheme="minorHAnsi" w:hAnsiTheme="minorHAnsi" w:cs="Arial"/>
        </w:rPr>
        <w:t xml:space="preserve">at all times, </w:t>
      </w:r>
      <w:r w:rsidR="00AD6472" w:rsidRPr="0000059D">
        <w:rPr>
          <w:rFonts w:asciiTheme="minorHAnsi" w:hAnsiTheme="minorHAnsi" w:cs="Arial"/>
        </w:rPr>
        <w:t xml:space="preserve">safe </w:t>
      </w:r>
      <w:r w:rsidR="00D50ECB" w:rsidRPr="0000059D">
        <w:rPr>
          <w:rFonts w:asciiTheme="minorHAnsi" w:hAnsiTheme="minorHAnsi" w:cs="Arial"/>
        </w:rPr>
        <w:t>drivers operating</w:t>
      </w:r>
      <w:r w:rsidR="00AD6472" w:rsidRPr="0000059D">
        <w:rPr>
          <w:rFonts w:asciiTheme="minorHAnsi" w:hAnsiTheme="minorHAnsi" w:cs="Arial"/>
        </w:rPr>
        <w:t xml:space="preserve"> safe vehicles at safe speeds on safe roads. </w:t>
      </w:r>
      <w:r w:rsidR="006B34ED">
        <w:rPr>
          <w:rFonts w:asciiTheme="minorHAnsi" w:hAnsiTheme="minorHAnsi" w:cs="Arial"/>
        </w:rPr>
        <w:t xml:space="preserve">These </w:t>
      </w:r>
      <w:r w:rsidR="00543B27">
        <w:rPr>
          <w:rFonts w:asciiTheme="minorHAnsi" w:hAnsiTheme="minorHAnsi" w:cs="Arial"/>
        </w:rPr>
        <w:t xml:space="preserve">aspects also help form </w:t>
      </w:r>
      <w:r w:rsidR="00477937">
        <w:rPr>
          <w:rFonts w:asciiTheme="minorHAnsi" w:hAnsiTheme="minorHAnsi" w:cs="Arial"/>
        </w:rPr>
        <w:t>the</w:t>
      </w:r>
      <w:r w:rsidR="00543B27">
        <w:rPr>
          <w:rFonts w:asciiTheme="minorHAnsi" w:hAnsiTheme="minorHAnsi" w:cs="Arial"/>
        </w:rPr>
        <w:t xml:space="preserve"> safe system vision and an action agenda under</w:t>
      </w:r>
      <w:r w:rsidR="00D50ECB" w:rsidRPr="0000059D">
        <w:rPr>
          <w:rFonts w:asciiTheme="minorHAnsi" w:hAnsiTheme="minorHAnsi" w:cs="Arial"/>
        </w:rPr>
        <w:t xml:space="preserve"> </w:t>
      </w:r>
      <w:r w:rsidR="00AD6472" w:rsidRPr="0000059D">
        <w:rPr>
          <w:rFonts w:asciiTheme="minorHAnsi" w:hAnsiTheme="minorHAnsi" w:cs="Arial"/>
        </w:rPr>
        <w:t>the</w:t>
      </w:r>
      <w:r w:rsidR="002442EB" w:rsidRPr="0000059D">
        <w:rPr>
          <w:rFonts w:asciiTheme="minorHAnsi" w:hAnsiTheme="minorHAnsi" w:cs="Arial"/>
        </w:rPr>
        <w:t xml:space="preserve"> </w:t>
      </w:r>
      <w:r w:rsidR="00AD6472" w:rsidRPr="0000059D">
        <w:rPr>
          <w:rFonts w:asciiTheme="minorHAnsi" w:hAnsiTheme="minorHAnsi" w:cs="Arial"/>
          <w:i/>
        </w:rPr>
        <w:t>National Road Safety Strategy</w:t>
      </w:r>
      <w:r w:rsidR="008F7105">
        <w:rPr>
          <w:rFonts w:asciiTheme="minorHAnsi" w:hAnsiTheme="minorHAnsi" w:cs="Arial"/>
          <w:i/>
        </w:rPr>
        <w:t>,</w:t>
      </w:r>
      <w:r w:rsidR="002442EB" w:rsidRPr="0000059D">
        <w:rPr>
          <w:rFonts w:asciiTheme="minorHAnsi" w:hAnsiTheme="minorHAnsi" w:cs="Arial"/>
        </w:rPr>
        <w:t xml:space="preserve"> which the ATA supports</w:t>
      </w:r>
      <w:r w:rsidR="00AD6472" w:rsidRPr="0000059D">
        <w:rPr>
          <w:rFonts w:asciiTheme="minorHAnsi" w:hAnsiTheme="minorHAnsi" w:cs="Arial"/>
        </w:rPr>
        <w:t xml:space="preserve">. </w:t>
      </w:r>
    </w:p>
    <w:p w:rsidR="00003CBE" w:rsidRPr="0000059D" w:rsidRDefault="00003CBE" w:rsidP="00AD6472">
      <w:pPr>
        <w:autoSpaceDE w:val="0"/>
        <w:autoSpaceDN w:val="0"/>
        <w:adjustRightInd w:val="0"/>
        <w:rPr>
          <w:rFonts w:asciiTheme="minorHAnsi" w:hAnsiTheme="minorHAnsi" w:cs="Arial"/>
        </w:rPr>
      </w:pPr>
    </w:p>
    <w:p w:rsidR="001155CC" w:rsidRPr="0000059D" w:rsidRDefault="00651008" w:rsidP="009D7972">
      <w:pPr>
        <w:rPr>
          <w:rFonts w:asciiTheme="minorHAnsi" w:hAnsiTheme="minorHAnsi" w:cs="Arial"/>
          <w:lang w:eastAsia="en-AU"/>
        </w:rPr>
      </w:pPr>
      <w:r w:rsidRPr="0000059D">
        <w:rPr>
          <w:rFonts w:asciiTheme="minorHAnsi" w:hAnsiTheme="minorHAnsi" w:cs="Arial"/>
        </w:rPr>
        <w:t>For</w:t>
      </w:r>
      <w:r w:rsidR="00003CBE" w:rsidRPr="0000059D">
        <w:rPr>
          <w:rFonts w:asciiTheme="minorHAnsi" w:hAnsiTheme="minorHAnsi" w:cs="Arial"/>
        </w:rPr>
        <w:t xml:space="preserve"> </w:t>
      </w:r>
      <w:r w:rsidR="0001397D">
        <w:rPr>
          <w:rFonts w:asciiTheme="minorHAnsi" w:hAnsiTheme="minorHAnsi" w:cs="Arial"/>
        </w:rPr>
        <w:t>trucking</w:t>
      </w:r>
      <w:r w:rsidR="000A0781" w:rsidRPr="0000059D">
        <w:rPr>
          <w:rFonts w:asciiTheme="minorHAnsi" w:hAnsiTheme="minorHAnsi" w:cs="Arial"/>
        </w:rPr>
        <w:t xml:space="preserve"> </w:t>
      </w:r>
      <w:r w:rsidR="00383A09" w:rsidRPr="0000059D">
        <w:rPr>
          <w:rFonts w:asciiTheme="minorHAnsi" w:hAnsiTheme="minorHAnsi" w:cs="Arial"/>
        </w:rPr>
        <w:t>operators</w:t>
      </w:r>
      <w:r w:rsidR="00B715C7" w:rsidRPr="0000059D">
        <w:rPr>
          <w:rFonts w:asciiTheme="minorHAnsi" w:hAnsiTheme="minorHAnsi" w:cs="Arial"/>
        </w:rPr>
        <w:t xml:space="preserve"> however,</w:t>
      </w:r>
      <w:r w:rsidR="00003CBE" w:rsidRPr="0000059D">
        <w:rPr>
          <w:rFonts w:asciiTheme="minorHAnsi" w:hAnsiTheme="minorHAnsi" w:cs="Arial"/>
        </w:rPr>
        <w:t xml:space="preserve"> </w:t>
      </w:r>
      <w:r w:rsidR="00003CBE" w:rsidRPr="0000059D">
        <w:rPr>
          <w:rFonts w:asciiTheme="minorHAnsi" w:hAnsiTheme="minorHAnsi" w:cs="Arial"/>
          <w:i/>
        </w:rPr>
        <w:t>safety</w:t>
      </w:r>
      <w:r w:rsidR="00003CBE" w:rsidRPr="0000059D">
        <w:rPr>
          <w:rFonts w:asciiTheme="minorHAnsi" w:hAnsiTheme="minorHAnsi" w:cs="Arial"/>
        </w:rPr>
        <w:t xml:space="preserve"> </w:t>
      </w:r>
      <w:r w:rsidR="00AD6472" w:rsidRPr="0000059D">
        <w:rPr>
          <w:rFonts w:asciiTheme="minorHAnsi" w:hAnsiTheme="minorHAnsi" w:cs="Arial"/>
        </w:rPr>
        <w:t>is not a strategy</w:t>
      </w:r>
      <w:r w:rsidR="00FC3506" w:rsidRPr="0000059D">
        <w:rPr>
          <w:rFonts w:asciiTheme="minorHAnsi" w:hAnsiTheme="minorHAnsi" w:cs="Arial"/>
        </w:rPr>
        <w:t>,</w:t>
      </w:r>
      <w:r w:rsidR="00D50ECB" w:rsidRPr="0000059D">
        <w:rPr>
          <w:rFonts w:asciiTheme="minorHAnsi" w:hAnsiTheme="minorHAnsi" w:cs="Arial"/>
        </w:rPr>
        <w:t xml:space="preserve"> </w:t>
      </w:r>
      <w:r w:rsidR="00AD6472" w:rsidRPr="0000059D">
        <w:rPr>
          <w:rFonts w:asciiTheme="minorHAnsi" w:hAnsiTheme="minorHAnsi" w:cs="Arial"/>
        </w:rPr>
        <w:t>it is an</w:t>
      </w:r>
      <w:r w:rsidR="002442EB" w:rsidRPr="0000059D">
        <w:rPr>
          <w:rFonts w:asciiTheme="minorHAnsi" w:hAnsiTheme="minorHAnsi" w:cs="Arial"/>
        </w:rPr>
        <w:t xml:space="preserve"> </w:t>
      </w:r>
      <w:r w:rsidR="00B715C7" w:rsidRPr="0000059D">
        <w:rPr>
          <w:rFonts w:asciiTheme="minorHAnsi" w:hAnsiTheme="minorHAnsi" w:cs="Arial"/>
        </w:rPr>
        <w:t xml:space="preserve">operational </w:t>
      </w:r>
      <w:r w:rsidR="00AD6472" w:rsidRPr="0000059D">
        <w:rPr>
          <w:rFonts w:asciiTheme="minorHAnsi" w:hAnsiTheme="minorHAnsi" w:cs="Arial"/>
        </w:rPr>
        <w:t>outcome</w:t>
      </w:r>
      <w:r w:rsidR="00FC3506" w:rsidRPr="0000059D">
        <w:rPr>
          <w:rFonts w:asciiTheme="minorHAnsi" w:hAnsiTheme="minorHAnsi" w:cs="Arial"/>
        </w:rPr>
        <w:t xml:space="preserve"> arising</w:t>
      </w:r>
      <w:r w:rsidR="00AD6472" w:rsidRPr="0000059D">
        <w:rPr>
          <w:rFonts w:asciiTheme="minorHAnsi" w:hAnsiTheme="minorHAnsi" w:cs="Arial"/>
        </w:rPr>
        <w:t xml:space="preserve"> </w:t>
      </w:r>
      <w:r w:rsidR="00B715C7" w:rsidRPr="0000059D">
        <w:rPr>
          <w:rFonts w:asciiTheme="minorHAnsi" w:hAnsiTheme="minorHAnsi" w:cs="Arial"/>
        </w:rPr>
        <w:t>from</w:t>
      </w:r>
      <w:r w:rsidR="002B5253" w:rsidRPr="0000059D">
        <w:rPr>
          <w:rFonts w:asciiTheme="minorHAnsi" w:hAnsiTheme="minorHAnsi" w:cs="Arial"/>
        </w:rPr>
        <w:t xml:space="preserve"> daily </w:t>
      </w:r>
      <w:r w:rsidR="00C61267" w:rsidRPr="0000059D">
        <w:rPr>
          <w:rFonts w:asciiTheme="minorHAnsi" w:hAnsiTheme="minorHAnsi" w:cs="Arial"/>
        </w:rPr>
        <w:t xml:space="preserve">vigilance. </w:t>
      </w:r>
      <w:r w:rsidR="00383A09" w:rsidRPr="0000059D">
        <w:rPr>
          <w:rFonts w:asciiTheme="minorHAnsi" w:hAnsiTheme="minorHAnsi" w:cs="Arial"/>
        </w:rPr>
        <w:t>In this context,</w:t>
      </w:r>
      <w:r w:rsidR="00DE68C6" w:rsidRPr="0000059D">
        <w:rPr>
          <w:rFonts w:asciiTheme="minorHAnsi" w:hAnsiTheme="minorHAnsi" w:cs="Arial"/>
        </w:rPr>
        <w:t xml:space="preserve"> the ATA </w:t>
      </w:r>
      <w:r w:rsidR="002355DE">
        <w:rPr>
          <w:rFonts w:asciiTheme="minorHAnsi" w:hAnsiTheme="minorHAnsi" w:cs="Arial"/>
        </w:rPr>
        <w:t>work</w:t>
      </w:r>
      <w:r w:rsidR="0001397D">
        <w:rPr>
          <w:rFonts w:asciiTheme="minorHAnsi" w:hAnsiTheme="minorHAnsi" w:cs="Arial"/>
        </w:rPr>
        <w:t>s closely</w:t>
      </w:r>
      <w:r w:rsidR="00383A09" w:rsidRPr="0000059D">
        <w:rPr>
          <w:rFonts w:asciiTheme="minorHAnsi" w:hAnsiTheme="minorHAnsi" w:cs="Arial"/>
        </w:rPr>
        <w:t xml:space="preserve"> </w:t>
      </w:r>
      <w:r w:rsidR="00841AD7" w:rsidRPr="0000059D">
        <w:rPr>
          <w:rFonts w:asciiTheme="minorHAnsi" w:hAnsiTheme="minorHAnsi" w:cs="Arial"/>
        </w:rPr>
        <w:t xml:space="preserve">with </w:t>
      </w:r>
      <w:r w:rsidR="00E9131E" w:rsidRPr="0000059D">
        <w:rPr>
          <w:rFonts w:asciiTheme="minorHAnsi" w:hAnsiTheme="minorHAnsi" w:cs="Arial"/>
        </w:rPr>
        <w:t xml:space="preserve">transport </w:t>
      </w:r>
      <w:r w:rsidR="00841AD7" w:rsidRPr="0000059D">
        <w:rPr>
          <w:rFonts w:asciiTheme="minorHAnsi" w:hAnsiTheme="minorHAnsi" w:cs="Arial"/>
        </w:rPr>
        <w:t xml:space="preserve">regulators </w:t>
      </w:r>
      <w:r w:rsidR="00383A09" w:rsidRPr="0000059D">
        <w:rPr>
          <w:rFonts w:asciiTheme="minorHAnsi" w:hAnsiTheme="minorHAnsi" w:cs="Arial"/>
        </w:rPr>
        <w:t xml:space="preserve">to </w:t>
      </w:r>
      <w:r w:rsidR="00AF6EBA">
        <w:rPr>
          <w:rFonts w:asciiTheme="minorHAnsi" w:hAnsiTheme="minorHAnsi" w:cs="Arial"/>
        </w:rPr>
        <w:t>help</w:t>
      </w:r>
      <w:r w:rsidR="00E9131E" w:rsidRPr="0000059D">
        <w:rPr>
          <w:rFonts w:asciiTheme="minorHAnsi" w:hAnsiTheme="minorHAnsi" w:cs="Arial"/>
        </w:rPr>
        <w:t xml:space="preserve"> </w:t>
      </w:r>
      <w:r w:rsidR="002B5253" w:rsidRPr="0000059D">
        <w:rPr>
          <w:rFonts w:asciiTheme="minorHAnsi" w:hAnsiTheme="minorHAnsi" w:cs="Arial"/>
        </w:rPr>
        <w:t>ensure</w:t>
      </w:r>
      <w:r w:rsidR="00E9131E" w:rsidRPr="0000059D">
        <w:rPr>
          <w:rFonts w:asciiTheme="minorHAnsi" w:hAnsiTheme="minorHAnsi" w:cs="Arial"/>
        </w:rPr>
        <w:t xml:space="preserve"> that </w:t>
      </w:r>
      <w:r w:rsidR="008863BA" w:rsidRPr="0000059D">
        <w:rPr>
          <w:rFonts w:asciiTheme="minorHAnsi" w:hAnsiTheme="minorHAnsi" w:cs="Arial"/>
        </w:rPr>
        <w:t>policy</w:t>
      </w:r>
      <w:r w:rsidR="0000059D">
        <w:rPr>
          <w:rFonts w:asciiTheme="minorHAnsi" w:hAnsiTheme="minorHAnsi" w:cs="Arial"/>
        </w:rPr>
        <w:t xml:space="preserve"> and legislative</w:t>
      </w:r>
      <w:r w:rsidR="008863BA" w:rsidRPr="0000059D">
        <w:rPr>
          <w:rFonts w:asciiTheme="minorHAnsi" w:hAnsiTheme="minorHAnsi" w:cs="Arial"/>
        </w:rPr>
        <w:t xml:space="preserve"> </w:t>
      </w:r>
      <w:r w:rsidR="00FC3506" w:rsidRPr="0000059D">
        <w:rPr>
          <w:rFonts w:asciiTheme="minorHAnsi" w:hAnsiTheme="minorHAnsi" w:cs="Arial"/>
        </w:rPr>
        <w:t>development</w:t>
      </w:r>
      <w:r w:rsidR="00383A09" w:rsidRPr="0000059D">
        <w:rPr>
          <w:rFonts w:asciiTheme="minorHAnsi" w:hAnsiTheme="minorHAnsi" w:cs="Arial"/>
        </w:rPr>
        <w:t xml:space="preserve"> </w:t>
      </w:r>
      <w:r w:rsidR="0001397D">
        <w:rPr>
          <w:rFonts w:asciiTheme="minorHAnsi" w:hAnsiTheme="minorHAnsi" w:cs="Arial"/>
        </w:rPr>
        <w:t>takes into account</w:t>
      </w:r>
      <w:r w:rsidR="00543B27">
        <w:rPr>
          <w:rFonts w:asciiTheme="minorHAnsi" w:hAnsiTheme="minorHAnsi" w:cs="Arial"/>
        </w:rPr>
        <w:t xml:space="preserve"> </w:t>
      </w:r>
      <w:r w:rsidR="0000059D">
        <w:rPr>
          <w:rFonts w:asciiTheme="minorHAnsi" w:hAnsiTheme="minorHAnsi" w:cs="Arial"/>
        </w:rPr>
        <w:t>the</w:t>
      </w:r>
      <w:r w:rsidR="00FC3506" w:rsidRPr="0000059D">
        <w:rPr>
          <w:rFonts w:asciiTheme="minorHAnsi" w:hAnsiTheme="minorHAnsi" w:cs="Arial"/>
        </w:rPr>
        <w:t xml:space="preserve"> </w:t>
      </w:r>
      <w:r w:rsidR="00E9131E" w:rsidRPr="0000059D">
        <w:rPr>
          <w:rFonts w:asciiTheme="minorHAnsi" w:hAnsiTheme="minorHAnsi" w:cs="Arial"/>
        </w:rPr>
        <w:t xml:space="preserve">safety </w:t>
      </w:r>
      <w:r w:rsidR="0001397D">
        <w:rPr>
          <w:rFonts w:asciiTheme="minorHAnsi" w:hAnsiTheme="minorHAnsi" w:cs="Arial"/>
        </w:rPr>
        <w:t xml:space="preserve">environment </w:t>
      </w:r>
      <w:r w:rsidR="00E9131E" w:rsidRPr="0000059D">
        <w:rPr>
          <w:rFonts w:asciiTheme="minorHAnsi" w:hAnsiTheme="minorHAnsi" w:cs="Arial"/>
        </w:rPr>
        <w:t xml:space="preserve">and </w:t>
      </w:r>
      <w:r w:rsidR="0001397D">
        <w:rPr>
          <w:rFonts w:asciiTheme="minorHAnsi" w:hAnsiTheme="minorHAnsi" w:cs="Arial"/>
        </w:rPr>
        <w:t>economic realities</w:t>
      </w:r>
      <w:r w:rsidR="00FC3506" w:rsidRPr="0000059D">
        <w:rPr>
          <w:rFonts w:asciiTheme="minorHAnsi" w:hAnsiTheme="minorHAnsi" w:cs="Arial"/>
        </w:rPr>
        <w:t xml:space="preserve"> of </w:t>
      </w:r>
      <w:r w:rsidR="002B5253" w:rsidRPr="0000059D">
        <w:rPr>
          <w:rFonts w:asciiTheme="minorHAnsi" w:hAnsiTheme="minorHAnsi" w:cs="Arial"/>
        </w:rPr>
        <w:t>the trucking industry</w:t>
      </w:r>
      <w:r w:rsidR="00AD6472" w:rsidRPr="0000059D">
        <w:rPr>
          <w:rFonts w:asciiTheme="minorHAnsi" w:hAnsiTheme="minorHAnsi" w:cs="Arial"/>
        </w:rPr>
        <w:t xml:space="preserve">. </w:t>
      </w:r>
    </w:p>
    <w:p w:rsidR="0009439A" w:rsidRDefault="0009439A">
      <w:pPr>
        <w:rPr>
          <w:rFonts w:asciiTheme="minorHAnsi" w:hAnsiTheme="minorHAnsi" w:cs="Arial"/>
          <w:sz w:val="20"/>
          <w:szCs w:val="20"/>
          <w:highlight w:val="white"/>
          <w:lang w:eastAsia="en-AU"/>
        </w:rPr>
      </w:pPr>
      <w:r>
        <w:rPr>
          <w:rFonts w:asciiTheme="minorHAnsi" w:hAnsiTheme="minorHAnsi" w:cs="Arial"/>
          <w:sz w:val="20"/>
          <w:szCs w:val="20"/>
          <w:highlight w:val="white"/>
          <w:lang w:eastAsia="en-AU"/>
        </w:rPr>
        <w:br w:type="page"/>
      </w:r>
    </w:p>
    <w:p w:rsidR="00B92B30" w:rsidRPr="00B92B30" w:rsidRDefault="003E3FAF" w:rsidP="00B92B30">
      <w:pPr>
        <w:pStyle w:val="Heading1"/>
        <w:ind w:left="357" w:hanging="357"/>
        <w:rPr>
          <w:rFonts w:asciiTheme="minorHAnsi" w:hAnsiTheme="minorHAnsi"/>
          <w:sz w:val="24"/>
          <w:szCs w:val="24"/>
          <w:highlight w:val="white"/>
          <w:lang w:eastAsia="en-AU"/>
        </w:rPr>
      </w:pPr>
      <w:bookmarkStart w:id="4" w:name="_Toc412201493"/>
      <w:r>
        <w:rPr>
          <w:rFonts w:asciiTheme="minorHAnsi" w:hAnsiTheme="minorHAnsi"/>
          <w:sz w:val="24"/>
          <w:szCs w:val="24"/>
          <w:highlight w:val="white"/>
          <w:lang w:eastAsia="en-AU"/>
        </w:rPr>
        <w:lastRenderedPageBreak/>
        <w:t>Aspects of road safety</w:t>
      </w:r>
      <w:bookmarkEnd w:id="4"/>
    </w:p>
    <w:p w:rsidR="000613A5" w:rsidRPr="000613A5" w:rsidRDefault="000613A5" w:rsidP="000613A5">
      <w:pPr>
        <w:rPr>
          <w:rFonts w:asciiTheme="minorHAnsi" w:hAnsiTheme="minorHAnsi" w:cs="Arial"/>
          <w:b/>
          <w:sz w:val="20"/>
          <w:szCs w:val="20"/>
        </w:rPr>
      </w:pPr>
    </w:p>
    <w:p w:rsidR="009F11F3" w:rsidRPr="00B9403D" w:rsidRDefault="009F11F3" w:rsidP="009F11F3">
      <w:pPr>
        <w:pStyle w:val="ListParagraph"/>
        <w:numPr>
          <w:ilvl w:val="0"/>
          <w:numId w:val="14"/>
        </w:numPr>
        <w:spacing w:after="0"/>
        <w:ind w:left="357" w:hanging="357"/>
        <w:rPr>
          <w:rFonts w:asciiTheme="minorHAnsi" w:hAnsiTheme="minorHAnsi" w:cs="Arial"/>
          <w:b/>
        </w:rPr>
      </w:pPr>
      <w:r w:rsidRPr="00B9403D">
        <w:rPr>
          <w:rFonts w:asciiTheme="minorHAnsi" w:hAnsiTheme="minorHAnsi" w:cs="Arial"/>
          <w:b/>
        </w:rPr>
        <w:t>Social and economic cost of road-related injury and death</w:t>
      </w:r>
    </w:p>
    <w:p w:rsidR="00E9131E" w:rsidRDefault="00B800AC" w:rsidP="003812E6">
      <w:pPr>
        <w:rPr>
          <w:rFonts w:asciiTheme="minorHAnsi" w:hAnsiTheme="minorHAnsi" w:cs="Arial"/>
          <w:sz w:val="20"/>
          <w:szCs w:val="20"/>
        </w:rPr>
      </w:pPr>
      <w:r w:rsidRPr="00B800AC">
        <w:rPr>
          <w:rFonts w:asciiTheme="minorHAnsi" w:hAnsiTheme="minorHAnsi" w:cs="Arial"/>
          <w:noProof/>
          <w:lang w:eastAsia="en-AU"/>
        </w:rPr>
        <w:drawing>
          <wp:anchor distT="0" distB="0" distL="114300" distR="114300" simplePos="0" relativeHeight="251660288" behindDoc="0" locked="0" layoutInCell="1" allowOverlap="1" wp14:anchorId="6D587837" wp14:editId="7608BE21">
            <wp:simplePos x="0" y="0"/>
            <wp:positionH relativeFrom="margin">
              <wp:align>left</wp:align>
            </wp:positionH>
            <wp:positionV relativeFrom="paragraph">
              <wp:posOffset>151130</wp:posOffset>
            </wp:positionV>
            <wp:extent cx="2435860" cy="1771650"/>
            <wp:effectExtent l="19050" t="19050" r="2159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227" cy="177331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3812E6" w:rsidRDefault="00F32F38" w:rsidP="003812E6">
      <w:pPr>
        <w:rPr>
          <w:rFonts w:asciiTheme="minorHAnsi" w:hAnsiTheme="minorHAnsi" w:cs="Arial"/>
        </w:rPr>
      </w:pPr>
      <w:r>
        <w:rPr>
          <w:rFonts w:asciiTheme="minorHAnsi" w:hAnsiTheme="minorHAnsi" w:cs="Arial"/>
          <w:noProof/>
          <w:lang w:eastAsia="en-AU"/>
        </w:rPr>
        <w:t>Vehicle</w:t>
      </w:r>
      <w:r w:rsidR="008F28F1">
        <w:rPr>
          <w:rFonts w:asciiTheme="minorHAnsi" w:hAnsiTheme="minorHAnsi" w:cs="Arial"/>
        </w:rPr>
        <w:t xml:space="preserve"> c</w:t>
      </w:r>
      <w:r w:rsidR="00972559" w:rsidRPr="0000059D">
        <w:rPr>
          <w:rFonts w:asciiTheme="minorHAnsi" w:hAnsiTheme="minorHAnsi" w:cs="Arial"/>
        </w:rPr>
        <w:t>rashes</w:t>
      </w:r>
      <w:r w:rsidR="005B2F9C" w:rsidRPr="0000059D">
        <w:rPr>
          <w:rFonts w:asciiTheme="minorHAnsi" w:hAnsiTheme="minorHAnsi" w:cs="Arial"/>
        </w:rPr>
        <w:t xml:space="preserve">, </w:t>
      </w:r>
      <w:r w:rsidR="008F28F1">
        <w:rPr>
          <w:rFonts w:asciiTheme="minorHAnsi" w:hAnsiTheme="minorHAnsi" w:cs="Arial"/>
        </w:rPr>
        <w:t>along with</w:t>
      </w:r>
      <w:r w:rsidR="005B2F9C" w:rsidRPr="0000059D">
        <w:rPr>
          <w:rFonts w:asciiTheme="minorHAnsi" w:hAnsiTheme="minorHAnsi" w:cs="Arial"/>
        </w:rPr>
        <w:t xml:space="preserve"> </w:t>
      </w:r>
      <w:r w:rsidR="008F28F1">
        <w:rPr>
          <w:rFonts w:asciiTheme="minorHAnsi" w:hAnsiTheme="minorHAnsi" w:cs="Arial"/>
        </w:rPr>
        <w:t xml:space="preserve">the </w:t>
      </w:r>
      <w:r w:rsidR="005B2F9C" w:rsidRPr="0000059D">
        <w:rPr>
          <w:rFonts w:asciiTheme="minorHAnsi" w:hAnsiTheme="minorHAnsi" w:cs="Arial"/>
        </w:rPr>
        <w:t xml:space="preserve">associated trauma and property damage, are </w:t>
      </w:r>
      <w:r w:rsidR="00972559" w:rsidRPr="0000059D">
        <w:rPr>
          <w:rFonts w:asciiTheme="minorHAnsi" w:hAnsiTheme="minorHAnsi" w:cs="Arial"/>
        </w:rPr>
        <w:t xml:space="preserve">tragic </w:t>
      </w:r>
      <w:r w:rsidR="00D46627" w:rsidRPr="0000059D">
        <w:rPr>
          <w:rFonts w:asciiTheme="minorHAnsi" w:hAnsiTheme="minorHAnsi" w:cs="Arial"/>
        </w:rPr>
        <w:t>as well as</w:t>
      </w:r>
      <w:r w:rsidR="00972559" w:rsidRPr="0000059D">
        <w:rPr>
          <w:rFonts w:asciiTheme="minorHAnsi" w:hAnsiTheme="minorHAnsi" w:cs="Arial"/>
        </w:rPr>
        <w:t xml:space="preserve"> </w:t>
      </w:r>
      <w:r w:rsidR="00CE5E8C">
        <w:rPr>
          <w:rFonts w:asciiTheme="minorHAnsi" w:hAnsiTheme="minorHAnsi" w:cs="Arial"/>
        </w:rPr>
        <w:t>economically ruinous</w:t>
      </w:r>
      <w:r w:rsidR="00972559" w:rsidRPr="0000059D">
        <w:rPr>
          <w:rFonts w:asciiTheme="minorHAnsi" w:hAnsiTheme="minorHAnsi" w:cs="Arial"/>
        </w:rPr>
        <w:t xml:space="preserve"> </w:t>
      </w:r>
      <w:r w:rsidR="00D46627" w:rsidRPr="0000059D">
        <w:rPr>
          <w:rFonts w:asciiTheme="minorHAnsi" w:hAnsiTheme="minorHAnsi" w:cs="Arial"/>
        </w:rPr>
        <w:t>events</w:t>
      </w:r>
      <w:r w:rsidR="00CE5E8C">
        <w:rPr>
          <w:rFonts w:asciiTheme="minorHAnsi" w:hAnsiTheme="minorHAnsi" w:cs="Arial"/>
        </w:rPr>
        <w:t xml:space="preserve"> for those involved</w:t>
      </w:r>
      <w:r w:rsidR="00DF0F17">
        <w:rPr>
          <w:rFonts w:asciiTheme="minorHAnsi" w:hAnsiTheme="minorHAnsi" w:cs="Arial"/>
        </w:rPr>
        <w:t>. S</w:t>
      </w:r>
      <w:r w:rsidR="005B2F9C" w:rsidRPr="0000059D">
        <w:rPr>
          <w:rFonts w:asciiTheme="minorHAnsi" w:hAnsiTheme="minorHAnsi" w:cs="Arial"/>
        </w:rPr>
        <w:t xml:space="preserve">afety-related </w:t>
      </w:r>
      <w:r w:rsidR="00C122C6">
        <w:rPr>
          <w:rFonts w:asciiTheme="minorHAnsi" w:hAnsiTheme="minorHAnsi" w:cs="Arial"/>
        </w:rPr>
        <w:t xml:space="preserve">transport </w:t>
      </w:r>
      <w:r w:rsidR="00972559" w:rsidRPr="0000059D">
        <w:rPr>
          <w:rFonts w:asciiTheme="minorHAnsi" w:hAnsiTheme="minorHAnsi" w:cs="Arial"/>
        </w:rPr>
        <w:t xml:space="preserve">policies such as </w:t>
      </w:r>
      <w:r w:rsidR="00CF401E" w:rsidRPr="0000059D">
        <w:rPr>
          <w:rFonts w:asciiTheme="minorHAnsi" w:hAnsiTheme="minorHAnsi" w:cs="Arial"/>
        </w:rPr>
        <w:t>the introduction of seatbelts in the seventies, blood alcohol testing in the eighties and speed cameras in the nineties</w:t>
      </w:r>
      <w:r w:rsidR="00DF0F17">
        <w:rPr>
          <w:rFonts w:asciiTheme="minorHAnsi" w:hAnsiTheme="minorHAnsi" w:cs="Arial"/>
        </w:rPr>
        <w:t xml:space="preserve"> have </w:t>
      </w:r>
      <w:r w:rsidR="00AA0C12">
        <w:rPr>
          <w:rFonts w:asciiTheme="minorHAnsi" w:hAnsiTheme="minorHAnsi" w:cs="Arial"/>
        </w:rPr>
        <w:t xml:space="preserve">undoubtedly </w:t>
      </w:r>
      <w:r w:rsidR="00DF0F17">
        <w:rPr>
          <w:rFonts w:asciiTheme="minorHAnsi" w:hAnsiTheme="minorHAnsi" w:cs="Arial"/>
        </w:rPr>
        <w:t>save</w:t>
      </w:r>
      <w:r w:rsidR="00C70EEF">
        <w:rPr>
          <w:rFonts w:asciiTheme="minorHAnsi" w:hAnsiTheme="minorHAnsi" w:cs="Arial"/>
        </w:rPr>
        <w:t>d</w:t>
      </w:r>
      <w:r w:rsidR="00DF0F17">
        <w:rPr>
          <w:rFonts w:asciiTheme="minorHAnsi" w:hAnsiTheme="minorHAnsi" w:cs="Arial"/>
        </w:rPr>
        <w:t xml:space="preserve"> </w:t>
      </w:r>
      <w:r w:rsidR="00C122C6">
        <w:rPr>
          <w:rFonts w:asciiTheme="minorHAnsi" w:hAnsiTheme="minorHAnsi" w:cs="Arial"/>
        </w:rPr>
        <w:t xml:space="preserve">many </w:t>
      </w:r>
      <w:r w:rsidR="00DF0F17">
        <w:rPr>
          <w:rFonts w:asciiTheme="minorHAnsi" w:hAnsiTheme="minorHAnsi" w:cs="Arial"/>
        </w:rPr>
        <w:t xml:space="preserve">lives and delivered </w:t>
      </w:r>
      <w:r w:rsidR="00A56B13">
        <w:rPr>
          <w:rFonts w:asciiTheme="minorHAnsi" w:hAnsiTheme="minorHAnsi" w:cs="Arial"/>
        </w:rPr>
        <w:t xml:space="preserve">substantial </w:t>
      </w:r>
      <w:r w:rsidR="00DF0F17">
        <w:rPr>
          <w:rFonts w:asciiTheme="minorHAnsi" w:hAnsiTheme="minorHAnsi" w:cs="Arial"/>
        </w:rPr>
        <w:t>economic gains</w:t>
      </w:r>
      <w:r w:rsidR="00CF401E" w:rsidRPr="0000059D">
        <w:rPr>
          <w:rFonts w:asciiTheme="minorHAnsi" w:hAnsiTheme="minorHAnsi" w:cs="Arial"/>
        </w:rPr>
        <w:t xml:space="preserve">. </w:t>
      </w:r>
    </w:p>
    <w:p w:rsidR="008F28F1" w:rsidRDefault="008F28F1" w:rsidP="003812E6">
      <w:pPr>
        <w:rPr>
          <w:rFonts w:asciiTheme="minorHAnsi" w:hAnsiTheme="minorHAnsi" w:cs="Arial"/>
        </w:rPr>
      </w:pPr>
    </w:p>
    <w:p w:rsidR="008F28F1" w:rsidRPr="0000059D" w:rsidRDefault="00B321D3" w:rsidP="003812E6">
      <w:pPr>
        <w:rPr>
          <w:rFonts w:asciiTheme="minorHAnsi" w:hAnsiTheme="minorHAnsi" w:cs="Arial"/>
        </w:rPr>
      </w:pPr>
      <w:r>
        <w:rPr>
          <w:rFonts w:asciiTheme="minorHAnsi" w:hAnsiTheme="minorHAnsi" w:cs="Arial"/>
        </w:rPr>
        <w:t>A</w:t>
      </w:r>
      <w:r w:rsidR="008F28F1" w:rsidRPr="0000059D">
        <w:rPr>
          <w:rFonts w:asciiTheme="minorHAnsi" w:hAnsiTheme="minorHAnsi" w:cs="Arial"/>
        </w:rPr>
        <w:t>ccording to national statistics</w:t>
      </w:r>
      <w:r w:rsidR="008F28F1" w:rsidRPr="0000059D">
        <w:rPr>
          <w:rStyle w:val="FootnoteReference"/>
          <w:rFonts w:asciiTheme="minorHAnsi" w:hAnsiTheme="minorHAnsi"/>
        </w:rPr>
        <w:footnoteReference w:id="1"/>
      </w:r>
      <w:r w:rsidR="008F28F1" w:rsidRPr="0000059D">
        <w:rPr>
          <w:rFonts w:asciiTheme="minorHAnsi" w:hAnsiTheme="minorHAnsi" w:cs="Arial"/>
        </w:rPr>
        <w:t xml:space="preserve"> Australia’s population has increased 70 per cent since 1975 </w:t>
      </w:r>
      <w:r>
        <w:rPr>
          <w:rFonts w:asciiTheme="minorHAnsi" w:hAnsiTheme="minorHAnsi" w:cs="Arial"/>
        </w:rPr>
        <w:t>and yet</w:t>
      </w:r>
      <w:r w:rsidR="008F28F1" w:rsidRPr="0000059D">
        <w:rPr>
          <w:rFonts w:asciiTheme="minorHAnsi" w:hAnsiTheme="minorHAnsi" w:cs="Arial"/>
        </w:rPr>
        <w:t xml:space="preserve"> </w:t>
      </w:r>
      <w:r w:rsidR="00B800AC">
        <w:rPr>
          <w:rFonts w:asciiTheme="minorHAnsi" w:hAnsiTheme="minorHAnsi" w:cs="Arial"/>
        </w:rPr>
        <w:t xml:space="preserve">fatal </w:t>
      </w:r>
      <w:r w:rsidR="008F28F1" w:rsidRPr="0000059D">
        <w:rPr>
          <w:rFonts w:asciiTheme="minorHAnsi" w:hAnsiTheme="minorHAnsi" w:cs="Arial"/>
        </w:rPr>
        <w:t xml:space="preserve">crashes are </w:t>
      </w:r>
      <w:r w:rsidR="00AD7B7F">
        <w:rPr>
          <w:rFonts w:asciiTheme="minorHAnsi" w:hAnsiTheme="minorHAnsi" w:cs="Arial"/>
        </w:rPr>
        <w:t xml:space="preserve">also </w:t>
      </w:r>
      <w:r w:rsidR="008F28F1" w:rsidRPr="0000059D">
        <w:rPr>
          <w:rFonts w:asciiTheme="minorHAnsi" w:hAnsiTheme="minorHAnsi" w:cs="Arial"/>
        </w:rPr>
        <w:t>down</w:t>
      </w:r>
      <w:r>
        <w:rPr>
          <w:rFonts w:asciiTheme="minorHAnsi" w:hAnsiTheme="minorHAnsi" w:cs="Arial"/>
        </w:rPr>
        <w:t xml:space="preserve"> </w:t>
      </w:r>
      <w:r w:rsidR="008F28F1" w:rsidRPr="0000059D">
        <w:rPr>
          <w:rFonts w:asciiTheme="minorHAnsi" w:hAnsiTheme="minorHAnsi" w:cs="Arial"/>
        </w:rPr>
        <w:t>70 per cent</w:t>
      </w:r>
      <w:r w:rsidR="00B800AC">
        <w:rPr>
          <w:rFonts w:asciiTheme="minorHAnsi" w:hAnsiTheme="minorHAnsi" w:cs="Arial"/>
        </w:rPr>
        <w:t xml:space="preserve"> overall</w:t>
      </w:r>
      <w:r w:rsidR="00AD7B7F">
        <w:rPr>
          <w:rFonts w:asciiTheme="minorHAnsi" w:hAnsiTheme="minorHAnsi" w:cs="Arial"/>
        </w:rPr>
        <w:t>.</w:t>
      </w:r>
    </w:p>
    <w:p w:rsidR="000D2F89" w:rsidRDefault="00B800AC" w:rsidP="003812E6">
      <w:pPr>
        <w:rPr>
          <w:rFonts w:asciiTheme="minorHAnsi" w:hAnsiTheme="minorHAnsi" w:cs="Arial"/>
          <w:highlight w:val="white"/>
          <w:lang w:eastAsia="en-AU"/>
        </w:rPr>
      </w:pPr>
      <w:r w:rsidRPr="00B800AC">
        <w:rPr>
          <w:rFonts w:asciiTheme="minorHAnsi" w:hAnsiTheme="minorHAnsi" w:cs="Arial"/>
          <w:noProof/>
          <w:highlight w:val="white"/>
          <w:lang w:eastAsia="en-AU"/>
        </w:rPr>
        <w:drawing>
          <wp:anchor distT="0" distB="0" distL="114300" distR="114300" simplePos="0" relativeHeight="251661312" behindDoc="0" locked="0" layoutInCell="1" allowOverlap="1" wp14:anchorId="195E24E3" wp14:editId="4BB9CCEA">
            <wp:simplePos x="0" y="0"/>
            <wp:positionH relativeFrom="margin">
              <wp:align>left</wp:align>
            </wp:positionH>
            <wp:positionV relativeFrom="paragraph">
              <wp:posOffset>170815</wp:posOffset>
            </wp:positionV>
            <wp:extent cx="2426335" cy="1802765"/>
            <wp:effectExtent l="19050" t="19050" r="12065" b="260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335" cy="180276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B321D3" w:rsidRDefault="00DD18F3" w:rsidP="00AD7B7F">
      <w:pPr>
        <w:rPr>
          <w:rFonts w:asciiTheme="minorHAnsi" w:hAnsiTheme="minorHAnsi" w:cs="Arial"/>
          <w:highlight w:val="white"/>
          <w:lang w:eastAsia="en-AU"/>
        </w:rPr>
      </w:pPr>
      <w:r>
        <w:rPr>
          <w:rFonts w:asciiTheme="minorHAnsi" w:hAnsiTheme="minorHAnsi" w:cs="Arial"/>
          <w:highlight w:val="white"/>
          <w:lang w:eastAsia="en-AU"/>
        </w:rPr>
        <w:t xml:space="preserve">According to Australia’s principal transport statistics agency, the </w:t>
      </w:r>
      <w:r w:rsidRPr="00DD18F3">
        <w:rPr>
          <w:rFonts w:asciiTheme="minorHAnsi" w:hAnsiTheme="minorHAnsi" w:cs="Arial"/>
          <w:lang w:eastAsia="en-AU"/>
        </w:rPr>
        <w:t>Bureau of Infrastructure, Transport and Regional Economics</w:t>
      </w:r>
      <w:r w:rsidR="00CD197E" w:rsidRPr="0000059D">
        <w:rPr>
          <w:rStyle w:val="FootnoteReference"/>
          <w:rFonts w:asciiTheme="minorHAnsi" w:hAnsiTheme="minorHAnsi"/>
          <w:highlight w:val="white"/>
          <w:lang w:eastAsia="en-AU"/>
        </w:rPr>
        <w:footnoteReference w:id="2"/>
      </w:r>
      <w:r w:rsidRPr="00DD18F3">
        <w:rPr>
          <w:rFonts w:asciiTheme="minorHAnsi" w:hAnsiTheme="minorHAnsi" w:cs="Arial"/>
          <w:lang w:eastAsia="en-AU"/>
        </w:rPr>
        <w:t xml:space="preserve"> (BITRE), </w:t>
      </w:r>
      <w:r>
        <w:rPr>
          <w:rFonts w:asciiTheme="minorHAnsi" w:hAnsiTheme="minorHAnsi" w:cs="Arial"/>
          <w:highlight w:val="white"/>
          <w:lang w:eastAsia="en-AU"/>
        </w:rPr>
        <w:t>b</w:t>
      </w:r>
      <w:r w:rsidR="00AD7B7F" w:rsidRPr="0000059D">
        <w:rPr>
          <w:rFonts w:asciiTheme="minorHAnsi" w:hAnsiTheme="minorHAnsi" w:cs="Arial"/>
          <w:highlight w:val="white"/>
          <w:lang w:eastAsia="en-AU"/>
        </w:rPr>
        <w:t>etween 2004 and 2013, the number of fatal crashes involving an articulated truck decreased 36.2 per cent and fatal crashes involving a rigid truck decreased 26.1 per cent. During th</w:t>
      </w:r>
      <w:r w:rsidR="00374AE7">
        <w:rPr>
          <w:rFonts w:asciiTheme="minorHAnsi" w:hAnsiTheme="minorHAnsi" w:cs="Arial"/>
          <w:highlight w:val="white"/>
          <w:lang w:eastAsia="en-AU"/>
        </w:rPr>
        <w:t>e</w:t>
      </w:r>
      <w:r w:rsidR="00AD7B7F" w:rsidRPr="0000059D">
        <w:rPr>
          <w:rFonts w:asciiTheme="minorHAnsi" w:hAnsiTheme="minorHAnsi" w:cs="Arial"/>
          <w:highlight w:val="white"/>
          <w:lang w:eastAsia="en-AU"/>
        </w:rPr>
        <w:t xml:space="preserve"> same period, the number of articulated trucks </w:t>
      </w:r>
      <w:r w:rsidR="00374AE7" w:rsidRPr="0000059D">
        <w:rPr>
          <w:rFonts w:asciiTheme="minorHAnsi" w:hAnsiTheme="minorHAnsi" w:cs="Arial"/>
          <w:highlight w:val="white"/>
          <w:lang w:eastAsia="en-AU"/>
        </w:rPr>
        <w:t xml:space="preserve">registered </w:t>
      </w:r>
      <w:r w:rsidR="00CD197E">
        <w:rPr>
          <w:rFonts w:asciiTheme="minorHAnsi" w:hAnsiTheme="minorHAnsi" w:cs="Arial"/>
          <w:highlight w:val="white"/>
          <w:lang w:eastAsia="en-AU"/>
        </w:rPr>
        <w:t>increased</w:t>
      </w:r>
      <w:r w:rsidR="00AD7B7F" w:rsidRPr="0000059D">
        <w:rPr>
          <w:rFonts w:asciiTheme="minorHAnsi" w:hAnsiTheme="minorHAnsi" w:cs="Arial"/>
          <w:highlight w:val="white"/>
          <w:lang w:eastAsia="en-AU"/>
        </w:rPr>
        <w:t xml:space="preserve"> by 37 per cent and the number of registered heavy rigid trucks increased by 19 per cent. </w:t>
      </w:r>
    </w:p>
    <w:p w:rsidR="00B321D3" w:rsidRDefault="00B321D3" w:rsidP="00AD7B7F">
      <w:pPr>
        <w:rPr>
          <w:rFonts w:asciiTheme="minorHAnsi" w:hAnsiTheme="minorHAnsi" w:cs="Arial"/>
          <w:highlight w:val="white"/>
          <w:lang w:eastAsia="en-AU"/>
        </w:rPr>
      </w:pPr>
    </w:p>
    <w:p w:rsidR="00B321D3" w:rsidRDefault="00B321D3" w:rsidP="00B321D3">
      <w:pPr>
        <w:pStyle w:val="Default"/>
        <w:spacing w:after="180"/>
        <w:jc w:val="both"/>
        <w:rPr>
          <w:rFonts w:asciiTheme="minorHAnsi" w:hAnsiTheme="minorHAnsi" w:cs="Arial"/>
          <w:color w:val="auto"/>
          <w:sz w:val="22"/>
          <w:szCs w:val="22"/>
          <w:lang w:eastAsia="en-US"/>
        </w:rPr>
      </w:pPr>
      <w:r w:rsidRPr="0000059D">
        <w:rPr>
          <w:rFonts w:asciiTheme="minorHAnsi" w:hAnsiTheme="minorHAnsi" w:cs="Arial"/>
          <w:color w:val="auto"/>
          <w:sz w:val="22"/>
          <w:szCs w:val="22"/>
          <w:lang w:eastAsia="en-US"/>
        </w:rPr>
        <w:t xml:space="preserve">Australia’s </w:t>
      </w:r>
      <w:r>
        <w:rPr>
          <w:rFonts w:asciiTheme="minorHAnsi" w:hAnsiTheme="minorHAnsi" w:cs="Arial"/>
          <w:color w:val="auto"/>
          <w:sz w:val="22"/>
          <w:szCs w:val="22"/>
          <w:lang w:eastAsia="en-US"/>
        </w:rPr>
        <w:t xml:space="preserve">major </w:t>
      </w:r>
      <w:r w:rsidRPr="0000059D">
        <w:rPr>
          <w:rFonts w:asciiTheme="minorHAnsi" w:hAnsiTheme="minorHAnsi" w:cs="Arial"/>
          <w:color w:val="auto"/>
          <w:sz w:val="22"/>
          <w:szCs w:val="22"/>
          <w:lang w:eastAsia="en-US"/>
        </w:rPr>
        <w:t xml:space="preserve">heavy vehicle insurer, National Transport Insurance (NTI), conducts biennial analyses of heavy truck crash causation. </w:t>
      </w:r>
      <w:r w:rsidR="008A6273">
        <w:rPr>
          <w:rFonts w:asciiTheme="minorHAnsi" w:hAnsiTheme="minorHAnsi" w:cs="Arial"/>
          <w:color w:val="auto"/>
          <w:sz w:val="22"/>
          <w:szCs w:val="22"/>
          <w:lang w:eastAsia="en-US"/>
        </w:rPr>
        <w:t>In</w:t>
      </w:r>
      <w:r w:rsidR="00DC4CC7">
        <w:rPr>
          <w:rFonts w:asciiTheme="minorHAnsi" w:hAnsiTheme="minorHAnsi" w:cs="Arial"/>
          <w:color w:val="auto"/>
          <w:sz w:val="22"/>
          <w:szCs w:val="22"/>
          <w:lang w:eastAsia="en-US"/>
        </w:rPr>
        <w:t xml:space="preserve"> its</w:t>
      </w:r>
      <w:r w:rsidRPr="0000059D">
        <w:rPr>
          <w:rFonts w:asciiTheme="minorHAnsi" w:hAnsiTheme="minorHAnsi" w:cs="Arial"/>
          <w:color w:val="auto"/>
          <w:sz w:val="22"/>
          <w:szCs w:val="22"/>
          <w:lang w:eastAsia="en-US"/>
        </w:rPr>
        <w:t xml:space="preserve"> </w:t>
      </w:r>
      <w:r w:rsidR="00132C94">
        <w:rPr>
          <w:rFonts w:asciiTheme="minorHAnsi" w:hAnsiTheme="minorHAnsi" w:cs="Arial"/>
          <w:color w:val="auto"/>
          <w:sz w:val="22"/>
          <w:szCs w:val="22"/>
          <w:lang w:eastAsia="en-US"/>
        </w:rPr>
        <w:t xml:space="preserve">2013 </w:t>
      </w:r>
      <w:r w:rsidR="00DC4CC7">
        <w:rPr>
          <w:rFonts w:asciiTheme="minorHAnsi" w:hAnsiTheme="minorHAnsi" w:cs="Arial"/>
          <w:color w:val="auto"/>
          <w:sz w:val="22"/>
          <w:szCs w:val="22"/>
          <w:lang w:eastAsia="en-US"/>
        </w:rPr>
        <w:t>analysis</w:t>
      </w:r>
      <w:r w:rsidR="00DC4CC7" w:rsidRPr="0000059D">
        <w:rPr>
          <w:rFonts w:asciiTheme="minorHAnsi" w:hAnsiTheme="minorHAnsi" w:cs="Arial"/>
          <w:color w:val="auto"/>
          <w:sz w:val="22"/>
          <w:szCs w:val="22"/>
          <w:lang w:eastAsia="en-US"/>
        </w:rPr>
        <w:t xml:space="preserve"> </w:t>
      </w:r>
      <w:r w:rsidR="00DC4CC7">
        <w:rPr>
          <w:rFonts w:asciiTheme="minorHAnsi" w:hAnsiTheme="minorHAnsi" w:cs="Arial"/>
          <w:color w:val="auto"/>
          <w:sz w:val="22"/>
          <w:szCs w:val="22"/>
          <w:lang w:eastAsia="en-US"/>
        </w:rPr>
        <w:t xml:space="preserve">of </w:t>
      </w:r>
      <w:r w:rsidRPr="0000059D">
        <w:rPr>
          <w:rFonts w:asciiTheme="minorHAnsi" w:hAnsiTheme="minorHAnsi" w:cs="Arial"/>
          <w:color w:val="auto"/>
          <w:sz w:val="22"/>
          <w:szCs w:val="22"/>
          <w:lang w:eastAsia="en-US"/>
        </w:rPr>
        <w:t xml:space="preserve">2011 </w:t>
      </w:r>
      <w:r w:rsidR="00DC4CC7">
        <w:rPr>
          <w:rFonts w:asciiTheme="minorHAnsi" w:hAnsiTheme="minorHAnsi" w:cs="Arial"/>
          <w:color w:val="auto"/>
          <w:sz w:val="22"/>
          <w:szCs w:val="22"/>
          <w:lang w:eastAsia="en-US"/>
        </w:rPr>
        <w:t>data</w:t>
      </w:r>
      <w:r w:rsidRPr="0000059D">
        <w:rPr>
          <w:rFonts w:asciiTheme="minorHAnsi" w:hAnsiTheme="minorHAnsi" w:cs="Arial"/>
          <w:color w:val="auto"/>
          <w:sz w:val="22"/>
          <w:szCs w:val="22"/>
          <w:lang w:eastAsia="en-US"/>
        </w:rPr>
        <w:t xml:space="preserve">, NTI found that for their insured vehicles </w:t>
      </w:r>
      <w:r w:rsidR="00BA1A84">
        <w:rPr>
          <w:rFonts w:asciiTheme="minorHAnsi" w:hAnsiTheme="minorHAnsi" w:cs="Arial"/>
          <w:color w:val="auto"/>
          <w:sz w:val="22"/>
          <w:szCs w:val="22"/>
          <w:lang w:eastAsia="en-US"/>
        </w:rPr>
        <w:t xml:space="preserve">that were </w:t>
      </w:r>
      <w:r w:rsidRPr="0000059D">
        <w:rPr>
          <w:rFonts w:asciiTheme="minorHAnsi" w:hAnsiTheme="minorHAnsi" w:cs="Arial"/>
          <w:color w:val="auto"/>
          <w:sz w:val="22"/>
          <w:szCs w:val="22"/>
          <w:lang w:eastAsia="en-US"/>
        </w:rPr>
        <w:t xml:space="preserve">involved in multi-vehicle </w:t>
      </w:r>
      <w:r>
        <w:rPr>
          <w:rFonts w:asciiTheme="minorHAnsi" w:hAnsiTheme="minorHAnsi" w:cs="Arial"/>
          <w:color w:val="auto"/>
          <w:sz w:val="22"/>
          <w:szCs w:val="22"/>
          <w:lang w:eastAsia="en-US"/>
        </w:rPr>
        <w:t xml:space="preserve">fatal </w:t>
      </w:r>
      <w:r w:rsidRPr="0000059D">
        <w:rPr>
          <w:rFonts w:asciiTheme="minorHAnsi" w:hAnsiTheme="minorHAnsi" w:cs="Arial"/>
          <w:color w:val="auto"/>
          <w:sz w:val="22"/>
          <w:szCs w:val="22"/>
          <w:lang w:eastAsia="en-US"/>
        </w:rPr>
        <w:t xml:space="preserve">crashes, the </w:t>
      </w:r>
      <w:r w:rsidR="00D11B22">
        <w:rPr>
          <w:rFonts w:asciiTheme="minorHAnsi" w:hAnsiTheme="minorHAnsi" w:cs="Arial"/>
          <w:color w:val="auto"/>
          <w:sz w:val="22"/>
          <w:szCs w:val="22"/>
          <w:lang w:eastAsia="en-US"/>
        </w:rPr>
        <w:t xml:space="preserve">third party </w:t>
      </w:r>
      <w:r w:rsidRPr="0000059D">
        <w:rPr>
          <w:rFonts w:asciiTheme="minorHAnsi" w:hAnsiTheme="minorHAnsi" w:cs="Arial"/>
          <w:color w:val="auto"/>
          <w:sz w:val="22"/>
          <w:szCs w:val="22"/>
          <w:lang w:eastAsia="en-US"/>
        </w:rPr>
        <w:t xml:space="preserve">driver was at fault </w:t>
      </w:r>
      <w:r w:rsidR="00DC4CC7" w:rsidRPr="00DC4CC7">
        <w:rPr>
          <w:rFonts w:asciiTheme="minorHAnsi" w:hAnsiTheme="minorHAnsi" w:cs="Arial"/>
          <w:color w:val="auto"/>
          <w:sz w:val="22"/>
          <w:szCs w:val="22"/>
          <w:lang w:eastAsia="en-US"/>
        </w:rPr>
        <w:t>every</w:t>
      </w:r>
      <w:r w:rsidRPr="0000059D">
        <w:rPr>
          <w:rFonts w:asciiTheme="minorHAnsi" w:hAnsiTheme="minorHAnsi" w:cs="Arial"/>
          <w:color w:val="auto"/>
          <w:sz w:val="22"/>
          <w:szCs w:val="22"/>
          <w:lang w:eastAsia="en-US"/>
        </w:rPr>
        <w:t xml:space="preserve"> time. In </w:t>
      </w:r>
      <w:r w:rsidR="00132C94">
        <w:rPr>
          <w:rFonts w:asciiTheme="minorHAnsi" w:hAnsiTheme="minorHAnsi" w:cs="Arial"/>
          <w:color w:val="auto"/>
          <w:sz w:val="22"/>
          <w:szCs w:val="22"/>
          <w:lang w:eastAsia="en-US"/>
        </w:rPr>
        <w:t>a</w:t>
      </w:r>
      <w:r w:rsidRPr="0000059D">
        <w:rPr>
          <w:rFonts w:asciiTheme="minorHAnsi" w:hAnsiTheme="minorHAnsi" w:cs="Arial"/>
          <w:color w:val="auto"/>
          <w:sz w:val="22"/>
          <w:szCs w:val="22"/>
          <w:lang w:eastAsia="en-US"/>
        </w:rPr>
        <w:t xml:space="preserve"> similar </w:t>
      </w:r>
      <w:r w:rsidR="00DC4CC7">
        <w:rPr>
          <w:rFonts w:asciiTheme="minorHAnsi" w:hAnsiTheme="minorHAnsi" w:cs="Arial"/>
          <w:color w:val="auto"/>
          <w:sz w:val="22"/>
          <w:szCs w:val="22"/>
          <w:lang w:eastAsia="en-US"/>
        </w:rPr>
        <w:t xml:space="preserve">analysis of </w:t>
      </w:r>
      <w:r w:rsidRPr="0000059D">
        <w:rPr>
          <w:rFonts w:asciiTheme="minorHAnsi" w:hAnsiTheme="minorHAnsi" w:cs="Arial"/>
          <w:color w:val="auto"/>
          <w:sz w:val="22"/>
          <w:szCs w:val="22"/>
          <w:lang w:eastAsia="en-US"/>
        </w:rPr>
        <w:t xml:space="preserve">2009 </w:t>
      </w:r>
      <w:r>
        <w:rPr>
          <w:rFonts w:asciiTheme="minorHAnsi" w:hAnsiTheme="minorHAnsi" w:cs="Arial"/>
          <w:color w:val="auto"/>
          <w:sz w:val="22"/>
          <w:szCs w:val="22"/>
          <w:lang w:eastAsia="en-US"/>
        </w:rPr>
        <w:t xml:space="preserve">NTI </w:t>
      </w:r>
      <w:r w:rsidR="00DC4CC7">
        <w:rPr>
          <w:rFonts w:asciiTheme="minorHAnsi" w:hAnsiTheme="minorHAnsi" w:cs="Arial"/>
          <w:color w:val="auto"/>
          <w:sz w:val="22"/>
          <w:szCs w:val="22"/>
          <w:lang w:eastAsia="en-US"/>
        </w:rPr>
        <w:t>data</w:t>
      </w:r>
      <w:r w:rsidRPr="0000059D">
        <w:rPr>
          <w:rFonts w:asciiTheme="minorHAnsi" w:hAnsiTheme="minorHAnsi" w:cs="Arial"/>
          <w:color w:val="auto"/>
          <w:sz w:val="22"/>
          <w:szCs w:val="22"/>
          <w:lang w:eastAsia="en-US"/>
        </w:rPr>
        <w:t xml:space="preserve">, the third party was </w:t>
      </w:r>
      <w:r w:rsidR="00132C94">
        <w:rPr>
          <w:rFonts w:asciiTheme="minorHAnsi" w:hAnsiTheme="minorHAnsi" w:cs="Arial"/>
          <w:color w:val="auto"/>
          <w:sz w:val="22"/>
          <w:szCs w:val="22"/>
          <w:lang w:eastAsia="en-US"/>
        </w:rPr>
        <w:t xml:space="preserve">found to be </w:t>
      </w:r>
      <w:r w:rsidRPr="0000059D">
        <w:rPr>
          <w:rFonts w:asciiTheme="minorHAnsi" w:hAnsiTheme="minorHAnsi" w:cs="Arial"/>
          <w:color w:val="auto"/>
          <w:sz w:val="22"/>
          <w:szCs w:val="22"/>
          <w:lang w:eastAsia="en-US"/>
        </w:rPr>
        <w:t>at fault 82 per</w:t>
      </w:r>
      <w:r>
        <w:rPr>
          <w:rFonts w:asciiTheme="minorHAnsi" w:hAnsiTheme="minorHAnsi" w:cs="Arial"/>
          <w:color w:val="auto"/>
          <w:sz w:val="22"/>
          <w:szCs w:val="22"/>
          <w:lang w:eastAsia="en-US"/>
        </w:rPr>
        <w:t xml:space="preserve"> </w:t>
      </w:r>
      <w:r w:rsidR="00D36D7C">
        <w:rPr>
          <w:rFonts w:asciiTheme="minorHAnsi" w:hAnsiTheme="minorHAnsi" w:cs="Arial"/>
          <w:color w:val="auto"/>
          <w:sz w:val="22"/>
          <w:szCs w:val="22"/>
          <w:lang w:eastAsia="en-US"/>
        </w:rPr>
        <w:t>cent of the time.</w:t>
      </w:r>
      <w:r w:rsidR="00D36D7C">
        <w:rPr>
          <w:rStyle w:val="FootnoteReference"/>
          <w:rFonts w:asciiTheme="minorHAnsi" w:hAnsiTheme="minorHAnsi"/>
          <w:color w:val="auto"/>
          <w:sz w:val="22"/>
          <w:szCs w:val="22"/>
          <w:lang w:eastAsia="en-US"/>
        </w:rPr>
        <w:footnoteReference w:id="3"/>
      </w:r>
      <w:r w:rsidRPr="0000059D">
        <w:rPr>
          <w:rFonts w:asciiTheme="minorHAnsi" w:hAnsiTheme="minorHAnsi" w:cs="Arial"/>
          <w:color w:val="auto"/>
          <w:sz w:val="22"/>
          <w:szCs w:val="22"/>
          <w:lang w:eastAsia="en-US"/>
        </w:rPr>
        <w:t xml:space="preserve"> </w:t>
      </w:r>
    </w:p>
    <w:p w:rsidR="009D7972" w:rsidRPr="0000059D" w:rsidRDefault="009D7972" w:rsidP="009D7972">
      <w:pPr>
        <w:rPr>
          <w:rFonts w:asciiTheme="minorHAnsi" w:hAnsiTheme="minorHAnsi" w:cs="Arial"/>
          <w:highlight w:val="white"/>
          <w:lang w:eastAsia="en-AU"/>
        </w:rPr>
      </w:pPr>
      <w:r w:rsidRPr="0000059D">
        <w:rPr>
          <w:rFonts w:asciiTheme="minorHAnsi" w:hAnsiTheme="minorHAnsi" w:cs="Arial"/>
          <w:highlight w:val="white"/>
          <w:lang w:eastAsia="en-AU"/>
        </w:rPr>
        <w:t xml:space="preserve">The Heavy Vehicle National Law (HVNL) was introduced in February 2014 </w:t>
      </w:r>
      <w:r w:rsidR="00E601FB" w:rsidRPr="0000059D">
        <w:rPr>
          <w:rFonts w:asciiTheme="minorHAnsi" w:hAnsiTheme="minorHAnsi" w:cs="Arial"/>
          <w:highlight w:val="white"/>
          <w:lang w:eastAsia="en-AU"/>
        </w:rPr>
        <w:t>with</w:t>
      </w:r>
      <w:r w:rsidR="007E0DE1" w:rsidRPr="0000059D">
        <w:rPr>
          <w:rFonts w:asciiTheme="minorHAnsi" w:hAnsiTheme="minorHAnsi" w:cs="Arial"/>
          <w:highlight w:val="white"/>
          <w:lang w:eastAsia="en-AU"/>
        </w:rPr>
        <w:t xml:space="preserve"> </w:t>
      </w:r>
      <w:r w:rsidR="00520756">
        <w:rPr>
          <w:rFonts w:asciiTheme="minorHAnsi" w:hAnsiTheme="minorHAnsi" w:cs="Arial"/>
          <w:highlight w:val="white"/>
          <w:lang w:eastAsia="en-AU"/>
        </w:rPr>
        <w:t>a goal of</w:t>
      </w:r>
      <w:r w:rsidRPr="0000059D">
        <w:rPr>
          <w:rFonts w:asciiTheme="minorHAnsi" w:hAnsiTheme="minorHAnsi" w:cs="Arial"/>
          <w:highlight w:val="white"/>
          <w:lang w:eastAsia="en-AU"/>
        </w:rPr>
        <w:t xml:space="preserve"> </w:t>
      </w:r>
      <w:r w:rsidR="00530144" w:rsidRPr="0000059D">
        <w:rPr>
          <w:rFonts w:asciiTheme="minorHAnsi" w:hAnsiTheme="minorHAnsi" w:cs="Arial"/>
          <w:highlight w:val="white"/>
          <w:lang w:eastAsia="en-AU"/>
        </w:rPr>
        <w:t xml:space="preserve">achieving </w:t>
      </w:r>
      <w:r w:rsidRPr="0000059D">
        <w:rPr>
          <w:rFonts w:asciiTheme="minorHAnsi" w:hAnsiTheme="minorHAnsi" w:cs="Arial"/>
          <w:highlight w:val="white"/>
          <w:lang w:eastAsia="en-AU"/>
        </w:rPr>
        <w:t>safe</w:t>
      </w:r>
      <w:r w:rsidR="00B321D3">
        <w:rPr>
          <w:rFonts w:asciiTheme="minorHAnsi" w:hAnsiTheme="minorHAnsi" w:cs="Arial"/>
          <w:highlight w:val="white"/>
          <w:lang w:eastAsia="en-AU"/>
        </w:rPr>
        <w:t xml:space="preserve"> </w:t>
      </w:r>
      <w:r w:rsidR="00520756">
        <w:rPr>
          <w:rFonts w:asciiTheme="minorHAnsi" w:hAnsiTheme="minorHAnsi" w:cs="Arial"/>
          <w:highlight w:val="white"/>
          <w:lang w:eastAsia="en-AU"/>
        </w:rPr>
        <w:t xml:space="preserve">and productive </w:t>
      </w:r>
      <w:r w:rsidR="00B321D3">
        <w:rPr>
          <w:rFonts w:asciiTheme="minorHAnsi" w:hAnsiTheme="minorHAnsi" w:cs="Arial"/>
          <w:highlight w:val="white"/>
          <w:lang w:eastAsia="en-AU"/>
        </w:rPr>
        <w:t>on-road use of h</w:t>
      </w:r>
      <w:r w:rsidR="007A6219">
        <w:rPr>
          <w:rFonts w:asciiTheme="minorHAnsi" w:hAnsiTheme="minorHAnsi" w:cs="Arial"/>
          <w:highlight w:val="white"/>
          <w:lang w:eastAsia="en-AU"/>
        </w:rPr>
        <w:t>eavy vehicle</w:t>
      </w:r>
      <w:r w:rsidR="008C2E20">
        <w:rPr>
          <w:rFonts w:asciiTheme="minorHAnsi" w:hAnsiTheme="minorHAnsi" w:cs="Arial"/>
          <w:highlight w:val="white"/>
          <w:lang w:eastAsia="en-AU"/>
        </w:rPr>
        <w:t>s</w:t>
      </w:r>
      <w:r w:rsidRPr="0000059D">
        <w:rPr>
          <w:rFonts w:asciiTheme="minorHAnsi" w:hAnsiTheme="minorHAnsi" w:cs="Arial"/>
          <w:highlight w:val="white"/>
          <w:lang w:eastAsia="en-AU"/>
        </w:rPr>
        <w:t xml:space="preserve">. </w:t>
      </w:r>
      <w:r w:rsidR="00B2108B" w:rsidRPr="0000059D">
        <w:rPr>
          <w:rFonts w:asciiTheme="minorHAnsi" w:hAnsiTheme="minorHAnsi" w:cs="Arial"/>
          <w:highlight w:val="white"/>
          <w:lang w:eastAsia="en-AU"/>
        </w:rPr>
        <w:t>Although</w:t>
      </w:r>
      <w:r w:rsidR="00530144" w:rsidRPr="0000059D">
        <w:rPr>
          <w:rFonts w:asciiTheme="minorHAnsi" w:hAnsiTheme="minorHAnsi" w:cs="Arial"/>
          <w:highlight w:val="white"/>
          <w:lang w:eastAsia="en-AU"/>
        </w:rPr>
        <w:t xml:space="preserve"> the</w:t>
      </w:r>
      <w:r w:rsidR="000F542C" w:rsidRPr="0000059D">
        <w:rPr>
          <w:rFonts w:asciiTheme="minorHAnsi" w:hAnsiTheme="minorHAnsi" w:cs="Arial"/>
          <w:highlight w:val="white"/>
          <w:lang w:eastAsia="en-AU"/>
        </w:rPr>
        <w:t xml:space="preserve"> HVNL</w:t>
      </w:r>
      <w:r w:rsidR="00BA5D66" w:rsidRPr="0000059D">
        <w:rPr>
          <w:rFonts w:asciiTheme="minorHAnsi" w:hAnsiTheme="minorHAnsi" w:cs="Arial"/>
          <w:highlight w:val="white"/>
          <w:lang w:eastAsia="en-AU"/>
        </w:rPr>
        <w:t xml:space="preserve"> should </w:t>
      </w:r>
      <w:r w:rsidR="008C2E20">
        <w:rPr>
          <w:rFonts w:asciiTheme="minorHAnsi" w:hAnsiTheme="minorHAnsi" w:cs="Arial"/>
          <w:highlight w:val="white"/>
          <w:lang w:eastAsia="en-AU"/>
        </w:rPr>
        <w:t>be helping</w:t>
      </w:r>
      <w:r w:rsidR="00E601FB" w:rsidRPr="0000059D">
        <w:rPr>
          <w:rFonts w:asciiTheme="minorHAnsi" w:hAnsiTheme="minorHAnsi" w:cs="Arial"/>
          <w:highlight w:val="white"/>
          <w:lang w:eastAsia="en-AU"/>
        </w:rPr>
        <w:t xml:space="preserve"> </w:t>
      </w:r>
      <w:r w:rsidR="008C2E20">
        <w:rPr>
          <w:rFonts w:asciiTheme="minorHAnsi" w:hAnsiTheme="minorHAnsi" w:cs="Arial"/>
          <w:highlight w:val="white"/>
          <w:lang w:eastAsia="en-AU"/>
        </w:rPr>
        <w:t xml:space="preserve">to </w:t>
      </w:r>
      <w:r w:rsidR="00590CBF" w:rsidRPr="0000059D">
        <w:rPr>
          <w:rFonts w:asciiTheme="minorHAnsi" w:hAnsiTheme="minorHAnsi" w:cs="Arial"/>
          <w:highlight w:val="white"/>
          <w:lang w:eastAsia="en-AU"/>
        </w:rPr>
        <w:t xml:space="preserve">reduce </w:t>
      </w:r>
      <w:r w:rsidR="008E2AB6" w:rsidRPr="0000059D">
        <w:rPr>
          <w:rFonts w:asciiTheme="minorHAnsi" w:hAnsiTheme="minorHAnsi" w:cs="Arial"/>
          <w:highlight w:val="white"/>
          <w:lang w:eastAsia="en-AU"/>
        </w:rPr>
        <w:t xml:space="preserve">the </w:t>
      </w:r>
      <w:r w:rsidR="00E601FB" w:rsidRPr="0000059D">
        <w:rPr>
          <w:rFonts w:asciiTheme="minorHAnsi" w:hAnsiTheme="minorHAnsi" w:cs="Arial"/>
          <w:highlight w:val="white"/>
          <w:lang w:eastAsia="en-AU"/>
        </w:rPr>
        <w:t xml:space="preserve">incidence of </w:t>
      </w:r>
      <w:r w:rsidR="008C2E20">
        <w:rPr>
          <w:rFonts w:asciiTheme="minorHAnsi" w:hAnsiTheme="minorHAnsi" w:cs="Arial"/>
          <w:highlight w:val="white"/>
          <w:lang w:eastAsia="en-AU"/>
        </w:rPr>
        <w:t xml:space="preserve">truck </w:t>
      </w:r>
      <w:r w:rsidR="00590CBF" w:rsidRPr="0000059D">
        <w:rPr>
          <w:rFonts w:asciiTheme="minorHAnsi" w:hAnsiTheme="minorHAnsi" w:cs="Arial"/>
          <w:highlight w:val="white"/>
          <w:lang w:eastAsia="en-AU"/>
        </w:rPr>
        <w:t>crashes and breakdowns</w:t>
      </w:r>
      <w:r w:rsidR="006142B5" w:rsidRPr="0000059D">
        <w:rPr>
          <w:rFonts w:asciiTheme="minorHAnsi" w:hAnsiTheme="minorHAnsi" w:cs="Arial"/>
          <w:highlight w:val="white"/>
          <w:lang w:eastAsia="en-AU"/>
        </w:rPr>
        <w:t xml:space="preserve"> </w:t>
      </w:r>
      <w:r w:rsidRPr="0000059D">
        <w:rPr>
          <w:rFonts w:asciiTheme="minorHAnsi" w:hAnsiTheme="minorHAnsi" w:cs="Arial"/>
          <w:highlight w:val="white"/>
          <w:lang w:eastAsia="en-AU"/>
        </w:rPr>
        <w:t xml:space="preserve">there is </w:t>
      </w:r>
      <w:r w:rsidR="000F542C" w:rsidRPr="0000059D">
        <w:rPr>
          <w:rFonts w:asciiTheme="minorHAnsi" w:hAnsiTheme="minorHAnsi" w:cs="Arial"/>
          <w:highlight w:val="white"/>
          <w:lang w:eastAsia="en-AU"/>
        </w:rPr>
        <w:t>no</w:t>
      </w:r>
      <w:r w:rsidRPr="0000059D">
        <w:rPr>
          <w:rFonts w:asciiTheme="minorHAnsi" w:hAnsiTheme="minorHAnsi" w:cs="Arial"/>
          <w:highlight w:val="white"/>
          <w:lang w:eastAsia="en-AU"/>
        </w:rPr>
        <w:t xml:space="preserve"> room for </w:t>
      </w:r>
      <w:r w:rsidR="006142B5" w:rsidRPr="0000059D">
        <w:rPr>
          <w:rFonts w:asciiTheme="minorHAnsi" w:hAnsiTheme="minorHAnsi" w:cs="Arial"/>
          <w:highlight w:val="white"/>
          <w:lang w:eastAsia="en-AU"/>
        </w:rPr>
        <w:t xml:space="preserve">policy </w:t>
      </w:r>
      <w:r w:rsidRPr="0000059D">
        <w:rPr>
          <w:rFonts w:asciiTheme="minorHAnsi" w:hAnsiTheme="minorHAnsi" w:cs="Arial"/>
          <w:highlight w:val="white"/>
          <w:lang w:eastAsia="en-AU"/>
        </w:rPr>
        <w:t xml:space="preserve">complacency because </w:t>
      </w:r>
      <w:r w:rsidR="00B2108B" w:rsidRPr="0000059D">
        <w:rPr>
          <w:rFonts w:asciiTheme="minorHAnsi" w:hAnsiTheme="minorHAnsi" w:cs="Arial"/>
          <w:highlight w:val="white"/>
          <w:lang w:eastAsia="en-AU"/>
        </w:rPr>
        <w:t>various aspects of road safety</w:t>
      </w:r>
      <w:r w:rsidR="00545672">
        <w:rPr>
          <w:rFonts w:asciiTheme="minorHAnsi" w:hAnsiTheme="minorHAnsi" w:cs="Arial"/>
          <w:highlight w:val="white"/>
          <w:lang w:eastAsia="en-AU"/>
        </w:rPr>
        <w:t>,</w:t>
      </w:r>
      <w:r w:rsidR="00B2108B" w:rsidRPr="0000059D">
        <w:rPr>
          <w:rFonts w:asciiTheme="minorHAnsi" w:hAnsiTheme="minorHAnsi" w:cs="Arial"/>
          <w:highlight w:val="white"/>
          <w:lang w:eastAsia="en-AU"/>
        </w:rPr>
        <w:t xml:space="preserve"> </w:t>
      </w:r>
      <w:r w:rsidR="004F39F0">
        <w:rPr>
          <w:rFonts w:asciiTheme="minorHAnsi" w:hAnsiTheme="minorHAnsi" w:cs="Arial"/>
          <w:highlight w:val="white"/>
          <w:lang w:eastAsia="en-AU"/>
        </w:rPr>
        <w:t>including</w:t>
      </w:r>
      <w:r w:rsidR="00DA557B" w:rsidRPr="0000059D">
        <w:rPr>
          <w:rFonts w:asciiTheme="minorHAnsi" w:hAnsiTheme="minorHAnsi" w:cs="Arial"/>
          <w:highlight w:val="white"/>
          <w:lang w:eastAsia="en-AU"/>
        </w:rPr>
        <w:t xml:space="preserve"> roadworthiness </w:t>
      </w:r>
      <w:r w:rsidR="00B2108B" w:rsidRPr="0000059D">
        <w:rPr>
          <w:rFonts w:asciiTheme="minorHAnsi" w:hAnsiTheme="minorHAnsi" w:cs="Arial"/>
          <w:highlight w:val="white"/>
          <w:lang w:eastAsia="en-AU"/>
        </w:rPr>
        <w:t>and the</w:t>
      </w:r>
      <w:r w:rsidR="00BA5D66" w:rsidRPr="0000059D">
        <w:rPr>
          <w:rFonts w:asciiTheme="minorHAnsi" w:hAnsiTheme="minorHAnsi" w:cs="Arial"/>
          <w:highlight w:val="white"/>
          <w:lang w:eastAsia="en-AU"/>
        </w:rPr>
        <w:t xml:space="preserve"> chain of responsibility concept</w:t>
      </w:r>
      <w:r w:rsidR="00545672">
        <w:rPr>
          <w:rFonts w:asciiTheme="minorHAnsi" w:hAnsiTheme="minorHAnsi" w:cs="Arial"/>
          <w:highlight w:val="white"/>
          <w:lang w:eastAsia="en-AU"/>
        </w:rPr>
        <w:t>,</w:t>
      </w:r>
      <w:r w:rsidR="00BA5D66" w:rsidRPr="0000059D">
        <w:rPr>
          <w:rFonts w:asciiTheme="minorHAnsi" w:hAnsiTheme="minorHAnsi" w:cs="Arial"/>
          <w:highlight w:val="white"/>
          <w:lang w:eastAsia="en-AU"/>
        </w:rPr>
        <w:t xml:space="preserve"> are</w:t>
      </w:r>
      <w:r w:rsidRPr="0000059D">
        <w:rPr>
          <w:rFonts w:asciiTheme="minorHAnsi" w:hAnsiTheme="minorHAnsi" w:cs="Arial"/>
          <w:highlight w:val="white"/>
          <w:lang w:eastAsia="en-AU"/>
        </w:rPr>
        <w:t xml:space="preserve"> poorly served </w:t>
      </w:r>
      <w:r w:rsidR="00DA557B" w:rsidRPr="0000059D">
        <w:rPr>
          <w:rFonts w:asciiTheme="minorHAnsi" w:hAnsiTheme="minorHAnsi" w:cs="Arial"/>
          <w:highlight w:val="white"/>
          <w:lang w:eastAsia="en-AU"/>
        </w:rPr>
        <w:t>under</w:t>
      </w:r>
      <w:r w:rsidRPr="0000059D">
        <w:rPr>
          <w:rFonts w:asciiTheme="minorHAnsi" w:hAnsiTheme="minorHAnsi" w:cs="Arial"/>
          <w:highlight w:val="white"/>
          <w:lang w:eastAsia="en-AU"/>
        </w:rPr>
        <w:t xml:space="preserve"> the current </w:t>
      </w:r>
      <w:r w:rsidR="00B2108B" w:rsidRPr="0000059D">
        <w:rPr>
          <w:rFonts w:asciiTheme="minorHAnsi" w:hAnsiTheme="minorHAnsi" w:cs="Arial"/>
          <w:highlight w:val="white"/>
          <w:lang w:eastAsia="en-AU"/>
        </w:rPr>
        <w:t xml:space="preserve">legal </w:t>
      </w:r>
      <w:r w:rsidRPr="0000059D">
        <w:rPr>
          <w:rFonts w:asciiTheme="minorHAnsi" w:hAnsiTheme="minorHAnsi" w:cs="Arial"/>
          <w:highlight w:val="white"/>
          <w:lang w:eastAsia="en-AU"/>
        </w:rPr>
        <w:t xml:space="preserve">framework. </w:t>
      </w:r>
    </w:p>
    <w:p w:rsidR="009D7972" w:rsidRPr="0000059D" w:rsidRDefault="009D7972" w:rsidP="009D7972">
      <w:pPr>
        <w:rPr>
          <w:rFonts w:asciiTheme="minorHAnsi" w:hAnsiTheme="minorHAnsi" w:cs="Arial"/>
          <w:highlight w:val="white"/>
          <w:lang w:eastAsia="en-AU"/>
        </w:rPr>
      </w:pPr>
    </w:p>
    <w:p w:rsidR="009F7BA4" w:rsidRDefault="009F7BA4" w:rsidP="009F7BA4">
      <w:pPr>
        <w:rPr>
          <w:rFonts w:asciiTheme="minorHAnsi" w:hAnsiTheme="minorHAnsi" w:cs="Arial"/>
        </w:rPr>
      </w:pPr>
      <w:r w:rsidRPr="0000059D">
        <w:rPr>
          <w:rFonts w:asciiTheme="minorHAnsi" w:hAnsiTheme="minorHAnsi" w:cs="Arial"/>
          <w:highlight w:val="white"/>
          <w:lang w:eastAsia="en-AU"/>
        </w:rPr>
        <w:t xml:space="preserve">To help address </w:t>
      </w:r>
      <w:r w:rsidR="007A6219">
        <w:rPr>
          <w:rFonts w:asciiTheme="minorHAnsi" w:hAnsiTheme="minorHAnsi" w:cs="Arial"/>
          <w:highlight w:val="white"/>
          <w:lang w:eastAsia="en-AU"/>
        </w:rPr>
        <w:t>the</w:t>
      </w:r>
      <w:r w:rsidRPr="0000059D">
        <w:rPr>
          <w:rFonts w:asciiTheme="minorHAnsi" w:hAnsiTheme="minorHAnsi" w:cs="Arial"/>
          <w:highlight w:val="white"/>
          <w:lang w:eastAsia="en-AU"/>
        </w:rPr>
        <w:t xml:space="preserve"> complex regulatory burden</w:t>
      </w:r>
      <w:r w:rsidR="007A6219">
        <w:rPr>
          <w:rFonts w:asciiTheme="minorHAnsi" w:hAnsiTheme="minorHAnsi" w:cs="Arial"/>
          <w:highlight w:val="white"/>
          <w:lang w:eastAsia="en-AU"/>
        </w:rPr>
        <w:t xml:space="preserve"> </w:t>
      </w:r>
      <w:r w:rsidR="004F39F0">
        <w:rPr>
          <w:rFonts w:asciiTheme="minorHAnsi" w:hAnsiTheme="minorHAnsi" w:cs="Arial"/>
          <w:highlight w:val="white"/>
          <w:lang w:eastAsia="en-AU"/>
        </w:rPr>
        <w:t xml:space="preserve">currently </w:t>
      </w:r>
      <w:r w:rsidR="00134BA3">
        <w:rPr>
          <w:rFonts w:asciiTheme="minorHAnsi" w:hAnsiTheme="minorHAnsi" w:cs="Arial"/>
          <w:highlight w:val="white"/>
          <w:lang w:eastAsia="en-AU"/>
        </w:rPr>
        <w:t>posed by</w:t>
      </w:r>
      <w:r w:rsidR="007A6219">
        <w:rPr>
          <w:rFonts w:asciiTheme="minorHAnsi" w:hAnsiTheme="minorHAnsi" w:cs="Arial"/>
          <w:highlight w:val="white"/>
          <w:lang w:eastAsia="en-AU"/>
        </w:rPr>
        <w:t xml:space="preserve"> the HVNL</w:t>
      </w:r>
      <w:r w:rsidRPr="0000059D">
        <w:rPr>
          <w:rFonts w:asciiTheme="minorHAnsi" w:hAnsiTheme="minorHAnsi" w:cs="Arial"/>
          <w:highlight w:val="white"/>
          <w:lang w:eastAsia="en-AU"/>
        </w:rPr>
        <w:t xml:space="preserve">, </w:t>
      </w:r>
      <w:r w:rsidRPr="00806D2A">
        <w:rPr>
          <w:rFonts w:asciiTheme="minorHAnsi" w:hAnsiTheme="minorHAnsi" w:cs="Arial"/>
          <w:highlight w:val="white"/>
          <w:lang w:eastAsia="en-AU"/>
        </w:rPr>
        <w:t xml:space="preserve">the ATA </w:t>
      </w:r>
      <w:r w:rsidR="00134BA3">
        <w:rPr>
          <w:rFonts w:asciiTheme="minorHAnsi" w:hAnsiTheme="minorHAnsi" w:cs="Arial"/>
        </w:rPr>
        <w:t>recently</w:t>
      </w:r>
      <w:r w:rsidRPr="00806D2A">
        <w:rPr>
          <w:rFonts w:asciiTheme="minorHAnsi" w:hAnsiTheme="minorHAnsi" w:cs="Arial"/>
        </w:rPr>
        <w:t xml:space="preserve"> recommended</w:t>
      </w:r>
      <w:r w:rsidRPr="0000059D">
        <w:rPr>
          <w:rFonts w:asciiTheme="minorHAnsi" w:hAnsiTheme="minorHAnsi" w:cs="Arial"/>
        </w:rPr>
        <w:t xml:space="preserve"> </w:t>
      </w:r>
      <w:r w:rsidR="007A6219">
        <w:rPr>
          <w:rFonts w:asciiTheme="minorHAnsi" w:hAnsiTheme="minorHAnsi" w:cs="Arial"/>
        </w:rPr>
        <w:t>a</w:t>
      </w:r>
      <w:r w:rsidRPr="0000059D">
        <w:rPr>
          <w:rFonts w:asciiTheme="minorHAnsi" w:hAnsiTheme="minorHAnsi" w:cs="Arial"/>
        </w:rPr>
        <w:t xml:space="preserve"> </w:t>
      </w:r>
      <w:r>
        <w:rPr>
          <w:rFonts w:asciiTheme="minorHAnsi" w:hAnsiTheme="minorHAnsi" w:cs="Arial"/>
        </w:rPr>
        <w:t>major</w:t>
      </w:r>
      <w:r w:rsidRPr="0000059D">
        <w:rPr>
          <w:rFonts w:asciiTheme="minorHAnsi" w:hAnsiTheme="minorHAnsi" w:cs="Arial"/>
        </w:rPr>
        <w:t xml:space="preserve"> restructure</w:t>
      </w:r>
      <w:r w:rsidR="008C2E20">
        <w:rPr>
          <w:rStyle w:val="FootnoteReference"/>
          <w:rFonts w:asciiTheme="minorHAnsi" w:hAnsiTheme="minorHAnsi"/>
        </w:rPr>
        <w:footnoteReference w:id="4"/>
      </w:r>
      <w:r w:rsidRPr="0000059D">
        <w:rPr>
          <w:rFonts w:asciiTheme="minorHAnsi" w:hAnsiTheme="minorHAnsi" w:cs="Arial"/>
        </w:rPr>
        <w:t xml:space="preserve"> of the </w:t>
      </w:r>
      <w:r w:rsidR="008C2E20">
        <w:rPr>
          <w:rFonts w:asciiTheme="minorHAnsi" w:hAnsiTheme="minorHAnsi" w:cs="Arial"/>
        </w:rPr>
        <w:t>law</w:t>
      </w:r>
      <w:r w:rsidRPr="0000059D">
        <w:rPr>
          <w:rFonts w:asciiTheme="minorHAnsi" w:hAnsiTheme="minorHAnsi" w:cs="Arial"/>
        </w:rPr>
        <w:t xml:space="preserve"> </w:t>
      </w:r>
      <w:r w:rsidR="00134BA3">
        <w:rPr>
          <w:rFonts w:asciiTheme="minorHAnsi" w:hAnsiTheme="minorHAnsi" w:cs="Arial"/>
        </w:rPr>
        <w:t xml:space="preserve">itself </w:t>
      </w:r>
      <w:r w:rsidRPr="0000059D">
        <w:rPr>
          <w:rFonts w:asciiTheme="minorHAnsi" w:hAnsiTheme="minorHAnsi" w:cs="Arial"/>
        </w:rPr>
        <w:t xml:space="preserve">and </w:t>
      </w:r>
      <w:r w:rsidR="004F39F0">
        <w:rPr>
          <w:rFonts w:asciiTheme="minorHAnsi" w:hAnsiTheme="minorHAnsi" w:cs="Arial"/>
        </w:rPr>
        <w:t xml:space="preserve">also </w:t>
      </w:r>
      <w:r w:rsidRPr="0000059D">
        <w:rPr>
          <w:rFonts w:asciiTheme="minorHAnsi" w:hAnsiTheme="minorHAnsi" w:cs="Arial"/>
        </w:rPr>
        <w:t xml:space="preserve">that the legal chain of responsibility (COR) concept be extended to vehicle standards and </w:t>
      </w:r>
      <w:r w:rsidR="00806D2A">
        <w:rPr>
          <w:rFonts w:asciiTheme="minorHAnsi" w:hAnsiTheme="minorHAnsi" w:cs="Arial"/>
        </w:rPr>
        <w:t>external</w:t>
      </w:r>
      <w:r w:rsidRPr="0000059D">
        <w:rPr>
          <w:rFonts w:asciiTheme="minorHAnsi" w:hAnsiTheme="minorHAnsi" w:cs="Arial"/>
        </w:rPr>
        <w:t xml:space="preserve"> maintenance</w:t>
      </w:r>
      <w:r w:rsidR="007A6219">
        <w:rPr>
          <w:rFonts w:asciiTheme="minorHAnsi" w:hAnsiTheme="minorHAnsi" w:cs="Arial"/>
        </w:rPr>
        <w:t xml:space="preserve"> providers</w:t>
      </w:r>
      <w:r w:rsidRPr="0000059D">
        <w:rPr>
          <w:rStyle w:val="FootnoteReference"/>
          <w:rFonts w:asciiTheme="minorHAnsi" w:hAnsiTheme="minorHAnsi"/>
        </w:rPr>
        <w:footnoteReference w:id="5"/>
      </w:r>
      <w:r w:rsidRPr="0000059D">
        <w:rPr>
          <w:rFonts w:asciiTheme="minorHAnsi" w:hAnsiTheme="minorHAnsi" w:cs="Arial"/>
        </w:rPr>
        <w:t>. Recent</w:t>
      </w:r>
      <w:r w:rsidR="00806D2A">
        <w:rPr>
          <w:rFonts w:asciiTheme="minorHAnsi" w:hAnsiTheme="minorHAnsi" w:cs="Arial"/>
        </w:rPr>
        <w:t>ly published</w:t>
      </w:r>
      <w:r w:rsidRPr="0000059D">
        <w:rPr>
          <w:rFonts w:asciiTheme="minorHAnsi" w:hAnsiTheme="minorHAnsi" w:cs="Arial"/>
        </w:rPr>
        <w:t xml:space="preserve"> coronial findings into fatal crashes on the South-E</w:t>
      </w:r>
      <w:r w:rsidR="00806D2A">
        <w:rPr>
          <w:rFonts w:asciiTheme="minorHAnsi" w:hAnsiTheme="minorHAnsi" w:cs="Arial"/>
        </w:rPr>
        <w:t xml:space="preserve">astern Freeway in Adelaide </w:t>
      </w:r>
      <w:r w:rsidR="00410D07">
        <w:rPr>
          <w:rFonts w:asciiTheme="minorHAnsi" w:hAnsiTheme="minorHAnsi" w:cs="Arial"/>
        </w:rPr>
        <w:t>show</w:t>
      </w:r>
      <w:r w:rsidRPr="0000059D">
        <w:rPr>
          <w:rFonts w:asciiTheme="minorHAnsi" w:hAnsiTheme="minorHAnsi" w:cs="Arial"/>
        </w:rPr>
        <w:t xml:space="preserve"> the importance of th</w:t>
      </w:r>
      <w:r w:rsidR="00134BA3">
        <w:rPr>
          <w:rFonts w:asciiTheme="minorHAnsi" w:hAnsiTheme="minorHAnsi" w:cs="Arial"/>
        </w:rPr>
        <w:t>ese</w:t>
      </w:r>
      <w:r w:rsidRPr="0000059D">
        <w:rPr>
          <w:rFonts w:asciiTheme="minorHAnsi" w:hAnsiTheme="minorHAnsi" w:cs="Arial"/>
        </w:rPr>
        <w:t xml:space="preserve"> proposal</w:t>
      </w:r>
      <w:r w:rsidR="00134BA3">
        <w:rPr>
          <w:rFonts w:asciiTheme="minorHAnsi" w:hAnsiTheme="minorHAnsi" w:cs="Arial"/>
        </w:rPr>
        <w:t>s</w:t>
      </w:r>
      <w:r w:rsidRPr="0000059D">
        <w:rPr>
          <w:rFonts w:asciiTheme="minorHAnsi" w:hAnsiTheme="minorHAnsi" w:cs="Arial"/>
        </w:rPr>
        <w:t>.</w:t>
      </w:r>
      <w:r w:rsidRPr="0000059D">
        <w:rPr>
          <w:rStyle w:val="FootnoteReference"/>
          <w:rFonts w:asciiTheme="minorHAnsi" w:hAnsiTheme="minorHAnsi"/>
        </w:rPr>
        <w:footnoteReference w:id="6"/>
      </w:r>
    </w:p>
    <w:p w:rsidR="009F7BA4" w:rsidRPr="0000059D" w:rsidRDefault="009F7BA4" w:rsidP="009F7BA4">
      <w:pPr>
        <w:rPr>
          <w:rFonts w:asciiTheme="minorHAnsi" w:hAnsiTheme="minorHAnsi" w:cs="Arial"/>
          <w:highlight w:val="white"/>
          <w:lang w:eastAsia="en-AU"/>
        </w:rPr>
      </w:pPr>
    </w:p>
    <w:p w:rsidR="002B46EB" w:rsidRDefault="00B619D2" w:rsidP="002B46EB">
      <w:pPr>
        <w:rPr>
          <w:rFonts w:asciiTheme="minorHAnsi" w:hAnsiTheme="minorHAnsi" w:cs="Arial"/>
          <w:lang w:eastAsia="en-AU"/>
        </w:rPr>
      </w:pPr>
      <w:r>
        <w:rPr>
          <w:rFonts w:asciiTheme="minorHAnsi" w:hAnsiTheme="minorHAnsi" w:cs="Arial"/>
          <w:highlight w:val="white"/>
          <w:lang w:eastAsia="en-AU"/>
        </w:rPr>
        <w:t>The</w:t>
      </w:r>
      <w:r w:rsidR="007A6219" w:rsidRPr="0000059D">
        <w:rPr>
          <w:rFonts w:asciiTheme="minorHAnsi" w:hAnsiTheme="minorHAnsi" w:cs="Arial"/>
          <w:highlight w:val="white"/>
          <w:lang w:eastAsia="en-AU"/>
        </w:rPr>
        <w:t xml:space="preserve"> lack of clarity and sensible organisation of chapters and provisions in the current </w:t>
      </w:r>
      <w:r w:rsidR="00CE23AC">
        <w:rPr>
          <w:rFonts w:asciiTheme="minorHAnsi" w:hAnsiTheme="minorHAnsi" w:cs="Arial"/>
          <w:highlight w:val="white"/>
          <w:lang w:eastAsia="en-AU"/>
        </w:rPr>
        <w:t xml:space="preserve">national </w:t>
      </w:r>
      <w:r w:rsidR="007A6219">
        <w:rPr>
          <w:rFonts w:asciiTheme="minorHAnsi" w:hAnsiTheme="minorHAnsi" w:cs="Arial"/>
          <w:highlight w:val="white"/>
          <w:lang w:eastAsia="en-AU"/>
        </w:rPr>
        <w:t>law</w:t>
      </w:r>
      <w:r w:rsidR="007A6219" w:rsidRPr="0000059D">
        <w:rPr>
          <w:rFonts w:asciiTheme="minorHAnsi" w:hAnsiTheme="minorHAnsi" w:cs="Arial"/>
          <w:highlight w:val="white"/>
          <w:lang w:eastAsia="en-AU"/>
        </w:rPr>
        <w:t xml:space="preserve"> makes it difficult and uneconomic for trucking businesses, managers </w:t>
      </w:r>
      <w:r w:rsidR="007A6219">
        <w:rPr>
          <w:rFonts w:asciiTheme="minorHAnsi" w:hAnsiTheme="minorHAnsi" w:cs="Arial"/>
          <w:highlight w:val="white"/>
          <w:lang w:eastAsia="en-AU"/>
        </w:rPr>
        <w:t>and</w:t>
      </w:r>
      <w:r w:rsidR="007A6219" w:rsidRPr="0000059D">
        <w:rPr>
          <w:rFonts w:asciiTheme="minorHAnsi" w:hAnsiTheme="minorHAnsi" w:cs="Arial"/>
          <w:highlight w:val="white"/>
          <w:lang w:eastAsia="en-AU"/>
        </w:rPr>
        <w:t xml:space="preserve"> employees in general to understand and comply with their legal obligations. </w:t>
      </w:r>
      <w:r w:rsidR="009F2923" w:rsidRPr="0000059D">
        <w:rPr>
          <w:rFonts w:asciiTheme="minorHAnsi" w:hAnsiTheme="minorHAnsi" w:cs="Arial"/>
          <w:lang w:eastAsia="en-AU"/>
        </w:rPr>
        <w:t>T</w:t>
      </w:r>
      <w:r w:rsidR="005436B6" w:rsidRPr="0000059D">
        <w:t xml:space="preserve">he ATA </w:t>
      </w:r>
      <w:r w:rsidR="00F2345B" w:rsidRPr="0000059D">
        <w:t>believes</w:t>
      </w:r>
      <w:r w:rsidR="005436B6" w:rsidRPr="0000059D">
        <w:t xml:space="preserve"> the </w:t>
      </w:r>
      <w:r w:rsidR="009F2923" w:rsidRPr="0000059D">
        <w:t>HVNL</w:t>
      </w:r>
      <w:r w:rsidR="005436B6" w:rsidRPr="0000059D">
        <w:t xml:space="preserve"> should be simplified and supported </w:t>
      </w:r>
      <w:r w:rsidR="00134BA3">
        <w:t xml:space="preserve">by </w:t>
      </w:r>
      <w:r w:rsidR="0021133A">
        <w:t>a</w:t>
      </w:r>
      <w:r w:rsidR="009F2923" w:rsidRPr="0000059D">
        <w:t xml:space="preserve"> </w:t>
      </w:r>
      <w:r w:rsidR="00BC6264">
        <w:lastRenderedPageBreak/>
        <w:t xml:space="preserve">clear </w:t>
      </w:r>
      <w:r w:rsidR="009F2923" w:rsidRPr="0000059D">
        <w:t>structure</w:t>
      </w:r>
      <w:r w:rsidR="00947C25" w:rsidRPr="0000059D">
        <w:t xml:space="preserve"> </w:t>
      </w:r>
      <w:r w:rsidR="00060C28" w:rsidRPr="0000059D">
        <w:t xml:space="preserve">that is </w:t>
      </w:r>
      <w:r w:rsidR="00947C25" w:rsidRPr="0000059D">
        <w:t xml:space="preserve">in </w:t>
      </w:r>
      <w:r w:rsidR="00BC6264">
        <w:t>line</w:t>
      </w:r>
      <w:r w:rsidR="00947C25" w:rsidRPr="0000059D">
        <w:t xml:space="preserve"> with relevant aspects of modern work health and safety </w:t>
      </w:r>
      <w:r w:rsidR="0021133A">
        <w:t>requirements</w:t>
      </w:r>
      <w:r w:rsidR="00134BA3">
        <w:t xml:space="preserve"> and </w:t>
      </w:r>
      <w:r w:rsidR="00B154EA">
        <w:t>by</w:t>
      </w:r>
      <w:r w:rsidR="00134BA3" w:rsidRPr="0000059D">
        <w:t xml:space="preserve"> easily understood guidance materials</w:t>
      </w:r>
      <w:r w:rsidR="00134BA3">
        <w:t xml:space="preserve">. This </w:t>
      </w:r>
      <w:r w:rsidR="00947C25" w:rsidRPr="0000059D">
        <w:t>would</w:t>
      </w:r>
      <w:r w:rsidR="009F2923" w:rsidRPr="0000059D">
        <w:rPr>
          <w:rFonts w:asciiTheme="minorHAnsi" w:hAnsiTheme="minorHAnsi" w:cs="Arial"/>
          <w:highlight w:val="white"/>
          <w:lang w:eastAsia="en-AU"/>
        </w:rPr>
        <w:t xml:space="preserve"> be</w:t>
      </w:r>
      <w:r w:rsidR="00FE45BE">
        <w:rPr>
          <w:rFonts w:asciiTheme="minorHAnsi" w:hAnsiTheme="minorHAnsi" w:cs="Arial"/>
          <w:highlight w:val="white"/>
          <w:lang w:eastAsia="en-AU"/>
        </w:rPr>
        <w:t xml:space="preserve"> a</w:t>
      </w:r>
      <w:r w:rsidR="009F2923" w:rsidRPr="0000059D">
        <w:rPr>
          <w:rFonts w:asciiTheme="minorHAnsi" w:hAnsiTheme="minorHAnsi" w:cs="Arial"/>
          <w:highlight w:val="white"/>
          <w:lang w:eastAsia="en-AU"/>
        </w:rPr>
        <w:t xml:space="preserve"> major step </w:t>
      </w:r>
      <w:r w:rsidR="0021133A">
        <w:rPr>
          <w:rFonts w:asciiTheme="minorHAnsi" w:hAnsiTheme="minorHAnsi" w:cs="Arial"/>
          <w:highlight w:val="white"/>
          <w:lang w:eastAsia="en-AU"/>
        </w:rPr>
        <w:t>forward in</w:t>
      </w:r>
      <w:r w:rsidR="009F2923" w:rsidRPr="0000059D">
        <w:rPr>
          <w:rFonts w:asciiTheme="minorHAnsi" w:hAnsiTheme="minorHAnsi" w:cs="Arial"/>
          <w:highlight w:val="white"/>
          <w:lang w:eastAsia="en-AU"/>
        </w:rPr>
        <w:t xml:space="preserve"> </w:t>
      </w:r>
      <w:r w:rsidR="00947C25" w:rsidRPr="0000059D">
        <w:rPr>
          <w:rFonts w:asciiTheme="minorHAnsi" w:hAnsiTheme="minorHAnsi" w:cs="Arial"/>
          <w:highlight w:val="white"/>
          <w:lang w:eastAsia="en-AU"/>
        </w:rPr>
        <w:t>achieving</w:t>
      </w:r>
      <w:r w:rsidR="009F2923" w:rsidRPr="0000059D">
        <w:rPr>
          <w:rFonts w:asciiTheme="minorHAnsi" w:hAnsiTheme="minorHAnsi" w:cs="Arial"/>
          <w:highlight w:val="white"/>
          <w:lang w:eastAsia="en-AU"/>
        </w:rPr>
        <w:t xml:space="preserve"> </w:t>
      </w:r>
      <w:r w:rsidR="00060C28" w:rsidRPr="0000059D">
        <w:rPr>
          <w:rFonts w:asciiTheme="minorHAnsi" w:hAnsiTheme="minorHAnsi" w:cs="Arial"/>
          <w:highlight w:val="white"/>
          <w:lang w:eastAsia="en-AU"/>
        </w:rPr>
        <w:t>optimum</w:t>
      </w:r>
      <w:r w:rsidR="009F2923" w:rsidRPr="0000059D">
        <w:rPr>
          <w:rFonts w:asciiTheme="minorHAnsi" w:hAnsiTheme="minorHAnsi" w:cs="Arial"/>
          <w:highlight w:val="white"/>
          <w:lang w:eastAsia="en-AU"/>
        </w:rPr>
        <w:t xml:space="preserve"> </w:t>
      </w:r>
      <w:r w:rsidR="00060C28" w:rsidRPr="0000059D">
        <w:rPr>
          <w:rFonts w:asciiTheme="minorHAnsi" w:hAnsiTheme="minorHAnsi" w:cs="Arial"/>
          <w:highlight w:val="white"/>
          <w:lang w:eastAsia="en-AU"/>
        </w:rPr>
        <w:t xml:space="preserve">safety and productivity </w:t>
      </w:r>
      <w:r w:rsidR="009F2923" w:rsidRPr="0000059D">
        <w:rPr>
          <w:rFonts w:asciiTheme="minorHAnsi" w:hAnsiTheme="minorHAnsi" w:cs="Arial"/>
          <w:highlight w:val="white"/>
          <w:lang w:eastAsia="en-AU"/>
        </w:rPr>
        <w:t xml:space="preserve">outcomes from </w:t>
      </w:r>
      <w:r w:rsidR="00947C25" w:rsidRPr="0000059D">
        <w:rPr>
          <w:rFonts w:asciiTheme="minorHAnsi" w:hAnsiTheme="minorHAnsi" w:cs="Arial"/>
          <w:highlight w:val="white"/>
          <w:lang w:eastAsia="en-AU"/>
        </w:rPr>
        <w:t xml:space="preserve">the </w:t>
      </w:r>
      <w:r w:rsidR="00060C28" w:rsidRPr="0000059D">
        <w:rPr>
          <w:rFonts w:asciiTheme="minorHAnsi" w:hAnsiTheme="minorHAnsi" w:cs="Arial"/>
          <w:highlight w:val="white"/>
          <w:lang w:eastAsia="en-AU"/>
        </w:rPr>
        <w:t>legislat</w:t>
      </w:r>
      <w:r w:rsidR="0021133A">
        <w:rPr>
          <w:rFonts w:asciiTheme="minorHAnsi" w:hAnsiTheme="minorHAnsi" w:cs="Arial"/>
          <w:highlight w:val="white"/>
          <w:lang w:eastAsia="en-AU"/>
        </w:rPr>
        <w:t>ive framework</w:t>
      </w:r>
      <w:r w:rsidR="009F2923" w:rsidRPr="0000059D">
        <w:rPr>
          <w:rFonts w:asciiTheme="minorHAnsi" w:hAnsiTheme="minorHAnsi" w:cs="Arial"/>
          <w:highlight w:val="white"/>
          <w:lang w:eastAsia="en-AU"/>
        </w:rPr>
        <w:t>.</w:t>
      </w:r>
      <w:r w:rsidR="0021133A">
        <w:rPr>
          <w:rFonts w:asciiTheme="minorHAnsi" w:hAnsiTheme="minorHAnsi" w:cs="Arial"/>
          <w:lang w:eastAsia="en-AU"/>
        </w:rPr>
        <w:br/>
      </w:r>
    </w:p>
    <w:p w:rsidR="00FC15D7" w:rsidRPr="00FC15D7" w:rsidRDefault="00FC15D7" w:rsidP="00FC15D7">
      <w:pPr>
        <w:keepNext/>
        <w:rPr>
          <w:rFonts w:asciiTheme="minorHAnsi" w:hAnsiTheme="minorHAnsi" w:cs="Arial"/>
          <w:b/>
        </w:rPr>
      </w:pPr>
      <w:r w:rsidRPr="00FC15D7">
        <w:rPr>
          <w:rFonts w:asciiTheme="minorHAnsi" w:hAnsiTheme="minorHAnsi" w:cs="Arial"/>
          <w:b/>
        </w:rPr>
        <w:t xml:space="preserve">Recommendation 1  </w:t>
      </w:r>
    </w:p>
    <w:p w:rsidR="00FC15D7" w:rsidRPr="00FC15D7" w:rsidRDefault="00FC15D7" w:rsidP="00FC15D7">
      <w:pPr>
        <w:keepNext/>
        <w:autoSpaceDE w:val="0"/>
        <w:autoSpaceDN w:val="0"/>
        <w:adjustRightInd w:val="0"/>
        <w:rPr>
          <w:b/>
        </w:rPr>
      </w:pPr>
      <w:r w:rsidRPr="00FC15D7">
        <w:rPr>
          <w:b/>
        </w:rPr>
        <w:t>The national heavy vehicle law should conform where appropriate with accepted best practice in safety regulation.</w:t>
      </w:r>
    </w:p>
    <w:p w:rsidR="00FC15D7" w:rsidRPr="00FC15D7" w:rsidRDefault="00FC15D7" w:rsidP="00FC15D7">
      <w:pPr>
        <w:keepNext/>
        <w:autoSpaceDE w:val="0"/>
        <w:autoSpaceDN w:val="0"/>
        <w:adjustRightInd w:val="0"/>
        <w:rPr>
          <w:b/>
        </w:rPr>
      </w:pPr>
    </w:p>
    <w:p w:rsidR="0076387F" w:rsidRPr="0076387F" w:rsidRDefault="0076387F" w:rsidP="0076387F">
      <w:pPr>
        <w:keepNext/>
        <w:rPr>
          <w:rFonts w:asciiTheme="minorHAnsi" w:hAnsiTheme="minorHAnsi" w:cs="Arial"/>
          <w:b/>
        </w:rPr>
      </w:pPr>
      <w:r w:rsidRPr="0076387F">
        <w:rPr>
          <w:rFonts w:asciiTheme="minorHAnsi" w:hAnsiTheme="minorHAnsi" w:cs="Arial"/>
          <w:b/>
        </w:rPr>
        <w:t xml:space="preserve">Recommendation 2  </w:t>
      </w:r>
    </w:p>
    <w:p w:rsidR="0076387F" w:rsidRPr="0076387F" w:rsidRDefault="0076387F" w:rsidP="0076387F">
      <w:pPr>
        <w:keepNext/>
        <w:rPr>
          <w:rFonts w:asciiTheme="minorHAnsi" w:hAnsiTheme="minorHAnsi" w:cs="Arial"/>
          <w:b/>
        </w:rPr>
      </w:pPr>
      <w:r w:rsidRPr="0076387F">
        <w:rPr>
          <w:rFonts w:asciiTheme="minorHAnsi" w:hAnsiTheme="minorHAnsi" w:cs="Arial"/>
          <w:b/>
        </w:rPr>
        <w:t xml:space="preserve">ATA reform proposals to restructure the </w:t>
      </w:r>
      <w:r w:rsidRPr="0076387F">
        <w:rPr>
          <w:b/>
        </w:rPr>
        <w:t>Heavy Vehicle National Law should be adopted</w:t>
      </w:r>
      <w:r w:rsidRPr="0076387F">
        <w:rPr>
          <w:rFonts w:asciiTheme="minorHAnsi" w:hAnsiTheme="minorHAnsi" w:cs="Arial"/>
          <w:b/>
        </w:rPr>
        <w:t>.</w:t>
      </w:r>
    </w:p>
    <w:p w:rsidR="0076387F" w:rsidRPr="0076387F" w:rsidRDefault="0076387F" w:rsidP="0076387F">
      <w:pPr>
        <w:keepNext/>
        <w:rPr>
          <w:rFonts w:asciiTheme="minorHAnsi" w:hAnsiTheme="minorHAnsi" w:cs="Arial"/>
          <w:b/>
        </w:rPr>
      </w:pPr>
    </w:p>
    <w:p w:rsidR="009D1F45" w:rsidRPr="0076387F" w:rsidRDefault="00E122C3" w:rsidP="009D1F45">
      <w:pPr>
        <w:pStyle w:val="NormalWeb"/>
        <w:spacing w:before="0" w:beforeAutospacing="0" w:after="0" w:afterAutospacing="0"/>
        <w:rPr>
          <w:rFonts w:ascii="Calibri" w:eastAsia="Calibri" w:hAnsi="Calibri"/>
          <w:b/>
          <w:sz w:val="22"/>
          <w:szCs w:val="22"/>
          <w:lang w:eastAsia="en-US"/>
        </w:rPr>
      </w:pPr>
      <w:r w:rsidRPr="0076387F">
        <w:rPr>
          <w:rFonts w:ascii="Calibri" w:eastAsia="Calibri" w:hAnsi="Calibri"/>
          <w:b/>
          <w:sz w:val="22"/>
          <w:szCs w:val="22"/>
          <w:lang w:eastAsia="en-US"/>
        </w:rPr>
        <w:t>B</w:t>
      </w:r>
      <w:r w:rsidR="009D1F45" w:rsidRPr="0076387F">
        <w:rPr>
          <w:rFonts w:ascii="Calibri" w:eastAsia="Calibri" w:hAnsi="Calibri"/>
          <w:b/>
          <w:sz w:val="22"/>
          <w:szCs w:val="22"/>
          <w:lang w:eastAsia="en-US"/>
        </w:rPr>
        <w:t>. the importance of design standards on imported vehicles, as vehicle manufacturing winds down</w:t>
      </w:r>
    </w:p>
    <w:p w:rsidR="0040688E" w:rsidRPr="0000059D" w:rsidRDefault="009F7BA4" w:rsidP="0040688E">
      <w:r>
        <w:t>At</w:t>
      </w:r>
      <w:r w:rsidR="0040688E" w:rsidRPr="0000059D">
        <w:t xml:space="preserve"> the outset it should be noted that </w:t>
      </w:r>
      <w:r w:rsidR="0040688E" w:rsidRPr="0000059D">
        <w:rPr>
          <w:i/>
        </w:rPr>
        <w:t>heavy</w:t>
      </w:r>
      <w:r w:rsidR="0040688E" w:rsidRPr="0000059D">
        <w:t xml:space="preserve"> </w:t>
      </w:r>
      <w:r w:rsidR="00DB5967" w:rsidRPr="009F7BA4">
        <w:rPr>
          <w:i/>
        </w:rPr>
        <w:t>vehicle</w:t>
      </w:r>
      <w:r w:rsidR="0040688E" w:rsidRPr="0000059D">
        <w:t xml:space="preserve"> </w:t>
      </w:r>
      <w:r w:rsidR="0040688E" w:rsidRPr="009F7BA4">
        <w:rPr>
          <w:i/>
        </w:rPr>
        <w:t>manufacturing</w:t>
      </w:r>
      <w:r w:rsidR="0040688E" w:rsidRPr="0000059D">
        <w:t xml:space="preserve"> (</w:t>
      </w:r>
      <w:r w:rsidR="001E589A" w:rsidRPr="0000059D">
        <w:t xml:space="preserve">i.e. vehicles with </w:t>
      </w:r>
      <w:r w:rsidR="0040688E" w:rsidRPr="0000059D">
        <w:t xml:space="preserve">three or more axles) is </w:t>
      </w:r>
      <w:r w:rsidR="0040688E" w:rsidRPr="0000059D">
        <w:rPr>
          <w:u w:val="single"/>
        </w:rPr>
        <w:t>not</w:t>
      </w:r>
      <w:r w:rsidR="0040688E" w:rsidRPr="0000059D">
        <w:t xml:space="preserve"> winding down in Australia. A number of heavy vehicle manufacturers </w:t>
      </w:r>
      <w:r w:rsidR="001E589A" w:rsidRPr="0000059D">
        <w:t xml:space="preserve">currently </w:t>
      </w:r>
      <w:r w:rsidR="0040688E" w:rsidRPr="0000059D">
        <w:t xml:space="preserve">possess a strong domestic production base and have not </w:t>
      </w:r>
      <w:r w:rsidR="001E589A" w:rsidRPr="0000059D">
        <w:t>given any indication</w:t>
      </w:r>
      <w:r w:rsidR="0040688E" w:rsidRPr="0000059D">
        <w:t xml:space="preserve"> to </w:t>
      </w:r>
      <w:r w:rsidR="001226B2" w:rsidRPr="0000059D">
        <w:t>the</w:t>
      </w:r>
      <w:r w:rsidR="0040688E" w:rsidRPr="0000059D">
        <w:t xml:space="preserve"> industry </w:t>
      </w:r>
      <w:r w:rsidR="001E589A" w:rsidRPr="0000059D">
        <w:t xml:space="preserve">at large </w:t>
      </w:r>
      <w:r w:rsidR="0040688E" w:rsidRPr="0000059D">
        <w:t xml:space="preserve">that they will </w:t>
      </w:r>
      <w:r w:rsidR="001226B2" w:rsidRPr="0000059D">
        <w:t xml:space="preserve">be </w:t>
      </w:r>
      <w:r w:rsidR="0040688E" w:rsidRPr="0000059D">
        <w:t>chang</w:t>
      </w:r>
      <w:r w:rsidR="001226B2" w:rsidRPr="0000059D">
        <w:t>ing</w:t>
      </w:r>
      <w:r w:rsidR="0040688E" w:rsidRPr="0000059D">
        <w:t xml:space="preserve"> their </w:t>
      </w:r>
      <w:r w:rsidR="00E97816" w:rsidRPr="0000059D">
        <w:t>Australian</w:t>
      </w:r>
      <w:r w:rsidR="0040688E" w:rsidRPr="0000059D">
        <w:t xml:space="preserve"> business model.</w:t>
      </w:r>
    </w:p>
    <w:p w:rsidR="0040688E" w:rsidRPr="0000059D" w:rsidRDefault="0040688E" w:rsidP="0040688E"/>
    <w:p w:rsidR="00C72AC5" w:rsidRPr="0000059D" w:rsidRDefault="00B651FB" w:rsidP="00C72AC5">
      <w:r w:rsidRPr="0000059D">
        <w:t>The ATA suggests that in general</w:t>
      </w:r>
      <w:r w:rsidR="001E589A" w:rsidRPr="0000059D">
        <w:t>,</w:t>
      </w:r>
      <w:r w:rsidRPr="0000059D">
        <w:t xml:space="preserve"> </w:t>
      </w:r>
      <w:r w:rsidR="00ED49EB" w:rsidRPr="0000059D">
        <w:t xml:space="preserve">existing </w:t>
      </w:r>
      <w:r w:rsidR="00BB0D65">
        <w:t xml:space="preserve">vehicle </w:t>
      </w:r>
      <w:r w:rsidR="0040688E" w:rsidRPr="0000059D">
        <w:t>standards have</w:t>
      </w:r>
      <w:r w:rsidR="001F6EEA" w:rsidRPr="0000059D">
        <w:t xml:space="preserve"> not</w:t>
      </w:r>
      <w:r w:rsidR="0040688E" w:rsidRPr="0000059D">
        <w:t xml:space="preserve"> </w:t>
      </w:r>
      <w:r w:rsidR="003D2C3F" w:rsidRPr="0000059D">
        <w:t>discouraged</w:t>
      </w:r>
      <w:r w:rsidR="0040688E" w:rsidRPr="0000059D">
        <w:t xml:space="preserve"> </w:t>
      </w:r>
      <w:r w:rsidR="003D2C3F" w:rsidRPr="0000059D">
        <w:t>new or second-hand heavy vehicles</w:t>
      </w:r>
      <w:r w:rsidR="001E589A" w:rsidRPr="0000059D">
        <w:t xml:space="preserve"> from </w:t>
      </w:r>
      <w:r w:rsidR="0040688E" w:rsidRPr="0000059D">
        <w:t>ent</w:t>
      </w:r>
      <w:r w:rsidR="003D2C3F" w:rsidRPr="0000059D">
        <w:t>ering</w:t>
      </w:r>
      <w:r w:rsidR="0040688E" w:rsidRPr="0000059D">
        <w:t xml:space="preserve"> th</w:t>
      </w:r>
      <w:r w:rsidR="00C72AC5" w:rsidRPr="0000059D">
        <w:t>e</w:t>
      </w:r>
      <w:r w:rsidR="0040688E" w:rsidRPr="0000059D">
        <w:t xml:space="preserve"> </w:t>
      </w:r>
      <w:r w:rsidR="001226B2" w:rsidRPr="0000059D">
        <w:t xml:space="preserve">Australian </w:t>
      </w:r>
      <w:r w:rsidR="0040688E" w:rsidRPr="0000059D">
        <w:t xml:space="preserve">market, in comparison </w:t>
      </w:r>
      <w:r w:rsidR="001226B2" w:rsidRPr="0000059D">
        <w:t xml:space="preserve">for example </w:t>
      </w:r>
      <w:r w:rsidRPr="0000059D">
        <w:t>with</w:t>
      </w:r>
      <w:r w:rsidR="0040688E" w:rsidRPr="0000059D">
        <w:t xml:space="preserve"> </w:t>
      </w:r>
      <w:r w:rsidR="00BB0D65">
        <w:t xml:space="preserve">Australia’s </w:t>
      </w:r>
      <w:r w:rsidR="00BB0D65" w:rsidRPr="0000059D">
        <w:t xml:space="preserve">overall </w:t>
      </w:r>
      <w:r w:rsidR="0040688E" w:rsidRPr="0000059D">
        <w:t>market competiveness</w:t>
      </w:r>
      <w:r w:rsidR="00C65DE5" w:rsidRPr="0000059D">
        <w:rPr>
          <w:rStyle w:val="FootnoteReference"/>
        </w:rPr>
        <w:footnoteReference w:id="7"/>
      </w:r>
      <w:r w:rsidR="0040688E" w:rsidRPr="0000059D">
        <w:t xml:space="preserve"> </w:t>
      </w:r>
      <w:r w:rsidR="001226B2" w:rsidRPr="0000059D">
        <w:t>or with</w:t>
      </w:r>
      <w:r w:rsidR="0040688E" w:rsidRPr="0000059D">
        <w:t xml:space="preserve"> </w:t>
      </w:r>
      <w:r w:rsidR="00C72AC5" w:rsidRPr="0000059D">
        <w:t xml:space="preserve">the </w:t>
      </w:r>
      <w:r w:rsidR="0040688E" w:rsidRPr="0000059D">
        <w:t xml:space="preserve">uniqueness of </w:t>
      </w:r>
      <w:r w:rsidR="00BB0D65">
        <w:t>its</w:t>
      </w:r>
      <w:r w:rsidR="00C72AC5" w:rsidRPr="0000059D">
        <w:t xml:space="preserve"> </w:t>
      </w:r>
      <w:r w:rsidR="0040688E" w:rsidRPr="0000059D">
        <w:t xml:space="preserve">operational </w:t>
      </w:r>
      <w:r w:rsidR="001A7F85" w:rsidRPr="0000059D">
        <w:t>requirements</w:t>
      </w:r>
      <w:r w:rsidR="0040688E" w:rsidRPr="0000059D">
        <w:t>.</w:t>
      </w:r>
      <w:r w:rsidR="00C72AC5" w:rsidRPr="0000059D">
        <w:t xml:space="preserve"> </w:t>
      </w:r>
      <w:r w:rsidR="001A7F85" w:rsidRPr="0000059D">
        <w:t>The ATA has previously recommended that the</w:t>
      </w:r>
      <w:r w:rsidR="00BB0D65">
        <w:t>se</w:t>
      </w:r>
      <w:r w:rsidR="00C72AC5" w:rsidRPr="0000059D">
        <w:t xml:space="preserve"> standards be </w:t>
      </w:r>
      <w:r w:rsidR="00BB0D65">
        <w:t>re</w:t>
      </w:r>
      <w:r w:rsidR="00C72AC5" w:rsidRPr="0000059D">
        <w:t>tained</w:t>
      </w:r>
      <w:r w:rsidR="00BB0D65">
        <w:t>,</w:t>
      </w:r>
      <w:r w:rsidR="00C72AC5" w:rsidRPr="0000059D">
        <w:t xml:space="preserve"> and</w:t>
      </w:r>
      <w:r w:rsidR="00BB0D65">
        <w:t xml:space="preserve"> where possible</w:t>
      </w:r>
      <w:r w:rsidR="00C72AC5" w:rsidRPr="0000059D">
        <w:t xml:space="preserve"> enhanced to </w:t>
      </w:r>
      <w:r w:rsidR="00BB0D65">
        <w:t>encourage</w:t>
      </w:r>
      <w:r w:rsidR="00F2345B" w:rsidRPr="0000059D">
        <w:t xml:space="preserve"> </w:t>
      </w:r>
      <w:r w:rsidR="00EF00B5" w:rsidRPr="0000059D">
        <w:t>innovati</w:t>
      </w:r>
      <w:r w:rsidR="001E589A" w:rsidRPr="0000059D">
        <w:t xml:space="preserve">ve </w:t>
      </w:r>
      <w:r w:rsidR="00F2345B" w:rsidRPr="0000059D">
        <w:t xml:space="preserve">overseas </w:t>
      </w:r>
      <w:r w:rsidR="001E589A" w:rsidRPr="0000059D">
        <w:t>product</w:t>
      </w:r>
      <w:r w:rsidR="00C72AC5" w:rsidRPr="0000059D">
        <w:t xml:space="preserve"> </w:t>
      </w:r>
      <w:r w:rsidR="001226B2" w:rsidRPr="0000059D">
        <w:t>whil</w:t>
      </w:r>
      <w:r w:rsidR="001A7F85" w:rsidRPr="0000059D">
        <w:t>st</w:t>
      </w:r>
      <w:r w:rsidR="001226B2" w:rsidRPr="0000059D">
        <w:t xml:space="preserve"> maintaining </w:t>
      </w:r>
      <w:r w:rsidR="001E589A" w:rsidRPr="0000059D">
        <w:t xml:space="preserve">the </w:t>
      </w:r>
      <w:r w:rsidR="001226B2" w:rsidRPr="0000059D">
        <w:t>safety</w:t>
      </w:r>
      <w:r w:rsidR="001E589A" w:rsidRPr="0000059D">
        <w:t>,</w:t>
      </w:r>
      <w:r w:rsidR="001226B2" w:rsidRPr="0000059D">
        <w:t xml:space="preserve"> </w:t>
      </w:r>
      <w:r w:rsidR="00C72AC5" w:rsidRPr="0000059D">
        <w:t xml:space="preserve">emissions and noise </w:t>
      </w:r>
      <w:r w:rsidR="001226B2" w:rsidRPr="0000059D">
        <w:t xml:space="preserve">performance </w:t>
      </w:r>
      <w:r w:rsidR="00C72AC5" w:rsidRPr="0000059D">
        <w:t xml:space="preserve">of </w:t>
      </w:r>
      <w:r w:rsidR="00F2345B" w:rsidRPr="0000059D">
        <w:t>existing</w:t>
      </w:r>
      <w:r w:rsidR="00C72AC5" w:rsidRPr="0000059D">
        <w:t xml:space="preserve"> units.</w:t>
      </w:r>
    </w:p>
    <w:p w:rsidR="00EF00B5" w:rsidRPr="0000059D" w:rsidRDefault="00EF00B5" w:rsidP="00C72AC5"/>
    <w:p w:rsidR="009D1F45" w:rsidRPr="0000059D" w:rsidRDefault="007B57C2" w:rsidP="0024170B">
      <w:r w:rsidRPr="0000059D">
        <w:t>An</w:t>
      </w:r>
      <w:r w:rsidR="00C72AC5" w:rsidRPr="0000059D">
        <w:t xml:space="preserve"> </w:t>
      </w:r>
      <w:r w:rsidR="0040688E" w:rsidRPr="0000059D">
        <w:t xml:space="preserve">exception </w:t>
      </w:r>
      <w:r w:rsidR="002203F0" w:rsidRPr="0000059D">
        <w:t xml:space="preserve">in vehicle standards </w:t>
      </w:r>
      <w:r w:rsidR="0040688E" w:rsidRPr="0000059D">
        <w:t xml:space="preserve">is </w:t>
      </w:r>
      <w:r w:rsidR="002203F0" w:rsidRPr="0000059D">
        <w:t>Australia’s</w:t>
      </w:r>
      <w:r w:rsidR="0040688E" w:rsidRPr="0000059D">
        <w:t xml:space="preserve"> </w:t>
      </w:r>
      <w:r w:rsidR="00F928F4" w:rsidRPr="0000059D">
        <w:t xml:space="preserve">prescriptive </w:t>
      </w:r>
      <w:r w:rsidR="00C72AC5" w:rsidRPr="0000059D">
        <w:t xml:space="preserve">2.5 m vehicle </w:t>
      </w:r>
      <w:r w:rsidR="0040688E" w:rsidRPr="0000059D">
        <w:t>width</w:t>
      </w:r>
      <w:r w:rsidR="002203F0" w:rsidRPr="0000059D">
        <w:t xml:space="preserve">. This </w:t>
      </w:r>
      <w:r w:rsidR="007B0B93" w:rsidRPr="0000059D">
        <w:t>conflicts</w:t>
      </w:r>
      <w:r w:rsidR="002203F0" w:rsidRPr="0000059D">
        <w:t xml:space="preserve"> with a standard of </w:t>
      </w:r>
      <w:r w:rsidR="0040688E" w:rsidRPr="0000059D">
        <w:t xml:space="preserve">2.55 m in </w:t>
      </w:r>
      <w:r w:rsidR="00C72AC5" w:rsidRPr="0000059D">
        <w:t xml:space="preserve">the </w:t>
      </w:r>
      <w:r w:rsidR="0040688E" w:rsidRPr="0000059D">
        <w:t>European market and 2.591 m</w:t>
      </w:r>
      <w:r w:rsidR="00C72AC5" w:rsidRPr="0000059D">
        <w:t xml:space="preserve"> (102”)</w:t>
      </w:r>
      <w:r w:rsidR="0040688E" w:rsidRPr="0000059D">
        <w:t xml:space="preserve"> for the </w:t>
      </w:r>
      <w:r w:rsidR="00C72AC5" w:rsidRPr="0000059D">
        <w:t>US</w:t>
      </w:r>
      <w:r w:rsidR="0040688E" w:rsidRPr="0000059D">
        <w:t xml:space="preserve"> product.</w:t>
      </w:r>
      <w:r w:rsidR="00C72AC5" w:rsidRPr="0000059D">
        <w:t xml:space="preserve"> </w:t>
      </w:r>
      <w:r w:rsidR="0088583D">
        <w:t>Elements</w:t>
      </w:r>
      <w:r w:rsidR="002203F0" w:rsidRPr="0000059D">
        <w:t xml:space="preserve"> of a vehicle </w:t>
      </w:r>
      <w:r w:rsidR="00C72AC5" w:rsidRPr="0000059D">
        <w:t>affected by width include</w:t>
      </w:r>
      <w:r w:rsidR="0040688E" w:rsidRPr="0000059D">
        <w:t xml:space="preserve"> vehicle entry/exit</w:t>
      </w:r>
      <w:r w:rsidR="0088583D">
        <w:t xml:space="preserve"> points</w:t>
      </w:r>
      <w:r w:rsidR="0040688E" w:rsidRPr="0000059D">
        <w:t xml:space="preserve">, axles/tyre combinations, grab handles and </w:t>
      </w:r>
      <w:r w:rsidR="002203F0" w:rsidRPr="0000059D">
        <w:t xml:space="preserve">various pieces of </w:t>
      </w:r>
      <w:r w:rsidR="0040688E" w:rsidRPr="0000059D">
        <w:t>safety e</w:t>
      </w:r>
      <w:r w:rsidR="009F3569" w:rsidRPr="0000059D">
        <w:t>quipment (</w:t>
      </w:r>
      <w:r w:rsidR="0088583D">
        <w:t>e.g.</w:t>
      </w:r>
      <w:r w:rsidR="009F3569" w:rsidRPr="0000059D">
        <w:t xml:space="preserve"> side-mounted cameras</w:t>
      </w:r>
      <w:r w:rsidR="0040688E" w:rsidRPr="0000059D">
        <w:t>)</w:t>
      </w:r>
      <w:r w:rsidR="002203F0" w:rsidRPr="0000059D">
        <w:t xml:space="preserve">. </w:t>
      </w:r>
      <w:r w:rsidR="00F2345B" w:rsidRPr="0000059D">
        <w:t>F</w:t>
      </w:r>
      <w:r w:rsidR="0040688E" w:rsidRPr="0000059D">
        <w:t>uture developments</w:t>
      </w:r>
      <w:r w:rsidR="00F2345B" w:rsidRPr="0000059D">
        <w:t xml:space="preserve"> (</w:t>
      </w:r>
      <w:r w:rsidR="003C5D5A" w:rsidRPr="0000059D">
        <w:t>e.g.</w:t>
      </w:r>
      <w:r w:rsidR="00F2345B" w:rsidRPr="0000059D">
        <w:t xml:space="preserve"> exhaust module packaging) in vehicles</w:t>
      </w:r>
      <w:r w:rsidR="0040688E" w:rsidRPr="0000059D">
        <w:t xml:space="preserve"> </w:t>
      </w:r>
      <w:r w:rsidR="002203F0" w:rsidRPr="0000059D">
        <w:t xml:space="preserve">may be </w:t>
      </w:r>
      <w:r w:rsidR="00B7383A">
        <w:t>compromised</w:t>
      </w:r>
      <w:r w:rsidR="002203F0" w:rsidRPr="0000059D">
        <w:t xml:space="preserve"> by the</w:t>
      </w:r>
      <w:r w:rsidR="0040688E" w:rsidRPr="0000059D">
        <w:t xml:space="preserve"> restrictive </w:t>
      </w:r>
      <w:r w:rsidR="00B7383A" w:rsidRPr="0000059D">
        <w:t xml:space="preserve">width </w:t>
      </w:r>
      <w:r w:rsidR="002203F0" w:rsidRPr="0000059D">
        <w:t>requirement</w:t>
      </w:r>
      <w:r w:rsidR="00C72AC5" w:rsidRPr="0000059D">
        <w:t>.</w:t>
      </w:r>
    </w:p>
    <w:p w:rsidR="00F928F4" w:rsidRPr="0000059D" w:rsidRDefault="00F928F4" w:rsidP="0024170B"/>
    <w:p w:rsidR="00F928F4" w:rsidRPr="0000059D" w:rsidRDefault="00521323" w:rsidP="00F928F4">
      <w:r w:rsidRPr="0000059D">
        <w:t>In</w:t>
      </w:r>
      <w:r w:rsidR="007A060D" w:rsidRPr="0000059D">
        <w:t xml:space="preserve"> </w:t>
      </w:r>
      <w:r w:rsidR="00217B72" w:rsidRPr="0000059D">
        <w:t xml:space="preserve">the </w:t>
      </w:r>
      <w:r w:rsidR="00217B72" w:rsidRPr="00D84D76">
        <w:t xml:space="preserve">ATA’s </w:t>
      </w:r>
      <w:r w:rsidR="00D84D76">
        <w:t>submission</w:t>
      </w:r>
      <w:r w:rsidR="00D84D76">
        <w:rPr>
          <w:rStyle w:val="FootnoteReference"/>
        </w:rPr>
        <w:footnoteReference w:id="8"/>
      </w:r>
      <w:r w:rsidR="00217B72" w:rsidRPr="0000059D">
        <w:t xml:space="preserve"> to the review of the</w:t>
      </w:r>
      <w:r w:rsidR="007A060D" w:rsidRPr="0000059D">
        <w:t xml:space="preserve"> </w:t>
      </w:r>
      <w:r w:rsidR="007A060D" w:rsidRPr="0000059D">
        <w:rPr>
          <w:i/>
        </w:rPr>
        <w:t xml:space="preserve">Motor Vehicle Standards Act 1989 </w:t>
      </w:r>
      <w:r w:rsidR="007A060D" w:rsidRPr="0000059D">
        <w:t>(MVSA 1989)</w:t>
      </w:r>
      <w:r w:rsidR="007A060D" w:rsidRPr="0000059D">
        <w:rPr>
          <w:i/>
        </w:rPr>
        <w:t xml:space="preserve">, </w:t>
      </w:r>
      <w:r w:rsidRPr="0000059D">
        <w:t>the ATA</w:t>
      </w:r>
      <w:r w:rsidR="00217B72" w:rsidRPr="0000059D">
        <w:t xml:space="preserve"> </w:t>
      </w:r>
      <w:r w:rsidR="00F928F4" w:rsidRPr="0000059D">
        <w:t xml:space="preserve">recommended Australia retain its existing ADR system for heavy vehicles. </w:t>
      </w:r>
      <w:r w:rsidR="007A060D" w:rsidRPr="0000059D">
        <w:t>Other recommendations included that g</w:t>
      </w:r>
      <w:r w:rsidR="00F928F4" w:rsidRPr="0000059D">
        <w:t xml:space="preserve">overnment should retain and/or strengthen the risk-based approach to </w:t>
      </w:r>
      <w:r w:rsidR="007B57C2" w:rsidRPr="0000059D">
        <w:t>the</w:t>
      </w:r>
      <w:r w:rsidR="00F928F4" w:rsidRPr="0000059D">
        <w:t xml:space="preserve"> standards reflected in the</w:t>
      </w:r>
      <w:r w:rsidR="007A060D" w:rsidRPr="0000059D">
        <w:t xml:space="preserve"> MVSA 1989</w:t>
      </w:r>
      <w:r w:rsidR="007B57C2" w:rsidRPr="0000059D">
        <w:t xml:space="preserve"> and that</w:t>
      </w:r>
      <w:r w:rsidR="00F928F4" w:rsidRPr="0000059D">
        <w:t xml:space="preserve"> Australia should retain a </w:t>
      </w:r>
      <w:r w:rsidR="00DD6C66" w:rsidRPr="0000059D">
        <w:t>single</w:t>
      </w:r>
      <w:r w:rsidR="00F928F4" w:rsidRPr="0000059D">
        <w:t xml:space="preserve"> regulatory facilitator to ensure current standards encourage broader acceptance of international standards and to achieve greater transparency of process. In addition to </w:t>
      </w:r>
      <w:r w:rsidR="007B57C2" w:rsidRPr="0000059D">
        <w:t xml:space="preserve">the process of </w:t>
      </w:r>
      <w:r w:rsidR="00F928F4" w:rsidRPr="0000059D">
        <w:t xml:space="preserve">harmonising with UN regulations, Australia should </w:t>
      </w:r>
      <w:r w:rsidR="00DD6C66" w:rsidRPr="0000059D">
        <w:t xml:space="preserve">also </w:t>
      </w:r>
      <w:r w:rsidR="00F928F4" w:rsidRPr="0000059D">
        <w:t>remain open to adoption of other appropriate vehicle standards wherever these emerge around the world.</w:t>
      </w:r>
    </w:p>
    <w:p w:rsidR="00F928F4" w:rsidRPr="0000059D" w:rsidRDefault="00F928F4" w:rsidP="00F928F4"/>
    <w:p w:rsidR="00F928F4" w:rsidRDefault="00F928F4" w:rsidP="00F928F4">
      <w:r w:rsidRPr="0000059D">
        <w:t xml:space="preserve">It is important that </w:t>
      </w:r>
      <w:r w:rsidR="00141FF4" w:rsidRPr="0000059D">
        <w:t xml:space="preserve">proposed </w:t>
      </w:r>
      <w:r w:rsidRPr="0000059D">
        <w:t>changes to the MVSA and/or the ADR do not seek to constrain in-service modifications and that modifications warranting ongoing complianc</w:t>
      </w:r>
      <w:r w:rsidR="004C606E">
        <w:t xml:space="preserve">e assurance are undertaken by an approved </w:t>
      </w:r>
      <w:r w:rsidRPr="0000059D">
        <w:t xml:space="preserve">engineering signatory. Absent any compelling and immediate safety concern, changes to the current regulatory framework for vehicle standards should permit </w:t>
      </w:r>
      <w:r w:rsidR="00D726D6">
        <w:t>agreed</w:t>
      </w:r>
      <w:r w:rsidRPr="0000059D">
        <w:t xml:space="preserve"> grace period</w:t>
      </w:r>
      <w:r w:rsidR="007A7C13">
        <w:t>s</w:t>
      </w:r>
      <w:r w:rsidRPr="0000059D">
        <w:t xml:space="preserve"> for industry adoption</w:t>
      </w:r>
      <w:r w:rsidR="00D726D6">
        <w:t xml:space="preserve">, </w:t>
      </w:r>
      <w:r w:rsidRPr="0000059D">
        <w:t>for</w:t>
      </w:r>
      <w:r w:rsidR="00D726D6">
        <w:t xml:space="preserve"> both</w:t>
      </w:r>
      <w:r w:rsidRPr="0000059D">
        <w:t xml:space="preserve"> new models and existing models, from the date any new amendments enter into force.</w:t>
      </w:r>
    </w:p>
    <w:p w:rsidR="00FC15D7" w:rsidRDefault="00FC15D7" w:rsidP="00F928F4"/>
    <w:p w:rsidR="0076387F" w:rsidRPr="0076387F" w:rsidRDefault="0076387F" w:rsidP="0076387F">
      <w:pPr>
        <w:keepNext/>
        <w:rPr>
          <w:rFonts w:asciiTheme="minorHAnsi" w:hAnsiTheme="minorHAnsi" w:cs="Arial"/>
          <w:b/>
        </w:rPr>
      </w:pPr>
      <w:r w:rsidRPr="0076387F">
        <w:rPr>
          <w:rFonts w:asciiTheme="minorHAnsi" w:hAnsiTheme="minorHAnsi" w:cs="Arial"/>
          <w:b/>
        </w:rPr>
        <w:t>Recommendation 3</w:t>
      </w:r>
    </w:p>
    <w:p w:rsidR="0076387F" w:rsidRPr="0076387F" w:rsidRDefault="0076387F" w:rsidP="0076387F">
      <w:pPr>
        <w:keepNext/>
        <w:autoSpaceDE w:val="0"/>
        <w:autoSpaceDN w:val="0"/>
        <w:adjustRightInd w:val="0"/>
        <w:rPr>
          <w:b/>
        </w:rPr>
      </w:pPr>
      <w:r w:rsidRPr="0076387F">
        <w:rPr>
          <w:b/>
        </w:rPr>
        <w:t xml:space="preserve">ATA recommendations made in relation to the </w:t>
      </w:r>
      <w:r w:rsidRPr="0076387F">
        <w:rPr>
          <w:b/>
          <w:i/>
        </w:rPr>
        <w:t xml:space="preserve">Motor Vehicle Standards Act 1989 </w:t>
      </w:r>
      <w:r w:rsidRPr="0076387F">
        <w:rPr>
          <w:b/>
        </w:rPr>
        <w:t>review should be adopted.</w:t>
      </w:r>
    </w:p>
    <w:p w:rsidR="00DD0164" w:rsidRPr="003758A7" w:rsidRDefault="00DD0164" w:rsidP="00FC15D7"/>
    <w:p w:rsidR="009D1F45" w:rsidRPr="0076387F" w:rsidRDefault="00E122C3" w:rsidP="009D1F45">
      <w:pPr>
        <w:pStyle w:val="NormalWeb"/>
        <w:spacing w:before="0" w:beforeAutospacing="0" w:after="0" w:afterAutospacing="0"/>
        <w:rPr>
          <w:rFonts w:ascii="Calibri" w:eastAsia="Calibri" w:hAnsi="Calibri"/>
          <w:b/>
          <w:sz w:val="22"/>
          <w:szCs w:val="22"/>
          <w:lang w:eastAsia="en-US"/>
        </w:rPr>
      </w:pPr>
      <w:r w:rsidRPr="0076387F">
        <w:rPr>
          <w:rFonts w:ascii="Calibri" w:eastAsia="Calibri" w:hAnsi="Calibri"/>
          <w:b/>
          <w:sz w:val="22"/>
          <w:szCs w:val="22"/>
          <w:lang w:eastAsia="en-US"/>
        </w:rPr>
        <w:t>C</w:t>
      </w:r>
      <w:r w:rsidR="009D1F45" w:rsidRPr="0076387F">
        <w:rPr>
          <w:rFonts w:ascii="Calibri" w:eastAsia="Calibri" w:hAnsi="Calibri"/>
          <w:b/>
          <w:sz w:val="22"/>
          <w:szCs w:val="22"/>
          <w:lang w:eastAsia="en-US"/>
        </w:rPr>
        <w:t>. the impact of new technologies and advancements in understanding of vehicle design and road safety</w:t>
      </w:r>
    </w:p>
    <w:p w:rsidR="00111DD3" w:rsidRPr="0000059D" w:rsidRDefault="00521323" w:rsidP="00120673">
      <w:r w:rsidRPr="0000059D">
        <w:t>H</w:t>
      </w:r>
      <w:r w:rsidR="0044207F" w:rsidRPr="0000059D">
        <w:t xml:space="preserve">eavy vehicles </w:t>
      </w:r>
      <w:r w:rsidRPr="0000059D">
        <w:t>encounter</w:t>
      </w:r>
      <w:r w:rsidR="00120673" w:rsidRPr="0000059D">
        <w:t xml:space="preserve"> unique </w:t>
      </w:r>
      <w:r w:rsidR="0044207F" w:rsidRPr="0000059D">
        <w:t xml:space="preserve">and harsh </w:t>
      </w:r>
      <w:r w:rsidR="00120673" w:rsidRPr="0000059D">
        <w:t xml:space="preserve">operating conditions </w:t>
      </w:r>
      <w:r w:rsidRPr="0000059D">
        <w:t>in Australia</w:t>
      </w:r>
      <w:r w:rsidR="000162F0">
        <w:t>. T</w:t>
      </w:r>
      <w:r w:rsidR="003C58C4" w:rsidRPr="0000059D">
        <w:t xml:space="preserve">his environment </w:t>
      </w:r>
      <w:r w:rsidR="007669B9" w:rsidRPr="0000059D">
        <w:t>stimulates</w:t>
      </w:r>
      <w:r w:rsidRPr="0000059D">
        <w:t xml:space="preserve"> </w:t>
      </w:r>
      <w:r w:rsidR="000162F0">
        <w:t xml:space="preserve">the </w:t>
      </w:r>
      <w:r w:rsidR="00060C28" w:rsidRPr="0000059D">
        <w:t xml:space="preserve">development </w:t>
      </w:r>
      <w:r w:rsidRPr="0000059D">
        <w:t>of</w:t>
      </w:r>
      <w:r w:rsidR="001C0606" w:rsidRPr="0000059D">
        <w:t xml:space="preserve"> </w:t>
      </w:r>
      <w:r w:rsidR="00E77224" w:rsidRPr="0000059D">
        <w:t>innovative</w:t>
      </w:r>
      <w:r w:rsidR="00120673" w:rsidRPr="0000059D">
        <w:t xml:space="preserve"> </w:t>
      </w:r>
      <w:r w:rsidR="00E77224" w:rsidRPr="0000059D">
        <w:t xml:space="preserve">trailer designs </w:t>
      </w:r>
      <w:r w:rsidR="000162F0">
        <w:t>and</w:t>
      </w:r>
      <w:r w:rsidR="003C58C4" w:rsidRPr="0000059D">
        <w:t xml:space="preserve"> </w:t>
      </w:r>
      <w:r w:rsidR="00E77224" w:rsidRPr="0000059D">
        <w:t xml:space="preserve">highly productive </w:t>
      </w:r>
      <w:r w:rsidR="00120673" w:rsidRPr="0000059D">
        <w:t xml:space="preserve">combinations such as B-doubles, </w:t>
      </w:r>
      <w:r w:rsidR="0076387F">
        <w:br/>
      </w:r>
      <w:r w:rsidR="00120673" w:rsidRPr="0000059D">
        <w:t>B-triples and road trains.</w:t>
      </w:r>
      <w:r w:rsidR="00E77224" w:rsidRPr="0000059D">
        <w:t xml:space="preserve"> </w:t>
      </w:r>
      <w:r w:rsidR="0087088D">
        <w:t>O</w:t>
      </w:r>
      <w:r w:rsidR="00120673" w:rsidRPr="0000059D">
        <w:t xml:space="preserve">perating practices </w:t>
      </w:r>
      <w:r w:rsidR="00493791" w:rsidRPr="0000059D">
        <w:t xml:space="preserve">in Australia </w:t>
      </w:r>
      <w:r w:rsidR="00120673" w:rsidRPr="0000059D">
        <w:t xml:space="preserve">also differ in important respects </w:t>
      </w:r>
      <w:r w:rsidR="001C0606" w:rsidRPr="0000059D">
        <w:t xml:space="preserve">with </w:t>
      </w:r>
      <w:r w:rsidR="0087088D">
        <w:t>trucking operations</w:t>
      </w:r>
      <w:r w:rsidR="00120673" w:rsidRPr="0000059D">
        <w:t xml:space="preserve"> overseas.</w:t>
      </w:r>
    </w:p>
    <w:p w:rsidR="00C020AF" w:rsidRPr="0000059D" w:rsidRDefault="00C020AF" w:rsidP="00120673"/>
    <w:p w:rsidR="00111DD3" w:rsidRPr="0000059D" w:rsidRDefault="00C4336A" w:rsidP="00111DD3">
      <w:pPr>
        <w:pStyle w:val="NormalWeb"/>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T</w:t>
      </w:r>
      <w:r w:rsidR="00111DD3" w:rsidRPr="0000059D">
        <w:rPr>
          <w:rFonts w:ascii="Calibri" w:eastAsia="Calibri" w:hAnsi="Calibri"/>
          <w:sz w:val="22"/>
          <w:szCs w:val="22"/>
          <w:lang w:eastAsia="en-US"/>
        </w:rPr>
        <w:t xml:space="preserve">he industry </w:t>
      </w:r>
      <w:r>
        <w:rPr>
          <w:rFonts w:ascii="Calibri" w:eastAsia="Calibri" w:hAnsi="Calibri"/>
          <w:sz w:val="22"/>
          <w:szCs w:val="22"/>
          <w:lang w:eastAsia="en-US"/>
        </w:rPr>
        <w:t>believes</w:t>
      </w:r>
      <w:r w:rsidR="00111DD3" w:rsidRPr="0000059D">
        <w:rPr>
          <w:rFonts w:ascii="Calibri" w:eastAsia="Calibri" w:hAnsi="Calibri"/>
          <w:sz w:val="22"/>
          <w:szCs w:val="22"/>
          <w:lang w:eastAsia="en-US"/>
        </w:rPr>
        <w:t xml:space="preserve"> that </w:t>
      </w:r>
      <w:r w:rsidR="009C7AC6">
        <w:rPr>
          <w:rFonts w:ascii="Calibri" w:eastAsia="Calibri" w:hAnsi="Calibri"/>
          <w:sz w:val="22"/>
          <w:szCs w:val="22"/>
          <w:lang w:eastAsia="en-US"/>
        </w:rPr>
        <w:t>enhanced</w:t>
      </w:r>
      <w:r w:rsidR="00111DD3" w:rsidRPr="0000059D">
        <w:rPr>
          <w:rFonts w:ascii="Calibri" w:eastAsia="Calibri" w:hAnsi="Calibri"/>
          <w:sz w:val="22"/>
          <w:szCs w:val="22"/>
          <w:lang w:eastAsia="en-US"/>
        </w:rPr>
        <w:t xml:space="preserve"> braking </w:t>
      </w:r>
      <w:r w:rsidR="00C020AF" w:rsidRPr="0000059D">
        <w:rPr>
          <w:rFonts w:ascii="Calibri" w:eastAsia="Calibri" w:hAnsi="Calibri"/>
          <w:sz w:val="22"/>
          <w:szCs w:val="22"/>
          <w:lang w:eastAsia="en-US"/>
        </w:rPr>
        <w:t>systems</w:t>
      </w:r>
      <w:r w:rsidR="007669B9" w:rsidRPr="0000059D">
        <w:rPr>
          <w:rFonts w:ascii="Calibri" w:eastAsia="Calibri" w:hAnsi="Calibri"/>
          <w:sz w:val="22"/>
          <w:szCs w:val="22"/>
          <w:lang w:eastAsia="en-US"/>
        </w:rPr>
        <w:t xml:space="preserve"> </w:t>
      </w:r>
      <w:r>
        <w:rPr>
          <w:rFonts w:ascii="Calibri" w:eastAsia="Calibri" w:hAnsi="Calibri"/>
          <w:sz w:val="22"/>
          <w:szCs w:val="22"/>
          <w:lang w:eastAsia="en-US"/>
        </w:rPr>
        <w:t>should be mandated in new</w:t>
      </w:r>
      <w:r w:rsidR="00111DD3" w:rsidRPr="0000059D">
        <w:rPr>
          <w:rFonts w:ascii="Calibri" w:eastAsia="Calibri" w:hAnsi="Calibri"/>
          <w:sz w:val="22"/>
          <w:szCs w:val="22"/>
          <w:lang w:eastAsia="en-US"/>
        </w:rPr>
        <w:t xml:space="preserve"> </w:t>
      </w:r>
      <w:r w:rsidR="00C020AF" w:rsidRPr="0000059D">
        <w:rPr>
          <w:rFonts w:ascii="Calibri" w:eastAsia="Calibri" w:hAnsi="Calibri"/>
          <w:sz w:val="22"/>
          <w:szCs w:val="22"/>
          <w:lang w:eastAsia="en-US"/>
        </w:rPr>
        <w:t xml:space="preserve">heavy </w:t>
      </w:r>
      <w:r w:rsidR="00111DD3" w:rsidRPr="0000059D">
        <w:rPr>
          <w:rFonts w:ascii="Calibri" w:eastAsia="Calibri" w:hAnsi="Calibri"/>
          <w:sz w:val="22"/>
          <w:szCs w:val="22"/>
          <w:lang w:eastAsia="en-US"/>
        </w:rPr>
        <w:t>vehicles</w:t>
      </w:r>
      <w:r>
        <w:rPr>
          <w:rFonts w:ascii="Calibri" w:eastAsia="Calibri" w:hAnsi="Calibri"/>
          <w:sz w:val="22"/>
          <w:szCs w:val="22"/>
          <w:lang w:eastAsia="en-US"/>
        </w:rPr>
        <w:t xml:space="preserve"> as soon as possible, with appropriate exemptions for vehicles used in harsh conditions</w:t>
      </w:r>
      <w:r w:rsidR="00111DD3" w:rsidRPr="0000059D">
        <w:rPr>
          <w:rFonts w:ascii="Calibri" w:eastAsia="Calibri" w:hAnsi="Calibri"/>
          <w:sz w:val="22"/>
          <w:szCs w:val="22"/>
          <w:lang w:eastAsia="en-US"/>
        </w:rPr>
        <w:t xml:space="preserve">. </w:t>
      </w:r>
      <w:r w:rsidR="00AD6D28">
        <w:rPr>
          <w:rFonts w:ascii="Calibri" w:eastAsia="Calibri" w:hAnsi="Calibri"/>
          <w:sz w:val="22"/>
          <w:szCs w:val="22"/>
          <w:lang w:eastAsia="en-US"/>
        </w:rPr>
        <w:t>However, although n</w:t>
      </w:r>
      <w:r w:rsidR="00893492" w:rsidRPr="0000059D">
        <w:rPr>
          <w:rFonts w:ascii="Calibri" w:eastAsia="Calibri" w:hAnsi="Calibri"/>
          <w:sz w:val="22"/>
          <w:szCs w:val="22"/>
          <w:lang w:eastAsia="en-US"/>
        </w:rPr>
        <w:t>ew</w:t>
      </w:r>
      <w:r w:rsidR="00111DD3" w:rsidRPr="0000059D">
        <w:rPr>
          <w:rFonts w:ascii="Calibri" w:eastAsia="Calibri" w:hAnsi="Calibri"/>
          <w:sz w:val="22"/>
          <w:szCs w:val="22"/>
          <w:lang w:eastAsia="en-US"/>
        </w:rPr>
        <w:t xml:space="preserve"> technologies </w:t>
      </w:r>
      <w:r w:rsidR="003C58C4" w:rsidRPr="0000059D">
        <w:rPr>
          <w:rFonts w:ascii="Calibri" w:eastAsia="Calibri" w:hAnsi="Calibri"/>
          <w:sz w:val="22"/>
          <w:szCs w:val="22"/>
          <w:lang w:eastAsia="en-US"/>
        </w:rPr>
        <w:t>generally</w:t>
      </w:r>
      <w:r w:rsidR="00111DD3" w:rsidRPr="0000059D">
        <w:rPr>
          <w:rFonts w:ascii="Calibri" w:eastAsia="Calibri" w:hAnsi="Calibri"/>
          <w:sz w:val="22"/>
          <w:szCs w:val="22"/>
          <w:lang w:eastAsia="en-US"/>
        </w:rPr>
        <w:t xml:space="preserve"> </w:t>
      </w:r>
      <w:r w:rsidR="00F31BC8" w:rsidRPr="0000059D">
        <w:rPr>
          <w:rFonts w:ascii="Calibri" w:eastAsia="Calibri" w:hAnsi="Calibri"/>
          <w:sz w:val="22"/>
          <w:szCs w:val="22"/>
          <w:lang w:eastAsia="en-US"/>
        </w:rPr>
        <w:t>offer</w:t>
      </w:r>
      <w:r w:rsidR="00111DD3" w:rsidRPr="0000059D">
        <w:rPr>
          <w:rFonts w:ascii="Calibri" w:eastAsia="Calibri" w:hAnsi="Calibri"/>
          <w:sz w:val="22"/>
          <w:szCs w:val="22"/>
          <w:lang w:eastAsia="en-US"/>
        </w:rPr>
        <w:t xml:space="preserve"> safety benefits</w:t>
      </w:r>
      <w:r w:rsidR="00AD6D28">
        <w:rPr>
          <w:rFonts w:ascii="Calibri" w:eastAsia="Calibri" w:hAnsi="Calibri"/>
          <w:sz w:val="22"/>
          <w:szCs w:val="22"/>
          <w:lang w:eastAsia="en-US"/>
        </w:rPr>
        <w:t>,</w:t>
      </w:r>
      <w:r w:rsidR="00893492" w:rsidRPr="0000059D">
        <w:rPr>
          <w:rFonts w:ascii="Calibri" w:eastAsia="Calibri" w:hAnsi="Calibri"/>
          <w:sz w:val="22"/>
          <w:szCs w:val="22"/>
          <w:lang w:eastAsia="en-US"/>
        </w:rPr>
        <w:t xml:space="preserve"> </w:t>
      </w:r>
      <w:r w:rsidR="00111DD3" w:rsidRPr="0000059D">
        <w:rPr>
          <w:rFonts w:ascii="Calibri" w:eastAsia="Calibri" w:hAnsi="Calibri"/>
          <w:sz w:val="22"/>
          <w:szCs w:val="22"/>
          <w:lang w:eastAsia="en-US"/>
        </w:rPr>
        <w:t xml:space="preserve">some </w:t>
      </w:r>
      <w:r w:rsidR="00893492" w:rsidRPr="0000059D">
        <w:rPr>
          <w:rFonts w:ascii="Calibri" w:eastAsia="Calibri" w:hAnsi="Calibri"/>
          <w:sz w:val="22"/>
          <w:szCs w:val="22"/>
          <w:lang w:eastAsia="en-US"/>
        </w:rPr>
        <w:t>Australian</w:t>
      </w:r>
      <w:r w:rsidR="00111DD3" w:rsidRPr="0000059D">
        <w:rPr>
          <w:rFonts w:ascii="Calibri" w:eastAsia="Calibri" w:hAnsi="Calibri"/>
          <w:sz w:val="22"/>
          <w:szCs w:val="22"/>
          <w:lang w:eastAsia="en-US"/>
        </w:rPr>
        <w:t xml:space="preserve"> </w:t>
      </w:r>
      <w:r w:rsidR="00893492" w:rsidRPr="0000059D">
        <w:rPr>
          <w:rFonts w:ascii="Calibri" w:eastAsia="Calibri" w:hAnsi="Calibri"/>
          <w:sz w:val="22"/>
          <w:szCs w:val="22"/>
          <w:lang w:eastAsia="en-US"/>
        </w:rPr>
        <w:t>heavy</w:t>
      </w:r>
      <w:r w:rsidR="007669B9" w:rsidRPr="0000059D">
        <w:rPr>
          <w:rFonts w:ascii="Calibri" w:eastAsia="Calibri" w:hAnsi="Calibri"/>
          <w:sz w:val="22"/>
          <w:szCs w:val="22"/>
          <w:lang w:eastAsia="en-US"/>
        </w:rPr>
        <w:t xml:space="preserve"> </w:t>
      </w:r>
      <w:r w:rsidR="00111DD3" w:rsidRPr="0000059D">
        <w:rPr>
          <w:rFonts w:ascii="Calibri" w:eastAsia="Calibri" w:hAnsi="Calibri"/>
          <w:sz w:val="22"/>
          <w:szCs w:val="22"/>
          <w:lang w:eastAsia="en-US"/>
        </w:rPr>
        <w:t xml:space="preserve">combinations are </w:t>
      </w:r>
      <w:r w:rsidR="003C58C4" w:rsidRPr="0000059D">
        <w:rPr>
          <w:rFonts w:ascii="Calibri" w:eastAsia="Calibri" w:hAnsi="Calibri"/>
          <w:sz w:val="22"/>
          <w:szCs w:val="22"/>
          <w:lang w:eastAsia="en-US"/>
        </w:rPr>
        <w:t xml:space="preserve">either </w:t>
      </w:r>
      <w:r w:rsidR="00F31BC8" w:rsidRPr="0000059D">
        <w:rPr>
          <w:rFonts w:ascii="Calibri" w:eastAsia="Calibri" w:hAnsi="Calibri"/>
          <w:sz w:val="22"/>
          <w:szCs w:val="22"/>
          <w:lang w:eastAsia="en-US"/>
        </w:rPr>
        <w:t>not found or are</w:t>
      </w:r>
      <w:r w:rsidR="00893492" w:rsidRPr="0000059D">
        <w:rPr>
          <w:rFonts w:ascii="Calibri" w:eastAsia="Calibri" w:hAnsi="Calibri"/>
          <w:sz w:val="22"/>
          <w:szCs w:val="22"/>
          <w:lang w:eastAsia="en-US"/>
        </w:rPr>
        <w:t xml:space="preserve"> very </w:t>
      </w:r>
      <w:r w:rsidR="007669B9" w:rsidRPr="0000059D">
        <w:rPr>
          <w:rFonts w:ascii="Calibri" w:eastAsia="Calibri" w:hAnsi="Calibri"/>
          <w:sz w:val="22"/>
          <w:szCs w:val="22"/>
          <w:lang w:eastAsia="en-US"/>
        </w:rPr>
        <w:t>un</w:t>
      </w:r>
      <w:r w:rsidR="00111DD3" w:rsidRPr="0000059D">
        <w:rPr>
          <w:rFonts w:ascii="Calibri" w:eastAsia="Calibri" w:hAnsi="Calibri"/>
          <w:sz w:val="22"/>
          <w:szCs w:val="22"/>
          <w:lang w:eastAsia="en-US"/>
        </w:rPr>
        <w:t xml:space="preserve">common </w:t>
      </w:r>
      <w:r w:rsidR="007669B9" w:rsidRPr="0000059D">
        <w:rPr>
          <w:rFonts w:ascii="Calibri" w:eastAsia="Calibri" w:hAnsi="Calibri"/>
          <w:sz w:val="22"/>
          <w:szCs w:val="22"/>
          <w:lang w:eastAsia="en-US"/>
        </w:rPr>
        <w:t>overseas</w:t>
      </w:r>
      <w:r w:rsidR="00111DD3" w:rsidRPr="0000059D">
        <w:rPr>
          <w:rFonts w:ascii="Calibri" w:eastAsia="Calibri" w:hAnsi="Calibri"/>
          <w:sz w:val="22"/>
          <w:szCs w:val="22"/>
          <w:lang w:eastAsia="en-US"/>
        </w:rPr>
        <w:t xml:space="preserve">.  As a result, </w:t>
      </w:r>
      <w:r w:rsidR="00454798">
        <w:rPr>
          <w:rFonts w:ascii="Calibri" w:eastAsia="Calibri" w:hAnsi="Calibri"/>
          <w:sz w:val="22"/>
          <w:szCs w:val="22"/>
          <w:lang w:eastAsia="en-US"/>
        </w:rPr>
        <w:t xml:space="preserve">truck </w:t>
      </w:r>
      <w:r w:rsidR="00111DD3" w:rsidRPr="0000059D">
        <w:rPr>
          <w:rFonts w:ascii="Calibri" w:eastAsia="Calibri" w:hAnsi="Calibri"/>
          <w:sz w:val="22"/>
          <w:szCs w:val="22"/>
          <w:lang w:eastAsia="en-US"/>
        </w:rPr>
        <w:t>technologies developed for Europe</w:t>
      </w:r>
      <w:r w:rsidR="008E111F">
        <w:rPr>
          <w:rFonts w:ascii="Calibri" w:eastAsia="Calibri" w:hAnsi="Calibri"/>
          <w:sz w:val="22"/>
          <w:szCs w:val="22"/>
          <w:lang w:eastAsia="en-US"/>
        </w:rPr>
        <w:t>an</w:t>
      </w:r>
      <w:r w:rsidR="00111DD3" w:rsidRPr="0000059D">
        <w:rPr>
          <w:rFonts w:ascii="Calibri" w:eastAsia="Calibri" w:hAnsi="Calibri"/>
          <w:sz w:val="22"/>
          <w:szCs w:val="22"/>
          <w:lang w:eastAsia="en-US"/>
        </w:rPr>
        <w:t xml:space="preserve"> and North America</w:t>
      </w:r>
      <w:r w:rsidR="008E111F">
        <w:rPr>
          <w:rFonts w:ascii="Calibri" w:eastAsia="Calibri" w:hAnsi="Calibri"/>
          <w:sz w:val="22"/>
          <w:szCs w:val="22"/>
          <w:lang w:eastAsia="en-US"/>
        </w:rPr>
        <w:t xml:space="preserve">n conditions </w:t>
      </w:r>
      <w:r w:rsidR="00111DD3" w:rsidRPr="0000059D">
        <w:rPr>
          <w:rFonts w:ascii="Calibri" w:eastAsia="Calibri" w:hAnsi="Calibri"/>
          <w:sz w:val="22"/>
          <w:szCs w:val="22"/>
          <w:lang w:eastAsia="en-US"/>
        </w:rPr>
        <w:t>are not always sufficiently mature for local application</w:t>
      </w:r>
      <w:r w:rsidR="008E111F">
        <w:rPr>
          <w:rFonts w:ascii="Calibri" w:eastAsia="Calibri" w:hAnsi="Calibri"/>
          <w:sz w:val="22"/>
          <w:szCs w:val="22"/>
          <w:lang w:eastAsia="en-US"/>
        </w:rPr>
        <w:t>s</w:t>
      </w:r>
      <w:r w:rsidR="00111DD3" w:rsidRPr="0000059D">
        <w:rPr>
          <w:rFonts w:ascii="Calibri" w:eastAsia="Calibri" w:hAnsi="Calibri"/>
          <w:sz w:val="22"/>
          <w:szCs w:val="22"/>
          <w:lang w:eastAsia="en-US"/>
        </w:rPr>
        <w:t>.</w:t>
      </w:r>
      <w:r w:rsidR="007669B9" w:rsidRPr="0000059D">
        <w:rPr>
          <w:rFonts w:ascii="Calibri" w:eastAsia="Calibri" w:hAnsi="Calibri"/>
          <w:sz w:val="22"/>
          <w:szCs w:val="22"/>
          <w:lang w:eastAsia="en-US"/>
        </w:rPr>
        <w:t xml:space="preserve"> For example, the ATA has been advised by </w:t>
      </w:r>
      <w:r w:rsidR="00454798">
        <w:rPr>
          <w:rFonts w:ascii="Calibri" w:eastAsia="Calibri" w:hAnsi="Calibri"/>
          <w:sz w:val="22"/>
          <w:szCs w:val="22"/>
          <w:lang w:eastAsia="en-US"/>
        </w:rPr>
        <w:t xml:space="preserve">some </w:t>
      </w:r>
      <w:r w:rsidR="007669B9" w:rsidRPr="0000059D">
        <w:rPr>
          <w:rFonts w:ascii="Calibri" w:eastAsia="Calibri" w:hAnsi="Calibri"/>
          <w:sz w:val="22"/>
          <w:szCs w:val="22"/>
          <w:lang w:eastAsia="en-US"/>
        </w:rPr>
        <w:t xml:space="preserve">operators that </w:t>
      </w:r>
      <w:r w:rsidR="008E111F">
        <w:rPr>
          <w:rFonts w:ascii="Calibri" w:eastAsia="Calibri" w:hAnsi="Calibri"/>
          <w:sz w:val="22"/>
          <w:szCs w:val="22"/>
          <w:lang w:eastAsia="en-US"/>
        </w:rPr>
        <w:t>while the new</w:t>
      </w:r>
      <w:r w:rsidR="00454798">
        <w:rPr>
          <w:rFonts w:ascii="Calibri" w:eastAsia="Calibri" w:hAnsi="Calibri"/>
          <w:sz w:val="22"/>
          <w:szCs w:val="22"/>
          <w:lang w:eastAsia="en-US"/>
        </w:rPr>
        <w:t xml:space="preserve"> </w:t>
      </w:r>
      <w:r w:rsidR="00454798" w:rsidRPr="0000059D">
        <w:rPr>
          <w:rFonts w:ascii="Calibri" w:eastAsia="Calibri" w:hAnsi="Calibri"/>
          <w:sz w:val="22"/>
          <w:szCs w:val="22"/>
          <w:lang w:eastAsia="en-US"/>
        </w:rPr>
        <w:t xml:space="preserve">braking </w:t>
      </w:r>
      <w:r w:rsidR="007669B9" w:rsidRPr="0000059D">
        <w:rPr>
          <w:rFonts w:ascii="Calibri" w:eastAsia="Calibri" w:hAnsi="Calibri"/>
          <w:sz w:val="22"/>
          <w:szCs w:val="22"/>
          <w:lang w:eastAsia="en-US"/>
        </w:rPr>
        <w:t xml:space="preserve">technology </w:t>
      </w:r>
      <w:r w:rsidR="007E0E2F" w:rsidRPr="0000059D">
        <w:rPr>
          <w:rFonts w:ascii="Calibri" w:eastAsia="Calibri" w:hAnsi="Calibri"/>
          <w:sz w:val="22"/>
          <w:szCs w:val="22"/>
          <w:lang w:eastAsia="en-US"/>
        </w:rPr>
        <w:t>appears to work</w:t>
      </w:r>
      <w:r w:rsidR="00454798">
        <w:rPr>
          <w:rFonts w:ascii="Calibri" w:eastAsia="Calibri" w:hAnsi="Calibri"/>
          <w:sz w:val="22"/>
          <w:szCs w:val="22"/>
          <w:lang w:eastAsia="en-US"/>
        </w:rPr>
        <w:t xml:space="preserve"> </w:t>
      </w:r>
      <w:r w:rsidR="008E111F">
        <w:rPr>
          <w:rFonts w:ascii="Calibri" w:eastAsia="Calibri" w:hAnsi="Calibri"/>
          <w:sz w:val="22"/>
          <w:szCs w:val="22"/>
          <w:lang w:eastAsia="en-US"/>
        </w:rPr>
        <w:t xml:space="preserve">very </w:t>
      </w:r>
      <w:r w:rsidR="00454798">
        <w:rPr>
          <w:rFonts w:ascii="Calibri" w:eastAsia="Calibri" w:hAnsi="Calibri"/>
          <w:sz w:val="22"/>
          <w:szCs w:val="22"/>
          <w:lang w:eastAsia="en-US"/>
        </w:rPr>
        <w:t>well</w:t>
      </w:r>
      <w:r w:rsidR="007669B9" w:rsidRPr="0000059D">
        <w:rPr>
          <w:rFonts w:ascii="Calibri" w:eastAsia="Calibri" w:hAnsi="Calibri"/>
          <w:sz w:val="22"/>
          <w:szCs w:val="22"/>
          <w:lang w:eastAsia="en-US"/>
        </w:rPr>
        <w:t xml:space="preserve">, some of the equipment </w:t>
      </w:r>
      <w:r w:rsidR="007E0E2F" w:rsidRPr="0000059D">
        <w:rPr>
          <w:rFonts w:ascii="Calibri" w:eastAsia="Calibri" w:hAnsi="Calibri"/>
          <w:sz w:val="22"/>
          <w:szCs w:val="22"/>
          <w:lang w:eastAsia="en-US"/>
        </w:rPr>
        <w:t>that delivers th</w:t>
      </w:r>
      <w:r w:rsidR="00454798">
        <w:rPr>
          <w:rFonts w:ascii="Calibri" w:eastAsia="Calibri" w:hAnsi="Calibri"/>
          <w:sz w:val="22"/>
          <w:szCs w:val="22"/>
          <w:lang w:eastAsia="en-US"/>
        </w:rPr>
        <w:t xml:space="preserve">is </w:t>
      </w:r>
      <w:r w:rsidR="007E0E2F" w:rsidRPr="0000059D">
        <w:rPr>
          <w:rFonts w:ascii="Calibri" w:eastAsia="Calibri" w:hAnsi="Calibri"/>
          <w:sz w:val="22"/>
          <w:szCs w:val="22"/>
          <w:lang w:eastAsia="en-US"/>
        </w:rPr>
        <w:t xml:space="preserve">technology </w:t>
      </w:r>
      <w:r w:rsidR="007669B9" w:rsidRPr="0000059D">
        <w:rPr>
          <w:rFonts w:ascii="Calibri" w:eastAsia="Calibri" w:hAnsi="Calibri"/>
          <w:sz w:val="22"/>
          <w:szCs w:val="22"/>
          <w:lang w:eastAsia="en-US"/>
        </w:rPr>
        <w:t>fails too easily under more punishing off-road applications.</w:t>
      </w:r>
    </w:p>
    <w:p w:rsidR="00111DD3" w:rsidRPr="0000059D" w:rsidRDefault="00111DD3" w:rsidP="00111DD3">
      <w:pPr>
        <w:pStyle w:val="NormalWeb"/>
        <w:spacing w:before="0" w:beforeAutospacing="0" w:after="0" w:afterAutospacing="0"/>
        <w:rPr>
          <w:rFonts w:ascii="Calibri" w:eastAsia="Calibri" w:hAnsi="Calibri"/>
          <w:sz w:val="22"/>
          <w:szCs w:val="22"/>
          <w:lang w:eastAsia="en-US"/>
        </w:rPr>
      </w:pPr>
    </w:p>
    <w:p w:rsidR="00111DD3" w:rsidRPr="0000059D" w:rsidRDefault="00111DD3" w:rsidP="00111DD3">
      <w:pPr>
        <w:pStyle w:val="NormalWeb"/>
        <w:spacing w:before="0" w:beforeAutospacing="0" w:after="0" w:afterAutospacing="0"/>
        <w:rPr>
          <w:rFonts w:ascii="Calibri" w:eastAsia="Calibri" w:hAnsi="Calibri"/>
          <w:sz w:val="22"/>
          <w:szCs w:val="22"/>
          <w:lang w:eastAsia="en-US"/>
        </w:rPr>
      </w:pPr>
      <w:r w:rsidRPr="0000059D">
        <w:rPr>
          <w:rFonts w:ascii="Calibri" w:eastAsia="Calibri" w:hAnsi="Calibri"/>
          <w:sz w:val="22"/>
          <w:szCs w:val="22"/>
          <w:lang w:eastAsia="en-US"/>
        </w:rPr>
        <w:t>Managers of vehicle design standards</w:t>
      </w:r>
      <w:r w:rsidR="00F31BC8" w:rsidRPr="0000059D">
        <w:rPr>
          <w:rFonts w:ascii="Calibri" w:eastAsia="Calibri" w:hAnsi="Calibri"/>
          <w:sz w:val="22"/>
          <w:szCs w:val="22"/>
          <w:lang w:eastAsia="en-US"/>
        </w:rPr>
        <w:t xml:space="preserve"> and separately, manufacturers of equipment,</w:t>
      </w:r>
      <w:r w:rsidRPr="0000059D">
        <w:rPr>
          <w:rFonts w:ascii="Calibri" w:eastAsia="Calibri" w:hAnsi="Calibri"/>
          <w:sz w:val="22"/>
          <w:szCs w:val="22"/>
          <w:lang w:eastAsia="en-US"/>
        </w:rPr>
        <w:t xml:space="preserve"> are </w:t>
      </w:r>
      <w:r w:rsidR="003C58C4" w:rsidRPr="0000059D">
        <w:rPr>
          <w:rFonts w:ascii="Calibri" w:eastAsia="Calibri" w:hAnsi="Calibri"/>
          <w:sz w:val="22"/>
          <w:szCs w:val="22"/>
          <w:lang w:eastAsia="en-US"/>
        </w:rPr>
        <w:t>sometimes un</w:t>
      </w:r>
      <w:r w:rsidR="00BA4FE5" w:rsidRPr="0000059D">
        <w:rPr>
          <w:rFonts w:ascii="Calibri" w:eastAsia="Calibri" w:hAnsi="Calibri"/>
          <w:sz w:val="22"/>
          <w:szCs w:val="22"/>
          <w:lang w:eastAsia="en-US"/>
        </w:rPr>
        <w:t>aware</w:t>
      </w:r>
      <w:r w:rsidRPr="0000059D">
        <w:rPr>
          <w:rFonts w:ascii="Calibri" w:eastAsia="Calibri" w:hAnsi="Calibri"/>
          <w:sz w:val="22"/>
          <w:szCs w:val="22"/>
          <w:lang w:eastAsia="en-US"/>
        </w:rPr>
        <w:t xml:space="preserve"> of what </w:t>
      </w:r>
      <w:r w:rsidR="00276DF8">
        <w:rPr>
          <w:rFonts w:ascii="Calibri" w:eastAsia="Calibri" w:hAnsi="Calibri"/>
          <w:sz w:val="22"/>
          <w:szCs w:val="22"/>
          <w:lang w:eastAsia="en-US"/>
        </w:rPr>
        <w:t>commonly occurs</w:t>
      </w:r>
      <w:r w:rsidR="007273C8" w:rsidRPr="0000059D">
        <w:rPr>
          <w:rFonts w:ascii="Calibri" w:eastAsia="Calibri" w:hAnsi="Calibri"/>
          <w:sz w:val="22"/>
          <w:szCs w:val="22"/>
          <w:lang w:eastAsia="en-US"/>
        </w:rPr>
        <w:t xml:space="preserve"> </w:t>
      </w:r>
      <w:r w:rsidR="00276DF8" w:rsidRPr="0000059D">
        <w:rPr>
          <w:rFonts w:ascii="Calibri" w:eastAsia="Calibri" w:hAnsi="Calibri"/>
          <w:sz w:val="22"/>
          <w:szCs w:val="22"/>
          <w:lang w:eastAsia="en-US"/>
        </w:rPr>
        <w:t xml:space="preserve">when </w:t>
      </w:r>
      <w:r w:rsidR="003C58C4" w:rsidRPr="0000059D">
        <w:rPr>
          <w:rFonts w:ascii="Calibri" w:eastAsia="Calibri" w:hAnsi="Calibri"/>
          <w:sz w:val="22"/>
          <w:szCs w:val="22"/>
          <w:lang w:eastAsia="en-US"/>
        </w:rPr>
        <w:t>a</w:t>
      </w:r>
      <w:r w:rsidR="007273C8" w:rsidRPr="0000059D">
        <w:rPr>
          <w:rFonts w:ascii="Calibri" w:eastAsia="Calibri" w:hAnsi="Calibri"/>
          <w:sz w:val="22"/>
          <w:szCs w:val="22"/>
          <w:lang w:eastAsia="en-US"/>
        </w:rPr>
        <w:t xml:space="preserve"> </w:t>
      </w:r>
      <w:r w:rsidR="00BA4FE5" w:rsidRPr="0000059D">
        <w:rPr>
          <w:rFonts w:ascii="Calibri" w:eastAsia="Calibri" w:hAnsi="Calibri"/>
          <w:sz w:val="22"/>
          <w:szCs w:val="22"/>
          <w:lang w:eastAsia="en-US"/>
        </w:rPr>
        <w:t xml:space="preserve">heavy </w:t>
      </w:r>
      <w:r w:rsidR="007273C8" w:rsidRPr="0000059D">
        <w:rPr>
          <w:rFonts w:ascii="Calibri" w:eastAsia="Calibri" w:hAnsi="Calibri"/>
          <w:sz w:val="22"/>
          <w:szCs w:val="22"/>
          <w:lang w:eastAsia="en-US"/>
        </w:rPr>
        <w:t>vehicle</w:t>
      </w:r>
      <w:r w:rsidR="003C58C4" w:rsidRPr="0000059D">
        <w:rPr>
          <w:rFonts w:ascii="Calibri" w:eastAsia="Calibri" w:hAnsi="Calibri"/>
          <w:sz w:val="22"/>
          <w:szCs w:val="22"/>
          <w:lang w:eastAsia="en-US"/>
        </w:rPr>
        <w:t xml:space="preserve"> is</w:t>
      </w:r>
      <w:r w:rsidR="007273C8" w:rsidRPr="0000059D">
        <w:rPr>
          <w:rFonts w:ascii="Calibri" w:eastAsia="Calibri" w:hAnsi="Calibri"/>
          <w:sz w:val="22"/>
          <w:szCs w:val="22"/>
          <w:lang w:eastAsia="en-US"/>
        </w:rPr>
        <w:t xml:space="preserve"> </w:t>
      </w:r>
      <w:r w:rsidRPr="0000059D">
        <w:rPr>
          <w:rFonts w:ascii="Calibri" w:eastAsia="Calibri" w:hAnsi="Calibri"/>
          <w:sz w:val="22"/>
          <w:szCs w:val="22"/>
          <w:lang w:eastAsia="en-US"/>
        </w:rPr>
        <w:t>in</w:t>
      </w:r>
      <w:r w:rsidR="007273C8" w:rsidRPr="0000059D">
        <w:rPr>
          <w:rFonts w:ascii="Calibri" w:eastAsia="Calibri" w:hAnsi="Calibri"/>
          <w:sz w:val="22"/>
          <w:szCs w:val="22"/>
          <w:lang w:eastAsia="en-US"/>
        </w:rPr>
        <w:t xml:space="preserve"> </w:t>
      </w:r>
      <w:r w:rsidRPr="0000059D">
        <w:rPr>
          <w:rFonts w:ascii="Calibri" w:eastAsia="Calibri" w:hAnsi="Calibri"/>
          <w:sz w:val="22"/>
          <w:szCs w:val="22"/>
          <w:lang w:eastAsia="en-US"/>
        </w:rPr>
        <w:t>service</w:t>
      </w:r>
      <w:r w:rsidR="00F31BC8" w:rsidRPr="0000059D">
        <w:rPr>
          <w:rFonts w:ascii="Calibri" w:eastAsia="Calibri" w:hAnsi="Calibri"/>
          <w:sz w:val="22"/>
          <w:szCs w:val="22"/>
          <w:lang w:eastAsia="en-US"/>
        </w:rPr>
        <w:t xml:space="preserve">. </w:t>
      </w:r>
      <w:r w:rsidR="003C58C4" w:rsidRPr="0000059D">
        <w:rPr>
          <w:rFonts w:ascii="Calibri" w:eastAsia="Calibri" w:hAnsi="Calibri"/>
          <w:sz w:val="22"/>
          <w:szCs w:val="22"/>
          <w:lang w:eastAsia="en-US"/>
        </w:rPr>
        <w:t xml:space="preserve">Policymakers </w:t>
      </w:r>
      <w:r w:rsidR="00276DF8">
        <w:rPr>
          <w:rFonts w:ascii="Calibri" w:eastAsia="Calibri" w:hAnsi="Calibri"/>
          <w:sz w:val="22"/>
          <w:szCs w:val="22"/>
          <w:lang w:eastAsia="en-US"/>
        </w:rPr>
        <w:t>may also</w:t>
      </w:r>
      <w:r w:rsidR="003C58C4" w:rsidRPr="0000059D">
        <w:rPr>
          <w:rFonts w:ascii="Calibri" w:eastAsia="Calibri" w:hAnsi="Calibri"/>
          <w:sz w:val="22"/>
          <w:szCs w:val="22"/>
          <w:lang w:eastAsia="en-US"/>
        </w:rPr>
        <w:t xml:space="preserve"> seek to </w:t>
      </w:r>
      <w:r w:rsidRPr="0000059D">
        <w:rPr>
          <w:rFonts w:ascii="Calibri" w:eastAsia="Calibri" w:hAnsi="Calibri"/>
          <w:sz w:val="22"/>
          <w:szCs w:val="22"/>
          <w:lang w:eastAsia="en-US"/>
        </w:rPr>
        <w:t xml:space="preserve">adopt </w:t>
      </w:r>
      <w:r w:rsidR="00F31BC8" w:rsidRPr="0000059D">
        <w:rPr>
          <w:rFonts w:ascii="Calibri" w:eastAsia="Calibri" w:hAnsi="Calibri"/>
          <w:sz w:val="22"/>
          <w:szCs w:val="22"/>
          <w:lang w:eastAsia="en-US"/>
        </w:rPr>
        <w:t xml:space="preserve">impressive </w:t>
      </w:r>
      <w:r w:rsidR="003C58C4" w:rsidRPr="0000059D">
        <w:rPr>
          <w:rFonts w:ascii="Calibri" w:eastAsia="Calibri" w:hAnsi="Calibri"/>
          <w:sz w:val="22"/>
          <w:szCs w:val="22"/>
          <w:lang w:eastAsia="en-US"/>
        </w:rPr>
        <w:t>yet</w:t>
      </w:r>
      <w:r w:rsidR="00BA4FE5" w:rsidRPr="0000059D">
        <w:rPr>
          <w:rFonts w:ascii="Calibri" w:eastAsia="Calibri" w:hAnsi="Calibri"/>
          <w:sz w:val="22"/>
          <w:szCs w:val="22"/>
          <w:lang w:eastAsia="en-US"/>
        </w:rPr>
        <w:t xml:space="preserve"> immature </w:t>
      </w:r>
      <w:r w:rsidRPr="0000059D">
        <w:rPr>
          <w:rFonts w:ascii="Calibri" w:eastAsia="Calibri" w:hAnsi="Calibri"/>
          <w:sz w:val="22"/>
          <w:szCs w:val="22"/>
          <w:lang w:eastAsia="en-US"/>
        </w:rPr>
        <w:t>technologies</w:t>
      </w:r>
      <w:r w:rsidR="003C58C4" w:rsidRPr="0000059D">
        <w:rPr>
          <w:rFonts w:ascii="Calibri" w:eastAsia="Calibri" w:hAnsi="Calibri"/>
          <w:sz w:val="22"/>
          <w:szCs w:val="22"/>
          <w:lang w:eastAsia="en-US"/>
        </w:rPr>
        <w:t xml:space="preserve"> which</w:t>
      </w:r>
      <w:r w:rsidRPr="0000059D">
        <w:rPr>
          <w:rFonts w:ascii="Calibri" w:eastAsia="Calibri" w:hAnsi="Calibri"/>
          <w:sz w:val="22"/>
          <w:szCs w:val="22"/>
          <w:lang w:eastAsia="en-US"/>
        </w:rPr>
        <w:t xml:space="preserve"> </w:t>
      </w:r>
      <w:r w:rsidR="003C58C4" w:rsidRPr="0000059D">
        <w:rPr>
          <w:rFonts w:ascii="Calibri" w:eastAsia="Calibri" w:hAnsi="Calibri"/>
          <w:sz w:val="22"/>
          <w:szCs w:val="22"/>
          <w:lang w:eastAsia="en-US"/>
        </w:rPr>
        <w:t>can lead</w:t>
      </w:r>
      <w:r w:rsidR="00F56C20" w:rsidRPr="0000059D">
        <w:rPr>
          <w:rFonts w:ascii="Calibri" w:eastAsia="Calibri" w:hAnsi="Calibri"/>
          <w:sz w:val="22"/>
          <w:szCs w:val="22"/>
          <w:lang w:eastAsia="en-US"/>
        </w:rPr>
        <w:t xml:space="preserve"> to</w:t>
      </w:r>
      <w:r w:rsidRPr="0000059D">
        <w:rPr>
          <w:rFonts w:ascii="Calibri" w:eastAsia="Calibri" w:hAnsi="Calibri"/>
          <w:sz w:val="22"/>
          <w:szCs w:val="22"/>
          <w:lang w:eastAsia="en-US"/>
        </w:rPr>
        <w:t xml:space="preserve"> significant </w:t>
      </w:r>
      <w:r w:rsidR="00BA4FE5" w:rsidRPr="0000059D">
        <w:rPr>
          <w:rFonts w:ascii="Calibri" w:eastAsia="Calibri" w:hAnsi="Calibri"/>
          <w:sz w:val="22"/>
          <w:szCs w:val="22"/>
          <w:lang w:eastAsia="en-US"/>
        </w:rPr>
        <w:t>financial and operational</w:t>
      </w:r>
      <w:r w:rsidR="007273C8" w:rsidRPr="0000059D">
        <w:rPr>
          <w:rFonts w:ascii="Calibri" w:eastAsia="Calibri" w:hAnsi="Calibri"/>
          <w:sz w:val="22"/>
          <w:szCs w:val="22"/>
          <w:lang w:eastAsia="en-US"/>
        </w:rPr>
        <w:t xml:space="preserve"> </w:t>
      </w:r>
      <w:r w:rsidRPr="0000059D">
        <w:rPr>
          <w:rFonts w:ascii="Calibri" w:eastAsia="Calibri" w:hAnsi="Calibri"/>
          <w:sz w:val="22"/>
          <w:szCs w:val="22"/>
          <w:lang w:eastAsia="en-US"/>
        </w:rPr>
        <w:t>angst for industry</w:t>
      </w:r>
      <w:r w:rsidR="00BA4FE5" w:rsidRPr="0000059D">
        <w:rPr>
          <w:rFonts w:ascii="Calibri" w:eastAsia="Calibri" w:hAnsi="Calibri"/>
          <w:sz w:val="22"/>
          <w:szCs w:val="22"/>
          <w:lang w:eastAsia="en-US"/>
        </w:rPr>
        <w:t>. On the other hand, t</w:t>
      </w:r>
      <w:r w:rsidRPr="0000059D">
        <w:rPr>
          <w:rFonts w:ascii="Calibri" w:eastAsia="Calibri" w:hAnsi="Calibri"/>
          <w:sz w:val="22"/>
          <w:szCs w:val="22"/>
          <w:lang w:eastAsia="en-US"/>
        </w:rPr>
        <w:t xml:space="preserve">here </w:t>
      </w:r>
      <w:r w:rsidR="00BA4FE5" w:rsidRPr="0000059D">
        <w:rPr>
          <w:rFonts w:ascii="Calibri" w:eastAsia="Calibri" w:hAnsi="Calibri"/>
          <w:sz w:val="22"/>
          <w:szCs w:val="22"/>
          <w:lang w:eastAsia="en-US"/>
        </w:rPr>
        <w:t>should be no policy</w:t>
      </w:r>
      <w:r w:rsidRPr="0000059D">
        <w:rPr>
          <w:rFonts w:ascii="Calibri" w:eastAsia="Calibri" w:hAnsi="Calibri"/>
          <w:sz w:val="22"/>
          <w:szCs w:val="22"/>
          <w:lang w:eastAsia="en-US"/>
        </w:rPr>
        <w:t xml:space="preserve"> reluctance to adopt local standards </w:t>
      </w:r>
      <w:r w:rsidR="00F31BC8" w:rsidRPr="0000059D">
        <w:rPr>
          <w:rFonts w:ascii="Calibri" w:eastAsia="Calibri" w:hAnsi="Calibri"/>
          <w:sz w:val="22"/>
          <w:szCs w:val="22"/>
          <w:lang w:eastAsia="en-US"/>
        </w:rPr>
        <w:t>with</w:t>
      </w:r>
      <w:r w:rsidRPr="0000059D">
        <w:rPr>
          <w:rFonts w:ascii="Calibri" w:eastAsia="Calibri" w:hAnsi="Calibri"/>
          <w:sz w:val="22"/>
          <w:szCs w:val="22"/>
          <w:lang w:eastAsia="en-US"/>
        </w:rPr>
        <w:t xml:space="preserve"> potential to improve</w:t>
      </w:r>
      <w:r w:rsidR="00BA4FE5" w:rsidRPr="0000059D">
        <w:rPr>
          <w:rFonts w:ascii="Calibri" w:eastAsia="Calibri" w:hAnsi="Calibri"/>
          <w:sz w:val="22"/>
          <w:szCs w:val="22"/>
          <w:lang w:eastAsia="en-US"/>
        </w:rPr>
        <w:t xml:space="preserve"> vehicle design and road safety</w:t>
      </w:r>
      <w:r w:rsidRPr="0000059D">
        <w:rPr>
          <w:rFonts w:ascii="Calibri" w:eastAsia="Calibri" w:hAnsi="Calibri"/>
          <w:sz w:val="22"/>
          <w:szCs w:val="22"/>
          <w:lang w:eastAsia="en-US"/>
        </w:rPr>
        <w:t xml:space="preserve"> </w:t>
      </w:r>
      <w:r w:rsidR="00BA4FE5" w:rsidRPr="0000059D">
        <w:rPr>
          <w:rFonts w:ascii="Calibri" w:eastAsia="Calibri" w:hAnsi="Calibri"/>
          <w:sz w:val="22"/>
          <w:szCs w:val="22"/>
          <w:lang w:eastAsia="en-US"/>
        </w:rPr>
        <w:t xml:space="preserve">simply </w:t>
      </w:r>
      <w:r w:rsidRPr="0000059D">
        <w:rPr>
          <w:rFonts w:ascii="Calibri" w:eastAsia="Calibri" w:hAnsi="Calibri"/>
          <w:sz w:val="22"/>
          <w:szCs w:val="22"/>
          <w:lang w:eastAsia="en-US"/>
        </w:rPr>
        <w:t>because t</w:t>
      </w:r>
      <w:r w:rsidR="005717B0">
        <w:rPr>
          <w:rFonts w:ascii="Calibri" w:eastAsia="Calibri" w:hAnsi="Calibri"/>
          <w:sz w:val="22"/>
          <w:szCs w:val="22"/>
          <w:lang w:eastAsia="en-US"/>
        </w:rPr>
        <w:t>hey do not fit an international standard.</w:t>
      </w:r>
      <w:r w:rsidR="005717B0" w:rsidRPr="005717B0">
        <w:rPr>
          <w:rFonts w:ascii="Calibri" w:eastAsia="Calibri" w:hAnsi="Calibri"/>
          <w:sz w:val="22"/>
          <w:szCs w:val="22"/>
          <w:lang w:eastAsia="en-US"/>
        </w:rPr>
        <w:t xml:space="preserve"> </w:t>
      </w:r>
      <w:r w:rsidR="005717B0" w:rsidRPr="0000059D">
        <w:rPr>
          <w:rFonts w:ascii="Calibri" w:eastAsia="Calibri" w:hAnsi="Calibri"/>
          <w:sz w:val="22"/>
          <w:szCs w:val="22"/>
          <w:lang w:eastAsia="en-US"/>
        </w:rPr>
        <w:t>Cost</w:t>
      </w:r>
      <w:r w:rsidR="005717B0">
        <w:rPr>
          <w:rFonts w:ascii="Calibri" w:eastAsia="Calibri" w:hAnsi="Calibri"/>
          <w:sz w:val="22"/>
          <w:szCs w:val="22"/>
          <w:lang w:eastAsia="en-US"/>
        </w:rPr>
        <w:t xml:space="preserve"> </w:t>
      </w:r>
      <w:r w:rsidR="005717B0" w:rsidRPr="0000059D">
        <w:rPr>
          <w:rFonts w:ascii="Calibri" w:eastAsia="Calibri" w:hAnsi="Calibri"/>
          <w:sz w:val="22"/>
          <w:szCs w:val="22"/>
          <w:lang w:eastAsia="en-US"/>
        </w:rPr>
        <w:t>benefit</w:t>
      </w:r>
      <w:r w:rsidR="005717B0">
        <w:rPr>
          <w:rFonts w:ascii="Calibri" w:eastAsia="Calibri" w:hAnsi="Calibri"/>
          <w:sz w:val="22"/>
          <w:szCs w:val="22"/>
          <w:lang w:eastAsia="en-US"/>
        </w:rPr>
        <w:t xml:space="preserve"> </w:t>
      </w:r>
      <w:r w:rsidRPr="0000059D">
        <w:rPr>
          <w:rFonts w:ascii="Calibri" w:eastAsia="Calibri" w:hAnsi="Calibri"/>
          <w:sz w:val="22"/>
          <w:szCs w:val="22"/>
          <w:lang w:eastAsia="en-US"/>
        </w:rPr>
        <w:t>analys</w:t>
      </w:r>
      <w:r w:rsidR="000D50D0" w:rsidRPr="0000059D">
        <w:rPr>
          <w:rFonts w:ascii="Calibri" w:eastAsia="Calibri" w:hAnsi="Calibri"/>
          <w:sz w:val="22"/>
          <w:szCs w:val="22"/>
          <w:lang w:eastAsia="en-US"/>
        </w:rPr>
        <w:t>e</w:t>
      </w:r>
      <w:r w:rsidRPr="0000059D">
        <w:rPr>
          <w:rFonts w:ascii="Calibri" w:eastAsia="Calibri" w:hAnsi="Calibri"/>
          <w:sz w:val="22"/>
          <w:szCs w:val="22"/>
          <w:lang w:eastAsia="en-US"/>
        </w:rPr>
        <w:t xml:space="preserve">s </w:t>
      </w:r>
      <w:r w:rsidR="000D50D0" w:rsidRPr="0000059D">
        <w:rPr>
          <w:rFonts w:ascii="Calibri" w:eastAsia="Calibri" w:hAnsi="Calibri"/>
          <w:sz w:val="22"/>
          <w:szCs w:val="22"/>
          <w:lang w:eastAsia="en-US"/>
        </w:rPr>
        <w:t>are</w:t>
      </w:r>
      <w:r w:rsidR="007E0E2F" w:rsidRPr="0000059D">
        <w:rPr>
          <w:rFonts w:ascii="Calibri" w:eastAsia="Calibri" w:hAnsi="Calibri"/>
          <w:sz w:val="22"/>
          <w:szCs w:val="22"/>
          <w:lang w:eastAsia="en-US"/>
        </w:rPr>
        <w:t xml:space="preserve"> </w:t>
      </w:r>
      <w:r w:rsidR="00BA4FE5" w:rsidRPr="0000059D">
        <w:rPr>
          <w:rFonts w:ascii="Calibri" w:eastAsia="Calibri" w:hAnsi="Calibri"/>
          <w:sz w:val="22"/>
          <w:szCs w:val="22"/>
          <w:lang w:eastAsia="en-US"/>
        </w:rPr>
        <w:t>vital</w:t>
      </w:r>
      <w:r w:rsidRPr="0000059D">
        <w:rPr>
          <w:rFonts w:ascii="Calibri" w:eastAsia="Calibri" w:hAnsi="Calibri"/>
          <w:sz w:val="22"/>
          <w:szCs w:val="22"/>
          <w:lang w:eastAsia="en-US"/>
        </w:rPr>
        <w:t xml:space="preserve"> to the </w:t>
      </w:r>
      <w:r w:rsidR="005717B0">
        <w:rPr>
          <w:rFonts w:ascii="Calibri" w:eastAsia="Calibri" w:hAnsi="Calibri"/>
          <w:sz w:val="22"/>
          <w:szCs w:val="22"/>
          <w:lang w:eastAsia="en-US"/>
        </w:rPr>
        <w:t xml:space="preserve">vehicle </w:t>
      </w:r>
      <w:r w:rsidR="00F31BC8" w:rsidRPr="0000059D">
        <w:rPr>
          <w:rFonts w:ascii="Calibri" w:eastAsia="Calibri" w:hAnsi="Calibri"/>
          <w:sz w:val="22"/>
          <w:szCs w:val="22"/>
          <w:lang w:eastAsia="en-US"/>
        </w:rPr>
        <w:t xml:space="preserve">standards </w:t>
      </w:r>
      <w:r w:rsidRPr="0000059D">
        <w:rPr>
          <w:rFonts w:ascii="Calibri" w:eastAsia="Calibri" w:hAnsi="Calibri"/>
          <w:sz w:val="22"/>
          <w:szCs w:val="22"/>
          <w:lang w:eastAsia="en-US"/>
        </w:rPr>
        <w:t xml:space="preserve">process and should be </w:t>
      </w:r>
      <w:r w:rsidR="007E0E2F" w:rsidRPr="0000059D">
        <w:rPr>
          <w:rFonts w:ascii="Calibri" w:eastAsia="Calibri" w:hAnsi="Calibri"/>
          <w:sz w:val="22"/>
          <w:szCs w:val="22"/>
          <w:lang w:eastAsia="en-US"/>
        </w:rPr>
        <w:t>appropriately</w:t>
      </w:r>
      <w:r w:rsidR="00F31BC8" w:rsidRPr="0000059D">
        <w:rPr>
          <w:rFonts w:ascii="Calibri" w:eastAsia="Calibri" w:hAnsi="Calibri"/>
          <w:sz w:val="22"/>
          <w:szCs w:val="22"/>
          <w:lang w:eastAsia="en-US"/>
        </w:rPr>
        <w:t xml:space="preserve"> considered </w:t>
      </w:r>
      <w:r w:rsidR="000D50D0" w:rsidRPr="0000059D">
        <w:rPr>
          <w:rFonts w:ascii="Calibri" w:eastAsia="Calibri" w:hAnsi="Calibri"/>
          <w:sz w:val="22"/>
          <w:szCs w:val="22"/>
          <w:lang w:eastAsia="en-US"/>
        </w:rPr>
        <w:t xml:space="preserve">by policy makers </w:t>
      </w:r>
      <w:r w:rsidR="00F31BC8" w:rsidRPr="0000059D">
        <w:rPr>
          <w:rFonts w:ascii="Calibri" w:eastAsia="Calibri" w:hAnsi="Calibri"/>
          <w:sz w:val="22"/>
          <w:szCs w:val="22"/>
          <w:lang w:eastAsia="en-US"/>
        </w:rPr>
        <w:t xml:space="preserve">when contemplating </w:t>
      </w:r>
      <w:r w:rsidR="000D50D0" w:rsidRPr="0000059D">
        <w:rPr>
          <w:rFonts w:ascii="Calibri" w:eastAsia="Calibri" w:hAnsi="Calibri"/>
          <w:sz w:val="22"/>
          <w:szCs w:val="22"/>
          <w:lang w:eastAsia="en-US"/>
        </w:rPr>
        <w:t xml:space="preserve">any </w:t>
      </w:r>
      <w:r w:rsidR="00F31BC8" w:rsidRPr="0000059D">
        <w:rPr>
          <w:rFonts w:ascii="Calibri" w:eastAsia="Calibri" w:hAnsi="Calibri"/>
          <w:sz w:val="22"/>
          <w:szCs w:val="22"/>
          <w:lang w:eastAsia="en-US"/>
        </w:rPr>
        <w:t>significant new technologies</w:t>
      </w:r>
      <w:r w:rsidRPr="0000059D">
        <w:rPr>
          <w:rFonts w:ascii="Calibri" w:eastAsia="Calibri" w:hAnsi="Calibri"/>
          <w:sz w:val="22"/>
          <w:szCs w:val="22"/>
          <w:lang w:eastAsia="en-US"/>
        </w:rPr>
        <w:t>.</w:t>
      </w:r>
    </w:p>
    <w:p w:rsidR="00BA4FE5" w:rsidRPr="0000059D" w:rsidRDefault="00BA4FE5" w:rsidP="00111DD3">
      <w:pPr>
        <w:pStyle w:val="NormalWeb"/>
        <w:spacing w:before="0" w:beforeAutospacing="0" w:after="0" w:afterAutospacing="0"/>
        <w:rPr>
          <w:rFonts w:ascii="Calibri" w:eastAsia="Calibri" w:hAnsi="Calibri"/>
          <w:sz w:val="22"/>
          <w:szCs w:val="22"/>
          <w:lang w:eastAsia="en-US"/>
        </w:rPr>
      </w:pPr>
    </w:p>
    <w:p w:rsidR="00051383" w:rsidRDefault="005717B0" w:rsidP="00BA4FE5">
      <w:r>
        <w:t>Many</w:t>
      </w:r>
      <w:r w:rsidR="00435080" w:rsidRPr="0000059D">
        <w:t xml:space="preserve"> </w:t>
      </w:r>
      <w:r w:rsidR="00FF4977" w:rsidRPr="0000059D">
        <w:t xml:space="preserve">operators </w:t>
      </w:r>
      <w:r w:rsidR="00435080" w:rsidRPr="0000059D">
        <w:t>ha</w:t>
      </w:r>
      <w:r w:rsidR="00FF4977" w:rsidRPr="0000059D">
        <w:t>ve</w:t>
      </w:r>
      <w:r w:rsidR="00435080" w:rsidRPr="0000059D">
        <w:t xml:space="preserve"> voiced</w:t>
      </w:r>
      <w:r w:rsidR="00BA4FE5" w:rsidRPr="0000059D">
        <w:t xml:space="preserve"> frustration with the Performance Based Standards </w:t>
      </w:r>
      <w:r w:rsidR="001F670D">
        <w:t>(PBS) s</w:t>
      </w:r>
      <w:r w:rsidR="00BA4FE5" w:rsidRPr="0000059D">
        <w:t>cheme</w:t>
      </w:r>
      <w:r w:rsidR="00D9021D">
        <w:t xml:space="preserve"> that was</w:t>
      </w:r>
      <w:r w:rsidR="00BA4FE5" w:rsidRPr="0000059D">
        <w:t xml:space="preserve"> introduced </w:t>
      </w:r>
      <w:r w:rsidR="00435080" w:rsidRPr="0000059D">
        <w:t xml:space="preserve">by governments </w:t>
      </w:r>
      <w:r w:rsidR="00BA4FE5" w:rsidRPr="0000059D">
        <w:t xml:space="preserve">to enable </w:t>
      </w:r>
      <w:r w:rsidR="00D9021D">
        <w:t xml:space="preserve">access to the road for </w:t>
      </w:r>
      <w:r>
        <w:t xml:space="preserve">more </w:t>
      </w:r>
      <w:r w:rsidR="00BA4FE5" w:rsidRPr="0000059D">
        <w:t>innovative</w:t>
      </w:r>
      <w:r>
        <w:t xml:space="preserve"> </w:t>
      </w:r>
      <w:r w:rsidR="00D9021D">
        <w:t>yet</w:t>
      </w:r>
      <w:r>
        <w:t xml:space="preserve"> equally safe</w:t>
      </w:r>
      <w:r w:rsidR="00BA4FE5" w:rsidRPr="0000059D">
        <w:t xml:space="preserve"> </w:t>
      </w:r>
      <w:r w:rsidR="00AA3485">
        <w:t>higher productivity</w:t>
      </w:r>
      <w:r w:rsidR="00FF4977" w:rsidRPr="0000059D">
        <w:t xml:space="preserve"> </w:t>
      </w:r>
      <w:r w:rsidR="00BA4FE5" w:rsidRPr="0000059D">
        <w:t>vehicle</w:t>
      </w:r>
      <w:r w:rsidR="00FF4977" w:rsidRPr="0000059D">
        <w:t>s</w:t>
      </w:r>
      <w:r w:rsidR="00BA4FE5" w:rsidRPr="0000059D">
        <w:t xml:space="preserve">. </w:t>
      </w:r>
      <w:r w:rsidR="00D9021D">
        <w:t>Industry c</w:t>
      </w:r>
      <w:r w:rsidR="00FF4977" w:rsidRPr="0000059D">
        <w:t>riticism</w:t>
      </w:r>
      <w:r w:rsidR="00435080" w:rsidRPr="0000059D">
        <w:t xml:space="preserve"> include</w:t>
      </w:r>
      <w:r w:rsidR="00D9021D">
        <w:t>s that scheme rules are burdensome in terms of red tape, and</w:t>
      </w:r>
      <w:r w:rsidR="00435080" w:rsidRPr="0000059D">
        <w:t xml:space="preserve"> that </w:t>
      </w:r>
      <w:r>
        <w:t>the process of gaining</w:t>
      </w:r>
      <w:r w:rsidR="000B2F7A">
        <w:t xml:space="preserve"> road </w:t>
      </w:r>
      <w:r>
        <w:t xml:space="preserve">access </w:t>
      </w:r>
      <w:r w:rsidR="00FD1E51">
        <w:t>approval</w:t>
      </w:r>
      <w:r>
        <w:t xml:space="preserve"> for </w:t>
      </w:r>
      <w:r w:rsidR="00051383">
        <w:t>vehicle</w:t>
      </w:r>
      <w:r w:rsidR="00D9021D">
        <w:t>s</w:t>
      </w:r>
      <w:r w:rsidR="00051383">
        <w:t xml:space="preserve"> </w:t>
      </w:r>
      <w:r w:rsidR="00D9021D">
        <w:t>built to</w:t>
      </w:r>
      <w:r w:rsidR="00051383">
        <w:t xml:space="preserve"> </w:t>
      </w:r>
      <w:r>
        <w:t xml:space="preserve">an approved PBS </w:t>
      </w:r>
      <w:r w:rsidR="00051383">
        <w:t>design</w:t>
      </w:r>
      <w:r w:rsidR="00FD1E51">
        <w:t xml:space="preserve"> </w:t>
      </w:r>
      <w:r>
        <w:t>is</w:t>
      </w:r>
      <w:r w:rsidR="00FF4977" w:rsidRPr="0000059D">
        <w:t xml:space="preserve"> </w:t>
      </w:r>
      <w:r w:rsidR="000B2F7A">
        <w:t>excruciatingly</w:t>
      </w:r>
      <w:r w:rsidR="00FF4977" w:rsidRPr="0000059D">
        <w:t xml:space="preserve"> slow</w:t>
      </w:r>
      <w:r>
        <w:t xml:space="preserve"> and frustrating</w:t>
      </w:r>
      <w:r w:rsidR="00051383">
        <w:t xml:space="preserve"> for operators</w:t>
      </w:r>
      <w:r w:rsidR="00FF4977" w:rsidRPr="0000059D">
        <w:t xml:space="preserve">. </w:t>
      </w:r>
      <w:r w:rsidR="00D9021D">
        <w:t>Feedback from the industry is also very clear that many local councils need to review the efficiency of their road access approval processes and the associated administrative interaction</w:t>
      </w:r>
      <w:r w:rsidR="000B2F7A">
        <w:t>s</w:t>
      </w:r>
      <w:r w:rsidR="00D9021D">
        <w:t xml:space="preserve"> with the national heavy vehicle regulator</w:t>
      </w:r>
      <w:r w:rsidR="000B2F7A">
        <w:t xml:space="preserve"> which oversees the management of the PBS</w:t>
      </w:r>
      <w:r w:rsidR="00D9021D">
        <w:t>.</w:t>
      </w:r>
    </w:p>
    <w:p w:rsidR="00FC15D7" w:rsidRPr="003758A7" w:rsidRDefault="00FC15D7" w:rsidP="00FC15D7">
      <w:pPr>
        <w:pStyle w:val="NormalWeb"/>
        <w:spacing w:before="0" w:beforeAutospacing="0" w:after="0" w:afterAutospacing="0"/>
        <w:rPr>
          <w:rFonts w:ascii="Calibri" w:eastAsia="Calibri" w:hAnsi="Calibri"/>
          <w:sz w:val="22"/>
          <w:szCs w:val="22"/>
          <w:lang w:eastAsia="en-US"/>
        </w:rPr>
      </w:pPr>
    </w:p>
    <w:p w:rsidR="00F5037C" w:rsidRPr="00F5037C" w:rsidRDefault="00F5037C" w:rsidP="00F5037C">
      <w:pPr>
        <w:keepNext/>
        <w:rPr>
          <w:rFonts w:asciiTheme="minorHAnsi" w:hAnsiTheme="minorHAnsi" w:cs="Arial"/>
          <w:b/>
        </w:rPr>
      </w:pPr>
      <w:r w:rsidRPr="00F5037C">
        <w:rPr>
          <w:rFonts w:asciiTheme="minorHAnsi" w:hAnsiTheme="minorHAnsi" w:cs="Arial"/>
          <w:b/>
        </w:rPr>
        <w:t xml:space="preserve">Recommendation 4 </w:t>
      </w:r>
    </w:p>
    <w:p w:rsidR="00F5037C" w:rsidRPr="00F5037C" w:rsidRDefault="00F5037C" w:rsidP="00F5037C">
      <w:pPr>
        <w:pStyle w:val="NormalWeb"/>
        <w:spacing w:before="0" w:beforeAutospacing="0" w:after="0" w:afterAutospacing="0"/>
        <w:rPr>
          <w:rFonts w:ascii="Calibri" w:eastAsia="Calibri" w:hAnsi="Calibri"/>
          <w:b/>
          <w:sz w:val="22"/>
          <w:szCs w:val="22"/>
          <w:lang w:eastAsia="en-US"/>
        </w:rPr>
      </w:pPr>
      <w:r w:rsidRPr="00F5037C">
        <w:rPr>
          <w:rFonts w:ascii="Calibri" w:eastAsia="Calibri" w:hAnsi="Calibri"/>
          <w:b/>
          <w:sz w:val="22"/>
          <w:szCs w:val="22"/>
          <w:lang w:eastAsia="en-US"/>
        </w:rPr>
        <w:t xml:space="preserve">Cost/benefit analyses should be considered for use where appropriate in the vehicle standards </w:t>
      </w:r>
      <w:r w:rsidR="0076387F">
        <w:rPr>
          <w:rFonts w:ascii="Calibri" w:eastAsia="Calibri" w:hAnsi="Calibri"/>
          <w:b/>
          <w:sz w:val="22"/>
          <w:szCs w:val="22"/>
          <w:lang w:eastAsia="en-US"/>
        </w:rPr>
        <w:t xml:space="preserve">policy </w:t>
      </w:r>
      <w:r w:rsidRPr="00F5037C">
        <w:rPr>
          <w:rFonts w:ascii="Calibri" w:eastAsia="Calibri" w:hAnsi="Calibri"/>
          <w:b/>
          <w:sz w:val="22"/>
          <w:szCs w:val="22"/>
          <w:lang w:eastAsia="en-US"/>
        </w:rPr>
        <w:t>process.</w:t>
      </w:r>
    </w:p>
    <w:p w:rsidR="00F5037C" w:rsidRPr="00F5037C" w:rsidRDefault="00F5037C" w:rsidP="00F5037C">
      <w:pPr>
        <w:rPr>
          <w:b/>
          <w:sz w:val="20"/>
          <w:szCs w:val="20"/>
        </w:rPr>
      </w:pPr>
    </w:p>
    <w:p w:rsidR="00FC15D7" w:rsidRPr="00F5037C" w:rsidRDefault="00FC15D7" w:rsidP="00FC15D7">
      <w:pPr>
        <w:keepNext/>
        <w:rPr>
          <w:rFonts w:asciiTheme="minorHAnsi" w:hAnsiTheme="minorHAnsi" w:cs="Arial"/>
          <w:b/>
        </w:rPr>
      </w:pPr>
      <w:r w:rsidRPr="00F5037C">
        <w:rPr>
          <w:rFonts w:asciiTheme="minorHAnsi" w:hAnsiTheme="minorHAnsi" w:cs="Arial"/>
          <w:b/>
        </w:rPr>
        <w:t>Recommendation 5</w:t>
      </w:r>
    </w:p>
    <w:p w:rsidR="00FC15D7" w:rsidRPr="00F5037C" w:rsidRDefault="00FC15D7" w:rsidP="009E3F16">
      <w:pPr>
        <w:pStyle w:val="NormalWeb"/>
        <w:spacing w:before="0" w:beforeAutospacing="0" w:after="0" w:afterAutospacing="0"/>
        <w:rPr>
          <w:b/>
        </w:rPr>
      </w:pPr>
      <w:r w:rsidRPr="00F5037C">
        <w:rPr>
          <w:rFonts w:ascii="Calibri" w:eastAsia="Calibri" w:hAnsi="Calibri"/>
          <w:b/>
          <w:sz w:val="22"/>
          <w:szCs w:val="22"/>
          <w:lang w:eastAsia="en-US"/>
        </w:rPr>
        <w:t xml:space="preserve">The Performance Based Standards scheme should be overhauled to </w:t>
      </w:r>
      <w:r w:rsidR="000D4D9F">
        <w:rPr>
          <w:rFonts w:ascii="Calibri" w:eastAsia="Calibri" w:hAnsi="Calibri"/>
          <w:b/>
          <w:sz w:val="22"/>
          <w:szCs w:val="22"/>
          <w:lang w:eastAsia="en-US"/>
        </w:rPr>
        <w:t>remove</w:t>
      </w:r>
      <w:r w:rsidRPr="00F5037C">
        <w:rPr>
          <w:rFonts w:ascii="Calibri" w:eastAsia="Calibri" w:hAnsi="Calibri"/>
          <w:b/>
          <w:sz w:val="22"/>
          <w:szCs w:val="22"/>
          <w:lang w:eastAsia="en-US"/>
        </w:rPr>
        <w:t xml:space="preserve"> red tape and improve its outcomes.</w:t>
      </w:r>
    </w:p>
    <w:p w:rsidR="00BA4FE5" w:rsidRPr="00BA4FE5" w:rsidRDefault="00BA4FE5" w:rsidP="00BA4FE5">
      <w:pPr>
        <w:rPr>
          <w:sz w:val="20"/>
          <w:szCs w:val="20"/>
        </w:rPr>
      </w:pPr>
    </w:p>
    <w:p w:rsidR="009D1F45" w:rsidRPr="00D55F5E" w:rsidRDefault="009D1F45" w:rsidP="009D1F45">
      <w:pPr>
        <w:pStyle w:val="NormalWeb"/>
        <w:spacing w:before="0" w:beforeAutospacing="0" w:after="0" w:afterAutospacing="0"/>
        <w:rPr>
          <w:rFonts w:asciiTheme="minorHAnsi" w:eastAsia="Calibri" w:hAnsiTheme="minorHAnsi" w:cs="Arial"/>
          <w:b/>
          <w:sz w:val="22"/>
          <w:szCs w:val="22"/>
          <w:lang w:eastAsia="en-US"/>
        </w:rPr>
      </w:pPr>
      <w:r w:rsidRPr="00D55F5E">
        <w:rPr>
          <w:rFonts w:asciiTheme="minorHAnsi" w:eastAsia="Calibri" w:hAnsiTheme="minorHAnsi" w:cs="Arial"/>
          <w:b/>
          <w:sz w:val="22"/>
          <w:szCs w:val="22"/>
          <w:lang w:eastAsia="en-US"/>
        </w:rPr>
        <w:t>D. the different considerations affecting road safety in urban, regional and rural areas</w:t>
      </w:r>
    </w:p>
    <w:p w:rsidR="00E122C3" w:rsidRPr="0000059D" w:rsidRDefault="00474132" w:rsidP="00E122C3">
      <w:r w:rsidRPr="0000059D">
        <w:t>Because</w:t>
      </w:r>
      <w:r w:rsidR="007D6C85" w:rsidRPr="0000059D">
        <w:t xml:space="preserve"> A</w:t>
      </w:r>
      <w:r w:rsidR="00E122C3" w:rsidRPr="0000059D">
        <w:t>ustralia is an enormous continent</w:t>
      </w:r>
      <w:r w:rsidR="00BD256F" w:rsidRPr="0000059D">
        <w:t>,</w:t>
      </w:r>
      <w:r w:rsidR="00E122C3" w:rsidRPr="0000059D">
        <w:t xml:space="preserve"> </w:t>
      </w:r>
      <w:r w:rsidR="0042666B" w:rsidRPr="0000059D">
        <w:t>lengthy</w:t>
      </w:r>
      <w:r w:rsidR="00E122C3" w:rsidRPr="0000059D">
        <w:t xml:space="preserve"> </w:t>
      </w:r>
      <w:r w:rsidR="00FD6313" w:rsidRPr="0000059D">
        <w:t xml:space="preserve">and inconvenient </w:t>
      </w:r>
      <w:r w:rsidR="00E122C3" w:rsidRPr="0000059D">
        <w:t xml:space="preserve">distances between </w:t>
      </w:r>
      <w:r w:rsidR="00FD6313" w:rsidRPr="0000059D">
        <w:t>freight origin and destination; between</w:t>
      </w:r>
      <w:r w:rsidR="00E122C3" w:rsidRPr="0000059D">
        <w:t xml:space="preserve"> </w:t>
      </w:r>
      <w:r w:rsidR="001F0F11">
        <w:t xml:space="preserve">truck </w:t>
      </w:r>
      <w:r w:rsidR="00FD6313" w:rsidRPr="0000059D">
        <w:t xml:space="preserve">driver and </w:t>
      </w:r>
      <w:r w:rsidR="00E122C3" w:rsidRPr="0000059D">
        <w:t>workshop</w:t>
      </w:r>
      <w:r w:rsidR="00FD6313" w:rsidRPr="0000059D">
        <w:t xml:space="preserve">; between OEM and operator; </w:t>
      </w:r>
      <w:r w:rsidR="001F0F11">
        <w:t>and</w:t>
      </w:r>
      <w:r w:rsidR="00FD6313" w:rsidRPr="0000059D">
        <w:t xml:space="preserve"> between </w:t>
      </w:r>
      <w:r w:rsidR="007D6C85" w:rsidRPr="0000059D">
        <w:t>home base</w:t>
      </w:r>
      <w:r w:rsidR="00FD6313" w:rsidRPr="0000059D">
        <w:t xml:space="preserve"> and</w:t>
      </w:r>
      <w:r w:rsidR="00E122C3" w:rsidRPr="0000059D">
        <w:t xml:space="preserve"> </w:t>
      </w:r>
      <w:r w:rsidR="00FD6313" w:rsidRPr="0000059D">
        <w:t>government facilit</w:t>
      </w:r>
      <w:r w:rsidR="00BD256F" w:rsidRPr="0000059D">
        <w:t>y</w:t>
      </w:r>
      <w:r w:rsidR="00FD6313" w:rsidRPr="0000059D">
        <w:t xml:space="preserve"> are</w:t>
      </w:r>
      <w:r w:rsidR="00E122C3" w:rsidRPr="0000059D">
        <w:t xml:space="preserve"> </w:t>
      </w:r>
      <w:r w:rsidR="0042666B" w:rsidRPr="0000059D">
        <w:t xml:space="preserve">simple </w:t>
      </w:r>
      <w:r w:rsidR="00611EA1" w:rsidRPr="0000059D">
        <w:t>fact</w:t>
      </w:r>
      <w:r w:rsidR="00650743">
        <w:t>s</w:t>
      </w:r>
      <w:r w:rsidR="00611EA1" w:rsidRPr="0000059D">
        <w:t xml:space="preserve"> of life</w:t>
      </w:r>
      <w:r w:rsidR="00BD256F" w:rsidRPr="0000059D">
        <w:t xml:space="preserve"> for </w:t>
      </w:r>
      <w:r w:rsidR="001F0F11">
        <w:t xml:space="preserve">many </w:t>
      </w:r>
      <w:r w:rsidR="00611EA1" w:rsidRPr="0000059D">
        <w:t>trucking</w:t>
      </w:r>
      <w:r w:rsidR="00BD256F" w:rsidRPr="0000059D">
        <w:t xml:space="preserve"> </w:t>
      </w:r>
      <w:r w:rsidR="001F0F11">
        <w:t>businesses</w:t>
      </w:r>
      <w:r w:rsidR="00E122C3" w:rsidRPr="0000059D">
        <w:t xml:space="preserve">. </w:t>
      </w:r>
    </w:p>
    <w:p w:rsidR="00E122C3" w:rsidRPr="0000059D" w:rsidRDefault="00E122C3" w:rsidP="00E122C3"/>
    <w:p w:rsidR="00E122C3" w:rsidRPr="0000059D" w:rsidRDefault="00E122C3" w:rsidP="00E122C3">
      <w:pPr>
        <w:rPr>
          <w:rFonts w:asciiTheme="minorHAnsi" w:hAnsiTheme="minorHAnsi" w:cs="Arial"/>
          <w:lang w:eastAsia="en-AU"/>
        </w:rPr>
      </w:pPr>
      <w:r w:rsidRPr="0000059D">
        <w:rPr>
          <w:rFonts w:asciiTheme="minorHAnsi" w:hAnsiTheme="minorHAnsi" w:cs="Arial"/>
          <w:lang w:eastAsia="en-AU"/>
        </w:rPr>
        <w:t xml:space="preserve">At the same time, it is of paramount </w:t>
      </w:r>
      <w:r w:rsidR="00E71DBA" w:rsidRPr="0000059D">
        <w:rPr>
          <w:rFonts w:asciiTheme="minorHAnsi" w:hAnsiTheme="minorHAnsi" w:cs="Arial"/>
          <w:lang w:eastAsia="en-AU"/>
        </w:rPr>
        <w:t>importance</w:t>
      </w:r>
      <w:r w:rsidR="00413C36">
        <w:rPr>
          <w:rFonts w:asciiTheme="minorHAnsi" w:hAnsiTheme="minorHAnsi" w:cs="Arial"/>
          <w:lang w:eastAsia="en-AU"/>
        </w:rPr>
        <w:t xml:space="preserve"> to road safety</w:t>
      </w:r>
      <w:r w:rsidRPr="0000059D">
        <w:rPr>
          <w:rFonts w:asciiTheme="minorHAnsi" w:hAnsiTheme="minorHAnsi" w:cs="Arial"/>
          <w:lang w:eastAsia="en-AU"/>
        </w:rPr>
        <w:t xml:space="preserve"> that </w:t>
      </w:r>
      <w:r w:rsidR="00EC7E43" w:rsidRPr="0000059D">
        <w:rPr>
          <w:rFonts w:asciiTheme="minorHAnsi" w:hAnsiTheme="minorHAnsi" w:cs="Arial"/>
          <w:lang w:eastAsia="en-AU"/>
        </w:rPr>
        <w:t xml:space="preserve">vehicle </w:t>
      </w:r>
      <w:r w:rsidRPr="0000059D">
        <w:rPr>
          <w:rFonts w:asciiTheme="minorHAnsi" w:hAnsiTheme="minorHAnsi" w:cs="Arial"/>
          <w:lang w:eastAsia="en-AU"/>
        </w:rPr>
        <w:t xml:space="preserve">defects and maintenance </w:t>
      </w:r>
      <w:r w:rsidR="00EC7E43" w:rsidRPr="0000059D">
        <w:rPr>
          <w:rFonts w:asciiTheme="minorHAnsi" w:hAnsiTheme="minorHAnsi" w:cs="Arial"/>
          <w:lang w:eastAsia="en-AU"/>
        </w:rPr>
        <w:t xml:space="preserve">tasks </w:t>
      </w:r>
      <w:r w:rsidR="00413C36">
        <w:rPr>
          <w:rFonts w:asciiTheme="minorHAnsi" w:hAnsiTheme="minorHAnsi" w:cs="Arial"/>
          <w:lang w:eastAsia="en-AU"/>
        </w:rPr>
        <w:t>are</w:t>
      </w:r>
      <w:r w:rsidRPr="0000059D">
        <w:rPr>
          <w:rFonts w:asciiTheme="minorHAnsi" w:hAnsiTheme="minorHAnsi" w:cs="Arial"/>
          <w:lang w:eastAsia="en-AU"/>
        </w:rPr>
        <w:t xml:space="preserve"> </w:t>
      </w:r>
      <w:r w:rsidR="00E71DBA" w:rsidRPr="0000059D">
        <w:rPr>
          <w:rFonts w:asciiTheme="minorHAnsi" w:hAnsiTheme="minorHAnsi" w:cs="Arial"/>
          <w:lang w:eastAsia="en-AU"/>
        </w:rPr>
        <w:t xml:space="preserve">quickly </w:t>
      </w:r>
      <w:r w:rsidRPr="0000059D">
        <w:rPr>
          <w:rFonts w:asciiTheme="minorHAnsi" w:hAnsiTheme="minorHAnsi" w:cs="Arial"/>
          <w:lang w:eastAsia="en-AU"/>
        </w:rPr>
        <w:t xml:space="preserve">attended </w:t>
      </w:r>
      <w:r w:rsidR="00EC7E43" w:rsidRPr="0000059D">
        <w:rPr>
          <w:rFonts w:asciiTheme="minorHAnsi" w:hAnsiTheme="minorHAnsi" w:cs="Arial"/>
          <w:lang w:eastAsia="en-AU"/>
        </w:rPr>
        <w:t>to</w:t>
      </w:r>
      <w:r w:rsidR="00413C36">
        <w:rPr>
          <w:rFonts w:asciiTheme="minorHAnsi" w:hAnsiTheme="minorHAnsi" w:cs="Arial"/>
          <w:lang w:eastAsia="en-AU"/>
        </w:rPr>
        <w:t>,</w:t>
      </w:r>
      <w:r w:rsidR="00EC7E43" w:rsidRPr="0000059D">
        <w:rPr>
          <w:rFonts w:asciiTheme="minorHAnsi" w:hAnsiTheme="minorHAnsi" w:cs="Arial"/>
          <w:lang w:eastAsia="en-AU"/>
        </w:rPr>
        <w:t xml:space="preserve"> </w:t>
      </w:r>
      <w:r w:rsidR="00E71DBA" w:rsidRPr="0000059D">
        <w:rPr>
          <w:rFonts w:asciiTheme="minorHAnsi" w:hAnsiTheme="minorHAnsi" w:cs="Arial"/>
          <w:lang w:eastAsia="en-AU"/>
        </w:rPr>
        <w:t xml:space="preserve">and </w:t>
      </w:r>
      <w:r w:rsidRPr="0000059D">
        <w:rPr>
          <w:rFonts w:asciiTheme="minorHAnsi" w:hAnsiTheme="minorHAnsi" w:cs="Arial"/>
          <w:lang w:eastAsia="en-AU"/>
        </w:rPr>
        <w:t xml:space="preserve">well before minor </w:t>
      </w:r>
      <w:r w:rsidR="007D6C85" w:rsidRPr="0000059D">
        <w:rPr>
          <w:rFonts w:asciiTheme="minorHAnsi" w:hAnsiTheme="minorHAnsi" w:cs="Arial"/>
          <w:lang w:eastAsia="en-AU"/>
        </w:rPr>
        <w:t>issues</w:t>
      </w:r>
      <w:r w:rsidRPr="0000059D">
        <w:rPr>
          <w:rFonts w:asciiTheme="minorHAnsi" w:hAnsiTheme="minorHAnsi" w:cs="Arial"/>
          <w:lang w:eastAsia="en-AU"/>
        </w:rPr>
        <w:t xml:space="preserve"> become bigger problems. </w:t>
      </w:r>
      <w:r w:rsidR="00EC7E43" w:rsidRPr="0000059D">
        <w:rPr>
          <w:rFonts w:asciiTheme="minorHAnsi" w:hAnsiTheme="minorHAnsi" w:cs="Arial"/>
          <w:lang w:eastAsia="en-AU"/>
        </w:rPr>
        <w:t>D</w:t>
      </w:r>
      <w:r w:rsidRPr="0000059D">
        <w:rPr>
          <w:rFonts w:asciiTheme="minorHAnsi" w:hAnsiTheme="minorHAnsi" w:cs="Arial"/>
          <w:lang w:eastAsia="en-AU"/>
        </w:rPr>
        <w:t xml:space="preserve">epending on their nature, minor </w:t>
      </w:r>
      <w:r w:rsidR="00611EA1" w:rsidRPr="0000059D">
        <w:rPr>
          <w:rFonts w:asciiTheme="minorHAnsi" w:hAnsiTheme="minorHAnsi" w:cs="Arial"/>
          <w:lang w:eastAsia="en-AU"/>
        </w:rPr>
        <w:t xml:space="preserve">vehicle </w:t>
      </w:r>
      <w:r w:rsidRPr="0000059D">
        <w:rPr>
          <w:rFonts w:asciiTheme="minorHAnsi" w:hAnsiTheme="minorHAnsi" w:cs="Arial"/>
          <w:lang w:eastAsia="en-AU"/>
        </w:rPr>
        <w:t xml:space="preserve">defects </w:t>
      </w:r>
      <w:r w:rsidR="00EC7E43" w:rsidRPr="0000059D">
        <w:rPr>
          <w:rFonts w:asciiTheme="minorHAnsi" w:hAnsiTheme="minorHAnsi" w:cs="Arial"/>
          <w:lang w:eastAsia="en-AU"/>
        </w:rPr>
        <w:t xml:space="preserve">left unresolved </w:t>
      </w:r>
      <w:r w:rsidRPr="0000059D">
        <w:rPr>
          <w:rFonts w:asciiTheme="minorHAnsi" w:hAnsiTheme="minorHAnsi" w:cs="Arial"/>
          <w:lang w:eastAsia="en-AU"/>
        </w:rPr>
        <w:t xml:space="preserve">can escalate into major defects, or act in tandem with other </w:t>
      </w:r>
      <w:r w:rsidR="007D6C85" w:rsidRPr="0000059D">
        <w:rPr>
          <w:rFonts w:asciiTheme="minorHAnsi" w:hAnsiTheme="minorHAnsi" w:cs="Arial"/>
          <w:lang w:eastAsia="en-AU"/>
        </w:rPr>
        <w:t>issues</w:t>
      </w:r>
      <w:r w:rsidRPr="0000059D">
        <w:rPr>
          <w:rFonts w:asciiTheme="minorHAnsi" w:hAnsiTheme="minorHAnsi" w:cs="Arial"/>
          <w:lang w:eastAsia="en-AU"/>
        </w:rPr>
        <w:t xml:space="preserve"> to </w:t>
      </w:r>
      <w:r w:rsidR="007D6C85" w:rsidRPr="0000059D">
        <w:rPr>
          <w:rFonts w:asciiTheme="minorHAnsi" w:hAnsiTheme="minorHAnsi" w:cs="Arial"/>
          <w:lang w:eastAsia="en-AU"/>
        </w:rPr>
        <w:t>increase the severity of a</w:t>
      </w:r>
      <w:r w:rsidRPr="0000059D">
        <w:rPr>
          <w:rFonts w:asciiTheme="minorHAnsi" w:hAnsiTheme="minorHAnsi" w:cs="Arial"/>
          <w:lang w:eastAsia="en-AU"/>
        </w:rPr>
        <w:t xml:space="preserve"> crash. </w:t>
      </w:r>
    </w:p>
    <w:p w:rsidR="00E122C3" w:rsidRPr="0000059D" w:rsidRDefault="00E122C3" w:rsidP="00E122C3">
      <w:pPr>
        <w:rPr>
          <w:rFonts w:asciiTheme="minorHAnsi" w:hAnsiTheme="minorHAnsi" w:cs="Arial"/>
          <w:lang w:eastAsia="en-AU"/>
        </w:rPr>
      </w:pPr>
    </w:p>
    <w:p w:rsidR="00E122C3" w:rsidRPr="0000059D" w:rsidRDefault="00E122C3" w:rsidP="00E122C3">
      <w:r w:rsidRPr="0000059D">
        <w:t>In the heavy vehicle industry, there is a need for better guidance for operators</w:t>
      </w:r>
      <w:r w:rsidR="00E71DBA" w:rsidRPr="0000059D">
        <w:t xml:space="preserve"> </w:t>
      </w:r>
      <w:r w:rsidR="006C507D" w:rsidRPr="0000059D">
        <w:rPr>
          <w:rFonts w:asciiTheme="minorHAnsi" w:hAnsiTheme="minorHAnsi" w:cs="Arial"/>
        </w:rPr>
        <w:t>on how to comply with the HVNL</w:t>
      </w:r>
      <w:r w:rsidR="006C507D" w:rsidRPr="0000059D">
        <w:t xml:space="preserve"> </w:t>
      </w:r>
      <w:r w:rsidR="00E71DBA" w:rsidRPr="0000059D">
        <w:t>such as</w:t>
      </w:r>
      <w:r w:rsidR="00413C36">
        <w:t>, but not only,</w:t>
      </w:r>
      <w:r w:rsidR="006C507D">
        <w:t xml:space="preserve"> an authorised </w:t>
      </w:r>
      <w:r w:rsidR="00E71DBA" w:rsidRPr="0000059D">
        <w:t>national heavy vehicle inspection manual</w:t>
      </w:r>
      <w:r w:rsidRPr="0000059D">
        <w:t xml:space="preserve">. </w:t>
      </w:r>
      <w:r w:rsidR="00413C36">
        <w:t>The</w:t>
      </w:r>
      <w:r w:rsidRPr="0000059D">
        <w:t xml:space="preserve"> production of guidance material cannot </w:t>
      </w:r>
      <w:r w:rsidR="002235C4" w:rsidRPr="0000059D">
        <w:t xml:space="preserve">of itself </w:t>
      </w:r>
      <w:r w:rsidRPr="0000059D">
        <w:t xml:space="preserve">reduce the complexity </w:t>
      </w:r>
      <w:r w:rsidR="00413C36">
        <w:t>in</w:t>
      </w:r>
      <w:r w:rsidRPr="0000059D">
        <w:t xml:space="preserve"> the</w:t>
      </w:r>
      <w:r w:rsidR="002235C4" w:rsidRPr="0000059D">
        <w:t xml:space="preserve"> current</w:t>
      </w:r>
      <w:r w:rsidRPr="0000059D">
        <w:t xml:space="preserve"> law or address its inconsistencies. In fact, the A</w:t>
      </w:r>
      <w:r w:rsidR="00413C36">
        <w:t xml:space="preserve">TA’s experience is that complex, </w:t>
      </w:r>
      <w:r w:rsidRPr="0000059D">
        <w:t xml:space="preserve">inconsistent legislation </w:t>
      </w:r>
      <w:r w:rsidR="00413C36">
        <w:t>like</w:t>
      </w:r>
      <w:r w:rsidR="002235C4" w:rsidRPr="0000059D">
        <w:t xml:space="preserve"> the HVNL </w:t>
      </w:r>
      <w:r w:rsidRPr="0000059D">
        <w:t xml:space="preserve">leads to </w:t>
      </w:r>
      <w:r w:rsidR="00067EFA" w:rsidRPr="0000059D">
        <w:t xml:space="preserve">even </w:t>
      </w:r>
      <w:r w:rsidR="00FD6313" w:rsidRPr="0000059D">
        <w:t xml:space="preserve">more </w:t>
      </w:r>
      <w:r w:rsidRPr="0000059D">
        <w:t>complex and</w:t>
      </w:r>
      <w:r w:rsidR="00FD6313" w:rsidRPr="0000059D">
        <w:t xml:space="preserve"> </w:t>
      </w:r>
      <w:r w:rsidRPr="0000059D">
        <w:t>inconsistent guidance.</w:t>
      </w:r>
    </w:p>
    <w:p w:rsidR="0014328A" w:rsidRPr="0000059D" w:rsidRDefault="0014328A" w:rsidP="0014328A">
      <w:pPr>
        <w:autoSpaceDE w:val="0"/>
        <w:autoSpaceDN w:val="0"/>
        <w:adjustRightInd w:val="0"/>
      </w:pPr>
    </w:p>
    <w:p w:rsidR="00190747" w:rsidRDefault="00C61F9A">
      <w:pPr>
        <w:rPr>
          <w:rFonts w:asciiTheme="minorHAnsi" w:hAnsiTheme="minorHAnsi" w:cs="Arial"/>
        </w:rPr>
      </w:pPr>
      <w:r>
        <w:rPr>
          <w:rFonts w:asciiTheme="minorHAnsi" w:hAnsiTheme="minorHAnsi" w:cs="Arial"/>
        </w:rPr>
        <w:t>F</w:t>
      </w:r>
      <w:r w:rsidR="00833E26" w:rsidRPr="0000059D">
        <w:rPr>
          <w:rFonts w:asciiTheme="minorHAnsi" w:hAnsiTheme="minorHAnsi" w:cs="Arial"/>
        </w:rPr>
        <w:t xml:space="preserve">act sheets </w:t>
      </w:r>
      <w:r w:rsidR="009D1F45" w:rsidRPr="0000059D">
        <w:rPr>
          <w:rFonts w:asciiTheme="minorHAnsi" w:hAnsiTheme="minorHAnsi" w:cs="Arial"/>
        </w:rPr>
        <w:t>for example</w:t>
      </w:r>
      <w:r>
        <w:rPr>
          <w:rFonts w:asciiTheme="minorHAnsi" w:hAnsiTheme="minorHAnsi" w:cs="Arial"/>
        </w:rPr>
        <w:t>,</w:t>
      </w:r>
      <w:r w:rsidR="009D1F45" w:rsidRPr="0000059D">
        <w:rPr>
          <w:rFonts w:asciiTheme="minorHAnsi" w:hAnsiTheme="minorHAnsi" w:cs="Arial"/>
        </w:rPr>
        <w:t xml:space="preserve"> </w:t>
      </w:r>
      <w:r w:rsidR="00833E26" w:rsidRPr="0000059D">
        <w:rPr>
          <w:rFonts w:asciiTheme="minorHAnsi" w:hAnsiTheme="minorHAnsi" w:cs="Arial"/>
        </w:rPr>
        <w:t xml:space="preserve">cannot </w:t>
      </w:r>
      <w:r>
        <w:rPr>
          <w:rFonts w:asciiTheme="minorHAnsi" w:hAnsiTheme="minorHAnsi" w:cs="Arial"/>
        </w:rPr>
        <w:t xml:space="preserve">alone </w:t>
      </w:r>
      <w:r w:rsidR="009D1F45" w:rsidRPr="0000059D">
        <w:rPr>
          <w:rFonts w:asciiTheme="minorHAnsi" w:hAnsiTheme="minorHAnsi" w:cs="Arial"/>
        </w:rPr>
        <w:t>replace</w:t>
      </w:r>
      <w:r w:rsidR="00833E26" w:rsidRPr="0000059D">
        <w:rPr>
          <w:rFonts w:asciiTheme="minorHAnsi" w:hAnsiTheme="minorHAnsi" w:cs="Arial"/>
        </w:rPr>
        <w:t xml:space="preserve"> </w:t>
      </w:r>
      <w:r w:rsidR="009D1F45" w:rsidRPr="0000059D">
        <w:rPr>
          <w:rFonts w:asciiTheme="minorHAnsi" w:hAnsiTheme="minorHAnsi" w:cs="Arial"/>
        </w:rPr>
        <w:t xml:space="preserve">the special legal significance of formally registered </w:t>
      </w:r>
      <w:r w:rsidR="00833E26" w:rsidRPr="0000059D">
        <w:rPr>
          <w:rFonts w:asciiTheme="minorHAnsi" w:hAnsiTheme="minorHAnsi" w:cs="Arial"/>
        </w:rPr>
        <w:t xml:space="preserve">codes of practice. </w:t>
      </w:r>
      <w:r>
        <w:rPr>
          <w:rFonts w:asciiTheme="minorHAnsi" w:hAnsiTheme="minorHAnsi" w:cs="Arial"/>
        </w:rPr>
        <w:t>Yet, as</w:t>
      </w:r>
      <w:r w:rsidR="009D1F45" w:rsidRPr="0000059D">
        <w:rPr>
          <w:rFonts w:asciiTheme="minorHAnsi" w:hAnsiTheme="minorHAnsi" w:cs="Arial"/>
        </w:rPr>
        <w:t xml:space="preserve"> the ATA has previously argued</w:t>
      </w:r>
      <w:r w:rsidR="0044412E" w:rsidRPr="0000059D">
        <w:rPr>
          <w:rFonts w:asciiTheme="minorHAnsi" w:hAnsiTheme="minorHAnsi" w:cs="Arial"/>
        </w:rPr>
        <w:t xml:space="preserve">, </w:t>
      </w:r>
      <w:r w:rsidR="00E71DBA" w:rsidRPr="0000059D">
        <w:rPr>
          <w:rFonts w:asciiTheme="minorHAnsi" w:hAnsiTheme="minorHAnsi" w:cs="Arial"/>
        </w:rPr>
        <w:t>some</w:t>
      </w:r>
      <w:r w:rsidR="00692E6A" w:rsidRPr="0000059D">
        <w:rPr>
          <w:rFonts w:asciiTheme="minorHAnsi" w:hAnsiTheme="minorHAnsi" w:cs="Arial"/>
        </w:rPr>
        <w:t xml:space="preserve"> regulators have </w:t>
      </w:r>
      <w:r w:rsidR="00650743">
        <w:rPr>
          <w:rFonts w:asciiTheme="minorHAnsi" w:hAnsiTheme="minorHAnsi" w:cs="Arial"/>
        </w:rPr>
        <w:t xml:space="preserve">successfully </w:t>
      </w:r>
      <w:r w:rsidR="00692E6A" w:rsidRPr="0000059D">
        <w:rPr>
          <w:rFonts w:asciiTheme="minorHAnsi" w:hAnsiTheme="minorHAnsi" w:cs="Arial"/>
        </w:rPr>
        <w:t xml:space="preserve">issued </w:t>
      </w:r>
      <w:r>
        <w:rPr>
          <w:rFonts w:asciiTheme="minorHAnsi" w:hAnsiTheme="minorHAnsi" w:cs="Arial"/>
        </w:rPr>
        <w:t>such</w:t>
      </w:r>
      <w:r w:rsidR="000613A5" w:rsidRPr="0000059D">
        <w:rPr>
          <w:rFonts w:asciiTheme="minorHAnsi" w:hAnsiTheme="minorHAnsi" w:cs="Arial"/>
        </w:rPr>
        <w:t xml:space="preserve"> </w:t>
      </w:r>
      <w:r w:rsidR="00692E6A" w:rsidRPr="0000059D">
        <w:rPr>
          <w:rFonts w:asciiTheme="minorHAnsi" w:hAnsiTheme="minorHAnsi" w:cs="Arial"/>
        </w:rPr>
        <w:t>guidance material</w:t>
      </w:r>
      <w:r w:rsidR="00B9484E" w:rsidRPr="0000059D">
        <w:rPr>
          <w:rStyle w:val="FootnoteReference"/>
          <w:rFonts w:asciiTheme="minorHAnsi" w:hAnsiTheme="minorHAnsi"/>
        </w:rPr>
        <w:footnoteReference w:id="9"/>
      </w:r>
      <w:r w:rsidR="00692E6A" w:rsidRPr="0000059D">
        <w:rPr>
          <w:rFonts w:asciiTheme="minorHAnsi" w:hAnsiTheme="minorHAnsi" w:cs="Arial"/>
        </w:rPr>
        <w:t xml:space="preserve"> for </w:t>
      </w:r>
      <w:r w:rsidR="0044412E" w:rsidRPr="0000059D">
        <w:rPr>
          <w:rFonts w:asciiTheme="minorHAnsi" w:hAnsiTheme="minorHAnsi" w:cs="Arial"/>
        </w:rPr>
        <w:t xml:space="preserve">years </w:t>
      </w:r>
      <w:r w:rsidR="00692E6A" w:rsidRPr="0000059D">
        <w:rPr>
          <w:rFonts w:asciiTheme="minorHAnsi" w:hAnsiTheme="minorHAnsi" w:cs="Arial"/>
        </w:rPr>
        <w:t xml:space="preserve">and </w:t>
      </w:r>
      <w:r>
        <w:rPr>
          <w:rFonts w:asciiTheme="minorHAnsi" w:hAnsiTheme="minorHAnsi" w:cs="Arial"/>
        </w:rPr>
        <w:t>have understood</w:t>
      </w:r>
      <w:r w:rsidR="00692E6A" w:rsidRPr="0000059D">
        <w:rPr>
          <w:rFonts w:asciiTheme="minorHAnsi" w:hAnsiTheme="minorHAnsi" w:cs="Arial"/>
        </w:rPr>
        <w:t xml:space="preserve"> that </w:t>
      </w:r>
      <w:r w:rsidR="00E71DBA" w:rsidRPr="0000059D">
        <w:rPr>
          <w:rFonts w:asciiTheme="minorHAnsi" w:hAnsiTheme="minorHAnsi" w:cs="Arial"/>
        </w:rPr>
        <w:t xml:space="preserve">such </w:t>
      </w:r>
      <w:r w:rsidR="0044412E" w:rsidRPr="0000059D">
        <w:rPr>
          <w:rFonts w:asciiTheme="minorHAnsi" w:hAnsiTheme="minorHAnsi" w:cs="Arial"/>
        </w:rPr>
        <w:t xml:space="preserve">support </w:t>
      </w:r>
      <w:r w:rsidR="009D1F45" w:rsidRPr="0000059D">
        <w:rPr>
          <w:rFonts w:asciiTheme="minorHAnsi" w:hAnsiTheme="minorHAnsi" w:cs="Arial"/>
        </w:rPr>
        <w:t>for</w:t>
      </w:r>
      <w:r w:rsidR="0044412E" w:rsidRPr="0000059D">
        <w:rPr>
          <w:rFonts w:asciiTheme="minorHAnsi" w:hAnsiTheme="minorHAnsi" w:cs="Arial"/>
        </w:rPr>
        <w:t xml:space="preserve"> industry </w:t>
      </w:r>
      <w:r w:rsidR="00692E6A" w:rsidRPr="0000059D">
        <w:rPr>
          <w:rFonts w:asciiTheme="minorHAnsi" w:hAnsiTheme="minorHAnsi" w:cs="Arial"/>
        </w:rPr>
        <w:t xml:space="preserve">is </w:t>
      </w:r>
      <w:r w:rsidR="00E71DBA" w:rsidRPr="0000059D">
        <w:rPr>
          <w:rFonts w:asciiTheme="minorHAnsi" w:hAnsiTheme="minorHAnsi" w:cs="Arial"/>
        </w:rPr>
        <w:t xml:space="preserve">highly </w:t>
      </w:r>
      <w:r w:rsidR="00692E6A" w:rsidRPr="0000059D">
        <w:rPr>
          <w:rFonts w:asciiTheme="minorHAnsi" w:hAnsiTheme="minorHAnsi" w:cs="Arial"/>
        </w:rPr>
        <w:t xml:space="preserve">important </w:t>
      </w:r>
      <w:r>
        <w:rPr>
          <w:rFonts w:asciiTheme="minorHAnsi" w:hAnsiTheme="minorHAnsi" w:cs="Arial"/>
        </w:rPr>
        <w:t>to achieve better safety outcomes</w:t>
      </w:r>
      <w:r w:rsidR="00692E6A" w:rsidRPr="0000059D">
        <w:rPr>
          <w:rFonts w:asciiTheme="minorHAnsi" w:hAnsiTheme="minorHAnsi" w:cs="Arial"/>
        </w:rPr>
        <w:t>.</w:t>
      </w:r>
    </w:p>
    <w:p w:rsidR="009E3F16" w:rsidRDefault="009E3F16" w:rsidP="009E3F16">
      <w:pPr>
        <w:rPr>
          <w:rFonts w:asciiTheme="minorHAnsi" w:hAnsiTheme="minorHAnsi" w:cs="Arial"/>
          <w:sz w:val="20"/>
          <w:szCs w:val="20"/>
        </w:rPr>
      </w:pPr>
    </w:p>
    <w:p w:rsidR="009E3F16" w:rsidRPr="009E3F16" w:rsidRDefault="009E3F16" w:rsidP="009E3F16">
      <w:pPr>
        <w:keepNext/>
        <w:rPr>
          <w:rFonts w:asciiTheme="minorHAnsi" w:hAnsiTheme="minorHAnsi" w:cs="Arial"/>
          <w:b/>
        </w:rPr>
      </w:pPr>
      <w:r w:rsidRPr="009E3F16">
        <w:rPr>
          <w:rFonts w:asciiTheme="minorHAnsi" w:hAnsiTheme="minorHAnsi" w:cs="Arial"/>
          <w:b/>
        </w:rPr>
        <w:t>Recommendation 6</w:t>
      </w:r>
    </w:p>
    <w:p w:rsidR="009E3F16" w:rsidRPr="009E3F16" w:rsidRDefault="009E3F16" w:rsidP="009E3F16">
      <w:pPr>
        <w:keepNext/>
        <w:rPr>
          <w:rFonts w:asciiTheme="minorHAnsi" w:hAnsiTheme="minorHAnsi" w:cs="Arial"/>
          <w:b/>
        </w:rPr>
      </w:pPr>
      <w:r w:rsidRPr="009E3F16">
        <w:rPr>
          <w:b/>
        </w:rPr>
        <w:t xml:space="preserve">Guidance material should be published under </w:t>
      </w:r>
      <w:r w:rsidRPr="009E3F16">
        <w:rPr>
          <w:rFonts w:asciiTheme="minorHAnsi" w:hAnsiTheme="minorHAnsi" w:cs="Arial"/>
          <w:b/>
        </w:rPr>
        <w:t xml:space="preserve">the </w:t>
      </w:r>
      <w:r w:rsidR="008E544E" w:rsidRPr="009E3F16">
        <w:rPr>
          <w:b/>
        </w:rPr>
        <w:t xml:space="preserve">Heavy Vehicle </w:t>
      </w:r>
      <w:r w:rsidR="008E544E">
        <w:rPr>
          <w:b/>
        </w:rPr>
        <w:t xml:space="preserve">National </w:t>
      </w:r>
      <w:r w:rsidR="008E544E" w:rsidRPr="009E3F16">
        <w:rPr>
          <w:b/>
        </w:rPr>
        <w:t xml:space="preserve">Law </w:t>
      </w:r>
      <w:r w:rsidRPr="009E3F16">
        <w:rPr>
          <w:b/>
        </w:rPr>
        <w:t xml:space="preserve">to help </w:t>
      </w:r>
      <w:r w:rsidR="00D55F5E">
        <w:rPr>
          <w:b/>
        </w:rPr>
        <w:t>operators</w:t>
      </w:r>
      <w:r w:rsidRPr="009E3F16">
        <w:rPr>
          <w:b/>
        </w:rPr>
        <w:t xml:space="preserve"> keep vehicles </w:t>
      </w:r>
      <w:r w:rsidR="003C5EFD">
        <w:rPr>
          <w:b/>
        </w:rPr>
        <w:t>safe</w:t>
      </w:r>
      <w:r w:rsidRPr="009E3F16">
        <w:rPr>
          <w:b/>
        </w:rPr>
        <w:t xml:space="preserve"> and legally compliant.</w:t>
      </w:r>
    </w:p>
    <w:p w:rsidR="00833E26" w:rsidRDefault="00833E26">
      <w:pPr>
        <w:rPr>
          <w:rFonts w:asciiTheme="minorHAnsi" w:hAnsiTheme="minorHAnsi" w:cs="Arial"/>
          <w:sz w:val="20"/>
          <w:szCs w:val="20"/>
        </w:rPr>
      </w:pPr>
    </w:p>
    <w:p w:rsidR="00224234" w:rsidRPr="00D55F5E" w:rsidRDefault="00AD6472" w:rsidP="00224234">
      <w:pPr>
        <w:rPr>
          <w:rFonts w:asciiTheme="minorHAnsi" w:hAnsiTheme="minorHAnsi" w:cs="Arial"/>
          <w:b/>
        </w:rPr>
      </w:pPr>
      <w:r w:rsidRPr="00D55F5E">
        <w:rPr>
          <w:rFonts w:asciiTheme="minorHAnsi" w:hAnsiTheme="minorHAnsi" w:cs="Arial"/>
          <w:b/>
        </w:rPr>
        <w:t>E. Other factors</w:t>
      </w:r>
    </w:p>
    <w:p w:rsidR="00AD6472" w:rsidRPr="00D55F5E" w:rsidRDefault="00AD6472" w:rsidP="00224234"/>
    <w:p w:rsidR="00AD6472" w:rsidRPr="00C93D93" w:rsidRDefault="00AD6472" w:rsidP="00AD6472">
      <w:pPr>
        <w:pStyle w:val="Default"/>
        <w:spacing w:after="180"/>
        <w:jc w:val="both"/>
        <w:rPr>
          <w:rFonts w:ascii="Calibri" w:hAnsi="Calibri"/>
          <w:b/>
          <w:i/>
          <w:color w:val="auto"/>
          <w:sz w:val="20"/>
          <w:szCs w:val="20"/>
          <w:lang w:eastAsia="en-US"/>
        </w:rPr>
      </w:pPr>
      <w:r w:rsidRPr="00C93D93">
        <w:rPr>
          <w:rFonts w:ascii="Calibri" w:hAnsi="Calibri"/>
          <w:b/>
          <w:i/>
          <w:color w:val="auto"/>
          <w:sz w:val="20"/>
          <w:szCs w:val="20"/>
          <w:lang w:eastAsia="en-US"/>
        </w:rPr>
        <w:t>Heavy vehicle crashes can be the result of many risk factors, some of which (such as the behaviour of other road users) are beyond the control of heavy vehicle drivers or their operators.</w:t>
      </w:r>
      <w:r w:rsidRPr="00C93D93">
        <w:rPr>
          <w:rFonts w:ascii="Calibri" w:hAnsi="Calibri"/>
          <w:color w:val="auto"/>
          <w:sz w:val="20"/>
          <w:szCs w:val="20"/>
          <w:vertAlign w:val="superscript"/>
          <w:lang w:eastAsia="en-US"/>
        </w:rPr>
        <w:footnoteReference w:id="10"/>
      </w:r>
    </w:p>
    <w:p w:rsidR="00DA5220" w:rsidRPr="0000059D" w:rsidRDefault="00625792" w:rsidP="00DA5220">
      <w:pPr>
        <w:rPr>
          <w:rFonts w:asciiTheme="minorHAnsi" w:hAnsiTheme="minorHAnsi" w:cs="Arial"/>
        </w:rPr>
      </w:pPr>
      <w:r w:rsidRPr="0000059D">
        <w:rPr>
          <w:rFonts w:asciiTheme="minorHAnsi" w:hAnsiTheme="minorHAnsi" w:cs="Arial"/>
        </w:rPr>
        <w:t>Any consideration of heavy vehicle</w:t>
      </w:r>
      <w:r w:rsidR="00747C4F">
        <w:rPr>
          <w:rFonts w:asciiTheme="minorHAnsi" w:hAnsiTheme="minorHAnsi" w:cs="Arial"/>
        </w:rPr>
        <w:t>s and</w:t>
      </w:r>
      <w:r w:rsidRPr="0000059D">
        <w:rPr>
          <w:rFonts w:asciiTheme="minorHAnsi" w:hAnsiTheme="minorHAnsi" w:cs="Arial"/>
        </w:rPr>
        <w:t xml:space="preserve"> r</w:t>
      </w:r>
      <w:r w:rsidR="00DA5220" w:rsidRPr="0000059D">
        <w:rPr>
          <w:rFonts w:asciiTheme="minorHAnsi" w:hAnsiTheme="minorHAnsi" w:cs="Arial"/>
        </w:rPr>
        <w:t xml:space="preserve">oad safety </w:t>
      </w:r>
      <w:r w:rsidRPr="0000059D">
        <w:rPr>
          <w:rFonts w:asciiTheme="minorHAnsi" w:hAnsiTheme="minorHAnsi" w:cs="Arial"/>
        </w:rPr>
        <w:t>must</w:t>
      </w:r>
      <w:r w:rsidR="00DA5220" w:rsidRPr="0000059D">
        <w:rPr>
          <w:rFonts w:asciiTheme="minorHAnsi" w:hAnsiTheme="minorHAnsi" w:cs="Arial"/>
        </w:rPr>
        <w:t xml:space="preserve"> take into account the behaviour of other drivers and the condition </w:t>
      </w:r>
      <w:r w:rsidRPr="0000059D">
        <w:rPr>
          <w:rFonts w:asciiTheme="minorHAnsi" w:hAnsiTheme="minorHAnsi" w:cs="Arial"/>
        </w:rPr>
        <w:t xml:space="preserve">and volume </w:t>
      </w:r>
      <w:r w:rsidR="00DA5220" w:rsidRPr="0000059D">
        <w:rPr>
          <w:rFonts w:asciiTheme="minorHAnsi" w:hAnsiTheme="minorHAnsi" w:cs="Arial"/>
        </w:rPr>
        <w:t xml:space="preserve">of other vehicles on the road. </w:t>
      </w:r>
      <w:r w:rsidR="00D6675D" w:rsidRPr="0000059D">
        <w:rPr>
          <w:rFonts w:asciiTheme="minorHAnsi" w:hAnsiTheme="minorHAnsi" w:cs="Arial"/>
        </w:rPr>
        <w:t>Although</w:t>
      </w:r>
      <w:r w:rsidRPr="0000059D">
        <w:rPr>
          <w:rFonts w:asciiTheme="minorHAnsi" w:hAnsiTheme="minorHAnsi" w:cs="Arial"/>
        </w:rPr>
        <w:t xml:space="preserve"> </w:t>
      </w:r>
      <w:r w:rsidR="00F33F39">
        <w:rPr>
          <w:rFonts w:asciiTheme="minorHAnsi" w:hAnsiTheme="minorHAnsi" w:cs="Arial"/>
        </w:rPr>
        <w:t xml:space="preserve">Australian </w:t>
      </w:r>
      <w:r w:rsidRPr="0000059D">
        <w:rPr>
          <w:rFonts w:asciiTheme="minorHAnsi" w:hAnsiTheme="minorHAnsi" w:cs="Arial"/>
        </w:rPr>
        <w:t xml:space="preserve">road safety outcomes </w:t>
      </w:r>
      <w:r w:rsidR="00F33F39">
        <w:rPr>
          <w:rFonts w:asciiTheme="minorHAnsi" w:hAnsiTheme="minorHAnsi" w:cs="Arial"/>
        </w:rPr>
        <w:t xml:space="preserve">may </w:t>
      </w:r>
      <w:r w:rsidRPr="0000059D">
        <w:rPr>
          <w:rFonts w:asciiTheme="minorHAnsi" w:hAnsiTheme="minorHAnsi" w:cs="Arial"/>
        </w:rPr>
        <w:t xml:space="preserve">have vastly improved in comparison with the past, there is </w:t>
      </w:r>
      <w:r w:rsidR="00D6675D" w:rsidRPr="0000059D">
        <w:rPr>
          <w:rFonts w:asciiTheme="minorHAnsi" w:hAnsiTheme="minorHAnsi" w:cs="Arial"/>
        </w:rPr>
        <w:t xml:space="preserve">once again </w:t>
      </w:r>
      <w:r w:rsidRPr="0000059D">
        <w:rPr>
          <w:rFonts w:asciiTheme="minorHAnsi" w:hAnsiTheme="minorHAnsi" w:cs="Arial"/>
        </w:rPr>
        <w:t>no room for complacency.</w:t>
      </w:r>
    </w:p>
    <w:p w:rsidR="00DA5220" w:rsidRPr="0000059D" w:rsidRDefault="00DA5220" w:rsidP="00DA5220">
      <w:pPr>
        <w:rPr>
          <w:rFonts w:asciiTheme="minorHAnsi" w:hAnsiTheme="minorHAnsi" w:cs="Arial"/>
        </w:rPr>
      </w:pPr>
    </w:p>
    <w:p w:rsidR="002B3FCA" w:rsidRPr="0000059D" w:rsidRDefault="00E71DBA" w:rsidP="00625792">
      <w:pPr>
        <w:rPr>
          <w:rFonts w:asciiTheme="minorHAnsi" w:hAnsiTheme="minorHAnsi" w:cs="Arial"/>
        </w:rPr>
      </w:pPr>
      <w:r w:rsidRPr="0000059D">
        <w:rPr>
          <w:rFonts w:asciiTheme="minorHAnsi" w:hAnsiTheme="minorHAnsi" w:cs="Arial"/>
        </w:rPr>
        <w:t>D</w:t>
      </w:r>
      <w:r w:rsidR="00625792" w:rsidRPr="0000059D">
        <w:rPr>
          <w:rFonts w:asciiTheme="minorHAnsi" w:hAnsiTheme="minorHAnsi" w:cs="Arial"/>
        </w:rPr>
        <w:t>river distraction</w:t>
      </w:r>
      <w:r w:rsidR="00F33F39">
        <w:rPr>
          <w:rFonts w:asciiTheme="minorHAnsi" w:hAnsiTheme="minorHAnsi" w:cs="Arial"/>
        </w:rPr>
        <w:t>,</w:t>
      </w:r>
      <w:r w:rsidRPr="0000059D">
        <w:rPr>
          <w:rFonts w:asciiTheme="minorHAnsi" w:hAnsiTheme="minorHAnsi" w:cs="Arial"/>
        </w:rPr>
        <w:t xml:space="preserve"> for example</w:t>
      </w:r>
      <w:r w:rsidR="00F33F39">
        <w:rPr>
          <w:rFonts w:asciiTheme="minorHAnsi" w:hAnsiTheme="minorHAnsi" w:cs="Arial"/>
        </w:rPr>
        <w:t>,</w:t>
      </w:r>
      <w:r w:rsidR="00625792" w:rsidRPr="0000059D">
        <w:rPr>
          <w:rFonts w:asciiTheme="minorHAnsi" w:hAnsiTheme="minorHAnsi" w:cs="Arial"/>
        </w:rPr>
        <w:t xml:space="preserve"> is </w:t>
      </w:r>
      <w:r w:rsidR="00357354">
        <w:rPr>
          <w:rFonts w:asciiTheme="minorHAnsi" w:hAnsiTheme="minorHAnsi" w:cs="Arial"/>
        </w:rPr>
        <w:t xml:space="preserve">a </w:t>
      </w:r>
      <w:r w:rsidR="00625792" w:rsidRPr="0000059D">
        <w:rPr>
          <w:rFonts w:asciiTheme="minorHAnsi" w:hAnsiTheme="minorHAnsi" w:cs="Arial"/>
        </w:rPr>
        <w:t>widespread</w:t>
      </w:r>
      <w:r w:rsidRPr="0000059D">
        <w:rPr>
          <w:rFonts w:asciiTheme="minorHAnsi" w:hAnsiTheme="minorHAnsi" w:cs="Arial"/>
        </w:rPr>
        <w:t xml:space="preserve"> </w:t>
      </w:r>
      <w:r w:rsidR="00357354">
        <w:rPr>
          <w:rFonts w:asciiTheme="minorHAnsi" w:hAnsiTheme="minorHAnsi" w:cs="Arial"/>
        </w:rPr>
        <w:t xml:space="preserve">problem </w:t>
      </w:r>
      <w:r w:rsidR="00625792" w:rsidRPr="0000059D">
        <w:rPr>
          <w:rFonts w:asciiTheme="minorHAnsi" w:hAnsiTheme="minorHAnsi" w:cs="Arial"/>
        </w:rPr>
        <w:t xml:space="preserve">and </w:t>
      </w:r>
      <w:r w:rsidR="00357354">
        <w:rPr>
          <w:rFonts w:asciiTheme="minorHAnsi" w:hAnsiTheme="minorHAnsi" w:cs="Arial"/>
        </w:rPr>
        <w:t>commonly caused</w:t>
      </w:r>
      <w:r w:rsidR="00625792" w:rsidRPr="0000059D">
        <w:rPr>
          <w:rFonts w:asciiTheme="minorHAnsi" w:hAnsiTheme="minorHAnsi" w:cs="Arial"/>
        </w:rPr>
        <w:t xml:space="preserve"> by</w:t>
      </w:r>
      <w:r w:rsidR="00F33F39">
        <w:rPr>
          <w:rFonts w:asciiTheme="minorHAnsi" w:hAnsiTheme="minorHAnsi" w:cs="Arial"/>
        </w:rPr>
        <w:t xml:space="preserve"> the</w:t>
      </w:r>
      <w:r w:rsidR="00357354">
        <w:rPr>
          <w:rFonts w:asciiTheme="minorHAnsi" w:hAnsiTheme="minorHAnsi" w:cs="Arial"/>
        </w:rPr>
        <w:t xml:space="preserve"> illegal use of mobile phones</w:t>
      </w:r>
      <w:r w:rsidR="00625792" w:rsidRPr="0000059D">
        <w:rPr>
          <w:rFonts w:asciiTheme="minorHAnsi" w:hAnsiTheme="minorHAnsi" w:cs="Arial"/>
        </w:rPr>
        <w:t xml:space="preserve">. </w:t>
      </w:r>
      <w:r w:rsidR="00E7640B">
        <w:rPr>
          <w:rFonts w:asciiTheme="minorHAnsi" w:hAnsiTheme="minorHAnsi" w:cs="Arial"/>
        </w:rPr>
        <w:t>For example, the Victorian Transport Accident Commission states on its website that ‘u</w:t>
      </w:r>
      <w:r w:rsidR="00E7640B" w:rsidRPr="00E7640B">
        <w:rPr>
          <w:rFonts w:asciiTheme="minorHAnsi" w:hAnsiTheme="minorHAnsi" w:cs="Arial"/>
        </w:rPr>
        <w:t>sing a mobile phone when driving, is the third most common on-the-spot driving offence after speeding and not wearing seat belt</w:t>
      </w:r>
      <w:r w:rsidR="00E7640B">
        <w:rPr>
          <w:rFonts w:asciiTheme="minorHAnsi" w:hAnsiTheme="minorHAnsi" w:cs="Arial"/>
        </w:rPr>
        <w:t>s’</w:t>
      </w:r>
      <w:r w:rsidR="00E7640B">
        <w:rPr>
          <w:rStyle w:val="FootnoteReference"/>
          <w:rFonts w:asciiTheme="minorHAnsi" w:hAnsiTheme="minorHAnsi"/>
        </w:rPr>
        <w:footnoteReference w:id="11"/>
      </w:r>
      <w:r w:rsidR="00973F46" w:rsidRPr="00973F46">
        <w:rPr>
          <w:rFonts w:asciiTheme="minorHAnsi" w:hAnsiTheme="minorHAnsi" w:cs="Arial"/>
        </w:rPr>
        <w:t>.</w:t>
      </w:r>
      <w:r w:rsidR="00973F46">
        <w:rPr>
          <w:rFonts w:asciiTheme="minorHAnsi" w:hAnsiTheme="minorHAnsi" w:cs="Arial"/>
        </w:rPr>
        <w:t xml:space="preserve"> </w:t>
      </w:r>
      <w:r w:rsidR="00423888" w:rsidRPr="0000059D">
        <w:rPr>
          <w:rFonts w:asciiTheme="minorHAnsi" w:hAnsiTheme="minorHAnsi" w:cs="Arial"/>
        </w:rPr>
        <w:t>The behaviour of</w:t>
      </w:r>
      <w:r w:rsidR="00973F46">
        <w:rPr>
          <w:rFonts w:asciiTheme="minorHAnsi" w:hAnsiTheme="minorHAnsi" w:cs="Arial"/>
        </w:rPr>
        <w:t xml:space="preserve"> distracted</w:t>
      </w:r>
      <w:r w:rsidR="00423888" w:rsidRPr="0000059D">
        <w:rPr>
          <w:rFonts w:asciiTheme="minorHAnsi" w:hAnsiTheme="minorHAnsi" w:cs="Arial"/>
        </w:rPr>
        <w:t xml:space="preserve"> driver</w:t>
      </w:r>
      <w:r w:rsidR="00E7640B">
        <w:rPr>
          <w:rFonts w:asciiTheme="minorHAnsi" w:hAnsiTheme="minorHAnsi" w:cs="Arial"/>
        </w:rPr>
        <w:t>s</w:t>
      </w:r>
      <w:r w:rsidR="00625792" w:rsidRPr="0000059D">
        <w:rPr>
          <w:rFonts w:asciiTheme="minorHAnsi" w:hAnsiTheme="minorHAnsi" w:cs="Arial"/>
        </w:rPr>
        <w:t xml:space="preserve"> is </w:t>
      </w:r>
      <w:r w:rsidR="002B3FCA" w:rsidRPr="0000059D">
        <w:rPr>
          <w:rFonts w:asciiTheme="minorHAnsi" w:hAnsiTheme="minorHAnsi" w:cs="Arial"/>
        </w:rPr>
        <w:t>unpredictable</w:t>
      </w:r>
      <w:r w:rsidR="00E7640B">
        <w:rPr>
          <w:rFonts w:asciiTheme="minorHAnsi" w:hAnsiTheme="minorHAnsi" w:cs="Arial"/>
        </w:rPr>
        <w:t xml:space="preserve"> </w:t>
      </w:r>
      <w:r w:rsidR="00357354">
        <w:rPr>
          <w:rFonts w:asciiTheme="minorHAnsi" w:hAnsiTheme="minorHAnsi" w:cs="Arial"/>
        </w:rPr>
        <w:t>and</w:t>
      </w:r>
      <w:r w:rsidR="00E7640B">
        <w:rPr>
          <w:rFonts w:asciiTheme="minorHAnsi" w:hAnsiTheme="minorHAnsi" w:cs="Arial"/>
        </w:rPr>
        <w:t xml:space="preserve"> can seriously compromise the safety of</w:t>
      </w:r>
      <w:r w:rsidR="00625792" w:rsidRPr="0000059D">
        <w:rPr>
          <w:rFonts w:asciiTheme="minorHAnsi" w:hAnsiTheme="minorHAnsi" w:cs="Arial"/>
        </w:rPr>
        <w:t xml:space="preserve"> professional </w:t>
      </w:r>
      <w:r w:rsidR="00E7640B">
        <w:rPr>
          <w:rFonts w:asciiTheme="minorHAnsi" w:hAnsiTheme="minorHAnsi" w:cs="Arial"/>
        </w:rPr>
        <w:t>heavy vehicle</w:t>
      </w:r>
      <w:r w:rsidR="00E7640B" w:rsidRPr="0000059D">
        <w:rPr>
          <w:rFonts w:asciiTheme="minorHAnsi" w:hAnsiTheme="minorHAnsi" w:cs="Arial"/>
        </w:rPr>
        <w:t xml:space="preserve"> </w:t>
      </w:r>
      <w:r w:rsidR="00625792" w:rsidRPr="0000059D">
        <w:rPr>
          <w:rFonts w:asciiTheme="minorHAnsi" w:hAnsiTheme="minorHAnsi" w:cs="Arial"/>
        </w:rPr>
        <w:t>drivers</w:t>
      </w:r>
      <w:r w:rsidR="00357354">
        <w:rPr>
          <w:rFonts w:asciiTheme="minorHAnsi" w:hAnsiTheme="minorHAnsi" w:cs="Arial"/>
        </w:rPr>
        <w:t xml:space="preserve"> and others</w:t>
      </w:r>
      <w:r w:rsidR="006722E1">
        <w:rPr>
          <w:rFonts w:asciiTheme="minorHAnsi" w:hAnsiTheme="minorHAnsi" w:cs="Arial"/>
        </w:rPr>
        <w:t xml:space="preserve"> sharing the road with them</w:t>
      </w:r>
      <w:r w:rsidR="002B3FCA" w:rsidRPr="0000059D">
        <w:rPr>
          <w:rFonts w:asciiTheme="minorHAnsi" w:hAnsiTheme="minorHAnsi" w:cs="Arial"/>
        </w:rPr>
        <w:t xml:space="preserve">. </w:t>
      </w:r>
    </w:p>
    <w:p w:rsidR="002B3FCA" w:rsidRPr="0000059D" w:rsidRDefault="002B3FCA" w:rsidP="00625792">
      <w:pPr>
        <w:rPr>
          <w:rFonts w:asciiTheme="minorHAnsi" w:hAnsiTheme="minorHAnsi" w:cs="Arial"/>
        </w:rPr>
      </w:pPr>
    </w:p>
    <w:p w:rsidR="00625792" w:rsidRPr="0000059D" w:rsidRDefault="002B3FCA" w:rsidP="00625792">
      <w:pPr>
        <w:rPr>
          <w:rFonts w:asciiTheme="minorHAnsi" w:hAnsiTheme="minorHAnsi" w:cs="Arial"/>
        </w:rPr>
      </w:pPr>
      <w:r w:rsidRPr="0000059D">
        <w:rPr>
          <w:rFonts w:asciiTheme="minorHAnsi" w:hAnsiTheme="minorHAnsi" w:cs="Arial"/>
        </w:rPr>
        <w:t xml:space="preserve">Another </w:t>
      </w:r>
      <w:r w:rsidR="00236F30">
        <w:rPr>
          <w:rFonts w:asciiTheme="minorHAnsi" w:hAnsiTheme="minorHAnsi" w:cs="Arial"/>
        </w:rPr>
        <w:t xml:space="preserve">road safety </w:t>
      </w:r>
      <w:r w:rsidR="00217E71">
        <w:rPr>
          <w:rFonts w:asciiTheme="minorHAnsi" w:hAnsiTheme="minorHAnsi" w:cs="Arial"/>
        </w:rPr>
        <w:t>aspect</w:t>
      </w:r>
      <w:r w:rsidRPr="0000059D">
        <w:rPr>
          <w:rFonts w:asciiTheme="minorHAnsi" w:hAnsiTheme="minorHAnsi" w:cs="Arial"/>
        </w:rPr>
        <w:t xml:space="preserve"> is</w:t>
      </w:r>
      <w:r w:rsidR="00625792" w:rsidRPr="0000059D">
        <w:rPr>
          <w:rFonts w:asciiTheme="minorHAnsi" w:hAnsiTheme="minorHAnsi" w:cs="Arial"/>
        </w:rPr>
        <w:t xml:space="preserve"> the all too common </w:t>
      </w:r>
      <w:r w:rsidR="00423888" w:rsidRPr="0000059D">
        <w:rPr>
          <w:rFonts w:asciiTheme="minorHAnsi" w:hAnsiTheme="minorHAnsi" w:cs="Arial"/>
        </w:rPr>
        <w:t>sight</w:t>
      </w:r>
      <w:r w:rsidR="00625792" w:rsidRPr="0000059D">
        <w:rPr>
          <w:rFonts w:asciiTheme="minorHAnsi" w:hAnsiTheme="minorHAnsi" w:cs="Arial"/>
        </w:rPr>
        <w:t xml:space="preserve"> of much needed </w:t>
      </w:r>
      <w:r w:rsidR="00423888" w:rsidRPr="0000059D">
        <w:rPr>
          <w:rFonts w:asciiTheme="minorHAnsi" w:hAnsiTheme="minorHAnsi" w:cs="Arial"/>
        </w:rPr>
        <w:t xml:space="preserve">truck </w:t>
      </w:r>
      <w:r w:rsidR="00625792" w:rsidRPr="0000059D">
        <w:rPr>
          <w:rFonts w:asciiTheme="minorHAnsi" w:hAnsiTheme="minorHAnsi" w:cs="Arial"/>
        </w:rPr>
        <w:t xml:space="preserve">rest areas occupied by holidaymakers. All truck drivers wherever they may be </w:t>
      </w:r>
      <w:r w:rsidR="00A1791A" w:rsidRPr="0000059D">
        <w:rPr>
          <w:rFonts w:asciiTheme="minorHAnsi" w:hAnsiTheme="minorHAnsi" w:cs="Arial"/>
        </w:rPr>
        <w:t xml:space="preserve">in Australia </w:t>
      </w:r>
      <w:r w:rsidR="00625792" w:rsidRPr="0000059D">
        <w:rPr>
          <w:rFonts w:asciiTheme="minorHAnsi" w:hAnsiTheme="minorHAnsi" w:cs="Arial"/>
        </w:rPr>
        <w:t xml:space="preserve">need time to rest and to comply with </w:t>
      </w:r>
      <w:r w:rsidR="00715C4C">
        <w:rPr>
          <w:rFonts w:asciiTheme="minorHAnsi" w:hAnsiTheme="minorHAnsi" w:cs="Arial"/>
        </w:rPr>
        <w:t xml:space="preserve">their specific </w:t>
      </w:r>
      <w:r w:rsidR="00625792" w:rsidRPr="0000059D">
        <w:rPr>
          <w:rFonts w:asciiTheme="minorHAnsi" w:hAnsiTheme="minorHAnsi" w:cs="Arial"/>
        </w:rPr>
        <w:t xml:space="preserve">legal obligations </w:t>
      </w:r>
      <w:r w:rsidR="00715C4C">
        <w:rPr>
          <w:rFonts w:asciiTheme="minorHAnsi" w:hAnsiTheme="minorHAnsi" w:cs="Arial"/>
        </w:rPr>
        <w:t>to manage their</w:t>
      </w:r>
      <w:r w:rsidR="00625792" w:rsidRPr="0000059D">
        <w:rPr>
          <w:rFonts w:asciiTheme="minorHAnsi" w:hAnsiTheme="minorHAnsi" w:cs="Arial"/>
        </w:rPr>
        <w:t xml:space="preserve"> fatigue.</w:t>
      </w:r>
      <w:r w:rsidR="00423888" w:rsidRPr="0000059D">
        <w:rPr>
          <w:rFonts w:asciiTheme="minorHAnsi" w:hAnsiTheme="minorHAnsi" w:cs="Arial"/>
        </w:rPr>
        <w:t xml:space="preserve"> Rest areas should be well designed and sign-posted to </w:t>
      </w:r>
      <w:r w:rsidR="00715C4C">
        <w:rPr>
          <w:rFonts w:asciiTheme="minorHAnsi" w:hAnsiTheme="minorHAnsi" w:cs="Arial"/>
        </w:rPr>
        <w:t xml:space="preserve">help </w:t>
      </w:r>
      <w:r w:rsidR="00423888" w:rsidRPr="0000059D">
        <w:rPr>
          <w:rFonts w:asciiTheme="minorHAnsi" w:hAnsiTheme="minorHAnsi" w:cs="Arial"/>
        </w:rPr>
        <w:t>prevent other drivers entering</w:t>
      </w:r>
      <w:r w:rsidR="00E6141D" w:rsidRPr="0000059D">
        <w:rPr>
          <w:rFonts w:asciiTheme="minorHAnsi" w:hAnsiTheme="minorHAnsi" w:cs="Arial"/>
        </w:rPr>
        <w:t xml:space="preserve"> and </w:t>
      </w:r>
      <w:r w:rsidR="007509F3" w:rsidRPr="0000059D">
        <w:rPr>
          <w:rFonts w:asciiTheme="minorHAnsi" w:hAnsiTheme="minorHAnsi" w:cs="Arial"/>
        </w:rPr>
        <w:t>par</w:t>
      </w:r>
      <w:r w:rsidR="008144FA" w:rsidRPr="0000059D">
        <w:rPr>
          <w:rFonts w:asciiTheme="minorHAnsi" w:hAnsiTheme="minorHAnsi" w:cs="Arial"/>
        </w:rPr>
        <w:t>k</w:t>
      </w:r>
      <w:r w:rsidR="007509F3" w:rsidRPr="0000059D">
        <w:rPr>
          <w:rFonts w:asciiTheme="minorHAnsi" w:hAnsiTheme="minorHAnsi" w:cs="Arial"/>
        </w:rPr>
        <w:t>ing</w:t>
      </w:r>
      <w:r w:rsidR="00236F30">
        <w:rPr>
          <w:rFonts w:asciiTheme="minorHAnsi" w:hAnsiTheme="minorHAnsi" w:cs="Arial"/>
        </w:rPr>
        <w:t xml:space="preserve"> in them</w:t>
      </w:r>
      <w:r w:rsidR="00423888" w:rsidRPr="0000059D">
        <w:rPr>
          <w:rFonts w:asciiTheme="minorHAnsi" w:hAnsiTheme="minorHAnsi" w:cs="Arial"/>
        </w:rPr>
        <w:t>.</w:t>
      </w:r>
      <w:r w:rsidRPr="0000059D">
        <w:rPr>
          <w:rFonts w:asciiTheme="minorHAnsi" w:hAnsiTheme="minorHAnsi" w:cs="Arial"/>
        </w:rPr>
        <w:t xml:space="preserve"> </w:t>
      </w:r>
    </w:p>
    <w:p w:rsidR="00625792" w:rsidRPr="0000059D" w:rsidRDefault="00625792" w:rsidP="00625792">
      <w:pPr>
        <w:rPr>
          <w:rFonts w:asciiTheme="minorHAnsi" w:hAnsiTheme="minorHAnsi" w:cs="Arial"/>
        </w:rPr>
      </w:pPr>
    </w:p>
    <w:p w:rsidR="00236F30" w:rsidRPr="0000059D" w:rsidRDefault="00A1791A" w:rsidP="00DA5220">
      <w:pPr>
        <w:rPr>
          <w:rFonts w:asciiTheme="minorHAnsi" w:hAnsiTheme="minorHAnsi" w:cs="Arial"/>
          <w:lang w:eastAsia="en-AU"/>
        </w:rPr>
      </w:pPr>
      <w:r w:rsidRPr="0000059D">
        <w:rPr>
          <w:rFonts w:asciiTheme="minorHAnsi" w:hAnsiTheme="minorHAnsi" w:cs="Arial"/>
          <w:lang w:eastAsia="en-AU"/>
        </w:rPr>
        <w:t xml:space="preserve">Heavy vehicle drivers are professionally trained. </w:t>
      </w:r>
      <w:r w:rsidR="0042666B" w:rsidRPr="0000059D">
        <w:rPr>
          <w:rFonts w:asciiTheme="minorHAnsi" w:hAnsiTheme="minorHAnsi" w:cs="Arial"/>
          <w:lang w:eastAsia="en-AU"/>
        </w:rPr>
        <w:t xml:space="preserve">The ATA </w:t>
      </w:r>
      <w:r w:rsidR="009F551E">
        <w:rPr>
          <w:rFonts w:asciiTheme="minorHAnsi" w:hAnsiTheme="minorHAnsi" w:cs="Arial"/>
          <w:lang w:eastAsia="en-AU"/>
        </w:rPr>
        <w:t>recommends</w:t>
      </w:r>
      <w:r w:rsidR="0042666B" w:rsidRPr="0000059D">
        <w:rPr>
          <w:rFonts w:asciiTheme="minorHAnsi" w:hAnsiTheme="minorHAnsi" w:cs="Arial"/>
          <w:lang w:eastAsia="en-AU"/>
        </w:rPr>
        <w:t xml:space="preserve"> training </w:t>
      </w:r>
      <w:r w:rsidRPr="0000059D">
        <w:rPr>
          <w:rFonts w:asciiTheme="minorHAnsi" w:hAnsiTheme="minorHAnsi" w:cs="Arial"/>
          <w:lang w:eastAsia="en-AU"/>
        </w:rPr>
        <w:t xml:space="preserve">and education </w:t>
      </w:r>
      <w:r w:rsidR="0042666B" w:rsidRPr="0000059D">
        <w:rPr>
          <w:rFonts w:asciiTheme="minorHAnsi" w:hAnsiTheme="minorHAnsi" w:cs="Arial"/>
          <w:lang w:eastAsia="en-AU"/>
        </w:rPr>
        <w:t xml:space="preserve">for </w:t>
      </w:r>
      <w:r w:rsidR="008C7C36">
        <w:rPr>
          <w:rFonts w:asciiTheme="minorHAnsi" w:hAnsiTheme="minorHAnsi" w:cs="Arial"/>
          <w:lang w:eastAsia="en-AU"/>
        </w:rPr>
        <w:t xml:space="preserve">light vehicle </w:t>
      </w:r>
      <w:r w:rsidR="0042666B" w:rsidRPr="0000059D">
        <w:rPr>
          <w:rFonts w:asciiTheme="minorHAnsi" w:hAnsiTheme="minorHAnsi" w:cs="Arial"/>
          <w:lang w:eastAsia="en-AU"/>
        </w:rPr>
        <w:t xml:space="preserve">drivers </w:t>
      </w:r>
      <w:r w:rsidRPr="0000059D">
        <w:rPr>
          <w:rFonts w:asciiTheme="minorHAnsi" w:hAnsiTheme="minorHAnsi" w:cs="Arial"/>
          <w:lang w:eastAsia="en-AU"/>
        </w:rPr>
        <w:t>that</w:t>
      </w:r>
      <w:r w:rsidR="008472B3" w:rsidRPr="0000059D">
        <w:rPr>
          <w:rFonts w:asciiTheme="minorHAnsi" w:hAnsiTheme="minorHAnsi" w:cs="Arial"/>
          <w:lang w:eastAsia="en-AU"/>
        </w:rPr>
        <w:t xml:space="preserve"> </w:t>
      </w:r>
      <w:r w:rsidR="00C07AAF" w:rsidRPr="0000059D">
        <w:rPr>
          <w:rFonts w:asciiTheme="minorHAnsi" w:hAnsiTheme="minorHAnsi" w:cs="Arial"/>
          <w:lang w:eastAsia="en-AU"/>
        </w:rPr>
        <w:t xml:space="preserve">focuses </w:t>
      </w:r>
      <w:r w:rsidR="009F551E">
        <w:rPr>
          <w:rFonts w:asciiTheme="minorHAnsi" w:hAnsiTheme="minorHAnsi" w:cs="Arial"/>
          <w:lang w:eastAsia="en-AU"/>
        </w:rPr>
        <w:t>their</w:t>
      </w:r>
      <w:r w:rsidR="0042666B" w:rsidRPr="0000059D">
        <w:rPr>
          <w:rFonts w:asciiTheme="minorHAnsi" w:hAnsiTheme="minorHAnsi" w:cs="Arial"/>
          <w:lang w:eastAsia="en-AU"/>
        </w:rPr>
        <w:t xml:space="preserve"> awareness </w:t>
      </w:r>
      <w:r w:rsidR="00C07AAF" w:rsidRPr="0000059D">
        <w:rPr>
          <w:rFonts w:asciiTheme="minorHAnsi" w:hAnsiTheme="minorHAnsi" w:cs="Arial"/>
          <w:lang w:eastAsia="en-AU"/>
        </w:rPr>
        <w:t>on</w:t>
      </w:r>
      <w:r w:rsidR="0042666B" w:rsidRPr="0000059D">
        <w:rPr>
          <w:rFonts w:asciiTheme="minorHAnsi" w:hAnsiTheme="minorHAnsi" w:cs="Arial"/>
          <w:lang w:eastAsia="en-AU"/>
        </w:rPr>
        <w:t xml:space="preserve"> </w:t>
      </w:r>
      <w:r w:rsidR="00BE54CE" w:rsidRPr="0000059D">
        <w:rPr>
          <w:rFonts w:asciiTheme="minorHAnsi" w:hAnsiTheme="minorHAnsi" w:cs="Arial"/>
          <w:lang w:eastAsia="en-AU"/>
        </w:rPr>
        <w:t>how to share</w:t>
      </w:r>
      <w:r w:rsidR="0042666B" w:rsidRPr="0000059D">
        <w:rPr>
          <w:rFonts w:asciiTheme="minorHAnsi" w:hAnsiTheme="minorHAnsi" w:cs="Arial"/>
          <w:lang w:eastAsia="en-AU"/>
        </w:rPr>
        <w:t xml:space="preserve"> the road safely with trucks.</w:t>
      </w:r>
    </w:p>
    <w:p w:rsidR="009E3F16" w:rsidRPr="009E3F16" w:rsidRDefault="009E3F16" w:rsidP="009E3F16">
      <w:pPr>
        <w:keepNext/>
        <w:autoSpaceDE w:val="0"/>
        <w:autoSpaceDN w:val="0"/>
        <w:adjustRightInd w:val="0"/>
        <w:rPr>
          <w:b/>
        </w:rPr>
      </w:pPr>
    </w:p>
    <w:p w:rsidR="009E3F16" w:rsidRPr="009E3F16" w:rsidRDefault="009E3F16" w:rsidP="009E3F16">
      <w:pPr>
        <w:keepNext/>
        <w:rPr>
          <w:rFonts w:asciiTheme="minorHAnsi" w:hAnsiTheme="minorHAnsi" w:cs="Arial"/>
          <w:b/>
        </w:rPr>
      </w:pPr>
      <w:r w:rsidRPr="009E3F16">
        <w:rPr>
          <w:rFonts w:asciiTheme="minorHAnsi" w:hAnsiTheme="minorHAnsi" w:cs="Arial"/>
          <w:b/>
        </w:rPr>
        <w:t xml:space="preserve">Recommendation </w:t>
      </w:r>
      <w:r w:rsidR="009F551E">
        <w:rPr>
          <w:rFonts w:asciiTheme="minorHAnsi" w:hAnsiTheme="minorHAnsi" w:cs="Arial"/>
          <w:b/>
        </w:rPr>
        <w:t>7</w:t>
      </w:r>
    </w:p>
    <w:p w:rsidR="009E3F16" w:rsidRPr="009E3F16" w:rsidRDefault="009E3F16" w:rsidP="009E3F16">
      <w:pPr>
        <w:rPr>
          <w:rFonts w:asciiTheme="minorHAnsi" w:hAnsiTheme="minorHAnsi" w:cs="Arial"/>
          <w:b/>
          <w:lang w:eastAsia="en-AU"/>
        </w:rPr>
      </w:pPr>
      <w:r w:rsidRPr="009E3F16">
        <w:rPr>
          <w:rFonts w:asciiTheme="minorHAnsi" w:hAnsiTheme="minorHAnsi" w:cs="Arial"/>
          <w:b/>
          <w:lang w:eastAsia="en-AU"/>
        </w:rPr>
        <w:t xml:space="preserve">Training and education </w:t>
      </w:r>
      <w:r w:rsidRPr="009E3F16">
        <w:rPr>
          <w:b/>
        </w:rPr>
        <w:t xml:space="preserve">should be </w:t>
      </w:r>
      <w:r w:rsidR="009F551E">
        <w:rPr>
          <w:rFonts w:asciiTheme="minorHAnsi" w:hAnsiTheme="minorHAnsi" w:cs="Arial"/>
          <w:b/>
          <w:lang w:eastAsia="en-AU"/>
        </w:rPr>
        <w:t xml:space="preserve">provided to light vehicle </w:t>
      </w:r>
      <w:r w:rsidRPr="009E3F16">
        <w:rPr>
          <w:rFonts w:asciiTheme="minorHAnsi" w:hAnsiTheme="minorHAnsi" w:cs="Arial"/>
          <w:b/>
          <w:lang w:eastAsia="en-AU"/>
        </w:rPr>
        <w:t>drivers on shar</w:t>
      </w:r>
      <w:r w:rsidR="009F551E">
        <w:rPr>
          <w:rFonts w:asciiTheme="minorHAnsi" w:hAnsiTheme="minorHAnsi" w:cs="Arial"/>
          <w:b/>
          <w:lang w:eastAsia="en-AU"/>
        </w:rPr>
        <w:t>ing</w:t>
      </w:r>
      <w:r w:rsidRPr="009E3F16">
        <w:rPr>
          <w:rFonts w:asciiTheme="minorHAnsi" w:hAnsiTheme="minorHAnsi" w:cs="Arial"/>
          <w:b/>
          <w:lang w:eastAsia="en-AU"/>
        </w:rPr>
        <w:t xml:space="preserve"> the road safely with trucks.</w:t>
      </w:r>
    </w:p>
    <w:p w:rsidR="009E3F16" w:rsidRPr="009E3F16" w:rsidRDefault="009E3F16" w:rsidP="009E3F16">
      <w:pPr>
        <w:keepNext/>
        <w:autoSpaceDE w:val="0"/>
        <w:autoSpaceDN w:val="0"/>
        <w:adjustRightInd w:val="0"/>
        <w:rPr>
          <w:b/>
          <w:sz w:val="20"/>
          <w:szCs w:val="20"/>
        </w:rPr>
      </w:pPr>
    </w:p>
    <w:p w:rsidR="0042666B" w:rsidRDefault="0042666B" w:rsidP="008F4488">
      <w:pPr>
        <w:rPr>
          <w:rFonts w:asciiTheme="minorHAnsi" w:hAnsiTheme="minorHAnsi" w:cs="Arial"/>
          <w:sz w:val="20"/>
          <w:szCs w:val="20"/>
        </w:rPr>
      </w:pPr>
    </w:p>
    <w:p w:rsidR="009B7878" w:rsidRDefault="009B7878" w:rsidP="008F4488">
      <w:pPr>
        <w:rPr>
          <w:rFonts w:asciiTheme="minorHAnsi" w:hAnsiTheme="minorHAnsi" w:cs="Arial"/>
          <w:sz w:val="20"/>
          <w:szCs w:val="20"/>
        </w:rPr>
      </w:pPr>
    </w:p>
    <w:p w:rsidR="009B7878" w:rsidRDefault="009B7878" w:rsidP="008F4488">
      <w:pPr>
        <w:rPr>
          <w:rFonts w:asciiTheme="minorHAnsi" w:hAnsiTheme="minorHAnsi" w:cs="Arial"/>
          <w:sz w:val="20"/>
          <w:szCs w:val="20"/>
        </w:rPr>
      </w:pPr>
    </w:p>
    <w:p w:rsidR="009B7878" w:rsidRDefault="009B7878" w:rsidP="008F4488">
      <w:pPr>
        <w:rPr>
          <w:rFonts w:asciiTheme="minorHAnsi" w:hAnsiTheme="minorHAnsi" w:cs="Arial"/>
          <w:sz w:val="20"/>
          <w:szCs w:val="20"/>
        </w:rPr>
      </w:pPr>
    </w:p>
    <w:p w:rsidR="009B7878" w:rsidRDefault="009B7878" w:rsidP="009B7878">
      <w:pPr>
        <w:rPr>
          <w:rFonts w:asciiTheme="minorHAnsi" w:hAnsiTheme="minorHAnsi" w:cs="Arial"/>
          <w:sz w:val="20"/>
          <w:szCs w:val="20"/>
          <w:lang w:eastAsia="en-AU"/>
        </w:rPr>
      </w:pPr>
    </w:p>
    <w:p w:rsidR="0031087B" w:rsidRDefault="0031087B" w:rsidP="008F4488">
      <w:pPr>
        <w:rPr>
          <w:rFonts w:asciiTheme="minorHAnsi" w:hAnsiTheme="minorHAnsi" w:cs="Arial"/>
          <w:sz w:val="20"/>
          <w:szCs w:val="20"/>
        </w:rPr>
      </w:pPr>
    </w:p>
    <w:p w:rsidR="008F4488" w:rsidRDefault="008F4488" w:rsidP="008F4488">
      <w:pPr>
        <w:rPr>
          <w:rFonts w:asciiTheme="minorHAnsi" w:hAnsiTheme="minorHAnsi" w:cs="Arial"/>
          <w:sz w:val="20"/>
          <w:szCs w:val="20"/>
        </w:rPr>
      </w:pPr>
    </w:p>
    <w:p w:rsidR="008C64B7" w:rsidRDefault="008C64B7" w:rsidP="00AD6472">
      <w:pPr>
        <w:pStyle w:val="Default"/>
        <w:spacing w:after="180"/>
        <w:jc w:val="both"/>
        <w:rPr>
          <w:rFonts w:asciiTheme="minorHAnsi" w:hAnsiTheme="minorHAnsi" w:cs="Arial"/>
          <w:color w:val="auto"/>
          <w:sz w:val="20"/>
          <w:szCs w:val="20"/>
          <w:lang w:eastAsia="en-US"/>
        </w:rPr>
      </w:pPr>
    </w:p>
    <w:p w:rsidR="009E18EF" w:rsidRPr="0032301B" w:rsidRDefault="009E18EF">
      <w:pPr>
        <w:rPr>
          <w:rFonts w:asciiTheme="minorHAnsi" w:hAnsiTheme="minorHAnsi" w:cs="Arial"/>
          <w:sz w:val="20"/>
          <w:szCs w:val="20"/>
        </w:rPr>
      </w:pPr>
    </w:p>
    <w:sectPr w:rsidR="009E18EF" w:rsidRPr="0032301B" w:rsidSect="00CE77AE">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E5" w:rsidRDefault="00B028E5" w:rsidP="000F3D9F">
      <w:r>
        <w:separator/>
      </w:r>
    </w:p>
  </w:endnote>
  <w:endnote w:type="continuationSeparator" w:id="0">
    <w:p w:rsidR="00B028E5" w:rsidRDefault="00B028E5"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Pr="0062031D" w:rsidRDefault="00B028E5"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B028E5" w:rsidRPr="0062031D" w:rsidRDefault="00B028E5"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B028E5" w:rsidRPr="0062031D" w:rsidRDefault="00B028E5"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B028E5" w:rsidRPr="00E8056B" w:rsidRDefault="00B028E5" w:rsidP="0062031D">
    <w:pPr>
      <w:ind w:right="-426"/>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Default="00B028E5">
    <w:pPr>
      <w:pStyle w:val="Footer"/>
      <w:jc w:val="right"/>
    </w:pPr>
    <w:r>
      <w:fldChar w:fldCharType="begin"/>
    </w:r>
    <w:r>
      <w:instrText xml:space="preserve"> PAGE   \* MERGEFORMAT </w:instrText>
    </w:r>
    <w:r>
      <w:fldChar w:fldCharType="separate"/>
    </w:r>
    <w:r>
      <w:rPr>
        <w:noProof/>
      </w:rPr>
      <w:t>7</w:t>
    </w:r>
    <w:r>
      <w:rPr>
        <w:noProof/>
      </w:rPr>
      <w:fldChar w:fldCharType="end"/>
    </w:r>
  </w:p>
  <w:p w:rsidR="00B028E5" w:rsidRDefault="00B02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Default="00B028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55"/>
      <w:gridCol w:w="1983"/>
    </w:tblGrid>
    <w:tr w:rsidR="00B028E5" w:rsidRPr="007C0B37" w:rsidTr="00592D33">
      <w:trPr>
        <w:trHeight w:val="278"/>
      </w:trPr>
      <w:tc>
        <w:tcPr>
          <w:tcW w:w="7655" w:type="dxa"/>
          <w:vAlign w:val="center"/>
        </w:tcPr>
        <w:p w:rsidR="00B028E5" w:rsidRPr="007C0B37" w:rsidRDefault="00B028E5" w:rsidP="00D245C4">
          <w:pPr>
            <w:pStyle w:val="Footer"/>
            <w:rPr>
              <w:rFonts w:asciiTheme="minorHAnsi" w:hAnsiTheme="minorHAnsi" w:cs="Arial"/>
              <w:sz w:val="18"/>
              <w:szCs w:val="18"/>
            </w:rPr>
          </w:pPr>
          <w:r>
            <w:rPr>
              <w:rFonts w:asciiTheme="minorHAnsi" w:hAnsiTheme="minorHAnsi" w:cs="Arial"/>
              <w:sz w:val="18"/>
              <w:szCs w:val="18"/>
            </w:rPr>
            <w:t>ATA submission</w:t>
          </w:r>
          <w:r w:rsidRPr="007C0B37">
            <w:rPr>
              <w:rFonts w:asciiTheme="minorHAnsi" w:hAnsiTheme="minorHAnsi" w:cs="Arial"/>
              <w:sz w:val="18"/>
              <w:szCs w:val="18"/>
            </w:rPr>
            <w:t xml:space="preserve">: </w:t>
          </w:r>
          <w:r>
            <w:rPr>
              <w:rFonts w:asciiTheme="minorHAnsi" w:hAnsiTheme="minorHAnsi" w:cs="Arial"/>
              <w:sz w:val="18"/>
              <w:szCs w:val="18"/>
            </w:rPr>
            <w:t xml:space="preserve">Aspects of Road Safety </w:t>
          </w:r>
        </w:p>
      </w:tc>
      <w:tc>
        <w:tcPr>
          <w:tcW w:w="1983" w:type="dxa"/>
        </w:tcPr>
        <w:p w:rsidR="00B028E5" w:rsidRPr="007C0B37" w:rsidRDefault="00B028E5" w:rsidP="007C0B37">
          <w:pPr>
            <w:pStyle w:val="Footer"/>
            <w:jc w:val="right"/>
            <w:rPr>
              <w:rFonts w:asciiTheme="minorHAnsi" w:hAnsiTheme="minorHAnsi" w:cs="Arial"/>
              <w:sz w:val="18"/>
              <w:szCs w:val="18"/>
            </w:rPr>
          </w:pPr>
          <w:r w:rsidRPr="007C0B37">
            <w:rPr>
              <w:rFonts w:asciiTheme="minorHAnsi" w:hAnsiTheme="minorHAnsi" w:cs="Arial"/>
              <w:sz w:val="18"/>
              <w:szCs w:val="18"/>
            </w:rPr>
            <w:t xml:space="preserve">Page </w:t>
          </w:r>
          <w:r w:rsidRPr="007C0B37">
            <w:rPr>
              <w:rFonts w:asciiTheme="minorHAnsi" w:hAnsiTheme="minorHAnsi" w:cs="Arial"/>
              <w:sz w:val="18"/>
              <w:szCs w:val="18"/>
            </w:rPr>
            <w:fldChar w:fldCharType="begin"/>
          </w:r>
          <w:r w:rsidRPr="007C0B37">
            <w:rPr>
              <w:rFonts w:asciiTheme="minorHAnsi" w:hAnsiTheme="minorHAnsi" w:cs="Arial"/>
              <w:sz w:val="18"/>
              <w:szCs w:val="18"/>
            </w:rPr>
            <w:instrText xml:space="preserve"> PAGE   \* MERGEFORMAT </w:instrText>
          </w:r>
          <w:r w:rsidRPr="007C0B37">
            <w:rPr>
              <w:rFonts w:asciiTheme="minorHAnsi" w:hAnsiTheme="minorHAnsi" w:cs="Arial"/>
              <w:sz w:val="18"/>
              <w:szCs w:val="18"/>
            </w:rPr>
            <w:fldChar w:fldCharType="separate"/>
          </w:r>
          <w:r w:rsidR="006216C2">
            <w:rPr>
              <w:rFonts w:asciiTheme="minorHAnsi" w:hAnsiTheme="minorHAnsi" w:cs="Arial"/>
              <w:noProof/>
              <w:sz w:val="18"/>
              <w:szCs w:val="18"/>
            </w:rPr>
            <w:t>7</w:t>
          </w:r>
          <w:r w:rsidRPr="007C0B37">
            <w:rPr>
              <w:rFonts w:asciiTheme="minorHAnsi" w:hAnsiTheme="minorHAnsi" w:cs="Arial"/>
              <w:sz w:val="18"/>
              <w:szCs w:val="18"/>
            </w:rPr>
            <w:fldChar w:fldCharType="end"/>
          </w:r>
        </w:p>
      </w:tc>
    </w:tr>
  </w:tbl>
  <w:p w:rsidR="00B028E5" w:rsidRPr="00A91411" w:rsidRDefault="00B028E5">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Default="00B0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E5" w:rsidRDefault="00B028E5" w:rsidP="000F3D9F">
      <w:r>
        <w:separator/>
      </w:r>
    </w:p>
  </w:footnote>
  <w:footnote w:type="continuationSeparator" w:id="0">
    <w:p w:rsidR="00B028E5" w:rsidRDefault="00B028E5" w:rsidP="000F3D9F">
      <w:r>
        <w:continuationSeparator/>
      </w:r>
    </w:p>
  </w:footnote>
  <w:footnote w:id="1">
    <w:p w:rsidR="00B028E5" w:rsidRPr="00FE45BE" w:rsidRDefault="00B028E5" w:rsidP="008F28F1">
      <w:pPr>
        <w:pStyle w:val="FootnoteText"/>
        <w:rPr>
          <w:sz w:val="18"/>
          <w:szCs w:val="18"/>
        </w:rPr>
      </w:pPr>
      <w:r>
        <w:rPr>
          <w:rStyle w:val="FootnoteReference"/>
        </w:rPr>
        <w:footnoteRef/>
      </w:r>
      <w:r>
        <w:t xml:space="preserve"> </w:t>
      </w:r>
      <w:r>
        <w:rPr>
          <w:sz w:val="18"/>
          <w:szCs w:val="18"/>
        </w:rPr>
        <w:t xml:space="preserve">Dolman, G. BITRE, </w:t>
      </w:r>
      <w:r w:rsidRPr="00295EB3">
        <w:rPr>
          <w:i/>
          <w:sz w:val="18"/>
          <w:szCs w:val="18"/>
        </w:rPr>
        <w:t>Road Safety Workshop</w:t>
      </w:r>
      <w:r w:rsidRPr="00FE45BE">
        <w:rPr>
          <w:sz w:val="18"/>
          <w:szCs w:val="18"/>
        </w:rPr>
        <w:t xml:space="preserve">, 22 September 2014. </w:t>
      </w:r>
      <w:r w:rsidR="00E40780">
        <w:rPr>
          <w:sz w:val="18"/>
          <w:szCs w:val="18"/>
        </w:rPr>
        <w:t xml:space="preserve">Available </w:t>
      </w:r>
      <w:r>
        <w:rPr>
          <w:sz w:val="18"/>
          <w:szCs w:val="18"/>
        </w:rPr>
        <w:t>at:</w:t>
      </w:r>
      <w:r w:rsidR="00E23C0A">
        <w:rPr>
          <w:sz w:val="18"/>
          <w:szCs w:val="18"/>
        </w:rPr>
        <w:t>&lt;</w:t>
      </w:r>
      <w:r w:rsidR="00E40780" w:rsidRPr="008F714B">
        <w:rPr>
          <w:sz w:val="18"/>
          <w:szCs w:val="18"/>
        </w:rPr>
        <w:t>http://www.infrastructure.gov.au/roads/safety/nrsf/</w:t>
      </w:r>
      <w:r w:rsidR="00E40780" w:rsidRPr="008F714B">
        <w:rPr>
          <w:sz w:val="18"/>
          <w:szCs w:val="18"/>
        </w:rPr>
        <w:br/>
        <w:t>2014/files/Session_1_Gary_Dolman.pdf</w:t>
      </w:r>
      <w:r w:rsidR="00E23C0A">
        <w:rPr>
          <w:sz w:val="18"/>
          <w:szCs w:val="18"/>
        </w:rPr>
        <w:t>&gt;</w:t>
      </w:r>
      <w:r>
        <w:rPr>
          <w:sz w:val="18"/>
          <w:szCs w:val="18"/>
        </w:rPr>
        <w:t xml:space="preserve"> </w:t>
      </w:r>
      <w:r w:rsidR="00E40780">
        <w:rPr>
          <w:sz w:val="18"/>
          <w:szCs w:val="18"/>
        </w:rPr>
        <w:t>Viewed 27 February 2015.</w:t>
      </w:r>
    </w:p>
  </w:footnote>
  <w:footnote w:id="2">
    <w:p w:rsidR="00B028E5" w:rsidRPr="00663C65" w:rsidRDefault="00B028E5" w:rsidP="00CD197E">
      <w:pPr>
        <w:pStyle w:val="FootnoteText"/>
        <w:rPr>
          <w:sz w:val="18"/>
          <w:szCs w:val="18"/>
        </w:rPr>
      </w:pPr>
      <w:r>
        <w:rPr>
          <w:rStyle w:val="FootnoteReference"/>
        </w:rPr>
        <w:footnoteRef/>
      </w:r>
      <w:r>
        <w:t xml:space="preserve"> </w:t>
      </w:r>
      <w:r w:rsidRPr="00FE45BE">
        <w:rPr>
          <w:sz w:val="18"/>
          <w:szCs w:val="18"/>
        </w:rPr>
        <w:t xml:space="preserve">BITRE, </w:t>
      </w:r>
      <w:r w:rsidRPr="00FE45BE">
        <w:rPr>
          <w:i/>
          <w:sz w:val="18"/>
          <w:szCs w:val="18"/>
        </w:rPr>
        <w:t>Impact of road trauma and measures to improve outcomes</w:t>
      </w:r>
      <w:r w:rsidRPr="00FE45BE">
        <w:rPr>
          <w:sz w:val="18"/>
          <w:szCs w:val="18"/>
        </w:rPr>
        <w:t>, Report 140, December 2014, p17.</w:t>
      </w:r>
      <w:r w:rsidR="00E40780">
        <w:rPr>
          <w:sz w:val="18"/>
          <w:szCs w:val="18"/>
        </w:rPr>
        <w:t xml:space="preserve"> </w:t>
      </w:r>
    </w:p>
  </w:footnote>
  <w:footnote w:id="3">
    <w:p w:rsidR="00D36D7C" w:rsidRDefault="00D36D7C" w:rsidP="00D36D7C">
      <w:pPr>
        <w:pStyle w:val="FootnoteText"/>
      </w:pPr>
      <w:r>
        <w:rPr>
          <w:rStyle w:val="FootnoteReference"/>
        </w:rPr>
        <w:footnoteRef/>
      </w:r>
      <w:r>
        <w:t xml:space="preserve"> </w:t>
      </w:r>
      <w:r w:rsidRPr="00D36D7C">
        <w:rPr>
          <w:sz w:val="18"/>
          <w:szCs w:val="18"/>
        </w:rPr>
        <w:t>NTI</w:t>
      </w:r>
      <w:r>
        <w:rPr>
          <w:sz w:val="18"/>
          <w:szCs w:val="18"/>
        </w:rPr>
        <w:t xml:space="preserve">, </w:t>
      </w:r>
      <w:r w:rsidR="00A82FAD">
        <w:rPr>
          <w:sz w:val="18"/>
          <w:szCs w:val="18"/>
        </w:rPr>
        <w:t>Major Accident Reports (2013, 2011)</w:t>
      </w:r>
      <w:r w:rsidR="00D0107D">
        <w:rPr>
          <w:sz w:val="18"/>
          <w:szCs w:val="18"/>
        </w:rPr>
        <w:t xml:space="preserve">. </w:t>
      </w:r>
      <w:r w:rsidRPr="00D36D7C">
        <w:rPr>
          <w:sz w:val="18"/>
          <w:szCs w:val="18"/>
        </w:rPr>
        <w:t xml:space="preserve">Available at: </w:t>
      </w:r>
      <w:r w:rsidR="00A82FAD" w:rsidRPr="00A82FAD">
        <w:rPr>
          <w:sz w:val="18"/>
          <w:szCs w:val="18"/>
        </w:rPr>
        <w:t>http://www.nti.com.au/supporting/accident-research.php</w:t>
      </w:r>
      <w:r w:rsidR="00D0107D">
        <w:rPr>
          <w:sz w:val="18"/>
          <w:szCs w:val="18"/>
        </w:rPr>
        <w:t>. Viewed on 27 February 2015.</w:t>
      </w:r>
    </w:p>
  </w:footnote>
  <w:footnote w:id="4">
    <w:p w:rsidR="00B028E5" w:rsidRDefault="00B028E5">
      <w:pPr>
        <w:pStyle w:val="FootnoteText"/>
      </w:pPr>
      <w:r>
        <w:rPr>
          <w:rStyle w:val="FootnoteReference"/>
        </w:rPr>
        <w:footnoteRef/>
      </w:r>
      <w:r>
        <w:t xml:space="preserve"> </w:t>
      </w:r>
      <w:r w:rsidRPr="008C2E20">
        <w:rPr>
          <w:sz w:val="18"/>
          <w:szCs w:val="18"/>
        </w:rPr>
        <w:t xml:space="preserve">See ATA, </w:t>
      </w:r>
      <w:r w:rsidRPr="008C2E20">
        <w:rPr>
          <w:i/>
          <w:sz w:val="18"/>
          <w:szCs w:val="18"/>
        </w:rPr>
        <w:t>Chain of responsibility duties review</w:t>
      </w:r>
      <w:r>
        <w:rPr>
          <w:sz w:val="18"/>
          <w:szCs w:val="18"/>
        </w:rPr>
        <w:t xml:space="preserve"> (submission to the NTC</w:t>
      </w:r>
      <w:r w:rsidRPr="008C2E20">
        <w:rPr>
          <w:sz w:val="18"/>
          <w:szCs w:val="18"/>
        </w:rPr>
        <w:t xml:space="preserve">), </w:t>
      </w:r>
      <w:r>
        <w:rPr>
          <w:sz w:val="18"/>
          <w:szCs w:val="18"/>
        </w:rPr>
        <w:t>30 January 2015</w:t>
      </w:r>
      <w:r w:rsidRPr="008C2E20">
        <w:rPr>
          <w:sz w:val="18"/>
          <w:szCs w:val="18"/>
        </w:rPr>
        <w:t>.</w:t>
      </w:r>
      <w:r w:rsidR="00E40780">
        <w:rPr>
          <w:sz w:val="18"/>
          <w:szCs w:val="18"/>
        </w:rPr>
        <w:t xml:space="preserve"> Available at </w:t>
      </w:r>
      <w:hyperlink r:id="rId1" w:history="1">
        <w:r w:rsidR="00E40780" w:rsidRPr="00610595">
          <w:rPr>
            <w:rStyle w:val="Hyperlink"/>
            <w:sz w:val="18"/>
            <w:szCs w:val="18"/>
          </w:rPr>
          <w:t>www.truck.net.au</w:t>
        </w:r>
      </w:hyperlink>
      <w:r w:rsidR="00E40780">
        <w:rPr>
          <w:sz w:val="18"/>
          <w:szCs w:val="18"/>
        </w:rPr>
        <w:t>.</w:t>
      </w:r>
    </w:p>
  </w:footnote>
  <w:footnote w:id="5">
    <w:p w:rsidR="00B028E5" w:rsidRDefault="00B028E5" w:rsidP="009F7BA4">
      <w:pPr>
        <w:pStyle w:val="FootnoteText"/>
      </w:pPr>
      <w:r>
        <w:rPr>
          <w:rStyle w:val="FootnoteReference"/>
        </w:rPr>
        <w:footnoteRef/>
      </w:r>
      <w:r>
        <w:t xml:space="preserve"> </w:t>
      </w:r>
      <w:r w:rsidRPr="00FE45BE">
        <w:rPr>
          <w:sz w:val="18"/>
          <w:szCs w:val="18"/>
        </w:rPr>
        <w:t xml:space="preserve">See ATA, </w:t>
      </w:r>
      <w:r w:rsidRPr="00FE45BE">
        <w:rPr>
          <w:i/>
          <w:sz w:val="18"/>
          <w:szCs w:val="18"/>
        </w:rPr>
        <w:t>Heavy vehicle roadworthiness review – phase 2 integrity review</w:t>
      </w:r>
      <w:r w:rsidRPr="00FE45BE">
        <w:rPr>
          <w:sz w:val="18"/>
          <w:szCs w:val="18"/>
        </w:rPr>
        <w:t xml:space="preserve"> (submission to the NTC and NHVR), September 2014, p8.</w:t>
      </w:r>
      <w:r w:rsidR="00E40780">
        <w:rPr>
          <w:sz w:val="18"/>
          <w:szCs w:val="18"/>
        </w:rPr>
        <w:t xml:space="preserve"> Available at </w:t>
      </w:r>
      <w:hyperlink r:id="rId2" w:history="1">
        <w:r w:rsidR="00E40780" w:rsidRPr="00610595">
          <w:rPr>
            <w:rStyle w:val="Hyperlink"/>
            <w:sz w:val="18"/>
            <w:szCs w:val="18"/>
          </w:rPr>
          <w:t>www.truck.net.au</w:t>
        </w:r>
      </w:hyperlink>
      <w:r w:rsidR="00E40780">
        <w:rPr>
          <w:sz w:val="18"/>
          <w:szCs w:val="18"/>
        </w:rPr>
        <w:t>.</w:t>
      </w:r>
    </w:p>
  </w:footnote>
  <w:footnote w:id="6">
    <w:p w:rsidR="00B028E5" w:rsidRPr="003C351E" w:rsidRDefault="00B028E5" w:rsidP="009F7BA4">
      <w:pPr>
        <w:pStyle w:val="FootnoteText"/>
        <w:rPr>
          <w:sz w:val="18"/>
          <w:szCs w:val="18"/>
        </w:rPr>
      </w:pPr>
      <w:r w:rsidRPr="003C351E">
        <w:rPr>
          <w:rStyle w:val="FootnoteReference"/>
          <w:sz w:val="18"/>
          <w:szCs w:val="18"/>
        </w:rPr>
        <w:footnoteRef/>
      </w:r>
      <w:r w:rsidRPr="003C351E">
        <w:rPr>
          <w:sz w:val="18"/>
          <w:szCs w:val="18"/>
        </w:rPr>
        <w:t xml:space="preserve"> </w:t>
      </w:r>
      <w:r w:rsidRPr="00FE45BE">
        <w:rPr>
          <w:i/>
          <w:sz w:val="18"/>
          <w:szCs w:val="18"/>
        </w:rPr>
        <w:t>Finding of inquest-John Posnakidis</w:t>
      </w:r>
      <w:r w:rsidRPr="00FE45BE">
        <w:rPr>
          <w:sz w:val="18"/>
          <w:szCs w:val="18"/>
        </w:rPr>
        <w:t xml:space="preserve"> (12 January 2015); </w:t>
      </w:r>
      <w:r w:rsidRPr="00FE45BE">
        <w:rPr>
          <w:i/>
          <w:sz w:val="18"/>
          <w:szCs w:val="18"/>
        </w:rPr>
        <w:t xml:space="preserve">Finding of inquest-James William Venning </w:t>
      </w:r>
      <w:r w:rsidRPr="00FE45BE">
        <w:rPr>
          <w:sz w:val="18"/>
          <w:szCs w:val="18"/>
        </w:rPr>
        <w:t>(12 January 2015). Available at &lt;</w:t>
      </w:r>
      <w:r w:rsidRPr="008F714B">
        <w:rPr>
          <w:sz w:val="18"/>
          <w:szCs w:val="18"/>
        </w:rPr>
        <w:t>www.courts.sa.gov.au/CoronersFindings/Pages/default.aspx</w:t>
      </w:r>
      <w:r w:rsidRPr="00FE45BE">
        <w:rPr>
          <w:sz w:val="18"/>
          <w:szCs w:val="18"/>
        </w:rPr>
        <w:t>&gt;. Viewed 20 February 2015.</w:t>
      </w:r>
    </w:p>
  </w:footnote>
  <w:footnote w:id="7">
    <w:p w:rsidR="00B028E5" w:rsidRPr="00C65DE5" w:rsidRDefault="00B028E5">
      <w:pPr>
        <w:pStyle w:val="FootnoteText"/>
        <w:rPr>
          <w:sz w:val="18"/>
          <w:szCs w:val="18"/>
        </w:rPr>
      </w:pPr>
      <w:r>
        <w:rPr>
          <w:rStyle w:val="FootnoteReference"/>
        </w:rPr>
        <w:footnoteRef/>
      </w:r>
      <w:r>
        <w:t xml:space="preserve"> </w:t>
      </w:r>
      <w:r w:rsidRPr="00C65DE5">
        <w:rPr>
          <w:sz w:val="18"/>
          <w:szCs w:val="18"/>
        </w:rPr>
        <w:t xml:space="preserve">Excluding New Zealand, Australia </w:t>
      </w:r>
      <w:r>
        <w:rPr>
          <w:sz w:val="18"/>
          <w:szCs w:val="18"/>
        </w:rPr>
        <w:t>is home to</w:t>
      </w:r>
      <w:r w:rsidRPr="00C65DE5">
        <w:rPr>
          <w:sz w:val="18"/>
          <w:szCs w:val="18"/>
        </w:rPr>
        <w:t xml:space="preserve"> more </w:t>
      </w:r>
      <w:r>
        <w:rPr>
          <w:sz w:val="18"/>
          <w:szCs w:val="18"/>
        </w:rPr>
        <w:t xml:space="preserve">heavy vehicle </w:t>
      </w:r>
      <w:r w:rsidRPr="00C65DE5">
        <w:rPr>
          <w:sz w:val="18"/>
          <w:szCs w:val="18"/>
        </w:rPr>
        <w:t>manufacturers than Japan, Europe or even the USA.</w:t>
      </w:r>
    </w:p>
  </w:footnote>
  <w:footnote w:id="8">
    <w:p w:rsidR="00B028E5" w:rsidRDefault="00B028E5" w:rsidP="00996588">
      <w:pPr>
        <w:pStyle w:val="FootnoteText"/>
      </w:pPr>
      <w:r>
        <w:rPr>
          <w:rStyle w:val="FootnoteReference"/>
        </w:rPr>
        <w:footnoteRef/>
      </w:r>
      <w:r>
        <w:t xml:space="preserve"> </w:t>
      </w:r>
      <w:r w:rsidRPr="00996588">
        <w:rPr>
          <w:sz w:val="18"/>
          <w:szCs w:val="18"/>
        </w:rPr>
        <w:t xml:space="preserve">See ATA, </w:t>
      </w:r>
      <w:r w:rsidRPr="00996588">
        <w:rPr>
          <w:i/>
          <w:sz w:val="18"/>
          <w:szCs w:val="18"/>
        </w:rPr>
        <w:t>2014 Review of the M</w:t>
      </w:r>
      <w:r>
        <w:rPr>
          <w:i/>
          <w:sz w:val="18"/>
          <w:szCs w:val="18"/>
        </w:rPr>
        <w:t xml:space="preserve">otor Vehicle Standards Act 1989 </w:t>
      </w:r>
      <w:r w:rsidRPr="00996588">
        <w:rPr>
          <w:i/>
          <w:sz w:val="18"/>
          <w:szCs w:val="18"/>
        </w:rPr>
        <w:t xml:space="preserve">Options Discussion Paper </w:t>
      </w:r>
      <w:r w:rsidRPr="00996588">
        <w:rPr>
          <w:sz w:val="18"/>
          <w:szCs w:val="18"/>
        </w:rPr>
        <w:t>(submission to the NTC), October 2014</w:t>
      </w:r>
      <w:r>
        <w:rPr>
          <w:sz w:val="18"/>
          <w:szCs w:val="18"/>
        </w:rPr>
        <w:t>.</w:t>
      </w:r>
      <w:r w:rsidR="00D245C4">
        <w:rPr>
          <w:sz w:val="18"/>
          <w:szCs w:val="18"/>
        </w:rPr>
        <w:t xml:space="preserve"> Available at </w:t>
      </w:r>
      <w:hyperlink r:id="rId3" w:history="1">
        <w:r w:rsidR="00D245C4" w:rsidRPr="00610595">
          <w:rPr>
            <w:rStyle w:val="Hyperlink"/>
            <w:sz w:val="18"/>
            <w:szCs w:val="18"/>
          </w:rPr>
          <w:t>www.truck.net.au</w:t>
        </w:r>
      </w:hyperlink>
      <w:r w:rsidR="00D245C4">
        <w:rPr>
          <w:sz w:val="18"/>
          <w:szCs w:val="18"/>
        </w:rPr>
        <w:t xml:space="preserve">. </w:t>
      </w:r>
    </w:p>
  </w:footnote>
  <w:footnote w:id="9">
    <w:p w:rsidR="00B028E5" w:rsidRDefault="00B028E5">
      <w:pPr>
        <w:pStyle w:val="FootnoteText"/>
      </w:pPr>
      <w:r>
        <w:rPr>
          <w:rStyle w:val="FootnoteReference"/>
        </w:rPr>
        <w:footnoteRef/>
      </w:r>
      <w:r>
        <w:t xml:space="preserve"> </w:t>
      </w:r>
      <w:r w:rsidRPr="00E7640B">
        <w:rPr>
          <w:sz w:val="18"/>
          <w:szCs w:val="18"/>
        </w:rPr>
        <w:t xml:space="preserve">For example, </w:t>
      </w:r>
      <w:r w:rsidRPr="00AD6472">
        <w:rPr>
          <w:sz w:val="18"/>
          <w:szCs w:val="18"/>
        </w:rPr>
        <w:t xml:space="preserve">Safe Work Australia has </w:t>
      </w:r>
      <w:r>
        <w:rPr>
          <w:sz w:val="18"/>
          <w:szCs w:val="18"/>
        </w:rPr>
        <w:t xml:space="preserve">successfully </w:t>
      </w:r>
      <w:r w:rsidRPr="00AD6472">
        <w:rPr>
          <w:sz w:val="18"/>
          <w:szCs w:val="18"/>
        </w:rPr>
        <w:t>released 23 model codes of practice that jurisdictions may adopt.</w:t>
      </w:r>
    </w:p>
  </w:footnote>
  <w:footnote w:id="10">
    <w:p w:rsidR="00B028E5" w:rsidRDefault="00B028E5" w:rsidP="00AD6472">
      <w:pPr>
        <w:pStyle w:val="FootnoteText"/>
      </w:pPr>
      <w:r>
        <w:rPr>
          <w:rStyle w:val="FootnoteReference"/>
        </w:rPr>
        <w:footnoteRef/>
      </w:r>
      <w:r>
        <w:t xml:space="preserve"> </w:t>
      </w:r>
      <w:r w:rsidRPr="00D36841">
        <w:rPr>
          <w:sz w:val="18"/>
          <w:szCs w:val="18"/>
        </w:rPr>
        <w:t xml:space="preserve">National Transport Commission. </w:t>
      </w:r>
      <w:r w:rsidR="00C93D93">
        <w:rPr>
          <w:sz w:val="18"/>
          <w:szCs w:val="18"/>
        </w:rPr>
        <w:t xml:space="preserve">Heavy Vehicle </w:t>
      </w:r>
      <w:r>
        <w:rPr>
          <w:sz w:val="18"/>
          <w:szCs w:val="18"/>
        </w:rPr>
        <w:t>Roadworthiness</w:t>
      </w:r>
      <w:r w:rsidRPr="00AD6472">
        <w:rPr>
          <w:sz w:val="18"/>
          <w:szCs w:val="18"/>
        </w:rPr>
        <w:t xml:space="preserve"> </w:t>
      </w:r>
      <w:r w:rsidR="00C93D93">
        <w:rPr>
          <w:sz w:val="18"/>
          <w:szCs w:val="18"/>
        </w:rPr>
        <w:t xml:space="preserve">Program Consultation </w:t>
      </w:r>
      <w:r w:rsidRPr="00AD6472">
        <w:rPr>
          <w:sz w:val="18"/>
          <w:szCs w:val="18"/>
        </w:rPr>
        <w:t>Regulatory Impact Statement, page v.</w:t>
      </w:r>
      <w:r>
        <w:rPr>
          <w:sz w:val="18"/>
          <w:szCs w:val="18"/>
        </w:rPr>
        <w:t xml:space="preserve"> January 2015.</w:t>
      </w:r>
      <w:r w:rsidR="0027068E">
        <w:rPr>
          <w:sz w:val="18"/>
          <w:szCs w:val="18"/>
        </w:rPr>
        <w:t xml:space="preserve"> Available at </w:t>
      </w:r>
      <w:r w:rsidR="0027068E" w:rsidRPr="0027068E">
        <w:rPr>
          <w:sz w:val="18"/>
          <w:szCs w:val="18"/>
        </w:rPr>
        <w:t>http://ntc.gov.au/heavy-vehicles/safety/heavy-vehicle-roadworthiness-program/</w:t>
      </w:r>
      <w:r w:rsidR="0027068E">
        <w:rPr>
          <w:sz w:val="18"/>
          <w:szCs w:val="18"/>
        </w:rPr>
        <w:t xml:space="preserve">. </w:t>
      </w:r>
      <w:r w:rsidR="0027068E" w:rsidRPr="00E7640B">
        <w:rPr>
          <w:sz w:val="18"/>
          <w:szCs w:val="18"/>
        </w:rPr>
        <w:t xml:space="preserve">Viewed </w:t>
      </w:r>
      <w:r w:rsidR="0027068E">
        <w:rPr>
          <w:sz w:val="18"/>
          <w:szCs w:val="18"/>
        </w:rPr>
        <w:t xml:space="preserve">on </w:t>
      </w:r>
      <w:r w:rsidR="0027068E">
        <w:rPr>
          <w:sz w:val="18"/>
          <w:szCs w:val="18"/>
        </w:rPr>
        <w:br/>
      </w:r>
      <w:r w:rsidR="0027068E" w:rsidRPr="00E7640B">
        <w:rPr>
          <w:sz w:val="18"/>
          <w:szCs w:val="18"/>
        </w:rPr>
        <w:t>2</w:t>
      </w:r>
      <w:r w:rsidR="0027068E">
        <w:rPr>
          <w:sz w:val="18"/>
          <w:szCs w:val="18"/>
        </w:rPr>
        <w:t>7</w:t>
      </w:r>
      <w:r w:rsidR="0027068E" w:rsidRPr="00E7640B">
        <w:rPr>
          <w:sz w:val="18"/>
          <w:szCs w:val="18"/>
        </w:rPr>
        <w:t xml:space="preserve"> February, 2015</w:t>
      </w:r>
      <w:r w:rsidR="0027068E">
        <w:rPr>
          <w:sz w:val="18"/>
          <w:szCs w:val="18"/>
        </w:rPr>
        <w:t>.</w:t>
      </w:r>
    </w:p>
  </w:footnote>
  <w:footnote w:id="11">
    <w:p w:rsidR="00B028E5" w:rsidRDefault="00B028E5">
      <w:pPr>
        <w:pStyle w:val="FootnoteText"/>
      </w:pPr>
      <w:r>
        <w:rPr>
          <w:rStyle w:val="FootnoteReference"/>
        </w:rPr>
        <w:footnoteRef/>
      </w:r>
      <w:r>
        <w:t xml:space="preserve"> </w:t>
      </w:r>
      <w:r w:rsidR="009153B1" w:rsidRPr="000B70B8">
        <w:rPr>
          <w:sz w:val="18"/>
          <w:szCs w:val="18"/>
        </w:rPr>
        <w:t>Victorian</w:t>
      </w:r>
      <w:r w:rsidR="009153B1">
        <w:t xml:space="preserve"> </w:t>
      </w:r>
      <w:r w:rsidRPr="00E7640B">
        <w:rPr>
          <w:sz w:val="18"/>
          <w:szCs w:val="18"/>
        </w:rPr>
        <w:t>T</w:t>
      </w:r>
      <w:r w:rsidR="009153B1">
        <w:rPr>
          <w:sz w:val="18"/>
          <w:szCs w:val="18"/>
        </w:rPr>
        <w:t xml:space="preserve">ransport </w:t>
      </w:r>
      <w:r w:rsidRPr="00E7640B">
        <w:rPr>
          <w:sz w:val="18"/>
          <w:szCs w:val="18"/>
        </w:rPr>
        <w:t>A</w:t>
      </w:r>
      <w:r w:rsidR="009153B1">
        <w:rPr>
          <w:sz w:val="18"/>
          <w:szCs w:val="18"/>
        </w:rPr>
        <w:t xml:space="preserve">ccident </w:t>
      </w:r>
      <w:r w:rsidRPr="00E7640B">
        <w:rPr>
          <w:sz w:val="18"/>
          <w:szCs w:val="18"/>
        </w:rPr>
        <w:t>C</w:t>
      </w:r>
      <w:r w:rsidR="009153B1">
        <w:rPr>
          <w:sz w:val="18"/>
          <w:szCs w:val="18"/>
        </w:rPr>
        <w:t>ommission</w:t>
      </w:r>
      <w:r w:rsidRPr="00E7640B">
        <w:rPr>
          <w:sz w:val="18"/>
          <w:szCs w:val="18"/>
        </w:rPr>
        <w:t xml:space="preserve"> road safety campaign, “Blind”. </w:t>
      </w:r>
      <w:r w:rsidR="00123A50">
        <w:rPr>
          <w:sz w:val="18"/>
          <w:szCs w:val="18"/>
        </w:rPr>
        <w:t xml:space="preserve">Available </w:t>
      </w:r>
      <w:r>
        <w:rPr>
          <w:sz w:val="18"/>
          <w:szCs w:val="18"/>
        </w:rPr>
        <w:t xml:space="preserve">at </w:t>
      </w:r>
      <w:r w:rsidRPr="00A002BF">
        <w:rPr>
          <w:sz w:val="18"/>
          <w:szCs w:val="18"/>
        </w:rPr>
        <w:t>http://www.tac.vic.gov.au/road-safety/tac-campaigns/distractions</w:t>
      </w:r>
      <w:r w:rsidR="00123A50">
        <w:rPr>
          <w:sz w:val="18"/>
          <w:szCs w:val="18"/>
        </w:rPr>
        <w:t xml:space="preserve">. </w:t>
      </w:r>
      <w:r w:rsidR="00123A50" w:rsidRPr="00E7640B">
        <w:rPr>
          <w:sz w:val="18"/>
          <w:szCs w:val="18"/>
        </w:rPr>
        <w:t xml:space="preserve">Viewed </w:t>
      </w:r>
      <w:r w:rsidR="00123A50">
        <w:rPr>
          <w:sz w:val="18"/>
          <w:szCs w:val="18"/>
        </w:rPr>
        <w:t xml:space="preserve">on </w:t>
      </w:r>
      <w:r w:rsidR="00123A50" w:rsidRPr="00E7640B">
        <w:rPr>
          <w:sz w:val="18"/>
          <w:szCs w:val="18"/>
        </w:rPr>
        <w:t>20 February, 2015</w:t>
      </w:r>
      <w:r w:rsidR="00123A5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Pr="00E8056B" w:rsidRDefault="00B028E5"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B028E5" w:rsidRDefault="00B02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Default="00B02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Pr="0062031D" w:rsidRDefault="00B028E5"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B028E5" w:rsidRPr="0062031D" w:rsidRDefault="00B028E5" w:rsidP="0062031D">
    <w:pPr>
      <w:pStyle w:val="Head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5" w:rsidRDefault="00B02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67E"/>
    <w:multiLevelType w:val="hybridMultilevel"/>
    <w:tmpl w:val="7440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8502F"/>
    <w:multiLevelType w:val="hybridMultilevel"/>
    <w:tmpl w:val="C40A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24C4F"/>
    <w:multiLevelType w:val="hybridMultilevel"/>
    <w:tmpl w:val="F1E8FFC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6737518"/>
    <w:multiLevelType w:val="hybridMultilevel"/>
    <w:tmpl w:val="D90651D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F7E5EEC"/>
    <w:multiLevelType w:val="hybridMultilevel"/>
    <w:tmpl w:val="93A0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0F5141"/>
    <w:multiLevelType w:val="hybridMultilevel"/>
    <w:tmpl w:val="6BA2B6F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9166DD9"/>
    <w:multiLevelType w:val="hybridMultilevel"/>
    <w:tmpl w:val="6E0A113C"/>
    <w:lvl w:ilvl="0" w:tplc="715C62BE">
      <w:numFmt w:val="bullet"/>
      <w:lvlText w:val=""/>
      <w:lvlJc w:val="left"/>
      <w:pPr>
        <w:ind w:left="849" w:hanging="492"/>
      </w:pPr>
      <w:rPr>
        <w:rFonts w:ascii="Symbol" w:eastAsia="Calibri"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nsid w:val="35A40D25"/>
    <w:multiLevelType w:val="hybridMultilevel"/>
    <w:tmpl w:val="D98C5B3E"/>
    <w:lvl w:ilvl="0" w:tplc="950A1A92">
      <w:start w:val="1"/>
      <w:numFmt w:val="lowerRoman"/>
      <w:lvlText w:val="(%1)"/>
      <w:lvlJc w:val="left"/>
      <w:pPr>
        <w:ind w:left="2804" w:hanging="720"/>
      </w:pPr>
      <w:rPr>
        <w:rFonts w:hint="default"/>
      </w:rPr>
    </w:lvl>
    <w:lvl w:ilvl="1" w:tplc="0C090019" w:tentative="1">
      <w:start w:val="1"/>
      <w:numFmt w:val="lowerLetter"/>
      <w:lvlText w:val="%2."/>
      <w:lvlJc w:val="left"/>
      <w:pPr>
        <w:ind w:left="3164" w:hanging="360"/>
      </w:pPr>
    </w:lvl>
    <w:lvl w:ilvl="2" w:tplc="0C09001B" w:tentative="1">
      <w:start w:val="1"/>
      <w:numFmt w:val="lowerRoman"/>
      <w:lvlText w:val="%3."/>
      <w:lvlJc w:val="right"/>
      <w:pPr>
        <w:ind w:left="3884" w:hanging="180"/>
      </w:pPr>
    </w:lvl>
    <w:lvl w:ilvl="3" w:tplc="0C09000F" w:tentative="1">
      <w:start w:val="1"/>
      <w:numFmt w:val="decimal"/>
      <w:lvlText w:val="%4."/>
      <w:lvlJc w:val="left"/>
      <w:pPr>
        <w:ind w:left="4604" w:hanging="360"/>
      </w:pPr>
    </w:lvl>
    <w:lvl w:ilvl="4" w:tplc="0C090019" w:tentative="1">
      <w:start w:val="1"/>
      <w:numFmt w:val="lowerLetter"/>
      <w:lvlText w:val="%5."/>
      <w:lvlJc w:val="left"/>
      <w:pPr>
        <w:ind w:left="5324" w:hanging="360"/>
      </w:pPr>
    </w:lvl>
    <w:lvl w:ilvl="5" w:tplc="0C09001B" w:tentative="1">
      <w:start w:val="1"/>
      <w:numFmt w:val="lowerRoman"/>
      <w:lvlText w:val="%6."/>
      <w:lvlJc w:val="right"/>
      <w:pPr>
        <w:ind w:left="6044" w:hanging="180"/>
      </w:pPr>
    </w:lvl>
    <w:lvl w:ilvl="6" w:tplc="0C09000F" w:tentative="1">
      <w:start w:val="1"/>
      <w:numFmt w:val="decimal"/>
      <w:lvlText w:val="%7."/>
      <w:lvlJc w:val="left"/>
      <w:pPr>
        <w:ind w:left="6764" w:hanging="360"/>
      </w:pPr>
    </w:lvl>
    <w:lvl w:ilvl="7" w:tplc="0C090019" w:tentative="1">
      <w:start w:val="1"/>
      <w:numFmt w:val="lowerLetter"/>
      <w:lvlText w:val="%8."/>
      <w:lvlJc w:val="left"/>
      <w:pPr>
        <w:ind w:left="7484" w:hanging="360"/>
      </w:pPr>
    </w:lvl>
    <w:lvl w:ilvl="8" w:tplc="0C09001B" w:tentative="1">
      <w:start w:val="1"/>
      <w:numFmt w:val="lowerRoman"/>
      <w:lvlText w:val="%9."/>
      <w:lvlJc w:val="right"/>
      <w:pPr>
        <w:ind w:left="8204" w:hanging="180"/>
      </w:pPr>
    </w:lvl>
  </w:abstractNum>
  <w:abstractNum w:abstractNumId="8">
    <w:nsid w:val="36E40A43"/>
    <w:multiLevelType w:val="hybridMultilevel"/>
    <w:tmpl w:val="C80A9FF6"/>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B30971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3221B5"/>
    <w:multiLevelType w:val="hybridMultilevel"/>
    <w:tmpl w:val="A64E9A46"/>
    <w:lvl w:ilvl="0" w:tplc="1F5C929A">
      <w:start w:val="1"/>
      <w:numFmt w:val="bullet"/>
      <w:pStyle w:val="TableHead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5079714E"/>
    <w:multiLevelType w:val="hybridMultilevel"/>
    <w:tmpl w:val="1FCE6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554ED9"/>
    <w:multiLevelType w:val="multilevel"/>
    <w:tmpl w:val="A4640850"/>
    <w:lvl w:ilvl="0">
      <w:start w:val="1"/>
      <w:numFmt w:val="decimal"/>
      <w:pStyle w:val="Heading1"/>
      <w:lvlText w:val="%1."/>
      <w:lvlJc w:val="left"/>
      <w:pPr>
        <w:ind w:left="6173" w:hanging="360"/>
      </w:pPr>
      <w:rPr>
        <w:rFonts w:asciiTheme="minorHAnsi" w:hAnsiTheme="minorHAnsi"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FE766B3"/>
    <w:multiLevelType w:val="hybridMultilevel"/>
    <w:tmpl w:val="FD46FEA0"/>
    <w:lvl w:ilvl="0" w:tplc="FBD010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DB59F7"/>
    <w:multiLevelType w:val="hybridMultilevel"/>
    <w:tmpl w:val="693240E0"/>
    <w:lvl w:ilvl="0" w:tplc="0C090001">
      <w:start w:val="1"/>
      <w:numFmt w:val="bullet"/>
      <w:lvlText w:val=""/>
      <w:lvlJc w:val="left"/>
      <w:pPr>
        <w:ind w:left="-2136"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696" w:hanging="360"/>
      </w:pPr>
      <w:rPr>
        <w:rFonts w:ascii="Wingdings" w:hAnsi="Wingdings" w:hint="default"/>
      </w:rPr>
    </w:lvl>
    <w:lvl w:ilvl="3" w:tplc="0C090001" w:tentative="1">
      <w:start w:val="1"/>
      <w:numFmt w:val="bullet"/>
      <w:lvlText w:val=""/>
      <w:lvlJc w:val="left"/>
      <w:pPr>
        <w:ind w:left="24" w:hanging="360"/>
      </w:pPr>
      <w:rPr>
        <w:rFonts w:ascii="Symbol" w:hAnsi="Symbol" w:hint="default"/>
      </w:rPr>
    </w:lvl>
    <w:lvl w:ilvl="4" w:tplc="0C090003" w:tentative="1">
      <w:start w:val="1"/>
      <w:numFmt w:val="bullet"/>
      <w:lvlText w:val="o"/>
      <w:lvlJc w:val="left"/>
      <w:pPr>
        <w:ind w:left="744" w:hanging="360"/>
      </w:pPr>
      <w:rPr>
        <w:rFonts w:ascii="Courier New" w:hAnsi="Courier New" w:cs="Courier New" w:hint="default"/>
      </w:rPr>
    </w:lvl>
    <w:lvl w:ilvl="5" w:tplc="0C090005" w:tentative="1">
      <w:start w:val="1"/>
      <w:numFmt w:val="bullet"/>
      <w:lvlText w:val=""/>
      <w:lvlJc w:val="left"/>
      <w:pPr>
        <w:ind w:left="1464" w:hanging="360"/>
      </w:pPr>
      <w:rPr>
        <w:rFonts w:ascii="Wingdings" w:hAnsi="Wingdings" w:hint="default"/>
      </w:rPr>
    </w:lvl>
    <w:lvl w:ilvl="6" w:tplc="0C090001" w:tentative="1">
      <w:start w:val="1"/>
      <w:numFmt w:val="bullet"/>
      <w:lvlText w:val=""/>
      <w:lvlJc w:val="left"/>
      <w:pPr>
        <w:ind w:left="2184" w:hanging="360"/>
      </w:pPr>
      <w:rPr>
        <w:rFonts w:ascii="Symbol" w:hAnsi="Symbol" w:hint="default"/>
      </w:rPr>
    </w:lvl>
    <w:lvl w:ilvl="7" w:tplc="0C090003" w:tentative="1">
      <w:start w:val="1"/>
      <w:numFmt w:val="bullet"/>
      <w:lvlText w:val="o"/>
      <w:lvlJc w:val="left"/>
      <w:pPr>
        <w:ind w:left="2904" w:hanging="360"/>
      </w:pPr>
      <w:rPr>
        <w:rFonts w:ascii="Courier New" w:hAnsi="Courier New" w:cs="Courier New" w:hint="default"/>
      </w:rPr>
    </w:lvl>
    <w:lvl w:ilvl="8" w:tplc="0C090005" w:tentative="1">
      <w:start w:val="1"/>
      <w:numFmt w:val="bullet"/>
      <w:lvlText w:val=""/>
      <w:lvlJc w:val="left"/>
      <w:pPr>
        <w:ind w:left="3624" w:hanging="360"/>
      </w:pPr>
      <w:rPr>
        <w:rFonts w:ascii="Wingdings" w:hAnsi="Wingdings" w:hint="default"/>
      </w:rPr>
    </w:lvl>
  </w:abstractNum>
  <w:abstractNum w:abstractNumId="15">
    <w:nsid w:val="631F6D00"/>
    <w:multiLevelType w:val="hybridMultilevel"/>
    <w:tmpl w:val="6D5CBA28"/>
    <w:lvl w:ilvl="0" w:tplc="34CCE8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36D0CB5"/>
    <w:multiLevelType w:val="hybridMultilevel"/>
    <w:tmpl w:val="6D22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
  </w:num>
  <w:num w:numId="5">
    <w:abstractNumId w:val="13"/>
  </w:num>
  <w:num w:numId="6">
    <w:abstractNumId w:val="8"/>
  </w:num>
  <w:num w:numId="7">
    <w:abstractNumId w:val="4"/>
  </w:num>
  <w:num w:numId="8">
    <w:abstractNumId w:val="6"/>
  </w:num>
  <w:num w:numId="9">
    <w:abstractNumId w:val="15"/>
  </w:num>
  <w:num w:numId="10">
    <w:abstractNumId w:val="16"/>
  </w:num>
  <w:num w:numId="11">
    <w:abstractNumId w:val="7"/>
  </w:num>
  <w:num w:numId="12">
    <w:abstractNumId w:val="0"/>
  </w:num>
  <w:num w:numId="13">
    <w:abstractNumId w:val="2"/>
  </w:num>
  <w:num w:numId="14">
    <w:abstractNumId w:val="5"/>
  </w:num>
  <w:num w:numId="15">
    <w:abstractNumId w:val="14"/>
  </w:num>
  <w:num w:numId="16">
    <w:abstractNumId w:val="11"/>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059D"/>
    <w:rsid w:val="0000159D"/>
    <w:rsid w:val="00001AAA"/>
    <w:rsid w:val="0000237F"/>
    <w:rsid w:val="00003BE5"/>
    <w:rsid w:val="00003CBE"/>
    <w:rsid w:val="00004DB4"/>
    <w:rsid w:val="00005E0D"/>
    <w:rsid w:val="000069AB"/>
    <w:rsid w:val="000118F7"/>
    <w:rsid w:val="00011D52"/>
    <w:rsid w:val="0001397D"/>
    <w:rsid w:val="00014B23"/>
    <w:rsid w:val="000156D1"/>
    <w:rsid w:val="000162F0"/>
    <w:rsid w:val="00016560"/>
    <w:rsid w:val="00016EB9"/>
    <w:rsid w:val="000223CC"/>
    <w:rsid w:val="00023B28"/>
    <w:rsid w:val="00025C3E"/>
    <w:rsid w:val="00027B59"/>
    <w:rsid w:val="0003005A"/>
    <w:rsid w:val="0003263C"/>
    <w:rsid w:val="00035CFC"/>
    <w:rsid w:val="00036F08"/>
    <w:rsid w:val="00040727"/>
    <w:rsid w:val="0004076B"/>
    <w:rsid w:val="00040876"/>
    <w:rsid w:val="00040CC5"/>
    <w:rsid w:val="00040D17"/>
    <w:rsid w:val="00040D26"/>
    <w:rsid w:val="0004142E"/>
    <w:rsid w:val="0004192B"/>
    <w:rsid w:val="00042462"/>
    <w:rsid w:val="00042746"/>
    <w:rsid w:val="00042B5C"/>
    <w:rsid w:val="00043430"/>
    <w:rsid w:val="00043AF0"/>
    <w:rsid w:val="00044533"/>
    <w:rsid w:val="00046042"/>
    <w:rsid w:val="000500EB"/>
    <w:rsid w:val="00050881"/>
    <w:rsid w:val="00051383"/>
    <w:rsid w:val="00052E9C"/>
    <w:rsid w:val="000530C7"/>
    <w:rsid w:val="0005451A"/>
    <w:rsid w:val="000561A5"/>
    <w:rsid w:val="00056848"/>
    <w:rsid w:val="00060C28"/>
    <w:rsid w:val="00061236"/>
    <w:rsid w:val="000613A5"/>
    <w:rsid w:val="000614BF"/>
    <w:rsid w:val="0006283B"/>
    <w:rsid w:val="000630C3"/>
    <w:rsid w:val="000653CA"/>
    <w:rsid w:val="00065F14"/>
    <w:rsid w:val="00067EFA"/>
    <w:rsid w:val="0007542B"/>
    <w:rsid w:val="00075AE5"/>
    <w:rsid w:val="00075E7B"/>
    <w:rsid w:val="00076C90"/>
    <w:rsid w:val="00077815"/>
    <w:rsid w:val="00080037"/>
    <w:rsid w:val="0008172A"/>
    <w:rsid w:val="000833A3"/>
    <w:rsid w:val="00083C15"/>
    <w:rsid w:val="00084187"/>
    <w:rsid w:val="000848A1"/>
    <w:rsid w:val="00085055"/>
    <w:rsid w:val="000868C6"/>
    <w:rsid w:val="000875E7"/>
    <w:rsid w:val="00087A48"/>
    <w:rsid w:val="000901B7"/>
    <w:rsid w:val="000903D9"/>
    <w:rsid w:val="000921A9"/>
    <w:rsid w:val="00092B43"/>
    <w:rsid w:val="0009439A"/>
    <w:rsid w:val="00095C3B"/>
    <w:rsid w:val="000963BE"/>
    <w:rsid w:val="000A0781"/>
    <w:rsid w:val="000A102A"/>
    <w:rsid w:val="000A151F"/>
    <w:rsid w:val="000A2BCF"/>
    <w:rsid w:val="000A3763"/>
    <w:rsid w:val="000A3F4E"/>
    <w:rsid w:val="000A4E76"/>
    <w:rsid w:val="000A4EB0"/>
    <w:rsid w:val="000A62F7"/>
    <w:rsid w:val="000A7880"/>
    <w:rsid w:val="000B069A"/>
    <w:rsid w:val="000B0787"/>
    <w:rsid w:val="000B2258"/>
    <w:rsid w:val="000B2F7A"/>
    <w:rsid w:val="000B351D"/>
    <w:rsid w:val="000B4161"/>
    <w:rsid w:val="000B4942"/>
    <w:rsid w:val="000B6CAC"/>
    <w:rsid w:val="000B6D2A"/>
    <w:rsid w:val="000B70B8"/>
    <w:rsid w:val="000B773A"/>
    <w:rsid w:val="000B7D23"/>
    <w:rsid w:val="000C01AC"/>
    <w:rsid w:val="000C0C35"/>
    <w:rsid w:val="000C15B7"/>
    <w:rsid w:val="000C19AA"/>
    <w:rsid w:val="000C2334"/>
    <w:rsid w:val="000C30F1"/>
    <w:rsid w:val="000C310A"/>
    <w:rsid w:val="000C58B5"/>
    <w:rsid w:val="000C594D"/>
    <w:rsid w:val="000C62B7"/>
    <w:rsid w:val="000D003E"/>
    <w:rsid w:val="000D0FE5"/>
    <w:rsid w:val="000D274C"/>
    <w:rsid w:val="000D2F89"/>
    <w:rsid w:val="000D4D9F"/>
    <w:rsid w:val="000D50D0"/>
    <w:rsid w:val="000D528B"/>
    <w:rsid w:val="000D5ACA"/>
    <w:rsid w:val="000D6381"/>
    <w:rsid w:val="000D6454"/>
    <w:rsid w:val="000E0012"/>
    <w:rsid w:val="000E24CC"/>
    <w:rsid w:val="000E3A38"/>
    <w:rsid w:val="000E408F"/>
    <w:rsid w:val="000E67CA"/>
    <w:rsid w:val="000E783D"/>
    <w:rsid w:val="000E7B14"/>
    <w:rsid w:val="000F0116"/>
    <w:rsid w:val="000F080E"/>
    <w:rsid w:val="000F08F2"/>
    <w:rsid w:val="000F0F7B"/>
    <w:rsid w:val="000F260D"/>
    <w:rsid w:val="000F30FF"/>
    <w:rsid w:val="000F349D"/>
    <w:rsid w:val="000F3D9F"/>
    <w:rsid w:val="000F4057"/>
    <w:rsid w:val="000F53C2"/>
    <w:rsid w:val="000F542C"/>
    <w:rsid w:val="000F566E"/>
    <w:rsid w:val="000F7F6F"/>
    <w:rsid w:val="00100ED4"/>
    <w:rsid w:val="001016E8"/>
    <w:rsid w:val="001019C0"/>
    <w:rsid w:val="00101EAF"/>
    <w:rsid w:val="001023CB"/>
    <w:rsid w:val="001025C9"/>
    <w:rsid w:val="00105EE3"/>
    <w:rsid w:val="001071A4"/>
    <w:rsid w:val="00110610"/>
    <w:rsid w:val="00111723"/>
    <w:rsid w:val="00111DD3"/>
    <w:rsid w:val="00111F7D"/>
    <w:rsid w:val="00112444"/>
    <w:rsid w:val="001155CC"/>
    <w:rsid w:val="001202C1"/>
    <w:rsid w:val="00120673"/>
    <w:rsid w:val="00121418"/>
    <w:rsid w:val="00121A53"/>
    <w:rsid w:val="00121A86"/>
    <w:rsid w:val="00121E1A"/>
    <w:rsid w:val="00122558"/>
    <w:rsid w:val="001226B2"/>
    <w:rsid w:val="00123A50"/>
    <w:rsid w:val="00125795"/>
    <w:rsid w:val="00127712"/>
    <w:rsid w:val="001278A2"/>
    <w:rsid w:val="00127BC0"/>
    <w:rsid w:val="0013041A"/>
    <w:rsid w:val="0013169E"/>
    <w:rsid w:val="00132BFF"/>
    <w:rsid w:val="00132C94"/>
    <w:rsid w:val="001332F2"/>
    <w:rsid w:val="00134A9F"/>
    <w:rsid w:val="00134BA3"/>
    <w:rsid w:val="00136219"/>
    <w:rsid w:val="001368EB"/>
    <w:rsid w:val="00136A61"/>
    <w:rsid w:val="0013765E"/>
    <w:rsid w:val="00137794"/>
    <w:rsid w:val="00141274"/>
    <w:rsid w:val="0014174B"/>
    <w:rsid w:val="00141FF4"/>
    <w:rsid w:val="0014328A"/>
    <w:rsid w:val="001438A6"/>
    <w:rsid w:val="0014437E"/>
    <w:rsid w:val="00145022"/>
    <w:rsid w:val="0014566C"/>
    <w:rsid w:val="001463C2"/>
    <w:rsid w:val="0014683D"/>
    <w:rsid w:val="0014697E"/>
    <w:rsid w:val="001475F7"/>
    <w:rsid w:val="001477F7"/>
    <w:rsid w:val="0014792B"/>
    <w:rsid w:val="00150065"/>
    <w:rsid w:val="0015168F"/>
    <w:rsid w:val="00151950"/>
    <w:rsid w:val="00151F88"/>
    <w:rsid w:val="00152A71"/>
    <w:rsid w:val="001533EC"/>
    <w:rsid w:val="00153D10"/>
    <w:rsid w:val="00154910"/>
    <w:rsid w:val="00155481"/>
    <w:rsid w:val="001555C9"/>
    <w:rsid w:val="00155B97"/>
    <w:rsid w:val="00156060"/>
    <w:rsid w:val="00160FE3"/>
    <w:rsid w:val="001611AB"/>
    <w:rsid w:val="0016265F"/>
    <w:rsid w:val="00164A4D"/>
    <w:rsid w:val="00165C3E"/>
    <w:rsid w:val="00165DB1"/>
    <w:rsid w:val="00166926"/>
    <w:rsid w:val="00170107"/>
    <w:rsid w:val="00170FC2"/>
    <w:rsid w:val="001727E8"/>
    <w:rsid w:val="00172D5B"/>
    <w:rsid w:val="0018072A"/>
    <w:rsid w:val="001811B8"/>
    <w:rsid w:val="0018136A"/>
    <w:rsid w:val="001817F5"/>
    <w:rsid w:val="00182648"/>
    <w:rsid w:val="00183923"/>
    <w:rsid w:val="00184A28"/>
    <w:rsid w:val="001867C7"/>
    <w:rsid w:val="001871CA"/>
    <w:rsid w:val="00190747"/>
    <w:rsid w:val="00191B40"/>
    <w:rsid w:val="001922E5"/>
    <w:rsid w:val="001923C1"/>
    <w:rsid w:val="0019429B"/>
    <w:rsid w:val="001942B3"/>
    <w:rsid w:val="001943BE"/>
    <w:rsid w:val="0019542E"/>
    <w:rsid w:val="00195437"/>
    <w:rsid w:val="001968DC"/>
    <w:rsid w:val="001A024F"/>
    <w:rsid w:val="001A0CED"/>
    <w:rsid w:val="001A0DC3"/>
    <w:rsid w:val="001A0F8E"/>
    <w:rsid w:val="001A2840"/>
    <w:rsid w:val="001A2BAF"/>
    <w:rsid w:val="001A33CC"/>
    <w:rsid w:val="001A3AAA"/>
    <w:rsid w:val="001A4430"/>
    <w:rsid w:val="001A4DF8"/>
    <w:rsid w:val="001A5E91"/>
    <w:rsid w:val="001A5FE2"/>
    <w:rsid w:val="001A6510"/>
    <w:rsid w:val="001A66A5"/>
    <w:rsid w:val="001A6CAB"/>
    <w:rsid w:val="001A744D"/>
    <w:rsid w:val="001A7BF4"/>
    <w:rsid w:val="001A7DE6"/>
    <w:rsid w:val="001A7F85"/>
    <w:rsid w:val="001B1431"/>
    <w:rsid w:val="001B1812"/>
    <w:rsid w:val="001B27CF"/>
    <w:rsid w:val="001B3E52"/>
    <w:rsid w:val="001B46F6"/>
    <w:rsid w:val="001B5564"/>
    <w:rsid w:val="001B6B29"/>
    <w:rsid w:val="001B7A3E"/>
    <w:rsid w:val="001B7B44"/>
    <w:rsid w:val="001C0606"/>
    <w:rsid w:val="001C121B"/>
    <w:rsid w:val="001C125D"/>
    <w:rsid w:val="001C13A5"/>
    <w:rsid w:val="001C150C"/>
    <w:rsid w:val="001C1CEB"/>
    <w:rsid w:val="001C25E2"/>
    <w:rsid w:val="001C3659"/>
    <w:rsid w:val="001C3A79"/>
    <w:rsid w:val="001C4689"/>
    <w:rsid w:val="001C52FE"/>
    <w:rsid w:val="001C7551"/>
    <w:rsid w:val="001D038B"/>
    <w:rsid w:val="001D15A1"/>
    <w:rsid w:val="001D1836"/>
    <w:rsid w:val="001D298C"/>
    <w:rsid w:val="001D3D04"/>
    <w:rsid w:val="001D46D2"/>
    <w:rsid w:val="001D50BC"/>
    <w:rsid w:val="001D50C7"/>
    <w:rsid w:val="001D5BA0"/>
    <w:rsid w:val="001D652D"/>
    <w:rsid w:val="001D7318"/>
    <w:rsid w:val="001D77A8"/>
    <w:rsid w:val="001D7817"/>
    <w:rsid w:val="001E0A75"/>
    <w:rsid w:val="001E1665"/>
    <w:rsid w:val="001E232E"/>
    <w:rsid w:val="001E3126"/>
    <w:rsid w:val="001E3910"/>
    <w:rsid w:val="001E4593"/>
    <w:rsid w:val="001E589A"/>
    <w:rsid w:val="001F024C"/>
    <w:rsid w:val="001F0F11"/>
    <w:rsid w:val="001F1386"/>
    <w:rsid w:val="001F187C"/>
    <w:rsid w:val="001F2FD4"/>
    <w:rsid w:val="001F32AB"/>
    <w:rsid w:val="001F5A9B"/>
    <w:rsid w:val="001F5B3D"/>
    <w:rsid w:val="001F5BCB"/>
    <w:rsid w:val="001F5CDF"/>
    <w:rsid w:val="001F670D"/>
    <w:rsid w:val="001F6EEA"/>
    <w:rsid w:val="001F7244"/>
    <w:rsid w:val="001F75FA"/>
    <w:rsid w:val="0020076C"/>
    <w:rsid w:val="0020079C"/>
    <w:rsid w:val="00201A96"/>
    <w:rsid w:val="00202A6B"/>
    <w:rsid w:val="00202AE7"/>
    <w:rsid w:val="00203C7D"/>
    <w:rsid w:val="002041FF"/>
    <w:rsid w:val="00204DFF"/>
    <w:rsid w:val="0020535C"/>
    <w:rsid w:val="00205D00"/>
    <w:rsid w:val="0020791B"/>
    <w:rsid w:val="0020796A"/>
    <w:rsid w:val="0021133A"/>
    <w:rsid w:val="0021180A"/>
    <w:rsid w:val="00212465"/>
    <w:rsid w:val="00212936"/>
    <w:rsid w:val="00213C59"/>
    <w:rsid w:val="002158C8"/>
    <w:rsid w:val="00216CE6"/>
    <w:rsid w:val="00216F19"/>
    <w:rsid w:val="00217B72"/>
    <w:rsid w:val="00217E71"/>
    <w:rsid w:val="002203F0"/>
    <w:rsid w:val="002208FB"/>
    <w:rsid w:val="00220D64"/>
    <w:rsid w:val="0022256D"/>
    <w:rsid w:val="002227A3"/>
    <w:rsid w:val="002235C4"/>
    <w:rsid w:val="00224234"/>
    <w:rsid w:val="0022435C"/>
    <w:rsid w:val="00224EA1"/>
    <w:rsid w:val="00225056"/>
    <w:rsid w:val="00225F89"/>
    <w:rsid w:val="00230598"/>
    <w:rsid w:val="00230DFC"/>
    <w:rsid w:val="002317DA"/>
    <w:rsid w:val="002327F8"/>
    <w:rsid w:val="0023296D"/>
    <w:rsid w:val="00234795"/>
    <w:rsid w:val="002355DE"/>
    <w:rsid w:val="0023571B"/>
    <w:rsid w:val="00236F30"/>
    <w:rsid w:val="002374B4"/>
    <w:rsid w:val="00237788"/>
    <w:rsid w:val="00237B5F"/>
    <w:rsid w:val="00240467"/>
    <w:rsid w:val="0024119B"/>
    <w:rsid w:val="0024170B"/>
    <w:rsid w:val="00241C15"/>
    <w:rsid w:val="00243126"/>
    <w:rsid w:val="00243534"/>
    <w:rsid w:val="00243F7B"/>
    <w:rsid w:val="002442EB"/>
    <w:rsid w:val="00244543"/>
    <w:rsid w:val="00245CE4"/>
    <w:rsid w:val="002502E0"/>
    <w:rsid w:val="002502EF"/>
    <w:rsid w:val="00250E06"/>
    <w:rsid w:val="00252BD7"/>
    <w:rsid w:val="0025356A"/>
    <w:rsid w:val="00253E0B"/>
    <w:rsid w:val="00253F8D"/>
    <w:rsid w:val="002543DF"/>
    <w:rsid w:val="002550E9"/>
    <w:rsid w:val="00256699"/>
    <w:rsid w:val="0026131A"/>
    <w:rsid w:val="002629DC"/>
    <w:rsid w:val="00262C0A"/>
    <w:rsid w:val="002630E0"/>
    <w:rsid w:val="00263997"/>
    <w:rsid w:val="0026620C"/>
    <w:rsid w:val="00266915"/>
    <w:rsid w:val="00267830"/>
    <w:rsid w:val="0027068E"/>
    <w:rsid w:val="00273325"/>
    <w:rsid w:val="00273748"/>
    <w:rsid w:val="00273BB0"/>
    <w:rsid w:val="002742EF"/>
    <w:rsid w:val="00274BA8"/>
    <w:rsid w:val="00276DF8"/>
    <w:rsid w:val="00277F32"/>
    <w:rsid w:val="0028010D"/>
    <w:rsid w:val="002819AA"/>
    <w:rsid w:val="00281EFE"/>
    <w:rsid w:val="002825A0"/>
    <w:rsid w:val="00286A8B"/>
    <w:rsid w:val="00286DB5"/>
    <w:rsid w:val="002875B7"/>
    <w:rsid w:val="00292DAD"/>
    <w:rsid w:val="0029330A"/>
    <w:rsid w:val="00294E3C"/>
    <w:rsid w:val="0029551B"/>
    <w:rsid w:val="00295EB3"/>
    <w:rsid w:val="00296633"/>
    <w:rsid w:val="002A00F5"/>
    <w:rsid w:val="002A010F"/>
    <w:rsid w:val="002A0424"/>
    <w:rsid w:val="002A237B"/>
    <w:rsid w:val="002A3061"/>
    <w:rsid w:val="002A43F0"/>
    <w:rsid w:val="002A455A"/>
    <w:rsid w:val="002A4859"/>
    <w:rsid w:val="002A4ACA"/>
    <w:rsid w:val="002A5A99"/>
    <w:rsid w:val="002A6DBF"/>
    <w:rsid w:val="002B1F61"/>
    <w:rsid w:val="002B2136"/>
    <w:rsid w:val="002B381D"/>
    <w:rsid w:val="002B3AEF"/>
    <w:rsid w:val="002B3FCA"/>
    <w:rsid w:val="002B46EB"/>
    <w:rsid w:val="002B5253"/>
    <w:rsid w:val="002B5331"/>
    <w:rsid w:val="002B5D65"/>
    <w:rsid w:val="002B618E"/>
    <w:rsid w:val="002B6CC2"/>
    <w:rsid w:val="002C06A8"/>
    <w:rsid w:val="002C0C38"/>
    <w:rsid w:val="002C1799"/>
    <w:rsid w:val="002C2A4E"/>
    <w:rsid w:val="002C3A51"/>
    <w:rsid w:val="002C6E2E"/>
    <w:rsid w:val="002C6F4E"/>
    <w:rsid w:val="002C7AB9"/>
    <w:rsid w:val="002C7D3E"/>
    <w:rsid w:val="002C7FF6"/>
    <w:rsid w:val="002D3901"/>
    <w:rsid w:val="002D592D"/>
    <w:rsid w:val="002D5D45"/>
    <w:rsid w:val="002D6514"/>
    <w:rsid w:val="002D7AC6"/>
    <w:rsid w:val="002D7FDB"/>
    <w:rsid w:val="002E06E3"/>
    <w:rsid w:val="002E06EB"/>
    <w:rsid w:val="002E453E"/>
    <w:rsid w:val="002E4E20"/>
    <w:rsid w:val="002E5D82"/>
    <w:rsid w:val="002E677D"/>
    <w:rsid w:val="002E782F"/>
    <w:rsid w:val="002E7897"/>
    <w:rsid w:val="002E7F28"/>
    <w:rsid w:val="002F00C9"/>
    <w:rsid w:val="002F0993"/>
    <w:rsid w:val="002F0EBE"/>
    <w:rsid w:val="002F1319"/>
    <w:rsid w:val="002F1339"/>
    <w:rsid w:val="002F2AF7"/>
    <w:rsid w:val="002F2F65"/>
    <w:rsid w:val="002F42BE"/>
    <w:rsid w:val="002F4DB0"/>
    <w:rsid w:val="002F6212"/>
    <w:rsid w:val="002F632C"/>
    <w:rsid w:val="002F6D63"/>
    <w:rsid w:val="003016C4"/>
    <w:rsid w:val="00303296"/>
    <w:rsid w:val="00306FBF"/>
    <w:rsid w:val="00307AF8"/>
    <w:rsid w:val="0031087B"/>
    <w:rsid w:val="00310B35"/>
    <w:rsid w:val="0031301A"/>
    <w:rsid w:val="003168CE"/>
    <w:rsid w:val="00320AFE"/>
    <w:rsid w:val="00320F07"/>
    <w:rsid w:val="00321554"/>
    <w:rsid w:val="003215A3"/>
    <w:rsid w:val="00321A43"/>
    <w:rsid w:val="00322C31"/>
    <w:rsid w:val="0032301B"/>
    <w:rsid w:val="0032308F"/>
    <w:rsid w:val="00324459"/>
    <w:rsid w:val="00325A6C"/>
    <w:rsid w:val="003268C1"/>
    <w:rsid w:val="00327300"/>
    <w:rsid w:val="00332B03"/>
    <w:rsid w:val="00333BA6"/>
    <w:rsid w:val="003340FB"/>
    <w:rsid w:val="00334926"/>
    <w:rsid w:val="00336254"/>
    <w:rsid w:val="00336760"/>
    <w:rsid w:val="00337869"/>
    <w:rsid w:val="00341AE8"/>
    <w:rsid w:val="00341FEC"/>
    <w:rsid w:val="00342826"/>
    <w:rsid w:val="0034321B"/>
    <w:rsid w:val="00344D53"/>
    <w:rsid w:val="00352490"/>
    <w:rsid w:val="003533CA"/>
    <w:rsid w:val="00354394"/>
    <w:rsid w:val="0035493A"/>
    <w:rsid w:val="00355B9C"/>
    <w:rsid w:val="00357354"/>
    <w:rsid w:val="00360759"/>
    <w:rsid w:val="0036161B"/>
    <w:rsid w:val="00365CB8"/>
    <w:rsid w:val="003669CC"/>
    <w:rsid w:val="00366D48"/>
    <w:rsid w:val="00367FA3"/>
    <w:rsid w:val="00372153"/>
    <w:rsid w:val="00374216"/>
    <w:rsid w:val="00374AE7"/>
    <w:rsid w:val="003758A7"/>
    <w:rsid w:val="003769FA"/>
    <w:rsid w:val="0037778F"/>
    <w:rsid w:val="00380E64"/>
    <w:rsid w:val="003812E6"/>
    <w:rsid w:val="0038277C"/>
    <w:rsid w:val="00383A09"/>
    <w:rsid w:val="00384772"/>
    <w:rsid w:val="00384AED"/>
    <w:rsid w:val="00385D4D"/>
    <w:rsid w:val="00386778"/>
    <w:rsid w:val="00387729"/>
    <w:rsid w:val="00387D57"/>
    <w:rsid w:val="0039063B"/>
    <w:rsid w:val="003911E4"/>
    <w:rsid w:val="00391418"/>
    <w:rsid w:val="00391557"/>
    <w:rsid w:val="00391A59"/>
    <w:rsid w:val="003932ED"/>
    <w:rsid w:val="003958D9"/>
    <w:rsid w:val="00397E45"/>
    <w:rsid w:val="003A0863"/>
    <w:rsid w:val="003A19A5"/>
    <w:rsid w:val="003A2034"/>
    <w:rsid w:val="003A269C"/>
    <w:rsid w:val="003A447E"/>
    <w:rsid w:val="003A6307"/>
    <w:rsid w:val="003A6A3B"/>
    <w:rsid w:val="003B01B7"/>
    <w:rsid w:val="003B0870"/>
    <w:rsid w:val="003B0AAE"/>
    <w:rsid w:val="003B0E35"/>
    <w:rsid w:val="003B1682"/>
    <w:rsid w:val="003B1937"/>
    <w:rsid w:val="003B4A6C"/>
    <w:rsid w:val="003B6150"/>
    <w:rsid w:val="003B660D"/>
    <w:rsid w:val="003B74E4"/>
    <w:rsid w:val="003B7E94"/>
    <w:rsid w:val="003C03EB"/>
    <w:rsid w:val="003C0A38"/>
    <w:rsid w:val="003C0A77"/>
    <w:rsid w:val="003C142B"/>
    <w:rsid w:val="003C1F90"/>
    <w:rsid w:val="003C2311"/>
    <w:rsid w:val="003C347A"/>
    <w:rsid w:val="003C351E"/>
    <w:rsid w:val="003C58C4"/>
    <w:rsid w:val="003C5D5A"/>
    <w:rsid w:val="003C5EFD"/>
    <w:rsid w:val="003D0183"/>
    <w:rsid w:val="003D0D26"/>
    <w:rsid w:val="003D1337"/>
    <w:rsid w:val="003D2C3F"/>
    <w:rsid w:val="003D4283"/>
    <w:rsid w:val="003D48A9"/>
    <w:rsid w:val="003D6219"/>
    <w:rsid w:val="003D662F"/>
    <w:rsid w:val="003D6FA8"/>
    <w:rsid w:val="003E022B"/>
    <w:rsid w:val="003E1201"/>
    <w:rsid w:val="003E1F3D"/>
    <w:rsid w:val="003E269D"/>
    <w:rsid w:val="003E2B20"/>
    <w:rsid w:val="003E3FAF"/>
    <w:rsid w:val="003F1027"/>
    <w:rsid w:val="003F2F10"/>
    <w:rsid w:val="003F600B"/>
    <w:rsid w:val="003F6CA9"/>
    <w:rsid w:val="004008C7"/>
    <w:rsid w:val="004011BA"/>
    <w:rsid w:val="00401745"/>
    <w:rsid w:val="00403823"/>
    <w:rsid w:val="00403AB5"/>
    <w:rsid w:val="00404731"/>
    <w:rsid w:val="004053D4"/>
    <w:rsid w:val="00406847"/>
    <w:rsid w:val="0040688E"/>
    <w:rsid w:val="00407E4A"/>
    <w:rsid w:val="00410D07"/>
    <w:rsid w:val="004111D4"/>
    <w:rsid w:val="004112F1"/>
    <w:rsid w:val="004115B6"/>
    <w:rsid w:val="00413868"/>
    <w:rsid w:val="00413C36"/>
    <w:rsid w:val="00413F6B"/>
    <w:rsid w:val="00414BA7"/>
    <w:rsid w:val="00415126"/>
    <w:rsid w:val="004152D6"/>
    <w:rsid w:val="004164B0"/>
    <w:rsid w:val="004164BB"/>
    <w:rsid w:val="00417A6F"/>
    <w:rsid w:val="0042014B"/>
    <w:rsid w:val="004205EF"/>
    <w:rsid w:val="00421306"/>
    <w:rsid w:val="00422328"/>
    <w:rsid w:val="00422BB7"/>
    <w:rsid w:val="00423888"/>
    <w:rsid w:val="00423CCC"/>
    <w:rsid w:val="00424B10"/>
    <w:rsid w:val="00424D3E"/>
    <w:rsid w:val="0042557B"/>
    <w:rsid w:val="0042666B"/>
    <w:rsid w:val="004318DC"/>
    <w:rsid w:val="00432694"/>
    <w:rsid w:val="004347C9"/>
    <w:rsid w:val="00435080"/>
    <w:rsid w:val="004353C2"/>
    <w:rsid w:val="00436D3D"/>
    <w:rsid w:val="00436DF5"/>
    <w:rsid w:val="00440231"/>
    <w:rsid w:val="00440E22"/>
    <w:rsid w:val="00440F44"/>
    <w:rsid w:val="0044207F"/>
    <w:rsid w:val="0044412E"/>
    <w:rsid w:val="004456CC"/>
    <w:rsid w:val="00445CDC"/>
    <w:rsid w:val="004468A9"/>
    <w:rsid w:val="00446C35"/>
    <w:rsid w:val="00450702"/>
    <w:rsid w:val="00450E7A"/>
    <w:rsid w:val="00450FF8"/>
    <w:rsid w:val="00452484"/>
    <w:rsid w:val="004533ED"/>
    <w:rsid w:val="00454798"/>
    <w:rsid w:val="004552A2"/>
    <w:rsid w:val="00456D91"/>
    <w:rsid w:val="0045733E"/>
    <w:rsid w:val="00461C8E"/>
    <w:rsid w:val="00462767"/>
    <w:rsid w:val="00463CBB"/>
    <w:rsid w:val="004640D1"/>
    <w:rsid w:val="00465D16"/>
    <w:rsid w:val="0046717F"/>
    <w:rsid w:val="0047036B"/>
    <w:rsid w:val="00470721"/>
    <w:rsid w:val="00470B99"/>
    <w:rsid w:val="00472115"/>
    <w:rsid w:val="0047357F"/>
    <w:rsid w:val="00474132"/>
    <w:rsid w:val="00475C39"/>
    <w:rsid w:val="00477937"/>
    <w:rsid w:val="004803E5"/>
    <w:rsid w:val="00481B25"/>
    <w:rsid w:val="00482A22"/>
    <w:rsid w:val="00482B30"/>
    <w:rsid w:val="00484068"/>
    <w:rsid w:val="00484CC6"/>
    <w:rsid w:val="0048533B"/>
    <w:rsid w:val="00486626"/>
    <w:rsid w:val="0048754C"/>
    <w:rsid w:val="00487F0F"/>
    <w:rsid w:val="0049292E"/>
    <w:rsid w:val="00493791"/>
    <w:rsid w:val="0049414B"/>
    <w:rsid w:val="004977DE"/>
    <w:rsid w:val="004A1760"/>
    <w:rsid w:val="004A2115"/>
    <w:rsid w:val="004A2F6F"/>
    <w:rsid w:val="004B0EDE"/>
    <w:rsid w:val="004B10F5"/>
    <w:rsid w:val="004B26EB"/>
    <w:rsid w:val="004B48AF"/>
    <w:rsid w:val="004B5017"/>
    <w:rsid w:val="004B50BC"/>
    <w:rsid w:val="004B6187"/>
    <w:rsid w:val="004B7253"/>
    <w:rsid w:val="004B7FFA"/>
    <w:rsid w:val="004C0182"/>
    <w:rsid w:val="004C03D5"/>
    <w:rsid w:val="004C0BD1"/>
    <w:rsid w:val="004C21BB"/>
    <w:rsid w:val="004C2EB3"/>
    <w:rsid w:val="004C3CC3"/>
    <w:rsid w:val="004C4418"/>
    <w:rsid w:val="004C5006"/>
    <w:rsid w:val="004C606E"/>
    <w:rsid w:val="004C625A"/>
    <w:rsid w:val="004C64D9"/>
    <w:rsid w:val="004C697F"/>
    <w:rsid w:val="004C7A79"/>
    <w:rsid w:val="004D43D2"/>
    <w:rsid w:val="004D652E"/>
    <w:rsid w:val="004E0529"/>
    <w:rsid w:val="004E0CAD"/>
    <w:rsid w:val="004E1EBB"/>
    <w:rsid w:val="004E3959"/>
    <w:rsid w:val="004E5EA3"/>
    <w:rsid w:val="004E6C3A"/>
    <w:rsid w:val="004E7034"/>
    <w:rsid w:val="004E7510"/>
    <w:rsid w:val="004E7F7D"/>
    <w:rsid w:val="004F0DFD"/>
    <w:rsid w:val="004F112A"/>
    <w:rsid w:val="004F11EA"/>
    <w:rsid w:val="004F1B89"/>
    <w:rsid w:val="004F39F0"/>
    <w:rsid w:val="004F3B07"/>
    <w:rsid w:val="004F42DC"/>
    <w:rsid w:val="004F6CE4"/>
    <w:rsid w:val="0050428E"/>
    <w:rsid w:val="0050670A"/>
    <w:rsid w:val="00506CE4"/>
    <w:rsid w:val="00510952"/>
    <w:rsid w:val="00512224"/>
    <w:rsid w:val="00517E23"/>
    <w:rsid w:val="00520756"/>
    <w:rsid w:val="00521323"/>
    <w:rsid w:val="005223FD"/>
    <w:rsid w:val="00525303"/>
    <w:rsid w:val="00527304"/>
    <w:rsid w:val="00530144"/>
    <w:rsid w:val="0053137B"/>
    <w:rsid w:val="00532423"/>
    <w:rsid w:val="00532BFB"/>
    <w:rsid w:val="00533E29"/>
    <w:rsid w:val="00534E32"/>
    <w:rsid w:val="00534EE2"/>
    <w:rsid w:val="00535B95"/>
    <w:rsid w:val="005365E0"/>
    <w:rsid w:val="00542479"/>
    <w:rsid w:val="005436B6"/>
    <w:rsid w:val="00543AEF"/>
    <w:rsid w:val="00543B27"/>
    <w:rsid w:val="00544362"/>
    <w:rsid w:val="00545672"/>
    <w:rsid w:val="00546396"/>
    <w:rsid w:val="0054722C"/>
    <w:rsid w:val="00547CA9"/>
    <w:rsid w:val="00547E18"/>
    <w:rsid w:val="00550256"/>
    <w:rsid w:val="0055055C"/>
    <w:rsid w:val="005534E4"/>
    <w:rsid w:val="00554E38"/>
    <w:rsid w:val="0055577C"/>
    <w:rsid w:val="00557D15"/>
    <w:rsid w:val="00560025"/>
    <w:rsid w:val="00560034"/>
    <w:rsid w:val="00560171"/>
    <w:rsid w:val="00560BE3"/>
    <w:rsid w:val="0056179B"/>
    <w:rsid w:val="0056448B"/>
    <w:rsid w:val="00565492"/>
    <w:rsid w:val="00565F92"/>
    <w:rsid w:val="005701A7"/>
    <w:rsid w:val="00570A95"/>
    <w:rsid w:val="005717B0"/>
    <w:rsid w:val="00571E75"/>
    <w:rsid w:val="005732EC"/>
    <w:rsid w:val="00573408"/>
    <w:rsid w:val="00573E0F"/>
    <w:rsid w:val="00576145"/>
    <w:rsid w:val="00576ED0"/>
    <w:rsid w:val="00576F0D"/>
    <w:rsid w:val="00580BDF"/>
    <w:rsid w:val="005819E4"/>
    <w:rsid w:val="00581A2C"/>
    <w:rsid w:val="00583EC7"/>
    <w:rsid w:val="00586C72"/>
    <w:rsid w:val="00587C8F"/>
    <w:rsid w:val="00590779"/>
    <w:rsid w:val="00590CBF"/>
    <w:rsid w:val="00591D34"/>
    <w:rsid w:val="00592D33"/>
    <w:rsid w:val="00593217"/>
    <w:rsid w:val="0059367E"/>
    <w:rsid w:val="00593B10"/>
    <w:rsid w:val="00595833"/>
    <w:rsid w:val="005959F9"/>
    <w:rsid w:val="00596AD2"/>
    <w:rsid w:val="00597798"/>
    <w:rsid w:val="005A0D15"/>
    <w:rsid w:val="005A18D7"/>
    <w:rsid w:val="005A2A86"/>
    <w:rsid w:val="005A4466"/>
    <w:rsid w:val="005A5392"/>
    <w:rsid w:val="005A540F"/>
    <w:rsid w:val="005A5571"/>
    <w:rsid w:val="005A5B2E"/>
    <w:rsid w:val="005A5CAD"/>
    <w:rsid w:val="005A64A9"/>
    <w:rsid w:val="005A64DD"/>
    <w:rsid w:val="005A6891"/>
    <w:rsid w:val="005A6A2D"/>
    <w:rsid w:val="005A6E96"/>
    <w:rsid w:val="005A748B"/>
    <w:rsid w:val="005B14AC"/>
    <w:rsid w:val="005B2F9C"/>
    <w:rsid w:val="005B3729"/>
    <w:rsid w:val="005B5ADE"/>
    <w:rsid w:val="005C154E"/>
    <w:rsid w:val="005C31A0"/>
    <w:rsid w:val="005C35BE"/>
    <w:rsid w:val="005C4952"/>
    <w:rsid w:val="005C63F7"/>
    <w:rsid w:val="005C74C9"/>
    <w:rsid w:val="005D0EE2"/>
    <w:rsid w:val="005D2355"/>
    <w:rsid w:val="005D2565"/>
    <w:rsid w:val="005D25D5"/>
    <w:rsid w:val="005D3014"/>
    <w:rsid w:val="005D51D7"/>
    <w:rsid w:val="005D6CD2"/>
    <w:rsid w:val="005D6E23"/>
    <w:rsid w:val="005D7A0C"/>
    <w:rsid w:val="005E0A05"/>
    <w:rsid w:val="005E0B6D"/>
    <w:rsid w:val="005E11FC"/>
    <w:rsid w:val="005E16F9"/>
    <w:rsid w:val="005E28FB"/>
    <w:rsid w:val="005E3ADF"/>
    <w:rsid w:val="005E5130"/>
    <w:rsid w:val="005E6294"/>
    <w:rsid w:val="005E6A30"/>
    <w:rsid w:val="005E6D8B"/>
    <w:rsid w:val="005E7C51"/>
    <w:rsid w:val="005E7C87"/>
    <w:rsid w:val="005F01D2"/>
    <w:rsid w:val="005F1009"/>
    <w:rsid w:val="005F1298"/>
    <w:rsid w:val="005F21D1"/>
    <w:rsid w:val="005F40A1"/>
    <w:rsid w:val="005F5ACC"/>
    <w:rsid w:val="005F6288"/>
    <w:rsid w:val="005F69CC"/>
    <w:rsid w:val="005F76B2"/>
    <w:rsid w:val="00603061"/>
    <w:rsid w:val="006037BD"/>
    <w:rsid w:val="00603FF6"/>
    <w:rsid w:val="00605DDD"/>
    <w:rsid w:val="00605E06"/>
    <w:rsid w:val="00607663"/>
    <w:rsid w:val="006104D6"/>
    <w:rsid w:val="006109E9"/>
    <w:rsid w:val="00610CFE"/>
    <w:rsid w:val="0061186C"/>
    <w:rsid w:val="00611D83"/>
    <w:rsid w:val="00611EA1"/>
    <w:rsid w:val="00611ED6"/>
    <w:rsid w:val="0061213E"/>
    <w:rsid w:val="00613278"/>
    <w:rsid w:val="006142B5"/>
    <w:rsid w:val="006144AD"/>
    <w:rsid w:val="00614D51"/>
    <w:rsid w:val="0061556B"/>
    <w:rsid w:val="00616345"/>
    <w:rsid w:val="00617B32"/>
    <w:rsid w:val="0062031D"/>
    <w:rsid w:val="006216C2"/>
    <w:rsid w:val="00622C71"/>
    <w:rsid w:val="006231E7"/>
    <w:rsid w:val="0062374D"/>
    <w:rsid w:val="0062389F"/>
    <w:rsid w:val="006244DA"/>
    <w:rsid w:val="0062473C"/>
    <w:rsid w:val="00625792"/>
    <w:rsid w:val="0063160F"/>
    <w:rsid w:val="00633196"/>
    <w:rsid w:val="00634850"/>
    <w:rsid w:val="00635D66"/>
    <w:rsid w:val="00636F21"/>
    <w:rsid w:val="00640940"/>
    <w:rsid w:val="00640AF8"/>
    <w:rsid w:val="00640DAD"/>
    <w:rsid w:val="00640F10"/>
    <w:rsid w:val="0064190A"/>
    <w:rsid w:val="00642DBA"/>
    <w:rsid w:val="006435C7"/>
    <w:rsid w:val="00646310"/>
    <w:rsid w:val="00650743"/>
    <w:rsid w:val="00650891"/>
    <w:rsid w:val="00651008"/>
    <w:rsid w:val="00651DE9"/>
    <w:rsid w:val="00653FE5"/>
    <w:rsid w:val="00655B53"/>
    <w:rsid w:val="00657AAB"/>
    <w:rsid w:val="0066223E"/>
    <w:rsid w:val="00662536"/>
    <w:rsid w:val="00663C65"/>
    <w:rsid w:val="00664112"/>
    <w:rsid w:val="006663BD"/>
    <w:rsid w:val="0067006F"/>
    <w:rsid w:val="00670210"/>
    <w:rsid w:val="006722E1"/>
    <w:rsid w:val="006724CC"/>
    <w:rsid w:val="00672804"/>
    <w:rsid w:val="00672957"/>
    <w:rsid w:val="006737EC"/>
    <w:rsid w:val="00673AC2"/>
    <w:rsid w:val="00674463"/>
    <w:rsid w:val="006754D2"/>
    <w:rsid w:val="006779ED"/>
    <w:rsid w:val="00683D7C"/>
    <w:rsid w:val="006859F7"/>
    <w:rsid w:val="00686B0C"/>
    <w:rsid w:val="0069019B"/>
    <w:rsid w:val="00690B97"/>
    <w:rsid w:val="00692E6A"/>
    <w:rsid w:val="0069307D"/>
    <w:rsid w:val="0069313B"/>
    <w:rsid w:val="00693363"/>
    <w:rsid w:val="00693D92"/>
    <w:rsid w:val="00694BA2"/>
    <w:rsid w:val="006950EC"/>
    <w:rsid w:val="0069518F"/>
    <w:rsid w:val="006951BB"/>
    <w:rsid w:val="00696A94"/>
    <w:rsid w:val="00697A4F"/>
    <w:rsid w:val="006A386A"/>
    <w:rsid w:val="006A3F1A"/>
    <w:rsid w:val="006A41AF"/>
    <w:rsid w:val="006A4BA5"/>
    <w:rsid w:val="006A5E3E"/>
    <w:rsid w:val="006A797E"/>
    <w:rsid w:val="006B0C72"/>
    <w:rsid w:val="006B16F5"/>
    <w:rsid w:val="006B34ED"/>
    <w:rsid w:val="006B4380"/>
    <w:rsid w:val="006B65CB"/>
    <w:rsid w:val="006B7BB6"/>
    <w:rsid w:val="006B7D84"/>
    <w:rsid w:val="006B7FC7"/>
    <w:rsid w:val="006C1B88"/>
    <w:rsid w:val="006C23D9"/>
    <w:rsid w:val="006C38AD"/>
    <w:rsid w:val="006C507D"/>
    <w:rsid w:val="006C6B74"/>
    <w:rsid w:val="006D09EF"/>
    <w:rsid w:val="006D1A2D"/>
    <w:rsid w:val="006D1F6C"/>
    <w:rsid w:val="006D4B39"/>
    <w:rsid w:val="006D4D41"/>
    <w:rsid w:val="006D6958"/>
    <w:rsid w:val="006E00E9"/>
    <w:rsid w:val="006E0E17"/>
    <w:rsid w:val="006E30D7"/>
    <w:rsid w:val="006E35F7"/>
    <w:rsid w:val="006E4159"/>
    <w:rsid w:val="006E5B4B"/>
    <w:rsid w:val="006E6527"/>
    <w:rsid w:val="006E6E1C"/>
    <w:rsid w:val="006F050F"/>
    <w:rsid w:val="006F2940"/>
    <w:rsid w:val="006F2CC8"/>
    <w:rsid w:val="006F3537"/>
    <w:rsid w:val="006F3F1B"/>
    <w:rsid w:val="006F513F"/>
    <w:rsid w:val="006F6450"/>
    <w:rsid w:val="006F73DA"/>
    <w:rsid w:val="007005CD"/>
    <w:rsid w:val="0070164E"/>
    <w:rsid w:val="00701E32"/>
    <w:rsid w:val="007027C5"/>
    <w:rsid w:val="00703EBF"/>
    <w:rsid w:val="007055B2"/>
    <w:rsid w:val="00705E1E"/>
    <w:rsid w:val="007069EB"/>
    <w:rsid w:val="00712ED5"/>
    <w:rsid w:val="0071489A"/>
    <w:rsid w:val="00714FDB"/>
    <w:rsid w:val="00715C4C"/>
    <w:rsid w:val="007162A5"/>
    <w:rsid w:val="0071762D"/>
    <w:rsid w:val="00720B1A"/>
    <w:rsid w:val="00722A5C"/>
    <w:rsid w:val="007231E9"/>
    <w:rsid w:val="00723CB1"/>
    <w:rsid w:val="00725BC0"/>
    <w:rsid w:val="00726797"/>
    <w:rsid w:val="00726CB4"/>
    <w:rsid w:val="007273C8"/>
    <w:rsid w:val="007279E4"/>
    <w:rsid w:val="0073189E"/>
    <w:rsid w:val="00731995"/>
    <w:rsid w:val="007320EE"/>
    <w:rsid w:val="00732125"/>
    <w:rsid w:val="00732E67"/>
    <w:rsid w:val="007330D6"/>
    <w:rsid w:val="00733700"/>
    <w:rsid w:val="00734263"/>
    <w:rsid w:val="007360B9"/>
    <w:rsid w:val="00736E5C"/>
    <w:rsid w:val="00740005"/>
    <w:rsid w:val="0074020C"/>
    <w:rsid w:val="00740971"/>
    <w:rsid w:val="00740DF8"/>
    <w:rsid w:val="00741CD8"/>
    <w:rsid w:val="00744A2C"/>
    <w:rsid w:val="00745ECB"/>
    <w:rsid w:val="007471C7"/>
    <w:rsid w:val="00747C4F"/>
    <w:rsid w:val="007508AB"/>
    <w:rsid w:val="007509F3"/>
    <w:rsid w:val="00750F7C"/>
    <w:rsid w:val="00751941"/>
    <w:rsid w:val="00751B9F"/>
    <w:rsid w:val="00753381"/>
    <w:rsid w:val="0075427A"/>
    <w:rsid w:val="00756AB3"/>
    <w:rsid w:val="007610DA"/>
    <w:rsid w:val="0076304F"/>
    <w:rsid w:val="0076387F"/>
    <w:rsid w:val="007639D7"/>
    <w:rsid w:val="00763B47"/>
    <w:rsid w:val="00764BCB"/>
    <w:rsid w:val="007669B9"/>
    <w:rsid w:val="00772EBE"/>
    <w:rsid w:val="00773899"/>
    <w:rsid w:val="00776A60"/>
    <w:rsid w:val="00780473"/>
    <w:rsid w:val="00784200"/>
    <w:rsid w:val="00784B86"/>
    <w:rsid w:val="00786AF7"/>
    <w:rsid w:val="007907E5"/>
    <w:rsid w:val="00791216"/>
    <w:rsid w:val="0079236F"/>
    <w:rsid w:val="00792CEB"/>
    <w:rsid w:val="00795D7B"/>
    <w:rsid w:val="00797654"/>
    <w:rsid w:val="007A060D"/>
    <w:rsid w:val="007A0A87"/>
    <w:rsid w:val="007A0AE5"/>
    <w:rsid w:val="007A1491"/>
    <w:rsid w:val="007A24E7"/>
    <w:rsid w:val="007A3E56"/>
    <w:rsid w:val="007A5771"/>
    <w:rsid w:val="007A6219"/>
    <w:rsid w:val="007A69C1"/>
    <w:rsid w:val="007A69E2"/>
    <w:rsid w:val="007A7C13"/>
    <w:rsid w:val="007B0238"/>
    <w:rsid w:val="007B0B93"/>
    <w:rsid w:val="007B1879"/>
    <w:rsid w:val="007B24B0"/>
    <w:rsid w:val="007B2559"/>
    <w:rsid w:val="007B3B54"/>
    <w:rsid w:val="007B3BE2"/>
    <w:rsid w:val="007B5566"/>
    <w:rsid w:val="007B57C2"/>
    <w:rsid w:val="007B6A76"/>
    <w:rsid w:val="007B711A"/>
    <w:rsid w:val="007C0B37"/>
    <w:rsid w:val="007C3F49"/>
    <w:rsid w:val="007C434F"/>
    <w:rsid w:val="007C5B64"/>
    <w:rsid w:val="007C65D4"/>
    <w:rsid w:val="007C6F7F"/>
    <w:rsid w:val="007C7127"/>
    <w:rsid w:val="007C7F97"/>
    <w:rsid w:val="007D008F"/>
    <w:rsid w:val="007D0647"/>
    <w:rsid w:val="007D0E21"/>
    <w:rsid w:val="007D1EFA"/>
    <w:rsid w:val="007D2632"/>
    <w:rsid w:val="007D532E"/>
    <w:rsid w:val="007D608A"/>
    <w:rsid w:val="007D69BE"/>
    <w:rsid w:val="007D6C85"/>
    <w:rsid w:val="007D7069"/>
    <w:rsid w:val="007E0C1C"/>
    <w:rsid w:val="007E0DE1"/>
    <w:rsid w:val="007E0E2F"/>
    <w:rsid w:val="007E17B5"/>
    <w:rsid w:val="007E242D"/>
    <w:rsid w:val="007E257F"/>
    <w:rsid w:val="007E6327"/>
    <w:rsid w:val="007E68E9"/>
    <w:rsid w:val="007E7452"/>
    <w:rsid w:val="007F0BC0"/>
    <w:rsid w:val="007F33DA"/>
    <w:rsid w:val="007F4404"/>
    <w:rsid w:val="007F445C"/>
    <w:rsid w:val="007F44BE"/>
    <w:rsid w:val="007F46BC"/>
    <w:rsid w:val="007F4C48"/>
    <w:rsid w:val="007F5E4A"/>
    <w:rsid w:val="00801C6F"/>
    <w:rsid w:val="00801D59"/>
    <w:rsid w:val="00802108"/>
    <w:rsid w:val="008021B1"/>
    <w:rsid w:val="00802A51"/>
    <w:rsid w:val="00802CA7"/>
    <w:rsid w:val="00804BE3"/>
    <w:rsid w:val="00805A09"/>
    <w:rsid w:val="00806377"/>
    <w:rsid w:val="00806D2A"/>
    <w:rsid w:val="00806EFF"/>
    <w:rsid w:val="00811601"/>
    <w:rsid w:val="00811EDA"/>
    <w:rsid w:val="00812636"/>
    <w:rsid w:val="00812FAF"/>
    <w:rsid w:val="00813C44"/>
    <w:rsid w:val="008144FA"/>
    <w:rsid w:val="008146F9"/>
    <w:rsid w:val="0082056F"/>
    <w:rsid w:val="00821537"/>
    <w:rsid w:val="008225DD"/>
    <w:rsid w:val="00822D2A"/>
    <w:rsid w:val="008238C6"/>
    <w:rsid w:val="008258CA"/>
    <w:rsid w:val="00825C08"/>
    <w:rsid w:val="00826A1C"/>
    <w:rsid w:val="0083058C"/>
    <w:rsid w:val="0083136F"/>
    <w:rsid w:val="0083363C"/>
    <w:rsid w:val="00833E26"/>
    <w:rsid w:val="008344FF"/>
    <w:rsid w:val="008346BD"/>
    <w:rsid w:val="00834ACA"/>
    <w:rsid w:val="00834B1C"/>
    <w:rsid w:val="008354D5"/>
    <w:rsid w:val="00835BFC"/>
    <w:rsid w:val="00835DE7"/>
    <w:rsid w:val="00836304"/>
    <w:rsid w:val="0083631A"/>
    <w:rsid w:val="00840E08"/>
    <w:rsid w:val="008415BA"/>
    <w:rsid w:val="00841AD7"/>
    <w:rsid w:val="00842392"/>
    <w:rsid w:val="00843377"/>
    <w:rsid w:val="008451D9"/>
    <w:rsid w:val="0084540A"/>
    <w:rsid w:val="00846097"/>
    <w:rsid w:val="008472B3"/>
    <w:rsid w:val="008474A2"/>
    <w:rsid w:val="00850F11"/>
    <w:rsid w:val="00852A83"/>
    <w:rsid w:val="00852CAE"/>
    <w:rsid w:val="00853473"/>
    <w:rsid w:val="008534FA"/>
    <w:rsid w:val="00853B8B"/>
    <w:rsid w:val="00853E1F"/>
    <w:rsid w:val="00853F81"/>
    <w:rsid w:val="00854D3E"/>
    <w:rsid w:val="00854F65"/>
    <w:rsid w:val="00857C69"/>
    <w:rsid w:val="00860B4A"/>
    <w:rsid w:val="00861D20"/>
    <w:rsid w:val="008622E4"/>
    <w:rsid w:val="008624B9"/>
    <w:rsid w:val="00865F30"/>
    <w:rsid w:val="00867A12"/>
    <w:rsid w:val="008704DC"/>
    <w:rsid w:val="0087088D"/>
    <w:rsid w:val="00870A8D"/>
    <w:rsid w:val="00871BB7"/>
    <w:rsid w:val="00872E19"/>
    <w:rsid w:val="00874AAE"/>
    <w:rsid w:val="00875708"/>
    <w:rsid w:val="00875BF1"/>
    <w:rsid w:val="00875E89"/>
    <w:rsid w:val="00877FD8"/>
    <w:rsid w:val="00881557"/>
    <w:rsid w:val="00881A97"/>
    <w:rsid w:val="008829FE"/>
    <w:rsid w:val="00883D46"/>
    <w:rsid w:val="00884122"/>
    <w:rsid w:val="00884504"/>
    <w:rsid w:val="0088583D"/>
    <w:rsid w:val="00885F8A"/>
    <w:rsid w:val="00885FA6"/>
    <w:rsid w:val="008863BA"/>
    <w:rsid w:val="00890186"/>
    <w:rsid w:val="00890346"/>
    <w:rsid w:val="00891979"/>
    <w:rsid w:val="00893492"/>
    <w:rsid w:val="0089433D"/>
    <w:rsid w:val="008952ED"/>
    <w:rsid w:val="00896DE6"/>
    <w:rsid w:val="008A2027"/>
    <w:rsid w:val="008A2CD6"/>
    <w:rsid w:val="008A343E"/>
    <w:rsid w:val="008A36F4"/>
    <w:rsid w:val="008A4165"/>
    <w:rsid w:val="008A417B"/>
    <w:rsid w:val="008A419F"/>
    <w:rsid w:val="008A5088"/>
    <w:rsid w:val="008A5590"/>
    <w:rsid w:val="008A58A6"/>
    <w:rsid w:val="008A61F2"/>
    <w:rsid w:val="008A6273"/>
    <w:rsid w:val="008A723F"/>
    <w:rsid w:val="008A7C6F"/>
    <w:rsid w:val="008B0D6E"/>
    <w:rsid w:val="008B0EEF"/>
    <w:rsid w:val="008B2077"/>
    <w:rsid w:val="008B20CD"/>
    <w:rsid w:val="008B2BD8"/>
    <w:rsid w:val="008B4328"/>
    <w:rsid w:val="008B4B63"/>
    <w:rsid w:val="008B64B9"/>
    <w:rsid w:val="008B7065"/>
    <w:rsid w:val="008B72CA"/>
    <w:rsid w:val="008B7312"/>
    <w:rsid w:val="008B7F9F"/>
    <w:rsid w:val="008C1818"/>
    <w:rsid w:val="008C1A63"/>
    <w:rsid w:val="008C24E3"/>
    <w:rsid w:val="008C2AA4"/>
    <w:rsid w:val="008C2E20"/>
    <w:rsid w:val="008C3057"/>
    <w:rsid w:val="008C38B7"/>
    <w:rsid w:val="008C3EF1"/>
    <w:rsid w:val="008C52E4"/>
    <w:rsid w:val="008C64B7"/>
    <w:rsid w:val="008C6B4F"/>
    <w:rsid w:val="008C6F1B"/>
    <w:rsid w:val="008C7C36"/>
    <w:rsid w:val="008D3352"/>
    <w:rsid w:val="008D3859"/>
    <w:rsid w:val="008D3CDC"/>
    <w:rsid w:val="008D4AD3"/>
    <w:rsid w:val="008D4CD3"/>
    <w:rsid w:val="008D4E1C"/>
    <w:rsid w:val="008D4EFD"/>
    <w:rsid w:val="008D5426"/>
    <w:rsid w:val="008D5815"/>
    <w:rsid w:val="008E022C"/>
    <w:rsid w:val="008E111F"/>
    <w:rsid w:val="008E1721"/>
    <w:rsid w:val="008E2AB6"/>
    <w:rsid w:val="008E3865"/>
    <w:rsid w:val="008E3CD2"/>
    <w:rsid w:val="008E3D9E"/>
    <w:rsid w:val="008E4E38"/>
    <w:rsid w:val="008E544E"/>
    <w:rsid w:val="008E55FF"/>
    <w:rsid w:val="008F11A3"/>
    <w:rsid w:val="008F28F1"/>
    <w:rsid w:val="008F3744"/>
    <w:rsid w:val="008F4488"/>
    <w:rsid w:val="008F5C51"/>
    <w:rsid w:val="008F7105"/>
    <w:rsid w:val="008F714B"/>
    <w:rsid w:val="008F7F78"/>
    <w:rsid w:val="0090183B"/>
    <w:rsid w:val="00902544"/>
    <w:rsid w:val="00905A43"/>
    <w:rsid w:val="00905C0A"/>
    <w:rsid w:val="00907060"/>
    <w:rsid w:val="00907274"/>
    <w:rsid w:val="00907971"/>
    <w:rsid w:val="00910C5A"/>
    <w:rsid w:val="009113F2"/>
    <w:rsid w:val="00912816"/>
    <w:rsid w:val="009132E3"/>
    <w:rsid w:val="00914103"/>
    <w:rsid w:val="00914396"/>
    <w:rsid w:val="009148AC"/>
    <w:rsid w:val="00914C1D"/>
    <w:rsid w:val="00914E57"/>
    <w:rsid w:val="009153B1"/>
    <w:rsid w:val="00916BE9"/>
    <w:rsid w:val="00923A91"/>
    <w:rsid w:val="0092404B"/>
    <w:rsid w:val="009261D9"/>
    <w:rsid w:val="00927553"/>
    <w:rsid w:val="00927A60"/>
    <w:rsid w:val="00927B85"/>
    <w:rsid w:val="00927E3F"/>
    <w:rsid w:val="0093297A"/>
    <w:rsid w:val="009333F1"/>
    <w:rsid w:val="00934AB4"/>
    <w:rsid w:val="00934CC8"/>
    <w:rsid w:val="00936A23"/>
    <w:rsid w:val="009371FC"/>
    <w:rsid w:val="0093720E"/>
    <w:rsid w:val="00937832"/>
    <w:rsid w:val="00940D05"/>
    <w:rsid w:val="0094128A"/>
    <w:rsid w:val="00941339"/>
    <w:rsid w:val="00941F1D"/>
    <w:rsid w:val="00943829"/>
    <w:rsid w:val="009441ED"/>
    <w:rsid w:val="00944508"/>
    <w:rsid w:val="009445FD"/>
    <w:rsid w:val="00945910"/>
    <w:rsid w:val="0094622B"/>
    <w:rsid w:val="00946E17"/>
    <w:rsid w:val="00947C25"/>
    <w:rsid w:val="00955AD3"/>
    <w:rsid w:val="0095735F"/>
    <w:rsid w:val="00960FE0"/>
    <w:rsid w:val="00961E17"/>
    <w:rsid w:val="00964194"/>
    <w:rsid w:val="00964D25"/>
    <w:rsid w:val="00966A2E"/>
    <w:rsid w:val="00966E35"/>
    <w:rsid w:val="00970BBB"/>
    <w:rsid w:val="00970BE9"/>
    <w:rsid w:val="00972559"/>
    <w:rsid w:val="00973AF4"/>
    <w:rsid w:val="00973F46"/>
    <w:rsid w:val="009746E1"/>
    <w:rsid w:val="00975342"/>
    <w:rsid w:val="00975FAE"/>
    <w:rsid w:val="0097748C"/>
    <w:rsid w:val="00980FE0"/>
    <w:rsid w:val="009828B2"/>
    <w:rsid w:val="0098465E"/>
    <w:rsid w:val="00985511"/>
    <w:rsid w:val="00986804"/>
    <w:rsid w:val="00987C88"/>
    <w:rsid w:val="00990F9E"/>
    <w:rsid w:val="00991EF6"/>
    <w:rsid w:val="00992BD3"/>
    <w:rsid w:val="00993BAE"/>
    <w:rsid w:val="0099546D"/>
    <w:rsid w:val="009960F9"/>
    <w:rsid w:val="00996588"/>
    <w:rsid w:val="0099770C"/>
    <w:rsid w:val="00997881"/>
    <w:rsid w:val="00997A56"/>
    <w:rsid w:val="009A0227"/>
    <w:rsid w:val="009A3853"/>
    <w:rsid w:val="009A40A2"/>
    <w:rsid w:val="009A58E6"/>
    <w:rsid w:val="009A690F"/>
    <w:rsid w:val="009A6ABF"/>
    <w:rsid w:val="009A6D18"/>
    <w:rsid w:val="009A6EB9"/>
    <w:rsid w:val="009A6F40"/>
    <w:rsid w:val="009B016D"/>
    <w:rsid w:val="009B029F"/>
    <w:rsid w:val="009B0520"/>
    <w:rsid w:val="009B19FF"/>
    <w:rsid w:val="009B26B6"/>
    <w:rsid w:val="009B3D15"/>
    <w:rsid w:val="009B4220"/>
    <w:rsid w:val="009B4630"/>
    <w:rsid w:val="009B4757"/>
    <w:rsid w:val="009B4F13"/>
    <w:rsid w:val="009B50C1"/>
    <w:rsid w:val="009B785D"/>
    <w:rsid w:val="009B7878"/>
    <w:rsid w:val="009C12FB"/>
    <w:rsid w:val="009C2A3C"/>
    <w:rsid w:val="009C3D48"/>
    <w:rsid w:val="009C4CAC"/>
    <w:rsid w:val="009C5B73"/>
    <w:rsid w:val="009C5B87"/>
    <w:rsid w:val="009C5CA8"/>
    <w:rsid w:val="009C5E32"/>
    <w:rsid w:val="009C7A8C"/>
    <w:rsid w:val="009C7AC6"/>
    <w:rsid w:val="009D07EF"/>
    <w:rsid w:val="009D175C"/>
    <w:rsid w:val="009D1F45"/>
    <w:rsid w:val="009D23E9"/>
    <w:rsid w:val="009D2BC0"/>
    <w:rsid w:val="009D2F28"/>
    <w:rsid w:val="009D327F"/>
    <w:rsid w:val="009D3731"/>
    <w:rsid w:val="009D4E07"/>
    <w:rsid w:val="009D56D7"/>
    <w:rsid w:val="009D6A7F"/>
    <w:rsid w:val="009D7972"/>
    <w:rsid w:val="009D7F5D"/>
    <w:rsid w:val="009E18EF"/>
    <w:rsid w:val="009E3F16"/>
    <w:rsid w:val="009E41D3"/>
    <w:rsid w:val="009E5E25"/>
    <w:rsid w:val="009E77F2"/>
    <w:rsid w:val="009F11F3"/>
    <w:rsid w:val="009F13FE"/>
    <w:rsid w:val="009F2923"/>
    <w:rsid w:val="009F2FF9"/>
    <w:rsid w:val="009F3569"/>
    <w:rsid w:val="009F35D0"/>
    <w:rsid w:val="009F38A7"/>
    <w:rsid w:val="009F3DF5"/>
    <w:rsid w:val="009F551E"/>
    <w:rsid w:val="009F7BA4"/>
    <w:rsid w:val="00A002BF"/>
    <w:rsid w:val="00A0156A"/>
    <w:rsid w:val="00A02213"/>
    <w:rsid w:val="00A02972"/>
    <w:rsid w:val="00A0493F"/>
    <w:rsid w:val="00A05C28"/>
    <w:rsid w:val="00A06C96"/>
    <w:rsid w:val="00A072AE"/>
    <w:rsid w:val="00A079BE"/>
    <w:rsid w:val="00A10889"/>
    <w:rsid w:val="00A109D4"/>
    <w:rsid w:val="00A12126"/>
    <w:rsid w:val="00A12A25"/>
    <w:rsid w:val="00A12D57"/>
    <w:rsid w:val="00A12D70"/>
    <w:rsid w:val="00A1430A"/>
    <w:rsid w:val="00A14A82"/>
    <w:rsid w:val="00A1518E"/>
    <w:rsid w:val="00A16F7E"/>
    <w:rsid w:val="00A1791A"/>
    <w:rsid w:val="00A17C7A"/>
    <w:rsid w:val="00A21469"/>
    <w:rsid w:val="00A21B50"/>
    <w:rsid w:val="00A2215A"/>
    <w:rsid w:val="00A2275D"/>
    <w:rsid w:val="00A22F48"/>
    <w:rsid w:val="00A256C3"/>
    <w:rsid w:val="00A25AFB"/>
    <w:rsid w:val="00A26CD2"/>
    <w:rsid w:val="00A300E2"/>
    <w:rsid w:val="00A31855"/>
    <w:rsid w:val="00A31C8A"/>
    <w:rsid w:val="00A36B6F"/>
    <w:rsid w:val="00A36C35"/>
    <w:rsid w:val="00A37A93"/>
    <w:rsid w:val="00A438B7"/>
    <w:rsid w:val="00A44995"/>
    <w:rsid w:val="00A44D65"/>
    <w:rsid w:val="00A44FF0"/>
    <w:rsid w:val="00A45F83"/>
    <w:rsid w:val="00A463BE"/>
    <w:rsid w:val="00A501AC"/>
    <w:rsid w:val="00A51C30"/>
    <w:rsid w:val="00A5226D"/>
    <w:rsid w:val="00A5361C"/>
    <w:rsid w:val="00A53730"/>
    <w:rsid w:val="00A54132"/>
    <w:rsid w:val="00A54248"/>
    <w:rsid w:val="00A56B13"/>
    <w:rsid w:val="00A5704A"/>
    <w:rsid w:val="00A57687"/>
    <w:rsid w:val="00A57D2F"/>
    <w:rsid w:val="00A61231"/>
    <w:rsid w:val="00A61E41"/>
    <w:rsid w:val="00A628E1"/>
    <w:rsid w:val="00A6297F"/>
    <w:rsid w:val="00A64FEC"/>
    <w:rsid w:val="00A65515"/>
    <w:rsid w:val="00A65569"/>
    <w:rsid w:val="00A677D8"/>
    <w:rsid w:val="00A70F86"/>
    <w:rsid w:val="00A71876"/>
    <w:rsid w:val="00A7345B"/>
    <w:rsid w:val="00A76D9B"/>
    <w:rsid w:val="00A80D0D"/>
    <w:rsid w:val="00A81F4C"/>
    <w:rsid w:val="00A82FAD"/>
    <w:rsid w:val="00A832A0"/>
    <w:rsid w:val="00A8352D"/>
    <w:rsid w:val="00A83CCD"/>
    <w:rsid w:val="00A84EF0"/>
    <w:rsid w:val="00A85D81"/>
    <w:rsid w:val="00A87317"/>
    <w:rsid w:val="00A873DD"/>
    <w:rsid w:val="00A90A7E"/>
    <w:rsid w:val="00A91411"/>
    <w:rsid w:val="00A91872"/>
    <w:rsid w:val="00A94647"/>
    <w:rsid w:val="00A95D43"/>
    <w:rsid w:val="00A95F6F"/>
    <w:rsid w:val="00A960F1"/>
    <w:rsid w:val="00AA010D"/>
    <w:rsid w:val="00AA0612"/>
    <w:rsid w:val="00AA0C12"/>
    <w:rsid w:val="00AA2D57"/>
    <w:rsid w:val="00AA3485"/>
    <w:rsid w:val="00AA3F14"/>
    <w:rsid w:val="00AA3F39"/>
    <w:rsid w:val="00AA6325"/>
    <w:rsid w:val="00AB0EDB"/>
    <w:rsid w:val="00AB29C7"/>
    <w:rsid w:val="00AB2BF1"/>
    <w:rsid w:val="00AB3B14"/>
    <w:rsid w:val="00AB48CD"/>
    <w:rsid w:val="00AB51AF"/>
    <w:rsid w:val="00AB538B"/>
    <w:rsid w:val="00AB54C8"/>
    <w:rsid w:val="00AB6931"/>
    <w:rsid w:val="00AB6D11"/>
    <w:rsid w:val="00AB75B8"/>
    <w:rsid w:val="00AC1142"/>
    <w:rsid w:val="00AC2F06"/>
    <w:rsid w:val="00AC2FD9"/>
    <w:rsid w:val="00AC3266"/>
    <w:rsid w:val="00AC72F0"/>
    <w:rsid w:val="00AD0060"/>
    <w:rsid w:val="00AD0E7C"/>
    <w:rsid w:val="00AD29E4"/>
    <w:rsid w:val="00AD3080"/>
    <w:rsid w:val="00AD32D0"/>
    <w:rsid w:val="00AD3A50"/>
    <w:rsid w:val="00AD4887"/>
    <w:rsid w:val="00AD51CE"/>
    <w:rsid w:val="00AD6472"/>
    <w:rsid w:val="00AD6D28"/>
    <w:rsid w:val="00AD735D"/>
    <w:rsid w:val="00AD7650"/>
    <w:rsid w:val="00AD7B7F"/>
    <w:rsid w:val="00AE061A"/>
    <w:rsid w:val="00AE0C9A"/>
    <w:rsid w:val="00AE3C95"/>
    <w:rsid w:val="00AE43CD"/>
    <w:rsid w:val="00AE4FFB"/>
    <w:rsid w:val="00AE51CF"/>
    <w:rsid w:val="00AE54FE"/>
    <w:rsid w:val="00AE565F"/>
    <w:rsid w:val="00AE662D"/>
    <w:rsid w:val="00AE7959"/>
    <w:rsid w:val="00AF1C0E"/>
    <w:rsid w:val="00AF327F"/>
    <w:rsid w:val="00AF3626"/>
    <w:rsid w:val="00AF513D"/>
    <w:rsid w:val="00AF5F28"/>
    <w:rsid w:val="00AF6EBA"/>
    <w:rsid w:val="00AF76B9"/>
    <w:rsid w:val="00AF7CC7"/>
    <w:rsid w:val="00B005E5"/>
    <w:rsid w:val="00B01724"/>
    <w:rsid w:val="00B028E5"/>
    <w:rsid w:val="00B04623"/>
    <w:rsid w:val="00B05F83"/>
    <w:rsid w:val="00B068AF"/>
    <w:rsid w:val="00B06F35"/>
    <w:rsid w:val="00B07BC7"/>
    <w:rsid w:val="00B107DE"/>
    <w:rsid w:val="00B11307"/>
    <w:rsid w:val="00B11556"/>
    <w:rsid w:val="00B1330D"/>
    <w:rsid w:val="00B1368B"/>
    <w:rsid w:val="00B13B6B"/>
    <w:rsid w:val="00B14E27"/>
    <w:rsid w:val="00B154EA"/>
    <w:rsid w:val="00B15CA5"/>
    <w:rsid w:val="00B20F65"/>
    <w:rsid w:val="00B2108B"/>
    <w:rsid w:val="00B218A2"/>
    <w:rsid w:val="00B221AD"/>
    <w:rsid w:val="00B27371"/>
    <w:rsid w:val="00B30061"/>
    <w:rsid w:val="00B30162"/>
    <w:rsid w:val="00B31461"/>
    <w:rsid w:val="00B31649"/>
    <w:rsid w:val="00B321D3"/>
    <w:rsid w:val="00B356EF"/>
    <w:rsid w:val="00B35F5B"/>
    <w:rsid w:val="00B37596"/>
    <w:rsid w:val="00B37B7F"/>
    <w:rsid w:val="00B41E4B"/>
    <w:rsid w:val="00B42ECE"/>
    <w:rsid w:val="00B434E7"/>
    <w:rsid w:val="00B43C37"/>
    <w:rsid w:val="00B43E2A"/>
    <w:rsid w:val="00B44D4B"/>
    <w:rsid w:val="00B4550A"/>
    <w:rsid w:val="00B456A0"/>
    <w:rsid w:val="00B506F8"/>
    <w:rsid w:val="00B50C38"/>
    <w:rsid w:val="00B51BDB"/>
    <w:rsid w:val="00B53589"/>
    <w:rsid w:val="00B55023"/>
    <w:rsid w:val="00B55488"/>
    <w:rsid w:val="00B556AC"/>
    <w:rsid w:val="00B56443"/>
    <w:rsid w:val="00B615F9"/>
    <w:rsid w:val="00B619D2"/>
    <w:rsid w:val="00B63232"/>
    <w:rsid w:val="00B632B4"/>
    <w:rsid w:val="00B634C6"/>
    <w:rsid w:val="00B636DC"/>
    <w:rsid w:val="00B64B1F"/>
    <w:rsid w:val="00B64C58"/>
    <w:rsid w:val="00B651FB"/>
    <w:rsid w:val="00B668E7"/>
    <w:rsid w:val="00B672B1"/>
    <w:rsid w:val="00B70021"/>
    <w:rsid w:val="00B70A6F"/>
    <w:rsid w:val="00B715C7"/>
    <w:rsid w:val="00B71F98"/>
    <w:rsid w:val="00B72075"/>
    <w:rsid w:val="00B72F22"/>
    <w:rsid w:val="00B73302"/>
    <w:rsid w:val="00B7383A"/>
    <w:rsid w:val="00B73CD8"/>
    <w:rsid w:val="00B749C9"/>
    <w:rsid w:val="00B751A7"/>
    <w:rsid w:val="00B75AB6"/>
    <w:rsid w:val="00B800AC"/>
    <w:rsid w:val="00B802FD"/>
    <w:rsid w:val="00B8083A"/>
    <w:rsid w:val="00B8162A"/>
    <w:rsid w:val="00B81F04"/>
    <w:rsid w:val="00B81FCB"/>
    <w:rsid w:val="00B83783"/>
    <w:rsid w:val="00B840BB"/>
    <w:rsid w:val="00B867DD"/>
    <w:rsid w:val="00B90EA0"/>
    <w:rsid w:val="00B914D3"/>
    <w:rsid w:val="00B92B30"/>
    <w:rsid w:val="00B92E05"/>
    <w:rsid w:val="00B9344B"/>
    <w:rsid w:val="00B9375A"/>
    <w:rsid w:val="00B9403D"/>
    <w:rsid w:val="00B94123"/>
    <w:rsid w:val="00B9484E"/>
    <w:rsid w:val="00B94E5D"/>
    <w:rsid w:val="00B96747"/>
    <w:rsid w:val="00B97112"/>
    <w:rsid w:val="00BA0CE8"/>
    <w:rsid w:val="00BA19BE"/>
    <w:rsid w:val="00BA1A84"/>
    <w:rsid w:val="00BA4B0C"/>
    <w:rsid w:val="00BA4FE5"/>
    <w:rsid w:val="00BA5D66"/>
    <w:rsid w:val="00BB0D65"/>
    <w:rsid w:val="00BB1D59"/>
    <w:rsid w:val="00BB20CB"/>
    <w:rsid w:val="00BB3B9E"/>
    <w:rsid w:val="00BB4E99"/>
    <w:rsid w:val="00BB5EA5"/>
    <w:rsid w:val="00BB5FBA"/>
    <w:rsid w:val="00BB6CA2"/>
    <w:rsid w:val="00BB7477"/>
    <w:rsid w:val="00BC0B49"/>
    <w:rsid w:val="00BC5FD4"/>
    <w:rsid w:val="00BC6264"/>
    <w:rsid w:val="00BC63F3"/>
    <w:rsid w:val="00BD1864"/>
    <w:rsid w:val="00BD256F"/>
    <w:rsid w:val="00BD2E15"/>
    <w:rsid w:val="00BD4197"/>
    <w:rsid w:val="00BD53EE"/>
    <w:rsid w:val="00BD577A"/>
    <w:rsid w:val="00BD751C"/>
    <w:rsid w:val="00BE24C3"/>
    <w:rsid w:val="00BE3964"/>
    <w:rsid w:val="00BE46AC"/>
    <w:rsid w:val="00BE54CE"/>
    <w:rsid w:val="00BE61F8"/>
    <w:rsid w:val="00BE639D"/>
    <w:rsid w:val="00BF0231"/>
    <w:rsid w:val="00BF0CCF"/>
    <w:rsid w:val="00BF1FCE"/>
    <w:rsid w:val="00BF3D7D"/>
    <w:rsid w:val="00BF439D"/>
    <w:rsid w:val="00BF44C4"/>
    <w:rsid w:val="00BF5081"/>
    <w:rsid w:val="00BF5C66"/>
    <w:rsid w:val="00BF6BE2"/>
    <w:rsid w:val="00C00755"/>
    <w:rsid w:val="00C01C01"/>
    <w:rsid w:val="00C020AF"/>
    <w:rsid w:val="00C02DEC"/>
    <w:rsid w:val="00C02F16"/>
    <w:rsid w:val="00C04619"/>
    <w:rsid w:val="00C058F0"/>
    <w:rsid w:val="00C05A4F"/>
    <w:rsid w:val="00C05E5B"/>
    <w:rsid w:val="00C061E3"/>
    <w:rsid w:val="00C07AAF"/>
    <w:rsid w:val="00C119C2"/>
    <w:rsid w:val="00C122C6"/>
    <w:rsid w:val="00C122D5"/>
    <w:rsid w:val="00C12357"/>
    <w:rsid w:val="00C12B1C"/>
    <w:rsid w:val="00C13437"/>
    <w:rsid w:val="00C13B5D"/>
    <w:rsid w:val="00C13BA3"/>
    <w:rsid w:val="00C14967"/>
    <w:rsid w:val="00C15278"/>
    <w:rsid w:val="00C1557B"/>
    <w:rsid w:val="00C1627A"/>
    <w:rsid w:val="00C1671F"/>
    <w:rsid w:val="00C214AE"/>
    <w:rsid w:val="00C22032"/>
    <w:rsid w:val="00C22F4C"/>
    <w:rsid w:val="00C23768"/>
    <w:rsid w:val="00C23789"/>
    <w:rsid w:val="00C23DBC"/>
    <w:rsid w:val="00C26866"/>
    <w:rsid w:val="00C26E47"/>
    <w:rsid w:val="00C2750C"/>
    <w:rsid w:val="00C30253"/>
    <w:rsid w:val="00C304C9"/>
    <w:rsid w:val="00C3083F"/>
    <w:rsid w:val="00C33404"/>
    <w:rsid w:val="00C33777"/>
    <w:rsid w:val="00C33D51"/>
    <w:rsid w:val="00C34A8C"/>
    <w:rsid w:val="00C3607A"/>
    <w:rsid w:val="00C36707"/>
    <w:rsid w:val="00C40E57"/>
    <w:rsid w:val="00C41927"/>
    <w:rsid w:val="00C42CE4"/>
    <w:rsid w:val="00C4336A"/>
    <w:rsid w:val="00C43BDE"/>
    <w:rsid w:val="00C446BD"/>
    <w:rsid w:val="00C4479F"/>
    <w:rsid w:val="00C44F52"/>
    <w:rsid w:val="00C455E4"/>
    <w:rsid w:val="00C502B8"/>
    <w:rsid w:val="00C524D5"/>
    <w:rsid w:val="00C537F2"/>
    <w:rsid w:val="00C53EDB"/>
    <w:rsid w:val="00C55C7C"/>
    <w:rsid w:val="00C579BE"/>
    <w:rsid w:val="00C61267"/>
    <w:rsid w:val="00C61F9A"/>
    <w:rsid w:val="00C621F3"/>
    <w:rsid w:val="00C62334"/>
    <w:rsid w:val="00C6311E"/>
    <w:rsid w:val="00C652AA"/>
    <w:rsid w:val="00C65A50"/>
    <w:rsid w:val="00C65DE5"/>
    <w:rsid w:val="00C676E5"/>
    <w:rsid w:val="00C7079D"/>
    <w:rsid w:val="00C70EEF"/>
    <w:rsid w:val="00C71638"/>
    <w:rsid w:val="00C71A96"/>
    <w:rsid w:val="00C71E19"/>
    <w:rsid w:val="00C72AC5"/>
    <w:rsid w:val="00C72FD3"/>
    <w:rsid w:val="00C7374A"/>
    <w:rsid w:val="00C81D29"/>
    <w:rsid w:val="00C846E0"/>
    <w:rsid w:val="00C84B3C"/>
    <w:rsid w:val="00C86344"/>
    <w:rsid w:val="00C86566"/>
    <w:rsid w:val="00C8722D"/>
    <w:rsid w:val="00C87C4F"/>
    <w:rsid w:val="00C87E09"/>
    <w:rsid w:val="00C90DDF"/>
    <w:rsid w:val="00C917EB"/>
    <w:rsid w:val="00C926AD"/>
    <w:rsid w:val="00C92CFB"/>
    <w:rsid w:val="00C93193"/>
    <w:rsid w:val="00C93D93"/>
    <w:rsid w:val="00C97FF4"/>
    <w:rsid w:val="00CA039F"/>
    <w:rsid w:val="00CA0643"/>
    <w:rsid w:val="00CA0968"/>
    <w:rsid w:val="00CA0ADF"/>
    <w:rsid w:val="00CA3A14"/>
    <w:rsid w:val="00CA49F3"/>
    <w:rsid w:val="00CA5938"/>
    <w:rsid w:val="00CA5EBF"/>
    <w:rsid w:val="00CA6C07"/>
    <w:rsid w:val="00CB027B"/>
    <w:rsid w:val="00CB04F8"/>
    <w:rsid w:val="00CB43FE"/>
    <w:rsid w:val="00CB642F"/>
    <w:rsid w:val="00CB7F0D"/>
    <w:rsid w:val="00CC13E6"/>
    <w:rsid w:val="00CC1DF7"/>
    <w:rsid w:val="00CC28C6"/>
    <w:rsid w:val="00CC4808"/>
    <w:rsid w:val="00CC4C0C"/>
    <w:rsid w:val="00CD005F"/>
    <w:rsid w:val="00CD197E"/>
    <w:rsid w:val="00CD1B6F"/>
    <w:rsid w:val="00CD30AA"/>
    <w:rsid w:val="00CD3D90"/>
    <w:rsid w:val="00CD3F5B"/>
    <w:rsid w:val="00CD4A55"/>
    <w:rsid w:val="00CD56F8"/>
    <w:rsid w:val="00CD5923"/>
    <w:rsid w:val="00CD67E1"/>
    <w:rsid w:val="00CE0D2C"/>
    <w:rsid w:val="00CE0EFD"/>
    <w:rsid w:val="00CE1B8A"/>
    <w:rsid w:val="00CE23AC"/>
    <w:rsid w:val="00CE4936"/>
    <w:rsid w:val="00CE5A65"/>
    <w:rsid w:val="00CE5BE1"/>
    <w:rsid w:val="00CE5E8C"/>
    <w:rsid w:val="00CE77AE"/>
    <w:rsid w:val="00CF0640"/>
    <w:rsid w:val="00CF0867"/>
    <w:rsid w:val="00CF1471"/>
    <w:rsid w:val="00CF17E9"/>
    <w:rsid w:val="00CF2D63"/>
    <w:rsid w:val="00CF32F4"/>
    <w:rsid w:val="00CF34A0"/>
    <w:rsid w:val="00CF3600"/>
    <w:rsid w:val="00CF401E"/>
    <w:rsid w:val="00CF5206"/>
    <w:rsid w:val="00CF65B7"/>
    <w:rsid w:val="00CF70FA"/>
    <w:rsid w:val="00D003B0"/>
    <w:rsid w:val="00D0107D"/>
    <w:rsid w:val="00D03610"/>
    <w:rsid w:val="00D03CCE"/>
    <w:rsid w:val="00D04311"/>
    <w:rsid w:val="00D06F27"/>
    <w:rsid w:val="00D07271"/>
    <w:rsid w:val="00D07386"/>
    <w:rsid w:val="00D0747C"/>
    <w:rsid w:val="00D104D6"/>
    <w:rsid w:val="00D11B22"/>
    <w:rsid w:val="00D121F0"/>
    <w:rsid w:val="00D12DD0"/>
    <w:rsid w:val="00D13970"/>
    <w:rsid w:val="00D14EC0"/>
    <w:rsid w:val="00D15807"/>
    <w:rsid w:val="00D17563"/>
    <w:rsid w:val="00D2234D"/>
    <w:rsid w:val="00D22E66"/>
    <w:rsid w:val="00D24520"/>
    <w:rsid w:val="00D245C4"/>
    <w:rsid w:val="00D246E9"/>
    <w:rsid w:val="00D24C91"/>
    <w:rsid w:val="00D262EA"/>
    <w:rsid w:val="00D31595"/>
    <w:rsid w:val="00D31DFE"/>
    <w:rsid w:val="00D3280F"/>
    <w:rsid w:val="00D34A5C"/>
    <w:rsid w:val="00D360B4"/>
    <w:rsid w:val="00D36841"/>
    <w:rsid w:val="00D36D7C"/>
    <w:rsid w:val="00D378A3"/>
    <w:rsid w:val="00D37F93"/>
    <w:rsid w:val="00D404A8"/>
    <w:rsid w:val="00D40AAD"/>
    <w:rsid w:val="00D40DEC"/>
    <w:rsid w:val="00D4216F"/>
    <w:rsid w:val="00D4357C"/>
    <w:rsid w:val="00D4403D"/>
    <w:rsid w:val="00D4482D"/>
    <w:rsid w:val="00D44EBA"/>
    <w:rsid w:val="00D4526A"/>
    <w:rsid w:val="00D454E8"/>
    <w:rsid w:val="00D45D92"/>
    <w:rsid w:val="00D46627"/>
    <w:rsid w:val="00D47ACC"/>
    <w:rsid w:val="00D50E1E"/>
    <w:rsid w:val="00D50ECB"/>
    <w:rsid w:val="00D51066"/>
    <w:rsid w:val="00D51FE7"/>
    <w:rsid w:val="00D52F32"/>
    <w:rsid w:val="00D52FBB"/>
    <w:rsid w:val="00D53831"/>
    <w:rsid w:val="00D53954"/>
    <w:rsid w:val="00D54097"/>
    <w:rsid w:val="00D55E90"/>
    <w:rsid w:val="00D55F5E"/>
    <w:rsid w:val="00D55FAC"/>
    <w:rsid w:val="00D57226"/>
    <w:rsid w:val="00D60807"/>
    <w:rsid w:val="00D61332"/>
    <w:rsid w:val="00D62292"/>
    <w:rsid w:val="00D62F65"/>
    <w:rsid w:val="00D64D1F"/>
    <w:rsid w:val="00D66519"/>
    <w:rsid w:val="00D6675D"/>
    <w:rsid w:val="00D714CD"/>
    <w:rsid w:val="00D7160E"/>
    <w:rsid w:val="00D7228E"/>
    <w:rsid w:val="00D726D6"/>
    <w:rsid w:val="00D72CE4"/>
    <w:rsid w:val="00D73280"/>
    <w:rsid w:val="00D7343A"/>
    <w:rsid w:val="00D735FF"/>
    <w:rsid w:val="00D73A3C"/>
    <w:rsid w:val="00D74FF1"/>
    <w:rsid w:val="00D75AEF"/>
    <w:rsid w:val="00D76851"/>
    <w:rsid w:val="00D80545"/>
    <w:rsid w:val="00D80C44"/>
    <w:rsid w:val="00D82594"/>
    <w:rsid w:val="00D82E72"/>
    <w:rsid w:val="00D840BA"/>
    <w:rsid w:val="00D84D76"/>
    <w:rsid w:val="00D8676B"/>
    <w:rsid w:val="00D9021D"/>
    <w:rsid w:val="00D903A6"/>
    <w:rsid w:val="00D9098B"/>
    <w:rsid w:val="00D91BC7"/>
    <w:rsid w:val="00D9288B"/>
    <w:rsid w:val="00D938F7"/>
    <w:rsid w:val="00D93A62"/>
    <w:rsid w:val="00D953AA"/>
    <w:rsid w:val="00D961B4"/>
    <w:rsid w:val="00DA0765"/>
    <w:rsid w:val="00DA08C0"/>
    <w:rsid w:val="00DA1C78"/>
    <w:rsid w:val="00DA1E45"/>
    <w:rsid w:val="00DA3060"/>
    <w:rsid w:val="00DA3824"/>
    <w:rsid w:val="00DA4390"/>
    <w:rsid w:val="00DA4D58"/>
    <w:rsid w:val="00DA5220"/>
    <w:rsid w:val="00DA557B"/>
    <w:rsid w:val="00DA62A2"/>
    <w:rsid w:val="00DA6F20"/>
    <w:rsid w:val="00DB17ED"/>
    <w:rsid w:val="00DB33D5"/>
    <w:rsid w:val="00DB5967"/>
    <w:rsid w:val="00DB5B5B"/>
    <w:rsid w:val="00DB75F1"/>
    <w:rsid w:val="00DB7CA8"/>
    <w:rsid w:val="00DC05A4"/>
    <w:rsid w:val="00DC2D7A"/>
    <w:rsid w:val="00DC2F4D"/>
    <w:rsid w:val="00DC4CC7"/>
    <w:rsid w:val="00DC63E0"/>
    <w:rsid w:val="00DC6E6F"/>
    <w:rsid w:val="00DD0164"/>
    <w:rsid w:val="00DD14E1"/>
    <w:rsid w:val="00DD18F3"/>
    <w:rsid w:val="00DD2B65"/>
    <w:rsid w:val="00DD3FB5"/>
    <w:rsid w:val="00DD6C66"/>
    <w:rsid w:val="00DE0959"/>
    <w:rsid w:val="00DE1245"/>
    <w:rsid w:val="00DE3A75"/>
    <w:rsid w:val="00DE46D5"/>
    <w:rsid w:val="00DE68C6"/>
    <w:rsid w:val="00DE7032"/>
    <w:rsid w:val="00DF08B1"/>
    <w:rsid w:val="00DF0E82"/>
    <w:rsid w:val="00DF0F17"/>
    <w:rsid w:val="00DF30A7"/>
    <w:rsid w:val="00DF5385"/>
    <w:rsid w:val="00DF53D7"/>
    <w:rsid w:val="00DF54C2"/>
    <w:rsid w:val="00DF5787"/>
    <w:rsid w:val="00E019D5"/>
    <w:rsid w:val="00E02771"/>
    <w:rsid w:val="00E02DF9"/>
    <w:rsid w:val="00E03E14"/>
    <w:rsid w:val="00E06474"/>
    <w:rsid w:val="00E06511"/>
    <w:rsid w:val="00E10948"/>
    <w:rsid w:val="00E1193F"/>
    <w:rsid w:val="00E122C3"/>
    <w:rsid w:val="00E132F0"/>
    <w:rsid w:val="00E138B2"/>
    <w:rsid w:val="00E13A95"/>
    <w:rsid w:val="00E1446D"/>
    <w:rsid w:val="00E146ED"/>
    <w:rsid w:val="00E14F64"/>
    <w:rsid w:val="00E15FD6"/>
    <w:rsid w:val="00E161B6"/>
    <w:rsid w:val="00E1630A"/>
    <w:rsid w:val="00E16787"/>
    <w:rsid w:val="00E16AED"/>
    <w:rsid w:val="00E205B3"/>
    <w:rsid w:val="00E21B2B"/>
    <w:rsid w:val="00E22DA3"/>
    <w:rsid w:val="00E23208"/>
    <w:rsid w:val="00E23C0A"/>
    <w:rsid w:val="00E24A15"/>
    <w:rsid w:val="00E24F4E"/>
    <w:rsid w:val="00E2546C"/>
    <w:rsid w:val="00E275CC"/>
    <w:rsid w:val="00E2768A"/>
    <w:rsid w:val="00E3023E"/>
    <w:rsid w:val="00E302A6"/>
    <w:rsid w:val="00E30CFA"/>
    <w:rsid w:val="00E31C94"/>
    <w:rsid w:val="00E3215E"/>
    <w:rsid w:val="00E338FA"/>
    <w:rsid w:val="00E33CB2"/>
    <w:rsid w:val="00E34B78"/>
    <w:rsid w:val="00E351E9"/>
    <w:rsid w:val="00E40780"/>
    <w:rsid w:val="00E42723"/>
    <w:rsid w:val="00E44CAD"/>
    <w:rsid w:val="00E46F71"/>
    <w:rsid w:val="00E47019"/>
    <w:rsid w:val="00E47B3E"/>
    <w:rsid w:val="00E50A44"/>
    <w:rsid w:val="00E51E6B"/>
    <w:rsid w:val="00E51FE7"/>
    <w:rsid w:val="00E52021"/>
    <w:rsid w:val="00E52C7E"/>
    <w:rsid w:val="00E52DD7"/>
    <w:rsid w:val="00E53046"/>
    <w:rsid w:val="00E53AA1"/>
    <w:rsid w:val="00E53AD3"/>
    <w:rsid w:val="00E54574"/>
    <w:rsid w:val="00E550F7"/>
    <w:rsid w:val="00E566D2"/>
    <w:rsid w:val="00E56A2C"/>
    <w:rsid w:val="00E56F98"/>
    <w:rsid w:val="00E601FB"/>
    <w:rsid w:val="00E60843"/>
    <w:rsid w:val="00E60E3B"/>
    <w:rsid w:val="00E6141D"/>
    <w:rsid w:val="00E62220"/>
    <w:rsid w:val="00E6281F"/>
    <w:rsid w:val="00E67F9B"/>
    <w:rsid w:val="00E710BE"/>
    <w:rsid w:val="00E71DBA"/>
    <w:rsid w:val="00E741DC"/>
    <w:rsid w:val="00E7585E"/>
    <w:rsid w:val="00E760B6"/>
    <w:rsid w:val="00E7640B"/>
    <w:rsid w:val="00E7692F"/>
    <w:rsid w:val="00E77224"/>
    <w:rsid w:val="00E8056B"/>
    <w:rsid w:val="00E80A1A"/>
    <w:rsid w:val="00E8228A"/>
    <w:rsid w:val="00E83F28"/>
    <w:rsid w:val="00E85C83"/>
    <w:rsid w:val="00E8626D"/>
    <w:rsid w:val="00E87C12"/>
    <w:rsid w:val="00E9131E"/>
    <w:rsid w:val="00E92008"/>
    <w:rsid w:val="00E95091"/>
    <w:rsid w:val="00E96A18"/>
    <w:rsid w:val="00E96AA4"/>
    <w:rsid w:val="00E97816"/>
    <w:rsid w:val="00EA0375"/>
    <w:rsid w:val="00EA0F74"/>
    <w:rsid w:val="00EA1831"/>
    <w:rsid w:val="00EA2204"/>
    <w:rsid w:val="00EA2746"/>
    <w:rsid w:val="00EA3251"/>
    <w:rsid w:val="00EA46D8"/>
    <w:rsid w:val="00EA76CC"/>
    <w:rsid w:val="00EB0C47"/>
    <w:rsid w:val="00EB0E80"/>
    <w:rsid w:val="00EB1FE0"/>
    <w:rsid w:val="00EB23C3"/>
    <w:rsid w:val="00EB2AB6"/>
    <w:rsid w:val="00EB39FF"/>
    <w:rsid w:val="00EB43B7"/>
    <w:rsid w:val="00EB52D8"/>
    <w:rsid w:val="00EB5CBE"/>
    <w:rsid w:val="00EB78A9"/>
    <w:rsid w:val="00EC3571"/>
    <w:rsid w:val="00EC3F9B"/>
    <w:rsid w:val="00EC6498"/>
    <w:rsid w:val="00EC7E43"/>
    <w:rsid w:val="00EC7FDA"/>
    <w:rsid w:val="00ED06E4"/>
    <w:rsid w:val="00ED0B80"/>
    <w:rsid w:val="00ED0D3C"/>
    <w:rsid w:val="00ED1257"/>
    <w:rsid w:val="00ED1DB0"/>
    <w:rsid w:val="00ED2995"/>
    <w:rsid w:val="00ED3A2B"/>
    <w:rsid w:val="00ED41E0"/>
    <w:rsid w:val="00ED4667"/>
    <w:rsid w:val="00ED49EB"/>
    <w:rsid w:val="00ED582F"/>
    <w:rsid w:val="00ED6831"/>
    <w:rsid w:val="00EE07EE"/>
    <w:rsid w:val="00EE1242"/>
    <w:rsid w:val="00EE275D"/>
    <w:rsid w:val="00EE3F5C"/>
    <w:rsid w:val="00EE4129"/>
    <w:rsid w:val="00EE4228"/>
    <w:rsid w:val="00EE6684"/>
    <w:rsid w:val="00EF00B5"/>
    <w:rsid w:val="00EF014A"/>
    <w:rsid w:val="00EF0EA3"/>
    <w:rsid w:val="00EF39A2"/>
    <w:rsid w:val="00EF3E38"/>
    <w:rsid w:val="00EF4104"/>
    <w:rsid w:val="00EF681E"/>
    <w:rsid w:val="00EF6EED"/>
    <w:rsid w:val="00EF7988"/>
    <w:rsid w:val="00F00BBD"/>
    <w:rsid w:val="00F00C11"/>
    <w:rsid w:val="00F019AA"/>
    <w:rsid w:val="00F042CA"/>
    <w:rsid w:val="00F050A9"/>
    <w:rsid w:val="00F05BA3"/>
    <w:rsid w:val="00F05E29"/>
    <w:rsid w:val="00F0610C"/>
    <w:rsid w:val="00F06E9C"/>
    <w:rsid w:val="00F07114"/>
    <w:rsid w:val="00F105BF"/>
    <w:rsid w:val="00F12173"/>
    <w:rsid w:val="00F1550C"/>
    <w:rsid w:val="00F16C2D"/>
    <w:rsid w:val="00F17E6F"/>
    <w:rsid w:val="00F17EC7"/>
    <w:rsid w:val="00F20633"/>
    <w:rsid w:val="00F21CE8"/>
    <w:rsid w:val="00F2345B"/>
    <w:rsid w:val="00F23F7C"/>
    <w:rsid w:val="00F24050"/>
    <w:rsid w:val="00F24101"/>
    <w:rsid w:val="00F24AA1"/>
    <w:rsid w:val="00F25D32"/>
    <w:rsid w:val="00F26132"/>
    <w:rsid w:val="00F26CFA"/>
    <w:rsid w:val="00F26D5F"/>
    <w:rsid w:val="00F31BC8"/>
    <w:rsid w:val="00F31C8B"/>
    <w:rsid w:val="00F322F1"/>
    <w:rsid w:val="00F32BD9"/>
    <w:rsid w:val="00F32F38"/>
    <w:rsid w:val="00F33008"/>
    <w:rsid w:val="00F33F39"/>
    <w:rsid w:val="00F359E5"/>
    <w:rsid w:val="00F35E3E"/>
    <w:rsid w:val="00F37828"/>
    <w:rsid w:val="00F411AA"/>
    <w:rsid w:val="00F41DA7"/>
    <w:rsid w:val="00F448EA"/>
    <w:rsid w:val="00F475EC"/>
    <w:rsid w:val="00F5037C"/>
    <w:rsid w:val="00F506FD"/>
    <w:rsid w:val="00F51B8C"/>
    <w:rsid w:val="00F51D1F"/>
    <w:rsid w:val="00F51D63"/>
    <w:rsid w:val="00F52310"/>
    <w:rsid w:val="00F52CC4"/>
    <w:rsid w:val="00F53A4E"/>
    <w:rsid w:val="00F544FD"/>
    <w:rsid w:val="00F557D3"/>
    <w:rsid w:val="00F56101"/>
    <w:rsid w:val="00F56935"/>
    <w:rsid w:val="00F56C20"/>
    <w:rsid w:val="00F60E7F"/>
    <w:rsid w:val="00F637DB"/>
    <w:rsid w:val="00F64989"/>
    <w:rsid w:val="00F662E2"/>
    <w:rsid w:val="00F66A3C"/>
    <w:rsid w:val="00F67640"/>
    <w:rsid w:val="00F67C91"/>
    <w:rsid w:val="00F67D3C"/>
    <w:rsid w:val="00F70859"/>
    <w:rsid w:val="00F729E0"/>
    <w:rsid w:val="00F748B9"/>
    <w:rsid w:val="00F74A6D"/>
    <w:rsid w:val="00F768EC"/>
    <w:rsid w:val="00F769BB"/>
    <w:rsid w:val="00F76AF2"/>
    <w:rsid w:val="00F77D99"/>
    <w:rsid w:val="00F80E00"/>
    <w:rsid w:val="00F81945"/>
    <w:rsid w:val="00F824CE"/>
    <w:rsid w:val="00F839CF"/>
    <w:rsid w:val="00F83C66"/>
    <w:rsid w:val="00F83E5B"/>
    <w:rsid w:val="00F85530"/>
    <w:rsid w:val="00F91791"/>
    <w:rsid w:val="00F91F03"/>
    <w:rsid w:val="00F920F7"/>
    <w:rsid w:val="00F928F4"/>
    <w:rsid w:val="00F9546E"/>
    <w:rsid w:val="00F968AE"/>
    <w:rsid w:val="00F96F7D"/>
    <w:rsid w:val="00F971D6"/>
    <w:rsid w:val="00F97363"/>
    <w:rsid w:val="00F973F0"/>
    <w:rsid w:val="00FA00F9"/>
    <w:rsid w:val="00FA1E1F"/>
    <w:rsid w:val="00FA23AE"/>
    <w:rsid w:val="00FA26A5"/>
    <w:rsid w:val="00FA4249"/>
    <w:rsid w:val="00FA4A84"/>
    <w:rsid w:val="00FA4F10"/>
    <w:rsid w:val="00FA4F66"/>
    <w:rsid w:val="00FB2CC5"/>
    <w:rsid w:val="00FB3029"/>
    <w:rsid w:val="00FB35DC"/>
    <w:rsid w:val="00FB3E18"/>
    <w:rsid w:val="00FB5163"/>
    <w:rsid w:val="00FB69D7"/>
    <w:rsid w:val="00FC15D7"/>
    <w:rsid w:val="00FC1688"/>
    <w:rsid w:val="00FC2B85"/>
    <w:rsid w:val="00FC3506"/>
    <w:rsid w:val="00FC3859"/>
    <w:rsid w:val="00FC561A"/>
    <w:rsid w:val="00FC69C6"/>
    <w:rsid w:val="00FD0A57"/>
    <w:rsid w:val="00FD1B33"/>
    <w:rsid w:val="00FD1E51"/>
    <w:rsid w:val="00FD280B"/>
    <w:rsid w:val="00FD2E25"/>
    <w:rsid w:val="00FD4C85"/>
    <w:rsid w:val="00FD6313"/>
    <w:rsid w:val="00FD681D"/>
    <w:rsid w:val="00FE01B1"/>
    <w:rsid w:val="00FE1834"/>
    <w:rsid w:val="00FE2695"/>
    <w:rsid w:val="00FE45BE"/>
    <w:rsid w:val="00FE49EC"/>
    <w:rsid w:val="00FE61A7"/>
    <w:rsid w:val="00FF114D"/>
    <w:rsid w:val="00FF2304"/>
    <w:rsid w:val="00FF3F1D"/>
    <w:rsid w:val="00FF4977"/>
    <w:rsid w:val="00FF4F15"/>
    <w:rsid w:val="00FF510C"/>
    <w:rsid w:val="00FF5EBB"/>
    <w:rsid w:val="00FF6008"/>
    <w:rsid w:val="00FF63CA"/>
    <w:rsid w:val="00FF6962"/>
    <w:rsid w:val="00FF6A2B"/>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ind w:left="360"/>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customStyle="1" w:styleId="subsectionChar">
    <w:name w:val="subsection Char"/>
    <w:aliases w:val="ss Char"/>
    <w:basedOn w:val="DefaultParagraphFont"/>
    <w:link w:val="subsection"/>
    <w:locked/>
    <w:rsid w:val="000A7880"/>
    <w:rPr>
      <w:sz w:val="22"/>
    </w:rPr>
  </w:style>
  <w:style w:type="paragraph" w:customStyle="1" w:styleId="subsection">
    <w:name w:val="subsection"/>
    <w:aliases w:val="ss"/>
    <w:basedOn w:val="Normal"/>
    <w:link w:val="subsectionChar"/>
    <w:rsid w:val="000A7880"/>
    <w:pPr>
      <w:tabs>
        <w:tab w:val="right" w:pos="1021"/>
      </w:tabs>
      <w:spacing w:before="180"/>
      <w:ind w:left="1134" w:hanging="1134"/>
    </w:pPr>
    <w:rPr>
      <w:szCs w:val="20"/>
      <w:lang w:eastAsia="en-AU"/>
    </w:rPr>
  </w:style>
  <w:style w:type="paragraph" w:customStyle="1" w:styleId="Tablea">
    <w:name w:val="Table(a)"/>
    <w:aliases w:val="ta"/>
    <w:basedOn w:val="Normal"/>
    <w:rsid w:val="000A7880"/>
    <w:pPr>
      <w:spacing w:before="60"/>
      <w:ind w:left="284" w:hanging="284"/>
    </w:pPr>
    <w:rPr>
      <w:rFonts w:ascii="Times New Roman" w:eastAsia="Times New Roman" w:hAnsi="Times New Roman"/>
      <w:sz w:val="20"/>
      <w:szCs w:val="20"/>
      <w:lang w:eastAsia="en-AU"/>
    </w:rPr>
  </w:style>
  <w:style w:type="paragraph" w:customStyle="1" w:styleId="notetext">
    <w:name w:val="note(text)"/>
    <w:aliases w:val="n"/>
    <w:basedOn w:val="Normal"/>
    <w:rsid w:val="000A7880"/>
    <w:pPr>
      <w:spacing w:before="122"/>
      <w:ind w:left="1985" w:hanging="851"/>
    </w:pPr>
    <w:rPr>
      <w:rFonts w:ascii="Times New Roman" w:eastAsia="Times New Roman" w:hAnsi="Times New Roman"/>
      <w:sz w:val="18"/>
      <w:szCs w:val="20"/>
      <w:lang w:eastAsia="en-AU"/>
    </w:rPr>
  </w:style>
  <w:style w:type="paragraph" w:customStyle="1" w:styleId="Tabletext">
    <w:name w:val="Tabletext"/>
    <w:aliases w:val="tt"/>
    <w:basedOn w:val="Normal"/>
    <w:rsid w:val="000A7880"/>
    <w:pPr>
      <w:spacing w:before="60" w:line="240" w:lineRule="atLeast"/>
    </w:pPr>
    <w:rPr>
      <w:rFonts w:ascii="Times New Roman" w:eastAsia="Times New Roman" w:hAnsi="Times New Roman"/>
      <w:sz w:val="20"/>
      <w:szCs w:val="20"/>
      <w:lang w:eastAsia="en-AU"/>
    </w:rPr>
  </w:style>
  <w:style w:type="paragraph" w:customStyle="1" w:styleId="TableHeading0">
    <w:name w:val="TableHeading"/>
    <w:aliases w:val="th"/>
    <w:basedOn w:val="Normal"/>
    <w:next w:val="Tabletext"/>
    <w:rsid w:val="000A7880"/>
    <w:pPr>
      <w:keepNext/>
      <w:spacing w:before="60" w:line="240" w:lineRule="atLeast"/>
    </w:pPr>
    <w:rPr>
      <w:rFonts w:ascii="Times New Roman" w:eastAsia="Times New Roman" w:hAnsi="Times New Roman"/>
      <w:b/>
      <w:sz w:val="20"/>
      <w:szCs w:val="20"/>
      <w:lang w:eastAsia="en-AU"/>
    </w:rPr>
  </w:style>
  <w:style w:type="paragraph" w:customStyle="1" w:styleId="SubsectionHead">
    <w:name w:val="SubsectionHead"/>
    <w:aliases w:val="ssh"/>
    <w:basedOn w:val="Normal"/>
    <w:next w:val="Normal"/>
    <w:rsid w:val="00EE6684"/>
    <w:pPr>
      <w:keepNext/>
      <w:keepLines/>
      <w:spacing w:before="240"/>
      <w:ind w:left="1134"/>
    </w:pPr>
    <w:rPr>
      <w:rFonts w:ascii="Times New Roman" w:eastAsia="Times New Roman" w:hAnsi="Times New Roman"/>
      <w:i/>
      <w:szCs w:val="20"/>
      <w:lang w:eastAsia="en-AU"/>
    </w:rPr>
  </w:style>
  <w:style w:type="character" w:customStyle="1" w:styleId="paragraphChar">
    <w:name w:val="paragraph Char"/>
    <w:aliases w:val="a Char"/>
    <w:basedOn w:val="DefaultParagraphFont"/>
    <w:link w:val="paragraph"/>
    <w:locked/>
    <w:rsid w:val="00EE6684"/>
    <w:rPr>
      <w:sz w:val="22"/>
    </w:rPr>
  </w:style>
  <w:style w:type="paragraph" w:customStyle="1" w:styleId="paragraph">
    <w:name w:val="paragraph"/>
    <w:aliases w:val="a"/>
    <w:basedOn w:val="Normal"/>
    <w:link w:val="paragraphChar"/>
    <w:rsid w:val="00EE6684"/>
    <w:pPr>
      <w:tabs>
        <w:tab w:val="right" w:pos="1531"/>
      </w:tabs>
      <w:spacing w:before="40"/>
      <w:ind w:left="1644" w:hanging="1644"/>
    </w:pPr>
    <w:rPr>
      <w:szCs w:val="20"/>
      <w:lang w:eastAsia="en-AU"/>
    </w:rPr>
  </w:style>
  <w:style w:type="paragraph" w:customStyle="1" w:styleId="ActHead5">
    <w:name w:val="ActHead 5"/>
    <w:aliases w:val="s"/>
    <w:basedOn w:val="Normal"/>
    <w:next w:val="Normal"/>
    <w:qFormat/>
    <w:rsid w:val="00136219"/>
    <w:pPr>
      <w:keepNext/>
      <w:keepLines/>
      <w:spacing w:before="280"/>
      <w:ind w:left="1134" w:hanging="1134"/>
      <w:outlineLvl w:val="4"/>
    </w:pPr>
    <w:rPr>
      <w:rFonts w:ascii="Times New Roman" w:eastAsia="Times New Roman" w:hAnsi="Times New Roman"/>
      <w:b/>
      <w:kern w:val="28"/>
      <w:sz w:val="24"/>
      <w:szCs w:val="20"/>
      <w:lang w:eastAsia="en-AU"/>
    </w:rPr>
  </w:style>
  <w:style w:type="character" w:customStyle="1" w:styleId="CharSectno">
    <w:name w:val="CharSectno"/>
    <w:basedOn w:val="DefaultParagraphFont"/>
    <w:qFormat/>
    <w:rsid w:val="00136219"/>
  </w:style>
  <w:style w:type="paragraph" w:customStyle="1" w:styleId="TableHeading">
    <w:name w:val="Table Heading"/>
    <w:link w:val="TableHeadingChar"/>
    <w:autoRedefine/>
    <w:rsid w:val="00CF1471"/>
    <w:pPr>
      <w:numPr>
        <w:numId w:val="3"/>
      </w:numPr>
      <w:spacing w:before="240" w:after="60"/>
    </w:pPr>
    <w:rPr>
      <w:rFonts w:ascii="Arial" w:eastAsia="Times New Roman" w:hAnsi="Arial"/>
      <w:b/>
      <w:sz w:val="22"/>
      <w:szCs w:val="24"/>
      <w:lang w:eastAsia="en-US"/>
    </w:rPr>
  </w:style>
  <w:style w:type="character" w:customStyle="1" w:styleId="TableHeadingChar">
    <w:name w:val="Table Heading Char"/>
    <w:link w:val="TableHeading"/>
    <w:locked/>
    <w:rsid w:val="00CF1471"/>
    <w:rPr>
      <w:rFonts w:ascii="Arial" w:eastAsia="Times New Roman" w:hAnsi="Arial"/>
      <w:b/>
      <w:sz w:val="22"/>
      <w:szCs w:val="24"/>
      <w:lang w:eastAsia="en-US"/>
    </w:rPr>
  </w:style>
  <w:style w:type="paragraph" w:customStyle="1" w:styleId="Normal-TimesNewRoman">
    <w:name w:val="Normal - Times New Roman"/>
    <w:rsid w:val="00CF1471"/>
    <w:pPr>
      <w:suppressAutoHyphens/>
      <w:spacing w:after="180"/>
      <w:jc w:val="both"/>
    </w:pPr>
    <w:rPr>
      <w:rFonts w:ascii="Times New Roman" w:eastAsia="Arial" w:hAnsi="Times New Roman"/>
      <w:sz w:val="24"/>
      <w:lang w:eastAsia="ar-SA"/>
    </w:rPr>
  </w:style>
  <w:style w:type="paragraph" w:styleId="NoSpacing">
    <w:name w:val="No Spacing"/>
    <w:uiPriority w:val="1"/>
    <w:qFormat/>
    <w:rsid w:val="0024119B"/>
    <w:rPr>
      <w:sz w:val="22"/>
      <w:szCs w:val="22"/>
      <w:lang w:eastAsia="en-US"/>
    </w:rPr>
  </w:style>
  <w:style w:type="paragraph" w:styleId="NormalWeb">
    <w:name w:val="Normal (Web)"/>
    <w:basedOn w:val="Normal"/>
    <w:uiPriority w:val="99"/>
    <w:unhideWhenUsed/>
    <w:rsid w:val="0020535C"/>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10">
      <w:bodyDiv w:val="1"/>
      <w:marLeft w:val="0"/>
      <w:marRight w:val="0"/>
      <w:marTop w:val="0"/>
      <w:marBottom w:val="0"/>
      <w:divBdr>
        <w:top w:val="none" w:sz="0" w:space="0" w:color="auto"/>
        <w:left w:val="none" w:sz="0" w:space="0" w:color="auto"/>
        <w:bottom w:val="none" w:sz="0" w:space="0" w:color="auto"/>
        <w:right w:val="none" w:sz="0" w:space="0" w:color="auto"/>
      </w:divBdr>
    </w:div>
    <w:div w:id="36007429">
      <w:bodyDiv w:val="1"/>
      <w:marLeft w:val="0"/>
      <w:marRight w:val="0"/>
      <w:marTop w:val="0"/>
      <w:marBottom w:val="0"/>
      <w:divBdr>
        <w:top w:val="none" w:sz="0" w:space="0" w:color="auto"/>
        <w:left w:val="none" w:sz="0" w:space="0" w:color="auto"/>
        <w:bottom w:val="none" w:sz="0" w:space="0" w:color="auto"/>
        <w:right w:val="none" w:sz="0" w:space="0" w:color="auto"/>
      </w:divBdr>
    </w:div>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188178067">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604581598">
      <w:bodyDiv w:val="1"/>
      <w:marLeft w:val="0"/>
      <w:marRight w:val="0"/>
      <w:marTop w:val="0"/>
      <w:marBottom w:val="0"/>
      <w:divBdr>
        <w:top w:val="none" w:sz="0" w:space="0" w:color="auto"/>
        <w:left w:val="none" w:sz="0" w:space="0" w:color="auto"/>
        <w:bottom w:val="none" w:sz="0" w:space="0" w:color="auto"/>
        <w:right w:val="none" w:sz="0" w:space="0" w:color="auto"/>
      </w:divBdr>
    </w:div>
    <w:div w:id="756678888">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16808767">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066879260">
      <w:bodyDiv w:val="1"/>
      <w:marLeft w:val="0"/>
      <w:marRight w:val="0"/>
      <w:marTop w:val="0"/>
      <w:marBottom w:val="0"/>
      <w:divBdr>
        <w:top w:val="none" w:sz="0" w:space="0" w:color="auto"/>
        <w:left w:val="none" w:sz="0" w:space="0" w:color="auto"/>
        <w:bottom w:val="none" w:sz="0" w:space="0" w:color="auto"/>
        <w:right w:val="none" w:sz="0" w:space="0" w:color="auto"/>
      </w:divBdr>
    </w:div>
    <w:div w:id="1101222532">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31829439">
      <w:bodyDiv w:val="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48026050">
      <w:bodyDiv w:val="1"/>
      <w:marLeft w:val="0"/>
      <w:marRight w:val="0"/>
      <w:marTop w:val="0"/>
      <w:marBottom w:val="0"/>
      <w:divBdr>
        <w:top w:val="none" w:sz="0" w:space="0" w:color="auto"/>
        <w:left w:val="none" w:sz="0" w:space="0" w:color="auto"/>
        <w:bottom w:val="none" w:sz="0" w:space="0" w:color="auto"/>
        <w:right w:val="none" w:sz="0" w:space="0" w:color="auto"/>
      </w:divBdr>
    </w:div>
    <w:div w:id="1354458168">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47204894">
      <w:bodyDiv w:val="1"/>
      <w:marLeft w:val="0"/>
      <w:marRight w:val="0"/>
      <w:marTop w:val="0"/>
      <w:marBottom w:val="0"/>
      <w:divBdr>
        <w:top w:val="none" w:sz="0" w:space="0" w:color="auto"/>
        <w:left w:val="none" w:sz="0" w:space="0" w:color="auto"/>
        <w:bottom w:val="none" w:sz="0" w:space="0" w:color="auto"/>
        <w:right w:val="none" w:sz="0" w:space="0" w:color="auto"/>
      </w:divBdr>
      <w:divsChild>
        <w:div w:id="1425883156">
          <w:marLeft w:val="0"/>
          <w:marRight w:val="0"/>
          <w:marTop w:val="0"/>
          <w:marBottom w:val="0"/>
          <w:divBdr>
            <w:top w:val="none" w:sz="0" w:space="0" w:color="auto"/>
            <w:left w:val="none" w:sz="0" w:space="0" w:color="auto"/>
            <w:bottom w:val="none" w:sz="0" w:space="0" w:color="auto"/>
            <w:right w:val="none" w:sz="0" w:space="0" w:color="auto"/>
          </w:divBdr>
        </w:div>
        <w:div w:id="1517964851">
          <w:marLeft w:val="0"/>
          <w:marRight w:val="0"/>
          <w:marTop w:val="0"/>
          <w:marBottom w:val="0"/>
          <w:divBdr>
            <w:top w:val="none" w:sz="0" w:space="0" w:color="auto"/>
            <w:left w:val="none" w:sz="0" w:space="0" w:color="auto"/>
            <w:bottom w:val="none" w:sz="0" w:space="0" w:color="auto"/>
            <w:right w:val="none" w:sz="0" w:space="0" w:color="auto"/>
          </w:divBdr>
        </w:div>
        <w:div w:id="307517322">
          <w:marLeft w:val="0"/>
          <w:marRight w:val="0"/>
          <w:marTop w:val="0"/>
          <w:marBottom w:val="0"/>
          <w:divBdr>
            <w:top w:val="none" w:sz="0" w:space="0" w:color="auto"/>
            <w:left w:val="none" w:sz="0" w:space="0" w:color="auto"/>
            <w:bottom w:val="none" w:sz="0" w:space="0" w:color="auto"/>
            <w:right w:val="none" w:sz="0" w:space="0" w:color="auto"/>
          </w:divBdr>
        </w:div>
        <w:div w:id="1524637398">
          <w:marLeft w:val="0"/>
          <w:marRight w:val="0"/>
          <w:marTop w:val="0"/>
          <w:marBottom w:val="0"/>
          <w:divBdr>
            <w:top w:val="none" w:sz="0" w:space="0" w:color="auto"/>
            <w:left w:val="none" w:sz="0" w:space="0" w:color="auto"/>
            <w:bottom w:val="none" w:sz="0" w:space="0" w:color="auto"/>
            <w:right w:val="none" w:sz="0" w:space="0" w:color="auto"/>
          </w:divBdr>
        </w:div>
        <w:div w:id="242489305">
          <w:marLeft w:val="0"/>
          <w:marRight w:val="0"/>
          <w:marTop w:val="0"/>
          <w:marBottom w:val="0"/>
          <w:divBdr>
            <w:top w:val="none" w:sz="0" w:space="0" w:color="auto"/>
            <w:left w:val="none" w:sz="0" w:space="0" w:color="auto"/>
            <w:bottom w:val="none" w:sz="0" w:space="0" w:color="auto"/>
            <w:right w:val="none" w:sz="0" w:space="0" w:color="auto"/>
          </w:divBdr>
        </w:div>
        <w:div w:id="1970937023">
          <w:marLeft w:val="0"/>
          <w:marRight w:val="0"/>
          <w:marTop w:val="0"/>
          <w:marBottom w:val="0"/>
          <w:divBdr>
            <w:top w:val="none" w:sz="0" w:space="0" w:color="auto"/>
            <w:left w:val="none" w:sz="0" w:space="0" w:color="auto"/>
            <w:bottom w:val="none" w:sz="0" w:space="0" w:color="auto"/>
            <w:right w:val="none" w:sz="0" w:space="0" w:color="auto"/>
          </w:divBdr>
        </w:div>
        <w:div w:id="1383358966">
          <w:marLeft w:val="0"/>
          <w:marRight w:val="0"/>
          <w:marTop w:val="0"/>
          <w:marBottom w:val="0"/>
          <w:divBdr>
            <w:top w:val="none" w:sz="0" w:space="0" w:color="auto"/>
            <w:left w:val="none" w:sz="0" w:space="0" w:color="auto"/>
            <w:bottom w:val="none" w:sz="0" w:space="0" w:color="auto"/>
            <w:right w:val="none" w:sz="0" w:space="0" w:color="auto"/>
          </w:divBdr>
        </w:div>
        <w:div w:id="800029389">
          <w:marLeft w:val="0"/>
          <w:marRight w:val="0"/>
          <w:marTop w:val="0"/>
          <w:marBottom w:val="0"/>
          <w:divBdr>
            <w:top w:val="none" w:sz="0" w:space="0" w:color="auto"/>
            <w:left w:val="none" w:sz="0" w:space="0" w:color="auto"/>
            <w:bottom w:val="none" w:sz="0" w:space="0" w:color="auto"/>
            <w:right w:val="none" w:sz="0" w:space="0" w:color="auto"/>
          </w:divBdr>
        </w:div>
        <w:div w:id="958495093">
          <w:marLeft w:val="0"/>
          <w:marRight w:val="0"/>
          <w:marTop w:val="0"/>
          <w:marBottom w:val="0"/>
          <w:divBdr>
            <w:top w:val="none" w:sz="0" w:space="0" w:color="auto"/>
            <w:left w:val="none" w:sz="0" w:space="0" w:color="auto"/>
            <w:bottom w:val="none" w:sz="0" w:space="0" w:color="auto"/>
            <w:right w:val="none" w:sz="0" w:space="0" w:color="auto"/>
          </w:divBdr>
        </w:div>
        <w:div w:id="475880714">
          <w:marLeft w:val="0"/>
          <w:marRight w:val="0"/>
          <w:marTop w:val="0"/>
          <w:marBottom w:val="0"/>
          <w:divBdr>
            <w:top w:val="none" w:sz="0" w:space="0" w:color="auto"/>
            <w:left w:val="none" w:sz="0" w:space="0" w:color="auto"/>
            <w:bottom w:val="none" w:sz="0" w:space="0" w:color="auto"/>
            <w:right w:val="none" w:sz="0" w:space="0" w:color="auto"/>
          </w:divBdr>
        </w:div>
        <w:div w:id="1623227070">
          <w:marLeft w:val="0"/>
          <w:marRight w:val="0"/>
          <w:marTop w:val="0"/>
          <w:marBottom w:val="0"/>
          <w:divBdr>
            <w:top w:val="none" w:sz="0" w:space="0" w:color="auto"/>
            <w:left w:val="none" w:sz="0" w:space="0" w:color="auto"/>
            <w:bottom w:val="none" w:sz="0" w:space="0" w:color="auto"/>
            <w:right w:val="none" w:sz="0" w:space="0" w:color="auto"/>
          </w:divBdr>
        </w:div>
        <w:div w:id="114326615">
          <w:marLeft w:val="0"/>
          <w:marRight w:val="0"/>
          <w:marTop w:val="0"/>
          <w:marBottom w:val="0"/>
          <w:divBdr>
            <w:top w:val="none" w:sz="0" w:space="0" w:color="auto"/>
            <w:left w:val="none" w:sz="0" w:space="0" w:color="auto"/>
            <w:bottom w:val="none" w:sz="0" w:space="0" w:color="auto"/>
            <w:right w:val="none" w:sz="0" w:space="0" w:color="auto"/>
          </w:divBdr>
        </w:div>
        <w:div w:id="863594781">
          <w:marLeft w:val="0"/>
          <w:marRight w:val="0"/>
          <w:marTop w:val="0"/>
          <w:marBottom w:val="0"/>
          <w:divBdr>
            <w:top w:val="none" w:sz="0" w:space="0" w:color="auto"/>
            <w:left w:val="none" w:sz="0" w:space="0" w:color="auto"/>
            <w:bottom w:val="none" w:sz="0" w:space="0" w:color="auto"/>
            <w:right w:val="none" w:sz="0" w:space="0" w:color="auto"/>
          </w:divBdr>
        </w:div>
        <w:div w:id="815537583">
          <w:marLeft w:val="0"/>
          <w:marRight w:val="0"/>
          <w:marTop w:val="0"/>
          <w:marBottom w:val="0"/>
          <w:divBdr>
            <w:top w:val="none" w:sz="0" w:space="0" w:color="auto"/>
            <w:left w:val="none" w:sz="0" w:space="0" w:color="auto"/>
            <w:bottom w:val="none" w:sz="0" w:space="0" w:color="auto"/>
            <w:right w:val="none" w:sz="0" w:space="0" w:color="auto"/>
          </w:divBdr>
        </w:div>
      </w:divsChild>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03886949">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 w:id="1941525801">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4177704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truck.net.au" TargetMode="External"/><Relationship Id="rId2" Type="http://schemas.openxmlformats.org/officeDocument/2006/relationships/hyperlink" Target="http://www.truck.net.au" TargetMode="External"/><Relationship Id="rId1" Type="http://schemas.openxmlformats.org/officeDocument/2006/relationships/hyperlink" Target="http://www.truck.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AD3E-120D-43CC-BCE5-1B423231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2015-02-27T04:15:00Z</dcterms:created>
  <dcterms:modified xsi:type="dcterms:W3CDTF">2015-02-27T04:24:00Z</dcterms:modified>
  <cp:contentStatus/>
</cp:coreProperties>
</file>