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EA3" w:rsidRDefault="006B4EA3">
      <w:pPr>
        <w:pStyle w:val="NoSpacing"/>
        <w:jc w:val="center"/>
        <w:rPr>
          <w:rFonts w:ascii="Arial" w:hAnsi="Arial" w:cs="Arial"/>
          <w:color w:val="00000A"/>
          <w:sz w:val="22"/>
          <w:szCs w:val="22"/>
        </w:rPr>
      </w:pPr>
      <w:bookmarkStart w:id="0" w:name="_GoBack"/>
      <w:bookmarkEnd w:id="0"/>
    </w:p>
    <w:p w:rsidR="006B4EA3" w:rsidRDefault="006B4EA3">
      <w:pPr>
        <w:pStyle w:val="NoSpacing"/>
        <w:jc w:val="center"/>
        <w:rPr>
          <w:rFonts w:ascii="Arial" w:hAnsi="Arial" w:cs="Arial"/>
          <w:color w:val="00000A"/>
          <w:sz w:val="22"/>
          <w:szCs w:val="22"/>
        </w:rPr>
      </w:pPr>
    </w:p>
    <w:p w:rsidR="006B4EA3" w:rsidRDefault="0048114E">
      <w:pPr>
        <w:pStyle w:val="NoSpacing"/>
        <w:jc w:val="center"/>
        <w:rPr>
          <w:rFonts w:ascii="Arial" w:hAnsi="Arial" w:cs="Arial"/>
          <w:b/>
          <w:color w:val="00000A"/>
          <w:sz w:val="22"/>
          <w:szCs w:val="22"/>
        </w:rPr>
      </w:pPr>
      <w:r>
        <w:rPr>
          <w:rFonts w:ascii="Arial" w:hAnsi="Arial" w:cs="Arial"/>
          <w:b/>
          <w:color w:val="00000A"/>
          <w:sz w:val="22"/>
          <w:szCs w:val="22"/>
        </w:rPr>
        <w:t>REVIEW OF HVNL INVESTIGATIVE AND ENFORCEMENT POWERS</w:t>
      </w:r>
    </w:p>
    <w:p w:rsidR="006B4EA3" w:rsidRDefault="0048114E">
      <w:pPr>
        <w:pStyle w:val="NoSpacing"/>
        <w:jc w:val="center"/>
        <w:rPr>
          <w:rFonts w:ascii="Arial" w:hAnsi="Arial" w:cs="Arial"/>
          <w:b/>
          <w:color w:val="00000A"/>
          <w:sz w:val="22"/>
          <w:szCs w:val="22"/>
        </w:rPr>
      </w:pPr>
      <w:r>
        <w:rPr>
          <w:rFonts w:ascii="Arial" w:hAnsi="Arial" w:cs="Arial"/>
          <w:b/>
          <w:color w:val="00000A"/>
          <w:sz w:val="22"/>
          <w:szCs w:val="22"/>
        </w:rPr>
        <w:t>AUSTRALIAN TRUCKING ASSOCIATION RESPONSE</w:t>
      </w:r>
    </w:p>
    <w:p w:rsidR="006B4EA3" w:rsidRDefault="0048114E">
      <w:pPr>
        <w:pStyle w:val="NoSpacing"/>
        <w:jc w:val="center"/>
        <w:rPr>
          <w:rFonts w:ascii="Arial" w:hAnsi="Arial" w:cs="Arial"/>
          <w:b/>
          <w:color w:val="00000A"/>
          <w:sz w:val="22"/>
          <w:szCs w:val="22"/>
        </w:rPr>
      </w:pPr>
      <w:r>
        <w:rPr>
          <w:rFonts w:ascii="Arial" w:hAnsi="Arial" w:cs="Arial"/>
          <w:b/>
          <w:color w:val="00000A"/>
          <w:sz w:val="22"/>
          <w:szCs w:val="22"/>
        </w:rPr>
        <w:t>DECEMBER 2016</w:t>
      </w:r>
    </w:p>
    <w:p w:rsidR="006B4EA3" w:rsidRDefault="006B4EA3">
      <w:pPr>
        <w:pStyle w:val="NoSpacing"/>
        <w:jc w:val="center"/>
        <w:rPr>
          <w:rFonts w:ascii="Arial" w:hAnsi="Arial" w:cs="Arial"/>
          <w:b/>
          <w:color w:val="00000A"/>
          <w:sz w:val="22"/>
          <w:szCs w:val="22"/>
        </w:rPr>
      </w:pPr>
    </w:p>
    <w:p w:rsidR="006B4EA3" w:rsidRDefault="006B4EA3">
      <w:pPr>
        <w:pStyle w:val="NoSpacing"/>
        <w:rPr>
          <w:rFonts w:ascii="Arial" w:hAnsi="Arial" w:cs="Arial"/>
          <w:color w:val="00000A"/>
          <w:sz w:val="22"/>
          <w:szCs w:val="22"/>
        </w:rPr>
      </w:pPr>
    </w:p>
    <w:p w:rsidR="006B4EA3" w:rsidRDefault="0048114E">
      <w:pPr>
        <w:pStyle w:val="NoSpacing"/>
        <w:rPr>
          <w:rFonts w:ascii="Arial" w:hAnsi="Arial" w:cs="Arial"/>
          <w:color w:val="00000A"/>
          <w:sz w:val="22"/>
          <w:szCs w:val="22"/>
        </w:rPr>
      </w:pPr>
      <w:r>
        <w:rPr>
          <w:rFonts w:ascii="Arial" w:hAnsi="Arial" w:cs="Arial"/>
          <w:b/>
          <w:color w:val="00000A"/>
          <w:sz w:val="22"/>
          <w:szCs w:val="22"/>
        </w:rPr>
        <w:t>Introduction</w:t>
      </w:r>
    </w:p>
    <w:p w:rsidR="006B4EA3" w:rsidRDefault="006B4EA3">
      <w:pPr>
        <w:pStyle w:val="NoSpacing"/>
        <w:rPr>
          <w:rFonts w:ascii="Arial" w:hAnsi="Arial" w:cs="Arial"/>
          <w:color w:val="00000A"/>
          <w:sz w:val="22"/>
          <w:szCs w:val="22"/>
        </w:rPr>
      </w:pPr>
    </w:p>
    <w:p w:rsidR="00BD01CE" w:rsidRDefault="00BD01CE">
      <w:pPr>
        <w:pStyle w:val="NoSpacing"/>
        <w:rPr>
          <w:rFonts w:ascii="Arial" w:hAnsi="Arial" w:cs="Arial"/>
          <w:color w:val="00000A"/>
          <w:sz w:val="22"/>
          <w:szCs w:val="22"/>
        </w:rPr>
      </w:pPr>
      <w:r>
        <w:rPr>
          <w:rFonts w:ascii="Arial" w:hAnsi="Arial" w:cs="Arial"/>
          <w:color w:val="00000A"/>
          <w:sz w:val="22"/>
          <w:szCs w:val="22"/>
        </w:rPr>
        <w:t>In August 2015, the ATA recommended that the NTC should propose a cautious increase in the investigative powers in the HVNL, given the limitations of those powers compared to the model WHS Act</w:t>
      </w:r>
      <w:r w:rsidR="001626B6">
        <w:rPr>
          <w:rFonts w:ascii="Arial" w:hAnsi="Arial" w:cs="Arial"/>
          <w:color w:val="00000A"/>
          <w:sz w:val="22"/>
          <w:szCs w:val="22"/>
        </w:rPr>
        <w:t xml:space="preserve"> and the other proposed chain of responsibility reforms</w:t>
      </w:r>
      <w:r>
        <w:rPr>
          <w:rFonts w:ascii="Arial" w:hAnsi="Arial" w:cs="Arial"/>
          <w:color w:val="00000A"/>
          <w:sz w:val="22"/>
          <w:szCs w:val="22"/>
        </w:rPr>
        <w:t>.</w:t>
      </w:r>
      <w:r w:rsidR="001626B6">
        <w:rPr>
          <w:rStyle w:val="FootnoteReference"/>
          <w:rFonts w:ascii="Arial" w:hAnsi="Arial" w:cs="Arial"/>
          <w:color w:val="00000A"/>
          <w:sz w:val="22"/>
          <w:szCs w:val="22"/>
        </w:rPr>
        <w:footnoteReference w:id="1"/>
      </w:r>
    </w:p>
    <w:p w:rsidR="00BD01CE" w:rsidRDefault="00BD01CE">
      <w:pPr>
        <w:pStyle w:val="NoSpacing"/>
        <w:rPr>
          <w:rFonts w:ascii="Arial" w:hAnsi="Arial" w:cs="Arial"/>
          <w:color w:val="00000A"/>
          <w:sz w:val="22"/>
          <w:szCs w:val="22"/>
        </w:rPr>
      </w:pPr>
    </w:p>
    <w:p w:rsidR="00BD01CE" w:rsidRDefault="00BD01CE">
      <w:pPr>
        <w:pStyle w:val="NoSpacing"/>
        <w:rPr>
          <w:rFonts w:ascii="Arial" w:hAnsi="Arial" w:cs="Arial"/>
          <w:color w:val="00000A"/>
          <w:sz w:val="22"/>
          <w:szCs w:val="22"/>
        </w:rPr>
      </w:pPr>
      <w:r>
        <w:rPr>
          <w:rFonts w:ascii="Arial" w:hAnsi="Arial" w:cs="Arial"/>
          <w:color w:val="00000A"/>
          <w:sz w:val="22"/>
          <w:szCs w:val="22"/>
        </w:rPr>
        <w:t xml:space="preserve">Following the ATA’s recommendation and similar calls from state agencies, </w:t>
      </w:r>
      <w:r w:rsidR="001626B6">
        <w:rPr>
          <w:rFonts w:ascii="Arial" w:hAnsi="Arial" w:cs="Arial"/>
          <w:color w:val="00000A"/>
          <w:sz w:val="22"/>
          <w:szCs w:val="22"/>
        </w:rPr>
        <w:t xml:space="preserve">transport </w:t>
      </w:r>
      <w:r>
        <w:rPr>
          <w:rFonts w:ascii="Arial" w:hAnsi="Arial" w:cs="Arial"/>
          <w:color w:val="00000A"/>
          <w:sz w:val="22"/>
          <w:szCs w:val="22"/>
        </w:rPr>
        <w:t>ministers agreed to add a new section, section 270A</w:t>
      </w:r>
      <w:r w:rsidR="001626B6">
        <w:rPr>
          <w:rFonts w:ascii="Arial" w:hAnsi="Arial" w:cs="Arial"/>
          <w:color w:val="00000A"/>
          <w:sz w:val="22"/>
          <w:szCs w:val="22"/>
        </w:rPr>
        <w:t>,</w:t>
      </w:r>
      <w:r>
        <w:rPr>
          <w:rFonts w:ascii="Arial" w:hAnsi="Arial" w:cs="Arial"/>
          <w:color w:val="00000A"/>
          <w:sz w:val="22"/>
          <w:szCs w:val="22"/>
        </w:rPr>
        <w:t xml:space="preserve"> to the law.</w:t>
      </w:r>
    </w:p>
    <w:p w:rsidR="00BD01CE" w:rsidRDefault="00BD01CE">
      <w:pPr>
        <w:pStyle w:val="NoSpacing"/>
        <w:rPr>
          <w:rFonts w:ascii="Arial" w:hAnsi="Arial" w:cs="Arial"/>
          <w:color w:val="00000A"/>
          <w:sz w:val="22"/>
          <w:szCs w:val="22"/>
        </w:rPr>
      </w:pPr>
    </w:p>
    <w:p w:rsidR="006B4EA3" w:rsidRDefault="001626B6">
      <w:pPr>
        <w:pStyle w:val="BodyText1"/>
        <w:spacing w:before="0"/>
        <w:rPr>
          <w:rFonts w:cs="Arial"/>
          <w:sz w:val="22"/>
          <w:szCs w:val="22"/>
        </w:rPr>
      </w:pPr>
      <w:r>
        <w:rPr>
          <w:rFonts w:cs="Arial"/>
          <w:sz w:val="22"/>
          <w:szCs w:val="22"/>
        </w:rPr>
        <w:t>M</w:t>
      </w:r>
      <w:r w:rsidR="0048114E">
        <w:rPr>
          <w:rFonts w:cs="Arial"/>
          <w:sz w:val="22"/>
          <w:szCs w:val="22"/>
        </w:rPr>
        <w:t xml:space="preserve">inisters </w:t>
      </w:r>
      <w:r>
        <w:rPr>
          <w:rFonts w:cs="Arial"/>
          <w:sz w:val="22"/>
          <w:szCs w:val="22"/>
        </w:rPr>
        <w:t xml:space="preserve">later </w:t>
      </w:r>
      <w:r w:rsidR="0048114E">
        <w:rPr>
          <w:rFonts w:cs="Arial"/>
          <w:sz w:val="22"/>
          <w:szCs w:val="22"/>
        </w:rPr>
        <w:t xml:space="preserve">tasked the NTC with reviewing </w:t>
      </w:r>
      <w:r>
        <w:rPr>
          <w:rFonts w:cs="Arial"/>
          <w:sz w:val="22"/>
          <w:szCs w:val="22"/>
        </w:rPr>
        <w:t xml:space="preserve">all of </w:t>
      </w:r>
      <w:r w:rsidR="0048114E">
        <w:rPr>
          <w:rFonts w:cs="Arial"/>
          <w:sz w:val="22"/>
          <w:szCs w:val="22"/>
        </w:rPr>
        <w:t xml:space="preserve">the investigative and enforcement powers in chapters 9 and 10 of the </w:t>
      </w:r>
      <w:r w:rsidR="00623377">
        <w:rPr>
          <w:rFonts w:cs="Arial"/>
          <w:sz w:val="22"/>
          <w:szCs w:val="22"/>
        </w:rPr>
        <w:t>law</w:t>
      </w:r>
      <w:r w:rsidR="0048114E">
        <w:rPr>
          <w:rFonts w:cs="Arial"/>
          <w:sz w:val="22"/>
          <w:szCs w:val="22"/>
        </w:rPr>
        <w:t xml:space="preserve"> and their application by enforcement agencies.</w:t>
      </w:r>
      <w:r>
        <w:rPr>
          <w:rFonts w:cs="Arial"/>
          <w:sz w:val="22"/>
          <w:szCs w:val="22"/>
        </w:rPr>
        <w:t xml:space="preserve"> The NTC released a discussion paper setting out 13 proposals in October 2016.</w:t>
      </w:r>
    </w:p>
    <w:p w:rsidR="006B4EA3" w:rsidRDefault="006B4EA3">
      <w:pPr>
        <w:pStyle w:val="BodyText1"/>
        <w:spacing w:before="0"/>
        <w:rPr>
          <w:rFonts w:cs="Arial"/>
          <w:sz w:val="22"/>
          <w:szCs w:val="22"/>
        </w:rPr>
      </w:pPr>
    </w:p>
    <w:p w:rsidR="00233B71" w:rsidRDefault="0048114E" w:rsidP="00233B71">
      <w:pPr>
        <w:pStyle w:val="BodyText1"/>
        <w:spacing w:before="0"/>
        <w:rPr>
          <w:rFonts w:cs="Arial"/>
          <w:sz w:val="22"/>
          <w:szCs w:val="22"/>
        </w:rPr>
      </w:pPr>
      <w:r>
        <w:rPr>
          <w:rFonts w:cs="Arial"/>
          <w:sz w:val="22"/>
          <w:szCs w:val="22"/>
        </w:rPr>
        <w:t xml:space="preserve">The comments and recommendations in this </w:t>
      </w:r>
      <w:r w:rsidR="00623377">
        <w:rPr>
          <w:rFonts w:cs="Arial"/>
          <w:sz w:val="22"/>
          <w:szCs w:val="22"/>
        </w:rPr>
        <w:t xml:space="preserve">response </w:t>
      </w:r>
      <w:r>
        <w:rPr>
          <w:rFonts w:cs="Arial"/>
          <w:sz w:val="22"/>
          <w:szCs w:val="22"/>
        </w:rPr>
        <w:t xml:space="preserve">are structured </w:t>
      </w:r>
      <w:r w:rsidR="001626B6">
        <w:rPr>
          <w:rFonts w:cs="Arial"/>
          <w:sz w:val="22"/>
          <w:szCs w:val="22"/>
        </w:rPr>
        <w:t xml:space="preserve">in the same order as the issues raised </w:t>
      </w:r>
      <w:r>
        <w:rPr>
          <w:rFonts w:cs="Arial"/>
          <w:sz w:val="22"/>
          <w:szCs w:val="22"/>
        </w:rPr>
        <w:t xml:space="preserve">in the discussion paper. This </w:t>
      </w:r>
      <w:r w:rsidR="00623377">
        <w:rPr>
          <w:rFonts w:cs="Arial"/>
          <w:sz w:val="22"/>
          <w:szCs w:val="22"/>
        </w:rPr>
        <w:t>response</w:t>
      </w:r>
      <w:r w:rsidR="001626B6">
        <w:rPr>
          <w:rFonts w:cs="Arial"/>
          <w:sz w:val="22"/>
          <w:szCs w:val="22"/>
        </w:rPr>
        <w:t xml:space="preserve"> </w:t>
      </w:r>
      <w:r>
        <w:rPr>
          <w:rFonts w:cs="Arial"/>
          <w:sz w:val="22"/>
          <w:szCs w:val="22"/>
        </w:rPr>
        <w:t xml:space="preserve">does not deal with every proposal </w:t>
      </w:r>
      <w:r w:rsidR="001626B6">
        <w:rPr>
          <w:rFonts w:cs="Arial"/>
          <w:sz w:val="22"/>
          <w:szCs w:val="22"/>
        </w:rPr>
        <w:t xml:space="preserve">put forward in the paper, but focuses instead on the ones of principal importance to the </w:t>
      </w:r>
      <w:r w:rsidR="00623377">
        <w:rPr>
          <w:rFonts w:cs="Arial"/>
          <w:sz w:val="22"/>
          <w:szCs w:val="22"/>
        </w:rPr>
        <w:t xml:space="preserve">trucking </w:t>
      </w:r>
      <w:r w:rsidR="001626B6">
        <w:rPr>
          <w:rFonts w:cs="Arial"/>
          <w:sz w:val="22"/>
          <w:szCs w:val="22"/>
        </w:rPr>
        <w:t>industry.</w:t>
      </w:r>
    </w:p>
    <w:p w:rsidR="00233B71" w:rsidRDefault="00233B71" w:rsidP="00233B71">
      <w:pPr>
        <w:pStyle w:val="BodyText1"/>
        <w:spacing w:before="0"/>
        <w:rPr>
          <w:rFonts w:cs="Arial"/>
          <w:sz w:val="22"/>
          <w:szCs w:val="22"/>
        </w:rPr>
      </w:pPr>
    </w:p>
    <w:p w:rsidR="006B4EA3" w:rsidRDefault="006B4EA3">
      <w:pPr>
        <w:pStyle w:val="BodyText1"/>
        <w:spacing w:before="0"/>
      </w:pPr>
    </w:p>
    <w:p w:rsidR="006B4EA3" w:rsidRPr="00233B71" w:rsidRDefault="0048114E">
      <w:pPr>
        <w:pStyle w:val="Subtitle"/>
        <w:spacing w:before="0"/>
        <w:rPr>
          <w:rFonts w:cs="Arial"/>
          <w:i w:val="0"/>
          <w:sz w:val="22"/>
          <w:szCs w:val="22"/>
        </w:rPr>
      </w:pPr>
      <w:r w:rsidRPr="00233B71">
        <w:rPr>
          <w:rFonts w:cs="Arial"/>
          <w:i w:val="0"/>
          <w:sz w:val="22"/>
          <w:szCs w:val="22"/>
        </w:rPr>
        <w:t>Simplifying the HVNL information-gathering powers (chapter 5.3)</w:t>
      </w:r>
    </w:p>
    <w:p w:rsidR="006B4EA3" w:rsidRDefault="006B4EA3">
      <w:pPr>
        <w:pStyle w:val="BodyText1"/>
        <w:spacing w:before="0"/>
        <w:rPr>
          <w:rFonts w:cs="Arial"/>
          <w:sz w:val="22"/>
          <w:szCs w:val="22"/>
        </w:rPr>
      </w:pPr>
    </w:p>
    <w:p w:rsidR="006B4EA3" w:rsidRDefault="0048114E">
      <w:pPr>
        <w:pStyle w:val="BodyText1"/>
        <w:spacing w:before="0"/>
        <w:rPr>
          <w:rFonts w:cs="Arial"/>
          <w:sz w:val="22"/>
          <w:szCs w:val="22"/>
        </w:rPr>
      </w:pPr>
      <w:r>
        <w:rPr>
          <w:rFonts w:cs="Arial"/>
          <w:sz w:val="22"/>
          <w:szCs w:val="22"/>
        </w:rPr>
        <w:t xml:space="preserve">Chapter 5.3 of the discussion paper considers if the introduction of the new information gathering power in the HVNL, s 570A, could add unnecessary complexity and result in situations where information gathered in relation to an offence using one power </w:t>
      </w:r>
      <w:r w:rsidR="00660957">
        <w:rPr>
          <w:rFonts w:cs="Arial"/>
          <w:sz w:val="22"/>
          <w:szCs w:val="22"/>
        </w:rPr>
        <w:t>could be</w:t>
      </w:r>
      <w:r>
        <w:rPr>
          <w:rFonts w:cs="Arial"/>
          <w:sz w:val="22"/>
          <w:szCs w:val="22"/>
        </w:rPr>
        <w:t xml:space="preserve"> inadmissible in relation to another associated offence.</w:t>
      </w:r>
      <w:r w:rsidR="004D16B7">
        <w:rPr>
          <w:rStyle w:val="FootnoteReference"/>
          <w:rFonts w:cs="Arial"/>
          <w:sz w:val="22"/>
          <w:szCs w:val="22"/>
        </w:rPr>
        <w:footnoteReference w:id="2"/>
      </w:r>
      <w:r>
        <w:rPr>
          <w:rFonts w:cs="Arial"/>
          <w:sz w:val="22"/>
          <w:szCs w:val="22"/>
        </w:rPr>
        <w:t xml:space="preserve"> </w:t>
      </w:r>
    </w:p>
    <w:p w:rsidR="006B4EA3" w:rsidRDefault="006B4EA3">
      <w:pPr>
        <w:pStyle w:val="BodyText1"/>
        <w:spacing w:before="0"/>
        <w:rPr>
          <w:rFonts w:cs="Arial"/>
          <w:sz w:val="22"/>
          <w:szCs w:val="22"/>
        </w:rPr>
      </w:pPr>
    </w:p>
    <w:p w:rsidR="006B4EA3" w:rsidRDefault="0048114E">
      <w:pPr>
        <w:pStyle w:val="NRFABullet1"/>
        <w:spacing w:before="0"/>
      </w:pPr>
      <w:r>
        <w:rPr>
          <w:rFonts w:cs="Arial"/>
          <w:sz w:val="22"/>
          <w:szCs w:val="22"/>
        </w:rPr>
        <w:t>In the ATA’s view, the inconsiste</w:t>
      </w:r>
      <w:r w:rsidR="004D16B7">
        <w:rPr>
          <w:rFonts w:cs="Arial"/>
          <w:sz w:val="22"/>
          <w:szCs w:val="22"/>
        </w:rPr>
        <w:t>nt investigative powers in the l</w:t>
      </w:r>
      <w:r>
        <w:rPr>
          <w:rFonts w:cs="Arial"/>
          <w:sz w:val="22"/>
          <w:szCs w:val="22"/>
        </w:rPr>
        <w:t>aw will inevitably lead to confusion and challenges to the admissibility of evidence. In particular:</w:t>
      </w:r>
    </w:p>
    <w:p w:rsidR="006B4EA3" w:rsidRDefault="006B4EA3">
      <w:pPr>
        <w:pStyle w:val="NRFABullet1"/>
        <w:spacing w:before="0"/>
      </w:pPr>
    </w:p>
    <w:p w:rsidR="00A658DE" w:rsidRPr="00A658DE" w:rsidRDefault="004D16B7" w:rsidP="00A658DE">
      <w:pPr>
        <w:numPr>
          <w:ilvl w:val="0"/>
          <w:numId w:val="7"/>
        </w:numPr>
        <w:suppressAutoHyphens w:val="0"/>
        <w:autoSpaceDE w:val="0"/>
        <w:autoSpaceDN w:val="0"/>
        <w:adjustRightInd w:val="0"/>
        <w:rPr>
          <w:rFonts w:ascii="Arial" w:eastAsia="Times New Roman" w:hAnsi="Arial" w:cs="Arial"/>
          <w:color w:val="auto"/>
          <w:sz w:val="22"/>
          <w:szCs w:val="22"/>
          <w:lang w:eastAsia="en-AU"/>
        </w:rPr>
      </w:pPr>
      <w:r w:rsidRPr="00A658DE">
        <w:rPr>
          <w:rFonts w:ascii="Arial" w:hAnsi="Arial" w:cs="Arial"/>
          <w:sz w:val="22"/>
          <w:szCs w:val="22"/>
        </w:rPr>
        <w:t xml:space="preserve">a request </w:t>
      </w:r>
      <w:r w:rsidR="00A658DE">
        <w:rPr>
          <w:rFonts w:ascii="Arial" w:hAnsi="Arial" w:cs="Arial"/>
          <w:sz w:val="22"/>
          <w:szCs w:val="22"/>
        </w:rPr>
        <w:t xml:space="preserve">for information </w:t>
      </w:r>
      <w:r w:rsidRPr="00A658DE">
        <w:rPr>
          <w:rFonts w:ascii="Arial" w:hAnsi="Arial" w:cs="Arial"/>
          <w:sz w:val="22"/>
          <w:szCs w:val="22"/>
        </w:rPr>
        <w:t>under s 570A c</w:t>
      </w:r>
      <w:r w:rsidR="00660957">
        <w:rPr>
          <w:rFonts w:ascii="Arial" w:hAnsi="Arial" w:cs="Arial"/>
          <w:sz w:val="22"/>
          <w:szCs w:val="22"/>
        </w:rPr>
        <w:t>an</w:t>
      </w:r>
      <w:r w:rsidRPr="00A658DE">
        <w:rPr>
          <w:rFonts w:ascii="Arial" w:hAnsi="Arial" w:cs="Arial"/>
          <w:sz w:val="22"/>
          <w:szCs w:val="22"/>
        </w:rPr>
        <w:t xml:space="preserve"> only be issued </w:t>
      </w:r>
      <w:r w:rsidR="00A658DE" w:rsidRPr="00A658DE">
        <w:rPr>
          <w:rFonts w:ascii="Arial" w:hAnsi="Arial" w:cs="Arial"/>
          <w:sz w:val="22"/>
          <w:szCs w:val="22"/>
        </w:rPr>
        <w:t>in relation to a</w:t>
      </w:r>
      <w:r w:rsidR="00A658DE" w:rsidRPr="00A658DE">
        <w:rPr>
          <w:rFonts w:ascii="Arial" w:eastAsia="Times New Roman" w:hAnsi="Arial" w:cs="Arial"/>
          <w:color w:val="auto"/>
          <w:sz w:val="22"/>
          <w:szCs w:val="22"/>
          <w:lang w:eastAsia="en-AU"/>
        </w:rPr>
        <w:t xml:space="preserve"> possible contravention of the new primary safety duty or to monitor or enforce compliance with that duty.</w:t>
      </w:r>
    </w:p>
    <w:p w:rsidR="00A658DE" w:rsidRDefault="00A658DE" w:rsidP="00A658DE">
      <w:pPr>
        <w:suppressAutoHyphens w:val="0"/>
        <w:autoSpaceDE w:val="0"/>
        <w:autoSpaceDN w:val="0"/>
        <w:adjustRightInd w:val="0"/>
        <w:rPr>
          <w:rFonts w:ascii="Times-Roman" w:eastAsia="Times New Roman" w:hAnsi="Times-Roman" w:cs="Times-Roman"/>
          <w:color w:val="auto"/>
          <w:lang w:eastAsia="en-AU"/>
        </w:rPr>
      </w:pPr>
    </w:p>
    <w:p w:rsidR="006B4EA3" w:rsidRDefault="0048114E">
      <w:pPr>
        <w:pStyle w:val="NRFABullet1"/>
        <w:numPr>
          <w:ilvl w:val="0"/>
          <w:numId w:val="5"/>
        </w:numPr>
        <w:spacing w:before="0"/>
        <w:rPr>
          <w:rFonts w:cs="Arial"/>
          <w:sz w:val="22"/>
          <w:szCs w:val="22"/>
        </w:rPr>
      </w:pPr>
      <w:r>
        <w:rPr>
          <w:rFonts w:cs="Arial"/>
          <w:sz w:val="22"/>
          <w:szCs w:val="22"/>
        </w:rPr>
        <w:t>requests under s</w:t>
      </w:r>
      <w:r w:rsidR="00502D7A">
        <w:rPr>
          <w:rFonts w:cs="Arial"/>
          <w:sz w:val="22"/>
          <w:szCs w:val="22"/>
        </w:rPr>
        <w:t>ections</w:t>
      </w:r>
      <w:r>
        <w:rPr>
          <w:rFonts w:cs="Arial"/>
          <w:sz w:val="22"/>
          <w:szCs w:val="22"/>
        </w:rPr>
        <w:t xml:space="preserve"> 569 and 570 do not have to be in writing, potentially leading to confusion about whether a request for information is mandatory or not. In contrast, all requests for information u</w:t>
      </w:r>
      <w:r w:rsidR="00BD525C">
        <w:rPr>
          <w:rFonts w:cs="Arial"/>
          <w:sz w:val="22"/>
          <w:szCs w:val="22"/>
        </w:rPr>
        <w:t>nder s 570A must be in writing.</w:t>
      </w:r>
    </w:p>
    <w:p w:rsidR="004D16B7" w:rsidRDefault="004D16B7" w:rsidP="004D16B7">
      <w:pPr>
        <w:pStyle w:val="NRFABullet1"/>
        <w:tabs>
          <w:tab w:val="clear" w:pos="709"/>
        </w:tabs>
        <w:spacing w:before="0"/>
        <w:ind w:left="720"/>
        <w:rPr>
          <w:rFonts w:cs="Arial"/>
          <w:sz w:val="22"/>
          <w:szCs w:val="22"/>
        </w:rPr>
      </w:pPr>
    </w:p>
    <w:p w:rsidR="00FE5746" w:rsidRDefault="00FE5746" w:rsidP="00FE5746">
      <w:pPr>
        <w:pStyle w:val="NRFABullet1"/>
        <w:numPr>
          <w:ilvl w:val="0"/>
          <w:numId w:val="9"/>
        </w:numPr>
        <w:tabs>
          <w:tab w:val="clear" w:pos="709"/>
        </w:tabs>
        <w:spacing w:before="0"/>
        <w:rPr>
          <w:rFonts w:cs="Arial"/>
          <w:sz w:val="22"/>
          <w:szCs w:val="22"/>
        </w:rPr>
      </w:pPr>
      <w:r>
        <w:rPr>
          <w:rFonts w:cs="Arial"/>
          <w:sz w:val="22"/>
          <w:szCs w:val="22"/>
        </w:rPr>
        <w:lastRenderedPageBreak/>
        <w:t xml:space="preserve">An individual required to produce documents under sections 569 and 570 cannot claim </w:t>
      </w:r>
      <w:r w:rsidR="00623377">
        <w:rPr>
          <w:rFonts w:cs="Arial"/>
          <w:sz w:val="22"/>
          <w:szCs w:val="22"/>
        </w:rPr>
        <w:t xml:space="preserve">evidential </w:t>
      </w:r>
      <w:r>
        <w:rPr>
          <w:rFonts w:cs="Arial"/>
          <w:sz w:val="22"/>
          <w:szCs w:val="22"/>
        </w:rPr>
        <w:t>immunity with respect to those documents.</w:t>
      </w:r>
      <w:r w:rsidR="00623377">
        <w:rPr>
          <w:rStyle w:val="FootnoteReference"/>
          <w:rFonts w:cs="Arial"/>
          <w:sz w:val="22"/>
          <w:szCs w:val="22"/>
        </w:rPr>
        <w:footnoteReference w:id="3"/>
      </w:r>
      <w:r>
        <w:rPr>
          <w:rFonts w:cs="Arial"/>
          <w:sz w:val="22"/>
          <w:szCs w:val="22"/>
        </w:rPr>
        <w:t xml:space="preserve"> In contrast, individuals </w:t>
      </w:r>
      <w:r w:rsidR="001C2638">
        <w:rPr>
          <w:rFonts w:cs="Arial"/>
          <w:sz w:val="22"/>
          <w:szCs w:val="22"/>
        </w:rPr>
        <w:t>can claim evidential immunity</w:t>
      </w:r>
      <w:r>
        <w:rPr>
          <w:rFonts w:cs="Arial"/>
          <w:sz w:val="22"/>
          <w:szCs w:val="22"/>
        </w:rPr>
        <w:t xml:space="preserve"> with respect to documents provided under s 570A.</w:t>
      </w:r>
      <w:r w:rsidR="00623377">
        <w:rPr>
          <w:rStyle w:val="FootnoteReference"/>
          <w:rFonts w:cs="Arial"/>
          <w:sz w:val="22"/>
          <w:szCs w:val="22"/>
        </w:rPr>
        <w:footnoteReference w:id="4"/>
      </w:r>
    </w:p>
    <w:p w:rsidR="00FE5746" w:rsidRDefault="00FE5746" w:rsidP="004D16B7">
      <w:pPr>
        <w:pStyle w:val="NRFABullet1"/>
        <w:tabs>
          <w:tab w:val="clear" w:pos="709"/>
        </w:tabs>
        <w:spacing w:before="0"/>
        <w:ind w:left="720"/>
        <w:rPr>
          <w:rFonts w:cs="Arial"/>
          <w:sz w:val="22"/>
          <w:szCs w:val="22"/>
        </w:rPr>
      </w:pPr>
    </w:p>
    <w:p w:rsidR="006B4EA3" w:rsidRDefault="0048114E">
      <w:pPr>
        <w:pStyle w:val="NRFABullet1"/>
        <w:numPr>
          <w:ilvl w:val="0"/>
          <w:numId w:val="5"/>
        </w:numPr>
        <w:spacing w:before="0"/>
        <w:rPr>
          <w:rFonts w:cs="Arial"/>
          <w:sz w:val="22"/>
          <w:szCs w:val="22"/>
        </w:rPr>
      </w:pPr>
      <w:r>
        <w:rPr>
          <w:rFonts w:cs="Arial"/>
          <w:sz w:val="22"/>
          <w:szCs w:val="22"/>
        </w:rPr>
        <w:t>none of th</w:t>
      </w:r>
      <w:r w:rsidR="00A658DE">
        <w:rPr>
          <w:rFonts w:cs="Arial"/>
          <w:sz w:val="22"/>
          <w:szCs w:val="22"/>
        </w:rPr>
        <w:t xml:space="preserve">e information-gathering powers are </w:t>
      </w:r>
      <w:r>
        <w:rPr>
          <w:rFonts w:cs="Arial"/>
          <w:sz w:val="22"/>
          <w:szCs w:val="22"/>
        </w:rPr>
        <w:t>subject to a codified requirement that a warning be given, even though warnings a</w:t>
      </w:r>
      <w:r w:rsidR="004D16B7">
        <w:rPr>
          <w:rFonts w:cs="Arial"/>
          <w:sz w:val="22"/>
          <w:szCs w:val="22"/>
        </w:rPr>
        <w:t>re</w:t>
      </w:r>
      <w:r>
        <w:rPr>
          <w:rFonts w:cs="Arial"/>
          <w:sz w:val="22"/>
          <w:szCs w:val="22"/>
        </w:rPr>
        <w:t xml:space="preserve"> required by both the state evidence acts</w:t>
      </w:r>
      <w:r w:rsidR="004D16B7">
        <w:rPr>
          <w:rStyle w:val="FootnoteReference"/>
          <w:rFonts w:cs="Arial"/>
          <w:sz w:val="22"/>
          <w:szCs w:val="22"/>
        </w:rPr>
        <w:footnoteReference w:id="5"/>
      </w:r>
      <w:r>
        <w:rPr>
          <w:rFonts w:cs="Arial"/>
          <w:sz w:val="22"/>
          <w:szCs w:val="22"/>
        </w:rPr>
        <w:t xml:space="preserve"> and the common law.</w:t>
      </w:r>
      <w:r w:rsidR="004D16B7">
        <w:rPr>
          <w:rStyle w:val="FootnoteReference"/>
          <w:rFonts w:cs="Arial"/>
          <w:sz w:val="22"/>
          <w:szCs w:val="22"/>
        </w:rPr>
        <w:footnoteReference w:id="6"/>
      </w:r>
      <w:r>
        <w:rPr>
          <w:rFonts w:cs="Arial"/>
          <w:sz w:val="22"/>
          <w:szCs w:val="22"/>
        </w:rPr>
        <w:t xml:space="preserve"> In the ATA's experience, it is not uncommon for authorised officers to fail</w:t>
      </w:r>
      <w:r w:rsidR="0032632E">
        <w:rPr>
          <w:rFonts w:cs="Arial"/>
          <w:sz w:val="22"/>
          <w:szCs w:val="22"/>
        </w:rPr>
        <w:t xml:space="preserve"> to give duty holders a warning</w:t>
      </w:r>
      <w:r w:rsidR="00660957">
        <w:rPr>
          <w:rFonts w:cs="Arial"/>
          <w:sz w:val="22"/>
          <w:szCs w:val="22"/>
        </w:rPr>
        <w:t xml:space="preserve"> as required.</w:t>
      </w:r>
    </w:p>
    <w:p w:rsidR="006B4EA3" w:rsidRDefault="006B4EA3">
      <w:pPr>
        <w:pStyle w:val="NRFABullet1"/>
        <w:spacing w:before="0"/>
        <w:rPr>
          <w:rFonts w:cs="Arial"/>
          <w:sz w:val="22"/>
          <w:szCs w:val="22"/>
        </w:rPr>
      </w:pPr>
    </w:p>
    <w:p w:rsidR="006B4EA3" w:rsidRDefault="0048114E">
      <w:pPr>
        <w:pStyle w:val="BodyText1"/>
        <w:spacing w:before="0"/>
        <w:rPr>
          <w:rFonts w:cs="Arial"/>
          <w:sz w:val="22"/>
          <w:szCs w:val="22"/>
        </w:rPr>
      </w:pPr>
      <w:r>
        <w:rPr>
          <w:rFonts w:cs="Arial"/>
          <w:sz w:val="22"/>
          <w:szCs w:val="22"/>
        </w:rPr>
        <w:t xml:space="preserve">The </w:t>
      </w:r>
      <w:r w:rsidR="0032632E">
        <w:rPr>
          <w:rFonts w:cs="Arial"/>
          <w:sz w:val="22"/>
          <w:szCs w:val="22"/>
        </w:rPr>
        <w:t>discussion paper</w:t>
      </w:r>
      <w:r>
        <w:rPr>
          <w:rFonts w:cs="Arial"/>
          <w:sz w:val="22"/>
          <w:szCs w:val="22"/>
        </w:rPr>
        <w:t xml:space="preserve"> proposes that any practical issues raised by the inconsistencies between sections 569, 570 and 570A should be addressed through the development of operational guidance and training.</w:t>
      </w:r>
    </w:p>
    <w:p w:rsidR="006B4EA3" w:rsidRDefault="006B4EA3">
      <w:pPr>
        <w:pStyle w:val="BodyText1"/>
        <w:spacing w:before="0"/>
        <w:rPr>
          <w:rFonts w:cs="Arial"/>
          <w:sz w:val="22"/>
          <w:szCs w:val="22"/>
        </w:rPr>
      </w:pPr>
    </w:p>
    <w:p w:rsidR="00A658DE" w:rsidRDefault="0048114E">
      <w:pPr>
        <w:pStyle w:val="BodyText1"/>
        <w:spacing w:before="0"/>
        <w:rPr>
          <w:rFonts w:cs="Arial"/>
          <w:sz w:val="22"/>
          <w:szCs w:val="22"/>
        </w:rPr>
      </w:pPr>
      <w:r>
        <w:rPr>
          <w:rFonts w:cs="Arial"/>
          <w:sz w:val="22"/>
          <w:szCs w:val="22"/>
        </w:rPr>
        <w:t>The ATA does no</w:t>
      </w:r>
      <w:r w:rsidR="00A658DE">
        <w:rPr>
          <w:rFonts w:cs="Arial"/>
          <w:sz w:val="22"/>
          <w:szCs w:val="22"/>
        </w:rPr>
        <w:t xml:space="preserve">t agree with </w:t>
      </w:r>
      <w:r w:rsidR="0032632E">
        <w:rPr>
          <w:rFonts w:cs="Arial"/>
          <w:sz w:val="22"/>
          <w:szCs w:val="22"/>
        </w:rPr>
        <w:t>this</w:t>
      </w:r>
      <w:r w:rsidR="00A658DE">
        <w:rPr>
          <w:rFonts w:cs="Arial"/>
          <w:sz w:val="22"/>
          <w:szCs w:val="22"/>
        </w:rPr>
        <w:t xml:space="preserve"> position. The </w:t>
      </w:r>
      <w:r w:rsidR="007106AD">
        <w:rPr>
          <w:rFonts w:cs="Arial"/>
          <w:sz w:val="22"/>
          <w:szCs w:val="22"/>
        </w:rPr>
        <w:t xml:space="preserve">problems created by </w:t>
      </w:r>
      <w:r w:rsidR="00A658DE">
        <w:rPr>
          <w:rFonts w:cs="Arial"/>
          <w:sz w:val="22"/>
          <w:szCs w:val="22"/>
        </w:rPr>
        <w:t xml:space="preserve">the inconsistencies between the sections </w:t>
      </w:r>
      <w:r w:rsidR="007106AD">
        <w:rPr>
          <w:rFonts w:cs="Arial"/>
          <w:sz w:val="22"/>
          <w:szCs w:val="22"/>
        </w:rPr>
        <w:t xml:space="preserve">are </w:t>
      </w:r>
      <w:r w:rsidR="00502D7A">
        <w:rPr>
          <w:rFonts w:cs="Arial"/>
          <w:sz w:val="22"/>
          <w:szCs w:val="22"/>
        </w:rPr>
        <w:t xml:space="preserve">only </w:t>
      </w:r>
      <w:r w:rsidR="00A658DE">
        <w:rPr>
          <w:rFonts w:cs="Arial"/>
          <w:sz w:val="22"/>
          <w:szCs w:val="22"/>
        </w:rPr>
        <w:t>likely to come</w:t>
      </w:r>
      <w:r>
        <w:rPr>
          <w:rFonts w:cs="Arial"/>
          <w:sz w:val="22"/>
          <w:szCs w:val="22"/>
        </w:rPr>
        <w:t xml:space="preserve"> </w:t>
      </w:r>
      <w:r w:rsidR="00A658DE">
        <w:rPr>
          <w:rFonts w:cs="Arial"/>
          <w:sz w:val="22"/>
          <w:szCs w:val="22"/>
        </w:rPr>
        <w:t>to light when a</w:t>
      </w:r>
      <w:r w:rsidR="000D1AC2">
        <w:rPr>
          <w:rFonts w:cs="Arial"/>
          <w:sz w:val="22"/>
          <w:szCs w:val="22"/>
        </w:rPr>
        <w:t>n</w:t>
      </w:r>
      <w:r w:rsidR="00A658DE">
        <w:rPr>
          <w:rFonts w:cs="Arial"/>
          <w:sz w:val="22"/>
          <w:szCs w:val="22"/>
        </w:rPr>
        <w:t xml:space="preserve"> inj</w:t>
      </w:r>
      <w:r w:rsidR="004505C2">
        <w:rPr>
          <w:rFonts w:cs="Arial"/>
          <w:sz w:val="22"/>
          <w:szCs w:val="22"/>
        </w:rPr>
        <w:t>ustice is done to a duty holder</w:t>
      </w:r>
      <w:r w:rsidR="0059319C">
        <w:rPr>
          <w:rFonts w:cs="Arial"/>
          <w:sz w:val="22"/>
          <w:szCs w:val="22"/>
        </w:rPr>
        <w:t xml:space="preserve"> or a </w:t>
      </w:r>
      <w:r w:rsidR="00A658DE">
        <w:rPr>
          <w:rFonts w:cs="Arial"/>
          <w:sz w:val="22"/>
          <w:szCs w:val="22"/>
        </w:rPr>
        <w:t>prosecution fails because of admissibility issues. Neither outcome is acceptable to the ATA, given our view that an appropriate balance must be struck between the interests of duty holders and the authorities.</w:t>
      </w:r>
    </w:p>
    <w:p w:rsidR="00A658DE" w:rsidRDefault="00A658DE">
      <w:pPr>
        <w:pStyle w:val="BodyText1"/>
        <w:spacing w:before="0"/>
        <w:rPr>
          <w:rFonts w:cs="Arial"/>
          <w:sz w:val="22"/>
          <w:szCs w:val="22"/>
        </w:rPr>
      </w:pPr>
    </w:p>
    <w:p w:rsidR="004505C2" w:rsidRDefault="004505C2">
      <w:pPr>
        <w:pStyle w:val="BodyText1"/>
        <w:spacing w:before="0"/>
        <w:rPr>
          <w:rFonts w:cs="Arial"/>
          <w:sz w:val="22"/>
          <w:szCs w:val="22"/>
        </w:rPr>
      </w:pPr>
      <w:r>
        <w:rPr>
          <w:rFonts w:cs="Arial"/>
          <w:sz w:val="22"/>
          <w:szCs w:val="22"/>
        </w:rPr>
        <w:t xml:space="preserve">In considering alternatives to the current provisions of the HVNL, the ATA initially leaned toward </w:t>
      </w:r>
      <w:r w:rsidR="00660957">
        <w:rPr>
          <w:rFonts w:cs="Arial"/>
          <w:sz w:val="22"/>
          <w:szCs w:val="22"/>
        </w:rPr>
        <w:t>option 1 in the</w:t>
      </w:r>
      <w:r>
        <w:rPr>
          <w:rFonts w:cs="Arial"/>
          <w:sz w:val="22"/>
          <w:szCs w:val="22"/>
        </w:rPr>
        <w:t xml:space="preserve"> discussion paper – removing sections 569 and 570 from the HVNL entirely, and extending the application of new s</w:t>
      </w:r>
      <w:r w:rsidR="000D1AC2">
        <w:rPr>
          <w:rFonts w:cs="Arial"/>
          <w:sz w:val="22"/>
          <w:szCs w:val="22"/>
        </w:rPr>
        <w:t>ection</w:t>
      </w:r>
      <w:r>
        <w:rPr>
          <w:rFonts w:cs="Arial"/>
          <w:sz w:val="22"/>
          <w:szCs w:val="22"/>
        </w:rPr>
        <w:t xml:space="preserve"> 570A across the whole Act.</w:t>
      </w:r>
      <w:r w:rsidR="00660957">
        <w:rPr>
          <w:rStyle w:val="FootnoteReference"/>
          <w:rFonts w:cs="Arial"/>
          <w:sz w:val="22"/>
          <w:szCs w:val="22"/>
        </w:rPr>
        <w:footnoteReference w:id="7"/>
      </w:r>
    </w:p>
    <w:p w:rsidR="004505C2" w:rsidRDefault="004505C2">
      <w:pPr>
        <w:pStyle w:val="BodyText1"/>
        <w:spacing w:before="0"/>
        <w:rPr>
          <w:rFonts w:cs="Arial"/>
          <w:sz w:val="22"/>
          <w:szCs w:val="22"/>
        </w:rPr>
      </w:pPr>
    </w:p>
    <w:p w:rsidR="00942866" w:rsidRDefault="004505C2">
      <w:pPr>
        <w:pStyle w:val="BodyText1"/>
        <w:spacing w:before="0"/>
        <w:rPr>
          <w:rFonts w:cs="Arial"/>
          <w:sz w:val="22"/>
          <w:szCs w:val="22"/>
        </w:rPr>
      </w:pPr>
      <w:r>
        <w:rPr>
          <w:rFonts w:cs="Arial"/>
          <w:sz w:val="22"/>
          <w:szCs w:val="22"/>
        </w:rPr>
        <w:t xml:space="preserve">On reflection, however, we do not consider this approach to be viable. </w:t>
      </w:r>
      <w:r w:rsidR="000D1AC2">
        <w:rPr>
          <w:rFonts w:cs="Arial"/>
          <w:sz w:val="22"/>
          <w:szCs w:val="22"/>
        </w:rPr>
        <w:t xml:space="preserve">The HVNL requires operators to keep a range of </w:t>
      </w:r>
      <w:r w:rsidR="00B87CEB">
        <w:rPr>
          <w:rFonts w:cs="Arial"/>
          <w:sz w:val="22"/>
          <w:szCs w:val="22"/>
        </w:rPr>
        <w:t xml:space="preserve">compliance </w:t>
      </w:r>
      <w:r w:rsidR="000D1AC2">
        <w:rPr>
          <w:rFonts w:cs="Arial"/>
          <w:sz w:val="22"/>
          <w:szCs w:val="22"/>
        </w:rPr>
        <w:t xml:space="preserve">documents, such as </w:t>
      </w:r>
      <w:r w:rsidR="00B87CEB">
        <w:rPr>
          <w:rFonts w:cs="Arial"/>
          <w:sz w:val="22"/>
          <w:szCs w:val="22"/>
        </w:rPr>
        <w:t>duplicate work diary pages</w:t>
      </w:r>
      <w:r w:rsidR="00B87CEB">
        <w:rPr>
          <w:rStyle w:val="FootnoteReference"/>
          <w:rFonts w:cs="Arial"/>
          <w:sz w:val="22"/>
          <w:szCs w:val="22"/>
        </w:rPr>
        <w:footnoteReference w:id="8"/>
      </w:r>
      <w:r w:rsidR="00B87CEB">
        <w:rPr>
          <w:rFonts w:cs="Arial"/>
          <w:sz w:val="22"/>
          <w:szCs w:val="22"/>
        </w:rPr>
        <w:t xml:space="preserve"> </w:t>
      </w:r>
      <w:r w:rsidR="00B54C8A">
        <w:rPr>
          <w:rFonts w:cs="Arial"/>
          <w:sz w:val="22"/>
          <w:szCs w:val="22"/>
        </w:rPr>
        <w:t>and payment records.</w:t>
      </w:r>
      <w:r w:rsidR="00B54C8A">
        <w:rPr>
          <w:rStyle w:val="FootnoteReference"/>
          <w:rFonts w:cs="Arial"/>
          <w:sz w:val="22"/>
          <w:szCs w:val="22"/>
        </w:rPr>
        <w:footnoteReference w:id="9"/>
      </w:r>
      <w:r w:rsidR="00B54C8A">
        <w:rPr>
          <w:rFonts w:cs="Arial"/>
          <w:sz w:val="22"/>
          <w:szCs w:val="22"/>
        </w:rPr>
        <w:t xml:space="preserve"> These documents </w:t>
      </w:r>
      <w:r w:rsidR="008779D3">
        <w:rPr>
          <w:rFonts w:cs="Arial"/>
          <w:sz w:val="22"/>
          <w:szCs w:val="22"/>
        </w:rPr>
        <w:t>may</w:t>
      </w:r>
      <w:r w:rsidR="00B54C8A">
        <w:rPr>
          <w:rFonts w:cs="Arial"/>
          <w:sz w:val="22"/>
          <w:szCs w:val="22"/>
        </w:rPr>
        <w:t xml:space="preserve"> form the </w:t>
      </w:r>
      <w:r w:rsidR="00502D7A">
        <w:rPr>
          <w:rFonts w:cs="Arial"/>
          <w:sz w:val="22"/>
          <w:szCs w:val="22"/>
        </w:rPr>
        <w:t xml:space="preserve">fundamental </w:t>
      </w:r>
      <w:r w:rsidR="00B54C8A">
        <w:rPr>
          <w:rFonts w:cs="Arial"/>
          <w:sz w:val="22"/>
          <w:szCs w:val="22"/>
        </w:rPr>
        <w:t xml:space="preserve">basis </w:t>
      </w:r>
      <w:r w:rsidR="008779D3">
        <w:rPr>
          <w:rFonts w:cs="Arial"/>
          <w:sz w:val="22"/>
          <w:szCs w:val="22"/>
        </w:rPr>
        <w:t xml:space="preserve">for </w:t>
      </w:r>
      <w:r w:rsidR="00B54C8A">
        <w:rPr>
          <w:rFonts w:cs="Arial"/>
          <w:sz w:val="22"/>
          <w:szCs w:val="22"/>
        </w:rPr>
        <w:t>a case agai</w:t>
      </w:r>
      <w:r w:rsidR="00502D7A">
        <w:rPr>
          <w:rFonts w:cs="Arial"/>
          <w:sz w:val="22"/>
          <w:szCs w:val="22"/>
        </w:rPr>
        <w:t>nst a</w:t>
      </w:r>
      <w:r w:rsidR="0059319C">
        <w:rPr>
          <w:rFonts w:cs="Arial"/>
          <w:sz w:val="22"/>
          <w:szCs w:val="22"/>
        </w:rPr>
        <w:t>n allegedly</w:t>
      </w:r>
      <w:r w:rsidR="00623377">
        <w:rPr>
          <w:rFonts w:cs="Arial"/>
          <w:sz w:val="22"/>
          <w:szCs w:val="22"/>
        </w:rPr>
        <w:t xml:space="preserve"> non-compliant operator; information about documents issued under the law or required to be kept is not subject to evidential immunity.</w:t>
      </w:r>
      <w:r w:rsidR="00623377">
        <w:rPr>
          <w:rStyle w:val="FootnoteReference"/>
          <w:rFonts w:cs="Arial"/>
          <w:sz w:val="22"/>
          <w:szCs w:val="22"/>
        </w:rPr>
        <w:footnoteReference w:id="10"/>
      </w:r>
      <w:r w:rsidR="00623377">
        <w:rPr>
          <w:rFonts w:cs="Arial"/>
          <w:sz w:val="22"/>
          <w:szCs w:val="22"/>
        </w:rPr>
        <w:t xml:space="preserve"> </w:t>
      </w:r>
      <w:r w:rsidR="00502D7A">
        <w:rPr>
          <w:rFonts w:cs="Arial"/>
          <w:sz w:val="22"/>
          <w:szCs w:val="22"/>
        </w:rPr>
        <w:t>I</w:t>
      </w:r>
      <w:r w:rsidR="00B54C8A">
        <w:rPr>
          <w:rFonts w:cs="Arial"/>
          <w:sz w:val="22"/>
          <w:szCs w:val="22"/>
        </w:rPr>
        <w:t>t would</w:t>
      </w:r>
      <w:r w:rsidR="00502D7A">
        <w:rPr>
          <w:rFonts w:cs="Arial"/>
          <w:sz w:val="22"/>
          <w:szCs w:val="22"/>
        </w:rPr>
        <w:t>, in the ATA’s view,</w:t>
      </w:r>
      <w:r w:rsidR="00B54C8A">
        <w:rPr>
          <w:rFonts w:cs="Arial"/>
          <w:sz w:val="22"/>
          <w:szCs w:val="22"/>
        </w:rPr>
        <w:t xml:space="preserve"> be inappropriate </w:t>
      </w:r>
      <w:r w:rsidR="0032632E">
        <w:rPr>
          <w:rFonts w:cs="Arial"/>
          <w:sz w:val="22"/>
          <w:szCs w:val="22"/>
        </w:rPr>
        <w:t xml:space="preserve">for </w:t>
      </w:r>
      <w:r w:rsidR="00502D7A">
        <w:rPr>
          <w:rFonts w:cs="Arial"/>
          <w:sz w:val="22"/>
          <w:szCs w:val="22"/>
        </w:rPr>
        <w:t>these basic compliance documents</w:t>
      </w:r>
      <w:r w:rsidR="00B54C8A">
        <w:rPr>
          <w:rFonts w:cs="Arial"/>
          <w:sz w:val="22"/>
          <w:szCs w:val="22"/>
        </w:rPr>
        <w:t xml:space="preserve"> </w:t>
      </w:r>
      <w:r w:rsidR="0032632E">
        <w:rPr>
          <w:rFonts w:cs="Arial"/>
          <w:sz w:val="22"/>
          <w:szCs w:val="22"/>
        </w:rPr>
        <w:t xml:space="preserve">to be </w:t>
      </w:r>
      <w:r w:rsidR="00B54C8A">
        <w:rPr>
          <w:rFonts w:cs="Arial"/>
          <w:sz w:val="22"/>
          <w:szCs w:val="22"/>
        </w:rPr>
        <w:t xml:space="preserve">subject to the immunity available under </w:t>
      </w:r>
      <w:r w:rsidR="0032632E">
        <w:rPr>
          <w:rFonts w:cs="Arial"/>
          <w:sz w:val="22"/>
          <w:szCs w:val="22"/>
        </w:rPr>
        <w:t>s </w:t>
      </w:r>
      <w:r w:rsidR="00B54C8A">
        <w:rPr>
          <w:rFonts w:cs="Arial"/>
          <w:sz w:val="22"/>
          <w:szCs w:val="22"/>
        </w:rPr>
        <w:t xml:space="preserve">570A. </w:t>
      </w:r>
    </w:p>
    <w:p w:rsidR="00942866" w:rsidRDefault="00942866">
      <w:pPr>
        <w:pStyle w:val="BodyText1"/>
        <w:spacing w:before="0"/>
        <w:rPr>
          <w:rFonts w:cs="Arial"/>
          <w:sz w:val="22"/>
          <w:szCs w:val="22"/>
        </w:rPr>
      </w:pPr>
    </w:p>
    <w:p w:rsidR="004505C2" w:rsidRDefault="004A5C69">
      <w:pPr>
        <w:pStyle w:val="BodyText1"/>
        <w:spacing w:before="0"/>
        <w:rPr>
          <w:rFonts w:cs="Arial"/>
          <w:sz w:val="22"/>
          <w:szCs w:val="22"/>
        </w:rPr>
      </w:pPr>
      <w:r>
        <w:rPr>
          <w:rFonts w:cs="Arial"/>
          <w:sz w:val="22"/>
          <w:szCs w:val="22"/>
        </w:rPr>
        <w:t>Option 1</w:t>
      </w:r>
      <w:r w:rsidR="0032632E">
        <w:rPr>
          <w:rFonts w:cs="Arial"/>
          <w:sz w:val="22"/>
          <w:szCs w:val="22"/>
        </w:rPr>
        <w:t xml:space="preserve"> would also create a new inconsistency where a work diary page (for example) would be admissible if obtained from a driver under s 568</w:t>
      </w:r>
      <w:r w:rsidR="00F851FD">
        <w:rPr>
          <w:rStyle w:val="FootnoteReference"/>
          <w:rFonts w:cs="Arial"/>
          <w:sz w:val="22"/>
          <w:szCs w:val="22"/>
        </w:rPr>
        <w:footnoteReference w:id="11"/>
      </w:r>
      <w:r w:rsidR="0032632E">
        <w:rPr>
          <w:rFonts w:cs="Arial"/>
          <w:sz w:val="22"/>
          <w:szCs w:val="22"/>
        </w:rPr>
        <w:t xml:space="preserve"> but would be </w:t>
      </w:r>
      <w:r w:rsidR="007A7147">
        <w:rPr>
          <w:rFonts w:cs="Arial"/>
          <w:sz w:val="22"/>
          <w:szCs w:val="22"/>
        </w:rPr>
        <w:t>in</w:t>
      </w:r>
      <w:r w:rsidR="0032632E">
        <w:rPr>
          <w:rFonts w:cs="Arial"/>
          <w:sz w:val="22"/>
          <w:szCs w:val="22"/>
        </w:rPr>
        <w:t>admissible against an individual if obtained from the operator.</w:t>
      </w:r>
    </w:p>
    <w:p w:rsidR="00B87CEB" w:rsidRDefault="00B87CEB">
      <w:pPr>
        <w:pStyle w:val="BodyText1"/>
        <w:spacing w:before="0"/>
        <w:rPr>
          <w:rFonts w:cs="Arial"/>
          <w:sz w:val="22"/>
          <w:szCs w:val="22"/>
        </w:rPr>
      </w:pPr>
    </w:p>
    <w:p w:rsidR="007106AD" w:rsidRDefault="00B54C8A">
      <w:pPr>
        <w:pStyle w:val="BodyText1"/>
        <w:spacing w:before="0"/>
        <w:rPr>
          <w:rFonts w:cs="Arial"/>
          <w:sz w:val="22"/>
          <w:szCs w:val="22"/>
        </w:rPr>
      </w:pPr>
      <w:r>
        <w:rPr>
          <w:rFonts w:cs="Arial"/>
          <w:sz w:val="22"/>
          <w:szCs w:val="22"/>
        </w:rPr>
        <w:t xml:space="preserve">Accordingly, the ATA </w:t>
      </w:r>
      <w:r w:rsidR="0032632E">
        <w:rPr>
          <w:rFonts w:cs="Arial"/>
          <w:sz w:val="22"/>
          <w:szCs w:val="22"/>
        </w:rPr>
        <w:t xml:space="preserve">recommends that further consideration be given to a </w:t>
      </w:r>
      <w:r w:rsidR="00CB59D9">
        <w:rPr>
          <w:rFonts w:cs="Arial"/>
          <w:b/>
          <w:sz w:val="22"/>
          <w:szCs w:val="22"/>
        </w:rPr>
        <w:t>modification</w:t>
      </w:r>
      <w:r w:rsidR="0032632E" w:rsidRPr="0032632E">
        <w:rPr>
          <w:rFonts w:cs="Arial"/>
          <w:b/>
          <w:sz w:val="22"/>
          <w:szCs w:val="22"/>
        </w:rPr>
        <w:t xml:space="preserve"> </w:t>
      </w:r>
      <w:r w:rsidR="00CB59D9">
        <w:rPr>
          <w:rFonts w:cs="Arial"/>
          <w:b/>
          <w:sz w:val="22"/>
          <w:szCs w:val="22"/>
        </w:rPr>
        <w:t xml:space="preserve">of </w:t>
      </w:r>
      <w:r w:rsidR="0032632E" w:rsidRPr="0032632E">
        <w:rPr>
          <w:rFonts w:cs="Arial"/>
          <w:b/>
          <w:sz w:val="22"/>
          <w:szCs w:val="22"/>
        </w:rPr>
        <w:t>option 2</w:t>
      </w:r>
      <w:r w:rsidR="00CB59D9">
        <w:rPr>
          <w:rFonts w:cs="Arial"/>
          <w:b/>
          <w:sz w:val="22"/>
          <w:szCs w:val="22"/>
        </w:rPr>
        <w:t xml:space="preserve"> </w:t>
      </w:r>
      <w:r w:rsidR="00623377">
        <w:rPr>
          <w:rFonts w:cs="Arial"/>
          <w:sz w:val="22"/>
          <w:szCs w:val="22"/>
        </w:rPr>
        <w:t>in the discussion paper.</w:t>
      </w:r>
      <w:r w:rsidR="00CB59D9">
        <w:rPr>
          <w:rFonts w:cs="Arial"/>
          <w:sz w:val="22"/>
          <w:szCs w:val="22"/>
        </w:rPr>
        <w:t xml:space="preserve"> </w:t>
      </w:r>
      <w:r w:rsidR="00623377">
        <w:rPr>
          <w:rFonts w:cs="Arial"/>
          <w:sz w:val="22"/>
          <w:szCs w:val="22"/>
        </w:rPr>
        <w:t xml:space="preserve">Option 2 </w:t>
      </w:r>
      <w:r w:rsidR="00CB59D9" w:rsidRPr="00CB59D9">
        <w:rPr>
          <w:rFonts w:cs="Arial"/>
          <w:sz w:val="22"/>
          <w:szCs w:val="22"/>
        </w:rPr>
        <w:t>proposes the retention of sections 569 and 570 and the extension</w:t>
      </w:r>
      <w:r w:rsidR="00CB59D9">
        <w:rPr>
          <w:rFonts w:cs="Arial"/>
          <w:sz w:val="22"/>
          <w:szCs w:val="22"/>
        </w:rPr>
        <w:t xml:space="preserve"> of s 570A across the whole Act</w:t>
      </w:r>
      <w:r w:rsidR="0032632E" w:rsidRPr="00CB59D9">
        <w:rPr>
          <w:rFonts w:cs="Arial"/>
          <w:sz w:val="22"/>
          <w:szCs w:val="22"/>
        </w:rPr>
        <w:t>.</w:t>
      </w:r>
      <w:r w:rsidR="007A7147" w:rsidRPr="00CB59D9">
        <w:rPr>
          <w:rStyle w:val="FootnoteReference"/>
          <w:rFonts w:cs="Arial"/>
          <w:sz w:val="22"/>
          <w:szCs w:val="22"/>
        </w:rPr>
        <w:footnoteReference w:id="12"/>
      </w:r>
      <w:r w:rsidR="0032632E" w:rsidRPr="00CB59D9">
        <w:rPr>
          <w:rFonts w:cs="Arial"/>
          <w:sz w:val="22"/>
          <w:szCs w:val="22"/>
        </w:rPr>
        <w:t xml:space="preserve"> </w:t>
      </w:r>
    </w:p>
    <w:p w:rsidR="007106AD" w:rsidRDefault="007106AD">
      <w:pPr>
        <w:pStyle w:val="BodyText1"/>
        <w:spacing w:before="0"/>
        <w:rPr>
          <w:rFonts w:cs="Arial"/>
          <w:sz w:val="22"/>
          <w:szCs w:val="22"/>
        </w:rPr>
      </w:pPr>
    </w:p>
    <w:p w:rsidR="00B54C8A" w:rsidRDefault="007A7147" w:rsidP="00942866">
      <w:pPr>
        <w:pStyle w:val="BodyText1"/>
        <w:keepNext/>
        <w:spacing w:before="0"/>
        <w:rPr>
          <w:rFonts w:cs="Arial"/>
          <w:sz w:val="22"/>
          <w:szCs w:val="22"/>
        </w:rPr>
      </w:pPr>
      <w:r>
        <w:rPr>
          <w:rFonts w:cs="Arial"/>
          <w:sz w:val="22"/>
          <w:szCs w:val="22"/>
        </w:rPr>
        <w:t xml:space="preserve">Under </w:t>
      </w:r>
      <w:r w:rsidR="00623377">
        <w:rPr>
          <w:rFonts w:cs="Arial"/>
          <w:sz w:val="22"/>
          <w:szCs w:val="22"/>
        </w:rPr>
        <w:t>our</w:t>
      </w:r>
      <w:r>
        <w:rPr>
          <w:rFonts w:cs="Arial"/>
          <w:sz w:val="22"/>
          <w:szCs w:val="22"/>
        </w:rPr>
        <w:t xml:space="preserve"> modified </w:t>
      </w:r>
      <w:r w:rsidR="00623377">
        <w:rPr>
          <w:rFonts w:cs="Arial"/>
          <w:sz w:val="22"/>
          <w:szCs w:val="22"/>
        </w:rPr>
        <w:t>version of option 2</w:t>
      </w:r>
      <w:r>
        <w:rPr>
          <w:rFonts w:cs="Arial"/>
          <w:sz w:val="22"/>
          <w:szCs w:val="22"/>
        </w:rPr>
        <w:t>,</w:t>
      </w:r>
      <w:r w:rsidR="0032632E">
        <w:rPr>
          <w:rFonts w:cs="Arial"/>
          <w:sz w:val="22"/>
          <w:szCs w:val="22"/>
        </w:rPr>
        <w:t xml:space="preserve"> </w:t>
      </w:r>
      <w:r w:rsidR="007106AD">
        <w:rPr>
          <w:rFonts w:cs="Arial"/>
          <w:sz w:val="22"/>
          <w:szCs w:val="22"/>
        </w:rPr>
        <w:t xml:space="preserve">the ATA proposes that </w:t>
      </w:r>
      <w:r w:rsidR="0032632E">
        <w:rPr>
          <w:rFonts w:cs="Arial"/>
          <w:sz w:val="22"/>
          <w:szCs w:val="22"/>
        </w:rPr>
        <w:t>t</w:t>
      </w:r>
      <w:r w:rsidR="00B54C8A">
        <w:rPr>
          <w:rFonts w:cs="Arial"/>
          <w:sz w:val="22"/>
          <w:szCs w:val="22"/>
        </w:rPr>
        <w:t>he investigative powers in sections 569, 570 and 570A be amended as follows:</w:t>
      </w:r>
    </w:p>
    <w:p w:rsidR="00B54C8A" w:rsidRDefault="00B54C8A" w:rsidP="00942866">
      <w:pPr>
        <w:pStyle w:val="BodyText1"/>
        <w:keepNext/>
        <w:spacing w:before="0"/>
        <w:rPr>
          <w:rFonts w:cs="Arial"/>
          <w:sz w:val="22"/>
          <w:szCs w:val="22"/>
        </w:rPr>
      </w:pPr>
    </w:p>
    <w:p w:rsidR="00B54C8A" w:rsidRDefault="00B54C8A" w:rsidP="00942866">
      <w:pPr>
        <w:pStyle w:val="BodyText1"/>
        <w:keepNext/>
        <w:numPr>
          <w:ilvl w:val="0"/>
          <w:numId w:val="7"/>
        </w:numPr>
        <w:spacing w:before="0"/>
        <w:rPr>
          <w:rFonts w:cs="Arial"/>
          <w:sz w:val="22"/>
          <w:szCs w:val="22"/>
        </w:rPr>
      </w:pPr>
      <w:r>
        <w:rPr>
          <w:rFonts w:cs="Arial"/>
          <w:sz w:val="22"/>
          <w:szCs w:val="22"/>
        </w:rPr>
        <w:t>s</w:t>
      </w:r>
      <w:r w:rsidR="00DD4C4A">
        <w:rPr>
          <w:rFonts w:cs="Arial"/>
          <w:sz w:val="22"/>
          <w:szCs w:val="22"/>
        </w:rPr>
        <w:t>ection</w:t>
      </w:r>
      <w:r w:rsidR="0074469A">
        <w:rPr>
          <w:rFonts w:cs="Arial"/>
          <w:sz w:val="22"/>
          <w:szCs w:val="22"/>
        </w:rPr>
        <w:t>s</w:t>
      </w:r>
      <w:r>
        <w:rPr>
          <w:rFonts w:cs="Arial"/>
          <w:sz w:val="22"/>
          <w:szCs w:val="22"/>
        </w:rPr>
        <w:t xml:space="preserve"> 569 </w:t>
      </w:r>
      <w:r w:rsidR="0074469A">
        <w:rPr>
          <w:rFonts w:cs="Arial"/>
          <w:sz w:val="22"/>
          <w:szCs w:val="22"/>
        </w:rPr>
        <w:t xml:space="preserve">and 570 should be amalgamated and </w:t>
      </w:r>
      <w:r w:rsidR="007A7147">
        <w:rPr>
          <w:rFonts w:cs="Arial"/>
          <w:sz w:val="22"/>
          <w:szCs w:val="22"/>
        </w:rPr>
        <w:t xml:space="preserve">simplified </w:t>
      </w:r>
      <w:r w:rsidR="0074469A">
        <w:rPr>
          <w:rFonts w:cs="Arial"/>
          <w:sz w:val="22"/>
          <w:szCs w:val="22"/>
        </w:rPr>
        <w:t xml:space="preserve">to </w:t>
      </w:r>
      <w:r>
        <w:rPr>
          <w:rFonts w:cs="Arial"/>
          <w:sz w:val="22"/>
          <w:szCs w:val="22"/>
        </w:rPr>
        <w:t xml:space="preserve">apply </w:t>
      </w:r>
      <w:r w:rsidR="007106AD">
        <w:rPr>
          <w:rFonts w:cs="Arial"/>
          <w:sz w:val="22"/>
          <w:szCs w:val="22"/>
        </w:rPr>
        <w:t>only</w:t>
      </w:r>
      <w:r w:rsidR="00DD4C4A">
        <w:rPr>
          <w:rFonts w:cs="Arial"/>
          <w:sz w:val="22"/>
          <w:szCs w:val="22"/>
        </w:rPr>
        <w:t xml:space="preserve"> </w:t>
      </w:r>
      <w:r>
        <w:rPr>
          <w:rFonts w:cs="Arial"/>
          <w:sz w:val="22"/>
          <w:szCs w:val="22"/>
        </w:rPr>
        <w:t xml:space="preserve">to documents </w:t>
      </w:r>
      <w:r w:rsidR="00B35E61">
        <w:rPr>
          <w:rFonts w:cs="Arial"/>
          <w:sz w:val="22"/>
          <w:szCs w:val="22"/>
        </w:rPr>
        <w:t xml:space="preserve">issued or </w:t>
      </w:r>
      <w:r>
        <w:rPr>
          <w:rFonts w:cs="Arial"/>
          <w:sz w:val="22"/>
          <w:szCs w:val="22"/>
        </w:rPr>
        <w:t>required to be kept under the Law</w:t>
      </w:r>
      <w:r w:rsidR="0074469A">
        <w:rPr>
          <w:rFonts w:cs="Arial"/>
          <w:sz w:val="22"/>
          <w:szCs w:val="22"/>
        </w:rPr>
        <w:t>, transport or journey documentation (including for past journeys),</w:t>
      </w:r>
      <w:r>
        <w:rPr>
          <w:rFonts w:cs="Arial"/>
          <w:sz w:val="22"/>
          <w:szCs w:val="22"/>
        </w:rPr>
        <w:t xml:space="preserve"> </w:t>
      </w:r>
      <w:r w:rsidR="0074469A">
        <w:rPr>
          <w:rFonts w:cs="Arial"/>
          <w:sz w:val="22"/>
          <w:szCs w:val="22"/>
        </w:rPr>
        <w:t xml:space="preserve">and vehicle and load details. </w:t>
      </w:r>
      <w:r>
        <w:rPr>
          <w:rFonts w:cs="Arial"/>
          <w:sz w:val="22"/>
          <w:szCs w:val="22"/>
        </w:rPr>
        <w:t>Individuals would not be able to claim immunity</w:t>
      </w:r>
      <w:r w:rsidR="00623377">
        <w:rPr>
          <w:rFonts w:cs="Arial"/>
          <w:sz w:val="22"/>
          <w:szCs w:val="22"/>
        </w:rPr>
        <w:t xml:space="preserve"> in relation to these documents.</w:t>
      </w:r>
      <w:r w:rsidR="00DD4C4A">
        <w:rPr>
          <w:rFonts w:cs="Arial"/>
          <w:sz w:val="22"/>
          <w:szCs w:val="22"/>
        </w:rPr>
        <w:t xml:space="preserve"> </w:t>
      </w:r>
    </w:p>
    <w:p w:rsidR="00DD4C4A" w:rsidRDefault="00DD4C4A">
      <w:pPr>
        <w:pStyle w:val="BodyText1"/>
        <w:spacing w:before="0"/>
        <w:rPr>
          <w:rFonts w:cs="Arial"/>
          <w:sz w:val="22"/>
          <w:szCs w:val="22"/>
        </w:rPr>
      </w:pPr>
    </w:p>
    <w:p w:rsidR="00DD4C4A" w:rsidRDefault="00DD4C4A" w:rsidP="00DD4C4A">
      <w:pPr>
        <w:pStyle w:val="NRFABullet1"/>
        <w:numPr>
          <w:ilvl w:val="0"/>
          <w:numId w:val="7"/>
        </w:numPr>
        <w:spacing w:before="0"/>
        <w:rPr>
          <w:rFonts w:cs="Arial"/>
          <w:sz w:val="22"/>
          <w:szCs w:val="22"/>
        </w:rPr>
      </w:pPr>
      <w:r>
        <w:rPr>
          <w:rFonts w:cs="Arial"/>
          <w:sz w:val="22"/>
          <w:szCs w:val="22"/>
        </w:rPr>
        <w:t xml:space="preserve">requests for information under </w:t>
      </w:r>
      <w:r w:rsidR="007A7147">
        <w:rPr>
          <w:rFonts w:cs="Arial"/>
          <w:sz w:val="22"/>
          <w:szCs w:val="22"/>
        </w:rPr>
        <w:t>the amalgamated section</w:t>
      </w:r>
      <w:r w:rsidR="007106AD">
        <w:rPr>
          <w:rFonts w:cs="Arial"/>
          <w:sz w:val="22"/>
          <w:szCs w:val="22"/>
        </w:rPr>
        <w:t xml:space="preserve"> w</w:t>
      </w:r>
      <w:r>
        <w:rPr>
          <w:rFonts w:cs="Arial"/>
          <w:sz w:val="22"/>
          <w:szCs w:val="22"/>
        </w:rPr>
        <w:t xml:space="preserve">ould be in writing. The simple act of writing a notice </w:t>
      </w:r>
      <w:r w:rsidR="0074469A">
        <w:rPr>
          <w:rFonts w:cs="Arial"/>
          <w:sz w:val="22"/>
          <w:szCs w:val="22"/>
        </w:rPr>
        <w:t>would add</w:t>
      </w:r>
      <w:r>
        <w:rPr>
          <w:rFonts w:cs="Arial"/>
          <w:sz w:val="22"/>
          <w:szCs w:val="22"/>
        </w:rPr>
        <w:t xml:space="preserve"> rigour and discipline to the request, and </w:t>
      </w:r>
      <w:r w:rsidR="0074469A">
        <w:rPr>
          <w:rFonts w:cs="Arial"/>
          <w:sz w:val="22"/>
          <w:szCs w:val="22"/>
        </w:rPr>
        <w:t>would help</w:t>
      </w:r>
      <w:r w:rsidR="00502D7A">
        <w:rPr>
          <w:rFonts w:cs="Arial"/>
          <w:sz w:val="22"/>
          <w:szCs w:val="22"/>
        </w:rPr>
        <w:t xml:space="preserve"> </w:t>
      </w:r>
      <w:r>
        <w:rPr>
          <w:rFonts w:cs="Arial"/>
          <w:sz w:val="22"/>
          <w:szCs w:val="22"/>
        </w:rPr>
        <w:t xml:space="preserve">authorised officers to be clear about what they want. It </w:t>
      </w:r>
      <w:r w:rsidR="0074469A">
        <w:rPr>
          <w:rFonts w:cs="Arial"/>
          <w:sz w:val="22"/>
          <w:szCs w:val="22"/>
        </w:rPr>
        <w:t>would also provide</w:t>
      </w:r>
      <w:r>
        <w:rPr>
          <w:rFonts w:cs="Arial"/>
          <w:sz w:val="22"/>
          <w:szCs w:val="22"/>
        </w:rPr>
        <w:t xml:space="preserve"> a clear and legitimate basis for there to be a process of clarification of the precise information requested.</w:t>
      </w:r>
    </w:p>
    <w:p w:rsidR="00DD4C4A" w:rsidRDefault="00DD4C4A" w:rsidP="00502D7A">
      <w:pPr>
        <w:pStyle w:val="BodyText1"/>
        <w:spacing w:before="0"/>
        <w:ind w:left="720"/>
        <w:rPr>
          <w:rFonts w:cs="Arial"/>
          <w:sz w:val="22"/>
          <w:szCs w:val="22"/>
        </w:rPr>
      </w:pPr>
    </w:p>
    <w:p w:rsidR="00DD4C4A" w:rsidRDefault="007106AD" w:rsidP="00DD4C4A">
      <w:pPr>
        <w:pStyle w:val="BodyText1"/>
        <w:numPr>
          <w:ilvl w:val="0"/>
          <w:numId w:val="7"/>
        </w:numPr>
        <w:spacing w:before="0"/>
        <w:rPr>
          <w:rFonts w:cs="Arial"/>
          <w:sz w:val="22"/>
          <w:szCs w:val="22"/>
        </w:rPr>
      </w:pPr>
      <w:r>
        <w:rPr>
          <w:rFonts w:cs="Arial"/>
          <w:sz w:val="22"/>
          <w:szCs w:val="22"/>
        </w:rPr>
        <w:t>authorised officers w</w:t>
      </w:r>
      <w:r w:rsidR="00DD4C4A">
        <w:rPr>
          <w:rFonts w:cs="Arial"/>
          <w:sz w:val="22"/>
          <w:szCs w:val="22"/>
        </w:rPr>
        <w:t xml:space="preserve">ould have to hold a reasonable belief that the person they </w:t>
      </w:r>
      <w:r w:rsidR="0074469A">
        <w:rPr>
          <w:rFonts w:cs="Arial"/>
          <w:sz w:val="22"/>
          <w:szCs w:val="22"/>
        </w:rPr>
        <w:t>were</w:t>
      </w:r>
      <w:r w:rsidR="00DD4C4A">
        <w:rPr>
          <w:rFonts w:cs="Arial"/>
          <w:sz w:val="22"/>
          <w:szCs w:val="22"/>
        </w:rPr>
        <w:t xml:space="preserve"> interviewing </w:t>
      </w:r>
      <w:r w:rsidR="0074469A">
        <w:rPr>
          <w:rFonts w:cs="Arial"/>
          <w:sz w:val="22"/>
          <w:szCs w:val="22"/>
        </w:rPr>
        <w:t xml:space="preserve">was </w:t>
      </w:r>
      <w:r w:rsidR="00DD4C4A">
        <w:rPr>
          <w:rFonts w:cs="Arial"/>
          <w:sz w:val="22"/>
          <w:szCs w:val="22"/>
        </w:rPr>
        <w:t xml:space="preserve">capable of giving written or oral information in relation to a possible contravention of the Act, or that the information </w:t>
      </w:r>
      <w:r w:rsidR="0074469A">
        <w:rPr>
          <w:rFonts w:cs="Arial"/>
          <w:sz w:val="22"/>
          <w:szCs w:val="22"/>
        </w:rPr>
        <w:t>would</w:t>
      </w:r>
      <w:r w:rsidR="00DD4C4A">
        <w:rPr>
          <w:rFonts w:cs="Arial"/>
          <w:sz w:val="22"/>
          <w:szCs w:val="22"/>
        </w:rPr>
        <w:t xml:space="preserve"> assist in monitoring or enforcing compliance.</w:t>
      </w:r>
    </w:p>
    <w:p w:rsidR="00DD4C4A" w:rsidRDefault="00DD4C4A">
      <w:pPr>
        <w:pStyle w:val="BodyText1"/>
        <w:spacing w:before="0"/>
        <w:rPr>
          <w:rFonts w:cs="Arial"/>
          <w:sz w:val="22"/>
          <w:szCs w:val="22"/>
        </w:rPr>
      </w:pPr>
    </w:p>
    <w:p w:rsidR="00623377" w:rsidRDefault="00086D94" w:rsidP="00623377">
      <w:pPr>
        <w:pStyle w:val="BodyText1"/>
        <w:numPr>
          <w:ilvl w:val="0"/>
          <w:numId w:val="9"/>
        </w:numPr>
        <w:spacing w:before="0"/>
        <w:rPr>
          <w:rFonts w:cs="Arial"/>
          <w:sz w:val="22"/>
          <w:szCs w:val="22"/>
        </w:rPr>
      </w:pPr>
      <w:r>
        <w:rPr>
          <w:rFonts w:cs="Arial"/>
          <w:sz w:val="22"/>
          <w:szCs w:val="22"/>
        </w:rPr>
        <w:t>c</w:t>
      </w:r>
      <w:r w:rsidR="00623377">
        <w:rPr>
          <w:rFonts w:cs="Arial"/>
          <w:sz w:val="22"/>
          <w:szCs w:val="22"/>
        </w:rPr>
        <w:t>onsistent with s 570A(4)(b), the use of the power should be subject to a reasonable time and place qualifier.</w:t>
      </w:r>
    </w:p>
    <w:p w:rsidR="00623377" w:rsidRDefault="00623377">
      <w:pPr>
        <w:pStyle w:val="BodyText1"/>
        <w:spacing w:before="0"/>
        <w:rPr>
          <w:rFonts w:cs="Arial"/>
          <w:sz w:val="22"/>
          <w:szCs w:val="22"/>
        </w:rPr>
      </w:pPr>
    </w:p>
    <w:p w:rsidR="00B54C8A" w:rsidRDefault="00DD4C4A" w:rsidP="00DD4C4A">
      <w:pPr>
        <w:pStyle w:val="BodyText1"/>
        <w:numPr>
          <w:ilvl w:val="0"/>
          <w:numId w:val="7"/>
        </w:numPr>
        <w:spacing w:before="0"/>
        <w:rPr>
          <w:rFonts w:cs="Arial"/>
          <w:sz w:val="22"/>
          <w:szCs w:val="22"/>
        </w:rPr>
      </w:pPr>
      <w:r>
        <w:rPr>
          <w:rFonts w:cs="Arial"/>
          <w:sz w:val="22"/>
          <w:szCs w:val="22"/>
        </w:rPr>
        <w:t>section 570A should be redrafted to apply across</w:t>
      </w:r>
      <w:r w:rsidR="0032632E">
        <w:rPr>
          <w:rFonts w:cs="Arial"/>
          <w:sz w:val="22"/>
          <w:szCs w:val="22"/>
        </w:rPr>
        <w:t xml:space="preserve"> the whole Act.</w:t>
      </w:r>
    </w:p>
    <w:p w:rsidR="00DD4C4A" w:rsidRDefault="00DD4C4A">
      <w:pPr>
        <w:pStyle w:val="BodyText1"/>
        <w:spacing w:before="0"/>
        <w:rPr>
          <w:rFonts w:cs="Arial"/>
          <w:sz w:val="22"/>
          <w:szCs w:val="22"/>
        </w:rPr>
      </w:pPr>
    </w:p>
    <w:p w:rsidR="0074469A" w:rsidRPr="0074469A" w:rsidRDefault="00DD4C4A" w:rsidP="00DD4C4A">
      <w:pPr>
        <w:pStyle w:val="BodyText1"/>
        <w:numPr>
          <w:ilvl w:val="0"/>
          <w:numId w:val="7"/>
        </w:numPr>
        <w:spacing w:before="0"/>
        <w:ind w:left="709"/>
        <w:rPr>
          <w:sz w:val="22"/>
          <w:szCs w:val="22"/>
        </w:rPr>
      </w:pPr>
      <w:r w:rsidRPr="00DD4C4A">
        <w:rPr>
          <w:rFonts w:cs="Arial"/>
          <w:sz w:val="22"/>
          <w:szCs w:val="22"/>
        </w:rPr>
        <w:t xml:space="preserve">all the </w:t>
      </w:r>
      <w:r w:rsidR="0074469A">
        <w:rPr>
          <w:rFonts w:cs="Arial"/>
          <w:sz w:val="22"/>
          <w:szCs w:val="22"/>
        </w:rPr>
        <w:t>information gathering powers in the Law</w:t>
      </w:r>
      <w:r w:rsidR="00502D7A">
        <w:rPr>
          <w:rFonts w:cs="Arial"/>
          <w:sz w:val="22"/>
          <w:szCs w:val="22"/>
        </w:rPr>
        <w:t xml:space="preserve">, including s 568, </w:t>
      </w:r>
      <w:r w:rsidRPr="00DD4C4A">
        <w:rPr>
          <w:rFonts w:cs="Arial"/>
          <w:sz w:val="22"/>
          <w:szCs w:val="22"/>
        </w:rPr>
        <w:t xml:space="preserve">should be subject to a warning provision similar to s 173 of the model WHS Act. This section </w:t>
      </w:r>
      <w:r>
        <w:rPr>
          <w:rFonts w:cs="Arial"/>
          <w:sz w:val="22"/>
          <w:szCs w:val="22"/>
        </w:rPr>
        <w:t>has proved to be</w:t>
      </w:r>
      <w:r w:rsidRPr="00DD4C4A">
        <w:rPr>
          <w:rFonts w:cs="Arial"/>
          <w:sz w:val="22"/>
          <w:szCs w:val="22"/>
        </w:rPr>
        <w:t xml:space="preserve"> effective because it clarifies the common law warning that authorised officers must provide persons before asking for information. </w:t>
      </w:r>
    </w:p>
    <w:p w:rsidR="0074469A" w:rsidRPr="0074469A" w:rsidRDefault="0074469A" w:rsidP="0074469A">
      <w:pPr>
        <w:pStyle w:val="BodyText1"/>
        <w:spacing w:before="0"/>
        <w:rPr>
          <w:rFonts w:eastAsia="Calibri" w:cs="Arial"/>
          <w:sz w:val="22"/>
          <w:szCs w:val="22"/>
        </w:rPr>
      </w:pPr>
    </w:p>
    <w:p w:rsidR="00DD4C4A" w:rsidRPr="00DD4C4A" w:rsidRDefault="0074469A" w:rsidP="0074469A">
      <w:pPr>
        <w:pStyle w:val="BodyText1"/>
        <w:spacing w:before="0"/>
        <w:ind w:left="709"/>
        <w:rPr>
          <w:sz w:val="22"/>
          <w:szCs w:val="22"/>
        </w:rPr>
      </w:pPr>
      <w:r>
        <w:rPr>
          <w:rFonts w:cs="Arial"/>
          <w:sz w:val="22"/>
          <w:szCs w:val="22"/>
        </w:rPr>
        <w:t>The incorporation of a comparable provision in the HVNL would enable enforcement agencies</w:t>
      </w:r>
      <w:r w:rsidR="00DD4C4A" w:rsidRPr="00DD4C4A">
        <w:rPr>
          <w:rFonts w:cs="Arial"/>
          <w:sz w:val="22"/>
          <w:szCs w:val="22"/>
        </w:rPr>
        <w:t xml:space="preserve"> to provide easy to follow instructions and training to the</w:t>
      </w:r>
      <w:r w:rsidR="008D0C59">
        <w:rPr>
          <w:rFonts w:cs="Arial"/>
          <w:sz w:val="22"/>
          <w:szCs w:val="22"/>
        </w:rPr>
        <w:t>ir authorised officers. It would effectively elevate any operational procedures that are in place to the status of a codified legal requirement.</w:t>
      </w:r>
      <w:r w:rsidR="00DD4C4A" w:rsidRPr="00DD4C4A">
        <w:rPr>
          <w:rFonts w:cs="Arial"/>
          <w:sz w:val="22"/>
          <w:szCs w:val="22"/>
        </w:rPr>
        <w:t xml:space="preserve"> </w:t>
      </w:r>
    </w:p>
    <w:p w:rsidR="00DD4C4A" w:rsidRDefault="00DD4C4A" w:rsidP="00DD4C4A">
      <w:pPr>
        <w:pStyle w:val="BodyText1"/>
        <w:spacing w:before="0"/>
        <w:rPr>
          <w:sz w:val="22"/>
          <w:szCs w:val="22"/>
        </w:rPr>
      </w:pPr>
    </w:p>
    <w:p w:rsidR="006B4EA3" w:rsidRDefault="006B4EA3">
      <w:pPr>
        <w:pStyle w:val="NRFABullet1"/>
        <w:spacing w:before="0"/>
        <w:rPr>
          <w:rFonts w:cs="Arial"/>
          <w:sz w:val="22"/>
          <w:szCs w:val="22"/>
        </w:rPr>
      </w:pPr>
    </w:p>
    <w:p w:rsidR="006B4EA3" w:rsidRDefault="0048114E" w:rsidP="00502D7A">
      <w:pPr>
        <w:pStyle w:val="NRFABullet1"/>
        <w:keepNext/>
        <w:spacing w:before="0"/>
        <w:rPr>
          <w:rFonts w:cs="Arial"/>
          <w:b/>
          <w:sz w:val="22"/>
          <w:szCs w:val="22"/>
        </w:rPr>
      </w:pPr>
      <w:r>
        <w:rPr>
          <w:rFonts w:cs="Arial"/>
          <w:b/>
          <w:i/>
          <w:sz w:val="22"/>
          <w:szCs w:val="22"/>
        </w:rPr>
        <w:t>Recommendation 1</w:t>
      </w:r>
    </w:p>
    <w:p w:rsidR="006B4EA3" w:rsidRDefault="006B4EA3" w:rsidP="00502D7A">
      <w:pPr>
        <w:pStyle w:val="NRFABullet1"/>
        <w:keepNext/>
        <w:spacing w:before="0"/>
        <w:rPr>
          <w:rFonts w:cs="Arial"/>
          <w:b/>
          <w:sz w:val="22"/>
          <w:szCs w:val="22"/>
        </w:rPr>
      </w:pPr>
    </w:p>
    <w:p w:rsidR="006B4EA3" w:rsidRDefault="0048114E" w:rsidP="00502D7A">
      <w:pPr>
        <w:pStyle w:val="NRFABullet1"/>
        <w:keepNext/>
        <w:spacing w:before="0"/>
        <w:rPr>
          <w:rFonts w:cs="Arial"/>
          <w:sz w:val="22"/>
          <w:szCs w:val="22"/>
        </w:rPr>
      </w:pPr>
      <w:r>
        <w:rPr>
          <w:rFonts w:cs="Arial"/>
          <w:sz w:val="22"/>
          <w:szCs w:val="22"/>
        </w:rPr>
        <w:t xml:space="preserve">NTC proposal 1 should not be adopted. Instead, the information gathering powers in the HVNL should be simplified by </w:t>
      </w:r>
      <w:r w:rsidR="00502D7A">
        <w:rPr>
          <w:rFonts w:cs="Arial"/>
          <w:sz w:val="22"/>
          <w:szCs w:val="22"/>
        </w:rPr>
        <w:t xml:space="preserve">applying s 570A across the law and </w:t>
      </w:r>
      <w:r w:rsidR="0074469A">
        <w:rPr>
          <w:rFonts w:cs="Arial"/>
          <w:sz w:val="22"/>
          <w:szCs w:val="22"/>
        </w:rPr>
        <w:t xml:space="preserve">amalgamating and </w:t>
      </w:r>
      <w:r w:rsidR="007A7147">
        <w:rPr>
          <w:rFonts w:cs="Arial"/>
          <w:sz w:val="22"/>
          <w:szCs w:val="22"/>
        </w:rPr>
        <w:t>simplifying</w:t>
      </w:r>
      <w:r w:rsidR="0074469A">
        <w:rPr>
          <w:rFonts w:cs="Arial"/>
          <w:sz w:val="22"/>
          <w:szCs w:val="22"/>
        </w:rPr>
        <w:t xml:space="preserve"> sections 569 and 570</w:t>
      </w:r>
      <w:r w:rsidR="00623377">
        <w:rPr>
          <w:rFonts w:cs="Arial"/>
          <w:sz w:val="22"/>
          <w:szCs w:val="22"/>
        </w:rPr>
        <w:t xml:space="preserve"> to focus on a </w:t>
      </w:r>
      <w:r w:rsidR="00F851FD">
        <w:rPr>
          <w:rFonts w:cs="Arial"/>
          <w:sz w:val="22"/>
          <w:szCs w:val="22"/>
        </w:rPr>
        <w:t>narrow</w:t>
      </w:r>
      <w:r w:rsidR="00086D94">
        <w:rPr>
          <w:rFonts w:cs="Arial"/>
          <w:sz w:val="22"/>
          <w:szCs w:val="22"/>
        </w:rPr>
        <w:t xml:space="preserve"> range of documents</w:t>
      </w:r>
      <w:r w:rsidR="00623377">
        <w:rPr>
          <w:rFonts w:cs="Arial"/>
          <w:sz w:val="22"/>
          <w:szCs w:val="22"/>
        </w:rPr>
        <w:t xml:space="preserve"> and information</w:t>
      </w:r>
      <w:r w:rsidR="0074469A">
        <w:rPr>
          <w:rFonts w:cs="Arial"/>
          <w:sz w:val="22"/>
          <w:szCs w:val="22"/>
        </w:rPr>
        <w:t>.</w:t>
      </w:r>
      <w:r w:rsidR="00502D7A">
        <w:rPr>
          <w:rFonts w:cs="Arial"/>
          <w:sz w:val="22"/>
          <w:szCs w:val="22"/>
        </w:rPr>
        <w:t xml:space="preserve"> All requests for information under these sections should be required to be in writing.</w:t>
      </w:r>
    </w:p>
    <w:p w:rsidR="006B4EA3" w:rsidRDefault="006B4EA3">
      <w:pPr>
        <w:pStyle w:val="BodyText1"/>
        <w:spacing w:before="0"/>
      </w:pPr>
    </w:p>
    <w:p w:rsidR="006B4EA3" w:rsidRDefault="006B4EA3">
      <w:pPr>
        <w:pStyle w:val="BodyText1"/>
        <w:spacing w:before="0"/>
        <w:rPr>
          <w:sz w:val="22"/>
          <w:szCs w:val="22"/>
        </w:rPr>
      </w:pPr>
    </w:p>
    <w:p w:rsidR="006B4EA3" w:rsidRDefault="0048114E">
      <w:pPr>
        <w:pStyle w:val="BodyText1"/>
        <w:spacing w:before="0"/>
        <w:rPr>
          <w:b/>
          <w:sz w:val="22"/>
          <w:szCs w:val="22"/>
        </w:rPr>
      </w:pPr>
      <w:r>
        <w:rPr>
          <w:b/>
          <w:i/>
          <w:sz w:val="22"/>
          <w:szCs w:val="22"/>
        </w:rPr>
        <w:t>Recommendation 2</w:t>
      </w:r>
    </w:p>
    <w:p w:rsidR="006B4EA3" w:rsidRDefault="006B4EA3">
      <w:pPr>
        <w:pStyle w:val="BodyText1"/>
        <w:spacing w:before="0"/>
        <w:rPr>
          <w:b/>
          <w:sz w:val="22"/>
          <w:szCs w:val="22"/>
        </w:rPr>
      </w:pPr>
    </w:p>
    <w:p w:rsidR="006B4EA3" w:rsidRDefault="00502D7A">
      <w:pPr>
        <w:pStyle w:val="BodyText1"/>
        <w:spacing w:before="0"/>
        <w:rPr>
          <w:sz w:val="22"/>
          <w:szCs w:val="22"/>
        </w:rPr>
      </w:pPr>
      <w:r>
        <w:rPr>
          <w:sz w:val="22"/>
          <w:szCs w:val="22"/>
        </w:rPr>
        <w:t>All of the investigative powers in t</w:t>
      </w:r>
      <w:r w:rsidR="0048114E">
        <w:rPr>
          <w:sz w:val="22"/>
          <w:szCs w:val="22"/>
        </w:rPr>
        <w:t>he HVNL</w:t>
      </w:r>
      <w:r w:rsidR="0074469A">
        <w:rPr>
          <w:sz w:val="22"/>
          <w:szCs w:val="22"/>
        </w:rPr>
        <w:t>, including s 568,</w:t>
      </w:r>
      <w:r w:rsidR="0048114E">
        <w:rPr>
          <w:sz w:val="22"/>
          <w:szCs w:val="22"/>
        </w:rPr>
        <w:t xml:space="preserve"> should be </w:t>
      </w:r>
      <w:r>
        <w:rPr>
          <w:sz w:val="22"/>
          <w:szCs w:val="22"/>
        </w:rPr>
        <w:t xml:space="preserve">subject to a codified </w:t>
      </w:r>
      <w:r w:rsidR="0048114E">
        <w:rPr>
          <w:sz w:val="22"/>
          <w:szCs w:val="22"/>
        </w:rPr>
        <w:t>warning provision comparable to s 173 of the model WHS Act.</w:t>
      </w:r>
    </w:p>
    <w:p w:rsidR="006B4EA3" w:rsidRDefault="006B4EA3">
      <w:pPr>
        <w:pStyle w:val="BodyText1"/>
        <w:spacing w:before="0"/>
        <w:rPr>
          <w:sz w:val="22"/>
          <w:szCs w:val="22"/>
        </w:rPr>
      </w:pPr>
    </w:p>
    <w:p w:rsidR="006B4EA3" w:rsidRDefault="006B4EA3">
      <w:pPr>
        <w:pStyle w:val="BodyText1"/>
        <w:spacing w:before="0"/>
      </w:pPr>
    </w:p>
    <w:p w:rsidR="006B4EA3" w:rsidRPr="00233B71" w:rsidRDefault="0048114E">
      <w:pPr>
        <w:pStyle w:val="Subtitle"/>
        <w:spacing w:before="0"/>
        <w:rPr>
          <w:i w:val="0"/>
        </w:rPr>
      </w:pPr>
      <w:r w:rsidRPr="00233B71">
        <w:rPr>
          <w:rFonts w:cs="Arial"/>
          <w:i w:val="0"/>
          <w:sz w:val="22"/>
          <w:szCs w:val="22"/>
        </w:rPr>
        <w:lastRenderedPageBreak/>
        <w:t>Clarifying the form in which information required may be produced (chapter 5.4)</w:t>
      </w:r>
    </w:p>
    <w:p w:rsidR="006B4EA3" w:rsidRDefault="006B4EA3">
      <w:pPr>
        <w:pStyle w:val="BodyText1"/>
        <w:spacing w:before="0"/>
      </w:pPr>
    </w:p>
    <w:p w:rsidR="006B4EA3" w:rsidRDefault="0048114E">
      <w:pPr>
        <w:pStyle w:val="BodyText1"/>
        <w:spacing w:before="0"/>
        <w:rPr>
          <w:rFonts w:cs="Arial"/>
          <w:sz w:val="22"/>
          <w:szCs w:val="22"/>
        </w:rPr>
      </w:pPr>
      <w:r>
        <w:rPr>
          <w:rFonts w:cs="Arial"/>
          <w:sz w:val="22"/>
          <w:szCs w:val="22"/>
        </w:rPr>
        <w:t xml:space="preserve">Section 569 of the HVNL empowers authorised officers to require the production of documents from a responsible person for a heavy vehicle. Under s 569(3), electronic documents must be provided as a ‘clear written reproduction.’ </w:t>
      </w:r>
    </w:p>
    <w:p w:rsidR="006B4EA3" w:rsidRDefault="006B4EA3">
      <w:pPr>
        <w:pStyle w:val="BodyText1"/>
        <w:spacing w:before="0"/>
        <w:rPr>
          <w:rFonts w:cs="Arial"/>
          <w:sz w:val="22"/>
          <w:szCs w:val="22"/>
        </w:rPr>
      </w:pPr>
    </w:p>
    <w:p w:rsidR="006B4EA3" w:rsidRDefault="0048114E">
      <w:pPr>
        <w:pStyle w:val="BodyText1"/>
        <w:spacing w:before="0"/>
        <w:rPr>
          <w:rFonts w:cs="Arial"/>
          <w:sz w:val="22"/>
          <w:szCs w:val="22"/>
        </w:rPr>
      </w:pPr>
      <w:r>
        <w:rPr>
          <w:rFonts w:cs="Arial"/>
          <w:sz w:val="22"/>
          <w:szCs w:val="22"/>
        </w:rPr>
        <w:t>In chapter 5.4 of the discussion paper, the NTC proposes that s 569 should be amended to clarify that electronic documents can be required to be produced in electronic form.</w:t>
      </w:r>
      <w:r w:rsidR="00513A18">
        <w:rPr>
          <w:rStyle w:val="FootnoteReference"/>
          <w:rFonts w:cs="Arial"/>
          <w:sz w:val="22"/>
          <w:szCs w:val="22"/>
        </w:rPr>
        <w:footnoteReference w:id="13"/>
      </w:r>
    </w:p>
    <w:p w:rsidR="006B4EA3" w:rsidRDefault="006B4EA3">
      <w:pPr>
        <w:pStyle w:val="BodyText1"/>
        <w:spacing w:before="0"/>
        <w:rPr>
          <w:rFonts w:cs="Arial"/>
          <w:sz w:val="22"/>
          <w:szCs w:val="22"/>
        </w:rPr>
      </w:pPr>
    </w:p>
    <w:p w:rsidR="006B4EA3" w:rsidRDefault="0048114E">
      <w:pPr>
        <w:pStyle w:val="BodyText1"/>
        <w:spacing w:before="0"/>
        <w:rPr>
          <w:rFonts w:cs="Arial"/>
          <w:sz w:val="22"/>
          <w:szCs w:val="22"/>
        </w:rPr>
      </w:pPr>
      <w:r>
        <w:rPr>
          <w:rFonts w:cs="Arial"/>
          <w:sz w:val="22"/>
          <w:szCs w:val="22"/>
        </w:rPr>
        <w:t>The ATA supports this proposal. It is helpful for a person required to produce electronic information to be able to produce th</w:t>
      </w:r>
      <w:r w:rsidR="00513A18">
        <w:rPr>
          <w:rFonts w:cs="Arial"/>
          <w:sz w:val="22"/>
          <w:szCs w:val="22"/>
        </w:rPr>
        <w:t>e information</w:t>
      </w:r>
      <w:r>
        <w:rPr>
          <w:rFonts w:cs="Arial"/>
          <w:sz w:val="22"/>
          <w:szCs w:val="22"/>
        </w:rPr>
        <w:t xml:space="preserve"> in the form used in their operations, however it is important that the requirement is qualified by what is </w:t>
      </w:r>
      <w:r>
        <w:rPr>
          <w:rFonts w:cs="Arial"/>
          <w:b/>
          <w:sz w:val="22"/>
          <w:szCs w:val="22"/>
        </w:rPr>
        <w:t>reasonable</w:t>
      </w:r>
      <w:r>
        <w:rPr>
          <w:rFonts w:cs="Arial"/>
          <w:sz w:val="22"/>
          <w:szCs w:val="22"/>
        </w:rPr>
        <w:t xml:space="preserve">. </w:t>
      </w:r>
    </w:p>
    <w:p w:rsidR="006B4EA3" w:rsidRDefault="006B4EA3">
      <w:pPr>
        <w:pStyle w:val="BodyText1"/>
        <w:spacing w:before="0"/>
        <w:rPr>
          <w:rFonts w:cs="Arial"/>
          <w:sz w:val="22"/>
          <w:szCs w:val="22"/>
        </w:rPr>
      </w:pPr>
    </w:p>
    <w:p w:rsidR="00513A18" w:rsidRDefault="00513A18">
      <w:pPr>
        <w:pStyle w:val="BodyText1"/>
        <w:spacing w:before="0"/>
        <w:rPr>
          <w:rFonts w:cs="Arial"/>
          <w:sz w:val="22"/>
          <w:szCs w:val="22"/>
        </w:rPr>
      </w:pPr>
      <w:r>
        <w:rPr>
          <w:rFonts w:cs="Arial"/>
          <w:sz w:val="22"/>
          <w:szCs w:val="22"/>
        </w:rPr>
        <w:t>Frequently,</w:t>
      </w:r>
      <w:r w:rsidR="0048114E">
        <w:rPr>
          <w:rFonts w:cs="Arial"/>
          <w:sz w:val="22"/>
          <w:szCs w:val="22"/>
        </w:rPr>
        <w:t xml:space="preserve"> software used in operations is not able to be provided electronically because it is embedded in complex machinery and cannot be exported</w:t>
      </w:r>
      <w:r w:rsidR="00623377">
        <w:rPr>
          <w:rFonts w:cs="Arial"/>
          <w:sz w:val="22"/>
          <w:szCs w:val="22"/>
        </w:rPr>
        <w:t xml:space="preserve"> easily</w:t>
      </w:r>
      <w:r w:rsidR="0048114E">
        <w:rPr>
          <w:rFonts w:cs="Arial"/>
          <w:sz w:val="22"/>
          <w:szCs w:val="22"/>
        </w:rPr>
        <w:t xml:space="preserve">. </w:t>
      </w:r>
      <w:r>
        <w:rPr>
          <w:rFonts w:cs="Arial"/>
          <w:sz w:val="22"/>
          <w:szCs w:val="22"/>
        </w:rPr>
        <w:t xml:space="preserve">Even when electronic information can be exported, enforcement agencies frequently underestimate the large amount of information that may need to be provided to comply with an overbroad request. </w:t>
      </w:r>
    </w:p>
    <w:p w:rsidR="00513A18" w:rsidRDefault="00513A18">
      <w:pPr>
        <w:pStyle w:val="BodyText1"/>
        <w:spacing w:before="0"/>
        <w:rPr>
          <w:rFonts w:cs="Arial"/>
          <w:sz w:val="22"/>
          <w:szCs w:val="22"/>
        </w:rPr>
      </w:pPr>
    </w:p>
    <w:p w:rsidR="006B4EA3" w:rsidRDefault="00513A18">
      <w:pPr>
        <w:pStyle w:val="BodyText1"/>
        <w:spacing w:before="0"/>
        <w:rPr>
          <w:rFonts w:cs="Arial"/>
          <w:sz w:val="22"/>
          <w:szCs w:val="22"/>
        </w:rPr>
      </w:pPr>
      <w:r>
        <w:rPr>
          <w:rFonts w:cs="Arial"/>
          <w:sz w:val="22"/>
          <w:szCs w:val="22"/>
        </w:rPr>
        <w:t xml:space="preserve">As a result, there is often a need for </w:t>
      </w:r>
      <w:r w:rsidR="0048114E">
        <w:rPr>
          <w:rFonts w:cs="Arial"/>
          <w:sz w:val="22"/>
          <w:szCs w:val="22"/>
        </w:rPr>
        <w:t>cooperative discussion</w:t>
      </w:r>
      <w:r>
        <w:rPr>
          <w:rFonts w:cs="Arial"/>
          <w:sz w:val="22"/>
          <w:szCs w:val="22"/>
        </w:rPr>
        <w:t>s</w:t>
      </w:r>
      <w:r w:rsidR="0048114E">
        <w:rPr>
          <w:rFonts w:cs="Arial"/>
          <w:sz w:val="22"/>
          <w:szCs w:val="22"/>
        </w:rPr>
        <w:t xml:space="preserve"> between </w:t>
      </w:r>
      <w:r>
        <w:rPr>
          <w:rFonts w:cs="Arial"/>
          <w:sz w:val="22"/>
          <w:szCs w:val="22"/>
        </w:rPr>
        <w:t xml:space="preserve">enforcement agencies, </w:t>
      </w:r>
      <w:r w:rsidR="0048114E">
        <w:rPr>
          <w:rFonts w:cs="Arial"/>
          <w:sz w:val="22"/>
          <w:szCs w:val="22"/>
        </w:rPr>
        <w:t>person</w:t>
      </w:r>
      <w:r>
        <w:rPr>
          <w:rFonts w:cs="Arial"/>
          <w:sz w:val="22"/>
          <w:szCs w:val="22"/>
        </w:rPr>
        <w:t>s</w:t>
      </w:r>
      <w:r w:rsidR="0048114E">
        <w:rPr>
          <w:rFonts w:cs="Arial"/>
          <w:sz w:val="22"/>
          <w:szCs w:val="22"/>
        </w:rPr>
        <w:t xml:space="preserve"> producing information</w:t>
      </w:r>
      <w:r>
        <w:rPr>
          <w:rFonts w:cs="Arial"/>
          <w:sz w:val="22"/>
          <w:szCs w:val="22"/>
        </w:rPr>
        <w:t xml:space="preserve"> and their legal representatives</w:t>
      </w:r>
      <w:r w:rsidR="0048114E">
        <w:rPr>
          <w:rFonts w:cs="Arial"/>
          <w:sz w:val="22"/>
          <w:szCs w:val="22"/>
        </w:rPr>
        <w:t xml:space="preserve"> </w:t>
      </w:r>
      <w:r>
        <w:rPr>
          <w:rFonts w:cs="Arial"/>
          <w:sz w:val="22"/>
          <w:szCs w:val="22"/>
        </w:rPr>
        <w:t xml:space="preserve">about </w:t>
      </w:r>
      <w:r w:rsidR="0048114E">
        <w:rPr>
          <w:rFonts w:cs="Arial"/>
          <w:sz w:val="22"/>
          <w:szCs w:val="22"/>
        </w:rPr>
        <w:t xml:space="preserve">the most practical way to provide </w:t>
      </w:r>
      <w:r>
        <w:rPr>
          <w:rFonts w:cs="Arial"/>
          <w:sz w:val="22"/>
          <w:szCs w:val="22"/>
        </w:rPr>
        <w:t>it (which could, for example, include screen shots of particular software in operation)</w:t>
      </w:r>
      <w:r w:rsidR="0048114E">
        <w:rPr>
          <w:rFonts w:cs="Arial"/>
          <w:sz w:val="22"/>
          <w:szCs w:val="22"/>
        </w:rPr>
        <w:t>.</w:t>
      </w:r>
    </w:p>
    <w:p w:rsidR="006B4EA3" w:rsidRDefault="0048114E">
      <w:pPr>
        <w:pStyle w:val="BodyText1"/>
        <w:spacing w:before="0"/>
        <w:rPr>
          <w:rFonts w:cs="Arial"/>
          <w:sz w:val="22"/>
          <w:szCs w:val="22"/>
        </w:rPr>
      </w:pPr>
      <w:r>
        <w:rPr>
          <w:rFonts w:cs="Arial"/>
          <w:sz w:val="22"/>
          <w:szCs w:val="22"/>
        </w:rPr>
        <w:t xml:space="preserve"> </w:t>
      </w:r>
    </w:p>
    <w:p w:rsidR="006B4EA3" w:rsidRDefault="00513A18">
      <w:pPr>
        <w:pStyle w:val="BodyText1"/>
        <w:spacing w:before="0"/>
        <w:rPr>
          <w:rFonts w:cs="Arial"/>
          <w:sz w:val="22"/>
          <w:szCs w:val="22"/>
        </w:rPr>
      </w:pPr>
      <w:r>
        <w:rPr>
          <w:rFonts w:cs="Arial"/>
          <w:sz w:val="22"/>
          <w:szCs w:val="22"/>
        </w:rPr>
        <w:t>T</w:t>
      </w:r>
      <w:r w:rsidR="008B3B44">
        <w:rPr>
          <w:rFonts w:cs="Arial"/>
          <w:sz w:val="22"/>
          <w:szCs w:val="22"/>
        </w:rPr>
        <w:t>he principle of reasonableness</w:t>
      </w:r>
      <w:r w:rsidR="0048114E">
        <w:rPr>
          <w:rFonts w:cs="Arial"/>
          <w:sz w:val="22"/>
          <w:szCs w:val="22"/>
        </w:rPr>
        <w:t xml:space="preserve"> already exists in </w:t>
      </w:r>
      <w:r w:rsidR="008B3B44">
        <w:rPr>
          <w:rFonts w:cs="Arial"/>
          <w:sz w:val="22"/>
          <w:szCs w:val="22"/>
        </w:rPr>
        <w:t>good regulatory</w:t>
      </w:r>
      <w:r w:rsidR="0048114E">
        <w:rPr>
          <w:rFonts w:cs="Arial"/>
          <w:sz w:val="22"/>
          <w:szCs w:val="22"/>
        </w:rPr>
        <w:t xml:space="preserve"> practice</w:t>
      </w:r>
      <w:r w:rsidR="008B3B44">
        <w:rPr>
          <w:rFonts w:cs="Arial"/>
          <w:sz w:val="22"/>
          <w:szCs w:val="22"/>
        </w:rPr>
        <w:t xml:space="preserve">. It would be sensible for it to be reflected in </w:t>
      </w:r>
      <w:r w:rsidR="00623377">
        <w:rPr>
          <w:rFonts w:cs="Arial"/>
          <w:sz w:val="22"/>
          <w:szCs w:val="22"/>
        </w:rPr>
        <w:t>the HVNL also</w:t>
      </w:r>
      <w:r w:rsidR="008B3B44">
        <w:rPr>
          <w:rFonts w:cs="Arial"/>
          <w:sz w:val="22"/>
          <w:szCs w:val="22"/>
        </w:rPr>
        <w:t>.</w:t>
      </w:r>
      <w:r w:rsidR="0048114E">
        <w:rPr>
          <w:rFonts w:cs="Arial"/>
          <w:sz w:val="22"/>
          <w:szCs w:val="22"/>
        </w:rPr>
        <w:t xml:space="preserve"> </w:t>
      </w:r>
    </w:p>
    <w:p w:rsidR="006B4EA3" w:rsidRDefault="006B4EA3">
      <w:pPr>
        <w:pStyle w:val="BodyText1"/>
        <w:spacing w:before="0"/>
        <w:rPr>
          <w:rFonts w:cs="Arial"/>
          <w:sz w:val="22"/>
          <w:szCs w:val="22"/>
        </w:rPr>
      </w:pPr>
    </w:p>
    <w:p w:rsidR="006B4EA3" w:rsidRDefault="006B4EA3">
      <w:pPr>
        <w:pStyle w:val="BodyText1"/>
        <w:spacing w:before="0"/>
        <w:rPr>
          <w:rFonts w:cs="Arial"/>
          <w:sz w:val="22"/>
          <w:szCs w:val="22"/>
        </w:rPr>
      </w:pPr>
    </w:p>
    <w:p w:rsidR="006B4EA3" w:rsidRDefault="0048114E">
      <w:pPr>
        <w:pStyle w:val="BodyText1"/>
        <w:keepNext/>
        <w:spacing w:before="0"/>
        <w:rPr>
          <w:rFonts w:cs="Arial"/>
          <w:sz w:val="22"/>
          <w:szCs w:val="22"/>
        </w:rPr>
      </w:pPr>
      <w:r>
        <w:rPr>
          <w:rFonts w:cs="Arial"/>
          <w:b/>
          <w:i/>
          <w:sz w:val="22"/>
          <w:szCs w:val="22"/>
        </w:rPr>
        <w:t>Recommendation 3</w:t>
      </w:r>
    </w:p>
    <w:p w:rsidR="006B4EA3" w:rsidRDefault="006B4EA3">
      <w:pPr>
        <w:pStyle w:val="BodyText1"/>
        <w:keepNext/>
        <w:spacing w:before="0"/>
        <w:rPr>
          <w:rFonts w:cs="Arial"/>
          <w:sz w:val="22"/>
          <w:szCs w:val="22"/>
        </w:rPr>
      </w:pPr>
    </w:p>
    <w:p w:rsidR="006B4EA3" w:rsidRDefault="0048114E">
      <w:pPr>
        <w:pStyle w:val="BodyText1"/>
        <w:keepNext/>
        <w:spacing w:before="0"/>
        <w:rPr>
          <w:rFonts w:cs="Arial"/>
          <w:sz w:val="22"/>
          <w:szCs w:val="22"/>
        </w:rPr>
      </w:pPr>
      <w:r>
        <w:rPr>
          <w:rFonts w:cs="Arial"/>
          <w:sz w:val="22"/>
          <w:szCs w:val="22"/>
        </w:rPr>
        <w:t>NTC proposal 2 should be adopted, with the addition of a reasonableness qualifier.</w:t>
      </w:r>
    </w:p>
    <w:p w:rsidR="006B4EA3" w:rsidRDefault="006B4EA3">
      <w:pPr>
        <w:pStyle w:val="BodyText1"/>
        <w:spacing w:before="0"/>
        <w:rPr>
          <w:rFonts w:cs="Arial"/>
          <w:sz w:val="22"/>
          <w:szCs w:val="22"/>
        </w:rPr>
      </w:pPr>
    </w:p>
    <w:p w:rsidR="006B4EA3" w:rsidRDefault="006B4EA3">
      <w:pPr>
        <w:pStyle w:val="BodyText1"/>
        <w:spacing w:before="0"/>
        <w:rPr>
          <w:rFonts w:cs="Arial"/>
          <w:sz w:val="22"/>
          <w:szCs w:val="22"/>
        </w:rPr>
      </w:pPr>
    </w:p>
    <w:p w:rsidR="006B4EA3" w:rsidRPr="00233B71" w:rsidRDefault="0048114E">
      <w:pPr>
        <w:pStyle w:val="Subtitle"/>
        <w:spacing w:before="0"/>
        <w:rPr>
          <w:i w:val="0"/>
        </w:rPr>
      </w:pPr>
      <w:r w:rsidRPr="00233B71">
        <w:rPr>
          <w:rFonts w:cs="Arial"/>
          <w:i w:val="0"/>
          <w:sz w:val="22"/>
          <w:szCs w:val="22"/>
        </w:rPr>
        <w:t>Requiring a responsible person to identify a third party where that person holds relevant records (chapter 5.6)</w:t>
      </w:r>
    </w:p>
    <w:p w:rsidR="006B4EA3" w:rsidRDefault="006B4EA3">
      <w:pPr>
        <w:pStyle w:val="BodyText1"/>
        <w:spacing w:before="0"/>
      </w:pPr>
    </w:p>
    <w:p w:rsidR="006B4EA3" w:rsidRDefault="0048114E">
      <w:pPr>
        <w:pStyle w:val="BodyText1"/>
        <w:spacing w:before="0"/>
        <w:rPr>
          <w:rFonts w:cs="Arial"/>
          <w:sz w:val="22"/>
          <w:szCs w:val="22"/>
        </w:rPr>
      </w:pPr>
      <w:r>
        <w:rPr>
          <w:rFonts w:cs="Arial"/>
          <w:sz w:val="22"/>
          <w:szCs w:val="22"/>
        </w:rPr>
        <w:t>Sections 569 and 570 of the HVNL enable authorised officers to require information or documents from ‘responsible persons.’ There is no obligation on those persons to inform an officer about inf</w:t>
      </w:r>
      <w:r w:rsidR="00623377">
        <w:rPr>
          <w:rFonts w:cs="Arial"/>
          <w:sz w:val="22"/>
          <w:szCs w:val="22"/>
        </w:rPr>
        <w:t>ormation held by a third party, although they can be required to provide information about other responsible persons for a vehicle.</w:t>
      </w:r>
      <w:r w:rsidR="00623377">
        <w:rPr>
          <w:rStyle w:val="FootnoteReference"/>
          <w:rFonts w:cs="Arial"/>
          <w:sz w:val="22"/>
          <w:szCs w:val="22"/>
        </w:rPr>
        <w:footnoteReference w:id="14"/>
      </w:r>
    </w:p>
    <w:p w:rsidR="006B4EA3" w:rsidRDefault="006B4EA3">
      <w:pPr>
        <w:pStyle w:val="BodyText1"/>
        <w:spacing w:before="0"/>
        <w:rPr>
          <w:rFonts w:cs="Arial"/>
          <w:sz w:val="22"/>
          <w:szCs w:val="22"/>
        </w:rPr>
      </w:pPr>
    </w:p>
    <w:p w:rsidR="006B4EA3" w:rsidRDefault="0048114E">
      <w:pPr>
        <w:pStyle w:val="BodyText1"/>
        <w:spacing w:before="0"/>
        <w:rPr>
          <w:rFonts w:cs="Arial"/>
          <w:sz w:val="22"/>
          <w:szCs w:val="22"/>
        </w:rPr>
      </w:pPr>
      <w:r>
        <w:rPr>
          <w:rFonts w:cs="Arial"/>
          <w:sz w:val="22"/>
          <w:szCs w:val="22"/>
        </w:rPr>
        <w:t xml:space="preserve">The discussion paper </w:t>
      </w:r>
      <w:r w:rsidR="00513A18">
        <w:rPr>
          <w:rFonts w:cs="Arial"/>
          <w:sz w:val="22"/>
          <w:szCs w:val="22"/>
        </w:rPr>
        <w:t>looks at</w:t>
      </w:r>
      <w:r>
        <w:rPr>
          <w:rFonts w:cs="Arial"/>
          <w:sz w:val="22"/>
          <w:szCs w:val="22"/>
        </w:rPr>
        <w:t xml:space="preserve"> amending these sections to require responsible persons to identify third parties who hold documents or information relevant to the investigation of an offence.</w:t>
      </w:r>
      <w:r w:rsidR="00513A18">
        <w:rPr>
          <w:rStyle w:val="FootnoteReference"/>
          <w:rFonts w:cs="Arial"/>
          <w:sz w:val="22"/>
          <w:szCs w:val="22"/>
        </w:rPr>
        <w:footnoteReference w:id="15"/>
      </w:r>
    </w:p>
    <w:p w:rsidR="006B4EA3" w:rsidRDefault="006B4EA3">
      <w:pPr>
        <w:pStyle w:val="BodyText1"/>
        <w:spacing w:before="0"/>
        <w:rPr>
          <w:rFonts w:cs="Arial"/>
          <w:sz w:val="22"/>
          <w:szCs w:val="22"/>
        </w:rPr>
      </w:pPr>
    </w:p>
    <w:p w:rsidR="006B4EA3" w:rsidRDefault="0048114E">
      <w:pPr>
        <w:pStyle w:val="BodyText1"/>
        <w:spacing w:before="0"/>
        <w:rPr>
          <w:rFonts w:cs="Arial"/>
          <w:sz w:val="22"/>
          <w:szCs w:val="22"/>
        </w:rPr>
      </w:pPr>
      <w:r>
        <w:rPr>
          <w:rFonts w:cs="Arial"/>
          <w:sz w:val="22"/>
          <w:szCs w:val="22"/>
        </w:rPr>
        <w:t>The ATA joins the NTC in rejecting this suggestion.</w:t>
      </w:r>
    </w:p>
    <w:p w:rsidR="006B4EA3" w:rsidRDefault="006B4EA3">
      <w:pPr>
        <w:pStyle w:val="BodyText1"/>
        <w:spacing w:before="0"/>
        <w:rPr>
          <w:rFonts w:cs="Arial"/>
          <w:sz w:val="22"/>
          <w:szCs w:val="22"/>
        </w:rPr>
      </w:pPr>
    </w:p>
    <w:p w:rsidR="006B4EA3" w:rsidRDefault="0048114E">
      <w:pPr>
        <w:pStyle w:val="BodyText1"/>
        <w:spacing w:before="0"/>
        <w:rPr>
          <w:rFonts w:cs="Arial"/>
          <w:sz w:val="22"/>
          <w:szCs w:val="22"/>
        </w:rPr>
      </w:pPr>
      <w:r>
        <w:rPr>
          <w:rFonts w:cs="Arial"/>
          <w:sz w:val="22"/>
          <w:szCs w:val="22"/>
        </w:rPr>
        <w:lastRenderedPageBreak/>
        <w:t>Sections 569, 570 and 570A provide authorised officers with ample powers to require the production of documents and information, including information that would point to the identity of relevant third parties such as telematics providers.</w:t>
      </w:r>
    </w:p>
    <w:p w:rsidR="006B4EA3" w:rsidRDefault="006B4EA3">
      <w:pPr>
        <w:pStyle w:val="BodyText1"/>
        <w:spacing w:before="0"/>
        <w:rPr>
          <w:rFonts w:cs="Arial"/>
          <w:sz w:val="22"/>
          <w:szCs w:val="22"/>
        </w:rPr>
      </w:pPr>
    </w:p>
    <w:p w:rsidR="006B4EA3" w:rsidRDefault="0048114E">
      <w:pPr>
        <w:pStyle w:val="BodyText1"/>
        <w:spacing w:before="0"/>
        <w:rPr>
          <w:rFonts w:cs="Arial"/>
          <w:sz w:val="22"/>
          <w:szCs w:val="22"/>
        </w:rPr>
      </w:pPr>
      <w:r>
        <w:rPr>
          <w:rFonts w:cs="Arial"/>
          <w:sz w:val="22"/>
          <w:szCs w:val="22"/>
        </w:rPr>
        <w:t>As a matter of principle, securing that information is part of th</w:t>
      </w:r>
      <w:r w:rsidR="00513A18">
        <w:rPr>
          <w:rFonts w:cs="Arial"/>
          <w:sz w:val="22"/>
          <w:szCs w:val="22"/>
        </w:rPr>
        <w:t>e job of an enforcement agency. P</w:t>
      </w:r>
      <w:r>
        <w:rPr>
          <w:rFonts w:cs="Arial"/>
          <w:sz w:val="22"/>
          <w:szCs w:val="22"/>
        </w:rPr>
        <w:t>ersons under investigation should not have to provide a complimentary concierge service.</w:t>
      </w:r>
    </w:p>
    <w:p w:rsidR="006B4EA3" w:rsidRDefault="006B4EA3">
      <w:pPr>
        <w:pStyle w:val="BodyText1"/>
        <w:spacing w:before="0"/>
        <w:rPr>
          <w:rFonts w:cs="Arial"/>
          <w:sz w:val="22"/>
          <w:szCs w:val="22"/>
        </w:rPr>
      </w:pPr>
    </w:p>
    <w:p w:rsidR="006B4EA3" w:rsidRDefault="0048114E">
      <w:pPr>
        <w:pStyle w:val="BodyText1"/>
        <w:spacing w:before="0"/>
        <w:rPr>
          <w:rFonts w:cs="Arial"/>
          <w:sz w:val="22"/>
          <w:szCs w:val="22"/>
        </w:rPr>
      </w:pPr>
      <w:r>
        <w:rPr>
          <w:rFonts w:cs="Arial"/>
          <w:sz w:val="22"/>
          <w:szCs w:val="22"/>
        </w:rPr>
        <w:t xml:space="preserve">Additionally, in practice, an obligation to identify third parties would be extremely challenging for a responsible person to understand and apply. They are not lawyers or investigators themselves; they cannot be expected to know what evidence could be relevant to investigating an offence. The proposal would be likely to lead to frequent unintentional breaches by responsible persons (which cannot be the intention of policy makers), or significant additional legal costs. </w:t>
      </w:r>
    </w:p>
    <w:p w:rsidR="006B4EA3" w:rsidRDefault="006B4EA3">
      <w:pPr>
        <w:pStyle w:val="BodyText1"/>
        <w:spacing w:before="0"/>
        <w:rPr>
          <w:rFonts w:cs="Arial"/>
          <w:sz w:val="22"/>
          <w:szCs w:val="22"/>
        </w:rPr>
      </w:pPr>
    </w:p>
    <w:p w:rsidR="006B4EA3" w:rsidRDefault="006B4EA3">
      <w:pPr>
        <w:pStyle w:val="BodyText1"/>
        <w:spacing w:before="0"/>
        <w:rPr>
          <w:rFonts w:cs="Arial"/>
          <w:sz w:val="22"/>
          <w:szCs w:val="22"/>
        </w:rPr>
      </w:pPr>
    </w:p>
    <w:p w:rsidR="006B4EA3" w:rsidRDefault="0048114E">
      <w:pPr>
        <w:pStyle w:val="BodyText1"/>
        <w:keepNext/>
        <w:spacing w:before="0"/>
        <w:rPr>
          <w:rFonts w:cs="Arial"/>
          <w:sz w:val="22"/>
          <w:szCs w:val="22"/>
        </w:rPr>
      </w:pPr>
      <w:r>
        <w:rPr>
          <w:rFonts w:cs="Arial"/>
          <w:b/>
          <w:i/>
          <w:sz w:val="22"/>
          <w:szCs w:val="22"/>
        </w:rPr>
        <w:t>Recommendation 4</w:t>
      </w:r>
    </w:p>
    <w:p w:rsidR="006B4EA3" w:rsidRDefault="006B4EA3">
      <w:pPr>
        <w:pStyle w:val="BodyText1"/>
        <w:keepNext/>
        <w:spacing w:before="0"/>
        <w:rPr>
          <w:rFonts w:cs="Arial"/>
          <w:sz w:val="22"/>
          <w:szCs w:val="22"/>
        </w:rPr>
      </w:pPr>
    </w:p>
    <w:p w:rsidR="006B4EA3" w:rsidRDefault="0048114E">
      <w:pPr>
        <w:pStyle w:val="BodyText1"/>
        <w:keepNext/>
        <w:spacing w:before="0"/>
        <w:rPr>
          <w:rFonts w:cs="Arial"/>
          <w:sz w:val="22"/>
          <w:szCs w:val="22"/>
        </w:rPr>
      </w:pPr>
      <w:r>
        <w:rPr>
          <w:rFonts w:cs="Arial"/>
          <w:sz w:val="22"/>
          <w:szCs w:val="22"/>
        </w:rPr>
        <w:t>NTC proposal 4 should be adopted. The HVNL should not be amended to require responsible persons to identify third parties who hold documents or information relevant to the investigation of an offence.</w:t>
      </w:r>
    </w:p>
    <w:p w:rsidR="006B4EA3" w:rsidRDefault="006B4EA3">
      <w:pPr>
        <w:pStyle w:val="BodyText1"/>
        <w:spacing w:before="0"/>
        <w:rPr>
          <w:rFonts w:cs="Arial"/>
          <w:sz w:val="22"/>
          <w:szCs w:val="22"/>
        </w:rPr>
      </w:pPr>
    </w:p>
    <w:p w:rsidR="006B4EA3" w:rsidRDefault="006B4EA3">
      <w:pPr>
        <w:pStyle w:val="BodyText1"/>
        <w:spacing w:before="0"/>
        <w:rPr>
          <w:rFonts w:cs="Arial"/>
          <w:sz w:val="22"/>
          <w:szCs w:val="22"/>
        </w:rPr>
      </w:pPr>
    </w:p>
    <w:p w:rsidR="006B4EA3" w:rsidRPr="00233B71" w:rsidRDefault="0048114E">
      <w:pPr>
        <w:pStyle w:val="Subtitle"/>
        <w:spacing w:before="0"/>
        <w:rPr>
          <w:i w:val="0"/>
        </w:rPr>
      </w:pPr>
      <w:r w:rsidRPr="00233B71">
        <w:rPr>
          <w:rFonts w:cs="Arial"/>
          <w:i w:val="0"/>
          <w:sz w:val="22"/>
          <w:szCs w:val="22"/>
        </w:rPr>
        <w:t>Simplifying the HVNL powers of entry, search and seizure (chapter 6.3)</w:t>
      </w:r>
    </w:p>
    <w:p w:rsidR="006B4EA3" w:rsidRPr="00233B71" w:rsidRDefault="006B4EA3">
      <w:pPr>
        <w:pStyle w:val="BodyText1"/>
        <w:keepNext/>
        <w:spacing w:before="0"/>
      </w:pPr>
    </w:p>
    <w:p w:rsidR="006B4EA3" w:rsidRDefault="0048114E">
      <w:pPr>
        <w:pStyle w:val="BodyText1"/>
        <w:keepNext/>
        <w:spacing w:before="0"/>
        <w:rPr>
          <w:rFonts w:cs="Arial"/>
          <w:sz w:val="22"/>
          <w:szCs w:val="22"/>
        </w:rPr>
      </w:pPr>
      <w:r>
        <w:rPr>
          <w:rFonts w:cs="Arial"/>
          <w:sz w:val="22"/>
          <w:szCs w:val="22"/>
        </w:rPr>
        <w:t>Chapter 6.3 of the discussion paper reviews the HVNL powers of entry, search and seizure, and proposes that changes should be made on a provision by provision basis as stakeholders provide evidence of issues. It proposes that operational guidance and training should be provided to address the complexity of the powers.</w:t>
      </w:r>
      <w:r w:rsidR="008B3B44">
        <w:rPr>
          <w:rStyle w:val="FootnoteReference"/>
          <w:rFonts w:cs="Arial"/>
          <w:sz w:val="22"/>
          <w:szCs w:val="22"/>
        </w:rPr>
        <w:footnoteReference w:id="16"/>
      </w:r>
    </w:p>
    <w:p w:rsidR="006B4EA3" w:rsidRDefault="006B4EA3">
      <w:pPr>
        <w:pStyle w:val="BodyText1"/>
        <w:spacing w:before="0"/>
        <w:rPr>
          <w:rFonts w:cs="Arial"/>
          <w:sz w:val="22"/>
          <w:szCs w:val="22"/>
        </w:rPr>
      </w:pPr>
    </w:p>
    <w:p w:rsidR="006B4EA3" w:rsidRDefault="0048114E">
      <w:pPr>
        <w:pStyle w:val="BodyText1"/>
        <w:spacing w:before="0"/>
        <w:rPr>
          <w:rFonts w:cs="Arial"/>
          <w:sz w:val="22"/>
          <w:szCs w:val="22"/>
        </w:rPr>
      </w:pPr>
      <w:r>
        <w:rPr>
          <w:rFonts w:cs="Arial"/>
          <w:sz w:val="22"/>
          <w:szCs w:val="22"/>
        </w:rPr>
        <w:t xml:space="preserve">The ATA does not agree with the </w:t>
      </w:r>
      <w:r w:rsidR="008B3B44">
        <w:rPr>
          <w:rFonts w:cs="Arial"/>
          <w:sz w:val="22"/>
          <w:szCs w:val="22"/>
        </w:rPr>
        <w:t>discussion paper</w:t>
      </w:r>
      <w:r>
        <w:rPr>
          <w:rFonts w:cs="Arial"/>
          <w:sz w:val="22"/>
          <w:szCs w:val="22"/>
        </w:rPr>
        <w:t xml:space="preserve"> proposal, and instead recommends that the powers should be amended to bring them into line with the model WHS Act.</w:t>
      </w:r>
    </w:p>
    <w:p w:rsidR="006B4EA3" w:rsidRDefault="006B4EA3">
      <w:pPr>
        <w:pStyle w:val="BodyText1"/>
        <w:spacing w:before="0"/>
        <w:rPr>
          <w:rFonts w:cs="Arial"/>
          <w:sz w:val="22"/>
          <w:szCs w:val="22"/>
        </w:rPr>
      </w:pPr>
    </w:p>
    <w:p w:rsidR="006B4EA3" w:rsidRDefault="0048114E">
      <w:pPr>
        <w:pStyle w:val="BodyText1"/>
        <w:spacing w:before="0"/>
        <w:rPr>
          <w:rFonts w:cs="Arial"/>
          <w:sz w:val="22"/>
          <w:szCs w:val="22"/>
        </w:rPr>
      </w:pPr>
      <w:r>
        <w:rPr>
          <w:rFonts w:cs="Arial"/>
          <w:sz w:val="22"/>
          <w:szCs w:val="22"/>
        </w:rPr>
        <w:t xml:space="preserve">In the ATA’s view, the model WHS Act powers would cover all of the situations that the current HVNL powers address. The simplicity and familiarity of the powers would </w:t>
      </w:r>
      <w:r w:rsidR="008B3B44">
        <w:rPr>
          <w:rFonts w:cs="Arial"/>
          <w:sz w:val="22"/>
          <w:szCs w:val="22"/>
        </w:rPr>
        <w:t>advantage</w:t>
      </w:r>
      <w:r>
        <w:rPr>
          <w:rFonts w:cs="Arial"/>
          <w:sz w:val="22"/>
          <w:szCs w:val="22"/>
        </w:rPr>
        <w:t xml:space="preserve"> to both authorised officers and responsible persons.</w:t>
      </w:r>
    </w:p>
    <w:p w:rsidR="006B4EA3" w:rsidRDefault="006B4EA3">
      <w:pPr>
        <w:pStyle w:val="BodyText1"/>
        <w:spacing w:before="0"/>
        <w:rPr>
          <w:rFonts w:cs="Arial"/>
          <w:sz w:val="22"/>
          <w:szCs w:val="22"/>
        </w:rPr>
      </w:pPr>
    </w:p>
    <w:p w:rsidR="006B4EA3" w:rsidRPr="00BD4C1C" w:rsidRDefault="006B4EA3">
      <w:pPr>
        <w:pStyle w:val="BodyText1"/>
        <w:spacing w:before="0"/>
        <w:rPr>
          <w:rFonts w:cs="Arial"/>
          <w:sz w:val="22"/>
          <w:szCs w:val="22"/>
        </w:rPr>
      </w:pPr>
    </w:p>
    <w:p w:rsidR="006B4EA3" w:rsidRDefault="0048114E">
      <w:pPr>
        <w:pStyle w:val="BodyText1"/>
        <w:spacing w:before="0"/>
        <w:rPr>
          <w:rFonts w:cs="Arial"/>
          <w:b/>
          <w:sz w:val="22"/>
          <w:szCs w:val="22"/>
        </w:rPr>
      </w:pPr>
      <w:r>
        <w:rPr>
          <w:rFonts w:cs="Arial"/>
          <w:b/>
          <w:i/>
          <w:sz w:val="22"/>
          <w:szCs w:val="22"/>
        </w:rPr>
        <w:t>Recommendation 5</w:t>
      </w:r>
    </w:p>
    <w:p w:rsidR="006B4EA3" w:rsidRDefault="006B4EA3">
      <w:pPr>
        <w:pStyle w:val="BodyText1"/>
        <w:spacing w:before="0"/>
        <w:rPr>
          <w:rFonts w:cs="Arial"/>
          <w:b/>
          <w:sz w:val="22"/>
          <w:szCs w:val="22"/>
        </w:rPr>
      </w:pPr>
    </w:p>
    <w:p w:rsidR="006B4EA3" w:rsidRDefault="0048114E">
      <w:pPr>
        <w:pStyle w:val="BodyText1"/>
        <w:spacing w:before="0"/>
        <w:rPr>
          <w:rFonts w:cs="Arial"/>
          <w:sz w:val="22"/>
          <w:szCs w:val="22"/>
        </w:rPr>
      </w:pPr>
      <w:r>
        <w:rPr>
          <w:rFonts w:cs="Arial"/>
          <w:sz w:val="22"/>
          <w:szCs w:val="22"/>
        </w:rPr>
        <w:t>NTC proposal 5 should not be adopted. The HVNL entry, inspection, search and seizure powers should be simplified using the model WHS Act as a model.</w:t>
      </w:r>
    </w:p>
    <w:p w:rsidR="006B4EA3" w:rsidRDefault="006B4EA3">
      <w:pPr>
        <w:pStyle w:val="BodyText1"/>
        <w:spacing w:before="0"/>
        <w:rPr>
          <w:rFonts w:cs="Arial"/>
          <w:sz w:val="22"/>
          <w:szCs w:val="22"/>
        </w:rPr>
      </w:pPr>
    </w:p>
    <w:p w:rsidR="006B4EA3" w:rsidRDefault="006B4EA3">
      <w:pPr>
        <w:pStyle w:val="BodyText1"/>
        <w:spacing w:before="0"/>
        <w:rPr>
          <w:rFonts w:cs="Arial"/>
          <w:sz w:val="22"/>
          <w:szCs w:val="22"/>
        </w:rPr>
      </w:pPr>
    </w:p>
    <w:p w:rsidR="006B4EA3" w:rsidRPr="00233B71" w:rsidRDefault="0048114E" w:rsidP="00623377">
      <w:pPr>
        <w:pStyle w:val="Subtitle"/>
        <w:spacing w:before="0"/>
        <w:rPr>
          <w:rFonts w:cs="Arial"/>
          <w:i w:val="0"/>
          <w:sz w:val="22"/>
          <w:szCs w:val="22"/>
        </w:rPr>
      </w:pPr>
      <w:r w:rsidRPr="00233B71">
        <w:rPr>
          <w:rFonts w:cs="Arial"/>
          <w:i w:val="0"/>
          <w:sz w:val="22"/>
          <w:szCs w:val="22"/>
        </w:rPr>
        <w:t>Amending the HVNL to include additional sanctions (chapter 7.3)</w:t>
      </w:r>
    </w:p>
    <w:p w:rsidR="006B4EA3" w:rsidRDefault="006B4EA3" w:rsidP="00623377">
      <w:pPr>
        <w:pStyle w:val="BodyText1"/>
        <w:keepNext/>
        <w:spacing w:before="0"/>
        <w:rPr>
          <w:rFonts w:cs="Arial"/>
          <w:sz w:val="22"/>
          <w:szCs w:val="22"/>
        </w:rPr>
      </w:pPr>
    </w:p>
    <w:p w:rsidR="006B4EA3" w:rsidRDefault="0048114E" w:rsidP="00623377">
      <w:pPr>
        <w:pStyle w:val="BodyText1"/>
        <w:keepNext/>
        <w:spacing w:before="0"/>
        <w:rPr>
          <w:rFonts w:cs="Arial"/>
          <w:sz w:val="22"/>
          <w:szCs w:val="22"/>
        </w:rPr>
      </w:pPr>
      <w:r>
        <w:rPr>
          <w:rFonts w:cs="Arial"/>
          <w:sz w:val="22"/>
          <w:szCs w:val="22"/>
        </w:rPr>
        <w:t>Chapter 7.3 of the discussion paper considers the possible addition of a range of sanctions to the HVNL, namely:</w:t>
      </w:r>
    </w:p>
    <w:p w:rsidR="006B4EA3" w:rsidRDefault="006B4EA3">
      <w:pPr>
        <w:pStyle w:val="BodyText1"/>
        <w:spacing w:before="0"/>
        <w:rPr>
          <w:rFonts w:cs="Arial"/>
          <w:sz w:val="22"/>
          <w:szCs w:val="22"/>
        </w:rPr>
      </w:pPr>
    </w:p>
    <w:p w:rsidR="006B4EA3" w:rsidRDefault="0048114E">
      <w:pPr>
        <w:pStyle w:val="BodyText1"/>
        <w:numPr>
          <w:ilvl w:val="0"/>
          <w:numId w:val="3"/>
        </w:numPr>
        <w:spacing w:before="0"/>
        <w:rPr>
          <w:rFonts w:cs="Arial"/>
          <w:sz w:val="22"/>
          <w:szCs w:val="22"/>
        </w:rPr>
      </w:pPr>
      <w:r>
        <w:rPr>
          <w:rFonts w:cs="Arial"/>
          <w:sz w:val="22"/>
          <w:szCs w:val="22"/>
        </w:rPr>
        <w:lastRenderedPageBreak/>
        <w:t>prohibition notices</w:t>
      </w:r>
    </w:p>
    <w:p w:rsidR="006B4EA3" w:rsidRDefault="0048114E">
      <w:pPr>
        <w:pStyle w:val="BodyText1"/>
        <w:numPr>
          <w:ilvl w:val="0"/>
          <w:numId w:val="3"/>
        </w:numPr>
        <w:spacing w:before="0"/>
        <w:rPr>
          <w:rFonts w:cs="Arial"/>
          <w:sz w:val="22"/>
          <w:szCs w:val="22"/>
        </w:rPr>
      </w:pPr>
      <w:r>
        <w:rPr>
          <w:rFonts w:cs="Arial"/>
          <w:sz w:val="22"/>
          <w:szCs w:val="22"/>
        </w:rPr>
        <w:t>formal cautions</w:t>
      </w:r>
    </w:p>
    <w:p w:rsidR="006B4EA3" w:rsidRDefault="0048114E">
      <w:pPr>
        <w:pStyle w:val="BodyText1"/>
        <w:numPr>
          <w:ilvl w:val="0"/>
          <w:numId w:val="3"/>
        </w:numPr>
        <w:spacing w:before="0"/>
        <w:rPr>
          <w:rFonts w:cs="Arial"/>
          <w:sz w:val="22"/>
          <w:szCs w:val="22"/>
        </w:rPr>
      </w:pPr>
      <w:r>
        <w:rPr>
          <w:rFonts w:cs="Arial"/>
          <w:sz w:val="22"/>
          <w:szCs w:val="22"/>
        </w:rPr>
        <w:t>enabling courts to issue injunctions in line with sections 215 and 240 of the model WHS Act and</w:t>
      </w:r>
    </w:p>
    <w:p w:rsidR="006B4EA3" w:rsidRDefault="0048114E">
      <w:pPr>
        <w:pStyle w:val="BodyText1"/>
        <w:numPr>
          <w:ilvl w:val="0"/>
          <w:numId w:val="3"/>
        </w:numPr>
        <w:spacing w:before="0"/>
        <w:rPr>
          <w:rFonts w:cs="Arial"/>
          <w:sz w:val="22"/>
          <w:szCs w:val="22"/>
        </w:rPr>
      </w:pPr>
      <w:r>
        <w:rPr>
          <w:rFonts w:cs="Arial"/>
          <w:sz w:val="22"/>
          <w:szCs w:val="22"/>
        </w:rPr>
        <w:t>adverse publicity orders.</w:t>
      </w:r>
    </w:p>
    <w:p w:rsidR="006B4EA3" w:rsidRDefault="006B4EA3">
      <w:pPr>
        <w:pStyle w:val="BodyText1"/>
        <w:spacing w:before="0"/>
        <w:rPr>
          <w:rFonts w:cs="Arial"/>
          <w:sz w:val="22"/>
          <w:szCs w:val="22"/>
        </w:rPr>
      </w:pPr>
    </w:p>
    <w:p w:rsidR="008B3B44" w:rsidRDefault="0048114E">
      <w:pPr>
        <w:pStyle w:val="BodyText1"/>
        <w:spacing w:before="0"/>
        <w:rPr>
          <w:rFonts w:cs="Arial"/>
          <w:sz w:val="22"/>
          <w:szCs w:val="22"/>
        </w:rPr>
      </w:pPr>
      <w:r>
        <w:rPr>
          <w:rFonts w:cs="Arial"/>
          <w:sz w:val="22"/>
          <w:szCs w:val="22"/>
        </w:rPr>
        <w:t xml:space="preserve">The ATA agrees with the NTC that the HVNL should not be amended to include prohibition notices, formal cautions or adverse publicity orders. </w:t>
      </w:r>
    </w:p>
    <w:p w:rsidR="008B3B44" w:rsidRDefault="008B3B44">
      <w:pPr>
        <w:pStyle w:val="BodyText1"/>
        <w:spacing w:before="0"/>
        <w:rPr>
          <w:rFonts w:cs="Arial"/>
          <w:sz w:val="22"/>
          <w:szCs w:val="22"/>
        </w:rPr>
      </w:pPr>
    </w:p>
    <w:p w:rsidR="006B4EA3" w:rsidRDefault="0048114E">
      <w:pPr>
        <w:pStyle w:val="BodyText1"/>
        <w:spacing w:before="0"/>
        <w:rPr>
          <w:rFonts w:cs="Arial"/>
          <w:sz w:val="22"/>
          <w:szCs w:val="22"/>
        </w:rPr>
      </w:pPr>
      <w:r>
        <w:rPr>
          <w:rFonts w:cs="Arial"/>
          <w:sz w:val="22"/>
          <w:szCs w:val="22"/>
        </w:rPr>
        <w:t>In particular, we are concerned about the potential for confusion between fo</w:t>
      </w:r>
      <w:r w:rsidR="00623377">
        <w:rPr>
          <w:rFonts w:cs="Arial"/>
          <w:sz w:val="22"/>
          <w:szCs w:val="22"/>
        </w:rPr>
        <w:t>rmal cautions (if added to the l</w:t>
      </w:r>
      <w:r>
        <w:rPr>
          <w:rFonts w:cs="Arial"/>
          <w:sz w:val="22"/>
          <w:szCs w:val="22"/>
        </w:rPr>
        <w:t>aw) and formal warnings issued under existing s 590. We further consider that the addition of adverse publicity orders to the range of sanctions available is unnecessary given NTC proposal 9 and the well-established ability of road agencies to publicise their enforcement operations.</w:t>
      </w:r>
    </w:p>
    <w:p w:rsidR="006B4EA3" w:rsidRDefault="006B4EA3">
      <w:pPr>
        <w:pStyle w:val="BodyText1"/>
        <w:spacing w:before="0"/>
        <w:rPr>
          <w:rFonts w:cs="Arial"/>
          <w:sz w:val="22"/>
          <w:szCs w:val="22"/>
        </w:rPr>
      </w:pPr>
    </w:p>
    <w:p w:rsidR="006B4EA3" w:rsidRDefault="0048114E">
      <w:pPr>
        <w:pStyle w:val="BodyText1"/>
        <w:spacing w:before="0"/>
        <w:rPr>
          <w:rFonts w:cs="Arial"/>
          <w:sz w:val="22"/>
          <w:szCs w:val="22"/>
        </w:rPr>
      </w:pPr>
      <w:r>
        <w:rPr>
          <w:rFonts w:cs="Arial"/>
          <w:sz w:val="22"/>
          <w:szCs w:val="22"/>
        </w:rPr>
        <w:t xml:space="preserve">The ATA supports the NTC proposal to amend the HVNL to enable the courts to issue injunctions: </w:t>
      </w:r>
    </w:p>
    <w:p w:rsidR="006B4EA3" w:rsidRDefault="006B4EA3">
      <w:pPr>
        <w:pStyle w:val="BodyText1"/>
        <w:spacing w:before="0"/>
        <w:rPr>
          <w:rFonts w:cs="Arial"/>
          <w:sz w:val="22"/>
          <w:szCs w:val="22"/>
        </w:rPr>
      </w:pPr>
    </w:p>
    <w:p w:rsidR="006B4EA3" w:rsidRDefault="0048114E" w:rsidP="008B3B44">
      <w:pPr>
        <w:pStyle w:val="NRFABullet1"/>
        <w:numPr>
          <w:ilvl w:val="0"/>
          <w:numId w:val="8"/>
        </w:numPr>
        <w:spacing w:before="0"/>
        <w:ind w:left="714" w:hanging="357"/>
        <w:rPr>
          <w:rFonts w:cs="Arial"/>
          <w:sz w:val="22"/>
          <w:szCs w:val="22"/>
        </w:rPr>
      </w:pPr>
      <w:r>
        <w:rPr>
          <w:rFonts w:cs="Arial"/>
          <w:sz w:val="22"/>
          <w:szCs w:val="22"/>
        </w:rPr>
        <w:t xml:space="preserve">compelling a person to comply with a notice issued by </w:t>
      </w:r>
      <w:r w:rsidR="00623377">
        <w:rPr>
          <w:rFonts w:cs="Arial"/>
          <w:sz w:val="22"/>
          <w:szCs w:val="22"/>
        </w:rPr>
        <w:t>an authorised officer</w:t>
      </w:r>
      <w:r>
        <w:rPr>
          <w:rFonts w:cs="Arial"/>
          <w:sz w:val="22"/>
          <w:szCs w:val="22"/>
        </w:rPr>
        <w:t xml:space="preserve"> (similar to s 215 of the model WHS Act ) and/or </w:t>
      </w:r>
    </w:p>
    <w:p w:rsidR="006B4EA3" w:rsidRDefault="0048114E" w:rsidP="008B3B44">
      <w:pPr>
        <w:pStyle w:val="NRFABullet1"/>
        <w:numPr>
          <w:ilvl w:val="0"/>
          <w:numId w:val="8"/>
        </w:numPr>
        <w:spacing w:before="0"/>
        <w:ind w:left="714" w:hanging="357"/>
        <w:rPr>
          <w:rFonts w:cs="Arial"/>
          <w:sz w:val="22"/>
          <w:szCs w:val="22"/>
        </w:rPr>
      </w:pPr>
      <w:r>
        <w:rPr>
          <w:rFonts w:cs="Arial"/>
          <w:sz w:val="22"/>
          <w:szCs w:val="22"/>
        </w:rPr>
        <w:t>requiring a person to cease contravention of the HVNL (similar to s 240 of the model WHS Act).</w:t>
      </w:r>
    </w:p>
    <w:p w:rsidR="006B4EA3" w:rsidRDefault="006B4EA3">
      <w:pPr>
        <w:pStyle w:val="BodyText1"/>
        <w:spacing w:before="0"/>
        <w:rPr>
          <w:rFonts w:cs="Arial"/>
          <w:sz w:val="22"/>
          <w:szCs w:val="22"/>
        </w:rPr>
      </w:pPr>
    </w:p>
    <w:p w:rsidR="006B4EA3" w:rsidRDefault="0048114E">
      <w:pPr>
        <w:pStyle w:val="BodyText1"/>
        <w:spacing w:before="0"/>
        <w:rPr>
          <w:rFonts w:cs="Arial"/>
          <w:sz w:val="22"/>
          <w:szCs w:val="22"/>
        </w:rPr>
      </w:pPr>
      <w:r>
        <w:rPr>
          <w:rFonts w:cs="Arial"/>
          <w:sz w:val="22"/>
          <w:szCs w:val="22"/>
        </w:rPr>
        <w:t>This additional power would most likely be used in extreme situations involving a brazen and serious breach of a notice or HVNL obligation. It would not affect operators in their day to day operations.</w:t>
      </w:r>
    </w:p>
    <w:p w:rsidR="006B4EA3" w:rsidRDefault="006B4EA3">
      <w:pPr>
        <w:pStyle w:val="BodyText1"/>
        <w:spacing w:before="0"/>
        <w:rPr>
          <w:rFonts w:cs="Arial"/>
          <w:sz w:val="22"/>
          <w:szCs w:val="22"/>
        </w:rPr>
      </w:pPr>
    </w:p>
    <w:p w:rsidR="006B4EA3" w:rsidRDefault="006B4EA3">
      <w:pPr>
        <w:pStyle w:val="BodyText1"/>
        <w:spacing w:before="0"/>
        <w:rPr>
          <w:rFonts w:cs="Arial"/>
          <w:sz w:val="22"/>
          <w:szCs w:val="22"/>
        </w:rPr>
      </w:pPr>
    </w:p>
    <w:p w:rsidR="006B4EA3" w:rsidRDefault="0048114E">
      <w:pPr>
        <w:pStyle w:val="BodyText1"/>
        <w:keepNext/>
        <w:spacing w:before="0"/>
        <w:rPr>
          <w:rFonts w:cs="Arial"/>
          <w:b/>
          <w:sz w:val="22"/>
          <w:szCs w:val="22"/>
        </w:rPr>
      </w:pPr>
      <w:r>
        <w:rPr>
          <w:rFonts w:cs="Arial"/>
          <w:b/>
          <w:i/>
          <w:sz w:val="22"/>
          <w:szCs w:val="22"/>
        </w:rPr>
        <w:t>Recommendation 6</w:t>
      </w:r>
    </w:p>
    <w:p w:rsidR="006B4EA3" w:rsidRDefault="006B4EA3">
      <w:pPr>
        <w:pStyle w:val="BodyText1"/>
        <w:keepNext/>
        <w:spacing w:before="0"/>
        <w:rPr>
          <w:rFonts w:cs="Arial"/>
          <w:b/>
          <w:sz w:val="22"/>
          <w:szCs w:val="22"/>
        </w:rPr>
      </w:pPr>
    </w:p>
    <w:p w:rsidR="006B4EA3" w:rsidRDefault="0048114E">
      <w:pPr>
        <w:pStyle w:val="BodyText1"/>
        <w:keepNext/>
        <w:spacing w:before="0"/>
        <w:rPr>
          <w:rFonts w:cs="Arial"/>
          <w:sz w:val="22"/>
          <w:szCs w:val="22"/>
        </w:rPr>
      </w:pPr>
      <w:r>
        <w:rPr>
          <w:rFonts w:cs="Arial"/>
          <w:sz w:val="22"/>
          <w:szCs w:val="22"/>
        </w:rPr>
        <w:t>NTC proposal 8 should be adopted. The HVNL should be amended to enable the courts to issue injunctions compelling a person to comply with a notice and/or requiring a person to cease contravention of the HVNL.</w:t>
      </w:r>
    </w:p>
    <w:p w:rsidR="006B4EA3" w:rsidRDefault="006B4EA3">
      <w:pPr>
        <w:pStyle w:val="BodyText1"/>
        <w:spacing w:before="0"/>
        <w:rPr>
          <w:rFonts w:cs="Arial"/>
          <w:sz w:val="22"/>
          <w:szCs w:val="22"/>
        </w:rPr>
      </w:pPr>
    </w:p>
    <w:p w:rsidR="006B4EA3" w:rsidRDefault="006B4EA3">
      <w:pPr>
        <w:pStyle w:val="BodyText1"/>
        <w:spacing w:before="0"/>
        <w:rPr>
          <w:rFonts w:cs="Arial"/>
          <w:sz w:val="22"/>
          <w:szCs w:val="22"/>
        </w:rPr>
      </w:pPr>
    </w:p>
    <w:p w:rsidR="006B4EA3" w:rsidRPr="00233B71" w:rsidRDefault="0048114E">
      <w:pPr>
        <w:pStyle w:val="Subtitle"/>
        <w:spacing w:before="0"/>
        <w:rPr>
          <w:rFonts w:cs="Arial"/>
          <w:i w:val="0"/>
          <w:sz w:val="22"/>
          <w:szCs w:val="22"/>
        </w:rPr>
      </w:pPr>
      <w:r w:rsidRPr="00233B71">
        <w:rPr>
          <w:rFonts w:cs="Arial"/>
          <w:i w:val="0"/>
          <w:sz w:val="22"/>
          <w:szCs w:val="22"/>
        </w:rPr>
        <w:t>Publication of enforcement action outcomes (chapter 7.4)</w:t>
      </w:r>
    </w:p>
    <w:p w:rsidR="006B4EA3" w:rsidRDefault="006B4EA3">
      <w:pPr>
        <w:pStyle w:val="BodyText1"/>
        <w:keepNext/>
        <w:spacing w:before="0"/>
        <w:rPr>
          <w:rFonts w:cs="Arial"/>
          <w:sz w:val="22"/>
          <w:szCs w:val="22"/>
        </w:rPr>
      </w:pPr>
    </w:p>
    <w:p w:rsidR="006B4EA3" w:rsidRDefault="0048114E">
      <w:pPr>
        <w:pStyle w:val="BodyText1"/>
        <w:keepNext/>
        <w:spacing w:before="0"/>
        <w:rPr>
          <w:rFonts w:cs="Arial"/>
          <w:sz w:val="22"/>
          <w:szCs w:val="22"/>
        </w:rPr>
      </w:pPr>
      <w:r>
        <w:rPr>
          <w:rFonts w:cs="Arial"/>
          <w:sz w:val="22"/>
          <w:szCs w:val="22"/>
        </w:rPr>
        <w:t>Chapter 7.4 of the discussion paper considers if the NHVR should be required to publish court outcomes, including the details of the penalties imposed and orders and undertakings made.</w:t>
      </w:r>
      <w:r w:rsidR="00C24F57">
        <w:rPr>
          <w:rStyle w:val="FootnoteReference"/>
          <w:rFonts w:cs="Arial"/>
          <w:sz w:val="22"/>
          <w:szCs w:val="22"/>
        </w:rPr>
        <w:footnoteReference w:id="17"/>
      </w:r>
    </w:p>
    <w:p w:rsidR="006B4EA3" w:rsidRDefault="006B4EA3">
      <w:pPr>
        <w:pStyle w:val="BodyText1"/>
        <w:spacing w:before="0"/>
        <w:rPr>
          <w:rFonts w:cs="Arial"/>
          <w:sz w:val="22"/>
          <w:szCs w:val="22"/>
        </w:rPr>
      </w:pPr>
    </w:p>
    <w:p w:rsidR="006B4EA3" w:rsidRDefault="00522C3D">
      <w:pPr>
        <w:pStyle w:val="BodyText1"/>
        <w:spacing w:before="0"/>
        <w:rPr>
          <w:rFonts w:cs="Arial"/>
          <w:sz w:val="22"/>
          <w:szCs w:val="22"/>
        </w:rPr>
      </w:pPr>
      <w:r>
        <w:rPr>
          <w:rFonts w:cs="Arial"/>
          <w:sz w:val="22"/>
          <w:szCs w:val="22"/>
        </w:rPr>
        <w:t>The paper supports this option, as does the ATA</w:t>
      </w:r>
      <w:r w:rsidR="00086D94">
        <w:rPr>
          <w:rFonts w:cs="Arial"/>
          <w:sz w:val="22"/>
          <w:szCs w:val="22"/>
        </w:rPr>
        <w:t>.</w:t>
      </w:r>
    </w:p>
    <w:p w:rsidR="006B4EA3" w:rsidRDefault="006B4EA3">
      <w:pPr>
        <w:pStyle w:val="BodyText1"/>
        <w:spacing w:before="0"/>
        <w:rPr>
          <w:rFonts w:cs="Arial"/>
          <w:sz w:val="22"/>
          <w:szCs w:val="22"/>
        </w:rPr>
      </w:pPr>
    </w:p>
    <w:p w:rsidR="006B4EA3" w:rsidRDefault="00522C3D">
      <w:pPr>
        <w:pStyle w:val="BodyText1"/>
        <w:spacing w:before="0"/>
        <w:rPr>
          <w:rFonts w:cs="Arial"/>
          <w:sz w:val="22"/>
          <w:szCs w:val="22"/>
        </w:rPr>
      </w:pPr>
      <w:r>
        <w:rPr>
          <w:rFonts w:cs="Arial"/>
          <w:sz w:val="22"/>
          <w:szCs w:val="22"/>
        </w:rPr>
        <w:t>It is in the interests of</w:t>
      </w:r>
      <w:r w:rsidR="0048114E">
        <w:rPr>
          <w:rFonts w:cs="Arial"/>
          <w:sz w:val="22"/>
          <w:szCs w:val="22"/>
        </w:rPr>
        <w:t xml:space="preserve"> the industry for there to be accurate information </w:t>
      </w:r>
      <w:r>
        <w:rPr>
          <w:rFonts w:cs="Arial"/>
          <w:sz w:val="22"/>
          <w:szCs w:val="22"/>
        </w:rPr>
        <w:t xml:space="preserve">available </w:t>
      </w:r>
      <w:r w:rsidR="0048114E">
        <w:rPr>
          <w:rFonts w:cs="Arial"/>
          <w:sz w:val="22"/>
          <w:szCs w:val="22"/>
        </w:rPr>
        <w:t xml:space="preserve">about </w:t>
      </w:r>
      <w:r>
        <w:rPr>
          <w:rFonts w:cs="Arial"/>
          <w:sz w:val="22"/>
          <w:szCs w:val="22"/>
        </w:rPr>
        <w:t xml:space="preserve">court outcomes, enforceable undertakings and especially the </w:t>
      </w:r>
      <w:r w:rsidR="0048114E">
        <w:rPr>
          <w:rFonts w:cs="Arial"/>
          <w:sz w:val="22"/>
          <w:szCs w:val="22"/>
        </w:rPr>
        <w:t xml:space="preserve">persons </w:t>
      </w:r>
      <w:r>
        <w:rPr>
          <w:rFonts w:cs="Arial"/>
          <w:sz w:val="22"/>
          <w:szCs w:val="22"/>
        </w:rPr>
        <w:t xml:space="preserve">subject to prohibition orders under </w:t>
      </w:r>
      <w:r w:rsidR="00623377">
        <w:rPr>
          <w:rFonts w:cs="Arial"/>
          <w:sz w:val="22"/>
          <w:szCs w:val="22"/>
        </w:rPr>
        <w:t>Division 6 of Part 10.3 of the l</w:t>
      </w:r>
      <w:r>
        <w:rPr>
          <w:rFonts w:cs="Arial"/>
          <w:sz w:val="22"/>
          <w:szCs w:val="22"/>
        </w:rPr>
        <w:t>aw.</w:t>
      </w:r>
    </w:p>
    <w:p w:rsidR="00522C3D" w:rsidRDefault="00522C3D">
      <w:pPr>
        <w:pStyle w:val="BodyText1"/>
        <w:spacing w:before="0"/>
        <w:rPr>
          <w:rFonts w:cs="Arial"/>
          <w:sz w:val="22"/>
          <w:szCs w:val="22"/>
        </w:rPr>
      </w:pPr>
    </w:p>
    <w:p w:rsidR="006B4EA3" w:rsidRDefault="00522C3D" w:rsidP="00522C3D">
      <w:pPr>
        <w:pStyle w:val="BodyText1"/>
        <w:spacing w:before="0"/>
        <w:rPr>
          <w:rFonts w:cs="Arial"/>
          <w:sz w:val="22"/>
          <w:szCs w:val="22"/>
        </w:rPr>
      </w:pPr>
      <w:r>
        <w:rPr>
          <w:rFonts w:cs="Arial"/>
          <w:sz w:val="22"/>
          <w:szCs w:val="22"/>
        </w:rPr>
        <w:lastRenderedPageBreak/>
        <w:t>The ATA considers that the requirement to publish enforcement outcomes should be included in the HVNL and supported by administrative processes to ensure that:</w:t>
      </w:r>
    </w:p>
    <w:p w:rsidR="006B4EA3" w:rsidRDefault="006B4EA3">
      <w:pPr>
        <w:pStyle w:val="BodyText1"/>
        <w:spacing w:before="0"/>
        <w:rPr>
          <w:rFonts w:cs="Arial"/>
          <w:sz w:val="22"/>
          <w:szCs w:val="22"/>
        </w:rPr>
      </w:pPr>
    </w:p>
    <w:p w:rsidR="006B4EA3" w:rsidRDefault="0048114E">
      <w:pPr>
        <w:pStyle w:val="BodyText1"/>
        <w:numPr>
          <w:ilvl w:val="0"/>
          <w:numId w:val="2"/>
        </w:numPr>
        <w:spacing w:before="0"/>
        <w:rPr>
          <w:rFonts w:cs="Arial"/>
          <w:sz w:val="22"/>
          <w:szCs w:val="22"/>
        </w:rPr>
      </w:pPr>
      <w:r>
        <w:rPr>
          <w:rFonts w:cs="Arial"/>
          <w:sz w:val="22"/>
          <w:szCs w:val="22"/>
        </w:rPr>
        <w:t xml:space="preserve">the </w:t>
      </w:r>
      <w:r w:rsidR="00951499">
        <w:rPr>
          <w:rFonts w:cs="Arial"/>
          <w:sz w:val="22"/>
          <w:szCs w:val="22"/>
        </w:rPr>
        <w:t xml:space="preserve">published </w:t>
      </w:r>
      <w:r w:rsidR="00522C3D">
        <w:rPr>
          <w:rFonts w:cs="Arial"/>
          <w:sz w:val="22"/>
          <w:szCs w:val="22"/>
        </w:rPr>
        <w:t xml:space="preserve">information about court outcomes </w:t>
      </w:r>
      <w:r w:rsidR="00951499">
        <w:rPr>
          <w:rFonts w:cs="Arial"/>
          <w:sz w:val="22"/>
          <w:szCs w:val="22"/>
        </w:rPr>
        <w:t xml:space="preserve">includes </w:t>
      </w:r>
      <w:r w:rsidR="00522C3D">
        <w:rPr>
          <w:rFonts w:cs="Arial"/>
          <w:sz w:val="22"/>
          <w:szCs w:val="22"/>
        </w:rPr>
        <w:t xml:space="preserve">the </w:t>
      </w:r>
      <w:r>
        <w:rPr>
          <w:rFonts w:cs="Arial"/>
          <w:sz w:val="22"/>
          <w:szCs w:val="22"/>
        </w:rPr>
        <w:t>results of appeals</w:t>
      </w:r>
    </w:p>
    <w:p w:rsidR="006B4EA3" w:rsidRDefault="00FE666D" w:rsidP="00FE666D">
      <w:pPr>
        <w:pStyle w:val="BodyText1"/>
        <w:numPr>
          <w:ilvl w:val="0"/>
          <w:numId w:val="2"/>
        </w:numPr>
        <w:spacing w:before="0"/>
        <w:rPr>
          <w:rFonts w:cs="Arial"/>
          <w:sz w:val="22"/>
          <w:szCs w:val="22"/>
        </w:rPr>
      </w:pPr>
      <w:r>
        <w:rPr>
          <w:rFonts w:cs="Arial"/>
          <w:sz w:val="22"/>
          <w:szCs w:val="22"/>
        </w:rPr>
        <w:t>the list of persons subject to prohibition orders is canonical</w:t>
      </w:r>
      <w:r w:rsidR="0048114E">
        <w:rPr>
          <w:rFonts w:cs="Arial"/>
          <w:sz w:val="22"/>
          <w:szCs w:val="22"/>
        </w:rPr>
        <w:t>.</w:t>
      </w:r>
    </w:p>
    <w:p w:rsidR="006B4EA3" w:rsidRDefault="006B4EA3">
      <w:pPr>
        <w:pStyle w:val="BodyText1"/>
        <w:spacing w:before="0"/>
        <w:rPr>
          <w:rFonts w:cs="Arial"/>
          <w:sz w:val="22"/>
          <w:szCs w:val="22"/>
        </w:rPr>
      </w:pPr>
    </w:p>
    <w:p w:rsidR="006B4EA3" w:rsidRDefault="006B4EA3">
      <w:pPr>
        <w:pStyle w:val="BodyText1"/>
        <w:spacing w:before="0"/>
        <w:rPr>
          <w:rFonts w:cs="Arial"/>
          <w:sz w:val="22"/>
          <w:szCs w:val="22"/>
        </w:rPr>
      </w:pPr>
    </w:p>
    <w:p w:rsidR="006B4EA3" w:rsidRDefault="0048114E" w:rsidP="00FE666D">
      <w:pPr>
        <w:pStyle w:val="BodyText1"/>
        <w:keepNext/>
        <w:spacing w:before="0"/>
        <w:rPr>
          <w:rFonts w:cs="Arial"/>
          <w:b/>
          <w:sz w:val="22"/>
          <w:szCs w:val="22"/>
        </w:rPr>
      </w:pPr>
      <w:r>
        <w:rPr>
          <w:rFonts w:cs="Arial"/>
          <w:b/>
          <w:i/>
          <w:sz w:val="22"/>
          <w:szCs w:val="22"/>
        </w:rPr>
        <w:t>Recommendation 7</w:t>
      </w:r>
    </w:p>
    <w:p w:rsidR="006B4EA3" w:rsidRDefault="006B4EA3" w:rsidP="00FE666D">
      <w:pPr>
        <w:pStyle w:val="BodyText1"/>
        <w:keepNext/>
        <w:spacing w:before="0"/>
        <w:rPr>
          <w:rFonts w:cs="Arial"/>
          <w:b/>
          <w:sz w:val="22"/>
          <w:szCs w:val="22"/>
        </w:rPr>
      </w:pPr>
    </w:p>
    <w:p w:rsidR="006B4EA3" w:rsidRDefault="0048114E" w:rsidP="00FE666D">
      <w:pPr>
        <w:pStyle w:val="BodyText1"/>
        <w:keepNext/>
        <w:spacing w:before="0"/>
        <w:rPr>
          <w:rFonts w:cs="Arial"/>
          <w:sz w:val="22"/>
          <w:szCs w:val="22"/>
        </w:rPr>
      </w:pPr>
      <w:r>
        <w:rPr>
          <w:rFonts w:cs="Arial"/>
          <w:sz w:val="22"/>
          <w:szCs w:val="22"/>
        </w:rPr>
        <w:t xml:space="preserve">NTC proposal 9 should be adopted, with the requirement </w:t>
      </w:r>
      <w:r w:rsidRPr="00513A18">
        <w:rPr>
          <w:rFonts w:cs="Arial"/>
          <w:sz w:val="22"/>
          <w:szCs w:val="22"/>
        </w:rPr>
        <w:t>implemented t</w:t>
      </w:r>
      <w:r w:rsidR="00FE666D">
        <w:rPr>
          <w:rFonts w:cs="Arial"/>
          <w:sz w:val="22"/>
          <w:szCs w:val="22"/>
        </w:rPr>
        <w:t>hrough an amendment to the HVNL and administrative guidelines to ensure that:</w:t>
      </w:r>
    </w:p>
    <w:p w:rsidR="00FE666D" w:rsidRDefault="00FE666D" w:rsidP="00FE666D">
      <w:pPr>
        <w:pStyle w:val="BodyText1"/>
        <w:keepNext/>
        <w:spacing w:before="0"/>
        <w:rPr>
          <w:rFonts w:cs="Arial"/>
          <w:sz w:val="22"/>
          <w:szCs w:val="22"/>
        </w:rPr>
      </w:pPr>
    </w:p>
    <w:p w:rsidR="00FE666D" w:rsidRDefault="00FE666D" w:rsidP="00FE666D">
      <w:pPr>
        <w:pStyle w:val="BodyText1"/>
        <w:keepNext/>
        <w:numPr>
          <w:ilvl w:val="0"/>
          <w:numId w:val="2"/>
        </w:numPr>
        <w:spacing w:before="0"/>
        <w:rPr>
          <w:rFonts w:cs="Arial"/>
          <w:sz w:val="22"/>
          <w:szCs w:val="22"/>
        </w:rPr>
      </w:pPr>
      <w:r>
        <w:rPr>
          <w:rFonts w:cs="Arial"/>
          <w:sz w:val="22"/>
          <w:szCs w:val="22"/>
        </w:rPr>
        <w:t>the published information about court outcomes includes the results of appeals</w:t>
      </w:r>
    </w:p>
    <w:p w:rsidR="00FE666D" w:rsidRDefault="00FE666D" w:rsidP="00FE666D">
      <w:pPr>
        <w:pStyle w:val="BodyText1"/>
        <w:keepNext/>
        <w:numPr>
          <w:ilvl w:val="0"/>
          <w:numId w:val="2"/>
        </w:numPr>
        <w:spacing w:before="0"/>
        <w:rPr>
          <w:rFonts w:cs="Arial"/>
          <w:sz w:val="22"/>
          <w:szCs w:val="22"/>
        </w:rPr>
      </w:pPr>
      <w:r>
        <w:rPr>
          <w:rFonts w:cs="Arial"/>
          <w:sz w:val="22"/>
          <w:szCs w:val="22"/>
        </w:rPr>
        <w:t>the list of persons subject to prohibition orders under Division 6 of Part 10.3 is canonical.</w:t>
      </w:r>
    </w:p>
    <w:p w:rsidR="00FE666D" w:rsidRPr="00513A18" w:rsidRDefault="00FE666D" w:rsidP="00FE666D">
      <w:pPr>
        <w:pStyle w:val="BodyText1"/>
        <w:spacing w:before="0"/>
        <w:rPr>
          <w:rFonts w:cs="Arial"/>
          <w:sz w:val="22"/>
          <w:szCs w:val="22"/>
        </w:rPr>
      </w:pPr>
    </w:p>
    <w:p w:rsidR="006B4EA3" w:rsidRPr="00513A18" w:rsidRDefault="006B4EA3">
      <w:pPr>
        <w:pStyle w:val="BodyText1"/>
        <w:spacing w:before="0"/>
        <w:rPr>
          <w:rFonts w:cs="Arial"/>
          <w:sz w:val="22"/>
          <w:szCs w:val="22"/>
        </w:rPr>
      </w:pPr>
    </w:p>
    <w:p w:rsidR="006B4EA3" w:rsidRPr="00513A18" w:rsidRDefault="0048114E">
      <w:pPr>
        <w:rPr>
          <w:rFonts w:ascii="Arial" w:hAnsi="Arial" w:cs="Arial"/>
          <w:sz w:val="22"/>
          <w:szCs w:val="22"/>
        </w:rPr>
      </w:pPr>
      <w:r w:rsidRPr="00513A18">
        <w:rPr>
          <w:rFonts w:ascii="Arial" w:hAnsi="Arial" w:cs="Arial"/>
          <w:b/>
          <w:sz w:val="22"/>
          <w:szCs w:val="22"/>
        </w:rPr>
        <w:t>Clarifying information sharing arrangements between jurisdictions and enforcement agencies (chapter 9.4)</w:t>
      </w:r>
    </w:p>
    <w:p w:rsidR="006B4EA3" w:rsidRPr="00513A18" w:rsidRDefault="006B4EA3">
      <w:pPr>
        <w:rPr>
          <w:rFonts w:ascii="Arial" w:hAnsi="Arial" w:cs="Arial"/>
          <w:sz w:val="22"/>
          <w:szCs w:val="22"/>
        </w:rPr>
      </w:pPr>
    </w:p>
    <w:p w:rsidR="006B4EA3" w:rsidRPr="00513A18" w:rsidRDefault="00CB3313">
      <w:pPr>
        <w:rPr>
          <w:rFonts w:ascii="Arial" w:hAnsi="Arial" w:cs="Arial"/>
          <w:sz w:val="22"/>
          <w:szCs w:val="22"/>
        </w:rPr>
      </w:pPr>
      <w:r>
        <w:rPr>
          <w:rFonts w:ascii="Arial" w:hAnsi="Arial" w:cs="Arial"/>
          <w:sz w:val="22"/>
          <w:szCs w:val="22"/>
        </w:rPr>
        <w:t>From the ATA’s perspective</w:t>
      </w:r>
      <w:r w:rsidR="0048114E" w:rsidRPr="00513A18">
        <w:rPr>
          <w:rFonts w:ascii="Arial" w:hAnsi="Arial" w:cs="Arial"/>
          <w:sz w:val="22"/>
          <w:szCs w:val="22"/>
        </w:rPr>
        <w:t xml:space="preserve">, </w:t>
      </w:r>
      <w:r w:rsidR="00FE666D">
        <w:rPr>
          <w:rFonts w:ascii="Arial" w:hAnsi="Arial" w:cs="Arial"/>
          <w:sz w:val="22"/>
          <w:szCs w:val="22"/>
        </w:rPr>
        <w:t xml:space="preserve">a key </w:t>
      </w:r>
      <w:r w:rsidR="0048114E" w:rsidRPr="00513A18">
        <w:rPr>
          <w:rFonts w:ascii="Arial" w:hAnsi="Arial" w:cs="Arial"/>
          <w:sz w:val="22"/>
          <w:szCs w:val="22"/>
        </w:rPr>
        <w:t xml:space="preserve">part of the case for establishing the NHVR was to enable </w:t>
      </w:r>
      <w:r>
        <w:rPr>
          <w:rFonts w:ascii="Arial" w:hAnsi="Arial" w:cs="Arial"/>
          <w:sz w:val="22"/>
          <w:szCs w:val="22"/>
        </w:rPr>
        <w:t>chain of responsibility</w:t>
      </w:r>
      <w:r w:rsidR="00C34231">
        <w:rPr>
          <w:rFonts w:ascii="Arial" w:hAnsi="Arial" w:cs="Arial"/>
          <w:sz w:val="22"/>
          <w:szCs w:val="22"/>
        </w:rPr>
        <w:t xml:space="preserve"> investigations to be carried out </w:t>
      </w:r>
      <w:r>
        <w:rPr>
          <w:rFonts w:ascii="Arial" w:hAnsi="Arial" w:cs="Arial"/>
          <w:sz w:val="22"/>
          <w:szCs w:val="22"/>
        </w:rPr>
        <w:t>seamlessly</w:t>
      </w:r>
      <w:r w:rsidR="00C34231">
        <w:rPr>
          <w:rFonts w:ascii="Arial" w:hAnsi="Arial" w:cs="Arial"/>
          <w:sz w:val="22"/>
          <w:szCs w:val="22"/>
        </w:rPr>
        <w:t xml:space="preserve"> across state borders.</w:t>
      </w:r>
    </w:p>
    <w:p w:rsidR="006B4EA3" w:rsidRDefault="006B4EA3">
      <w:pPr>
        <w:rPr>
          <w:rFonts w:ascii="Arial" w:hAnsi="Arial" w:cs="Arial"/>
          <w:sz w:val="22"/>
          <w:szCs w:val="22"/>
        </w:rPr>
      </w:pPr>
    </w:p>
    <w:p w:rsidR="003254B1" w:rsidRDefault="003254B1" w:rsidP="00B13EC1">
      <w:pPr>
        <w:keepNext/>
        <w:rPr>
          <w:rFonts w:ascii="Arial" w:hAnsi="Arial" w:cs="Arial"/>
          <w:sz w:val="22"/>
          <w:szCs w:val="22"/>
        </w:rPr>
      </w:pPr>
      <w:r>
        <w:rPr>
          <w:rFonts w:ascii="Arial" w:hAnsi="Arial" w:cs="Arial"/>
          <w:sz w:val="22"/>
          <w:szCs w:val="22"/>
        </w:rPr>
        <w:t>In a 2009 submission, the ATA said:</w:t>
      </w:r>
    </w:p>
    <w:p w:rsidR="003254B1" w:rsidRDefault="003254B1" w:rsidP="00B13EC1">
      <w:pPr>
        <w:keepNext/>
        <w:rPr>
          <w:rFonts w:ascii="Arial" w:hAnsi="Arial" w:cs="Arial"/>
          <w:sz w:val="20"/>
          <w:szCs w:val="20"/>
        </w:rPr>
      </w:pPr>
    </w:p>
    <w:p w:rsidR="003254B1" w:rsidRPr="003254B1" w:rsidRDefault="003254B1" w:rsidP="00B13EC1">
      <w:pPr>
        <w:keepNext/>
        <w:rPr>
          <w:rFonts w:ascii="Arial" w:hAnsi="Arial" w:cs="Arial"/>
          <w:sz w:val="20"/>
          <w:szCs w:val="20"/>
        </w:rPr>
      </w:pPr>
    </w:p>
    <w:p w:rsidR="003254B1" w:rsidRPr="003254B1" w:rsidRDefault="003254B1" w:rsidP="00B13EC1">
      <w:pPr>
        <w:keepNext/>
        <w:suppressAutoHyphens w:val="0"/>
        <w:ind w:left="1134" w:right="1134"/>
        <w:rPr>
          <w:rFonts w:ascii="Arial" w:eastAsia="Times New Roman" w:hAnsi="Arial" w:cs="Arial"/>
          <w:color w:val="auto"/>
          <w:sz w:val="20"/>
          <w:szCs w:val="20"/>
          <w:lang w:eastAsia="en-AU"/>
        </w:rPr>
      </w:pPr>
      <w:r w:rsidRPr="003254B1">
        <w:rPr>
          <w:rFonts w:ascii="Arial" w:eastAsia="Times New Roman" w:hAnsi="Arial" w:cs="Arial"/>
          <w:color w:val="auto"/>
          <w:sz w:val="20"/>
          <w:szCs w:val="20"/>
          <w:lang w:eastAsia="en-AU"/>
        </w:rPr>
        <w:t xml:space="preserve">If a business operating in several capital cities should </w:t>
      </w:r>
    </w:p>
    <w:p w:rsidR="003254B1" w:rsidRPr="003254B1" w:rsidRDefault="003254B1" w:rsidP="003254B1">
      <w:pPr>
        <w:suppressAutoHyphens w:val="0"/>
        <w:ind w:left="1134" w:right="1134"/>
        <w:rPr>
          <w:rFonts w:ascii="Arial" w:eastAsia="Times New Roman" w:hAnsi="Arial" w:cs="Arial"/>
          <w:color w:val="auto"/>
          <w:sz w:val="20"/>
          <w:szCs w:val="20"/>
          <w:lang w:eastAsia="en-AU"/>
        </w:rPr>
      </w:pPr>
      <w:r w:rsidRPr="003254B1">
        <w:rPr>
          <w:rFonts w:ascii="Arial" w:eastAsia="Times New Roman" w:hAnsi="Arial" w:cs="Arial"/>
          <w:color w:val="auto"/>
          <w:sz w:val="20"/>
          <w:szCs w:val="20"/>
          <w:lang w:eastAsia="en-AU"/>
        </w:rPr>
        <w:t xml:space="preserve">be able to procure the same freight transport services across the country in the same way, and not have to worry about differences in regulations, then it also follows that this business should be consistently accountable under the Chain of Responsibility for its actions across the country. </w:t>
      </w:r>
    </w:p>
    <w:p w:rsidR="003254B1" w:rsidRPr="003254B1" w:rsidRDefault="003254B1" w:rsidP="003254B1">
      <w:pPr>
        <w:suppressAutoHyphens w:val="0"/>
        <w:ind w:left="1134" w:right="1134"/>
        <w:rPr>
          <w:rFonts w:ascii="Arial" w:eastAsia="Times New Roman" w:hAnsi="Arial" w:cs="Arial"/>
          <w:color w:val="auto"/>
          <w:sz w:val="20"/>
          <w:szCs w:val="20"/>
          <w:lang w:eastAsia="en-AU"/>
        </w:rPr>
      </w:pPr>
    </w:p>
    <w:p w:rsidR="003254B1" w:rsidRPr="003254B1" w:rsidRDefault="003254B1" w:rsidP="003254B1">
      <w:pPr>
        <w:suppressAutoHyphens w:val="0"/>
        <w:ind w:left="1134" w:right="1134"/>
        <w:rPr>
          <w:rFonts w:ascii="Arial" w:eastAsia="Times New Roman" w:hAnsi="Arial" w:cs="Arial"/>
          <w:color w:val="auto"/>
          <w:sz w:val="20"/>
          <w:szCs w:val="20"/>
          <w:lang w:eastAsia="en-AU"/>
        </w:rPr>
      </w:pPr>
      <w:r w:rsidRPr="003254B1">
        <w:rPr>
          <w:rFonts w:ascii="Arial" w:eastAsia="Times New Roman" w:hAnsi="Arial" w:cs="Arial"/>
          <w:color w:val="auto"/>
          <w:sz w:val="20"/>
          <w:szCs w:val="20"/>
          <w:lang w:eastAsia="en-AU"/>
        </w:rPr>
        <w:t>(…)</w:t>
      </w:r>
    </w:p>
    <w:p w:rsidR="003254B1" w:rsidRPr="003254B1" w:rsidRDefault="003254B1" w:rsidP="003254B1">
      <w:pPr>
        <w:suppressAutoHyphens w:val="0"/>
        <w:ind w:left="1134" w:right="1134"/>
        <w:rPr>
          <w:rFonts w:ascii="Arial" w:eastAsia="Times New Roman" w:hAnsi="Arial" w:cs="Arial"/>
          <w:color w:val="auto"/>
          <w:sz w:val="20"/>
          <w:szCs w:val="20"/>
          <w:lang w:eastAsia="en-AU"/>
        </w:rPr>
      </w:pPr>
    </w:p>
    <w:p w:rsidR="003254B1" w:rsidRPr="003254B1" w:rsidRDefault="003254B1" w:rsidP="003254B1">
      <w:pPr>
        <w:suppressAutoHyphens w:val="0"/>
        <w:ind w:left="1134" w:right="1134"/>
        <w:rPr>
          <w:rFonts w:ascii="Arial" w:eastAsia="Times New Roman" w:hAnsi="Arial" w:cs="Arial"/>
          <w:color w:val="auto"/>
          <w:sz w:val="20"/>
          <w:szCs w:val="20"/>
          <w:lang w:eastAsia="en-AU"/>
        </w:rPr>
      </w:pPr>
      <w:r w:rsidRPr="003254B1">
        <w:rPr>
          <w:rFonts w:ascii="Arial" w:eastAsia="Times New Roman" w:hAnsi="Arial" w:cs="Arial"/>
          <w:color w:val="auto"/>
          <w:sz w:val="20"/>
          <w:szCs w:val="20"/>
          <w:lang w:eastAsia="en-AU"/>
        </w:rPr>
        <w:t xml:space="preserve">The national regulator will also need to ensure that information and intelligence on the activities of customers is being reliably gathered across the country, so that businesses that continue to require, encourage and profit from illegal on-road behaviours are reliably identified and action is initiated, regardless of where </w:t>
      </w:r>
      <w:r w:rsidR="00A50A92">
        <w:rPr>
          <w:rFonts w:ascii="Arial" w:eastAsia="Times New Roman" w:hAnsi="Arial" w:cs="Arial"/>
          <w:color w:val="auto"/>
          <w:sz w:val="20"/>
          <w:szCs w:val="20"/>
          <w:lang w:eastAsia="en-AU"/>
        </w:rPr>
        <w:t>they are based.</w:t>
      </w:r>
      <w:r w:rsidR="00A50A92">
        <w:rPr>
          <w:rStyle w:val="FootnoteReference"/>
          <w:rFonts w:ascii="Arial" w:eastAsia="Times New Roman" w:hAnsi="Arial" w:cs="Arial"/>
          <w:color w:val="auto"/>
          <w:sz w:val="20"/>
          <w:szCs w:val="20"/>
          <w:lang w:eastAsia="en-AU"/>
        </w:rPr>
        <w:footnoteReference w:id="18"/>
      </w:r>
    </w:p>
    <w:p w:rsidR="003254B1" w:rsidRDefault="003254B1">
      <w:pPr>
        <w:rPr>
          <w:rFonts w:ascii="Arial" w:hAnsi="Arial" w:cs="Arial"/>
          <w:sz w:val="22"/>
          <w:szCs w:val="22"/>
        </w:rPr>
      </w:pPr>
    </w:p>
    <w:p w:rsidR="003254B1" w:rsidRDefault="003254B1">
      <w:pPr>
        <w:rPr>
          <w:rFonts w:ascii="Arial" w:hAnsi="Arial" w:cs="Arial"/>
          <w:sz w:val="22"/>
          <w:szCs w:val="22"/>
        </w:rPr>
      </w:pPr>
    </w:p>
    <w:p w:rsidR="006B4EA3" w:rsidRPr="00CB3313" w:rsidRDefault="00CB3313" w:rsidP="00CB3313">
      <w:pPr>
        <w:rPr>
          <w:rFonts w:ascii="Arial" w:hAnsi="Arial" w:cs="Arial"/>
          <w:sz w:val="22"/>
          <w:szCs w:val="22"/>
        </w:rPr>
      </w:pPr>
      <w:r>
        <w:rPr>
          <w:rFonts w:ascii="Arial" w:hAnsi="Arial" w:cs="Arial"/>
          <w:sz w:val="22"/>
          <w:szCs w:val="22"/>
        </w:rPr>
        <w:t>Chapter 9.4 of the discussion paper reports that investigations still tend to be confined to one jurisdiction only.</w:t>
      </w:r>
      <w:r>
        <w:rPr>
          <w:rStyle w:val="FootnoteReference"/>
          <w:rFonts w:ascii="Arial" w:hAnsi="Arial" w:cs="Arial"/>
          <w:sz w:val="22"/>
          <w:szCs w:val="22"/>
        </w:rPr>
        <w:footnoteReference w:id="19"/>
      </w:r>
      <w:r>
        <w:rPr>
          <w:rFonts w:ascii="Arial" w:hAnsi="Arial" w:cs="Arial"/>
          <w:sz w:val="22"/>
          <w:szCs w:val="22"/>
        </w:rPr>
        <w:t xml:space="preserve"> The discussion paper recommends that the NHVR should develop memorandums of understanding or other protocols to facilitate the sharing of information.</w:t>
      </w:r>
      <w:r>
        <w:rPr>
          <w:rStyle w:val="FootnoteReference"/>
          <w:rFonts w:ascii="Arial" w:hAnsi="Arial" w:cs="Arial"/>
          <w:sz w:val="22"/>
          <w:szCs w:val="22"/>
        </w:rPr>
        <w:footnoteReference w:id="20"/>
      </w:r>
    </w:p>
    <w:p w:rsidR="006B4EA3" w:rsidRPr="00513A18" w:rsidRDefault="006B4EA3">
      <w:pPr>
        <w:rPr>
          <w:rFonts w:ascii="Arial" w:hAnsi="Arial" w:cs="Arial"/>
          <w:sz w:val="22"/>
          <w:szCs w:val="22"/>
        </w:rPr>
      </w:pPr>
    </w:p>
    <w:p w:rsidR="006B4EA3" w:rsidRPr="00513A18" w:rsidRDefault="0048114E">
      <w:pPr>
        <w:rPr>
          <w:rFonts w:ascii="Arial" w:hAnsi="Arial" w:cs="Arial"/>
          <w:sz w:val="22"/>
          <w:szCs w:val="22"/>
        </w:rPr>
      </w:pPr>
      <w:r w:rsidRPr="00513A18">
        <w:rPr>
          <w:rFonts w:ascii="Arial" w:hAnsi="Arial" w:cs="Arial"/>
          <w:sz w:val="22"/>
          <w:szCs w:val="22"/>
        </w:rPr>
        <w:t>The ATA strongly support</w:t>
      </w:r>
      <w:r w:rsidR="00CB3313">
        <w:rPr>
          <w:rFonts w:ascii="Arial" w:hAnsi="Arial" w:cs="Arial"/>
          <w:sz w:val="22"/>
          <w:szCs w:val="22"/>
        </w:rPr>
        <w:t>s</w:t>
      </w:r>
      <w:r w:rsidRPr="00513A18">
        <w:rPr>
          <w:rFonts w:ascii="Arial" w:hAnsi="Arial" w:cs="Arial"/>
          <w:sz w:val="22"/>
          <w:szCs w:val="22"/>
        </w:rPr>
        <w:t xml:space="preserve"> the development of better protocols between the NHVR and other government agencies. </w:t>
      </w:r>
    </w:p>
    <w:p w:rsidR="006B4EA3" w:rsidRPr="00513A18" w:rsidRDefault="006B4EA3">
      <w:pPr>
        <w:rPr>
          <w:rFonts w:ascii="Arial" w:hAnsi="Arial" w:cs="Arial"/>
          <w:sz w:val="22"/>
          <w:szCs w:val="22"/>
        </w:rPr>
      </w:pPr>
    </w:p>
    <w:p w:rsidR="006B4EA3" w:rsidRPr="00513A18" w:rsidRDefault="0048114E">
      <w:pPr>
        <w:rPr>
          <w:rFonts w:ascii="Arial" w:hAnsi="Arial" w:cs="Arial"/>
          <w:sz w:val="22"/>
          <w:szCs w:val="22"/>
        </w:rPr>
      </w:pPr>
      <w:r w:rsidRPr="00513A18">
        <w:rPr>
          <w:rFonts w:ascii="Arial" w:hAnsi="Arial" w:cs="Arial"/>
          <w:sz w:val="22"/>
          <w:szCs w:val="22"/>
        </w:rPr>
        <w:t xml:space="preserve">In the industry’s experience, a truck accident can lead to investigations by a number of agencies with overlapping responsibilities, including police, the state work health and safety regulator, the state transport department, the state environmental protection agency and possibly Comcare if a multi-state employer is involved. </w:t>
      </w:r>
    </w:p>
    <w:p w:rsidR="006B4EA3" w:rsidRPr="00513A18" w:rsidRDefault="006B4EA3">
      <w:pPr>
        <w:rPr>
          <w:rFonts w:ascii="Arial" w:hAnsi="Arial" w:cs="Arial"/>
          <w:sz w:val="22"/>
          <w:szCs w:val="22"/>
        </w:rPr>
      </w:pPr>
    </w:p>
    <w:p w:rsidR="006B4EA3" w:rsidRPr="00513A18" w:rsidRDefault="0048114E">
      <w:pPr>
        <w:rPr>
          <w:rFonts w:ascii="Arial" w:hAnsi="Arial" w:cs="Arial"/>
          <w:sz w:val="22"/>
          <w:szCs w:val="22"/>
        </w:rPr>
      </w:pPr>
      <w:r w:rsidRPr="00513A18">
        <w:rPr>
          <w:rFonts w:ascii="Arial" w:hAnsi="Arial" w:cs="Arial"/>
          <w:sz w:val="22"/>
          <w:szCs w:val="22"/>
        </w:rPr>
        <w:t>The development of MoUs and lead agency arrangements could reduce unnecessary duplication and costs for both industry and enforcement agencies.</w:t>
      </w:r>
    </w:p>
    <w:p w:rsidR="006B4EA3" w:rsidRPr="00513A18" w:rsidRDefault="006B4EA3">
      <w:pPr>
        <w:rPr>
          <w:rFonts w:ascii="Arial" w:hAnsi="Arial" w:cs="Arial"/>
          <w:sz w:val="22"/>
          <w:szCs w:val="22"/>
        </w:rPr>
      </w:pPr>
    </w:p>
    <w:p w:rsidR="006B4EA3" w:rsidRPr="00513A18" w:rsidRDefault="00BC6893">
      <w:pPr>
        <w:rPr>
          <w:rFonts w:ascii="Arial" w:hAnsi="Arial" w:cs="Arial"/>
          <w:sz w:val="22"/>
          <w:szCs w:val="22"/>
        </w:rPr>
      </w:pPr>
      <w:r>
        <w:rPr>
          <w:rFonts w:ascii="Arial" w:hAnsi="Arial" w:cs="Arial"/>
          <w:sz w:val="22"/>
          <w:szCs w:val="22"/>
        </w:rPr>
        <w:t>Given the importance of seamless CoR investigations to the industry, however, we do</w:t>
      </w:r>
      <w:r w:rsidR="0048114E" w:rsidRPr="00513A18">
        <w:rPr>
          <w:rFonts w:ascii="Arial" w:hAnsi="Arial" w:cs="Arial"/>
          <w:sz w:val="22"/>
          <w:szCs w:val="22"/>
        </w:rPr>
        <w:t xml:space="preserve"> not believe that </w:t>
      </w:r>
      <w:r>
        <w:rPr>
          <w:rFonts w:ascii="Arial" w:hAnsi="Arial" w:cs="Arial"/>
          <w:sz w:val="22"/>
          <w:szCs w:val="22"/>
        </w:rPr>
        <w:t xml:space="preserve">developing better </w:t>
      </w:r>
      <w:r w:rsidR="0048114E" w:rsidRPr="00513A18">
        <w:rPr>
          <w:rFonts w:ascii="Arial" w:hAnsi="Arial" w:cs="Arial"/>
          <w:sz w:val="22"/>
          <w:szCs w:val="22"/>
        </w:rPr>
        <w:t xml:space="preserve">protocols </w:t>
      </w:r>
      <w:r w:rsidR="00B13EC1">
        <w:rPr>
          <w:rFonts w:ascii="Arial" w:hAnsi="Arial" w:cs="Arial"/>
          <w:sz w:val="22"/>
          <w:szCs w:val="22"/>
        </w:rPr>
        <w:t xml:space="preserve">would </w:t>
      </w:r>
      <w:r w:rsidR="0048114E" w:rsidRPr="00513A18">
        <w:rPr>
          <w:rFonts w:ascii="Arial" w:hAnsi="Arial" w:cs="Arial"/>
          <w:sz w:val="22"/>
          <w:szCs w:val="22"/>
        </w:rPr>
        <w:t>go far enough</w:t>
      </w:r>
      <w:r>
        <w:rPr>
          <w:rFonts w:ascii="Arial" w:hAnsi="Arial" w:cs="Arial"/>
          <w:sz w:val="22"/>
          <w:szCs w:val="22"/>
        </w:rPr>
        <w:t xml:space="preserve"> to overcome the limitations of the HVNL.</w:t>
      </w:r>
    </w:p>
    <w:p w:rsidR="006B4EA3" w:rsidRPr="00513A18" w:rsidRDefault="006B4EA3">
      <w:pPr>
        <w:rPr>
          <w:rFonts w:ascii="Arial" w:hAnsi="Arial" w:cs="Arial"/>
          <w:sz w:val="22"/>
          <w:szCs w:val="22"/>
        </w:rPr>
      </w:pPr>
    </w:p>
    <w:p w:rsidR="006B4EA3" w:rsidRPr="00513A18" w:rsidRDefault="00B13EC1">
      <w:pPr>
        <w:rPr>
          <w:rFonts w:ascii="Arial" w:hAnsi="Arial" w:cs="Arial"/>
          <w:sz w:val="22"/>
          <w:szCs w:val="22"/>
        </w:rPr>
      </w:pPr>
      <w:r>
        <w:rPr>
          <w:rFonts w:ascii="Arial" w:hAnsi="Arial" w:cs="Arial"/>
          <w:sz w:val="22"/>
          <w:szCs w:val="22"/>
        </w:rPr>
        <w:t>T</w:t>
      </w:r>
      <w:r w:rsidR="0048114E" w:rsidRPr="00513A18">
        <w:rPr>
          <w:rFonts w:ascii="Arial" w:hAnsi="Arial" w:cs="Arial"/>
          <w:sz w:val="22"/>
          <w:szCs w:val="22"/>
        </w:rPr>
        <w:t xml:space="preserve">he ATA </w:t>
      </w:r>
      <w:r w:rsidR="00BC6893">
        <w:rPr>
          <w:rFonts w:ascii="Arial" w:hAnsi="Arial" w:cs="Arial"/>
          <w:sz w:val="22"/>
          <w:szCs w:val="22"/>
        </w:rPr>
        <w:t>considers that the NTC should further develop options 1 and 2, as well as supporting the development of better protocols.</w:t>
      </w:r>
    </w:p>
    <w:p w:rsidR="006B4EA3" w:rsidRPr="00513A18" w:rsidRDefault="006B4EA3">
      <w:pPr>
        <w:rPr>
          <w:rFonts w:ascii="Arial" w:hAnsi="Arial" w:cs="Arial"/>
          <w:sz w:val="22"/>
          <w:szCs w:val="22"/>
        </w:rPr>
      </w:pPr>
    </w:p>
    <w:p w:rsidR="006B4EA3" w:rsidRPr="00513A18" w:rsidRDefault="006B4EA3">
      <w:pPr>
        <w:rPr>
          <w:rFonts w:ascii="Arial" w:hAnsi="Arial" w:cs="Arial"/>
          <w:sz w:val="22"/>
          <w:szCs w:val="22"/>
        </w:rPr>
      </w:pPr>
    </w:p>
    <w:p w:rsidR="006B4EA3" w:rsidRPr="00513A18" w:rsidRDefault="0048114E">
      <w:pPr>
        <w:pStyle w:val="NoSpacing"/>
        <w:keepNext/>
        <w:rPr>
          <w:rFonts w:ascii="Arial" w:hAnsi="Arial" w:cs="Arial"/>
          <w:color w:val="00000A"/>
          <w:sz w:val="22"/>
          <w:szCs w:val="22"/>
        </w:rPr>
      </w:pPr>
      <w:r w:rsidRPr="00513A18">
        <w:rPr>
          <w:rFonts w:ascii="Arial" w:hAnsi="Arial" w:cs="Arial"/>
          <w:b/>
          <w:i/>
          <w:color w:val="00000A"/>
          <w:sz w:val="22"/>
          <w:szCs w:val="22"/>
        </w:rPr>
        <w:t>Recommendation 8</w:t>
      </w:r>
    </w:p>
    <w:p w:rsidR="006B4EA3" w:rsidRPr="00513A18" w:rsidRDefault="006B4EA3">
      <w:pPr>
        <w:pStyle w:val="NoSpacing"/>
        <w:keepNext/>
        <w:rPr>
          <w:rFonts w:ascii="Arial" w:hAnsi="Arial" w:cs="Arial"/>
          <w:color w:val="00000A"/>
          <w:sz w:val="22"/>
          <w:szCs w:val="22"/>
        </w:rPr>
      </w:pPr>
    </w:p>
    <w:p w:rsidR="006B4EA3" w:rsidRDefault="0048114E" w:rsidP="00245D22">
      <w:pPr>
        <w:pStyle w:val="NoSpacing"/>
        <w:keepNext/>
        <w:rPr>
          <w:rFonts w:ascii="Arial" w:hAnsi="Arial" w:cs="Arial"/>
          <w:color w:val="00000A"/>
          <w:sz w:val="22"/>
          <w:szCs w:val="22"/>
        </w:rPr>
      </w:pPr>
      <w:r w:rsidRPr="00513A18">
        <w:rPr>
          <w:rFonts w:ascii="Arial" w:hAnsi="Arial" w:cs="Arial"/>
          <w:color w:val="00000A"/>
          <w:sz w:val="22"/>
          <w:szCs w:val="22"/>
        </w:rPr>
        <w:t xml:space="preserve">The </w:t>
      </w:r>
      <w:r w:rsidR="00CB3313">
        <w:rPr>
          <w:rFonts w:ascii="Arial" w:hAnsi="Arial" w:cs="Arial"/>
          <w:color w:val="00000A"/>
          <w:sz w:val="22"/>
          <w:szCs w:val="22"/>
        </w:rPr>
        <w:t xml:space="preserve">NTC should further develop options 1 and 2 in chapter 9.4 </w:t>
      </w:r>
      <w:r w:rsidR="00245D22">
        <w:rPr>
          <w:rFonts w:ascii="Arial" w:hAnsi="Arial" w:cs="Arial"/>
          <w:color w:val="00000A"/>
          <w:sz w:val="22"/>
          <w:szCs w:val="22"/>
        </w:rPr>
        <w:t xml:space="preserve">of the </w:t>
      </w:r>
      <w:r w:rsidR="00CB3313">
        <w:rPr>
          <w:rFonts w:ascii="Arial" w:hAnsi="Arial" w:cs="Arial"/>
          <w:color w:val="00000A"/>
          <w:sz w:val="22"/>
          <w:szCs w:val="22"/>
        </w:rPr>
        <w:t xml:space="preserve">discussion paper, as well as </w:t>
      </w:r>
      <w:r w:rsidR="00245D22">
        <w:rPr>
          <w:rFonts w:ascii="Arial" w:hAnsi="Arial" w:cs="Arial"/>
          <w:color w:val="00000A"/>
          <w:sz w:val="22"/>
          <w:szCs w:val="22"/>
        </w:rPr>
        <w:t>supporting the development of better administrative protocols, given the importance of seamless chain of responsibility investigations.</w:t>
      </w:r>
    </w:p>
    <w:p w:rsidR="00233B71" w:rsidRDefault="00233B71" w:rsidP="00233B71">
      <w:pPr>
        <w:pStyle w:val="NoSpacing"/>
        <w:rPr>
          <w:rFonts w:ascii="Arial" w:hAnsi="Arial" w:cs="Arial"/>
          <w:color w:val="00000A"/>
          <w:sz w:val="22"/>
          <w:szCs w:val="22"/>
        </w:rPr>
      </w:pPr>
    </w:p>
    <w:p w:rsidR="00233B71" w:rsidRDefault="00233B71" w:rsidP="00233B71">
      <w:pPr>
        <w:pStyle w:val="NoSpacing"/>
        <w:rPr>
          <w:rFonts w:ascii="Arial" w:hAnsi="Arial" w:cs="Arial"/>
          <w:color w:val="00000A"/>
          <w:sz w:val="22"/>
          <w:szCs w:val="22"/>
        </w:rPr>
      </w:pPr>
    </w:p>
    <w:p w:rsidR="00233B71" w:rsidRDefault="00233B71" w:rsidP="00245D22">
      <w:pPr>
        <w:pStyle w:val="NoSpacing"/>
        <w:keepNext/>
        <w:rPr>
          <w:rFonts w:ascii="Arial" w:hAnsi="Arial" w:cs="Arial"/>
          <w:b/>
          <w:color w:val="00000A"/>
          <w:sz w:val="22"/>
          <w:szCs w:val="22"/>
        </w:rPr>
      </w:pPr>
      <w:r w:rsidRPr="00233B71">
        <w:rPr>
          <w:rFonts w:ascii="Arial" w:hAnsi="Arial" w:cs="Arial"/>
          <w:b/>
          <w:color w:val="00000A"/>
          <w:sz w:val="22"/>
          <w:szCs w:val="22"/>
        </w:rPr>
        <w:t>ATA contact</w:t>
      </w:r>
    </w:p>
    <w:p w:rsidR="00233B71" w:rsidRPr="00233B71" w:rsidRDefault="00233B71" w:rsidP="00233B71">
      <w:pPr>
        <w:pStyle w:val="NoSpacing"/>
        <w:rPr>
          <w:rFonts w:ascii="Arial" w:hAnsi="Arial" w:cs="Arial"/>
          <w:color w:val="00000A"/>
          <w:sz w:val="22"/>
          <w:szCs w:val="22"/>
        </w:rPr>
      </w:pPr>
    </w:p>
    <w:p w:rsidR="00233B71" w:rsidRPr="00233B71" w:rsidRDefault="00233B71" w:rsidP="00233B71">
      <w:pPr>
        <w:pStyle w:val="NoSpacing"/>
        <w:rPr>
          <w:rFonts w:ascii="Arial" w:hAnsi="Arial" w:cs="Arial"/>
          <w:color w:val="auto"/>
          <w:sz w:val="22"/>
          <w:szCs w:val="22"/>
        </w:rPr>
      </w:pPr>
      <w:r w:rsidRPr="00233B71">
        <w:rPr>
          <w:rFonts w:ascii="Arial" w:hAnsi="Arial" w:cs="Arial"/>
          <w:color w:val="auto"/>
          <w:sz w:val="22"/>
          <w:szCs w:val="22"/>
        </w:rPr>
        <w:t>The ATA contact for this response is Bill McKinley</w:t>
      </w:r>
      <w:r>
        <w:rPr>
          <w:rFonts w:ascii="Arial" w:hAnsi="Arial" w:cs="Arial"/>
          <w:color w:val="auto"/>
          <w:sz w:val="22"/>
          <w:szCs w:val="22"/>
        </w:rPr>
        <w:t>,</w:t>
      </w:r>
      <w:r w:rsidRPr="00233B71">
        <w:rPr>
          <w:rFonts w:ascii="Arial" w:hAnsi="Arial" w:cs="Arial"/>
          <w:color w:val="auto"/>
          <w:sz w:val="22"/>
          <w:szCs w:val="22"/>
        </w:rPr>
        <w:t xml:space="preserve"> Chief of Staff, on 02 6253 6900 or </w:t>
      </w:r>
      <w:hyperlink r:id="rId8" w:history="1">
        <w:r w:rsidRPr="00297CCF">
          <w:rPr>
            <w:rStyle w:val="Hyperlink"/>
            <w:rFonts w:ascii="Arial" w:hAnsi="Arial" w:cs="Arial"/>
            <w:sz w:val="22"/>
            <w:szCs w:val="22"/>
          </w:rPr>
          <w:t>bill.mckinley@truck.net.au</w:t>
        </w:r>
      </w:hyperlink>
      <w:r w:rsidRPr="00233B71">
        <w:rPr>
          <w:rFonts w:ascii="Arial" w:hAnsi="Arial" w:cs="Arial"/>
          <w:color w:val="auto"/>
          <w:sz w:val="22"/>
          <w:szCs w:val="22"/>
        </w:rPr>
        <w:t>.</w:t>
      </w:r>
    </w:p>
    <w:sectPr w:rsidR="00233B71" w:rsidRPr="00233B71" w:rsidSect="007B71D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EA3" w:rsidRDefault="0048114E">
      <w:r>
        <w:separator/>
      </w:r>
    </w:p>
  </w:endnote>
  <w:endnote w:type="continuationSeparator" w:id="0">
    <w:p w:rsidR="006B4EA3" w:rsidRDefault="0048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33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09" w:rsidRDefault="00A23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09" w:rsidRDefault="00A234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09" w:rsidRDefault="00A23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EA3" w:rsidRDefault="0048114E">
      <w:r>
        <w:separator/>
      </w:r>
    </w:p>
  </w:footnote>
  <w:footnote w:type="continuationSeparator" w:id="0">
    <w:p w:rsidR="006B4EA3" w:rsidRDefault="0048114E">
      <w:r>
        <w:continuationSeparator/>
      </w:r>
    </w:p>
  </w:footnote>
  <w:footnote w:id="1">
    <w:p w:rsidR="001626B6" w:rsidRDefault="001626B6" w:rsidP="001626B6">
      <w:pPr>
        <w:pStyle w:val="FootnoteText"/>
        <w:ind w:left="0" w:firstLine="0"/>
      </w:pPr>
      <w:r>
        <w:rPr>
          <w:rStyle w:val="FootnoteReference"/>
        </w:rPr>
        <w:footnoteRef/>
      </w:r>
      <w:r>
        <w:t xml:space="preserve"> </w:t>
      </w:r>
      <w:r w:rsidRPr="001626B6">
        <w:rPr>
          <w:rFonts w:ascii="Arial" w:hAnsi="Arial" w:cs="Arial"/>
          <w:sz w:val="18"/>
          <w:szCs w:val="18"/>
        </w:rPr>
        <w:t xml:space="preserve">ATA, </w:t>
      </w:r>
      <w:r w:rsidRPr="001626B6">
        <w:rPr>
          <w:rFonts w:ascii="Arial" w:hAnsi="Arial" w:cs="Arial"/>
          <w:i/>
          <w:sz w:val="18"/>
          <w:szCs w:val="18"/>
        </w:rPr>
        <w:t>Primary duties for chain of responsibility parties and executive officer liability</w:t>
      </w:r>
      <w:r w:rsidRPr="001626B6">
        <w:rPr>
          <w:rFonts w:ascii="Arial" w:hAnsi="Arial" w:cs="Arial"/>
          <w:sz w:val="18"/>
          <w:szCs w:val="18"/>
        </w:rPr>
        <w:t xml:space="preserve">. Submission to the NTC, August 2015. </w:t>
      </w:r>
      <w:hyperlink r:id="rId1" w:history="1">
        <w:r w:rsidRPr="001626B6">
          <w:rPr>
            <w:rStyle w:val="Hyperlink"/>
            <w:rFonts w:ascii="Arial" w:hAnsi="Arial" w:cs="Arial"/>
            <w:sz w:val="18"/>
            <w:szCs w:val="18"/>
          </w:rPr>
          <w:t>Link</w:t>
        </w:r>
      </w:hyperlink>
      <w:r w:rsidRPr="001626B6">
        <w:rPr>
          <w:rFonts w:ascii="Arial" w:hAnsi="Arial" w:cs="Arial"/>
          <w:sz w:val="18"/>
          <w:szCs w:val="18"/>
        </w:rPr>
        <w:t>.</w:t>
      </w:r>
    </w:p>
  </w:footnote>
  <w:footnote w:id="2">
    <w:p w:rsidR="004D16B7" w:rsidRPr="004D16B7" w:rsidRDefault="004D16B7">
      <w:pPr>
        <w:pStyle w:val="FootnoteText"/>
        <w:rPr>
          <w:rFonts w:ascii="Arial" w:hAnsi="Arial" w:cs="Arial"/>
          <w:sz w:val="18"/>
          <w:szCs w:val="18"/>
        </w:rPr>
      </w:pPr>
      <w:r w:rsidRPr="004D16B7">
        <w:rPr>
          <w:rStyle w:val="FootnoteReference"/>
          <w:rFonts w:ascii="Arial" w:hAnsi="Arial" w:cs="Arial"/>
          <w:sz w:val="18"/>
          <w:szCs w:val="18"/>
        </w:rPr>
        <w:footnoteRef/>
      </w:r>
      <w:r w:rsidRPr="004D16B7">
        <w:rPr>
          <w:rFonts w:ascii="Arial" w:hAnsi="Arial" w:cs="Arial"/>
          <w:sz w:val="18"/>
          <w:szCs w:val="18"/>
        </w:rPr>
        <w:t xml:space="preserve"> NTC, </w:t>
      </w:r>
      <w:r w:rsidR="00ED731E" w:rsidRPr="00ED731E">
        <w:rPr>
          <w:rFonts w:ascii="Arial" w:hAnsi="Arial" w:cs="Arial"/>
          <w:i/>
          <w:sz w:val="18"/>
          <w:szCs w:val="18"/>
        </w:rPr>
        <w:t>Review of HVNL investigative and enforcement powers</w:t>
      </w:r>
      <w:r w:rsidR="00ED731E">
        <w:rPr>
          <w:rFonts w:ascii="Arial" w:hAnsi="Arial" w:cs="Arial"/>
          <w:sz w:val="18"/>
          <w:szCs w:val="18"/>
        </w:rPr>
        <w:t xml:space="preserve">. Discussion paper, October 2016, </w:t>
      </w:r>
      <w:r w:rsidRPr="004D16B7">
        <w:rPr>
          <w:rFonts w:ascii="Arial" w:hAnsi="Arial" w:cs="Arial"/>
          <w:sz w:val="18"/>
          <w:szCs w:val="18"/>
        </w:rPr>
        <w:t>19.</w:t>
      </w:r>
    </w:p>
  </w:footnote>
  <w:footnote w:id="3">
    <w:p w:rsidR="00623377" w:rsidRPr="00623377" w:rsidRDefault="00623377">
      <w:pPr>
        <w:pStyle w:val="FootnoteText"/>
        <w:rPr>
          <w:rFonts w:ascii="Arial" w:hAnsi="Arial" w:cs="Arial"/>
          <w:sz w:val="18"/>
          <w:szCs w:val="18"/>
        </w:rPr>
      </w:pPr>
      <w:r w:rsidRPr="00623377">
        <w:rPr>
          <w:rStyle w:val="FootnoteReference"/>
          <w:rFonts w:ascii="Arial" w:hAnsi="Arial" w:cs="Arial"/>
          <w:sz w:val="18"/>
          <w:szCs w:val="18"/>
        </w:rPr>
        <w:footnoteRef/>
      </w:r>
      <w:r w:rsidRPr="00623377">
        <w:rPr>
          <w:rFonts w:ascii="Arial" w:hAnsi="Arial" w:cs="Arial"/>
          <w:sz w:val="18"/>
          <w:szCs w:val="18"/>
        </w:rPr>
        <w:t xml:space="preserve"> s 588(3)</w:t>
      </w:r>
      <w:r>
        <w:rPr>
          <w:rFonts w:ascii="Arial" w:hAnsi="Arial" w:cs="Arial"/>
          <w:sz w:val="18"/>
          <w:szCs w:val="18"/>
        </w:rPr>
        <w:t>.</w:t>
      </w:r>
    </w:p>
  </w:footnote>
  <w:footnote w:id="4">
    <w:p w:rsidR="00623377" w:rsidRPr="00623377" w:rsidRDefault="00623377">
      <w:pPr>
        <w:pStyle w:val="FootnoteText"/>
        <w:rPr>
          <w:rFonts w:ascii="Arial" w:hAnsi="Arial" w:cs="Arial"/>
          <w:sz w:val="18"/>
          <w:szCs w:val="18"/>
        </w:rPr>
      </w:pPr>
      <w:r w:rsidRPr="00623377">
        <w:rPr>
          <w:rStyle w:val="FootnoteReference"/>
          <w:rFonts w:ascii="Arial" w:hAnsi="Arial" w:cs="Arial"/>
          <w:sz w:val="18"/>
          <w:szCs w:val="18"/>
        </w:rPr>
        <w:footnoteRef/>
      </w:r>
      <w:r w:rsidRPr="00623377">
        <w:rPr>
          <w:rFonts w:ascii="Arial" w:hAnsi="Arial" w:cs="Arial"/>
          <w:sz w:val="18"/>
          <w:szCs w:val="18"/>
        </w:rPr>
        <w:t xml:space="preserve"> s 570A(7)</w:t>
      </w:r>
    </w:p>
  </w:footnote>
  <w:footnote w:id="5">
    <w:p w:rsidR="004D16B7" w:rsidRDefault="004D16B7">
      <w:pPr>
        <w:pStyle w:val="FootnoteText"/>
      </w:pPr>
      <w:r w:rsidRPr="004D16B7">
        <w:rPr>
          <w:rStyle w:val="FootnoteReference"/>
          <w:rFonts w:ascii="Arial" w:hAnsi="Arial" w:cs="Arial"/>
          <w:sz w:val="18"/>
          <w:szCs w:val="18"/>
        </w:rPr>
        <w:footnoteRef/>
      </w:r>
      <w:r w:rsidRPr="004D16B7">
        <w:rPr>
          <w:rFonts w:ascii="Arial" w:hAnsi="Arial" w:cs="Arial"/>
          <w:sz w:val="18"/>
          <w:szCs w:val="18"/>
        </w:rPr>
        <w:t xml:space="preserve"> </w:t>
      </w:r>
      <w:r w:rsidR="0048233B">
        <w:rPr>
          <w:rFonts w:ascii="Arial" w:hAnsi="Arial" w:cs="Arial"/>
          <w:sz w:val="18"/>
          <w:szCs w:val="18"/>
        </w:rPr>
        <w:t>S</w:t>
      </w:r>
      <w:r w:rsidRPr="004D16B7">
        <w:rPr>
          <w:rFonts w:ascii="Arial" w:hAnsi="Arial" w:cs="Arial"/>
          <w:sz w:val="18"/>
          <w:szCs w:val="18"/>
        </w:rPr>
        <w:t xml:space="preserve">ee s 90 of the </w:t>
      </w:r>
      <w:r w:rsidRPr="004D16B7">
        <w:rPr>
          <w:rFonts w:ascii="Arial" w:hAnsi="Arial" w:cs="Arial"/>
          <w:i/>
          <w:iCs/>
          <w:sz w:val="18"/>
          <w:szCs w:val="18"/>
        </w:rPr>
        <w:t>Evidence Act 1995</w:t>
      </w:r>
      <w:r w:rsidRPr="004D16B7">
        <w:rPr>
          <w:rFonts w:ascii="Arial" w:hAnsi="Arial" w:cs="Arial"/>
          <w:sz w:val="18"/>
          <w:szCs w:val="18"/>
        </w:rPr>
        <w:t xml:space="preserve"> (NSW).</w:t>
      </w:r>
    </w:p>
  </w:footnote>
  <w:footnote w:id="6">
    <w:p w:rsidR="004D16B7" w:rsidRPr="00502D7A" w:rsidRDefault="004D16B7">
      <w:pPr>
        <w:pStyle w:val="FootnoteText"/>
        <w:rPr>
          <w:rFonts w:ascii="Arial" w:hAnsi="Arial" w:cs="Arial"/>
          <w:sz w:val="18"/>
          <w:szCs w:val="18"/>
        </w:rPr>
      </w:pPr>
      <w:r w:rsidRPr="00502D7A">
        <w:rPr>
          <w:rStyle w:val="FootnoteReference"/>
          <w:rFonts w:ascii="Arial" w:hAnsi="Arial" w:cs="Arial"/>
          <w:sz w:val="18"/>
          <w:szCs w:val="18"/>
        </w:rPr>
        <w:footnoteRef/>
      </w:r>
      <w:r w:rsidRPr="00502D7A">
        <w:rPr>
          <w:rFonts w:ascii="Arial" w:hAnsi="Arial" w:cs="Arial"/>
          <w:sz w:val="18"/>
          <w:szCs w:val="18"/>
        </w:rPr>
        <w:t xml:space="preserve"> </w:t>
      </w:r>
      <w:r w:rsidRPr="00CB59D9">
        <w:rPr>
          <w:rFonts w:ascii="Arial" w:hAnsi="Arial" w:cs="Arial"/>
          <w:i/>
          <w:sz w:val="18"/>
          <w:szCs w:val="18"/>
        </w:rPr>
        <w:t>Workcover Authority (NSW) v Seccombe</w:t>
      </w:r>
      <w:r w:rsidRPr="00502D7A">
        <w:rPr>
          <w:rFonts w:ascii="Arial" w:hAnsi="Arial" w:cs="Arial"/>
          <w:sz w:val="18"/>
          <w:szCs w:val="18"/>
        </w:rPr>
        <w:t xml:space="preserve"> (1998) 43 NSWLR 390.</w:t>
      </w:r>
    </w:p>
  </w:footnote>
  <w:footnote w:id="7">
    <w:p w:rsidR="00660957" w:rsidRPr="00660957" w:rsidRDefault="00660957">
      <w:pPr>
        <w:pStyle w:val="FootnoteText"/>
        <w:rPr>
          <w:rFonts w:ascii="Arial" w:hAnsi="Arial" w:cs="Arial"/>
          <w:sz w:val="18"/>
          <w:szCs w:val="18"/>
        </w:rPr>
      </w:pPr>
      <w:r w:rsidRPr="00660957">
        <w:rPr>
          <w:rStyle w:val="FootnoteReference"/>
          <w:rFonts w:ascii="Arial" w:hAnsi="Arial" w:cs="Arial"/>
          <w:sz w:val="18"/>
          <w:szCs w:val="18"/>
        </w:rPr>
        <w:footnoteRef/>
      </w:r>
      <w:r w:rsidRPr="00660957">
        <w:rPr>
          <w:rFonts w:ascii="Arial" w:hAnsi="Arial" w:cs="Arial"/>
          <w:sz w:val="18"/>
          <w:szCs w:val="18"/>
        </w:rPr>
        <w:t xml:space="preserve"> NTC, 20.</w:t>
      </w:r>
    </w:p>
  </w:footnote>
  <w:footnote w:id="8">
    <w:p w:rsidR="00B87CEB" w:rsidRPr="00502D7A" w:rsidRDefault="00B87CEB">
      <w:pPr>
        <w:pStyle w:val="FootnoteText"/>
        <w:rPr>
          <w:rFonts w:ascii="Arial" w:hAnsi="Arial" w:cs="Arial"/>
          <w:sz w:val="18"/>
          <w:szCs w:val="18"/>
        </w:rPr>
      </w:pPr>
      <w:r w:rsidRPr="00502D7A">
        <w:rPr>
          <w:rStyle w:val="FootnoteReference"/>
          <w:rFonts w:ascii="Arial" w:hAnsi="Arial" w:cs="Arial"/>
          <w:sz w:val="18"/>
          <w:szCs w:val="18"/>
        </w:rPr>
        <w:footnoteRef/>
      </w:r>
      <w:r w:rsidRPr="00502D7A">
        <w:rPr>
          <w:rFonts w:ascii="Arial" w:hAnsi="Arial" w:cs="Arial"/>
          <w:sz w:val="18"/>
          <w:szCs w:val="18"/>
        </w:rPr>
        <w:t xml:space="preserve"> s 321(1)(b) </w:t>
      </w:r>
    </w:p>
  </w:footnote>
  <w:footnote w:id="9">
    <w:p w:rsidR="00B54C8A" w:rsidRDefault="00B54C8A">
      <w:pPr>
        <w:pStyle w:val="FootnoteText"/>
      </w:pPr>
      <w:r w:rsidRPr="00502D7A">
        <w:rPr>
          <w:rStyle w:val="FootnoteReference"/>
          <w:rFonts w:ascii="Arial" w:hAnsi="Arial" w:cs="Arial"/>
          <w:sz w:val="18"/>
          <w:szCs w:val="18"/>
        </w:rPr>
        <w:footnoteRef/>
      </w:r>
      <w:r w:rsidRPr="00502D7A">
        <w:rPr>
          <w:rFonts w:ascii="Arial" w:hAnsi="Arial" w:cs="Arial"/>
          <w:sz w:val="18"/>
          <w:szCs w:val="18"/>
        </w:rPr>
        <w:t xml:space="preserve"> s 319(1)(b) for 100 km work and s 321(1)(c) for 100 km+ work</w:t>
      </w:r>
      <w:r w:rsidR="00623377">
        <w:rPr>
          <w:rFonts w:ascii="Arial" w:hAnsi="Arial" w:cs="Arial"/>
          <w:sz w:val="18"/>
          <w:szCs w:val="18"/>
        </w:rPr>
        <w:t>.</w:t>
      </w:r>
    </w:p>
  </w:footnote>
  <w:footnote w:id="10">
    <w:p w:rsidR="00623377" w:rsidRPr="00623377" w:rsidRDefault="00623377">
      <w:pPr>
        <w:pStyle w:val="FootnoteText"/>
        <w:rPr>
          <w:rFonts w:ascii="Arial" w:hAnsi="Arial" w:cs="Arial"/>
          <w:sz w:val="18"/>
          <w:szCs w:val="18"/>
        </w:rPr>
      </w:pPr>
      <w:r w:rsidRPr="00623377">
        <w:rPr>
          <w:rStyle w:val="FootnoteReference"/>
          <w:rFonts w:ascii="Arial" w:hAnsi="Arial" w:cs="Arial"/>
          <w:sz w:val="18"/>
          <w:szCs w:val="18"/>
        </w:rPr>
        <w:footnoteRef/>
      </w:r>
      <w:r w:rsidRPr="00623377">
        <w:rPr>
          <w:rFonts w:ascii="Arial" w:hAnsi="Arial" w:cs="Arial"/>
          <w:sz w:val="18"/>
          <w:szCs w:val="18"/>
        </w:rPr>
        <w:t xml:space="preserve"> See s 588(1) and ss 569(1)(a) and (b)</w:t>
      </w:r>
      <w:r>
        <w:rPr>
          <w:rFonts w:ascii="Arial" w:hAnsi="Arial" w:cs="Arial"/>
          <w:sz w:val="18"/>
          <w:szCs w:val="18"/>
        </w:rPr>
        <w:t>.</w:t>
      </w:r>
    </w:p>
  </w:footnote>
  <w:footnote w:id="11">
    <w:p w:rsidR="00F851FD" w:rsidRPr="00F851FD" w:rsidRDefault="00F851FD" w:rsidP="00F851FD">
      <w:pPr>
        <w:pStyle w:val="FootnoteText"/>
        <w:ind w:left="0" w:firstLine="0"/>
        <w:rPr>
          <w:rFonts w:ascii="Arial" w:hAnsi="Arial" w:cs="Arial"/>
          <w:sz w:val="18"/>
          <w:szCs w:val="18"/>
        </w:rPr>
      </w:pPr>
      <w:r w:rsidRPr="00F851FD">
        <w:rPr>
          <w:rStyle w:val="FootnoteReference"/>
          <w:rFonts w:ascii="Arial" w:hAnsi="Arial" w:cs="Arial"/>
          <w:sz w:val="18"/>
          <w:szCs w:val="18"/>
        </w:rPr>
        <w:footnoteRef/>
      </w:r>
      <w:r w:rsidRPr="00F851FD">
        <w:rPr>
          <w:rFonts w:ascii="Arial" w:hAnsi="Arial" w:cs="Arial"/>
          <w:sz w:val="18"/>
          <w:szCs w:val="18"/>
        </w:rPr>
        <w:t xml:space="preserve"> s 568 empowers authorised officers to require the production of documents that a driver is ‘required under the Law to keep in the driver’s possession while driving the vehicle.’</w:t>
      </w:r>
    </w:p>
  </w:footnote>
  <w:footnote w:id="12">
    <w:p w:rsidR="007A7147" w:rsidRPr="007A7147" w:rsidRDefault="007A7147" w:rsidP="007A7147">
      <w:pPr>
        <w:pStyle w:val="FootnoteText"/>
        <w:ind w:left="0" w:firstLine="0"/>
        <w:rPr>
          <w:rFonts w:ascii="Arial" w:hAnsi="Arial" w:cs="Arial"/>
          <w:sz w:val="18"/>
          <w:szCs w:val="18"/>
        </w:rPr>
      </w:pPr>
      <w:r>
        <w:rPr>
          <w:rStyle w:val="FootnoteReference"/>
        </w:rPr>
        <w:footnoteRef/>
      </w:r>
      <w:r>
        <w:t xml:space="preserve"> </w:t>
      </w:r>
      <w:r w:rsidR="00CB59D9">
        <w:rPr>
          <w:rFonts w:ascii="Arial" w:hAnsi="Arial" w:cs="Arial"/>
          <w:sz w:val="18"/>
          <w:szCs w:val="18"/>
        </w:rPr>
        <w:t>NTC, 22.</w:t>
      </w:r>
    </w:p>
  </w:footnote>
  <w:footnote w:id="13">
    <w:p w:rsidR="00513A18" w:rsidRPr="00F851FD" w:rsidRDefault="00513A18">
      <w:pPr>
        <w:pStyle w:val="FootnoteText"/>
        <w:rPr>
          <w:rFonts w:ascii="Arial" w:hAnsi="Arial" w:cs="Arial"/>
        </w:rPr>
      </w:pPr>
      <w:r w:rsidRPr="00F851FD">
        <w:rPr>
          <w:rStyle w:val="FootnoteReference"/>
          <w:rFonts w:ascii="Arial" w:hAnsi="Arial" w:cs="Arial"/>
        </w:rPr>
        <w:footnoteRef/>
      </w:r>
      <w:r w:rsidRPr="00F851FD">
        <w:rPr>
          <w:rFonts w:ascii="Arial" w:hAnsi="Arial" w:cs="Arial"/>
        </w:rPr>
        <w:t xml:space="preserve"> </w:t>
      </w:r>
      <w:r w:rsidRPr="00F851FD">
        <w:rPr>
          <w:rFonts w:ascii="Arial" w:hAnsi="Arial" w:cs="Arial"/>
          <w:sz w:val="18"/>
          <w:szCs w:val="18"/>
        </w:rPr>
        <w:t>NTC, 23</w:t>
      </w:r>
    </w:p>
  </w:footnote>
  <w:footnote w:id="14">
    <w:p w:rsidR="00623377" w:rsidRPr="00F851FD" w:rsidRDefault="00623377">
      <w:pPr>
        <w:pStyle w:val="FootnoteText"/>
        <w:rPr>
          <w:rFonts w:ascii="Arial" w:hAnsi="Arial" w:cs="Arial"/>
          <w:sz w:val="18"/>
          <w:szCs w:val="18"/>
        </w:rPr>
      </w:pPr>
      <w:r w:rsidRPr="00F851FD">
        <w:rPr>
          <w:rStyle w:val="FootnoteReference"/>
          <w:rFonts w:ascii="Arial" w:hAnsi="Arial" w:cs="Arial"/>
          <w:sz w:val="18"/>
          <w:szCs w:val="18"/>
        </w:rPr>
        <w:footnoteRef/>
      </w:r>
      <w:r w:rsidRPr="00F851FD">
        <w:rPr>
          <w:rFonts w:ascii="Arial" w:hAnsi="Arial" w:cs="Arial"/>
          <w:sz w:val="18"/>
          <w:szCs w:val="18"/>
        </w:rPr>
        <w:t xml:space="preserve"> s 570(1)(b).</w:t>
      </w:r>
    </w:p>
  </w:footnote>
  <w:footnote w:id="15">
    <w:p w:rsidR="00513A18" w:rsidRPr="00F851FD" w:rsidRDefault="00513A18">
      <w:pPr>
        <w:pStyle w:val="FootnoteText"/>
        <w:rPr>
          <w:rFonts w:ascii="Arial" w:hAnsi="Arial" w:cs="Arial"/>
        </w:rPr>
      </w:pPr>
      <w:r w:rsidRPr="00F851FD">
        <w:rPr>
          <w:rStyle w:val="FootnoteReference"/>
          <w:rFonts w:ascii="Arial" w:hAnsi="Arial" w:cs="Arial"/>
        </w:rPr>
        <w:footnoteRef/>
      </w:r>
      <w:r w:rsidRPr="00F851FD">
        <w:rPr>
          <w:rFonts w:ascii="Arial" w:hAnsi="Arial" w:cs="Arial"/>
        </w:rPr>
        <w:t xml:space="preserve"> </w:t>
      </w:r>
      <w:r w:rsidRPr="00F851FD">
        <w:rPr>
          <w:rFonts w:ascii="Arial" w:hAnsi="Arial" w:cs="Arial"/>
          <w:sz w:val="18"/>
          <w:szCs w:val="18"/>
        </w:rPr>
        <w:t>NTC, 25.</w:t>
      </w:r>
    </w:p>
  </w:footnote>
  <w:footnote w:id="16">
    <w:p w:rsidR="008B3B44" w:rsidRPr="008B3B44" w:rsidRDefault="008B3B44">
      <w:pPr>
        <w:pStyle w:val="FootnoteText"/>
        <w:rPr>
          <w:rFonts w:ascii="Arial" w:hAnsi="Arial" w:cs="Arial"/>
          <w:sz w:val="18"/>
          <w:szCs w:val="18"/>
        </w:rPr>
      </w:pPr>
      <w:r w:rsidRPr="008B3B44">
        <w:rPr>
          <w:rStyle w:val="FootnoteReference"/>
          <w:rFonts w:ascii="Arial" w:hAnsi="Arial" w:cs="Arial"/>
          <w:sz w:val="18"/>
          <w:szCs w:val="18"/>
        </w:rPr>
        <w:footnoteRef/>
      </w:r>
      <w:r w:rsidRPr="008B3B44">
        <w:rPr>
          <w:rFonts w:ascii="Arial" w:hAnsi="Arial" w:cs="Arial"/>
          <w:sz w:val="18"/>
          <w:szCs w:val="18"/>
        </w:rPr>
        <w:t xml:space="preserve"> NTC, 31.</w:t>
      </w:r>
    </w:p>
  </w:footnote>
  <w:footnote w:id="17">
    <w:p w:rsidR="00C24F57" w:rsidRPr="00C24F57" w:rsidRDefault="00C24F57">
      <w:pPr>
        <w:pStyle w:val="FootnoteText"/>
        <w:rPr>
          <w:rFonts w:ascii="Arial" w:hAnsi="Arial" w:cs="Arial"/>
          <w:sz w:val="18"/>
          <w:szCs w:val="18"/>
        </w:rPr>
      </w:pPr>
      <w:r w:rsidRPr="00C24F57">
        <w:rPr>
          <w:rStyle w:val="FootnoteReference"/>
          <w:rFonts w:ascii="Arial" w:hAnsi="Arial" w:cs="Arial"/>
          <w:sz w:val="18"/>
          <w:szCs w:val="18"/>
        </w:rPr>
        <w:footnoteRef/>
      </w:r>
      <w:r w:rsidRPr="00C24F57">
        <w:rPr>
          <w:rFonts w:ascii="Arial" w:hAnsi="Arial" w:cs="Arial"/>
          <w:sz w:val="18"/>
          <w:szCs w:val="18"/>
        </w:rPr>
        <w:t xml:space="preserve"> NTC, 41.</w:t>
      </w:r>
    </w:p>
  </w:footnote>
  <w:footnote w:id="18">
    <w:p w:rsidR="00A50A92" w:rsidRPr="00A50A92" w:rsidRDefault="00A50A92">
      <w:pPr>
        <w:pStyle w:val="FootnoteText"/>
        <w:rPr>
          <w:rFonts w:ascii="Arial" w:hAnsi="Arial" w:cs="Arial"/>
          <w:sz w:val="18"/>
          <w:szCs w:val="18"/>
        </w:rPr>
      </w:pPr>
      <w:r w:rsidRPr="00A50A92">
        <w:rPr>
          <w:rStyle w:val="FootnoteReference"/>
          <w:rFonts w:ascii="Arial" w:hAnsi="Arial" w:cs="Arial"/>
          <w:sz w:val="18"/>
          <w:szCs w:val="18"/>
        </w:rPr>
        <w:footnoteRef/>
      </w:r>
      <w:r w:rsidRPr="00A50A92">
        <w:rPr>
          <w:rFonts w:ascii="Arial" w:hAnsi="Arial" w:cs="Arial"/>
          <w:sz w:val="18"/>
          <w:szCs w:val="18"/>
        </w:rPr>
        <w:t xml:space="preserve"> </w:t>
      </w:r>
      <w:r>
        <w:rPr>
          <w:rFonts w:ascii="Arial" w:hAnsi="Arial" w:cs="Arial"/>
          <w:sz w:val="18"/>
          <w:szCs w:val="18"/>
        </w:rPr>
        <w:t xml:space="preserve">ATA, </w:t>
      </w:r>
      <w:r w:rsidRPr="00A50A92">
        <w:rPr>
          <w:rFonts w:ascii="Arial" w:hAnsi="Arial" w:cs="Arial"/>
          <w:i/>
          <w:sz w:val="18"/>
          <w:szCs w:val="18"/>
        </w:rPr>
        <w:t>National framework for regulation, registration and licensing of heavy vehicles: consultation regulatory impact statement: supplementary submission</w:t>
      </w:r>
      <w:r>
        <w:rPr>
          <w:rFonts w:ascii="Arial" w:hAnsi="Arial" w:cs="Arial"/>
          <w:i/>
          <w:sz w:val="18"/>
          <w:szCs w:val="18"/>
        </w:rPr>
        <w:t xml:space="preserve">. </w:t>
      </w:r>
      <w:r w:rsidR="00ED731E">
        <w:rPr>
          <w:rFonts w:ascii="Arial" w:hAnsi="Arial" w:cs="Arial"/>
          <w:sz w:val="18"/>
          <w:szCs w:val="18"/>
        </w:rPr>
        <w:t>S</w:t>
      </w:r>
      <w:r>
        <w:rPr>
          <w:rFonts w:ascii="Arial" w:hAnsi="Arial" w:cs="Arial"/>
          <w:sz w:val="18"/>
          <w:szCs w:val="18"/>
        </w:rPr>
        <w:t xml:space="preserve">ubmission to the Australian Government Department of Infrastructure, Transport, Regional Development and Local Government, May 2009. </w:t>
      </w:r>
      <w:hyperlink r:id="rId2" w:history="1">
        <w:r w:rsidRPr="00A50A92">
          <w:rPr>
            <w:rStyle w:val="Hyperlink"/>
            <w:rFonts w:ascii="Arial" w:hAnsi="Arial" w:cs="Arial"/>
            <w:sz w:val="18"/>
            <w:szCs w:val="18"/>
          </w:rPr>
          <w:t>Link</w:t>
        </w:r>
      </w:hyperlink>
    </w:p>
  </w:footnote>
  <w:footnote w:id="19">
    <w:p w:rsidR="00CB3313" w:rsidRPr="00CB3313" w:rsidRDefault="00CB3313">
      <w:pPr>
        <w:pStyle w:val="FootnoteText"/>
        <w:rPr>
          <w:rFonts w:ascii="Arial" w:hAnsi="Arial" w:cs="Arial"/>
          <w:sz w:val="18"/>
          <w:szCs w:val="18"/>
        </w:rPr>
      </w:pPr>
      <w:r w:rsidRPr="00CB3313">
        <w:rPr>
          <w:rStyle w:val="FootnoteReference"/>
          <w:rFonts w:ascii="Arial" w:hAnsi="Arial" w:cs="Arial"/>
          <w:sz w:val="18"/>
          <w:szCs w:val="18"/>
        </w:rPr>
        <w:footnoteRef/>
      </w:r>
      <w:r w:rsidRPr="00CB3313">
        <w:rPr>
          <w:rFonts w:ascii="Arial" w:hAnsi="Arial" w:cs="Arial"/>
          <w:sz w:val="18"/>
          <w:szCs w:val="18"/>
        </w:rPr>
        <w:t xml:space="preserve"> </w:t>
      </w:r>
      <w:r>
        <w:rPr>
          <w:rFonts w:ascii="Arial" w:hAnsi="Arial" w:cs="Arial"/>
          <w:sz w:val="18"/>
          <w:szCs w:val="18"/>
        </w:rPr>
        <w:t>NTC, 50.</w:t>
      </w:r>
    </w:p>
  </w:footnote>
  <w:footnote w:id="20">
    <w:p w:rsidR="00CB3313" w:rsidRPr="00CB3313" w:rsidRDefault="00CB3313">
      <w:pPr>
        <w:pStyle w:val="FootnoteText"/>
        <w:rPr>
          <w:rFonts w:ascii="Arial" w:hAnsi="Arial" w:cs="Arial"/>
          <w:sz w:val="18"/>
          <w:szCs w:val="18"/>
        </w:rPr>
      </w:pPr>
      <w:r w:rsidRPr="00CB3313">
        <w:rPr>
          <w:rStyle w:val="FootnoteReference"/>
          <w:rFonts w:ascii="Arial" w:hAnsi="Arial" w:cs="Arial"/>
          <w:sz w:val="18"/>
          <w:szCs w:val="18"/>
        </w:rPr>
        <w:footnoteRef/>
      </w:r>
      <w:r w:rsidRPr="00CB3313">
        <w:rPr>
          <w:rFonts w:ascii="Arial" w:hAnsi="Arial" w:cs="Arial"/>
          <w:sz w:val="18"/>
          <w:szCs w:val="18"/>
        </w:rPr>
        <w:t xml:space="preserve"> </w:t>
      </w:r>
      <w:r>
        <w:rPr>
          <w:rFonts w:ascii="Arial" w:hAnsi="Arial" w:cs="Arial"/>
          <w:sz w:val="18"/>
          <w:szCs w:val="18"/>
        </w:rPr>
        <w:t>NTC,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09" w:rsidRDefault="00A234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D2" w:rsidRPr="007B71D2" w:rsidRDefault="00522C3D" w:rsidP="00522C3D">
    <w:pPr>
      <w:pStyle w:val="Header"/>
      <w:jc w:val="right"/>
      <w:rPr>
        <w:rFonts w:ascii="Arial" w:hAnsi="Arial" w:cs="Arial"/>
        <w:sz w:val="22"/>
        <w:szCs w:val="22"/>
      </w:rPr>
    </w:pPr>
    <w:r>
      <w:rPr>
        <w:rFonts w:ascii="Arial" w:hAnsi="Arial" w:cs="Arial"/>
        <w:sz w:val="22"/>
        <w:szCs w:val="22"/>
      </w:rPr>
      <w:t>ATA/Investigative and enforcement powers/</w:t>
    </w:r>
    <w:r w:rsidRPr="00522C3D">
      <w:rPr>
        <w:rFonts w:ascii="Arial" w:hAnsi="Arial" w:cs="Arial"/>
        <w:sz w:val="22"/>
        <w:szCs w:val="22"/>
      </w:rPr>
      <w:fldChar w:fldCharType="begin"/>
    </w:r>
    <w:r w:rsidRPr="00522C3D">
      <w:rPr>
        <w:rFonts w:ascii="Arial" w:hAnsi="Arial" w:cs="Arial"/>
        <w:sz w:val="22"/>
        <w:szCs w:val="22"/>
      </w:rPr>
      <w:instrText xml:space="preserve"> PAGE   \* MERGEFORMAT </w:instrText>
    </w:r>
    <w:r w:rsidRPr="00522C3D">
      <w:rPr>
        <w:rFonts w:ascii="Arial" w:hAnsi="Arial" w:cs="Arial"/>
        <w:sz w:val="22"/>
        <w:szCs w:val="22"/>
      </w:rPr>
      <w:fldChar w:fldCharType="separate"/>
    </w:r>
    <w:r w:rsidR="00A23409">
      <w:rPr>
        <w:rFonts w:ascii="Arial" w:hAnsi="Arial" w:cs="Arial"/>
        <w:noProof/>
        <w:sz w:val="22"/>
        <w:szCs w:val="22"/>
      </w:rPr>
      <w:t>8</w:t>
    </w:r>
    <w:r w:rsidRPr="00522C3D">
      <w:rPr>
        <w:rFonts w:ascii="Arial" w:hAnsi="Arial" w:cs="Arial"/>
        <w:noProof/>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D2" w:rsidRDefault="007B71D2" w:rsidP="007B71D2">
    <w:pPr>
      <w:pStyle w:val="Header"/>
      <w:jc w:val="center"/>
    </w:pPr>
    <w:r>
      <w:rPr>
        <w:noProof/>
        <w:lang w:eastAsia="en-AU"/>
      </w:rPr>
      <w:drawing>
        <wp:inline distT="0" distB="0" distL="0" distR="0" wp14:anchorId="1A76DE87" wp14:editId="5D439F9B">
          <wp:extent cx="115062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620" cy="55626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0"/>
        </w:tabs>
        <w:ind w:left="360" w:hanging="360"/>
      </w:pPr>
      <w:rPr>
        <w:rFonts w:cs="Times New Roman"/>
      </w:rPr>
    </w:lvl>
    <w:lvl w:ilvl="1">
      <w:start w:val="1"/>
      <w:numFmt w:val="decimal"/>
      <w:pStyle w:val="ATAHeading2"/>
      <w:lvlText w:val="%1.%2."/>
      <w:lvlJc w:val="left"/>
      <w:pPr>
        <w:tabs>
          <w:tab w:val="num" w:pos="0"/>
        </w:tabs>
        <w:ind w:left="716" w:hanging="432"/>
      </w:pPr>
      <w:rPr>
        <w:rFonts w:cs="Times New Roman"/>
      </w:rPr>
    </w:lvl>
    <w:lvl w:ilvl="2">
      <w:start w:val="1"/>
      <w:numFmt w:val="decimal"/>
      <w:pStyle w:val="ATAHeading3"/>
      <w:lvlText w:val="%1.%2.%3."/>
      <w:lvlJc w:val="left"/>
      <w:pPr>
        <w:tabs>
          <w:tab w:val="num" w:pos="0"/>
        </w:tabs>
        <w:ind w:left="1224" w:hanging="504"/>
      </w:pPr>
      <w:rPr>
        <w:rFonts w:cs="Times New Roman"/>
        <w:b/>
        <w:color w:val="000064"/>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2CEF047B"/>
    <w:multiLevelType w:val="hybridMultilevel"/>
    <w:tmpl w:val="194CC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0D09EC"/>
    <w:multiLevelType w:val="hybridMultilevel"/>
    <w:tmpl w:val="991E7A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8DA63DF"/>
    <w:multiLevelType w:val="multilevel"/>
    <w:tmpl w:val="E09A254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5EDB477C"/>
    <w:multiLevelType w:val="hybridMultilevel"/>
    <w:tmpl w:val="14D80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B7"/>
    <w:rsid w:val="00046CF1"/>
    <w:rsid w:val="00086D94"/>
    <w:rsid w:val="000D1AC2"/>
    <w:rsid w:val="001626B6"/>
    <w:rsid w:val="001C2638"/>
    <w:rsid w:val="00233B71"/>
    <w:rsid w:val="00245D22"/>
    <w:rsid w:val="003254B1"/>
    <w:rsid w:val="0032632E"/>
    <w:rsid w:val="00363216"/>
    <w:rsid w:val="004505C2"/>
    <w:rsid w:val="0048114E"/>
    <w:rsid w:val="0048233B"/>
    <w:rsid w:val="004A5C69"/>
    <w:rsid w:val="004B53F7"/>
    <w:rsid w:val="004D16B7"/>
    <w:rsid w:val="00502D7A"/>
    <w:rsid w:val="00513A18"/>
    <w:rsid w:val="00522C3D"/>
    <w:rsid w:val="0059319C"/>
    <w:rsid w:val="00623377"/>
    <w:rsid w:val="00660957"/>
    <w:rsid w:val="006B4EA3"/>
    <w:rsid w:val="007106AD"/>
    <w:rsid w:val="0074469A"/>
    <w:rsid w:val="007A7147"/>
    <w:rsid w:val="007B71D2"/>
    <w:rsid w:val="008779D3"/>
    <w:rsid w:val="008B3B44"/>
    <w:rsid w:val="008D0C59"/>
    <w:rsid w:val="00942866"/>
    <w:rsid w:val="00951499"/>
    <w:rsid w:val="00A23409"/>
    <w:rsid w:val="00A50A92"/>
    <w:rsid w:val="00A658DE"/>
    <w:rsid w:val="00B13EC1"/>
    <w:rsid w:val="00B35E61"/>
    <w:rsid w:val="00B54C8A"/>
    <w:rsid w:val="00B87CEB"/>
    <w:rsid w:val="00BC6893"/>
    <w:rsid w:val="00BD01CE"/>
    <w:rsid w:val="00BD4C1C"/>
    <w:rsid w:val="00BD525C"/>
    <w:rsid w:val="00C24F57"/>
    <w:rsid w:val="00C34231"/>
    <w:rsid w:val="00CB3313"/>
    <w:rsid w:val="00CB59D9"/>
    <w:rsid w:val="00DD4C4A"/>
    <w:rsid w:val="00ED731E"/>
    <w:rsid w:val="00F227BB"/>
    <w:rsid w:val="00F851FD"/>
    <w:rsid w:val="00FE5746"/>
    <w:rsid w:val="00FE66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Calibri"/>
      <w:color w:val="000000"/>
      <w:sz w:val="24"/>
      <w:szCs w:val="24"/>
      <w:lang w:eastAsia="ar-SA"/>
    </w:rPr>
  </w:style>
  <w:style w:type="paragraph" w:styleId="Heading1">
    <w:name w:val="heading 1"/>
    <w:basedOn w:val="Normal"/>
    <w:next w:val="BodyText"/>
    <w:qFormat/>
    <w:pPr>
      <w:numPr>
        <w:numId w:val="1"/>
      </w:numPr>
      <w:outlineLvl w:val="0"/>
    </w:pPr>
    <w:rPr>
      <w:rFonts w:ascii="Arial" w:hAnsi="Arial" w:cs="Arial"/>
      <w:b/>
      <w:color w:val="000064"/>
      <w:sz w:val="28"/>
      <w:szCs w:val="28"/>
    </w:rPr>
  </w:style>
  <w:style w:type="paragraph" w:styleId="Heading2">
    <w:name w:val="heading 2"/>
    <w:basedOn w:val="Normal"/>
    <w:next w:val="BodyText"/>
    <w:qFormat/>
    <w:pPr>
      <w:keepNext/>
      <w:keepLines/>
      <w:tabs>
        <w:tab w:val="num" w:pos="0"/>
      </w:tabs>
      <w:spacing w:before="200"/>
      <w:ind w:left="360" w:hanging="360"/>
      <w:outlineLvl w:val="1"/>
    </w:pPr>
    <w:rPr>
      <w:rFonts w:ascii="Cambria" w:hAnsi="Cambria" w:cs="font332"/>
      <w:b/>
      <w:bCs/>
      <w:color w:val="4F81BD"/>
      <w:sz w:val="26"/>
      <w:szCs w:val="26"/>
    </w:rPr>
  </w:style>
  <w:style w:type="paragraph" w:styleId="Heading3">
    <w:name w:val="heading 3"/>
    <w:basedOn w:val="Normal"/>
    <w:next w:val="BodyText"/>
    <w:qFormat/>
    <w:pPr>
      <w:keepNext/>
      <w:tabs>
        <w:tab w:val="num" w:pos="0"/>
      </w:tabs>
      <w:spacing w:before="240" w:after="60"/>
      <w:ind w:left="360" w:hanging="3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hAnsi="Arial" w:cs="Arial"/>
      <w:b/>
      <w:color w:val="000064"/>
      <w:sz w:val="28"/>
      <w:szCs w:val="28"/>
    </w:rPr>
  </w:style>
  <w:style w:type="character" w:customStyle="1" w:styleId="Heading2Char">
    <w:name w:val="Heading 2 Char"/>
    <w:basedOn w:val="DefaultParagraphFont"/>
    <w:rPr>
      <w:rFonts w:ascii="Cambria" w:hAnsi="Cambria" w:cs="font332"/>
      <w:b/>
      <w:bCs/>
      <w:color w:val="4F81BD"/>
      <w:sz w:val="26"/>
      <w:szCs w:val="26"/>
    </w:rPr>
  </w:style>
  <w:style w:type="character" w:customStyle="1" w:styleId="Heading3Char">
    <w:name w:val="Heading 3 Char"/>
    <w:basedOn w:val="DefaultParagraphFont"/>
    <w:rPr>
      <w:rFonts w:ascii="Cambria" w:hAnsi="Cambria" w:cs="Times New Roman"/>
      <w:b/>
      <w:bCs/>
      <w:sz w:val="26"/>
      <w:szCs w:val="26"/>
    </w:rPr>
  </w:style>
  <w:style w:type="character" w:customStyle="1" w:styleId="BodyText2Char">
    <w:name w:val="Body Text 2 Char"/>
    <w:basedOn w:val="DefaultParagraphFont"/>
    <w:rPr>
      <w:rFonts w:ascii="Arial" w:hAnsi="Arial" w:cs="Arial"/>
      <w:b/>
      <w:bCs/>
      <w:sz w:val="20"/>
      <w:szCs w:val="20"/>
    </w:rPr>
  </w:style>
  <w:style w:type="character" w:customStyle="1" w:styleId="HeaderChar">
    <w:name w:val="Header Char"/>
    <w:basedOn w:val="DefaultParagraphFont"/>
    <w:rPr>
      <w:rFonts w:cs="Times New Roman"/>
      <w:sz w:val="22"/>
      <w:szCs w:val="22"/>
    </w:rPr>
  </w:style>
  <w:style w:type="character" w:customStyle="1" w:styleId="FooterChar">
    <w:name w:val="Footer Char"/>
    <w:basedOn w:val="DefaultParagraphFont"/>
    <w:rPr>
      <w:rFonts w:cs="Times New Roman"/>
      <w:sz w:val="22"/>
      <w:szCs w:val="22"/>
    </w:rPr>
  </w:style>
  <w:style w:type="character" w:customStyle="1" w:styleId="FootnoteTextChar">
    <w:name w:val="Footnote Text Char"/>
    <w:basedOn w:val="DefaultParagraphFont"/>
    <w:rPr>
      <w:rFonts w:cs="Times New Roman"/>
    </w:rPr>
  </w:style>
  <w:style w:type="character" w:customStyle="1" w:styleId="FootnoteReference1">
    <w:name w:val="Footnote Reference1"/>
    <w:basedOn w:val="DefaultParagraphFont"/>
    <w:rPr>
      <w:rFonts w:cs="Times New Roman"/>
      <w:vertAlign w:val="superscript"/>
    </w:rPr>
  </w:style>
  <w:style w:type="character" w:customStyle="1" w:styleId="DefaultChar">
    <w:name w:val="Default Char"/>
    <w:basedOn w:val="DefaultParagraphFont"/>
    <w:rPr>
      <w:rFonts w:ascii="Times New Roman" w:hAnsi="Times New Roman"/>
      <w:color w:val="000000"/>
      <w:sz w:val="24"/>
      <w:szCs w:val="24"/>
      <w:lang w:val="en-AU" w:eastAsia="ar-SA" w:bidi="ar-SA"/>
    </w:rPr>
  </w:style>
  <w:style w:type="character" w:customStyle="1" w:styleId="ATAHeading2Char">
    <w:name w:val="ATA Heading 2 Char"/>
    <w:basedOn w:val="DefaultParagraphFont"/>
    <w:rPr>
      <w:rFonts w:ascii="Arial" w:hAnsi="Arial" w:cs="Arial"/>
      <w:b/>
      <w:color w:val="000064"/>
      <w:sz w:val="26"/>
      <w:szCs w:val="26"/>
    </w:rPr>
  </w:style>
  <w:style w:type="character" w:customStyle="1" w:styleId="ATAHeading3Char">
    <w:name w:val="ATA Heading 3 Char"/>
    <w:basedOn w:val="DefaultParagraphFont"/>
    <w:rPr>
      <w:rFonts w:ascii="Arial" w:hAnsi="Arial" w:cs="Arial"/>
      <w:b/>
      <w:i/>
      <w:color w:val="0D0D0D"/>
      <w:sz w:val="22"/>
      <w:szCs w:val="22"/>
    </w:rPr>
  </w:style>
  <w:style w:type="character" w:customStyle="1" w:styleId="QuotesChar">
    <w:name w:val="Quotes Char"/>
    <w:basedOn w:val="DefaultChar"/>
    <w:rPr>
      <w:rFonts w:ascii="Times New Roman" w:hAnsi="Times New Roman"/>
      <w:color w:val="000000"/>
      <w:sz w:val="22"/>
      <w:szCs w:val="22"/>
      <w:lang w:val="en-AU" w:eastAsia="ar-SA" w:bidi="ar-SA"/>
    </w:rPr>
  </w:style>
  <w:style w:type="character" w:customStyle="1" w:styleId="ATARecommendationHeadingChar">
    <w:name w:val="ATA Recommendation Heading Char"/>
    <w:basedOn w:val="DefaultParagraphFont"/>
    <w:rPr>
      <w:rFonts w:ascii="Arial" w:hAnsi="Arial" w:cs="Arial"/>
      <w:i/>
      <w:sz w:val="22"/>
      <w:szCs w:val="22"/>
    </w:rPr>
  </w:style>
  <w:style w:type="character" w:customStyle="1" w:styleId="BalloonTextChar">
    <w:name w:val="Balloon Text Char"/>
    <w:basedOn w:val="DefaultParagraphFont"/>
    <w:rPr>
      <w:rFonts w:ascii="Tahoma" w:hAnsi="Tahoma" w:cs="Tahoma"/>
      <w:sz w:val="16"/>
      <w:szCs w:val="16"/>
    </w:rPr>
  </w:style>
  <w:style w:type="character" w:styleId="Strong">
    <w:name w:val="Strong"/>
    <w:basedOn w:val="DefaultParagraphFont"/>
    <w:qFormat/>
    <w:rPr>
      <w:b/>
      <w:bCs/>
    </w:rPr>
  </w:style>
  <w:style w:type="character" w:customStyle="1" w:styleId="EndnoteTextChar">
    <w:name w:val="Endnote Text Char"/>
    <w:basedOn w:val="DefaultParagraphFont"/>
  </w:style>
  <w:style w:type="character" w:customStyle="1" w:styleId="EndnoteReference1">
    <w:name w:val="Endnote Reference1"/>
    <w:basedOn w:val="DefaultParagraphFont"/>
    <w:rPr>
      <w:vertAlign w:val="superscript"/>
    </w:rPr>
  </w:style>
  <w:style w:type="character" w:customStyle="1" w:styleId="RecommendationStyleChar">
    <w:name w:val="Recommendation Style Char"/>
    <w:basedOn w:val="ATARecommendationHeadingChar"/>
    <w:rPr>
      <w:rFonts w:ascii="Arial" w:hAnsi="Arial" w:cs="Arial"/>
      <w:b/>
      <w:i/>
      <w:sz w:val="22"/>
      <w:szCs w:val="22"/>
    </w:rPr>
  </w:style>
  <w:style w:type="character" w:customStyle="1" w:styleId="RecommendationStyle2Char">
    <w:name w:val="Recommendation Style 2 Char"/>
    <w:basedOn w:val="DefaultParagraphFont"/>
    <w:rPr>
      <w:rFonts w:ascii="Arial" w:hAnsi="Arial" w:cs="Arial"/>
      <w:b/>
    </w:rPr>
  </w:style>
  <w:style w:type="character" w:styleId="Hyperlink">
    <w:name w:val="Hyperlink"/>
    <w:basedOn w:val="DefaultParagraphFont"/>
    <w:rPr>
      <w:color w:val="0000FF"/>
      <w:u w:val="single"/>
    </w:rPr>
  </w:style>
  <w:style w:type="character" w:customStyle="1" w:styleId="RecommendationStyle3Char">
    <w:name w:val="Recommendation Style 3 Char"/>
    <w:basedOn w:val="RecommendationStyle2Char"/>
    <w:rPr>
      <w:rFonts w:ascii="Arial" w:hAnsi="Arial" w:cs="Arial"/>
      <w:b/>
      <w:color w:val="FFFFFF"/>
    </w:rPr>
  </w:style>
  <w:style w:type="character" w:customStyle="1" w:styleId="ATASubHead1Char">
    <w:name w:val="ATASubHead1 Char"/>
    <w:rPr>
      <w:rFonts w:ascii="Arial" w:hAnsi="Arial" w:cs="Arial"/>
      <w:b/>
      <w:color w:val="000064"/>
      <w:sz w:val="28"/>
      <w:szCs w:val="28"/>
    </w:rPr>
  </w:style>
  <w:style w:type="character" w:customStyle="1" w:styleId="author-name2">
    <w:name w:val="author-name2"/>
    <w:basedOn w:val="DefaultParagraphFont"/>
    <w:rPr>
      <w:b/>
      <w:bCs/>
    </w:rPr>
  </w:style>
  <w:style w:type="character" w:customStyle="1" w:styleId="source-name5">
    <w:name w:val="source-name5"/>
    <w:basedOn w:val="DefaultParagraphFont"/>
    <w:rPr>
      <w:i/>
      <w:iCs/>
    </w:rPr>
  </w:style>
  <w:style w:type="character" w:customStyle="1" w:styleId="publish-date5">
    <w:name w:val="publish-date5"/>
    <w:basedOn w:val="DefaultParagraphFont"/>
    <w:rPr>
      <w:i/>
      <w:iCs/>
      <w:sz w:val="14"/>
      <w:szCs w:val="14"/>
    </w:rPr>
  </w:style>
  <w:style w:type="character" w:styleId="FollowedHyperlink">
    <w:name w:val="FollowedHyperlink"/>
    <w:basedOn w:val="DefaultParagraphFont"/>
    <w:rPr>
      <w:color w:val="800080"/>
      <w:u w:val="single"/>
    </w:rPr>
  </w:style>
  <w:style w:type="character" w:customStyle="1" w:styleId="ATAPreMnormChar">
    <w:name w:val="ATAPreM norm Char"/>
    <w:basedOn w:val="DefaultParagraphFont"/>
    <w:rPr>
      <w:rFonts w:ascii="Arial" w:eastAsia="Times New Roman" w:hAnsi="Arial" w:cs="Arial"/>
      <w:i/>
      <w:color w:val="000000"/>
    </w:rPr>
  </w:style>
  <w:style w:type="character" w:customStyle="1" w:styleId="ATAPervMHeadingChar">
    <w:name w:val="ATAPervMHeading Char"/>
    <w:basedOn w:val="DefaultParagraphFont"/>
    <w:rPr>
      <w:rFonts w:ascii="Arial" w:hAnsi="Arial" w:cs="Arial"/>
      <w:b/>
      <w:i/>
    </w:rPr>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style>
  <w:style w:type="character" w:customStyle="1" w:styleId="CommentSubjectChar">
    <w:name w:val="Comment Subject Char"/>
    <w:basedOn w:val="CommentTextChar"/>
    <w:rPr>
      <w:b/>
      <w:bCs/>
    </w:rPr>
  </w:style>
  <w:style w:type="character" w:customStyle="1" w:styleId="PlainTextChar">
    <w:name w:val="Plain Text Char"/>
    <w:basedOn w:val="DefaultParagraphFont"/>
    <w:rPr>
      <w:rFonts w:ascii="Consolas" w:hAnsi="Consolas" w:cs="Consolas"/>
      <w:sz w:val="21"/>
      <w:szCs w:val="21"/>
    </w:rPr>
  </w:style>
  <w:style w:type="character" w:customStyle="1" w:styleId="apple-converted-space">
    <w:name w:val="apple-converted-space"/>
    <w:basedOn w:val="DefaultParagraphFont"/>
  </w:style>
  <w:style w:type="character" w:customStyle="1" w:styleId="filesize">
    <w:name w:val="filesize"/>
    <w:basedOn w:val="DefaultParagraphFont"/>
  </w:style>
  <w:style w:type="character" w:customStyle="1" w:styleId="BodyTextChar">
    <w:name w:val="Body Text Char"/>
    <w:basedOn w:val="DefaultParagraphFont"/>
    <w:rPr>
      <w:sz w:val="22"/>
      <w:szCs w:val="22"/>
    </w:rPr>
  </w:style>
  <w:style w:type="character" w:customStyle="1" w:styleId="SubtitleChar">
    <w:name w:val="Subtitle Char"/>
    <w:basedOn w:val="DefaultParagraphFont"/>
    <w:rPr>
      <w:rFonts w:ascii="Arial" w:eastAsia="Times New Roman" w:hAnsi="Arial"/>
      <w:b/>
      <w:sz w:val="24"/>
    </w:rPr>
  </w:style>
  <w:style w:type="character" w:customStyle="1" w:styleId="ListLabel1">
    <w:name w:val="ListLabel 1"/>
    <w:rPr>
      <w:rFonts w:cs="Times New Roman"/>
    </w:rPr>
  </w:style>
  <w:style w:type="character" w:customStyle="1" w:styleId="ListLabel2">
    <w:name w:val="ListLabel 2"/>
    <w:rPr>
      <w:rFonts w:cs="Times New Roman"/>
      <w:b/>
      <w:color w:val="000064"/>
    </w:rPr>
  </w:style>
  <w:style w:type="character" w:customStyle="1" w:styleId="ListLabel3">
    <w:name w:val="ListLabel 3"/>
    <w:rPr>
      <w:rFonts w:cs="Times New Roman"/>
      <w:b/>
      <w:i/>
      <w:caps w:val="0"/>
      <w:smallCaps w:val="0"/>
      <w:strike w:val="0"/>
      <w:dstrike w:val="0"/>
      <w:vanish w:val="0"/>
      <w:color w:val="000000"/>
      <w:position w:val="0"/>
      <w:sz w:val="20"/>
      <w:vertAlign w:val="baseline"/>
    </w:rPr>
  </w:style>
  <w:style w:type="character" w:customStyle="1" w:styleId="ListLabel4">
    <w:name w:val="ListLabel 4"/>
    <w:rPr>
      <w:rFonts w:cs="Courier New"/>
    </w:rPr>
  </w:style>
  <w:style w:type="character" w:customStyle="1" w:styleId="ListLabel5">
    <w:name w:val="ListLabel 5"/>
    <w:rPr>
      <w:i w:val="0"/>
    </w:rPr>
  </w:style>
  <w:style w:type="character" w:customStyle="1" w:styleId="ListLabel6">
    <w:name w:val="ListLabel 6"/>
    <w:rPr>
      <w:b/>
    </w:rPr>
  </w:style>
  <w:style w:type="character" w:customStyle="1" w:styleId="FootnoteCharacters">
    <w:name w:val="Footnote Character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2">
    <w:name w:val="Body Text 2"/>
    <w:basedOn w:val="Normal"/>
    <w:rPr>
      <w:rFonts w:ascii="Arial" w:eastAsia="Times New Roman" w:hAnsi="Arial" w:cs="Arial"/>
      <w:b/>
      <w:bCs/>
      <w:szCs w:val="20"/>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styleId="ListParagraph">
    <w:name w:val="List Paragraph"/>
    <w:basedOn w:val="Normal"/>
    <w:qFormat/>
    <w:pPr>
      <w:spacing w:after="200" w:line="276" w:lineRule="auto"/>
      <w:ind w:left="720"/>
    </w:pPr>
  </w:style>
  <w:style w:type="paragraph" w:customStyle="1" w:styleId="FootnoteText1">
    <w:name w:val="Footnote Text1"/>
    <w:basedOn w:val="Normal"/>
    <w:rPr>
      <w:sz w:val="20"/>
      <w:szCs w:val="20"/>
    </w:rPr>
  </w:style>
  <w:style w:type="paragraph" w:customStyle="1" w:styleId="ATAHeading2">
    <w:name w:val="ATA Heading 2"/>
    <w:basedOn w:val="Normal"/>
    <w:pPr>
      <w:numPr>
        <w:ilvl w:val="1"/>
        <w:numId w:val="1"/>
      </w:numPr>
      <w:spacing w:before="120" w:after="120" w:line="276" w:lineRule="auto"/>
      <w:outlineLvl w:val="1"/>
    </w:pPr>
    <w:rPr>
      <w:rFonts w:ascii="Arial" w:hAnsi="Arial" w:cs="Arial"/>
      <w:b/>
      <w:color w:val="000064"/>
      <w:sz w:val="26"/>
      <w:szCs w:val="26"/>
    </w:rPr>
  </w:style>
  <w:style w:type="paragraph" w:customStyle="1" w:styleId="ATAHeading3">
    <w:name w:val="ATA Heading 3"/>
    <w:basedOn w:val="ATAHeading2"/>
    <w:pPr>
      <w:numPr>
        <w:ilvl w:val="2"/>
      </w:numPr>
      <w:tabs>
        <w:tab w:val="left" w:pos="992"/>
      </w:tabs>
      <w:outlineLvl w:val="2"/>
    </w:pPr>
    <w:rPr>
      <w:i/>
      <w:color w:val="0D0D0D"/>
      <w:sz w:val="22"/>
      <w:szCs w:val="22"/>
    </w:rPr>
  </w:style>
  <w:style w:type="paragraph" w:customStyle="1" w:styleId="Quotes">
    <w:name w:val="Quotes"/>
    <w:basedOn w:val="Normal"/>
    <w:pPr>
      <w:ind w:left="851"/>
    </w:pPr>
    <w:rPr>
      <w:sz w:val="22"/>
      <w:szCs w:val="22"/>
    </w:rPr>
  </w:style>
  <w:style w:type="paragraph" w:customStyle="1" w:styleId="ATARecommendationHeading">
    <w:name w:val="ATA Recommendation Heading"/>
    <w:basedOn w:val="Normal"/>
    <w:rPr>
      <w:rFonts w:ascii="Arial" w:hAnsi="Arial" w:cs="Arial"/>
      <w:i/>
    </w:rPr>
  </w:style>
  <w:style w:type="paragraph" w:styleId="BalloonText">
    <w:name w:val="Balloon Text"/>
    <w:basedOn w:val="Normal"/>
    <w:rPr>
      <w:rFonts w:ascii="Tahoma" w:hAnsi="Tahoma" w:cs="Tahoma"/>
      <w:sz w:val="16"/>
      <w:szCs w:val="16"/>
    </w:rPr>
  </w:style>
  <w:style w:type="paragraph" w:customStyle="1" w:styleId="EndnoteText1">
    <w:name w:val="Endnote Text1"/>
    <w:basedOn w:val="Normal"/>
    <w:rPr>
      <w:sz w:val="20"/>
      <w:szCs w:val="20"/>
    </w:rPr>
  </w:style>
  <w:style w:type="paragraph" w:styleId="TOC1">
    <w:name w:val="toc 1"/>
    <w:basedOn w:val="Normal"/>
    <w:pPr>
      <w:tabs>
        <w:tab w:val="right" w:leader="dot" w:pos="9628"/>
      </w:tabs>
      <w:spacing w:before="360" w:after="100"/>
    </w:pPr>
    <w:rPr>
      <w:rFonts w:ascii="Arial" w:hAnsi="Arial" w:cs="Arial"/>
      <w:b/>
      <w:sz w:val="20"/>
      <w:szCs w:val="20"/>
    </w:rPr>
  </w:style>
  <w:style w:type="paragraph" w:styleId="TOC2">
    <w:name w:val="toc 2"/>
    <w:basedOn w:val="Normal"/>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pPr>
      <w:tabs>
        <w:tab w:val="left" w:pos="2098"/>
      </w:tabs>
      <w:spacing w:before="240" w:after="120"/>
    </w:pPr>
    <w:rPr>
      <w:b/>
      <w:sz w:val="20"/>
      <w:szCs w:val="20"/>
    </w:rPr>
  </w:style>
  <w:style w:type="paragraph" w:customStyle="1" w:styleId="RecommendationStyle2">
    <w:name w:val="Recommendation Style 2"/>
    <w:basedOn w:val="Normal"/>
    <w:pPr>
      <w:jc w:val="both"/>
    </w:pPr>
    <w:rPr>
      <w:rFonts w:ascii="Arial" w:hAnsi="Arial" w:cs="Arial"/>
      <w:b/>
      <w:sz w:val="20"/>
      <w:szCs w:val="20"/>
    </w:rPr>
  </w:style>
  <w:style w:type="paragraph" w:customStyle="1" w:styleId="RecommendationStyle3">
    <w:name w:val="Recommendation Style 3"/>
    <w:basedOn w:val="RecommendationStyle2"/>
    <w:rPr>
      <w:color w:val="FFFFFF"/>
    </w:rPr>
  </w:style>
  <w:style w:type="paragraph" w:styleId="TOC3">
    <w:name w:val="toc 3"/>
    <w:basedOn w:val="Normal"/>
    <w:pPr>
      <w:tabs>
        <w:tab w:val="right" w:leader="dot" w:pos="9628"/>
      </w:tabs>
      <w:ind w:left="442"/>
    </w:pPr>
    <w:rPr>
      <w:color w:val="FFFFFF"/>
    </w:rPr>
  </w:style>
  <w:style w:type="paragraph" w:customStyle="1" w:styleId="ATASubHead1">
    <w:name w:val="ATASubHead1"/>
    <w:basedOn w:val="Normal"/>
    <w:pPr>
      <w:tabs>
        <w:tab w:val="left" w:pos="851"/>
      </w:tabs>
      <w:spacing w:before="240" w:after="120"/>
    </w:pPr>
    <w:rPr>
      <w:rFonts w:ascii="Arial" w:hAnsi="Arial" w:cs="Arial"/>
      <w:b/>
      <w:color w:val="000064"/>
      <w:sz w:val="28"/>
      <w:szCs w:val="28"/>
    </w:rPr>
  </w:style>
  <w:style w:type="paragraph" w:styleId="NormalWeb">
    <w:name w:val="Normal (Web)"/>
    <w:basedOn w:val="Normal"/>
    <w:pPr>
      <w:spacing w:before="100" w:after="100"/>
    </w:pPr>
    <w:rPr>
      <w:rFonts w:eastAsia="Times New Roman"/>
    </w:rPr>
  </w:style>
  <w:style w:type="paragraph" w:customStyle="1" w:styleId="ATAPreMnorm">
    <w:name w:val="ATAPreM norm"/>
    <w:basedOn w:val="Normal"/>
    <w:rPr>
      <w:rFonts w:ascii="Arial" w:eastAsia="Times New Roman" w:hAnsi="Arial" w:cs="Arial"/>
      <w:i/>
      <w:sz w:val="20"/>
      <w:szCs w:val="20"/>
    </w:rPr>
  </w:style>
  <w:style w:type="paragraph" w:customStyle="1" w:styleId="ATAPervMHeading">
    <w:name w:val="ATAPervMHeading"/>
    <w:basedOn w:val="Normal"/>
    <w:pPr>
      <w:tabs>
        <w:tab w:val="left" w:pos="851"/>
      </w:tabs>
      <w:ind w:left="851" w:hanging="851"/>
    </w:pPr>
    <w:rPr>
      <w:rFonts w:ascii="Arial" w:hAnsi="Arial" w:cs="Arial"/>
      <w:b/>
      <w:i/>
      <w:sz w:val="20"/>
      <w:szCs w:val="20"/>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PlainText">
    <w:name w:val="Plain Text"/>
    <w:basedOn w:val="Normal"/>
    <w:rPr>
      <w:rFonts w:ascii="Consolas" w:hAnsi="Consolas" w:cs="Consolas"/>
      <w:sz w:val="21"/>
      <w:szCs w:val="21"/>
    </w:rPr>
  </w:style>
  <w:style w:type="paragraph" w:styleId="NoSpacing">
    <w:name w:val="No Spacing"/>
    <w:basedOn w:val="Normal"/>
    <w:qFormat/>
    <w:rPr>
      <w:rFonts w:cs="Calibri"/>
      <w:color w:val="404040"/>
      <w:sz w:val="19"/>
      <w:szCs w:val="19"/>
    </w:rPr>
  </w:style>
  <w:style w:type="paragraph" w:customStyle="1" w:styleId="BodyText1">
    <w:name w:val="Body Text 1"/>
    <w:basedOn w:val="Normal"/>
    <w:pPr>
      <w:spacing w:before="240"/>
    </w:pPr>
    <w:rPr>
      <w:rFonts w:ascii="Arial" w:eastAsia="Times New Roman" w:hAnsi="Arial"/>
      <w:sz w:val="20"/>
      <w:szCs w:val="20"/>
    </w:rPr>
  </w:style>
  <w:style w:type="paragraph" w:styleId="Subtitle">
    <w:name w:val="Subtitle"/>
    <w:basedOn w:val="Normal"/>
    <w:next w:val="BodyText"/>
    <w:qFormat/>
    <w:pPr>
      <w:keepNext/>
      <w:spacing w:before="480"/>
    </w:pPr>
    <w:rPr>
      <w:rFonts w:ascii="Arial" w:eastAsia="Times New Roman" w:hAnsi="Arial"/>
      <w:b/>
      <w:i/>
      <w:iCs/>
      <w:szCs w:val="20"/>
    </w:rPr>
  </w:style>
  <w:style w:type="paragraph" w:customStyle="1" w:styleId="NRFABullet1">
    <w:name w:val="NRFA Bullet 1"/>
    <w:basedOn w:val="BodyText2"/>
    <w:pPr>
      <w:tabs>
        <w:tab w:val="left" w:pos="709"/>
      </w:tabs>
      <w:spacing w:before="240"/>
    </w:pPr>
    <w:rPr>
      <w:rFonts w:cs="Times New Roman"/>
      <w:b w:val="0"/>
      <w:bCs w:val="0"/>
      <w:sz w:val="20"/>
    </w:rPr>
  </w:style>
  <w:style w:type="paragraph" w:customStyle="1" w:styleId="NRFABullet2">
    <w:name w:val="NRFA Bullet 2"/>
    <w:basedOn w:val="NRFABullet1"/>
  </w:style>
  <w:style w:type="paragraph" w:styleId="FootnoteText">
    <w:name w:val="footnote text"/>
    <w:basedOn w:val="Normal"/>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781186">
      <w:bodyDiv w:val="1"/>
      <w:marLeft w:val="0"/>
      <w:marRight w:val="0"/>
      <w:marTop w:val="0"/>
      <w:marBottom w:val="0"/>
      <w:divBdr>
        <w:top w:val="none" w:sz="0" w:space="0" w:color="auto"/>
        <w:left w:val="none" w:sz="0" w:space="0" w:color="auto"/>
        <w:bottom w:val="none" w:sz="0" w:space="0" w:color="auto"/>
        <w:right w:val="none" w:sz="0" w:space="0" w:color="auto"/>
      </w:divBdr>
      <w:divsChild>
        <w:div w:id="2073657156">
          <w:marLeft w:val="0"/>
          <w:marRight w:val="0"/>
          <w:marTop w:val="0"/>
          <w:marBottom w:val="0"/>
          <w:divBdr>
            <w:top w:val="none" w:sz="0" w:space="0" w:color="auto"/>
            <w:left w:val="none" w:sz="0" w:space="0" w:color="auto"/>
            <w:bottom w:val="none" w:sz="0" w:space="0" w:color="auto"/>
            <w:right w:val="none" w:sz="0" w:space="0" w:color="auto"/>
          </w:divBdr>
        </w:div>
        <w:div w:id="2035645270">
          <w:marLeft w:val="0"/>
          <w:marRight w:val="0"/>
          <w:marTop w:val="0"/>
          <w:marBottom w:val="0"/>
          <w:divBdr>
            <w:top w:val="none" w:sz="0" w:space="0" w:color="auto"/>
            <w:left w:val="none" w:sz="0" w:space="0" w:color="auto"/>
            <w:bottom w:val="none" w:sz="0" w:space="0" w:color="auto"/>
            <w:right w:val="none" w:sz="0" w:space="0" w:color="auto"/>
          </w:divBdr>
        </w:div>
        <w:div w:id="779181152">
          <w:marLeft w:val="0"/>
          <w:marRight w:val="0"/>
          <w:marTop w:val="0"/>
          <w:marBottom w:val="0"/>
          <w:divBdr>
            <w:top w:val="none" w:sz="0" w:space="0" w:color="auto"/>
            <w:left w:val="none" w:sz="0" w:space="0" w:color="auto"/>
            <w:bottom w:val="none" w:sz="0" w:space="0" w:color="auto"/>
            <w:right w:val="none" w:sz="0" w:space="0" w:color="auto"/>
          </w:divBdr>
        </w:div>
        <w:div w:id="2033528379">
          <w:marLeft w:val="0"/>
          <w:marRight w:val="0"/>
          <w:marTop w:val="0"/>
          <w:marBottom w:val="0"/>
          <w:divBdr>
            <w:top w:val="none" w:sz="0" w:space="0" w:color="auto"/>
            <w:left w:val="none" w:sz="0" w:space="0" w:color="auto"/>
            <w:bottom w:val="none" w:sz="0" w:space="0" w:color="auto"/>
            <w:right w:val="none" w:sz="0" w:space="0" w:color="auto"/>
          </w:divBdr>
        </w:div>
        <w:div w:id="758328051">
          <w:marLeft w:val="0"/>
          <w:marRight w:val="0"/>
          <w:marTop w:val="0"/>
          <w:marBottom w:val="0"/>
          <w:divBdr>
            <w:top w:val="none" w:sz="0" w:space="0" w:color="auto"/>
            <w:left w:val="none" w:sz="0" w:space="0" w:color="auto"/>
            <w:bottom w:val="none" w:sz="0" w:space="0" w:color="auto"/>
            <w:right w:val="none" w:sz="0" w:space="0" w:color="auto"/>
          </w:divBdr>
        </w:div>
        <w:div w:id="1042242371">
          <w:marLeft w:val="0"/>
          <w:marRight w:val="0"/>
          <w:marTop w:val="0"/>
          <w:marBottom w:val="0"/>
          <w:divBdr>
            <w:top w:val="none" w:sz="0" w:space="0" w:color="auto"/>
            <w:left w:val="none" w:sz="0" w:space="0" w:color="auto"/>
            <w:bottom w:val="none" w:sz="0" w:space="0" w:color="auto"/>
            <w:right w:val="none" w:sz="0" w:space="0" w:color="auto"/>
          </w:divBdr>
        </w:div>
        <w:div w:id="776798552">
          <w:marLeft w:val="0"/>
          <w:marRight w:val="0"/>
          <w:marTop w:val="0"/>
          <w:marBottom w:val="0"/>
          <w:divBdr>
            <w:top w:val="none" w:sz="0" w:space="0" w:color="auto"/>
            <w:left w:val="none" w:sz="0" w:space="0" w:color="auto"/>
            <w:bottom w:val="none" w:sz="0" w:space="0" w:color="auto"/>
            <w:right w:val="none" w:sz="0" w:space="0" w:color="auto"/>
          </w:divBdr>
        </w:div>
        <w:div w:id="327445602">
          <w:marLeft w:val="0"/>
          <w:marRight w:val="0"/>
          <w:marTop w:val="0"/>
          <w:marBottom w:val="0"/>
          <w:divBdr>
            <w:top w:val="none" w:sz="0" w:space="0" w:color="auto"/>
            <w:left w:val="none" w:sz="0" w:space="0" w:color="auto"/>
            <w:bottom w:val="none" w:sz="0" w:space="0" w:color="auto"/>
            <w:right w:val="none" w:sz="0" w:space="0" w:color="auto"/>
          </w:divBdr>
        </w:div>
        <w:div w:id="314650130">
          <w:marLeft w:val="0"/>
          <w:marRight w:val="0"/>
          <w:marTop w:val="0"/>
          <w:marBottom w:val="0"/>
          <w:divBdr>
            <w:top w:val="none" w:sz="0" w:space="0" w:color="auto"/>
            <w:left w:val="none" w:sz="0" w:space="0" w:color="auto"/>
            <w:bottom w:val="none" w:sz="0" w:space="0" w:color="auto"/>
            <w:right w:val="none" w:sz="0" w:space="0" w:color="auto"/>
          </w:divBdr>
        </w:div>
        <w:div w:id="2041474510">
          <w:marLeft w:val="0"/>
          <w:marRight w:val="0"/>
          <w:marTop w:val="0"/>
          <w:marBottom w:val="0"/>
          <w:divBdr>
            <w:top w:val="none" w:sz="0" w:space="0" w:color="auto"/>
            <w:left w:val="none" w:sz="0" w:space="0" w:color="auto"/>
            <w:bottom w:val="none" w:sz="0" w:space="0" w:color="auto"/>
            <w:right w:val="none" w:sz="0" w:space="0" w:color="auto"/>
          </w:divBdr>
        </w:div>
        <w:div w:id="306708814">
          <w:marLeft w:val="0"/>
          <w:marRight w:val="0"/>
          <w:marTop w:val="0"/>
          <w:marBottom w:val="0"/>
          <w:divBdr>
            <w:top w:val="none" w:sz="0" w:space="0" w:color="auto"/>
            <w:left w:val="none" w:sz="0" w:space="0" w:color="auto"/>
            <w:bottom w:val="none" w:sz="0" w:space="0" w:color="auto"/>
            <w:right w:val="none" w:sz="0" w:space="0" w:color="auto"/>
          </w:divBdr>
        </w:div>
        <w:div w:id="567031928">
          <w:marLeft w:val="0"/>
          <w:marRight w:val="0"/>
          <w:marTop w:val="0"/>
          <w:marBottom w:val="0"/>
          <w:divBdr>
            <w:top w:val="none" w:sz="0" w:space="0" w:color="auto"/>
            <w:left w:val="none" w:sz="0" w:space="0" w:color="auto"/>
            <w:bottom w:val="none" w:sz="0" w:space="0" w:color="auto"/>
            <w:right w:val="none" w:sz="0" w:space="0" w:color="auto"/>
          </w:divBdr>
        </w:div>
        <w:div w:id="2080324018">
          <w:marLeft w:val="0"/>
          <w:marRight w:val="0"/>
          <w:marTop w:val="0"/>
          <w:marBottom w:val="0"/>
          <w:divBdr>
            <w:top w:val="none" w:sz="0" w:space="0" w:color="auto"/>
            <w:left w:val="none" w:sz="0" w:space="0" w:color="auto"/>
            <w:bottom w:val="none" w:sz="0" w:space="0" w:color="auto"/>
            <w:right w:val="none" w:sz="0" w:space="0" w:color="auto"/>
          </w:divBdr>
        </w:div>
        <w:div w:id="127279967">
          <w:marLeft w:val="0"/>
          <w:marRight w:val="0"/>
          <w:marTop w:val="0"/>
          <w:marBottom w:val="0"/>
          <w:divBdr>
            <w:top w:val="none" w:sz="0" w:space="0" w:color="auto"/>
            <w:left w:val="none" w:sz="0" w:space="0" w:color="auto"/>
            <w:bottom w:val="none" w:sz="0" w:space="0" w:color="auto"/>
            <w:right w:val="none" w:sz="0" w:space="0" w:color="auto"/>
          </w:divBdr>
        </w:div>
        <w:div w:id="270476621">
          <w:marLeft w:val="0"/>
          <w:marRight w:val="0"/>
          <w:marTop w:val="0"/>
          <w:marBottom w:val="0"/>
          <w:divBdr>
            <w:top w:val="none" w:sz="0" w:space="0" w:color="auto"/>
            <w:left w:val="none" w:sz="0" w:space="0" w:color="auto"/>
            <w:bottom w:val="none" w:sz="0" w:space="0" w:color="auto"/>
            <w:right w:val="none" w:sz="0" w:space="0" w:color="auto"/>
          </w:divBdr>
        </w:div>
        <w:div w:id="206336945">
          <w:marLeft w:val="0"/>
          <w:marRight w:val="0"/>
          <w:marTop w:val="0"/>
          <w:marBottom w:val="0"/>
          <w:divBdr>
            <w:top w:val="none" w:sz="0" w:space="0" w:color="auto"/>
            <w:left w:val="none" w:sz="0" w:space="0" w:color="auto"/>
            <w:bottom w:val="none" w:sz="0" w:space="0" w:color="auto"/>
            <w:right w:val="none" w:sz="0" w:space="0" w:color="auto"/>
          </w:divBdr>
        </w:div>
        <w:div w:id="63377625">
          <w:marLeft w:val="0"/>
          <w:marRight w:val="0"/>
          <w:marTop w:val="0"/>
          <w:marBottom w:val="0"/>
          <w:divBdr>
            <w:top w:val="none" w:sz="0" w:space="0" w:color="auto"/>
            <w:left w:val="none" w:sz="0" w:space="0" w:color="auto"/>
            <w:bottom w:val="none" w:sz="0" w:space="0" w:color="auto"/>
            <w:right w:val="none" w:sz="0" w:space="0" w:color="auto"/>
          </w:divBdr>
        </w:div>
        <w:div w:id="1933316545">
          <w:marLeft w:val="0"/>
          <w:marRight w:val="0"/>
          <w:marTop w:val="0"/>
          <w:marBottom w:val="0"/>
          <w:divBdr>
            <w:top w:val="none" w:sz="0" w:space="0" w:color="auto"/>
            <w:left w:val="none" w:sz="0" w:space="0" w:color="auto"/>
            <w:bottom w:val="none" w:sz="0" w:space="0" w:color="auto"/>
            <w:right w:val="none" w:sz="0" w:space="0" w:color="auto"/>
          </w:divBdr>
        </w:div>
        <w:div w:id="771245928">
          <w:marLeft w:val="0"/>
          <w:marRight w:val="0"/>
          <w:marTop w:val="0"/>
          <w:marBottom w:val="0"/>
          <w:divBdr>
            <w:top w:val="none" w:sz="0" w:space="0" w:color="auto"/>
            <w:left w:val="none" w:sz="0" w:space="0" w:color="auto"/>
            <w:bottom w:val="none" w:sz="0" w:space="0" w:color="auto"/>
            <w:right w:val="none" w:sz="0" w:space="0" w:color="auto"/>
          </w:divBdr>
        </w:div>
        <w:div w:id="49154134">
          <w:marLeft w:val="0"/>
          <w:marRight w:val="0"/>
          <w:marTop w:val="0"/>
          <w:marBottom w:val="0"/>
          <w:divBdr>
            <w:top w:val="none" w:sz="0" w:space="0" w:color="auto"/>
            <w:left w:val="none" w:sz="0" w:space="0" w:color="auto"/>
            <w:bottom w:val="none" w:sz="0" w:space="0" w:color="auto"/>
            <w:right w:val="none" w:sz="0" w:space="0" w:color="auto"/>
          </w:divBdr>
        </w:div>
        <w:div w:id="1608271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mckinley@truck.net.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truck.net.au/advocacy/submissions/ata-supplementary-submission-nhvrr-ris" TargetMode="External"/><Relationship Id="rId1" Type="http://schemas.openxmlformats.org/officeDocument/2006/relationships/hyperlink" Target="http://www.truck.net.au/advocacy/submissions/primary-duties-chain-responsibility-parties-and-executive-officer-liabilit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46A7E-098E-42E7-A78F-A97D775B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2495</Words>
  <Characters>14226</Characters>
  <Application>Microsoft Office Word</Application>
  <DocSecurity>0</DocSecurity>
  <Lines>118</Lines>
  <Paragraphs>33</Paragraphs>
  <ScaleCrop>false</ScaleCrop>
  <Company/>
  <LinksUpToDate>false</LinksUpToDate>
  <CharactersWithSpaces>16688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2016-12-14T05:30:00Z</dcterms:created>
  <dcterms:modified xsi:type="dcterms:W3CDTF">2016-12-14T05:30:00Z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