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FD6" w:rsidRPr="007C3B3F" w:rsidRDefault="00253FD6" w:rsidP="007C3B3F">
      <w:pPr>
        <w:pStyle w:val="Heading1"/>
        <w:tabs>
          <w:tab w:val="left" w:pos="3924"/>
        </w:tabs>
        <w:jc w:val="center"/>
        <w:rPr>
          <w:color w:val="365F91"/>
          <w:kern w:val="20"/>
          <w:sz w:val="28"/>
          <w:szCs w:val="28"/>
        </w:rPr>
      </w:pPr>
      <w:bookmarkStart w:id="0" w:name="_GoBack"/>
      <w:bookmarkStart w:id="1" w:name="_Toc240434976"/>
      <w:bookmarkEnd w:id="0"/>
      <w:r w:rsidRPr="007C3B3F">
        <w:rPr>
          <w:color w:val="365F91"/>
          <w:kern w:val="20"/>
          <w:sz w:val="28"/>
          <w:szCs w:val="28"/>
        </w:rPr>
        <w:t>COVER SHEET FOR SUBMISSIONS</w:t>
      </w:r>
      <w:bookmarkEnd w:id="1"/>
    </w:p>
    <w:p w:rsidR="007F5D8A" w:rsidRPr="007C3B3F" w:rsidRDefault="00406B0D" w:rsidP="007C3B3F">
      <w:pPr>
        <w:pStyle w:val="Heading1"/>
        <w:tabs>
          <w:tab w:val="left" w:pos="3924"/>
        </w:tabs>
        <w:jc w:val="center"/>
        <w:rPr>
          <w:color w:val="365F91"/>
          <w:kern w:val="20"/>
          <w:sz w:val="28"/>
          <w:szCs w:val="28"/>
        </w:rPr>
      </w:pPr>
      <w:r w:rsidRPr="007C3B3F">
        <w:rPr>
          <w:color w:val="365F91"/>
          <w:kern w:val="20"/>
          <w:sz w:val="28"/>
          <w:szCs w:val="28"/>
        </w:rPr>
        <w:t xml:space="preserve">Emissions Reduction Fund </w:t>
      </w:r>
    </w:p>
    <w:p w:rsidR="00253FD6" w:rsidRDefault="00253FD6" w:rsidP="00271FAA">
      <w:pPr>
        <w:pStyle w:val="Heading3"/>
        <w:jc w:val="center"/>
      </w:pPr>
      <w:r>
        <w:t>This completed form must be included with your submission. If completing by hand, please ensure your writing is clear and legible.</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60"/>
        <w:gridCol w:w="5670"/>
        <w:gridCol w:w="1417"/>
      </w:tblGrid>
      <w:tr w:rsidR="00253FD6" w:rsidTr="00271FAA">
        <w:trPr>
          <w:trHeight w:val="397"/>
        </w:trPr>
        <w:tc>
          <w:tcPr>
            <w:tcW w:w="9747" w:type="dxa"/>
            <w:gridSpan w:val="3"/>
            <w:shd w:val="clear" w:color="auto" w:fill="B8CCE4"/>
            <w:vAlign w:val="center"/>
          </w:tcPr>
          <w:p w:rsidR="00253FD6" w:rsidRDefault="00253FD6" w:rsidP="00271FAA">
            <w:pPr>
              <w:pStyle w:val="TableTopRow"/>
            </w:pPr>
            <w:r>
              <w:t>CONTACT DETAILS</w:t>
            </w:r>
          </w:p>
        </w:tc>
      </w:tr>
      <w:tr w:rsidR="00253FD6" w:rsidTr="00271FAA">
        <w:trPr>
          <w:trHeight w:val="397"/>
        </w:trPr>
        <w:tc>
          <w:tcPr>
            <w:tcW w:w="9747" w:type="dxa"/>
            <w:gridSpan w:val="3"/>
            <w:vAlign w:val="center"/>
          </w:tcPr>
          <w:p w:rsidR="004736ED" w:rsidRDefault="00253FD6" w:rsidP="004736ED">
            <w:pPr>
              <w:pStyle w:val="Tablebody"/>
            </w:pPr>
            <w:r w:rsidRPr="00A25291">
              <w:t>Please provide at least one contact address; a telephone number is optional. If you are making a submission for a group or organisation, please provide contact information for one member of your group or organisation.</w:t>
            </w:r>
            <w:r w:rsidR="00A934FD" w:rsidRPr="00A25291">
              <w:t xml:space="preserve"> </w:t>
            </w:r>
          </w:p>
          <w:p w:rsidR="004736ED" w:rsidRDefault="004736ED" w:rsidP="004736ED">
            <w:pPr>
              <w:pStyle w:val="Tablebody"/>
            </w:pPr>
          </w:p>
          <w:p w:rsidR="00253FD6" w:rsidRPr="005B4BCD" w:rsidRDefault="004736ED" w:rsidP="00406B0D">
            <w:pPr>
              <w:autoSpaceDE w:val="0"/>
              <w:autoSpaceDN w:val="0"/>
              <w:adjustRightInd w:val="0"/>
              <w:spacing w:after="0" w:line="240" w:lineRule="auto"/>
              <w:rPr>
                <w:rFonts w:ascii="Arial" w:hAnsi="Arial" w:cs="Arial"/>
                <w:i/>
                <w:sz w:val="20"/>
                <w:szCs w:val="20"/>
              </w:rPr>
            </w:pPr>
            <w:r w:rsidRPr="004736ED">
              <w:rPr>
                <w:rFonts w:ascii="Arial" w:hAnsi="Arial" w:cs="Arial"/>
                <w:b/>
                <w:i/>
                <w:sz w:val="20"/>
                <w:szCs w:val="20"/>
              </w:rPr>
              <w:t>NOTE:</w:t>
            </w:r>
            <w:r w:rsidR="00A934FD">
              <w:rPr>
                <w:rFonts w:ascii="Arial" w:hAnsi="Arial" w:cs="Arial"/>
                <w:b/>
                <w:i/>
                <w:sz w:val="20"/>
                <w:szCs w:val="20"/>
              </w:rPr>
              <w:t xml:space="preserve"> </w:t>
            </w:r>
            <w:r w:rsidR="00A934FD">
              <w:rPr>
                <w:rFonts w:ascii="Arial" w:hAnsi="Arial" w:cs="Arial"/>
                <w:i/>
                <w:sz w:val="20"/>
                <w:szCs w:val="20"/>
              </w:rPr>
              <w:t xml:space="preserve">The </w:t>
            </w:r>
            <w:r w:rsidR="00406B0D">
              <w:rPr>
                <w:rFonts w:ascii="Arial" w:hAnsi="Arial" w:cs="Arial"/>
                <w:i/>
                <w:sz w:val="20"/>
                <w:szCs w:val="20"/>
              </w:rPr>
              <w:t>D</w:t>
            </w:r>
            <w:r w:rsidR="00A934FD">
              <w:rPr>
                <w:rFonts w:ascii="Arial" w:hAnsi="Arial" w:cs="Arial"/>
                <w:i/>
                <w:sz w:val="20"/>
                <w:szCs w:val="20"/>
              </w:rPr>
              <w:t>epartment</w:t>
            </w:r>
            <w:r w:rsidRPr="004736ED">
              <w:rPr>
                <w:rFonts w:ascii="Arial" w:hAnsi="Arial" w:cs="Arial"/>
                <w:i/>
                <w:sz w:val="20"/>
                <w:szCs w:val="20"/>
              </w:rPr>
              <w:t xml:space="preserve"> need</w:t>
            </w:r>
            <w:r w:rsidR="00A934FD">
              <w:rPr>
                <w:rFonts w:ascii="Arial" w:hAnsi="Arial" w:cs="Arial"/>
                <w:i/>
                <w:sz w:val="20"/>
                <w:szCs w:val="20"/>
              </w:rPr>
              <w:t>s</w:t>
            </w:r>
            <w:r w:rsidRPr="004736ED">
              <w:rPr>
                <w:rFonts w:ascii="Arial" w:hAnsi="Arial" w:cs="Arial"/>
                <w:i/>
                <w:sz w:val="20"/>
                <w:szCs w:val="20"/>
              </w:rPr>
              <w:t xml:space="preserve"> to collect some personal information in case we need to contact you should further information or clarification be required on your submission. Personal information may be disclosed to the Minister </w:t>
            </w:r>
            <w:r w:rsidR="00A934FD">
              <w:rPr>
                <w:rFonts w:ascii="Arial" w:hAnsi="Arial" w:cs="Arial"/>
                <w:i/>
                <w:sz w:val="20"/>
                <w:szCs w:val="20"/>
              </w:rPr>
              <w:t xml:space="preserve">for the Environment </w:t>
            </w:r>
            <w:r w:rsidRPr="004736ED">
              <w:rPr>
                <w:rFonts w:ascii="Arial" w:hAnsi="Arial" w:cs="Arial"/>
                <w:i/>
                <w:sz w:val="20"/>
                <w:szCs w:val="20"/>
              </w:rPr>
              <w:t xml:space="preserve">or </w:t>
            </w:r>
            <w:r w:rsidR="00A934FD">
              <w:rPr>
                <w:rFonts w:ascii="Arial" w:hAnsi="Arial" w:cs="Arial"/>
                <w:i/>
                <w:sz w:val="20"/>
                <w:szCs w:val="20"/>
              </w:rPr>
              <w:t xml:space="preserve">the </w:t>
            </w:r>
            <w:r w:rsidRPr="004736ED">
              <w:rPr>
                <w:rFonts w:ascii="Arial" w:hAnsi="Arial" w:cs="Arial"/>
                <w:i/>
                <w:sz w:val="20"/>
                <w:szCs w:val="20"/>
              </w:rPr>
              <w:t xml:space="preserve">Secretary of the </w:t>
            </w:r>
            <w:r w:rsidR="00406B0D">
              <w:rPr>
                <w:rFonts w:ascii="Arial" w:hAnsi="Arial" w:cs="Arial"/>
                <w:i/>
                <w:sz w:val="20"/>
                <w:szCs w:val="20"/>
              </w:rPr>
              <w:t xml:space="preserve">Department </w:t>
            </w:r>
            <w:r w:rsidRPr="004736ED">
              <w:rPr>
                <w:rFonts w:ascii="Arial" w:hAnsi="Arial" w:cs="Arial"/>
                <w:i/>
                <w:sz w:val="20"/>
                <w:szCs w:val="20"/>
              </w:rPr>
              <w:t xml:space="preserve">or to employees of Australian Government agencies assisting </w:t>
            </w:r>
            <w:r w:rsidR="00406B0D">
              <w:rPr>
                <w:rFonts w:ascii="Arial" w:hAnsi="Arial" w:cs="Arial"/>
                <w:i/>
                <w:sz w:val="20"/>
                <w:szCs w:val="20"/>
              </w:rPr>
              <w:t>the Department</w:t>
            </w:r>
            <w:r w:rsidRPr="004736ED">
              <w:rPr>
                <w:rFonts w:ascii="Arial" w:hAnsi="Arial" w:cs="Arial"/>
                <w:i/>
                <w:sz w:val="20"/>
                <w:szCs w:val="20"/>
              </w:rPr>
              <w:t xml:space="preserve"> for the purposes outlined above. Contents of your submission may be included in subsequent publications.</w:t>
            </w:r>
          </w:p>
        </w:tc>
      </w:tr>
      <w:tr w:rsidR="007C3B3F" w:rsidTr="004F6977">
        <w:trPr>
          <w:trHeight w:val="397"/>
        </w:trPr>
        <w:tc>
          <w:tcPr>
            <w:tcW w:w="2660" w:type="dxa"/>
          </w:tcPr>
          <w:p w:rsidR="007C3B3F" w:rsidRPr="004736ED" w:rsidRDefault="007C3B3F" w:rsidP="004F6977">
            <w:pPr>
              <w:pStyle w:val="Tablebody"/>
              <w:rPr>
                <w:b/>
              </w:rPr>
            </w:pPr>
            <w:r>
              <w:rPr>
                <w:b/>
              </w:rPr>
              <w:t>Organisation (if applicable)</w:t>
            </w:r>
          </w:p>
        </w:tc>
        <w:tc>
          <w:tcPr>
            <w:tcW w:w="7087" w:type="dxa"/>
            <w:gridSpan w:val="2"/>
          </w:tcPr>
          <w:p w:rsidR="007C3B3F" w:rsidRDefault="00BA46C0" w:rsidP="00271FAA">
            <w:pPr>
              <w:spacing w:before="60" w:after="60"/>
              <w:rPr>
                <w:rFonts w:cs="Arial"/>
              </w:rPr>
            </w:pPr>
            <w:r>
              <w:rPr>
                <w:rFonts w:cs="Arial"/>
              </w:rPr>
              <w:t>Australian Trucking Association</w:t>
            </w:r>
          </w:p>
        </w:tc>
      </w:tr>
      <w:tr w:rsidR="00253FD6" w:rsidTr="004F6977">
        <w:trPr>
          <w:trHeight w:val="397"/>
        </w:trPr>
        <w:tc>
          <w:tcPr>
            <w:tcW w:w="2660" w:type="dxa"/>
          </w:tcPr>
          <w:p w:rsidR="00253FD6" w:rsidRPr="00D41615" w:rsidRDefault="004736ED" w:rsidP="004F6977">
            <w:pPr>
              <w:pStyle w:val="Tablebody"/>
              <w:rPr>
                <w:b/>
              </w:rPr>
            </w:pPr>
            <w:r w:rsidRPr="004736ED">
              <w:rPr>
                <w:b/>
              </w:rPr>
              <w:t>Title</w:t>
            </w:r>
          </w:p>
        </w:tc>
        <w:tc>
          <w:tcPr>
            <w:tcW w:w="7087" w:type="dxa"/>
            <w:gridSpan w:val="2"/>
          </w:tcPr>
          <w:p w:rsidR="00253FD6" w:rsidRDefault="00BA46C0" w:rsidP="00271FAA">
            <w:pPr>
              <w:spacing w:before="60" w:after="60"/>
              <w:rPr>
                <w:rFonts w:cs="Arial"/>
              </w:rPr>
            </w:pPr>
            <w:r>
              <w:rPr>
                <w:rFonts w:cs="Arial"/>
              </w:rPr>
              <w:t>National Manager, Government Relations and Communications</w:t>
            </w:r>
          </w:p>
        </w:tc>
      </w:tr>
      <w:tr w:rsidR="00253FD6" w:rsidTr="004F6977">
        <w:trPr>
          <w:trHeight w:val="397"/>
        </w:trPr>
        <w:tc>
          <w:tcPr>
            <w:tcW w:w="2660" w:type="dxa"/>
          </w:tcPr>
          <w:p w:rsidR="00253FD6" w:rsidRPr="00D41615" w:rsidRDefault="004736ED" w:rsidP="004F6977">
            <w:pPr>
              <w:pStyle w:val="Tablebody"/>
              <w:rPr>
                <w:b/>
              </w:rPr>
            </w:pPr>
            <w:r w:rsidRPr="004736ED">
              <w:rPr>
                <w:b/>
              </w:rPr>
              <w:t xml:space="preserve">First name </w:t>
            </w:r>
          </w:p>
        </w:tc>
        <w:tc>
          <w:tcPr>
            <w:tcW w:w="7087" w:type="dxa"/>
            <w:gridSpan w:val="2"/>
          </w:tcPr>
          <w:p w:rsidR="00253FD6" w:rsidRDefault="00BA46C0" w:rsidP="00271FAA">
            <w:pPr>
              <w:spacing w:before="60" w:after="60"/>
              <w:rPr>
                <w:rFonts w:cs="Arial"/>
              </w:rPr>
            </w:pPr>
            <w:r>
              <w:rPr>
                <w:rFonts w:cs="Arial"/>
              </w:rPr>
              <w:t>Bill</w:t>
            </w:r>
          </w:p>
        </w:tc>
      </w:tr>
      <w:tr w:rsidR="00253FD6" w:rsidTr="004F6977">
        <w:trPr>
          <w:trHeight w:val="397"/>
        </w:trPr>
        <w:tc>
          <w:tcPr>
            <w:tcW w:w="2660" w:type="dxa"/>
          </w:tcPr>
          <w:p w:rsidR="00253FD6" w:rsidRPr="00D41615" w:rsidRDefault="004736ED" w:rsidP="004F6977">
            <w:pPr>
              <w:pStyle w:val="Tablebody"/>
              <w:rPr>
                <w:b/>
              </w:rPr>
            </w:pPr>
            <w:r w:rsidRPr="004736ED">
              <w:rPr>
                <w:b/>
              </w:rPr>
              <w:t>Surname/Family name</w:t>
            </w:r>
          </w:p>
        </w:tc>
        <w:tc>
          <w:tcPr>
            <w:tcW w:w="7087" w:type="dxa"/>
            <w:gridSpan w:val="2"/>
          </w:tcPr>
          <w:p w:rsidR="00253FD6" w:rsidRDefault="00BA46C0" w:rsidP="00271FAA">
            <w:pPr>
              <w:spacing w:before="60" w:after="60"/>
              <w:rPr>
                <w:rFonts w:cs="Arial"/>
              </w:rPr>
            </w:pPr>
            <w:r>
              <w:rPr>
                <w:rFonts w:cs="Arial"/>
              </w:rPr>
              <w:t>McKinley</w:t>
            </w:r>
          </w:p>
        </w:tc>
      </w:tr>
      <w:tr w:rsidR="00253FD6" w:rsidTr="004F6977">
        <w:trPr>
          <w:trHeight w:val="2346"/>
        </w:trPr>
        <w:tc>
          <w:tcPr>
            <w:tcW w:w="2660" w:type="dxa"/>
          </w:tcPr>
          <w:p w:rsidR="00253FD6" w:rsidRPr="00D41615" w:rsidRDefault="004736ED" w:rsidP="004F6977">
            <w:pPr>
              <w:pStyle w:val="Tablebody"/>
              <w:rPr>
                <w:b/>
              </w:rPr>
            </w:pPr>
            <w:r w:rsidRPr="004736ED">
              <w:rPr>
                <w:b/>
              </w:rPr>
              <w:t xml:space="preserve">Postal address </w:t>
            </w:r>
          </w:p>
        </w:tc>
        <w:tc>
          <w:tcPr>
            <w:tcW w:w="7087" w:type="dxa"/>
            <w:gridSpan w:val="2"/>
          </w:tcPr>
          <w:p w:rsidR="00253FD6" w:rsidRDefault="00BA46C0" w:rsidP="00271FAA">
            <w:pPr>
              <w:spacing w:before="60" w:after="60"/>
              <w:rPr>
                <w:rFonts w:cs="Arial"/>
              </w:rPr>
            </w:pPr>
            <w:r>
              <w:rPr>
                <w:rFonts w:cs="Arial"/>
              </w:rPr>
              <w:t>Minter Ellison Building</w:t>
            </w:r>
          </w:p>
          <w:p w:rsidR="00BA46C0" w:rsidRDefault="00BA46C0" w:rsidP="00271FAA">
            <w:pPr>
              <w:spacing w:before="60" w:after="60"/>
              <w:rPr>
                <w:rFonts w:cs="Arial"/>
              </w:rPr>
            </w:pPr>
            <w:r>
              <w:rPr>
                <w:rFonts w:cs="Arial"/>
              </w:rPr>
              <w:t>25 National Circuit</w:t>
            </w:r>
          </w:p>
          <w:p w:rsidR="00BA46C0" w:rsidRDefault="00BA46C0" w:rsidP="00271FAA">
            <w:pPr>
              <w:spacing w:before="60" w:after="60"/>
              <w:rPr>
                <w:rFonts w:cs="Arial"/>
              </w:rPr>
            </w:pPr>
            <w:r>
              <w:rPr>
                <w:rFonts w:cs="Arial"/>
              </w:rPr>
              <w:t>Forrest  ACT  2603</w:t>
            </w:r>
          </w:p>
        </w:tc>
      </w:tr>
      <w:tr w:rsidR="00253FD6" w:rsidTr="004F6977">
        <w:trPr>
          <w:trHeight w:val="397"/>
        </w:trPr>
        <w:tc>
          <w:tcPr>
            <w:tcW w:w="2660" w:type="dxa"/>
          </w:tcPr>
          <w:p w:rsidR="00253FD6" w:rsidRPr="00D41615" w:rsidRDefault="004736ED" w:rsidP="004F6977">
            <w:pPr>
              <w:pStyle w:val="Tablebody"/>
              <w:rPr>
                <w:b/>
              </w:rPr>
            </w:pPr>
            <w:r w:rsidRPr="004736ED">
              <w:rPr>
                <w:b/>
              </w:rPr>
              <w:t>Email address</w:t>
            </w:r>
          </w:p>
        </w:tc>
        <w:tc>
          <w:tcPr>
            <w:tcW w:w="7087" w:type="dxa"/>
            <w:gridSpan w:val="2"/>
          </w:tcPr>
          <w:p w:rsidR="00253FD6" w:rsidRDefault="001F4A86" w:rsidP="00271FAA">
            <w:pPr>
              <w:spacing w:before="60" w:after="60"/>
              <w:rPr>
                <w:rFonts w:cs="Arial"/>
              </w:rPr>
            </w:pPr>
            <w:hyperlink r:id="rId7" w:history="1">
              <w:r w:rsidR="00BA46C0" w:rsidRPr="00B42737">
                <w:rPr>
                  <w:rStyle w:val="Hyperlink"/>
                  <w:rFonts w:cs="Arial"/>
                </w:rPr>
                <w:t>bill.mckinley@truck.net.au</w:t>
              </w:r>
            </w:hyperlink>
          </w:p>
        </w:tc>
      </w:tr>
      <w:tr w:rsidR="00253FD6" w:rsidTr="004F6977">
        <w:tc>
          <w:tcPr>
            <w:tcW w:w="2660" w:type="dxa"/>
          </w:tcPr>
          <w:p w:rsidR="00253FD6" w:rsidRPr="00D41615" w:rsidRDefault="004736ED" w:rsidP="004F6977">
            <w:pPr>
              <w:pStyle w:val="Tablebody"/>
              <w:rPr>
                <w:b/>
              </w:rPr>
            </w:pPr>
            <w:r w:rsidRPr="004736ED">
              <w:rPr>
                <w:b/>
              </w:rPr>
              <w:t>Telephone number</w:t>
            </w:r>
          </w:p>
        </w:tc>
        <w:tc>
          <w:tcPr>
            <w:tcW w:w="7087" w:type="dxa"/>
            <w:gridSpan w:val="2"/>
          </w:tcPr>
          <w:p w:rsidR="00253FD6" w:rsidRDefault="00BA46C0" w:rsidP="00271FAA">
            <w:pPr>
              <w:spacing w:before="60" w:after="60"/>
              <w:rPr>
                <w:rFonts w:cs="Arial"/>
              </w:rPr>
            </w:pPr>
            <w:r>
              <w:rPr>
                <w:rFonts w:cs="Arial"/>
              </w:rPr>
              <w:t>02 6253 6900</w:t>
            </w:r>
          </w:p>
        </w:tc>
      </w:tr>
      <w:tr w:rsidR="00253FD6" w:rsidTr="00271FAA">
        <w:trPr>
          <w:trHeight w:val="397"/>
        </w:trPr>
        <w:tc>
          <w:tcPr>
            <w:tcW w:w="9747" w:type="dxa"/>
            <w:gridSpan w:val="3"/>
            <w:shd w:val="clear" w:color="auto" w:fill="B8CCE4"/>
            <w:vAlign w:val="center"/>
          </w:tcPr>
          <w:p w:rsidR="00253FD6" w:rsidRDefault="00253FD6" w:rsidP="00271FAA">
            <w:pPr>
              <w:pStyle w:val="TableTopRow"/>
            </w:pPr>
            <w:r>
              <w:t>INTERNET PUBLICATION</w:t>
            </w:r>
          </w:p>
        </w:tc>
      </w:tr>
      <w:tr w:rsidR="00253FD6" w:rsidTr="00271FAA">
        <w:trPr>
          <w:trHeight w:val="860"/>
        </w:trPr>
        <w:tc>
          <w:tcPr>
            <w:tcW w:w="8330" w:type="dxa"/>
            <w:gridSpan w:val="2"/>
            <w:vAlign w:val="center"/>
          </w:tcPr>
          <w:p w:rsidR="004736ED" w:rsidRDefault="00253FD6" w:rsidP="004736ED">
            <w:pPr>
              <w:pStyle w:val="Tablebody"/>
              <w:spacing w:before="60" w:after="60"/>
            </w:pPr>
            <w:r w:rsidRPr="00CE27F9">
              <w:t xml:space="preserve">Public submissions may be published in full on the website, including any personal information of authors and/or other third parties </w:t>
            </w:r>
            <w:r w:rsidRPr="00CE27F9">
              <w:rPr>
                <w:b/>
                <w:bCs/>
              </w:rPr>
              <w:t>contained in the submission</w:t>
            </w:r>
            <w:r w:rsidRPr="00CE27F9">
              <w:t xml:space="preserve">. </w:t>
            </w:r>
          </w:p>
          <w:p w:rsidR="007C3B3F" w:rsidRDefault="00253FD6" w:rsidP="004736ED">
            <w:pPr>
              <w:pStyle w:val="Tablebody"/>
              <w:spacing w:before="60" w:after="60"/>
            </w:pPr>
            <w:r w:rsidRPr="00CE27F9">
              <w:t xml:space="preserve">Please tick this box if you wish for your submission to remain confidential (that is, you </w:t>
            </w:r>
            <w:r w:rsidRPr="00CE27F9">
              <w:rPr>
                <w:b/>
              </w:rPr>
              <w:t xml:space="preserve">do not consent </w:t>
            </w:r>
            <w:r w:rsidRPr="00CE27F9">
              <w:t>to having your submission published on the internet</w:t>
            </w:r>
            <w:r>
              <w:t>.</w:t>
            </w:r>
          </w:p>
          <w:p w:rsidR="007C3B3F" w:rsidRDefault="007C3B3F" w:rsidP="004736ED">
            <w:pPr>
              <w:pStyle w:val="Tablebody"/>
              <w:spacing w:before="60" w:after="60"/>
            </w:pPr>
          </w:p>
          <w:p w:rsidR="004736ED" w:rsidRDefault="00253FD6" w:rsidP="004736ED">
            <w:pPr>
              <w:pStyle w:val="Tablebody"/>
              <w:spacing w:before="60" w:after="60"/>
            </w:pPr>
            <w:r>
              <w:rPr>
                <w:b/>
              </w:rPr>
              <w:t xml:space="preserve"> </w:t>
            </w:r>
          </w:p>
        </w:tc>
        <w:tc>
          <w:tcPr>
            <w:tcW w:w="1417" w:type="dxa"/>
            <w:vAlign w:val="center"/>
          </w:tcPr>
          <w:p w:rsidR="004736ED" w:rsidRDefault="00253FD6" w:rsidP="00C70D34">
            <w:pPr>
              <w:spacing w:before="144" w:after="144"/>
              <w:jc w:val="center"/>
              <w:rPr>
                <w:rFonts w:ascii="Times New Roman" w:hAnsi="Times New Roman"/>
                <w:sz w:val="16"/>
                <w:szCs w:val="16"/>
              </w:rPr>
            </w:pPr>
            <w:r>
              <w:rPr>
                <w:rFonts w:ascii="Times New Roman" w:hAnsi="Times New Roman"/>
                <w:sz w:val="52"/>
                <w:szCs w:val="52"/>
              </w:rPr>
              <w:t></w:t>
            </w:r>
          </w:p>
          <w:p w:rsidR="004736ED" w:rsidRDefault="004736ED" w:rsidP="004736ED">
            <w:pPr>
              <w:spacing w:before="60" w:after="60"/>
              <w:jc w:val="center"/>
              <w:rPr>
                <w:rFonts w:cs="Arial"/>
              </w:rPr>
            </w:pPr>
          </w:p>
        </w:tc>
      </w:tr>
      <w:tr w:rsidR="007C3B3F" w:rsidTr="00271FAA">
        <w:trPr>
          <w:trHeight w:val="397"/>
        </w:trPr>
        <w:tc>
          <w:tcPr>
            <w:tcW w:w="9747" w:type="dxa"/>
            <w:gridSpan w:val="3"/>
            <w:shd w:val="clear" w:color="auto" w:fill="B8CCE4"/>
            <w:vAlign w:val="center"/>
          </w:tcPr>
          <w:p w:rsidR="007C3B3F" w:rsidRDefault="007C3B3F" w:rsidP="00271FAA">
            <w:pPr>
              <w:pStyle w:val="TableTopRow"/>
            </w:pPr>
            <w:r>
              <w:t>ANONYMITY</w:t>
            </w:r>
          </w:p>
        </w:tc>
      </w:tr>
      <w:tr w:rsidR="00253FD6" w:rsidTr="00271FAA">
        <w:trPr>
          <w:trHeight w:val="860"/>
        </w:trPr>
        <w:tc>
          <w:tcPr>
            <w:tcW w:w="8330" w:type="dxa"/>
            <w:gridSpan w:val="2"/>
            <w:vAlign w:val="center"/>
          </w:tcPr>
          <w:p w:rsidR="007C3B3F" w:rsidRDefault="00253FD6" w:rsidP="004736ED">
            <w:pPr>
              <w:pStyle w:val="Tablebody"/>
              <w:spacing w:before="60" w:after="60"/>
              <w:rPr>
                <w:b/>
              </w:rPr>
            </w:pPr>
            <w:r>
              <w:t xml:space="preserve">Please tick this box if you want your submission to be treated as anonymous (that is, you </w:t>
            </w:r>
            <w:r>
              <w:rPr>
                <w:b/>
              </w:rPr>
              <w:t xml:space="preserve">do not consent </w:t>
            </w:r>
            <w:r>
              <w:t>to having your name, or the name of your organisation, published on the internet with your submission).</w:t>
            </w:r>
            <w:r>
              <w:rPr>
                <w:b/>
              </w:rPr>
              <w:t xml:space="preserve"> </w:t>
            </w:r>
          </w:p>
          <w:p w:rsidR="007C3B3F" w:rsidRDefault="007C3B3F" w:rsidP="004736ED">
            <w:pPr>
              <w:pStyle w:val="Tablebody"/>
              <w:spacing w:before="60" w:after="60"/>
              <w:rPr>
                <w:b/>
              </w:rPr>
            </w:pPr>
          </w:p>
          <w:p w:rsidR="007C3B3F" w:rsidRPr="007C3B3F" w:rsidRDefault="007C3B3F" w:rsidP="004736ED">
            <w:pPr>
              <w:pStyle w:val="Tablebody"/>
              <w:spacing w:before="60" w:after="60"/>
              <w:rPr>
                <w:b/>
              </w:rPr>
            </w:pPr>
          </w:p>
        </w:tc>
        <w:tc>
          <w:tcPr>
            <w:tcW w:w="1417" w:type="dxa"/>
            <w:vAlign w:val="center"/>
          </w:tcPr>
          <w:p w:rsidR="004736ED" w:rsidRDefault="00253FD6" w:rsidP="00C70D34">
            <w:pPr>
              <w:spacing w:before="144" w:after="144"/>
              <w:jc w:val="center"/>
              <w:rPr>
                <w:rFonts w:ascii="Times New Roman" w:hAnsi="Times New Roman"/>
                <w:sz w:val="16"/>
                <w:szCs w:val="16"/>
              </w:rPr>
            </w:pPr>
            <w:r>
              <w:rPr>
                <w:rFonts w:ascii="Times New Roman" w:hAnsi="Times New Roman"/>
                <w:sz w:val="52"/>
                <w:szCs w:val="52"/>
              </w:rPr>
              <w:t></w:t>
            </w:r>
          </w:p>
          <w:p w:rsidR="004736ED" w:rsidRDefault="004736ED" w:rsidP="004736ED">
            <w:pPr>
              <w:spacing w:before="60" w:after="60"/>
              <w:jc w:val="center"/>
              <w:rPr>
                <w:rFonts w:cs="Arial"/>
              </w:rPr>
            </w:pPr>
          </w:p>
        </w:tc>
      </w:tr>
      <w:tr w:rsidR="00253FD6" w:rsidTr="00271FAA">
        <w:trPr>
          <w:trHeight w:val="367"/>
        </w:trPr>
        <w:tc>
          <w:tcPr>
            <w:tcW w:w="9747" w:type="dxa"/>
            <w:gridSpan w:val="3"/>
            <w:shd w:val="clear" w:color="auto" w:fill="B8CCE4"/>
            <w:vAlign w:val="center"/>
          </w:tcPr>
          <w:p w:rsidR="00253FD6" w:rsidRDefault="00253FD6" w:rsidP="00271FAA">
            <w:pPr>
              <w:pStyle w:val="TableTopRow"/>
            </w:pPr>
            <w:r>
              <w:lastRenderedPageBreak/>
              <w:t>THIRD PARTY PERSONAL INFORMATION</w:t>
            </w:r>
          </w:p>
        </w:tc>
      </w:tr>
      <w:tr w:rsidR="00253FD6" w:rsidTr="00271FAA">
        <w:trPr>
          <w:trHeight w:val="860"/>
        </w:trPr>
        <w:tc>
          <w:tcPr>
            <w:tcW w:w="8330" w:type="dxa"/>
            <w:gridSpan w:val="2"/>
            <w:vAlign w:val="center"/>
          </w:tcPr>
          <w:p w:rsidR="004736ED" w:rsidRDefault="00253FD6" w:rsidP="004736ED">
            <w:pPr>
              <w:pStyle w:val="Tablebody"/>
              <w:spacing w:before="60" w:after="60"/>
            </w:pPr>
            <w:r>
              <w:t xml:space="preserve">Please tick this box </w:t>
            </w:r>
            <w:r>
              <w:rPr>
                <w:b/>
              </w:rPr>
              <w:t>if your submission contains personal information of third party individuals</w:t>
            </w:r>
            <w:r>
              <w:t>, and strike out the statement that is not applicable in the following sentence:</w:t>
            </w:r>
          </w:p>
          <w:p w:rsidR="004736ED" w:rsidRDefault="00253FD6" w:rsidP="004736ED">
            <w:pPr>
              <w:pStyle w:val="Tablebody"/>
              <w:spacing w:before="60" w:after="60"/>
            </w:pPr>
            <w:r>
              <w:t xml:space="preserve">The third party individual </w:t>
            </w:r>
            <w:r>
              <w:rPr>
                <w:b/>
              </w:rPr>
              <w:t xml:space="preserve">consents / does not consent </w:t>
            </w:r>
            <w:r>
              <w:t>to the publication of their information.</w:t>
            </w:r>
          </w:p>
        </w:tc>
        <w:tc>
          <w:tcPr>
            <w:tcW w:w="1417" w:type="dxa"/>
            <w:vAlign w:val="center"/>
          </w:tcPr>
          <w:p w:rsidR="004736ED" w:rsidRDefault="004736ED" w:rsidP="004736ED">
            <w:pPr>
              <w:spacing w:before="60" w:after="60" w:line="240" w:lineRule="auto"/>
              <w:jc w:val="center"/>
              <w:rPr>
                <w:rFonts w:ascii="Times New Roman" w:hAnsi="Times New Roman"/>
                <w:sz w:val="16"/>
                <w:szCs w:val="16"/>
              </w:rPr>
            </w:pPr>
          </w:p>
          <w:p w:rsidR="004736ED" w:rsidRDefault="00253FD6" w:rsidP="00D56B2E">
            <w:pPr>
              <w:spacing w:before="60" w:after="60" w:line="240" w:lineRule="auto"/>
              <w:jc w:val="center"/>
              <w:rPr>
                <w:rFonts w:cs="Arial"/>
              </w:rPr>
            </w:pPr>
            <w:r>
              <w:rPr>
                <w:rFonts w:ascii="Times New Roman" w:hAnsi="Times New Roman"/>
                <w:sz w:val="52"/>
                <w:szCs w:val="52"/>
              </w:rPr>
              <w:t></w:t>
            </w:r>
          </w:p>
        </w:tc>
      </w:tr>
    </w:tbl>
    <w:p w:rsidR="00D41615" w:rsidRDefault="00D41615"/>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747"/>
      </w:tblGrid>
      <w:tr w:rsidR="004F6977" w:rsidTr="00BA46C0">
        <w:trPr>
          <w:trHeight w:val="367"/>
        </w:trPr>
        <w:tc>
          <w:tcPr>
            <w:tcW w:w="9747" w:type="dxa"/>
            <w:shd w:val="clear" w:color="auto" w:fill="B8CCE4"/>
            <w:vAlign w:val="center"/>
          </w:tcPr>
          <w:p w:rsidR="004F6977" w:rsidRDefault="004F6977" w:rsidP="00BA46C0">
            <w:pPr>
              <w:pStyle w:val="TableTopRow"/>
            </w:pPr>
            <w:r>
              <w:t>HOW TO SUBMIT COMMENTS</w:t>
            </w:r>
          </w:p>
        </w:tc>
      </w:tr>
      <w:tr w:rsidR="004E3AA0" w:rsidTr="00BA46C0">
        <w:trPr>
          <w:trHeight w:val="860"/>
        </w:trPr>
        <w:tc>
          <w:tcPr>
            <w:tcW w:w="9747" w:type="dxa"/>
            <w:vAlign w:val="center"/>
          </w:tcPr>
          <w:p w:rsidR="004E3AA0" w:rsidRDefault="004E3AA0" w:rsidP="00271FAA">
            <w:pPr>
              <w:pStyle w:val="NormalWeb"/>
              <w:spacing w:before="0" w:beforeAutospacing="0" w:after="0" w:afterAutospacing="0"/>
              <w:rPr>
                <w:rFonts w:ascii="Arial" w:hAnsi="Arial" w:cs="Arial"/>
                <w:sz w:val="20"/>
                <w:szCs w:val="20"/>
              </w:rPr>
            </w:pPr>
          </w:p>
          <w:p w:rsidR="004E3AA0" w:rsidRDefault="004E3AA0" w:rsidP="00271FAA">
            <w:pPr>
              <w:pStyle w:val="NormalWeb"/>
              <w:spacing w:before="0" w:beforeAutospacing="0" w:after="0" w:afterAutospacing="0"/>
              <w:rPr>
                <w:rFonts w:ascii="Arial" w:hAnsi="Arial" w:cs="Arial"/>
                <w:sz w:val="20"/>
                <w:szCs w:val="20"/>
              </w:rPr>
            </w:pPr>
            <w:r w:rsidRPr="00F5436F">
              <w:rPr>
                <w:rFonts w:ascii="Arial" w:hAnsi="Arial" w:cs="Arial"/>
                <w:sz w:val="20"/>
                <w:szCs w:val="20"/>
              </w:rPr>
              <w:t xml:space="preserve">Return BOTH the cover sheet and the comments sheet by email </w:t>
            </w:r>
            <w:r w:rsidR="007F5D8A" w:rsidRPr="007F5D8A">
              <w:rPr>
                <w:rFonts w:ascii="Arial" w:hAnsi="Arial" w:cs="Arial"/>
                <w:sz w:val="20"/>
                <w:szCs w:val="20"/>
              </w:rPr>
              <w:t>(preferred option)</w:t>
            </w:r>
            <w:r w:rsidR="007F5D8A">
              <w:rPr>
                <w:rFonts w:ascii="Arial" w:hAnsi="Arial" w:cs="Arial"/>
                <w:sz w:val="20"/>
                <w:szCs w:val="20"/>
              </w:rPr>
              <w:t xml:space="preserve"> </w:t>
            </w:r>
            <w:r w:rsidRPr="00F5436F">
              <w:rPr>
                <w:rFonts w:ascii="Arial" w:hAnsi="Arial" w:cs="Arial"/>
                <w:sz w:val="20"/>
                <w:szCs w:val="20"/>
              </w:rPr>
              <w:t>or post</w:t>
            </w:r>
            <w:r>
              <w:rPr>
                <w:rFonts w:ascii="Arial" w:hAnsi="Arial" w:cs="Arial"/>
                <w:sz w:val="20"/>
                <w:szCs w:val="20"/>
              </w:rPr>
              <w:t xml:space="preserve"> to the addresses below.</w:t>
            </w:r>
          </w:p>
          <w:p w:rsidR="004E3AA0" w:rsidRDefault="004E3AA0" w:rsidP="00271FAA">
            <w:pPr>
              <w:pStyle w:val="NormalWeb"/>
              <w:spacing w:before="0" w:beforeAutospacing="0" w:after="0" w:afterAutospacing="0"/>
              <w:rPr>
                <w:rFonts w:ascii="Arial" w:hAnsi="Arial" w:cs="Arial"/>
                <w:sz w:val="20"/>
                <w:szCs w:val="20"/>
              </w:rPr>
            </w:pPr>
          </w:p>
          <w:p w:rsidR="004E3AA0" w:rsidRDefault="004E3AA0" w:rsidP="00271FAA">
            <w:pPr>
              <w:pStyle w:val="NormalWeb"/>
              <w:spacing w:before="0" w:beforeAutospacing="0" w:after="0" w:afterAutospacing="0"/>
              <w:rPr>
                <w:rFonts w:ascii="Arial" w:hAnsi="Arial" w:cs="Arial"/>
                <w:sz w:val="20"/>
                <w:szCs w:val="20"/>
              </w:rPr>
            </w:pPr>
          </w:p>
          <w:p w:rsidR="004E3AA0" w:rsidRDefault="004736ED" w:rsidP="00271FAA">
            <w:pPr>
              <w:pStyle w:val="NormalWeb"/>
              <w:spacing w:before="0" w:beforeAutospacing="0" w:after="0" w:afterAutospacing="0"/>
            </w:pPr>
            <w:r w:rsidRPr="004736ED">
              <w:rPr>
                <w:rFonts w:ascii="Arial" w:hAnsi="Arial" w:cs="Arial"/>
                <w:b/>
                <w:sz w:val="20"/>
                <w:szCs w:val="20"/>
              </w:rPr>
              <w:t>Email:</w:t>
            </w:r>
            <w:r w:rsidR="004F6977">
              <w:rPr>
                <w:rFonts w:ascii="Arial" w:hAnsi="Arial" w:cs="Arial"/>
                <w:b/>
                <w:sz w:val="20"/>
                <w:szCs w:val="20"/>
              </w:rPr>
              <w:t xml:space="preserve"> </w:t>
            </w:r>
            <w:r w:rsidR="004F6977">
              <w:rPr>
                <w:rFonts w:ascii="Arial" w:hAnsi="Arial" w:cs="Arial"/>
                <w:b/>
                <w:sz w:val="20"/>
                <w:szCs w:val="20"/>
              </w:rPr>
              <w:tab/>
            </w:r>
            <w:r w:rsidR="004F6977">
              <w:rPr>
                <w:rFonts w:ascii="Arial" w:hAnsi="Arial" w:cs="Arial"/>
                <w:b/>
                <w:sz w:val="20"/>
                <w:szCs w:val="20"/>
              </w:rPr>
              <w:tab/>
            </w:r>
            <w:hyperlink r:id="rId8" w:history="1">
              <w:r w:rsidR="00652A12" w:rsidRPr="00652A12">
                <w:rPr>
                  <w:rStyle w:val="Hyperlink"/>
                  <w:rFonts w:ascii="Arial" w:hAnsi="Arial" w:cs="Arial"/>
                  <w:sz w:val="20"/>
                  <w:szCs w:val="20"/>
                </w:rPr>
                <w:t>emissions-reduction-submissions@environment.gov.au</w:t>
              </w:r>
            </w:hyperlink>
            <w:r w:rsidR="00652A12" w:rsidRPr="003D25F5">
              <w:rPr>
                <w:b/>
                <w:bCs/>
                <w:color w:val="FF0000"/>
              </w:rPr>
              <w:t xml:space="preserve"> </w:t>
            </w:r>
          </w:p>
          <w:p w:rsidR="00406B0D" w:rsidRDefault="00406B0D" w:rsidP="00271FAA">
            <w:pPr>
              <w:pStyle w:val="NormalWeb"/>
              <w:spacing w:before="0" w:beforeAutospacing="0" w:after="0" w:afterAutospacing="0"/>
              <w:rPr>
                <w:rFonts w:ascii="Arial" w:hAnsi="Arial" w:cs="Arial"/>
                <w:sz w:val="20"/>
                <w:szCs w:val="20"/>
              </w:rPr>
            </w:pPr>
          </w:p>
          <w:p w:rsidR="00652A12" w:rsidRDefault="004736ED" w:rsidP="00652A12">
            <w:pPr>
              <w:spacing w:after="0" w:line="240" w:lineRule="auto"/>
            </w:pPr>
            <w:r w:rsidRPr="004736ED">
              <w:rPr>
                <w:rFonts w:ascii="Arial" w:hAnsi="Arial" w:cs="Arial"/>
                <w:b/>
                <w:sz w:val="20"/>
                <w:szCs w:val="20"/>
              </w:rPr>
              <w:t>Post:</w:t>
            </w:r>
            <w:r w:rsidR="007F5D8A">
              <w:rPr>
                <w:rFonts w:ascii="Arial" w:hAnsi="Arial" w:cs="Arial"/>
                <w:b/>
                <w:sz w:val="20"/>
                <w:szCs w:val="20"/>
              </w:rPr>
              <w:tab/>
            </w:r>
            <w:r w:rsidR="007F5D8A" w:rsidRPr="007F5D8A">
              <w:rPr>
                <w:rFonts w:ascii="Arial" w:hAnsi="Arial" w:cs="Arial"/>
                <w:b/>
                <w:sz w:val="20"/>
                <w:szCs w:val="20"/>
              </w:rPr>
              <w:tab/>
            </w:r>
            <w:r w:rsidR="00652A12">
              <w:t>Emissions Reduction Fund Submissions</w:t>
            </w:r>
          </w:p>
          <w:p w:rsidR="00652A12" w:rsidRDefault="00652A12" w:rsidP="00652A12">
            <w:pPr>
              <w:spacing w:after="0" w:line="240" w:lineRule="auto"/>
            </w:pPr>
            <w:r>
              <w:t xml:space="preserve">                             Department of the Environment</w:t>
            </w:r>
            <w:r w:rsidRPr="00BB2F55">
              <w:t xml:space="preserve"> </w:t>
            </w:r>
          </w:p>
          <w:p w:rsidR="00652A12" w:rsidRDefault="00652A12" w:rsidP="00652A12">
            <w:pPr>
              <w:spacing w:after="0" w:line="240" w:lineRule="auto"/>
            </w:pPr>
            <w:r>
              <w:t xml:space="preserve">                             </w:t>
            </w:r>
            <w:r w:rsidRPr="00BB2F55">
              <w:t>GPO Box 787</w:t>
            </w:r>
          </w:p>
          <w:p w:rsidR="00652A12" w:rsidRPr="00C30144" w:rsidRDefault="00652A12" w:rsidP="00652A12">
            <w:pPr>
              <w:spacing w:after="0" w:line="240" w:lineRule="auto"/>
            </w:pPr>
            <w:r>
              <w:t xml:space="preserve">                             </w:t>
            </w:r>
            <w:r w:rsidRPr="00BB2F55">
              <w:t>CANBERRA</w:t>
            </w:r>
            <w:r w:rsidRPr="00C30144">
              <w:t>, ACT 2601</w:t>
            </w:r>
          </w:p>
          <w:p w:rsidR="00652A12" w:rsidRPr="00BB2F55" w:rsidRDefault="00652A12" w:rsidP="00652A12">
            <w:pPr>
              <w:spacing w:after="0" w:line="240" w:lineRule="auto"/>
            </w:pPr>
          </w:p>
          <w:p w:rsidR="00652A12" w:rsidRDefault="00652A12" w:rsidP="00652A12">
            <w:pPr>
              <w:spacing w:after="0" w:line="240" w:lineRule="auto"/>
            </w:pPr>
          </w:p>
          <w:p w:rsidR="00652A12" w:rsidRDefault="00652A12" w:rsidP="00652A12">
            <w:pPr>
              <w:spacing w:after="0" w:line="240" w:lineRule="auto"/>
            </w:pPr>
          </w:p>
          <w:p w:rsidR="007F5D8A" w:rsidRPr="00033213" w:rsidRDefault="007F5D8A" w:rsidP="007F5D8A">
            <w:pPr>
              <w:ind w:left="1418" w:hanging="1418"/>
            </w:pPr>
          </w:p>
          <w:p w:rsidR="004E3AA0" w:rsidRPr="004F6977" w:rsidRDefault="004E3AA0" w:rsidP="00271FAA">
            <w:pPr>
              <w:pStyle w:val="NormalWeb"/>
              <w:spacing w:before="0" w:beforeAutospacing="0" w:after="0" w:afterAutospacing="0"/>
              <w:rPr>
                <w:rFonts w:ascii="Arial" w:hAnsi="Arial" w:cs="Arial"/>
                <w:b/>
                <w:sz w:val="20"/>
                <w:szCs w:val="20"/>
              </w:rPr>
            </w:pPr>
          </w:p>
          <w:p w:rsidR="007F5D8A" w:rsidRPr="00033213" w:rsidRDefault="004F6977" w:rsidP="007F5D8A">
            <w:pPr>
              <w:ind w:left="720"/>
            </w:pPr>
            <w:r>
              <w:rPr>
                <w:rFonts w:ascii="Arial" w:hAnsi="Arial" w:cs="Arial"/>
                <w:sz w:val="20"/>
                <w:szCs w:val="20"/>
              </w:rPr>
              <w:tab/>
            </w:r>
          </w:p>
          <w:p w:rsidR="004736ED" w:rsidRDefault="004736ED" w:rsidP="004736ED">
            <w:pPr>
              <w:spacing w:after="0" w:line="240" w:lineRule="auto"/>
              <w:ind w:left="720"/>
              <w:rPr>
                <w:rFonts w:ascii="Arial" w:hAnsi="Arial" w:cs="Arial"/>
                <w:sz w:val="20"/>
                <w:szCs w:val="20"/>
              </w:rPr>
            </w:pPr>
          </w:p>
          <w:p w:rsidR="004736ED" w:rsidRDefault="004736ED" w:rsidP="004736ED">
            <w:pPr>
              <w:spacing w:after="0" w:line="240" w:lineRule="auto"/>
              <w:ind w:left="720"/>
              <w:rPr>
                <w:rFonts w:ascii="Arial" w:hAnsi="Arial" w:cs="Arial"/>
                <w:sz w:val="20"/>
                <w:szCs w:val="20"/>
              </w:rPr>
            </w:pPr>
          </w:p>
          <w:p w:rsidR="004736ED" w:rsidRDefault="004736ED" w:rsidP="004736ED">
            <w:pPr>
              <w:spacing w:after="0" w:line="240" w:lineRule="auto"/>
              <w:ind w:left="720"/>
              <w:rPr>
                <w:rFonts w:ascii="Times New Roman" w:hAnsi="Times New Roman"/>
                <w:sz w:val="16"/>
                <w:szCs w:val="16"/>
              </w:rPr>
            </w:pPr>
          </w:p>
        </w:tc>
      </w:tr>
    </w:tbl>
    <w:p w:rsidR="004F6977" w:rsidRDefault="004F6977" w:rsidP="00253FD6">
      <w:pPr>
        <w:rPr>
          <w:rFonts w:ascii="Arial" w:hAnsi="Arial" w:cs="Arial"/>
          <w:b/>
          <w:sz w:val="18"/>
          <w:szCs w:val="18"/>
        </w:rPr>
      </w:pPr>
    </w:p>
    <w:p w:rsidR="007952AC" w:rsidRDefault="004736ED" w:rsidP="00253FD6">
      <w:pPr>
        <w:rPr>
          <w:rFonts w:ascii="Arial" w:hAnsi="Arial" w:cs="Arial"/>
          <w:b/>
          <w:sz w:val="18"/>
          <w:szCs w:val="18"/>
          <w:lang w:val="en-GB"/>
        </w:rPr>
      </w:pPr>
      <w:r w:rsidRPr="004736ED">
        <w:rPr>
          <w:rFonts w:ascii="Arial" w:hAnsi="Arial" w:cs="Arial"/>
          <w:b/>
          <w:sz w:val="18"/>
          <w:szCs w:val="18"/>
        </w:rPr>
        <w:t xml:space="preserve">* If you </w:t>
      </w:r>
      <w:r w:rsidRPr="004736ED">
        <w:rPr>
          <w:rFonts w:ascii="Arial" w:hAnsi="Arial" w:cs="Arial"/>
          <w:b/>
          <w:sz w:val="18"/>
          <w:szCs w:val="18"/>
          <w:lang w:val="en-GB"/>
        </w:rPr>
        <w:t>wish for only parts of your submission to be treated as confidential, it would be appreciated if you could provide the confidential parts of your submission as a separate document.</w:t>
      </w:r>
    </w:p>
    <w:p w:rsidR="00652A12" w:rsidRDefault="00652A12" w:rsidP="00652A12">
      <w:pPr>
        <w:rPr>
          <w:b/>
          <w:bCs/>
        </w:rPr>
      </w:pPr>
      <w:r>
        <w:rPr>
          <w:b/>
          <w:bCs/>
        </w:rPr>
        <w:t xml:space="preserve">Email: </w:t>
      </w:r>
    </w:p>
    <w:p w:rsidR="00652A12" w:rsidRPr="00C30144" w:rsidRDefault="00652A12" w:rsidP="00652A12">
      <w:pPr>
        <w:spacing w:after="0"/>
      </w:pPr>
      <w:r w:rsidRPr="00875497">
        <w:rPr>
          <w:b/>
        </w:rPr>
        <w:t>Post</w:t>
      </w:r>
      <w:r>
        <w:t xml:space="preserve">: </w:t>
      </w:r>
      <w:r>
        <w:tab/>
      </w:r>
    </w:p>
    <w:p w:rsidR="00652A12" w:rsidRDefault="00652A12" w:rsidP="00652A12">
      <w:pPr>
        <w:spacing w:after="0"/>
        <w:ind w:firstLine="720"/>
        <w:rPr>
          <w:rFonts w:cs="Arial"/>
          <w:color w:val="000000"/>
          <w:sz w:val="20"/>
          <w:szCs w:val="20"/>
          <w:lang w:val="en-US" w:eastAsia="en-AU"/>
        </w:rPr>
      </w:pPr>
    </w:p>
    <w:p w:rsidR="00652A12" w:rsidRPr="00C30144" w:rsidRDefault="00652A12" w:rsidP="00652A12">
      <w:r w:rsidRPr="00C30144">
        <w:t>For further information, or to request a hard copy of the document, please call 1800 057 590.</w:t>
      </w:r>
    </w:p>
    <w:p w:rsidR="007952AC" w:rsidRPr="00652A12" w:rsidRDefault="007952AC" w:rsidP="00652A12">
      <w:pPr>
        <w:pStyle w:val="NormalWeb"/>
        <w:spacing w:before="0" w:beforeAutospacing="0" w:after="0" w:afterAutospacing="0"/>
        <w:rPr>
          <w:rFonts w:ascii="Arial" w:hAnsi="Arial" w:cs="Arial"/>
          <w:sz w:val="20"/>
          <w:szCs w:val="20"/>
        </w:rPr>
      </w:pPr>
      <w:r w:rsidRPr="00652A12">
        <w:rPr>
          <w:rFonts w:ascii="Arial" w:hAnsi="Arial" w:cs="Arial"/>
          <w:sz w:val="20"/>
          <w:szCs w:val="20"/>
        </w:rPr>
        <w:br w:type="page"/>
      </w:r>
    </w:p>
    <w:p w:rsidR="007952AC" w:rsidRPr="007B4F81" w:rsidRDefault="007952AC" w:rsidP="00172561">
      <w:pPr>
        <w:pStyle w:val="Heading1"/>
        <w:tabs>
          <w:tab w:val="left" w:pos="3924"/>
        </w:tabs>
        <w:jc w:val="center"/>
        <w:rPr>
          <w:b w:val="0"/>
          <w:color w:val="365F91"/>
          <w:kern w:val="20"/>
          <w:sz w:val="28"/>
          <w:szCs w:val="28"/>
        </w:rPr>
      </w:pPr>
      <w:r w:rsidRPr="007B4F81">
        <w:rPr>
          <w:color w:val="365F91"/>
          <w:kern w:val="20"/>
          <w:sz w:val="28"/>
          <w:szCs w:val="28"/>
        </w:rPr>
        <w:lastRenderedPageBreak/>
        <w:t>Submission Template</w:t>
      </w:r>
    </w:p>
    <w:p w:rsidR="007952AC" w:rsidRDefault="007952AC" w:rsidP="007952AC">
      <w:pPr>
        <w:jc w:val="center"/>
        <w:rPr>
          <w:rFonts w:ascii="Arial" w:hAnsi="Arial"/>
          <w:b/>
          <w:color w:val="365F91"/>
          <w:kern w:val="20"/>
          <w:sz w:val="28"/>
          <w:szCs w:val="28"/>
        </w:rPr>
      </w:pPr>
      <w:r>
        <w:rPr>
          <w:rFonts w:ascii="Arial" w:hAnsi="Arial"/>
          <w:b/>
          <w:color w:val="365F91"/>
          <w:kern w:val="20"/>
          <w:sz w:val="28"/>
          <w:szCs w:val="28"/>
        </w:rPr>
        <w:t>EMISSIONS REDUCTION FUND</w:t>
      </w:r>
      <w:r w:rsidR="007C3B3F">
        <w:rPr>
          <w:rFonts w:ascii="Arial" w:hAnsi="Arial"/>
          <w:b/>
          <w:color w:val="365F91"/>
          <w:kern w:val="20"/>
          <w:sz w:val="28"/>
          <w:szCs w:val="28"/>
        </w:rPr>
        <w:t xml:space="preserve">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7"/>
        <w:gridCol w:w="7119"/>
      </w:tblGrid>
      <w:tr w:rsidR="007952AC" w:rsidRPr="0032165A" w:rsidTr="00D92C2E">
        <w:tc>
          <w:tcPr>
            <w:tcW w:w="9926" w:type="dxa"/>
            <w:gridSpan w:val="2"/>
          </w:tcPr>
          <w:p w:rsidR="007952AC" w:rsidRPr="00E47C1D" w:rsidRDefault="007952AC" w:rsidP="00BA46C0">
            <w:pPr>
              <w:pStyle w:val="Style2"/>
              <w:keepNext w:val="0"/>
              <w:rPr>
                <w:color w:val="365F91"/>
              </w:rPr>
            </w:pPr>
            <w:r w:rsidRPr="00E47C1D">
              <w:rPr>
                <w:color w:val="365F91"/>
              </w:rPr>
              <w:t>Overview</w:t>
            </w:r>
          </w:p>
          <w:p w:rsidR="007952AC" w:rsidRDefault="007952AC" w:rsidP="00BA46C0">
            <w:pPr>
              <w:rPr>
                <w:rFonts w:ascii="Arial" w:hAnsi="Arial" w:cs="Arial"/>
              </w:rPr>
            </w:pPr>
            <w:r w:rsidRPr="00E75C2F">
              <w:rPr>
                <w:rFonts w:ascii="Arial" w:hAnsi="Arial" w:cs="Arial"/>
              </w:rPr>
              <w:t>This submission template shoul</w:t>
            </w:r>
            <w:r>
              <w:rPr>
                <w:rFonts w:ascii="Arial" w:hAnsi="Arial" w:cs="Arial"/>
              </w:rPr>
              <w:t xml:space="preserve">d be used to provide comments on the </w:t>
            </w:r>
            <w:r w:rsidR="00230D89">
              <w:rPr>
                <w:rFonts w:ascii="Arial" w:hAnsi="Arial" w:cs="Arial"/>
              </w:rPr>
              <w:t xml:space="preserve">design of the </w:t>
            </w:r>
            <w:r>
              <w:rPr>
                <w:rFonts w:ascii="Arial" w:hAnsi="Arial" w:cs="Arial"/>
              </w:rPr>
              <w:t>Emissions Reduction Fund.</w:t>
            </w:r>
            <w:r>
              <w:t xml:space="preserve"> </w:t>
            </w:r>
          </w:p>
          <w:p w:rsidR="007952AC" w:rsidRPr="00766203" w:rsidRDefault="007952AC" w:rsidP="00BA46C0">
            <w:pPr>
              <w:rPr>
                <w:rFonts w:ascii="Arial" w:hAnsi="Arial" w:cs="Arial"/>
              </w:rPr>
            </w:pPr>
          </w:p>
        </w:tc>
      </w:tr>
      <w:tr w:rsidR="007952AC" w:rsidRPr="0032165A" w:rsidTr="00D92C2E">
        <w:trPr>
          <w:trHeight w:val="442"/>
        </w:trPr>
        <w:tc>
          <w:tcPr>
            <w:tcW w:w="9926" w:type="dxa"/>
            <w:gridSpan w:val="2"/>
          </w:tcPr>
          <w:p w:rsidR="007952AC" w:rsidRPr="00E47C1D" w:rsidRDefault="007952AC" w:rsidP="00BA46C0">
            <w:pPr>
              <w:pStyle w:val="Style2"/>
              <w:keepNext w:val="0"/>
              <w:rPr>
                <w:rFonts w:cs="Arial"/>
                <w:color w:val="365F91"/>
              </w:rPr>
            </w:pPr>
            <w:r w:rsidRPr="00E47C1D">
              <w:rPr>
                <w:color w:val="365F91"/>
              </w:rPr>
              <w:t>Contact Details</w:t>
            </w:r>
          </w:p>
        </w:tc>
      </w:tr>
      <w:tr w:rsidR="007952AC" w:rsidRPr="0032165A" w:rsidTr="00D92C2E">
        <w:trPr>
          <w:trHeight w:val="336"/>
        </w:trPr>
        <w:tc>
          <w:tcPr>
            <w:tcW w:w="2807" w:type="dxa"/>
          </w:tcPr>
          <w:p w:rsidR="007952AC" w:rsidRPr="0032165A" w:rsidRDefault="007952AC" w:rsidP="00BA46C0">
            <w:pPr>
              <w:rPr>
                <w:rFonts w:ascii="Arial" w:hAnsi="Arial" w:cs="Arial"/>
                <w:b/>
                <w:lang w:val="en-GB"/>
              </w:rPr>
            </w:pPr>
            <w:r w:rsidRPr="0032165A">
              <w:rPr>
                <w:rFonts w:ascii="Arial" w:hAnsi="Arial" w:cs="Arial"/>
                <w:b/>
                <w:lang w:val="en-GB"/>
              </w:rPr>
              <w:t>Name of Organisation:</w:t>
            </w:r>
          </w:p>
        </w:tc>
        <w:tc>
          <w:tcPr>
            <w:tcW w:w="7119" w:type="dxa"/>
          </w:tcPr>
          <w:p w:rsidR="007952AC" w:rsidRPr="0032165A" w:rsidRDefault="00BA46C0" w:rsidP="00BA46C0">
            <w:pPr>
              <w:rPr>
                <w:rFonts w:ascii="Arial" w:hAnsi="Arial" w:cs="Arial"/>
              </w:rPr>
            </w:pPr>
            <w:r>
              <w:rPr>
                <w:rFonts w:ascii="Arial" w:hAnsi="Arial" w:cs="Arial"/>
              </w:rPr>
              <w:t>Australian Trucking Association</w:t>
            </w:r>
          </w:p>
        </w:tc>
      </w:tr>
      <w:tr w:rsidR="008F0D14" w:rsidRPr="0032165A" w:rsidTr="00D92C2E">
        <w:trPr>
          <w:trHeight w:val="336"/>
        </w:trPr>
        <w:tc>
          <w:tcPr>
            <w:tcW w:w="2807" w:type="dxa"/>
          </w:tcPr>
          <w:p w:rsidR="008F0D14" w:rsidRPr="0032165A" w:rsidRDefault="008F0D14" w:rsidP="00BA46C0">
            <w:pPr>
              <w:rPr>
                <w:rFonts w:ascii="Arial" w:hAnsi="Arial" w:cs="Arial"/>
                <w:b/>
                <w:lang w:val="en-GB"/>
              </w:rPr>
            </w:pPr>
            <w:r w:rsidRPr="0032165A">
              <w:rPr>
                <w:rFonts w:ascii="Arial" w:hAnsi="Arial" w:cs="Arial"/>
                <w:b/>
                <w:lang w:val="en-GB"/>
              </w:rPr>
              <w:t>Name of Author:</w:t>
            </w:r>
          </w:p>
        </w:tc>
        <w:tc>
          <w:tcPr>
            <w:tcW w:w="7119" w:type="dxa"/>
          </w:tcPr>
          <w:p w:rsidR="008F0D14" w:rsidRPr="00BA46C0" w:rsidRDefault="00BA46C0" w:rsidP="00BA46C0">
            <w:pPr>
              <w:rPr>
                <w:rFonts w:ascii="Arial" w:hAnsi="Arial" w:cs="Arial"/>
                <w:lang w:val="en-GB"/>
              </w:rPr>
            </w:pPr>
            <w:r w:rsidRPr="00BA46C0">
              <w:rPr>
                <w:rFonts w:ascii="Arial" w:hAnsi="Arial" w:cs="Arial"/>
                <w:lang w:val="en-GB"/>
              </w:rPr>
              <w:t>Bill McKinley</w:t>
            </w:r>
          </w:p>
        </w:tc>
      </w:tr>
      <w:tr w:rsidR="007952AC" w:rsidRPr="0032165A" w:rsidTr="00D92C2E">
        <w:trPr>
          <w:trHeight w:val="336"/>
        </w:trPr>
        <w:tc>
          <w:tcPr>
            <w:tcW w:w="2807" w:type="dxa"/>
          </w:tcPr>
          <w:p w:rsidR="007952AC" w:rsidRPr="0032165A" w:rsidRDefault="008F0D14" w:rsidP="00BA46C0">
            <w:pPr>
              <w:rPr>
                <w:rFonts w:ascii="Arial" w:hAnsi="Arial" w:cs="Arial"/>
                <w:b/>
                <w:lang w:val="en-GB"/>
              </w:rPr>
            </w:pPr>
            <w:r>
              <w:rPr>
                <w:rFonts w:ascii="Arial" w:hAnsi="Arial" w:cs="Arial"/>
                <w:b/>
                <w:lang w:val="en-GB"/>
              </w:rPr>
              <w:t>Date:</w:t>
            </w:r>
          </w:p>
        </w:tc>
        <w:tc>
          <w:tcPr>
            <w:tcW w:w="7119" w:type="dxa"/>
          </w:tcPr>
          <w:p w:rsidR="007952AC" w:rsidRPr="00BA46C0" w:rsidRDefault="00BA46C0" w:rsidP="00BA46C0">
            <w:pPr>
              <w:rPr>
                <w:rFonts w:ascii="Arial" w:hAnsi="Arial" w:cs="Arial"/>
                <w:lang w:val="en-GB"/>
              </w:rPr>
            </w:pPr>
            <w:r w:rsidRPr="00BA46C0">
              <w:rPr>
                <w:rFonts w:ascii="Arial" w:hAnsi="Arial" w:cs="Arial"/>
                <w:lang w:val="en-GB"/>
              </w:rPr>
              <w:t>18 November 2013</w:t>
            </w:r>
          </w:p>
        </w:tc>
      </w:tr>
      <w:tr w:rsidR="007952AC" w:rsidTr="007C3B3F">
        <w:tc>
          <w:tcPr>
            <w:tcW w:w="9926" w:type="dxa"/>
            <w:gridSpan w:val="2"/>
            <w:tcBorders>
              <w:left w:val="nil"/>
              <w:right w:val="nil"/>
            </w:tcBorders>
          </w:tcPr>
          <w:p w:rsidR="007952AC" w:rsidRDefault="007952AC" w:rsidP="00BA46C0">
            <w:pPr>
              <w:pStyle w:val="Heading2"/>
              <w:spacing w:before="120" w:after="120"/>
              <w:rPr>
                <w:i/>
              </w:rPr>
            </w:pPr>
          </w:p>
          <w:p w:rsidR="007C3B3F" w:rsidRPr="007C3B3F" w:rsidRDefault="007C3B3F" w:rsidP="007C3B3F"/>
        </w:tc>
      </w:tr>
      <w:tr w:rsidR="007C3B3F" w:rsidTr="007C3B3F">
        <w:tc>
          <w:tcPr>
            <w:tcW w:w="9926" w:type="dxa"/>
            <w:gridSpan w:val="2"/>
            <w:tcBorders>
              <w:bottom w:val="single" w:sz="4" w:space="0" w:color="auto"/>
            </w:tcBorders>
          </w:tcPr>
          <w:p w:rsidR="007C3B3F" w:rsidRPr="00BE789F" w:rsidRDefault="007C3B3F" w:rsidP="007C3B3F">
            <w:pPr>
              <w:pStyle w:val="Style2"/>
              <w:keepNext w:val="0"/>
              <w:rPr>
                <w:i/>
              </w:rPr>
            </w:pPr>
            <w:r>
              <w:rPr>
                <w:color w:val="365F91"/>
              </w:rPr>
              <w:t>Submission responses</w:t>
            </w:r>
          </w:p>
        </w:tc>
      </w:tr>
      <w:tr w:rsidR="002B1B7B" w:rsidTr="00D92C2E">
        <w:tc>
          <w:tcPr>
            <w:tcW w:w="9926" w:type="dxa"/>
            <w:gridSpan w:val="2"/>
          </w:tcPr>
          <w:p w:rsidR="002B1B7B" w:rsidRDefault="002B1B7B" w:rsidP="00AB3873">
            <w:pPr>
              <w:pStyle w:val="Heading2"/>
              <w:numPr>
                <w:ilvl w:val="0"/>
                <w:numId w:val="10"/>
              </w:numPr>
              <w:spacing w:before="120" w:after="120"/>
              <w:rPr>
                <w:i/>
              </w:rPr>
            </w:pPr>
            <w:r>
              <w:rPr>
                <w:i/>
              </w:rPr>
              <w:t>Likely sources of abatement from the road freight transport sector</w:t>
            </w:r>
          </w:p>
        </w:tc>
      </w:tr>
      <w:tr w:rsidR="002B1B7B" w:rsidTr="00D92C2E">
        <w:tc>
          <w:tcPr>
            <w:tcW w:w="9926" w:type="dxa"/>
            <w:gridSpan w:val="2"/>
          </w:tcPr>
          <w:p w:rsidR="00CD2A9E" w:rsidRPr="00CD2A9E" w:rsidRDefault="00CD2A9E" w:rsidP="001F438D">
            <w:pPr>
              <w:pStyle w:val="Heading2"/>
              <w:rPr>
                <w:b w:val="0"/>
                <w:i/>
              </w:rPr>
            </w:pPr>
            <w:r w:rsidRPr="00CD2A9E">
              <w:rPr>
                <w:b w:val="0"/>
                <w:i/>
              </w:rPr>
              <w:t>The Linfox example</w:t>
            </w:r>
          </w:p>
          <w:p w:rsidR="001F438D" w:rsidRDefault="007D33FF" w:rsidP="001F438D">
            <w:pPr>
              <w:pStyle w:val="Heading2"/>
              <w:rPr>
                <w:b w:val="0"/>
              </w:rPr>
            </w:pPr>
            <w:r>
              <w:rPr>
                <w:b w:val="0"/>
              </w:rPr>
              <w:t xml:space="preserve">The </w:t>
            </w:r>
            <w:r w:rsidR="00257328">
              <w:rPr>
                <w:b w:val="0"/>
              </w:rPr>
              <w:t xml:space="preserve">likely sources of </w:t>
            </w:r>
            <w:r>
              <w:rPr>
                <w:b w:val="0"/>
              </w:rPr>
              <w:t>low cost abatement in the road freight transport sector</w:t>
            </w:r>
            <w:r w:rsidR="001F438D">
              <w:rPr>
                <w:b w:val="0"/>
              </w:rPr>
              <w:t xml:space="preserve"> are illustrated by the measures that Linfox, an ATA member company, has implemented under its GreenFox program</w:t>
            </w:r>
            <w:r>
              <w:rPr>
                <w:b w:val="0"/>
              </w:rPr>
              <w:t xml:space="preserve">. </w:t>
            </w:r>
          </w:p>
          <w:p w:rsidR="002B1B7B" w:rsidRDefault="007D33FF" w:rsidP="001F438D">
            <w:pPr>
              <w:pStyle w:val="Heading2"/>
              <w:rPr>
                <w:b w:val="0"/>
              </w:rPr>
            </w:pPr>
            <w:r>
              <w:rPr>
                <w:b w:val="0"/>
              </w:rPr>
              <w:t xml:space="preserve">Linfox reduced its rate of greenhouse gas emissions </w:t>
            </w:r>
            <w:r w:rsidR="001F438D">
              <w:rPr>
                <w:b w:val="0"/>
              </w:rPr>
              <w:t xml:space="preserve">(calculated on a Gj/1000km basis) </w:t>
            </w:r>
            <w:r>
              <w:rPr>
                <w:b w:val="0"/>
              </w:rPr>
              <w:t xml:space="preserve">by 37 per cent </w:t>
            </w:r>
            <w:r w:rsidR="001F438D">
              <w:rPr>
                <w:b w:val="0"/>
              </w:rPr>
              <w:t>between 2006-07 and 2011-12 by</w:t>
            </w:r>
            <w:r>
              <w:rPr>
                <w:b w:val="0"/>
              </w:rPr>
              <w:t>:</w:t>
            </w:r>
          </w:p>
          <w:p w:rsidR="007D33FF" w:rsidRPr="007D33FF" w:rsidRDefault="007D33FF" w:rsidP="001F438D">
            <w:pPr>
              <w:pStyle w:val="ListParagraph"/>
              <w:numPr>
                <w:ilvl w:val="0"/>
                <w:numId w:val="8"/>
              </w:numPr>
              <w:rPr>
                <w:rFonts w:cs="Arial"/>
              </w:rPr>
            </w:pPr>
            <w:r w:rsidRPr="007D33FF">
              <w:rPr>
                <w:rFonts w:cs="Arial"/>
              </w:rPr>
              <w:t xml:space="preserve">using carbon footprint software to optimise </w:t>
            </w:r>
            <w:r w:rsidR="001F438D">
              <w:rPr>
                <w:rFonts w:cs="Arial"/>
              </w:rPr>
              <w:t xml:space="preserve">customers’ </w:t>
            </w:r>
            <w:r w:rsidRPr="007D33FF">
              <w:rPr>
                <w:rFonts w:cs="Arial"/>
              </w:rPr>
              <w:t>supply chains</w:t>
            </w:r>
          </w:p>
          <w:p w:rsidR="007D33FF" w:rsidRPr="007D33FF" w:rsidRDefault="007D33FF" w:rsidP="001F438D">
            <w:pPr>
              <w:pStyle w:val="ListParagraph"/>
              <w:numPr>
                <w:ilvl w:val="0"/>
                <w:numId w:val="8"/>
              </w:numPr>
              <w:rPr>
                <w:rFonts w:cs="Arial"/>
              </w:rPr>
            </w:pPr>
            <w:r w:rsidRPr="007D33FF">
              <w:rPr>
                <w:rFonts w:cs="Arial"/>
              </w:rPr>
              <w:t>adopting more aerodynamic vehicle designs</w:t>
            </w:r>
          </w:p>
          <w:p w:rsidR="007D33FF" w:rsidRPr="007D33FF" w:rsidRDefault="007D33FF" w:rsidP="001F438D">
            <w:pPr>
              <w:pStyle w:val="ListParagraph"/>
              <w:numPr>
                <w:ilvl w:val="0"/>
                <w:numId w:val="8"/>
              </w:numPr>
              <w:rPr>
                <w:rFonts w:cs="Arial"/>
              </w:rPr>
            </w:pPr>
            <w:r w:rsidRPr="007D33FF">
              <w:rPr>
                <w:rFonts w:cs="Arial"/>
              </w:rPr>
              <w:t>reducing ‘empty running’ and seeking opportunities to backload trucks</w:t>
            </w:r>
          </w:p>
          <w:p w:rsidR="007D33FF" w:rsidRPr="007D33FF" w:rsidRDefault="001F438D" w:rsidP="001F438D">
            <w:pPr>
              <w:pStyle w:val="ListParagraph"/>
              <w:numPr>
                <w:ilvl w:val="0"/>
                <w:numId w:val="8"/>
              </w:numPr>
              <w:rPr>
                <w:rFonts w:cs="Arial"/>
              </w:rPr>
            </w:pPr>
            <w:r>
              <w:rPr>
                <w:rFonts w:cs="Arial"/>
              </w:rPr>
              <w:t xml:space="preserve">using </w:t>
            </w:r>
            <w:r w:rsidR="007D33FF" w:rsidRPr="007D33FF">
              <w:rPr>
                <w:rFonts w:cs="Arial"/>
              </w:rPr>
              <w:t>tyre pressure monitoring</w:t>
            </w:r>
          </w:p>
          <w:p w:rsidR="007D33FF" w:rsidRPr="007D33FF" w:rsidRDefault="001F438D" w:rsidP="001F438D">
            <w:pPr>
              <w:pStyle w:val="ListParagraph"/>
              <w:numPr>
                <w:ilvl w:val="0"/>
                <w:numId w:val="8"/>
              </w:numPr>
              <w:rPr>
                <w:rFonts w:cs="Arial"/>
              </w:rPr>
            </w:pPr>
            <w:r>
              <w:rPr>
                <w:rFonts w:cs="Arial"/>
              </w:rPr>
              <w:t xml:space="preserve">providing </w:t>
            </w:r>
            <w:r w:rsidR="007D33FF" w:rsidRPr="007D33FF">
              <w:rPr>
                <w:rFonts w:cs="Arial"/>
              </w:rPr>
              <w:t>ecodriving training</w:t>
            </w:r>
            <w:r>
              <w:rPr>
                <w:rFonts w:cs="Arial"/>
              </w:rPr>
              <w:t xml:space="preserve"> to its drivers</w:t>
            </w:r>
            <w:r w:rsidR="007D33FF" w:rsidRPr="007D33FF">
              <w:rPr>
                <w:rFonts w:cs="Arial"/>
              </w:rPr>
              <w:t xml:space="preserve">, </w:t>
            </w:r>
            <w:r>
              <w:rPr>
                <w:rFonts w:cs="Arial"/>
              </w:rPr>
              <w:t xml:space="preserve">with </w:t>
            </w:r>
            <w:r w:rsidR="00AB3873">
              <w:rPr>
                <w:rFonts w:cs="Arial"/>
              </w:rPr>
              <w:t xml:space="preserve">ongoing </w:t>
            </w:r>
            <w:r w:rsidR="007D33FF" w:rsidRPr="007D33FF">
              <w:rPr>
                <w:rFonts w:cs="Arial"/>
              </w:rPr>
              <w:t>monitoring and recognition</w:t>
            </w:r>
            <w:r>
              <w:rPr>
                <w:rFonts w:cs="Arial"/>
              </w:rPr>
              <w:t xml:space="preserve"> for high achievers</w:t>
            </w:r>
          </w:p>
          <w:p w:rsidR="007D33FF" w:rsidRPr="007D33FF" w:rsidRDefault="001F438D" w:rsidP="001F438D">
            <w:pPr>
              <w:pStyle w:val="ListParagraph"/>
              <w:numPr>
                <w:ilvl w:val="0"/>
                <w:numId w:val="8"/>
              </w:numPr>
              <w:rPr>
                <w:rFonts w:cs="Arial"/>
              </w:rPr>
            </w:pPr>
            <w:r>
              <w:rPr>
                <w:rFonts w:cs="Arial"/>
              </w:rPr>
              <w:t xml:space="preserve">implementing </w:t>
            </w:r>
            <w:r w:rsidR="007D33FF" w:rsidRPr="007D33FF">
              <w:rPr>
                <w:rFonts w:cs="Arial"/>
              </w:rPr>
              <w:t>electricity savings in offices and ambient temperature warehouses</w:t>
            </w:r>
            <w:r>
              <w:rPr>
                <w:rFonts w:cs="Arial"/>
              </w:rPr>
              <w:t>.</w:t>
            </w:r>
          </w:p>
          <w:p w:rsidR="00CD2A9E" w:rsidRDefault="001F438D" w:rsidP="00AB3873">
            <w:pPr>
              <w:rPr>
                <w:rFonts w:ascii="Arial" w:hAnsi="Arial" w:cs="Arial"/>
              </w:rPr>
            </w:pPr>
            <w:r>
              <w:rPr>
                <w:rFonts w:ascii="Arial" w:hAnsi="Arial" w:cs="Arial"/>
              </w:rPr>
              <w:t>Overall, Linfox found that its savings came from improved operator use of equipment and minimising energy use. Despite investing in the latest equipment, its savings from technological improvements were minimal.</w:t>
            </w:r>
          </w:p>
          <w:p w:rsidR="00DE0ABA" w:rsidRDefault="00DE0ABA" w:rsidP="00AB3873">
            <w:pPr>
              <w:rPr>
                <w:rFonts w:ascii="Arial" w:hAnsi="Arial" w:cs="Arial"/>
              </w:rPr>
            </w:pPr>
            <w:r>
              <w:rPr>
                <w:rFonts w:ascii="Arial" w:hAnsi="Arial" w:cs="Arial"/>
              </w:rPr>
              <w:t xml:space="preserve">Some trucking operators have achieved </w:t>
            </w:r>
            <w:r w:rsidR="00601060">
              <w:rPr>
                <w:rFonts w:ascii="Arial" w:hAnsi="Arial" w:cs="Arial"/>
              </w:rPr>
              <w:t>good results</w:t>
            </w:r>
            <w:r>
              <w:rPr>
                <w:rFonts w:ascii="Arial" w:hAnsi="Arial" w:cs="Arial"/>
              </w:rPr>
              <w:t xml:space="preserve"> using biofuels blends or CNG/LNG. Others are trialling electric or hybrid trucks for local delivery work. </w:t>
            </w:r>
          </w:p>
          <w:p w:rsidR="00CD2A9E" w:rsidRPr="00CD2A9E" w:rsidRDefault="00CD2A9E" w:rsidP="00AB3873">
            <w:pPr>
              <w:rPr>
                <w:rFonts w:ascii="Arial" w:hAnsi="Arial" w:cs="Arial"/>
                <w:i/>
              </w:rPr>
            </w:pPr>
            <w:r w:rsidRPr="00CD2A9E">
              <w:rPr>
                <w:rFonts w:ascii="Arial" w:hAnsi="Arial" w:cs="Arial"/>
                <w:i/>
              </w:rPr>
              <w:t xml:space="preserve">Regulatory </w:t>
            </w:r>
            <w:r>
              <w:rPr>
                <w:rFonts w:ascii="Arial" w:hAnsi="Arial" w:cs="Arial"/>
                <w:i/>
              </w:rPr>
              <w:t xml:space="preserve">and market </w:t>
            </w:r>
            <w:r w:rsidR="00DC7C5E">
              <w:rPr>
                <w:rFonts w:ascii="Arial" w:hAnsi="Arial" w:cs="Arial"/>
                <w:i/>
              </w:rPr>
              <w:t xml:space="preserve">barriers </w:t>
            </w:r>
            <w:r w:rsidRPr="00CD2A9E">
              <w:rPr>
                <w:rFonts w:ascii="Arial" w:hAnsi="Arial" w:cs="Arial"/>
                <w:i/>
              </w:rPr>
              <w:t>to achieving GHG abatement</w:t>
            </w:r>
          </w:p>
          <w:p w:rsidR="00CD2A9E" w:rsidRPr="00345D48" w:rsidRDefault="00CD2A9E" w:rsidP="00CD2A9E">
            <w:pPr>
              <w:rPr>
                <w:rFonts w:ascii="Arial" w:hAnsi="Arial" w:cs="Arial"/>
              </w:rPr>
            </w:pPr>
            <w:r>
              <w:rPr>
                <w:rFonts w:ascii="Arial" w:hAnsi="Arial" w:cs="Arial"/>
              </w:rPr>
              <w:t xml:space="preserve">The trucking industry is limited in its ability to reduce greenhouse gas emissions by a series of regulatory and market barriers. </w:t>
            </w:r>
            <w:r w:rsidRPr="00345D48">
              <w:rPr>
                <w:rFonts w:ascii="Arial" w:hAnsi="Arial" w:cs="Arial"/>
              </w:rPr>
              <w:t>For example:</w:t>
            </w:r>
          </w:p>
          <w:p w:rsidR="00CD2A9E" w:rsidRPr="00345D48" w:rsidRDefault="00CD2A9E" w:rsidP="00CD2A9E">
            <w:pPr>
              <w:pStyle w:val="ListParagraph"/>
              <w:numPr>
                <w:ilvl w:val="0"/>
                <w:numId w:val="7"/>
              </w:numPr>
              <w:ind w:left="714" w:hanging="357"/>
              <w:rPr>
                <w:rFonts w:cs="Arial"/>
              </w:rPr>
            </w:pPr>
            <w:r w:rsidRPr="00345D48">
              <w:rPr>
                <w:rFonts w:cs="Arial"/>
              </w:rPr>
              <w:t xml:space="preserve">fitting aerodynamic fairings to the rear of trailers could achieve a 6 to 9 per cent improvement in fuel consumption. These fairings cannot be used in Australia because of the rear overhang and overall length limits on trucks. </w:t>
            </w:r>
          </w:p>
          <w:p w:rsidR="00CD2A9E" w:rsidRPr="00CD2A9E" w:rsidRDefault="00CD2A9E" w:rsidP="00CD2A9E">
            <w:pPr>
              <w:pStyle w:val="ListParagraph"/>
              <w:numPr>
                <w:ilvl w:val="0"/>
                <w:numId w:val="7"/>
              </w:numPr>
              <w:ind w:left="714" w:hanging="357"/>
              <w:rPr>
                <w:rFonts w:cs="Arial"/>
              </w:rPr>
            </w:pPr>
            <w:r w:rsidRPr="00345D48">
              <w:rPr>
                <w:rFonts w:cs="Arial"/>
              </w:rPr>
              <w:t>replacing the double tyres used on trucks and trailers with single ultrawide tyres could deliver a 4 to 8 per cent i</w:t>
            </w:r>
            <w:r>
              <w:rPr>
                <w:rFonts w:cs="Arial"/>
              </w:rPr>
              <w:t>mprovement in fuel consumption.</w:t>
            </w:r>
            <w:r w:rsidRPr="00345D48">
              <w:rPr>
                <w:rFonts w:cs="Arial"/>
              </w:rPr>
              <w:t xml:space="preserve"> Under the national mass limits, however, </w:t>
            </w:r>
            <w:r w:rsidR="001815BA">
              <w:rPr>
                <w:rFonts w:cs="Arial"/>
              </w:rPr>
              <w:t xml:space="preserve">vehicles with </w:t>
            </w:r>
            <w:r w:rsidR="00601060">
              <w:rPr>
                <w:rFonts w:cs="Arial"/>
              </w:rPr>
              <w:t xml:space="preserve">single ultrawide tyres </w:t>
            </w:r>
            <w:r w:rsidRPr="00345D48">
              <w:rPr>
                <w:rFonts w:cs="Arial"/>
              </w:rPr>
              <w:t>cannot carry as much mass</w:t>
            </w:r>
            <w:r w:rsidR="001815BA">
              <w:rPr>
                <w:rFonts w:cs="Arial"/>
              </w:rPr>
              <w:t xml:space="preserve"> as vehicles with double tyres.</w:t>
            </w:r>
            <w:r w:rsidRPr="00345D48">
              <w:rPr>
                <w:rFonts w:cs="Arial"/>
              </w:rPr>
              <w:t xml:space="preserve"> As a result, they are not used.</w:t>
            </w:r>
          </w:p>
          <w:p w:rsidR="00CD2A9E" w:rsidRDefault="00CD2A9E" w:rsidP="00CD2A9E">
            <w:pPr>
              <w:pStyle w:val="ListParagraph"/>
              <w:numPr>
                <w:ilvl w:val="0"/>
                <w:numId w:val="7"/>
              </w:numPr>
              <w:ind w:left="714" w:hanging="357"/>
              <w:rPr>
                <w:rFonts w:cs="Arial"/>
              </w:rPr>
            </w:pPr>
            <w:r w:rsidRPr="00345D48">
              <w:rPr>
                <w:rFonts w:cs="Arial"/>
              </w:rPr>
              <w:t>the best way trucking businesses can reduce their fuel consumption is to use high productivity vehicles like B-triples or super B-doubles on appropriate routes. By using B-triples instead of semitrailers, an operator could reduce its fuel consumption and greenhous</w:t>
            </w:r>
            <w:r w:rsidR="00536C7D">
              <w:rPr>
                <w:rFonts w:cs="Arial"/>
              </w:rPr>
              <w:t>e gas emissions by 31 per cent.</w:t>
            </w:r>
            <w:r w:rsidRPr="00345D48">
              <w:rPr>
                <w:rFonts w:cs="Arial"/>
              </w:rPr>
              <w:t xml:space="preserve"> But progress on allowing the industry to use these safe and efficient vehicles has been slow.</w:t>
            </w:r>
          </w:p>
          <w:p w:rsidR="00DC70C4" w:rsidRDefault="00536C7D" w:rsidP="00CD2A9E">
            <w:pPr>
              <w:pStyle w:val="ListParagraph"/>
              <w:numPr>
                <w:ilvl w:val="0"/>
                <w:numId w:val="7"/>
              </w:numPr>
              <w:ind w:left="714" w:hanging="357"/>
              <w:rPr>
                <w:rFonts w:cs="Arial"/>
              </w:rPr>
            </w:pPr>
            <w:r>
              <w:rPr>
                <w:rFonts w:cs="Arial"/>
              </w:rPr>
              <w:t xml:space="preserve">the takeup of alternative fuels in the trucking industry has been </w:t>
            </w:r>
            <w:r w:rsidR="008759CC">
              <w:rPr>
                <w:rFonts w:cs="Arial"/>
              </w:rPr>
              <w:t>very limited</w:t>
            </w:r>
            <w:r>
              <w:rPr>
                <w:rFonts w:cs="Arial"/>
              </w:rPr>
              <w:t xml:space="preserve">. The availability of </w:t>
            </w:r>
            <w:r w:rsidR="00DE0ABA">
              <w:rPr>
                <w:rFonts w:cs="Arial"/>
              </w:rPr>
              <w:t>gaseous fuel</w:t>
            </w:r>
            <w:r>
              <w:rPr>
                <w:rFonts w:cs="Arial"/>
              </w:rPr>
              <w:t xml:space="preserve"> is constrained by the supply infrastructure</w:t>
            </w:r>
            <w:r w:rsidR="007A4E7D">
              <w:rPr>
                <w:rFonts w:cs="Arial"/>
              </w:rPr>
              <w:t>. In addition, because it can require larger fuel tanks, its rollout is constrained by t</w:t>
            </w:r>
            <w:r w:rsidR="00DC7C5E">
              <w:rPr>
                <w:rFonts w:cs="Arial"/>
              </w:rPr>
              <w:t>ruck mass and dimension limits.</w:t>
            </w:r>
          </w:p>
          <w:p w:rsidR="001C55A5" w:rsidRDefault="00F1600D" w:rsidP="00CD2A9E">
            <w:pPr>
              <w:pStyle w:val="ListParagraph"/>
              <w:numPr>
                <w:ilvl w:val="0"/>
                <w:numId w:val="7"/>
              </w:numPr>
              <w:ind w:left="714" w:hanging="357"/>
              <w:rPr>
                <w:rFonts w:cs="Arial"/>
              </w:rPr>
            </w:pPr>
            <w:r>
              <w:rPr>
                <w:rFonts w:cs="Arial"/>
              </w:rPr>
              <w:t>t</w:t>
            </w:r>
            <w:r w:rsidR="007A4E7D">
              <w:rPr>
                <w:rFonts w:cs="Arial"/>
              </w:rPr>
              <w:t>he use of biodiesel blends is constrained by availability</w:t>
            </w:r>
            <w:r w:rsidR="00250736">
              <w:rPr>
                <w:rFonts w:cs="Arial"/>
              </w:rPr>
              <w:t>, taxation</w:t>
            </w:r>
            <w:r w:rsidR="001C55A5">
              <w:rPr>
                <w:rFonts w:cs="Arial"/>
              </w:rPr>
              <w:t xml:space="preserve"> </w:t>
            </w:r>
            <w:r w:rsidR="007A4E7D">
              <w:rPr>
                <w:rFonts w:cs="Arial"/>
              </w:rPr>
              <w:t xml:space="preserve">and engine warranty issues. </w:t>
            </w:r>
            <w:r w:rsidR="001C55A5">
              <w:rPr>
                <w:rFonts w:cs="Arial"/>
              </w:rPr>
              <w:t xml:space="preserve">Biodiesel blends are not </w:t>
            </w:r>
            <w:r w:rsidR="00250736">
              <w:rPr>
                <w:rFonts w:cs="Arial"/>
              </w:rPr>
              <w:t xml:space="preserve">readily available in many areas. </w:t>
            </w:r>
            <w:r w:rsidR="001C55A5">
              <w:rPr>
                <w:rFonts w:cs="Arial"/>
              </w:rPr>
              <w:t xml:space="preserve">B20 (a standard blend </w:t>
            </w:r>
            <w:r w:rsidR="00250736">
              <w:rPr>
                <w:rFonts w:cs="Arial"/>
              </w:rPr>
              <w:t xml:space="preserve">containing </w:t>
            </w:r>
            <w:r w:rsidR="001C55A5">
              <w:rPr>
                <w:rFonts w:cs="Arial"/>
              </w:rPr>
              <w:t>20 per cent biodiesel</w:t>
            </w:r>
            <w:r w:rsidR="00250736">
              <w:rPr>
                <w:rFonts w:cs="Arial"/>
              </w:rPr>
              <w:t xml:space="preserve">) can only be sold with a special approval under section 13 of the </w:t>
            </w:r>
            <w:r w:rsidR="00250736" w:rsidRPr="00250736">
              <w:rPr>
                <w:rFonts w:cs="Arial"/>
                <w:i/>
              </w:rPr>
              <w:t>Fuel Quality Standards Act</w:t>
            </w:r>
            <w:r w:rsidR="00250736">
              <w:rPr>
                <w:rFonts w:cs="Arial"/>
              </w:rPr>
              <w:t>.</w:t>
            </w:r>
            <w:r w:rsidR="001C55A5">
              <w:rPr>
                <w:rFonts w:cs="Arial"/>
              </w:rPr>
              <w:t xml:space="preserve"> </w:t>
            </w:r>
            <w:r w:rsidR="00250736">
              <w:rPr>
                <w:rFonts w:cs="Arial"/>
              </w:rPr>
              <w:t>For operators, using blends with more than 20 per cent biodiesel raises fuel tax issues.</w:t>
            </w:r>
          </w:p>
          <w:p w:rsidR="00250736" w:rsidRDefault="001C55A5" w:rsidP="001C55A5">
            <w:pPr>
              <w:pStyle w:val="ListParagraph"/>
              <w:numPr>
                <w:ilvl w:val="0"/>
                <w:numId w:val="0"/>
              </w:numPr>
              <w:ind w:left="714"/>
              <w:rPr>
                <w:rFonts w:cs="Arial"/>
              </w:rPr>
            </w:pPr>
            <w:r>
              <w:rPr>
                <w:rFonts w:cs="Arial"/>
              </w:rPr>
              <w:t>E</w:t>
            </w:r>
            <w:r w:rsidR="007A4E7D">
              <w:rPr>
                <w:rFonts w:cs="Arial"/>
              </w:rPr>
              <w:t xml:space="preserve">ngine manufacturers are generally reluctant to approve the use of blends with </w:t>
            </w:r>
            <w:r w:rsidR="00DC70C4">
              <w:rPr>
                <w:rFonts w:cs="Arial"/>
              </w:rPr>
              <w:t xml:space="preserve">biodiesel </w:t>
            </w:r>
            <w:r w:rsidR="007A4E7D">
              <w:rPr>
                <w:rFonts w:cs="Arial"/>
              </w:rPr>
              <w:t>concentration</w:t>
            </w:r>
            <w:r w:rsidR="00DC70C4">
              <w:rPr>
                <w:rFonts w:cs="Arial"/>
              </w:rPr>
              <w:t>s</w:t>
            </w:r>
            <w:r w:rsidR="007A4E7D">
              <w:rPr>
                <w:rFonts w:cs="Arial"/>
              </w:rPr>
              <w:t xml:space="preserve"> of more than 5-7 per cent.</w:t>
            </w:r>
            <w:r w:rsidR="00DC70C4">
              <w:rPr>
                <w:rFonts w:cs="Arial"/>
              </w:rPr>
              <w:t xml:space="preserve"> The use of blends with a concentration of biodiesel higher than this level is </w:t>
            </w:r>
            <w:r w:rsidR="001815BA">
              <w:rPr>
                <w:rFonts w:cs="Arial"/>
              </w:rPr>
              <w:t xml:space="preserve">especially </w:t>
            </w:r>
            <w:r w:rsidR="00DC70C4">
              <w:rPr>
                <w:rFonts w:cs="Arial"/>
              </w:rPr>
              <w:t xml:space="preserve">problematic for advanced engines that comply with the Euro 6 emission standard. </w:t>
            </w:r>
          </w:p>
          <w:p w:rsidR="00DE0ABA" w:rsidRPr="00250736" w:rsidRDefault="008759CC" w:rsidP="00250736">
            <w:pPr>
              <w:pStyle w:val="ListParagraph"/>
              <w:numPr>
                <w:ilvl w:val="0"/>
                <w:numId w:val="0"/>
              </w:numPr>
              <w:ind w:left="714"/>
              <w:rPr>
                <w:rFonts w:cs="Arial"/>
              </w:rPr>
            </w:pPr>
            <w:r>
              <w:rPr>
                <w:rFonts w:cs="Arial"/>
              </w:rPr>
              <w:t>As a result, i</w:t>
            </w:r>
            <w:r w:rsidR="00DC70C4">
              <w:rPr>
                <w:rFonts w:cs="Arial"/>
              </w:rPr>
              <w:t xml:space="preserve">t seems likely that the widespread use of biofuels will be delayed until </w:t>
            </w:r>
            <w:r w:rsidR="009E6239">
              <w:rPr>
                <w:rFonts w:cs="Arial"/>
              </w:rPr>
              <w:t>third</w:t>
            </w:r>
            <w:r w:rsidR="00DC70C4">
              <w:rPr>
                <w:rFonts w:cs="Arial"/>
              </w:rPr>
              <w:t xml:space="preserve"> generation fuels that are indistinguishable from diesel</w:t>
            </w:r>
            <w:r>
              <w:rPr>
                <w:rFonts w:cs="Arial"/>
              </w:rPr>
              <w:t xml:space="preserve"> are available</w:t>
            </w:r>
            <w:r w:rsidR="00DC70C4">
              <w:rPr>
                <w:rFonts w:cs="Arial"/>
              </w:rPr>
              <w:t xml:space="preserve">. </w:t>
            </w:r>
          </w:p>
          <w:p w:rsidR="00250736" w:rsidRDefault="00250736" w:rsidP="008759CC">
            <w:pPr>
              <w:rPr>
                <w:rFonts w:ascii="Arial" w:hAnsi="Arial" w:cs="Arial"/>
              </w:rPr>
            </w:pPr>
            <w:r>
              <w:rPr>
                <w:rFonts w:ascii="Arial" w:hAnsi="Arial" w:cs="Arial"/>
              </w:rPr>
              <w:t xml:space="preserve">Given these barriers, the </w:t>
            </w:r>
            <w:r w:rsidR="00DC7C5E">
              <w:rPr>
                <w:rFonts w:ascii="Arial" w:hAnsi="Arial" w:cs="Arial"/>
              </w:rPr>
              <w:t>ATA recommends the Government should leverage its investment in abatement through the ERF by</w:t>
            </w:r>
            <w:r w:rsidR="00DE0ABA">
              <w:rPr>
                <w:rFonts w:ascii="Arial" w:hAnsi="Arial" w:cs="Arial"/>
              </w:rPr>
              <w:t>:</w:t>
            </w:r>
            <w:r w:rsidR="00DC7C5E">
              <w:rPr>
                <w:rFonts w:ascii="Arial" w:hAnsi="Arial" w:cs="Arial"/>
              </w:rPr>
              <w:t xml:space="preserve"> </w:t>
            </w:r>
          </w:p>
          <w:p w:rsidR="00CD2A9E" w:rsidRDefault="00DC7C5E" w:rsidP="00250736">
            <w:pPr>
              <w:pStyle w:val="ListParagraph"/>
              <w:numPr>
                <w:ilvl w:val="0"/>
                <w:numId w:val="12"/>
              </w:numPr>
              <w:rPr>
                <w:rFonts w:cs="Arial"/>
              </w:rPr>
            </w:pPr>
            <w:r w:rsidRPr="00250736">
              <w:rPr>
                <w:rFonts w:cs="Arial"/>
              </w:rPr>
              <w:t xml:space="preserve">convening a </w:t>
            </w:r>
            <w:r w:rsidR="00C704F0" w:rsidRPr="00250736">
              <w:rPr>
                <w:rFonts w:cs="Arial"/>
              </w:rPr>
              <w:t>government-industry taskforce to review the vehicle standards and regulations that prevent the trucking industry from increasing its energy efficiency further.</w:t>
            </w:r>
          </w:p>
          <w:p w:rsidR="00982FD6" w:rsidRPr="00250736" w:rsidRDefault="00432F90" w:rsidP="00601060">
            <w:pPr>
              <w:pStyle w:val="ListParagraph"/>
              <w:numPr>
                <w:ilvl w:val="0"/>
                <w:numId w:val="12"/>
              </w:numPr>
              <w:rPr>
                <w:rFonts w:cs="Arial"/>
              </w:rPr>
            </w:pPr>
            <w:proofErr w:type="gramStart"/>
            <w:r>
              <w:rPr>
                <w:rFonts w:cs="Arial"/>
              </w:rPr>
              <w:t>contributing</w:t>
            </w:r>
            <w:proofErr w:type="gramEnd"/>
            <w:r w:rsidR="00982FD6">
              <w:rPr>
                <w:rFonts w:cs="Arial"/>
              </w:rPr>
              <w:t xml:space="preserve"> </w:t>
            </w:r>
            <w:r w:rsidR="001815BA">
              <w:rPr>
                <w:rFonts w:cs="Arial"/>
              </w:rPr>
              <w:t xml:space="preserve">an additional </w:t>
            </w:r>
            <w:r w:rsidR="00982FD6">
              <w:rPr>
                <w:rFonts w:cs="Arial"/>
              </w:rPr>
              <w:t xml:space="preserve">$5 million </w:t>
            </w:r>
            <w:r w:rsidR="001815BA">
              <w:rPr>
                <w:rFonts w:cs="Arial"/>
              </w:rPr>
              <w:t xml:space="preserve">per year for five years </w:t>
            </w:r>
            <w:r w:rsidR="00982FD6">
              <w:rPr>
                <w:rFonts w:cs="Arial"/>
              </w:rPr>
              <w:t xml:space="preserve">to support </w:t>
            </w:r>
            <w:r w:rsidR="00601060">
              <w:rPr>
                <w:rFonts w:cs="Arial"/>
              </w:rPr>
              <w:t xml:space="preserve">the </w:t>
            </w:r>
            <w:r w:rsidR="00982FD6">
              <w:rPr>
                <w:rFonts w:cs="Arial"/>
              </w:rPr>
              <w:t xml:space="preserve">further </w:t>
            </w:r>
            <w:r w:rsidR="00601060">
              <w:rPr>
                <w:rFonts w:cs="Arial"/>
              </w:rPr>
              <w:t>development of</w:t>
            </w:r>
            <w:r w:rsidR="001815BA">
              <w:rPr>
                <w:rFonts w:cs="Arial"/>
              </w:rPr>
              <w:t xml:space="preserve"> </w:t>
            </w:r>
            <w:r w:rsidR="00982FD6">
              <w:rPr>
                <w:rFonts w:cs="Arial"/>
              </w:rPr>
              <w:t>synthesis</w:t>
            </w:r>
            <w:r w:rsidR="00601060">
              <w:rPr>
                <w:rFonts w:cs="Arial"/>
              </w:rPr>
              <w:t>ing</w:t>
            </w:r>
            <w:r w:rsidR="00982FD6">
              <w:rPr>
                <w:rFonts w:cs="Arial"/>
              </w:rPr>
              <w:t xml:space="preserve"> macro algae into synthetic crude oil</w:t>
            </w:r>
            <w:r w:rsidR="00601060">
              <w:rPr>
                <w:rFonts w:cs="Arial"/>
              </w:rPr>
              <w:t>. This synthetic crude</w:t>
            </w:r>
            <w:r w:rsidR="001815BA">
              <w:rPr>
                <w:rFonts w:cs="Arial"/>
              </w:rPr>
              <w:t xml:space="preserve"> </w:t>
            </w:r>
            <w:r w:rsidR="00982FD6">
              <w:rPr>
                <w:rFonts w:cs="Arial"/>
              </w:rPr>
              <w:t xml:space="preserve">can then be </w:t>
            </w:r>
            <w:r w:rsidR="00601060">
              <w:rPr>
                <w:rFonts w:cs="Arial"/>
              </w:rPr>
              <w:t xml:space="preserve">refined </w:t>
            </w:r>
            <w:r w:rsidR="00982FD6">
              <w:rPr>
                <w:rFonts w:cs="Arial"/>
              </w:rPr>
              <w:t>into diesel through the normal petrochemical refining process.</w:t>
            </w:r>
          </w:p>
        </w:tc>
      </w:tr>
      <w:tr w:rsidR="004D075E" w:rsidTr="00D92C2E">
        <w:tc>
          <w:tcPr>
            <w:tcW w:w="9926" w:type="dxa"/>
            <w:gridSpan w:val="2"/>
          </w:tcPr>
          <w:p w:rsidR="004D075E" w:rsidRDefault="00AB3873" w:rsidP="00AB3873">
            <w:pPr>
              <w:pStyle w:val="Heading2"/>
              <w:numPr>
                <w:ilvl w:val="0"/>
                <w:numId w:val="10"/>
              </w:numPr>
              <w:spacing w:before="120" w:after="120"/>
              <w:rPr>
                <w:i/>
              </w:rPr>
            </w:pPr>
            <w:r>
              <w:rPr>
                <w:i/>
              </w:rPr>
              <w:t>The details of the auction arrangements to deliver cost effective outcomes</w:t>
            </w:r>
          </w:p>
        </w:tc>
      </w:tr>
      <w:tr w:rsidR="004D075E" w:rsidTr="00CD2A9E">
        <w:trPr>
          <w:trHeight w:val="416"/>
        </w:trPr>
        <w:tc>
          <w:tcPr>
            <w:tcW w:w="9926" w:type="dxa"/>
            <w:gridSpan w:val="2"/>
          </w:tcPr>
          <w:p w:rsidR="00C656C9" w:rsidRPr="00C656C9" w:rsidRDefault="00C656C9" w:rsidP="00BA46C0">
            <w:pPr>
              <w:rPr>
                <w:rFonts w:ascii="Arial" w:hAnsi="Arial" w:cs="Arial"/>
                <w:i/>
              </w:rPr>
            </w:pPr>
            <w:r w:rsidRPr="00C656C9">
              <w:rPr>
                <w:rFonts w:ascii="Arial" w:hAnsi="Arial" w:cs="Arial"/>
                <w:i/>
              </w:rPr>
              <w:t>Contracts should be awarde</w:t>
            </w:r>
            <w:r w:rsidR="00601060">
              <w:rPr>
                <w:rFonts w:ascii="Arial" w:hAnsi="Arial" w:cs="Arial"/>
                <w:i/>
              </w:rPr>
              <w:t>d to the lowest compliant bid</w:t>
            </w:r>
            <w:r w:rsidRPr="00C656C9">
              <w:rPr>
                <w:rFonts w:ascii="Arial" w:hAnsi="Arial" w:cs="Arial"/>
                <w:i/>
              </w:rPr>
              <w:t xml:space="preserve">s, regardless of industry sector or geographic location </w:t>
            </w:r>
          </w:p>
          <w:p w:rsidR="00AB3873" w:rsidRDefault="00AB3873" w:rsidP="00BA46C0">
            <w:pPr>
              <w:rPr>
                <w:rFonts w:ascii="Arial" w:hAnsi="Arial" w:cs="Arial"/>
              </w:rPr>
            </w:pPr>
            <w:r>
              <w:rPr>
                <w:rFonts w:ascii="Arial" w:hAnsi="Arial" w:cs="Arial"/>
              </w:rPr>
              <w:t xml:space="preserve">The auction arrangements for the </w:t>
            </w:r>
            <w:r w:rsidR="00F24DDC">
              <w:rPr>
                <w:rFonts w:ascii="Arial" w:hAnsi="Arial" w:cs="Arial"/>
              </w:rPr>
              <w:t>ERF</w:t>
            </w:r>
            <w:r>
              <w:rPr>
                <w:rFonts w:ascii="Arial" w:hAnsi="Arial" w:cs="Arial"/>
              </w:rPr>
              <w:t xml:space="preserve"> should be structured to award abatement contracts to the businesses that put forward the lowest cost abatement </w:t>
            </w:r>
            <w:r w:rsidR="00F24DDC">
              <w:rPr>
                <w:rFonts w:ascii="Arial" w:hAnsi="Arial" w:cs="Arial"/>
              </w:rPr>
              <w:t xml:space="preserve">initiatives that comply with the rules of the fund. The auction arrangements should not take into account </w:t>
            </w:r>
            <w:r>
              <w:rPr>
                <w:rFonts w:ascii="Arial" w:hAnsi="Arial" w:cs="Arial"/>
              </w:rPr>
              <w:t>their industry sector or geographic location within Australia.</w:t>
            </w:r>
          </w:p>
          <w:p w:rsidR="004D075E" w:rsidRDefault="00F24DDC" w:rsidP="00BA46C0">
            <w:pPr>
              <w:rPr>
                <w:rFonts w:ascii="Arial" w:hAnsi="Arial" w:cs="Arial"/>
              </w:rPr>
            </w:pPr>
            <w:r>
              <w:rPr>
                <w:rFonts w:ascii="Arial" w:hAnsi="Arial" w:cs="Arial"/>
              </w:rPr>
              <w:t xml:space="preserve">There is always a temptation to split government funding up between industry sectors and geographic regions, on the grounds that every industry and region should have the opportunity to </w:t>
            </w:r>
            <w:r w:rsidR="00C656C9">
              <w:rPr>
                <w:rFonts w:ascii="Arial" w:hAnsi="Arial" w:cs="Arial"/>
              </w:rPr>
              <w:t>participate</w:t>
            </w:r>
            <w:r>
              <w:rPr>
                <w:rFonts w:ascii="Arial" w:hAnsi="Arial" w:cs="Arial"/>
              </w:rPr>
              <w:t>.</w:t>
            </w:r>
            <w:r w:rsidR="00850BB0">
              <w:rPr>
                <w:rFonts w:ascii="Arial" w:hAnsi="Arial" w:cs="Arial"/>
              </w:rPr>
              <w:t xml:space="preserve"> It certainly increases the scope for issuing local media releases.</w:t>
            </w:r>
          </w:p>
          <w:p w:rsidR="004D075E" w:rsidRDefault="00850BB0" w:rsidP="00BA46C0">
            <w:pPr>
              <w:rPr>
                <w:rFonts w:ascii="Arial" w:hAnsi="Arial" w:cs="Arial"/>
              </w:rPr>
            </w:pPr>
            <w:r>
              <w:rPr>
                <w:rFonts w:ascii="Arial" w:hAnsi="Arial" w:cs="Arial"/>
              </w:rPr>
              <w:t xml:space="preserve">But the </w:t>
            </w:r>
            <w:r w:rsidR="004D075E">
              <w:rPr>
                <w:rFonts w:ascii="Arial" w:hAnsi="Arial" w:cs="Arial"/>
              </w:rPr>
              <w:t>Government’s p</w:t>
            </w:r>
            <w:r w:rsidR="00C656C9">
              <w:rPr>
                <w:rFonts w:ascii="Arial" w:hAnsi="Arial" w:cs="Arial"/>
              </w:rPr>
              <w:t>olicy objective is to achieve a 131 megatonne</w:t>
            </w:r>
            <w:r w:rsidR="004D075E">
              <w:rPr>
                <w:rFonts w:ascii="Arial" w:hAnsi="Arial" w:cs="Arial"/>
              </w:rPr>
              <w:t xml:space="preserve"> emissions reduction target</w:t>
            </w:r>
            <w:r w:rsidR="00C656C9">
              <w:rPr>
                <w:rFonts w:ascii="Arial" w:hAnsi="Arial" w:cs="Arial"/>
              </w:rPr>
              <w:t xml:space="preserve"> at lowest cost. </w:t>
            </w:r>
            <w:r>
              <w:rPr>
                <w:rFonts w:ascii="Arial" w:hAnsi="Arial" w:cs="Arial"/>
              </w:rPr>
              <w:t xml:space="preserve">Reserving chunks of </w:t>
            </w:r>
            <w:r w:rsidR="00C656C9">
              <w:rPr>
                <w:rFonts w:ascii="Arial" w:hAnsi="Arial" w:cs="Arial"/>
              </w:rPr>
              <w:t xml:space="preserve">the fund </w:t>
            </w:r>
            <w:r>
              <w:rPr>
                <w:rFonts w:ascii="Arial" w:hAnsi="Arial" w:cs="Arial"/>
              </w:rPr>
              <w:t>for specific industries or regional projects that would not otherwise be funded would just increase the average cost of the abatement that is achieved.</w:t>
            </w:r>
          </w:p>
          <w:p w:rsidR="00850BB0" w:rsidRPr="00850BB0" w:rsidRDefault="00850BB0" w:rsidP="00BA46C0">
            <w:pPr>
              <w:rPr>
                <w:rFonts w:ascii="Arial" w:hAnsi="Arial" w:cs="Arial"/>
                <w:i/>
              </w:rPr>
            </w:pPr>
            <w:r w:rsidRPr="00850BB0">
              <w:rPr>
                <w:rFonts w:ascii="Arial" w:hAnsi="Arial" w:cs="Arial"/>
                <w:i/>
              </w:rPr>
              <w:t xml:space="preserve">Bidders should be able to form </w:t>
            </w:r>
            <w:r w:rsidR="00B97BAD">
              <w:rPr>
                <w:rFonts w:ascii="Arial" w:hAnsi="Arial" w:cs="Arial"/>
                <w:i/>
              </w:rPr>
              <w:t xml:space="preserve">bidding alliances </w:t>
            </w:r>
            <w:r w:rsidRPr="00850BB0">
              <w:rPr>
                <w:rFonts w:ascii="Arial" w:hAnsi="Arial" w:cs="Arial"/>
                <w:i/>
              </w:rPr>
              <w:t>or partnerships</w:t>
            </w:r>
          </w:p>
          <w:p w:rsidR="004D075E" w:rsidRPr="00850BB0" w:rsidRDefault="00AB3873" w:rsidP="00313F80">
            <w:pPr>
              <w:rPr>
                <w:rFonts w:ascii="Arial" w:hAnsi="Arial" w:cs="Arial"/>
              </w:rPr>
            </w:pPr>
            <w:r w:rsidRPr="00850BB0">
              <w:rPr>
                <w:rFonts w:ascii="Arial" w:hAnsi="Arial" w:cs="Arial"/>
              </w:rPr>
              <w:t xml:space="preserve">The </w:t>
            </w:r>
            <w:r w:rsidR="00850BB0">
              <w:rPr>
                <w:rFonts w:ascii="Arial" w:hAnsi="Arial" w:cs="Arial"/>
              </w:rPr>
              <w:t xml:space="preserve">auction arrangements should enable </w:t>
            </w:r>
            <w:r w:rsidR="00B97BAD">
              <w:rPr>
                <w:rFonts w:ascii="Arial" w:hAnsi="Arial" w:cs="Arial"/>
              </w:rPr>
              <w:t xml:space="preserve">businesses to form bidding alliances or partnerships. </w:t>
            </w:r>
            <w:r w:rsidR="00313F80">
              <w:rPr>
                <w:rFonts w:ascii="Arial" w:hAnsi="Arial" w:cs="Arial"/>
              </w:rPr>
              <w:t>99 per cent of trucking businesses have fewer than ten trucks: these businesses would only be able to bid credibly for contracts in alliance with other firms and, very possibly, industry suppliers.</w:t>
            </w:r>
          </w:p>
        </w:tc>
      </w:tr>
      <w:tr w:rsidR="004D075E" w:rsidTr="00313F80">
        <w:trPr>
          <w:trHeight w:val="401"/>
        </w:trPr>
        <w:tc>
          <w:tcPr>
            <w:tcW w:w="9926" w:type="dxa"/>
            <w:gridSpan w:val="2"/>
            <w:tcBorders>
              <w:top w:val="single" w:sz="4" w:space="0" w:color="auto"/>
              <w:left w:val="single" w:sz="4" w:space="0" w:color="auto"/>
              <w:bottom w:val="single" w:sz="4" w:space="0" w:color="auto"/>
              <w:right w:val="single" w:sz="4" w:space="0" w:color="auto"/>
            </w:tcBorders>
            <w:vAlign w:val="center"/>
          </w:tcPr>
          <w:p w:rsidR="004D075E" w:rsidRPr="00313F80" w:rsidRDefault="004D075E" w:rsidP="00313F80">
            <w:pPr>
              <w:pStyle w:val="ListParagraph"/>
              <w:numPr>
                <w:ilvl w:val="0"/>
                <w:numId w:val="10"/>
              </w:numPr>
              <w:spacing w:before="120" w:after="120"/>
              <w:ind w:left="357" w:hanging="357"/>
              <w:rPr>
                <w:rFonts w:cs="Arial"/>
                <w:b/>
                <w:i/>
              </w:rPr>
            </w:pPr>
            <w:r w:rsidRPr="00313F80">
              <w:rPr>
                <w:rFonts w:cs="Arial"/>
                <w:b/>
                <w:i/>
              </w:rPr>
              <w:t>Monitoring, verification and compliance arrangements</w:t>
            </w:r>
          </w:p>
        </w:tc>
      </w:tr>
      <w:tr w:rsidR="004D075E" w:rsidRPr="007030F1" w:rsidTr="00DC7C5E">
        <w:trPr>
          <w:trHeight w:val="2123"/>
        </w:trPr>
        <w:tc>
          <w:tcPr>
            <w:tcW w:w="9926" w:type="dxa"/>
            <w:gridSpan w:val="2"/>
            <w:tcBorders>
              <w:top w:val="single" w:sz="4" w:space="0" w:color="auto"/>
              <w:left w:val="single" w:sz="4" w:space="0" w:color="auto"/>
              <w:bottom w:val="single" w:sz="4" w:space="0" w:color="auto"/>
              <w:right w:val="single" w:sz="4" w:space="0" w:color="auto"/>
            </w:tcBorders>
          </w:tcPr>
          <w:p w:rsidR="00313F80" w:rsidRPr="00313F80" w:rsidRDefault="00313F80" w:rsidP="00BA46C0">
            <w:pPr>
              <w:rPr>
                <w:rFonts w:ascii="Arial" w:hAnsi="Arial" w:cs="Arial"/>
                <w:i/>
              </w:rPr>
            </w:pPr>
            <w:r w:rsidRPr="00313F80">
              <w:rPr>
                <w:rFonts w:ascii="Arial" w:hAnsi="Arial" w:cs="Arial"/>
                <w:i/>
              </w:rPr>
              <w:t>Businesses should be required to demonstrate actual GHG emission reductions</w:t>
            </w:r>
          </w:p>
          <w:p w:rsidR="00313F80" w:rsidRDefault="00313F80" w:rsidP="00BA46C0">
            <w:pPr>
              <w:rPr>
                <w:rFonts w:ascii="Arial" w:hAnsi="Arial" w:cs="Arial"/>
              </w:rPr>
            </w:pPr>
            <w:r>
              <w:rPr>
                <w:rFonts w:ascii="Arial" w:hAnsi="Arial" w:cs="Arial"/>
              </w:rPr>
              <w:t>The compliance arrangements for the ERF</w:t>
            </w:r>
            <w:r w:rsidR="00215E40">
              <w:rPr>
                <w:rFonts w:ascii="Arial" w:hAnsi="Arial" w:cs="Arial"/>
              </w:rPr>
              <w:t xml:space="preserve"> should require businesses to demonstrate actual GHG reductions before payments are made. The Government should not assume that even the most promising projects will deliver abatement: some projects fail, and energy efficiency projects </w:t>
            </w:r>
            <w:r w:rsidR="00642921">
              <w:rPr>
                <w:rFonts w:ascii="Arial" w:hAnsi="Arial" w:cs="Arial"/>
              </w:rPr>
              <w:t xml:space="preserve">can be </w:t>
            </w:r>
            <w:r w:rsidR="00215E40">
              <w:rPr>
                <w:rFonts w:ascii="Arial" w:hAnsi="Arial" w:cs="Arial"/>
              </w:rPr>
              <w:t>subject to Jevons Paradox: they can result in increased energy consumption (and therefore GHG emissions)</w:t>
            </w:r>
            <w:r w:rsidR="008759CC">
              <w:rPr>
                <w:rFonts w:ascii="Arial" w:hAnsi="Arial" w:cs="Arial"/>
              </w:rPr>
              <w:t>, because the reduction in cost</w:t>
            </w:r>
            <w:r w:rsidR="00215E40">
              <w:rPr>
                <w:rFonts w:ascii="Arial" w:hAnsi="Arial" w:cs="Arial"/>
              </w:rPr>
              <w:t xml:space="preserve"> leads to an increase in demand.</w:t>
            </w:r>
          </w:p>
          <w:p w:rsidR="004D075E" w:rsidRDefault="00642921" w:rsidP="00BA46C0">
            <w:pPr>
              <w:rPr>
                <w:rFonts w:ascii="Arial" w:hAnsi="Arial" w:cs="Arial"/>
              </w:rPr>
            </w:pPr>
            <w:r>
              <w:rPr>
                <w:rFonts w:ascii="Arial" w:hAnsi="Arial" w:cs="Arial"/>
              </w:rPr>
              <w:t>Businesses should not be able to claim credit for GHG emission reductions by other businesses or across industry sectors</w:t>
            </w:r>
            <w:r w:rsidR="004B3381">
              <w:rPr>
                <w:rFonts w:ascii="Arial" w:hAnsi="Arial" w:cs="Arial"/>
              </w:rPr>
              <w:t xml:space="preserve"> except as part of an alliance bid</w:t>
            </w:r>
            <w:r>
              <w:rPr>
                <w:rFonts w:ascii="Arial" w:hAnsi="Arial" w:cs="Arial"/>
              </w:rPr>
              <w:t xml:space="preserve">. For example, a rail operator should not be able </w:t>
            </w:r>
            <w:r w:rsidR="008759CC">
              <w:rPr>
                <w:rFonts w:ascii="Arial" w:hAnsi="Arial" w:cs="Arial"/>
              </w:rPr>
              <w:t xml:space="preserve">to claim </w:t>
            </w:r>
            <w:r>
              <w:rPr>
                <w:rFonts w:ascii="Arial" w:hAnsi="Arial" w:cs="Arial"/>
              </w:rPr>
              <w:t>credit for reducing car travel or ‘taking trucks off the road.’ These emission reduction estimates are invariably speculative and usually depend on the starting assumptions of the modeller</w:t>
            </w:r>
            <w:r w:rsidR="008759CC">
              <w:rPr>
                <w:rFonts w:ascii="Arial" w:hAnsi="Arial" w:cs="Arial"/>
              </w:rPr>
              <w:t>.</w:t>
            </w:r>
            <w:r>
              <w:rPr>
                <w:rFonts w:ascii="Arial" w:hAnsi="Arial" w:cs="Arial"/>
              </w:rPr>
              <w:t xml:space="preserve"> </w:t>
            </w:r>
            <w:r w:rsidR="008759CC">
              <w:rPr>
                <w:rFonts w:ascii="Arial" w:hAnsi="Arial" w:cs="Arial"/>
              </w:rPr>
              <w:t>This hypothetical</w:t>
            </w:r>
            <w:r>
              <w:rPr>
                <w:rFonts w:ascii="Arial" w:hAnsi="Arial" w:cs="Arial"/>
              </w:rPr>
              <w:t xml:space="preserve"> operator should, of course, be able to claim credit for the actual GHG abatement achieved in its business.</w:t>
            </w:r>
          </w:p>
          <w:p w:rsidR="002717B1" w:rsidRPr="002717B1" w:rsidRDefault="002717B1" w:rsidP="002717B1">
            <w:pPr>
              <w:rPr>
                <w:rFonts w:ascii="Arial" w:hAnsi="Arial" w:cs="Arial"/>
                <w:i/>
              </w:rPr>
            </w:pPr>
            <w:r>
              <w:rPr>
                <w:rFonts w:ascii="Arial" w:hAnsi="Arial" w:cs="Arial"/>
                <w:i/>
              </w:rPr>
              <w:t>Non-compliance and make good arrangements</w:t>
            </w:r>
          </w:p>
          <w:p w:rsidR="002717B1" w:rsidRDefault="00D6098A" w:rsidP="00D6098A">
            <w:pPr>
              <w:rPr>
                <w:rFonts w:ascii="Arial" w:hAnsi="Arial" w:cs="Arial"/>
              </w:rPr>
            </w:pPr>
            <w:r>
              <w:rPr>
                <w:rFonts w:ascii="Arial" w:hAnsi="Arial" w:cs="Arial"/>
              </w:rPr>
              <w:t xml:space="preserve">It could be expected that </w:t>
            </w:r>
            <w:r w:rsidR="002717B1">
              <w:rPr>
                <w:rFonts w:ascii="Arial" w:hAnsi="Arial" w:cs="Arial"/>
              </w:rPr>
              <w:t xml:space="preserve">some businesses </w:t>
            </w:r>
            <w:r>
              <w:rPr>
                <w:rFonts w:ascii="Arial" w:hAnsi="Arial" w:cs="Arial"/>
              </w:rPr>
              <w:t>would not achieve their abatement obligations under their</w:t>
            </w:r>
            <w:r w:rsidR="002717B1">
              <w:rPr>
                <w:rFonts w:ascii="Arial" w:hAnsi="Arial" w:cs="Arial"/>
              </w:rPr>
              <w:t xml:space="preserve"> ERF contracts</w:t>
            </w:r>
            <w:r>
              <w:rPr>
                <w:rFonts w:ascii="Arial" w:hAnsi="Arial" w:cs="Arial"/>
              </w:rPr>
              <w:t xml:space="preserve">. A new technology might fail to meet expectations; an energy efficiency program might run into Jevons Paradox, as described above. </w:t>
            </w:r>
          </w:p>
          <w:p w:rsidR="00D6098A" w:rsidRDefault="00D6098A" w:rsidP="00D6098A">
            <w:pPr>
              <w:rPr>
                <w:rFonts w:ascii="Arial" w:hAnsi="Arial" w:cs="Arial"/>
              </w:rPr>
            </w:pPr>
            <w:r>
              <w:rPr>
                <w:rFonts w:ascii="Arial" w:hAnsi="Arial" w:cs="Arial"/>
              </w:rPr>
              <w:t xml:space="preserve">The success of the ERF </w:t>
            </w:r>
            <w:r w:rsidR="001815BA">
              <w:rPr>
                <w:rFonts w:ascii="Arial" w:hAnsi="Arial" w:cs="Arial"/>
              </w:rPr>
              <w:t>would heavily</w:t>
            </w:r>
            <w:r>
              <w:rPr>
                <w:rFonts w:ascii="Arial" w:hAnsi="Arial" w:cs="Arial"/>
              </w:rPr>
              <w:t xml:space="preserve"> depend on its rules for handling non-compliance. </w:t>
            </w:r>
            <w:r w:rsidR="00FA5467">
              <w:rPr>
                <w:rFonts w:ascii="Arial" w:hAnsi="Arial" w:cs="Arial"/>
              </w:rPr>
              <w:t>If the</w:t>
            </w:r>
            <w:r w:rsidR="00601060">
              <w:rPr>
                <w:rFonts w:ascii="Arial" w:hAnsi="Arial" w:cs="Arial"/>
              </w:rPr>
              <w:t>y</w:t>
            </w:r>
            <w:r w:rsidR="00FA5467">
              <w:rPr>
                <w:rFonts w:ascii="Arial" w:hAnsi="Arial" w:cs="Arial"/>
              </w:rPr>
              <w:t xml:space="preserve"> were too onerous, businesses would </w:t>
            </w:r>
            <w:r w:rsidR="001815BA">
              <w:rPr>
                <w:rFonts w:ascii="Arial" w:hAnsi="Arial" w:cs="Arial"/>
              </w:rPr>
              <w:t>simply not bid for abatement contracts</w:t>
            </w:r>
            <w:r w:rsidR="00FA5467">
              <w:rPr>
                <w:rFonts w:ascii="Arial" w:hAnsi="Arial" w:cs="Arial"/>
              </w:rPr>
              <w:t xml:space="preserve"> or would avoid submitting proposals involving new technologies or processes that might involve implementation risk. </w:t>
            </w:r>
          </w:p>
          <w:p w:rsidR="005254D4" w:rsidRDefault="00FA5467" w:rsidP="00D6098A">
            <w:pPr>
              <w:rPr>
                <w:rFonts w:ascii="Arial" w:hAnsi="Arial" w:cs="Arial"/>
              </w:rPr>
            </w:pPr>
            <w:r>
              <w:rPr>
                <w:rFonts w:ascii="Arial" w:hAnsi="Arial" w:cs="Arial"/>
              </w:rPr>
              <w:t>The ATA recommends that businesses that fail to meet their ERF abatement obligations should be able to purchase Australian Carbon Credit Units (AC</w:t>
            </w:r>
            <w:r w:rsidR="001815BA">
              <w:rPr>
                <w:rFonts w:ascii="Arial" w:hAnsi="Arial" w:cs="Arial"/>
              </w:rPr>
              <w:t>CUs) to make good the shortfall. They</w:t>
            </w:r>
            <w:r>
              <w:rPr>
                <w:rFonts w:ascii="Arial" w:hAnsi="Arial" w:cs="Arial"/>
              </w:rPr>
              <w:t xml:space="preserve"> should not be pa</w:t>
            </w:r>
            <w:r w:rsidR="001815BA">
              <w:rPr>
                <w:rFonts w:ascii="Arial" w:hAnsi="Arial" w:cs="Arial"/>
              </w:rPr>
              <w:t>id under their contracts for tho</w:t>
            </w:r>
            <w:r>
              <w:rPr>
                <w:rFonts w:ascii="Arial" w:hAnsi="Arial" w:cs="Arial"/>
              </w:rPr>
              <w:t xml:space="preserve">se credits. </w:t>
            </w:r>
          </w:p>
          <w:p w:rsidR="00D6098A" w:rsidRDefault="008213D0" w:rsidP="00D6098A">
            <w:pPr>
              <w:rPr>
                <w:rFonts w:ascii="Arial" w:hAnsi="Arial" w:cs="Arial"/>
              </w:rPr>
            </w:pPr>
            <w:r>
              <w:rPr>
                <w:rFonts w:ascii="Arial" w:hAnsi="Arial" w:cs="Arial"/>
              </w:rPr>
              <w:t xml:space="preserve">The ERF contracts should set formal non-compliance penalties for businesses that do </w:t>
            </w:r>
            <w:r w:rsidR="005254D4">
              <w:rPr>
                <w:rFonts w:ascii="Arial" w:hAnsi="Arial" w:cs="Arial"/>
              </w:rPr>
              <w:t>not make good their obligations. Experience with the Alberta Specified Gas Emitters Regulation (SGER) and the NSW Greenhouse Gas Abatement Scheme (GGAS) suggests</w:t>
            </w:r>
            <w:r>
              <w:rPr>
                <w:rFonts w:ascii="Arial" w:hAnsi="Arial" w:cs="Arial"/>
              </w:rPr>
              <w:t xml:space="preserve"> these penalties should </w:t>
            </w:r>
            <w:r w:rsidR="005254D4">
              <w:rPr>
                <w:rFonts w:ascii="Arial" w:hAnsi="Arial" w:cs="Arial"/>
              </w:rPr>
              <w:t>only be moderately higher than the cost of making good. The penalties</w:t>
            </w:r>
            <w:r>
              <w:rPr>
                <w:rFonts w:ascii="Arial" w:hAnsi="Arial" w:cs="Arial"/>
              </w:rPr>
              <w:t xml:space="preserve"> should be paid into a </w:t>
            </w:r>
            <w:r w:rsidR="001815BA">
              <w:rPr>
                <w:rFonts w:ascii="Arial" w:hAnsi="Arial" w:cs="Arial"/>
              </w:rPr>
              <w:t>research and development fund</w:t>
            </w:r>
            <w:r>
              <w:rPr>
                <w:rFonts w:ascii="Arial" w:hAnsi="Arial" w:cs="Arial"/>
              </w:rPr>
              <w:t xml:space="preserve"> along the lines of the </w:t>
            </w:r>
            <w:r w:rsidR="005254D4">
              <w:rPr>
                <w:rFonts w:ascii="Arial" w:hAnsi="Arial" w:cs="Arial"/>
              </w:rPr>
              <w:t>Alberta</w:t>
            </w:r>
            <w:r w:rsidR="001815BA">
              <w:rPr>
                <w:rFonts w:ascii="Arial" w:hAnsi="Arial" w:cs="Arial"/>
              </w:rPr>
              <w:t xml:space="preserve"> Climate Change and Emissions Management </w:t>
            </w:r>
            <w:r w:rsidR="00F1600D">
              <w:rPr>
                <w:rFonts w:ascii="Arial" w:hAnsi="Arial" w:cs="Arial"/>
              </w:rPr>
              <w:t>Fund</w:t>
            </w:r>
            <w:r w:rsidR="005254D4">
              <w:rPr>
                <w:rFonts w:ascii="Arial" w:hAnsi="Arial" w:cs="Arial"/>
              </w:rPr>
              <w:t>.</w:t>
            </w:r>
          </w:p>
          <w:p w:rsidR="001815BA" w:rsidRPr="00642921" w:rsidRDefault="00D6098A" w:rsidP="007066E3">
            <w:pPr>
              <w:rPr>
                <w:rFonts w:ascii="Arial" w:hAnsi="Arial" w:cs="Arial"/>
              </w:rPr>
            </w:pPr>
            <w:r>
              <w:rPr>
                <w:rFonts w:ascii="Arial" w:hAnsi="Arial" w:cs="Arial"/>
              </w:rPr>
              <w:t xml:space="preserve">Businesses that achieve a higher level of abatement than required by their ERF contracts should be able to convert their additional abatement to </w:t>
            </w:r>
            <w:r w:rsidR="007066E3">
              <w:rPr>
                <w:rFonts w:ascii="Arial" w:hAnsi="Arial" w:cs="Arial"/>
              </w:rPr>
              <w:t>ACCUs.</w:t>
            </w:r>
          </w:p>
        </w:tc>
      </w:tr>
      <w:tr w:rsidR="00AB3873" w:rsidRPr="007030F1" w:rsidTr="00936EC1">
        <w:trPr>
          <w:trHeight w:val="594"/>
        </w:trPr>
        <w:tc>
          <w:tcPr>
            <w:tcW w:w="9926" w:type="dxa"/>
            <w:gridSpan w:val="2"/>
            <w:tcBorders>
              <w:top w:val="single" w:sz="4" w:space="0" w:color="auto"/>
              <w:left w:val="single" w:sz="4" w:space="0" w:color="auto"/>
              <w:bottom w:val="single" w:sz="4" w:space="0" w:color="auto"/>
              <w:right w:val="single" w:sz="4" w:space="0" w:color="auto"/>
            </w:tcBorders>
            <w:vAlign w:val="center"/>
          </w:tcPr>
          <w:p w:rsidR="00AB3873" w:rsidRPr="00C704F0" w:rsidRDefault="00C704F0" w:rsidP="00C704F0">
            <w:pPr>
              <w:pStyle w:val="ListParagraph"/>
              <w:numPr>
                <w:ilvl w:val="0"/>
                <w:numId w:val="10"/>
              </w:numPr>
              <w:spacing w:before="120" w:after="120"/>
              <w:rPr>
                <w:rFonts w:cs="Arial"/>
                <w:b/>
                <w:i/>
              </w:rPr>
            </w:pPr>
            <w:r>
              <w:rPr>
                <w:rFonts w:cs="Arial"/>
                <w:b/>
                <w:i/>
              </w:rPr>
              <w:t xml:space="preserve">Emissions above business as </w:t>
            </w:r>
            <w:r w:rsidR="00215E40" w:rsidRPr="00C704F0">
              <w:rPr>
                <w:rFonts w:cs="Arial"/>
                <w:b/>
                <w:i/>
              </w:rPr>
              <w:t>usual baselines</w:t>
            </w:r>
          </w:p>
        </w:tc>
      </w:tr>
      <w:tr w:rsidR="00AB3873" w:rsidRPr="007030F1" w:rsidTr="00BA46C0">
        <w:trPr>
          <w:trHeight w:val="2639"/>
        </w:trPr>
        <w:tc>
          <w:tcPr>
            <w:tcW w:w="9926" w:type="dxa"/>
            <w:gridSpan w:val="2"/>
            <w:tcBorders>
              <w:top w:val="single" w:sz="4" w:space="0" w:color="auto"/>
              <w:left w:val="single" w:sz="4" w:space="0" w:color="auto"/>
              <w:bottom w:val="single" w:sz="4" w:space="0" w:color="auto"/>
              <w:right w:val="single" w:sz="4" w:space="0" w:color="auto"/>
            </w:tcBorders>
          </w:tcPr>
          <w:p w:rsidR="00AB3873" w:rsidRDefault="001815BA" w:rsidP="00C704F0">
            <w:pPr>
              <w:rPr>
                <w:rFonts w:ascii="Arial" w:hAnsi="Arial" w:cs="Arial"/>
              </w:rPr>
            </w:pPr>
            <w:r>
              <w:rPr>
                <w:rFonts w:ascii="Arial" w:hAnsi="Arial" w:cs="Arial"/>
              </w:rPr>
              <w:t>The Government’s Direct Action P</w:t>
            </w:r>
            <w:r w:rsidR="00C704F0">
              <w:rPr>
                <w:rFonts w:ascii="Arial" w:hAnsi="Arial" w:cs="Arial"/>
              </w:rPr>
              <w:t>lan proposes that businesses</w:t>
            </w:r>
            <w:r>
              <w:rPr>
                <w:rFonts w:ascii="Arial" w:hAnsi="Arial" w:cs="Arial"/>
              </w:rPr>
              <w:t xml:space="preserve"> undertaking activities that le</w:t>
            </w:r>
            <w:r w:rsidR="00C704F0">
              <w:rPr>
                <w:rFonts w:ascii="Arial" w:hAnsi="Arial" w:cs="Arial"/>
              </w:rPr>
              <w:t>d them to exceed their business as usual emission baselines would incur a financial penalty. The plan states that special provisions would be made to cover new entrants and busi</w:t>
            </w:r>
            <w:r w:rsidR="008759CC">
              <w:rPr>
                <w:rFonts w:ascii="Arial" w:hAnsi="Arial" w:cs="Arial"/>
              </w:rPr>
              <w:t>ness expansion at best practice.</w:t>
            </w:r>
          </w:p>
          <w:p w:rsidR="00C704F0" w:rsidRDefault="00C704F0" w:rsidP="00C704F0">
            <w:pPr>
              <w:rPr>
                <w:rFonts w:ascii="Arial" w:hAnsi="Arial" w:cs="Arial"/>
              </w:rPr>
            </w:pPr>
            <w:r>
              <w:rPr>
                <w:rFonts w:ascii="Arial" w:hAnsi="Arial" w:cs="Arial"/>
              </w:rPr>
              <w:t>The ATA recommends that the Government should not proceed furthe</w:t>
            </w:r>
            <w:r w:rsidR="008759CC">
              <w:rPr>
                <w:rFonts w:ascii="Arial" w:hAnsi="Arial" w:cs="Arial"/>
              </w:rPr>
              <w:t>r with this element of the plan, because:</w:t>
            </w:r>
          </w:p>
          <w:p w:rsidR="00C704F0" w:rsidRPr="00C704F0" w:rsidRDefault="00C704F0" w:rsidP="00C704F0">
            <w:pPr>
              <w:pStyle w:val="ListParagraph"/>
              <w:numPr>
                <w:ilvl w:val="0"/>
                <w:numId w:val="11"/>
              </w:numPr>
              <w:rPr>
                <w:rFonts w:cs="Arial"/>
              </w:rPr>
            </w:pPr>
            <w:r w:rsidRPr="00C704F0">
              <w:rPr>
                <w:rFonts w:cs="Arial"/>
              </w:rPr>
              <w:t xml:space="preserve">every business </w:t>
            </w:r>
            <w:r w:rsidR="00CB741B">
              <w:rPr>
                <w:rFonts w:cs="Arial"/>
              </w:rPr>
              <w:t xml:space="preserve">and facility </w:t>
            </w:r>
            <w:r w:rsidRPr="00C704F0">
              <w:rPr>
                <w:rFonts w:cs="Arial"/>
              </w:rPr>
              <w:t>has a slightly different structure. A reason</w:t>
            </w:r>
            <w:r w:rsidR="00601060">
              <w:rPr>
                <w:rFonts w:cs="Arial"/>
              </w:rPr>
              <w:t>able baseline for one business c</w:t>
            </w:r>
            <w:r w:rsidRPr="00C704F0">
              <w:rPr>
                <w:rFonts w:cs="Arial"/>
              </w:rPr>
              <w:t>o</w:t>
            </w:r>
            <w:r w:rsidR="00CB741B">
              <w:rPr>
                <w:rFonts w:cs="Arial"/>
              </w:rPr>
              <w:t xml:space="preserve">uld be unreasonable for another, even within the same industry. </w:t>
            </w:r>
          </w:p>
          <w:p w:rsidR="00C704F0" w:rsidRDefault="00347F54" w:rsidP="00C704F0">
            <w:pPr>
              <w:pStyle w:val="ListParagraph"/>
              <w:numPr>
                <w:ilvl w:val="0"/>
                <w:numId w:val="11"/>
              </w:numPr>
              <w:rPr>
                <w:rFonts w:cs="Arial"/>
              </w:rPr>
            </w:pPr>
            <w:r>
              <w:rPr>
                <w:rFonts w:cs="Arial"/>
              </w:rPr>
              <w:t>businesses would need to apply to have their baseline changed every time they contemplated expanding, won a contract that was more emissions intensive or simply looked like having a good year due to economic growth.</w:t>
            </w:r>
            <w:r w:rsidRPr="00C704F0">
              <w:rPr>
                <w:rFonts w:cs="Arial"/>
              </w:rPr>
              <w:t xml:space="preserve"> </w:t>
            </w:r>
            <w:r w:rsidR="001815BA">
              <w:rPr>
                <w:rFonts w:cs="Arial"/>
              </w:rPr>
              <w:t>Business executives would spend more time managing approvals and less time managing their business; public servants with limited information would effectively end up making business decisions.</w:t>
            </w:r>
          </w:p>
          <w:p w:rsidR="00F41425" w:rsidRPr="00C704F0" w:rsidRDefault="00F41425" w:rsidP="00C704F0">
            <w:pPr>
              <w:pStyle w:val="ListParagraph"/>
              <w:numPr>
                <w:ilvl w:val="0"/>
                <w:numId w:val="11"/>
              </w:numPr>
              <w:rPr>
                <w:rFonts w:cs="Arial"/>
              </w:rPr>
            </w:pPr>
            <w:r>
              <w:rPr>
                <w:rFonts w:cs="Arial"/>
              </w:rPr>
              <w:t xml:space="preserve">a business faced with the prospect of exceeding its business as usual baseline </w:t>
            </w:r>
            <w:r w:rsidR="00492363">
              <w:rPr>
                <w:rFonts w:cs="Arial"/>
              </w:rPr>
              <w:t xml:space="preserve">could well seek to </w:t>
            </w:r>
            <w:r>
              <w:rPr>
                <w:rFonts w:cs="Arial"/>
              </w:rPr>
              <w:t>reduce its GHG emissions</w:t>
            </w:r>
            <w:r w:rsidR="00347F54">
              <w:rPr>
                <w:rFonts w:cs="Arial"/>
              </w:rPr>
              <w:t xml:space="preserve"> rather than pay financial penalties</w:t>
            </w:r>
            <w:r>
              <w:rPr>
                <w:rFonts w:cs="Arial"/>
              </w:rPr>
              <w:t xml:space="preserve">. Depending on the industry, this abatement could be extremely expensive – at the middle or top of the abatement cost curve rather than the bottom. </w:t>
            </w:r>
          </w:p>
          <w:p w:rsidR="00C704F0" w:rsidRDefault="00F41425" w:rsidP="00492363">
            <w:pPr>
              <w:rPr>
                <w:rFonts w:ascii="Arial" w:hAnsi="Arial" w:cs="Arial"/>
              </w:rPr>
            </w:pPr>
            <w:r>
              <w:rPr>
                <w:rFonts w:ascii="Arial" w:hAnsi="Arial" w:cs="Arial"/>
              </w:rPr>
              <w:t xml:space="preserve">Overall, the proposal would result in uncertainty, poor business decision-making and </w:t>
            </w:r>
            <w:r w:rsidR="00492363">
              <w:rPr>
                <w:rFonts w:ascii="Arial" w:hAnsi="Arial" w:cs="Arial"/>
              </w:rPr>
              <w:t xml:space="preserve">unnecessarily costly </w:t>
            </w:r>
            <w:r>
              <w:rPr>
                <w:rFonts w:ascii="Arial" w:hAnsi="Arial" w:cs="Arial"/>
              </w:rPr>
              <w:t>greenhouse gas abatement decisions.</w:t>
            </w:r>
          </w:p>
          <w:p w:rsidR="005B16AD" w:rsidRPr="00F41425" w:rsidRDefault="00347F54" w:rsidP="001815BA">
            <w:pPr>
              <w:rPr>
                <w:rFonts w:ascii="Arial" w:hAnsi="Arial" w:cs="Arial"/>
              </w:rPr>
            </w:pPr>
            <w:r>
              <w:rPr>
                <w:rFonts w:ascii="Arial" w:hAnsi="Arial" w:cs="Arial"/>
              </w:rPr>
              <w:t xml:space="preserve">If the Government does go ahead with this element of its </w:t>
            </w:r>
            <w:r w:rsidR="001815BA">
              <w:rPr>
                <w:rFonts w:ascii="Arial" w:hAnsi="Arial" w:cs="Arial"/>
              </w:rPr>
              <w:t>plan</w:t>
            </w:r>
            <w:r w:rsidR="005B16AD">
              <w:rPr>
                <w:rFonts w:ascii="Arial" w:hAnsi="Arial" w:cs="Arial"/>
              </w:rPr>
              <w:t xml:space="preserve">, </w:t>
            </w:r>
            <w:r w:rsidR="00B633E6">
              <w:rPr>
                <w:rFonts w:ascii="Arial" w:hAnsi="Arial" w:cs="Arial"/>
              </w:rPr>
              <w:t xml:space="preserve">the ATA recommends that </w:t>
            </w:r>
            <w:r w:rsidR="005B16AD">
              <w:rPr>
                <w:rFonts w:ascii="Arial" w:hAnsi="Arial" w:cs="Arial"/>
              </w:rPr>
              <w:t xml:space="preserve">businesses </w:t>
            </w:r>
            <w:r>
              <w:rPr>
                <w:rFonts w:ascii="Arial" w:hAnsi="Arial" w:cs="Arial"/>
              </w:rPr>
              <w:t xml:space="preserve">that exceed their baselines should be able to make good by purchasing ACCUs. Financial penalties should only be moderately higher than the cost of making good and should be paid into a </w:t>
            </w:r>
            <w:r w:rsidR="001815BA">
              <w:rPr>
                <w:rFonts w:ascii="Arial" w:hAnsi="Arial" w:cs="Arial"/>
              </w:rPr>
              <w:t xml:space="preserve">research and development </w:t>
            </w:r>
            <w:r>
              <w:rPr>
                <w:rFonts w:ascii="Arial" w:hAnsi="Arial" w:cs="Arial"/>
              </w:rPr>
              <w:t xml:space="preserve">fund as </w:t>
            </w:r>
            <w:r w:rsidR="001815BA">
              <w:rPr>
                <w:rFonts w:ascii="Arial" w:hAnsi="Arial" w:cs="Arial"/>
              </w:rPr>
              <w:t xml:space="preserve">outlined </w:t>
            </w:r>
            <w:r>
              <w:rPr>
                <w:rFonts w:ascii="Arial" w:hAnsi="Arial" w:cs="Arial"/>
              </w:rPr>
              <w:t>in section 3 of this submission.</w:t>
            </w:r>
          </w:p>
        </w:tc>
      </w:tr>
    </w:tbl>
    <w:p w:rsidR="006B14DB" w:rsidRPr="00EF53FF" w:rsidRDefault="006B14DB" w:rsidP="00932861"/>
    <w:sectPr w:rsidR="006B14DB" w:rsidRPr="00EF53FF" w:rsidSect="007C3B3F">
      <w:headerReference w:type="even" r:id="rId9"/>
      <w:headerReference w:type="default" r:id="rId10"/>
      <w:footerReference w:type="default" r:id="rId11"/>
      <w:headerReference w:type="first" r:id="rId12"/>
      <w:pgSz w:w="11906" w:h="16838"/>
      <w:pgMar w:top="1560" w:right="1134" w:bottom="1418" w:left="1134" w:header="425" w:footer="425"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639A" w:rsidRDefault="00B0639A" w:rsidP="00A60185">
      <w:pPr>
        <w:spacing w:after="0" w:line="240" w:lineRule="auto"/>
      </w:pPr>
      <w:r>
        <w:separator/>
      </w:r>
    </w:p>
  </w:endnote>
  <w:endnote w:type="continuationSeparator" w:id="0">
    <w:p w:rsidR="00B0639A" w:rsidRDefault="00B0639A" w:rsidP="00A601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43830"/>
      <w:docPartObj>
        <w:docPartGallery w:val="Page Numbers (Bottom of Page)"/>
        <w:docPartUnique/>
      </w:docPartObj>
    </w:sdtPr>
    <w:sdtContent>
      <w:p w:rsidR="00B0639A" w:rsidRDefault="001F4A86">
        <w:pPr>
          <w:pStyle w:val="Footer"/>
          <w:jc w:val="center"/>
        </w:pPr>
        <w:fldSimple w:instr=" PAGE   \* MERGEFORMAT ">
          <w:r w:rsidR="00432F90">
            <w:rPr>
              <w:noProof/>
            </w:rPr>
            <w:t>5</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639A" w:rsidRDefault="00B0639A" w:rsidP="00A60185">
      <w:pPr>
        <w:spacing w:after="0" w:line="240" w:lineRule="auto"/>
      </w:pPr>
      <w:r>
        <w:separator/>
      </w:r>
    </w:p>
  </w:footnote>
  <w:footnote w:type="continuationSeparator" w:id="0">
    <w:p w:rsidR="00B0639A" w:rsidRDefault="00B0639A" w:rsidP="00A601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39A" w:rsidRDefault="001F4A86" w:rsidP="00E45765">
    <w:pPr>
      <w:pStyle w:val="Classification"/>
    </w:pPr>
    <w:r>
      <w:fldChar w:fldCharType="begin"/>
    </w:r>
    <w:r w:rsidR="00B0639A">
      <w:instrText xml:space="preserve"> DOCPROPERTY SecurityClassification \* MERGEFORMAT </w:instrText>
    </w:r>
    <w:r>
      <w:fldChar w:fldCharType="separate"/>
    </w:r>
    <w:r w:rsidR="00BA5316">
      <w:rPr>
        <w:b/>
        <w:bCs/>
        <w:lang w:val="en-US"/>
      </w:rPr>
      <w:t>Error! Unknown document property name.</w:t>
    </w:r>
    <w: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39A" w:rsidRDefault="00B0639A">
    <w:pPr>
      <w:pStyle w:val="Header"/>
    </w:pPr>
    <w:r>
      <w:rPr>
        <w:noProof/>
        <w:lang w:eastAsia="en-AU"/>
      </w:rPr>
      <w:drawing>
        <wp:anchor distT="0" distB="0" distL="114300" distR="114300" simplePos="0" relativeHeight="251659264" behindDoc="1" locked="0" layoutInCell="1" allowOverlap="1">
          <wp:simplePos x="0" y="0"/>
          <wp:positionH relativeFrom="column">
            <wp:posOffset>-217170</wp:posOffset>
          </wp:positionH>
          <wp:positionV relativeFrom="paragraph">
            <wp:posOffset>-109855</wp:posOffset>
          </wp:positionV>
          <wp:extent cx="2644140" cy="776850"/>
          <wp:effectExtent l="0" t="0" r="381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44140" cy="776850"/>
                  </a:xfrm>
                  <a:prstGeom prst="rect">
                    <a:avLst/>
                  </a:prstGeom>
                  <a:noFill/>
                  <a:ln>
                    <a:noFill/>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39A" w:rsidRDefault="00B0639A">
    <w:pPr>
      <w:pStyle w:val="Header"/>
    </w:pPr>
    <w:r>
      <w:rPr>
        <w:noProof/>
        <w:lang w:eastAsia="en-AU"/>
      </w:rPr>
      <w:drawing>
        <wp:inline distT="0" distB="0" distL="0" distR="0">
          <wp:extent cx="2827020" cy="8305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27020" cy="83058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32DB9"/>
    <w:multiLevelType w:val="multilevel"/>
    <w:tmpl w:val="E5E89F92"/>
    <w:styleLink w:val="BulletList"/>
    <w:lvl w:ilvl="0">
      <w:start w:val="1"/>
      <w:numFmt w:val="bullet"/>
      <w:pStyle w:val="ListBullet"/>
      <w:lvlText w:val=""/>
      <w:lvlJc w:val="left"/>
      <w:pPr>
        <w:ind w:left="369" w:hanging="369"/>
      </w:pPr>
      <w:rPr>
        <w:rFonts w:ascii="Symbol" w:hAnsi="Symbol" w:hint="default"/>
      </w:rPr>
    </w:lvl>
    <w:lvl w:ilvl="1">
      <w:start w:val="1"/>
      <w:numFmt w:val="none"/>
      <w:pStyle w:val="ListBullet2"/>
      <w:lvlText w:val="-"/>
      <w:lvlJc w:val="left"/>
      <w:pPr>
        <w:ind w:left="737" w:hanging="368"/>
      </w:pPr>
      <w:rPr>
        <w:rFonts w:hint="default"/>
      </w:rPr>
    </w:lvl>
    <w:lvl w:ilvl="2">
      <w:start w:val="1"/>
      <w:numFmt w:val="none"/>
      <w:pStyle w:val="ListBullet3"/>
      <w:lvlText w:val=":"/>
      <w:lvlJc w:val="left"/>
      <w:pPr>
        <w:ind w:left="1106" w:hanging="369"/>
      </w:pPr>
      <w:rPr>
        <w:rFonts w:hint="default"/>
      </w:rPr>
    </w:lvl>
    <w:lvl w:ilvl="3">
      <w:start w:val="1"/>
      <w:numFmt w:val="none"/>
      <w:pStyle w:val="ListBullet4"/>
      <w:lvlText w:val=""/>
      <w:lvlJc w:val="left"/>
      <w:pPr>
        <w:ind w:left="1474" w:hanging="368"/>
      </w:pPr>
      <w:rPr>
        <w:rFonts w:hint="default"/>
        <w:color w:val="auto"/>
      </w:rPr>
    </w:lvl>
    <w:lvl w:ilvl="4">
      <w:start w:val="1"/>
      <w:numFmt w:val="none"/>
      <w:pStyle w:val="ListBullet5"/>
      <w:lvlText w:val=""/>
      <w:lvlJc w:val="left"/>
      <w:pPr>
        <w:ind w:left="1800" w:hanging="360"/>
      </w:pPr>
      <w:rPr>
        <w:rFonts w:hint="default"/>
        <w:color w:val="auto"/>
      </w:rPr>
    </w:lvl>
    <w:lvl w:ilvl="5">
      <w:start w:val="1"/>
      <w:numFmt w:val="none"/>
      <w:lvlText w:val=""/>
      <w:lvlJc w:val="left"/>
      <w:pPr>
        <w:ind w:left="2160" w:hanging="360"/>
      </w:pPr>
      <w:rPr>
        <w:rFonts w:hint="default"/>
        <w:color w:val="auto"/>
      </w:rPr>
    </w:lvl>
    <w:lvl w:ilvl="6">
      <w:start w:val="1"/>
      <w:numFmt w:val="none"/>
      <w:lvlText w:val=""/>
      <w:lvlJc w:val="left"/>
      <w:pPr>
        <w:ind w:left="2520" w:hanging="360"/>
      </w:pPr>
      <w:rPr>
        <w:rFonts w:hint="default"/>
        <w:color w:val="auto"/>
      </w:rPr>
    </w:lvl>
    <w:lvl w:ilvl="7">
      <w:start w:val="1"/>
      <w:numFmt w:val="none"/>
      <w:lvlText w:val=""/>
      <w:lvlJc w:val="left"/>
      <w:pPr>
        <w:ind w:left="2880" w:hanging="360"/>
      </w:pPr>
      <w:rPr>
        <w:rFonts w:hint="default"/>
        <w:color w:val="auto"/>
      </w:rPr>
    </w:lvl>
    <w:lvl w:ilvl="8">
      <w:start w:val="1"/>
      <w:numFmt w:val="none"/>
      <w:lvlText w:val=""/>
      <w:lvlJc w:val="left"/>
      <w:pPr>
        <w:ind w:left="3240" w:hanging="360"/>
      </w:pPr>
      <w:rPr>
        <w:rFonts w:hint="default"/>
        <w:color w:val="auto"/>
      </w:rPr>
    </w:lvl>
  </w:abstractNum>
  <w:abstractNum w:abstractNumId="1">
    <w:nsid w:val="04200124"/>
    <w:multiLevelType w:val="hybridMultilevel"/>
    <w:tmpl w:val="047A0A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F745BC2"/>
    <w:multiLevelType w:val="multilevel"/>
    <w:tmpl w:val="E5E89F92"/>
    <w:numStyleLink w:val="BulletList"/>
  </w:abstractNum>
  <w:abstractNum w:abstractNumId="3">
    <w:nsid w:val="3098052F"/>
    <w:multiLevelType w:val="multilevel"/>
    <w:tmpl w:val="473EA67C"/>
    <w:lvl w:ilvl="0">
      <w:start w:val="1"/>
      <w:numFmt w:val="decimal"/>
      <w:pStyle w:val="ListParagraph"/>
      <w:lvlText w:val="%1."/>
      <w:lvlJc w:val="left"/>
      <w:pPr>
        <w:ind w:left="369" w:hanging="369"/>
      </w:pPr>
      <w:rPr>
        <w:rFonts w:hint="default"/>
      </w:rPr>
    </w:lvl>
    <w:lvl w:ilvl="1">
      <w:start w:val="1"/>
      <w:numFmt w:val="none"/>
      <w:lvlText w:val="-"/>
      <w:lvlJc w:val="left"/>
      <w:pPr>
        <w:ind w:left="737" w:hanging="368"/>
      </w:pPr>
      <w:rPr>
        <w:rFonts w:hint="default"/>
      </w:rPr>
    </w:lvl>
    <w:lvl w:ilvl="2">
      <w:start w:val="1"/>
      <w:numFmt w:val="none"/>
      <w:lvlText w:val=":"/>
      <w:lvlJc w:val="left"/>
      <w:pPr>
        <w:ind w:left="1106" w:hanging="369"/>
      </w:pPr>
      <w:rPr>
        <w:rFonts w:hint="default"/>
      </w:rPr>
    </w:lvl>
    <w:lvl w:ilvl="3">
      <w:start w:val="1"/>
      <w:numFmt w:val="none"/>
      <w:lvlText w:val=""/>
      <w:lvlJc w:val="left"/>
      <w:pPr>
        <w:ind w:left="1474" w:hanging="36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361C7DAA"/>
    <w:multiLevelType w:val="multilevel"/>
    <w:tmpl w:val="CAA83148"/>
    <w:styleLink w:val="Attach"/>
    <w:lvl w:ilvl="0">
      <w:start w:val="1"/>
      <w:numFmt w:val="upperLetter"/>
      <w:lvlText w:val="Attachment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40C34A06"/>
    <w:multiLevelType w:val="hybridMultilevel"/>
    <w:tmpl w:val="133C6AE2"/>
    <w:lvl w:ilvl="0" w:tplc="0C090001">
      <w:start w:val="1"/>
      <w:numFmt w:val="bullet"/>
      <w:lvlText w:val=""/>
      <w:lvlJc w:val="left"/>
      <w:pPr>
        <w:ind w:left="1794" w:hanging="720"/>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6">
    <w:nsid w:val="49F46647"/>
    <w:multiLevelType w:val="hybridMultilevel"/>
    <w:tmpl w:val="439A020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65456429"/>
    <w:multiLevelType w:val="multilevel"/>
    <w:tmpl w:val="E898CC72"/>
    <w:numStyleLink w:val="KeyPoints"/>
  </w:abstractNum>
  <w:abstractNum w:abstractNumId="8">
    <w:nsid w:val="6BFD2257"/>
    <w:multiLevelType w:val="hybridMultilevel"/>
    <w:tmpl w:val="5504FB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62964D5"/>
    <w:multiLevelType w:val="multilevel"/>
    <w:tmpl w:val="E898CC72"/>
    <w:styleLink w:val="KeyPoints"/>
    <w:lvl w:ilvl="0">
      <w:start w:val="1"/>
      <w:numFmt w:val="decimal"/>
      <w:pStyle w:val="ListNumber"/>
      <w:lvlText w:val="%1."/>
      <w:lvlJc w:val="left"/>
      <w:pPr>
        <w:ind w:left="369" w:hanging="369"/>
      </w:pPr>
      <w:rPr>
        <w:rFonts w:ascii="Arial" w:hAnsi="Arial" w:hint="default"/>
        <w:sz w:val="22"/>
      </w:rPr>
    </w:lvl>
    <w:lvl w:ilvl="1">
      <w:start w:val="1"/>
      <w:numFmt w:val="lowerLetter"/>
      <w:pStyle w:val="ListNumber2"/>
      <w:lvlText w:val="%2."/>
      <w:lvlJc w:val="left"/>
      <w:pPr>
        <w:ind w:left="738" w:hanging="369"/>
      </w:pPr>
      <w:rPr>
        <w:rFonts w:hint="default"/>
      </w:rPr>
    </w:lvl>
    <w:lvl w:ilvl="2">
      <w:start w:val="1"/>
      <w:numFmt w:val="lowerRoman"/>
      <w:pStyle w:val="ListNumber3"/>
      <w:lvlText w:val="%3."/>
      <w:lvlJc w:val="left"/>
      <w:pPr>
        <w:ind w:left="1107" w:hanging="369"/>
      </w:pPr>
      <w:rPr>
        <w:rFonts w:hint="default"/>
      </w:rPr>
    </w:lvl>
    <w:lvl w:ilvl="3">
      <w:start w:val="1"/>
      <w:numFmt w:val="none"/>
      <w:pStyle w:val="ListNumber4"/>
      <w:lvlText w:val="%4"/>
      <w:lvlJc w:val="left"/>
      <w:pPr>
        <w:ind w:left="1476" w:hanging="369"/>
      </w:pPr>
      <w:rPr>
        <w:rFonts w:hint="default"/>
      </w:rPr>
    </w:lvl>
    <w:lvl w:ilvl="4">
      <w:start w:val="1"/>
      <w:numFmt w:val="none"/>
      <w:pStyle w:val="ListNumber5"/>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10">
    <w:nsid w:val="7869338C"/>
    <w:multiLevelType w:val="hybridMultilevel"/>
    <w:tmpl w:val="6AF238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9F80451"/>
    <w:multiLevelType w:val="hybridMultilevel"/>
    <w:tmpl w:val="A1E684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4"/>
  </w:num>
  <w:num w:numId="4">
    <w:abstractNumId w:val="3"/>
  </w:num>
  <w:num w:numId="5">
    <w:abstractNumId w:val="7"/>
  </w:num>
  <w:num w:numId="6">
    <w:abstractNumId w:val="2"/>
  </w:num>
  <w:num w:numId="7">
    <w:abstractNumId w:val="5"/>
  </w:num>
  <w:num w:numId="8">
    <w:abstractNumId w:val="11"/>
  </w:num>
  <w:num w:numId="9">
    <w:abstractNumId w:val="8"/>
  </w:num>
  <w:num w:numId="10">
    <w:abstractNumId w:val="6"/>
  </w:num>
  <w:num w:numId="11">
    <w:abstractNumId w:val="1"/>
  </w:num>
  <w:num w:numId="12">
    <w:abstractNumId w:val="1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docVars>
    <w:docVar w:name="SecurityClassificationInHeader" w:val="False"/>
  </w:docVars>
  <w:rsids>
    <w:rsidRoot w:val="00271FAA"/>
    <w:rsid w:val="00004AEE"/>
    <w:rsid w:val="00005CAA"/>
    <w:rsid w:val="00010210"/>
    <w:rsid w:val="00012D66"/>
    <w:rsid w:val="00015ADA"/>
    <w:rsid w:val="00020C99"/>
    <w:rsid w:val="000269B6"/>
    <w:rsid w:val="0002707B"/>
    <w:rsid w:val="0005148E"/>
    <w:rsid w:val="00072C5A"/>
    <w:rsid w:val="000759E5"/>
    <w:rsid w:val="00084AC6"/>
    <w:rsid w:val="00091608"/>
    <w:rsid w:val="0009333C"/>
    <w:rsid w:val="0009704F"/>
    <w:rsid w:val="000A0F11"/>
    <w:rsid w:val="000A125A"/>
    <w:rsid w:val="000A57CD"/>
    <w:rsid w:val="000B0450"/>
    <w:rsid w:val="000B3758"/>
    <w:rsid w:val="000B7681"/>
    <w:rsid w:val="000B7B42"/>
    <w:rsid w:val="000C02B7"/>
    <w:rsid w:val="000C5100"/>
    <w:rsid w:val="000C5342"/>
    <w:rsid w:val="000C706A"/>
    <w:rsid w:val="000D2887"/>
    <w:rsid w:val="000D6D63"/>
    <w:rsid w:val="000E0081"/>
    <w:rsid w:val="000E07CF"/>
    <w:rsid w:val="000E31C1"/>
    <w:rsid w:val="000F2CF2"/>
    <w:rsid w:val="00100BEF"/>
    <w:rsid w:val="00111326"/>
    <w:rsid w:val="0011498E"/>
    <w:rsid w:val="00117A45"/>
    <w:rsid w:val="001224AE"/>
    <w:rsid w:val="001337D4"/>
    <w:rsid w:val="00147C12"/>
    <w:rsid w:val="001527A1"/>
    <w:rsid w:val="001530DC"/>
    <w:rsid w:val="00154989"/>
    <w:rsid w:val="00155A9F"/>
    <w:rsid w:val="00160262"/>
    <w:rsid w:val="0016780A"/>
    <w:rsid w:val="001713FA"/>
    <w:rsid w:val="00172561"/>
    <w:rsid w:val="00173EBF"/>
    <w:rsid w:val="00175ED3"/>
    <w:rsid w:val="001815BA"/>
    <w:rsid w:val="001842A2"/>
    <w:rsid w:val="00187FA8"/>
    <w:rsid w:val="00192F5E"/>
    <w:rsid w:val="00197772"/>
    <w:rsid w:val="001A51C8"/>
    <w:rsid w:val="001A7650"/>
    <w:rsid w:val="001B28C8"/>
    <w:rsid w:val="001B4CA8"/>
    <w:rsid w:val="001B5EA1"/>
    <w:rsid w:val="001C4F3D"/>
    <w:rsid w:val="001C55A5"/>
    <w:rsid w:val="001D0CDC"/>
    <w:rsid w:val="001D1D82"/>
    <w:rsid w:val="001D504E"/>
    <w:rsid w:val="001E1182"/>
    <w:rsid w:val="001E11F2"/>
    <w:rsid w:val="001E6AFB"/>
    <w:rsid w:val="001F438D"/>
    <w:rsid w:val="001F4A86"/>
    <w:rsid w:val="00202C90"/>
    <w:rsid w:val="00213DE8"/>
    <w:rsid w:val="00215E40"/>
    <w:rsid w:val="00216118"/>
    <w:rsid w:val="0021641D"/>
    <w:rsid w:val="002209AB"/>
    <w:rsid w:val="002251E3"/>
    <w:rsid w:val="00227A95"/>
    <w:rsid w:val="00230D89"/>
    <w:rsid w:val="002316BD"/>
    <w:rsid w:val="00243700"/>
    <w:rsid w:val="002473FC"/>
    <w:rsid w:val="00250736"/>
    <w:rsid w:val="00252E3C"/>
    <w:rsid w:val="00253FD6"/>
    <w:rsid w:val="00257328"/>
    <w:rsid w:val="00262198"/>
    <w:rsid w:val="00267830"/>
    <w:rsid w:val="002717B1"/>
    <w:rsid w:val="00271FAA"/>
    <w:rsid w:val="00285F1B"/>
    <w:rsid w:val="00292B81"/>
    <w:rsid w:val="002B18AE"/>
    <w:rsid w:val="002B1B7B"/>
    <w:rsid w:val="002C1C93"/>
    <w:rsid w:val="002C5066"/>
    <w:rsid w:val="002C5813"/>
    <w:rsid w:val="002D4AAC"/>
    <w:rsid w:val="002F045A"/>
    <w:rsid w:val="0030039D"/>
    <w:rsid w:val="0030326F"/>
    <w:rsid w:val="00310701"/>
    <w:rsid w:val="00313F80"/>
    <w:rsid w:val="00315980"/>
    <w:rsid w:val="00316F7F"/>
    <w:rsid w:val="003218E8"/>
    <w:rsid w:val="00325E34"/>
    <w:rsid w:val="00330DCE"/>
    <w:rsid w:val="00331E11"/>
    <w:rsid w:val="00334761"/>
    <w:rsid w:val="00337EBC"/>
    <w:rsid w:val="00341DCD"/>
    <w:rsid w:val="0034563E"/>
    <w:rsid w:val="00345D48"/>
    <w:rsid w:val="00347F54"/>
    <w:rsid w:val="003518D6"/>
    <w:rsid w:val="0035460C"/>
    <w:rsid w:val="003556BD"/>
    <w:rsid w:val="00365147"/>
    <w:rsid w:val="0037016E"/>
    <w:rsid w:val="00372908"/>
    <w:rsid w:val="00383020"/>
    <w:rsid w:val="00394D7E"/>
    <w:rsid w:val="003975FD"/>
    <w:rsid w:val="003B057D"/>
    <w:rsid w:val="003B4F04"/>
    <w:rsid w:val="003B60CC"/>
    <w:rsid w:val="003C1B25"/>
    <w:rsid w:val="003C2443"/>
    <w:rsid w:val="003C5DA3"/>
    <w:rsid w:val="003D4BCD"/>
    <w:rsid w:val="003D6C2B"/>
    <w:rsid w:val="003E01D8"/>
    <w:rsid w:val="003E2100"/>
    <w:rsid w:val="003F6F5B"/>
    <w:rsid w:val="0040342D"/>
    <w:rsid w:val="00406B0D"/>
    <w:rsid w:val="0041192D"/>
    <w:rsid w:val="00413EE1"/>
    <w:rsid w:val="0042128E"/>
    <w:rsid w:val="00432B60"/>
    <w:rsid w:val="00432F90"/>
    <w:rsid w:val="00440698"/>
    <w:rsid w:val="00447C02"/>
    <w:rsid w:val="004540E2"/>
    <w:rsid w:val="00454454"/>
    <w:rsid w:val="00467924"/>
    <w:rsid w:val="004712A5"/>
    <w:rsid w:val="0047266F"/>
    <w:rsid w:val="004736ED"/>
    <w:rsid w:val="00476D6B"/>
    <w:rsid w:val="00492363"/>
    <w:rsid w:val="0049263D"/>
    <w:rsid w:val="00492C16"/>
    <w:rsid w:val="00494D68"/>
    <w:rsid w:val="004965E8"/>
    <w:rsid w:val="004A0678"/>
    <w:rsid w:val="004A48A3"/>
    <w:rsid w:val="004B0D92"/>
    <w:rsid w:val="004B0EC0"/>
    <w:rsid w:val="004B3381"/>
    <w:rsid w:val="004B66F1"/>
    <w:rsid w:val="004C3EA0"/>
    <w:rsid w:val="004D075E"/>
    <w:rsid w:val="004D3A92"/>
    <w:rsid w:val="004E3AA0"/>
    <w:rsid w:val="004F1AD9"/>
    <w:rsid w:val="004F6977"/>
    <w:rsid w:val="004F7169"/>
    <w:rsid w:val="00500D66"/>
    <w:rsid w:val="00512558"/>
    <w:rsid w:val="00514C8E"/>
    <w:rsid w:val="005254D4"/>
    <w:rsid w:val="00531DBF"/>
    <w:rsid w:val="00536C7D"/>
    <w:rsid w:val="00545759"/>
    <w:rsid w:val="00545BE0"/>
    <w:rsid w:val="00546930"/>
    <w:rsid w:val="00554C6A"/>
    <w:rsid w:val="00562E85"/>
    <w:rsid w:val="0056332F"/>
    <w:rsid w:val="005719B3"/>
    <w:rsid w:val="0057295E"/>
    <w:rsid w:val="00581C39"/>
    <w:rsid w:val="005903B6"/>
    <w:rsid w:val="005A0247"/>
    <w:rsid w:val="005A126E"/>
    <w:rsid w:val="005A452F"/>
    <w:rsid w:val="005B0ED9"/>
    <w:rsid w:val="005B140D"/>
    <w:rsid w:val="005B16AD"/>
    <w:rsid w:val="005B4BCD"/>
    <w:rsid w:val="005C1FEA"/>
    <w:rsid w:val="005C3495"/>
    <w:rsid w:val="005E3DFC"/>
    <w:rsid w:val="005E5942"/>
    <w:rsid w:val="005E60AF"/>
    <w:rsid w:val="005F1DEA"/>
    <w:rsid w:val="00601060"/>
    <w:rsid w:val="00607FC9"/>
    <w:rsid w:val="00622FE1"/>
    <w:rsid w:val="0062521C"/>
    <w:rsid w:val="00630A2B"/>
    <w:rsid w:val="00632DC7"/>
    <w:rsid w:val="006357FB"/>
    <w:rsid w:val="006406FC"/>
    <w:rsid w:val="00640E57"/>
    <w:rsid w:val="00642383"/>
    <w:rsid w:val="00642921"/>
    <w:rsid w:val="00646122"/>
    <w:rsid w:val="00652A12"/>
    <w:rsid w:val="00653E16"/>
    <w:rsid w:val="00657220"/>
    <w:rsid w:val="00657362"/>
    <w:rsid w:val="0066104B"/>
    <w:rsid w:val="006655EE"/>
    <w:rsid w:val="00667C10"/>
    <w:rsid w:val="00667EF4"/>
    <w:rsid w:val="00676FCA"/>
    <w:rsid w:val="00677177"/>
    <w:rsid w:val="0068612E"/>
    <w:rsid w:val="00687C92"/>
    <w:rsid w:val="0069534E"/>
    <w:rsid w:val="0069669C"/>
    <w:rsid w:val="006A1200"/>
    <w:rsid w:val="006A453D"/>
    <w:rsid w:val="006A4F4E"/>
    <w:rsid w:val="006A6C23"/>
    <w:rsid w:val="006B14DB"/>
    <w:rsid w:val="006B21C4"/>
    <w:rsid w:val="006C4A1A"/>
    <w:rsid w:val="006D0393"/>
    <w:rsid w:val="006D1A83"/>
    <w:rsid w:val="006E1CFE"/>
    <w:rsid w:val="006F10C4"/>
    <w:rsid w:val="006F40E9"/>
    <w:rsid w:val="006F5603"/>
    <w:rsid w:val="00701400"/>
    <w:rsid w:val="007037CF"/>
    <w:rsid w:val="007066E3"/>
    <w:rsid w:val="007167C0"/>
    <w:rsid w:val="00720481"/>
    <w:rsid w:val="00723749"/>
    <w:rsid w:val="00733193"/>
    <w:rsid w:val="00744DDA"/>
    <w:rsid w:val="00745E03"/>
    <w:rsid w:val="0075732A"/>
    <w:rsid w:val="007600F8"/>
    <w:rsid w:val="00760262"/>
    <w:rsid w:val="0076310C"/>
    <w:rsid w:val="0076593D"/>
    <w:rsid w:val="0076744F"/>
    <w:rsid w:val="00767BCE"/>
    <w:rsid w:val="00767EFC"/>
    <w:rsid w:val="007707DE"/>
    <w:rsid w:val="00770B5D"/>
    <w:rsid w:val="00774405"/>
    <w:rsid w:val="007752F1"/>
    <w:rsid w:val="00776768"/>
    <w:rsid w:val="0078187A"/>
    <w:rsid w:val="00790E98"/>
    <w:rsid w:val="007952AC"/>
    <w:rsid w:val="007A2573"/>
    <w:rsid w:val="007A4E7D"/>
    <w:rsid w:val="007B106C"/>
    <w:rsid w:val="007B1A4E"/>
    <w:rsid w:val="007B3068"/>
    <w:rsid w:val="007B3D05"/>
    <w:rsid w:val="007B4F81"/>
    <w:rsid w:val="007B5503"/>
    <w:rsid w:val="007C179C"/>
    <w:rsid w:val="007C3B3F"/>
    <w:rsid w:val="007C6BB3"/>
    <w:rsid w:val="007D14B4"/>
    <w:rsid w:val="007D33FF"/>
    <w:rsid w:val="007D3AD7"/>
    <w:rsid w:val="007E24F6"/>
    <w:rsid w:val="007F5D8A"/>
    <w:rsid w:val="00800F64"/>
    <w:rsid w:val="00801050"/>
    <w:rsid w:val="00802F0B"/>
    <w:rsid w:val="00810A67"/>
    <w:rsid w:val="008213D0"/>
    <w:rsid w:val="00833CF7"/>
    <w:rsid w:val="00834CDE"/>
    <w:rsid w:val="00842464"/>
    <w:rsid w:val="00845601"/>
    <w:rsid w:val="00850BB0"/>
    <w:rsid w:val="00855C5C"/>
    <w:rsid w:val="0087578A"/>
    <w:rsid w:val="008759CC"/>
    <w:rsid w:val="008A3C96"/>
    <w:rsid w:val="008B4019"/>
    <w:rsid w:val="008B65C9"/>
    <w:rsid w:val="008C2D4A"/>
    <w:rsid w:val="008D3900"/>
    <w:rsid w:val="008D6E1D"/>
    <w:rsid w:val="008F0D14"/>
    <w:rsid w:val="008F39B4"/>
    <w:rsid w:val="008F4162"/>
    <w:rsid w:val="00903E02"/>
    <w:rsid w:val="00913175"/>
    <w:rsid w:val="00916EDB"/>
    <w:rsid w:val="00920861"/>
    <w:rsid w:val="00922B13"/>
    <w:rsid w:val="009242EF"/>
    <w:rsid w:val="00932291"/>
    <w:rsid w:val="00932861"/>
    <w:rsid w:val="0093408E"/>
    <w:rsid w:val="00936EC1"/>
    <w:rsid w:val="00952DDF"/>
    <w:rsid w:val="00963B6A"/>
    <w:rsid w:val="00970950"/>
    <w:rsid w:val="009812D4"/>
    <w:rsid w:val="00982FD6"/>
    <w:rsid w:val="009920D8"/>
    <w:rsid w:val="009B0EEE"/>
    <w:rsid w:val="009B38BE"/>
    <w:rsid w:val="009C3D0F"/>
    <w:rsid w:val="009D6D30"/>
    <w:rsid w:val="009D7724"/>
    <w:rsid w:val="009E1B19"/>
    <w:rsid w:val="009E6239"/>
    <w:rsid w:val="009F35E2"/>
    <w:rsid w:val="009F65F9"/>
    <w:rsid w:val="009F68BA"/>
    <w:rsid w:val="00A06277"/>
    <w:rsid w:val="00A079DC"/>
    <w:rsid w:val="00A111C2"/>
    <w:rsid w:val="00A338E7"/>
    <w:rsid w:val="00A35CAA"/>
    <w:rsid w:val="00A36E7F"/>
    <w:rsid w:val="00A41E65"/>
    <w:rsid w:val="00A43E0A"/>
    <w:rsid w:val="00A530C7"/>
    <w:rsid w:val="00A55F5B"/>
    <w:rsid w:val="00A60185"/>
    <w:rsid w:val="00A661EA"/>
    <w:rsid w:val="00A81F3F"/>
    <w:rsid w:val="00A830E5"/>
    <w:rsid w:val="00A87135"/>
    <w:rsid w:val="00A93280"/>
    <w:rsid w:val="00A934FD"/>
    <w:rsid w:val="00A951EA"/>
    <w:rsid w:val="00AA2548"/>
    <w:rsid w:val="00AA58C4"/>
    <w:rsid w:val="00AB11C8"/>
    <w:rsid w:val="00AB3873"/>
    <w:rsid w:val="00AC08A8"/>
    <w:rsid w:val="00AD56C8"/>
    <w:rsid w:val="00AD58F2"/>
    <w:rsid w:val="00AF32B4"/>
    <w:rsid w:val="00B0512A"/>
    <w:rsid w:val="00B0529F"/>
    <w:rsid w:val="00B0639A"/>
    <w:rsid w:val="00B12424"/>
    <w:rsid w:val="00B1418B"/>
    <w:rsid w:val="00B21195"/>
    <w:rsid w:val="00B24B22"/>
    <w:rsid w:val="00B25310"/>
    <w:rsid w:val="00B32F8F"/>
    <w:rsid w:val="00B35BF9"/>
    <w:rsid w:val="00B54DE9"/>
    <w:rsid w:val="00B553EC"/>
    <w:rsid w:val="00B55E3F"/>
    <w:rsid w:val="00B633E6"/>
    <w:rsid w:val="00B7074F"/>
    <w:rsid w:val="00B93DD0"/>
    <w:rsid w:val="00B97732"/>
    <w:rsid w:val="00B97BAD"/>
    <w:rsid w:val="00BA46C0"/>
    <w:rsid w:val="00BA5316"/>
    <w:rsid w:val="00BA65A8"/>
    <w:rsid w:val="00BA6D19"/>
    <w:rsid w:val="00BA7461"/>
    <w:rsid w:val="00BA7DA9"/>
    <w:rsid w:val="00BC4215"/>
    <w:rsid w:val="00BD1A6F"/>
    <w:rsid w:val="00BD75D9"/>
    <w:rsid w:val="00BE6D3C"/>
    <w:rsid w:val="00BE7852"/>
    <w:rsid w:val="00BF7CEE"/>
    <w:rsid w:val="00C03880"/>
    <w:rsid w:val="00C135CF"/>
    <w:rsid w:val="00C2683F"/>
    <w:rsid w:val="00C30B40"/>
    <w:rsid w:val="00C3184D"/>
    <w:rsid w:val="00C4714E"/>
    <w:rsid w:val="00C51CCA"/>
    <w:rsid w:val="00C5504F"/>
    <w:rsid w:val="00C55C57"/>
    <w:rsid w:val="00C57B55"/>
    <w:rsid w:val="00C63376"/>
    <w:rsid w:val="00C656C9"/>
    <w:rsid w:val="00C704F0"/>
    <w:rsid w:val="00C70D34"/>
    <w:rsid w:val="00C74F97"/>
    <w:rsid w:val="00C8276E"/>
    <w:rsid w:val="00C842AC"/>
    <w:rsid w:val="00C96688"/>
    <w:rsid w:val="00CA0723"/>
    <w:rsid w:val="00CB1690"/>
    <w:rsid w:val="00CB741B"/>
    <w:rsid w:val="00CC4365"/>
    <w:rsid w:val="00CD11B0"/>
    <w:rsid w:val="00CD2A9E"/>
    <w:rsid w:val="00CD4A5B"/>
    <w:rsid w:val="00CD4A5E"/>
    <w:rsid w:val="00CE71C2"/>
    <w:rsid w:val="00CF42D5"/>
    <w:rsid w:val="00CF4EDA"/>
    <w:rsid w:val="00CF6087"/>
    <w:rsid w:val="00D021CB"/>
    <w:rsid w:val="00D10F1A"/>
    <w:rsid w:val="00D116F8"/>
    <w:rsid w:val="00D17596"/>
    <w:rsid w:val="00D22640"/>
    <w:rsid w:val="00D26D3A"/>
    <w:rsid w:val="00D41615"/>
    <w:rsid w:val="00D45EE3"/>
    <w:rsid w:val="00D50618"/>
    <w:rsid w:val="00D509E9"/>
    <w:rsid w:val="00D53B1C"/>
    <w:rsid w:val="00D542ED"/>
    <w:rsid w:val="00D56B2E"/>
    <w:rsid w:val="00D6098A"/>
    <w:rsid w:val="00D92C2E"/>
    <w:rsid w:val="00DA1B12"/>
    <w:rsid w:val="00DA54C9"/>
    <w:rsid w:val="00DA6739"/>
    <w:rsid w:val="00DA6CAE"/>
    <w:rsid w:val="00DB1A9E"/>
    <w:rsid w:val="00DB31D6"/>
    <w:rsid w:val="00DB4005"/>
    <w:rsid w:val="00DC34EB"/>
    <w:rsid w:val="00DC70C4"/>
    <w:rsid w:val="00DC7C5E"/>
    <w:rsid w:val="00DD4C7E"/>
    <w:rsid w:val="00DE0ABA"/>
    <w:rsid w:val="00DF1E5B"/>
    <w:rsid w:val="00DF2275"/>
    <w:rsid w:val="00DF3F5E"/>
    <w:rsid w:val="00DF5653"/>
    <w:rsid w:val="00E0596E"/>
    <w:rsid w:val="00E06F66"/>
    <w:rsid w:val="00E356E5"/>
    <w:rsid w:val="00E36F81"/>
    <w:rsid w:val="00E45765"/>
    <w:rsid w:val="00E5098C"/>
    <w:rsid w:val="00E60213"/>
    <w:rsid w:val="00E661B2"/>
    <w:rsid w:val="00E7001B"/>
    <w:rsid w:val="00E702C6"/>
    <w:rsid w:val="00E70794"/>
    <w:rsid w:val="00E74D29"/>
    <w:rsid w:val="00E83C74"/>
    <w:rsid w:val="00E83CEE"/>
    <w:rsid w:val="00E877BF"/>
    <w:rsid w:val="00E91F18"/>
    <w:rsid w:val="00E9226D"/>
    <w:rsid w:val="00E970BB"/>
    <w:rsid w:val="00EA416C"/>
    <w:rsid w:val="00EA460A"/>
    <w:rsid w:val="00EA5941"/>
    <w:rsid w:val="00EA6517"/>
    <w:rsid w:val="00EB60CE"/>
    <w:rsid w:val="00EB7D53"/>
    <w:rsid w:val="00ED4FFD"/>
    <w:rsid w:val="00EE3146"/>
    <w:rsid w:val="00EF50BB"/>
    <w:rsid w:val="00EF53FF"/>
    <w:rsid w:val="00F00192"/>
    <w:rsid w:val="00F01DF6"/>
    <w:rsid w:val="00F0340D"/>
    <w:rsid w:val="00F059A6"/>
    <w:rsid w:val="00F1600D"/>
    <w:rsid w:val="00F23756"/>
    <w:rsid w:val="00F24DDC"/>
    <w:rsid w:val="00F2523A"/>
    <w:rsid w:val="00F25FFA"/>
    <w:rsid w:val="00F310D2"/>
    <w:rsid w:val="00F36F3D"/>
    <w:rsid w:val="00F41425"/>
    <w:rsid w:val="00F415A2"/>
    <w:rsid w:val="00F477BD"/>
    <w:rsid w:val="00F53491"/>
    <w:rsid w:val="00F62794"/>
    <w:rsid w:val="00F639B6"/>
    <w:rsid w:val="00F65A1C"/>
    <w:rsid w:val="00F66F50"/>
    <w:rsid w:val="00F73382"/>
    <w:rsid w:val="00F82FF8"/>
    <w:rsid w:val="00F8330D"/>
    <w:rsid w:val="00F84305"/>
    <w:rsid w:val="00F8485C"/>
    <w:rsid w:val="00F87149"/>
    <w:rsid w:val="00F87FFE"/>
    <w:rsid w:val="00F954C9"/>
    <w:rsid w:val="00FA4CF0"/>
    <w:rsid w:val="00FA5467"/>
    <w:rsid w:val="00FA61AA"/>
    <w:rsid w:val="00FA69A4"/>
    <w:rsid w:val="00FB1279"/>
    <w:rsid w:val="00FB1495"/>
    <w:rsid w:val="00FD1694"/>
    <w:rsid w:val="00FD7636"/>
    <w:rsid w:val="00FE3229"/>
    <w:rsid w:val="00FE74C3"/>
    <w:rsid w:val="00FF215C"/>
    <w:rsid w:val="00FF49E8"/>
    <w:rsid w:val="00FF672F"/>
    <w:rsid w:val="00FF7E7E"/>
  </w:rsids>
  <m:mathPr>
    <m:mathFont m:val="Cambria Math"/>
    <m:brkBin m:val="before"/>
    <m:brkBinSub m:val="--"/>
    <m:smallFrac m:val="off"/>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semiHidden="0" w:unhideWhenUsed="0"/>
    <w:lsdException w:name="List Bullet" w:qFormat="1"/>
    <w:lsdException w:name="List Number" w:semiHidden="0" w:unhideWhenUsed="0" w:qFormat="1"/>
    <w:lsdException w:name="List Number 2" w:semiHidden="0" w:unhideWhenUsed="0"/>
    <w:lsdException w:name="List Number 3" w:semiHidden="0" w:unhideWhenUsed="0"/>
    <w:lsdException w:name="List Number 4" w:semiHidden="0" w:unhideWhenUsed="0"/>
    <w:lsdException w:name="List Number 5" w:semiHidden="0" w:unhideWhenUsed="0"/>
    <w:lsdException w:name="Title" w:uiPriority="10" w:qFormat="1"/>
    <w:lsdException w:name="Default Paragraph Font" w:uiPriority="1"/>
    <w:lsdException w:name="List Continue" w:semiHidden="0" w:unhideWhenUsed="0"/>
    <w:lsdException w:name="Subtitle" w:uiPriority="11"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253FD6"/>
    <w:pPr>
      <w:spacing w:after="200" w:line="276" w:lineRule="auto"/>
    </w:pPr>
    <w:rPr>
      <w:rFonts w:ascii="Calibri" w:eastAsia="Times New Roman" w:hAnsi="Calibri"/>
      <w:sz w:val="22"/>
      <w:szCs w:val="22"/>
      <w:lang w:eastAsia="en-US"/>
    </w:rPr>
  </w:style>
  <w:style w:type="paragraph" w:styleId="Heading1">
    <w:name w:val="heading 1"/>
    <w:basedOn w:val="Normal"/>
    <w:next w:val="Normal"/>
    <w:link w:val="Heading1Char"/>
    <w:qFormat/>
    <w:rsid w:val="00C51CCA"/>
    <w:pPr>
      <w:keepNext/>
      <w:outlineLvl w:val="0"/>
    </w:pPr>
    <w:rPr>
      <w:rFonts w:ascii="Arial" w:eastAsia="Calibri" w:hAnsi="Arial" w:cs="Arial"/>
      <w:b/>
      <w:caps/>
    </w:rPr>
  </w:style>
  <w:style w:type="paragraph" w:styleId="Heading2">
    <w:name w:val="heading 2"/>
    <w:basedOn w:val="Normal"/>
    <w:next w:val="Normal"/>
    <w:link w:val="Heading2Char"/>
    <w:uiPriority w:val="9"/>
    <w:qFormat/>
    <w:rsid w:val="000E31C1"/>
    <w:pPr>
      <w:keepNext/>
      <w:outlineLvl w:val="1"/>
    </w:pPr>
    <w:rPr>
      <w:rFonts w:ascii="Arial" w:eastAsia="Calibri" w:hAnsi="Arial" w:cs="Arial"/>
      <w:b/>
    </w:rPr>
  </w:style>
  <w:style w:type="paragraph" w:styleId="Heading3">
    <w:name w:val="heading 3"/>
    <w:basedOn w:val="Normal"/>
    <w:next w:val="Normal"/>
    <w:link w:val="Heading3Char"/>
    <w:qFormat/>
    <w:rsid w:val="000E31C1"/>
    <w:pPr>
      <w:keepNext/>
      <w:outlineLvl w:val="2"/>
    </w:pPr>
    <w:rPr>
      <w:rFonts w:ascii="Arial" w:eastAsia="Calibri" w:hAnsi="Arial" w:cs="Arial"/>
      <w:b/>
      <w:i/>
    </w:rPr>
  </w:style>
  <w:style w:type="paragraph" w:styleId="Heading4">
    <w:name w:val="heading 4"/>
    <w:basedOn w:val="Normal"/>
    <w:next w:val="Normal"/>
    <w:link w:val="Heading4Char"/>
    <w:uiPriority w:val="9"/>
    <w:qFormat/>
    <w:rsid w:val="000E31C1"/>
    <w:pPr>
      <w:keepNext/>
      <w:outlineLvl w:val="3"/>
    </w:pPr>
    <w:rPr>
      <w:rFonts w:ascii="Arial" w:eastAsia="Calibri" w:hAnsi="Arial"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0185"/>
    <w:pPr>
      <w:tabs>
        <w:tab w:val="center" w:pos="4513"/>
        <w:tab w:val="right" w:pos="9026"/>
      </w:tabs>
      <w:spacing w:after="0" w:line="240" w:lineRule="auto"/>
    </w:pPr>
    <w:rPr>
      <w:rFonts w:ascii="Arial" w:eastAsia="Calibri" w:hAnsi="Arial"/>
    </w:rPr>
  </w:style>
  <w:style w:type="character" w:customStyle="1" w:styleId="HeaderChar">
    <w:name w:val="Header Char"/>
    <w:basedOn w:val="DefaultParagraphFont"/>
    <w:link w:val="Header"/>
    <w:uiPriority w:val="99"/>
    <w:rsid w:val="00A60185"/>
  </w:style>
  <w:style w:type="paragraph" w:styleId="Footer">
    <w:name w:val="footer"/>
    <w:basedOn w:val="Normal"/>
    <w:link w:val="FooterChar"/>
    <w:uiPriority w:val="99"/>
    <w:unhideWhenUsed/>
    <w:rsid w:val="00A60185"/>
    <w:pPr>
      <w:tabs>
        <w:tab w:val="center" w:pos="4513"/>
        <w:tab w:val="right" w:pos="9026"/>
      </w:tabs>
      <w:spacing w:after="0" w:line="240" w:lineRule="auto"/>
    </w:pPr>
    <w:rPr>
      <w:rFonts w:ascii="Arial" w:eastAsia="Calibri" w:hAnsi="Arial"/>
    </w:rPr>
  </w:style>
  <w:style w:type="character" w:customStyle="1" w:styleId="FooterChar">
    <w:name w:val="Footer Char"/>
    <w:basedOn w:val="DefaultParagraphFont"/>
    <w:link w:val="Footer"/>
    <w:uiPriority w:val="99"/>
    <w:rsid w:val="00A60185"/>
  </w:style>
  <w:style w:type="paragraph" w:styleId="BalloonText">
    <w:name w:val="Balloon Text"/>
    <w:basedOn w:val="Normal"/>
    <w:link w:val="BalloonTextChar"/>
    <w:uiPriority w:val="99"/>
    <w:semiHidden/>
    <w:unhideWhenUsed/>
    <w:rsid w:val="00A60185"/>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A60185"/>
    <w:rPr>
      <w:rFonts w:ascii="Tahoma" w:hAnsi="Tahoma" w:cs="Tahoma"/>
      <w:sz w:val="16"/>
      <w:szCs w:val="16"/>
    </w:rPr>
  </w:style>
  <w:style w:type="numbering" w:customStyle="1" w:styleId="KeyPoints">
    <w:name w:val="Key Points"/>
    <w:basedOn w:val="NoList"/>
    <w:uiPriority w:val="99"/>
    <w:rsid w:val="00005CAA"/>
    <w:pPr>
      <w:numPr>
        <w:numId w:val="1"/>
      </w:numPr>
    </w:pPr>
  </w:style>
  <w:style w:type="paragraph" w:customStyle="1" w:styleId="1NumberedPointsStyle">
    <w:name w:val="1. Numbered Points Style"/>
    <w:basedOn w:val="ListParagraph"/>
    <w:rsid w:val="00BD1A6F"/>
    <w:pPr>
      <w:numPr>
        <w:numId w:val="0"/>
      </w:numPr>
    </w:pPr>
  </w:style>
  <w:style w:type="numbering" w:customStyle="1" w:styleId="BulletList">
    <w:name w:val="Bullet List"/>
    <w:uiPriority w:val="99"/>
    <w:rsid w:val="00091608"/>
    <w:pPr>
      <w:numPr>
        <w:numId w:val="2"/>
      </w:numPr>
    </w:pPr>
  </w:style>
  <w:style w:type="paragraph" w:customStyle="1" w:styleId="1BulletStyleList">
    <w:name w:val="1. Bullet Style List"/>
    <w:basedOn w:val="Normal"/>
    <w:rsid w:val="00CE71C2"/>
    <w:pPr>
      <w:spacing w:line="240" w:lineRule="auto"/>
    </w:pPr>
    <w:rPr>
      <w:szCs w:val="20"/>
      <w:lang w:eastAsia="en-AU"/>
    </w:rPr>
  </w:style>
  <w:style w:type="character" w:customStyle="1" w:styleId="Heading1Char">
    <w:name w:val="Heading 1 Char"/>
    <w:basedOn w:val="DefaultParagraphFont"/>
    <w:link w:val="Heading1"/>
    <w:rsid w:val="00C51CCA"/>
    <w:rPr>
      <w:rFonts w:cs="Arial"/>
      <w:b/>
      <w:caps/>
      <w:sz w:val="22"/>
      <w:szCs w:val="22"/>
      <w:lang w:eastAsia="en-US"/>
    </w:rPr>
  </w:style>
  <w:style w:type="character" w:customStyle="1" w:styleId="Heading2Char">
    <w:name w:val="Heading 2 Char"/>
    <w:basedOn w:val="DefaultParagraphFont"/>
    <w:link w:val="Heading2"/>
    <w:uiPriority w:val="9"/>
    <w:rsid w:val="000E31C1"/>
    <w:rPr>
      <w:rFonts w:cs="Arial"/>
      <w:b/>
      <w:sz w:val="22"/>
      <w:szCs w:val="22"/>
      <w:lang w:eastAsia="en-US"/>
    </w:rPr>
  </w:style>
  <w:style w:type="character" w:customStyle="1" w:styleId="Heading3Char">
    <w:name w:val="Heading 3 Char"/>
    <w:basedOn w:val="DefaultParagraphFont"/>
    <w:link w:val="Heading3"/>
    <w:rsid w:val="000E31C1"/>
    <w:rPr>
      <w:rFonts w:cs="Arial"/>
      <w:b/>
      <w:i/>
      <w:sz w:val="22"/>
      <w:szCs w:val="22"/>
      <w:lang w:eastAsia="en-US"/>
    </w:rPr>
  </w:style>
  <w:style w:type="character" w:customStyle="1" w:styleId="Heading4Char">
    <w:name w:val="Heading 4 Char"/>
    <w:basedOn w:val="DefaultParagraphFont"/>
    <w:link w:val="Heading4"/>
    <w:uiPriority w:val="9"/>
    <w:rsid w:val="000E31C1"/>
    <w:rPr>
      <w:rFonts w:cs="Arial"/>
      <w:i/>
      <w:sz w:val="22"/>
      <w:szCs w:val="22"/>
      <w:lang w:eastAsia="en-US"/>
    </w:rPr>
  </w:style>
  <w:style w:type="paragraph" w:styleId="ListBullet">
    <w:name w:val="List Bullet"/>
    <w:basedOn w:val="Normal"/>
    <w:uiPriority w:val="99"/>
    <w:unhideWhenUsed/>
    <w:qFormat/>
    <w:rsid w:val="00091608"/>
    <w:pPr>
      <w:numPr>
        <w:numId w:val="6"/>
      </w:numPr>
    </w:pPr>
    <w:rPr>
      <w:rFonts w:ascii="Arial" w:eastAsia="Calibri" w:hAnsi="Arial"/>
    </w:rPr>
  </w:style>
  <w:style w:type="paragraph" w:styleId="ListBullet2">
    <w:name w:val="List Bullet 2"/>
    <w:basedOn w:val="Normal"/>
    <w:uiPriority w:val="99"/>
    <w:unhideWhenUsed/>
    <w:rsid w:val="00091608"/>
    <w:pPr>
      <w:numPr>
        <w:ilvl w:val="1"/>
        <w:numId w:val="6"/>
      </w:numPr>
    </w:pPr>
    <w:rPr>
      <w:rFonts w:ascii="Arial" w:eastAsia="Calibri" w:hAnsi="Arial"/>
    </w:rPr>
  </w:style>
  <w:style w:type="paragraph" w:styleId="ListBullet3">
    <w:name w:val="List Bullet 3"/>
    <w:basedOn w:val="Normal"/>
    <w:uiPriority w:val="99"/>
    <w:unhideWhenUsed/>
    <w:rsid w:val="00091608"/>
    <w:pPr>
      <w:numPr>
        <w:ilvl w:val="2"/>
        <w:numId w:val="6"/>
      </w:numPr>
    </w:pPr>
    <w:rPr>
      <w:rFonts w:ascii="Arial" w:eastAsia="Calibri" w:hAnsi="Arial"/>
    </w:rPr>
  </w:style>
  <w:style w:type="paragraph" w:styleId="ListBullet4">
    <w:name w:val="List Bullet 4"/>
    <w:basedOn w:val="Normal"/>
    <w:uiPriority w:val="99"/>
    <w:unhideWhenUsed/>
    <w:rsid w:val="00091608"/>
    <w:pPr>
      <w:numPr>
        <w:ilvl w:val="3"/>
        <w:numId w:val="6"/>
      </w:numPr>
    </w:pPr>
    <w:rPr>
      <w:rFonts w:ascii="Arial" w:eastAsia="Calibri" w:hAnsi="Arial"/>
    </w:rPr>
  </w:style>
  <w:style w:type="paragraph" w:styleId="ListBullet5">
    <w:name w:val="List Bullet 5"/>
    <w:basedOn w:val="Normal"/>
    <w:uiPriority w:val="99"/>
    <w:unhideWhenUsed/>
    <w:rsid w:val="00091608"/>
    <w:pPr>
      <w:numPr>
        <w:ilvl w:val="4"/>
        <w:numId w:val="6"/>
      </w:numPr>
    </w:pPr>
    <w:rPr>
      <w:rFonts w:ascii="Arial" w:eastAsia="Calibri" w:hAnsi="Arial"/>
    </w:rPr>
  </w:style>
  <w:style w:type="numbering" w:customStyle="1" w:styleId="Attach">
    <w:name w:val="Attach"/>
    <w:basedOn w:val="NoList"/>
    <w:uiPriority w:val="99"/>
    <w:rsid w:val="00607FC9"/>
    <w:pPr>
      <w:numPr>
        <w:numId w:val="3"/>
      </w:numPr>
    </w:pPr>
  </w:style>
  <w:style w:type="paragraph" w:customStyle="1" w:styleId="Classification">
    <w:name w:val="Classification"/>
    <w:basedOn w:val="Normal"/>
    <w:uiPriority w:val="10"/>
    <w:qFormat/>
    <w:rsid w:val="00646122"/>
    <w:pPr>
      <w:tabs>
        <w:tab w:val="center" w:pos="4536"/>
        <w:tab w:val="center" w:pos="4819"/>
        <w:tab w:val="right" w:pos="9356"/>
      </w:tabs>
      <w:spacing w:after="240"/>
      <w:jc w:val="center"/>
    </w:pPr>
    <w:rPr>
      <w:rFonts w:ascii="Arial" w:hAnsi="Arial" w:cs="Arial"/>
      <w:color w:val="FF0000"/>
      <w:sz w:val="28"/>
      <w:szCs w:val="28"/>
      <w:lang w:eastAsia="en-AU"/>
    </w:rPr>
  </w:style>
  <w:style w:type="paragraph" w:styleId="ListParagraph">
    <w:name w:val="List Paragraph"/>
    <w:basedOn w:val="Normal"/>
    <w:uiPriority w:val="34"/>
    <w:rsid w:val="003556BD"/>
    <w:pPr>
      <w:numPr>
        <w:numId w:val="4"/>
      </w:numPr>
    </w:pPr>
    <w:rPr>
      <w:rFonts w:ascii="Arial" w:eastAsia="Calibri" w:hAnsi="Arial"/>
    </w:rPr>
  </w:style>
  <w:style w:type="character" w:styleId="BookTitle">
    <w:name w:val="Book Title"/>
    <w:basedOn w:val="DefaultParagraphFont"/>
    <w:uiPriority w:val="33"/>
    <w:rsid w:val="00383020"/>
    <w:rPr>
      <w:bCs/>
      <w:i/>
      <w:smallCaps/>
      <w:spacing w:val="5"/>
    </w:rPr>
  </w:style>
  <w:style w:type="paragraph" w:styleId="ListNumber">
    <w:name w:val="List Number"/>
    <w:basedOn w:val="Normal"/>
    <w:uiPriority w:val="99"/>
    <w:qFormat/>
    <w:rsid w:val="00005CAA"/>
    <w:pPr>
      <w:numPr>
        <w:numId w:val="5"/>
      </w:numPr>
    </w:pPr>
    <w:rPr>
      <w:rFonts w:ascii="Arial" w:eastAsia="Calibri" w:hAnsi="Arial"/>
    </w:rPr>
  </w:style>
  <w:style w:type="paragraph" w:styleId="ListNumber2">
    <w:name w:val="List Number 2"/>
    <w:basedOn w:val="Normal"/>
    <w:uiPriority w:val="99"/>
    <w:rsid w:val="00005CAA"/>
    <w:pPr>
      <w:numPr>
        <w:ilvl w:val="1"/>
        <w:numId w:val="5"/>
      </w:numPr>
    </w:pPr>
    <w:rPr>
      <w:rFonts w:ascii="Arial" w:eastAsia="Calibri" w:hAnsi="Arial"/>
    </w:rPr>
  </w:style>
  <w:style w:type="paragraph" w:styleId="ListNumber3">
    <w:name w:val="List Number 3"/>
    <w:basedOn w:val="Normal"/>
    <w:uiPriority w:val="99"/>
    <w:rsid w:val="00005CAA"/>
    <w:pPr>
      <w:numPr>
        <w:ilvl w:val="2"/>
        <w:numId w:val="5"/>
      </w:numPr>
    </w:pPr>
    <w:rPr>
      <w:rFonts w:ascii="Arial" w:eastAsia="Calibri" w:hAnsi="Arial"/>
    </w:rPr>
  </w:style>
  <w:style w:type="paragraph" w:styleId="ListNumber4">
    <w:name w:val="List Number 4"/>
    <w:basedOn w:val="Normal"/>
    <w:uiPriority w:val="99"/>
    <w:rsid w:val="00005CAA"/>
    <w:pPr>
      <w:numPr>
        <w:ilvl w:val="3"/>
        <w:numId w:val="5"/>
      </w:numPr>
    </w:pPr>
    <w:rPr>
      <w:rFonts w:ascii="Arial" w:eastAsia="Calibri" w:hAnsi="Arial"/>
    </w:rPr>
  </w:style>
  <w:style w:type="paragraph" w:styleId="ListNumber5">
    <w:name w:val="List Number 5"/>
    <w:basedOn w:val="Normal"/>
    <w:uiPriority w:val="99"/>
    <w:rsid w:val="00005CAA"/>
    <w:pPr>
      <w:numPr>
        <w:ilvl w:val="4"/>
        <w:numId w:val="5"/>
      </w:numPr>
    </w:pPr>
    <w:rPr>
      <w:rFonts w:ascii="Arial" w:eastAsia="Calibri" w:hAnsi="Arial"/>
    </w:rPr>
  </w:style>
  <w:style w:type="paragraph" w:customStyle="1" w:styleId="Footerclassification">
    <w:name w:val="Footer classification"/>
    <w:basedOn w:val="Classification"/>
    <w:rsid w:val="00D021CB"/>
    <w:pPr>
      <w:spacing w:before="240" w:after="0"/>
    </w:pPr>
  </w:style>
  <w:style w:type="table" w:styleId="TableGrid">
    <w:name w:val="Table Grid"/>
    <w:basedOn w:val="TableNormal"/>
    <w:uiPriority w:val="59"/>
    <w:rsid w:val="00100BEF"/>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beforeLines="0" w:beforeAutospacing="0" w:afterLines="0" w:afterAutospacing="0"/>
      </w:pPr>
      <w:rPr>
        <w:rFonts w:ascii="Arial" w:hAnsi="Arial"/>
        <w:sz w:val="20"/>
      </w:rPr>
    </w:tblStylePr>
    <w:tblStylePr w:type="lastRow">
      <w:pPr>
        <w:wordWrap/>
        <w:spacing w:beforeLines="0" w:beforeAutospacing="0" w:afterLines="0" w:afterAutospacing="0"/>
      </w:pPr>
      <w:rPr>
        <w:rFonts w:ascii="Arial" w:hAnsi="Arial"/>
        <w:sz w:val="20"/>
      </w:rPr>
    </w:tblStylePr>
    <w:tblStylePr w:type="band1Horz">
      <w:pPr>
        <w:wordWrap/>
        <w:spacing w:beforeLines="0" w:beforeAutospacing="0" w:afterLines="0" w:afterAutospacing="0" w:line="240" w:lineRule="auto"/>
        <w:contextualSpacing w:val="0"/>
        <w:mirrorIndents w:val="0"/>
      </w:pPr>
      <w:rPr>
        <w:rFonts w:ascii="Arial" w:hAnsi="Arial"/>
        <w:sz w:val="20"/>
      </w:rPr>
    </w:tblStylePr>
    <w:tblStylePr w:type="band2Horz">
      <w:pPr>
        <w:wordWrap/>
        <w:spacing w:beforeLines="0" w:beforeAutospacing="0" w:afterLines="0" w:afterAutospacing="0"/>
        <w:contextualSpacing w:val="0"/>
        <w:mirrorIndents w:val="0"/>
      </w:pPr>
      <w:rPr>
        <w:rFonts w:ascii="Arial" w:hAnsi="Arial"/>
        <w:sz w:val="20"/>
      </w:rPr>
    </w:tblStylePr>
  </w:style>
  <w:style w:type="paragraph" w:customStyle="1" w:styleId="Tabletext">
    <w:name w:val="Table text"/>
    <w:basedOn w:val="Normal"/>
    <w:uiPriority w:val="9"/>
    <w:qFormat/>
    <w:rsid w:val="005A126E"/>
    <w:pPr>
      <w:spacing w:after="0"/>
    </w:pPr>
    <w:rPr>
      <w:rFonts w:ascii="Arial" w:eastAsia="Calibri" w:hAnsi="Arial"/>
    </w:rPr>
  </w:style>
  <w:style w:type="paragraph" w:customStyle="1" w:styleId="Classificationsensitivity">
    <w:name w:val="Classification sensitivity"/>
    <w:basedOn w:val="Classification"/>
    <w:rsid w:val="002C5813"/>
    <w:rPr>
      <w:sz w:val="22"/>
    </w:rPr>
  </w:style>
  <w:style w:type="paragraph" w:customStyle="1" w:styleId="TableTopRow">
    <w:name w:val="Table Top Row"/>
    <w:basedOn w:val="Normal"/>
    <w:link w:val="TableTopRowChar1"/>
    <w:rsid w:val="00253FD6"/>
    <w:pPr>
      <w:tabs>
        <w:tab w:val="left" w:pos="720"/>
      </w:tabs>
      <w:spacing w:before="40" w:after="40" w:line="240" w:lineRule="auto"/>
      <w:jc w:val="center"/>
    </w:pPr>
    <w:rPr>
      <w:rFonts w:ascii="Arial" w:hAnsi="Arial" w:cs="Arial"/>
      <w:b/>
      <w:sz w:val="20"/>
      <w:szCs w:val="20"/>
    </w:rPr>
  </w:style>
  <w:style w:type="character" w:customStyle="1" w:styleId="TableTopRowChar1">
    <w:name w:val="Table Top Row Char1"/>
    <w:basedOn w:val="DefaultParagraphFont"/>
    <w:link w:val="TableTopRow"/>
    <w:locked/>
    <w:rsid w:val="00253FD6"/>
    <w:rPr>
      <w:rFonts w:eastAsia="Times New Roman" w:cs="Arial"/>
      <w:b/>
      <w:lang w:eastAsia="en-US"/>
    </w:rPr>
  </w:style>
  <w:style w:type="paragraph" w:customStyle="1" w:styleId="Tablebody">
    <w:name w:val="Table body"/>
    <w:basedOn w:val="Normal"/>
    <w:link w:val="TablebodyChar1"/>
    <w:rsid w:val="00253FD6"/>
    <w:pPr>
      <w:tabs>
        <w:tab w:val="left" w:pos="720"/>
      </w:tabs>
      <w:spacing w:before="40" w:after="40" w:line="240" w:lineRule="auto"/>
    </w:pPr>
    <w:rPr>
      <w:rFonts w:ascii="Arial" w:hAnsi="Arial" w:cs="Arial"/>
      <w:sz w:val="20"/>
      <w:szCs w:val="20"/>
    </w:rPr>
  </w:style>
  <w:style w:type="character" w:customStyle="1" w:styleId="TablebodyChar1">
    <w:name w:val="Table body Char1"/>
    <w:basedOn w:val="DefaultParagraphFont"/>
    <w:link w:val="Tablebody"/>
    <w:locked/>
    <w:rsid w:val="00253FD6"/>
    <w:rPr>
      <w:rFonts w:eastAsia="Times New Roman" w:cs="Arial"/>
      <w:lang w:eastAsia="en-US"/>
    </w:rPr>
  </w:style>
  <w:style w:type="paragraph" w:customStyle="1" w:styleId="Bookendtext-notnumbered">
    <w:name w:val="Bookend text - not numbered"/>
    <w:basedOn w:val="Normal"/>
    <w:link w:val="Bookendtext-notnumberedChar1"/>
    <w:rsid w:val="00253FD6"/>
    <w:pPr>
      <w:tabs>
        <w:tab w:val="left" w:pos="0"/>
      </w:tabs>
      <w:spacing w:before="200" w:after="0" w:line="240" w:lineRule="auto"/>
    </w:pPr>
    <w:rPr>
      <w:rFonts w:ascii="Arial" w:hAnsi="Arial" w:cs="Arial"/>
    </w:rPr>
  </w:style>
  <w:style w:type="character" w:customStyle="1" w:styleId="Bookendtext-notnumberedChar1">
    <w:name w:val="Bookend text - not numbered Char1"/>
    <w:basedOn w:val="DefaultParagraphFont"/>
    <w:link w:val="Bookendtext-notnumbered"/>
    <w:locked/>
    <w:rsid w:val="00253FD6"/>
    <w:rPr>
      <w:rFonts w:eastAsia="Times New Roman" w:cs="Arial"/>
      <w:sz w:val="22"/>
      <w:szCs w:val="22"/>
      <w:lang w:eastAsia="en-US"/>
    </w:rPr>
  </w:style>
  <w:style w:type="paragraph" w:styleId="NormalWeb">
    <w:name w:val="Normal (Web)"/>
    <w:basedOn w:val="Normal"/>
    <w:uiPriority w:val="99"/>
    <w:rsid w:val="00253FD6"/>
    <w:pPr>
      <w:spacing w:before="100" w:beforeAutospacing="1" w:after="100" w:afterAutospacing="1" w:line="240" w:lineRule="auto"/>
    </w:pPr>
    <w:rPr>
      <w:rFonts w:ascii="Times New Roman" w:hAnsi="Times New Roman"/>
      <w:sz w:val="24"/>
      <w:szCs w:val="24"/>
      <w:lang w:eastAsia="en-AU"/>
    </w:rPr>
  </w:style>
  <w:style w:type="character" w:styleId="CommentReference">
    <w:name w:val="annotation reference"/>
    <w:basedOn w:val="DefaultParagraphFont"/>
    <w:uiPriority w:val="99"/>
    <w:semiHidden/>
    <w:unhideWhenUsed/>
    <w:rsid w:val="00A934FD"/>
    <w:rPr>
      <w:sz w:val="16"/>
      <w:szCs w:val="16"/>
    </w:rPr>
  </w:style>
  <w:style w:type="paragraph" w:styleId="CommentText">
    <w:name w:val="annotation text"/>
    <w:basedOn w:val="Normal"/>
    <w:link w:val="CommentTextChar"/>
    <w:uiPriority w:val="99"/>
    <w:semiHidden/>
    <w:unhideWhenUsed/>
    <w:rsid w:val="00A934FD"/>
    <w:pPr>
      <w:spacing w:line="240" w:lineRule="auto"/>
    </w:pPr>
    <w:rPr>
      <w:sz w:val="20"/>
      <w:szCs w:val="20"/>
    </w:rPr>
  </w:style>
  <w:style w:type="character" w:customStyle="1" w:styleId="CommentTextChar">
    <w:name w:val="Comment Text Char"/>
    <w:basedOn w:val="DefaultParagraphFont"/>
    <w:link w:val="CommentText"/>
    <w:uiPriority w:val="99"/>
    <w:semiHidden/>
    <w:rsid w:val="00A934FD"/>
    <w:rPr>
      <w:rFonts w:ascii="Calibri" w:eastAsia="Times New Roman" w:hAnsi="Calibri"/>
      <w:lang w:eastAsia="en-US"/>
    </w:rPr>
  </w:style>
  <w:style w:type="paragraph" w:styleId="CommentSubject">
    <w:name w:val="annotation subject"/>
    <w:basedOn w:val="CommentText"/>
    <w:next w:val="CommentText"/>
    <w:link w:val="CommentSubjectChar"/>
    <w:uiPriority w:val="99"/>
    <w:semiHidden/>
    <w:unhideWhenUsed/>
    <w:rsid w:val="00A934FD"/>
    <w:rPr>
      <w:b/>
      <w:bCs/>
    </w:rPr>
  </w:style>
  <w:style w:type="character" w:customStyle="1" w:styleId="CommentSubjectChar">
    <w:name w:val="Comment Subject Char"/>
    <w:basedOn w:val="CommentTextChar"/>
    <w:link w:val="CommentSubject"/>
    <w:uiPriority w:val="99"/>
    <w:semiHidden/>
    <w:rsid w:val="00A934FD"/>
    <w:rPr>
      <w:rFonts w:ascii="Calibri" w:eastAsia="Times New Roman" w:hAnsi="Calibri"/>
      <w:b/>
      <w:bCs/>
      <w:lang w:eastAsia="en-US"/>
    </w:rPr>
  </w:style>
  <w:style w:type="paragraph" w:styleId="Revision">
    <w:name w:val="Revision"/>
    <w:hidden/>
    <w:uiPriority w:val="99"/>
    <w:semiHidden/>
    <w:rsid w:val="00A934FD"/>
    <w:rPr>
      <w:rFonts w:ascii="Calibri" w:eastAsia="Times New Roman" w:hAnsi="Calibri"/>
      <w:sz w:val="22"/>
      <w:szCs w:val="22"/>
      <w:lang w:eastAsia="en-US"/>
    </w:rPr>
  </w:style>
  <w:style w:type="paragraph" w:styleId="BodyText">
    <w:name w:val="Body Text"/>
    <w:basedOn w:val="Normal"/>
    <w:link w:val="BodyTextChar"/>
    <w:uiPriority w:val="99"/>
    <w:semiHidden/>
    <w:unhideWhenUsed/>
    <w:rsid w:val="007F5D8A"/>
    <w:pPr>
      <w:spacing w:after="120"/>
    </w:pPr>
  </w:style>
  <w:style w:type="character" w:customStyle="1" w:styleId="BodyTextChar">
    <w:name w:val="Body Text Char"/>
    <w:basedOn w:val="DefaultParagraphFont"/>
    <w:link w:val="BodyText"/>
    <w:uiPriority w:val="99"/>
    <w:semiHidden/>
    <w:rsid w:val="007F5D8A"/>
    <w:rPr>
      <w:rFonts w:ascii="Calibri" w:eastAsia="Times New Roman" w:hAnsi="Calibri"/>
      <w:sz w:val="22"/>
      <w:szCs w:val="22"/>
      <w:lang w:eastAsia="en-US"/>
    </w:rPr>
  </w:style>
  <w:style w:type="character" w:styleId="Hyperlink">
    <w:name w:val="Hyperlink"/>
    <w:basedOn w:val="DefaultParagraphFont"/>
    <w:uiPriority w:val="99"/>
    <w:unhideWhenUsed/>
    <w:rsid w:val="007F5D8A"/>
    <w:rPr>
      <w:color w:val="0000FF" w:themeColor="hyperlink"/>
      <w:u w:val="single"/>
    </w:rPr>
  </w:style>
  <w:style w:type="paragraph" w:customStyle="1" w:styleId="Style2">
    <w:name w:val="Style2"/>
    <w:basedOn w:val="Heading1"/>
    <w:link w:val="Style2Char"/>
    <w:qFormat/>
    <w:rsid w:val="007952AC"/>
    <w:pPr>
      <w:spacing w:before="60" w:after="60" w:line="240" w:lineRule="auto"/>
    </w:pPr>
    <w:rPr>
      <w:rFonts w:eastAsia="Times New Roman" w:cs="Times New Roman"/>
      <w:caps w:val="0"/>
      <w:color w:val="A1664C"/>
      <w:kern w:val="20"/>
      <w:sz w:val="28"/>
      <w:szCs w:val="28"/>
    </w:rPr>
  </w:style>
  <w:style w:type="character" w:customStyle="1" w:styleId="Style2Char">
    <w:name w:val="Style2 Char"/>
    <w:link w:val="Style2"/>
    <w:locked/>
    <w:rsid w:val="007952AC"/>
    <w:rPr>
      <w:rFonts w:eastAsia="Times New Roman"/>
      <w:b/>
      <w:color w:val="A1664C"/>
      <w:kern w:val="20"/>
      <w:sz w:val="28"/>
      <w:szCs w:val="28"/>
      <w:lang w:eastAsia="en-US"/>
    </w:rPr>
  </w:style>
  <w:style w:type="character" w:styleId="FollowedHyperlink">
    <w:name w:val="FollowedHyperlink"/>
    <w:basedOn w:val="DefaultParagraphFont"/>
    <w:uiPriority w:val="99"/>
    <w:semiHidden/>
    <w:unhideWhenUsed/>
    <w:rsid w:val="00432F9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semiHidden="0" w:unhideWhenUsed="0"/>
    <w:lsdException w:name="List Bullet" w:qFormat="1"/>
    <w:lsdException w:name="List Number" w:semiHidden="0" w:unhideWhenUsed="0" w:qFormat="1"/>
    <w:lsdException w:name="List Number 2" w:semiHidden="0" w:unhideWhenUsed="0"/>
    <w:lsdException w:name="List Number 3" w:semiHidden="0" w:unhideWhenUsed="0"/>
    <w:lsdException w:name="List Number 4" w:semiHidden="0" w:unhideWhenUsed="0"/>
    <w:lsdException w:name="List Number 5" w:semiHidden="0" w:unhideWhenUsed="0"/>
    <w:lsdException w:name="Title" w:uiPriority="10" w:qFormat="1"/>
    <w:lsdException w:name="Default Paragraph Font" w:uiPriority="1"/>
    <w:lsdException w:name="List Continue" w:semiHidden="0" w:unhideWhenUsed="0"/>
    <w:lsdException w:name="Subtitle" w:uiPriority="11"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253FD6"/>
    <w:pPr>
      <w:spacing w:after="200" w:line="276" w:lineRule="auto"/>
    </w:pPr>
    <w:rPr>
      <w:rFonts w:ascii="Calibri" w:eastAsia="Times New Roman" w:hAnsi="Calibri"/>
      <w:sz w:val="22"/>
      <w:szCs w:val="22"/>
      <w:lang w:eastAsia="en-US"/>
    </w:rPr>
  </w:style>
  <w:style w:type="paragraph" w:styleId="Heading1">
    <w:name w:val="heading 1"/>
    <w:basedOn w:val="Normal"/>
    <w:next w:val="Normal"/>
    <w:link w:val="Heading1Char"/>
    <w:qFormat/>
    <w:rsid w:val="00C51CCA"/>
    <w:pPr>
      <w:keepNext/>
      <w:outlineLvl w:val="0"/>
    </w:pPr>
    <w:rPr>
      <w:rFonts w:ascii="Arial" w:eastAsia="Calibri" w:hAnsi="Arial" w:cs="Arial"/>
      <w:b/>
      <w:caps/>
    </w:rPr>
  </w:style>
  <w:style w:type="paragraph" w:styleId="Heading2">
    <w:name w:val="heading 2"/>
    <w:basedOn w:val="Normal"/>
    <w:next w:val="Normal"/>
    <w:link w:val="Heading2Char"/>
    <w:uiPriority w:val="9"/>
    <w:qFormat/>
    <w:rsid w:val="000E31C1"/>
    <w:pPr>
      <w:keepNext/>
      <w:outlineLvl w:val="1"/>
    </w:pPr>
    <w:rPr>
      <w:rFonts w:ascii="Arial" w:eastAsia="Calibri" w:hAnsi="Arial" w:cs="Arial"/>
      <w:b/>
    </w:rPr>
  </w:style>
  <w:style w:type="paragraph" w:styleId="Heading3">
    <w:name w:val="heading 3"/>
    <w:basedOn w:val="Normal"/>
    <w:next w:val="Normal"/>
    <w:link w:val="Heading3Char"/>
    <w:qFormat/>
    <w:rsid w:val="000E31C1"/>
    <w:pPr>
      <w:keepNext/>
      <w:outlineLvl w:val="2"/>
    </w:pPr>
    <w:rPr>
      <w:rFonts w:ascii="Arial" w:eastAsia="Calibri" w:hAnsi="Arial" w:cs="Arial"/>
      <w:b/>
      <w:i/>
    </w:rPr>
  </w:style>
  <w:style w:type="paragraph" w:styleId="Heading4">
    <w:name w:val="heading 4"/>
    <w:basedOn w:val="Normal"/>
    <w:next w:val="Normal"/>
    <w:link w:val="Heading4Char"/>
    <w:uiPriority w:val="9"/>
    <w:qFormat/>
    <w:rsid w:val="000E31C1"/>
    <w:pPr>
      <w:keepNext/>
      <w:outlineLvl w:val="3"/>
    </w:pPr>
    <w:rPr>
      <w:rFonts w:ascii="Arial" w:eastAsia="Calibri" w:hAnsi="Arial"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0185"/>
    <w:pPr>
      <w:tabs>
        <w:tab w:val="center" w:pos="4513"/>
        <w:tab w:val="right" w:pos="9026"/>
      </w:tabs>
      <w:spacing w:after="0" w:line="240" w:lineRule="auto"/>
    </w:pPr>
    <w:rPr>
      <w:rFonts w:ascii="Arial" w:eastAsia="Calibri" w:hAnsi="Arial"/>
    </w:rPr>
  </w:style>
  <w:style w:type="character" w:customStyle="1" w:styleId="HeaderChar">
    <w:name w:val="Header Char"/>
    <w:basedOn w:val="DefaultParagraphFont"/>
    <w:link w:val="Header"/>
    <w:uiPriority w:val="99"/>
    <w:rsid w:val="00A60185"/>
  </w:style>
  <w:style w:type="paragraph" w:styleId="Footer">
    <w:name w:val="footer"/>
    <w:basedOn w:val="Normal"/>
    <w:link w:val="FooterChar"/>
    <w:uiPriority w:val="99"/>
    <w:unhideWhenUsed/>
    <w:rsid w:val="00A60185"/>
    <w:pPr>
      <w:tabs>
        <w:tab w:val="center" w:pos="4513"/>
        <w:tab w:val="right" w:pos="9026"/>
      </w:tabs>
      <w:spacing w:after="0" w:line="240" w:lineRule="auto"/>
    </w:pPr>
    <w:rPr>
      <w:rFonts w:ascii="Arial" w:eastAsia="Calibri" w:hAnsi="Arial"/>
    </w:rPr>
  </w:style>
  <w:style w:type="character" w:customStyle="1" w:styleId="FooterChar">
    <w:name w:val="Footer Char"/>
    <w:basedOn w:val="DefaultParagraphFont"/>
    <w:link w:val="Footer"/>
    <w:uiPriority w:val="99"/>
    <w:rsid w:val="00A60185"/>
  </w:style>
  <w:style w:type="paragraph" w:styleId="BalloonText">
    <w:name w:val="Balloon Text"/>
    <w:basedOn w:val="Normal"/>
    <w:link w:val="BalloonTextChar"/>
    <w:uiPriority w:val="99"/>
    <w:semiHidden/>
    <w:unhideWhenUsed/>
    <w:rsid w:val="00A60185"/>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A60185"/>
    <w:rPr>
      <w:rFonts w:ascii="Tahoma" w:hAnsi="Tahoma" w:cs="Tahoma"/>
      <w:sz w:val="16"/>
      <w:szCs w:val="16"/>
    </w:rPr>
  </w:style>
  <w:style w:type="numbering" w:customStyle="1" w:styleId="KeyPoints">
    <w:name w:val="Key Points"/>
    <w:basedOn w:val="NoList"/>
    <w:uiPriority w:val="99"/>
    <w:rsid w:val="00005CAA"/>
    <w:pPr>
      <w:numPr>
        <w:numId w:val="1"/>
      </w:numPr>
    </w:pPr>
  </w:style>
  <w:style w:type="paragraph" w:customStyle="1" w:styleId="1NumberedPointsStyle">
    <w:name w:val="1. Numbered Points Style"/>
    <w:basedOn w:val="ListParagraph"/>
    <w:rsid w:val="00BD1A6F"/>
    <w:pPr>
      <w:numPr>
        <w:numId w:val="0"/>
      </w:numPr>
    </w:pPr>
  </w:style>
  <w:style w:type="numbering" w:customStyle="1" w:styleId="BulletList">
    <w:name w:val="Bullet List"/>
    <w:uiPriority w:val="99"/>
    <w:rsid w:val="00091608"/>
    <w:pPr>
      <w:numPr>
        <w:numId w:val="3"/>
      </w:numPr>
    </w:pPr>
  </w:style>
  <w:style w:type="paragraph" w:customStyle="1" w:styleId="1BulletStyleList">
    <w:name w:val="1. Bullet Style List"/>
    <w:basedOn w:val="Normal"/>
    <w:rsid w:val="00CE71C2"/>
    <w:pPr>
      <w:spacing w:line="240" w:lineRule="auto"/>
    </w:pPr>
    <w:rPr>
      <w:szCs w:val="20"/>
      <w:lang w:eastAsia="en-AU"/>
    </w:rPr>
  </w:style>
  <w:style w:type="character" w:customStyle="1" w:styleId="Heading1Char">
    <w:name w:val="Heading 1 Char"/>
    <w:basedOn w:val="DefaultParagraphFont"/>
    <w:link w:val="Heading1"/>
    <w:rsid w:val="00C51CCA"/>
    <w:rPr>
      <w:rFonts w:cs="Arial"/>
      <w:b/>
      <w:caps/>
      <w:sz w:val="22"/>
      <w:szCs w:val="22"/>
      <w:lang w:eastAsia="en-US"/>
    </w:rPr>
  </w:style>
  <w:style w:type="character" w:customStyle="1" w:styleId="Heading2Char">
    <w:name w:val="Heading 2 Char"/>
    <w:basedOn w:val="DefaultParagraphFont"/>
    <w:link w:val="Heading2"/>
    <w:uiPriority w:val="9"/>
    <w:rsid w:val="000E31C1"/>
    <w:rPr>
      <w:rFonts w:cs="Arial"/>
      <w:b/>
      <w:sz w:val="22"/>
      <w:szCs w:val="22"/>
      <w:lang w:eastAsia="en-US"/>
    </w:rPr>
  </w:style>
  <w:style w:type="character" w:customStyle="1" w:styleId="Heading3Char">
    <w:name w:val="Heading 3 Char"/>
    <w:basedOn w:val="DefaultParagraphFont"/>
    <w:link w:val="Heading3"/>
    <w:rsid w:val="000E31C1"/>
    <w:rPr>
      <w:rFonts w:cs="Arial"/>
      <w:b/>
      <w:i/>
      <w:sz w:val="22"/>
      <w:szCs w:val="22"/>
      <w:lang w:eastAsia="en-US"/>
    </w:rPr>
  </w:style>
  <w:style w:type="character" w:customStyle="1" w:styleId="Heading4Char">
    <w:name w:val="Heading 4 Char"/>
    <w:basedOn w:val="DefaultParagraphFont"/>
    <w:link w:val="Heading4"/>
    <w:uiPriority w:val="9"/>
    <w:rsid w:val="000E31C1"/>
    <w:rPr>
      <w:rFonts w:cs="Arial"/>
      <w:i/>
      <w:sz w:val="22"/>
      <w:szCs w:val="22"/>
      <w:lang w:eastAsia="en-US"/>
    </w:rPr>
  </w:style>
  <w:style w:type="paragraph" w:styleId="ListBullet">
    <w:name w:val="List Bullet"/>
    <w:basedOn w:val="Normal"/>
    <w:uiPriority w:val="99"/>
    <w:unhideWhenUsed/>
    <w:qFormat/>
    <w:rsid w:val="00091608"/>
    <w:pPr>
      <w:numPr>
        <w:numId w:val="48"/>
      </w:numPr>
    </w:pPr>
    <w:rPr>
      <w:rFonts w:ascii="Arial" w:eastAsia="Calibri" w:hAnsi="Arial"/>
    </w:rPr>
  </w:style>
  <w:style w:type="paragraph" w:styleId="ListBullet2">
    <w:name w:val="List Bullet 2"/>
    <w:basedOn w:val="Normal"/>
    <w:uiPriority w:val="99"/>
    <w:unhideWhenUsed/>
    <w:rsid w:val="00091608"/>
    <w:pPr>
      <w:numPr>
        <w:ilvl w:val="1"/>
        <w:numId w:val="48"/>
      </w:numPr>
    </w:pPr>
    <w:rPr>
      <w:rFonts w:ascii="Arial" w:eastAsia="Calibri" w:hAnsi="Arial"/>
    </w:rPr>
  </w:style>
  <w:style w:type="paragraph" w:styleId="ListBullet3">
    <w:name w:val="List Bullet 3"/>
    <w:basedOn w:val="Normal"/>
    <w:uiPriority w:val="99"/>
    <w:unhideWhenUsed/>
    <w:rsid w:val="00091608"/>
    <w:pPr>
      <w:numPr>
        <w:ilvl w:val="2"/>
        <w:numId w:val="48"/>
      </w:numPr>
    </w:pPr>
    <w:rPr>
      <w:rFonts w:ascii="Arial" w:eastAsia="Calibri" w:hAnsi="Arial"/>
    </w:rPr>
  </w:style>
  <w:style w:type="paragraph" w:styleId="ListBullet4">
    <w:name w:val="List Bullet 4"/>
    <w:basedOn w:val="Normal"/>
    <w:uiPriority w:val="99"/>
    <w:unhideWhenUsed/>
    <w:rsid w:val="00091608"/>
    <w:pPr>
      <w:numPr>
        <w:ilvl w:val="3"/>
        <w:numId w:val="48"/>
      </w:numPr>
    </w:pPr>
    <w:rPr>
      <w:rFonts w:ascii="Arial" w:eastAsia="Calibri" w:hAnsi="Arial"/>
    </w:rPr>
  </w:style>
  <w:style w:type="paragraph" w:styleId="ListBullet5">
    <w:name w:val="List Bullet 5"/>
    <w:basedOn w:val="Normal"/>
    <w:uiPriority w:val="99"/>
    <w:unhideWhenUsed/>
    <w:rsid w:val="00091608"/>
    <w:pPr>
      <w:numPr>
        <w:ilvl w:val="4"/>
        <w:numId w:val="48"/>
      </w:numPr>
    </w:pPr>
    <w:rPr>
      <w:rFonts w:ascii="Arial" w:eastAsia="Calibri" w:hAnsi="Arial"/>
    </w:rPr>
  </w:style>
  <w:style w:type="numbering" w:customStyle="1" w:styleId="Attach">
    <w:name w:val="Attach"/>
    <w:basedOn w:val="NoList"/>
    <w:uiPriority w:val="99"/>
    <w:rsid w:val="00607FC9"/>
    <w:pPr>
      <w:numPr>
        <w:numId w:val="14"/>
      </w:numPr>
    </w:pPr>
  </w:style>
  <w:style w:type="paragraph" w:customStyle="1" w:styleId="Classification">
    <w:name w:val="Classification"/>
    <w:basedOn w:val="Normal"/>
    <w:uiPriority w:val="10"/>
    <w:qFormat/>
    <w:rsid w:val="00646122"/>
    <w:pPr>
      <w:tabs>
        <w:tab w:val="center" w:pos="4536"/>
        <w:tab w:val="center" w:pos="4819"/>
        <w:tab w:val="right" w:pos="9356"/>
      </w:tabs>
      <w:spacing w:after="240"/>
      <w:jc w:val="center"/>
    </w:pPr>
    <w:rPr>
      <w:rFonts w:ascii="Arial" w:hAnsi="Arial" w:cs="Arial"/>
      <w:color w:val="FF0000"/>
      <w:sz w:val="28"/>
      <w:szCs w:val="28"/>
      <w:lang w:eastAsia="en-AU"/>
    </w:rPr>
  </w:style>
  <w:style w:type="paragraph" w:styleId="ListParagraph">
    <w:name w:val="List Paragraph"/>
    <w:basedOn w:val="Normal"/>
    <w:uiPriority w:val="34"/>
    <w:rsid w:val="003556BD"/>
    <w:pPr>
      <w:numPr>
        <w:numId w:val="39"/>
      </w:numPr>
    </w:pPr>
    <w:rPr>
      <w:rFonts w:ascii="Arial" w:eastAsia="Calibri" w:hAnsi="Arial"/>
    </w:rPr>
  </w:style>
  <w:style w:type="character" w:styleId="BookTitle">
    <w:name w:val="Book Title"/>
    <w:basedOn w:val="DefaultParagraphFont"/>
    <w:uiPriority w:val="33"/>
    <w:rsid w:val="00383020"/>
    <w:rPr>
      <w:bCs/>
      <w:i/>
      <w:smallCaps/>
      <w:spacing w:val="5"/>
    </w:rPr>
  </w:style>
  <w:style w:type="paragraph" w:styleId="ListNumber">
    <w:name w:val="List Number"/>
    <w:basedOn w:val="Normal"/>
    <w:uiPriority w:val="99"/>
    <w:qFormat/>
    <w:rsid w:val="00005CAA"/>
    <w:pPr>
      <w:numPr>
        <w:numId w:val="47"/>
      </w:numPr>
    </w:pPr>
    <w:rPr>
      <w:rFonts w:ascii="Arial" w:eastAsia="Calibri" w:hAnsi="Arial"/>
    </w:rPr>
  </w:style>
  <w:style w:type="paragraph" w:styleId="ListNumber2">
    <w:name w:val="List Number 2"/>
    <w:basedOn w:val="Normal"/>
    <w:uiPriority w:val="99"/>
    <w:rsid w:val="00005CAA"/>
    <w:pPr>
      <w:numPr>
        <w:ilvl w:val="1"/>
        <w:numId w:val="47"/>
      </w:numPr>
    </w:pPr>
    <w:rPr>
      <w:rFonts w:ascii="Arial" w:eastAsia="Calibri" w:hAnsi="Arial"/>
    </w:rPr>
  </w:style>
  <w:style w:type="paragraph" w:styleId="ListNumber3">
    <w:name w:val="List Number 3"/>
    <w:basedOn w:val="Normal"/>
    <w:uiPriority w:val="99"/>
    <w:rsid w:val="00005CAA"/>
    <w:pPr>
      <w:numPr>
        <w:ilvl w:val="2"/>
        <w:numId w:val="47"/>
      </w:numPr>
    </w:pPr>
    <w:rPr>
      <w:rFonts w:ascii="Arial" w:eastAsia="Calibri" w:hAnsi="Arial"/>
    </w:rPr>
  </w:style>
  <w:style w:type="paragraph" w:styleId="ListNumber4">
    <w:name w:val="List Number 4"/>
    <w:basedOn w:val="Normal"/>
    <w:uiPriority w:val="99"/>
    <w:rsid w:val="00005CAA"/>
    <w:pPr>
      <w:numPr>
        <w:ilvl w:val="3"/>
        <w:numId w:val="47"/>
      </w:numPr>
    </w:pPr>
    <w:rPr>
      <w:rFonts w:ascii="Arial" w:eastAsia="Calibri" w:hAnsi="Arial"/>
    </w:rPr>
  </w:style>
  <w:style w:type="paragraph" w:styleId="ListNumber5">
    <w:name w:val="List Number 5"/>
    <w:basedOn w:val="Normal"/>
    <w:uiPriority w:val="99"/>
    <w:rsid w:val="00005CAA"/>
    <w:pPr>
      <w:numPr>
        <w:ilvl w:val="4"/>
        <w:numId w:val="47"/>
      </w:numPr>
    </w:pPr>
    <w:rPr>
      <w:rFonts w:ascii="Arial" w:eastAsia="Calibri" w:hAnsi="Arial"/>
    </w:rPr>
  </w:style>
  <w:style w:type="paragraph" w:customStyle="1" w:styleId="Footerclassification">
    <w:name w:val="Footer classification"/>
    <w:basedOn w:val="Classification"/>
    <w:rsid w:val="00D021CB"/>
    <w:pPr>
      <w:spacing w:before="240" w:after="0"/>
    </w:pPr>
  </w:style>
  <w:style w:type="table" w:styleId="TableGrid">
    <w:name w:val="Table Grid"/>
    <w:basedOn w:val="TableNormal"/>
    <w:uiPriority w:val="59"/>
    <w:rsid w:val="00100BEF"/>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beforeLines="0" w:beforeAutospacing="0" w:afterLines="0" w:afterAutospacing="0"/>
      </w:pPr>
      <w:rPr>
        <w:rFonts w:ascii="Arial" w:hAnsi="Arial"/>
        <w:sz w:val="20"/>
      </w:rPr>
    </w:tblStylePr>
    <w:tblStylePr w:type="lastRow">
      <w:pPr>
        <w:wordWrap/>
        <w:spacing w:beforeLines="0" w:beforeAutospacing="0" w:afterLines="0" w:afterAutospacing="0"/>
      </w:pPr>
      <w:rPr>
        <w:rFonts w:ascii="Arial" w:hAnsi="Arial"/>
        <w:sz w:val="20"/>
      </w:rPr>
    </w:tblStylePr>
    <w:tblStylePr w:type="band1Horz">
      <w:pPr>
        <w:wordWrap/>
        <w:spacing w:beforeLines="0" w:beforeAutospacing="0" w:afterLines="0" w:afterAutospacing="0" w:line="240" w:lineRule="auto"/>
        <w:contextualSpacing w:val="0"/>
        <w:mirrorIndents w:val="0"/>
      </w:pPr>
      <w:rPr>
        <w:rFonts w:ascii="Arial" w:hAnsi="Arial"/>
        <w:sz w:val="20"/>
      </w:rPr>
    </w:tblStylePr>
    <w:tblStylePr w:type="band2Horz">
      <w:pPr>
        <w:wordWrap/>
        <w:spacing w:beforeLines="0" w:beforeAutospacing="0" w:afterLines="0" w:afterAutospacing="0"/>
        <w:contextualSpacing w:val="0"/>
        <w:mirrorIndents w:val="0"/>
      </w:pPr>
      <w:rPr>
        <w:rFonts w:ascii="Arial" w:hAnsi="Arial"/>
        <w:sz w:val="20"/>
      </w:rPr>
    </w:tblStylePr>
  </w:style>
  <w:style w:type="paragraph" w:customStyle="1" w:styleId="Tabletext">
    <w:name w:val="Table text"/>
    <w:basedOn w:val="Normal"/>
    <w:uiPriority w:val="9"/>
    <w:qFormat/>
    <w:rsid w:val="005A126E"/>
    <w:pPr>
      <w:spacing w:after="0"/>
    </w:pPr>
    <w:rPr>
      <w:rFonts w:ascii="Arial" w:eastAsia="Calibri" w:hAnsi="Arial"/>
    </w:rPr>
  </w:style>
  <w:style w:type="paragraph" w:customStyle="1" w:styleId="Classificationsensitivity">
    <w:name w:val="Classification sensitivity"/>
    <w:basedOn w:val="Classification"/>
    <w:rsid w:val="002C5813"/>
    <w:rPr>
      <w:sz w:val="22"/>
    </w:rPr>
  </w:style>
  <w:style w:type="paragraph" w:customStyle="1" w:styleId="TableTopRow">
    <w:name w:val="Table Top Row"/>
    <w:basedOn w:val="Normal"/>
    <w:link w:val="TableTopRowChar1"/>
    <w:rsid w:val="00253FD6"/>
    <w:pPr>
      <w:tabs>
        <w:tab w:val="left" w:pos="720"/>
      </w:tabs>
      <w:spacing w:before="40" w:after="40" w:line="240" w:lineRule="auto"/>
      <w:jc w:val="center"/>
    </w:pPr>
    <w:rPr>
      <w:rFonts w:ascii="Arial" w:hAnsi="Arial" w:cs="Arial"/>
      <w:b/>
      <w:sz w:val="20"/>
      <w:szCs w:val="20"/>
    </w:rPr>
  </w:style>
  <w:style w:type="character" w:customStyle="1" w:styleId="TableTopRowChar1">
    <w:name w:val="Table Top Row Char1"/>
    <w:basedOn w:val="DefaultParagraphFont"/>
    <w:link w:val="TableTopRow"/>
    <w:locked/>
    <w:rsid w:val="00253FD6"/>
    <w:rPr>
      <w:rFonts w:eastAsia="Times New Roman" w:cs="Arial"/>
      <w:b/>
      <w:lang w:eastAsia="en-US"/>
    </w:rPr>
  </w:style>
  <w:style w:type="paragraph" w:customStyle="1" w:styleId="Tablebody">
    <w:name w:val="Table body"/>
    <w:basedOn w:val="Normal"/>
    <w:link w:val="TablebodyChar1"/>
    <w:rsid w:val="00253FD6"/>
    <w:pPr>
      <w:tabs>
        <w:tab w:val="left" w:pos="720"/>
      </w:tabs>
      <w:spacing w:before="40" w:after="40" w:line="240" w:lineRule="auto"/>
    </w:pPr>
    <w:rPr>
      <w:rFonts w:ascii="Arial" w:hAnsi="Arial" w:cs="Arial"/>
      <w:sz w:val="20"/>
      <w:szCs w:val="20"/>
    </w:rPr>
  </w:style>
  <w:style w:type="character" w:customStyle="1" w:styleId="TablebodyChar1">
    <w:name w:val="Table body Char1"/>
    <w:basedOn w:val="DefaultParagraphFont"/>
    <w:link w:val="Tablebody"/>
    <w:locked/>
    <w:rsid w:val="00253FD6"/>
    <w:rPr>
      <w:rFonts w:eastAsia="Times New Roman" w:cs="Arial"/>
      <w:lang w:eastAsia="en-US"/>
    </w:rPr>
  </w:style>
  <w:style w:type="paragraph" w:customStyle="1" w:styleId="Bookendtext-notnumbered">
    <w:name w:val="Bookend text - not numbered"/>
    <w:basedOn w:val="Normal"/>
    <w:link w:val="Bookendtext-notnumberedChar1"/>
    <w:rsid w:val="00253FD6"/>
    <w:pPr>
      <w:tabs>
        <w:tab w:val="left" w:pos="0"/>
      </w:tabs>
      <w:spacing w:before="200" w:after="0" w:line="240" w:lineRule="auto"/>
    </w:pPr>
    <w:rPr>
      <w:rFonts w:ascii="Arial" w:hAnsi="Arial" w:cs="Arial"/>
    </w:rPr>
  </w:style>
  <w:style w:type="character" w:customStyle="1" w:styleId="Bookendtext-notnumberedChar1">
    <w:name w:val="Bookend text - not numbered Char1"/>
    <w:basedOn w:val="DefaultParagraphFont"/>
    <w:link w:val="Bookendtext-notnumbered"/>
    <w:locked/>
    <w:rsid w:val="00253FD6"/>
    <w:rPr>
      <w:rFonts w:eastAsia="Times New Roman" w:cs="Arial"/>
      <w:sz w:val="22"/>
      <w:szCs w:val="22"/>
      <w:lang w:eastAsia="en-US"/>
    </w:rPr>
  </w:style>
  <w:style w:type="paragraph" w:styleId="NormalWeb">
    <w:name w:val="Normal (Web)"/>
    <w:basedOn w:val="Normal"/>
    <w:uiPriority w:val="99"/>
    <w:rsid w:val="00253FD6"/>
    <w:pPr>
      <w:spacing w:before="100" w:beforeAutospacing="1" w:after="100" w:afterAutospacing="1" w:line="240" w:lineRule="auto"/>
    </w:pPr>
    <w:rPr>
      <w:rFonts w:ascii="Times New Roman" w:hAnsi="Times New Roman"/>
      <w:sz w:val="24"/>
      <w:szCs w:val="24"/>
      <w:lang w:eastAsia="en-AU"/>
    </w:rPr>
  </w:style>
  <w:style w:type="character" w:styleId="CommentReference">
    <w:name w:val="annotation reference"/>
    <w:basedOn w:val="DefaultParagraphFont"/>
    <w:uiPriority w:val="99"/>
    <w:semiHidden/>
    <w:unhideWhenUsed/>
    <w:rsid w:val="00A934FD"/>
    <w:rPr>
      <w:sz w:val="16"/>
      <w:szCs w:val="16"/>
    </w:rPr>
  </w:style>
  <w:style w:type="paragraph" w:styleId="CommentText">
    <w:name w:val="annotation text"/>
    <w:basedOn w:val="Normal"/>
    <w:link w:val="CommentTextChar"/>
    <w:uiPriority w:val="99"/>
    <w:semiHidden/>
    <w:unhideWhenUsed/>
    <w:rsid w:val="00A934FD"/>
    <w:pPr>
      <w:spacing w:line="240" w:lineRule="auto"/>
    </w:pPr>
    <w:rPr>
      <w:sz w:val="20"/>
      <w:szCs w:val="20"/>
    </w:rPr>
  </w:style>
  <w:style w:type="character" w:customStyle="1" w:styleId="CommentTextChar">
    <w:name w:val="Comment Text Char"/>
    <w:basedOn w:val="DefaultParagraphFont"/>
    <w:link w:val="CommentText"/>
    <w:uiPriority w:val="99"/>
    <w:semiHidden/>
    <w:rsid w:val="00A934FD"/>
    <w:rPr>
      <w:rFonts w:ascii="Calibri" w:eastAsia="Times New Roman" w:hAnsi="Calibri"/>
      <w:lang w:eastAsia="en-US"/>
    </w:rPr>
  </w:style>
  <w:style w:type="paragraph" w:styleId="CommentSubject">
    <w:name w:val="annotation subject"/>
    <w:basedOn w:val="CommentText"/>
    <w:next w:val="CommentText"/>
    <w:link w:val="CommentSubjectChar"/>
    <w:uiPriority w:val="99"/>
    <w:semiHidden/>
    <w:unhideWhenUsed/>
    <w:rsid w:val="00A934FD"/>
    <w:rPr>
      <w:b/>
      <w:bCs/>
    </w:rPr>
  </w:style>
  <w:style w:type="character" w:customStyle="1" w:styleId="CommentSubjectChar">
    <w:name w:val="Comment Subject Char"/>
    <w:basedOn w:val="CommentTextChar"/>
    <w:link w:val="CommentSubject"/>
    <w:uiPriority w:val="99"/>
    <w:semiHidden/>
    <w:rsid w:val="00A934FD"/>
    <w:rPr>
      <w:rFonts w:ascii="Calibri" w:eastAsia="Times New Roman" w:hAnsi="Calibri"/>
      <w:b/>
      <w:bCs/>
      <w:lang w:eastAsia="en-US"/>
    </w:rPr>
  </w:style>
  <w:style w:type="paragraph" w:styleId="Revision">
    <w:name w:val="Revision"/>
    <w:hidden/>
    <w:uiPriority w:val="99"/>
    <w:semiHidden/>
    <w:rsid w:val="00A934FD"/>
    <w:rPr>
      <w:rFonts w:ascii="Calibri" w:eastAsia="Times New Roman" w:hAnsi="Calibri"/>
      <w:sz w:val="22"/>
      <w:szCs w:val="22"/>
      <w:lang w:eastAsia="en-US"/>
    </w:rPr>
  </w:style>
  <w:style w:type="paragraph" w:styleId="BodyText">
    <w:name w:val="Body Text"/>
    <w:basedOn w:val="Normal"/>
    <w:link w:val="BodyTextChar"/>
    <w:uiPriority w:val="99"/>
    <w:semiHidden/>
    <w:unhideWhenUsed/>
    <w:rsid w:val="007F5D8A"/>
    <w:pPr>
      <w:spacing w:after="120"/>
    </w:pPr>
  </w:style>
  <w:style w:type="character" w:customStyle="1" w:styleId="BodyTextChar">
    <w:name w:val="Body Text Char"/>
    <w:basedOn w:val="DefaultParagraphFont"/>
    <w:link w:val="BodyText"/>
    <w:uiPriority w:val="99"/>
    <w:semiHidden/>
    <w:rsid w:val="007F5D8A"/>
    <w:rPr>
      <w:rFonts w:ascii="Calibri" w:eastAsia="Times New Roman" w:hAnsi="Calibri"/>
      <w:sz w:val="22"/>
      <w:szCs w:val="22"/>
      <w:lang w:eastAsia="en-US"/>
    </w:rPr>
  </w:style>
  <w:style w:type="character" w:styleId="Hyperlink">
    <w:name w:val="Hyperlink"/>
    <w:basedOn w:val="DefaultParagraphFont"/>
    <w:uiPriority w:val="99"/>
    <w:unhideWhenUsed/>
    <w:rsid w:val="007F5D8A"/>
    <w:rPr>
      <w:color w:val="0000FF" w:themeColor="hyperlink"/>
      <w:u w:val="single"/>
    </w:rPr>
  </w:style>
  <w:style w:type="paragraph" w:customStyle="1" w:styleId="Style2">
    <w:name w:val="Style2"/>
    <w:basedOn w:val="Heading1"/>
    <w:link w:val="Style2Char"/>
    <w:qFormat/>
    <w:rsid w:val="007952AC"/>
    <w:pPr>
      <w:spacing w:before="60" w:after="60" w:line="240" w:lineRule="auto"/>
    </w:pPr>
    <w:rPr>
      <w:rFonts w:eastAsia="Times New Roman" w:cs="Times New Roman"/>
      <w:caps w:val="0"/>
      <w:color w:val="A1664C"/>
      <w:kern w:val="20"/>
      <w:sz w:val="28"/>
      <w:szCs w:val="28"/>
    </w:rPr>
  </w:style>
  <w:style w:type="character" w:customStyle="1" w:styleId="Style2Char">
    <w:name w:val="Style2 Char"/>
    <w:link w:val="Style2"/>
    <w:locked/>
    <w:rsid w:val="007952AC"/>
    <w:rPr>
      <w:rFonts w:eastAsia="Times New Roman"/>
      <w:b/>
      <w:color w:val="A1664C"/>
      <w:kern w:val="20"/>
      <w:sz w:val="28"/>
      <w:szCs w:val="2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missions-reduction-submissions@environment.gov.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ill.mckinley@truck.net.a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1998</Words>
  <Characters>11050</Characters>
  <Application>Microsoft Office Word</Application>
  <DocSecurity>0</DocSecurity>
  <Lines>235</Lines>
  <Paragraphs>126</Paragraphs>
  <ScaleCrop>false</ScaleCrop>
  <HeadingPairs>
    <vt:vector size="2" baseType="variant">
      <vt:variant>
        <vt:lpstr>Title</vt:lpstr>
      </vt:variant>
      <vt:variant>
        <vt:i4>1</vt:i4>
      </vt:variant>
    </vt:vector>
  </HeadingPairs>
  <TitlesOfParts>
    <vt:vector size="1" baseType="lpstr">
      <vt:lpstr>Coversheet for submissions - Varying the Threat Abatement Plan 2006 for the incidental catch (or bycatch) of seabirds during oceanic longline fishing operations</vt:lpstr>
    </vt:vector>
  </TitlesOfParts>
  <LinksUpToDate>false</LinksUpToDate>
  <CharactersWithSpaces>12922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Coversheet for submissions - Varying the Threat Abatement Plan 2006 for the incidental catch (or bycatch) of seabirds during oceanic longline fishing operations</dc:title>
  <dc:creator/>
  <cp:lastModifiedBy/>
  <cp:revision>1</cp:revision>
  <dcterms:created xsi:type="dcterms:W3CDTF">2013-11-18T04:34:00Z</dcterms:created>
  <dcterms:modified xsi:type="dcterms:W3CDTF">2013-11-18T04:35:00Z</dcterms:modified>
</cp:coreProperties>
</file>