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454B84" w:rsidTr="000156D1">
        <w:trPr>
          <w:trHeight w:val="756"/>
        </w:trPr>
        <w:tc>
          <w:tcPr>
            <w:tcW w:w="2660" w:type="dxa"/>
            <w:vAlign w:val="center"/>
          </w:tcPr>
          <w:p w:rsidR="00D735FF" w:rsidRPr="00454B84" w:rsidRDefault="00D735FF" w:rsidP="001025C9">
            <w:pPr>
              <w:pStyle w:val="Header"/>
              <w:jc w:val="both"/>
              <w:rPr>
                <w:rFonts w:ascii="Arial" w:hAnsi="Arial" w:cs="Arial"/>
                <w:b/>
                <w:sz w:val="32"/>
                <w:szCs w:val="20"/>
              </w:rPr>
            </w:pPr>
            <w:r w:rsidRPr="00454B84">
              <w:rPr>
                <w:rFonts w:ascii="Arial" w:hAnsi="Arial" w:cs="Arial"/>
                <w:b/>
                <w:sz w:val="32"/>
                <w:szCs w:val="20"/>
              </w:rPr>
              <w:t>Submission to:</w:t>
            </w:r>
          </w:p>
        </w:tc>
        <w:tc>
          <w:tcPr>
            <w:tcW w:w="6379" w:type="dxa"/>
            <w:vAlign w:val="center"/>
          </w:tcPr>
          <w:p w:rsidR="00D735FF" w:rsidRPr="00454B84" w:rsidRDefault="007D2A84" w:rsidP="003168CE">
            <w:pPr>
              <w:pStyle w:val="Header"/>
              <w:rPr>
                <w:rFonts w:ascii="Arial" w:hAnsi="Arial" w:cs="Arial"/>
                <w:sz w:val="32"/>
                <w:szCs w:val="20"/>
              </w:rPr>
            </w:pPr>
            <w:r w:rsidRPr="00454B84">
              <w:rPr>
                <w:rFonts w:ascii="Arial" w:hAnsi="Arial" w:cs="Arial"/>
                <w:sz w:val="32"/>
                <w:szCs w:val="20"/>
              </w:rPr>
              <w:t xml:space="preserve">The </w:t>
            </w:r>
            <w:r w:rsidR="00166E38" w:rsidRPr="00454B84">
              <w:rPr>
                <w:rFonts w:ascii="Arial" w:hAnsi="Arial" w:cs="Arial"/>
                <w:sz w:val="32"/>
                <w:szCs w:val="20"/>
              </w:rPr>
              <w:t>Productivity Commission</w:t>
            </w:r>
          </w:p>
        </w:tc>
      </w:tr>
      <w:tr w:rsidR="00D735FF" w:rsidRPr="00454B84" w:rsidTr="000156D1">
        <w:trPr>
          <w:trHeight w:val="756"/>
        </w:trPr>
        <w:tc>
          <w:tcPr>
            <w:tcW w:w="2660" w:type="dxa"/>
            <w:vAlign w:val="center"/>
          </w:tcPr>
          <w:p w:rsidR="00D735FF" w:rsidRPr="00454B84" w:rsidRDefault="00D735FF" w:rsidP="001025C9">
            <w:pPr>
              <w:pStyle w:val="Header"/>
              <w:jc w:val="both"/>
              <w:rPr>
                <w:rFonts w:ascii="Arial" w:hAnsi="Arial" w:cs="Arial"/>
                <w:b/>
                <w:sz w:val="32"/>
                <w:szCs w:val="20"/>
              </w:rPr>
            </w:pPr>
            <w:r w:rsidRPr="00454B84">
              <w:rPr>
                <w:rFonts w:ascii="Arial" w:hAnsi="Arial" w:cs="Arial"/>
                <w:b/>
                <w:sz w:val="32"/>
                <w:szCs w:val="20"/>
              </w:rPr>
              <w:t>Title:</w:t>
            </w:r>
          </w:p>
        </w:tc>
        <w:tc>
          <w:tcPr>
            <w:tcW w:w="6379" w:type="dxa"/>
            <w:vAlign w:val="center"/>
          </w:tcPr>
          <w:p w:rsidR="00D735FF" w:rsidRPr="00454B84" w:rsidRDefault="00166E38" w:rsidP="00166E38">
            <w:pPr>
              <w:pStyle w:val="Header"/>
              <w:rPr>
                <w:rFonts w:ascii="Arial" w:hAnsi="Arial" w:cs="Arial"/>
                <w:sz w:val="32"/>
                <w:szCs w:val="20"/>
              </w:rPr>
            </w:pPr>
            <w:r w:rsidRPr="00454B84">
              <w:rPr>
                <w:rFonts w:ascii="Arial" w:hAnsi="Arial" w:cs="Arial"/>
                <w:sz w:val="32"/>
                <w:szCs w:val="20"/>
              </w:rPr>
              <w:t>Public Infrastructure</w:t>
            </w:r>
            <w:r w:rsidR="00646000" w:rsidRPr="00454B84">
              <w:rPr>
                <w:rFonts w:ascii="Arial" w:hAnsi="Arial" w:cs="Arial"/>
                <w:sz w:val="32"/>
                <w:szCs w:val="20"/>
              </w:rPr>
              <w:t>: Issues Paper</w:t>
            </w:r>
            <w:r w:rsidRPr="00454B84">
              <w:rPr>
                <w:rFonts w:ascii="Arial" w:hAnsi="Arial" w:cs="Arial"/>
                <w:sz w:val="32"/>
                <w:szCs w:val="20"/>
              </w:rPr>
              <w:t xml:space="preserve"> </w:t>
            </w:r>
          </w:p>
        </w:tc>
      </w:tr>
      <w:tr w:rsidR="00D735FF" w:rsidRPr="00454B84" w:rsidTr="000156D1">
        <w:trPr>
          <w:trHeight w:val="756"/>
        </w:trPr>
        <w:tc>
          <w:tcPr>
            <w:tcW w:w="2660" w:type="dxa"/>
            <w:vAlign w:val="center"/>
          </w:tcPr>
          <w:p w:rsidR="00D735FF" w:rsidRPr="00454B84" w:rsidRDefault="00D735FF" w:rsidP="001025C9">
            <w:pPr>
              <w:pStyle w:val="Header"/>
              <w:jc w:val="both"/>
              <w:rPr>
                <w:rFonts w:ascii="Arial" w:hAnsi="Arial" w:cs="Arial"/>
                <w:b/>
                <w:sz w:val="32"/>
                <w:szCs w:val="20"/>
              </w:rPr>
            </w:pPr>
            <w:r w:rsidRPr="00454B84">
              <w:rPr>
                <w:rFonts w:ascii="Arial" w:hAnsi="Arial" w:cs="Arial"/>
                <w:b/>
                <w:sz w:val="32"/>
                <w:szCs w:val="20"/>
              </w:rPr>
              <w:t>Date:</w:t>
            </w:r>
          </w:p>
        </w:tc>
        <w:tc>
          <w:tcPr>
            <w:tcW w:w="6379" w:type="dxa"/>
            <w:vAlign w:val="center"/>
          </w:tcPr>
          <w:p w:rsidR="00D735FF" w:rsidRPr="00454B84" w:rsidRDefault="006B0EBD" w:rsidP="00905C0A">
            <w:pPr>
              <w:pStyle w:val="Header"/>
              <w:rPr>
                <w:rFonts w:ascii="Arial" w:hAnsi="Arial" w:cs="Arial"/>
                <w:sz w:val="32"/>
                <w:szCs w:val="20"/>
              </w:rPr>
            </w:pPr>
            <w:r>
              <w:rPr>
                <w:rFonts w:ascii="Arial" w:hAnsi="Arial" w:cs="Arial"/>
                <w:sz w:val="32"/>
                <w:szCs w:val="20"/>
              </w:rPr>
              <w:t xml:space="preserve">20 </w:t>
            </w:r>
            <w:r w:rsidR="00D81C6A">
              <w:rPr>
                <w:rFonts w:ascii="Arial" w:hAnsi="Arial" w:cs="Arial"/>
                <w:sz w:val="32"/>
                <w:szCs w:val="20"/>
              </w:rPr>
              <w:t xml:space="preserve">December </w:t>
            </w:r>
            <w:r w:rsidR="00693D92" w:rsidRPr="00454B84">
              <w:rPr>
                <w:rFonts w:ascii="Arial" w:hAnsi="Arial" w:cs="Arial"/>
                <w:sz w:val="32"/>
                <w:szCs w:val="20"/>
              </w:rPr>
              <w:t>2013</w:t>
            </w:r>
            <w:r w:rsidR="00F26CFA" w:rsidRPr="00454B84">
              <w:rPr>
                <w:rFonts w:ascii="Arial" w:hAnsi="Arial" w:cs="Arial"/>
                <w:sz w:val="32"/>
                <w:szCs w:val="20"/>
              </w:rPr>
              <w:t xml:space="preserve"> </w:t>
            </w:r>
          </w:p>
        </w:tc>
      </w:tr>
    </w:tbl>
    <w:p w:rsidR="00D735FF" w:rsidRPr="00454B84" w:rsidRDefault="00D735FF" w:rsidP="001025C9">
      <w:pPr>
        <w:pStyle w:val="Header"/>
        <w:jc w:val="both"/>
        <w:rPr>
          <w:rFonts w:ascii="Arial" w:hAnsi="Arial" w:cs="Arial"/>
          <w:sz w:val="32"/>
          <w:szCs w:val="20"/>
        </w:rPr>
      </w:pPr>
    </w:p>
    <w:p w:rsidR="00D735FF" w:rsidRPr="00454B84" w:rsidRDefault="00D735FF" w:rsidP="001025C9">
      <w:pPr>
        <w:pStyle w:val="Header"/>
        <w:jc w:val="both"/>
        <w:rPr>
          <w:rFonts w:ascii="Arial" w:hAnsi="Arial" w:cs="Arial"/>
          <w:sz w:val="32"/>
          <w:szCs w:val="20"/>
        </w:rPr>
      </w:pPr>
    </w:p>
    <w:p w:rsidR="00576ED0" w:rsidRPr="00454B84" w:rsidRDefault="00576ED0" w:rsidP="001025C9">
      <w:pPr>
        <w:pStyle w:val="Header"/>
        <w:jc w:val="both"/>
        <w:rPr>
          <w:rFonts w:ascii="Arial" w:hAnsi="Arial" w:cs="Arial"/>
          <w:sz w:val="32"/>
          <w:szCs w:val="20"/>
        </w:rPr>
      </w:pPr>
    </w:p>
    <w:p w:rsidR="00576ED0" w:rsidRPr="00454B84" w:rsidRDefault="00576ED0" w:rsidP="001025C9">
      <w:pPr>
        <w:jc w:val="both"/>
        <w:rPr>
          <w:rFonts w:ascii="Arial" w:hAnsi="Arial" w:cs="Arial"/>
          <w:sz w:val="20"/>
          <w:szCs w:val="20"/>
          <w:lang w:val="en-GB"/>
        </w:rPr>
        <w:sectPr w:rsidR="00576ED0" w:rsidRPr="00454B84"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rsidR="00576ED0" w:rsidRPr="00454B84" w:rsidRDefault="00576ED0" w:rsidP="001025C9">
      <w:pPr>
        <w:jc w:val="both"/>
        <w:rPr>
          <w:rFonts w:ascii="Arial" w:hAnsi="Arial" w:cs="Arial"/>
          <w:sz w:val="20"/>
          <w:szCs w:val="20"/>
        </w:rPr>
      </w:pPr>
    </w:p>
    <w:p w:rsidR="0035493A" w:rsidRPr="00454B84" w:rsidRDefault="0035493A" w:rsidP="001025C9">
      <w:pPr>
        <w:jc w:val="both"/>
        <w:rPr>
          <w:rFonts w:ascii="Arial" w:hAnsi="Arial" w:cs="Arial"/>
          <w:sz w:val="20"/>
          <w:szCs w:val="20"/>
        </w:rPr>
      </w:pPr>
    </w:p>
    <w:p w:rsidR="0035493A" w:rsidRPr="00454B84" w:rsidRDefault="0035493A" w:rsidP="001025C9">
      <w:pPr>
        <w:jc w:val="both"/>
        <w:rPr>
          <w:rFonts w:ascii="Arial" w:hAnsi="Arial" w:cs="Arial"/>
          <w:sz w:val="20"/>
          <w:szCs w:val="20"/>
        </w:rPr>
      </w:pPr>
    </w:p>
    <w:p w:rsidR="0035493A" w:rsidRPr="00454B84" w:rsidRDefault="0035493A" w:rsidP="001025C9">
      <w:pPr>
        <w:jc w:val="both"/>
        <w:rPr>
          <w:rFonts w:ascii="Arial" w:hAnsi="Arial" w:cs="Arial"/>
          <w:sz w:val="20"/>
          <w:szCs w:val="20"/>
        </w:rPr>
      </w:pPr>
    </w:p>
    <w:p w:rsidR="0035493A" w:rsidRPr="00454B84" w:rsidRDefault="0035493A" w:rsidP="001025C9">
      <w:pPr>
        <w:jc w:val="both"/>
        <w:rPr>
          <w:rFonts w:ascii="Arial" w:hAnsi="Arial" w:cs="Arial"/>
          <w:sz w:val="20"/>
          <w:szCs w:val="20"/>
        </w:rPr>
      </w:pPr>
    </w:p>
    <w:p w:rsidR="0035493A" w:rsidRPr="00454B84" w:rsidRDefault="003B74E4" w:rsidP="001025C9">
      <w:pPr>
        <w:jc w:val="both"/>
        <w:rPr>
          <w:rFonts w:ascii="Arial" w:hAnsi="Arial" w:cs="Arial"/>
          <w:b/>
          <w:color w:val="000064"/>
          <w:sz w:val="28"/>
          <w:szCs w:val="20"/>
        </w:rPr>
      </w:pPr>
      <w:r w:rsidRPr="00454B84">
        <w:rPr>
          <w:rFonts w:ascii="Arial" w:hAnsi="Arial" w:cs="Arial"/>
          <w:b/>
          <w:color w:val="000064"/>
          <w:sz w:val="28"/>
          <w:szCs w:val="20"/>
        </w:rPr>
        <w:t>Contents</w:t>
      </w:r>
    </w:p>
    <w:p w:rsidR="00576ED0" w:rsidRPr="00454B84" w:rsidRDefault="00576ED0" w:rsidP="001025C9">
      <w:pPr>
        <w:jc w:val="both"/>
        <w:rPr>
          <w:rFonts w:ascii="Arial" w:hAnsi="Arial" w:cs="Arial"/>
          <w:sz w:val="20"/>
          <w:szCs w:val="20"/>
        </w:rPr>
      </w:pPr>
    </w:p>
    <w:p w:rsidR="009B0520" w:rsidRPr="00454B84" w:rsidRDefault="009B0520" w:rsidP="001025C9">
      <w:pPr>
        <w:jc w:val="both"/>
        <w:rPr>
          <w:rFonts w:ascii="Arial" w:hAnsi="Arial" w:cs="Arial"/>
          <w:b/>
          <w:sz w:val="20"/>
          <w:szCs w:val="20"/>
        </w:rPr>
      </w:pPr>
    </w:p>
    <w:p w:rsidR="00C20CBE" w:rsidRDefault="00B42FDA">
      <w:pPr>
        <w:pStyle w:val="TOC1"/>
        <w:rPr>
          <w:rFonts w:asciiTheme="minorHAnsi" w:eastAsiaTheme="minorEastAsia" w:hAnsiTheme="minorHAnsi" w:cstheme="minorBidi"/>
          <w:b w:val="0"/>
          <w:color w:val="auto"/>
          <w:sz w:val="22"/>
          <w:szCs w:val="22"/>
          <w:lang w:eastAsia="en-AU"/>
        </w:rPr>
      </w:pPr>
      <w:r w:rsidRPr="00B42FDA">
        <w:rPr>
          <w:rFonts w:cs="Arial"/>
        </w:rPr>
        <w:fldChar w:fldCharType="begin"/>
      </w:r>
      <w:r w:rsidR="0035493A" w:rsidRPr="00454B84">
        <w:rPr>
          <w:rFonts w:cs="Arial"/>
        </w:rPr>
        <w:instrText xml:space="preserve"> TOC \o "1-2" \t "ATA Heading 2,2" </w:instrText>
      </w:r>
      <w:r w:rsidRPr="00B42FDA">
        <w:rPr>
          <w:rFonts w:cs="Arial"/>
        </w:rPr>
        <w:fldChar w:fldCharType="separate"/>
      </w:r>
      <w:r w:rsidR="00C20CBE" w:rsidRPr="00F84DF0">
        <w:t>1.</w:t>
      </w:r>
      <w:r w:rsidR="00C20CBE">
        <w:rPr>
          <w:rFonts w:asciiTheme="minorHAnsi" w:eastAsiaTheme="minorEastAsia" w:hAnsiTheme="minorHAnsi" w:cstheme="minorBidi"/>
          <w:b w:val="0"/>
          <w:color w:val="auto"/>
          <w:sz w:val="22"/>
          <w:szCs w:val="22"/>
          <w:lang w:eastAsia="en-AU"/>
        </w:rPr>
        <w:tab/>
      </w:r>
      <w:r w:rsidR="00C20CBE">
        <w:t>Introduction</w:t>
      </w:r>
      <w:r w:rsidR="00C20CBE">
        <w:tab/>
      </w:r>
      <w:r>
        <w:fldChar w:fldCharType="begin"/>
      </w:r>
      <w:r w:rsidR="00C20CBE">
        <w:instrText xml:space="preserve"> PAGEREF _Toc374626248 \h </w:instrText>
      </w:r>
      <w:r>
        <w:fldChar w:fldCharType="separate"/>
      </w:r>
      <w:r w:rsidR="0095241B">
        <w:t>3</w:t>
      </w:r>
      <w:r>
        <w:fldChar w:fldCharType="end"/>
      </w:r>
    </w:p>
    <w:p w:rsidR="00C20CBE" w:rsidRDefault="00C20CBE">
      <w:pPr>
        <w:pStyle w:val="TOC1"/>
        <w:rPr>
          <w:rFonts w:asciiTheme="minorHAnsi" w:eastAsiaTheme="minorEastAsia" w:hAnsiTheme="minorHAnsi" w:cstheme="minorBidi"/>
          <w:b w:val="0"/>
          <w:color w:val="auto"/>
          <w:sz w:val="22"/>
          <w:szCs w:val="22"/>
          <w:lang w:eastAsia="en-AU"/>
        </w:rPr>
      </w:pPr>
      <w:r w:rsidRPr="00F84DF0">
        <w:t>2.</w:t>
      </w:r>
      <w:r>
        <w:rPr>
          <w:rFonts w:asciiTheme="minorHAnsi" w:eastAsiaTheme="minorEastAsia" w:hAnsiTheme="minorHAnsi" w:cstheme="minorBidi"/>
          <w:b w:val="0"/>
          <w:color w:val="auto"/>
          <w:sz w:val="22"/>
          <w:szCs w:val="22"/>
          <w:lang w:eastAsia="en-AU"/>
        </w:rPr>
        <w:tab/>
      </w:r>
      <w:r>
        <w:t>Australian Trucking Association</w:t>
      </w:r>
      <w:r>
        <w:tab/>
      </w:r>
      <w:r w:rsidR="00B42FDA">
        <w:fldChar w:fldCharType="begin"/>
      </w:r>
      <w:r>
        <w:instrText xml:space="preserve"> PAGEREF _Toc374626249 \h </w:instrText>
      </w:r>
      <w:r w:rsidR="00B42FDA">
        <w:fldChar w:fldCharType="separate"/>
      </w:r>
      <w:r w:rsidR="0095241B">
        <w:t>3</w:t>
      </w:r>
      <w:r w:rsidR="00B42FDA">
        <w:fldChar w:fldCharType="end"/>
      </w:r>
    </w:p>
    <w:p w:rsidR="00C20CBE" w:rsidRDefault="00C20CBE">
      <w:pPr>
        <w:pStyle w:val="TOC1"/>
        <w:rPr>
          <w:rFonts w:asciiTheme="minorHAnsi" w:eastAsiaTheme="minorEastAsia" w:hAnsiTheme="minorHAnsi" w:cstheme="minorBidi"/>
          <w:b w:val="0"/>
          <w:color w:val="auto"/>
          <w:sz w:val="22"/>
          <w:szCs w:val="22"/>
          <w:lang w:eastAsia="en-AU"/>
        </w:rPr>
      </w:pPr>
      <w:r w:rsidRPr="00F84DF0">
        <w:t>3.</w:t>
      </w:r>
      <w:r>
        <w:rPr>
          <w:rFonts w:asciiTheme="minorHAnsi" w:eastAsiaTheme="minorEastAsia" w:hAnsiTheme="minorHAnsi" w:cstheme="minorBidi"/>
          <w:b w:val="0"/>
          <w:color w:val="auto"/>
          <w:sz w:val="22"/>
          <w:szCs w:val="22"/>
          <w:lang w:eastAsia="en-AU"/>
        </w:rPr>
        <w:tab/>
      </w:r>
      <w:r>
        <w:t>Executive Summary</w:t>
      </w:r>
      <w:r>
        <w:tab/>
      </w:r>
      <w:r w:rsidR="00B42FDA">
        <w:fldChar w:fldCharType="begin"/>
      </w:r>
      <w:r>
        <w:instrText xml:space="preserve"> PAGEREF _Toc374626250 \h </w:instrText>
      </w:r>
      <w:r w:rsidR="00B42FDA">
        <w:fldChar w:fldCharType="separate"/>
      </w:r>
      <w:r w:rsidR="0095241B">
        <w:t>3</w:t>
      </w:r>
      <w:r w:rsidR="00B42FDA">
        <w:fldChar w:fldCharType="end"/>
      </w:r>
    </w:p>
    <w:p w:rsidR="00C20CBE" w:rsidRDefault="00C20CBE">
      <w:pPr>
        <w:pStyle w:val="TOC1"/>
        <w:rPr>
          <w:rFonts w:asciiTheme="minorHAnsi" w:eastAsiaTheme="minorEastAsia" w:hAnsiTheme="minorHAnsi" w:cstheme="minorBidi"/>
          <w:b w:val="0"/>
          <w:color w:val="auto"/>
          <w:sz w:val="22"/>
          <w:szCs w:val="22"/>
          <w:lang w:eastAsia="en-AU"/>
        </w:rPr>
      </w:pPr>
      <w:r w:rsidRPr="00F84DF0">
        <w:t>4.</w:t>
      </w:r>
      <w:r>
        <w:rPr>
          <w:rFonts w:asciiTheme="minorHAnsi" w:eastAsiaTheme="minorEastAsia" w:hAnsiTheme="minorHAnsi" w:cstheme="minorBidi"/>
          <w:b w:val="0"/>
          <w:color w:val="auto"/>
          <w:sz w:val="22"/>
          <w:szCs w:val="22"/>
          <w:lang w:eastAsia="en-AU"/>
        </w:rPr>
        <w:tab/>
      </w:r>
      <w:r>
        <w:t>Government cooperation and practices</w:t>
      </w:r>
      <w:r>
        <w:tab/>
      </w:r>
      <w:r w:rsidR="00B42FDA">
        <w:fldChar w:fldCharType="begin"/>
      </w:r>
      <w:r>
        <w:instrText xml:space="preserve"> PAGEREF _Toc374626251 \h </w:instrText>
      </w:r>
      <w:r w:rsidR="00B42FDA">
        <w:fldChar w:fldCharType="separate"/>
      </w:r>
      <w:r w:rsidR="0095241B">
        <w:t>4</w:t>
      </w:r>
      <w:r w:rsidR="00B42FDA">
        <w:fldChar w:fldCharType="end"/>
      </w:r>
    </w:p>
    <w:p w:rsidR="00C20CBE" w:rsidRDefault="00C20CBE">
      <w:pPr>
        <w:pStyle w:val="TOC1"/>
        <w:rPr>
          <w:rFonts w:asciiTheme="minorHAnsi" w:eastAsiaTheme="minorEastAsia" w:hAnsiTheme="minorHAnsi" w:cstheme="minorBidi"/>
          <w:b w:val="0"/>
          <w:color w:val="auto"/>
          <w:sz w:val="22"/>
          <w:szCs w:val="22"/>
          <w:lang w:eastAsia="en-AU"/>
        </w:rPr>
      </w:pPr>
      <w:r w:rsidRPr="00F84DF0">
        <w:t>5.</w:t>
      </w:r>
      <w:r>
        <w:rPr>
          <w:rFonts w:asciiTheme="minorHAnsi" w:eastAsiaTheme="minorEastAsia" w:hAnsiTheme="minorHAnsi" w:cstheme="minorBidi"/>
          <w:b w:val="0"/>
          <w:color w:val="auto"/>
          <w:sz w:val="22"/>
          <w:szCs w:val="22"/>
          <w:lang w:eastAsia="en-AU"/>
        </w:rPr>
        <w:tab/>
      </w:r>
      <w:r>
        <w:t>Heavy vehicle infrastructure expenditure</w:t>
      </w:r>
      <w:r>
        <w:tab/>
      </w:r>
      <w:r w:rsidR="00B42FDA">
        <w:fldChar w:fldCharType="begin"/>
      </w:r>
      <w:r>
        <w:instrText xml:space="preserve"> PAGEREF _Toc374626252 \h </w:instrText>
      </w:r>
      <w:r w:rsidR="00B42FDA">
        <w:fldChar w:fldCharType="separate"/>
      </w:r>
      <w:r w:rsidR="0095241B">
        <w:t>5</w:t>
      </w:r>
      <w:r w:rsidR="00B42FDA">
        <w:fldChar w:fldCharType="end"/>
      </w:r>
    </w:p>
    <w:p w:rsidR="00C20CBE" w:rsidRPr="00C20CBE" w:rsidRDefault="00C20CBE">
      <w:pPr>
        <w:pStyle w:val="TOC1"/>
        <w:rPr>
          <w:rFonts w:asciiTheme="minorHAnsi" w:eastAsiaTheme="minorEastAsia" w:hAnsiTheme="minorHAnsi" w:cstheme="minorBidi"/>
          <w:b w:val="0"/>
          <w:color w:val="auto"/>
          <w:sz w:val="22"/>
          <w:szCs w:val="22"/>
          <w:lang w:eastAsia="en-AU"/>
        </w:rPr>
      </w:pPr>
      <w:r>
        <w:rPr>
          <w:b w:val="0"/>
        </w:rPr>
        <w:tab/>
      </w:r>
      <w:r w:rsidRPr="00C20CBE">
        <w:rPr>
          <w:b w:val="0"/>
        </w:rPr>
        <w:t>5.1</w:t>
      </w:r>
      <w:r>
        <w:rPr>
          <w:b w:val="0"/>
        </w:rPr>
        <w:t xml:space="preserve"> </w:t>
      </w:r>
      <w:r w:rsidRPr="00C20CBE">
        <w:rPr>
          <w:b w:val="0"/>
        </w:rPr>
        <w:t>The heavy vehicle charging model – PayGo</w:t>
      </w:r>
      <w:r w:rsidRPr="00C20CBE">
        <w:rPr>
          <w:b w:val="0"/>
        </w:rPr>
        <w:tab/>
      </w:r>
      <w:r w:rsidR="00B42FDA" w:rsidRPr="00C20CBE">
        <w:rPr>
          <w:b w:val="0"/>
        </w:rPr>
        <w:fldChar w:fldCharType="begin"/>
      </w:r>
      <w:r w:rsidRPr="00C20CBE">
        <w:rPr>
          <w:b w:val="0"/>
        </w:rPr>
        <w:instrText xml:space="preserve"> PAGEREF _Toc374626253 \h </w:instrText>
      </w:r>
      <w:r w:rsidR="00B42FDA" w:rsidRPr="00C20CBE">
        <w:rPr>
          <w:b w:val="0"/>
        </w:rPr>
      </w:r>
      <w:r w:rsidR="00B42FDA" w:rsidRPr="00C20CBE">
        <w:rPr>
          <w:b w:val="0"/>
        </w:rPr>
        <w:fldChar w:fldCharType="separate"/>
      </w:r>
      <w:r w:rsidR="0095241B">
        <w:rPr>
          <w:b w:val="0"/>
        </w:rPr>
        <w:t>5</w:t>
      </w:r>
      <w:r w:rsidR="00B42FDA" w:rsidRPr="00C20CBE">
        <w:rPr>
          <w:b w:val="0"/>
        </w:rPr>
        <w:fldChar w:fldCharType="end"/>
      </w:r>
    </w:p>
    <w:p w:rsidR="00C20CBE" w:rsidRPr="00C20CBE" w:rsidRDefault="00C20CBE">
      <w:pPr>
        <w:pStyle w:val="TOC1"/>
        <w:rPr>
          <w:rFonts w:asciiTheme="minorHAnsi" w:eastAsiaTheme="minorEastAsia" w:hAnsiTheme="minorHAnsi" w:cstheme="minorBidi"/>
          <w:b w:val="0"/>
          <w:color w:val="auto"/>
          <w:sz w:val="22"/>
          <w:szCs w:val="22"/>
          <w:lang w:eastAsia="en-AU"/>
        </w:rPr>
      </w:pPr>
      <w:r>
        <w:rPr>
          <w:b w:val="0"/>
        </w:rPr>
        <w:tab/>
      </w:r>
      <w:r w:rsidRPr="00C20CBE">
        <w:rPr>
          <w:b w:val="0"/>
        </w:rPr>
        <w:t>5.2</w:t>
      </w:r>
      <w:r>
        <w:rPr>
          <w:b w:val="0"/>
        </w:rPr>
        <w:t xml:space="preserve"> </w:t>
      </w:r>
      <w:r w:rsidRPr="00C20CBE">
        <w:rPr>
          <w:b w:val="0"/>
        </w:rPr>
        <w:t>State heavy vehicle expenditure reporting</w:t>
      </w:r>
      <w:r w:rsidRPr="00C20CBE">
        <w:rPr>
          <w:b w:val="0"/>
        </w:rPr>
        <w:tab/>
      </w:r>
      <w:r w:rsidR="00B42FDA" w:rsidRPr="00C20CBE">
        <w:rPr>
          <w:b w:val="0"/>
        </w:rPr>
        <w:fldChar w:fldCharType="begin"/>
      </w:r>
      <w:r w:rsidRPr="00C20CBE">
        <w:rPr>
          <w:b w:val="0"/>
        </w:rPr>
        <w:instrText xml:space="preserve"> PAGEREF _Toc374626254 \h </w:instrText>
      </w:r>
      <w:r w:rsidR="00B42FDA" w:rsidRPr="00C20CBE">
        <w:rPr>
          <w:b w:val="0"/>
        </w:rPr>
      </w:r>
      <w:r w:rsidR="00B42FDA" w:rsidRPr="00C20CBE">
        <w:rPr>
          <w:b w:val="0"/>
        </w:rPr>
        <w:fldChar w:fldCharType="separate"/>
      </w:r>
      <w:r w:rsidR="0095241B">
        <w:rPr>
          <w:b w:val="0"/>
        </w:rPr>
        <w:t>5</w:t>
      </w:r>
      <w:r w:rsidR="00B42FDA" w:rsidRPr="00C20CBE">
        <w:rPr>
          <w:b w:val="0"/>
        </w:rPr>
        <w:fldChar w:fldCharType="end"/>
      </w:r>
    </w:p>
    <w:p w:rsidR="00C20CBE" w:rsidRPr="00C20CBE" w:rsidRDefault="00C20CBE">
      <w:pPr>
        <w:pStyle w:val="TOC1"/>
        <w:rPr>
          <w:rFonts w:asciiTheme="minorHAnsi" w:eastAsiaTheme="minorEastAsia" w:hAnsiTheme="minorHAnsi" w:cstheme="minorBidi"/>
          <w:b w:val="0"/>
          <w:color w:val="auto"/>
          <w:sz w:val="22"/>
          <w:szCs w:val="22"/>
          <w:lang w:eastAsia="en-AU"/>
        </w:rPr>
      </w:pPr>
      <w:r>
        <w:rPr>
          <w:b w:val="0"/>
        </w:rPr>
        <w:tab/>
      </w:r>
      <w:r w:rsidRPr="00C20CBE">
        <w:rPr>
          <w:b w:val="0"/>
        </w:rPr>
        <w:t>5.3</w:t>
      </w:r>
      <w:r>
        <w:rPr>
          <w:b w:val="0"/>
        </w:rPr>
        <w:t xml:space="preserve"> </w:t>
      </w:r>
      <w:r w:rsidRPr="00C20CBE">
        <w:rPr>
          <w:b w:val="0"/>
        </w:rPr>
        <w:t>Audits</w:t>
      </w:r>
      <w:r w:rsidRPr="00C20CBE">
        <w:rPr>
          <w:b w:val="0"/>
        </w:rPr>
        <w:tab/>
      </w:r>
      <w:r w:rsidR="00B42FDA" w:rsidRPr="00C20CBE">
        <w:rPr>
          <w:b w:val="0"/>
        </w:rPr>
        <w:fldChar w:fldCharType="begin"/>
      </w:r>
      <w:r w:rsidRPr="00C20CBE">
        <w:rPr>
          <w:b w:val="0"/>
        </w:rPr>
        <w:instrText xml:space="preserve"> PAGEREF _Toc374626255 \h </w:instrText>
      </w:r>
      <w:r w:rsidR="00B42FDA" w:rsidRPr="00C20CBE">
        <w:rPr>
          <w:b w:val="0"/>
        </w:rPr>
      </w:r>
      <w:r w:rsidR="00B42FDA" w:rsidRPr="00C20CBE">
        <w:rPr>
          <w:b w:val="0"/>
        </w:rPr>
        <w:fldChar w:fldCharType="separate"/>
      </w:r>
      <w:r w:rsidR="0095241B">
        <w:rPr>
          <w:b w:val="0"/>
        </w:rPr>
        <w:t>6</w:t>
      </w:r>
      <w:r w:rsidR="00B42FDA" w:rsidRPr="00C20CBE">
        <w:rPr>
          <w:b w:val="0"/>
        </w:rPr>
        <w:fldChar w:fldCharType="end"/>
      </w:r>
    </w:p>
    <w:p w:rsidR="00C20CBE" w:rsidRPr="00C20CBE" w:rsidRDefault="00C20CBE">
      <w:pPr>
        <w:pStyle w:val="TOC1"/>
        <w:rPr>
          <w:rFonts w:asciiTheme="minorHAnsi" w:eastAsiaTheme="minorEastAsia" w:hAnsiTheme="minorHAnsi" w:cstheme="minorBidi"/>
          <w:b w:val="0"/>
          <w:color w:val="auto"/>
          <w:sz w:val="22"/>
          <w:szCs w:val="22"/>
          <w:lang w:eastAsia="en-AU"/>
        </w:rPr>
      </w:pPr>
      <w:r>
        <w:rPr>
          <w:b w:val="0"/>
        </w:rPr>
        <w:tab/>
      </w:r>
      <w:r w:rsidRPr="00C20CBE">
        <w:rPr>
          <w:b w:val="0"/>
        </w:rPr>
        <w:t>5.4</w:t>
      </w:r>
      <w:r>
        <w:rPr>
          <w:b w:val="0"/>
        </w:rPr>
        <w:t xml:space="preserve"> </w:t>
      </w:r>
      <w:r w:rsidRPr="00C20CBE">
        <w:rPr>
          <w:b w:val="0"/>
        </w:rPr>
        <w:t>Benchmarking</w:t>
      </w:r>
      <w:r w:rsidRPr="00C20CBE">
        <w:rPr>
          <w:b w:val="0"/>
        </w:rPr>
        <w:tab/>
      </w:r>
      <w:r w:rsidR="00B42FDA" w:rsidRPr="00C20CBE">
        <w:rPr>
          <w:b w:val="0"/>
        </w:rPr>
        <w:fldChar w:fldCharType="begin"/>
      </w:r>
      <w:r w:rsidRPr="00C20CBE">
        <w:rPr>
          <w:b w:val="0"/>
        </w:rPr>
        <w:instrText xml:space="preserve"> PAGEREF _Toc374626256 \h </w:instrText>
      </w:r>
      <w:r w:rsidR="00B42FDA" w:rsidRPr="00C20CBE">
        <w:rPr>
          <w:b w:val="0"/>
        </w:rPr>
      </w:r>
      <w:r w:rsidR="00B42FDA" w:rsidRPr="00C20CBE">
        <w:rPr>
          <w:b w:val="0"/>
        </w:rPr>
        <w:fldChar w:fldCharType="separate"/>
      </w:r>
      <w:r w:rsidR="0095241B">
        <w:rPr>
          <w:b w:val="0"/>
        </w:rPr>
        <w:t>6</w:t>
      </w:r>
      <w:r w:rsidR="00B42FDA" w:rsidRPr="00C20CBE">
        <w:rPr>
          <w:b w:val="0"/>
        </w:rPr>
        <w:fldChar w:fldCharType="end"/>
      </w:r>
    </w:p>
    <w:p w:rsidR="00C20CBE" w:rsidRDefault="00C20CBE">
      <w:pPr>
        <w:pStyle w:val="TOC1"/>
        <w:rPr>
          <w:rFonts w:asciiTheme="minorHAnsi" w:eastAsiaTheme="minorEastAsia" w:hAnsiTheme="minorHAnsi" w:cstheme="minorBidi"/>
          <w:b w:val="0"/>
          <w:color w:val="auto"/>
          <w:sz w:val="22"/>
          <w:szCs w:val="22"/>
          <w:lang w:eastAsia="en-AU"/>
        </w:rPr>
      </w:pPr>
      <w:r w:rsidRPr="00F84DF0">
        <w:t>6.</w:t>
      </w:r>
      <w:r>
        <w:rPr>
          <w:rFonts w:asciiTheme="minorHAnsi" w:eastAsiaTheme="minorEastAsia" w:hAnsiTheme="minorHAnsi" w:cstheme="minorBidi"/>
          <w:b w:val="0"/>
          <w:color w:val="auto"/>
          <w:sz w:val="22"/>
          <w:szCs w:val="22"/>
          <w:lang w:eastAsia="en-AU"/>
        </w:rPr>
        <w:tab/>
      </w:r>
      <w:r>
        <w:t>Project governance</w:t>
      </w:r>
      <w:r>
        <w:tab/>
      </w:r>
      <w:r w:rsidR="00B42FDA">
        <w:fldChar w:fldCharType="begin"/>
      </w:r>
      <w:r>
        <w:instrText xml:space="preserve"> PAGEREF _Toc374626257 \h </w:instrText>
      </w:r>
      <w:r w:rsidR="00B42FDA">
        <w:fldChar w:fldCharType="separate"/>
      </w:r>
      <w:r w:rsidR="0095241B">
        <w:t>7</w:t>
      </w:r>
      <w:r w:rsidR="00B42FDA">
        <w:fldChar w:fldCharType="end"/>
      </w:r>
    </w:p>
    <w:p w:rsidR="00C20CBE" w:rsidRDefault="00C20CBE">
      <w:pPr>
        <w:pStyle w:val="TOC1"/>
        <w:rPr>
          <w:rFonts w:asciiTheme="minorHAnsi" w:eastAsiaTheme="minorEastAsia" w:hAnsiTheme="minorHAnsi" w:cstheme="minorBidi"/>
          <w:b w:val="0"/>
          <w:color w:val="auto"/>
          <w:sz w:val="22"/>
          <w:szCs w:val="22"/>
          <w:lang w:eastAsia="en-AU"/>
        </w:rPr>
      </w:pPr>
      <w:r w:rsidRPr="00F84DF0">
        <w:t>7.</w:t>
      </w:r>
      <w:r>
        <w:rPr>
          <w:rFonts w:asciiTheme="minorHAnsi" w:eastAsiaTheme="minorEastAsia" w:hAnsiTheme="minorHAnsi" w:cstheme="minorBidi"/>
          <w:b w:val="0"/>
          <w:color w:val="auto"/>
          <w:sz w:val="22"/>
          <w:szCs w:val="22"/>
          <w:lang w:eastAsia="en-AU"/>
        </w:rPr>
        <w:tab/>
      </w:r>
      <w:r>
        <w:t>Alternative sources of infrastructure financing</w:t>
      </w:r>
      <w:r>
        <w:tab/>
      </w:r>
      <w:r w:rsidR="00B42FDA">
        <w:fldChar w:fldCharType="begin"/>
      </w:r>
      <w:r>
        <w:instrText xml:space="preserve"> PAGEREF _Toc374626258 \h </w:instrText>
      </w:r>
      <w:r w:rsidR="00B42FDA">
        <w:fldChar w:fldCharType="separate"/>
      </w:r>
      <w:r w:rsidR="0095241B">
        <w:t>7</w:t>
      </w:r>
      <w:r w:rsidR="00B42FDA">
        <w:fldChar w:fldCharType="end"/>
      </w:r>
    </w:p>
    <w:p w:rsidR="00C20CBE" w:rsidRPr="00C20CBE" w:rsidRDefault="00C20CBE">
      <w:pPr>
        <w:pStyle w:val="TOC1"/>
        <w:rPr>
          <w:rFonts w:asciiTheme="minorHAnsi" w:eastAsiaTheme="minorEastAsia" w:hAnsiTheme="minorHAnsi" w:cstheme="minorBidi"/>
          <w:b w:val="0"/>
          <w:color w:val="auto"/>
          <w:sz w:val="22"/>
          <w:szCs w:val="22"/>
          <w:lang w:eastAsia="en-AU"/>
        </w:rPr>
      </w:pPr>
      <w:r>
        <w:rPr>
          <w:b w:val="0"/>
        </w:rPr>
        <w:tab/>
      </w:r>
      <w:r w:rsidRPr="00C20CBE">
        <w:rPr>
          <w:b w:val="0"/>
        </w:rPr>
        <w:t>7.1</w:t>
      </w:r>
      <w:r>
        <w:rPr>
          <w:b w:val="0"/>
        </w:rPr>
        <w:t xml:space="preserve"> </w:t>
      </w:r>
      <w:r w:rsidRPr="00C20CBE">
        <w:rPr>
          <w:b w:val="0"/>
        </w:rPr>
        <w:t>Private investment</w:t>
      </w:r>
      <w:r w:rsidRPr="00C20CBE">
        <w:rPr>
          <w:b w:val="0"/>
        </w:rPr>
        <w:tab/>
      </w:r>
      <w:r w:rsidR="00B42FDA" w:rsidRPr="00C20CBE">
        <w:rPr>
          <w:b w:val="0"/>
        </w:rPr>
        <w:fldChar w:fldCharType="begin"/>
      </w:r>
      <w:r w:rsidRPr="00C20CBE">
        <w:rPr>
          <w:b w:val="0"/>
        </w:rPr>
        <w:instrText xml:space="preserve"> PAGEREF _Toc374626259 \h </w:instrText>
      </w:r>
      <w:r w:rsidR="00B42FDA" w:rsidRPr="00C20CBE">
        <w:rPr>
          <w:b w:val="0"/>
        </w:rPr>
      </w:r>
      <w:r w:rsidR="00B42FDA" w:rsidRPr="00C20CBE">
        <w:rPr>
          <w:b w:val="0"/>
        </w:rPr>
        <w:fldChar w:fldCharType="separate"/>
      </w:r>
      <w:r w:rsidR="0095241B">
        <w:rPr>
          <w:b w:val="0"/>
        </w:rPr>
        <w:t>7</w:t>
      </w:r>
      <w:r w:rsidR="00B42FDA" w:rsidRPr="00C20CBE">
        <w:rPr>
          <w:b w:val="0"/>
        </w:rPr>
        <w:fldChar w:fldCharType="end"/>
      </w:r>
    </w:p>
    <w:p w:rsidR="00C20CBE" w:rsidRPr="00C20CBE" w:rsidRDefault="00C20CBE">
      <w:pPr>
        <w:pStyle w:val="TOC1"/>
        <w:rPr>
          <w:rFonts w:asciiTheme="minorHAnsi" w:eastAsiaTheme="minorEastAsia" w:hAnsiTheme="minorHAnsi" w:cstheme="minorBidi"/>
          <w:b w:val="0"/>
          <w:color w:val="auto"/>
          <w:sz w:val="22"/>
          <w:szCs w:val="22"/>
          <w:lang w:eastAsia="en-AU"/>
        </w:rPr>
      </w:pPr>
      <w:r>
        <w:rPr>
          <w:b w:val="0"/>
        </w:rPr>
        <w:tab/>
      </w:r>
      <w:r w:rsidRPr="00C20CBE">
        <w:rPr>
          <w:b w:val="0"/>
        </w:rPr>
        <w:t>7.2</w:t>
      </w:r>
      <w:r>
        <w:rPr>
          <w:b w:val="0"/>
        </w:rPr>
        <w:t xml:space="preserve"> </w:t>
      </w:r>
      <w:r w:rsidRPr="00C20CBE">
        <w:rPr>
          <w:b w:val="0"/>
        </w:rPr>
        <w:t>Marginal cost user charges</w:t>
      </w:r>
      <w:r w:rsidRPr="00C20CBE">
        <w:rPr>
          <w:b w:val="0"/>
        </w:rPr>
        <w:tab/>
      </w:r>
      <w:r w:rsidR="00B42FDA" w:rsidRPr="00C20CBE">
        <w:rPr>
          <w:b w:val="0"/>
        </w:rPr>
        <w:fldChar w:fldCharType="begin"/>
      </w:r>
      <w:r w:rsidRPr="00C20CBE">
        <w:rPr>
          <w:b w:val="0"/>
        </w:rPr>
        <w:instrText xml:space="preserve"> PAGEREF _Toc374626260 \h </w:instrText>
      </w:r>
      <w:r w:rsidR="00B42FDA" w:rsidRPr="00C20CBE">
        <w:rPr>
          <w:b w:val="0"/>
        </w:rPr>
      </w:r>
      <w:r w:rsidR="00B42FDA" w:rsidRPr="00C20CBE">
        <w:rPr>
          <w:b w:val="0"/>
        </w:rPr>
        <w:fldChar w:fldCharType="separate"/>
      </w:r>
      <w:r w:rsidR="0095241B">
        <w:rPr>
          <w:b w:val="0"/>
        </w:rPr>
        <w:t>8</w:t>
      </w:r>
      <w:r w:rsidR="00B42FDA" w:rsidRPr="00C20CBE">
        <w:rPr>
          <w:b w:val="0"/>
        </w:rPr>
        <w:fldChar w:fldCharType="end"/>
      </w:r>
    </w:p>
    <w:p w:rsidR="00C20CBE" w:rsidRDefault="00C20CBE">
      <w:pPr>
        <w:pStyle w:val="TOC1"/>
        <w:rPr>
          <w:rFonts w:asciiTheme="minorHAnsi" w:eastAsiaTheme="minorEastAsia" w:hAnsiTheme="minorHAnsi" w:cstheme="minorBidi"/>
          <w:b w:val="0"/>
          <w:color w:val="auto"/>
          <w:sz w:val="22"/>
          <w:szCs w:val="22"/>
          <w:lang w:eastAsia="en-AU"/>
        </w:rPr>
      </w:pPr>
      <w:r w:rsidRPr="00F84DF0">
        <w:t>8.</w:t>
      </w:r>
      <w:r>
        <w:rPr>
          <w:rFonts w:asciiTheme="minorHAnsi" w:eastAsiaTheme="minorEastAsia" w:hAnsiTheme="minorHAnsi" w:cstheme="minorBidi"/>
          <w:b w:val="0"/>
          <w:color w:val="auto"/>
          <w:sz w:val="22"/>
          <w:szCs w:val="22"/>
          <w:lang w:eastAsia="en-AU"/>
        </w:rPr>
        <w:tab/>
      </w:r>
      <w:r>
        <w:t>Heavy vehicle access demand</w:t>
      </w:r>
      <w:r>
        <w:tab/>
      </w:r>
      <w:r w:rsidR="00B42FDA">
        <w:fldChar w:fldCharType="begin"/>
      </w:r>
      <w:r>
        <w:instrText xml:space="preserve"> PAGEREF _Toc374626261 \h </w:instrText>
      </w:r>
      <w:r w:rsidR="00B42FDA">
        <w:fldChar w:fldCharType="separate"/>
      </w:r>
      <w:r w:rsidR="0095241B">
        <w:t>9</w:t>
      </w:r>
      <w:r w:rsidR="00B42FDA">
        <w:fldChar w:fldCharType="end"/>
      </w:r>
    </w:p>
    <w:p w:rsidR="00C20CBE" w:rsidRPr="00C20CBE" w:rsidRDefault="00C20CBE">
      <w:pPr>
        <w:pStyle w:val="TOC1"/>
        <w:rPr>
          <w:rFonts w:asciiTheme="minorHAnsi" w:eastAsiaTheme="minorEastAsia" w:hAnsiTheme="minorHAnsi" w:cstheme="minorBidi"/>
          <w:b w:val="0"/>
          <w:color w:val="auto"/>
          <w:sz w:val="22"/>
          <w:szCs w:val="22"/>
          <w:lang w:eastAsia="en-AU"/>
        </w:rPr>
      </w:pPr>
      <w:r>
        <w:rPr>
          <w:b w:val="0"/>
        </w:rPr>
        <w:tab/>
      </w:r>
      <w:r w:rsidRPr="00C20CBE">
        <w:rPr>
          <w:b w:val="0"/>
        </w:rPr>
        <w:t>8.1</w:t>
      </w:r>
      <w:r>
        <w:rPr>
          <w:rFonts w:asciiTheme="minorHAnsi" w:eastAsiaTheme="minorEastAsia" w:hAnsiTheme="minorHAnsi" w:cstheme="minorBidi"/>
          <w:b w:val="0"/>
          <w:color w:val="auto"/>
          <w:sz w:val="22"/>
          <w:szCs w:val="22"/>
          <w:lang w:eastAsia="en-AU"/>
        </w:rPr>
        <w:t xml:space="preserve"> L</w:t>
      </w:r>
      <w:r w:rsidRPr="00C20CBE">
        <w:rPr>
          <w:b w:val="0"/>
        </w:rPr>
        <w:t>ast and first mile access</w:t>
      </w:r>
      <w:r w:rsidRPr="00C20CBE">
        <w:rPr>
          <w:b w:val="0"/>
        </w:rPr>
        <w:tab/>
      </w:r>
      <w:r w:rsidR="00B42FDA" w:rsidRPr="00C20CBE">
        <w:rPr>
          <w:b w:val="0"/>
        </w:rPr>
        <w:fldChar w:fldCharType="begin"/>
      </w:r>
      <w:r w:rsidRPr="00C20CBE">
        <w:rPr>
          <w:b w:val="0"/>
        </w:rPr>
        <w:instrText xml:space="preserve"> PAGEREF _Toc374626262 \h </w:instrText>
      </w:r>
      <w:r w:rsidR="00B42FDA" w:rsidRPr="00C20CBE">
        <w:rPr>
          <w:b w:val="0"/>
        </w:rPr>
      </w:r>
      <w:r w:rsidR="00B42FDA" w:rsidRPr="00C20CBE">
        <w:rPr>
          <w:b w:val="0"/>
        </w:rPr>
        <w:fldChar w:fldCharType="separate"/>
      </w:r>
      <w:r w:rsidR="0095241B">
        <w:rPr>
          <w:b w:val="0"/>
        </w:rPr>
        <w:t>9</w:t>
      </w:r>
      <w:r w:rsidR="00B42FDA" w:rsidRPr="00C20CBE">
        <w:rPr>
          <w:b w:val="0"/>
        </w:rPr>
        <w:fldChar w:fldCharType="end"/>
      </w:r>
    </w:p>
    <w:p w:rsidR="00C20CBE" w:rsidRPr="00C20CBE" w:rsidRDefault="00C20CBE" w:rsidP="00C20CBE">
      <w:pPr>
        <w:pStyle w:val="TOC1"/>
        <w:ind w:firstLine="442"/>
        <w:rPr>
          <w:rFonts w:asciiTheme="minorHAnsi" w:eastAsiaTheme="minorEastAsia" w:hAnsiTheme="minorHAnsi" w:cstheme="minorBidi"/>
          <w:b w:val="0"/>
          <w:color w:val="auto"/>
          <w:sz w:val="22"/>
          <w:szCs w:val="22"/>
          <w:lang w:eastAsia="en-AU"/>
        </w:rPr>
      </w:pPr>
      <w:r w:rsidRPr="00C20CBE">
        <w:rPr>
          <w:b w:val="0"/>
        </w:rPr>
        <w:t>8.2</w:t>
      </w:r>
      <w:r>
        <w:rPr>
          <w:rFonts w:asciiTheme="minorHAnsi" w:eastAsiaTheme="minorEastAsia" w:hAnsiTheme="minorHAnsi" w:cstheme="minorBidi"/>
          <w:b w:val="0"/>
          <w:color w:val="auto"/>
          <w:sz w:val="22"/>
          <w:szCs w:val="22"/>
          <w:lang w:eastAsia="en-AU"/>
        </w:rPr>
        <w:t xml:space="preserve"> </w:t>
      </w:r>
      <w:r w:rsidRPr="00C20CBE">
        <w:rPr>
          <w:b w:val="0"/>
        </w:rPr>
        <w:t>Heavy vehicle infrastructure maintenance</w:t>
      </w:r>
      <w:r w:rsidRPr="00C20CBE">
        <w:rPr>
          <w:b w:val="0"/>
        </w:rPr>
        <w:tab/>
      </w:r>
      <w:r w:rsidR="00B42FDA" w:rsidRPr="00C20CBE">
        <w:rPr>
          <w:b w:val="0"/>
        </w:rPr>
        <w:fldChar w:fldCharType="begin"/>
      </w:r>
      <w:r w:rsidRPr="00C20CBE">
        <w:rPr>
          <w:b w:val="0"/>
        </w:rPr>
        <w:instrText xml:space="preserve"> PAGEREF _Toc374626263 \h </w:instrText>
      </w:r>
      <w:r w:rsidR="00B42FDA" w:rsidRPr="00C20CBE">
        <w:rPr>
          <w:b w:val="0"/>
        </w:rPr>
      </w:r>
      <w:r w:rsidR="00B42FDA" w:rsidRPr="00C20CBE">
        <w:rPr>
          <w:b w:val="0"/>
        </w:rPr>
        <w:fldChar w:fldCharType="separate"/>
      </w:r>
      <w:r w:rsidR="0095241B">
        <w:rPr>
          <w:b w:val="0"/>
        </w:rPr>
        <w:t>10</w:t>
      </w:r>
      <w:r w:rsidR="00B42FDA" w:rsidRPr="00C20CBE">
        <w:rPr>
          <w:b w:val="0"/>
        </w:rPr>
        <w:fldChar w:fldCharType="end"/>
      </w:r>
    </w:p>
    <w:p w:rsidR="00C20CBE" w:rsidRDefault="00C20CBE">
      <w:pPr>
        <w:pStyle w:val="TOC1"/>
        <w:rPr>
          <w:rFonts w:asciiTheme="minorHAnsi" w:eastAsiaTheme="minorEastAsia" w:hAnsiTheme="minorHAnsi" w:cstheme="minorBidi"/>
          <w:b w:val="0"/>
          <w:color w:val="auto"/>
          <w:sz w:val="22"/>
          <w:szCs w:val="22"/>
          <w:lang w:eastAsia="en-AU"/>
        </w:rPr>
      </w:pPr>
      <w:r w:rsidRPr="00F84DF0">
        <w:t>9.</w:t>
      </w:r>
      <w:r>
        <w:rPr>
          <w:rFonts w:asciiTheme="minorHAnsi" w:eastAsiaTheme="minorEastAsia" w:hAnsiTheme="minorHAnsi" w:cstheme="minorBidi"/>
          <w:b w:val="0"/>
          <w:color w:val="auto"/>
          <w:sz w:val="22"/>
          <w:szCs w:val="22"/>
          <w:lang w:eastAsia="en-AU"/>
        </w:rPr>
        <w:tab/>
      </w:r>
      <w:r>
        <w:t>Inputs into road infrastructure projects</w:t>
      </w:r>
      <w:r>
        <w:tab/>
      </w:r>
      <w:r w:rsidR="00B42FDA">
        <w:fldChar w:fldCharType="begin"/>
      </w:r>
      <w:r>
        <w:instrText xml:space="preserve"> PAGEREF _Toc374626264 \h </w:instrText>
      </w:r>
      <w:r w:rsidR="00B42FDA">
        <w:fldChar w:fldCharType="separate"/>
      </w:r>
      <w:r w:rsidR="0095241B">
        <w:t>11</w:t>
      </w:r>
      <w:r w:rsidR="00B42FDA">
        <w:fldChar w:fldCharType="end"/>
      </w:r>
    </w:p>
    <w:p w:rsidR="00646000" w:rsidRPr="00454B84" w:rsidRDefault="00B42FDA" w:rsidP="001025C9">
      <w:pPr>
        <w:tabs>
          <w:tab w:val="right" w:leader="dot" w:pos="9645"/>
        </w:tabs>
        <w:jc w:val="both"/>
        <w:rPr>
          <w:rFonts w:ascii="Arial" w:hAnsi="Arial" w:cs="Arial"/>
          <w:b/>
          <w:sz w:val="20"/>
          <w:szCs w:val="20"/>
        </w:rPr>
      </w:pPr>
      <w:r w:rsidRPr="00454B84">
        <w:rPr>
          <w:rFonts w:ascii="Arial" w:hAnsi="Arial" w:cs="Arial"/>
          <w:b/>
          <w:sz w:val="20"/>
          <w:szCs w:val="20"/>
        </w:rPr>
        <w:fldChar w:fldCharType="end"/>
      </w:r>
    </w:p>
    <w:p w:rsidR="00241C15" w:rsidRPr="00AB2529" w:rsidRDefault="00646000" w:rsidP="001025C9">
      <w:pPr>
        <w:tabs>
          <w:tab w:val="right" w:leader="dot" w:pos="9645"/>
        </w:tabs>
        <w:jc w:val="both"/>
        <w:rPr>
          <w:rFonts w:ascii="Arial" w:hAnsi="Arial" w:cs="Arial"/>
          <w:b/>
          <w:sz w:val="20"/>
          <w:szCs w:val="20"/>
        </w:rPr>
      </w:pPr>
      <w:r w:rsidRPr="00454B84">
        <w:rPr>
          <w:rFonts w:ascii="Arial" w:hAnsi="Arial" w:cs="Arial"/>
          <w:b/>
          <w:sz w:val="20"/>
          <w:szCs w:val="20"/>
        </w:rPr>
        <w:t xml:space="preserve">Appendix A: </w:t>
      </w:r>
      <w:r w:rsidR="003F082D" w:rsidRPr="00454B84">
        <w:rPr>
          <w:rFonts w:ascii="Arial" w:hAnsi="Arial" w:cs="Arial"/>
          <w:b/>
          <w:bCs/>
          <w:sz w:val="20"/>
          <w:szCs w:val="20"/>
        </w:rPr>
        <w:t>Road expenditure and maintenance expenditure 2012-13</w:t>
      </w:r>
      <w:r w:rsidR="003F4E83" w:rsidRPr="00AB2529">
        <w:rPr>
          <w:rFonts w:ascii="Arial" w:hAnsi="Arial" w:cs="Arial"/>
          <w:b/>
          <w:bCs/>
          <w:sz w:val="20"/>
          <w:szCs w:val="20"/>
        </w:rPr>
        <w:t>……………………………………13</w:t>
      </w:r>
    </w:p>
    <w:p w:rsidR="00646000" w:rsidRPr="00AB2529" w:rsidRDefault="00646000" w:rsidP="001025C9">
      <w:pPr>
        <w:tabs>
          <w:tab w:val="right" w:leader="dot" w:pos="9645"/>
        </w:tabs>
        <w:jc w:val="both"/>
        <w:rPr>
          <w:rFonts w:ascii="Arial" w:hAnsi="Arial" w:cs="Arial"/>
          <w:b/>
          <w:sz w:val="20"/>
          <w:szCs w:val="20"/>
        </w:rPr>
      </w:pPr>
    </w:p>
    <w:p w:rsidR="00646000" w:rsidRPr="00AB2529" w:rsidRDefault="00646000" w:rsidP="001025C9">
      <w:pPr>
        <w:tabs>
          <w:tab w:val="right" w:leader="dot" w:pos="9645"/>
        </w:tabs>
        <w:jc w:val="both"/>
        <w:rPr>
          <w:rFonts w:ascii="Arial" w:hAnsi="Arial" w:cs="Arial"/>
          <w:b/>
          <w:sz w:val="20"/>
          <w:szCs w:val="20"/>
        </w:rPr>
      </w:pPr>
      <w:r w:rsidRPr="00AB2529">
        <w:rPr>
          <w:rFonts w:ascii="Arial" w:hAnsi="Arial" w:cs="Arial"/>
          <w:b/>
          <w:sz w:val="20"/>
          <w:szCs w:val="20"/>
        </w:rPr>
        <w:t>Appendix B</w:t>
      </w:r>
      <w:r w:rsidR="003F082D" w:rsidRPr="00AB2529">
        <w:rPr>
          <w:rFonts w:ascii="Arial" w:hAnsi="Arial" w:cs="Arial"/>
          <w:b/>
          <w:sz w:val="20"/>
          <w:szCs w:val="20"/>
        </w:rPr>
        <w:t>: The ATA and Barkwood Consulting Pty Ltd Truck Impact Chart</w:t>
      </w:r>
      <w:r w:rsidR="005F4F92" w:rsidRPr="00AB2529">
        <w:rPr>
          <w:rFonts w:ascii="Arial" w:hAnsi="Arial" w:cs="Arial"/>
          <w:b/>
          <w:sz w:val="20"/>
          <w:szCs w:val="20"/>
        </w:rPr>
        <w:t>………………….………..1</w:t>
      </w:r>
      <w:r w:rsidR="003F4E83" w:rsidRPr="00AB2529">
        <w:rPr>
          <w:rFonts w:ascii="Arial" w:hAnsi="Arial" w:cs="Arial"/>
          <w:b/>
          <w:sz w:val="20"/>
          <w:szCs w:val="20"/>
        </w:rPr>
        <w:t>4</w:t>
      </w:r>
    </w:p>
    <w:p w:rsidR="00576ED0" w:rsidRPr="00454B84" w:rsidRDefault="00576ED0" w:rsidP="001025C9">
      <w:pPr>
        <w:jc w:val="both"/>
        <w:rPr>
          <w:rFonts w:ascii="Arial" w:hAnsi="Arial" w:cs="Arial"/>
          <w:b/>
          <w:sz w:val="20"/>
          <w:szCs w:val="20"/>
        </w:rPr>
      </w:pPr>
      <w:r w:rsidRPr="00454B84">
        <w:rPr>
          <w:rFonts w:ascii="Arial" w:hAnsi="Arial" w:cs="Arial"/>
          <w:b/>
          <w:sz w:val="20"/>
          <w:szCs w:val="20"/>
        </w:rPr>
        <w:br w:type="page"/>
      </w:r>
    </w:p>
    <w:p w:rsidR="00576ED0" w:rsidRPr="00454B84" w:rsidRDefault="00576ED0" w:rsidP="001025C9">
      <w:pPr>
        <w:pStyle w:val="Heading1"/>
        <w:jc w:val="both"/>
        <w:rPr>
          <w:szCs w:val="20"/>
        </w:rPr>
      </w:pPr>
      <w:bookmarkStart w:id="0" w:name="_Toc374626248"/>
      <w:r w:rsidRPr="00454B84">
        <w:rPr>
          <w:szCs w:val="20"/>
        </w:rPr>
        <w:lastRenderedPageBreak/>
        <w:t>Introduction</w:t>
      </w:r>
      <w:bookmarkEnd w:id="0"/>
    </w:p>
    <w:p w:rsidR="00D17563" w:rsidRPr="00454B84" w:rsidRDefault="00D17563" w:rsidP="001025C9">
      <w:pPr>
        <w:jc w:val="both"/>
        <w:rPr>
          <w:rFonts w:ascii="Arial" w:hAnsi="Arial" w:cs="Arial"/>
          <w:sz w:val="20"/>
          <w:szCs w:val="20"/>
        </w:rPr>
      </w:pPr>
    </w:p>
    <w:p w:rsidR="00F54D90" w:rsidRPr="00454B84" w:rsidRDefault="003D3354"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The P</w:t>
      </w:r>
      <w:r w:rsidR="00166E38" w:rsidRPr="00454B84">
        <w:rPr>
          <w:rFonts w:ascii="Arial" w:eastAsiaTheme="minorHAnsi" w:hAnsi="Arial" w:cs="Arial"/>
          <w:sz w:val="20"/>
          <w:szCs w:val="20"/>
        </w:rPr>
        <w:t xml:space="preserve">roductivity Commission </w:t>
      </w:r>
      <w:r w:rsidR="00F54D90" w:rsidRPr="00454B84">
        <w:rPr>
          <w:rFonts w:ascii="Arial" w:eastAsiaTheme="minorHAnsi" w:hAnsi="Arial" w:cs="Arial"/>
          <w:sz w:val="20"/>
          <w:szCs w:val="20"/>
        </w:rPr>
        <w:t>enquiry into</w:t>
      </w:r>
      <w:r w:rsidRPr="00454B84">
        <w:rPr>
          <w:rFonts w:ascii="Arial" w:eastAsiaTheme="minorHAnsi" w:hAnsi="Arial" w:cs="Arial"/>
          <w:sz w:val="20"/>
          <w:szCs w:val="20"/>
        </w:rPr>
        <w:t xml:space="preserve"> public infrastructure is focus</w:t>
      </w:r>
      <w:r w:rsidR="00F54D90" w:rsidRPr="00454B84">
        <w:rPr>
          <w:rFonts w:ascii="Arial" w:eastAsiaTheme="minorHAnsi" w:hAnsi="Arial" w:cs="Arial"/>
          <w:sz w:val="20"/>
          <w:szCs w:val="20"/>
        </w:rPr>
        <w:t xml:space="preserve">ing on two broad streams of work: </w:t>
      </w:r>
    </w:p>
    <w:p w:rsidR="00166E38" w:rsidRPr="00454B84" w:rsidRDefault="00F54D90" w:rsidP="00F54D90">
      <w:pPr>
        <w:pStyle w:val="ListParagraph"/>
        <w:numPr>
          <w:ilvl w:val="0"/>
          <w:numId w:val="6"/>
        </w:numPr>
        <w:spacing w:after="0"/>
        <w:rPr>
          <w:rFonts w:ascii="Arial" w:eastAsiaTheme="minorHAnsi" w:hAnsi="Arial" w:cs="Arial"/>
          <w:sz w:val="20"/>
          <w:szCs w:val="20"/>
        </w:rPr>
      </w:pPr>
      <w:r w:rsidRPr="00454B84">
        <w:rPr>
          <w:rFonts w:ascii="Arial" w:eastAsiaTheme="minorHAnsi" w:hAnsi="Arial" w:cs="Arial"/>
          <w:sz w:val="20"/>
          <w:szCs w:val="20"/>
        </w:rPr>
        <w:t>the provision, funding, and financing of major public infrastructure</w:t>
      </w:r>
      <w:r w:rsidR="00025A7B" w:rsidRPr="00454B84">
        <w:rPr>
          <w:rFonts w:ascii="Arial" w:eastAsiaTheme="minorHAnsi" w:hAnsi="Arial" w:cs="Arial"/>
          <w:sz w:val="20"/>
          <w:szCs w:val="20"/>
        </w:rPr>
        <w:t xml:space="preserve">, and </w:t>
      </w:r>
    </w:p>
    <w:p w:rsidR="00F54D90" w:rsidRPr="00454B84" w:rsidRDefault="00F54D90" w:rsidP="00F54D90">
      <w:pPr>
        <w:pStyle w:val="ListParagraph"/>
        <w:numPr>
          <w:ilvl w:val="0"/>
          <w:numId w:val="6"/>
        </w:numPr>
        <w:spacing w:after="0"/>
        <w:rPr>
          <w:rFonts w:ascii="Arial" w:eastAsiaTheme="minorHAnsi" w:hAnsi="Arial" w:cs="Arial"/>
          <w:sz w:val="20"/>
          <w:szCs w:val="20"/>
        </w:rPr>
      </w:pPr>
      <w:proofErr w:type="gramStart"/>
      <w:r w:rsidRPr="00454B84">
        <w:rPr>
          <w:rFonts w:ascii="Arial" w:eastAsiaTheme="minorHAnsi" w:hAnsi="Arial" w:cs="Arial"/>
          <w:sz w:val="20"/>
          <w:szCs w:val="20"/>
        </w:rPr>
        <w:t>the</w:t>
      </w:r>
      <w:proofErr w:type="gramEnd"/>
      <w:r w:rsidRPr="00454B84">
        <w:rPr>
          <w:rFonts w:ascii="Arial" w:eastAsiaTheme="minorHAnsi" w:hAnsi="Arial" w:cs="Arial"/>
          <w:sz w:val="20"/>
          <w:szCs w:val="20"/>
        </w:rPr>
        <w:t xml:space="preserve"> scope for reducing the costs associated with such infrastructure. </w:t>
      </w:r>
    </w:p>
    <w:p w:rsidR="00F54D90" w:rsidRPr="00454B84" w:rsidRDefault="00F54D90" w:rsidP="00F54D90">
      <w:pPr>
        <w:rPr>
          <w:rFonts w:ascii="Arial" w:eastAsiaTheme="minorHAnsi" w:hAnsi="Arial" w:cs="Arial"/>
          <w:sz w:val="20"/>
          <w:szCs w:val="20"/>
        </w:rPr>
      </w:pPr>
    </w:p>
    <w:p w:rsidR="00F54D90" w:rsidRPr="00454B84" w:rsidRDefault="003D3354" w:rsidP="00F54D90">
      <w:pPr>
        <w:rPr>
          <w:rFonts w:ascii="Arial" w:eastAsiaTheme="minorHAnsi" w:hAnsi="Arial" w:cs="Arial"/>
          <w:sz w:val="20"/>
          <w:szCs w:val="20"/>
        </w:rPr>
      </w:pPr>
      <w:r w:rsidRPr="00454B84">
        <w:rPr>
          <w:rFonts w:ascii="Arial" w:eastAsiaTheme="minorHAnsi" w:hAnsi="Arial" w:cs="Arial"/>
          <w:sz w:val="20"/>
          <w:szCs w:val="20"/>
        </w:rPr>
        <w:t>The c</w:t>
      </w:r>
      <w:r w:rsidR="00F54D90" w:rsidRPr="00454B84">
        <w:rPr>
          <w:rFonts w:ascii="Arial" w:eastAsiaTheme="minorHAnsi" w:hAnsi="Arial" w:cs="Arial"/>
          <w:sz w:val="20"/>
          <w:szCs w:val="20"/>
        </w:rPr>
        <w:t xml:space="preserve">ommission will make recommendations to improve the outcomes in infrastructure provision for the benefit of the community as a whole. </w:t>
      </w:r>
    </w:p>
    <w:p w:rsidR="00F54D90" w:rsidRPr="00454B84" w:rsidRDefault="00F54D90" w:rsidP="00F54D90">
      <w:pPr>
        <w:rPr>
          <w:rFonts w:ascii="Arial" w:eastAsiaTheme="minorHAnsi" w:hAnsi="Arial" w:cs="Arial"/>
          <w:sz w:val="20"/>
          <w:szCs w:val="20"/>
        </w:rPr>
      </w:pPr>
    </w:p>
    <w:p w:rsidR="00F54D90" w:rsidRPr="00454B84" w:rsidRDefault="00166E38" w:rsidP="00166E38">
      <w:pPr>
        <w:spacing w:after="200" w:line="276" w:lineRule="auto"/>
        <w:rPr>
          <w:rFonts w:ascii="Arial" w:eastAsiaTheme="minorHAnsi" w:hAnsi="Arial" w:cs="Arial"/>
          <w:sz w:val="20"/>
          <w:szCs w:val="20"/>
        </w:rPr>
      </w:pPr>
      <w:r w:rsidRPr="00454B84">
        <w:rPr>
          <w:rFonts w:ascii="Arial" w:eastAsiaTheme="minorHAnsi" w:hAnsi="Arial" w:cs="Arial"/>
          <w:sz w:val="20"/>
          <w:szCs w:val="20"/>
        </w:rPr>
        <w:t xml:space="preserve">While the Commission may </w:t>
      </w:r>
      <w:r w:rsidR="00F54D90" w:rsidRPr="00454B84">
        <w:rPr>
          <w:rFonts w:ascii="Arial" w:eastAsiaTheme="minorHAnsi" w:hAnsi="Arial" w:cs="Arial"/>
          <w:sz w:val="20"/>
          <w:szCs w:val="20"/>
        </w:rPr>
        <w:t xml:space="preserve">be expecting </w:t>
      </w:r>
      <w:r w:rsidRPr="00454B84">
        <w:rPr>
          <w:rFonts w:ascii="Arial" w:eastAsiaTheme="minorHAnsi" w:hAnsi="Arial" w:cs="Arial"/>
          <w:sz w:val="20"/>
          <w:szCs w:val="20"/>
        </w:rPr>
        <w:t>large scale</w:t>
      </w:r>
      <w:r w:rsidR="00F54D90" w:rsidRPr="00454B84">
        <w:rPr>
          <w:rFonts w:ascii="Arial" w:eastAsiaTheme="minorHAnsi" w:hAnsi="Arial" w:cs="Arial"/>
          <w:sz w:val="20"/>
          <w:szCs w:val="20"/>
        </w:rPr>
        <w:t xml:space="preserve"> recommendations to be made by stakeholders, t</w:t>
      </w:r>
      <w:r w:rsidRPr="00454B84">
        <w:rPr>
          <w:rFonts w:ascii="Arial" w:eastAsiaTheme="minorHAnsi" w:hAnsi="Arial" w:cs="Arial"/>
          <w:sz w:val="20"/>
          <w:szCs w:val="20"/>
        </w:rPr>
        <w:t>here are small and incremental changes that can be made to make big differences</w:t>
      </w:r>
      <w:r w:rsidR="00F54D90" w:rsidRPr="00454B84">
        <w:rPr>
          <w:rFonts w:ascii="Arial" w:eastAsiaTheme="minorHAnsi" w:hAnsi="Arial" w:cs="Arial"/>
          <w:sz w:val="20"/>
          <w:szCs w:val="20"/>
        </w:rPr>
        <w:t>, at least in the provision of heavy vehicle specific infrastructure</w:t>
      </w:r>
      <w:r w:rsidR="00626C57" w:rsidRPr="00454B84">
        <w:rPr>
          <w:rFonts w:ascii="Arial" w:eastAsiaTheme="minorHAnsi" w:hAnsi="Arial" w:cs="Arial"/>
          <w:sz w:val="20"/>
          <w:szCs w:val="20"/>
        </w:rPr>
        <w:t xml:space="preserve"> and expenditure oversight</w:t>
      </w:r>
      <w:r w:rsidRPr="00454B84">
        <w:rPr>
          <w:rFonts w:ascii="Arial" w:eastAsiaTheme="minorHAnsi" w:hAnsi="Arial" w:cs="Arial"/>
          <w:sz w:val="20"/>
          <w:szCs w:val="20"/>
        </w:rPr>
        <w:t xml:space="preserve">. </w:t>
      </w:r>
      <w:r w:rsidR="003D3354" w:rsidRPr="00454B84">
        <w:rPr>
          <w:rFonts w:ascii="Arial" w:eastAsiaTheme="minorHAnsi" w:hAnsi="Arial" w:cs="Arial"/>
          <w:sz w:val="20"/>
          <w:szCs w:val="20"/>
        </w:rPr>
        <w:t>Additionally, while the c</w:t>
      </w:r>
      <w:r w:rsidR="0049358F" w:rsidRPr="00454B84">
        <w:rPr>
          <w:rFonts w:ascii="Arial" w:eastAsiaTheme="minorHAnsi" w:hAnsi="Arial" w:cs="Arial"/>
          <w:sz w:val="20"/>
          <w:szCs w:val="20"/>
        </w:rPr>
        <w:t xml:space="preserve">ommission may be concerned with funding certainty it appears the performance of road authorities management is not up to the standards it should be.   </w:t>
      </w:r>
    </w:p>
    <w:p w:rsidR="00166E38" w:rsidRPr="00454B84" w:rsidRDefault="00166E38" w:rsidP="00166E38">
      <w:pPr>
        <w:spacing w:after="200" w:line="276" w:lineRule="auto"/>
        <w:rPr>
          <w:rFonts w:ascii="Arial" w:eastAsiaTheme="minorHAnsi" w:hAnsi="Arial" w:cs="Arial"/>
          <w:sz w:val="20"/>
          <w:szCs w:val="20"/>
        </w:rPr>
      </w:pPr>
      <w:r w:rsidRPr="00454B84">
        <w:rPr>
          <w:rFonts w:ascii="Arial" w:eastAsiaTheme="minorHAnsi" w:hAnsi="Arial" w:cs="Arial"/>
          <w:sz w:val="20"/>
          <w:szCs w:val="20"/>
        </w:rPr>
        <w:t xml:space="preserve">The heavy vehicle industry and its interactions with government road agencies is set to change </w:t>
      </w:r>
      <w:r w:rsidR="003D3354" w:rsidRPr="00454B84">
        <w:rPr>
          <w:rFonts w:ascii="Arial" w:eastAsiaTheme="minorHAnsi" w:hAnsi="Arial" w:cs="Arial"/>
          <w:sz w:val="20"/>
          <w:szCs w:val="20"/>
        </w:rPr>
        <w:t xml:space="preserve">as a result of </w:t>
      </w:r>
      <w:r w:rsidRPr="00454B84">
        <w:rPr>
          <w:rFonts w:ascii="Arial" w:eastAsiaTheme="minorHAnsi" w:hAnsi="Arial" w:cs="Arial"/>
          <w:sz w:val="20"/>
          <w:szCs w:val="20"/>
        </w:rPr>
        <w:t xml:space="preserve"> the short term 2013-14 </w:t>
      </w:r>
      <w:r w:rsidR="00152A61" w:rsidRPr="00454B84">
        <w:rPr>
          <w:rFonts w:ascii="Arial" w:eastAsiaTheme="minorHAnsi" w:hAnsi="Arial" w:cs="Arial"/>
          <w:sz w:val="20"/>
          <w:szCs w:val="20"/>
        </w:rPr>
        <w:t>National Transport Commission (</w:t>
      </w:r>
      <w:r w:rsidRPr="00454B84">
        <w:rPr>
          <w:rFonts w:ascii="Arial" w:eastAsiaTheme="minorHAnsi" w:hAnsi="Arial" w:cs="Arial"/>
          <w:sz w:val="20"/>
          <w:szCs w:val="20"/>
        </w:rPr>
        <w:t>NTC</w:t>
      </w:r>
      <w:r w:rsidR="00152A61" w:rsidRPr="00454B84">
        <w:rPr>
          <w:rFonts w:ascii="Arial" w:eastAsiaTheme="minorHAnsi" w:hAnsi="Arial" w:cs="Arial"/>
          <w:sz w:val="20"/>
          <w:szCs w:val="20"/>
        </w:rPr>
        <w:t>)</w:t>
      </w:r>
      <w:r w:rsidRPr="00454B84">
        <w:rPr>
          <w:rFonts w:ascii="Arial" w:eastAsiaTheme="minorHAnsi" w:hAnsi="Arial" w:cs="Arial"/>
          <w:sz w:val="20"/>
          <w:szCs w:val="20"/>
        </w:rPr>
        <w:t xml:space="preserve"> heavy vehicle charges determination and the longer term review of charg</w:t>
      </w:r>
      <w:r w:rsidR="003D3354" w:rsidRPr="00454B84">
        <w:rPr>
          <w:rFonts w:ascii="Arial" w:eastAsiaTheme="minorHAnsi" w:hAnsi="Arial" w:cs="Arial"/>
          <w:sz w:val="20"/>
          <w:szCs w:val="20"/>
        </w:rPr>
        <w:t>es and supply side reform, the Heavy Vehicle Charging and I</w:t>
      </w:r>
      <w:r w:rsidRPr="00454B84">
        <w:rPr>
          <w:rFonts w:ascii="Arial" w:eastAsiaTheme="minorHAnsi" w:hAnsi="Arial" w:cs="Arial"/>
          <w:sz w:val="20"/>
          <w:szCs w:val="20"/>
        </w:rPr>
        <w:t>nvestment reform (HVCI)</w:t>
      </w:r>
      <w:r w:rsidR="003D3354" w:rsidRPr="00454B84">
        <w:rPr>
          <w:rFonts w:ascii="Arial" w:eastAsiaTheme="minorHAnsi" w:hAnsi="Arial" w:cs="Arial"/>
          <w:sz w:val="20"/>
          <w:szCs w:val="20"/>
        </w:rPr>
        <w:t xml:space="preserve"> project</w:t>
      </w:r>
      <w:r w:rsidRPr="00454B84">
        <w:rPr>
          <w:rFonts w:ascii="Arial" w:eastAsiaTheme="minorHAnsi" w:hAnsi="Arial" w:cs="Arial"/>
          <w:sz w:val="20"/>
          <w:szCs w:val="20"/>
        </w:rPr>
        <w:t xml:space="preserve">.  </w:t>
      </w:r>
    </w:p>
    <w:p w:rsidR="009C59C2" w:rsidRPr="00454B84" w:rsidRDefault="00166E38" w:rsidP="009C59C2">
      <w:pPr>
        <w:jc w:val="both"/>
        <w:rPr>
          <w:rFonts w:ascii="Arial" w:eastAsia="Times New Roman" w:hAnsi="Arial" w:cs="Arial"/>
          <w:bCs/>
          <w:sz w:val="20"/>
          <w:szCs w:val="20"/>
        </w:rPr>
      </w:pPr>
      <w:r w:rsidRPr="00454B84">
        <w:rPr>
          <w:rFonts w:ascii="Arial" w:eastAsia="Times New Roman" w:hAnsi="Arial" w:cs="Arial"/>
          <w:bCs/>
          <w:sz w:val="20"/>
          <w:szCs w:val="20"/>
        </w:rPr>
        <w:t>The</w:t>
      </w:r>
      <w:r w:rsidR="00550CE8" w:rsidRPr="00454B84">
        <w:rPr>
          <w:rFonts w:ascii="Arial" w:eastAsia="Times New Roman" w:hAnsi="Arial" w:cs="Arial"/>
          <w:bCs/>
          <w:sz w:val="20"/>
          <w:szCs w:val="20"/>
        </w:rPr>
        <w:t xml:space="preserve"> Australian Trucking Association (</w:t>
      </w:r>
      <w:r w:rsidRPr="00454B84">
        <w:rPr>
          <w:rFonts w:ascii="Arial" w:eastAsia="Times New Roman" w:hAnsi="Arial" w:cs="Arial"/>
          <w:bCs/>
          <w:sz w:val="20"/>
          <w:szCs w:val="20"/>
        </w:rPr>
        <w:t>ATA</w:t>
      </w:r>
      <w:r w:rsidR="00550CE8" w:rsidRPr="00454B84">
        <w:rPr>
          <w:rFonts w:ascii="Arial" w:eastAsia="Times New Roman" w:hAnsi="Arial" w:cs="Arial"/>
          <w:bCs/>
          <w:sz w:val="20"/>
          <w:szCs w:val="20"/>
        </w:rPr>
        <w:t>)</w:t>
      </w:r>
      <w:r w:rsidRPr="00454B84">
        <w:rPr>
          <w:rFonts w:ascii="Arial" w:eastAsia="Times New Roman" w:hAnsi="Arial" w:cs="Arial"/>
          <w:bCs/>
          <w:sz w:val="20"/>
          <w:szCs w:val="20"/>
        </w:rPr>
        <w:t xml:space="preserve"> also commissioned an independent report on the recommended way forward in terms of heavy vehicle charges and supply side reform. The P</w:t>
      </w:r>
      <w:r w:rsidR="00550CE8" w:rsidRPr="00454B84">
        <w:rPr>
          <w:rFonts w:ascii="Arial" w:eastAsia="Times New Roman" w:hAnsi="Arial" w:cs="Arial"/>
          <w:bCs/>
          <w:sz w:val="20"/>
          <w:szCs w:val="20"/>
        </w:rPr>
        <w:t>rice</w:t>
      </w:r>
      <w:r w:rsidRPr="00454B84">
        <w:rPr>
          <w:rFonts w:ascii="Arial" w:eastAsia="Times New Roman" w:hAnsi="Arial" w:cs="Arial"/>
          <w:bCs/>
          <w:sz w:val="20"/>
          <w:szCs w:val="20"/>
        </w:rPr>
        <w:t>w</w:t>
      </w:r>
      <w:r w:rsidR="00550CE8" w:rsidRPr="00454B84">
        <w:rPr>
          <w:rFonts w:ascii="Arial" w:eastAsia="Times New Roman" w:hAnsi="Arial" w:cs="Arial"/>
          <w:bCs/>
          <w:sz w:val="20"/>
          <w:szCs w:val="20"/>
        </w:rPr>
        <w:t>aterhouse</w:t>
      </w:r>
      <w:r w:rsidRPr="00454B84">
        <w:rPr>
          <w:rFonts w:ascii="Arial" w:eastAsia="Times New Roman" w:hAnsi="Arial" w:cs="Arial"/>
          <w:bCs/>
          <w:sz w:val="20"/>
          <w:szCs w:val="20"/>
        </w:rPr>
        <w:t>C</w:t>
      </w:r>
      <w:r w:rsidR="00550CE8" w:rsidRPr="00454B84">
        <w:rPr>
          <w:rFonts w:ascii="Arial" w:eastAsia="Times New Roman" w:hAnsi="Arial" w:cs="Arial"/>
          <w:bCs/>
          <w:sz w:val="20"/>
          <w:szCs w:val="20"/>
        </w:rPr>
        <w:t>oopers (PwC)</w:t>
      </w:r>
      <w:r w:rsidRPr="00454B84">
        <w:rPr>
          <w:rFonts w:ascii="Arial" w:eastAsia="Times New Roman" w:hAnsi="Arial" w:cs="Arial"/>
          <w:bCs/>
          <w:sz w:val="20"/>
          <w:szCs w:val="20"/>
        </w:rPr>
        <w:t xml:space="preserve"> report: A future strategy for road supply and charging in Australia provided short, medium and long term reforms necessary to support growth in Australia.</w:t>
      </w:r>
      <w:r w:rsidR="004429F2" w:rsidRPr="00454B84">
        <w:rPr>
          <w:rFonts w:ascii="Arial" w:eastAsia="Times New Roman" w:hAnsi="Arial" w:cs="Arial"/>
          <w:bCs/>
          <w:sz w:val="20"/>
          <w:szCs w:val="20"/>
        </w:rPr>
        <w:t xml:space="preserve"> A copy of the PwC report is provided with the submission. </w:t>
      </w:r>
      <w:r w:rsidRPr="00454B84">
        <w:rPr>
          <w:rFonts w:ascii="Arial" w:eastAsia="Times New Roman" w:hAnsi="Arial" w:cs="Arial"/>
          <w:bCs/>
          <w:sz w:val="20"/>
          <w:szCs w:val="20"/>
        </w:rPr>
        <w:t xml:space="preserve"> </w:t>
      </w:r>
    </w:p>
    <w:p w:rsidR="009C59C2" w:rsidRPr="00454B84" w:rsidRDefault="009C59C2" w:rsidP="009C59C2">
      <w:pPr>
        <w:jc w:val="both"/>
        <w:rPr>
          <w:rFonts w:ascii="Arial" w:eastAsia="Times New Roman" w:hAnsi="Arial" w:cs="Arial"/>
          <w:bCs/>
          <w:sz w:val="20"/>
          <w:szCs w:val="20"/>
        </w:rPr>
      </w:pPr>
    </w:p>
    <w:p w:rsidR="009C59C2" w:rsidRPr="00454B84" w:rsidRDefault="009C59C2" w:rsidP="009C59C2">
      <w:pPr>
        <w:jc w:val="both"/>
        <w:rPr>
          <w:rFonts w:ascii="Arial" w:eastAsia="Times New Roman" w:hAnsi="Arial" w:cs="Arial"/>
          <w:bCs/>
          <w:sz w:val="20"/>
          <w:szCs w:val="20"/>
        </w:rPr>
      </w:pPr>
    </w:p>
    <w:p w:rsidR="00576ED0" w:rsidRPr="00454B84" w:rsidRDefault="003340FB" w:rsidP="001025C9">
      <w:pPr>
        <w:pStyle w:val="Heading1"/>
        <w:jc w:val="both"/>
        <w:rPr>
          <w:szCs w:val="20"/>
        </w:rPr>
      </w:pPr>
      <w:r w:rsidRPr="00454B84">
        <w:rPr>
          <w:szCs w:val="20"/>
        </w:rPr>
        <w:t xml:space="preserve"> </w:t>
      </w:r>
      <w:bookmarkStart w:id="1" w:name="_Toc374626249"/>
      <w:r w:rsidRPr="00454B84">
        <w:rPr>
          <w:szCs w:val="20"/>
        </w:rPr>
        <w:t>Australian Trucking Association</w:t>
      </w:r>
      <w:bookmarkEnd w:id="1"/>
      <w:r w:rsidRPr="00454B84">
        <w:rPr>
          <w:szCs w:val="20"/>
        </w:rPr>
        <w:t xml:space="preserve">  </w:t>
      </w:r>
    </w:p>
    <w:p w:rsidR="004008C7" w:rsidRPr="00454B84" w:rsidRDefault="004008C7" w:rsidP="001025C9">
      <w:pPr>
        <w:pStyle w:val="BodyText2"/>
        <w:jc w:val="both"/>
        <w:rPr>
          <w:b w:val="0"/>
          <w:sz w:val="20"/>
        </w:rPr>
      </w:pPr>
    </w:p>
    <w:p w:rsidR="006104D6" w:rsidRPr="00454B84" w:rsidRDefault="00CF3600" w:rsidP="008D2BA1">
      <w:pPr>
        <w:pStyle w:val="BodyText2"/>
        <w:spacing w:line="269" w:lineRule="auto"/>
        <w:rPr>
          <w:rFonts w:eastAsia="Calibri"/>
          <w:b w:val="0"/>
          <w:bCs w:val="0"/>
          <w:sz w:val="20"/>
        </w:rPr>
      </w:pPr>
      <w:r w:rsidRPr="00454B84">
        <w:rPr>
          <w:rFonts w:eastAsia="Calibri"/>
          <w:b w:val="0"/>
          <w:bCs w:val="0"/>
          <w:sz w:val="20"/>
        </w:rPr>
        <w:t xml:space="preserve">The </w:t>
      </w:r>
      <w:r w:rsidR="005D7AB2">
        <w:rPr>
          <w:rFonts w:eastAsia="Calibri"/>
          <w:b w:val="0"/>
          <w:bCs w:val="0"/>
          <w:sz w:val="20"/>
        </w:rPr>
        <w:t xml:space="preserve">ATA </w:t>
      </w:r>
      <w:r w:rsidRPr="00454B84">
        <w:rPr>
          <w:rFonts w:eastAsia="Calibri"/>
          <w:b w:val="0"/>
          <w:bCs w:val="0"/>
          <w:sz w:val="20"/>
        </w:rPr>
        <w:t xml:space="preserve">is the peak body that represents the trucking industry. Its members include state and sector based trucking associations, some of the nation’s largest transport companies, and businesses with leading expertise in truck technology. </w:t>
      </w:r>
    </w:p>
    <w:p w:rsidR="006B7D84" w:rsidRPr="00454B84" w:rsidRDefault="006B7D84" w:rsidP="001025C9">
      <w:pPr>
        <w:jc w:val="both"/>
        <w:rPr>
          <w:rFonts w:ascii="Arial" w:eastAsia="Times New Roman" w:hAnsi="Arial" w:cs="Arial"/>
          <w:bCs/>
          <w:sz w:val="20"/>
          <w:szCs w:val="20"/>
        </w:rPr>
      </w:pPr>
    </w:p>
    <w:p w:rsidR="009C59C2" w:rsidRPr="00454B84" w:rsidRDefault="009C59C2" w:rsidP="001025C9">
      <w:pPr>
        <w:jc w:val="both"/>
        <w:rPr>
          <w:rFonts w:ascii="Arial" w:eastAsia="Times New Roman" w:hAnsi="Arial" w:cs="Arial"/>
          <w:bCs/>
          <w:sz w:val="20"/>
          <w:szCs w:val="20"/>
        </w:rPr>
      </w:pPr>
    </w:p>
    <w:p w:rsidR="00D73280" w:rsidRPr="00454B84" w:rsidRDefault="00B9288B" w:rsidP="00C05A4F">
      <w:pPr>
        <w:pStyle w:val="Heading1"/>
        <w:jc w:val="both"/>
        <w:rPr>
          <w:szCs w:val="20"/>
        </w:rPr>
      </w:pPr>
      <w:bookmarkStart w:id="2" w:name="_Toc374626250"/>
      <w:r w:rsidRPr="00454B84">
        <w:rPr>
          <w:szCs w:val="20"/>
        </w:rPr>
        <w:t>Executive Summary</w:t>
      </w:r>
      <w:bookmarkEnd w:id="2"/>
      <w:r w:rsidRPr="00454B84">
        <w:rPr>
          <w:szCs w:val="20"/>
        </w:rPr>
        <w:t xml:space="preserve"> </w:t>
      </w:r>
    </w:p>
    <w:p w:rsidR="00B9288B" w:rsidRPr="00454B84" w:rsidRDefault="00B9288B" w:rsidP="00B9288B">
      <w:pPr>
        <w:pStyle w:val="RecommendationStyle"/>
        <w:numPr>
          <w:ilvl w:val="0"/>
          <w:numId w:val="0"/>
        </w:numPr>
        <w:spacing w:before="0" w:after="0"/>
        <w:rPr>
          <w:b w:val="0"/>
          <w:i w:val="0"/>
          <w:sz w:val="22"/>
          <w:szCs w:val="22"/>
        </w:rPr>
      </w:pPr>
    </w:p>
    <w:p w:rsidR="00B9288B" w:rsidRPr="00454B84" w:rsidRDefault="00B9288B" w:rsidP="00B9288B">
      <w:pPr>
        <w:pStyle w:val="RecommendationStyle"/>
        <w:numPr>
          <w:ilvl w:val="0"/>
          <w:numId w:val="0"/>
        </w:numPr>
        <w:spacing w:before="0" w:after="0"/>
        <w:rPr>
          <w:b w:val="0"/>
          <w:i w:val="0"/>
        </w:rPr>
      </w:pPr>
      <w:r w:rsidRPr="00454B84">
        <w:rPr>
          <w:b w:val="0"/>
          <w:i w:val="0"/>
        </w:rPr>
        <w:t>There are fundamental differences in the practices and interactions betwe</w:t>
      </w:r>
      <w:r w:rsidR="00454B84" w:rsidRPr="00454B84">
        <w:rPr>
          <w:b w:val="0"/>
          <w:i w:val="0"/>
        </w:rPr>
        <w:t>en the Commonwealth and states on the matter of road infrastructure provision. This approach lea</w:t>
      </w:r>
      <w:r w:rsidR="003733BE">
        <w:rPr>
          <w:b w:val="0"/>
          <w:i w:val="0"/>
        </w:rPr>
        <w:t>ds to disjointed road provision</w:t>
      </w:r>
      <w:r w:rsidR="00454B84" w:rsidRPr="00454B84">
        <w:rPr>
          <w:b w:val="0"/>
          <w:i w:val="0"/>
        </w:rPr>
        <w:t xml:space="preserve"> decisions and less than optimal outcomes in infrastructure provision. </w:t>
      </w:r>
    </w:p>
    <w:p w:rsidR="00B9288B" w:rsidRPr="00454B84" w:rsidRDefault="00B9288B" w:rsidP="00B9288B">
      <w:pPr>
        <w:pStyle w:val="RecommendationStyle"/>
        <w:numPr>
          <w:ilvl w:val="0"/>
          <w:numId w:val="0"/>
        </w:numPr>
        <w:spacing w:before="0" w:after="0"/>
        <w:rPr>
          <w:b w:val="0"/>
          <w:i w:val="0"/>
          <w:color w:val="FF0000"/>
        </w:rPr>
      </w:pPr>
    </w:p>
    <w:p w:rsidR="00B9288B" w:rsidRPr="00454B84" w:rsidRDefault="00454B84" w:rsidP="00B9288B">
      <w:pPr>
        <w:pStyle w:val="RecommendationStyle"/>
        <w:numPr>
          <w:ilvl w:val="0"/>
          <w:numId w:val="0"/>
        </w:numPr>
        <w:spacing w:before="0" w:after="0"/>
        <w:rPr>
          <w:b w:val="0"/>
          <w:i w:val="0"/>
        </w:rPr>
      </w:pPr>
      <w:r w:rsidRPr="00454B84">
        <w:rPr>
          <w:b w:val="0"/>
          <w:i w:val="0"/>
        </w:rPr>
        <w:t>The PwC report recommended a t</w:t>
      </w:r>
      <w:r w:rsidR="00B9288B" w:rsidRPr="00454B84">
        <w:rPr>
          <w:b w:val="0"/>
          <w:i w:val="0"/>
        </w:rPr>
        <w:t>hree tiered approach</w:t>
      </w:r>
      <w:r w:rsidRPr="00454B84">
        <w:rPr>
          <w:b w:val="0"/>
          <w:i w:val="0"/>
        </w:rPr>
        <w:t xml:space="preserve"> to the road network</w:t>
      </w:r>
      <w:r w:rsidR="00B9288B" w:rsidRPr="00454B84">
        <w:rPr>
          <w:b w:val="0"/>
          <w:i w:val="0"/>
        </w:rPr>
        <w:t xml:space="preserve"> with a transparent funding allocation formula will help to increase ac</w:t>
      </w:r>
      <w:r w:rsidRPr="00454B84">
        <w:rPr>
          <w:b w:val="0"/>
          <w:i w:val="0"/>
        </w:rPr>
        <w:t xml:space="preserve">countability and focus.  We also caution </w:t>
      </w:r>
      <w:r w:rsidR="00B9288B" w:rsidRPr="00454B84">
        <w:rPr>
          <w:b w:val="0"/>
          <w:i w:val="0"/>
        </w:rPr>
        <w:t xml:space="preserve">that without calculating the asset base of the road infrastructure any proposed moves to focus on the network approach may be futile. </w:t>
      </w:r>
    </w:p>
    <w:p w:rsidR="00B9288B" w:rsidRPr="00454B84" w:rsidRDefault="00B9288B" w:rsidP="00B9288B">
      <w:pPr>
        <w:rPr>
          <w:rFonts w:ascii="Arial" w:hAnsi="Arial" w:cs="Arial"/>
        </w:rPr>
      </w:pPr>
    </w:p>
    <w:p w:rsidR="00B9288B" w:rsidRPr="00454B84" w:rsidRDefault="00454B84" w:rsidP="00B9288B">
      <w:pPr>
        <w:rPr>
          <w:rFonts w:ascii="Arial" w:hAnsi="Arial" w:cs="Arial"/>
          <w:sz w:val="20"/>
        </w:rPr>
      </w:pPr>
      <w:r>
        <w:rPr>
          <w:rFonts w:ascii="Arial" w:hAnsi="Arial" w:cs="Arial"/>
          <w:sz w:val="20"/>
        </w:rPr>
        <w:t>Improving the transparency and accountability and oversight of road</w:t>
      </w:r>
      <w:r w:rsidR="004A7BED">
        <w:rPr>
          <w:rFonts w:ascii="Arial" w:hAnsi="Arial" w:cs="Arial"/>
          <w:sz w:val="20"/>
        </w:rPr>
        <w:t xml:space="preserve"> provision authorities should occur</w:t>
      </w:r>
      <w:r>
        <w:rPr>
          <w:rFonts w:ascii="Arial" w:hAnsi="Arial" w:cs="Arial"/>
          <w:sz w:val="20"/>
        </w:rPr>
        <w:t xml:space="preserve">, </w:t>
      </w:r>
      <w:r w:rsidR="00B9288B" w:rsidRPr="00454B84">
        <w:rPr>
          <w:rFonts w:ascii="Arial" w:hAnsi="Arial" w:cs="Arial"/>
          <w:sz w:val="20"/>
        </w:rPr>
        <w:t xml:space="preserve">including the adoption of basic audit practices. Having these processes in place should reduce waste and promote best practice reporting. </w:t>
      </w:r>
    </w:p>
    <w:p w:rsidR="00B9288B" w:rsidRPr="00454B84" w:rsidRDefault="00B9288B" w:rsidP="00B9288B">
      <w:pPr>
        <w:rPr>
          <w:rFonts w:ascii="Arial" w:hAnsi="Arial" w:cs="Arial"/>
          <w:sz w:val="20"/>
        </w:rPr>
      </w:pPr>
    </w:p>
    <w:p w:rsidR="009C59C2" w:rsidRPr="00454B84" w:rsidRDefault="00B9288B" w:rsidP="009C59C2">
      <w:pPr>
        <w:rPr>
          <w:rFonts w:ascii="Arial" w:hAnsi="Arial" w:cs="Arial"/>
          <w:sz w:val="20"/>
        </w:rPr>
      </w:pPr>
      <w:r w:rsidRPr="00454B84">
        <w:rPr>
          <w:rFonts w:ascii="Arial" w:hAnsi="Arial" w:cs="Arial"/>
          <w:sz w:val="20"/>
        </w:rPr>
        <w:t>The project governance of infrastructure projects in Australia</w:t>
      </w:r>
      <w:r w:rsidR="00454B84">
        <w:rPr>
          <w:rFonts w:ascii="Arial" w:hAnsi="Arial" w:cs="Arial"/>
          <w:sz w:val="20"/>
        </w:rPr>
        <w:t xml:space="preserve"> also</w:t>
      </w:r>
      <w:r w:rsidRPr="00454B84">
        <w:rPr>
          <w:rFonts w:ascii="Arial" w:hAnsi="Arial" w:cs="Arial"/>
          <w:sz w:val="20"/>
        </w:rPr>
        <w:t xml:space="preserve"> needs improving.  With 48% of projects failing to meet baseline timeframes, costs and quality objectives, considerable work is needed to fix flaws in project governance.  </w:t>
      </w:r>
    </w:p>
    <w:p w:rsidR="00B9288B" w:rsidRPr="00454B84" w:rsidRDefault="00B9288B" w:rsidP="00B9288B">
      <w:pPr>
        <w:rPr>
          <w:rFonts w:ascii="Arial" w:hAnsi="Arial" w:cs="Arial"/>
          <w:sz w:val="20"/>
        </w:rPr>
      </w:pPr>
    </w:p>
    <w:p w:rsidR="00B9288B" w:rsidRPr="00454B84" w:rsidRDefault="001D446D" w:rsidP="00B9288B">
      <w:pPr>
        <w:rPr>
          <w:rFonts w:ascii="Arial" w:hAnsi="Arial" w:cs="Arial"/>
          <w:bCs/>
          <w:sz w:val="20"/>
        </w:rPr>
      </w:pPr>
      <w:r>
        <w:rPr>
          <w:rFonts w:ascii="Arial" w:hAnsi="Arial" w:cs="Arial"/>
          <w:bCs/>
          <w:sz w:val="20"/>
        </w:rPr>
        <w:t xml:space="preserve">While public private partnership </w:t>
      </w:r>
      <w:r w:rsidR="00B9288B" w:rsidRPr="00454B84">
        <w:rPr>
          <w:rFonts w:ascii="Arial" w:hAnsi="Arial" w:cs="Arial"/>
          <w:bCs/>
          <w:sz w:val="20"/>
        </w:rPr>
        <w:t>investment can provide a stream of financing for public infrastructure it comes with possible extra costs</w:t>
      </w:r>
      <w:r w:rsidR="00AC6979">
        <w:rPr>
          <w:rFonts w:ascii="Arial" w:hAnsi="Arial" w:cs="Arial"/>
          <w:bCs/>
          <w:sz w:val="20"/>
        </w:rPr>
        <w:t xml:space="preserve"> in establishing contracts</w:t>
      </w:r>
      <w:r w:rsidR="00B9288B" w:rsidRPr="00454B84">
        <w:rPr>
          <w:rFonts w:ascii="Arial" w:hAnsi="Arial" w:cs="Arial"/>
          <w:bCs/>
          <w:sz w:val="20"/>
        </w:rPr>
        <w:t xml:space="preserve"> and associated extra transparency and accountability.</w:t>
      </w:r>
      <w:r w:rsidR="00AC6979">
        <w:rPr>
          <w:rFonts w:ascii="Arial" w:hAnsi="Arial" w:cs="Arial"/>
          <w:bCs/>
          <w:sz w:val="20"/>
        </w:rPr>
        <w:t xml:space="preserve"> </w:t>
      </w:r>
      <w:r w:rsidR="00B9288B" w:rsidRPr="00454B84">
        <w:rPr>
          <w:rFonts w:ascii="Arial" w:hAnsi="Arial" w:cs="Arial"/>
          <w:bCs/>
          <w:sz w:val="20"/>
        </w:rPr>
        <w:t xml:space="preserve"> </w:t>
      </w:r>
      <w:r w:rsidR="00AC6979">
        <w:rPr>
          <w:rFonts w:ascii="Arial" w:hAnsi="Arial" w:cs="Arial"/>
          <w:bCs/>
          <w:sz w:val="20"/>
        </w:rPr>
        <w:t xml:space="preserve">Private financing is also unlikely to solve the pervading issue of community service obligation (CSO) road and low volume road provision. </w:t>
      </w:r>
    </w:p>
    <w:p w:rsidR="00B9288B" w:rsidRPr="00454B84" w:rsidRDefault="00B9288B" w:rsidP="00B9288B">
      <w:pPr>
        <w:rPr>
          <w:rFonts w:ascii="Arial" w:hAnsi="Arial" w:cs="Arial"/>
          <w:bCs/>
          <w:sz w:val="20"/>
        </w:rPr>
      </w:pPr>
    </w:p>
    <w:p w:rsidR="00B9288B" w:rsidRPr="00454B84" w:rsidRDefault="004A7BED" w:rsidP="00B9288B">
      <w:pPr>
        <w:rPr>
          <w:rFonts w:ascii="Arial" w:hAnsi="Arial" w:cs="Arial"/>
          <w:bCs/>
          <w:sz w:val="20"/>
        </w:rPr>
      </w:pPr>
      <w:r>
        <w:rPr>
          <w:rFonts w:ascii="Arial" w:hAnsi="Arial" w:cs="Arial"/>
          <w:bCs/>
          <w:sz w:val="20"/>
        </w:rPr>
        <w:t>Implementing m</w:t>
      </w:r>
      <w:r w:rsidR="00B9288B" w:rsidRPr="00454B84">
        <w:rPr>
          <w:rFonts w:ascii="Arial" w:hAnsi="Arial" w:cs="Arial"/>
          <w:bCs/>
          <w:sz w:val="20"/>
        </w:rPr>
        <w:t>arginal cost road user charges would cause un</w:t>
      </w:r>
      <w:r>
        <w:rPr>
          <w:rFonts w:ascii="Arial" w:hAnsi="Arial" w:cs="Arial"/>
          <w:bCs/>
          <w:sz w:val="20"/>
        </w:rPr>
        <w:t xml:space="preserve">intentional welfare effects, due to the vast population spread in Australia and the associated costs with this dispersion. </w:t>
      </w:r>
    </w:p>
    <w:p w:rsidR="00B9288B" w:rsidRPr="00454B84" w:rsidRDefault="00B9288B" w:rsidP="00B9288B">
      <w:pPr>
        <w:rPr>
          <w:rFonts w:ascii="Arial" w:hAnsi="Arial" w:cs="Arial"/>
          <w:bCs/>
          <w:sz w:val="20"/>
        </w:rPr>
      </w:pPr>
    </w:p>
    <w:p w:rsidR="00D81C6A" w:rsidRDefault="00D81C6A" w:rsidP="00B9288B">
      <w:pPr>
        <w:rPr>
          <w:rFonts w:ascii="Arial" w:hAnsi="Arial" w:cs="Arial"/>
          <w:bCs/>
          <w:sz w:val="20"/>
        </w:rPr>
      </w:pPr>
    </w:p>
    <w:p w:rsidR="00D81C6A" w:rsidRDefault="00D81C6A" w:rsidP="00B9288B">
      <w:pPr>
        <w:rPr>
          <w:rFonts w:ascii="Arial" w:hAnsi="Arial" w:cs="Arial"/>
          <w:bCs/>
          <w:sz w:val="20"/>
        </w:rPr>
      </w:pPr>
    </w:p>
    <w:p w:rsidR="001D446D" w:rsidRDefault="004A7BED" w:rsidP="00B9288B">
      <w:pPr>
        <w:rPr>
          <w:rFonts w:ascii="Arial" w:hAnsi="Arial" w:cs="Arial"/>
          <w:bCs/>
          <w:sz w:val="20"/>
        </w:rPr>
      </w:pPr>
      <w:r>
        <w:rPr>
          <w:rFonts w:ascii="Arial" w:hAnsi="Arial" w:cs="Arial"/>
          <w:bCs/>
          <w:sz w:val="20"/>
        </w:rPr>
        <w:lastRenderedPageBreak/>
        <w:t>R</w:t>
      </w:r>
      <w:r w:rsidR="00B9288B" w:rsidRPr="00454B84">
        <w:rPr>
          <w:rFonts w:ascii="Arial" w:hAnsi="Arial" w:cs="Arial"/>
          <w:bCs/>
          <w:sz w:val="20"/>
        </w:rPr>
        <w:t xml:space="preserve">oad authorities have </w:t>
      </w:r>
      <w:r w:rsidRPr="00454B84">
        <w:rPr>
          <w:rFonts w:ascii="Arial" w:hAnsi="Arial" w:cs="Arial"/>
          <w:bCs/>
          <w:sz w:val="20"/>
        </w:rPr>
        <w:t xml:space="preserve">contrasting approaches </w:t>
      </w:r>
      <w:r w:rsidR="00B9288B" w:rsidRPr="00454B84">
        <w:rPr>
          <w:rFonts w:ascii="Arial" w:hAnsi="Arial" w:cs="Arial"/>
          <w:bCs/>
          <w:sz w:val="20"/>
        </w:rPr>
        <w:t xml:space="preserve">to granting heavy vehicle access and </w:t>
      </w:r>
      <w:r>
        <w:rPr>
          <w:rFonts w:ascii="Arial" w:hAnsi="Arial" w:cs="Arial"/>
          <w:bCs/>
          <w:sz w:val="20"/>
        </w:rPr>
        <w:t xml:space="preserve">there is a </w:t>
      </w:r>
      <w:r w:rsidR="00B9288B" w:rsidRPr="00454B84">
        <w:rPr>
          <w:rFonts w:ascii="Arial" w:hAnsi="Arial" w:cs="Arial"/>
          <w:bCs/>
          <w:sz w:val="20"/>
        </w:rPr>
        <w:t xml:space="preserve">lack of reproach </w:t>
      </w:r>
      <w:r>
        <w:rPr>
          <w:rFonts w:ascii="Arial" w:hAnsi="Arial" w:cs="Arial"/>
          <w:bCs/>
          <w:sz w:val="20"/>
        </w:rPr>
        <w:t xml:space="preserve">for industry </w:t>
      </w:r>
      <w:r w:rsidR="00B9288B" w:rsidRPr="00454B84">
        <w:rPr>
          <w:rFonts w:ascii="Arial" w:hAnsi="Arial" w:cs="Arial"/>
          <w:bCs/>
          <w:sz w:val="20"/>
        </w:rPr>
        <w:t xml:space="preserve">over </w:t>
      </w:r>
      <w:r>
        <w:rPr>
          <w:rFonts w:ascii="Arial" w:hAnsi="Arial" w:cs="Arial"/>
          <w:bCs/>
          <w:sz w:val="20"/>
        </w:rPr>
        <w:t>rejected access decisions.</w:t>
      </w:r>
      <w:r w:rsidRPr="00454B84">
        <w:rPr>
          <w:rFonts w:ascii="Arial" w:hAnsi="Arial" w:cs="Arial"/>
          <w:bCs/>
          <w:sz w:val="20"/>
        </w:rPr>
        <w:t xml:space="preserve"> </w:t>
      </w:r>
      <w:r>
        <w:rPr>
          <w:rFonts w:ascii="Arial" w:hAnsi="Arial" w:cs="Arial"/>
          <w:bCs/>
          <w:sz w:val="20"/>
        </w:rPr>
        <w:t>E</w:t>
      </w:r>
      <w:r w:rsidR="00B9288B" w:rsidRPr="00454B84">
        <w:rPr>
          <w:rFonts w:ascii="Arial" w:hAnsi="Arial" w:cs="Arial"/>
          <w:bCs/>
          <w:sz w:val="20"/>
        </w:rPr>
        <w:t>xternal review of rejected access decisions</w:t>
      </w:r>
      <w:r>
        <w:rPr>
          <w:rFonts w:ascii="Arial" w:hAnsi="Arial" w:cs="Arial"/>
          <w:bCs/>
          <w:sz w:val="20"/>
        </w:rPr>
        <w:t xml:space="preserve"> should be employed</w:t>
      </w:r>
      <w:r w:rsidR="00B9288B" w:rsidRPr="00454B84">
        <w:rPr>
          <w:rFonts w:ascii="Arial" w:hAnsi="Arial" w:cs="Arial"/>
          <w:bCs/>
          <w:sz w:val="20"/>
        </w:rPr>
        <w:t xml:space="preserve">. Rejected access decisions provide information for the government on where access is sought, but being currently denied by the industry. We doubt progress in this area can be made until there is consistent information and education provided to road managers. </w:t>
      </w:r>
    </w:p>
    <w:p w:rsidR="004A7BED" w:rsidRDefault="004A7BED" w:rsidP="00B9288B">
      <w:pPr>
        <w:rPr>
          <w:rFonts w:ascii="Arial" w:hAnsi="Arial" w:cs="Arial"/>
          <w:bCs/>
          <w:sz w:val="20"/>
        </w:rPr>
      </w:pPr>
    </w:p>
    <w:p w:rsidR="001D446D" w:rsidRPr="00454B84" w:rsidRDefault="004A7BED" w:rsidP="001D446D">
      <w:pPr>
        <w:rPr>
          <w:rFonts w:ascii="Arial" w:hAnsi="Arial" w:cs="Arial"/>
          <w:sz w:val="20"/>
        </w:rPr>
      </w:pPr>
      <w:r>
        <w:rPr>
          <w:rFonts w:ascii="Arial" w:hAnsi="Arial" w:cs="Arial"/>
          <w:bCs/>
          <w:sz w:val="20"/>
        </w:rPr>
        <w:t>The commission may want to use the Road Construction Maintenance and Price Index (</w:t>
      </w:r>
      <w:r w:rsidRPr="004A7BED">
        <w:rPr>
          <w:rFonts w:ascii="Arial" w:hAnsi="Arial" w:cs="Arial"/>
          <w:bCs/>
          <w:sz w:val="20"/>
        </w:rPr>
        <w:t>RCMPI</w:t>
      </w:r>
      <w:r w:rsidR="00B93C2C">
        <w:rPr>
          <w:rFonts w:ascii="Arial" w:hAnsi="Arial" w:cs="Arial"/>
          <w:bCs/>
          <w:sz w:val="20"/>
        </w:rPr>
        <w:t xml:space="preserve">), as it </w:t>
      </w:r>
      <w:r w:rsidR="00B93C2C">
        <w:rPr>
          <w:rFonts w:ascii="Arial" w:hAnsi="Arial" w:cs="Arial"/>
          <w:sz w:val="20"/>
        </w:rPr>
        <w:t xml:space="preserve">provides </w:t>
      </w:r>
      <w:r w:rsidR="001D446D" w:rsidRPr="00454B84">
        <w:rPr>
          <w:rFonts w:ascii="Arial" w:hAnsi="Arial" w:cs="Arial"/>
          <w:sz w:val="20"/>
        </w:rPr>
        <w:t xml:space="preserve">a good index to compare input costs </w:t>
      </w:r>
      <w:r w:rsidR="00B93C2C">
        <w:rPr>
          <w:rFonts w:ascii="Arial" w:hAnsi="Arial" w:cs="Arial"/>
          <w:sz w:val="20"/>
        </w:rPr>
        <w:t>of</w:t>
      </w:r>
      <w:r w:rsidR="001D446D" w:rsidRPr="00454B84">
        <w:rPr>
          <w:rFonts w:ascii="Arial" w:hAnsi="Arial" w:cs="Arial"/>
          <w:sz w:val="20"/>
        </w:rPr>
        <w:t xml:space="preserve"> road construction</w:t>
      </w:r>
      <w:r w:rsidR="00B93C2C">
        <w:rPr>
          <w:rFonts w:ascii="Arial" w:hAnsi="Arial" w:cs="Arial"/>
          <w:sz w:val="20"/>
        </w:rPr>
        <w:t xml:space="preserve"> over the years</w:t>
      </w:r>
      <w:r w:rsidR="001D446D" w:rsidRPr="00454B84">
        <w:rPr>
          <w:rFonts w:ascii="Arial" w:hAnsi="Arial" w:cs="Arial"/>
          <w:sz w:val="20"/>
        </w:rPr>
        <w:t xml:space="preserve"> and information on the activity share of costs and the activity share on different types of roads. </w:t>
      </w:r>
    </w:p>
    <w:p w:rsidR="00454B84" w:rsidRDefault="00454B84" w:rsidP="009C59C2">
      <w:pPr>
        <w:rPr>
          <w:rFonts w:ascii="Arial" w:hAnsi="Arial" w:cs="Arial"/>
        </w:rPr>
      </w:pPr>
    </w:p>
    <w:p w:rsidR="004A7BED" w:rsidRPr="00454B84" w:rsidRDefault="004A7BED" w:rsidP="009C59C2">
      <w:pPr>
        <w:rPr>
          <w:rFonts w:ascii="Arial" w:hAnsi="Arial" w:cs="Arial"/>
        </w:rPr>
      </w:pPr>
    </w:p>
    <w:p w:rsidR="00DB571E" w:rsidRPr="00454B84" w:rsidRDefault="00DB571E" w:rsidP="00DB571E">
      <w:pPr>
        <w:pStyle w:val="Heading1"/>
        <w:rPr>
          <w:szCs w:val="20"/>
        </w:rPr>
      </w:pPr>
      <w:bookmarkStart w:id="3" w:name="_Toc374626251"/>
      <w:r w:rsidRPr="00454B84">
        <w:rPr>
          <w:szCs w:val="20"/>
        </w:rPr>
        <w:t>Government cooperation and practices</w:t>
      </w:r>
      <w:bookmarkEnd w:id="3"/>
    </w:p>
    <w:p w:rsidR="00DB571E" w:rsidRPr="00454B84" w:rsidRDefault="00DB571E" w:rsidP="00DB571E">
      <w:pPr>
        <w:rPr>
          <w:rFonts w:ascii="Arial" w:hAnsi="Arial" w:cs="Arial"/>
        </w:rPr>
      </w:pPr>
    </w:p>
    <w:p w:rsidR="00DB571E" w:rsidRPr="00454B84" w:rsidRDefault="00DB571E" w:rsidP="00DB571E">
      <w:pPr>
        <w:spacing w:line="276" w:lineRule="auto"/>
        <w:rPr>
          <w:rFonts w:ascii="Arial" w:eastAsiaTheme="minorHAnsi" w:hAnsi="Arial" w:cs="Arial"/>
          <w:sz w:val="20"/>
          <w:szCs w:val="20"/>
        </w:rPr>
      </w:pPr>
      <w:r w:rsidRPr="00454B84">
        <w:rPr>
          <w:rFonts w:ascii="Arial" w:eastAsiaTheme="minorHAnsi" w:hAnsi="Arial" w:cs="Arial"/>
          <w:sz w:val="20"/>
          <w:szCs w:val="20"/>
        </w:rPr>
        <w:t>In financing and funding</w:t>
      </w:r>
      <w:r w:rsidR="00550CE8" w:rsidRPr="00454B84">
        <w:rPr>
          <w:rFonts w:ascii="Arial" w:eastAsiaTheme="minorHAnsi" w:hAnsi="Arial" w:cs="Arial"/>
          <w:sz w:val="20"/>
          <w:szCs w:val="20"/>
        </w:rPr>
        <w:t xml:space="preserve"> heavy vehicle </w:t>
      </w:r>
      <w:r w:rsidRPr="00454B84">
        <w:rPr>
          <w:rFonts w:ascii="Arial" w:eastAsiaTheme="minorHAnsi" w:hAnsi="Arial" w:cs="Arial"/>
          <w:sz w:val="20"/>
          <w:szCs w:val="20"/>
        </w:rPr>
        <w:t>infrastructure there is a fund</w:t>
      </w:r>
      <w:r w:rsidR="003D3354" w:rsidRPr="00454B84">
        <w:rPr>
          <w:rFonts w:ascii="Arial" w:eastAsiaTheme="minorHAnsi" w:hAnsi="Arial" w:cs="Arial"/>
          <w:sz w:val="20"/>
          <w:szCs w:val="20"/>
        </w:rPr>
        <w:t>ing hierarchy that presents</w:t>
      </w:r>
      <w:r w:rsidRPr="00454B84">
        <w:rPr>
          <w:rFonts w:ascii="Arial" w:eastAsiaTheme="minorHAnsi" w:hAnsi="Arial" w:cs="Arial"/>
          <w:sz w:val="20"/>
          <w:szCs w:val="20"/>
        </w:rPr>
        <w:t xml:space="preserve"> intergovernmental pressure</w:t>
      </w:r>
      <w:r w:rsidR="003D3354" w:rsidRPr="00454B84">
        <w:rPr>
          <w:rFonts w:ascii="Arial" w:eastAsiaTheme="minorHAnsi" w:hAnsi="Arial" w:cs="Arial"/>
          <w:sz w:val="20"/>
          <w:szCs w:val="20"/>
        </w:rPr>
        <w:t>s. The Commonwealth receives</w:t>
      </w:r>
      <w:r w:rsidRPr="00454B84">
        <w:rPr>
          <w:rFonts w:ascii="Arial" w:eastAsiaTheme="minorHAnsi" w:hAnsi="Arial" w:cs="Arial"/>
          <w:sz w:val="20"/>
          <w:szCs w:val="20"/>
        </w:rPr>
        <w:t xml:space="preserve"> revenue from the </w:t>
      </w:r>
      <w:r w:rsidR="00D6026F" w:rsidRPr="00454B84">
        <w:rPr>
          <w:rFonts w:ascii="Arial" w:eastAsiaTheme="minorHAnsi" w:hAnsi="Arial" w:cs="Arial"/>
          <w:sz w:val="20"/>
          <w:szCs w:val="20"/>
        </w:rPr>
        <w:t>road user charge (</w:t>
      </w:r>
      <w:r w:rsidRPr="00454B84">
        <w:rPr>
          <w:rFonts w:ascii="Arial" w:eastAsiaTheme="minorHAnsi" w:hAnsi="Arial" w:cs="Arial"/>
          <w:sz w:val="20"/>
          <w:szCs w:val="20"/>
        </w:rPr>
        <w:t>RUC</w:t>
      </w:r>
      <w:r w:rsidR="00D6026F" w:rsidRPr="00454B84">
        <w:rPr>
          <w:rFonts w:ascii="Arial" w:eastAsiaTheme="minorHAnsi" w:hAnsi="Arial" w:cs="Arial"/>
          <w:sz w:val="20"/>
          <w:szCs w:val="20"/>
        </w:rPr>
        <w:t>)</w:t>
      </w:r>
      <w:r w:rsidRPr="00454B84">
        <w:rPr>
          <w:rFonts w:ascii="Arial" w:eastAsiaTheme="minorHAnsi" w:hAnsi="Arial" w:cs="Arial"/>
          <w:sz w:val="20"/>
          <w:szCs w:val="20"/>
        </w:rPr>
        <w:t xml:space="preserve">, states receive revenue from registration charges and local government receives grants from the Commonwealth and revenue from the states. </w:t>
      </w:r>
    </w:p>
    <w:p w:rsidR="00DB571E" w:rsidRPr="00454B84" w:rsidRDefault="00DB571E" w:rsidP="00DB571E">
      <w:pPr>
        <w:spacing w:line="276" w:lineRule="auto"/>
        <w:rPr>
          <w:rFonts w:ascii="Arial" w:eastAsiaTheme="minorHAnsi" w:hAnsi="Arial" w:cs="Arial"/>
          <w:sz w:val="20"/>
          <w:szCs w:val="20"/>
        </w:rPr>
      </w:pPr>
    </w:p>
    <w:p w:rsidR="00DB571E" w:rsidRPr="00454B84" w:rsidRDefault="00DB571E" w:rsidP="00DB571E">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It should be noted that while local governments receive grants </w:t>
      </w:r>
      <w:r w:rsidR="009256D4" w:rsidRPr="00454B84">
        <w:rPr>
          <w:rFonts w:ascii="Arial" w:eastAsiaTheme="minorHAnsi" w:hAnsi="Arial" w:cs="Arial"/>
          <w:sz w:val="20"/>
          <w:szCs w:val="20"/>
        </w:rPr>
        <w:t>that are notionally for</w:t>
      </w:r>
      <w:r w:rsidRPr="00454B84">
        <w:rPr>
          <w:rFonts w:ascii="Arial" w:eastAsiaTheme="minorHAnsi" w:hAnsi="Arial" w:cs="Arial"/>
          <w:sz w:val="20"/>
          <w:szCs w:val="20"/>
        </w:rPr>
        <w:t xml:space="preserve"> road spending the grants are not tied and the money industry pays does not necessarily end up being spent on heavy vehicle infrastructure.</w:t>
      </w:r>
      <w:r w:rsidR="00D6026F" w:rsidRPr="00454B84">
        <w:rPr>
          <w:rFonts w:ascii="Arial" w:eastAsiaTheme="minorHAnsi" w:hAnsi="Arial" w:cs="Arial"/>
          <w:sz w:val="20"/>
          <w:szCs w:val="20"/>
        </w:rPr>
        <w:t xml:space="preserve"> This lack of accountability and control over money provided by the industry needs to be rectified. </w:t>
      </w:r>
      <w:r w:rsidRPr="00454B84">
        <w:rPr>
          <w:rFonts w:ascii="Arial" w:eastAsiaTheme="minorHAnsi" w:hAnsi="Arial" w:cs="Arial"/>
          <w:sz w:val="20"/>
          <w:szCs w:val="20"/>
        </w:rPr>
        <w:t xml:space="preserve"> </w:t>
      </w:r>
    </w:p>
    <w:p w:rsidR="00C73435" w:rsidRPr="00454B84" w:rsidRDefault="00C73435" w:rsidP="00DB571E">
      <w:pPr>
        <w:spacing w:line="276" w:lineRule="auto"/>
        <w:rPr>
          <w:rFonts w:ascii="Arial" w:eastAsiaTheme="minorHAnsi" w:hAnsi="Arial" w:cs="Arial"/>
          <w:sz w:val="20"/>
          <w:szCs w:val="20"/>
        </w:rPr>
      </w:pPr>
    </w:p>
    <w:p w:rsidR="00E02482" w:rsidRPr="00454B84" w:rsidRDefault="00E02482" w:rsidP="00DB571E">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The PwC report highlighted the </w:t>
      </w:r>
      <w:r w:rsidR="00C73435" w:rsidRPr="00454B84">
        <w:rPr>
          <w:rFonts w:ascii="Arial" w:eastAsiaTheme="minorHAnsi" w:hAnsi="Arial" w:cs="Arial"/>
          <w:sz w:val="20"/>
          <w:szCs w:val="20"/>
        </w:rPr>
        <w:t>lack of national cohesion in road supply decision making. ‘</w:t>
      </w:r>
      <w:r w:rsidR="00B30EEC" w:rsidRPr="00454B84">
        <w:rPr>
          <w:rFonts w:ascii="Arial" w:eastAsiaTheme="minorHAnsi" w:hAnsi="Arial" w:cs="Arial"/>
          <w:sz w:val="20"/>
          <w:szCs w:val="20"/>
        </w:rPr>
        <w:t xml:space="preserve">Competing interests among different levels of government and different agencies at each level can result in patch protection and </w:t>
      </w:r>
      <w:r w:rsidR="00D6026F" w:rsidRPr="00454B84">
        <w:rPr>
          <w:rFonts w:ascii="Arial" w:eastAsiaTheme="minorHAnsi" w:hAnsi="Arial" w:cs="Arial"/>
          <w:sz w:val="20"/>
          <w:szCs w:val="20"/>
        </w:rPr>
        <w:t xml:space="preserve">bureaucratic </w:t>
      </w:r>
      <w:r w:rsidR="00C73435" w:rsidRPr="00454B84">
        <w:rPr>
          <w:rFonts w:ascii="Arial" w:eastAsiaTheme="minorHAnsi" w:hAnsi="Arial" w:cs="Arial"/>
          <w:sz w:val="20"/>
          <w:szCs w:val="20"/>
        </w:rPr>
        <w:t>processes</w:t>
      </w:r>
      <w:r w:rsidR="00B30EEC" w:rsidRPr="00454B84">
        <w:rPr>
          <w:rFonts w:ascii="Arial" w:eastAsiaTheme="minorHAnsi" w:hAnsi="Arial" w:cs="Arial"/>
          <w:sz w:val="20"/>
          <w:szCs w:val="20"/>
        </w:rPr>
        <w:t xml:space="preserve"> blocking meaningful transport reform</w:t>
      </w:r>
      <w:r w:rsidR="00C73435" w:rsidRPr="00454B84">
        <w:rPr>
          <w:rFonts w:ascii="Arial" w:eastAsiaTheme="minorHAnsi" w:hAnsi="Arial" w:cs="Arial"/>
          <w:sz w:val="20"/>
          <w:szCs w:val="20"/>
        </w:rPr>
        <w:t>’</w:t>
      </w:r>
      <w:r w:rsidR="00B30EEC" w:rsidRPr="00454B84">
        <w:rPr>
          <w:rFonts w:ascii="Arial" w:eastAsiaTheme="minorHAnsi" w:hAnsi="Arial" w:cs="Arial"/>
          <w:sz w:val="20"/>
          <w:szCs w:val="20"/>
        </w:rPr>
        <w:t xml:space="preserve">. </w:t>
      </w:r>
      <w:r w:rsidRPr="00454B84">
        <w:rPr>
          <w:rStyle w:val="FootnoteReference"/>
          <w:rFonts w:ascii="Arial" w:eastAsiaTheme="minorHAnsi" w:hAnsi="Arial" w:cs="Arial"/>
          <w:sz w:val="20"/>
          <w:szCs w:val="20"/>
        </w:rPr>
        <w:footnoteReference w:id="1"/>
      </w:r>
    </w:p>
    <w:p w:rsidR="00B240F0" w:rsidRPr="00454B84" w:rsidRDefault="00B240F0" w:rsidP="00DB571E">
      <w:pPr>
        <w:spacing w:line="276" w:lineRule="auto"/>
        <w:rPr>
          <w:rFonts w:ascii="Arial" w:eastAsiaTheme="minorHAnsi" w:hAnsi="Arial" w:cs="Arial"/>
          <w:sz w:val="20"/>
          <w:szCs w:val="20"/>
        </w:rPr>
      </w:pPr>
    </w:p>
    <w:p w:rsidR="00B30EEC" w:rsidRPr="00454B84" w:rsidRDefault="00B86921" w:rsidP="00DB571E">
      <w:pPr>
        <w:spacing w:line="276" w:lineRule="auto"/>
        <w:rPr>
          <w:rFonts w:ascii="Arial" w:eastAsiaTheme="minorHAnsi" w:hAnsi="Arial" w:cs="Arial"/>
          <w:sz w:val="20"/>
          <w:szCs w:val="20"/>
        </w:rPr>
      </w:pPr>
      <w:r w:rsidRPr="00454B84">
        <w:rPr>
          <w:rFonts w:ascii="Arial" w:eastAsiaTheme="minorHAnsi" w:hAnsi="Arial" w:cs="Arial"/>
          <w:sz w:val="20"/>
          <w:szCs w:val="20"/>
        </w:rPr>
        <w:t>Currently states are simply handed their appropriate amount of funding</w:t>
      </w:r>
      <w:r w:rsidR="00D6026F" w:rsidRPr="00454B84">
        <w:rPr>
          <w:rFonts w:ascii="Arial" w:eastAsiaTheme="minorHAnsi" w:hAnsi="Arial" w:cs="Arial"/>
          <w:sz w:val="20"/>
          <w:szCs w:val="20"/>
        </w:rPr>
        <w:t>,</w:t>
      </w:r>
      <w:r w:rsidRPr="00454B84">
        <w:rPr>
          <w:rFonts w:ascii="Arial" w:eastAsiaTheme="minorHAnsi" w:hAnsi="Arial" w:cs="Arial"/>
          <w:sz w:val="20"/>
          <w:szCs w:val="20"/>
        </w:rPr>
        <w:t xml:space="preserve"> given heavy vehicle expenditure. However, in the future there should be moves to tie funding to performance of road authorities. The PwC report recommended that in the medium to long run</w:t>
      </w:r>
      <w:r w:rsidR="009256D4" w:rsidRPr="00454B84">
        <w:rPr>
          <w:rFonts w:ascii="Arial" w:eastAsiaTheme="minorHAnsi" w:hAnsi="Arial" w:cs="Arial"/>
          <w:sz w:val="20"/>
          <w:szCs w:val="20"/>
        </w:rPr>
        <w:t>,</w:t>
      </w:r>
      <w:r w:rsidRPr="00454B84">
        <w:rPr>
          <w:rFonts w:ascii="Arial" w:eastAsiaTheme="minorHAnsi" w:hAnsi="Arial" w:cs="Arial"/>
          <w:sz w:val="20"/>
          <w:szCs w:val="20"/>
        </w:rPr>
        <w:t xml:space="preserve"> given the uptake of benchmarking and reporting, efficient </w:t>
      </w:r>
      <w:r w:rsidR="00EE43FB" w:rsidRPr="00454B84">
        <w:rPr>
          <w:rFonts w:ascii="Arial" w:eastAsiaTheme="minorHAnsi" w:hAnsi="Arial" w:cs="Arial"/>
          <w:sz w:val="20"/>
          <w:szCs w:val="20"/>
        </w:rPr>
        <w:t xml:space="preserve">road investment and maintenance </w:t>
      </w:r>
      <w:r w:rsidRPr="00454B84">
        <w:rPr>
          <w:rFonts w:ascii="Arial" w:eastAsiaTheme="minorHAnsi" w:hAnsi="Arial" w:cs="Arial"/>
          <w:sz w:val="20"/>
          <w:szCs w:val="20"/>
        </w:rPr>
        <w:t>costs could be independently assessed</w:t>
      </w:r>
      <w:r w:rsidR="00EE43FB" w:rsidRPr="00454B84">
        <w:rPr>
          <w:rFonts w:ascii="Arial" w:eastAsiaTheme="minorHAnsi" w:hAnsi="Arial" w:cs="Arial"/>
          <w:sz w:val="20"/>
          <w:szCs w:val="20"/>
        </w:rPr>
        <w:t xml:space="preserve"> and tied to funding allocation.  Incentives to outperform benchmarks should be provided, for instance by allowing a road supplier to retain unspent funds and invest in other priorities. </w:t>
      </w:r>
    </w:p>
    <w:p w:rsidR="00B86921" w:rsidRPr="00454B84" w:rsidRDefault="00B86921" w:rsidP="00DB571E">
      <w:pPr>
        <w:spacing w:line="276" w:lineRule="auto"/>
        <w:rPr>
          <w:rFonts w:ascii="Arial" w:eastAsiaTheme="minorHAnsi" w:hAnsi="Arial" w:cs="Arial"/>
          <w:sz w:val="20"/>
          <w:szCs w:val="20"/>
        </w:rPr>
      </w:pPr>
    </w:p>
    <w:p w:rsidR="00DB571E" w:rsidRPr="00454B84" w:rsidRDefault="00DB571E" w:rsidP="00DB571E">
      <w:pPr>
        <w:spacing w:line="276" w:lineRule="auto"/>
        <w:rPr>
          <w:rFonts w:ascii="Arial" w:eastAsiaTheme="minorHAnsi" w:hAnsi="Arial" w:cs="Arial"/>
          <w:sz w:val="20"/>
          <w:szCs w:val="20"/>
        </w:rPr>
      </w:pPr>
      <w:r w:rsidRPr="00454B84">
        <w:rPr>
          <w:rFonts w:ascii="Arial" w:eastAsiaTheme="minorHAnsi" w:hAnsi="Arial" w:cs="Arial"/>
          <w:sz w:val="20"/>
          <w:szCs w:val="20"/>
        </w:rPr>
        <w:t>There are fundamental operational difference</w:t>
      </w:r>
      <w:r w:rsidR="00D6026F" w:rsidRPr="00454B84">
        <w:rPr>
          <w:rFonts w:ascii="Arial" w:eastAsiaTheme="minorHAnsi" w:hAnsi="Arial" w:cs="Arial"/>
          <w:sz w:val="20"/>
          <w:szCs w:val="20"/>
        </w:rPr>
        <w:t>s</w:t>
      </w:r>
      <w:r w:rsidRPr="00454B84">
        <w:rPr>
          <w:rFonts w:ascii="Arial" w:eastAsiaTheme="minorHAnsi" w:hAnsi="Arial" w:cs="Arial"/>
          <w:sz w:val="20"/>
          <w:szCs w:val="20"/>
        </w:rPr>
        <w:t xml:space="preserve"> between the states and the Commonwealth which present disassociated projects and aim</w:t>
      </w:r>
      <w:r w:rsidR="00D6026F" w:rsidRPr="00454B84">
        <w:rPr>
          <w:rFonts w:ascii="Arial" w:eastAsiaTheme="minorHAnsi" w:hAnsi="Arial" w:cs="Arial"/>
          <w:sz w:val="20"/>
          <w:szCs w:val="20"/>
        </w:rPr>
        <w:t xml:space="preserve">s. For instance while there is </w:t>
      </w:r>
      <w:r w:rsidRPr="00454B84">
        <w:rPr>
          <w:rFonts w:ascii="Arial" w:eastAsiaTheme="minorHAnsi" w:hAnsi="Arial" w:cs="Arial"/>
          <w:sz w:val="20"/>
          <w:szCs w:val="20"/>
        </w:rPr>
        <w:t>the HVCI review which all states are aware of and participating, NSW has a separate review into road pricing which overlaps with the HVCI project. This duplicati</w:t>
      </w:r>
      <w:r w:rsidR="00D6026F" w:rsidRPr="00454B84">
        <w:rPr>
          <w:rFonts w:ascii="Arial" w:eastAsiaTheme="minorHAnsi" w:hAnsi="Arial" w:cs="Arial"/>
          <w:sz w:val="20"/>
          <w:szCs w:val="20"/>
        </w:rPr>
        <w:t>on</w:t>
      </w:r>
      <w:r w:rsidRPr="00454B84">
        <w:rPr>
          <w:rFonts w:ascii="Arial" w:eastAsiaTheme="minorHAnsi" w:hAnsi="Arial" w:cs="Arial"/>
          <w:sz w:val="20"/>
          <w:szCs w:val="20"/>
        </w:rPr>
        <w:t xml:space="preserve"> occurs far too often in the road infrastructure area. </w:t>
      </w:r>
    </w:p>
    <w:p w:rsidR="00DB571E" w:rsidRPr="00454B84" w:rsidRDefault="00DB571E" w:rsidP="00DB571E">
      <w:pPr>
        <w:spacing w:line="276" w:lineRule="auto"/>
        <w:rPr>
          <w:rFonts w:ascii="Arial" w:eastAsiaTheme="minorHAnsi" w:hAnsi="Arial" w:cs="Arial"/>
          <w:sz w:val="20"/>
          <w:szCs w:val="20"/>
        </w:rPr>
      </w:pPr>
    </w:p>
    <w:p w:rsidR="00DB571E" w:rsidRPr="00454B84" w:rsidRDefault="00DB571E" w:rsidP="00DB571E">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Another reason for the divergence away from </w:t>
      </w:r>
      <w:r w:rsidR="00D6026F" w:rsidRPr="00454B84">
        <w:rPr>
          <w:rFonts w:ascii="Arial" w:eastAsiaTheme="minorHAnsi" w:hAnsi="Arial" w:cs="Arial"/>
          <w:sz w:val="20"/>
          <w:szCs w:val="20"/>
        </w:rPr>
        <w:t xml:space="preserve">consistency </w:t>
      </w:r>
      <w:r w:rsidRPr="00454B84">
        <w:rPr>
          <w:rFonts w:ascii="Arial" w:eastAsiaTheme="minorHAnsi" w:hAnsi="Arial" w:cs="Arial"/>
          <w:sz w:val="20"/>
          <w:szCs w:val="20"/>
        </w:rPr>
        <w:t xml:space="preserve">in road infrastructure is the fact </w:t>
      </w:r>
      <w:r w:rsidR="009256D4" w:rsidRPr="00454B84">
        <w:rPr>
          <w:rFonts w:ascii="Arial" w:eastAsiaTheme="minorHAnsi" w:hAnsi="Arial" w:cs="Arial"/>
          <w:sz w:val="20"/>
          <w:szCs w:val="20"/>
        </w:rPr>
        <w:t>the C</w:t>
      </w:r>
      <w:r w:rsidRPr="00454B84">
        <w:rPr>
          <w:rFonts w:ascii="Arial" w:eastAsiaTheme="minorHAnsi" w:hAnsi="Arial" w:cs="Arial"/>
          <w:sz w:val="20"/>
          <w:szCs w:val="20"/>
        </w:rPr>
        <w:t>ommonwealth and the states calculate cost benefit analysis differently. State road agencies use a qualitative approach</w:t>
      </w:r>
      <w:r w:rsidR="00B91594" w:rsidRPr="00454B84">
        <w:rPr>
          <w:rFonts w:ascii="Arial" w:eastAsiaTheme="minorHAnsi" w:hAnsi="Arial" w:cs="Arial"/>
          <w:sz w:val="20"/>
          <w:szCs w:val="20"/>
        </w:rPr>
        <w:t>,</w:t>
      </w:r>
      <w:r w:rsidRPr="00454B84">
        <w:rPr>
          <w:rFonts w:ascii="Arial" w:eastAsiaTheme="minorHAnsi" w:hAnsi="Arial" w:cs="Arial"/>
          <w:sz w:val="20"/>
          <w:szCs w:val="20"/>
        </w:rPr>
        <w:t xml:space="preserve"> whereas the Commonwealth use a quantitative approach to cost benefit analysis. Having a consistent approach</w:t>
      </w:r>
      <w:r w:rsidR="00B91594" w:rsidRPr="00454B84">
        <w:rPr>
          <w:rFonts w:ascii="Arial" w:eastAsiaTheme="minorHAnsi" w:hAnsi="Arial" w:cs="Arial"/>
          <w:sz w:val="20"/>
          <w:szCs w:val="20"/>
        </w:rPr>
        <w:t xml:space="preserve"> to</w:t>
      </w:r>
      <w:r w:rsidRPr="00454B84">
        <w:rPr>
          <w:rFonts w:ascii="Arial" w:eastAsiaTheme="minorHAnsi" w:hAnsi="Arial" w:cs="Arial"/>
          <w:sz w:val="20"/>
          <w:szCs w:val="20"/>
        </w:rPr>
        <w:t xml:space="preserve"> evaluating road infrastructure projects would make </w:t>
      </w:r>
      <w:r w:rsidR="00B91594" w:rsidRPr="00454B84">
        <w:rPr>
          <w:rFonts w:ascii="Arial" w:eastAsiaTheme="minorHAnsi" w:hAnsi="Arial" w:cs="Arial"/>
          <w:sz w:val="20"/>
          <w:szCs w:val="20"/>
        </w:rPr>
        <w:t>better</w:t>
      </w:r>
      <w:r w:rsidRPr="00454B84">
        <w:rPr>
          <w:rFonts w:ascii="Arial" w:eastAsiaTheme="minorHAnsi" w:hAnsi="Arial" w:cs="Arial"/>
          <w:sz w:val="20"/>
          <w:szCs w:val="20"/>
        </w:rPr>
        <w:t xml:space="preserve"> sense </w:t>
      </w:r>
      <w:r w:rsidR="00B91594" w:rsidRPr="00454B84">
        <w:rPr>
          <w:rFonts w:ascii="Arial" w:eastAsiaTheme="minorHAnsi" w:hAnsi="Arial" w:cs="Arial"/>
          <w:sz w:val="20"/>
          <w:szCs w:val="20"/>
        </w:rPr>
        <w:t xml:space="preserve">than </w:t>
      </w:r>
      <w:r w:rsidRPr="00454B84">
        <w:rPr>
          <w:rFonts w:ascii="Arial" w:eastAsiaTheme="minorHAnsi" w:hAnsi="Arial" w:cs="Arial"/>
          <w:sz w:val="20"/>
          <w:szCs w:val="20"/>
        </w:rPr>
        <w:t xml:space="preserve">the current system. </w:t>
      </w:r>
    </w:p>
    <w:p w:rsidR="00DB571E" w:rsidRPr="00454B84" w:rsidRDefault="00DB571E" w:rsidP="00DB571E">
      <w:pPr>
        <w:spacing w:line="276" w:lineRule="auto"/>
        <w:rPr>
          <w:rFonts w:ascii="Arial" w:eastAsiaTheme="minorHAnsi" w:hAnsi="Arial" w:cs="Arial"/>
          <w:sz w:val="20"/>
          <w:szCs w:val="20"/>
        </w:rPr>
      </w:pPr>
    </w:p>
    <w:p w:rsidR="00DB571E" w:rsidRPr="00454B84" w:rsidRDefault="00DB571E" w:rsidP="00DB571E">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While government organisations such as Infrastructure </w:t>
      </w:r>
      <w:r w:rsidR="00E60EE0" w:rsidRPr="00454B84">
        <w:rPr>
          <w:rFonts w:ascii="Arial" w:eastAsiaTheme="minorHAnsi" w:hAnsi="Arial" w:cs="Arial"/>
          <w:sz w:val="20"/>
          <w:szCs w:val="20"/>
        </w:rPr>
        <w:t>Australia (</w:t>
      </w:r>
      <w:r w:rsidR="00653ED5" w:rsidRPr="00454B84">
        <w:rPr>
          <w:rFonts w:ascii="Arial" w:eastAsiaTheme="minorHAnsi" w:hAnsi="Arial" w:cs="Arial"/>
          <w:sz w:val="20"/>
          <w:szCs w:val="20"/>
        </w:rPr>
        <w:t xml:space="preserve">IA) </w:t>
      </w:r>
      <w:r w:rsidRPr="00454B84">
        <w:rPr>
          <w:rFonts w:ascii="Arial" w:eastAsiaTheme="minorHAnsi" w:hAnsi="Arial" w:cs="Arial"/>
          <w:sz w:val="20"/>
          <w:szCs w:val="20"/>
        </w:rPr>
        <w:t xml:space="preserve">are focusing on nationally significant </w:t>
      </w:r>
      <w:r w:rsidR="00653ED5" w:rsidRPr="00454B84">
        <w:rPr>
          <w:rFonts w:ascii="Arial" w:eastAsiaTheme="minorHAnsi" w:hAnsi="Arial" w:cs="Arial"/>
          <w:sz w:val="20"/>
          <w:szCs w:val="20"/>
        </w:rPr>
        <w:t>freight projects</w:t>
      </w:r>
      <w:r w:rsidRPr="00454B84">
        <w:rPr>
          <w:rFonts w:ascii="Arial" w:eastAsiaTheme="minorHAnsi" w:hAnsi="Arial" w:cs="Arial"/>
          <w:sz w:val="20"/>
          <w:szCs w:val="20"/>
        </w:rPr>
        <w:t xml:space="preserve"> </w:t>
      </w:r>
      <w:r w:rsidR="00653ED5" w:rsidRPr="00454B84">
        <w:rPr>
          <w:rFonts w:ascii="Arial" w:eastAsiaTheme="minorHAnsi" w:hAnsi="Arial" w:cs="Arial"/>
          <w:sz w:val="20"/>
          <w:szCs w:val="20"/>
        </w:rPr>
        <w:t xml:space="preserve">through the Land Freight Network Strategy, </w:t>
      </w:r>
      <w:r w:rsidRPr="00454B84">
        <w:rPr>
          <w:rFonts w:ascii="Arial" w:eastAsiaTheme="minorHAnsi" w:hAnsi="Arial" w:cs="Arial"/>
          <w:sz w:val="20"/>
          <w:szCs w:val="20"/>
        </w:rPr>
        <w:t xml:space="preserve">extending the focus to a whole of network approach would provide a more coherent view of the network. </w:t>
      </w:r>
    </w:p>
    <w:p w:rsidR="00DB571E" w:rsidRPr="00454B84" w:rsidRDefault="00DB571E" w:rsidP="00DB571E">
      <w:pPr>
        <w:spacing w:line="276" w:lineRule="auto"/>
        <w:rPr>
          <w:rFonts w:ascii="Arial" w:eastAsiaTheme="minorHAnsi" w:hAnsi="Arial" w:cs="Arial"/>
          <w:sz w:val="20"/>
          <w:szCs w:val="20"/>
        </w:rPr>
      </w:pPr>
    </w:p>
    <w:p w:rsidR="00DB571E" w:rsidRPr="00454B84" w:rsidRDefault="00DB571E" w:rsidP="00DB571E">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The PwC report made a short term recommendation regarding the heavy vehicle industry </w:t>
      </w:r>
      <w:r w:rsidR="00B91594" w:rsidRPr="00454B84">
        <w:rPr>
          <w:rFonts w:ascii="Arial" w:eastAsiaTheme="minorHAnsi" w:hAnsi="Arial" w:cs="Arial"/>
          <w:sz w:val="20"/>
          <w:szCs w:val="20"/>
        </w:rPr>
        <w:t>for the creation of a</w:t>
      </w:r>
      <w:r w:rsidRPr="00454B84">
        <w:rPr>
          <w:rFonts w:ascii="Arial" w:eastAsiaTheme="minorHAnsi" w:hAnsi="Arial" w:cs="Arial"/>
          <w:sz w:val="20"/>
          <w:szCs w:val="20"/>
        </w:rPr>
        <w:t xml:space="preserve"> national road freight network hierarchy agreed by the industry and road suppliers</w:t>
      </w:r>
      <w:r w:rsidR="00B91594" w:rsidRPr="00454B84">
        <w:rPr>
          <w:rFonts w:ascii="Arial" w:eastAsiaTheme="minorHAnsi" w:hAnsi="Arial" w:cs="Arial"/>
          <w:sz w:val="20"/>
          <w:szCs w:val="20"/>
        </w:rPr>
        <w:t xml:space="preserve">. </w:t>
      </w:r>
      <w:r w:rsidRPr="00454B84">
        <w:rPr>
          <w:rFonts w:ascii="Arial" w:eastAsiaTheme="minorHAnsi" w:hAnsi="Arial" w:cs="Arial"/>
          <w:sz w:val="20"/>
          <w:szCs w:val="20"/>
        </w:rPr>
        <w:t xml:space="preserve"> Each level of the hierarchy will be associated with harmonised and aspirational levels of heavy vehicle access.  This would be a three tier freight network with each tier targeting a particular heavy vehicle access level to focus investment, reporting and funding.  </w:t>
      </w:r>
    </w:p>
    <w:p w:rsidR="00DB571E" w:rsidRPr="00454B84" w:rsidRDefault="00DB571E" w:rsidP="00DB571E">
      <w:pPr>
        <w:spacing w:line="276" w:lineRule="auto"/>
        <w:rPr>
          <w:rFonts w:ascii="Arial" w:eastAsiaTheme="minorHAnsi" w:hAnsi="Arial" w:cs="Arial"/>
          <w:sz w:val="20"/>
          <w:szCs w:val="20"/>
        </w:rPr>
      </w:pPr>
    </w:p>
    <w:p w:rsidR="00DB571E" w:rsidRPr="00454B84" w:rsidRDefault="00DB571E" w:rsidP="00DB571E">
      <w:pPr>
        <w:spacing w:line="276" w:lineRule="auto"/>
        <w:rPr>
          <w:rFonts w:ascii="Arial" w:eastAsiaTheme="minorHAnsi" w:hAnsi="Arial" w:cs="Arial"/>
          <w:sz w:val="20"/>
          <w:szCs w:val="20"/>
        </w:rPr>
      </w:pPr>
      <w:r w:rsidRPr="00454B84">
        <w:rPr>
          <w:rFonts w:ascii="Arial" w:eastAsiaTheme="minorHAnsi" w:hAnsi="Arial" w:cs="Arial"/>
          <w:sz w:val="20"/>
          <w:szCs w:val="20"/>
        </w:rPr>
        <w:lastRenderedPageBreak/>
        <w:t xml:space="preserve">Tier 1 – primary land freight transport corridors – the highest level of access, building on IAs national land freight network. </w:t>
      </w:r>
    </w:p>
    <w:p w:rsidR="00DB571E" w:rsidRPr="00454B84" w:rsidRDefault="00DB571E" w:rsidP="00DB571E">
      <w:pPr>
        <w:spacing w:line="276" w:lineRule="auto"/>
        <w:rPr>
          <w:rFonts w:ascii="Arial" w:eastAsiaTheme="minorHAnsi" w:hAnsi="Arial" w:cs="Arial"/>
          <w:sz w:val="20"/>
          <w:szCs w:val="20"/>
        </w:rPr>
      </w:pPr>
    </w:p>
    <w:p w:rsidR="00DB571E" w:rsidRPr="00454B84" w:rsidRDefault="00DB571E" w:rsidP="00DB571E">
      <w:pPr>
        <w:spacing w:line="276" w:lineRule="auto"/>
        <w:rPr>
          <w:rFonts w:ascii="Arial" w:eastAsiaTheme="minorHAnsi" w:hAnsi="Arial" w:cs="Arial"/>
          <w:sz w:val="20"/>
          <w:szCs w:val="20"/>
        </w:rPr>
      </w:pPr>
      <w:r w:rsidRPr="00454B84">
        <w:rPr>
          <w:rFonts w:ascii="Arial" w:eastAsiaTheme="minorHAnsi" w:hAnsi="Arial" w:cs="Arial"/>
          <w:sz w:val="20"/>
          <w:szCs w:val="20"/>
        </w:rPr>
        <w:t>Tier 2 – significant last and</w:t>
      </w:r>
      <w:r w:rsidR="00EA487B" w:rsidRPr="00454B84">
        <w:rPr>
          <w:rFonts w:ascii="Arial" w:eastAsiaTheme="minorHAnsi" w:hAnsi="Arial" w:cs="Arial"/>
          <w:sz w:val="20"/>
          <w:szCs w:val="20"/>
        </w:rPr>
        <w:t xml:space="preserve"> first</w:t>
      </w:r>
      <w:r w:rsidRPr="00454B84">
        <w:rPr>
          <w:rFonts w:ascii="Arial" w:eastAsiaTheme="minorHAnsi" w:hAnsi="Arial" w:cs="Arial"/>
          <w:sz w:val="20"/>
          <w:szCs w:val="20"/>
        </w:rPr>
        <w:t xml:space="preserve"> mile higher mass limits connections – level of access below of tier 1, but may align with Tier 1 mass limits to ensure end to end trip productivity is achieved. </w:t>
      </w:r>
    </w:p>
    <w:p w:rsidR="00DB571E" w:rsidRPr="00454B84" w:rsidRDefault="00DB571E" w:rsidP="00DB571E">
      <w:pPr>
        <w:spacing w:line="276" w:lineRule="auto"/>
        <w:rPr>
          <w:rFonts w:ascii="Arial" w:eastAsiaTheme="minorHAnsi" w:hAnsi="Arial" w:cs="Arial"/>
          <w:sz w:val="20"/>
          <w:szCs w:val="20"/>
        </w:rPr>
      </w:pPr>
    </w:p>
    <w:p w:rsidR="00DB571E" w:rsidRPr="00454B84" w:rsidRDefault="00DB571E" w:rsidP="00DB571E">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Tier 3 – remaining freight network – a minimum level of access in line with current general access requirements, supplemented by ad hoc improvements over seen by the NHVR. </w:t>
      </w:r>
    </w:p>
    <w:p w:rsidR="00DB571E" w:rsidRPr="00454B84" w:rsidRDefault="00DB571E" w:rsidP="00DB571E">
      <w:pPr>
        <w:spacing w:line="276" w:lineRule="auto"/>
        <w:rPr>
          <w:rFonts w:ascii="Arial" w:eastAsiaTheme="minorHAnsi" w:hAnsi="Arial" w:cs="Arial"/>
          <w:sz w:val="20"/>
          <w:szCs w:val="20"/>
        </w:rPr>
      </w:pPr>
    </w:p>
    <w:p w:rsidR="00DB571E" w:rsidRPr="00454B84" w:rsidRDefault="00DB571E" w:rsidP="00DB571E">
      <w:pPr>
        <w:spacing w:line="276" w:lineRule="auto"/>
        <w:rPr>
          <w:rFonts w:ascii="Arial" w:eastAsiaTheme="minorHAnsi" w:hAnsi="Arial" w:cs="Arial"/>
          <w:sz w:val="20"/>
          <w:szCs w:val="20"/>
        </w:rPr>
      </w:pPr>
      <w:r w:rsidRPr="00454B84">
        <w:rPr>
          <w:rFonts w:ascii="Arial" w:eastAsiaTheme="minorHAnsi" w:hAnsi="Arial" w:cs="Arial"/>
          <w:sz w:val="20"/>
          <w:szCs w:val="20"/>
        </w:rPr>
        <w:t>The tiered approach is akin to defining service st</w:t>
      </w:r>
      <w:r w:rsidR="00EA487B" w:rsidRPr="00454B84">
        <w:rPr>
          <w:rFonts w:ascii="Arial" w:eastAsiaTheme="minorHAnsi" w:hAnsi="Arial" w:cs="Arial"/>
          <w:sz w:val="20"/>
          <w:szCs w:val="20"/>
        </w:rPr>
        <w:t>andards in the utilities sector</w:t>
      </w:r>
      <w:r w:rsidR="009256D4" w:rsidRPr="00454B84">
        <w:rPr>
          <w:rFonts w:ascii="Arial" w:eastAsiaTheme="minorHAnsi" w:hAnsi="Arial" w:cs="Arial"/>
          <w:sz w:val="20"/>
          <w:szCs w:val="20"/>
        </w:rPr>
        <w:t>. This would</w:t>
      </w:r>
      <w:r w:rsidRPr="00454B84">
        <w:rPr>
          <w:rFonts w:ascii="Arial" w:eastAsiaTheme="minorHAnsi" w:hAnsi="Arial" w:cs="Arial"/>
          <w:sz w:val="20"/>
          <w:szCs w:val="20"/>
        </w:rPr>
        <w:t xml:space="preserve"> have to be supplemented with harmonised approaches by road managers such as </w:t>
      </w:r>
      <w:r w:rsidR="009256D4" w:rsidRPr="00454B84">
        <w:rPr>
          <w:rFonts w:ascii="Arial" w:eastAsiaTheme="minorHAnsi" w:hAnsi="Arial" w:cs="Arial"/>
          <w:sz w:val="20"/>
          <w:szCs w:val="20"/>
        </w:rPr>
        <w:t>the</w:t>
      </w:r>
      <w:r w:rsidR="00EA487B" w:rsidRPr="00454B84">
        <w:rPr>
          <w:rFonts w:ascii="Arial" w:eastAsiaTheme="minorHAnsi" w:hAnsi="Arial" w:cs="Arial"/>
          <w:sz w:val="20"/>
          <w:szCs w:val="20"/>
        </w:rPr>
        <w:t xml:space="preserve"> pavement</w:t>
      </w:r>
      <w:r w:rsidRPr="00454B84">
        <w:rPr>
          <w:rFonts w:ascii="Arial" w:eastAsiaTheme="minorHAnsi" w:hAnsi="Arial" w:cs="Arial"/>
          <w:sz w:val="20"/>
          <w:szCs w:val="20"/>
        </w:rPr>
        <w:t xml:space="preserve"> </w:t>
      </w:r>
      <w:r w:rsidR="00EA487B" w:rsidRPr="00454B84">
        <w:rPr>
          <w:rFonts w:ascii="Arial" w:eastAsiaTheme="minorHAnsi" w:hAnsi="Arial" w:cs="Arial"/>
          <w:sz w:val="20"/>
          <w:szCs w:val="20"/>
        </w:rPr>
        <w:t>depth</w:t>
      </w:r>
      <w:r w:rsidRPr="00454B84">
        <w:rPr>
          <w:rFonts w:ascii="Arial" w:eastAsiaTheme="minorHAnsi" w:hAnsi="Arial" w:cs="Arial"/>
          <w:sz w:val="20"/>
          <w:szCs w:val="20"/>
        </w:rPr>
        <w:t xml:space="preserve"> reasonably required to allow B-doubles with GML. </w:t>
      </w:r>
    </w:p>
    <w:p w:rsidR="00DB571E" w:rsidRPr="00454B84" w:rsidRDefault="00DB571E" w:rsidP="00DB571E">
      <w:pPr>
        <w:spacing w:line="276" w:lineRule="auto"/>
        <w:rPr>
          <w:rFonts w:ascii="Arial" w:eastAsiaTheme="minorHAnsi" w:hAnsi="Arial" w:cs="Arial"/>
          <w:sz w:val="20"/>
          <w:szCs w:val="20"/>
        </w:rPr>
      </w:pPr>
    </w:p>
    <w:p w:rsidR="00DB571E" w:rsidRPr="00454B84" w:rsidRDefault="00DB571E" w:rsidP="00DB571E">
      <w:pPr>
        <w:spacing w:line="276" w:lineRule="auto"/>
        <w:rPr>
          <w:rFonts w:ascii="Arial" w:eastAsiaTheme="minorHAnsi" w:hAnsi="Arial" w:cs="Arial"/>
          <w:sz w:val="20"/>
          <w:szCs w:val="20"/>
        </w:rPr>
      </w:pPr>
      <w:r w:rsidRPr="00454B84">
        <w:rPr>
          <w:rFonts w:ascii="Arial" w:eastAsiaTheme="minorHAnsi" w:hAnsi="Arial" w:cs="Arial"/>
          <w:sz w:val="20"/>
          <w:szCs w:val="20"/>
        </w:rPr>
        <w:t>However, before any of the positive changes can come from the tier identification it is crucial that the current asset base of roads is identified.  Without having some idea of the value and the identity of the</w:t>
      </w:r>
      <w:r w:rsidR="00EA487B" w:rsidRPr="00454B84">
        <w:rPr>
          <w:rFonts w:ascii="Arial" w:eastAsiaTheme="minorHAnsi" w:hAnsi="Arial" w:cs="Arial"/>
          <w:sz w:val="20"/>
          <w:szCs w:val="20"/>
        </w:rPr>
        <w:t xml:space="preserve"> road network </w:t>
      </w:r>
      <w:r w:rsidRPr="00454B84">
        <w:rPr>
          <w:rFonts w:ascii="Arial" w:eastAsiaTheme="minorHAnsi" w:hAnsi="Arial" w:cs="Arial"/>
          <w:sz w:val="20"/>
          <w:szCs w:val="20"/>
        </w:rPr>
        <w:t xml:space="preserve">it is hard to make </w:t>
      </w:r>
      <w:r w:rsidR="00EA487B" w:rsidRPr="00454B84">
        <w:rPr>
          <w:rFonts w:ascii="Arial" w:eastAsiaTheme="minorHAnsi" w:hAnsi="Arial" w:cs="Arial"/>
          <w:sz w:val="20"/>
          <w:szCs w:val="20"/>
        </w:rPr>
        <w:t>decisions when there is such a</w:t>
      </w:r>
      <w:r w:rsidRPr="00454B84">
        <w:rPr>
          <w:rFonts w:ascii="Arial" w:eastAsiaTheme="minorHAnsi" w:hAnsi="Arial" w:cs="Arial"/>
          <w:sz w:val="20"/>
          <w:szCs w:val="20"/>
        </w:rPr>
        <w:t xml:space="preserve"> gap. </w:t>
      </w:r>
    </w:p>
    <w:p w:rsidR="00C73435" w:rsidRPr="00454B84" w:rsidRDefault="00C73435" w:rsidP="00DB571E">
      <w:pPr>
        <w:spacing w:line="276" w:lineRule="auto"/>
        <w:rPr>
          <w:rFonts w:ascii="Arial" w:eastAsiaTheme="minorHAnsi" w:hAnsi="Arial" w:cs="Arial"/>
          <w:sz w:val="20"/>
          <w:szCs w:val="20"/>
        </w:rPr>
      </w:pPr>
    </w:p>
    <w:p w:rsidR="00266B74" w:rsidRPr="00454B84" w:rsidRDefault="009256D4" w:rsidP="00266B74">
      <w:pPr>
        <w:spacing w:line="276" w:lineRule="auto"/>
        <w:rPr>
          <w:rFonts w:ascii="Arial" w:eastAsiaTheme="minorHAnsi" w:hAnsi="Arial" w:cs="Arial"/>
          <w:sz w:val="20"/>
          <w:szCs w:val="20"/>
        </w:rPr>
      </w:pPr>
      <w:r w:rsidRPr="00454B84">
        <w:rPr>
          <w:rFonts w:ascii="Arial" w:eastAsiaTheme="minorHAnsi" w:hAnsi="Arial" w:cs="Arial"/>
          <w:sz w:val="20"/>
          <w:szCs w:val="20"/>
        </w:rPr>
        <w:t>In addition to</w:t>
      </w:r>
      <w:r w:rsidR="00266B74" w:rsidRPr="00454B84">
        <w:rPr>
          <w:rFonts w:ascii="Arial" w:eastAsiaTheme="minorHAnsi" w:hAnsi="Arial" w:cs="Arial"/>
          <w:sz w:val="20"/>
          <w:szCs w:val="20"/>
        </w:rPr>
        <w:t xml:space="preserve"> the three tier approach</w:t>
      </w:r>
      <w:r w:rsidRPr="00454B84">
        <w:rPr>
          <w:rFonts w:ascii="Arial" w:eastAsiaTheme="minorHAnsi" w:hAnsi="Arial" w:cs="Arial"/>
          <w:sz w:val="20"/>
          <w:szCs w:val="20"/>
        </w:rPr>
        <w:t>,</w:t>
      </w:r>
      <w:r w:rsidR="00266B74" w:rsidRPr="00454B84">
        <w:rPr>
          <w:rFonts w:ascii="Arial" w:eastAsiaTheme="minorHAnsi" w:hAnsi="Arial" w:cs="Arial"/>
          <w:sz w:val="20"/>
          <w:szCs w:val="20"/>
        </w:rPr>
        <w:t xml:space="preserve"> PWC have recommended that in three years, </w:t>
      </w:r>
      <w:r w:rsidR="00EA487B" w:rsidRPr="00454B84">
        <w:rPr>
          <w:rFonts w:ascii="Arial" w:eastAsiaTheme="minorHAnsi" w:hAnsi="Arial" w:cs="Arial"/>
          <w:sz w:val="20"/>
          <w:szCs w:val="20"/>
        </w:rPr>
        <w:t xml:space="preserve">a </w:t>
      </w:r>
      <w:r w:rsidR="00266B74" w:rsidRPr="00454B84">
        <w:rPr>
          <w:rFonts w:ascii="Arial" w:eastAsiaTheme="minorHAnsi" w:hAnsi="Arial" w:cs="Arial"/>
          <w:sz w:val="20"/>
          <w:szCs w:val="20"/>
        </w:rPr>
        <w:t>transparent formula for allocating funding to road suppliers</w:t>
      </w:r>
      <w:r w:rsidR="00EA487B" w:rsidRPr="00454B84">
        <w:rPr>
          <w:rFonts w:ascii="Arial" w:eastAsiaTheme="minorHAnsi" w:hAnsi="Arial" w:cs="Arial"/>
          <w:sz w:val="20"/>
          <w:szCs w:val="20"/>
        </w:rPr>
        <w:t xml:space="preserve"> should be established</w:t>
      </w:r>
      <w:r w:rsidR="00266B74" w:rsidRPr="00454B84">
        <w:rPr>
          <w:rFonts w:ascii="Arial" w:eastAsiaTheme="minorHAnsi" w:hAnsi="Arial" w:cs="Arial"/>
          <w:sz w:val="20"/>
          <w:szCs w:val="20"/>
        </w:rPr>
        <w:t xml:space="preserve">. </w:t>
      </w:r>
      <w:r w:rsidR="00EA487B" w:rsidRPr="00454B84">
        <w:rPr>
          <w:rFonts w:ascii="Arial" w:eastAsiaTheme="minorHAnsi" w:hAnsi="Arial" w:cs="Arial"/>
          <w:sz w:val="20"/>
          <w:szCs w:val="20"/>
        </w:rPr>
        <w:t xml:space="preserve"> Funding a</w:t>
      </w:r>
      <w:r w:rsidR="00266B74" w:rsidRPr="00454B84">
        <w:rPr>
          <w:rFonts w:ascii="Arial" w:eastAsiaTheme="minorHAnsi" w:hAnsi="Arial" w:cs="Arial"/>
          <w:sz w:val="20"/>
          <w:szCs w:val="20"/>
        </w:rPr>
        <w:t>llocations should reflect road costs, heavy vehicle usage and access upgrades required for Tier 1 and Tier 2 roads.</w:t>
      </w:r>
      <w:r w:rsidR="00266B74" w:rsidRPr="00454B84">
        <w:rPr>
          <w:rFonts w:ascii="Arial" w:eastAsiaTheme="minorHAnsi" w:hAnsi="Arial" w:cs="Arial"/>
          <w:sz w:val="20"/>
          <w:szCs w:val="20"/>
          <w:vertAlign w:val="superscript"/>
        </w:rPr>
        <w:footnoteReference w:id="2"/>
      </w:r>
      <w:r w:rsidR="00EA487B" w:rsidRPr="00454B84">
        <w:rPr>
          <w:rFonts w:ascii="Arial" w:eastAsiaTheme="minorHAnsi" w:hAnsi="Arial" w:cs="Arial"/>
          <w:sz w:val="20"/>
          <w:szCs w:val="20"/>
        </w:rPr>
        <w:t xml:space="preserve"> This </w:t>
      </w:r>
      <w:r w:rsidRPr="00454B84">
        <w:rPr>
          <w:rFonts w:ascii="Arial" w:eastAsiaTheme="minorHAnsi" w:hAnsi="Arial" w:cs="Arial"/>
          <w:sz w:val="20"/>
          <w:szCs w:val="20"/>
        </w:rPr>
        <w:t xml:space="preserve">would </w:t>
      </w:r>
      <w:r w:rsidR="00EA487B" w:rsidRPr="00454B84">
        <w:rPr>
          <w:rFonts w:ascii="Arial" w:eastAsiaTheme="minorHAnsi" w:hAnsi="Arial" w:cs="Arial"/>
          <w:sz w:val="20"/>
          <w:szCs w:val="20"/>
        </w:rPr>
        <w:t xml:space="preserve">be a superior funding mechanism than the current system where road funding allocations are dictated by how </w:t>
      </w:r>
      <w:proofErr w:type="gramStart"/>
      <w:r w:rsidR="00EA487B" w:rsidRPr="00454B84">
        <w:rPr>
          <w:rFonts w:ascii="Arial" w:eastAsiaTheme="minorHAnsi" w:hAnsi="Arial" w:cs="Arial"/>
          <w:sz w:val="20"/>
          <w:szCs w:val="20"/>
        </w:rPr>
        <w:t>much</w:t>
      </w:r>
      <w:proofErr w:type="gramEnd"/>
      <w:r w:rsidR="00EA487B" w:rsidRPr="00454B84">
        <w:rPr>
          <w:rFonts w:ascii="Arial" w:eastAsiaTheme="minorHAnsi" w:hAnsi="Arial" w:cs="Arial"/>
          <w:sz w:val="20"/>
          <w:szCs w:val="20"/>
        </w:rPr>
        <w:t xml:space="preserve"> a state budgets to spend and is recouped from the industry through the RUC and registration charges.</w:t>
      </w:r>
    </w:p>
    <w:p w:rsidR="00266B74" w:rsidRPr="00454B84" w:rsidRDefault="00266B74" w:rsidP="00266B74">
      <w:pPr>
        <w:spacing w:line="276" w:lineRule="auto"/>
        <w:rPr>
          <w:rFonts w:ascii="Arial" w:eastAsiaTheme="minorHAnsi" w:hAnsi="Arial" w:cs="Arial"/>
          <w:sz w:val="20"/>
          <w:szCs w:val="20"/>
        </w:rPr>
      </w:pPr>
      <w:r w:rsidRPr="00454B84">
        <w:rPr>
          <w:rFonts w:ascii="Arial" w:eastAsiaTheme="minorHAnsi" w:hAnsi="Arial" w:cs="Arial"/>
          <w:i/>
          <w:sz w:val="20"/>
          <w:szCs w:val="20"/>
        </w:rPr>
        <w:t xml:space="preserve"> </w:t>
      </w:r>
    </w:p>
    <w:p w:rsidR="00266B74" w:rsidRPr="00454B84" w:rsidRDefault="00266B74" w:rsidP="00266B74">
      <w:pPr>
        <w:spacing w:line="276" w:lineRule="auto"/>
        <w:rPr>
          <w:rFonts w:ascii="Arial" w:eastAsiaTheme="minorHAnsi" w:hAnsi="Arial" w:cs="Arial"/>
          <w:sz w:val="20"/>
          <w:szCs w:val="20"/>
        </w:rPr>
      </w:pPr>
      <w:r w:rsidRPr="00454B84">
        <w:rPr>
          <w:rFonts w:ascii="Arial" w:eastAsiaTheme="minorHAnsi" w:hAnsi="Arial" w:cs="Arial"/>
          <w:sz w:val="20"/>
          <w:szCs w:val="20"/>
        </w:rPr>
        <w:t>The formula would also include</w:t>
      </w:r>
      <w:r w:rsidR="00EA487B" w:rsidRPr="00454B84">
        <w:rPr>
          <w:rFonts w:ascii="Arial" w:eastAsiaTheme="minorHAnsi" w:hAnsi="Arial" w:cs="Arial"/>
          <w:sz w:val="20"/>
          <w:szCs w:val="20"/>
        </w:rPr>
        <w:t xml:space="preserve"> a</w:t>
      </w:r>
      <w:r w:rsidRPr="00454B84">
        <w:rPr>
          <w:rFonts w:ascii="Arial" w:eastAsiaTheme="minorHAnsi" w:hAnsi="Arial" w:cs="Arial"/>
          <w:sz w:val="20"/>
          <w:szCs w:val="20"/>
        </w:rPr>
        <w:t xml:space="preserve"> mechanism to fund low-volume roads, which would be classed as Tier 3, through community service obligations</w:t>
      </w:r>
      <w:r w:rsidR="00EA487B" w:rsidRPr="00454B84">
        <w:rPr>
          <w:rFonts w:ascii="Arial" w:eastAsiaTheme="minorHAnsi" w:hAnsi="Arial" w:cs="Arial"/>
          <w:sz w:val="20"/>
          <w:szCs w:val="20"/>
        </w:rPr>
        <w:t xml:space="preserve"> (CSO)</w:t>
      </w:r>
      <w:r w:rsidRPr="00454B84">
        <w:rPr>
          <w:rFonts w:ascii="Arial" w:eastAsiaTheme="minorHAnsi" w:hAnsi="Arial" w:cs="Arial"/>
          <w:sz w:val="20"/>
          <w:szCs w:val="20"/>
        </w:rPr>
        <w:t xml:space="preserve">. It is important that rural, remote and regional Australia is adequately funded so improvements can be made for these communities and the operators working in those areas.  </w:t>
      </w:r>
    </w:p>
    <w:p w:rsidR="00B9288B" w:rsidRPr="00454B84" w:rsidRDefault="00B9288B" w:rsidP="00266B74">
      <w:pPr>
        <w:spacing w:line="276" w:lineRule="auto"/>
        <w:rPr>
          <w:rFonts w:ascii="Arial" w:eastAsiaTheme="minorHAnsi" w:hAnsi="Arial" w:cs="Arial"/>
          <w:sz w:val="20"/>
          <w:szCs w:val="20"/>
        </w:rPr>
      </w:pPr>
    </w:p>
    <w:p w:rsidR="002D31C0" w:rsidRPr="00454B84" w:rsidRDefault="00266B74" w:rsidP="00B9288B">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The formula would provide certainty of heavy vehicle related funding to road owners. </w:t>
      </w:r>
    </w:p>
    <w:p w:rsidR="00646000" w:rsidRPr="00454B84" w:rsidRDefault="00646000">
      <w:pPr>
        <w:rPr>
          <w:rFonts w:ascii="Arial" w:hAnsi="Arial" w:cs="Arial"/>
          <w:sz w:val="20"/>
          <w:szCs w:val="20"/>
        </w:rPr>
      </w:pPr>
    </w:p>
    <w:p w:rsidR="00B9288B" w:rsidRPr="00454B84" w:rsidRDefault="00B9288B">
      <w:pPr>
        <w:rPr>
          <w:rFonts w:ascii="Arial" w:hAnsi="Arial" w:cs="Arial"/>
          <w:sz w:val="20"/>
          <w:szCs w:val="20"/>
        </w:rPr>
      </w:pPr>
    </w:p>
    <w:p w:rsidR="00166E38" w:rsidRPr="00454B84" w:rsidRDefault="00166E38" w:rsidP="00F54D90">
      <w:pPr>
        <w:pStyle w:val="Heading1"/>
        <w:rPr>
          <w:szCs w:val="20"/>
        </w:rPr>
      </w:pPr>
      <w:bookmarkStart w:id="4" w:name="_Toc374626252"/>
      <w:r w:rsidRPr="00454B84">
        <w:rPr>
          <w:szCs w:val="20"/>
        </w:rPr>
        <w:t xml:space="preserve">Heavy vehicle </w:t>
      </w:r>
      <w:r w:rsidR="00E01695" w:rsidRPr="00454B84">
        <w:rPr>
          <w:szCs w:val="20"/>
        </w:rPr>
        <w:t>infrastructure expenditure</w:t>
      </w:r>
      <w:bookmarkEnd w:id="4"/>
    </w:p>
    <w:p w:rsidR="00244543" w:rsidRPr="00454B84" w:rsidRDefault="00244543" w:rsidP="00E01695">
      <w:pPr>
        <w:pStyle w:val="Heading1"/>
        <w:numPr>
          <w:ilvl w:val="0"/>
          <w:numId w:val="0"/>
        </w:numPr>
        <w:rPr>
          <w:sz w:val="20"/>
          <w:szCs w:val="20"/>
        </w:rPr>
      </w:pPr>
    </w:p>
    <w:p w:rsidR="00166E38" w:rsidRPr="00454B84" w:rsidRDefault="00225336" w:rsidP="00225336">
      <w:pPr>
        <w:pStyle w:val="Heading1"/>
        <w:numPr>
          <w:ilvl w:val="1"/>
          <w:numId w:val="8"/>
        </w:numPr>
        <w:rPr>
          <w:sz w:val="24"/>
          <w:szCs w:val="20"/>
        </w:rPr>
      </w:pPr>
      <w:bookmarkStart w:id="5" w:name="_Toc350428781"/>
      <w:bookmarkStart w:id="6" w:name="_Toc350430046"/>
      <w:bookmarkStart w:id="7" w:name="_Toc350863674"/>
      <w:bookmarkStart w:id="8" w:name="_Toc350863781"/>
      <w:bookmarkStart w:id="9" w:name="_Toc351015747"/>
      <w:bookmarkStart w:id="10" w:name="_Toc351031262"/>
      <w:bookmarkStart w:id="11" w:name="_Toc351626128"/>
      <w:bookmarkStart w:id="12" w:name="_Toc352059537"/>
      <w:bookmarkStart w:id="13" w:name="_Toc352059645"/>
      <w:bookmarkStart w:id="14" w:name="_Toc352070702"/>
      <w:bookmarkStart w:id="15" w:name="_Toc352071952"/>
      <w:bookmarkStart w:id="16" w:name="_Toc352149563"/>
      <w:bookmarkEnd w:id="5"/>
      <w:bookmarkEnd w:id="6"/>
      <w:bookmarkEnd w:id="7"/>
      <w:bookmarkEnd w:id="8"/>
      <w:bookmarkEnd w:id="9"/>
      <w:bookmarkEnd w:id="10"/>
      <w:bookmarkEnd w:id="11"/>
      <w:bookmarkEnd w:id="12"/>
      <w:bookmarkEnd w:id="13"/>
      <w:bookmarkEnd w:id="14"/>
      <w:bookmarkEnd w:id="15"/>
      <w:bookmarkEnd w:id="16"/>
      <w:r w:rsidRPr="00454B84">
        <w:rPr>
          <w:sz w:val="24"/>
          <w:szCs w:val="20"/>
        </w:rPr>
        <w:t xml:space="preserve"> </w:t>
      </w:r>
      <w:bookmarkStart w:id="17" w:name="_Toc374626253"/>
      <w:r w:rsidR="00166E38" w:rsidRPr="00454B84">
        <w:rPr>
          <w:sz w:val="24"/>
          <w:szCs w:val="20"/>
        </w:rPr>
        <w:t>The heavy vehicle charging model – PayGo</w:t>
      </w:r>
      <w:bookmarkEnd w:id="17"/>
      <w:r w:rsidR="00166E38" w:rsidRPr="00454B84">
        <w:rPr>
          <w:sz w:val="24"/>
          <w:szCs w:val="20"/>
        </w:rPr>
        <w:t xml:space="preserve"> </w:t>
      </w:r>
    </w:p>
    <w:p w:rsidR="00F54D90" w:rsidRPr="00454B84" w:rsidRDefault="00F54D90" w:rsidP="00F54D90">
      <w:pPr>
        <w:rPr>
          <w:rFonts w:ascii="Arial" w:hAnsi="Arial" w:cs="Arial"/>
        </w:rPr>
      </w:pP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The heavy vehicle industry pays for ca</w:t>
      </w:r>
      <w:r w:rsidR="00F54D90" w:rsidRPr="00454B84">
        <w:rPr>
          <w:rFonts w:ascii="Arial" w:eastAsiaTheme="minorHAnsi" w:hAnsi="Arial" w:cs="Arial"/>
          <w:sz w:val="20"/>
          <w:szCs w:val="20"/>
        </w:rPr>
        <w:t xml:space="preserve">pital and maintenance through a </w:t>
      </w:r>
      <w:r w:rsidRPr="00454B84">
        <w:rPr>
          <w:rFonts w:ascii="Arial" w:eastAsiaTheme="minorHAnsi" w:hAnsi="Arial" w:cs="Arial"/>
          <w:sz w:val="20"/>
          <w:szCs w:val="20"/>
        </w:rPr>
        <w:t xml:space="preserve">charging model called PayGo which is operated by the NTC. The PayGo model recovers the capital and maintenance costs over a seven year period.  It is a very sophisticated model that allocates cost to each different type/combination </w:t>
      </w:r>
      <w:r w:rsidR="000B10C9" w:rsidRPr="00454B84">
        <w:rPr>
          <w:rFonts w:ascii="Arial" w:eastAsiaTheme="minorHAnsi" w:hAnsi="Arial" w:cs="Arial"/>
          <w:sz w:val="20"/>
          <w:szCs w:val="20"/>
        </w:rPr>
        <w:t>of heavy</w:t>
      </w:r>
      <w:r w:rsidR="00EA487B" w:rsidRPr="00454B84">
        <w:rPr>
          <w:rFonts w:ascii="Arial" w:eastAsiaTheme="minorHAnsi" w:hAnsi="Arial" w:cs="Arial"/>
          <w:sz w:val="20"/>
          <w:szCs w:val="20"/>
        </w:rPr>
        <w:t xml:space="preserve"> vehicle </w:t>
      </w:r>
      <w:r w:rsidRPr="00454B84">
        <w:rPr>
          <w:rFonts w:ascii="Arial" w:eastAsiaTheme="minorHAnsi" w:hAnsi="Arial" w:cs="Arial"/>
          <w:sz w:val="20"/>
          <w:szCs w:val="20"/>
        </w:rPr>
        <w:t xml:space="preserve">via sensitive parameters such as heavy vehicle infrastructure impact (equivalent standard axles), the length of the vehicle (passenger car units) and vehicle kilometres travelled. </w:t>
      </w:r>
    </w:p>
    <w:p w:rsidR="00F54D90" w:rsidRPr="00454B84" w:rsidRDefault="00F54D90" w:rsidP="00F54D90">
      <w:pPr>
        <w:spacing w:line="276" w:lineRule="auto"/>
        <w:rPr>
          <w:rFonts w:ascii="Arial" w:eastAsiaTheme="minorHAnsi" w:hAnsi="Arial" w:cs="Arial"/>
          <w:sz w:val="20"/>
          <w:szCs w:val="20"/>
        </w:rPr>
      </w:pPr>
    </w:p>
    <w:p w:rsidR="00F54D90"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The PayGo model recovers the cost base via a </w:t>
      </w:r>
      <w:r w:rsidR="00EA487B" w:rsidRPr="00454B84">
        <w:rPr>
          <w:rFonts w:ascii="Arial" w:eastAsiaTheme="minorHAnsi" w:hAnsi="Arial" w:cs="Arial"/>
          <w:sz w:val="20"/>
          <w:szCs w:val="20"/>
        </w:rPr>
        <w:t>RUC</w:t>
      </w:r>
      <w:r w:rsidRPr="00454B84">
        <w:rPr>
          <w:rFonts w:ascii="Arial" w:eastAsiaTheme="minorHAnsi" w:hAnsi="Arial" w:cs="Arial"/>
          <w:sz w:val="20"/>
          <w:szCs w:val="20"/>
        </w:rPr>
        <w:t xml:space="preserve"> and state based registration charges. The commonwealth collects the revenue from the RUC and states receive the revenue from registration charges.  </w:t>
      </w:r>
    </w:p>
    <w:p w:rsidR="00F54D90" w:rsidRPr="00454B84" w:rsidRDefault="00F54D90" w:rsidP="00F54D90">
      <w:pPr>
        <w:spacing w:line="276" w:lineRule="auto"/>
        <w:rPr>
          <w:rFonts w:ascii="Arial" w:eastAsiaTheme="minorHAnsi" w:hAnsi="Arial" w:cs="Arial"/>
          <w:sz w:val="20"/>
          <w:szCs w:val="20"/>
        </w:rPr>
      </w:pPr>
    </w:p>
    <w:p w:rsidR="00166E38" w:rsidRPr="00454B84" w:rsidRDefault="00225336" w:rsidP="00225336">
      <w:pPr>
        <w:pStyle w:val="Heading1"/>
        <w:numPr>
          <w:ilvl w:val="1"/>
          <w:numId w:val="8"/>
        </w:numPr>
        <w:rPr>
          <w:sz w:val="24"/>
          <w:szCs w:val="20"/>
        </w:rPr>
      </w:pPr>
      <w:r w:rsidRPr="00454B84">
        <w:rPr>
          <w:sz w:val="24"/>
          <w:szCs w:val="20"/>
        </w:rPr>
        <w:t xml:space="preserve"> </w:t>
      </w:r>
      <w:bookmarkStart w:id="18" w:name="_Toc374626254"/>
      <w:r w:rsidR="00166E38" w:rsidRPr="00454B84">
        <w:rPr>
          <w:sz w:val="24"/>
          <w:szCs w:val="20"/>
        </w:rPr>
        <w:t>State heavy vehicle expenditure reporting</w:t>
      </w:r>
      <w:bookmarkEnd w:id="18"/>
    </w:p>
    <w:p w:rsidR="00F54D90" w:rsidRPr="00454B84" w:rsidRDefault="00F54D90" w:rsidP="00F54D90">
      <w:pPr>
        <w:rPr>
          <w:rFonts w:ascii="Arial" w:hAnsi="Arial" w:cs="Arial"/>
        </w:rPr>
      </w:pPr>
    </w:p>
    <w:p w:rsidR="00166E38" w:rsidRPr="00454B84" w:rsidRDefault="00166E38" w:rsidP="00F54D90">
      <w:pPr>
        <w:autoSpaceDE w:val="0"/>
        <w:autoSpaceDN w:val="0"/>
        <w:adjustRightInd w:val="0"/>
        <w:rPr>
          <w:rFonts w:ascii="Arial" w:eastAsiaTheme="minorHAnsi" w:hAnsi="Arial" w:cs="Arial"/>
          <w:sz w:val="20"/>
          <w:szCs w:val="20"/>
        </w:rPr>
      </w:pPr>
      <w:r w:rsidRPr="00454B84">
        <w:rPr>
          <w:rFonts w:ascii="Arial" w:eastAsiaTheme="minorHAnsi" w:hAnsi="Arial" w:cs="Arial"/>
          <w:sz w:val="20"/>
          <w:szCs w:val="20"/>
        </w:rPr>
        <w:t xml:space="preserve">States record heavy vehicle expenditure into an </w:t>
      </w:r>
      <w:r w:rsidR="00F54D90" w:rsidRPr="00454B84">
        <w:rPr>
          <w:rFonts w:ascii="Arial" w:eastAsiaTheme="minorHAnsi" w:hAnsi="Arial" w:cs="Arial"/>
          <w:sz w:val="20"/>
          <w:szCs w:val="20"/>
        </w:rPr>
        <w:t xml:space="preserve">NTC </w:t>
      </w:r>
      <w:r w:rsidRPr="00454B84">
        <w:rPr>
          <w:rFonts w:ascii="Arial" w:eastAsiaTheme="minorHAnsi" w:hAnsi="Arial" w:cs="Arial"/>
          <w:sz w:val="20"/>
          <w:szCs w:val="20"/>
        </w:rPr>
        <w:t>expenditur</w:t>
      </w:r>
      <w:r w:rsidR="000B10C9" w:rsidRPr="00454B84">
        <w:rPr>
          <w:rFonts w:ascii="Arial" w:eastAsiaTheme="minorHAnsi" w:hAnsi="Arial" w:cs="Arial"/>
          <w:sz w:val="20"/>
          <w:szCs w:val="20"/>
        </w:rPr>
        <w:t>e template which categorises</w:t>
      </w:r>
      <w:r w:rsidRPr="00454B84">
        <w:rPr>
          <w:rFonts w:ascii="Arial" w:eastAsiaTheme="minorHAnsi" w:hAnsi="Arial" w:cs="Arial"/>
          <w:sz w:val="20"/>
          <w:szCs w:val="20"/>
        </w:rPr>
        <w:t xml:space="preserve"> </w:t>
      </w:r>
      <w:r w:rsidR="000B10C9" w:rsidRPr="00454B84">
        <w:rPr>
          <w:rFonts w:ascii="Arial" w:eastAsiaTheme="minorHAnsi" w:hAnsi="Arial" w:cs="Arial"/>
          <w:sz w:val="20"/>
          <w:szCs w:val="20"/>
        </w:rPr>
        <w:t>s</w:t>
      </w:r>
      <w:r w:rsidR="00F06986" w:rsidRPr="00454B84">
        <w:rPr>
          <w:rFonts w:ascii="Arial" w:eastAsiaTheme="minorHAnsi" w:hAnsi="Arial" w:cs="Arial"/>
          <w:sz w:val="20"/>
          <w:szCs w:val="20"/>
        </w:rPr>
        <w:t>pending e.g. b</w:t>
      </w:r>
      <w:r w:rsidRPr="00454B84">
        <w:rPr>
          <w:rFonts w:ascii="Arial" w:eastAsiaTheme="minorHAnsi" w:hAnsi="Arial" w:cs="Arial"/>
          <w:sz w:val="20"/>
          <w:szCs w:val="20"/>
        </w:rPr>
        <w:t>ridge m</w:t>
      </w:r>
      <w:r w:rsidR="00F06986" w:rsidRPr="00454B84">
        <w:rPr>
          <w:rFonts w:ascii="Arial" w:eastAsiaTheme="minorHAnsi" w:hAnsi="Arial" w:cs="Arial"/>
          <w:sz w:val="20"/>
          <w:szCs w:val="20"/>
        </w:rPr>
        <w:t>aintenance and rehabilitation or r</w:t>
      </w:r>
      <w:r w:rsidRPr="00454B84">
        <w:rPr>
          <w:rFonts w:ascii="Arial" w:eastAsiaTheme="minorHAnsi" w:hAnsi="Arial" w:cs="Arial"/>
          <w:sz w:val="20"/>
          <w:szCs w:val="20"/>
        </w:rPr>
        <w:t>oad pavement and shoulder maintenance</w:t>
      </w:r>
      <w:r w:rsidR="000B10C9" w:rsidRPr="00454B84">
        <w:rPr>
          <w:rFonts w:ascii="Arial" w:eastAsiaTheme="minorHAnsi" w:hAnsi="Arial" w:cs="Arial"/>
          <w:sz w:val="20"/>
          <w:szCs w:val="20"/>
        </w:rPr>
        <w:t xml:space="preserve"> </w:t>
      </w:r>
      <w:r w:rsidRPr="00454B84">
        <w:rPr>
          <w:rFonts w:ascii="Arial" w:eastAsiaTheme="minorHAnsi" w:hAnsi="Arial" w:cs="Arial"/>
          <w:sz w:val="20"/>
          <w:szCs w:val="20"/>
        </w:rPr>
        <w:t>(see appendix</w:t>
      </w:r>
      <w:r w:rsidR="000B10C9" w:rsidRPr="00454B84">
        <w:rPr>
          <w:rFonts w:ascii="Arial" w:eastAsiaTheme="minorHAnsi" w:hAnsi="Arial" w:cs="Arial"/>
          <w:sz w:val="20"/>
          <w:szCs w:val="20"/>
        </w:rPr>
        <w:t xml:space="preserve"> A</w:t>
      </w:r>
      <w:r w:rsidRPr="00454B84">
        <w:rPr>
          <w:rFonts w:ascii="Arial" w:eastAsiaTheme="minorHAnsi" w:hAnsi="Arial" w:cs="Arial"/>
          <w:sz w:val="20"/>
          <w:szCs w:val="20"/>
        </w:rPr>
        <w:t xml:space="preserve"> for the full expenditure template). </w:t>
      </w:r>
      <w:r w:rsidR="000B10C9" w:rsidRPr="00454B84">
        <w:rPr>
          <w:rFonts w:ascii="Arial" w:eastAsiaTheme="minorHAnsi" w:hAnsi="Arial" w:cs="Arial"/>
          <w:sz w:val="20"/>
          <w:szCs w:val="20"/>
        </w:rPr>
        <w:t>The expenditure total is fe</w:t>
      </w:r>
      <w:r w:rsidR="00F54D90" w:rsidRPr="00454B84">
        <w:rPr>
          <w:rFonts w:ascii="Arial" w:eastAsiaTheme="minorHAnsi" w:hAnsi="Arial" w:cs="Arial"/>
          <w:sz w:val="20"/>
          <w:szCs w:val="20"/>
        </w:rPr>
        <w:t xml:space="preserve">d into the PayGo model and forms the cost base to be recovered from the heavy vehicle industry. </w:t>
      </w:r>
    </w:p>
    <w:p w:rsidR="00166E38" w:rsidRPr="00454B84" w:rsidRDefault="00166E38" w:rsidP="00F54D90">
      <w:pPr>
        <w:autoSpaceDE w:val="0"/>
        <w:autoSpaceDN w:val="0"/>
        <w:adjustRightInd w:val="0"/>
        <w:rPr>
          <w:rFonts w:ascii="Arial" w:eastAsiaTheme="minorHAnsi" w:hAnsi="Arial" w:cs="Arial"/>
          <w:sz w:val="20"/>
          <w:szCs w:val="20"/>
        </w:rPr>
      </w:pP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The current state heavy vehicle road expenditure and maintenance inputs into the PayGo model are unaudited. Industry has raised the issue of possible inefficient spending and lack of consistency due to the fact that the expenditure industry pays for is not subjected to independent audits. </w:t>
      </w:r>
    </w:p>
    <w:p w:rsidR="00F54D90" w:rsidRPr="00454B84" w:rsidRDefault="00F54D90" w:rsidP="00F54D90">
      <w:pPr>
        <w:spacing w:line="276" w:lineRule="auto"/>
        <w:rPr>
          <w:rFonts w:ascii="Arial" w:eastAsiaTheme="minorHAnsi" w:hAnsi="Arial" w:cs="Arial"/>
          <w:sz w:val="20"/>
          <w:szCs w:val="20"/>
        </w:rPr>
      </w:pP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lastRenderedPageBreak/>
        <w:t>In the recent heavy vehicle charges determination carried out by the</w:t>
      </w:r>
      <w:r w:rsidR="00F54D90" w:rsidRPr="00454B84">
        <w:rPr>
          <w:rFonts w:ascii="Arial" w:eastAsiaTheme="minorHAnsi" w:hAnsi="Arial" w:cs="Arial"/>
          <w:sz w:val="20"/>
          <w:szCs w:val="20"/>
        </w:rPr>
        <w:t xml:space="preserve"> NTC </w:t>
      </w:r>
      <w:r w:rsidRPr="00454B84">
        <w:rPr>
          <w:rFonts w:ascii="Arial" w:eastAsiaTheme="minorHAnsi" w:hAnsi="Arial" w:cs="Arial"/>
          <w:sz w:val="20"/>
          <w:szCs w:val="20"/>
        </w:rPr>
        <w:t>the findings in</w:t>
      </w:r>
      <w:r w:rsidR="00F54D90" w:rsidRPr="00454B84">
        <w:rPr>
          <w:rFonts w:ascii="Arial" w:eastAsiaTheme="minorHAnsi" w:hAnsi="Arial" w:cs="Arial"/>
          <w:sz w:val="20"/>
          <w:szCs w:val="20"/>
        </w:rPr>
        <w:t xml:space="preserve"> a</w:t>
      </w:r>
      <w:r w:rsidRPr="00454B84">
        <w:rPr>
          <w:rFonts w:ascii="Arial" w:eastAsiaTheme="minorHAnsi" w:hAnsi="Arial" w:cs="Arial"/>
          <w:sz w:val="20"/>
          <w:szCs w:val="20"/>
        </w:rPr>
        <w:t xml:space="preserve"> Deloittes Review of Reported Jurisdictional Road Expenditure Data 2012 report showed inconsistency in what some states included in categories, some including costs which were not listed in the guidelines. </w:t>
      </w:r>
    </w:p>
    <w:p w:rsidR="00F54D90" w:rsidRPr="00454B84" w:rsidRDefault="00F54D90" w:rsidP="00F54D90">
      <w:pPr>
        <w:spacing w:line="276" w:lineRule="auto"/>
        <w:rPr>
          <w:rFonts w:ascii="Arial" w:eastAsiaTheme="minorHAnsi" w:hAnsi="Arial" w:cs="Arial"/>
          <w:sz w:val="20"/>
          <w:szCs w:val="20"/>
        </w:rPr>
      </w:pPr>
    </w:p>
    <w:p w:rsidR="00166E38" w:rsidRPr="00454B84" w:rsidRDefault="00225336" w:rsidP="00225336">
      <w:pPr>
        <w:pStyle w:val="Heading1"/>
        <w:numPr>
          <w:ilvl w:val="1"/>
          <w:numId w:val="8"/>
        </w:numPr>
        <w:rPr>
          <w:sz w:val="24"/>
          <w:szCs w:val="20"/>
        </w:rPr>
      </w:pPr>
      <w:r w:rsidRPr="00454B84">
        <w:rPr>
          <w:sz w:val="24"/>
          <w:szCs w:val="20"/>
        </w:rPr>
        <w:t xml:space="preserve"> </w:t>
      </w:r>
      <w:bookmarkStart w:id="19" w:name="_Toc374626255"/>
      <w:r w:rsidR="00166E38" w:rsidRPr="00454B84">
        <w:rPr>
          <w:sz w:val="24"/>
          <w:szCs w:val="20"/>
        </w:rPr>
        <w:t>Audits</w:t>
      </w:r>
      <w:bookmarkEnd w:id="19"/>
      <w:r w:rsidR="00166E38" w:rsidRPr="00454B84">
        <w:rPr>
          <w:sz w:val="24"/>
          <w:szCs w:val="20"/>
        </w:rPr>
        <w:t xml:space="preserve"> </w:t>
      </w:r>
    </w:p>
    <w:p w:rsidR="00DB571E" w:rsidRPr="00454B84" w:rsidRDefault="00DB571E" w:rsidP="00DB571E">
      <w:pPr>
        <w:rPr>
          <w:rFonts w:ascii="Arial" w:hAnsi="Arial" w:cs="Arial"/>
        </w:rPr>
      </w:pP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States heavy vehicle expenditure inputs should have the same level of accountability and scrutiny as other public and private entities. </w:t>
      </w:r>
      <w:r w:rsidR="00DB571E" w:rsidRPr="00454B84">
        <w:rPr>
          <w:rFonts w:ascii="Arial" w:eastAsiaTheme="minorHAnsi" w:hAnsi="Arial" w:cs="Arial"/>
          <w:sz w:val="20"/>
          <w:szCs w:val="20"/>
        </w:rPr>
        <w:t>The ATA</w:t>
      </w:r>
      <w:r w:rsidRPr="00454B84">
        <w:rPr>
          <w:rFonts w:ascii="Arial" w:eastAsiaTheme="minorHAnsi" w:hAnsi="Arial" w:cs="Arial"/>
          <w:sz w:val="20"/>
          <w:szCs w:val="20"/>
        </w:rPr>
        <w:t xml:space="preserve"> raised issues over the accuracy and consistency of the reported expenditure. The ATA has also asked how road agencies could demonstrate they were spending heavy vehicle </w:t>
      </w:r>
      <w:r w:rsidR="000B10C9" w:rsidRPr="00454B84">
        <w:rPr>
          <w:rFonts w:ascii="Arial" w:eastAsiaTheme="minorHAnsi" w:hAnsi="Arial" w:cs="Arial"/>
          <w:sz w:val="20"/>
          <w:szCs w:val="20"/>
        </w:rPr>
        <w:t>revenue</w:t>
      </w:r>
      <w:r w:rsidRPr="00454B84">
        <w:rPr>
          <w:rFonts w:ascii="Arial" w:eastAsiaTheme="minorHAnsi" w:hAnsi="Arial" w:cs="Arial"/>
          <w:sz w:val="20"/>
          <w:szCs w:val="20"/>
        </w:rPr>
        <w:t xml:space="preserve"> efficiently and maintaining the network.  </w:t>
      </w:r>
    </w:p>
    <w:p w:rsidR="00DB571E" w:rsidRPr="00454B84" w:rsidRDefault="00DB571E" w:rsidP="00F54D90">
      <w:pPr>
        <w:spacing w:line="276" w:lineRule="auto"/>
        <w:rPr>
          <w:rFonts w:ascii="Arial" w:eastAsiaTheme="minorHAnsi" w:hAnsi="Arial" w:cs="Arial"/>
          <w:sz w:val="20"/>
          <w:szCs w:val="20"/>
        </w:rPr>
      </w:pP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It was highlighted that the cost categories in the expenditure template differ to how jurisdictions record their financial costs. This has given rise to a number of reporting issues. </w:t>
      </w:r>
    </w:p>
    <w:p w:rsidR="00DB571E" w:rsidRPr="00454B84" w:rsidRDefault="00DB571E" w:rsidP="00F54D90">
      <w:pPr>
        <w:spacing w:line="276" w:lineRule="auto"/>
        <w:rPr>
          <w:rFonts w:ascii="Arial" w:eastAsiaTheme="minorHAnsi" w:hAnsi="Arial" w:cs="Arial"/>
          <w:sz w:val="20"/>
          <w:szCs w:val="20"/>
        </w:rPr>
      </w:pP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The NTC charges</w:t>
      </w:r>
      <w:r w:rsidR="00DB571E" w:rsidRPr="00454B84">
        <w:rPr>
          <w:rFonts w:ascii="Arial" w:eastAsiaTheme="minorHAnsi" w:hAnsi="Arial" w:cs="Arial"/>
          <w:sz w:val="20"/>
          <w:szCs w:val="20"/>
        </w:rPr>
        <w:t xml:space="preserve"> determination</w:t>
      </w:r>
      <w:r w:rsidRPr="00454B84">
        <w:rPr>
          <w:rFonts w:ascii="Arial" w:eastAsiaTheme="minorHAnsi" w:hAnsi="Arial" w:cs="Arial"/>
          <w:sz w:val="20"/>
          <w:szCs w:val="20"/>
        </w:rPr>
        <w:t xml:space="preserve"> regulatory impact statement</w:t>
      </w:r>
      <w:r w:rsidR="00DB571E" w:rsidRPr="00454B84">
        <w:rPr>
          <w:rFonts w:ascii="Arial" w:eastAsiaTheme="minorHAnsi" w:hAnsi="Arial" w:cs="Arial"/>
          <w:sz w:val="20"/>
          <w:szCs w:val="20"/>
        </w:rPr>
        <w:t xml:space="preserve"> (RIS)</w:t>
      </w:r>
      <w:r w:rsidRPr="00454B84">
        <w:rPr>
          <w:rFonts w:ascii="Arial" w:eastAsiaTheme="minorHAnsi" w:hAnsi="Arial" w:cs="Arial"/>
          <w:sz w:val="20"/>
          <w:szCs w:val="20"/>
        </w:rPr>
        <w:t xml:space="preserve">, which is out for stakeholder review now, recommends that designing an appropriate framework for the scrutiny of costs can deliver significant efficiency benefits for road users and the ATA shares this view. </w:t>
      </w:r>
    </w:p>
    <w:p w:rsidR="00DB571E" w:rsidRPr="00454B84" w:rsidRDefault="00DB571E" w:rsidP="00F54D90">
      <w:pPr>
        <w:spacing w:line="276" w:lineRule="auto"/>
        <w:rPr>
          <w:rFonts w:ascii="Arial" w:eastAsiaTheme="minorHAnsi" w:hAnsi="Arial" w:cs="Arial"/>
          <w:sz w:val="20"/>
          <w:szCs w:val="20"/>
        </w:rPr>
      </w:pP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The NTC have recommended a commitment to investigate the possibility of introducing procedural style audits for completion on the returned expenditure templates. This would increase the transparency and accountability of reported costs. </w:t>
      </w:r>
    </w:p>
    <w:p w:rsidR="00345FA3" w:rsidRPr="00454B84" w:rsidRDefault="00345FA3">
      <w:pPr>
        <w:rPr>
          <w:rFonts w:ascii="Arial" w:eastAsiaTheme="minorHAnsi" w:hAnsi="Arial" w:cs="Arial"/>
          <w:sz w:val="20"/>
          <w:szCs w:val="20"/>
        </w:rPr>
      </w:pP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The total cost associated with this level of audit is estimated to be $115,000 to $125,000. The cost of the audit being recovered from industry is not ideal, given that the audit process is an established procedure that should have already been in place years ago. However, if the audit is done correctly and provides industry with more understanding about the reported costs and leads to an improvement in road agency recording practices it will be a benefit for all. </w:t>
      </w:r>
    </w:p>
    <w:p w:rsidR="00DB571E" w:rsidRPr="00454B84" w:rsidRDefault="00DB571E" w:rsidP="00F54D90">
      <w:pPr>
        <w:spacing w:line="276" w:lineRule="auto"/>
        <w:rPr>
          <w:rFonts w:ascii="Arial" w:eastAsiaTheme="minorHAnsi" w:hAnsi="Arial" w:cs="Arial"/>
          <w:sz w:val="20"/>
          <w:szCs w:val="20"/>
        </w:rPr>
      </w:pP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The ATA wants the audit process to become an established practice road agencies carry out in order for industry to have more confidence that what they are paying for is appropriate and approved. </w:t>
      </w:r>
    </w:p>
    <w:p w:rsidR="00646000" w:rsidRPr="00454B84" w:rsidRDefault="00646000" w:rsidP="00F54D90">
      <w:pPr>
        <w:spacing w:line="276" w:lineRule="auto"/>
        <w:rPr>
          <w:rFonts w:ascii="Arial" w:eastAsiaTheme="minorHAnsi" w:hAnsi="Arial" w:cs="Arial"/>
          <w:sz w:val="20"/>
          <w:szCs w:val="20"/>
        </w:rPr>
      </w:pPr>
    </w:p>
    <w:p w:rsidR="00166E38" w:rsidRPr="00454B84" w:rsidRDefault="00225336" w:rsidP="00225336">
      <w:pPr>
        <w:pStyle w:val="Heading1"/>
        <w:numPr>
          <w:ilvl w:val="1"/>
          <w:numId w:val="8"/>
        </w:numPr>
        <w:rPr>
          <w:sz w:val="24"/>
          <w:szCs w:val="20"/>
        </w:rPr>
      </w:pPr>
      <w:r w:rsidRPr="00454B84">
        <w:rPr>
          <w:sz w:val="24"/>
          <w:szCs w:val="20"/>
        </w:rPr>
        <w:t xml:space="preserve"> </w:t>
      </w:r>
      <w:bookmarkStart w:id="20" w:name="_Toc374626256"/>
      <w:r w:rsidR="00166E38" w:rsidRPr="00454B84">
        <w:rPr>
          <w:sz w:val="24"/>
          <w:szCs w:val="20"/>
        </w:rPr>
        <w:t>Benchmarking</w:t>
      </w:r>
      <w:bookmarkEnd w:id="20"/>
    </w:p>
    <w:p w:rsidR="00DB571E" w:rsidRPr="00454B84" w:rsidRDefault="00DB571E" w:rsidP="00DB571E">
      <w:pPr>
        <w:rPr>
          <w:rFonts w:ascii="Arial" w:hAnsi="Arial" w:cs="Arial"/>
        </w:rPr>
      </w:pPr>
    </w:p>
    <w:p w:rsidR="00166E38" w:rsidRPr="00454B84" w:rsidRDefault="00166E38" w:rsidP="00F54D90">
      <w:pPr>
        <w:rPr>
          <w:rFonts w:ascii="Arial" w:eastAsiaTheme="minorHAnsi" w:hAnsi="Arial" w:cs="Arial"/>
          <w:sz w:val="20"/>
          <w:szCs w:val="20"/>
        </w:rPr>
      </w:pPr>
      <w:r w:rsidRPr="00454B84">
        <w:rPr>
          <w:rFonts w:ascii="Arial" w:eastAsiaTheme="minorHAnsi" w:hAnsi="Arial" w:cs="Arial"/>
          <w:sz w:val="20"/>
          <w:szCs w:val="20"/>
        </w:rPr>
        <w:t xml:space="preserve">Currently, information on the competence of one road agency compared with another is limited. There is not an easily obtained and reviewable source of data for industry to use to review the efficiency of heavy vehicle-specific expenditure. </w:t>
      </w:r>
    </w:p>
    <w:p w:rsidR="00166E38" w:rsidRPr="00454B84" w:rsidRDefault="00166E38" w:rsidP="00F54D90">
      <w:pPr>
        <w:rPr>
          <w:rFonts w:ascii="Arial" w:eastAsiaTheme="minorHAnsi" w:hAnsi="Arial" w:cs="Arial"/>
          <w:sz w:val="20"/>
          <w:szCs w:val="20"/>
        </w:rPr>
      </w:pPr>
    </w:p>
    <w:p w:rsidR="00166E38" w:rsidRPr="00454B84" w:rsidRDefault="00166E38" w:rsidP="00F54D90">
      <w:pPr>
        <w:rPr>
          <w:rFonts w:ascii="Arial" w:eastAsiaTheme="minorHAnsi" w:hAnsi="Arial" w:cs="Arial"/>
          <w:bCs/>
          <w:sz w:val="20"/>
          <w:szCs w:val="20"/>
        </w:rPr>
      </w:pPr>
      <w:r w:rsidRPr="00454B84">
        <w:rPr>
          <w:rFonts w:ascii="Arial" w:eastAsiaTheme="minorHAnsi" w:hAnsi="Arial" w:cs="Arial"/>
          <w:sz w:val="20"/>
          <w:szCs w:val="20"/>
        </w:rPr>
        <w:t xml:space="preserve">PwC recommended that </w:t>
      </w:r>
      <w:r w:rsidRPr="00454B84">
        <w:rPr>
          <w:rFonts w:ascii="Arial" w:eastAsiaTheme="minorHAnsi" w:hAnsi="Arial" w:cs="Arial"/>
          <w:bCs/>
          <w:sz w:val="20"/>
          <w:szCs w:val="20"/>
        </w:rPr>
        <w:t xml:space="preserve">state, territory and local government road owners should report investment and maintenance activity on each tier of the network. This information should then be compared with cost benchmarks and the levels of access achieved, relative to agreed targets or benchmarks for increased transparency and accountability. </w:t>
      </w:r>
    </w:p>
    <w:p w:rsidR="00166E38" w:rsidRPr="00454B84" w:rsidRDefault="00166E38" w:rsidP="00F54D90">
      <w:pPr>
        <w:rPr>
          <w:rFonts w:ascii="Arial" w:eastAsiaTheme="minorHAnsi" w:hAnsi="Arial" w:cs="Arial"/>
          <w:sz w:val="20"/>
          <w:szCs w:val="20"/>
        </w:rPr>
      </w:pPr>
    </w:p>
    <w:p w:rsidR="000B10C9" w:rsidRPr="00454B84" w:rsidRDefault="000B10C9" w:rsidP="000B10C9">
      <w:pPr>
        <w:rPr>
          <w:rFonts w:ascii="Arial" w:eastAsiaTheme="minorHAnsi" w:hAnsi="Arial" w:cs="Arial"/>
          <w:sz w:val="20"/>
          <w:szCs w:val="20"/>
        </w:rPr>
      </w:pPr>
      <w:r w:rsidRPr="00454B84">
        <w:rPr>
          <w:rFonts w:ascii="Arial" w:eastAsiaTheme="minorHAnsi" w:hAnsi="Arial" w:cs="Arial"/>
          <w:sz w:val="20"/>
          <w:szCs w:val="20"/>
        </w:rPr>
        <w:t xml:space="preserve">Having this expenditure data </w:t>
      </w:r>
      <w:r w:rsidR="00B93C2C" w:rsidRPr="00454B84">
        <w:rPr>
          <w:rFonts w:ascii="Arial" w:eastAsiaTheme="minorHAnsi" w:hAnsi="Arial" w:cs="Arial"/>
          <w:sz w:val="20"/>
          <w:szCs w:val="20"/>
        </w:rPr>
        <w:t>public</w:t>
      </w:r>
      <w:r w:rsidR="00B93C2C">
        <w:rPr>
          <w:rFonts w:ascii="Arial" w:eastAsiaTheme="minorHAnsi" w:hAnsi="Arial" w:cs="Arial"/>
          <w:sz w:val="20"/>
          <w:szCs w:val="20"/>
        </w:rPr>
        <w:t>ly</w:t>
      </w:r>
      <w:r w:rsidRPr="00454B84">
        <w:rPr>
          <w:rFonts w:ascii="Arial" w:eastAsiaTheme="minorHAnsi" w:hAnsi="Arial" w:cs="Arial"/>
          <w:sz w:val="20"/>
          <w:szCs w:val="20"/>
        </w:rPr>
        <w:t xml:space="preserve"> available w</w:t>
      </w:r>
      <w:r w:rsidR="00F06986" w:rsidRPr="00454B84">
        <w:rPr>
          <w:rFonts w:ascii="Arial" w:eastAsiaTheme="minorHAnsi" w:hAnsi="Arial" w:cs="Arial"/>
          <w:sz w:val="20"/>
          <w:szCs w:val="20"/>
        </w:rPr>
        <w:t>ould</w:t>
      </w:r>
      <w:r w:rsidRPr="00454B84">
        <w:rPr>
          <w:rFonts w:ascii="Arial" w:eastAsiaTheme="minorHAnsi" w:hAnsi="Arial" w:cs="Arial"/>
          <w:sz w:val="20"/>
          <w:szCs w:val="20"/>
        </w:rPr>
        <w:t xml:space="preserve"> enable unit cost estimate</w:t>
      </w:r>
      <w:r w:rsidR="00F06986" w:rsidRPr="00454B84">
        <w:rPr>
          <w:rFonts w:ascii="Arial" w:eastAsiaTheme="minorHAnsi" w:hAnsi="Arial" w:cs="Arial"/>
          <w:sz w:val="20"/>
          <w:szCs w:val="20"/>
        </w:rPr>
        <w:t>s</w:t>
      </w:r>
      <w:r w:rsidRPr="00454B84">
        <w:rPr>
          <w:rFonts w:ascii="Arial" w:eastAsiaTheme="minorHAnsi" w:hAnsi="Arial" w:cs="Arial"/>
          <w:sz w:val="20"/>
          <w:szCs w:val="20"/>
        </w:rPr>
        <w:t xml:space="preserve"> of road maintenance and investment (e.g. by lane kilometres on a given network tier). These estimates</w:t>
      </w:r>
      <w:r w:rsidR="00F06986" w:rsidRPr="00454B84">
        <w:rPr>
          <w:rFonts w:ascii="Arial" w:eastAsiaTheme="minorHAnsi" w:hAnsi="Arial" w:cs="Arial"/>
          <w:sz w:val="20"/>
          <w:szCs w:val="20"/>
        </w:rPr>
        <w:t xml:space="preserve"> would</w:t>
      </w:r>
      <w:r w:rsidRPr="00454B84">
        <w:rPr>
          <w:rFonts w:ascii="Arial" w:eastAsiaTheme="minorHAnsi" w:hAnsi="Arial" w:cs="Arial"/>
          <w:sz w:val="20"/>
          <w:szCs w:val="20"/>
        </w:rPr>
        <w:t xml:space="preserve"> be developed into efficient benchmark investment and maintenance costs that could be used to inform the amount of expenditure that is recovered from heavy vehicle road users. </w:t>
      </w:r>
      <w:r w:rsidRPr="00454B84">
        <w:rPr>
          <w:rFonts w:ascii="Arial" w:eastAsiaTheme="minorHAnsi" w:hAnsi="Arial" w:cs="Arial"/>
          <w:sz w:val="20"/>
          <w:szCs w:val="20"/>
          <w:vertAlign w:val="superscript"/>
        </w:rPr>
        <w:footnoteReference w:id="3"/>
      </w:r>
      <w:r w:rsidRPr="00454B84">
        <w:rPr>
          <w:rFonts w:ascii="Arial" w:eastAsiaTheme="minorHAnsi" w:hAnsi="Arial" w:cs="Arial"/>
          <w:sz w:val="20"/>
          <w:szCs w:val="20"/>
        </w:rPr>
        <w:t xml:space="preserve"> </w:t>
      </w:r>
    </w:p>
    <w:p w:rsidR="00166E38" w:rsidRPr="00454B84" w:rsidRDefault="00166E38" w:rsidP="00F54D90">
      <w:pPr>
        <w:rPr>
          <w:rFonts w:ascii="Arial" w:eastAsiaTheme="minorHAnsi" w:hAnsi="Arial" w:cs="Arial"/>
          <w:sz w:val="20"/>
          <w:szCs w:val="20"/>
        </w:rPr>
      </w:pPr>
    </w:p>
    <w:p w:rsidR="00166E38" w:rsidRPr="00454B84" w:rsidRDefault="00166E38" w:rsidP="00F54D90">
      <w:pPr>
        <w:rPr>
          <w:rFonts w:ascii="Arial" w:eastAsiaTheme="minorHAnsi" w:hAnsi="Arial" w:cs="Arial"/>
          <w:sz w:val="20"/>
          <w:szCs w:val="20"/>
        </w:rPr>
      </w:pPr>
      <w:r w:rsidRPr="00454B84">
        <w:rPr>
          <w:rFonts w:ascii="Arial" w:eastAsiaTheme="minorHAnsi" w:hAnsi="Arial" w:cs="Arial"/>
          <w:sz w:val="20"/>
          <w:szCs w:val="20"/>
        </w:rPr>
        <w:t xml:space="preserve">In the longer term, once basic benchmarking </w:t>
      </w:r>
      <w:r w:rsidR="00F06986" w:rsidRPr="00454B84">
        <w:rPr>
          <w:rFonts w:ascii="Arial" w:eastAsiaTheme="minorHAnsi" w:hAnsi="Arial" w:cs="Arial"/>
          <w:sz w:val="20"/>
          <w:szCs w:val="20"/>
        </w:rPr>
        <w:t>was</w:t>
      </w:r>
      <w:r w:rsidRPr="00454B84">
        <w:rPr>
          <w:rFonts w:ascii="Arial" w:eastAsiaTheme="minorHAnsi" w:hAnsi="Arial" w:cs="Arial"/>
          <w:sz w:val="20"/>
          <w:szCs w:val="20"/>
        </w:rPr>
        <w:t xml:space="preserve"> established, independent benchmarking of efficient road investment and maintenance costs should be tied to funding allocations for road agencies. Such a move would support efficiency incentives and appropriate pricing.</w:t>
      </w:r>
    </w:p>
    <w:p w:rsidR="00166E38" w:rsidRPr="00454B84" w:rsidRDefault="00166E38" w:rsidP="00F54D90">
      <w:pPr>
        <w:rPr>
          <w:rFonts w:ascii="Arial" w:eastAsiaTheme="minorHAnsi" w:hAnsi="Arial" w:cs="Arial"/>
          <w:sz w:val="20"/>
          <w:szCs w:val="20"/>
        </w:rPr>
      </w:pPr>
    </w:p>
    <w:p w:rsidR="00166E38" w:rsidRPr="00454B84" w:rsidRDefault="00166E38" w:rsidP="00F54D90">
      <w:pPr>
        <w:rPr>
          <w:rFonts w:ascii="Arial" w:eastAsiaTheme="minorHAnsi" w:hAnsi="Arial" w:cs="Arial"/>
          <w:sz w:val="20"/>
          <w:szCs w:val="20"/>
        </w:rPr>
      </w:pPr>
      <w:r w:rsidRPr="00454B84">
        <w:rPr>
          <w:rFonts w:ascii="Arial" w:eastAsiaTheme="minorHAnsi" w:hAnsi="Arial" w:cs="Arial"/>
          <w:sz w:val="20"/>
          <w:szCs w:val="20"/>
        </w:rPr>
        <w:t xml:space="preserve">Incentives to outperform guidelines should be provided, for instance, by allowing a road supplier to retain unspent funds to invest in other relevant priorities. However, safeguards </w:t>
      </w:r>
      <w:r w:rsidR="00F06986" w:rsidRPr="00454B84">
        <w:rPr>
          <w:rFonts w:ascii="Arial" w:eastAsiaTheme="minorHAnsi" w:hAnsi="Arial" w:cs="Arial"/>
          <w:sz w:val="20"/>
          <w:szCs w:val="20"/>
        </w:rPr>
        <w:t>would be</w:t>
      </w:r>
      <w:r w:rsidRPr="00454B84">
        <w:rPr>
          <w:rFonts w:ascii="Arial" w:eastAsiaTheme="minorHAnsi" w:hAnsi="Arial" w:cs="Arial"/>
          <w:sz w:val="20"/>
          <w:szCs w:val="20"/>
        </w:rPr>
        <w:t xml:space="preserve"> required to ensure quality of supply and to avoid inflated project estimates.</w:t>
      </w:r>
    </w:p>
    <w:p w:rsidR="00166E38" w:rsidRPr="00454B84" w:rsidRDefault="00166E38" w:rsidP="00F54D90">
      <w:pPr>
        <w:rPr>
          <w:rFonts w:ascii="Arial" w:eastAsiaTheme="minorHAnsi" w:hAnsi="Arial" w:cs="Arial"/>
          <w:sz w:val="20"/>
          <w:szCs w:val="20"/>
        </w:rPr>
      </w:pPr>
    </w:p>
    <w:p w:rsidR="004E58D9" w:rsidRDefault="004E58D9">
      <w:pPr>
        <w:rPr>
          <w:rFonts w:ascii="Arial" w:eastAsiaTheme="minorHAnsi" w:hAnsi="Arial" w:cs="Arial"/>
          <w:sz w:val="20"/>
          <w:szCs w:val="20"/>
        </w:rPr>
      </w:pPr>
    </w:p>
    <w:p w:rsidR="004E58D9" w:rsidRDefault="004E58D9">
      <w:pPr>
        <w:rPr>
          <w:rFonts w:ascii="Arial" w:eastAsiaTheme="minorHAnsi" w:hAnsi="Arial" w:cs="Arial"/>
          <w:sz w:val="20"/>
          <w:szCs w:val="20"/>
        </w:rPr>
      </w:pPr>
    </w:p>
    <w:p w:rsidR="000C5B48" w:rsidRDefault="00166E38">
      <w:pPr>
        <w:rPr>
          <w:rFonts w:ascii="Arial" w:hAnsi="Arial" w:cs="Arial"/>
          <w:sz w:val="20"/>
          <w:szCs w:val="20"/>
        </w:rPr>
      </w:pPr>
      <w:r w:rsidRPr="00454B84">
        <w:rPr>
          <w:rFonts w:ascii="Arial" w:eastAsiaTheme="minorHAnsi" w:hAnsi="Arial" w:cs="Arial"/>
          <w:sz w:val="20"/>
          <w:szCs w:val="20"/>
        </w:rPr>
        <w:lastRenderedPageBreak/>
        <w:t xml:space="preserve">The current </w:t>
      </w:r>
      <w:r w:rsidR="00E01695" w:rsidRPr="00454B84">
        <w:rPr>
          <w:rFonts w:ascii="Arial" w:eastAsiaTheme="minorHAnsi" w:hAnsi="Arial" w:cs="Arial"/>
          <w:sz w:val="20"/>
          <w:szCs w:val="20"/>
        </w:rPr>
        <w:t>NTC</w:t>
      </w:r>
      <w:r w:rsidRPr="00454B84">
        <w:rPr>
          <w:rFonts w:ascii="Arial" w:eastAsiaTheme="minorHAnsi" w:hAnsi="Arial" w:cs="Arial"/>
          <w:sz w:val="20"/>
          <w:szCs w:val="20"/>
        </w:rPr>
        <w:t xml:space="preserve"> heavy vehicle charges determination has highlighted that road agencies </w:t>
      </w:r>
      <w:r w:rsidRPr="00454B84">
        <w:rPr>
          <w:rFonts w:ascii="Arial" w:hAnsi="Arial" w:cs="Arial"/>
          <w:sz w:val="20"/>
          <w:szCs w:val="20"/>
        </w:rPr>
        <w:t xml:space="preserve">cannot split maintenance and capital costs in project costs. The NTC are recommending introducing benchmark reporting of jurisdictional business, as part of the broader accountability measures.  This will help highlight cost differences between states and will provide industry with some idea of cost drivers in different states and the relative levels of access provided. </w:t>
      </w:r>
    </w:p>
    <w:p w:rsidR="003F4E83" w:rsidRDefault="003F4E83">
      <w:pPr>
        <w:rPr>
          <w:rFonts w:ascii="Arial" w:hAnsi="Arial" w:cs="Arial"/>
          <w:sz w:val="20"/>
          <w:szCs w:val="20"/>
        </w:rPr>
      </w:pPr>
    </w:p>
    <w:p w:rsidR="00166E38" w:rsidRPr="00454B84" w:rsidRDefault="00166E38" w:rsidP="008D2BA1">
      <w:pPr>
        <w:rPr>
          <w:rFonts w:ascii="Arial" w:hAnsi="Arial" w:cs="Arial"/>
          <w:sz w:val="20"/>
          <w:szCs w:val="20"/>
        </w:rPr>
      </w:pPr>
      <w:r w:rsidRPr="00454B84">
        <w:rPr>
          <w:rFonts w:ascii="Arial" w:hAnsi="Arial" w:cs="Arial"/>
          <w:sz w:val="20"/>
          <w:szCs w:val="20"/>
        </w:rPr>
        <w:t>Audits and benchmarking combined should give states the incentive to use best practice when it comes to calculating appropriate costs and providing information that can be compared to other states and can explain why systematic and inherent differences occur in the road provision and maintenance costs. Ultimately, we believe that audits and benchmark</w:t>
      </w:r>
      <w:r w:rsidR="000B10C9" w:rsidRPr="00454B84">
        <w:rPr>
          <w:rFonts w:ascii="Arial" w:hAnsi="Arial" w:cs="Arial"/>
          <w:sz w:val="20"/>
          <w:szCs w:val="20"/>
        </w:rPr>
        <w:t>ing will reduce wasteful actions.</w:t>
      </w:r>
      <w:r w:rsidRPr="00454B84">
        <w:rPr>
          <w:rFonts w:ascii="Arial" w:hAnsi="Arial" w:cs="Arial"/>
          <w:sz w:val="20"/>
          <w:szCs w:val="20"/>
        </w:rPr>
        <w:t xml:space="preserve"> </w:t>
      </w:r>
    </w:p>
    <w:p w:rsidR="009B7D7E" w:rsidRPr="00454B84" w:rsidRDefault="009B7D7E" w:rsidP="008D2BA1">
      <w:pPr>
        <w:rPr>
          <w:rFonts w:ascii="Arial" w:hAnsi="Arial" w:cs="Arial"/>
          <w:sz w:val="20"/>
          <w:szCs w:val="20"/>
        </w:rPr>
      </w:pPr>
    </w:p>
    <w:p w:rsidR="00694527" w:rsidRPr="00454B84" w:rsidRDefault="00694527">
      <w:pPr>
        <w:rPr>
          <w:rFonts w:ascii="Arial" w:hAnsi="Arial" w:cs="Arial"/>
          <w:sz w:val="20"/>
          <w:szCs w:val="20"/>
        </w:rPr>
      </w:pPr>
    </w:p>
    <w:p w:rsidR="00E01695" w:rsidRPr="00454B84" w:rsidRDefault="00225336" w:rsidP="00225336">
      <w:pPr>
        <w:pStyle w:val="Heading1"/>
        <w:rPr>
          <w:szCs w:val="20"/>
        </w:rPr>
      </w:pPr>
      <w:r w:rsidRPr="00454B84">
        <w:rPr>
          <w:szCs w:val="20"/>
        </w:rPr>
        <w:t xml:space="preserve"> </w:t>
      </w:r>
      <w:bookmarkStart w:id="21" w:name="_Toc374626257"/>
      <w:r w:rsidR="00166E38" w:rsidRPr="00454B84">
        <w:rPr>
          <w:szCs w:val="20"/>
        </w:rPr>
        <w:t>Project governance</w:t>
      </w:r>
      <w:bookmarkEnd w:id="21"/>
      <w:r w:rsidR="00166E38" w:rsidRPr="00454B84">
        <w:rPr>
          <w:szCs w:val="20"/>
        </w:rPr>
        <w:t xml:space="preserve"> </w:t>
      </w:r>
    </w:p>
    <w:p w:rsidR="00E01695" w:rsidRPr="00454B84" w:rsidRDefault="00E01695" w:rsidP="00F54D90">
      <w:pPr>
        <w:rPr>
          <w:rFonts w:ascii="Arial" w:hAnsi="Arial" w:cs="Arial"/>
          <w:sz w:val="20"/>
          <w:szCs w:val="20"/>
        </w:rPr>
      </w:pPr>
    </w:p>
    <w:p w:rsidR="009C59C2" w:rsidRPr="00454B84" w:rsidRDefault="00166E38">
      <w:pPr>
        <w:rPr>
          <w:rFonts w:ascii="Arial" w:hAnsi="Arial" w:cs="Arial"/>
          <w:sz w:val="20"/>
          <w:szCs w:val="20"/>
        </w:rPr>
      </w:pPr>
      <w:r w:rsidRPr="00454B84">
        <w:rPr>
          <w:rFonts w:ascii="Arial" w:hAnsi="Arial" w:cs="Arial"/>
          <w:sz w:val="20"/>
          <w:szCs w:val="20"/>
        </w:rPr>
        <w:t xml:space="preserve">A recent report to Infrastructure Australia (IA) about infrastructure project governance effectiveness in Australia found that on average, 48% of projects failed to meet baseline timeframes, costs and quality objectives. </w:t>
      </w:r>
    </w:p>
    <w:p w:rsidR="009C59C2" w:rsidRPr="00454B84" w:rsidRDefault="009C59C2">
      <w:pPr>
        <w:rPr>
          <w:rFonts w:ascii="Arial" w:hAnsi="Arial" w:cs="Arial"/>
          <w:sz w:val="20"/>
          <w:szCs w:val="20"/>
        </w:rPr>
      </w:pPr>
    </w:p>
    <w:p w:rsidR="00166E38" w:rsidRPr="00454B84" w:rsidRDefault="00166E38" w:rsidP="00F54D90">
      <w:pPr>
        <w:rPr>
          <w:rFonts w:ascii="Arial" w:hAnsi="Arial" w:cs="Arial"/>
          <w:sz w:val="20"/>
          <w:szCs w:val="20"/>
        </w:rPr>
      </w:pPr>
      <w:r w:rsidRPr="00454B84">
        <w:rPr>
          <w:rFonts w:ascii="Arial" w:hAnsi="Arial" w:cs="Arial"/>
          <w:sz w:val="20"/>
          <w:szCs w:val="20"/>
        </w:rPr>
        <w:t>There is a high level of non-compliance with basic governance measures</w:t>
      </w:r>
      <w:r w:rsidRPr="00454B84">
        <w:rPr>
          <w:rFonts w:ascii="Arial" w:hAnsi="Arial" w:cs="Arial"/>
          <w:sz w:val="20"/>
          <w:szCs w:val="20"/>
          <w:vertAlign w:val="superscript"/>
        </w:rPr>
        <w:footnoteReference w:id="4"/>
      </w:r>
      <w:r w:rsidRPr="00454B84">
        <w:rPr>
          <w:rFonts w:ascii="Arial" w:hAnsi="Arial" w:cs="Arial"/>
          <w:sz w:val="20"/>
          <w:szCs w:val="20"/>
        </w:rPr>
        <w:t>:</w:t>
      </w:r>
    </w:p>
    <w:p w:rsidR="00166E38" w:rsidRPr="00454B84" w:rsidRDefault="00166E38" w:rsidP="00F54D90">
      <w:pPr>
        <w:numPr>
          <w:ilvl w:val="0"/>
          <w:numId w:val="4"/>
        </w:numPr>
        <w:spacing w:line="276" w:lineRule="auto"/>
        <w:contextualSpacing/>
        <w:rPr>
          <w:rFonts w:ascii="Arial" w:hAnsi="Arial" w:cs="Arial"/>
          <w:sz w:val="20"/>
          <w:szCs w:val="20"/>
        </w:rPr>
      </w:pPr>
      <w:r w:rsidRPr="00454B84">
        <w:rPr>
          <w:rFonts w:ascii="Arial" w:hAnsi="Arial" w:cs="Arial"/>
          <w:sz w:val="20"/>
          <w:szCs w:val="20"/>
        </w:rPr>
        <w:t xml:space="preserve">87% did not have approved governance plans </w:t>
      </w:r>
    </w:p>
    <w:p w:rsidR="00166E38" w:rsidRPr="00454B84" w:rsidRDefault="00166E38" w:rsidP="00F54D90">
      <w:pPr>
        <w:numPr>
          <w:ilvl w:val="0"/>
          <w:numId w:val="4"/>
        </w:numPr>
        <w:spacing w:line="276" w:lineRule="auto"/>
        <w:contextualSpacing/>
        <w:rPr>
          <w:rFonts w:ascii="Arial" w:hAnsi="Arial" w:cs="Arial"/>
          <w:sz w:val="20"/>
          <w:szCs w:val="20"/>
        </w:rPr>
      </w:pPr>
      <w:r w:rsidRPr="00454B84">
        <w:rPr>
          <w:rFonts w:ascii="Arial" w:hAnsi="Arial" w:cs="Arial"/>
          <w:sz w:val="20"/>
          <w:szCs w:val="20"/>
        </w:rPr>
        <w:t xml:space="preserve">94% did not measure governance in team member performance </w:t>
      </w:r>
    </w:p>
    <w:p w:rsidR="00166E38" w:rsidRPr="00454B84" w:rsidRDefault="00166E38" w:rsidP="00F54D90">
      <w:pPr>
        <w:numPr>
          <w:ilvl w:val="0"/>
          <w:numId w:val="4"/>
        </w:numPr>
        <w:spacing w:line="276" w:lineRule="auto"/>
        <w:contextualSpacing/>
        <w:rPr>
          <w:rFonts w:ascii="Arial" w:hAnsi="Arial" w:cs="Arial"/>
          <w:sz w:val="20"/>
          <w:szCs w:val="20"/>
        </w:rPr>
      </w:pPr>
      <w:r w:rsidRPr="00454B84">
        <w:rPr>
          <w:rFonts w:ascii="Arial" w:hAnsi="Arial" w:cs="Arial"/>
          <w:sz w:val="20"/>
          <w:szCs w:val="20"/>
        </w:rPr>
        <w:t>80% said project skills were not adequate</w:t>
      </w:r>
    </w:p>
    <w:p w:rsidR="00166E38" w:rsidRPr="00454B84" w:rsidRDefault="00166E38" w:rsidP="00F54D90">
      <w:pPr>
        <w:numPr>
          <w:ilvl w:val="0"/>
          <w:numId w:val="4"/>
        </w:numPr>
        <w:spacing w:line="276" w:lineRule="auto"/>
        <w:contextualSpacing/>
        <w:rPr>
          <w:rFonts w:ascii="Arial" w:hAnsi="Arial" w:cs="Arial"/>
          <w:sz w:val="20"/>
          <w:szCs w:val="20"/>
        </w:rPr>
      </w:pPr>
      <w:r w:rsidRPr="00454B84">
        <w:rPr>
          <w:rFonts w:ascii="Arial" w:hAnsi="Arial" w:cs="Arial"/>
          <w:sz w:val="20"/>
          <w:szCs w:val="20"/>
        </w:rPr>
        <w:t>55% governance team members did not exhibit proper corporate behaviour</w:t>
      </w:r>
    </w:p>
    <w:p w:rsidR="00166E38" w:rsidRPr="00454B84" w:rsidRDefault="00166E38" w:rsidP="00F54D90">
      <w:pPr>
        <w:rPr>
          <w:rFonts w:ascii="Arial" w:hAnsi="Arial" w:cs="Arial"/>
          <w:sz w:val="20"/>
          <w:szCs w:val="20"/>
        </w:rPr>
      </w:pPr>
    </w:p>
    <w:p w:rsidR="00166E38" w:rsidRPr="00454B84" w:rsidRDefault="00166E38" w:rsidP="00F54D90">
      <w:pPr>
        <w:rPr>
          <w:rFonts w:ascii="Arial" w:hAnsi="Arial" w:cs="Arial"/>
          <w:sz w:val="20"/>
          <w:szCs w:val="20"/>
        </w:rPr>
      </w:pPr>
      <w:r w:rsidRPr="00454B84">
        <w:rPr>
          <w:rFonts w:ascii="Arial" w:hAnsi="Arial" w:cs="Arial"/>
          <w:sz w:val="20"/>
          <w:szCs w:val="20"/>
        </w:rPr>
        <w:t>Unsurprisingly, the report concluded that ‘a major cause of project failure in Aust</w:t>
      </w:r>
      <w:r w:rsidR="00B93C2C">
        <w:rPr>
          <w:rFonts w:ascii="Arial" w:hAnsi="Arial" w:cs="Arial"/>
          <w:sz w:val="20"/>
          <w:szCs w:val="20"/>
        </w:rPr>
        <w:t>ralia has its roots in project g</w:t>
      </w:r>
      <w:r w:rsidRPr="00454B84">
        <w:rPr>
          <w:rFonts w:ascii="Arial" w:hAnsi="Arial" w:cs="Arial"/>
          <w:sz w:val="20"/>
          <w:szCs w:val="20"/>
        </w:rPr>
        <w:t>overnance or the lack thereof. The delivery of project governance in Australia is also highly dysfunctional.’</w:t>
      </w:r>
      <w:r w:rsidRPr="00454B84">
        <w:rPr>
          <w:rFonts w:ascii="Arial" w:hAnsi="Arial" w:cs="Arial"/>
          <w:sz w:val="20"/>
          <w:szCs w:val="20"/>
          <w:vertAlign w:val="superscript"/>
        </w:rPr>
        <w:footnoteReference w:id="5"/>
      </w:r>
      <w:r w:rsidRPr="00454B84">
        <w:rPr>
          <w:rFonts w:ascii="Arial" w:hAnsi="Arial" w:cs="Arial"/>
          <w:sz w:val="20"/>
          <w:szCs w:val="20"/>
        </w:rPr>
        <w:t xml:space="preserve"> </w:t>
      </w:r>
    </w:p>
    <w:p w:rsidR="00166E38" w:rsidRPr="00454B84" w:rsidRDefault="00166E38" w:rsidP="00F54D90">
      <w:pPr>
        <w:rPr>
          <w:rFonts w:ascii="Arial" w:hAnsi="Arial" w:cs="Arial"/>
          <w:sz w:val="20"/>
          <w:szCs w:val="20"/>
        </w:rPr>
      </w:pPr>
    </w:p>
    <w:p w:rsidR="00166E38" w:rsidRPr="00454B84" w:rsidRDefault="00166E38" w:rsidP="00F54D90">
      <w:pPr>
        <w:rPr>
          <w:rFonts w:ascii="Arial" w:hAnsi="Arial" w:cs="Arial"/>
          <w:sz w:val="20"/>
          <w:szCs w:val="20"/>
        </w:rPr>
      </w:pPr>
      <w:r w:rsidRPr="00454B84">
        <w:rPr>
          <w:rFonts w:ascii="Arial" w:hAnsi="Arial" w:cs="Arial"/>
          <w:sz w:val="20"/>
          <w:szCs w:val="20"/>
        </w:rPr>
        <w:t xml:space="preserve">The report to IA further highlights the need for benchmarking and governance reform. </w:t>
      </w:r>
    </w:p>
    <w:p w:rsidR="00166E38" w:rsidRPr="00454B84" w:rsidRDefault="00166E38" w:rsidP="00F54D90">
      <w:pPr>
        <w:rPr>
          <w:rFonts w:ascii="Arial" w:hAnsi="Arial" w:cs="Arial"/>
          <w:sz w:val="20"/>
          <w:szCs w:val="20"/>
        </w:rPr>
      </w:pPr>
    </w:p>
    <w:p w:rsidR="009B7D7E" w:rsidRPr="00454B84" w:rsidRDefault="00166E38" w:rsidP="00F54D90">
      <w:pPr>
        <w:spacing w:line="276" w:lineRule="auto"/>
        <w:rPr>
          <w:rFonts w:ascii="Arial" w:hAnsi="Arial" w:cs="Arial"/>
          <w:sz w:val="20"/>
          <w:szCs w:val="20"/>
        </w:rPr>
      </w:pPr>
      <w:r w:rsidRPr="00454B84">
        <w:rPr>
          <w:rFonts w:ascii="Arial" w:hAnsi="Arial" w:cs="Arial"/>
          <w:sz w:val="20"/>
          <w:szCs w:val="20"/>
        </w:rPr>
        <w:t xml:space="preserve">Increased accountability and transparency in planning, design decisions, along </w:t>
      </w:r>
      <w:r w:rsidR="000B10C9" w:rsidRPr="00454B84">
        <w:rPr>
          <w:rFonts w:ascii="Arial" w:hAnsi="Arial" w:cs="Arial"/>
          <w:sz w:val="20"/>
          <w:szCs w:val="20"/>
        </w:rPr>
        <w:t>with</w:t>
      </w:r>
      <w:r w:rsidRPr="00454B84">
        <w:rPr>
          <w:rFonts w:ascii="Arial" w:hAnsi="Arial" w:cs="Arial"/>
          <w:sz w:val="20"/>
          <w:szCs w:val="20"/>
        </w:rPr>
        <w:t xml:space="preserve"> the construction phase of capital and maintenance needs to be implemented</w:t>
      </w:r>
      <w:r w:rsidR="003942D8" w:rsidRPr="00454B84">
        <w:rPr>
          <w:rFonts w:ascii="Arial" w:hAnsi="Arial" w:cs="Arial"/>
          <w:sz w:val="20"/>
          <w:szCs w:val="20"/>
        </w:rPr>
        <w:t xml:space="preserve">. </w:t>
      </w:r>
    </w:p>
    <w:p w:rsidR="00646000" w:rsidRDefault="000C5B48">
      <w:pPr>
        <w:rPr>
          <w:rFonts w:ascii="Arial" w:hAnsi="Arial" w:cs="Arial"/>
          <w:color w:val="FF0000"/>
          <w:sz w:val="20"/>
          <w:szCs w:val="20"/>
        </w:rPr>
      </w:pPr>
      <w:r>
        <w:rPr>
          <w:rFonts w:ascii="Arial" w:hAnsi="Arial" w:cs="Arial"/>
          <w:color w:val="FF0000"/>
          <w:sz w:val="20"/>
          <w:szCs w:val="20"/>
        </w:rPr>
        <w:br/>
      </w:r>
    </w:p>
    <w:p w:rsidR="001D446D" w:rsidRPr="00454B84" w:rsidRDefault="001D446D" w:rsidP="001D446D">
      <w:pPr>
        <w:pStyle w:val="Heading1"/>
        <w:rPr>
          <w:szCs w:val="20"/>
        </w:rPr>
      </w:pPr>
      <w:bookmarkStart w:id="22" w:name="_Toc374626258"/>
      <w:r w:rsidRPr="00454B84">
        <w:rPr>
          <w:szCs w:val="20"/>
        </w:rPr>
        <w:t>Alternative sources of infrastructure financing</w:t>
      </w:r>
      <w:bookmarkEnd w:id="22"/>
    </w:p>
    <w:p w:rsidR="001D446D" w:rsidRPr="00454B84" w:rsidRDefault="001D446D" w:rsidP="001D446D">
      <w:pPr>
        <w:rPr>
          <w:rFonts w:ascii="Arial" w:hAnsi="Arial" w:cs="Arial"/>
        </w:rPr>
      </w:pPr>
    </w:p>
    <w:p w:rsidR="001D446D" w:rsidRPr="00454B84" w:rsidRDefault="001D446D" w:rsidP="001D446D">
      <w:pPr>
        <w:pStyle w:val="Heading1"/>
        <w:numPr>
          <w:ilvl w:val="1"/>
          <w:numId w:val="25"/>
        </w:numPr>
        <w:rPr>
          <w:sz w:val="24"/>
          <w:szCs w:val="20"/>
        </w:rPr>
      </w:pPr>
      <w:r w:rsidRPr="00454B84">
        <w:rPr>
          <w:sz w:val="24"/>
          <w:szCs w:val="20"/>
        </w:rPr>
        <w:t xml:space="preserve"> </w:t>
      </w:r>
      <w:bookmarkStart w:id="23" w:name="_Toc374626259"/>
      <w:r w:rsidRPr="00454B84">
        <w:rPr>
          <w:sz w:val="24"/>
          <w:szCs w:val="20"/>
        </w:rPr>
        <w:t>Private investment</w:t>
      </w:r>
      <w:bookmarkEnd w:id="23"/>
      <w:r w:rsidRPr="00454B84">
        <w:rPr>
          <w:sz w:val="24"/>
          <w:szCs w:val="20"/>
        </w:rPr>
        <w:t xml:space="preserve"> </w:t>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1D446D">
      <w:pPr>
        <w:autoSpaceDE w:val="0"/>
        <w:autoSpaceDN w:val="0"/>
        <w:adjustRightInd w:val="0"/>
        <w:jc w:val="both"/>
        <w:rPr>
          <w:rFonts w:ascii="Arial" w:hAnsi="Arial" w:cs="Arial"/>
          <w:sz w:val="20"/>
          <w:szCs w:val="20"/>
          <w:highlight w:val="white"/>
          <w:lang w:eastAsia="en-AU"/>
        </w:rPr>
      </w:pPr>
      <w:r w:rsidRPr="00454B84">
        <w:rPr>
          <w:rFonts w:ascii="Arial" w:hAnsi="Arial" w:cs="Arial"/>
          <w:sz w:val="20"/>
          <w:szCs w:val="20"/>
          <w:highlight w:val="white"/>
          <w:lang w:eastAsia="en-AU"/>
        </w:rPr>
        <w:t xml:space="preserve">The Productivity Commission is keen to investigate the potential for greater private investment into public infrastructure. While the 2013 RCMPI found that private sector involvement in road construction and maintenance projects increase to 56.4% compared to 40.4% in 1997, there are some fundamental issues that need to be carefully investigated before believing that private investment is the cure-all to public infrastructure financing. </w:t>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1D446D">
      <w:pPr>
        <w:autoSpaceDE w:val="0"/>
        <w:autoSpaceDN w:val="0"/>
        <w:adjustRightInd w:val="0"/>
        <w:jc w:val="both"/>
        <w:rPr>
          <w:rFonts w:ascii="Arial" w:hAnsi="Arial" w:cs="Arial"/>
          <w:sz w:val="20"/>
          <w:szCs w:val="20"/>
          <w:highlight w:val="white"/>
          <w:lang w:eastAsia="en-AU"/>
        </w:rPr>
      </w:pPr>
      <w:r w:rsidRPr="00454B84">
        <w:rPr>
          <w:rFonts w:ascii="Arial" w:hAnsi="Arial" w:cs="Arial"/>
          <w:sz w:val="20"/>
          <w:szCs w:val="20"/>
          <w:highlight w:val="white"/>
          <w:lang w:eastAsia="en-AU"/>
        </w:rPr>
        <w:t xml:space="preserve">Fair access prices and private investment for infrastructure need to be considered. Private investment infrastructure costs include a risk premium and will have shareholder interests at their core.  It should also be noted that the cost of negotiating private contracts tends to be higher and the heavy vehicle industry wears the costs of these negotiations, unfairly some would suggest. </w:t>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1D446D">
      <w:pPr>
        <w:autoSpaceDE w:val="0"/>
        <w:autoSpaceDN w:val="0"/>
        <w:adjustRightInd w:val="0"/>
        <w:jc w:val="both"/>
        <w:rPr>
          <w:rFonts w:ascii="Arial" w:hAnsi="Arial" w:cs="Arial"/>
          <w:sz w:val="20"/>
          <w:szCs w:val="20"/>
          <w:highlight w:val="white"/>
          <w:lang w:eastAsia="en-AU"/>
        </w:rPr>
      </w:pPr>
      <w:r w:rsidRPr="00454B84">
        <w:rPr>
          <w:rFonts w:ascii="Arial" w:hAnsi="Arial" w:cs="Arial"/>
          <w:sz w:val="20"/>
          <w:szCs w:val="20"/>
          <w:highlight w:val="white"/>
          <w:lang w:eastAsia="en-AU"/>
        </w:rPr>
        <w:t>NSW has had previous experience with public private partnerships (PPP). The NSW Treasury has strict guidelines on PPP procurement and investment decisions</w:t>
      </w:r>
      <w:r w:rsidRPr="00454B84">
        <w:rPr>
          <w:rFonts w:ascii="Arial" w:hAnsi="Arial" w:cs="Arial"/>
          <w:sz w:val="20"/>
          <w:szCs w:val="20"/>
          <w:vertAlign w:val="superscript"/>
        </w:rPr>
        <w:footnoteReference w:id="6"/>
      </w:r>
      <w:r w:rsidRPr="00454B84">
        <w:rPr>
          <w:rFonts w:ascii="Arial" w:hAnsi="Arial" w:cs="Arial"/>
          <w:sz w:val="20"/>
          <w:szCs w:val="20"/>
        </w:rPr>
        <w:t xml:space="preserve">, </w:t>
      </w:r>
      <w:r w:rsidRPr="00454B84">
        <w:rPr>
          <w:rFonts w:ascii="Arial" w:hAnsi="Arial" w:cs="Arial"/>
          <w:sz w:val="20"/>
          <w:szCs w:val="20"/>
          <w:highlight w:val="white"/>
          <w:lang w:eastAsia="en-AU"/>
        </w:rPr>
        <w:t xml:space="preserve">which are continuing to be altered as PPP projects are carried out. An evaluation of PPP arrangements noted that public trust of PPP projects improves with a high level of transparency of contracts.  As stated above, the transparency, accountability and project governance is far from what one would expect to be acceptable in a private company or other utility sectors.  </w:t>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1D446D">
      <w:pPr>
        <w:autoSpaceDE w:val="0"/>
        <w:autoSpaceDN w:val="0"/>
        <w:adjustRightInd w:val="0"/>
        <w:jc w:val="both"/>
        <w:rPr>
          <w:rFonts w:ascii="Arial" w:hAnsi="Arial" w:cs="Arial"/>
          <w:sz w:val="20"/>
          <w:szCs w:val="20"/>
          <w:highlight w:val="white"/>
          <w:lang w:eastAsia="en-AU"/>
        </w:rPr>
      </w:pPr>
      <w:r w:rsidRPr="00454B84">
        <w:rPr>
          <w:rFonts w:ascii="Arial" w:hAnsi="Arial" w:cs="Arial"/>
          <w:sz w:val="20"/>
          <w:szCs w:val="20"/>
          <w:highlight w:val="white"/>
          <w:lang w:eastAsia="en-AU"/>
        </w:rPr>
        <w:t xml:space="preserve">There is a belief that toll roads and other such projects have failed to show the benefits of using PPP investment in public road infrastructure. The effects of the </w:t>
      </w:r>
      <w:proofErr w:type="spellStart"/>
      <w:r w:rsidRPr="00454B84">
        <w:rPr>
          <w:rFonts w:ascii="Arial" w:hAnsi="Arial" w:cs="Arial"/>
          <w:sz w:val="20"/>
          <w:szCs w:val="20"/>
          <w:highlight w:val="white"/>
          <w:lang w:eastAsia="en-AU"/>
        </w:rPr>
        <w:t>GFC</w:t>
      </w:r>
      <w:proofErr w:type="spellEnd"/>
      <w:r w:rsidRPr="00454B84">
        <w:rPr>
          <w:rFonts w:ascii="Arial" w:hAnsi="Arial" w:cs="Arial"/>
          <w:sz w:val="20"/>
          <w:szCs w:val="20"/>
          <w:highlight w:val="white"/>
          <w:lang w:eastAsia="en-AU"/>
        </w:rPr>
        <w:t xml:space="preserve"> and other economic shocks present challenges to the availability of private investment funding. </w:t>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0C5B48">
      <w:pPr>
        <w:rPr>
          <w:rFonts w:ascii="Arial" w:hAnsi="Arial" w:cs="Arial"/>
          <w:sz w:val="20"/>
          <w:szCs w:val="20"/>
          <w:highlight w:val="white"/>
          <w:lang w:eastAsia="en-AU"/>
        </w:rPr>
      </w:pPr>
      <w:r w:rsidRPr="00454B84">
        <w:rPr>
          <w:rFonts w:ascii="Arial" w:hAnsi="Arial" w:cs="Arial"/>
          <w:sz w:val="20"/>
          <w:szCs w:val="20"/>
          <w:highlight w:val="white"/>
          <w:lang w:eastAsia="en-AU"/>
        </w:rPr>
        <w:lastRenderedPageBreak/>
        <w:t xml:space="preserve">The NSW Treasury recommends the NSW Government should adhere to some important principles when examining alternative funding modes: </w:t>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1D446D">
      <w:pPr>
        <w:numPr>
          <w:ilvl w:val="0"/>
          <w:numId w:val="3"/>
        </w:numPr>
        <w:autoSpaceDE w:val="0"/>
        <w:autoSpaceDN w:val="0"/>
        <w:adjustRightInd w:val="0"/>
        <w:spacing w:line="276" w:lineRule="auto"/>
        <w:contextualSpacing/>
        <w:jc w:val="both"/>
        <w:rPr>
          <w:rFonts w:ascii="Arial" w:hAnsi="Arial" w:cs="Arial"/>
          <w:color w:val="000000"/>
          <w:sz w:val="20"/>
          <w:szCs w:val="20"/>
          <w:highlight w:val="white"/>
          <w:lang w:eastAsia="en-AU"/>
        </w:rPr>
      </w:pPr>
      <w:r w:rsidRPr="00454B84">
        <w:rPr>
          <w:rFonts w:ascii="Arial" w:hAnsi="Arial" w:cs="Arial"/>
          <w:color w:val="000000"/>
          <w:sz w:val="20"/>
          <w:szCs w:val="20"/>
          <w:highlight w:val="white"/>
          <w:lang w:eastAsia="en-AU"/>
        </w:rPr>
        <w:t xml:space="preserve">the primary consideration is that any future asset acquisition and financing arrangements are to be managed in terms of efficient service delivery, rather than to generate rates of return for private sector investors and, </w:t>
      </w:r>
    </w:p>
    <w:p w:rsidR="001D446D" w:rsidRPr="00454B84" w:rsidRDefault="001D446D" w:rsidP="001D446D">
      <w:pPr>
        <w:numPr>
          <w:ilvl w:val="0"/>
          <w:numId w:val="3"/>
        </w:numPr>
        <w:autoSpaceDE w:val="0"/>
        <w:autoSpaceDN w:val="0"/>
        <w:adjustRightInd w:val="0"/>
        <w:spacing w:line="276" w:lineRule="auto"/>
        <w:contextualSpacing/>
        <w:jc w:val="both"/>
        <w:rPr>
          <w:rFonts w:ascii="Arial" w:hAnsi="Arial" w:cs="Arial"/>
          <w:color w:val="000000"/>
          <w:sz w:val="20"/>
          <w:szCs w:val="20"/>
          <w:highlight w:val="white"/>
          <w:lang w:eastAsia="en-AU"/>
        </w:rPr>
      </w:pPr>
      <w:proofErr w:type="gramStart"/>
      <w:r w:rsidRPr="00454B84">
        <w:rPr>
          <w:rFonts w:ascii="Arial" w:hAnsi="Arial" w:cs="Arial"/>
          <w:color w:val="000000"/>
          <w:sz w:val="20"/>
          <w:szCs w:val="20"/>
          <w:highlight w:val="white"/>
          <w:lang w:eastAsia="en-AU"/>
        </w:rPr>
        <w:t>the</w:t>
      </w:r>
      <w:proofErr w:type="gramEnd"/>
      <w:r w:rsidRPr="00454B84">
        <w:rPr>
          <w:rFonts w:ascii="Arial" w:hAnsi="Arial" w:cs="Arial"/>
          <w:color w:val="000000"/>
          <w:sz w:val="20"/>
          <w:szCs w:val="20"/>
          <w:highlight w:val="white"/>
          <w:lang w:eastAsia="en-AU"/>
        </w:rPr>
        <w:t xml:space="preserve"> challenge is to design mechanisms to encourage long term investment in public assets that can provide the required services that are value for money. </w:t>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1D446D">
      <w:pPr>
        <w:autoSpaceDE w:val="0"/>
        <w:autoSpaceDN w:val="0"/>
        <w:adjustRightInd w:val="0"/>
        <w:jc w:val="both"/>
        <w:rPr>
          <w:rFonts w:ascii="Arial" w:hAnsi="Arial" w:cs="Arial"/>
          <w:sz w:val="20"/>
          <w:szCs w:val="20"/>
          <w:highlight w:val="white"/>
          <w:lang w:eastAsia="en-AU"/>
        </w:rPr>
      </w:pPr>
      <w:r w:rsidRPr="00454B84">
        <w:rPr>
          <w:rFonts w:ascii="Arial" w:hAnsi="Arial" w:cs="Arial"/>
          <w:sz w:val="20"/>
          <w:szCs w:val="20"/>
          <w:highlight w:val="white"/>
          <w:lang w:eastAsia="en-AU"/>
        </w:rPr>
        <w:t xml:space="preserve">The ATA strongly supports the points noted above when discussing any funding model for public infrastructure, nationally. </w:t>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1D446D">
      <w:pPr>
        <w:autoSpaceDE w:val="0"/>
        <w:autoSpaceDN w:val="0"/>
        <w:adjustRightInd w:val="0"/>
        <w:jc w:val="both"/>
        <w:rPr>
          <w:rFonts w:ascii="Arial" w:hAnsi="Arial" w:cs="Arial"/>
          <w:sz w:val="20"/>
          <w:szCs w:val="20"/>
          <w:highlight w:val="white"/>
          <w:lang w:eastAsia="en-AU"/>
        </w:rPr>
      </w:pPr>
      <w:r w:rsidRPr="00454B84">
        <w:rPr>
          <w:rFonts w:ascii="Arial" w:hAnsi="Arial" w:cs="Arial"/>
          <w:sz w:val="20"/>
          <w:szCs w:val="20"/>
          <w:highlight w:val="white"/>
          <w:lang w:eastAsia="en-AU"/>
        </w:rPr>
        <w:t xml:space="preserve">The problem current road </w:t>
      </w:r>
      <w:proofErr w:type="gramStart"/>
      <w:r w:rsidRPr="00454B84">
        <w:rPr>
          <w:rFonts w:ascii="Arial" w:hAnsi="Arial" w:cs="Arial"/>
          <w:sz w:val="20"/>
          <w:szCs w:val="20"/>
          <w:highlight w:val="white"/>
          <w:lang w:eastAsia="en-AU"/>
        </w:rPr>
        <w:t>users</w:t>
      </w:r>
      <w:proofErr w:type="gramEnd"/>
      <w:r w:rsidRPr="00454B84">
        <w:rPr>
          <w:rFonts w:ascii="Arial" w:hAnsi="Arial" w:cs="Arial"/>
          <w:sz w:val="20"/>
          <w:szCs w:val="20"/>
          <w:highlight w:val="white"/>
          <w:lang w:eastAsia="en-AU"/>
        </w:rPr>
        <w:t xml:space="preserve"> encounter is that roads are built (in many cases) to the lowest capital cost, however, this means maintenance costs are higher over the asset life. PPP projects have an incentive to provide infrastructure at a higher capital cost but with a lower maintenance cost over the lifetime of the asset. Changing the impetus of road agencies to provide high quality infrastructure with low marginal costs to maintain would provide a superior infrastructure network.   </w:t>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1D446D">
      <w:pPr>
        <w:autoSpaceDE w:val="0"/>
        <w:autoSpaceDN w:val="0"/>
        <w:adjustRightInd w:val="0"/>
        <w:jc w:val="both"/>
        <w:rPr>
          <w:rFonts w:ascii="Arial" w:hAnsi="Arial" w:cs="Arial"/>
          <w:sz w:val="20"/>
          <w:szCs w:val="20"/>
          <w:highlight w:val="white"/>
          <w:lang w:eastAsia="en-AU"/>
        </w:rPr>
      </w:pPr>
      <w:r w:rsidRPr="00454B84">
        <w:rPr>
          <w:rFonts w:ascii="Arial" w:hAnsi="Arial" w:cs="Arial"/>
          <w:sz w:val="20"/>
          <w:szCs w:val="20"/>
          <w:highlight w:val="white"/>
          <w:lang w:eastAsia="en-AU"/>
        </w:rPr>
        <w:t xml:space="preserve">PPP investment does not solve the pervading CSO issue with providing non-commercial roads, as the returns on rural and regional roads are unattractive. Therefore, PPP investment is likely to provide help in arterial and freeways, but will not solve provision and maintenance of CSO applicable roads. </w:t>
      </w:r>
    </w:p>
    <w:p w:rsidR="001D446D" w:rsidRPr="00454B84" w:rsidRDefault="001D446D" w:rsidP="001D446D">
      <w:pPr>
        <w:spacing w:line="276" w:lineRule="auto"/>
        <w:rPr>
          <w:rFonts w:ascii="Arial" w:eastAsiaTheme="minorHAnsi" w:hAnsi="Arial" w:cs="Arial"/>
          <w:sz w:val="20"/>
          <w:szCs w:val="20"/>
        </w:rPr>
      </w:pPr>
    </w:p>
    <w:p w:rsidR="001D446D" w:rsidRPr="00454B84" w:rsidRDefault="001D446D" w:rsidP="001D446D">
      <w:pPr>
        <w:pStyle w:val="Heading1"/>
        <w:numPr>
          <w:ilvl w:val="1"/>
          <w:numId w:val="25"/>
        </w:numPr>
        <w:rPr>
          <w:sz w:val="24"/>
          <w:szCs w:val="20"/>
        </w:rPr>
      </w:pPr>
      <w:r w:rsidRPr="00454B84">
        <w:rPr>
          <w:sz w:val="24"/>
          <w:szCs w:val="20"/>
        </w:rPr>
        <w:t xml:space="preserve">  </w:t>
      </w:r>
      <w:bookmarkStart w:id="24" w:name="_Toc374626260"/>
      <w:r w:rsidRPr="00454B84">
        <w:rPr>
          <w:sz w:val="24"/>
          <w:szCs w:val="20"/>
        </w:rPr>
        <w:t>Marginal cost user charges</w:t>
      </w:r>
      <w:bookmarkEnd w:id="24"/>
    </w:p>
    <w:p w:rsidR="001D446D" w:rsidRPr="00454B84" w:rsidRDefault="001D446D" w:rsidP="001D446D">
      <w:pPr>
        <w:rPr>
          <w:rFonts w:ascii="Arial" w:hAnsi="Arial" w:cs="Arial"/>
        </w:rPr>
      </w:pPr>
    </w:p>
    <w:p w:rsidR="001D446D" w:rsidRPr="00454B84" w:rsidRDefault="001D446D" w:rsidP="001D446D">
      <w:pPr>
        <w:autoSpaceDE w:val="0"/>
        <w:autoSpaceDN w:val="0"/>
        <w:adjustRightInd w:val="0"/>
        <w:jc w:val="both"/>
        <w:rPr>
          <w:rFonts w:ascii="Arial" w:hAnsi="Arial" w:cs="Arial"/>
          <w:sz w:val="20"/>
          <w:szCs w:val="20"/>
          <w:highlight w:val="white"/>
          <w:lang w:eastAsia="en-AU"/>
        </w:rPr>
      </w:pPr>
      <w:r w:rsidRPr="00454B84">
        <w:rPr>
          <w:rFonts w:ascii="Arial" w:hAnsi="Arial" w:cs="Arial"/>
          <w:sz w:val="20"/>
          <w:szCs w:val="20"/>
          <w:highlight w:val="white"/>
          <w:lang w:eastAsia="en-AU"/>
        </w:rPr>
        <w:t xml:space="preserve">As stated above, PPP investment is unlikely to cover the high marginal cost of low volume roads and CSO roads. Economic theorists in the road charging area have been pushing the idea of making the heavy vehicle industry pay for specific marginal costs of operation on roads through mass distance location charging. </w:t>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1D446D">
      <w:pPr>
        <w:autoSpaceDE w:val="0"/>
        <w:autoSpaceDN w:val="0"/>
        <w:adjustRightInd w:val="0"/>
        <w:jc w:val="both"/>
        <w:rPr>
          <w:rFonts w:ascii="Arial" w:hAnsi="Arial" w:cs="Arial"/>
          <w:sz w:val="20"/>
          <w:szCs w:val="20"/>
          <w:highlight w:val="white"/>
          <w:lang w:eastAsia="en-AU"/>
        </w:rPr>
      </w:pPr>
      <w:r w:rsidRPr="00454B84">
        <w:rPr>
          <w:rFonts w:ascii="Arial" w:hAnsi="Arial" w:cs="Arial"/>
          <w:sz w:val="20"/>
          <w:szCs w:val="20"/>
          <w:highlight w:val="white"/>
          <w:lang w:eastAsia="en-AU"/>
        </w:rPr>
        <w:t xml:space="preserve">While road access pricing based on actual costs use of road infrastructure seems theoretically fair and understandable by road users, due to the nature of differing road qualities, contrasting levels of service, varying demands and different regional areas, if full cost recovery occurred those who used regional roads or low quality roads would be paying prohibitive costs to access the infrastructure. </w:t>
      </w:r>
    </w:p>
    <w:p w:rsidR="001D446D" w:rsidRPr="00454B84" w:rsidRDefault="001D446D" w:rsidP="001D446D">
      <w:pPr>
        <w:jc w:val="both"/>
        <w:rPr>
          <w:rFonts w:ascii="Arial" w:hAnsi="Arial" w:cs="Arial"/>
          <w:sz w:val="20"/>
          <w:szCs w:val="20"/>
          <w:highlight w:val="white"/>
          <w:lang w:eastAsia="en-AU"/>
        </w:rPr>
      </w:pPr>
    </w:p>
    <w:p w:rsidR="001D446D" w:rsidRPr="00454B84" w:rsidRDefault="001D446D" w:rsidP="001D446D">
      <w:pPr>
        <w:jc w:val="both"/>
        <w:rPr>
          <w:rFonts w:ascii="Arial" w:hAnsi="Arial" w:cs="Arial"/>
          <w:sz w:val="20"/>
          <w:szCs w:val="20"/>
          <w:highlight w:val="white"/>
          <w:lang w:eastAsia="en-AU"/>
        </w:rPr>
      </w:pPr>
      <w:r w:rsidRPr="00454B84">
        <w:rPr>
          <w:rFonts w:ascii="Arial" w:hAnsi="Arial" w:cs="Arial"/>
          <w:sz w:val="20"/>
          <w:szCs w:val="20"/>
          <w:highlight w:val="white"/>
          <w:lang w:eastAsia="en-AU"/>
        </w:rPr>
        <w:t>The extracts below on modelling explain why marginal costs differ for road types</w:t>
      </w:r>
      <w:r w:rsidRPr="00454B84">
        <w:rPr>
          <w:rFonts w:ascii="Arial" w:hAnsi="Arial" w:cs="Arial"/>
          <w:sz w:val="20"/>
          <w:szCs w:val="20"/>
          <w:highlight w:val="white"/>
          <w:vertAlign w:val="superscript"/>
          <w:lang w:eastAsia="en-AU"/>
        </w:rPr>
        <w:footnoteReference w:id="7"/>
      </w:r>
      <w:r w:rsidRPr="00454B84">
        <w:rPr>
          <w:rFonts w:ascii="Arial" w:hAnsi="Arial" w:cs="Arial"/>
          <w:sz w:val="20"/>
          <w:szCs w:val="20"/>
          <w:highlight w:val="white"/>
          <w:lang w:eastAsia="en-AU"/>
        </w:rPr>
        <w:t xml:space="preserve">: </w:t>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1D446D">
      <w:pPr>
        <w:autoSpaceDE w:val="0"/>
        <w:autoSpaceDN w:val="0"/>
        <w:adjustRightInd w:val="0"/>
        <w:ind w:left="720"/>
        <w:jc w:val="both"/>
        <w:rPr>
          <w:rFonts w:ascii="Arial" w:hAnsi="Arial" w:cs="Arial"/>
          <w:sz w:val="20"/>
          <w:szCs w:val="20"/>
          <w:lang w:eastAsia="en-AU"/>
        </w:rPr>
      </w:pPr>
      <w:r w:rsidRPr="00454B84">
        <w:rPr>
          <w:rFonts w:ascii="Arial" w:hAnsi="Arial" w:cs="Arial"/>
          <w:sz w:val="20"/>
          <w:szCs w:val="20"/>
          <w:highlight w:val="white"/>
          <w:lang w:eastAsia="en-AU"/>
        </w:rPr>
        <w:t>In general, freeways are better able to withstand heavy loads because they are built to a higher strength standard, incorporating greater pavement depth and stronger materials to support the higher expected volume and mix of vehicle traffic. W</w:t>
      </w:r>
      <w:r w:rsidRPr="00454B84">
        <w:rPr>
          <w:rFonts w:ascii="Arial" w:hAnsi="Arial" w:cs="Arial"/>
          <w:sz w:val="20"/>
          <w:szCs w:val="20"/>
          <w:lang w:eastAsia="en-AU"/>
        </w:rPr>
        <w:t>hile freeways are generally likely to have higher construction costs, they are likely to have lower marginal costs of road wear. Alternatively, local and collector roads are likely to have higher marginal costs. These road types are designed to accommodate lower heavy vehicle traffic and so are built to a lower strength standard.</w:t>
      </w:r>
    </w:p>
    <w:p w:rsidR="001D446D" w:rsidRPr="00454B84" w:rsidRDefault="001D446D" w:rsidP="001D446D">
      <w:pPr>
        <w:rPr>
          <w:rFonts w:ascii="Arial" w:hAnsi="Arial" w:cs="Arial"/>
          <w:sz w:val="20"/>
          <w:szCs w:val="20"/>
          <w:lang w:eastAsia="en-AU"/>
        </w:rPr>
      </w:pPr>
    </w:p>
    <w:p w:rsidR="001D446D" w:rsidRPr="000C5B48" w:rsidRDefault="001D446D" w:rsidP="000C5B48">
      <w:pPr>
        <w:autoSpaceDE w:val="0"/>
        <w:autoSpaceDN w:val="0"/>
        <w:adjustRightInd w:val="0"/>
        <w:ind w:left="720"/>
        <w:jc w:val="both"/>
        <w:rPr>
          <w:rFonts w:ascii="Arial" w:hAnsi="Arial" w:cs="Arial"/>
          <w:sz w:val="20"/>
          <w:szCs w:val="20"/>
          <w:lang w:eastAsia="en-AU"/>
        </w:rPr>
      </w:pPr>
      <w:r w:rsidRPr="00454B84">
        <w:rPr>
          <w:rFonts w:ascii="Arial" w:hAnsi="Arial" w:cs="Arial"/>
          <w:sz w:val="20"/>
          <w:szCs w:val="20"/>
          <w:lang w:eastAsia="en-AU"/>
        </w:rPr>
        <w:t>The results (of testing marginal costs) are consistent with prior expectation and historical observation, with short and long-run marginal cost estimates being considerably lower for stronger roads (such as freeways and arterial roads) than for local access roads (which are built to lower strength standards). Figure 1 shows the relationships between all four road categories according to the short-run model. The bars reflect a weighted average of the different road types that make up a road classification. The lines that bisect the bars reflect the range of results for individual road types within the road classification. The short-run marginal cost of local roads is significantly higher than the marginal cost of freeways and arterial roads, although it should be noted that local road travel i</w:t>
      </w:r>
      <w:r w:rsidRPr="00454B84">
        <w:rPr>
          <w:rFonts w:ascii="Arial" w:hAnsi="Arial" w:cs="Arial"/>
          <w:sz w:val="20"/>
          <w:szCs w:val="20"/>
          <w:highlight w:val="white"/>
          <w:lang w:eastAsia="en-AU"/>
        </w:rPr>
        <w:t>s</w:t>
      </w:r>
      <w:r w:rsidRPr="00454B84">
        <w:rPr>
          <w:rFonts w:ascii="Arial" w:hAnsi="Arial" w:cs="Arial"/>
          <w:sz w:val="20"/>
          <w:szCs w:val="20"/>
          <w:lang w:eastAsia="en-AU"/>
        </w:rPr>
        <w:t xml:space="preserve"> typically only used on part of a vehicle trip and the proportion of local road travel could be quite low for some heavy vehicle types. Long-run marginal costs are generally at or above the level of short-run marginal costs.’</w:t>
      </w:r>
    </w:p>
    <w:p w:rsidR="001D446D" w:rsidRPr="00454B84" w:rsidRDefault="001D446D" w:rsidP="000C5B48">
      <w:pPr>
        <w:rPr>
          <w:rFonts w:ascii="Arial" w:hAnsi="Arial" w:cs="Arial"/>
          <w:b/>
          <w:sz w:val="20"/>
          <w:szCs w:val="20"/>
          <w:highlight w:val="white"/>
          <w:lang w:eastAsia="en-AU"/>
        </w:rPr>
      </w:pPr>
    </w:p>
    <w:p w:rsidR="003F4E83" w:rsidRDefault="003F4E83">
      <w:pPr>
        <w:rPr>
          <w:rFonts w:ascii="Arial" w:hAnsi="Arial" w:cs="Arial"/>
          <w:b/>
          <w:sz w:val="20"/>
          <w:szCs w:val="20"/>
          <w:highlight w:val="white"/>
          <w:lang w:eastAsia="en-AU"/>
        </w:rPr>
      </w:pPr>
      <w:r>
        <w:rPr>
          <w:rFonts w:ascii="Arial" w:hAnsi="Arial" w:cs="Arial"/>
          <w:b/>
          <w:sz w:val="20"/>
          <w:szCs w:val="20"/>
          <w:highlight w:val="white"/>
          <w:lang w:eastAsia="en-AU"/>
        </w:rPr>
        <w:br w:type="page"/>
      </w:r>
    </w:p>
    <w:p w:rsidR="001D446D" w:rsidRPr="00454B84" w:rsidRDefault="00B93C2C" w:rsidP="009E727F">
      <w:pPr>
        <w:autoSpaceDE w:val="0"/>
        <w:autoSpaceDN w:val="0"/>
        <w:adjustRightInd w:val="0"/>
        <w:spacing w:line="264" w:lineRule="auto"/>
        <w:jc w:val="center"/>
        <w:rPr>
          <w:rFonts w:ascii="Arial" w:hAnsi="Arial" w:cs="Arial"/>
          <w:b/>
          <w:sz w:val="20"/>
          <w:szCs w:val="20"/>
          <w:highlight w:val="white"/>
          <w:lang w:eastAsia="en-AU"/>
        </w:rPr>
      </w:pPr>
      <w:r>
        <w:rPr>
          <w:rFonts w:ascii="Arial" w:hAnsi="Arial" w:cs="Arial"/>
          <w:b/>
          <w:sz w:val="20"/>
          <w:szCs w:val="20"/>
          <w:highlight w:val="white"/>
          <w:lang w:eastAsia="en-AU"/>
        </w:rPr>
        <w:lastRenderedPageBreak/>
        <w:t>Figure 1:</w:t>
      </w:r>
      <w:r w:rsidR="001D446D" w:rsidRPr="00454B84">
        <w:rPr>
          <w:rFonts w:ascii="Arial" w:hAnsi="Arial" w:cs="Arial"/>
          <w:b/>
          <w:sz w:val="20"/>
          <w:szCs w:val="20"/>
          <w:highlight w:val="white"/>
          <w:lang w:eastAsia="en-AU"/>
        </w:rPr>
        <w:t xml:space="preserve"> Short-run marginal cost relatives of different road types</w:t>
      </w:r>
    </w:p>
    <w:p w:rsidR="001D446D" w:rsidRPr="00454B84" w:rsidRDefault="001D446D" w:rsidP="009E727F">
      <w:pPr>
        <w:ind w:firstLine="720"/>
        <w:jc w:val="center"/>
        <w:rPr>
          <w:rFonts w:ascii="Arial" w:hAnsi="Arial" w:cs="Arial"/>
          <w:sz w:val="20"/>
          <w:szCs w:val="20"/>
        </w:rPr>
      </w:pPr>
      <w:r w:rsidRPr="00454B84">
        <w:rPr>
          <w:rFonts w:ascii="Arial" w:hAnsi="Arial" w:cs="Arial"/>
          <w:noProof/>
          <w:sz w:val="20"/>
          <w:szCs w:val="20"/>
          <w:lang w:eastAsia="en-AU"/>
        </w:rPr>
        <w:drawing>
          <wp:inline distT="0" distB="0" distL="0" distR="0">
            <wp:extent cx="3117183" cy="1773141"/>
            <wp:effectExtent l="19050" t="0" r="7017" b="0"/>
            <wp:docPr id="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cstate="print"/>
                    <a:srcRect/>
                    <a:stretch>
                      <a:fillRect/>
                    </a:stretch>
                  </pic:blipFill>
                  <pic:spPr bwMode="auto">
                    <a:xfrm>
                      <a:off x="0" y="0"/>
                      <a:ext cx="3125047" cy="1777614"/>
                    </a:xfrm>
                    <a:prstGeom prst="rect">
                      <a:avLst/>
                    </a:prstGeom>
                    <a:noFill/>
                    <a:ln w="9525">
                      <a:noFill/>
                      <a:miter lim="800000"/>
                      <a:headEnd/>
                      <a:tailEnd/>
                    </a:ln>
                  </pic:spPr>
                </pic:pic>
              </a:graphicData>
            </a:graphic>
          </wp:inline>
        </w:drawing>
      </w:r>
    </w:p>
    <w:p w:rsidR="001D446D" w:rsidRPr="00454B84" w:rsidRDefault="001D446D" w:rsidP="001D446D">
      <w:pPr>
        <w:jc w:val="center"/>
        <w:rPr>
          <w:rFonts w:ascii="Arial" w:hAnsi="Arial" w:cs="Arial"/>
          <w:sz w:val="16"/>
          <w:szCs w:val="20"/>
        </w:rPr>
      </w:pPr>
      <w:r w:rsidRPr="00454B84">
        <w:rPr>
          <w:rFonts w:ascii="Arial" w:hAnsi="Arial" w:cs="Arial"/>
          <w:sz w:val="16"/>
          <w:szCs w:val="20"/>
        </w:rPr>
        <w:t>Source:</w:t>
      </w:r>
      <w:r w:rsidRPr="00454B84">
        <w:rPr>
          <w:rFonts w:ascii="Arial" w:hAnsi="Arial" w:cs="Arial"/>
          <w:sz w:val="16"/>
          <w:szCs w:val="20"/>
          <w:vertAlign w:val="superscript"/>
        </w:rPr>
        <w:t xml:space="preserve"> </w:t>
      </w:r>
      <w:r w:rsidRPr="00454B84">
        <w:rPr>
          <w:rFonts w:ascii="Arial" w:hAnsi="Arial" w:cs="Arial"/>
          <w:sz w:val="16"/>
          <w:szCs w:val="20"/>
        </w:rPr>
        <w:t xml:space="preserve">Page </w:t>
      </w:r>
      <w:proofErr w:type="gramStart"/>
      <w:r w:rsidRPr="00454B84">
        <w:rPr>
          <w:rFonts w:ascii="Arial" w:hAnsi="Arial" w:cs="Arial"/>
          <w:sz w:val="16"/>
          <w:szCs w:val="20"/>
        </w:rPr>
        <w:t>V  -</w:t>
      </w:r>
      <w:proofErr w:type="gramEnd"/>
      <w:r w:rsidRPr="00454B84">
        <w:rPr>
          <w:rFonts w:ascii="Arial" w:hAnsi="Arial" w:cs="Arial"/>
          <w:sz w:val="16"/>
          <w:szCs w:val="20"/>
        </w:rPr>
        <w:t xml:space="preserve"> National Transport Commission  Modelling the Marginal Cost of Road Wear Research Paper May 2011</w:t>
      </w:r>
    </w:p>
    <w:p w:rsidR="001D446D" w:rsidRPr="00454B84" w:rsidRDefault="001D446D" w:rsidP="001D446D">
      <w:pPr>
        <w:jc w:val="center"/>
        <w:rPr>
          <w:rFonts w:ascii="Arial" w:hAnsi="Arial" w:cs="Arial"/>
          <w:sz w:val="20"/>
          <w:szCs w:val="20"/>
        </w:rPr>
      </w:pPr>
    </w:p>
    <w:p w:rsidR="001D446D" w:rsidRPr="00454B84" w:rsidRDefault="001D446D" w:rsidP="001D446D">
      <w:pPr>
        <w:jc w:val="both"/>
        <w:rPr>
          <w:rFonts w:ascii="Arial" w:eastAsia="Times New Roman" w:hAnsi="Arial" w:cs="Arial"/>
          <w:bCs/>
          <w:sz w:val="20"/>
          <w:szCs w:val="20"/>
        </w:rPr>
      </w:pPr>
    </w:p>
    <w:p w:rsidR="001D446D" w:rsidRPr="00454B84" w:rsidRDefault="001D446D" w:rsidP="001D446D">
      <w:pPr>
        <w:autoSpaceDE w:val="0"/>
        <w:autoSpaceDN w:val="0"/>
        <w:adjustRightInd w:val="0"/>
        <w:jc w:val="both"/>
        <w:rPr>
          <w:rFonts w:ascii="Arial" w:hAnsi="Arial" w:cs="Arial"/>
          <w:sz w:val="20"/>
          <w:szCs w:val="20"/>
          <w:highlight w:val="white"/>
          <w:lang w:eastAsia="en-AU"/>
        </w:rPr>
      </w:pPr>
      <w:r w:rsidRPr="00454B84">
        <w:rPr>
          <w:rFonts w:ascii="Arial" w:hAnsi="Arial" w:cs="Arial"/>
          <w:sz w:val="20"/>
          <w:szCs w:val="20"/>
          <w:highlight w:val="white"/>
          <w:lang w:eastAsia="en-AU"/>
        </w:rPr>
        <w:t xml:space="preserve">Due to these factors, proceeding with actual costs for road use in order to be equitable may have unintended consequences for rural and regional areas in Australia. The Commission should examine how to moderate between actual costs and equitable but fair charges for road users. </w:t>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1D446D">
      <w:pPr>
        <w:jc w:val="both"/>
        <w:rPr>
          <w:rFonts w:ascii="Arial" w:hAnsi="Arial" w:cs="Arial"/>
          <w:sz w:val="20"/>
          <w:szCs w:val="20"/>
          <w:highlight w:val="white"/>
          <w:lang w:eastAsia="en-AU"/>
        </w:rPr>
      </w:pPr>
      <w:r w:rsidRPr="00454B84">
        <w:rPr>
          <w:rFonts w:ascii="Arial" w:hAnsi="Arial" w:cs="Arial"/>
          <w:sz w:val="20"/>
          <w:szCs w:val="20"/>
          <w:highlight w:val="white"/>
          <w:lang w:eastAsia="en-AU"/>
        </w:rPr>
        <w:t xml:space="preserve">Non-commercial roads (local or collector roads) still need to have a standard level of service for users. </w:t>
      </w:r>
    </w:p>
    <w:p w:rsidR="001D446D" w:rsidRPr="00454B84" w:rsidRDefault="001D446D" w:rsidP="001D446D">
      <w:pPr>
        <w:jc w:val="both"/>
        <w:rPr>
          <w:rFonts w:ascii="Arial" w:hAnsi="Arial" w:cs="Arial"/>
          <w:sz w:val="20"/>
          <w:szCs w:val="20"/>
          <w:highlight w:val="white"/>
          <w:lang w:eastAsia="en-AU"/>
        </w:rPr>
      </w:pPr>
    </w:p>
    <w:p w:rsidR="001D446D" w:rsidRPr="00454B84" w:rsidRDefault="001D446D" w:rsidP="001D446D">
      <w:pPr>
        <w:jc w:val="both"/>
        <w:rPr>
          <w:rFonts w:ascii="Arial" w:eastAsia="Times New Roman" w:hAnsi="Arial" w:cs="Arial"/>
          <w:bCs/>
          <w:sz w:val="20"/>
          <w:szCs w:val="20"/>
        </w:rPr>
      </w:pPr>
      <w:r w:rsidRPr="00454B84">
        <w:rPr>
          <w:rFonts w:ascii="Arial" w:hAnsi="Arial" w:cs="Arial"/>
          <w:sz w:val="20"/>
          <w:szCs w:val="20"/>
          <w:lang w:eastAsia="en-AU"/>
        </w:rPr>
        <w:t xml:space="preserve">CSO considerations lie at the heart of how a road access pricing regime would be created and it should not be left to the last minute to decide how regional roads will be dealt with under this scheme. Presently, around 75% of local rural road expenditure and 50% of local arterial road expenditure is excluded from the heavy vehicle charges model cost </w:t>
      </w:r>
      <w:r w:rsidRPr="00454B84">
        <w:rPr>
          <w:rFonts w:ascii="Arial" w:eastAsia="Times New Roman" w:hAnsi="Arial" w:cs="Arial"/>
          <w:bCs/>
          <w:sz w:val="20"/>
          <w:szCs w:val="20"/>
        </w:rPr>
        <w:t>base.</w:t>
      </w:r>
      <w:r w:rsidRPr="00454B84">
        <w:rPr>
          <w:rFonts w:ascii="Arial" w:eastAsia="Times New Roman" w:hAnsi="Arial" w:cs="Arial"/>
          <w:bCs/>
          <w:sz w:val="20"/>
          <w:szCs w:val="20"/>
          <w:vertAlign w:val="superscript"/>
        </w:rPr>
        <w:footnoteReference w:id="8"/>
      </w:r>
      <w:r w:rsidRPr="00454B84">
        <w:rPr>
          <w:rFonts w:ascii="Arial" w:eastAsia="Times New Roman" w:hAnsi="Arial" w:cs="Arial"/>
          <w:bCs/>
          <w:sz w:val="20"/>
          <w:szCs w:val="20"/>
        </w:rPr>
        <w:t xml:space="preserve"> </w:t>
      </w:r>
    </w:p>
    <w:p w:rsidR="001D446D" w:rsidRPr="00454B84" w:rsidRDefault="001D446D" w:rsidP="001D446D">
      <w:pPr>
        <w:jc w:val="both"/>
        <w:rPr>
          <w:rFonts w:ascii="Arial" w:eastAsia="Times New Roman" w:hAnsi="Arial" w:cs="Arial"/>
          <w:bCs/>
          <w:sz w:val="20"/>
          <w:szCs w:val="20"/>
        </w:rPr>
      </w:pPr>
    </w:p>
    <w:p w:rsidR="001D446D" w:rsidRPr="00454B84" w:rsidRDefault="001D446D" w:rsidP="001D446D">
      <w:pPr>
        <w:jc w:val="both"/>
        <w:rPr>
          <w:rFonts w:ascii="Arial" w:eastAsia="Times New Roman" w:hAnsi="Arial" w:cs="Arial"/>
          <w:bCs/>
          <w:sz w:val="20"/>
          <w:szCs w:val="20"/>
        </w:rPr>
      </w:pPr>
      <w:r w:rsidRPr="00454B84">
        <w:rPr>
          <w:rFonts w:ascii="Arial" w:eastAsia="Times New Roman" w:hAnsi="Arial" w:cs="Arial"/>
          <w:bCs/>
          <w:sz w:val="20"/>
          <w:szCs w:val="20"/>
        </w:rPr>
        <w:t xml:space="preserve">The situation is comparable to how phone lines and other utilities are provided across Australia. While it may cost more to provide wiring to a rural or regional area than an urban area consumers in both areas are charged the same installation cost and pay the same access cost for a given package. If the true marginal cost were to be paid by the rural consumers there would be a welfare effect of them not accessing the internet/phone. The same applies for road access. </w:t>
      </w:r>
    </w:p>
    <w:p w:rsidR="001D446D" w:rsidRPr="00454B84" w:rsidRDefault="001D446D" w:rsidP="001D446D">
      <w:pPr>
        <w:rPr>
          <w:rFonts w:ascii="Arial" w:eastAsia="Times New Roman" w:hAnsi="Arial" w:cs="Arial"/>
          <w:bCs/>
          <w:i/>
          <w:sz w:val="20"/>
          <w:szCs w:val="20"/>
        </w:rPr>
      </w:pPr>
    </w:p>
    <w:p w:rsidR="001D446D" w:rsidRPr="00454B84" w:rsidRDefault="001D446D" w:rsidP="001D446D">
      <w:pPr>
        <w:rPr>
          <w:rFonts w:ascii="Arial" w:eastAsia="Times New Roman" w:hAnsi="Arial" w:cs="Arial"/>
          <w:b/>
          <w:bCs/>
          <w:i/>
          <w:sz w:val="20"/>
          <w:szCs w:val="20"/>
        </w:rPr>
      </w:pPr>
    </w:p>
    <w:p w:rsidR="001D446D" w:rsidRPr="00454B84" w:rsidRDefault="001D446D" w:rsidP="001D446D">
      <w:pPr>
        <w:pStyle w:val="Heading1"/>
        <w:rPr>
          <w:szCs w:val="20"/>
        </w:rPr>
      </w:pPr>
      <w:bookmarkStart w:id="25" w:name="_Toc374626261"/>
      <w:r w:rsidRPr="00454B84">
        <w:rPr>
          <w:szCs w:val="20"/>
        </w:rPr>
        <w:t>Heavy vehicle access demand</w:t>
      </w:r>
      <w:bookmarkEnd w:id="25"/>
      <w:r w:rsidRPr="00454B84">
        <w:rPr>
          <w:szCs w:val="20"/>
        </w:rPr>
        <w:t xml:space="preserve"> </w:t>
      </w:r>
    </w:p>
    <w:p w:rsidR="001D446D" w:rsidRPr="00454B84" w:rsidRDefault="001D446D" w:rsidP="001D446D">
      <w:pPr>
        <w:rPr>
          <w:rFonts w:ascii="Arial" w:hAnsi="Arial" w:cs="Arial"/>
        </w:rPr>
      </w:pPr>
    </w:p>
    <w:p w:rsidR="001D446D" w:rsidRPr="00454B84" w:rsidRDefault="001D446D" w:rsidP="001D446D">
      <w:pPr>
        <w:pStyle w:val="Heading1"/>
        <w:numPr>
          <w:ilvl w:val="1"/>
          <w:numId w:val="26"/>
        </w:numPr>
        <w:rPr>
          <w:sz w:val="24"/>
          <w:szCs w:val="20"/>
        </w:rPr>
      </w:pPr>
      <w:r w:rsidRPr="00454B84">
        <w:rPr>
          <w:sz w:val="24"/>
          <w:szCs w:val="20"/>
        </w:rPr>
        <w:t xml:space="preserve"> </w:t>
      </w:r>
      <w:bookmarkStart w:id="26" w:name="_Toc374626262"/>
      <w:r w:rsidRPr="00454B84">
        <w:rPr>
          <w:sz w:val="24"/>
          <w:szCs w:val="20"/>
        </w:rPr>
        <w:t>Last and first mile access</w:t>
      </w:r>
      <w:bookmarkEnd w:id="26"/>
    </w:p>
    <w:p w:rsidR="001D446D" w:rsidRPr="00454B84" w:rsidRDefault="001D446D" w:rsidP="001D446D">
      <w:pPr>
        <w:rPr>
          <w:rFonts w:ascii="Arial" w:hAnsi="Arial" w:cs="Arial"/>
        </w:rPr>
      </w:pPr>
    </w:p>
    <w:p w:rsidR="001D446D" w:rsidRPr="00454B84" w:rsidRDefault="001D446D" w:rsidP="001D446D">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For the heavy vehicle industry, specifically operators on the east coast, one of the largest concerns is first and last mile access and general access. The first and last mile access problem is when an operator may have to choose a less productive vehicle to carry out the freight task because the more productive larger vehicle cannot get access to the destination.  </w:t>
      </w:r>
    </w:p>
    <w:p w:rsidR="001D446D" w:rsidRPr="00454B84" w:rsidRDefault="001D446D" w:rsidP="001D446D">
      <w:pPr>
        <w:spacing w:line="276" w:lineRule="auto"/>
        <w:rPr>
          <w:rFonts w:ascii="Arial" w:eastAsiaTheme="minorHAnsi" w:hAnsi="Arial" w:cs="Arial"/>
          <w:sz w:val="20"/>
          <w:szCs w:val="20"/>
        </w:rPr>
      </w:pPr>
    </w:p>
    <w:p w:rsidR="001D446D" w:rsidRPr="00454B84" w:rsidRDefault="001D446D" w:rsidP="001D446D">
      <w:pPr>
        <w:jc w:val="both"/>
        <w:rPr>
          <w:rFonts w:ascii="Arial" w:eastAsia="Times New Roman" w:hAnsi="Arial" w:cs="Arial"/>
          <w:bCs/>
          <w:sz w:val="20"/>
          <w:szCs w:val="20"/>
        </w:rPr>
      </w:pPr>
      <w:r w:rsidRPr="00454B84">
        <w:rPr>
          <w:rFonts w:ascii="Arial" w:eastAsia="Times New Roman" w:hAnsi="Arial" w:cs="Arial"/>
          <w:bCs/>
          <w:sz w:val="20"/>
          <w:szCs w:val="20"/>
        </w:rPr>
        <w:t xml:space="preserve">The ATA constructed a truck impact chart, which reports the ESA figures and other characteristics of different combinations (see appendix B). </w:t>
      </w:r>
    </w:p>
    <w:p w:rsidR="001D446D" w:rsidRPr="00454B84" w:rsidRDefault="001D446D" w:rsidP="001D446D">
      <w:pPr>
        <w:jc w:val="both"/>
        <w:rPr>
          <w:rFonts w:ascii="Arial" w:eastAsia="Times New Roman" w:hAnsi="Arial" w:cs="Arial"/>
          <w:bCs/>
          <w:sz w:val="20"/>
          <w:szCs w:val="20"/>
        </w:rPr>
      </w:pPr>
    </w:p>
    <w:p w:rsidR="001D446D" w:rsidRPr="00454B84" w:rsidRDefault="001D446D" w:rsidP="001D446D">
      <w:pPr>
        <w:jc w:val="both"/>
        <w:rPr>
          <w:rFonts w:ascii="Arial" w:eastAsia="Times New Roman" w:hAnsi="Arial" w:cs="Arial"/>
          <w:bCs/>
          <w:sz w:val="20"/>
          <w:szCs w:val="20"/>
        </w:rPr>
      </w:pPr>
      <w:r w:rsidRPr="00454B84">
        <w:rPr>
          <w:rFonts w:ascii="Arial" w:eastAsia="Times New Roman" w:hAnsi="Arial" w:cs="Arial"/>
          <w:bCs/>
          <w:sz w:val="20"/>
          <w:szCs w:val="20"/>
        </w:rPr>
        <w:t xml:space="preserve">For example when transporting a freight task of 1000 tonnes, B-double trucks transport the freight in only 26 trips with a total ESA figure of 195. Comparing this to a traditional semi-trailer, it takes 16 more trips to complete the freight task and adds 62 ESA for the same freight task.  </w:t>
      </w:r>
    </w:p>
    <w:p w:rsidR="003F4E83" w:rsidRDefault="003F4E83" w:rsidP="001D446D">
      <w:pPr>
        <w:ind w:left="720" w:firstLine="720"/>
        <w:rPr>
          <w:rFonts w:ascii="Arial" w:eastAsia="Times New Roman" w:hAnsi="Arial" w:cs="Arial"/>
          <w:b/>
          <w:bCs/>
          <w:sz w:val="20"/>
          <w:szCs w:val="20"/>
        </w:rPr>
      </w:pPr>
    </w:p>
    <w:p w:rsidR="001D446D" w:rsidRPr="00454B84" w:rsidRDefault="00B93C2C" w:rsidP="001D446D">
      <w:pPr>
        <w:ind w:left="720" w:firstLine="720"/>
        <w:rPr>
          <w:rFonts w:ascii="Arial" w:eastAsia="Times New Roman" w:hAnsi="Arial" w:cs="Arial"/>
          <w:b/>
          <w:bCs/>
          <w:sz w:val="20"/>
          <w:szCs w:val="20"/>
        </w:rPr>
      </w:pPr>
      <w:r>
        <w:rPr>
          <w:rFonts w:ascii="Arial" w:eastAsia="Times New Roman" w:hAnsi="Arial" w:cs="Arial"/>
          <w:b/>
          <w:bCs/>
          <w:sz w:val="20"/>
          <w:szCs w:val="20"/>
        </w:rPr>
        <w:t xml:space="preserve"> Figure 2</w:t>
      </w:r>
      <w:r w:rsidR="001D446D" w:rsidRPr="00454B84">
        <w:rPr>
          <w:rFonts w:ascii="Arial" w:eastAsia="Times New Roman" w:hAnsi="Arial" w:cs="Arial"/>
          <w:b/>
          <w:bCs/>
          <w:sz w:val="20"/>
          <w:szCs w:val="20"/>
        </w:rPr>
        <w:t>: ESA impact for a selection of heavy vehicle combinations</w:t>
      </w:r>
    </w:p>
    <w:tbl>
      <w:tblPr>
        <w:tblStyle w:val="LightList-Accent111"/>
        <w:tblpPr w:leftFromText="180" w:rightFromText="180" w:vertAnchor="text" w:horzAnchor="margin" w:tblpXSpec="center" w:tblpY="159"/>
        <w:tblW w:w="7540" w:type="dxa"/>
        <w:tblLook w:val="04A0"/>
      </w:tblPr>
      <w:tblGrid>
        <w:gridCol w:w="2740"/>
        <w:gridCol w:w="2760"/>
        <w:gridCol w:w="2040"/>
      </w:tblGrid>
      <w:tr w:rsidR="001D446D" w:rsidRPr="00454B84" w:rsidTr="001D446D">
        <w:trPr>
          <w:cnfStyle w:val="100000000000"/>
          <w:trHeight w:val="300"/>
        </w:trPr>
        <w:tc>
          <w:tcPr>
            <w:cnfStyle w:val="001000000000"/>
            <w:tcW w:w="2740" w:type="dxa"/>
            <w:noWrap/>
            <w:hideMark/>
          </w:tcPr>
          <w:p w:rsidR="001D446D" w:rsidRPr="00454B84" w:rsidRDefault="001D446D" w:rsidP="001D446D">
            <w:pPr>
              <w:jc w:val="both"/>
              <w:rPr>
                <w:rFonts w:ascii="Arial" w:eastAsia="Times New Roman" w:hAnsi="Arial" w:cs="Arial"/>
                <w:color w:val="000000" w:themeColor="text1"/>
                <w:sz w:val="20"/>
                <w:szCs w:val="20"/>
                <w:lang w:eastAsia="en-AU"/>
              </w:rPr>
            </w:pPr>
            <w:r w:rsidRPr="00454B84">
              <w:rPr>
                <w:rFonts w:ascii="Arial" w:eastAsia="Times New Roman" w:hAnsi="Arial" w:cs="Arial"/>
                <w:color w:val="000000" w:themeColor="text1"/>
                <w:sz w:val="20"/>
                <w:szCs w:val="20"/>
                <w:lang w:eastAsia="en-AU"/>
              </w:rPr>
              <w:t>Heavy vehicle</w:t>
            </w:r>
          </w:p>
        </w:tc>
        <w:tc>
          <w:tcPr>
            <w:tcW w:w="2760" w:type="dxa"/>
            <w:noWrap/>
            <w:hideMark/>
          </w:tcPr>
          <w:p w:rsidR="001D446D" w:rsidRPr="00454B84" w:rsidRDefault="001D446D" w:rsidP="001D446D">
            <w:pPr>
              <w:jc w:val="both"/>
              <w:cnfStyle w:val="100000000000"/>
              <w:rPr>
                <w:rFonts w:ascii="Arial" w:eastAsia="Times New Roman" w:hAnsi="Arial" w:cs="Arial"/>
                <w:color w:val="000000" w:themeColor="text1"/>
                <w:sz w:val="20"/>
                <w:szCs w:val="20"/>
                <w:lang w:eastAsia="en-AU"/>
              </w:rPr>
            </w:pPr>
            <w:r w:rsidRPr="00454B84">
              <w:rPr>
                <w:rFonts w:ascii="Arial" w:eastAsia="Times New Roman" w:hAnsi="Arial" w:cs="Arial"/>
                <w:color w:val="000000" w:themeColor="text1"/>
                <w:sz w:val="20"/>
                <w:szCs w:val="20"/>
                <w:lang w:eastAsia="en-AU"/>
              </w:rPr>
              <w:t>No. of trips per 1000 tonnes</w:t>
            </w:r>
          </w:p>
        </w:tc>
        <w:tc>
          <w:tcPr>
            <w:tcW w:w="2040" w:type="dxa"/>
            <w:noWrap/>
            <w:hideMark/>
          </w:tcPr>
          <w:p w:rsidR="001D446D" w:rsidRPr="00454B84" w:rsidRDefault="001D446D" w:rsidP="001D446D">
            <w:pPr>
              <w:jc w:val="both"/>
              <w:cnfStyle w:val="100000000000"/>
              <w:rPr>
                <w:rFonts w:ascii="Arial" w:eastAsia="Times New Roman" w:hAnsi="Arial" w:cs="Arial"/>
                <w:color w:val="000000" w:themeColor="text1"/>
                <w:sz w:val="20"/>
                <w:szCs w:val="20"/>
                <w:lang w:eastAsia="en-AU"/>
              </w:rPr>
            </w:pPr>
            <w:r w:rsidRPr="00454B84">
              <w:rPr>
                <w:rFonts w:ascii="Arial" w:eastAsia="Times New Roman" w:hAnsi="Arial" w:cs="Arial"/>
                <w:color w:val="000000" w:themeColor="text1"/>
                <w:sz w:val="20"/>
                <w:szCs w:val="20"/>
                <w:lang w:eastAsia="en-AU"/>
              </w:rPr>
              <w:t xml:space="preserve">Equivalent Standard Axle per 1000 tonnes (ESA) </w:t>
            </w:r>
          </w:p>
        </w:tc>
      </w:tr>
      <w:tr w:rsidR="001D446D" w:rsidRPr="00454B84" w:rsidTr="001D446D">
        <w:trPr>
          <w:cnfStyle w:val="000000100000"/>
          <w:trHeight w:val="300"/>
        </w:trPr>
        <w:tc>
          <w:tcPr>
            <w:cnfStyle w:val="001000000000"/>
            <w:tcW w:w="2740" w:type="dxa"/>
            <w:noWrap/>
            <w:hideMark/>
          </w:tcPr>
          <w:p w:rsidR="001D446D" w:rsidRPr="00454B84" w:rsidRDefault="001D446D" w:rsidP="001D446D">
            <w:pPr>
              <w:jc w:val="both"/>
              <w:rPr>
                <w:rFonts w:ascii="Arial" w:eastAsia="Times New Roman" w:hAnsi="Arial" w:cs="Arial"/>
                <w:color w:val="000000" w:themeColor="text1"/>
                <w:sz w:val="20"/>
                <w:szCs w:val="20"/>
                <w:lang w:eastAsia="en-AU"/>
              </w:rPr>
            </w:pPr>
            <w:r w:rsidRPr="00454B84">
              <w:rPr>
                <w:rFonts w:ascii="Arial" w:eastAsia="Times New Roman" w:hAnsi="Arial" w:cs="Arial"/>
                <w:color w:val="000000" w:themeColor="text1"/>
                <w:sz w:val="20"/>
                <w:szCs w:val="20"/>
                <w:lang w:eastAsia="en-AU"/>
              </w:rPr>
              <w:t xml:space="preserve">Traditional 3 axle rigid </w:t>
            </w:r>
          </w:p>
        </w:tc>
        <w:tc>
          <w:tcPr>
            <w:tcW w:w="2760" w:type="dxa"/>
            <w:noWrap/>
            <w:hideMark/>
          </w:tcPr>
          <w:p w:rsidR="001D446D" w:rsidRPr="00454B84" w:rsidRDefault="001D446D" w:rsidP="001D446D">
            <w:pPr>
              <w:jc w:val="both"/>
              <w:cnfStyle w:val="000000100000"/>
              <w:rPr>
                <w:rFonts w:ascii="Arial" w:eastAsia="Times New Roman" w:hAnsi="Arial" w:cs="Arial"/>
                <w:b/>
                <w:bCs/>
                <w:color w:val="000000" w:themeColor="text1"/>
                <w:sz w:val="20"/>
                <w:szCs w:val="20"/>
                <w:lang w:eastAsia="en-AU"/>
              </w:rPr>
            </w:pPr>
            <w:r w:rsidRPr="00454B84">
              <w:rPr>
                <w:rFonts w:ascii="Arial" w:eastAsia="Times New Roman" w:hAnsi="Arial" w:cs="Arial"/>
                <w:b/>
                <w:bCs/>
                <w:color w:val="000000" w:themeColor="text1"/>
                <w:sz w:val="20"/>
                <w:szCs w:val="20"/>
                <w:lang w:eastAsia="en-AU"/>
              </w:rPr>
              <w:t>77</w:t>
            </w:r>
          </w:p>
        </w:tc>
        <w:tc>
          <w:tcPr>
            <w:tcW w:w="2040" w:type="dxa"/>
            <w:noWrap/>
            <w:hideMark/>
          </w:tcPr>
          <w:p w:rsidR="001D446D" w:rsidRPr="00454B84" w:rsidRDefault="001D446D" w:rsidP="001D446D">
            <w:pPr>
              <w:jc w:val="both"/>
              <w:cnfStyle w:val="000000100000"/>
              <w:rPr>
                <w:rFonts w:ascii="Arial" w:eastAsia="Times New Roman" w:hAnsi="Arial" w:cs="Arial"/>
                <w:b/>
                <w:bCs/>
                <w:color w:val="000000" w:themeColor="text1"/>
                <w:sz w:val="20"/>
                <w:szCs w:val="20"/>
                <w:lang w:eastAsia="en-AU"/>
              </w:rPr>
            </w:pPr>
            <w:r w:rsidRPr="00454B84">
              <w:rPr>
                <w:rFonts w:ascii="Arial" w:eastAsia="Times New Roman" w:hAnsi="Arial" w:cs="Arial"/>
                <w:b/>
                <w:bCs/>
                <w:color w:val="000000" w:themeColor="text1"/>
                <w:sz w:val="20"/>
                <w:szCs w:val="20"/>
                <w:lang w:eastAsia="en-AU"/>
              </w:rPr>
              <w:t>316</w:t>
            </w:r>
          </w:p>
        </w:tc>
      </w:tr>
      <w:tr w:rsidR="001D446D" w:rsidRPr="00454B84" w:rsidTr="001D446D">
        <w:trPr>
          <w:trHeight w:val="300"/>
        </w:trPr>
        <w:tc>
          <w:tcPr>
            <w:cnfStyle w:val="001000000000"/>
            <w:tcW w:w="2740" w:type="dxa"/>
            <w:noWrap/>
            <w:hideMark/>
          </w:tcPr>
          <w:p w:rsidR="001D446D" w:rsidRPr="00454B84" w:rsidRDefault="001D446D" w:rsidP="001D446D">
            <w:pPr>
              <w:jc w:val="both"/>
              <w:rPr>
                <w:rFonts w:ascii="Arial" w:eastAsia="Times New Roman" w:hAnsi="Arial" w:cs="Arial"/>
                <w:color w:val="000000" w:themeColor="text1"/>
                <w:sz w:val="20"/>
                <w:szCs w:val="20"/>
                <w:lang w:eastAsia="en-AU"/>
              </w:rPr>
            </w:pPr>
            <w:r w:rsidRPr="00454B84">
              <w:rPr>
                <w:rFonts w:ascii="Arial" w:eastAsia="Times New Roman" w:hAnsi="Arial" w:cs="Arial"/>
                <w:color w:val="000000" w:themeColor="text1"/>
                <w:sz w:val="20"/>
                <w:szCs w:val="20"/>
                <w:lang w:eastAsia="en-AU"/>
              </w:rPr>
              <w:t>Traditional 6 axle semi-trailer</w:t>
            </w:r>
          </w:p>
        </w:tc>
        <w:tc>
          <w:tcPr>
            <w:tcW w:w="2760" w:type="dxa"/>
            <w:noWrap/>
            <w:hideMark/>
          </w:tcPr>
          <w:p w:rsidR="001D446D" w:rsidRPr="00454B84" w:rsidRDefault="001D446D" w:rsidP="001D446D">
            <w:pPr>
              <w:jc w:val="both"/>
              <w:cnfStyle w:val="000000000000"/>
              <w:rPr>
                <w:rFonts w:ascii="Arial" w:eastAsia="Times New Roman" w:hAnsi="Arial" w:cs="Arial"/>
                <w:b/>
                <w:bCs/>
                <w:color w:val="000000" w:themeColor="text1"/>
                <w:sz w:val="20"/>
                <w:szCs w:val="20"/>
                <w:lang w:eastAsia="en-AU"/>
              </w:rPr>
            </w:pPr>
            <w:r w:rsidRPr="00454B84">
              <w:rPr>
                <w:rFonts w:ascii="Arial" w:eastAsia="Times New Roman" w:hAnsi="Arial" w:cs="Arial"/>
                <w:b/>
                <w:bCs/>
                <w:color w:val="000000" w:themeColor="text1"/>
                <w:sz w:val="20"/>
                <w:szCs w:val="20"/>
                <w:lang w:eastAsia="en-AU"/>
              </w:rPr>
              <w:t>42</w:t>
            </w:r>
          </w:p>
        </w:tc>
        <w:tc>
          <w:tcPr>
            <w:tcW w:w="2040" w:type="dxa"/>
            <w:noWrap/>
            <w:hideMark/>
          </w:tcPr>
          <w:p w:rsidR="001D446D" w:rsidRPr="00454B84" w:rsidRDefault="001D446D" w:rsidP="001D446D">
            <w:pPr>
              <w:jc w:val="both"/>
              <w:cnfStyle w:val="000000000000"/>
              <w:rPr>
                <w:rFonts w:ascii="Arial" w:eastAsia="Times New Roman" w:hAnsi="Arial" w:cs="Arial"/>
                <w:b/>
                <w:bCs/>
                <w:color w:val="000000" w:themeColor="text1"/>
                <w:sz w:val="20"/>
                <w:szCs w:val="20"/>
                <w:lang w:eastAsia="en-AU"/>
              </w:rPr>
            </w:pPr>
            <w:r w:rsidRPr="00454B84">
              <w:rPr>
                <w:rFonts w:ascii="Arial" w:eastAsia="Times New Roman" w:hAnsi="Arial" w:cs="Arial"/>
                <w:b/>
                <w:bCs/>
                <w:color w:val="000000" w:themeColor="text1"/>
                <w:sz w:val="20"/>
                <w:szCs w:val="20"/>
                <w:lang w:eastAsia="en-AU"/>
              </w:rPr>
              <w:t>257</w:t>
            </w:r>
          </w:p>
        </w:tc>
      </w:tr>
      <w:tr w:rsidR="001D446D" w:rsidRPr="00454B84" w:rsidTr="001D446D">
        <w:trPr>
          <w:cnfStyle w:val="000000100000"/>
          <w:trHeight w:val="300"/>
        </w:trPr>
        <w:tc>
          <w:tcPr>
            <w:cnfStyle w:val="001000000000"/>
            <w:tcW w:w="2740" w:type="dxa"/>
            <w:noWrap/>
            <w:hideMark/>
          </w:tcPr>
          <w:p w:rsidR="001D446D" w:rsidRPr="00454B84" w:rsidRDefault="001D446D" w:rsidP="001D446D">
            <w:pPr>
              <w:jc w:val="both"/>
              <w:rPr>
                <w:rFonts w:ascii="Arial" w:eastAsia="Times New Roman" w:hAnsi="Arial" w:cs="Arial"/>
                <w:color w:val="000000" w:themeColor="text1"/>
                <w:sz w:val="20"/>
                <w:szCs w:val="20"/>
                <w:lang w:eastAsia="en-AU"/>
              </w:rPr>
            </w:pPr>
            <w:r w:rsidRPr="00454B84">
              <w:rPr>
                <w:rFonts w:ascii="Arial" w:eastAsia="Times New Roman" w:hAnsi="Arial" w:cs="Arial"/>
                <w:color w:val="000000" w:themeColor="text1"/>
                <w:sz w:val="20"/>
                <w:szCs w:val="20"/>
                <w:lang w:eastAsia="en-AU"/>
              </w:rPr>
              <w:t xml:space="preserve">Innovative 9 axle B-double </w:t>
            </w:r>
          </w:p>
        </w:tc>
        <w:tc>
          <w:tcPr>
            <w:tcW w:w="2760" w:type="dxa"/>
            <w:noWrap/>
            <w:hideMark/>
          </w:tcPr>
          <w:p w:rsidR="001D446D" w:rsidRPr="00454B84" w:rsidRDefault="001D446D" w:rsidP="001D446D">
            <w:pPr>
              <w:jc w:val="both"/>
              <w:cnfStyle w:val="000000100000"/>
              <w:rPr>
                <w:rFonts w:ascii="Arial" w:eastAsia="Times New Roman" w:hAnsi="Arial" w:cs="Arial"/>
                <w:b/>
                <w:bCs/>
                <w:color w:val="000000" w:themeColor="text1"/>
                <w:sz w:val="20"/>
                <w:szCs w:val="20"/>
                <w:lang w:eastAsia="en-AU"/>
              </w:rPr>
            </w:pPr>
            <w:r w:rsidRPr="00454B84">
              <w:rPr>
                <w:rFonts w:ascii="Arial" w:eastAsia="Times New Roman" w:hAnsi="Arial" w:cs="Arial"/>
                <w:b/>
                <w:bCs/>
                <w:color w:val="000000" w:themeColor="text1"/>
                <w:sz w:val="20"/>
                <w:szCs w:val="20"/>
                <w:lang w:eastAsia="en-AU"/>
              </w:rPr>
              <w:t>26</w:t>
            </w:r>
          </w:p>
        </w:tc>
        <w:tc>
          <w:tcPr>
            <w:tcW w:w="2040" w:type="dxa"/>
            <w:noWrap/>
            <w:hideMark/>
          </w:tcPr>
          <w:p w:rsidR="001D446D" w:rsidRPr="00454B84" w:rsidRDefault="001D446D" w:rsidP="001D446D">
            <w:pPr>
              <w:jc w:val="both"/>
              <w:cnfStyle w:val="000000100000"/>
              <w:rPr>
                <w:rFonts w:ascii="Arial" w:eastAsia="Times New Roman" w:hAnsi="Arial" w:cs="Arial"/>
                <w:b/>
                <w:bCs/>
                <w:color w:val="000000" w:themeColor="text1"/>
                <w:sz w:val="20"/>
                <w:szCs w:val="20"/>
                <w:lang w:eastAsia="en-AU"/>
              </w:rPr>
            </w:pPr>
            <w:r w:rsidRPr="00454B84">
              <w:rPr>
                <w:rFonts w:ascii="Arial" w:eastAsia="Times New Roman" w:hAnsi="Arial" w:cs="Arial"/>
                <w:b/>
                <w:bCs/>
                <w:color w:val="000000" w:themeColor="text1"/>
                <w:sz w:val="20"/>
                <w:szCs w:val="20"/>
                <w:lang w:eastAsia="en-AU"/>
              </w:rPr>
              <w:t>195</w:t>
            </w:r>
          </w:p>
        </w:tc>
      </w:tr>
      <w:tr w:rsidR="001D446D" w:rsidRPr="00454B84" w:rsidTr="001D446D">
        <w:trPr>
          <w:trHeight w:val="300"/>
        </w:trPr>
        <w:tc>
          <w:tcPr>
            <w:cnfStyle w:val="001000000000"/>
            <w:tcW w:w="2740" w:type="dxa"/>
            <w:noWrap/>
            <w:hideMark/>
          </w:tcPr>
          <w:p w:rsidR="001D446D" w:rsidRPr="00454B84" w:rsidRDefault="001D446D" w:rsidP="001D446D">
            <w:pPr>
              <w:jc w:val="both"/>
              <w:rPr>
                <w:rFonts w:ascii="Arial" w:eastAsia="Times New Roman" w:hAnsi="Arial" w:cs="Arial"/>
                <w:color w:val="000000" w:themeColor="text1"/>
                <w:sz w:val="20"/>
                <w:szCs w:val="20"/>
                <w:lang w:eastAsia="en-AU"/>
              </w:rPr>
            </w:pPr>
            <w:r w:rsidRPr="00454B84">
              <w:rPr>
                <w:rFonts w:ascii="Arial" w:eastAsia="Times New Roman" w:hAnsi="Arial" w:cs="Arial"/>
                <w:color w:val="000000" w:themeColor="text1"/>
                <w:sz w:val="20"/>
                <w:szCs w:val="20"/>
                <w:lang w:eastAsia="en-AU"/>
              </w:rPr>
              <w:t xml:space="preserve">Innovative 12 axle B-triple </w:t>
            </w:r>
          </w:p>
        </w:tc>
        <w:tc>
          <w:tcPr>
            <w:tcW w:w="2760" w:type="dxa"/>
            <w:noWrap/>
            <w:hideMark/>
          </w:tcPr>
          <w:p w:rsidR="001D446D" w:rsidRPr="00454B84" w:rsidRDefault="001D446D" w:rsidP="001D446D">
            <w:pPr>
              <w:jc w:val="both"/>
              <w:cnfStyle w:val="000000000000"/>
              <w:rPr>
                <w:rFonts w:ascii="Arial" w:eastAsia="Times New Roman" w:hAnsi="Arial" w:cs="Arial"/>
                <w:b/>
                <w:bCs/>
                <w:color w:val="000000" w:themeColor="text1"/>
                <w:sz w:val="20"/>
                <w:szCs w:val="20"/>
                <w:lang w:eastAsia="en-AU"/>
              </w:rPr>
            </w:pPr>
            <w:r w:rsidRPr="00454B84">
              <w:rPr>
                <w:rFonts w:ascii="Arial" w:eastAsia="Times New Roman" w:hAnsi="Arial" w:cs="Arial"/>
                <w:b/>
                <w:bCs/>
                <w:color w:val="000000" w:themeColor="text1"/>
                <w:sz w:val="20"/>
                <w:szCs w:val="20"/>
                <w:lang w:eastAsia="en-AU"/>
              </w:rPr>
              <w:t>20</w:t>
            </w:r>
          </w:p>
        </w:tc>
        <w:tc>
          <w:tcPr>
            <w:tcW w:w="2040" w:type="dxa"/>
            <w:noWrap/>
            <w:hideMark/>
          </w:tcPr>
          <w:p w:rsidR="001D446D" w:rsidRPr="00454B84" w:rsidRDefault="001D446D" w:rsidP="001D446D">
            <w:pPr>
              <w:jc w:val="both"/>
              <w:cnfStyle w:val="000000000000"/>
              <w:rPr>
                <w:rFonts w:ascii="Arial" w:eastAsia="Times New Roman" w:hAnsi="Arial" w:cs="Arial"/>
                <w:b/>
                <w:bCs/>
                <w:color w:val="000000" w:themeColor="text1"/>
                <w:sz w:val="20"/>
                <w:szCs w:val="20"/>
                <w:lang w:eastAsia="en-AU"/>
              </w:rPr>
            </w:pPr>
            <w:r w:rsidRPr="00454B84">
              <w:rPr>
                <w:rFonts w:ascii="Arial" w:eastAsia="Times New Roman" w:hAnsi="Arial" w:cs="Arial"/>
                <w:b/>
                <w:bCs/>
                <w:color w:val="000000" w:themeColor="text1"/>
                <w:sz w:val="20"/>
                <w:szCs w:val="20"/>
                <w:lang w:eastAsia="en-AU"/>
              </w:rPr>
              <w:t>178</w:t>
            </w:r>
          </w:p>
        </w:tc>
      </w:tr>
    </w:tbl>
    <w:p w:rsidR="001D446D" w:rsidRPr="00454B84" w:rsidRDefault="001D446D" w:rsidP="001D446D">
      <w:pPr>
        <w:jc w:val="both"/>
        <w:rPr>
          <w:rFonts w:ascii="Arial" w:eastAsia="Times New Roman" w:hAnsi="Arial" w:cs="Arial"/>
          <w:bCs/>
          <w:sz w:val="20"/>
          <w:szCs w:val="20"/>
        </w:rPr>
      </w:pPr>
    </w:p>
    <w:p w:rsidR="001D446D" w:rsidRPr="00454B84" w:rsidRDefault="001D446D" w:rsidP="001D446D">
      <w:pPr>
        <w:jc w:val="center"/>
        <w:rPr>
          <w:rFonts w:ascii="Arial" w:hAnsi="Arial" w:cs="Arial"/>
          <w:sz w:val="20"/>
          <w:szCs w:val="20"/>
        </w:rPr>
      </w:pPr>
    </w:p>
    <w:p w:rsidR="001D446D" w:rsidRPr="00454B84" w:rsidRDefault="001D446D" w:rsidP="001D446D">
      <w:pPr>
        <w:jc w:val="center"/>
        <w:rPr>
          <w:rFonts w:ascii="Arial" w:hAnsi="Arial" w:cs="Arial"/>
          <w:sz w:val="20"/>
          <w:szCs w:val="20"/>
        </w:rPr>
      </w:pPr>
    </w:p>
    <w:p w:rsidR="001D446D" w:rsidRPr="00454B84" w:rsidRDefault="001D446D" w:rsidP="001D446D">
      <w:pPr>
        <w:jc w:val="center"/>
        <w:rPr>
          <w:rFonts w:ascii="Arial" w:hAnsi="Arial" w:cs="Arial"/>
          <w:sz w:val="20"/>
          <w:szCs w:val="20"/>
        </w:rPr>
      </w:pPr>
    </w:p>
    <w:p w:rsidR="001D446D" w:rsidRPr="00454B84" w:rsidRDefault="001D446D" w:rsidP="001D446D">
      <w:pPr>
        <w:jc w:val="center"/>
        <w:rPr>
          <w:rFonts w:ascii="Arial" w:hAnsi="Arial" w:cs="Arial"/>
          <w:sz w:val="20"/>
          <w:szCs w:val="20"/>
        </w:rPr>
      </w:pPr>
    </w:p>
    <w:p w:rsidR="001D446D" w:rsidRPr="00454B84" w:rsidRDefault="001D446D" w:rsidP="001D446D">
      <w:pPr>
        <w:jc w:val="center"/>
        <w:rPr>
          <w:rFonts w:ascii="Arial" w:hAnsi="Arial" w:cs="Arial"/>
          <w:sz w:val="20"/>
          <w:szCs w:val="20"/>
        </w:rPr>
      </w:pPr>
    </w:p>
    <w:p w:rsidR="001D446D" w:rsidRPr="00454B84" w:rsidRDefault="001D446D" w:rsidP="001D446D">
      <w:pPr>
        <w:jc w:val="center"/>
        <w:rPr>
          <w:rFonts w:ascii="Arial" w:hAnsi="Arial" w:cs="Arial"/>
          <w:sz w:val="20"/>
          <w:szCs w:val="20"/>
        </w:rPr>
      </w:pPr>
    </w:p>
    <w:p w:rsidR="001D446D" w:rsidRPr="00454B84" w:rsidRDefault="001D446D" w:rsidP="001D446D">
      <w:pPr>
        <w:jc w:val="center"/>
        <w:rPr>
          <w:rFonts w:ascii="Arial" w:hAnsi="Arial" w:cs="Arial"/>
          <w:sz w:val="20"/>
          <w:szCs w:val="20"/>
        </w:rPr>
      </w:pPr>
    </w:p>
    <w:p w:rsidR="001D446D" w:rsidRPr="00454B84" w:rsidRDefault="001D446D" w:rsidP="001D446D">
      <w:pPr>
        <w:jc w:val="center"/>
        <w:rPr>
          <w:rFonts w:ascii="Arial" w:hAnsi="Arial" w:cs="Arial"/>
          <w:sz w:val="20"/>
          <w:szCs w:val="20"/>
        </w:rPr>
      </w:pPr>
    </w:p>
    <w:p w:rsidR="001D446D" w:rsidRPr="00454B84" w:rsidRDefault="001D446D" w:rsidP="001D446D">
      <w:pPr>
        <w:jc w:val="center"/>
        <w:rPr>
          <w:rFonts w:ascii="Arial" w:hAnsi="Arial" w:cs="Arial"/>
          <w:sz w:val="20"/>
          <w:szCs w:val="20"/>
        </w:rPr>
      </w:pPr>
    </w:p>
    <w:p w:rsidR="001D446D" w:rsidRPr="00454B84" w:rsidRDefault="001D446D" w:rsidP="001D446D">
      <w:pPr>
        <w:jc w:val="center"/>
        <w:rPr>
          <w:rFonts w:ascii="Arial" w:hAnsi="Arial" w:cs="Arial"/>
          <w:sz w:val="20"/>
          <w:szCs w:val="20"/>
        </w:rPr>
      </w:pPr>
    </w:p>
    <w:p w:rsidR="001D446D" w:rsidRPr="00454B84" w:rsidRDefault="001D446D" w:rsidP="001D446D">
      <w:pPr>
        <w:jc w:val="center"/>
        <w:rPr>
          <w:rFonts w:ascii="Arial" w:hAnsi="Arial" w:cs="Arial"/>
          <w:sz w:val="16"/>
          <w:szCs w:val="20"/>
        </w:rPr>
      </w:pPr>
      <w:r w:rsidRPr="00454B84">
        <w:rPr>
          <w:rFonts w:ascii="Arial" w:hAnsi="Arial" w:cs="Arial"/>
          <w:sz w:val="16"/>
          <w:szCs w:val="20"/>
        </w:rPr>
        <w:t>Source: The ATA and Barkwood Consulting Pty Ltd Truck Impact Chart</w:t>
      </w:r>
    </w:p>
    <w:p w:rsidR="001D446D" w:rsidRPr="00454B84" w:rsidRDefault="001D446D" w:rsidP="001D446D">
      <w:pPr>
        <w:jc w:val="both"/>
        <w:rPr>
          <w:rFonts w:ascii="Arial" w:hAnsi="Arial" w:cs="Arial"/>
          <w:sz w:val="20"/>
          <w:szCs w:val="20"/>
        </w:rPr>
      </w:pPr>
    </w:p>
    <w:p w:rsidR="001D446D" w:rsidRPr="00454B84" w:rsidRDefault="001D446D" w:rsidP="001D446D">
      <w:pPr>
        <w:autoSpaceDE w:val="0"/>
        <w:autoSpaceDN w:val="0"/>
        <w:adjustRightInd w:val="0"/>
        <w:jc w:val="both"/>
        <w:rPr>
          <w:rFonts w:ascii="Arial" w:hAnsi="Arial" w:cs="Arial"/>
          <w:sz w:val="20"/>
          <w:szCs w:val="20"/>
          <w:highlight w:val="white"/>
          <w:lang w:eastAsia="en-AU"/>
        </w:rPr>
      </w:pPr>
      <w:r w:rsidRPr="00454B84">
        <w:rPr>
          <w:rFonts w:ascii="Arial" w:hAnsi="Arial" w:cs="Arial"/>
          <w:sz w:val="20"/>
          <w:szCs w:val="20"/>
          <w:highlight w:val="white"/>
          <w:lang w:eastAsia="en-AU"/>
        </w:rPr>
        <w:t xml:space="preserve">Reducing the number of trips necessary for freight movement lessens the ESA effect that trucks have on road wear. </w:t>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1D446D">
      <w:pPr>
        <w:autoSpaceDE w:val="0"/>
        <w:autoSpaceDN w:val="0"/>
        <w:adjustRightInd w:val="0"/>
        <w:jc w:val="both"/>
        <w:rPr>
          <w:rFonts w:ascii="Arial" w:hAnsi="Arial" w:cs="Arial"/>
          <w:sz w:val="20"/>
          <w:szCs w:val="20"/>
          <w:highlight w:val="white"/>
          <w:lang w:eastAsia="en-AU"/>
        </w:rPr>
      </w:pPr>
      <w:r w:rsidRPr="00454B84">
        <w:rPr>
          <w:rFonts w:ascii="Arial" w:hAnsi="Arial" w:cs="Arial"/>
          <w:sz w:val="20"/>
          <w:szCs w:val="20"/>
          <w:highlight w:val="white"/>
          <w:lang w:eastAsia="en-AU"/>
        </w:rPr>
        <w:t xml:space="preserve">The NTC has identified economic gains from harmonising heavy vehicle access arrangements of up to $12 billion in present value terms over 20 years with the majority of the gains to be found in harmonising HPV access to more roads, and flow on productivity effects. </w:t>
      </w:r>
      <w:r w:rsidRPr="00454B84">
        <w:rPr>
          <w:rStyle w:val="FootnoteReference"/>
          <w:rFonts w:ascii="Arial" w:hAnsi="Arial" w:cs="Arial"/>
          <w:sz w:val="20"/>
          <w:szCs w:val="20"/>
          <w:highlight w:val="white"/>
          <w:lang w:eastAsia="en-AU"/>
        </w:rPr>
        <w:footnoteReference w:id="9"/>
      </w:r>
    </w:p>
    <w:p w:rsidR="001D446D" w:rsidRPr="00454B84" w:rsidRDefault="001D446D" w:rsidP="001D446D">
      <w:pPr>
        <w:autoSpaceDE w:val="0"/>
        <w:autoSpaceDN w:val="0"/>
        <w:adjustRightInd w:val="0"/>
        <w:jc w:val="both"/>
        <w:rPr>
          <w:rFonts w:ascii="Arial" w:hAnsi="Arial" w:cs="Arial"/>
          <w:sz w:val="20"/>
          <w:szCs w:val="20"/>
          <w:highlight w:val="white"/>
          <w:lang w:eastAsia="en-AU"/>
        </w:rPr>
      </w:pPr>
    </w:p>
    <w:p w:rsidR="001D446D" w:rsidRPr="00454B84" w:rsidRDefault="001D446D" w:rsidP="001D446D">
      <w:pPr>
        <w:rPr>
          <w:rFonts w:ascii="Arial" w:hAnsi="Arial" w:cs="Arial"/>
          <w:sz w:val="20"/>
          <w:szCs w:val="20"/>
        </w:rPr>
      </w:pPr>
      <w:r w:rsidRPr="00454B84">
        <w:rPr>
          <w:rFonts w:ascii="Arial" w:hAnsi="Arial" w:cs="Arial"/>
          <w:sz w:val="20"/>
          <w:szCs w:val="20"/>
        </w:rPr>
        <w:t xml:space="preserve">Currently, decisions on road access for heavy vehicles are not externally reviewable. Road managers, including local councils, are not held to account for verdicts and do not have to justify decisions. If road mangers are to be more accountable for their actions, third party review of road manager access decisions needs to occur. </w:t>
      </w:r>
    </w:p>
    <w:p w:rsidR="001D446D" w:rsidRPr="00454B84" w:rsidRDefault="001D446D" w:rsidP="001D446D">
      <w:pPr>
        <w:rPr>
          <w:rFonts w:ascii="Arial" w:hAnsi="Arial" w:cs="Arial"/>
          <w:sz w:val="20"/>
          <w:szCs w:val="20"/>
        </w:rPr>
      </w:pPr>
    </w:p>
    <w:p w:rsidR="001D446D" w:rsidRPr="00454B84" w:rsidRDefault="001D446D" w:rsidP="001D446D">
      <w:pPr>
        <w:rPr>
          <w:rFonts w:ascii="Arial" w:hAnsi="Arial" w:cs="Arial"/>
          <w:sz w:val="20"/>
          <w:szCs w:val="20"/>
        </w:rPr>
      </w:pPr>
      <w:r w:rsidRPr="00454B84">
        <w:rPr>
          <w:rFonts w:ascii="Arial" w:hAnsi="Arial" w:cs="Arial"/>
          <w:sz w:val="20"/>
          <w:szCs w:val="20"/>
        </w:rPr>
        <w:t>Over time, a series of tribunal decisions would establish precedents for road agencies to use to make consistent access decisions. Many law reform papers report better decision-making flows from external review</w:t>
      </w:r>
      <w:r w:rsidR="00B93C2C">
        <w:rPr>
          <w:rFonts w:ascii="Arial" w:hAnsi="Arial" w:cs="Arial"/>
          <w:sz w:val="20"/>
          <w:szCs w:val="20"/>
        </w:rPr>
        <w:t>s</w:t>
      </w:r>
      <w:r w:rsidRPr="00454B84">
        <w:rPr>
          <w:rFonts w:ascii="Arial" w:hAnsi="Arial" w:cs="Arial"/>
          <w:sz w:val="20"/>
          <w:szCs w:val="20"/>
        </w:rPr>
        <w:t xml:space="preserve"> being available. In the broader regulatory environment, it is now uncommon for government agency decisions not to be subject to external review. </w:t>
      </w:r>
    </w:p>
    <w:p w:rsidR="001D446D" w:rsidRPr="00454B84" w:rsidRDefault="001D446D" w:rsidP="001D446D">
      <w:pPr>
        <w:rPr>
          <w:rFonts w:ascii="Arial" w:hAnsi="Arial" w:cs="Arial"/>
          <w:sz w:val="20"/>
          <w:szCs w:val="20"/>
        </w:rPr>
      </w:pPr>
    </w:p>
    <w:p w:rsidR="001D446D" w:rsidRPr="00454B84" w:rsidRDefault="001D446D" w:rsidP="001D446D">
      <w:pPr>
        <w:rPr>
          <w:rFonts w:ascii="Arial" w:hAnsi="Arial" w:cs="Arial"/>
          <w:sz w:val="20"/>
          <w:szCs w:val="20"/>
        </w:rPr>
      </w:pPr>
      <w:r w:rsidRPr="00454B84">
        <w:rPr>
          <w:rFonts w:ascii="Arial" w:hAnsi="Arial" w:cs="Arial"/>
          <w:sz w:val="20"/>
          <w:szCs w:val="20"/>
        </w:rPr>
        <w:t xml:space="preserve">Wrong decisions impose costs not just on the companies seeking administrative review, but also on the government. Therefore, using a process of external review may add more systematic approach to decisions and move agencies toward best practice decision making. Further, external reviews allow political oversight to focus on high level access and charging policy issues rather than being dealing with lobbying on specific access decisions. </w:t>
      </w:r>
    </w:p>
    <w:p w:rsidR="001D446D" w:rsidRPr="00454B84" w:rsidRDefault="001D446D" w:rsidP="001D446D">
      <w:pPr>
        <w:rPr>
          <w:rFonts w:ascii="Arial" w:hAnsi="Arial" w:cs="Arial"/>
          <w:sz w:val="20"/>
          <w:szCs w:val="20"/>
        </w:rPr>
      </w:pPr>
      <w:bookmarkStart w:id="27" w:name="_Toc361217254"/>
      <w:bookmarkStart w:id="28" w:name="_Toc361217622"/>
      <w:bookmarkStart w:id="29" w:name="_Toc361218149"/>
      <w:bookmarkStart w:id="30" w:name="_Toc361219503"/>
      <w:bookmarkStart w:id="31" w:name="_Toc361232782"/>
      <w:bookmarkStart w:id="32" w:name="_Toc361302807"/>
      <w:bookmarkStart w:id="33" w:name="_Toc361321168"/>
      <w:bookmarkStart w:id="34" w:name="_Toc361732952"/>
      <w:bookmarkStart w:id="35" w:name="_Toc361736659"/>
      <w:bookmarkStart w:id="36" w:name="_Toc361821306"/>
      <w:bookmarkStart w:id="37" w:name="_Toc361822836"/>
      <w:bookmarkEnd w:id="27"/>
      <w:bookmarkEnd w:id="28"/>
      <w:bookmarkEnd w:id="29"/>
      <w:bookmarkEnd w:id="30"/>
      <w:bookmarkEnd w:id="31"/>
      <w:bookmarkEnd w:id="32"/>
      <w:bookmarkEnd w:id="33"/>
      <w:bookmarkEnd w:id="34"/>
      <w:bookmarkEnd w:id="35"/>
      <w:bookmarkEnd w:id="36"/>
      <w:bookmarkEnd w:id="37"/>
    </w:p>
    <w:p w:rsidR="001D446D" w:rsidRPr="00454B84" w:rsidRDefault="001D446D" w:rsidP="001D446D">
      <w:pPr>
        <w:rPr>
          <w:rFonts w:ascii="Arial" w:hAnsi="Arial" w:cs="Arial"/>
          <w:sz w:val="20"/>
          <w:szCs w:val="20"/>
        </w:rPr>
      </w:pPr>
      <w:r w:rsidRPr="00454B84">
        <w:rPr>
          <w:rFonts w:ascii="Arial" w:hAnsi="Arial" w:cs="Arial"/>
          <w:sz w:val="20"/>
          <w:szCs w:val="20"/>
        </w:rPr>
        <w:t xml:space="preserve">It is also important that rejected decisions be recorded and presented transparently to industry and the governments in order for further appropriate action to be taken on road manager responses. </w:t>
      </w:r>
    </w:p>
    <w:p w:rsidR="001D446D" w:rsidRPr="00454B84" w:rsidRDefault="001D446D" w:rsidP="001D446D">
      <w:pPr>
        <w:rPr>
          <w:rFonts w:ascii="Arial" w:hAnsi="Arial" w:cs="Arial"/>
          <w:sz w:val="20"/>
          <w:szCs w:val="20"/>
        </w:rPr>
      </w:pPr>
    </w:p>
    <w:p w:rsidR="001D446D" w:rsidRPr="00454B84" w:rsidRDefault="001D446D" w:rsidP="001D446D">
      <w:pPr>
        <w:rPr>
          <w:rFonts w:ascii="Arial" w:hAnsi="Arial" w:cs="Arial"/>
          <w:sz w:val="20"/>
          <w:szCs w:val="20"/>
        </w:rPr>
      </w:pPr>
      <w:r w:rsidRPr="00454B84">
        <w:rPr>
          <w:rFonts w:ascii="Arial" w:hAnsi="Arial" w:cs="Arial"/>
          <w:sz w:val="20"/>
          <w:szCs w:val="20"/>
        </w:rPr>
        <w:t xml:space="preserve">Industry needs consistent outcomes that show rigour, with the same outcomes in same circumstances and value for investment in roads from sensible access decisions.  </w:t>
      </w:r>
    </w:p>
    <w:p w:rsidR="001D446D" w:rsidRPr="00454B84" w:rsidRDefault="001D446D" w:rsidP="001D446D">
      <w:pPr>
        <w:rPr>
          <w:rFonts w:ascii="Arial" w:hAnsi="Arial" w:cs="Arial"/>
          <w:sz w:val="20"/>
          <w:szCs w:val="20"/>
        </w:rPr>
      </w:pPr>
    </w:p>
    <w:p w:rsidR="001D446D" w:rsidRPr="00454B84" w:rsidRDefault="001D446D" w:rsidP="001D446D">
      <w:pPr>
        <w:rPr>
          <w:rFonts w:ascii="Arial" w:hAnsi="Arial" w:cs="Arial"/>
          <w:sz w:val="20"/>
          <w:szCs w:val="20"/>
        </w:rPr>
      </w:pPr>
      <w:r w:rsidRPr="00454B84">
        <w:rPr>
          <w:rFonts w:ascii="Arial" w:hAnsi="Arial" w:cs="Arial"/>
          <w:sz w:val="20"/>
          <w:szCs w:val="20"/>
        </w:rPr>
        <w:t xml:space="preserve">There are also calls for improved road authority knowledge on high productivity vehicles (HPV). Restricting access for HPV or Higher Mass Limit (HML) vehicles has a negative effect on the productivity of industry, the local community and the economy. Allowing these vehicles to access suitable routes means freight movements could be undertaken more safely with less total road wear and at a cheaper cost for the operator and subsequently for businesses. </w:t>
      </w:r>
    </w:p>
    <w:p w:rsidR="001D446D" w:rsidRPr="00454B84" w:rsidRDefault="001D446D" w:rsidP="001D446D">
      <w:pPr>
        <w:rPr>
          <w:rFonts w:ascii="Arial" w:hAnsi="Arial" w:cs="Arial"/>
          <w:sz w:val="20"/>
          <w:szCs w:val="20"/>
        </w:rPr>
      </w:pPr>
    </w:p>
    <w:p w:rsidR="001D446D" w:rsidRPr="00454B84" w:rsidRDefault="001D446D" w:rsidP="001D446D">
      <w:pPr>
        <w:rPr>
          <w:rFonts w:ascii="Arial" w:hAnsi="Arial" w:cs="Arial"/>
          <w:sz w:val="20"/>
          <w:szCs w:val="20"/>
        </w:rPr>
      </w:pPr>
      <w:r w:rsidRPr="00454B84">
        <w:rPr>
          <w:rFonts w:ascii="Arial" w:hAnsi="Arial" w:cs="Arial"/>
          <w:sz w:val="20"/>
          <w:szCs w:val="20"/>
        </w:rPr>
        <w:t xml:space="preserve">While higher mass limits on road friendly suspension (RFS) for articulated vehicles and some rigid trucks was endorsed by the Australian Transport Council in 2000, many road agencies have still not agreed to commit to this productivity understanding that reduces the number of trips needed to move freight and allows additional mass for the same amount of road impact. Much of the rejection of RFS is due to misconceptions about the impact of HPVs. </w:t>
      </w:r>
    </w:p>
    <w:p w:rsidR="001D446D" w:rsidRPr="00454B84" w:rsidRDefault="001D446D" w:rsidP="001D446D">
      <w:pPr>
        <w:rPr>
          <w:rFonts w:ascii="Arial" w:hAnsi="Arial" w:cs="Arial"/>
          <w:sz w:val="20"/>
          <w:szCs w:val="20"/>
        </w:rPr>
      </w:pPr>
    </w:p>
    <w:p w:rsidR="001D446D" w:rsidRPr="00454B84" w:rsidRDefault="001D446D" w:rsidP="001D446D">
      <w:pPr>
        <w:rPr>
          <w:rFonts w:ascii="Arial" w:hAnsi="Arial" w:cs="Arial"/>
          <w:sz w:val="20"/>
          <w:szCs w:val="20"/>
        </w:rPr>
      </w:pPr>
      <w:r w:rsidRPr="00454B84">
        <w:rPr>
          <w:rFonts w:ascii="Arial" w:hAnsi="Arial" w:cs="Arial"/>
          <w:sz w:val="20"/>
          <w:szCs w:val="20"/>
        </w:rPr>
        <w:t xml:space="preserve">There should be a drive to educate those agencies and councils making access decisions on the real impacts and benefits of HML/HPV vehicles. </w:t>
      </w:r>
    </w:p>
    <w:p w:rsidR="001D446D" w:rsidRPr="00454B84" w:rsidRDefault="001D446D" w:rsidP="001D446D">
      <w:pPr>
        <w:rPr>
          <w:rFonts w:ascii="Arial" w:hAnsi="Arial" w:cs="Arial"/>
          <w:sz w:val="20"/>
          <w:szCs w:val="20"/>
        </w:rPr>
      </w:pPr>
    </w:p>
    <w:p w:rsidR="001D446D" w:rsidRPr="00454B84" w:rsidRDefault="001D446D" w:rsidP="001D446D">
      <w:pPr>
        <w:rPr>
          <w:rFonts w:ascii="Arial" w:hAnsi="Arial" w:cs="Arial"/>
          <w:sz w:val="20"/>
          <w:szCs w:val="20"/>
        </w:rPr>
      </w:pPr>
      <w:r w:rsidRPr="00454B84">
        <w:rPr>
          <w:rFonts w:ascii="Arial" w:hAnsi="Arial" w:cs="Arial"/>
          <w:sz w:val="20"/>
          <w:szCs w:val="20"/>
        </w:rPr>
        <w:t xml:space="preserve">Such vehicles will enable Australia to meet the doubling of the freight task in 2030 and the tripling by 2050. </w:t>
      </w:r>
    </w:p>
    <w:p w:rsidR="001D446D" w:rsidRPr="00454B84" w:rsidRDefault="001D446D" w:rsidP="001D446D">
      <w:pPr>
        <w:rPr>
          <w:rFonts w:ascii="Arial" w:hAnsi="Arial" w:cs="Arial"/>
          <w:bCs/>
          <w:sz w:val="20"/>
          <w:szCs w:val="20"/>
        </w:rPr>
      </w:pPr>
      <w:r w:rsidRPr="00454B84">
        <w:rPr>
          <w:rFonts w:ascii="Arial" w:hAnsi="Arial" w:cs="Arial"/>
          <w:bCs/>
          <w:sz w:val="20"/>
          <w:szCs w:val="20"/>
        </w:rPr>
        <w:t xml:space="preserve">The ATA has made efforts to inform local government and other road stakeholders of the benefits of High Productivity Vehicles, such as providing a Factsheet on HPVs. </w:t>
      </w:r>
    </w:p>
    <w:p w:rsidR="001D446D" w:rsidRPr="00454B84" w:rsidRDefault="001D446D" w:rsidP="001D446D">
      <w:pPr>
        <w:rPr>
          <w:rFonts w:ascii="Arial" w:hAnsi="Arial" w:cs="Arial"/>
          <w:sz w:val="20"/>
          <w:szCs w:val="20"/>
        </w:rPr>
      </w:pPr>
      <w:bookmarkStart w:id="38" w:name="_Toc361217260"/>
      <w:bookmarkStart w:id="39" w:name="_Toc361217628"/>
      <w:bookmarkStart w:id="40" w:name="_Toc361218155"/>
      <w:bookmarkStart w:id="41" w:name="_Toc361219509"/>
      <w:bookmarkStart w:id="42" w:name="_Toc361232788"/>
      <w:bookmarkStart w:id="43" w:name="_Toc361302813"/>
      <w:bookmarkStart w:id="44" w:name="_Toc361321172"/>
      <w:bookmarkStart w:id="45" w:name="_Toc361732956"/>
      <w:bookmarkStart w:id="46" w:name="_Toc361736663"/>
      <w:bookmarkStart w:id="47" w:name="_Toc361821310"/>
      <w:bookmarkStart w:id="48" w:name="_Toc361822840"/>
      <w:bookmarkEnd w:id="38"/>
      <w:bookmarkEnd w:id="39"/>
      <w:bookmarkEnd w:id="40"/>
      <w:bookmarkEnd w:id="41"/>
      <w:bookmarkEnd w:id="42"/>
      <w:bookmarkEnd w:id="43"/>
      <w:bookmarkEnd w:id="44"/>
      <w:bookmarkEnd w:id="45"/>
      <w:bookmarkEnd w:id="46"/>
      <w:bookmarkEnd w:id="47"/>
      <w:bookmarkEnd w:id="48"/>
    </w:p>
    <w:p w:rsidR="001D446D" w:rsidRPr="00454B84" w:rsidRDefault="001D446D" w:rsidP="00C20CBE">
      <w:pPr>
        <w:pStyle w:val="Heading1"/>
        <w:numPr>
          <w:ilvl w:val="1"/>
          <w:numId w:val="26"/>
        </w:numPr>
        <w:rPr>
          <w:sz w:val="24"/>
          <w:szCs w:val="20"/>
        </w:rPr>
      </w:pPr>
      <w:bookmarkStart w:id="49" w:name="_Toc374626263"/>
      <w:r w:rsidRPr="00454B84">
        <w:rPr>
          <w:sz w:val="24"/>
          <w:szCs w:val="20"/>
        </w:rPr>
        <w:t>Heavy vehicle infrastructure maintenance</w:t>
      </w:r>
      <w:bookmarkEnd w:id="49"/>
      <w:r w:rsidRPr="00454B84">
        <w:rPr>
          <w:sz w:val="24"/>
          <w:szCs w:val="20"/>
        </w:rPr>
        <w:t xml:space="preserve"> </w:t>
      </w:r>
    </w:p>
    <w:p w:rsidR="001D446D" w:rsidRPr="00454B84" w:rsidRDefault="001D446D" w:rsidP="001D446D">
      <w:pPr>
        <w:rPr>
          <w:rFonts w:ascii="Arial" w:hAnsi="Arial" w:cs="Arial"/>
        </w:rPr>
      </w:pPr>
    </w:p>
    <w:p w:rsidR="001D446D" w:rsidRPr="00454B84" w:rsidRDefault="001D446D" w:rsidP="001D446D">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For the heavy vehicle industry, indicating where maintenance needs to be carried out is not a straightforward process and there is currently no formal communication relationship for the industry to do this.  As indicated above, the industry has concerns about project governance and road authorities’ ability to assess and provide adequate repairs to the road network.  The problem of funding for maintenance has become more acute over recent years as less and less money is being spent and provided to road managers to be used for maintenance. </w:t>
      </w:r>
    </w:p>
    <w:p w:rsidR="001D446D" w:rsidRDefault="001D446D" w:rsidP="001D446D">
      <w:pPr>
        <w:spacing w:line="276" w:lineRule="auto"/>
        <w:rPr>
          <w:rFonts w:ascii="Arial" w:eastAsiaTheme="minorHAnsi" w:hAnsi="Arial" w:cs="Arial"/>
          <w:sz w:val="20"/>
          <w:szCs w:val="20"/>
        </w:rPr>
      </w:pPr>
    </w:p>
    <w:p w:rsidR="003F4E83" w:rsidRPr="00454B84" w:rsidRDefault="003F4E83" w:rsidP="001D446D">
      <w:pPr>
        <w:spacing w:line="276" w:lineRule="auto"/>
        <w:rPr>
          <w:rFonts w:ascii="Arial" w:eastAsiaTheme="minorHAnsi" w:hAnsi="Arial" w:cs="Arial"/>
          <w:sz w:val="20"/>
          <w:szCs w:val="20"/>
        </w:rPr>
      </w:pPr>
    </w:p>
    <w:p w:rsidR="001D446D" w:rsidRPr="00454B84" w:rsidRDefault="001D446D" w:rsidP="001D446D">
      <w:pPr>
        <w:spacing w:line="276" w:lineRule="auto"/>
        <w:rPr>
          <w:rFonts w:ascii="Arial" w:eastAsiaTheme="minorHAnsi" w:hAnsi="Arial" w:cs="Arial"/>
          <w:sz w:val="20"/>
          <w:szCs w:val="20"/>
        </w:rPr>
      </w:pPr>
      <w:r w:rsidRPr="00454B84">
        <w:rPr>
          <w:rFonts w:ascii="Arial" w:eastAsiaTheme="minorHAnsi" w:hAnsi="Arial" w:cs="Arial"/>
          <w:sz w:val="20"/>
          <w:szCs w:val="20"/>
        </w:rPr>
        <w:lastRenderedPageBreak/>
        <w:t xml:space="preserve">As stated in the PPP section, currently road managers tend to build roads to a low capital cost which leads to a higher marginal maintenance cost over the lifetime of the asset. Having road managers build roads to a higher capital quality with lower marginal costs is the only way that maintenance costs over time will reduce.  When viewing the RCMPI work it is clear that input costs of maintenance are outpacing the input costs of capital.  Therefore, when viewing reasons why optimal infrastructure is not being provided it is worth making the distinction between capital and maintenance costs.  </w:t>
      </w:r>
    </w:p>
    <w:p w:rsidR="001D446D" w:rsidRPr="00454B84" w:rsidRDefault="001D446D">
      <w:pPr>
        <w:rPr>
          <w:rFonts w:ascii="Arial" w:hAnsi="Arial" w:cs="Arial"/>
          <w:color w:val="FF0000"/>
          <w:sz w:val="20"/>
          <w:szCs w:val="20"/>
        </w:rPr>
      </w:pPr>
      <w:bookmarkStart w:id="50" w:name="_Toc352228512"/>
      <w:bookmarkStart w:id="51" w:name="_Toc352231756"/>
      <w:bookmarkStart w:id="52" w:name="_Toc352740598"/>
      <w:bookmarkStart w:id="53" w:name="_Toc353434654"/>
      <w:bookmarkStart w:id="54" w:name="_Toc353435638"/>
      <w:bookmarkStart w:id="55" w:name="_Toc374518420"/>
      <w:bookmarkStart w:id="56" w:name="_Toc374531223"/>
      <w:bookmarkStart w:id="57" w:name="_Toc374531340"/>
      <w:bookmarkStart w:id="58" w:name="_Toc374542205"/>
      <w:bookmarkStart w:id="59" w:name="_Toc374542207"/>
      <w:bookmarkEnd w:id="50"/>
      <w:bookmarkEnd w:id="51"/>
      <w:bookmarkEnd w:id="52"/>
      <w:bookmarkEnd w:id="53"/>
      <w:bookmarkEnd w:id="54"/>
      <w:bookmarkEnd w:id="55"/>
      <w:bookmarkEnd w:id="56"/>
      <w:bookmarkEnd w:id="57"/>
      <w:bookmarkEnd w:id="58"/>
      <w:bookmarkEnd w:id="59"/>
    </w:p>
    <w:p w:rsidR="00694527" w:rsidRPr="00454B84" w:rsidRDefault="00694527">
      <w:pPr>
        <w:rPr>
          <w:rFonts w:ascii="Arial" w:hAnsi="Arial" w:cs="Arial"/>
          <w:color w:val="FF0000"/>
          <w:sz w:val="20"/>
          <w:szCs w:val="20"/>
        </w:rPr>
      </w:pPr>
    </w:p>
    <w:p w:rsidR="00166E38" w:rsidRPr="00454B84" w:rsidRDefault="00166E38" w:rsidP="00F54D90">
      <w:pPr>
        <w:pStyle w:val="Heading1"/>
        <w:rPr>
          <w:szCs w:val="20"/>
        </w:rPr>
      </w:pPr>
      <w:bookmarkStart w:id="60" w:name="_Toc374626264"/>
      <w:r w:rsidRPr="00454B84">
        <w:rPr>
          <w:szCs w:val="20"/>
        </w:rPr>
        <w:t>Inputs into road infrastructure projects</w:t>
      </w:r>
      <w:bookmarkEnd w:id="60"/>
    </w:p>
    <w:p w:rsidR="006872DA" w:rsidRPr="00454B84" w:rsidRDefault="006872DA" w:rsidP="006872DA">
      <w:pPr>
        <w:rPr>
          <w:rFonts w:ascii="Arial" w:hAnsi="Arial" w:cs="Arial"/>
        </w:rPr>
      </w:pP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The Productivity Commission report notes that the cost structure of major projects in Australia is considerably higher than other countries. The Bureau of Transport and </w:t>
      </w:r>
      <w:r w:rsidR="00F06986" w:rsidRPr="00454B84">
        <w:rPr>
          <w:rFonts w:ascii="Arial" w:eastAsiaTheme="minorHAnsi" w:hAnsi="Arial" w:cs="Arial"/>
          <w:sz w:val="20"/>
          <w:szCs w:val="20"/>
        </w:rPr>
        <w:t xml:space="preserve">Regional </w:t>
      </w:r>
      <w:r w:rsidRPr="00454B84">
        <w:rPr>
          <w:rFonts w:ascii="Arial" w:eastAsiaTheme="minorHAnsi" w:hAnsi="Arial" w:cs="Arial"/>
          <w:sz w:val="20"/>
          <w:szCs w:val="20"/>
        </w:rPr>
        <w:t>Economics</w:t>
      </w:r>
      <w:r w:rsidR="00D03079" w:rsidRPr="00454B84">
        <w:rPr>
          <w:rFonts w:ascii="Arial" w:eastAsiaTheme="minorHAnsi" w:hAnsi="Arial" w:cs="Arial"/>
          <w:sz w:val="20"/>
          <w:szCs w:val="20"/>
        </w:rPr>
        <w:t xml:space="preserve"> (BITRE)</w:t>
      </w:r>
      <w:r w:rsidRPr="00454B84">
        <w:rPr>
          <w:rFonts w:ascii="Arial" w:eastAsiaTheme="minorHAnsi" w:hAnsi="Arial" w:cs="Arial"/>
          <w:sz w:val="20"/>
          <w:szCs w:val="20"/>
        </w:rPr>
        <w:t xml:space="preserve"> </w:t>
      </w:r>
      <w:r w:rsidR="00F06986" w:rsidRPr="00454B84">
        <w:rPr>
          <w:rFonts w:ascii="Arial" w:eastAsiaTheme="minorHAnsi" w:hAnsi="Arial" w:cs="Arial"/>
          <w:sz w:val="20"/>
          <w:szCs w:val="20"/>
        </w:rPr>
        <w:t>Road Construction and Maintenance Price I</w:t>
      </w:r>
      <w:r w:rsidRPr="00454B84">
        <w:rPr>
          <w:rFonts w:ascii="Arial" w:eastAsiaTheme="minorHAnsi" w:hAnsi="Arial" w:cs="Arial"/>
          <w:sz w:val="20"/>
          <w:szCs w:val="20"/>
        </w:rPr>
        <w:t xml:space="preserve">ndex (RCMPI) is designed to allow the Australian road industry to monitor price movements of inputs to road construction and maintenance. </w:t>
      </w:r>
    </w:p>
    <w:p w:rsidR="006872DA" w:rsidRPr="00454B84" w:rsidRDefault="006872DA" w:rsidP="00F54D90">
      <w:pPr>
        <w:spacing w:line="276" w:lineRule="auto"/>
        <w:rPr>
          <w:rFonts w:ascii="Arial" w:eastAsiaTheme="minorHAnsi" w:hAnsi="Arial" w:cs="Arial"/>
          <w:sz w:val="20"/>
          <w:szCs w:val="20"/>
        </w:rPr>
      </w:pP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It is used as </w:t>
      </w:r>
      <w:r w:rsidR="00464347" w:rsidRPr="00454B84">
        <w:rPr>
          <w:rFonts w:ascii="Arial" w:eastAsiaTheme="minorHAnsi" w:hAnsi="Arial" w:cs="Arial"/>
          <w:sz w:val="20"/>
          <w:szCs w:val="20"/>
        </w:rPr>
        <w:t>an</w:t>
      </w:r>
      <w:r w:rsidRPr="00454B84">
        <w:rPr>
          <w:rFonts w:ascii="Arial" w:eastAsiaTheme="minorHAnsi" w:hAnsi="Arial" w:cs="Arial"/>
          <w:sz w:val="20"/>
          <w:szCs w:val="20"/>
        </w:rPr>
        <w:t xml:space="preserve"> </w:t>
      </w:r>
      <w:r w:rsidR="00464347" w:rsidRPr="00454B84">
        <w:rPr>
          <w:rFonts w:ascii="Arial" w:eastAsiaTheme="minorHAnsi" w:hAnsi="Arial" w:cs="Arial"/>
          <w:sz w:val="20"/>
          <w:szCs w:val="20"/>
        </w:rPr>
        <w:t xml:space="preserve">adjuster </w:t>
      </w:r>
      <w:r w:rsidRPr="00454B84">
        <w:rPr>
          <w:rFonts w:ascii="Arial" w:eastAsiaTheme="minorHAnsi" w:hAnsi="Arial" w:cs="Arial"/>
          <w:sz w:val="20"/>
          <w:szCs w:val="20"/>
        </w:rPr>
        <w:t>to convert nominal (current prices) road expenditure into real (constant price) values. It is intended to reflect trends in prices of major input components of road construction and maintenance. It is then applied to heavy vehicles</w:t>
      </w:r>
      <w:r w:rsidR="00D03079" w:rsidRPr="00454B84">
        <w:rPr>
          <w:rFonts w:ascii="Arial" w:eastAsiaTheme="minorHAnsi" w:hAnsi="Arial" w:cs="Arial"/>
          <w:sz w:val="20"/>
          <w:szCs w:val="20"/>
        </w:rPr>
        <w:t xml:space="preserve"> charges</w:t>
      </w:r>
      <w:r w:rsidRPr="00454B84">
        <w:rPr>
          <w:rFonts w:ascii="Arial" w:eastAsiaTheme="minorHAnsi" w:hAnsi="Arial" w:cs="Arial"/>
          <w:sz w:val="20"/>
          <w:szCs w:val="20"/>
        </w:rPr>
        <w:t xml:space="preserve"> through the annual adjustment. </w:t>
      </w:r>
    </w:p>
    <w:p w:rsidR="006872DA" w:rsidRPr="00454B84" w:rsidRDefault="006872DA" w:rsidP="00F54D90">
      <w:pPr>
        <w:spacing w:line="276" w:lineRule="auto"/>
        <w:rPr>
          <w:rFonts w:ascii="Arial" w:eastAsiaTheme="minorHAnsi" w:hAnsi="Arial" w:cs="Arial"/>
          <w:sz w:val="20"/>
          <w:szCs w:val="20"/>
        </w:rPr>
      </w:pPr>
    </w:p>
    <w:p w:rsidR="00694527" w:rsidRPr="00454B84" w:rsidRDefault="00166E38" w:rsidP="00646000">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The RCMPI consists of 8 major inputs including, site based labour, office based labour, bituminous material, cement and concrete, quarry products, other materials, plant hire/depreciation and fuel. Since the base year (1993) you can see that around 2003 the RCMPI has outpaced the CPI. </w:t>
      </w:r>
      <w:r w:rsidR="006872DA" w:rsidRPr="00454B84">
        <w:rPr>
          <w:rFonts w:ascii="Arial" w:eastAsiaTheme="minorHAnsi" w:hAnsi="Arial" w:cs="Arial"/>
          <w:sz w:val="20"/>
          <w:szCs w:val="20"/>
        </w:rPr>
        <w:tab/>
      </w:r>
    </w:p>
    <w:p w:rsidR="00694527" w:rsidRPr="00454B84" w:rsidRDefault="00694527" w:rsidP="00646000">
      <w:pPr>
        <w:spacing w:line="276" w:lineRule="auto"/>
        <w:rPr>
          <w:rFonts w:ascii="Arial" w:eastAsiaTheme="minorHAnsi" w:hAnsi="Arial" w:cs="Arial"/>
          <w:b/>
          <w:color w:val="000000"/>
          <w:sz w:val="20"/>
          <w:szCs w:val="20"/>
          <w:shd w:val="clear" w:color="auto" w:fill="FFFFFF"/>
        </w:rPr>
      </w:pPr>
    </w:p>
    <w:p w:rsidR="00641B15" w:rsidRPr="00454B84" w:rsidRDefault="00B93C2C" w:rsidP="00641B15">
      <w:pPr>
        <w:spacing w:line="276" w:lineRule="auto"/>
        <w:jc w:val="center"/>
        <w:rPr>
          <w:rFonts w:ascii="Arial" w:eastAsiaTheme="minorHAnsi" w:hAnsi="Arial" w:cs="Arial"/>
          <w:b/>
          <w:color w:val="000000"/>
          <w:sz w:val="20"/>
          <w:szCs w:val="20"/>
          <w:shd w:val="clear" w:color="auto" w:fill="FFFFFF"/>
        </w:rPr>
      </w:pPr>
      <w:r>
        <w:rPr>
          <w:rFonts w:ascii="Arial" w:eastAsiaTheme="minorHAnsi" w:hAnsi="Arial" w:cs="Arial"/>
          <w:b/>
          <w:color w:val="000000"/>
          <w:sz w:val="20"/>
          <w:szCs w:val="20"/>
          <w:shd w:val="clear" w:color="auto" w:fill="FFFFFF"/>
        </w:rPr>
        <w:t>Figure 3</w:t>
      </w:r>
      <w:r w:rsidR="00641B15" w:rsidRPr="00454B84">
        <w:rPr>
          <w:rFonts w:ascii="Arial" w:eastAsiaTheme="minorHAnsi" w:hAnsi="Arial" w:cs="Arial"/>
          <w:b/>
          <w:color w:val="000000"/>
          <w:sz w:val="20"/>
          <w:szCs w:val="20"/>
          <w:shd w:val="clear" w:color="auto" w:fill="FFFFFF"/>
        </w:rPr>
        <w:t>: BITRE RCMPI, and two ABS price indexes</w:t>
      </w:r>
    </w:p>
    <w:p w:rsidR="00641B15" w:rsidRPr="00454B84" w:rsidRDefault="00641B15" w:rsidP="00641B15">
      <w:pPr>
        <w:spacing w:line="276" w:lineRule="auto"/>
        <w:jc w:val="both"/>
        <w:rPr>
          <w:rFonts w:ascii="Arial" w:eastAsiaTheme="minorHAnsi" w:hAnsi="Arial" w:cs="Arial"/>
          <w:color w:val="000000"/>
          <w:sz w:val="18"/>
          <w:szCs w:val="20"/>
          <w:shd w:val="clear" w:color="auto" w:fill="FFFFFF"/>
        </w:rPr>
      </w:pPr>
      <w:r w:rsidRPr="00454B84">
        <w:rPr>
          <w:rFonts w:ascii="Arial" w:eastAsiaTheme="minorHAnsi" w:hAnsi="Arial" w:cs="Arial"/>
          <w:noProof/>
          <w:color w:val="000000"/>
          <w:sz w:val="18"/>
          <w:szCs w:val="20"/>
          <w:shd w:val="clear" w:color="auto" w:fill="FFFFFF"/>
          <w:lang w:eastAsia="en-AU"/>
        </w:rPr>
        <w:drawing>
          <wp:inline distT="0" distB="0" distL="0" distR="0">
            <wp:extent cx="5348080" cy="3512366"/>
            <wp:effectExtent l="19050" t="0" r="497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354804" cy="3516782"/>
                    </a:xfrm>
                    <a:prstGeom prst="rect">
                      <a:avLst/>
                    </a:prstGeom>
                    <a:noFill/>
                    <a:ln w="9525">
                      <a:noFill/>
                      <a:miter lim="800000"/>
                      <a:headEnd/>
                      <a:tailEnd/>
                    </a:ln>
                  </pic:spPr>
                </pic:pic>
              </a:graphicData>
            </a:graphic>
          </wp:inline>
        </w:drawing>
      </w:r>
    </w:p>
    <w:p w:rsidR="00641B15" w:rsidRPr="00454B84" w:rsidRDefault="00641B15" w:rsidP="00614F8B">
      <w:pPr>
        <w:spacing w:line="276" w:lineRule="auto"/>
        <w:jc w:val="center"/>
        <w:rPr>
          <w:rFonts w:ascii="Arial" w:eastAsiaTheme="minorHAnsi" w:hAnsi="Arial" w:cs="Arial"/>
          <w:color w:val="000000"/>
          <w:sz w:val="16"/>
          <w:szCs w:val="20"/>
          <w:shd w:val="clear" w:color="auto" w:fill="FFFFFF"/>
        </w:rPr>
      </w:pPr>
      <w:r w:rsidRPr="00454B84">
        <w:rPr>
          <w:rFonts w:ascii="Arial" w:eastAsiaTheme="minorHAnsi" w:hAnsi="Arial" w:cs="Arial"/>
          <w:color w:val="000000"/>
          <w:sz w:val="16"/>
          <w:szCs w:val="20"/>
          <w:shd w:val="clear" w:color="auto" w:fill="FFFFFF"/>
        </w:rPr>
        <w:t>Source: Page 1 BITRE Road Construction and maintenance price index 2012 update</w:t>
      </w:r>
    </w:p>
    <w:p w:rsidR="00641B15" w:rsidRPr="00454B84" w:rsidRDefault="00641B15" w:rsidP="00F54D90">
      <w:pPr>
        <w:spacing w:line="276" w:lineRule="auto"/>
        <w:rPr>
          <w:rFonts w:ascii="Arial" w:eastAsiaTheme="minorHAnsi" w:hAnsi="Arial" w:cs="Arial"/>
          <w:color w:val="000000"/>
          <w:sz w:val="20"/>
          <w:szCs w:val="20"/>
          <w:shd w:val="clear" w:color="auto" w:fill="FFFFFF"/>
        </w:rPr>
      </w:pPr>
    </w:p>
    <w:p w:rsidR="00166E38" w:rsidRPr="00454B84" w:rsidRDefault="00166E38" w:rsidP="00F54D90">
      <w:pPr>
        <w:spacing w:line="276" w:lineRule="auto"/>
        <w:rPr>
          <w:rFonts w:ascii="Arial" w:eastAsiaTheme="minorHAnsi" w:hAnsi="Arial" w:cs="Arial"/>
          <w:color w:val="000000"/>
          <w:sz w:val="20"/>
          <w:szCs w:val="20"/>
          <w:shd w:val="clear" w:color="auto" w:fill="FFFFFF"/>
        </w:rPr>
      </w:pPr>
      <w:r w:rsidRPr="00454B84">
        <w:rPr>
          <w:rFonts w:ascii="Arial" w:eastAsiaTheme="minorHAnsi" w:hAnsi="Arial" w:cs="Arial"/>
          <w:color w:val="000000"/>
          <w:sz w:val="20"/>
          <w:szCs w:val="20"/>
          <w:shd w:val="clear" w:color="auto" w:fill="FFFFFF"/>
        </w:rPr>
        <w:t>The 201</w:t>
      </w:r>
      <w:r w:rsidR="00D03079" w:rsidRPr="00454B84">
        <w:rPr>
          <w:rFonts w:ascii="Arial" w:eastAsiaTheme="minorHAnsi" w:hAnsi="Arial" w:cs="Arial"/>
          <w:color w:val="000000"/>
          <w:sz w:val="20"/>
          <w:szCs w:val="20"/>
          <w:shd w:val="clear" w:color="auto" w:fill="FFFFFF"/>
        </w:rPr>
        <w:t>3 RCMPI was re</w:t>
      </w:r>
      <w:r w:rsidR="006872DA" w:rsidRPr="00454B84">
        <w:rPr>
          <w:rFonts w:ascii="Arial" w:eastAsiaTheme="minorHAnsi" w:hAnsi="Arial" w:cs="Arial"/>
          <w:color w:val="000000"/>
          <w:sz w:val="20"/>
          <w:szCs w:val="20"/>
          <w:shd w:val="clear" w:color="auto" w:fill="FFFFFF"/>
        </w:rPr>
        <w:t xml:space="preserve">-calibrated with a </w:t>
      </w:r>
      <w:r w:rsidRPr="00454B84">
        <w:rPr>
          <w:rFonts w:ascii="Arial" w:eastAsiaTheme="minorHAnsi" w:hAnsi="Arial" w:cs="Arial"/>
          <w:color w:val="000000"/>
          <w:sz w:val="20"/>
          <w:szCs w:val="20"/>
          <w:shd w:val="clear" w:color="auto" w:fill="FFFFFF"/>
        </w:rPr>
        <w:t xml:space="preserve">revised base index (2011-12) and provided two new sub-indexes by major activity; construction and maintenance and three new sub-indexes by road type; arterial, sealed local and unsealed. </w:t>
      </w:r>
    </w:p>
    <w:p w:rsidR="006872DA" w:rsidRPr="00454B84" w:rsidRDefault="006872DA" w:rsidP="00F54D90">
      <w:pPr>
        <w:spacing w:line="276" w:lineRule="auto"/>
        <w:rPr>
          <w:rFonts w:ascii="Arial" w:eastAsiaTheme="minorHAnsi" w:hAnsi="Arial" w:cs="Arial"/>
          <w:color w:val="000000"/>
          <w:sz w:val="20"/>
          <w:szCs w:val="20"/>
          <w:shd w:val="clear" w:color="auto" w:fill="FFFFFF"/>
        </w:rPr>
      </w:pPr>
    </w:p>
    <w:p w:rsidR="00166E38" w:rsidRPr="00454B84" w:rsidRDefault="00166E38" w:rsidP="00F54D90">
      <w:pPr>
        <w:spacing w:line="276" w:lineRule="auto"/>
        <w:rPr>
          <w:rFonts w:ascii="Arial" w:eastAsiaTheme="minorHAnsi" w:hAnsi="Arial" w:cs="Arial"/>
          <w:color w:val="000000"/>
          <w:sz w:val="20"/>
          <w:szCs w:val="20"/>
          <w:shd w:val="clear" w:color="auto" w:fill="FFFFFF"/>
        </w:rPr>
      </w:pPr>
      <w:r w:rsidRPr="00454B84">
        <w:rPr>
          <w:rFonts w:ascii="Arial" w:eastAsiaTheme="minorHAnsi" w:hAnsi="Arial" w:cs="Arial"/>
          <w:color w:val="000000"/>
          <w:sz w:val="20"/>
          <w:szCs w:val="20"/>
          <w:shd w:val="clear" w:color="auto" w:fill="FFFFFF"/>
        </w:rPr>
        <w:t xml:space="preserve">This refining of information sought from state and territory road authorities and local governments indicates that benchmarking can be done across roads and across jurisdictions. More useful information will be produced from these refinements.  The BITRE requested information on the per cent share of inputs used in the construction and maintenance of applicable roads, the length of roads by road type and information of the percentage of construction and maintenance workers they contracted to private sector firms (and local government in the case of state authorities). </w:t>
      </w:r>
    </w:p>
    <w:p w:rsidR="006872DA" w:rsidRPr="00454B84" w:rsidRDefault="006872DA" w:rsidP="00F54D90">
      <w:pPr>
        <w:spacing w:line="276" w:lineRule="auto"/>
        <w:rPr>
          <w:rFonts w:ascii="Arial" w:eastAsiaTheme="minorHAnsi" w:hAnsi="Arial" w:cs="Arial"/>
          <w:color w:val="000000"/>
          <w:sz w:val="20"/>
          <w:szCs w:val="20"/>
          <w:shd w:val="clear" w:color="auto" w:fill="FFFFFF"/>
        </w:rPr>
      </w:pPr>
    </w:p>
    <w:p w:rsidR="00166E38" w:rsidRPr="00454B84" w:rsidRDefault="00166E38" w:rsidP="00F54D90">
      <w:pPr>
        <w:spacing w:line="276" w:lineRule="auto"/>
        <w:rPr>
          <w:rFonts w:ascii="Arial" w:eastAsiaTheme="minorHAnsi" w:hAnsi="Arial" w:cs="Arial"/>
          <w:color w:val="000000"/>
          <w:sz w:val="20"/>
          <w:szCs w:val="20"/>
          <w:shd w:val="clear" w:color="auto" w:fill="FFFFFF"/>
        </w:rPr>
      </w:pPr>
      <w:r w:rsidRPr="00454B84">
        <w:rPr>
          <w:rFonts w:ascii="Arial" w:eastAsiaTheme="minorHAnsi" w:hAnsi="Arial" w:cs="Arial"/>
          <w:color w:val="000000"/>
          <w:sz w:val="20"/>
          <w:szCs w:val="20"/>
          <w:shd w:val="clear" w:color="auto" w:fill="FFFFFF"/>
        </w:rPr>
        <w:t>Private contractors were also approached to collate data via surveys about the input per cent shares used in the private sector, including total value of construction and maintenance cost of road projects delivered in 2011-12, the number</w:t>
      </w:r>
      <w:r w:rsidR="006A5623" w:rsidRPr="00454B84">
        <w:rPr>
          <w:rFonts w:ascii="Arial" w:eastAsiaTheme="minorHAnsi" w:hAnsi="Arial" w:cs="Arial"/>
          <w:color w:val="000000"/>
          <w:sz w:val="20"/>
          <w:szCs w:val="20"/>
          <w:shd w:val="clear" w:color="auto" w:fill="FFFFFF"/>
        </w:rPr>
        <w:t xml:space="preserve"> of kilometres</w:t>
      </w:r>
      <w:r w:rsidR="00D03079" w:rsidRPr="00454B84">
        <w:rPr>
          <w:rFonts w:ascii="Arial" w:eastAsiaTheme="minorHAnsi" w:hAnsi="Arial" w:cs="Arial"/>
          <w:color w:val="000000"/>
          <w:sz w:val="20"/>
          <w:szCs w:val="20"/>
          <w:shd w:val="clear" w:color="auto" w:fill="FFFFFF"/>
        </w:rPr>
        <w:t xml:space="preserve"> a company constructed or</w:t>
      </w:r>
      <w:r w:rsidRPr="00454B84">
        <w:rPr>
          <w:rFonts w:ascii="Arial" w:eastAsiaTheme="minorHAnsi" w:hAnsi="Arial" w:cs="Arial"/>
          <w:color w:val="000000"/>
          <w:sz w:val="20"/>
          <w:szCs w:val="20"/>
          <w:shd w:val="clear" w:color="auto" w:fill="FFFFFF"/>
        </w:rPr>
        <w:t xml:space="preserve"> maintained in 2011-12 per state for each road type. </w:t>
      </w:r>
    </w:p>
    <w:p w:rsidR="00996C38" w:rsidRPr="00454B84" w:rsidRDefault="00996C38" w:rsidP="00F54D90">
      <w:pPr>
        <w:spacing w:line="276" w:lineRule="auto"/>
        <w:rPr>
          <w:rFonts w:ascii="Arial" w:eastAsiaTheme="minorHAnsi" w:hAnsi="Arial" w:cs="Arial"/>
          <w:color w:val="000000"/>
          <w:sz w:val="20"/>
          <w:szCs w:val="20"/>
          <w:shd w:val="clear" w:color="auto" w:fill="FFFFFF"/>
        </w:rPr>
      </w:pP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In 2011-2012 and 2012-2012 the index increased 1.42%. The most significant contributors to the index increase were rises in ‘site based labour’ and ‘bituminous material’ costs. The maintenance sub-index also rose at a greater rate than the construction sub-index. </w:t>
      </w:r>
    </w:p>
    <w:p w:rsidR="006872DA" w:rsidRPr="00454B84" w:rsidRDefault="006872DA" w:rsidP="00F54D90">
      <w:pPr>
        <w:spacing w:line="276" w:lineRule="auto"/>
        <w:rPr>
          <w:rFonts w:ascii="Arial" w:eastAsiaTheme="minorHAnsi" w:hAnsi="Arial" w:cs="Arial"/>
          <w:sz w:val="20"/>
          <w:szCs w:val="20"/>
        </w:rPr>
      </w:pP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The Commission may also want to pay attention to the ABS road and bridge index, noting the differences in the two indexes, RCMPI is the input price index that measures </w:t>
      </w:r>
      <w:r w:rsidR="006872DA" w:rsidRPr="00454B84">
        <w:rPr>
          <w:rFonts w:ascii="Arial" w:eastAsiaTheme="minorHAnsi" w:hAnsi="Arial" w:cs="Arial"/>
          <w:sz w:val="20"/>
          <w:szCs w:val="20"/>
        </w:rPr>
        <w:t>changes in the prices of input</w:t>
      </w:r>
      <w:r w:rsidR="00D03079" w:rsidRPr="00454B84">
        <w:rPr>
          <w:rFonts w:ascii="Arial" w:eastAsiaTheme="minorHAnsi" w:hAnsi="Arial" w:cs="Arial"/>
          <w:sz w:val="20"/>
          <w:szCs w:val="20"/>
        </w:rPr>
        <w:t>s</w:t>
      </w:r>
      <w:r w:rsidRPr="00454B84">
        <w:rPr>
          <w:rFonts w:ascii="Arial" w:eastAsiaTheme="minorHAnsi" w:hAnsi="Arial" w:cs="Arial"/>
          <w:sz w:val="20"/>
          <w:szCs w:val="20"/>
        </w:rPr>
        <w:t xml:space="preserve">, while the ABS index measures changes in the prices (revenues) received by the businesses undertaking the road and bridge construction less any direct tax paid. </w:t>
      </w:r>
    </w:p>
    <w:p w:rsidR="006872DA" w:rsidRPr="00454B84" w:rsidRDefault="006872DA" w:rsidP="00F54D90">
      <w:pPr>
        <w:spacing w:line="276" w:lineRule="auto"/>
        <w:rPr>
          <w:rFonts w:ascii="Arial" w:eastAsiaTheme="minorHAnsi" w:hAnsi="Arial" w:cs="Arial"/>
          <w:sz w:val="20"/>
          <w:szCs w:val="20"/>
        </w:rPr>
      </w:pPr>
    </w:p>
    <w:p w:rsidR="00694527" w:rsidRPr="00454B84" w:rsidRDefault="00166E38" w:rsidP="00B9288B">
      <w:pPr>
        <w:spacing w:line="276" w:lineRule="auto"/>
        <w:rPr>
          <w:rFonts w:ascii="Arial" w:eastAsiaTheme="minorHAnsi" w:hAnsi="Arial" w:cs="Arial"/>
          <w:sz w:val="20"/>
          <w:szCs w:val="20"/>
        </w:rPr>
      </w:pPr>
      <w:r w:rsidRPr="00454B84">
        <w:rPr>
          <w:rFonts w:ascii="Arial" w:eastAsiaTheme="minorHAnsi" w:hAnsi="Arial" w:cs="Arial"/>
          <w:sz w:val="20"/>
          <w:szCs w:val="20"/>
        </w:rPr>
        <w:t>The BITRE provide</w:t>
      </w:r>
      <w:r w:rsidR="00464347" w:rsidRPr="00454B84">
        <w:rPr>
          <w:rFonts w:ascii="Arial" w:eastAsiaTheme="minorHAnsi" w:hAnsi="Arial" w:cs="Arial"/>
          <w:sz w:val="20"/>
          <w:szCs w:val="20"/>
        </w:rPr>
        <w:t>s</w:t>
      </w:r>
      <w:r w:rsidRPr="00454B84">
        <w:rPr>
          <w:rFonts w:ascii="Arial" w:eastAsiaTheme="minorHAnsi" w:hAnsi="Arial" w:cs="Arial"/>
          <w:sz w:val="20"/>
          <w:szCs w:val="20"/>
        </w:rPr>
        <w:t xml:space="preserve"> a breakdown of input per cent share by road type and activity. </w:t>
      </w:r>
      <w:r w:rsidR="006872DA" w:rsidRPr="00454B84">
        <w:rPr>
          <w:rFonts w:ascii="Arial" w:eastAsiaTheme="minorHAnsi" w:hAnsi="Arial" w:cs="Arial"/>
          <w:sz w:val="20"/>
          <w:szCs w:val="20"/>
        </w:rPr>
        <w:t xml:space="preserve">Providing this type of information is very useful to the government and to industry as it transparently presents the index shares. </w:t>
      </w:r>
    </w:p>
    <w:p w:rsidR="00694527" w:rsidRPr="00454B84" w:rsidRDefault="00694527" w:rsidP="00641B15">
      <w:pPr>
        <w:spacing w:line="276" w:lineRule="auto"/>
        <w:jc w:val="center"/>
        <w:rPr>
          <w:rFonts w:ascii="Arial" w:eastAsiaTheme="minorHAnsi" w:hAnsi="Arial" w:cs="Arial"/>
          <w:b/>
          <w:sz w:val="20"/>
          <w:szCs w:val="20"/>
        </w:rPr>
      </w:pPr>
    </w:p>
    <w:p w:rsidR="00641B15" w:rsidRPr="00454B84" w:rsidRDefault="00641B15" w:rsidP="00641B15">
      <w:pPr>
        <w:spacing w:line="276" w:lineRule="auto"/>
        <w:jc w:val="center"/>
        <w:rPr>
          <w:rFonts w:ascii="Arial" w:eastAsiaTheme="minorHAnsi" w:hAnsi="Arial" w:cs="Arial"/>
          <w:b/>
          <w:sz w:val="20"/>
          <w:szCs w:val="20"/>
        </w:rPr>
      </w:pPr>
      <w:r w:rsidRPr="00454B84">
        <w:rPr>
          <w:rFonts w:ascii="Arial" w:eastAsiaTheme="minorHAnsi" w:hAnsi="Arial" w:cs="Arial"/>
          <w:b/>
          <w:sz w:val="20"/>
          <w:szCs w:val="20"/>
        </w:rPr>
        <w:t xml:space="preserve">Figure </w:t>
      </w:r>
      <w:r w:rsidR="00B93C2C">
        <w:rPr>
          <w:rFonts w:ascii="Arial" w:eastAsiaTheme="minorHAnsi" w:hAnsi="Arial" w:cs="Arial"/>
          <w:b/>
          <w:sz w:val="20"/>
          <w:szCs w:val="20"/>
        </w:rPr>
        <w:t>4</w:t>
      </w:r>
      <w:r w:rsidRPr="00454B84">
        <w:rPr>
          <w:rFonts w:ascii="Arial" w:eastAsiaTheme="minorHAnsi" w:hAnsi="Arial" w:cs="Arial"/>
          <w:b/>
          <w:sz w:val="20"/>
          <w:szCs w:val="20"/>
        </w:rPr>
        <w:t>: Input per cent share: RCMPI, arterial, sealed local and unsealed local roads sub-indexes</w:t>
      </w:r>
    </w:p>
    <w:p w:rsidR="00166E38" w:rsidRPr="00454B84" w:rsidRDefault="00166E38" w:rsidP="00F54D90">
      <w:pPr>
        <w:spacing w:line="276" w:lineRule="auto"/>
        <w:rPr>
          <w:rFonts w:ascii="Arial" w:eastAsiaTheme="minorHAnsi" w:hAnsi="Arial" w:cs="Arial"/>
          <w:sz w:val="20"/>
          <w:szCs w:val="20"/>
        </w:rPr>
      </w:pPr>
      <w:r w:rsidRPr="00454B84">
        <w:rPr>
          <w:rFonts w:ascii="Arial" w:eastAsiaTheme="minorHAnsi" w:hAnsi="Arial" w:cs="Arial"/>
          <w:noProof/>
          <w:sz w:val="20"/>
          <w:szCs w:val="20"/>
          <w:lang w:eastAsia="en-AU"/>
        </w:rPr>
        <w:drawing>
          <wp:inline distT="0" distB="0" distL="0" distR="0">
            <wp:extent cx="5731510" cy="3470163"/>
            <wp:effectExtent l="19050" t="0" r="254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731510" cy="3470163"/>
                    </a:xfrm>
                    <a:prstGeom prst="rect">
                      <a:avLst/>
                    </a:prstGeom>
                    <a:noFill/>
                    <a:ln w="9525">
                      <a:noFill/>
                      <a:miter lim="800000"/>
                      <a:headEnd/>
                      <a:tailEnd/>
                    </a:ln>
                  </pic:spPr>
                </pic:pic>
              </a:graphicData>
            </a:graphic>
          </wp:inline>
        </w:drawing>
      </w:r>
    </w:p>
    <w:p w:rsidR="00641B15" w:rsidRPr="00454B84" w:rsidRDefault="00641B15" w:rsidP="00614F8B">
      <w:pPr>
        <w:spacing w:line="276" w:lineRule="auto"/>
        <w:jc w:val="center"/>
        <w:rPr>
          <w:rFonts w:ascii="Arial" w:eastAsiaTheme="minorHAnsi" w:hAnsi="Arial" w:cs="Arial"/>
          <w:sz w:val="16"/>
          <w:szCs w:val="20"/>
        </w:rPr>
      </w:pPr>
      <w:r w:rsidRPr="00454B84">
        <w:rPr>
          <w:rFonts w:ascii="Arial" w:eastAsiaTheme="minorHAnsi" w:hAnsi="Arial" w:cs="Arial"/>
          <w:sz w:val="16"/>
          <w:szCs w:val="20"/>
        </w:rPr>
        <w:t>Source: Page 12 BITRE Road Construction and maintenance price index 2013 update</w:t>
      </w:r>
    </w:p>
    <w:p w:rsidR="006872DA" w:rsidRPr="00454B84" w:rsidRDefault="006872DA" w:rsidP="00F54D90">
      <w:pPr>
        <w:spacing w:line="276" w:lineRule="auto"/>
        <w:rPr>
          <w:rFonts w:ascii="Arial" w:eastAsiaTheme="minorHAnsi" w:hAnsi="Arial" w:cs="Arial"/>
          <w:sz w:val="20"/>
          <w:szCs w:val="20"/>
        </w:rPr>
      </w:pPr>
    </w:p>
    <w:p w:rsidR="006872DA" w:rsidRPr="00454B84" w:rsidRDefault="006872DA" w:rsidP="00F54D90">
      <w:pPr>
        <w:spacing w:line="276" w:lineRule="auto"/>
        <w:rPr>
          <w:rFonts w:ascii="Arial" w:eastAsiaTheme="minorHAnsi" w:hAnsi="Arial" w:cs="Arial"/>
          <w:sz w:val="20"/>
          <w:szCs w:val="20"/>
        </w:rPr>
      </w:pPr>
      <w:r w:rsidRPr="00454B84">
        <w:rPr>
          <w:rFonts w:ascii="Arial" w:eastAsiaTheme="minorHAnsi" w:hAnsi="Arial" w:cs="Arial"/>
          <w:sz w:val="20"/>
          <w:szCs w:val="20"/>
        </w:rPr>
        <w:t xml:space="preserve">This is the kind of information that the PwC report indicated should be benchmarked and recorded. </w:t>
      </w:r>
    </w:p>
    <w:p w:rsidR="006872DA" w:rsidRPr="00454B84" w:rsidRDefault="006872DA" w:rsidP="00F54D90">
      <w:pPr>
        <w:spacing w:line="276" w:lineRule="auto"/>
        <w:rPr>
          <w:rFonts w:ascii="Arial" w:hAnsi="Arial" w:cs="Arial"/>
          <w:b/>
          <w:i/>
          <w:sz w:val="20"/>
          <w:szCs w:val="20"/>
        </w:rPr>
      </w:pPr>
    </w:p>
    <w:p w:rsidR="003F6B77" w:rsidRPr="00454B84" w:rsidRDefault="003F6B77" w:rsidP="00646000">
      <w:pPr>
        <w:rPr>
          <w:rFonts w:ascii="Arial" w:eastAsiaTheme="minorHAnsi" w:hAnsi="Arial" w:cs="Arial"/>
          <w:sz w:val="20"/>
          <w:szCs w:val="20"/>
        </w:rPr>
      </w:pPr>
    </w:p>
    <w:p w:rsidR="00694527" w:rsidRPr="00454B84" w:rsidRDefault="00694527" w:rsidP="00646000">
      <w:pPr>
        <w:rPr>
          <w:rFonts w:ascii="Arial" w:eastAsiaTheme="minorHAnsi" w:hAnsi="Arial" w:cs="Arial"/>
          <w:sz w:val="20"/>
          <w:szCs w:val="20"/>
        </w:rPr>
      </w:pPr>
    </w:p>
    <w:p w:rsidR="0046192F" w:rsidRPr="00454B84" w:rsidRDefault="0046192F" w:rsidP="00B611F2">
      <w:pPr>
        <w:pStyle w:val="RecommendationStyle"/>
        <w:numPr>
          <w:ilvl w:val="0"/>
          <w:numId w:val="0"/>
        </w:numPr>
        <w:spacing w:before="0" w:after="0"/>
        <w:rPr>
          <w:rFonts w:eastAsiaTheme="minorHAnsi"/>
          <w:b w:val="0"/>
          <w:bCs/>
          <w:i w:val="0"/>
        </w:rPr>
      </w:pPr>
      <w:bookmarkStart w:id="61" w:name="_Toc374541084"/>
      <w:bookmarkStart w:id="62" w:name="_Toc374541120"/>
    </w:p>
    <w:p w:rsidR="0046192F" w:rsidRPr="00454B84" w:rsidRDefault="0046192F" w:rsidP="00B611F2">
      <w:pPr>
        <w:pStyle w:val="RecommendationStyle"/>
        <w:numPr>
          <w:ilvl w:val="0"/>
          <w:numId w:val="0"/>
        </w:numPr>
        <w:spacing w:before="0" w:after="0"/>
        <w:rPr>
          <w:rFonts w:eastAsiaTheme="minorHAnsi"/>
          <w:b w:val="0"/>
          <w:bCs/>
          <w:i w:val="0"/>
        </w:rPr>
      </w:pPr>
    </w:p>
    <w:p w:rsidR="0046192F" w:rsidRPr="00454B84" w:rsidRDefault="0046192F" w:rsidP="00B611F2">
      <w:pPr>
        <w:pStyle w:val="RecommendationStyle"/>
        <w:numPr>
          <w:ilvl w:val="0"/>
          <w:numId w:val="0"/>
        </w:numPr>
        <w:spacing w:before="0" w:after="0"/>
        <w:rPr>
          <w:rFonts w:eastAsiaTheme="minorHAnsi"/>
          <w:b w:val="0"/>
          <w:bCs/>
          <w:i w:val="0"/>
        </w:rPr>
      </w:pPr>
    </w:p>
    <w:p w:rsidR="0046192F" w:rsidRPr="00454B84" w:rsidRDefault="0046192F" w:rsidP="00B611F2">
      <w:pPr>
        <w:pStyle w:val="RecommendationStyle"/>
        <w:numPr>
          <w:ilvl w:val="0"/>
          <w:numId w:val="0"/>
        </w:numPr>
        <w:spacing w:before="0" w:after="0"/>
        <w:rPr>
          <w:rFonts w:eastAsiaTheme="minorHAnsi"/>
          <w:b w:val="0"/>
          <w:bCs/>
          <w:i w:val="0"/>
        </w:rPr>
      </w:pPr>
    </w:p>
    <w:p w:rsidR="0046192F" w:rsidRPr="00454B84" w:rsidRDefault="0046192F" w:rsidP="00B611F2">
      <w:pPr>
        <w:pStyle w:val="RecommendationStyle"/>
        <w:numPr>
          <w:ilvl w:val="0"/>
          <w:numId w:val="0"/>
        </w:numPr>
        <w:spacing w:before="0" w:after="0"/>
        <w:rPr>
          <w:rFonts w:eastAsiaTheme="minorHAnsi"/>
          <w:b w:val="0"/>
          <w:bCs/>
          <w:i w:val="0"/>
        </w:rPr>
      </w:pPr>
    </w:p>
    <w:p w:rsidR="0046192F" w:rsidRPr="00454B84" w:rsidRDefault="0046192F" w:rsidP="00B611F2">
      <w:pPr>
        <w:pStyle w:val="RecommendationStyle"/>
        <w:numPr>
          <w:ilvl w:val="0"/>
          <w:numId w:val="0"/>
        </w:numPr>
        <w:spacing w:before="0" w:after="0"/>
        <w:rPr>
          <w:rFonts w:eastAsiaTheme="minorHAnsi"/>
          <w:b w:val="0"/>
          <w:bCs/>
          <w:i w:val="0"/>
        </w:rPr>
      </w:pPr>
    </w:p>
    <w:p w:rsidR="0046192F" w:rsidRPr="00454B84" w:rsidRDefault="0046192F" w:rsidP="00B611F2">
      <w:pPr>
        <w:pStyle w:val="RecommendationStyle"/>
        <w:numPr>
          <w:ilvl w:val="0"/>
          <w:numId w:val="0"/>
        </w:numPr>
        <w:spacing w:before="0" w:after="0"/>
        <w:rPr>
          <w:rFonts w:eastAsiaTheme="minorHAnsi"/>
          <w:b w:val="0"/>
          <w:bCs/>
          <w:i w:val="0"/>
        </w:rPr>
      </w:pPr>
    </w:p>
    <w:p w:rsidR="0046192F" w:rsidRPr="00454B84" w:rsidRDefault="0046192F" w:rsidP="00B611F2">
      <w:pPr>
        <w:pStyle w:val="RecommendationStyle"/>
        <w:numPr>
          <w:ilvl w:val="0"/>
          <w:numId w:val="0"/>
        </w:numPr>
        <w:spacing w:before="0" w:after="0"/>
        <w:rPr>
          <w:rFonts w:eastAsiaTheme="minorHAnsi"/>
          <w:b w:val="0"/>
          <w:bCs/>
          <w:i w:val="0"/>
        </w:rPr>
      </w:pPr>
    </w:p>
    <w:p w:rsidR="0046192F" w:rsidRPr="00454B84" w:rsidRDefault="0046192F" w:rsidP="00B611F2">
      <w:pPr>
        <w:pStyle w:val="RecommendationStyle"/>
        <w:numPr>
          <w:ilvl w:val="0"/>
          <w:numId w:val="0"/>
        </w:numPr>
        <w:spacing w:before="0" w:after="0"/>
        <w:rPr>
          <w:rFonts w:eastAsiaTheme="minorHAnsi"/>
          <w:b w:val="0"/>
          <w:bCs/>
          <w:i w:val="0"/>
        </w:rPr>
      </w:pPr>
    </w:p>
    <w:p w:rsidR="0046192F" w:rsidRPr="00454B84" w:rsidRDefault="0046192F" w:rsidP="00B611F2">
      <w:pPr>
        <w:pStyle w:val="RecommendationStyle"/>
        <w:numPr>
          <w:ilvl w:val="0"/>
          <w:numId w:val="0"/>
        </w:numPr>
        <w:spacing w:before="0" w:after="0"/>
        <w:rPr>
          <w:rFonts w:eastAsiaTheme="minorHAnsi"/>
          <w:b w:val="0"/>
          <w:bCs/>
          <w:i w:val="0"/>
        </w:rPr>
      </w:pPr>
    </w:p>
    <w:p w:rsidR="0046192F" w:rsidRPr="00454B84" w:rsidRDefault="0046192F" w:rsidP="00B611F2">
      <w:pPr>
        <w:pStyle w:val="RecommendationStyle"/>
        <w:numPr>
          <w:ilvl w:val="0"/>
          <w:numId w:val="0"/>
        </w:numPr>
        <w:spacing w:before="0" w:after="0"/>
        <w:rPr>
          <w:rFonts w:eastAsiaTheme="minorHAnsi"/>
          <w:b w:val="0"/>
          <w:bCs/>
          <w:i w:val="0"/>
        </w:rPr>
      </w:pPr>
    </w:p>
    <w:p w:rsidR="0046192F" w:rsidRPr="00454B84" w:rsidRDefault="0046192F" w:rsidP="00B611F2">
      <w:pPr>
        <w:pStyle w:val="RecommendationStyle"/>
        <w:numPr>
          <w:ilvl w:val="0"/>
          <w:numId w:val="0"/>
        </w:numPr>
        <w:spacing w:before="0" w:after="0"/>
        <w:rPr>
          <w:rFonts w:eastAsiaTheme="minorHAnsi"/>
          <w:b w:val="0"/>
          <w:bCs/>
          <w:i w:val="0"/>
        </w:rPr>
      </w:pPr>
    </w:p>
    <w:p w:rsidR="0046192F" w:rsidRPr="00454B84" w:rsidRDefault="0046192F" w:rsidP="00B611F2">
      <w:pPr>
        <w:pStyle w:val="RecommendationStyle"/>
        <w:numPr>
          <w:ilvl w:val="0"/>
          <w:numId w:val="0"/>
        </w:numPr>
        <w:spacing w:before="0" w:after="0"/>
        <w:rPr>
          <w:rFonts w:eastAsiaTheme="minorHAnsi"/>
          <w:b w:val="0"/>
          <w:bCs/>
          <w:i w:val="0"/>
        </w:rPr>
      </w:pPr>
    </w:p>
    <w:p w:rsidR="00345FA3" w:rsidRPr="00454B84" w:rsidRDefault="00345FA3">
      <w:pPr>
        <w:rPr>
          <w:rFonts w:ascii="Arial" w:eastAsiaTheme="minorHAnsi" w:hAnsi="Arial" w:cs="Arial"/>
          <w:b/>
          <w:bCs/>
          <w:sz w:val="20"/>
          <w:szCs w:val="20"/>
        </w:rPr>
      </w:pPr>
      <w:bookmarkStart w:id="63" w:name="_Toc374541150"/>
      <w:bookmarkStart w:id="64" w:name="_Toc374541155"/>
      <w:bookmarkStart w:id="65" w:name="_Toc374541754"/>
      <w:bookmarkStart w:id="66" w:name="_Toc374541795"/>
      <w:bookmarkStart w:id="67" w:name="_Toc374542208"/>
    </w:p>
    <w:p w:rsidR="00694527" w:rsidRPr="00454B84" w:rsidRDefault="00694527">
      <w:pPr>
        <w:rPr>
          <w:rFonts w:ascii="Arial" w:eastAsiaTheme="minorHAnsi" w:hAnsi="Arial" w:cs="Arial"/>
          <w:b/>
          <w:bCs/>
          <w:sz w:val="20"/>
          <w:szCs w:val="20"/>
        </w:rPr>
      </w:pPr>
    </w:p>
    <w:p w:rsidR="00614F8B" w:rsidRPr="00454B84" w:rsidRDefault="00614F8B" w:rsidP="00B611F2">
      <w:pPr>
        <w:pStyle w:val="RecommendationStyle"/>
        <w:numPr>
          <w:ilvl w:val="0"/>
          <w:numId w:val="0"/>
        </w:numPr>
        <w:spacing w:before="0" w:after="0"/>
        <w:rPr>
          <w:rFonts w:eastAsiaTheme="minorHAnsi"/>
          <w:bCs/>
          <w:i w:val="0"/>
        </w:rPr>
      </w:pPr>
      <w:r w:rsidRPr="00454B84">
        <w:rPr>
          <w:rFonts w:eastAsiaTheme="minorHAnsi"/>
          <w:bCs/>
          <w:i w:val="0"/>
        </w:rPr>
        <w:t>APPENDIX A: Road expenditure and maintenance expenditure 2012-13</w:t>
      </w:r>
      <w:bookmarkEnd w:id="61"/>
      <w:bookmarkEnd w:id="62"/>
      <w:bookmarkEnd w:id="63"/>
      <w:bookmarkEnd w:id="64"/>
      <w:bookmarkEnd w:id="65"/>
      <w:bookmarkEnd w:id="66"/>
      <w:bookmarkEnd w:id="67"/>
      <w:r w:rsidRPr="00454B84">
        <w:rPr>
          <w:rFonts w:eastAsiaTheme="minorHAnsi"/>
          <w:bCs/>
          <w:i w:val="0"/>
        </w:rPr>
        <w:t xml:space="preserve"> </w:t>
      </w:r>
    </w:p>
    <w:p w:rsidR="00614F8B" w:rsidRPr="00454B84" w:rsidRDefault="00614F8B" w:rsidP="00B611F2">
      <w:pPr>
        <w:pStyle w:val="RecommendationStyle"/>
        <w:numPr>
          <w:ilvl w:val="0"/>
          <w:numId w:val="0"/>
        </w:numPr>
        <w:spacing w:before="0" w:after="0"/>
        <w:rPr>
          <w:rFonts w:eastAsiaTheme="minorHAnsi"/>
          <w:bCs/>
          <w:i w:val="0"/>
        </w:rPr>
      </w:pPr>
    </w:p>
    <w:p w:rsidR="00B611F2" w:rsidRPr="00454B84" w:rsidRDefault="00B611F2" w:rsidP="00614F8B">
      <w:pPr>
        <w:rPr>
          <w:rFonts w:ascii="Arial" w:eastAsiaTheme="minorHAnsi" w:hAnsi="Arial" w:cs="Arial"/>
          <w:b/>
          <w:i/>
          <w:sz w:val="20"/>
          <w:szCs w:val="20"/>
        </w:rPr>
      </w:pPr>
      <w:r w:rsidRPr="00454B84">
        <w:rPr>
          <w:rFonts w:ascii="Arial" w:hAnsi="Arial" w:cs="Arial"/>
          <w:noProof/>
          <w:lang w:eastAsia="en-AU"/>
        </w:rPr>
        <w:drawing>
          <wp:inline distT="0" distB="0" distL="0" distR="0">
            <wp:extent cx="5731510" cy="4164691"/>
            <wp:effectExtent l="19050" t="0" r="254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731510" cy="4164691"/>
                    </a:xfrm>
                    <a:prstGeom prst="rect">
                      <a:avLst/>
                    </a:prstGeom>
                    <a:noFill/>
                    <a:ln w="9525">
                      <a:noFill/>
                      <a:miter lim="800000"/>
                      <a:headEnd/>
                      <a:tailEnd/>
                    </a:ln>
                  </pic:spPr>
                </pic:pic>
              </a:graphicData>
            </a:graphic>
          </wp:inline>
        </w:drawing>
      </w:r>
    </w:p>
    <w:p w:rsidR="00614F8B" w:rsidRPr="004E58D9" w:rsidRDefault="00614F8B" w:rsidP="00614F8B">
      <w:pPr>
        <w:rPr>
          <w:rFonts w:ascii="Arial" w:eastAsiaTheme="minorHAnsi" w:hAnsi="Arial" w:cs="Arial"/>
          <w:b/>
          <w:i/>
          <w:sz w:val="16"/>
          <w:szCs w:val="20"/>
        </w:rPr>
      </w:pPr>
      <w:r w:rsidRPr="004E58D9">
        <w:rPr>
          <w:rFonts w:ascii="Arial" w:eastAsiaTheme="minorHAnsi" w:hAnsi="Arial" w:cs="Arial"/>
          <w:bCs/>
          <w:sz w:val="16"/>
          <w:szCs w:val="20"/>
        </w:rPr>
        <w:t xml:space="preserve">Source: Page 102 - NTC 2013 Annual Report </w:t>
      </w:r>
    </w:p>
    <w:p w:rsidR="00614F8B" w:rsidRPr="00454B84" w:rsidRDefault="00614F8B" w:rsidP="00614F8B">
      <w:pPr>
        <w:rPr>
          <w:rFonts w:ascii="Arial" w:eastAsiaTheme="minorHAnsi" w:hAnsi="Arial" w:cs="Arial"/>
          <w:b/>
          <w:i/>
          <w:sz w:val="20"/>
          <w:szCs w:val="20"/>
        </w:rPr>
      </w:pPr>
      <w:r w:rsidRPr="00454B84">
        <w:rPr>
          <w:rFonts w:ascii="Arial" w:eastAsiaTheme="minorHAnsi" w:hAnsi="Arial" w:cs="Arial"/>
          <w:b/>
          <w:i/>
          <w:sz w:val="20"/>
          <w:szCs w:val="20"/>
        </w:rPr>
        <w:br w:type="page"/>
      </w:r>
    </w:p>
    <w:p w:rsidR="00614F8B" w:rsidRPr="00454B84" w:rsidRDefault="00614F8B" w:rsidP="00614F8B">
      <w:pPr>
        <w:rPr>
          <w:rFonts w:ascii="Arial" w:eastAsiaTheme="minorHAnsi" w:hAnsi="Arial" w:cs="Arial"/>
          <w:b/>
          <w:i/>
          <w:sz w:val="20"/>
          <w:szCs w:val="20"/>
        </w:rPr>
      </w:pPr>
      <w:bookmarkStart w:id="68" w:name="_Toc349125097"/>
      <w:r w:rsidRPr="00454B84">
        <w:rPr>
          <w:rFonts w:ascii="Arial" w:eastAsiaTheme="minorHAnsi" w:hAnsi="Arial" w:cs="Arial"/>
          <w:b/>
          <w:i/>
          <w:sz w:val="20"/>
          <w:szCs w:val="20"/>
        </w:rPr>
        <w:lastRenderedPageBreak/>
        <w:t>APPENDIX B: The ATA and Barkwood Consulting Pty Ltd Truck Impact Chart</w:t>
      </w:r>
      <w:bookmarkEnd w:id="68"/>
    </w:p>
    <w:p w:rsidR="00614F8B" w:rsidRPr="00454B84" w:rsidRDefault="00614F8B" w:rsidP="00614F8B">
      <w:pPr>
        <w:rPr>
          <w:rFonts w:ascii="Arial" w:eastAsiaTheme="minorHAnsi" w:hAnsi="Arial" w:cs="Arial"/>
          <w:b/>
          <w:i/>
          <w:sz w:val="20"/>
          <w:szCs w:val="20"/>
        </w:rPr>
      </w:pPr>
    </w:p>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 xml:space="preserve">The ATA and Barkwood Consulting Pty Ltd have developed a Truck Impact Chart that clearly demonstrates a number of different heavy vehicle combinations and covers </w:t>
      </w:r>
      <w:proofErr w:type="spellStart"/>
      <w:r w:rsidRPr="00454B84">
        <w:rPr>
          <w:rFonts w:ascii="Arial" w:eastAsiaTheme="minorHAnsi" w:hAnsi="Arial" w:cs="Arial"/>
          <w:sz w:val="20"/>
          <w:szCs w:val="20"/>
        </w:rPr>
        <w:t>GCM</w:t>
      </w:r>
      <w:proofErr w:type="spellEnd"/>
      <w:r w:rsidRPr="00454B84">
        <w:rPr>
          <w:rFonts w:ascii="Arial" w:eastAsiaTheme="minorHAnsi" w:hAnsi="Arial" w:cs="Arial"/>
          <w:sz w:val="20"/>
          <w:szCs w:val="20"/>
        </w:rPr>
        <w:t>, payload, the equivalent standard axles (ESAs) for each vehicle combination, being the measure by which impact of a truck on the road is measured, the amount of trips required to move 1,000 tonnes of freight, the amount of fuel required to move 1,000 tonnes of freight, emissions and driver requirement. The information provided in the tables throughout this document is taken from the Truck Impact Chart.</w:t>
      </w:r>
    </w:p>
    <w:p w:rsidR="00614F8B" w:rsidRPr="00454B84" w:rsidRDefault="00614F8B" w:rsidP="00614F8B">
      <w:pPr>
        <w:rPr>
          <w:rFonts w:ascii="Arial" w:eastAsiaTheme="minorHAnsi" w:hAnsi="Arial" w:cs="Arial"/>
          <w:sz w:val="20"/>
          <w:szCs w:val="20"/>
        </w:rPr>
      </w:pPr>
    </w:p>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 xml:space="preserve">The Truck Impact Chart has been reviewed </w:t>
      </w:r>
      <w:proofErr w:type="spellStart"/>
      <w:r w:rsidRPr="00454B84">
        <w:rPr>
          <w:rFonts w:ascii="Arial" w:eastAsiaTheme="minorHAnsi" w:hAnsi="Arial" w:cs="Arial"/>
          <w:sz w:val="20"/>
          <w:szCs w:val="20"/>
        </w:rPr>
        <w:t>RTA’s</w:t>
      </w:r>
      <w:proofErr w:type="spellEnd"/>
      <w:r w:rsidRPr="00454B84">
        <w:rPr>
          <w:rFonts w:ascii="Arial" w:eastAsiaTheme="minorHAnsi" w:hAnsi="Arial" w:cs="Arial"/>
          <w:sz w:val="20"/>
          <w:szCs w:val="20"/>
        </w:rPr>
        <w:t xml:space="preserve"> Senior Pavement Engineer, </w:t>
      </w:r>
      <w:proofErr w:type="spellStart"/>
      <w:r w:rsidRPr="00454B84">
        <w:rPr>
          <w:rFonts w:ascii="Arial" w:eastAsiaTheme="minorHAnsi" w:hAnsi="Arial" w:cs="Arial"/>
          <w:sz w:val="20"/>
          <w:szCs w:val="20"/>
        </w:rPr>
        <w:t>Ravindra</w:t>
      </w:r>
      <w:proofErr w:type="spellEnd"/>
      <w:r w:rsidRPr="00454B84">
        <w:rPr>
          <w:rFonts w:ascii="Arial" w:eastAsiaTheme="minorHAnsi" w:hAnsi="Arial" w:cs="Arial"/>
          <w:sz w:val="20"/>
          <w:szCs w:val="20"/>
        </w:rPr>
        <w:t xml:space="preserve"> </w:t>
      </w:r>
      <w:proofErr w:type="spellStart"/>
      <w:r w:rsidRPr="00454B84">
        <w:rPr>
          <w:rFonts w:ascii="Arial" w:eastAsiaTheme="minorHAnsi" w:hAnsi="Arial" w:cs="Arial"/>
          <w:sz w:val="20"/>
          <w:szCs w:val="20"/>
        </w:rPr>
        <w:t>Prathapa</w:t>
      </w:r>
      <w:proofErr w:type="spellEnd"/>
      <w:r w:rsidRPr="00454B84">
        <w:rPr>
          <w:rFonts w:ascii="Arial" w:eastAsiaTheme="minorHAnsi" w:hAnsi="Arial" w:cs="Arial"/>
          <w:sz w:val="20"/>
          <w:szCs w:val="20"/>
        </w:rPr>
        <w:t xml:space="preserve">. The Truck Impact Chart has also been separately peer reviewed by Bob Pearson, Pearson Transport Resources, and was referred to by </w:t>
      </w:r>
      <w:proofErr w:type="spellStart"/>
      <w:r w:rsidRPr="00454B84">
        <w:rPr>
          <w:rFonts w:ascii="Arial" w:eastAsiaTheme="minorHAnsi" w:hAnsi="Arial" w:cs="Arial"/>
          <w:sz w:val="20"/>
          <w:szCs w:val="20"/>
        </w:rPr>
        <w:t>TheCIE</w:t>
      </w:r>
      <w:proofErr w:type="spellEnd"/>
      <w:r w:rsidRPr="00454B84">
        <w:rPr>
          <w:rFonts w:ascii="Arial" w:eastAsiaTheme="minorHAnsi" w:hAnsi="Arial" w:cs="Arial"/>
          <w:sz w:val="20"/>
          <w:szCs w:val="20"/>
        </w:rPr>
        <w:t xml:space="preserve"> in the Benefit/Cost Analysis for the National Heavy Vehicle Regulator draft Regulatory Impact Statement, released in February 2011.</w:t>
      </w:r>
    </w:p>
    <w:p w:rsidR="00614F8B" w:rsidRPr="00454B84" w:rsidRDefault="00614F8B" w:rsidP="00614F8B">
      <w:pPr>
        <w:rPr>
          <w:rFonts w:ascii="Arial" w:eastAsiaTheme="minorHAnsi"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8"/>
        <w:gridCol w:w="1114"/>
        <w:gridCol w:w="3129"/>
        <w:gridCol w:w="2853"/>
      </w:tblGrid>
      <w:tr w:rsidR="00614F8B" w:rsidRPr="00454B84" w:rsidTr="00B261AC">
        <w:trPr>
          <w:trHeight w:val="495"/>
        </w:trPr>
        <w:tc>
          <w:tcPr>
            <w:tcW w:w="3052" w:type="dxa"/>
            <w:vMerge w:val="restart"/>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noProof/>
                <w:sz w:val="20"/>
                <w:szCs w:val="20"/>
                <w:lang w:eastAsia="en-AU"/>
              </w:rPr>
              <w:drawing>
                <wp:inline distT="0" distB="0" distL="0" distR="0">
                  <wp:extent cx="1440000" cy="632601"/>
                  <wp:effectExtent l="19050" t="0" r="7800" b="0"/>
                  <wp:docPr id="18" name="Picture 1" descr="E:\Public\Logos\Internal\ATA LOGO 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blic\Logos\Internal\ATA LOGO C.bmp"/>
                          <pic:cNvPicPr>
                            <a:picLocks noChangeAspect="1" noChangeArrowheads="1"/>
                          </pic:cNvPicPr>
                        </pic:nvPicPr>
                        <pic:blipFill>
                          <a:blip r:embed="rId18" cstate="print"/>
                          <a:srcRect/>
                          <a:stretch>
                            <a:fillRect/>
                          </a:stretch>
                        </pic:blipFill>
                        <pic:spPr bwMode="auto">
                          <a:xfrm>
                            <a:off x="0" y="0"/>
                            <a:ext cx="1440000" cy="632601"/>
                          </a:xfrm>
                          <a:prstGeom prst="rect">
                            <a:avLst/>
                          </a:prstGeom>
                          <a:noFill/>
                          <a:ln w="9525">
                            <a:noFill/>
                            <a:miter lim="800000"/>
                            <a:headEnd/>
                            <a:tailEnd/>
                          </a:ln>
                        </pic:spPr>
                      </pic:pic>
                    </a:graphicData>
                  </a:graphic>
                </wp:inline>
              </w:drawing>
            </w:r>
          </w:p>
        </w:tc>
        <w:tc>
          <w:tcPr>
            <w:tcW w:w="1309" w:type="dxa"/>
            <w:vMerge w:val="restart"/>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Authors:</w:t>
            </w:r>
          </w:p>
        </w:tc>
        <w:tc>
          <w:tcPr>
            <w:tcW w:w="5528" w:type="dxa"/>
            <w:vAlign w:val="bottom"/>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David Coonan - Australian Trucking Association</w:t>
            </w:r>
          </w:p>
        </w:tc>
        <w:tc>
          <w:tcPr>
            <w:tcW w:w="4536" w:type="dxa"/>
            <w:vMerge w:val="restart"/>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BARKWOOD CONSULTING Pty Ltd</w:t>
            </w:r>
          </w:p>
        </w:tc>
      </w:tr>
      <w:tr w:rsidR="00614F8B" w:rsidRPr="00454B84" w:rsidTr="00B261AC">
        <w:trPr>
          <w:trHeight w:val="495"/>
        </w:trPr>
        <w:tc>
          <w:tcPr>
            <w:tcW w:w="3052" w:type="dxa"/>
            <w:vMerge/>
          </w:tcPr>
          <w:p w:rsidR="00614F8B" w:rsidRPr="00454B84" w:rsidRDefault="00614F8B" w:rsidP="00614F8B">
            <w:pPr>
              <w:rPr>
                <w:rFonts w:ascii="Arial" w:eastAsiaTheme="minorHAnsi" w:hAnsi="Arial" w:cs="Arial"/>
                <w:sz w:val="20"/>
                <w:szCs w:val="20"/>
              </w:rPr>
            </w:pPr>
          </w:p>
        </w:tc>
        <w:tc>
          <w:tcPr>
            <w:tcW w:w="1309" w:type="dxa"/>
            <w:vMerge/>
          </w:tcPr>
          <w:p w:rsidR="00614F8B" w:rsidRPr="00454B84" w:rsidRDefault="00614F8B" w:rsidP="00614F8B">
            <w:pPr>
              <w:rPr>
                <w:rFonts w:ascii="Arial" w:eastAsiaTheme="minorHAnsi" w:hAnsi="Arial" w:cs="Arial"/>
                <w:sz w:val="20"/>
                <w:szCs w:val="20"/>
              </w:rPr>
            </w:pPr>
          </w:p>
        </w:tc>
        <w:tc>
          <w:tcPr>
            <w:tcW w:w="5528" w:type="dxa"/>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Bob Woodward - Barkwood Consulting Pty Ltd.</w:t>
            </w:r>
          </w:p>
        </w:tc>
        <w:tc>
          <w:tcPr>
            <w:tcW w:w="4536" w:type="dxa"/>
            <w:vMerge/>
            <w:vAlign w:val="center"/>
          </w:tcPr>
          <w:p w:rsidR="00614F8B" w:rsidRPr="00454B84" w:rsidRDefault="00614F8B" w:rsidP="00614F8B">
            <w:pPr>
              <w:rPr>
                <w:rFonts w:ascii="Arial" w:eastAsiaTheme="minorHAnsi" w:hAnsi="Arial" w:cs="Arial"/>
                <w:sz w:val="20"/>
                <w:szCs w:val="20"/>
              </w:rPr>
            </w:pPr>
          </w:p>
        </w:tc>
      </w:tr>
    </w:tbl>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This document has been prepared to assist operators and road asset managers in assessing the merits of utilising larger vehicle combinations in a transport task.</w:t>
      </w:r>
    </w:p>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The assessment process assumes that the vehicle is dedicated to a specific task, operating travel being 50% unladen and 50% laden.  The task relativities are 1000 tonnes with a lead of 1000 kilometres.</w:t>
      </w:r>
    </w:p>
    <w:tbl>
      <w:tblPr>
        <w:tblStyle w:val="TableGrid"/>
        <w:tblW w:w="0" w:type="auto"/>
        <w:tblLook w:val="04A0"/>
      </w:tblPr>
      <w:tblGrid>
        <w:gridCol w:w="2323"/>
        <w:gridCol w:w="7531"/>
      </w:tblGrid>
      <w:tr w:rsidR="00614F8B" w:rsidRPr="00454B84" w:rsidTr="00B261AC">
        <w:trPr>
          <w:trHeight w:val="460"/>
        </w:trPr>
        <w:tc>
          <w:tcPr>
            <w:tcW w:w="3085"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Equivalent Standard Axles:</w:t>
            </w:r>
          </w:p>
        </w:tc>
        <w:tc>
          <w:tcPr>
            <w:tcW w:w="12268"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 xml:space="preserve">ESA’s are calculated by the average of the sum of ESA’s for zero </w:t>
            </w:r>
            <w:proofErr w:type="gramStart"/>
            <w:r w:rsidRPr="00454B84">
              <w:rPr>
                <w:rFonts w:ascii="Arial" w:eastAsiaTheme="minorHAnsi" w:hAnsi="Arial" w:cs="Arial"/>
                <w:sz w:val="20"/>
                <w:szCs w:val="20"/>
              </w:rPr>
              <w:t>load</w:t>
            </w:r>
            <w:proofErr w:type="gramEnd"/>
            <w:r w:rsidRPr="00454B84">
              <w:rPr>
                <w:rFonts w:ascii="Arial" w:eastAsiaTheme="minorHAnsi" w:hAnsi="Arial" w:cs="Arial"/>
                <w:sz w:val="20"/>
                <w:szCs w:val="20"/>
              </w:rPr>
              <w:t xml:space="preserve"> (empty) plus ESA’s for 100% load and multiplied by the number of trips as required for the transport task.</w:t>
            </w:r>
          </w:p>
        </w:tc>
      </w:tr>
      <w:tr w:rsidR="00614F8B" w:rsidRPr="00454B84" w:rsidTr="00B261AC">
        <w:trPr>
          <w:trHeight w:val="460"/>
        </w:trPr>
        <w:tc>
          <w:tcPr>
            <w:tcW w:w="3085"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Vehicle tare weights:</w:t>
            </w:r>
          </w:p>
        </w:tc>
        <w:tc>
          <w:tcPr>
            <w:tcW w:w="12268"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 xml:space="preserve">Are predictions based on the averages for a range of equipment within each combination </w:t>
            </w:r>
            <w:proofErr w:type="gramStart"/>
            <w:r w:rsidRPr="00454B84">
              <w:rPr>
                <w:rFonts w:ascii="Arial" w:eastAsiaTheme="minorHAnsi" w:hAnsi="Arial" w:cs="Arial"/>
                <w:sz w:val="20"/>
                <w:szCs w:val="20"/>
              </w:rPr>
              <w:t>category.</w:t>
            </w:r>
            <w:proofErr w:type="gramEnd"/>
            <w:r w:rsidRPr="00454B84">
              <w:rPr>
                <w:rFonts w:ascii="Arial" w:eastAsiaTheme="minorHAnsi" w:hAnsi="Arial" w:cs="Arial"/>
                <w:sz w:val="20"/>
                <w:szCs w:val="20"/>
              </w:rPr>
              <w:t xml:space="preserve">  These estimates have been reviewed by a number of operators and confirmed as being representative of “real” vehicles of the category.</w:t>
            </w:r>
          </w:p>
        </w:tc>
      </w:tr>
      <w:tr w:rsidR="00614F8B" w:rsidRPr="00454B84" w:rsidTr="00B261AC">
        <w:trPr>
          <w:trHeight w:val="460"/>
        </w:trPr>
        <w:tc>
          <w:tcPr>
            <w:tcW w:w="3085"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Fuel consumption estimates:</w:t>
            </w:r>
          </w:p>
        </w:tc>
        <w:tc>
          <w:tcPr>
            <w:tcW w:w="12268"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 xml:space="preserve">Are predictions based on accumulated averages where operation is nominally 50% unladen and 50% </w:t>
            </w:r>
            <w:proofErr w:type="gramStart"/>
            <w:r w:rsidRPr="00454B84">
              <w:rPr>
                <w:rFonts w:ascii="Arial" w:eastAsiaTheme="minorHAnsi" w:hAnsi="Arial" w:cs="Arial"/>
                <w:sz w:val="20"/>
                <w:szCs w:val="20"/>
              </w:rPr>
              <w:t>laden.</w:t>
            </w:r>
            <w:proofErr w:type="gramEnd"/>
            <w:r w:rsidRPr="00454B84">
              <w:rPr>
                <w:rFonts w:ascii="Arial" w:eastAsiaTheme="minorHAnsi" w:hAnsi="Arial" w:cs="Arial"/>
                <w:sz w:val="20"/>
                <w:szCs w:val="20"/>
              </w:rPr>
              <w:t xml:space="preserve">  Actual consumption will vary with operating conditions.</w:t>
            </w:r>
          </w:p>
        </w:tc>
      </w:tr>
      <w:tr w:rsidR="00614F8B" w:rsidRPr="00454B84" w:rsidTr="00B261AC">
        <w:trPr>
          <w:trHeight w:val="460"/>
        </w:trPr>
        <w:tc>
          <w:tcPr>
            <w:tcW w:w="3085"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Emissions:</w:t>
            </w:r>
          </w:p>
        </w:tc>
        <w:tc>
          <w:tcPr>
            <w:tcW w:w="12268"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Reference is based on total fuel consumption only.</w:t>
            </w:r>
          </w:p>
        </w:tc>
      </w:tr>
      <w:tr w:rsidR="00614F8B" w:rsidRPr="00454B84" w:rsidTr="00B261AC">
        <w:trPr>
          <w:trHeight w:val="460"/>
        </w:trPr>
        <w:tc>
          <w:tcPr>
            <w:tcW w:w="3085"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20 metre 7 axle Truck &amp; Dog:</w:t>
            </w:r>
          </w:p>
        </w:tc>
        <w:tc>
          <w:tcPr>
            <w:tcW w:w="12268"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 xml:space="preserve">The maximum allowable mass limits for this combination at either </w:t>
            </w:r>
            <w:proofErr w:type="spellStart"/>
            <w:r w:rsidRPr="00454B84">
              <w:rPr>
                <w:rFonts w:ascii="Arial" w:eastAsiaTheme="minorHAnsi" w:hAnsi="Arial" w:cs="Arial"/>
                <w:sz w:val="20"/>
                <w:szCs w:val="20"/>
              </w:rPr>
              <w:t>CML</w:t>
            </w:r>
            <w:proofErr w:type="spellEnd"/>
            <w:r w:rsidRPr="00454B84">
              <w:rPr>
                <w:rFonts w:ascii="Arial" w:eastAsiaTheme="minorHAnsi" w:hAnsi="Arial" w:cs="Arial"/>
                <w:sz w:val="20"/>
                <w:szCs w:val="20"/>
              </w:rPr>
              <w:t xml:space="preserve"> or HML (for standard combination) is 55.5 tonnes.</w:t>
            </w:r>
          </w:p>
        </w:tc>
      </w:tr>
      <w:tr w:rsidR="00614F8B" w:rsidRPr="00454B84" w:rsidTr="00B261AC">
        <w:trPr>
          <w:trHeight w:val="460"/>
        </w:trPr>
        <w:tc>
          <w:tcPr>
            <w:tcW w:w="3085"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19 metre 7 Axle B-double:</w:t>
            </w:r>
          </w:p>
        </w:tc>
        <w:tc>
          <w:tcPr>
            <w:tcW w:w="12268"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 xml:space="preserve">The maximum allowable mass limits for this combination at either </w:t>
            </w:r>
            <w:proofErr w:type="spellStart"/>
            <w:r w:rsidRPr="00454B84">
              <w:rPr>
                <w:rFonts w:ascii="Arial" w:eastAsiaTheme="minorHAnsi" w:hAnsi="Arial" w:cs="Arial"/>
                <w:sz w:val="20"/>
                <w:szCs w:val="20"/>
              </w:rPr>
              <w:t>CML</w:t>
            </w:r>
            <w:proofErr w:type="spellEnd"/>
            <w:r w:rsidRPr="00454B84">
              <w:rPr>
                <w:rFonts w:ascii="Arial" w:eastAsiaTheme="minorHAnsi" w:hAnsi="Arial" w:cs="Arial"/>
                <w:sz w:val="20"/>
                <w:szCs w:val="20"/>
              </w:rPr>
              <w:t xml:space="preserve"> or HML (for standard combination) is 55.5 tonnes.</w:t>
            </w:r>
          </w:p>
        </w:tc>
      </w:tr>
      <w:tr w:rsidR="00614F8B" w:rsidRPr="00454B84" w:rsidTr="00B261AC">
        <w:trPr>
          <w:trHeight w:val="460"/>
        </w:trPr>
        <w:tc>
          <w:tcPr>
            <w:tcW w:w="3085"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B-triple:</w:t>
            </w:r>
          </w:p>
        </w:tc>
        <w:tc>
          <w:tcPr>
            <w:tcW w:w="12268"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Consists of a complying B-double with an additional complying leading trailer.</w:t>
            </w:r>
          </w:p>
        </w:tc>
      </w:tr>
      <w:tr w:rsidR="00614F8B" w:rsidRPr="00454B84" w:rsidTr="00B261AC">
        <w:trPr>
          <w:trHeight w:val="460"/>
        </w:trPr>
        <w:tc>
          <w:tcPr>
            <w:tcW w:w="3085"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Converter Dolly:</w:t>
            </w:r>
          </w:p>
        </w:tc>
        <w:tc>
          <w:tcPr>
            <w:tcW w:w="12268"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 xml:space="preserve">All combinations utilizing a converter dolly are configured with a tandem axle.   The configured vertical imposed loading of a </w:t>
            </w:r>
            <w:proofErr w:type="spellStart"/>
            <w:r w:rsidRPr="00454B84">
              <w:rPr>
                <w:rFonts w:ascii="Arial" w:eastAsiaTheme="minorHAnsi" w:hAnsi="Arial" w:cs="Arial"/>
                <w:sz w:val="20"/>
                <w:szCs w:val="20"/>
              </w:rPr>
              <w:t>6x4</w:t>
            </w:r>
            <w:proofErr w:type="spellEnd"/>
            <w:r w:rsidRPr="00454B84">
              <w:rPr>
                <w:rFonts w:ascii="Arial" w:eastAsiaTheme="minorHAnsi" w:hAnsi="Arial" w:cs="Arial"/>
                <w:sz w:val="20"/>
                <w:szCs w:val="20"/>
              </w:rPr>
              <w:t xml:space="preserve"> prime mover is similar to the allowable imposed vertical loading of a tandem axle converter dolly.</w:t>
            </w:r>
          </w:p>
        </w:tc>
      </w:tr>
      <w:tr w:rsidR="00614F8B" w:rsidRPr="00454B84" w:rsidTr="00B261AC">
        <w:trPr>
          <w:trHeight w:val="460"/>
        </w:trPr>
        <w:tc>
          <w:tcPr>
            <w:tcW w:w="3085"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AB-triple:</w:t>
            </w:r>
          </w:p>
        </w:tc>
        <w:tc>
          <w:tcPr>
            <w:tcW w:w="12268"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Consists of a complying B-double with an additional complying road train leading trailer and a complying converter dolly.</w:t>
            </w:r>
          </w:p>
        </w:tc>
      </w:tr>
      <w:tr w:rsidR="00614F8B" w:rsidRPr="00454B84" w:rsidTr="00B261AC">
        <w:trPr>
          <w:trHeight w:val="460"/>
        </w:trPr>
        <w:tc>
          <w:tcPr>
            <w:tcW w:w="3085"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 xml:space="preserve">BAB-Quad:  </w:t>
            </w:r>
          </w:p>
        </w:tc>
        <w:tc>
          <w:tcPr>
            <w:tcW w:w="12268" w:type="dxa"/>
            <w:vAlign w:val="center"/>
          </w:tcPr>
          <w:p w:rsidR="00614F8B" w:rsidRPr="00454B84" w:rsidRDefault="00614F8B" w:rsidP="00614F8B">
            <w:pPr>
              <w:rPr>
                <w:rFonts w:ascii="Arial" w:eastAsiaTheme="minorHAnsi" w:hAnsi="Arial" w:cs="Arial"/>
                <w:sz w:val="20"/>
                <w:szCs w:val="20"/>
              </w:rPr>
            </w:pPr>
            <w:r w:rsidRPr="00454B84">
              <w:rPr>
                <w:rFonts w:ascii="Arial" w:eastAsiaTheme="minorHAnsi" w:hAnsi="Arial" w:cs="Arial"/>
                <w:sz w:val="20"/>
                <w:szCs w:val="20"/>
              </w:rPr>
              <w:t>Consists of a complying B-double with an additional complying converter dolly and additional complying set of B-double trailers.</w:t>
            </w:r>
          </w:p>
        </w:tc>
      </w:tr>
    </w:tbl>
    <w:p w:rsidR="00614F8B" w:rsidRPr="00454B84" w:rsidRDefault="00614F8B" w:rsidP="00614F8B">
      <w:pPr>
        <w:rPr>
          <w:rFonts w:ascii="Arial" w:eastAsiaTheme="minorHAnsi" w:hAnsi="Arial" w:cs="Arial"/>
          <w:sz w:val="20"/>
          <w:szCs w:val="20"/>
        </w:rPr>
      </w:pPr>
    </w:p>
    <w:p w:rsidR="00614F8B" w:rsidRPr="00454B84" w:rsidRDefault="00614F8B" w:rsidP="00614F8B">
      <w:pPr>
        <w:rPr>
          <w:rFonts w:ascii="Arial" w:eastAsiaTheme="minorHAnsi" w:hAnsi="Arial" w:cs="Arial"/>
          <w:sz w:val="20"/>
          <w:szCs w:val="20"/>
        </w:rPr>
      </w:pPr>
    </w:p>
    <w:p w:rsidR="00614F8B" w:rsidRPr="00454B84" w:rsidRDefault="00614F8B" w:rsidP="00614F8B">
      <w:pPr>
        <w:rPr>
          <w:rFonts w:ascii="Arial" w:eastAsiaTheme="minorHAnsi" w:hAnsi="Arial" w:cs="Arial"/>
          <w:sz w:val="20"/>
          <w:szCs w:val="20"/>
        </w:rPr>
      </w:pPr>
    </w:p>
    <w:p w:rsidR="00614F8B" w:rsidRPr="00454B84" w:rsidRDefault="00614F8B" w:rsidP="00614F8B">
      <w:pPr>
        <w:rPr>
          <w:rFonts w:ascii="Arial" w:eastAsiaTheme="minorHAnsi" w:hAnsi="Arial" w:cs="Arial"/>
          <w:sz w:val="20"/>
          <w:szCs w:val="20"/>
        </w:rPr>
      </w:pPr>
    </w:p>
    <w:p w:rsidR="00614F8B" w:rsidRPr="00454B84" w:rsidRDefault="00614F8B" w:rsidP="00614F8B">
      <w:pPr>
        <w:rPr>
          <w:rFonts w:ascii="Arial" w:eastAsiaTheme="minorHAnsi" w:hAnsi="Arial" w:cs="Arial"/>
          <w:sz w:val="20"/>
          <w:szCs w:val="20"/>
        </w:rPr>
      </w:pPr>
    </w:p>
    <w:p w:rsidR="00614F8B" w:rsidRPr="00454B84" w:rsidRDefault="00614F8B" w:rsidP="00614F8B">
      <w:pPr>
        <w:rPr>
          <w:rFonts w:ascii="Arial" w:eastAsiaTheme="minorHAnsi" w:hAnsi="Arial" w:cs="Arial"/>
          <w:b/>
          <w:i/>
          <w:sz w:val="20"/>
          <w:szCs w:val="20"/>
        </w:rPr>
      </w:pPr>
    </w:p>
    <w:p w:rsidR="00614F8B" w:rsidRPr="00454B84" w:rsidRDefault="00614F8B" w:rsidP="00614F8B">
      <w:pPr>
        <w:rPr>
          <w:rFonts w:ascii="Arial" w:eastAsiaTheme="minorHAnsi" w:hAnsi="Arial" w:cs="Arial"/>
          <w:b/>
          <w:i/>
          <w:sz w:val="20"/>
          <w:szCs w:val="20"/>
        </w:rPr>
      </w:pPr>
      <w:r w:rsidRPr="00454B84">
        <w:rPr>
          <w:rFonts w:ascii="Arial" w:eastAsiaTheme="minorHAnsi" w:hAnsi="Arial" w:cs="Arial"/>
          <w:b/>
          <w:i/>
          <w:sz w:val="20"/>
          <w:szCs w:val="20"/>
        </w:rPr>
        <w:br w:type="page"/>
      </w:r>
    </w:p>
    <w:p w:rsidR="00614F8B" w:rsidRPr="00454B84" w:rsidRDefault="00614F8B" w:rsidP="00614F8B">
      <w:pPr>
        <w:rPr>
          <w:rFonts w:ascii="Arial" w:eastAsiaTheme="minorHAnsi" w:hAnsi="Arial" w:cs="Arial"/>
          <w:b/>
          <w:i/>
          <w:sz w:val="20"/>
          <w:szCs w:val="20"/>
        </w:rPr>
      </w:pPr>
      <w:r w:rsidRPr="00454B84">
        <w:rPr>
          <w:rFonts w:ascii="Arial" w:eastAsiaTheme="minorHAnsi" w:hAnsi="Arial" w:cs="Arial"/>
          <w:b/>
          <w:i/>
          <w:noProof/>
          <w:sz w:val="20"/>
          <w:szCs w:val="20"/>
          <w:lang w:eastAsia="en-AU"/>
        </w:rPr>
        <w:lastRenderedPageBreak/>
        <w:drawing>
          <wp:anchor distT="0" distB="0" distL="114300" distR="114300" simplePos="0" relativeHeight="251659264" behindDoc="1" locked="0" layoutInCell="1" allowOverlap="1">
            <wp:simplePos x="0" y="0"/>
            <wp:positionH relativeFrom="column">
              <wp:posOffset>-1929765</wp:posOffset>
            </wp:positionH>
            <wp:positionV relativeFrom="paragraph">
              <wp:posOffset>1623060</wp:posOffset>
            </wp:positionV>
            <wp:extent cx="9620250" cy="6120130"/>
            <wp:effectExtent l="0" t="1752600" r="0" b="172847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rot="5400000">
                      <a:off x="0" y="0"/>
                      <a:ext cx="9620250" cy="6120130"/>
                    </a:xfrm>
                    <a:prstGeom prst="rect">
                      <a:avLst/>
                    </a:prstGeom>
                    <a:noFill/>
                    <a:ln w="9525">
                      <a:noFill/>
                      <a:miter lim="800000"/>
                      <a:headEnd/>
                      <a:tailEnd/>
                    </a:ln>
                  </pic:spPr>
                </pic:pic>
              </a:graphicData>
            </a:graphic>
          </wp:anchor>
        </w:drawing>
      </w:r>
    </w:p>
    <w:p w:rsidR="00614F8B" w:rsidRPr="00454B84" w:rsidRDefault="00614F8B" w:rsidP="00614F8B">
      <w:pPr>
        <w:rPr>
          <w:rFonts w:ascii="Arial" w:eastAsiaTheme="minorHAnsi" w:hAnsi="Arial" w:cs="Arial"/>
          <w:b/>
          <w:i/>
          <w:sz w:val="20"/>
          <w:szCs w:val="20"/>
        </w:rPr>
      </w:pPr>
    </w:p>
    <w:p w:rsidR="00614F8B" w:rsidRPr="00454B84" w:rsidRDefault="00614F8B" w:rsidP="00614F8B">
      <w:pPr>
        <w:rPr>
          <w:rFonts w:ascii="Arial" w:eastAsiaTheme="minorHAnsi" w:hAnsi="Arial" w:cs="Arial"/>
          <w:b/>
          <w:i/>
          <w:sz w:val="20"/>
          <w:szCs w:val="20"/>
        </w:rPr>
      </w:pPr>
    </w:p>
    <w:p w:rsidR="00614F8B" w:rsidRPr="00454B84" w:rsidRDefault="00614F8B" w:rsidP="00614F8B">
      <w:pPr>
        <w:rPr>
          <w:rFonts w:ascii="Arial" w:eastAsiaTheme="minorHAnsi" w:hAnsi="Arial" w:cs="Arial"/>
          <w:b/>
          <w:i/>
          <w:sz w:val="20"/>
          <w:szCs w:val="20"/>
        </w:rPr>
      </w:pPr>
    </w:p>
    <w:sectPr w:rsidR="00614F8B" w:rsidRPr="00454B84" w:rsidSect="00B611F2">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6A0" w:rsidRDefault="001056A0" w:rsidP="000F3D9F">
      <w:r>
        <w:separator/>
      </w:r>
    </w:p>
  </w:endnote>
  <w:endnote w:type="continuationSeparator" w:id="0">
    <w:p w:rsidR="001056A0" w:rsidRDefault="001056A0" w:rsidP="000F3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A0" w:rsidRDefault="001056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A0" w:rsidRPr="0062031D" w:rsidRDefault="001056A0"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1056A0" w:rsidRPr="0062031D" w:rsidRDefault="001056A0"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1056A0" w:rsidRPr="0062031D" w:rsidRDefault="001056A0"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1056A0" w:rsidRPr="00E8056B" w:rsidRDefault="001056A0" w:rsidP="0062031D">
    <w:pPr>
      <w:ind w:right="-426"/>
      <w:jc w:val="right"/>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A0" w:rsidRDefault="001056A0">
    <w:pPr>
      <w:pStyle w:val="Footer"/>
      <w:jc w:val="right"/>
    </w:pPr>
    <w:fldSimple w:instr=" PAGE   \* MERGEFORMAT ">
      <w:r>
        <w:rPr>
          <w:noProof/>
        </w:rPr>
        <w:t>7</w:t>
      </w:r>
    </w:fldSimple>
  </w:p>
  <w:p w:rsidR="001056A0" w:rsidRDefault="001056A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A0" w:rsidRDefault="001056A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1056A0" w:rsidRPr="00A91411" w:rsidTr="00166E38">
      <w:trPr>
        <w:trHeight w:val="278"/>
      </w:trPr>
      <w:tc>
        <w:tcPr>
          <w:tcW w:w="4927" w:type="dxa"/>
          <w:vAlign w:val="center"/>
        </w:tcPr>
        <w:p w:rsidR="001056A0" w:rsidRPr="00A91411" w:rsidRDefault="001056A0" w:rsidP="00166E38">
          <w:pPr>
            <w:pStyle w:val="Footer"/>
            <w:rPr>
              <w:rFonts w:ascii="Arial" w:hAnsi="Arial" w:cs="Arial"/>
              <w:sz w:val="14"/>
              <w:szCs w:val="14"/>
            </w:rPr>
          </w:pPr>
          <w:r>
            <w:rPr>
              <w:rFonts w:ascii="Arial" w:hAnsi="Arial" w:cs="Arial"/>
              <w:sz w:val="14"/>
              <w:szCs w:val="14"/>
            </w:rPr>
            <w:t xml:space="preserve">ATA </w:t>
          </w:r>
          <w:r w:rsidRPr="00A91411">
            <w:rPr>
              <w:rFonts w:ascii="Arial" w:hAnsi="Arial" w:cs="Arial"/>
              <w:sz w:val="14"/>
              <w:szCs w:val="14"/>
            </w:rPr>
            <w:t xml:space="preserve">Submission </w:t>
          </w:r>
          <w:r>
            <w:rPr>
              <w:rFonts w:ascii="Arial" w:hAnsi="Arial" w:cs="Arial"/>
              <w:sz w:val="14"/>
              <w:szCs w:val="14"/>
            </w:rPr>
            <w:t>:Productivity Commission: Public Infrastructure</w:t>
          </w:r>
        </w:p>
      </w:tc>
      <w:tc>
        <w:tcPr>
          <w:tcW w:w="4927" w:type="dxa"/>
          <w:vAlign w:val="center"/>
        </w:tcPr>
        <w:p w:rsidR="001056A0" w:rsidRPr="00A91411" w:rsidRDefault="001056A0"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95241B">
            <w:rPr>
              <w:rFonts w:ascii="Arial" w:hAnsi="Arial" w:cs="Arial"/>
              <w:noProof/>
              <w:sz w:val="14"/>
              <w:szCs w:val="14"/>
            </w:rPr>
            <w:t>2</w:t>
          </w:r>
          <w:r w:rsidRPr="00A91411">
            <w:rPr>
              <w:rFonts w:ascii="Arial" w:hAnsi="Arial" w:cs="Arial"/>
              <w:sz w:val="14"/>
              <w:szCs w:val="14"/>
            </w:rPr>
            <w:fldChar w:fldCharType="end"/>
          </w:r>
        </w:p>
      </w:tc>
    </w:tr>
  </w:tbl>
  <w:p w:rsidR="001056A0" w:rsidRPr="00A91411" w:rsidRDefault="001056A0">
    <w:pPr>
      <w:rPr>
        <w:sz w:val="4"/>
        <w:szCs w:val="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A0" w:rsidRDefault="00105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6A0" w:rsidRDefault="001056A0" w:rsidP="000F3D9F">
      <w:r>
        <w:separator/>
      </w:r>
    </w:p>
  </w:footnote>
  <w:footnote w:type="continuationSeparator" w:id="0">
    <w:p w:rsidR="001056A0" w:rsidRDefault="001056A0" w:rsidP="000F3D9F">
      <w:r>
        <w:continuationSeparator/>
      </w:r>
    </w:p>
  </w:footnote>
  <w:footnote w:id="1">
    <w:p w:rsidR="001056A0" w:rsidRPr="004E58D9" w:rsidRDefault="001056A0">
      <w:pPr>
        <w:pStyle w:val="FootnoteText"/>
        <w:rPr>
          <w:rFonts w:ascii="Arial" w:hAnsi="Arial" w:cs="Arial"/>
          <w:sz w:val="16"/>
          <w:szCs w:val="16"/>
        </w:rPr>
      </w:pPr>
      <w:r w:rsidRPr="004E58D9">
        <w:rPr>
          <w:rStyle w:val="FootnoteReference"/>
          <w:rFonts w:ascii="Arial" w:hAnsi="Arial" w:cs="Arial"/>
          <w:sz w:val="16"/>
          <w:szCs w:val="16"/>
        </w:rPr>
        <w:footnoteRef/>
      </w:r>
      <w:r w:rsidRPr="004E58D9">
        <w:rPr>
          <w:rFonts w:ascii="Arial" w:hAnsi="Arial" w:cs="Arial"/>
          <w:sz w:val="16"/>
          <w:szCs w:val="16"/>
        </w:rPr>
        <w:t xml:space="preserve"> Page 23 – PricewaterhouseCoopers: A future strategy for road supply and charging in Australia 2013</w:t>
      </w:r>
    </w:p>
  </w:footnote>
  <w:footnote w:id="2">
    <w:p w:rsidR="001056A0" w:rsidRPr="004E58D9" w:rsidRDefault="001056A0" w:rsidP="00266B74">
      <w:pPr>
        <w:pStyle w:val="FootnoteText"/>
        <w:rPr>
          <w:rFonts w:ascii="Arial" w:hAnsi="Arial" w:cs="Arial"/>
          <w:sz w:val="16"/>
          <w:szCs w:val="16"/>
        </w:rPr>
      </w:pPr>
      <w:r w:rsidRPr="004E58D9">
        <w:rPr>
          <w:rStyle w:val="FootnoteReference"/>
          <w:rFonts w:ascii="Arial" w:hAnsi="Arial" w:cs="Arial"/>
          <w:sz w:val="16"/>
          <w:szCs w:val="16"/>
        </w:rPr>
        <w:footnoteRef/>
      </w:r>
      <w:r w:rsidRPr="004E58D9">
        <w:rPr>
          <w:rFonts w:ascii="Arial" w:hAnsi="Arial" w:cs="Arial"/>
          <w:sz w:val="16"/>
          <w:szCs w:val="16"/>
        </w:rPr>
        <w:t xml:space="preserve"> Page 32 – PricewaterhouseCoopers: A future strategy for road supply and charging in Australia 2013</w:t>
      </w:r>
    </w:p>
  </w:footnote>
  <w:footnote w:id="3">
    <w:p w:rsidR="001056A0" w:rsidRPr="004E58D9" w:rsidRDefault="001056A0" w:rsidP="000B10C9">
      <w:pPr>
        <w:pStyle w:val="FootnoteText"/>
        <w:rPr>
          <w:rFonts w:ascii="Arial" w:hAnsi="Arial" w:cs="Arial"/>
          <w:sz w:val="16"/>
          <w:szCs w:val="16"/>
        </w:rPr>
      </w:pPr>
      <w:r w:rsidRPr="004E58D9">
        <w:rPr>
          <w:rStyle w:val="FootnoteReference"/>
          <w:rFonts w:ascii="Arial" w:hAnsi="Arial" w:cs="Arial"/>
          <w:sz w:val="16"/>
          <w:szCs w:val="16"/>
        </w:rPr>
        <w:footnoteRef/>
      </w:r>
      <w:r w:rsidRPr="004E58D9">
        <w:rPr>
          <w:rFonts w:ascii="Arial" w:hAnsi="Arial" w:cs="Arial"/>
          <w:sz w:val="16"/>
          <w:szCs w:val="16"/>
        </w:rPr>
        <w:t xml:space="preserve"> Page 32 – PricewaterhouseCoopers: A future strategy for road supply and charging in Australia 2013</w:t>
      </w:r>
    </w:p>
  </w:footnote>
  <w:footnote w:id="4">
    <w:p w:rsidR="001056A0" w:rsidRPr="004E58D9" w:rsidRDefault="001056A0" w:rsidP="00166E38">
      <w:pPr>
        <w:pStyle w:val="FootnoteText"/>
        <w:rPr>
          <w:rFonts w:ascii="Arial" w:hAnsi="Arial" w:cs="Arial"/>
          <w:sz w:val="16"/>
          <w:szCs w:val="16"/>
        </w:rPr>
      </w:pPr>
      <w:r w:rsidRPr="004E58D9">
        <w:rPr>
          <w:rStyle w:val="FootnoteReference"/>
          <w:rFonts w:ascii="Arial" w:hAnsi="Arial" w:cs="Arial"/>
          <w:sz w:val="16"/>
          <w:szCs w:val="16"/>
        </w:rPr>
        <w:footnoteRef/>
      </w:r>
      <w:r w:rsidRPr="004E58D9">
        <w:rPr>
          <w:rFonts w:ascii="Arial" w:hAnsi="Arial" w:cs="Arial"/>
          <w:sz w:val="16"/>
          <w:szCs w:val="16"/>
        </w:rPr>
        <w:t xml:space="preserve"> Page 4 - Caravel to Infrastructure Australia: A Review of Project Governance Effectiveness in Australia, March 2013</w:t>
      </w:r>
    </w:p>
  </w:footnote>
  <w:footnote w:id="5">
    <w:p w:rsidR="001056A0" w:rsidRPr="004E58D9" w:rsidRDefault="001056A0" w:rsidP="00166E38">
      <w:pPr>
        <w:pStyle w:val="FootnoteText"/>
        <w:rPr>
          <w:rFonts w:ascii="Arial" w:hAnsi="Arial" w:cs="Arial"/>
          <w:sz w:val="16"/>
          <w:szCs w:val="16"/>
        </w:rPr>
      </w:pPr>
      <w:r w:rsidRPr="004E58D9">
        <w:rPr>
          <w:rStyle w:val="FootnoteReference"/>
          <w:rFonts w:ascii="Arial" w:hAnsi="Arial" w:cs="Arial"/>
          <w:sz w:val="16"/>
          <w:szCs w:val="16"/>
        </w:rPr>
        <w:footnoteRef/>
      </w:r>
      <w:r w:rsidRPr="004E58D9">
        <w:rPr>
          <w:rFonts w:ascii="Arial" w:hAnsi="Arial" w:cs="Arial"/>
          <w:sz w:val="16"/>
          <w:szCs w:val="16"/>
        </w:rPr>
        <w:t xml:space="preserve"> Page 5 - Caravel to Infrastructure Australia: A Review of Project Governance Effectiveness in Australia, March 2013</w:t>
      </w:r>
    </w:p>
  </w:footnote>
  <w:footnote w:id="6">
    <w:p w:rsidR="001056A0" w:rsidRPr="004E58D9" w:rsidRDefault="001056A0" w:rsidP="001D446D">
      <w:pPr>
        <w:pStyle w:val="FootnoteText"/>
        <w:rPr>
          <w:rFonts w:ascii="Arial" w:hAnsi="Arial" w:cs="Arial"/>
          <w:sz w:val="16"/>
          <w:szCs w:val="16"/>
        </w:rPr>
      </w:pPr>
      <w:r w:rsidRPr="004E58D9">
        <w:rPr>
          <w:rStyle w:val="FootnoteReference"/>
          <w:rFonts w:ascii="Arial" w:hAnsi="Arial" w:cs="Arial"/>
          <w:sz w:val="16"/>
          <w:szCs w:val="16"/>
        </w:rPr>
        <w:footnoteRef/>
      </w:r>
      <w:r w:rsidRPr="004E58D9">
        <w:rPr>
          <w:rFonts w:ascii="Arial" w:hAnsi="Arial" w:cs="Arial"/>
          <w:sz w:val="16"/>
          <w:szCs w:val="16"/>
        </w:rPr>
        <w:t xml:space="preserve"> </w:t>
      </w:r>
      <w:hyperlink r:id="rId1" w:history="1">
        <w:r w:rsidRPr="004E58D9">
          <w:rPr>
            <w:rStyle w:val="Hyperlink"/>
            <w:rFonts w:ascii="Arial" w:hAnsi="Arial" w:cs="Arial"/>
            <w:sz w:val="16"/>
            <w:szCs w:val="16"/>
          </w:rPr>
          <w:t>http://www.treasury.nsw.gov.au/ppp/working_with_government_wwg_guidelines_for_privately_financed_projects</w:t>
        </w:r>
      </w:hyperlink>
    </w:p>
  </w:footnote>
  <w:footnote w:id="7">
    <w:p w:rsidR="001056A0" w:rsidRPr="004E58D9" w:rsidRDefault="001056A0" w:rsidP="001D446D">
      <w:pPr>
        <w:pStyle w:val="Default"/>
        <w:rPr>
          <w:rFonts w:ascii="Arial" w:hAnsi="Arial" w:cs="Arial"/>
          <w:sz w:val="16"/>
          <w:szCs w:val="16"/>
        </w:rPr>
      </w:pPr>
      <w:r w:rsidRPr="004E58D9">
        <w:rPr>
          <w:rStyle w:val="FootnoteReference"/>
          <w:rFonts w:ascii="Arial" w:hAnsi="Arial" w:cs="Arial"/>
          <w:sz w:val="16"/>
          <w:szCs w:val="16"/>
        </w:rPr>
        <w:footnoteRef/>
      </w:r>
      <w:r w:rsidRPr="004E58D9">
        <w:rPr>
          <w:rFonts w:ascii="Arial" w:hAnsi="Arial" w:cs="Arial"/>
          <w:sz w:val="16"/>
          <w:szCs w:val="16"/>
        </w:rPr>
        <w:t xml:space="preserve"> Page V  - National Transport Commission  Modelling the Marginal Cost of Road Wear Research Paper May 2011</w:t>
      </w:r>
    </w:p>
  </w:footnote>
  <w:footnote w:id="8">
    <w:p w:rsidR="001056A0" w:rsidRPr="004E58D9" w:rsidRDefault="001056A0" w:rsidP="001D446D">
      <w:pPr>
        <w:pStyle w:val="FootnoteText"/>
        <w:rPr>
          <w:rFonts w:ascii="Arial" w:hAnsi="Arial" w:cs="Arial"/>
          <w:sz w:val="16"/>
          <w:szCs w:val="16"/>
        </w:rPr>
      </w:pPr>
      <w:r w:rsidRPr="004E58D9">
        <w:rPr>
          <w:rStyle w:val="FootnoteReference"/>
          <w:rFonts w:ascii="Arial" w:hAnsi="Arial" w:cs="Arial"/>
          <w:sz w:val="16"/>
          <w:szCs w:val="16"/>
        </w:rPr>
        <w:footnoteRef/>
      </w:r>
      <w:r w:rsidRPr="004E58D9">
        <w:rPr>
          <w:rFonts w:ascii="Arial" w:hAnsi="Arial" w:cs="Arial"/>
          <w:sz w:val="16"/>
          <w:szCs w:val="16"/>
        </w:rPr>
        <w:t xml:space="preserve"> NTC Heavy Vehicle charges determination regulatory impact statement volume I, December 2007</w:t>
      </w:r>
    </w:p>
  </w:footnote>
  <w:footnote w:id="9">
    <w:p w:rsidR="001056A0" w:rsidRPr="004E58D9" w:rsidRDefault="001056A0" w:rsidP="001D446D">
      <w:pPr>
        <w:pStyle w:val="FootnoteText"/>
        <w:rPr>
          <w:rFonts w:ascii="Arial" w:hAnsi="Arial" w:cs="Arial"/>
          <w:sz w:val="16"/>
          <w:szCs w:val="16"/>
        </w:rPr>
      </w:pPr>
      <w:r w:rsidRPr="004E58D9">
        <w:rPr>
          <w:rStyle w:val="FootnoteReference"/>
          <w:rFonts w:ascii="Arial" w:hAnsi="Arial" w:cs="Arial"/>
          <w:sz w:val="16"/>
          <w:szCs w:val="16"/>
        </w:rPr>
        <w:footnoteRef/>
      </w:r>
      <w:r w:rsidRPr="004E58D9">
        <w:rPr>
          <w:rFonts w:ascii="Arial" w:hAnsi="Arial" w:cs="Arial"/>
          <w:sz w:val="16"/>
          <w:szCs w:val="16"/>
        </w:rPr>
        <w:t xml:space="preserve"> Page 27 – PricewaterhouseCoopers: A future strategy for road supply and charging in Australia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A0" w:rsidRDefault="001056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A0" w:rsidRDefault="001056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A0" w:rsidRPr="00E8056B" w:rsidRDefault="001056A0"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1056A0" w:rsidRDefault="001056A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A0" w:rsidRDefault="001056A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A0" w:rsidRPr="0062031D" w:rsidRDefault="001056A0" w:rsidP="0062031D">
    <w:pPr>
      <w:pStyle w:val="Header"/>
      <w:rPr>
        <w:rFonts w:ascii="Arial" w:hAnsi="Arial" w:cs="Arial"/>
        <w:color w:val="000064"/>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rsidR="001056A0" w:rsidRPr="0062031D" w:rsidRDefault="001056A0" w:rsidP="0062031D">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A0" w:rsidRDefault="00105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9BC"/>
    <w:multiLevelType w:val="multilevel"/>
    <w:tmpl w:val="CC4E73A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BCC344F"/>
    <w:multiLevelType w:val="hybridMultilevel"/>
    <w:tmpl w:val="D61E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2F01C3"/>
    <w:multiLevelType w:val="multilevel"/>
    <w:tmpl w:val="9B92B74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DD15484"/>
    <w:multiLevelType w:val="multilevel"/>
    <w:tmpl w:val="0F94224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D1A4518"/>
    <w:multiLevelType w:val="hybridMultilevel"/>
    <w:tmpl w:val="CE1EE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44855F3E"/>
    <w:multiLevelType w:val="hybridMultilevel"/>
    <w:tmpl w:val="39D4C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6D3BE4"/>
    <w:multiLevelType w:val="multilevel"/>
    <w:tmpl w:val="A502E7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2B07160"/>
    <w:multiLevelType w:val="multilevel"/>
    <w:tmpl w:val="63BE0FA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55B722F3"/>
    <w:multiLevelType w:val="hybridMultilevel"/>
    <w:tmpl w:val="F5EC0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E3278A"/>
    <w:multiLevelType w:val="hybridMultilevel"/>
    <w:tmpl w:val="26C0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5D8F7970"/>
    <w:multiLevelType w:val="hybridMultilevel"/>
    <w:tmpl w:val="333E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9A6C50"/>
    <w:multiLevelType w:val="multilevel"/>
    <w:tmpl w:val="0BB436D4"/>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C176076"/>
    <w:multiLevelType w:val="multilevel"/>
    <w:tmpl w:val="9C5A98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5"/>
  </w:num>
  <w:num w:numId="3">
    <w:abstractNumId w:val="4"/>
  </w:num>
  <w:num w:numId="4">
    <w:abstractNumId w:val="1"/>
  </w:num>
  <w:num w:numId="5">
    <w:abstractNumId w:val="13"/>
  </w:num>
  <w:num w:numId="6">
    <w:abstractNumId w:val="6"/>
  </w:num>
  <w:num w:numId="7">
    <w:abstractNumId w:val="11"/>
  </w:num>
  <w:num w:numId="8">
    <w:abstractNumId w:val="14"/>
  </w:num>
  <w:num w:numId="9">
    <w:abstractNumId w:val="11"/>
  </w:num>
  <w:num w:numId="10">
    <w:abstractNumId w:val="11"/>
  </w:num>
  <w:num w:numId="11">
    <w:abstractNumId w:val="11"/>
  </w:num>
  <w:num w:numId="12">
    <w:abstractNumId w:val="11"/>
  </w:num>
  <w:num w:numId="13">
    <w:abstractNumId w:val="11"/>
  </w:num>
  <w:num w:numId="14">
    <w:abstractNumId w:val="8"/>
  </w:num>
  <w:num w:numId="15">
    <w:abstractNumId w:val="2"/>
  </w:num>
  <w:num w:numId="16">
    <w:abstractNumId w:val="10"/>
  </w:num>
  <w:num w:numId="17">
    <w:abstractNumId w:val="5"/>
  </w:num>
  <w:num w:numId="18">
    <w:abstractNumId w:val="12"/>
  </w:num>
  <w:num w:numId="19">
    <w:abstractNumId w:val="5"/>
  </w:num>
  <w:num w:numId="20">
    <w:abstractNumId w:val="5"/>
  </w:num>
  <w:num w:numId="21">
    <w:abstractNumId w:val="5"/>
  </w:num>
  <w:num w:numId="22">
    <w:abstractNumId w:val="9"/>
  </w:num>
  <w:num w:numId="23">
    <w:abstractNumId w:val="5"/>
  </w:num>
  <w:num w:numId="24">
    <w:abstractNumId w:val="5"/>
  </w:num>
  <w:num w:numId="25">
    <w:abstractNumId w:val="7"/>
  </w:num>
  <w:num w:numId="26">
    <w:abstractNumId w:val="3"/>
  </w:num>
  <w:num w:numId="2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C1627A"/>
    <w:rsid w:val="0000159D"/>
    <w:rsid w:val="00003F14"/>
    <w:rsid w:val="00004DB4"/>
    <w:rsid w:val="00005E0D"/>
    <w:rsid w:val="000118F7"/>
    <w:rsid w:val="00011D52"/>
    <w:rsid w:val="00014B23"/>
    <w:rsid w:val="000156D1"/>
    <w:rsid w:val="00023B28"/>
    <w:rsid w:val="00025A7B"/>
    <w:rsid w:val="00025C3E"/>
    <w:rsid w:val="00035CFC"/>
    <w:rsid w:val="0004076B"/>
    <w:rsid w:val="00040876"/>
    <w:rsid w:val="00040D17"/>
    <w:rsid w:val="00040D26"/>
    <w:rsid w:val="0004192B"/>
    <w:rsid w:val="00043430"/>
    <w:rsid w:val="00043AF0"/>
    <w:rsid w:val="00044533"/>
    <w:rsid w:val="00046042"/>
    <w:rsid w:val="00050881"/>
    <w:rsid w:val="00052E9C"/>
    <w:rsid w:val="00056848"/>
    <w:rsid w:val="000614BF"/>
    <w:rsid w:val="0006283B"/>
    <w:rsid w:val="0007542B"/>
    <w:rsid w:val="00075E7B"/>
    <w:rsid w:val="00076C90"/>
    <w:rsid w:val="00083C15"/>
    <w:rsid w:val="000848A1"/>
    <w:rsid w:val="000868C6"/>
    <w:rsid w:val="000875E7"/>
    <w:rsid w:val="00095C3B"/>
    <w:rsid w:val="000963BE"/>
    <w:rsid w:val="000A102A"/>
    <w:rsid w:val="000A151F"/>
    <w:rsid w:val="000A2BCF"/>
    <w:rsid w:val="000A3F4E"/>
    <w:rsid w:val="000A4EB0"/>
    <w:rsid w:val="000A62F7"/>
    <w:rsid w:val="000B069A"/>
    <w:rsid w:val="000B10C9"/>
    <w:rsid w:val="000B351D"/>
    <w:rsid w:val="000B4161"/>
    <w:rsid w:val="000B4942"/>
    <w:rsid w:val="000B6D2A"/>
    <w:rsid w:val="000B773A"/>
    <w:rsid w:val="000B7D23"/>
    <w:rsid w:val="000C01AC"/>
    <w:rsid w:val="000C0C35"/>
    <w:rsid w:val="000C15B7"/>
    <w:rsid w:val="000C30F1"/>
    <w:rsid w:val="000C310A"/>
    <w:rsid w:val="000C58B5"/>
    <w:rsid w:val="000C594D"/>
    <w:rsid w:val="000C5B48"/>
    <w:rsid w:val="000C7A6C"/>
    <w:rsid w:val="000D0FE5"/>
    <w:rsid w:val="000D180B"/>
    <w:rsid w:val="000D274C"/>
    <w:rsid w:val="000D528B"/>
    <w:rsid w:val="000D6381"/>
    <w:rsid w:val="000D6454"/>
    <w:rsid w:val="000E408F"/>
    <w:rsid w:val="000E67CA"/>
    <w:rsid w:val="000E7B14"/>
    <w:rsid w:val="000F080E"/>
    <w:rsid w:val="000F0F7B"/>
    <w:rsid w:val="000F30FF"/>
    <w:rsid w:val="000F349D"/>
    <w:rsid w:val="000F3D9F"/>
    <w:rsid w:val="000F53C2"/>
    <w:rsid w:val="000F566E"/>
    <w:rsid w:val="000F7543"/>
    <w:rsid w:val="000F7F6F"/>
    <w:rsid w:val="00100ED4"/>
    <w:rsid w:val="001016E8"/>
    <w:rsid w:val="001019C0"/>
    <w:rsid w:val="00101EAF"/>
    <w:rsid w:val="001025C9"/>
    <w:rsid w:val="001056A0"/>
    <w:rsid w:val="00110610"/>
    <w:rsid w:val="001202C1"/>
    <w:rsid w:val="00121418"/>
    <w:rsid w:val="00121A53"/>
    <w:rsid w:val="00121A86"/>
    <w:rsid w:val="00124915"/>
    <w:rsid w:val="00125795"/>
    <w:rsid w:val="0013041A"/>
    <w:rsid w:val="00134A9F"/>
    <w:rsid w:val="001368EB"/>
    <w:rsid w:val="0013765E"/>
    <w:rsid w:val="00141274"/>
    <w:rsid w:val="0014437E"/>
    <w:rsid w:val="00145022"/>
    <w:rsid w:val="001463C2"/>
    <w:rsid w:val="0014683D"/>
    <w:rsid w:val="001475F7"/>
    <w:rsid w:val="00150065"/>
    <w:rsid w:val="0015168F"/>
    <w:rsid w:val="00151950"/>
    <w:rsid w:val="00151F88"/>
    <w:rsid w:val="00152A61"/>
    <w:rsid w:val="00152A71"/>
    <w:rsid w:val="001533EC"/>
    <w:rsid w:val="00153D10"/>
    <w:rsid w:val="001555C9"/>
    <w:rsid w:val="00155B97"/>
    <w:rsid w:val="00156060"/>
    <w:rsid w:val="00160FE3"/>
    <w:rsid w:val="001611AB"/>
    <w:rsid w:val="00164A4D"/>
    <w:rsid w:val="00165C3E"/>
    <w:rsid w:val="00166E38"/>
    <w:rsid w:val="00170107"/>
    <w:rsid w:val="00170FC2"/>
    <w:rsid w:val="001727E8"/>
    <w:rsid w:val="001811B8"/>
    <w:rsid w:val="0018136A"/>
    <w:rsid w:val="001817F5"/>
    <w:rsid w:val="00183923"/>
    <w:rsid w:val="00184A28"/>
    <w:rsid w:val="001943BE"/>
    <w:rsid w:val="0019542E"/>
    <w:rsid w:val="001A024F"/>
    <w:rsid w:val="001A0DC3"/>
    <w:rsid w:val="001A33CC"/>
    <w:rsid w:val="001A5FE2"/>
    <w:rsid w:val="001A6510"/>
    <w:rsid w:val="001A7BF4"/>
    <w:rsid w:val="001B3E52"/>
    <w:rsid w:val="001B46F6"/>
    <w:rsid w:val="001B5564"/>
    <w:rsid w:val="001B6B29"/>
    <w:rsid w:val="001B7B44"/>
    <w:rsid w:val="001C121B"/>
    <w:rsid w:val="001C125D"/>
    <w:rsid w:val="001C13A5"/>
    <w:rsid w:val="001C150C"/>
    <w:rsid w:val="001C3659"/>
    <w:rsid w:val="001C52FE"/>
    <w:rsid w:val="001C59C0"/>
    <w:rsid w:val="001D038B"/>
    <w:rsid w:val="001D15A1"/>
    <w:rsid w:val="001D1836"/>
    <w:rsid w:val="001D446D"/>
    <w:rsid w:val="001D50C7"/>
    <w:rsid w:val="001D77A8"/>
    <w:rsid w:val="001D7817"/>
    <w:rsid w:val="001E0A75"/>
    <w:rsid w:val="001E1665"/>
    <w:rsid w:val="001E232E"/>
    <w:rsid w:val="001E3126"/>
    <w:rsid w:val="001F024C"/>
    <w:rsid w:val="001F187C"/>
    <w:rsid w:val="001F2FD4"/>
    <w:rsid w:val="001F32AB"/>
    <w:rsid w:val="001F5A9B"/>
    <w:rsid w:val="001F5BCB"/>
    <w:rsid w:val="001F5CDF"/>
    <w:rsid w:val="00202A6B"/>
    <w:rsid w:val="002041FF"/>
    <w:rsid w:val="0020791B"/>
    <w:rsid w:val="0021180A"/>
    <w:rsid w:val="00212465"/>
    <w:rsid w:val="00212936"/>
    <w:rsid w:val="00213C59"/>
    <w:rsid w:val="002158C8"/>
    <w:rsid w:val="00216CE6"/>
    <w:rsid w:val="00225056"/>
    <w:rsid w:val="00225336"/>
    <w:rsid w:val="00230DFC"/>
    <w:rsid w:val="002317DA"/>
    <w:rsid w:val="002327F8"/>
    <w:rsid w:val="00240467"/>
    <w:rsid w:val="00241C15"/>
    <w:rsid w:val="00243126"/>
    <w:rsid w:val="00244543"/>
    <w:rsid w:val="002502E0"/>
    <w:rsid w:val="002502EF"/>
    <w:rsid w:val="00250E06"/>
    <w:rsid w:val="00252BD7"/>
    <w:rsid w:val="0025356A"/>
    <w:rsid w:val="00253E0B"/>
    <w:rsid w:val="002543DF"/>
    <w:rsid w:val="00260359"/>
    <w:rsid w:val="00262C0A"/>
    <w:rsid w:val="0026620C"/>
    <w:rsid w:val="00266915"/>
    <w:rsid w:val="00266B74"/>
    <w:rsid w:val="00267830"/>
    <w:rsid w:val="00273325"/>
    <w:rsid w:val="002742EF"/>
    <w:rsid w:val="00274BA8"/>
    <w:rsid w:val="00277F32"/>
    <w:rsid w:val="002819AA"/>
    <w:rsid w:val="00281EFE"/>
    <w:rsid w:val="00286DB5"/>
    <w:rsid w:val="002875B7"/>
    <w:rsid w:val="0029330A"/>
    <w:rsid w:val="00294E3C"/>
    <w:rsid w:val="00296633"/>
    <w:rsid w:val="002A00F5"/>
    <w:rsid w:val="002A010F"/>
    <w:rsid w:val="002A237B"/>
    <w:rsid w:val="002A43F0"/>
    <w:rsid w:val="002A455A"/>
    <w:rsid w:val="002A4859"/>
    <w:rsid w:val="002B1F61"/>
    <w:rsid w:val="002B2136"/>
    <w:rsid w:val="002B381D"/>
    <w:rsid w:val="002B3AEF"/>
    <w:rsid w:val="002B5D65"/>
    <w:rsid w:val="002B618E"/>
    <w:rsid w:val="002B6CC2"/>
    <w:rsid w:val="002C0C38"/>
    <w:rsid w:val="002C1799"/>
    <w:rsid w:val="002C6E2E"/>
    <w:rsid w:val="002C7D3E"/>
    <w:rsid w:val="002C7FF6"/>
    <w:rsid w:val="002D31C0"/>
    <w:rsid w:val="002D592D"/>
    <w:rsid w:val="002D5D45"/>
    <w:rsid w:val="002D7FDB"/>
    <w:rsid w:val="002E06E3"/>
    <w:rsid w:val="002E2300"/>
    <w:rsid w:val="002E453E"/>
    <w:rsid w:val="002E4E20"/>
    <w:rsid w:val="002E5D82"/>
    <w:rsid w:val="002E782F"/>
    <w:rsid w:val="002E7897"/>
    <w:rsid w:val="002E7F28"/>
    <w:rsid w:val="002F0EBE"/>
    <w:rsid w:val="002F2F65"/>
    <w:rsid w:val="002F42BE"/>
    <w:rsid w:val="002F6212"/>
    <w:rsid w:val="002F632C"/>
    <w:rsid w:val="003016C4"/>
    <w:rsid w:val="00303296"/>
    <w:rsid w:val="00306FBF"/>
    <w:rsid w:val="00307AF8"/>
    <w:rsid w:val="0031301A"/>
    <w:rsid w:val="003168CE"/>
    <w:rsid w:val="00320AFE"/>
    <w:rsid w:val="00320F07"/>
    <w:rsid w:val="00321A43"/>
    <w:rsid w:val="0032308F"/>
    <w:rsid w:val="00325A6C"/>
    <w:rsid w:val="00333BA6"/>
    <w:rsid w:val="003340FB"/>
    <w:rsid w:val="00334926"/>
    <w:rsid w:val="00336760"/>
    <w:rsid w:val="00341E1E"/>
    <w:rsid w:val="00341FEC"/>
    <w:rsid w:val="00342826"/>
    <w:rsid w:val="0034321B"/>
    <w:rsid w:val="00345FA3"/>
    <w:rsid w:val="00352490"/>
    <w:rsid w:val="003533CA"/>
    <w:rsid w:val="00354394"/>
    <w:rsid w:val="0035493A"/>
    <w:rsid w:val="00360759"/>
    <w:rsid w:val="00372153"/>
    <w:rsid w:val="003733BE"/>
    <w:rsid w:val="00374216"/>
    <w:rsid w:val="00380E64"/>
    <w:rsid w:val="00384772"/>
    <w:rsid w:val="00387729"/>
    <w:rsid w:val="0039063B"/>
    <w:rsid w:val="003911E4"/>
    <w:rsid w:val="003942D8"/>
    <w:rsid w:val="003958D9"/>
    <w:rsid w:val="003A19A5"/>
    <w:rsid w:val="003A2034"/>
    <w:rsid w:val="003A269C"/>
    <w:rsid w:val="003A447E"/>
    <w:rsid w:val="003A6A3B"/>
    <w:rsid w:val="003B0AAE"/>
    <w:rsid w:val="003B0E35"/>
    <w:rsid w:val="003B1937"/>
    <w:rsid w:val="003B6150"/>
    <w:rsid w:val="003B660D"/>
    <w:rsid w:val="003B74E4"/>
    <w:rsid w:val="003C03EB"/>
    <w:rsid w:val="003C0A77"/>
    <w:rsid w:val="003C2311"/>
    <w:rsid w:val="003D3354"/>
    <w:rsid w:val="003D4283"/>
    <w:rsid w:val="003D6219"/>
    <w:rsid w:val="003D6FA8"/>
    <w:rsid w:val="003E022B"/>
    <w:rsid w:val="003E269D"/>
    <w:rsid w:val="003E2B20"/>
    <w:rsid w:val="003F00A6"/>
    <w:rsid w:val="003F082D"/>
    <w:rsid w:val="003F1027"/>
    <w:rsid w:val="003F4E83"/>
    <w:rsid w:val="003F6B77"/>
    <w:rsid w:val="003F6CA9"/>
    <w:rsid w:val="004008C7"/>
    <w:rsid w:val="004011BA"/>
    <w:rsid w:val="00403823"/>
    <w:rsid w:val="00403AB5"/>
    <w:rsid w:val="00404731"/>
    <w:rsid w:val="004053D4"/>
    <w:rsid w:val="004115B6"/>
    <w:rsid w:val="00413868"/>
    <w:rsid w:val="00413F6B"/>
    <w:rsid w:val="00415126"/>
    <w:rsid w:val="004164B0"/>
    <w:rsid w:val="00417A6F"/>
    <w:rsid w:val="004205EF"/>
    <w:rsid w:val="00421306"/>
    <w:rsid w:val="00422328"/>
    <w:rsid w:val="00422BB7"/>
    <w:rsid w:val="00423CCC"/>
    <w:rsid w:val="00424D3E"/>
    <w:rsid w:val="0042557B"/>
    <w:rsid w:val="004318DC"/>
    <w:rsid w:val="004353C2"/>
    <w:rsid w:val="00436DF5"/>
    <w:rsid w:val="00440231"/>
    <w:rsid w:val="00440F44"/>
    <w:rsid w:val="004429F2"/>
    <w:rsid w:val="004456CC"/>
    <w:rsid w:val="00445CDC"/>
    <w:rsid w:val="00450702"/>
    <w:rsid w:val="00450FF8"/>
    <w:rsid w:val="004533ED"/>
    <w:rsid w:val="00454B84"/>
    <w:rsid w:val="004552A2"/>
    <w:rsid w:val="00456D91"/>
    <w:rsid w:val="0046192F"/>
    <w:rsid w:val="00461C8E"/>
    <w:rsid w:val="004640D1"/>
    <w:rsid w:val="00464347"/>
    <w:rsid w:val="0046717F"/>
    <w:rsid w:val="0047036B"/>
    <w:rsid w:val="00470721"/>
    <w:rsid w:val="00470B99"/>
    <w:rsid w:val="00472115"/>
    <w:rsid w:val="00472300"/>
    <w:rsid w:val="00475C39"/>
    <w:rsid w:val="004803E5"/>
    <w:rsid w:val="00482A22"/>
    <w:rsid w:val="00484068"/>
    <w:rsid w:val="00486626"/>
    <w:rsid w:val="00487F0F"/>
    <w:rsid w:val="0049358F"/>
    <w:rsid w:val="0049414B"/>
    <w:rsid w:val="004977DE"/>
    <w:rsid w:val="004A17B4"/>
    <w:rsid w:val="004A2F6F"/>
    <w:rsid w:val="004A4461"/>
    <w:rsid w:val="004A6DA6"/>
    <w:rsid w:val="004A7BED"/>
    <w:rsid w:val="004B10F5"/>
    <w:rsid w:val="004B26EB"/>
    <w:rsid w:val="004B41D8"/>
    <w:rsid w:val="004B48AF"/>
    <w:rsid w:val="004B50BC"/>
    <w:rsid w:val="004B6187"/>
    <w:rsid w:val="004B7FFA"/>
    <w:rsid w:val="004C0182"/>
    <w:rsid w:val="004C21BB"/>
    <w:rsid w:val="004C2EB3"/>
    <w:rsid w:val="004C3CC3"/>
    <w:rsid w:val="004C4418"/>
    <w:rsid w:val="004C625A"/>
    <w:rsid w:val="004C64D9"/>
    <w:rsid w:val="004C697F"/>
    <w:rsid w:val="004D43D2"/>
    <w:rsid w:val="004D652E"/>
    <w:rsid w:val="004E0529"/>
    <w:rsid w:val="004E0CAD"/>
    <w:rsid w:val="004E1EBB"/>
    <w:rsid w:val="004E3959"/>
    <w:rsid w:val="004E58D9"/>
    <w:rsid w:val="004E5EA3"/>
    <w:rsid w:val="004E7F7D"/>
    <w:rsid w:val="004F0DFD"/>
    <w:rsid w:val="004F112A"/>
    <w:rsid w:val="004F1B89"/>
    <w:rsid w:val="004F3B07"/>
    <w:rsid w:val="004F42DC"/>
    <w:rsid w:val="004F4AEB"/>
    <w:rsid w:val="004F6CE4"/>
    <w:rsid w:val="0050428E"/>
    <w:rsid w:val="0050584E"/>
    <w:rsid w:val="00510952"/>
    <w:rsid w:val="00512224"/>
    <w:rsid w:val="005223FD"/>
    <w:rsid w:val="00525303"/>
    <w:rsid w:val="0052591B"/>
    <w:rsid w:val="00527304"/>
    <w:rsid w:val="0053137B"/>
    <w:rsid w:val="00532BFB"/>
    <w:rsid w:val="005365E0"/>
    <w:rsid w:val="00542479"/>
    <w:rsid w:val="00544362"/>
    <w:rsid w:val="00547CA9"/>
    <w:rsid w:val="00550256"/>
    <w:rsid w:val="00550CE8"/>
    <w:rsid w:val="00555F8A"/>
    <w:rsid w:val="00557D15"/>
    <w:rsid w:val="00560034"/>
    <w:rsid w:val="00560171"/>
    <w:rsid w:val="00560BE3"/>
    <w:rsid w:val="0056179B"/>
    <w:rsid w:val="0056448B"/>
    <w:rsid w:val="00565F92"/>
    <w:rsid w:val="00571E75"/>
    <w:rsid w:val="00573408"/>
    <w:rsid w:val="00573E0F"/>
    <w:rsid w:val="00576ED0"/>
    <w:rsid w:val="00576F0D"/>
    <w:rsid w:val="00580BDF"/>
    <w:rsid w:val="00583EC7"/>
    <w:rsid w:val="00586C72"/>
    <w:rsid w:val="00587C8F"/>
    <w:rsid w:val="00593217"/>
    <w:rsid w:val="0059367E"/>
    <w:rsid w:val="005959F9"/>
    <w:rsid w:val="005A0D15"/>
    <w:rsid w:val="005A18D7"/>
    <w:rsid w:val="005A2A86"/>
    <w:rsid w:val="005A4466"/>
    <w:rsid w:val="005A540F"/>
    <w:rsid w:val="005A6891"/>
    <w:rsid w:val="005B3729"/>
    <w:rsid w:val="005B5ADE"/>
    <w:rsid w:val="005C154E"/>
    <w:rsid w:val="005C31A0"/>
    <w:rsid w:val="005C35BE"/>
    <w:rsid w:val="005C4952"/>
    <w:rsid w:val="005C63F7"/>
    <w:rsid w:val="005C74C9"/>
    <w:rsid w:val="005C75C3"/>
    <w:rsid w:val="005D0EE2"/>
    <w:rsid w:val="005D2355"/>
    <w:rsid w:val="005D2565"/>
    <w:rsid w:val="005D6CD2"/>
    <w:rsid w:val="005D6E23"/>
    <w:rsid w:val="005D7AB2"/>
    <w:rsid w:val="005E11FC"/>
    <w:rsid w:val="005E16F9"/>
    <w:rsid w:val="005E28FB"/>
    <w:rsid w:val="005E5130"/>
    <w:rsid w:val="005E6294"/>
    <w:rsid w:val="005E6D8B"/>
    <w:rsid w:val="005F1009"/>
    <w:rsid w:val="005F1298"/>
    <w:rsid w:val="005F21D1"/>
    <w:rsid w:val="005F4F92"/>
    <w:rsid w:val="005F5ACC"/>
    <w:rsid w:val="005F6288"/>
    <w:rsid w:val="005F69CC"/>
    <w:rsid w:val="005F76B2"/>
    <w:rsid w:val="00605DDD"/>
    <w:rsid w:val="00605E06"/>
    <w:rsid w:val="00607663"/>
    <w:rsid w:val="006104D6"/>
    <w:rsid w:val="006109E9"/>
    <w:rsid w:val="00610CFE"/>
    <w:rsid w:val="00613278"/>
    <w:rsid w:val="00614F8B"/>
    <w:rsid w:val="00617B32"/>
    <w:rsid w:val="0062031D"/>
    <w:rsid w:val="006231E7"/>
    <w:rsid w:val="0062389F"/>
    <w:rsid w:val="006244DA"/>
    <w:rsid w:val="0062473C"/>
    <w:rsid w:val="00626C57"/>
    <w:rsid w:val="00634850"/>
    <w:rsid w:val="00635D66"/>
    <w:rsid w:val="00640940"/>
    <w:rsid w:val="00640AF8"/>
    <w:rsid w:val="00640DAD"/>
    <w:rsid w:val="00640F10"/>
    <w:rsid w:val="0064190A"/>
    <w:rsid w:val="00641B15"/>
    <w:rsid w:val="00642DBA"/>
    <w:rsid w:val="00646000"/>
    <w:rsid w:val="00650891"/>
    <w:rsid w:val="00653ED5"/>
    <w:rsid w:val="00662536"/>
    <w:rsid w:val="006663BD"/>
    <w:rsid w:val="00670210"/>
    <w:rsid w:val="006724CC"/>
    <w:rsid w:val="00674463"/>
    <w:rsid w:val="00683D7C"/>
    <w:rsid w:val="006859F7"/>
    <w:rsid w:val="006872DA"/>
    <w:rsid w:val="0069019B"/>
    <w:rsid w:val="00693363"/>
    <w:rsid w:val="00693D92"/>
    <w:rsid w:val="00694527"/>
    <w:rsid w:val="0069518F"/>
    <w:rsid w:val="00696A94"/>
    <w:rsid w:val="00697A4F"/>
    <w:rsid w:val="006A386A"/>
    <w:rsid w:val="006A41AF"/>
    <w:rsid w:val="006A5623"/>
    <w:rsid w:val="006A5E3E"/>
    <w:rsid w:val="006A797E"/>
    <w:rsid w:val="006B0EBD"/>
    <w:rsid w:val="006B4380"/>
    <w:rsid w:val="006B7D84"/>
    <w:rsid w:val="006C1B88"/>
    <w:rsid w:val="006C38AD"/>
    <w:rsid w:val="006C6B74"/>
    <w:rsid w:val="006D09EF"/>
    <w:rsid w:val="006D4B39"/>
    <w:rsid w:val="006D4D41"/>
    <w:rsid w:val="006E141E"/>
    <w:rsid w:val="006E3405"/>
    <w:rsid w:val="006E35F7"/>
    <w:rsid w:val="006E6527"/>
    <w:rsid w:val="006F050F"/>
    <w:rsid w:val="006F12AF"/>
    <w:rsid w:val="006F2940"/>
    <w:rsid w:val="006F2CC8"/>
    <w:rsid w:val="006F3537"/>
    <w:rsid w:val="006F3F1B"/>
    <w:rsid w:val="006F513F"/>
    <w:rsid w:val="007005CD"/>
    <w:rsid w:val="00703EBF"/>
    <w:rsid w:val="007055B2"/>
    <w:rsid w:val="00712ED5"/>
    <w:rsid w:val="007162A5"/>
    <w:rsid w:val="0071762D"/>
    <w:rsid w:val="00725BC0"/>
    <w:rsid w:val="00726797"/>
    <w:rsid w:val="00726CB4"/>
    <w:rsid w:val="00733700"/>
    <w:rsid w:val="007360B9"/>
    <w:rsid w:val="00740005"/>
    <w:rsid w:val="0074020C"/>
    <w:rsid w:val="00740DF8"/>
    <w:rsid w:val="007433E1"/>
    <w:rsid w:val="007471C7"/>
    <w:rsid w:val="00750F7C"/>
    <w:rsid w:val="00753381"/>
    <w:rsid w:val="0075427A"/>
    <w:rsid w:val="007609E1"/>
    <w:rsid w:val="0076304F"/>
    <w:rsid w:val="00764BCB"/>
    <w:rsid w:val="00773899"/>
    <w:rsid w:val="00784B86"/>
    <w:rsid w:val="00791216"/>
    <w:rsid w:val="00792CEB"/>
    <w:rsid w:val="00797654"/>
    <w:rsid w:val="007A3E56"/>
    <w:rsid w:val="007A5771"/>
    <w:rsid w:val="007A69C1"/>
    <w:rsid w:val="007B2559"/>
    <w:rsid w:val="007B3B54"/>
    <w:rsid w:val="007B3BE2"/>
    <w:rsid w:val="007B5566"/>
    <w:rsid w:val="007B6A76"/>
    <w:rsid w:val="007B711A"/>
    <w:rsid w:val="007C3F49"/>
    <w:rsid w:val="007C434F"/>
    <w:rsid w:val="007C5B64"/>
    <w:rsid w:val="007C65D4"/>
    <w:rsid w:val="007C6F7F"/>
    <w:rsid w:val="007D0647"/>
    <w:rsid w:val="007D0E21"/>
    <w:rsid w:val="007D2A84"/>
    <w:rsid w:val="007D532E"/>
    <w:rsid w:val="007D608A"/>
    <w:rsid w:val="007D7069"/>
    <w:rsid w:val="007E257F"/>
    <w:rsid w:val="007E68E9"/>
    <w:rsid w:val="007F3686"/>
    <w:rsid w:val="007F4404"/>
    <w:rsid w:val="007F44BE"/>
    <w:rsid w:val="007F4C48"/>
    <w:rsid w:val="00802108"/>
    <w:rsid w:val="008021B1"/>
    <w:rsid w:val="00802A51"/>
    <w:rsid w:val="00802CA7"/>
    <w:rsid w:val="00804BE3"/>
    <w:rsid w:val="00806377"/>
    <w:rsid w:val="00806EFF"/>
    <w:rsid w:val="0082056F"/>
    <w:rsid w:val="00821537"/>
    <w:rsid w:val="00825C08"/>
    <w:rsid w:val="00826A1C"/>
    <w:rsid w:val="0083058C"/>
    <w:rsid w:val="0083363C"/>
    <w:rsid w:val="008344FF"/>
    <w:rsid w:val="00834ACA"/>
    <w:rsid w:val="00834B1C"/>
    <w:rsid w:val="00835DE7"/>
    <w:rsid w:val="00836304"/>
    <w:rsid w:val="0083631A"/>
    <w:rsid w:val="00840E08"/>
    <w:rsid w:val="0084540A"/>
    <w:rsid w:val="00846097"/>
    <w:rsid w:val="008474A2"/>
    <w:rsid w:val="00850F11"/>
    <w:rsid w:val="00852A83"/>
    <w:rsid w:val="00852CAE"/>
    <w:rsid w:val="00853473"/>
    <w:rsid w:val="00853E1F"/>
    <w:rsid w:val="00854D3E"/>
    <w:rsid w:val="00854F65"/>
    <w:rsid w:val="00861D20"/>
    <w:rsid w:val="00865F30"/>
    <w:rsid w:val="00872E19"/>
    <w:rsid w:val="00874AAE"/>
    <w:rsid w:val="00875BF1"/>
    <w:rsid w:val="00875E89"/>
    <w:rsid w:val="00877FD8"/>
    <w:rsid w:val="00881A97"/>
    <w:rsid w:val="00884504"/>
    <w:rsid w:val="00885F8A"/>
    <w:rsid w:val="00890346"/>
    <w:rsid w:val="00891979"/>
    <w:rsid w:val="0089433D"/>
    <w:rsid w:val="008A2027"/>
    <w:rsid w:val="008A2CD6"/>
    <w:rsid w:val="008A343E"/>
    <w:rsid w:val="008A5088"/>
    <w:rsid w:val="008A5590"/>
    <w:rsid w:val="008A58A6"/>
    <w:rsid w:val="008A61F2"/>
    <w:rsid w:val="008A7C6F"/>
    <w:rsid w:val="008B0D6E"/>
    <w:rsid w:val="008B0EEF"/>
    <w:rsid w:val="008B20CD"/>
    <w:rsid w:val="008B4328"/>
    <w:rsid w:val="008B4B63"/>
    <w:rsid w:val="008B72CA"/>
    <w:rsid w:val="008B7312"/>
    <w:rsid w:val="008B7F9F"/>
    <w:rsid w:val="008C1818"/>
    <w:rsid w:val="008C1A63"/>
    <w:rsid w:val="008C3057"/>
    <w:rsid w:val="008C38B7"/>
    <w:rsid w:val="008C3EF1"/>
    <w:rsid w:val="008D2BA1"/>
    <w:rsid w:val="008D5426"/>
    <w:rsid w:val="008E1721"/>
    <w:rsid w:val="008E3865"/>
    <w:rsid w:val="008E3CD2"/>
    <w:rsid w:val="008E3D9E"/>
    <w:rsid w:val="008E55FF"/>
    <w:rsid w:val="008F11A3"/>
    <w:rsid w:val="008F3744"/>
    <w:rsid w:val="008F7F78"/>
    <w:rsid w:val="0090183B"/>
    <w:rsid w:val="00902544"/>
    <w:rsid w:val="00903C2E"/>
    <w:rsid w:val="00905A43"/>
    <w:rsid w:val="00905C0A"/>
    <w:rsid w:val="00907060"/>
    <w:rsid w:val="00907274"/>
    <w:rsid w:val="00907971"/>
    <w:rsid w:val="00910C5A"/>
    <w:rsid w:val="009132E3"/>
    <w:rsid w:val="009148AC"/>
    <w:rsid w:val="00914C1D"/>
    <w:rsid w:val="009256D4"/>
    <w:rsid w:val="00927553"/>
    <w:rsid w:val="009333F1"/>
    <w:rsid w:val="00934CC8"/>
    <w:rsid w:val="0093720E"/>
    <w:rsid w:val="00937832"/>
    <w:rsid w:val="00940D05"/>
    <w:rsid w:val="00941F1D"/>
    <w:rsid w:val="00943829"/>
    <w:rsid w:val="009441ED"/>
    <w:rsid w:val="00944508"/>
    <w:rsid w:val="00945910"/>
    <w:rsid w:val="0094622B"/>
    <w:rsid w:val="00946E17"/>
    <w:rsid w:val="0095241B"/>
    <w:rsid w:val="00955AD3"/>
    <w:rsid w:val="00960FE0"/>
    <w:rsid w:val="00964194"/>
    <w:rsid w:val="00964D25"/>
    <w:rsid w:val="00966A2E"/>
    <w:rsid w:val="00966E35"/>
    <w:rsid w:val="00973AF4"/>
    <w:rsid w:val="00980A37"/>
    <w:rsid w:val="0098465E"/>
    <w:rsid w:val="00986804"/>
    <w:rsid w:val="00990F9E"/>
    <w:rsid w:val="00992BD3"/>
    <w:rsid w:val="00993BAE"/>
    <w:rsid w:val="0099546D"/>
    <w:rsid w:val="009960F9"/>
    <w:rsid w:val="00996C38"/>
    <w:rsid w:val="0099770C"/>
    <w:rsid w:val="00997A56"/>
    <w:rsid w:val="009A3853"/>
    <w:rsid w:val="009A690F"/>
    <w:rsid w:val="009B029F"/>
    <w:rsid w:val="009B0520"/>
    <w:rsid w:val="009B19FF"/>
    <w:rsid w:val="009B4220"/>
    <w:rsid w:val="009B785D"/>
    <w:rsid w:val="009B7D7E"/>
    <w:rsid w:val="009C2A3C"/>
    <w:rsid w:val="009C3D48"/>
    <w:rsid w:val="009C4CAC"/>
    <w:rsid w:val="009C59C2"/>
    <w:rsid w:val="009C5B73"/>
    <w:rsid w:val="009C5B87"/>
    <w:rsid w:val="009C5CA8"/>
    <w:rsid w:val="009D07EF"/>
    <w:rsid w:val="009D22CE"/>
    <w:rsid w:val="009D23E9"/>
    <w:rsid w:val="009D2BC0"/>
    <w:rsid w:val="009D2F28"/>
    <w:rsid w:val="009D327F"/>
    <w:rsid w:val="009D3731"/>
    <w:rsid w:val="009D56D7"/>
    <w:rsid w:val="009D7F5D"/>
    <w:rsid w:val="009E41D3"/>
    <w:rsid w:val="009E5E25"/>
    <w:rsid w:val="009E727F"/>
    <w:rsid w:val="009E77F2"/>
    <w:rsid w:val="009F2FF9"/>
    <w:rsid w:val="009F3DF5"/>
    <w:rsid w:val="00A0156A"/>
    <w:rsid w:val="00A02972"/>
    <w:rsid w:val="00A0493F"/>
    <w:rsid w:val="00A05C28"/>
    <w:rsid w:val="00A06C96"/>
    <w:rsid w:val="00A072AE"/>
    <w:rsid w:val="00A07CA0"/>
    <w:rsid w:val="00A10889"/>
    <w:rsid w:val="00A109D4"/>
    <w:rsid w:val="00A12126"/>
    <w:rsid w:val="00A12D70"/>
    <w:rsid w:val="00A1430A"/>
    <w:rsid w:val="00A21B50"/>
    <w:rsid w:val="00A2215A"/>
    <w:rsid w:val="00A2275D"/>
    <w:rsid w:val="00A22F48"/>
    <w:rsid w:val="00A25AFB"/>
    <w:rsid w:val="00A300E2"/>
    <w:rsid w:val="00A31C8A"/>
    <w:rsid w:val="00A36B6F"/>
    <w:rsid w:val="00A36C35"/>
    <w:rsid w:val="00A37A93"/>
    <w:rsid w:val="00A438B7"/>
    <w:rsid w:val="00A44995"/>
    <w:rsid w:val="00A44D65"/>
    <w:rsid w:val="00A45F83"/>
    <w:rsid w:val="00A463BE"/>
    <w:rsid w:val="00A51C30"/>
    <w:rsid w:val="00A5361C"/>
    <w:rsid w:val="00A54248"/>
    <w:rsid w:val="00A5704A"/>
    <w:rsid w:val="00A57D2F"/>
    <w:rsid w:val="00A61231"/>
    <w:rsid w:val="00A6297F"/>
    <w:rsid w:val="00A65515"/>
    <w:rsid w:val="00A71876"/>
    <w:rsid w:val="00A76D9B"/>
    <w:rsid w:val="00A832A0"/>
    <w:rsid w:val="00A87317"/>
    <w:rsid w:val="00A91411"/>
    <w:rsid w:val="00A94647"/>
    <w:rsid w:val="00A960F1"/>
    <w:rsid w:val="00AA0612"/>
    <w:rsid w:val="00AA2D57"/>
    <w:rsid w:val="00AA3F14"/>
    <w:rsid w:val="00AA3F39"/>
    <w:rsid w:val="00AA6325"/>
    <w:rsid w:val="00AA6E16"/>
    <w:rsid w:val="00AB2529"/>
    <w:rsid w:val="00AB29C7"/>
    <w:rsid w:val="00AB538B"/>
    <w:rsid w:val="00AB6D11"/>
    <w:rsid w:val="00AB75B8"/>
    <w:rsid w:val="00AC2FD9"/>
    <w:rsid w:val="00AC6979"/>
    <w:rsid w:val="00AC72F0"/>
    <w:rsid w:val="00AD0E7C"/>
    <w:rsid w:val="00AD29E4"/>
    <w:rsid w:val="00AD32D0"/>
    <w:rsid w:val="00AD3A50"/>
    <w:rsid w:val="00AD51CE"/>
    <w:rsid w:val="00AD735D"/>
    <w:rsid w:val="00AD7650"/>
    <w:rsid w:val="00AE51CF"/>
    <w:rsid w:val="00AE565F"/>
    <w:rsid w:val="00AE7959"/>
    <w:rsid w:val="00AF327F"/>
    <w:rsid w:val="00AF76B9"/>
    <w:rsid w:val="00B005E5"/>
    <w:rsid w:val="00B01724"/>
    <w:rsid w:val="00B04623"/>
    <w:rsid w:val="00B05F83"/>
    <w:rsid w:val="00B07BC7"/>
    <w:rsid w:val="00B107DE"/>
    <w:rsid w:val="00B11307"/>
    <w:rsid w:val="00B1368B"/>
    <w:rsid w:val="00B13B6B"/>
    <w:rsid w:val="00B15CA5"/>
    <w:rsid w:val="00B221AD"/>
    <w:rsid w:val="00B240F0"/>
    <w:rsid w:val="00B261AC"/>
    <w:rsid w:val="00B27371"/>
    <w:rsid w:val="00B30162"/>
    <w:rsid w:val="00B30EEC"/>
    <w:rsid w:val="00B31461"/>
    <w:rsid w:val="00B31649"/>
    <w:rsid w:val="00B3489D"/>
    <w:rsid w:val="00B37B7F"/>
    <w:rsid w:val="00B42FDA"/>
    <w:rsid w:val="00B43E2A"/>
    <w:rsid w:val="00B44D4B"/>
    <w:rsid w:val="00B4550A"/>
    <w:rsid w:val="00B50C38"/>
    <w:rsid w:val="00B53589"/>
    <w:rsid w:val="00B55023"/>
    <w:rsid w:val="00B55488"/>
    <w:rsid w:val="00B556AC"/>
    <w:rsid w:val="00B56443"/>
    <w:rsid w:val="00B611F2"/>
    <w:rsid w:val="00B615F9"/>
    <w:rsid w:val="00B63232"/>
    <w:rsid w:val="00B632B4"/>
    <w:rsid w:val="00B636DC"/>
    <w:rsid w:val="00B64B1F"/>
    <w:rsid w:val="00B668E7"/>
    <w:rsid w:val="00B72075"/>
    <w:rsid w:val="00B73CD8"/>
    <w:rsid w:val="00B749C9"/>
    <w:rsid w:val="00B751A7"/>
    <w:rsid w:val="00B75AB6"/>
    <w:rsid w:val="00B81FCB"/>
    <w:rsid w:val="00B867DD"/>
    <w:rsid w:val="00B86921"/>
    <w:rsid w:val="00B90EA0"/>
    <w:rsid w:val="00B914D3"/>
    <w:rsid w:val="00B91594"/>
    <w:rsid w:val="00B9288B"/>
    <w:rsid w:val="00B9375A"/>
    <w:rsid w:val="00B93C2C"/>
    <w:rsid w:val="00B96747"/>
    <w:rsid w:val="00BA0CE8"/>
    <w:rsid w:val="00BA19BE"/>
    <w:rsid w:val="00BB1D59"/>
    <w:rsid w:val="00BB2FE5"/>
    <w:rsid w:val="00BB4E99"/>
    <w:rsid w:val="00BC0B49"/>
    <w:rsid w:val="00BC63F3"/>
    <w:rsid w:val="00BD2E15"/>
    <w:rsid w:val="00BD751C"/>
    <w:rsid w:val="00BE363B"/>
    <w:rsid w:val="00BE46AC"/>
    <w:rsid w:val="00BE639D"/>
    <w:rsid w:val="00BF44C4"/>
    <w:rsid w:val="00BF5C66"/>
    <w:rsid w:val="00BF6BE2"/>
    <w:rsid w:val="00C02F16"/>
    <w:rsid w:val="00C04619"/>
    <w:rsid w:val="00C05A4F"/>
    <w:rsid w:val="00C05E5B"/>
    <w:rsid w:val="00C061E3"/>
    <w:rsid w:val="00C119C2"/>
    <w:rsid w:val="00C122D5"/>
    <w:rsid w:val="00C12B1C"/>
    <w:rsid w:val="00C14967"/>
    <w:rsid w:val="00C1627A"/>
    <w:rsid w:val="00C20CBE"/>
    <w:rsid w:val="00C22F4C"/>
    <w:rsid w:val="00C23789"/>
    <w:rsid w:val="00C23DBC"/>
    <w:rsid w:val="00C26866"/>
    <w:rsid w:val="00C26E47"/>
    <w:rsid w:val="00C2750C"/>
    <w:rsid w:val="00C3083F"/>
    <w:rsid w:val="00C3325E"/>
    <w:rsid w:val="00C33404"/>
    <w:rsid w:val="00C34A8C"/>
    <w:rsid w:val="00C40EE3"/>
    <w:rsid w:val="00C41927"/>
    <w:rsid w:val="00C42CE4"/>
    <w:rsid w:val="00C43BDE"/>
    <w:rsid w:val="00C446BD"/>
    <w:rsid w:val="00C502B8"/>
    <w:rsid w:val="00C53EDB"/>
    <w:rsid w:val="00C62334"/>
    <w:rsid w:val="00C676E5"/>
    <w:rsid w:val="00C7079D"/>
    <w:rsid w:val="00C71638"/>
    <w:rsid w:val="00C71A96"/>
    <w:rsid w:val="00C73435"/>
    <w:rsid w:val="00C7374A"/>
    <w:rsid w:val="00C81D29"/>
    <w:rsid w:val="00C86566"/>
    <w:rsid w:val="00C917EB"/>
    <w:rsid w:val="00C926AD"/>
    <w:rsid w:val="00C92CFB"/>
    <w:rsid w:val="00C93193"/>
    <w:rsid w:val="00C97FF4"/>
    <w:rsid w:val="00CA0ADF"/>
    <w:rsid w:val="00CA3A14"/>
    <w:rsid w:val="00CA5938"/>
    <w:rsid w:val="00CA5EBF"/>
    <w:rsid w:val="00CA6C07"/>
    <w:rsid w:val="00CB027B"/>
    <w:rsid w:val="00CB04F8"/>
    <w:rsid w:val="00CB0C57"/>
    <w:rsid w:val="00CB642F"/>
    <w:rsid w:val="00CB7F0D"/>
    <w:rsid w:val="00CC1DF7"/>
    <w:rsid w:val="00CC28C6"/>
    <w:rsid w:val="00CC4808"/>
    <w:rsid w:val="00CC4C0C"/>
    <w:rsid w:val="00CD1B6F"/>
    <w:rsid w:val="00CD30AA"/>
    <w:rsid w:val="00CD3D90"/>
    <w:rsid w:val="00CD4A55"/>
    <w:rsid w:val="00CD56F8"/>
    <w:rsid w:val="00CD5923"/>
    <w:rsid w:val="00CD67E1"/>
    <w:rsid w:val="00CE0D2C"/>
    <w:rsid w:val="00CE0EFD"/>
    <w:rsid w:val="00CE1B8A"/>
    <w:rsid w:val="00CE4936"/>
    <w:rsid w:val="00CE5A65"/>
    <w:rsid w:val="00CE5BE1"/>
    <w:rsid w:val="00CE7EC6"/>
    <w:rsid w:val="00CF0867"/>
    <w:rsid w:val="00CF32F4"/>
    <w:rsid w:val="00CF34A0"/>
    <w:rsid w:val="00CF3600"/>
    <w:rsid w:val="00CF65B7"/>
    <w:rsid w:val="00D003B0"/>
    <w:rsid w:val="00D03079"/>
    <w:rsid w:val="00D03610"/>
    <w:rsid w:val="00D06F27"/>
    <w:rsid w:val="00D07271"/>
    <w:rsid w:val="00D104D6"/>
    <w:rsid w:val="00D14EC0"/>
    <w:rsid w:val="00D15807"/>
    <w:rsid w:val="00D17563"/>
    <w:rsid w:val="00D24520"/>
    <w:rsid w:val="00D262EA"/>
    <w:rsid w:val="00D268CB"/>
    <w:rsid w:val="00D31595"/>
    <w:rsid w:val="00D31DFE"/>
    <w:rsid w:val="00D378A3"/>
    <w:rsid w:val="00D404A8"/>
    <w:rsid w:val="00D40AAD"/>
    <w:rsid w:val="00D40DEC"/>
    <w:rsid w:val="00D4403D"/>
    <w:rsid w:val="00D4526A"/>
    <w:rsid w:val="00D454E8"/>
    <w:rsid w:val="00D47ACC"/>
    <w:rsid w:val="00D51066"/>
    <w:rsid w:val="00D51FE7"/>
    <w:rsid w:val="00D52F32"/>
    <w:rsid w:val="00D53831"/>
    <w:rsid w:val="00D57A38"/>
    <w:rsid w:val="00D6026F"/>
    <w:rsid w:val="00D60807"/>
    <w:rsid w:val="00D61332"/>
    <w:rsid w:val="00D62292"/>
    <w:rsid w:val="00D64D1F"/>
    <w:rsid w:val="00D66519"/>
    <w:rsid w:val="00D7160E"/>
    <w:rsid w:val="00D72CE4"/>
    <w:rsid w:val="00D73280"/>
    <w:rsid w:val="00D735FF"/>
    <w:rsid w:val="00D73A3C"/>
    <w:rsid w:val="00D74FF1"/>
    <w:rsid w:val="00D81C6A"/>
    <w:rsid w:val="00D82E72"/>
    <w:rsid w:val="00D903A6"/>
    <w:rsid w:val="00D9098B"/>
    <w:rsid w:val="00D91BC7"/>
    <w:rsid w:val="00D9288B"/>
    <w:rsid w:val="00D938F7"/>
    <w:rsid w:val="00D93A62"/>
    <w:rsid w:val="00D953AA"/>
    <w:rsid w:val="00D961B4"/>
    <w:rsid w:val="00DA0765"/>
    <w:rsid w:val="00DA3060"/>
    <w:rsid w:val="00DA6F20"/>
    <w:rsid w:val="00DB17ED"/>
    <w:rsid w:val="00DB33D5"/>
    <w:rsid w:val="00DB571E"/>
    <w:rsid w:val="00DB5B5B"/>
    <w:rsid w:val="00DC2D7A"/>
    <w:rsid w:val="00DD14E1"/>
    <w:rsid w:val="00DE0959"/>
    <w:rsid w:val="00DE1245"/>
    <w:rsid w:val="00DE3A75"/>
    <w:rsid w:val="00DF0E82"/>
    <w:rsid w:val="00DF53D7"/>
    <w:rsid w:val="00DF54C2"/>
    <w:rsid w:val="00DF5787"/>
    <w:rsid w:val="00E01695"/>
    <w:rsid w:val="00E019D5"/>
    <w:rsid w:val="00E02482"/>
    <w:rsid w:val="00E02771"/>
    <w:rsid w:val="00E02DF9"/>
    <w:rsid w:val="00E03E14"/>
    <w:rsid w:val="00E06474"/>
    <w:rsid w:val="00E10948"/>
    <w:rsid w:val="00E138B2"/>
    <w:rsid w:val="00E13A95"/>
    <w:rsid w:val="00E1446D"/>
    <w:rsid w:val="00E14F64"/>
    <w:rsid w:val="00E15FD6"/>
    <w:rsid w:val="00E1630A"/>
    <w:rsid w:val="00E16787"/>
    <w:rsid w:val="00E16AED"/>
    <w:rsid w:val="00E205B3"/>
    <w:rsid w:val="00E22DA3"/>
    <w:rsid w:val="00E23208"/>
    <w:rsid w:val="00E24A15"/>
    <w:rsid w:val="00E24F4E"/>
    <w:rsid w:val="00E275CC"/>
    <w:rsid w:val="00E3023E"/>
    <w:rsid w:val="00E338FA"/>
    <w:rsid w:val="00E33CB2"/>
    <w:rsid w:val="00E34B78"/>
    <w:rsid w:val="00E352DA"/>
    <w:rsid w:val="00E42723"/>
    <w:rsid w:val="00E46F71"/>
    <w:rsid w:val="00E47019"/>
    <w:rsid w:val="00E50A44"/>
    <w:rsid w:val="00E51FE7"/>
    <w:rsid w:val="00E52C7E"/>
    <w:rsid w:val="00E53AD3"/>
    <w:rsid w:val="00E56A2C"/>
    <w:rsid w:val="00E60EE0"/>
    <w:rsid w:val="00E62220"/>
    <w:rsid w:val="00E6281F"/>
    <w:rsid w:val="00E710BE"/>
    <w:rsid w:val="00E7585E"/>
    <w:rsid w:val="00E760B6"/>
    <w:rsid w:val="00E7692F"/>
    <w:rsid w:val="00E8056B"/>
    <w:rsid w:val="00E8228A"/>
    <w:rsid w:val="00E8626D"/>
    <w:rsid w:val="00E903B7"/>
    <w:rsid w:val="00E911D8"/>
    <w:rsid w:val="00E95091"/>
    <w:rsid w:val="00E95FCD"/>
    <w:rsid w:val="00E96A18"/>
    <w:rsid w:val="00E96AA4"/>
    <w:rsid w:val="00EA1831"/>
    <w:rsid w:val="00EA2204"/>
    <w:rsid w:val="00EA2746"/>
    <w:rsid w:val="00EA3251"/>
    <w:rsid w:val="00EA487B"/>
    <w:rsid w:val="00EB0C47"/>
    <w:rsid w:val="00EB0E80"/>
    <w:rsid w:val="00EB39FF"/>
    <w:rsid w:val="00EB52D8"/>
    <w:rsid w:val="00EB6C3C"/>
    <w:rsid w:val="00EC3571"/>
    <w:rsid w:val="00EC4C63"/>
    <w:rsid w:val="00EC6498"/>
    <w:rsid w:val="00EC7FDA"/>
    <w:rsid w:val="00ED06E4"/>
    <w:rsid w:val="00ED0B80"/>
    <w:rsid w:val="00ED1DB0"/>
    <w:rsid w:val="00ED2995"/>
    <w:rsid w:val="00ED41E0"/>
    <w:rsid w:val="00ED582F"/>
    <w:rsid w:val="00ED6831"/>
    <w:rsid w:val="00ED76F8"/>
    <w:rsid w:val="00EE07EE"/>
    <w:rsid w:val="00EE1242"/>
    <w:rsid w:val="00EE4129"/>
    <w:rsid w:val="00EE4228"/>
    <w:rsid w:val="00EE43FB"/>
    <w:rsid w:val="00EF6EED"/>
    <w:rsid w:val="00F00BBD"/>
    <w:rsid w:val="00F019AA"/>
    <w:rsid w:val="00F050A9"/>
    <w:rsid w:val="00F0610C"/>
    <w:rsid w:val="00F06986"/>
    <w:rsid w:val="00F06E9C"/>
    <w:rsid w:val="00F105BF"/>
    <w:rsid w:val="00F16C2D"/>
    <w:rsid w:val="00F17E6F"/>
    <w:rsid w:val="00F17EC7"/>
    <w:rsid w:val="00F20633"/>
    <w:rsid w:val="00F21CE8"/>
    <w:rsid w:val="00F23F7C"/>
    <w:rsid w:val="00F24101"/>
    <w:rsid w:val="00F24C4A"/>
    <w:rsid w:val="00F26132"/>
    <w:rsid w:val="00F26CFA"/>
    <w:rsid w:val="00F26D5F"/>
    <w:rsid w:val="00F32BD9"/>
    <w:rsid w:val="00F33008"/>
    <w:rsid w:val="00F35767"/>
    <w:rsid w:val="00F37828"/>
    <w:rsid w:val="00F475EC"/>
    <w:rsid w:val="00F506FD"/>
    <w:rsid w:val="00F51B8C"/>
    <w:rsid w:val="00F52310"/>
    <w:rsid w:val="00F54D90"/>
    <w:rsid w:val="00F56935"/>
    <w:rsid w:val="00F637DB"/>
    <w:rsid w:val="00F662E2"/>
    <w:rsid w:val="00F66A3C"/>
    <w:rsid w:val="00F70859"/>
    <w:rsid w:val="00F722AA"/>
    <w:rsid w:val="00F729E0"/>
    <w:rsid w:val="00F748B9"/>
    <w:rsid w:val="00F74A6D"/>
    <w:rsid w:val="00F769BB"/>
    <w:rsid w:val="00F80E00"/>
    <w:rsid w:val="00F839CF"/>
    <w:rsid w:val="00F83C66"/>
    <w:rsid w:val="00F83E5B"/>
    <w:rsid w:val="00F85530"/>
    <w:rsid w:val="00F91F03"/>
    <w:rsid w:val="00F9546E"/>
    <w:rsid w:val="00F971D6"/>
    <w:rsid w:val="00F973F0"/>
    <w:rsid w:val="00FA1E1F"/>
    <w:rsid w:val="00FA26A5"/>
    <w:rsid w:val="00FA4F10"/>
    <w:rsid w:val="00FB2CC5"/>
    <w:rsid w:val="00FB3029"/>
    <w:rsid w:val="00FB3E18"/>
    <w:rsid w:val="00FB5163"/>
    <w:rsid w:val="00FC1688"/>
    <w:rsid w:val="00FC3859"/>
    <w:rsid w:val="00FC561A"/>
    <w:rsid w:val="00FD1B33"/>
    <w:rsid w:val="00FD2E25"/>
    <w:rsid w:val="00FD4C85"/>
    <w:rsid w:val="00FD681D"/>
    <w:rsid w:val="00FF114D"/>
    <w:rsid w:val="00FF3F1D"/>
    <w:rsid w:val="00FF4F15"/>
    <w:rsid w:val="00FF5EBB"/>
    <w:rsid w:val="00FF6962"/>
    <w:rsid w:val="00FF6A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CF0867"/>
    <w:pPr>
      <w:tabs>
        <w:tab w:val="left" w:pos="442"/>
        <w:tab w:val="right" w:leader="dot" w:pos="9628"/>
      </w:tabs>
      <w:spacing w:before="360" w:after="100"/>
    </w:pPr>
    <w:rPr>
      <w:rFonts w:ascii="Arial" w:hAnsi="Arial"/>
      <w:b/>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 w:type="table" w:customStyle="1" w:styleId="LightList-Accent111">
    <w:name w:val="Light List - Accent 111"/>
    <w:basedOn w:val="TableNormal"/>
    <w:uiPriority w:val="61"/>
    <w:rsid w:val="00166E38"/>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07866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65264019">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368337452">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1982342483">
      <w:bodyDiv w:val="1"/>
      <w:marLeft w:val="0"/>
      <w:marRight w:val="0"/>
      <w:marTop w:val="0"/>
      <w:marBottom w:val="0"/>
      <w:divBdr>
        <w:top w:val="none" w:sz="0" w:space="0" w:color="auto"/>
        <w:left w:val="none" w:sz="0" w:space="0" w:color="auto"/>
        <w:bottom w:val="none" w:sz="0" w:space="0" w:color="auto"/>
        <w:right w:val="none" w:sz="0" w:space="0" w:color="auto"/>
      </w:divBdr>
    </w:div>
    <w:div w:id="2076050704">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treasury.nsw.gov.au/ppp/working_with_government_wwg_guidelines_for_privately_financed_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8D79-6144-415D-8116-78F14738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5583</Words>
  <Characters>31408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36918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harbers</cp:lastModifiedBy>
  <cp:revision>2</cp:revision>
  <cp:lastPrinted>2013-12-12T04:43:00Z</cp:lastPrinted>
  <dcterms:created xsi:type="dcterms:W3CDTF">2013-12-19T22:12:00Z</dcterms:created>
  <dcterms:modified xsi:type="dcterms:W3CDTF">2013-12-19T22:12:00Z</dcterms:modified>
</cp:coreProperties>
</file>