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540454" w:rsidTr="000156D1">
        <w:trPr>
          <w:trHeight w:val="756"/>
        </w:trPr>
        <w:tc>
          <w:tcPr>
            <w:tcW w:w="2660" w:type="dxa"/>
            <w:vAlign w:val="center"/>
          </w:tcPr>
          <w:p w:rsidR="00D735FF" w:rsidRPr="00540454" w:rsidRDefault="00D735FF" w:rsidP="00B20589">
            <w:pPr>
              <w:pStyle w:val="Header"/>
              <w:rPr>
                <w:rFonts w:ascii="Arial" w:hAnsi="Arial" w:cs="Arial"/>
                <w:b/>
                <w:sz w:val="32"/>
              </w:rPr>
            </w:pPr>
            <w:r w:rsidRPr="00540454">
              <w:rPr>
                <w:rFonts w:ascii="Arial" w:hAnsi="Arial" w:cs="Arial"/>
                <w:b/>
                <w:sz w:val="32"/>
              </w:rPr>
              <w:t>Submission to:</w:t>
            </w:r>
          </w:p>
        </w:tc>
        <w:tc>
          <w:tcPr>
            <w:tcW w:w="6379" w:type="dxa"/>
            <w:vAlign w:val="center"/>
          </w:tcPr>
          <w:p w:rsidR="00D735FF" w:rsidRPr="00540454" w:rsidRDefault="008109A7" w:rsidP="00B20589">
            <w:pPr>
              <w:pStyle w:val="Header"/>
              <w:rPr>
                <w:rFonts w:ascii="Arial" w:hAnsi="Arial" w:cs="Arial"/>
                <w:sz w:val="32"/>
              </w:rPr>
            </w:pPr>
            <w:r>
              <w:rPr>
                <w:rFonts w:ascii="Arial" w:hAnsi="Arial" w:cs="Arial"/>
                <w:sz w:val="32"/>
              </w:rPr>
              <w:t>Productivity Commission</w:t>
            </w:r>
            <w:r w:rsidR="00F3294F" w:rsidRPr="00540454">
              <w:rPr>
                <w:rFonts w:ascii="Arial" w:hAnsi="Arial" w:cs="Arial"/>
                <w:sz w:val="32"/>
              </w:rPr>
              <w:t xml:space="preserve"> </w:t>
            </w:r>
            <w:r w:rsidR="00EA3322" w:rsidRPr="00540454">
              <w:rPr>
                <w:rFonts w:ascii="Arial" w:hAnsi="Arial" w:cs="Arial"/>
                <w:sz w:val="32"/>
              </w:rPr>
              <w:t xml:space="preserve"> </w:t>
            </w:r>
          </w:p>
        </w:tc>
      </w:tr>
      <w:tr w:rsidR="00D735FF" w:rsidRPr="00540454" w:rsidTr="000156D1">
        <w:trPr>
          <w:trHeight w:val="756"/>
        </w:trPr>
        <w:tc>
          <w:tcPr>
            <w:tcW w:w="2660" w:type="dxa"/>
            <w:vAlign w:val="center"/>
          </w:tcPr>
          <w:p w:rsidR="00D735FF" w:rsidRPr="00540454" w:rsidRDefault="00D735FF" w:rsidP="00B20589">
            <w:pPr>
              <w:pStyle w:val="Header"/>
              <w:rPr>
                <w:rFonts w:ascii="Arial" w:hAnsi="Arial" w:cs="Arial"/>
                <w:b/>
                <w:sz w:val="32"/>
              </w:rPr>
            </w:pPr>
            <w:r w:rsidRPr="00540454">
              <w:rPr>
                <w:rFonts w:ascii="Arial" w:hAnsi="Arial" w:cs="Arial"/>
                <w:b/>
                <w:sz w:val="32"/>
              </w:rPr>
              <w:t>Title:</w:t>
            </w:r>
          </w:p>
        </w:tc>
        <w:tc>
          <w:tcPr>
            <w:tcW w:w="6379" w:type="dxa"/>
            <w:vAlign w:val="center"/>
          </w:tcPr>
          <w:p w:rsidR="00D735FF" w:rsidRPr="00540454" w:rsidRDefault="008109A7" w:rsidP="00B20589">
            <w:pPr>
              <w:pStyle w:val="Header"/>
              <w:rPr>
                <w:rFonts w:ascii="Arial" w:hAnsi="Arial" w:cs="Arial"/>
                <w:sz w:val="32"/>
              </w:rPr>
            </w:pPr>
            <w:r>
              <w:rPr>
                <w:rFonts w:ascii="Arial" w:hAnsi="Arial" w:cs="Arial"/>
                <w:sz w:val="32"/>
              </w:rPr>
              <w:t>B</w:t>
            </w:r>
            <w:r w:rsidR="00601F5C">
              <w:rPr>
                <w:rFonts w:ascii="Arial" w:hAnsi="Arial" w:cs="Arial"/>
                <w:sz w:val="32"/>
              </w:rPr>
              <w:t>usiness set-up, transfer and closure</w:t>
            </w:r>
            <w:r w:rsidR="00EA3322" w:rsidRPr="00540454">
              <w:rPr>
                <w:rFonts w:ascii="Arial" w:hAnsi="Arial" w:cs="Arial"/>
                <w:sz w:val="32"/>
              </w:rPr>
              <w:t xml:space="preserve"> </w:t>
            </w:r>
          </w:p>
        </w:tc>
      </w:tr>
      <w:tr w:rsidR="00D735FF" w:rsidRPr="00540454" w:rsidTr="000156D1">
        <w:trPr>
          <w:trHeight w:val="756"/>
        </w:trPr>
        <w:tc>
          <w:tcPr>
            <w:tcW w:w="2660" w:type="dxa"/>
            <w:vAlign w:val="center"/>
          </w:tcPr>
          <w:p w:rsidR="00D735FF" w:rsidRPr="00540454" w:rsidRDefault="00D735FF" w:rsidP="00B20589">
            <w:pPr>
              <w:pStyle w:val="Header"/>
              <w:rPr>
                <w:rFonts w:ascii="Arial" w:hAnsi="Arial" w:cs="Arial"/>
                <w:b/>
                <w:sz w:val="32"/>
              </w:rPr>
            </w:pPr>
            <w:r w:rsidRPr="00540454">
              <w:rPr>
                <w:rFonts w:ascii="Arial" w:hAnsi="Arial" w:cs="Arial"/>
                <w:b/>
                <w:sz w:val="32"/>
              </w:rPr>
              <w:t>Date:</w:t>
            </w:r>
          </w:p>
        </w:tc>
        <w:tc>
          <w:tcPr>
            <w:tcW w:w="6379" w:type="dxa"/>
            <w:vAlign w:val="center"/>
          </w:tcPr>
          <w:p w:rsidR="00D735FF" w:rsidRPr="00540454" w:rsidRDefault="008109A7" w:rsidP="00B20589">
            <w:pPr>
              <w:pStyle w:val="Header"/>
              <w:rPr>
                <w:rFonts w:ascii="Arial" w:hAnsi="Arial" w:cs="Arial"/>
                <w:sz w:val="32"/>
              </w:rPr>
            </w:pPr>
            <w:r>
              <w:rPr>
                <w:rFonts w:ascii="Arial" w:hAnsi="Arial" w:cs="Arial"/>
                <w:sz w:val="32"/>
              </w:rPr>
              <w:t>20</w:t>
            </w:r>
            <w:r w:rsidR="00776E81" w:rsidRPr="00540454">
              <w:rPr>
                <w:rFonts w:ascii="Arial" w:hAnsi="Arial" w:cs="Arial"/>
                <w:sz w:val="32"/>
              </w:rPr>
              <w:t xml:space="preserve"> February 2015</w:t>
            </w:r>
          </w:p>
        </w:tc>
      </w:tr>
    </w:tbl>
    <w:p w:rsidR="00D735FF" w:rsidRPr="00540454" w:rsidRDefault="00D735FF" w:rsidP="00B20589">
      <w:pPr>
        <w:pStyle w:val="Header"/>
        <w:rPr>
          <w:rFonts w:ascii="Arial" w:hAnsi="Arial" w:cs="Arial"/>
          <w:sz w:val="32"/>
        </w:rPr>
      </w:pPr>
    </w:p>
    <w:p w:rsidR="00D735FF" w:rsidRPr="00540454" w:rsidRDefault="00D735FF" w:rsidP="00B20589">
      <w:pPr>
        <w:pStyle w:val="Header"/>
        <w:rPr>
          <w:rFonts w:ascii="Arial" w:hAnsi="Arial" w:cs="Arial"/>
          <w:sz w:val="32"/>
        </w:rPr>
      </w:pPr>
    </w:p>
    <w:p w:rsidR="00576ED0" w:rsidRPr="00540454" w:rsidRDefault="00576ED0" w:rsidP="00B20589">
      <w:pPr>
        <w:pStyle w:val="Header"/>
        <w:rPr>
          <w:rFonts w:ascii="Arial" w:hAnsi="Arial" w:cs="Arial"/>
          <w:sz w:val="32"/>
        </w:rPr>
      </w:pPr>
    </w:p>
    <w:p w:rsidR="00576ED0" w:rsidRPr="00540454" w:rsidRDefault="00576ED0" w:rsidP="00B20589">
      <w:pPr>
        <w:rPr>
          <w:rFonts w:ascii="Arial" w:hAnsi="Arial" w:cs="Arial"/>
        </w:rPr>
        <w:sectPr w:rsidR="00576ED0" w:rsidRPr="00540454"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540454" w:rsidRDefault="00576ED0" w:rsidP="00B20589">
      <w:pPr>
        <w:rPr>
          <w:rFonts w:ascii="Arial" w:hAnsi="Arial" w:cs="Arial"/>
        </w:rPr>
      </w:pPr>
    </w:p>
    <w:p w:rsidR="0035493A" w:rsidRPr="00540454" w:rsidRDefault="0035493A" w:rsidP="00B20589">
      <w:pPr>
        <w:rPr>
          <w:rFonts w:ascii="Arial" w:hAnsi="Arial" w:cs="Arial"/>
        </w:rPr>
      </w:pPr>
    </w:p>
    <w:p w:rsidR="0035493A" w:rsidRPr="00540454" w:rsidRDefault="0035493A" w:rsidP="00B20589">
      <w:pPr>
        <w:rPr>
          <w:rFonts w:ascii="Arial" w:hAnsi="Arial" w:cs="Arial"/>
        </w:rPr>
      </w:pPr>
    </w:p>
    <w:p w:rsidR="0035493A" w:rsidRPr="00540454" w:rsidRDefault="0035493A" w:rsidP="00B20589">
      <w:pPr>
        <w:rPr>
          <w:rFonts w:ascii="Arial" w:hAnsi="Arial" w:cs="Arial"/>
        </w:rPr>
      </w:pPr>
    </w:p>
    <w:p w:rsidR="0035493A" w:rsidRPr="00540454" w:rsidRDefault="0035493A" w:rsidP="00B20589">
      <w:pPr>
        <w:rPr>
          <w:rFonts w:ascii="Arial" w:hAnsi="Arial" w:cs="Arial"/>
        </w:rPr>
      </w:pPr>
    </w:p>
    <w:p w:rsidR="0035493A" w:rsidRPr="00540454" w:rsidRDefault="003B74E4" w:rsidP="00B20589">
      <w:pPr>
        <w:rPr>
          <w:rFonts w:ascii="Arial" w:hAnsi="Arial" w:cs="Arial"/>
          <w:b/>
          <w:color w:val="000064"/>
          <w:sz w:val="32"/>
        </w:rPr>
      </w:pPr>
      <w:r w:rsidRPr="00540454">
        <w:rPr>
          <w:rFonts w:ascii="Arial" w:hAnsi="Arial" w:cs="Arial"/>
          <w:b/>
          <w:color w:val="000064"/>
          <w:sz w:val="32"/>
        </w:rPr>
        <w:t>Contents</w:t>
      </w:r>
    </w:p>
    <w:p w:rsidR="00576ED0" w:rsidRPr="00540454" w:rsidRDefault="00576ED0" w:rsidP="00B20589">
      <w:pPr>
        <w:rPr>
          <w:rFonts w:ascii="Arial" w:hAnsi="Arial" w:cs="Arial"/>
        </w:rPr>
      </w:pPr>
    </w:p>
    <w:p w:rsidR="009B0520" w:rsidRPr="00540454" w:rsidRDefault="009B0520" w:rsidP="00B20589">
      <w:pPr>
        <w:rPr>
          <w:rFonts w:ascii="Arial" w:hAnsi="Arial" w:cs="Arial"/>
        </w:rPr>
      </w:pPr>
    </w:p>
    <w:p w:rsidR="00B15CCF" w:rsidRDefault="003B2024">
      <w:pPr>
        <w:pStyle w:val="TOC1"/>
        <w:tabs>
          <w:tab w:val="left" w:pos="442"/>
        </w:tabs>
        <w:rPr>
          <w:rFonts w:asciiTheme="minorHAnsi" w:eastAsiaTheme="minorEastAsia" w:hAnsiTheme="minorHAnsi" w:cstheme="minorBidi"/>
          <w:b w:val="0"/>
          <w:sz w:val="22"/>
          <w:szCs w:val="22"/>
          <w:lang w:eastAsia="en-AU"/>
        </w:rPr>
      </w:pPr>
      <w:r w:rsidRPr="00BA01D2">
        <w:rPr>
          <w:sz w:val="22"/>
          <w:szCs w:val="22"/>
        </w:rPr>
        <w:fldChar w:fldCharType="begin"/>
      </w:r>
      <w:r w:rsidR="00BD49FC" w:rsidRPr="00BA01D2">
        <w:rPr>
          <w:sz w:val="22"/>
          <w:szCs w:val="22"/>
        </w:rPr>
        <w:instrText xml:space="preserve"> TOC \o "1-2" \t "ATA Heading 2,2" </w:instrText>
      </w:r>
      <w:r w:rsidRPr="00BA01D2">
        <w:rPr>
          <w:sz w:val="22"/>
          <w:szCs w:val="22"/>
        </w:rPr>
        <w:fldChar w:fldCharType="separate"/>
      </w:r>
      <w:r w:rsidR="00B15CCF" w:rsidRPr="00853C0B">
        <w:rPr>
          <w:rFonts w:cs="Times New Roman"/>
        </w:rPr>
        <w:t>1.</w:t>
      </w:r>
      <w:r w:rsidR="00B15CCF">
        <w:rPr>
          <w:rFonts w:asciiTheme="minorHAnsi" w:eastAsiaTheme="minorEastAsia" w:hAnsiTheme="minorHAnsi" w:cstheme="minorBidi"/>
          <w:b w:val="0"/>
          <w:sz w:val="22"/>
          <w:szCs w:val="22"/>
          <w:lang w:eastAsia="en-AU"/>
        </w:rPr>
        <w:tab/>
      </w:r>
      <w:r w:rsidR="00B15CCF">
        <w:t>Australian Trucking Association</w:t>
      </w:r>
      <w:r w:rsidR="00B15CCF">
        <w:tab/>
      </w:r>
      <w:r w:rsidR="00B15CCF">
        <w:fldChar w:fldCharType="begin"/>
      </w:r>
      <w:r w:rsidR="00B15CCF">
        <w:instrText xml:space="preserve"> PAGEREF _Toc412794705 \h </w:instrText>
      </w:r>
      <w:r w:rsidR="00B15CCF">
        <w:fldChar w:fldCharType="separate"/>
      </w:r>
      <w:r w:rsidR="001D64A9">
        <w:t>3</w:t>
      </w:r>
      <w:r w:rsidR="00B15CCF">
        <w:fldChar w:fldCharType="end"/>
      </w:r>
    </w:p>
    <w:p w:rsidR="00B15CCF" w:rsidRDefault="00B15CCF">
      <w:pPr>
        <w:pStyle w:val="TOC1"/>
        <w:tabs>
          <w:tab w:val="left" w:pos="442"/>
        </w:tabs>
        <w:rPr>
          <w:rFonts w:asciiTheme="minorHAnsi" w:eastAsiaTheme="minorEastAsia" w:hAnsiTheme="minorHAnsi" w:cstheme="minorBidi"/>
          <w:b w:val="0"/>
          <w:sz w:val="22"/>
          <w:szCs w:val="22"/>
          <w:lang w:eastAsia="en-AU"/>
        </w:rPr>
      </w:pPr>
      <w:r w:rsidRPr="00853C0B">
        <w:rPr>
          <w:rFonts w:cs="Times New Roman"/>
        </w:rPr>
        <w:t>2.</w:t>
      </w:r>
      <w:r>
        <w:rPr>
          <w:rFonts w:asciiTheme="minorHAnsi" w:eastAsiaTheme="minorEastAsia" w:hAnsiTheme="minorHAnsi" w:cstheme="minorBidi"/>
          <w:b w:val="0"/>
          <w:sz w:val="22"/>
          <w:szCs w:val="22"/>
          <w:lang w:eastAsia="en-AU"/>
        </w:rPr>
        <w:tab/>
      </w:r>
      <w:r>
        <w:t>Summary of recommendations</w:t>
      </w:r>
      <w:r>
        <w:tab/>
      </w:r>
      <w:r>
        <w:fldChar w:fldCharType="begin"/>
      </w:r>
      <w:r>
        <w:instrText xml:space="preserve"> PAGEREF _Toc412794706 \h </w:instrText>
      </w:r>
      <w:r>
        <w:fldChar w:fldCharType="separate"/>
      </w:r>
      <w:r w:rsidR="001D64A9">
        <w:t>3</w:t>
      </w:r>
      <w:r>
        <w:fldChar w:fldCharType="end"/>
      </w:r>
    </w:p>
    <w:p w:rsidR="00B15CCF" w:rsidRDefault="00B15CCF">
      <w:pPr>
        <w:pStyle w:val="TOC1"/>
        <w:tabs>
          <w:tab w:val="left" w:pos="442"/>
        </w:tabs>
        <w:rPr>
          <w:rFonts w:asciiTheme="minorHAnsi" w:eastAsiaTheme="minorEastAsia" w:hAnsiTheme="minorHAnsi" w:cstheme="minorBidi"/>
          <w:b w:val="0"/>
          <w:sz w:val="22"/>
          <w:szCs w:val="22"/>
          <w:lang w:eastAsia="en-AU"/>
        </w:rPr>
      </w:pPr>
      <w:r w:rsidRPr="00853C0B">
        <w:rPr>
          <w:rFonts w:cs="Times New Roman"/>
        </w:rPr>
        <w:t>3.</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_Toc412794707 \h </w:instrText>
      </w:r>
      <w:r>
        <w:fldChar w:fldCharType="separate"/>
      </w:r>
      <w:r w:rsidR="001D64A9">
        <w:t>4</w:t>
      </w:r>
      <w:r>
        <w:fldChar w:fldCharType="end"/>
      </w:r>
    </w:p>
    <w:p w:rsidR="00B15CCF" w:rsidRDefault="00B15CCF">
      <w:pPr>
        <w:pStyle w:val="TOC1"/>
        <w:tabs>
          <w:tab w:val="left" w:pos="442"/>
        </w:tabs>
        <w:rPr>
          <w:rFonts w:asciiTheme="minorHAnsi" w:eastAsiaTheme="minorEastAsia" w:hAnsiTheme="minorHAnsi" w:cstheme="minorBidi"/>
          <w:b w:val="0"/>
          <w:sz w:val="22"/>
          <w:szCs w:val="22"/>
          <w:lang w:eastAsia="en-AU"/>
        </w:rPr>
      </w:pPr>
      <w:r w:rsidRPr="00853C0B">
        <w:rPr>
          <w:rFonts w:cs="Times New Roman"/>
        </w:rPr>
        <w:t>4.</w:t>
      </w:r>
      <w:r>
        <w:rPr>
          <w:rFonts w:asciiTheme="minorHAnsi" w:eastAsiaTheme="minorEastAsia" w:hAnsiTheme="minorHAnsi" w:cstheme="minorBidi"/>
          <w:b w:val="0"/>
          <w:sz w:val="22"/>
          <w:szCs w:val="22"/>
          <w:lang w:eastAsia="en-AU"/>
        </w:rPr>
        <w:tab/>
      </w:r>
      <w:r>
        <w:t>Overview of the heavy v</w:t>
      </w:r>
      <w:bookmarkStart w:id="0" w:name="_GoBack"/>
      <w:bookmarkEnd w:id="0"/>
      <w:r>
        <w:t>ehicle industry</w:t>
      </w:r>
      <w:r>
        <w:tab/>
      </w:r>
      <w:r>
        <w:fldChar w:fldCharType="begin"/>
      </w:r>
      <w:r>
        <w:instrText xml:space="preserve"> PAGEREF _Toc412794708 \h </w:instrText>
      </w:r>
      <w:r>
        <w:fldChar w:fldCharType="separate"/>
      </w:r>
      <w:r w:rsidR="001D64A9">
        <w:t>5</w:t>
      </w:r>
      <w:r>
        <w:fldChar w:fldCharType="end"/>
      </w:r>
    </w:p>
    <w:p w:rsidR="00B15CCF" w:rsidRDefault="00B15CCF">
      <w:pPr>
        <w:pStyle w:val="TOC1"/>
        <w:tabs>
          <w:tab w:val="left" w:pos="442"/>
        </w:tabs>
        <w:rPr>
          <w:rFonts w:asciiTheme="minorHAnsi" w:eastAsiaTheme="minorEastAsia" w:hAnsiTheme="minorHAnsi" w:cstheme="minorBidi"/>
          <w:b w:val="0"/>
          <w:sz w:val="22"/>
          <w:szCs w:val="22"/>
          <w:lang w:eastAsia="en-AU"/>
        </w:rPr>
      </w:pPr>
      <w:r w:rsidRPr="00853C0B">
        <w:rPr>
          <w:rFonts w:cs="Times New Roman"/>
        </w:rPr>
        <w:t>5.</w:t>
      </w:r>
      <w:r>
        <w:rPr>
          <w:rFonts w:asciiTheme="minorHAnsi" w:eastAsiaTheme="minorEastAsia" w:hAnsiTheme="minorHAnsi" w:cstheme="minorBidi"/>
          <w:b w:val="0"/>
          <w:sz w:val="22"/>
          <w:szCs w:val="22"/>
          <w:lang w:eastAsia="en-AU"/>
        </w:rPr>
        <w:tab/>
      </w:r>
      <w:r>
        <w:t>An overview of issues identified by the industry</w:t>
      </w:r>
      <w:r>
        <w:tab/>
      </w:r>
      <w:r>
        <w:fldChar w:fldCharType="begin"/>
      </w:r>
      <w:r>
        <w:instrText xml:space="preserve"> PAGEREF _Toc412794709 \h </w:instrText>
      </w:r>
      <w:r>
        <w:fldChar w:fldCharType="separate"/>
      </w:r>
      <w:r w:rsidR="001D64A9">
        <w:t>5</w:t>
      </w:r>
      <w:r>
        <w:fldChar w:fldCharType="end"/>
      </w:r>
    </w:p>
    <w:p w:rsidR="00B15CCF" w:rsidRDefault="00B15CCF">
      <w:pPr>
        <w:pStyle w:val="TOC1"/>
        <w:tabs>
          <w:tab w:val="left" w:pos="442"/>
        </w:tabs>
        <w:rPr>
          <w:rFonts w:asciiTheme="minorHAnsi" w:eastAsiaTheme="minorEastAsia" w:hAnsiTheme="minorHAnsi" w:cstheme="minorBidi"/>
          <w:b w:val="0"/>
          <w:sz w:val="22"/>
          <w:szCs w:val="22"/>
          <w:lang w:eastAsia="en-AU"/>
        </w:rPr>
      </w:pPr>
      <w:r w:rsidRPr="00853C0B">
        <w:rPr>
          <w:rFonts w:cs="Times New Roman"/>
        </w:rPr>
        <w:t>6.</w:t>
      </w:r>
      <w:r>
        <w:rPr>
          <w:rFonts w:asciiTheme="minorHAnsi" w:eastAsiaTheme="minorEastAsia" w:hAnsiTheme="minorHAnsi" w:cstheme="minorBidi"/>
          <w:b w:val="0"/>
          <w:sz w:val="22"/>
          <w:szCs w:val="22"/>
          <w:lang w:eastAsia="en-AU"/>
        </w:rPr>
        <w:tab/>
      </w:r>
      <w:r>
        <w:t>What the Government needs to do to address the issues</w:t>
      </w:r>
      <w:r>
        <w:tab/>
      </w:r>
      <w:r>
        <w:fldChar w:fldCharType="begin"/>
      </w:r>
      <w:r>
        <w:instrText xml:space="preserve"> PAGEREF _Toc412794710 \h </w:instrText>
      </w:r>
      <w:r>
        <w:fldChar w:fldCharType="separate"/>
      </w:r>
      <w:r w:rsidR="001D64A9">
        <w:t>7</w:t>
      </w:r>
      <w: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6.1 Increase the small business turnover threshold to $3 million</w:t>
      </w:r>
      <w:r w:rsidRPr="00B15CCF">
        <w:rPr>
          <w:b w:val="0"/>
        </w:rPr>
        <w:tab/>
      </w:r>
      <w:r w:rsidRPr="00B15CCF">
        <w:rPr>
          <w:b w:val="0"/>
        </w:rPr>
        <w:fldChar w:fldCharType="begin"/>
      </w:r>
      <w:r w:rsidRPr="00B15CCF">
        <w:rPr>
          <w:b w:val="0"/>
        </w:rPr>
        <w:instrText xml:space="preserve"> PAGEREF _Toc412794711 \h </w:instrText>
      </w:r>
      <w:r w:rsidRPr="00B15CCF">
        <w:rPr>
          <w:b w:val="0"/>
        </w:rPr>
      </w:r>
      <w:r w:rsidRPr="00B15CCF">
        <w:rPr>
          <w:b w:val="0"/>
        </w:rPr>
        <w:fldChar w:fldCharType="separate"/>
      </w:r>
      <w:r w:rsidR="001D64A9">
        <w:rPr>
          <w:b w:val="0"/>
        </w:rPr>
        <w:t>7</w:t>
      </w:r>
      <w:r w:rsidRPr="00B15CCF">
        <w:rPr>
          <w:b w:val="0"/>
        </w:rP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6.2 Review the efficiency of Payroll tax</w:t>
      </w:r>
      <w:r w:rsidRPr="00B15CCF">
        <w:rPr>
          <w:b w:val="0"/>
        </w:rPr>
        <w:tab/>
      </w:r>
      <w:r w:rsidRPr="00B15CCF">
        <w:rPr>
          <w:b w:val="0"/>
        </w:rPr>
        <w:fldChar w:fldCharType="begin"/>
      </w:r>
      <w:r w:rsidRPr="00B15CCF">
        <w:rPr>
          <w:b w:val="0"/>
        </w:rPr>
        <w:instrText xml:space="preserve"> PAGEREF _Toc412794712 \h </w:instrText>
      </w:r>
      <w:r w:rsidRPr="00B15CCF">
        <w:rPr>
          <w:b w:val="0"/>
        </w:rPr>
      </w:r>
      <w:r w:rsidRPr="00B15CCF">
        <w:rPr>
          <w:b w:val="0"/>
        </w:rPr>
        <w:fldChar w:fldCharType="separate"/>
      </w:r>
      <w:r w:rsidR="001D64A9">
        <w:rPr>
          <w:b w:val="0"/>
        </w:rPr>
        <w:t>7</w:t>
      </w:r>
      <w:r w:rsidRPr="00B15CCF">
        <w:rPr>
          <w:b w:val="0"/>
        </w:rP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6.3 Remove stamp duty on purchases and replace it with a broader tax</w:t>
      </w:r>
      <w:r w:rsidRPr="00B15CCF">
        <w:rPr>
          <w:b w:val="0"/>
        </w:rPr>
        <w:tab/>
      </w:r>
      <w:r w:rsidRPr="00B15CCF">
        <w:rPr>
          <w:b w:val="0"/>
        </w:rPr>
        <w:fldChar w:fldCharType="begin"/>
      </w:r>
      <w:r w:rsidRPr="00B15CCF">
        <w:rPr>
          <w:b w:val="0"/>
        </w:rPr>
        <w:instrText xml:space="preserve"> PAGEREF _Toc412794713 \h </w:instrText>
      </w:r>
      <w:r w:rsidRPr="00B15CCF">
        <w:rPr>
          <w:b w:val="0"/>
        </w:rPr>
      </w:r>
      <w:r w:rsidRPr="00B15CCF">
        <w:rPr>
          <w:b w:val="0"/>
        </w:rPr>
        <w:fldChar w:fldCharType="separate"/>
      </w:r>
      <w:r w:rsidR="001D64A9">
        <w:rPr>
          <w:b w:val="0"/>
        </w:rPr>
        <w:t>8</w:t>
      </w:r>
      <w:r w:rsidRPr="00B15CCF">
        <w:rPr>
          <w:b w:val="0"/>
        </w:rP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6.4 Remove red tape for individuals wanting to start a business</w:t>
      </w:r>
      <w:r w:rsidRPr="00B15CCF">
        <w:rPr>
          <w:b w:val="0"/>
        </w:rPr>
        <w:tab/>
      </w:r>
      <w:r w:rsidRPr="00B15CCF">
        <w:rPr>
          <w:b w:val="0"/>
        </w:rPr>
        <w:fldChar w:fldCharType="begin"/>
      </w:r>
      <w:r w:rsidRPr="00B15CCF">
        <w:rPr>
          <w:b w:val="0"/>
        </w:rPr>
        <w:instrText xml:space="preserve"> PAGEREF _Toc412794714 \h </w:instrText>
      </w:r>
      <w:r w:rsidRPr="00B15CCF">
        <w:rPr>
          <w:b w:val="0"/>
        </w:rPr>
      </w:r>
      <w:r w:rsidRPr="00B15CCF">
        <w:rPr>
          <w:b w:val="0"/>
        </w:rPr>
        <w:fldChar w:fldCharType="separate"/>
      </w:r>
      <w:r w:rsidR="001D64A9">
        <w:rPr>
          <w:b w:val="0"/>
        </w:rPr>
        <w:t>8</w:t>
      </w:r>
      <w:r w:rsidRPr="00B15CCF">
        <w:rPr>
          <w:b w:val="0"/>
        </w:rP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6.5 Simplify Business Activity Statements compliance for industry</w:t>
      </w:r>
      <w:r w:rsidRPr="00B15CCF">
        <w:rPr>
          <w:b w:val="0"/>
        </w:rPr>
        <w:tab/>
      </w:r>
      <w:r w:rsidRPr="00B15CCF">
        <w:rPr>
          <w:b w:val="0"/>
        </w:rPr>
        <w:fldChar w:fldCharType="begin"/>
      </w:r>
      <w:r w:rsidRPr="00B15CCF">
        <w:rPr>
          <w:b w:val="0"/>
        </w:rPr>
        <w:instrText xml:space="preserve"> PAGEREF _Toc412794715 \h </w:instrText>
      </w:r>
      <w:r w:rsidRPr="00B15CCF">
        <w:rPr>
          <w:b w:val="0"/>
        </w:rPr>
      </w:r>
      <w:r w:rsidRPr="00B15CCF">
        <w:rPr>
          <w:b w:val="0"/>
        </w:rPr>
        <w:fldChar w:fldCharType="separate"/>
      </w:r>
      <w:r w:rsidR="001D64A9">
        <w:rPr>
          <w:b w:val="0"/>
        </w:rPr>
        <w:t>9</w:t>
      </w:r>
      <w:r w:rsidRPr="00B15CCF">
        <w:rPr>
          <w:b w:val="0"/>
        </w:rP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6.6 Improve business transfer tax arrangements</w:t>
      </w:r>
      <w:r w:rsidRPr="00B15CCF">
        <w:rPr>
          <w:b w:val="0"/>
        </w:rPr>
        <w:tab/>
      </w:r>
      <w:r w:rsidRPr="00B15CCF">
        <w:rPr>
          <w:b w:val="0"/>
        </w:rPr>
        <w:fldChar w:fldCharType="begin"/>
      </w:r>
      <w:r w:rsidRPr="00B15CCF">
        <w:rPr>
          <w:b w:val="0"/>
        </w:rPr>
        <w:instrText xml:space="preserve"> PAGEREF _Toc412794716 \h </w:instrText>
      </w:r>
      <w:r w:rsidRPr="00B15CCF">
        <w:rPr>
          <w:b w:val="0"/>
        </w:rPr>
      </w:r>
      <w:r w:rsidRPr="00B15CCF">
        <w:rPr>
          <w:b w:val="0"/>
        </w:rPr>
        <w:fldChar w:fldCharType="separate"/>
      </w:r>
      <w:r w:rsidR="001D64A9">
        <w:rPr>
          <w:b w:val="0"/>
        </w:rPr>
        <w:t>9</w:t>
      </w:r>
      <w:r w:rsidRPr="00B15CCF">
        <w:rPr>
          <w:b w:val="0"/>
        </w:rPr>
        <w:fldChar w:fldCharType="end"/>
      </w:r>
    </w:p>
    <w:p w:rsidR="00B15CCF" w:rsidRPr="00B15CCF" w:rsidRDefault="00B15CCF" w:rsidP="00B15CCF">
      <w:pPr>
        <w:pStyle w:val="TOC1"/>
        <w:ind w:left="720"/>
        <w:rPr>
          <w:rFonts w:asciiTheme="minorHAnsi" w:eastAsiaTheme="minorEastAsia" w:hAnsiTheme="minorHAnsi" w:cstheme="minorBidi"/>
          <w:b w:val="0"/>
          <w:sz w:val="22"/>
          <w:szCs w:val="22"/>
          <w:lang w:eastAsia="en-AU"/>
        </w:rPr>
      </w:pPr>
      <w:r w:rsidRPr="00B15CCF">
        <w:rPr>
          <w:b w:val="0"/>
        </w:rPr>
        <w:t>6.7 Improve transparency for business access to finance</w:t>
      </w:r>
      <w:r w:rsidRPr="00B15CCF">
        <w:rPr>
          <w:b w:val="0"/>
        </w:rPr>
        <w:tab/>
      </w:r>
      <w:r w:rsidRPr="00B15CCF">
        <w:rPr>
          <w:b w:val="0"/>
        </w:rPr>
        <w:fldChar w:fldCharType="begin"/>
      </w:r>
      <w:r w:rsidRPr="00B15CCF">
        <w:rPr>
          <w:b w:val="0"/>
        </w:rPr>
        <w:instrText xml:space="preserve"> PAGEREF _Toc412794717 \h </w:instrText>
      </w:r>
      <w:r w:rsidRPr="00B15CCF">
        <w:rPr>
          <w:b w:val="0"/>
        </w:rPr>
      </w:r>
      <w:r w:rsidRPr="00B15CCF">
        <w:rPr>
          <w:b w:val="0"/>
        </w:rPr>
        <w:fldChar w:fldCharType="separate"/>
      </w:r>
      <w:r w:rsidR="001D64A9">
        <w:rPr>
          <w:b w:val="0"/>
        </w:rPr>
        <w:t>12</w:t>
      </w:r>
      <w:r w:rsidRPr="00B15CCF">
        <w:rPr>
          <w:b w:val="0"/>
        </w:rPr>
        <w:fldChar w:fldCharType="end"/>
      </w:r>
    </w:p>
    <w:p w:rsidR="00241C15" w:rsidRPr="00BA01D2" w:rsidRDefault="003B2024" w:rsidP="00B20589">
      <w:pPr>
        <w:tabs>
          <w:tab w:val="right" w:leader="dot" w:pos="9645"/>
        </w:tabs>
        <w:rPr>
          <w:rFonts w:ascii="Arial" w:hAnsi="Arial" w:cs="Arial"/>
        </w:rPr>
      </w:pPr>
      <w:r w:rsidRPr="00BA01D2">
        <w:rPr>
          <w:rFonts w:ascii="Arial" w:hAnsi="Arial" w:cs="Arial"/>
          <w:b/>
          <w:noProof/>
        </w:rPr>
        <w:fldChar w:fldCharType="end"/>
      </w:r>
    </w:p>
    <w:p w:rsidR="00576ED0" w:rsidRPr="00BA01D2" w:rsidRDefault="00576ED0" w:rsidP="00B20589">
      <w:pPr>
        <w:rPr>
          <w:rFonts w:ascii="Arial" w:hAnsi="Arial" w:cs="Arial"/>
        </w:rPr>
      </w:pPr>
      <w:r w:rsidRPr="00BA01D2">
        <w:rPr>
          <w:rFonts w:ascii="Arial" w:hAnsi="Arial" w:cs="Arial"/>
        </w:rPr>
        <w:br w:type="page"/>
      </w:r>
    </w:p>
    <w:p w:rsidR="005B64D9" w:rsidRPr="00540454" w:rsidRDefault="005B64D9" w:rsidP="005B64D9">
      <w:pPr>
        <w:pStyle w:val="Heading1"/>
        <w:rPr>
          <w:szCs w:val="22"/>
        </w:rPr>
      </w:pPr>
      <w:bookmarkStart w:id="1" w:name="_Toc412794705"/>
      <w:r w:rsidRPr="00540454">
        <w:rPr>
          <w:szCs w:val="22"/>
        </w:rPr>
        <w:lastRenderedPageBreak/>
        <w:t>Australian Trucking Association</w:t>
      </w:r>
      <w:bookmarkEnd w:id="1"/>
    </w:p>
    <w:p w:rsidR="005B64D9" w:rsidRPr="00540454" w:rsidRDefault="005B64D9" w:rsidP="005B64D9">
      <w:pPr>
        <w:pStyle w:val="BodyText2"/>
        <w:rPr>
          <w:b w:val="0"/>
          <w:szCs w:val="22"/>
        </w:rPr>
      </w:pPr>
    </w:p>
    <w:p w:rsidR="005B64D9" w:rsidRDefault="005B64D9" w:rsidP="005B64D9">
      <w:pPr>
        <w:pStyle w:val="BodyText2"/>
        <w:rPr>
          <w:b w:val="0"/>
          <w:szCs w:val="22"/>
        </w:rPr>
      </w:pPr>
      <w:r w:rsidRPr="00540454">
        <w:rPr>
          <w:b w:val="0"/>
          <w:szCs w:val="22"/>
        </w:rPr>
        <w:t xml:space="preserve">The ATA is the peak body that represents the trucking industry. Its members include state and sector-based trucking associations, some of the nation’s largest transport companies, and businesses with leading expertise in truck technology. </w:t>
      </w:r>
    </w:p>
    <w:p w:rsidR="00E270A8" w:rsidRDefault="00E270A8" w:rsidP="005B64D9">
      <w:pPr>
        <w:pStyle w:val="BodyText2"/>
        <w:rPr>
          <w:b w:val="0"/>
          <w:szCs w:val="22"/>
        </w:rPr>
      </w:pPr>
    </w:p>
    <w:p w:rsidR="00E270A8" w:rsidRDefault="00E270A8" w:rsidP="005B64D9">
      <w:pPr>
        <w:pStyle w:val="BodyText2"/>
        <w:rPr>
          <w:b w:val="0"/>
          <w:szCs w:val="22"/>
        </w:rPr>
      </w:pPr>
    </w:p>
    <w:p w:rsidR="00E270A8" w:rsidRPr="00540454" w:rsidRDefault="00E270A8" w:rsidP="00E270A8">
      <w:pPr>
        <w:pStyle w:val="Heading1"/>
        <w:rPr>
          <w:szCs w:val="22"/>
        </w:rPr>
      </w:pPr>
      <w:bookmarkStart w:id="2" w:name="_Toc412794706"/>
      <w:r>
        <w:rPr>
          <w:szCs w:val="22"/>
        </w:rPr>
        <w:t>Summary of r</w:t>
      </w:r>
      <w:r w:rsidRPr="00540454">
        <w:rPr>
          <w:szCs w:val="22"/>
        </w:rPr>
        <w:t>ecommendations</w:t>
      </w:r>
      <w:bookmarkEnd w:id="2"/>
    </w:p>
    <w:p w:rsidR="00E270A8" w:rsidRPr="00540454" w:rsidRDefault="00E270A8" w:rsidP="00E270A8">
      <w:pPr>
        <w:rPr>
          <w:rFonts w:ascii="Arial" w:eastAsiaTheme="minorHAnsi" w:hAnsi="Arial" w:cs="Arial"/>
        </w:rPr>
      </w:pPr>
    </w:p>
    <w:p w:rsidR="00E270A8" w:rsidRPr="00776D75" w:rsidRDefault="00E270A8" w:rsidP="00E270A8">
      <w:pPr>
        <w:rPr>
          <w:rFonts w:ascii="Arial" w:hAnsi="Arial" w:cs="Arial"/>
          <w:b/>
        </w:rPr>
      </w:pPr>
      <w:r w:rsidRPr="00776D75">
        <w:rPr>
          <w:rFonts w:ascii="Arial" w:hAnsi="Arial" w:cs="Arial"/>
          <w:b/>
        </w:rPr>
        <w:t>Recommendation</w:t>
      </w:r>
      <w:r>
        <w:rPr>
          <w:rFonts w:ascii="Arial" w:hAnsi="Arial" w:cs="Arial"/>
          <w:b/>
        </w:rPr>
        <w:t xml:space="preserve"> 1</w:t>
      </w:r>
    </w:p>
    <w:p w:rsidR="00E270A8" w:rsidRPr="00776D75" w:rsidRDefault="00E270A8" w:rsidP="00E270A8">
      <w:pPr>
        <w:rPr>
          <w:rFonts w:ascii="Arial" w:hAnsi="Arial" w:cs="Arial"/>
        </w:rPr>
      </w:pPr>
    </w:p>
    <w:p w:rsidR="00E270A8" w:rsidRPr="00776D75" w:rsidRDefault="00056DE2" w:rsidP="00E270A8">
      <w:pPr>
        <w:rPr>
          <w:rFonts w:ascii="Arial" w:hAnsi="Arial" w:cs="Arial"/>
        </w:rPr>
      </w:pPr>
      <w:r>
        <w:rPr>
          <w:rFonts w:ascii="Arial" w:hAnsi="Arial" w:cs="Arial"/>
        </w:rPr>
        <w:t>T</w:t>
      </w:r>
      <w:r w:rsidR="00E270A8" w:rsidRPr="00776D75">
        <w:rPr>
          <w:rFonts w:ascii="Arial" w:hAnsi="Arial" w:cs="Arial"/>
        </w:rPr>
        <w:t>he small business turnover threshold</w:t>
      </w:r>
      <w:r>
        <w:rPr>
          <w:rFonts w:ascii="Arial" w:hAnsi="Arial" w:cs="Arial"/>
        </w:rPr>
        <w:t xml:space="preserve"> should</w:t>
      </w:r>
      <w:r w:rsidR="00E270A8" w:rsidRPr="00776D75">
        <w:rPr>
          <w:rFonts w:ascii="Arial" w:hAnsi="Arial" w:cs="Arial"/>
        </w:rPr>
        <w:t xml:space="preserve"> be increased to $3 million</w:t>
      </w:r>
      <w:r>
        <w:rPr>
          <w:rFonts w:ascii="Arial" w:hAnsi="Arial" w:cs="Arial"/>
        </w:rPr>
        <w:t>. T</w:t>
      </w:r>
      <w:r w:rsidR="00E270A8" w:rsidRPr="00776D75">
        <w:rPr>
          <w:rFonts w:ascii="Arial" w:hAnsi="Arial" w:cs="Arial"/>
        </w:rPr>
        <w:t>he feasibility of an increase to $5 million</w:t>
      </w:r>
      <w:r>
        <w:rPr>
          <w:rFonts w:ascii="Arial" w:hAnsi="Arial" w:cs="Arial"/>
        </w:rPr>
        <w:t xml:space="preserve"> should be investigated</w:t>
      </w:r>
      <w:r w:rsidR="00E270A8" w:rsidRPr="00776D75">
        <w:rPr>
          <w:rFonts w:ascii="Arial" w:hAnsi="Arial" w:cs="Arial"/>
        </w:rPr>
        <w:t>.</w:t>
      </w:r>
    </w:p>
    <w:p w:rsidR="00E270A8" w:rsidRDefault="00E270A8" w:rsidP="00E270A8">
      <w:pPr>
        <w:rPr>
          <w:rFonts w:ascii="Arial" w:eastAsiaTheme="minorHAnsi" w:hAnsi="Arial" w:cs="Arial"/>
        </w:rPr>
      </w:pPr>
    </w:p>
    <w:p w:rsidR="00E270A8" w:rsidRPr="00EE675F" w:rsidRDefault="00E270A8" w:rsidP="00E270A8">
      <w:pPr>
        <w:rPr>
          <w:rFonts w:ascii="Arial" w:eastAsiaTheme="minorHAnsi" w:hAnsi="Arial" w:cs="Arial"/>
          <w:b/>
        </w:rPr>
      </w:pPr>
      <w:r w:rsidRPr="00EE675F">
        <w:rPr>
          <w:rFonts w:ascii="Arial" w:eastAsiaTheme="minorHAnsi" w:hAnsi="Arial" w:cs="Arial"/>
          <w:b/>
        </w:rPr>
        <w:t>Recommendation 2</w:t>
      </w:r>
    </w:p>
    <w:p w:rsidR="00E270A8" w:rsidRPr="00EE675F" w:rsidRDefault="00E270A8" w:rsidP="00E270A8">
      <w:pPr>
        <w:rPr>
          <w:rFonts w:ascii="Arial" w:eastAsiaTheme="minorHAnsi" w:hAnsi="Arial" w:cs="Arial"/>
        </w:rPr>
      </w:pPr>
    </w:p>
    <w:p w:rsidR="00E270A8" w:rsidRPr="00EE675F" w:rsidRDefault="00E270A8" w:rsidP="00E270A8">
      <w:pPr>
        <w:rPr>
          <w:rFonts w:ascii="Arial" w:eastAsiaTheme="minorHAnsi" w:hAnsi="Arial" w:cs="Arial"/>
        </w:rPr>
      </w:pPr>
      <w:r w:rsidRPr="00EE675F">
        <w:rPr>
          <w:rFonts w:ascii="Arial" w:eastAsiaTheme="minorHAnsi" w:hAnsi="Arial" w:cs="Arial"/>
        </w:rPr>
        <w:t xml:space="preserve">Payroll tax rates should be harmonised across jurisdictions and a central administrator should process the tax. </w:t>
      </w:r>
    </w:p>
    <w:p w:rsidR="00E270A8" w:rsidRDefault="00E270A8" w:rsidP="00E270A8">
      <w:pPr>
        <w:rPr>
          <w:rFonts w:ascii="Arial" w:eastAsiaTheme="minorHAnsi" w:hAnsi="Arial" w:cs="Arial"/>
        </w:rPr>
      </w:pPr>
    </w:p>
    <w:p w:rsidR="00E270A8" w:rsidRPr="00EE675F" w:rsidRDefault="00E270A8" w:rsidP="00E270A8">
      <w:pPr>
        <w:rPr>
          <w:rFonts w:ascii="Arial" w:eastAsiaTheme="minorHAnsi" w:hAnsi="Arial" w:cs="Arial"/>
          <w:b/>
        </w:rPr>
      </w:pPr>
      <w:r w:rsidRPr="00EE675F">
        <w:rPr>
          <w:rFonts w:ascii="Arial" w:eastAsiaTheme="minorHAnsi" w:hAnsi="Arial" w:cs="Arial"/>
          <w:b/>
        </w:rPr>
        <w:t>Recommendation 3</w:t>
      </w:r>
    </w:p>
    <w:p w:rsidR="00E270A8" w:rsidRPr="00EE675F" w:rsidRDefault="00E270A8" w:rsidP="00E270A8">
      <w:pPr>
        <w:rPr>
          <w:rFonts w:ascii="Arial" w:eastAsiaTheme="minorHAnsi" w:hAnsi="Arial" w:cs="Arial"/>
        </w:rPr>
      </w:pPr>
    </w:p>
    <w:p w:rsidR="00E270A8" w:rsidRPr="00EE675F" w:rsidRDefault="00E270A8" w:rsidP="00E270A8">
      <w:pPr>
        <w:rPr>
          <w:rFonts w:ascii="Arial" w:eastAsiaTheme="minorHAnsi" w:hAnsi="Arial" w:cs="Arial"/>
        </w:rPr>
      </w:pPr>
      <w:r w:rsidRPr="00CD37A9">
        <w:rPr>
          <w:rFonts w:ascii="Arial" w:eastAsiaTheme="minorHAnsi" w:hAnsi="Arial" w:cs="Arial"/>
        </w:rPr>
        <w:t xml:space="preserve">The Productivity Commission should </w:t>
      </w:r>
      <w:r>
        <w:rPr>
          <w:rFonts w:ascii="Arial" w:eastAsiaTheme="minorHAnsi" w:hAnsi="Arial" w:cs="Arial"/>
        </w:rPr>
        <w:t>i</w:t>
      </w:r>
      <w:r w:rsidRPr="00EE675F">
        <w:rPr>
          <w:rFonts w:ascii="Arial" w:eastAsiaTheme="minorHAnsi" w:hAnsi="Arial" w:cs="Arial"/>
        </w:rPr>
        <w:t xml:space="preserve">nvestigate further the effect of stamp duty on business and recommend ways to alleviate </w:t>
      </w:r>
      <w:r>
        <w:rPr>
          <w:rFonts w:ascii="Arial" w:eastAsiaTheme="minorHAnsi" w:hAnsi="Arial" w:cs="Arial"/>
        </w:rPr>
        <w:t xml:space="preserve">the </w:t>
      </w:r>
      <w:r w:rsidRPr="00EE675F">
        <w:rPr>
          <w:rFonts w:ascii="Arial" w:eastAsiaTheme="minorHAnsi" w:hAnsi="Arial" w:cs="Arial"/>
        </w:rPr>
        <w:t>effect</w:t>
      </w:r>
      <w:r>
        <w:rPr>
          <w:rFonts w:ascii="Arial" w:eastAsiaTheme="minorHAnsi" w:hAnsi="Arial" w:cs="Arial"/>
        </w:rPr>
        <w:t xml:space="preserve"> of stamp duties</w:t>
      </w:r>
      <w:r w:rsidRPr="00EE675F">
        <w:rPr>
          <w:rFonts w:ascii="Arial" w:eastAsiaTheme="minorHAnsi" w:hAnsi="Arial" w:cs="Arial"/>
        </w:rPr>
        <w:t xml:space="preserve"> on business growth. </w:t>
      </w:r>
    </w:p>
    <w:p w:rsidR="00E270A8" w:rsidRDefault="00E270A8" w:rsidP="00E270A8">
      <w:pPr>
        <w:rPr>
          <w:rFonts w:ascii="Arial" w:eastAsiaTheme="minorHAnsi" w:hAnsi="Arial" w:cs="Arial"/>
        </w:rPr>
      </w:pPr>
    </w:p>
    <w:p w:rsidR="00E270A8" w:rsidRPr="005C1810" w:rsidRDefault="00E270A8" w:rsidP="00E270A8">
      <w:pPr>
        <w:rPr>
          <w:rFonts w:ascii="Arial" w:eastAsiaTheme="minorHAnsi" w:hAnsi="Arial" w:cs="Arial"/>
          <w:b/>
        </w:rPr>
      </w:pPr>
      <w:r w:rsidRPr="005C1810">
        <w:rPr>
          <w:rFonts w:ascii="Arial" w:eastAsiaTheme="minorHAnsi" w:hAnsi="Arial" w:cs="Arial"/>
          <w:b/>
        </w:rPr>
        <w:t>Recommendation 4</w:t>
      </w:r>
    </w:p>
    <w:p w:rsidR="00E270A8" w:rsidRPr="005C1810" w:rsidRDefault="00E270A8" w:rsidP="00E270A8">
      <w:pPr>
        <w:rPr>
          <w:rFonts w:ascii="Arial" w:eastAsiaTheme="minorHAnsi" w:hAnsi="Arial" w:cs="Arial"/>
        </w:rPr>
      </w:pPr>
    </w:p>
    <w:p w:rsidR="00E270A8" w:rsidRPr="00044E68" w:rsidRDefault="00E270A8" w:rsidP="00E270A8">
      <w:pPr>
        <w:rPr>
          <w:rFonts w:ascii="Arial" w:eastAsiaTheme="minorHAnsi" w:hAnsi="Arial" w:cs="Arial"/>
        </w:rPr>
      </w:pPr>
      <w:r w:rsidRPr="00044E68">
        <w:rPr>
          <w:rFonts w:ascii="Arial" w:eastAsiaTheme="minorHAnsi" w:hAnsi="Arial" w:cs="Arial"/>
        </w:rPr>
        <w:t>Australian Business Number (ABN) arrangements</w:t>
      </w:r>
      <w:r>
        <w:rPr>
          <w:rFonts w:ascii="Arial" w:eastAsiaTheme="minorHAnsi" w:hAnsi="Arial" w:cs="Arial"/>
        </w:rPr>
        <w:t xml:space="preserve"> should be amended</w:t>
      </w:r>
      <w:r w:rsidRPr="00044E68">
        <w:rPr>
          <w:rFonts w:ascii="Arial" w:eastAsiaTheme="minorHAnsi" w:hAnsi="Arial" w:cs="Arial"/>
        </w:rPr>
        <w:t xml:space="preserve"> to allow individuals to register for an ABN with the </w:t>
      </w:r>
      <w:r w:rsidRPr="00044E68">
        <w:rPr>
          <w:rFonts w:ascii="Arial" w:eastAsiaTheme="minorHAnsi" w:hAnsi="Arial" w:cs="Arial"/>
          <w:i/>
        </w:rPr>
        <w:t>intent</w:t>
      </w:r>
      <w:r w:rsidRPr="00044E68">
        <w:rPr>
          <w:rFonts w:ascii="Arial" w:eastAsiaTheme="minorHAnsi" w:hAnsi="Arial" w:cs="Arial"/>
        </w:rPr>
        <w:t xml:space="preserve"> of carrying out</w:t>
      </w:r>
      <w:r w:rsidR="00056DE2">
        <w:rPr>
          <w:rFonts w:ascii="Arial" w:eastAsiaTheme="minorHAnsi" w:hAnsi="Arial" w:cs="Arial"/>
        </w:rPr>
        <w:t xml:space="preserve"> an</w:t>
      </w:r>
      <w:r w:rsidRPr="00044E68">
        <w:rPr>
          <w:rFonts w:ascii="Arial" w:eastAsiaTheme="minorHAnsi" w:hAnsi="Arial" w:cs="Arial"/>
        </w:rPr>
        <w:t xml:space="preserve"> enterprise.  </w:t>
      </w:r>
    </w:p>
    <w:p w:rsidR="00E270A8" w:rsidRDefault="00E270A8" w:rsidP="00E270A8">
      <w:pPr>
        <w:rPr>
          <w:rFonts w:ascii="Arial" w:eastAsiaTheme="minorHAnsi" w:hAnsi="Arial" w:cs="Arial"/>
        </w:rPr>
      </w:pPr>
    </w:p>
    <w:p w:rsidR="00E270A8" w:rsidRPr="00EC427E" w:rsidRDefault="00E270A8" w:rsidP="00E270A8">
      <w:pPr>
        <w:rPr>
          <w:rFonts w:ascii="Arial" w:eastAsiaTheme="minorHAnsi" w:hAnsi="Arial" w:cs="Arial"/>
          <w:b/>
        </w:rPr>
      </w:pPr>
      <w:r w:rsidRPr="00EC427E">
        <w:rPr>
          <w:rFonts w:ascii="Arial" w:eastAsiaTheme="minorHAnsi" w:hAnsi="Arial" w:cs="Arial"/>
          <w:b/>
        </w:rPr>
        <w:t>Recommendation 5</w:t>
      </w:r>
    </w:p>
    <w:p w:rsidR="00E270A8" w:rsidRPr="00EC427E" w:rsidRDefault="00E270A8" w:rsidP="00E270A8">
      <w:pPr>
        <w:rPr>
          <w:rFonts w:ascii="Arial" w:eastAsiaTheme="minorHAnsi" w:hAnsi="Arial" w:cs="Arial"/>
        </w:rPr>
      </w:pPr>
    </w:p>
    <w:p w:rsidR="00E270A8" w:rsidRDefault="00E270A8" w:rsidP="00E270A8">
      <w:pPr>
        <w:rPr>
          <w:rFonts w:ascii="Arial" w:eastAsiaTheme="minorHAnsi" w:hAnsi="Arial" w:cs="Arial"/>
        </w:rPr>
      </w:pPr>
      <w:r>
        <w:rPr>
          <w:rFonts w:ascii="Arial" w:eastAsiaTheme="minorHAnsi" w:hAnsi="Arial" w:cs="Arial"/>
        </w:rPr>
        <w:t>The ATO should i</w:t>
      </w:r>
      <w:r w:rsidRPr="00EC427E">
        <w:rPr>
          <w:rFonts w:ascii="Arial" w:eastAsiaTheme="minorHAnsi" w:hAnsi="Arial" w:cs="Arial"/>
        </w:rPr>
        <w:t>nvestigate simplifying business activity statements (BAS)</w:t>
      </w:r>
      <w:r w:rsidR="00056DE2">
        <w:rPr>
          <w:rFonts w:ascii="Arial" w:eastAsiaTheme="minorHAnsi" w:hAnsi="Arial" w:cs="Arial"/>
        </w:rPr>
        <w:t>.</w:t>
      </w:r>
      <w:r w:rsidRPr="00EC427E">
        <w:rPr>
          <w:rFonts w:ascii="Arial" w:eastAsiaTheme="minorHAnsi" w:hAnsi="Arial" w:cs="Arial"/>
        </w:rPr>
        <w:t xml:space="preserve"> </w:t>
      </w:r>
    </w:p>
    <w:p w:rsidR="00056DE2" w:rsidRDefault="00056DE2" w:rsidP="00E270A8">
      <w:pPr>
        <w:rPr>
          <w:rFonts w:ascii="Arial" w:eastAsiaTheme="minorHAnsi" w:hAnsi="Arial" w:cs="Arial"/>
        </w:rPr>
      </w:pPr>
    </w:p>
    <w:p w:rsidR="00E270A8" w:rsidRPr="00610223" w:rsidRDefault="00E270A8" w:rsidP="00E270A8">
      <w:pPr>
        <w:rPr>
          <w:rFonts w:ascii="Arial" w:eastAsiaTheme="minorHAnsi" w:hAnsi="Arial" w:cs="Arial"/>
          <w:b/>
        </w:rPr>
      </w:pPr>
      <w:r>
        <w:rPr>
          <w:rFonts w:ascii="Arial" w:eastAsiaTheme="minorHAnsi" w:hAnsi="Arial" w:cs="Arial"/>
          <w:b/>
        </w:rPr>
        <w:t>Recommendation 6</w:t>
      </w:r>
    </w:p>
    <w:p w:rsidR="00E270A8" w:rsidRPr="00610223" w:rsidRDefault="00E270A8" w:rsidP="00E270A8">
      <w:pPr>
        <w:rPr>
          <w:rFonts w:ascii="Arial" w:eastAsiaTheme="minorHAnsi" w:hAnsi="Arial" w:cs="Arial"/>
        </w:rPr>
      </w:pPr>
    </w:p>
    <w:p w:rsidR="00E270A8" w:rsidRDefault="00E270A8" w:rsidP="00E270A8">
      <w:pPr>
        <w:rPr>
          <w:rFonts w:ascii="Arial" w:eastAsiaTheme="minorHAnsi" w:hAnsi="Arial" w:cs="Arial"/>
        </w:rPr>
      </w:pPr>
      <w:r w:rsidRPr="00610223">
        <w:rPr>
          <w:rFonts w:ascii="Arial" w:eastAsiaTheme="minorHAnsi" w:hAnsi="Arial" w:cs="Arial"/>
        </w:rPr>
        <w:t>The Productivity Commission should investigate the Board of Taxation</w:t>
      </w:r>
      <w:r w:rsidR="00056DE2">
        <w:rPr>
          <w:rFonts w:ascii="Arial" w:eastAsiaTheme="minorHAnsi" w:hAnsi="Arial" w:cs="Arial"/>
        </w:rPr>
        <w:t>’</w:t>
      </w:r>
      <w:r w:rsidRPr="00610223">
        <w:rPr>
          <w:rFonts w:ascii="Arial" w:eastAsiaTheme="minorHAnsi" w:hAnsi="Arial" w:cs="Arial"/>
        </w:rPr>
        <w:t xml:space="preserve">s review of Division 7A in order to allow family trusts to allocate funds in an efficient manner. </w:t>
      </w:r>
    </w:p>
    <w:p w:rsidR="00E270A8" w:rsidRDefault="00E270A8" w:rsidP="00E270A8">
      <w:pPr>
        <w:rPr>
          <w:rFonts w:ascii="Arial" w:eastAsiaTheme="minorHAnsi" w:hAnsi="Arial" w:cs="Arial"/>
        </w:rPr>
      </w:pPr>
    </w:p>
    <w:p w:rsidR="00E270A8" w:rsidRPr="00CD37A9" w:rsidRDefault="00E270A8" w:rsidP="00E270A8">
      <w:pPr>
        <w:rPr>
          <w:rFonts w:ascii="Arial" w:eastAsiaTheme="minorHAnsi" w:hAnsi="Arial" w:cs="Arial"/>
          <w:b/>
        </w:rPr>
      </w:pPr>
      <w:r w:rsidRPr="00CD37A9">
        <w:rPr>
          <w:rFonts w:ascii="Arial" w:eastAsiaTheme="minorHAnsi" w:hAnsi="Arial" w:cs="Arial"/>
          <w:b/>
        </w:rPr>
        <w:t>Recommendation</w:t>
      </w:r>
      <w:r>
        <w:rPr>
          <w:rFonts w:ascii="Arial" w:eastAsiaTheme="minorHAnsi" w:hAnsi="Arial" w:cs="Arial"/>
          <w:b/>
        </w:rPr>
        <w:t xml:space="preserve"> 7</w:t>
      </w:r>
    </w:p>
    <w:p w:rsidR="00E270A8" w:rsidRPr="00CD37A9" w:rsidRDefault="00E270A8" w:rsidP="00E270A8">
      <w:pPr>
        <w:rPr>
          <w:rFonts w:ascii="Arial" w:eastAsiaTheme="minorHAnsi" w:hAnsi="Arial" w:cs="Arial"/>
        </w:rPr>
      </w:pPr>
    </w:p>
    <w:p w:rsidR="00E270A8" w:rsidRPr="00CD37A9" w:rsidRDefault="00E270A8" w:rsidP="00E270A8">
      <w:pPr>
        <w:rPr>
          <w:rFonts w:ascii="Arial" w:eastAsiaTheme="minorHAnsi" w:hAnsi="Arial" w:cs="Arial"/>
        </w:rPr>
      </w:pPr>
      <w:r w:rsidRPr="00CD37A9">
        <w:rPr>
          <w:rFonts w:ascii="Arial" w:eastAsiaTheme="minorHAnsi" w:hAnsi="Arial" w:cs="Arial"/>
        </w:rPr>
        <w:t>Capital gains tax should not be levied on business</w:t>
      </w:r>
      <w:r>
        <w:rPr>
          <w:rFonts w:ascii="Arial" w:eastAsiaTheme="minorHAnsi" w:hAnsi="Arial" w:cs="Arial"/>
        </w:rPr>
        <w:t xml:space="preserve"> ownership</w:t>
      </w:r>
      <w:r w:rsidRPr="00CD37A9">
        <w:rPr>
          <w:rFonts w:ascii="Arial" w:eastAsiaTheme="minorHAnsi" w:hAnsi="Arial" w:cs="Arial"/>
        </w:rPr>
        <w:t xml:space="preserve"> transfers within families. </w:t>
      </w:r>
    </w:p>
    <w:p w:rsidR="00E270A8" w:rsidRDefault="00E270A8" w:rsidP="00E270A8">
      <w:pPr>
        <w:rPr>
          <w:rFonts w:ascii="Arial" w:eastAsiaTheme="minorHAnsi" w:hAnsi="Arial" w:cs="Arial"/>
          <w:b/>
        </w:rPr>
      </w:pPr>
    </w:p>
    <w:p w:rsidR="00E270A8" w:rsidRPr="00A21381" w:rsidRDefault="00E270A8" w:rsidP="00E270A8">
      <w:pPr>
        <w:rPr>
          <w:rFonts w:ascii="Arial" w:eastAsiaTheme="minorHAnsi" w:hAnsi="Arial" w:cs="Arial"/>
          <w:b/>
        </w:rPr>
      </w:pPr>
      <w:r w:rsidRPr="00A21381">
        <w:rPr>
          <w:rFonts w:ascii="Arial" w:eastAsiaTheme="minorHAnsi" w:hAnsi="Arial" w:cs="Arial"/>
          <w:b/>
        </w:rPr>
        <w:t xml:space="preserve">Recommendation </w:t>
      </w:r>
      <w:r>
        <w:rPr>
          <w:rFonts w:ascii="Arial" w:eastAsiaTheme="minorHAnsi" w:hAnsi="Arial" w:cs="Arial"/>
          <w:b/>
        </w:rPr>
        <w:t>8</w:t>
      </w:r>
    </w:p>
    <w:p w:rsidR="00E270A8" w:rsidRPr="00A21381" w:rsidRDefault="00E270A8" w:rsidP="00E270A8">
      <w:pPr>
        <w:rPr>
          <w:rFonts w:ascii="Arial" w:eastAsiaTheme="minorHAnsi" w:hAnsi="Arial" w:cs="Arial"/>
        </w:rPr>
      </w:pPr>
    </w:p>
    <w:p w:rsidR="00E270A8" w:rsidRDefault="00E270A8" w:rsidP="00E270A8">
      <w:pPr>
        <w:rPr>
          <w:rFonts w:ascii="Arial" w:eastAsiaTheme="minorHAnsi" w:hAnsi="Arial" w:cs="Arial"/>
        </w:rPr>
      </w:pPr>
      <w:r w:rsidRPr="00BD19F5">
        <w:rPr>
          <w:rFonts w:ascii="Arial" w:eastAsiaTheme="minorHAnsi" w:hAnsi="Arial" w:cs="Arial"/>
        </w:rPr>
        <w:t>The Code of Banking Practice and the Mutual Banking Code of Practice should be amended so there is a standardised notice period for notifying business borrowers of changes to loan terms and conditions.</w:t>
      </w: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E270A8" w:rsidRDefault="00E270A8" w:rsidP="005B64D9">
      <w:pPr>
        <w:pStyle w:val="BodyText2"/>
        <w:rPr>
          <w:b w:val="0"/>
          <w:szCs w:val="22"/>
        </w:rPr>
      </w:pPr>
    </w:p>
    <w:p w:rsidR="005B64D9" w:rsidRPr="00540454" w:rsidRDefault="005B64D9" w:rsidP="005B64D9">
      <w:pPr>
        <w:pStyle w:val="BodyText2"/>
        <w:rPr>
          <w:b w:val="0"/>
          <w:szCs w:val="22"/>
        </w:rPr>
      </w:pPr>
    </w:p>
    <w:p w:rsidR="00600132" w:rsidRPr="00540454" w:rsidRDefault="00576ED0" w:rsidP="00B20589">
      <w:pPr>
        <w:pStyle w:val="Heading1"/>
        <w:rPr>
          <w:szCs w:val="22"/>
        </w:rPr>
      </w:pPr>
      <w:bookmarkStart w:id="3" w:name="_Toc412794707"/>
      <w:r w:rsidRPr="00540454">
        <w:rPr>
          <w:szCs w:val="22"/>
        </w:rPr>
        <w:lastRenderedPageBreak/>
        <w:t>Introduction</w:t>
      </w:r>
      <w:bookmarkEnd w:id="3"/>
    </w:p>
    <w:p w:rsidR="00C322A1" w:rsidRPr="00DE05AF" w:rsidRDefault="00C322A1" w:rsidP="00B20589">
      <w:pPr>
        <w:rPr>
          <w:rFonts w:ascii="Arial" w:eastAsia="Times New Roman" w:hAnsi="Arial" w:cs="Arial"/>
          <w:bCs/>
        </w:rPr>
      </w:pPr>
    </w:p>
    <w:p w:rsidR="002C1FD6" w:rsidRPr="002C1FD6" w:rsidRDefault="00DE05AF" w:rsidP="00B20589">
      <w:pPr>
        <w:rPr>
          <w:rFonts w:ascii="Arial" w:hAnsi="Arial" w:cs="Arial"/>
        </w:rPr>
      </w:pPr>
      <w:r w:rsidRPr="00DE05AF">
        <w:rPr>
          <w:rFonts w:ascii="Arial" w:eastAsia="Times New Roman" w:hAnsi="Arial" w:cs="Arial"/>
          <w:bCs/>
        </w:rPr>
        <w:t xml:space="preserve">Australia is a nation of entrepreneurs, </w:t>
      </w:r>
      <w:r w:rsidRPr="00DE05AF">
        <w:rPr>
          <w:rFonts w:ascii="Arial" w:hAnsi="Arial" w:cs="Arial"/>
        </w:rPr>
        <w:t xml:space="preserve">being second only to the USA in terms of entrepreneurship </w:t>
      </w:r>
      <w:r w:rsidRPr="002C1FD6">
        <w:rPr>
          <w:rFonts w:ascii="Arial" w:hAnsi="Arial" w:cs="Arial"/>
        </w:rPr>
        <w:t>rate.</w:t>
      </w:r>
      <w:r w:rsidRPr="002C1FD6">
        <w:rPr>
          <w:rStyle w:val="FootnoteReference"/>
          <w:rFonts w:ascii="Arial" w:hAnsi="Arial" w:cs="Arial"/>
        </w:rPr>
        <w:footnoteReference w:id="1"/>
      </w:r>
      <w:r w:rsidRPr="002C1FD6">
        <w:rPr>
          <w:rFonts w:ascii="Arial" w:hAnsi="Arial" w:cs="Arial"/>
        </w:rPr>
        <w:t xml:space="preserve"> </w:t>
      </w:r>
      <w:r w:rsidR="00E270A8">
        <w:rPr>
          <w:rFonts w:ascii="Arial" w:hAnsi="Arial" w:cs="Arial"/>
        </w:rPr>
        <w:t xml:space="preserve">In 2011 </w:t>
      </w:r>
      <w:r w:rsidR="002C1FD6" w:rsidRPr="002C1FD6">
        <w:rPr>
          <w:rFonts w:ascii="Arial" w:hAnsi="Arial" w:cs="Arial"/>
        </w:rPr>
        <w:t xml:space="preserve">the </w:t>
      </w:r>
      <w:r w:rsidR="00DB14FE" w:rsidRPr="00DB14FE">
        <w:rPr>
          <w:rFonts w:ascii="Arial" w:hAnsi="Arial" w:cs="Arial"/>
        </w:rPr>
        <w:t>Global Entrepreneurship Monitor</w:t>
      </w:r>
      <w:r w:rsidR="00E270A8">
        <w:rPr>
          <w:rFonts w:ascii="Arial" w:hAnsi="Arial" w:cs="Arial"/>
        </w:rPr>
        <w:t xml:space="preserve"> found</w:t>
      </w:r>
      <w:r w:rsidR="002C1FD6" w:rsidRPr="002C1FD6">
        <w:rPr>
          <w:rFonts w:ascii="Arial" w:hAnsi="Arial" w:cs="Arial"/>
        </w:rPr>
        <w:t xml:space="preserve">: </w:t>
      </w:r>
    </w:p>
    <w:p w:rsidR="002C1FD6" w:rsidRPr="002C1FD6" w:rsidRDefault="00DE05AF" w:rsidP="002C1FD6">
      <w:pPr>
        <w:pStyle w:val="ListParagraph"/>
        <w:numPr>
          <w:ilvl w:val="0"/>
          <w:numId w:val="18"/>
        </w:numPr>
        <w:rPr>
          <w:rFonts w:ascii="Arial" w:hAnsi="Arial" w:cs="Arial"/>
        </w:rPr>
      </w:pPr>
      <w:r w:rsidRPr="002C1FD6">
        <w:rPr>
          <w:rFonts w:ascii="Arial" w:hAnsi="Arial" w:cs="Arial"/>
        </w:rPr>
        <w:t xml:space="preserve">10.5 per cent of the Australian adult population were actively engaged in starting and </w:t>
      </w:r>
      <w:r w:rsidR="002C1FD6" w:rsidRPr="002C1FD6">
        <w:rPr>
          <w:rFonts w:ascii="Arial" w:hAnsi="Arial" w:cs="Arial"/>
        </w:rPr>
        <w:t xml:space="preserve">running new businesses. </w:t>
      </w:r>
    </w:p>
    <w:p w:rsidR="002C1FD6" w:rsidRPr="002C1FD6" w:rsidRDefault="00DE05AF" w:rsidP="002C1FD6">
      <w:pPr>
        <w:pStyle w:val="ListParagraph"/>
        <w:numPr>
          <w:ilvl w:val="0"/>
          <w:numId w:val="18"/>
        </w:numPr>
        <w:rPr>
          <w:rFonts w:ascii="Arial" w:hAnsi="Arial" w:cs="Arial"/>
        </w:rPr>
      </w:pPr>
      <w:r w:rsidRPr="002C1FD6">
        <w:rPr>
          <w:rFonts w:ascii="Arial" w:hAnsi="Arial" w:cs="Arial"/>
        </w:rPr>
        <w:t>33 per cent or 580,000 expected to create at least five new jobs in the next five years</w:t>
      </w:r>
      <w:r w:rsidR="002C1FD6" w:rsidRPr="002C1FD6">
        <w:rPr>
          <w:rFonts w:ascii="Arial" w:hAnsi="Arial" w:cs="Arial"/>
        </w:rPr>
        <w:t xml:space="preserve">. </w:t>
      </w:r>
    </w:p>
    <w:p w:rsidR="002C1FD6" w:rsidRPr="002C1FD6" w:rsidRDefault="00DE05AF" w:rsidP="00B20589">
      <w:pPr>
        <w:pStyle w:val="ListParagraph"/>
        <w:numPr>
          <w:ilvl w:val="0"/>
          <w:numId w:val="18"/>
        </w:numPr>
        <w:rPr>
          <w:rFonts w:ascii="Arial" w:hAnsi="Arial" w:cs="Arial"/>
        </w:rPr>
      </w:pPr>
      <w:r w:rsidRPr="002C1FD6">
        <w:rPr>
          <w:rFonts w:ascii="Arial" w:hAnsi="Arial" w:cs="Arial"/>
        </w:rPr>
        <w:t xml:space="preserve">11 per cent or 170,000 expected to create 20 or more </w:t>
      </w:r>
      <w:r w:rsidR="002C1FD6" w:rsidRPr="002C1FD6">
        <w:rPr>
          <w:rFonts w:ascii="Arial" w:hAnsi="Arial" w:cs="Arial"/>
        </w:rPr>
        <w:t>new jobs in the next five years.</w:t>
      </w:r>
    </w:p>
    <w:p w:rsidR="002C1FD6" w:rsidRPr="002C1FD6" w:rsidRDefault="00DE05AF" w:rsidP="00B20589">
      <w:pPr>
        <w:pStyle w:val="ListParagraph"/>
        <w:numPr>
          <w:ilvl w:val="0"/>
          <w:numId w:val="18"/>
        </w:numPr>
        <w:rPr>
          <w:rFonts w:ascii="Arial" w:hAnsi="Arial" w:cs="Arial"/>
        </w:rPr>
      </w:pPr>
      <w:r w:rsidRPr="002C1FD6">
        <w:rPr>
          <w:rFonts w:ascii="Arial" w:hAnsi="Arial" w:cs="Arial"/>
        </w:rPr>
        <w:t>Australia was one of only three developed countries, together with the US and</w:t>
      </w:r>
      <w:r w:rsidR="005227BF">
        <w:rPr>
          <w:rFonts w:ascii="Arial" w:hAnsi="Arial" w:cs="Arial"/>
        </w:rPr>
        <w:t xml:space="preserve"> the</w:t>
      </w:r>
      <w:r w:rsidRPr="002C1FD6">
        <w:rPr>
          <w:rFonts w:ascii="Arial" w:hAnsi="Arial" w:cs="Arial"/>
        </w:rPr>
        <w:t xml:space="preserve"> Netherlands, that ranked above average for both entrepreneurship rate and employee entrepreneurial activity</w:t>
      </w:r>
    </w:p>
    <w:p w:rsidR="002C1FD6" w:rsidRPr="002C1FD6" w:rsidRDefault="00DE05AF" w:rsidP="00B20589">
      <w:pPr>
        <w:pStyle w:val="ListParagraph"/>
        <w:numPr>
          <w:ilvl w:val="0"/>
          <w:numId w:val="18"/>
        </w:numPr>
        <w:rPr>
          <w:rFonts w:ascii="Arial" w:hAnsi="Arial" w:cs="Arial"/>
        </w:rPr>
      </w:pPr>
      <w:r w:rsidRPr="002C1FD6">
        <w:rPr>
          <w:rFonts w:ascii="Arial" w:hAnsi="Arial" w:cs="Arial"/>
        </w:rPr>
        <w:t xml:space="preserve">Approximately 50 per cent of Australians believe that good opportunities exist for the establishment of new ventures, and that they possess the skills to start a business. This is well above international averages. </w:t>
      </w:r>
    </w:p>
    <w:p w:rsidR="00DE05AF" w:rsidRDefault="00DE05AF" w:rsidP="00B20589">
      <w:pPr>
        <w:pStyle w:val="ListParagraph"/>
        <w:numPr>
          <w:ilvl w:val="0"/>
          <w:numId w:val="18"/>
        </w:numPr>
        <w:rPr>
          <w:rFonts w:ascii="Arial" w:hAnsi="Arial" w:cs="Arial"/>
        </w:rPr>
      </w:pPr>
      <w:r w:rsidRPr="002C1FD6">
        <w:rPr>
          <w:rFonts w:ascii="Arial" w:hAnsi="Arial" w:cs="Arial"/>
        </w:rPr>
        <w:t>Australian entrepreneurship is comparatively inclusive. For example, at 8.4 per cent female total entrepreneurial activity is second only to the USA</w:t>
      </w:r>
      <w:r w:rsidR="00E270A8">
        <w:rPr>
          <w:rFonts w:ascii="Arial" w:hAnsi="Arial" w:cs="Arial"/>
        </w:rPr>
        <w:t>.</w:t>
      </w:r>
      <w:r w:rsidR="002C1FD6" w:rsidRPr="002C1FD6">
        <w:rPr>
          <w:rFonts w:ascii="Arial" w:hAnsi="Arial" w:cs="Arial"/>
          <w:vertAlign w:val="superscript"/>
        </w:rPr>
        <w:footnoteReference w:id="2"/>
      </w:r>
    </w:p>
    <w:p w:rsidR="005B64D9" w:rsidRDefault="002C1FD6" w:rsidP="002C1FD6">
      <w:pPr>
        <w:rPr>
          <w:rFonts w:ascii="Arial" w:hAnsi="Arial" w:cs="Arial"/>
        </w:rPr>
      </w:pPr>
      <w:r>
        <w:rPr>
          <w:rFonts w:ascii="Arial" w:hAnsi="Arial" w:cs="Arial"/>
        </w:rPr>
        <w:t xml:space="preserve">However, while Australia’s </w:t>
      </w:r>
      <w:r w:rsidR="00E270A8">
        <w:rPr>
          <w:rFonts w:ascii="Arial" w:hAnsi="Arial" w:cs="Arial"/>
        </w:rPr>
        <w:t xml:space="preserve">level of entrepreneurship is high in international terms there are still barriers to </w:t>
      </w:r>
      <w:r>
        <w:rPr>
          <w:rFonts w:ascii="Arial" w:hAnsi="Arial" w:cs="Arial"/>
        </w:rPr>
        <w:t xml:space="preserve">starting, growing, transferring and closing businesses. The global financial crisis effected business confidence and altered financial lending terms. </w:t>
      </w:r>
      <w:r w:rsidR="004E1322">
        <w:rPr>
          <w:rFonts w:ascii="Arial" w:hAnsi="Arial" w:cs="Arial"/>
        </w:rPr>
        <w:t xml:space="preserve">The most recent </w:t>
      </w:r>
      <w:r w:rsidR="004E1322" w:rsidRPr="004E1322">
        <w:rPr>
          <w:rFonts w:ascii="Arial" w:hAnsi="Arial" w:cs="Arial"/>
        </w:rPr>
        <w:t>Australian Chamber of Commerce and Industry</w:t>
      </w:r>
      <w:r w:rsidR="00BD19F5">
        <w:rPr>
          <w:rFonts w:ascii="Arial" w:hAnsi="Arial" w:cs="Arial"/>
        </w:rPr>
        <w:t xml:space="preserve"> Small B</w:t>
      </w:r>
      <w:r w:rsidR="004E1322">
        <w:rPr>
          <w:rFonts w:ascii="Arial" w:hAnsi="Arial" w:cs="Arial"/>
        </w:rPr>
        <w:t xml:space="preserve">usiness Survey and Business Expectations Survey show a deteriorating position for </w:t>
      </w:r>
      <w:r w:rsidR="005B64D9">
        <w:rPr>
          <w:rFonts w:ascii="Arial" w:hAnsi="Arial" w:cs="Arial"/>
        </w:rPr>
        <w:t xml:space="preserve">business outcomes. </w:t>
      </w:r>
    </w:p>
    <w:p w:rsidR="002C1FD6" w:rsidRDefault="002C1FD6" w:rsidP="002C1FD6">
      <w:pPr>
        <w:rPr>
          <w:rFonts w:ascii="Arial" w:hAnsi="Arial" w:cs="Arial"/>
        </w:rPr>
      </w:pPr>
    </w:p>
    <w:p w:rsidR="008850A1" w:rsidRDefault="00BD19F5" w:rsidP="008850A1">
      <w:pPr>
        <w:rPr>
          <w:rFonts w:ascii="Arial" w:hAnsi="Arial" w:cs="Arial"/>
        </w:rPr>
      </w:pPr>
      <w:r>
        <w:rPr>
          <w:rFonts w:ascii="Arial" w:hAnsi="Arial" w:cs="Arial"/>
        </w:rPr>
        <w:t>Small business is significantly affected by c</w:t>
      </w:r>
      <w:r w:rsidR="008850A1">
        <w:rPr>
          <w:rFonts w:ascii="Arial" w:hAnsi="Arial" w:cs="Arial"/>
        </w:rPr>
        <w:t>ompliance c</w:t>
      </w:r>
      <w:r w:rsidR="00E270A8">
        <w:rPr>
          <w:rFonts w:ascii="Arial" w:hAnsi="Arial" w:cs="Arial"/>
        </w:rPr>
        <w:t>osts</w:t>
      </w:r>
      <w:r w:rsidR="008850A1">
        <w:rPr>
          <w:rFonts w:ascii="Arial" w:hAnsi="Arial" w:cs="Arial"/>
        </w:rPr>
        <w:t xml:space="preserve">. </w:t>
      </w:r>
      <w:r w:rsidR="008850A1" w:rsidRPr="008850A1">
        <w:rPr>
          <w:rFonts w:ascii="Arial" w:hAnsi="Arial" w:cs="Arial"/>
        </w:rPr>
        <w:t>The scoping study of smal</w:t>
      </w:r>
      <w:r>
        <w:rPr>
          <w:rFonts w:ascii="Arial" w:hAnsi="Arial" w:cs="Arial"/>
        </w:rPr>
        <w:t xml:space="preserve">l business tax compliance costs, published in </w:t>
      </w:r>
      <w:r w:rsidR="008850A1" w:rsidRPr="008850A1">
        <w:rPr>
          <w:rFonts w:ascii="Arial" w:hAnsi="Arial" w:cs="Arial"/>
        </w:rPr>
        <w:t>2007</w:t>
      </w:r>
      <w:r>
        <w:rPr>
          <w:rFonts w:ascii="Arial" w:hAnsi="Arial" w:cs="Arial"/>
        </w:rPr>
        <w:t>,</w:t>
      </w:r>
      <w:r w:rsidR="008850A1" w:rsidRPr="008850A1">
        <w:rPr>
          <w:rFonts w:ascii="Arial" w:hAnsi="Arial" w:cs="Arial"/>
        </w:rPr>
        <w:t xml:space="preserve"> highlighted a number of findings: </w:t>
      </w:r>
    </w:p>
    <w:p w:rsidR="00E270A8" w:rsidRPr="008850A1" w:rsidRDefault="00E270A8" w:rsidP="008850A1">
      <w:pPr>
        <w:rPr>
          <w:rFonts w:ascii="Arial" w:hAnsi="Arial" w:cs="Arial"/>
        </w:rPr>
      </w:pPr>
    </w:p>
    <w:p w:rsidR="008056CD" w:rsidRDefault="008850A1" w:rsidP="00E74261">
      <w:pPr>
        <w:numPr>
          <w:ilvl w:val="0"/>
          <w:numId w:val="20"/>
        </w:numPr>
        <w:rPr>
          <w:rFonts w:ascii="Arial" w:hAnsi="Arial" w:cs="Arial"/>
        </w:rPr>
      </w:pPr>
      <w:r w:rsidRPr="008056CD">
        <w:rPr>
          <w:rFonts w:ascii="Arial" w:hAnsi="Arial" w:cs="Arial"/>
        </w:rPr>
        <w:t>Compliance costs</w:t>
      </w:r>
      <w:r w:rsidR="007C2538">
        <w:rPr>
          <w:rFonts w:ascii="Arial" w:hAnsi="Arial" w:cs="Arial"/>
        </w:rPr>
        <w:t xml:space="preserve"> effect small businesses to a much greater extent than large businesses</w:t>
      </w:r>
      <w:r w:rsidRPr="008056CD">
        <w:rPr>
          <w:rFonts w:ascii="Arial" w:hAnsi="Arial" w:cs="Arial"/>
        </w:rPr>
        <w:t xml:space="preserve"> and are not just financial.</w:t>
      </w:r>
    </w:p>
    <w:p w:rsidR="00E270A8" w:rsidRDefault="00E270A8" w:rsidP="00E270A8">
      <w:pPr>
        <w:ind w:left="360"/>
        <w:rPr>
          <w:rFonts w:ascii="Arial" w:hAnsi="Arial" w:cs="Arial"/>
        </w:rPr>
      </w:pPr>
    </w:p>
    <w:p w:rsidR="00E270A8" w:rsidRDefault="00DB14FE" w:rsidP="00E74261">
      <w:pPr>
        <w:numPr>
          <w:ilvl w:val="0"/>
          <w:numId w:val="20"/>
        </w:numPr>
        <w:rPr>
          <w:rFonts w:ascii="Arial" w:hAnsi="Arial" w:cs="Arial"/>
        </w:rPr>
      </w:pPr>
      <w:r>
        <w:rPr>
          <w:rFonts w:ascii="Arial" w:hAnsi="Arial" w:cs="Arial"/>
        </w:rPr>
        <w:t>The s</w:t>
      </w:r>
      <w:r w:rsidR="008850A1" w:rsidRPr="008056CD">
        <w:rPr>
          <w:rFonts w:ascii="Arial" w:hAnsi="Arial" w:cs="Arial"/>
        </w:rPr>
        <w:t>mall business sector is extremely diverse</w:t>
      </w:r>
      <w:r w:rsidR="00E270A8">
        <w:rPr>
          <w:rFonts w:ascii="Arial" w:hAnsi="Arial" w:cs="Arial"/>
        </w:rPr>
        <w:t>,</w:t>
      </w:r>
      <w:r w:rsidR="008850A1" w:rsidRPr="008056CD">
        <w:rPr>
          <w:rFonts w:ascii="Arial" w:hAnsi="Arial" w:cs="Arial"/>
        </w:rPr>
        <w:t xml:space="preserve"> and compliance costs vary based on a range of factors including size, turnover, </w:t>
      </w:r>
      <w:proofErr w:type="gramStart"/>
      <w:r w:rsidR="008850A1" w:rsidRPr="008056CD">
        <w:rPr>
          <w:rFonts w:ascii="Arial" w:hAnsi="Arial" w:cs="Arial"/>
        </w:rPr>
        <w:t>business</w:t>
      </w:r>
      <w:proofErr w:type="gramEnd"/>
      <w:r w:rsidR="008850A1" w:rsidRPr="008056CD">
        <w:rPr>
          <w:rFonts w:ascii="Arial" w:hAnsi="Arial" w:cs="Arial"/>
        </w:rPr>
        <w:t xml:space="preserve"> structure, staffing levels, industry sector, the skills and expertise of the proprietors</w:t>
      </w:r>
      <w:r w:rsidR="00E270A8">
        <w:rPr>
          <w:rFonts w:ascii="Arial" w:hAnsi="Arial" w:cs="Arial"/>
        </w:rPr>
        <w:t>,</w:t>
      </w:r>
      <w:r w:rsidR="008850A1" w:rsidRPr="008056CD">
        <w:rPr>
          <w:rFonts w:ascii="Arial" w:hAnsi="Arial" w:cs="Arial"/>
        </w:rPr>
        <w:t xml:space="preserve"> and accounting systems in place</w:t>
      </w:r>
      <w:r w:rsidR="00E270A8">
        <w:rPr>
          <w:rFonts w:ascii="Arial" w:hAnsi="Arial" w:cs="Arial"/>
        </w:rPr>
        <w:t>.</w:t>
      </w:r>
    </w:p>
    <w:p w:rsidR="008850A1" w:rsidRPr="008056CD" w:rsidRDefault="008850A1" w:rsidP="00E270A8">
      <w:pPr>
        <w:ind w:left="720"/>
        <w:rPr>
          <w:rFonts w:ascii="Arial" w:hAnsi="Arial" w:cs="Arial"/>
        </w:rPr>
      </w:pPr>
    </w:p>
    <w:p w:rsidR="008850A1" w:rsidRDefault="008850A1" w:rsidP="008850A1">
      <w:pPr>
        <w:numPr>
          <w:ilvl w:val="0"/>
          <w:numId w:val="20"/>
        </w:numPr>
        <w:rPr>
          <w:rFonts w:ascii="Arial" w:hAnsi="Arial" w:cs="Arial"/>
        </w:rPr>
      </w:pPr>
      <w:r w:rsidRPr="008850A1">
        <w:rPr>
          <w:rFonts w:ascii="Arial" w:hAnsi="Arial" w:cs="Arial"/>
        </w:rPr>
        <w:t>Increased compliance costs are attributable to a range of factors including inconsistent or different legal rules operating across different jurisdictional legal systems, use of tax systems by government to achieve social and other broader policy objectiv</w:t>
      </w:r>
      <w:r w:rsidR="00BD19F5">
        <w:rPr>
          <w:rFonts w:ascii="Arial" w:hAnsi="Arial" w:cs="Arial"/>
        </w:rPr>
        <w:t>es, concessions and thresholds, a</w:t>
      </w:r>
      <w:r w:rsidRPr="008850A1">
        <w:rPr>
          <w:rFonts w:ascii="Arial" w:hAnsi="Arial" w:cs="Arial"/>
        </w:rPr>
        <w:t xml:space="preserve">nd changes to tax law. </w:t>
      </w:r>
    </w:p>
    <w:p w:rsidR="00E270A8" w:rsidRPr="008850A1" w:rsidRDefault="00E270A8" w:rsidP="00E270A8">
      <w:pPr>
        <w:ind w:left="360"/>
        <w:rPr>
          <w:rFonts w:ascii="Arial" w:hAnsi="Arial" w:cs="Arial"/>
        </w:rPr>
      </w:pPr>
    </w:p>
    <w:p w:rsidR="00E270A8" w:rsidRDefault="00DB14FE" w:rsidP="00E270A8">
      <w:pPr>
        <w:numPr>
          <w:ilvl w:val="0"/>
          <w:numId w:val="20"/>
        </w:numPr>
        <w:rPr>
          <w:rFonts w:ascii="Arial" w:hAnsi="Arial" w:cs="Arial"/>
        </w:rPr>
      </w:pPr>
      <w:r>
        <w:rPr>
          <w:rFonts w:ascii="Arial" w:hAnsi="Arial" w:cs="Arial"/>
        </w:rPr>
        <w:t>Complying with capital gains tax, f</w:t>
      </w:r>
      <w:r w:rsidRPr="00DB14FE">
        <w:rPr>
          <w:rFonts w:ascii="Arial" w:hAnsi="Arial" w:cs="Arial"/>
        </w:rPr>
        <w:t>ringe benefits tax</w:t>
      </w:r>
      <w:r>
        <w:rPr>
          <w:rFonts w:ascii="Arial" w:hAnsi="Arial" w:cs="Arial"/>
        </w:rPr>
        <w:t>, business activity statement</w:t>
      </w:r>
      <w:r w:rsidR="008850A1" w:rsidRPr="008850A1">
        <w:rPr>
          <w:rFonts w:ascii="Arial" w:hAnsi="Arial" w:cs="Arial"/>
        </w:rPr>
        <w:t xml:space="preserve"> requirements and managing intergenerational transfers of business asse</w:t>
      </w:r>
      <w:r w:rsidR="00E270A8">
        <w:rPr>
          <w:rFonts w:ascii="Arial" w:hAnsi="Arial" w:cs="Arial"/>
        </w:rPr>
        <w:t>ts present particular complexity. E</w:t>
      </w:r>
      <w:r w:rsidR="006672AB">
        <w:rPr>
          <w:rFonts w:ascii="Arial" w:hAnsi="Arial" w:cs="Arial"/>
        </w:rPr>
        <w:t xml:space="preserve">ven though risks are similar across the spectrum of businesses, smaller businesses have much greater vulnerability to risk and uncertainty.  The regulations tend to select for larger businesses and </w:t>
      </w:r>
      <w:r w:rsidR="00E270A8">
        <w:rPr>
          <w:rFonts w:ascii="Arial" w:hAnsi="Arial" w:cs="Arial"/>
        </w:rPr>
        <w:t>do not</w:t>
      </w:r>
      <w:r w:rsidR="006672AB">
        <w:rPr>
          <w:rFonts w:ascii="Arial" w:hAnsi="Arial" w:cs="Arial"/>
        </w:rPr>
        <w:t xml:space="preserve"> account for skewed risk vulnerabilities.</w:t>
      </w:r>
    </w:p>
    <w:p w:rsidR="00E270A8" w:rsidRDefault="00E270A8" w:rsidP="00E270A8">
      <w:pPr>
        <w:rPr>
          <w:rFonts w:ascii="Arial" w:hAnsi="Arial" w:cs="Arial"/>
        </w:rPr>
      </w:pPr>
    </w:p>
    <w:p w:rsidR="008850A1" w:rsidRDefault="008850A1" w:rsidP="00E270A8">
      <w:pPr>
        <w:numPr>
          <w:ilvl w:val="0"/>
          <w:numId w:val="20"/>
        </w:numPr>
        <w:rPr>
          <w:rFonts w:ascii="Arial" w:hAnsi="Arial" w:cs="Arial"/>
        </w:rPr>
      </w:pPr>
      <w:r w:rsidRPr="00E270A8">
        <w:rPr>
          <w:rFonts w:ascii="Arial" w:hAnsi="Arial" w:cs="Arial"/>
        </w:rPr>
        <w:t>T</w:t>
      </w:r>
      <w:r w:rsidR="006E7F59" w:rsidRPr="00E270A8">
        <w:rPr>
          <w:rFonts w:ascii="Arial" w:hAnsi="Arial" w:cs="Arial"/>
        </w:rPr>
        <w:t>here is no single or</w:t>
      </w:r>
      <w:r w:rsidRPr="00E270A8">
        <w:rPr>
          <w:rFonts w:ascii="Arial" w:hAnsi="Arial" w:cs="Arial"/>
        </w:rPr>
        <w:t xml:space="preserve"> precise aspect of the tax system driving the tax compliance concerns perceived by small business. Rather</w:t>
      </w:r>
      <w:r w:rsidR="00E270A8" w:rsidRPr="00E270A8">
        <w:rPr>
          <w:rFonts w:ascii="Arial" w:hAnsi="Arial" w:cs="Arial"/>
        </w:rPr>
        <w:t xml:space="preserve">, </w:t>
      </w:r>
      <w:r w:rsidR="007C2538" w:rsidRPr="00E270A8">
        <w:rPr>
          <w:rFonts w:ascii="Arial" w:hAnsi="Arial" w:cs="Arial"/>
        </w:rPr>
        <w:t xml:space="preserve">a myriad of regulations from local governments to the </w:t>
      </w:r>
      <w:r w:rsidR="00E270A8">
        <w:rPr>
          <w:rFonts w:ascii="Arial" w:hAnsi="Arial" w:cs="Arial"/>
        </w:rPr>
        <w:t>Australian</w:t>
      </w:r>
      <w:r w:rsidR="007C2538" w:rsidRPr="00E270A8">
        <w:rPr>
          <w:rFonts w:ascii="Arial" w:hAnsi="Arial" w:cs="Arial"/>
        </w:rPr>
        <w:t xml:space="preserve"> Government </w:t>
      </w:r>
      <w:r w:rsidRPr="00E270A8">
        <w:rPr>
          <w:rFonts w:ascii="Arial" w:hAnsi="Arial" w:cs="Arial"/>
        </w:rPr>
        <w:t>appear to be the problem.</w:t>
      </w:r>
      <w:r w:rsidRPr="008850A1">
        <w:rPr>
          <w:rFonts w:ascii="Arial" w:hAnsi="Arial" w:cs="Arial"/>
          <w:vertAlign w:val="superscript"/>
        </w:rPr>
        <w:footnoteReference w:id="3"/>
      </w:r>
      <w:r w:rsidRPr="00E270A8">
        <w:rPr>
          <w:rFonts w:ascii="Arial" w:hAnsi="Arial" w:cs="Arial"/>
        </w:rPr>
        <w:t xml:space="preserve"> </w:t>
      </w:r>
    </w:p>
    <w:p w:rsidR="00E270A8" w:rsidRDefault="00E270A8" w:rsidP="00E270A8">
      <w:pPr>
        <w:ind w:left="360"/>
        <w:rPr>
          <w:rFonts w:ascii="Arial" w:hAnsi="Arial" w:cs="Arial"/>
        </w:rPr>
      </w:pPr>
    </w:p>
    <w:p w:rsidR="00E270A8" w:rsidRDefault="00E270A8" w:rsidP="00056DE2">
      <w:pPr>
        <w:rPr>
          <w:rFonts w:ascii="Arial" w:hAnsi="Arial" w:cs="Arial"/>
        </w:rPr>
      </w:pPr>
    </w:p>
    <w:p w:rsidR="00E270A8" w:rsidRPr="00E270A8" w:rsidRDefault="00E270A8" w:rsidP="00E270A8">
      <w:pPr>
        <w:ind w:left="360"/>
        <w:rPr>
          <w:rFonts w:ascii="Arial" w:hAnsi="Arial" w:cs="Arial"/>
        </w:rPr>
      </w:pPr>
    </w:p>
    <w:p w:rsidR="00E270A8" w:rsidRDefault="00657446" w:rsidP="00657446">
      <w:pPr>
        <w:rPr>
          <w:rFonts w:ascii="Arial" w:hAnsi="Arial" w:cs="Arial"/>
        </w:rPr>
      </w:pPr>
      <w:r w:rsidRPr="00657446">
        <w:rPr>
          <w:rFonts w:ascii="Arial" w:hAnsi="Arial" w:cs="Arial"/>
        </w:rPr>
        <w:lastRenderedPageBreak/>
        <w:t xml:space="preserve">The </w:t>
      </w:r>
      <w:r w:rsidR="006E7F59">
        <w:rPr>
          <w:rFonts w:ascii="Arial" w:hAnsi="Arial" w:cs="Arial"/>
        </w:rPr>
        <w:t>G</w:t>
      </w:r>
      <w:r w:rsidRPr="00657446">
        <w:rPr>
          <w:rFonts w:ascii="Arial" w:hAnsi="Arial" w:cs="Arial"/>
        </w:rPr>
        <w:t>overnment’s small business policy agenda includes reducing red tape, improving the business operating environment and increasing th</w:t>
      </w:r>
      <w:r w:rsidR="006E7F59">
        <w:rPr>
          <w:rFonts w:ascii="Arial" w:hAnsi="Arial" w:cs="Arial"/>
        </w:rPr>
        <w:t>e quality and effectiveness of g</w:t>
      </w:r>
      <w:r w:rsidRPr="00657446">
        <w:rPr>
          <w:rFonts w:ascii="Arial" w:hAnsi="Arial" w:cs="Arial"/>
        </w:rPr>
        <w:t xml:space="preserve">overnment engagement with small business. This is designed to increase the number of small business </w:t>
      </w:r>
    </w:p>
    <w:p w:rsidR="00657446" w:rsidRPr="00657446" w:rsidRDefault="00657446" w:rsidP="00657446">
      <w:pPr>
        <w:rPr>
          <w:rFonts w:ascii="Arial" w:hAnsi="Arial" w:cs="Arial"/>
        </w:rPr>
      </w:pPr>
      <w:proofErr w:type="gramStart"/>
      <w:r w:rsidRPr="00657446">
        <w:rPr>
          <w:rFonts w:ascii="Arial" w:hAnsi="Arial" w:cs="Arial"/>
        </w:rPr>
        <w:t>start-ups</w:t>
      </w:r>
      <w:proofErr w:type="gramEnd"/>
      <w:r w:rsidRPr="00657446">
        <w:rPr>
          <w:rFonts w:ascii="Arial" w:hAnsi="Arial" w:cs="Arial"/>
        </w:rPr>
        <w:t>, encourage entrepreneu</w:t>
      </w:r>
      <w:r w:rsidR="00DB14FE">
        <w:rPr>
          <w:rFonts w:ascii="Arial" w:hAnsi="Arial" w:cs="Arial"/>
        </w:rPr>
        <w:t>rial behaviour, drive</w:t>
      </w:r>
      <w:r w:rsidRPr="00657446">
        <w:rPr>
          <w:rFonts w:ascii="Arial" w:hAnsi="Arial" w:cs="Arial"/>
        </w:rPr>
        <w:t xml:space="preserve"> economic growth, </w:t>
      </w:r>
      <w:r w:rsidR="00E270A8">
        <w:rPr>
          <w:rFonts w:ascii="Arial" w:hAnsi="Arial" w:cs="Arial"/>
        </w:rPr>
        <w:t>and</w:t>
      </w:r>
      <w:r w:rsidRPr="00657446">
        <w:rPr>
          <w:rFonts w:ascii="Arial" w:hAnsi="Arial" w:cs="Arial"/>
        </w:rPr>
        <w:t xml:space="preserve"> improve productivity and competitiveness.</w:t>
      </w:r>
      <w:r w:rsidRPr="00657446">
        <w:rPr>
          <w:rFonts w:ascii="Arial" w:hAnsi="Arial" w:cs="Arial"/>
          <w:vertAlign w:val="superscript"/>
        </w:rPr>
        <w:footnoteReference w:id="4"/>
      </w:r>
    </w:p>
    <w:p w:rsidR="00657446" w:rsidRPr="002C1FD6" w:rsidRDefault="00657446" w:rsidP="002C1FD6">
      <w:pPr>
        <w:rPr>
          <w:rFonts w:ascii="Arial" w:hAnsi="Arial" w:cs="Arial"/>
        </w:rPr>
      </w:pPr>
    </w:p>
    <w:p w:rsidR="00DE05AF" w:rsidRDefault="002C1FD6" w:rsidP="00B20589">
      <w:pPr>
        <w:rPr>
          <w:rFonts w:ascii="Arial" w:eastAsia="Times New Roman" w:hAnsi="Arial" w:cs="Arial"/>
          <w:bCs/>
        </w:rPr>
      </w:pPr>
      <w:r>
        <w:rPr>
          <w:rFonts w:ascii="Arial" w:eastAsia="Times New Roman" w:hAnsi="Arial" w:cs="Arial"/>
          <w:bCs/>
        </w:rPr>
        <w:t>In this context</w:t>
      </w:r>
      <w:r w:rsidR="00E270A8">
        <w:rPr>
          <w:rFonts w:ascii="Arial" w:eastAsia="Times New Roman" w:hAnsi="Arial" w:cs="Arial"/>
          <w:bCs/>
        </w:rPr>
        <w:t>,</w:t>
      </w:r>
      <w:r>
        <w:rPr>
          <w:rFonts w:ascii="Arial" w:eastAsia="Times New Roman" w:hAnsi="Arial" w:cs="Arial"/>
          <w:bCs/>
        </w:rPr>
        <w:t xml:space="preserve"> the Productivity Commission investigation into issues surrounding business </w:t>
      </w:r>
      <w:r w:rsidR="005B64D9">
        <w:rPr>
          <w:rFonts w:ascii="Arial" w:eastAsia="Times New Roman" w:hAnsi="Arial" w:cs="Arial"/>
          <w:bCs/>
        </w:rPr>
        <w:t xml:space="preserve">start-up, transfer and closure needs to provide tangible recommendations to support Australia’s entrepreneurial spirit. </w:t>
      </w:r>
    </w:p>
    <w:p w:rsidR="00CA623D" w:rsidRDefault="00CA623D" w:rsidP="00B20589">
      <w:pPr>
        <w:rPr>
          <w:rFonts w:ascii="Arial" w:eastAsia="Times New Roman" w:hAnsi="Arial" w:cs="Arial"/>
          <w:bCs/>
        </w:rPr>
      </w:pPr>
    </w:p>
    <w:p w:rsidR="00CA623D" w:rsidRDefault="003D7B74" w:rsidP="00B20589">
      <w:pPr>
        <w:rPr>
          <w:rFonts w:ascii="Arial" w:eastAsia="Times New Roman" w:hAnsi="Arial" w:cs="Arial"/>
          <w:bCs/>
        </w:rPr>
      </w:pPr>
      <w:r>
        <w:rPr>
          <w:rFonts w:ascii="Arial" w:eastAsia="Times New Roman" w:hAnsi="Arial" w:cs="Arial"/>
          <w:bCs/>
        </w:rPr>
        <w:t xml:space="preserve">This submission will deal strictly with broader </w:t>
      </w:r>
      <w:r w:rsidR="00E270A8">
        <w:rPr>
          <w:rFonts w:ascii="Arial" w:eastAsia="Times New Roman" w:hAnsi="Arial" w:cs="Arial"/>
          <w:bCs/>
        </w:rPr>
        <w:t>business regulation</w:t>
      </w:r>
      <w:r w:rsidR="00DB14FE">
        <w:rPr>
          <w:rFonts w:ascii="Arial" w:eastAsia="Times New Roman" w:hAnsi="Arial" w:cs="Arial"/>
          <w:bCs/>
        </w:rPr>
        <w:t xml:space="preserve"> issues</w:t>
      </w:r>
      <w:r>
        <w:rPr>
          <w:rFonts w:ascii="Arial" w:eastAsia="Times New Roman" w:hAnsi="Arial" w:cs="Arial"/>
          <w:bCs/>
        </w:rPr>
        <w:t xml:space="preserve">. </w:t>
      </w:r>
      <w:r w:rsidR="006E7F59">
        <w:rPr>
          <w:rFonts w:ascii="Arial" w:eastAsia="Times New Roman" w:hAnsi="Arial" w:cs="Arial"/>
          <w:bCs/>
        </w:rPr>
        <w:t>The ATA is dealing with s</w:t>
      </w:r>
      <w:r>
        <w:rPr>
          <w:rFonts w:ascii="Arial" w:eastAsia="Times New Roman" w:hAnsi="Arial" w:cs="Arial"/>
          <w:bCs/>
        </w:rPr>
        <w:t>pecific industry issues through the appropriate for</w:t>
      </w:r>
      <w:r w:rsidR="00DB14FE">
        <w:rPr>
          <w:rFonts w:ascii="Arial" w:eastAsia="Times New Roman" w:hAnsi="Arial" w:cs="Arial"/>
          <w:bCs/>
        </w:rPr>
        <w:t>ums</w:t>
      </w:r>
      <w:r>
        <w:rPr>
          <w:rFonts w:ascii="Arial" w:eastAsia="Times New Roman" w:hAnsi="Arial" w:cs="Arial"/>
          <w:bCs/>
        </w:rPr>
        <w:t xml:space="preserve"> such as the </w:t>
      </w:r>
      <w:r w:rsidR="00DB14FE">
        <w:rPr>
          <w:rFonts w:ascii="Arial" w:eastAsia="Times New Roman" w:hAnsi="Arial" w:cs="Arial"/>
          <w:bCs/>
        </w:rPr>
        <w:t>National Heavy Vehicle R</w:t>
      </w:r>
      <w:r>
        <w:rPr>
          <w:rFonts w:ascii="Arial" w:eastAsia="Times New Roman" w:hAnsi="Arial" w:cs="Arial"/>
          <w:bCs/>
        </w:rPr>
        <w:t xml:space="preserve">egulator </w:t>
      </w:r>
      <w:r w:rsidR="00E270A8">
        <w:rPr>
          <w:rFonts w:ascii="Arial" w:eastAsia="Times New Roman" w:hAnsi="Arial" w:cs="Arial"/>
          <w:bCs/>
        </w:rPr>
        <w:t>and</w:t>
      </w:r>
      <w:r>
        <w:rPr>
          <w:rFonts w:ascii="Arial" w:eastAsia="Times New Roman" w:hAnsi="Arial" w:cs="Arial"/>
          <w:bCs/>
        </w:rPr>
        <w:t xml:space="preserve"> the National Transport Commission. </w:t>
      </w:r>
    </w:p>
    <w:p w:rsidR="00112A33" w:rsidRDefault="00112A33" w:rsidP="00B20589">
      <w:pPr>
        <w:rPr>
          <w:rFonts w:ascii="Arial" w:eastAsia="Times New Roman" w:hAnsi="Arial" w:cs="Arial"/>
          <w:bCs/>
        </w:rPr>
      </w:pPr>
    </w:p>
    <w:p w:rsidR="00CD71EC" w:rsidRDefault="00CD71EC" w:rsidP="00B20589">
      <w:pPr>
        <w:rPr>
          <w:rFonts w:ascii="Arial" w:eastAsiaTheme="minorHAnsi" w:hAnsi="Arial" w:cs="Arial"/>
        </w:rPr>
      </w:pPr>
    </w:p>
    <w:p w:rsidR="005B64D9" w:rsidRPr="00540454" w:rsidRDefault="001D7CDE" w:rsidP="005B64D9">
      <w:pPr>
        <w:pStyle w:val="Heading1"/>
        <w:rPr>
          <w:szCs w:val="22"/>
        </w:rPr>
      </w:pPr>
      <w:bookmarkStart w:id="4" w:name="_Toc412794708"/>
      <w:r>
        <w:rPr>
          <w:szCs w:val="22"/>
        </w:rPr>
        <w:t>Overview of the heavy vehicle industry</w:t>
      </w:r>
      <w:bookmarkEnd w:id="4"/>
    </w:p>
    <w:p w:rsidR="005B64D9" w:rsidRDefault="005B64D9" w:rsidP="00B20589">
      <w:pPr>
        <w:rPr>
          <w:rFonts w:ascii="Arial" w:eastAsiaTheme="minorHAnsi" w:hAnsi="Arial" w:cs="Arial"/>
        </w:rPr>
      </w:pPr>
    </w:p>
    <w:p w:rsidR="001D7CDE" w:rsidRPr="001D7CDE" w:rsidRDefault="001D7CDE" w:rsidP="001D7CDE">
      <w:pPr>
        <w:rPr>
          <w:rFonts w:ascii="Arial" w:eastAsiaTheme="minorHAnsi" w:hAnsi="Arial" w:cs="Arial"/>
        </w:rPr>
      </w:pPr>
      <w:r w:rsidRPr="001D7CDE">
        <w:rPr>
          <w:rFonts w:ascii="Arial" w:eastAsiaTheme="minorHAnsi" w:hAnsi="Arial" w:cs="Arial"/>
        </w:rPr>
        <w:t>The heavy vehicle industry is a significant contributor to economic activity, generating direct as well as flow on activity through its support to a diverse range of industries and supply chains.  The road transport industry added over $18 billion to the Australian economy in FY2012 or 1.4 per cent of Gross Domestic Product.</w:t>
      </w:r>
      <w:r w:rsidRPr="001D7CDE">
        <w:rPr>
          <w:rStyle w:val="FootnoteReference"/>
          <w:rFonts w:asciiTheme="minorHAnsi" w:hAnsiTheme="minorHAnsi"/>
          <w:color w:val="000000"/>
          <w:lang w:eastAsia="en-AU"/>
        </w:rPr>
        <w:t xml:space="preserve"> </w:t>
      </w:r>
      <w:r w:rsidRPr="00D92690">
        <w:rPr>
          <w:rStyle w:val="FootnoteReference"/>
          <w:rFonts w:asciiTheme="minorHAnsi" w:hAnsiTheme="minorHAnsi"/>
          <w:color w:val="000000"/>
          <w:lang w:eastAsia="en-AU"/>
        </w:rPr>
        <w:footnoteReference w:id="5"/>
      </w:r>
      <w:r w:rsidRPr="001D7CDE">
        <w:rPr>
          <w:rFonts w:ascii="Arial" w:eastAsiaTheme="minorHAnsi" w:hAnsi="Arial" w:cs="Arial"/>
        </w:rPr>
        <w:t xml:space="preserve"> </w:t>
      </w:r>
    </w:p>
    <w:p w:rsidR="001D7CDE" w:rsidRPr="001D7CDE" w:rsidRDefault="001D7CDE" w:rsidP="001D7CDE">
      <w:pPr>
        <w:rPr>
          <w:rFonts w:ascii="Arial" w:eastAsiaTheme="minorHAnsi" w:hAnsi="Arial" w:cs="Arial"/>
        </w:rPr>
      </w:pPr>
    </w:p>
    <w:p w:rsidR="005B64D9" w:rsidRDefault="001D7CDE" w:rsidP="001D7CDE">
      <w:pPr>
        <w:rPr>
          <w:rFonts w:ascii="Arial" w:eastAsiaTheme="minorHAnsi" w:hAnsi="Arial" w:cs="Arial"/>
        </w:rPr>
      </w:pPr>
      <w:r w:rsidRPr="001D7CDE">
        <w:rPr>
          <w:rFonts w:ascii="Arial" w:eastAsiaTheme="minorHAnsi" w:hAnsi="Arial" w:cs="Arial"/>
        </w:rPr>
        <w:t>While the heavy vehicle industry is a significant contributor to the national economy, the industry is mainly populated with small businesses, with 7</w:t>
      </w:r>
      <w:r w:rsidR="00056DE2">
        <w:rPr>
          <w:rFonts w:ascii="Arial" w:eastAsiaTheme="minorHAnsi" w:hAnsi="Arial" w:cs="Arial"/>
        </w:rPr>
        <w:t>2 per cent of operators owning one truck and only one</w:t>
      </w:r>
      <w:r w:rsidRPr="001D7CDE">
        <w:rPr>
          <w:rFonts w:ascii="Arial" w:eastAsiaTheme="minorHAnsi" w:hAnsi="Arial" w:cs="Arial"/>
        </w:rPr>
        <w:t xml:space="preserve"> per cent of operat</w:t>
      </w:r>
      <w:r w:rsidR="00056DE2">
        <w:rPr>
          <w:rFonts w:ascii="Arial" w:eastAsiaTheme="minorHAnsi" w:hAnsi="Arial" w:cs="Arial"/>
        </w:rPr>
        <w:t>ors owning more than ten</w:t>
      </w:r>
      <w:r w:rsidR="003D7B74">
        <w:rPr>
          <w:rFonts w:ascii="Arial" w:eastAsiaTheme="minorHAnsi" w:hAnsi="Arial" w:cs="Arial"/>
        </w:rPr>
        <w:t xml:space="preserve"> trucks.</w:t>
      </w:r>
      <w:r w:rsidRPr="001D7CDE">
        <w:rPr>
          <w:rFonts w:ascii="Arial" w:eastAsiaTheme="minorHAnsi" w:hAnsi="Arial" w:cs="Arial"/>
        </w:rPr>
        <w:t xml:space="preserve"> Unnecessary costs and unjustified restrictions on productivity of trucking </w:t>
      </w:r>
      <w:r w:rsidR="00441E31">
        <w:rPr>
          <w:rFonts w:ascii="Arial" w:eastAsiaTheme="minorHAnsi" w:hAnsi="Arial" w:cs="Arial"/>
        </w:rPr>
        <w:t xml:space="preserve">businesses </w:t>
      </w:r>
      <w:r w:rsidRPr="001D7CDE">
        <w:rPr>
          <w:rFonts w:ascii="Arial" w:eastAsiaTheme="minorHAnsi" w:hAnsi="Arial" w:cs="Arial"/>
        </w:rPr>
        <w:t>simply burdens the economy and constrains growth.</w:t>
      </w:r>
      <w:r w:rsidRPr="001D7CDE">
        <w:rPr>
          <w:rStyle w:val="FootnoteReference"/>
          <w:rFonts w:asciiTheme="minorHAnsi" w:hAnsiTheme="minorHAnsi"/>
          <w:color w:val="000000"/>
          <w:lang w:eastAsia="en-AU"/>
        </w:rPr>
        <w:t xml:space="preserve"> </w:t>
      </w:r>
      <w:r w:rsidRPr="00D92690">
        <w:rPr>
          <w:rStyle w:val="FootnoteReference"/>
          <w:rFonts w:asciiTheme="minorHAnsi" w:hAnsiTheme="minorHAnsi"/>
          <w:color w:val="000000"/>
          <w:lang w:eastAsia="en-AU"/>
        </w:rPr>
        <w:footnoteReference w:id="6"/>
      </w:r>
    </w:p>
    <w:p w:rsidR="001D7CDE" w:rsidRDefault="001D7CDE" w:rsidP="001D7CDE">
      <w:pPr>
        <w:rPr>
          <w:rFonts w:ascii="Arial" w:eastAsiaTheme="minorHAnsi" w:hAnsi="Arial" w:cs="Arial"/>
        </w:rPr>
      </w:pPr>
    </w:p>
    <w:p w:rsidR="005B64D9" w:rsidRDefault="001D7CDE" w:rsidP="00B20589">
      <w:pPr>
        <w:rPr>
          <w:rFonts w:ascii="Arial" w:eastAsiaTheme="minorHAnsi" w:hAnsi="Arial" w:cs="Arial"/>
        </w:rPr>
      </w:pPr>
      <w:r>
        <w:rPr>
          <w:rFonts w:ascii="Arial" w:eastAsiaTheme="minorHAnsi" w:hAnsi="Arial" w:cs="Arial"/>
        </w:rPr>
        <w:t xml:space="preserve">The heavy vehicle industry comprises </w:t>
      </w:r>
      <w:r w:rsidR="00056DE2">
        <w:rPr>
          <w:rFonts w:ascii="Arial" w:eastAsiaTheme="minorHAnsi" w:hAnsi="Arial" w:cs="Arial"/>
        </w:rPr>
        <w:t>more than</w:t>
      </w:r>
      <w:r>
        <w:rPr>
          <w:rFonts w:ascii="Arial" w:eastAsiaTheme="minorHAnsi" w:hAnsi="Arial" w:cs="Arial"/>
        </w:rPr>
        <w:t xml:space="preserve"> 50,000 specialised road freight businesses and employs over 180,000 people.</w:t>
      </w:r>
      <w:r>
        <w:rPr>
          <w:rStyle w:val="FootnoteReference"/>
          <w:rFonts w:ascii="Arial" w:eastAsiaTheme="minorHAnsi" w:hAnsi="Arial"/>
        </w:rPr>
        <w:footnoteReference w:id="7"/>
      </w:r>
      <w:r>
        <w:rPr>
          <w:rFonts w:ascii="Arial" w:eastAsiaTheme="minorHAnsi" w:hAnsi="Arial" w:cs="Arial"/>
        </w:rPr>
        <w:t xml:space="preserve"> </w:t>
      </w:r>
    </w:p>
    <w:p w:rsidR="003D7B74" w:rsidRDefault="003D7B74" w:rsidP="00B20589">
      <w:pPr>
        <w:rPr>
          <w:rFonts w:ascii="Arial" w:eastAsiaTheme="minorHAnsi" w:hAnsi="Arial" w:cs="Arial"/>
        </w:rPr>
      </w:pPr>
    </w:p>
    <w:p w:rsidR="00056DE2" w:rsidRDefault="003D7B74" w:rsidP="00B20589">
      <w:pPr>
        <w:rPr>
          <w:rFonts w:ascii="Arial" w:eastAsiaTheme="minorHAnsi" w:hAnsi="Arial" w:cs="Arial"/>
        </w:rPr>
      </w:pPr>
      <w:r>
        <w:rPr>
          <w:rFonts w:ascii="Arial" w:eastAsiaTheme="minorHAnsi" w:hAnsi="Arial" w:cs="Arial"/>
        </w:rPr>
        <w:t>Many trucking businesses ar</w:t>
      </w:r>
      <w:r w:rsidR="00056DE2">
        <w:rPr>
          <w:rFonts w:ascii="Arial" w:eastAsiaTheme="minorHAnsi" w:hAnsi="Arial" w:cs="Arial"/>
        </w:rPr>
        <w:t>e traditional family businesses.</w:t>
      </w:r>
    </w:p>
    <w:p w:rsidR="00056DE2" w:rsidRDefault="00056DE2" w:rsidP="00B20589">
      <w:pPr>
        <w:rPr>
          <w:rFonts w:ascii="Arial" w:eastAsiaTheme="minorHAnsi" w:hAnsi="Arial" w:cs="Arial"/>
        </w:rPr>
      </w:pPr>
    </w:p>
    <w:p w:rsidR="00BE633C" w:rsidRPr="00540454" w:rsidRDefault="00BE633C" w:rsidP="00B20589">
      <w:pPr>
        <w:rPr>
          <w:rFonts w:ascii="Arial" w:eastAsiaTheme="minorHAnsi" w:hAnsi="Arial" w:cs="Arial"/>
        </w:rPr>
      </w:pPr>
    </w:p>
    <w:p w:rsidR="0052056E" w:rsidRPr="00540454" w:rsidRDefault="00DB14FE" w:rsidP="00B20589">
      <w:pPr>
        <w:pStyle w:val="Heading1"/>
        <w:rPr>
          <w:szCs w:val="22"/>
        </w:rPr>
      </w:pPr>
      <w:bookmarkStart w:id="5" w:name="_Toc412794709"/>
      <w:r>
        <w:rPr>
          <w:szCs w:val="22"/>
        </w:rPr>
        <w:t>An overview of i</w:t>
      </w:r>
      <w:r w:rsidR="001D7CDE">
        <w:rPr>
          <w:szCs w:val="22"/>
        </w:rPr>
        <w:t>ssues identified by the industry</w:t>
      </w:r>
      <w:bookmarkEnd w:id="5"/>
    </w:p>
    <w:p w:rsidR="00E73CC6" w:rsidRDefault="00E73CC6" w:rsidP="00B20589">
      <w:pPr>
        <w:rPr>
          <w:rFonts w:ascii="Arial" w:hAnsi="Arial" w:cs="Arial"/>
          <w:b/>
          <w:color w:val="000064"/>
        </w:rPr>
      </w:pPr>
    </w:p>
    <w:p w:rsidR="002B7C87" w:rsidRDefault="001D7CDE" w:rsidP="00B20589">
      <w:pPr>
        <w:rPr>
          <w:rFonts w:ascii="Arial" w:eastAsiaTheme="minorHAnsi" w:hAnsi="Arial" w:cs="Arial"/>
        </w:rPr>
      </w:pPr>
      <w:r w:rsidRPr="00A21381">
        <w:rPr>
          <w:rFonts w:ascii="Arial" w:eastAsiaTheme="minorHAnsi" w:hAnsi="Arial" w:cs="Arial"/>
        </w:rPr>
        <w:t xml:space="preserve">In order to understand industry’s experience the ATA created </w:t>
      </w:r>
      <w:r w:rsidR="00AD0661" w:rsidRPr="00A21381">
        <w:rPr>
          <w:rFonts w:ascii="Arial" w:eastAsiaTheme="minorHAnsi" w:hAnsi="Arial" w:cs="Arial"/>
        </w:rPr>
        <w:t xml:space="preserve">a survey and </w:t>
      </w:r>
      <w:r w:rsidR="00056DE2">
        <w:rPr>
          <w:rFonts w:ascii="Arial" w:eastAsiaTheme="minorHAnsi" w:hAnsi="Arial" w:cs="Arial"/>
        </w:rPr>
        <w:t>sent</w:t>
      </w:r>
      <w:r w:rsidR="00AD0661" w:rsidRPr="00A21381">
        <w:rPr>
          <w:rFonts w:ascii="Arial" w:eastAsiaTheme="minorHAnsi" w:hAnsi="Arial" w:cs="Arial"/>
        </w:rPr>
        <w:t xml:space="preserve"> it to operators in order to gauge issues relevant to the investigation. Overall 21 operators</w:t>
      </w:r>
      <w:r w:rsidR="00056DE2">
        <w:rPr>
          <w:rFonts w:ascii="Arial" w:eastAsiaTheme="minorHAnsi" w:hAnsi="Arial" w:cs="Arial"/>
        </w:rPr>
        <w:t xml:space="preserve"> </w:t>
      </w:r>
      <w:r w:rsidR="00AD0661" w:rsidRPr="00A21381">
        <w:rPr>
          <w:rFonts w:ascii="Arial" w:eastAsiaTheme="minorHAnsi" w:hAnsi="Arial" w:cs="Arial"/>
        </w:rPr>
        <w:t>responded to the survey</w:t>
      </w:r>
      <w:r w:rsidR="00056DE2">
        <w:rPr>
          <w:rFonts w:ascii="Arial" w:eastAsiaTheme="minorHAnsi" w:hAnsi="Arial" w:cs="Arial"/>
        </w:rPr>
        <w:t xml:space="preserve"> and provided valuable qualitative insights into their concerns</w:t>
      </w:r>
      <w:r w:rsidR="00056DE2">
        <w:rPr>
          <w:rStyle w:val="FootnoteReference"/>
          <w:rFonts w:ascii="Arial" w:eastAsiaTheme="minorHAnsi" w:hAnsi="Arial"/>
        </w:rPr>
        <w:footnoteReference w:id="8"/>
      </w:r>
      <w:r w:rsidR="00AD0661" w:rsidRPr="00A21381">
        <w:rPr>
          <w:rFonts w:ascii="Arial" w:eastAsiaTheme="minorHAnsi" w:hAnsi="Arial" w:cs="Arial"/>
        </w:rPr>
        <w:t xml:space="preserve">. The operator sample provided a good mix of business size, establishment times and operating sectors and areas. Issues that were raised as concerns have been illustrated below. </w:t>
      </w:r>
    </w:p>
    <w:p w:rsidR="00613AD2" w:rsidRPr="00A21381" w:rsidRDefault="00613AD2" w:rsidP="00B20589">
      <w:pPr>
        <w:rPr>
          <w:rFonts w:ascii="Arial" w:eastAsiaTheme="minorHAnsi" w:hAnsi="Arial" w:cs="Arial"/>
        </w:rPr>
      </w:pPr>
    </w:p>
    <w:p w:rsidR="00EB4FDE" w:rsidRPr="00A21381" w:rsidRDefault="00EB4FDE" w:rsidP="00B20589">
      <w:pPr>
        <w:rPr>
          <w:rFonts w:ascii="Arial" w:eastAsiaTheme="minorHAnsi" w:hAnsi="Arial" w:cs="Arial"/>
        </w:rPr>
      </w:pPr>
    </w:p>
    <w:p w:rsidR="00EB4FDE" w:rsidRPr="00A21381" w:rsidRDefault="00B20589" w:rsidP="00B20589">
      <w:pPr>
        <w:rPr>
          <w:rFonts w:ascii="Arial" w:eastAsiaTheme="minorHAnsi" w:hAnsi="Arial" w:cs="Arial"/>
          <w:u w:val="single"/>
        </w:rPr>
      </w:pPr>
      <w:r w:rsidRPr="00A21381">
        <w:rPr>
          <w:rFonts w:ascii="Arial" w:eastAsiaTheme="minorHAnsi" w:hAnsi="Arial" w:cs="Arial"/>
          <w:u w:val="single"/>
        </w:rPr>
        <w:t>The industry is under pressure from both industry specific regulations and general planning regulations</w:t>
      </w:r>
    </w:p>
    <w:p w:rsidR="007F772F" w:rsidRPr="00A21381" w:rsidRDefault="007F772F" w:rsidP="00B20589">
      <w:pPr>
        <w:rPr>
          <w:rFonts w:ascii="Arial" w:eastAsiaTheme="minorHAnsi" w:hAnsi="Arial" w:cs="Arial"/>
        </w:rPr>
      </w:pPr>
    </w:p>
    <w:p w:rsidR="00056DE2" w:rsidRDefault="00393037" w:rsidP="00B20589">
      <w:pPr>
        <w:rPr>
          <w:rFonts w:ascii="Arial" w:eastAsiaTheme="minorHAnsi" w:hAnsi="Arial" w:cs="Arial"/>
        </w:rPr>
      </w:pPr>
      <w:r w:rsidRPr="00A21381">
        <w:rPr>
          <w:rFonts w:ascii="Arial" w:eastAsiaTheme="minorHAnsi" w:hAnsi="Arial" w:cs="Arial"/>
        </w:rPr>
        <w:t>Operators identified a range of cost impediments that government</w:t>
      </w:r>
      <w:r w:rsidR="006E7F59">
        <w:rPr>
          <w:rFonts w:ascii="Arial" w:eastAsiaTheme="minorHAnsi" w:hAnsi="Arial" w:cs="Arial"/>
        </w:rPr>
        <w:t>s had</w:t>
      </w:r>
      <w:r w:rsidRPr="00A21381">
        <w:rPr>
          <w:rFonts w:ascii="Arial" w:eastAsiaTheme="minorHAnsi" w:hAnsi="Arial" w:cs="Arial"/>
        </w:rPr>
        <w:t xml:space="preserve"> allowed to spiral</w:t>
      </w:r>
      <w:r w:rsidR="00056DE2">
        <w:rPr>
          <w:rFonts w:ascii="Arial" w:eastAsiaTheme="minorHAnsi" w:hAnsi="Arial" w:cs="Arial"/>
        </w:rPr>
        <w:t>.</w:t>
      </w:r>
    </w:p>
    <w:p w:rsidR="00056DE2" w:rsidRDefault="00056DE2" w:rsidP="00B20589">
      <w:pPr>
        <w:rPr>
          <w:rFonts w:ascii="Arial" w:eastAsiaTheme="minorHAnsi" w:hAnsi="Arial" w:cs="Arial"/>
        </w:rPr>
      </w:pPr>
    </w:p>
    <w:p w:rsidR="00613AD2" w:rsidRDefault="00613AD2" w:rsidP="00B20589">
      <w:pPr>
        <w:rPr>
          <w:rFonts w:ascii="Arial" w:eastAsiaTheme="minorHAnsi" w:hAnsi="Arial" w:cs="Arial"/>
        </w:rPr>
      </w:pPr>
    </w:p>
    <w:p w:rsidR="00613AD2" w:rsidRDefault="00613AD2" w:rsidP="00B20589">
      <w:pPr>
        <w:rPr>
          <w:rFonts w:ascii="Arial" w:eastAsiaTheme="minorHAnsi" w:hAnsi="Arial" w:cs="Arial"/>
        </w:rPr>
      </w:pPr>
    </w:p>
    <w:p w:rsidR="00B20589" w:rsidRPr="00A21381" w:rsidRDefault="007C2538" w:rsidP="00B20589">
      <w:pPr>
        <w:rPr>
          <w:rFonts w:ascii="Arial" w:eastAsiaTheme="minorHAnsi" w:hAnsi="Arial" w:cs="Arial"/>
        </w:rPr>
      </w:pPr>
      <w:r>
        <w:rPr>
          <w:rFonts w:ascii="Arial" w:eastAsiaTheme="minorHAnsi" w:hAnsi="Arial" w:cs="Arial"/>
        </w:rPr>
        <w:lastRenderedPageBreak/>
        <w:t>For example</w:t>
      </w:r>
      <w:r w:rsidR="00393037" w:rsidRPr="00A21381">
        <w:rPr>
          <w:rFonts w:ascii="Arial" w:eastAsiaTheme="minorHAnsi" w:hAnsi="Arial" w:cs="Arial"/>
        </w:rPr>
        <w:t xml:space="preserve">: </w:t>
      </w:r>
    </w:p>
    <w:p w:rsidR="00393037" w:rsidRPr="00A21381" w:rsidRDefault="00056DE2" w:rsidP="00393037">
      <w:pPr>
        <w:pStyle w:val="ListParagraph"/>
        <w:numPr>
          <w:ilvl w:val="0"/>
          <w:numId w:val="12"/>
        </w:numPr>
        <w:rPr>
          <w:rFonts w:ascii="Arial" w:eastAsiaTheme="minorHAnsi" w:hAnsi="Arial" w:cs="Arial"/>
        </w:rPr>
      </w:pPr>
      <w:r>
        <w:rPr>
          <w:rFonts w:ascii="Arial" w:eastAsiaTheme="minorHAnsi" w:hAnsi="Arial" w:cs="Arial"/>
        </w:rPr>
        <w:t>p</w:t>
      </w:r>
      <w:r w:rsidR="00393037" w:rsidRPr="00A21381">
        <w:rPr>
          <w:rFonts w:ascii="Arial" w:eastAsiaTheme="minorHAnsi" w:hAnsi="Arial" w:cs="Arial"/>
        </w:rPr>
        <w:t>ayroll tax (discourages employment),</w:t>
      </w:r>
    </w:p>
    <w:p w:rsidR="00393037" w:rsidRPr="00A21381" w:rsidRDefault="00393037" w:rsidP="00393037">
      <w:pPr>
        <w:pStyle w:val="ListParagraph"/>
        <w:numPr>
          <w:ilvl w:val="0"/>
          <w:numId w:val="12"/>
        </w:numPr>
        <w:rPr>
          <w:rFonts w:ascii="Arial" w:eastAsiaTheme="minorHAnsi" w:hAnsi="Arial" w:cs="Arial"/>
        </w:rPr>
      </w:pPr>
      <w:r w:rsidRPr="00A21381">
        <w:rPr>
          <w:rFonts w:ascii="Arial" w:eastAsiaTheme="minorHAnsi" w:hAnsi="Arial" w:cs="Arial"/>
        </w:rPr>
        <w:t>land tax ( high cost for depots</w:t>
      </w:r>
      <w:r w:rsidR="00441E31">
        <w:rPr>
          <w:rFonts w:ascii="Arial" w:eastAsiaTheme="minorHAnsi" w:hAnsi="Arial" w:cs="Arial"/>
        </w:rPr>
        <w:t>,</w:t>
      </w:r>
      <w:r w:rsidRPr="00A21381">
        <w:rPr>
          <w:rFonts w:ascii="Arial" w:eastAsiaTheme="minorHAnsi" w:hAnsi="Arial" w:cs="Arial"/>
        </w:rPr>
        <w:t xml:space="preserve"> and depots are a necessity)</w:t>
      </w:r>
      <w:r w:rsidR="006E7F59">
        <w:rPr>
          <w:rFonts w:ascii="Arial" w:eastAsiaTheme="minorHAnsi" w:hAnsi="Arial" w:cs="Arial"/>
        </w:rPr>
        <w:t>,</w:t>
      </w:r>
      <w:r w:rsidRPr="00A21381">
        <w:rPr>
          <w:rFonts w:ascii="Arial" w:eastAsiaTheme="minorHAnsi" w:hAnsi="Arial" w:cs="Arial"/>
        </w:rPr>
        <w:t xml:space="preserve"> </w:t>
      </w:r>
    </w:p>
    <w:p w:rsidR="00B20589" w:rsidRPr="00056DE2" w:rsidRDefault="006E7F59" w:rsidP="00B20589">
      <w:pPr>
        <w:pStyle w:val="ListParagraph"/>
        <w:numPr>
          <w:ilvl w:val="0"/>
          <w:numId w:val="12"/>
        </w:numPr>
        <w:rPr>
          <w:rFonts w:ascii="Arial" w:eastAsiaTheme="minorHAnsi" w:hAnsi="Arial" w:cs="Arial"/>
        </w:rPr>
      </w:pPr>
      <w:proofErr w:type="gramStart"/>
      <w:r>
        <w:rPr>
          <w:rFonts w:ascii="Arial" w:eastAsiaTheme="minorHAnsi" w:hAnsi="Arial" w:cs="Arial"/>
        </w:rPr>
        <w:t>stamp</w:t>
      </w:r>
      <w:proofErr w:type="gramEnd"/>
      <w:r>
        <w:rPr>
          <w:rFonts w:ascii="Arial" w:eastAsiaTheme="minorHAnsi" w:hAnsi="Arial" w:cs="Arial"/>
        </w:rPr>
        <w:t xml:space="preserve"> duties on registration (</w:t>
      </w:r>
      <w:r w:rsidR="00393037" w:rsidRPr="00A21381">
        <w:rPr>
          <w:rFonts w:ascii="Arial" w:eastAsiaTheme="minorHAnsi" w:hAnsi="Arial" w:cs="Arial"/>
        </w:rPr>
        <w:t xml:space="preserve">a penalty for </w:t>
      </w:r>
      <w:r>
        <w:rPr>
          <w:rFonts w:ascii="Arial" w:eastAsiaTheme="minorHAnsi" w:hAnsi="Arial" w:cs="Arial"/>
        </w:rPr>
        <w:t>buying a new piece of equipment</w:t>
      </w:r>
      <w:r w:rsidR="00393037" w:rsidRPr="00A21381">
        <w:rPr>
          <w:rFonts w:ascii="Arial" w:eastAsiaTheme="minorHAnsi" w:hAnsi="Arial" w:cs="Arial"/>
        </w:rPr>
        <w:t>)</w:t>
      </w:r>
      <w:r w:rsidR="00056DE2">
        <w:rPr>
          <w:rFonts w:ascii="Arial" w:eastAsiaTheme="minorHAnsi" w:hAnsi="Arial" w:cs="Arial"/>
        </w:rPr>
        <w:t>.</w:t>
      </w:r>
      <w:r w:rsidR="00393037" w:rsidRPr="00A21381">
        <w:rPr>
          <w:rFonts w:ascii="Arial" w:eastAsiaTheme="minorHAnsi" w:hAnsi="Arial" w:cs="Arial"/>
        </w:rPr>
        <w:t xml:space="preserve"> </w:t>
      </w:r>
    </w:p>
    <w:p w:rsidR="00056DE2" w:rsidRDefault="00056DE2" w:rsidP="00B20589">
      <w:pPr>
        <w:rPr>
          <w:rFonts w:ascii="Arial" w:eastAsiaTheme="minorHAnsi" w:hAnsi="Arial" w:cs="Arial"/>
        </w:rPr>
      </w:pPr>
      <w:r w:rsidRPr="00A21381">
        <w:rPr>
          <w:rFonts w:ascii="Arial" w:eastAsiaTheme="minorHAnsi" w:hAnsi="Arial" w:cs="Arial"/>
        </w:rPr>
        <w:t xml:space="preserve">Both large and small businesses cited paperwork </w:t>
      </w:r>
      <w:r>
        <w:rPr>
          <w:rFonts w:ascii="Arial" w:eastAsiaTheme="minorHAnsi" w:hAnsi="Arial" w:cs="Arial"/>
        </w:rPr>
        <w:t>as</w:t>
      </w:r>
      <w:r w:rsidRPr="00A21381">
        <w:rPr>
          <w:rFonts w:ascii="Arial" w:eastAsiaTheme="minorHAnsi" w:hAnsi="Arial" w:cs="Arial"/>
        </w:rPr>
        <w:t xml:space="preserve"> an issue regardless of size. </w:t>
      </w:r>
    </w:p>
    <w:p w:rsidR="00056DE2" w:rsidRDefault="00056DE2" w:rsidP="00B20589">
      <w:pPr>
        <w:rPr>
          <w:rFonts w:ascii="Arial" w:eastAsiaTheme="minorHAnsi" w:hAnsi="Arial" w:cs="Arial"/>
        </w:rPr>
      </w:pPr>
    </w:p>
    <w:p w:rsidR="00056DE2" w:rsidRPr="00A21381" w:rsidRDefault="00056DE2" w:rsidP="00056DE2">
      <w:pPr>
        <w:rPr>
          <w:rFonts w:ascii="Arial" w:eastAsiaTheme="minorHAnsi" w:hAnsi="Arial" w:cs="Arial"/>
        </w:rPr>
      </w:pPr>
      <w:r>
        <w:rPr>
          <w:rFonts w:ascii="Arial" w:eastAsiaTheme="minorHAnsi" w:hAnsi="Arial" w:cs="Arial"/>
        </w:rPr>
        <w:t>T</w:t>
      </w:r>
      <w:r w:rsidRPr="00056DE2">
        <w:rPr>
          <w:rFonts w:ascii="Arial" w:eastAsiaTheme="minorHAnsi" w:hAnsi="Arial" w:cs="Arial"/>
        </w:rPr>
        <w:t xml:space="preserve">he imposition of stamp duty on </w:t>
      </w:r>
      <w:r w:rsidR="00A42701">
        <w:rPr>
          <w:rFonts w:ascii="Arial" w:eastAsiaTheme="minorHAnsi" w:hAnsi="Arial" w:cs="Arial"/>
        </w:rPr>
        <w:t xml:space="preserve">the </w:t>
      </w:r>
      <w:r w:rsidRPr="00056DE2">
        <w:rPr>
          <w:rFonts w:ascii="Arial" w:eastAsiaTheme="minorHAnsi" w:hAnsi="Arial" w:cs="Arial"/>
        </w:rPr>
        <w:t>registration of heavy vehicles is a financial drain on operators. One operator cited the removal of stamp duty on new trailers as a positive outcome for businesses setting up. Generally, operators stated there was too much red tape and compliance that made setting up a business difficult.</w:t>
      </w:r>
    </w:p>
    <w:p w:rsidR="00056DE2" w:rsidRDefault="00056DE2" w:rsidP="00B20589">
      <w:pPr>
        <w:rPr>
          <w:rFonts w:ascii="Arial" w:eastAsiaTheme="minorHAnsi" w:hAnsi="Arial" w:cs="Arial"/>
          <w:u w:val="single"/>
        </w:rPr>
      </w:pPr>
    </w:p>
    <w:p w:rsidR="00965175" w:rsidRPr="00A21381" w:rsidRDefault="00965175" w:rsidP="00B20589">
      <w:pPr>
        <w:rPr>
          <w:rFonts w:ascii="Arial" w:eastAsiaTheme="minorHAnsi" w:hAnsi="Arial" w:cs="Arial"/>
          <w:u w:val="single"/>
        </w:rPr>
      </w:pPr>
      <w:r w:rsidRPr="00A21381">
        <w:rPr>
          <w:rFonts w:ascii="Arial" w:eastAsiaTheme="minorHAnsi" w:hAnsi="Arial" w:cs="Arial"/>
          <w:u w:val="single"/>
        </w:rPr>
        <w:t>Some operators experience barriers to the sale or transfer of business</w:t>
      </w:r>
    </w:p>
    <w:p w:rsidR="00965175" w:rsidRPr="00A21381" w:rsidRDefault="00965175" w:rsidP="00B20589">
      <w:pPr>
        <w:rPr>
          <w:rFonts w:ascii="Arial" w:eastAsiaTheme="minorHAnsi" w:hAnsi="Arial" w:cs="Arial"/>
        </w:rPr>
      </w:pPr>
    </w:p>
    <w:p w:rsidR="00DD13E2" w:rsidRPr="00A21381" w:rsidRDefault="00965175" w:rsidP="00B20589">
      <w:pPr>
        <w:rPr>
          <w:rFonts w:ascii="Arial" w:eastAsiaTheme="minorHAnsi" w:hAnsi="Arial" w:cs="Arial"/>
        </w:rPr>
      </w:pPr>
      <w:r w:rsidRPr="00A21381">
        <w:rPr>
          <w:rFonts w:ascii="Arial" w:eastAsiaTheme="minorHAnsi" w:hAnsi="Arial" w:cs="Arial"/>
        </w:rPr>
        <w:t>One operator noted that it is difficult for small to medium business</w:t>
      </w:r>
      <w:r w:rsidR="00056DE2">
        <w:rPr>
          <w:rFonts w:ascii="Arial" w:eastAsiaTheme="minorHAnsi" w:hAnsi="Arial" w:cs="Arial"/>
        </w:rPr>
        <w:t>es</w:t>
      </w:r>
      <w:r w:rsidRPr="00A21381">
        <w:rPr>
          <w:rFonts w:ascii="Arial" w:eastAsiaTheme="minorHAnsi" w:hAnsi="Arial" w:cs="Arial"/>
        </w:rPr>
        <w:t xml:space="preserve"> to transfer the business to a family member or a new management team. They note the problem of transferring businesses as a reason why many companies close or are sold to a public company which can limit competition in the industry.</w:t>
      </w:r>
    </w:p>
    <w:p w:rsidR="00DD13E2" w:rsidRPr="00A21381" w:rsidRDefault="00DD13E2" w:rsidP="00B20589">
      <w:pPr>
        <w:rPr>
          <w:rFonts w:ascii="Arial" w:eastAsiaTheme="minorHAnsi" w:hAnsi="Arial" w:cs="Arial"/>
        </w:rPr>
      </w:pPr>
    </w:p>
    <w:p w:rsidR="00DD13E2" w:rsidRPr="00A21381" w:rsidRDefault="00DD13E2" w:rsidP="00B20589">
      <w:pPr>
        <w:rPr>
          <w:rFonts w:ascii="Arial" w:eastAsiaTheme="minorHAnsi" w:hAnsi="Arial" w:cs="Arial"/>
        </w:rPr>
      </w:pPr>
      <w:r w:rsidRPr="00A21381">
        <w:rPr>
          <w:rFonts w:ascii="Arial" w:eastAsiaTheme="minorHAnsi" w:hAnsi="Arial" w:cs="Arial"/>
        </w:rPr>
        <w:t>Another operator stated that there can be disruptions to sale with the previous owner of the business reneging on terms of the contract and i</w:t>
      </w:r>
      <w:r w:rsidR="00613AD2">
        <w:rPr>
          <w:rFonts w:ascii="Arial" w:eastAsiaTheme="minorHAnsi" w:hAnsi="Arial" w:cs="Arial"/>
        </w:rPr>
        <w:t>t being cost prohibitive for a six</w:t>
      </w:r>
      <w:r w:rsidRPr="00A21381">
        <w:rPr>
          <w:rFonts w:ascii="Arial" w:eastAsiaTheme="minorHAnsi" w:hAnsi="Arial" w:cs="Arial"/>
        </w:rPr>
        <w:t xml:space="preserve"> month old company to go to court. </w:t>
      </w:r>
    </w:p>
    <w:p w:rsidR="00750515" w:rsidRPr="00A21381" w:rsidRDefault="00750515" w:rsidP="00B20589">
      <w:pPr>
        <w:rPr>
          <w:rFonts w:ascii="Arial" w:eastAsiaTheme="minorHAnsi" w:hAnsi="Arial" w:cs="Arial"/>
        </w:rPr>
      </w:pPr>
    </w:p>
    <w:p w:rsidR="00750515" w:rsidRPr="00A21381" w:rsidRDefault="00750515" w:rsidP="00B20589">
      <w:pPr>
        <w:rPr>
          <w:rFonts w:ascii="Arial" w:eastAsiaTheme="minorHAnsi" w:hAnsi="Arial" w:cs="Arial"/>
          <w:u w:val="single"/>
        </w:rPr>
      </w:pPr>
      <w:r w:rsidRPr="00A21381">
        <w:rPr>
          <w:rFonts w:ascii="Arial" w:eastAsiaTheme="minorHAnsi" w:hAnsi="Arial" w:cs="Arial"/>
          <w:u w:val="single"/>
        </w:rPr>
        <w:t xml:space="preserve">One area that is affecting the viability of trucking businesses is payment terms in contracts. </w:t>
      </w:r>
    </w:p>
    <w:p w:rsidR="00947011" w:rsidRPr="00A21381" w:rsidRDefault="00947011" w:rsidP="00B20589">
      <w:pPr>
        <w:rPr>
          <w:rFonts w:ascii="Arial" w:eastAsiaTheme="minorHAnsi" w:hAnsi="Arial" w:cs="Arial"/>
        </w:rPr>
      </w:pPr>
    </w:p>
    <w:p w:rsidR="00750515" w:rsidRPr="00A21381" w:rsidRDefault="00750515" w:rsidP="00750515">
      <w:pPr>
        <w:rPr>
          <w:rFonts w:ascii="Arial" w:eastAsiaTheme="minorHAnsi" w:hAnsi="Arial" w:cs="Arial"/>
        </w:rPr>
      </w:pPr>
      <w:r w:rsidRPr="00A21381">
        <w:rPr>
          <w:rFonts w:ascii="Arial" w:eastAsiaTheme="minorHAnsi" w:hAnsi="Arial" w:cs="Arial"/>
        </w:rPr>
        <w:t>The majority of respondents stated that contract</w:t>
      </w:r>
      <w:r w:rsidR="006E7F59">
        <w:rPr>
          <w:rFonts w:ascii="Arial" w:eastAsiaTheme="minorHAnsi" w:hAnsi="Arial" w:cs="Arial"/>
        </w:rPr>
        <w:t>s</w:t>
      </w:r>
      <w:r w:rsidRPr="00A21381">
        <w:rPr>
          <w:rFonts w:ascii="Arial" w:eastAsiaTheme="minorHAnsi" w:hAnsi="Arial" w:cs="Arial"/>
        </w:rPr>
        <w:t xml:space="preserve"> </w:t>
      </w:r>
      <w:r w:rsidR="006E7F59">
        <w:rPr>
          <w:rFonts w:ascii="Arial" w:eastAsiaTheme="minorHAnsi" w:hAnsi="Arial" w:cs="Arial"/>
        </w:rPr>
        <w:t>are</w:t>
      </w:r>
      <w:r w:rsidRPr="00A21381">
        <w:rPr>
          <w:rFonts w:ascii="Arial" w:eastAsiaTheme="minorHAnsi" w:hAnsi="Arial" w:cs="Arial"/>
        </w:rPr>
        <w:t xml:space="preserve"> prepared by the client. Followed by contracts being prepared by the operator, followed by negation then finally followed by a standard form prepared by a third party. </w:t>
      </w:r>
    </w:p>
    <w:p w:rsidR="00750515" w:rsidRPr="00A21381" w:rsidRDefault="00750515" w:rsidP="00750515">
      <w:pPr>
        <w:rPr>
          <w:rFonts w:ascii="Arial" w:eastAsiaTheme="minorHAnsi" w:hAnsi="Arial" w:cs="Arial"/>
        </w:rPr>
      </w:pPr>
    </w:p>
    <w:p w:rsidR="00750515" w:rsidRPr="00A21381" w:rsidRDefault="00750515" w:rsidP="00750515">
      <w:pPr>
        <w:rPr>
          <w:rFonts w:ascii="Arial" w:eastAsiaTheme="minorHAnsi" w:hAnsi="Arial" w:cs="Arial"/>
        </w:rPr>
      </w:pPr>
      <w:r w:rsidRPr="00A21381">
        <w:rPr>
          <w:rFonts w:ascii="Arial" w:eastAsiaTheme="minorHAnsi" w:hAnsi="Arial" w:cs="Arial"/>
        </w:rPr>
        <w:t>In a question about the viability of a business being affected by the length of time it takes for an invoice to be paid. Many reported that the 28-30 day window when they normally received payment was ‘painful’, other</w:t>
      </w:r>
      <w:r w:rsidR="00441E31">
        <w:rPr>
          <w:rFonts w:ascii="Arial" w:eastAsiaTheme="minorHAnsi" w:hAnsi="Arial" w:cs="Arial"/>
        </w:rPr>
        <w:t>s</w:t>
      </w:r>
      <w:r w:rsidRPr="00A21381">
        <w:rPr>
          <w:rFonts w:ascii="Arial" w:eastAsiaTheme="minorHAnsi" w:hAnsi="Arial" w:cs="Arial"/>
        </w:rPr>
        <w:t xml:space="preserve"> report 45 days to 3 months. One operator stated even if you put 14 days on the invoice payment is still no quicker. Operators are also expected to pay upfront for fuel, vehicles, vehicle maintenance and other fees and the delayed payment stresses cash flow and operator’s obligations. </w:t>
      </w:r>
    </w:p>
    <w:p w:rsidR="00750515" w:rsidRPr="00A21381" w:rsidRDefault="00750515" w:rsidP="00750515">
      <w:pPr>
        <w:rPr>
          <w:rFonts w:ascii="Arial" w:eastAsiaTheme="minorHAnsi" w:hAnsi="Arial" w:cs="Arial"/>
        </w:rPr>
      </w:pPr>
    </w:p>
    <w:p w:rsidR="00750515" w:rsidRDefault="00750515" w:rsidP="00750515">
      <w:pPr>
        <w:rPr>
          <w:rFonts w:ascii="Arial" w:eastAsiaTheme="minorHAnsi" w:hAnsi="Arial" w:cs="Arial"/>
        </w:rPr>
      </w:pPr>
      <w:r w:rsidRPr="00A21381">
        <w:rPr>
          <w:rFonts w:ascii="Arial" w:eastAsiaTheme="minorHAnsi" w:hAnsi="Arial" w:cs="Arial"/>
        </w:rPr>
        <w:t xml:space="preserve">Operators suggested that having a standard contract with a maximum length for payments and legal penalties for not paying on time, pre-payment and electronic point of delivery systems would improve the current system. </w:t>
      </w:r>
    </w:p>
    <w:p w:rsidR="00613AD2" w:rsidRPr="00A21381" w:rsidRDefault="00613AD2" w:rsidP="00B20589">
      <w:pPr>
        <w:rPr>
          <w:rFonts w:ascii="Arial" w:eastAsiaTheme="minorHAnsi" w:hAnsi="Arial" w:cs="Arial"/>
        </w:rPr>
      </w:pPr>
    </w:p>
    <w:p w:rsidR="001440F0" w:rsidRPr="00A21381" w:rsidRDefault="00750515" w:rsidP="00B20589">
      <w:pPr>
        <w:rPr>
          <w:rFonts w:ascii="Arial" w:eastAsiaTheme="minorHAnsi" w:hAnsi="Arial" w:cs="Arial"/>
          <w:u w:val="single"/>
        </w:rPr>
      </w:pPr>
      <w:r w:rsidRPr="00A21381">
        <w:rPr>
          <w:rFonts w:ascii="Arial" w:eastAsiaTheme="minorHAnsi" w:hAnsi="Arial" w:cs="Arial"/>
          <w:u w:val="single"/>
        </w:rPr>
        <w:t xml:space="preserve">It has become harder to access finance for start-ups. </w:t>
      </w:r>
    </w:p>
    <w:p w:rsidR="000A4409" w:rsidRPr="00A21381" w:rsidRDefault="000A4409" w:rsidP="00B20589">
      <w:pPr>
        <w:rPr>
          <w:rFonts w:ascii="Arial" w:eastAsiaTheme="minorHAnsi" w:hAnsi="Arial" w:cs="Arial"/>
        </w:rPr>
      </w:pPr>
    </w:p>
    <w:p w:rsidR="000A4409" w:rsidRDefault="00750515" w:rsidP="00B20589">
      <w:pPr>
        <w:rPr>
          <w:rFonts w:ascii="Arial" w:eastAsiaTheme="minorHAnsi" w:hAnsi="Arial" w:cs="Arial"/>
        </w:rPr>
      </w:pPr>
      <w:r w:rsidRPr="00A21381">
        <w:rPr>
          <w:rFonts w:ascii="Arial" w:eastAsiaTheme="minorHAnsi" w:hAnsi="Arial" w:cs="Arial"/>
        </w:rPr>
        <w:t>While o</w:t>
      </w:r>
      <w:r w:rsidR="000A4409" w:rsidRPr="00A21381">
        <w:rPr>
          <w:rFonts w:ascii="Arial" w:eastAsiaTheme="minorHAnsi" w:hAnsi="Arial" w:cs="Arial"/>
        </w:rPr>
        <w:t xml:space="preserve">perators stated that industry </w:t>
      </w:r>
      <w:r w:rsidR="00441E31">
        <w:rPr>
          <w:rFonts w:ascii="Arial" w:eastAsiaTheme="minorHAnsi" w:hAnsi="Arial" w:cs="Arial"/>
        </w:rPr>
        <w:t>needs to be aware of the cost of</w:t>
      </w:r>
      <w:r w:rsidR="000A4409" w:rsidRPr="00A21381">
        <w:rPr>
          <w:rFonts w:ascii="Arial" w:eastAsiaTheme="minorHAnsi" w:hAnsi="Arial" w:cs="Arial"/>
        </w:rPr>
        <w:t xml:space="preserve"> tyres and vehicle maintenance if business</w:t>
      </w:r>
      <w:r w:rsidRPr="00A21381">
        <w:rPr>
          <w:rFonts w:ascii="Arial" w:eastAsiaTheme="minorHAnsi" w:hAnsi="Arial" w:cs="Arial"/>
        </w:rPr>
        <w:t>es want to be successful, they did raise concerns about the availability and terms of lending.</w:t>
      </w:r>
    </w:p>
    <w:p w:rsidR="00750515" w:rsidRPr="00A21381" w:rsidRDefault="00750515" w:rsidP="00B20589">
      <w:pPr>
        <w:rPr>
          <w:rFonts w:ascii="Arial" w:eastAsiaTheme="minorHAnsi" w:hAnsi="Arial" w:cs="Arial"/>
        </w:rPr>
      </w:pPr>
    </w:p>
    <w:p w:rsidR="000A4409" w:rsidRPr="00A21381" w:rsidRDefault="00750515" w:rsidP="00B20589">
      <w:pPr>
        <w:rPr>
          <w:rFonts w:ascii="Arial" w:eastAsiaTheme="minorHAnsi" w:hAnsi="Arial" w:cs="Arial"/>
        </w:rPr>
      </w:pPr>
      <w:r w:rsidRPr="00A21381">
        <w:rPr>
          <w:rFonts w:ascii="Arial" w:eastAsiaTheme="minorHAnsi" w:hAnsi="Arial" w:cs="Arial"/>
        </w:rPr>
        <w:t>The industry operates on tight profit margins and operators said that no one want</w:t>
      </w:r>
      <w:r w:rsidR="00441E31">
        <w:rPr>
          <w:rFonts w:ascii="Arial" w:eastAsiaTheme="minorHAnsi" w:hAnsi="Arial" w:cs="Arial"/>
        </w:rPr>
        <w:t>s</w:t>
      </w:r>
      <w:r w:rsidRPr="00A21381">
        <w:rPr>
          <w:rFonts w:ascii="Arial" w:eastAsiaTheme="minorHAnsi" w:hAnsi="Arial" w:cs="Arial"/>
        </w:rPr>
        <w:t xml:space="preserve"> to lend out money when starting up. Additionally, </w:t>
      </w:r>
      <w:r w:rsidR="00BC16FB" w:rsidRPr="00A21381">
        <w:rPr>
          <w:rFonts w:ascii="Arial" w:eastAsiaTheme="minorHAnsi" w:hAnsi="Arial" w:cs="Arial"/>
        </w:rPr>
        <w:t>operators said the need to have a guarantor with clout can be hard to find for someone starting out. One operator felt that multi-nationals had less problems in accessing finance than small fleet sole traders.</w:t>
      </w:r>
    </w:p>
    <w:p w:rsidR="000A4409" w:rsidRPr="00A21381" w:rsidRDefault="000A4409" w:rsidP="00B20589">
      <w:pPr>
        <w:rPr>
          <w:rFonts w:ascii="Arial" w:eastAsiaTheme="minorHAnsi" w:hAnsi="Arial" w:cs="Arial"/>
        </w:rPr>
      </w:pPr>
    </w:p>
    <w:p w:rsidR="00BC16FB" w:rsidRPr="00A21381" w:rsidRDefault="00BC16FB" w:rsidP="00B20589">
      <w:pPr>
        <w:rPr>
          <w:rFonts w:ascii="Arial" w:eastAsiaTheme="minorHAnsi" w:hAnsi="Arial" w:cs="Arial"/>
        </w:rPr>
      </w:pPr>
      <w:r w:rsidRPr="00A21381">
        <w:rPr>
          <w:rFonts w:ascii="Arial" w:eastAsiaTheme="minorHAnsi" w:hAnsi="Arial" w:cs="Arial"/>
        </w:rPr>
        <w:t xml:space="preserve">Operators also stated that the reporting requirements banks expect can also be onerous when starting out. </w:t>
      </w:r>
    </w:p>
    <w:p w:rsidR="00485B5E" w:rsidRPr="00A21381" w:rsidRDefault="00485B5E" w:rsidP="00B20589">
      <w:pPr>
        <w:rPr>
          <w:rFonts w:ascii="Arial" w:eastAsiaTheme="minorHAnsi" w:hAnsi="Arial" w:cs="Arial"/>
        </w:rPr>
      </w:pPr>
    </w:p>
    <w:p w:rsidR="00C745E0" w:rsidRDefault="00C745E0" w:rsidP="00B20589">
      <w:pPr>
        <w:rPr>
          <w:rFonts w:ascii="Arial" w:eastAsiaTheme="minorHAnsi" w:hAnsi="Arial" w:cs="Arial"/>
        </w:rPr>
      </w:pPr>
      <w:r w:rsidRPr="00A21381">
        <w:rPr>
          <w:rFonts w:ascii="Arial" w:eastAsiaTheme="minorHAnsi" w:hAnsi="Arial" w:cs="Arial"/>
        </w:rPr>
        <w:t xml:space="preserve">Paying off an asset </w:t>
      </w:r>
      <w:r w:rsidR="00441E31">
        <w:rPr>
          <w:rFonts w:ascii="Arial" w:eastAsiaTheme="minorHAnsi" w:hAnsi="Arial" w:cs="Arial"/>
        </w:rPr>
        <w:t>is</w:t>
      </w:r>
      <w:r w:rsidRPr="00A21381">
        <w:rPr>
          <w:rFonts w:ascii="Arial" w:eastAsiaTheme="minorHAnsi" w:hAnsi="Arial" w:cs="Arial"/>
        </w:rPr>
        <w:t xml:space="preserve"> difficult with accessing finance as operators </w:t>
      </w:r>
      <w:r w:rsidR="00613AD2">
        <w:rPr>
          <w:rFonts w:ascii="Arial" w:eastAsiaTheme="minorHAnsi" w:hAnsi="Arial" w:cs="Arial"/>
        </w:rPr>
        <w:t>cannot</w:t>
      </w:r>
      <w:r w:rsidRPr="00A21381">
        <w:rPr>
          <w:rFonts w:ascii="Arial" w:eastAsiaTheme="minorHAnsi" w:hAnsi="Arial" w:cs="Arial"/>
        </w:rPr>
        <w:t xml:space="preserve"> move forward replacing equipment requires cash – no one want</w:t>
      </w:r>
      <w:r w:rsidR="00441E31">
        <w:rPr>
          <w:rFonts w:ascii="Arial" w:eastAsiaTheme="minorHAnsi" w:hAnsi="Arial" w:cs="Arial"/>
        </w:rPr>
        <w:t>s</w:t>
      </w:r>
      <w:r w:rsidRPr="00A21381">
        <w:rPr>
          <w:rFonts w:ascii="Arial" w:eastAsiaTheme="minorHAnsi" w:hAnsi="Arial" w:cs="Arial"/>
        </w:rPr>
        <w:t xml:space="preserve"> to drive aging equipment. </w:t>
      </w:r>
    </w:p>
    <w:p w:rsidR="00613AD2" w:rsidRPr="00A21381" w:rsidRDefault="00613AD2" w:rsidP="00B20589">
      <w:pPr>
        <w:rPr>
          <w:rFonts w:ascii="Arial" w:eastAsiaTheme="minorHAnsi" w:hAnsi="Arial" w:cs="Arial"/>
        </w:rPr>
      </w:pPr>
    </w:p>
    <w:p w:rsidR="003A4982" w:rsidRDefault="003A4982" w:rsidP="00B20589">
      <w:pPr>
        <w:rPr>
          <w:rFonts w:ascii="Arial" w:eastAsiaTheme="minorHAnsi" w:hAnsi="Arial" w:cs="Arial"/>
        </w:rPr>
      </w:pPr>
    </w:p>
    <w:p w:rsidR="000A4409" w:rsidRPr="001440F0" w:rsidRDefault="001440F0" w:rsidP="001440F0">
      <w:pPr>
        <w:pStyle w:val="Heading1"/>
        <w:rPr>
          <w:szCs w:val="22"/>
        </w:rPr>
      </w:pPr>
      <w:bookmarkStart w:id="6" w:name="_Toc412794710"/>
      <w:r w:rsidRPr="001440F0">
        <w:rPr>
          <w:szCs w:val="22"/>
        </w:rPr>
        <w:lastRenderedPageBreak/>
        <w:t>What the Government needs to do</w:t>
      </w:r>
      <w:r w:rsidR="0078459F">
        <w:rPr>
          <w:szCs w:val="22"/>
        </w:rPr>
        <w:t xml:space="preserve"> to address the issues</w:t>
      </w:r>
      <w:bookmarkEnd w:id="6"/>
    </w:p>
    <w:p w:rsidR="00CF717D" w:rsidRDefault="00CF717D" w:rsidP="00B20589">
      <w:pPr>
        <w:rPr>
          <w:rFonts w:ascii="Arial" w:eastAsiaTheme="minorHAnsi" w:hAnsi="Arial" w:cs="Arial"/>
        </w:rPr>
      </w:pPr>
    </w:p>
    <w:p w:rsidR="00CF717D" w:rsidRDefault="00CF717D" w:rsidP="00B20589">
      <w:pPr>
        <w:rPr>
          <w:rFonts w:ascii="Arial" w:hAnsi="Arial" w:cs="Arial"/>
        </w:rPr>
      </w:pPr>
      <w:r>
        <w:rPr>
          <w:rFonts w:ascii="Arial" w:eastAsiaTheme="minorHAnsi" w:hAnsi="Arial" w:cs="Arial"/>
        </w:rPr>
        <w:t>Small businesses are unduly burdened by paperwork and tax compliance. Small businesses are eligible for concessions</w:t>
      </w:r>
      <w:r w:rsidR="00DB14FE">
        <w:rPr>
          <w:rFonts w:ascii="Arial" w:eastAsiaTheme="minorHAnsi" w:hAnsi="Arial" w:cs="Arial"/>
        </w:rPr>
        <w:t xml:space="preserve">. </w:t>
      </w:r>
      <w:r w:rsidR="00FD42F4" w:rsidRPr="00776D75">
        <w:rPr>
          <w:rFonts w:ascii="Arial" w:hAnsi="Arial" w:cs="Arial"/>
        </w:rPr>
        <w:t xml:space="preserve">There are a range of actions the government can do to support entrepreneurial </w:t>
      </w:r>
      <w:r w:rsidR="00441E31">
        <w:rPr>
          <w:rFonts w:ascii="Arial" w:hAnsi="Arial" w:cs="Arial"/>
        </w:rPr>
        <w:t>activities</w:t>
      </w:r>
      <w:r w:rsidR="00FD42F4" w:rsidRPr="00776D75">
        <w:rPr>
          <w:rFonts w:ascii="Arial" w:hAnsi="Arial" w:cs="Arial"/>
        </w:rPr>
        <w:t xml:space="preserve"> by removing red tape and excess compliance for small business</w:t>
      </w:r>
      <w:r w:rsidR="00DB14FE">
        <w:rPr>
          <w:rFonts w:ascii="Arial" w:hAnsi="Arial" w:cs="Arial"/>
        </w:rPr>
        <w:t xml:space="preserve">. </w:t>
      </w:r>
    </w:p>
    <w:p w:rsidR="00FD42F4" w:rsidRDefault="00FD42F4" w:rsidP="00B20589">
      <w:pPr>
        <w:rPr>
          <w:rFonts w:ascii="Arial" w:eastAsiaTheme="minorHAnsi" w:hAnsi="Arial" w:cs="Arial"/>
        </w:rPr>
      </w:pPr>
    </w:p>
    <w:p w:rsidR="00FD42F4" w:rsidRPr="003A4982" w:rsidRDefault="003A4982" w:rsidP="003A4982">
      <w:pPr>
        <w:pStyle w:val="Heading1"/>
        <w:numPr>
          <w:ilvl w:val="0"/>
          <w:numId w:val="0"/>
        </w:numPr>
        <w:ind w:left="360" w:hanging="360"/>
        <w:rPr>
          <w:sz w:val="24"/>
          <w:szCs w:val="22"/>
        </w:rPr>
      </w:pPr>
      <w:bookmarkStart w:id="7" w:name="_Toc412794711"/>
      <w:r w:rsidRPr="003A4982">
        <w:rPr>
          <w:sz w:val="24"/>
          <w:szCs w:val="22"/>
        </w:rPr>
        <w:t xml:space="preserve">6.1 </w:t>
      </w:r>
      <w:r w:rsidR="00FD42F4" w:rsidRPr="003A4982">
        <w:rPr>
          <w:sz w:val="24"/>
          <w:szCs w:val="22"/>
        </w:rPr>
        <w:t>Increase the small business turnover threshold to $3 million</w:t>
      </w:r>
      <w:bookmarkEnd w:id="7"/>
      <w:r w:rsidR="00FD42F4" w:rsidRPr="003A4982">
        <w:rPr>
          <w:sz w:val="24"/>
          <w:szCs w:val="22"/>
        </w:rPr>
        <w:t xml:space="preserve"> </w:t>
      </w:r>
    </w:p>
    <w:p w:rsidR="00FD42F4" w:rsidRPr="00776D75" w:rsidRDefault="00FD42F4" w:rsidP="00FD42F4">
      <w:pPr>
        <w:rPr>
          <w:rFonts w:ascii="Arial" w:hAnsi="Arial" w:cs="Arial"/>
        </w:rPr>
      </w:pPr>
    </w:p>
    <w:p w:rsidR="00FD42F4" w:rsidRPr="00776D75" w:rsidRDefault="00DB14FE" w:rsidP="00FD42F4">
      <w:pPr>
        <w:rPr>
          <w:rFonts w:ascii="Arial" w:hAnsi="Arial" w:cs="Arial"/>
        </w:rPr>
      </w:pPr>
      <w:r>
        <w:rPr>
          <w:rFonts w:ascii="Arial" w:hAnsi="Arial" w:cs="Arial"/>
        </w:rPr>
        <w:t>Small businesses receive</w:t>
      </w:r>
      <w:r w:rsidR="00FD42F4" w:rsidRPr="00776D75">
        <w:rPr>
          <w:rFonts w:ascii="Arial" w:hAnsi="Arial" w:cs="Arial"/>
        </w:rPr>
        <w:t xml:space="preserve"> tax concessions and additional help in completing their tax responsibilities. However, the current small business turnover threshold of $2 million (excluding GST) does not fully capture businesses that should be classified as ‘small’.  </w:t>
      </w:r>
    </w:p>
    <w:p w:rsidR="00FD42F4" w:rsidRPr="00776D75" w:rsidRDefault="00FD42F4" w:rsidP="00FD42F4">
      <w:pPr>
        <w:rPr>
          <w:rFonts w:ascii="Arial" w:hAnsi="Arial" w:cs="Arial"/>
        </w:rPr>
      </w:pPr>
    </w:p>
    <w:p w:rsidR="00FD42F4" w:rsidRPr="00776D75" w:rsidRDefault="00FD42F4" w:rsidP="00FD42F4">
      <w:pPr>
        <w:rPr>
          <w:rFonts w:ascii="Arial" w:hAnsi="Arial" w:cs="Arial"/>
        </w:rPr>
      </w:pPr>
      <w:r w:rsidRPr="00776D75">
        <w:rPr>
          <w:rFonts w:ascii="Arial" w:hAnsi="Arial" w:cs="Arial"/>
        </w:rPr>
        <w:t xml:space="preserve">A trucking company can have turnover of more than $2 million; </w:t>
      </w:r>
      <w:r w:rsidR="00C126E5" w:rsidRPr="00776D75">
        <w:rPr>
          <w:rFonts w:ascii="Arial" w:hAnsi="Arial" w:cs="Arial"/>
        </w:rPr>
        <w:t>yet</w:t>
      </w:r>
      <w:r w:rsidRPr="00776D75">
        <w:rPr>
          <w:rFonts w:ascii="Arial" w:hAnsi="Arial" w:cs="Arial"/>
        </w:rPr>
        <w:t xml:space="preserve"> it may employ fewer than 20 workers. The amount of turnover is considerable but the resources available to complete tax administration, including business activity statements, superannuation payments and other tax responsibilities may not be sophisticated. </w:t>
      </w:r>
    </w:p>
    <w:p w:rsidR="00FD42F4" w:rsidRPr="00776D75" w:rsidRDefault="00FD42F4" w:rsidP="00FD42F4">
      <w:pPr>
        <w:rPr>
          <w:rFonts w:ascii="Arial" w:hAnsi="Arial" w:cs="Arial"/>
        </w:rPr>
      </w:pPr>
    </w:p>
    <w:p w:rsidR="00FD42F4" w:rsidRPr="00776D75" w:rsidRDefault="00FD42F4" w:rsidP="00FD42F4">
      <w:r w:rsidRPr="00776D75">
        <w:rPr>
          <w:rFonts w:ascii="Arial" w:hAnsi="Arial" w:cs="Arial"/>
        </w:rPr>
        <w:t>In</w:t>
      </w:r>
      <w:r w:rsidR="00EE675F">
        <w:rPr>
          <w:rFonts w:ascii="Arial" w:hAnsi="Arial" w:cs="Arial"/>
        </w:rPr>
        <w:t xml:space="preserve"> Australia's Future Tax System (AFTS)</w:t>
      </w:r>
      <w:r w:rsidR="00EE675F" w:rsidRPr="00EE675F">
        <w:rPr>
          <w:rFonts w:ascii="Arial" w:hAnsi="Arial" w:cs="Arial"/>
        </w:rPr>
        <w:t xml:space="preserve"> review</w:t>
      </w:r>
      <w:r w:rsidRPr="00776D75">
        <w:rPr>
          <w:rFonts w:ascii="Arial" w:hAnsi="Arial" w:cs="Arial"/>
        </w:rPr>
        <w:t xml:space="preserve"> published in 2009 it was recommended that the small business turnover threshold be increased from $2 million to $5 million. This year the Board of Taxation released a review of tax impediments facing small business report </w:t>
      </w:r>
      <w:r w:rsidR="00AF38D4">
        <w:rPr>
          <w:rFonts w:ascii="Arial" w:hAnsi="Arial" w:cs="Arial"/>
        </w:rPr>
        <w:t xml:space="preserve">that </w:t>
      </w:r>
      <w:r w:rsidRPr="00776D75">
        <w:rPr>
          <w:rFonts w:ascii="Arial" w:hAnsi="Arial" w:cs="Arial"/>
        </w:rPr>
        <w:t>reiterated the point that the $2 million turnover threshold for small business is out of date.</w:t>
      </w:r>
      <w:r w:rsidR="007C2538">
        <w:rPr>
          <w:rFonts w:ascii="Arial" w:hAnsi="Arial" w:cs="Arial"/>
        </w:rPr>
        <w:t xml:space="preserve"> Stakeholders also recommended that the turnover threshold could be indexed</w:t>
      </w:r>
      <w:r w:rsidR="00613AD2">
        <w:rPr>
          <w:rFonts w:ascii="Arial" w:hAnsi="Arial" w:cs="Arial"/>
        </w:rPr>
        <w:t xml:space="preserve"> by CPI.</w:t>
      </w:r>
      <w:r w:rsidRPr="00776D75">
        <w:rPr>
          <w:rFonts w:ascii="Arial" w:hAnsi="Arial" w:cs="Arial"/>
        </w:rPr>
        <w:t xml:space="preserve"> The Board recommended the threshold be increased to $3 million as this would achieve a reasonable balance and provide a degree of future proofing. The Board also recommended that there should be further investigation of the feasibility of an increase to $5 million.</w:t>
      </w:r>
      <w:r w:rsidRPr="00776D75">
        <w:t xml:space="preserve"> </w:t>
      </w:r>
    </w:p>
    <w:p w:rsidR="00FD42F4" w:rsidRPr="00776D75" w:rsidRDefault="00FD42F4" w:rsidP="00FD42F4">
      <w:pPr>
        <w:rPr>
          <w:rFonts w:ascii="Arial" w:hAnsi="Arial" w:cs="Arial"/>
        </w:rPr>
      </w:pPr>
    </w:p>
    <w:p w:rsidR="00FD42F4" w:rsidRPr="00776D75" w:rsidRDefault="00FD42F4" w:rsidP="00FD42F4">
      <w:pPr>
        <w:rPr>
          <w:rFonts w:ascii="Arial" w:hAnsi="Arial" w:cs="Arial"/>
          <w:b/>
        </w:rPr>
      </w:pPr>
      <w:r w:rsidRPr="00776D75">
        <w:rPr>
          <w:rFonts w:ascii="Arial" w:hAnsi="Arial" w:cs="Arial"/>
          <w:b/>
        </w:rPr>
        <w:t>Recommendation</w:t>
      </w:r>
      <w:r w:rsidR="00EE675F">
        <w:rPr>
          <w:rFonts w:ascii="Arial" w:hAnsi="Arial" w:cs="Arial"/>
          <w:b/>
        </w:rPr>
        <w:t xml:space="preserve"> 1</w:t>
      </w:r>
    </w:p>
    <w:p w:rsidR="00FD42F4" w:rsidRPr="00776D75" w:rsidRDefault="00FD42F4" w:rsidP="00FD42F4">
      <w:pPr>
        <w:rPr>
          <w:rFonts w:ascii="Arial" w:hAnsi="Arial" w:cs="Arial"/>
        </w:rPr>
      </w:pPr>
    </w:p>
    <w:p w:rsidR="00056DE2" w:rsidRPr="00056DE2" w:rsidRDefault="00056DE2" w:rsidP="00056DE2">
      <w:pPr>
        <w:rPr>
          <w:rFonts w:ascii="Arial" w:hAnsi="Arial" w:cs="Arial"/>
        </w:rPr>
      </w:pPr>
      <w:r w:rsidRPr="00056DE2">
        <w:rPr>
          <w:rFonts w:ascii="Arial" w:hAnsi="Arial" w:cs="Arial"/>
        </w:rPr>
        <w:t>The small business turnover threshold should be increased to $3 million. The feasibility of an increase to $5 million should be investigated.</w:t>
      </w:r>
    </w:p>
    <w:p w:rsidR="00613AD2" w:rsidRDefault="00613AD2" w:rsidP="00B20589">
      <w:pPr>
        <w:rPr>
          <w:rFonts w:ascii="Arial" w:eastAsiaTheme="minorHAnsi" w:hAnsi="Arial" w:cs="Arial"/>
        </w:rPr>
      </w:pPr>
    </w:p>
    <w:p w:rsidR="00FD42F4" w:rsidRPr="003A4982" w:rsidRDefault="003A4982" w:rsidP="003A4982">
      <w:pPr>
        <w:pStyle w:val="Heading1"/>
        <w:numPr>
          <w:ilvl w:val="0"/>
          <w:numId w:val="0"/>
        </w:numPr>
        <w:ind w:left="360" w:hanging="360"/>
        <w:rPr>
          <w:sz w:val="24"/>
          <w:szCs w:val="22"/>
        </w:rPr>
      </w:pPr>
      <w:bookmarkStart w:id="8" w:name="_Toc412794712"/>
      <w:r w:rsidRPr="003A4982">
        <w:rPr>
          <w:sz w:val="24"/>
          <w:szCs w:val="22"/>
        </w:rPr>
        <w:t xml:space="preserve">6.2 </w:t>
      </w:r>
      <w:r w:rsidR="00552251">
        <w:rPr>
          <w:sz w:val="24"/>
          <w:szCs w:val="22"/>
        </w:rPr>
        <w:t>Review the efficiency of P</w:t>
      </w:r>
      <w:r w:rsidR="00FD42F4" w:rsidRPr="003A4982">
        <w:rPr>
          <w:sz w:val="24"/>
          <w:szCs w:val="22"/>
        </w:rPr>
        <w:t>ayroll tax</w:t>
      </w:r>
      <w:bookmarkEnd w:id="8"/>
    </w:p>
    <w:p w:rsidR="00FD42F4" w:rsidRDefault="00FD42F4" w:rsidP="00B20589">
      <w:pPr>
        <w:rPr>
          <w:rFonts w:ascii="Arial" w:eastAsiaTheme="minorHAnsi" w:hAnsi="Arial" w:cs="Arial"/>
        </w:rPr>
      </w:pPr>
    </w:p>
    <w:p w:rsidR="00DC4480" w:rsidRDefault="00FD42F4" w:rsidP="00FD42F4">
      <w:pPr>
        <w:rPr>
          <w:rFonts w:ascii="Arial" w:eastAsiaTheme="minorHAnsi" w:hAnsi="Arial" w:cs="Arial"/>
        </w:rPr>
      </w:pPr>
      <w:r>
        <w:rPr>
          <w:rFonts w:ascii="Arial" w:eastAsiaTheme="minorHAnsi" w:hAnsi="Arial" w:cs="Arial"/>
        </w:rPr>
        <w:t xml:space="preserve">Payroll tax continues to be controversial and </w:t>
      </w:r>
      <w:r w:rsidR="00AF38D4">
        <w:rPr>
          <w:rFonts w:ascii="Arial" w:eastAsiaTheme="minorHAnsi" w:hAnsi="Arial" w:cs="Arial"/>
        </w:rPr>
        <w:t>is</w:t>
      </w:r>
      <w:r>
        <w:rPr>
          <w:rFonts w:ascii="Arial" w:eastAsiaTheme="minorHAnsi" w:hAnsi="Arial" w:cs="Arial"/>
        </w:rPr>
        <w:t xml:space="preserve"> seen as an impediment to the growth of business activities. The jurisdictional diff</w:t>
      </w:r>
      <w:r w:rsidR="00DC4480">
        <w:rPr>
          <w:rFonts w:ascii="Arial" w:eastAsiaTheme="minorHAnsi" w:hAnsi="Arial" w:cs="Arial"/>
        </w:rPr>
        <w:t>erences in the p</w:t>
      </w:r>
      <w:r>
        <w:rPr>
          <w:rFonts w:ascii="Arial" w:eastAsiaTheme="minorHAnsi" w:hAnsi="Arial" w:cs="Arial"/>
        </w:rPr>
        <w:t xml:space="preserve">ayroll tax rate is a </w:t>
      </w:r>
      <w:r w:rsidR="00C126E5">
        <w:rPr>
          <w:rFonts w:ascii="Arial" w:eastAsiaTheme="minorHAnsi" w:hAnsi="Arial" w:cs="Arial"/>
        </w:rPr>
        <w:t>nuisance</w:t>
      </w:r>
      <w:r>
        <w:rPr>
          <w:rFonts w:ascii="Arial" w:eastAsiaTheme="minorHAnsi" w:hAnsi="Arial" w:cs="Arial"/>
        </w:rPr>
        <w:t xml:space="preserve"> for businesses who operate in multiple states as well. </w:t>
      </w:r>
    </w:p>
    <w:p w:rsidR="00DC4480" w:rsidRDefault="00DC4480" w:rsidP="00FD42F4">
      <w:pPr>
        <w:rPr>
          <w:rFonts w:ascii="Arial" w:eastAsiaTheme="minorHAnsi" w:hAnsi="Arial" w:cs="Arial"/>
        </w:rPr>
      </w:pPr>
    </w:p>
    <w:p w:rsidR="00DC4480" w:rsidRDefault="00DC4480" w:rsidP="00FD42F4">
      <w:pPr>
        <w:rPr>
          <w:rFonts w:ascii="Arial" w:eastAsiaTheme="minorHAnsi" w:hAnsi="Arial" w:cs="Arial"/>
        </w:rPr>
      </w:pPr>
      <w:r>
        <w:rPr>
          <w:rFonts w:ascii="Arial" w:eastAsiaTheme="minorHAnsi" w:hAnsi="Arial" w:cs="Arial"/>
        </w:rPr>
        <w:t xml:space="preserve">In </w:t>
      </w:r>
      <w:r w:rsidR="00EE675F">
        <w:rPr>
          <w:rFonts w:ascii="Arial" w:eastAsiaTheme="minorHAnsi" w:hAnsi="Arial" w:cs="Arial"/>
        </w:rPr>
        <w:t>AFTS</w:t>
      </w:r>
      <w:r w:rsidR="00C126E5">
        <w:rPr>
          <w:rFonts w:ascii="Arial" w:eastAsiaTheme="minorHAnsi" w:hAnsi="Arial" w:cs="Arial"/>
        </w:rPr>
        <w:t xml:space="preserve"> </w:t>
      </w:r>
      <w:r>
        <w:rPr>
          <w:rFonts w:ascii="Arial" w:eastAsiaTheme="minorHAnsi" w:hAnsi="Arial" w:cs="Arial"/>
        </w:rPr>
        <w:t xml:space="preserve">it was recommended that </w:t>
      </w:r>
      <w:r w:rsidR="006E7F59">
        <w:rPr>
          <w:rFonts w:ascii="Arial" w:eastAsiaTheme="minorHAnsi" w:hAnsi="Arial" w:cs="Arial"/>
        </w:rPr>
        <w:t>s</w:t>
      </w:r>
      <w:r w:rsidRPr="00DC4480">
        <w:rPr>
          <w:rFonts w:ascii="Arial" w:eastAsiaTheme="minorHAnsi" w:hAnsi="Arial" w:cs="Arial"/>
        </w:rPr>
        <w:t>tate payroll taxes should eventually be replaced with revenue from more efficient broad-based taxes</w:t>
      </w:r>
      <w:r w:rsidR="00A42701">
        <w:rPr>
          <w:rFonts w:ascii="Arial" w:eastAsiaTheme="minorHAnsi" w:hAnsi="Arial" w:cs="Arial"/>
        </w:rPr>
        <w:t>.</w:t>
      </w:r>
      <w:r w:rsidR="00C126E5">
        <w:rPr>
          <w:rStyle w:val="FootnoteReference"/>
          <w:rFonts w:ascii="Arial" w:eastAsiaTheme="minorHAnsi" w:hAnsi="Arial"/>
        </w:rPr>
        <w:footnoteReference w:id="9"/>
      </w:r>
      <w:r>
        <w:rPr>
          <w:rFonts w:ascii="Arial" w:eastAsiaTheme="minorHAnsi" w:hAnsi="Arial" w:cs="Arial"/>
        </w:rPr>
        <w:t xml:space="preserve"> </w:t>
      </w:r>
    </w:p>
    <w:p w:rsidR="00DC4480" w:rsidRDefault="00DC4480" w:rsidP="00FD42F4">
      <w:pPr>
        <w:rPr>
          <w:rFonts w:ascii="Arial" w:eastAsiaTheme="minorHAnsi" w:hAnsi="Arial" w:cs="Arial"/>
        </w:rPr>
      </w:pPr>
    </w:p>
    <w:p w:rsidR="00DC4480" w:rsidRDefault="00FD42F4" w:rsidP="00FD42F4">
      <w:r>
        <w:rPr>
          <w:rFonts w:ascii="Arial" w:eastAsiaTheme="minorHAnsi" w:hAnsi="Arial" w:cs="Arial"/>
        </w:rPr>
        <w:t xml:space="preserve">In the review of Tax Impediments Facing Small Business </w:t>
      </w:r>
      <w:r w:rsidR="00DC4480">
        <w:rPr>
          <w:rFonts w:ascii="Arial" w:eastAsiaTheme="minorHAnsi" w:hAnsi="Arial" w:cs="Arial"/>
        </w:rPr>
        <w:t xml:space="preserve">stakeholders said </w:t>
      </w:r>
      <w:r w:rsidR="00DC4480" w:rsidRPr="00776D75">
        <w:rPr>
          <w:rFonts w:ascii="Arial" w:eastAsiaTheme="minorHAnsi" w:hAnsi="Arial" w:cs="Arial"/>
        </w:rPr>
        <w:t>‘payroll</w:t>
      </w:r>
      <w:r w:rsidRPr="00776D75">
        <w:rPr>
          <w:rFonts w:ascii="Arial" w:eastAsiaTheme="minorHAnsi" w:hAnsi="Arial" w:cs="Arial"/>
        </w:rPr>
        <w:t xml:space="preserve"> tax is a significant handbrake on small businesses employing more people that will trigger a payroll tax liability.’</w:t>
      </w:r>
      <w:r w:rsidR="00C126E5">
        <w:rPr>
          <w:rStyle w:val="FootnoteReference"/>
        </w:rPr>
        <w:footnoteReference w:id="10"/>
      </w:r>
    </w:p>
    <w:p w:rsidR="00DC4480" w:rsidRDefault="00DC4480" w:rsidP="00FD42F4"/>
    <w:p w:rsidR="00DC4480" w:rsidRDefault="00DC4480" w:rsidP="00FD42F4">
      <w:pPr>
        <w:rPr>
          <w:rFonts w:ascii="Arial" w:eastAsiaTheme="minorHAnsi" w:hAnsi="Arial" w:cs="Arial"/>
        </w:rPr>
      </w:pPr>
      <w:r w:rsidRPr="00DC4480">
        <w:rPr>
          <w:rFonts w:ascii="Arial" w:eastAsiaTheme="minorHAnsi" w:hAnsi="Arial" w:cs="Arial"/>
        </w:rPr>
        <w:t>Many stakeholders in the Board of Taxation report proposed a range of actions to improve payroll tax, including it being abolished and monies being recovered through broadening of the GST base</w:t>
      </w:r>
      <w:r>
        <w:rPr>
          <w:rFonts w:ascii="Arial" w:eastAsiaTheme="minorHAnsi" w:hAnsi="Arial" w:cs="Arial"/>
        </w:rPr>
        <w:t xml:space="preserve">. </w:t>
      </w:r>
      <w:r w:rsidR="00613AD2">
        <w:rPr>
          <w:rFonts w:ascii="Arial" w:eastAsiaTheme="minorHAnsi" w:hAnsi="Arial" w:cs="Arial"/>
        </w:rPr>
        <w:t>Broadening the GST is outside the scope of this submission, but a good strep forward</w:t>
      </w:r>
      <w:r>
        <w:rPr>
          <w:rFonts w:ascii="Arial" w:eastAsiaTheme="minorHAnsi" w:hAnsi="Arial" w:cs="Arial"/>
        </w:rPr>
        <w:t xml:space="preserve"> would be to harmonise rates and thresholds</w:t>
      </w:r>
      <w:r w:rsidR="00EC427E">
        <w:rPr>
          <w:rFonts w:ascii="Arial" w:eastAsiaTheme="minorHAnsi" w:hAnsi="Arial" w:cs="Arial"/>
        </w:rPr>
        <w:t>,</w:t>
      </w:r>
      <w:r>
        <w:rPr>
          <w:rFonts w:ascii="Arial" w:eastAsiaTheme="minorHAnsi" w:hAnsi="Arial" w:cs="Arial"/>
        </w:rPr>
        <w:t xml:space="preserve"> and </w:t>
      </w:r>
      <w:r w:rsidRPr="00DC4480">
        <w:rPr>
          <w:rFonts w:ascii="Arial" w:eastAsiaTheme="minorHAnsi" w:hAnsi="Arial" w:cs="Arial"/>
        </w:rPr>
        <w:t>having one centra</w:t>
      </w:r>
      <w:r w:rsidR="00AF38D4">
        <w:rPr>
          <w:rFonts w:ascii="Arial" w:eastAsiaTheme="minorHAnsi" w:hAnsi="Arial" w:cs="Arial"/>
        </w:rPr>
        <w:t xml:space="preserve">l administrator for payroll tax. </w:t>
      </w:r>
      <w:r w:rsidR="005227BF">
        <w:rPr>
          <w:rFonts w:ascii="Arial" w:eastAsiaTheme="minorHAnsi" w:hAnsi="Arial" w:cs="Arial"/>
        </w:rPr>
        <w:t>This</w:t>
      </w:r>
      <w:r w:rsidRPr="00DC4480">
        <w:rPr>
          <w:rFonts w:ascii="Arial" w:eastAsiaTheme="minorHAnsi" w:hAnsi="Arial" w:cs="Arial"/>
        </w:rPr>
        <w:t xml:space="preserve"> could be a role for the </w:t>
      </w:r>
      <w:r w:rsidR="00EC427E" w:rsidRPr="00EC427E">
        <w:rPr>
          <w:rFonts w:ascii="Arial" w:eastAsiaTheme="minorHAnsi" w:hAnsi="Arial" w:cs="Arial"/>
        </w:rPr>
        <w:t>Australian Tax Office (ATO)</w:t>
      </w:r>
      <w:r w:rsidRPr="00DC4480">
        <w:rPr>
          <w:rFonts w:ascii="Arial" w:eastAsiaTheme="minorHAnsi" w:hAnsi="Arial" w:cs="Arial"/>
        </w:rPr>
        <w:t>.</w:t>
      </w:r>
      <w:r w:rsidR="004C377A">
        <w:rPr>
          <w:rStyle w:val="FootnoteReference"/>
        </w:rPr>
        <w:footnoteReference w:id="11"/>
      </w:r>
    </w:p>
    <w:p w:rsidR="00613AD2" w:rsidRDefault="00613AD2" w:rsidP="00FD42F4">
      <w:pPr>
        <w:rPr>
          <w:rFonts w:ascii="Arial" w:eastAsiaTheme="minorHAnsi" w:hAnsi="Arial" w:cs="Arial"/>
        </w:rPr>
      </w:pPr>
    </w:p>
    <w:p w:rsidR="00613AD2" w:rsidRDefault="00613AD2" w:rsidP="00FD42F4">
      <w:pPr>
        <w:rPr>
          <w:rFonts w:ascii="Arial" w:eastAsiaTheme="minorHAnsi" w:hAnsi="Arial" w:cs="Arial"/>
        </w:rPr>
      </w:pPr>
    </w:p>
    <w:p w:rsidR="006E7F59" w:rsidRDefault="006E7F59" w:rsidP="00FD42F4">
      <w:pPr>
        <w:rPr>
          <w:rFonts w:ascii="Arial" w:eastAsiaTheme="minorHAnsi" w:hAnsi="Arial" w:cs="Arial"/>
        </w:rPr>
      </w:pPr>
    </w:p>
    <w:p w:rsidR="00DC4480" w:rsidRPr="00DC4480" w:rsidRDefault="00DC4480" w:rsidP="00FD42F4">
      <w:pPr>
        <w:rPr>
          <w:rFonts w:ascii="Arial" w:eastAsiaTheme="minorHAnsi" w:hAnsi="Arial" w:cs="Arial"/>
          <w:b/>
        </w:rPr>
      </w:pPr>
      <w:r w:rsidRPr="00DC4480">
        <w:rPr>
          <w:rFonts w:ascii="Arial" w:eastAsiaTheme="minorHAnsi" w:hAnsi="Arial" w:cs="Arial"/>
          <w:b/>
        </w:rPr>
        <w:lastRenderedPageBreak/>
        <w:t>Recommendation</w:t>
      </w:r>
      <w:r w:rsidR="00EE675F">
        <w:rPr>
          <w:rFonts w:ascii="Arial" w:eastAsiaTheme="minorHAnsi" w:hAnsi="Arial" w:cs="Arial"/>
          <w:b/>
        </w:rPr>
        <w:t xml:space="preserve"> 2</w:t>
      </w:r>
    </w:p>
    <w:p w:rsidR="00DC4480" w:rsidRDefault="00DC4480" w:rsidP="00FD42F4">
      <w:pPr>
        <w:rPr>
          <w:rFonts w:ascii="Arial" w:eastAsiaTheme="minorHAnsi" w:hAnsi="Arial" w:cs="Arial"/>
        </w:rPr>
      </w:pPr>
    </w:p>
    <w:p w:rsidR="00DC4480" w:rsidRDefault="00DC4480" w:rsidP="00FD42F4">
      <w:pPr>
        <w:rPr>
          <w:rFonts w:ascii="Arial" w:eastAsiaTheme="minorHAnsi" w:hAnsi="Arial" w:cs="Arial"/>
        </w:rPr>
      </w:pPr>
      <w:r>
        <w:rPr>
          <w:rFonts w:ascii="Arial" w:eastAsiaTheme="minorHAnsi" w:hAnsi="Arial" w:cs="Arial"/>
        </w:rPr>
        <w:t xml:space="preserve">Payroll tax rates should be harmonised across jurisdictions and a central administrator should process the tax. </w:t>
      </w:r>
    </w:p>
    <w:p w:rsidR="00613AD2" w:rsidRDefault="00613AD2" w:rsidP="00FD42F4">
      <w:pPr>
        <w:rPr>
          <w:rFonts w:ascii="Arial" w:eastAsiaTheme="minorHAnsi" w:hAnsi="Arial" w:cs="Arial"/>
        </w:rPr>
      </w:pPr>
    </w:p>
    <w:p w:rsidR="005A76C2" w:rsidRPr="003A4982" w:rsidRDefault="003A4982" w:rsidP="003A4982">
      <w:pPr>
        <w:pStyle w:val="Heading1"/>
        <w:numPr>
          <w:ilvl w:val="0"/>
          <w:numId w:val="0"/>
        </w:numPr>
        <w:ind w:left="360" w:hanging="360"/>
        <w:rPr>
          <w:sz w:val="24"/>
          <w:szCs w:val="22"/>
        </w:rPr>
      </w:pPr>
      <w:bookmarkStart w:id="9" w:name="_Toc412794713"/>
      <w:r w:rsidRPr="003A4982">
        <w:rPr>
          <w:sz w:val="24"/>
          <w:szCs w:val="22"/>
        </w:rPr>
        <w:t xml:space="preserve">6.3 </w:t>
      </w:r>
      <w:r w:rsidR="008850A1" w:rsidRPr="003A4982">
        <w:rPr>
          <w:sz w:val="24"/>
          <w:szCs w:val="22"/>
        </w:rPr>
        <w:t xml:space="preserve">Remove </w:t>
      </w:r>
      <w:r w:rsidR="006E7F59">
        <w:rPr>
          <w:sz w:val="24"/>
          <w:szCs w:val="22"/>
        </w:rPr>
        <w:t>s</w:t>
      </w:r>
      <w:r w:rsidR="005A76C2" w:rsidRPr="003A4982">
        <w:rPr>
          <w:sz w:val="24"/>
          <w:szCs w:val="22"/>
        </w:rPr>
        <w:t>tamp duty</w:t>
      </w:r>
      <w:r w:rsidR="008850A1" w:rsidRPr="003A4982">
        <w:rPr>
          <w:sz w:val="24"/>
          <w:szCs w:val="22"/>
        </w:rPr>
        <w:t xml:space="preserve"> on purchases and replace it with a broader tax</w:t>
      </w:r>
      <w:bookmarkEnd w:id="9"/>
    </w:p>
    <w:p w:rsidR="005A76C2" w:rsidRDefault="005A76C2" w:rsidP="00FD42F4">
      <w:pPr>
        <w:rPr>
          <w:rFonts w:ascii="Arial" w:eastAsiaTheme="minorHAnsi" w:hAnsi="Arial" w:cs="Arial"/>
        </w:rPr>
      </w:pPr>
    </w:p>
    <w:p w:rsidR="008850A1" w:rsidRDefault="008850A1" w:rsidP="00FD42F4">
      <w:pPr>
        <w:rPr>
          <w:rFonts w:ascii="Arial" w:eastAsiaTheme="minorHAnsi" w:hAnsi="Arial" w:cs="Arial"/>
        </w:rPr>
      </w:pPr>
      <w:r>
        <w:rPr>
          <w:rFonts w:ascii="Arial" w:eastAsiaTheme="minorHAnsi" w:hAnsi="Arial" w:cs="Arial"/>
        </w:rPr>
        <w:t xml:space="preserve">Stamp duty is charged on a range of transactions such as insurance, property transfer and heavy vehicle purchases. </w:t>
      </w:r>
    </w:p>
    <w:p w:rsidR="008850A1" w:rsidRDefault="008850A1" w:rsidP="00FD42F4">
      <w:pPr>
        <w:rPr>
          <w:rFonts w:ascii="Arial" w:eastAsiaTheme="minorHAnsi" w:hAnsi="Arial" w:cs="Arial"/>
        </w:rPr>
      </w:pPr>
    </w:p>
    <w:p w:rsidR="005A76C2" w:rsidRDefault="005A76C2" w:rsidP="00FD42F4">
      <w:pPr>
        <w:rPr>
          <w:rFonts w:ascii="Arial" w:eastAsiaTheme="minorHAnsi" w:hAnsi="Arial" w:cs="Arial"/>
        </w:rPr>
      </w:pPr>
      <w:r>
        <w:rPr>
          <w:rFonts w:ascii="Arial" w:eastAsiaTheme="minorHAnsi" w:hAnsi="Arial" w:cs="Arial"/>
        </w:rPr>
        <w:t xml:space="preserve">Stamp duty along with </w:t>
      </w:r>
      <w:r w:rsidR="006E7F59">
        <w:rPr>
          <w:rFonts w:ascii="Arial" w:eastAsiaTheme="minorHAnsi" w:hAnsi="Arial" w:cs="Arial"/>
        </w:rPr>
        <w:t>p</w:t>
      </w:r>
      <w:r>
        <w:rPr>
          <w:rFonts w:ascii="Arial" w:eastAsiaTheme="minorHAnsi" w:hAnsi="Arial" w:cs="Arial"/>
        </w:rPr>
        <w:t>ayroll tax is an inefficient tax that does not seek to recover a certain cost only revenue raise</w:t>
      </w:r>
      <w:r w:rsidR="008850A1">
        <w:rPr>
          <w:rFonts w:ascii="Arial" w:eastAsiaTheme="minorHAnsi" w:hAnsi="Arial" w:cs="Arial"/>
        </w:rPr>
        <w:t xml:space="preserve"> and inhibits growth of businesses</w:t>
      </w:r>
      <w:r>
        <w:rPr>
          <w:rFonts w:ascii="Arial" w:eastAsiaTheme="minorHAnsi" w:hAnsi="Arial" w:cs="Arial"/>
        </w:rPr>
        <w:t xml:space="preserve">. The AFTS review recommended that stamp duty be replaced with </w:t>
      </w:r>
      <w:r w:rsidR="006E7F59">
        <w:rPr>
          <w:rFonts w:ascii="Arial" w:eastAsiaTheme="minorHAnsi" w:hAnsi="Arial" w:cs="Arial"/>
        </w:rPr>
        <w:t>a more</w:t>
      </w:r>
      <w:r>
        <w:rPr>
          <w:rFonts w:ascii="Arial" w:eastAsiaTheme="minorHAnsi" w:hAnsi="Arial" w:cs="Arial"/>
        </w:rPr>
        <w:t xml:space="preserve"> efficient and equitable</w:t>
      </w:r>
      <w:r w:rsidR="006E7F59">
        <w:rPr>
          <w:rFonts w:ascii="Arial" w:eastAsiaTheme="minorHAnsi" w:hAnsi="Arial" w:cs="Arial"/>
        </w:rPr>
        <w:t xml:space="preserve"> tax</w:t>
      </w:r>
      <w:r>
        <w:rPr>
          <w:rFonts w:ascii="Arial" w:eastAsiaTheme="minorHAnsi" w:hAnsi="Arial" w:cs="Arial"/>
        </w:rPr>
        <w:t xml:space="preserve">. As stated in the </w:t>
      </w:r>
      <w:r w:rsidR="00AF38D4">
        <w:rPr>
          <w:rFonts w:ascii="Arial" w:eastAsiaTheme="minorHAnsi" w:hAnsi="Arial" w:cs="Arial"/>
        </w:rPr>
        <w:t xml:space="preserve">operator </w:t>
      </w:r>
      <w:r>
        <w:rPr>
          <w:rFonts w:ascii="Arial" w:eastAsiaTheme="minorHAnsi" w:hAnsi="Arial" w:cs="Arial"/>
        </w:rPr>
        <w:t>survey response</w:t>
      </w:r>
      <w:r w:rsidR="00AF38D4">
        <w:rPr>
          <w:rFonts w:ascii="Arial" w:eastAsiaTheme="minorHAnsi" w:hAnsi="Arial" w:cs="Arial"/>
        </w:rPr>
        <w:t>s</w:t>
      </w:r>
      <w:r w:rsidR="00613AD2">
        <w:rPr>
          <w:rFonts w:ascii="Arial" w:eastAsiaTheme="minorHAnsi" w:hAnsi="Arial" w:cs="Arial"/>
        </w:rPr>
        <w:t>,</w:t>
      </w:r>
      <w:r>
        <w:rPr>
          <w:rFonts w:ascii="Arial" w:eastAsiaTheme="minorHAnsi" w:hAnsi="Arial" w:cs="Arial"/>
        </w:rPr>
        <w:t xml:space="preserve"> the removal of stamp duty on new trailers was seen as supporting businesses. However, the continuation</w:t>
      </w:r>
      <w:r w:rsidR="008850A1">
        <w:rPr>
          <w:rFonts w:ascii="Arial" w:eastAsiaTheme="minorHAnsi" w:hAnsi="Arial" w:cs="Arial"/>
        </w:rPr>
        <w:t xml:space="preserve"> of stamp duty on </w:t>
      </w:r>
      <w:r w:rsidR="00EE675F">
        <w:rPr>
          <w:rFonts w:ascii="Arial" w:eastAsiaTheme="minorHAnsi" w:hAnsi="Arial" w:cs="Arial"/>
        </w:rPr>
        <w:t xml:space="preserve">other new and </w:t>
      </w:r>
      <w:r w:rsidR="008850A1">
        <w:rPr>
          <w:rFonts w:ascii="Arial" w:eastAsiaTheme="minorHAnsi" w:hAnsi="Arial" w:cs="Arial"/>
        </w:rPr>
        <w:t xml:space="preserve">used vehicles is a considerable sum for operators to provide and may stop operators updating </w:t>
      </w:r>
      <w:r w:rsidR="00613AD2">
        <w:rPr>
          <w:rFonts w:ascii="Arial" w:eastAsiaTheme="minorHAnsi" w:hAnsi="Arial" w:cs="Arial"/>
        </w:rPr>
        <w:t>their</w:t>
      </w:r>
      <w:r w:rsidR="008850A1">
        <w:rPr>
          <w:rFonts w:ascii="Arial" w:eastAsiaTheme="minorHAnsi" w:hAnsi="Arial" w:cs="Arial"/>
        </w:rPr>
        <w:t xml:space="preserve"> fleet</w:t>
      </w:r>
      <w:r w:rsidR="00613AD2">
        <w:rPr>
          <w:rFonts w:ascii="Arial" w:eastAsiaTheme="minorHAnsi" w:hAnsi="Arial" w:cs="Arial"/>
        </w:rPr>
        <w:t>s</w:t>
      </w:r>
      <w:r w:rsidR="008850A1">
        <w:rPr>
          <w:rFonts w:ascii="Arial" w:eastAsiaTheme="minorHAnsi" w:hAnsi="Arial" w:cs="Arial"/>
        </w:rPr>
        <w:t xml:space="preserve">. </w:t>
      </w:r>
    </w:p>
    <w:p w:rsidR="008850A1" w:rsidRDefault="008850A1" w:rsidP="008850A1">
      <w:pPr>
        <w:rPr>
          <w:rFonts w:ascii="Arial" w:hAnsi="Arial" w:cs="Arial"/>
        </w:rPr>
      </w:pPr>
    </w:p>
    <w:p w:rsidR="00AD772D" w:rsidRPr="00AD772D" w:rsidRDefault="00AD772D" w:rsidP="008850A1">
      <w:pPr>
        <w:rPr>
          <w:rFonts w:ascii="Arial" w:hAnsi="Arial" w:cs="Arial"/>
          <w:b/>
        </w:rPr>
      </w:pPr>
      <w:r w:rsidRPr="00AD772D">
        <w:rPr>
          <w:rFonts w:ascii="Arial" w:hAnsi="Arial" w:cs="Arial"/>
          <w:b/>
        </w:rPr>
        <w:t xml:space="preserve">Recommendation </w:t>
      </w:r>
      <w:r w:rsidR="00EE675F">
        <w:rPr>
          <w:rFonts w:ascii="Arial" w:hAnsi="Arial" w:cs="Arial"/>
          <w:b/>
        </w:rPr>
        <w:t>3</w:t>
      </w:r>
    </w:p>
    <w:p w:rsidR="00AD772D" w:rsidRDefault="00AD772D" w:rsidP="008850A1">
      <w:pPr>
        <w:rPr>
          <w:rFonts w:ascii="Arial" w:hAnsi="Arial" w:cs="Arial"/>
        </w:rPr>
      </w:pPr>
    </w:p>
    <w:p w:rsidR="00AD772D" w:rsidRDefault="006E7F59" w:rsidP="008850A1">
      <w:pPr>
        <w:rPr>
          <w:rFonts w:ascii="Arial" w:hAnsi="Arial" w:cs="Arial"/>
        </w:rPr>
      </w:pPr>
      <w:r w:rsidRPr="006E7F59">
        <w:rPr>
          <w:rFonts w:ascii="Arial" w:hAnsi="Arial" w:cs="Arial"/>
        </w:rPr>
        <w:t>The Productivity Commission should investigate further the effect of stamp duty on business and recommend ways to alleviate the effect of stamp duties on business growth</w:t>
      </w:r>
      <w:r w:rsidR="00E270A8">
        <w:rPr>
          <w:rFonts w:ascii="Arial" w:hAnsi="Arial" w:cs="Arial"/>
        </w:rPr>
        <w:t>.</w:t>
      </w:r>
    </w:p>
    <w:p w:rsidR="00613AD2" w:rsidRPr="00613AD2" w:rsidRDefault="00613AD2" w:rsidP="00613AD2"/>
    <w:p w:rsidR="008850A1" w:rsidRPr="003A4982" w:rsidRDefault="003A4982" w:rsidP="003A4982">
      <w:pPr>
        <w:pStyle w:val="Heading1"/>
        <w:numPr>
          <w:ilvl w:val="0"/>
          <w:numId w:val="0"/>
        </w:numPr>
        <w:ind w:left="360" w:hanging="360"/>
        <w:rPr>
          <w:sz w:val="24"/>
          <w:szCs w:val="22"/>
        </w:rPr>
      </w:pPr>
      <w:bookmarkStart w:id="10" w:name="_Toc412794714"/>
      <w:r>
        <w:rPr>
          <w:sz w:val="24"/>
          <w:szCs w:val="22"/>
        </w:rPr>
        <w:t xml:space="preserve">6.4 </w:t>
      </w:r>
      <w:r w:rsidR="008056CD" w:rsidRPr="003A4982">
        <w:rPr>
          <w:sz w:val="24"/>
          <w:szCs w:val="22"/>
        </w:rPr>
        <w:t>Remove red tape for individuals wanting to start a business</w:t>
      </w:r>
      <w:bookmarkEnd w:id="10"/>
    </w:p>
    <w:p w:rsidR="008056CD" w:rsidRDefault="008056CD" w:rsidP="00FD42F4">
      <w:pPr>
        <w:rPr>
          <w:rFonts w:ascii="Arial" w:hAnsi="Arial" w:cs="Arial"/>
        </w:rPr>
      </w:pPr>
    </w:p>
    <w:p w:rsidR="00264A3B" w:rsidRDefault="008056CD" w:rsidP="008056CD">
      <w:pPr>
        <w:rPr>
          <w:rFonts w:ascii="Arial" w:hAnsi="Arial" w:cs="Arial"/>
        </w:rPr>
      </w:pPr>
      <w:r>
        <w:rPr>
          <w:rFonts w:ascii="Arial" w:hAnsi="Arial" w:cs="Arial"/>
        </w:rPr>
        <w:t xml:space="preserve">The first step for </w:t>
      </w:r>
      <w:r w:rsidR="00AF38D4">
        <w:rPr>
          <w:rFonts w:ascii="Arial" w:hAnsi="Arial" w:cs="Arial"/>
        </w:rPr>
        <w:t>individuals</w:t>
      </w:r>
      <w:r>
        <w:rPr>
          <w:rFonts w:ascii="Arial" w:hAnsi="Arial" w:cs="Arial"/>
        </w:rPr>
        <w:t xml:space="preserve"> wishing to start a business is to obtain an Australian Business Number (ABN). However, t</w:t>
      </w:r>
      <w:r w:rsidR="005C1810">
        <w:rPr>
          <w:rFonts w:ascii="Arial" w:hAnsi="Arial" w:cs="Arial"/>
        </w:rPr>
        <w:t>he Board of T</w:t>
      </w:r>
      <w:r w:rsidRPr="008056CD">
        <w:rPr>
          <w:rFonts w:ascii="Arial" w:hAnsi="Arial" w:cs="Arial"/>
        </w:rPr>
        <w:t>axation stated that ‘the difficulty for some small business</w:t>
      </w:r>
      <w:r w:rsidR="00AF38D4">
        <w:rPr>
          <w:rFonts w:ascii="Arial" w:hAnsi="Arial" w:cs="Arial"/>
        </w:rPr>
        <w:t>es</w:t>
      </w:r>
      <w:r w:rsidRPr="008056CD">
        <w:rPr>
          <w:rFonts w:ascii="Arial" w:hAnsi="Arial" w:cs="Arial"/>
        </w:rPr>
        <w:t xml:space="preserve"> in obtaining an ABN can</w:t>
      </w:r>
      <w:r w:rsidR="00AF38D4">
        <w:rPr>
          <w:rFonts w:ascii="Arial" w:hAnsi="Arial" w:cs="Arial"/>
        </w:rPr>
        <w:t xml:space="preserve"> be a barrier for small business</w:t>
      </w:r>
      <w:r w:rsidRPr="008056CD">
        <w:rPr>
          <w:rFonts w:ascii="Arial" w:hAnsi="Arial" w:cs="Arial"/>
        </w:rPr>
        <w:t xml:space="preserve"> when they are most vulnerable in the start in phase. This can have significant ramifications such as not being able to obtain a business name, being ineligible to obtain business inputs at wholesale prices and being unable to claim input tax credits.</w:t>
      </w:r>
      <w:r w:rsidRPr="008056CD">
        <w:rPr>
          <w:rFonts w:ascii="Arial" w:hAnsi="Arial" w:cs="Arial"/>
          <w:vertAlign w:val="superscript"/>
        </w:rPr>
        <w:footnoteReference w:id="12"/>
      </w:r>
      <w:r>
        <w:rPr>
          <w:rFonts w:ascii="Arial" w:hAnsi="Arial" w:cs="Arial"/>
        </w:rPr>
        <w:t xml:space="preserve"> </w:t>
      </w:r>
    </w:p>
    <w:p w:rsidR="00264A3B" w:rsidRDefault="00264A3B" w:rsidP="008056CD">
      <w:pPr>
        <w:rPr>
          <w:rFonts w:ascii="Arial" w:hAnsi="Arial" w:cs="Arial"/>
        </w:rPr>
      </w:pPr>
    </w:p>
    <w:p w:rsidR="005C1810" w:rsidRDefault="00CF0714" w:rsidP="008056CD">
      <w:pPr>
        <w:rPr>
          <w:rFonts w:ascii="Arial" w:hAnsi="Arial" w:cs="Arial"/>
        </w:rPr>
      </w:pPr>
      <w:r w:rsidRPr="00CF0714">
        <w:rPr>
          <w:rFonts w:ascii="Arial" w:hAnsi="Arial" w:cs="Arial"/>
        </w:rPr>
        <w:t xml:space="preserve">Essentially, </w:t>
      </w:r>
      <w:r>
        <w:rPr>
          <w:rFonts w:ascii="Arial" w:hAnsi="Arial" w:cs="Arial"/>
        </w:rPr>
        <w:t>individuals</w:t>
      </w:r>
      <w:r w:rsidRPr="00CF0714">
        <w:rPr>
          <w:rFonts w:ascii="Arial" w:hAnsi="Arial" w:cs="Arial"/>
        </w:rPr>
        <w:t xml:space="preserve"> can</w:t>
      </w:r>
      <w:r>
        <w:rPr>
          <w:rFonts w:ascii="Arial" w:hAnsi="Arial" w:cs="Arial"/>
        </w:rPr>
        <w:t xml:space="preserve">not </w:t>
      </w:r>
      <w:r w:rsidR="00C579C2">
        <w:rPr>
          <w:rFonts w:ascii="Arial" w:hAnsi="Arial" w:cs="Arial"/>
        </w:rPr>
        <w:t>obtain</w:t>
      </w:r>
      <w:r w:rsidRPr="00CF0714">
        <w:rPr>
          <w:rFonts w:ascii="Arial" w:hAnsi="Arial" w:cs="Arial"/>
        </w:rPr>
        <w:t xml:space="preserve"> an ABN </w:t>
      </w:r>
      <w:r w:rsidR="00264A3B">
        <w:rPr>
          <w:rFonts w:ascii="Arial" w:hAnsi="Arial" w:cs="Arial"/>
        </w:rPr>
        <w:t>unless they are carrying on an enterprise or have taken significant steps to commence one, such as signing contracts, issuing invoices or purchasing equipment. In many cases, though, an individual cannot do these things without already holding an ABN.</w:t>
      </w:r>
    </w:p>
    <w:p w:rsidR="005C1810" w:rsidRDefault="005C1810" w:rsidP="008056CD">
      <w:pPr>
        <w:rPr>
          <w:rFonts w:ascii="Arial" w:hAnsi="Arial" w:cs="Arial"/>
        </w:rPr>
      </w:pPr>
    </w:p>
    <w:p w:rsidR="008056CD" w:rsidRDefault="008056CD" w:rsidP="008056CD">
      <w:pPr>
        <w:rPr>
          <w:rFonts w:ascii="Arial" w:hAnsi="Arial" w:cs="Arial"/>
        </w:rPr>
      </w:pPr>
      <w:r>
        <w:rPr>
          <w:rFonts w:ascii="Arial" w:hAnsi="Arial" w:cs="Arial"/>
        </w:rPr>
        <w:t xml:space="preserve">The Board recommended that </w:t>
      </w:r>
      <w:r w:rsidRPr="008056CD">
        <w:rPr>
          <w:rFonts w:ascii="Arial" w:hAnsi="Arial" w:cs="Arial"/>
        </w:rPr>
        <w:t xml:space="preserve">there may be opportunities to relax the ABN registration process requirements for individuals and partnerships </w:t>
      </w:r>
      <w:r>
        <w:rPr>
          <w:rFonts w:ascii="Arial" w:hAnsi="Arial" w:cs="Arial"/>
        </w:rPr>
        <w:t xml:space="preserve">by allowing individuals to </w:t>
      </w:r>
      <w:r w:rsidRPr="008056CD">
        <w:rPr>
          <w:rFonts w:ascii="Arial" w:hAnsi="Arial" w:cs="Arial"/>
        </w:rPr>
        <w:t>simply state</w:t>
      </w:r>
      <w:r w:rsidR="00613AD2">
        <w:rPr>
          <w:rFonts w:ascii="Arial" w:hAnsi="Arial" w:cs="Arial"/>
        </w:rPr>
        <w:t xml:space="preserve"> their</w:t>
      </w:r>
      <w:r w:rsidRPr="008056CD">
        <w:rPr>
          <w:rFonts w:ascii="Arial" w:hAnsi="Arial" w:cs="Arial"/>
        </w:rPr>
        <w:t xml:space="preserve"> intent to carry out </w:t>
      </w:r>
      <w:r w:rsidR="00613AD2">
        <w:rPr>
          <w:rFonts w:ascii="Arial" w:hAnsi="Arial" w:cs="Arial"/>
        </w:rPr>
        <w:t xml:space="preserve">an </w:t>
      </w:r>
      <w:r w:rsidRPr="008056CD">
        <w:rPr>
          <w:rFonts w:ascii="Arial" w:hAnsi="Arial" w:cs="Arial"/>
        </w:rPr>
        <w:t xml:space="preserve">enterprise </w:t>
      </w:r>
      <w:r w:rsidR="00613AD2">
        <w:rPr>
          <w:rFonts w:ascii="Arial" w:hAnsi="Arial" w:cs="Arial"/>
        </w:rPr>
        <w:t>to become</w:t>
      </w:r>
      <w:r w:rsidRPr="008056CD">
        <w:rPr>
          <w:rFonts w:ascii="Arial" w:hAnsi="Arial" w:cs="Arial"/>
        </w:rPr>
        <w:t xml:space="preserve"> eligible for an ABN. The Board also recommended that the </w:t>
      </w:r>
      <w:r w:rsidR="00EC427E">
        <w:rPr>
          <w:rFonts w:ascii="Arial" w:hAnsi="Arial" w:cs="Arial"/>
        </w:rPr>
        <w:t>ATO</w:t>
      </w:r>
      <w:r w:rsidR="00AF38D4">
        <w:rPr>
          <w:rFonts w:ascii="Arial" w:hAnsi="Arial" w:cs="Arial"/>
        </w:rPr>
        <w:t xml:space="preserve"> provide a hotline so that when</w:t>
      </w:r>
      <w:r w:rsidRPr="008056CD">
        <w:rPr>
          <w:rFonts w:ascii="Arial" w:hAnsi="Arial" w:cs="Arial"/>
        </w:rPr>
        <w:t xml:space="preserve"> an application has to be issue</w:t>
      </w:r>
      <w:r w:rsidR="00AF38D4">
        <w:rPr>
          <w:rFonts w:ascii="Arial" w:hAnsi="Arial" w:cs="Arial"/>
        </w:rPr>
        <w:t>d</w:t>
      </w:r>
      <w:r w:rsidRPr="008056CD">
        <w:rPr>
          <w:rFonts w:ascii="Arial" w:hAnsi="Arial" w:cs="Arial"/>
        </w:rPr>
        <w:t xml:space="preserve"> in circumstances where it is important to the applicant it be issue</w:t>
      </w:r>
      <w:r w:rsidR="00AF38D4">
        <w:rPr>
          <w:rFonts w:ascii="Arial" w:hAnsi="Arial" w:cs="Arial"/>
        </w:rPr>
        <w:t>d</w:t>
      </w:r>
      <w:r w:rsidRPr="008056CD">
        <w:rPr>
          <w:rFonts w:ascii="Arial" w:hAnsi="Arial" w:cs="Arial"/>
        </w:rPr>
        <w:t xml:space="preserve"> urgently, or is rejected, there is ac</w:t>
      </w:r>
      <w:r w:rsidR="005C1810">
        <w:rPr>
          <w:rFonts w:ascii="Arial" w:hAnsi="Arial" w:cs="Arial"/>
        </w:rPr>
        <w:t>cess to the ATO for assistance.</w:t>
      </w:r>
      <w:r w:rsidRPr="008056CD">
        <w:rPr>
          <w:rStyle w:val="FootnoteReference"/>
          <w:rFonts w:ascii="Arial" w:hAnsi="Arial" w:cs="Arial"/>
        </w:rPr>
        <w:footnoteReference w:id="13"/>
      </w:r>
      <w:r w:rsidR="005C1810">
        <w:rPr>
          <w:rFonts w:ascii="Arial" w:hAnsi="Arial" w:cs="Arial"/>
        </w:rPr>
        <w:t xml:space="preserve"> These actions should reduce the red tape and give support to </w:t>
      </w:r>
      <w:r w:rsidR="006E7F59">
        <w:rPr>
          <w:rFonts w:ascii="Arial" w:hAnsi="Arial" w:cs="Arial"/>
        </w:rPr>
        <w:t>i</w:t>
      </w:r>
      <w:r w:rsidR="005C1810">
        <w:rPr>
          <w:rFonts w:ascii="Arial" w:hAnsi="Arial" w:cs="Arial"/>
        </w:rPr>
        <w:t xml:space="preserve">ndividuals seeking to set up a business. </w:t>
      </w:r>
      <w:r w:rsidRPr="008056CD">
        <w:rPr>
          <w:rFonts w:ascii="Arial" w:hAnsi="Arial" w:cs="Arial"/>
        </w:rPr>
        <w:t xml:space="preserve"> </w:t>
      </w:r>
    </w:p>
    <w:p w:rsidR="00AD772D" w:rsidRDefault="00AD772D" w:rsidP="008056CD">
      <w:pPr>
        <w:rPr>
          <w:rFonts w:ascii="Arial" w:hAnsi="Arial" w:cs="Arial"/>
        </w:rPr>
      </w:pPr>
    </w:p>
    <w:p w:rsidR="00AD772D" w:rsidRPr="00DE1D68" w:rsidRDefault="00AD772D" w:rsidP="008056CD">
      <w:pPr>
        <w:rPr>
          <w:rFonts w:ascii="Arial" w:hAnsi="Arial" w:cs="Arial"/>
          <w:b/>
        </w:rPr>
      </w:pPr>
      <w:r w:rsidRPr="00DE1D68">
        <w:rPr>
          <w:rFonts w:ascii="Arial" w:hAnsi="Arial" w:cs="Arial"/>
          <w:b/>
        </w:rPr>
        <w:t>Recommendation</w:t>
      </w:r>
      <w:r w:rsidR="005C1810">
        <w:rPr>
          <w:rFonts w:ascii="Arial" w:hAnsi="Arial" w:cs="Arial"/>
          <w:b/>
        </w:rPr>
        <w:t xml:space="preserve"> 4</w:t>
      </w:r>
    </w:p>
    <w:p w:rsidR="00AD772D" w:rsidRDefault="00AD772D" w:rsidP="008056CD">
      <w:pPr>
        <w:rPr>
          <w:rFonts w:ascii="Arial" w:hAnsi="Arial" w:cs="Arial"/>
        </w:rPr>
      </w:pPr>
    </w:p>
    <w:p w:rsidR="003A4982" w:rsidRDefault="00056DE2" w:rsidP="008056CD">
      <w:pPr>
        <w:rPr>
          <w:rFonts w:ascii="Arial" w:hAnsi="Arial" w:cs="Arial"/>
        </w:rPr>
      </w:pPr>
      <w:r w:rsidRPr="00056DE2">
        <w:rPr>
          <w:rFonts w:ascii="Arial" w:hAnsi="Arial" w:cs="Arial"/>
        </w:rPr>
        <w:t xml:space="preserve">Australian Business Number (ABN) arrangements should be amended to allow individuals to register for an ABN with the </w:t>
      </w:r>
      <w:r w:rsidRPr="00056DE2">
        <w:rPr>
          <w:rFonts w:ascii="Arial" w:hAnsi="Arial" w:cs="Arial"/>
          <w:i/>
        </w:rPr>
        <w:t>intent</w:t>
      </w:r>
      <w:r w:rsidRPr="00056DE2">
        <w:rPr>
          <w:rFonts w:ascii="Arial" w:hAnsi="Arial" w:cs="Arial"/>
        </w:rPr>
        <w:t xml:space="preserve"> of carrying out an enterprise</w:t>
      </w:r>
    </w:p>
    <w:p w:rsidR="008056CD" w:rsidRDefault="008056CD" w:rsidP="008056CD">
      <w:pPr>
        <w:rPr>
          <w:rFonts w:ascii="Arial" w:hAnsi="Arial" w:cs="Arial"/>
        </w:rPr>
      </w:pPr>
    </w:p>
    <w:p w:rsidR="00613AD2" w:rsidRDefault="00613AD2" w:rsidP="008056CD">
      <w:pPr>
        <w:rPr>
          <w:rFonts w:ascii="Arial" w:hAnsi="Arial" w:cs="Arial"/>
        </w:rPr>
      </w:pPr>
    </w:p>
    <w:p w:rsidR="00AD772D" w:rsidRPr="003A4982" w:rsidRDefault="003A4982" w:rsidP="00264A3B">
      <w:pPr>
        <w:pStyle w:val="Heading1"/>
        <w:keepNext/>
        <w:numPr>
          <w:ilvl w:val="0"/>
          <w:numId w:val="0"/>
        </w:numPr>
        <w:ind w:left="360" w:hanging="360"/>
        <w:rPr>
          <w:sz w:val="24"/>
          <w:u w:val="single"/>
        </w:rPr>
      </w:pPr>
      <w:bookmarkStart w:id="11" w:name="_Toc412794715"/>
      <w:r w:rsidRPr="003A4982">
        <w:rPr>
          <w:sz w:val="24"/>
          <w:szCs w:val="22"/>
        </w:rPr>
        <w:lastRenderedPageBreak/>
        <w:t xml:space="preserve">6.5 </w:t>
      </w:r>
      <w:r w:rsidR="00AD772D" w:rsidRPr="003A4982">
        <w:rPr>
          <w:sz w:val="24"/>
          <w:szCs w:val="22"/>
        </w:rPr>
        <w:t>Simplify Business Activity Statements compliance for industry</w:t>
      </w:r>
      <w:bookmarkEnd w:id="11"/>
    </w:p>
    <w:p w:rsidR="008056CD" w:rsidRDefault="008056CD" w:rsidP="00264A3B">
      <w:pPr>
        <w:keepNext/>
        <w:rPr>
          <w:rFonts w:ascii="Arial" w:hAnsi="Arial" w:cs="Arial"/>
        </w:rPr>
      </w:pPr>
    </w:p>
    <w:p w:rsidR="008056CD" w:rsidRDefault="008056CD" w:rsidP="00264A3B">
      <w:pPr>
        <w:keepNext/>
        <w:rPr>
          <w:rFonts w:ascii="Arial" w:hAnsi="Arial" w:cs="Arial"/>
        </w:rPr>
      </w:pPr>
      <w:r>
        <w:rPr>
          <w:rFonts w:ascii="Arial" w:hAnsi="Arial" w:cs="Arial"/>
        </w:rPr>
        <w:t xml:space="preserve">Businesses have the choice to lodge </w:t>
      </w:r>
      <w:r w:rsidR="005C1810" w:rsidRPr="005C1810">
        <w:rPr>
          <w:rFonts w:ascii="Arial" w:hAnsi="Arial" w:cs="Arial"/>
        </w:rPr>
        <w:t xml:space="preserve">business activity statements </w:t>
      </w:r>
      <w:r w:rsidR="005C1810">
        <w:rPr>
          <w:rFonts w:ascii="Arial" w:hAnsi="Arial" w:cs="Arial"/>
        </w:rPr>
        <w:t>(</w:t>
      </w:r>
      <w:r>
        <w:rPr>
          <w:rFonts w:ascii="Arial" w:hAnsi="Arial" w:cs="Arial"/>
        </w:rPr>
        <w:t>BAS</w:t>
      </w:r>
      <w:r w:rsidR="005C1810">
        <w:rPr>
          <w:rFonts w:ascii="Arial" w:hAnsi="Arial" w:cs="Arial"/>
        </w:rPr>
        <w:t>)</w:t>
      </w:r>
      <w:r>
        <w:rPr>
          <w:rFonts w:ascii="Arial" w:hAnsi="Arial" w:cs="Arial"/>
        </w:rPr>
        <w:t xml:space="preserve"> monthly, quarterly or annually. However, a long running concern is the complexity of the BAS</w:t>
      </w:r>
      <w:r w:rsidR="00613AD2">
        <w:rPr>
          <w:rFonts w:ascii="Arial" w:hAnsi="Arial" w:cs="Arial"/>
        </w:rPr>
        <w:t>,</w:t>
      </w:r>
      <w:r>
        <w:rPr>
          <w:rFonts w:ascii="Arial" w:hAnsi="Arial" w:cs="Arial"/>
        </w:rPr>
        <w:t xml:space="preserve"> </w:t>
      </w:r>
      <w:r w:rsidR="00AD772D">
        <w:rPr>
          <w:rFonts w:ascii="Arial" w:hAnsi="Arial" w:cs="Arial"/>
        </w:rPr>
        <w:t xml:space="preserve">which includes details of businesses GST, PAYG instalments, PAYG withholding, and </w:t>
      </w:r>
      <w:r w:rsidR="005C1810">
        <w:rPr>
          <w:rFonts w:ascii="Arial" w:hAnsi="Arial" w:cs="Arial"/>
        </w:rPr>
        <w:t>fringe tax benefits</w:t>
      </w:r>
      <w:r w:rsidR="00AD772D">
        <w:rPr>
          <w:rFonts w:ascii="Arial" w:hAnsi="Arial" w:cs="Arial"/>
        </w:rPr>
        <w:t xml:space="preserve">. With many small businesses having to self-declare the forms there needs to be efforts made by the ATO to guide small businesses through the process and possibly review removing some labels or providing bespoke BAS forms to certain sectors and industries. </w:t>
      </w:r>
      <w:r w:rsidR="00613AD2">
        <w:rPr>
          <w:rFonts w:ascii="Arial" w:hAnsi="Arial" w:cs="Arial"/>
        </w:rPr>
        <w:t xml:space="preserve">BAS forms are particularly important to trucking businesses because they used these forms to claim fuel tax credits. </w:t>
      </w:r>
    </w:p>
    <w:p w:rsidR="008056CD" w:rsidRPr="008056CD" w:rsidRDefault="008056CD" w:rsidP="008056CD">
      <w:pPr>
        <w:rPr>
          <w:rFonts w:ascii="Arial" w:hAnsi="Arial" w:cs="Arial"/>
        </w:rPr>
      </w:pPr>
    </w:p>
    <w:p w:rsidR="00AD772D" w:rsidRDefault="005C1810" w:rsidP="008056CD">
      <w:pPr>
        <w:rPr>
          <w:rFonts w:ascii="Arial" w:hAnsi="Arial" w:cs="Arial"/>
        </w:rPr>
      </w:pPr>
      <w:r>
        <w:rPr>
          <w:rFonts w:ascii="Arial" w:hAnsi="Arial" w:cs="Arial"/>
        </w:rPr>
        <w:t>Stakeholders to the Board of T</w:t>
      </w:r>
      <w:r w:rsidR="008056CD" w:rsidRPr="008056CD">
        <w:rPr>
          <w:rFonts w:ascii="Arial" w:hAnsi="Arial" w:cs="Arial"/>
        </w:rPr>
        <w:t>axation report stated the BAS is the most time consuming tax compliance requirement for small business</w:t>
      </w:r>
      <w:r w:rsidR="00610223">
        <w:rPr>
          <w:rFonts w:ascii="Arial" w:hAnsi="Arial" w:cs="Arial"/>
        </w:rPr>
        <w:t>.</w:t>
      </w:r>
      <w:r>
        <w:rPr>
          <w:rStyle w:val="FootnoteReference"/>
          <w:rFonts w:ascii="Arial" w:hAnsi="Arial"/>
        </w:rPr>
        <w:footnoteReference w:id="14"/>
      </w:r>
    </w:p>
    <w:p w:rsidR="00AD772D" w:rsidRDefault="00AD772D" w:rsidP="008056CD">
      <w:pPr>
        <w:rPr>
          <w:rFonts w:ascii="Arial" w:hAnsi="Arial" w:cs="Arial"/>
        </w:rPr>
      </w:pPr>
    </w:p>
    <w:p w:rsidR="008056CD" w:rsidRPr="008056CD" w:rsidRDefault="008056CD" w:rsidP="008056CD">
      <w:pPr>
        <w:rPr>
          <w:rFonts w:ascii="Arial" w:hAnsi="Arial" w:cs="Arial"/>
        </w:rPr>
      </w:pPr>
      <w:r w:rsidRPr="008056CD">
        <w:rPr>
          <w:rFonts w:ascii="Arial" w:hAnsi="Arial" w:cs="Arial"/>
        </w:rPr>
        <w:t>The Board recommended that the ATO and its relevant advisory groups review whether the quarterly reporting obligations for small business co</w:t>
      </w:r>
      <w:r w:rsidR="006E7F59">
        <w:rPr>
          <w:rFonts w:ascii="Arial" w:hAnsi="Arial" w:cs="Arial"/>
        </w:rPr>
        <w:t>uld be significantly simplified.</w:t>
      </w:r>
      <w:r w:rsidRPr="008056CD">
        <w:rPr>
          <w:rStyle w:val="FootnoteReference"/>
          <w:rFonts w:ascii="Arial" w:hAnsi="Arial" w:cs="Arial"/>
        </w:rPr>
        <w:footnoteReference w:id="15"/>
      </w:r>
      <w:r w:rsidR="00EC427E">
        <w:rPr>
          <w:rFonts w:ascii="Arial" w:hAnsi="Arial" w:cs="Arial"/>
        </w:rPr>
        <w:t xml:space="preserve"> The ATA supports this move to simplify tax reporting requirements for small businesses.  </w:t>
      </w:r>
    </w:p>
    <w:p w:rsidR="008056CD" w:rsidRDefault="008056CD" w:rsidP="00FD42F4">
      <w:pPr>
        <w:rPr>
          <w:rFonts w:ascii="Arial" w:hAnsi="Arial" w:cs="Arial"/>
        </w:rPr>
      </w:pPr>
    </w:p>
    <w:p w:rsidR="00162A32" w:rsidRPr="00162A32" w:rsidRDefault="00162A32" w:rsidP="00FD42F4">
      <w:pPr>
        <w:rPr>
          <w:rFonts w:ascii="Arial" w:hAnsi="Arial" w:cs="Arial"/>
          <w:b/>
        </w:rPr>
      </w:pPr>
      <w:r w:rsidRPr="00162A32">
        <w:rPr>
          <w:rFonts w:ascii="Arial" w:hAnsi="Arial" w:cs="Arial"/>
          <w:b/>
        </w:rPr>
        <w:t>Recommendation</w:t>
      </w:r>
      <w:r w:rsidR="00EC427E">
        <w:rPr>
          <w:rFonts w:ascii="Arial" w:hAnsi="Arial" w:cs="Arial"/>
          <w:b/>
        </w:rPr>
        <w:t xml:space="preserve"> 5</w:t>
      </w:r>
    </w:p>
    <w:p w:rsidR="00162A32" w:rsidRDefault="00162A32" w:rsidP="00FD42F4">
      <w:pPr>
        <w:rPr>
          <w:rFonts w:ascii="Arial" w:hAnsi="Arial" w:cs="Arial"/>
        </w:rPr>
      </w:pPr>
    </w:p>
    <w:p w:rsidR="00613AD2" w:rsidRDefault="00162A32" w:rsidP="00FD42F4">
      <w:pPr>
        <w:rPr>
          <w:rFonts w:ascii="Arial" w:hAnsi="Arial" w:cs="Arial"/>
        </w:rPr>
      </w:pPr>
      <w:r>
        <w:rPr>
          <w:rFonts w:ascii="Arial" w:hAnsi="Arial" w:cs="Arial"/>
        </w:rPr>
        <w:t xml:space="preserve">Investigate simplifying </w:t>
      </w:r>
      <w:r w:rsidR="00EC427E">
        <w:rPr>
          <w:rFonts w:ascii="Arial" w:hAnsi="Arial" w:cs="Arial"/>
        </w:rPr>
        <w:t>business a</w:t>
      </w:r>
      <w:r>
        <w:rPr>
          <w:rFonts w:ascii="Arial" w:hAnsi="Arial" w:cs="Arial"/>
        </w:rPr>
        <w:t xml:space="preserve">ctivity </w:t>
      </w:r>
      <w:r w:rsidR="00EC427E">
        <w:rPr>
          <w:rFonts w:ascii="Arial" w:hAnsi="Arial" w:cs="Arial"/>
        </w:rPr>
        <w:t>s</w:t>
      </w:r>
      <w:r>
        <w:rPr>
          <w:rFonts w:ascii="Arial" w:hAnsi="Arial" w:cs="Arial"/>
        </w:rPr>
        <w:t>tatements</w:t>
      </w:r>
      <w:r w:rsidR="00EC427E">
        <w:rPr>
          <w:rFonts w:ascii="Arial" w:hAnsi="Arial" w:cs="Arial"/>
        </w:rPr>
        <w:t xml:space="preserve"> (BAS)</w:t>
      </w:r>
      <w:r w:rsidR="00613AD2">
        <w:rPr>
          <w:rFonts w:ascii="Arial" w:hAnsi="Arial" w:cs="Arial"/>
        </w:rPr>
        <w:t>.</w:t>
      </w:r>
    </w:p>
    <w:p w:rsidR="00E21932" w:rsidRPr="00E21932" w:rsidRDefault="00E21932" w:rsidP="00E21932">
      <w:pPr>
        <w:rPr>
          <w:rFonts w:ascii="Arial" w:hAnsi="Arial" w:cs="Arial"/>
        </w:rPr>
      </w:pPr>
    </w:p>
    <w:p w:rsidR="00162A32" w:rsidRPr="003A4982" w:rsidRDefault="00833D88" w:rsidP="003A4982">
      <w:pPr>
        <w:pStyle w:val="Heading1"/>
        <w:numPr>
          <w:ilvl w:val="0"/>
          <w:numId w:val="0"/>
        </w:numPr>
        <w:ind w:left="360" w:hanging="360"/>
        <w:rPr>
          <w:sz w:val="24"/>
          <w:u w:val="single"/>
        </w:rPr>
      </w:pPr>
      <w:bookmarkStart w:id="12" w:name="_Toc412794716"/>
      <w:r>
        <w:rPr>
          <w:sz w:val="24"/>
          <w:szCs w:val="22"/>
        </w:rPr>
        <w:t>6.6</w:t>
      </w:r>
      <w:r w:rsidR="003A4982" w:rsidRPr="003A4982">
        <w:rPr>
          <w:sz w:val="24"/>
          <w:szCs w:val="22"/>
        </w:rPr>
        <w:t xml:space="preserve"> </w:t>
      </w:r>
      <w:r w:rsidR="00124F32" w:rsidRPr="003A4982">
        <w:rPr>
          <w:sz w:val="24"/>
          <w:szCs w:val="22"/>
        </w:rPr>
        <w:t>Improve business transfer tax arrangements</w:t>
      </w:r>
      <w:bookmarkEnd w:id="12"/>
      <w:r w:rsidR="004C377A" w:rsidRPr="003A4982">
        <w:rPr>
          <w:sz w:val="24"/>
          <w:szCs w:val="22"/>
        </w:rPr>
        <w:t xml:space="preserve"> </w:t>
      </w:r>
    </w:p>
    <w:p w:rsidR="004C377A" w:rsidRDefault="004C377A" w:rsidP="004C377A">
      <w:pPr>
        <w:rPr>
          <w:rFonts w:ascii="Arial" w:hAnsi="Arial" w:cs="Arial"/>
        </w:rPr>
      </w:pPr>
    </w:p>
    <w:p w:rsidR="004C377A" w:rsidRDefault="004C377A" w:rsidP="004C377A">
      <w:pPr>
        <w:rPr>
          <w:rFonts w:ascii="Arial" w:hAnsi="Arial" w:cs="Arial"/>
        </w:rPr>
      </w:pPr>
      <w:r w:rsidRPr="004C377A">
        <w:rPr>
          <w:rFonts w:ascii="Arial" w:hAnsi="Arial" w:cs="Arial"/>
        </w:rPr>
        <w:t xml:space="preserve">As many trucking businesses are owned and run by families a natural progression </w:t>
      </w:r>
      <w:r w:rsidR="00610223">
        <w:rPr>
          <w:rFonts w:ascii="Arial" w:hAnsi="Arial" w:cs="Arial"/>
        </w:rPr>
        <w:t xml:space="preserve">for the business </w:t>
      </w:r>
      <w:r w:rsidRPr="004C377A">
        <w:rPr>
          <w:rFonts w:ascii="Arial" w:hAnsi="Arial" w:cs="Arial"/>
        </w:rPr>
        <w:t xml:space="preserve">is </w:t>
      </w:r>
      <w:r w:rsidR="00610223">
        <w:rPr>
          <w:rFonts w:ascii="Arial" w:hAnsi="Arial" w:cs="Arial"/>
        </w:rPr>
        <w:t>for it be managed by</w:t>
      </w:r>
      <w:r w:rsidRPr="004C377A">
        <w:rPr>
          <w:rFonts w:ascii="Arial" w:hAnsi="Arial" w:cs="Arial"/>
        </w:rPr>
        <w:t xml:space="preserve"> the offspring of the owner</w:t>
      </w:r>
      <w:r>
        <w:rPr>
          <w:rFonts w:ascii="Arial" w:hAnsi="Arial" w:cs="Arial"/>
        </w:rPr>
        <w:t xml:space="preserve"> and some estimates state that family</w:t>
      </w:r>
      <w:r w:rsidRPr="004C377A">
        <w:rPr>
          <w:rFonts w:ascii="Arial" w:hAnsi="Arial" w:cs="Arial"/>
        </w:rPr>
        <w:t xml:space="preserve"> businesses account for 70 per cent of all Australian businesses</w:t>
      </w:r>
      <w:r w:rsidR="00610223">
        <w:rPr>
          <w:rFonts w:ascii="Arial" w:hAnsi="Arial" w:cs="Arial"/>
        </w:rPr>
        <w:t>.</w:t>
      </w:r>
      <w:r w:rsidRPr="004C377A">
        <w:rPr>
          <w:rFonts w:ascii="Arial" w:hAnsi="Arial" w:cs="Arial"/>
          <w:vertAlign w:val="superscript"/>
        </w:rPr>
        <w:footnoteReference w:id="16"/>
      </w:r>
      <w:r w:rsidR="00610223">
        <w:rPr>
          <w:rFonts w:ascii="Arial" w:hAnsi="Arial" w:cs="Arial"/>
        </w:rPr>
        <w:t xml:space="preserve"> </w:t>
      </w:r>
      <w:r w:rsidRPr="004C377A">
        <w:rPr>
          <w:rFonts w:ascii="Arial" w:hAnsi="Arial" w:cs="Arial"/>
        </w:rPr>
        <w:t>However</w:t>
      </w:r>
      <w:r w:rsidR="00610223">
        <w:rPr>
          <w:rFonts w:ascii="Arial" w:hAnsi="Arial" w:cs="Arial"/>
        </w:rPr>
        <w:t>,</w:t>
      </w:r>
      <w:r w:rsidRPr="004C377A">
        <w:rPr>
          <w:rFonts w:ascii="Arial" w:hAnsi="Arial" w:cs="Arial"/>
        </w:rPr>
        <w:t xml:space="preserve"> as indicated in the </w:t>
      </w:r>
      <w:r w:rsidR="00610223">
        <w:rPr>
          <w:rFonts w:ascii="Arial" w:hAnsi="Arial" w:cs="Arial"/>
        </w:rPr>
        <w:t xml:space="preserve">operator </w:t>
      </w:r>
      <w:r w:rsidRPr="004C377A">
        <w:rPr>
          <w:rFonts w:ascii="Arial" w:hAnsi="Arial" w:cs="Arial"/>
        </w:rPr>
        <w:t>survey r</w:t>
      </w:r>
      <w:r w:rsidR="00610223">
        <w:rPr>
          <w:rFonts w:ascii="Arial" w:hAnsi="Arial" w:cs="Arial"/>
        </w:rPr>
        <w:t>esponses t</w:t>
      </w:r>
      <w:r>
        <w:rPr>
          <w:rFonts w:ascii="Arial" w:hAnsi="Arial" w:cs="Arial"/>
        </w:rPr>
        <w:t xml:space="preserve">here are difficulties in transferring businesses to family members.  </w:t>
      </w:r>
    </w:p>
    <w:p w:rsidR="004C377A" w:rsidRDefault="004C377A" w:rsidP="004C377A">
      <w:pPr>
        <w:rPr>
          <w:rFonts w:ascii="Arial" w:hAnsi="Arial" w:cs="Arial"/>
        </w:rPr>
      </w:pPr>
    </w:p>
    <w:p w:rsidR="004C377A" w:rsidRDefault="004C377A" w:rsidP="004C377A">
      <w:pPr>
        <w:rPr>
          <w:rFonts w:ascii="Arial" w:hAnsi="Arial" w:cs="Arial"/>
        </w:rPr>
      </w:pPr>
      <w:r>
        <w:rPr>
          <w:rFonts w:ascii="Arial" w:hAnsi="Arial" w:cs="Arial"/>
        </w:rPr>
        <w:t xml:space="preserve">Family arrangements such as succession planning have become essential given </w:t>
      </w:r>
      <w:r w:rsidR="00EA76EE">
        <w:rPr>
          <w:rFonts w:ascii="Arial" w:hAnsi="Arial" w:cs="Arial"/>
        </w:rPr>
        <w:t xml:space="preserve">many operators are reaching </w:t>
      </w:r>
      <w:r>
        <w:rPr>
          <w:rFonts w:ascii="Arial" w:hAnsi="Arial" w:cs="Arial"/>
        </w:rPr>
        <w:t>retirement age. However, tax arrangements l</w:t>
      </w:r>
      <w:r w:rsidR="00610223">
        <w:rPr>
          <w:rFonts w:ascii="Arial" w:hAnsi="Arial" w:cs="Arial"/>
        </w:rPr>
        <w:t>imit</w:t>
      </w:r>
      <w:r>
        <w:rPr>
          <w:rFonts w:ascii="Arial" w:hAnsi="Arial" w:cs="Arial"/>
        </w:rPr>
        <w:t xml:space="preserve"> the viability of transferring businesses. </w:t>
      </w:r>
    </w:p>
    <w:p w:rsidR="004C377A" w:rsidRDefault="004C377A" w:rsidP="004C377A">
      <w:pPr>
        <w:rPr>
          <w:rFonts w:ascii="Arial" w:hAnsi="Arial" w:cs="Arial"/>
        </w:rPr>
      </w:pPr>
    </w:p>
    <w:p w:rsidR="004C377A" w:rsidRDefault="004C377A" w:rsidP="004C377A">
      <w:pPr>
        <w:rPr>
          <w:rFonts w:ascii="Arial" w:hAnsi="Arial" w:cs="Arial"/>
          <w:i/>
        </w:rPr>
      </w:pPr>
      <w:r w:rsidRPr="004C377A">
        <w:rPr>
          <w:rFonts w:ascii="Arial" w:hAnsi="Arial" w:cs="Arial"/>
          <w:i/>
        </w:rPr>
        <w:t>Family trusts</w:t>
      </w:r>
    </w:p>
    <w:p w:rsidR="004C377A" w:rsidRDefault="004C377A" w:rsidP="004C377A">
      <w:pPr>
        <w:rPr>
          <w:rFonts w:ascii="Arial" w:hAnsi="Arial" w:cs="Arial"/>
        </w:rPr>
      </w:pPr>
    </w:p>
    <w:p w:rsidR="004C377A" w:rsidRDefault="004C377A" w:rsidP="004C377A">
      <w:pPr>
        <w:rPr>
          <w:rFonts w:ascii="Arial" w:hAnsi="Arial" w:cs="Arial"/>
        </w:rPr>
      </w:pPr>
      <w:r>
        <w:rPr>
          <w:rFonts w:ascii="Arial" w:hAnsi="Arial" w:cs="Arial"/>
        </w:rPr>
        <w:t xml:space="preserve">Family trusts are used for various reasons including </w:t>
      </w:r>
      <w:r w:rsidRPr="004C377A">
        <w:rPr>
          <w:rFonts w:ascii="Arial" w:hAnsi="Arial" w:cs="Arial"/>
        </w:rPr>
        <w:t>asset protection, assisting the business to manage succession and related estate planning issues, and providing a mechanism to retain control of the</w:t>
      </w:r>
      <w:r>
        <w:rPr>
          <w:rFonts w:ascii="Arial" w:hAnsi="Arial" w:cs="Arial"/>
        </w:rPr>
        <w:t xml:space="preserve"> </w:t>
      </w:r>
      <w:r w:rsidRPr="004C377A">
        <w:rPr>
          <w:rFonts w:ascii="Arial" w:hAnsi="Arial" w:cs="Arial"/>
        </w:rPr>
        <w:t>business within the family unit</w:t>
      </w:r>
      <w:r>
        <w:rPr>
          <w:rFonts w:ascii="Arial" w:hAnsi="Arial" w:cs="Arial"/>
        </w:rPr>
        <w:t>.</w:t>
      </w:r>
      <w:r>
        <w:rPr>
          <w:rStyle w:val="FootnoteReference"/>
          <w:rFonts w:ascii="Arial" w:hAnsi="Arial"/>
        </w:rPr>
        <w:footnoteReference w:id="17"/>
      </w:r>
    </w:p>
    <w:p w:rsidR="004C377A" w:rsidRDefault="004C377A"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613AD2" w:rsidRDefault="00613AD2" w:rsidP="004C377A">
      <w:pPr>
        <w:rPr>
          <w:rFonts w:ascii="Arial" w:hAnsi="Arial" w:cs="Arial"/>
        </w:rPr>
      </w:pPr>
    </w:p>
    <w:p w:rsidR="004C377A" w:rsidRDefault="00072340" w:rsidP="004C377A">
      <w:pPr>
        <w:rPr>
          <w:rFonts w:ascii="Arial" w:hAnsi="Arial" w:cs="Arial"/>
        </w:rPr>
      </w:pPr>
      <w:r>
        <w:rPr>
          <w:rFonts w:ascii="Arial" w:hAnsi="Arial" w:cs="Arial"/>
        </w:rPr>
        <w:lastRenderedPageBreak/>
        <w:t xml:space="preserve">However, current state and Commonwealth arrangements are affecting the ease of family trusts. </w:t>
      </w:r>
      <w:r w:rsidR="00613AD2">
        <w:rPr>
          <w:rFonts w:ascii="Arial" w:hAnsi="Arial" w:cs="Arial"/>
        </w:rPr>
        <w:t>In 2013, the Parliamentary Joint Committee</w:t>
      </w:r>
      <w:r w:rsidR="00A42701">
        <w:rPr>
          <w:rFonts w:ascii="Arial" w:hAnsi="Arial" w:cs="Arial"/>
        </w:rPr>
        <w:t xml:space="preserve"> on Corporations and Financial S</w:t>
      </w:r>
      <w:r w:rsidR="00613AD2">
        <w:rPr>
          <w:rFonts w:ascii="Arial" w:hAnsi="Arial" w:cs="Arial"/>
        </w:rPr>
        <w:t xml:space="preserve">ervices concluded: </w:t>
      </w:r>
    </w:p>
    <w:p w:rsidR="00072340" w:rsidRDefault="00072340" w:rsidP="004C377A">
      <w:pPr>
        <w:rPr>
          <w:rFonts w:ascii="Arial" w:hAnsi="Arial" w:cs="Arial"/>
        </w:rPr>
      </w:pPr>
    </w:p>
    <w:p w:rsidR="00072340" w:rsidRDefault="004C377A" w:rsidP="00610223">
      <w:pPr>
        <w:ind w:left="1134" w:right="1134"/>
        <w:rPr>
          <w:rFonts w:ascii="Arial" w:hAnsi="Arial" w:cs="Arial"/>
        </w:rPr>
      </w:pPr>
      <w:r w:rsidRPr="004C377A">
        <w:rPr>
          <w:rFonts w:ascii="Arial" w:hAnsi="Arial" w:cs="Arial"/>
        </w:rPr>
        <w:t>In particular, family businesses reported that the requirements in Division 6 and Division 7A of the Income Tax Assessment Act 1936 do not appropriately recognise the operational structures of family businesses which can include multiple private commercial enterprises. Australia's taxation requirements should achieve an appropriate balance between supporting businesses and maintaining the integrity of Australia's taxation system. There is some evidence that at present Division 6 and Division 7A may not be achieving this balance</w:t>
      </w:r>
      <w:r w:rsidR="00610223">
        <w:rPr>
          <w:rFonts w:ascii="Arial" w:hAnsi="Arial" w:cs="Arial"/>
        </w:rPr>
        <w:t>.</w:t>
      </w:r>
      <w:r w:rsidR="00072340">
        <w:rPr>
          <w:rStyle w:val="FootnoteReference"/>
          <w:rFonts w:ascii="Arial" w:hAnsi="Arial"/>
        </w:rPr>
        <w:footnoteReference w:id="18"/>
      </w:r>
      <w:r w:rsidRPr="004C377A">
        <w:rPr>
          <w:rFonts w:ascii="Arial" w:hAnsi="Arial" w:cs="Arial"/>
        </w:rPr>
        <w:t xml:space="preserve"> </w:t>
      </w:r>
    </w:p>
    <w:p w:rsidR="00072340" w:rsidRDefault="00072340" w:rsidP="00072340">
      <w:pPr>
        <w:rPr>
          <w:rFonts w:ascii="Arial" w:hAnsi="Arial" w:cs="Arial"/>
        </w:rPr>
      </w:pPr>
    </w:p>
    <w:p w:rsidR="00D21039" w:rsidRDefault="00072340" w:rsidP="00072340">
      <w:pPr>
        <w:rPr>
          <w:rFonts w:ascii="Arial" w:hAnsi="Arial" w:cs="Arial"/>
        </w:rPr>
      </w:pPr>
      <w:r>
        <w:rPr>
          <w:rFonts w:ascii="Arial" w:hAnsi="Arial" w:cs="Arial"/>
        </w:rPr>
        <w:t xml:space="preserve">The most common application of Division 7A is to allow loans to be made from </w:t>
      </w:r>
      <w:r w:rsidR="00613AD2">
        <w:rPr>
          <w:rFonts w:ascii="Arial" w:hAnsi="Arial" w:cs="Arial"/>
        </w:rPr>
        <w:t>a</w:t>
      </w:r>
      <w:r>
        <w:rPr>
          <w:rFonts w:ascii="Arial" w:hAnsi="Arial" w:cs="Arial"/>
        </w:rPr>
        <w:t xml:space="preserve"> company to a related party and this requires shareholders and associates to support a ‘complying loan agreement’ which sets out minimum r</w:t>
      </w:r>
      <w:r w:rsidR="00613AD2">
        <w:rPr>
          <w:rFonts w:ascii="Arial" w:hAnsi="Arial" w:cs="Arial"/>
        </w:rPr>
        <w:t>epayment terms around the loan</w:t>
      </w:r>
      <w:r>
        <w:rPr>
          <w:rFonts w:ascii="Arial" w:hAnsi="Arial" w:cs="Arial"/>
        </w:rPr>
        <w:t>.</w:t>
      </w:r>
      <w:r>
        <w:rPr>
          <w:rStyle w:val="FootnoteReference"/>
          <w:rFonts w:ascii="Arial" w:hAnsi="Arial"/>
        </w:rPr>
        <w:footnoteReference w:id="19"/>
      </w:r>
      <w:r w:rsidR="005D4399">
        <w:rPr>
          <w:rFonts w:ascii="Arial" w:hAnsi="Arial" w:cs="Arial"/>
        </w:rPr>
        <w:t xml:space="preserve"> While it is a complex regime</w:t>
      </w:r>
      <w:r w:rsidR="005227BF">
        <w:rPr>
          <w:rFonts w:ascii="Arial" w:hAnsi="Arial" w:cs="Arial"/>
        </w:rPr>
        <w:t>,</w:t>
      </w:r>
      <w:r w:rsidR="005D4399">
        <w:rPr>
          <w:rFonts w:ascii="Arial" w:hAnsi="Arial" w:cs="Arial"/>
        </w:rPr>
        <w:t xml:space="preserve"> many small businesses who operate un</w:t>
      </w:r>
      <w:r w:rsidR="00D21039">
        <w:rPr>
          <w:rFonts w:ascii="Arial" w:hAnsi="Arial" w:cs="Arial"/>
        </w:rPr>
        <w:t xml:space="preserve">der trusts use it as a means of paying themselves a living wage with agreed repayments with the interest rate set by the ATO. </w:t>
      </w:r>
    </w:p>
    <w:p w:rsidR="00072340" w:rsidRDefault="00072340" w:rsidP="00D21039">
      <w:pPr>
        <w:rPr>
          <w:rFonts w:ascii="Arial" w:hAnsi="Arial" w:cs="Arial"/>
        </w:rPr>
      </w:pPr>
    </w:p>
    <w:p w:rsidR="00072340" w:rsidRDefault="00072340" w:rsidP="004C377A">
      <w:pPr>
        <w:rPr>
          <w:rFonts w:ascii="Arial" w:hAnsi="Arial" w:cs="Arial"/>
        </w:rPr>
      </w:pPr>
      <w:r>
        <w:rPr>
          <w:rFonts w:ascii="Arial" w:hAnsi="Arial" w:cs="Arial"/>
        </w:rPr>
        <w:t xml:space="preserve">In the recent Board of Taxation review stakeholders stated that the impact of Division 7A on small business </w:t>
      </w:r>
      <w:r w:rsidR="00D21039">
        <w:rPr>
          <w:rFonts w:ascii="Arial" w:hAnsi="Arial" w:cs="Arial"/>
        </w:rPr>
        <w:t>was complex, not well understood and involve</w:t>
      </w:r>
      <w:r w:rsidR="00610223">
        <w:rPr>
          <w:rFonts w:ascii="Arial" w:hAnsi="Arial" w:cs="Arial"/>
        </w:rPr>
        <w:t>d</w:t>
      </w:r>
      <w:r w:rsidR="00D21039">
        <w:rPr>
          <w:rFonts w:ascii="Arial" w:hAnsi="Arial" w:cs="Arial"/>
        </w:rPr>
        <w:t xml:space="preserve"> a high cost of compliance that disproportionately affects smaller businesses. Additionally, many small businesses use trusts as an alternative to external finance which can be hard to access.</w:t>
      </w:r>
      <w:r w:rsidR="00D21039">
        <w:rPr>
          <w:rStyle w:val="FootnoteReference"/>
          <w:rFonts w:ascii="Arial" w:hAnsi="Arial"/>
        </w:rPr>
        <w:footnoteReference w:id="20"/>
      </w:r>
    </w:p>
    <w:p w:rsidR="003A4982" w:rsidRDefault="003A4982" w:rsidP="004C377A">
      <w:pPr>
        <w:rPr>
          <w:rFonts w:ascii="Arial" w:hAnsi="Arial" w:cs="Arial"/>
        </w:rPr>
      </w:pPr>
    </w:p>
    <w:p w:rsidR="00D21039" w:rsidRDefault="00D21039" w:rsidP="004C377A">
      <w:pPr>
        <w:rPr>
          <w:rFonts w:ascii="Arial" w:hAnsi="Arial" w:cs="Arial"/>
        </w:rPr>
      </w:pPr>
      <w:r>
        <w:rPr>
          <w:rFonts w:ascii="Arial" w:hAnsi="Arial" w:cs="Arial"/>
        </w:rPr>
        <w:t xml:space="preserve">The Board of Taxation </w:t>
      </w:r>
      <w:r w:rsidR="00D130FD" w:rsidRPr="00D130FD">
        <w:rPr>
          <w:rFonts w:ascii="Arial" w:hAnsi="Arial" w:cs="Arial"/>
        </w:rPr>
        <w:t>Post Implementation Review of Divis</w:t>
      </w:r>
      <w:r w:rsidR="00610223">
        <w:rPr>
          <w:rFonts w:ascii="Arial" w:hAnsi="Arial" w:cs="Arial"/>
        </w:rPr>
        <w:t>ion 7</w:t>
      </w:r>
      <w:r w:rsidR="00613AD2">
        <w:rPr>
          <w:rFonts w:ascii="Arial" w:hAnsi="Arial" w:cs="Arial"/>
        </w:rPr>
        <w:t>A</w:t>
      </w:r>
      <w:r w:rsidR="00610223">
        <w:rPr>
          <w:rFonts w:ascii="Arial" w:hAnsi="Arial" w:cs="Arial"/>
        </w:rPr>
        <w:t xml:space="preserve"> </w:t>
      </w:r>
      <w:r w:rsidR="00D130FD">
        <w:rPr>
          <w:rFonts w:ascii="Arial" w:hAnsi="Arial" w:cs="Arial"/>
        </w:rPr>
        <w:t>was presented to the Government in November 2014. The report has not been publically released</w:t>
      </w:r>
      <w:r w:rsidR="00613AD2">
        <w:rPr>
          <w:rFonts w:ascii="Arial" w:hAnsi="Arial" w:cs="Arial"/>
        </w:rPr>
        <w:t>;</w:t>
      </w:r>
      <w:r w:rsidR="00D130FD">
        <w:rPr>
          <w:rFonts w:ascii="Arial" w:hAnsi="Arial" w:cs="Arial"/>
        </w:rPr>
        <w:t xml:space="preserve"> however</w:t>
      </w:r>
      <w:r w:rsidR="00613AD2">
        <w:rPr>
          <w:rFonts w:ascii="Arial" w:hAnsi="Arial" w:cs="Arial"/>
        </w:rPr>
        <w:t>,</w:t>
      </w:r>
      <w:r w:rsidR="00D130FD">
        <w:rPr>
          <w:rFonts w:ascii="Arial" w:hAnsi="Arial" w:cs="Arial"/>
        </w:rPr>
        <w:t xml:space="preserve"> in previous discussion papers the Board recommended </w:t>
      </w:r>
      <w:r w:rsidR="00613AD2">
        <w:rPr>
          <w:rFonts w:ascii="Arial" w:hAnsi="Arial" w:cs="Arial"/>
        </w:rPr>
        <w:t>five</w:t>
      </w:r>
      <w:r w:rsidR="00D130FD">
        <w:rPr>
          <w:rFonts w:ascii="Arial" w:hAnsi="Arial" w:cs="Arial"/>
        </w:rPr>
        <w:t xml:space="preserve"> reforms: </w:t>
      </w:r>
    </w:p>
    <w:p w:rsidR="00D130FD" w:rsidRPr="00D130FD" w:rsidRDefault="00D130FD" w:rsidP="00E74261">
      <w:pPr>
        <w:pStyle w:val="ListParagraph"/>
        <w:numPr>
          <w:ilvl w:val="0"/>
          <w:numId w:val="22"/>
        </w:numPr>
        <w:rPr>
          <w:rFonts w:ascii="Arial" w:hAnsi="Arial" w:cs="Arial"/>
        </w:rPr>
      </w:pPr>
      <w:r w:rsidRPr="00D130FD">
        <w:rPr>
          <w:rFonts w:ascii="Arial" w:hAnsi="Arial" w:cs="Arial"/>
        </w:rPr>
        <w:t>A unified set of rules based on the principle of transfers of value</w:t>
      </w:r>
    </w:p>
    <w:p w:rsidR="00D130FD" w:rsidRPr="00D130FD" w:rsidRDefault="00610223" w:rsidP="00E74261">
      <w:pPr>
        <w:pStyle w:val="ListParagraph"/>
        <w:numPr>
          <w:ilvl w:val="0"/>
          <w:numId w:val="22"/>
        </w:numPr>
        <w:rPr>
          <w:rFonts w:ascii="Arial" w:hAnsi="Arial" w:cs="Arial"/>
        </w:rPr>
      </w:pPr>
      <w:r>
        <w:rPr>
          <w:rFonts w:ascii="Arial" w:hAnsi="Arial" w:cs="Arial"/>
        </w:rPr>
        <w:t>a</w:t>
      </w:r>
      <w:r w:rsidR="00D130FD" w:rsidRPr="00D130FD">
        <w:rPr>
          <w:rFonts w:ascii="Arial" w:hAnsi="Arial" w:cs="Arial"/>
        </w:rPr>
        <w:t xml:space="preserve"> better targeted framework for calculating a company’s profits </w:t>
      </w:r>
    </w:p>
    <w:p w:rsidR="00D130FD" w:rsidRPr="00D130FD" w:rsidRDefault="00610223" w:rsidP="00E74261">
      <w:pPr>
        <w:pStyle w:val="ListParagraph"/>
        <w:numPr>
          <w:ilvl w:val="0"/>
          <w:numId w:val="22"/>
        </w:numPr>
        <w:rPr>
          <w:rFonts w:ascii="Arial" w:hAnsi="Arial" w:cs="Arial"/>
        </w:rPr>
      </w:pPr>
      <w:r>
        <w:rPr>
          <w:rFonts w:ascii="Arial" w:hAnsi="Arial" w:cs="Arial"/>
        </w:rPr>
        <w:t>a</w:t>
      </w:r>
      <w:r w:rsidR="00D130FD" w:rsidRPr="00D130FD">
        <w:rPr>
          <w:rFonts w:ascii="Arial" w:hAnsi="Arial" w:cs="Arial"/>
        </w:rPr>
        <w:t xml:space="preserve"> simpler, more flexible and better targeted system of ‘complying loans’ </w:t>
      </w:r>
    </w:p>
    <w:p w:rsidR="00D130FD" w:rsidRPr="00D130FD" w:rsidRDefault="00610223" w:rsidP="00E74261">
      <w:pPr>
        <w:pStyle w:val="ListParagraph"/>
        <w:numPr>
          <w:ilvl w:val="0"/>
          <w:numId w:val="22"/>
        </w:numPr>
        <w:rPr>
          <w:rFonts w:ascii="Arial" w:hAnsi="Arial" w:cs="Arial"/>
        </w:rPr>
      </w:pPr>
      <w:r>
        <w:rPr>
          <w:rFonts w:ascii="Arial" w:hAnsi="Arial" w:cs="Arial"/>
        </w:rPr>
        <w:t>g</w:t>
      </w:r>
      <w:r w:rsidR="00D130FD" w:rsidRPr="00D130FD">
        <w:rPr>
          <w:rFonts w:ascii="Arial" w:hAnsi="Arial" w:cs="Arial"/>
        </w:rPr>
        <w:t>reater flexibility for trusts that reinvest unpaid present entitlements (UPEs) as working capital</w:t>
      </w:r>
    </w:p>
    <w:p w:rsidR="00072340" w:rsidRPr="00D130FD" w:rsidRDefault="00610223" w:rsidP="004C377A">
      <w:pPr>
        <w:pStyle w:val="ListParagraph"/>
        <w:numPr>
          <w:ilvl w:val="0"/>
          <w:numId w:val="22"/>
        </w:numPr>
        <w:rPr>
          <w:rFonts w:ascii="Arial" w:hAnsi="Arial" w:cs="Arial"/>
        </w:rPr>
      </w:pPr>
      <w:proofErr w:type="gramStart"/>
      <w:r>
        <w:rPr>
          <w:rFonts w:ascii="Arial" w:hAnsi="Arial" w:cs="Arial"/>
        </w:rPr>
        <w:t>a</w:t>
      </w:r>
      <w:proofErr w:type="gramEnd"/>
      <w:r w:rsidR="00D130FD" w:rsidRPr="00D130FD">
        <w:rPr>
          <w:rFonts w:ascii="Arial" w:hAnsi="Arial" w:cs="Arial"/>
        </w:rPr>
        <w:t xml:space="preserve"> self-correcting mechanism</w:t>
      </w:r>
      <w:r>
        <w:rPr>
          <w:rFonts w:ascii="Arial" w:hAnsi="Arial" w:cs="Arial"/>
        </w:rPr>
        <w:t>.</w:t>
      </w:r>
      <w:r w:rsidR="00D130FD">
        <w:rPr>
          <w:rStyle w:val="FootnoteReference"/>
          <w:rFonts w:ascii="Arial" w:hAnsi="Arial"/>
        </w:rPr>
        <w:footnoteReference w:id="21"/>
      </w:r>
      <w:r w:rsidR="00D130FD" w:rsidRPr="00D130FD">
        <w:rPr>
          <w:rFonts w:ascii="Arial" w:hAnsi="Arial" w:cs="Arial"/>
        </w:rPr>
        <w:t xml:space="preserve"> </w:t>
      </w:r>
    </w:p>
    <w:p w:rsidR="00D130FD" w:rsidRDefault="00D130FD" w:rsidP="004C377A">
      <w:pPr>
        <w:rPr>
          <w:rFonts w:ascii="Arial" w:hAnsi="Arial" w:cs="Arial"/>
        </w:rPr>
      </w:pPr>
      <w:r>
        <w:rPr>
          <w:rFonts w:ascii="Arial" w:hAnsi="Arial" w:cs="Arial"/>
        </w:rPr>
        <w:t xml:space="preserve">As many trucking companies are likely to use family trusts and apply Division 7A, the </w:t>
      </w:r>
      <w:r w:rsidR="00E74261">
        <w:rPr>
          <w:rFonts w:ascii="Arial" w:hAnsi="Arial" w:cs="Arial"/>
        </w:rPr>
        <w:t>Productivity</w:t>
      </w:r>
      <w:r>
        <w:rPr>
          <w:rFonts w:ascii="Arial" w:hAnsi="Arial" w:cs="Arial"/>
        </w:rPr>
        <w:t xml:space="preserve"> Commission should support any move to reduce the complexity and compliance of 7A in order to improve firm’s ability to reinvest capital</w:t>
      </w:r>
      <w:r w:rsidR="00E74261">
        <w:rPr>
          <w:rFonts w:ascii="Arial" w:hAnsi="Arial" w:cs="Arial"/>
        </w:rPr>
        <w:t xml:space="preserve"> and function</w:t>
      </w:r>
      <w:r>
        <w:rPr>
          <w:rFonts w:ascii="Arial" w:hAnsi="Arial" w:cs="Arial"/>
        </w:rPr>
        <w:t xml:space="preserve">. </w:t>
      </w:r>
    </w:p>
    <w:p w:rsidR="00D130FD" w:rsidRDefault="00D130FD" w:rsidP="004C377A">
      <w:pPr>
        <w:rPr>
          <w:rFonts w:ascii="Arial" w:hAnsi="Arial" w:cs="Arial"/>
        </w:rPr>
      </w:pPr>
    </w:p>
    <w:p w:rsidR="00610223" w:rsidRPr="00610223" w:rsidRDefault="00610223" w:rsidP="00610223">
      <w:pPr>
        <w:rPr>
          <w:rFonts w:ascii="Arial" w:hAnsi="Arial" w:cs="Arial"/>
          <w:b/>
        </w:rPr>
      </w:pPr>
      <w:r w:rsidRPr="00610223">
        <w:rPr>
          <w:rFonts w:ascii="Arial" w:hAnsi="Arial" w:cs="Arial"/>
          <w:b/>
        </w:rPr>
        <w:t>Recommendation</w:t>
      </w:r>
      <w:r w:rsidR="00833D88">
        <w:rPr>
          <w:rFonts w:ascii="Arial" w:hAnsi="Arial" w:cs="Arial"/>
          <w:b/>
        </w:rPr>
        <w:t xml:space="preserve"> 6</w:t>
      </w:r>
    </w:p>
    <w:p w:rsidR="00610223" w:rsidRPr="00610223" w:rsidRDefault="00610223" w:rsidP="00610223">
      <w:pPr>
        <w:rPr>
          <w:rFonts w:ascii="Arial" w:hAnsi="Arial" w:cs="Arial"/>
        </w:rPr>
      </w:pPr>
    </w:p>
    <w:p w:rsidR="00610223" w:rsidRPr="00610223" w:rsidRDefault="00056DE2" w:rsidP="00610223">
      <w:pPr>
        <w:rPr>
          <w:rFonts w:ascii="Arial" w:hAnsi="Arial" w:cs="Arial"/>
        </w:rPr>
      </w:pPr>
      <w:r w:rsidRPr="00056DE2">
        <w:rPr>
          <w:rFonts w:ascii="Arial" w:hAnsi="Arial" w:cs="Arial"/>
        </w:rPr>
        <w:t xml:space="preserve">The Productivity Commission should investigate the Board of Taxation’s review of Division 7A in order to allow family trusts to allocate funds in an efficient manner. </w:t>
      </w:r>
    </w:p>
    <w:p w:rsidR="00610223" w:rsidRDefault="00610223" w:rsidP="004C377A">
      <w:pPr>
        <w:rPr>
          <w:rFonts w:ascii="Arial" w:hAnsi="Arial" w:cs="Arial"/>
        </w:rPr>
      </w:pPr>
    </w:p>
    <w:p w:rsidR="005227BF" w:rsidRDefault="005227BF" w:rsidP="00E74261">
      <w:pPr>
        <w:rPr>
          <w:rFonts w:ascii="Arial" w:hAnsi="Arial" w:cs="Arial"/>
          <w:i/>
        </w:rPr>
      </w:pPr>
    </w:p>
    <w:p w:rsidR="005227BF" w:rsidRDefault="005227BF" w:rsidP="00E74261">
      <w:pPr>
        <w:rPr>
          <w:rFonts w:ascii="Arial" w:hAnsi="Arial" w:cs="Arial"/>
          <w:i/>
        </w:rPr>
      </w:pPr>
    </w:p>
    <w:p w:rsidR="005227BF" w:rsidRDefault="005227BF" w:rsidP="00E74261">
      <w:pPr>
        <w:rPr>
          <w:rFonts w:ascii="Arial" w:hAnsi="Arial" w:cs="Arial"/>
          <w:i/>
        </w:rPr>
      </w:pPr>
    </w:p>
    <w:p w:rsidR="005227BF" w:rsidRDefault="005227BF" w:rsidP="00E74261">
      <w:pPr>
        <w:rPr>
          <w:rFonts w:ascii="Arial" w:hAnsi="Arial" w:cs="Arial"/>
          <w:i/>
        </w:rPr>
      </w:pPr>
    </w:p>
    <w:p w:rsidR="005227BF" w:rsidRDefault="005227BF" w:rsidP="00E74261">
      <w:pPr>
        <w:rPr>
          <w:rFonts w:ascii="Arial" w:hAnsi="Arial" w:cs="Arial"/>
          <w:i/>
        </w:rPr>
      </w:pPr>
    </w:p>
    <w:p w:rsidR="00E74261" w:rsidRPr="00E74261" w:rsidRDefault="00E74261" w:rsidP="00E74261">
      <w:pPr>
        <w:rPr>
          <w:rFonts w:ascii="Arial" w:hAnsi="Arial" w:cs="Arial"/>
          <w:i/>
        </w:rPr>
      </w:pPr>
      <w:r w:rsidRPr="00E74261">
        <w:rPr>
          <w:rFonts w:ascii="Arial" w:hAnsi="Arial" w:cs="Arial"/>
          <w:i/>
        </w:rPr>
        <w:lastRenderedPageBreak/>
        <w:t>Capital gains tax</w:t>
      </w:r>
    </w:p>
    <w:p w:rsidR="00E74261" w:rsidRDefault="00E74261" w:rsidP="00E74261">
      <w:pPr>
        <w:rPr>
          <w:rFonts w:ascii="Arial" w:hAnsi="Arial" w:cs="Arial"/>
        </w:rPr>
      </w:pPr>
    </w:p>
    <w:p w:rsidR="00E74261" w:rsidRDefault="00023CC7" w:rsidP="00E74261">
      <w:pPr>
        <w:rPr>
          <w:rFonts w:ascii="Arial" w:hAnsi="Arial" w:cs="Arial"/>
        </w:rPr>
      </w:pPr>
      <w:r>
        <w:rPr>
          <w:rFonts w:ascii="Arial" w:hAnsi="Arial" w:cs="Arial"/>
        </w:rPr>
        <w:t>Capital</w:t>
      </w:r>
      <w:r w:rsidR="00E74261">
        <w:rPr>
          <w:rFonts w:ascii="Arial" w:hAnsi="Arial" w:cs="Arial"/>
        </w:rPr>
        <w:t xml:space="preserve"> gains tax (CGT) could be </w:t>
      </w:r>
      <w:r w:rsidR="00E74261" w:rsidRPr="00E74261">
        <w:rPr>
          <w:rFonts w:ascii="Arial" w:hAnsi="Arial" w:cs="Arial"/>
        </w:rPr>
        <w:t>preventing the transfer of business ownership to the next generation</w:t>
      </w:r>
      <w:r w:rsidR="00E74261">
        <w:rPr>
          <w:rFonts w:ascii="Arial" w:hAnsi="Arial" w:cs="Arial"/>
        </w:rPr>
        <w:t xml:space="preserve">. </w:t>
      </w:r>
      <w:r w:rsidR="005227BF">
        <w:rPr>
          <w:rFonts w:ascii="Arial" w:hAnsi="Arial" w:cs="Arial"/>
        </w:rPr>
        <w:t>As the Parliamentary Joint Committee commented:</w:t>
      </w:r>
    </w:p>
    <w:p w:rsidR="00E74261" w:rsidRDefault="00E74261" w:rsidP="00E74261">
      <w:pPr>
        <w:rPr>
          <w:rFonts w:ascii="Arial" w:hAnsi="Arial" w:cs="Arial"/>
        </w:rPr>
      </w:pPr>
    </w:p>
    <w:p w:rsidR="00E74261" w:rsidRDefault="00E74261" w:rsidP="00023CC7">
      <w:pPr>
        <w:ind w:left="1134" w:right="1134"/>
        <w:rPr>
          <w:rFonts w:ascii="Arial" w:hAnsi="Arial" w:cs="Arial"/>
        </w:rPr>
      </w:pPr>
      <w:r w:rsidRPr="00E74261">
        <w:rPr>
          <w:rFonts w:ascii="Arial" w:hAnsi="Arial" w:cs="Arial"/>
        </w:rPr>
        <w:t xml:space="preserve">Mr Peter Levi, Managing Director, Co-owner, </w:t>
      </w:r>
      <w:proofErr w:type="spellStart"/>
      <w:r w:rsidRPr="00E74261">
        <w:rPr>
          <w:rFonts w:ascii="Arial" w:hAnsi="Arial" w:cs="Arial"/>
        </w:rPr>
        <w:t>Colorific</w:t>
      </w:r>
      <w:proofErr w:type="spellEnd"/>
      <w:r w:rsidRPr="00E74261">
        <w:rPr>
          <w:rFonts w:ascii="Arial" w:hAnsi="Arial" w:cs="Arial"/>
        </w:rPr>
        <w:t xml:space="preserve"> Australia, argued that CGT limits succession options. Mr Levi advised that while it was possible to transfer the management of the business, CGT effectively prevented the transfer of business ownership: Certainly in our own business—we are a 22-year-old business employing around 35 people and I have both sons in the business—to transition control is one thing; to transition ownership is another thing altogether. Without going into details, we have a trust structure, but to transfer part of the business we are subject to CGT issues. We want to retain control of the business, obviously, and ownership within the family. Our two boys are coming up and are effectively managing the business now. One is my second-in-charge—doing a fantastic job—– and they really deserve to have ownership, but we cannot afford to be in a CGT situation</w:t>
      </w:r>
      <w:r>
        <w:rPr>
          <w:rFonts w:ascii="Arial" w:hAnsi="Arial" w:cs="Arial"/>
        </w:rPr>
        <w:t>.</w:t>
      </w:r>
      <w:r w:rsidRPr="00E74261">
        <w:rPr>
          <w:rFonts w:ascii="Arial" w:hAnsi="Arial" w:cs="Arial"/>
          <w:vertAlign w:val="superscript"/>
        </w:rPr>
        <w:footnoteReference w:id="22"/>
      </w:r>
    </w:p>
    <w:p w:rsidR="00E74261" w:rsidRPr="004C377A" w:rsidRDefault="00E74261" w:rsidP="00E74261">
      <w:pPr>
        <w:rPr>
          <w:rFonts w:ascii="Arial" w:hAnsi="Arial" w:cs="Arial"/>
        </w:rPr>
      </w:pPr>
    </w:p>
    <w:p w:rsidR="00E74261" w:rsidRPr="00E74261" w:rsidRDefault="00E74261" w:rsidP="00E74261">
      <w:pPr>
        <w:rPr>
          <w:rFonts w:ascii="Arial" w:hAnsi="Arial" w:cs="Arial"/>
        </w:rPr>
      </w:pPr>
      <w:r>
        <w:rPr>
          <w:rFonts w:ascii="Arial" w:hAnsi="Arial" w:cs="Arial"/>
        </w:rPr>
        <w:t xml:space="preserve">Previous arrangements for trusts included ‘trust cloning’ where </w:t>
      </w:r>
      <w:r w:rsidRPr="00E74261">
        <w:rPr>
          <w:rFonts w:ascii="Arial" w:hAnsi="Arial" w:cs="Arial"/>
        </w:rPr>
        <w:t>family business</w:t>
      </w:r>
      <w:r w:rsidR="002D67A7">
        <w:rPr>
          <w:rFonts w:ascii="Arial" w:hAnsi="Arial" w:cs="Arial"/>
        </w:rPr>
        <w:t>es</w:t>
      </w:r>
      <w:r w:rsidRPr="00E74261">
        <w:rPr>
          <w:rFonts w:ascii="Arial" w:hAnsi="Arial" w:cs="Arial"/>
        </w:rPr>
        <w:t xml:space="preserve"> used to be able to transfer business assets without trigg</w:t>
      </w:r>
      <w:r>
        <w:rPr>
          <w:rFonts w:ascii="Arial" w:hAnsi="Arial" w:cs="Arial"/>
        </w:rPr>
        <w:t xml:space="preserve">ering a capital gains liability, </w:t>
      </w:r>
      <w:r w:rsidR="002D411B">
        <w:rPr>
          <w:rFonts w:ascii="Arial" w:hAnsi="Arial" w:cs="Arial"/>
        </w:rPr>
        <w:t xml:space="preserve">where </w:t>
      </w:r>
      <w:r w:rsidRPr="00E74261">
        <w:rPr>
          <w:rFonts w:ascii="Arial" w:hAnsi="Arial" w:cs="Arial"/>
        </w:rPr>
        <w:t xml:space="preserve">a new trust </w:t>
      </w:r>
      <w:r w:rsidR="002D411B">
        <w:rPr>
          <w:rFonts w:ascii="Arial" w:hAnsi="Arial" w:cs="Arial"/>
        </w:rPr>
        <w:t xml:space="preserve">would be created </w:t>
      </w:r>
      <w:r w:rsidRPr="00E74261">
        <w:rPr>
          <w:rFonts w:ascii="Arial" w:hAnsi="Arial" w:cs="Arial"/>
        </w:rPr>
        <w:t>with the same beneficiaries and terms.</w:t>
      </w:r>
      <w:r>
        <w:rPr>
          <w:rStyle w:val="FootnoteReference"/>
          <w:rFonts w:ascii="Arial" w:hAnsi="Arial"/>
        </w:rPr>
        <w:footnoteReference w:id="23"/>
      </w:r>
      <w:r>
        <w:rPr>
          <w:rFonts w:ascii="Arial" w:hAnsi="Arial" w:cs="Arial"/>
        </w:rPr>
        <w:t xml:space="preserve"> Cloning was abolished in 2008 as it was seen as tax avoidance. </w:t>
      </w:r>
      <w:r w:rsidR="002D411B">
        <w:rPr>
          <w:rFonts w:ascii="Arial" w:hAnsi="Arial" w:cs="Arial"/>
        </w:rPr>
        <w:t xml:space="preserve">However, its abolition has increased </w:t>
      </w:r>
      <w:r w:rsidR="00023CC7">
        <w:rPr>
          <w:rFonts w:ascii="Arial" w:hAnsi="Arial" w:cs="Arial"/>
        </w:rPr>
        <w:t xml:space="preserve">the presence of CGT and has </w:t>
      </w:r>
      <w:r w:rsidR="002D411B">
        <w:rPr>
          <w:rFonts w:ascii="Arial" w:hAnsi="Arial" w:cs="Arial"/>
        </w:rPr>
        <w:t xml:space="preserve">increased the tax burden on </w:t>
      </w:r>
      <w:r w:rsidR="00023CC7">
        <w:rPr>
          <w:rFonts w:ascii="Arial" w:hAnsi="Arial" w:cs="Arial"/>
        </w:rPr>
        <w:t>families</w:t>
      </w:r>
      <w:r w:rsidR="002D411B">
        <w:rPr>
          <w:rFonts w:ascii="Arial" w:hAnsi="Arial" w:cs="Arial"/>
        </w:rPr>
        <w:t xml:space="preserve"> wishing to transfer ownership. </w:t>
      </w:r>
    </w:p>
    <w:p w:rsidR="003A4982" w:rsidRDefault="003A4982" w:rsidP="004C377A">
      <w:pPr>
        <w:rPr>
          <w:rFonts w:ascii="Arial" w:hAnsi="Arial" w:cs="Arial"/>
        </w:rPr>
      </w:pPr>
    </w:p>
    <w:p w:rsidR="00040C3C" w:rsidRPr="00040C3C" w:rsidRDefault="002D411B" w:rsidP="00040C3C">
      <w:pPr>
        <w:rPr>
          <w:rFonts w:ascii="Arial" w:hAnsi="Arial" w:cs="Arial"/>
        </w:rPr>
      </w:pPr>
      <w:r>
        <w:rPr>
          <w:rFonts w:ascii="Arial" w:hAnsi="Arial" w:cs="Arial"/>
        </w:rPr>
        <w:t>The report found that the reality of the high cost of transferring the business asset to their offspring and the cash flow effect of the large tax bill results in an easier solution of simply transferring the business to a third party</w:t>
      </w:r>
      <w:r w:rsidR="00023CC7">
        <w:rPr>
          <w:rFonts w:ascii="Arial" w:hAnsi="Arial" w:cs="Arial"/>
        </w:rPr>
        <w:t>.</w:t>
      </w:r>
      <w:r>
        <w:rPr>
          <w:rStyle w:val="FootnoteReference"/>
          <w:rFonts w:ascii="Arial" w:hAnsi="Arial"/>
        </w:rPr>
        <w:footnoteReference w:id="24"/>
      </w:r>
      <w:r>
        <w:rPr>
          <w:rFonts w:ascii="Arial" w:hAnsi="Arial" w:cs="Arial"/>
        </w:rPr>
        <w:t xml:space="preserve"> As highlighted in the </w:t>
      </w:r>
      <w:r w:rsidR="00023CC7">
        <w:rPr>
          <w:rFonts w:ascii="Arial" w:hAnsi="Arial" w:cs="Arial"/>
        </w:rPr>
        <w:t xml:space="preserve">operator </w:t>
      </w:r>
      <w:r>
        <w:rPr>
          <w:rFonts w:ascii="Arial" w:hAnsi="Arial" w:cs="Arial"/>
        </w:rPr>
        <w:t>survey responses</w:t>
      </w:r>
      <w:r w:rsidR="005227BF">
        <w:rPr>
          <w:rFonts w:ascii="Arial" w:hAnsi="Arial" w:cs="Arial"/>
        </w:rPr>
        <w:t>,</w:t>
      </w:r>
      <w:r w:rsidR="00023CC7">
        <w:rPr>
          <w:rFonts w:ascii="Arial" w:hAnsi="Arial" w:cs="Arial"/>
        </w:rPr>
        <w:t xml:space="preserve"> there is a concern that these outcomes will</w:t>
      </w:r>
      <w:r>
        <w:rPr>
          <w:rFonts w:ascii="Arial" w:hAnsi="Arial" w:cs="Arial"/>
        </w:rPr>
        <w:t xml:space="preserve"> </w:t>
      </w:r>
      <w:r w:rsidR="005227BF">
        <w:rPr>
          <w:rFonts w:ascii="Arial" w:hAnsi="Arial" w:cs="Arial"/>
        </w:rPr>
        <w:t>reduce competition in the industry</w:t>
      </w:r>
      <w:r>
        <w:rPr>
          <w:rFonts w:ascii="Arial" w:hAnsi="Arial" w:cs="Arial"/>
        </w:rPr>
        <w:t>. It should also be noted that deceased estate trans</w:t>
      </w:r>
      <w:r w:rsidR="00023CC7">
        <w:rPr>
          <w:rFonts w:ascii="Arial" w:hAnsi="Arial" w:cs="Arial"/>
        </w:rPr>
        <w:t xml:space="preserve">fers are not liable for CGT. The application of CGT on family business transfers has </w:t>
      </w:r>
      <w:r>
        <w:rPr>
          <w:rFonts w:ascii="Arial" w:hAnsi="Arial" w:cs="Arial"/>
        </w:rPr>
        <w:t xml:space="preserve">increased </w:t>
      </w:r>
      <w:r w:rsidR="00023CC7">
        <w:rPr>
          <w:rFonts w:ascii="Arial" w:hAnsi="Arial" w:cs="Arial"/>
        </w:rPr>
        <w:t xml:space="preserve">family </w:t>
      </w:r>
      <w:r>
        <w:rPr>
          <w:rFonts w:ascii="Arial" w:hAnsi="Arial" w:cs="Arial"/>
        </w:rPr>
        <w:t>conflict and made succession planning much harder</w:t>
      </w:r>
      <w:r w:rsidR="00023CC7">
        <w:rPr>
          <w:rFonts w:ascii="Arial" w:hAnsi="Arial" w:cs="Arial"/>
        </w:rPr>
        <w:t>.</w:t>
      </w:r>
      <w:r w:rsidR="00040C3C" w:rsidRPr="00040C3C">
        <w:rPr>
          <w:rFonts w:ascii="Arial" w:hAnsi="Arial" w:cs="Arial"/>
          <w:vertAlign w:val="superscript"/>
        </w:rPr>
        <w:footnoteReference w:id="25"/>
      </w:r>
    </w:p>
    <w:p w:rsidR="00E74261" w:rsidRDefault="00E74261" w:rsidP="004C377A">
      <w:pPr>
        <w:rPr>
          <w:rFonts w:ascii="Arial" w:hAnsi="Arial" w:cs="Arial"/>
        </w:rPr>
      </w:pPr>
    </w:p>
    <w:p w:rsidR="00040C3C" w:rsidRDefault="00040C3C" w:rsidP="004C377A">
      <w:pPr>
        <w:rPr>
          <w:rFonts w:ascii="Arial" w:hAnsi="Arial" w:cs="Arial"/>
        </w:rPr>
      </w:pPr>
      <w:r>
        <w:rPr>
          <w:rFonts w:ascii="Arial" w:hAnsi="Arial" w:cs="Arial"/>
        </w:rPr>
        <w:t xml:space="preserve">The Joint Committee stated that </w:t>
      </w:r>
      <w:r w:rsidRPr="00040C3C">
        <w:rPr>
          <w:rFonts w:ascii="Arial" w:hAnsi="Arial" w:cs="Arial"/>
        </w:rPr>
        <w:t>CGT implications may be impeding the innovation and planning of family busin</w:t>
      </w:r>
      <w:r w:rsidR="00023CC7">
        <w:rPr>
          <w:rFonts w:ascii="Arial" w:hAnsi="Arial" w:cs="Arial"/>
        </w:rPr>
        <w:t>esses' succession arrangements and recommended the</w:t>
      </w:r>
      <w:r w:rsidRPr="00040C3C">
        <w:rPr>
          <w:rFonts w:ascii="Arial" w:hAnsi="Arial" w:cs="Arial"/>
        </w:rPr>
        <w:t xml:space="preserve"> matter be considered in the next five years as more data becomes available</w:t>
      </w:r>
      <w:r w:rsidR="00023CC7">
        <w:rPr>
          <w:rFonts w:ascii="Arial" w:hAnsi="Arial" w:cs="Arial"/>
        </w:rPr>
        <w:t>.</w:t>
      </w:r>
      <w:r w:rsidRPr="00040C3C">
        <w:rPr>
          <w:rFonts w:ascii="Arial" w:hAnsi="Arial" w:cs="Arial"/>
          <w:vertAlign w:val="superscript"/>
        </w:rPr>
        <w:footnoteReference w:id="26"/>
      </w:r>
    </w:p>
    <w:p w:rsidR="006751F9" w:rsidRDefault="006751F9" w:rsidP="004C377A">
      <w:pPr>
        <w:rPr>
          <w:rFonts w:ascii="Arial" w:hAnsi="Arial" w:cs="Arial"/>
        </w:rPr>
      </w:pPr>
    </w:p>
    <w:p w:rsidR="00CD37A9" w:rsidRDefault="006751F9" w:rsidP="004C377A">
      <w:pPr>
        <w:rPr>
          <w:rFonts w:ascii="Arial" w:hAnsi="Arial" w:cs="Arial"/>
        </w:rPr>
      </w:pPr>
      <w:r>
        <w:rPr>
          <w:rFonts w:ascii="Arial" w:hAnsi="Arial" w:cs="Arial"/>
        </w:rPr>
        <w:t xml:space="preserve">What should be considered by the Commission is the </w:t>
      </w:r>
      <w:r w:rsidR="00124F32">
        <w:rPr>
          <w:rFonts w:ascii="Arial" w:hAnsi="Arial" w:cs="Arial"/>
        </w:rPr>
        <w:t>intent</w:t>
      </w:r>
      <w:r>
        <w:rPr>
          <w:rFonts w:ascii="Arial" w:hAnsi="Arial" w:cs="Arial"/>
        </w:rPr>
        <w:t xml:space="preserve"> </w:t>
      </w:r>
      <w:r w:rsidR="00B00D8A">
        <w:rPr>
          <w:rFonts w:ascii="Arial" w:hAnsi="Arial" w:cs="Arial"/>
        </w:rPr>
        <w:t xml:space="preserve">of business taxes. </w:t>
      </w:r>
      <w:r w:rsidR="005227BF">
        <w:rPr>
          <w:rFonts w:ascii="Arial" w:hAnsi="Arial" w:cs="Arial"/>
        </w:rPr>
        <w:t xml:space="preserve">The intent of business taxes is to collect revenue in the simplest way possible, and in a way that does not prevent businesses from growing employing more people and contributing to economic growth. </w:t>
      </w:r>
      <w:r>
        <w:rPr>
          <w:rFonts w:ascii="Arial" w:hAnsi="Arial" w:cs="Arial"/>
        </w:rPr>
        <w:t xml:space="preserve"> CGT on businesses transferred to </w:t>
      </w:r>
      <w:r w:rsidR="002D67A7">
        <w:rPr>
          <w:rFonts w:ascii="Arial" w:hAnsi="Arial" w:cs="Arial"/>
        </w:rPr>
        <w:t>offspring</w:t>
      </w:r>
      <w:r>
        <w:rPr>
          <w:rFonts w:ascii="Arial" w:hAnsi="Arial" w:cs="Arial"/>
        </w:rPr>
        <w:t xml:space="preserve"> works against this. When </w:t>
      </w:r>
      <w:r w:rsidR="005227BF">
        <w:rPr>
          <w:rFonts w:ascii="Arial" w:hAnsi="Arial" w:cs="Arial"/>
        </w:rPr>
        <w:t>a</w:t>
      </w:r>
      <w:r>
        <w:rPr>
          <w:rFonts w:ascii="Arial" w:hAnsi="Arial" w:cs="Arial"/>
        </w:rPr>
        <w:t xml:space="preserve"> parent passes on </w:t>
      </w:r>
      <w:r w:rsidR="005227BF">
        <w:rPr>
          <w:rFonts w:ascii="Arial" w:hAnsi="Arial" w:cs="Arial"/>
        </w:rPr>
        <w:t>their</w:t>
      </w:r>
      <w:r>
        <w:rPr>
          <w:rFonts w:ascii="Arial" w:hAnsi="Arial" w:cs="Arial"/>
        </w:rPr>
        <w:t xml:space="preserve"> business to the </w:t>
      </w:r>
      <w:r w:rsidR="005227BF">
        <w:rPr>
          <w:rFonts w:ascii="Arial" w:hAnsi="Arial" w:cs="Arial"/>
        </w:rPr>
        <w:t>second generation they receive no benefit. T</w:t>
      </w:r>
      <w:r>
        <w:rPr>
          <w:rFonts w:ascii="Arial" w:hAnsi="Arial" w:cs="Arial"/>
        </w:rPr>
        <w:t>hey are effectively passing on their source of income</w:t>
      </w:r>
      <w:r w:rsidR="005227BF">
        <w:rPr>
          <w:rFonts w:ascii="Arial" w:hAnsi="Arial" w:cs="Arial"/>
        </w:rPr>
        <w:t xml:space="preserve">. It is not at all obvious why they should pay CGT out of the family’s pool of assets. </w:t>
      </w:r>
      <w:r w:rsidR="00CD37A9">
        <w:rPr>
          <w:rFonts w:ascii="Arial" w:hAnsi="Arial" w:cs="Arial"/>
        </w:rPr>
        <w:t xml:space="preserve"> </w:t>
      </w:r>
    </w:p>
    <w:p w:rsidR="00CD37A9" w:rsidRDefault="00CD37A9" w:rsidP="004C377A">
      <w:pPr>
        <w:rPr>
          <w:rFonts w:ascii="Arial" w:hAnsi="Arial" w:cs="Arial"/>
        </w:rPr>
      </w:pPr>
    </w:p>
    <w:p w:rsidR="006751F9" w:rsidRDefault="00124F32" w:rsidP="004C377A">
      <w:pPr>
        <w:rPr>
          <w:rFonts w:ascii="Arial" w:hAnsi="Arial" w:cs="Arial"/>
        </w:rPr>
      </w:pPr>
      <w:r>
        <w:rPr>
          <w:rFonts w:ascii="Arial" w:hAnsi="Arial" w:cs="Arial"/>
        </w:rPr>
        <w:lastRenderedPageBreak/>
        <w:t>The heir could be liable if they choose to sell the business outside of the family as they are then benefitting financially from the sale</w:t>
      </w:r>
      <w:r w:rsidR="00CD37A9">
        <w:rPr>
          <w:rFonts w:ascii="Arial" w:hAnsi="Arial" w:cs="Arial"/>
        </w:rPr>
        <w:t>,</w:t>
      </w:r>
      <w:r>
        <w:rPr>
          <w:rFonts w:ascii="Arial" w:hAnsi="Arial" w:cs="Arial"/>
        </w:rPr>
        <w:t xml:space="preserve"> but a simple change of company ownership within a family should not be taxed as the original sellers have not financially benefitted.  </w:t>
      </w:r>
    </w:p>
    <w:p w:rsidR="00E74261" w:rsidRDefault="00E74261" w:rsidP="004C377A">
      <w:pPr>
        <w:rPr>
          <w:rFonts w:ascii="Arial" w:hAnsi="Arial" w:cs="Arial"/>
        </w:rPr>
      </w:pPr>
    </w:p>
    <w:p w:rsidR="004C377A" w:rsidRPr="00124F32" w:rsidRDefault="00040C3C" w:rsidP="00FD42F4">
      <w:pPr>
        <w:rPr>
          <w:rFonts w:ascii="Arial" w:hAnsi="Arial" w:cs="Arial"/>
          <w:b/>
        </w:rPr>
      </w:pPr>
      <w:r w:rsidRPr="00124F32">
        <w:rPr>
          <w:rFonts w:ascii="Arial" w:hAnsi="Arial" w:cs="Arial"/>
          <w:b/>
        </w:rPr>
        <w:t>Recommendation</w:t>
      </w:r>
      <w:r w:rsidR="005227BF">
        <w:rPr>
          <w:rFonts w:ascii="Arial" w:hAnsi="Arial" w:cs="Arial"/>
          <w:b/>
        </w:rPr>
        <w:t xml:space="preserve"> 7</w:t>
      </w:r>
    </w:p>
    <w:p w:rsidR="004C377A" w:rsidRDefault="004C377A" w:rsidP="00FD42F4">
      <w:pPr>
        <w:rPr>
          <w:rFonts w:ascii="Arial" w:hAnsi="Arial" w:cs="Arial"/>
        </w:rPr>
      </w:pPr>
    </w:p>
    <w:p w:rsidR="00040C3C" w:rsidRDefault="00040C3C" w:rsidP="00FD42F4">
      <w:pPr>
        <w:rPr>
          <w:rFonts w:ascii="Arial" w:hAnsi="Arial" w:cs="Arial"/>
        </w:rPr>
      </w:pPr>
      <w:r>
        <w:rPr>
          <w:rFonts w:ascii="Arial" w:hAnsi="Arial" w:cs="Arial"/>
        </w:rPr>
        <w:t>Capital gai</w:t>
      </w:r>
      <w:r w:rsidR="00124F32">
        <w:rPr>
          <w:rFonts w:ascii="Arial" w:hAnsi="Arial" w:cs="Arial"/>
        </w:rPr>
        <w:t>ns tax should not be levied on business</w:t>
      </w:r>
      <w:r w:rsidR="00CD37A9">
        <w:rPr>
          <w:rFonts w:ascii="Arial" w:hAnsi="Arial" w:cs="Arial"/>
        </w:rPr>
        <w:t xml:space="preserve"> </w:t>
      </w:r>
      <w:r w:rsidR="00CD37A9" w:rsidRPr="00CD37A9">
        <w:rPr>
          <w:rFonts w:ascii="Arial" w:hAnsi="Arial" w:cs="Arial"/>
        </w:rPr>
        <w:t>ownership</w:t>
      </w:r>
      <w:r w:rsidR="00124F32">
        <w:rPr>
          <w:rFonts w:ascii="Arial" w:hAnsi="Arial" w:cs="Arial"/>
        </w:rPr>
        <w:t xml:space="preserve"> transfers within families. </w:t>
      </w:r>
    </w:p>
    <w:p w:rsidR="00072340" w:rsidRDefault="00072340" w:rsidP="00072340">
      <w:pPr>
        <w:rPr>
          <w:rFonts w:ascii="Arial" w:hAnsi="Arial" w:cs="Arial"/>
        </w:rPr>
      </w:pPr>
    </w:p>
    <w:p w:rsidR="00124F32" w:rsidRPr="003A4982" w:rsidRDefault="00833D88" w:rsidP="003A4982">
      <w:pPr>
        <w:pStyle w:val="Heading1"/>
        <w:numPr>
          <w:ilvl w:val="0"/>
          <w:numId w:val="0"/>
        </w:numPr>
        <w:ind w:left="360" w:hanging="360"/>
        <w:rPr>
          <w:sz w:val="24"/>
          <w:szCs w:val="22"/>
        </w:rPr>
      </w:pPr>
      <w:bookmarkStart w:id="13" w:name="_Toc412794717"/>
      <w:r>
        <w:rPr>
          <w:sz w:val="24"/>
          <w:szCs w:val="22"/>
        </w:rPr>
        <w:t>6.7</w:t>
      </w:r>
      <w:r w:rsidR="003A4982" w:rsidRPr="003A4982">
        <w:rPr>
          <w:sz w:val="24"/>
          <w:szCs w:val="22"/>
        </w:rPr>
        <w:t xml:space="preserve"> </w:t>
      </w:r>
      <w:r w:rsidR="00CD37A9" w:rsidRPr="003A4982">
        <w:rPr>
          <w:sz w:val="24"/>
          <w:szCs w:val="22"/>
        </w:rPr>
        <w:t xml:space="preserve">Improve </w:t>
      </w:r>
      <w:r w:rsidR="00E6497E" w:rsidRPr="003A4982">
        <w:rPr>
          <w:sz w:val="24"/>
          <w:szCs w:val="22"/>
        </w:rPr>
        <w:t>tr</w:t>
      </w:r>
      <w:r w:rsidR="00CD37A9" w:rsidRPr="003A4982">
        <w:rPr>
          <w:sz w:val="24"/>
          <w:szCs w:val="22"/>
        </w:rPr>
        <w:t>ansparency for business a</w:t>
      </w:r>
      <w:r w:rsidR="00124F32" w:rsidRPr="003A4982">
        <w:rPr>
          <w:sz w:val="24"/>
          <w:szCs w:val="22"/>
        </w:rPr>
        <w:t>ccess to finance</w:t>
      </w:r>
      <w:bookmarkEnd w:id="13"/>
      <w:r w:rsidR="00124F32" w:rsidRPr="003A4982">
        <w:rPr>
          <w:sz w:val="24"/>
          <w:szCs w:val="22"/>
        </w:rPr>
        <w:t xml:space="preserve"> </w:t>
      </w:r>
    </w:p>
    <w:p w:rsidR="00124F32" w:rsidRPr="00072340" w:rsidRDefault="00124F32" w:rsidP="00072340">
      <w:pPr>
        <w:rPr>
          <w:rFonts w:ascii="Arial" w:hAnsi="Arial" w:cs="Arial"/>
        </w:rPr>
      </w:pPr>
    </w:p>
    <w:p w:rsidR="00072340" w:rsidRPr="00657446" w:rsidRDefault="00124F32" w:rsidP="00072340">
      <w:pPr>
        <w:rPr>
          <w:rFonts w:ascii="Arial" w:hAnsi="Arial" w:cs="Arial"/>
        </w:rPr>
      </w:pPr>
      <w:r w:rsidRPr="00657446">
        <w:rPr>
          <w:rFonts w:ascii="Arial" w:hAnsi="Arial" w:cs="Arial"/>
        </w:rPr>
        <w:t>Operators in the survey stated that accessing finance and finance reporting had become increasingly hard to do following the global financial crisis</w:t>
      </w:r>
      <w:r w:rsidR="00E6497E">
        <w:rPr>
          <w:rFonts w:ascii="Arial" w:hAnsi="Arial" w:cs="Arial"/>
        </w:rPr>
        <w:t xml:space="preserve"> (GFC)</w:t>
      </w:r>
      <w:r w:rsidRPr="00657446">
        <w:rPr>
          <w:rFonts w:ascii="Arial" w:hAnsi="Arial" w:cs="Arial"/>
        </w:rPr>
        <w:t xml:space="preserve">. </w:t>
      </w:r>
    </w:p>
    <w:p w:rsidR="00124F32" w:rsidRPr="00657446" w:rsidRDefault="00124F32" w:rsidP="00072340">
      <w:pPr>
        <w:rPr>
          <w:rFonts w:ascii="Arial" w:hAnsi="Arial" w:cs="Arial"/>
        </w:rPr>
      </w:pPr>
    </w:p>
    <w:p w:rsidR="00124F32" w:rsidRPr="00657446" w:rsidRDefault="00E6497E" w:rsidP="00E6497E">
      <w:pPr>
        <w:ind w:left="1134" w:right="1134"/>
        <w:rPr>
          <w:rFonts w:ascii="Arial" w:hAnsi="Arial" w:cs="Arial"/>
        </w:rPr>
      </w:pPr>
      <w:r w:rsidRPr="00657446">
        <w:rPr>
          <w:rFonts w:ascii="Arial" w:hAnsi="Arial" w:cs="Arial"/>
        </w:rPr>
        <w:t>While</w:t>
      </w:r>
      <w:r w:rsidR="00124F32" w:rsidRPr="00657446">
        <w:rPr>
          <w:rFonts w:ascii="Arial" w:hAnsi="Arial" w:cs="Arial"/>
        </w:rPr>
        <w:t xml:space="preserve"> Australia weathered the GFC, the crisis reduced the number of providers and increased the cost of finance. SMEs continued to have access to finance, albeit on less favourable terms. Notably, SMEs appeared to fare better than large businesses. Lending to large businesses declined dramatically while lending to SMEs declined more modestly and recovered more swiftly.</w:t>
      </w:r>
      <w:r w:rsidR="00124F32" w:rsidRPr="00657446">
        <w:rPr>
          <w:rStyle w:val="FootnoteReference"/>
          <w:rFonts w:ascii="Arial" w:hAnsi="Arial" w:cs="Arial"/>
        </w:rPr>
        <w:footnoteReference w:id="27"/>
      </w:r>
    </w:p>
    <w:p w:rsidR="00124F32" w:rsidRPr="00657446" w:rsidRDefault="00124F32" w:rsidP="00072340">
      <w:pPr>
        <w:rPr>
          <w:rFonts w:ascii="Arial" w:hAnsi="Arial" w:cs="Arial"/>
        </w:rPr>
      </w:pPr>
    </w:p>
    <w:p w:rsidR="00124F32" w:rsidRDefault="00E6497E" w:rsidP="00E6497E">
      <w:pPr>
        <w:rPr>
          <w:rFonts w:ascii="Arial" w:hAnsi="Arial" w:cs="Arial"/>
        </w:rPr>
      </w:pPr>
      <w:r w:rsidRPr="00657446">
        <w:rPr>
          <w:rFonts w:ascii="Arial" w:hAnsi="Arial" w:cs="Arial"/>
        </w:rPr>
        <w:t>Funding</w:t>
      </w:r>
      <w:r w:rsidR="00841BE9" w:rsidRPr="00657446">
        <w:rPr>
          <w:rFonts w:ascii="Arial" w:hAnsi="Arial" w:cs="Arial"/>
        </w:rPr>
        <w:t xml:space="preserve"> for small businesses is essential for growth, especially in the trucking industry with new vehicle purchases</w:t>
      </w:r>
      <w:r>
        <w:rPr>
          <w:rFonts w:ascii="Arial" w:hAnsi="Arial" w:cs="Arial"/>
        </w:rPr>
        <w:t xml:space="preserve"> or depots</w:t>
      </w:r>
      <w:r w:rsidR="00841BE9" w:rsidRPr="00657446">
        <w:rPr>
          <w:rFonts w:ascii="Arial" w:hAnsi="Arial" w:cs="Arial"/>
        </w:rPr>
        <w:t xml:space="preserve"> being large </w:t>
      </w:r>
      <w:r>
        <w:rPr>
          <w:rFonts w:ascii="Arial" w:hAnsi="Arial" w:cs="Arial"/>
        </w:rPr>
        <w:t xml:space="preserve">capital </w:t>
      </w:r>
      <w:r w:rsidR="00841BE9" w:rsidRPr="00657446">
        <w:rPr>
          <w:rFonts w:ascii="Arial" w:hAnsi="Arial" w:cs="Arial"/>
        </w:rPr>
        <w:t xml:space="preserve">outlays for businesses. </w:t>
      </w:r>
      <w:r>
        <w:rPr>
          <w:rFonts w:ascii="Arial" w:hAnsi="Arial" w:cs="Arial"/>
        </w:rPr>
        <w:t>Finding funding comes from a range of sources including</w:t>
      </w:r>
      <w:r w:rsidRPr="00657446">
        <w:rPr>
          <w:rFonts w:ascii="Arial" w:hAnsi="Arial" w:cs="Arial"/>
        </w:rPr>
        <w:t xml:space="preserve"> internal funding, owner equity, venture capital, secured and unsecured intermediated credit, and bank bills.</w:t>
      </w:r>
      <w:r>
        <w:rPr>
          <w:rFonts w:ascii="Arial" w:hAnsi="Arial" w:cs="Arial"/>
        </w:rPr>
        <w:t xml:space="preserve"> L</w:t>
      </w:r>
      <w:r w:rsidR="00124F32" w:rsidRPr="00657446">
        <w:rPr>
          <w:rFonts w:ascii="Arial" w:hAnsi="Arial" w:cs="Arial"/>
        </w:rPr>
        <w:t>arger businesses can issue corporate bonds and equity as</w:t>
      </w:r>
      <w:r>
        <w:rPr>
          <w:rFonts w:ascii="Arial" w:hAnsi="Arial" w:cs="Arial"/>
        </w:rPr>
        <w:t xml:space="preserve"> alternative sources of finance.</w:t>
      </w:r>
      <w:r w:rsidR="00124F32" w:rsidRPr="00657446">
        <w:rPr>
          <w:rStyle w:val="FootnoteReference"/>
          <w:rFonts w:ascii="Arial" w:hAnsi="Arial" w:cs="Arial"/>
        </w:rPr>
        <w:footnoteReference w:id="28"/>
      </w:r>
    </w:p>
    <w:p w:rsidR="00841BE9" w:rsidRPr="00657446" w:rsidRDefault="00841BE9" w:rsidP="00124F32">
      <w:pPr>
        <w:rPr>
          <w:rFonts w:ascii="Arial" w:hAnsi="Arial" w:cs="Arial"/>
        </w:rPr>
      </w:pPr>
    </w:p>
    <w:p w:rsidR="00841BE9" w:rsidRPr="00657446" w:rsidRDefault="00841BE9" w:rsidP="00124F32">
      <w:pPr>
        <w:rPr>
          <w:rFonts w:ascii="Arial" w:hAnsi="Arial" w:cs="Arial"/>
        </w:rPr>
      </w:pPr>
      <w:r w:rsidRPr="00657446">
        <w:rPr>
          <w:rFonts w:ascii="Arial" w:hAnsi="Arial" w:cs="Arial"/>
        </w:rPr>
        <w:t xml:space="preserve">Barriers </w:t>
      </w:r>
      <w:r w:rsidR="003A4982">
        <w:rPr>
          <w:rFonts w:ascii="Arial" w:hAnsi="Arial" w:cs="Arial"/>
        </w:rPr>
        <w:t>to</w:t>
      </w:r>
      <w:r w:rsidRPr="00657446">
        <w:rPr>
          <w:rFonts w:ascii="Arial" w:hAnsi="Arial" w:cs="Arial"/>
        </w:rPr>
        <w:t xml:space="preserve"> accessing finance ca</w:t>
      </w:r>
      <w:r w:rsidR="00E6497E">
        <w:rPr>
          <w:rFonts w:ascii="Arial" w:hAnsi="Arial" w:cs="Arial"/>
        </w:rPr>
        <w:t>n have growth limiting effects</w:t>
      </w:r>
      <w:r w:rsidR="003A4982">
        <w:rPr>
          <w:rFonts w:ascii="Arial" w:hAnsi="Arial" w:cs="Arial"/>
        </w:rPr>
        <w:t xml:space="preserve"> on small businesses</w:t>
      </w:r>
      <w:r w:rsidR="00E6497E">
        <w:rPr>
          <w:rFonts w:ascii="Arial" w:hAnsi="Arial" w:cs="Arial"/>
        </w:rPr>
        <w:t xml:space="preserve">: </w:t>
      </w:r>
    </w:p>
    <w:p w:rsidR="00841BE9" w:rsidRPr="00657446" w:rsidRDefault="00841BE9" w:rsidP="00124F32">
      <w:pPr>
        <w:rPr>
          <w:rFonts w:ascii="Arial" w:hAnsi="Arial" w:cs="Arial"/>
        </w:rPr>
      </w:pPr>
    </w:p>
    <w:p w:rsidR="00841BE9" w:rsidRPr="00657446" w:rsidRDefault="00A21381" w:rsidP="00E6497E">
      <w:pPr>
        <w:ind w:left="1134" w:right="1134"/>
        <w:rPr>
          <w:rFonts w:ascii="Arial" w:hAnsi="Arial" w:cs="Arial"/>
        </w:rPr>
      </w:pPr>
      <w:r>
        <w:rPr>
          <w:rFonts w:ascii="Arial" w:hAnsi="Arial" w:cs="Arial"/>
        </w:rPr>
        <w:t>The Australian Chamber of Commerce and Industry</w:t>
      </w:r>
      <w:r w:rsidR="00124F32" w:rsidRPr="00657446">
        <w:rPr>
          <w:rFonts w:ascii="Arial" w:hAnsi="Arial" w:cs="Arial"/>
        </w:rPr>
        <w:t xml:space="preserve"> provided data from Victoria University's 2010 small business survey which found that inadequate access to finance was considered a major obstacle to growth by 16 per cent, and a moderate obstacle by a further 18 per cent, of the 284 businesses surveyed. </w:t>
      </w:r>
      <w:r w:rsidR="00841BE9" w:rsidRPr="00657446">
        <w:rPr>
          <w:rStyle w:val="FootnoteReference"/>
          <w:rFonts w:ascii="Arial" w:hAnsi="Arial" w:cs="Arial"/>
        </w:rPr>
        <w:footnoteReference w:id="29"/>
      </w:r>
    </w:p>
    <w:p w:rsidR="00841BE9" w:rsidRPr="00657446" w:rsidRDefault="00841BE9" w:rsidP="00124F32">
      <w:pPr>
        <w:rPr>
          <w:rFonts w:ascii="Arial" w:hAnsi="Arial" w:cs="Arial"/>
        </w:rPr>
      </w:pPr>
    </w:p>
    <w:p w:rsidR="00841BE9" w:rsidRPr="00657446" w:rsidRDefault="00841BE9" w:rsidP="00841BE9">
      <w:pPr>
        <w:rPr>
          <w:rFonts w:ascii="Arial" w:hAnsi="Arial" w:cs="Arial"/>
        </w:rPr>
      </w:pPr>
      <w:r w:rsidRPr="00657446">
        <w:rPr>
          <w:rFonts w:ascii="Arial" w:hAnsi="Arial" w:cs="Arial"/>
        </w:rPr>
        <w:t xml:space="preserve">There is also evidence that many small business turn to higher cost methods of accessing finance such as credit cards. </w:t>
      </w:r>
      <w:r w:rsidR="00A21381">
        <w:rPr>
          <w:rFonts w:ascii="Arial" w:hAnsi="Arial" w:cs="Arial"/>
        </w:rPr>
        <w:t>‘</w:t>
      </w:r>
      <w:r w:rsidRPr="00657446">
        <w:rPr>
          <w:rFonts w:ascii="Arial" w:hAnsi="Arial" w:cs="Arial"/>
        </w:rPr>
        <w:t>Heavy reliance on credit card finance also means that business owners are paying more than double the interest rate charges for credit card finance than a residentially-secured business loan, which puts significant pressure on small business</w:t>
      </w:r>
      <w:r w:rsidR="00A21381">
        <w:rPr>
          <w:rFonts w:ascii="Arial" w:hAnsi="Arial" w:cs="Arial"/>
        </w:rPr>
        <w:t>’.</w:t>
      </w:r>
      <w:r w:rsidRPr="00657446">
        <w:rPr>
          <w:rFonts w:ascii="Arial" w:hAnsi="Arial" w:cs="Arial"/>
          <w:vertAlign w:val="superscript"/>
        </w:rPr>
        <w:footnoteReference w:id="30"/>
      </w:r>
    </w:p>
    <w:p w:rsidR="00841BE9" w:rsidRPr="00657446" w:rsidRDefault="00841BE9" w:rsidP="00124F32">
      <w:pPr>
        <w:rPr>
          <w:rFonts w:ascii="Arial" w:hAnsi="Arial" w:cs="Arial"/>
        </w:rPr>
      </w:pPr>
    </w:p>
    <w:p w:rsidR="00124F32" w:rsidRPr="00657446" w:rsidRDefault="00A21381" w:rsidP="00124F32">
      <w:pPr>
        <w:rPr>
          <w:rFonts w:ascii="Arial" w:hAnsi="Arial" w:cs="Arial"/>
        </w:rPr>
      </w:pPr>
      <w:r>
        <w:rPr>
          <w:rFonts w:ascii="Arial" w:hAnsi="Arial" w:cs="Arial"/>
        </w:rPr>
        <w:t>As hig</w:t>
      </w:r>
      <w:r w:rsidR="005227BF">
        <w:rPr>
          <w:rFonts w:ascii="Arial" w:hAnsi="Arial" w:cs="Arial"/>
        </w:rPr>
        <w:t xml:space="preserve">hlighted in the operator survey, </w:t>
      </w:r>
      <w:r>
        <w:rPr>
          <w:rFonts w:ascii="Arial" w:hAnsi="Arial" w:cs="Arial"/>
        </w:rPr>
        <w:t>lending conditions have become tighter. ‘</w:t>
      </w:r>
      <w:r w:rsidR="00124F32" w:rsidRPr="00657446">
        <w:rPr>
          <w:rFonts w:ascii="Arial" w:hAnsi="Arial" w:cs="Arial"/>
        </w:rPr>
        <w:t>The reported changes to lending conditions included increased security requirements, a reduction in the kinds of security accepted, a decrease in the loan-to-valuation ratio and increased reporting requirements that included requirements outside the scope</w:t>
      </w:r>
      <w:r w:rsidR="00841BE9" w:rsidRPr="00657446">
        <w:rPr>
          <w:rFonts w:ascii="Arial" w:hAnsi="Arial" w:cs="Arial"/>
        </w:rPr>
        <w:t xml:space="preserve"> of the original loan agreement</w:t>
      </w:r>
      <w:r>
        <w:rPr>
          <w:rFonts w:ascii="Arial" w:hAnsi="Arial" w:cs="Arial"/>
        </w:rPr>
        <w:t>’</w:t>
      </w:r>
      <w:r w:rsidR="00841BE9" w:rsidRPr="00657446">
        <w:rPr>
          <w:rFonts w:ascii="Arial" w:hAnsi="Arial" w:cs="Arial"/>
        </w:rPr>
        <w:t>.</w:t>
      </w:r>
      <w:r w:rsidR="00124F32" w:rsidRPr="00657446">
        <w:rPr>
          <w:rStyle w:val="FootnoteReference"/>
          <w:rFonts w:ascii="Arial" w:hAnsi="Arial" w:cs="Arial"/>
        </w:rPr>
        <w:footnoteReference w:id="31"/>
      </w:r>
    </w:p>
    <w:p w:rsidR="00841BE9" w:rsidRPr="00657446" w:rsidRDefault="00841BE9" w:rsidP="00124F32">
      <w:pPr>
        <w:rPr>
          <w:rFonts w:ascii="Arial" w:hAnsi="Arial" w:cs="Arial"/>
        </w:rPr>
      </w:pPr>
    </w:p>
    <w:p w:rsidR="00841BE9" w:rsidRPr="00657446" w:rsidRDefault="00841BE9" w:rsidP="00124F32">
      <w:pPr>
        <w:rPr>
          <w:rFonts w:ascii="Arial" w:hAnsi="Arial" w:cs="Arial"/>
        </w:rPr>
      </w:pPr>
      <w:r w:rsidRPr="00657446">
        <w:rPr>
          <w:rFonts w:ascii="Arial" w:hAnsi="Arial" w:cs="Arial"/>
        </w:rPr>
        <w:lastRenderedPageBreak/>
        <w:t>Banks are more unwilling to lend without high levels of cash flow and security. There is also a feeling that banks don’t have enough understanding of the business or its cash flows and ability to service loans</w:t>
      </w:r>
      <w:r w:rsidR="00A21381">
        <w:rPr>
          <w:rFonts w:ascii="Arial" w:hAnsi="Arial" w:cs="Arial"/>
        </w:rPr>
        <w:t xml:space="preserve"> and treat most small business generically.</w:t>
      </w:r>
      <w:r w:rsidR="00657446" w:rsidRPr="00657446">
        <w:rPr>
          <w:rFonts w:ascii="Arial" w:hAnsi="Arial" w:cs="Arial"/>
          <w:vertAlign w:val="superscript"/>
        </w:rPr>
        <w:footnoteReference w:id="32"/>
      </w:r>
      <w:r w:rsidRPr="00657446">
        <w:rPr>
          <w:rFonts w:ascii="Arial" w:hAnsi="Arial" w:cs="Arial"/>
        </w:rPr>
        <w:t xml:space="preserve"> </w:t>
      </w:r>
    </w:p>
    <w:p w:rsidR="00841BE9" w:rsidRPr="00657446" w:rsidRDefault="00841BE9" w:rsidP="00124F32">
      <w:pPr>
        <w:rPr>
          <w:rFonts w:ascii="Arial" w:hAnsi="Arial" w:cs="Arial"/>
        </w:rPr>
      </w:pPr>
    </w:p>
    <w:p w:rsidR="00657446" w:rsidRPr="002D67A7" w:rsidRDefault="00A21381" w:rsidP="00657446">
      <w:pPr>
        <w:pStyle w:val="FootnoteText"/>
        <w:rPr>
          <w:rFonts w:ascii="Arial" w:hAnsi="Arial" w:cs="Arial"/>
          <w:sz w:val="22"/>
          <w:szCs w:val="22"/>
        </w:rPr>
      </w:pPr>
      <w:r w:rsidRPr="002D67A7">
        <w:rPr>
          <w:rFonts w:ascii="Arial" w:hAnsi="Arial" w:cs="Arial"/>
          <w:sz w:val="22"/>
          <w:szCs w:val="22"/>
        </w:rPr>
        <w:t xml:space="preserve">This perception of small businesses can be addressed through better awareness of industry and sector specific pressure by banks. </w:t>
      </w:r>
      <w:r w:rsidR="00657446" w:rsidRPr="002D67A7">
        <w:rPr>
          <w:rFonts w:ascii="Arial" w:hAnsi="Arial" w:cs="Arial"/>
          <w:sz w:val="22"/>
          <w:szCs w:val="22"/>
        </w:rPr>
        <w:t xml:space="preserve">The Parliamentary Joint Committee on Corporations and Financial recommended the </w:t>
      </w:r>
      <w:r w:rsidR="002D67A7" w:rsidRPr="002D67A7">
        <w:rPr>
          <w:rFonts w:ascii="Arial" w:hAnsi="Arial" w:cs="Arial"/>
          <w:sz w:val="22"/>
          <w:szCs w:val="22"/>
        </w:rPr>
        <w:t>Code of Banking Practice and the Mutual Banking Code of Practice be amended so there is a standardised notice period for notifying business borrowers of changes to loan terms and conditions that may affect them.</w:t>
      </w:r>
      <w:r w:rsidR="00657446" w:rsidRPr="002D67A7">
        <w:rPr>
          <w:rFonts w:ascii="Arial" w:hAnsi="Arial" w:cs="Arial"/>
          <w:sz w:val="22"/>
          <w:szCs w:val="22"/>
          <w:vertAlign w:val="superscript"/>
        </w:rPr>
        <w:footnoteReference w:id="33"/>
      </w:r>
      <w:r w:rsidRPr="002D67A7">
        <w:rPr>
          <w:rFonts w:ascii="Arial" w:hAnsi="Arial" w:cs="Arial"/>
          <w:sz w:val="22"/>
          <w:szCs w:val="22"/>
        </w:rPr>
        <w:t xml:space="preserve"> This would give businesses a better timeframe to plan for changes in loan or repayment conditions. </w:t>
      </w:r>
    </w:p>
    <w:p w:rsidR="008056CD" w:rsidRPr="00657446" w:rsidRDefault="008056CD" w:rsidP="00FD42F4">
      <w:pPr>
        <w:rPr>
          <w:rFonts w:ascii="Arial" w:hAnsi="Arial" w:cs="Arial"/>
        </w:rPr>
      </w:pPr>
    </w:p>
    <w:p w:rsidR="008056CD" w:rsidRPr="00C17E8E" w:rsidRDefault="00657446" w:rsidP="00FD42F4">
      <w:pPr>
        <w:rPr>
          <w:rFonts w:ascii="Arial" w:hAnsi="Arial" w:cs="Arial"/>
          <w:b/>
        </w:rPr>
      </w:pPr>
      <w:r w:rsidRPr="00C17E8E">
        <w:rPr>
          <w:rFonts w:ascii="Arial" w:hAnsi="Arial" w:cs="Arial"/>
          <w:b/>
        </w:rPr>
        <w:t xml:space="preserve">Recommendation </w:t>
      </w:r>
      <w:r w:rsidR="00833D88">
        <w:rPr>
          <w:rFonts w:ascii="Arial" w:hAnsi="Arial" w:cs="Arial"/>
          <w:b/>
        </w:rPr>
        <w:t>8</w:t>
      </w:r>
    </w:p>
    <w:p w:rsidR="00441E31" w:rsidRPr="00441E31" w:rsidRDefault="00441E31" w:rsidP="00441E31">
      <w:pPr>
        <w:rPr>
          <w:rFonts w:ascii="Arial" w:hAnsi="Arial" w:cs="Arial"/>
        </w:rPr>
      </w:pPr>
    </w:p>
    <w:p w:rsidR="00056DE2" w:rsidRPr="00056DE2" w:rsidRDefault="00056DE2" w:rsidP="00056DE2">
      <w:pPr>
        <w:rPr>
          <w:rFonts w:ascii="Arial" w:hAnsi="Arial" w:cs="Arial"/>
        </w:rPr>
      </w:pPr>
      <w:r w:rsidRPr="00056DE2">
        <w:rPr>
          <w:rFonts w:ascii="Arial" w:hAnsi="Arial" w:cs="Arial"/>
        </w:rPr>
        <w:t>The Code of Banking Practice and the Mutual Banking Code of Practice should be amended so there is a standardised notice period for notifying business borrowers of changes to loan terms and conditions.</w:t>
      </w:r>
    </w:p>
    <w:p w:rsidR="008056CD" w:rsidRDefault="008056CD" w:rsidP="00FD42F4">
      <w:pPr>
        <w:rPr>
          <w:rFonts w:ascii="Arial" w:hAnsi="Arial" w:cs="Arial"/>
        </w:rPr>
      </w:pPr>
    </w:p>
    <w:p w:rsidR="00FD42F4" w:rsidRPr="003A4982" w:rsidRDefault="00FD42F4" w:rsidP="00B20589"/>
    <w:sectPr w:rsidR="00FD42F4" w:rsidRPr="003A4982"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BF" w:rsidRDefault="005227BF" w:rsidP="000F3D9F">
      <w:r>
        <w:separator/>
      </w:r>
    </w:p>
  </w:endnote>
  <w:endnote w:type="continuationSeparator" w:id="0">
    <w:p w:rsidR="005227BF" w:rsidRDefault="005227BF"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5227BF" w:rsidRPr="00E8056B" w:rsidRDefault="005227BF" w:rsidP="00E8056B">
    <w:pPr>
      <w:jc w:val="right"/>
      <w:rPr>
        <w:rFonts w:ascii="Arial" w:hAnsi="Arial" w:cs="Arial"/>
        <w:sz w:val="16"/>
        <w:szCs w:val="16"/>
      </w:rPr>
    </w:pPr>
  </w:p>
  <w:p w:rsidR="005227BF" w:rsidRPr="00E8056B" w:rsidRDefault="005227BF"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5227BF" w:rsidRPr="00E8056B" w:rsidRDefault="005227BF"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jc w:val="right"/>
    </w:pPr>
    <w:r>
      <w:fldChar w:fldCharType="begin"/>
    </w:r>
    <w:r>
      <w:instrText xml:space="preserve"> PAGE   \* MERGEFORMAT </w:instrText>
    </w:r>
    <w:r>
      <w:fldChar w:fldCharType="separate"/>
    </w:r>
    <w:r>
      <w:rPr>
        <w:noProof/>
      </w:rPr>
      <w:t>7</w:t>
    </w:r>
    <w:r>
      <w:rPr>
        <w:noProof/>
      </w:rPr>
      <w:fldChar w:fldCharType="end"/>
    </w:r>
  </w:p>
  <w:p w:rsidR="005227BF" w:rsidRDefault="00522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5227BF" w:rsidRPr="00A91411" w:rsidTr="008E09F4">
      <w:trPr>
        <w:trHeight w:val="57"/>
      </w:trPr>
      <w:tc>
        <w:tcPr>
          <w:tcW w:w="4927" w:type="dxa"/>
          <w:vAlign w:val="center"/>
        </w:tcPr>
        <w:p w:rsidR="005227BF" w:rsidRPr="00A91411" w:rsidRDefault="005227BF" w:rsidP="008C10AA">
          <w:pPr>
            <w:pStyle w:val="Footer"/>
            <w:rPr>
              <w:rFonts w:ascii="Arial" w:hAnsi="Arial" w:cs="Arial"/>
              <w:sz w:val="14"/>
              <w:szCs w:val="14"/>
            </w:rPr>
          </w:pPr>
          <w:r>
            <w:rPr>
              <w:rFonts w:ascii="Arial" w:hAnsi="Arial" w:cs="Arial"/>
              <w:sz w:val="14"/>
              <w:szCs w:val="14"/>
            </w:rPr>
            <w:t xml:space="preserve">ATA Submission: </w:t>
          </w:r>
          <w:r w:rsidRPr="00CD71EC">
            <w:rPr>
              <w:rFonts w:ascii="Arial" w:hAnsi="Arial" w:cs="Arial"/>
              <w:sz w:val="14"/>
              <w:szCs w:val="14"/>
            </w:rPr>
            <w:t>Productivity Commission</w:t>
          </w:r>
          <w:r>
            <w:rPr>
              <w:rFonts w:ascii="Arial" w:hAnsi="Arial" w:cs="Arial"/>
              <w:sz w:val="14"/>
              <w:szCs w:val="14"/>
            </w:rPr>
            <w:t xml:space="preserve">: </w:t>
          </w:r>
          <w:r w:rsidRPr="00CD71EC">
            <w:rPr>
              <w:rFonts w:ascii="Arial" w:hAnsi="Arial" w:cs="Arial"/>
              <w:sz w:val="14"/>
              <w:szCs w:val="14"/>
            </w:rPr>
            <w:t xml:space="preserve">Business set-up, transfer and closure   </w:t>
          </w:r>
        </w:p>
      </w:tc>
      <w:tc>
        <w:tcPr>
          <w:tcW w:w="4927" w:type="dxa"/>
          <w:vAlign w:val="center"/>
        </w:tcPr>
        <w:p w:rsidR="005227BF" w:rsidRPr="00A91411" w:rsidRDefault="005227BF"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1D64A9">
            <w:rPr>
              <w:rFonts w:ascii="Arial" w:hAnsi="Arial" w:cs="Arial"/>
              <w:noProof/>
              <w:sz w:val="14"/>
              <w:szCs w:val="14"/>
            </w:rPr>
            <w:t>13</w:t>
          </w:r>
          <w:r w:rsidRPr="00A91411">
            <w:rPr>
              <w:rFonts w:ascii="Arial" w:hAnsi="Arial" w:cs="Arial"/>
              <w:sz w:val="14"/>
              <w:szCs w:val="14"/>
            </w:rPr>
            <w:fldChar w:fldCharType="end"/>
          </w:r>
        </w:p>
      </w:tc>
    </w:tr>
  </w:tbl>
  <w:p w:rsidR="005227BF" w:rsidRPr="00A91411" w:rsidRDefault="005227BF">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BF" w:rsidRDefault="005227BF" w:rsidP="000F3D9F">
      <w:r>
        <w:separator/>
      </w:r>
    </w:p>
  </w:footnote>
  <w:footnote w:type="continuationSeparator" w:id="0">
    <w:p w:rsidR="005227BF" w:rsidRDefault="005227BF" w:rsidP="000F3D9F">
      <w:r>
        <w:continuationSeparator/>
      </w:r>
    </w:p>
  </w:footnote>
  <w:footnote w:id="1">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Global Entrepreneurship Monitor, </w:t>
      </w:r>
      <w:r w:rsidRPr="008015F8">
        <w:rPr>
          <w:rFonts w:ascii="Arial" w:hAnsi="Arial" w:cs="Arial"/>
          <w:i/>
          <w:sz w:val="16"/>
          <w:szCs w:val="16"/>
        </w:rPr>
        <w:t xml:space="preserve">National Entrepreneurial Assessment for Australia </w:t>
      </w:r>
      <w:r w:rsidRPr="008015F8">
        <w:rPr>
          <w:rFonts w:ascii="Arial" w:hAnsi="Arial" w:cs="Arial"/>
          <w:sz w:val="16"/>
          <w:szCs w:val="16"/>
        </w:rPr>
        <w:t xml:space="preserve">2011, accessible at: </w:t>
      </w:r>
      <w:hyperlink r:id="rId1" w:history="1">
        <w:r w:rsidRPr="008015F8">
          <w:rPr>
            <w:rStyle w:val="Hyperlink"/>
            <w:rFonts w:ascii="Arial" w:hAnsi="Arial" w:cs="Arial"/>
            <w:sz w:val="16"/>
            <w:szCs w:val="16"/>
          </w:rPr>
          <w:t>http://www.gemconsortium.org/docs/download/2414</w:t>
        </w:r>
      </w:hyperlink>
      <w:r w:rsidRPr="008015F8">
        <w:rPr>
          <w:rFonts w:ascii="Arial" w:hAnsi="Arial" w:cs="Arial"/>
          <w:sz w:val="16"/>
          <w:szCs w:val="16"/>
        </w:rPr>
        <w:t xml:space="preserve">, Page 2 </w:t>
      </w:r>
      <w:r w:rsidRPr="008015F8">
        <w:rPr>
          <w:rFonts w:ascii="Arial" w:hAnsi="Arial" w:cs="Arial"/>
          <w:i/>
          <w:sz w:val="16"/>
          <w:szCs w:val="16"/>
        </w:rPr>
        <w:t xml:space="preserve"> </w:t>
      </w:r>
    </w:p>
  </w:footnote>
  <w:footnote w:id="2">
    <w:p w:rsidR="005227BF" w:rsidRPr="008015F8" w:rsidRDefault="005227BF" w:rsidP="002C1FD6">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Global Entrepreneurship Monitor, </w:t>
      </w:r>
      <w:r w:rsidRPr="008015F8">
        <w:rPr>
          <w:rFonts w:ascii="Arial" w:hAnsi="Arial" w:cs="Arial"/>
          <w:i/>
          <w:sz w:val="16"/>
          <w:szCs w:val="16"/>
        </w:rPr>
        <w:t xml:space="preserve">National Entrepreneurial Assessment for Australia </w:t>
      </w:r>
      <w:r w:rsidRPr="008015F8">
        <w:rPr>
          <w:rFonts w:ascii="Arial" w:hAnsi="Arial" w:cs="Arial"/>
          <w:sz w:val="16"/>
          <w:szCs w:val="16"/>
        </w:rPr>
        <w:t xml:space="preserve">2011, accessible at: </w:t>
      </w:r>
      <w:hyperlink r:id="rId2" w:history="1">
        <w:r w:rsidRPr="008015F8">
          <w:rPr>
            <w:rStyle w:val="Hyperlink"/>
            <w:rFonts w:ascii="Arial" w:hAnsi="Arial" w:cs="Arial"/>
            <w:sz w:val="16"/>
            <w:szCs w:val="16"/>
          </w:rPr>
          <w:t>http://www.gemconsortium.org/docs/download/2414</w:t>
        </w:r>
      </w:hyperlink>
      <w:r w:rsidRPr="008015F8">
        <w:rPr>
          <w:rFonts w:ascii="Arial" w:hAnsi="Arial" w:cs="Arial"/>
          <w:sz w:val="16"/>
          <w:szCs w:val="16"/>
        </w:rPr>
        <w:t xml:space="preserve">, Page 2 </w:t>
      </w:r>
      <w:r w:rsidRPr="008015F8">
        <w:rPr>
          <w:rFonts w:ascii="Arial" w:hAnsi="Arial" w:cs="Arial"/>
          <w:i/>
          <w:sz w:val="16"/>
          <w:szCs w:val="16"/>
        </w:rPr>
        <w:t xml:space="preserve"> </w:t>
      </w:r>
    </w:p>
  </w:footnote>
  <w:footnote w:id="3">
    <w:p w:rsidR="005227BF" w:rsidRPr="008015F8" w:rsidRDefault="005227BF" w:rsidP="008850A1">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Scoping study of small business tax compliance costs A report to the Treasurer, December 2007, accessible at: </w:t>
      </w:r>
      <w:hyperlink r:id="rId3" w:history="1">
        <w:r w:rsidRPr="008015F8">
          <w:rPr>
            <w:rStyle w:val="Hyperlink"/>
            <w:rFonts w:ascii="Arial" w:hAnsi="Arial" w:cs="Arial"/>
            <w:sz w:val="16"/>
            <w:szCs w:val="16"/>
          </w:rPr>
          <w:t>http://www.taxboard.gov.au/content/reviews_and_consultations/small_business_tax_compliance_costs/scoping_study_report/downloads/small_business_tax_compliance_costs_scoping_study.pdf</w:t>
        </w:r>
      </w:hyperlink>
      <w:r w:rsidRPr="008015F8">
        <w:rPr>
          <w:rFonts w:ascii="Arial" w:hAnsi="Arial" w:cs="Arial"/>
          <w:sz w:val="16"/>
          <w:szCs w:val="16"/>
        </w:rPr>
        <w:t xml:space="preserve">  Page 12</w:t>
      </w:r>
    </w:p>
  </w:footnote>
  <w:footnote w:id="4">
    <w:p w:rsidR="005227BF" w:rsidRPr="008015F8" w:rsidRDefault="005227BF" w:rsidP="00657446">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4"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 xml:space="preserve"> Page 19</w:t>
      </w:r>
    </w:p>
  </w:footnote>
  <w:footnote w:id="5">
    <w:p w:rsidR="005227BF" w:rsidRPr="008015F8" w:rsidRDefault="005227BF" w:rsidP="001D7CDE">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PricewaterhouseCoopers, </w:t>
      </w:r>
      <w:r w:rsidRPr="008015F8">
        <w:rPr>
          <w:rFonts w:ascii="Arial" w:hAnsi="Arial" w:cs="Arial"/>
          <w:i/>
          <w:iCs/>
          <w:sz w:val="16"/>
          <w:szCs w:val="16"/>
        </w:rPr>
        <w:t xml:space="preserve">A future strategy for road supply and charging in Australia, </w:t>
      </w:r>
      <w:r w:rsidRPr="008015F8">
        <w:rPr>
          <w:rFonts w:ascii="Arial" w:hAnsi="Arial" w:cs="Arial"/>
          <w:sz w:val="16"/>
          <w:szCs w:val="16"/>
        </w:rPr>
        <w:t xml:space="preserve">2013, accessible at: </w:t>
      </w:r>
      <w:hyperlink r:id="rId5" w:history="1">
        <w:r w:rsidRPr="008015F8">
          <w:rPr>
            <w:rStyle w:val="Hyperlink"/>
            <w:rFonts w:ascii="Arial" w:hAnsi="Arial" w:cs="Arial"/>
            <w:sz w:val="16"/>
            <w:szCs w:val="16"/>
          </w:rPr>
          <w:t>www.truck.net.au/industry-resources/future-strategy-road-supply-and-charging-australia</w:t>
        </w:r>
      </w:hyperlink>
      <w:r w:rsidRPr="008015F8">
        <w:rPr>
          <w:rFonts w:ascii="Arial" w:hAnsi="Arial" w:cs="Arial"/>
          <w:sz w:val="16"/>
          <w:szCs w:val="16"/>
        </w:rPr>
        <w:t xml:space="preserve"> ,Page 12 </w:t>
      </w:r>
    </w:p>
  </w:footnote>
  <w:footnote w:id="6">
    <w:p w:rsidR="005227BF" w:rsidRPr="008015F8" w:rsidRDefault="005227BF" w:rsidP="001D7CDE">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PricewaterhouseCoopers, </w:t>
      </w:r>
      <w:r w:rsidRPr="008015F8">
        <w:rPr>
          <w:rFonts w:ascii="Arial" w:hAnsi="Arial" w:cs="Arial"/>
          <w:i/>
          <w:iCs/>
          <w:sz w:val="16"/>
          <w:szCs w:val="16"/>
        </w:rPr>
        <w:t xml:space="preserve">A future strategy for road supply and charging in Australia, </w:t>
      </w:r>
      <w:r w:rsidRPr="008015F8">
        <w:rPr>
          <w:rFonts w:ascii="Arial" w:hAnsi="Arial" w:cs="Arial"/>
          <w:sz w:val="16"/>
          <w:szCs w:val="16"/>
        </w:rPr>
        <w:t xml:space="preserve">2013, accessible at: </w:t>
      </w:r>
      <w:hyperlink r:id="rId6" w:history="1">
        <w:r w:rsidRPr="008015F8">
          <w:rPr>
            <w:rStyle w:val="Hyperlink"/>
            <w:rFonts w:ascii="Arial" w:hAnsi="Arial" w:cs="Arial"/>
            <w:sz w:val="16"/>
            <w:szCs w:val="16"/>
          </w:rPr>
          <w:t>www.truck.net.au/industry-resources/future-strategy-road-supply-and-charging-australia</w:t>
        </w:r>
      </w:hyperlink>
      <w:r w:rsidRPr="008015F8">
        <w:rPr>
          <w:rFonts w:ascii="Arial" w:hAnsi="Arial" w:cs="Arial"/>
          <w:sz w:val="16"/>
          <w:szCs w:val="16"/>
        </w:rPr>
        <w:t xml:space="preserve"> ,Page 18</w:t>
      </w:r>
    </w:p>
  </w:footnote>
  <w:footnote w:id="7">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PricewaterhouseCoopers, </w:t>
      </w:r>
      <w:r w:rsidRPr="008015F8">
        <w:rPr>
          <w:rFonts w:ascii="Arial" w:hAnsi="Arial" w:cs="Arial"/>
          <w:i/>
          <w:iCs/>
          <w:sz w:val="16"/>
          <w:szCs w:val="16"/>
        </w:rPr>
        <w:t xml:space="preserve">A future strategy for road supply and charging in Australia, </w:t>
      </w:r>
      <w:r w:rsidRPr="008015F8">
        <w:rPr>
          <w:rFonts w:ascii="Arial" w:hAnsi="Arial" w:cs="Arial"/>
          <w:sz w:val="16"/>
          <w:szCs w:val="16"/>
        </w:rPr>
        <w:t xml:space="preserve">2013, accessible at: </w:t>
      </w:r>
      <w:hyperlink r:id="rId7" w:history="1">
        <w:r w:rsidRPr="008015F8">
          <w:rPr>
            <w:rStyle w:val="Hyperlink"/>
            <w:rFonts w:ascii="Arial" w:hAnsi="Arial" w:cs="Arial"/>
            <w:sz w:val="16"/>
            <w:szCs w:val="16"/>
          </w:rPr>
          <w:t>www.truck.net.au/industry-resources/future-strategy-road-supply-and-charging-australia</w:t>
        </w:r>
      </w:hyperlink>
      <w:r w:rsidRPr="008015F8">
        <w:rPr>
          <w:rFonts w:ascii="Arial" w:hAnsi="Arial" w:cs="Arial"/>
          <w:sz w:val="16"/>
          <w:szCs w:val="16"/>
        </w:rPr>
        <w:t xml:space="preserve"> ,Page 12 </w:t>
      </w:r>
    </w:p>
  </w:footnote>
  <w:footnote w:id="8">
    <w:p w:rsidR="005227BF" w:rsidRDefault="005227BF">
      <w:pPr>
        <w:pStyle w:val="FootnoteText"/>
      </w:pPr>
      <w:r>
        <w:rPr>
          <w:rStyle w:val="FootnoteReference"/>
        </w:rPr>
        <w:footnoteRef/>
      </w:r>
      <w:r>
        <w:t xml:space="preserve"> The survey sample was self-selected and so formal statistical methods cannot be applied to the results. </w:t>
      </w:r>
    </w:p>
  </w:footnote>
  <w:footnote w:id="9">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Australian Government </w:t>
      </w:r>
      <w:r w:rsidRPr="008015F8">
        <w:rPr>
          <w:rFonts w:ascii="Arial" w:hAnsi="Arial" w:cs="Arial"/>
          <w:i/>
          <w:sz w:val="16"/>
          <w:szCs w:val="16"/>
        </w:rPr>
        <w:t>Australia's Future Tax System: Final Report</w:t>
      </w:r>
      <w:r w:rsidRPr="008015F8">
        <w:rPr>
          <w:rFonts w:ascii="Arial" w:hAnsi="Arial" w:cs="Arial"/>
          <w:sz w:val="16"/>
          <w:szCs w:val="16"/>
        </w:rPr>
        <w:t xml:space="preserve">, 2009, Recommendation 55. </w:t>
      </w:r>
    </w:p>
  </w:footnote>
  <w:footnote w:id="10">
    <w:p w:rsidR="005227BF" w:rsidRPr="008015F8" w:rsidRDefault="005227BF" w:rsidP="00C126E5">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8"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 xml:space="preserve"> Page 72 </w:t>
      </w:r>
    </w:p>
  </w:footnote>
  <w:footnote w:id="11">
    <w:p w:rsidR="005227BF" w:rsidRPr="008015F8" w:rsidRDefault="005227BF" w:rsidP="004C377A">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9"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 Page 73</w:t>
      </w:r>
    </w:p>
  </w:footnote>
  <w:footnote w:id="12">
    <w:p w:rsidR="005227BF" w:rsidRPr="008015F8" w:rsidRDefault="005227BF" w:rsidP="008056CD">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10"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Page 18</w:t>
      </w:r>
    </w:p>
  </w:footnote>
  <w:footnote w:id="13">
    <w:p w:rsidR="005227BF" w:rsidRPr="008015F8" w:rsidRDefault="005227BF" w:rsidP="008056CD">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11"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Page 19</w:t>
      </w:r>
    </w:p>
  </w:footnote>
  <w:footnote w:id="14">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12"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 xml:space="preserve"> Page 25</w:t>
      </w:r>
    </w:p>
  </w:footnote>
  <w:footnote w:id="15">
    <w:p w:rsidR="005227BF" w:rsidRPr="008015F8" w:rsidRDefault="005227BF" w:rsidP="008056CD">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w:t>
      </w:r>
      <w:r w:rsidRPr="008015F8">
        <w:rPr>
          <w:rFonts w:ascii="Arial" w:hAnsi="Arial" w:cs="Arial"/>
          <w:i/>
          <w:sz w:val="16"/>
          <w:szCs w:val="16"/>
        </w:rPr>
        <w:t>Review of Tax Impediments Facing Small Business A Report to the Government</w:t>
      </w:r>
      <w:r w:rsidRPr="008015F8">
        <w:rPr>
          <w:rFonts w:ascii="Arial" w:hAnsi="Arial" w:cs="Arial"/>
          <w:sz w:val="16"/>
          <w:szCs w:val="16"/>
        </w:rPr>
        <w:t xml:space="preserve">, August 2014, accessible at: </w:t>
      </w:r>
      <w:hyperlink r:id="rId13"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Page 26</w:t>
      </w:r>
    </w:p>
  </w:footnote>
  <w:footnote w:id="16">
    <w:p w:rsidR="005227BF" w:rsidRPr="008015F8" w:rsidRDefault="005227BF" w:rsidP="004C377A">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14"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Xiii </w:t>
      </w:r>
    </w:p>
  </w:footnote>
  <w:footnote w:id="17">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15"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127 </w:t>
      </w:r>
    </w:p>
  </w:footnote>
  <w:footnote w:id="18">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16"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Page 127</w:t>
      </w:r>
    </w:p>
  </w:footnote>
  <w:footnote w:id="19">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Review of Tax Impediments Facing Small Business A Report to the Government, August 2014, accessible at: </w:t>
      </w:r>
      <w:hyperlink r:id="rId17"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 xml:space="preserve"> Page 85 </w:t>
      </w:r>
    </w:p>
  </w:footnote>
  <w:footnote w:id="20">
    <w:p w:rsidR="005227BF" w:rsidRPr="008015F8" w:rsidRDefault="005227BF" w:rsidP="00D21039">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Review of Tax Impediments Facing Small Business A Report to the Government, August 2014, accessible at: </w:t>
      </w:r>
      <w:hyperlink r:id="rId18" w:history="1">
        <w:r w:rsidRPr="008015F8">
          <w:rPr>
            <w:rStyle w:val="Hyperlink"/>
            <w:rFonts w:ascii="Arial" w:hAnsi="Arial" w:cs="Arial"/>
            <w:sz w:val="16"/>
            <w:szCs w:val="16"/>
          </w:rPr>
          <w:t>http://taxboard.gov.au/content/reviews_and_consultations/impediments_facing_small_business/report/downloads/taximpediments_report.pdf</w:t>
        </w:r>
      </w:hyperlink>
      <w:r w:rsidRPr="008015F8">
        <w:rPr>
          <w:rFonts w:ascii="Arial" w:hAnsi="Arial" w:cs="Arial"/>
          <w:sz w:val="16"/>
          <w:szCs w:val="16"/>
        </w:rPr>
        <w:t xml:space="preserve"> Page 85</w:t>
      </w:r>
    </w:p>
  </w:footnote>
  <w:footnote w:id="21">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Board of Taxation </w:t>
      </w:r>
      <w:r w:rsidRPr="008015F8">
        <w:rPr>
          <w:rFonts w:ascii="Arial" w:hAnsi="Arial" w:cs="Arial"/>
          <w:i/>
          <w:sz w:val="16"/>
          <w:szCs w:val="16"/>
        </w:rPr>
        <w:t xml:space="preserve">Post Implementation Review Of Division 7a Of Part III Of The Income Tax Assessment Act 1936 Second Discussion Paper, </w:t>
      </w:r>
      <w:r w:rsidRPr="008015F8">
        <w:rPr>
          <w:rFonts w:ascii="Arial" w:hAnsi="Arial" w:cs="Arial"/>
          <w:sz w:val="16"/>
          <w:szCs w:val="16"/>
        </w:rPr>
        <w:t xml:space="preserve"> March 2014. Accessible at: </w:t>
      </w:r>
      <w:hyperlink r:id="rId19" w:history="1">
        <w:r w:rsidRPr="008015F8">
          <w:rPr>
            <w:rStyle w:val="Hyperlink"/>
            <w:rFonts w:ascii="Arial" w:hAnsi="Arial" w:cs="Arial"/>
            <w:sz w:val="16"/>
            <w:szCs w:val="16"/>
          </w:rPr>
          <w:t>http://www.taxboard.gov.au/content/reviews_and_consultations/division_7A/discussion_paper/downloads/discussion_paper_2.pdf</w:t>
        </w:r>
      </w:hyperlink>
      <w:r w:rsidRPr="008015F8">
        <w:rPr>
          <w:rFonts w:ascii="Arial" w:hAnsi="Arial" w:cs="Arial"/>
          <w:sz w:val="16"/>
          <w:szCs w:val="16"/>
        </w:rPr>
        <w:t>,  Page 4</w:t>
      </w:r>
    </w:p>
  </w:footnote>
  <w:footnote w:id="22">
    <w:p w:rsidR="005227BF" w:rsidRPr="008015F8" w:rsidRDefault="005227BF" w:rsidP="00E74261">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20"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144 </w:t>
      </w:r>
    </w:p>
  </w:footnote>
  <w:footnote w:id="23">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Business Review Weekly, </w:t>
      </w:r>
      <w:r w:rsidRPr="008015F8">
        <w:rPr>
          <w:rFonts w:ascii="Arial" w:hAnsi="Arial" w:cs="Arial"/>
          <w:i/>
          <w:sz w:val="16"/>
          <w:szCs w:val="16"/>
        </w:rPr>
        <w:t>Time running out for many family business trusts</w:t>
      </w:r>
      <w:r w:rsidRPr="008015F8">
        <w:rPr>
          <w:rFonts w:ascii="Arial" w:hAnsi="Arial" w:cs="Arial"/>
          <w:sz w:val="16"/>
          <w:szCs w:val="16"/>
        </w:rPr>
        <w:t xml:space="preserve">,  28 February 2013, accessible at: </w:t>
      </w:r>
      <w:hyperlink r:id="rId21" w:history="1">
        <w:r w:rsidRPr="008015F8">
          <w:rPr>
            <w:rStyle w:val="Hyperlink"/>
            <w:rFonts w:ascii="Arial" w:hAnsi="Arial" w:cs="Arial"/>
            <w:sz w:val="16"/>
            <w:szCs w:val="16"/>
          </w:rPr>
          <w:t>http://www.brw.com.au/p/investing/time_running_out_for_many_family_jivQEQzhl6uezXwDVuj6MN</w:t>
        </w:r>
      </w:hyperlink>
      <w:r w:rsidRPr="008015F8">
        <w:rPr>
          <w:rFonts w:ascii="Arial" w:hAnsi="Arial" w:cs="Arial"/>
          <w:sz w:val="16"/>
          <w:szCs w:val="16"/>
        </w:rPr>
        <w:t xml:space="preserve"> </w:t>
      </w:r>
    </w:p>
  </w:footnote>
  <w:footnote w:id="24">
    <w:p w:rsidR="005227BF" w:rsidRPr="008015F8" w:rsidRDefault="005227BF">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22"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145 </w:t>
      </w:r>
    </w:p>
  </w:footnote>
  <w:footnote w:id="25">
    <w:p w:rsidR="005227BF" w:rsidRPr="008015F8" w:rsidRDefault="005227BF" w:rsidP="00040C3C">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23"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145 </w:t>
      </w:r>
    </w:p>
  </w:footnote>
  <w:footnote w:id="26">
    <w:p w:rsidR="005227BF" w:rsidRPr="008015F8" w:rsidRDefault="005227BF" w:rsidP="00040C3C">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24"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146 </w:t>
      </w:r>
    </w:p>
  </w:footnote>
  <w:footnote w:id="27">
    <w:p w:rsidR="005227BF" w:rsidRPr="008015F8" w:rsidRDefault="005227BF" w:rsidP="00124F32">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 xml:space="preserve">Family Businesses in Australia – different and significant: why they shouldn’t be overlooked, </w:t>
      </w:r>
      <w:r w:rsidRPr="008015F8">
        <w:rPr>
          <w:rFonts w:ascii="Arial" w:hAnsi="Arial" w:cs="Arial"/>
          <w:sz w:val="16"/>
          <w:szCs w:val="16"/>
        </w:rPr>
        <w:t xml:space="preserve">March 2013, accessible at: </w:t>
      </w:r>
      <w:hyperlink r:id="rId25" w:history="1">
        <w:r w:rsidRPr="008015F8">
          <w:rPr>
            <w:rStyle w:val="Hyperlink"/>
            <w:rFonts w:ascii="Arial" w:hAnsi="Arial" w:cs="Arial"/>
            <w:sz w:val="16"/>
            <w:szCs w:val="16"/>
          </w:rPr>
          <w:t>http://www.aph.gov.au/~/media/wopapub/senate/committee/corporations_ctte/completed_inquiries/2010_13/fam_bus/report/report_pdf.ashx</w:t>
        </w:r>
      </w:hyperlink>
      <w:r w:rsidRPr="008015F8">
        <w:rPr>
          <w:rFonts w:ascii="Arial" w:hAnsi="Arial" w:cs="Arial"/>
          <w:sz w:val="16"/>
          <w:szCs w:val="16"/>
        </w:rPr>
        <w:t xml:space="preserve">, Page 183 </w:t>
      </w:r>
    </w:p>
  </w:footnote>
  <w:footnote w:id="28">
    <w:p w:rsidR="005227BF" w:rsidRPr="008015F8" w:rsidRDefault="005227BF" w:rsidP="00124F32">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7 Parliamentary Joint Committee on Corporations and Financial Services - access for small and medium business to finance</w:t>
      </w:r>
    </w:p>
  </w:footnote>
  <w:footnote w:id="29">
    <w:p w:rsidR="005227BF" w:rsidRPr="008015F8" w:rsidRDefault="005227BF" w:rsidP="00841BE9">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Access for Small and Medium Business to Finance</w:t>
      </w:r>
      <w:r w:rsidRPr="008015F8">
        <w:rPr>
          <w:rFonts w:ascii="Arial" w:hAnsi="Arial" w:cs="Arial"/>
          <w:sz w:val="16"/>
          <w:szCs w:val="16"/>
        </w:rPr>
        <w:t xml:space="preserve">, April 2011, accessible at: </w:t>
      </w:r>
      <w:hyperlink r:id="rId26" w:history="1">
        <w:r w:rsidRPr="008015F8">
          <w:rPr>
            <w:rStyle w:val="Hyperlink"/>
            <w:rFonts w:ascii="Arial" w:hAnsi="Arial" w:cs="Arial"/>
            <w:sz w:val="16"/>
            <w:szCs w:val="16"/>
          </w:rPr>
          <w:t>http://www.aph.gov.au/~/media/wopapub/senate/committee/corporations_ctte/completed_inquiries/2010_13/sme_finance/report/report_pdf.ashx</w:t>
        </w:r>
      </w:hyperlink>
      <w:r w:rsidRPr="008015F8">
        <w:rPr>
          <w:rFonts w:ascii="Arial" w:hAnsi="Arial" w:cs="Arial"/>
          <w:sz w:val="16"/>
          <w:szCs w:val="16"/>
        </w:rPr>
        <w:t xml:space="preserve">, Page 8  </w:t>
      </w:r>
    </w:p>
  </w:footnote>
  <w:footnote w:id="30">
    <w:p w:rsidR="005227BF" w:rsidRPr="008015F8" w:rsidRDefault="005227BF" w:rsidP="00841BE9">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Access for Small and Medium Business to Finance</w:t>
      </w:r>
      <w:r w:rsidRPr="008015F8">
        <w:rPr>
          <w:rFonts w:ascii="Arial" w:hAnsi="Arial" w:cs="Arial"/>
          <w:sz w:val="16"/>
          <w:szCs w:val="16"/>
        </w:rPr>
        <w:t xml:space="preserve">, April 2011, accessible at: </w:t>
      </w:r>
      <w:hyperlink r:id="rId27" w:history="1">
        <w:r w:rsidRPr="008015F8">
          <w:rPr>
            <w:rStyle w:val="Hyperlink"/>
            <w:rFonts w:ascii="Arial" w:hAnsi="Arial" w:cs="Arial"/>
            <w:sz w:val="16"/>
            <w:szCs w:val="16"/>
          </w:rPr>
          <w:t>http://www.aph.gov.au/~/media/wopapub/senate/committee/corporations_ctte/completed_inquiries/2010_13/sme_finance/report/report_pdf.ashx</w:t>
        </w:r>
      </w:hyperlink>
      <w:r w:rsidRPr="008015F8">
        <w:rPr>
          <w:rFonts w:ascii="Arial" w:hAnsi="Arial" w:cs="Arial"/>
          <w:sz w:val="16"/>
          <w:szCs w:val="16"/>
        </w:rPr>
        <w:t>, Page 9</w:t>
      </w:r>
    </w:p>
  </w:footnote>
  <w:footnote w:id="31">
    <w:p w:rsidR="005227BF" w:rsidRPr="008015F8" w:rsidRDefault="005227BF" w:rsidP="00124F32">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Access for Small and Medium Business to Finance</w:t>
      </w:r>
      <w:r w:rsidRPr="008015F8">
        <w:rPr>
          <w:rFonts w:ascii="Arial" w:hAnsi="Arial" w:cs="Arial"/>
          <w:sz w:val="16"/>
          <w:szCs w:val="16"/>
        </w:rPr>
        <w:t xml:space="preserve">, April 2011, accessible at: </w:t>
      </w:r>
      <w:hyperlink r:id="rId28" w:history="1">
        <w:r w:rsidRPr="008015F8">
          <w:rPr>
            <w:rStyle w:val="Hyperlink"/>
            <w:rFonts w:ascii="Arial" w:hAnsi="Arial" w:cs="Arial"/>
            <w:sz w:val="16"/>
            <w:szCs w:val="16"/>
          </w:rPr>
          <w:t>http://www.aph.gov.au/~/media/wopapub/senate/committee/corporations_ctte/completed_inquiries/2010_13/sme_finance/report/report_pdf.ashx</w:t>
        </w:r>
      </w:hyperlink>
      <w:r w:rsidRPr="008015F8">
        <w:rPr>
          <w:rFonts w:ascii="Arial" w:hAnsi="Arial" w:cs="Arial"/>
          <w:sz w:val="16"/>
          <w:szCs w:val="16"/>
        </w:rPr>
        <w:t>, Page 33</w:t>
      </w:r>
    </w:p>
  </w:footnote>
  <w:footnote w:id="32">
    <w:p w:rsidR="005227BF" w:rsidRPr="008015F8" w:rsidRDefault="005227BF" w:rsidP="00657446">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Access for Small and Medium Business to Finance</w:t>
      </w:r>
      <w:r w:rsidRPr="008015F8">
        <w:rPr>
          <w:rFonts w:ascii="Arial" w:hAnsi="Arial" w:cs="Arial"/>
          <w:sz w:val="16"/>
          <w:szCs w:val="16"/>
        </w:rPr>
        <w:t xml:space="preserve">, April 2011, accessible at: </w:t>
      </w:r>
      <w:hyperlink r:id="rId29" w:history="1">
        <w:r w:rsidRPr="008015F8">
          <w:rPr>
            <w:rStyle w:val="Hyperlink"/>
            <w:rFonts w:ascii="Arial" w:hAnsi="Arial" w:cs="Arial"/>
            <w:sz w:val="16"/>
            <w:szCs w:val="16"/>
          </w:rPr>
          <w:t>http://www.aph.gov.au/~/media/wopapub/senate/committee/corporations_ctte/completed_inquiries/2010_13/sme_finance/report/report_pdf.ashx</w:t>
        </w:r>
      </w:hyperlink>
      <w:r w:rsidRPr="008015F8">
        <w:rPr>
          <w:rFonts w:ascii="Arial" w:hAnsi="Arial" w:cs="Arial"/>
          <w:sz w:val="16"/>
          <w:szCs w:val="16"/>
        </w:rPr>
        <w:t xml:space="preserve">, Page 35 </w:t>
      </w:r>
    </w:p>
  </w:footnote>
  <w:footnote w:id="33">
    <w:p w:rsidR="005227BF" w:rsidRPr="008015F8" w:rsidRDefault="005227BF" w:rsidP="00657446">
      <w:pPr>
        <w:pStyle w:val="FootnoteText"/>
        <w:rPr>
          <w:rFonts w:ascii="Arial" w:hAnsi="Arial" w:cs="Arial"/>
          <w:sz w:val="16"/>
          <w:szCs w:val="16"/>
        </w:rPr>
      </w:pPr>
      <w:r w:rsidRPr="008015F8">
        <w:rPr>
          <w:rStyle w:val="FootnoteReference"/>
          <w:rFonts w:ascii="Arial" w:hAnsi="Arial" w:cs="Arial"/>
          <w:sz w:val="16"/>
          <w:szCs w:val="16"/>
        </w:rPr>
        <w:footnoteRef/>
      </w:r>
      <w:r w:rsidRPr="008015F8">
        <w:rPr>
          <w:rFonts w:ascii="Arial" w:hAnsi="Arial" w:cs="Arial"/>
          <w:sz w:val="16"/>
          <w:szCs w:val="16"/>
        </w:rPr>
        <w:t xml:space="preserve"> Parliamentary Joint Committee on Corporations and Financial Services, </w:t>
      </w:r>
      <w:r w:rsidRPr="008015F8">
        <w:rPr>
          <w:rFonts w:ascii="Arial" w:hAnsi="Arial" w:cs="Arial"/>
          <w:i/>
          <w:sz w:val="16"/>
          <w:szCs w:val="16"/>
        </w:rPr>
        <w:t>Access for Small and Medium Business to Finance</w:t>
      </w:r>
      <w:r w:rsidRPr="008015F8">
        <w:rPr>
          <w:rFonts w:ascii="Arial" w:hAnsi="Arial" w:cs="Arial"/>
          <w:sz w:val="16"/>
          <w:szCs w:val="16"/>
        </w:rPr>
        <w:t xml:space="preserve">, April 2011, accessible at: </w:t>
      </w:r>
      <w:hyperlink r:id="rId30" w:history="1">
        <w:r w:rsidRPr="008015F8">
          <w:rPr>
            <w:rStyle w:val="Hyperlink"/>
            <w:rFonts w:ascii="Arial" w:hAnsi="Arial" w:cs="Arial"/>
            <w:sz w:val="16"/>
            <w:szCs w:val="16"/>
          </w:rPr>
          <w:t>http://www.aph.gov.au/~/media/wopapub/senate/committee/corporations_ctte/completed_inquiries/2010_13/sme_finance/report/report_pdf.ashx</w:t>
        </w:r>
      </w:hyperlink>
      <w:r w:rsidRPr="008015F8">
        <w:rPr>
          <w:rFonts w:ascii="Arial" w:hAnsi="Arial" w:cs="Arial"/>
          <w:sz w:val="16"/>
          <w:szCs w:val="16"/>
        </w:rPr>
        <w:t xml:space="preserve">, Page 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Pr="00E8056B" w:rsidRDefault="005227BF"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5227BF" w:rsidRDefault="005227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Pr="0019542E" w:rsidRDefault="005227BF"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5716E"/>
    <w:multiLevelType w:val="multilevel"/>
    <w:tmpl w:val="997A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0A63"/>
    <w:multiLevelType w:val="hybridMultilevel"/>
    <w:tmpl w:val="537AEFEE"/>
    <w:lvl w:ilvl="0" w:tplc="CA9EB7FC">
      <w:numFmt w:val="bullet"/>
      <w:lvlText w:val="•"/>
      <w:lvlJc w:val="left"/>
      <w:pPr>
        <w:ind w:left="1080" w:hanging="720"/>
      </w:pPr>
      <w:rPr>
        <w:rFonts w:ascii="Arial" w:eastAsiaTheme="minorHAnsi" w:hAnsi="Arial" w:cs="Arial" w:hint="default"/>
      </w:rPr>
    </w:lvl>
    <w:lvl w:ilvl="1" w:tplc="40B842D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7F3599"/>
    <w:multiLevelType w:val="multilevel"/>
    <w:tmpl w:val="FB9A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416940"/>
    <w:multiLevelType w:val="multilevel"/>
    <w:tmpl w:val="F40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8">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42ED34DC"/>
    <w:multiLevelType w:val="hybridMultilevel"/>
    <w:tmpl w:val="2340A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5FE44C0"/>
    <w:multiLevelType w:val="hybridMultilevel"/>
    <w:tmpl w:val="76CCC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88A6793"/>
    <w:multiLevelType w:val="hybridMultilevel"/>
    <w:tmpl w:val="849E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B923970"/>
    <w:multiLevelType w:val="hybridMultilevel"/>
    <w:tmpl w:val="83CA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63C5454B"/>
    <w:multiLevelType w:val="multilevel"/>
    <w:tmpl w:val="16F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8E2DD3"/>
    <w:multiLevelType w:val="hybridMultilevel"/>
    <w:tmpl w:val="737A7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0E4905"/>
    <w:multiLevelType w:val="hybridMultilevel"/>
    <w:tmpl w:val="0394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0"/>
  </w:num>
  <w:num w:numId="5">
    <w:abstractNumId w:val="7"/>
  </w:num>
  <w:num w:numId="6">
    <w:abstractNumId w:val="14"/>
  </w:num>
  <w:num w:numId="7">
    <w:abstractNumId w:val="10"/>
  </w:num>
  <w:num w:numId="8">
    <w:abstractNumId w:val="11"/>
  </w:num>
  <w:num w:numId="9">
    <w:abstractNumId w:val="5"/>
  </w:num>
  <w:num w:numId="10">
    <w:abstractNumId w:val="3"/>
  </w:num>
  <w:num w:numId="11">
    <w:abstractNumId w:val="1"/>
  </w:num>
  <w:num w:numId="12">
    <w:abstractNumId w:val="15"/>
  </w:num>
  <w:num w:numId="13">
    <w:abstractNumId w:val="13"/>
  </w:num>
  <w:num w:numId="14">
    <w:abstractNumId w:val="2"/>
  </w:num>
  <w:num w:numId="1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num>
  <w:num w:numId="19">
    <w:abstractNumId w:val="16"/>
  </w:num>
  <w:num w:numId="20">
    <w:abstractNumId w:val="9"/>
  </w:num>
  <w:num w:numId="21">
    <w:abstractNumId w:val="12"/>
  </w:num>
  <w:num w:numId="22">
    <w:abstractNumId w:val="19"/>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5A35"/>
    <w:rsid w:val="00005E0D"/>
    <w:rsid w:val="00006297"/>
    <w:rsid w:val="00006C53"/>
    <w:rsid w:val="00007723"/>
    <w:rsid w:val="00007CA7"/>
    <w:rsid w:val="00011661"/>
    <w:rsid w:val="00012205"/>
    <w:rsid w:val="000156D1"/>
    <w:rsid w:val="000169A5"/>
    <w:rsid w:val="00020B9C"/>
    <w:rsid w:val="00021886"/>
    <w:rsid w:val="00021D7D"/>
    <w:rsid w:val="00023CC7"/>
    <w:rsid w:val="00027E86"/>
    <w:rsid w:val="0003251D"/>
    <w:rsid w:val="00035304"/>
    <w:rsid w:val="0003555D"/>
    <w:rsid w:val="00035CFC"/>
    <w:rsid w:val="00037042"/>
    <w:rsid w:val="0004081E"/>
    <w:rsid w:val="00040876"/>
    <w:rsid w:val="00040B35"/>
    <w:rsid w:val="00040C3C"/>
    <w:rsid w:val="000447B1"/>
    <w:rsid w:val="00044E68"/>
    <w:rsid w:val="00046251"/>
    <w:rsid w:val="00046823"/>
    <w:rsid w:val="00050AC8"/>
    <w:rsid w:val="00050CE6"/>
    <w:rsid w:val="00052E9C"/>
    <w:rsid w:val="00053DCB"/>
    <w:rsid w:val="00056113"/>
    <w:rsid w:val="00056A74"/>
    <w:rsid w:val="00056DE2"/>
    <w:rsid w:val="00060365"/>
    <w:rsid w:val="00060651"/>
    <w:rsid w:val="000623F3"/>
    <w:rsid w:val="0006283B"/>
    <w:rsid w:val="00063D15"/>
    <w:rsid w:val="00067698"/>
    <w:rsid w:val="00070737"/>
    <w:rsid w:val="00071A71"/>
    <w:rsid w:val="00072340"/>
    <w:rsid w:val="0007542B"/>
    <w:rsid w:val="00075E7B"/>
    <w:rsid w:val="00077364"/>
    <w:rsid w:val="00080C08"/>
    <w:rsid w:val="00083C15"/>
    <w:rsid w:val="000848A1"/>
    <w:rsid w:val="00086A56"/>
    <w:rsid w:val="00087208"/>
    <w:rsid w:val="00091EB9"/>
    <w:rsid w:val="00093679"/>
    <w:rsid w:val="00094FE3"/>
    <w:rsid w:val="00095C3B"/>
    <w:rsid w:val="00096B02"/>
    <w:rsid w:val="00096FAC"/>
    <w:rsid w:val="00097329"/>
    <w:rsid w:val="000976B9"/>
    <w:rsid w:val="000A2163"/>
    <w:rsid w:val="000A2996"/>
    <w:rsid w:val="000A2BCF"/>
    <w:rsid w:val="000A2C1A"/>
    <w:rsid w:val="000A4409"/>
    <w:rsid w:val="000A4EB0"/>
    <w:rsid w:val="000A6499"/>
    <w:rsid w:val="000B0410"/>
    <w:rsid w:val="000B069A"/>
    <w:rsid w:val="000B1819"/>
    <w:rsid w:val="000B496C"/>
    <w:rsid w:val="000C049C"/>
    <w:rsid w:val="000C0C35"/>
    <w:rsid w:val="000C0F58"/>
    <w:rsid w:val="000C4A62"/>
    <w:rsid w:val="000C7BBC"/>
    <w:rsid w:val="000D0226"/>
    <w:rsid w:val="000D033C"/>
    <w:rsid w:val="000D5E4E"/>
    <w:rsid w:val="000D6EF5"/>
    <w:rsid w:val="000D7CD4"/>
    <w:rsid w:val="000E7B14"/>
    <w:rsid w:val="000F028E"/>
    <w:rsid w:val="000F0F7B"/>
    <w:rsid w:val="000F314E"/>
    <w:rsid w:val="000F34E0"/>
    <w:rsid w:val="000F3ACC"/>
    <w:rsid w:val="000F3D9F"/>
    <w:rsid w:val="000F53C2"/>
    <w:rsid w:val="000F566E"/>
    <w:rsid w:val="000F5BB5"/>
    <w:rsid w:val="000F7F6F"/>
    <w:rsid w:val="00100A35"/>
    <w:rsid w:val="00103E24"/>
    <w:rsid w:val="001051CB"/>
    <w:rsid w:val="00110610"/>
    <w:rsid w:val="00110A53"/>
    <w:rsid w:val="001121A8"/>
    <w:rsid w:val="00112A33"/>
    <w:rsid w:val="0011347C"/>
    <w:rsid w:val="00114FC5"/>
    <w:rsid w:val="001176CB"/>
    <w:rsid w:val="00121A4F"/>
    <w:rsid w:val="00121A53"/>
    <w:rsid w:val="00122285"/>
    <w:rsid w:val="00123C93"/>
    <w:rsid w:val="00124F32"/>
    <w:rsid w:val="00125023"/>
    <w:rsid w:val="001253A5"/>
    <w:rsid w:val="00126E09"/>
    <w:rsid w:val="0013041A"/>
    <w:rsid w:val="001320D2"/>
    <w:rsid w:val="00132E36"/>
    <w:rsid w:val="00134E0D"/>
    <w:rsid w:val="001368EB"/>
    <w:rsid w:val="00141274"/>
    <w:rsid w:val="00141395"/>
    <w:rsid w:val="0014179F"/>
    <w:rsid w:val="0014300C"/>
    <w:rsid w:val="001431E4"/>
    <w:rsid w:val="001440F0"/>
    <w:rsid w:val="0014683D"/>
    <w:rsid w:val="00150065"/>
    <w:rsid w:val="0015008C"/>
    <w:rsid w:val="0015062F"/>
    <w:rsid w:val="0015211C"/>
    <w:rsid w:val="00152A71"/>
    <w:rsid w:val="001533F1"/>
    <w:rsid w:val="0015359E"/>
    <w:rsid w:val="0015386B"/>
    <w:rsid w:val="001552BC"/>
    <w:rsid w:val="00160FE3"/>
    <w:rsid w:val="001611AB"/>
    <w:rsid w:val="00162A32"/>
    <w:rsid w:val="00163879"/>
    <w:rsid w:val="00166CBD"/>
    <w:rsid w:val="00167142"/>
    <w:rsid w:val="00167289"/>
    <w:rsid w:val="00172FC4"/>
    <w:rsid w:val="00174273"/>
    <w:rsid w:val="00176C09"/>
    <w:rsid w:val="001807A8"/>
    <w:rsid w:val="001811B8"/>
    <w:rsid w:val="001855CD"/>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5C1C"/>
    <w:rsid w:val="001D64A9"/>
    <w:rsid w:val="001D64FE"/>
    <w:rsid w:val="001D77A8"/>
    <w:rsid w:val="001D7817"/>
    <w:rsid w:val="001D7CDE"/>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DE8"/>
    <w:rsid w:val="00210088"/>
    <w:rsid w:val="0021270C"/>
    <w:rsid w:val="0021283E"/>
    <w:rsid w:val="002137D3"/>
    <w:rsid w:val="00214282"/>
    <w:rsid w:val="00215F0D"/>
    <w:rsid w:val="00216CE6"/>
    <w:rsid w:val="00225B24"/>
    <w:rsid w:val="002278E9"/>
    <w:rsid w:val="0023094F"/>
    <w:rsid w:val="00230C4F"/>
    <w:rsid w:val="00230DFC"/>
    <w:rsid w:val="002333DB"/>
    <w:rsid w:val="00237081"/>
    <w:rsid w:val="00241C15"/>
    <w:rsid w:val="0024248F"/>
    <w:rsid w:val="0024360C"/>
    <w:rsid w:val="00243731"/>
    <w:rsid w:val="00244F62"/>
    <w:rsid w:val="00250025"/>
    <w:rsid w:val="0025225E"/>
    <w:rsid w:val="002527BE"/>
    <w:rsid w:val="00252AA9"/>
    <w:rsid w:val="002542D1"/>
    <w:rsid w:val="00254301"/>
    <w:rsid w:val="002543DF"/>
    <w:rsid w:val="00255617"/>
    <w:rsid w:val="002568F6"/>
    <w:rsid w:val="00257D05"/>
    <w:rsid w:val="00260827"/>
    <w:rsid w:val="00260FBD"/>
    <w:rsid w:val="00262C0A"/>
    <w:rsid w:val="00263A7C"/>
    <w:rsid w:val="002647C3"/>
    <w:rsid w:val="00264A3B"/>
    <w:rsid w:val="00265EB9"/>
    <w:rsid w:val="00266881"/>
    <w:rsid w:val="00266915"/>
    <w:rsid w:val="00270995"/>
    <w:rsid w:val="00277981"/>
    <w:rsid w:val="00277D24"/>
    <w:rsid w:val="00281D40"/>
    <w:rsid w:val="00282EF9"/>
    <w:rsid w:val="0028399D"/>
    <w:rsid w:val="0028616B"/>
    <w:rsid w:val="00291C6F"/>
    <w:rsid w:val="0029355B"/>
    <w:rsid w:val="002938B5"/>
    <w:rsid w:val="00295501"/>
    <w:rsid w:val="00296633"/>
    <w:rsid w:val="00296A47"/>
    <w:rsid w:val="002A061F"/>
    <w:rsid w:val="002A14C8"/>
    <w:rsid w:val="002A243F"/>
    <w:rsid w:val="002A3F63"/>
    <w:rsid w:val="002A4859"/>
    <w:rsid w:val="002A4F45"/>
    <w:rsid w:val="002A5C2E"/>
    <w:rsid w:val="002A7CB7"/>
    <w:rsid w:val="002B0559"/>
    <w:rsid w:val="002B0F48"/>
    <w:rsid w:val="002B172B"/>
    <w:rsid w:val="002B3668"/>
    <w:rsid w:val="002B381D"/>
    <w:rsid w:val="002B54EF"/>
    <w:rsid w:val="002B77BC"/>
    <w:rsid w:val="002B7A60"/>
    <w:rsid w:val="002B7C87"/>
    <w:rsid w:val="002C015C"/>
    <w:rsid w:val="002C0499"/>
    <w:rsid w:val="002C1799"/>
    <w:rsid w:val="002C1FD6"/>
    <w:rsid w:val="002C2485"/>
    <w:rsid w:val="002C5598"/>
    <w:rsid w:val="002D1187"/>
    <w:rsid w:val="002D411B"/>
    <w:rsid w:val="002D592D"/>
    <w:rsid w:val="002D67A7"/>
    <w:rsid w:val="002E06F2"/>
    <w:rsid w:val="002E226D"/>
    <w:rsid w:val="002E453E"/>
    <w:rsid w:val="002E5D82"/>
    <w:rsid w:val="002E5F39"/>
    <w:rsid w:val="002E6075"/>
    <w:rsid w:val="002E7897"/>
    <w:rsid w:val="002E7F28"/>
    <w:rsid w:val="002F2F65"/>
    <w:rsid w:val="002F3241"/>
    <w:rsid w:val="002F438C"/>
    <w:rsid w:val="002F50FD"/>
    <w:rsid w:val="002F5A71"/>
    <w:rsid w:val="002F632C"/>
    <w:rsid w:val="00302E87"/>
    <w:rsid w:val="00304B46"/>
    <w:rsid w:val="003054ED"/>
    <w:rsid w:val="00306FBF"/>
    <w:rsid w:val="00307FF7"/>
    <w:rsid w:val="00315333"/>
    <w:rsid w:val="0032008B"/>
    <w:rsid w:val="00320AFE"/>
    <w:rsid w:val="00321A43"/>
    <w:rsid w:val="0032308F"/>
    <w:rsid w:val="00325A6C"/>
    <w:rsid w:val="003265BF"/>
    <w:rsid w:val="00330F29"/>
    <w:rsid w:val="00336512"/>
    <w:rsid w:val="00336760"/>
    <w:rsid w:val="00336EBD"/>
    <w:rsid w:val="00342826"/>
    <w:rsid w:val="00350300"/>
    <w:rsid w:val="00351556"/>
    <w:rsid w:val="00351657"/>
    <w:rsid w:val="00351D4B"/>
    <w:rsid w:val="003533CA"/>
    <w:rsid w:val="00354394"/>
    <w:rsid w:val="0035493A"/>
    <w:rsid w:val="00354DA6"/>
    <w:rsid w:val="00356D3A"/>
    <w:rsid w:val="00360759"/>
    <w:rsid w:val="00360AD1"/>
    <w:rsid w:val="00364BA5"/>
    <w:rsid w:val="0036535E"/>
    <w:rsid w:val="00372137"/>
    <w:rsid w:val="00374990"/>
    <w:rsid w:val="00380998"/>
    <w:rsid w:val="003828AD"/>
    <w:rsid w:val="00384772"/>
    <w:rsid w:val="00385F00"/>
    <w:rsid w:val="00385F9E"/>
    <w:rsid w:val="00386846"/>
    <w:rsid w:val="0039063B"/>
    <w:rsid w:val="00390696"/>
    <w:rsid w:val="003911E4"/>
    <w:rsid w:val="00393037"/>
    <w:rsid w:val="0039442F"/>
    <w:rsid w:val="003A223A"/>
    <w:rsid w:val="003A4520"/>
    <w:rsid w:val="003A4982"/>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D7B74"/>
    <w:rsid w:val="003E2B20"/>
    <w:rsid w:val="003E3D6A"/>
    <w:rsid w:val="003E4EFE"/>
    <w:rsid w:val="003E7053"/>
    <w:rsid w:val="003F0B5C"/>
    <w:rsid w:val="003F0F16"/>
    <w:rsid w:val="003F6CA9"/>
    <w:rsid w:val="00400142"/>
    <w:rsid w:val="004008C7"/>
    <w:rsid w:val="004008D8"/>
    <w:rsid w:val="00402138"/>
    <w:rsid w:val="00403823"/>
    <w:rsid w:val="00404392"/>
    <w:rsid w:val="00404731"/>
    <w:rsid w:val="00404820"/>
    <w:rsid w:val="004053D4"/>
    <w:rsid w:val="00406222"/>
    <w:rsid w:val="00407EF2"/>
    <w:rsid w:val="00410341"/>
    <w:rsid w:val="004115B6"/>
    <w:rsid w:val="00411625"/>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2273"/>
    <w:rsid w:val="004353C2"/>
    <w:rsid w:val="00440231"/>
    <w:rsid w:val="00440310"/>
    <w:rsid w:val="00441E31"/>
    <w:rsid w:val="00443123"/>
    <w:rsid w:val="004436EB"/>
    <w:rsid w:val="00445CDC"/>
    <w:rsid w:val="00450FF8"/>
    <w:rsid w:val="00454D08"/>
    <w:rsid w:val="00455514"/>
    <w:rsid w:val="00462423"/>
    <w:rsid w:val="00463025"/>
    <w:rsid w:val="004640D1"/>
    <w:rsid w:val="00466E7F"/>
    <w:rsid w:val="00473A75"/>
    <w:rsid w:val="00475C39"/>
    <w:rsid w:val="00483BAA"/>
    <w:rsid w:val="00483F2E"/>
    <w:rsid w:val="00484068"/>
    <w:rsid w:val="004847D2"/>
    <w:rsid w:val="00484C78"/>
    <w:rsid w:val="004854A3"/>
    <w:rsid w:val="00485B5E"/>
    <w:rsid w:val="00487F0F"/>
    <w:rsid w:val="00491112"/>
    <w:rsid w:val="004952A7"/>
    <w:rsid w:val="0049636E"/>
    <w:rsid w:val="004977DE"/>
    <w:rsid w:val="00497CD2"/>
    <w:rsid w:val="004A2F6F"/>
    <w:rsid w:val="004A325F"/>
    <w:rsid w:val="004B0BF5"/>
    <w:rsid w:val="004B26EB"/>
    <w:rsid w:val="004B3EF6"/>
    <w:rsid w:val="004B4B20"/>
    <w:rsid w:val="004B509F"/>
    <w:rsid w:val="004B5FA9"/>
    <w:rsid w:val="004B6187"/>
    <w:rsid w:val="004B64C9"/>
    <w:rsid w:val="004B6C90"/>
    <w:rsid w:val="004C21BB"/>
    <w:rsid w:val="004C377A"/>
    <w:rsid w:val="004C3CC3"/>
    <w:rsid w:val="004C7AD5"/>
    <w:rsid w:val="004C7EE3"/>
    <w:rsid w:val="004D3774"/>
    <w:rsid w:val="004D42D0"/>
    <w:rsid w:val="004D6BAD"/>
    <w:rsid w:val="004E1322"/>
    <w:rsid w:val="004E1EBB"/>
    <w:rsid w:val="004E5885"/>
    <w:rsid w:val="004E5EA3"/>
    <w:rsid w:val="004E5EDA"/>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0A99"/>
    <w:rsid w:val="00512B6D"/>
    <w:rsid w:val="005146B1"/>
    <w:rsid w:val="0052056E"/>
    <w:rsid w:val="005223FD"/>
    <w:rsid w:val="005227BF"/>
    <w:rsid w:val="00525303"/>
    <w:rsid w:val="0053137B"/>
    <w:rsid w:val="0053194E"/>
    <w:rsid w:val="0053236A"/>
    <w:rsid w:val="00532ADF"/>
    <w:rsid w:val="00532BFB"/>
    <w:rsid w:val="00532EDD"/>
    <w:rsid w:val="00532F0A"/>
    <w:rsid w:val="00533381"/>
    <w:rsid w:val="00533467"/>
    <w:rsid w:val="00533DD1"/>
    <w:rsid w:val="0053492E"/>
    <w:rsid w:val="00535863"/>
    <w:rsid w:val="005359BF"/>
    <w:rsid w:val="005365E0"/>
    <w:rsid w:val="00540454"/>
    <w:rsid w:val="00542877"/>
    <w:rsid w:val="00543163"/>
    <w:rsid w:val="005434F6"/>
    <w:rsid w:val="0054422F"/>
    <w:rsid w:val="005448EE"/>
    <w:rsid w:val="00545151"/>
    <w:rsid w:val="00545CB8"/>
    <w:rsid w:val="00550256"/>
    <w:rsid w:val="005507D4"/>
    <w:rsid w:val="005520B3"/>
    <w:rsid w:val="00552251"/>
    <w:rsid w:val="00552289"/>
    <w:rsid w:val="005551EA"/>
    <w:rsid w:val="005571CA"/>
    <w:rsid w:val="0056179B"/>
    <w:rsid w:val="00564094"/>
    <w:rsid w:val="0056479F"/>
    <w:rsid w:val="005648B3"/>
    <w:rsid w:val="00564DAA"/>
    <w:rsid w:val="00565F92"/>
    <w:rsid w:val="00566D20"/>
    <w:rsid w:val="0057019E"/>
    <w:rsid w:val="0057128B"/>
    <w:rsid w:val="0057591D"/>
    <w:rsid w:val="00576ED0"/>
    <w:rsid w:val="00576F0D"/>
    <w:rsid w:val="005773CF"/>
    <w:rsid w:val="0057783F"/>
    <w:rsid w:val="00580BDF"/>
    <w:rsid w:val="0058247C"/>
    <w:rsid w:val="00583369"/>
    <w:rsid w:val="00587C8F"/>
    <w:rsid w:val="00593217"/>
    <w:rsid w:val="00593696"/>
    <w:rsid w:val="0059482D"/>
    <w:rsid w:val="00596872"/>
    <w:rsid w:val="005A2A86"/>
    <w:rsid w:val="005A38CD"/>
    <w:rsid w:val="005A76C2"/>
    <w:rsid w:val="005B0230"/>
    <w:rsid w:val="005B1179"/>
    <w:rsid w:val="005B34B7"/>
    <w:rsid w:val="005B3729"/>
    <w:rsid w:val="005B4CA8"/>
    <w:rsid w:val="005B4F21"/>
    <w:rsid w:val="005B64D9"/>
    <w:rsid w:val="005B68E9"/>
    <w:rsid w:val="005C1810"/>
    <w:rsid w:val="005C31A0"/>
    <w:rsid w:val="005C4492"/>
    <w:rsid w:val="005C473F"/>
    <w:rsid w:val="005C4952"/>
    <w:rsid w:val="005C63F7"/>
    <w:rsid w:val="005C7729"/>
    <w:rsid w:val="005D00E8"/>
    <w:rsid w:val="005D2355"/>
    <w:rsid w:val="005D2445"/>
    <w:rsid w:val="005D31FD"/>
    <w:rsid w:val="005D4399"/>
    <w:rsid w:val="005D6CD2"/>
    <w:rsid w:val="005E117A"/>
    <w:rsid w:val="005E11FC"/>
    <w:rsid w:val="005E20ED"/>
    <w:rsid w:val="005E23F5"/>
    <w:rsid w:val="005E28FB"/>
    <w:rsid w:val="005E6294"/>
    <w:rsid w:val="005E661C"/>
    <w:rsid w:val="005E6D8B"/>
    <w:rsid w:val="005F01B0"/>
    <w:rsid w:val="005F1009"/>
    <w:rsid w:val="005F21D1"/>
    <w:rsid w:val="005F31DF"/>
    <w:rsid w:val="005F4FBC"/>
    <w:rsid w:val="005F528E"/>
    <w:rsid w:val="005F5ACC"/>
    <w:rsid w:val="005F69CC"/>
    <w:rsid w:val="00600132"/>
    <w:rsid w:val="006007D6"/>
    <w:rsid w:val="00600AC6"/>
    <w:rsid w:val="006014C4"/>
    <w:rsid w:val="00601B01"/>
    <w:rsid w:val="00601F5C"/>
    <w:rsid w:val="00603655"/>
    <w:rsid w:val="00605F3F"/>
    <w:rsid w:val="00605FB9"/>
    <w:rsid w:val="00610223"/>
    <w:rsid w:val="006109E9"/>
    <w:rsid w:val="00610CFE"/>
    <w:rsid w:val="006110D1"/>
    <w:rsid w:val="006123DD"/>
    <w:rsid w:val="00613AD2"/>
    <w:rsid w:val="006244DA"/>
    <w:rsid w:val="00625BAD"/>
    <w:rsid w:val="00625E9E"/>
    <w:rsid w:val="006278F6"/>
    <w:rsid w:val="00627F56"/>
    <w:rsid w:val="0063291A"/>
    <w:rsid w:val="00632AA0"/>
    <w:rsid w:val="00632D04"/>
    <w:rsid w:val="006331D5"/>
    <w:rsid w:val="00634824"/>
    <w:rsid w:val="0063609C"/>
    <w:rsid w:val="0063713C"/>
    <w:rsid w:val="00640DAD"/>
    <w:rsid w:val="006458F3"/>
    <w:rsid w:val="00646B21"/>
    <w:rsid w:val="00647FBE"/>
    <w:rsid w:val="00650566"/>
    <w:rsid w:val="006509D3"/>
    <w:rsid w:val="00651339"/>
    <w:rsid w:val="0065569F"/>
    <w:rsid w:val="00657446"/>
    <w:rsid w:val="00662A4B"/>
    <w:rsid w:val="00662CFC"/>
    <w:rsid w:val="00664D33"/>
    <w:rsid w:val="00666A1A"/>
    <w:rsid w:val="00667036"/>
    <w:rsid w:val="006672AB"/>
    <w:rsid w:val="0066769B"/>
    <w:rsid w:val="006677C7"/>
    <w:rsid w:val="006751F9"/>
    <w:rsid w:val="00682B89"/>
    <w:rsid w:val="00683D7C"/>
    <w:rsid w:val="00685443"/>
    <w:rsid w:val="00685459"/>
    <w:rsid w:val="006858FF"/>
    <w:rsid w:val="006859F7"/>
    <w:rsid w:val="00686470"/>
    <w:rsid w:val="0069019B"/>
    <w:rsid w:val="00692625"/>
    <w:rsid w:val="006932F3"/>
    <w:rsid w:val="00693363"/>
    <w:rsid w:val="006939CC"/>
    <w:rsid w:val="0069483A"/>
    <w:rsid w:val="00694C83"/>
    <w:rsid w:val="006A0105"/>
    <w:rsid w:val="006A1612"/>
    <w:rsid w:val="006A208A"/>
    <w:rsid w:val="006A522F"/>
    <w:rsid w:val="006A52C4"/>
    <w:rsid w:val="006A63AE"/>
    <w:rsid w:val="006A63B2"/>
    <w:rsid w:val="006A7735"/>
    <w:rsid w:val="006A797E"/>
    <w:rsid w:val="006B36C8"/>
    <w:rsid w:val="006B4B45"/>
    <w:rsid w:val="006B558F"/>
    <w:rsid w:val="006B7D6C"/>
    <w:rsid w:val="006C38AD"/>
    <w:rsid w:val="006C428F"/>
    <w:rsid w:val="006D4D41"/>
    <w:rsid w:val="006D7818"/>
    <w:rsid w:val="006E026F"/>
    <w:rsid w:val="006E0E88"/>
    <w:rsid w:val="006E26D5"/>
    <w:rsid w:val="006E7F59"/>
    <w:rsid w:val="006F050F"/>
    <w:rsid w:val="006F0BC5"/>
    <w:rsid w:val="006F0C79"/>
    <w:rsid w:val="006F0EA4"/>
    <w:rsid w:val="006F2893"/>
    <w:rsid w:val="00704823"/>
    <w:rsid w:val="00704E66"/>
    <w:rsid w:val="00705AA4"/>
    <w:rsid w:val="007062D8"/>
    <w:rsid w:val="00710395"/>
    <w:rsid w:val="00714204"/>
    <w:rsid w:val="007162A5"/>
    <w:rsid w:val="0071719F"/>
    <w:rsid w:val="0071762D"/>
    <w:rsid w:val="00717BAD"/>
    <w:rsid w:val="00725BC0"/>
    <w:rsid w:val="00726797"/>
    <w:rsid w:val="007270C9"/>
    <w:rsid w:val="00731DC4"/>
    <w:rsid w:val="00737149"/>
    <w:rsid w:val="00740005"/>
    <w:rsid w:val="00740DF8"/>
    <w:rsid w:val="00741304"/>
    <w:rsid w:val="007468FB"/>
    <w:rsid w:val="00746BF5"/>
    <w:rsid w:val="007470CF"/>
    <w:rsid w:val="00750515"/>
    <w:rsid w:val="00751BF0"/>
    <w:rsid w:val="00753F95"/>
    <w:rsid w:val="0075427A"/>
    <w:rsid w:val="00754EBD"/>
    <w:rsid w:val="007551E1"/>
    <w:rsid w:val="00757C3B"/>
    <w:rsid w:val="0076023A"/>
    <w:rsid w:val="0076304F"/>
    <w:rsid w:val="00763C32"/>
    <w:rsid w:val="00773733"/>
    <w:rsid w:val="00774FE0"/>
    <w:rsid w:val="0077582D"/>
    <w:rsid w:val="00776E81"/>
    <w:rsid w:val="007802E1"/>
    <w:rsid w:val="00780FAD"/>
    <w:rsid w:val="00782256"/>
    <w:rsid w:val="0078459F"/>
    <w:rsid w:val="00791216"/>
    <w:rsid w:val="00791617"/>
    <w:rsid w:val="00792CEB"/>
    <w:rsid w:val="00793AD6"/>
    <w:rsid w:val="00793EA7"/>
    <w:rsid w:val="007940E8"/>
    <w:rsid w:val="00795047"/>
    <w:rsid w:val="007A673A"/>
    <w:rsid w:val="007A69C1"/>
    <w:rsid w:val="007B03E4"/>
    <w:rsid w:val="007B3B54"/>
    <w:rsid w:val="007B3BE2"/>
    <w:rsid w:val="007B665E"/>
    <w:rsid w:val="007B711A"/>
    <w:rsid w:val="007C2538"/>
    <w:rsid w:val="007C385B"/>
    <w:rsid w:val="007C3F49"/>
    <w:rsid w:val="007C5879"/>
    <w:rsid w:val="007C5AD5"/>
    <w:rsid w:val="007C746E"/>
    <w:rsid w:val="007C7FD7"/>
    <w:rsid w:val="007D4DD3"/>
    <w:rsid w:val="007D608A"/>
    <w:rsid w:val="007D7F92"/>
    <w:rsid w:val="007E0773"/>
    <w:rsid w:val="007E0ABA"/>
    <w:rsid w:val="007E1D9A"/>
    <w:rsid w:val="007E3FCC"/>
    <w:rsid w:val="007E6163"/>
    <w:rsid w:val="007E7978"/>
    <w:rsid w:val="007E7BC6"/>
    <w:rsid w:val="007E7F34"/>
    <w:rsid w:val="007F0554"/>
    <w:rsid w:val="007F15BB"/>
    <w:rsid w:val="007F2D2A"/>
    <w:rsid w:val="007F3589"/>
    <w:rsid w:val="007F4404"/>
    <w:rsid w:val="007F44BE"/>
    <w:rsid w:val="007F4C48"/>
    <w:rsid w:val="007F4E1E"/>
    <w:rsid w:val="007F772F"/>
    <w:rsid w:val="00800C52"/>
    <w:rsid w:val="008015F8"/>
    <w:rsid w:val="0080211A"/>
    <w:rsid w:val="00804638"/>
    <w:rsid w:val="00804B17"/>
    <w:rsid w:val="008056CD"/>
    <w:rsid w:val="008062BF"/>
    <w:rsid w:val="008109A7"/>
    <w:rsid w:val="0081411F"/>
    <w:rsid w:val="00814C62"/>
    <w:rsid w:val="00821537"/>
    <w:rsid w:val="0082345F"/>
    <w:rsid w:val="00823880"/>
    <w:rsid w:val="008241D3"/>
    <w:rsid w:val="00824D91"/>
    <w:rsid w:val="00825673"/>
    <w:rsid w:val="008257C1"/>
    <w:rsid w:val="00825C08"/>
    <w:rsid w:val="0083058C"/>
    <w:rsid w:val="00830A8A"/>
    <w:rsid w:val="00831AA7"/>
    <w:rsid w:val="00832C0D"/>
    <w:rsid w:val="00833D88"/>
    <w:rsid w:val="008361ED"/>
    <w:rsid w:val="00836304"/>
    <w:rsid w:val="00841BE9"/>
    <w:rsid w:val="00846848"/>
    <w:rsid w:val="00846C4C"/>
    <w:rsid w:val="008479ED"/>
    <w:rsid w:val="00847D7A"/>
    <w:rsid w:val="00850D33"/>
    <w:rsid w:val="00852672"/>
    <w:rsid w:val="00852A83"/>
    <w:rsid w:val="00853473"/>
    <w:rsid w:val="00854D3E"/>
    <w:rsid w:val="008561E9"/>
    <w:rsid w:val="00861D20"/>
    <w:rsid w:val="00863B20"/>
    <w:rsid w:val="008648BB"/>
    <w:rsid w:val="008653DE"/>
    <w:rsid w:val="008679F8"/>
    <w:rsid w:val="00870397"/>
    <w:rsid w:val="00871395"/>
    <w:rsid w:val="0087242A"/>
    <w:rsid w:val="00872E19"/>
    <w:rsid w:val="00874AAE"/>
    <w:rsid w:val="00875BF1"/>
    <w:rsid w:val="00877FD8"/>
    <w:rsid w:val="008808E3"/>
    <w:rsid w:val="00881A97"/>
    <w:rsid w:val="00882C09"/>
    <w:rsid w:val="00883178"/>
    <w:rsid w:val="00883881"/>
    <w:rsid w:val="008850A1"/>
    <w:rsid w:val="00885151"/>
    <w:rsid w:val="00887CBC"/>
    <w:rsid w:val="00890346"/>
    <w:rsid w:val="008929C1"/>
    <w:rsid w:val="00893728"/>
    <w:rsid w:val="008979D4"/>
    <w:rsid w:val="008A1D8B"/>
    <w:rsid w:val="008A3948"/>
    <w:rsid w:val="008A5088"/>
    <w:rsid w:val="008A5FC4"/>
    <w:rsid w:val="008A74F8"/>
    <w:rsid w:val="008B04A0"/>
    <w:rsid w:val="008B0EEF"/>
    <w:rsid w:val="008B123F"/>
    <w:rsid w:val="008B2A89"/>
    <w:rsid w:val="008B3178"/>
    <w:rsid w:val="008B4082"/>
    <w:rsid w:val="008B7312"/>
    <w:rsid w:val="008C09D2"/>
    <w:rsid w:val="008C10AA"/>
    <w:rsid w:val="008C1818"/>
    <w:rsid w:val="008C21E6"/>
    <w:rsid w:val="008C3592"/>
    <w:rsid w:val="008C38B7"/>
    <w:rsid w:val="008C6E07"/>
    <w:rsid w:val="008D0899"/>
    <w:rsid w:val="008D0B92"/>
    <w:rsid w:val="008D3C61"/>
    <w:rsid w:val="008D3E3D"/>
    <w:rsid w:val="008D42D4"/>
    <w:rsid w:val="008D451E"/>
    <w:rsid w:val="008D49C3"/>
    <w:rsid w:val="008D6B14"/>
    <w:rsid w:val="008D7A86"/>
    <w:rsid w:val="008E09F4"/>
    <w:rsid w:val="008E0C8C"/>
    <w:rsid w:val="008E0E01"/>
    <w:rsid w:val="008E1721"/>
    <w:rsid w:val="008E2AB0"/>
    <w:rsid w:val="008E3865"/>
    <w:rsid w:val="008E417C"/>
    <w:rsid w:val="008E4B38"/>
    <w:rsid w:val="008E5878"/>
    <w:rsid w:val="008F09AB"/>
    <w:rsid w:val="008F11A3"/>
    <w:rsid w:val="008F7601"/>
    <w:rsid w:val="008F79E1"/>
    <w:rsid w:val="0090378D"/>
    <w:rsid w:val="00904039"/>
    <w:rsid w:val="00907971"/>
    <w:rsid w:val="00907A05"/>
    <w:rsid w:val="009100A8"/>
    <w:rsid w:val="00912187"/>
    <w:rsid w:val="009132E3"/>
    <w:rsid w:val="00913890"/>
    <w:rsid w:val="009148AC"/>
    <w:rsid w:val="00914C1D"/>
    <w:rsid w:val="00915F3F"/>
    <w:rsid w:val="00916228"/>
    <w:rsid w:val="0091747C"/>
    <w:rsid w:val="00922A9B"/>
    <w:rsid w:val="009231B2"/>
    <w:rsid w:val="00923ADD"/>
    <w:rsid w:val="00925758"/>
    <w:rsid w:val="009279F2"/>
    <w:rsid w:val="00931B2F"/>
    <w:rsid w:val="00932BAB"/>
    <w:rsid w:val="0093306C"/>
    <w:rsid w:val="009339FC"/>
    <w:rsid w:val="009350CE"/>
    <w:rsid w:val="00940B60"/>
    <w:rsid w:val="00940D05"/>
    <w:rsid w:val="009433C1"/>
    <w:rsid w:val="00943829"/>
    <w:rsid w:val="0094402B"/>
    <w:rsid w:val="00946DC5"/>
    <w:rsid w:val="00946E17"/>
    <w:rsid w:val="00947011"/>
    <w:rsid w:val="00947278"/>
    <w:rsid w:val="00947EF3"/>
    <w:rsid w:val="009539FA"/>
    <w:rsid w:val="00960FE0"/>
    <w:rsid w:val="0096247E"/>
    <w:rsid w:val="00963D1D"/>
    <w:rsid w:val="00964284"/>
    <w:rsid w:val="00965069"/>
    <w:rsid w:val="00965175"/>
    <w:rsid w:val="00965FDF"/>
    <w:rsid w:val="009802CB"/>
    <w:rsid w:val="0098465E"/>
    <w:rsid w:val="00985AD3"/>
    <w:rsid w:val="00985D31"/>
    <w:rsid w:val="00986804"/>
    <w:rsid w:val="0099070F"/>
    <w:rsid w:val="00993BAE"/>
    <w:rsid w:val="00993E39"/>
    <w:rsid w:val="0099546D"/>
    <w:rsid w:val="00996370"/>
    <w:rsid w:val="00997EED"/>
    <w:rsid w:val="009A375C"/>
    <w:rsid w:val="009A3853"/>
    <w:rsid w:val="009B0520"/>
    <w:rsid w:val="009B2803"/>
    <w:rsid w:val="009B4220"/>
    <w:rsid w:val="009B5742"/>
    <w:rsid w:val="009B73F5"/>
    <w:rsid w:val="009C3182"/>
    <w:rsid w:val="009C34F3"/>
    <w:rsid w:val="009C5367"/>
    <w:rsid w:val="009C5B87"/>
    <w:rsid w:val="009C6717"/>
    <w:rsid w:val="009D2F28"/>
    <w:rsid w:val="009D3731"/>
    <w:rsid w:val="009D38A1"/>
    <w:rsid w:val="009E3C08"/>
    <w:rsid w:val="009E6C6B"/>
    <w:rsid w:val="009E77F2"/>
    <w:rsid w:val="009F23BD"/>
    <w:rsid w:val="009F593D"/>
    <w:rsid w:val="00A00503"/>
    <w:rsid w:val="00A0156A"/>
    <w:rsid w:val="00A01C6F"/>
    <w:rsid w:val="00A023EA"/>
    <w:rsid w:val="00A047CA"/>
    <w:rsid w:val="00A109D4"/>
    <w:rsid w:val="00A12D70"/>
    <w:rsid w:val="00A1430A"/>
    <w:rsid w:val="00A16057"/>
    <w:rsid w:val="00A21381"/>
    <w:rsid w:val="00A21842"/>
    <w:rsid w:val="00A21925"/>
    <w:rsid w:val="00A2215A"/>
    <w:rsid w:val="00A23059"/>
    <w:rsid w:val="00A2623B"/>
    <w:rsid w:val="00A26B28"/>
    <w:rsid w:val="00A300E2"/>
    <w:rsid w:val="00A323BD"/>
    <w:rsid w:val="00A34465"/>
    <w:rsid w:val="00A35D7E"/>
    <w:rsid w:val="00A37A93"/>
    <w:rsid w:val="00A40847"/>
    <w:rsid w:val="00A40FCF"/>
    <w:rsid w:val="00A42701"/>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3511"/>
    <w:rsid w:val="00A94647"/>
    <w:rsid w:val="00A96066"/>
    <w:rsid w:val="00A97A9E"/>
    <w:rsid w:val="00A97D79"/>
    <w:rsid w:val="00AA0C5A"/>
    <w:rsid w:val="00AA2D57"/>
    <w:rsid w:val="00AA3E70"/>
    <w:rsid w:val="00AA4EF1"/>
    <w:rsid w:val="00AA6BA4"/>
    <w:rsid w:val="00AA7670"/>
    <w:rsid w:val="00AA7C25"/>
    <w:rsid w:val="00AB0362"/>
    <w:rsid w:val="00AB3269"/>
    <w:rsid w:val="00AB3C78"/>
    <w:rsid w:val="00AB6D11"/>
    <w:rsid w:val="00AC0045"/>
    <w:rsid w:val="00AC0E5E"/>
    <w:rsid w:val="00AC4111"/>
    <w:rsid w:val="00AC4A34"/>
    <w:rsid w:val="00AC5B44"/>
    <w:rsid w:val="00AD0661"/>
    <w:rsid w:val="00AD0FD4"/>
    <w:rsid w:val="00AD281B"/>
    <w:rsid w:val="00AD29E4"/>
    <w:rsid w:val="00AD51CE"/>
    <w:rsid w:val="00AD6FA9"/>
    <w:rsid w:val="00AD7650"/>
    <w:rsid w:val="00AD772D"/>
    <w:rsid w:val="00AE132C"/>
    <w:rsid w:val="00AE1BC2"/>
    <w:rsid w:val="00AE2DD6"/>
    <w:rsid w:val="00AE3B7B"/>
    <w:rsid w:val="00AE4A80"/>
    <w:rsid w:val="00AE71A5"/>
    <w:rsid w:val="00AE7959"/>
    <w:rsid w:val="00AF1D10"/>
    <w:rsid w:val="00AF2921"/>
    <w:rsid w:val="00AF38D4"/>
    <w:rsid w:val="00AF3FFC"/>
    <w:rsid w:val="00AF440E"/>
    <w:rsid w:val="00B00132"/>
    <w:rsid w:val="00B00D8A"/>
    <w:rsid w:val="00B01A6B"/>
    <w:rsid w:val="00B02FF3"/>
    <w:rsid w:val="00B030B3"/>
    <w:rsid w:val="00B05F83"/>
    <w:rsid w:val="00B064C6"/>
    <w:rsid w:val="00B115A2"/>
    <w:rsid w:val="00B13AC3"/>
    <w:rsid w:val="00B13B6B"/>
    <w:rsid w:val="00B15CA5"/>
    <w:rsid w:val="00B15CCF"/>
    <w:rsid w:val="00B20589"/>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3589"/>
    <w:rsid w:val="00B56443"/>
    <w:rsid w:val="00B568A2"/>
    <w:rsid w:val="00B57F53"/>
    <w:rsid w:val="00B612B6"/>
    <w:rsid w:val="00B636DC"/>
    <w:rsid w:val="00B639E5"/>
    <w:rsid w:val="00B67019"/>
    <w:rsid w:val="00B742DB"/>
    <w:rsid w:val="00B81003"/>
    <w:rsid w:val="00B818D7"/>
    <w:rsid w:val="00B82008"/>
    <w:rsid w:val="00B85678"/>
    <w:rsid w:val="00B867DD"/>
    <w:rsid w:val="00B90EA0"/>
    <w:rsid w:val="00B91BAA"/>
    <w:rsid w:val="00B91BC8"/>
    <w:rsid w:val="00B92538"/>
    <w:rsid w:val="00B92C39"/>
    <w:rsid w:val="00B9320E"/>
    <w:rsid w:val="00B93F58"/>
    <w:rsid w:val="00B952B5"/>
    <w:rsid w:val="00BA01D2"/>
    <w:rsid w:val="00BA0CE8"/>
    <w:rsid w:val="00BA19BE"/>
    <w:rsid w:val="00BA1DFD"/>
    <w:rsid w:val="00BA1F1D"/>
    <w:rsid w:val="00BA2A76"/>
    <w:rsid w:val="00BA374F"/>
    <w:rsid w:val="00BA4A46"/>
    <w:rsid w:val="00BB48FA"/>
    <w:rsid w:val="00BB5312"/>
    <w:rsid w:val="00BC16FB"/>
    <w:rsid w:val="00BC1B68"/>
    <w:rsid w:val="00BC3700"/>
    <w:rsid w:val="00BC5ACA"/>
    <w:rsid w:val="00BC5ECE"/>
    <w:rsid w:val="00BC6314"/>
    <w:rsid w:val="00BC67A2"/>
    <w:rsid w:val="00BD0BA3"/>
    <w:rsid w:val="00BD19F5"/>
    <w:rsid w:val="00BD26FC"/>
    <w:rsid w:val="00BD2D98"/>
    <w:rsid w:val="00BD44B9"/>
    <w:rsid w:val="00BD49FC"/>
    <w:rsid w:val="00BD4A08"/>
    <w:rsid w:val="00BD75B3"/>
    <w:rsid w:val="00BD7ACB"/>
    <w:rsid w:val="00BE0BD4"/>
    <w:rsid w:val="00BE391B"/>
    <w:rsid w:val="00BE46AC"/>
    <w:rsid w:val="00BE633C"/>
    <w:rsid w:val="00BE639D"/>
    <w:rsid w:val="00BE69AC"/>
    <w:rsid w:val="00BF33B0"/>
    <w:rsid w:val="00BF59B2"/>
    <w:rsid w:val="00C00DC1"/>
    <w:rsid w:val="00C01514"/>
    <w:rsid w:val="00C061E3"/>
    <w:rsid w:val="00C06240"/>
    <w:rsid w:val="00C07770"/>
    <w:rsid w:val="00C119C2"/>
    <w:rsid w:val="00C126E5"/>
    <w:rsid w:val="00C141DF"/>
    <w:rsid w:val="00C14967"/>
    <w:rsid w:val="00C14B25"/>
    <w:rsid w:val="00C15FEE"/>
    <w:rsid w:val="00C1627A"/>
    <w:rsid w:val="00C17198"/>
    <w:rsid w:val="00C1777A"/>
    <w:rsid w:val="00C17E8E"/>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2AAC"/>
    <w:rsid w:val="00C42CE4"/>
    <w:rsid w:val="00C43619"/>
    <w:rsid w:val="00C43DAE"/>
    <w:rsid w:val="00C51A84"/>
    <w:rsid w:val="00C531DC"/>
    <w:rsid w:val="00C532F8"/>
    <w:rsid w:val="00C533FE"/>
    <w:rsid w:val="00C5376C"/>
    <w:rsid w:val="00C54162"/>
    <w:rsid w:val="00C54C55"/>
    <w:rsid w:val="00C579C2"/>
    <w:rsid w:val="00C61020"/>
    <w:rsid w:val="00C62631"/>
    <w:rsid w:val="00C63972"/>
    <w:rsid w:val="00C65241"/>
    <w:rsid w:val="00C65378"/>
    <w:rsid w:val="00C66CB0"/>
    <w:rsid w:val="00C676E5"/>
    <w:rsid w:val="00C745E0"/>
    <w:rsid w:val="00C75A55"/>
    <w:rsid w:val="00C7661F"/>
    <w:rsid w:val="00C76787"/>
    <w:rsid w:val="00C772E3"/>
    <w:rsid w:val="00C83A4F"/>
    <w:rsid w:val="00C84379"/>
    <w:rsid w:val="00C84D05"/>
    <w:rsid w:val="00C8621A"/>
    <w:rsid w:val="00C87641"/>
    <w:rsid w:val="00C926AD"/>
    <w:rsid w:val="00C92826"/>
    <w:rsid w:val="00C93453"/>
    <w:rsid w:val="00CA04DC"/>
    <w:rsid w:val="00CA0ADF"/>
    <w:rsid w:val="00CA2F8D"/>
    <w:rsid w:val="00CA5938"/>
    <w:rsid w:val="00CA5C45"/>
    <w:rsid w:val="00CA5DEE"/>
    <w:rsid w:val="00CA623D"/>
    <w:rsid w:val="00CB0E55"/>
    <w:rsid w:val="00CB38F2"/>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211F"/>
    <w:rsid w:val="00CD305B"/>
    <w:rsid w:val="00CD37A9"/>
    <w:rsid w:val="00CD44A5"/>
    <w:rsid w:val="00CD71EC"/>
    <w:rsid w:val="00CE0D2C"/>
    <w:rsid w:val="00CE1B8A"/>
    <w:rsid w:val="00CE3510"/>
    <w:rsid w:val="00CE426B"/>
    <w:rsid w:val="00CE4936"/>
    <w:rsid w:val="00CE4CC0"/>
    <w:rsid w:val="00CE6205"/>
    <w:rsid w:val="00CE6BF8"/>
    <w:rsid w:val="00CE7A1E"/>
    <w:rsid w:val="00CF0714"/>
    <w:rsid w:val="00CF27C4"/>
    <w:rsid w:val="00CF3849"/>
    <w:rsid w:val="00CF717D"/>
    <w:rsid w:val="00D06F27"/>
    <w:rsid w:val="00D073F4"/>
    <w:rsid w:val="00D1102D"/>
    <w:rsid w:val="00D130FD"/>
    <w:rsid w:val="00D13DF0"/>
    <w:rsid w:val="00D143AC"/>
    <w:rsid w:val="00D14486"/>
    <w:rsid w:val="00D21039"/>
    <w:rsid w:val="00D244C9"/>
    <w:rsid w:val="00D24520"/>
    <w:rsid w:val="00D25BF8"/>
    <w:rsid w:val="00D262EA"/>
    <w:rsid w:val="00D31703"/>
    <w:rsid w:val="00D32D1E"/>
    <w:rsid w:val="00D40AAD"/>
    <w:rsid w:val="00D45329"/>
    <w:rsid w:val="00D47ACC"/>
    <w:rsid w:val="00D5064E"/>
    <w:rsid w:val="00D50BE2"/>
    <w:rsid w:val="00D51FE7"/>
    <w:rsid w:val="00D54B01"/>
    <w:rsid w:val="00D57274"/>
    <w:rsid w:val="00D600F0"/>
    <w:rsid w:val="00D6034D"/>
    <w:rsid w:val="00D61332"/>
    <w:rsid w:val="00D61F8A"/>
    <w:rsid w:val="00D6239E"/>
    <w:rsid w:val="00D640D7"/>
    <w:rsid w:val="00D64A4B"/>
    <w:rsid w:val="00D66A48"/>
    <w:rsid w:val="00D70374"/>
    <w:rsid w:val="00D70DFD"/>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1FC5"/>
    <w:rsid w:val="00D92690"/>
    <w:rsid w:val="00D9288B"/>
    <w:rsid w:val="00D93EA3"/>
    <w:rsid w:val="00D97AD0"/>
    <w:rsid w:val="00DA2373"/>
    <w:rsid w:val="00DA6F20"/>
    <w:rsid w:val="00DB14FE"/>
    <w:rsid w:val="00DB17ED"/>
    <w:rsid w:val="00DB4087"/>
    <w:rsid w:val="00DB4755"/>
    <w:rsid w:val="00DC07A6"/>
    <w:rsid w:val="00DC22B8"/>
    <w:rsid w:val="00DC3E21"/>
    <w:rsid w:val="00DC428F"/>
    <w:rsid w:val="00DC4480"/>
    <w:rsid w:val="00DC48FC"/>
    <w:rsid w:val="00DD04B4"/>
    <w:rsid w:val="00DD13E2"/>
    <w:rsid w:val="00DD2866"/>
    <w:rsid w:val="00DD2EAD"/>
    <w:rsid w:val="00DD332A"/>
    <w:rsid w:val="00DD3E03"/>
    <w:rsid w:val="00DD536D"/>
    <w:rsid w:val="00DD5375"/>
    <w:rsid w:val="00DD638B"/>
    <w:rsid w:val="00DD6622"/>
    <w:rsid w:val="00DE05AF"/>
    <w:rsid w:val="00DE0CFB"/>
    <w:rsid w:val="00DE1245"/>
    <w:rsid w:val="00DE16B2"/>
    <w:rsid w:val="00DE17F9"/>
    <w:rsid w:val="00DE1D68"/>
    <w:rsid w:val="00DE204C"/>
    <w:rsid w:val="00DE33F9"/>
    <w:rsid w:val="00DE3A75"/>
    <w:rsid w:val="00DE4C92"/>
    <w:rsid w:val="00DE6050"/>
    <w:rsid w:val="00DE65EC"/>
    <w:rsid w:val="00DF2EC9"/>
    <w:rsid w:val="00DF5393"/>
    <w:rsid w:val="00DF54C2"/>
    <w:rsid w:val="00DF5787"/>
    <w:rsid w:val="00DF794F"/>
    <w:rsid w:val="00E02336"/>
    <w:rsid w:val="00E023AA"/>
    <w:rsid w:val="00E02DF9"/>
    <w:rsid w:val="00E059CE"/>
    <w:rsid w:val="00E07B27"/>
    <w:rsid w:val="00E12228"/>
    <w:rsid w:val="00E15852"/>
    <w:rsid w:val="00E1630A"/>
    <w:rsid w:val="00E165CA"/>
    <w:rsid w:val="00E20A4D"/>
    <w:rsid w:val="00E21932"/>
    <w:rsid w:val="00E23208"/>
    <w:rsid w:val="00E23A7E"/>
    <w:rsid w:val="00E24A0D"/>
    <w:rsid w:val="00E24A15"/>
    <w:rsid w:val="00E24F4E"/>
    <w:rsid w:val="00E25699"/>
    <w:rsid w:val="00E270A8"/>
    <w:rsid w:val="00E275BB"/>
    <w:rsid w:val="00E275CC"/>
    <w:rsid w:val="00E3023E"/>
    <w:rsid w:val="00E320BF"/>
    <w:rsid w:val="00E325CC"/>
    <w:rsid w:val="00E32F40"/>
    <w:rsid w:val="00E34B78"/>
    <w:rsid w:val="00E35F2E"/>
    <w:rsid w:val="00E37029"/>
    <w:rsid w:val="00E42F1F"/>
    <w:rsid w:val="00E45A6B"/>
    <w:rsid w:val="00E464E0"/>
    <w:rsid w:val="00E51FE7"/>
    <w:rsid w:val="00E520C5"/>
    <w:rsid w:val="00E5274C"/>
    <w:rsid w:val="00E53E66"/>
    <w:rsid w:val="00E540E3"/>
    <w:rsid w:val="00E54235"/>
    <w:rsid w:val="00E5657E"/>
    <w:rsid w:val="00E60D4B"/>
    <w:rsid w:val="00E61488"/>
    <w:rsid w:val="00E6207F"/>
    <w:rsid w:val="00E62F37"/>
    <w:rsid w:val="00E63547"/>
    <w:rsid w:val="00E63814"/>
    <w:rsid w:val="00E6497E"/>
    <w:rsid w:val="00E651B3"/>
    <w:rsid w:val="00E71B47"/>
    <w:rsid w:val="00E73CC6"/>
    <w:rsid w:val="00E74261"/>
    <w:rsid w:val="00E77018"/>
    <w:rsid w:val="00E8056B"/>
    <w:rsid w:val="00E80729"/>
    <w:rsid w:val="00E80CF1"/>
    <w:rsid w:val="00E86E35"/>
    <w:rsid w:val="00E91E84"/>
    <w:rsid w:val="00E96BDF"/>
    <w:rsid w:val="00EA1831"/>
    <w:rsid w:val="00EA2204"/>
    <w:rsid w:val="00EA2A85"/>
    <w:rsid w:val="00EA3251"/>
    <w:rsid w:val="00EA3322"/>
    <w:rsid w:val="00EA3F83"/>
    <w:rsid w:val="00EA6150"/>
    <w:rsid w:val="00EA6D50"/>
    <w:rsid w:val="00EA76EE"/>
    <w:rsid w:val="00EB0C47"/>
    <w:rsid w:val="00EB3E6E"/>
    <w:rsid w:val="00EB4FDE"/>
    <w:rsid w:val="00EB73AB"/>
    <w:rsid w:val="00EC042B"/>
    <w:rsid w:val="00EC427E"/>
    <w:rsid w:val="00EC4A38"/>
    <w:rsid w:val="00EC7A14"/>
    <w:rsid w:val="00ED0C35"/>
    <w:rsid w:val="00ED185A"/>
    <w:rsid w:val="00ED19EB"/>
    <w:rsid w:val="00ED1D0D"/>
    <w:rsid w:val="00ED2995"/>
    <w:rsid w:val="00ED39AB"/>
    <w:rsid w:val="00EE02B2"/>
    <w:rsid w:val="00EE1FFF"/>
    <w:rsid w:val="00EE2127"/>
    <w:rsid w:val="00EE22F2"/>
    <w:rsid w:val="00EE4129"/>
    <w:rsid w:val="00EE49F2"/>
    <w:rsid w:val="00EE65C7"/>
    <w:rsid w:val="00EE675F"/>
    <w:rsid w:val="00EF081A"/>
    <w:rsid w:val="00EF5F37"/>
    <w:rsid w:val="00F020D5"/>
    <w:rsid w:val="00F03AB9"/>
    <w:rsid w:val="00F03D77"/>
    <w:rsid w:val="00F04185"/>
    <w:rsid w:val="00F04548"/>
    <w:rsid w:val="00F12338"/>
    <w:rsid w:val="00F16C2D"/>
    <w:rsid w:val="00F17E6F"/>
    <w:rsid w:val="00F2072F"/>
    <w:rsid w:val="00F2165E"/>
    <w:rsid w:val="00F21CE8"/>
    <w:rsid w:val="00F24FD9"/>
    <w:rsid w:val="00F25484"/>
    <w:rsid w:val="00F254C0"/>
    <w:rsid w:val="00F26132"/>
    <w:rsid w:val="00F3294F"/>
    <w:rsid w:val="00F32DC1"/>
    <w:rsid w:val="00F33008"/>
    <w:rsid w:val="00F33089"/>
    <w:rsid w:val="00F33FD1"/>
    <w:rsid w:val="00F35870"/>
    <w:rsid w:val="00F377D3"/>
    <w:rsid w:val="00F4251D"/>
    <w:rsid w:val="00F4543E"/>
    <w:rsid w:val="00F50495"/>
    <w:rsid w:val="00F51B8C"/>
    <w:rsid w:val="00F52310"/>
    <w:rsid w:val="00F53293"/>
    <w:rsid w:val="00F5399F"/>
    <w:rsid w:val="00F56FD2"/>
    <w:rsid w:val="00F6195A"/>
    <w:rsid w:val="00F66724"/>
    <w:rsid w:val="00F70531"/>
    <w:rsid w:val="00F73ACC"/>
    <w:rsid w:val="00F811F7"/>
    <w:rsid w:val="00F81E3B"/>
    <w:rsid w:val="00F81EED"/>
    <w:rsid w:val="00F845C8"/>
    <w:rsid w:val="00F84D4F"/>
    <w:rsid w:val="00F85E0E"/>
    <w:rsid w:val="00F946DC"/>
    <w:rsid w:val="00F94CD2"/>
    <w:rsid w:val="00F96568"/>
    <w:rsid w:val="00F971D6"/>
    <w:rsid w:val="00F97FDE"/>
    <w:rsid w:val="00FA1D75"/>
    <w:rsid w:val="00FA2450"/>
    <w:rsid w:val="00FA2486"/>
    <w:rsid w:val="00FA321F"/>
    <w:rsid w:val="00FA593F"/>
    <w:rsid w:val="00FA6CB0"/>
    <w:rsid w:val="00FB5CCE"/>
    <w:rsid w:val="00FB7B56"/>
    <w:rsid w:val="00FC027F"/>
    <w:rsid w:val="00FC1291"/>
    <w:rsid w:val="00FC1708"/>
    <w:rsid w:val="00FC2E35"/>
    <w:rsid w:val="00FC3859"/>
    <w:rsid w:val="00FC54E7"/>
    <w:rsid w:val="00FC7369"/>
    <w:rsid w:val="00FD016B"/>
    <w:rsid w:val="00FD3FFC"/>
    <w:rsid w:val="00FD42F4"/>
    <w:rsid w:val="00FD4E53"/>
    <w:rsid w:val="00FD7129"/>
    <w:rsid w:val="00FD74A6"/>
    <w:rsid w:val="00FE3DE2"/>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636580FB-D3D1-4DC9-A981-25FC627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5F"/>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40980097">
      <w:bodyDiv w:val="1"/>
      <w:marLeft w:val="0"/>
      <w:marRight w:val="0"/>
      <w:marTop w:val="0"/>
      <w:marBottom w:val="0"/>
      <w:divBdr>
        <w:top w:val="none" w:sz="0" w:space="0" w:color="auto"/>
        <w:left w:val="none" w:sz="0" w:space="0" w:color="auto"/>
        <w:bottom w:val="none" w:sz="0" w:space="0" w:color="auto"/>
        <w:right w:val="none" w:sz="0" w:space="0" w:color="auto"/>
      </w:divBdr>
    </w:div>
    <w:div w:id="161629573">
      <w:bodyDiv w:val="1"/>
      <w:marLeft w:val="0"/>
      <w:marRight w:val="0"/>
      <w:marTop w:val="0"/>
      <w:marBottom w:val="0"/>
      <w:divBdr>
        <w:top w:val="none" w:sz="0" w:space="0" w:color="auto"/>
        <w:left w:val="none" w:sz="0" w:space="0" w:color="auto"/>
        <w:bottom w:val="none" w:sz="0" w:space="0" w:color="auto"/>
        <w:right w:val="none" w:sz="0" w:space="0" w:color="auto"/>
      </w:divBdr>
    </w:div>
    <w:div w:id="167257544">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73011">
      <w:bodyDiv w:val="1"/>
      <w:marLeft w:val="0"/>
      <w:marRight w:val="0"/>
      <w:marTop w:val="0"/>
      <w:marBottom w:val="0"/>
      <w:divBdr>
        <w:top w:val="none" w:sz="0" w:space="0" w:color="auto"/>
        <w:left w:val="none" w:sz="0" w:space="0" w:color="auto"/>
        <w:bottom w:val="none" w:sz="0" w:space="0" w:color="auto"/>
        <w:right w:val="none" w:sz="0" w:space="0" w:color="auto"/>
      </w:divBdr>
    </w:div>
    <w:div w:id="342707352">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02457443">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570122334">
      <w:bodyDiv w:val="1"/>
      <w:marLeft w:val="0"/>
      <w:marRight w:val="0"/>
      <w:marTop w:val="0"/>
      <w:marBottom w:val="0"/>
      <w:divBdr>
        <w:top w:val="none" w:sz="0" w:space="0" w:color="auto"/>
        <w:left w:val="none" w:sz="0" w:space="0" w:color="auto"/>
        <w:bottom w:val="none" w:sz="0" w:space="0" w:color="auto"/>
        <w:right w:val="none" w:sz="0" w:space="0" w:color="auto"/>
      </w:divBdr>
    </w:div>
    <w:div w:id="691764137">
      <w:bodyDiv w:val="1"/>
      <w:marLeft w:val="0"/>
      <w:marRight w:val="0"/>
      <w:marTop w:val="0"/>
      <w:marBottom w:val="0"/>
      <w:divBdr>
        <w:top w:val="none" w:sz="0" w:space="0" w:color="auto"/>
        <w:left w:val="none" w:sz="0" w:space="0" w:color="auto"/>
        <w:bottom w:val="none" w:sz="0" w:space="0" w:color="auto"/>
        <w:right w:val="none" w:sz="0" w:space="0" w:color="auto"/>
      </w:divBdr>
      <w:divsChild>
        <w:div w:id="138617996">
          <w:marLeft w:val="0"/>
          <w:marRight w:val="0"/>
          <w:marTop w:val="0"/>
          <w:marBottom w:val="0"/>
          <w:divBdr>
            <w:top w:val="none" w:sz="0" w:space="0" w:color="auto"/>
            <w:left w:val="none" w:sz="0" w:space="0" w:color="auto"/>
            <w:bottom w:val="none" w:sz="0" w:space="0" w:color="auto"/>
            <w:right w:val="none" w:sz="0" w:space="0" w:color="auto"/>
          </w:divBdr>
          <w:divsChild>
            <w:div w:id="8757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27076264">
      <w:bodyDiv w:val="1"/>
      <w:marLeft w:val="0"/>
      <w:marRight w:val="0"/>
      <w:marTop w:val="0"/>
      <w:marBottom w:val="0"/>
      <w:divBdr>
        <w:top w:val="none" w:sz="0" w:space="0" w:color="auto"/>
        <w:left w:val="none" w:sz="0" w:space="0" w:color="auto"/>
        <w:bottom w:val="none" w:sz="0" w:space="0" w:color="auto"/>
        <w:right w:val="none" w:sz="0" w:space="0" w:color="auto"/>
      </w:divBdr>
    </w:div>
    <w:div w:id="1040711899">
      <w:bodyDiv w:val="1"/>
      <w:marLeft w:val="0"/>
      <w:marRight w:val="0"/>
      <w:marTop w:val="0"/>
      <w:marBottom w:val="0"/>
      <w:divBdr>
        <w:top w:val="none" w:sz="0" w:space="0" w:color="auto"/>
        <w:left w:val="none" w:sz="0" w:space="0" w:color="auto"/>
        <w:bottom w:val="none" w:sz="0" w:space="0" w:color="auto"/>
        <w:right w:val="none" w:sz="0" w:space="0" w:color="auto"/>
      </w:divBdr>
    </w:div>
    <w:div w:id="1067723571">
      <w:bodyDiv w:val="1"/>
      <w:marLeft w:val="0"/>
      <w:marRight w:val="0"/>
      <w:marTop w:val="0"/>
      <w:marBottom w:val="0"/>
      <w:divBdr>
        <w:top w:val="none" w:sz="0" w:space="0" w:color="auto"/>
        <w:left w:val="none" w:sz="0" w:space="0" w:color="auto"/>
        <w:bottom w:val="none" w:sz="0" w:space="0" w:color="auto"/>
        <w:right w:val="none" w:sz="0" w:space="0" w:color="auto"/>
      </w:divBdr>
    </w:div>
    <w:div w:id="1073629093">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33401478">
      <w:bodyDiv w:val="1"/>
      <w:marLeft w:val="0"/>
      <w:marRight w:val="0"/>
      <w:marTop w:val="0"/>
      <w:marBottom w:val="0"/>
      <w:divBdr>
        <w:top w:val="none" w:sz="0" w:space="0" w:color="auto"/>
        <w:left w:val="none" w:sz="0" w:space="0" w:color="auto"/>
        <w:bottom w:val="none" w:sz="0" w:space="0" w:color="auto"/>
        <w:right w:val="none" w:sz="0" w:space="0" w:color="auto"/>
      </w:divBdr>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18366933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792498">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60352906">
      <w:bodyDiv w:val="1"/>
      <w:marLeft w:val="0"/>
      <w:marRight w:val="0"/>
      <w:marTop w:val="0"/>
      <w:marBottom w:val="0"/>
      <w:divBdr>
        <w:top w:val="none" w:sz="0" w:space="0" w:color="auto"/>
        <w:left w:val="none" w:sz="0" w:space="0" w:color="auto"/>
        <w:bottom w:val="none" w:sz="0" w:space="0" w:color="auto"/>
        <w:right w:val="none" w:sz="0" w:space="0" w:color="auto"/>
      </w:divBdr>
    </w:div>
    <w:div w:id="1388455465">
      <w:bodyDiv w:val="1"/>
      <w:marLeft w:val="0"/>
      <w:marRight w:val="0"/>
      <w:marTop w:val="0"/>
      <w:marBottom w:val="0"/>
      <w:divBdr>
        <w:top w:val="none" w:sz="0" w:space="0" w:color="auto"/>
        <w:left w:val="none" w:sz="0" w:space="0" w:color="auto"/>
        <w:bottom w:val="none" w:sz="0" w:space="0" w:color="auto"/>
        <w:right w:val="none" w:sz="0" w:space="0" w:color="auto"/>
      </w:divBdr>
    </w:div>
    <w:div w:id="1393116420">
      <w:bodyDiv w:val="1"/>
      <w:marLeft w:val="0"/>
      <w:marRight w:val="0"/>
      <w:marTop w:val="0"/>
      <w:marBottom w:val="0"/>
      <w:divBdr>
        <w:top w:val="none" w:sz="0" w:space="0" w:color="auto"/>
        <w:left w:val="none" w:sz="0" w:space="0" w:color="auto"/>
        <w:bottom w:val="none" w:sz="0" w:space="0" w:color="auto"/>
        <w:right w:val="none" w:sz="0" w:space="0" w:color="auto"/>
      </w:divBdr>
      <w:divsChild>
        <w:div w:id="24143311">
          <w:marLeft w:val="0"/>
          <w:marRight w:val="0"/>
          <w:marTop w:val="0"/>
          <w:marBottom w:val="0"/>
          <w:divBdr>
            <w:top w:val="none" w:sz="0" w:space="0" w:color="auto"/>
            <w:left w:val="none" w:sz="0" w:space="0" w:color="auto"/>
            <w:bottom w:val="none" w:sz="0" w:space="0" w:color="auto"/>
            <w:right w:val="none" w:sz="0" w:space="0" w:color="auto"/>
          </w:divBdr>
          <w:divsChild>
            <w:div w:id="492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5998004">
      <w:bodyDiv w:val="1"/>
      <w:marLeft w:val="0"/>
      <w:marRight w:val="0"/>
      <w:marTop w:val="0"/>
      <w:marBottom w:val="0"/>
      <w:divBdr>
        <w:top w:val="none" w:sz="0" w:space="0" w:color="auto"/>
        <w:left w:val="none" w:sz="0" w:space="0" w:color="auto"/>
        <w:bottom w:val="none" w:sz="0" w:space="0" w:color="auto"/>
        <w:right w:val="none" w:sz="0" w:space="0" w:color="auto"/>
      </w:divBdr>
      <w:divsChild>
        <w:div w:id="596409612">
          <w:marLeft w:val="0"/>
          <w:marRight w:val="0"/>
          <w:marTop w:val="0"/>
          <w:marBottom w:val="0"/>
          <w:divBdr>
            <w:top w:val="none" w:sz="0" w:space="0" w:color="auto"/>
            <w:left w:val="none" w:sz="0" w:space="0" w:color="auto"/>
            <w:bottom w:val="none" w:sz="0" w:space="0" w:color="auto"/>
            <w:right w:val="none" w:sz="0" w:space="0" w:color="auto"/>
          </w:divBdr>
          <w:divsChild>
            <w:div w:id="1625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42537722">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81221323">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1959023526">
      <w:bodyDiv w:val="1"/>
      <w:marLeft w:val="0"/>
      <w:marRight w:val="0"/>
      <w:marTop w:val="0"/>
      <w:marBottom w:val="0"/>
      <w:divBdr>
        <w:top w:val="none" w:sz="0" w:space="0" w:color="auto"/>
        <w:left w:val="none" w:sz="0" w:space="0" w:color="auto"/>
        <w:bottom w:val="none" w:sz="0" w:space="0" w:color="auto"/>
        <w:right w:val="none" w:sz="0" w:space="0" w:color="auto"/>
      </w:divBdr>
      <w:divsChild>
        <w:div w:id="117727165">
          <w:marLeft w:val="0"/>
          <w:marRight w:val="0"/>
          <w:marTop w:val="0"/>
          <w:marBottom w:val="0"/>
          <w:divBdr>
            <w:top w:val="none" w:sz="0" w:space="0" w:color="auto"/>
            <w:left w:val="none" w:sz="0" w:space="0" w:color="auto"/>
            <w:bottom w:val="none" w:sz="0" w:space="0" w:color="auto"/>
            <w:right w:val="none" w:sz="0" w:space="0" w:color="auto"/>
          </w:divBdr>
          <w:divsChild>
            <w:div w:id="183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102">
      <w:bodyDiv w:val="1"/>
      <w:marLeft w:val="0"/>
      <w:marRight w:val="0"/>
      <w:marTop w:val="0"/>
      <w:marBottom w:val="0"/>
      <w:divBdr>
        <w:top w:val="none" w:sz="0" w:space="0" w:color="auto"/>
        <w:left w:val="none" w:sz="0" w:space="0" w:color="auto"/>
        <w:bottom w:val="none" w:sz="0" w:space="0" w:color="auto"/>
        <w:right w:val="none" w:sz="0" w:space="0" w:color="auto"/>
      </w:divBdr>
    </w:div>
    <w:div w:id="1990671598">
      <w:bodyDiv w:val="1"/>
      <w:marLeft w:val="0"/>
      <w:marRight w:val="0"/>
      <w:marTop w:val="0"/>
      <w:marBottom w:val="0"/>
      <w:divBdr>
        <w:top w:val="none" w:sz="0" w:space="0" w:color="auto"/>
        <w:left w:val="none" w:sz="0" w:space="0" w:color="auto"/>
        <w:bottom w:val="none" w:sz="0" w:space="0" w:color="auto"/>
        <w:right w:val="none" w:sz="0" w:space="0" w:color="auto"/>
      </w:divBdr>
    </w:div>
    <w:div w:id="21414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taxboard.gov.au/content/reviews_and_consultations/impediments_facing_small_business/report/downloads/taximpediments_report.pdf" TargetMode="External"/><Relationship Id="rId13" Type="http://schemas.openxmlformats.org/officeDocument/2006/relationships/hyperlink" Target="http://taxboard.gov.au/content/reviews_and_consultations/impediments_facing_small_business/report/downloads/taximpediments_report.pdf" TargetMode="External"/><Relationship Id="rId18" Type="http://schemas.openxmlformats.org/officeDocument/2006/relationships/hyperlink" Target="http://taxboard.gov.au/content/reviews_and_consultations/impediments_facing_small_business/report/downloads/taximpediments_report.pdf" TargetMode="External"/><Relationship Id="rId26" Type="http://schemas.openxmlformats.org/officeDocument/2006/relationships/hyperlink" Target="http://www.aph.gov.au/~/media/wopapub/senate/committee/corporations_ctte/completed_inquiries/2010_13/sme_finance/report/report_pdf.ashx" TargetMode="External"/><Relationship Id="rId3" Type="http://schemas.openxmlformats.org/officeDocument/2006/relationships/hyperlink" Target="http://www.taxboard.gov.au/content/reviews_and_consultations/small_business_tax_compliance_costs/scoping_study_report/downloads/small_business_tax_compliance_costs_scoping_study.pdf" TargetMode="External"/><Relationship Id="rId21" Type="http://schemas.openxmlformats.org/officeDocument/2006/relationships/hyperlink" Target="http://www.brw.com.au/p/investing/time_running_out_for_many_family_jivQEQzhl6uezXwDVuj6MN" TargetMode="External"/><Relationship Id="rId7" Type="http://schemas.openxmlformats.org/officeDocument/2006/relationships/hyperlink" Target="http://www.truck.net.au/industry-resources/future-strategy-road-supply-and-charging-australia" TargetMode="External"/><Relationship Id="rId12" Type="http://schemas.openxmlformats.org/officeDocument/2006/relationships/hyperlink" Target="http://taxboard.gov.au/content/reviews_and_consultations/impediments_facing_small_business/report/downloads/taximpediments_report.pdf" TargetMode="External"/><Relationship Id="rId17" Type="http://schemas.openxmlformats.org/officeDocument/2006/relationships/hyperlink" Target="http://taxboard.gov.au/content/reviews_and_consultations/impediments_facing_small_business/report/downloads/taximpediments_report.pdf" TargetMode="External"/><Relationship Id="rId25" Type="http://schemas.openxmlformats.org/officeDocument/2006/relationships/hyperlink" Target="http://www.aph.gov.au/~/media/wopapub/senate/committee/corporations_ctte/completed_inquiries/2010_13/fam_bus/report/report_pdf.ashx" TargetMode="External"/><Relationship Id="rId2" Type="http://schemas.openxmlformats.org/officeDocument/2006/relationships/hyperlink" Target="http://www.gemconsortium.org/docs/download/2414" TargetMode="External"/><Relationship Id="rId16" Type="http://schemas.openxmlformats.org/officeDocument/2006/relationships/hyperlink" Target="http://www.aph.gov.au/~/media/wopapub/senate/committee/corporations_ctte/completed_inquiries/2010_13/fam_bus/report/report_pdf.ashx" TargetMode="External"/><Relationship Id="rId20" Type="http://schemas.openxmlformats.org/officeDocument/2006/relationships/hyperlink" Target="http://www.aph.gov.au/~/media/wopapub/senate/committee/corporations_ctte/completed_inquiries/2010_13/fam_bus/report/report_pdf.ashx" TargetMode="External"/><Relationship Id="rId29" Type="http://schemas.openxmlformats.org/officeDocument/2006/relationships/hyperlink" Target="http://www.aph.gov.au/~/media/wopapub/senate/committee/corporations_ctte/completed_inquiries/2010_13/sme_finance/report/report_pdf.ashx" TargetMode="External"/><Relationship Id="rId1" Type="http://schemas.openxmlformats.org/officeDocument/2006/relationships/hyperlink" Target="http://www.gemconsortium.org/docs/download/2414" TargetMode="External"/><Relationship Id="rId6" Type="http://schemas.openxmlformats.org/officeDocument/2006/relationships/hyperlink" Target="http://www.truck.net.au/industry-resources/future-strategy-road-supply-and-charging-australia" TargetMode="External"/><Relationship Id="rId11" Type="http://schemas.openxmlformats.org/officeDocument/2006/relationships/hyperlink" Target="http://taxboard.gov.au/content/reviews_and_consultations/impediments_facing_small_business/report/downloads/taximpediments_report.pdf" TargetMode="External"/><Relationship Id="rId24" Type="http://schemas.openxmlformats.org/officeDocument/2006/relationships/hyperlink" Target="http://www.aph.gov.au/~/media/wopapub/senate/committee/corporations_ctte/completed_inquiries/2010_13/fam_bus/report/report_pdf.ashx" TargetMode="External"/><Relationship Id="rId5" Type="http://schemas.openxmlformats.org/officeDocument/2006/relationships/hyperlink" Target="http://www.truck.net.au/industry-resources/future-strategy-road-supply-and-charging-australia" TargetMode="External"/><Relationship Id="rId15" Type="http://schemas.openxmlformats.org/officeDocument/2006/relationships/hyperlink" Target="http://www.aph.gov.au/~/media/wopapub/senate/committee/corporations_ctte/completed_inquiries/2010_13/fam_bus/report/report_pdf.ashx" TargetMode="External"/><Relationship Id="rId23" Type="http://schemas.openxmlformats.org/officeDocument/2006/relationships/hyperlink" Target="http://www.aph.gov.au/~/media/wopapub/senate/committee/corporations_ctte/completed_inquiries/2010_13/fam_bus/report/report_pdf.ashx" TargetMode="External"/><Relationship Id="rId28" Type="http://schemas.openxmlformats.org/officeDocument/2006/relationships/hyperlink" Target="http://www.aph.gov.au/~/media/wopapub/senate/committee/corporations_ctte/completed_inquiries/2010_13/sme_finance/report/report_pdf.ashx" TargetMode="External"/><Relationship Id="rId10" Type="http://schemas.openxmlformats.org/officeDocument/2006/relationships/hyperlink" Target="http://taxboard.gov.au/content/reviews_and_consultations/impediments_facing_small_business/report/downloads/taximpediments_report.pdf" TargetMode="External"/><Relationship Id="rId19" Type="http://schemas.openxmlformats.org/officeDocument/2006/relationships/hyperlink" Target="http://www.taxboard.gov.au/content/reviews_and_consultations/division_7A/discussion_paper/downloads/discussion_paper_2.pdf" TargetMode="External"/><Relationship Id="rId4" Type="http://schemas.openxmlformats.org/officeDocument/2006/relationships/hyperlink" Target="http://taxboard.gov.au/content/reviews_and_consultations/impediments_facing_small_business/report/downloads/taximpediments_report.pdf" TargetMode="External"/><Relationship Id="rId9" Type="http://schemas.openxmlformats.org/officeDocument/2006/relationships/hyperlink" Target="http://taxboard.gov.au/content/reviews_and_consultations/impediments_facing_small_business/report/downloads/taximpediments_report.pdf" TargetMode="External"/><Relationship Id="rId14" Type="http://schemas.openxmlformats.org/officeDocument/2006/relationships/hyperlink" Target="http://www.aph.gov.au/~/media/wopapub/senate/committee/corporations_ctte/completed_inquiries/2010_13/fam_bus/report/report_pdf.ashx" TargetMode="External"/><Relationship Id="rId22" Type="http://schemas.openxmlformats.org/officeDocument/2006/relationships/hyperlink" Target="http://www.aph.gov.au/~/media/wopapub/senate/committee/corporations_ctte/completed_inquiries/2010_13/fam_bus/report/report_pdf.ashx" TargetMode="External"/><Relationship Id="rId27" Type="http://schemas.openxmlformats.org/officeDocument/2006/relationships/hyperlink" Target="http://www.aph.gov.au/~/media/wopapub/senate/committee/corporations_ctte/completed_inquiries/2010_13/sme_finance/report/report_pdf.ashx" TargetMode="External"/><Relationship Id="rId30" Type="http://schemas.openxmlformats.org/officeDocument/2006/relationships/hyperlink" Target="http://www.aph.gov.au/~/media/wopapub/senate/committee/corporations_ctte/completed_inquiries/2010_13/sme_finance/report/report_pd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8B91-06E2-46E3-AC47-9DA1CF0D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4224</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harbers;mckinleyb</dc:creator>
  <cp:lastModifiedBy>Bill McKinley</cp:lastModifiedBy>
  <cp:revision>10</cp:revision>
  <cp:lastPrinted>2015-02-26T23:05:00Z</cp:lastPrinted>
  <dcterms:created xsi:type="dcterms:W3CDTF">2015-02-20T01:17:00Z</dcterms:created>
  <dcterms:modified xsi:type="dcterms:W3CDTF">2015-02-26T23:05:00Z</dcterms:modified>
</cp:coreProperties>
</file>