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0AC" w:rsidRPr="00573A96" w:rsidRDefault="00BD30AC" w:rsidP="00C67BF0">
      <w:pPr>
        <w:spacing w:after="0" w:line="240" w:lineRule="auto"/>
        <w:contextualSpacing/>
        <w:rPr>
          <w:rFonts w:cs="Arial"/>
          <w:b/>
          <w:sz w:val="28"/>
          <w:szCs w:val="28"/>
        </w:rPr>
      </w:pPr>
    </w:p>
    <w:p w:rsidR="003A4447" w:rsidRDefault="003A4447" w:rsidP="00C67BF0">
      <w:pPr>
        <w:spacing w:after="0" w:line="240" w:lineRule="auto"/>
        <w:contextualSpacing/>
        <w:rPr>
          <w:rFonts w:cs="Arial"/>
          <w:b/>
          <w:sz w:val="28"/>
          <w:szCs w:val="28"/>
        </w:rPr>
      </w:pPr>
    </w:p>
    <w:p w:rsidR="00945E25" w:rsidRDefault="00945E25" w:rsidP="00C67BF0">
      <w:pPr>
        <w:spacing w:after="0" w:line="240" w:lineRule="auto"/>
        <w:contextualSpacing/>
        <w:rPr>
          <w:rFonts w:cs="Arial"/>
          <w:b/>
          <w:sz w:val="28"/>
          <w:szCs w:val="28"/>
        </w:rPr>
      </w:pPr>
    </w:p>
    <w:p w:rsidR="00945E25" w:rsidRDefault="00945E25" w:rsidP="00C67BF0">
      <w:pPr>
        <w:spacing w:after="0" w:line="240" w:lineRule="auto"/>
        <w:contextualSpacing/>
        <w:rPr>
          <w:rFonts w:cs="Arial"/>
          <w:b/>
          <w:sz w:val="28"/>
          <w:szCs w:val="28"/>
        </w:rPr>
      </w:pPr>
    </w:p>
    <w:p w:rsidR="00945E25" w:rsidRDefault="00945E25" w:rsidP="00C67BF0">
      <w:pPr>
        <w:spacing w:after="0" w:line="240" w:lineRule="auto"/>
        <w:contextualSpacing/>
        <w:rPr>
          <w:rFonts w:cs="Arial"/>
          <w:b/>
          <w:sz w:val="28"/>
          <w:szCs w:val="28"/>
        </w:rPr>
      </w:pPr>
    </w:p>
    <w:p w:rsidR="00945E25" w:rsidRPr="00573A96" w:rsidRDefault="00945E25" w:rsidP="00C67BF0">
      <w:pPr>
        <w:spacing w:after="0" w:line="240" w:lineRule="auto"/>
        <w:contextualSpacing/>
        <w:rPr>
          <w:rFonts w:cs="Arial"/>
          <w:b/>
          <w:sz w:val="28"/>
          <w:szCs w:val="28"/>
        </w:rPr>
      </w:pPr>
    </w:p>
    <w:tbl>
      <w:tblPr>
        <w:tblW w:w="0" w:type="auto"/>
        <w:tblLook w:val="04A0"/>
      </w:tblPr>
      <w:tblGrid>
        <w:gridCol w:w="2660"/>
        <w:gridCol w:w="6379"/>
      </w:tblGrid>
      <w:tr w:rsidR="003A4447" w:rsidRPr="00573A96" w:rsidTr="003A4447">
        <w:trPr>
          <w:trHeight w:val="756"/>
        </w:trPr>
        <w:tc>
          <w:tcPr>
            <w:tcW w:w="2660" w:type="dxa"/>
            <w:vAlign w:val="center"/>
          </w:tcPr>
          <w:p w:rsidR="003A4447" w:rsidRPr="0015188E" w:rsidRDefault="003A4447" w:rsidP="00C67BF0">
            <w:pPr>
              <w:pStyle w:val="Header"/>
              <w:contextualSpacing/>
              <w:rPr>
                <w:rFonts w:ascii="Arial" w:hAnsi="Arial" w:cs="Arial"/>
                <w:b/>
                <w:sz w:val="28"/>
                <w:szCs w:val="28"/>
              </w:rPr>
            </w:pPr>
            <w:r w:rsidRPr="0015188E">
              <w:rPr>
                <w:rFonts w:ascii="Arial" w:hAnsi="Arial" w:cs="Arial"/>
                <w:b/>
                <w:sz w:val="28"/>
                <w:szCs w:val="28"/>
              </w:rPr>
              <w:t>Submission to:</w:t>
            </w:r>
          </w:p>
        </w:tc>
        <w:tc>
          <w:tcPr>
            <w:tcW w:w="6379" w:type="dxa"/>
            <w:vAlign w:val="center"/>
          </w:tcPr>
          <w:p w:rsidR="003A4447" w:rsidRPr="0015188E" w:rsidRDefault="003A4447" w:rsidP="00C67BF0">
            <w:pPr>
              <w:pStyle w:val="Header"/>
              <w:contextualSpacing/>
              <w:rPr>
                <w:rFonts w:ascii="Arial" w:hAnsi="Arial" w:cs="Arial"/>
                <w:sz w:val="28"/>
                <w:szCs w:val="28"/>
              </w:rPr>
            </w:pPr>
            <w:r w:rsidRPr="0015188E">
              <w:rPr>
                <w:rFonts w:ascii="Arial" w:hAnsi="Arial" w:cs="Arial"/>
                <w:sz w:val="28"/>
                <w:szCs w:val="28"/>
              </w:rPr>
              <w:t>National Transport Commission</w:t>
            </w:r>
          </w:p>
        </w:tc>
      </w:tr>
      <w:tr w:rsidR="003A4447" w:rsidRPr="00573A96" w:rsidTr="003A4447">
        <w:trPr>
          <w:trHeight w:val="756"/>
        </w:trPr>
        <w:tc>
          <w:tcPr>
            <w:tcW w:w="2660" w:type="dxa"/>
            <w:vAlign w:val="center"/>
          </w:tcPr>
          <w:p w:rsidR="003A4447" w:rsidRPr="0015188E" w:rsidRDefault="003A4447" w:rsidP="00C67BF0">
            <w:pPr>
              <w:pStyle w:val="Header"/>
              <w:contextualSpacing/>
              <w:rPr>
                <w:rFonts w:ascii="Arial" w:hAnsi="Arial" w:cs="Arial"/>
                <w:b/>
                <w:sz w:val="28"/>
                <w:szCs w:val="28"/>
              </w:rPr>
            </w:pPr>
            <w:r w:rsidRPr="0015188E">
              <w:rPr>
                <w:rFonts w:ascii="Arial" w:hAnsi="Arial" w:cs="Arial"/>
                <w:b/>
                <w:sz w:val="28"/>
                <w:szCs w:val="28"/>
              </w:rPr>
              <w:t>Title:</w:t>
            </w:r>
          </w:p>
        </w:tc>
        <w:tc>
          <w:tcPr>
            <w:tcW w:w="6379" w:type="dxa"/>
            <w:vAlign w:val="center"/>
          </w:tcPr>
          <w:p w:rsidR="003A4447" w:rsidRPr="0015188E" w:rsidRDefault="003A4447" w:rsidP="00C67BF0">
            <w:pPr>
              <w:pStyle w:val="Header"/>
              <w:contextualSpacing/>
              <w:rPr>
                <w:rFonts w:ascii="Arial" w:hAnsi="Arial" w:cs="Arial"/>
                <w:sz w:val="28"/>
                <w:szCs w:val="28"/>
              </w:rPr>
            </w:pPr>
            <w:r w:rsidRPr="0015188E">
              <w:rPr>
                <w:rFonts w:ascii="Arial" w:hAnsi="Arial" w:cs="Arial"/>
                <w:sz w:val="28"/>
                <w:szCs w:val="28"/>
              </w:rPr>
              <w:t>Review of</w:t>
            </w:r>
            <w:r w:rsidR="0044191F" w:rsidRPr="0015188E">
              <w:rPr>
                <w:rFonts w:ascii="Arial" w:hAnsi="Arial" w:cs="Arial"/>
                <w:sz w:val="28"/>
                <w:szCs w:val="28"/>
              </w:rPr>
              <w:t xml:space="preserve"> the</w:t>
            </w:r>
            <w:r w:rsidRPr="0015188E">
              <w:rPr>
                <w:rFonts w:ascii="Arial" w:hAnsi="Arial" w:cs="Arial"/>
                <w:sz w:val="28"/>
                <w:szCs w:val="28"/>
              </w:rPr>
              <w:t xml:space="preserve"> Intelligent Access Pro</w:t>
            </w:r>
            <w:r w:rsidR="0044191F" w:rsidRPr="0015188E">
              <w:rPr>
                <w:rFonts w:ascii="Arial" w:hAnsi="Arial" w:cs="Arial"/>
                <w:sz w:val="28"/>
                <w:szCs w:val="28"/>
              </w:rPr>
              <w:t>gram</w:t>
            </w:r>
          </w:p>
        </w:tc>
      </w:tr>
      <w:tr w:rsidR="003A4447" w:rsidRPr="00573A96" w:rsidTr="003A4447">
        <w:trPr>
          <w:trHeight w:val="756"/>
        </w:trPr>
        <w:tc>
          <w:tcPr>
            <w:tcW w:w="2660" w:type="dxa"/>
            <w:vAlign w:val="center"/>
          </w:tcPr>
          <w:p w:rsidR="003A4447" w:rsidRPr="0015188E" w:rsidRDefault="003A4447" w:rsidP="00C67BF0">
            <w:pPr>
              <w:pStyle w:val="Header"/>
              <w:contextualSpacing/>
              <w:rPr>
                <w:rFonts w:ascii="Arial" w:hAnsi="Arial" w:cs="Arial"/>
                <w:b/>
                <w:sz w:val="28"/>
                <w:szCs w:val="28"/>
              </w:rPr>
            </w:pPr>
            <w:r w:rsidRPr="0015188E">
              <w:rPr>
                <w:rFonts w:ascii="Arial" w:hAnsi="Arial" w:cs="Arial"/>
                <w:b/>
                <w:sz w:val="28"/>
                <w:szCs w:val="28"/>
              </w:rPr>
              <w:t>Date:</w:t>
            </w:r>
          </w:p>
        </w:tc>
        <w:tc>
          <w:tcPr>
            <w:tcW w:w="6379" w:type="dxa"/>
            <w:vAlign w:val="center"/>
          </w:tcPr>
          <w:p w:rsidR="003A4447" w:rsidRPr="0015188E" w:rsidRDefault="003A4447" w:rsidP="00C67BF0">
            <w:pPr>
              <w:pStyle w:val="Header"/>
              <w:contextualSpacing/>
              <w:rPr>
                <w:rFonts w:ascii="Arial" w:hAnsi="Arial" w:cs="Arial"/>
                <w:sz w:val="28"/>
                <w:szCs w:val="28"/>
              </w:rPr>
            </w:pPr>
            <w:r w:rsidRPr="0015188E">
              <w:rPr>
                <w:rFonts w:ascii="Arial" w:hAnsi="Arial" w:cs="Arial"/>
                <w:sz w:val="28"/>
                <w:szCs w:val="28"/>
              </w:rPr>
              <w:t>August 2013</w:t>
            </w:r>
          </w:p>
        </w:tc>
      </w:tr>
    </w:tbl>
    <w:p w:rsidR="003A4447" w:rsidRPr="00573A96" w:rsidRDefault="003A4447" w:rsidP="00C67BF0">
      <w:pPr>
        <w:pStyle w:val="Header"/>
        <w:contextualSpacing/>
        <w:rPr>
          <w:rFonts w:cs="Arial"/>
          <w:sz w:val="16"/>
          <w:szCs w:val="16"/>
        </w:rPr>
      </w:pPr>
    </w:p>
    <w:p w:rsidR="003A4447" w:rsidRPr="00573A96" w:rsidRDefault="003A4447" w:rsidP="00C67BF0">
      <w:pPr>
        <w:pStyle w:val="Header"/>
        <w:contextualSpacing/>
        <w:rPr>
          <w:rFonts w:cs="Arial"/>
          <w:sz w:val="16"/>
          <w:szCs w:val="16"/>
        </w:rPr>
      </w:pPr>
    </w:p>
    <w:p w:rsidR="003A4447" w:rsidRPr="00573A96" w:rsidRDefault="003A4447" w:rsidP="00C67BF0">
      <w:pPr>
        <w:pStyle w:val="Header"/>
        <w:contextualSpacing/>
        <w:rPr>
          <w:rFonts w:cs="Arial"/>
          <w:sz w:val="16"/>
          <w:szCs w:val="16"/>
        </w:rPr>
      </w:pPr>
    </w:p>
    <w:p w:rsidR="000C0150" w:rsidRDefault="000C0150" w:rsidP="00C67BF0">
      <w:pPr>
        <w:spacing w:after="0" w:line="240" w:lineRule="auto"/>
        <w:contextualSpacing/>
        <w:rPr>
          <w:rFonts w:cs="Arial"/>
          <w:b/>
          <w:sz w:val="28"/>
          <w:szCs w:val="28"/>
        </w:rPr>
      </w:pPr>
      <w:r w:rsidRPr="00573A96">
        <w:rPr>
          <w:rFonts w:cs="Arial"/>
          <w:b/>
          <w:sz w:val="28"/>
          <w:szCs w:val="28"/>
        </w:rPr>
        <w:br w:type="page"/>
      </w:r>
    </w:p>
    <w:p w:rsidR="007E578B" w:rsidRDefault="007E578B" w:rsidP="00C67BF0">
      <w:pPr>
        <w:spacing w:after="0" w:line="240" w:lineRule="auto"/>
        <w:contextualSpacing/>
        <w:rPr>
          <w:rFonts w:cs="Arial"/>
          <w:b/>
          <w:sz w:val="28"/>
          <w:szCs w:val="28"/>
        </w:rPr>
      </w:pPr>
    </w:p>
    <w:p w:rsidR="007E578B" w:rsidRPr="00573A96" w:rsidRDefault="007E578B" w:rsidP="00C67BF0">
      <w:pPr>
        <w:spacing w:after="0" w:line="240" w:lineRule="auto"/>
        <w:contextualSpacing/>
        <w:rPr>
          <w:rFonts w:cs="Arial"/>
          <w:b/>
          <w:sz w:val="28"/>
          <w:szCs w:val="28"/>
        </w:rPr>
      </w:pPr>
    </w:p>
    <w:p w:rsidR="000C0150" w:rsidRPr="00573A96" w:rsidRDefault="000C0150" w:rsidP="00C67BF0">
      <w:pPr>
        <w:spacing w:after="0" w:line="240" w:lineRule="auto"/>
        <w:contextualSpacing/>
        <w:rPr>
          <w:rFonts w:cs="Arial"/>
          <w:sz w:val="20"/>
          <w:szCs w:val="20"/>
        </w:rPr>
      </w:pPr>
    </w:p>
    <w:p w:rsidR="00507F7F" w:rsidRPr="00507F7F" w:rsidRDefault="00507F7F" w:rsidP="00C67BF0">
      <w:pPr>
        <w:spacing w:after="0" w:line="240" w:lineRule="auto"/>
        <w:contextualSpacing/>
        <w:rPr>
          <w:rFonts w:ascii="Arial" w:hAnsi="Arial" w:cs="Arial"/>
          <w:b/>
          <w:color w:val="000064"/>
          <w:sz w:val="20"/>
          <w:szCs w:val="20"/>
        </w:rPr>
      </w:pPr>
    </w:p>
    <w:p w:rsidR="00507F7F" w:rsidRPr="00507F7F" w:rsidRDefault="00507F7F" w:rsidP="00C67BF0">
      <w:pPr>
        <w:spacing w:after="0" w:line="240" w:lineRule="auto"/>
        <w:contextualSpacing/>
        <w:rPr>
          <w:rFonts w:ascii="Arial" w:hAnsi="Arial" w:cs="Arial"/>
          <w:b/>
          <w:color w:val="000064"/>
          <w:sz w:val="20"/>
          <w:szCs w:val="20"/>
        </w:rPr>
      </w:pPr>
    </w:p>
    <w:p w:rsidR="003A4447" w:rsidRDefault="00507F7F" w:rsidP="00C67BF0">
      <w:pPr>
        <w:spacing w:after="0" w:line="240" w:lineRule="auto"/>
        <w:contextualSpacing/>
        <w:rPr>
          <w:rFonts w:ascii="Arial" w:hAnsi="Arial" w:cs="Arial"/>
          <w:b/>
          <w:color w:val="000064"/>
          <w:sz w:val="28"/>
          <w:szCs w:val="28"/>
        </w:rPr>
      </w:pPr>
      <w:r w:rsidRPr="00507F7F">
        <w:rPr>
          <w:rFonts w:ascii="Arial" w:hAnsi="Arial" w:cs="Arial"/>
          <w:b/>
          <w:color w:val="000064"/>
          <w:sz w:val="28"/>
          <w:szCs w:val="28"/>
        </w:rPr>
        <w:t>CONTENTS</w:t>
      </w:r>
    </w:p>
    <w:p w:rsidR="00200129" w:rsidRPr="00507F7F" w:rsidRDefault="00200129" w:rsidP="00C67BF0">
      <w:pPr>
        <w:spacing w:after="0" w:line="240" w:lineRule="auto"/>
        <w:contextualSpacing/>
        <w:rPr>
          <w:rFonts w:ascii="Arial" w:hAnsi="Arial" w:cs="Arial"/>
          <w:b/>
          <w:color w:val="000064"/>
          <w:sz w:val="28"/>
          <w:szCs w:val="28"/>
        </w:rPr>
      </w:pPr>
    </w:p>
    <w:tbl>
      <w:tblPr>
        <w:tblStyle w:val="TableGrid"/>
        <w:tblpPr w:leftFromText="180" w:rightFromText="180" w:vertAnchor="page" w:horzAnchor="margin" w:tblpXSpec="center" w:tblpY="36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6237"/>
        <w:gridCol w:w="483"/>
      </w:tblGrid>
      <w:tr w:rsidR="00DE31BA" w:rsidRPr="0012144E" w:rsidTr="00DE31BA">
        <w:tc>
          <w:tcPr>
            <w:tcW w:w="392" w:type="dxa"/>
          </w:tcPr>
          <w:p w:rsidR="00DE31BA" w:rsidRPr="0012144E" w:rsidRDefault="00DE31BA" w:rsidP="00DE31BA">
            <w:pPr>
              <w:pStyle w:val="ListParagraph"/>
              <w:numPr>
                <w:ilvl w:val="0"/>
                <w:numId w:val="44"/>
              </w:numPr>
              <w:jc w:val="right"/>
              <w:rPr>
                <w:rFonts w:ascii="Arial" w:hAnsi="Arial" w:cs="Arial"/>
                <w:sz w:val="24"/>
                <w:szCs w:val="24"/>
              </w:rPr>
            </w:pPr>
          </w:p>
        </w:tc>
        <w:tc>
          <w:tcPr>
            <w:tcW w:w="6237" w:type="dxa"/>
          </w:tcPr>
          <w:p w:rsidR="00DE31BA" w:rsidRDefault="00DE31BA" w:rsidP="00DE31BA">
            <w:pPr>
              <w:rPr>
                <w:rFonts w:ascii="Arial" w:hAnsi="Arial" w:cs="Arial"/>
                <w:sz w:val="24"/>
                <w:szCs w:val="24"/>
              </w:rPr>
            </w:pPr>
            <w:r w:rsidRPr="0012144E">
              <w:rPr>
                <w:rFonts w:ascii="Arial" w:hAnsi="Arial" w:cs="Arial"/>
                <w:sz w:val="24"/>
                <w:szCs w:val="24"/>
              </w:rPr>
              <w:t>Introduction</w:t>
            </w:r>
          </w:p>
          <w:p w:rsidR="00DE31BA" w:rsidRPr="0012144E" w:rsidRDefault="00DE31BA" w:rsidP="00DE31BA">
            <w:pPr>
              <w:rPr>
                <w:rFonts w:ascii="Arial" w:hAnsi="Arial" w:cs="Arial"/>
                <w:sz w:val="24"/>
                <w:szCs w:val="24"/>
              </w:rPr>
            </w:pPr>
          </w:p>
        </w:tc>
        <w:tc>
          <w:tcPr>
            <w:tcW w:w="483" w:type="dxa"/>
          </w:tcPr>
          <w:p w:rsidR="00DE31BA" w:rsidRPr="0012144E" w:rsidRDefault="00DE31BA" w:rsidP="00DE31BA">
            <w:pPr>
              <w:jc w:val="right"/>
              <w:rPr>
                <w:rFonts w:ascii="Arial" w:hAnsi="Arial" w:cs="Arial"/>
                <w:sz w:val="24"/>
                <w:szCs w:val="24"/>
              </w:rPr>
            </w:pPr>
            <w:r w:rsidRPr="0012144E">
              <w:rPr>
                <w:rFonts w:ascii="Arial" w:hAnsi="Arial" w:cs="Arial"/>
                <w:sz w:val="24"/>
                <w:szCs w:val="24"/>
              </w:rPr>
              <w:t>3</w:t>
            </w:r>
          </w:p>
        </w:tc>
      </w:tr>
      <w:tr w:rsidR="00DE31BA" w:rsidRPr="0012144E" w:rsidTr="00DE31BA">
        <w:tc>
          <w:tcPr>
            <w:tcW w:w="392" w:type="dxa"/>
          </w:tcPr>
          <w:p w:rsidR="00DE31BA" w:rsidRPr="0012144E" w:rsidRDefault="00DE31BA" w:rsidP="00DE31BA">
            <w:pPr>
              <w:pStyle w:val="ListParagraph"/>
              <w:numPr>
                <w:ilvl w:val="0"/>
                <w:numId w:val="44"/>
              </w:numPr>
              <w:jc w:val="right"/>
              <w:rPr>
                <w:rFonts w:ascii="Arial" w:hAnsi="Arial" w:cs="Arial"/>
                <w:sz w:val="24"/>
                <w:szCs w:val="24"/>
              </w:rPr>
            </w:pPr>
          </w:p>
        </w:tc>
        <w:tc>
          <w:tcPr>
            <w:tcW w:w="6237" w:type="dxa"/>
          </w:tcPr>
          <w:p w:rsidR="00DE31BA" w:rsidRDefault="00DE31BA" w:rsidP="00DE31BA">
            <w:pPr>
              <w:rPr>
                <w:rFonts w:ascii="Arial" w:hAnsi="Arial" w:cs="Arial"/>
                <w:sz w:val="24"/>
                <w:szCs w:val="24"/>
              </w:rPr>
            </w:pPr>
            <w:r w:rsidRPr="0012144E">
              <w:rPr>
                <w:rFonts w:ascii="Arial" w:hAnsi="Arial" w:cs="Arial"/>
                <w:sz w:val="24"/>
                <w:szCs w:val="24"/>
              </w:rPr>
              <w:t>The Australian</w:t>
            </w:r>
            <w:r>
              <w:rPr>
                <w:rFonts w:ascii="Arial" w:hAnsi="Arial" w:cs="Arial"/>
                <w:sz w:val="24"/>
                <w:szCs w:val="24"/>
              </w:rPr>
              <w:t xml:space="preserve"> </w:t>
            </w:r>
            <w:r w:rsidRPr="0012144E">
              <w:rPr>
                <w:rFonts w:ascii="Arial" w:hAnsi="Arial" w:cs="Arial"/>
                <w:sz w:val="24"/>
                <w:szCs w:val="24"/>
              </w:rPr>
              <w:t>Trucking Association</w:t>
            </w:r>
          </w:p>
          <w:p w:rsidR="00DE31BA" w:rsidRPr="0012144E" w:rsidRDefault="00DE31BA" w:rsidP="00DE31BA">
            <w:pPr>
              <w:rPr>
                <w:rFonts w:ascii="Arial" w:hAnsi="Arial" w:cs="Arial"/>
                <w:sz w:val="24"/>
                <w:szCs w:val="24"/>
              </w:rPr>
            </w:pPr>
          </w:p>
        </w:tc>
        <w:tc>
          <w:tcPr>
            <w:tcW w:w="483" w:type="dxa"/>
          </w:tcPr>
          <w:p w:rsidR="00DE31BA" w:rsidRPr="0012144E" w:rsidRDefault="00DE31BA" w:rsidP="00DE31BA">
            <w:pPr>
              <w:jc w:val="right"/>
              <w:rPr>
                <w:rFonts w:ascii="Arial" w:hAnsi="Arial" w:cs="Arial"/>
                <w:sz w:val="24"/>
                <w:szCs w:val="24"/>
              </w:rPr>
            </w:pPr>
            <w:r w:rsidRPr="0012144E">
              <w:rPr>
                <w:rFonts w:ascii="Arial" w:hAnsi="Arial" w:cs="Arial"/>
                <w:sz w:val="24"/>
                <w:szCs w:val="24"/>
              </w:rPr>
              <w:t>3</w:t>
            </w:r>
          </w:p>
        </w:tc>
      </w:tr>
      <w:tr w:rsidR="00DE31BA" w:rsidRPr="0012144E" w:rsidTr="00DE31BA">
        <w:tc>
          <w:tcPr>
            <w:tcW w:w="392" w:type="dxa"/>
          </w:tcPr>
          <w:p w:rsidR="00DE31BA" w:rsidRPr="0012144E" w:rsidRDefault="00DE31BA" w:rsidP="00DE31BA">
            <w:pPr>
              <w:pStyle w:val="ListParagraph"/>
              <w:numPr>
                <w:ilvl w:val="0"/>
                <w:numId w:val="44"/>
              </w:numPr>
              <w:jc w:val="right"/>
              <w:rPr>
                <w:rFonts w:ascii="Arial" w:hAnsi="Arial" w:cs="Arial"/>
                <w:sz w:val="24"/>
                <w:szCs w:val="24"/>
              </w:rPr>
            </w:pPr>
          </w:p>
        </w:tc>
        <w:tc>
          <w:tcPr>
            <w:tcW w:w="6237" w:type="dxa"/>
          </w:tcPr>
          <w:p w:rsidR="00DE31BA" w:rsidRDefault="00DE31BA" w:rsidP="00DE31BA">
            <w:pPr>
              <w:rPr>
                <w:rFonts w:ascii="Arial" w:hAnsi="Arial" w:cs="Arial"/>
                <w:sz w:val="24"/>
                <w:szCs w:val="24"/>
              </w:rPr>
            </w:pPr>
            <w:r w:rsidRPr="0012144E">
              <w:rPr>
                <w:rFonts w:ascii="Arial" w:hAnsi="Arial" w:cs="Arial"/>
                <w:sz w:val="24"/>
                <w:szCs w:val="24"/>
              </w:rPr>
              <w:t>Recommendations</w:t>
            </w:r>
          </w:p>
          <w:p w:rsidR="00DE31BA" w:rsidRPr="0012144E" w:rsidRDefault="00DE31BA" w:rsidP="00DE31BA">
            <w:pPr>
              <w:rPr>
                <w:rFonts w:ascii="Arial" w:hAnsi="Arial" w:cs="Arial"/>
                <w:sz w:val="24"/>
                <w:szCs w:val="24"/>
              </w:rPr>
            </w:pPr>
          </w:p>
        </w:tc>
        <w:tc>
          <w:tcPr>
            <w:tcW w:w="483" w:type="dxa"/>
          </w:tcPr>
          <w:p w:rsidR="00DE31BA" w:rsidRPr="0012144E" w:rsidRDefault="00DE31BA" w:rsidP="00DE31BA">
            <w:pPr>
              <w:jc w:val="right"/>
              <w:rPr>
                <w:rFonts w:ascii="Arial" w:hAnsi="Arial" w:cs="Arial"/>
                <w:sz w:val="24"/>
                <w:szCs w:val="24"/>
              </w:rPr>
            </w:pPr>
            <w:r w:rsidRPr="0012144E">
              <w:rPr>
                <w:rFonts w:ascii="Arial" w:hAnsi="Arial" w:cs="Arial"/>
                <w:sz w:val="24"/>
                <w:szCs w:val="24"/>
              </w:rPr>
              <w:t>3</w:t>
            </w:r>
          </w:p>
        </w:tc>
      </w:tr>
      <w:tr w:rsidR="00DE31BA" w:rsidRPr="0012144E" w:rsidTr="00DE31BA">
        <w:tc>
          <w:tcPr>
            <w:tcW w:w="392" w:type="dxa"/>
          </w:tcPr>
          <w:p w:rsidR="00DE31BA" w:rsidRPr="0012144E" w:rsidRDefault="00DE31BA" w:rsidP="00DE31BA">
            <w:pPr>
              <w:pStyle w:val="ListParagraph"/>
              <w:numPr>
                <w:ilvl w:val="0"/>
                <w:numId w:val="44"/>
              </w:numPr>
              <w:jc w:val="right"/>
              <w:rPr>
                <w:rFonts w:ascii="Arial" w:hAnsi="Arial" w:cs="Arial"/>
                <w:sz w:val="24"/>
                <w:szCs w:val="24"/>
              </w:rPr>
            </w:pPr>
          </w:p>
        </w:tc>
        <w:tc>
          <w:tcPr>
            <w:tcW w:w="6237" w:type="dxa"/>
          </w:tcPr>
          <w:p w:rsidR="00DE31BA" w:rsidRDefault="00DE31BA" w:rsidP="00DE31BA">
            <w:pPr>
              <w:rPr>
                <w:rFonts w:ascii="Arial" w:hAnsi="Arial" w:cs="Arial"/>
                <w:sz w:val="24"/>
                <w:szCs w:val="24"/>
              </w:rPr>
            </w:pPr>
            <w:r>
              <w:rPr>
                <w:rFonts w:ascii="Arial" w:hAnsi="Arial" w:cs="Arial"/>
                <w:sz w:val="24"/>
                <w:szCs w:val="24"/>
              </w:rPr>
              <w:t xml:space="preserve">IAP </w:t>
            </w:r>
            <w:r w:rsidRPr="0012144E">
              <w:rPr>
                <w:rFonts w:ascii="Arial" w:hAnsi="Arial" w:cs="Arial"/>
                <w:sz w:val="24"/>
                <w:szCs w:val="24"/>
              </w:rPr>
              <w:t>Program Outcomes</w:t>
            </w:r>
          </w:p>
          <w:p w:rsidR="00DE31BA" w:rsidRPr="0012144E" w:rsidRDefault="00DE31BA" w:rsidP="00DE31BA">
            <w:pPr>
              <w:rPr>
                <w:rFonts w:ascii="Arial" w:hAnsi="Arial" w:cs="Arial"/>
                <w:sz w:val="24"/>
                <w:szCs w:val="24"/>
              </w:rPr>
            </w:pPr>
          </w:p>
        </w:tc>
        <w:tc>
          <w:tcPr>
            <w:tcW w:w="483" w:type="dxa"/>
          </w:tcPr>
          <w:p w:rsidR="00DE31BA" w:rsidRPr="0012144E" w:rsidRDefault="00DE31BA" w:rsidP="00DE31BA">
            <w:pPr>
              <w:jc w:val="right"/>
              <w:rPr>
                <w:rFonts w:ascii="Arial" w:hAnsi="Arial" w:cs="Arial"/>
                <w:sz w:val="24"/>
                <w:szCs w:val="24"/>
              </w:rPr>
            </w:pPr>
            <w:r w:rsidRPr="0012144E">
              <w:rPr>
                <w:rFonts w:ascii="Arial" w:hAnsi="Arial" w:cs="Arial"/>
                <w:sz w:val="24"/>
                <w:szCs w:val="24"/>
              </w:rPr>
              <w:t>4</w:t>
            </w:r>
          </w:p>
        </w:tc>
      </w:tr>
      <w:tr w:rsidR="00DE31BA" w:rsidRPr="0012144E" w:rsidTr="00DE31BA">
        <w:tc>
          <w:tcPr>
            <w:tcW w:w="392" w:type="dxa"/>
          </w:tcPr>
          <w:p w:rsidR="00DE31BA" w:rsidRPr="0012144E" w:rsidRDefault="00DE31BA" w:rsidP="00DE31BA">
            <w:pPr>
              <w:jc w:val="right"/>
              <w:rPr>
                <w:rFonts w:ascii="Arial" w:hAnsi="Arial" w:cs="Arial"/>
                <w:sz w:val="24"/>
                <w:szCs w:val="24"/>
              </w:rPr>
            </w:pPr>
          </w:p>
        </w:tc>
        <w:tc>
          <w:tcPr>
            <w:tcW w:w="6237" w:type="dxa"/>
          </w:tcPr>
          <w:p w:rsidR="00DE31BA" w:rsidRDefault="00DE31BA" w:rsidP="00DE31BA">
            <w:pPr>
              <w:rPr>
                <w:rFonts w:ascii="Arial" w:hAnsi="Arial" w:cs="Arial"/>
                <w:sz w:val="24"/>
                <w:szCs w:val="24"/>
              </w:rPr>
            </w:pPr>
            <w:r w:rsidRPr="0012144E">
              <w:rPr>
                <w:rFonts w:ascii="Arial" w:hAnsi="Arial" w:cs="Arial"/>
                <w:sz w:val="24"/>
                <w:szCs w:val="24"/>
              </w:rPr>
              <w:t>4.1</w:t>
            </w:r>
            <w:r>
              <w:rPr>
                <w:rFonts w:ascii="Arial" w:hAnsi="Arial" w:cs="Arial"/>
                <w:sz w:val="24"/>
                <w:szCs w:val="24"/>
              </w:rPr>
              <w:t xml:space="preserve"> </w:t>
            </w:r>
            <w:r w:rsidRPr="0012144E">
              <w:rPr>
                <w:rFonts w:ascii="Arial" w:hAnsi="Arial" w:cs="Arial"/>
                <w:sz w:val="24"/>
                <w:szCs w:val="24"/>
              </w:rPr>
              <w:t>ATA Submissions on IAP</w:t>
            </w:r>
          </w:p>
          <w:p w:rsidR="00DE31BA" w:rsidRPr="0012144E" w:rsidRDefault="00DE31BA" w:rsidP="00DE31BA">
            <w:pPr>
              <w:rPr>
                <w:rFonts w:ascii="Arial" w:hAnsi="Arial" w:cs="Arial"/>
                <w:sz w:val="24"/>
                <w:szCs w:val="24"/>
              </w:rPr>
            </w:pPr>
          </w:p>
        </w:tc>
        <w:tc>
          <w:tcPr>
            <w:tcW w:w="483" w:type="dxa"/>
          </w:tcPr>
          <w:p w:rsidR="00DE31BA" w:rsidRPr="0012144E" w:rsidRDefault="00DE31BA" w:rsidP="00DE31BA">
            <w:pPr>
              <w:jc w:val="right"/>
              <w:rPr>
                <w:rFonts w:ascii="Arial" w:hAnsi="Arial" w:cs="Arial"/>
                <w:sz w:val="24"/>
                <w:szCs w:val="24"/>
              </w:rPr>
            </w:pPr>
            <w:r w:rsidRPr="0012144E">
              <w:rPr>
                <w:rFonts w:ascii="Arial" w:hAnsi="Arial" w:cs="Arial"/>
                <w:sz w:val="24"/>
                <w:szCs w:val="24"/>
              </w:rPr>
              <w:t>4</w:t>
            </w:r>
          </w:p>
        </w:tc>
      </w:tr>
      <w:tr w:rsidR="00DE31BA" w:rsidRPr="0012144E" w:rsidTr="00DE31BA">
        <w:tc>
          <w:tcPr>
            <w:tcW w:w="392" w:type="dxa"/>
          </w:tcPr>
          <w:p w:rsidR="00DE31BA" w:rsidRPr="0012144E" w:rsidRDefault="00DE31BA" w:rsidP="00DE31BA">
            <w:pPr>
              <w:jc w:val="right"/>
              <w:rPr>
                <w:rFonts w:ascii="Arial" w:hAnsi="Arial" w:cs="Arial"/>
                <w:sz w:val="24"/>
                <w:szCs w:val="24"/>
              </w:rPr>
            </w:pPr>
          </w:p>
        </w:tc>
        <w:tc>
          <w:tcPr>
            <w:tcW w:w="6237" w:type="dxa"/>
          </w:tcPr>
          <w:p w:rsidR="00DE31BA" w:rsidRDefault="00DE31BA" w:rsidP="00DE31BA">
            <w:pPr>
              <w:rPr>
                <w:rFonts w:ascii="Arial" w:hAnsi="Arial" w:cs="Arial"/>
                <w:sz w:val="24"/>
                <w:szCs w:val="24"/>
              </w:rPr>
            </w:pPr>
            <w:r w:rsidRPr="0012144E">
              <w:rPr>
                <w:rFonts w:ascii="Arial" w:hAnsi="Arial" w:cs="Arial"/>
                <w:sz w:val="24"/>
                <w:szCs w:val="24"/>
              </w:rPr>
              <w:t>4.2</w:t>
            </w:r>
            <w:r>
              <w:rPr>
                <w:rFonts w:ascii="Arial" w:hAnsi="Arial" w:cs="Arial"/>
                <w:sz w:val="24"/>
                <w:szCs w:val="24"/>
              </w:rPr>
              <w:t xml:space="preserve"> </w:t>
            </w:r>
            <w:r w:rsidRPr="0012144E">
              <w:rPr>
                <w:rFonts w:ascii="Arial" w:hAnsi="Arial" w:cs="Arial"/>
                <w:sz w:val="24"/>
                <w:szCs w:val="24"/>
              </w:rPr>
              <w:t>IAP Proposal</w:t>
            </w:r>
          </w:p>
          <w:p w:rsidR="00DE31BA" w:rsidRPr="0012144E" w:rsidRDefault="00DE31BA" w:rsidP="00DE31BA">
            <w:pPr>
              <w:rPr>
                <w:rFonts w:ascii="Arial" w:hAnsi="Arial" w:cs="Arial"/>
                <w:sz w:val="24"/>
                <w:szCs w:val="24"/>
              </w:rPr>
            </w:pPr>
          </w:p>
        </w:tc>
        <w:tc>
          <w:tcPr>
            <w:tcW w:w="483" w:type="dxa"/>
          </w:tcPr>
          <w:p w:rsidR="00DE31BA" w:rsidRPr="0012144E" w:rsidRDefault="00DE31BA" w:rsidP="00DE31BA">
            <w:pPr>
              <w:jc w:val="right"/>
              <w:rPr>
                <w:rFonts w:ascii="Arial" w:hAnsi="Arial" w:cs="Arial"/>
                <w:sz w:val="24"/>
                <w:szCs w:val="24"/>
              </w:rPr>
            </w:pPr>
            <w:r w:rsidRPr="0012144E">
              <w:rPr>
                <w:rFonts w:ascii="Arial" w:hAnsi="Arial" w:cs="Arial"/>
                <w:sz w:val="24"/>
                <w:szCs w:val="24"/>
              </w:rPr>
              <w:t>5</w:t>
            </w:r>
          </w:p>
        </w:tc>
      </w:tr>
      <w:tr w:rsidR="00DE31BA" w:rsidRPr="0012144E" w:rsidTr="00DE31BA">
        <w:tc>
          <w:tcPr>
            <w:tcW w:w="392" w:type="dxa"/>
          </w:tcPr>
          <w:p w:rsidR="00DE31BA" w:rsidRPr="0012144E" w:rsidRDefault="00DE31BA" w:rsidP="00DE31BA">
            <w:pPr>
              <w:jc w:val="right"/>
              <w:rPr>
                <w:rFonts w:ascii="Arial" w:hAnsi="Arial" w:cs="Arial"/>
                <w:sz w:val="24"/>
                <w:szCs w:val="24"/>
              </w:rPr>
            </w:pPr>
          </w:p>
        </w:tc>
        <w:tc>
          <w:tcPr>
            <w:tcW w:w="6237" w:type="dxa"/>
          </w:tcPr>
          <w:p w:rsidR="00DE31BA" w:rsidRDefault="00DE31BA" w:rsidP="00DE31BA">
            <w:pPr>
              <w:rPr>
                <w:rFonts w:ascii="Arial" w:hAnsi="Arial" w:cs="Arial"/>
                <w:sz w:val="24"/>
                <w:szCs w:val="24"/>
              </w:rPr>
            </w:pPr>
            <w:r w:rsidRPr="0012144E">
              <w:rPr>
                <w:rFonts w:ascii="Arial" w:hAnsi="Arial" w:cs="Arial"/>
                <w:sz w:val="24"/>
                <w:szCs w:val="24"/>
              </w:rPr>
              <w:t>4.3</w:t>
            </w:r>
            <w:r>
              <w:rPr>
                <w:rFonts w:ascii="Arial" w:hAnsi="Arial" w:cs="Arial"/>
                <w:sz w:val="24"/>
                <w:szCs w:val="24"/>
              </w:rPr>
              <w:t xml:space="preserve"> </w:t>
            </w:r>
            <w:r w:rsidRPr="0012144E">
              <w:rPr>
                <w:rFonts w:ascii="Arial" w:hAnsi="Arial" w:cs="Arial"/>
                <w:sz w:val="24"/>
                <w:szCs w:val="24"/>
              </w:rPr>
              <w:t>Public Handling of Private Data</w:t>
            </w:r>
          </w:p>
          <w:p w:rsidR="00DE31BA" w:rsidRPr="0012144E" w:rsidRDefault="00DE31BA" w:rsidP="00DE31BA">
            <w:pPr>
              <w:rPr>
                <w:rFonts w:ascii="Arial" w:hAnsi="Arial" w:cs="Arial"/>
                <w:sz w:val="24"/>
                <w:szCs w:val="24"/>
              </w:rPr>
            </w:pPr>
          </w:p>
        </w:tc>
        <w:tc>
          <w:tcPr>
            <w:tcW w:w="483" w:type="dxa"/>
          </w:tcPr>
          <w:p w:rsidR="00DE31BA" w:rsidRPr="0012144E" w:rsidRDefault="00B80591" w:rsidP="00DE31BA">
            <w:pPr>
              <w:jc w:val="right"/>
              <w:rPr>
                <w:rFonts w:ascii="Arial" w:hAnsi="Arial" w:cs="Arial"/>
                <w:sz w:val="24"/>
                <w:szCs w:val="24"/>
              </w:rPr>
            </w:pPr>
            <w:r>
              <w:rPr>
                <w:rFonts w:ascii="Arial" w:hAnsi="Arial" w:cs="Arial"/>
                <w:sz w:val="24"/>
                <w:szCs w:val="24"/>
              </w:rPr>
              <w:t>7</w:t>
            </w:r>
          </w:p>
        </w:tc>
      </w:tr>
      <w:tr w:rsidR="00DE31BA" w:rsidRPr="0012144E" w:rsidTr="00DE31BA">
        <w:tc>
          <w:tcPr>
            <w:tcW w:w="392" w:type="dxa"/>
          </w:tcPr>
          <w:p w:rsidR="00DE31BA" w:rsidRPr="0012144E" w:rsidRDefault="00DE31BA" w:rsidP="00DE31BA">
            <w:pPr>
              <w:jc w:val="right"/>
              <w:rPr>
                <w:rFonts w:ascii="Arial" w:hAnsi="Arial" w:cs="Arial"/>
                <w:sz w:val="24"/>
                <w:szCs w:val="24"/>
              </w:rPr>
            </w:pPr>
          </w:p>
        </w:tc>
        <w:tc>
          <w:tcPr>
            <w:tcW w:w="6237" w:type="dxa"/>
          </w:tcPr>
          <w:p w:rsidR="00DE31BA" w:rsidRDefault="00DE31BA" w:rsidP="00DE31BA">
            <w:pPr>
              <w:rPr>
                <w:rFonts w:ascii="Arial" w:hAnsi="Arial" w:cs="Arial"/>
                <w:sz w:val="24"/>
                <w:szCs w:val="24"/>
              </w:rPr>
            </w:pPr>
            <w:r w:rsidRPr="0012144E">
              <w:rPr>
                <w:rFonts w:ascii="Arial" w:hAnsi="Arial" w:cs="Arial"/>
                <w:sz w:val="24"/>
                <w:szCs w:val="24"/>
              </w:rPr>
              <w:t>4.4</w:t>
            </w:r>
            <w:r>
              <w:rPr>
                <w:rFonts w:ascii="Arial" w:hAnsi="Arial" w:cs="Arial"/>
                <w:sz w:val="24"/>
                <w:szCs w:val="24"/>
              </w:rPr>
              <w:t xml:space="preserve"> </w:t>
            </w:r>
            <w:r w:rsidRPr="0012144E">
              <w:rPr>
                <w:rFonts w:ascii="Arial" w:hAnsi="Arial" w:cs="Arial"/>
                <w:sz w:val="24"/>
                <w:szCs w:val="24"/>
              </w:rPr>
              <w:t>Administration and Next Steps</w:t>
            </w:r>
          </w:p>
          <w:p w:rsidR="00DE31BA" w:rsidRPr="0012144E" w:rsidRDefault="00DE31BA" w:rsidP="00DE31BA">
            <w:pPr>
              <w:rPr>
                <w:rFonts w:ascii="Arial" w:hAnsi="Arial" w:cs="Arial"/>
                <w:sz w:val="24"/>
                <w:szCs w:val="24"/>
              </w:rPr>
            </w:pPr>
          </w:p>
        </w:tc>
        <w:tc>
          <w:tcPr>
            <w:tcW w:w="483" w:type="dxa"/>
          </w:tcPr>
          <w:p w:rsidR="00DE31BA" w:rsidRPr="0012144E" w:rsidRDefault="00DE31BA" w:rsidP="00DE31BA">
            <w:pPr>
              <w:jc w:val="right"/>
              <w:rPr>
                <w:rFonts w:ascii="Arial" w:hAnsi="Arial" w:cs="Arial"/>
                <w:sz w:val="24"/>
                <w:szCs w:val="24"/>
              </w:rPr>
            </w:pPr>
            <w:r w:rsidRPr="0012144E">
              <w:rPr>
                <w:rFonts w:ascii="Arial" w:hAnsi="Arial" w:cs="Arial"/>
                <w:sz w:val="24"/>
                <w:szCs w:val="24"/>
              </w:rPr>
              <w:t>9</w:t>
            </w:r>
          </w:p>
        </w:tc>
      </w:tr>
      <w:tr w:rsidR="00DE31BA" w:rsidRPr="0012144E" w:rsidTr="00DE31BA">
        <w:tc>
          <w:tcPr>
            <w:tcW w:w="392" w:type="dxa"/>
          </w:tcPr>
          <w:p w:rsidR="00DE31BA" w:rsidRPr="0012144E" w:rsidRDefault="00DE31BA" w:rsidP="00DE31BA">
            <w:pPr>
              <w:pStyle w:val="ListParagraph"/>
              <w:numPr>
                <w:ilvl w:val="0"/>
                <w:numId w:val="44"/>
              </w:numPr>
              <w:jc w:val="right"/>
              <w:rPr>
                <w:rFonts w:ascii="Arial" w:hAnsi="Arial" w:cs="Arial"/>
                <w:sz w:val="24"/>
                <w:szCs w:val="24"/>
              </w:rPr>
            </w:pPr>
          </w:p>
        </w:tc>
        <w:tc>
          <w:tcPr>
            <w:tcW w:w="6237" w:type="dxa"/>
          </w:tcPr>
          <w:p w:rsidR="00DE31BA" w:rsidRPr="0012144E" w:rsidRDefault="00DE31BA" w:rsidP="00DE31BA">
            <w:pPr>
              <w:rPr>
                <w:rFonts w:ascii="Arial" w:hAnsi="Arial" w:cs="Arial"/>
                <w:sz w:val="24"/>
                <w:szCs w:val="24"/>
              </w:rPr>
            </w:pPr>
            <w:r w:rsidRPr="0012144E">
              <w:rPr>
                <w:rFonts w:ascii="Arial" w:hAnsi="Arial" w:cs="Arial"/>
                <w:sz w:val="24"/>
                <w:szCs w:val="24"/>
              </w:rPr>
              <w:t>Conclusion</w:t>
            </w:r>
          </w:p>
        </w:tc>
        <w:tc>
          <w:tcPr>
            <w:tcW w:w="483" w:type="dxa"/>
          </w:tcPr>
          <w:p w:rsidR="00DE31BA" w:rsidRPr="0012144E" w:rsidRDefault="00DE31BA" w:rsidP="00DE31BA">
            <w:pPr>
              <w:jc w:val="right"/>
              <w:rPr>
                <w:rFonts w:ascii="Arial" w:hAnsi="Arial" w:cs="Arial"/>
                <w:sz w:val="24"/>
                <w:szCs w:val="24"/>
              </w:rPr>
            </w:pPr>
            <w:r w:rsidRPr="0012144E">
              <w:rPr>
                <w:rFonts w:ascii="Arial" w:hAnsi="Arial" w:cs="Arial"/>
                <w:sz w:val="24"/>
                <w:szCs w:val="24"/>
              </w:rPr>
              <w:t>11</w:t>
            </w:r>
          </w:p>
        </w:tc>
      </w:tr>
    </w:tbl>
    <w:p w:rsidR="00200129" w:rsidRDefault="00200129" w:rsidP="00C67BF0">
      <w:pPr>
        <w:tabs>
          <w:tab w:val="right" w:leader="dot" w:pos="9645"/>
        </w:tabs>
        <w:spacing w:after="0" w:line="240" w:lineRule="auto"/>
        <w:contextualSpacing/>
        <w:rPr>
          <w:rFonts w:cs="Arial"/>
          <w:b/>
          <w:sz w:val="24"/>
          <w:szCs w:val="24"/>
        </w:rPr>
      </w:pPr>
    </w:p>
    <w:p w:rsidR="00200129" w:rsidRDefault="00200129" w:rsidP="00C67BF0">
      <w:pPr>
        <w:tabs>
          <w:tab w:val="right" w:leader="dot" w:pos="9645"/>
        </w:tabs>
        <w:spacing w:after="0" w:line="240" w:lineRule="auto"/>
        <w:contextualSpacing/>
        <w:rPr>
          <w:rFonts w:cs="Arial"/>
          <w:b/>
          <w:sz w:val="24"/>
          <w:szCs w:val="24"/>
        </w:rPr>
      </w:pPr>
    </w:p>
    <w:p w:rsidR="00200129" w:rsidRDefault="00200129" w:rsidP="00C67BF0">
      <w:pPr>
        <w:tabs>
          <w:tab w:val="right" w:leader="dot" w:pos="9645"/>
        </w:tabs>
        <w:spacing w:after="0" w:line="240" w:lineRule="auto"/>
        <w:contextualSpacing/>
        <w:rPr>
          <w:rFonts w:cs="Arial"/>
          <w:b/>
          <w:sz w:val="24"/>
          <w:szCs w:val="24"/>
        </w:rPr>
      </w:pPr>
    </w:p>
    <w:p w:rsidR="00200129" w:rsidRDefault="00200129" w:rsidP="00C67BF0">
      <w:pPr>
        <w:tabs>
          <w:tab w:val="right" w:leader="dot" w:pos="9645"/>
        </w:tabs>
        <w:spacing w:after="0" w:line="240" w:lineRule="auto"/>
        <w:contextualSpacing/>
        <w:rPr>
          <w:rFonts w:cs="Arial"/>
          <w:b/>
          <w:sz w:val="24"/>
          <w:szCs w:val="24"/>
        </w:rPr>
      </w:pPr>
    </w:p>
    <w:p w:rsidR="00200129" w:rsidRDefault="00200129" w:rsidP="00C67BF0">
      <w:pPr>
        <w:tabs>
          <w:tab w:val="right" w:leader="dot" w:pos="9645"/>
        </w:tabs>
        <w:spacing w:after="0" w:line="240" w:lineRule="auto"/>
        <w:contextualSpacing/>
        <w:rPr>
          <w:rFonts w:cs="Arial"/>
          <w:b/>
          <w:sz w:val="24"/>
          <w:szCs w:val="24"/>
        </w:rPr>
      </w:pPr>
    </w:p>
    <w:p w:rsidR="00200129" w:rsidRDefault="00200129" w:rsidP="00C67BF0">
      <w:pPr>
        <w:tabs>
          <w:tab w:val="right" w:leader="dot" w:pos="9645"/>
        </w:tabs>
        <w:spacing w:after="0" w:line="240" w:lineRule="auto"/>
        <w:contextualSpacing/>
        <w:rPr>
          <w:rFonts w:cs="Arial"/>
          <w:b/>
          <w:sz w:val="24"/>
          <w:szCs w:val="24"/>
        </w:rPr>
      </w:pPr>
    </w:p>
    <w:p w:rsidR="00200129" w:rsidRDefault="00200129" w:rsidP="00C67BF0">
      <w:pPr>
        <w:tabs>
          <w:tab w:val="right" w:leader="dot" w:pos="9645"/>
        </w:tabs>
        <w:spacing w:after="0" w:line="240" w:lineRule="auto"/>
        <w:contextualSpacing/>
        <w:rPr>
          <w:rFonts w:cs="Arial"/>
          <w:b/>
          <w:sz w:val="24"/>
          <w:szCs w:val="24"/>
        </w:rPr>
      </w:pPr>
    </w:p>
    <w:p w:rsidR="00200129" w:rsidRDefault="00200129" w:rsidP="00C67BF0">
      <w:pPr>
        <w:tabs>
          <w:tab w:val="right" w:leader="dot" w:pos="9645"/>
        </w:tabs>
        <w:spacing w:after="0" w:line="240" w:lineRule="auto"/>
        <w:contextualSpacing/>
        <w:rPr>
          <w:rFonts w:cs="Arial"/>
          <w:b/>
          <w:sz w:val="24"/>
          <w:szCs w:val="24"/>
        </w:rPr>
      </w:pPr>
    </w:p>
    <w:p w:rsidR="00200129" w:rsidRDefault="00200129" w:rsidP="00C67BF0">
      <w:pPr>
        <w:tabs>
          <w:tab w:val="right" w:leader="dot" w:pos="9645"/>
        </w:tabs>
        <w:spacing w:after="0" w:line="240" w:lineRule="auto"/>
        <w:contextualSpacing/>
        <w:rPr>
          <w:rFonts w:cs="Arial"/>
          <w:b/>
          <w:sz w:val="24"/>
          <w:szCs w:val="24"/>
        </w:rPr>
      </w:pPr>
    </w:p>
    <w:p w:rsidR="00200129" w:rsidRDefault="00200129" w:rsidP="00C67BF0">
      <w:pPr>
        <w:tabs>
          <w:tab w:val="right" w:leader="dot" w:pos="9645"/>
        </w:tabs>
        <w:spacing w:after="0" w:line="240" w:lineRule="auto"/>
        <w:contextualSpacing/>
        <w:rPr>
          <w:rFonts w:cs="Arial"/>
          <w:b/>
          <w:sz w:val="24"/>
          <w:szCs w:val="24"/>
        </w:rPr>
      </w:pPr>
    </w:p>
    <w:p w:rsidR="00200129" w:rsidRDefault="00200129" w:rsidP="00C67BF0">
      <w:pPr>
        <w:tabs>
          <w:tab w:val="right" w:leader="dot" w:pos="9645"/>
        </w:tabs>
        <w:spacing w:after="0" w:line="240" w:lineRule="auto"/>
        <w:contextualSpacing/>
        <w:rPr>
          <w:rFonts w:cs="Arial"/>
          <w:b/>
          <w:sz w:val="24"/>
          <w:szCs w:val="24"/>
        </w:rPr>
      </w:pPr>
    </w:p>
    <w:p w:rsidR="00200129" w:rsidRDefault="00200129" w:rsidP="00C67BF0">
      <w:pPr>
        <w:tabs>
          <w:tab w:val="right" w:leader="dot" w:pos="9645"/>
        </w:tabs>
        <w:spacing w:after="0" w:line="240" w:lineRule="auto"/>
        <w:contextualSpacing/>
        <w:rPr>
          <w:rFonts w:cs="Arial"/>
          <w:b/>
          <w:sz w:val="24"/>
          <w:szCs w:val="24"/>
        </w:rPr>
      </w:pPr>
    </w:p>
    <w:p w:rsidR="00200129" w:rsidRDefault="00200129" w:rsidP="00C67BF0">
      <w:pPr>
        <w:tabs>
          <w:tab w:val="right" w:leader="dot" w:pos="9645"/>
        </w:tabs>
        <w:spacing w:after="0" w:line="240" w:lineRule="auto"/>
        <w:contextualSpacing/>
        <w:rPr>
          <w:rFonts w:cs="Arial"/>
          <w:b/>
          <w:sz w:val="24"/>
          <w:szCs w:val="24"/>
        </w:rPr>
      </w:pPr>
    </w:p>
    <w:p w:rsidR="00200129" w:rsidRDefault="00200129" w:rsidP="00C67BF0">
      <w:pPr>
        <w:tabs>
          <w:tab w:val="right" w:leader="dot" w:pos="9645"/>
        </w:tabs>
        <w:spacing w:after="0" w:line="240" w:lineRule="auto"/>
        <w:contextualSpacing/>
        <w:rPr>
          <w:rFonts w:cs="Arial"/>
          <w:b/>
          <w:sz w:val="24"/>
          <w:szCs w:val="24"/>
        </w:rPr>
      </w:pPr>
    </w:p>
    <w:p w:rsidR="00200129" w:rsidRDefault="00200129" w:rsidP="00C67BF0">
      <w:pPr>
        <w:tabs>
          <w:tab w:val="right" w:leader="dot" w:pos="9645"/>
        </w:tabs>
        <w:spacing w:after="0" w:line="240" w:lineRule="auto"/>
        <w:contextualSpacing/>
        <w:rPr>
          <w:rFonts w:cs="Arial"/>
          <w:b/>
          <w:sz w:val="24"/>
          <w:szCs w:val="24"/>
        </w:rPr>
      </w:pPr>
    </w:p>
    <w:p w:rsidR="00200129" w:rsidRDefault="00200129" w:rsidP="00C67BF0">
      <w:pPr>
        <w:tabs>
          <w:tab w:val="right" w:leader="dot" w:pos="9645"/>
        </w:tabs>
        <w:spacing w:after="0" w:line="240" w:lineRule="auto"/>
        <w:contextualSpacing/>
        <w:rPr>
          <w:rFonts w:cs="Arial"/>
          <w:b/>
          <w:sz w:val="24"/>
          <w:szCs w:val="24"/>
        </w:rPr>
      </w:pPr>
    </w:p>
    <w:p w:rsidR="00200129" w:rsidRDefault="00200129" w:rsidP="00C67BF0">
      <w:pPr>
        <w:tabs>
          <w:tab w:val="right" w:leader="dot" w:pos="9645"/>
        </w:tabs>
        <w:spacing w:after="0" w:line="240" w:lineRule="auto"/>
        <w:contextualSpacing/>
        <w:rPr>
          <w:rFonts w:cs="Arial"/>
          <w:b/>
          <w:sz w:val="24"/>
          <w:szCs w:val="24"/>
        </w:rPr>
      </w:pPr>
    </w:p>
    <w:p w:rsidR="00200129" w:rsidRDefault="00200129" w:rsidP="00C67BF0">
      <w:pPr>
        <w:tabs>
          <w:tab w:val="right" w:leader="dot" w:pos="9645"/>
        </w:tabs>
        <w:spacing w:after="0" w:line="240" w:lineRule="auto"/>
        <w:contextualSpacing/>
        <w:rPr>
          <w:rFonts w:cs="Arial"/>
          <w:b/>
          <w:sz w:val="24"/>
          <w:szCs w:val="24"/>
        </w:rPr>
      </w:pPr>
    </w:p>
    <w:p w:rsidR="00200129" w:rsidRDefault="00200129" w:rsidP="00C67BF0">
      <w:pPr>
        <w:tabs>
          <w:tab w:val="right" w:leader="dot" w:pos="9645"/>
        </w:tabs>
        <w:spacing w:after="0" w:line="240" w:lineRule="auto"/>
        <w:contextualSpacing/>
        <w:rPr>
          <w:rFonts w:cs="Arial"/>
          <w:b/>
          <w:sz w:val="24"/>
          <w:szCs w:val="24"/>
        </w:rPr>
      </w:pPr>
    </w:p>
    <w:p w:rsidR="0041635F" w:rsidRPr="00D12646" w:rsidRDefault="00810008" w:rsidP="00C67BF0">
      <w:pPr>
        <w:tabs>
          <w:tab w:val="right" w:leader="dot" w:pos="9645"/>
        </w:tabs>
        <w:spacing w:after="0" w:line="240" w:lineRule="auto"/>
        <w:contextualSpacing/>
        <w:rPr>
          <w:rFonts w:cs="Arial"/>
          <w:sz w:val="24"/>
          <w:szCs w:val="24"/>
        </w:rPr>
      </w:pPr>
      <w:r w:rsidRPr="00830486">
        <w:rPr>
          <w:rFonts w:cs="Arial"/>
          <w:b/>
          <w:sz w:val="24"/>
          <w:szCs w:val="24"/>
        </w:rPr>
        <w:t>APPENDIX A:</w:t>
      </w:r>
      <w:r w:rsidRPr="00D12646">
        <w:rPr>
          <w:rFonts w:cs="Arial"/>
          <w:sz w:val="24"/>
          <w:szCs w:val="24"/>
        </w:rPr>
        <w:t xml:space="preserve">  ATA and NatRoad anonymous </w:t>
      </w:r>
      <w:r w:rsidR="00D423DD">
        <w:rPr>
          <w:rFonts w:cs="Arial"/>
          <w:sz w:val="24"/>
          <w:szCs w:val="24"/>
        </w:rPr>
        <w:t xml:space="preserve">IAP </w:t>
      </w:r>
      <w:r w:rsidRPr="00D12646">
        <w:rPr>
          <w:rFonts w:cs="Arial"/>
          <w:sz w:val="24"/>
          <w:szCs w:val="24"/>
        </w:rPr>
        <w:t>survey results</w:t>
      </w:r>
    </w:p>
    <w:p w:rsidR="00810008" w:rsidRPr="00D12646" w:rsidRDefault="00810008" w:rsidP="00C67BF0">
      <w:pPr>
        <w:tabs>
          <w:tab w:val="right" w:leader="dot" w:pos="9645"/>
        </w:tabs>
        <w:spacing w:after="0" w:line="240" w:lineRule="auto"/>
        <w:contextualSpacing/>
        <w:rPr>
          <w:rFonts w:cs="Arial"/>
          <w:sz w:val="24"/>
          <w:szCs w:val="24"/>
        </w:rPr>
      </w:pPr>
      <w:r w:rsidRPr="00830486">
        <w:rPr>
          <w:rFonts w:cs="Arial"/>
          <w:b/>
          <w:sz w:val="24"/>
          <w:szCs w:val="24"/>
        </w:rPr>
        <w:t>APPENDIX B:</w:t>
      </w:r>
      <w:r w:rsidRPr="00D12646">
        <w:rPr>
          <w:rFonts w:cs="Arial"/>
          <w:sz w:val="24"/>
          <w:szCs w:val="24"/>
        </w:rPr>
        <w:t xml:space="preserve">  Copies of previous ATA submissions</w:t>
      </w:r>
      <w:r w:rsidR="00716492">
        <w:rPr>
          <w:rFonts w:cs="Arial"/>
          <w:sz w:val="24"/>
          <w:szCs w:val="24"/>
        </w:rPr>
        <w:t xml:space="preserve"> and legal advice</w:t>
      </w:r>
    </w:p>
    <w:p w:rsidR="003A4447" w:rsidRPr="00D12646" w:rsidRDefault="003A4447" w:rsidP="00C67BF0">
      <w:pPr>
        <w:spacing w:after="0" w:line="240" w:lineRule="auto"/>
        <w:contextualSpacing/>
        <w:rPr>
          <w:rFonts w:cs="Arial"/>
          <w:sz w:val="24"/>
          <w:szCs w:val="24"/>
        </w:rPr>
      </w:pPr>
    </w:p>
    <w:p w:rsidR="00BD30AC" w:rsidRPr="00D12646" w:rsidRDefault="00BD30AC" w:rsidP="00C67BF0">
      <w:pPr>
        <w:spacing w:after="0" w:line="240" w:lineRule="auto"/>
        <w:contextualSpacing/>
        <w:rPr>
          <w:rFonts w:cs="Arial"/>
          <w:b/>
          <w:sz w:val="24"/>
          <w:szCs w:val="24"/>
        </w:rPr>
      </w:pPr>
      <w:r w:rsidRPr="00D12646">
        <w:rPr>
          <w:rFonts w:cs="Arial"/>
          <w:b/>
          <w:sz w:val="24"/>
          <w:szCs w:val="24"/>
        </w:rPr>
        <w:br w:type="page"/>
      </w:r>
    </w:p>
    <w:p w:rsidR="000C0150" w:rsidRPr="00D44B66" w:rsidRDefault="00D44B66" w:rsidP="00D44B66">
      <w:pPr>
        <w:pStyle w:val="Heading1"/>
        <w:numPr>
          <w:ilvl w:val="0"/>
          <w:numId w:val="0"/>
        </w:numPr>
        <w:ind w:left="360" w:hanging="360"/>
      </w:pPr>
      <w:r>
        <w:t xml:space="preserve">1. </w:t>
      </w:r>
      <w:r w:rsidR="00B97FC5" w:rsidRPr="00B97FC5">
        <w:t>Introduction</w:t>
      </w:r>
    </w:p>
    <w:p w:rsidR="00573A96" w:rsidRDefault="00573A96" w:rsidP="00C67BF0">
      <w:pPr>
        <w:spacing w:after="0" w:line="240" w:lineRule="auto"/>
        <w:contextualSpacing/>
        <w:rPr>
          <w:rFonts w:eastAsia="Times New Roman" w:cs="Times New Roman"/>
        </w:rPr>
      </w:pPr>
    </w:p>
    <w:p w:rsidR="00875C47" w:rsidRPr="000C4003" w:rsidRDefault="00875C47" w:rsidP="00875C47">
      <w:pPr>
        <w:spacing w:after="0" w:line="240" w:lineRule="auto"/>
        <w:contextualSpacing/>
        <w:jc w:val="both"/>
        <w:rPr>
          <w:rFonts w:ascii="Arial" w:eastAsia="Times New Roman" w:hAnsi="Arial" w:cs="Arial"/>
          <w:sz w:val="20"/>
          <w:szCs w:val="20"/>
        </w:rPr>
      </w:pPr>
      <w:r w:rsidRPr="000C4003">
        <w:rPr>
          <w:rFonts w:ascii="Arial" w:eastAsia="Times New Roman" w:hAnsi="Arial" w:cs="Arial"/>
          <w:sz w:val="20"/>
          <w:szCs w:val="20"/>
        </w:rPr>
        <w:t xml:space="preserve">The Australian Trucking Association (ATA) strongly supports heavy vehicle operators who believe telematics </w:t>
      </w:r>
      <w:r w:rsidR="00653A49">
        <w:rPr>
          <w:rFonts w:ascii="Arial" w:eastAsia="Times New Roman" w:hAnsi="Arial" w:cs="Arial"/>
          <w:sz w:val="20"/>
          <w:szCs w:val="20"/>
        </w:rPr>
        <w:t>services are</w:t>
      </w:r>
      <w:r w:rsidRPr="000C4003">
        <w:rPr>
          <w:rFonts w:ascii="Arial" w:eastAsia="Times New Roman" w:hAnsi="Arial" w:cs="Arial"/>
          <w:sz w:val="20"/>
          <w:szCs w:val="20"/>
        </w:rPr>
        <w:t xml:space="preserve"> good for their business and add to their viability</w:t>
      </w:r>
      <w:r w:rsidR="00776627">
        <w:rPr>
          <w:rFonts w:ascii="Arial" w:eastAsia="Times New Roman" w:hAnsi="Arial" w:cs="Arial"/>
          <w:sz w:val="20"/>
          <w:szCs w:val="20"/>
        </w:rPr>
        <w:t>.</w:t>
      </w:r>
      <w:r w:rsidRPr="000C4003">
        <w:rPr>
          <w:rFonts w:ascii="Arial" w:eastAsia="Times New Roman" w:hAnsi="Arial" w:cs="Arial"/>
          <w:sz w:val="20"/>
          <w:szCs w:val="20"/>
        </w:rPr>
        <w:t xml:space="preserve"> However, we note from the outset that such technology is not necessary to run a safe, compliant and viable transport company.</w:t>
      </w:r>
      <w:r w:rsidR="00370038" w:rsidRPr="000C4003">
        <w:rPr>
          <w:rFonts w:ascii="Arial" w:eastAsia="Times New Roman" w:hAnsi="Arial" w:cs="Arial"/>
          <w:sz w:val="20"/>
          <w:szCs w:val="20"/>
        </w:rPr>
        <w:t xml:space="preserve"> Compliance assurance</w:t>
      </w:r>
      <w:r w:rsidR="00410A62">
        <w:rPr>
          <w:rFonts w:ascii="Arial" w:eastAsia="Times New Roman" w:hAnsi="Arial" w:cs="Arial"/>
          <w:sz w:val="20"/>
          <w:szCs w:val="20"/>
        </w:rPr>
        <w:t>, including route compliance assurance,</w:t>
      </w:r>
      <w:r w:rsidR="00370038" w:rsidRPr="000C4003">
        <w:rPr>
          <w:rFonts w:ascii="Arial" w:eastAsia="Times New Roman" w:hAnsi="Arial" w:cs="Arial"/>
          <w:sz w:val="20"/>
          <w:szCs w:val="20"/>
        </w:rPr>
        <w:t xml:space="preserve"> can take many forms.</w:t>
      </w:r>
    </w:p>
    <w:p w:rsidR="00875C47" w:rsidRPr="000C4003" w:rsidRDefault="00875C47" w:rsidP="00937F61">
      <w:pPr>
        <w:spacing w:after="0" w:line="240" w:lineRule="auto"/>
        <w:contextualSpacing/>
        <w:jc w:val="both"/>
        <w:rPr>
          <w:rFonts w:ascii="Arial" w:eastAsia="Times New Roman" w:hAnsi="Arial" w:cs="Arial"/>
          <w:sz w:val="20"/>
          <w:szCs w:val="20"/>
        </w:rPr>
      </w:pPr>
    </w:p>
    <w:p w:rsidR="000C0150" w:rsidRDefault="00ED32B6" w:rsidP="00875C47">
      <w:pPr>
        <w:spacing w:after="0" w:line="240" w:lineRule="auto"/>
        <w:contextualSpacing/>
        <w:rPr>
          <w:rFonts w:ascii="Arial" w:eastAsia="Times New Roman" w:hAnsi="Arial" w:cs="Arial"/>
          <w:sz w:val="20"/>
          <w:szCs w:val="20"/>
        </w:rPr>
      </w:pPr>
      <w:r w:rsidRPr="000C4003">
        <w:rPr>
          <w:rFonts w:ascii="Arial" w:eastAsia="Times New Roman" w:hAnsi="Arial" w:cs="Arial"/>
          <w:sz w:val="20"/>
          <w:szCs w:val="20"/>
        </w:rPr>
        <w:t>In June 2013</w:t>
      </w:r>
      <w:r w:rsidR="001E1B10" w:rsidRPr="000C4003">
        <w:rPr>
          <w:rFonts w:ascii="Arial" w:eastAsia="Times New Roman" w:hAnsi="Arial" w:cs="Arial"/>
          <w:sz w:val="20"/>
          <w:szCs w:val="20"/>
        </w:rPr>
        <w:t>,</w:t>
      </w:r>
      <w:r w:rsidR="000C0150" w:rsidRPr="000C4003">
        <w:rPr>
          <w:rFonts w:ascii="Arial" w:eastAsia="Times New Roman" w:hAnsi="Arial" w:cs="Arial"/>
          <w:sz w:val="20"/>
          <w:szCs w:val="20"/>
        </w:rPr>
        <w:t xml:space="preserve"> the National Transport Commission (NTC) announced a review of </w:t>
      </w:r>
      <w:r w:rsidR="003B0382">
        <w:rPr>
          <w:rFonts w:ascii="Arial" w:eastAsia="Times New Roman" w:hAnsi="Arial" w:cs="Arial"/>
          <w:sz w:val="20"/>
          <w:szCs w:val="20"/>
        </w:rPr>
        <w:t>the</w:t>
      </w:r>
      <w:r w:rsidR="000C0150" w:rsidRPr="000C4003">
        <w:rPr>
          <w:rFonts w:ascii="Arial" w:eastAsia="Times New Roman" w:hAnsi="Arial" w:cs="Arial"/>
          <w:sz w:val="20"/>
          <w:szCs w:val="20"/>
        </w:rPr>
        <w:t xml:space="preserve"> </w:t>
      </w:r>
      <w:r w:rsidR="000C0150" w:rsidRPr="000C4003">
        <w:rPr>
          <w:rFonts w:ascii="Arial" w:eastAsia="Times New Roman" w:hAnsi="Arial" w:cs="Arial"/>
          <w:i/>
          <w:sz w:val="20"/>
          <w:szCs w:val="20"/>
        </w:rPr>
        <w:t>Intelligent Access Program</w:t>
      </w:r>
      <w:r w:rsidR="000C0150" w:rsidRPr="000C4003">
        <w:rPr>
          <w:rFonts w:ascii="Arial" w:eastAsia="Times New Roman" w:hAnsi="Arial" w:cs="Arial"/>
          <w:sz w:val="20"/>
          <w:szCs w:val="20"/>
        </w:rPr>
        <w:t xml:space="preserve"> (IAP)</w:t>
      </w:r>
      <w:r w:rsidR="00F66E03" w:rsidRPr="000C4003">
        <w:rPr>
          <w:rFonts w:ascii="Arial" w:eastAsia="Times New Roman" w:hAnsi="Arial" w:cs="Arial"/>
          <w:sz w:val="20"/>
          <w:szCs w:val="20"/>
        </w:rPr>
        <w:t xml:space="preserve">. </w:t>
      </w:r>
      <w:r w:rsidR="00D63EFA">
        <w:rPr>
          <w:rFonts w:ascii="Arial" w:eastAsia="Times New Roman" w:hAnsi="Arial" w:cs="Arial"/>
          <w:sz w:val="20"/>
          <w:szCs w:val="20"/>
        </w:rPr>
        <w:t xml:space="preserve">The </w:t>
      </w:r>
      <w:r w:rsidR="00F66E03" w:rsidRPr="000C4003">
        <w:rPr>
          <w:rFonts w:ascii="Arial" w:eastAsia="Times New Roman" w:hAnsi="Arial" w:cs="Arial"/>
          <w:sz w:val="20"/>
          <w:szCs w:val="20"/>
        </w:rPr>
        <w:t xml:space="preserve">NTC </w:t>
      </w:r>
      <w:r w:rsidR="009572E6">
        <w:rPr>
          <w:rFonts w:ascii="Arial" w:eastAsia="Times New Roman" w:hAnsi="Arial" w:cs="Arial"/>
          <w:sz w:val="20"/>
          <w:szCs w:val="20"/>
        </w:rPr>
        <w:t>announced</w:t>
      </w:r>
      <w:r w:rsidR="001E47DA" w:rsidRPr="000C4003">
        <w:rPr>
          <w:rFonts w:ascii="Arial" w:eastAsia="Times New Roman" w:hAnsi="Arial" w:cs="Arial"/>
          <w:sz w:val="20"/>
          <w:szCs w:val="20"/>
        </w:rPr>
        <w:t xml:space="preserve"> th</w:t>
      </w:r>
      <w:r w:rsidR="009572E6">
        <w:rPr>
          <w:rFonts w:ascii="Arial" w:eastAsia="Times New Roman" w:hAnsi="Arial" w:cs="Arial"/>
          <w:sz w:val="20"/>
          <w:szCs w:val="20"/>
        </w:rPr>
        <w:t>is</w:t>
      </w:r>
      <w:r w:rsidR="001E47DA" w:rsidRPr="000C4003">
        <w:rPr>
          <w:rFonts w:ascii="Arial" w:eastAsia="Times New Roman" w:hAnsi="Arial" w:cs="Arial"/>
          <w:sz w:val="20"/>
          <w:szCs w:val="20"/>
        </w:rPr>
        <w:t xml:space="preserve"> review </w:t>
      </w:r>
      <w:r w:rsidR="000C0150" w:rsidRPr="000C4003">
        <w:rPr>
          <w:rFonts w:ascii="Arial" w:eastAsia="Times New Roman" w:hAnsi="Arial" w:cs="Arial"/>
          <w:sz w:val="20"/>
          <w:szCs w:val="20"/>
        </w:rPr>
        <w:t>will:</w:t>
      </w:r>
    </w:p>
    <w:p w:rsidR="00776627" w:rsidRPr="000C4003" w:rsidRDefault="00776627" w:rsidP="00875C47">
      <w:pPr>
        <w:spacing w:after="0" w:line="240" w:lineRule="auto"/>
        <w:contextualSpacing/>
        <w:rPr>
          <w:rFonts w:ascii="Arial" w:eastAsia="Times New Roman" w:hAnsi="Arial" w:cs="Arial"/>
          <w:sz w:val="20"/>
          <w:szCs w:val="20"/>
        </w:rPr>
      </w:pPr>
    </w:p>
    <w:p w:rsidR="000C0150" w:rsidRPr="000C4003" w:rsidRDefault="004D0642" w:rsidP="00937F61">
      <w:pPr>
        <w:numPr>
          <w:ilvl w:val="0"/>
          <w:numId w:val="2"/>
        </w:numPr>
        <w:spacing w:after="0" w:line="240" w:lineRule="auto"/>
        <w:ind w:hanging="720"/>
        <w:contextualSpacing/>
        <w:jc w:val="both"/>
        <w:rPr>
          <w:rFonts w:eastAsia="Times New Roman" w:cs="Arial"/>
          <w:i/>
          <w:sz w:val="20"/>
          <w:szCs w:val="20"/>
        </w:rPr>
      </w:pPr>
      <w:r>
        <w:rPr>
          <w:rFonts w:eastAsia="Times New Roman" w:cs="Arial"/>
          <w:i/>
          <w:sz w:val="20"/>
          <w:szCs w:val="20"/>
        </w:rPr>
        <w:t>E</w:t>
      </w:r>
      <w:r w:rsidR="000C0150" w:rsidRPr="000C4003">
        <w:rPr>
          <w:rFonts w:eastAsia="Times New Roman" w:cs="Arial"/>
          <w:i/>
          <w:sz w:val="20"/>
          <w:szCs w:val="20"/>
        </w:rPr>
        <w:t>valuate whether implementation of the IAP has achieved the intended outcomes</w:t>
      </w:r>
      <w:r w:rsidR="00ED32B6" w:rsidRPr="000C4003">
        <w:rPr>
          <w:rFonts w:eastAsia="Times New Roman" w:cs="Arial"/>
          <w:i/>
          <w:sz w:val="20"/>
          <w:szCs w:val="20"/>
        </w:rPr>
        <w:t xml:space="preserve"> </w:t>
      </w:r>
      <w:r w:rsidR="000C0150" w:rsidRPr="000C4003">
        <w:rPr>
          <w:rFonts w:eastAsia="Times New Roman" w:cs="Arial"/>
          <w:i/>
          <w:sz w:val="20"/>
          <w:szCs w:val="20"/>
        </w:rPr>
        <w:t>specified in the original proposal for the program in 2005; and</w:t>
      </w:r>
    </w:p>
    <w:p w:rsidR="00573A96" w:rsidRPr="000C4003" w:rsidRDefault="00573A96" w:rsidP="00937F61">
      <w:pPr>
        <w:spacing w:after="0" w:line="240" w:lineRule="auto"/>
        <w:contextualSpacing/>
        <w:jc w:val="both"/>
        <w:rPr>
          <w:rFonts w:eastAsia="Times New Roman" w:cs="Arial"/>
          <w:i/>
          <w:sz w:val="20"/>
          <w:szCs w:val="20"/>
        </w:rPr>
      </w:pPr>
    </w:p>
    <w:p w:rsidR="000C0150" w:rsidRPr="000C4003" w:rsidRDefault="004D0642" w:rsidP="00937F61">
      <w:pPr>
        <w:numPr>
          <w:ilvl w:val="0"/>
          <w:numId w:val="2"/>
        </w:numPr>
        <w:spacing w:after="0" w:line="240" w:lineRule="auto"/>
        <w:ind w:hanging="720"/>
        <w:contextualSpacing/>
        <w:jc w:val="both"/>
        <w:rPr>
          <w:rFonts w:cs="Arial"/>
          <w:i/>
          <w:sz w:val="20"/>
          <w:szCs w:val="20"/>
        </w:rPr>
      </w:pPr>
      <w:r>
        <w:rPr>
          <w:rFonts w:eastAsia="Times New Roman" w:cs="Arial"/>
          <w:i/>
          <w:sz w:val="20"/>
          <w:szCs w:val="20"/>
        </w:rPr>
        <w:t>E</w:t>
      </w:r>
      <w:r w:rsidR="000C0150" w:rsidRPr="000C4003">
        <w:rPr>
          <w:rFonts w:eastAsia="Times New Roman" w:cs="Arial"/>
          <w:i/>
          <w:sz w:val="20"/>
          <w:szCs w:val="20"/>
        </w:rPr>
        <w:t>xamine application of the IAP as a condition for road access by states and territory road agencies, in relation to the original proposal.</w:t>
      </w:r>
    </w:p>
    <w:p w:rsidR="00B61B0A" w:rsidRPr="000C4003" w:rsidRDefault="00B61B0A" w:rsidP="00937F61">
      <w:pPr>
        <w:pStyle w:val="Normal-paras"/>
        <w:spacing w:after="0"/>
        <w:contextualSpacing/>
        <w:rPr>
          <w:rFonts w:ascii="Arial" w:hAnsi="Arial" w:cs="Arial"/>
          <w:sz w:val="20"/>
          <w:lang w:val="en-AU"/>
        </w:rPr>
      </w:pPr>
      <w:bookmarkStart w:id="0" w:name="_Toc363646942"/>
    </w:p>
    <w:p w:rsidR="00A82BE9" w:rsidRDefault="00B61B0A" w:rsidP="00EF7619">
      <w:pPr>
        <w:pStyle w:val="Normal-paras"/>
        <w:spacing w:after="0"/>
        <w:contextualSpacing/>
        <w:rPr>
          <w:rFonts w:ascii="Arial" w:hAnsi="Arial" w:cs="Arial"/>
          <w:sz w:val="20"/>
          <w:lang w:val="en-AU"/>
        </w:rPr>
      </w:pPr>
      <w:r w:rsidRPr="000C4003">
        <w:rPr>
          <w:rFonts w:ascii="Arial" w:hAnsi="Arial" w:cs="Arial"/>
          <w:sz w:val="20"/>
          <w:lang w:val="en-AU"/>
        </w:rPr>
        <w:t xml:space="preserve">In 2005, the NTC released a Regulatory Impact Statement </w:t>
      </w:r>
      <w:r w:rsidR="000E2B9B" w:rsidRPr="000C4003">
        <w:rPr>
          <w:rFonts w:ascii="Arial" w:hAnsi="Arial" w:cs="Arial"/>
          <w:sz w:val="20"/>
          <w:lang w:val="en-AU"/>
        </w:rPr>
        <w:t xml:space="preserve">(RIS) </w:t>
      </w:r>
      <w:r w:rsidRPr="000C4003">
        <w:rPr>
          <w:rFonts w:ascii="Arial" w:hAnsi="Arial" w:cs="Arial"/>
          <w:sz w:val="20"/>
          <w:lang w:val="en-AU"/>
        </w:rPr>
        <w:t xml:space="preserve">for Stage 1 of </w:t>
      </w:r>
      <w:r w:rsidR="00A82BE9" w:rsidRPr="000C4003">
        <w:rPr>
          <w:rFonts w:ascii="Arial" w:hAnsi="Arial" w:cs="Arial"/>
          <w:sz w:val="20"/>
          <w:lang w:val="en-AU"/>
        </w:rPr>
        <w:t>Intelligent Access Program</w:t>
      </w:r>
      <w:r w:rsidRPr="000C4003">
        <w:rPr>
          <w:rFonts w:ascii="Arial" w:hAnsi="Arial" w:cs="Arial"/>
          <w:sz w:val="20"/>
          <w:lang w:val="en-AU"/>
        </w:rPr>
        <w:t xml:space="preserve"> </w:t>
      </w:r>
      <w:r w:rsidR="00F775F5">
        <w:rPr>
          <w:rFonts w:ascii="Arial" w:hAnsi="Arial" w:cs="Arial"/>
          <w:sz w:val="20"/>
          <w:lang w:val="en-AU"/>
        </w:rPr>
        <w:t>I</w:t>
      </w:r>
      <w:r w:rsidRPr="000C4003">
        <w:rPr>
          <w:rFonts w:ascii="Arial" w:hAnsi="Arial" w:cs="Arial"/>
          <w:sz w:val="20"/>
          <w:lang w:val="en-AU"/>
        </w:rPr>
        <w:t xml:space="preserve">mplementation. </w:t>
      </w:r>
      <w:r w:rsidR="00C51884" w:rsidRPr="000C4003">
        <w:rPr>
          <w:rFonts w:ascii="Arial" w:hAnsi="Arial" w:cs="Arial"/>
          <w:sz w:val="20"/>
          <w:lang w:val="en-AU"/>
        </w:rPr>
        <w:t>Th</w:t>
      </w:r>
      <w:r w:rsidR="001A03D5">
        <w:rPr>
          <w:rFonts w:ascii="Arial" w:hAnsi="Arial" w:cs="Arial"/>
          <w:sz w:val="20"/>
          <w:lang w:val="en-AU"/>
        </w:rPr>
        <w:t>e</w:t>
      </w:r>
      <w:r w:rsidR="00C51884" w:rsidRPr="000C4003">
        <w:rPr>
          <w:rFonts w:ascii="Arial" w:hAnsi="Arial" w:cs="Arial"/>
          <w:sz w:val="20"/>
          <w:lang w:val="en-AU"/>
        </w:rPr>
        <w:t xml:space="preserve"> RIS followed </w:t>
      </w:r>
      <w:r w:rsidR="001A03D5">
        <w:rPr>
          <w:rFonts w:ascii="Arial" w:hAnsi="Arial" w:cs="Arial"/>
          <w:sz w:val="20"/>
          <w:lang w:val="en-AU"/>
        </w:rPr>
        <w:t>a</w:t>
      </w:r>
      <w:r w:rsidR="00B026D8" w:rsidRPr="000C4003">
        <w:rPr>
          <w:rFonts w:ascii="Arial" w:hAnsi="Arial" w:cs="Arial"/>
          <w:sz w:val="20"/>
          <w:lang w:val="en-AU"/>
        </w:rPr>
        <w:t xml:space="preserve"> </w:t>
      </w:r>
      <w:r w:rsidR="0008252D" w:rsidRPr="000C4003">
        <w:rPr>
          <w:rFonts w:ascii="Arial" w:hAnsi="Arial" w:cs="Arial"/>
          <w:sz w:val="20"/>
          <w:lang w:val="en-AU"/>
        </w:rPr>
        <w:t>rigorous</w:t>
      </w:r>
      <w:r w:rsidR="001E47DA" w:rsidRPr="000C4003">
        <w:rPr>
          <w:rFonts w:ascii="Arial" w:hAnsi="Arial" w:cs="Arial"/>
          <w:sz w:val="20"/>
          <w:lang w:val="en-AU"/>
        </w:rPr>
        <w:t xml:space="preserve"> </w:t>
      </w:r>
      <w:r w:rsidR="00C51884" w:rsidRPr="000C4003">
        <w:rPr>
          <w:rFonts w:ascii="Arial" w:hAnsi="Arial" w:cs="Arial"/>
          <w:sz w:val="20"/>
          <w:lang w:val="en-AU"/>
        </w:rPr>
        <w:t xml:space="preserve">2003 </w:t>
      </w:r>
      <w:r w:rsidR="001E47DA" w:rsidRPr="000C4003">
        <w:rPr>
          <w:rFonts w:ascii="Arial" w:hAnsi="Arial" w:cs="Arial"/>
          <w:sz w:val="20"/>
          <w:lang w:val="en-AU"/>
        </w:rPr>
        <w:t xml:space="preserve">Austroads </w:t>
      </w:r>
      <w:r w:rsidR="00C51884" w:rsidRPr="000C4003">
        <w:rPr>
          <w:rFonts w:ascii="Arial" w:hAnsi="Arial" w:cs="Arial"/>
          <w:sz w:val="20"/>
          <w:lang w:val="en-AU"/>
        </w:rPr>
        <w:t>I</w:t>
      </w:r>
      <w:r w:rsidR="00A93804" w:rsidRPr="000C4003">
        <w:rPr>
          <w:rFonts w:ascii="Arial" w:hAnsi="Arial" w:cs="Arial"/>
          <w:sz w:val="20"/>
          <w:lang w:val="en-AU"/>
        </w:rPr>
        <w:t xml:space="preserve">ntelligent </w:t>
      </w:r>
      <w:r w:rsidR="00C51884" w:rsidRPr="000C4003">
        <w:rPr>
          <w:rFonts w:ascii="Arial" w:hAnsi="Arial" w:cs="Arial"/>
          <w:sz w:val="20"/>
          <w:lang w:val="en-AU"/>
        </w:rPr>
        <w:t>A</w:t>
      </w:r>
      <w:r w:rsidR="00A93804" w:rsidRPr="000C4003">
        <w:rPr>
          <w:rFonts w:ascii="Arial" w:hAnsi="Arial" w:cs="Arial"/>
          <w:sz w:val="20"/>
          <w:lang w:val="en-AU"/>
        </w:rPr>
        <w:t>ccess</w:t>
      </w:r>
      <w:r w:rsidR="00C51884" w:rsidRPr="000C4003">
        <w:rPr>
          <w:rFonts w:ascii="Arial" w:hAnsi="Arial" w:cs="Arial"/>
          <w:sz w:val="20"/>
          <w:lang w:val="en-AU"/>
        </w:rPr>
        <w:t xml:space="preserve"> Feasibility Project.</w:t>
      </w:r>
      <w:r w:rsidR="00977310" w:rsidRPr="000C4003">
        <w:rPr>
          <w:rFonts w:ascii="Arial" w:hAnsi="Arial" w:cs="Arial"/>
          <w:sz w:val="20"/>
          <w:lang w:val="en-AU"/>
        </w:rPr>
        <w:t xml:space="preserve"> In both</w:t>
      </w:r>
      <w:r w:rsidR="001E47DA" w:rsidRPr="000C4003">
        <w:rPr>
          <w:rFonts w:ascii="Arial" w:hAnsi="Arial" w:cs="Arial"/>
          <w:sz w:val="20"/>
          <w:lang w:val="en-AU"/>
        </w:rPr>
        <w:t xml:space="preserve"> </w:t>
      </w:r>
      <w:r w:rsidR="00A53012">
        <w:rPr>
          <w:rFonts w:ascii="Arial" w:hAnsi="Arial" w:cs="Arial"/>
          <w:sz w:val="20"/>
          <w:lang w:val="en-AU"/>
        </w:rPr>
        <w:t>proposals,</w:t>
      </w:r>
      <w:r w:rsidR="00A53012" w:rsidRPr="000C4003">
        <w:rPr>
          <w:rFonts w:ascii="Arial" w:hAnsi="Arial" w:cs="Arial"/>
          <w:sz w:val="20"/>
          <w:lang w:val="en-AU"/>
        </w:rPr>
        <w:t xml:space="preserve"> </w:t>
      </w:r>
      <w:r w:rsidR="001D2C2B">
        <w:rPr>
          <w:rFonts w:ascii="Arial" w:hAnsi="Arial" w:cs="Arial"/>
          <w:sz w:val="20"/>
          <w:lang w:val="en-AU"/>
        </w:rPr>
        <w:t xml:space="preserve">the </w:t>
      </w:r>
      <w:r w:rsidRPr="000C4003">
        <w:rPr>
          <w:rFonts w:ascii="Arial" w:hAnsi="Arial" w:cs="Arial"/>
          <w:sz w:val="20"/>
          <w:lang w:val="en-AU"/>
        </w:rPr>
        <w:t xml:space="preserve">IAP </w:t>
      </w:r>
      <w:r w:rsidR="00875C47" w:rsidRPr="000C4003">
        <w:rPr>
          <w:rFonts w:ascii="Arial" w:hAnsi="Arial" w:cs="Arial"/>
          <w:sz w:val="20"/>
          <w:lang w:val="en-AU"/>
        </w:rPr>
        <w:t>was</w:t>
      </w:r>
      <w:r w:rsidRPr="000C4003">
        <w:rPr>
          <w:rFonts w:ascii="Arial" w:hAnsi="Arial" w:cs="Arial"/>
          <w:sz w:val="20"/>
          <w:lang w:val="en-AU"/>
        </w:rPr>
        <w:t xml:space="preserve"> deemed </w:t>
      </w:r>
      <w:r w:rsidR="003768BB" w:rsidRPr="000C4003">
        <w:rPr>
          <w:rFonts w:ascii="Arial" w:hAnsi="Arial" w:cs="Arial"/>
          <w:sz w:val="20"/>
          <w:lang w:val="en-AU"/>
        </w:rPr>
        <w:t>‘</w:t>
      </w:r>
      <w:r w:rsidRPr="000C4003">
        <w:rPr>
          <w:rFonts w:ascii="Arial" w:hAnsi="Arial" w:cs="Arial"/>
          <w:sz w:val="20"/>
          <w:lang w:val="en-AU"/>
        </w:rPr>
        <w:t>viable</w:t>
      </w:r>
      <w:r w:rsidR="003768BB" w:rsidRPr="000C4003">
        <w:rPr>
          <w:rFonts w:ascii="Arial" w:hAnsi="Arial" w:cs="Arial"/>
          <w:sz w:val="20"/>
          <w:lang w:val="en-AU"/>
        </w:rPr>
        <w:t>’</w:t>
      </w:r>
      <w:r w:rsidR="004826F2" w:rsidRPr="000C4003">
        <w:rPr>
          <w:rFonts w:ascii="Arial" w:hAnsi="Arial" w:cs="Arial"/>
          <w:sz w:val="20"/>
          <w:lang w:val="en-AU"/>
        </w:rPr>
        <w:t xml:space="preserve"> </w:t>
      </w:r>
      <w:r w:rsidR="001E47DA" w:rsidRPr="000C4003">
        <w:rPr>
          <w:rFonts w:ascii="Arial" w:hAnsi="Arial" w:cs="Arial"/>
          <w:sz w:val="20"/>
          <w:lang w:val="en-AU"/>
        </w:rPr>
        <w:t xml:space="preserve">and </w:t>
      </w:r>
      <w:r w:rsidR="00875C47" w:rsidRPr="000C4003">
        <w:rPr>
          <w:rFonts w:ascii="Arial" w:hAnsi="Arial" w:cs="Arial"/>
          <w:sz w:val="20"/>
          <w:lang w:val="en-AU"/>
        </w:rPr>
        <w:t>a</w:t>
      </w:r>
      <w:r w:rsidR="009E0354" w:rsidRPr="000C4003">
        <w:rPr>
          <w:rFonts w:ascii="Arial" w:hAnsi="Arial" w:cs="Arial"/>
          <w:sz w:val="20"/>
          <w:lang w:val="en-AU"/>
        </w:rPr>
        <w:t xml:space="preserve"> key</w:t>
      </w:r>
      <w:r w:rsidR="00977310" w:rsidRPr="000C4003">
        <w:rPr>
          <w:rFonts w:ascii="Arial" w:hAnsi="Arial" w:cs="Arial"/>
          <w:sz w:val="20"/>
          <w:lang w:val="en-AU"/>
        </w:rPr>
        <w:t xml:space="preserve"> outcome</w:t>
      </w:r>
      <w:r w:rsidR="00523A51" w:rsidRPr="000C4003">
        <w:rPr>
          <w:rFonts w:ascii="Arial" w:hAnsi="Arial" w:cs="Arial"/>
          <w:sz w:val="20"/>
          <w:lang w:val="en-AU"/>
        </w:rPr>
        <w:t xml:space="preserve"> for road </w:t>
      </w:r>
      <w:r w:rsidR="00B026D8" w:rsidRPr="000C4003">
        <w:rPr>
          <w:rFonts w:ascii="Arial" w:hAnsi="Arial" w:cs="Arial"/>
          <w:sz w:val="20"/>
          <w:lang w:val="en-AU"/>
        </w:rPr>
        <w:t>managers</w:t>
      </w:r>
      <w:r w:rsidR="00977310" w:rsidRPr="000C4003">
        <w:rPr>
          <w:rFonts w:ascii="Arial" w:hAnsi="Arial" w:cs="Arial"/>
          <w:sz w:val="20"/>
          <w:lang w:val="en-AU"/>
        </w:rPr>
        <w:t xml:space="preserve"> </w:t>
      </w:r>
      <w:r w:rsidR="00875C47" w:rsidRPr="000C4003">
        <w:rPr>
          <w:rFonts w:ascii="Arial" w:hAnsi="Arial" w:cs="Arial"/>
          <w:sz w:val="20"/>
          <w:lang w:val="en-AU"/>
        </w:rPr>
        <w:t>was</w:t>
      </w:r>
      <w:r w:rsidRPr="000C4003">
        <w:rPr>
          <w:rFonts w:ascii="Arial" w:hAnsi="Arial" w:cs="Arial"/>
          <w:sz w:val="20"/>
          <w:lang w:val="en-AU"/>
        </w:rPr>
        <w:t>:</w:t>
      </w:r>
    </w:p>
    <w:p w:rsidR="001A03D5" w:rsidRPr="00776627" w:rsidRDefault="001A03D5" w:rsidP="00EF7619">
      <w:pPr>
        <w:pStyle w:val="Normal-paras"/>
        <w:spacing w:after="0"/>
        <w:contextualSpacing/>
        <w:rPr>
          <w:rFonts w:ascii="Arial" w:hAnsi="Arial" w:cs="Arial"/>
          <w:sz w:val="22"/>
          <w:szCs w:val="22"/>
          <w:lang w:val="en-AU"/>
        </w:rPr>
      </w:pPr>
    </w:p>
    <w:p w:rsidR="00B61B0A" w:rsidRPr="000C4003" w:rsidRDefault="00B52827" w:rsidP="00B52827">
      <w:pPr>
        <w:pStyle w:val="Normal-paras"/>
        <w:spacing w:after="0"/>
        <w:contextualSpacing/>
        <w:jc w:val="left"/>
        <w:rPr>
          <w:rFonts w:asciiTheme="minorHAnsi" w:hAnsiTheme="minorHAnsi" w:cs="Arial"/>
          <w:i/>
          <w:sz w:val="20"/>
          <w:lang w:val="en-AU"/>
        </w:rPr>
      </w:pPr>
      <w:r>
        <w:rPr>
          <w:rFonts w:asciiTheme="minorHAnsi" w:hAnsiTheme="minorHAnsi" w:cs="Arial"/>
          <w:i/>
          <w:sz w:val="20"/>
          <w:lang w:val="en-AU"/>
        </w:rPr>
        <w:t>“</w:t>
      </w:r>
      <w:r w:rsidRPr="00B52827">
        <w:rPr>
          <w:rFonts w:asciiTheme="minorHAnsi" w:hAnsiTheme="minorHAnsi" w:cs="Arial"/>
          <w:i/>
          <w:sz w:val="20"/>
          <w:lang w:val="en-AU"/>
        </w:rPr>
        <w:t>The IAP is a voluntary program that jurisdictions will be able to utilise as an operating condition to schemes, permits or applications that provide improved heavy vehicle utilisation. It is intended to guarantee levels of compliance that will afford jurisdictions the confidence to offer specific regulatory concessions.</w:t>
      </w:r>
      <w:r>
        <w:rPr>
          <w:rFonts w:asciiTheme="minorHAnsi" w:hAnsiTheme="minorHAnsi" w:cs="Arial"/>
          <w:i/>
          <w:sz w:val="20"/>
          <w:lang w:val="en-AU"/>
        </w:rPr>
        <w:t>”</w:t>
      </w:r>
      <w:r w:rsidR="00F775F5">
        <w:rPr>
          <w:rFonts w:asciiTheme="minorHAnsi" w:hAnsiTheme="minorHAnsi" w:cs="Arial"/>
          <w:i/>
          <w:sz w:val="20"/>
          <w:lang w:val="en-AU"/>
        </w:rPr>
        <w:t xml:space="preserve"> (Foreword, RIS)</w:t>
      </w:r>
    </w:p>
    <w:p w:rsidR="00A82BE9" w:rsidRPr="000C4003" w:rsidRDefault="00A82BE9" w:rsidP="00C67BF0">
      <w:pPr>
        <w:pStyle w:val="Normal-paras"/>
        <w:spacing w:after="0"/>
        <w:contextualSpacing/>
        <w:jc w:val="left"/>
        <w:rPr>
          <w:rFonts w:ascii="Arial" w:hAnsi="Arial" w:cs="Arial"/>
          <w:i/>
          <w:sz w:val="20"/>
          <w:lang w:val="en-AU"/>
        </w:rPr>
      </w:pPr>
    </w:p>
    <w:p w:rsidR="00B61B0A" w:rsidRPr="000C4003" w:rsidRDefault="00B61B0A" w:rsidP="001E712A">
      <w:pPr>
        <w:spacing w:after="0" w:line="240" w:lineRule="auto"/>
        <w:contextualSpacing/>
        <w:jc w:val="both"/>
        <w:rPr>
          <w:rFonts w:ascii="Arial" w:hAnsi="Arial" w:cs="Arial"/>
          <w:sz w:val="20"/>
          <w:szCs w:val="20"/>
        </w:rPr>
      </w:pPr>
      <w:r w:rsidRPr="006F128C">
        <w:rPr>
          <w:rFonts w:ascii="Arial" w:hAnsi="Arial" w:cs="Arial"/>
          <w:sz w:val="20"/>
          <w:szCs w:val="20"/>
        </w:rPr>
        <w:t xml:space="preserve">Transport Certification </w:t>
      </w:r>
      <w:r w:rsidR="00BF5F50" w:rsidRPr="006F128C">
        <w:rPr>
          <w:rFonts w:ascii="Arial" w:hAnsi="Arial" w:cs="Arial"/>
          <w:sz w:val="20"/>
          <w:szCs w:val="20"/>
        </w:rPr>
        <w:t>Australia</w:t>
      </w:r>
      <w:r w:rsidRPr="006F128C">
        <w:rPr>
          <w:rFonts w:ascii="Arial" w:hAnsi="Arial" w:cs="Arial"/>
          <w:sz w:val="20"/>
          <w:szCs w:val="20"/>
        </w:rPr>
        <w:t xml:space="preserve"> (TCA)</w:t>
      </w:r>
      <w:r w:rsidR="006B714A" w:rsidRPr="000C4003">
        <w:rPr>
          <w:rFonts w:ascii="Arial" w:hAnsi="Arial" w:cs="Arial"/>
          <w:sz w:val="20"/>
          <w:szCs w:val="20"/>
        </w:rPr>
        <w:t xml:space="preserve"> was</w:t>
      </w:r>
      <w:r w:rsidRPr="000C4003">
        <w:rPr>
          <w:rFonts w:ascii="Arial" w:hAnsi="Arial" w:cs="Arial"/>
          <w:sz w:val="20"/>
          <w:szCs w:val="20"/>
        </w:rPr>
        <w:t xml:space="preserve"> registered in 2005 as a public company limited by guarantee and </w:t>
      </w:r>
      <w:r w:rsidR="00DB386D">
        <w:rPr>
          <w:rFonts w:ascii="Arial" w:hAnsi="Arial" w:cs="Arial"/>
          <w:sz w:val="20"/>
          <w:szCs w:val="20"/>
        </w:rPr>
        <w:t xml:space="preserve">a </w:t>
      </w:r>
      <w:r w:rsidRPr="000C4003">
        <w:rPr>
          <w:rFonts w:ascii="Arial" w:hAnsi="Arial" w:cs="Arial"/>
          <w:sz w:val="20"/>
          <w:szCs w:val="20"/>
        </w:rPr>
        <w:t>fully owned government organisation</w:t>
      </w:r>
      <w:r w:rsidR="004C5C97" w:rsidRPr="000C4003">
        <w:rPr>
          <w:rFonts w:ascii="Arial" w:hAnsi="Arial" w:cs="Arial"/>
          <w:sz w:val="20"/>
          <w:szCs w:val="20"/>
        </w:rPr>
        <w:t>. Its</w:t>
      </w:r>
      <w:r w:rsidR="001A51B8" w:rsidRPr="000C4003">
        <w:rPr>
          <w:rFonts w:ascii="Arial" w:hAnsi="Arial" w:cs="Arial"/>
          <w:sz w:val="20"/>
          <w:szCs w:val="20"/>
        </w:rPr>
        <w:t xml:space="preserve"> </w:t>
      </w:r>
      <w:r w:rsidRPr="000C4003">
        <w:rPr>
          <w:rFonts w:ascii="Arial" w:hAnsi="Arial" w:cs="Arial"/>
          <w:sz w:val="20"/>
          <w:szCs w:val="20"/>
        </w:rPr>
        <w:t>owners (members)</w:t>
      </w:r>
      <w:r w:rsidR="001A51B8" w:rsidRPr="000C4003">
        <w:rPr>
          <w:rFonts w:ascii="Arial" w:hAnsi="Arial" w:cs="Arial"/>
          <w:sz w:val="20"/>
          <w:szCs w:val="20"/>
        </w:rPr>
        <w:t xml:space="preserve"> </w:t>
      </w:r>
      <w:r w:rsidRPr="000C4003">
        <w:rPr>
          <w:rFonts w:ascii="Arial" w:hAnsi="Arial" w:cs="Arial"/>
          <w:sz w:val="20"/>
          <w:szCs w:val="20"/>
        </w:rPr>
        <w:t xml:space="preserve">remain the Commonwealth, </w:t>
      </w:r>
      <w:r w:rsidR="006B714A" w:rsidRPr="000C4003">
        <w:rPr>
          <w:rFonts w:ascii="Arial" w:hAnsi="Arial" w:cs="Arial"/>
          <w:sz w:val="20"/>
          <w:szCs w:val="20"/>
        </w:rPr>
        <w:t>s</w:t>
      </w:r>
      <w:r w:rsidRPr="000C4003">
        <w:rPr>
          <w:rFonts w:ascii="Arial" w:hAnsi="Arial" w:cs="Arial"/>
          <w:sz w:val="20"/>
          <w:szCs w:val="20"/>
        </w:rPr>
        <w:t>tate</w:t>
      </w:r>
      <w:r w:rsidR="00A21A40" w:rsidRPr="000C4003">
        <w:rPr>
          <w:rFonts w:ascii="Arial" w:hAnsi="Arial" w:cs="Arial"/>
          <w:sz w:val="20"/>
          <w:szCs w:val="20"/>
        </w:rPr>
        <w:t>s</w:t>
      </w:r>
      <w:r w:rsidRPr="000C4003">
        <w:rPr>
          <w:rFonts w:ascii="Arial" w:hAnsi="Arial" w:cs="Arial"/>
          <w:sz w:val="20"/>
          <w:szCs w:val="20"/>
        </w:rPr>
        <w:t xml:space="preserve"> and </w:t>
      </w:r>
      <w:r w:rsidR="006B714A" w:rsidRPr="000C4003">
        <w:rPr>
          <w:rFonts w:ascii="Arial" w:hAnsi="Arial" w:cs="Arial"/>
          <w:sz w:val="20"/>
          <w:szCs w:val="20"/>
        </w:rPr>
        <w:t>t</w:t>
      </w:r>
      <w:r w:rsidR="00A21A40" w:rsidRPr="000C4003">
        <w:rPr>
          <w:rFonts w:ascii="Arial" w:hAnsi="Arial" w:cs="Arial"/>
          <w:sz w:val="20"/>
          <w:szCs w:val="20"/>
        </w:rPr>
        <w:t>erritories</w:t>
      </w:r>
      <w:r w:rsidRPr="000C4003">
        <w:rPr>
          <w:rFonts w:ascii="Arial" w:hAnsi="Arial" w:cs="Arial"/>
          <w:sz w:val="20"/>
          <w:szCs w:val="20"/>
        </w:rPr>
        <w:t xml:space="preserve">. </w:t>
      </w:r>
      <w:r w:rsidR="00A21A40" w:rsidRPr="000C4003">
        <w:rPr>
          <w:rFonts w:ascii="Arial" w:hAnsi="Arial" w:cs="Arial"/>
          <w:sz w:val="20"/>
          <w:szCs w:val="20"/>
        </w:rPr>
        <w:t>While</w:t>
      </w:r>
      <w:r w:rsidRPr="000C4003">
        <w:rPr>
          <w:rFonts w:ascii="Arial" w:hAnsi="Arial" w:cs="Arial"/>
          <w:sz w:val="20"/>
          <w:szCs w:val="20"/>
        </w:rPr>
        <w:t xml:space="preserve"> TCA </w:t>
      </w:r>
      <w:r w:rsidR="00523A51" w:rsidRPr="000C4003">
        <w:rPr>
          <w:rFonts w:ascii="Arial" w:hAnsi="Arial" w:cs="Arial"/>
          <w:sz w:val="20"/>
          <w:szCs w:val="20"/>
        </w:rPr>
        <w:t>administered</w:t>
      </w:r>
      <w:r w:rsidR="006B714A" w:rsidRPr="000C4003">
        <w:rPr>
          <w:rFonts w:ascii="Arial" w:hAnsi="Arial" w:cs="Arial"/>
          <w:sz w:val="20"/>
          <w:szCs w:val="20"/>
        </w:rPr>
        <w:t xml:space="preserve"> </w:t>
      </w:r>
      <w:r w:rsidR="00523A51" w:rsidRPr="000C4003">
        <w:rPr>
          <w:rFonts w:ascii="Arial" w:hAnsi="Arial" w:cs="Arial"/>
          <w:sz w:val="20"/>
          <w:szCs w:val="20"/>
        </w:rPr>
        <w:t>th</w:t>
      </w:r>
      <w:r w:rsidR="001F28C9" w:rsidRPr="000C4003">
        <w:rPr>
          <w:rFonts w:ascii="Arial" w:hAnsi="Arial" w:cs="Arial"/>
          <w:sz w:val="20"/>
          <w:szCs w:val="20"/>
        </w:rPr>
        <w:t>e</w:t>
      </w:r>
      <w:r w:rsidR="00523A51" w:rsidRPr="000C4003">
        <w:rPr>
          <w:rFonts w:ascii="Arial" w:hAnsi="Arial" w:cs="Arial"/>
          <w:sz w:val="20"/>
          <w:szCs w:val="20"/>
        </w:rPr>
        <w:t xml:space="preserve"> program</w:t>
      </w:r>
      <w:r w:rsidR="004C5C97" w:rsidRPr="000C4003">
        <w:rPr>
          <w:rFonts w:ascii="Arial" w:hAnsi="Arial" w:cs="Arial"/>
          <w:sz w:val="20"/>
          <w:szCs w:val="20"/>
        </w:rPr>
        <w:t xml:space="preserve"> nationa</w:t>
      </w:r>
      <w:r w:rsidR="00523A51" w:rsidRPr="000C4003">
        <w:rPr>
          <w:rFonts w:ascii="Arial" w:hAnsi="Arial" w:cs="Arial"/>
          <w:sz w:val="20"/>
          <w:szCs w:val="20"/>
        </w:rPr>
        <w:t>l</w:t>
      </w:r>
      <w:r w:rsidR="004C5C97" w:rsidRPr="000C4003">
        <w:rPr>
          <w:rFonts w:ascii="Arial" w:hAnsi="Arial" w:cs="Arial"/>
          <w:sz w:val="20"/>
          <w:szCs w:val="20"/>
        </w:rPr>
        <w:t>l</w:t>
      </w:r>
      <w:r w:rsidR="00523A51" w:rsidRPr="000C4003">
        <w:rPr>
          <w:rFonts w:ascii="Arial" w:hAnsi="Arial" w:cs="Arial"/>
          <w:sz w:val="20"/>
          <w:szCs w:val="20"/>
        </w:rPr>
        <w:t>y</w:t>
      </w:r>
      <w:r w:rsidR="00A65112">
        <w:rPr>
          <w:rFonts w:ascii="Arial" w:hAnsi="Arial" w:cs="Arial"/>
          <w:sz w:val="20"/>
          <w:szCs w:val="20"/>
        </w:rPr>
        <w:t>,</w:t>
      </w:r>
      <w:r w:rsidRPr="000C4003">
        <w:rPr>
          <w:rFonts w:ascii="Arial" w:hAnsi="Arial" w:cs="Arial"/>
          <w:sz w:val="20"/>
          <w:szCs w:val="20"/>
        </w:rPr>
        <w:t xml:space="preserve"> including certification of service providers, </w:t>
      </w:r>
      <w:r w:rsidR="00DB386D">
        <w:rPr>
          <w:rFonts w:ascii="Arial" w:hAnsi="Arial" w:cs="Arial"/>
          <w:sz w:val="20"/>
          <w:szCs w:val="20"/>
        </w:rPr>
        <w:t>it was</w:t>
      </w:r>
      <w:r w:rsidR="00DB386D" w:rsidRPr="000C4003">
        <w:rPr>
          <w:rFonts w:ascii="Arial" w:hAnsi="Arial" w:cs="Arial"/>
          <w:sz w:val="20"/>
          <w:szCs w:val="20"/>
        </w:rPr>
        <w:t xml:space="preserve"> intended</w:t>
      </w:r>
      <w:r w:rsidR="00DB386D">
        <w:rPr>
          <w:rFonts w:ascii="Arial" w:hAnsi="Arial" w:cs="Arial"/>
          <w:sz w:val="20"/>
          <w:szCs w:val="20"/>
        </w:rPr>
        <w:t xml:space="preserve"> that</w:t>
      </w:r>
      <w:r w:rsidR="00DB386D" w:rsidRPr="000C4003">
        <w:rPr>
          <w:rFonts w:ascii="Arial" w:hAnsi="Arial" w:cs="Arial"/>
          <w:sz w:val="20"/>
          <w:szCs w:val="20"/>
        </w:rPr>
        <w:t xml:space="preserve"> </w:t>
      </w:r>
      <w:r w:rsidRPr="000C4003">
        <w:rPr>
          <w:rFonts w:ascii="Arial" w:hAnsi="Arial" w:cs="Arial"/>
          <w:sz w:val="20"/>
          <w:szCs w:val="20"/>
        </w:rPr>
        <w:t xml:space="preserve">jurisdictions </w:t>
      </w:r>
      <w:r w:rsidR="004D0642">
        <w:rPr>
          <w:rFonts w:ascii="Arial" w:hAnsi="Arial" w:cs="Arial"/>
          <w:sz w:val="20"/>
          <w:szCs w:val="20"/>
        </w:rPr>
        <w:t>would</w:t>
      </w:r>
      <w:r w:rsidRPr="000C4003">
        <w:rPr>
          <w:rFonts w:ascii="Arial" w:hAnsi="Arial" w:cs="Arial"/>
          <w:sz w:val="20"/>
          <w:szCs w:val="20"/>
        </w:rPr>
        <w:t xml:space="preserve"> continue </w:t>
      </w:r>
      <w:r w:rsidR="00523A51" w:rsidRPr="000C4003">
        <w:rPr>
          <w:rFonts w:ascii="Arial" w:hAnsi="Arial" w:cs="Arial"/>
          <w:sz w:val="20"/>
          <w:szCs w:val="20"/>
        </w:rPr>
        <w:t>granting</w:t>
      </w:r>
      <w:r w:rsidRPr="000C4003">
        <w:rPr>
          <w:rFonts w:ascii="Arial" w:hAnsi="Arial" w:cs="Arial"/>
          <w:sz w:val="20"/>
          <w:szCs w:val="20"/>
        </w:rPr>
        <w:t xml:space="preserve"> </w:t>
      </w:r>
      <w:r w:rsidR="00564158" w:rsidRPr="000C4003">
        <w:rPr>
          <w:rFonts w:ascii="Arial" w:hAnsi="Arial" w:cs="Arial"/>
          <w:sz w:val="20"/>
          <w:szCs w:val="20"/>
        </w:rPr>
        <w:t xml:space="preserve">road </w:t>
      </w:r>
      <w:r w:rsidRPr="000C4003">
        <w:rPr>
          <w:rFonts w:ascii="Arial" w:hAnsi="Arial" w:cs="Arial"/>
          <w:sz w:val="20"/>
          <w:szCs w:val="20"/>
        </w:rPr>
        <w:t xml:space="preserve">access </w:t>
      </w:r>
      <w:r w:rsidR="00A21A40" w:rsidRPr="000C4003">
        <w:rPr>
          <w:rFonts w:ascii="Arial" w:hAnsi="Arial" w:cs="Arial"/>
          <w:sz w:val="20"/>
          <w:szCs w:val="20"/>
        </w:rPr>
        <w:t>through</w:t>
      </w:r>
      <w:r w:rsidRPr="000C4003">
        <w:rPr>
          <w:rFonts w:ascii="Arial" w:hAnsi="Arial" w:cs="Arial"/>
          <w:sz w:val="20"/>
          <w:szCs w:val="20"/>
        </w:rPr>
        <w:t xml:space="preserve"> </w:t>
      </w:r>
      <w:r w:rsidR="00A21A40" w:rsidRPr="000C4003">
        <w:rPr>
          <w:rFonts w:ascii="Arial" w:hAnsi="Arial" w:cs="Arial"/>
          <w:sz w:val="20"/>
          <w:szCs w:val="20"/>
        </w:rPr>
        <w:t xml:space="preserve">new </w:t>
      </w:r>
      <w:r w:rsidRPr="000C4003">
        <w:rPr>
          <w:rFonts w:ascii="Arial" w:hAnsi="Arial" w:cs="Arial"/>
          <w:sz w:val="20"/>
          <w:szCs w:val="20"/>
        </w:rPr>
        <w:t xml:space="preserve">schemes, permits and applications </w:t>
      </w:r>
      <w:r w:rsidR="00564158" w:rsidRPr="000C4003">
        <w:rPr>
          <w:rFonts w:ascii="Arial" w:hAnsi="Arial" w:cs="Arial"/>
          <w:sz w:val="20"/>
          <w:szCs w:val="20"/>
        </w:rPr>
        <w:t>supported by</w:t>
      </w:r>
      <w:r w:rsidRPr="000C4003">
        <w:rPr>
          <w:rFonts w:ascii="Arial" w:hAnsi="Arial" w:cs="Arial"/>
          <w:sz w:val="20"/>
          <w:szCs w:val="20"/>
        </w:rPr>
        <w:t xml:space="preserve"> </w:t>
      </w:r>
      <w:r w:rsidR="00F1024D" w:rsidRPr="000C4003">
        <w:rPr>
          <w:rFonts w:ascii="Arial" w:hAnsi="Arial" w:cs="Arial"/>
          <w:sz w:val="20"/>
          <w:szCs w:val="20"/>
        </w:rPr>
        <w:t xml:space="preserve">IAP </w:t>
      </w:r>
      <w:r w:rsidR="001A51B8" w:rsidRPr="000C4003">
        <w:rPr>
          <w:rFonts w:ascii="Arial" w:hAnsi="Arial" w:cs="Arial"/>
          <w:sz w:val="20"/>
          <w:szCs w:val="20"/>
        </w:rPr>
        <w:t>monitoring</w:t>
      </w:r>
      <w:r w:rsidRPr="000C4003">
        <w:rPr>
          <w:rFonts w:ascii="Arial" w:hAnsi="Arial" w:cs="Arial"/>
          <w:sz w:val="20"/>
          <w:szCs w:val="20"/>
        </w:rPr>
        <w:t>.</w:t>
      </w:r>
      <w:r w:rsidR="004848E5" w:rsidRPr="000C4003">
        <w:rPr>
          <w:rFonts w:ascii="Arial" w:hAnsi="Arial" w:cs="Arial"/>
          <w:sz w:val="20"/>
          <w:szCs w:val="20"/>
        </w:rPr>
        <w:t xml:space="preserve"> </w:t>
      </w:r>
    </w:p>
    <w:p w:rsidR="00273D6F" w:rsidRPr="000C4003" w:rsidRDefault="00273D6F" w:rsidP="001E712A">
      <w:pPr>
        <w:spacing w:after="0" w:line="240" w:lineRule="auto"/>
        <w:contextualSpacing/>
        <w:jc w:val="both"/>
        <w:rPr>
          <w:rFonts w:ascii="Arial" w:hAnsi="Arial" w:cs="Arial"/>
          <w:sz w:val="20"/>
          <w:szCs w:val="20"/>
        </w:rPr>
      </w:pPr>
    </w:p>
    <w:p w:rsidR="00DB2E32" w:rsidRPr="000C4003" w:rsidRDefault="00410A62" w:rsidP="001E712A">
      <w:pPr>
        <w:spacing w:after="0" w:line="240" w:lineRule="auto"/>
        <w:contextualSpacing/>
        <w:jc w:val="both"/>
        <w:rPr>
          <w:rFonts w:ascii="Arial" w:hAnsi="Arial" w:cs="Arial"/>
          <w:sz w:val="20"/>
          <w:szCs w:val="20"/>
        </w:rPr>
      </w:pPr>
      <w:r>
        <w:rPr>
          <w:rFonts w:ascii="Arial" w:hAnsi="Arial" w:cs="Arial"/>
          <w:sz w:val="20"/>
          <w:szCs w:val="20"/>
        </w:rPr>
        <w:t xml:space="preserve">The </w:t>
      </w:r>
      <w:r w:rsidR="00A53012">
        <w:rPr>
          <w:rFonts w:ascii="Arial" w:hAnsi="Arial" w:cs="Arial"/>
          <w:sz w:val="20"/>
          <w:szCs w:val="20"/>
        </w:rPr>
        <w:t xml:space="preserve">2005 </w:t>
      </w:r>
      <w:r>
        <w:rPr>
          <w:rFonts w:ascii="Arial" w:hAnsi="Arial" w:cs="Arial"/>
          <w:sz w:val="20"/>
          <w:szCs w:val="20"/>
        </w:rPr>
        <w:t xml:space="preserve">proposal </w:t>
      </w:r>
      <w:r w:rsidR="00B52827">
        <w:rPr>
          <w:rFonts w:ascii="Arial" w:hAnsi="Arial" w:cs="Arial"/>
          <w:sz w:val="20"/>
          <w:szCs w:val="20"/>
        </w:rPr>
        <w:t xml:space="preserve">also </w:t>
      </w:r>
      <w:r w:rsidR="0008252D" w:rsidRPr="000C4003">
        <w:rPr>
          <w:rFonts w:ascii="Arial" w:hAnsi="Arial" w:cs="Arial"/>
          <w:sz w:val="20"/>
          <w:szCs w:val="20"/>
        </w:rPr>
        <w:t>promised</w:t>
      </w:r>
      <w:r w:rsidR="00B026D8" w:rsidRPr="000C4003">
        <w:rPr>
          <w:rFonts w:ascii="Arial" w:hAnsi="Arial" w:cs="Arial"/>
          <w:sz w:val="20"/>
          <w:szCs w:val="20"/>
        </w:rPr>
        <w:t xml:space="preserve"> </w:t>
      </w:r>
      <w:r w:rsidR="0008252D" w:rsidRPr="000C4003">
        <w:rPr>
          <w:rFonts w:ascii="Arial" w:hAnsi="Arial" w:cs="Arial"/>
          <w:sz w:val="20"/>
          <w:szCs w:val="20"/>
        </w:rPr>
        <w:t>“</w:t>
      </w:r>
      <w:r w:rsidR="0008252D" w:rsidRPr="000C4003">
        <w:rPr>
          <w:rFonts w:ascii="Arial" w:hAnsi="Arial" w:cs="Arial"/>
          <w:i/>
          <w:sz w:val="20"/>
          <w:szCs w:val="20"/>
        </w:rPr>
        <w:t>new and unexpected benefits that are widely diffused</w:t>
      </w:r>
      <w:r w:rsidR="00B026D8" w:rsidRPr="000C4003">
        <w:rPr>
          <w:rFonts w:ascii="Arial" w:hAnsi="Arial" w:cs="Arial"/>
          <w:sz w:val="20"/>
          <w:szCs w:val="20"/>
        </w:rPr>
        <w:t>”</w:t>
      </w:r>
      <w:r w:rsidR="000F49D8">
        <w:rPr>
          <w:rStyle w:val="FootnoteReference"/>
          <w:rFonts w:ascii="Arial" w:hAnsi="Arial" w:cs="Arial"/>
          <w:sz w:val="20"/>
          <w:szCs w:val="20"/>
        </w:rPr>
        <w:footnoteReference w:id="1"/>
      </w:r>
      <w:r w:rsidR="00B026D8" w:rsidRPr="000C4003">
        <w:rPr>
          <w:rFonts w:ascii="Arial" w:hAnsi="Arial" w:cs="Arial"/>
          <w:sz w:val="20"/>
          <w:szCs w:val="20"/>
        </w:rPr>
        <w:t xml:space="preserve"> </w:t>
      </w:r>
      <w:r w:rsidR="00370038" w:rsidRPr="000C4003">
        <w:rPr>
          <w:rFonts w:ascii="Arial" w:hAnsi="Arial" w:cs="Arial"/>
          <w:sz w:val="20"/>
          <w:szCs w:val="20"/>
        </w:rPr>
        <w:t>and</w:t>
      </w:r>
      <w:r w:rsidR="00B026D8" w:rsidRPr="000C4003">
        <w:rPr>
          <w:rFonts w:ascii="Arial" w:hAnsi="Arial" w:cs="Arial"/>
          <w:sz w:val="20"/>
          <w:szCs w:val="20"/>
        </w:rPr>
        <w:t xml:space="preserve"> “</w:t>
      </w:r>
      <w:r w:rsidR="00B026D8" w:rsidRPr="000C4003">
        <w:rPr>
          <w:rFonts w:ascii="Arial" w:hAnsi="Arial" w:cs="Arial"/>
          <w:i/>
          <w:sz w:val="20"/>
          <w:szCs w:val="20"/>
        </w:rPr>
        <w:t>new ways to pursue important policy goals with private and public benefits</w:t>
      </w:r>
      <w:r w:rsidR="00B026D8" w:rsidRPr="000C4003">
        <w:rPr>
          <w:rFonts w:ascii="Arial" w:hAnsi="Arial" w:cs="Arial"/>
          <w:sz w:val="20"/>
          <w:szCs w:val="20"/>
        </w:rPr>
        <w:t xml:space="preserve">”. </w:t>
      </w:r>
      <w:r w:rsidR="005853B0">
        <w:rPr>
          <w:rFonts w:ascii="Arial" w:hAnsi="Arial" w:cs="Arial"/>
          <w:sz w:val="20"/>
          <w:szCs w:val="20"/>
        </w:rPr>
        <w:t xml:space="preserve">The </w:t>
      </w:r>
      <w:r w:rsidR="00AC2DEA" w:rsidRPr="000C4003">
        <w:rPr>
          <w:rFonts w:ascii="Arial" w:hAnsi="Arial" w:cs="Arial"/>
          <w:sz w:val="20"/>
          <w:szCs w:val="20"/>
        </w:rPr>
        <w:t>IAP</w:t>
      </w:r>
      <w:r w:rsidR="00DB2E32" w:rsidRPr="000C4003">
        <w:rPr>
          <w:rFonts w:ascii="Arial" w:hAnsi="Arial" w:cs="Arial"/>
          <w:sz w:val="20"/>
          <w:szCs w:val="20"/>
        </w:rPr>
        <w:t xml:space="preserve"> </w:t>
      </w:r>
      <w:r w:rsidR="0090660B">
        <w:rPr>
          <w:rFonts w:ascii="Arial" w:hAnsi="Arial" w:cs="Arial"/>
          <w:sz w:val="20"/>
          <w:szCs w:val="20"/>
        </w:rPr>
        <w:t>w</w:t>
      </w:r>
      <w:r w:rsidR="00DB2E32" w:rsidRPr="000C4003">
        <w:rPr>
          <w:rFonts w:ascii="Arial" w:hAnsi="Arial" w:cs="Arial"/>
          <w:sz w:val="20"/>
          <w:szCs w:val="20"/>
        </w:rPr>
        <w:t xml:space="preserve">ould strengthen the market structure of the transport sector and set a benchmark for </w:t>
      </w:r>
      <w:r w:rsidR="00B026D8" w:rsidRPr="000C4003">
        <w:rPr>
          <w:rFonts w:ascii="Arial" w:hAnsi="Arial" w:cs="Arial"/>
          <w:sz w:val="20"/>
          <w:szCs w:val="20"/>
        </w:rPr>
        <w:t>application</w:t>
      </w:r>
      <w:r w:rsidR="007A0F9D">
        <w:rPr>
          <w:rFonts w:ascii="Arial" w:hAnsi="Arial" w:cs="Arial"/>
          <w:sz w:val="20"/>
          <w:szCs w:val="20"/>
        </w:rPr>
        <w:t>s</w:t>
      </w:r>
      <w:r w:rsidR="00DB2E32" w:rsidRPr="000C4003">
        <w:rPr>
          <w:rFonts w:ascii="Arial" w:hAnsi="Arial" w:cs="Arial"/>
          <w:sz w:val="20"/>
          <w:szCs w:val="20"/>
        </w:rPr>
        <w:t xml:space="preserve"> of </w:t>
      </w:r>
      <w:r w:rsidR="003B5A19">
        <w:rPr>
          <w:rFonts w:ascii="Arial" w:hAnsi="Arial" w:cs="Arial"/>
          <w:sz w:val="20"/>
          <w:szCs w:val="20"/>
        </w:rPr>
        <w:t>“</w:t>
      </w:r>
      <w:r w:rsidR="00DB2E32" w:rsidRPr="007A0F9D">
        <w:rPr>
          <w:rFonts w:ascii="Arial" w:hAnsi="Arial" w:cs="Arial"/>
          <w:i/>
          <w:sz w:val="20"/>
          <w:szCs w:val="20"/>
        </w:rPr>
        <w:t>ubiquitous technology</w:t>
      </w:r>
      <w:r w:rsidR="003B5A19">
        <w:rPr>
          <w:rFonts w:ascii="Arial" w:hAnsi="Arial" w:cs="Arial"/>
          <w:sz w:val="20"/>
          <w:szCs w:val="20"/>
        </w:rPr>
        <w:t xml:space="preserve">” </w:t>
      </w:r>
      <w:r w:rsidR="00AC2DEA" w:rsidRPr="000C4003">
        <w:rPr>
          <w:rFonts w:ascii="Arial" w:hAnsi="Arial" w:cs="Arial"/>
          <w:sz w:val="20"/>
          <w:szCs w:val="20"/>
        </w:rPr>
        <w:t>by</w:t>
      </w:r>
      <w:r w:rsidR="00DB2E32" w:rsidRPr="000C4003">
        <w:rPr>
          <w:rFonts w:ascii="Arial" w:hAnsi="Arial" w:cs="Arial"/>
          <w:sz w:val="20"/>
          <w:szCs w:val="20"/>
        </w:rPr>
        <w:t xml:space="preserve"> government. Barriers to </w:t>
      </w:r>
      <w:r w:rsidR="00360CB2" w:rsidRPr="000C4003">
        <w:rPr>
          <w:rFonts w:ascii="Arial" w:hAnsi="Arial" w:cs="Arial"/>
          <w:sz w:val="20"/>
          <w:szCs w:val="20"/>
        </w:rPr>
        <w:t xml:space="preserve">IAP </w:t>
      </w:r>
      <w:r w:rsidR="00DB2E32" w:rsidRPr="000C4003">
        <w:rPr>
          <w:rFonts w:ascii="Arial" w:hAnsi="Arial" w:cs="Arial"/>
          <w:sz w:val="20"/>
          <w:szCs w:val="20"/>
        </w:rPr>
        <w:t xml:space="preserve">entry for small operators would </w:t>
      </w:r>
      <w:r w:rsidR="00E42DAD" w:rsidRPr="000C4003">
        <w:rPr>
          <w:rFonts w:ascii="Arial" w:hAnsi="Arial" w:cs="Arial"/>
          <w:sz w:val="20"/>
          <w:szCs w:val="20"/>
        </w:rPr>
        <w:t>lessen</w:t>
      </w:r>
      <w:r w:rsidR="00DB2E32" w:rsidRPr="000C4003">
        <w:rPr>
          <w:rFonts w:ascii="Arial" w:hAnsi="Arial" w:cs="Arial"/>
          <w:sz w:val="20"/>
          <w:szCs w:val="20"/>
        </w:rPr>
        <w:t xml:space="preserve"> and </w:t>
      </w:r>
      <w:r w:rsidR="00BC3B0E" w:rsidRPr="000C4003">
        <w:rPr>
          <w:rFonts w:ascii="Arial" w:hAnsi="Arial" w:cs="Arial"/>
          <w:sz w:val="20"/>
          <w:szCs w:val="20"/>
        </w:rPr>
        <w:t>a</w:t>
      </w:r>
      <w:r w:rsidR="00DB2E32" w:rsidRPr="000C4003">
        <w:rPr>
          <w:rFonts w:ascii="Arial" w:hAnsi="Arial" w:cs="Arial"/>
          <w:sz w:val="20"/>
          <w:szCs w:val="20"/>
        </w:rPr>
        <w:t xml:space="preserve"> staged approach to</w:t>
      </w:r>
      <w:r w:rsidR="00E62BD4" w:rsidRPr="000C4003">
        <w:rPr>
          <w:rFonts w:ascii="Arial" w:hAnsi="Arial" w:cs="Arial"/>
          <w:sz w:val="20"/>
          <w:szCs w:val="20"/>
        </w:rPr>
        <w:t xml:space="preserve"> </w:t>
      </w:r>
      <w:r w:rsidR="00AF39EB">
        <w:rPr>
          <w:rFonts w:ascii="Arial" w:hAnsi="Arial" w:cs="Arial"/>
          <w:sz w:val="20"/>
          <w:szCs w:val="20"/>
        </w:rPr>
        <w:t>the IAP’s</w:t>
      </w:r>
      <w:r w:rsidR="00E62BD4" w:rsidRPr="000C4003">
        <w:rPr>
          <w:rFonts w:ascii="Arial" w:hAnsi="Arial" w:cs="Arial"/>
          <w:sz w:val="20"/>
          <w:szCs w:val="20"/>
        </w:rPr>
        <w:t xml:space="preserve"> </w:t>
      </w:r>
      <w:r w:rsidR="00DB2E32" w:rsidRPr="000C4003">
        <w:rPr>
          <w:rFonts w:ascii="Arial" w:hAnsi="Arial" w:cs="Arial"/>
          <w:sz w:val="20"/>
          <w:szCs w:val="20"/>
        </w:rPr>
        <w:t>implementation over two to three years would achieve the best outcome.</w:t>
      </w:r>
    </w:p>
    <w:p w:rsidR="007F2B0B" w:rsidRPr="000C4003" w:rsidRDefault="007F2B0B" w:rsidP="001E712A">
      <w:pPr>
        <w:spacing w:after="0" w:line="240" w:lineRule="auto"/>
        <w:contextualSpacing/>
        <w:jc w:val="both"/>
        <w:rPr>
          <w:rFonts w:ascii="Arial" w:hAnsi="Arial" w:cs="Arial"/>
          <w:sz w:val="20"/>
          <w:szCs w:val="20"/>
        </w:rPr>
      </w:pPr>
    </w:p>
    <w:p w:rsidR="00360CB2" w:rsidRPr="000C4003" w:rsidRDefault="00360CB2" w:rsidP="00360CB2">
      <w:pPr>
        <w:spacing w:after="0" w:line="240" w:lineRule="auto"/>
        <w:contextualSpacing/>
        <w:jc w:val="both"/>
        <w:rPr>
          <w:rFonts w:ascii="Arial" w:eastAsia="Times New Roman" w:hAnsi="Arial" w:cs="Arial"/>
          <w:sz w:val="20"/>
          <w:szCs w:val="20"/>
        </w:rPr>
      </w:pPr>
      <w:r w:rsidRPr="000C4003">
        <w:rPr>
          <w:rFonts w:ascii="Arial" w:eastAsia="Times New Roman" w:hAnsi="Arial" w:cs="Arial"/>
          <w:sz w:val="20"/>
          <w:szCs w:val="20"/>
        </w:rPr>
        <w:t xml:space="preserve">The </w:t>
      </w:r>
      <w:r w:rsidR="00E659F1">
        <w:rPr>
          <w:rFonts w:ascii="Arial" w:eastAsia="Times New Roman" w:hAnsi="Arial" w:cs="Arial"/>
          <w:sz w:val="20"/>
          <w:szCs w:val="20"/>
        </w:rPr>
        <w:t>ATA</w:t>
      </w:r>
      <w:r w:rsidRPr="000C4003">
        <w:rPr>
          <w:rFonts w:ascii="Arial" w:eastAsia="Times New Roman" w:hAnsi="Arial" w:cs="Arial"/>
          <w:sz w:val="20"/>
          <w:szCs w:val="20"/>
        </w:rPr>
        <w:t xml:space="preserve"> strongly welcomes the inaugural review of</w:t>
      </w:r>
      <w:r w:rsidR="003B3567">
        <w:rPr>
          <w:rFonts w:ascii="Arial" w:eastAsia="Times New Roman" w:hAnsi="Arial" w:cs="Arial"/>
          <w:sz w:val="20"/>
          <w:szCs w:val="20"/>
        </w:rPr>
        <w:t xml:space="preserve"> the</w:t>
      </w:r>
      <w:r w:rsidRPr="000C4003">
        <w:rPr>
          <w:rFonts w:ascii="Arial" w:eastAsia="Times New Roman" w:hAnsi="Arial" w:cs="Arial"/>
          <w:sz w:val="20"/>
          <w:szCs w:val="20"/>
        </w:rPr>
        <w:t xml:space="preserve"> IAP</w:t>
      </w:r>
      <w:r w:rsidR="00C20AC7">
        <w:rPr>
          <w:rFonts w:ascii="Arial" w:eastAsia="Times New Roman" w:hAnsi="Arial" w:cs="Arial"/>
          <w:sz w:val="20"/>
          <w:szCs w:val="20"/>
        </w:rPr>
        <w:t xml:space="preserve"> as it provides opportunities for the industry’s uptake of technology to be recognised by governments</w:t>
      </w:r>
      <w:r w:rsidRPr="000C4003">
        <w:rPr>
          <w:rFonts w:ascii="Arial" w:eastAsia="Times New Roman" w:hAnsi="Arial" w:cs="Arial"/>
          <w:sz w:val="20"/>
          <w:szCs w:val="20"/>
        </w:rPr>
        <w:t>.</w:t>
      </w:r>
    </w:p>
    <w:p w:rsidR="00360CB2" w:rsidRDefault="00360CB2" w:rsidP="00592D3A">
      <w:pPr>
        <w:pStyle w:val="ListParagraph"/>
        <w:ind w:left="0"/>
        <w:rPr>
          <w:rFonts w:ascii="Arial" w:hAnsi="Arial" w:cs="Arial"/>
          <w:b/>
          <w:sz w:val="20"/>
          <w:szCs w:val="20"/>
        </w:rPr>
      </w:pPr>
    </w:p>
    <w:p w:rsidR="00012C45" w:rsidRPr="000C4003" w:rsidRDefault="00012C45" w:rsidP="00592D3A">
      <w:pPr>
        <w:pStyle w:val="ListParagraph"/>
        <w:ind w:left="0"/>
        <w:rPr>
          <w:rFonts w:ascii="Arial" w:hAnsi="Arial" w:cs="Arial"/>
          <w:b/>
          <w:sz w:val="20"/>
          <w:szCs w:val="20"/>
        </w:rPr>
      </w:pPr>
    </w:p>
    <w:p w:rsidR="000C0150" w:rsidRPr="00B97FC5" w:rsidRDefault="004C604A" w:rsidP="00B97FC5">
      <w:pPr>
        <w:pStyle w:val="Heading1"/>
        <w:numPr>
          <w:ilvl w:val="0"/>
          <w:numId w:val="0"/>
        </w:numPr>
        <w:ind w:left="360" w:hanging="360"/>
      </w:pPr>
      <w:r w:rsidRPr="00B97FC5">
        <w:t>2. Australian Trucking Association</w:t>
      </w:r>
    </w:p>
    <w:bookmarkEnd w:id="0"/>
    <w:p w:rsidR="008F216B" w:rsidRPr="005A6216" w:rsidRDefault="008F216B" w:rsidP="001E712A">
      <w:pPr>
        <w:pStyle w:val="BodyText2"/>
        <w:contextualSpacing/>
        <w:jc w:val="both"/>
        <w:rPr>
          <w:b w:val="0"/>
          <w:bCs w:val="0"/>
          <w:sz w:val="20"/>
        </w:rPr>
      </w:pPr>
    </w:p>
    <w:p w:rsidR="000C0150" w:rsidRDefault="000C0150" w:rsidP="001E712A">
      <w:pPr>
        <w:pStyle w:val="BodyText2"/>
        <w:contextualSpacing/>
        <w:jc w:val="both"/>
        <w:rPr>
          <w:b w:val="0"/>
          <w:bCs w:val="0"/>
          <w:sz w:val="20"/>
        </w:rPr>
      </w:pPr>
      <w:r w:rsidRPr="005A6216">
        <w:rPr>
          <w:b w:val="0"/>
          <w:bCs w:val="0"/>
          <w:sz w:val="20"/>
        </w:rPr>
        <w:t xml:space="preserve">The </w:t>
      </w:r>
      <w:r w:rsidR="00A42829">
        <w:rPr>
          <w:b w:val="0"/>
          <w:bCs w:val="0"/>
          <w:sz w:val="20"/>
        </w:rPr>
        <w:t>ATA</w:t>
      </w:r>
      <w:r w:rsidRPr="005A6216">
        <w:rPr>
          <w:b w:val="0"/>
          <w:bCs w:val="0"/>
          <w:sz w:val="20"/>
        </w:rPr>
        <w:t xml:space="preserve"> is the peak body that represents the trucking industry. Its members include state and sector</w:t>
      </w:r>
      <w:r w:rsidR="00D0598E" w:rsidRPr="005A6216">
        <w:rPr>
          <w:b w:val="0"/>
          <w:bCs w:val="0"/>
          <w:sz w:val="20"/>
        </w:rPr>
        <w:t>-</w:t>
      </w:r>
      <w:r w:rsidRPr="005A6216">
        <w:rPr>
          <w:b w:val="0"/>
          <w:bCs w:val="0"/>
          <w:sz w:val="20"/>
        </w:rPr>
        <w:t xml:space="preserve">based trucking associations, some of the nation’s largest transport companies, and businesses with leading expertise in truck technology. </w:t>
      </w:r>
    </w:p>
    <w:p w:rsidR="00012C45" w:rsidRDefault="00012C45" w:rsidP="001E712A">
      <w:pPr>
        <w:pStyle w:val="BodyText2"/>
        <w:contextualSpacing/>
        <w:jc w:val="both"/>
        <w:rPr>
          <w:b w:val="0"/>
          <w:bCs w:val="0"/>
          <w:sz w:val="20"/>
        </w:rPr>
      </w:pPr>
    </w:p>
    <w:p w:rsidR="0006144D" w:rsidRDefault="00012C45" w:rsidP="001E712A">
      <w:pPr>
        <w:pStyle w:val="BodyText2"/>
        <w:contextualSpacing/>
        <w:jc w:val="both"/>
        <w:rPr>
          <w:b w:val="0"/>
          <w:bCs w:val="0"/>
          <w:sz w:val="20"/>
        </w:rPr>
      </w:pPr>
      <w:r>
        <w:rPr>
          <w:b w:val="0"/>
          <w:bCs w:val="0"/>
          <w:sz w:val="20"/>
        </w:rPr>
        <w:t xml:space="preserve">This submission reflects the </w:t>
      </w:r>
      <w:r w:rsidR="00222929">
        <w:rPr>
          <w:b w:val="0"/>
          <w:bCs w:val="0"/>
          <w:sz w:val="20"/>
        </w:rPr>
        <w:t xml:space="preserve">long-held </w:t>
      </w:r>
      <w:r>
        <w:rPr>
          <w:b w:val="0"/>
          <w:bCs w:val="0"/>
          <w:sz w:val="20"/>
        </w:rPr>
        <w:t xml:space="preserve">views of a significant number of ATA members but </w:t>
      </w:r>
      <w:r w:rsidR="00222929">
        <w:rPr>
          <w:b w:val="0"/>
          <w:bCs w:val="0"/>
          <w:sz w:val="20"/>
        </w:rPr>
        <w:t xml:space="preserve">it </w:t>
      </w:r>
      <w:r w:rsidR="009212B7">
        <w:rPr>
          <w:b w:val="0"/>
          <w:bCs w:val="0"/>
          <w:sz w:val="20"/>
        </w:rPr>
        <w:t>does</w:t>
      </w:r>
      <w:r>
        <w:rPr>
          <w:b w:val="0"/>
          <w:bCs w:val="0"/>
          <w:sz w:val="20"/>
        </w:rPr>
        <w:t xml:space="preserve"> not reflect the views of all our members. </w:t>
      </w:r>
      <w:r w:rsidR="004A4695">
        <w:rPr>
          <w:b w:val="0"/>
          <w:bCs w:val="0"/>
          <w:sz w:val="20"/>
        </w:rPr>
        <w:t>T</w:t>
      </w:r>
      <w:r w:rsidR="00F55FC0">
        <w:rPr>
          <w:b w:val="0"/>
          <w:bCs w:val="0"/>
          <w:sz w:val="20"/>
        </w:rPr>
        <w:t xml:space="preserve">hose </w:t>
      </w:r>
      <w:r w:rsidR="00222929">
        <w:rPr>
          <w:b w:val="0"/>
          <w:bCs w:val="0"/>
          <w:sz w:val="20"/>
        </w:rPr>
        <w:t>holding</w:t>
      </w:r>
      <w:r>
        <w:rPr>
          <w:b w:val="0"/>
          <w:bCs w:val="0"/>
          <w:sz w:val="20"/>
        </w:rPr>
        <w:t xml:space="preserve"> different views</w:t>
      </w:r>
      <w:r w:rsidR="00222929">
        <w:rPr>
          <w:b w:val="0"/>
          <w:bCs w:val="0"/>
          <w:sz w:val="20"/>
        </w:rPr>
        <w:t xml:space="preserve"> on the IAP </w:t>
      </w:r>
      <w:r w:rsidR="009212B7">
        <w:rPr>
          <w:b w:val="0"/>
          <w:bCs w:val="0"/>
          <w:sz w:val="20"/>
        </w:rPr>
        <w:t>have been</w:t>
      </w:r>
      <w:r w:rsidR="00222929">
        <w:rPr>
          <w:b w:val="0"/>
          <w:bCs w:val="0"/>
          <w:sz w:val="20"/>
        </w:rPr>
        <w:t xml:space="preserve"> invited to</w:t>
      </w:r>
      <w:r>
        <w:rPr>
          <w:b w:val="0"/>
          <w:bCs w:val="0"/>
          <w:sz w:val="20"/>
        </w:rPr>
        <w:t xml:space="preserve"> </w:t>
      </w:r>
      <w:r w:rsidR="00F55FC0">
        <w:rPr>
          <w:b w:val="0"/>
          <w:bCs w:val="0"/>
          <w:sz w:val="20"/>
        </w:rPr>
        <w:t>provide</w:t>
      </w:r>
      <w:r>
        <w:rPr>
          <w:b w:val="0"/>
          <w:bCs w:val="0"/>
          <w:sz w:val="20"/>
        </w:rPr>
        <w:t xml:space="preserve"> separate </w:t>
      </w:r>
      <w:r w:rsidR="00F55FC0">
        <w:rPr>
          <w:b w:val="0"/>
          <w:bCs w:val="0"/>
          <w:sz w:val="20"/>
        </w:rPr>
        <w:t>submissions</w:t>
      </w:r>
      <w:r>
        <w:rPr>
          <w:b w:val="0"/>
          <w:bCs w:val="0"/>
          <w:sz w:val="20"/>
        </w:rPr>
        <w:t xml:space="preserve"> to </w:t>
      </w:r>
      <w:r w:rsidR="009212B7">
        <w:rPr>
          <w:b w:val="0"/>
          <w:bCs w:val="0"/>
          <w:sz w:val="20"/>
        </w:rPr>
        <w:t xml:space="preserve">the </w:t>
      </w:r>
      <w:r>
        <w:rPr>
          <w:b w:val="0"/>
          <w:bCs w:val="0"/>
          <w:sz w:val="20"/>
        </w:rPr>
        <w:t>NTC</w:t>
      </w:r>
      <w:r w:rsidR="00F55FC0">
        <w:rPr>
          <w:b w:val="0"/>
          <w:bCs w:val="0"/>
          <w:sz w:val="20"/>
        </w:rPr>
        <w:t xml:space="preserve"> as </w:t>
      </w:r>
      <w:r w:rsidR="004A4695">
        <w:rPr>
          <w:b w:val="0"/>
          <w:bCs w:val="0"/>
          <w:sz w:val="20"/>
        </w:rPr>
        <w:t>desired</w:t>
      </w:r>
      <w:r>
        <w:rPr>
          <w:b w:val="0"/>
          <w:bCs w:val="0"/>
          <w:sz w:val="20"/>
        </w:rPr>
        <w:t>.</w:t>
      </w:r>
    </w:p>
    <w:p w:rsidR="004A4695" w:rsidRPr="005A6216" w:rsidRDefault="004A4695" w:rsidP="001E712A">
      <w:pPr>
        <w:pStyle w:val="BodyText2"/>
        <w:contextualSpacing/>
        <w:jc w:val="both"/>
        <w:rPr>
          <w:b w:val="0"/>
          <w:bCs w:val="0"/>
          <w:sz w:val="20"/>
        </w:rPr>
      </w:pPr>
    </w:p>
    <w:p w:rsidR="00CD63E4" w:rsidRPr="00B97FC5" w:rsidRDefault="004C604A" w:rsidP="00B97FC5">
      <w:pPr>
        <w:pStyle w:val="Heading1"/>
        <w:numPr>
          <w:ilvl w:val="0"/>
          <w:numId w:val="0"/>
        </w:numPr>
        <w:ind w:left="360" w:hanging="360"/>
      </w:pPr>
      <w:r w:rsidRPr="00B97FC5">
        <w:t>3. Recommendations:</w:t>
      </w:r>
    </w:p>
    <w:p w:rsidR="0052648A" w:rsidRPr="005A6216" w:rsidRDefault="0052648A" w:rsidP="00C67BF0">
      <w:pPr>
        <w:spacing w:after="0" w:line="240" w:lineRule="auto"/>
        <w:contextualSpacing/>
        <w:rPr>
          <w:rFonts w:ascii="Arial" w:hAnsi="Arial" w:cs="Arial"/>
          <w:sz w:val="20"/>
          <w:szCs w:val="20"/>
        </w:rPr>
      </w:pPr>
    </w:p>
    <w:p w:rsidR="00A865E5" w:rsidRPr="005A6216" w:rsidRDefault="003B3567" w:rsidP="00A825CD">
      <w:pPr>
        <w:spacing w:after="0" w:line="240" w:lineRule="auto"/>
        <w:contextualSpacing/>
        <w:jc w:val="both"/>
        <w:rPr>
          <w:rFonts w:ascii="Arial" w:eastAsia="Times New Roman" w:hAnsi="Arial" w:cs="Arial"/>
          <w:sz w:val="20"/>
          <w:szCs w:val="20"/>
        </w:rPr>
      </w:pPr>
      <w:r>
        <w:rPr>
          <w:rFonts w:ascii="Arial" w:eastAsia="Times New Roman" w:hAnsi="Arial" w:cs="Arial"/>
          <w:sz w:val="20"/>
          <w:szCs w:val="20"/>
        </w:rPr>
        <w:t>The</w:t>
      </w:r>
      <w:r w:rsidR="0010565F" w:rsidRPr="005A6216">
        <w:rPr>
          <w:rFonts w:ascii="Arial" w:eastAsia="Times New Roman" w:hAnsi="Arial" w:cs="Arial"/>
          <w:sz w:val="20"/>
          <w:szCs w:val="20"/>
        </w:rPr>
        <w:t xml:space="preserve"> ATA recommends</w:t>
      </w:r>
      <w:r w:rsidR="009B3D77">
        <w:rPr>
          <w:rFonts w:ascii="Arial" w:eastAsia="Times New Roman" w:hAnsi="Arial" w:cs="Arial"/>
          <w:sz w:val="20"/>
          <w:szCs w:val="20"/>
        </w:rPr>
        <w:t xml:space="preserve"> that</w:t>
      </w:r>
      <w:r w:rsidR="0010565F" w:rsidRPr="005A6216">
        <w:rPr>
          <w:rFonts w:ascii="Arial" w:eastAsia="Times New Roman" w:hAnsi="Arial" w:cs="Arial"/>
          <w:sz w:val="20"/>
          <w:szCs w:val="20"/>
        </w:rPr>
        <w:t>:</w:t>
      </w:r>
    </w:p>
    <w:p w:rsidR="002B4BA1" w:rsidRDefault="002B4BA1" w:rsidP="002B4BA1">
      <w:pPr>
        <w:autoSpaceDE w:val="0"/>
        <w:autoSpaceDN w:val="0"/>
        <w:adjustRightInd w:val="0"/>
        <w:spacing w:after="0" w:line="240" w:lineRule="auto"/>
        <w:contextualSpacing/>
        <w:jc w:val="both"/>
        <w:rPr>
          <w:rFonts w:ascii="Arial" w:hAnsi="Arial" w:cs="Arial"/>
          <w:b/>
          <w:sz w:val="20"/>
          <w:szCs w:val="20"/>
          <w:highlight w:val="white"/>
        </w:rPr>
      </w:pPr>
    </w:p>
    <w:p w:rsidR="002B4BA1" w:rsidRPr="005A6216" w:rsidRDefault="002B4BA1" w:rsidP="002B4BA1">
      <w:pPr>
        <w:autoSpaceDE w:val="0"/>
        <w:autoSpaceDN w:val="0"/>
        <w:adjustRightInd w:val="0"/>
        <w:spacing w:after="0" w:line="240" w:lineRule="auto"/>
        <w:contextualSpacing/>
        <w:jc w:val="both"/>
        <w:rPr>
          <w:rFonts w:ascii="Arial" w:hAnsi="Arial" w:cs="Arial"/>
          <w:sz w:val="20"/>
          <w:szCs w:val="20"/>
        </w:rPr>
      </w:pPr>
      <w:r w:rsidRPr="005A6216">
        <w:rPr>
          <w:rFonts w:ascii="Arial" w:hAnsi="Arial" w:cs="Arial"/>
          <w:b/>
          <w:sz w:val="20"/>
          <w:szCs w:val="20"/>
          <w:highlight w:val="white"/>
        </w:rPr>
        <w:t xml:space="preserve">Recommendation </w:t>
      </w:r>
      <w:r>
        <w:rPr>
          <w:rFonts w:ascii="Arial" w:hAnsi="Arial" w:cs="Arial"/>
          <w:b/>
          <w:sz w:val="20"/>
          <w:szCs w:val="20"/>
        </w:rPr>
        <w:t>1</w:t>
      </w:r>
      <w:r w:rsidRPr="005A6216">
        <w:rPr>
          <w:rFonts w:ascii="Arial" w:hAnsi="Arial" w:cs="Arial"/>
          <w:sz w:val="20"/>
          <w:szCs w:val="20"/>
        </w:rPr>
        <w:t xml:space="preserve"> </w:t>
      </w:r>
    </w:p>
    <w:p w:rsidR="002B4BA1" w:rsidRPr="005A6216" w:rsidRDefault="002B4BA1" w:rsidP="002B4BA1">
      <w:pPr>
        <w:spacing w:after="0" w:line="240" w:lineRule="auto"/>
        <w:contextualSpacing/>
        <w:jc w:val="both"/>
        <w:rPr>
          <w:rFonts w:ascii="Arial" w:eastAsia="Times New Roman" w:hAnsi="Arial" w:cs="Arial"/>
          <w:sz w:val="20"/>
          <w:szCs w:val="20"/>
        </w:rPr>
      </w:pPr>
      <w:r>
        <w:rPr>
          <w:rFonts w:ascii="Arial" w:eastAsia="Times New Roman" w:hAnsi="Arial" w:cs="Arial"/>
          <w:sz w:val="20"/>
          <w:szCs w:val="20"/>
        </w:rPr>
        <w:t xml:space="preserve">The ATA accepts the need for route compliance assurance as part of a risk-based access management regime. </w:t>
      </w:r>
      <w:r w:rsidRPr="005A6216">
        <w:rPr>
          <w:rFonts w:ascii="Arial" w:eastAsia="Times New Roman" w:hAnsi="Arial" w:cs="Arial"/>
          <w:sz w:val="20"/>
          <w:szCs w:val="20"/>
        </w:rPr>
        <w:t>A</w:t>
      </w:r>
      <w:r>
        <w:rPr>
          <w:rFonts w:ascii="Arial" w:eastAsia="Times New Roman" w:hAnsi="Arial" w:cs="Arial"/>
          <w:sz w:val="20"/>
          <w:szCs w:val="20"/>
        </w:rPr>
        <w:t>ccordingly,</w:t>
      </w:r>
      <w:r w:rsidRPr="005A6216">
        <w:rPr>
          <w:rFonts w:ascii="Arial" w:eastAsia="Times New Roman" w:hAnsi="Arial" w:cs="Arial"/>
          <w:sz w:val="20"/>
          <w:szCs w:val="20"/>
        </w:rPr>
        <w:t xml:space="preserve"> </w:t>
      </w:r>
      <w:r>
        <w:rPr>
          <w:rFonts w:ascii="Arial" w:eastAsia="Times New Roman" w:hAnsi="Arial" w:cs="Arial"/>
          <w:sz w:val="20"/>
          <w:szCs w:val="20"/>
        </w:rPr>
        <w:t xml:space="preserve">it is recommended that a </w:t>
      </w:r>
      <w:r w:rsidRPr="005A6216">
        <w:rPr>
          <w:rFonts w:ascii="Arial" w:eastAsia="Times New Roman" w:hAnsi="Arial" w:cs="Arial"/>
          <w:sz w:val="20"/>
          <w:szCs w:val="20"/>
        </w:rPr>
        <w:t xml:space="preserve">truly voluntary </w:t>
      </w:r>
      <w:r>
        <w:rPr>
          <w:rFonts w:ascii="Arial" w:eastAsia="Times New Roman" w:hAnsi="Arial" w:cs="Arial"/>
          <w:sz w:val="20"/>
          <w:szCs w:val="20"/>
        </w:rPr>
        <w:t xml:space="preserve">compliance </w:t>
      </w:r>
      <w:r w:rsidRPr="005A6216">
        <w:rPr>
          <w:rFonts w:ascii="Arial" w:eastAsia="Times New Roman" w:hAnsi="Arial" w:cs="Arial"/>
          <w:sz w:val="20"/>
          <w:szCs w:val="20"/>
        </w:rPr>
        <w:t>monitoring option is established</w:t>
      </w:r>
      <w:r>
        <w:rPr>
          <w:rFonts w:ascii="Arial" w:eastAsia="Times New Roman" w:hAnsi="Arial" w:cs="Arial"/>
          <w:sz w:val="20"/>
          <w:szCs w:val="20"/>
        </w:rPr>
        <w:t>,</w:t>
      </w:r>
      <w:r w:rsidRPr="005A6216">
        <w:rPr>
          <w:rFonts w:ascii="Arial" w:eastAsia="Times New Roman" w:hAnsi="Arial" w:cs="Arial"/>
          <w:sz w:val="20"/>
          <w:szCs w:val="20"/>
        </w:rPr>
        <w:t xml:space="preserve"> with an open standard</w:t>
      </w:r>
      <w:r>
        <w:rPr>
          <w:rFonts w:ascii="Arial" w:eastAsia="Times New Roman" w:hAnsi="Arial" w:cs="Arial"/>
          <w:sz w:val="20"/>
          <w:szCs w:val="20"/>
        </w:rPr>
        <w:t xml:space="preserve"> for vehicle devices</w:t>
      </w:r>
      <w:r w:rsidRPr="005A6216">
        <w:rPr>
          <w:rFonts w:ascii="Arial" w:eastAsia="Times New Roman" w:hAnsi="Arial" w:cs="Arial"/>
          <w:sz w:val="20"/>
          <w:szCs w:val="20"/>
        </w:rPr>
        <w:t xml:space="preserve"> and first party compliance obligations. This </w:t>
      </w:r>
      <w:r>
        <w:rPr>
          <w:rFonts w:ascii="Arial" w:eastAsia="Times New Roman" w:hAnsi="Arial" w:cs="Arial"/>
          <w:sz w:val="20"/>
          <w:szCs w:val="20"/>
        </w:rPr>
        <w:t>would allow</w:t>
      </w:r>
      <w:r w:rsidRPr="005A6216">
        <w:rPr>
          <w:rFonts w:ascii="Arial" w:eastAsia="Times New Roman" w:hAnsi="Arial" w:cs="Arial"/>
          <w:sz w:val="20"/>
          <w:szCs w:val="20"/>
        </w:rPr>
        <w:t xml:space="preserve"> operators who wish to use technology to satisfy compliance duties </w:t>
      </w:r>
      <w:r>
        <w:rPr>
          <w:rFonts w:ascii="Arial" w:eastAsia="Times New Roman" w:hAnsi="Arial" w:cs="Arial"/>
          <w:sz w:val="20"/>
          <w:szCs w:val="20"/>
        </w:rPr>
        <w:t xml:space="preserve">to </w:t>
      </w:r>
      <w:r w:rsidRPr="005A6216">
        <w:rPr>
          <w:rFonts w:ascii="Arial" w:eastAsia="Times New Roman" w:hAnsi="Arial" w:cs="Arial"/>
          <w:sz w:val="20"/>
          <w:szCs w:val="20"/>
        </w:rPr>
        <w:t>do so w</w:t>
      </w:r>
      <w:r>
        <w:rPr>
          <w:rFonts w:ascii="Arial" w:eastAsia="Times New Roman" w:hAnsi="Arial" w:cs="Arial"/>
          <w:sz w:val="20"/>
          <w:szCs w:val="20"/>
        </w:rPr>
        <w:t>ith comfort</w:t>
      </w:r>
      <w:r w:rsidR="00ED212A">
        <w:rPr>
          <w:rFonts w:ascii="Arial" w:eastAsia="Times New Roman" w:hAnsi="Arial" w:cs="Arial"/>
          <w:sz w:val="20"/>
          <w:szCs w:val="20"/>
        </w:rPr>
        <w:t xml:space="preserve"> that</w:t>
      </w:r>
      <w:r>
        <w:rPr>
          <w:rFonts w:ascii="Arial" w:eastAsia="Times New Roman" w:hAnsi="Arial" w:cs="Arial"/>
          <w:sz w:val="20"/>
          <w:szCs w:val="20"/>
        </w:rPr>
        <w:t xml:space="preserve"> the technology attracts</w:t>
      </w:r>
      <w:r w:rsidRPr="005A6216">
        <w:rPr>
          <w:rFonts w:ascii="Arial" w:eastAsia="Times New Roman" w:hAnsi="Arial" w:cs="Arial"/>
          <w:sz w:val="20"/>
          <w:szCs w:val="20"/>
        </w:rPr>
        <w:t xml:space="preserve"> a presumption of accuracy.</w:t>
      </w:r>
    </w:p>
    <w:p w:rsidR="002B4BA1" w:rsidRDefault="002B4BA1" w:rsidP="00621FC6">
      <w:pPr>
        <w:autoSpaceDE w:val="0"/>
        <w:autoSpaceDN w:val="0"/>
        <w:adjustRightInd w:val="0"/>
        <w:spacing w:after="0" w:line="240" w:lineRule="auto"/>
        <w:contextualSpacing/>
        <w:jc w:val="both"/>
        <w:rPr>
          <w:rFonts w:ascii="Arial" w:hAnsi="Arial" w:cs="Arial"/>
          <w:b/>
          <w:sz w:val="20"/>
          <w:szCs w:val="20"/>
          <w:highlight w:val="white"/>
        </w:rPr>
      </w:pPr>
    </w:p>
    <w:p w:rsidR="00621FC6" w:rsidRPr="005A6216" w:rsidRDefault="00621FC6" w:rsidP="00621FC6">
      <w:pPr>
        <w:autoSpaceDE w:val="0"/>
        <w:autoSpaceDN w:val="0"/>
        <w:adjustRightInd w:val="0"/>
        <w:spacing w:after="0" w:line="240" w:lineRule="auto"/>
        <w:contextualSpacing/>
        <w:jc w:val="both"/>
        <w:rPr>
          <w:rFonts w:ascii="Arial" w:hAnsi="Arial" w:cs="Arial"/>
          <w:sz w:val="20"/>
          <w:szCs w:val="20"/>
        </w:rPr>
      </w:pPr>
      <w:r w:rsidRPr="005A6216">
        <w:rPr>
          <w:rFonts w:ascii="Arial" w:hAnsi="Arial" w:cs="Arial"/>
          <w:b/>
          <w:sz w:val="20"/>
          <w:szCs w:val="20"/>
          <w:highlight w:val="white"/>
        </w:rPr>
        <w:t xml:space="preserve">Recommendation </w:t>
      </w:r>
      <w:r w:rsidR="002B4BA1">
        <w:rPr>
          <w:rFonts w:ascii="Arial" w:hAnsi="Arial" w:cs="Arial"/>
          <w:b/>
          <w:sz w:val="20"/>
          <w:szCs w:val="20"/>
        </w:rPr>
        <w:t>2</w:t>
      </w:r>
      <w:r w:rsidRPr="005A6216">
        <w:rPr>
          <w:rFonts w:ascii="Arial" w:hAnsi="Arial" w:cs="Arial"/>
          <w:sz w:val="20"/>
          <w:szCs w:val="20"/>
        </w:rPr>
        <w:t xml:space="preserve"> </w:t>
      </w:r>
    </w:p>
    <w:p w:rsidR="00621FC6" w:rsidRPr="005A6216" w:rsidRDefault="00621FC6" w:rsidP="00621FC6">
      <w:pPr>
        <w:spacing w:after="0" w:line="240" w:lineRule="auto"/>
        <w:contextualSpacing/>
        <w:jc w:val="both"/>
        <w:rPr>
          <w:rFonts w:ascii="Arial" w:eastAsia="Times New Roman" w:hAnsi="Arial" w:cs="Arial"/>
          <w:sz w:val="20"/>
          <w:szCs w:val="20"/>
        </w:rPr>
      </w:pPr>
      <w:r w:rsidRPr="005A6216">
        <w:rPr>
          <w:rFonts w:ascii="Arial" w:eastAsia="Times New Roman" w:hAnsi="Arial" w:cs="Arial"/>
          <w:sz w:val="20"/>
          <w:szCs w:val="20"/>
        </w:rPr>
        <w:t>Vehicles operating at H</w:t>
      </w:r>
      <w:r>
        <w:rPr>
          <w:rFonts w:ascii="Arial" w:eastAsia="Times New Roman" w:hAnsi="Arial" w:cs="Arial"/>
          <w:sz w:val="20"/>
          <w:szCs w:val="20"/>
        </w:rPr>
        <w:t>igher Mass Limits (H</w:t>
      </w:r>
      <w:r w:rsidRPr="005A6216">
        <w:rPr>
          <w:rFonts w:ascii="Arial" w:eastAsia="Times New Roman" w:hAnsi="Arial" w:cs="Arial"/>
          <w:sz w:val="20"/>
          <w:szCs w:val="20"/>
        </w:rPr>
        <w:t>ML</w:t>
      </w:r>
      <w:r>
        <w:rPr>
          <w:rFonts w:ascii="Arial" w:eastAsia="Times New Roman" w:hAnsi="Arial" w:cs="Arial"/>
          <w:sz w:val="20"/>
          <w:szCs w:val="20"/>
        </w:rPr>
        <w:t>)</w:t>
      </w:r>
      <w:r w:rsidRPr="005A6216">
        <w:rPr>
          <w:rFonts w:ascii="Arial" w:eastAsia="Times New Roman" w:hAnsi="Arial" w:cs="Arial"/>
          <w:sz w:val="20"/>
          <w:szCs w:val="20"/>
        </w:rPr>
        <w:t xml:space="preserve">; </w:t>
      </w:r>
      <w:r>
        <w:rPr>
          <w:rFonts w:ascii="Arial" w:eastAsia="Times New Roman" w:hAnsi="Arial" w:cs="Arial"/>
          <w:sz w:val="20"/>
          <w:szCs w:val="20"/>
        </w:rPr>
        <w:t>Performance-based Standards (</w:t>
      </w:r>
      <w:r w:rsidRPr="005A6216">
        <w:rPr>
          <w:rFonts w:ascii="Arial" w:eastAsia="Times New Roman" w:hAnsi="Arial" w:cs="Arial"/>
          <w:sz w:val="20"/>
          <w:szCs w:val="20"/>
        </w:rPr>
        <w:t>PBS</w:t>
      </w:r>
      <w:r>
        <w:rPr>
          <w:rFonts w:ascii="Arial" w:eastAsia="Times New Roman" w:hAnsi="Arial" w:cs="Arial"/>
          <w:sz w:val="20"/>
          <w:szCs w:val="20"/>
        </w:rPr>
        <w:t>)</w:t>
      </w:r>
      <w:r w:rsidRPr="005A6216">
        <w:rPr>
          <w:rFonts w:ascii="Arial" w:eastAsia="Times New Roman" w:hAnsi="Arial" w:cs="Arial"/>
          <w:sz w:val="20"/>
          <w:szCs w:val="20"/>
        </w:rPr>
        <w:t xml:space="preserve"> combinations; and safe, legal prescriptive combinations (including</w:t>
      </w:r>
      <w:r>
        <w:rPr>
          <w:rFonts w:ascii="Arial" w:eastAsia="Times New Roman" w:hAnsi="Arial" w:cs="Arial"/>
          <w:sz w:val="20"/>
          <w:szCs w:val="20"/>
        </w:rPr>
        <w:t>,</w:t>
      </w:r>
      <w:r w:rsidRPr="005A6216">
        <w:rPr>
          <w:rFonts w:ascii="Arial" w:eastAsia="Times New Roman" w:hAnsi="Arial" w:cs="Arial"/>
          <w:sz w:val="20"/>
          <w:szCs w:val="20"/>
        </w:rPr>
        <w:t xml:space="preserve"> but not only</w:t>
      </w:r>
      <w:r>
        <w:rPr>
          <w:rFonts w:ascii="Arial" w:eastAsia="Times New Roman" w:hAnsi="Arial" w:cs="Arial"/>
          <w:sz w:val="20"/>
          <w:szCs w:val="20"/>
        </w:rPr>
        <w:t>,</w:t>
      </w:r>
      <w:r w:rsidRPr="005A6216">
        <w:rPr>
          <w:rFonts w:ascii="Arial" w:eastAsia="Times New Roman" w:hAnsi="Arial" w:cs="Arial"/>
          <w:sz w:val="20"/>
          <w:szCs w:val="20"/>
        </w:rPr>
        <w:t xml:space="preserve"> </w:t>
      </w:r>
      <w:r>
        <w:rPr>
          <w:rFonts w:ascii="Arial" w:eastAsia="Times New Roman" w:hAnsi="Arial" w:cs="Arial"/>
          <w:sz w:val="20"/>
          <w:szCs w:val="20"/>
        </w:rPr>
        <w:t xml:space="preserve">modular </w:t>
      </w:r>
      <w:r w:rsidRPr="005A6216">
        <w:rPr>
          <w:rFonts w:ascii="Arial" w:eastAsia="Times New Roman" w:hAnsi="Arial" w:cs="Arial"/>
          <w:sz w:val="20"/>
          <w:szCs w:val="20"/>
        </w:rPr>
        <w:t xml:space="preserve">B-triples and AB-triples) </w:t>
      </w:r>
      <w:r>
        <w:rPr>
          <w:rFonts w:ascii="Arial" w:eastAsia="Times New Roman" w:hAnsi="Arial" w:cs="Arial"/>
          <w:sz w:val="20"/>
          <w:szCs w:val="20"/>
        </w:rPr>
        <w:t xml:space="preserve">should </w:t>
      </w:r>
      <w:r w:rsidRPr="005A6216">
        <w:rPr>
          <w:rFonts w:ascii="Arial" w:eastAsia="Times New Roman" w:hAnsi="Arial" w:cs="Arial"/>
          <w:sz w:val="20"/>
          <w:szCs w:val="20"/>
        </w:rPr>
        <w:t xml:space="preserve">travel under notices and attract no </w:t>
      </w:r>
      <w:r>
        <w:rPr>
          <w:rFonts w:ascii="Arial" w:eastAsia="Times New Roman" w:hAnsi="Arial" w:cs="Arial"/>
          <w:sz w:val="20"/>
          <w:szCs w:val="20"/>
        </w:rPr>
        <w:t>mandatory monitoring</w:t>
      </w:r>
      <w:r w:rsidRPr="00BB34F5">
        <w:rPr>
          <w:rFonts w:ascii="Arial" w:eastAsia="Times New Roman" w:hAnsi="Arial" w:cs="Arial"/>
          <w:sz w:val="20"/>
          <w:szCs w:val="20"/>
        </w:rPr>
        <w:t xml:space="preserve"> </w:t>
      </w:r>
      <w:r>
        <w:rPr>
          <w:rFonts w:ascii="Arial" w:eastAsia="Times New Roman" w:hAnsi="Arial" w:cs="Arial"/>
          <w:sz w:val="20"/>
          <w:szCs w:val="20"/>
        </w:rPr>
        <w:t xml:space="preserve">under the </w:t>
      </w:r>
      <w:r w:rsidRPr="005A6216">
        <w:rPr>
          <w:rFonts w:ascii="Arial" w:eastAsia="Times New Roman" w:hAnsi="Arial" w:cs="Arial"/>
          <w:sz w:val="20"/>
          <w:szCs w:val="20"/>
        </w:rPr>
        <w:t>IAP.</w:t>
      </w:r>
    </w:p>
    <w:p w:rsidR="00621FC6" w:rsidRPr="005A6216" w:rsidRDefault="00621FC6" w:rsidP="00621FC6">
      <w:pPr>
        <w:autoSpaceDE w:val="0"/>
        <w:autoSpaceDN w:val="0"/>
        <w:adjustRightInd w:val="0"/>
        <w:spacing w:after="0" w:line="240" w:lineRule="auto"/>
        <w:contextualSpacing/>
        <w:jc w:val="both"/>
        <w:rPr>
          <w:rFonts w:ascii="Arial" w:hAnsi="Arial" w:cs="Arial"/>
          <w:b/>
          <w:sz w:val="20"/>
          <w:szCs w:val="20"/>
          <w:highlight w:val="white"/>
        </w:rPr>
      </w:pPr>
    </w:p>
    <w:p w:rsidR="00621FC6" w:rsidRPr="005A6216" w:rsidRDefault="00621FC6" w:rsidP="00621FC6">
      <w:pPr>
        <w:autoSpaceDE w:val="0"/>
        <w:autoSpaceDN w:val="0"/>
        <w:adjustRightInd w:val="0"/>
        <w:spacing w:after="0" w:line="240" w:lineRule="auto"/>
        <w:contextualSpacing/>
        <w:jc w:val="both"/>
        <w:rPr>
          <w:rFonts w:ascii="Arial" w:hAnsi="Arial" w:cs="Arial"/>
          <w:sz w:val="20"/>
          <w:szCs w:val="20"/>
        </w:rPr>
      </w:pPr>
      <w:r w:rsidRPr="005A6216">
        <w:rPr>
          <w:rFonts w:ascii="Arial" w:hAnsi="Arial" w:cs="Arial"/>
          <w:b/>
          <w:sz w:val="20"/>
          <w:szCs w:val="20"/>
          <w:highlight w:val="white"/>
        </w:rPr>
        <w:t xml:space="preserve">Recommendation </w:t>
      </w:r>
      <w:r w:rsidR="002B4BA1">
        <w:rPr>
          <w:rFonts w:ascii="Arial" w:hAnsi="Arial" w:cs="Arial"/>
          <w:b/>
          <w:sz w:val="20"/>
          <w:szCs w:val="20"/>
        </w:rPr>
        <w:t>3</w:t>
      </w:r>
      <w:r w:rsidRPr="005A6216">
        <w:rPr>
          <w:rFonts w:ascii="Arial" w:hAnsi="Arial" w:cs="Arial"/>
          <w:sz w:val="20"/>
          <w:szCs w:val="20"/>
        </w:rPr>
        <w:t xml:space="preserve"> </w:t>
      </w:r>
    </w:p>
    <w:p w:rsidR="00621FC6" w:rsidRPr="005A6216" w:rsidRDefault="00621FC6" w:rsidP="00621FC6">
      <w:pPr>
        <w:spacing w:after="0" w:line="240" w:lineRule="auto"/>
        <w:contextualSpacing/>
        <w:jc w:val="both"/>
        <w:rPr>
          <w:rFonts w:ascii="Arial" w:eastAsia="Times New Roman" w:hAnsi="Arial" w:cs="Arial"/>
          <w:sz w:val="20"/>
          <w:szCs w:val="20"/>
        </w:rPr>
      </w:pPr>
      <w:r w:rsidRPr="005A6216">
        <w:rPr>
          <w:rFonts w:ascii="Arial" w:eastAsia="Times New Roman" w:hAnsi="Arial" w:cs="Arial"/>
          <w:sz w:val="20"/>
          <w:szCs w:val="20"/>
        </w:rPr>
        <w:t xml:space="preserve">IAP </w:t>
      </w:r>
      <w:r w:rsidR="00410A62">
        <w:rPr>
          <w:rFonts w:ascii="Arial" w:eastAsia="Times New Roman" w:hAnsi="Arial" w:cs="Arial"/>
          <w:sz w:val="20"/>
          <w:szCs w:val="20"/>
        </w:rPr>
        <w:t>continues to be</w:t>
      </w:r>
      <w:r w:rsidRPr="005A6216">
        <w:rPr>
          <w:rFonts w:ascii="Arial" w:eastAsia="Times New Roman" w:hAnsi="Arial" w:cs="Arial"/>
          <w:sz w:val="20"/>
          <w:szCs w:val="20"/>
        </w:rPr>
        <w:t xml:space="preserve"> </w:t>
      </w:r>
      <w:r w:rsidR="002B4BA1">
        <w:rPr>
          <w:rFonts w:ascii="Arial" w:eastAsia="Times New Roman" w:hAnsi="Arial" w:cs="Arial"/>
          <w:sz w:val="20"/>
          <w:szCs w:val="20"/>
        </w:rPr>
        <w:t xml:space="preserve">available for </w:t>
      </w:r>
      <w:r w:rsidRPr="005A6216">
        <w:rPr>
          <w:rFonts w:ascii="Arial" w:eastAsia="Times New Roman" w:hAnsi="Arial" w:cs="Arial"/>
          <w:sz w:val="20"/>
          <w:szCs w:val="20"/>
        </w:rPr>
        <w:t>movements of high-risk vehicles</w:t>
      </w:r>
      <w:r w:rsidR="00ED75AA">
        <w:rPr>
          <w:rFonts w:ascii="Arial" w:eastAsia="Times New Roman" w:hAnsi="Arial" w:cs="Arial"/>
          <w:sz w:val="20"/>
          <w:szCs w:val="20"/>
        </w:rPr>
        <w:t>,</w:t>
      </w:r>
      <w:r w:rsidRPr="005A6216">
        <w:rPr>
          <w:rFonts w:ascii="Arial" w:eastAsia="Times New Roman" w:hAnsi="Arial" w:cs="Arial"/>
          <w:sz w:val="20"/>
          <w:szCs w:val="20"/>
        </w:rPr>
        <w:t xml:space="preserve"> as an alternative to traditional road authority </w:t>
      </w:r>
      <w:r w:rsidR="002D56DA">
        <w:rPr>
          <w:rFonts w:ascii="Arial" w:eastAsia="Times New Roman" w:hAnsi="Arial" w:cs="Arial"/>
          <w:sz w:val="20"/>
          <w:szCs w:val="20"/>
        </w:rPr>
        <w:t>engineer</w:t>
      </w:r>
      <w:r w:rsidR="005B7AE9">
        <w:rPr>
          <w:rFonts w:ascii="Arial" w:eastAsia="Times New Roman" w:hAnsi="Arial" w:cs="Arial"/>
          <w:sz w:val="20"/>
          <w:szCs w:val="20"/>
        </w:rPr>
        <w:t xml:space="preserve">ing </w:t>
      </w:r>
      <w:r w:rsidRPr="005A6216">
        <w:rPr>
          <w:rFonts w:ascii="Arial" w:eastAsia="Times New Roman" w:hAnsi="Arial" w:cs="Arial"/>
          <w:sz w:val="20"/>
          <w:szCs w:val="20"/>
        </w:rPr>
        <w:t>supervision, and to serious or persistent offenders as directed by a court.</w:t>
      </w:r>
    </w:p>
    <w:p w:rsidR="00621FC6" w:rsidRDefault="00621FC6" w:rsidP="00621FC6">
      <w:pPr>
        <w:autoSpaceDE w:val="0"/>
        <w:autoSpaceDN w:val="0"/>
        <w:adjustRightInd w:val="0"/>
        <w:spacing w:after="0" w:line="240" w:lineRule="auto"/>
        <w:contextualSpacing/>
        <w:jc w:val="both"/>
        <w:rPr>
          <w:rFonts w:ascii="Arial" w:hAnsi="Arial" w:cs="Arial"/>
          <w:b/>
          <w:sz w:val="20"/>
          <w:szCs w:val="20"/>
          <w:highlight w:val="white"/>
        </w:rPr>
      </w:pPr>
    </w:p>
    <w:p w:rsidR="00621FC6" w:rsidRPr="005A6216" w:rsidRDefault="00621FC6" w:rsidP="00621FC6">
      <w:pPr>
        <w:autoSpaceDE w:val="0"/>
        <w:autoSpaceDN w:val="0"/>
        <w:adjustRightInd w:val="0"/>
        <w:spacing w:after="0" w:line="240" w:lineRule="auto"/>
        <w:contextualSpacing/>
        <w:jc w:val="both"/>
        <w:rPr>
          <w:rFonts w:ascii="Arial" w:hAnsi="Arial" w:cs="Arial"/>
          <w:sz w:val="20"/>
          <w:szCs w:val="20"/>
        </w:rPr>
      </w:pPr>
      <w:r w:rsidRPr="005A6216">
        <w:rPr>
          <w:rFonts w:ascii="Arial" w:hAnsi="Arial" w:cs="Arial"/>
          <w:b/>
          <w:sz w:val="20"/>
          <w:szCs w:val="20"/>
          <w:highlight w:val="white"/>
        </w:rPr>
        <w:t xml:space="preserve">Recommendation </w:t>
      </w:r>
      <w:r w:rsidR="002B4BA1">
        <w:rPr>
          <w:rFonts w:ascii="Arial" w:hAnsi="Arial" w:cs="Arial"/>
          <w:b/>
          <w:sz w:val="20"/>
          <w:szCs w:val="20"/>
        </w:rPr>
        <w:t>4</w:t>
      </w:r>
      <w:r w:rsidRPr="005A6216">
        <w:rPr>
          <w:rFonts w:ascii="Arial" w:hAnsi="Arial" w:cs="Arial"/>
          <w:sz w:val="20"/>
          <w:szCs w:val="20"/>
        </w:rPr>
        <w:t xml:space="preserve"> </w:t>
      </w:r>
    </w:p>
    <w:p w:rsidR="00621FC6" w:rsidRPr="005A6216" w:rsidRDefault="00621FC6" w:rsidP="00621FC6">
      <w:pPr>
        <w:spacing w:after="0" w:line="240" w:lineRule="auto"/>
        <w:contextualSpacing/>
        <w:jc w:val="both"/>
        <w:rPr>
          <w:rFonts w:ascii="Arial" w:eastAsia="Times New Roman" w:hAnsi="Arial" w:cs="Arial"/>
          <w:sz w:val="20"/>
          <w:szCs w:val="20"/>
        </w:rPr>
      </w:pPr>
      <w:r w:rsidRPr="005A6216">
        <w:rPr>
          <w:rFonts w:ascii="Arial" w:eastAsia="Times New Roman" w:hAnsi="Arial" w:cs="Arial"/>
          <w:sz w:val="20"/>
          <w:szCs w:val="20"/>
        </w:rPr>
        <w:t>Residual IAP monitoring tasks are transferred to a business unit within the NHVR.</w:t>
      </w:r>
    </w:p>
    <w:p w:rsidR="00621FC6" w:rsidRDefault="00621FC6" w:rsidP="00621FC6">
      <w:pPr>
        <w:autoSpaceDE w:val="0"/>
        <w:autoSpaceDN w:val="0"/>
        <w:adjustRightInd w:val="0"/>
        <w:spacing w:after="0" w:line="240" w:lineRule="auto"/>
        <w:contextualSpacing/>
        <w:jc w:val="both"/>
        <w:rPr>
          <w:rFonts w:ascii="Arial" w:hAnsi="Arial" w:cs="Arial"/>
          <w:b/>
          <w:sz w:val="20"/>
          <w:szCs w:val="20"/>
          <w:highlight w:val="white"/>
        </w:rPr>
      </w:pPr>
    </w:p>
    <w:p w:rsidR="00621FC6" w:rsidRPr="005A6216" w:rsidRDefault="00621FC6" w:rsidP="00621FC6">
      <w:pPr>
        <w:autoSpaceDE w:val="0"/>
        <w:autoSpaceDN w:val="0"/>
        <w:adjustRightInd w:val="0"/>
        <w:spacing w:after="0" w:line="240" w:lineRule="auto"/>
        <w:contextualSpacing/>
        <w:jc w:val="both"/>
        <w:rPr>
          <w:rFonts w:ascii="Arial" w:hAnsi="Arial" w:cs="Arial"/>
          <w:sz w:val="20"/>
          <w:szCs w:val="20"/>
        </w:rPr>
      </w:pPr>
      <w:r w:rsidRPr="005A6216">
        <w:rPr>
          <w:rFonts w:ascii="Arial" w:hAnsi="Arial" w:cs="Arial"/>
          <w:b/>
          <w:sz w:val="20"/>
          <w:szCs w:val="20"/>
          <w:highlight w:val="white"/>
        </w:rPr>
        <w:t xml:space="preserve">Recommendation </w:t>
      </w:r>
      <w:r>
        <w:rPr>
          <w:rFonts w:ascii="Arial" w:hAnsi="Arial" w:cs="Arial"/>
          <w:b/>
          <w:sz w:val="20"/>
          <w:szCs w:val="20"/>
        </w:rPr>
        <w:t>5</w:t>
      </w:r>
      <w:r w:rsidRPr="005A6216">
        <w:rPr>
          <w:rFonts w:ascii="Arial" w:hAnsi="Arial" w:cs="Arial"/>
          <w:sz w:val="20"/>
          <w:szCs w:val="20"/>
        </w:rPr>
        <w:t xml:space="preserve"> </w:t>
      </w:r>
    </w:p>
    <w:p w:rsidR="00621FC6" w:rsidRDefault="00621FC6" w:rsidP="00621FC6">
      <w:pPr>
        <w:spacing w:after="0" w:line="240" w:lineRule="auto"/>
        <w:contextualSpacing/>
        <w:jc w:val="both"/>
        <w:rPr>
          <w:rFonts w:ascii="Arial" w:hAnsi="Arial" w:cs="Arial"/>
          <w:b/>
          <w:sz w:val="20"/>
          <w:szCs w:val="20"/>
        </w:rPr>
      </w:pPr>
      <w:r w:rsidRPr="005A6216">
        <w:rPr>
          <w:rFonts w:ascii="Arial" w:eastAsia="Times New Roman" w:hAnsi="Arial" w:cs="Arial"/>
          <w:sz w:val="20"/>
          <w:szCs w:val="20"/>
        </w:rPr>
        <w:t xml:space="preserve">NTC retains responsibility for compliance </w:t>
      </w:r>
      <w:r>
        <w:rPr>
          <w:rFonts w:ascii="Arial" w:eastAsia="Times New Roman" w:hAnsi="Arial" w:cs="Arial"/>
          <w:sz w:val="20"/>
          <w:szCs w:val="20"/>
        </w:rPr>
        <w:t xml:space="preserve">assurance </w:t>
      </w:r>
      <w:r w:rsidRPr="005A6216">
        <w:rPr>
          <w:rFonts w:ascii="Arial" w:eastAsia="Times New Roman" w:hAnsi="Arial" w:cs="Arial"/>
          <w:sz w:val="20"/>
          <w:szCs w:val="20"/>
        </w:rPr>
        <w:t>policy.</w:t>
      </w:r>
    </w:p>
    <w:p w:rsidR="00D44B66" w:rsidRPr="005A6216" w:rsidRDefault="00D44B66" w:rsidP="00C67BF0">
      <w:pPr>
        <w:pStyle w:val="ListParagraph"/>
        <w:ind w:left="0"/>
        <w:rPr>
          <w:rFonts w:ascii="Arial" w:hAnsi="Arial" w:cs="Arial"/>
          <w:b/>
          <w:sz w:val="20"/>
          <w:szCs w:val="20"/>
        </w:rPr>
      </w:pPr>
    </w:p>
    <w:p w:rsidR="00D23407" w:rsidRPr="005A6216" w:rsidRDefault="00D23407" w:rsidP="00C67BF0">
      <w:pPr>
        <w:pStyle w:val="ListParagraph"/>
        <w:ind w:left="0"/>
        <w:rPr>
          <w:rFonts w:ascii="Arial" w:hAnsi="Arial" w:cs="Arial"/>
          <w:b/>
          <w:sz w:val="20"/>
          <w:szCs w:val="20"/>
        </w:rPr>
      </w:pPr>
    </w:p>
    <w:p w:rsidR="00B61B0A" w:rsidRPr="00B97FC5" w:rsidRDefault="0077783A" w:rsidP="00B97FC5">
      <w:pPr>
        <w:pStyle w:val="Heading1"/>
        <w:numPr>
          <w:ilvl w:val="0"/>
          <w:numId w:val="0"/>
        </w:numPr>
        <w:ind w:left="360" w:hanging="360"/>
      </w:pPr>
      <w:r w:rsidRPr="00B97FC5">
        <w:t xml:space="preserve">4. </w:t>
      </w:r>
      <w:r>
        <w:t xml:space="preserve">IAP </w:t>
      </w:r>
      <w:r w:rsidRPr="00B97FC5">
        <w:t>Program Outcomes</w:t>
      </w:r>
    </w:p>
    <w:p w:rsidR="00A47822" w:rsidRPr="005A6216" w:rsidRDefault="00A47822" w:rsidP="00C67BF0">
      <w:pPr>
        <w:spacing w:after="0" w:line="240" w:lineRule="auto"/>
        <w:contextualSpacing/>
        <w:rPr>
          <w:rFonts w:cs="Arial"/>
          <w:b/>
          <w:sz w:val="20"/>
          <w:szCs w:val="20"/>
        </w:rPr>
      </w:pPr>
    </w:p>
    <w:p w:rsidR="00C15B8B" w:rsidRPr="005A6216" w:rsidRDefault="00C15B8B" w:rsidP="00C15B8B">
      <w:pPr>
        <w:spacing w:after="0" w:line="240" w:lineRule="auto"/>
        <w:contextualSpacing/>
        <w:jc w:val="both"/>
        <w:rPr>
          <w:rFonts w:ascii="Arial" w:eastAsia="Times New Roman" w:hAnsi="Arial" w:cs="Arial"/>
          <w:sz w:val="20"/>
          <w:szCs w:val="20"/>
        </w:rPr>
      </w:pPr>
      <w:r w:rsidRPr="005A6216">
        <w:rPr>
          <w:rFonts w:ascii="Arial" w:eastAsia="Times New Roman" w:hAnsi="Arial" w:cs="Arial"/>
          <w:sz w:val="20"/>
          <w:szCs w:val="20"/>
        </w:rPr>
        <w:t xml:space="preserve">After seven years of Stage 1 implementation, it is high time </w:t>
      </w:r>
      <w:r w:rsidR="007E5963">
        <w:rPr>
          <w:rFonts w:ascii="Arial" w:eastAsia="Times New Roman" w:hAnsi="Arial" w:cs="Arial"/>
          <w:sz w:val="20"/>
          <w:szCs w:val="20"/>
        </w:rPr>
        <w:t>this program</w:t>
      </w:r>
      <w:r w:rsidRPr="005A6216">
        <w:rPr>
          <w:rFonts w:ascii="Arial" w:eastAsia="Times New Roman" w:hAnsi="Arial" w:cs="Arial"/>
          <w:sz w:val="20"/>
          <w:szCs w:val="20"/>
        </w:rPr>
        <w:t xml:space="preserve"> </w:t>
      </w:r>
      <w:r w:rsidR="001D330C">
        <w:rPr>
          <w:rFonts w:ascii="Arial" w:eastAsia="Times New Roman" w:hAnsi="Arial" w:cs="Arial"/>
          <w:sz w:val="20"/>
          <w:szCs w:val="20"/>
        </w:rPr>
        <w:t>i</w:t>
      </w:r>
      <w:r w:rsidRPr="005A6216">
        <w:rPr>
          <w:rFonts w:ascii="Arial" w:eastAsia="Times New Roman" w:hAnsi="Arial" w:cs="Arial"/>
          <w:sz w:val="20"/>
          <w:szCs w:val="20"/>
        </w:rPr>
        <w:t>s reviewed. Likewise, it is time for IAP’s administration by road agencies and subsequent access and productivity outcomes to be carefully evaluated. In a separate stream of inquiry, it is also in the national interest for public policy relating to the nature and scope of ubiquitous electronic monitoring of the private sector to be articulated for future public debate and decision-making.</w:t>
      </w:r>
    </w:p>
    <w:p w:rsidR="0080500C" w:rsidRPr="005A6216" w:rsidRDefault="0080500C" w:rsidP="00C15B8B">
      <w:pPr>
        <w:spacing w:after="0" w:line="240" w:lineRule="auto"/>
        <w:contextualSpacing/>
        <w:jc w:val="both"/>
        <w:rPr>
          <w:rFonts w:ascii="Arial" w:eastAsia="Times New Roman" w:hAnsi="Arial" w:cs="Arial"/>
          <w:sz w:val="20"/>
          <w:szCs w:val="20"/>
        </w:rPr>
      </w:pPr>
    </w:p>
    <w:p w:rsidR="005B1371" w:rsidRPr="005A6216" w:rsidRDefault="005B1371" w:rsidP="00C15B8B">
      <w:pPr>
        <w:spacing w:after="0" w:line="240" w:lineRule="auto"/>
        <w:contextualSpacing/>
        <w:jc w:val="both"/>
        <w:rPr>
          <w:rFonts w:ascii="Arial" w:eastAsia="Times New Roman" w:hAnsi="Arial" w:cs="Arial"/>
          <w:sz w:val="20"/>
          <w:szCs w:val="20"/>
        </w:rPr>
      </w:pPr>
      <w:r w:rsidRPr="005A6216">
        <w:rPr>
          <w:rFonts w:ascii="Arial" w:eastAsia="Times New Roman" w:hAnsi="Arial" w:cs="Arial"/>
          <w:sz w:val="20"/>
          <w:szCs w:val="20"/>
        </w:rPr>
        <w:t xml:space="preserve">The </w:t>
      </w:r>
      <w:r w:rsidR="005C5178">
        <w:rPr>
          <w:rFonts w:ascii="Arial" w:eastAsia="Times New Roman" w:hAnsi="Arial" w:cs="Arial"/>
          <w:sz w:val="20"/>
          <w:szCs w:val="20"/>
        </w:rPr>
        <w:t xml:space="preserve">original </w:t>
      </w:r>
      <w:r w:rsidR="009212B7">
        <w:rPr>
          <w:rFonts w:ascii="Arial" w:eastAsia="Times New Roman" w:hAnsi="Arial" w:cs="Arial"/>
          <w:sz w:val="20"/>
          <w:szCs w:val="20"/>
        </w:rPr>
        <w:t xml:space="preserve">development </w:t>
      </w:r>
      <w:r w:rsidRPr="005A6216">
        <w:rPr>
          <w:rFonts w:ascii="Arial" w:eastAsia="Times New Roman" w:hAnsi="Arial" w:cs="Arial"/>
          <w:sz w:val="20"/>
          <w:szCs w:val="20"/>
        </w:rPr>
        <w:t xml:space="preserve">proposal </w:t>
      </w:r>
      <w:r w:rsidR="00D05382">
        <w:rPr>
          <w:rFonts w:ascii="Arial" w:eastAsia="Times New Roman" w:hAnsi="Arial" w:cs="Arial"/>
          <w:sz w:val="20"/>
          <w:szCs w:val="20"/>
        </w:rPr>
        <w:t>that</w:t>
      </w:r>
      <w:r w:rsidR="00D05382" w:rsidRPr="005A6216">
        <w:rPr>
          <w:rFonts w:ascii="Arial" w:eastAsia="Times New Roman" w:hAnsi="Arial" w:cs="Arial"/>
          <w:sz w:val="20"/>
          <w:szCs w:val="20"/>
        </w:rPr>
        <w:t xml:space="preserve"> </w:t>
      </w:r>
      <w:r w:rsidR="00B5772B" w:rsidRPr="005A6216">
        <w:rPr>
          <w:rFonts w:ascii="Arial" w:eastAsia="Times New Roman" w:hAnsi="Arial" w:cs="Arial"/>
          <w:sz w:val="20"/>
          <w:szCs w:val="20"/>
        </w:rPr>
        <w:t xml:space="preserve">IAP </w:t>
      </w:r>
      <w:r w:rsidR="00D05382">
        <w:rPr>
          <w:rFonts w:ascii="Arial" w:eastAsia="Times New Roman" w:hAnsi="Arial" w:cs="Arial"/>
          <w:sz w:val="20"/>
          <w:szCs w:val="20"/>
        </w:rPr>
        <w:t xml:space="preserve">could be </w:t>
      </w:r>
      <w:r w:rsidR="009212B7">
        <w:rPr>
          <w:rFonts w:ascii="Arial" w:eastAsia="Times New Roman" w:hAnsi="Arial" w:cs="Arial"/>
          <w:sz w:val="20"/>
          <w:szCs w:val="20"/>
        </w:rPr>
        <w:t xml:space="preserve">expanded and </w:t>
      </w:r>
      <w:r w:rsidR="00ED75AA">
        <w:rPr>
          <w:rFonts w:ascii="Arial" w:eastAsia="Times New Roman" w:hAnsi="Arial" w:cs="Arial"/>
          <w:sz w:val="20"/>
          <w:szCs w:val="20"/>
        </w:rPr>
        <w:t xml:space="preserve">deployed </w:t>
      </w:r>
      <w:r w:rsidR="00B5772B" w:rsidRPr="005A6216">
        <w:rPr>
          <w:rFonts w:ascii="Arial" w:eastAsia="Times New Roman" w:hAnsi="Arial" w:cs="Arial"/>
          <w:sz w:val="20"/>
          <w:szCs w:val="20"/>
        </w:rPr>
        <w:t xml:space="preserve">as a </w:t>
      </w:r>
      <w:r w:rsidR="00876206">
        <w:rPr>
          <w:rFonts w:ascii="Arial" w:eastAsia="Times New Roman" w:hAnsi="Arial" w:cs="Arial"/>
          <w:sz w:val="20"/>
          <w:szCs w:val="20"/>
        </w:rPr>
        <w:t xml:space="preserve">mandatory, </w:t>
      </w:r>
      <w:r w:rsidR="00B5772B" w:rsidRPr="005A6216">
        <w:rPr>
          <w:rFonts w:ascii="Arial" w:eastAsia="Times New Roman" w:hAnsi="Arial" w:cs="Arial"/>
          <w:sz w:val="20"/>
          <w:szCs w:val="20"/>
        </w:rPr>
        <w:t xml:space="preserve">ubiquitous technology in </w:t>
      </w:r>
      <w:r w:rsidR="009212B7">
        <w:rPr>
          <w:rFonts w:ascii="Arial" w:eastAsia="Times New Roman" w:hAnsi="Arial" w:cs="Arial"/>
          <w:sz w:val="20"/>
          <w:szCs w:val="20"/>
        </w:rPr>
        <w:t xml:space="preserve">various </w:t>
      </w:r>
      <w:r w:rsidR="00B5772B" w:rsidRPr="005A6216">
        <w:rPr>
          <w:rFonts w:ascii="Arial" w:eastAsia="Times New Roman" w:hAnsi="Arial" w:cs="Arial"/>
          <w:sz w:val="20"/>
          <w:szCs w:val="20"/>
        </w:rPr>
        <w:t xml:space="preserve">government applications across industry is abhorrent to </w:t>
      </w:r>
      <w:r w:rsidR="001D330C">
        <w:rPr>
          <w:rFonts w:ascii="Arial" w:eastAsia="Times New Roman" w:hAnsi="Arial" w:cs="Arial"/>
          <w:sz w:val="20"/>
          <w:szCs w:val="20"/>
        </w:rPr>
        <w:t xml:space="preserve">both </w:t>
      </w:r>
      <w:r w:rsidR="00B5772B" w:rsidRPr="005A6216">
        <w:rPr>
          <w:rFonts w:ascii="Arial" w:eastAsia="Times New Roman" w:hAnsi="Arial" w:cs="Arial"/>
          <w:sz w:val="20"/>
          <w:szCs w:val="20"/>
        </w:rPr>
        <w:t xml:space="preserve">the industry and </w:t>
      </w:r>
      <w:r w:rsidR="009A42BA">
        <w:rPr>
          <w:rFonts w:ascii="Arial" w:eastAsia="Times New Roman" w:hAnsi="Arial" w:cs="Arial"/>
          <w:sz w:val="20"/>
          <w:szCs w:val="20"/>
        </w:rPr>
        <w:t xml:space="preserve">to the </w:t>
      </w:r>
      <w:r w:rsidR="00B5772B" w:rsidRPr="005A6216">
        <w:rPr>
          <w:rFonts w:ascii="Arial" w:eastAsia="Times New Roman" w:hAnsi="Arial" w:cs="Arial"/>
          <w:sz w:val="20"/>
          <w:szCs w:val="20"/>
        </w:rPr>
        <w:t xml:space="preserve">principles of Australia as a democracy. </w:t>
      </w:r>
    </w:p>
    <w:p w:rsidR="00C15B8B" w:rsidRDefault="00C15B8B" w:rsidP="00C67BF0">
      <w:pPr>
        <w:pStyle w:val="ListParagraph"/>
        <w:ind w:left="0"/>
        <w:rPr>
          <w:rFonts w:ascii="Arial" w:hAnsi="Arial" w:cs="Arial"/>
          <w:b/>
          <w:sz w:val="24"/>
          <w:szCs w:val="24"/>
        </w:rPr>
      </w:pPr>
    </w:p>
    <w:p w:rsidR="00BD30AC" w:rsidRPr="00B97FC5" w:rsidRDefault="004527CD" w:rsidP="00B97FC5">
      <w:pPr>
        <w:pStyle w:val="Heading1"/>
        <w:numPr>
          <w:ilvl w:val="0"/>
          <w:numId w:val="0"/>
        </w:numPr>
        <w:ind w:left="360" w:hanging="360"/>
        <w:rPr>
          <w:sz w:val="24"/>
          <w:szCs w:val="24"/>
        </w:rPr>
      </w:pPr>
      <w:r w:rsidRPr="00B97FC5">
        <w:rPr>
          <w:sz w:val="24"/>
          <w:szCs w:val="24"/>
        </w:rPr>
        <w:t xml:space="preserve">4.1 </w:t>
      </w:r>
      <w:r w:rsidR="00671392" w:rsidRPr="00B97FC5">
        <w:rPr>
          <w:sz w:val="24"/>
          <w:szCs w:val="24"/>
        </w:rPr>
        <w:t xml:space="preserve">ATA </w:t>
      </w:r>
      <w:r w:rsidR="008E2743" w:rsidRPr="00B97FC5">
        <w:rPr>
          <w:sz w:val="24"/>
          <w:szCs w:val="24"/>
        </w:rPr>
        <w:t xml:space="preserve">Submissions </w:t>
      </w:r>
      <w:r w:rsidR="00D939EF" w:rsidRPr="00B97FC5">
        <w:rPr>
          <w:sz w:val="24"/>
          <w:szCs w:val="24"/>
        </w:rPr>
        <w:t xml:space="preserve">on </w:t>
      </w:r>
      <w:r w:rsidR="000437DF" w:rsidRPr="00B97FC5">
        <w:rPr>
          <w:sz w:val="24"/>
          <w:szCs w:val="24"/>
        </w:rPr>
        <w:t>IAP</w:t>
      </w:r>
    </w:p>
    <w:p w:rsidR="00163D42" w:rsidRPr="005A6216" w:rsidRDefault="004D30D8" w:rsidP="001E712A">
      <w:pPr>
        <w:spacing w:after="0" w:line="240" w:lineRule="auto"/>
        <w:contextualSpacing/>
        <w:jc w:val="both"/>
        <w:rPr>
          <w:rFonts w:ascii="Arial" w:hAnsi="Arial" w:cs="Arial"/>
          <w:sz w:val="20"/>
          <w:szCs w:val="20"/>
        </w:rPr>
      </w:pPr>
      <w:r w:rsidRPr="005A6216">
        <w:rPr>
          <w:rFonts w:ascii="Arial" w:hAnsi="Arial" w:cs="Arial"/>
          <w:sz w:val="20"/>
          <w:szCs w:val="20"/>
        </w:rPr>
        <w:t xml:space="preserve">The </w:t>
      </w:r>
      <w:r w:rsidR="007F2B0B" w:rsidRPr="005A6216">
        <w:rPr>
          <w:rFonts w:ascii="Arial" w:hAnsi="Arial" w:cs="Arial"/>
          <w:sz w:val="20"/>
          <w:szCs w:val="20"/>
        </w:rPr>
        <w:t>ATA has</w:t>
      </w:r>
      <w:r w:rsidR="00400AFC" w:rsidRPr="005A6216">
        <w:rPr>
          <w:rFonts w:ascii="Arial" w:hAnsi="Arial" w:cs="Arial"/>
          <w:sz w:val="20"/>
          <w:szCs w:val="20"/>
        </w:rPr>
        <w:t xml:space="preserve"> </w:t>
      </w:r>
      <w:r w:rsidR="00F5630F" w:rsidRPr="005A6216">
        <w:rPr>
          <w:rFonts w:ascii="Arial" w:hAnsi="Arial" w:cs="Arial"/>
          <w:sz w:val="20"/>
          <w:szCs w:val="20"/>
        </w:rPr>
        <w:t xml:space="preserve">submitted </w:t>
      </w:r>
      <w:r w:rsidR="00B86FD5">
        <w:rPr>
          <w:rFonts w:ascii="Arial" w:hAnsi="Arial" w:cs="Arial"/>
          <w:sz w:val="20"/>
          <w:szCs w:val="20"/>
        </w:rPr>
        <w:t xml:space="preserve">numerous </w:t>
      </w:r>
      <w:r w:rsidR="00053D47" w:rsidRPr="005A6216">
        <w:rPr>
          <w:rFonts w:ascii="Arial" w:hAnsi="Arial" w:cs="Arial"/>
          <w:sz w:val="20"/>
          <w:szCs w:val="20"/>
        </w:rPr>
        <w:t xml:space="preserve">submissions </w:t>
      </w:r>
      <w:r w:rsidR="00F5630F" w:rsidRPr="005A6216">
        <w:rPr>
          <w:rFonts w:ascii="Arial" w:hAnsi="Arial" w:cs="Arial"/>
          <w:sz w:val="20"/>
          <w:szCs w:val="20"/>
        </w:rPr>
        <w:t>to</w:t>
      </w:r>
      <w:r w:rsidR="000437DF" w:rsidRPr="005A6216">
        <w:rPr>
          <w:rFonts w:ascii="Arial" w:hAnsi="Arial" w:cs="Arial"/>
          <w:sz w:val="20"/>
          <w:szCs w:val="20"/>
        </w:rPr>
        <w:t xml:space="preserve"> government</w:t>
      </w:r>
      <w:r w:rsidR="00F5630F" w:rsidRPr="005A6216">
        <w:rPr>
          <w:rFonts w:ascii="Arial" w:hAnsi="Arial" w:cs="Arial"/>
          <w:sz w:val="20"/>
          <w:szCs w:val="20"/>
        </w:rPr>
        <w:t>s</w:t>
      </w:r>
      <w:r w:rsidR="000437DF" w:rsidRPr="005A6216">
        <w:rPr>
          <w:rFonts w:ascii="Arial" w:hAnsi="Arial" w:cs="Arial"/>
          <w:sz w:val="20"/>
          <w:szCs w:val="20"/>
        </w:rPr>
        <w:t xml:space="preserve"> </w:t>
      </w:r>
      <w:r w:rsidR="00563C51" w:rsidRPr="005A6216">
        <w:rPr>
          <w:rFonts w:ascii="Arial" w:hAnsi="Arial" w:cs="Arial"/>
          <w:sz w:val="20"/>
          <w:szCs w:val="20"/>
        </w:rPr>
        <w:t>on</w:t>
      </w:r>
      <w:r w:rsidR="00A34E68" w:rsidRPr="005A6216">
        <w:rPr>
          <w:rFonts w:ascii="Arial" w:hAnsi="Arial" w:cs="Arial"/>
          <w:sz w:val="20"/>
          <w:szCs w:val="20"/>
        </w:rPr>
        <w:t xml:space="preserve"> IAP</w:t>
      </w:r>
      <w:r w:rsidR="004F5AFB" w:rsidRPr="005A6216">
        <w:rPr>
          <w:rFonts w:ascii="Arial" w:hAnsi="Arial" w:cs="Arial"/>
          <w:sz w:val="20"/>
          <w:szCs w:val="20"/>
        </w:rPr>
        <w:t>,</w:t>
      </w:r>
      <w:r w:rsidR="00A34E68" w:rsidRPr="005A6216">
        <w:rPr>
          <w:rFonts w:ascii="Arial" w:hAnsi="Arial" w:cs="Arial"/>
          <w:sz w:val="20"/>
          <w:szCs w:val="20"/>
        </w:rPr>
        <w:t xml:space="preserve"> </w:t>
      </w:r>
      <w:r w:rsidR="00400AFC" w:rsidRPr="005A6216">
        <w:rPr>
          <w:rFonts w:ascii="Arial" w:hAnsi="Arial" w:cs="Arial"/>
          <w:sz w:val="20"/>
          <w:szCs w:val="20"/>
        </w:rPr>
        <w:t>rais</w:t>
      </w:r>
      <w:r w:rsidR="00432528" w:rsidRPr="005A6216">
        <w:rPr>
          <w:rFonts w:ascii="Arial" w:hAnsi="Arial" w:cs="Arial"/>
          <w:sz w:val="20"/>
          <w:szCs w:val="20"/>
        </w:rPr>
        <w:t>ing</w:t>
      </w:r>
      <w:r w:rsidR="00A34E68" w:rsidRPr="005A6216">
        <w:rPr>
          <w:rFonts w:ascii="Arial" w:hAnsi="Arial" w:cs="Arial"/>
          <w:sz w:val="20"/>
          <w:szCs w:val="20"/>
        </w:rPr>
        <w:t xml:space="preserve"> </w:t>
      </w:r>
      <w:r w:rsidR="00043446" w:rsidRPr="005A6216">
        <w:rPr>
          <w:rFonts w:ascii="Arial" w:hAnsi="Arial" w:cs="Arial"/>
          <w:sz w:val="20"/>
          <w:szCs w:val="20"/>
        </w:rPr>
        <w:t>technical</w:t>
      </w:r>
      <w:r w:rsidR="00A34E68" w:rsidRPr="005A6216">
        <w:rPr>
          <w:rFonts w:ascii="Arial" w:hAnsi="Arial" w:cs="Arial"/>
          <w:sz w:val="20"/>
          <w:szCs w:val="20"/>
        </w:rPr>
        <w:t xml:space="preserve">, legal, financial </w:t>
      </w:r>
      <w:r w:rsidR="00432528" w:rsidRPr="005A6216">
        <w:rPr>
          <w:rFonts w:ascii="Arial" w:hAnsi="Arial" w:cs="Arial"/>
          <w:sz w:val="20"/>
          <w:szCs w:val="20"/>
        </w:rPr>
        <w:t>and policy</w:t>
      </w:r>
      <w:r w:rsidR="00400AFC" w:rsidRPr="005A6216">
        <w:rPr>
          <w:rFonts w:ascii="Arial" w:hAnsi="Arial" w:cs="Arial"/>
          <w:sz w:val="20"/>
          <w:szCs w:val="20"/>
        </w:rPr>
        <w:t xml:space="preserve"> concerns</w:t>
      </w:r>
      <w:r w:rsidR="007F2B0B" w:rsidRPr="005A6216">
        <w:rPr>
          <w:rFonts w:ascii="Arial" w:hAnsi="Arial" w:cs="Arial"/>
          <w:sz w:val="20"/>
          <w:szCs w:val="20"/>
        </w:rPr>
        <w:t xml:space="preserve">. </w:t>
      </w:r>
      <w:r w:rsidR="00432528" w:rsidRPr="005A6216">
        <w:rPr>
          <w:rFonts w:ascii="Arial" w:hAnsi="Arial" w:cs="Arial"/>
          <w:sz w:val="20"/>
          <w:szCs w:val="20"/>
        </w:rPr>
        <w:t>The</w:t>
      </w:r>
      <w:r w:rsidR="00053D47">
        <w:rPr>
          <w:rFonts w:ascii="Arial" w:hAnsi="Arial" w:cs="Arial"/>
          <w:sz w:val="20"/>
          <w:szCs w:val="20"/>
        </w:rPr>
        <w:t>se</w:t>
      </w:r>
      <w:r w:rsidR="004F5AFB" w:rsidRPr="005A6216">
        <w:rPr>
          <w:rFonts w:ascii="Arial" w:hAnsi="Arial" w:cs="Arial"/>
          <w:sz w:val="20"/>
          <w:szCs w:val="20"/>
        </w:rPr>
        <w:t xml:space="preserve"> </w:t>
      </w:r>
      <w:r w:rsidR="00053D47">
        <w:rPr>
          <w:rFonts w:ascii="Arial" w:hAnsi="Arial" w:cs="Arial"/>
          <w:sz w:val="20"/>
          <w:szCs w:val="20"/>
        </w:rPr>
        <w:t>documents</w:t>
      </w:r>
      <w:r w:rsidR="00432528" w:rsidRPr="005A6216">
        <w:rPr>
          <w:rFonts w:ascii="Arial" w:hAnsi="Arial" w:cs="Arial"/>
          <w:sz w:val="20"/>
          <w:szCs w:val="20"/>
        </w:rPr>
        <w:t xml:space="preserve"> </w:t>
      </w:r>
      <w:r w:rsidR="00F3203E" w:rsidRPr="005A6216">
        <w:rPr>
          <w:rFonts w:ascii="Arial" w:hAnsi="Arial" w:cs="Arial"/>
          <w:sz w:val="20"/>
          <w:szCs w:val="20"/>
        </w:rPr>
        <w:t>warrant revisiting</w:t>
      </w:r>
      <w:r w:rsidR="00195B23" w:rsidRPr="005A6216">
        <w:rPr>
          <w:rFonts w:ascii="Arial" w:hAnsi="Arial" w:cs="Arial"/>
          <w:sz w:val="20"/>
          <w:szCs w:val="20"/>
        </w:rPr>
        <w:t xml:space="preserve"> during the</w:t>
      </w:r>
      <w:r w:rsidRPr="005A6216">
        <w:rPr>
          <w:rFonts w:ascii="Arial" w:hAnsi="Arial" w:cs="Arial"/>
          <w:sz w:val="20"/>
          <w:szCs w:val="20"/>
        </w:rPr>
        <w:t xml:space="preserve"> NTC</w:t>
      </w:r>
      <w:r w:rsidR="00195B23" w:rsidRPr="005A6216">
        <w:rPr>
          <w:rFonts w:ascii="Arial" w:hAnsi="Arial" w:cs="Arial"/>
          <w:sz w:val="20"/>
          <w:szCs w:val="20"/>
        </w:rPr>
        <w:t xml:space="preserve"> </w:t>
      </w:r>
      <w:r w:rsidRPr="005A6216">
        <w:rPr>
          <w:rFonts w:ascii="Arial" w:hAnsi="Arial" w:cs="Arial"/>
          <w:sz w:val="20"/>
          <w:szCs w:val="20"/>
        </w:rPr>
        <w:t>r</w:t>
      </w:r>
      <w:r w:rsidR="00195B23" w:rsidRPr="005A6216">
        <w:rPr>
          <w:rFonts w:ascii="Arial" w:hAnsi="Arial" w:cs="Arial"/>
          <w:sz w:val="20"/>
          <w:szCs w:val="20"/>
        </w:rPr>
        <w:t>eview</w:t>
      </w:r>
      <w:r w:rsidR="00A34E68" w:rsidRPr="005A6216">
        <w:rPr>
          <w:rFonts w:ascii="Arial" w:hAnsi="Arial" w:cs="Arial"/>
          <w:sz w:val="20"/>
          <w:szCs w:val="20"/>
        </w:rPr>
        <w:t xml:space="preserve"> </w:t>
      </w:r>
      <w:r w:rsidR="00053D47">
        <w:rPr>
          <w:rFonts w:ascii="Arial" w:hAnsi="Arial" w:cs="Arial"/>
          <w:sz w:val="20"/>
          <w:szCs w:val="20"/>
        </w:rPr>
        <w:t xml:space="preserve">of IAP </w:t>
      </w:r>
      <w:r w:rsidR="00A34E68" w:rsidRPr="005A6216">
        <w:rPr>
          <w:rFonts w:ascii="Arial" w:hAnsi="Arial" w:cs="Arial"/>
          <w:sz w:val="20"/>
          <w:szCs w:val="20"/>
        </w:rPr>
        <w:t xml:space="preserve">and </w:t>
      </w:r>
      <w:r w:rsidRPr="005A6216">
        <w:rPr>
          <w:rFonts w:ascii="Arial" w:hAnsi="Arial" w:cs="Arial"/>
          <w:sz w:val="20"/>
          <w:szCs w:val="20"/>
        </w:rPr>
        <w:t xml:space="preserve">they </w:t>
      </w:r>
      <w:r w:rsidR="00A34E68" w:rsidRPr="005A6216">
        <w:rPr>
          <w:rFonts w:ascii="Arial" w:hAnsi="Arial" w:cs="Arial"/>
          <w:sz w:val="20"/>
          <w:szCs w:val="20"/>
        </w:rPr>
        <w:t xml:space="preserve">have been provided with </w:t>
      </w:r>
      <w:r w:rsidRPr="005A6216">
        <w:rPr>
          <w:rFonts w:ascii="Arial" w:hAnsi="Arial" w:cs="Arial"/>
          <w:sz w:val="20"/>
          <w:szCs w:val="20"/>
        </w:rPr>
        <w:t>this</w:t>
      </w:r>
      <w:r w:rsidR="00A34E68" w:rsidRPr="005A6216">
        <w:rPr>
          <w:rFonts w:ascii="Arial" w:hAnsi="Arial" w:cs="Arial"/>
          <w:sz w:val="20"/>
          <w:szCs w:val="20"/>
        </w:rPr>
        <w:t xml:space="preserve"> submission</w:t>
      </w:r>
      <w:r w:rsidR="0096261B">
        <w:rPr>
          <w:rFonts w:ascii="Arial" w:hAnsi="Arial" w:cs="Arial"/>
          <w:sz w:val="20"/>
          <w:szCs w:val="20"/>
        </w:rPr>
        <w:t xml:space="preserve"> as listed</w:t>
      </w:r>
      <w:r w:rsidR="00A34E68" w:rsidRPr="005A6216">
        <w:rPr>
          <w:rFonts w:ascii="Arial" w:hAnsi="Arial" w:cs="Arial"/>
          <w:sz w:val="20"/>
          <w:szCs w:val="20"/>
        </w:rPr>
        <w:t>:</w:t>
      </w:r>
    </w:p>
    <w:p w:rsidR="00D939EF" w:rsidRPr="005A6216" w:rsidRDefault="00D939EF" w:rsidP="001E712A">
      <w:pPr>
        <w:spacing w:after="0" w:line="240" w:lineRule="auto"/>
        <w:contextualSpacing/>
        <w:jc w:val="both"/>
        <w:rPr>
          <w:rFonts w:cs="Arial"/>
          <w:sz w:val="20"/>
          <w:szCs w:val="20"/>
        </w:rPr>
      </w:pPr>
    </w:p>
    <w:p w:rsidR="0015188E" w:rsidRPr="005A6216" w:rsidRDefault="0015188E" w:rsidP="00663B5B">
      <w:pPr>
        <w:pStyle w:val="Normal-paras"/>
        <w:numPr>
          <w:ilvl w:val="0"/>
          <w:numId w:val="24"/>
        </w:numPr>
        <w:spacing w:after="0"/>
        <w:contextualSpacing/>
        <w:jc w:val="left"/>
        <w:rPr>
          <w:rFonts w:asciiTheme="minorHAnsi" w:hAnsiTheme="minorHAnsi" w:cs="Arial"/>
          <w:sz w:val="20"/>
        </w:rPr>
      </w:pPr>
      <w:r w:rsidRPr="005A6216">
        <w:rPr>
          <w:rFonts w:asciiTheme="minorHAnsi" w:hAnsiTheme="minorHAnsi" w:cs="Arial"/>
          <w:sz w:val="20"/>
        </w:rPr>
        <w:t xml:space="preserve">2013 </w:t>
      </w:r>
      <w:r w:rsidR="0023149A" w:rsidRPr="005A6216">
        <w:rPr>
          <w:rFonts w:asciiTheme="minorHAnsi" w:hAnsiTheme="minorHAnsi" w:cs="Arial"/>
          <w:sz w:val="20"/>
        </w:rPr>
        <w:t xml:space="preserve">ATA submission on </w:t>
      </w:r>
      <w:r w:rsidRPr="005A6216">
        <w:rPr>
          <w:rFonts w:asciiTheme="minorHAnsi" w:hAnsiTheme="minorHAnsi" w:cs="Arial"/>
          <w:sz w:val="20"/>
        </w:rPr>
        <w:t xml:space="preserve">Cooperative ITS Regulatory Policy </w:t>
      </w:r>
    </w:p>
    <w:p w:rsidR="00D939EF" w:rsidRPr="005A6216" w:rsidRDefault="00D939EF" w:rsidP="00663B5B">
      <w:pPr>
        <w:pStyle w:val="Normal-paras"/>
        <w:numPr>
          <w:ilvl w:val="0"/>
          <w:numId w:val="24"/>
        </w:numPr>
        <w:spacing w:after="0"/>
        <w:contextualSpacing/>
        <w:jc w:val="left"/>
        <w:rPr>
          <w:rFonts w:asciiTheme="minorHAnsi" w:hAnsiTheme="minorHAnsi" w:cs="Arial"/>
          <w:sz w:val="20"/>
        </w:rPr>
      </w:pPr>
      <w:r w:rsidRPr="005A6216">
        <w:rPr>
          <w:rFonts w:asciiTheme="minorHAnsi" w:hAnsiTheme="minorHAnsi" w:cs="Arial"/>
          <w:sz w:val="20"/>
        </w:rPr>
        <w:t>2012</w:t>
      </w:r>
      <w:r w:rsidR="00937F61" w:rsidRPr="005A6216">
        <w:rPr>
          <w:rFonts w:asciiTheme="minorHAnsi" w:hAnsiTheme="minorHAnsi" w:cs="Arial"/>
          <w:sz w:val="20"/>
        </w:rPr>
        <w:t xml:space="preserve"> </w:t>
      </w:r>
      <w:r w:rsidR="0023149A" w:rsidRPr="005A6216">
        <w:rPr>
          <w:rFonts w:asciiTheme="minorHAnsi" w:hAnsiTheme="minorHAnsi" w:cs="Arial"/>
          <w:sz w:val="20"/>
        </w:rPr>
        <w:t xml:space="preserve">ATA </w:t>
      </w:r>
      <w:r w:rsidRPr="005A6216">
        <w:rPr>
          <w:rFonts w:asciiTheme="minorHAnsi" w:hAnsiTheme="minorHAnsi" w:cs="Arial"/>
          <w:sz w:val="20"/>
        </w:rPr>
        <w:t>NSW</w:t>
      </w:r>
      <w:r w:rsidR="00663B5B" w:rsidRPr="005A6216">
        <w:rPr>
          <w:rFonts w:asciiTheme="minorHAnsi" w:hAnsiTheme="minorHAnsi" w:cs="Arial"/>
          <w:sz w:val="20"/>
        </w:rPr>
        <w:t xml:space="preserve"> </w:t>
      </w:r>
      <w:r w:rsidR="00937F61" w:rsidRPr="005A6216">
        <w:rPr>
          <w:rFonts w:asciiTheme="minorHAnsi" w:hAnsiTheme="minorHAnsi" w:cs="Arial"/>
          <w:sz w:val="20"/>
        </w:rPr>
        <w:t>s</w:t>
      </w:r>
      <w:r w:rsidRPr="005A6216">
        <w:rPr>
          <w:rFonts w:asciiTheme="minorHAnsi" w:hAnsiTheme="minorHAnsi" w:cs="Arial"/>
          <w:sz w:val="20"/>
        </w:rPr>
        <w:t xml:space="preserve">ubmission </w:t>
      </w:r>
      <w:r w:rsidR="0023149A" w:rsidRPr="005A6216">
        <w:rPr>
          <w:rFonts w:asciiTheme="minorHAnsi" w:hAnsiTheme="minorHAnsi" w:cs="Arial"/>
          <w:sz w:val="20"/>
        </w:rPr>
        <w:t xml:space="preserve">on the </w:t>
      </w:r>
      <w:r w:rsidRPr="005A6216">
        <w:rPr>
          <w:rFonts w:asciiTheme="minorHAnsi" w:hAnsiTheme="minorHAnsi" w:cs="Arial"/>
          <w:sz w:val="20"/>
        </w:rPr>
        <w:t>NSW Long Term Transport Master Plan</w:t>
      </w:r>
    </w:p>
    <w:p w:rsidR="0038645D" w:rsidRPr="005A6216" w:rsidRDefault="0038645D" w:rsidP="00663B5B">
      <w:pPr>
        <w:pStyle w:val="Normal-paras"/>
        <w:numPr>
          <w:ilvl w:val="0"/>
          <w:numId w:val="24"/>
        </w:numPr>
        <w:spacing w:after="0"/>
        <w:contextualSpacing/>
        <w:jc w:val="left"/>
        <w:rPr>
          <w:rFonts w:asciiTheme="minorHAnsi" w:hAnsiTheme="minorHAnsi" w:cs="Arial"/>
          <w:sz w:val="20"/>
        </w:rPr>
      </w:pPr>
      <w:r w:rsidRPr="005A6216">
        <w:rPr>
          <w:rFonts w:asciiTheme="minorHAnsi" w:hAnsiTheme="minorHAnsi" w:cs="Arial"/>
          <w:sz w:val="20"/>
        </w:rPr>
        <w:t>2012</w:t>
      </w:r>
      <w:r w:rsidR="00937F61" w:rsidRPr="005A6216">
        <w:rPr>
          <w:rFonts w:asciiTheme="minorHAnsi" w:hAnsiTheme="minorHAnsi" w:cs="Arial"/>
          <w:sz w:val="20"/>
        </w:rPr>
        <w:t xml:space="preserve"> </w:t>
      </w:r>
      <w:r w:rsidRPr="005A6216">
        <w:rPr>
          <w:rFonts w:asciiTheme="minorHAnsi" w:hAnsiTheme="minorHAnsi" w:cs="Arial"/>
          <w:sz w:val="20"/>
        </w:rPr>
        <w:t xml:space="preserve">ATA </w:t>
      </w:r>
      <w:r w:rsidR="00E254BB" w:rsidRPr="005A6216">
        <w:rPr>
          <w:rFonts w:asciiTheme="minorHAnsi" w:hAnsiTheme="minorHAnsi" w:cs="Arial"/>
          <w:sz w:val="20"/>
        </w:rPr>
        <w:t>P</w:t>
      </w:r>
      <w:r w:rsidRPr="005A6216">
        <w:rPr>
          <w:rFonts w:asciiTheme="minorHAnsi" w:hAnsiTheme="minorHAnsi" w:cs="Arial"/>
          <w:sz w:val="20"/>
        </w:rPr>
        <w:t>aper</w:t>
      </w:r>
      <w:r w:rsidR="00937F61" w:rsidRPr="005A6216">
        <w:rPr>
          <w:rFonts w:asciiTheme="minorHAnsi" w:hAnsiTheme="minorHAnsi" w:cs="Arial"/>
          <w:sz w:val="20"/>
        </w:rPr>
        <w:t xml:space="preserve"> </w:t>
      </w:r>
      <w:r w:rsidR="005A0EEB">
        <w:rPr>
          <w:rFonts w:asciiTheme="minorHAnsi" w:hAnsiTheme="minorHAnsi" w:cs="Arial"/>
          <w:sz w:val="20"/>
        </w:rPr>
        <w:t xml:space="preserve">on </w:t>
      </w:r>
      <w:r w:rsidRPr="005A6216">
        <w:rPr>
          <w:rFonts w:asciiTheme="minorHAnsi" w:hAnsiTheme="minorHAnsi" w:cs="Arial"/>
          <w:sz w:val="20"/>
        </w:rPr>
        <w:t xml:space="preserve">Equivalent Standard Axles </w:t>
      </w:r>
      <w:r w:rsidR="00937F61" w:rsidRPr="005A6216">
        <w:rPr>
          <w:rFonts w:asciiTheme="minorHAnsi" w:hAnsiTheme="minorHAnsi" w:cs="Arial"/>
          <w:sz w:val="20"/>
        </w:rPr>
        <w:t>&amp;</w:t>
      </w:r>
      <w:r w:rsidRPr="005A6216">
        <w:rPr>
          <w:rFonts w:asciiTheme="minorHAnsi" w:hAnsiTheme="minorHAnsi" w:cs="Arial"/>
          <w:sz w:val="20"/>
        </w:rPr>
        <w:t xml:space="preserve"> Effects </w:t>
      </w:r>
      <w:r w:rsidR="006B2E2E" w:rsidRPr="005A6216">
        <w:rPr>
          <w:rFonts w:asciiTheme="minorHAnsi" w:hAnsiTheme="minorHAnsi" w:cs="Arial"/>
          <w:sz w:val="20"/>
        </w:rPr>
        <w:t>o</w:t>
      </w:r>
      <w:r w:rsidRPr="005A6216">
        <w:rPr>
          <w:rFonts w:asciiTheme="minorHAnsi" w:hAnsiTheme="minorHAnsi" w:cs="Arial"/>
          <w:sz w:val="20"/>
        </w:rPr>
        <w:t xml:space="preserve">f HML </w:t>
      </w:r>
      <w:r w:rsidR="009332F5">
        <w:rPr>
          <w:rFonts w:asciiTheme="minorHAnsi" w:hAnsiTheme="minorHAnsi" w:cs="Arial"/>
          <w:sz w:val="20"/>
        </w:rPr>
        <w:t>o</w:t>
      </w:r>
      <w:r w:rsidRPr="005A6216">
        <w:rPr>
          <w:rFonts w:asciiTheme="minorHAnsi" w:hAnsiTheme="minorHAnsi" w:cs="Arial"/>
          <w:sz w:val="20"/>
        </w:rPr>
        <w:t>n Road Infrastructure</w:t>
      </w:r>
    </w:p>
    <w:p w:rsidR="001E37A2" w:rsidRPr="005A6216" w:rsidRDefault="00937F61" w:rsidP="00663B5B">
      <w:pPr>
        <w:pStyle w:val="Normal-paras"/>
        <w:numPr>
          <w:ilvl w:val="0"/>
          <w:numId w:val="24"/>
        </w:numPr>
        <w:spacing w:after="0"/>
        <w:contextualSpacing/>
        <w:jc w:val="left"/>
        <w:rPr>
          <w:rFonts w:asciiTheme="minorHAnsi" w:hAnsiTheme="minorHAnsi" w:cs="Arial"/>
          <w:sz w:val="20"/>
        </w:rPr>
      </w:pPr>
      <w:r w:rsidRPr="005A6216">
        <w:rPr>
          <w:rFonts w:asciiTheme="minorHAnsi" w:hAnsiTheme="minorHAnsi" w:cs="Arial"/>
          <w:sz w:val="20"/>
        </w:rPr>
        <w:t>2012</w:t>
      </w:r>
      <w:r w:rsidR="001E37A2" w:rsidRPr="005A6216">
        <w:rPr>
          <w:rFonts w:asciiTheme="minorHAnsi" w:hAnsiTheme="minorHAnsi" w:cs="Arial"/>
          <w:sz w:val="20"/>
        </w:rPr>
        <w:t xml:space="preserve"> </w:t>
      </w:r>
      <w:r w:rsidR="00960803" w:rsidRPr="005A6216">
        <w:rPr>
          <w:rFonts w:asciiTheme="minorHAnsi" w:hAnsiTheme="minorHAnsi" w:cs="Arial"/>
          <w:sz w:val="20"/>
        </w:rPr>
        <w:t xml:space="preserve">ATA </w:t>
      </w:r>
      <w:r w:rsidR="00E254BB" w:rsidRPr="005A6216">
        <w:rPr>
          <w:rFonts w:asciiTheme="minorHAnsi" w:hAnsiTheme="minorHAnsi" w:cs="Arial"/>
          <w:sz w:val="20"/>
        </w:rPr>
        <w:t>F</w:t>
      </w:r>
      <w:r w:rsidR="0038645D" w:rsidRPr="005A6216">
        <w:rPr>
          <w:rFonts w:asciiTheme="minorHAnsi" w:hAnsiTheme="minorHAnsi" w:cs="Arial"/>
          <w:sz w:val="20"/>
        </w:rPr>
        <w:t>actsheet</w:t>
      </w:r>
      <w:r w:rsidR="005A0EEB">
        <w:rPr>
          <w:rFonts w:asciiTheme="minorHAnsi" w:hAnsiTheme="minorHAnsi" w:cs="Arial"/>
          <w:sz w:val="20"/>
        </w:rPr>
        <w:t xml:space="preserve"> - </w:t>
      </w:r>
      <w:r w:rsidR="0038645D" w:rsidRPr="005A6216">
        <w:rPr>
          <w:rFonts w:asciiTheme="minorHAnsi" w:hAnsiTheme="minorHAnsi" w:cs="Arial"/>
          <w:sz w:val="20"/>
        </w:rPr>
        <w:t xml:space="preserve">IAP: </w:t>
      </w:r>
      <w:r w:rsidR="001E37A2" w:rsidRPr="005A6216">
        <w:rPr>
          <w:rFonts w:asciiTheme="minorHAnsi" w:hAnsiTheme="minorHAnsi" w:cs="Arial"/>
          <w:sz w:val="20"/>
        </w:rPr>
        <w:t xml:space="preserve">Myths &amp; Facts </w:t>
      </w:r>
    </w:p>
    <w:p w:rsidR="004F5AFB" w:rsidRPr="005A6216" w:rsidRDefault="00937F61" w:rsidP="00663B5B">
      <w:pPr>
        <w:pStyle w:val="Normal-paras"/>
        <w:numPr>
          <w:ilvl w:val="0"/>
          <w:numId w:val="24"/>
        </w:numPr>
        <w:spacing w:after="0"/>
        <w:contextualSpacing/>
        <w:jc w:val="left"/>
        <w:rPr>
          <w:rFonts w:asciiTheme="minorHAnsi" w:hAnsiTheme="minorHAnsi" w:cs="Arial"/>
          <w:sz w:val="20"/>
        </w:rPr>
      </w:pPr>
      <w:r w:rsidRPr="005A6216">
        <w:rPr>
          <w:rFonts w:asciiTheme="minorHAnsi" w:hAnsiTheme="minorHAnsi" w:cs="Arial"/>
          <w:sz w:val="20"/>
        </w:rPr>
        <w:t xml:space="preserve">2012 ATA </w:t>
      </w:r>
      <w:r w:rsidR="005A6216">
        <w:rPr>
          <w:rFonts w:asciiTheme="minorHAnsi" w:hAnsiTheme="minorHAnsi" w:cs="Arial"/>
          <w:sz w:val="20"/>
        </w:rPr>
        <w:t xml:space="preserve">on SA DTEI </w:t>
      </w:r>
      <w:r w:rsidR="004F5AFB" w:rsidRPr="005A6216">
        <w:rPr>
          <w:rFonts w:asciiTheme="minorHAnsi" w:hAnsiTheme="minorHAnsi" w:cs="Arial"/>
          <w:sz w:val="20"/>
        </w:rPr>
        <w:t>Code of Practice for Prescriptive B-Triples</w:t>
      </w:r>
    </w:p>
    <w:p w:rsidR="0023149A" w:rsidRPr="005A6216" w:rsidRDefault="0023149A" w:rsidP="00663B5B">
      <w:pPr>
        <w:pStyle w:val="Normal-paras"/>
        <w:numPr>
          <w:ilvl w:val="0"/>
          <w:numId w:val="24"/>
        </w:numPr>
        <w:spacing w:after="0"/>
        <w:contextualSpacing/>
        <w:jc w:val="left"/>
        <w:rPr>
          <w:rFonts w:asciiTheme="minorHAnsi" w:hAnsiTheme="minorHAnsi" w:cs="Arial"/>
          <w:sz w:val="20"/>
        </w:rPr>
      </w:pPr>
      <w:r w:rsidRPr="005A6216">
        <w:rPr>
          <w:rFonts w:asciiTheme="minorHAnsi" w:hAnsiTheme="minorHAnsi" w:cs="Arial"/>
          <w:sz w:val="20"/>
        </w:rPr>
        <w:t xml:space="preserve">2012 ATA NSW &amp; </w:t>
      </w:r>
      <w:r w:rsidR="009002CD">
        <w:rPr>
          <w:rFonts w:asciiTheme="minorHAnsi" w:hAnsiTheme="minorHAnsi" w:cs="Arial"/>
          <w:sz w:val="20"/>
        </w:rPr>
        <w:t>NatRoad</w:t>
      </w:r>
      <w:r w:rsidRPr="005A6216">
        <w:rPr>
          <w:rFonts w:asciiTheme="minorHAnsi" w:hAnsiTheme="minorHAnsi" w:cs="Arial"/>
          <w:sz w:val="20"/>
        </w:rPr>
        <w:t xml:space="preserve"> </w:t>
      </w:r>
      <w:r w:rsidR="005A6216">
        <w:rPr>
          <w:rFonts w:asciiTheme="minorHAnsi" w:hAnsiTheme="minorHAnsi" w:cs="Arial"/>
          <w:sz w:val="20"/>
        </w:rPr>
        <w:t>-</w:t>
      </w:r>
      <w:r w:rsidRPr="005A6216">
        <w:rPr>
          <w:rFonts w:asciiTheme="minorHAnsi" w:hAnsiTheme="minorHAnsi" w:cs="Arial"/>
          <w:sz w:val="20"/>
        </w:rPr>
        <w:t xml:space="preserve"> Route Assessment Guideline </w:t>
      </w:r>
      <w:r w:rsidR="005A6216">
        <w:rPr>
          <w:rFonts w:asciiTheme="minorHAnsi" w:hAnsiTheme="minorHAnsi" w:cs="Arial"/>
          <w:sz w:val="20"/>
        </w:rPr>
        <w:t>&amp;</w:t>
      </w:r>
      <w:r w:rsidRPr="005A6216">
        <w:rPr>
          <w:rFonts w:asciiTheme="minorHAnsi" w:hAnsiTheme="minorHAnsi" w:cs="Arial"/>
          <w:sz w:val="20"/>
        </w:rPr>
        <w:t xml:space="preserve"> Freight Route Investigation Levels for RAVs</w:t>
      </w:r>
    </w:p>
    <w:p w:rsidR="004F5AFB" w:rsidRPr="005A6216" w:rsidRDefault="004F5AFB" w:rsidP="00663B5B">
      <w:pPr>
        <w:pStyle w:val="Normal-paras"/>
        <w:numPr>
          <w:ilvl w:val="0"/>
          <w:numId w:val="24"/>
        </w:numPr>
        <w:spacing w:after="0"/>
        <w:contextualSpacing/>
        <w:jc w:val="left"/>
        <w:rPr>
          <w:rFonts w:asciiTheme="minorHAnsi" w:hAnsiTheme="minorHAnsi" w:cs="Arial"/>
          <w:sz w:val="20"/>
        </w:rPr>
      </w:pPr>
      <w:r w:rsidRPr="005A6216">
        <w:rPr>
          <w:rFonts w:asciiTheme="minorHAnsi" w:hAnsiTheme="minorHAnsi" w:cs="Arial"/>
          <w:sz w:val="20"/>
        </w:rPr>
        <w:t>2</w:t>
      </w:r>
      <w:r w:rsidR="006B2E2E" w:rsidRPr="005A6216">
        <w:rPr>
          <w:rFonts w:asciiTheme="minorHAnsi" w:hAnsiTheme="minorHAnsi" w:cs="Arial"/>
          <w:sz w:val="20"/>
        </w:rPr>
        <w:t>0</w:t>
      </w:r>
      <w:r w:rsidR="00937F61" w:rsidRPr="005A6216">
        <w:rPr>
          <w:rFonts w:asciiTheme="minorHAnsi" w:hAnsiTheme="minorHAnsi" w:cs="Arial"/>
          <w:sz w:val="20"/>
        </w:rPr>
        <w:t>11 ATA submission</w:t>
      </w:r>
      <w:r w:rsidR="005A6216">
        <w:rPr>
          <w:rFonts w:asciiTheme="minorHAnsi" w:hAnsiTheme="minorHAnsi" w:cs="Arial"/>
          <w:sz w:val="20"/>
        </w:rPr>
        <w:t xml:space="preserve"> -</w:t>
      </w:r>
      <w:r w:rsidR="00937F61" w:rsidRPr="005A6216">
        <w:rPr>
          <w:rFonts w:asciiTheme="minorHAnsi" w:hAnsiTheme="minorHAnsi" w:cs="Arial"/>
          <w:sz w:val="20"/>
        </w:rPr>
        <w:t xml:space="preserve"> </w:t>
      </w:r>
      <w:r w:rsidRPr="005A6216">
        <w:rPr>
          <w:rFonts w:asciiTheme="minorHAnsi" w:hAnsiTheme="minorHAnsi" w:cs="Arial"/>
          <w:sz w:val="20"/>
        </w:rPr>
        <w:t>A National Framework For Modular B-Triple Operations</w:t>
      </w:r>
    </w:p>
    <w:p w:rsidR="0015188E" w:rsidRPr="005A6216" w:rsidRDefault="00937F61" w:rsidP="00663B5B">
      <w:pPr>
        <w:pStyle w:val="Normal-paras"/>
        <w:numPr>
          <w:ilvl w:val="0"/>
          <w:numId w:val="24"/>
        </w:numPr>
        <w:spacing w:after="0"/>
        <w:contextualSpacing/>
        <w:jc w:val="left"/>
        <w:rPr>
          <w:rFonts w:asciiTheme="minorHAnsi" w:hAnsiTheme="minorHAnsi" w:cs="Arial"/>
          <w:sz w:val="20"/>
        </w:rPr>
      </w:pPr>
      <w:r w:rsidRPr="005A6216">
        <w:rPr>
          <w:rFonts w:asciiTheme="minorHAnsi" w:hAnsiTheme="minorHAnsi" w:cs="Arial"/>
          <w:sz w:val="20"/>
        </w:rPr>
        <w:t xml:space="preserve">2011 </w:t>
      </w:r>
      <w:r w:rsidR="001E37A2" w:rsidRPr="005A6216">
        <w:rPr>
          <w:rFonts w:asciiTheme="minorHAnsi" w:hAnsiTheme="minorHAnsi" w:cs="Arial"/>
          <w:sz w:val="20"/>
        </w:rPr>
        <w:t xml:space="preserve">ATA </w:t>
      </w:r>
      <w:r w:rsidRPr="005A6216">
        <w:rPr>
          <w:rFonts w:asciiTheme="minorHAnsi" w:hAnsiTheme="minorHAnsi" w:cs="Arial"/>
          <w:sz w:val="20"/>
        </w:rPr>
        <w:t>s</w:t>
      </w:r>
      <w:r w:rsidR="001E37A2" w:rsidRPr="005A6216">
        <w:rPr>
          <w:rFonts w:asciiTheme="minorHAnsi" w:hAnsiTheme="minorHAnsi" w:cs="Arial"/>
          <w:sz w:val="20"/>
        </w:rPr>
        <w:t>ubmission</w:t>
      </w:r>
      <w:r w:rsidR="005A6216">
        <w:rPr>
          <w:rFonts w:asciiTheme="minorHAnsi" w:hAnsiTheme="minorHAnsi" w:cs="Arial"/>
          <w:sz w:val="20"/>
        </w:rPr>
        <w:t xml:space="preserve"> -</w:t>
      </w:r>
      <w:r w:rsidR="001E37A2" w:rsidRPr="005A6216">
        <w:rPr>
          <w:rFonts w:asciiTheme="minorHAnsi" w:hAnsiTheme="minorHAnsi" w:cs="Arial"/>
          <w:sz w:val="20"/>
        </w:rPr>
        <w:t xml:space="preserve"> </w:t>
      </w:r>
      <w:r w:rsidR="0015188E" w:rsidRPr="005A6216">
        <w:rPr>
          <w:rFonts w:asciiTheme="minorHAnsi" w:hAnsiTheme="minorHAnsi" w:cs="Arial"/>
          <w:sz w:val="20"/>
        </w:rPr>
        <w:t xml:space="preserve">The </w:t>
      </w:r>
      <w:r w:rsidR="001E37A2" w:rsidRPr="005A6216">
        <w:rPr>
          <w:rFonts w:asciiTheme="minorHAnsi" w:hAnsiTheme="minorHAnsi" w:cs="Arial"/>
          <w:sz w:val="20"/>
        </w:rPr>
        <w:t>IAP and Prescriptive Modular Combinations</w:t>
      </w:r>
      <w:r w:rsidR="007A2F53" w:rsidRPr="005A6216">
        <w:rPr>
          <w:rFonts w:asciiTheme="minorHAnsi" w:hAnsiTheme="minorHAnsi" w:cs="Arial"/>
          <w:sz w:val="20"/>
        </w:rPr>
        <w:t xml:space="preserve"> </w:t>
      </w:r>
      <w:r w:rsidR="006B1E94" w:rsidRPr="005A6216">
        <w:rPr>
          <w:rFonts w:asciiTheme="minorHAnsi" w:hAnsiTheme="minorHAnsi" w:cs="Arial"/>
          <w:sz w:val="20"/>
        </w:rPr>
        <w:t>(</w:t>
      </w:r>
      <w:r w:rsidR="00B875A3">
        <w:rPr>
          <w:rFonts w:asciiTheme="minorHAnsi" w:hAnsiTheme="minorHAnsi" w:cs="Arial"/>
          <w:sz w:val="20"/>
        </w:rPr>
        <w:t xml:space="preserve">attaching </w:t>
      </w:r>
      <w:r w:rsidR="0025715B" w:rsidRPr="005A6216">
        <w:rPr>
          <w:rFonts w:asciiTheme="minorHAnsi" w:hAnsiTheme="minorHAnsi" w:cs="Arial"/>
          <w:sz w:val="20"/>
        </w:rPr>
        <w:t xml:space="preserve">2009 </w:t>
      </w:r>
      <w:r w:rsidR="00614BB4" w:rsidRPr="005A6216">
        <w:rPr>
          <w:rFonts w:asciiTheme="minorHAnsi" w:hAnsiTheme="minorHAnsi" w:cs="Arial"/>
          <w:sz w:val="20"/>
        </w:rPr>
        <w:t>legal advice</w:t>
      </w:r>
      <w:r w:rsidR="006B1E94" w:rsidRPr="005A6216">
        <w:rPr>
          <w:rFonts w:asciiTheme="minorHAnsi" w:hAnsiTheme="minorHAnsi" w:cs="Arial"/>
          <w:sz w:val="20"/>
        </w:rPr>
        <w:t>)</w:t>
      </w:r>
    </w:p>
    <w:p w:rsidR="001E37A2" w:rsidRPr="005A6216" w:rsidRDefault="0015188E" w:rsidP="00663B5B">
      <w:pPr>
        <w:pStyle w:val="Normal-paras"/>
        <w:numPr>
          <w:ilvl w:val="0"/>
          <w:numId w:val="24"/>
        </w:numPr>
        <w:spacing w:after="0"/>
        <w:contextualSpacing/>
        <w:jc w:val="left"/>
        <w:rPr>
          <w:rFonts w:asciiTheme="minorHAnsi" w:hAnsiTheme="minorHAnsi" w:cs="Arial"/>
          <w:sz w:val="20"/>
        </w:rPr>
      </w:pPr>
      <w:r w:rsidRPr="005A6216">
        <w:rPr>
          <w:rFonts w:asciiTheme="minorHAnsi" w:hAnsiTheme="minorHAnsi" w:cs="Arial"/>
          <w:sz w:val="20"/>
        </w:rPr>
        <w:t>2011</w:t>
      </w:r>
      <w:r w:rsidR="00937F61" w:rsidRPr="005A6216">
        <w:rPr>
          <w:rFonts w:asciiTheme="minorHAnsi" w:hAnsiTheme="minorHAnsi" w:cs="Arial"/>
          <w:sz w:val="20"/>
        </w:rPr>
        <w:t xml:space="preserve"> ATA submission</w:t>
      </w:r>
      <w:r w:rsidR="005A6216">
        <w:rPr>
          <w:rFonts w:asciiTheme="minorHAnsi" w:hAnsiTheme="minorHAnsi" w:cs="Arial"/>
          <w:sz w:val="20"/>
        </w:rPr>
        <w:t xml:space="preserve"> -</w:t>
      </w:r>
      <w:r w:rsidR="00937F61" w:rsidRPr="005A6216">
        <w:rPr>
          <w:rFonts w:asciiTheme="minorHAnsi" w:hAnsiTheme="minorHAnsi" w:cs="Arial"/>
          <w:sz w:val="20"/>
        </w:rPr>
        <w:t xml:space="preserve"> </w:t>
      </w:r>
      <w:r w:rsidRPr="005A6216">
        <w:rPr>
          <w:rFonts w:asciiTheme="minorHAnsi" w:hAnsiTheme="minorHAnsi" w:cs="Arial"/>
          <w:sz w:val="20"/>
        </w:rPr>
        <w:t xml:space="preserve">Exploring </w:t>
      </w:r>
      <w:r w:rsidR="00937F61" w:rsidRPr="005A6216">
        <w:rPr>
          <w:rFonts w:asciiTheme="minorHAnsi" w:hAnsiTheme="minorHAnsi" w:cs="Arial"/>
          <w:sz w:val="20"/>
        </w:rPr>
        <w:t xml:space="preserve">Opportunities for Reform: </w:t>
      </w:r>
      <w:r w:rsidRPr="005A6216">
        <w:rPr>
          <w:rFonts w:asciiTheme="minorHAnsi" w:hAnsiTheme="minorHAnsi" w:cs="Arial"/>
          <w:sz w:val="20"/>
        </w:rPr>
        <w:t xml:space="preserve">Smart </w:t>
      </w:r>
      <w:r w:rsidR="00DF7885" w:rsidRPr="005A6216">
        <w:rPr>
          <w:rFonts w:asciiTheme="minorHAnsi" w:hAnsiTheme="minorHAnsi" w:cs="Arial"/>
          <w:sz w:val="20"/>
        </w:rPr>
        <w:t xml:space="preserve">Transport </w:t>
      </w:r>
      <w:r w:rsidR="00937F61" w:rsidRPr="005A6216">
        <w:rPr>
          <w:rFonts w:asciiTheme="minorHAnsi" w:hAnsiTheme="minorHAnsi" w:cs="Arial"/>
          <w:sz w:val="20"/>
        </w:rPr>
        <w:t>f</w:t>
      </w:r>
      <w:r w:rsidR="00DF7885" w:rsidRPr="005A6216">
        <w:rPr>
          <w:rFonts w:asciiTheme="minorHAnsi" w:hAnsiTheme="minorHAnsi" w:cs="Arial"/>
          <w:sz w:val="20"/>
        </w:rPr>
        <w:t xml:space="preserve">or </w:t>
      </w:r>
      <w:r w:rsidR="00937F61" w:rsidRPr="005A6216">
        <w:rPr>
          <w:rFonts w:asciiTheme="minorHAnsi" w:hAnsiTheme="minorHAnsi" w:cs="Arial"/>
          <w:sz w:val="20"/>
        </w:rPr>
        <w:t>a</w:t>
      </w:r>
      <w:r w:rsidR="00DF7885" w:rsidRPr="005A6216">
        <w:rPr>
          <w:rFonts w:asciiTheme="minorHAnsi" w:hAnsiTheme="minorHAnsi" w:cs="Arial"/>
          <w:sz w:val="20"/>
        </w:rPr>
        <w:t xml:space="preserve"> Growing Nation </w:t>
      </w:r>
    </w:p>
    <w:p w:rsidR="002F1892" w:rsidRPr="005A6216" w:rsidRDefault="002F1892" w:rsidP="00663B5B">
      <w:pPr>
        <w:pStyle w:val="Normal-paras"/>
        <w:numPr>
          <w:ilvl w:val="0"/>
          <w:numId w:val="24"/>
        </w:numPr>
        <w:spacing w:after="0"/>
        <w:contextualSpacing/>
        <w:jc w:val="left"/>
        <w:rPr>
          <w:rFonts w:asciiTheme="minorHAnsi" w:hAnsiTheme="minorHAnsi" w:cs="Arial"/>
          <w:sz w:val="20"/>
        </w:rPr>
      </w:pPr>
      <w:r w:rsidRPr="005A6216">
        <w:rPr>
          <w:rFonts w:asciiTheme="minorHAnsi" w:hAnsiTheme="minorHAnsi" w:cs="Arial"/>
          <w:sz w:val="20"/>
        </w:rPr>
        <w:t xml:space="preserve">2010 ATA submission on </w:t>
      </w:r>
      <w:r w:rsidR="00EB4B2D" w:rsidRPr="005A6216">
        <w:rPr>
          <w:rFonts w:asciiTheme="minorHAnsi" w:hAnsiTheme="minorHAnsi" w:cs="Arial"/>
          <w:sz w:val="20"/>
        </w:rPr>
        <w:t xml:space="preserve">NTC </w:t>
      </w:r>
      <w:r w:rsidRPr="005A6216">
        <w:rPr>
          <w:rFonts w:asciiTheme="minorHAnsi" w:hAnsiTheme="minorHAnsi" w:cs="Arial"/>
          <w:sz w:val="20"/>
        </w:rPr>
        <w:t xml:space="preserve">draft Telematics Policy </w:t>
      </w:r>
    </w:p>
    <w:p w:rsidR="002F1892" w:rsidRPr="005A6216" w:rsidRDefault="002F1892" w:rsidP="00663B5B">
      <w:pPr>
        <w:pStyle w:val="Normal-paras"/>
        <w:numPr>
          <w:ilvl w:val="0"/>
          <w:numId w:val="24"/>
        </w:numPr>
        <w:spacing w:after="0"/>
        <w:contextualSpacing/>
        <w:jc w:val="left"/>
        <w:rPr>
          <w:rFonts w:asciiTheme="minorHAnsi" w:hAnsiTheme="minorHAnsi" w:cs="Arial"/>
          <w:sz w:val="20"/>
        </w:rPr>
      </w:pPr>
      <w:r w:rsidRPr="005A6216">
        <w:rPr>
          <w:rFonts w:asciiTheme="minorHAnsi" w:hAnsiTheme="minorHAnsi" w:cs="Arial"/>
          <w:sz w:val="20"/>
        </w:rPr>
        <w:t xml:space="preserve">2010 ATA Industry Technical Council submission on </w:t>
      </w:r>
      <w:r w:rsidR="00EB4B2D" w:rsidRPr="005A6216">
        <w:rPr>
          <w:rFonts w:asciiTheme="minorHAnsi" w:hAnsiTheme="minorHAnsi" w:cs="Arial"/>
          <w:sz w:val="20"/>
        </w:rPr>
        <w:t xml:space="preserve">NTC </w:t>
      </w:r>
      <w:r w:rsidRPr="005A6216">
        <w:rPr>
          <w:rFonts w:asciiTheme="minorHAnsi" w:hAnsiTheme="minorHAnsi" w:cs="Arial"/>
          <w:sz w:val="20"/>
        </w:rPr>
        <w:t xml:space="preserve">draft Telematics Policy </w:t>
      </w:r>
    </w:p>
    <w:p w:rsidR="00104537" w:rsidRPr="005A6216" w:rsidRDefault="00104537" w:rsidP="00663B5B">
      <w:pPr>
        <w:pStyle w:val="Normal-paras"/>
        <w:numPr>
          <w:ilvl w:val="0"/>
          <w:numId w:val="24"/>
        </w:numPr>
        <w:spacing w:after="0"/>
        <w:contextualSpacing/>
        <w:jc w:val="left"/>
        <w:rPr>
          <w:rFonts w:asciiTheme="minorHAnsi" w:hAnsiTheme="minorHAnsi" w:cs="Arial"/>
          <w:sz w:val="20"/>
        </w:rPr>
      </w:pPr>
      <w:r w:rsidRPr="005A6216">
        <w:rPr>
          <w:rFonts w:asciiTheme="minorHAnsi" w:hAnsiTheme="minorHAnsi" w:cs="Arial"/>
          <w:sz w:val="20"/>
        </w:rPr>
        <w:t xml:space="preserve">2010 ATA </w:t>
      </w:r>
      <w:r w:rsidR="00D75072">
        <w:rPr>
          <w:rFonts w:asciiTheme="minorHAnsi" w:hAnsiTheme="minorHAnsi" w:cs="Arial"/>
          <w:sz w:val="20"/>
        </w:rPr>
        <w:t>s</w:t>
      </w:r>
      <w:r w:rsidRPr="005A6216">
        <w:rPr>
          <w:rFonts w:asciiTheme="minorHAnsi" w:hAnsiTheme="minorHAnsi" w:cs="Arial"/>
          <w:sz w:val="20"/>
        </w:rPr>
        <w:t xml:space="preserve">ubmission </w:t>
      </w:r>
      <w:r w:rsidR="002D3B17">
        <w:rPr>
          <w:rFonts w:asciiTheme="minorHAnsi" w:hAnsiTheme="minorHAnsi" w:cs="Arial"/>
          <w:sz w:val="20"/>
        </w:rPr>
        <w:t xml:space="preserve">to </w:t>
      </w:r>
      <w:r w:rsidR="00D75072">
        <w:rPr>
          <w:rFonts w:asciiTheme="minorHAnsi" w:hAnsiTheme="minorHAnsi" w:cs="Arial"/>
          <w:sz w:val="20"/>
        </w:rPr>
        <w:t xml:space="preserve">the </w:t>
      </w:r>
      <w:r w:rsidRPr="005A6216">
        <w:rPr>
          <w:rFonts w:asciiTheme="minorHAnsi" w:hAnsiTheme="minorHAnsi" w:cs="Arial"/>
          <w:sz w:val="20"/>
        </w:rPr>
        <w:t xml:space="preserve">Australian Government Parliamentary Inquiry </w:t>
      </w:r>
      <w:r w:rsidR="00D75072">
        <w:rPr>
          <w:rFonts w:asciiTheme="minorHAnsi" w:hAnsiTheme="minorHAnsi" w:cs="Arial"/>
          <w:sz w:val="20"/>
        </w:rPr>
        <w:t>i</w:t>
      </w:r>
      <w:r w:rsidRPr="005A6216">
        <w:rPr>
          <w:rFonts w:asciiTheme="minorHAnsi" w:hAnsiTheme="minorHAnsi" w:cs="Arial"/>
          <w:sz w:val="20"/>
        </w:rPr>
        <w:t>nto Intelligent Transport Systems</w:t>
      </w:r>
    </w:p>
    <w:p w:rsidR="00163D42" w:rsidRPr="001E712A" w:rsidRDefault="00163D42" w:rsidP="001E712A">
      <w:pPr>
        <w:spacing w:after="0" w:line="240" w:lineRule="auto"/>
        <w:contextualSpacing/>
        <w:jc w:val="both"/>
        <w:rPr>
          <w:rFonts w:ascii="Arial" w:hAnsi="Arial" w:cs="Arial"/>
        </w:rPr>
      </w:pPr>
    </w:p>
    <w:p w:rsidR="002E467A" w:rsidRDefault="00F858C3" w:rsidP="001E712A">
      <w:pPr>
        <w:spacing w:after="0" w:line="240" w:lineRule="auto"/>
        <w:contextualSpacing/>
        <w:jc w:val="both"/>
        <w:rPr>
          <w:rFonts w:ascii="Arial" w:hAnsi="Arial" w:cs="Arial"/>
          <w:sz w:val="20"/>
          <w:szCs w:val="20"/>
        </w:rPr>
      </w:pPr>
      <w:r w:rsidRPr="00194B2C">
        <w:rPr>
          <w:rFonts w:ascii="Arial" w:hAnsi="Arial" w:cs="Arial"/>
          <w:sz w:val="20"/>
          <w:szCs w:val="20"/>
        </w:rPr>
        <w:t>These</w:t>
      </w:r>
      <w:r w:rsidR="00D91FA6" w:rsidRPr="00194B2C">
        <w:rPr>
          <w:rFonts w:ascii="Arial" w:hAnsi="Arial" w:cs="Arial"/>
          <w:sz w:val="20"/>
          <w:szCs w:val="20"/>
        </w:rPr>
        <w:t xml:space="preserve"> </w:t>
      </w:r>
      <w:r w:rsidR="00D007F6" w:rsidRPr="00194B2C">
        <w:rPr>
          <w:rFonts w:ascii="Arial" w:hAnsi="Arial" w:cs="Arial"/>
          <w:sz w:val="20"/>
          <w:szCs w:val="20"/>
        </w:rPr>
        <w:t xml:space="preserve">documents </w:t>
      </w:r>
      <w:r w:rsidR="001F3EF9" w:rsidRPr="00194B2C">
        <w:rPr>
          <w:rFonts w:ascii="Arial" w:hAnsi="Arial" w:cs="Arial"/>
          <w:sz w:val="20"/>
          <w:szCs w:val="20"/>
        </w:rPr>
        <w:t>help show</w:t>
      </w:r>
      <w:r w:rsidR="002E467A" w:rsidRPr="00194B2C">
        <w:rPr>
          <w:rFonts w:ascii="Arial" w:hAnsi="Arial" w:cs="Arial"/>
          <w:sz w:val="20"/>
          <w:szCs w:val="20"/>
        </w:rPr>
        <w:t xml:space="preserve"> how </w:t>
      </w:r>
      <w:r w:rsidR="004527CD" w:rsidRPr="00194B2C">
        <w:rPr>
          <w:rFonts w:ascii="Arial" w:hAnsi="Arial" w:cs="Arial"/>
          <w:sz w:val="20"/>
          <w:szCs w:val="20"/>
        </w:rPr>
        <w:t>IAP</w:t>
      </w:r>
      <w:r w:rsidR="00302E7E" w:rsidRPr="00194B2C">
        <w:rPr>
          <w:rFonts w:ascii="Arial" w:hAnsi="Arial" w:cs="Arial"/>
          <w:sz w:val="20"/>
          <w:szCs w:val="20"/>
        </w:rPr>
        <w:t>,</w:t>
      </w:r>
      <w:r w:rsidR="004527CD" w:rsidRPr="00194B2C">
        <w:rPr>
          <w:rFonts w:ascii="Arial" w:hAnsi="Arial" w:cs="Arial"/>
          <w:sz w:val="20"/>
          <w:szCs w:val="20"/>
        </w:rPr>
        <w:t xml:space="preserve"> as </w:t>
      </w:r>
      <w:r w:rsidR="00D007F6" w:rsidRPr="00194B2C">
        <w:rPr>
          <w:rFonts w:ascii="Arial" w:hAnsi="Arial" w:cs="Arial"/>
          <w:sz w:val="20"/>
          <w:szCs w:val="20"/>
        </w:rPr>
        <w:t xml:space="preserve">it has been </w:t>
      </w:r>
      <w:r w:rsidR="00302E7E" w:rsidRPr="00194B2C">
        <w:rPr>
          <w:rFonts w:ascii="Arial" w:hAnsi="Arial" w:cs="Arial"/>
          <w:sz w:val="20"/>
          <w:szCs w:val="20"/>
        </w:rPr>
        <w:t xml:space="preserve">variously </w:t>
      </w:r>
      <w:r w:rsidR="004527CD" w:rsidRPr="00194B2C">
        <w:rPr>
          <w:rFonts w:ascii="Arial" w:hAnsi="Arial" w:cs="Arial"/>
          <w:sz w:val="20"/>
          <w:szCs w:val="20"/>
        </w:rPr>
        <w:t>applied by state and local road managers</w:t>
      </w:r>
      <w:r w:rsidR="00302E7E" w:rsidRPr="00194B2C">
        <w:rPr>
          <w:rFonts w:ascii="Arial" w:hAnsi="Arial" w:cs="Arial"/>
          <w:sz w:val="20"/>
          <w:szCs w:val="20"/>
        </w:rPr>
        <w:t>,</w:t>
      </w:r>
      <w:r w:rsidR="002E467A" w:rsidRPr="00194B2C">
        <w:rPr>
          <w:rFonts w:ascii="Arial" w:hAnsi="Arial" w:cs="Arial"/>
          <w:sz w:val="20"/>
          <w:szCs w:val="20"/>
        </w:rPr>
        <w:t xml:space="preserve"> penalises more efficient freight movement</w:t>
      </w:r>
      <w:r w:rsidR="006B2E2E" w:rsidRPr="00194B2C">
        <w:rPr>
          <w:rFonts w:ascii="Arial" w:hAnsi="Arial" w:cs="Arial"/>
          <w:sz w:val="20"/>
          <w:szCs w:val="20"/>
        </w:rPr>
        <w:t>s</w:t>
      </w:r>
      <w:r w:rsidR="00D91FA6" w:rsidRPr="00194B2C">
        <w:rPr>
          <w:rFonts w:ascii="Arial" w:hAnsi="Arial" w:cs="Arial"/>
          <w:sz w:val="20"/>
          <w:szCs w:val="20"/>
        </w:rPr>
        <w:t xml:space="preserve">, creates more road wear, and adds </w:t>
      </w:r>
      <w:r w:rsidR="001F3EF9" w:rsidRPr="00194B2C">
        <w:rPr>
          <w:rFonts w:ascii="Arial" w:hAnsi="Arial" w:cs="Arial"/>
          <w:sz w:val="20"/>
          <w:szCs w:val="20"/>
        </w:rPr>
        <w:t xml:space="preserve">further </w:t>
      </w:r>
      <w:r w:rsidR="002E467A" w:rsidRPr="00194B2C">
        <w:rPr>
          <w:rFonts w:ascii="Arial" w:hAnsi="Arial" w:cs="Arial"/>
          <w:sz w:val="20"/>
          <w:szCs w:val="20"/>
        </w:rPr>
        <w:t xml:space="preserve">red tape and </w:t>
      </w:r>
      <w:r w:rsidR="001F3EF9" w:rsidRPr="00194B2C">
        <w:rPr>
          <w:rFonts w:ascii="Arial" w:hAnsi="Arial" w:cs="Arial"/>
          <w:sz w:val="20"/>
          <w:szCs w:val="20"/>
        </w:rPr>
        <w:t xml:space="preserve">unnecessary </w:t>
      </w:r>
      <w:r w:rsidR="002E467A" w:rsidRPr="00194B2C">
        <w:rPr>
          <w:rFonts w:ascii="Arial" w:hAnsi="Arial" w:cs="Arial"/>
          <w:sz w:val="20"/>
          <w:szCs w:val="20"/>
        </w:rPr>
        <w:t xml:space="preserve">cost to </w:t>
      </w:r>
      <w:r w:rsidR="00D91FA6" w:rsidRPr="00194B2C">
        <w:rPr>
          <w:rFonts w:ascii="Arial" w:hAnsi="Arial" w:cs="Arial"/>
          <w:sz w:val="20"/>
          <w:szCs w:val="20"/>
        </w:rPr>
        <w:t>industry’s</w:t>
      </w:r>
      <w:r w:rsidR="002E467A" w:rsidRPr="00194B2C">
        <w:rPr>
          <w:rFonts w:ascii="Arial" w:hAnsi="Arial" w:cs="Arial"/>
          <w:sz w:val="20"/>
          <w:szCs w:val="20"/>
        </w:rPr>
        <w:t xml:space="preserve"> bottom line. </w:t>
      </w:r>
    </w:p>
    <w:p w:rsidR="00796078" w:rsidRDefault="00796078" w:rsidP="001E712A">
      <w:pPr>
        <w:spacing w:after="0" w:line="240" w:lineRule="auto"/>
        <w:contextualSpacing/>
        <w:jc w:val="both"/>
        <w:rPr>
          <w:rFonts w:ascii="Arial" w:hAnsi="Arial" w:cs="Arial"/>
          <w:sz w:val="20"/>
          <w:szCs w:val="20"/>
        </w:rPr>
      </w:pPr>
    </w:p>
    <w:p w:rsidR="00012C45" w:rsidRDefault="00CC125B" w:rsidP="001E712A">
      <w:pPr>
        <w:spacing w:after="0" w:line="240" w:lineRule="auto"/>
        <w:contextualSpacing/>
        <w:jc w:val="both"/>
        <w:rPr>
          <w:rFonts w:ascii="Arial" w:hAnsi="Arial" w:cs="Arial"/>
          <w:sz w:val="20"/>
          <w:szCs w:val="20"/>
        </w:rPr>
      </w:pPr>
      <w:r w:rsidRPr="00194B2C">
        <w:rPr>
          <w:rFonts w:ascii="Arial" w:hAnsi="Arial" w:cs="Arial"/>
          <w:sz w:val="20"/>
          <w:szCs w:val="20"/>
        </w:rPr>
        <w:t xml:space="preserve">After a </w:t>
      </w:r>
      <w:r w:rsidR="00D12521" w:rsidRPr="00194B2C">
        <w:rPr>
          <w:rFonts w:ascii="Arial" w:hAnsi="Arial" w:cs="Arial"/>
          <w:sz w:val="20"/>
          <w:szCs w:val="20"/>
        </w:rPr>
        <w:t xml:space="preserve">written </w:t>
      </w:r>
      <w:r w:rsidRPr="00194B2C">
        <w:rPr>
          <w:rFonts w:ascii="Arial" w:hAnsi="Arial" w:cs="Arial"/>
          <w:sz w:val="20"/>
          <w:szCs w:val="20"/>
        </w:rPr>
        <w:t xml:space="preserve">request </w:t>
      </w:r>
      <w:r w:rsidR="007319C1" w:rsidRPr="00194B2C">
        <w:rPr>
          <w:rFonts w:ascii="Arial" w:hAnsi="Arial" w:cs="Arial"/>
          <w:sz w:val="20"/>
          <w:szCs w:val="20"/>
        </w:rPr>
        <w:t>from the NTC</w:t>
      </w:r>
      <w:r w:rsidRPr="00194B2C">
        <w:rPr>
          <w:rFonts w:ascii="Arial" w:hAnsi="Arial" w:cs="Arial"/>
          <w:sz w:val="20"/>
          <w:szCs w:val="20"/>
        </w:rPr>
        <w:t xml:space="preserve"> in July 2013</w:t>
      </w:r>
      <w:r w:rsidR="007319C1" w:rsidRPr="00194B2C">
        <w:rPr>
          <w:rFonts w:ascii="Arial" w:hAnsi="Arial" w:cs="Arial"/>
          <w:sz w:val="20"/>
          <w:szCs w:val="20"/>
        </w:rPr>
        <w:t xml:space="preserve">, the ATA and NatRoad </w:t>
      </w:r>
      <w:r w:rsidR="0070340D">
        <w:rPr>
          <w:rFonts w:ascii="Arial" w:hAnsi="Arial" w:cs="Arial"/>
          <w:sz w:val="20"/>
          <w:szCs w:val="20"/>
        </w:rPr>
        <w:t>released</w:t>
      </w:r>
      <w:r w:rsidR="007319C1" w:rsidRPr="00194B2C">
        <w:rPr>
          <w:rFonts w:ascii="Arial" w:hAnsi="Arial" w:cs="Arial"/>
          <w:sz w:val="20"/>
          <w:szCs w:val="20"/>
        </w:rPr>
        <w:t xml:space="preserve"> </w:t>
      </w:r>
      <w:r w:rsidR="00347D3A" w:rsidRPr="00194B2C">
        <w:rPr>
          <w:rFonts w:ascii="Arial" w:hAnsi="Arial" w:cs="Arial"/>
          <w:sz w:val="20"/>
          <w:szCs w:val="20"/>
        </w:rPr>
        <w:t xml:space="preserve">separate </w:t>
      </w:r>
      <w:r w:rsidR="007319C1" w:rsidRPr="00194B2C">
        <w:rPr>
          <w:rFonts w:ascii="Arial" w:hAnsi="Arial" w:cs="Arial"/>
          <w:sz w:val="20"/>
          <w:szCs w:val="20"/>
        </w:rPr>
        <w:t xml:space="preserve">surveys </w:t>
      </w:r>
      <w:r w:rsidR="00583925" w:rsidRPr="00194B2C">
        <w:rPr>
          <w:rFonts w:ascii="Arial" w:hAnsi="Arial" w:cs="Arial"/>
          <w:sz w:val="20"/>
          <w:szCs w:val="20"/>
        </w:rPr>
        <w:t xml:space="preserve">on IAP </w:t>
      </w:r>
      <w:r w:rsidR="007319C1" w:rsidRPr="00194B2C">
        <w:rPr>
          <w:rFonts w:ascii="Arial" w:hAnsi="Arial" w:cs="Arial"/>
          <w:sz w:val="20"/>
          <w:szCs w:val="20"/>
        </w:rPr>
        <w:t xml:space="preserve">to their </w:t>
      </w:r>
      <w:r w:rsidR="00583925" w:rsidRPr="00194B2C">
        <w:rPr>
          <w:rFonts w:ascii="Arial" w:hAnsi="Arial" w:cs="Arial"/>
          <w:sz w:val="20"/>
          <w:szCs w:val="20"/>
        </w:rPr>
        <w:t xml:space="preserve">respective </w:t>
      </w:r>
      <w:r w:rsidR="007319C1" w:rsidRPr="00194B2C">
        <w:rPr>
          <w:rFonts w:ascii="Arial" w:hAnsi="Arial" w:cs="Arial"/>
          <w:sz w:val="20"/>
          <w:szCs w:val="20"/>
        </w:rPr>
        <w:t>membership</w:t>
      </w:r>
      <w:r w:rsidRPr="00194B2C">
        <w:rPr>
          <w:rFonts w:ascii="Arial" w:hAnsi="Arial" w:cs="Arial"/>
          <w:sz w:val="20"/>
          <w:szCs w:val="20"/>
        </w:rPr>
        <w:t>s</w:t>
      </w:r>
      <w:r w:rsidR="005C7B4C">
        <w:rPr>
          <w:rFonts w:ascii="Arial" w:hAnsi="Arial" w:cs="Arial"/>
          <w:sz w:val="20"/>
          <w:szCs w:val="20"/>
        </w:rPr>
        <w:t xml:space="preserve"> and t</w:t>
      </w:r>
      <w:r w:rsidR="00FB5DDC">
        <w:rPr>
          <w:rFonts w:ascii="Arial" w:hAnsi="Arial" w:cs="Arial"/>
          <w:sz w:val="20"/>
          <w:szCs w:val="20"/>
        </w:rPr>
        <w:t>w</w:t>
      </w:r>
      <w:r w:rsidR="0070340D">
        <w:rPr>
          <w:rFonts w:ascii="Arial" w:hAnsi="Arial" w:cs="Arial"/>
          <w:sz w:val="20"/>
          <w:szCs w:val="20"/>
        </w:rPr>
        <w:t>o</w:t>
      </w:r>
      <w:r w:rsidR="0096261B">
        <w:rPr>
          <w:rFonts w:ascii="Arial" w:hAnsi="Arial" w:cs="Arial"/>
          <w:sz w:val="20"/>
          <w:szCs w:val="20"/>
        </w:rPr>
        <w:t xml:space="preserve"> </w:t>
      </w:r>
      <w:r w:rsidR="0070340D">
        <w:rPr>
          <w:rFonts w:ascii="Arial" w:hAnsi="Arial" w:cs="Arial"/>
          <w:sz w:val="20"/>
          <w:szCs w:val="20"/>
        </w:rPr>
        <w:t xml:space="preserve">sets of </w:t>
      </w:r>
      <w:r w:rsidR="00583925" w:rsidRPr="00194B2C">
        <w:rPr>
          <w:rFonts w:ascii="Arial" w:hAnsi="Arial" w:cs="Arial"/>
          <w:sz w:val="20"/>
          <w:szCs w:val="20"/>
        </w:rPr>
        <w:t xml:space="preserve">anonymous </w:t>
      </w:r>
      <w:r w:rsidR="007319C1" w:rsidRPr="00194B2C">
        <w:rPr>
          <w:rFonts w:ascii="Arial" w:hAnsi="Arial" w:cs="Arial"/>
          <w:sz w:val="20"/>
          <w:szCs w:val="20"/>
        </w:rPr>
        <w:t xml:space="preserve">results </w:t>
      </w:r>
      <w:r w:rsidR="005C7B4C">
        <w:rPr>
          <w:rFonts w:ascii="Arial" w:hAnsi="Arial" w:cs="Arial"/>
          <w:sz w:val="20"/>
          <w:szCs w:val="20"/>
        </w:rPr>
        <w:t>are</w:t>
      </w:r>
      <w:r w:rsidR="007319C1" w:rsidRPr="00194B2C">
        <w:rPr>
          <w:rFonts w:ascii="Arial" w:hAnsi="Arial" w:cs="Arial"/>
          <w:sz w:val="20"/>
          <w:szCs w:val="20"/>
        </w:rPr>
        <w:t xml:space="preserve"> provided with this submission.</w:t>
      </w:r>
      <w:r w:rsidRPr="00194B2C">
        <w:rPr>
          <w:rFonts w:ascii="Arial" w:hAnsi="Arial" w:cs="Arial"/>
          <w:sz w:val="20"/>
          <w:szCs w:val="20"/>
        </w:rPr>
        <w:t xml:space="preserve"> The </w:t>
      </w:r>
      <w:r w:rsidR="0080500C" w:rsidRPr="00194B2C">
        <w:rPr>
          <w:rFonts w:ascii="Arial" w:hAnsi="Arial" w:cs="Arial"/>
          <w:sz w:val="20"/>
          <w:szCs w:val="20"/>
        </w:rPr>
        <w:t xml:space="preserve">total </w:t>
      </w:r>
      <w:r w:rsidRPr="00194B2C">
        <w:rPr>
          <w:rFonts w:ascii="Arial" w:hAnsi="Arial" w:cs="Arial"/>
          <w:sz w:val="20"/>
          <w:szCs w:val="20"/>
        </w:rPr>
        <w:t xml:space="preserve">number of </w:t>
      </w:r>
      <w:r w:rsidR="0070340D">
        <w:rPr>
          <w:rFonts w:ascii="Arial" w:hAnsi="Arial" w:cs="Arial"/>
          <w:sz w:val="20"/>
          <w:szCs w:val="20"/>
        </w:rPr>
        <w:t xml:space="preserve">complete </w:t>
      </w:r>
      <w:r w:rsidRPr="00194B2C">
        <w:rPr>
          <w:rFonts w:ascii="Arial" w:hAnsi="Arial" w:cs="Arial"/>
          <w:sz w:val="20"/>
          <w:szCs w:val="20"/>
        </w:rPr>
        <w:t xml:space="preserve">responses </w:t>
      </w:r>
      <w:r w:rsidR="00354BE6" w:rsidRPr="00194B2C">
        <w:rPr>
          <w:rFonts w:ascii="Arial" w:hAnsi="Arial" w:cs="Arial"/>
          <w:sz w:val="20"/>
          <w:szCs w:val="20"/>
        </w:rPr>
        <w:t>was</w:t>
      </w:r>
      <w:r w:rsidRPr="00194B2C">
        <w:rPr>
          <w:rFonts w:ascii="Arial" w:hAnsi="Arial" w:cs="Arial"/>
          <w:sz w:val="20"/>
          <w:szCs w:val="20"/>
        </w:rPr>
        <w:t xml:space="preserve"> insufficient </w:t>
      </w:r>
      <w:r w:rsidR="00347D3A" w:rsidRPr="00194B2C">
        <w:rPr>
          <w:rFonts w:ascii="Arial" w:hAnsi="Arial" w:cs="Arial"/>
          <w:sz w:val="20"/>
          <w:szCs w:val="20"/>
        </w:rPr>
        <w:t>to offer</w:t>
      </w:r>
      <w:r w:rsidRPr="00194B2C">
        <w:rPr>
          <w:rFonts w:ascii="Arial" w:hAnsi="Arial" w:cs="Arial"/>
          <w:sz w:val="20"/>
          <w:szCs w:val="20"/>
        </w:rPr>
        <w:t xml:space="preserve"> significant </w:t>
      </w:r>
      <w:r w:rsidR="005C7B4C">
        <w:rPr>
          <w:rFonts w:ascii="Arial" w:hAnsi="Arial" w:cs="Arial"/>
          <w:sz w:val="20"/>
          <w:szCs w:val="20"/>
        </w:rPr>
        <w:t>quantitative</w:t>
      </w:r>
      <w:r w:rsidR="005C7B4C" w:rsidRPr="00194B2C">
        <w:rPr>
          <w:rFonts w:ascii="Arial" w:hAnsi="Arial" w:cs="Arial"/>
          <w:sz w:val="20"/>
          <w:szCs w:val="20"/>
        </w:rPr>
        <w:t xml:space="preserve"> </w:t>
      </w:r>
      <w:r w:rsidR="0070340D">
        <w:rPr>
          <w:rFonts w:ascii="Arial" w:hAnsi="Arial" w:cs="Arial"/>
          <w:sz w:val="20"/>
          <w:szCs w:val="20"/>
        </w:rPr>
        <w:t>samples</w:t>
      </w:r>
      <w:r w:rsidR="00347D3A" w:rsidRPr="00194B2C">
        <w:rPr>
          <w:rFonts w:ascii="Arial" w:hAnsi="Arial" w:cs="Arial"/>
          <w:sz w:val="20"/>
          <w:szCs w:val="20"/>
        </w:rPr>
        <w:t xml:space="preserve"> but</w:t>
      </w:r>
      <w:r w:rsidRPr="00194B2C">
        <w:rPr>
          <w:rFonts w:ascii="Arial" w:hAnsi="Arial" w:cs="Arial"/>
          <w:sz w:val="20"/>
          <w:szCs w:val="20"/>
        </w:rPr>
        <w:t xml:space="preserve"> </w:t>
      </w:r>
      <w:r w:rsidR="00354BE6" w:rsidRPr="00194B2C">
        <w:rPr>
          <w:rFonts w:ascii="Arial" w:hAnsi="Arial" w:cs="Arial"/>
          <w:sz w:val="20"/>
          <w:szCs w:val="20"/>
        </w:rPr>
        <w:t>both surveys</w:t>
      </w:r>
      <w:r w:rsidRPr="00194B2C">
        <w:rPr>
          <w:rFonts w:ascii="Arial" w:hAnsi="Arial" w:cs="Arial"/>
          <w:sz w:val="20"/>
          <w:szCs w:val="20"/>
        </w:rPr>
        <w:t xml:space="preserve"> yielded </w:t>
      </w:r>
      <w:r w:rsidR="0070340D">
        <w:rPr>
          <w:rFonts w:ascii="Arial" w:hAnsi="Arial" w:cs="Arial"/>
          <w:sz w:val="20"/>
          <w:szCs w:val="20"/>
        </w:rPr>
        <w:t xml:space="preserve">useful </w:t>
      </w:r>
      <w:r w:rsidRPr="00194B2C">
        <w:rPr>
          <w:rFonts w:ascii="Arial" w:hAnsi="Arial" w:cs="Arial"/>
          <w:sz w:val="20"/>
          <w:szCs w:val="20"/>
        </w:rPr>
        <w:t>qualitative responses</w:t>
      </w:r>
      <w:r w:rsidR="00754DFC" w:rsidRPr="00194B2C">
        <w:rPr>
          <w:rFonts w:ascii="Arial" w:hAnsi="Arial" w:cs="Arial"/>
          <w:sz w:val="20"/>
          <w:szCs w:val="20"/>
        </w:rPr>
        <w:t>,</w:t>
      </w:r>
      <w:r w:rsidRPr="00194B2C">
        <w:rPr>
          <w:rFonts w:ascii="Arial" w:hAnsi="Arial" w:cs="Arial"/>
          <w:sz w:val="20"/>
          <w:szCs w:val="20"/>
        </w:rPr>
        <w:t xml:space="preserve"> some of which </w:t>
      </w:r>
      <w:r w:rsidR="002C4DAB">
        <w:rPr>
          <w:rFonts w:ascii="Arial" w:hAnsi="Arial" w:cs="Arial"/>
          <w:sz w:val="20"/>
          <w:szCs w:val="20"/>
        </w:rPr>
        <w:t>have been</w:t>
      </w:r>
      <w:r w:rsidRPr="00194B2C">
        <w:rPr>
          <w:rFonts w:ascii="Arial" w:hAnsi="Arial" w:cs="Arial"/>
          <w:sz w:val="20"/>
          <w:szCs w:val="20"/>
        </w:rPr>
        <w:t xml:space="preserve"> </w:t>
      </w:r>
      <w:r w:rsidR="0096261B">
        <w:rPr>
          <w:rFonts w:ascii="Arial" w:hAnsi="Arial" w:cs="Arial"/>
          <w:sz w:val="20"/>
          <w:szCs w:val="20"/>
        </w:rPr>
        <w:t>reproduced</w:t>
      </w:r>
      <w:r w:rsidRPr="00194B2C">
        <w:rPr>
          <w:rFonts w:ascii="Arial" w:hAnsi="Arial" w:cs="Arial"/>
          <w:sz w:val="20"/>
          <w:szCs w:val="20"/>
        </w:rPr>
        <w:t xml:space="preserve"> in th</w:t>
      </w:r>
      <w:r w:rsidR="00754DFC" w:rsidRPr="00194B2C">
        <w:rPr>
          <w:rFonts w:ascii="Arial" w:hAnsi="Arial" w:cs="Arial"/>
          <w:sz w:val="20"/>
          <w:szCs w:val="20"/>
        </w:rPr>
        <w:t>is</w:t>
      </w:r>
      <w:r w:rsidRPr="00194B2C">
        <w:rPr>
          <w:rFonts w:ascii="Arial" w:hAnsi="Arial" w:cs="Arial"/>
          <w:sz w:val="20"/>
          <w:szCs w:val="20"/>
        </w:rPr>
        <w:t xml:space="preserve"> </w:t>
      </w:r>
      <w:r w:rsidR="0070340D">
        <w:rPr>
          <w:rFonts w:ascii="Arial" w:hAnsi="Arial" w:cs="Arial"/>
          <w:sz w:val="20"/>
          <w:szCs w:val="20"/>
        </w:rPr>
        <w:t>document</w:t>
      </w:r>
      <w:r w:rsidRPr="00194B2C">
        <w:rPr>
          <w:rFonts w:ascii="Arial" w:hAnsi="Arial" w:cs="Arial"/>
          <w:sz w:val="20"/>
          <w:szCs w:val="20"/>
        </w:rPr>
        <w:t>.</w:t>
      </w:r>
    </w:p>
    <w:p w:rsidR="0052083F" w:rsidRPr="00194B2C" w:rsidRDefault="0052083F" w:rsidP="001E712A">
      <w:pPr>
        <w:spacing w:after="0" w:line="240" w:lineRule="auto"/>
        <w:contextualSpacing/>
        <w:jc w:val="both"/>
        <w:rPr>
          <w:rFonts w:ascii="Arial" w:hAnsi="Arial" w:cs="Arial"/>
          <w:sz w:val="20"/>
          <w:szCs w:val="20"/>
        </w:rPr>
      </w:pPr>
    </w:p>
    <w:p w:rsidR="00583925" w:rsidRPr="00194B2C" w:rsidRDefault="00583925" w:rsidP="001E712A">
      <w:pPr>
        <w:spacing w:after="0" w:line="240" w:lineRule="auto"/>
        <w:contextualSpacing/>
        <w:jc w:val="both"/>
        <w:rPr>
          <w:rFonts w:ascii="Arial" w:hAnsi="Arial" w:cs="Arial"/>
          <w:sz w:val="20"/>
          <w:szCs w:val="20"/>
        </w:rPr>
      </w:pPr>
    </w:p>
    <w:p w:rsidR="009C1374" w:rsidRPr="00B97FC5" w:rsidRDefault="004656F0" w:rsidP="00B97FC5">
      <w:pPr>
        <w:pStyle w:val="Heading1"/>
        <w:numPr>
          <w:ilvl w:val="0"/>
          <w:numId w:val="0"/>
        </w:numPr>
        <w:ind w:left="360" w:hanging="360"/>
        <w:rPr>
          <w:sz w:val="24"/>
          <w:szCs w:val="24"/>
        </w:rPr>
      </w:pPr>
      <w:r w:rsidRPr="00B97FC5">
        <w:rPr>
          <w:sz w:val="24"/>
          <w:szCs w:val="24"/>
        </w:rPr>
        <w:t>4.2</w:t>
      </w:r>
      <w:r w:rsidR="007004DC" w:rsidRPr="00B97FC5">
        <w:rPr>
          <w:sz w:val="24"/>
          <w:szCs w:val="24"/>
        </w:rPr>
        <w:t xml:space="preserve"> </w:t>
      </w:r>
      <w:r w:rsidR="00B46F12" w:rsidRPr="00B97FC5">
        <w:rPr>
          <w:sz w:val="24"/>
          <w:szCs w:val="24"/>
        </w:rPr>
        <w:t xml:space="preserve">IAP </w:t>
      </w:r>
      <w:r w:rsidR="00760F6F" w:rsidRPr="00B97FC5">
        <w:rPr>
          <w:sz w:val="24"/>
          <w:szCs w:val="24"/>
        </w:rPr>
        <w:t>Proposal</w:t>
      </w:r>
      <w:r w:rsidR="00D71A7F" w:rsidRPr="00B97FC5">
        <w:rPr>
          <w:sz w:val="24"/>
          <w:szCs w:val="24"/>
        </w:rPr>
        <w:t xml:space="preserve"> </w:t>
      </w:r>
    </w:p>
    <w:p w:rsidR="0096261B" w:rsidRDefault="006818AD" w:rsidP="0096261B">
      <w:pPr>
        <w:spacing w:line="240" w:lineRule="auto"/>
        <w:jc w:val="both"/>
        <w:rPr>
          <w:rFonts w:ascii="Arial" w:hAnsi="Arial" w:cs="Arial"/>
          <w:sz w:val="20"/>
          <w:szCs w:val="20"/>
        </w:rPr>
      </w:pPr>
      <w:r w:rsidRPr="00194B2C">
        <w:rPr>
          <w:rFonts w:ascii="Arial" w:hAnsi="Arial" w:cs="Arial"/>
          <w:sz w:val="20"/>
          <w:szCs w:val="20"/>
        </w:rPr>
        <w:t>At the time of establishment, the newly appointed Chief Executive of Transport Certification Australia (TCA) claimed that</w:t>
      </w:r>
      <w:r w:rsidR="00F600C5">
        <w:rPr>
          <w:rFonts w:ascii="Arial" w:hAnsi="Arial" w:cs="Arial"/>
          <w:sz w:val="20"/>
          <w:szCs w:val="20"/>
        </w:rPr>
        <w:t xml:space="preserve"> the</w:t>
      </w:r>
      <w:r w:rsidRPr="00194B2C">
        <w:rPr>
          <w:rFonts w:ascii="Arial" w:hAnsi="Arial" w:cs="Arial"/>
          <w:sz w:val="20"/>
          <w:szCs w:val="20"/>
        </w:rPr>
        <w:t xml:space="preserve"> “</w:t>
      </w:r>
      <w:r w:rsidRPr="00194B2C">
        <w:rPr>
          <w:rFonts w:ascii="Arial" w:hAnsi="Arial" w:cs="Arial"/>
          <w:i/>
          <w:sz w:val="20"/>
          <w:szCs w:val="20"/>
        </w:rPr>
        <w:t>IAP provides a win-win outcome to all parties</w:t>
      </w:r>
      <w:r w:rsidRPr="00194B2C">
        <w:rPr>
          <w:rFonts w:ascii="Arial" w:hAnsi="Arial" w:cs="Arial"/>
          <w:sz w:val="20"/>
          <w:szCs w:val="20"/>
        </w:rPr>
        <w:t xml:space="preserve">”. </w:t>
      </w:r>
      <w:r w:rsidR="0096261B">
        <w:rPr>
          <w:rFonts w:ascii="Arial" w:hAnsi="Arial" w:cs="Arial"/>
          <w:sz w:val="20"/>
          <w:szCs w:val="20"/>
        </w:rPr>
        <w:t xml:space="preserve"> </w:t>
      </w:r>
      <w:r w:rsidR="002C4DAB" w:rsidRPr="00194B2C">
        <w:rPr>
          <w:rFonts w:ascii="Arial" w:hAnsi="Arial" w:cs="Arial"/>
          <w:sz w:val="20"/>
          <w:szCs w:val="20"/>
        </w:rPr>
        <w:t>Earlier,</w:t>
      </w:r>
      <w:r w:rsidR="009C2669">
        <w:rPr>
          <w:rFonts w:ascii="Arial" w:hAnsi="Arial" w:cs="Arial"/>
          <w:sz w:val="20"/>
          <w:szCs w:val="20"/>
        </w:rPr>
        <w:t xml:space="preserve"> </w:t>
      </w:r>
      <w:r w:rsidR="002C4DAB">
        <w:rPr>
          <w:rFonts w:ascii="Arial" w:hAnsi="Arial" w:cs="Arial"/>
          <w:sz w:val="20"/>
          <w:szCs w:val="20"/>
        </w:rPr>
        <w:t xml:space="preserve">the Austroads’ </w:t>
      </w:r>
      <w:r w:rsidR="002E3B2A">
        <w:rPr>
          <w:rFonts w:ascii="Arial" w:hAnsi="Arial" w:cs="Arial"/>
          <w:sz w:val="20"/>
          <w:szCs w:val="20"/>
        </w:rPr>
        <w:t xml:space="preserve">Feasibility Project report </w:t>
      </w:r>
      <w:r w:rsidR="002C4DAB">
        <w:rPr>
          <w:rFonts w:ascii="Arial" w:hAnsi="Arial" w:cs="Arial"/>
          <w:sz w:val="20"/>
          <w:szCs w:val="20"/>
        </w:rPr>
        <w:t>had</w:t>
      </w:r>
      <w:r w:rsidR="002C4DAB" w:rsidRPr="00194B2C">
        <w:rPr>
          <w:rFonts w:ascii="Arial" w:hAnsi="Arial" w:cs="Arial"/>
          <w:sz w:val="20"/>
          <w:szCs w:val="20"/>
        </w:rPr>
        <w:t xml:space="preserve"> </w:t>
      </w:r>
      <w:r w:rsidR="00431706">
        <w:rPr>
          <w:rFonts w:ascii="Arial" w:hAnsi="Arial" w:cs="Arial"/>
          <w:sz w:val="20"/>
          <w:szCs w:val="20"/>
        </w:rPr>
        <w:t>concluded there were</w:t>
      </w:r>
      <w:r w:rsidR="002C4DAB" w:rsidRPr="00194B2C">
        <w:rPr>
          <w:rFonts w:ascii="Arial" w:hAnsi="Arial" w:cs="Arial"/>
          <w:sz w:val="20"/>
          <w:szCs w:val="20"/>
        </w:rPr>
        <w:t xml:space="preserve"> “no public policy barriers” to the </w:t>
      </w:r>
      <w:r w:rsidR="009C2669">
        <w:rPr>
          <w:rFonts w:ascii="Arial" w:hAnsi="Arial" w:cs="Arial"/>
          <w:sz w:val="20"/>
          <w:szCs w:val="20"/>
        </w:rPr>
        <w:t xml:space="preserve">IAP </w:t>
      </w:r>
      <w:r w:rsidR="002C4DAB" w:rsidRPr="00194B2C">
        <w:rPr>
          <w:rFonts w:ascii="Arial" w:hAnsi="Arial" w:cs="Arial"/>
          <w:sz w:val="20"/>
          <w:szCs w:val="20"/>
        </w:rPr>
        <w:t>approach.</w:t>
      </w:r>
    </w:p>
    <w:p w:rsidR="00265CF1" w:rsidRPr="00194B2C" w:rsidRDefault="00A93804" w:rsidP="00D12646">
      <w:pPr>
        <w:spacing w:after="0" w:line="240" w:lineRule="auto"/>
        <w:contextualSpacing/>
        <w:rPr>
          <w:rFonts w:ascii="Arial" w:hAnsi="Arial" w:cs="Arial"/>
          <w:i/>
          <w:sz w:val="20"/>
          <w:szCs w:val="20"/>
        </w:rPr>
      </w:pPr>
      <w:r w:rsidRPr="00194B2C">
        <w:rPr>
          <w:rFonts w:ascii="Arial" w:hAnsi="Arial" w:cs="Arial"/>
          <w:sz w:val="20"/>
          <w:szCs w:val="20"/>
        </w:rPr>
        <w:t>In</w:t>
      </w:r>
      <w:r w:rsidR="00885645" w:rsidRPr="00194B2C">
        <w:rPr>
          <w:rFonts w:ascii="Arial" w:hAnsi="Arial" w:cs="Arial"/>
          <w:sz w:val="20"/>
          <w:szCs w:val="20"/>
        </w:rPr>
        <w:t xml:space="preserve"> </w:t>
      </w:r>
      <w:r w:rsidR="00440C79" w:rsidRPr="00194B2C">
        <w:rPr>
          <w:rFonts w:ascii="Arial" w:hAnsi="Arial" w:cs="Arial"/>
          <w:sz w:val="20"/>
          <w:szCs w:val="20"/>
        </w:rPr>
        <w:t>2005</w:t>
      </w:r>
      <w:r w:rsidRPr="00194B2C">
        <w:rPr>
          <w:rFonts w:ascii="Arial" w:hAnsi="Arial" w:cs="Arial"/>
          <w:sz w:val="20"/>
          <w:szCs w:val="20"/>
        </w:rPr>
        <w:t>, the</w:t>
      </w:r>
      <w:r w:rsidR="00440C79" w:rsidRPr="00194B2C">
        <w:rPr>
          <w:rFonts w:ascii="Arial" w:hAnsi="Arial" w:cs="Arial"/>
          <w:sz w:val="20"/>
          <w:szCs w:val="20"/>
        </w:rPr>
        <w:t xml:space="preserve"> </w:t>
      </w:r>
      <w:r w:rsidR="00F64854">
        <w:rPr>
          <w:rFonts w:ascii="Arial" w:hAnsi="Arial" w:cs="Arial"/>
          <w:sz w:val="20"/>
          <w:szCs w:val="20"/>
        </w:rPr>
        <w:t xml:space="preserve">NTC </w:t>
      </w:r>
      <w:r w:rsidR="00885645" w:rsidRPr="00194B2C">
        <w:rPr>
          <w:rFonts w:ascii="Arial" w:hAnsi="Arial" w:cs="Arial"/>
          <w:sz w:val="20"/>
          <w:szCs w:val="20"/>
        </w:rPr>
        <w:t>RIS</w:t>
      </w:r>
      <w:r w:rsidR="00B73B51" w:rsidRPr="00194B2C">
        <w:rPr>
          <w:rFonts w:ascii="Arial" w:hAnsi="Arial" w:cs="Arial"/>
          <w:sz w:val="20"/>
          <w:szCs w:val="20"/>
        </w:rPr>
        <w:t xml:space="preserve"> </w:t>
      </w:r>
      <w:r w:rsidR="00885645" w:rsidRPr="00194B2C">
        <w:rPr>
          <w:rFonts w:ascii="Arial" w:hAnsi="Arial" w:cs="Arial"/>
          <w:sz w:val="20"/>
          <w:szCs w:val="20"/>
        </w:rPr>
        <w:t xml:space="preserve">claimed </w:t>
      </w:r>
      <w:r w:rsidR="00406C44" w:rsidRPr="00194B2C">
        <w:rPr>
          <w:rFonts w:ascii="Arial" w:hAnsi="Arial" w:cs="Arial"/>
          <w:i/>
          <w:sz w:val="20"/>
          <w:szCs w:val="20"/>
        </w:rPr>
        <w:t>“Stage 1 IAP implementation to be economically viable with a net present value (NPV) of $264.2 million and a benefit cost ratio of 5.4. The road authorities’ NPV is estimated to be $80.9 million and the operators’ NPV $183.3 million.”</w:t>
      </w:r>
      <w:r w:rsidR="00885645" w:rsidRPr="00194B2C">
        <w:rPr>
          <w:rFonts w:ascii="Arial" w:hAnsi="Arial" w:cs="Arial"/>
          <w:i/>
          <w:sz w:val="20"/>
          <w:szCs w:val="20"/>
        </w:rPr>
        <w:t xml:space="preserve"> </w:t>
      </w:r>
      <w:r w:rsidR="0022496B" w:rsidRPr="00194B2C">
        <w:rPr>
          <w:rFonts w:ascii="Arial" w:hAnsi="Arial" w:cs="Arial"/>
          <w:sz w:val="20"/>
          <w:szCs w:val="20"/>
        </w:rPr>
        <w:t xml:space="preserve"> </w:t>
      </w:r>
    </w:p>
    <w:p w:rsidR="00273D6F" w:rsidRPr="00194B2C" w:rsidRDefault="00273D6F" w:rsidP="00D12646">
      <w:pPr>
        <w:spacing w:after="0" w:line="240" w:lineRule="auto"/>
        <w:contextualSpacing/>
        <w:rPr>
          <w:sz w:val="20"/>
          <w:szCs w:val="20"/>
        </w:rPr>
      </w:pPr>
    </w:p>
    <w:p w:rsidR="00213778" w:rsidRPr="00194B2C" w:rsidRDefault="00213778" w:rsidP="00D12646">
      <w:pPr>
        <w:spacing w:after="0" w:line="240" w:lineRule="auto"/>
        <w:contextualSpacing/>
        <w:jc w:val="both"/>
        <w:rPr>
          <w:rFonts w:ascii="Arial" w:hAnsi="Arial" w:cs="Arial"/>
          <w:sz w:val="20"/>
          <w:szCs w:val="20"/>
        </w:rPr>
      </w:pPr>
      <w:r w:rsidRPr="00194B2C">
        <w:rPr>
          <w:rFonts w:ascii="Arial" w:hAnsi="Arial" w:cs="Arial"/>
          <w:sz w:val="20"/>
          <w:szCs w:val="20"/>
        </w:rPr>
        <w:t>In 2013,</w:t>
      </w:r>
      <w:r w:rsidR="00772B78">
        <w:rPr>
          <w:rFonts w:ascii="Arial" w:hAnsi="Arial" w:cs="Arial"/>
          <w:sz w:val="20"/>
          <w:szCs w:val="20"/>
        </w:rPr>
        <w:t xml:space="preserve"> the</w:t>
      </w:r>
      <w:r w:rsidRPr="00194B2C">
        <w:rPr>
          <w:rFonts w:ascii="Arial" w:hAnsi="Arial" w:cs="Arial"/>
          <w:sz w:val="20"/>
          <w:szCs w:val="20"/>
        </w:rPr>
        <w:t xml:space="preserve"> IAP remains stalled in Stage 1 </w:t>
      </w:r>
      <w:r w:rsidR="00A72665">
        <w:rPr>
          <w:rFonts w:ascii="Arial" w:hAnsi="Arial" w:cs="Arial"/>
          <w:sz w:val="20"/>
          <w:szCs w:val="20"/>
        </w:rPr>
        <w:t>implementation</w:t>
      </w:r>
      <w:r w:rsidR="00F17ACE">
        <w:rPr>
          <w:rFonts w:ascii="Arial" w:hAnsi="Arial" w:cs="Arial"/>
          <w:sz w:val="20"/>
          <w:szCs w:val="20"/>
        </w:rPr>
        <w:t>, the first</w:t>
      </w:r>
      <w:r w:rsidR="00A72665">
        <w:rPr>
          <w:rFonts w:ascii="Arial" w:hAnsi="Arial" w:cs="Arial"/>
          <w:sz w:val="20"/>
          <w:szCs w:val="20"/>
        </w:rPr>
        <w:t xml:space="preserve"> </w:t>
      </w:r>
      <w:r w:rsidR="00F17ACE" w:rsidRPr="00194B2C">
        <w:rPr>
          <w:rFonts w:ascii="Arial" w:hAnsi="Arial" w:cs="Arial"/>
          <w:sz w:val="20"/>
          <w:szCs w:val="20"/>
        </w:rPr>
        <w:t xml:space="preserve">of two </w:t>
      </w:r>
      <w:r w:rsidRPr="00194B2C">
        <w:rPr>
          <w:rFonts w:ascii="Arial" w:hAnsi="Arial" w:cs="Arial"/>
          <w:sz w:val="20"/>
          <w:szCs w:val="20"/>
        </w:rPr>
        <w:t xml:space="preserve">stages the RIS envisaged for embedding it into Australian law and practice. It is understood </w:t>
      </w:r>
      <w:r w:rsidR="00735348">
        <w:rPr>
          <w:rFonts w:ascii="Arial" w:hAnsi="Arial" w:cs="Arial"/>
          <w:sz w:val="20"/>
          <w:szCs w:val="20"/>
        </w:rPr>
        <w:t xml:space="preserve">that </w:t>
      </w:r>
      <w:r w:rsidRPr="00194B2C">
        <w:rPr>
          <w:rFonts w:ascii="Arial" w:hAnsi="Arial" w:cs="Arial"/>
          <w:sz w:val="20"/>
          <w:szCs w:val="20"/>
        </w:rPr>
        <w:t xml:space="preserve">current enrolments amount to </w:t>
      </w:r>
      <w:r w:rsidR="00CA0C31">
        <w:rPr>
          <w:rFonts w:ascii="Arial" w:hAnsi="Arial" w:cs="Arial"/>
          <w:sz w:val="20"/>
          <w:szCs w:val="20"/>
        </w:rPr>
        <w:t xml:space="preserve">slightly </w:t>
      </w:r>
      <w:r w:rsidR="000B3167" w:rsidRPr="00194B2C">
        <w:rPr>
          <w:rFonts w:ascii="Arial" w:hAnsi="Arial" w:cs="Arial"/>
          <w:sz w:val="20"/>
          <w:szCs w:val="20"/>
        </w:rPr>
        <w:t>more than</w:t>
      </w:r>
      <w:r w:rsidRPr="00194B2C">
        <w:rPr>
          <w:rFonts w:ascii="Arial" w:hAnsi="Arial" w:cs="Arial"/>
          <w:sz w:val="20"/>
          <w:szCs w:val="20"/>
        </w:rPr>
        <w:t xml:space="preserve"> 800 vehicles, ten per cent of </w:t>
      </w:r>
      <w:r w:rsidR="00CA0C31">
        <w:rPr>
          <w:rFonts w:ascii="Arial" w:hAnsi="Arial" w:cs="Arial"/>
          <w:sz w:val="20"/>
          <w:szCs w:val="20"/>
        </w:rPr>
        <w:t xml:space="preserve">approximately </w:t>
      </w:r>
      <w:r w:rsidRPr="00194B2C">
        <w:rPr>
          <w:rFonts w:ascii="Arial" w:hAnsi="Arial" w:cs="Arial"/>
          <w:sz w:val="20"/>
          <w:szCs w:val="20"/>
        </w:rPr>
        <w:t xml:space="preserve">8,400 </w:t>
      </w:r>
      <w:r w:rsidR="008B69B3" w:rsidRPr="00194B2C">
        <w:rPr>
          <w:rFonts w:ascii="Arial" w:hAnsi="Arial" w:cs="Arial"/>
          <w:sz w:val="20"/>
          <w:szCs w:val="20"/>
        </w:rPr>
        <w:t xml:space="preserve">projected </w:t>
      </w:r>
      <w:r w:rsidR="008B69B3">
        <w:rPr>
          <w:rFonts w:ascii="Arial" w:hAnsi="Arial" w:cs="Arial"/>
          <w:sz w:val="20"/>
          <w:szCs w:val="20"/>
        </w:rPr>
        <w:t xml:space="preserve">vehicle </w:t>
      </w:r>
      <w:r w:rsidRPr="00194B2C">
        <w:rPr>
          <w:rFonts w:ascii="Arial" w:hAnsi="Arial" w:cs="Arial"/>
          <w:sz w:val="20"/>
          <w:szCs w:val="20"/>
        </w:rPr>
        <w:t>enrolment</w:t>
      </w:r>
      <w:r w:rsidR="008B69B3">
        <w:rPr>
          <w:rFonts w:ascii="Arial" w:hAnsi="Arial" w:cs="Arial"/>
          <w:sz w:val="20"/>
          <w:szCs w:val="20"/>
        </w:rPr>
        <w:t>s</w:t>
      </w:r>
      <w:r w:rsidRPr="00194B2C">
        <w:rPr>
          <w:rFonts w:ascii="Arial" w:hAnsi="Arial" w:cs="Arial"/>
          <w:sz w:val="20"/>
          <w:szCs w:val="20"/>
        </w:rPr>
        <w:t xml:space="preserve"> </w:t>
      </w:r>
      <w:r w:rsidR="008B69B3">
        <w:rPr>
          <w:rFonts w:ascii="Arial" w:hAnsi="Arial" w:cs="Arial"/>
          <w:sz w:val="20"/>
          <w:szCs w:val="20"/>
        </w:rPr>
        <w:t xml:space="preserve">described </w:t>
      </w:r>
      <w:r w:rsidRPr="00194B2C">
        <w:rPr>
          <w:rFonts w:ascii="Arial" w:hAnsi="Arial" w:cs="Arial"/>
          <w:sz w:val="20"/>
          <w:szCs w:val="20"/>
        </w:rPr>
        <w:t>in the RIS</w:t>
      </w:r>
      <w:r w:rsidR="00397777" w:rsidRPr="00194B2C">
        <w:rPr>
          <w:rFonts w:ascii="Arial" w:hAnsi="Arial" w:cs="Arial"/>
          <w:sz w:val="20"/>
          <w:szCs w:val="20"/>
        </w:rPr>
        <w:t xml:space="preserve"> for Stage 1</w:t>
      </w:r>
      <w:r w:rsidR="001D06DF" w:rsidRPr="00194B2C">
        <w:rPr>
          <w:rFonts w:ascii="Arial" w:hAnsi="Arial" w:cs="Arial"/>
          <w:sz w:val="20"/>
          <w:szCs w:val="20"/>
        </w:rPr>
        <w:t xml:space="preserve"> (</w:t>
      </w:r>
      <w:r w:rsidR="00F6152C" w:rsidRPr="00194B2C">
        <w:rPr>
          <w:rFonts w:ascii="Arial" w:hAnsi="Arial" w:cs="Arial"/>
          <w:sz w:val="20"/>
          <w:szCs w:val="20"/>
        </w:rPr>
        <w:t>i.e.</w:t>
      </w:r>
      <w:r w:rsidR="001D06DF" w:rsidRPr="00194B2C">
        <w:rPr>
          <w:rFonts w:ascii="Arial" w:hAnsi="Arial" w:cs="Arial"/>
          <w:sz w:val="20"/>
          <w:szCs w:val="20"/>
        </w:rPr>
        <w:t xml:space="preserve"> after two to three years)</w:t>
      </w:r>
      <w:r w:rsidRPr="00194B2C">
        <w:rPr>
          <w:rFonts w:ascii="Arial" w:hAnsi="Arial" w:cs="Arial"/>
          <w:sz w:val="20"/>
          <w:szCs w:val="20"/>
        </w:rPr>
        <w:t xml:space="preserve">. </w:t>
      </w:r>
    </w:p>
    <w:p w:rsidR="00213778" w:rsidRPr="00194B2C" w:rsidRDefault="00213778" w:rsidP="00D12646">
      <w:pPr>
        <w:spacing w:after="0" w:line="240" w:lineRule="auto"/>
        <w:contextualSpacing/>
        <w:jc w:val="both"/>
        <w:rPr>
          <w:rFonts w:ascii="Arial" w:hAnsi="Arial" w:cs="Arial"/>
          <w:sz w:val="20"/>
          <w:szCs w:val="20"/>
        </w:rPr>
      </w:pPr>
    </w:p>
    <w:p w:rsidR="00213778" w:rsidRPr="00194B2C" w:rsidRDefault="006E289E" w:rsidP="00D12646">
      <w:pPr>
        <w:pStyle w:val="Normal-paras"/>
        <w:spacing w:after="0"/>
        <w:contextualSpacing/>
        <w:rPr>
          <w:rFonts w:ascii="Arial" w:hAnsi="Arial" w:cs="Arial"/>
          <w:sz w:val="20"/>
        </w:rPr>
      </w:pPr>
      <w:r>
        <w:rPr>
          <w:rFonts w:ascii="Arial" w:eastAsiaTheme="minorHAnsi" w:hAnsi="Arial" w:cs="Arial"/>
          <w:sz w:val="20"/>
          <w:lang w:val="en-AU"/>
        </w:rPr>
        <w:t>For example, d</w:t>
      </w:r>
      <w:r w:rsidR="00213778" w:rsidRPr="00194B2C">
        <w:rPr>
          <w:rFonts w:ascii="Arial" w:eastAsiaTheme="minorHAnsi" w:hAnsi="Arial" w:cs="Arial"/>
          <w:sz w:val="20"/>
          <w:lang w:val="en-AU"/>
        </w:rPr>
        <w:t xml:space="preserve">espite recent claims </w:t>
      </w:r>
      <w:r w:rsidR="00392F57">
        <w:rPr>
          <w:rFonts w:ascii="Arial" w:eastAsiaTheme="minorHAnsi" w:hAnsi="Arial" w:cs="Arial"/>
          <w:sz w:val="20"/>
          <w:lang w:val="en-AU"/>
        </w:rPr>
        <w:t>the</w:t>
      </w:r>
      <w:r w:rsidR="00213778" w:rsidRPr="00194B2C">
        <w:rPr>
          <w:rFonts w:ascii="Arial" w:eastAsiaTheme="minorHAnsi" w:hAnsi="Arial" w:cs="Arial"/>
          <w:sz w:val="20"/>
          <w:lang w:val="en-AU"/>
        </w:rPr>
        <w:t xml:space="preserve"> IAP in NSW has become more affordable, its administrative burden is too high for much of industry and the number of </w:t>
      </w:r>
      <w:r>
        <w:rPr>
          <w:rFonts w:ascii="Arial" w:eastAsiaTheme="minorHAnsi" w:hAnsi="Arial" w:cs="Arial"/>
          <w:sz w:val="20"/>
          <w:lang w:val="en-AU"/>
        </w:rPr>
        <w:t xml:space="preserve">IAP </w:t>
      </w:r>
      <w:r w:rsidRPr="00194B2C">
        <w:rPr>
          <w:rFonts w:ascii="Arial" w:eastAsiaTheme="minorHAnsi" w:hAnsi="Arial" w:cs="Arial"/>
          <w:sz w:val="20"/>
          <w:lang w:val="en-AU"/>
        </w:rPr>
        <w:t xml:space="preserve">enrolled </w:t>
      </w:r>
      <w:r w:rsidR="00213778" w:rsidRPr="00194B2C">
        <w:rPr>
          <w:rFonts w:ascii="Arial" w:eastAsiaTheme="minorHAnsi" w:hAnsi="Arial" w:cs="Arial"/>
          <w:sz w:val="20"/>
          <w:lang w:val="en-AU"/>
        </w:rPr>
        <w:t>freight vehicles in th</w:t>
      </w:r>
      <w:r w:rsidR="008B3950">
        <w:rPr>
          <w:rFonts w:ascii="Arial" w:eastAsiaTheme="minorHAnsi" w:hAnsi="Arial" w:cs="Arial"/>
          <w:sz w:val="20"/>
          <w:lang w:val="en-AU"/>
        </w:rPr>
        <w:t>at</w:t>
      </w:r>
      <w:r w:rsidR="00213778" w:rsidRPr="00194B2C">
        <w:rPr>
          <w:rFonts w:ascii="Arial" w:eastAsiaTheme="minorHAnsi" w:hAnsi="Arial" w:cs="Arial"/>
          <w:sz w:val="20"/>
          <w:lang w:val="en-AU"/>
        </w:rPr>
        <w:t xml:space="preserve"> jurisdiction remains low.</w:t>
      </w:r>
      <w:r w:rsidR="00213778" w:rsidRPr="00194B2C">
        <w:rPr>
          <w:rFonts w:ascii="Arial" w:hAnsi="Arial" w:cs="Arial"/>
          <w:sz w:val="20"/>
        </w:rPr>
        <w:t xml:space="preserve"> In April 2011, </w:t>
      </w:r>
      <w:r w:rsidR="008B3950">
        <w:rPr>
          <w:rFonts w:ascii="Arial" w:hAnsi="Arial" w:cs="Arial"/>
          <w:sz w:val="20"/>
        </w:rPr>
        <w:t xml:space="preserve">a total of </w:t>
      </w:r>
      <w:r w:rsidR="00213778" w:rsidRPr="00194B2C">
        <w:rPr>
          <w:rFonts w:ascii="Arial" w:hAnsi="Arial" w:cs="Arial"/>
          <w:sz w:val="20"/>
        </w:rPr>
        <w:t xml:space="preserve">591 trucks were enrolled in NSW, as of March 2013 (after flexibility reforms), IAP vehicles amounted to 827. </w:t>
      </w:r>
      <w:r w:rsidR="00213778" w:rsidRPr="00194B2C">
        <w:rPr>
          <w:rFonts w:ascii="Arial" w:eastAsiaTheme="minorHAnsi" w:hAnsi="Arial" w:cs="Arial"/>
          <w:sz w:val="20"/>
          <w:lang w:val="en-AU"/>
        </w:rPr>
        <w:t xml:space="preserve">Industry </w:t>
      </w:r>
      <w:r w:rsidR="00213778" w:rsidRPr="00194B2C">
        <w:rPr>
          <w:rFonts w:ascii="Arial" w:hAnsi="Arial" w:cs="Arial"/>
          <w:sz w:val="20"/>
        </w:rPr>
        <w:t xml:space="preserve">has also not gained </w:t>
      </w:r>
      <w:r w:rsidR="00794E2A">
        <w:rPr>
          <w:rFonts w:ascii="Arial" w:hAnsi="Arial" w:cs="Arial"/>
          <w:sz w:val="20"/>
        </w:rPr>
        <w:t>satisfactory</w:t>
      </w:r>
      <w:r w:rsidR="00213778" w:rsidRPr="00194B2C">
        <w:rPr>
          <w:rFonts w:ascii="Arial" w:hAnsi="Arial" w:cs="Arial"/>
          <w:sz w:val="20"/>
        </w:rPr>
        <w:t xml:space="preserve"> HML access on local routes because of a lack of council </w:t>
      </w:r>
      <w:r w:rsidRPr="00194B2C">
        <w:rPr>
          <w:rFonts w:ascii="Arial" w:hAnsi="Arial" w:cs="Arial"/>
          <w:sz w:val="20"/>
        </w:rPr>
        <w:t>acceptance</w:t>
      </w:r>
      <w:r w:rsidRPr="006E289E">
        <w:rPr>
          <w:rFonts w:ascii="Arial" w:hAnsi="Arial" w:cs="Arial"/>
          <w:sz w:val="20"/>
        </w:rPr>
        <w:t xml:space="preserve"> </w:t>
      </w:r>
      <w:r w:rsidRPr="00194B2C">
        <w:rPr>
          <w:rFonts w:ascii="Arial" w:hAnsi="Arial" w:cs="Arial"/>
          <w:sz w:val="20"/>
        </w:rPr>
        <w:t>and funding</w:t>
      </w:r>
      <w:r w:rsidR="008B3950">
        <w:rPr>
          <w:rFonts w:ascii="Arial" w:hAnsi="Arial" w:cs="Arial"/>
          <w:sz w:val="20"/>
        </w:rPr>
        <w:t>, poor</w:t>
      </w:r>
      <w:r w:rsidR="008B3950" w:rsidRPr="00194B2C">
        <w:rPr>
          <w:rFonts w:ascii="Arial" w:hAnsi="Arial" w:cs="Arial"/>
          <w:sz w:val="20"/>
        </w:rPr>
        <w:t xml:space="preserve"> </w:t>
      </w:r>
      <w:r w:rsidR="008B3950">
        <w:rPr>
          <w:rFonts w:ascii="Arial" w:hAnsi="Arial" w:cs="Arial"/>
          <w:sz w:val="20"/>
        </w:rPr>
        <w:t>comprehension</w:t>
      </w:r>
      <w:r w:rsidR="0098721F" w:rsidRPr="00194B2C">
        <w:rPr>
          <w:rFonts w:ascii="Arial" w:hAnsi="Arial" w:cs="Arial"/>
          <w:sz w:val="20"/>
        </w:rPr>
        <w:t xml:space="preserve"> </w:t>
      </w:r>
      <w:r w:rsidR="00935B4D" w:rsidRPr="00194B2C">
        <w:rPr>
          <w:rFonts w:ascii="Arial" w:hAnsi="Arial" w:cs="Arial"/>
          <w:sz w:val="20"/>
        </w:rPr>
        <w:t>of IAP</w:t>
      </w:r>
      <w:r w:rsidR="008B3950">
        <w:rPr>
          <w:rFonts w:ascii="Arial" w:hAnsi="Arial" w:cs="Arial"/>
          <w:sz w:val="20"/>
        </w:rPr>
        <w:t>;</w:t>
      </w:r>
      <w:r w:rsidR="00935B4D" w:rsidRPr="00194B2C">
        <w:rPr>
          <w:rFonts w:ascii="Arial" w:hAnsi="Arial" w:cs="Arial"/>
          <w:sz w:val="20"/>
        </w:rPr>
        <w:t xml:space="preserve"> </w:t>
      </w:r>
      <w:r w:rsidR="00213778" w:rsidRPr="00194B2C">
        <w:rPr>
          <w:rFonts w:ascii="Arial" w:hAnsi="Arial" w:cs="Arial"/>
          <w:sz w:val="20"/>
        </w:rPr>
        <w:t xml:space="preserve">and refusal by </w:t>
      </w:r>
      <w:r w:rsidR="0014466E">
        <w:rPr>
          <w:rFonts w:ascii="Arial" w:hAnsi="Arial" w:cs="Arial"/>
          <w:sz w:val="20"/>
        </w:rPr>
        <w:t xml:space="preserve">the </w:t>
      </w:r>
      <w:r w:rsidR="00213778" w:rsidRPr="00194B2C">
        <w:rPr>
          <w:rFonts w:ascii="Arial" w:hAnsi="Arial" w:cs="Arial"/>
          <w:sz w:val="20"/>
        </w:rPr>
        <w:t>road agenc</w:t>
      </w:r>
      <w:r w:rsidR="0014466E">
        <w:rPr>
          <w:rFonts w:ascii="Arial" w:hAnsi="Arial" w:cs="Arial"/>
          <w:sz w:val="20"/>
        </w:rPr>
        <w:t>y</w:t>
      </w:r>
      <w:r w:rsidR="00213778" w:rsidRPr="00194B2C">
        <w:rPr>
          <w:rFonts w:ascii="Arial" w:hAnsi="Arial" w:cs="Arial"/>
          <w:sz w:val="20"/>
        </w:rPr>
        <w:t xml:space="preserve"> to finance local route assessments</w:t>
      </w:r>
      <w:r w:rsidR="00935B4D" w:rsidRPr="00194B2C">
        <w:rPr>
          <w:rFonts w:ascii="Arial" w:hAnsi="Arial" w:cs="Arial"/>
          <w:sz w:val="20"/>
        </w:rPr>
        <w:t xml:space="preserve"> adequately</w:t>
      </w:r>
      <w:r w:rsidR="00213778" w:rsidRPr="00194B2C">
        <w:rPr>
          <w:rFonts w:ascii="Arial" w:hAnsi="Arial" w:cs="Arial"/>
          <w:sz w:val="20"/>
        </w:rPr>
        <w:t xml:space="preserve">. </w:t>
      </w:r>
    </w:p>
    <w:p w:rsidR="00213778" w:rsidRPr="00194B2C" w:rsidRDefault="00213778" w:rsidP="00D12646">
      <w:pPr>
        <w:pStyle w:val="Normal-paras"/>
        <w:spacing w:after="0"/>
        <w:contextualSpacing/>
        <w:rPr>
          <w:rFonts w:ascii="Arial" w:hAnsi="Arial" w:cs="Arial"/>
          <w:sz w:val="20"/>
        </w:rPr>
      </w:pPr>
    </w:p>
    <w:p w:rsidR="002C4DAB" w:rsidRPr="00FC194B" w:rsidRDefault="002C4DAB" w:rsidP="002C4DAB">
      <w:pPr>
        <w:spacing w:line="240" w:lineRule="auto"/>
        <w:jc w:val="both"/>
        <w:rPr>
          <w:rFonts w:ascii="Arial" w:hAnsi="Arial" w:cs="Arial"/>
          <w:i/>
          <w:sz w:val="20"/>
          <w:szCs w:val="20"/>
        </w:rPr>
      </w:pPr>
      <w:r>
        <w:rPr>
          <w:rFonts w:ascii="Arial" w:hAnsi="Arial" w:cs="Arial"/>
          <w:sz w:val="20"/>
          <w:szCs w:val="20"/>
        </w:rPr>
        <w:t>Austroads</w:t>
      </w:r>
      <w:r w:rsidRPr="00194B2C">
        <w:rPr>
          <w:rFonts w:ascii="Arial" w:hAnsi="Arial" w:cs="Arial"/>
          <w:sz w:val="20"/>
          <w:szCs w:val="20"/>
        </w:rPr>
        <w:t xml:space="preserve"> argued </w:t>
      </w:r>
      <w:r>
        <w:rPr>
          <w:rFonts w:ascii="Arial" w:hAnsi="Arial" w:cs="Arial"/>
          <w:sz w:val="20"/>
          <w:szCs w:val="20"/>
        </w:rPr>
        <w:t xml:space="preserve">that </w:t>
      </w:r>
      <w:r w:rsidRPr="00194B2C">
        <w:rPr>
          <w:rFonts w:ascii="Arial" w:hAnsi="Arial" w:cs="Arial"/>
          <w:sz w:val="20"/>
          <w:szCs w:val="20"/>
        </w:rPr>
        <w:t>after</w:t>
      </w:r>
      <w:r>
        <w:rPr>
          <w:rFonts w:ascii="Arial" w:hAnsi="Arial" w:cs="Arial"/>
          <w:sz w:val="20"/>
          <w:szCs w:val="20"/>
        </w:rPr>
        <w:t xml:space="preserve"> </w:t>
      </w:r>
      <w:r w:rsidRPr="00194B2C">
        <w:rPr>
          <w:rFonts w:ascii="Arial" w:hAnsi="Arial" w:cs="Arial"/>
          <w:sz w:val="20"/>
          <w:szCs w:val="20"/>
        </w:rPr>
        <w:t xml:space="preserve">IAP’s successful implementation, jurisdictions should consider compulsory participation and noted the IAP model had been developed with this in mind. </w:t>
      </w:r>
      <w:r w:rsidR="00FC194B">
        <w:rPr>
          <w:rFonts w:ascii="Arial" w:hAnsi="Arial" w:cs="Arial"/>
          <w:sz w:val="20"/>
          <w:szCs w:val="20"/>
        </w:rPr>
        <w:t xml:space="preserve">For </w:t>
      </w:r>
      <w:r w:rsidR="002E3B2A">
        <w:rPr>
          <w:rFonts w:ascii="Arial" w:hAnsi="Arial" w:cs="Arial"/>
          <w:sz w:val="20"/>
          <w:szCs w:val="20"/>
        </w:rPr>
        <w:t>instance</w:t>
      </w:r>
      <w:r w:rsidR="00FC194B">
        <w:rPr>
          <w:rFonts w:ascii="Arial" w:hAnsi="Arial" w:cs="Arial"/>
          <w:sz w:val="20"/>
          <w:szCs w:val="20"/>
        </w:rPr>
        <w:t>, the</w:t>
      </w:r>
      <w:r w:rsidRPr="00194B2C">
        <w:rPr>
          <w:rFonts w:ascii="Arial" w:hAnsi="Arial" w:cs="Arial"/>
          <w:sz w:val="20"/>
          <w:szCs w:val="20"/>
        </w:rPr>
        <w:t xml:space="preserve"> </w:t>
      </w:r>
      <w:r>
        <w:rPr>
          <w:rFonts w:ascii="Arial" w:hAnsi="Arial" w:cs="Arial"/>
          <w:sz w:val="20"/>
          <w:szCs w:val="20"/>
        </w:rPr>
        <w:t xml:space="preserve">policy </w:t>
      </w:r>
      <w:r w:rsidRPr="00194B2C">
        <w:rPr>
          <w:rFonts w:ascii="Arial" w:hAnsi="Arial" w:cs="Arial"/>
          <w:sz w:val="20"/>
          <w:szCs w:val="20"/>
        </w:rPr>
        <w:t xml:space="preserve">analysis suggested significant </w:t>
      </w:r>
      <w:r>
        <w:rPr>
          <w:rFonts w:ascii="Arial" w:hAnsi="Arial" w:cs="Arial"/>
          <w:sz w:val="20"/>
          <w:szCs w:val="20"/>
        </w:rPr>
        <w:t xml:space="preserve">future </w:t>
      </w:r>
      <w:r w:rsidRPr="00194B2C">
        <w:rPr>
          <w:rFonts w:ascii="Arial" w:hAnsi="Arial" w:cs="Arial"/>
          <w:sz w:val="20"/>
          <w:szCs w:val="20"/>
        </w:rPr>
        <w:t>scope for application of IAP including revenue collection with variable charging arrangements; near 100 per cent probability of detection, near 100 per cent cov</w:t>
      </w:r>
      <w:r w:rsidRPr="00FC194B">
        <w:rPr>
          <w:rFonts w:ascii="Arial" w:hAnsi="Arial" w:cs="Arial"/>
          <w:sz w:val="20"/>
          <w:szCs w:val="20"/>
        </w:rPr>
        <w:t>erage and “</w:t>
      </w:r>
      <w:r w:rsidR="00776627">
        <w:rPr>
          <w:rFonts w:ascii="Arial" w:hAnsi="Arial" w:cs="Arial"/>
          <w:sz w:val="20"/>
          <w:szCs w:val="20"/>
        </w:rPr>
        <w:t>...</w:t>
      </w:r>
      <w:r w:rsidRPr="00FC194B">
        <w:rPr>
          <w:rFonts w:ascii="Arial" w:hAnsi="Arial" w:cs="Arial"/>
          <w:i/>
          <w:sz w:val="20"/>
          <w:szCs w:val="20"/>
        </w:rPr>
        <w:t>similar capabilities made possible by applying ubiquitous electronic technology.</w:t>
      </w:r>
      <w:r w:rsidR="00776627">
        <w:rPr>
          <w:rFonts w:ascii="Arial" w:hAnsi="Arial" w:cs="Arial"/>
          <w:i/>
          <w:sz w:val="20"/>
          <w:szCs w:val="20"/>
        </w:rPr>
        <w:t>.</w:t>
      </w:r>
      <w:r w:rsidRPr="00FC194B">
        <w:rPr>
          <w:rFonts w:ascii="Arial" w:hAnsi="Arial" w:cs="Arial"/>
          <w:i/>
          <w:sz w:val="20"/>
          <w:szCs w:val="20"/>
        </w:rPr>
        <w:t>.”</w:t>
      </w:r>
      <w:r w:rsidR="00776627">
        <w:rPr>
          <w:rFonts w:ascii="Arial" w:hAnsi="Arial" w:cs="Arial"/>
          <w:i/>
          <w:sz w:val="20"/>
          <w:szCs w:val="20"/>
        </w:rPr>
        <w:t>.</w:t>
      </w:r>
    </w:p>
    <w:p w:rsidR="00A93804" w:rsidRPr="00194B2C" w:rsidRDefault="00735348" w:rsidP="00D12646">
      <w:pPr>
        <w:spacing w:after="0" w:line="240" w:lineRule="auto"/>
        <w:contextualSpacing/>
        <w:jc w:val="both"/>
        <w:rPr>
          <w:rFonts w:ascii="Arial" w:hAnsi="Arial" w:cs="Arial"/>
          <w:sz w:val="20"/>
          <w:szCs w:val="20"/>
        </w:rPr>
      </w:pPr>
      <w:r>
        <w:rPr>
          <w:rFonts w:ascii="Arial" w:hAnsi="Arial" w:cs="Arial"/>
          <w:sz w:val="20"/>
          <w:szCs w:val="20"/>
        </w:rPr>
        <w:t>T</w:t>
      </w:r>
      <w:r w:rsidR="003C2266" w:rsidRPr="00194B2C">
        <w:rPr>
          <w:rFonts w:ascii="Arial" w:hAnsi="Arial" w:cs="Arial"/>
          <w:sz w:val="20"/>
          <w:szCs w:val="20"/>
        </w:rPr>
        <w:t>he</w:t>
      </w:r>
      <w:r w:rsidR="006E289E">
        <w:rPr>
          <w:rFonts w:ascii="Arial" w:hAnsi="Arial" w:cs="Arial"/>
          <w:sz w:val="20"/>
          <w:szCs w:val="20"/>
        </w:rPr>
        <w:t xml:space="preserve"> </w:t>
      </w:r>
      <w:r w:rsidR="00A93804" w:rsidRPr="00194B2C">
        <w:rPr>
          <w:rFonts w:ascii="Arial" w:hAnsi="Arial" w:cs="Arial"/>
          <w:sz w:val="20"/>
          <w:szCs w:val="20"/>
        </w:rPr>
        <w:t xml:space="preserve">analysis </w:t>
      </w:r>
      <w:r w:rsidR="0073151B">
        <w:rPr>
          <w:rFonts w:ascii="Arial" w:hAnsi="Arial" w:cs="Arial"/>
          <w:sz w:val="20"/>
          <w:szCs w:val="20"/>
        </w:rPr>
        <w:t xml:space="preserve">also </w:t>
      </w:r>
      <w:r w:rsidR="003C2266" w:rsidRPr="00194B2C">
        <w:rPr>
          <w:rFonts w:ascii="Arial" w:hAnsi="Arial" w:cs="Arial"/>
          <w:sz w:val="20"/>
          <w:szCs w:val="20"/>
        </w:rPr>
        <w:t>considered</w:t>
      </w:r>
      <w:r w:rsidR="00A93804" w:rsidRPr="00194B2C">
        <w:rPr>
          <w:rFonts w:ascii="Arial" w:hAnsi="Arial" w:cs="Arial"/>
          <w:sz w:val="20"/>
          <w:szCs w:val="20"/>
        </w:rPr>
        <w:t>:</w:t>
      </w:r>
    </w:p>
    <w:p w:rsidR="00A93804" w:rsidRPr="00194B2C" w:rsidRDefault="00A93804" w:rsidP="00D12646">
      <w:pPr>
        <w:spacing w:after="0" w:line="240" w:lineRule="auto"/>
        <w:contextualSpacing/>
        <w:rPr>
          <w:rFonts w:ascii="Arial" w:hAnsi="Arial" w:cs="Arial"/>
          <w:sz w:val="20"/>
          <w:szCs w:val="20"/>
        </w:rPr>
      </w:pPr>
    </w:p>
    <w:p w:rsidR="00A93804" w:rsidRPr="00194B2C" w:rsidRDefault="002C4DAB" w:rsidP="00D12646">
      <w:pPr>
        <w:pStyle w:val="Default"/>
        <w:numPr>
          <w:ilvl w:val="0"/>
          <w:numId w:val="7"/>
        </w:numPr>
        <w:ind w:left="0" w:firstLine="0"/>
        <w:contextualSpacing/>
        <w:rPr>
          <w:color w:val="auto"/>
          <w:sz w:val="20"/>
          <w:szCs w:val="20"/>
          <w:lang w:val="en-AU"/>
        </w:rPr>
      </w:pPr>
      <w:r>
        <w:rPr>
          <w:color w:val="auto"/>
          <w:sz w:val="20"/>
          <w:szCs w:val="20"/>
          <w:lang w:val="en-AU"/>
        </w:rPr>
        <w:t>T</w:t>
      </w:r>
      <w:r w:rsidR="00A93804" w:rsidRPr="00194B2C">
        <w:rPr>
          <w:color w:val="auto"/>
          <w:sz w:val="20"/>
          <w:szCs w:val="20"/>
          <w:lang w:val="en-AU"/>
        </w:rPr>
        <w:t xml:space="preserve">he capacity of the system to migrate to a mandated approach, </w:t>
      </w:r>
    </w:p>
    <w:p w:rsidR="00A93804" w:rsidRPr="00194B2C" w:rsidRDefault="002C4DAB" w:rsidP="00D12646">
      <w:pPr>
        <w:pStyle w:val="Default"/>
        <w:numPr>
          <w:ilvl w:val="0"/>
          <w:numId w:val="7"/>
        </w:numPr>
        <w:ind w:left="0" w:firstLine="0"/>
        <w:contextualSpacing/>
        <w:rPr>
          <w:color w:val="auto"/>
          <w:sz w:val="20"/>
          <w:szCs w:val="20"/>
          <w:lang w:val="en-AU"/>
        </w:rPr>
      </w:pPr>
      <w:r>
        <w:rPr>
          <w:color w:val="auto"/>
          <w:sz w:val="20"/>
          <w:szCs w:val="20"/>
          <w:lang w:val="en-AU"/>
        </w:rPr>
        <w:t>I</w:t>
      </w:r>
      <w:r w:rsidR="00A93804" w:rsidRPr="00194B2C">
        <w:rPr>
          <w:color w:val="auto"/>
          <w:sz w:val="20"/>
          <w:szCs w:val="20"/>
          <w:lang w:val="en-AU"/>
        </w:rPr>
        <w:t xml:space="preserve">ts suitability for revenue collection, and </w:t>
      </w:r>
    </w:p>
    <w:p w:rsidR="00A93804" w:rsidRPr="00194B2C" w:rsidRDefault="002C4DAB" w:rsidP="00D12646">
      <w:pPr>
        <w:pStyle w:val="Default"/>
        <w:numPr>
          <w:ilvl w:val="0"/>
          <w:numId w:val="7"/>
        </w:numPr>
        <w:ind w:left="0" w:firstLine="0"/>
        <w:contextualSpacing/>
        <w:rPr>
          <w:color w:val="auto"/>
          <w:sz w:val="20"/>
          <w:szCs w:val="20"/>
          <w:lang w:val="en-AU"/>
        </w:rPr>
      </w:pPr>
      <w:r>
        <w:rPr>
          <w:color w:val="auto"/>
          <w:sz w:val="20"/>
          <w:szCs w:val="20"/>
          <w:lang w:val="en-AU"/>
        </w:rPr>
        <w:t>T</w:t>
      </w:r>
      <w:r w:rsidR="00A93804" w:rsidRPr="00194B2C">
        <w:rPr>
          <w:color w:val="auto"/>
          <w:sz w:val="20"/>
          <w:szCs w:val="20"/>
          <w:lang w:val="en-AU"/>
        </w:rPr>
        <w:t xml:space="preserve">he potential to extend the system into other areas of transport. </w:t>
      </w:r>
    </w:p>
    <w:p w:rsidR="00A93804" w:rsidRPr="00194B2C" w:rsidRDefault="00A93804" w:rsidP="00D12646">
      <w:pPr>
        <w:spacing w:after="0" w:line="240" w:lineRule="auto"/>
        <w:contextualSpacing/>
        <w:rPr>
          <w:rFonts w:ascii="Arial" w:hAnsi="Arial" w:cs="Arial"/>
          <w:sz w:val="20"/>
          <w:szCs w:val="20"/>
        </w:rPr>
      </w:pPr>
    </w:p>
    <w:p w:rsidR="00A93804" w:rsidRPr="00194B2C" w:rsidRDefault="0073151B" w:rsidP="00D12646">
      <w:pPr>
        <w:spacing w:after="0" w:line="240" w:lineRule="auto"/>
        <w:contextualSpacing/>
        <w:jc w:val="both"/>
        <w:rPr>
          <w:rFonts w:ascii="Arial" w:hAnsi="Arial" w:cs="Arial"/>
          <w:sz w:val="20"/>
          <w:szCs w:val="20"/>
        </w:rPr>
      </w:pPr>
      <w:r>
        <w:rPr>
          <w:rFonts w:ascii="Arial" w:hAnsi="Arial" w:cs="Arial"/>
          <w:sz w:val="20"/>
          <w:szCs w:val="20"/>
        </w:rPr>
        <w:t>It</w:t>
      </w:r>
      <w:r w:rsidR="00923384" w:rsidRPr="00194B2C">
        <w:rPr>
          <w:rFonts w:ascii="Arial" w:hAnsi="Arial" w:cs="Arial"/>
          <w:sz w:val="20"/>
          <w:szCs w:val="20"/>
        </w:rPr>
        <w:t xml:space="preserve"> </w:t>
      </w:r>
      <w:r>
        <w:rPr>
          <w:rFonts w:ascii="Arial" w:hAnsi="Arial" w:cs="Arial"/>
          <w:sz w:val="20"/>
          <w:szCs w:val="20"/>
        </w:rPr>
        <w:t xml:space="preserve">was </w:t>
      </w:r>
      <w:r w:rsidR="00923384" w:rsidRPr="00194B2C">
        <w:rPr>
          <w:rFonts w:ascii="Arial" w:hAnsi="Arial" w:cs="Arial"/>
          <w:sz w:val="20"/>
          <w:szCs w:val="20"/>
        </w:rPr>
        <w:t xml:space="preserve">concluded that IAP </w:t>
      </w:r>
      <w:r w:rsidR="00213778" w:rsidRPr="00194B2C">
        <w:rPr>
          <w:rFonts w:ascii="Arial" w:hAnsi="Arial" w:cs="Arial"/>
          <w:sz w:val="20"/>
          <w:szCs w:val="20"/>
        </w:rPr>
        <w:t>offered a “</w:t>
      </w:r>
      <w:r w:rsidR="00213778" w:rsidRPr="00194B2C">
        <w:rPr>
          <w:rFonts w:ascii="Arial" w:hAnsi="Arial" w:cs="Arial"/>
          <w:i/>
          <w:sz w:val="20"/>
          <w:szCs w:val="20"/>
        </w:rPr>
        <w:t>commercial advantage to operators</w:t>
      </w:r>
      <w:r w:rsidR="00213778" w:rsidRPr="00194B2C">
        <w:rPr>
          <w:rFonts w:ascii="Arial" w:hAnsi="Arial" w:cs="Arial"/>
          <w:sz w:val="20"/>
          <w:szCs w:val="20"/>
        </w:rPr>
        <w:t xml:space="preserve">” </w:t>
      </w:r>
      <w:r w:rsidR="00923384" w:rsidRPr="00194B2C">
        <w:rPr>
          <w:rFonts w:ascii="Arial" w:hAnsi="Arial" w:cs="Arial"/>
          <w:sz w:val="20"/>
          <w:szCs w:val="20"/>
        </w:rPr>
        <w:t>and</w:t>
      </w:r>
      <w:r w:rsidR="00213778" w:rsidRPr="00194B2C">
        <w:rPr>
          <w:rFonts w:ascii="Arial" w:hAnsi="Arial" w:cs="Arial"/>
          <w:sz w:val="20"/>
          <w:szCs w:val="20"/>
        </w:rPr>
        <w:t xml:space="preserve"> </w:t>
      </w:r>
      <w:r w:rsidR="00923384" w:rsidRPr="00194B2C">
        <w:rPr>
          <w:rFonts w:ascii="Arial" w:hAnsi="Arial" w:cs="Arial"/>
          <w:sz w:val="20"/>
          <w:szCs w:val="20"/>
        </w:rPr>
        <w:t>further</w:t>
      </w:r>
      <w:r w:rsidR="00213778" w:rsidRPr="00194B2C">
        <w:rPr>
          <w:rFonts w:ascii="Arial" w:hAnsi="Arial" w:cs="Arial"/>
          <w:sz w:val="20"/>
          <w:szCs w:val="20"/>
        </w:rPr>
        <w:t xml:space="preserve"> contemplated the “</w:t>
      </w:r>
      <w:r w:rsidR="00213778" w:rsidRPr="00194B2C">
        <w:rPr>
          <w:rFonts w:ascii="Arial" w:hAnsi="Arial" w:cs="Arial"/>
          <w:i/>
          <w:sz w:val="20"/>
          <w:szCs w:val="20"/>
        </w:rPr>
        <w:t>unambiguously positive</w:t>
      </w:r>
      <w:r w:rsidR="00213778" w:rsidRPr="00194B2C">
        <w:rPr>
          <w:rFonts w:ascii="Arial" w:hAnsi="Arial" w:cs="Arial"/>
          <w:sz w:val="20"/>
          <w:szCs w:val="20"/>
        </w:rPr>
        <w:t xml:space="preserve">“ potential market impacts if IAP were to be used to implement compliance monitoring 100 per cent of the time across extended applications. </w:t>
      </w:r>
      <w:r w:rsidR="00A93804" w:rsidRPr="00194B2C">
        <w:rPr>
          <w:rFonts w:ascii="Arial" w:hAnsi="Arial" w:cs="Arial"/>
          <w:sz w:val="20"/>
          <w:szCs w:val="20"/>
        </w:rPr>
        <w:t xml:space="preserve">For a competitive, diverse industry with monstrously tight margins operating in a timid economy, </w:t>
      </w:r>
      <w:r w:rsidR="00031F6E" w:rsidRPr="00194B2C">
        <w:rPr>
          <w:rFonts w:ascii="Arial" w:hAnsi="Arial" w:cs="Arial"/>
          <w:sz w:val="20"/>
          <w:szCs w:val="20"/>
        </w:rPr>
        <w:t xml:space="preserve">this </w:t>
      </w:r>
      <w:r>
        <w:rPr>
          <w:rFonts w:ascii="Arial" w:hAnsi="Arial" w:cs="Arial"/>
          <w:sz w:val="20"/>
          <w:szCs w:val="20"/>
        </w:rPr>
        <w:t>sort</w:t>
      </w:r>
      <w:r w:rsidR="00031F6E" w:rsidRPr="00194B2C">
        <w:rPr>
          <w:rFonts w:ascii="Arial" w:hAnsi="Arial" w:cs="Arial"/>
          <w:sz w:val="20"/>
          <w:szCs w:val="20"/>
        </w:rPr>
        <w:t xml:space="preserve"> of </w:t>
      </w:r>
      <w:r w:rsidR="00A93804" w:rsidRPr="00194B2C">
        <w:rPr>
          <w:rFonts w:ascii="Arial" w:hAnsi="Arial" w:cs="Arial"/>
          <w:sz w:val="20"/>
          <w:szCs w:val="20"/>
        </w:rPr>
        <w:t xml:space="preserve">speculation is alarming and </w:t>
      </w:r>
      <w:r>
        <w:rPr>
          <w:rFonts w:ascii="Arial" w:hAnsi="Arial" w:cs="Arial"/>
          <w:sz w:val="20"/>
          <w:szCs w:val="20"/>
        </w:rPr>
        <w:t xml:space="preserve">implies, </w:t>
      </w:r>
      <w:r w:rsidR="00A93804" w:rsidRPr="00194B2C">
        <w:rPr>
          <w:rFonts w:ascii="Arial" w:hAnsi="Arial" w:cs="Arial"/>
          <w:sz w:val="20"/>
          <w:szCs w:val="20"/>
        </w:rPr>
        <w:t xml:space="preserve">as the </w:t>
      </w:r>
      <w:r w:rsidR="008D2135">
        <w:rPr>
          <w:rFonts w:ascii="Arial" w:hAnsi="Arial" w:cs="Arial"/>
          <w:sz w:val="20"/>
          <w:szCs w:val="20"/>
        </w:rPr>
        <w:t xml:space="preserve">Austroads </w:t>
      </w:r>
      <w:r w:rsidR="00213778" w:rsidRPr="00194B2C">
        <w:rPr>
          <w:rFonts w:ascii="Arial" w:hAnsi="Arial" w:cs="Arial"/>
          <w:sz w:val="20"/>
          <w:szCs w:val="20"/>
        </w:rPr>
        <w:t>r</w:t>
      </w:r>
      <w:r w:rsidR="00A93804" w:rsidRPr="00194B2C">
        <w:rPr>
          <w:rFonts w:ascii="Arial" w:hAnsi="Arial" w:cs="Arial"/>
          <w:sz w:val="20"/>
          <w:szCs w:val="20"/>
        </w:rPr>
        <w:t xml:space="preserve">eport </w:t>
      </w:r>
      <w:r>
        <w:rPr>
          <w:rFonts w:ascii="Arial" w:hAnsi="Arial" w:cs="Arial"/>
          <w:sz w:val="20"/>
          <w:szCs w:val="20"/>
        </w:rPr>
        <w:t>states,</w:t>
      </w:r>
      <w:r w:rsidR="00A93804" w:rsidRPr="00194B2C">
        <w:rPr>
          <w:rFonts w:ascii="Arial" w:hAnsi="Arial" w:cs="Arial"/>
          <w:sz w:val="20"/>
          <w:szCs w:val="20"/>
        </w:rPr>
        <w:t>:</w:t>
      </w:r>
    </w:p>
    <w:p w:rsidR="00A93804" w:rsidRPr="00194B2C" w:rsidRDefault="00A93804" w:rsidP="00A93804">
      <w:pPr>
        <w:spacing w:after="0" w:line="240" w:lineRule="auto"/>
        <w:contextualSpacing/>
        <w:rPr>
          <w:rFonts w:ascii="Arial" w:hAnsi="Arial" w:cs="Arial"/>
          <w:sz w:val="20"/>
          <w:szCs w:val="20"/>
        </w:rPr>
      </w:pPr>
    </w:p>
    <w:p w:rsidR="00A93804" w:rsidRPr="00194B2C" w:rsidRDefault="00A93804" w:rsidP="00A93804">
      <w:pPr>
        <w:spacing w:after="0" w:line="240" w:lineRule="auto"/>
        <w:contextualSpacing/>
        <w:rPr>
          <w:rFonts w:eastAsia="Times New Roman" w:cs="Arial"/>
          <w:sz w:val="20"/>
          <w:szCs w:val="20"/>
        </w:rPr>
      </w:pPr>
      <w:r w:rsidRPr="00194B2C">
        <w:rPr>
          <w:rFonts w:cs="Arial"/>
          <w:i/>
          <w:sz w:val="20"/>
          <w:szCs w:val="20"/>
        </w:rPr>
        <w:t>“The implicit issues go well beyond a jurisdictional transport portfolio and to government as a whole. Implicitly, IAP is about exploring new ways to pursue important public policy goals. Consequently, the IAP will have a significant influence on subsequent uses of this telematics capability in the transport sector.”</w:t>
      </w:r>
      <w:r w:rsidRPr="00194B2C">
        <w:rPr>
          <w:rStyle w:val="FootnoteReference"/>
          <w:rFonts w:cs="Arial"/>
          <w:i/>
          <w:sz w:val="20"/>
          <w:szCs w:val="20"/>
        </w:rPr>
        <w:footnoteReference w:id="2"/>
      </w:r>
    </w:p>
    <w:p w:rsidR="001E2AB7" w:rsidRDefault="001E2AB7" w:rsidP="00D8210F">
      <w:pPr>
        <w:spacing w:after="0" w:line="240" w:lineRule="auto"/>
        <w:contextualSpacing/>
        <w:jc w:val="both"/>
        <w:rPr>
          <w:rFonts w:ascii="Arial" w:hAnsi="Arial" w:cs="Arial"/>
        </w:rPr>
      </w:pPr>
    </w:p>
    <w:p w:rsidR="00796078" w:rsidRDefault="00796078" w:rsidP="00194B2C">
      <w:pPr>
        <w:pStyle w:val="Heading1"/>
        <w:numPr>
          <w:ilvl w:val="0"/>
          <w:numId w:val="0"/>
        </w:numPr>
        <w:ind w:left="360" w:hanging="360"/>
        <w:rPr>
          <w:sz w:val="20"/>
          <w:szCs w:val="20"/>
        </w:rPr>
      </w:pPr>
    </w:p>
    <w:p w:rsidR="005616CD" w:rsidRPr="00D44B66" w:rsidRDefault="005616CD" w:rsidP="00194B2C">
      <w:pPr>
        <w:pStyle w:val="Heading1"/>
        <w:numPr>
          <w:ilvl w:val="0"/>
          <w:numId w:val="0"/>
        </w:numPr>
        <w:ind w:left="360" w:hanging="360"/>
        <w:rPr>
          <w:sz w:val="20"/>
          <w:szCs w:val="20"/>
        </w:rPr>
      </w:pPr>
      <w:r w:rsidRPr="00D44B66">
        <w:rPr>
          <w:sz w:val="20"/>
          <w:szCs w:val="20"/>
        </w:rPr>
        <w:t>Benefits are Subject to the Network Effect</w:t>
      </w:r>
    </w:p>
    <w:p w:rsidR="00533D55" w:rsidRPr="00194B2C" w:rsidRDefault="00542667" w:rsidP="00D8210F">
      <w:pPr>
        <w:spacing w:after="0" w:line="240" w:lineRule="auto"/>
        <w:contextualSpacing/>
        <w:jc w:val="both"/>
        <w:rPr>
          <w:rFonts w:ascii="Arial" w:hAnsi="Arial" w:cs="Arial"/>
          <w:sz w:val="20"/>
          <w:szCs w:val="20"/>
        </w:rPr>
      </w:pPr>
      <w:r>
        <w:rPr>
          <w:rFonts w:ascii="Arial" w:hAnsi="Arial" w:cs="Arial"/>
          <w:sz w:val="20"/>
          <w:szCs w:val="20"/>
        </w:rPr>
        <w:t xml:space="preserve">In addition to </w:t>
      </w:r>
      <w:r w:rsidR="00533D55" w:rsidRPr="00194B2C">
        <w:rPr>
          <w:rFonts w:ascii="Arial" w:hAnsi="Arial" w:cs="Arial"/>
          <w:sz w:val="20"/>
          <w:szCs w:val="20"/>
        </w:rPr>
        <w:t xml:space="preserve">previous </w:t>
      </w:r>
      <w:r w:rsidR="00DC2ACF" w:rsidRPr="00194B2C">
        <w:rPr>
          <w:rFonts w:ascii="Arial" w:hAnsi="Arial" w:cs="Arial"/>
          <w:sz w:val="20"/>
          <w:szCs w:val="20"/>
        </w:rPr>
        <w:t xml:space="preserve">technical and legal </w:t>
      </w:r>
      <w:r w:rsidR="00533D55" w:rsidRPr="00194B2C">
        <w:rPr>
          <w:rFonts w:ascii="Arial" w:hAnsi="Arial" w:cs="Arial"/>
          <w:sz w:val="20"/>
          <w:szCs w:val="20"/>
        </w:rPr>
        <w:t xml:space="preserve">arguments </w:t>
      </w:r>
      <w:r w:rsidR="002A3C28" w:rsidRPr="00194B2C">
        <w:rPr>
          <w:rFonts w:ascii="Arial" w:hAnsi="Arial" w:cs="Arial"/>
          <w:sz w:val="20"/>
          <w:szCs w:val="20"/>
        </w:rPr>
        <w:t>presented</w:t>
      </w:r>
      <w:r w:rsidR="00533D55" w:rsidRPr="00194B2C">
        <w:rPr>
          <w:rFonts w:ascii="Arial" w:hAnsi="Arial" w:cs="Arial"/>
          <w:sz w:val="20"/>
          <w:szCs w:val="20"/>
        </w:rPr>
        <w:t xml:space="preserve"> against </w:t>
      </w:r>
      <w:r w:rsidR="002A3C28" w:rsidRPr="00194B2C">
        <w:rPr>
          <w:rFonts w:ascii="Arial" w:hAnsi="Arial" w:cs="Arial"/>
          <w:sz w:val="20"/>
          <w:szCs w:val="20"/>
        </w:rPr>
        <w:t>IAP</w:t>
      </w:r>
      <w:r w:rsidR="00533D55" w:rsidRPr="00194B2C">
        <w:rPr>
          <w:rFonts w:ascii="Arial" w:hAnsi="Arial" w:cs="Arial"/>
          <w:sz w:val="20"/>
          <w:szCs w:val="20"/>
        </w:rPr>
        <w:t xml:space="preserve">, the ATA believes </w:t>
      </w:r>
      <w:r w:rsidR="00BB4342" w:rsidRPr="00194B2C">
        <w:rPr>
          <w:rFonts w:ascii="Arial" w:hAnsi="Arial" w:cs="Arial"/>
          <w:sz w:val="20"/>
          <w:szCs w:val="20"/>
        </w:rPr>
        <w:t xml:space="preserve">this vehicle monitoring </w:t>
      </w:r>
      <w:r w:rsidR="003C2266" w:rsidRPr="00194B2C">
        <w:rPr>
          <w:rFonts w:ascii="Arial" w:hAnsi="Arial" w:cs="Arial"/>
          <w:sz w:val="20"/>
          <w:szCs w:val="20"/>
        </w:rPr>
        <w:t>scheme</w:t>
      </w:r>
      <w:r w:rsidR="00533D55" w:rsidRPr="00194B2C">
        <w:rPr>
          <w:rFonts w:ascii="Arial" w:hAnsi="Arial" w:cs="Arial"/>
          <w:sz w:val="20"/>
          <w:szCs w:val="20"/>
        </w:rPr>
        <w:t xml:space="preserve"> should not continue in its present form because of poor ongoing returns to public investment</w:t>
      </w:r>
      <w:r w:rsidR="00EA4C80" w:rsidRPr="00194B2C">
        <w:rPr>
          <w:rFonts w:ascii="Arial" w:hAnsi="Arial" w:cs="Arial"/>
          <w:sz w:val="20"/>
          <w:szCs w:val="20"/>
        </w:rPr>
        <w:t xml:space="preserve"> </w:t>
      </w:r>
      <w:r w:rsidR="00DC2ACF" w:rsidRPr="00194B2C">
        <w:rPr>
          <w:rFonts w:ascii="Arial" w:hAnsi="Arial" w:cs="Arial"/>
          <w:sz w:val="20"/>
          <w:szCs w:val="20"/>
        </w:rPr>
        <w:t>for</w:t>
      </w:r>
      <w:r w:rsidR="00EA4C80" w:rsidRPr="00194B2C">
        <w:rPr>
          <w:rFonts w:ascii="Arial" w:hAnsi="Arial" w:cs="Arial"/>
          <w:sz w:val="20"/>
          <w:szCs w:val="20"/>
        </w:rPr>
        <w:t xml:space="preserve"> all three tiers of government</w:t>
      </w:r>
      <w:r w:rsidR="00533D55" w:rsidRPr="00194B2C">
        <w:rPr>
          <w:rFonts w:ascii="Arial" w:hAnsi="Arial" w:cs="Arial"/>
          <w:sz w:val="20"/>
          <w:szCs w:val="20"/>
        </w:rPr>
        <w:t xml:space="preserve">.  </w:t>
      </w:r>
    </w:p>
    <w:p w:rsidR="00BC2E3E" w:rsidRDefault="00BC2E3E" w:rsidP="00D8210F">
      <w:pPr>
        <w:spacing w:after="0" w:line="240" w:lineRule="auto"/>
        <w:contextualSpacing/>
        <w:jc w:val="both"/>
        <w:rPr>
          <w:rFonts w:ascii="Arial" w:hAnsi="Arial" w:cs="Arial"/>
          <w:sz w:val="20"/>
          <w:szCs w:val="20"/>
        </w:rPr>
      </w:pPr>
    </w:p>
    <w:p w:rsidR="002878E7" w:rsidRDefault="00D278D1" w:rsidP="00D8210F">
      <w:pPr>
        <w:spacing w:after="0" w:line="240" w:lineRule="auto"/>
        <w:contextualSpacing/>
        <w:jc w:val="both"/>
        <w:rPr>
          <w:rFonts w:ascii="Arial" w:hAnsi="Arial" w:cs="Arial"/>
          <w:sz w:val="20"/>
          <w:szCs w:val="20"/>
        </w:rPr>
      </w:pPr>
      <w:r w:rsidRPr="00194B2C">
        <w:rPr>
          <w:rFonts w:ascii="Arial" w:hAnsi="Arial" w:cs="Arial"/>
          <w:sz w:val="20"/>
          <w:szCs w:val="20"/>
        </w:rPr>
        <w:t>Again, t</w:t>
      </w:r>
      <w:r w:rsidR="00760F6F" w:rsidRPr="00194B2C">
        <w:rPr>
          <w:rFonts w:ascii="Arial" w:hAnsi="Arial" w:cs="Arial"/>
          <w:sz w:val="20"/>
          <w:szCs w:val="20"/>
        </w:rPr>
        <w:t xml:space="preserve">he </w:t>
      </w:r>
      <w:r w:rsidR="009F1A8B">
        <w:rPr>
          <w:rFonts w:ascii="Arial" w:hAnsi="Arial" w:cs="Arial"/>
          <w:sz w:val="20"/>
          <w:szCs w:val="20"/>
        </w:rPr>
        <w:t xml:space="preserve">IAP </w:t>
      </w:r>
      <w:r w:rsidRPr="00194B2C">
        <w:rPr>
          <w:rFonts w:ascii="Arial" w:hAnsi="Arial" w:cs="Arial"/>
          <w:sz w:val="20"/>
          <w:szCs w:val="20"/>
        </w:rPr>
        <w:t xml:space="preserve">policy analysis </w:t>
      </w:r>
      <w:r w:rsidR="009710CF">
        <w:rPr>
          <w:rFonts w:ascii="Arial" w:hAnsi="Arial" w:cs="Arial"/>
          <w:sz w:val="20"/>
          <w:szCs w:val="20"/>
        </w:rPr>
        <w:t xml:space="preserve">report </w:t>
      </w:r>
      <w:r w:rsidR="00F858C3" w:rsidRPr="00194B2C">
        <w:rPr>
          <w:rFonts w:ascii="Arial" w:hAnsi="Arial" w:cs="Arial"/>
          <w:sz w:val="20"/>
          <w:szCs w:val="20"/>
        </w:rPr>
        <w:t>states</w:t>
      </w:r>
      <w:r w:rsidR="002878E7" w:rsidRPr="00194B2C">
        <w:rPr>
          <w:rFonts w:ascii="Arial" w:hAnsi="Arial" w:cs="Arial"/>
          <w:sz w:val="20"/>
          <w:szCs w:val="20"/>
        </w:rPr>
        <w:t>:</w:t>
      </w:r>
    </w:p>
    <w:p w:rsidR="00796078" w:rsidRPr="00194B2C" w:rsidRDefault="00796078" w:rsidP="00D8210F">
      <w:pPr>
        <w:spacing w:after="0" w:line="240" w:lineRule="auto"/>
        <w:contextualSpacing/>
        <w:jc w:val="both"/>
        <w:rPr>
          <w:rFonts w:ascii="Arial" w:hAnsi="Arial" w:cs="Arial"/>
          <w:sz w:val="20"/>
          <w:szCs w:val="20"/>
        </w:rPr>
      </w:pPr>
    </w:p>
    <w:p w:rsidR="00263E3C" w:rsidRPr="00194B2C" w:rsidRDefault="00263E3C" w:rsidP="00F370C8">
      <w:pPr>
        <w:pStyle w:val="Default"/>
        <w:contextualSpacing/>
        <w:rPr>
          <w:rFonts w:asciiTheme="minorHAnsi" w:hAnsiTheme="minorHAnsi"/>
          <w:i/>
          <w:color w:val="auto"/>
          <w:sz w:val="20"/>
          <w:szCs w:val="20"/>
          <w:lang w:val="en-AU"/>
        </w:rPr>
      </w:pPr>
      <w:r w:rsidRPr="00194B2C">
        <w:rPr>
          <w:rFonts w:asciiTheme="minorHAnsi" w:hAnsiTheme="minorHAnsi"/>
          <w:i/>
          <w:color w:val="auto"/>
          <w:sz w:val="20"/>
          <w:szCs w:val="20"/>
          <w:lang w:val="en-AU"/>
        </w:rPr>
        <w:t xml:space="preserve">“The benefits that will arise from the IAP are subject to the </w:t>
      </w:r>
      <w:r w:rsidRPr="00194B2C">
        <w:rPr>
          <w:rFonts w:asciiTheme="minorHAnsi" w:hAnsiTheme="minorHAnsi"/>
          <w:b/>
          <w:i/>
          <w:color w:val="auto"/>
          <w:sz w:val="20"/>
          <w:szCs w:val="20"/>
          <w:lang w:val="en-AU"/>
        </w:rPr>
        <w:t>network effect</w:t>
      </w:r>
      <w:r w:rsidRPr="00194B2C">
        <w:rPr>
          <w:rFonts w:asciiTheme="minorHAnsi" w:hAnsiTheme="minorHAnsi"/>
          <w:i/>
          <w:color w:val="auto"/>
          <w:sz w:val="20"/>
          <w:szCs w:val="20"/>
          <w:lang w:val="en-AU"/>
        </w:rPr>
        <w:t xml:space="preserve"> – i.e. the potential for known and unanticipated benefits increases dramatically with each additional node (vehicle, operator, other participant) added to the system. This has several policy consequences including: </w:t>
      </w:r>
    </w:p>
    <w:p w:rsidR="007E578B" w:rsidRPr="0068542C" w:rsidRDefault="007E578B" w:rsidP="00F370C8">
      <w:pPr>
        <w:pStyle w:val="Default"/>
        <w:contextualSpacing/>
        <w:rPr>
          <w:rFonts w:asciiTheme="minorHAnsi" w:hAnsiTheme="minorHAnsi"/>
          <w:i/>
          <w:color w:val="auto"/>
          <w:sz w:val="20"/>
          <w:szCs w:val="20"/>
          <w:lang w:val="en-AU"/>
        </w:rPr>
      </w:pPr>
    </w:p>
    <w:p w:rsidR="00263E3C" w:rsidRPr="0068542C" w:rsidRDefault="00263E3C" w:rsidP="00F370C8">
      <w:pPr>
        <w:pStyle w:val="Default"/>
        <w:numPr>
          <w:ilvl w:val="0"/>
          <w:numId w:val="6"/>
        </w:numPr>
        <w:ind w:left="720" w:hanging="720"/>
        <w:contextualSpacing/>
        <w:rPr>
          <w:rFonts w:asciiTheme="minorHAnsi" w:hAnsiTheme="minorHAnsi"/>
          <w:i/>
          <w:sz w:val="20"/>
          <w:szCs w:val="20"/>
        </w:rPr>
      </w:pPr>
      <w:r w:rsidRPr="0068542C">
        <w:rPr>
          <w:rFonts w:asciiTheme="minorHAnsi" w:hAnsiTheme="minorHAnsi"/>
          <w:i/>
          <w:sz w:val="20"/>
          <w:szCs w:val="20"/>
        </w:rPr>
        <w:t xml:space="preserve">the more applications and participants that can be brought into the system as quickly as possible, the greater the benefits </w:t>
      </w:r>
    </w:p>
    <w:p w:rsidR="00F370C8" w:rsidRPr="0068542C" w:rsidRDefault="00F370C8" w:rsidP="00F370C8">
      <w:pPr>
        <w:pStyle w:val="Default"/>
        <w:contextualSpacing/>
        <w:rPr>
          <w:rFonts w:asciiTheme="minorHAnsi" w:hAnsiTheme="minorHAnsi"/>
          <w:i/>
          <w:sz w:val="20"/>
          <w:szCs w:val="20"/>
        </w:rPr>
      </w:pPr>
    </w:p>
    <w:p w:rsidR="00263E3C" w:rsidRPr="0068542C" w:rsidRDefault="00263E3C" w:rsidP="00F370C8">
      <w:pPr>
        <w:pStyle w:val="Default"/>
        <w:numPr>
          <w:ilvl w:val="0"/>
          <w:numId w:val="6"/>
        </w:numPr>
        <w:spacing w:before="120"/>
        <w:ind w:left="720" w:hanging="720"/>
        <w:contextualSpacing/>
        <w:rPr>
          <w:rFonts w:asciiTheme="minorHAnsi" w:hAnsiTheme="minorHAnsi"/>
          <w:i/>
          <w:sz w:val="20"/>
          <w:szCs w:val="20"/>
        </w:rPr>
      </w:pPr>
      <w:r w:rsidRPr="0068542C">
        <w:rPr>
          <w:rFonts w:asciiTheme="minorHAnsi" w:hAnsiTheme="minorHAnsi"/>
          <w:i/>
          <w:sz w:val="20"/>
          <w:szCs w:val="20"/>
        </w:rPr>
        <w:t xml:space="preserve">once the necessary commercial threshold is reached, the addition of small operators generates considerable economic and other policy benefit at low marginal cost. Barriers to small operator participation can therefore be reduced, and </w:t>
      </w:r>
    </w:p>
    <w:p w:rsidR="00F370C8" w:rsidRPr="00194B2C" w:rsidRDefault="00F370C8" w:rsidP="00F370C8">
      <w:pPr>
        <w:pStyle w:val="Default"/>
        <w:spacing w:before="120"/>
        <w:contextualSpacing/>
        <w:rPr>
          <w:rFonts w:asciiTheme="minorHAnsi" w:hAnsiTheme="minorHAnsi"/>
          <w:i/>
          <w:sz w:val="20"/>
          <w:szCs w:val="20"/>
        </w:rPr>
      </w:pPr>
    </w:p>
    <w:p w:rsidR="00263E3C" w:rsidRPr="00194B2C" w:rsidRDefault="00263E3C" w:rsidP="00F370C8">
      <w:pPr>
        <w:pStyle w:val="Default"/>
        <w:numPr>
          <w:ilvl w:val="0"/>
          <w:numId w:val="6"/>
        </w:numPr>
        <w:ind w:left="720" w:hanging="720"/>
        <w:contextualSpacing/>
        <w:rPr>
          <w:rFonts w:asciiTheme="minorHAnsi" w:hAnsiTheme="minorHAnsi"/>
          <w:i/>
          <w:sz w:val="20"/>
          <w:szCs w:val="20"/>
        </w:rPr>
      </w:pPr>
      <w:r w:rsidRPr="00194B2C">
        <w:rPr>
          <w:rFonts w:asciiTheme="minorHAnsi" w:hAnsiTheme="minorHAnsi"/>
          <w:i/>
          <w:sz w:val="20"/>
          <w:szCs w:val="20"/>
        </w:rPr>
        <w:t>strong support for the view that the IAP should be based on many service providers from the start of the system, rather than the alternative monopoly or controlled entry approaches.”</w:t>
      </w:r>
      <w:r w:rsidRPr="00194B2C">
        <w:rPr>
          <w:rStyle w:val="FootnoteReference"/>
          <w:rFonts w:asciiTheme="minorHAnsi" w:hAnsiTheme="minorHAnsi"/>
          <w:i/>
          <w:sz w:val="20"/>
          <w:szCs w:val="20"/>
        </w:rPr>
        <w:footnoteReference w:id="3"/>
      </w:r>
      <w:r w:rsidRPr="00194B2C">
        <w:rPr>
          <w:rFonts w:asciiTheme="minorHAnsi" w:hAnsiTheme="minorHAnsi"/>
          <w:i/>
          <w:sz w:val="20"/>
          <w:szCs w:val="20"/>
        </w:rPr>
        <w:t xml:space="preserve"> </w:t>
      </w:r>
    </w:p>
    <w:p w:rsidR="00FA2ADC" w:rsidRPr="00194B2C" w:rsidRDefault="00FA2ADC" w:rsidP="00D8210F">
      <w:pPr>
        <w:spacing w:after="0" w:line="240" w:lineRule="auto"/>
        <w:contextualSpacing/>
        <w:jc w:val="both"/>
        <w:rPr>
          <w:rFonts w:ascii="Arial" w:hAnsi="Arial" w:cs="Arial"/>
          <w:sz w:val="20"/>
          <w:szCs w:val="20"/>
        </w:rPr>
      </w:pPr>
    </w:p>
    <w:p w:rsidR="00FB0463" w:rsidRPr="00194B2C" w:rsidRDefault="00263E3C" w:rsidP="00D8210F">
      <w:pPr>
        <w:spacing w:after="0" w:line="240" w:lineRule="auto"/>
        <w:contextualSpacing/>
        <w:jc w:val="both"/>
        <w:rPr>
          <w:rFonts w:ascii="Arial" w:hAnsi="Arial" w:cs="Arial"/>
          <w:sz w:val="20"/>
          <w:szCs w:val="20"/>
        </w:rPr>
      </w:pPr>
      <w:r w:rsidRPr="00194B2C">
        <w:rPr>
          <w:rFonts w:ascii="Arial" w:hAnsi="Arial" w:cs="Arial"/>
          <w:sz w:val="20"/>
          <w:szCs w:val="20"/>
        </w:rPr>
        <w:t xml:space="preserve">Another </w:t>
      </w:r>
      <w:r w:rsidR="00D93B46" w:rsidRPr="00194B2C">
        <w:rPr>
          <w:rFonts w:ascii="Arial" w:hAnsi="Arial" w:cs="Arial"/>
          <w:sz w:val="20"/>
          <w:szCs w:val="20"/>
        </w:rPr>
        <w:t>phrase</w:t>
      </w:r>
      <w:r w:rsidRPr="00194B2C">
        <w:rPr>
          <w:rFonts w:ascii="Arial" w:hAnsi="Arial" w:cs="Arial"/>
          <w:sz w:val="20"/>
          <w:szCs w:val="20"/>
        </w:rPr>
        <w:t xml:space="preserve"> for </w:t>
      </w:r>
      <w:r w:rsidR="00314C78" w:rsidRPr="00194B2C">
        <w:rPr>
          <w:rFonts w:ascii="Arial" w:hAnsi="Arial" w:cs="Arial"/>
          <w:sz w:val="20"/>
          <w:szCs w:val="20"/>
        </w:rPr>
        <w:t>the network</w:t>
      </w:r>
      <w:r w:rsidRPr="00194B2C">
        <w:rPr>
          <w:rFonts w:ascii="Arial" w:hAnsi="Arial" w:cs="Arial"/>
          <w:sz w:val="20"/>
          <w:szCs w:val="20"/>
        </w:rPr>
        <w:t xml:space="preserve"> effect is ‘</w:t>
      </w:r>
      <w:r w:rsidRPr="00194B2C">
        <w:rPr>
          <w:rFonts w:ascii="Arial" w:hAnsi="Arial" w:cs="Arial"/>
          <w:i/>
          <w:sz w:val="20"/>
          <w:szCs w:val="20"/>
        </w:rPr>
        <w:t>demand-side economies of scale’</w:t>
      </w:r>
      <w:r w:rsidR="00261276" w:rsidRPr="00194B2C">
        <w:rPr>
          <w:rFonts w:ascii="Arial" w:hAnsi="Arial" w:cs="Arial"/>
          <w:sz w:val="20"/>
          <w:szCs w:val="20"/>
        </w:rPr>
        <w:t xml:space="preserve">. </w:t>
      </w:r>
      <w:r w:rsidR="00EE3058" w:rsidRPr="00194B2C">
        <w:rPr>
          <w:rFonts w:ascii="Arial" w:hAnsi="Arial" w:cs="Arial"/>
          <w:sz w:val="20"/>
          <w:szCs w:val="20"/>
        </w:rPr>
        <w:t xml:space="preserve">Under this </w:t>
      </w:r>
      <w:r w:rsidR="005B38AB">
        <w:rPr>
          <w:rFonts w:ascii="Arial" w:hAnsi="Arial" w:cs="Arial"/>
          <w:sz w:val="20"/>
          <w:szCs w:val="20"/>
        </w:rPr>
        <w:t xml:space="preserve">design </w:t>
      </w:r>
      <w:r w:rsidR="00EE3058" w:rsidRPr="00194B2C">
        <w:rPr>
          <w:rFonts w:ascii="Arial" w:hAnsi="Arial" w:cs="Arial"/>
          <w:sz w:val="20"/>
          <w:szCs w:val="20"/>
        </w:rPr>
        <w:t>principle</w:t>
      </w:r>
      <w:r w:rsidR="0072700E" w:rsidRPr="00194B2C">
        <w:rPr>
          <w:rFonts w:ascii="Arial" w:hAnsi="Arial" w:cs="Arial"/>
          <w:sz w:val="20"/>
          <w:szCs w:val="20"/>
        </w:rPr>
        <w:t xml:space="preserve">, the value of a product or service is dependent on the number of people using it. </w:t>
      </w:r>
      <w:r w:rsidR="00EE3058" w:rsidRPr="00194B2C">
        <w:rPr>
          <w:rFonts w:ascii="Arial" w:hAnsi="Arial" w:cs="Arial"/>
          <w:sz w:val="20"/>
          <w:szCs w:val="20"/>
        </w:rPr>
        <w:t xml:space="preserve">This means IAP’s </w:t>
      </w:r>
      <w:r w:rsidR="00877E3F" w:rsidRPr="00194B2C">
        <w:rPr>
          <w:rFonts w:ascii="Arial" w:hAnsi="Arial" w:cs="Arial"/>
          <w:sz w:val="20"/>
          <w:szCs w:val="20"/>
        </w:rPr>
        <w:t xml:space="preserve">true </w:t>
      </w:r>
      <w:r w:rsidR="00EE3058" w:rsidRPr="00194B2C">
        <w:rPr>
          <w:rFonts w:ascii="Arial" w:hAnsi="Arial" w:cs="Arial"/>
          <w:sz w:val="20"/>
          <w:szCs w:val="20"/>
        </w:rPr>
        <w:t xml:space="preserve">‘viability’ </w:t>
      </w:r>
      <w:r w:rsidR="00C46FA6" w:rsidRPr="00194B2C">
        <w:rPr>
          <w:rFonts w:ascii="Arial" w:hAnsi="Arial" w:cs="Arial"/>
          <w:sz w:val="20"/>
          <w:szCs w:val="20"/>
        </w:rPr>
        <w:t xml:space="preserve">as a business proposal </w:t>
      </w:r>
      <w:r w:rsidR="00EE3058" w:rsidRPr="00194B2C">
        <w:rPr>
          <w:rFonts w:ascii="Arial" w:hAnsi="Arial" w:cs="Arial"/>
          <w:sz w:val="20"/>
          <w:szCs w:val="20"/>
        </w:rPr>
        <w:t>is</w:t>
      </w:r>
      <w:r w:rsidR="005C29A4">
        <w:rPr>
          <w:rFonts w:ascii="Arial" w:hAnsi="Arial" w:cs="Arial"/>
          <w:sz w:val="20"/>
          <w:szCs w:val="20"/>
        </w:rPr>
        <w:t>,</w:t>
      </w:r>
      <w:r w:rsidR="00EE3058" w:rsidRPr="00194B2C">
        <w:rPr>
          <w:rFonts w:ascii="Arial" w:hAnsi="Arial" w:cs="Arial"/>
          <w:sz w:val="20"/>
          <w:szCs w:val="20"/>
        </w:rPr>
        <w:t xml:space="preserve"> and has always been</w:t>
      </w:r>
      <w:r w:rsidR="005C29A4">
        <w:rPr>
          <w:rFonts w:ascii="Arial" w:hAnsi="Arial" w:cs="Arial"/>
          <w:sz w:val="20"/>
          <w:szCs w:val="20"/>
        </w:rPr>
        <w:t>,</w:t>
      </w:r>
      <w:r w:rsidR="00EE3058" w:rsidRPr="00194B2C">
        <w:rPr>
          <w:rFonts w:ascii="Arial" w:hAnsi="Arial" w:cs="Arial"/>
          <w:sz w:val="20"/>
          <w:szCs w:val="20"/>
        </w:rPr>
        <w:t xml:space="preserve"> predicated on attracting enough operators to deliver </w:t>
      </w:r>
      <w:r w:rsidR="00533D55" w:rsidRPr="00194B2C">
        <w:rPr>
          <w:rFonts w:ascii="Arial" w:hAnsi="Arial" w:cs="Arial"/>
          <w:sz w:val="20"/>
          <w:szCs w:val="20"/>
        </w:rPr>
        <w:t xml:space="preserve">the </w:t>
      </w:r>
      <w:r w:rsidR="00EE3058" w:rsidRPr="00194B2C">
        <w:rPr>
          <w:rFonts w:ascii="Arial" w:hAnsi="Arial" w:cs="Arial"/>
          <w:sz w:val="20"/>
          <w:szCs w:val="20"/>
        </w:rPr>
        <w:t>desired outcome</w:t>
      </w:r>
      <w:r w:rsidR="00533D55" w:rsidRPr="00194B2C">
        <w:rPr>
          <w:rFonts w:ascii="Arial" w:hAnsi="Arial" w:cs="Arial"/>
          <w:sz w:val="20"/>
          <w:szCs w:val="20"/>
        </w:rPr>
        <w:t>s</w:t>
      </w:r>
      <w:r w:rsidR="00EE3058" w:rsidRPr="00194B2C">
        <w:rPr>
          <w:rFonts w:ascii="Arial" w:hAnsi="Arial" w:cs="Arial"/>
          <w:sz w:val="20"/>
          <w:szCs w:val="20"/>
        </w:rPr>
        <w:t xml:space="preserve">. </w:t>
      </w:r>
      <w:r w:rsidR="007B2243" w:rsidRPr="00194B2C">
        <w:rPr>
          <w:rFonts w:ascii="Arial" w:hAnsi="Arial" w:cs="Arial"/>
          <w:sz w:val="20"/>
          <w:szCs w:val="20"/>
        </w:rPr>
        <w:t>Under</w:t>
      </w:r>
      <w:r w:rsidR="0072700E" w:rsidRPr="00194B2C">
        <w:rPr>
          <w:rFonts w:ascii="Arial" w:hAnsi="Arial" w:cs="Arial"/>
          <w:sz w:val="20"/>
          <w:szCs w:val="20"/>
        </w:rPr>
        <w:t xml:space="preserve"> IAP, a</w:t>
      </w:r>
      <w:r w:rsidR="00FB0463" w:rsidRPr="00194B2C">
        <w:rPr>
          <w:rFonts w:ascii="Arial" w:hAnsi="Arial" w:cs="Arial"/>
          <w:sz w:val="20"/>
          <w:szCs w:val="20"/>
        </w:rPr>
        <w:t xml:space="preserve"> large </w:t>
      </w:r>
      <w:r w:rsidR="00624CA9" w:rsidRPr="00194B2C">
        <w:rPr>
          <w:rFonts w:ascii="Arial" w:hAnsi="Arial" w:cs="Arial"/>
          <w:sz w:val="20"/>
          <w:szCs w:val="20"/>
        </w:rPr>
        <w:t>pool</w:t>
      </w:r>
      <w:r w:rsidR="00FB0463" w:rsidRPr="00194B2C">
        <w:rPr>
          <w:rFonts w:ascii="Arial" w:hAnsi="Arial" w:cs="Arial"/>
          <w:sz w:val="20"/>
          <w:szCs w:val="20"/>
        </w:rPr>
        <w:t xml:space="preserve"> of </w:t>
      </w:r>
      <w:r w:rsidR="005A2171" w:rsidRPr="00194B2C">
        <w:rPr>
          <w:rFonts w:ascii="Arial" w:hAnsi="Arial" w:cs="Arial"/>
          <w:sz w:val="20"/>
          <w:szCs w:val="20"/>
        </w:rPr>
        <w:t xml:space="preserve">operators </w:t>
      </w:r>
      <w:r w:rsidR="00314C78" w:rsidRPr="00194B2C">
        <w:rPr>
          <w:rFonts w:ascii="Arial" w:hAnsi="Arial" w:cs="Arial"/>
          <w:sz w:val="20"/>
          <w:szCs w:val="20"/>
        </w:rPr>
        <w:t>is</w:t>
      </w:r>
      <w:r w:rsidR="00D93B46" w:rsidRPr="00194B2C">
        <w:rPr>
          <w:rFonts w:ascii="Arial" w:hAnsi="Arial" w:cs="Arial"/>
          <w:sz w:val="20"/>
          <w:szCs w:val="20"/>
        </w:rPr>
        <w:t xml:space="preserve"> </w:t>
      </w:r>
      <w:r w:rsidR="003C08EF" w:rsidRPr="00194B2C">
        <w:rPr>
          <w:rFonts w:ascii="Arial" w:hAnsi="Arial" w:cs="Arial"/>
          <w:sz w:val="20"/>
          <w:szCs w:val="20"/>
        </w:rPr>
        <w:t>needed</w:t>
      </w:r>
      <w:r w:rsidR="00D93B46" w:rsidRPr="00194B2C">
        <w:rPr>
          <w:rFonts w:ascii="Arial" w:hAnsi="Arial" w:cs="Arial"/>
          <w:sz w:val="20"/>
          <w:szCs w:val="20"/>
        </w:rPr>
        <w:t xml:space="preserve"> to</w:t>
      </w:r>
      <w:r w:rsidR="0072700E" w:rsidRPr="00194B2C">
        <w:rPr>
          <w:rFonts w:ascii="Arial" w:hAnsi="Arial" w:cs="Arial"/>
          <w:sz w:val="20"/>
          <w:szCs w:val="20"/>
        </w:rPr>
        <w:t xml:space="preserve"> </w:t>
      </w:r>
      <w:r w:rsidR="00FB0463" w:rsidRPr="00194B2C">
        <w:rPr>
          <w:rFonts w:ascii="Arial" w:hAnsi="Arial" w:cs="Arial"/>
          <w:sz w:val="20"/>
          <w:szCs w:val="20"/>
        </w:rPr>
        <w:t>reduce costs of entry and participation</w:t>
      </w:r>
      <w:r w:rsidR="00821759" w:rsidRPr="00194B2C">
        <w:rPr>
          <w:rFonts w:ascii="Arial" w:hAnsi="Arial" w:cs="Arial"/>
          <w:sz w:val="20"/>
          <w:szCs w:val="20"/>
        </w:rPr>
        <w:t xml:space="preserve"> </w:t>
      </w:r>
      <w:r w:rsidR="00671A1C" w:rsidRPr="00194B2C">
        <w:rPr>
          <w:rFonts w:ascii="Arial" w:hAnsi="Arial" w:cs="Arial"/>
          <w:sz w:val="20"/>
          <w:szCs w:val="20"/>
        </w:rPr>
        <w:t>(</w:t>
      </w:r>
      <w:r w:rsidR="00821759" w:rsidRPr="00194B2C">
        <w:rPr>
          <w:rFonts w:ascii="Arial" w:hAnsi="Arial" w:cs="Arial"/>
          <w:sz w:val="20"/>
          <w:szCs w:val="20"/>
        </w:rPr>
        <w:t>thus</w:t>
      </w:r>
      <w:r w:rsidR="003D1D63" w:rsidRPr="00194B2C">
        <w:rPr>
          <w:rFonts w:ascii="Arial" w:hAnsi="Arial" w:cs="Arial"/>
          <w:sz w:val="20"/>
          <w:szCs w:val="20"/>
        </w:rPr>
        <w:t xml:space="preserve"> eventually</w:t>
      </w:r>
      <w:r w:rsidR="00821759" w:rsidRPr="00194B2C">
        <w:rPr>
          <w:rFonts w:ascii="Arial" w:hAnsi="Arial" w:cs="Arial"/>
          <w:sz w:val="20"/>
          <w:szCs w:val="20"/>
        </w:rPr>
        <w:t xml:space="preserve"> lowering barriers for smaller operators as </w:t>
      </w:r>
      <w:r w:rsidR="005C29A4">
        <w:rPr>
          <w:rFonts w:ascii="Arial" w:hAnsi="Arial" w:cs="Arial"/>
          <w:sz w:val="20"/>
          <w:szCs w:val="20"/>
        </w:rPr>
        <w:t>was</w:t>
      </w:r>
      <w:r w:rsidR="003D1D63" w:rsidRPr="00194B2C">
        <w:rPr>
          <w:rFonts w:ascii="Arial" w:hAnsi="Arial" w:cs="Arial"/>
          <w:sz w:val="20"/>
          <w:szCs w:val="20"/>
        </w:rPr>
        <w:t xml:space="preserve"> </w:t>
      </w:r>
      <w:r w:rsidR="00821759" w:rsidRPr="00194B2C">
        <w:rPr>
          <w:rFonts w:ascii="Arial" w:hAnsi="Arial" w:cs="Arial"/>
          <w:sz w:val="20"/>
          <w:szCs w:val="20"/>
        </w:rPr>
        <w:t>claimed</w:t>
      </w:r>
      <w:r w:rsidR="00671A1C" w:rsidRPr="00194B2C">
        <w:rPr>
          <w:rFonts w:ascii="Arial" w:hAnsi="Arial" w:cs="Arial"/>
          <w:sz w:val="20"/>
          <w:szCs w:val="20"/>
        </w:rPr>
        <w:t>)</w:t>
      </w:r>
      <w:r w:rsidR="00FB0463" w:rsidRPr="00194B2C">
        <w:rPr>
          <w:rFonts w:ascii="Arial" w:hAnsi="Arial" w:cs="Arial"/>
          <w:sz w:val="20"/>
          <w:szCs w:val="20"/>
        </w:rPr>
        <w:t>.</w:t>
      </w:r>
      <w:r w:rsidR="00AD105B" w:rsidRPr="00194B2C">
        <w:rPr>
          <w:rFonts w:ascii="Arial" w:hAnsi="Arial" w:cs="Arial"/>
          <w:sz w:val="20"/>
          <w:szCs w:val="20"/>
        </w:rPr>
        <w:t xml:space="preserve"> </w:t>
      </w:r>
    </w:p>
    <w:p w:rsidR="00EE3058" w:rsidRPr="00194B2C" w:rsidRDefault="00EE3058" w:rsidP="00D8210F">
      <w:pPr>
        <w:spacing w:after="0" w:line="240" w:lineRule="auto"/>
        <w:contextualSpacing/>
        <w:jc w:val="both"/>
        <w:rPr>
          <w:rFonts w:ascii="Arial" w:hAnsi="Arial" w:cs="Arial"/>
          <w:sz w:val="20"/>
          <w:szCs w:val="20"/>
        </w:rPr>
      </w:pPr>
    </w:p>
    <w:p w:rsidR="00234EFC" w:rsidRPr="00194B2C" w:rsidRDefault="00032119" w:rsidP="00D8210F">
      <w:pPr>
        <w:spacing w:after="0" w:line="240" w:lineRule="auto"/>
        <w:contextualSpacing/>
        <w:jc w:val="both"/>
        <w:rPr>
          <w:rFonts w:ascii="Arial" w:hAnsi="Arial" w:cs="Arial"/>
          <w:sz w:val="20"/>
          <w:szCs w:val="20"/>
        </w:rPr>
      </w:pPr>
      <w:r w:rsidRPr="00194B2C">
        <w:rPr>
          <w:rFonts w:ascii="Arial" w:hAnsi="Arial" w:cs="Arial"/>
          <w:i/>
          <w:sz w:val="20"/>
          <w:szCs w:val="20"/>
        </w:rPr>
        <w:t>‘</w:t>
      </w:r>
      <w:r w:rsidR="004E45A6" w:rsidRPr="00194B2C">
        <w:rPr>
          <w:rFonts w:ascii="Arial" w:hAnsi="Arial" w:cs="Arial"/>
          <w:i/>
          <w:sz w:val="20"/>
          <w:szCs w:val="20"/>
        </w:rPr>
        <w:t>A</w:t>
      </w:r>
      <w:r w:rsidR="00C940F1" w:rsidRPr="00194B2C">
        <w:rPr>
          <w:rFonts w:ascii="Arial" w:hAnsi="Arial" w:cs="Arial"/>
          <w:i/>
          <w:sz w:val="20"/>
          <w:szCs w:val="20"/>
        </w:rPr>
        <w:t>ccess’</w:t>
      </w:r>
      <w:r w:rsidR="000B22C4" w:rsidRPr="00194B2C">
        <w:rPr>
          <w:rFonts w:ascii="Arial" w:hAnsi="Arial" w:cs="Arial"/>
          <w:sz w:val="20"/>
          <w:szCs w:val="20"/>
        </w:rPr>
        <w:t xml:space="preserve"> </w:t>
      </w:r>
      <w:r w:rsidR="005F6F1A" w:rsidRPr="00194B2C">
        <w:rPr>
          <w:rFonts w:ascii="Arial" w:hAnsi="Arial" w:cs="Arial"/>
          <w:sz w:val="20"/>
          <w:szCs w:val="20"/>
        </w:rPr>
        <w:t xml:space="preserve">(as </w:t>
      </w:r>
      <w:r w:rsidR="006227B5" w:rsidRPr="00194B2C">
        <w:rPr>
          <w:rFonts w:ascii="Arial" w:hAnsi="Arial" w:cs="Arial"/>
          <w:sz w:val="20"/>
          <w:szCs w:val="20"/>
        </w:rPr>
        <w:t xml:space="preserve">the </w:t>
      </w:r>
      <w:r w:rsidR="00E64BD8" w:rsidRPr="00194B2C">
        <w:rPr>
          <w:rFonts w:ascii="Arial" w:hAnsi="Arial" w:cs="Arial"/>
          <w:sz w:val="20"/>
          <w:szCs w:val="20"/>
        </w:rPr>
        <w:t>principal</w:t>
      </w:r>
      <w:r w:rsidR="006227B5" w:rsidRPr="00194B2C">
        <w:rPr>
          <w:rFonts w:ascii="Arial" w:hAnsi="Arial" w:cs="Arial"/>
          <w:sz w:val="20"/>
          <w:szCs w:val="20"/>
        </w:rPr>
        <w:t xml:space="preserve"> IAP outcome or</w:t>
      </w:r>
      <w:r w:rsidR="005F6F1A" w:rsidRPr="00194B2C">
        <w:rPr>
          <w:rFonts w:ascii="Arial" w:hAnsi="Arial" w:cs="Arial"/>
          <w:sz w:val="20"/>
          <w:szCs w:val="20"/>
        </w:rPr>
        <w:t xml:space="preserve"> </w:t>
      </w:r>
      <w:r w:rsidR="00E64BD8" w:rsidRPr="00194B2C">
        <w:rPr>
          <w:rFonts w:ascii="Arial" w:hAnsi="Arial" w:cs="Arial"/>
          <w:sz w:val="20"/>
          <w:szCs w:val="20"/>
        </w:rPr>
        <w:t>‘</w:t>
      </w:r>
      <w:r w:rsidR="005F6F1A" w:rsidRPr="00194B2C">
        <w:rPr>
          <w:rFonts w:ascii="Arial" w:hAnsi="Arial" w:cs="Arial"/>
          <w:sz w:val="20"/>
          <w:szCs w:val="20"/>
        </w:rPr>
        <w:t>benefit</w:t>
      </w:r>
      <w:r w:rsidR="00E64BD8" w:rsidRPr="00194B2C">
        <w:rPr>
          <w:rFonts w:ascii="Arial" w:hAnsi="Arial" w:cs="Arial"/>
          <w:sz w:val="20"/>
          <w:szCs w:val="20"/>
        </w:rPr>
        <w:t xml:space="preserve">’ </w:t>
      </w:r>
      <w:r w:rsidR="004E45A6" w:rsidRPr="00194B2C">
        <w:rPr>
          <w:rFonts w:ascii="Arial" w:hAnsi="Arial" w:cs="Arial"/>
          <w:sz w:val="20"/>
          <w:szCs w:val="20"/>
        </w:rPr>
        <w:t>to</w:t>
      </w:r>
      <w:r w:rsidR="00E64BD8" w:rsidRPr="00194B2C">
        <w:rPr>
          <w:rFonts w:ascii="Arial" w:hAnsi="Arial" w:cs="Arial"/>
          <w:sz w:val="20"/>
          <w:szCs w:val="20"/>
        </w:rPr>
        <w:t xml:space="preserve"> operators</w:t>
      </w:r>
      <w:r w:rsidR="005F6F1A" w:rsidRPr="00194B2C">
        <w:rPr>
          <w:rFonts w:ascii="Arial" w:hAnsi="Arial" w:cs="Arial"/>
          <w:sz w:val="20"/>
          <w:szCs w:val="20"/>
        </w:rPr>
        <w:t xml:space="preserve">) </w:t>
      </w:r>
      <w:r w:rsidR="00C940F1" w:rsidRPr="00194B2C">
        <w:rPr>
          <w:rFonts w:ascii="Arial" w:hAnsi="Arial" w:cs="Arial"/>
          <w:sz w:val="20"/>
          <w:szCs w:val="20"/>
        </w:rPr>
        <w:t xml:space="preserve">is </w:t>
      </w:r>
      <w:r w:rsidR="00C940F1" w:rsidRPr="00194B2C">
        <w:rPr>
          <w:rFonts w:ascii="Arial" w:hAnsi="Arial" w:cs="Arial"/>
          <w:sz w:val="20"/>
          <w:szCs w:val="20"/>
          <w:u w:val="single"/>
        </w:rPr>
        <w:t>not</w:t>
      </w:r>
      <w:r w:rsidR="00C940F1" w:rsidRPr="00194B2C">
        <w:rPr>
          <w:rFonts w:ascii="Arial" w:hAnsi="Arial" w:cs="Arial"/>
          <w:sz w:val="20"/>
          <w:szCs w:val="20"/>
        </w:rPr>
        <w:t xml:space="preserve"> linked to the </w:t>
      </w:r>
      <w:r w:rsidR="0077255E" w:rsidRPr="00194B2C">
        <w:rPr>
          <w:rFonts w:ascii="Arial" w:hAnsi="Arial" w:cs="Arial"/>
          <w:sz w:val="20"/>
          <w:szCs w:val="20"/>
        </w:rPr>
        <w:t>network effect by any signal</w:t>
      </w:r>
      <w:r w:rsidR="00D94520">
        <w:rPr>
          <w:rFonts w:ascii="Arial" w:hAnsi="Arial" w:cs="Arial"/>
          <w:sz w:val="20"/>
          <w:szCs w:val="20"/>
        </w:rPr>
        <w:t>,</w:t>
      </w:r>
      <w:r w:rsidR="00C940F1" w:rsidRPr="00194B2C">
        <w:rPr>
          <w:rFonts w:ascii="Arial" w:hAnsi="Arial" w:cs="Arial"/>
          <w:sz w:val="20"/>
          <w:szCs w:val="20"/>
        </w:rPr>
        <w:t xml:space="preserve"> so it is not responsive to whether </w:t>
      </w:r>
      <w:r w:rsidR="00162F0E" w:rsidRPr="00194B2C">
        <w:rPr>
          <w:rFonts w:ascii="Arial" w:hAnsi="Arial" w:cs="Arial"/>
          <w:sz w:val="20"/>
          <w:szCs w:val="20"/>
        </w:rPr>
        <w:t>IAP’s</w:t>
      </w:r>
      <w:r w:rsidR="00C940F1" w:rsidRPr="00194B2C">
        <w:rPr>
          <w:rFonts w:ascii="Arial" w:hAnsi="Arial" w:cs="Arial"/>
          <w:sz w:val="20"/>
          <w:szCs w:val="20"/>
        </w:rPr>
        <w:t xml:space="preserve"> </w:t>
      </w:r>
      <w:r w:rsidR="00FB0463" w:rsidRPr="00194B2C">
        <w:rPr>
          <w:rFonts w:ascii="Arial" w:hAnsi="Arial" w:cs="Arial"/>
          <w:sz w:val="20"/>
          <w:szCs w:val="20"/>
        </w:rPr>
        <w:t xml:space="preserve">target </w:t>
      </w:r>
      <w:r w:rsidR="00C940F1" w:rsidRPr="00194B2C">
        <w:rPr>
          <w:rFonts w:ascii="Arial" w:hAnsi="Arial" w:cs="Arial"/>
          <w:sz w:val="20"/>
          <w:szCs w:val="20"/>
        </w:rPr>
        <w:t xml:space="preserve">market is </w:t>
      </w:r>
      <w:r w:rsidR="00FB0463" w:rsidRPr="00194B2C">
        <w:rPr>
          <w:rFonts w:ascii="Arial" w:hAnsi="Arial" w:cs="Arial"/>
          <w:sz w:val="20"/>
          <w:szCs w:val="20"/>
        </w:rPr>
        <w:t>big or small.</w:t>
      </w:r>
      <w:r w:rsidR="000C5399" w:rsidRPr="00194B2C">
        <w:rPr>
          <w:rFonts w:ascii="Arial" w:hAnsi="Arial" w:cs="Arial"/>
          <w:sz w:val="20"/>
          <w:szCs w:val="20"/>
        </w:rPr>
        <w:t xml:space="preserve"> </w:t>
      </w:r>
      <w:r w:rsidR="009C573C" w:rsidRPr="00194B2C">
        <w:rPr>
          <w:rFonts w:ascii="Arial" w:hAnsi="Arial" w:cs="Arial"/>
          <w:sz w:val="20"/>
          <w:szCs w:val="20"/>
        </w:rPr>
        <w:t>A</w:t>
      </w:r>
      <w:r w:rsidR="00FB0463" w:rsidRPr="00194B2C">
        <w:rPr>
          <w:rFonts w:ascii="Arial" w:hAnsi="Arial" w:cs="Arial"/>
          <w:sz w:val="20"/>
          <w:szCs w:val="20"/>
        </w:rPr>
        <w:t>ccess</w:t>
      </w:r>
      <w:r w:rsidR="009C573C" w:rsidRPr="00194B2C">
        <w:rPr>
          <w:rFonts w:ascii="Arial" w:hAnsi="Arial" w:cs="Arial"/>
          <w:sz w:val="20"/>
          <w:szCs w:val="20"/>
        </w:rPr>
        <w:t>, along with</w:t>
      </w:r>
      <w:r w:rsidR="007F6FA1" w:rsidRPr="00194B2C">
        <w:rPr>
          <w:rFonts w:ascii="Arial" w:hAnsi="Arial" w:cs="Arial"/>
          <w:sz w:val="20"/>
          <w:szCs w:val="20"/>
        </w:rPr>
        <w:t xml:space="preserve"> </w:t>
      </w:r>
      <w:r w:rsidR="009F6C0D" w:rsidRPr="00194B2C">
        <w:rPr>
          <w:rFonts w:ascii="Arial" w:hAnsi="Arial" w:cs="Arial"/>
          <w:sz w:val="20"/>
          <w:szCs w:val="20"/>
        </w:rPr>
        <w:t xml:space="preserve">all </w:t>
      </w:r>
      <w:r w:rsidR="009C573C" w:rsidRPr="00194B2C">
        <w:rPr>
          <w:rFonts w:ascii="Arial" w:hAnsi="Arial" w:cs="Arial"/>
          <w:sz w:val="20"/>
          <w:szCs w:val="20"/>
        </w:rPr>
        <w:t>its conditions,</w:t>
      </w:r>
      <w:r w:rsidR="00FB0463" w:rsidRPr="00194B2C">
        <w:rPr>
          <w:rFonts w:ascii="Arial" w:hAnsi="Arial" w:cs="Arial"/>
          <w:sz w:val="20"/>
          <w:szCs w:val="20"/>
        </w:rPr>
        <w:t xml:space="preserve"> is </w:t>
      </w:r>
      <w:r w:rsidR="00C940F1" w:rsidRPr="00194B2C">
        <w:rPr>
          <w:rFonts w:ascii="Arial" w:hAnsi="Arial" w:cs="Arial"/>
          <w:sz w:val="20"/>
          <w:szCs w:val="20"/>
        </w:rPr>
        <w:t xml:space="preserve">decided </w:t>
      </w:r>
      <w:r w:rsidR="00C46FA6" w:rsidRPr="00194B2C">
        <w:rPr>
          <w:rFonts w:ascii="Arial" w:hAnsi="Arial" w:cs="Arial"/>
          <w:sz w:val="20"/>
          <w:szCs w:val="20"/>
        </w:rPr>
        <w:t>externally</w:t>
      </w:r>
      <w:r w:rsidR="00E64BD8" w:rsidRPr="00194B2C">
        <w:rPr>
          <w:rFonts w:ascii="Arial" w:hAnsi="Arial" w:cs="Arial"/>
          <w:sz w:val="20"/>
          <w:szCs w:val="20"/>
        </w:rPr>
        <w:t xml:space="preserve"> </w:t>
      </w:r>
      <w:r w:rsidR="007C31E6">
        <w:rPr>
          <w:rFonts w:ascii="Arial" w:hAnsi="Arial" w:cs="Arial"/>
          <w:sz w:val="20"/>
          <w:szCs w:val="20"/>
        </w:rPr>
        <w:t>in</w:t>
      </w:r>
      <w:r w:rsidR="00E64BD8" w:rsidRPr="00194B2C">
        <w:rPr>
          <w:rFonts w:ascii="Arial" w:hAnsi="Arial" w:cs="Arial"/>
          <w:sz w:val="20"/>
          <w:szCs w:val="20"/>
        </w:rPr>
        <w:t xml:space="preserve"> jurisdictions </w:t>
      </w:r>
      <w:r w:rsidR="00C940F1" w:rsidRPr="00194B2C">
        <w:rPr>
          <w:rFonts w:ascii="Arial" w:hAnsi="Arial" w:cs="Arial"/>
          <w:sz w:val="20"/>
          <w:szCs w:val="20"/>
        </w:rPr>
        <w:t xml:space="preserve">so </w:t>
      </w:r>
      <w:r w:rsidR="009C573C" w:rsidRPr="00194B2C">
        <w:rPr>
          <w:rFonts w:ascii="Arial" w:hAnsi="Arial" w:cs="Arial"/>
          <w:sz w:val="20"/>
          <w:szCs w:val="20"/>
        </w:rPr>
        <w:t>any so-called</w:t>
      </w:r>
      <w:r w:rsidR="009913D1" w:rsidRPr="00194B2C">
        <w:rPr>
          <w:rFonts w:ascii="Arial" w:hAnsi="Arial" w:cs="Arial"/>
          <w:sz w:val="20"/>
          <w:szCs w:val="20"/>
        </w:rPr>
        <w:t xml:space="preserve"> </w:t>
      </w:r>
      <w:r w:rsidR="00C940F1" w:rsidRPr="00194B2C">
        <w:rPr>
          <w:rFonts w:ascii="Arial" w:hAnsi="Arial" w:cs="Arial"/>
          <w:sz w:val="20"/>
          <w:szCs w:val="20"/>
        </w:rPr>
        <w:t xml:space="preserve">benefits </w:t>
      </w:r>
      <w:r w:rsidR="009C573C" w:rsidRPr="00194B2C">
        <w:rPr>
          <w:rFonts w:ascii="Arial" w:hAnsi="Arial" w:cs="Arial"/>
          <w:sz w:val="20"/>
          <w:szCs w:val="20"/>
        </w:rPr>
        <w:t xml:space="preserve">accrue </w:t>
      </w:r>
      <w:r w:rsidR="00541A5C" w:rsidRPr="00194B2C">
        <w:rPr>
          <w:rFonts w:ascii="Arial" w:hAnsi="Arial" w:cs="Arial"/>
          <w:sz w:val="20"/>
          <w:szCs w:val="20"/>
        </w:rPr>
        <w:t xml:space="preserve">haphazardly </w:t>
      </w:r>
      <w:r w:rsidR="007B4C3F" w:rsidRPr="00194B2C">
        <w:rPr>
          <w:rFonts w:ascii="Arial" w:hAnsi="Arial" w:cs="Arial"/>
          <w:sz w:val="20"/>
          <w:szCs w:val="20"/>
        </w:rPr>
        <w:t xml:space="preserve">to operators </w:t>
      </w:r>
      <w:r w:rsidR="00C940F1" w:rsidRPr="00194B2C">
        <w:rPr>
          <w:rFonts w:ascii="Arial" w:hAnsi="Arial" w:cs="Arial"/>
          <w:sz w:val="20"/>
          <w:szCs w:val="20"/>
        </w:rPr>
        <w:t xml:space="preserve">from </w:t>
      </w:r>
      <w:r w:rsidR="004E45A6" w:rsidRPr="00194B2C">
        <w:rPr>
          <w:rFonts w:ascii="Arial" w:hAnsi="Arial" w:cs="Arial"/>
          <w:sz w:val="20"/>
          <w:szCs w:val="20"/>
        </w:rPr>
        <w:t xml:space="preserve">scheme </w:t>
      </w:r>
      <w:r w:rsidR="00C940F1" w:rsidRPr="00194B2C">
        <w:rPr>
          <w:rFonts w:ascii="Arial" w:hAnsi="Arial" w:cs="Arial"/>
          <w:sz w:val="20"/>
          <w:szCs w:val="20"/>
        </w:rPr>
        <w:t>participation</w:t>
      </w:r>
      <w:r w:rsidR="009C573C" w:rsidRPr="00194B2C">
        <w:rPr>
          <w:rFonts w:ascii="Arial" w:hAnsi="Arial" w:cs="Arial"/>
          <w:sz w:val="20"/>
          <w:szCs w:val="20"/>
        </w:rPr>
        <w:t xml:space="preserve"> and not </w:t>
      </w:r>
      <w:r w:rsidR="00690A70" w:rsidRPr="00194B2C">
        <w:rPr>
          <w:rFonts w:ascii="Arial" w:hAnsi="Arial" w:cs="Arial"/>
          <w:sz w:val="20"/>
          <w:szCs w:val="20"/>
        </w:rPr>
        <w:t xml:space="preserve">as a direct outcome </w:t>
      </w:r>
      <w:r w:rsidR="009F6C0D" w:rsidRPr="00194B2C">
        <w:rPr>
          <w:rFonts w:ascii="Arial" w:hAnsi="Arial" w:cs="Arial"/>
          <w:sz w:val="20"/>
          <w:szCs w:val="20"/>
        </w:rPr>
        <w:t>of</w:t>
      </w:r>
      <w:r w:rsidR="009C573C" w:rsidRPr="00194B2C">
        <w:rPr>
          <w:rFonts w:ascii="Arial" w:hAnsi="Arial" w:cs="Arial"/>
          <w:sz w:val="20"/>
          <w:szCs w:val="20"/>
        </w:rPr>
        <w:t xml:space="preserve"> </w:t>
      </w:r>
      <w:r w:rsidR="00E64BD8" w:rsidRPr="00194B2C">
        <w:rPr>
          <w:rFonts w:ascii="Arial" w:hAnsi="Arial" w:cs="Arial"/>
          <w:sz w:val="20"/>
          <w:szCs w:val="20"/>
        </w:rPr>
        <w:t xml:space="preserve">the </w:t>
      </w:r>
      <w:r w:rsidR="00AE0381" w:rsidRPr="00194B2C">
        <w:rPr>
          <w:rFonts w:ascii="Arial" w:hAnsi="Arial" w:cs="Arial"/>
          <w:sz w:val="20"/>
          <w:szCs w:val="20"/>
        </w:rPr>
        <w:t xml:space="preserve">IAP </w:t>
      </w:r>
      <w:r w:rsidR="00E64BD8" w:rsidRPr="00194B2C">
        <w:rPr>
          <w:rFonts w:ascii="Arial" w:hAnsi="Arial" w:cs="Arial"/>
          <w:sz w:val="20"/>
          <w:szCs w:val="20"/>
        </w:rPr>
        <w:t xml:space="preserve">model </w:t>
      </w:r>
      <w:r w:rsidR="007B4C3F" w:rsidRPr="00194B2C">
        <w:rPr>
          <w:rFonts w:ascii="Arial" w:hAnsi="Arial" w:cs="Arial"/>
          <w:sz w:val="20"/>
          <w:szCs w:val="20"/>
        </w:rPr>
        <w:t>itself</w:t>
      </w:r>
      <w:r w:rsidR="00C940F1" w:rsidRPr="00194B2C">
        <w:rPr>
          <w:rFonts w:ascii="Arial" w:hAnsi="Arial" w:cs="Arial"/>
          <w:sz w:val="20"/>
          <w:szCs w:val="20"/>
        </w:rPr>
        <w:t>.</w:t>
      </w:r>
      <w:r w:rsidR="00627135" w:rsidRPr="00194B2C">
        <w:rPr>
          <w:rFonts w:ascii="Arial" w:hAnsi="Arial" w:cs="Arial"/>
          <w:sz w:val="20"/>
          <w:szCs w:val="20"/>
        </w:rPr>
        <w:t xml:space="preserve"> </w:t>
      </w:r>
    </w:p>
    <w:p w:rsidR="00234EFC" w:rsidRPr="00194B2C" w:rsidRDefault="00234EFC" w:rsidP="00D8210F">
      <w:pPr>
        <w:spacing w:after="0" w:line="240" w:lineRule="auto"/>
        <w:contextualSpacing/>
        <w:jc w:val="both"/>
        <w:rPr>
          <w:rFonts w:ascii="Arial" w:hAnsi="Arial" w:cs="Arial"/>
          <w:sz w:val="20"/>
          <w:szCs w:val="20"/>
        </w:rPr>
      </w:pPr>
    </w:p>
    <w:p w:rsidR="005B6FEE" w:rsidRPr="00194B2C" w:rsidRDefault="009953CA" w:rsidP="00D8210F">
      <w:pPr>
        <w:spacing w:after="0" w:line="240" w:lineRule="auto"/>
        <w:contextualSpacing/>
        <w:jc w:val="both"/>
        <w:rPr>
          <w:rFonts w:ascii="Arial" w:hAnsi="Arial" w:cs="Arial"/>
          <w:sz w:val="20"/>
          <w:szCs w:val="20"/>
        </w:rPr>
      </w:pPr>
      <w:r w:rsidRPr="00194B2C">
        <w:rPr>
          <w:rFonts w:ascii="Arial" w:hAnsi="Arial" w:cs="Arial"/>
          <w:sz w:val="20"/>
          <w:szCs w:val="20"/>
        </w:rPr>
        <w:t>In fact, s</w:t>
      </w:r>
      <w:r w:rsidR="00CD7363" w:rsidRPr="00194B2C">
        <w:rPr>
          <w:rFonts w:ascii="Arial" w:hAnsi="Arial" w:cs="Arial"/>
          <w:sz w:val="20"/>
          <w:szCs w:val="20"/>
        </w:rPr>
        <w:t>ubdued demand for HML</w:t>
      </w:r>
      <w:r w:rsidR="00451562" w:rsidRPr="00194B2C">
        <w:rPr>
          <w:rFonts w:ascii="Arial" w:hAnsi="Arial" w:cs="Arial"/>
          <w:sz w:val="20"/>
          <w:szCs w:val="20"/>
        </w:rPr>
        <w:t xml:space="preserve"> </w:t>
      </w:r>
      <w:r w:rsidR="006227B5" w:rsidRPr="00194B2C">
        <w:rPr>
          <w:rFonts w:ascii="Arial" w:hAnsi="Arial" w:cs="Arial"/>
          <w:sz w:val="20"/>
          <w:szCs w:val="20"/>
        </w:rPr>
        <w:t>from</w:t>
      </w:r>
      <w:r w:rsidR="00451562" w:rsidRPr="00194B2C">
        <w:rPr>
          <w:rFonts w:ascii="Arial" w:hAnsi="Arial" w:cs="Arial"/>
          <w:sz w:val="20"/>
          <w:szCs w:val="20"/>
        </w:rPr>
        <w:t xml:space="preserve"> industry</w:t>
      </w:r>
      <w:r w:rsidR="00CD7363" w:rsidRPr="00194B2C">
        <w:rPr>
          <w:rFonts w:ascii="Arial" w:hAnsi="Arial" w:cs="Arial"/>
          <w:sz w:val="20"/>
          <w:szCs w:val="20"/>
        </w:rPr>
        <w:t xml:space="preserve"> in NSW in recent years </w:t>
      </w:r>
      <w:r w:rsidR="00454C61" w:rsidRPr="00194B2C">
        <w:rPr>
          <w:rFonts w:ascii="Arial" w:hAnsi="Arial" w:cs="Arial"/>
          <w:sz w:val="20"/>
          <w:szCs w:val="20"/>
        </w:rPr>
        <w:t>(</w:t>
      </w:r>
      <w:r w:rsidR="002622AD" w:rsidRPr="00194B2C">
        <w:rPr>
          <w:rFonts w:ascii="Arial" w:hAnsi="Arial" w:cs="Arial"/>
          <w:sz w:val="20"/>
          <w:szCs w:val="20"/>
        </w:rPr>
        <w:t xml:space="preserve">despite </w:t>
      </w:r>
      <w:r w:rsidR="004407CC" w:rsidRPr="00194B2C">
        <w:rPr>
          <w:rFonts w:ascii="Arial" w:hAnsi="Arial" w:cs="Arial"/>
          <w:sz w:val="20"/>
          <w:szCs w:val="20"/>
        </w:rPr>
        <w:t xml:space="preserve">a </w:t>
      </w:r>
      <w:r w:rsidR="00CD7363" w:rsidRPr="00194B2C">
        <w:rPr>
          <w:rFonts w:ascii="Arial" w:hAnsi="Arial" w:cs="Arial"/>
          <w:sz w:val="20"/>
          <w:szCs w:val="20"/>
        </w:rPr>
        <w:t>growing freight task</w:t>
      </w:r>
      <w:r w:rsidR="00454C61" w:rsidRPr="00194B2C">
        <w:rPr>
          <w:rFonts w:ascii="Arial" w:hAnsi="Arial" w:cs="Arial"/>
          <w:sz w:val="20"/>
          <w:szCs w:val="20"/>
        </w:rPr>
        <w:t>)</w:t>
      </w:r>
      <w:r w:rsidR="00CD7363" w:rsidRPr="00194B2C">
        <w:rPr>
          <w:rFonts w:ascii="Arial" w:hAnsi="Arial" w:cs="Arial"/>
          <w:sz w:val="20"/>
          <w:szCs w:val="20"/>
        </w:rPr>
        <w:t xml:space="preserve"> </w:t>
      </w:r>
      <w:r w:rsidR="006227B5" w:rsidRPr="00194B2C">
        <w:rPr>
          <w:rFonts w:ascii="Arial" w:hAnsi="Arial" w:cs="Arial"/>
          <w:sz w:val="20"/>
          <w:szCs w:val="20"/>
        </w:rPr>
        <w:t>can be</w:t>
      </w:r>
      <w:r w:rsidR="00CD7363" w:rsidRPr="00194B2C">
        <w:rPr>
          <w:rFonts w:ascii="Arial" w:hAnsi="Arial" w:cs="Arial"/>
          <w:sz w:val="20"/>
          <w:szCs w:val="20"/>
        </w:rPr>
        <w:t xml:space="preserve"> linked to unreasonable </w:t>
      </w:r>
      <w:r w:rsidRPr="00194B2C">
        <w:rPr>
          <w:rFonts w:ascii="Arial" w:hAnsi="Arial" w:cs="Arial"/>
          <w:sz w:val="20"/>
          <w:szCs w:val="20"/>
        </w:rPr>
        <w:t>requirements for IAP</w:t>
      </w:r>
      <w:r w:rsidR="00CD7363" w:rsidRPr="00194B2C">
        <w:rPr>
          <w:rFonts w:ascii="Arial" w:hAnsi="Arial" w:cs="Arial"/>
          <w:sz w:val="20"/>
          <w:szCs w:val="20"/>
        </w:rPr>
        <w:t xml:space="preserve"> </w:t>
      </w:r>
      <w:r w:rsidRPr="00194B2C">
        <w:rPr>
          <w:rFonts w:ascii="Arial" w:hAnsi="Arial" w:cs="Arial"/>
          <w:sz w:val="20"/>
          <w:szCs w:val="20"/>
        </w:rPr>
        <w:t>on</w:t>
      </w:r>
      <w:r w:rsidR="00CD7363" w:rsidRPr="00194B2C">
        <w:rPr>
          <w:rFonts w:ascii="Arial" w:hAnsi="Arial" w:cs="Arial"/>
          <w:sz w:val="20"/>
          <w:szCs w:val="20"/>
        </w:rPr>
        <w:t xml:space="preserve"> </w:t>
      </w:r>
      <w:r w:rsidR="00451562" w:rsidRPr="00194B2C">
        <w:rPr>
          <w:rFonts w:ascii="Arial" w:hAnsi="Arial" w:cs="Arial"/>
          <w:sz w:val="20"/>
          <w:szCs w:val="20"/>
        </w:rPr>
        <w:t xml:space="preserve">HML </w:t>
      </w:r>
      <w:r w:rsidR="00690A70" w:rsidRPr="00194B2C">
        <w:rPr>
          <w:rFonts w:ascii="Arial" w:hAnsi="Arial" w:cs="Arial"/>
          <w:sz w:val="20"/>
          <w:szCs w:val="20"/>
        </w:rPr>
        <w:t xml:space="preserve">vehicles </w:t>
      </w:r>
      <w:r w:rsidRPr="00194B2C">
        <w:rPr>
          <w:rFonts w:ascii="Arial" w:hAnsi="Arial" w:cs="Arial"/>
          <w:sz w:val="20"/>
          <w:szCs w:val="20"/>
        </w:rPr>
        <w:t xml:space="preserve">that </w:t>
      </w:r>
      <w:r w:rsidR="007A6D7F" w:rsidRPr="00194B2C">
        <w:rPr>
          <w:rFonts w:ascii="Arial" w:hAnsi="Arial" w:cs="Arial"/>
          <w:sz w:val="20"/>
          <w:szCs w:val="20"/>
        </w:rPr>
        <w:t>cause</w:t>
      </w:r>
      <w:r w:rsidR="00CD7363" w:rsidRPr="00194B2C">
        <w:rPr>
          <w:rFonts w:ascii="Arial" w:hAnsi="Arial" w:cs="Arial"/>
          <w:sz w:val="20"/>
          <w:szCs w:val="20"/>
        </w:rPr>
        <w:t xml:space="preserve"> no additional </w:t>
      </w:r>
      <w:r w:rsidR="005D06DB" w:rsidRPr="00194B2C">
        <w:rPr>
          <w:rFonts w:ascii="Arial" w:hAnsi="Arial" w:cs="Arial"/>
          <w:sz w:val="20"/>
          <w:szCs w:val="20"/>
        </w:rPr>
        <w:t xml:space="preserve">road </w:t>
      </w:r>
      <w:r w:rsidR="00690A70" w:rsidRPr="00194B2C">
        <w:rPr>
          <w:rFonts w:ascii="Arial" w:hAnsi="Arial" w:cs="Arial"/>
          <w:sz w:val="20"/>
          <w:szCs w:val="20"/>
        </w:rPr>
        <w:t>wear and tear</w:t>
      </w:r>
      <w:r w:rsidR="007A6D7F" w:rsidRPr="00194B2C">
        <w:rPr>
          <w:rFonts w:ascii="Arial" w:hAnsi="Arial" w:cs="Arial"/>
          <w:sz w:val="20"/>
          <w:szCs w:val="20"/>
        </w:rPr>
        <w:t xml:space="preserve"> and </w:t>
      </w:r>
      <w:r w:rsidR="005660A9" w:rsidRPr="00194B2C">
        <w:rPr>
          <w:rFonts w:ascii="Arial" w:hAnsi="Arial" w:cs="Arial"/>
          <w:sz w:val="20"/>
          <w:szCs w:val="20"/>
        </w:rPr>
        <w:t>are no</w:t>
      </w:r>
      <w:r w:rsidR="00861F24" w:rsidRPr="00194B2C">
        <w:rPr>
          <w:rFonts w:ascii="Arial" w:hAnsi="Arial" w:cs="Arial"/>
          <w:sz w:val="20"/>
          <w:szCs w:val="20"/>
        </w:rPr>
        <w:t xml:space="preserve"> less compliant</w:t>
      </w:r>
      <w:r w:rsidR="001460B7">
        <w:rPr>
          <w:rFonts w:ascii="Arial" w:hAnsi="Arial" w:cs="Arial"/>
          <w:sz w:val="20"/>
          <w:szCs w:val="20"/>
        </w:rPr>
        <w:t xml:space="preserve"> than B-doubles or</w:t>
      </w:r>
      <w:r w:rsidR="009A0F8F">
        <w:rPr>
          <w:rFonts w:ascii="Arial" w:hAnsi="Arial" w:cs="Arial"/>
          <w:sz w:val="20"/>
          <w:szCs w:val="20"/>
        </w:rPr>
        <w:t xml:space="preserve"> </w:t>
      </w:r>
      <w:r w:rsidR="001460B7">
        <w:rPr>
          <w:rFonts w:ascii="Arial" w:hAnsi="Arial" w:cs="Arial"/>
          <w:sz w:val="20"/>
          <w:szCs w:val="20"/>
        </w:rPr>
        <w:t>Type 1 and 2 road trains</w:t>
      </w:r>
      <w:r w:rsidR="00861F24" w:rsidRPr="00194B2C">
        <w:rPr>
          <w:rFonts w:ascii="Arial" w:hAnsi="Arial" w:cs="Arial"/>
          <w:sz w:val="20"/>
          <w:szCs w:val="20"/>
        </w:rPr>
        <w:t>.</w:t>
      </w:r>
      <w:r w:rsidR="00234EFC" w:rsidRPr="00194B2C">
        <w:rPr>
          <w:rFonts w:ascii="Arial" w:hAnsi="Arial" w:cs="Arial"/>
          <w:sz w:val="20"/>
          <w:szCs w:val="20"/>
        </w:rPr>
        <w:t xml:space="preserve"> </w:t>
      </w:r>
      <w:r w:rsidR="005B6FEE" w:rsidRPr="00194B2C">
        <w:rPr>
          <w:rFonts w:ascii="Arial" w:hAnsi="Arial" w:cs="Arial"/>
          <w:sz w:val="20"/>
          <w:szCs w:val="20"/>
        </w:rPr>
        <w:t xml:space="preserve">In NSW, </w:t>
      </w:r>
      <w:r w:rsidR="009A0F8F">
        <w:rPr>
          <w:rFonts w:ascii="Arial" w:hAnsi="Arial" w:cs="Arial"/>
          <w:sz w:val="20"/>
          <w:szCs w:val="20"/>
        </w:rPr>
        <w:t xml:space="preserve">for example, </w:t>
      </w:r>
      <w:r w:rsidR="005B6FEE" w:rsidRPr="00194B2C">
        <w:rPr>
          <w:rFonts w:ascii="Arial" w:hAnsi="Arial" w:cs="Arial"/>
          <w:sz w:val="20"/>
          <w:szCs w:val="20"/>
        </w:rPr>
        <w:t>3,000 registered expressions of interest in access to HML dropped to approximately 300 HML users once IAP was made a condition of access.</w:t>
      </w:r>
    </w:p>
    <w:p w:rsidR="00613DF5" w:rsidRPr="00194B2C" w:rsidRDefault="00613DF5" w:rsidP="00D8210F">
      <w:pPr>
        <w:spacing w:after="0" w:line="240" w:lineRule="auto"/>
        <w:contextualSpacing/>
        <w:jc w:val="both"/>
        <w:rPr>
          <w:rFonts w:ascii="Arial" w:hAnsi="Arial" w:cs="Arial"/>
          <w:sz w:val="20"/>
          <w:szCs w:val="20"/>
        </w:rPr>
      </w:pPr>
    </w:p>
    <w:p w:rsidR="00613DF5" w:rsidRPr="00194B2C" w:rsidRDefault="00E64BD8" w:rsidP="00D8210F">
      <w:pPr>
        <w:spacing w:after="0" w:line="240" w:lineRule="auto"/>
        <w:contextualSpacing/>
        <w:jc w:val="both"/>
        <w:rPr>
          <w:rFonts w:ascii="Arial" w:hAnsi="Arial" w:cs="Arial"/>
          <w:sz w:val="20"/>
          <w:szCs w:val="20"/>
        </w:rPr>
      </w:pPr>
      <w:r w:rsidRPr="00194B2C">
        <w:rPr>
          <w:rFonts w:ascii="Arial" w:hAnsi="Arial" w:cs="Arial"/>
          <w:sz w:val="20"/>
          <w:szCs w:val="20"/>
        </w:rPr>
        <w:t>T</w:t>
      </w:r>
      <w:r w:rsidR="00613DF5" w:rsidRPr="00194B2C">
        <w:rPr>
          <w:rFonts w:ascii="Arial" w:hAnsi="Arial" w:cs="Arial"/>
          <w:sz w:val="20"/>
          <w:szCs w:val="20"/>
        </w:rPr>
        <w:t xml:space="preserve">he inherent value </w:t>
      </w:r>
      <w:r w:rsidRPr="00194B2C">
        <w:rPr>
          <w:rFonts w:ascii="Arial" w:hAnsi="Arial" w:cs="Arial"/>
          <w:sz w:val="20"/>
          <w:szCs w:val="20"/>
        </w:rPr>
        <w:t xml:space="preserve">or benefit </w:t>
      </w:r>
      <w:r w:rsidR="00613DF5" w:rsidRPr="00194B2C">
        <w:rPr>
          <w:rFonts w:ascii="Arial" w:hAnsi="Arial" w:cs="Arial"/>
          <w:sz w:val="20"/>
          <w:szCs w:val="20"/>
        </w:rPr>
        <w:t xml:space="preserve">of </w:t>
      </w:r>
      <w:r w:rsidR="004F187D" w:rsidRPr="00194B2C">
        <w:rPr>
          <w:rFonts w:ascii="Arial" w:hAnsi="Arial" w:cs="Arial"/>
          <w:sz w:val="20"/>
          <w:szCs w:val="20"/>
        </w:rPr>
        <w:t>the</w:t>
      </w:r>
      <w:r w:rsidR="00613DF5" w:rsidRPr="00194B2C">
        <w:rPr>
          <w:rFonts w:ascii="Arial" w:hAnsi="Arial" w:cs="Arial"/>
          <w:sz w:val="20"/>
          <w:szCs w:val="20"/>
        </w:rPr>
        <w:t xml:space="preserve"> IAP </w:t>
      </w:r>
      <w:r w:rsidR="0036794B" w:rsidRPr="00194B2C">
        <w:rPr>
          <w:rFonts w:ascii="Arial" w:hAnsi="Arial" w:cs="Arial"/>
          <w:sz w:val="20"/>
          <w:szCs w:val="20"/>
        </w:rPr>
        <w:t>‘</w:t>
      </w:r>
      <w:r w:rsidR="00613DF5" w:rsidRPr="00194B2C">
        <w:rPr>
          <w:rFonts w:ascii="Arial" w:hAnsi="Arial" w:cs="Arial"/>
          <w:sz w:val="20"/>
          <w:szCs w:val="20"/>
        </w:rPr>
        <w:t>product’ to industry is</w:t>
      </w:r>
      <w:r w:rsidR="00234EFC" w:rsidRPr="00194B2C">
        <w:rPr>
          <w:rFonts w:ascii="Arial" w:hAnsi="Arial" w:cs="Arial"/>
          <w:sz w:val="20"/>
          <w:szCs w:val="20"/>
        </w:rPr>
        <w:t xml:space="preserve"> obviously</w:t>
      </w:r>
      <w:r w:rsidR="00613DF5" w:rsidRPr="00194B2C">
        <w:rPr>
          <w:rFonts w:ascii="Arial" w:hAnsi="Arial" w:cs="Arial"/>
          <w:sz w:val="20"/>
          <w:szCs w:val="20"/>
        </w:rPr>
        <w:t xml:space="preserve"> not in the quantum of </w:t>
      </w:r>
      <w:r w:rsidRPr="00194B2C">
        <w:rPr>
          <w:rFonts w:ascii="Arial" w:hAnsi="Arial" w:cs="Arial"/>
          <w:sz w:val="20"/>
          <w:szCs w:val="20"/>
        </w:rPr>
        <w:t xml:space="preserve">its </w:t>
      </w:r>
      <w:r w:rsidR="00613DF5" w:rsidRPr="00194B2C">
        <w:rPr>
          <w:rFonts w:ascii="Arial" w:hAnsi="Arial" w:cs="Arial"/>
          <w:sz w:val="20"/>
          <w:szCs w:val="20"/>
        </w:rPr>
        <w:t>participation</w:t>
      </w:r>
      <w:r w:rsidR="00032119" w:rsidRPr="00194B2C">
        <w:rPr>
          <w:rFonts w:ascii="Arial" w:hAnsi="Arial" w:cs="Arial"/>
          <w:sz w:val="20"/>
          <w:szCs w:val="20"/>
        </w:rPr>
        <w:t xml:space="preserve"> </w:t>
      </w:r>
      <w:r w:rsidR="00613DF5" w:rsidRPr="00194B2C">
        <w:rPr>
          <w:rFonts w:ascii="Arial" w:hAnsi="Arial" w:cs="Arial"/>
          <w:sz w:val="20"/>
          <w:szCs w:val="20"/>
        </w:rPr>
        <w:t xml:space="preserve">but in </w:t>
      </w:r>
      <w:r w:rsidR="00032119" w:rsidRPr="00194B2C">
        <w:rPr>
          <w:rFonts w:ascii="Arial" w:hAnsi="Arial" w:cs="Arial"/>
          <w:sz w:val="20"/>
          <w:szCs w:val="20"/>
        </w:rPr>
        <w:t>the</w:t>
      </w:r>
      <w:r w:rsidR="00613DF5" w:rsidRPr="00194B2C">
        <w:rPr>
          <w:rFonts w:ascii="Arial" w:hAnsi="Arial" w:cs="Arial"/>
          <w:sz w:val="20"/>
          <w:szCs w:val="20"/>
        </w:rPr>
        <w:t xml:space="preserve"> access </w:t>
      </w:r>
      <w:r w:rsidR="005079EB" w:rsidRPr="00194B2C">
        <w:rPr>
          <w:rFonts w:ascii="Arial" w:hAnsi="Arial" w:cs="Arial"/>
          <w:sz w:val="20"/>
          <w:szCs w:val="20"/>
        </w:rPr>
        <w:t>delivered</w:t>
      </w:r>
      <w:r w:rsidR="00032119" w:rsidRPr="00194B2C">
        <w:rPr>
          <w:rFonts w:ascii="Arial" w:hAnsi="Arial" w:cs="Arial"/>
          <w:sz w:val="20"/>
          <w:szCs w:val="20"/>
        </w:rPr>
        <w:t xml:space="preserve"> by that </w:t>
      </w:r>
      <w:r w:rsidR="0036794B" w:rsidRPr="00194B2C">
        <w:rPr>
          <w:rFonts w:ascii="Arial" w:hAnsi="Arial" w:cs="Arial"/>
          <w:sz w:val="20"/>
          <w:szCs w:val="20"/>
        </w:rPr>
        <w:t>participation</w:t>
      </w:r>
      <w:r w:rsidR="00613DF5" w:rsidRPr="00194B2C">
        <w:rPr>
          <w:rFonts w:ascii="Arial" w:hAnsi="Arial" w:cs="Arial"/>
          <w:sz w:val="20"/>
          <w:szCs w:val="20"/>
        </w:rPr>
        <w:t xml:space="preserve">. Low costs </w:t>
      </w:r>
      <w:r w:rsidR="00161C47" w:rsidRPr="00194B2C">
        <w:rPr>
          <w:rFonts w:ascii="Arial" w:hAnsi="Arial" w:cs="Arial"/>
          <w:sz w:val="20"/>
          <w:szCs w:val="20"/>
        </w:rPr>
        <w:t>are</w:t>
      </w:r>
      <w:r w:rsidR="0046059D" w:rsidRPr="00194B2C">
        <w:rPr>
          <w:rFonts w:ascii="Arial" w:hAnsi="Arial" w:cs="Arial"/>
          <w:sz w:val="20"/>
          <w:szCs w:val="20"/>
        </w:rPr>
        <w:t xml:space="preserve"> </w:t>
      </w:r>
      <w:r w:rsidR="00161C47" w:rsidRPr="00194B2C">
        <w:rPr>
          <w:rFonts w:ascii="Arial" w:hAnsi="Arial" w:cs="Arial"/>
          <w:sz w:val="20"/>
          <w:szCs w:val="20"/>
        </w:rPr>
        <w:t>a</w:t>
      </w:r>
      <w:r w:rsidR="00613DF5" w:rsidRPr="00194B2C">
        <w:rPr>
          <w:rFonts w:ascii="Arial" w:hAnsi="Arial" w:cs="Arial"/>
          <w:sz w:val="20"/>
          <w:szCs w:val="20"/>
        </w:rPr>
        <w:t xml:space="preserve"> </w:t>
      </w:r>
      <w:r w:rsidR="002E7A58" w:rsidRPr="00194B2C">
        <w:rPr>
          <w:rFonts w:ascii="Arial" w:hAnsi="Arial" w:cs="Arial"/>
          <w:sz w:val="20"/>
          <w:szCs w:val="20"/>
        </w:rPr>
        <w:t>real</w:t>
      </w:r>
      <w:r w:rsidR="00F92DBA" w:rsidRPr="00194B2C">
        <w:rPr>
          <w:rFonts w:ascii="Arial" w:hAnsi="Arial" w:cs="Arial"/>
          <w:sz w:val="20"/>
          <w:szCs w:val="20"/>
        </w:rPr>
        <w:t xml:space="preserve"> </w:t>
      </w:r>
      <w:r w:rsidR="00613DF5" w:rsidRPr="00194B2C">
        <w:rPr>
          <w:rFonts w:ascii="Arial" w:hAnsi="Arial" w:cs="Arial"/>
          <w:sz w:val="20"/>
          <w:szCs w:val="20"/>
        </w:rPr>
        <w:t xml:space="preserve">key to </w:t>
      </w:r>
      <w:r w:rsidR="00161C47" w:rsidRPr="00194B2C">
        <w:rPr>
          <w:rFonts w:ascii="Arial" w:hAnsi="Arial" w:cs="Arial"/>
          <w:sz w:val="20"/>
          <w:szCs w:val="20"/>
        </w:rPr>
        <w:t>attracting industry to</w:t>
      </w:r>
      <w:r w:rsidRPr="00194B2C">
        <w:rPr>
          <w:rFonts w:ascii="Arial" w:hAnsi="Arial" w:cs="Arial"/>
          <w:sz w:val="20"/>
          <w:szCs w:val="20"/>
        </w:rPr>
        <w:t xml:space="preserve"> any scheme</w:t>
      </w:r>
      <w:r w:rsidR="0036794B" w:rsidRPr="00194B2C">
        <w:rPr>
          <w:rFonts w:ascii="Arial" w:hAnsi="Arial" w:cs="Arial"/>
          <w:sz w:val="20"/>
          <w:szCs w:val="20"/>
        </w:rPr>
        <w:t xml:space="preserve"> </w:t>
      </w:r>
      <w:r w:rsidR="00613DF5" w:rsidRPr="00194B2C">
        <w:rPr>
          <w:rFonts w:ascii="Arial" w:hAnsi="Arial" w:cs="Arial"/>
          <w:sz w:val="20"/>
          <w:szCs w:val="20"/>
        </w:rPr>
        <w:t>but</w:t>
      </w:r>
      <w:r w:rsidR="000439F1">
        <w:rPr>
          <w:rFonts w:ascii="Arial" w:hAnsi="Arial" w:cs="Arial"/>
          <w:sz w:val="20"/>
          <w:szCs w:val="20"/>
        </w:rPr>
        <w:t>,</w:t>
      </w:r>
      <w:r w:rsidR="00613DF5" w:rsidRPr="00194B2C">
        <w:rPr>
          <w:rFonts w:ascii="Arial" w:hAnsi="Arial" w:cs="Arial"/>
          <w:sz w:val="20"/>
          <w:szCs w:val="20"/>
        </w:rPr>
        <w:t xml:space="preserve"> </w:t>
      </w:r>
      <w:r w:rsidR="00F92DBA" w:rsidRPr="00194B2C">
        <w:rPr>
          <w:rFonts w:ascii="Arial" w:hAnsi="Arial" w:cs="Arial"/>
          <w:sz w:val="20"/>
          <w:szCs w:val="20"/>
        </w:rPr>
        <w:t>in terms of</w:t>
      </w:r>
      <w:r w:rsidR="00161C47" w:rsidRPr="00194B2C">
        <w:rPr>
          <w:rFonts w:ascii="Arial" w:hAnsi="Arial" w:cs="Arial"/>
          <w:sz w:val="20"/>
          <w:szCs w:val="20"/>
        </w:rPr>
        <w:t xml:space="preserve"> IAP, </w:t>
      </w:r>
      <w:r w:rsidR="00613DF5" w:rsidRPr="00194B2C">
        <w:rPr>
          <w:rFonts w:ascii="Arial" w:hAnsi="Arial" w:cs="Arial"/>
          <w:sz w:val="20"/>
          <w:szCs w:val="20"/>
        </w:rPr>
        <w:t>access as</w:t>
      </w:r>
      <w:r w:rsidR="00395F4D" w:rsidRPr="00194B2C">
        <w:rPr>
          <w:rFonts w:ascii="Arial" w:hAnsi="Arial" w:cs="Arial"/>
          <w:sz w:val="20"/>
          <w:szCs w:val="20"/>
        </w:rPr>
        <w:t xml:space="preserve"> the </w:t>
      </w:r>
      <w:r w:rsidR="00F92DBA" w:rsidRPr="00194B2C">
        <w:rPr>
          <w:rFonts w:ascii="Arial" w:hAnsi="Arial" w:cs="Arial"/>
          <w:sz w:val="20"/>
          <w:szCs w:val="20"/>
        </w:rPr>
        <w:t xml:space="preserve">principal </w:t>
      </w:r>
      <w:r w:rsidR="0046059D" w:rsidRPr="00194B2C">
        <w:rPr>
          <w:rFonts w:ascii="Arial" w:hAnsi="Arial" w:cs="Arial"/>
          <w:sz w:val="20"/>
          <w:szCs w:val="20"/>
        </w:rPr>
        <w:t xml:space="preserve">outcome </w:t>
      </w:r>
      <w:r w:rsidR="00C46FA6" w:rsidRPr="00194B2C">
        <w:rPr>
          <w:rFonts w:ascii="Arial" w:hAnsi="Arial" w:cs="Arial"/>
          <w:sz w:val="20"/>
          <w:szCs w:val="20"/>
        </w:rPr>
        <w:t>and</w:t>
      </w:r>
      <w:r w:rsidR="0046059D" w:rsidRPr="00194B2C">
        <w:rPr>
          <w:rFonts w:ascii="Arial" w:hAnsi="Arial" w:cs="Arial"/>
          <w:sz w:val="20"/>
          <w:szCs w:val="20"/>
        </w:rPr>
        <w:t xml:space="preserve"> product</w:t>
      </w:r>
      <w:r w:rsidR="00613DF5" w:rsidRPr="00194B2C">
        <w:rPr>
          <w:rFonts w:ascii="Arial" w:hAnsi="Arial" w:cs="Arial"/>
          <w:sz w:val="20"/>
          <w:szCs w:val="20"/>
        </w:rPr>
        <w:t xml:space="preserve"> </w:t>
      </w:r>
      <w:r w:rsidR="00395F4D" w:rsidRPr="00194B2C">
        <w:rPr>
          <w:rFonts w:ascii="Arial" w:hAnsi="Arial" w:cs="Arial"/>
          <w:sz w:val="20"/>
          <w:szCs w:val="20"/>
        </w:rPr>
        <w:t>of th</w:t>
      </w:r>
      <w:r w:rsidR="0036794B" w:rsidRPr="00194B2C">
        <w:rPr>
          <w:rFonts w:ascii="Arial" w:hAnsi="Arial" w:cs="Arial"/>
          <w:sz w:val="20"/>
          <w:szCs w:val="20"/>
        </w:rPr>
        <w:t>e</w:t>
      </w:r>
      <w:r w:rsidR="00395F4D" w:rsidRPr="00194B2C">
        <w:rPr>
          <w:rFonts w:ascii="Arial" w:hAnsi="Arial" w:cs="Arial"/>
          <w:sz w:val="20"/>
          <w:szCs w:val="20"/>
        </w:rPr>
        <w:t xml:space="preserve"> scheme </w:t>
      </w:r>
      <w:r w:rsidR="00613DF5" w:rsidRPr="00194B2C">
        <w:rPr>
          <w:rFonts w:ascii="Arial" w:hAnsi="Arial" w:cs="Arial"/>
          <w:sz w:val="20"/>
          <w:szCs w:val="20"/>
        </w:rPr>
        <w:t>is paramount to maintaining</w:t>
      </w:r>
      <w:r w:rsidR="0036794B" w:rsidRPr="00194B2C">
        <w:rPr>
          <w:rFonts w:ascii="Arial" w:hAnsi="Arial" w:cs="Arial"/>
          <w:sz w:val="20"/>
          <w:szCs w:val="20"/>
        </w:rPr>
        <w:t xml:space="preserve"> </w:t>
      </w:r>
      <w:r w:rsidR="00161C47" w:rsidRPr="00194B2C">
        <w:rPr>
          <w:rFonts w:ascii="Arial" w:hAnsi="Arial" w:cs="Arial"/>
          <w:sz w:val="20"/>
          <w:szCs w:val="20"/>
        </w:rPr>
        <w:t>that</w:t>
      </w:r>
      <w:r w:rsidR="0036794B" w:rsidRPr="00194B2C">
        <w:rPr>
          <w:rFonts w:ascii="Arial" w:hAnsi="Arial" w:cs="Arial"/>
          <w:sz w:val="20"/>
          <w:szCs w:val="20"/>
        </w:rPr>
        <w:t xml:space="preserve"> participation</w:t>
      </w:r>
      <w:r w:rsidR="00613DF5" w:rsidRPr="00194B2C">
        <w:rPr>
          <w:rFonts w:ascii="Arial" w:hAnsi="Arial" w:cs="Arial"/>
          <w:sz w:val="20"/>
          <w:szCs w:val="20"/>
        </w:rPr>
        <w:t>.</w:t>
      </w:r>
    </w:p>
    <w:p w:rsidR="0015730D" w:rsidRPr="00194B2C" w:rsidRDefault="0015730D" w:rsidP="00D8210F">
      <w:pPr>
        <w:spacing w:after="0" w:line="240" w:lineRule="auto"/>
        <w:contextualSpacing/>
        <w:jc w:val="both"/>
        <w:rPr>
          <w:rFonts w:ascii="Arial" w:hAnsi="Arial" w:cs="Arial"/>
          <w:sz w:val="20"/>
          <w:szCs w:val="20"/>
        </w:rPr>
      </w:pPr>
    </w:p>
    <w:p w:rsidR="008B3AD0" w:rsidRPr="00194B2C" w:rsidRDefault="008B3AD0" w:rsidP="008B3AD0">
      <w:pPr>
        <w:spacing w:after="0" w:line="240" w:lineRule="auto"/>
        <w:contextualSpacing/>
        <w:jc w:val="both"/>
        <w:rPr>
          <w:rFonts w:ascii="Arial" w:hAnsi="Arial" w:cs="Arial"/>
          <w:sz w:val="20"/>
          <w:szCs w:val="20"/>
        </w:rPr>
      </w:pPr>
      <w:r w:rsidRPr="00194B2C">
        <w:rPr>
          <w:rFonts w:ascii="Arial" w:hAnsi="Arial" w:cs="Arial"/>
          <w:sz w:val="20"/>
          <w:szCs w:val="20"/>
        </w:rPr>
        <w:t xml:space="preserve">IAP was implemented in 2006 and </w:t>
      </w:r>
      <w:r w:rsidR="004E67E6">
        <w:rPr>
          <w:rFonts w:ascii="Arial" w:hAnsi="Arial" w:cs="Arial"/>
          <w:sz w:val="20"/>
          <w:szCs w:val="20"/>
        </w:rPr>
        <w:t xml:space="preserve">now, </w:t>
      </w:r>
      <w:r w:rsidRPr="00194B2C">
        <w:rPr>
          <w:rFonts w:ascii="Arial" w:hAnsi="Arial" w:cs="Arial"/>
          <w:sz w:val="20"/>
          <w:szCs w:val="20"/>
        </w:rPr>
        <w:t xml:space="preserve">seven years later, enrolment numbers remain grossly inadequate to sustain a demand-side model of this kind. The announcement in 2013 of small increases in enrolments arising from increased program flexibility are not enough to fix the </w:t>
      </w:r>
      <w:r w:rsidR="004E67E6">
        <w:rPr>
          <w:rFonts w:ascii="Arial" w:hAnsi="Arial" w:cs="Arial"/>
          <w:sz w:val="20"/>
          <w:szCs w:val="20"/>
        </w:rPr>
        <w:t>issue</w:t>
      </w:r>
      <w:r w:rsidRPr="00194B2C">
        <w:rPr>
          <w:rFonts w:ascii="Arial" w:hAnsi="Arial" w:cs="Arial"/>
          <w:sz w:val="20"/>
          <w:szCs w:val="20"/>
        </w:rPr>
        <w:t xml:space="preserve"> that seven years </w:t>
      </w:r>
      <w:r w:rsidR="000A7075">
        <w:rPr>
          <w:rFonts w:ascii="Arial" w:hAnsi="Arial" w:cs="Arial"/>
          <w:sz w:val="20"/>
          <w:szCs w:val="20"/>
        </w:rPr>
        <w:t>on</w:t>
      </w:r>
      <w:r w:rsidRPr="00194B2C">
        <w:rPr>
          <w:rFonts w:ascii="Arial" w:hAnsi="Arial" w:cs="Arial"/>
          <w:sz w:val="20"/>
          <w:szCs w:val="20"/>
        </w:rPr>
        <w:t>, this scheme is under-subscribed</w:t>
      </w:r>
      <w:r w:rsidR="0076764A">
        <w:rPr>
          <w:rFonts w:ascii="Arial" w:hAnsi="Arial" w:cs="Arial"/>
          <w:sz w:val="20"/>
          <w:szCs w:val="20"/>
        </w:rPr>
        <w:t xml:space="preserve"> and </w:t>
      </w:r>
      <w:r w:rsidR="00B16A0A">
        <w:rPr>
          <w:rFonts w:ascii="Arial" w:hAnsi="Arial" w:cs="Arial"/>
          <w:sz w:val="20"/>
          <w:szCs w:val="20"/>
        </w:rPr>
        <w:t xml:space="preserve">it </w:t>
      </w:r>
      <w:r w:rsidRPr="00194B2C">
        <w:rPr>
          <w:rFonts w:ascii="Arial" w:hAnsi="Arial" w:cs="Arial"/>
          <w:sz w:val="20"/>
          <w:szCs w:val="20"/>
        </w:rPr>
        <w:t>underperforms. IAP is simply not good business for industry.</w:t>
      </w:r>
    </w:p>
    <w:p w:rsidR="008162FF" w:rsidRPr="00194B2C" w:rsidRDefault="008162FF" w:rsidP="00D8210F">
      <w:pPr>
        <w:spacing w:after="0" w:line="240" w:lineRule="auto"/>
        <w:contextualSpacing/>
        <w:jc w:val="both"/>
        <w:rPr>
          <w:rFonts w:ascii="Arial" w:eastAsia="Times New Roman" w:hAnsi="Arial" w:cs="Arial"/>
          <w:sz w:val="20"/>
          <w:szCs w:val="20"/>
        </w:rPr>
      </w:pPr>
    </w:p>
    <w:p w:rsidR="00FC55CF" w:rsidRPr="00194B2C" w:rsidRDefault="00266B90" w:rsidP="00D8210F">
      <w:pPr>
        <w:spacing w:after="0" w:line="240" w:lineRule="auto"/>
        <w:contextualSpacing/>
        <w:jc w:val="both"/>
        <w:rPr>
          <w:rFonts w:ascii="Arial" w:eastAsia="Times New Roman" w:hAnsi="Arial" w:cs="Arial"/>
          <w:sz w:val="20"/>
          <w:szCs w:val="20"/>
        </w:rPr>
      </w:pPr>
      <w:r w:rsidRPr="00194B2C">
        <w:rPr>
          <w:rFonts w:ascii="Arial" w:eastAsia="Times New Roman" w:hAnsi="Arial" w:cs="Arial"/>
          <w:sz w:val="20"/>
          <w:szCs w:val="20"/>
        </w:rPr>
        <w:t>The ATA makes s</w:t>
      </w:r>
      <w:r w:rsidR="0054350B" w:rsidRPr="00194B2C">
        <w:rPr>
          <w:rFonts w:ascii="Arial" w:eastAsia="Times New Roman" w:hAnsi="Arial" w:cs="Arial"/>
          <w:sz w:val="20"/>
          <w:szCs w:val="20"/>
        </w:rPr>
        <w:t xml:space="preserve">uggestions for a </w:t>
      </w:r>
      <w:r w:rsidR="009A67FC" w:rsidRPr="00194B2C">
        <w:rPr>
          <w:rFonts w:ascii="Arial" w:eastAsia="Times New Roman" w:hAnsi="Arial" w:cs="Arial"/>
          <w:sz w:val="20"/>
          <w:szCs w:val="20"/>
        </w:rPr>
        <w:t>safe</w:t>
      </w:r>
      <w:r w:rsidR="0054350B" w:rsidRPr="00194B2C">
        <w:rPr>
          <w:rFonts w:ascii="Arial" w:eastAsia="Times New Roman" w:hAnsi="Arial" w:cs="Arial"/>
          <w:sz w:val="20"/>
          <w:szCs w:val="20"/>
        </w:rPr>
        <w:t>r, more</w:t>
      </w:r>
      <w:r w:rsidR="009C4F1D" w:rsidRPr="00194B2C">
        <w:rPr>
          <w:rFonts w:ascii="Arial" w:eastAsia="Times New Roman" w:hAnsi="Arial" w:cs="Arial"/>
          <w:sz w:val="20"/>
          <w:szCs w:val="20"/>
        </w:rPr>
        <w:t xml:space="preserve"> </w:t>
      </w:r>
      <w:r w:rsidRPr="00194B2C">
        <w:rPr>
          <w:rFonts w:ascii="Arial" w:eastAsia="Times New Roman" w:hAnsi="Arial" w:cs="Arial"/>
          <w:sz w:val="20"/>
          <w:szCs w:val="20"/>
        </w:rPr>
        <w:t>robust</w:t>
      </w:r>
      <w:r w:rsidR="0054350B" w:rsidRPr="00194B2C">
        <w:rPr>
          <w:rFonts w:ascii="Arial" w:eastAsia="Times New Roman" w:hAnsi="Arial" w:cs="Arial"/>
          <w:sz w:val="20"/>
          <w:szCs w:val="20"/>
        </w:rPr>
        <w:t xml:space="preserve"> and cost-effective</w:t>
      </w:r>
      <w:r w:rsidR="00DA27F5" w:rsidRPr="00194B2C">
        <w:rPr>
          <w:rFonts w:ascii="Arial" w:eastAsia="Times New Roman" w:hAnsi="Arial" w:cs="Arial"/>
          <w:sz w:val="20"/>
          <w:szCs w:val="20"/>
        </w:rPr>
        <w:t xml:space="preserve"> </w:t>
      </w:r>
      <w:r w:rsidR="00757A1A">
        <w:rPr>
          <w:rFonts w:ascii="Arial" w:eastAsia="Times New Roman" w:hAnsi="Arial" w:cs="Arial"/>
          <w:sz w:val="20"/>
          <w:szCs w:val="20"/>
        </w:rPr>
        <w:t xml:space="preserve">monitoring </w:t>
      </w:r>
      <w:r w:rsidRPr="00194B2C">
        <w:rPr>
          <w:rFonts w:ascii="Arial" w:eastAsia="Times New Roman" w:hAnsi="Arial" w:cs="Arial"/>
          <w:sz w:val="20"/>
          <w:szCs w:val="20"/>
        </w:rPr>
        <w:t>approach</w:t>
      </w:r>
      <w:r w:rsidR="00DA27F5" w:rsidRPr="00194B2C">
        <w:rPr>
          <w:rFonts w:ascii="Arial" w:eastAsia="Times New Roman" w:hAnsi="Arial" w:cs="Arial"/>
          <w:sz w:val="20"/>
          <w:szCs w:val="20"/>
        </w:rPr>
        <w:t xml:space="preserve"> of </w:t>
      </w:r>
      <w:r w:rsidR="0086423B" w:rsidRPr="00194B2C">
        <w:rPr>
          <w:rFonts w:ascii="Arial" w:eastAsia="Times New Roman" w:hAnsi="Arial" w:cs="Arial"/>
          <w:sz w:val="20"/>
          <w:szCs w:val="20"/>
        </w:rPr>
        <w:t>significantly</w:t>
      </w:r>
      <w:r w:rsidR="00DA27F5" w:rsidRPr="00194B2C">
        <w:rPr>
          <w:rFonts w:ascii="Arial" w:eastAsia="Times New Roman" w:hAnsi="Arial" w:cs="Arial"/>
          <w:sz w:val="20"/>
          <w:szCs w:val="20"/>
        </w:rPr>
        <w:t xml:space="preserve"> </w:t>
      </w:r>
      <w:r w:rsidR="00757A1A">
        <w:rPr>
          <w:rFonts w:ascii="Arial" w:eastAsia="Times New Roman" w:hAnsi="Arial" w:cs="Arial"/>
          <w:sz w:val="20"/>
          <w:szCs w:val="20"/>
        </w:rPr>
        <w:t xml:space="preserve">more reasonable </w:t>
      </w:r>
      <w:r w:rsidR="00DA27F5" w:rsidRPr="00194B2C">
        <w:rPr>
          <w:rFonts w:ascii="Arial" w:eastAsia="Times New Roman" w:hAnsi="Arial" w:cs="Arial"/>
          <w:sz w:val="20"/>
          <w:szCs w:val="20"/>
        </w:rPr>
        <w:t xml:space="preserve">size and scope </w:t>
      </w:r>
      <w:r w:rsidR="00AC05D1" w:rsidRPr="00194B2C">
        <w:rPr>
          <w:rFonts w:ascii="Arial" w:eastAsia="Times New Roman" w:hAnsi="Arial" w:cs="Arial"/>
          <w:sz w:val="20"/>
          <w:szCs w:val="20"/>
        </w:rPr>
        <w:t>in</w:t>
      </w:r>
      <w:r w:rsidR="00457D35" w:rsidRPr="00194B2C">
        <w:rPr>
          <w:rFonts w:ascii="Arial" w:eastAsia="Times New Roman" w:hAnsi="Arial" w:cs="Arial"/>
          <w:sz w:val="20"/>
          <w:szCs w:val="20"/>
        </w:rPr>
        <w:t xml:space="preserve"> section</w:t>
      </w:r>
      <w:r w:rsidR="00AC05D1" w:rsidRPr="00194B2C">
        <w:rPr>
          <w:rFonts w:ascii="Arial" w:eastAsia="Times New Roman" w:hAnsi="Arial" w:cs="Arial"/>
          <w:sz w:val="20"/>
          <w:szCs w:val="20"/>
        </w:rPr>
        <w:t xml:space="preserve"> 4.4</w:t>
      </w:r>
      <w:r w:rsidR="00DA27F5" w:rsidRPr="00194B2C">
        <w:rPr>
          <w:rFonts w:ascii="Arial" w:eastAsia="Times New Roman" w:hAnsi="Arial" w:cs="Arial"/>
          <w:sz w:val="20"/>
          <w:szCs w:val="20"/>
        </w:rPr>
        <w:t>.</w:t>
      </w:r>
    </w:p>
    <w:p w:rsidR="00F50274" w:rsidRDefault="00F50274" w:rsidP="00D8210F">
      <w:pPr>
        <w:spacing w:after="0" w:line="240" w:lineRule="auto"/>
        <w:contextualSpacing/>
        <w:jc w:val="both"/>
        <w:rPr>
          <w:rFonts w:ascii="Arial" w:eastAsia="Times New Roman" w:hAnsi="Arial" w:cs="Arial"/>
          <w:sz w:val="20"/>
          <w:szCs w:val="20"/>
        </w:rPr>
      </w:pPr>
    </w:p>
    <w:p w:rsidR="007F7744" w:rsidRDefault="007F7744" w:rsidP="00D8210F">
      <w:pPr>
        <w:spacing w:after="0" w:line="240" w:lineRule="auto"/>
        <w:contextualSpacing/>
        <w:jc w:val="both"/>
        <w:rPr>
          <w:rFonts w:ascii="Arial" w:eastAsia="Times New Roman" w:hAnsi="Arial" w:cs="Arial"/>
          <w:sz w:val="20"/>
          <w:szCs w:val="20"/>
        </w:rPr>
      </w:pPr>
    </w:p>
    <w:p w:rsidR="0052083F" w:rsidRDefault="0052083F" w:rsidP="00D8210F">
      <w:pPr>
        <w:spacing w:after="0" w:line="240" w:lineRule="auto"/>
        <w:contextualSpacing/>
        <w:jc w:val="both"/>
        <w:rPr>
          <w:rFonts w:ascii="Arial" w:eastAsia="Times New Roman" w:hAnsi="Arial" w:cs="Arial"/>
          <w:sz w:val="20"/>
          <w:szCs w:val="20"/>
        </w:rPr>
      </w:pPr>
    </w:p>
    <w:p w:rsidR="00487AA5" w:rsidRPr="00B97FC5" w:rsidRDefault="00626098" w:rsidP="00B97FC5">
      <w:pPr>
        <w:pStyle w:val="Heading1"/>
        <w:numPr>
          <w:ilvl w:val="0"/>
          <w:numId w:val="0"/>
        </w:numPr>
        <w:ind w:left="360" w:hanging="360"/>
        <w:rPr>
          <w:sz w:val="24"/>
          <w:szCs w:val="24"/>
        </w:rPr>
      </w:pPr>
      <w:r w:rsidRPr="00B97FC5">
        <w:rPr>
          <w:sz w:val="24"/>
          <w:szCs w:val="24"/>
        </w:rPr>
        <w:t xml:space="preserve">4.3 </w:t>
      </w:r>
      <w:r w:rsidR="00796CE9" w:rsidRPr="00796CE9">
        <w:rPr>
          <w:sz w:val="24"/>
          <w:szCs w:val="24"/>
        </w:rPr>
        <w:t>Public Handling of Private Data</w:t>
      </w:r>
    </w:p>
    <w:p w:rsidR="00BC2E3E" w:rsidRPr="006B0263" w:rsidRDefault="008B3AD0" w:rsidP="00FC55CF">
      <w:pPr>
        <w:spacing w:after="0" w:line="240" w:lineRule="auto"/>
        <w:contextualSpacing/>
        <w:jc w:val="both"/>
        <w:rPr>
          <w:rFonts w:ascii="Arial" w:hAnsi="Arial" w:cs="Arial"/>
          <w:sz w:val="20"/>
          <w:szCs w:val="20"/>
        </w:rPr>
      </w:pPr>
      <w:r w:rsidRPr="006B0263">
        <w:rPr>
          <w:rFonts w:ascii="Arial" w:hAnsi="Arial" w:cs="Arial"/>
          <w:sz w:val="20"/>
          <w:szCs w:val="20"/>
        </w:rPr>
        <w:t xml:space="preserve">Adoption of the network effect as a design principle suggests that perhaps a limited target market was never intended in the first place (nor presumably any long-lasting commercial advantage). Implementation of IAP along the lines </w:t>
      </w:r>
      <w:r w:rsidR="00174697">
        <w:rPr>
          <w:rFonts w:ascii="Arial" w:hAnsi="Arial" w:cs="Arial"/>
          <w:sz w:val="20"/>
          <w:szCs w:val="20"/>
        </w:rPr>
        <w:t xml:space="preserve">of </w:t>
      </w:r>
      <w:r w:rsidRPr="006B0263">
        <w:rPr>
          <w:rFonts w:ascii="Arial" w:hAnsi="Arial" w:cs="Arial"/>
          <w:sz w:val="20"/>
          <w:szCs w:val="20"/>
        </w:rPr>
        <w:t xml:space="preserve">the </w:t>
      </w:r>
      <w:r w:rsidR="00174697">
        <w:rPr>
          <w:rFonts w:ascii="Arial" w:hAnsi="Arial" w:cs="Arial"/>
          <w:sz w:val="20"/>
          <w:szCs w:val="20"/>
        </w:rPr>
        <w:t xml:space="preserve">framework presented in the </w:t>
      </w:r>
      <w:r w:rsidRPr="006B0263">
        <w:rPr>
          <w:rFonts w:ascii="Arial" w:hAnsi="Arial" w:cs="Arial"/>
          <w:sz w:val="20"/>
          <w:szCs w:val="20"/>
        </w:rPr>
        <w:t xml:space="preserve">IAP RIS and </w:t>
      </w:r>
      <w:r w:rsidR="00174697">
        <w:rPr>
          <w:rFonts w:ascii="Arial" w:hAnsi="Arial" w:cs="Arial"/>
          <w:sz w:val="20"/>
          <w:szCs w:val="20"/>
        </w:rPr>
        <w:t xml:space="preserve">Austroads’ </w:t>
      </w:r>
      <w:r w:rsidRPr="006B0263">
        <w:rPr>
          <w:rFonts w:ascii="Arial" w:hAnsi="Arial" w:cs="Arial"/>
          <w:sz w:val="20"/>
          <w:szCs w:val="20"/>
        </w:rPr>
        <w:t>Feasibility Report suggest</w:t>
      </w:r>
      <w:r w:rsidR="00174697">
        <w:rPr>
          <w:rFonts w:ascii="Arial" w:hAnsi="Arial" w:cs="Arial"/>
          <w:sz w:val="20"/>
          <w:szCs w:val="20"/>
        </w:rPr>
        <w:t>s</w:t>
      </w:r>
      <w:r w:rsidRPr="006B0263">
        <w:rPr>
          <w:rFonts w:ascii="Arial" w:hAnsi="Arial" w:cs="Arial"/>
          <w:sz w:val="20"/>
          <w:szCs w:val="20"/>
        </w:rPr>
        <w:t xml:space="preserve"> a desire for a permanent blitz on industry using telematics technologies as enforcement and data mining tools. </w:t>
      </w:r>
    </w:p>
    <w:p w:rsidR="00912FC0" w:rsidRDefault="00912FC0" w:rsidP="00FC55CF">
      <w:pPr>
        <w:spacing w:after="0" w:line="240" w:lineRule="auto"/>
        <w:contextualSpacing/>
        <w:rPr>
          <w:rFonts w:ascii="Arial" w:hAnsi="Arial" w:cs="Arial"/>
          <w:sz w:val="20"/>
          <w:szCs w:val="20"/>
        </w:rPr>
      </w:pPr>
    </w:p>
    <w:p w:rsidR="00076593" w:rsidRPr="006B0263" w:rsidRDefault="00DA27F5" w:rsidP="00FC55CF">
      <w:pPr>
        <w:spacing w:after="0" w:line="240" w:lineRule="auto"/>
        <w:contextualSpacing/>
        <w:rPr>
          <w:rFonts w:ascii="Arial" w:hAnsi="Arial" w:cs="Arial"/>
          <w:sz w:val="20"/>
          <w:szCs w:val="20"/>
        </w:rPr>
      </w:pPr>
      <w:r w:rsidRPr="006B0263">
        <w:rPr>
          <w:rFonts w:ascii="Arial" w:hAnsi="Arial" w:cs="Arial"/>
          <w:sz w:val="20"/>
          <w:szCs w:val="20"/>
        </w:rPr>
        <w:t>In 2003</w:t>
      </w:r>
      <w:r w:rsidR="00CA07E9">
        <w:rPr>
          <w:rFonts w:ascii="Arial" w:hAnsi="Arial" w:cs="Arial"/>
          <w:sz w:val="20"/>
          <w:szCs w:val="20"/>
        </w:rPr>
        <w:t>,</w:t>
      </w:r>
      <w:r w:rsidR="00B7359E" w:rsidRPr="006B0263">
        <w:rPr>
          <w:rFonts w:ascii="Arial" w:hAnsi="Arial" w:cs="Arial"/>
          <w:sz w:val="20"/>
          <w:szCs w:val="20"/>
        </w:rPr>
        <w:t xml:space="preserve"> the</w:t>
      </w:r>
      <w:r w:rsidRPr="006B0263">
        <w:rPr>
          <w:rFonts w:ascii="Arial" w:hAnsi="Arial" w:cs="Arial"/>
          <w:sz w:val="20"/>
          <w:szCs w:val="20"/>
        </w:rPr>
        <w:t xml:space="preserve"> </w:t>
      </w:r>
      <w:r w:rsidR="002B0732" w:rsidRPr="006B0263">
        <w:rPr>
          <w:rFonts w:ascii="Arial" w:hAnsi="Arial" w:cs="Arial"/>
          <w:sz w:val="20"/>
          <w:szCs w:val="20"/>
        </w:rPr>
        <w:t>feasibility project report</w:t>
      </w:r>
      <w:r w:rsidRPr="006B0263">
        <w:rPr>
          <w:rFonts w:ascii="Arial" w:hAnsi="Arial" w:cs="Arial"/>
          <w:sz w:val="20"/>
          <w:szCs w:val="20"/>
        </w:rPr>
        <w:t xml:space="preserve"> </w:t>
      </w:r>
      <w:r w:rsidR="00832EB3" w:rsidRPr="006B0263">
        <w:rPr>
          <w:rFonts w:ascii="Arial" w:hAnsi="Arial" w:cs="Arial"/>
          <w:sz w:val="20"/>
          <w:szCs w:val="20"/>
        </w:rPr>
        <w:t>claimed</w:t>
      </w:r>
      <w:r w:rsidR="00076593" w:rsidRPr="006B0263">
        <w:rPr>
          <w:rFonts w:ascii="Arial" w:hAnsi="Arial" w:cs="Arial"/>
          <w:sz w:val="20"/>
          <w:szCs w:val="20"/>
        </w:rPr>
        <w:t>:</w:t>
      </w:r>
      <w:r w:rsidRPr="006B0263">
        <w:rPr>
          <w:rFonts w:ascii="Arial" w:hAnsi="Arial" w:cs="Arial"/>
          <w:sz w:val="20"/>
          <w:szCs w:val="20"/>
        </w:rPr>
        <w:t xml:space="preserve"> </w:t>
      </w:r>
    </w:p>
    <w:p w:rsidR="005E4368" w:rsidRPr="006B0263" w:rsidRDefault="00487AA5" w:rsidP="00FC55CF">
      <w:pPr>
        <w:spacing w:after="0" w:line="240" w:lineRule="auto"/>
        <w:contextualSpacing/>
        <w:rPr>
          <w:rFonts w:cs="Arial"/>
          <w:sz w:val="20"/>
          <w:szCs w:val="20"/>
        </w:rPr>
      </w:pPr>
      <w:r w:rsidRPr="006B0263">
        <w:rPr>
          <w:rFonts w:cs="Arial"/>
          <w:sz w:val="20"/>
          <w:szCs w:val="20"/>
        </w:rPr>
        <w:t>“</w:t>
      </w:r>
      <w:r w:rsidRPr="006B0263">
        <w:rPr>
          <w:rFonts w:cs="Arial"/>
          <w:i/>
          <w:sz w:val="20"/>
          <w:szCs w:val="20"/>
        </w:rPr>
        <w:t>To say that the use of vehicle telematics for determining heavy vehicle compliance performance (the IAP) at an evidentiary level represents a paradigm shift would be an understatement.”</w:t>
      </w:r>
      <w:r w:rsidRPr="006B0263">
        <w:rPr>
          <w:rFonts w:cs="Arial"/>
          <w:sz w:val="20"/>
          <w:szCs w:val="20"/>
        </w:rPr>
        <w:t xml:space="preserve"> </w:t>
      </w:r>
    </w:p>
    <w:p w:rsidR="00273D6F" w:rsidRPr="006B0263" w:rsidRDefault="00273D6F" w:rsidP="00FC55CF">
      <w:pPr>
        <w:spacing w:after="0" w:line="240" w:lineRule="auto"/>
        <w:contextualSpacing/>
        <w:jc w:val="both"/>
        <w:rPr>
          <w:rFonts w:ascii="Arial" w:hAnsi="Arial" w:cs="Arial"/>
          <w:sz w:val="20"/>
          <w:szCs w:val="20"/>
        </w:rPr>
      </w:pPr>
    </w:p>
    <w:p w:rsidR="00130179" w:rsidRDefault="00487AA5" w:rsidP="00FC55CF">
      <w:pPr>
        <w:pStyle w:val="Normal-paras"/>
        <w:spacing w:after="0"/>
        <w:contextualSpacing/>
        <w:rPr>
          <w:rFonts w:ascii="Arial" w:hAnsi="Arial" w:cs="Arial"/>
          <w:sz w:val="20"/>
        </w:rPr>
      </w:pPr>
      <w:r w:rsidRPr="006B0263">
        <w:rPr>
          <w:rFonts w:ascii="Arial" w:eastAsiaTheme="minorHAnsi" w:hAnsi="Arial" w:cs="Arial"/>
          <w:sz w:val="20"/>
          <w:lang w:val="en-AU"/>
        </w:rPr>
        <w:t xml:space="preserve">Evidence is </w:t>
      </w:r>
      <w:r w:rsidR="00832EB3" w:rsidRPr="006B0263">
        <w:rPr>
          <w:rFonts w:ascii="Arial" w:eastAsiaTheme="minorHAnsi" w:hAnsi="Arial" w:cs="Arial"/>
          <w:sz w:val="20"/>
          <w:lang w:val="en-AU"/>
        </w:rPr>
        <w:t>dealt with</w:t>
      </w:r>
      <w:r w:rsidRPr="006B0263">
        <w:rPr>
          <w:rFonts w:ascii="Arial" w:eastAsiaTheme="minorHAnsi" w:hAnsi="Arial" w:cs="Arial"/>
          <w:sz w:val="20"/>
          <w:lang w:val="en-AU"/>
        </w:rPr>
        <w:t xml:space="preserve"> by </w:t>
      </w:r>
      <w:r w:rsidR="00832EB3" w:rsidRPr="006B0263">
        <w:rPr>
          <w:rFonts w:ascii="Arial" w:eastAsiaTheme="minorHAnsi" w:hAnsi="Arial" w:cs="Arial"/>
          <w:sz w:val="20"/>
          <w:lang w:val="en-AU"/>
        </w:rPr>
        <w:t>a</w:t>
      </w:r>
      <w:r w:rsidRPr="006B0263">
        <w:rPr>
          <w:rFonts w:ascii="Arial" w:eastAsiaTheme="minorHAnsi" w:hAnsi="Arial" w:cs="Arial"/>
          <w:sz w:val="20"/>
          <w:lang w:val="en-AU"/>
        </w:rPr>
        <w:t xml:space="preserve"> court</w:t>
      </w:r>
      <w:r w:rsidR="002C62C9" w:rsidRPr="006B0263">
        <w:rPr>
          <w:rFonts w:ascii="Arial" w:eastAsiaTheme="minorHAnsi" w:hAnsi="Arial" w:cs="Arial"/>
          <w:sz w:val="20"/>
          <w:lang w:val="en-AU"/>
        </w:rPr>
        <w:t xml:space="preserve"> under law</w:t>
      </w:r>
      <w:r w:rsidRPr="006B0263">
        <w:rPr>
          <w:rFonts w:ascii="Arial" w:eastAsiaTheme="minorHAnsi" w:hAnsi="Arial" w:cs="Arial"/>
          <w:sz w:val="20"/>
          <w:lang w:val="en-AU"/>
        </w:rPr>
        <w:t xml:space="preserve"> and all telematics </w:t>
      </w:r>
      <w:r w:rsidR="00905E6E" w:rsidRPr="006B0263">
        <w:rPr>
          <w:rFonts w:ascii="Arial" w:eastAsiaTheme="minorHAnsi" w:hAnsi="Arial" w:cs="Arial"/>
          <w:sz w:val="20"/>
          <w:lang w:val="en-AU"/>
        </w:rPr>
        <w:t>data</w:t>
      </w:r>
      <w:r w:rsidR="00005CBB" w:rsidRPr="006B0263">
        <w:rPr>
          <w:rFonts w:ascii="Arial" w:eastAsiaTheme="minorHAnsi" w:hAnsi="Arial" w:cs="Arial"/>
          <w:sz w:val="20"/>
          <w:lang w:val="en-AU"/>
        </w:rPr>
        <w:t>,</w:t>
      </w:r>
      <w:r w:rsidR="00905E6E" w:rsidRPr="006B0263">
        <w:rPr>
          <w:rFonts w:ascii="Arial" w:eastAsiaTheme="minorHAnsi" w:hAnsi="Arial" w:cs="Arial"/>
          <w:sz w:val="20"/>
          <w:lang w:val="en-AU"/>
        </w:rPr>
        <w:t xml:space="preserve"> </w:t>
      </w:r>
      <w:r w:rsidR="00005CBB" w:rsidRPr="006B0263">
        <w:rPr>
          <w:rFonts w:ascii="Arial" w:eastAsiaTheme="minorHAnsi" w:hAnsi="Arial" w:cs="Arial"/>
          <w:sz w:val="20"/>
          <w:lang w:val="en-AU"/>
        </w:rPr>
        <w:t xml:space="preserve">not merely that issued by IAP-approved devices, </w:t>
      </w:r>
      <w:r w:rsidR="00905E6E" w:rsidRPr="006B0263">
        <w:rPr>
          <w:rFonts w:ascii="Arial" w:eastAsiaTheme="minorHAnsi" w:hAnsi="Arial" w:cs="Arial"/>
          <w:sz w:val="20"/>
          <w:lang w:val="en-AU"/>
        </w:rPr>
        <w:t>is</w:t>
      </w:r>
      <w:r w:rsidRPr="006B0263">
        <w:rPr>
          <w:rFonts w:ascii="Arial" w:eastAsiaTheme="minorHAnsi" w:hAnsi="Arial" w:cs="Arial"/>
          <w:sz w:val="20"/>
          <w:lang w:val="en-AU"/>
        </w:rPr>
        <w:t xml:space="preserve"> subject to </w:t>
      </w:r>
      <w:r w:rsidR="00005CBB" w:rsidRPr="006B0263">
        <w:rPr>
          <w:rFonts w:ascii="Arial" w:eastAsiaTheme="minorHAnsi" w:hAnsi="Arial" w:cs="Arial"/>
          <w:sz w:val="20"/>
          <w:lang w:val="en-AU"/>
        </w:rPr>
        <w:t>a presumption of accuracy and entitlement to discovery</w:t>
      </w:r>
      <w:r w:rsidRPr="006B0263">
        <w:rPr>
          <w:rFonts w:ascii="Arial" w:eastAsiaTheme="minorHAnsi" w:hAnsi="Arial" w:cs="Arial"/>
          <w:sz w:val="20"/>
          <w:lang w:val="en-AU"/>
        </w:rPr>
        <w:t>.</w:t>
      </w:r>
      <w:r w:rsidR="002C62C9" w:rsidRPr="006B0263">
        <w:rPr>
          <w:rFonts w:ascii="Arial" w:eastAsiaTheme="minorHAnsi" w:hAnsi="Arial" w:cs="Arial"/>
          <w:sz w:val="20"/>
          <w:lang w:val="en-AU"/>
        </w:rPr>
        <w:t xml:space="preserve"> </w:t>
      </w:r>
      <w:r w:rsidR="002C20D8" w:rsidRPr="006B0263">
        <w:rPr>
          <w:rFonts w:ascii="Arial" w:eastAsiaTheme="minorHAnsi" w:hAnsi="Arial" w:cs="Arial"/>
          <w:sz w:val="20"/>
          <w:lang w:val="en-AU"/>
        </w:rPr>
        <w:t>N</w:t>
      </w:r>
      <w:r w:rsidR="00005CBB" w:rsidRPr="006B0263">
        <w:rPr>
          <w:rFonts w:ascii="Arial" w:eastAsiaTheme="minorHAnsi" w:hAnsi="Arial" w:cs="Arial"/>
          <w:sz w:val="20"/>
          <w:lang w:val="en-AU"/>
        </w:rPr>
        <w:t>one</w:t>
      </w:r>
      <w:r w:rsidR="002C20D8" w:rsidRPr="006B0263">
        <w:rPr>
          <w:rFonts w:ascii="Arial" w:eastAsiaTheme="minorHAnsi" w:hAnsi="Arial" w:cs="Arial"/>
          <w:sz w:val="20"/>
          <w:lang w:val="en-AU"/>
        </w:rPr>
        <w:t>theless</w:t>
      </w:r>
      <w:r w:rsidR="002C62C9" w:rsidRPr="006B0263">
        <w:rPr>
          <w:rFonts w:ascii="Arial" w:eastAsiaTheme="minorHAnsi" w:hAnsi="Arial" w:cs="Arial"/>
          <w:sz w:val="20"/>
          <w:lang w:val="en-AU"/>
        </w:rPr>
        <w:t xml:space="preserve">, legal advice </w:t>
      </w:r>
      <w:r w:rsidR="00F107AD">
        <w:rPr>
          <w:rFonts w:ascii="Arial" w:eastAsiaTheme="minorHAnsi" w:hAnsi="Arial" w:cs="Arial"/>
          <w:sz w:val="20"/>
          <w:lang w:val="en-AU"/>
        </w:rPr>
        <w:t xml:space="preserve">provided to the ATA </w:t>
      </w:r>
      <w:r w:rsidR="00130179">
        <w:rPr>
          <w:rFonts w:ascii="Arial" w:hAnsi="Arial" w:cs="Arial"/>
          <w:sz w:val="20"/>
        </w:rPr>
        <w:t>i</w:t>
      </w:r>
      <w:r w:rsidR="00130179" w:rsidRPr="006B0263">
        <w:rPr>
          <w:rFonts w:ascii="Arial" w:hAnsi="Arial" w:cs="Arial"/>
          <w:sz w:val="20"/>
        </w:rPr>
        <w:t>n 2009</w:t>
      </w:r>
      <w:r w:rsidR="00130179">
        <w:rPr>
          <w:rFonts w:ascii="Arial" w:hAnsi="Arial" w:cs="Arial"/>
          <w:sz w:val="20"/>
        </w:rPr>
        <w:t xml:space="preserve"> </w:t>
      </w:r>
      <w:r w:rsidR="00005CBB" w:rsidRPr="006B0263">
        <w:rPr>
          <w:rFonts w:ascii="Arial" w:eastAsiaTheme="minorHAnsi" w:hAnsi="Arial" w:cs="Arial"/>
          <w:sz w:val="20"/>
          <w:lang w:val="en-AU"/>
        </w:rPr>
        <w:t>advise</w:t>
      </w:r>
      <w:r w:rsidR="00995DCA">
        <w:rPr>
          <w:rFonts w:ascii="Arial" w:eastAsiaTheme="minorHAnsi" w:hAnsi="Arial" w:cs="Arial"/>
          <w:sz w:val="20"/>
          <w:lang w:val="en-AU"/>
        </w:rPr>
        <w:t xml:space="preserve">d this </w:t>
      </w:r>
      <w:r w:rsidR="002C62C9" w:rsidRPr="006B0263">
        <w:rPr>
          <w:rFonts w:ascii="Arial" w:eastAsiaTheme="minorHAnsi" w:hAnsi="Arial" w:cs="Arial"/>
          <w:sz w:val="20"/>
          <w:lang w:val="en-AU"/>
        </w:rPr>
        <w:t>external m</w:t>
      </w:r>
      <w:r w:rsidR="001E104C" w:rsidRPr="006B0263">
        <w:rPr>
          <w:rFonts w:ascii="Arial" w:eastAsiaTheme="minorHAnsi" w:hAnsi="Arial" w:cs="Arial"/>
          <w:sz w:val="20"/>
          <w:lang w:val="en-AU"/>
        </w:rPr>
        <w:t>onitoring represent</w:t>
      </w:r>
      <w:r w:rsidR="00995DCA">
        <w:rPr>
          <w:rFonts w:ascii="Arial" w:eastAsiaTheme="minorHAnsi" w:hAnsi="Arial" w:cs="Arial"/>
          <w:sz w:val="20"/>
          <w:lang w:val="en-AU"/>
        </w:rPr>
        <w:t>s</w:t>
      </w:r>
      <w:r w:rsidR="001E104C" w:rsidRPr="006B0263">
        <w:rPr>
          <w:rFonts w:ascii="Arial" w:eastAsiaTheme="minorHAnsi" w:hAnsi="Arial" w:cs="Arial"/>
          <w:sz w:val="20"/>
          <w:lang w:val="en-AU"/>
        </w:rPr>
        <w:t xml:space="preserve"> unprecedented</w:t>
      </w:r>
      <w:r w:rsidR="0072245A">
        <w:rPr>
          <w:rFonts w:ascii="Arial" w:eastAsiaTheme="minorHAnsi" w:hAnsi="Arial" w:cs="Arial"/>
          <w:sz w:val="20"/>
          <w:lang w:val="en-AU"/>
        </w:rPr>
        <w:t xml:space="preserve"> </w:t>
      </w:r>
      <w:r w:rsidR="001E104C" w:rsidRPr="006B0263">
        <w:rPr>
          <w:rFonts w:ascii="Arial" w:eastAsiaTheme="minorHAnsi" w:hAnsi="Arial" w:cs="Arial"/>
          <w:sz w:val="20"/>
          <w:lang w:val="en-AU"/>
        </w:rPr>
        <w:t>surveillance</w:t>
      </w:r>
      <w:r w:rsidR="00820A91">
        <w:rPr>
          <w:rFonts w:ascii="Arial" w:eastAsiaTheme="minorHAnsi" w:hAnsi="Arial" w:cs="Arial"/>
          <w:sz w:val="20"/>
          <w:lang w:val="en-AU"/>
        </w:rPr>
        <w:t>,</w:t>
      </w:r>
      <w:r w:rsidR="001E104C" w:rsidRPr="006B0263">
        <w:rPr>
          <w:rFonts w:ascii="Arial" w:eastAsiaTheme="minorHAnsi" w:hAnsi="Arial" w:cs="Arial"/>
          <w:sz w:val="20"/>
          <w:lang w:val="en-AU"/>
        </w:rPr>
        <w:t xml:space="preserve"> and </w:t>
      </w:r>
      <w:r w:rsidR="005D7FB0">
        <w:rPr>
          <w:rFonts w:ascii="Arial" w:eastAsiaTheme="minorHAnsi" w:hAnsi="Arial" w:cs="Arial"/>
          <w:sz w:val="20"/>
          <w:lang w:val="en-AU"/>
        </w:rPr>
        <w:t xml:space="preserve">it </w:t>
      </w:r>
      <w:r w:rsidR="001E104C" w:rsidRPr="006B0263">
        <w:rPr>
          <w:rFonts w:ascii="Arial" w:eastAsiaTheme="minorHAnsi" w:hAnsi="Arial" w:cs="Arial"/>
          <w:sz w:val="20"/>
          <w:lang w:val="en-AU"/>
        </w:rPr>
        <w:t>place</w:t>
      </w:r>
      <w:r w:rsidR="005D7FB0">
        <w:rPr>
          <w:rFonts w:ascii="Arial" w:eastAsiaTheme="minorHAnsi" w:hAnsi="Arial" w:cs="Arial"/>
          <w:sz w:val="20"/>
          <w:lang w:val="en-AU"/>
        </w:rPr>
        <w:t>s</w:t>
      </w:r>
      <w:r w:rsidR="001E104C" w:rsidRPr="006B0263">
        <w:rPr>
          <w:rFonts w:ascii="Arial" w:eastAsiaTheme="minorHAnsi" w:hAnsi="Arial" w:cs="Arial"/>
          <w:sz w:val="20"/>
          <w:lang w:val="en-AU"/>
        </w:rPr>
        <w:t xml:space="preserve"> high additional costs on</w:t>
      </w:r>
      <w:r w:rsidR="00995DCA">
        <w:rPr>
          <w:rFonts w:ascii="Arial" w:eastAsiaTheme="minorHAnsi" w:hAnsi="Arial" w:cs="Arial"/>
          <w:sz w:val="20"/>
          <w:lang w:val="en-AU"/>
        </w:rPr>
        <w:t xml:space="preserve"> the</w:t>
      </w:r>
      <w:r w:rsidR="001E104C" w:rsidRPr="006B0263">
        <w:rPr>
          <w:rFonts w:ascii="Arial" w:eastAsiaTheme="minorHAnsi" w:hAnsi="Arial" w:cs="Arial"/>
          <w:sz w:val="20"/>
          <w:lang w:val="en-AU"/>
        </w:rPr>
        <w:t xml:space="preserve"> industry. </w:t>
      </w:r>
      <w:r w:rsidR="0072245A">
        <w:rPr>
          <w:rFonts w:ascii="Arial" w:eastAsiaTheme="minorHAnsi" w:hAnsi="Arial" w:cs="Arial"/>
          <w:sz w:val="20"/>
          <w:lang w:val="en-AU"/>
        </w:rPr>
        <w:t xml:space="preserve">In short, the </w:t>
      </w:r>
      <w:r w:rsidRPr="006B0263">
        <w:rPr>
          <w:rFonts w:ascii="Arial" w:hAnsi="Arial" w:cs="Arial"/>
          <w:sz w:val="20"/>
        </w:rPr>
        <w:t>IAP is no</w:t>
      </w:r>
      <w:r w:rsidR="002C20D8" w:rsidRPr="006B0263">
        <w:rPr>
          <w:rFonts w:ascii="Arial" w:hAnsi="Arial" w:cs="Arial"/>
          <w:sz w:val="20"/>
        </w:rPr>
        <w:t>t a</w:t>
      </w:r>
      <w:r w:rsidRPr="006B0263">
        <w:rPr>
          <w:rFonts w:ascii="Arial" w:hAnsi="Arial" w:cs="Arial"/>
          <w:sz w:val="20"/>
        </w:rPr>
        <w:t xml:space="preserve"> paradigm </w:t>
      </w:r>
      <w:r w:rsidR="00B521A3" w:rsidRPr="006B0263">
        <w:rPr>
          <w:rFonts w:ascii="Arial" w:hAnsi="Arial" w:cs="Arial"/>
          <w:sz w:val="20"/>
        </w:rPr>
        <w:t>breaker</w:t>
      </w:r>
      <w:r w:rsidRPr="006B0263">
        <w:rPr>
          <w:rFonts w:ascii="Arial" w:hAnsi="Arial" w:cs="Arial"/>
          <w:sz w:val="20"/>
        </w:rPr>
        <w:t xml:space="preserve"> in terms of technology, it is </w:t>
      </w:r>
      <w:r w:rsidR="00B521A3" w:rsidRPr="006B0263">
        <w:rPr>
          <w:rFonts w:ascii="Arial" w:hAnsi="Arial" w:cs="Arial"/>
          <w:sz w:val="20"/>
        </w:rPr>
        <w:t>a</w:t>
      </w:r>
      <w:r w:rsidRPr="006B0263">
        <w:rPr>
          <w:rFonts w:ascii="Arial" w:hAnsi="Arial" w:cs="Arial"/>
          <w:sz w:val="20"/>
        </w:rPr>
        <w:t xml:space="preserve"> deal-breaker in term</w:t>
      </w:r>
      <w:r w:rsidR="00B753BE" w:rsidRPr="006B0263">
        <w:rPr>
          <w:rFonts w:ascii="Arial" w:hAnsi="Arial" w:cs="Arial"/>
          <w:sz w:val="20"/>
        </w:rPr>
        <w:t>s</w:t>
      </w:r>
      <w:r w:rsidRPr="006B0263">
        <w:rPr>
          <w:rFonts w:ascii="Arial" w:hAnsi="Arial" w:cs="Arial"/>
          <w:sz w:val="20"/>
        </w:rPr>
        <w:t xml:space="preserve"> of government intrusiveness and unwarranted intervention</w:t>
      </w:r>
      <w:r w:rsidR="00222194" w:rsidRPr="006B0263">
        <w:rPr>
          <w:rFonts w:ascii="Arial" w:hAnsi="Arial" w:cs="Arial"/>
          <w:sz w:val="20"/>
        </w:rPr>
        <w:t xml:space="preserve"> </w:t>
      </w:r>
      <w:r w:rsidR="007D1F23">
        <w:rPr>
          <w:rFonts w:ascii="Arial" w:hAnsi="Arial" w:cs="Arial"/>
          <w:sz w:val="20"/>
        </w:rPr>
        <w:t>through</w:t>
      </w:r>
      <w:r w:rsidR="00222194" w:rsidRPr="006B0263">
        <w:rPr>
          <w:rFonts w:ascii="Arial" w:hAnsi="Arial" w:cs="Arial"/>
          <w:sz w:val="20"/>
        </w:rPr>
        <w:t xml:space="preserve"> data capture</w:t>
      </w:r>
      <w:r w:rsidRPr="006B0263">
        <w:rPr>
          <w:rFonts w:ascii="Arial" w:hAnsi="Arial" w:cs="Arial"/>
          <w:sz w:val="20"/>
        </w:rPr>
        <w:t xml:space="preserve"> </w:t>
      </w:r>
      <w:r w:rsidR="00594F22">
        <w:rPr>
          <w:rFonts w:ascii="Arial" w:hAnsi="Arial" w:cs="Arial"/>
          <w:sz w:val="20"/>
        </w:rPr>
        <w:t>in</w:t>
      </w:r>
      <w:r w:rsidRPr="006B0263">
        <w:rPr>
          <w:rFonts w:ascii="Arial" w:hAnsi="Arial" w:cs="Arial"/>
          <w:sz w:val="20"/>
        </w:rPr>
        <w:t xml:space="preserve"> legitimate commercial activit</w:t>
      </w:r>
      <w:r w:rsidR="00F873C3" w:rsidRPr="006B0263">
        <w:rPr>
          <w:rFonts w:ascii="Arial" w:hAnsi="Arial" w:cs="Arial"/>
          <w:sz w:val="20"/>
        </w:rPr>
        <w:t>y</w:t>
      </w:r>
      <w:r w:rsidRPr="006B0263">
        <w:rPr>
          <w:rFonts w:ascii="Arial" w:hAnsi="Arial" w:cs="Arial"/>
          <w:sz w:val="20"/>
        </w:rPr>
        <w:t>.</w:t>
      </w:r>
      <w:r w:rsidR="001E104C" w:rsidRPr="006B0263">
        <w:rPr>
          <w:rFonts w:ascii="Arial" w:hAnsi="Arial" w:cs="Arial"/>
          <w:sz w:val="20"/>
        </w:rPr>
        <w:t xml:space="preserve"> </w:t>
      </w:r>
    </w:p>
    <w:p w:rsidR="00130179" w:rsidRDefault="00130179" w:rsidP="00FC55CF">
      <w:pPr>
        <w:pStyle w:val="Normal-paras"/>
        <w:spacing w:after="0"/>
        <w:contextualSpacing/>
        <w:rPr>
          <w:rFonts w:ascii="Arial" w:hAnsi="Arial" w:cs="Arial"/>
          <w:sz w:val="20"/>
        </w:rPr>
      </w:pPr>
    </w:p>
    <w:p w:rsidR="00CB3CBD" w:rsidRPr="006B0263" w:rsidRDefault="00AB5A56" w:rsidP="00FC55CF">
      <w:pPr>
        <w:pStyle w:val="Normal-paras"/>
        <w:spacing w:after="0"/>
        <w:contextualSpacing/>
        <w:rPr>
          <w:rFonts w:ascii="Arial" w:hAnsi="Arial" w:cs="Arial"/>
          <w:sz w:val="20"/>
        </w:rPr>
      </w:pPr>
      <w:r>
        <w:rPr>
          <w:rFonts w:ascii="Arial" w:hAnsi="Arial" w:cs="Arial"/>
          <w:sz w:val="20"/>
        </w:rPr>
        <w:t>L</w:t>
      </w:r>
      <w:r w:rsidR="00CB3CBD" w:rsidRPr="006B0263">
        <w:rPr>
          <w:rFonts w:ascii="Arial" w:hAnsi="Arial" w:cs="Arial"/>
          <w:sz w:val="20"/>
        </w:rPr>
        <w:t>egal advice</w:t>
      </w:r>
      <w:r w:rsidR="00130179">
        <w:rPr>
          <w:rFonts w:ascii="Arial" w:hAnsi="Arial" w:cs="Arial"/>
          <w:sz w:val="20"/>
        </w:rPr>
        <w:t xml:space="preserve"> </w:t>
      </w:r>
      <w:r>
        <w:rPr>
          <w:rFonts w:ascii="Arial" w:hAnsi="Arial" w:cs="Arial"/>
          <w:sz w:val="20"/>
        </w:rPr>
        <w:t xml:space="preserve">received by the ATA in 2009 </w:t>
      </w:r>
      <w:r w:rsidR="00507890">
        <w:rPr>
          <w:rFonts w:ascii="Arial" w:hAnsi="Arial" w:cs="Arial"/>
          <w:sz w:val="20"/>
        </w:rPr>
        <w:t>also</w:t>
      </w:r>
      <w:r w:rsidR="00594F22">
        <w:rPr>
          <w:rFonts w:ascii="Arial" w:hAnsi="Arial" w:cs="Arial"/>
          <w:sz w:val="20"/>
        </w:rPr>
        <w:t xml:space="preserve"> </w:t>
      </w:r>
      <w:r w:rsidR="00CB3CBD" w:rsidRPr="006B0263">
        <w:rPr>
          <w:rFonts w:ascii="Arial" w:hAnsi="Arial" w:cs="Arial"/>
          <w:sz w:val="20"/>
        </w:rPr>
        <w:t>stated:</w:t>
      </w:r>
    </w:p>
    <w:p w:rsidR="00CB3CBD" w:rsidRPr="006B0263" w:rsidRDefault="00CB3CBD" w:rsidP="00FC55CF">
      <w:pPr>
        <w:pStyle w:val="Normal-paras"/>
        <w:spacing w:after="0"/>
        <w:contextualSpacing/>
        <w:jc w:val="left"/>
        <w:rPr>
          <w:rFonts w:ascii="Arial" w:hAnsi="Arial" w:cs="Arial"/>
          <w:sz w:val="20"/>
        </w:rPr>
      </w:pPr>
    </w:p>
    <w:p w:rsidR="00CB3CBD" w:rsidRPr="006B0263" w:rsidRDefault="00CB3CBD" w:rsidP="00FC55CF">
      <w:pPr>
        <w:pStyle w:val="Normal-paras"/>
        <w:spacing w:after="0"/>
        <w:contextualSpacing/>
        <w:jc w:val="left"/>
        <w:rPr>
          <w:rFonts w:asciiTheme="minorHAnsi" w:hAnsiTheme="minorHAnsi" w:cs="Arial"/>
          <w:sz w:val="20"/>
        </w:rPr>
      </w:pPr>
      <w:r w:rsidRPr="006B0263">
        <w:rPr>
          <w:rFonts w:asciiTheme="minorHAnsi" w:hAnsiTheme="minorHAnsi" w:cs="Arial"/>
          <w:i/>
          <w:sz w:val="20"/>
        </w:rPr>
        <w:t>“No other area of commerce in any Australian jurisdiction is subject to such surveillance. The proposal is based upon a presumption that some industry participants cannot be trusted to comply with the law. This, itself, is a unique regulatory view..Given its costs and intrusiveness, we can see its use justified in high risk situations and as a court-ordered sanction for persistent offenders. We do not see its use justified as a fundamental, across the board surveillance too as a matter of general regulatory principle.”</w:t>
      </w:r>
      <w:r w:rsidRPr="006B0263">
        <w:rPr>
          <w:rStyle w:val="FootnoteReference"/>
          <w:rFonts w:asciiTheme="minorHAnsi" w:hAnsiTheme="minorHAnsi" w:cs="Arial"/>
          <w:i/>
          <w:sz w:val="20"/>
        </w:rPr>
        <w:footnoteReference w:id="4"/>
      </w:r>
    </w:p>
    <w:p w:rsidR="009A3B86" w:rsidRPr="006B0263" w:rsidRDefault="009A3B86" w:rsidP="00FC55CF">
      <w:pPr>
        <w:pStyle w:val="Normal-paras"/>
        <w:spacing w:after="0"/>
        <w:contextualSpacing/>
        <w:jc w:val="left"/>
        <w:rPr>
          <w:rFonts w:ascii="Arial" w:hAnsi="Arial" w:cs="Arial"/>
          <w:sz w:val="20"/>
        </w:rPr>
      </w:pPr>
    </w:p>
    <w:p w:rsidR="003756EB" w:rsidRPr="006B0263" w:rsidRDefault="00182A70" w:rsidP="00FC55CF">
      <w:pPr>
        <w:spacing w:after="0" w:line="240" w:lineRule="auto"/>
        <w:contextualSpacing/>
        <w:jc w:val="both"/>
        <w:rPr>
          <w:rFonts w:ascii="Arial" w:hAnsi="Arial" w:cs="Arial"/>
          <w:sz w:val="20"/>
          <w:szCs w:val="20"/>
        </w:rPr>
      </w:pPr>
      <w:r w:rsidRPr="006B0263">
        <w:rPr>
          <w:rFonts w:ascii="Arial" w:hAnsi="Arial" w:cs="Arial"/>
          <w:sz w:val="20"/>
          <w:szCs w:val="20"/>
        </w:rPr>
        <w:t xml:space="preserve">Of course, in-vehicle telematics devices are more common </w:t>
      </w:r>
      <w:r w:rsidR="00013A53" w:rsidRPr="006B0263">
        <w:rPr>
          <w:rFonts w:ascii="Arial" w:hAnsi="Arial" w:cs="Arial"/>
          <w:sz w:val="20"/>
          <w:szCs w:val="20"/>
        </w:rPr>
        <w:t xml:space="preserve">in transport operations </w:t>
      </w:r>
      <w:r w:rsidR="00C64C09">
        <w:rPr>
          <w:rFonts w:ascii="Arial" w:hAnsi="Arial" w:cs="Arial"/>
          <w:sz w:val="20"/>
          <w:szCs w:val="20"/>
        </w:rPr>
        <w:t xml:space="preserve">today </w:t>
      </w:r>
      <w:r w:rsidRPr="006B0263">
        <w:rPr>
          <w:rFonts w:ascii="Arial" w:hAnsi="Arial" w:cs="Arial"/>
          <w:sz w:val="20"/>
          <w:szCs w:val="20"/>
        </w:rPr>
        <w:t xml:space="preserve">than when IAP was first </w:t>
      </w:r>
      <w:r w:rsidR="00CE653C">
        <w:rPr>
          <w:rFonts w:ascii="Arial" w:hAnsi="Arial" w:cs="Arial"/>
          <w:sz w:val="20"/>
          <w:szCs w:val="20"/>
        </w:rPr>
        <w:t>introduced</w:t>
      </w:r>
      <w:r w:rsidRPr="006B0263">
        <w:rPr>
          <w:rFonts w:ascii="Arial" w:hAnsi="Arial" w:cs="Arial"/>
          <w:sz w:val="20"/>
          <w:szCs w:val="20"/>
        </w:rPr>
        <w:t xml:space="preserve"> and </w:t>
      </w:r>
      <w:r w:rsidR="009B720B" w:rsidRPr="006B0263">
        <w:rPr>
          <w:rFonts w:ascii="Arial" w:hAnsi="Arial" w:cs="Arial"/>
          <w:sz w:val="20"/>
          <w:szCs w:val="20"/>
        </w:rPr>
        <w:t xml:space="preserve">modern </w:t>
      </w:r>
      <w:r w:rsidR="00CE653C">
        <w:rPr>
          <w:rFonts w:ascii="Arial" w:hAnsi="Arial" w:cs="Arial"/>
          <w:sz w:val="20"/>
          <w:szCs w:val="20"/>
        </w:rPr>
        <w:t xml:space="preserve">systems </w:t>
      </w:r>
      <w:r w:rsidRPr="006B0263">
        <w:rPr>
          <w:rFonts w:ascii="Arial" w:hAnsi="Arial" w:cs="Arial"/>
          <w:sz w:val="20"/>
          <w:szCs w:val="20"/>
        </w:rPr>
        <w:t xml:space="preserve">can be interrogated for </w:t>
      </w:r>
      <w:r w:rsidR="00013A53" w:rsidRPr="006B0263">
        <w:rPr>
          <w:rFonts w:ascii="Arial" w:hAnsi="Arial" w:cs="Arial"/>
          <w:sz w:val="20"/>
          <w:szCs w:val="20"/>
        </w:rPr>
        <w:t>a vast array of</w:t>
      </w:r>
      <w:r w:rsidRPr="006B0263">
        <w:rPr>
          <w:rFonts w:ascii="Arial" w:hAnsi="Arial" w:cs="Arial"/>
          <w:sz w:val="20"/>
          <w:szCs w:val="20"/>
        </w:rPr>
        <w:t xml:space="preserve"> </w:t>
      </w:r>
      <w:r w:rsidR="00013A53" w:rsidRPr="006B0263">
        <w:rPr>
          <w:rFonts w:ascii="Arial" w:hAnsi="Arial" w:cs="Arial"/>
          <w:sz w:val="20"/>
          <w:szCs w:val="20"/>
        </w:rPr>
        <w:t xml:space="preserve">commercial </w:t>
      </w:r>
      <w:r w:rsidRPr="006B0263">
        <w:rPr>
          <w:rFonts w:ascii="Arial" w:hAnsi="Arial" w:cs="Arial"/>
          <w:sz w:val="20"/>
          <w:szCs w:val="20"/>
        </w:rPr>
        <w:t>data.</w:t>
      </w:r>
      <w:r w:rsidR="003756EB" w:rsidRPr="006B0263">
        <w:rPr>
          <w:rFonts w:ascii="Arial" w:hAnsi="Arial" w:cs="Arial"/>
          <w:sz w:val="20"/>
          <w:szCs w:val="20"/>
        </w:rPr>
        <w:t xml:space="preserve"> </w:t>
      </w:r>
      <w:r w:rsidR="004A13BD">
        <w:rPr>
          <w:rFonts w:ascii="Arial" w:hAnsi="Arial" w:cs="Arial"/>
          <w:sz w:val="20"/>
          <w:szCs w:val="20"/>
        </w:rPr>
        <w:t>For example, some</w:t>
      </w:r>
      <w:r w:rsidR="003756EB" w:rsidRPr="006B0263">
        <w:rPr>
          <w:rFonts w:ascii="Arial" w:hAnsi="Arial" w:cs="Arial"/>
          <w:sz w:val="20"/>
          <w:szCs w:val="20"/>
        </w:rPr>
        <w:t xml:space="preserve"> operators audit systems for accreditation purposes </w:t>
      </w:r>
      <w:r w:rsidR="00C64C09">
        <w:rPr>
          <w:rFonts w:ascii="Arial" w:hAnsi="Arial" w:cs="Arial"/>
          <w:sz w:val="20"/>
          <w:szCs w:val="20"/>
        </w:rPr>
        <w:t xml:space="preserve">in order </w:t>
      </w:r>
      <w:r w:rsidR="00F460F0" w:rsidRPr="006B0263">
        <w:rPr>
          <w:rFonts w:ascii="Arial" w:hAnsi="Arial" w:cs="Arial"/>
          <w:sz w:val="20"/>
          <w:szCs w:val="20"/>
        </w:rPr>
        <w:t>to</w:t>
      </w:r>
      <w:r w:rsidR="003756EB" w:rsidRPr="006B0263">
        <w:rPr>
          <w:rFonts w:ascii="Arial" w:hAnsi="Arial" w:cs="Arial"/>
          <w:sz w:val="20"/>
          <w:szCs w:val="20"/>
        </w:rPr>
        <w:t xml:space="preserve"> remain compliant with the TruckSafe program.</w:t>
      </w:r>
      <w:r w:rsidR="00922538">
        <w:rPr>
          <w:rFonts w:ascii="Arial" w:hAnsi="Arial" w:cs="Arial"/>
          <w:sz w:val="20"/>
          <w:szCs w:val="20"/>
        </w:rPr>
        <w:t xml:space="preserve"> To </w:t>
      </w:r>
      <w:r w:rsidR="0024284C">
        <w:rPr>
          <w:rFonts w:ascii="Arial" w:hAnsi="Arial" w:cs="Arial"/>
          <w:sz w:val="20"/>
          <w:szCs w:val="20"/>
        </w:rPr>
        <w:t>harness</w:t>
      </w:r>
      <w:r w:rsidR="00922538">
        <w:rPr>
          <w:rFonts w:ascii="Arial" w:hAnsi="Arial" w:cs="Arial"/>
          <w:sz w:val="20"/>
          <w:szCs w:val="20"/>
        </w:rPr>
        <w:t xml:space="preserve"> </w:t>
      </w:r>
      <w:r w:rsidR="008C2D2F">
        <w:rPr>
          <w:rFonts w:ascii="Arial" w:hAnsi="Arial" w:cs="Arial"/>
          <w:sz w:val="20"/>
          <w:szCs w:val="20"/>
        </w:rPr>
        <w:t>this</w:t>
      </w:r>
      <w:r w:rsidR="00E67F1B">
        <w:rPr>
          <w:rFonts w:ascii="Arial" w:hAnsi="Arial" w:cs="Arial"/>
          <w:sz w:val="20"/>
          <w:szCs w:val="20"/>
        </w:rPr>
        <w:t xml:space="preserve"> operator</w:t>
      </w:r>
      <w:r w:rsidR="00922538">
        <w:rPr>
          <w:rFonts w:ascii="Arial" w:hAnsi="Arial" w:cs="Arial"/>
          <w:sz w:val="20"/>
          <w:szCs w:val="20"/>
        </w:rPr>
        <w:t xml:space="preserve"> productivity, </w:t>
      </w:r>
      <w:r w:rsidR="003756EB" w:rsidRPr="006B0263">
        <w:rPr>
          <w:rFonts w:ascii="Arial" w:hAnsi="Arial" w:cs="Arial"/>
          <w:sz w:val="20"/>
          <w:szCs w:val="20"/>
        </w:rPr>
        <w:t xml:space="preserve">TruckSafe should be </w:t>
      </w:r>
      <w:r w:rsidR="00E67F1B">
        <w:rPr>
          <w:rFonts w:ascii="Arial" w:hAnsi="Arial" w:cs="Arial"/>
          <w:sz w:val="20"/>
          <w:szCs w:val="20"/>
        </w:rPr>
        <w:t>awarded</w:t>
      </w:r>
      <w:r w:rsidR="003756EB" w:rsidRPr="006B0263">
        <w:rPr>
          <w:rFonts w:ascii="Arial" w:hAnsi="Arial" w:cs="Arial"/>
          <w:sz w:val="20"/>
          <w:szCs w:val="20"/>
        </w:rPr>
        <w:t xml:space="preserve"> </w:t>
      </w:r>
      <w:r w:rsidR="00C64C09">
        <w:rPr>
          <w:rFonts w:ascii="Arial" w:hAnsi="Arial" w:cs="Arial"/>
          <w:sz w:val="20"/>
          <w:szCs w:val="20"/>
        </w:rPr>
        <w:t xml:space="preserve">formal recognition </w:t>
      </w:r>
      <w:r w:rsidR="004E79B7" w:rsidRPr="006B0263">
        <w:rPr>
          <w:rFonts w:ascii="Arial" w:hAnsi="Arial" w:cs="Arial"/>
          <w:sz w:val="20"/>
          <w:szCs w:val="20"/>
        </w:rPr>
        <w:t>alongside the NHVAS</w:t>
      </w:r>
      <w:r w:rsidR="004E79B7">
        <w:rPr>
          <w:rFonts w:ascii="Arial" w:hAnsi="Arial" w:cs="Arial"/>
          <w:sz w:val="20"/>
          <w:szCs w:val="20"/>
        </w:rPr>
        <w:t xml:space="preserve"> </w:t>
      </w:r>
      <w:r w:rsidR="00C64C09">
        <w:rPr>
          <w:rFonts w:ascii="Arial" w:hAnsi="Arial" w:cs="Arial"/>
          <w:sz w:val="20"/>
          <w:szCs w:val="20"/>
        </w:rPr>
        <w:t xml:space="preserve">as </w:t>
      </w:r>
      <w:r w:rsidR="004E79B7">
        <w:rPr>
          <w:rFonts w:ascii="Arial" w:hAnsi="Arial" w:cs="Arial"/>
          <w:sz w:val="20"/>
          <w:szCs w:val="20"/>
        </w:rPr>
        <w:t>a</w:t>
      </w:r>
      <w:r w:rsidR="00777836">
        <w:rPr>
          <w:rFonts w:ascii="Arial" w:hAnsi="Arial" w:cs="Arial"/>
          <w:sz w:val="20"/>
          <w:szCs w:val="20"/>
        </w:rPr>
        <w:t>nother</w:t>
      </w:r>
      <w:r w:rsidR="004E79B7">
        <w:rPr>
          <w:rFonts w:ascii="Arial" w:hAnsi="Arial" w:cs="Arial"/>
          <w:sz w:val="20"/>
          <w:szCs w:val="20"/>
        </w:rPr>
        <w:t xml:space="preserve"> </w:t>
      </w:r>
      <w:r w:rsidR="00042FF7">
        <w:rPr>
          <w:rFonts w:ascii="Arial" w:hAnsi="Arial" w:cs="Arial"/>
          <w:sz w:val="20"/>
          <w:szCs w:val="20"/>
        </w:rPr>
        <w:t xml:space="preserve">national </w:t>
      </w:r>
      <w:r w:rsidR="00C64C09">
        <w:rPr>
          <w:rFonts w:ascii="Arial" w:hAnsi="Arial" w:cs="Arial"/>
          <w:sz w:val="20"/>
          <w:szCs w:val="20"/>
        </w:rPr>
        <w:t>approach to compliance assurance</w:t>
      </w:r>
      <w:r w:rsidR="00C64C09" w:rsidRPr="006B0263">
        <w:rPr>
          <w:rFonts w:ascii="Arial" w:hAnsi="Arial" w:cs="Arial"/>
          <w:sz w:val="20"/>
          <w:szCs w:val="20"/>
        </w:rPr>
        <w:t>.</w:t>
      </w:r>
    </w:p>
    <w:p w:rsidR="003756EB" w:rsidRPr="006B0263" w:rsidRDefault="003756EB" w:rsidP="00FC55CF">
      <w:pPr>
        <w:spacing w:after="0" w:line="240" w:lineRule="auto"/>
        <w:contextualSpacing/>
        <w:rPr>
          <w:rFonts w:ascii="Arial" w:hAnsi="Arial" w:cs="Arial"/>
          <w:sz w:val="20"/>
          <w:szCs w:val="20"/>
        </w:rPr>
      </w:pPr>
    </w:p>
    <w:p w:rsidR="00182A70" w:rsidRPr="006B0263" w:rsidRDefault="00876206" w:rsidP="00FC55CF">
      <w:pPr>
        <w:spacing w:after="0" w:line="240" w:lineRule="auto"/>
        <w:contextualSpacing/>
        <w:rPr>
          <w:rFonts w:ascii="Arial" w:hAnsi="Arial" w:cs="Arial"/>
          <w:sz w:val="20"/>
          <w:szCs w:val="20"/>
        </w:rPr>
      </w:pPr>
      <w:r>
        <w:rPr>
          <w:rFonts w:ascii="Arial" w:hAnsi="Arial" w:cs="Arial"/>
          <w:sz w:val="20"/>
          <w:szCs w:val="20"/>
        </w:rPr>
        <w:t>In April-May</w:t>
      </w:r>
      <w:r w:rsidRPr="006B0263">
        <w:rPr>
          <w:rFonts w:ascii="Arial" w:hAnsi="Arial" w:cs="Arial"/>
          <w:sz w:val="20"/>
          <w:szCs w:val="20"/>
        </w:rPr>
        <w:t xml:space="preserve"> </w:t>
      </w:r>
      <w:r w:rsidR="00DD1926" w:rsidRPr="006B0263">
        <w:rPr>
          <w:rFonts w:ascii="Arial" w:hAnsi="Arial" w:cs="Arial"/>
          <w:sz w:val="20"/>
          <w:szCs w:val="20"/>
        </w:rPr>
        <w:t>2013</w:t>
      </w:r>
      <w:r w:rsidR="00182A70" w:rsidRPr="006B0263">
        <w:rPr>
          <w:rFonts w:ascii="Arial" w:hAnsi="Arial" w:cs="Arial"/>
          <w:sz w:val="20"/>
          <w:szCs w:val="20"/>
        </w:rPr>
        <w:t xml:space="preserve">, </w:t>
      </w:r>
      <w:r w:rsidR="00013A53" w:rsidRPr="006B0263">
        <w:rPr>
          <w:rFonts w:ascii="Arial" w:hAnsi="Arial" w:cs="Arial"/>
          <w:sz w:val="20"/>
          <w:szCs w:val="20"/>
        </w:rPr>
        <w:t>26</w:t>
      </w:r>
      <w:r w:rsidR="009A3B86" w:rsidRPr="006B0263">
        <w:rPr>
          <w:rFonts w:ascii="Arial" w:hAnsi="Arial" w:cs="Arial"/>
          <w:sz w:val="20"/>
          <w:szCs w:val="20"/>
        </w:rPr>
        <w:t xml:space="preserve"> TruckSafe operators </w:t>
      </w:r>
      <w:r w:rsidR="00013A53" w:rsidRPr="006B0263">
        <w:rPr>
          <w:rFonts w:ascii="Arial" w:hAnsi="Arial" w:cs="Arial"/>
          <w:sz w:val="20"/>
          <w:szCs w:val="20"/>
        </w:rPr>
        <w:t>responded to</w:t>
      </w:r>
      <w:r w:rsidR="00182A70" w:rsidRPr="006B0263">
        <w:rPr>
          <w:rFonts w:ascii="Arial" w:hAnsi="Arial" w:cs="Arial"/>
          <w:sz w:val="20"/>
          <w:szCs w:val="20"/>
        </w:rPr>
        <w:t xml:space="preserve"> an</w:t>
      </w:r>
      <w:r w:rsidR="009A3B86" w:rsidRPr="006B0263">
        <w:rPr>
          <w:rFonts w:ascii="Arial" w:hAnsi="Arial" w:cs="Arial"/>
          <w:sz w:val="20"/>
          <w:szCs w:val="20"/>
        </w:rPr>
        <w:t xml:space="preserve"> ATA survey on </w:t>
      </w:r>
      <w:r w:rsidR="00DD1926" w:rsidRPr="006B0263">
        <w:rPr>
          <w:rFonts w:ascii="Arial" w:hAnsi="Arial" w:cs="Arial"/>
          <w:sz w:val="20"/>
          <w:szCs w:val="20"/>
        </w:rPr>
        <w:t xml:space="preserve">the </w:t>
      </w:r>
      <w:r w:rsidR="00013A53" w:rsidRPr="006B0263">
        <w:rPr>
          <w:rFonts w:ascii="Arial" w:hAnsi="Arial" w:cs="Arial"/>
          <w:sz w:val="20"/>
          <w:szCs w:val="20"/>
        </w:rPr>
        <w:t xml:space="preserve">use of </w:t>
      </w:r>
      <w:r w:rsidR="008C317A">
        <w:rPr>
          <w:rFonts w:ascii="Arial" w:hAnsi="Arial" w:cs="Arial"/>
          <w:sz w:val="20"/>
          <w:szCs w:val="20"/>
        </w:rPr>
        <w:t xml:space="preserve">in-vehicle </w:t>
      </w:r>
      <w:r w:rsidR="009A3B86" w:rsidRPr="006B0263">
        <w:rPr>
          <w:rFonts w:ascii="Arial" w:hAnsi="Arial" w:cs="Arial"/>
          <w:sz w:val="20"/>
          <w:szCs w:val="20"/>
        </w:rPr>
        <w:t>telematics</w:t>
      </w:r>
      <w:r w:rsidR="00DD1926" w:rsidRPr="006B0263">
        <w:rPr>
          <w:rFonts w:ascii="Arial" w:hAnsi="Arial" w:cs="Arial"/>
          <w:sz w:val="20"/>
          <w:szCs w:val="20"/>
        </w:rPr>
        <w:t>. Only two operators</w:t>
      </w:r>
      <w:r w:rsidR="009A3B86" w:rsidRPr="006B0263">
        <w:rPr>
          <w:rFonts w:ascii="Arial" w:hAnsi="Arial" w:cs="Arial"/>
          <w:sz w:val="20"/>
          <w:szCs w:val="20"/>
        </w:rPr>
        <w:t xml:space="preserve"> said they used no such devices. </w:t>
      </w:r>
      <w:r w:rsidR="00013A53" w:rsidRPr="006B0263">
        <w:rPr>
          <w:rFonts w:ascii="Arial" w:hAnsi="Arial" w:cs="Arial"/>
          <w:sz w:val="20"/>
          <w:szCs w:val="20"/>
        </w:rPr>
        <w:t>One</w:t>
      </w:r>
      <w:r w:rsidR="009A3B86" w:rsidRPr="006B0263">
        <w:rPr>
          <w:rFonts w:ascii="Arial" w:hAnsi="Arial" w:cs="Arial"/>
          <w:sz w:val="20"/>
          <w:szCs w:val="20"/>
        </w:rPr>
        <w:t xml:space="preserve"> </w:t>
      </w:r>
      <w:r w:rsidR="00013A53" w:rsidRPr="006B0263">
        <w:rPr>
          <w:rFonts w:ascii="Arial" w:hAnsi="Arial" w:cs="Arial"/>
          <w:sz w:val="20"/>
          <w:szCs w:val="20"/>
        </w:rPr>
        <w:t>claimed</w:t>
      </w:r>
      <w:r w:rsidR="009A3B86" w:rsidRPr="006B0263">
        <w:rPr>
          <w:rFonts w:ascii="Arial" w:hAnsi="Arial" w:cs="Arial"/>
          <w:sz w:val="20"/>
          <w:szCs w:val="20"/>
        </w:rPr>
        <w:t xml:space="preserve"> they had an IAP device, the rest listed a range of commercial</w:t>
      </w:r>
      <w:r w:rsidR="00013A53" w:rsidRPr="006B0263">
        <w:rPr>
          <w:rFonts w:ascii="Arial" w:hAnsi="Arial" w:cs="Arial"/>
          <w:sz w:val="20"/>
          <w:szCs w:val="20"/>
        </w:rPr>
        <w:t>ly-available</w:t>
      </w:r>
      <w:r w:rsidR="009A3B86" w:rsidRPr="006B0263">
        <w:rPr>
          <w:rFonts w:ascii="Arial" w:hAnsi="Arial" w:cs="Arial"/>
          <w:sz w:val="20"/>
          <w:szCs w:val="20"/>
        </w:rPr>
        <w:t xml:space="preserve"> systems. Some</w:t>
      </w:r>
      <w:r w:rsidR="004645A0" w:rsidRPr="006B0263">
        <w:rPr>
          <w:rFonts w:ascii="Arial" w:hAnsi="Arial" w:cs="Arial"/>
          <w:sz w:val="20"/>
          <w:szCs w:val="20"/>
        </w:rPr>
        <w:t xml:space="preserve"> also</w:t>
      </w:r>
      <w:r w:rsidR="009A3B86" w:rsidRPr="006B0263">
        <w:rPr>
          <w:rFonts w:ascii="Arial" w:hAnsi="Arial" w:cs="Arial"/>
          <w:sz w:val="20"/>
          <w:szCs w:val="20"/>
        </w:rPr>
        <w:t xml:space="preserve"> listed </w:t>
      </w:r>
      <w:r w:rsidR="00DD1926" w:rsidRPr="006B0263">
        <w:rPr>
          <w:rFonts w:ascii="Arial" w:hAnsi="Arial" w:cs="Arial"/>
          <w:sz w:val="20"/>
          <w:szCs w:val="20"/>
        </w:rPr>
        <w:t>the</w:t>
      </w:r>
      <w:r w:rsidR="009A3B86" w:rsidRPr="006B0263">
        <w:rPr>
          <w:rFonts w:ascii="Arial" w:hAnsi="Arial" w:cs="Arial"/>
          <w:sz w:val="20"/>
          <w:szCs w:val="20"/>
        </w:rPr>
        <w:t xml:space="preserve"> </w:t>
      </w:r>
      <w:r w:rsidR="001A457A" w:rsidRPr="006B0263">
        <w:rPr>
          <w:rFonts w:ascii="Arial" w:hAnsi="Arial" w:cs="Arial"/>
          <w:sz w:val="20"/>
          <w:szCs w:val="20"/>
        </w:rPr>
        <w:t>uses</w:t>
      </w:r>
      <w:r w:rsidR="008E1B0F">
        <w:rPr>
          <w:rFonts w:ascii="Arial" w:hAnsi="Arial" w:cs="Arial"/>
          <w:sz w:val="20"/>
          <w:szCs w:val="20"/>
        </w:rPr>
        <w:t xml:space="preserve"> of those devices</w:t>
      </w:r>
      <w:r w:rsidR="004645A0" w:rsidRPr="006B0263">
        <w:rPr>
          <w:rFonts w:ascii="Arial" w:hAnsi="Arial" w:cs="Arial"/>
          <w:sz w:val="20"/>
          <w:szCs w:val="20"/>
        </w:rPr>
        <w:t>:</w:t>
      </w:r>
      <w:r w:rsidR="009A3B86" w:rsidRPr="006B0263">
        <w:rPr>
          <w:rFonts w:ascii="Arial" w:hAnsi="Arial" w:cs="Arial"/>
          <w:sz w:val="20"/>
          <w:szCs w:val="20"/>
        </w:rPr>
        <w:t xml:space="preserve"> </w:t>
      </w:r>
    </w:p>
    <w:p w:rsidR="009A3B86" w:rsidRPr="006B0263" w:rsidRDefault="009A3B86" w:rsidP="00FC55CF">
      <w:pPr>
        <w:spacing w:after="0" w:line="240" w:lineRule="auto"/>
        <w:contextualSpacing/>
        <w:rPr>
          <w:rFonts w:ascii="Arial" w:hAnsi="Arial" w:cs="Arial"/>
          <w:sz w:val="20"/>
          <w:szCs w:val="20"/>
        </w:rPr>
      </w:pPr>
    </w:p>
    <w:tbl>
      <w:tblPr>
        <w:tblW w:w="0" w:type="auto"/>
        <w:tblInd w:w="720" w:type="dxa"/>
        <w:tblBorders>
          <w:top w:val="nil"/>
          <w:left w:val="nil"/>
          <w:bottom w:val="nil"/>
          <w:right w:val="nil"/>
        </w:tblBorders>
        <w:tblLayout w:type="fixed"/>
        <w:tblLook w:val="0000"/>
      </w:tblPr>
      <w:tblGrid>
        <w:gridCol w:w="2649"/>
        <w:gridCol w:w="2268"/>
      </w:tblGrid>
      <w:tr w:rsidR="009A3B86" w:rsidRPr="00013A53" w:rsidTr="00013A53">
        <w:trPr>
          <w:trHeight w:val="110"/>
        </w:trPr>
        <w:tc>
          <w:tcPr>
            <w:tcW w:w="2649" w:type="dxa"/>
          </w:tcPr>
          <w:p w:rsidR="009A3B86" w:rsidRPr="00013A53" w:rsidRDefault="009A3B86" w:rsidP="00FC55CF">
            <w:pPr>
              <w:pStyle w:val="Default"/>
              <w:contextualSpacing/>
              <w:rPr>
                <w:b/>
                <w:color w:val="auto"/>
                <w:sz w:val="20"/>
                <w:szCs w:val="20"/>
                <w:u w:val="single"/>
                <w:lang w:val="en-AU"/>
              </w:rPr>
            </w:pPr>
            <w:r w:rsidRPr="00013A53">
              <w:rPr>
                <w:b/>
                <w:color w:val="auto"/>
                <w:sz w:val="20"/>
                <w:szCs w:val="20"/>
                <w:u w:val="single"/>
                <w:lang w:val="en-AU"/>
              </w:rPr>
              <w:t>Purpose of Device</w:t>
            </w:r>
          </w:p>
        </w:tc>
        <w:tc>
          <w:tcPr>
            <w:tcW w:w="2268" w:type="dxa"/>
          </w:tcPr>
          <w:p w:rsidR="009A3B86" w:rsidRPr="00013A53" w:rsidRDefault="009A3B86" w:rsidP="007070F7">
            <w:pPr>
              <w:pStyle w:val="Default"/>
              <w:contextualSpacing/>
              <w:jc w:val="center"/>
              <w:rPr>
                <w:b/>
                <w:color w:val="auto"/>
                <w:sz w:val="20"/>
                <w:szCs w:val="20"/>
                <w:u w:val="single"/>
                <w:lang w:val="en-AU"/>
              </w:rPr>
            </w:pPr>
            <w:r w:rsidRPr="00013A53">
              <w:rPr>
                <w:b/>
                <w:color w:val="auto"/>
                <w:sz w:val="20"/>
                <w:szCs w:val="20"/>
                <w:u w:val="single"/>
                <w:lang w:val="en-AU"/>
              </w:rPr>
              <w:t>N</w:t>
            </w:r>
            <w:r w:rsidR="00013A53">
              <w:rPr>
                <w:b/>
                <w:color w:val="auto"/>
                <w:sz w:val="20"/>
                <w:szCs w:val="20"/>
                <w:u w:val="single"/>
                <w:lang w:val="en-AU"/>
              </w:rPr>
              <w:t>umber</w:t>
            </w:r>
            <w:r w:rsidRPr="00013A53">
              <w:rPr>
                <w:b/>
                <w:color w:val="auto"/>
                <w:sz w:val="20"/>
                <w:szCs w:val="20"/>
                <w:u w:val="single"/>
                <w:lang w:val="en-AU"/>
              </w:rPr>
              <w:t xml:space="preserve"> </w:t>
            </w:r>
            <w:r w:rsidR="007070F7">
              <w:rPr>
                <w:b/>
                <w:color w:val="auto"/>
                <w:sz w:val="20"/>
                <w:szCs w:val="20"/>
                <w:u w:val="single"/>
                <w:lang w:val="en-AU"/>
              </w:rPr>
              <w:t>U</w:t>
            </w:r>
            <w:r w:rsidRPr="00013A53">
              <w:rPr>
                <w:b/>
                <w:color w:val="auto"/>
                <w:sz w:val="20"/>
                <w:szCs w:val="20"/>
                <w:u w:val="single"/>
                <w:lang w:val="en-AU"/>
              </w:rPr>
              <w:t xml:space="preserve">sing </w:t>
            </w:r>
            <w:r w:rsidR="007070F7">
              <w:rPr>
                <w:b/>
                <w:color w:val="auto"/>
                <w:sz w:val="20"/>
                <w:szCs w:val="20"/>
                <w:u w:val="single"/>
                <w:lang w:val="en-AU"/>
              </w:rPr>
              <w:t>I</w:t>
            </w:r>
            <w:r w:rsidRPr="00013A53">
              <w:rPr>
                <w:b/>
                <w:color w:val="auto"/>
                <w:sz w:val="20"/>
                <w:szCs w:val="20"/>
                <w:u w:val="single"/>
                <w:lang w:val="en-AU"/>
              </w:rPr>
              <w:t>t</w:t>
            </w:r>
          </w:p>
        </w:tc>
      </w:tr>
      <w:tr w:rsidR="009A3B86" w:rsidRPr="00013A53" w:rsidTr="00013A53">
        <w:trPr>
          <w:trHeight w:val="110"/>
        </w:trPr>
        <w:tc>
          <w:tcPr>
            <w:tcW w:w="2649" w:type="dxa"/>
          </w:tcPr>
          <w:p w:rsidR="009A3B86" w:rsidRPr="00013A53" w:rsidRDefault="009A3B86" w:rsidP="00FC55CF">
            <w:pPr>
              <w:pStyle w:val="Default"/>
              <w:contextualSpacing/>
              <w:rPr>
                <w:b/>
                <w:color w:val="auto"/>
                <w:sz w:val="20"/>
                <w:szCs w:val="20"/>
                <w:lang w:val="en-AU"/>
              </w:rPr>
            </w:pPr>
            <w:r w:rsidRPr="00013A53">
              <w:rPr>
                <w:b/>
                <w:color w:val="auto"/>
                <w:sz w:val="20"/>
                <w:szCs w:val="20"/>
                <w:lang w:val="en-AU"/>
              </w:rPr>
              <w:t>Speed reports</w:t>
            </w:r>
          </w:p>
        </w:tc>
        <w:tc>
          <w:tcPr>
            <w:tcW w:w="2268" w:type="dxa"/>
          </w:tcPr>
          <w:p w:rsidR="009A3B86" w:rsidRPr="00013A53" w:rsidRDefault="009A3B86" w:rsidP="007070F7">
            <w:pPr>
              <w:pStyle w:val="Default"/>
              <w:contextualSpacing/>
              <w:jc w:val="center"/>
              <w:rPr>
                <w:b/>
                <w:color w:val="auto"/>
                <w:sz w:val="20"/>
                <w:szCs w:val="20"/>
                <w:lang w:val="en-AU"/>
              </w:rPr>
            </w:pPr>
            <w:r w:rsidRPr="00013A53">
              <w:rPr>
                <w:b/>
                <w:color w:val="auto"/>
                <w:sz w:val="20"/>
                <w:szCs w:val="20"/>
                <w:lang w:val="en-AU"/>
              </w:rPr>
              <w:t>15</w:t>
            </w:r>
          </w:p>
        </w:tc>
      </w:tr>
      <w:tr w:rsidR="009A3B86" w:rsidRPr="00013A53" w:rsidTr="00013A53">
        <w:trPr>
          <w:trHeight w:val="110"/>
        </w:trPr>
        <w:tc>
          <w:tcPr>
            <w:tcW w:w="2649" w:type="dxa"/>
          </w:tcPr>
          <w:p w:rsidR="009A3B86" w:rsidRPr="00013A53" w:rsidRDefault="009A3B86" w:rsidP="00FC55CF">
            <w:pPr>
              <w:pStyle w:val="Default"/>
              <w:contextualSpacing/>
              <w:rPr>
                <w:b/>
                <w:color w:val="auto"/>
                <w:sz w:val="20"/>
                <w:szCs w:val="20"/>
                <w:lang w:val="en-AU"/>
              </w:rPr>
            </w:pPr>
            <w:r w:rsidRPr="00013A53">
              <w:rPr>
                <w:b/>
                <w:color w:val="auto"/>
                <w:sz w:val="20"/>
                <w:szCs w:val="20"/>
                <w:lang w:val="en-AU"/>
              </w:rPr>
              <w:t>Fatigue reports</w:t>
            </w:r>
          </w:p>
        </w:tc>
        <w:tc>
          <w:tcPr>
            <w:tcW w:w="2268" w:type="dxa"/>
          </w:tcPr>
          <w:p w:rsidR="009A3B86" w:rsidRPr="00013A53" w:rsidRDefault="009A3B86" w:rsidP="007070F7">
            <w:pPr>
              <w:pStyle w:val="Default"/>
              <w:contextualSpacing/>
              <w:jc w:val="center"/>
              <w:rPr>
                <w:b/>
                <w:color w:val="auto"/>
                <w:sz w:val="20"/>
                <w:szCs w:val="20"/>
                <w:lang w:val="en-AU"/>
              </w:rPr>
            </w:pPr>
            <w:r w:rsidRPr="00013A53">
              <w:rPr>
                <w:b/>
                <w:color w:val="auto"/>
                <w:sz w:val="20"/>
                <w:szCs w:val="20"/>
                <w:lang w:val="en-AU"/>
              </w:rPr>
              <w:t>13</w:t>
            </w:r>
          </w:p>
        </w:tc>
      </w:tr>
      <w:tr w:rsidR="009A3B86" w:rsidRPr="00013A53" w:rsidTr="00013A53">
        <w:trPr>
          <w:trHeight w:val="110"/>
        </w:trPr>
        <w:tc>
          <w:tcPr>
            <w:tcW w:w="2649" w:type="dxa"/>
          </w:tcPr>
          <w:p w:rsidR="009A3B86" w:rsidRPr="00013A53" w:rsidRDefault="009A3B86" w:rsidP="00FC55CF">
            <w:pPr>
              <w:pStyle w:val="Default"/>
              <w:contextualSpacing/>
              <w:rPr>
                <w:b/>
                <w:color w:val="auto"/>
                <w:sz w:val="20"/>
                <w:szCs w:val="20"/>
                <w:lang w:val="en-AU"/>
              </w:rPr>
            </w:pPr>
            <w:r w:rsidRPr="00013A53">
              <w:rPr>
                <w:b/>
                <w:color w:val="auto"/>
                <w:sz w:val="20"/>
                <w:szCs w:val="20"/>
                <w:lang w:val="en-AU"/>
              </w:rPr>
              <w:t xml:space="preserve">Location </w:t>
            </w:r>
          </w:p>
        </w:tc>
        <w:tc>
          <w:tcPr>
            <w:tcW w:w="2268" w:type="dxa"/>
          </w:tcPr>
          <w:p w:rsidR="009A3B86" w:rsidRPr="00013A53" w:rsidRDefault="009A3B86" w:rsidP="007070F7">
            <w:pPr>
              <w:pStyle w:val="Default"/>
              <w:contextualSpacing/>
              <w:jc w:val="center"/>
              <w:rPr>
                <w:b/>
                <w:color w:val="auto"/>
                <w:sz w:val="20"/>
                <w:szCs w:val="20"/>
                <w:lang w:val="en-AU"/>
              </w:rPr>
            </w:pPr>
            <w:r w:rsidRPr="00013A53">
              <w:rPr>
                <w:b/>
                <w:color w:val="auto"/>
                <w:sz w:val="20"/>
                <w:szCs w:val="20"/>
                <w:lang w:val="en-AU"/>
              </w:rPr>
              <w:t>13</w:t>
            </w:r>
          </w:p>
        </w:tc>
      </w:tr>
      <w:tr w:rsidR="009A3B86" w:rsidRPr="00013A53" w:rsidTr="00013A53">
        <w:trPr>
          <w:trHeight w:val="110"/>
        </w:trPr>
        <w:tc>
          <w:tcPr>
            <w:tcW w:w="2649" w:type="dxa"/>
          </w:tcPr>
          <w:p w:rsidR="009A3B86" w:rsidRPr="00013A53" w:rsidRDefault="009A3B86" w:rsidP="00FC55CF">
            <w:pPr>
              <w:pStyle w:val="Default"/>
              <w:contextualSpacing/>
              <w:rPr>
                <w:b/>
                <w:color w:val="auto"/>
                <w:sz w:val="20"/>
                <w:szCs w:val="20"/>
                <w:lang w:val="en-AU"/>
              </w:rPr>
            </w:pPr>
            <w:r w:rsidRPr="00013A53">
              <w:rPr>
                <w:b/>
                <w:color w:val="auto"/>
                <w:sz w:val="20"/>
                <w:szCs w:val="20"/>
                <w:lang w:val="en-AU"/>
              </w:rPr>
              <w:t>Service schedules</w:t>
            </w:r>
          </w:p>
        </w:tc>
        <w:tc>
          <w:tcPr>
            <w:tcW w:w="2268" w:type="dxa"/>
          </w:tcPr>
          <w:p w:rsidR="009A3B86" w:rsidRPr="00013A53" w:rsidRDefault="009A3B86" w:rsidP="007070F7">
            <w:pPr>
              <w:pStyle w:val="Default"/>
              <w:contextualSpacing/>
              <w:jc w:val="center"/>
              <w:rPr>
                <w:b/>
                <w:color w:val="auto"/>
                <w:sz w:val="20"/>
                <w:szCs w:val="20"/>
                <w:lang w:val="en-AU"/>
              </w:rPr>
            </w:pPr>
            <w:r w:rsidRPr="00013A53">
              <w:rPr>
                <w:b/>
                <w:color w:val="auto"/>
                <w:sz w:val="20"/>
                <w:szCs w:val="20"/>
                <w:lang w:val="en-AU"/>
              </w:rPr>
              <w:t>6</w:t>
            </w:r>
          </w:p>
        </w:tc>
      </w:tr>
      <w:tr w:rsidR="009A3B86" w:rsidRPr="00013A53" w:rsidTr="00013A53">
        <w:trPr>
          <w:trHeight w:val="110"/>
        </w:trPr>
        <w:tc>
          <w:tcPr>
            <w:tcW w:w="2649" w:type="dxa"/>
          </w:tcPr>
          <w:p w:rsidR="009A3B86" w:rsidRPr="00013A53" w:rsidRDefault="009A3B86" w:rsidP="00FC55CF">
            <w:pPr>
              <w:pStyle w:val="Default"/>
              <w:contextualSpacing/>
              <w:rPr>
                <w:b/>
                <w:color w:val="auto"/>
                <w:sz w:val="20"/>
                <w:szCs w:val="20"/>
                <w:lang w:val="en-AU"/>
              </w:rPr>
            </w:pPr>
            <w:r w:rsidRPr="00013A53">
              <w:rPr>
                <w:b/>
                <w:color w:val="auto"/>
                <w:sz w:val="20"/>
                <w:szCs w:val="20"/>
                <w:lang w:val="en-AU"/>
              </w:rPr>
              <w:t>Harsh braking</w:t>
            </w:r>
          </w:p>
        </w:tc>
        <w:tc>
          <w:tcPr>
            <w:tcW w:w="2268" w:type="dxa"/>
          </w:tcPr>
          <w:p w:rsidR="009A3B86" w:rsidRPr="00013A53" w:rsidRDefault="009A3B86" w:rsidP="007070F7">
            <w:pPr>
              <w:pStyle w:val="Default"/>
              <w:contextualSpacing/>
              <w:jc w:val="center"/>
              <w:rPr>
                <w:b/>
                <w:color w:val="auto"/>
                <w:sz w:val="20"/>
                <w:szCs w:val="20"/>
                <w:lang w:val="en-AU"/>
              </w:rPr>
            </w:pPr>
            <w:r w:rsidRPr="00013A53">
              <w:rPr>
                <w:b/>
                <w:color w:val="auto"/>
                <w:sz w:val="20"/>
                <w:szCs w:val="20"/>
                <w:lang w:val="en-AU"/>
              </w:rPr>
              <w:t>4</w:t>
            </w:r>
          </w:p>
        </w:tc>
      </w:tr>
      <w:tr w:rsidR="009A3B86" w:rsidRPr="00013A53" w:rsidTr="00013A53">
        <w:trPr>
          <w:trHeight w:val="110"/>
        </w:trPr>
        <w:tc>
          <w:tcPr>
            <w:tcW w:w="2649" w:type="dxa"/>
          </w:tcPr>
          <w:p w:rsidR="009A3B86" w:rsidRPr="00013A53" w:rsidRDefault="009A3B86" w:rsidP="00FC55CF">
            <w:pPr>
              <w:pStyle w:val="Default"/>
              <w:contextualSpacing/>
              <w:rPr>
                <w:b/>
                <w:color w:val="auto"/>
                <w:sz w:val="20"/>
                <w:szCs w:val="20"/>
                <w:lang w:val="en-AU"/>
              </w:rPr>
            </w:pPr>
            <w:r w:rsidRPr="00013A53">
              <w:rPr>
                <w:b/>
                <w:color w:val="auto"/>
                <w:sz w:val="20"/>
                <w:szCs w:val="20"/>
                <w:lang w:val="en-AU"/>
              </w:rPr>
              <w:t>Communication</w:t>
            </w:r>
          </w:p>
        </w:tc>
        <w:tc>
          <w:tcPr>
            <w:tcW w:w="2268" w:type="dxa"/>
          </w:tcPr>
          <w:p w:rsidR="009A3B86" w:rsidRPr="00013A53" w:rsidRDefault="009A3B86" w:rsidP="007070F7">
            <w:pPr>
              <w:pStyle w:val="Default"/>
              <w:contextualSpacing/>
              <w:jc w:val="center"/>
              <w:rPr>
                <w:b/>
                <w:color w:val="auto"/>
                <w:sz w:val="20"/>
                <w:szCs w:val="20"/>
                <w:lang w:val="en-AU"/>
              </w:rPr>
            </w:pPr>
            <w:r w:rsidRPr="00013A53">
              <w:rPr>
                <w:b/>
                <w:color w:val="auto"/>
                <w:sz w:val="20"/>
                <w:szCs w:val="20"/>
                <w:lang w:val="en-AU"/>
              </w:rPr>
              <w:t>3</w:t>
            </w:r>
          </w:p>
        </w:tc>
      </w:tr>
      <w:tr w:rsidR="009A3B86" w:rsidRPr="00013A53" w:rsidTr="00013A53">
        <w:trPr>
          <w:trHeight w:val="110"/>
        </w:trPr>
        <w:tc>
          <w:tcPr>
            <w:tcW w:w="2649" w:type="dxa"/>
          </w:tcPr>
          <w:p w:rsidR="009A3B86" w:rsidRPr="00013A53" w:rsidRDefault="009A3B86" w:rsidP="00FC55CF">
            <w:pPr>
              <w:pStyle w:val="Default"/>
              <w:contextualSpacing/>
              <w:rPr>
                <w:b/>
                <w:color w:val="auto"/>
                <w:sz w:val="20"/>
                <w:szCs w:val="20"/>
                <w:lang w:val="en-AU"/>
              </w:rPr>
            </w:pPr>
            <w:r w:rsidRPr="00013A53">
              <w:rPr>
                <w:b/>
                <w:color w:val="auto"/>
                <w:sz w:val="20"/>
                <w:szCs w:val="20"/>
                <w:lang w:val="en-AU"/>
              </w:rPr>
              <w:t>Driver logs</w:t>
            </w:r>
          </w:p>
        </w:tc>
        <w:tc>
          <w:tcPr>
            <w:tcW w:w="2268" w:type="dxa"/>
          </w:tcPr>
          <w:p w:rsidR="009A3B86" w:rsidRPr="00013A53" w:rsidRDefault="009A3B86" w:rsidP="007070F7">
            <w:pPr>
              <w:pStyle w:val="Default"/>
              <w:contextualSpacing/>
              <w:jc w:val="center"/>
              <w:rPr>
                <w:b/>
                <w:color w:val="auto"/>
                <w:sz w:val="20"/>
                <w:szCs w:val="20"/>
                <w:lang w:val="en-AU"/>
              </w:rPr>
            </w:pPr>
            <w:r w:rsidRPr="00013A53">
              <w:rPr>
                <w:b/>
                <w:color w:val="auto"/>
                <w:sz w:val="20"/>
                <w:szCs w:val="20"/>
                <w:lang w:val="en-AU"/>
              </w:rPr>
              <w:t>3</w:t>
            </w:r>
          </w:p>
        </w:tc>
      </w:tr>
      <w:tr w:rsidR="009A3B86" w:rsidRPr="00013A53" w:rsidTr="00013A53">
        <w:trPr>
          <w:trHeight w:val="110"/>
        </w:trPr>
        <w:tc>
          <w:tcPr>
            <w:tcW w:w="2649" w:type="dxa"/>
          </w:tcPr>
          <w:p w:rsidR="009A3B86" w:rsidRPr="00013A53" w:rsidRDefault="009A3B86" w:rsidP="00FC55CF">
            <w:pPr>
              <w:pStyle w:val="Default"/>
              <w:contextualSpacing/>
              <w:rPr>
                <w:b/>
                <w:color w:val="auto"/>
                <w:sz w:val="20"/>
                <w:szCs w:val="20"/>
                <w:lang w:val="en-AU"/>
              </w:rPr>
            </w:pPr>
            <w:r w:rsidRPr="00013A53">
              <w:rPr>
                <w:b/>
                <w:color w:val="auto"/>
                <w:sz w:val="20"/>
                <w:szCs w:val="20"/>
                <w:lang w:val="en-AU"/>
              </w:rPr>
              <w:t>Engine monitoring</w:t>
            </w:r>
          </w:p>
        </w:tc>
        <w:tc>
          <w:tcPr>
            <w:tcW w:w="2268" w:type="dxa"/>
          </w:tcPr>
          <w:p w:rsidR="009A3B86" w:rsidRPr="00013A53" w:rsidRDefault="009A3B86" w:rsidP="007070F7">
            <w:pPr>
              <w:pStyle w:val="Default"/>
              <w:contextualSpacing/>
              <w:jc w:val="center"/>
              <w:rPr>
                <w:b/>
                <w:color w:val="auto"/>
                <w:sz w:val="20"/>
                <w:szCs w:val="20"/>
                <w:lang w:val="en-AU"/>
              </w:rPr>
            </w:pPr>
            <w:r w:rsidRPr="00013A53">
              <w:rPr>
                <w:b/>
                <w:color w:val="auto"/>
                <w:sz w:val="20"/>
                <w:szCs w:val="20"/>
                <w:lang w:val="en-AU"/>
              </w:rPr>
              <w:t>3</w:t>
            </w:r>
          </w:p>
        </w:tc>
      </w:tr>
      <w:tr w:rsidR="009A3B86" w:rsidRPr="00013A53" w:rsidTr="00013A53">
        <w:trPr>
          <w:trHeight w:val="110"/>
        </w:trPr>
        <w:tc>
          <w:tcPr>
            <w:tcW w:w="2649" w:type="dxa"/>
          </w:tcPr>
          <w:p w:rsidR="009A3B86" w:rsidRPr="00013A53" w:rsidRDefault="009A3B86" w:rsidP="00FC55CF">
            <w:pPr>
              <w:pStyle w:val="Default"/>
              <w:contextualSpacing/>
              <w:rPr>
                <w:b/>
                <w:color w:val="auto"/>
                <w:sz w:val="20"/>
                <w:szCs w:val="20"/>
                <w:lang w:val="en-AU"/>
              </w:rPr>
            </w:pPr>
            <w:r w:rsidRPr="00013A53">
              <w:rPr>
                <w:b/>
                <w:color w:val="auto"/>
                <w:sz w:val="20"/>
                <w:szCs w:val="20"/>
                <w:lang w:val="en-AU"/>
              </w:rPr>
              <w:t>Geo fences</w:t>
            </w:r>
          </w:p>
        </w:tc>
        <w:tc>
          <w:tcPr>
            <w:tcW w:w="2268" w:type="dxa"/>
          </w:tcPr>
          <w:p w:rsidR="009A3B86" w:rsidRPr="00013A53" w:rsidRDefault="009A3B86" w:rsidP="007070F7">
            <w:pPr>
              <w:pStyle w:val="Default"/>
              <w:contextualSpacing/>
              <w:jc w:val="center"/>
              <w:rPr>
                <w:b/>
                <w:color w:val="auto"/>
                <w:sz w:val="20"/>
                <w:szCs w:val="20"/>
                <w:lang w:val="en-AU"/>
              </w:rPr>
            </w:pPr>
            <w:r w:rsidRPr="00013A53">
              <w:rPr>
                <w:b/>
                <w:color w:val="auto"/>
                <w:sz w:val="20"/>
                <w:szCs w:val="20"/>
                <w:lang w:val="en-AU"/>
              </w:rPr>
              <w:t>3</w:t>
            </w:r>
          </w:p>
        </w:tc>
      </w:tr>
      <w:tr w:rsidR="009A3B86" w:rsidRPr="00013A53" w:rsidTr="00013A53">
        <w:trPr>
          <w:trHeight w:val="110"/>
        </w:trPr>
        <w:tc>
          <w:tcPr>
            <w:tcW w:w="2649" w:type="dxa"/>
          </w:tcPr>
          <w:p w:rsidR="009A3B86" w:rsidRPr="00013A53" w:rsidRDefault="009A3B86" w:rsidP="00FC55CF">
            <w:pPr>
              <w:pStyle w:val="Default"/>
              <w:contextualSpacing/>
              <w:rPr>
                <w:b/>
                <w:color w:val="auto"/>
                <w:sz w:val="20"/>
                <w:szCs w:val="20"/>
                <w:lang w:val="en-AU"/>
              </w:rPr>
            </w:pPr>
            <w:r w:rsidRPr="00013A53">
              <w:rPr>
                <w:b/>
                <w:color w:val="auto"/>
                <w:sz w:val="20"/>
                <w:szCs w:val="20"/>
                <w:lang w:val="en-AU"/>
              </w:rPr>
              <w:t>Operational reports</w:t>
            </w:r>
          </w:p>
        </w:tc>
        <w:tc>
          <w:tcPr>
            <w:tcW w:w="2268" w:type="dxa"/>
          </w:tcPr>
          <w:p w:rsidR="009A3B86" w:rsidRPr="00013A53" w:rsidRDefault="009A3B86" w:rsidP="007070F7">
            <w:pPr>
              <w:pStyle w:val="Default"/>
              <w:contextualSpacing/>
              <w:jc w:val="center"/>
              <w:rPr>
                <w:b/>
                <w:color w:val="auto"/>
                <w:sz w:val="20"/>
                <w:szCs w:val="20"/>
                <w:lang w:val="en-AU"/>
              </w:rPr>
            </w:pPr>
            <w:r w:rsidRPr="00013A53">
              <w:rPr>
                <w:b/>
                <w:color w:val="auto"/>
                <w:sz w:val="20"/>
                <w:szCs w:val="20"/>
                <w:lang w:val="en-AU"/>
              </w:rPr>
              <w:t>2</w:t>
            </w:r>
          </w:p>
        </w:tc>
      </w:tr>
      <w:tr w:rsidR="009A3B86" w:rsidRPr="00013A53" w:rsidTr="00013A53">
        <w:trPr>
          <w:trHeight w:val="110"/>
        </w:trPr>
        <w:tc>
          <w:tcPr>
            <w:tcW w:w="2649" w:type="dxa"/>
          </w:tcPr>
          <w:p w:rsidR="009A3B86" w:rsidRPr="00013A53" w:rsidRDefault="009A3B86" w:rsidP="00FC55CF">
            <w:pPr>
              <w:pStyle w:val="Default"/>
              <w:contextualSpacing/>
              <w:rPr>
                <w:b/>
                <w:color w:val="auto"/>
                <w:sz w:val="20"/>
                <w:szCs w:val="20"/>
                <w:lang w:val="en-AU"/>
              </w:rPr>
            </w:pPr>
            <w:r w:rsidRPr="00013A53">
              <w:rPr>
                <w:b/>
                <w:color w:val="auto"/>
                <w:sz w:val="20"/>
                <w:szCs w:val="20"/>
                <w:lang w:val="en-AU"/>
              </w:rPr>
              <w:t>Diagnostics</w:t>
            </w:r>
          </w:p>
        </w:tc>
        <w:tc>
          <w:tcPr>
            <w:tcW w:w="2268" w:type="dxa"/>
          </w:tcPr>
          <w:p w:rsidR="009A3B86" w:rsidRPr="00013A53" w:rsidRDefault="009A3B86" w:rsidP="007070F7">
            <w:pPr>
              <w:pStyle w:val="Default"/>
              <w:contextualSpacing/>
              <w:jc w:val="center"/>
              <w:rPr>
                <w:b/>
                <w:color w:val="auto"/>
                <w:sz w:val="20"/>
                <w:szCs w:val="20"/>
                <w:lang w:val="en-AU"/>
              </w:rPr>
            </w:pPr>
            <w:r w:rsidRPr="00013A53">
              <w:rPr>
                <w:b/>
                <w:color w:val="auto"/>
                <w:sz w:val="20"/>
                <w:szCs w:val="20"/>
                <w:lang w:val="en-AU"/>
              </w:rPr>
              <w:t>1</w:t>
            </w:r>
          </w:p>
        </w:tc>
      </w:tr>
      <w:tr w:rsidR="009A3B86" w:rsidRPr="00013A53" w:rsidTr="00013A53">
        <w:trPr>
          <w:trHeight w:val="110"/>
        </w:trPr>
        <w:tc>
          <w:tcPr>
            <w:tcW w:w="2649" w:type="dxa"/>
          </w:tcPr>
          <w:p w:rsidR="009A3B86" w:rsidRPr="00013A53" w:rsidRDefault="009A3B86" w:rsidP="00FC55CF">
            <w:pPr>
              <w:pStyle w:val="Default"/>
              <w:contextualSpacing/>
              <w:rPr>
                <w:b/>
                <w:color w:val="auto"/>
                <w:sz w:val="20"/>
                <w:szCs w:val="20"/>
                <w:lang w:val="en-AU"/>
              </w:rPr>
            </w:pPr>
            <w:r w:rsidRPr="00013A53">
              <w:rPr>
                <w:b/>
                <w:color w:val="auto"/>
                <w:sz w:val="20"/>
                <w:szCs w:val="20"/>
                <w:lang w:val="en-AU"/>
              </w:rPr>
              <w:t>Refrigeration monitoring</w:t>
            </w:r>
          </w:p>
        </w:tc>
        <w:tc>
          <w:tcPr>
            <w:tcW w:w="2268" w:type="dxa"/>
          </w:tcPr>
          <w:p w:rsidR="009A3B86" w:rsidRPr="00013A53" w:rsidRDefault="009A3B86" w:rsidP="007070F7">
            <w:pPr>
              <w:pStyle w:val="Default"/>
              <w:contextualSpacing/>
              <w:jc w:val="center"/>
              <w:rPr>
                <w:b/>
                <w:color w:val="auto"/>
                <w:sz w:val="20"/>
                <w:szCs w:val="20"/>
                <w:lang w:val="en-AU"/>
              </w:rPr>
            </w:pPr>
            <w:r w:rsidRPr="00013A53">
              <w:rPr>
                <w:b/>
                <w:color w:val="auto"/>
                <w:sz w:val="20"/>
                <w:szCs w:val="20"/>
                <w:lang w:val="en-AU"/>
              </w:rPr>
              <w:t>1</w:t>
            </w:r>
          </w:p>
        </w:tc>
      </w:tr>
      <w:tr w:rsidR="009A3B86" w:rsidRPr="00013A53" w:rsidTr="00013A53">
        <w:trPr>
          <w:trHeight w:val="110"/>
        </w:trPr>
        <w:tc>
          <w:tcPr>
            <w:tcW w:w="2649" w:type="dxa"/>
          </w:tcPr>
          <w:p w:rsidR="009A3B86" w:rsidRPr="00013A53" w:rsidRDefault="009A3B86" w:rsidP="00FC55CF">
            <w:pPr>
              <w:pStyle w:val="Default"/>
              <w:contextualSpacing/>
              <w:rPr>
                <w:b/>
                <w:color w:val="auto"/>
                <w:sz w:val="20"/>
                <w:szCs w:val="20"/>
                <w:lang w:val="en-AU"/>
              </w:rPr>
            </w:pPr>
            <w:r w:rsidRPr="00013A53">
              <w:rPr>
                <w:b/>
                <w:color w:val="auto"/>
                <w:sz w:val="20"/>
                <w:szCs w:val="20"/>
                <w:lang w:val="en-AU"/>
              </w:rPr>
              <w:t>Fuel monitoring</w:t>
            </w:r>
          </w:p>
        </w:tc>
        <w:tc>
          <w:tcPr>
            <w:tcW w:w="2268" w:type="dxa"/>
          </w:tcPr>
          <w:p w:rsidR="009A3B86" w:rsidRPr="00013A53" w:rsidRDefault="009A3B86" w:rsidP="007070F7">
            <w:pPr>
              <w:pStyle w:val="Default"/>
              <w:contextualSpacing/>
              <w:jc w:val="center"/>
              <w:rPr>
                <w:b/>
                <w:color w:val="auto"/>
                <w:sz w:val="20"/>
                <w:szCs w:val="20"/>
                <w:lang w:val="en-AU"/>
              </w:rPr>
            </w:pPr>
            <w:r w:rsidRPr="00013A53">
              <w:rPr>
                <w:b/>
                <w:color w:val="auto"/>
                <w:sz w:val="20"/>
                <w:szCs w:val="20"/>
                <w:lang w:val="en-AU"/>
              </w:rPr>
              <w:t>1</w:t>
            </w:r>
          </w:p>
        </w:tc>
      </w:tr>
    </w:tbl>
    <w:p w:rsidR="00CB5065" w:rsidRDefault="00CB5065" w:rsidP="00FC55CF">
      <w:pPr>
        <w:spacing w:after="0" w:line="240" w:lineRule="auto"/>
        <w:contextualSpacing/>
        <w:rPr>
          <w:rFonts w:ascii="Arial" w:hAnsi="Arial" w:cs="Arial"/>
          <w:sz w:val="20"/>
          <w:szCs w:val="20"/>
        </w:rPr>
      </w:pPr>
    </w:p>
    <w:p w:rsidR="009D64E5" w:rsidRPr="006B0263" w:rsidRDefault="007117D9" w:rsidP="00FC55CF">
      <w:pPr>
        <w:spacing w:after="0" w:line="240" w:lineRule="auto"/>
        <w:contextualSpacing/>
        <w:jc w:val="both"/>
        <w:rPr>
          <w:rFonts w:ascii="Arial" w:hAnsi="Arial" w:cs="Arial"/>
          <w:sz w:val="20"/>
          <w:szCs w:val="20"/>
        </w:rPr>
      </w:pPr>
      <w:r w:rsidRPr="006B0263">
        <w:rPr>
          <w:rFonts w:ascii="Arial" w:hAnsi="Arial" w:cs="Arial"/>
          <w:sz w:val="20"/>
          <w:szCs w:val="20"/>
        </w:rPr>
        <w:t xml:space="preserve">Today, operators purchase a </w:t>
      </w:r>
      <w:r w:rsidR="00F50274" w:rsidRPr="006B0263">
        <w:rPr>
          <w:rFonts w:ascii="Arial" w:hAnsi="Arial" w:cs="Arial"/>
          <w:sz w:val="20"/>
          <w:szCs w:val="20"/>
        </w:rPr>
        <w:t xml:space="preserve">wide </w:t>
      </w:r>
      <w:r w:rsidRPr="006B0263">
        <w:rPr>
          <w:rFonts w:ascii="Arial" w:hAnsi="Arial" w:cs="Arial"/>
          <w:sz w:val="20"/>
          <w:szCs w:val="20"/>
        </w:rPr>
        <w:t>variety of devices with</w:t>
      </w:r>
      <w:r w:rsidR="00DD1926" w:rsidRPr="006B0263">
        <w:rPr>
          <w:rFonts w:ascii="Arial" w:hAnsi="Arial" w:cs="Arial"/>
          <w:sz w:val="20"/>
          <w:szCs w:val="20"/>
        </w:rPr>
        <w:t xml:space="preserve"> many</w:t>
      </w:r>
      <w:r w:rsidRPr="006B0263">
        <w:rPr>
          <w:rFonts w:ascii="Arial" w:hAnsi="Arial" w:cs="Arial"/>
          <w:sz w:val="20"/>
          <w:szCs w:val="20"/>
        </w:rPr>
        <w:t xml:space="preserve"> </w:t>
      </w:r>
      <w:r w:rsidR="00E10B17">
        <w:rPr>
          <w:rFonts w:ascii="Arial" w:hAnsi="Arial" w:cs="Arial"/>
          <w:sz w:val="20"/>
          <w:szCs w:val="20"/>
        </w:rPr>
        <w:t>sophisticated</w:t>
      </w:r>
      <w:r w:rsidR="00E10B17" w:rsidRPr="006B0263">
        <w:rPr>
          <w:rFonts w:ascii="Arial" w:hAnsi="Arial" w:cs="Arial"/>
          <w:sz w:val="20"/>
          <w:szCs w:val="20"/>
        </w:rPr>
        <w:t xml:space="preserve"> </w:t>
      </w:r>
      <w:r w:rsidR="00DD1926" w:rsidRPr="006B0263">
        <w:rPr>
          <w:rFonts w:ascii="Arial" w:hAnsi="Arial" w:cs="Arial"/>
          <w:sz w:val="20"/>
          <w:szCs w:val="20"/>
        </w:rPr>
        <w:t xml:space="preserve">computerised </w:t>
      </w:r>
      <w:r w:rsidRPr="006B0263">
        <w:rPr>
          <w:rFonts w:ascii="Arial" w:hAnsi="Arial" w:cs="Arial"/>
          <w:sz w:val="20"/>
          <w:szCs w:val="20"/>
        </w:rPr>
        <w:t xml:space="preserve">functions and capacity to plug in applications of all </w:t>
      </w:r>
      <w:r w:rsidR="00736E80" w:rsidRPr="006B0263">
        <w:rPr>
          <w:rFonts w:ascii="Arial" w:hAnsi="Arial" w:cs="Arial"/>
          <w:sz w:val="20"/>
          <w:szCs w:val="20"/>
        </w:rPr>
        <w:t>types</w:t>
      </w:r>
      <w:r w:rsidRPr="006B0263">
        <w:rPr>
          <w:rFonts w:ascii="Arial" w:hAnsi="Arial" w:cs="Arial"/>
          <w:sz w:val="20"/>
          <w:szCs w:val="20"/>
        </w:rPr>
        <w:t xml:space="preserve">. </w:t>
      </w:r>
      <w:r w:rsidR="00076593" w:rsidRPr="006B0263">
        <w:rPr>
          <w:rFonts w:ascii="Arial" w:hAnsi="Arial" w:cs="Arial"/>
          <w:sz w:val="20"/>
          <w:szCs w:val="20"/>
        </w:rPr>
        <w:t>A</w:t>
      </w:r>
      <w:r w:rsidR="00736E80" w:rsidRPr="006B0263">
        <w:rPr>
          <w:rFonts w:ascii="Arial" w:hAnsi="Arial" w:cs="Arial"/>
          <w:sz w:val="20"/>
          <w:szCs w:val="20"/>
        </w:rPr>
        <w:t xml:space="preserve"> simple </w:t>
      </w:r>
      <w:r w:rsidRPr="006B0263">
        <w:rPr>
          <w:rFonts w:ascii="Arial" w:hAnsi="Arial" w:cs="Arial"/>
          <w:sz w:val="20"/>
          <w:szCs w:val="20"/>
        </w:rPr>
        <w:t>yet</w:t>
      </w:r>
      <w:r w:rsidR="00076593" w:rsidRPr="006B0263">
        <w:rPr>
          <w:rFonts w:ascii="Arial" w:hAnsi="Arial" w:cs="Arial"/>
          <w:sz w:val="20"/>
          <w:szCs w:val="20"/>
        </w:rPr>
        <w:t xml:space="preserve"> serious barrier to industry</w:t>
      </w:r>
      <w:r w:rsidR="00736E80" w:rsidRPr="006B0263">
        <w:rPr>
          <w:rFonts w:ascii="Arial" w:hAnsi="Arial" w:cs="Arial"/>
          <w:sz w:val="20"/>
          <w:szCs w:val="20"/>
        </w:rPr>
        <w:t>’s</w:t>
      </w:r>
      <w:r w:rsidR="00076593" w:rsidRPr="006B0263">
        <w:rPr>
          <w:rFonts w:ascii="Arial" w:hAnsi="Arial" w:cs="Arial"/>
          <w:sz w:val="20"/>
          <w:szCs w:val="20"/>
        </w:rPr>
        <w:t xml:space="preserve"> participation</w:t>
      </w:r>
      <w:r w:rsidRPr="006B0263">
        <w:rPr>
          <w:rFonts w:ascii="Arial" w:hAnsi="Arial" w:cs="Arial"/>
          <w:sz w:val="20"/>
          <w:szCs w:val="20"/>
        </w:rPr>
        <w:t xml:space="preserve"> in</w:t>
      </w:r>
      <w:r w:rsidR="00076593" w:rsidRPr="006B0263">
        <w:rPr>
          <w:rFonts w:ascii="Arial" w:hAnsi="Arial" w:cs="Arial"/>
          <w:sz w:val="20"/>
          <w:szCs w:val="20"/>
        </w:rPr>
        <w:t xml:space="preserve"> </w:t>
      </w:r>
      <w:r w:rsidRPr="006B0263">
        <w:rPr>
          <w:rFonts w:ascii="Arial" w:hAnsi="Arial" w:cs="Arial"/>
          <w:sz w:val="20"/>
          <w:szCs w:val="20"/>
        </w:rPr>
        <w:t xml:space="preserve">IAP </w:t>
      </w:r>
      <w:r w:rsidR="00076593" w:rsidRPr="006B0263">
        <w:rPr>
          <w:rFonts w:ascii="Arial" w:hAnsi="Arial" w:cs="Arial"/>
          <w:sz w:val="20"/>
          <w:szCs w:val="20"/>
        </w:rPr>
        <w:t xml:space="preserve">has been </w:t>
      </w:r>
      <w:r w:rsidR="001A457A" w:rsidRPr="006B0263">
        <w:rPr>
          <w:rFonts w:ascii="Arial" w:hAnsi="Arial" w:cs="Arial"/>
          <w:sz w:val="20"/>
          <w:szCs w:val="20"/>
        </w:rPr>
        <w:t xml:space="preserve">an </w:t>
      </w:r>
      <w:r w:rsidR="00076593" w:rsidRPr="006B0263">
        <w:rPr>
          <w:rFonts w:ascii="Arial" w:hAnsi="Arial" w:cs="Arial"/>
          <w:sz w:val="20"/>
          <w:szCs w:val="20"/>
        </w:rPr>
        <w:t xml:space="preserve">historic </w:t>
      </w:r>
      <w:r w:rsidR="00E260E0" w:rsidRPr="006B0263">
        <w:rPr>
          <w:rFonts w:ascii="Arial" w:hAnsi="Arial" w:cs="Arial"/>
          <w:sz w:val="20"/>
          <w:szCs w:val="20"/>
        </w:rPr>
        <w:t>reluctance</w:t>
      </w:r>
      <w:r w:rsidR="00076593" w:rsidRPr="006B0263">
        <w:rPr>
          <w:rFonts w:ascii="Arial" w:hAnsi="Arial" w:cs="Arial"/>
          <w:sz w:val="20"/>
          <w:szCs w:val="20"/>
        </w:rPr>
        <w:t xml:space="preserve"> to permit </w:t>
      </w:r>
      <w:r w:rsidR="00981CDA">
        <w:rPr>
          <w:rFonts w:ascii="Arial" w:hAnsi="Arial" w:cs="Arial"/>
          <w:sz w:val="20"/>
          <w:szCs w:val="20"/>
        </w:rPr>
        <w:t xml:space="preserve">non-accredited </w:t>
      </w:r>
      <w:r w:rsidR="00076593" w:rsidRPr="006B0263">
        <w:rPr>
          <w:rFonts w:ascii="Arial" w:hAnsi="Arial" w:cs="Arial"/>
          <w:sz w:val="20"/>
          <w:szCs w:val="20"/>
        </w:rPr>
        <w:t xml:space="preserve">equipment </w:t>
      </w:r>
      <w:r w:rsidRPr="006B0263">
        <w:rPr>
          <w:rFonts w:ascii="Arial" w:hAnsi="Arial" w:cs="Arial"/>
          <w:sz w:val="20"/>
          <w:szCs w:val="20"/>
        </w:rPr>
        <w:t>owned</w:t>
      </w:r>
      <w:r w:rsidR="00E260E0" w:rsidRPr="006B0263">
        <w:rPr>
          <w:rFonts w:ascii="Arial" w:hAnsi="Arial" w:cs="Arial"/>
          <w:sz w:val="20"/>
          <w:szCs w:val="20"/>
        </w:rPr>
        <w:t xml:space="preserve"> </w:t>
      </w:r>
      <w:r w:rsidRPr="006B0263">
        <w:rPr>
          <w:rFonts w:ascii="Arial" w:hAnsi="Arial" w:cs="Arial"/>
          <w:sz w:val="20"/>
          <w:szCs w:val="20"/>
        </w:rPr>
        <w:t>by operator</w:t>
      </w:r>
      <w:r w:rsidR="00E260E0" w:rsidRPr="006B0263">
        <w:rPr>
          <w:rFonts w:ascii="Arial" w:hAnsi="Arial" w:cs="Arial"/>
          <w:sz w:val="20"/>
          <w:szCs w:val="20"/>
        </w:rPr>
        <w:t>s</w:t>
      </w:r>
      <w:r w:rsidRPr="006B0263">
        <w:rPr>
          <w:rFonts w:ascii="Arial" w:hAnsi="Arial" w:cs="Arial"/>
          <w:sz w:val="20"/>
          <w:szCs w:val="20"/>
        </w:rPr>
        <w:t xml:space="preserve"> </w:t>
      </w:r>
      <w:r w:rsidR="00076593" w:rsidRPr="006B0263">
        <w:rPr>
          <w:rFonts w:ascii="Arial" w:hAnsi="Arial" w:cs="Arial"/>
          <w:sz w:val="20"/>
          <w:szCs w:val="20"/>
        </w:rPr>
        <w:t>to be used.</w:t>
      </w:r>
      <w:r w:rsidR="00A22DE3" w:rsidRPr="006B0263">
        <w:rPr>
          <w:rFonts w:ascii="Arial" w:hAnsi="Arial" w:cs="Arial"/>
          <w:sz w:val="20"/>
          <w:szCs w:val="20"/>
        </w:rPr>
        <w:t xml:space="preserve"> F</w:t>
      </w:r>
      <w:r w:rsidR="00D903FE" w:rsidRPr="006B0263">
        <w:rPr>
          <w:rFonts w:ascii="Arial" w:hAnsi="Arial" w:cs="Arial"/>
          <w:sz w:val="20"/>
          <w:szCs w:val="20"/>
        </w:rPr>
        <w:t xml:space="preserve">orcing equipment purchases </w:t>
      </w:r>
      <w:r w:rsidR="003E5DA4" w:rsidRPr="006B0263">
        <w:rPr>
          <w:rFonts w:ascii="Arial" w:hAnsi="Arial" w:cs="Arial"/>
          <w:sz w:val="20"/>
          <w:szCs w:val="20"/>
        </w:rPr>
        <w:t>(</w:t>
      </w:r>
      <w:r w:rsidR="004E1449">
        <w:rPr>
          <w:rFonts w:ascii="Arial" w:hAnsi="Arial" w:cs="Arial"/>
          <w:sz w:val="20"/>
          <w:szCs w:val="20"/>
        </w:rPr>
        <w:t xml:space="preserve">which </w:t>
      </w:r>
      <w:r w:rsidR="001A457A" w:rsidRPr="006B0263">
        <w:rPr>
          <w:rFonts w:ascii="Arial" w:hAnsi="Arial" w:cs="Arial"/>
          <w:sz w:val="20"/>
          <w:szCs w:val="20"/>
        </w:rPr>
        <w:t xml:space="preserve">we understand from </w:t>
      </w:r>
      <w:r w:rsidR="004E1449">
        <w:rPr>
          <w:rFonts w:ascii="Arial" w:hAnsi="Arial" w:cs="Arial"/>
          <w:sz w:val="20"/>
          <w:szCs w:val="20"/>
        </w:rPr>
        <w:t xml:space="preserve">the recent IAP surveys </w:t>
      </w:r>
      <w:r w:rsidR="000038A6">
        <w:rPr>
          <w:rFonts w:ascii="Arial" w:hAnsi="Arial" w:cs="Arial"/>
          <w:sz w:val="20"/>
          <w:szCs w:val="20"/>
        </w:rPr>
        <w:t>typically amount to</w:t>
      </w:r>
      <w:r w:rsidR="00D903FE" w:rsidRPr="006B0263">
        <w:rPr>
          <w:rFonts w:ascii="Arial" w:hAnsi="Arial" w:cs="Arial"/>
          <w:sz w:val="20"/>
          <w:szCs w:val="20"/>
        </w:rPr>
        <w:t xml:space="preserve"> $1800</w:t>
      </w:r>
      <w:r w:rsidR="00A22DE3" w:rsidRPr="006B0263">
        <w:rPr>
          <w:rFonts w:ascii="Arial" w:hAnsi="Arial" w:cs="Arial"/>
          <w:sz w:val="20"/>
          <w:szCs w:val="20"/>
        </w:rPr>
        <w:t xml:space="preserve"> - $2200</w:t>
      </w:r>
      <w:r w:rsidR="00D903FE" w:rsidRPr="006B0263">
        <w:rPr>
          <w:rFonts w:ascii="Arial" w:hAnsi="Arial" w:cs="Arial"/>
          <w:sz w:val="20"/>
          <w:szCs w:val="20"/>
        </w:rPr>
        <w:t xml:space="preserve"> per </w:t>
      </w:r>
      <w:r w:rsidR="000038A6">
        <w:rPr>
          <w:rFonts w:ascii="Arial" w:hAnsi="Arial" w:cs="Arial"/>
          <w:sz w:val="20"/>
          <w:szCs w:val="20"/>
        </w:rPr>
        <w:t xml:space="preserve">vehicle </w:t>
      </w:r>
      <w:r w:rsidR="00D903FE" w:rsidRPr="006B0263">
        <w:rPr>
          <w:rFonts w:ascii="Arial" w:hAnsi="Arial" w:cs="Arial"/>
          <w:sz w:val="20"/>
          <w:szCs w:val="20"/>
        </w:rPr>
        <w:t>installation</w:t>
      </w:r>
      <w:r w:rsidR="003E5DA4" w:rsidRPr="006B0263">
        <w:rPr>
          <w:rFonts w:ascii="Arial" w:hAnsi="Arial" w:cs="Arial"/>
          <w:sz w:val="20"/>
          <w:szCs w:val="20"/>
        </w:rPr>
        <w:t>)</w:t>
      </w:r>
      <w:r w:rsidR="00D903FE" w:rsidRPr="006B0263">
        <w:rPr>
          <w:rFonts w:ascii="Arial" w:hAnsi="Arial" w:cs="Arial"/>
          <w:sz w:val="20"/>
          <w:szCs w:val="20"/>
        </w:rPr>
        <w:t xml:space="preserve"> and </w:t>
      </w:r>
      <w:r w:rsidR="003E5DA4" w:rsidRPr="006B0263">
        <w:rPr>
          <w:rFonts w:ascii="Arial" w:hAnsi="Arial" w:cs="Arial"/>
          <w:sz w:val="20"/>
          <w:szCs w:val="20"/>
        </w:rPr>
        <w:t xml:space="preserve">ongoing </w:t>
      </w:r>
      <w:r w:rsidR="001A457A" w:rsidRPr="006B0263">
        <w:rPr>
          <w:rFonts w:ascii="Arial" w:hAnsi="Arial" w:cs="Arial"/>
          <w:sz w:val="20"/>
          <w:szCs w:val="20"/>
        </w:rPr>
        <w:t>costs</w:t>
      </w:r>
      <w:r w:rsidR="00D903FE" w:rsidRPr="006B0263">
        <w:rPr>
          <w:rFonts w:ascii="Arial" w:hAnsi="Arial" w:cs="Arial"/>
          <w:sz w:val="20"/>
          <w:szCs w:val="20"/>
        </w:rPr>
        <w:t xml:space="preserve"> </w:t>
      </w:r>
      <w:r w:rsidR="003E5DA4" w:rsidRPr="006B0263">
        <w:rPr>
          <w:rFonts w:ascii="Arial" w:hAnsi="Arial" w:cs="Arial"/>
          <w:sz w:val="20"/>
          <w:szCs w:val="20"/>
        </w:rPr>
        <w:t>(</w:t>
      </w:r>
      <w:r w:rsidR="000038A6">
        <w:rPr>
          <w:rFonts w:ascii="Arial" w:hAnsi="Arial" w:cs="Arial"/>
          <w:sz w:val="20"/>
          <w:szCs w:val="20"/>
        </w:rPr>
        <w:t xml:space="preserve">typically </w:t>
      </w:r>
      <w:r w:rsidR="00D903FE" w:rsidRPr="006B0263">
        <w:rPr>
          <w:rFonts w:ascii="Arial" w:hAnsi="Arial" w:cs="Arial"/>
          <w:sz w:val="20"/>
          <w:szCs w:val="20"/>
        </w:rPr>
        <w:t>around $</w:t>
      </w:r>
      <w:r w:rsidR="00A22DE3" w:rsidRPr="006B0263">
        <w:rPr>
          <w:rFonts w:ascii="Arial" w:hAnsi="Arial" w:cs="Arial"/>
          <w:sz w:val="20"/>
          <w:szCs w:val="20"/>
        </w:rPr>
        <w:t>100 -$</w:t>
      </w:r>
      <w:r w:rsidR="00D903FE" w:rsidRPr="006B0263">
        <w:rPr>
          <w:rFonts w:ascii="Arial" w:hAnsi="Arial" w:cs="Arial"/>
          <w:sz w:val="20"/>
          <w:szCs w:val="20"/>
        </w:rPr>
        <w:t>150 per month</w:t>
      </w:r>
      <w:r w:rsidR="00A22DE3" w:rsidRPr="006B0263">
        <w:rPr>
          <w:rFonts w:ascii="Arial" w:hAnsi="Arial" w:cs="Arial"/>
          <w:sz w:val="20"/>
          <w:szCs w:val="20"/>
        </w:rPr>
        <w:t xml:space="preserve"> per vehicle</w:t>
      </w:r>
      <w:r w:rsidR="007E5E89">
        <w:rPr>
          <w:rFonts w:ascii="Arial" w:hAnsi="Arial" w:cs="Arial"/>
          <w:sz w:val="20"/>
          <w:szCs w:val="20"/>
        </w:rPr>
        <w:t xml:space="preserve"> plus any audit costs</w:t>
      </w:r>
      <w:r w:rsidR="003E5DA4" w:rsidRPr="006B0263">
        <w:rPr>
          <w:rFonts w:ascii="Arial" w:hAnsi="Arial" w:cs="Arial"/>
          <w:sz w:val="20"/>
          <w:szCs w:val="20"/>
        </w:rPr>
        <w:t>)</w:t>
      </w:r>
      <w:r w:rsidR="001A457A" w:rsidRPr="006B0263">
        <w:rPr>
          <w:rFonts w:ascii="Arial" w:hAnsi="Arial" w:cs="Arial"/>
          <w:sz w:val="20"/>
          <w:szCs w:val="20"/>
        </w:rPr>
        <w:t xml:space="preserve"> </w:t>
      </w:r>
      <w:r w:rsidR="00D903FE" w:rsidRPr="006B0263">
        <w:rPr>
          <w:rFonts w:ascii="Arial" w:hAnsi="Arial" w:cs="Arial"/>
          <w:sz w:val="20"/>
          <w:szCs w:val="20"/>
        </w:rPr>
        <w:t xml:space="preserve">for </w:t>
      </w:r>
      <w:r w:rsidR="003E5DA4" w:rsidRPr="006B0263">
        <w:rPr>
          <w:rFonts w:ascii="Arial" w:hAnsi="Arial" w:cs="Arial"/>
          <w:sz w:val="20"/>
          <w:szCs w:val="20"/>
        </w:rPr>
        <w:t>a</w:t>
      </w:r>
      <w:r w:rsidR="00D903FE" w:rsidRPr="006B0263">
        <w:rPr>
          <w:rFonts w:ascii="Arial" w:hAnsi="Arial" w:cs="Arial"/>
          <w:sz w:val="20"/>
          <w:szCs w:val="20"/>
        </w:rPr>
        <w:t xml:space="preserve"> </w:t>
      </w:r>
      <w:r w:rsidR="001A457A" w:rsidRPr="006B0263">
        <w:rPr>
          <w:rFonts w:ascii="Arial" w:hAnsi="Arial" w:cs="Arial"/>
          <w:sz w:val="20"/>
          <w:szCs w:val="20"/>
        </w:rPr>
        <w:t>service</w:t>
      </w:r>
      <w:r w:rsidR="00D903FE" w:rsidRPr="006B0263">
        <w:rPr>
          <w:rFonts w:ascii="Arial" w:hAnsi="Arial" w:cs="Arial"/>
          <w:sz w:val="20"/>
          <w:szCs w:val="20"/>
        </w:rPr>
        <w:t xml:space="preserve"> </w:t>
      </w:r>
      <w:r w:rsidR="003E5DA4" w:rsidRPr="006B0263">
        <w:rPr>
          <w:rFonts w:ascii="Arial" w:hAnsi="Arial" w:cs="Arial"/>
          <w:sz w:val="20"/>
          <w:szCs w:val="20"/>
        </w:rPr>
        <w:t xml:space="preserve">over which </w:t>
      </w:r>
      <w:r w:rsidR="00EE5AD0" w:rsidRPr="006B0263">
        <w:rPr>
          <w:rFonts w:ascii="Arial" w:hAnsi="Arial" w:cs="Arial"/>
          <w:sz w:val="20"/>
          <w:szCs w:val="20"/>
        </w:rPr>
        <w:t>participants</w:t>
      </w:r>
      <w:r w:rsidR="003E5DA4" w:rsidRPr="006B0263">
        <w:rPr>
          <w:rFonts w:ascii="Arial" w:hAnsi="Arial" w:cs="Arial"/>
          <w:sz w:val="20"/>
          <w:szCs w:val="20"/>
        </w:rPr>
        <w:t xml:space="preserve"> have </w:t>
      </w:r>
      <w:r w:rsidR="00E260E0" w:rsidRPr="006B0263">
        <w:rPr>
          <w:rFonts w:ascii="Arial" w:hAnsi="Arial" w:cs="Arial"/>
          <w:sz w:val="20"/>
          <w:szCs w:val="20"/>
        </w:rPr>
        <w:t>no</w:t>
      </w:r>
      <w:r w:rsidR="003E5DA4" w:rsidRPr="006B0263">
        <w:rPr>
          <w:rFonts w:ascii="Arial" w:hAnsi="Arial" w:cs="Arial"/>
          <w:sz w:val="20"/>
          <w:szCs w:val="20"/>
        </w:rPr>
        <w:t xml:space="preserve"> </w:t>
      </w:r>
      <w:r w:rsidR="00E260E0" w:rsidRPr="006B0263">
        <w:rPr>
          <w:rFonts w:ascii="Arial" w:hAnsi="Arial" w:cs="Arial"/>
          <w:sz w:val="20"/>
          <w:szCs w:val="20"/>
        </w:rPr>
        <w:t xml:space="preserve">ownership </w:t>
      </w:r>
      <w:r w:rsidR="00E37E2D" w:rsidRPr="006B0263">
        <w:rPr>
          <w:rFonts w:ascii="Arial" w:hAnsi="Arial" w:cs="Arial"/>
          <w:sz w:val="20"/>
          <w:szCs w:val="20"/>
        </w:rPr>
        <w:t>and little</w:t>
      </w:r>
      <w:r w:rsidR="00E260E0" w:rsidRPr="006B0263">
        <w:rPr>
          <w:rFonts w:ascii="Arial" w:hAnsi="Arial" w:cs="Arial"/>
          <w:sz w:val="20"/>
          <w:szCs w:val="20"/>
        </w:rPr>
        <w:t xml:space="preserve"> </w:t>
      </w:r>
      <w:r w:rsidR="003E5DA4" w:rsidRPr="006B0263">
        <w:rPr>
          <w:rFonts w:ascii="Arial" w:hAnsi="Arial" w:cs="Arial"/>
          <w:sz w:val="20"/>
          <w:szCs w:val="20"/>
        </w:rPr>
        <w:t>control</w:t>
      </w:r>
      <w:r w:rsidR="00DE6AE3" w:rsidRPr="006B0263">
        <w:rPr>
          <w:rFonts w:ascii="Arial" w:hAnsi="Arial" w:cs="Arial"/>
          <w:sz w:val="20"/>
          <w:szCs w:val="20"/>
        </w:rPr>
        <w:t xml:space="preserve"> </w:t>
      </w:r>
      <w:r w:rsidR="00E37E2D" w:rsidRPr="006B0263">
        <w:rPr>
          <w:rFonts w:ascii="Arial" w:hAnsi="Arial" w:cs="Arial"/>
          <w:sz w:val="20"/>
          <w:szCs w:val="20"/>
        </w:rPr>
        <w:t>is</w:t>
      </w:r>
      <w:r w:rsidR="00D903FE" w:rsidRPr="006B0263">
        <w:rPr>
          <w:rFonts w:ascii="Arial" w:hAnsi="Arial" w:cs="Arial"/>
          <w:sz w:val="20"/>
          <w:szCs w:val="20"/>
        </w:rPr>
        <w:t xml:space="preserve"> unreasonable. </w:t>
      </w:r>
      <w:r w:rsidR="00C16D0A" w:rsidRPr="006B0263">
        <w:rPr>
          <w:rFonts w:ascii="Arial" w:hAnsi="Arial" w:cs="Arial"/>
          <w:sz w:val="20"/>
          <w:szCs w:val="20"/>
        </w:rPr>
        <w:t xml:space="preserve">An open standard for devices </w:t>
      </w:r>
      <w:r w:rsidR="001A457A" w:rsidRPr="006B0263">
        <w:rPr>
          <w:rFonts w:ascii="Arial" w:hAnsi="Arial" w:cs="Arial"/>
          <w:sz w:val="20"/>
          <w:szCs w:val="20"/>
        </w:rPr>
        <w:t>would</w:t>
      </w:r>
      <w:r w:rsidR="00C16D0A" w:rsidRPr="006B0263">
        <w:rPr>
          <w:rFonts w:ascii="Arial" w:hAnsi="Arial" w:cs="Arial"/>
          <w:sz w:val="20"/>
          <w:szCs w:val="20"/>
        </w:rPr>
        <w:t xml:space="preserve"> </w:t>
      </w:r>
      <w:r w:rsidR="00A22DE3" w:rsidRPr="006B0263">
        <w:rPr>
          <w:rFonts w:ascii="Arial" w:hAnsi="Arial" w:cs="Arial"/>
          <w:sz w:val="20"/>
          <w:szCs w:val="20"/>
        </w:rPr>
        <w:t>collect</w:t>
      </w:r>
      <w:r w:rsidR="00C16D0A" w:rsidRPr="006B0263">
        <w:rPr>
          <w:rFonts w:ascii="Arial" w:hAnsi="Arial" w:cs="Arial"/>
          <w:sz w:val="20"/>
          <w:szCs w:val="20"/>
        </w:rPr>
        <w:t xml:space="preserve"> </w:t>
      </w:r>
      <w:r w:rsidR="00205B2F">
        <w:rPr>
          <w:rFonts w:ascii="Arial" w:hAnsi="Arial" w:cs="Arial"/>
          <w:sz w:val="20"/>
          <w:szCs w:val="20"/>
        </w:rPr>
        <w:t xml:space="preserve">the </w:t>
      </w:r>
      <w:r w:rsidR="00C16D0A" w:rsidRPr="006B0263">
        <w:rPr>
          <w:rFonts w:ascii="Arial" w:hAnsi="Arial" w:cs="Arial"/>
          <w:sz w:val="20"/>
          <w:szCs w:val="20"/>
        </w:rPr>
        <w:t xml:space="preserve">data </w:t>
      </w:r>
      <w:r w:rsidR="00A22DE3" w:rsidRPr="006B0263">
        <w:rPr>
          <w:rFonts w:ascii="Arial" w:hAnsi="Arial" w:cs="Arial"/>
          <w:sz w:val="20"/>
          <w:szCs w:val="20"/>
        </w:rPr>
        <w:t xml:space="preserve">a </w:t>
      </w:r>
      <w:r w:rsidR="00C16D0A" w:rsidRPr="006B0263">
        <w:rPr>
          <w:rFonts w:ascii="Arial" w:hAnsi="Arial" w:cs="Arial"/>
          <w:sz w:val="20"/>
          <w:szCs w:val="20"/>
        </w:rPr>
        <w:t>court requires</w:t>
      </w:r>
      <w:r w:rsidR="001A457A" w:rsidRPr="006B0263">
        <w:rPr>
          <w:rFonts w:ascii="Arial" w:hAnsi="Arial" w:cs="Arial"/>
          <w:sz w:val="20"/>
          <w:szCs w:val="20"/>
        </w:rPr>
        <w:t xml:space="preserve"> as well as </w:t>
      </w:r>
      <w:r w:rsidR="00205B2F">
        <w:rPr>
          <w:rFonts w:ascii="Arial" w:hAnsi="Arial" w:cs="Arial"/>
          <w:sz w:val="20"/>
          <w:szCs w:val="20"/>
        </w:rPr>
        <w:t xml:space="preserve">the </w:t>
      </w:r>
      <w:r w:rsidR="001A457A" w:rsidRPr="006B0263">
        <w:rPr>
          <w:rFonts w:ascii="Arial" w:hAnsi="Arial" w:cs="Arial"/>
          <w:sz w:val="20"/>
          <w:szCs w:val="20"/>
        </w:rPr>
        <w:t xml:space="preserve">data </w:t>
      </w:r>
      <w:r w:rsidR="00205B2F">
        <w:rPr>
          <w:rFonts w:ascii="Arial" w:hAnsi="Arial" w:cs="Arial"/>
          <w:sz w:val="20"/>
          <w:szCs w:val="20"/>
        </w:rPr>
        <w:t>a</w:t>
      </w:r>
      <w:r w:rsidR="001A457A" w:rsidRPr="006B0263">
        <w:rPr>
          <w:rFonts w:ascii="Arial" w:hAnsi="Arial" w:cs="Arial"/>
          <w:sz w:val="20"/>
          <w:szCs w:val="20"/>
        </w:rPr>
        <w:t xml:space="preserve"> company needs</w:t>
      </w:r>
      <w:r w:rsidR="00A22DE3" w:rsidRPr="006B0263">
        <w:rPr>
          <w:rFonts w:ascii="Arial" w:hAnsi="Arial" w:cs="Arial"/>
          <w:sz w:val="20"/>
          <w:szCs w:val="20"/>
        </w:rPr>
        <w:t xml:space="preserve"> </w:t>
      </w:r>
      <w:r w:rsidR="00205B2F">
        <w:rPr>
          <w:rFonts w:ascii="Arial" w:hAnsi="Arial" w:cs="Arial"/>
          <w:sz w:val="20"/>
          <w:szCs w:val="20"/>
        </w:rPr>
        <w:t>and it would not increase the threat of</w:t>
      </w:r>
      <w:r w:rsidR="00C16D0A" w:rsidRPr="006B0263">
        <w:rPr>
          <w:rFonts w:ascii="Arial" w:hAnsi="Arial" w:cs="Arial"/>
          <w:sz w:val="20"/>
          <w:szCs w:val="20"/>
        </w:rPr>
        <w:t xml:space="preserve"> tampering since </w:t>
      </w:r>
      <w:r w:rsidR="00A22DE3" w:rsidRPr="006B0263">
        <w:rPr>
          <w:rFonts w:ascii="Arial" w:hAnsi="Arial" w:cs="Arial"/>
          <w:sz w:val="20"/>
          <w:szCs w:val="20"/>
        </w:rPr>
        <w:t xml:space="preserve">researchers </w:t>
      </w:r>
      <w:r w:rsidR="006B0263">
        <w:rPr>
          <w:rFonts w:ascii="Arial" w:hAnsi="Arial" w:cs="Arial"/>
          <w:sz w:val="20"/>
          <w:szCs w:val="20"/>
        </w:rPr>
        <w:t xml:space="preserve">seem to </w:t>
      </w:r>
      <w:r w:rsidR="00A22DE3" w:rsidRPr="006B0263">
        <w:rPr>
          <w:rFonts w:ascii="Arial" w:hAnsi="Arial" w:cs="Arial"/>
          <w:sz w:val="20"/>
          <w:szCs w:val="20"/>
        </w:rPr>
        <w:t xml:space="preserve">agree </w:t>
      </w:r>
      <w:r w:rsidR="00C16D0A" w:rsidRPr="006B0263">
        <w:rPr>
          <w:rFonts w:ascii="Arial" w:hAnsi="Arial" w:cs="Arial"/>
          <w:sz w:val="20"/>
          <w:szCs w:val="20"/>
        </w:rPr>
        <w:t xml:space="preserve">any </w:t>
      </w:r>
      <w:r w:rsidR="00E20BDB" w:rsidRPr="006B0263">
        <w:rPr>
          <w:rFonts w:ascii="Arial" w:hAnsi="Arial" w:cs="Arial"/>
          <w:sz w:val="20"/>
          <w:szCs w:val="20"/>
        </w:rPr>
        <w:t xml:space="preserve">stand-alone </w:t>
      </w:r>
      <w:r w:rsidR="00C16D0A" w:rsidRPr="006B0263">
        <w:rPr>
          <w:rFonts w:ascii="Arial" w:hAnsi="Arial" w:cs="Arial"/>
          <w:sz w:val="20"/>
          <w:szCs w:val="20"/>
        </w:rPr>
        <w:t xml:space="preserve">device can be spoofed to produce false data. </w:t>
      </w:r>
    </w:p>
    <w:p w:rsidR="006B0263" w:rsidRPr="006B0263" w:rsidRDefault="006B0263" w:rsidP="00FC55CF">
      <w:pPr>
        <w:spacing w:after="0" w:line="240" w:lineRule="auto"/>
        <w:contextualSpacing/>
        <w:jc w:val="both"/>
        <w:rPr>
          <w:rFonts w:ascii="Arial" w:hAnsi="Arial" w:cs="Arial"/>
          <w:sz w:val="20"/>
          <w:szCs w:val="20"/>
        </w:rPr>
      </w:pPr>
    </w:p>
    <w:p w:rsidR="006B0263" w:rsidRPr="006B0263" w:rsidRDefault="006B0263" w:rsidP="00FC55CF">
      <w:pPr>
        <w:spacing w:after="0" w:line="240" w:lineRule="auto"/>
        <w:contextualSpacing/>
        <w:jc w:val="both"/>
        <w:rPr>
          <w:rFonts w:ascii="Arial" w:hAnsi="Arial" w:cs="Arial"/>
          <w:sz w:val="20"/>
          <w:szCs w:val="20"/>
        </w:rPr>
      </w:pPr>
      <w:r w:rsidRPr="006B0263">
        <w:rPr>
          <w:rFonts w:ascii="Arial" w:hAnsi="Arial" w:cs="Arial"/>
          <w:sz w:val="20"/>
          <w:szCs w:val="20"/>
        </w:rPr>
        <w:t>A key principle for private industry is that it is entitled to gather and manage information for its own purposes and that such commercially unique and valuable data may be sought on occasion as appropriate by the relevant authorities</w:t>
      </w:r>
      <w:r w:rsidR="00FB7354">
        <w:rPr>
          <w:rFonts w:ascii="Arial" w:hAnsi="Arial" w:cs="Arial"/>
          <w:sz w:val="20"/>
          <w:szCs w:val="20"/>
        </w:rPr>
        <w:t xml:space="preserve">. This data should </w:t>
      </w:r>
      <w:r w:rsidRPr="006B0263">
        <w:rPr>
          <w:rFonts w:ascii="Arial" w:hAnsi="Arial" w:cs="Arial"/>
          <w:sz w:val="20"/>
          <w:szCs w:val="20"/>
        </w:rPr>
        <w:t xml:space="preserve">not </w:t>
      </w:r>
      <w:r w:rsidR="004A2E6C">
        <w:rPr>
          <w:rFonts w:ascii="Arial" w:hAnsi="Arial" w:cs="Arial"/>
          <w:sz w:val="20"/>
          <w:szCs w:val="20"/>
        </w:rPr>
        <w:t xml:space="preserve">be </w:t>
      </w:r>
      <w:r w:rsidRPr="006B0263">
        <w:rPr>
          <w:rFonts w:ascii="Arial" w:hAnsi="Arial" w:cs="Arial"/>
          <w:sz w:val="20"/>
          <w:szCs w:val="20"/>
        </w:rPr>
        <w:t xml:space="preserve">permanently appropriated nor wielded as a weapon against legitimate </w:t>
      </w:r>
      <w:r w:rsidR="004C1FEA">
        <w:rPr>
          <w:rFonts w:ascii="Arial" w:hAnsi="Arial" w:cs="Arial"/>
          <w:sz w:val="20"/>
          <w:szCs w:val="20"/>
        </w:rPr>
        <w:t xml:space="preserve">business </w:t>
      </w:r>
      <w:r w:rsidRPr="006B0263">
        <w:rPr>
          <w:rFonts w:ascii="Arial" w:hAnsi="Arial" w:cs="Arial"/>
          <w:sz w:val="20"/>
          <w:szCs w:val="20"/>
        </w:rPr>
        <w:t>activity.</w:t>
      </w:r>
    </w:p>
    <w:p w:rsidR="006B0263" w:rsidRPr="006B0263" w:rsidRDefault="006B0263" w:rsidP="00FC55CF">
      <w:pPr>
        <w:spacing w:after="0" w:line="240" w:lineRule="auto"/>
        <w:contextualSpacing/>
        <w:jc w:val="both"/>
        <w:rPr>
          <w:rFonts w:ascii="Arial" w:hAnsi="Arial" w:cs="Arial"/>
          <w:sz w:val="20"/>
          <w:szCs w:val="20"/>
        </w:rPr>
      </w:pPr>
    </w:p>
    <w:p w:rsidR="004304A9" w:rsidRPr="006B0263" w:rsidRDefault="00CB5065" w:rsidP="00FC55CF">
      <w:pPr>
        <w:spacing w:after="0" w:line="240" w:lineRule="auto"/>
        <w:contextualSpacing/>
        <w:jc w:val="both"/>
        <w:rPr>
          <w:rFonts w:ascii="Arial" w:hAnsi="Arial" w:cs="Arial"/>
          <w:sz w:val="20"/>
          <w:szCs w:val="20"/>
        </w:rPr>
      </w:pPr>
      <w:r w:rsidRPr="006B0263">
        <w:rPr>
          <w:rFonts w:ascii="Arial" w:hAnsi="Arial" w:cs="Arial"/>
          <w:sz w:val="20"/>
          <w:szCs w:val="20"/>
        </w:rPr>
        <w:t>Since IAP was introduced, GPS/</w:t>
      </w:r>
      <w:r w:rsidR="004304A9" w:rsidRPr="006B0263">
        <w:rPr>
          <w:rFonts w:ascii="Arial" w:hAnsi="Arial" w:cs="Arial"/>
          <w:sz w:val="20"/>
          <w:szCs w:val="20"/>
        </w:rPr>
        <w:t xml:space="preserve">telematics systems have </w:t>
      </w:r>
      <w:r w:rsidR="00572137">
        <w:rPr>
          <w:rFonts w:ascii="Arial" w:hAnsi="Arial" w:cs="Arial"/>
          <w:sz w:val="20"/>
          <w:szCs w:val="20"/>
        </w:rPr>
        <w:t xml:space="preserve">also </w:t>
      </w:r>
      <w:r w:rsidR="004304A9" w:rsidRPr="006B0263">
        <w:rPr>
          <w:rFonts w:ascii="Arial" w:hAnsi="Arial" w:cs="Arial"/>
          <w:sz w:val="20"/>
          <w:szCs w:val="20"/>
        </w:rPr>
        <w:t xml:space="preserve">become so common that some people </w:t>
      </w:r>
      <w:r w:rsidR="00D8210F" w:rsidRPr="006B0263">
        <w:rPr>
          <w:rFonts w:ascii="Arial" w:hAnsi="Arial" w:cs="Arial"/>
          <w:sz w:val="20"/>
          <w:szCs w:val="20"/>
        </w:rPr>
        <w:t>see</w:t>
      </w:r>
      <w:r w:rsidR="004304A9" w:rsidRPr="006B0263">
        <w:rPr>
          <w:rFonts w:ascii="Arial" w:hAnsi="Arial" w:cs="Arial"/>
          <w:sz w:val="20"/>
          <w:szCs w:val="20"/>
        </w:rPr>
        <w:t xml:space="preserve"> vehicles these days </w:t>
      </w:r>
      <w:r w:rsidR="004304A9" w:rsidRPr="006B0263">
        <w:rPr>
          <w:rFonts w:ascii="Arial" w:hAnsi="Arial" w:cs="Arial"/>
          <w:i/>
          <w:sz w:val="20"/>
          <w:szCs w:val="20"/>
        </w:rPr>
        <w:t>“not [as] a simple machine of glass and steel but a hackable network of computers”</w:t>
      </w:r>
      <w:r w:rsidR="004304A9" w:rsidRPr="006B0263">
        <w:rPr>
          <w:rStyle w:val="FootnoteReference"/>
          <w:rFonts w:ascii="Arial" w:hAnsi="Arial" w:cs="Arial"/>
          <w:i/>
          <w:sz w:val="20"/>
          <w:szCs w:val="20"/>
        </w:rPr>
        <w:footnoteReference w:id="5"/>
      </w:r>
      <w:r w:rsidR="004304A9" w:rsidRPr="006B0263">
        <w:rPr>
          <w:rFonts w:ascii="Arial" w:hAnsi="Arial" w:cs="Arial"/>
          <w:i/>
          <w:sz w:val="20"/>
          <w:szCs w:val="20"/>
        </w:rPr>
        <w:t xml:space="preserve">. </w:t>
      </w:r>
      <w:r w:rsidR="00AB29BC">
        <w:rPr>
          <w:rFonts w:ascii="Arial" w:hAnsi="Arial" w:cs="Arial"/>
          <w:i/>
          <w:sz w:val="20"/>
          <w:szCs w:val="20"/>
        </w:rPr>
        <w:t>S</w:t>
      </w:r>
      <w:r w:rsidR="004304A9" w:rsidRPr="006B0263">
        <w:rPr>
          <w:rFonts w:ascii="Arial" w:hAnsi="Arial" w:cs="Arial"/>
          <w:sz w:val="20"/>
          <w:szCs w:val="20"/>
        </w:rPr>
        <w:t xml:space="preserve">tudies into tampering with engine management and control systems have </w:t>
      </w:r>
      <w:r w:rsidR="00305160">
        <w:rPr>
          <w:rFonts w:ascii="Arial" w:hAnsi="Arial" w:cs="Arial"/>
          <w:sz w:val="20"/>
          <w:szCs w:val="20"/>
        </w:rPr>
        <w:t xml:space="preserve">also </w:t>
      </w:r>
      <w:r w:rsidR="004304A9" w:rsidRPr="006B0263">
        <w:rPr>
          <w:rFonts w:ascii="Arial" w:hAnsi="Arial" w:cs="Arial"/>
          <w:sz w:val="20"/>
          <w:szCs w:val="20"/>
        </w:rPr>
        <w:t>emerged. In 2010, a team from the University of California San Diego</w:t>
      </w:r>
      <w:r w:rsidR="00DB20F1" w:rsidRPr="006B0263">
        <w:rPr>
          <w:rFonts w:ascii="Arial" w:hAnsi="Arial" w:cs="Arial"/>
          <w:sz w:val="20"/>
          <w:szCs w:val="20"/>
        </w:rPr>
        <w:t xml:space="preserve"> linked</w:t>
      </w:r>
      <w:r w:rsidR="004304A9" w:rsidRPr="006B0263">
        <w:rPr>
          <w:rFonts w:ascii="Arial" w:hAnsi="Arial" w:cs="Arial"/>
          <w:sz w:val="20"/>
          <w:szCs w:val="20"/>
        </w:rPr>
        <w:t xml:space="preserve"> remotely </w:t>
      </w:r>
      <w:r w:rsidR="00DB20F1" w:rsidRPr="006B0263">
        <w:rPr>
          <w:rFonts w:ascii="Arial" w:hAnsi="Arial" w:cs="Arial"/>
          <w:sz w:val="20"/>
          <w:szCs w:val="20"/>
        </w:rPr>
        <w:t>to</w:t>
      </w:r>
      <w:r w:rsidR="004304A9" w:rsidRPr="006B0263">
        <w:rPr>
          <w:rFonts w:ascii="Arial" w:hAnsi="Arial" w:cs="Arial"/>
          <w:sz w:val="20"/>
          <w:szCs w:val="20"/>
        </w:rPr>
        <w:t xml:space="preserve"> a test car’s mobile phone security system and inserted </w:t>
      </w:r>
      <w:r w:rsidR="00DB20F1" w:rsidRPr="006B0263">
        <w:rPr>
          <w:rFonts w:ascii="Arial" w:hAnsi="Arial" w:cs="Arial"/>
          <w:sz w:val="20"/>
          <w:szCs w:val="20"/>
        </w:rPr>
        <w:t xml:space="preserve">new </w:t>
      </w:r>
      <w:r w:rsidR="004304A9" w:rsidRPr="006B0263">
        <w:rPr>
          <w:rFonts w:ascii="Arial" w:hAnsi="Arial" w:cs="Arial"/>
          <w:sz w:val="20"/>
          <w:szCs w:val="20"/>
        </w:rPr>
        <w:t xml:space="preserve">software allowing commands </w:t>
      </w:r>
      <w:r w:rsidR="00305160">
        <w:rPr>
          <w:rFonts w:ascii="Arial" w:hAnsi="Arial" w:cs="Arial"/>
          <w:sz w:val="20"/>
          <w:szCs w:val="20"/>
        </w:rPr>
        <w:t xml:space="preserve">to be sent </w:t>
      </w:r>
      <w:r w:rsidR="004304A9" w:rsidRPr="006B0263">
        <w:rPr>
          <w:rFonts w:ascii="Arial" w:hAnsi="Arial" w:cs="Arial"/>
          <w:sz w:val="20"/>
          <w:szCs w:val="20"/>
        </w:rPr>
        <w:t xml:space="preserve">to the </w:t>
      </w:r>
      <w:r w:rsidR="00D227EE">
        <w:rPr>
          <w:rFonts w:ascii="Arial" w:hAnsi="Arial" w:cs="Arial"/>
          <w:sz w:val="20"/>
          <w:szCs w:val="20"/>
        </w:rPr>
        <w:t>engine management system</w:t>
      </w:r>
      <w:r w:rsidR="004304A9" w:rsidRPr="006B0263">
        <w:rPr>
          <w:rFonts w:ascii="Arial" w:hAnsi="Arial" w:cs="Arial"/>
          <w:sz w:val="20"/>
          <w:szCs w:val="20"/>
        </w:rPr>
        <w:t xml:space="preserve"> </w:t>
      </w:r>
      <w:r w:rsidR="00305160">
        <w:rPr>
          <w:rFonts w:ascii="Arial" w:hAnsi="Arial" w:cs="Arial"/>
          <w:sz w:val="20"/>
          <w:szCs w:val="20"/>
        </w:rPr>
        <w:t xml:space="preserve">that </w:t>
      </w:r>
      <w:r w:rsidR="004304A9" w:rsidRPr="006B0263">
        <w:rPr>
          <w:rFonts w:ascii="Arial" w:hAnsi="Arial" w:cs="Arial"/>
          <w:sz w:val="20"/>
          <w:szCs w:val="20"/>
        </w:rPr>
        <w:t>overr</w:t>
      </w:r>
      <w:r w:rsidR="00305160">
        <w:rPr>
          <w:rFonts w:ascii="Arial" w:hAnsi="Arial" w:cs="Arial"/>
          <w:sz w:val="20"/>
          <w:szCs w:val="20"/>
        </w:rPr>
        <w:t>o</w:t>
      </w:r>
      <w:r w:rsidR="004304A9" w:rsidRPr="006B0263">
        <w:rPr>
          <w:rFonts w:ascii="Arial" w:hAnsi="Arial" w:cs="Arial"/>
          <w:sz w:val="20"/>
          <w:szCs w:val="20"/>
        </w:rPr>
        <w:t>de the car’s controls. A similar experiment this year</w:t>
      </w:r>
      <w:r w:rsidR="004304A9" w:rsidRPr="006B0263">
        <w:rPr>
          <w:rStyle w:val="FootnoteReference"/>
          <w:rFonts w:ascii="Arial" w:hAnsi="Arial" w:cs="Arial"/>
          <w:sz w:val="20"/>
          <w:szCs w:val="20"/>
        </w:rPr>
        <w:footnoteReference w:id="6"/>
      </w:r>
      <w:r w:rsidR="004304A9" w:rsidRPr="006B0263">
        <w:rPr>
          <w:rFonts w:ascii="Arial" w:hAnsi="Arial" w:cs="Arial"/>
          <w:sz w:val="20"/>
          <w:szCs w:val="20"/>
        </w:rPr>
        <w:t xml:space="preserve"> involved a laptop plugged into the in-vehicle device </w:t>
      </w:r>
      <w:r w:rsidR="00DB20F1" w:rsidRPr="006B0263">
        <w:rPr>
          <w:rFonts w:ascii="Arial" w:hAnsi="Arial" w:cs="Arial"/>
          <w:sz w:val="20"/>
          <w:szCs w:val="20"/>
        </w:rPr>
        <w:t>to flood</w:t>
      </w:r>
      <w:r w:rsidR="004304A9" w:rsidRPr="006B0263">
        <w:rPr>
          <w:rFonts w:ascii="Arial" w:hAnsi="Arial" w:cs="Arial"/>
          <w:sz w:val="20"/>
          <w:szCs w:val="20"/>
        </w:rPr>
        <w:t xml:space="preserve"> the CAN</w:t>
      </w:r>
      <w:r w:rsidR="00DB20F1" w:rsidRPr="006B0263">
        <w:rPr>
          <w:rFonts w:ascii="Arial" w:hAnsi="Arial" w:cs="Arial"/>
          <w:sz w:val="20"/>
          <w:szCs w:val="20"/>
        </w:rPr>
        <w:t>-</w:t>
      </w:r>
      <w:r w:rsidR="004304A9" w:rsidRPr="006B0263">
        <w:rPr>
          <w:rFonts w:ascii="Arial" w:hAnsi="Arial" w:cs="Arial"/>
          <w:sz w:val="20"/>
          <w:szCs w:val="20"/>
        </w:rPr>
        <w:t xml:space="preserve">bus network with false signals causing the car to swerve, brake and speed, sense it was reverse parking and sound the horn, all despite the driver’s commands. The researchers ensured this </w:t>
      </w:r>
      <w:r w:rsidR="008264A4" w:rsidRPr="006B0263">
        <w:rPr>
          <w:rFonts w:ascii="Arial" w:hAnsi="Arial" w:cs="Arial"/>
          <w:sz w:val="20"/>
          <w:szCs w:val="20"/>
        </w:rPr>
        <w:t xml:space="preserve">occurred </w:t>
      </w:r>
      <w:r w:rsidR="004304A9" w:rsidRPr="006B0263">
        <w:rPr>
          <w:rFonts w:ascii="Arial" w:hAnsi="Arial" w:cs="Arial"/>
          <w:sz w:val="20"/>
          <w:szCs w:val="20"/>
        </w:rPr>
        <w:t xml:space="preserve">while </w:t>
      </w:r>
      <w:r w:rsidR="008264A4" w:rsidRPr="006B0263">
        <w:rPr>
          <w:rFonts w:ascii="Arial" w:hAnsi="Arial" w:cs="Arial"/>
          <w:sz w:val="20"/>
          <w:szCs w:val="20"/>
        </w:rPr>
        <w:t xml:space="preserve">other </w:t>
      </w:r>
      <w:r w:rsidR="005F4D7D" w:rsidRPr="006B0263">
        <w:rPr>
          <w:rFonts w:ascii="Arial" w:hAnsi="Arial" w:cs="Arial"/>
          <w:sz w:val="20"/>
          <w:szCs w:val="20"/>
        </w:rPr>
        <w:t>equipment</w:t>
      </w:r>
      <w:r w:rsidR="00DB20F1" w:rsidRPr="006B0263">
        <w:rPr>
          <w:rFonts w:ascii="Arial" w:hAnsi="Arial" w:cs="Arial"/>
          <w:sz w:val="20"/>
          <w:szCs w:val="20"/>
        </w:rPr>
        <w:t xml:space="preserve"> such as the</w:t>
      </w:r>
      <w:r w:rsidR="004304A9" w:rsidRPr="006B0263">
        <w:rPr>
          <w:rFonts w:ascii="Arial" w:hAnsi="Arial" w:cs="Arial"/>
          <w:sz w:val="20"/>
          <w:szCs w:val="20"/>
        </w:rPr>
        <w:t xml:space="preserve"> speedometer, odometer and fuel gauge readings etc. displayed </w:t>
      </w:r>
      <w:r w:rsidR="00DB20F1" w:rsidRPr="006B0263">
        <w:rPr>
          <w:rFonts w:ascii="Arial" w:hAnsi="Arial" w:cs="Arial"/>
          <w:sz w:val="20"/>
          <w:szCs w:val="20"/>
        </w:rPr>
        <w:t>incorrect</w:t>
      </w:r>
      <w:r w:rsidR="004304A9" w:rsidRPr="006B0263">
        <w:rPr>
          <w:rFonts w:ascii="Arial" w:hAnsi="Arial" w:cs="Arial"/>
          <w:sz w:val="20"/>
          <w:szCs w:val="20"/>
        </w:rPr>
        <w:t xml:space="preserve"> information. </w:t>
      </w:r>
    </w:p>
    <w:p w:rsidR="004304A9" w:rsidRPr="006B0263" w:rsidRDefault="004304A9" w:rsidP="00FC55CF">
      <w:pPr>
        <w:spacing w:after="0" w:line="240" w:lineRule="auto"/>
        <w:contextualSpacing/>
        <w:jc w:val="both"/>
        <w:rPr>
          <w:rFonts w:ascii="Arial" w:hAnsi="Arial" w:cs="Arial"/>
          <w:sz w:val="20"/>
          <w:szCs w:val="20"/>
        </w:rPr>
      </w:pPr>
    </w:p>
    <w:p w:rsidR="004304A9" w:rsidRPr="006B0263" w:rsidRDefault="004304A9" w:rsidP="00FC55CF">
      <w:pPr>
        <w:spacing w:after="0" w:line="240" w:lineRule="auto"/>
        <w:contextualSpacing/>
        <w:jc w:val="both"/>
        <w:rPr>
          <w:rFonts w:ascii="Arial" w:hAnsi="Arial" w:cs="Arial"/>
          <w:sz w:val="20"/>
          <w:szCs w:val="20"/>
        </w:rPr>
      </w:pPr>
      <w:r w:rsidRPr="006B0263">
        <w:rPr>
          <w:rFonts w:ascii="Arial" w:hAnsi="Arial" w:cs="Arial"/>
          <w:sz w:val="20"/>
          <w:szCs w:val="20"/>
        </w:rPr>
        <w:t xml:space="preserve">The ATA has </w:t>
      </w:r>
      <w:r w:rsidR="00E10B17">
        <w:rPr>
          <w:rFonts w:ascii="Arial" w:hAnsi="Arial" w:cs="Arial"/>
          <w:sz w:val="20"/>
          <w:szCs w:val="20"/>
        </w:rPr>
        <w:t xml:space="preserve">also </w:t>
      </w:r>
      <w:r w:rsidRPr="006B0263">
        <w:rPr>
          <w:rFonts w:ascii="Arial" w:hAnsi="Arial" w:cs="Arial"/>
          <w:sz w:val="20"/>
          <w:szCs w:val="20"/>
        </w:rPr>
        <w:t xml:space="preserve">been </w:t>
      </w:r>
      <w:r w:rsidR="007E578B" w:rsidRPr="006B0263">
        <w:rPr>
          <w:rFonts w:ascii="Arial" w:hAnsi="Arial" w:cs="Arial"/>
          <w:sz w:val="20"/>
          <w:szCs w:val="20"/>
        </w:rPr>
        <w:t>informed</w:t>
      </w:r>
      <w:r w:rsidRPr="006B0263">
        <w:rPr>
          <w:rFonts w:ascii="Arial" w:hAnsi="Arial" w:cs="Arial"/>
          <w:sz w:val="20"/>
          <w:szCs w:val="20"/>
        </w:rPr>
        <w:t xml:space="preserve"> of </w:t>
      </w:r>
      <w:r w:rsidR="002C569C" w:rsidRPr="006B0263">
        <w:rPr>
          <w:rFonts w:ascii="Arial" w:hAnsi="Arial" w:cs="Arial"/>
          <w:sz w:val="20"/>
          <w:szCs w:val="20"/>
        </w:rPr>
        <w:t>instances</w:t>
      </w:r>
      <w:r w:rsidRPr="006B0263">
        <w:rPr>
          <w:rFonts w:ascii="Arial" w:hAnsi="Arial" w:cs="Arial"/>
          <w:sz w:val="20"/>
          <w:szCs w:val="20"/>
        </w:rPr>
        <w:t xml:space="preserve"> when IAP </w:t>
      </w:r>
      <w:r w:rsidR="00E10B17">
        <w:rPr>
          <w:rFonts w:ascii="Arial" w:hAnsi="Arial" w:cs="Arial"/>
          <w:sz w:val="20"/>
          <w:szCs w:val="20"/>
        </w:rPr>
        <w:t>devices</w:t>
      </w:r>
      <w:r w:rsidR="00E10B17" w:rsidRPr="006B0263">
        <w:rPr>
          <w:rFonts w:ascii="Arial" w:hAnsi="Arial" w:cs="Arial"/>
          <w:sz w:val="20"/>
          <w:szCs w:val="20"/>
        </w:rPr>
        <w:t xml:space="preserve"> </w:t>
      </w:r>
      <w:r w:rsidRPr="006B0263">
        <w:rPr>
          <w:rFonts w:ascii="Arial" w:hAnsi="Arial" w:cs="Arial"/>
          <w:sz w:val="20"/>
          <w:szCs w:val="20"/>
        </w:rPr>
        <w:t>have been retrofitted by third party providers into the wrong data link</w:t>
      </w:r>
      <w:r w:rsidR="00144A09" w:rsidRPr="006B0263">
        <w:rPr>
          <w:rFonts w:ascii="Arial" w:hAnsi="Arial" w:cs="Arial"/>
          <w:sz w:val="20"/>
          <w:szCs w:val="20"/>
        </w:rPr>
        <w:t>,</w:t>
      </w:r>
      <w:r w:rsidRPr="006B0263">
        <w:rPr>
          <w:rFonts w:ascii="Arial" w:hAnsi="Arial" w:cs="Arial"/>
          <w:sz w:val="20"/>
          <w:szCs w:val="20"/>
        </w:rPr>
        <w:t xml:space="preserve"> confusing engine management systems </w:t>
      </w:r>
      <w:r w:rsidR="00144A09" w:rsidRPr="006B0263">
        <w:rPr>
          <w:rFonts w:ascii="Arial" w:hAnsi="Arial" w:cs="Arial"/>
          <w:sz w:val="20"/>
          <w:szCs w:val="20"/>
        </w:rPr>
        <w:t xml:space="preserve">and </w:t>
      </w:r>
      <w:r w:rsidRPr="006B0263">
        <w:rPr>
          <w:rFonts w:ascii="Arial" w:hAnsi="Arial" w:cs="Arial"/>
          <w:sz w:val="20"/>
          <w:szCs w:val="20"/>
        </w:rPr>
        <w:t xml:space="preserve">potentially voiding engine warranties. This matter </w:t>
      </w:r>
      <w:r w:rsidR="00324607">
        <w:rPr>
          <w:rFonts w:ascii="Arial" w:hAnsi="Arial" w:cs="Arial"/>
          <w:sz w:val="20"/>
          <w:szCs w:val="20"/>
        </w:rPr>
        <w:t>is</w:t>
      </w:r>
      <w:r w:rsidRPr="006B0263">
        <w:rPr>
          <w:rFonts w:ascii="Arial" w:hAnsi="Arial" w:cs="Arial"/>
          <w:sz w:val="20"/>
          <w:szCs w:val="20"/>
        </w:rPr>
        <w:t xml:space="preserve"> of sufficient concern for the ATA to plan a technical presentation on electrical fault finding and aftermarket device installation at the </w:t>
      </w:r>
      <w:r w:rsidRPr="006B0263">
        <w:rPr>
          <w:rFonts w:ascii="Arial" w:hAnsi="Arial" w:cs="Arial"/>
          <w:i/>
          <w:sz w:val="20"/>
          <w:szCs w:val="20"/>
        </w:rPr>
        <w:t>2013 PACCAR &amp; Dealer Technical &amp; Maintenance Conference</w:t>
      </w:r>
      <w:r w:rsidRPr="006B0263">
        <w:rPr>
          <w:rFonts w:ascii="Arial" w:hAnsi="Arial" w:cs="Arial"/>
          <w:sz w:val="20"/>
          <w:szCs w:val="20"/>
        </w:rPr>
        <w:t xml:space="preserve"> in October 2013 at the Kangan Institute, Centre of Automotive Excellence in Melbourne.</w:t>
      </w:r>
    </w:p>
    <w:p w:rsidR="00187245" w:rsidRPr="006B0263" w:rsidRDefault="00187245" w:rsidP="00FC55CF">
      <w:pPr>
        <w:spacing w:after="0" w:line="240" w:lineRule="auto"/>
        <w:contextualSpacing/>
        <w:jc w:val="both"/>
        <w:rPr>
          <w:rFonts w:ascii="Arial" w:hAnsi="Arial" w:cs="Arial"/>
          <w:sz w:val="20"/>
          <w:szCs w:val="20"/>
        </w:rPr>
      </w:pPr>
    </w:p>
    <w:p w:rsidR="00A64A06" w:rsidRPr="006B0263" w:rsidRDefault="00A64A06" w:rsidP="00FC55CF">
      <w:pPr>
        <w:spacing w:after="0" w:line="240" w:lineRule="auto"/>
        <w:contextualSpacing/>
        <w:jc w:val="both"/>
        <w:rPr>
          <w:rFonts w:ascii="Arial" w:hAnsi="Arial" w:cs="Arial"/>
          <w:sz w:val="20"/>
          <w:szCs w:val="20"/>
        </w:rPr>
      </w:pPr>
      <w:r w:rsidRPr="006B0263">
        <w:rPr>
          <w:rFonts w:ascii="Arial" w:hAnsi="Arial" w:cs="Arial"/>
          <w:sz w:val="20"/>
          <w:szCs w:val="20"/>
        </w:rPr>
        <w:t xml:space="preserve">Many operator systems are </w:t>
      </w:r>
      <w:r w:rsidR="00764BE9">
        <w:rPr>
          <w:rFonts w:ascii="Arial" w:hAnsi="Arial" w:cs="Arial"/>
          <w:sz w:val="20"/>
          <w:szCs w:val="20"/>
        </w:rPr>
        <w:t xml:space="preserve">also </w:t>
      </w:r>
      <w:r w:rsidRPr="006B0263">
        <w:rPr>
          <w:rFonts w:ascii="Arial" w:hAnsi="Arial" w:cs="Arial"/>
          <w:sz w:val="20"/>
          <w:szCs w:val="20"/>
        </w:rPr>
        <w:t xml:space="preserve">highly integrated, with sophisticated capacity to cross-reference data thus giving them a high level of certainty that their systems are </w:t>
      </w:r>
      <w:r w:rsidR="00B4658E">
        <w:rPr>
          <w:rFonts w:ascii="Arial" w:hAnsi="Arial" w:cs="Arial"/>
          <w:sz w:val="20"/>
          <w:szCs w:val="20"/>
        </w:rPr>
        <w:t>richer</w:t>
      </w:r>
      <w:r w:rsidRPr="006B0263">
        <w:rPr>
          <w:rFonts w:ascii="Arial" w:hAnsi="Arial" w:cs="Arial"/>
          <w:sz w:val="20"/>
          <w:szCs w:val="20"/>
        </w:rPr>
        <w:t xml:space="preserve"> sources of </w:t>
      </w:r>
      <w:r w:rsidR="00C41BD8">
        <w:rPr>
          <w:rFonts w:ascii="Arial" w:hAnsi="Arial" w:cs="Arial"/>
          <w:sz w:val="20"/>
          <w:szCs w:val="20"/>
        </w:rPr>
        <w:t xml:space="preserve">route compliance assurance as well as other </w:t>
      </w:r>
      <w:r w:rsidRPr="006B0263">
        <w:rPr>
          <w:rFonts w:ascii="Arial" w:hAnsi="Arial" w:cs="Arial"/>
          <w:sz w:val="20"/>
          <w:szCs w:val="20"/>
        </w:rPr>
        <w:t>information than current IAP devices.</w:t>
      </w:r>
    </w:p>
    <w:p w:rsidR="00A64A06" w:rsidRPr="006B0263" w:rsidRDefault="00A64A06" w:rsidP="00FC55CF">
      <w:pPr>
        <w:spacing w:after="0" w:line="240" w:lineRule="auto"/>
        <w:contextualSpacing/>
        <w:jc w:val="both"/>
        <w:rPr>
          <w:rFonts w:ascii="Arial" w:hAnsi="Arial" w:cs="Arial"/>
          <w:sz w:val="20"/>
          <w:szCs w:val="20"/>
        </w:rPr>
      </w:pPr>
    </w:p>
    <w:p w:rsidR="009403C9" w:rsidRPr="006B0263" w:rsidRDefault="009403C9" w:rsidP="00FC55CF">
      <w:pPr>
        <w:spacing w:after="0" w:line="240" w:lineRule="auto"/>
        <w:contextualSpacing/>
        <w:jc w:val="both"/>
        <w:rPr>
          <w:rFonts w:ascii="Arial" w:hAnsi="Arial" w:cs="Arial"/>
          <w:sz w:val="20"/>
          <w:szCs w:val="20"/>
        </w:rPr>
      </w:pPr>
      <w:r w:rsidRPr="006B0263">
        <w:rPr>
          <w:rFonts w:ascii="Arial" w:hAnsi="Arial" w:cs="Arial"/>
          <w:sz w:val="20"/>
          <w:szCs w:val="20"/>
        </w:rPr>
        <w:t>In July</w:t>
      </w:r>
      <w:r w:rsidR="00233A54" w:rsidRPr="006B0263">
        <w:rPr>
          <w:rFonts w:ascii="Arial" w:hAnsi="Arial" w:cs="Arial"/>
          <w:sz w:val="20"/>
          <w:szCs w:val="20"/>
        </w:rPr>
        <w:t>-August</w:t>
      </w:r>
      <w:r w:rsidRPr="006B0263">
        <w:rPr>
          <w:rFonts w:ascii="Arial" w:hAnsi="Arial" w:cs="Arial"/>
          <w:sz w:val="20"/>
          <w:szCs w:val="20"/>
        </w:rPr>
        <w:t xml:space="preserve"> 2013, </w:t>
      </w:r>
      <w:r w:rsidR="00573DAF" w:rsidRPr="006B0263">
        <w:rPr>
          <w:rFonts w:ascii="Arial" w:hAnsi="Arial" w:cs="Arial"/>
          <w:sz w:val="20"/>
          <w:szCs w:val="20"/>
        </w:rPr>
        <w:t xml:space="preserve">on request from the NTC, </w:t>
      </w:r>
      <w:r w:rsidRPr="006B0263">
        <w:rPr>
          <w:rFonts w:ascii="Arial" w:hAnsi="Arial" w:cs="Arial"/>
          <w:sz w:val="20"/>
          <w:szCs w:val="20"/>
        </w:rPr>
        <w:t xml:space="preserve">the ATA </w:t>
      </w:r>
      <w:r w:rsidR="00233A54" w:rsidRPr="006B0263">
        <w:rPr>
          <w:rFonts w:ascii="Arial" w:hAnsi="Arial" w:cs="Arial"/>
          <w:sz w:val="20"/>
          <w:szCs w:val="20"/>
        </w:rPr>
        <w:t xml:space="preserve">and NatRoad </w:t>
      </w:r>
      <w:r w:rsidR="00522A09" w:rsidRPr="006B0263">
        <w:rPr>
          <w:rFonts w:ascii="Arial" w:hAnsi="Arial" w:cs="Arial"/>
          <w:sz w:val="20"/>
          <w:szCs w:val="20"/>
        </w:rPr>
        <w:t>circulated</w:t>
      </w:r>
      <w:r w:rsidRPr="006B0263">
        <w:rPr>
          <w:rFonts w:ascii="Arial" w:hAnsi="Arial" w:cs="Arial"/>
          <w:sz w:val="20"/>
          <w:szCs w:val="20"/>
        </w:rPr>
        <w:t xml:space="preserve"> </w:t>
      </w:r>
      <w:r w:rsidR="00233A54" w:rsidRPr="006B0263">
        <w:rPr>
          <w:rFonts w:ascii="Arial" w:hAnsi="Arial" w:cs="Arial"/>
          <w:sz w:val="20"/>
          <w:szCs w:val="20"/>
        </w:rPr>
        <w:t>separate</w:t>
      </w:r>
      <w:r w:rsidR="00573DAF" w:rsidRPr="006B0263">
        <w:rPr>
          <w:rFonts w:ascii="Arial" w:hAnsi="Arial" w:cs="Arial"/>
          <w:sz w:val="20"/>
          <w:szCs w:val="20"/>
        </w:rPr>
        <w:t xml:space="preserve"> </w:t>
      </w:r>
      <w:r w:rsidRPr="006B0263">
        <w:rPr>
          <w:rFonts w:ascii="Arial" w:hAnsi="Arial" w:cs="Arial"/>
          <w:sz w:val="20"/>
          <w:szCs w:val="20"/>
        </w:rPr>
        <w:t>survey</w:t>
      </w:r>
      <w:r w:rsidR="00233A54" w:rsidRPr="006B0263">
        <w:rPr>
          <w:rFonts w:ascii="Arial" w:hAnsi="Arial" w:cs="Arial"/>
          <w:sz w:val="20"/>
          <w:szCs w:val="20"/>
        </w:rPr>
        <w:t>s</w:t>
      </w:r>
      <w:r w:rsidR="00573DAF" w:rsidRPr="006B0263">
        <w:rPr>
          <w:rFonts w:ascii="Arial" w:hAnsi="Arial" w:cs="Arial"/>
          <w:sz w:val="20"/>
          <w:szCs w:val="20"/>
        </w:rPr>
        <w:t xml:space="preserve"> to </w:t>
      </w:r>
      <w:r w:rsidR="00233A54" w:rsidRPr="006B0263">
        <w:rPr>
          <w:rFonts w:ascii="Arial" w:hAnsi="Arial" w:cs="Arial"/>
          <w:sz w:val="20"/>
          <w:szCs w:val="20"/>
        </w:rPr>
        <w:t>their</w:t>
      </w:r>
      <w:r w:rsidR="00573DAF" w:rsidRPr="006B0263">
        <w:rPr>
          <w:rFonts w:ascii="Arial" w:hAnsi="Arial" w:cs="Arial"/>
          <w:sz w:val="20"/>
          <w:szCs w:val="20"/>
        </w:rPr>
        <w:t xml:space="preserve"> membership</w:t>
      </w:r>
      <w:r w:rsidRPr="006B0263">
        <w:rPr>
          <w:rFonts w:ascii="Arial" w:hAnsi="Arial" w:cs="Arial"/>
          <w:sz w:val="20"/>
          <w:szCs w:val="20"/>
        </w:rPr>
        <w:t xml:space="preserve"> </w:t>
      </w:r>
      <w:r w:rsidR="00573DAF" w:rsidRPr="006B0263">
        <w:rPr>
          <w:rFonts w:ascii="Arial" w:hAnsi="Arial" w:cs="Arial"/>
          <w:sz w:val="20"/>
          <w:szCs w:val="20"/>
        </w:rPr>
        <w:t>on the use of</w:t>
      </w:r>
      <w:r w:rsidRPr="006B0263">
        <w:rPr>
          <w:rFonts w:ascii="Arial" w:hAnsi="Arial" w:cs="Arial"/>
          <w:sz w:val="20"/>
          <w:szCs w:val="20"/>
        </w:rPr>
        <w:t xml:space="preserve"> IAP</w:t>
      </w:r>
      <w:r w:rsidR="00546E8B" w:rsidRPr="006B0263">
        <w:rPr>
          <w:rFonts w:ascii="Arial" w:hAnsi="Arial" w:cs="Arial"/>
          <w:sz w:val="20"/>
          <w:szCs w:val="20"/>
        </w:rPr>
        <w:t xml:space="preserve">. </w:t>
      </w:r>
      <w:r w:rsidR="00573DAF" w:rsidRPr="006B0263">
        <w:rPr>
          <w:rFonts w:ascii="Arial" w:hAnsi="Arial" w:cs="Arial"/>
          <w:sz w:val="20"/>
          <w:szCs w:val="20"/>
        </w:rPr>
        <w:t>Some 6</w:t>
      </w:r>
      <w:r w:rsidR="00074EED">
        <w:rPr>
          <w:rFonts w:ascii="Arial" w:hAnsi="Arial" w:cs="Arial"/>
          <w:sz w:val="20"/>
          <w:szCs w:val="20"/>
        </w:rPr>
        <w:t>0</w:t>
      </w:r>
      <w:r w:rsidR="00573DAF" w:rsidRPr="006B0263">
        <w:rPr>
          <w:rFonts w:ascii="Arial" w:hAnsi="Arial" w:cs="Arial"/>
          <w:sz w:val="20"/>
          <w:szCs w:val="20"/>
        </w:rPr>
        <w:t xml:space="preserve"> </w:t>
      </w:r>
      <w:r w:rsidR="00144A09" w:rsidRPr="006B0263">
        <w:rPr>
          <w:rFonts w:ascii="Arial" w:hAnsi="Arial" w:cs="Arial"/>
          <w:sz w:val="20"/>
          <w:szCs w:val="20"/>
        </w:rPr>
        <w:t xml:space="preserve">anonymous </w:t>
      </w:r>
      <w:r w:rsidR="00074EED">
        <w:rPr>
          <w:rFonts w:ascii="Arial" w:hAnsi="Arial" w:cs="Arial"/>
          <w:sz w:val="20"/>
          <w:szCs w:val="20"/>
        </w:rPr>
        <w:t xml:space="preserve">survey </w:t>
      </w:r>
      <w:r w:rsidR="00573DAF" w:rsidRPr="006B0263">
        <w:rPr>
          <w:rFonts w:ascii="Arial" w:hAnsi="Arial" w:cs="Arial"/>
          <w:sz w:val="20"/>
          <w:szCs w:val="20"/>
        </w:rPr>
        <w:t>responses</w:t>
      </w:r>
      <w:r w:rsidR="00884E78" w:rsidRPr="006B0263">
        <w:rPr>
          <w:rFonts w:ascii="Arial" w:hAnsi="Arial" w:cs="Arial"/>
          <w:sz w:val="20"/>
          <w:szCs w:val="20"/>
        </w:rPr>
        <w:t xml:space="preserve"> were</w:t>
      </w:r>
      <w:r w:rsidR="00573DAF" w:rsidRPr="006B0263">
        <w:rPr>
          <w:rFonts w:ascii="Arial" w:hAnsi="Arial" w:cs="Arial"/>
          <w:sz w:val="20"/>
          <w:szCs w:val="20"/>
        </w:rPr>
        <w:t xml:space="preserve"> received</w:t>
      </w:r>
      <w:r w:rsidR="00546E8B" w:rsidRPr="006B0263">
        <w:rPr>
          <w:rFonts w:ascii="Arial" w:hAnsi="Arial" w:cs="Arial"/>
          <w:sz w:val="20"/>
          <w:szCs w:val="20"/>
        </w:rPr>
        <w:t xml:space="preserve"> (19 </w:t>
      </w:r>
      <w:r w:rsidR="00573DAF" w:rsidRPr="006B0263">
        <w:rPr>
          <w:rFonts w:ascii="Arial" w:hAnsi="Arial" w:cs="Arial"/>
          <w:sz w:val="20"/>
          <w:szCs w:val="20"/>
        </w:rPr>
        <w:t xml:space="preserve">claimed current </w:t>
      </w:r>
      <w:r w:rsidR="00600E75" w:rsidRPr="006B0263">
        <w:rPr>
          <w:rFonts w:ascii="Arial" w:hAnsi="Arial" w:cs="Arial"/>
          <w:sz w:val="20"/>
          <w:szCs w:val="20"/>
        </w:rPr>
        <w:t xml:space="preserve">IAP </w:t>
      </w:r>
      <w:r w:rsidR="00884E78" w:rsidRPr="006B0263">
        <w:rPr>
          <w:rFonts w:ascii="Arial" w:hAnsi="Arial" w:cs="Arial"/>
          <w:sz w:val="20"/>
          <w:szCs w:val="20"/>
        </w:rPr>
        <w:t>enrolment</w:t>
      </w:r>
      <w:r w:rsidR="00546E8B" w:rsidRPr="006B0263">
        <w:rPr>
          <w:rFonts w:ascii="Arial" w:hAnsi="Arial" w:cs="Arial"/>
          <w:sz w:val="20"/>
          <w:szCs w:val="20"/>
        </w:rPr>
        <w:t>)</w:t>
      </w:r>
      <w:r w:rsidRPr="006B0263">
        <w:rPr>
          <w:rFonts w:ascii="Arial" w:hAnsi="Arial" w:cs="Arial"/>
          <w:sz w:val="20"/>
          <w:szCs w:val="20"/>
        </w:rPr>
        <w:t xml:space="preserve"> </w:t>
      </w:r>
      <w:r w:rsidR="00884E78" w:rsidRPr="006B0263">
        <w:rPr>
          <w:rFonts w:ascii="Arial" w:hAnsi="Arial" w:cs="Arial"/>
          <w:sz w:val="20"/>
          <w:szCs w:val="20"/>
        </w:rPr>
        <w:t xml:space="preserve">by the ATA and 23 responses by NatRoad, some of which </w:t>
      </w:r>
      <w:r w:rsidR="00573DAF" w:rsidRPr="006B0263">
        <w:rPr>
          <w:rFonts w:ascii="Arial" w:hAnsi="Arial" w:cs="Arial"/>
          <w:sz w:val="20"/>
          <w:szCs w:val="20"/>
        </w:rPr>
        <w:t>are</w:t>
      </w:r>
      <w:r w:rsidR="00522A09" w:rsidRPr="006B0263">
        <w:rPr>
          <w:rFonts w:ascii="Arial" w:hAnsi="Arial" w:cs="Arial"/>
          <w:sz w:val="20"/>
          <w:szCs w:val="20"/>
        </w:rPr>
        <w:t xml:space="preserve"> below</w:t>
      </w:r>
      <w:r w:rsidRPr="006B0263">
        <w:rPr>
          <w:rFonts w:ascii="Arial" w:hAnsi="Arial" w:cs="Arial"/>
          <w:sz w:val="20"/>
          <w:szCs w:val="20"/>
        </w:rPr>
        <w:t>:</w:t>
      </w:r>
    </w:p>
    <w:p w:rsidR="009403C9" w:rsidRPr="006B0263" w:rsidRDefault="009403C9" w:rsidP="00FC55CF">
      <w:pPr>
        <w:spacing w:after="0" w:line="240" w:lineRule="auto"/>
        <w:contextualSpacing/>
        <w:rPr>
          <w:rFonts w:ascii="Arial" w:hAnsi="Arial" w:cs="Arial"/>
          <w:sz w:val="20"/>
          <w:szCs w:val="20"/>
        </w:rPr>
      </w:pPr>
    </w:p>
    <w:p w:rsidR="009403C9" w:rsidRPr="006B0263" w:rsidRDefault="009403C9" w:rsidP="00FC55CF">
      <w:pPr>
        <w:spacing w:after="0" w:line="240" w:lineRule="auto"/>
        <w:contextualSpacing/>
        <w:rPr>
          <w:rFonts w:cs="Arial"/>
          <w:bCs/>
          <w:sz w:val="20"/>
          <w:szCs w:val="20"/>
          <w:u w:val="single"/>
        </w:rPr>
      </w:pPr>
      <w:r w:rsidRPr="006B0263">
        <w:rPr>
          <w:rFonts w:cs="Arial"/>
          <w:bCs/>
          <w:sz w:val="20"/>
          <w:szCs w:val="20"/>
          <w:u w:val="single"/>
        </w:rPr>
        <w:t>Q6. Why you have decided not to participate in IAP?</w:t>
      </w:r>
    </w:p>
    <w:p w:rsidR="00546E8B" w:rsidRPr="006B0263" w:rsidRDefault="00546E8B" w:rsidP="00FC55CF">
      <w:pPr>
        <w:pStyle w:val="ListParagraph"/>
        <w:numPr>
          <w:ilvl w:val="0"/>
          <w:numId w:val="18"/>
        </w:numPr>
        <w:autoSpaceDE w:val="0"/>
        <w:autoSpaceDN w:val="0"/>
        <w:adjustRightInd w:val="0"/>
        <w:rPr>
          <w:rFonts w:cs="Arial"/>
          <w:sz w:val="20"/>
          <w:szCs w:val="20"/>
        </w:rPr>
      </w:pPr>
      <w:r w:rsidRPr="006B0263">
        <w:rPr>
          <w:rFonts w:cs="Arial"/>
          <w:sz w:val="20"/>
          <w:szCs w:val="20"/>
        </w:rPr>
        <w:t>“More unnecessary enforcement and costs on business. Does not guarantee access.”</w:t>
      </w:r>
    </w:p>
    <w:p w:rsidR="00144A09" w:rsidRPr="006B0263" w:rsidRDefault="00144A09" w:rsidP="00FC55CF">
      <w:pPr>
        <w:pStyle w:val="ListParagraph"/>
        <w:numPr>
          <w:ilvl w:val="0"/>
          <w:numId w:val="18"/>
        </w:numPr>
        <w:autoSpaceDE w:val="0"/>
        <w:autoSpaceDN w:val="0"/>
        <w:adjustRightInd w:val="0"/>
        <w:rPr>
          <w:rFonts w:cs="Arial"/>
          <w:sz w:val="20"/>
          <w:szCs w:val="20"/>
        </w:rPr>
      </w:pPr>
      <w:r w:rsidRPr="006B0263">
        <w:rPr>
          <w:rFonts w:cs="Arial"/>
          <w:sz w:val="20"/>
          <w:szCs w:val="20"/>
        </w:rPr>
        <w:t>“Other systems offer broader features in their applications that better suit my business needs</w:t>
      </w:r>
      <w:r w:rsidR="003C3A29">
        <w:rPr>
          <w:rFonts w:cs="Arial"/>
          <w:sz w:val="20"/>
          <w:szCs w:val="20"/>
        </w:rPr>
        <w:t>.</w:t>
      </w:r>
      <w:r w:rsidRPr="006B0263">
        <w:rPr>
          <w:rFonts w:cs="Arial"/>
          <w:sz w:val="20"/>
          <w:szCs w:val="20"/>
        </w:rPr>
        <w:t>”</w:t>
      </w:r>
    </w:p>
    <w:p w:rsidR="00144A09" w:rsidRPr="006B0263" w:rsidRDefault="00144A09" w:rsidP="00FC55CF">
      <w:pPr>
        <w:pStyle w:val="ListParagraph"/>
        <w:numPr>
          <w:ilvl w:val="0"/>
          <w:numId w:val="18"/>
        </w:numPr>
        <w:autoSpaceDE w:val="0"/>
        <w:autoSpaceDN w:val="0"/>
        <w:adjustRightInd w:val="0"/>
        <w:rPr>
          <w:rFonts w:cs="Arial"/>
          <w:sz w:val="20"/>
          <w:szCs w:val="20"/>
        </w:rPr>
      </w:pPr>
      <w:r w:rsidRPr="006B0263">
        <w:rPr>
          <w:rFonts w:cs="Arial"/>
          <w:sz w:val="20"/>
          <w:szCs w:val="20"/>
        </w:rPr>
        <w:t>“Cost, time involved and that as a sub-contractor you don't usually get paid any more to carry more weight.”</w:t>
      </w:r>
    </w:p>
    <w:p w:rsidR="00144A09" w:rsidRPr="006B0263" w:rsidRDefault="00144A09" w:rsidP="00FC55CF">
      <w:pPr>
        <w:pStyle w:val="ListParagraph"/>
        <w:numPr>
          <w:ilvl w:val="0"/>
          <w:numId w:val="18"/>
        </w:numPr>
        <w:autoSpaceDE w:val="0"/>
        <w:autoSpaceDN w:val="0"/>
        <w:adjustRightInd w:val="0"/>
        <w:rPr>
          <w:rFonts w:cs="Arial"/>
          <w:sz w:val="20"/>
          <w:szCs w:val="20"/>
        </w:rPr>
      </w:pPr>
      <w:r w:rsidRPr="006B0263">
        <w:rPr>
          <w:rFonts w:cs="Arial"/>
          <w:sz w:val="20"/>
          <w:szCs w:val="20"/>
        </w:rPr>
        <w:t>“Doesn't suit our business of operation at the current pricing structure. Can't use IAP for most trips. Not viable under current pricing structure</w:t>
      </w:r>
      <w:r w:rsidR="003C3A29">
        <w:rPr>
          <w:rFonts w:cs="Arial"/>
          <w:sz w:val="20"/>
          <w:szCs w:val="20"/>
        </w:rPr>
        <w:t>.</w:t>
      </w:r>
      <w:r w:rsidRPr="006B0263">
        <w:rPr>
          <w:rFonts w:cs="Arial"/>
          <w:sz w:val="20"/>
          <w:szCs w:val="20"/>
        </w:rPr>
        <w:t>”</w:t>
      </w:r>
    </w:p>
    <w:p w:rsidR="009403C9" w:rsidRPr="006B0263" w:rsidRDefault="009403C9" w:rsidP="00FC55CF">
      <w:pPr>
        <w:pStyle w:val="ListParagraph"/>
        <w:numPr>
          <w:ilvl w:val="0"/>
          <w:numId w:val="18"/>
        </w:numPr>
        <w:autoSpaceDE w:val="0"/>
        <w:autoSpaceDN w:val="0"/>
        <w:adjustRightInd w:val="0"/>
        <w:rPr>
          <w:rFonts w:cs="Arial"/>
          <w:sz w:val="20"/>
          <w:szCs w:val="20"/>
        </w:rPr>
      </w:pPr>
      <w:r w:rsidRPr="006B0263">
        <w:rPr>
          <w:rFonts w:cs="Arial"/>
          <w:sz w:val="20"/>
          <w:szCs w:val="20"/>
        </w:rPr>
        <w:t>“Limited access roads av</w:t>
      </w:r>
      <w:r w:rsidR="00546E8B" w:rsidRPr="006B0263">
        <w:rPr>
          <w:rFonts w:cs="Arial"/>
          <w:sz w:val="20"/>
          <w:szCs w:val="20"/>
        </w:rPr>
        <w:t>ailable. Need an interactive in-</w:t>
      </w:r>
      <w:r w:rsidRPr="006B0263">
        <w:rPr>
          <w:rFonts w:cs="Arial"/>
          <w:sz w:val="20"/>
          <w:szCs w:val="20"/>
        </w:rPr>
        <w:t>cab GPS showing HML roads. Unsure o</w:t>
      </w:r>
      <w:r w:rsidR="00546E8B" w:rsidRPr="006B0263">
        <w:rPr>
          <w:rFonts w:cs="Arial"/>
          <w:sz w:val="20"/>
          <w:szCs w:val="20"/>
        </w:rPr>
        <w:t>f who has access to truck data and</w:t>
      </w:r>
      <w:r w:rsidRPr="006B0263">
        <w:rPr>
          <w:rFonts w:cs="Arial"/>
          <w:sz w:val="20"/>
          <w:szCs w:val="20"/>
        </w:rPr>
        <w:t xml:space="preserve"> for how long. Is there a statue of limitations on the time data </w:t>
      </w:r>
      <w:r w:rsidR="00144A09" w:rsidRPr="006B0263">
        <w:rPr>
          <w:rFonts w:cs="Arial"/>
          <w:sz w:val="20"/>
          <w:szCs w:val="20"/>
        </w:rPr>
        <w:t>is</w:t>
      </w:r>
      <w:r w:rsidRPr="006B0263">
        <w:rPr>
          <w:rFonts w:cs="Arial"/>
          <w:sz w:val="20"/>
          <w:szCs w:val="20"/>
        </w:rPr>
        <w:t xml:space="preserve"> kept and used?”</w:t>
      </w:r>
    </w:p>
    <w:p w:rsidR="00D8210F" w:rsidRPr="006B0263" w:rsidRDefault="00D8210F" w:rsidP="00FC55CF">
      <w:pPr>
        <w:spacing w:after="0" w:line="240" w:lineRule="auto"/>
        <w:contextualSpacing/>
        <w:rPr>
          <w:rFonts w:cs="Arial"/>
          <w:bCs/>
          <w:sz w:val="20"/>
          <w:szCs w:val="20"/>
          <w:u w:val="single"/>
        </w:rPr>
      </w:pPr>
    </w:p>
    <w:p w:rsidR="00106BA5" w:rsidRPr="006B0263" w:rsidRDefault="00106BA5" w:rsidP="00FC55CF">
      <w:pPr>
        <w:spacing w:after="0" w:line="240" w:lineRule="auto"/>
        <w:contextualSpacing/>
        <w:rPr>
          <w:rFonts w:cs="Arial"/>
          <w:bCs/>
          <w:sz w:val="20"/>
          <w:szCs w:val="20"/>
          <w:u w:val="single"/>
        </w:rPr>
      </w:pPr>
      <w:r w:rsidRPr="006B0263">
        <w:rPr>
          <w:rFonts w:cs="Arial"/>
          <w:bCs/>
          <w:sz w:val="20"/>
          <w:szCs w:val="20"/>
          <w:u w:val="single"/>
        </w:rPr>
        <w:t>Q11. How could IAP be changed to encourage you to participate?</w:t>
      </w:r>
    </w:p>
    <w:p w:rsidR="00812B3C" w:rsidRPr="006B0263" w:rsidRDefault="00812B3C" w:rsidP="00FC55CF">
      <w:pPr>
        <w:pStyle w:val="ListParagraph"/>
        <w:numPr>
          <w:ilvl w:val="0"/>
          <w:numId w:val="19"/>
        </w:numPr>
        <w:autoSpaceDE w:val="0"/>
        <w:autoSpaceDN w:val="0"/>
        <w:adjustRightInd w:val="0"/>
        <w:rPr>
          <w:rFonts w:cs="Arial"/>
          <w:sz w:val="20"/>
          <w:szCs w:val="20"/>
        </w:rPr>
      </w:pPr>
      <w:r w:rsidRPr="006B0263">
        <w:rPr>
          <w:rFonts w:cs="Arial"/>
          <w:sz w:val="20"/>
          <w:szCs w:val="20"/>
        </w:rPr>
        <w:t>“If an operator can demonstrate route compliance</w:t>
      </w:r>
      <w:r w:rsidR="00144A09" w:rsidRPr="006B0263">
        <w:rPr>
          <w:rFonts w:cs="Arial"/>
          <w:sz w:val="20"/>
          <w:szCs w:val="20"/>
        </w:rPr>
        <w:t>, w</w:t>
      </w:r>
      <w:r w:rsidRPr="006B0263">
        <w:rPr>
          <w:rFonts w:cs="Arial"/>
          <w:sz w:val="20"/>
          <w:szCs w:val="20"/>
        </w:rPr>
        <w:t>hy is IAP needed?”</w:t>
      </w:r>
    </w:p>
    <w:p w:rsidR="00144A09" w:rsidRPr="006B0263" w:rsidRDefault="00144A09" w:rsidP="00FC55CF">
      <w:pPr>
        <w:pStyle w:val="ListParagraph"/>
        <w:numPr>
          <w:ilvl w:val="0"/>
          <w:numId w:val="19"/>
        </w:numPr>
        <w:autoSpaceDE w:val="0"/>
        <w:autoSpaceDN w:val="0"/>
        <w:adjustRightInd w:val="0"/>
        <w:rPr>
          <w:rFonts w:cs="Arial"/>
          <w:sz w:val="20"/>
          <w:szCs w:val="20"/>
        </w:rPr>
      </w:pPr>
      <w:r w:rsidRPr="006B0263">
        <w:rPr>
          <w:rFonts w:cs="Arial"/>
          <w:sz w:val="20"/>
          <w:szCs w:val="20"/>
        </w:rPr>
        <w:t>“Drop the scheme and give back HML on an audit basis like from 2002 until 2008</w:t>
      </w:r>
      <w:r w:rsidR="003C3A29">
        <w:rPr>
          <w:rFonts w:cs="Arial"/>
          <w:sz w:val="20"/>
          <w:szCs w:val="20"/>
        </w:rPr>
        <w:t>.</w:t>
      </w:r>
      <w:r w:rsidRPr="006B0263">
        <w:rPr>
          <w:rFonts w:cs="Arial"/>
          <w:sz w:val="20"/>
          <w:szCs w:val="20"/>
        </w:rPr>
        <w:t>”</w:t>
      </w:r>
    </w:p>
    <w:p w:rsidR="00144A09" w:rsidRPr="006B0263" w:rsidRDefault="00144A09" w:rsidP="00FC55CF">
      <w:pPr>
        <w:pStyle w:val="ListParagraph"/>
        <w:numPr>
          <w:ilvl w:val="0"/>
          <w:numId w:val="19"/>
        </w:numPr>
        <w:autoSpaceDE w:val="0"/>
        <w:autoSpaceDN w:val="0"/>
        <w:adjustRightInd w:val="0"/>
        <w:rPr>
          <w:rFonts w:cs="Arial"/>
          <w:sz w:val="20"/>
          <w:szCs w:val="20"/>
        </w:rPr>
      </w:pPr>
      <w:r w:rsidRPr="006B0263">
        <w:rPr>
          <w:rFonts w:cs="Arial"/>
          <w:sz w:val="20"/>
          <w:szCs w:val="20"/>
        </w:rPr>
        <w:t>“Be more cost effective, able to utilise current telematics</w:t>
      </w:r>
      <w:r w:rsidR="003C3A29">
        <w:rPr>
          <w:rFonts w:cs="Arial"/>
          <w:sz w:val="20"/>
          <w:szCs w:val="20"/>
        </w:rPr>
        <w:t>.</w:t>
      </w:r>
      <w:r w:rsidRPr="006B0263">
        <w:rPr>
          <w:rFonts w:cs="Arial"/>
          <w:sz w:val="20"/>
          <w:szCs w:val="20"/>
        </w:rPr>
        <w:t>”</w:t>
      </w:r>
    </w:p>
    <w:p w:rsidR="00144A09" w:rsidRPr="006B0263" w:rsidRDefault="00A906FC" w:rsidP="00FC55CF">
      <w:pPr>
        <w:pStyle w:val="ListParagraph"/>
        <w:numPr>
          <w:ilvl w:val="0"/>
          <w:numId w:val="19"/>
        </w:numPr>
        <w:autoSpaceDE w:val="0"/>
        <w:autoSpaceDN w:val="0"/>
        <w:adjustRightInd w:val="0"/>
        <w:rPr>
          <w:rFonts w:cs="Arial"/>
          <w:sz w:val="20"/>
          <w:szCs w:val="20"/>
        </w:rPr>
      </w:pPr>
      <w:r>
        <w:rPr>
          <w:rFonts w:cs="Arial"/>
          <w:sz w:val="20"/>
          <w:szCs w:val="20"/>
        </w:rPr>
        <w:t>“It couldn’t.”</w:t>
      </w:r>
    </w:p>
    <w:p w:rsidR="00144A09" w:rsidRPr="006B0263" w:rsidRDefault="00144A09" w:rsidP="00FC55CF">
      <w:pPr>
        <w:pStyle w:val="ListParagraph"/>
        <w:numPr>
          <w:ilvl w:val="0"/>
          <w:numId w:val="19"/>
        </w:numPr>
        <w:autoSpaceDE w:val="0"/>
        <w:autoSpaceDN w:val="0"/>
        <w:adjustRightInd w:val="0"/>
        <w:rPr>
          <w:rFonts w:cs="Arial"/>
          <w:sz w:val="20"/>
          <w:szCs w:val="20"/>
        </w:rPr>
      </w:pPr>
      <w:r w:rsidRPr="006B0263">
        <w:rPr>
          <w:rFonts w:cs="Arial"/>
          <w:sz w:val="20"/>
          <w:szCs w:val="20"/>
        </w:rPr>
        <w:t>“Reduce certification fees so service providers don't pass on costs. Scheme entry has always been hindered by this cost. This is the main reason why entry into the scheme has been limited. By the time costs are weighed up there is only marginal benefit for the operator</w:t>
      </w:r>
      <w:r w:rsidR="00C37D53">
        <w:rPr>
          <w:rFonts w:cs="Arial"/>
          <w:sz w:val="20"/>
          <w:szCs w:val="20"/>
        </w:rPr>
        <w:t>.</w:t>
      </w:r>
      <w:r w:rsidRPr="006B0263">
        <w:rPr>
          <w:rFonts w:cs="Arial"/>
          <w:sz w:val="20"/>
          <w:szCs w:val="20"/>
        </w:rPr>
        <w:t>”</w:t>
      </w:r>
    </w:p>
    <w:p w:rsidR="00FB682E" w:rsidRPr="006B0263" w:rsidRDefault="00106BA5" w:rsidP="00FC55CF">
      <w:pPr>
        <w:pStyle w:val="ListParagraph"/>
        <w:numPr>
          <w:ilvl w:val="0"/>
          <w:numId w:val="19"/>
        </w:numPr>
        <w:autoSpaceDE w:val="0"/>
        <w:autoSpaceDN w:val="0"/>
        <w:adjustRightInd w:val="0"/>
        <w:rPr>
          <w:rFonts w:cs="Arial"/>
          <w:sz w:val="20"/>
          <w:szCs w:val="20"/>
        </w:rPr>
      </w:pPr>
      <w:r w:rsidRPr="006B0263">
        <w:rPr>
          <w:rFonts w:cs="Arial"/>
          <w:sz w:val="20"/>
          <w:szCs w:val="20"/>
        </w:rPr>
        <w:t xml:space="preserve">“Certainty of data confidentiality and strict access guidelines to that data and deletion after a set time. Set rules as to what can be done with that data and for how long. </w:t>
      </w:r>
      <w:r w:rsidR="00C37D53">
        <w:rPr>
          <w:rFonts w:cs="Arial"/>
          <w:sz w:val="20"/>
          <w:szCs w:val="20"/>
        </w:rPr>
        <w:t xml:space="preserve"> </w:t>
      </w:r>
      <w:r w:rsidRPr="006B0263">
        <w:rPr>
          <w:rFonts w:cs="Arial"/>
          <w:sz w:val="20"/>
          <w:szCs w:val="20"/>
        </w:rPr>
        <w:t>GPS mapping software with HML roads.”</w:t>
      </w:r>
    </w:p>
    <w:p w:rsidR="00812B3C" w:rsidRPr="006B0263" w:rsidRDefault="00812B3C" w:rsidP="00FC55CF">
      <w:pPr>
        <w:spacing w:after="0" w:line="240" w:lineRule="auto"/>
        <w:contextualSpacing/>
        <w:rPr>
          <w:rFonts w:ascii="Arial" w:hAnsi="Arial" w:cs="Arial"/>
          <w:sz w:val="20"/>
          <w:szCs w:val="20"/>
        </w:rPr>
      </w:pPr>
    </w:p>
    <w:p w:rsidR="004527CD" w:rsidRPr="006B0263" w:rsidRDefault="00621FC6" w:rsidP="00FC55CF">
      <w:pPr>
        <w:autoSpaceDE w:val="0"/>
        <w:autoSpaceDN w:val="0"/>
        <w:adjustRightInd w:val="0"/>
        <w:spacing w:after="0" w:line="240" w:lineRule="auto"/>
        <w:contextualSpacing/>
        <w:rPr>
          <w:rFonts w:ascii="Arial" w:hAnsi="Arial" w:cs="Arial"/>
          <w:sz w:val="20"/>
          <w:szCs w:val="20"/>
        </w:rPr>
      </w:pPr>
      <w:r>
        <w:rPr>
          <w:rFonts w:ascii="Arial" w:hAnsi="Arial" w:cs="Arial"/>
          <w:sz w:val="20"/>
          <w:szCs w:val="20"/>
        </w:rPr>
        <w:t>Another</w:t>
      </w:r>
      <w:r w:rsidRPr="006B0263">
        <w:rPr>
          <w:rFonts w:ascii="Arial" w:hAnsi="Arial" w:cs="Arial"/>
          <w:sz w:val="20"/>
          <w:szCs w:val="20"/>
        </w:rPr>
        <w:t xml:space="preserve"> </w:t>
      </w:r>
      <w:r w:rsidR="00C37D53">
        <w:rPr>
          <w:rFonts w:ascii="Arial" w:hAnsi="Arial" w:cs="Arial"/>
          <w:sz w:val="20"/>
          <w:szCs w:val="20"/>
        </w:rPr>
        <w:t xml:space="preserve">survey </w:t>
      </w:r>
      <w:r w:rsidR="004527CD" w:rsidRPr="006B0263">
        <w:rPr>
          <w:rFonts w:ascii="Arial" w:hAnsi="Arial" w:cs="Arial"/>
          <w:sz w:val="20"/>
          <w:szCs w:val="20"/>
        </w:rPr>
        <w:t xml:space="preserve">respondent </w:t>
      </w:r>
      <w:r w:rsidR="00A20E21" w:rsidRPr="006B0263">
        <w:rPr>
          <w:rFonts w:ascii="Arial" w:hAnsi="Arial" w:cs="Arial"/>
          <w:sz w:val="20"/>
          <w:szCs w:val="20"/>
        </w:rPr>
        <w:t>stated</w:t>
      </w:r>
      <w:r w:rsidR="002B185E" w:rsidRPr="006B0263">
        <w:rPr>
          <w:rFonts w:ascii="Arial" w:hAnsi="Arial" w:cs="Arial"/>
          <w:sz w:val="20"/>
          <w:szCs w:val="20"/>
        </w:rPr>
        <w:t>,</w:t>
      </w:r>
      <w:r w:rsidR="004527CD" w:rsidRPr="006B0263">
        <w:rPr>
          <w:rFonts w:ascii="Arial" w:hAnsi="Arial" w:cs="Arial"/>
          <w:sz w:val="20"/>
          <w:szCs w:val="20"/>
        </w:rPr>
        <w:t xml:space="preserve"> </w:t>
      </w:r>
      <w:r w:rsidR="004527CD" w:rsidRPr="006B0263">
        <w:rPr>
          <w:rFonts w:ascii="Arial" w:hAnsi="Arial" w:cs="Arial"/>
          <w:i/>
          <w:sz w:val="20"/>
          <w:szCs w:val="20"/>
        </w:rPr>
        <w:t>“I’ve never received a exception report from IAP, we had two prime movers operating one with blank screen and the other the driver not entering any trip information for a couple of months and no reports to advise of this from IAP.”</w:t>
      </w:r>
      <w:r w:rsidR="00A77CFC">
        <w:rPr>
          <w:rStyle w:val="FootnoteReference"/>
          <w:rFonts w:ascii="Arial" w:hAnsi="Arial" w:cs="Arial"/>
          <w:i/>
          <w:sz w:val="20"/>
          <w:szCs w:val="20"/>
        </w:rPr>
        <w:footnoteReference w:id="7"/>
      </w:r>
      <w:r w:rsidR="004527CD" w:rsidRPr="006B0263">
        <w:rPr>
          <w:rFonts w:ascii="Arial" w:hAnsi="Arial" w:cs="Arial"/>
          <w:sz w:val="20"/>
          <w:szCs w:val="20"/>
        </w:rPr>
        <w:t xml:space="preserve"> </w:t>
      </w:r>
    </w:p>
    <w:p w:rsidR="00A20E21" w:rsidRPr="006B0263" w:rsidRDefault="00A20E21" w:rsidP="00FC55CF">
      <w:pPr>
        <w:autoSpaceDE w:val="0"/>
        <w:autoSpaceDN w:val="0"/>
        <w:adjustRightInd w:val="0"/>
        <w:spacing w:after="0" w:line="240" w:lineRule="auto"/>
        <w:contextualSpacing/>
        <w:rPr>
          <w:rFonts w:ascii="Arial" w:hAnsi="Arial" w:cs="Arial"/>
          <w:sz w:val="20"/>
          <w:szCs w:val="20"/>
        </w:rPr>
      </w:pPr>
    </w:p>
    <w:p w:rsidR="00A20E21" w:rsidRPr="006B0263" w:rsidRDefault="00A20E21" w:rsidP="00FC55CF">
      <w:pPr>
        <w:pStyle w:val="Normal-paras"/>
        <w:spacing w:after="0"/>
        <w:contextualSpacing/>
        <w:rPr>
          <w:rFonts w:ascii="Arial" w:hAnsi="Arial" w:cs="Arial"/>
          <w:sz w:val="20"/>
        </w:rPr>
      </w:pPr>
      <w:r w:rsidRPr="006B0263">
        <w:rPr>
          <w:rFonts w:ascii="Arial" w:eastAsiaTheme="minorHAnsi" w:hAnsi="Arial" w:cs="Arial"/>
          <w:sz w:val="20"/>
          <w:lang w:val="en-AU"/>
        </w:rPr>
        <w:t>A</w:t>
      </w:r>
      <w:r w:rsidR="00BC31EF">
        <w:rPr>
          <w:rFonts w:ascii="Arial" w:eastAsiaTheme="minorHAnsi" w:hAnsi="Arial" w:cs="Arial"/>
          <w:sz w:val="20"/>
          <w:lang w:val="en-AU"/>
        </w:rPr>
        <w:t xml:space="preserve"> different</w:t>
      </w:r>
      <w:r w:rsidRPr="006B0263">
        <w:rPr>
          <w:rFonts w:ascii="Arial" w:eastAsiaTheme="minorHAnsi" w:hAnsi="Arial" w:cs="Arial"/>
          <w:sz w:val="20"/>
          <w:lang w:val="en-AU"/>
        </w:rPr>
        <w:t xml:space="preserve"> operator </w:t>
      </w:r>
      <w:r w:rsidR="00BC31EF">
        <w:rPr>
          <w:rFonts w:ascii="Arial" w:eastAsiaTheme="minorHAnsi" w:hAnsi="Arial" w:cs="Arial"/>
          <w:sz w:val="20"/>
          <w:lang w:val="en-AU"/>
        </w:rPr>
        <w:t xml:space="preserve">has </w:t>
      </w:r>
      <w:r w:rsidR="001F1526">
        <w:rPr>
          <w:rFonts w:ascii="Arial" w:eastAsiaTheme="minorHAnsi" w:hAnsi="Arial" w:cs="Arial"/>
          <w:sz w:val="20"/>
          <w:lang w:val="en-AU"/>
        </w:rPr>
        <w:t xml:space="preserve">previously </w:t>
      </w:r>
      <w:r w:rsidRPr="006B0263">
        <w:rPr>
          <w:rFonts w:ascii="Arial" w:eastAsiaTheme="minorHAnsi" w:hAnsi="Arial" w:cs="Arial"/>
          <w:sz w:val="20"/>
          <w:lang w:val="en-AU"/>
        </w:rPr>
        <w:t xml:space="preserve">reported </w:t>
      </w:r>
      <w:r w:rsidR="00F51FF5">
        <w:rPr>
          <w:rFonts w:ascii="Arial" w:eastAsiaTheme="minorHAnsi" w:hAnsi="Arial" w:cs="Arial"/>
          <w:sz w:val="20"/>
          <w:lang w:val="en-AU"/>
        </w:rPr>
        <w:t xml:space="preserve">the </w:t>
      </w:r>
      <w:r w:rsidRPr="006B0263">
        <w:rPr>
          <w:rFonts w:ascii="Arial" w:eastAsiaTheme="minorHAnsi" w:hAnsi="Arial" w:cs="Arial"/>
          <w:sz w:val="20"/>
          <w:lang w:val="en-AU"/>
        </w:rPr>
        <w:t xml:space="preserve">receipt of </w:t>
      </w:r>
      <w:r w:rsidR="00F51FF5">
        <w:rPr>
          <w:rFonts w:ascii="Arial" w:eastAsiaTheme="minorHAnsi" w:hAnsi="Arial" w:cs="Arial"/>
          <w:sz w:val="20"/>
          <w:lang w:val="en-AU"/>
        </w:rPr>
        <w:t>thousands of</w:t>
      </w:r>
      <w:r w:rsidRPr="006B0263">
        <w:rPr>
          <w:rFonts w:ascii="Arial" w:eastAsiaTheme="minorHAnsi" w:hAnsi="Arial" w:cs="Arial"/>
          <w:sz w:val="20"/>
          <w:lang w:val="en-AU"/>
        </w:rPr>
        <w:t xml:space="preserve"> non-conformance notices but despite repeated requests to the road agency received no further advice as to what to do with the</w:t>
      </w:r>
      <w:r w:rsidR="00C1247E" w:rsidRPr="006B0263">
        <w:rPr>
          <w:rFonts w:ascii="Arial" w:eastAsiaTheme="minorHAnsi" w:hAnsi="Arial" w:cs="Arial"/>
          <w:sz w:val="20"/>
          <w:lang w:val="en-AU"/>
        </w:rPr>
        <w:t>m</w:t>
      </w:r>
      <w:r w:rsidRPr="006B0263">
        <w:rPr>
          <w:rFonts w:ascii="Arial" w:eastAsiaTheme="minorHAnsi" w:hAnsi="Arial" w:cs="Arial"/>
          <w:sz w:val="20"/>
          <w:lang w:val="en-AU"/>
        </w:rPr>
        <w:t>. Th</w:t>
      </w:r>
      <w:r w:rsidR="001F1526">
        <w:rPr>
          <w:rFonts w:ascii="Arial" w:eastAsiaTheme="minorHAnsi" w:hAnsi="Arial" w:cs="Arial"/>
          <w:sz w:val="20"/>
          <w:lang w:val="en-AU"/>
        </w:rPr>
        <w:t>at</w:t>
      </w:r>
      <w:r w:rsidRPr="006B0263">
        <w:rPr>
          <w:rFonts w:ascii="Arial" w:eastAsiaTheme="minorHAnsi" w:hAnsi="Arial" w:cs="Arial"/>
          <w:sz w:val="20"/>
          <w:lang w:val="en-AU"/>
        </w:rPr>
        <w:t xml:space="preserve"> same operator m</w:t>
      </w:r>
      <w:r w:rsidR="0016346C" w:rsidRPr="006B0263">
        <w:rPr>
          <w:rFonts w:ascii="Arial" w:eastAsiaTheme="minorHAnsi" w:hAnsi="Arial" w:cs="Arial"/>
          <w:sz w:val="20"/>
          <w:lang w:val="en-AU"/>
        </w:rPr>
        <w:t xml:space="preserve">ade a loss of approximately $23,000 </w:t>
      </w:r>
      <w:r w:rsidRPr="006B0263">
        <w:rPr>
          <w:rFonts w:ascii="Arial" w:eastAsiaTheme="minorHAnsi" w:hAnsi="Arial" w:cs="Arial"/>
          <w:sz w:val="20"/>
          <w:lang w:val="en-AU"/>
        </w:rPr>
        <w:t xml:space="preserve">from IAP enrolment </w:t>
      </w:r>
      <w:r w:rsidR="001F1526">
        <w:rPr>
          <w:rFonts w:ascii="Arial" w:eastAsiaTheme="minorHAnsi" w:hAnsi="Arial" w:cs="Arial"/>
          <w:sz w:val="20"/>
          <w:lang w:val="en-AU"/>
        </w:rPr>
        <w:t>in</w:t>
      </w:r>
      <w:r w:rsidR="00C1247E" w:rsidRPr="006B0263">
        <w:rPr>
          <w:rFonts w:ascii="Arial" w:eastAsiaTheme="minorHAnsi" w:hAnsi="Arial" w:cs="Arial"/>
          <w:sz w:val="20"/>
          <w:lang w:val="en-AU"/>
        </w:rPr>
        <w:t xml:space="preserve"> 2011 </w:t>
      </w:r>
      <w:r w:rsidRPr="006B0263">
        <w:rPr>
          <w:rFonts w:ascii="Arial" w:eastAsiaTheme="minorHAnsi" w:hAnsi="Arial" w:cs="Arial"/>
          <w:sz w:val="20"/>
          <w:lang w:val="en-AU"/>
        </w:rPr>
        <w:t>even though the company accessed HML and moved additional freight.</w:t>
      </w:r>
    </w:p>
    <w:p w:rsidR="004527CD" w:rsidRPr="006B0263" w:rsidRDefault="004527CD" w:rsidP="00FC55CF">
      <w:pPr>
        <w:spacing w:after="0" w:line="240" w:lineRule="auto"/>
        <w:contextualSpacing/>
        <w:jc w:val="both"/>
        <w:rPr>
          <w:rFonts w:ascii="Arial" w:hAnsi="Arial" w:cs="Arial"/>
          <w:sz w:val="20"/>
          <w:szCs w:val="20"/>
        </w:rPr>
      </w:pPr>
    </w:p>
    <w:p w:rsidR="00D87CC1" w:rsidRPr="006B0263" w:rsidRDefault="00A20E21" w:rsidP="00FC55CF">
      <w:pPr>
        <w:spacing w:after="0" w:line="240" w:lineRule="auto"/>
        <w:contextualSpacing/>
        <w:jc w:val="both"/>
        <w:rPr>
          <w:rFonts w:ascii="Arial" w:hAnsi="Arial" w:cs="Arial"/>
          <w:sz w:val="20"/>
          <w:szCs w:val="20"/>
        </w:rPr>
      </w:pPr>
      <w:r w:rsidRPr="006B0263">
        <w:rPr>
          <w:rFonts w:ascii="Arial" w:hAnsi="Arial" w:cs="Arial"/>
          <w:sz w:val="20"/>
          <w:szCs w:val="20"/>
        </w:rPr>
        <w:t>It is</w:t>
      </w:r>
      <w:r w:rsidR="00D87CC1" w:rsidRPr="006B0263">
        <w:rPr>
          <w:rFonts w:ascii="Arial" w:hAnsi="Arial" w:cs="Arial"/>
          <w:sz w:val="20"/>
          <w:szCs w:val="20"/>
        </w:rPr>
        <w:t xml:space="preserve"> </w:t>
      </w:r>
      <w:r w:rsidR="00993BDE" w:rsidRPr="006B0263">
        <w:rPr>
          <w:rFonts w:ascii="Arial" w:hAnsi="Arial" w:cs="Arial"/>
          <w:sz w:val="20"/>
          <w:szCs w:val="20"/>
        </w:rPr>
        <w:t>important</w:t>
      </w:r>
      <w:r w:rsidR="00D87CC1" w:rsidRPr="006B0263">
        <w:rPr>
          <w:rFonts w:ascii="Arial" w:hAnsi="Arial" w:cs="Arial"/>
          <w:sz w:val="20"/>
          <w:szCs w:val="20"/>
        </w:rPr>
        <w:t xml:space="preserve"> for </w:t>
      </w:r>
      <w:r w:rsidR="00E10B17">
        <w:rPr>
          <w:rFonts w:ascii="Arial" w:hAnsi="Arial" w:cs="Arial"/>
          <w:sz w:val="20"/>
          <w:szCs w:val="20"/>
        </w:rPr>
        <w:t>an</w:t>
      </w:r>
      <w:r w:rsidR="00E10B17" w:rsidRPr="006B0263">
        <w:rPr>
          <w:rFonts w:ascii="Arial" w:hAnsi="Arial" w:cs="Arial"/>
          <w:sz w:val="20"/>
          <w:szCs w:val="20"/>
        </w:rPr>
        <w:t xml:space="preserve"> </w:t>
      </w:r>
      <w:r w:rsidR="00D87CC1" w:rsidRPr="006B0263">
        <w:rPr>
          <w:rFonts w:ascii="Arial" w:hAnsi="Arial" w:cs="Arial"/>
          <w:sz w:val="20"/>
          <w:szCs w:val="20"/>
        </w:rPr>
        <w:t xml:space="preserve">operator to be able to verify precisely </w:t>
      </w:r>
      <w:r w:rsidRPr="006B0263">
        <w:rPr>
          <w:rFonts w:ascii="Arial" w:hAnsi="Arial" w:cs="Arial"/>
          <w:sz w:val="20"/>
          <w:szCs w:val="20"/>
        </w:rPr>
        <w:t>what</w:t>
      </w:r>
      <w:r w:rsidR="00D87CC1" w:rsidRPr="006B0263">
        <w:rPr>
          <w:rFonts w:ascii="Arial" w:hAnsi="Arial" w:cs="Arial"/>
          <w:sz w:val="20"/>
          <w:szCs w:val="20"/>
        </w:rPr>
        <w:t xml:space="preserve"> information is</w:t>
      </w:r>
      <w:r w:rsidRPr="006B0263">
        <w:rPr>
          <w:rFonts w:ascii="Arial" w:hAnsi="Arial" w:cs="Arial"/>
          <w:sz w:val="20"/>
          <w:szCs w:val="20"/>
        </w:rPr>
        <w:t xml:space="preserve"> being</w:t>
      </w:r>
      <w:r w:rsidR="00D87CC1" w:rsidRPr="006B0263">
        <w:rPr>
          <w:rFonts w:ascii="Arial" w:hAnsi="Arial" w:cs="Arial"/>
          <w:sz w:val="20"/>
          <w:szCs w:val="20"/>
        </w:rPr>
        <w:t xml:space="preserve"> </w:t>
      </w:r>
      <w:r w:rsidR="00993BDE" w:rsidRPr="006B0263">
        <w:rPr>
          <w:rFonts w:ascii="Arial" w:hAnsi="Arial" w:cs="Arial"/>
          <w:sz w:val="20"/>
          <w:szCs w:val="20"/>
        </w:rPr>
        <w:t>retrieved</w:t>
      </w:r>
      <w:r w:rsidR="00D87CC1" w:rsidRPr="006B0263">
        <w:rPr>
          <w:rFonts w:ascii="Arial" w:hAnsi="Arial" w:cs="Arial"/>
          <w:sz w:val="20"/>
          <w:szCs w:val="20"/>
        </w:rPr>
        <w:t>, by whom, why</w:t>
      </w:r>
      <w:r w:rsidRPr="006B0263">
        <w:rPr>
          <w:rFonts w:ascii="Arial" w:hAnsi="Arial" w:cs="Arial"/>
          <w:sz w:val="20"/>
          <w:szCs w:val="20"/>
        </w:rPr>
        <w:t xml:space="preserve">, </w:t>
      </w:r>
      <w:r w:rsidR="00D87CC1" w:rsidRPr="006B0263">
        <w:rPr>
          <w:rFonts w:ascii="Arial" w:hAnsi="Arial" w:cs="Arial"/>
          <w:sz w:val="20"/>
          <w:szCs w:val="20"/>
        </w:rPr>
        <w:t xml:space="preserve">and at what times it is </w:t>
      </w:r>
      <w:r w:rsidRPr="006B0263">
        <w:rPr>
          <w:rFonts w:ascii="Arial" w:hAnsi="Arial" w:cs="Arial"/>
          <w:sz w:val="20"/>
          <w:szCs w:val="20"/>
        </w:rPr>
        <w:t xml:space="preserve">being </w:t>
      </w:r>
      <w:r w:rsidR="00D87CC1" w:rsidRPr="006B0263">
        <w:rPr>
          <w:rFonts w:ascii="Arial" w:hAnsi="Arial" w:cs="Arial"/>
          <w:sz w:val="20"/>
          <w:szCs w:val="20"/>
        </w:rPr>
        <w:t>captured and transmitted</w:t>
      </w:r>
      <w:r w:rsidRPr="006B0263">
        <w:rPr>
          <w:rFonts w:ascii="Arial" w:hAnsi="Arial" w:cs="Arial"/>
          <w:sz w:val="20"/>
          <w:szCs w:val="20"/>
        </w:rPr>
        <w:t>,</w:t>
      </w:r>
      <w:r w:rsidR="00D87CC1" w:rsidRPr="006B0263">
        <w:rPr>
          <w:rFonts w:ascii="Arial" w:hAnsi="Arial" w:cs="Arial"/>
          <w:sz w:val="20"/>
          <w:szCs w:val="20"/>
        </w:rPr>
        <w:t xml:space="preserve"> with substantial grounds for </w:t>
      </w:r>
      <w:r w:rsidR="00993BDE" w:rsidRPr="006B0263">
        <w:rPr>
          <w:rFonts w:ascii="Arial" w:hAnsi="Arial" w:cs="Arial"/>
          <w:sz w:val="20"/>
          <w:szCs w:val="20"/>
        </w:rPr>
        <w:t xml:space="preserve">review, </w:t>
      </w:r>
      <w:r w:rsidR="00D87CC1" w:rsidRPr="006B0263">
        <w:rPr>
          <w:rFonts w:ascii="Arial" w:hAnsi="Arial" w:cs="Arial"/>
          <w:sz w:val="20"/>
          <w:szCs w:val="20"/>
        </w:rPr>
        <w:t xml:space="preserve">appeal and recompense should any mismanagement or commercial injury occur from actions of </w:t>
      </w:r>
      <w:r w:rsidRPr="006B0263">
        <w:rPr>
          <w:rFonts w:ascii="Arial" w:hAnsi="Arial" w:cs="Arial"/>
          <w:sz w:val="20"/>
          <w:szCs w:val="20"/>
        </w:rPr>
        <w:t>any</w:t>
      </w:r>
      <w:r w:rsidR="00D87CC1" w:rsidRPr="006B0263">
        <w:rPr>
          <w:rFonts w:ascii="Arial" w:hAnsi="Arial" w:cs="Arial"/>
          <w:sz w:val="20"/>
          <w:szCs w:val="20"/>
        </w:rPr>
        <w:t xml:space="preserve"> </w:t>
      </w:r>
      <w:r w:rsidRPr="006B0263">
        <w:rPr>
          <w:rFonts w:ascii="Arial" w:hAnsi="Arial" w:cs="Arial"/>
          <w:sz w:val="20"/>
          <w:szCs w:val="20"/>
        </w:rPr>
        <w:t xml:space="preserve">non-operator </w:t>
      </w:r>
      <w:r w:rsidR="00993BDE" w:rsidRPr="006B0263">
        <w:rPr>
          <w:rFonts w:ascii="Arial" w:hAnsi="Arial" w:cs="Arial"/>
          <w:sz w:val="20"/>
          <w:szCs w:val="20"/>
        </w:rPr>
        <w:t xml:space="preserve">parties </w:t>
      </w:r>
      <w:r w:rsidR="00D87CC1" w:rsidRPr="006B0263">
        <w:rPr>
          <w:rFonts w:ascii="Arial" w:hAnsi="Arial" w:cs="Arial"/>
          <w:sz w:val="20"/>
          <w:szCs w:val="20"/>
        </w:rPr>
        <w:t>involved in</w:t>
      </w:r>
      <w:r w:rsidRPr="006B0263">
        <w:rPr>
          <w:rFonts w:ascii="Arial" w:hAnsi="Arial" w:cs="Arial"/>
          <w:sz w:val="20"/>
          <w:szCs w:val="20"/>
        </w:rPr>
        <w:t xml:space="preserve"> these</w:t>
      </w:r>
      <w:r w:rsidR="00D87CC1" w:rsidRPr="006B0263">
        <w:rPr>
          <w:rFonts w:ascii="Arial" w:hAnsi="Arial" w:cs="Arial"/>
          <w:sz w:val="20"/>
          <w:szCs w:val="20"/>
        </w:rPr>
        <w:t xml:space="preserve"> electronic transactions. </w:t>
      </w:r>
      <w:r w:rsidR="00993BDE" w:rsidRPr="006B0263">
        <w:rPr>
          <w:rFonts w:ascii="Arial" w:hAnsi="Arial" w:cs="Arial"/>
          <w:sz w:val="20"/>
          <w:szCs w:val="20"/>
        </w:rPr>
        <w:t>Operators may</w:t>
      </w:r>
      <w:r w:rsidRPr="006B0263">
        <w:rPr>
          <w:rFonts w:ascii="Arial" w:hAnsi="Arial" w:cs="Arial"/>
          <w:sz w:val="20"/>
          <w:szCs w:val="20"/>
        </w:rPr>
        <w:t xml:space="preserve"> also</w:t>
      </w:r>
      <w:r w:rsidR="00993BDE" w:rsidRPr="006B0263">
        <w:rPr>
          <w:rFonts w:ascii="Arial" w:hAnsi="Arial" w:cs="Arial"/>
          <w:sz w:val="20"/>
          <w:szCs w:val="20"/>
        </w:rPr>
        <w:t xml:space="preserve"> </w:t>
      </w:r>
      <w:r w:rsidR="002E0E95">
        <w:rPr>
          <w:rFonts w:ascii="Arial" w:hAnsi="Arial" w:cs="Arial"/>
          <w:sz w:val="20"/>
          <w:szCs w:val="20"/>
        </w:rPr>
        <w:t>decide</w:t>
      </w:r>
      <w:r w:rsidR="00993BDE" w:rsidRPr="006B0263">
        <w:rPr>
          <w:rFonts w:ascii="Arial" w:hAnsi="Arial" w:cs="Arial"/>
          <w:sz w:val="20"/>
          <w:szCs w:val="20"/>
        </w:rPr>
        <w:t xml:space="preserve"> to retrieve data </w:t>
      </w:r>
      <w:r w:rsidRPr="006B0263">
        <w:rPr>
          <w:rFonts w:ascii="Arial" w:hAnsi="Arial" w:cs="Arial"/>
          <w:sz w:val="20"/>
          <w:szCs w:val="20"/>
        </w:rPr>
        <w:t>mined</w:t>
      </w:r>
      <w:r w:rsidR="00993BDE" w:rsidRPr="006B0263">
        <w:rPr>
          <w:rFonts w:ascii="Arial" w:hAnsi="Arial" w:cs="Arial"/>
          <w:sz w:val="20"/>
          <w:szCs w:val="20"/>
        </w:rPr>
        <w:t xml:space="preserve"> by authorities for their own</w:t>
      </w:r>
      <w:r w:rsidRPr="006B0263">
        <w:rPr>
          <w:rFonts w:ascii="Arial" w:hAnsi="Arial" w:cs="Arial"/>
          <w:sz w:val="20"/>
          <w:szCs w:val="20"/>
        </w:rPr>
        <w:t xml:space="preserve"> separate</w:t>
      </w:r>
      <w:r w:rsidR="00993BDE" w:rsidRPr="006B0263">
        <w:rPr>
          <w:rFonts w:ascii="Arial" w:hAnsi="Arial" w:cs="Arial"/>
          <w:sz w:val="20"/>
          <w:szCs w:val="20"/>
        </w:rPr>
        <w:t xml:space="preserve"> legal and evidentiary purposes</w:t>
      </w:r>
      <w:r w:rsidR="00660C25">
        <w:rPr>
          <w:rFonts w:ascii="Arial" w:hAnsi="Arial" w:cs="Arial"/>
          <w:sz w:val="20"/>
          <w:szCs w:val="20"/>
        </w:rPr>
        <w:t>,</w:t>
      </w:r>
      <w:r w:rsidR="00993BDE" w:rsidRPr="006B0263">
        <w:rPr>
          <w:rFonts w:ascii="Arial" w:hAnsi="Arial" w:cs="Arial"/>
          <w:sz w:val="20"/>
          <w:szCs w:val="20"/>
        </w:rPr>
        <w:t xml:space="preserve"> and this should be </w:t>
      </w:r>
      <w:r w:rsidR="002E0E95">
        <w:rPr>
          <w:rFonts w:ascii="Arial" w:hAnsi="Arial" w:cs="Arial"/>
          <w:sz w:val="20"/>
          <w:szCs w:val="20"/>
        </w:rPr>
        <w:t xml:space="preserve">possible </w:t>
      </w:r>
      <w:r w:rsidR="008078C8">
        <w:rPr>
          <w:rFonts w:ascii="Arial" w:hAnsi="Arial" w:cs="Arial"/>
          <w:sz w:val="20"/>
          <w:szCs w:val="20"/>
        </w:rPr>
        <w:t>on</w:t>
      </w:r>
      <w:r w:rsidR="00993BDE" w:rsidRPr="006B0263">
        <w:rPr>
          <w:rFonts w:ascii="Arial" w:hAnsi="Arial" w:cs="Arial"/>
          <w:sz w:val="20"/>
          <w:szCs w:val="20"/>
        </w:rPr>
        <w:t xml:space="preserve"> </w:t>
      </w:r>
      <w:r w:rsidR="008E245C">
        <w:rPr>
          <w:rFonts w:ascii="Arial" w:hAnsi="Arial" w:cs="Arial"/>
          <w:sz w:val="20"/>
          <w:szCs w:val="20"/>
        </w:rPr>
        <w:t xml:space="preserve">reasonable </w:t>
      </w:r>
      <w:r w:rsidR="00BE181E">
        <w:rPr>
          <w:rFonts w:ascii="Arial" w:hAnsi="Arial" w:cs="Arial"/>
          <w:sz w:val="20"/>
          <w:szCs w:val="20"/>
        </w:rPr>
        <w:t>request</w:t>
      </w:r>
      <w:r w:rsidR="0071722F">
        <w:rPr>
          <w:rFonts w:ascii="Arial" w:hAnsi="Arial" w:cs="Arial"/>
          <w:sz w:val="20"/>
          <w:szCs w:val="20"/>
        </w:rPr>
        <w:t>,</w:t>
      </w:r>
      <w:r w:rsidR="008078C8">
        <w:rPr>
          <w:rFonts w:ascii="Arial" w:hAnsi="Arial" w:cs="Arial"/>
          <w:sz w:val="20"/>
          <w:szCs w:val="20"/>
        </w:rPr>
        <w:t xml:space="preserve"> or </w:t>
      </w:r>
      <w:r w:rsidR="00BE181E">
        <w:rPr>
          <w:rFonts w:ascii="Arial" w:hAnsi="Arial" w:cs="Arial"/>
          <w:sz w:val="20"/>
          <w:szCs w:val="20"/>
        </w:rPr>
        <w:t xml:space="preserve">if necessary under </w:t>
      </w:r>
      <w:r w:rsidR="00993BDE" w:rsidRPr="006B0263">
        <w:rPr>
          <w:rFonts w:ascii="Arial" w:hAnsi="Arial" w:cs="Arial"/>
          <w:sz w:val="20"/>
          <w:szCs w:val="20"/>
        </w:rPr>
        <w:t>Freedom of Information</w:t>
      </w:r>
      <w:r w:rsidR="00D57662" w:rsidRPr="006B0263">
        <w:rPr>
          <w:rFonts w:ascii="Arial" w:hAnsi="Arial" w:cs="Arial"/>
          <w:sz w:val="20"/>
          <w:szCs w:val="20"/>
        </w:rPr>
        <w:t xml:space="preserve"> laws</w:t>
      </w:r>
      <w:r w:rsidR="00993BDE" w:rsidRPr="006B0263">
        <w:rPr>
          <w:rFonts w:ascii="Arial" w:hAnsi="Arial" w:cs="Arial"/>
          <w:sz w:val="20"/>
          <w:szCs w:val="20"/>
        </w:rPr>
        <w:t>.</w:t>
      </w:r>
      <w:r w:rsidR="00D87CC1" w:rsidRPr="006B0263">
        <w:rPr>
          <w:rFonts w:ascii="Arial" w:hAnsi="Arial" w:cs="Arial"/>
          <w:sz w:val="20"/>
          <w:szCs w:val="20"/>
        </w:rPr>
        <w:t xml:space="preserve"> </w:t>
      </w:r>
    </w:p>
    <w:p w:rsidR="00D87CC1" w:rsidRPr="006B0263" w:rsidRDefault="00D87CC1" w:rsidP="00FC55CF">
      <w:pPr>
        <w:spacing w:after="0" w:line="240" w:lineRule="auto"/>
        <w:contextualSpacing/>
        <w:jc w:val="both"/>
        <w:rPr>
          <w:rFonts w:ascii="Arial" w:hAnsi="Arial" w:cs="Arial"/>
          <w:sz w:val="20"/>
          <w:szCs w:val="20"/>
        </w:rPr>
      </w:pPr>
    </w:p>
    <w:p w:rsidR="00030159" w:rsidRPr="006B0263" w:rsidRDefault="00EB500D" w:rsidP="00FC55CF">
      <w:pPr>
        <w:spacing w:after="0" w:line="240" w:lineRule="auto"/>
        <w:contextualSpacing/>
        <w:jc w:val="both"/>
        <w:rPr>
          <w:rFonts w:ascii="Arial" w:hAnsi="Arial" w:cs="Arial"/>
          <w:sz w:val="20"/>
          <w:szCs w:val="20"/>
        </w:rPr>
      </w:pPr>
      <w:r w:rsidRPr="006B0263">
        <w:rPr>
          <w:rFonts w:ascii="Arial" w:hAnsi="Arial" w:cs="Arial"/>
          <w:sz w:val="20"/>
          <w:szCs w:val="20"/>
        </w:rPr>
        <w:t>Ultimately, the most secure, innovative and dynamic national fleet imaginable will likely comprise multiple diverse private operators collecting sophisticated data through private systems</w:t>
      </w:r>
      <w:r w:rsidR="00171AA2">
        <w:rPr>
          <w:rFonts w:ascii="Arial" w:hAnsi="Arial" w:cs="Arial"/>
          <w:sz w:val="20"/>
          <w:szCs w:val="20"/>
        </w:rPr>
        <w:t xml:space="preserve"> </w:t>
      </w:r>
      <w:r w:rsidR="00030457" w:rsidRPr="006B0263">
        <w:rPr>
          <w:rFonts w:ascii="Arial" w:hAnsi="Arial" w:cs="Arial"/>
          <w:sz w:val="20"/>
          <w:szCs w:val="20"/>
        </w:rPr>
        <w:t xml:space="preserve">fully integrated with </w:t>
      </w:r>
      <w:r w:rsidR="003F6A19" w:rsidRPr="003F6A19">
        <w:rPr>
          <w:rFonts w:ascii="Arial" w:hAnsi="Arial" w:cs="Arial"/>
          <w:sz w:val="20"/>
          <w:szCs w:val="20"/>
        </w:rPr>
        <w:t>Original Equipment Manufacturer</w:t>
      </w:r>
      <w:r w:rsidR="003F6A19" w:rsidRPr="003F6A19">
        <w:rPr>
          <w:rStyle w:val="FootnoteReference"/>
          <w:rFonts w:ascii="Arial" w:hAnsi="Arial" w:cs="Arial"/>
          <w:sz w:val="20"/>
          <w:szCs w:val="20"/>
          <w:vertAlign w:val="baseline"/>
        </w:rPr>
        <w:t xml:space="preserve"> </w:t>
      </w:r>
      <w:r w:rsidR="00030457" w:rsidRPr="006B0263">
        <w:rPr>
          <w:rFonts w:ascii="Arial" w:hAnsi="Arial" w:cs="Arial"/>
          <w:sz w:val="20"/>
          <w:szCs w:val="20"/>
        </w:rPr>
        <w:t>technologies,</w:t>
      </w:r>
      <w:r w:rsidRPr="006B0263">
        <w:rPr>
          <w:rFonts w:ascii="Arial" w:hAnsi="Arial" w:cs="Arial"/>
          <w:sz w:val="20"/>
          <w:szCs w:val="20"/>
        </w:rPr>
        <w:t xml:space="preserve"> according to their enterprise and fleet needs. Many operators are </w:t>
      </w:r>
      <w:r w:rsidR="00E10B17" w:rsidRPr="006B0263">
        <w:rPr>
          <w:rFonts w:ascii="Arial" w:hAnsi="Arial" w:cs="Arial"/>
          <w:sz w:val="20"/>
          <w:szCs w:val="20"/>
        </w:rPr>
        <w:t xml:space="preserve">already </w:t>
      </w:r>
      <w:r w:rsidRPr="006B0263">
        <w:rPr>
          <w:rFonts w:ascii="Arial" w:hAnsi="Arial" w:cs="Arial"/>
          <w:sz w:val="20"/>
          <w:szCs w:val="20"/>
        </w:rPr>
        <w:t>at this level of operational maturity. Th</w:t>
      </w:r>
      <w:r w:rsidR="00171AA2">
        <w:rPr>
          <w:rFonts w:ascii="Arial" w:hAnsi="Arial" w:cs="Arial"/>
          <w:sz w:val="20"/>
          <w:szCs w:val="20"/>
        </w:rPr>
        <w:t>o</w:t>
      </w:r>
      <w:r w:rsidRPr="006B0263">
        <w:rPr>
          <w:rFonts w:ascii="Arial" w:hAnsi="Arial" w:cs="Arial"/>
          <w:sz w:val="20"/>
          <w:szCs w:val="20"/>
        </w:rPr>
        <w:t xml:space="preserve">se operators can and already do securely manage their own systems according to their commercial risk and furnish data on reasonable request to relevant authorities. </w:t>
      </w:r>
    </w:p>
    <w:p w:rsidR="00C1247E" w:rsidRPr="006B0263" w:rsidRDefault="00C1247E" w:rsidP="00FC55CF">
      <w:pPr>
        <w:spacing w:after="0" w:line="240" w:lineRule="auto"/>
        <w:contextualSpacing/>
        <w:jc w:val="both"/>
        <w:rPr>
          <w:rFonts w:ascii="Arial" w:hAnsi="Arial" w:cs="Arial"/>
          <w:sz w:val="20"/>
          <w:szCs w:val="20"/>
        </w:rPr>
      </w:pPr>
    </w:p>
    <w:p w:rsidR="009C1374" w:rsidRPr="00B97FC5" w:rsidRDefault="00E20BAE" w:rsidP="00B97FC5">
      <w:pPr>
        <w:pStyle w:val="Heading1"/>
        <w:numPr>
          <w:ilvl w:val="0"/>
          <w:numId w:val="0"/>
        </w:numPr>
        <w:ind w:left="360" w:hanging="360"/>
        <w:rPr>
          <w:sz w:val="24"/>
          <w:szCs w:val="24"/>
        </w:rPr>
      </w:pPr>
      <w:r w:rsidRPr="00B97FC5">
        <w:rPr>
          <w:sz w:val="24"/>
          <w:szCs w:val="24"/>
        </w:rPr>
        <w:t>4.</w:t>
      </w:r>
      <w:r w:rsidR="0004028E" w:rsidRPr="00B97FC5">
        <w:rPr>
          <w:sz w:val="24"/>
          <w:szCs w:val="24"/>
        </w:rPr>
        <w:t>4</w:t>
      </w:r>
      <w:r w:rsidR="00EB500D" w:rsidRPr="00B97FC5">
        <w:rPr>
          <w:sz w:val="24"/>
          <w:szCs w:val="24"/>
        </w:rPr>
        <w:t xml:space="preserve"> </w:t>
      </w:r>
      <w:r w:rsidR="00AE1C47" w:rsidRPr="00B97FC5">
        <w:rPr>
          <w:sz w:val="24"/>
          <w:szCs w:val="24"/>
        </w:rPr>
        <w:t xml:space="preserve">Administration </w:t>
      </w:r>
      <w:r w:rsidRPr="00B97FC5">
        <w:rPr>
          <w:sz w:val="24"/>
          <w:szCs w:val="24"/>
        </w:rPr>
        <w:t>and Next Steps</w:t>
      </w:r>
    </w:p>
    <w:p w:rsidR="0022782B" w:rsidRPr="00796078" w:rsidRDefault="0022782B" w:rsidP="00C32F41">
      <w:pPr>
        <w:pStyle w:val="Normal-paras"/>
        <w:spacing w:after="0"/>
        <w:contextualSpacing/>
        <w:jc w:val="left"/>
        <w:rPr>
          <w:rFonts w:asciiTheme="minorHAnsi" w:eastAsiaTheme="minorHAnsi" w:hAnsiTheme="minorHAnsi" w:cs="Arial"/>
          <w:i/>
          <w:sz w:val="16"/>
          <w:szCs w:val="16"/>
          <w:lang w:val="en-AU"/>
        </w:rPr>
      </w:pPr>
    </w:p>
    <w:p w:rsidR="00C32F41" w:rsidRPr="006B0263" w:rsidRDefault="00C32F41" w:rsidP="0022782B">
      <w:pPr>
        <w:pStyle w:val="Normal-paras"/>
        <w:spacing w:after="0"/>
        <w:contextualSpacing/>
        <w:jc w:val="left"/>
        <w:rPr>
          <w:rFonts w:asciiTheme="minorHAnsi" w:eastAsiaTheme="minorHAnsi" w:hAnsiTheme="minorHAnsi" w:cs="Arial"/>
          <w:i/>
          <w:sz w:val="20"/>
          <w:lang w:val="en-AU"/>
        </w:rPr>
      </w:pPr>
      <w:r w:rsidRPr="006B0263">
        <w:rPr>
          <w:rFonts w:asciiTheme="minorHAnsi" w:eastAsiaTheme="minorHAnsi" w:hAnsiTheme="minorHAnsi" w:cs="Arial"/>
          <w:i/>
          <w:sz w:val="20"/>
          <w:lang w:val="en-AU"/>
        </w:rPr>
        <w:t>“IAP monitors after the event happens. As an operator I want an in-cab screen that shows a driver live, as a GPS device does, that he is off route. We now do declarations from the office up to 72 hours after the event as allowed as drivers and in-truck screens are both unreliable.</w:t>
      </w:r>
      <w:r w:rsidR="00B31C0F" w:rsidRPr="006B0263">
        <w:rPr>
          <w:rFonts w:asciiTheme="minorHAnsi" w:eastAsiaTheme="minorHAnsi" w:hAnsiTheme="minorHAnsi" w:cs="Arial"/>
          <w:i/>
          <w:sz w:val="20"/>
          <w:lang w:val="en-AU"/>
        </w:rPr>
        <w:t>”</w:t>
      </w:r>
      <w:r w:rsidR="00B31C0F" w:rsidRPr="006B0263">
        <w:rPr>
          <w:rStyle w:val="FootnoteReference"/>
          <w:rFonts w:asciiTheme="minorHAnsi" w:eastAsiaTheme="minorHAnsi" w:hAnsiTheme="minorHAnsi" w:cs="Arial"/>
          <w:i/>
          <w:sz w:val="20"/>
          <w:lang w:val="en-AU"/>
        </w:rPr>
        <w:footnoteReference w:id="8"/>
      </w:r>
    </w:p>
    <w:p w:rsidR="00182BDB" w:rsidRPr="006B0263" w:rsidRDefault="00182BDB" w:rsidP="00C32F41">
      <w:pPr>
        <w:pStyle w:val="Normal-paras"/>
        <w:spacing w:after="0"/>
        <w:contextualSpacing/>
        <w:jc w:val="left"/>
        <w:rPr>
          <w:rFonts w:asciiTheme="minorHAnsi" w:eastAsiaTheme="minorHAnsi" w:hAnsiTheme="minorHAnsi" w:cs="Arial"/>
          <w:i/>
          <w:sz w:val="20"/>
          <w:lang w:val="en-AU"/>
        </w:rPr>
      </w:pPr>
    </w:p>
    <w:p w:rsidR="00166F55" w:rsidRPr="006B0263" w:rsidRDefault="00166F55" w:rsidP="00E352AD">
      <w:pPr>
        <w:spacing w:after="0" w:line="240" w:lineRule="auto"/>
        <w:contextualSpacing/>
        <w:jc w:val="both"/>
        <w:rPr>
          <w:rFonts w:ascii="Arial" w:hAnsi="Arial" w:cs="Arial"/>
          <w:i/>
          <w:sz w:val="20"/>
          <w:szCs w:val="20"/>
        </w:rPr>
      </w:pPr>
      <w:r w:rsidRPr="006B0263">
        <w:rPr>
          <w:rFonts w:ascii="Arial" w:hAnsi="Arial" w:cs="Arial"/>
          <w:sz w:val="20"/>
          <w:szCs w:val="20"/>
        </w:rPr>
        <w:t xml:space="preserve">IAP’s contribution </w:t>
      </w:r>
      <w:r w:rsidR="00A04620" w:rsidRPr="006B0263">
        <w:rPr>
          <w:rFonts w:ascii="Arial" w:hAnsi="Arial" w:cs="Arial"/>
          <w:sz w:val="20"/>
          <w:szCs w:val="20"/>
        </w:rPr>
        <w:t>to industry</w:t>
      </w:r>
      <w:r w:rsidRPr="006B0263">
        <w:rPr>
          <w:rFonts w:ascii="Arial" w:hAnsi="Arial" w:cs="Arial"/>
          <w:sz w:val="20"/>
          <w:szCs w:val="20"/>
        </w:rPr>
        <w:t xml:space="preserve"> compliance cannot be easily assessed if, in the words of the </w:t>
      </w:r>
      <w:r w:rsidR="00C13D66" w:rsidRPr="006B0263">
        <w:rPr>
          <w:rFonts w:ascii="Arial" w:hAnsi="Arial" w:cs="Arial"/>
          <w:sz w:val="20"/>
          <w:szCs w:val="20"/>
        </w:rPr>
        <w:t xml:space="preserve">2005 </w:t>
      </w:r>
      <w:r w:rsidRPr="006B0263">
        <w:rPr>
          <w:rFonts w:ascii="Arial" w:hAnsi="Arial" w:cs="Arial"/>
          <w:sz w:val="20"/>
          <w:szCs w:val="20"/>
        </w:rPr>
        <w:t xml:space="preserve">RIS that </w:t>
      </w:r>
      <w:r w:rsidR="00C13D66" w:rsidRPr="006B0263">
        <w:rPr>
          <w:rFonts w:ascii="Arial" w:hAnsi="Arial" w:cs="Arial"/>
          <w:sz w:val="20"/>
          <w:szCs w:val="20"/>
        </w:rPr>
        <w:t>envisaged</w:t>
      </w:r>
      <w:r w:rsidRPr="006B0263">
        <w:rPr>
          <w:rFonts w:ascii="Arial" w:hAnsi="Arial" w:cs="Arial"/>
          <w:sz w:val="20"/>
          <w:szCs w:val="20"/>
        </w:rPr>
        <w:t xml:space="preserve"> only a two to three year implementation process, “</w:t>
      </w:r>
      <w:r w:rsidRPr="006B0263">
        <w:rPr>
          <w:rFonts w:ascii="Arial" w:hAnsi="Arial" w:cs="Arial"/>
          <w:i/>
          <w:sz w:val="20"/>
          <w:szCs w:val="20"/>
        </w:rPr>
        <w:t>It is not intended that Stage 1 will be directed at improving overall compliance per se.”</w:t>
      </w:r>
    </w:p>
    <w:p w:rsidR="00166F55" w:rsidRPr="006B0263" w:rsidRDefault="00166F55" w:rsidP="00E352AD">
      <w:pPr>
        <w:pStyle w:val="Normal-paras"/>
        <w:spacing w:after="0"/>
        <w:contextualSpacing/>
        <w:rPr>
          <w:rFonts w:ascii="Arial" w:eastAsiaTheme="minorHAnsi" w:hAnsi="Arial" w:cs="Arial"/>
          <w:sz w:val="20"/>
          <w:lang w:val="en-AU"/>
        </w:rPr>
      </w:pPr>
    </w:p>
    <w:p w:rsidR="006B0263" w:rsidRDefault="006B0263" w:rsidP="006B0263">
      <w:pPr>
        <w:spacing w:after="0" w:line="240" w:lineRule="auto"/>
        <w:contextualSpacing/>
        <w:jc w:val="both"/>
        <w:rPr>
          <w:rFonts w:ascii="Arial" w:eastAsia="Times New Roman" w:hAnsi="Arial" w:cs="Arial"/>
          <w:sz w:val="20"/>
          <w:szCs w:val="20"/>
        </w:rPr>
      </w:pPr>
      <w:r w:rsidRPr="006B0263">
        <w:rPr>
          <w:rFonts w:ascii="Arial" w:hAnsi="Arial" w:cs="Arial"/>
          <w:sz w:val="20"/>
          <w:szCs w:val="20"/>
        </w:rPr>
        <w:t xml:space="preserve">IAP has always been focused on reporting potential non-compliance </w:t>
      </w:r>
      <w:r w:rsidRPr="006B0263">
        <w:rPr>
          <w:rFonts w:ascii="Arial" w:hAnsi="Arial" w:cs="Arial"/>
          <w:i/>
          <w:sz w:val="20"/>
          <w:szCs w:val="20"/>
        </w:rPr>
        <w:t>post-incident</w:t>
      </w:r>
      <w:r w:rsidRPr="006B0263">
        <w:rPr>
          <w:rFonts w:ascii="Arial" w:hAnsi="Arial" w:cs="Arial"/>
          <w:sz w:val="20"/>
          <w:szCs w:val="20"/>
        </w:rPr>
        <w:t xml:space="preserve"> to road agencies. It is an afterthought to inform operators of their own ‘non-compliance’ so they can take corrective action in their business. </w:t>
      </w:r>
      <w:r w:rsidR="004C0AFA" w:rsidRPr="006B0263">
        <w:rPr>
          <w:rFonts w:ascii="Arial" w:eastAsia="Times New Roman" w:hAnsi="Arial" w:cs="Arial"/>
          <w:sz w:val="20"/>
          <w:szCs w:val="20"/>
        </w:rPr>
        <w:t xml:space="preserve">The scheme has proved opaque and underperforming at the road manager level; financially unsustainable at the TCA enterprise level; and costly and counter-productive for the truck industry to adopt. </w:t>
      </w:r>
      <w:r w:rsidRPr="006B0263">
        <w:rPr>
          <w:rFonts w:ascii="Arial" w:hAnsi="Arial" w:cs="Arial"/>
          <w:sz w:val="20"/>
          <w:szCs w:val="20"/>
        </w:rPr>
        <w:t>Risk</w:t>
      </w:r>
      <w:r w:rsidR="00621FC6">
        <w:rPr>
          <w:rFonts w:ascii="Arial" w:hAnsi="Arial" w:cs="Arial"/>
          <w:sz w:val="20"/>
          <w:szCs w:val="20"/>
        </w:rPr>
        <w:t>-</w:t>
      </w:r>
      <w:r w:rsidRPr="006B0263">
        <w:rPr>
          <w:rFonts w:ascii="Arial" w:hAnsi="Arial" w:cs="Arial"/>
          <w:sz w:val="20"/>
          <w:szCs w:val="20"/>
        </w:rPr>
        <w:t xml:space="preserve">averse attitudes on the part of road managers, program costs, processing delays and haphazard returns in actual access have all contributed to a lack </w:t>
      </w:r>
      <w:r w:rsidR="00621FC6">
        <w:rPr>
          <w:rFonts w:ascii="Arial" w:hAnsi="Arial" w:cs="Arial"/>
          <w:sz w:val="20"/>
          <w:szCs w:val="20"/>
        </w:rPr>
        <w:t xml:space="preserve">of widespread </w:t>
      </w:r>
      <w:r w:rsidRPr="006B0263">
        <w:rPr>
          <w:rFonts w:ascii="Arial" w:hAnsi="Arial" w:cs="Arial"/>
          <w:sz w:val="20"/>
          <w:szCs w:val="20"/>
        </w:rPr>
        <w:t>enthusiasm for this scheme.</w:t>
      </w:r>
    </w:p>
    <w:p w:rsidR="00F50274" w:rsidRPr="006B0263" w:rsidRDefault="00F50274" w:rsidP="00E352AD">
      <w:pPr>
        <w:pStyle w:val="Normal-paras"/>
        <w:spacing w:after="0"/>
        <w:contextualSpacing/>
        <w:rPr>
          <w:rFonts w:ascii="Arial" w:eastAsiaTheme="minorHAnsi" w:hAnsi="Arial" w:cs="Arial"/>
          <w:sz w:val="20"/>
          <w:lang w:val="en-AU"/>
        </w:rPr>
      </w:pPr>
    </w:p>
    <w:p w:rsidR="00F50274" w:rsidRPr="006B0263" w:rsidRDefault="00F50274" w:rsidP="00E352AD">
      <w:pPr>
        <w:spacing w:after="0" w:line="240" w:lineRule="auto"/>
        <w:contextualSpacing/>
        <w:jc w:val="both"/>
        <w:rPr>
          <w:rFonts w:ascii="Arial" w:hAnsi="Arial" w:cs="Arial"/>
          <w:sz w:val="20"/>
          <w:szCs w:val="20"/>
        </w:rPr>
      </w:pPr>
      <w:r w:rsidRPr="006B0263">
        <w:rPr>
          <w:rFonts w:ascii="Arial" w:hAnsi="Arial" w:cs="Arial"/>
          <w:sz w:val="20"/>
          <w:szCs w:val="20"/>
        </w:rPr>
        <w:t xml:space="preserve">A risk-based categorisation system </w:t>
      </w:r>
      <w:r w:rsidR="00B81C5F" w:rsidRPr="006B0263">
        <w:rPr>
          <w:rFonts w:ascii="Arial" w:hAnsi="Arial" w:cs="Arial"/>
          <w:sz w:val="20"/>
          <w:szCs w:val="20"/>
        </w:rPr>
        <w:t>would be</w:t>
      </w:r>
      <w:r w:rsidRPr="006B0263">
        <w:rPr>
          <w:rFonts w:ascii="Arial" w:hAnsi="Arial" w:cs="Arial"/>
          <w:sz w:val="20"/>
          <w:szCs w:val="20"/>
        </w:rPr>
        <w:t xml:space="preserve"> preferred by the ATA, wherein safe, prescriptive modular combinations and PBS combinations operating at HML attract no</w:t>
      </w:r>
      <w:r w:rsidR="00461623" w:rsidRPr="006B0263">
        <w:rPr>
          <w:rFonts w:ascii="Arial" w:hAnsi="Arial" w:cs="Arial"/>
          <w:sz w:val="20"/>
          <w:szCs w:val="20"/>
        </w:rPr>
        <w:t xml:space="preserve"> monitoring via</w:t>
      </w:r>
      <w:r w:rsidRPr="006B0263">
        <w:rPr>
          <w:rFonts w:ascii="Arial" w:hAnsi="Arial" w:cs="Arial"/>
          <w:sz w:val="20"/>
          <w:szCs w:val="20"/>
        </w:rPr>
        <w:t xml:space="preserve"> IAP, but high-risk vehicles (e.g. </w:t>
      </w:r>
      <w:r w:rsidR="00B81C5F" w:rsidRPr="006B0263">
        <w:rPr>
          <w:rFonts w:ascii="Arial" w:hAnsi="Arial" w:cs="Arial"/>
          <w:sz w:val="20"/>
          <w:szCs w:val="20"/>
        </w:rPr>
        <w:t>ultra heavy</w:t>
      </w:r>
      <w:r w:rsidRPr="006B0263">
        <w:rPr>
          <w:rFonts w:ascii="Arial" w:hAnsi="Arial" w:cs="Arial"/>
          <w:sz w:val="20"/>
          <w:szCs w:val="20"/>
        </w:rPr>
        <w:t xml:space="preserve"> cranes) and </w:t>
      </w:r>
      <w:r w:rsidR="00CB433B" w:rsidRPr="006B0263">
        <w:rPr>
          <w:rFonts w:ascii="Arial" w:hAnsi="Arial" w:cs="Arial"/>
          <w:sz w:val="20"/>
          <w:szCs w:val="20"/>
        </w:rPr>
        <w:t xml:space="preserve">higher order </w:t>
      </w:r>
      <w:r w:rsidRPr="006B0263">
        <w:rPr>
          <w:rFonts w:ascii="Arial" w:hAnsi="Arial" w:cs="Arial"/>
          <w:sz w:val="20"/>
          <w:szCs w:val="20"/>
        </w:rPr>
        <w:t xml:space="preserve">oversize and over-mass vehicles </w:t>
      </w:r>
      <w:r w:rsidR="00461623" w:rsidRPr="006B0263">
        <w:rPr>
          <w:rFonts w:ascii="Arial" w:hAnsi="Arial" w:cs="Arial"/>
          <w:sz w:val="20"/>
          <w:szCs w:val="20"/>
        </w:rPr>
        <w:t>may</w:t>
      </w:r>
      <w:r w:rsidRPr="006B0263">
        <w:rPr>
          <w:rFonts w:ascii="Arial" w:hAnsi="Arial" w:cs="Arial"/>
          <w:sz w:val="20"/>
          <w:szCs w:val="20"/>
        </w:rPr>
        <w:t xml:space="preserve"> be monitored</w:t>
      </w:r>
      <w:r w:rsidR="00C02147" w:rsidRPr="006B0263">
        <w:rPr>
          <w:rFonts w:ascii="Arial" w:hAnsi="Arial" w:cs="Arial"/>
          <w:sz w:val="20"/>
          <w:szCs w:val="20"/>
        </w:rPr>
        <w:t xml:space="preserve">, as an alternative to expensive </w:t>
      </w:r>
      <w:r w:rsidR="00CB433B" w:rsidRPr="006B0263">
        <w:rPr>
          <w:rFonts w:ascii="Arial" w:hAnsi="Arial" w:cs="Arial"/>
          <w:sz w:val="20"/>
          <w:szCs w:val="20"/>
        </w:rPr>
        <w:t xml:space="preserve">individual </w:t>
      </w:r>
      <w:r w:rsidR="00C02147" w:rsidRPr="006B0263">
        <w:rPr>
          <w:rFonts w:ascii="Arial" w:hAnsi="Arial" w:cs="Arial"/>
          <w:sz w:val="20"/>
          <w:szCs w:val="20"/>
        </w:rPr>
        <w:t>trips under supervision by road agencies</w:t>
      </w:r>
      <w:r w:rsidRPr="006B0263">
        <w:rPr>
          <w:rFonts w:ascii="Arial" w:hAnsi="Arial" w:cs="Arial"/>
          <w:sz w:val="20"/>
          <w:szCs w:val="20"/>
        </w:rPr>
        <w:t xml:space="preserve"> for compliance with access conditions. IAP should also be applied to persistent or serious offenders when </w:t>
      </w:r>
      <w:r w:rsidR="0080328B" w:rsidRPr="006B0263">
        <w:rPr>
          <w:rFonts w:ascii="Arial" w:hAnsi="Arial" w:cs="Arial"/>
          <w:sz w:val="20"/>
          <w:szCs w:val="20"/>
        </w:rPr>
        <w:t>a supervised intervention order</w:t>
      </w:r>
      <w:r w:rsidRPr="006B0263">
        <w:rPr>
          <w:rFonts w:ascii="Arial" w:hAnsi="Arial" w:cs="Arial"/>
          <w:sz w:val="20"/>
          <w:szCs w:val="20"/>
        </w:rPr>
        <w:t xml:space="preserve"> is imposed by a court. </w:t>
      </w:r>
      <w:r w:rsidR="003A6F59" w:rsidRPr="006B0263">
        <w:rPr>
          <w:rFonts w:ascii="Arial" w:hAnsi="Arial" w:cs="Arial"/>
          <w:sz w:val="20"/>
          <w:szCs w:val="20"/>
        </w:rPr>
        <w:t xml:space="preserve">All transport data is evidence, regardless if it is gathered and stored electronically or </w:t>
      </w:r>
      <w:r w:rsidR="00DF1642" w:rsidRPr="006B0263">
        <w:rPr>
          <w:rFonts w:ascii="Arial" w:hAnsi="Arial" w:cs="Arial"/>
          <w:sz w:val="20"/>
          <w:szCs w:val="20"/>
        </w:rPr>
        <w:t>recorded</w:t>
      </w:r>
      <w:r w:rsidR="003A6F59" w:rsidRPr="006B0263">
        <w:rPr>
          <w:rFonts w:ascii="Arial" w:hAnsi="Arial" w:cs="Arial"/>
          <w:sz w:val="20"/>
          <w:szCs w:val="20"/>
        </w:rPr>
        <w:t xml:space="preserve"> by traditional means.</w:t>
      </w:r>
    </w:p>
    <w:p w:rsidR="00796078" w:rsidRDefault="00796078" w:rsidP="006B0263">
      <w:pPr>
        <w:pStyle w:val="Heading1"/>
        <w:numPr>
          <w:ilvl w:val="0"/>
          <w:numId w:val="0"/>
        </w:numPr>
        <w:ind w:left="360" w:hanging="360"/>
        <w:rPr>
          <w:sz w:val="20"/>
          <w:szCs w:val="20"/>
        </w:rPr>
      </w:pPr>
    </w:p>
    <w:p w:rsidR="002C3E24" w:rsidRPr="00D44B66" w:rsidRDefault="002C3E24" w:rsidP="006B0263">
      <w:pPr>
        <w:pStyle w:val="Heading1"/>
        <w:numPr>
          <w:ilvl w:val="0"/>
          <w:numId w:val="0"/>
        </w:numPr>
        <w:ind w:left="360" w:hanging="360"/>
        <w:rPr>
          <w:sz w:val="20"/>
          <w:szCs w:val="20"/>
        </w:rPr>
      </w:pPr>
      <w:r w:rsidRPr="00D44B66">
        <w:rPr>
          <w:sz w:val="20"/>
          <w:szCs w:val="20"/>
        </w:rPr>
        <w:t xml:space="preserve">NHVR Business Unit </w:t>
      </w:r>
    </w:p>
    <w:p w:rsidR="003906AE" w:rsidRPr="00B16186" w:rsidRDefault="007554C7" w:rsidP="00E352AD">
      <w:pPr>
        <w:pStyle w:val="Normal-paras"/>
        <w:spacing w:after="0"/>
        <w:contextualSpacing/>
        <w:rPr>
          <w:rFonts w:ascii="Arial" w:hAnsi="Arial" w:cs="Arial"/>
          <w:sz w:val="20"/>
          <w:lang w:val="en-AU"/>
        </w:rPr>
      </w:pPr>
      <w:r w:rsidRPr="00B16186">
        <w:rPr>
          <w:rFonts w:ascii="Arial" w:hAnsi="Arial" w:cs="Arial"/>
          <w:sz w:val="20"/>
          <w:lang w:val="en-AU"/>
        </w:rPr>
        <w:t>S</w:t>
      </w:r>
      <w:r w:rsidR="002B3948" w:rsidRPr="00B16186">
        <w:rPr>
          <w:rFonts w:ascii="Arial" w:hAnsi="Arial" w:cs="Arial"/>
          <w:sz w:val="20"/>
          <w:lang w:val="en-AU"/>
        </w:rPr>
        <w:t>tate</w:t>
      </w:r>
      <w:r w:rsidR="00446020" w:rsidRPr="00B16186">
        <w:rPr>
          <w:rFonts w:ascii="Arial" w:hAnsi="Arial" w:cs="Arial"/>
          <w:sz w:val="20"/>
          <w:lang w:val="en-AU"/>
        </w:rPr>
        <w:t xml:space="preserve"> and local</w:t>
      </w:r>
      <w:r w:rsidR="000437DF" w:rsidRPr="00B16186">
        <w:rPr>
          <w:rFonts w:ascii="Arial" w:hAnsi="Arial" w:cs="Arial"/>
          <w:sz w:val="20"/>
          <w:lang w:val="en-AU"/>
        </w:rPr>
        <w:t xml:space="preserve"> agencies </w:t>
      </w:r>
      <w:r w:rsidR="002B185E" w:rsidRPr="00B16186">
        <w:rPr>
          <w:rFonts w:ascii="Arial" w:hAnsi="Arial" w:cs="Arial"/>
          <w:sz w:val="20"/>
          <w:lang w:val="en-AU"/>
        </w:rPr>
        <w:t xml:space="preserve">are </w:t>
      </w:r>
      <w:r w:rsidR="00A334B4" w:rsidRPr="00B16186">
        <w:rPr>
          <w:rFonts w:ascii="Arial" w:hAnsi="Arial" w:cs="Arial"/>
          <w:sz w:val="20"/>
          <w:lang w:val="en-AU"/>
        </w:rPr>
        <w:t>perceived</w:t>
      </w:r>
      <w:r w:rsidRPr="00B16186">
        <w:rPr>
          <w:rFonts w:ascii="Arial" w:hAnsi="Arial" w:cs="Arial"/>
          <w:sz w:val="20"/>
          <w:lang w:val="en-AU"/>
        </w:rPr>
        <w:t xml:space="preserve"> by industry</w:t>
      </w:r>
      <w:r w:rsidR="00A334B4" w:rsidRPr="00B16186">
        <w:rPr>
          <w:rFonts w:ascii="Arial" w:hAnsi="Arial" w:cs="Arial"/>
          <w:sz w:val="20"/>
          <w:lang w:val="en-AU"/>
        </w:rPr>
        <w:t xml:space="preserve"> to be</w:t>
      </w:r>
      <w:r w:rsidR="000437DF" w:rsidRPr="00B16186">
        <w:rPr>
          <w:rFonts w:ascii="Arial" w:hAnsi="Arial" w:cs="Arial"/>
          <w:sz w:val="20"/>
          <w:lang w:val="en-AU"/>
        </w:rPr>
        <w:t xml:space="preserve"> </w:t>
      </w:r>
      <w:r w:rsidRPr="00B16186">
        <w:rPr>
          <w:rFonts w:ascii="Arial" w:hAnsi="Arial" w:cs="Arial"/>
          <w:sz w:val="20"/>
          <w:lang w:val="en-AU"/>
        </w:rPr>
        <w:t xml:space="preserve">generally </w:t>
      </w:r>
      <w:r w:rsidR="000437DF" w:rsidRPr="00B16186">
        <w:rPr>
          <w:rFonts w:ascii="Arial" w:hAnsi="Arial" w:cs="Arial"/>
          <w:sz w:val="20"/>
          <w:lang w:val="en-AU"/>
        </w:rPr>
        <w:t xml:space="preserve">overwhelmed with </w:t>
      </w:r>
      <w:r w:rsidRPr="00B16186">
        <w:rPr>
          <w:rFonts w:ascii="Arial" w:hAnsi="Arial" w:cs="Arial"/>
          <w:sz w:val="20"/>
          <w:lang w:val="en-AU"/>
        </w:rPr>
        <w:t xml:space="preserve">the </w:t>
      </w:r>
      <w:r w:rsidR="00861F24" w:rsidRPr="00B16186">
        <w:rPr>
          <w:rFonts w:ascii="Arial" w:hAnsi="Arial" w:cs="Arial"/>
          <w:sz w:val="20"/>
          <w:lang w:val="en-AU"/>
        </w:rPr>
        <w:t xml:space="preserve">burden of </w:t>
      </w:r>
      <w:r w:rsidRPr="00B16186">
        <w:rPr>
          <w:rFonts w:ascii="Arial" w:hAnsi="Arial" w:cs="Arial"/>
          <w:sz w:val="20"/>
          <w:lang w:val="en-AU"/>
        </w:rPr>
        <w:t>IAP</w:t>
      </w:r>
      <w:r w:rsidR="00A334B4" w:rsidRPr="00B16186">
        <w:rPr>
          <w:rFonts w:ascii="Arial" w:hAnsi="Arial" w:cs="Arial"/>
          <w:sz w:val="20"/>
          <w:lang w:val="en-AU"/>
        </w:rPr>
        <w:t xml:space="preserve"> </w:t>
      </w:r>
      <w:r w:rsidR="00DE31BA">
        <w:rPr>
          <w:rFonts w:ascii="Arial" w:hAnsi="Arial" w:cs="Arial"/>
          <w:sz w:val="20"/>
          <w:lang w:val="en-AU"/>
        </w:rPr>
        <w:t xml:space="preserve">processing and </w:t>
      </w:r>
      <w:r w:rsidR="003906AE" w:rsidRPr="00B16186">
        <w:rPr>
          <w:rFonts w:ascii="Arial" w:hAnsi="Arial" w:cs="Arial"/>
          <w:sz w:val="20"/>
          <w:lang w:val="en-AU"/>
        </w:rPr>
        <w:t>administration. This</w:t>
      </w:r>
      <w:r w:rsidR="00CB6871">
        <w:rPr>
          <w:rFonts w:ascii="Arial" w:hAnsi="Arial" w:cs="Arial"/>
          <w:sz w:val="20"/>
          <w:lang w:val="en-AU"/>
        </w:rPr>
        <w:t xml:space="preserve"> perception</w:t>
      </w:r>
      <w:r w:rsidR="003906AE" w:rsidRPr="00B16186">
        <w:rPr>
          <w:rFonts w:ascii="Arial" w:hAnsi="Arial" w:cs="Arial"/>
          <w:sz w:val="20"/>
          <w:lang w:val="en-AU"/>
        </w:rPr>
        <w:t xml:space="preserve"> is supported by recent attempts by road agencies to include IAP administration cost</w:t>
      </w:r>
      <w:r w:rsidR="00340954" w:rsidRPr="00B16186">
        <w:rPr>
          <w:rFonts w:ascii="Arial" w:hAnsi="Arial" w:cs="Arial"/>
          <w:sz w:val="20"/>
          <w:lang w:val="en-AU"/>
        </w:rPr>
        <w:t>s</w:t>
      </w:r>
      <w:r w:rsidR="003906AE" w:rsidRPr="00B16186">
        <w:rPr>
          <w:rFonts w:ascii="Arial" w:hAnsi="Arial" w:cs="Arial"/>
          <w:sz w:val="20"/>
          <w:lang w:val="en-AU"/>
        </w:rPr>
        <w:t xml:space="preserve"> and TCA costs into the </w:t>
      </w:r>
      <w:r w:rsidR="00340954" w:rsidRPr="00B16186">
        <w:rPr>
          <w:rFonts w:ascii="Arial" w:hAnsi="Arial" w:cs="Arial"/>
          <w:sz w:val="20"/>
          <w:lang w:val="en-AU"/>
        </w:rPr>
        <w:t xml:space="preserve">national </w:t>
      </w:r>
      <w:r w:rsidR="003906AE" w:rsidRPr="00B16186">
        <w:rPr>
          <w:rFonts w:ascii="Arial" w:hAnsi="Arial" w:cs="Arial"/>
          <w:sz w:val="20"/>
          <w:lang w:val="en-AU"/>
        </w:rPr>
        <w:t xml:space="preserve">heavy vehicle charges framework. This was </w:t>
      </w:r>
      <w:r w:rsidR="00621FC6">
        <w:rPr>
          <w:rFonts w:ascii="Arial" w:hAnsi="Arial" w:cs="Arial"/>
          <w:sz w:val="20"/>
          <w:lang w:val="en-AU"/>
        </w:rPr>
        <w:t>later</w:t>
      </w:r>
      <w:r w:rsidR="00E10B17">
        <w:rPr>
          <w:rFonts w:ascii="Arial" w:hAnsi="Arial" w:cs="Arial"/>
          <w:sz w:val="20"/>
          <w:lang w:val="en-AU"/>
        </w:rPr>
        <w:t xml:space="preserve"> </w:t>
      </w:r>
      <w:r w:rsidR="003906AE" w:rsidRPr="00B16186">
        <w:rPr>
          <w:rFonts w:ascii="Arial" w:hAnsi="Arial" w:cs="Arial"/>
          <w:sz w:val="20"/>
          <w:lang w:val="en-AU"/>
        </w:rPr>
        <w:t>strongly and appropriately rejected by the NTC and industry since IAP was clearly designed as a cost-recovery service for users.</w:t>
      </w:r>
    </w:p>
    <w:p w:rsidR="002B4BA1" w:rsidRPr="00B16186" w:rsidRDefault="002B4BA1" w:rsidP="00E352AD">
      <w:pPr>
        <w:pStyle w:val="Normal-paras"/>
        <w:spacing w:after="0"/>
        <w:contextualSpacing/>
        <w:rPr>
          <w:rFonts w:ascii="Arial" w:hAnsi="Arial" w:cs="Arial"/>
          <w:sz w:val="20"/>
          <w:lang w:val="en-AU"/>
        </w:rPr>
      </w:pPr>
      <w:r>
        <w:rPr>
          <w:rFonts w:ascii="Arial" w:hAnsi="Arial" w:cs="Arial"/>
          <w:sz w:val="20"/>
          <w:lang w:val="en-AU"/>
        </w:rPr>
        <w:t xml:space="preserve">While some operators have accepted IAP, others have reported to </w:t>
      </w:r>
      <w:r w:rsidR="00410A62">
        <w:rPr>
          <w:rFonts w:ascii="Arial" w:hAnsi="Arial" w:cs="Arial"/>
          <w:sz w:val="20"/>
          <w:lang w:val="en-AU"/>
        </w:rPr>
        <w:t>the ATA</w:t>
      </w:r>
      <w:r>
        <w:rPr>
          <w:rFonts w:ascii="Arial" w:hAnsi="Arial" w:cs="Arial"/>
          <w:sz w:val="20"/>
          <w:lang w:val="en-AU"/>
        </w:rPr>
        <w:t xml:space="preserve"> that it has been </w:t>
      </w:r>
      <w:r w:rsidR="00410A62">
        <w:rPr>
          <w:rFonts w:ascii="Arial" w:hAnsi="Arial" w:cs="Arial"/>
          <w:sz w:val="20"/>
          <w:lang w:val="en-AU"/>
        </w:rPr>
        <w:t xml:space="preserve">an </w:t>
      </w:r>
      <w:r w:rsidRPr="00B16186">
        <w:rPr>
          <w:rFonts w:ascii="Arial" w:hAnsi="Arial" w:cs="Arial"/>
          <w:sz w:val="20"/>
          <w:lang w:val="en-AU"/>
        </w:rPr>
        <w:t xml:space="preserve">inefficient, expensive program for </w:t>
      </w:r>
      <w:r w:rsidR="00410A62">
        <w:rPr>
          <w:rFonts w:ascii="Arial" w:hAnsi="Arial" w:cs="Arial"/>
          <w:sz w:val="20"/>
          <w:lang w:val="en-AU"/>
        </w:rPr>
        <w:t>them</w:t>
      </w:r>
      <w:r w:rsidRPr="00B16186">
        <w:rPr>
          <w:rFonts w:ascii="Arial" w:hAnsi="Arial" w:cs="Arial"/>
          <w:sz w:val="20"/>
          <w:lang w:val="en-AU"/>
        </w:rPr>
        <w:t xml:space="preserve">, partly because of its inherent design and partly because of </w:t>
      </w:r>
      <w:r w:rsidR="00B264CA">
        <w:rPr>
          <w:rFonts w:ascii="Arial" w:hAnsi="Arial" w:cs="Arial"/>
          <w:sz w:val="20"/>
          <w:lang w:val="en-AU"/>
        </w:rPr>
        <w:t xml:space="preserve">the </w:t>
      </w:r>
      <w:r w:rsidRPr="00B16186">
        <w:rPr>
          <w:rFonts w:ascii="Arial" w:hAnsi="Arial" w:cs="Arial"/>
          <w:sz w:val="20"/>
          <w:lang w:val="en-AU"/>
        </w:rPr>
        <w:t xml:space="preserve">mountains of agency paperwork along with the red tape, annoyance and confusion it </w:t>
      </w:r>
      <w:r w:rsidR="00CD2861">
        <w:rPr>
          <w:rFonts w:ascii="Arial" w:hAnsi="Arial" w:cs="Arial"/>
          <w:sz w:val="20"/>
          <w:lang w:val="en-AU"/>
        </w:rPr>
        <w:t xml:space="preserve">can </w:t>
      </w:r>
      <w:r w:rsidRPr="00B16186">
        <w:rPr>
          <w:rFonts w:ascii="Arial" w:hAnsi="Arial" w:cs="Arial"/>
          <w:sz w:val="20"/>
          <w:lang w:val="en-AU"/>
        </w:rPr>
        <w:t xml:space="preserve">generate </w:t>
      </w:r>
      <w:r w:rsidR="00B264CA">
        <w:rPr>
          <w:rFonts w:ascii="Arial" w:hAnsi="Arial" w:cs="Arial"/>
          <w:sz w:val="20"/>
          <w:lang w:val="en-AU"/>
        </w:rPr>
        <w:t>for some</w:t>
      </w:r>
      <w:r w:rsidRPr="00B16186">
        <w:rPr>
          <w:rFonts w:ascii="Arial" w:hAnsi="Arial" w:cs="Arial"/>
          <w:sz w:val="20"/>
          <w:lang w:val="en-AU"/>
        </w:rPr>
        <w:t xml:space="preserve"> customers.</w:t>
      </w:r>
    </w:p>
    <w:p w:rsidR="000437DF" w:rsidRPr="00B16186" w:rsidRDefault="000437DF" w:rsidP="00E352AD">
      <w:pPr>
        <w:spacing w:after="0" w:line="240" w:lineRule="auto"/>
        <w:contextualSpacing/>
        <w:jc w:val="both"/>
        <w:rPr>
          <w:rFonts w:ascii="Arial" w:hAnsi="Arial" w:cs="Arial"/>
          <w:sz w:val="20"/>
          <w:szCs w:val="20"/>
        </w:rPr>
      </w:pPr>
    </w:p>
    <w:p w:rsidR="00AE66A5" w:rsidRPr="00B16186" w:rsidRDefault="0080328B" w:rsidP="00E352AD">
      <w:pPr>
        <w:spacing w:after="0" w:line="240" w:lineRule="auto"/>
        <w:contextualSpacing/>
        <w:jc w:val="both"/>
        <w:rPr>
          <w:rFonts w:ascii="Arial" w:hAnsi="Arial" w:cs="Arial"/>
          <w:sz w:val="20"/>
          <w:szCs w:val="20"/>
        </w:rPr>
      </w:pPr>
      <w:r w:rsidRPr="00B16186">
        <w:rPr>
          <w:rFonts w:ascii="Arial" w:hAnsi="Arial" w:cs="Arial"/>
          <w:sz w:val="20"/>
          <w:szCs w:val="20"/>
        </w:rPr>
        <w:t xml:space="preserve">In </w:t>
      </w:r>
      <w:r w:rsidR="003D6D92" w:rsidRPr="00B16186">
        <w:rPr>
          <w:rFonts w:ascii="Arial" w:hAnsi="Arial" w:cs="Arial"/>
          <w:sz w:val="20"/>
          <w:szCs w:val="20"/>
        </w:rPr>
        <w:t>2005</w:t>
      </w:r>
      <w:r w:rsidR="00CB7241">
        <w:rPr>
          <w:rFonts w:ascii="Arial" w:hAnsi="Arial" w:cs="Arial"/>
          <w:sz w:val="20"/>
          <w:szCs w:val="20"/>
        </w:rPr>
        <w:t>,</w:t>
      </w:r>
      <w:r w:rsidR="00AE66A5" w:rsidRPr="00B16186">
        <w:rPr>
          <w:rFonts w:ascii="Arial" w:hAnsi="Arial" w:cs="Arial"/>
          <w:sz w:val="20"/>
          <w:szCs w:val="20"/>
        </w:rPr>
        <w:t xml:space="preserve"> </w:t>
      </w:r>
      <w:r w:rsidRPr="00B16186">
        <w:rPr>
          <w:rFonts w:ascii="Arial" w:hAnsi="Arial" w:cs="Arial"/>
          <w:sz w:val="20"/>
          <w:szCs w:val="20"/>
        </w:rPr>
        <w:t xml:space="preserve">it was noted </w:t>
      </w:r>
      <w:r w:rsidR="00C57F9F">
        <w:rPr>
          <w:rFonts w:ascii="Arial" w:hAnsi="Arial" w:cs="Arial"/>
          <w:sz w:val="20"/>
          <w:szCs w:val="20"/>
        </w:rPr>
        <w:t xml:space="preserve">that </w:t>
      </w:r>
      <w:r w:rsidR="00AE66A5" w:rsidRPr="00B16186">
        <w:rPr>
          <w:rFonts w:ascii="Arial" w:hAnsi="Arial" w:cs="Arial"/>
          <w:sz w:val="20"/>
          <w:szCs w:val="20"/>
        </w:rPr>
        <w:t xml:space="preserve">risk </w:t>
      </w:r>
      <w:r w:rsidR="00E10B17" w:rsidRPr="00B16186">
        <w:rPr>
          <w:rFonts w:ascii="Arial" w:hAnsi="Arial" w:cs="Arial"/>
          <w:sz w:val="20"/>
          <w:szCs w:val="20"/>
        </w:rPr>
        <w:t xml:space="preserve">from IAP </w:t>
      </w:r>
      <w:r w:rsidR="00AE66A5" w:rsidRPr="00B16186">
        <w:rPr>
          <w:rFonts w:ascii="Arial" w:hAnsi="Arial" w:cs="Arial"/>
          <w:sz w:val="20"/>
          <w:szCs w:val="20"/>
        </w:rPr>
        <w:t xml:space="preserve">would attach to road </w:t>
      </w:r>
      <w:r w:rsidR="00C57F9F">
        <w:rPr>
          <w:rFonts w:ascii="Arial" w:hAnsi="Arial" w:cs="Arial"/>
          <w:sz w:val="20"/>
          <w:szCs w:val="20"/>
        </w:rPr>
        <w:t>managers</w:t>
      </w:r>
      <w:r w:rsidR="0080242C" w:rsidRPr="00B16186">
        <w:rPr>
          <w:rFonts w:ascii="Arial" w:hAnsi="Arial" w:cs="Arial"/>
          <w:sz w:val="20"/>
          <w:szCs w:val="20"/>
        </w:rPr>
        <w:t xml:space="preserve">, </w:t>
      </w:r>
      <w:r w:rsidR="00AE66A5" w:rsidRPr="00B16186">
        <w:rPr>
          <w:rFonts w:ascii="Arial" w:hAnsi="Arial" w:cs="Arial"/>
          <w:sz w:val="20"/>
          <w:szCs w:val="20"/>
        </w:rPr>
        <w:t xml:space="preserve">with the </w:t>
      </w:r>
      <w:r w:rsidR="00CB7241">
        <w:rPr>
          <w:rFonts w:ascii="Arial" w:hAnsi="Arial" w:cs="Arial"/>
          <w:sz w:val="20"/>
          <w:szCs w:val="20"/>
        </w:rPr>
        <w:t xml:space="preserve">IAP </w:t>
      </w:r>
      <w:r w:rsidR="00AE66A5" w:rsidRPr="00B16186">
        <w:rPr>
          <w:rFonts w:ascii="Arial" w:hAnsi="Arial" w:cs="Arial"/>
          <w:sz w:val="20"/>
          <w:szCs w:val="20"/>
        </w:rPr>
        <w:t xml:space="preserve">RIS </w:t>
      </w:r>
      <w:r w:rsidR="00C41BD8">
        <w:rPr>
          <w:rFonts w:ascii="Arial" w:hAnsi="Arial" w:cs="Arial"/>
          <w:sz w:val="20"/>
          <w:szCs w:val="20"/>
        </w:rPr>
        <w:t>stating</w:t>
      </w:r>
      <w:r w:rsidRPr="00B16186">
        <w:rPr>
          <w:rFonts w:ascii="Arial" w:hAnsi="Arial" w:cs="Arial"/>
          <w:sz w:val="20"/>
          <w:szCs w:val="20"/>
        </w:rPr>
        <w:t>:</w:t>
      </w:r>
      <w:r w:rsidR="00AE66A5" w:rsidRPr="00B16186">
        <w:rPr>
          <w:rFonts w:ascii="Arial" w:hAnsi="Arial" w:cs="Arial"/>
          <w:sz w:val="20"/>
          <w:szCs w:val="20"/>
        </w:rPr>
        <w:t xml:space="preserve"> </w:t>
      </w:r>
    </w:p>
    <w:p w:rsidR="00AE66A5" w:rsidRPr="00B16186" w:rsidRDefault="00AE66A5" w:rsidP="00C67BF0">
      <w:pPr>
        <w:spacing w:after="0" w:line="240" w:lineRule="auto"/>
        <w:contextualSpacing/>
        <w:rPr>
          <w:rFonts w:ascii="Arial" w:hAnsi="Arial" w:cs="Arial"/>
          <w:sz w:val="20"/>
          <w:szCs w:val="20"/>
        </w:rPr>
      </w:pPr>
    </w:p>
    <w:p w:rsidR="00AE66A5" w:rsidRPr="00B16186" w:rsidRDefault="00AE66A5" w:rsidP="00C67BF0">
      <w:pPr>
        <w:spacing w:after="0" w:line="240" w:lineRule="auto"/>
        <w:contextualSpacing/>
        <w:rPr>
          <w:rFonts w:cs="Arial"/>
          <w:i/>
          <w:sz w:val="20"/>
          <w:szCs w:val="20"/>
        </w:rPr>
      </w:pPr>
      <w:r w:rsidRPr="00B16186">
        <w:rPr>
          <w:rFonts w:cs="Arial"/>
          <w:sz w:val="20"/>
          <w:szCs w:val="20"/>
        </w:rPr>
        <w:t>“</w:t>
      </w:r>
      <w:r w:rsidRPr="00B16186">
        <w:rPr>
          <w:rFonts w:cs="Arial"/>
          <w:i/>
          <w:sz w:val="20"/>
          <w:szCs w:val="20"/>
        </w:rPr>
        <w:t>The accumulation of road authority costs as the IAP develops momentum could render some applications economically unviable if the incremental road authority costs associated with an additional application exceeded the application’s benefits. At this stage it is not possible to foreshadow likely outcomes because of the overlap and economies of scale inherent in the road authority costs.”</w:t>
      </w:r>
      <w:r w:rsidR="0053195A" w:rsidRPr="00B16186">
        <w:rPr>
          <w:rStyle w:val="FootnoteReference"/>
          <w:rFonts w:cs="Arial"/>
          <w:i/>
          <w:sz w:val="20"/>
          <w:szCs w:val="20"/>
        </w:rPr>
        <w:footnoteReference w:id="9"/>
      </w:r>
    </w:p>
    <w:p w:rsidR="00A20E21" w:rsidRPr="00B16186" w:rsidRDefault="00A20E21" w:rsidP="00C67BF0">
      <w:pPr>
        <w:spacing w:after="0" w:line="240" w:lineRule="auto"/>
        <w:contextualSpacing/>
        <w:rPr>
          <w:rFonts w:ascii="Arial" w:hAnsi="Arial" w:cs="Arial"/>
          <w:i/>
          <w:sz w:val="20"/>
          <w:szCs w:val="20"/>
        </w:rPr>
      </w:pPr>
    </w:p>
    <w:p w:rsidR="00E47D39" w:rsidRPr="00B16186" w:rsidRDefault="00E47D39" w:rsidP="00E352AD">
      <w:pPr>
        <w:autoSpaceDE w:val="0"/>
        <w:autoSpaceDN w:val="0"/>
        <w:adjustRightInd w:val="0"/>
        <w:spacing w:after="0" w:line="240" w:lineRule="auto"/>
        <w:contextualSpacing/>
        <w:jc w:val="both"/>
        <w:rPr>
          <w:rFonts w:ascii="Arial" w:hAnsi="Arial" w:cs="Arial"/>
          <w:sz w:val="20"/>
          <w:szCs w:val="20"/>
        </w:rPr>
      </w:pPr>
      <w:r w:rsidRPr="00B16186">
        <w:rPr>
          <w:rFonts w:ascii="Arial" w:hAnsi="Arial" w:cs="Arial"/>
          <w:sz w:val="20"/>
          <w:szCs w:val="20"/>
        </w:rPr>
        <w:t xml:space="preserve">Apart from gaining the necessary ‘momentum’ (participants) to be viable, the </w:t>
      </w:r>
      <w:r w:rsidR="0080328B" w:rsidRPr="00B16186">
        <w:rPr>
          <w:rFonts w:ascii="Arial" w:hAnsi="Arial" w:cs="Arial"/>
          <w:sz w:val="20"/>
          <w:szCs w:val="20"/>
        </w:rPr>
        <w:t>program</w:t>
      </w:r>
      <w:r w:rsidRPr="00B16186">
        <w:rPr>
          <w:rFonts w:ascii="Arial" w:hAnsi="Arial" w:cs="Arial"/>
          <w:sz w:val="20"/>
          <w:szCs w:val="20"/>
        </w:rPr>
        <w:t xml:space="preserve"> needs national consistency if it is to succeed in the modern industrial world. IAP might have worked had it been implemented and operated on a consistent national basis, through mutual recognition by the states, and </w:t>
      </w:r>
      <w:r w:rsidR="00820FD9" w:rsidRPr="00B16186">
        <w:rPr>
          <w:rFonts w:ascii="Arial" w:hAnsi="Arial" w:cs="Arial"/>
          <w:sz w:val="20"/>
          <w:szCs w:val="20"/>
        </w:rPr>
        <w:t xml:space="preserve">then </w:t>
      </w:r>
      <w:r w:rsidR="00B26223" w:rsidRPr="00B16186">
        <w:rPr>
          <w:rFonts w:ascii="Arial" w:hAnsi="Arial" w:cs="Arial"/>
          <w:sz w:val="20"/>
          <w:szCs w:val="20"/>
        </w:rPr>
        <w:t xml:space="preserve">purely </w:t>
      </w:r>
      <w:r w:rsidRPr="00B16186">
        <w:rPr>
          <w:rFonts w:ascii="Arial" w:hAnsi="Arial" w:cs="Arial"/>
          <w:sz w:val="20"/>
          <w:szCs w:val="20"/>
        </w:rPr>
        <w:t xml:space="preserve">focused on risk. Had industry </w:t>
      </w:r>
      <w:r w:rsidR="00820FD9" w:rsidRPr="00B16186">
        <w:rPr>
          <w:rFonts w:ascii="Arial" w:hAnsi="Arial" w:cs="Arial"/>
          <w:sz w:val="20"/>
          <w:szCs w:val="20"/>
        </w:rPr>
        <w:t>accepted that</w:t>
      </w:r>
      <w:r w:rsidRPr="00B16186">
        <w:rPr>
          <w:rFonts w:ascii="Arial" w:hAnsi="Arial" w:cs="Arial"/>
          <w:sz w:val="20"/>
          <w:szCs w:val="20"/>
        </w:rPr>
        <w:t xml:space="preserve"> </w:t>
      </w:r>
      <w:r w:rsidR="00A9736D">
        <w:rPr>
          <w:rFonts w:ascii="Arial" w:hAnsi="Arial" w:cs="Arial"/>
          <w:sz w:val="20"/>
          <w:szCs w:val="20"/>
        </w:rPr>
        <w:t xml:space="preserve">the </w:t>
      </w:r>
      <w:r w:rsidR="00B26223" w:rsidRPr="00B16186">
        <w:rPr>
          <w:rFonts w:ascii="Arial" w:hAnsi="Arial" w:cs="Arial"/>
          <w:sz w:val="20"/>
          <w:szCs w:val="20"/>
        </w:rPr>
        <w:t>perceived</w:t>
      </w:r>
      <w:r w:rsidRPr="00B16186">
        <w:rPr>
          <w:rFonts w:ascii="Arial" w:hAnsi="Arial" w:cs="Arial"/>
          <w:sz w:val="20"/>
          <w:szCs w:val="20"/>
        </w:rPr>
        <w:t xml:space="preserve"> risks were reasonable matters of concern then </w:t>
      </w:r>
      <w:r w:rsidR="00820FD9" w:rsidRPr="00B16186">
        <w:rPr>
          <w:rFonts w:ascii="Arial" w:hAnsi="Arial" w:cs="Arial"/>
          <w:sz w:val="20"/>
          <w:szCs w:val="20"/>
        </w:rPr>
        <w:t>IAP</w:t>
      </w:r>
      <w:r w:rsidRPr="00B16186">
        <w:rPr>
          <w:rFonts w:ascii="Arial" w:hAnsi="Arial" w:cs="Arial"/>
          <w:sz w:val="20"/>
          <w:szCs w:val="20"/>
        </w:rPr>
        <w:t xml:space="preserve"> may even have gained support</w:t>
      </w:r>
      <w:r w:rsidR="00B26223" w:rsidRPr="00B16186">
        <w:rPr>
          <w:rFonts w:ascii="Arial" w:hAnsi="Arial" w:cs="Arial"/>
          <w:sz w:val="20"/>
          <w:szCs w:val="20"/>
        </w:rPr>
        <w:t xml:space="preserve"> as a </w:t>
      </w:r>
      <w:r w:rsidR="00C41BD8">
        <w:rPr>
          <w:rFonts w:ascii="Arial" w:hAnsi="Arial" w:cs="Arial"/>
          <w:sz w:val="20"/>
          <w:szCs w:val="20"/>
        </w:rPr>
        <w:t xml:space="preserve">route assurance </w:t>
      </w:r>
      <w:r w:rsidR="00B26223" w:rsidRPr="00B16186">
        <w:rPr>
          <w:rFonts w:ascii="Arial" w:hAnsi="Arial" w:cs="Arial"/>
          <w:sz w:val="20"/>
          <w:szCs w:val="20"/>
        </w:rPr>
        <w:t>compliance tool</w:t>
      </w:r>
      <w:r w:rsidRPr="00B16186">
        <w:rPr>
          <w:rFonts w:ascii="Arial" w:hAnsi="Arial" w:cs="Arial"/>
          <w:sz w:val="20"/>
          <w:szCs w:val="20"/>
        </w:rPr>
        <w:t>.</w:t>
      </w:r>
    </w:p>
    <w:p w:rsidR="002E7A58" w:rsidRPr="00B16186" w:rsidRDefault="002E7A58" w:rsidP="00C67BF0">
      <w:pPr>
        <w:pStyle w:val="ListParagraph"/>
        <w:ind w:left="0"/>
        <w:rPr>
          <w:rFonts w:cs="Arial"/>
          <w:b/>
          <w:sz w:val="20"/>
          <w:szCs w:val="20"/>
        </w:rPr>
      </w:pPr>
    </w:p>
    <w:p w:rsidR="00A41B37" w:rsidRPr="00D44B66" w:rsidRDefault="002C3E24" w:rsidP="003F5B91">
      <w:pPr>
        <w:pStyle w:val="Heading1"/>
        <w:numPr>
          <w:ilvl w:val="0"/>
          <w:numId w:val="0"/>
        </w:numPr>
        <w:ind w:left="360" w:hanging="360"/>
        <w:rPr>
          <w:sz w:val="20"/>
          <w:szCs w:val="20"/>
        </w:rPr>
      </w:pPr>
      <w:r w:rsidRPr="00D44B66">
        <w:rPr>
          <w:sz w:val="20"/>
          <w:szCs w:val="20"/>
        </w:rPr>
        <w:t xml:space="preserve">NHVR Monitoring </w:t>
      </w:r>
      <w:r w:rsidR="0014707D" w:rsidRPr="00D44B66">
        <w:rPr>
          <w:sz w:val="20"/>
          <w:szCs w:val="20"/>
        </w:rPr>
        <w:t>P</w:t>
      </w:r>
      <w:r w:rsidR="008C5919" w:rsidRPr="00D44B66">
        <w:rPr>
          <w:sz w:val="20"/>
          <w:szCs w:val="20"/>
        </w:rPr>
        <w:t>olicy</w:t>
      </w:r>
      <w:r w:rsidR="00A41B37" w:rsidRPr="00D44B66">
        <w:rPr>
          <w:sz w:val="20"/>
          <w:szCs w:val="20"/>
        </w:rPr>
        <w:t xml:space="preserve"> </w:t>
      </w:r>
    </w:p>
    <w:p w:rsidR="003A0CE2" w:rsidRPr="003F5B91" w:rsidRDefault="00A41B37" w:rsidP="00B87477">
      <w:pPr>
        <w:pStyle w:val="Normal-paras"/>
        <w:spacing w:after="0"/>
        <w:contextualSpacing/>
        <w:rPr>
          <w:rFonts w:ascii="Arial" w:eastAsiaTheme="minorHAnsi" w:hAnsi="Arial" w:cs="Arial"/>
          <w:sz w:val="20"/>
          <w:lang w:val="en-AU"/>
        </w:rPr>
      </w:pPr>
      <w:r w:rsidRPr="003F5B91">
        <w:rPr>
          <w:rFonts w:ascii="Arial" w:eastAsiaTheme="minorHAnsi" w:hAnsi="Arial" w:cs="Arial"/>
          <w:sz w:val="20"/>
          <w:lang w:val="en-AU"/>
        </w:rPr>
        <w:t xml:space="preserve">There are </w:t>
      </w:r>
      <w:r w:rsidR="00C86B6E" w:rsidRPr="003F5B91">
        <w:rPr>
          <w:rFonts w:ascii="Arial" w:eastAsiaTheme="minorHAnsi" w:hAnsi="Arial" w:cs="Arial"/>
          <w:sz w:val="20"/>
          <w:lang w:val="en-AU"/>
        </w:rPr>
        <w:t>times</w:t>
      </w:r>
      <w:r w:rsidRPr="003F5B91">
        <w:rPr>
          <w:rFonts w:ascii="Arial" w:eastAsiaTheme="minorHAnsi" w:hAnsi="Arial" w:cs="Arial"/>
          <w:sz w:val="20"/>
          <w:lang w:val="en-AU"/>
        </w:rPr>
        <w:t xml:space="preserve">, such as </w:t>
      </w:r>
      <w:r w:rsidR="003A0CE2" w:rsidRPr="003F5B91">
        <w:rPr>
          <w:rFonts w:ascii="Arial" w:eastAsiaTheme="minorHAnsi" w:hAnsi="Arial" w:cs="Arial"/>
          <w:sz w:val="20"/>
          <w:lang w:val="en-AU"/>
        </w:rPr>
        <w:t>with</w:t>
      </w:r>
      <w:r w:rsidR="00DA3B67" w:rsidRPr="003F5B91">
        <w:rPr>
          <w:rFonts w:ascii="Arial" w:eastAsiaTheme="minorHAnsi" w:hAnsi="Arial" w:cs="Arial"/>
          <w:sz w:val="20"/>
          <w:lang w:val="en-AU"/>
        </w:rPr>
        <w:t xml:space="preserve"> </w:t>
      </w:r>
      <w:r w:rsidR="006A3F15" w:rsidRPr="003F5B91">
        <w:rPr>
          <w:rFonts w:ascii="Arial" w:eastAsiaTheme="minorHAnsi" w:hAnsi="Arial" w:cs="Arial"/>
          <w:sz w:val="20"/>
          <w:lang w:val="en-AU"/>
        </w:rPr>
        <w:t xml:space="preserve">HML and </w:t>
      </w:r>
      <w:r w:rsidR="00DA3B67" w:rsidRPr="003F5B91">
        <w:rPr>
          <w:rFonts w:ascii="Arial" w:eastAsiaTheme="minorHAnsi" w:hAnsi="Arial" w:cs="Arial"/>
          <w:sz w:val="20"/>
          <w:lang w:val="en-AU"/>
        </w:rPr>
        <w:t xml:space="preserve">the </w:t>
      </w:r>
      <w:r w:rsidRPr="003F5B91">
        <w:rPr>
          <w:rFonts w:ascii="Arial" w:eastAsiaTheme="minorHAnsi" w:hAnsi="Arial" w:cs="Arial"/>
          <w:sz w:val="20"/>
          <w:lang w:val="en-AU"/>
        </w:rPr>
        <w:t>IAP, whe</w:t>
      </w:r>
      <w:r w:rsidR="00C86B6E" w:rsidRPr="003F5B91">
        <w:rPr>
          <w:rFonts w:ascii="Arial" w:eastAsiaTheme="minorHAnsi" w:hAnsi="Arial" w:cs="Arial"/>
          <w:sz w:val="20"/>
          <w:lang w:val="en-AU"/>
        </w:rPr>
        <w:t>n</w:t>
      </w:r>
      <w:r w:rsidRPr="003F5B91">
        <w:rPr>
          <w:rFonts w:ascii="Arial" w:eastAsiaTheme="minorHAnsi" w:hAnsi="Arial" w:cs="Arial"/>
          <w:sz w:val="20"/>
          <w:lang w:val="en-AU"/>
        </w:rPr>
        <w:t xml:space="preserve"> national reforms </w:t>
      </w:r>
      <w:r w:rsidR="006A3F15" w:rsidRPr="003F5B91">
        <w:rPr>
          <w:rFonts w:ascii="Arial" w:eastAsiaTheme="minorHAnsi" w:hAnsi="Arial" w:cs="Arial"/>
          <w:sz w:val="20"/>
          <w:lang w:val="en-AU"/>
        </w:rPr>
        <w:t>are</w:t>
      </w:r>
      <w:r w:rsidRPr="003F5B91">
        <w:rPr>
          <w:rFonts w:ascii="Arial" w:eastAsiaTheme="minorHAnsi" w:hAnsi="Arial" w:cs="Arial"/>
          <w:sz w:val="20"/>
          <w:lang w:val="en-AU"/>
        </w:rPr>
        <w:t xml:space="preserve"> formally agreed by jurisdictions but not </w:t>
      </w:r>
      <w:r w:rsidR="003A0CE2" w:rsidRPr="003F5B91">
        <w:rPr>
          <w:rFonts w:ascii="Arial" w:eastAsiaTheme="minorHAnsi" w:hAnsi="Arial" w:cs="Arial"/>
          <w:sz w:val="20"/>
          <w:lang w:val="en-AU"/>
        </w:rPr>
        <w:t xml:space="preserve">uniformly </w:t>
      </w:r>
      <w:r w:rsidRPr="003F5B91">
        <w:rPr>
          <w:rFonts w:ascii="Arial" w:eastAsiaTheme="minorHAnsi" w:hAnsi="Arial" w:cs="Arial"/>
          <w:sz w:val="20"/>
          <w:lang w:val="en-AU"/>
        </w:rPr>
        <w:t xml:space="preserve">realised in practice. </w:t>
      </w:r>
      <w:r w:rsidR="00C86B6E" w:rsidRPr="003F5B91">
        <w:rPr>
          <w:rFonts w:ascii="Arial" w:eastAsiaTheme="minorHAnsi" w:hAnsi="Arial" w:cs="Arial"/>
          <w:sz w:val="20"/>
          <w:lang w:val="en-AU"/>
        </w:rPr>
        <w:t>This</w:t>
      </w:r>
      <w:r w:rsidR="003A0CE2" w:rsidRPr="003F5B91">
        <w:rPr>
          <w:rFonts w:ascii="Arial" w:eastAsiaTheme="minorHAnsi" w:hAnsi="Arial" w:cs="Arial"/>
          <w:sz w:val="20"/>
          <w:lang w:val="en-AU"/>
        </w:rPr>
        <w:t xml:space="preserve"> </w:t>
      </w:r>
      <w:r w:rsidRPr="003F5B91">
        <w:rPr>
          <w:rFonts w:ascii="Arial" w:eastAsiaTheme="minorHAnsi" w:hAnsi="Arial" w:cs="Arial"/>
          <w:sz w:val="20"/>
          <w:lang w:val="en-AU"/>
        </w:rPr>
        <w:t xml:space="preserve">has undermined </w:t>
      </w:r>
      <w:r w:rsidR="00331395" w:rsidRPr="003F5B91">
        <w:rPr>
          <w:rFonts w:ascii="Arial" w:eastAsiaTheme="minorHAnsi" w:hAnsi="Arial" w:cs="Arial"/>
          <w:sz w:val="20"/>
          <w:lang w:val="en-AU"/>
        </w:rPr>
        <w:t xml:space="preserve">the </w:t>
      </w:r>
      <w:r w:rsidRPr="003F5B91">
        <w:rPr>
          <w:rFonts w:ascii="Arial" w:eastAsiaTheme="minorHAnsi" w:hAnsi="Arial" w:cs="Arial"/>
          <w:sz w:val="20"/>
          <w:lang w:val="en-AU"/>
        </w:rPr>
        <w:t xml:space="preserve">benefits of those reforms. </w:t>
      </w:r>
      <w:r w:rsidR="00813166" w:rsidRPr="003F5B91">
        <w:rPr>
          <w:rFonts w:ascii="Arial" w:eastAsiaTheme="minorHAnsi" w:hAnsi="Arial" w:cs="Arial"/>
          <w:sz w:val="20"/>
          <w:lang w:val="en-AU"/>
        </w:rPr>
        <w:t>However</w:t>
      </w:r>
      <w:r w:rsidR="00331395" w:rsidRPr="003F5B91">
        <w:rPr>
          <w:rFonts w:ascii="Arial" w:eastAsiaTheme="minorHAnsi" w:hAnsi="Arial" w:cs="Arial"/>
          <w:sz w:val="20"/>
          <w:lang w:val="en-AU"/>
        </w:rPr>
        <w:t xml:space="preserve">, the loss </w:t>
      </w:r>
      <w:r w:rsidR="00813166" w:rsidRPr="003F5B91">
        <w:rPr>
          <w:rFonts w:ascii="Arial" w:eastAsiaTheme="minorHAnsi" w:hAnsi="Arial" w:cs="Arial"/>
          <w:sz w:val="20"/>
          <w:lang w:val="en-AU"/>
        </w:rPr>
        <w:t>in</w:t>
      </w:r>
      <w:r w:rsidR="00331395" w:rsidRPr="003F5B91">
        <w:rPr>
          <w:rFonts w:ascii="Arial" w:eastAsiaTheme="minorHAnsi" w:hAnsi="Arial" w:cs="Arial"/>
          <w:sz w:val="20"/>
          <w:lang w:val="en-AU"/>
        </w:rPr>
        <w:t xml:space="preserve"> Australian freight productivity from HML not achieving the 1999 RIS outcomes is many times more than any possible benefits IAP could bring.</w:t>
      </w:r>
    </w:p>
    <w:p w:rsidR="00C86B6E" w:rsidRPr="003F5B91" w:rsidRDefault="00C86B6E" w:rsidP="00C67BF0">
      <w:pPr>
        <w:pStyle w:val="Normal-paras"/>
        <w:spacing w:after="0"/>
        <w:contextualSpacing/>
        <w:jc w:val="left"/>
        <w:rPr>
          <w:rFonts w:ascii="Arial" w:eastAsiaTheme="minorHAnsi" w:hAnsi="Arial" w:cs="Arial"/>
          <w:sz w:val="20"/>
          <w:lang w:val="en-AU"/>
        </w:rPr>
      </w:pPr>
    </w:p>
    <w:p w:rsidR="00A41B37" w:rsidRPr="003F5B91" w:rsidRDefault="008E3570" w:rsidP="00B87477">
      <w:pPr>
        <w:pStyle w:val="Normal-paras"/>
        <w:spacing w:after="0"/>
        <w:contextualSpacing/>
        <w:rPr>
          <w:rFonts w:ascii="Arial" w:eastAsiaTheme="minorHAnsi" w:hAnsi="Arial" w:cs="Arial"/>
          <w:sz w:val="20"/>
          <w:lang w:val="en-AU"/>
        </w:rPr>
      </w:pPr>
      <w:r w:rsidRPr="003F5B91">
        <w:rPr>
          <w:rFonts w:ascii="Arial" w:eastAsiaTheme="minorHAnsi" w:hAnsi="Arial" w:cs="Arial"/>
          <w:sz w:val="20"/>
          <w:lang w:val="en-AU"/>
        </w:rPr>
        <w:t>O</w:t>
      </w:r>
      <w:r w:rsidR="00A41B37" w:rsidRPr="003F5B91">
        <w:rPr>
          <w:rFonts w:ascii="Arial" w:eastAsiaTheme="minorHAnsi" w:hAnsi="Arial" w:cs="Arial"/>
          <w:sz w:val="20"/>
          <w:lang w:val="en-AU"/>
        </w:rPr>
        <w:t>pportunit</w:t>
      </w:r>
      <w:r w:rsidRPr="003F5B91">
        <w:rPr>
          <w:rFonts w:ascii="Arial" w:eastAsiaTheme="minorHAnsi" w:hAnsi="Arial" w:cs="Arial"/>
          <w:sz w:val="20"/>
          <w:lang w:val="en-AU"/>
        </w:rPr>
        <w:t>ies</w:t>
      </w:r>
      <w:r w:rsidR="00A41B37" w:rsidRPr="003F5B91">
        <w:rPr>
          <w:rFonts w:ascii="Arial" w:eastAsiaTheme="minorHAnsi" w:hAnsi="Arial" w:cs="Arial"/>
          <w:sz w:val="20"/>
          <w:lang w:val="en-AU"/>
        </w:rPr>
        <w:t xml:space="preserve"> for real reform lie in the </w:t>
      </w:r>
      <w:r w:rsidR="00633165" w:rsidRPr="003F5B91">
        <w:rPr>
          <w:rFonts w:ascii="Arial" w:eastAsiaTheme="minorHAnsi" w:hAnsi="Arial" w:cs="Arial"/>
          <w:sz w:val="20"/>
          <w:lang w:val="en-AU"/>
        </w:rPr>
        <w:t>new</w:t>
      </w:r>
      <w:r w:rsidR="00DA3B67" w:rsidRPr="003F5B91">
        <w:rPr>
          <w:rFonts w:ascii="Arial" w:eastAsiaTheme="minorHAnsi" w:hAnsi="Arial" w:cs="Arial"/>
          <w:sz w:val="20"/>
          <w:lang w:val="en-AU"/>
        </w:rPr>
        <w:t xml:space="preserve"> </w:t>
      </w:r>
      <w:r w:rsidR="00A41B37" w:rsidRPr="003F5B91">
        <w:rPr>
          <w:rFonts w:ascii="Arial" w:eastAsiaTheme="minorHAnsi" w:hAnsi="Arial" w:cs="Arial"/>
          <w:sz w:val="20"/>
          <w:lang w:val="en-AU"/>
        </w:rPr>
        <w:t>regulatory environment of the NHVR</w:t>
      </w:r>
      <w:r w:rsidR="00DA3B67" w:rsidRPr="003F5B91">
        <w:rPr>
          <w:rFonts w:ascii="Arial" w:eastAsiaTheme="minorHAnsi" w:hAnsi="Arial" w:cs="Arial"/>
          <w:sz w:val="20"/>
          <w:lang w:val="en-AU"/>
        </w:rPr>
        <w:t xml:space="preserve">. The ATA suggests </w:t>
      </w:r>
      <w:r w:rsidR="003A0CE2" w:rsidRPr="003F5B91">
        <w:rPr>
          <w:rFonts w:ascii="Arial" w:eastAsiaTheme="minorHAnsi" w:hAnsi="Arial" w:cs="Arial"/>
          <w:sz w:val="20"/>
          <w:lang w:val="en-AU"/>
        </w:rPr>
        <w:t xml:space="preserve">a </w:t>
      </w:r>
      <w:r w:rsidRPr="003F5B91">
        <w:rPr>
          <w:rFonts w:ascii="Arial" w:eastAsiaTheme="minorHAnsi" w:hAnsi="Arial" w:cs="Arial"/>
          <w:sz w:val="20"/>
          <w:lang w:val="en-AU"/>
        </w:rPr>
        <w:t xml:space="preserve">better, </w:t>
      </w:r>
      <w:r w:rsidR="003A0CE2" w:rsidRPr="003F5B91">
        <w:rPr>
          <w:rFonts w:ascii="Arial" w:eastAsiaTheme="minorHAnsi" w:hAnsi="Arial" w:cs="Arial"/>
          <w:sz w:val="20"/>
          <w:lang w:val="en-AU"/>
        </w:rPr>
        <w:t>safe</w:t>
      </w:r>
      <w:r w:rsidRPr="003F5B91">
        <w:rPr>
          <w:rFonts w:ascii="Arial" w:eastAsiaTheme="minorHAnsi" w:hAnsi="Arial" w:cs="Arial"/>
          <w:sz w:val="20"/>
          <w:lang w:val="en-AU"/>
        </w:rPr>
        <w:t>r</w:t>
      </w:r>
      <w:r w:rsidR="003A0CE2" w:rsidRPr="003F5B91">
        <w:rPr>
          <w:rFonts w:ascii="Arial" w:eastAsiaTheme="minorHAnsi" w:hAnsi="Arial" w:cs="Arial"/>
          <w:sz w:val="20"/>
          <w:lang w:val="en-AU"/>
        </w:rPr>
        <w:t>, efficient and</w:t>
      </w:r>
      <w:r w:rsidR="00633165" w:rsidRPr="003F5B91">
        <w:rPr>
          <w:rFonts w:ascii="Arial" w:eastAsiaTheme="minorHAnsi" w:hAnsi="Arial" w:cs="Arial"/>
          <w:sz w:val="20"/>
          <w:lang w:val="en-AU"/>
        </w:rPr>
        <w:t xml:space="preserve"> </w:t>
      </w:r>
      <w:r w:rsidR="00043E26" w:rsidRPr="003F5B91">
        <w:rPr>
          <w:rFonts w:ascii="Arial" w:eastAsiaTheme="minorHAnsi" w:hAnsi="Arial" w:cs="Arial"/>
          <w:sz w:val="20"/>
          <w:lang w:val="en-AU"/>
        </w:rPr>
        <w:t xml:space="preserve">more </w:t>
      </w:r>
      <w:r w:rsidR="003A0CE2" w:rsidRPr="003F5B91">
        <w:rPr>
          <w:rFonts w:ascii="Arial" w:eastAsiaTheme="minorHAnsi" w:hAnsi="Arial" w:cs="Arial"/>
          <w:sz w:val="20"/>
          <w:lang w:val="en-AU"/>
        </w:rPr>
        <w:t xml:space="preserve">viable </w:t>
      </w:r>
      <w:r w:rsidR="005E7C57" w:rsidRPr="003F5B91">
        <w:rPr>
          <w:rFonts w:ascii="Arial" w:eastAsiaTheme="minorHAnsi" w:hAnsi="Arial" w:cs="Arial"/>
          <w:sz w:val="20"/>
          <w:lang w:val="en-AU"/>
        </w:rPr>
        <w:t xml:space="preserve">policy </w:t>
      </w:r>
      <w:r w:rsidRPr="003F5B91">
        <w:rPr>
          <w:rFonts w:ascii="Arial" w:eastAsiaTheme="minorHAnsi" w:hAnsi="Arial" w:cs="Arial"/>
          <w:sz w:val="20"/>
          <w:lang w:val="en-AU"/>
        </w:rPr>
        <w:t>approach under NHVR</w:t>
      </w:r>
      <w:r w:rsidR="00421056" w:rsidRPr="003F5B91">
        <w:rPr>
          <w:rFonts w:ascii="Arial" w:eastAsiaTheme="minorHAnsi" w:hAnsi="Arial" w:cs="Arial"/>
          <w:sz w:val="20"/>
          <w:lang w:val="en-AU"/>
        </w:rPr>
        <w:t xml:space="preserve"> </w:t>
      </w:r>
      <w:r w:rsidRPr="003F5B91">
        <w:rPr>
          <w:rFonts w:ascii="Arial" w:eastAsiaTheme="minorHAnsi" w:hAnsi="Arial" w:cs="Arial"/>
          <w:sz w:val="20"/>
          <w:lang w:val="en-AU"/>
        </w:rPr>
        <w:t xml:space="preserve">will </w:t>
      </w:r>
      <w:r w:rsidR="00421056" w:rsidRPr="003F5B91">
        <w:rPr>
          <w:rFonts w:ascii="Arial" w:eastAsiaTheme="minorHAnsi" w:hAnsi="Arial" w:cs="Arial"/>
          <w:sz w:val="20"/>
          <w:lang w:val="en-AU"/>
        </w:rPr>
        <w:t>includ</w:t>
      </w:r>
      <w:r w:rsidR="00C67BF0" w:rsidRPr="003F5B91">
        <w:rPr>
          <w:rFonts w:ascii="Arial" w:eastAsiaTheme="minorHAnsi" w:hAnsi="Arial" w:cs="Arial"/>
          <w:sz w:val="20"/>
          <w:lang w:val="en-AU"/>
        </w:rPr>
        <w:t>e</w:t>
      </w:r>
      <w:r w:rsidR="00A41B37" w:rsidRPr="003F5B91">
        <w:rPr>
          <w:rFonts w:ascii="Arial" w:eastAsiaTheme="minorHAnsi" w:hAnsi="Arial" w:cs="Arial"/>
          <w:sz w:val="20"/>
          <w:lang w:val="en-AU"/>
        </w:rPr>
        <w:t>:</w:t>
      </w:r>
    </w:p>
    <w:p w:rsidR="00A41B37" w:rsidRPr="003F5B91" w:rsidRDefault="00A41B37" w:rsidP="00C67BF0">
      <w:pPr>
        <w:pStyle w:val="Normal-paras"/>
        <w:spacing w:after="0"/>
        <w:contextualSpacing/>
        <w:jc w:val="left"/>
        <w:rPr>
          <w:rFonts w:ascii="Arial" w:eastAsiaTheme="minorHAnsi" w:hAnsi="Arial" w:cs="Arial"/>
          <w:sz w:val="20"/>
          <w:lang w:val="en-AU"/>
        </w:rPr>
      </w:pPr>
    </w:p>
    <w:p w:rsidR="00A41B37" w:rsidRPr="003F5B91" w:rsidRDefault="007D046A" w:rsidP="00C67BF0">
      <w:pPr>
        <w:pStyle w:val="Normal-paras"/>
        <w:numPr>
          <w:ilvl w:val="0"/>
          <w:numId w:val="20"/>
        </w:numPr>
        <w:spacing w:after="120"/>
        <w:ind w:left="357" w:hanging="357"/>
        <w:jc w:val="left"/>
        <w:rPr>
          <w:rFonts w:ascii="Arial" w:eastAsiaTheme="minorHAnsi" w:hAnsi="Arial" w:cs="Arial"/>
          <w:sz w:val="20"/>
          <w:lang w:val="en-AU"/>
        </w:rPr>
      </w:pPr>
      <w:r w:rsidRPr="003F5B91">
        <w:rPr>
          <w:rFonts w:ascii="Arial" w:eastAsiaTheme="minorHAnsi" w:hAnsi="Arial" w:cs="Arial"/>
          <w:sz w:val="20"/>
          <w:lang w:val="en-AU"/>
        </w:rPr>
        <w:t>R</w:t>
      </w:r>
      <w:r w:rsidR="00A53B3D" w:rsidRPr="003F5B91">
        <w:rPr>
          <w:rFonts w:ascii="Arial" w:eastAsiaTheme="minorHAnsi" w:hAnsi="Arial" w:cs="Arial"/>
          <w:sz w:val="20"/>
          <w:lang w:val="en-AU"/>
        </w:rPr>
        <w:t xml:space="preserve">eminding </w:t>
      </w:r>
      <w:r w:rsidR="006F2083" w:rsidRPr="003F5B91">
        <w:rPr>
          <w:rFonts w:ascii="Arial" w:eastAsiaTheme="minorHAnsi" w:hAnsi="Arial" w:cs="Arial"/>
          <w:sz w:val="20"/>
          <w:lang w:val="en-AU"/>
        </w:rPr>
        <w:t>road managers</w:t>
      </w:r>
      <w:r w:rsidR="00A41B37" w:rsidRPr="003F5B91">
        <w:rPr>
          <w:rFonts w:ascii="Arial" w:eastAsiaTheme="minorHAnsi" w:hAnsi="Arial" w:cs="Arial"/>
          <w:sz w:val="20"/>
          <w:lang w:val="en-AU"/>
        </w:rPr>
        <w:t xml:space="preserve"> that </w:t>
      </w:r>
      <w:r w:rsidR="00A41B37" w:rsidRPr="003F5B91">
        <w:rPr>
          <w:rFonts w:ascii="Arial" w:eastAsiaTheme="minorHAnsi" w:hAnsi="Arial" w:cs="Arial"/>
          <w:i/>
          <w:sz w:val="20"/>
          <w:lang w:val="en-AU"/>
        </w:rPr>
        <w:t>productivity</w:t>
      </w:r>
      <w:r w:rsidR="00A41B37" w:rsidRPr="003F5B91">
        <w:rPr>
          <w:rFonts w:ascii="Arial" w:eastAsiaTheme="minorHAnsi" w:hAnsi="Arial" w:cs="Arial"/>
          <w:sz w:val="20"/>
          <w:lang w:val="en-AU"/>
        </w:rPr>
        <w:t xml:space="preserve"> is </w:t>
      </w:r>
      <w:r w:rsidR="006F2083" w:rsidRPr="003F5B91">
        <w:rPr>
          <w:rFonts w:ascii="Arial" w:eastAsiaTheme="minorHAnsi" w:hAnsi="Arial" w:cs="Arial"/>
          <w:sz w:val="20"/>
          <w:lang w:val="en-AU"/>
        </w:rPr>
        <w:t>key</w:t>
      </w:r>
      <w:r w:rsidR="00A41B37" w:rsidRPr="003F5B91">
        <w:rPr>
          <w:rFonts w:ascii="Arial" w:eastAsiaTheme="minorHAnsi" w:hAnsi="Arial" w:cs="Arial"/>
          <w:sz w:val="20"/>
          <w:lang w:val="en-AU"/>
        </w:rPr>
        <w:t xml:space="preserve">. </w:t>
      </w:r>
      <w:r w:rsidRPr="003F5B91">
        <w:rPr>
          <w:rFonts w:ascii="Arial" w:eastAsiaTheme="minorHAnsi" w:hAnsi="Arial" w:cs="Arial"/>
          <w:sz w:val="20"/>
          <w:lang w:val="en-AU"/>
        </w:rPr>
        <w:t>R</w:t>
      </w:r>
      <w:r w:rsidR="00A41B37" w:rsidRPr="003F5B91">
        <w:rPr>
          <w:rFonts w:ascii="Arial" w:eastAsiaTheme="minorHAnsi" w:hAnsi="Arial" w:cs="Arial"/>
          <w:sz w:val="20"/>
          <w:lang w:val="en-AU"/>
        </w:rPr>
        <w:t>oad manager</w:t>
      </w:r>
      <w:r w:rsidR="006F2083" w:rsidRPr="003F5B91">
        <w:rPr>
          <w:rFonts w:ascii="Arial" w:eastAsiaTheme="minorHAnsi" w:hAnsi="Arial" w:cs="Arial"/>
          <w:sz w:val="20"/>
          <w:lang w:val="en-AU"/>
        </w:rPr>
        <w:t xml:space="preserve"> culture</w:t>
      </w:r>
      <w:r w:rsidR="00DA3B67" w:rsidRPr="003F5B91">
        <w:rPr>
          <w:rFonts w:ascii="Arial" w:eastAsiaTheme="minorHAnsi" w:hAnsi="Arial" w:cs="Arial"/>
          <w:sz w:val="20"/>
          <w:lang w:val="en-AU"/>
        </w:rPr>
        <w:t xml:space="preserve"> </w:t>
      </w:r>
      <w:r w:rsidRPr="003F5B91">
        <w:rPr>
          <w:rFonts w:ascii="Arial" w:eastAsiaTheme="minorHAnsi" w:hAnsi="Arial" w:cs="Arial"/>
          <w:sz w:val="20"/>
          <w:lang w:val="en-AU"/>
        </w:rPr>
        <w:t xml:space="preserve">should be guided </w:t>
      </w:r>
      <w:r w:rsidR="00DA3B67" w:rsidRPr="003F5B91">
        <w:rPr>
          <w:rFonts w:ascii="Arial" w:eastAsiaTheme="minorHAnsi" w:hAnsi="Arial" w:cs="Arial"/>
          <w:sz w:val="20"/>
          <w:lang w:val="en-AU"/>
        </w:rPr>
        <w:t>away</w:t>
      </w:r>
      <w:r w:rsidR="00A41B37" w:rsidRPr="003F5B91">
        <w:rPr>
          <w:rFonts w:ascii="Arial" w:eastAsiaTheme="minorHAnsi" w:hAnsi="Arial" w:cs="Arial"/>
          <w:sz w:val="20"/>
          <w:lang w:val="en-AU"/>
        </w:rPr>
        <w:t xml:space="preserve"> from </w:t>
      </w:r>
      <w:r w:rsidR="00DA3B67" w:rsidRPr="003F5B91">
        <w:rPr>
          <w:rFonts w:ascii="Arial" w:eastAsiaTheme="minorHAnsi" w:hAnsi="Arial" w:cs="Arial"/>
          <w:sz w:val="20"/>
          <w:lang w:val="en-AU"/>
        </w:rPr>
        <w:t xml:space="preserve">paranoia over asset protection and funding </w:t>
      </w:r>
      <w:r w:rsidR="00A41B37" w:rsidRPr="003F5B91">
        <w:rPr>
          <w:rFonts w:ascii="Arial" w:eastAsiaTheme="minorHAnsi" w:hAnsi="Arial" w:cs="Arial"/>
          <w:sz w:val="20"/>
          <w:lang w:val="en-AU"/>
        </w:rPr>
        <w:t>to</w:t>
      </w:r>
      <w:r w:rsidR="008E3570" w:rsidRPr="003F5B91">
        <w:rPr>
          <w:rFonts w:ascii="Arial" w:eastAsiaTheme="minorHAnsi" w:hAnsi="Arial" w:cs="Arial"/>
          <w:sz w:val="20"/>
          <w:lang w:val="en-AU"/>
        </w:rPr>
        <w:t>wards</w:t>
      </w:r>
      <w:r w:rsidR="00A41B37" w:rsidRPr="003F5B91">
        <w:rPr>
          <w:rFonts w:ascii="Arial" w:eastAsiaTheme="minorHAnsi" w:hAnsi="Arial" w:cs="Arial"/>
          <w:sz w:val="20"/>
          <w:lang w:val="en-AU"/>
        </w:rPr>
        <w:t xml:space="preserve"> </w:t>
      </w:r>
      <w:r w:rsidR="00A53B3D" w:rsidRPr="003F5B91">
        <w:rPr>
          <w:rFonts w:ascii="Arial" w:eastAsiaTheme="minorHAnsi" w:hAnsi="Arial" w:cs="Arial"/>
          <w:sz w:val="20"/>
          <w:lang w:val="en-AU"/>
        </w:rPr>
        <w:t xml:space="preserve">evidence-based </w:t>
      </w:r>
      <w:r w:rsidR="0033358D" w:rsidRPr="003F5B91">
        <w:rPr>
          <w:rFonts w:ascii="Arial" w:eastAsiaTheme="minorHAnsi" w:hAnsi="Arial" w:cs="Arial"/>
          <w:sz w:val="20"/>
          <w:lang w:val="en-AU"/>
        </w:rPr>
        <w:t>assessment of</w:t>
      </w:r>
      <w:r w:rsidR="008E3570" w:rsidRPr="003F5B91">
        <w:rPr>
          <w:rFonts w:ascii="Arial" w:eastAsiaTheme="minorHAnsi" w:hAnsi="Arial" w:cs="Arial"/>
          <w:sz w:val="20"/>
          <w:lang w:val="en-AU"/>
        </w:rPr>
        <w:t xml:space="preserve"> access and risk</w:t>
      </w:r>
      <w:r w:rsidR="008B36E5" w:rsidRPr="003F5B91">
        <w:rPr>
          <w:rFonts w:ascii="Arial" w:eastAsiaTheme="minorHAnsi" w:hAnsi="Arial" w:cs="Arial"/>
          <w:sz w:val="20"/>
          <w:lang w:val="en-AU"/>
        </w:rPr>
        <w:t>,</w:t>
      </w:r>
      <w:r w:rsidRPr="003F5B91">
        <w:rPr>
          <w:rFonts w:ascii="Arial" w:eastAsiaTheme="minorHAnsi" w:hAnsi="Arial" w:cs="Arial"/>
          <w:sz w:val="20"/>
          <w:lang w:val="en-AU"/>
        </w:rPr>
        <w:t xml:space="preserve"> with a</w:t>
      </w:r>
      <w:r w:rsidR="008E3570" w:rsidRPr="003F5B91">
        <w:rPr>
          <w:rFonts w:ascii="Arial" w:eastAsiaTheme="minorHAnsi" w:hAnsi="Arial" w:cs="Arial"/>
          <w:sz w:val="20"/>
          <w:lang w:val="en-AU"/>
        </w:rPr>
        <w:t xml:space="preserve"> </w:t>
      </w:r>
      <w:r w:rsidR="00A53B3D" w:rsidRPr="003F5B91">
        <w:rPr>
          <w:rFonts w:ascii="Arial" w:eastAsiaTheme="minorHAnsi" w:hAnsi="Arial" w:cs="Arial"/>
          <w:sz w:val="20"/>
          <w:lang w:val="en-AU"/>
        </w:rPr>
        <w:t>focus</w:t>
      </w:r>
      <w:r w:rsidR="0033358D" w:rsidRPr="003F5B91">
        <w:rPr>
          <w:rFonts w:ascii="Arial" w:eastAsiaTheme="minorHAnsi" w:hAnsi="Arial" w:cs="Arial"/>
          <w:sz w:val="20"/>
          <w:lang w:val="en-AU"/>
        </w:rPr>
        <w:t xml:space="preserve"> on</w:t>
      </w:r>
      <w:r w:rsidR="008E3570" w:rsidRPr="003F5B91">
        <w:rPr>
          <w:rFonts w:ascii="Arial" w:eastAsiaTheme="minorHAnsi" w:hAnsi="Arial" w:cs="Arial"/>
          <w:sz w:val="20"/>
          <w:lang w:val="en-AU"/>
        </w:rPr>
        <w:t xml:space="preserve"> </w:t>
      </w:r>
      <w:r w:rsidR="00A41B37" w:rsidRPr="003F5B91">
        <w:rPr>
          <w:rFonts w:ascii="Arial" w:eastAsiaTheme="minorHAnsi" w:hAnsi="Arial" w:cs="Arial"/>
          <w:sz w:val="20"/>
          <w:lang w:val="en-AU"/>
        </w:rPr>
        <w:t xml:space="preserve">asset </w:t>
      </w:r>
      <w:r w:rsidR="0033358D" w:rsidRPr="003F5B91">
        <w:rPr>
          <w:rFonts w:ascii="Arial" w:eastAsiaTheme="minorHAnsi" w:hAnsi="Arial" w:cs="Arial"/>
          <w:sz w:val="20"/>
          <w:lang w:val="en-AU"/>
        </w:rPr>
        <w:t xml:space="preserve">safety, </w:t>
      </w:r>
      <w:r w:rsidR="008E3570" w:rsidRPr="003F5B91">
        <w:rPr>
          <w:rFonts w:ascii="Arial" w:eastAsiaTheme="minorHAnsi" w:hAnsi="Arial" w:cs="Arial"/>
          <w:sz w:val="20"/>
          <w:lang w:val="en-AU"/>
        </w:rPr>
        <w:t xml:space="preserve">quality and </w:t>
      </w:r>
      <w:r w:rsidR="00A41B37" w:rsidRPr="003F5B91">
        <w:rPr>
          <w:rFonts w:ascii="Arial" w:eastAsiaTheme="minorHAnsi" w:hAnsi="Arial" w:cs="Arial"/>
          <w:sz w:val="20"/>
          <w:lang w:val="en-AU"/>
        </w:rPr>
        <w:t>productivity</w:t>
      </w:r>
      <w:r w:rsidRPr="003F5B91">
        <w:rPr>
          <w:rFonts w:ascii="Arial" w:eastAsiaTheme="minorHAnsi" w:hAnsi="Arial" w:cs="Arial"/>
          <w:sz w:val="20"/>
          <w:lang w:val="en-AU"/>
        </w:rPr>
        <w:t xml:space="preserve"> outcome</w:t>
      </w:r>
      <w:r w:rsidR="008B36E5" w:rsidRPr="003F5B91">
        <w:rPr>
          <w:rFonts w:ascii="Arial" w:eastAsiaTheme="minorHAnsi" w:hAnsi="Arial" w:cs="Arial"/>
          <w:sz w:val="20"/>
          <w:lang w:val="en-AU"/>
        </w:rPr>
        <w:t>s</w:t>
      </w:r>
      <w:r w:rsidR="00A41B37" w:rsidRPr="003F5B91">
        <w:rPr>
          <w:rFonts w:ascii="Arial" w:eastAsiaTheme="minorHAnsi" w:hAnsi="Arial" w:cs="Arial"/>
          <w:sz w:val="20"/>
          <w:lang w:val="en-AU"/>
        </w:rPr>
        <w:t xml:space="preserve">. </w:t>
      </w:r>
    </w:p>
    <w:p w:rsidR="00A41B37" w:rsidRPr="003F5B91" w:rsidRDefault="00A41B37" w:rsidP="00C67BF0">
      <w:pPr>
        <w:pStyle w:val="Normal-paras"/>
        <w:numPr>
          <w:ilvl w:val="0"/>
          <w:numId w:val="20"/>
        </w:numPr>
        <w:spacing w:after="120"/>
        <w:ind w:left="357" w:hanging="357"/>
        <w:jc w:val="left"/>
        <w:rPr>
          <w:rFonts w:ascii="Arial" w:eastAsiaTheme="minorHAnsi" w:hAnsi="Arial" w:cs="Arial"/>
          <w:sz w:val="20"/>
          <w:lang w:val="en-AU"/>
        </w:rPr>
      </w:pPr>
      <w:r w:rsidRPr="003F5B91">
        <w:rPr>
          <w:rFonts w:ascii="Arial" w:eastAsiaTheme="minorHAnsi" w:hAnsi="Arial" w:cs="Arial"/>
          <w:sz w:val="20"/>
          <w:lang w:val="en-AU"/>
        </w:rPr>
        <w:t>Modular B</w:t>
      </w:r>
      <w:r w:rsidR="00C67BF0" w:rsidRPr="003F5B91">
        <w:rPr>
          <w:rFonts w:ascii="Arial" w:eastAsiaTheme="minorHAnsi" w:hAnsi="Arial" w:cs="Arial"/>
          <w:sz w:val="20"/>
          <w:lang w:val="en-AU"/>
        </w:rPr>
        <w:t>-triples and modular AB-triples</w:t>
      </w:r>
      <w:r w:rsidRPr="003F5B91">
        <w:rPr>
          <w:rFonts w:ascii="Arial" w:eastAsiaTheme="minorHAnsi" w:hAnsi="Arial" w:cs="Arial"/>
          <w:sz w:val="20"/>
          <w:lang w:val="en-AU"/>
        </w:rPr>
        <w:t xml:space="preserve"> </w:t>
      </w:r>
      <w:r w:rsidR="00C86B6E" w:rsidRPr="003F5B91">
        <w:rPr>
          <w:rFonts w:ascii="Arial" w:eastAsiaTheme="minorHAnsi" w:hAnsi="Arial" w:cs="Arial"/>
          <w:sz w:val="20"/>
          <w:lang w:val="en-AU"/>
        </w:rPr>
        <w:t>and other safe</w:t>
      </w:r>
      <w:r w:rsidR="007D046A" w:rsidRPr="003F5B91">
        <w:rPr>
          <w:rFonts w:ascii="Arial" w:eastAsiaTheme="minorHAnsi" w:hAnsi="Arial" w:cs="Arial"/>
          <w:sz w:val="20"/>
          <w:lang w:val="en-AU"/>
        </w:rPr>
        <w:t>,</w:t>
      </w:r>
      <w:r w:rsidR="00C86B6E" w:rsidRPr="003F5B91">
        <w:rPr>
          <w:rFonts w:ascii="Arial" w:eastAsiaTheme="minorHAnsi" w:hAnsi="Arial" w:cs="Arial"/>
          <w:sz w:val="20"/>
          <w:lang w:val="en-AU"/>
        </w:rPr>
        <w:t xml:space="preserve"> </w:t>
      </w:r>
      <w:r w:rsidRPr="003F5B91">
        <w:rPr>
          <w:rFonts w:ascii="Arial" w:eastAsiaTheme="minorHAnsi" w:hAnsi="Arial" w:cs="Arial"/>
          <w:sz w:val="20"/>
          <w:lang w:val="en-AU"/>
        </w:rPr>
        <w:t xml:space="preserve">highly productive modular </w:t>
      </w:r>
      <w:r w:rsidR="00C86B6E" w:rsidRPr="003F5B91">
        <w:rPr>
          <w:rFonts w:ascii="Arial" w:eastAsiaTheme="minorHAnsi" w:hAnsi="Arial" w:cs="Arial"/>
          <w:sz w:val="20"/>
          <w:lang w:val="en-AU"/>
        </w:rPr>
        <w:t xml:space="preserve">combinations </w:t>
      </w:r>
      <w:r w:rsidR="007D046A" w:rsidRPr="003F5B91">
        <w:rPr>
          <w:rFonts w:ascii="Arial" w:eastAsiaTheme="minorHAnsi" w:hAnsi="Arial" w:cs="Arial"/>
          <w:sz w:val="20"/>
          <w:lang w:val="en-AU"/>
        </w:rPr>
        <w:t>have access to</w:t>
      </w:r>
      <w:r w:rsidR="00C86B6E" w:rsidRPr="003F5B91">
        <w:rPr>
          <w:rFonts w:ascii="Arial" w:eastAsiaTheme="minorHAnsi" w:hAnsi="Arial" w:cs="Arial"/>
          <w:sz w:val="20"/>
          <w:lang w:val="en-AU"/>
        </w:rPr>
        <w:t xml:space="preserve"> all</w:t>
      </w:r>
      <w:r w:rsidRPr="003F5B91">
        <w:rPr>
          <w:rFonts w:ascii="Arial" w:eastAsiaTheme="minorHAnsi" w:hAnsi="Arial" w:cs="Arial"/>
          <w:sz w:val="20"/>
          <w:lang w:val="en-AU"/>
        </w:rPr>
        <w:t xml:space="preserve"> road train areas</w:t>
      </w:r>
      <w:r w:rsidR="003170CA" w:rsidRPr="003F5B91">
        <w:rPr>
          <w:rFonts w:ascii="Arial" w:eastAsiaTheme="minorHAnsi" w:hAnsi="Arial" w:cs="Arial"/>
          <w:sz w:val="20"/>
          <w:lang w:val="en-AU"/>
        </w:rPr>
        <w:t xml:space="preserve"> and other suitable routes such as the Hume highway</w:t>
      </w:r>
      <w:r w:rsidRPr="003F5B91">
        <w:rPr>
          <w:rFonts w:ascii="Arial" w:eastAsiaTheme="minorHAnsi" w:hAnsi="Arial" w:cs="Arial"/>
          <w:sz w:val="20"/>
          <w:lang w:val="en-AU"/>
        </w:rPr>
        <w:t>.</w:t>
      </w:r>
      <w:r w:rsidR="006F2083" w:rsidRPr="003F5B91">
        <w:rPr>
          <w:rFonts w:ascii="Arial" w:eastAsiaTheme="minorHAnsi" w:hAnsi="Arial" w:cs="Arial"/>
          <w:sz w:val="20"/>
          <w:lang w:val="en-AU"/>
        </w:rPr>
        <w:t xml:space="preserve"> </w:t>
      </w:r>
      <w:r w:rsidRPr="003F5B91">
        <w:rPr>
          <w:rFonts w:ascii="Arial" w:eastAsiaTheme="minorHAnsi" w:hAnsi="Arial" w:cs="Arial"/>
          <w:sz w:val="20"/>
          <w:lang w:val="en-AU"/>
        </w:rPr>
        <w:t xml:space="preserve">Type 1 </w:t>
      </w:r>
      <w:r w:rsidR="00E97BDA" w:rsidRPr="003F5B91">
        <w:rPr>
          <w:rFonts w:ascii="Arial" w:eastAsiaTheme="minorHAnsi" w:hAnsi="Arial" w:cs="Arial"/>
          <w:sz w:val="20"/>
          <w:lang w:val="en-AU"/>
        </w:rPr>
        <w:t xml:space="preserve">and 2 </w:t>
      </w:r>
      <w:r w:rsidRPr="003F5B91">
        <w:rPr>
          <w:rFonts w:ascii="Arial" w:eastAsiaTheme="minorHAnsi" w:hAnsi="Arial" w:cs="Arial"/>
          <w:sz w:val="20"/>
          <w:lang w:val="en-AU"/>
        </w:rPr>
        <w:t>road trains</w:t>
      </w:r>
      <w:r w:rsidR="00E97BDA" w:rsidRPr="003F5B91">
        <w:rPr>
          <w:rFonts w:ascii="Arial" w:eastAsiaTheme="minorHAnsi" w:hAnsi="Arial" w:cs="Arial"/>
          <w:sz w:val="20"/>
          <w:lang w:val="en-AU"/>
        </w:rPr>
        <w:t xml:space="preserve"> and B-doubles</w:t>
      </w:r>
      <w:r w:rsidRPr="003F5B91">
        <w:rPr>
          <w:rFonts w:ascii="Arial" w:eastAsiaTheme="minorHAnsi" w:hAnsi="Arial" w:cs="Arial"/>
          <w:sz w:val="20"/>
          <w:lang w:val="en-AU"/>
        </w:rPr>
        <w:t xml:space="preserve"> do not attract IAP, </w:t>
      </w:r>
      <w:r w:rsidR="00E97BDA" w:rsidRPr="003F5B91">
        <w:rPr>
          <w:rFonts w:ascii="Arial" w:eastAsiaTheme="minorHAnsi" w:hAnsi="Arial" w:cs="Arial"/>
          <w:sz w:val="20"/>
          <w:lang w:val="en-AU"/>
        </w:rPr>
        <w:t>neither</w:t>
      </w:r>
      <w:r w:rsidR="007D046A" w:rsidRPr="003F5B91">
        <w:rPr>
          <w:rFonts w:ascii="Arial" w:eastAsiaTheme="minorHAnsi" w:hAnsi="Arial" w:cs="Arial"/>
          <w:sz w:val="20"/>
          <w:lang w:val="en-AU"/>
        </w:rPr>
        <w:t xml:space="preserve"> should </w:t>
      </w:r>
      <w:r w:rsidRPr="003F5B91">
        <w:rPr>
          <w:rFonts w:ascii="Arial" w:eastAsiaTheme="minorHAnsi" w:hAnsi="Arial" w:cs="Arial"/>
          <w:sz w:val="20"/>
          <w:lang w:val="en-AU"/>
        </w:rPr>
        <w:t xml:space="preserve">B-triples and AB-triples. </w:t>
      </w:r>
      <w:r w:rsidR="00C86B6E" w:rsidRPr="003F5B91">
        <w:rPr>
          <w:rFonts w:ascii="Arial" w:eastAsiaTheme="minorHAnsi" w:hAnsi="Arial" w:cs="Arial"/>
          <w:sz w:val="20"/>
          <w:lang w:val="en-AU"/>
        </w:rPr>
        <w:t xml:space="preserve">This </w:t>
      </w:r>
      <w:r w:rsidR="00E97BDA" w:rsidRPr="003F5B91">
        <w:rPr>
          <w:rFonts w:ascii="Arial" w:eastAsiaTheme="minorHAnsi" w:hAnsi="Arial" w:cs="Arial"/>
          <w:sz w:val="20"/>
          <w:lang w:val="en-AU"/>
        </w:rPr>
        <w:t xml:space="preserve">reflects the </w:t>
      </w:r>
      <w:r w:rsidR="00C86B6E" w:rsidRPr="003F5B91">
        <w:rPr>
          <w:rFonts w:ascii="Arial" w:eastAsiaTheme="minorHAnsi" w:hAnsi="Arial" w:cs="Arial"/>
          <w:sz w:val="20"/>
          <w:lang w:val="en-AU"/>
        </w:rPr>
        <w:t xml:space="preserve">1999 COAG </w:t>
      </w:r>
      <w:r w:rsidR="00151352" w:rsidRPr="003F5B91">
        <w:rPr>
          <w:rFonts w:ascii="Arial" w:eastAsiaTheme="minorHAnsi" w:hAnsi="Arial" w:cs="Arial"/>
          <w:sz w:val="20"/>
          <w:lang w:val="en-AU"/>
        </w:rPr>
        <w:t>A</w:t>
      </w:r>
      <w:r w:rsidR="00D44A28" w:rsidRPr="003F5B91">
        <w:rPr>
          <w:rFonts w:ascii="Arial" w:eastAsiaTheme="minorHAnsi" w:hAnsi="Arial" w:cs="Arial"/>
          <w:sz w:val="20"/>
          <w:lang w:val="en-AU"/>
        </w:rPr>
        <w:t>greement</w:t>
      </w:r>
      <w:r w:rsidR="00E97BDA" w:rsidRPr="003F5B91">
        <w:rPr>
          <w:rFonts w:ascii="Arial" w:eastAsiaTheme="minorHAnsi" w:hAnsi="Arial" w:cs="Arial"/>
          <w:sz w:val="20"/>
          <w:lang w:val="en-AU"/>
        </w:rPr>
        <w:t xml:space="preserve"> on B-triples</w:t>
      </w:r>
      <w:r w:rsidR="00C86B6E" w:rsidRPr="003F5B91">
        <w:rPr>
          <w:rFonts w:ascii="Arial" w:eastAsiaTheme="minorHAnsi" w:hAnsi="Arial" w:cs="Arial"/>
          <w:sz w:val="20"/>
          <w:lang w:val="en-AU"/>
        </w:rPr>
        <w:t xml:space="preserve"> that industry </w:t>
      </w:r>
      <w:r w:rsidR="006F2083" w:rsidRPr="003F5B91">
        <w:rPr>
          <w:rFonts w:ascii="Arial" w:eastAsiaTheme="minorHAnsi" w:hAnsi="Arial" w:cs="Arial"/>
          <w:sz w:val="20"/>
          <w:lang w:val="en-AU"/>
        </w:rPr>
        <w:t xml:space="preserve">believes </w:t>
      </w:r>
      <w:r w:rsidR="00C86B6E" w:rsidRPr="003F5B91">
        <w:rPr>
          <w:rFonts w:ascii="Arial" w:eastAsiaTheme="minorHAnsi" w:hAnsi="Arial" w:cs="Arial"/>
          <w:sz w:val="20"/>
          <w:lang w:val="en-AU"/>
        </w:rPr>
        <w:t>was never met by agencies, particularly in NSW and Victoria.</w:t>
      </w:r>
    </w:p>
    <w:p w:rsidR="00E90E49" w:rsidRPr="003F5B91" w:rsidRDefault="00A41B37" w:rsidP="00C67BF0">
      <w:pPr>
        <w:pStyle w:val="Normal-paras"/>
        <w:numPr>
          <w:ilvl w:val="0"/>
          <w:numId w:val="20"/>
        </w:numPr>
        <w:spacing w:after="120"/>
        <w:ind w:left="357" w:hanging="357"/>
        <w:jc w:val="left"/>
        <w:rPr>
          <w:rFonts w:ascii="Arial" w:eastAsiaTheme="minorHAnsi" w:hAnsi="Arial" w:cs="Arial"/>
          <w:sz w:val="20"/>
          <w:lang w:val="en-AU"/>
        </w:rPr>
      </w:pPr>
      <w:r w:rsidRPr="003F5B91">
        <w:rPr>
          <w:rFonts w:ascii="Arial" w:eastAsiaTheme="minorHAnsi" w:hAnsi="Arial" w:cs="Arial"/>
          <w:sz w:val="20"/>
          <w:lang w:val="en-AU"/>
        </w:rPr>
        <w:t>Demand for HML has been sound in Victoria but not in QLD and NSW due to the IAP condition. There is a clear national advantag</w:t>
      </w:r>
      <w:r w:rsidR="00633165" w:rsidRPr="003F5B91">
        <w:rPr>
          <w:rFonts w:ascii="Arial" w:eastAsiaTheme="minorHAnsi" w:hAnsi="Arial" w:cs="Arial"/>
          <w:sz w:val="20"/>
          <w:lang w:val="en-AU"/>
        </w:rPr>
        <w:t xml:space="preserve">e in advancing HML without IAP </w:t>
      </w:r>
      <w:r w:rsidR="006F2083" w:rsidRPr="003F5B91">
        <w:rPr>
          <w:rFonts w:ascii="Arial" w:eastAsiaTheme="minorHAnsi" w:hAnsi="Arial" w:cs="Arial"/>
          <w:sz w:val="20"/>
          <w:lang w:val="en-AU"/>
        </w:rPr>
        <w:t xml:space="preserve">via </w:t>
      </w:r>
      <w:r w:rsidRPr="003F5B91">
        <w:rPr>
          <w:rFonts w:ascii="Arial" w:eastAsiaTheme="minorHAnsi" w:hAnsi="Arial" w:cs="Arial"/>
          <w:sz w:val="20"/>
          <w:lang w:val="en-AU"/>
        </w:rPr>
        <w:t xml:space="preserve">networks </w:t>
      </w:r>
      <w:r w:rsidR="00633165" w:rsidRPr="003F5B91">
        <w:rPr>
          <w:rFonts w:ascii="Arial" w:eastAsiaTheme="minorHAnsi" w:hAnsi="Arial" w:cs="Arial"/>
          <w:sz w:val="20"/>
          <w:lang w:val="en-AU"/>
        </w:rPr>
        <w:t>that</w:t>
      </w:r>
      <w:r w:rsidRPr="003F5B91">
        <w:rPr>
          <w:rFonts w:ascii="Arial" w:eastAsiaTheme="minorHAnsi" w:hAnsi="Arial" w:cs="Arial"/>
          <w:sz w:val="20"/>
          <w:lang w:val="en-AU"/>
        </w:rPr>
        <w:t xml:space="preserve"> encourage </w:t>
      </w:r>
      <w:r w:rsidR="006F2083" w:rsidRPr="003F5B91">
        <w:rPr>
          <w:rFonts w:ascii="Arial" w:eastAsiaTheme="minorHAnsi" w:hAnsi="Arial" w:cs="Arial"/>
          <w:sz w:val="20"/>
          <w:lang w:val="en-AU"/>
        </w:rPr>
        <w:t xml:space="preserve">the </w:t>
      </w:r>
      <w:r w:rsidRPr="003F5B91">
        <w:rPr>
          <w:rFonts w:ascii="Arial" w:eastAsiaTheme="minorHAnsi" w:hAnsi="Arial" w:cs="Arial"/>
          <w:sz w:val="20"/>
          <w:lang w:val="en-AU"/>
        </w:rPr>
        <w:t xml:space="preserve">use of </w:t>
      </w:r>
      <w:r w:rsidR="006F582F" w:rsidRPr="003F5B91">
        <w:rPr>
          <w:rFonts w:ascii="Arial" w:eastAsiaTheme="minorHAnsi" w:hAnsi="Arial" w:cs="Arial"/>
          <w:sz w:val="20"/>
          <w:lang w:val="en-AU"/>
        </w:rPr>
        <w:t>HML vehicles and</w:t>
      </w:r>
      <w:r w:rsidRPr="003F5B91">
        <w:rPr>
          <w:rFonts w:ascii="Arial" w:eastAsiaTheme="minorHAnsi" w:hAnsi="Arial" w:cs="Arial"/>
          <w:sz w:val="20"/>
          <w:lang w:val="en-AU"/>
        </w:rPr>
        <w:t xml:space="preserve"> combinations over traditional </w:t>
      </w:r>
      <w:r w:rsidR="00E15974" w:rsidRPr="003F5B91">
        <w:rPr>
          <w:rFonts w:ascii="Arial" w:eastAsiaTheme="minorHAnsi" w:hAnsi="Arial" w:cs="Arial"/>
          <w:sz w:val="20"/>
          <w:lang w:val="en-AU"/>
        </w:rPr>
        <w:t>GML vehicles</w:t>
      </w:r>
      <w:r w:rsidR="005D1161" w:rsidRPr="003F5B91">
        <w:rPr>
          <w:rFonts w:ascii="Arial" w:eastAsiaTheme="minorHAnsi" w:hAnsi="Arial" w:cs="Arial"/>
          <w:sz w:val="20"/>
          <w:lang w:val="en-AU"/>
        </w:rPr>
        <w:t xml:space="preserve">. </w:t>
      </w:r>
    </w:p>
    <w:p w:rsidR="00633165" w:rsidRPr="003F5B91" w:rsidRDefault="005D1161" w:rsidP="00C67BF0">
      <w:pPr>
        <w:pStyle w:val="Normal-paras"/>
        <w:numPr>
          <w:ilvl w:val="0"/>
          <w:numId w:val="20"/>
        </w:numPr>
        <w:spacing w:after="120"/>
        <w:ind w:left="357" w:hanging="357"/>
        <w:jc w:val="left"/>
        <w:rPr>
          <w:rFonts w:ascii="Arial" w:eastAsiaTheme="minorHAnsi" w:hAnsi="Arial" w:cs="Arial"/>
          <w:sz w:val="20"/>
          <w:lang w:val="en-AU"/>
        </w:rPr>
      </w:pPr>
      <w:r w:rsidRPr="003F5B91">
        <w:rPr>
          <w:rFonts w:ascii="Arial" w:eastAsiaTheme="minorHAnsi" w:hAnsi="Arial" w:cs="Arial"/>
          <w:sz w:val="20"/>
          <w:lang w:val="en-AU"/>
        </w:rPr>
        <w:t xml:space="preserve">Further </w:t>
      </w:r>
      <w:r w:rsidR="00E90E49" w:rsidRPr="003F5B91">
        <w:rPr>
          <w:rFonts w:ascii="Arial" w:eastAsiaTheme="minorHAnsi" w:hAnsi="Arial" w:cs="Arial"/>
          <w:sz w:val="20"/>
          <w:lang w:val="en-AU"/>
        </w:rPr>
        <w:t xml:space="preserve">productivity </w:t>
      </w:r>
      <w:r w:rsidRPr="003F5B91">
        <w:rPr>
          <w:rFonts w:ascii="Arial" w:eastAsiaTheme="minorHAnsi" w:hAnsi="Arial" w:cs="Arial"/>
          <w:sz w:val="20"/>
          <w:lang w:val="en-AU"/>
        </w:rPr>
        <w:t>opportunities arise from</w:t>
      </w:r>
      <w:r w:rsidR="00633165" w:rsidRPr="003F5B91">
        <w:rPr>
          <w:rFonts w:ascii="Arial" w:eastAsiaTheme="minorHAnsi" w:hAnsi="Arial" w:cs="Arial"/>
          <w:sz w:val="20"/>
          <w:lang w:val="en-AU"/>
        </w:rPr>
        <w:t>:</w:t>
      </w:r>
    </w:p>
    <w:p w:rsidR="00633165" w:rsidRPr="003F5B91" w:rsidRDefault="00A41B37" w:rsidP="00633165">
      <w:pPr>
        <w:pStyle w:val="Normal-paras"/>
        <w:numPr>
          <w:ilvl w:val="0"/>
          <w:numId w:val="20"/>
        </w:numPr>
        <w:spacing w:after="120"/>
        <w:jc w:val="left"/>
        <w:rPr>
          <w:rFonts w:ascii="Arial" w:eastAsiaTheme="minorHAnsi" w:hAnsi="Arial" w:cs="Arial"/>
          <w:sz w:val="20"/>
          <w:lang w:val="en-AU"/>
        </w:rPr>
      </w:pPr>
      <w:r w:rsidRPr="003F5B91">
        <w:rPr>
          <w:rFonts w:ascii="Arial" w:eastAsiaTheme="minorHAnsi" w:hAnsi="Arial" w:cs="Arial"/>
          <w:sz w:val="20"/>
          <w:lang w:val="en-AU"/>
        </w:rPr>
        <w:t xml:space="preserve">Quad axle semi-trailer </w:t>
      </w:r>
      <w:r w:rsidR="00633165" w:rsidRPr="003F5B91">
        <w:rPr>
          <w:rFonts w:ascii="Arial" w:eastAsiaTheme="minorHAnsi" w:hAnsi="Arial" w:cs="Arial"/>
          <w:sz w:val="20"/>
          <w:lang w:val="en-AU"/>
        </w:rPr>
        <w:t>at</w:t>
      </w:r>
      <w:r w:rsidRPr="003F5B91">
        <w:rPr>
          <w:rFonts w:ascii="Arial" w:eastAsiaTheme="minorHAnsi" w:hAnsi="Arial" w:cs="Arial"/>
          <w:sz w:val="20"/>
          <w:lang w:val="en-AU"/>
        </w:rPr>
        <w:t xml:space="preserve"> General Access at 24 tonnes GML and 27 tonnes at HML, </w:t>
      </w:r>
    </w:p>
    <w:p w:rsidR="00633165" w:rsidRPr="003F5B91" w:rsidRDefault="00DC744C" w:rsidP="00633165">
      <w:pPr>
        <w:pStyle w:val="Normal-paras"/>
        <w:numPr>
          <w:ilvl w:val="0"/>
          <w:numId w:val="20"/>
        </w:numPr>
        <w:spacing w:after="120"/>
        <w:jc w:val="left"/>
        <w:rPr>
          <w:rFonts w:ascii="Arial" w:eastAsiaTheme="minorHAnsi" w:hAnsi="Arial" w:cs="Arial"/>
          <w:sz w:val="20"/>
          <w:lang w:val="en-AU"/>
        </w:rPr>
      </w:pPr>
      <w:r w:rsidRPr="003F5B91">
        <w:rPr>
          <w:rFonts w:ascii="Arial" w:eastAsiaTheme="minorHAnsi" w:hAnsi="Arial" w:cs="Arial"/>
          <w:sz w:val="20"/>
          <w:lang w:val="en-AU"/>
        </w:rPr>
        <w:t>Q</w:t>
      </w:r>
      <w:r w:rsidR="00A41B37" w:rsidRPr="003F5B91">
        <w:rPr>
          <w:rFonts w:ascii="Arial" w:eastAsiaTheme="minorHAnsi" w:hAnsi="Arial" w:cs="Arial"/>
          <w:sz w:val="20"/>
          <w:lang w:val="en-AU"/>
        </w:rPr>
        <w:t>uad axle</w:t>
      </w:r>
      <w:r w:rsidR="00633165" w:rsidRPr="003F5B91">
        <w:rPr>
          <w:rFonts w:ascii="Arial" w:eastAsiaTheme="minorHAnsi" w:hAnsi="Arial" w:cs="Arial"/>
          <w:sz w:val="20"/>
          <w:lang w:val="en-AU"/>
        </w:rPr>
        <w:t>s</w:t>
      </w:r>
      <w:r w:rsidR="00A41B37" w:rsidRPr="003F5B91">
        <w:rPr>
          <w:rFonts w:ascii="Arial" w:eastAsiaTheme="minorHAnsi" w:hAnsi="Arial" w:cs="Arial"/>
          <w:sz w:val="20"/>
          <w:lang w:val="en-AU"/>
        </w:rPr>
        <w:t xml:space="preserve"> in the A-trailer of a B-double at 24 tonnes GML and 27 Tonnes HML on all suitable B-double routes. </w:t>
      </w:r>
    </w:p>
    <w:p w:rsidR="00A41B37" w:rsidRPr="003F5B91" w:rsidRDefault="00A41B37" w:rsidP="00633165">
      <w:pPr>
        <w:pStyle w:val="Normal-paras"/>
        <w:numPr>
          <w:ilvl w:val="0"/>
          <w:numId w:val="20"/>
        </w:numPr>
        <w:spacing w:after="120"/>
        <w:jc w:val="left"/>
        <w:rPr>
          <w:rFonts w:ascii="Arial" w:eastAsiaTheme="minorHAnsi" w:hAnsi="Arial" w:cs="Arial"/>
          <w:sz w:val="20"/>
          <w:lang w:val="en-AU"/>
        </w:rPr>
      </w:pPr>
      <w:r w:rsidRPr="003F5B91">
        <w:rPr>
          <w:rFonts w:ascii="Arial" w:eastAsiaTheme="minorHAnsi" w:hAnsi="Arial" w:cs="Arial"/>
          <w:sz w:val="20"/>
          <w:lang w:val="en-AU"/>
        </w:rPr>
        <w:t>Access for six and seven axle rigid truck and dogs at PBS mass limits without PBS.</w:t>
      </w:r>
    </w:p>
    <w:p w:rsidR="00804C06" w:rsidRDefault="006C61A4" w:rsidP="002502CB">
      <w:pPr>
        <w:pStyle w:val="Normal-paras"/>
        <w:spacing w:after="120"/>
        <w:contextualSpacing/>
      </w:pPr>
      <w:r w:rsidRPr="003F5B91">
        <w:rPr>
          <w:rFonts w:ascii="Arial" w:eastAsiaTheme="minorHAnsi" w:hAnsi="Arial" w:cs="Arial"/>
          <w:sz w:val="20"/>
          <w:lang w:val="en-AU"/>
        </w:rPr>
        <w:t>As noted at the outset</w:t>
      </w:r>
      <w:r w:rsidR="00C327C3">
        <w:rPr>
          <w:rFonts w:ascii="Arial" w:eastAsiaTheme="minorHAnsi" w:hAnsi="Arial" w:cs="Arial"/>
          <w:sz w:val="20"/>
          <w:lang w:val="en-AU"/>
        </w:rPr>
        <w:t xml:space="preserve"> of this submission</w:t>
      </w:r>
      <w:r w:rsidR="00FC55CF">
        <w:rPr>
          <w:rFonts w:ascii="Arial" w:eastAsiaTheme="minorHAnsi" w:hAnsi="Arial" w:cs="Arial"/>
          <w:sz w:val="20"/>
          <w:lang w:val="en-AU"/>
        </w:rPr>
        <w:t xml:space="preserve">, </w:t>
      </w:r>
      <w:r w:rsidRPr="003F5B91">
        <w:rPr>
          <w:rFonts w:ascii="Arial" w:eastAsiaTheme="minorHAnsi" w:hAnsi="Arial" w:cs="Arial"/>
          <w:sz w:val="20"/>
          <w:lang w:val="en-AU"/>
        </w:rPr>
        <w:t>monitoring technologies are not necessary to run a safe, compliant and viable transport company</w:t>
      </w:r>
      <w:r w:rsidR="00296B80">
        <w:rPr>
          <w:rFonts w:ascii="Arial" w:eastAsiaTheme="minorHAnsi" w:hAnsi="Arial" w:cs="Arial"/>
          <w:sz w:val="20"/>
          <w:lang w:val="en-AU"/>
        </w:rPr>
        <w:t>,</w:t>
      </w:r>
      <w:r w:rsidR="00624537" w:rsidRPr="003F5B91">
        <w:rPr>
          <w:rFonts w:ascii="Arial" w:eastAsiaTheme="minorHAnsi" w:hAnsi="Arial" w:cs="Arial"/>
          <w:sz w:val="20"/>
          <w:lang w:val="en-AU"/>
        </w:rPr>
        <w:t xml:space="preserve"> and c</w:t>
      </w:r>
      <w:r w:rsidRPr="003F5B91">
        <w:rPr>
          <w:rFonts w:ascii="Arial" w:eastAsiaTheme="minorHAnsi" w:hAnsi="Arial" w:cs="Arial"/>
          <w:sz w:val="20"/>
          <w:lang w:val="en-AU"/>
        </w:rPr>
        <w:t xml:space="preserve">ompliance assurance </w:t>
      </w:r>
      <w:r w:rsidR="00F233C7">
        <w:rPr>
          <w:rFonts w:ascii="Arial" w:eastAsiaTheme="minorHAnsi" w:hAnsi="Arial" w:cs="Arial"/>
          <w:sz w:val="20"/>
          <w:lang w:val="en-AU"/>
        </w:rPr>
        <w:t xml:space="preserve">itself </w:t>
      </w:r>
      <w:r w:rsidR="00296B80">
        <w:rPr>
          <w:rFonts w:ascii="Arial" w:eastAsiaTheme="minorHAnsi" w:hAnsi="Arial" w:cs="Arial"/>
          <w:sz w:val="20"/>
          <w:lang w:val="en-AU"/>
        </w:rPr>
        <w:t>can take</w:t>
      </w:r>
      <w:r w:rsidRPr="003F5B91">
        <w:rPr>
          <w:rFonts w:ascii="Arial" w:eastAsiaTheme="minorHAnsi" w:hAnsi="Arial" w:cs="Arial"/>
          <w:sz w:val="20"/>
          <w:lang w:val="en-AU"/>
        </w:rPr>
        <w:t xml:space="preserve"> many forms. </w:t>
      </w:r>
      <w:r w:rsidR="00624537" w:rsidRPr="003F5B91">
        <w:rPr>
          <w:rFonts w:ascii="Arial" w:eastAsiaTheme="minorHAnsi" w:hAnsi="Arial" w:cs="Arial"/>
          <w:sz w:val="20"/>
          <w:lang w:val="en-AU"/>
        </w:rPr>
        <w:t>This includes official recognition of TruckSafe accreditation alongside the NHVAS, r</w:t>
      </w:r>
      <w:r w:rsidR="00794D95" w:rsidRPr="003F5B91">
        <w:rPr>
          <w:rFonts w:ascii="Arial" w:eastAsiaTheme="minorHAnsi" w:hAnsi="Arial" w:cs="Arial"/>
          <w:sz w:val="20"/>
          <w:lang w:val="en-AU"/>
        </w:rPr>
        <w:t>egulatory r</w:t>
      </w:r>
      <w:r w:rsidR="00A41B37" w:rsidRPr="003F5B91">
        <w:rPr>
          <w:rFonts w:ascii="Arial" w:eastAsiaTheme="minorHAnsi" w:hAnsi="Arial" w:cs="Arial"/>
          <w:sz w:val="20"/>
          <w:lang w:val="en-AU"/>
        </w:rPr>
        <w:t>ecog</w:t>
      </w:r>
      <w:r w:rsidR="00633165" w:rsidRPr="003F5B91">
        <w:rPr>
          <w:rFonts w:ascii="Arial" w:eastAsiaTheme="minorHAnsi" w:hAnsi="Arial" w:cs="Arial"/>
          <w:sz w:val="20"/>
          <w:lang w:val="en-AU"/>
        </w:rPr>
        <w:t xml:space="preserve">nition of existing </w:t>
      </w:r>
      <w:r w:rsidR="00A41B37" w:rsidRPr="003F5B91">
        <w:rPr>
          <w:rFonts w:ascii="Arial" w:eastAsiaTheme="minorHAnsi" w:hAnsi="Arial" w:cs="Arial"/>
          <w:sz w:val="20"/>
          <w:lang w:val="en-AU"/>
        </w:rPr>
        <w:t xml:space="preserve">integrated </w:t>
      </w:r>
      <w:r w:rsidR="00633165" w:rsidRPr="003F5B91">
        <w:rPr>
          <w:rFonts w:ascii="Arial" w:eastAsiaTheme="minorHAnsi" w:hAnsi="Arial" w:cs="Arial"/>
          <w:sz w:val="20"/>
          <w:lang w:val="en-AU"/>
        </w:rPr>
        <w:t xml:space="preserve">vehicle </w:t>
      </w:r>
      <w:r w:rsidR="00A41B37" w:rsidRPr="003F5B91">
        <w:rPr>
          <w:rFonts w:ascii="Arial" w:eastAsiaTheme="minorHAnsi" w:hAnsi="Arial" w:cs="Arial"/>
          <w:sz w:val="20"/>
          <w:lang w:val="en-AU"/>
        </w:rPr>
        <w:t xml:space="preserve">systems and industry accreditation schemes as </w:t>
      </w:r>
      <w:r w:rsidR="00633165" w:rsidRPr="003F5B91">
        <w:rPr>
          <w:rFonts w:ascii="Arial" w:eastAsiaTheme="minorHAnsi" w:hAnsi="Arial" w:cs="Arial"/>
          <w:sz w:val="20"/>
          <w:lang w:val="en-AU"/>
        </w:rPr>
        <w:t xml:space="preserve">a </w:t>
      </w:r>
      <w:r w:rsidR="00624537" w:rsidRPr="003F5B91">
        <w:rPr>
          <w:rFonts w:ascii="Arial" w:eastAsiaTheme="minorHAnsi" w:hAnsi="Arial" w:cs="Arial"/>
          <w:sz w:val="20"/>
          <w:lang w:val="en-AU"/>
        </w:rPr>
        <w:t>‘</w:t>
      </w:r>
      <w:r w:rsidR="00A41B37" w:rsidRPr="003F5B91">
        <w:rPr>
          <w:rFonts w:ascii="Arial" w:eastAsiaTheme="minorHAnsi" w:hAnsi="Arial" w:cs="Arial"/>
          <w:sz w:val="20"/>
          <w:lang w:val="en-AU"/>
        </w:rPr>
        <w:t>reasonable steps defence</w:t>
      </w:r>
      <w:r w:rsidR="00624537" w:rsidRPr="003F5B91">
        <w:rPr>
          <w:rFonts w:ascii="Arial" w:eastAsiaTheme="minorHAnsi" w:hAnsi="Arial" w:cs="Arial"/>
          <w:sz w:val="20"/>
          <w:lang w:val="en-AU"/>
        </w:rPr>
        <w:t>’</w:t>
      </w:r>
      <w:r w:rsidR="00A41B37" w:rsidRPr="003F5B91">
        <w:rPr>
          <w:rFonts w:ascii="Arial" w:eastAsiaTheme="minorHAnsi" w:hAnsi="Arial" w:cs="Arial"/>
          <w:sz w:val="20"/>
          <w:lang w:val="en-AU"/>
        </w:rPr>
        <w:t>, alternative</w:t>
      </w:r>
      <w:r w:rsidR="003756EB" w:rsidRPr="003F5B91">
        <w:rPr>
          <w:rFonts w:ascii="Arial" w:eastAsiaTheme="minorHAnsi" w:hAnsi="Arial" w:cs="Arial"/>
          <w:sz w:val="20"/>
          <w:lang w:val="en-AU"/>
        </w:rPr>
        <w:t>s</w:t>
      </w:r>
      <w:r w:rsidR="00A41B37" w:rsidRPr="003F5B91">
        <w:rPr>
          <w:rFonts w:ascii="Arial" w:eastAsiaTheme="minorHAnsi" w:hAnsi="Arial" w:cs="Arial"/>
          <w:sz w:val="20"/>
          <w:lang w:val="en-AU"/>
        </w:rPr>
        <w:t xml:space="preserve"> to written work diarie</w:t>
      </w:r>
      <w:r w:rsidR="00C67BF0" w:rsidRPr="003F5B91">
        <w:rPr>
          <w:rFonts w:ascii="Arial" w:eastAsiaTheme="minorHAnsi" w:hAnsi="Arial" w:cs="Arial"/>
          <w:sz w:val="20"/>
          <w:lang w:val="en-AU"/>
        </w:rPr>
        <w:t>s, evidence of speed management</w:t>
      </w:r>
      <w:r w:rsidR="00A41B37" w:rsidRPr="003F5B91">
        <w:rPr>
          <w:rFonts w:ascii="Arial" w:eastAsiaTheme="minorHAnsi" w:hAnsi="Arial" w:cs="Arial"/>
          <w:sz w:val="20"/>
          <w:lang w:val="en-AU"/>
        </w:rPr>
        <w:t xml:space="preserve"> and as an alternative risk management approach to IAP.</w:t>
      </w:r>
      <w:r w:rsidR="005D1161" w:rsidRPr="003F5B91">
        <w:rPr>
          <w:rFonts w:ascii="Arial" w:eastAsiaTheme="minorHAnsi" w:hAnsi="Arial" w:cs="Arial"/>
          <w:sz w:val="20"/>
          <w:lang w:val="en-AU"/>
        </w:rPr>
        <w:t xml:space="preserve"> </w:t>
      </w:r>
    </w:p>
    <w:p w:rsidR="00F3203E" w:rsidRPr="00B97FC5" w:rsidRDefault="00B97FC5" w:rsidP="00B97FC5">
      <w:pPr>
        <w:pStyle w:val="Heading1"/>
        <w:numPr>
          <w:ilvl w:val="0"/>
          <w:numId w:val="0"/>
        </w:numPr>
        <w:ind w:left="360" w:hanging="360"/>
      </w:pPr>
      <w:r w:rsidRPr="00B97FC5">
        <w:t xml:space="preserve">5. </w:t>
      </w:r>
      <w:r w:rsidRPr="00B97FC5">
        <w:tab/>
        <w:t>Conclusion</w:t>
      </w:r>
    </w:p>
    <w:p w:rsidR="000437DF" w:rsidRPr="003F5B91" w:rsidRDefault="000437DF" w:rsidP="00C67BF0">
      <w:pPr>
        <w:spacing w:after="0" w:line="240" w:lineRule="auto"/>
        <w:contextualSpacing/>
        <w:rPr>
          <w:sz w:val="20"/>
          <w:szCs w:val="20"/>
        </w:rPr>
      </w:pPr>
    </w:p>
    <w:p w:rsidR="0032773A" w:rsidRPr="003F5B91" w:rsidRDefault="0032773A" w:rsidP="00E352AD">
      <w:pPr>
        <w:spacing w:after="0" w:line="240" w:lineRule="auto"/>
        <w:contextualSpacing/>
        <w:jc w:val="both"/>
        <w:rPr>
          <w:rFonts w:ascii="Arial" w:hAnsi="Arial" w:cs="Arial"/>
          <w:sz w:val="20"/>
          <w:szCs w:val="20"/>
        </w:rPr>
      </w:pPr>
      <w:r w:rsidRPr="003F5B91">
        <w:rPr>
          <w:rFonts w:ascii="Arial" w:hAnsi="Arial" w:cs="Arial"/>
          <w:sz w:val="20"/>
          <w:szCs w:val="20"/>
        </w:rPr>
        <w:t xml:space="preserve">IAP has not been a good fit for the trucking industry. Unfortunately, road </w:t>
      </w:r>
      <w:r w:rsidR="00DA14EB">
        <w:rPr>
          <w:rFonts w:ascii="Arial" w:hAnsi="Arial" w:cs="Arial"/>
          <w:sz w:val="20"/>
          <w:szCs w:val="20"/>
        </w:rPr>
        <w:t>managers</w:t>
      </w:r>
      <w:r w:rsidRPr="003F5B91">
        <w:rPr>
          <w:rFonts w:ascii="Arial" w:hAnsi="Arial" w:cs="Arial"/>
          <w:sz w:val="20"/>
          <w:szCs w:val="20"/>
        </w:rPr>
        <w:t xml:space="preserve"> have not demonstrated uniform </w:t>
      </w:r>
      <w:r w:rsidR="00A04620" w:rsidRPr="003F5B91">
        <w:rPr>
          <w:rFonts w:ascii="Arial" w:hAnsi="Arial" w:cs="Arial"/>
          <w:sz w:val="20"/>
          <w:szCs w:val="20"/>
        </w:rPr>
        <w:t>confidence</w:t>
      </w:r>
      <w:r w:rsidR="00FC66C3" w:rsidRPr="003F5B91">
        <w:rPr>
          <w:rFonts w:ascii="Arial" w:hAnsi="Arial" w:cs="Arial"/>
          <w:sz w:val="20"/>
          <w:szCs w:val="20"/>
        </w:rPr>
        <w:t xml:space="preserve"> in </w:t>
      </w:r>
      <w:r w:rsidR="00C55A60">
        <w:rPr>
          <w:rFonts w:ascii="Arial" w:hAnsi="Arial" w:cs="Arial"/>
          <w:sz w:val="20"/>
          <w:szCs w:val="20"/>
        </w:rPr>
        <w:t xml:space="preserve">the trucking </w:t>
      </w:r>
      <w:r w:rsidR="00FC66C3" w:rsidRPr="003F5B91">
        <w:rPr>
          <w:rFonts w:ascii="Arial" w:hAnsi="Arial" w:cs="Arial"/>
          <w:sz w:val="20"/>
          <w:szCs w:val="20"/>
        </w:rPr>
        <w:t>industry</w:t>
      </w:r>
      <w:r w:rsidRPr="003F5B91">
        <w:rPr>
          <w:rFonts w:ascii="Arial" w:hAnsi="Arial" w:cs="Arial"/>
          <w:sz w:val="20"/>
          <w:szCs w:val="20"/>
        </w:rPr>
        <w:t>, competence</w:t>
      </w:r>
      <w:r w:rsidR="00FC66C3" w:rsidRPr="003F5B91">
        <w:rPr>
          <w:rFonts w:ascii="Arial" w:hAnsi="Arial" w:cs="Arial"/>
          <w:sz w:val="20"/>
          <w:szCs w:val="20"/>
        </w:rPr>
        <w:t xml:space="preserve"> in </w:t>
      </w:r>
      <w:r w:rsidR="00AF4F46">
        <w:rPr>
          <w:rFonts w:ascii="Arial" w:hAnsi="Arial" w:cs="Arial"/>
          <w:sz w:val="20"/>
          <w:szCs w:val="20"/>
        </w:rPr>
        <w:t>program</w:t>
      </w:r>
      <w:r w:rsidR="00FC66C3" w:rsidRPr="003F5B91">
        <w:rPr>
          <w:rFonts w:ascii="Arial" w:hAnsi="Arial" w:cs="Arial"/>
          <w:sz w:val="20"/>
          <w:szCs w:val="20"/>
        </w:rPr>
        <w:t xml:space="preserve"> administration</w:t>
      </w:r>
      <w:r w:rsidRPr="003F5B91">
        <w:rPr>
          <w:rFonts w:ascii="Arial" w:hAnsi="Arial" w:cs="Arial"/>
          <w:sz w:val="20"/>
          <w:szCs w:val="20"/>
        </w:rPr>
        <w:t xml:space="preserve">, technical understanding </w:t>
      </w:r>
      <w:r w:rsidR="00A04620" w:rsidRPr="003F5B91">
        <w:rPr>
          <w:rFonts w:ascii="Arial" w:hAnsi="Arial" w:cs="Arial"/>
          <w:sz w:val="20"/>
          <w:szCs w:val="20"/>
        </w:rPr>
        <w:t xml:space="preserve">of </w:t>
      </w:r>
      <w:r w:rsidR="00DA14EB">
        <w:rPr>
          <w:rFonts w:ascii="Arial" w:hAnsi="Arial" w:cs="Arial"/>
          <w:sz w:val="20"/>
          <w:szCs w:val="20"/>
        </w:rPr>
        <w:t xml:space="preserve">heavy vehicle </w:t>
      </w:r>
      <w:r w:rsidR="00FC66C3" w:rsidRPr="003F5B91">
        <w:rPr>
          <w:rFonts w:ascii="Arial" w:hAnsi="Arial" w:cs="Arial"/>
          <w:sz w:val="20"/>
          <w:szCs w:val="20"/>
        </w:rPr>
        <w:t>access</w:t>
      </w:r>
      <w:r w:rsidR="00E71948" w:rsidRPr="003F5B91">
        <w:rPr>
          <w:rFonts w:ascii="Arial" w:hAnsi="Arial" w:cs="Arial"/>
          <w:sz w:val="20"/>
          <w:szCs w:val="20"/>
        </w:rPr>
        <w:t xml:space="preserve">, risk management principles </w:t>
      </w:r>
      <w:r w:rsidR="00AF4F46">
        <w:rPr>
          <w:rFonts w:ascii="Arial" w:hAnsi="Arial" w:cs="Arial"/>
          <w:sz w:val="20"/>
          <w:szCs w:val="20"/>
        </w:rPr>
        <w:t>n</w:t>
      </w:r>
      <w:r w:rsidR="00E71948" w:rsidRPr="003F5B91">
        <w:rPr>
          <w:rFonts w:ascii="Arial" w:hAnsi="Arial" w:cs="Arial"/>
          <w:sz w:val="20"/>
          <w:szCs w:val="20"/>
        </w:rPr>
        <w:t>or</w:t>
      </w:r>
      <w:r w:rsidRPr="003F5B91">
        <w:rPr>
          <w:rFonts w:ascii="Arial" w:hAnsi="Arial" w:cs="Arial"/>
          <w:sz w:val="20"/>
          <w:szCs w:val="20"/>
        </w:rPr>
        <w:t xml:space="preserve"> </w:t>
      </w:r>
      <w:r w:rsidR="008641AE">
        <w:rPr>
          <w:rFonts w:ascii="Arial" w:hAnsi="Arial" w:cs="Arial"/>
          <w:sz w:val="20"/>
          <w:szCs w:val="20"/>
        </w:rPr>
        <w:t xml:space="preserve">any </w:t>
      </w:r>
      <w:r w:rsidRPr="003F5B91">
        <w:rPr>
          <w:rFonts w:ascii="Arial" w:hAnsi="Arial" w:cs="Arial"/>
          <w:sz w:val="20"/>
          <w:szCs w:val="20"/>
        </w:rPr>
        <w:t xml:space="preserve">transparency </w:t>
      </w:r>
      <w:r w:rsidR="008641AE">
        <w:rPr>
          <w:rFonts w:ascii="Arial" w:hAnsi="Arial" w:cs="Arial"/>
          <w:sz w:val="20"/>
          <w:szCs w:val="20"/>
        </w:rPr>
        <w:t>in</w:t>
      </w:r>
      <w:r w:rsidRPr="003F5B91">
        <w:rPr>
          <w:rFonts w:ascii="Arial" w:hAnsi="Arial" w:cs="Arial"/>
          <w:sz w:val="20"/>
          <w:szCs w:val="20"/>
        </w:rPr>
        <w:t xml:space="preserve"> </w:t>
      </w:r>
      <w:r w:rsidR="00FC66C3" w:rsidRPr="003F5B91">
        <w:rPr>
          <w:rFonts w:ascii="Arial" w:hAnsi="Arial" w:cs="Arial"/>
          <w:sz w:val="20"/>
          <w:szCs w:val="20"/>
        </w:rPr>
        <w:t>decision-making</w:t>
      </w:r>
      <w:r w:rsidRPr="003F5B91">
        <w:rPr>
          <w:rFonts w:ascii="Arial" w:hAnsi="Arial" w:cs="Arial"/>
          <w:sz w:val="20"/>
          <w:szCs w:val="20"/>
        </w:rPr>
        <w:t xml:space="preserve"> in their application</w:t>
      </w:r>
      <w:r w:rsidR="00A04620" w:rsidRPr="003F5B91">
        <w:rPr>
          <w:rFonts w:ascii="Arial" w:hAnsi="Arial" w:cs="Arial"/>
          <w:sz w:val="20"/>
          <w:szCs w:val="20"/>
        </w:rPr>
        <w:t>s</w:t>
      </w:r>
      <w:r w:rsidRPr="003F5B91">
        <w:rPr>
          <w:rFonts w:ascii="Arial" w:hAnsi="Arial" w:cs="Arial"/>
          <w:sz w:val="20"/>
          <w:szCs w:val="20"/>
        </w:rPr>
        <w:t xml:space="preserve"> of IAP. </w:t>
      </w:r>
    </w:p>
    <w:p w:rsidR="00A20E21" w:rsidRPr="003F5B91" w:rsidRDefault="00A20E21" w:rsidP="00E352AD">
      <w:pPr>
        <w:spacing w:after="0" w:line="240" w:lineRule="auto"/>
        <w:contextualSpacing/>
        <w:jc w:val="both"/>
        <w:rPr>
          <w:rFonts w:ascii="Arial" w:hAnsi="Arial" w:cs="Arial"/>
          <w:sz w:val="20"/>
          <w:szCs w:val="20"/>
        </w:rPr>
      </w:pPr>
    </w:p>
    <w:p w:rsidR="00A20E21" w:rsidRPr="003F5B91" w:rsidRDefault="00A20E21" w:rsidP="00E352AD">
      <w:pPr>
        <w:spacing w:after="0" w:line="240" w:lineRule="auto"/>
        <w:contextualSpacing/>
        <w:jc w:val="both"/>
        <w:rPr>
          <w:rFonts w:ascii="Arial" w:hAnsi="Arial" w:cs="Arial"/>
          <w:sz w:val="20"/>
          <w:szCs w:val="20"/>
        </w:rPr>
      </w:pPr>
      <w:r w:rsidRPr="003F5B91">
        <w:rPr>
          <w:rFonts w:ascii="Arial" w:hAnsi="Arial" w:cs="Arial"/>
          <w:sz w:val="20"/>
          <w:szCs w:val="20"/>
        </w:rPr>
        <w:t>No matter what the objective strength of IAP is in a technological sense, it has not</w:t>
      </w:r>
      <w:r w:rsidR="00621FC6">
        <w:rPr>
          <w:rFonts w:ascii="Arial" w:hAnsi="Arial" w:cs="Arial"/>
          <w:sz w:val="20"/>
          <w:szCs w:val="20"/>
        </w:rPr>
        <w:t xml:space="preserve"> in a business </w:t>
      </w:r>
      <w:r w:rsidR="00E10B17">
        <w:rPr>
          <w:rFonts w:ascii="Arial" w:hAnsi="Arial" w:cs="Arial"/>
          <w:sz w:val="20"/>
          <w:szCs w:val="20"/>
        </w:rPr>
        <w:t xml:space="preserve">enterprise </w:t>
      </w:r>
      <w:r w:rsidR="00621FC6">
        <w:rPr>
          <w:rFonts w:ascii="Arial" w:hAnsi="Arial" w:cs="Arial"/>
          <w:sz w:val="20"/>
          <w:szCs w:val="20"/>
        </w:rPr>
        <w:t>sense</w:t>
      </w:r>
      <w:r w:rsidRPr="003F5B91">
        <w:rPr>
          <w:rFonts w:ascii="Arial" w:hAnsi="Arial" w:cs="Arial"/>
          <w:sz w:val="20"/>
          <w:szCs w:val="20"/>
        </w:rPr>
        <w:t xml:space="preserve"> positively influenced the policy and regulatory </w:t>
      </w:r>
      <w:r w:rsidR="00A04620" w:rsidRPr="003F5B91">
        <w:rPr>
          <w:rFonts w:ascii="Arial" w:hAnsi="Arial" w:cs="Arial"/>
          <w:sz w:val="20"/>
          <w:szCs w:val="20"/>
        </w:rPr>
        <w:t>areas</w:t>
      </w:r>
      <w:r w:rsidRPr="003F5B91">
        <w:rPr>
          <w:rFonts w:ascii="Arial" w:hAnsi="Arial" w:cs="Arial"/>
          <w:sz w:val="20"/>
          <w:szCs w:val="20"/>
        </w:rPr>
        <w:t xml:space="preserve"> in which road access is decided and granted in Australia. Poor </w:t>
      </w:r>
      <w:r w:rsidR="00A04620" w:rsidRPr="003F5B91">
        <w:rPr>
          <w:rFonts w:ascii="Arial" w:hAnsi="Arial" w:cs="Arial"/>
          <w:sz w:val="20"/>
          <w:szCs w:val="20"/>
        </w:rPr>
        <w:t xml:space="preserve">state and local agency </w:t>
      </w:r>
      <w:r w:rsidRPr="003F5B91">
        <w:rPr>
          <w:rFonts w:ascii="Arial" w:hAnsi="Arial" w:cs="Arial"/>
          <w:sz w:val="20"/>
          <w:szCs w:val="20"/>
        </w:rPr>
        <w:t>decision-making remains the primary access challenge.</w:t>
      </w:r>
    </w:p>
    <w:p w:rsidR="0052648A" w:rsidRPr="003F5B91" w:rsidRDefault="0052648A" w:rsidP="00E352AD">
      <w:pPr>
        <w:spacing w:after="0" w:line="240" w:lineRule="auto"/>
        <w:contextualSpacing/>
        <w:jc w:val="both"/>
        <w:rPr>
          <w:rFonts w:ascii="Arial" w:hAnsi="Arial" w:cs="Arial"/>
          <w:sz w:val="20"/>
          <w:szCs w:val="20"/>
        </w:rPr>
      </w:pPr>
    </w:p>
    <w:p w:rsidR="005E739B" w:rsidRDefault="005E739B" w:rsidP="00A64748">
      <w:pPr>
        <w:pStyle w:val="Normal-paras"/>
        <w:spacing w:after="0"/>
        <w:contextualSpacing/>
        <w:rPr>
          <w:rFonts w:ascii="Arial" w:eastAsiaTheme="minorHAnsi" w:hAnsi="Arial" w:cs="Arial"/>
          <w:sz w:val="20"/>
          <w:lang w:val="en-AU"/>
        </w:rPr>
      </w:pPr>
      <w:r w:rsidRPr="003F5B91">
        <w:rPr>
          <w:rFonts w:ascii="Arial" w:eastAsiaTheme="minorHAnsi" w:hAnsi="Arial" w:cs="Arial"/>
          <w:sz w:val="20"/>
          <w:lang w:val="en-AU"/>
        </w:rPr>
        <w:t>Residual IAP monitoring tasks should be scaled down to operate from within a business unit under the</w:t>
      </w:r>
      <w:r w:rsidR="00001499">
        <w:rPr>
          <w:rFonts w:ascii="Arial" w:eastAsiaTheme="minorHAnsi" w:hAnsi="Arial" w:cs="Arial"/>
          <w:sz w:val="20"/>
          <w:lang w:val="en-AU"/>
        </w:rPr>
        <w:t xml:space="preserve"> NHVR</w:t>
      </w:r>
      <w:r w:rsidR="008E40C1">
        <w:rPr>
          <w:rFonts w:ascii="Arial" w:eastAsiaTheme="minorHAnsi" w:hAnsi="Arial" w:cs="Arial"/>
          <w:sz w:val="20"/>
          <w:lang w:val="en-AU"/>
        </w:rPr>
        <w:t xml:space="preserve"> and t</w:t>
      </w:r>
      <w:r w:rsidRPr="003F5B91">
        <w:rPr>
          <w:rFonts w:ascii="Arial" w:eastAsiaTheme="minorHAnsi" w:hAnsi="Arial" w:cs="Arial"/>
          <w:sz w:val="20"/>
          <w:lang w:val="en-AU"/>
        </w:rPr>
        <w:t xml:space="preserve">elematics policy should remain with the NTC. </w:t>
      </w:r>
      <w:r w:rsidR="00001499">
        <w:rPr>
          <w:rFonts w:ascii="Arial" w:eastAsiaTheme="minorHAnsi" w:hAnsi="Arial" w:cs="Arial"/>
          <w:sz w:val="20"/>
          <w:lang w:val="en-AU"/>
        </w:rPr>
        <w:t>Under the</w:t>
      </w:r>
      <w:r w:rsidRPr="003F5B91">
        <w:rPr>
          <w:rFonts w:ascii="Arial" w:eastAsiaTheme="minorHAnsi" w:hAnsi="Arial" w:cs="Arial"/>
          <w:sz w:val="20"/>
          <w:lang w:val="en-AU"/>
        </w:rPr>
        <w:t xml:space="preserve"> NHVR, </w:t>
      </w:r>
      <w:r w:rsidR="00001499">
        <w:rPr>
          <w:rFonts w:ascii="Arial" w:eastAsiaTheme="minorHAnsi" w:hAnsi="Arial" w:cs="Arial"/>
          <w:sz w:val="20"/>
          <w:lang w:val="en-AU"/>
        </w:rPr>
        <w:t>monitoring</w:t>
      </w:r>
      <w:r w:rsidRPr="003F5B91">
        <w:rPr>
          <w:rFonts w:ascii="Arial" w:eastAsiaTheme="minorHAnsi" w:hAnsi="Arial" w:cs="Arial"/>
          <w:sz w:val="20"/>
          <w:lang w:val="en-AU"/>
        </w:rPr>
        <w:t xml:space="preserve"> </w:t>
      </w:r>
      <w:r w:rsidR="00121FDE" w:rsidRPr="003F5B91">
        <w:rPr>
          <w:rFonts w:ascii="Arial" w:eastAsiaTheme="minorHAnsi" w:hAnsi="Arial" w:cs="Arial"/>
          <w:sz w:val="20"/>
          <w:lang w:val="en-AU"/>
        </w:rPr>
        <w:t>c</w:t>
      </w:r>
      <w:r w:rsidRPr="003F5B91">
        <w:rPr>
          <w:rFonts w:ascii="Arial" w:eastAsiaTheme="minorHAnsi" w:hAnsi="Arial" w:cs="Arial"/>
          <w:sz w:val="20"/>
          <w:lang w:val="en-AU"/>
        </w:rPr>
        <w:t xml:space="preserve">ould be deployed in a limited </w:t>
      </w:r>
      <w:r w:rsidR="003B159A">
        <w:rPr>
          <w:rFonts w:ascii="Arial" w:eastAsiaTheme="minorHAnsi" w:hAnsi="Arial" w:cs="Arial"/>
          <w:sz w:val="20"/>
          <w:lang w:val="en-AU"/>
        </w:rPr>
        <w:t>manner</w:t>
      </w:r>
      <w:r w:rsidRPr="003F5B91">
        <w:rPr>
          <w:rFonts w:ascii="Arial" w:eastAsiaTheme="minorHAnsi" w:hAnsi="Arial" w:cs="Arial"/>
          <w:sz w:val="20"/>
          <w:lang w:val="en-AU"/>
        </w:rPr>
        <w:t xml:space="preserve"> </w:t>
      </w:r>
      <w:r w:rsidR="00121FDE" w:rsidRPr="003F5B91">
        <w:rPr>
          <w:rFonts w:ascii="Arial" w:eastAsiaTheme="minorHAnsi" w:hAnsi="Arial" w:cs="Arial"/>
          <w:sz w:val="20"/>
          <w:lang w:val="en-AU"/>
        </w:rPr>
        <w:t>on</w:t>
      </w:r>
      <w:r w:rsidRPr="003F5B91">
        <w:rPr>
          <w:rFonts w:ascii="Arial" w:eastAsiaTheme="minorHAnsi" w:hAnsi="Arial" w:cs="Arial"/>
          <w:sz w:val="20"/>
          <w:lang w:val="en-AU"/>
        </w:rPr>
        <w:t xml:space="preserve"> high risk</w:t>
      </w:r>
      <w:r w:rsidR="00612405">
        <w:rPr>
          <w:rFonts w:ascii="Arial" w:eastAsiaTheme="minorHAnsi" w:hAnsi="Arial" w:cs="Arial"/>
          <w:sz w:val="20"/>
          <w:lang w:val="en-AU"/>
        </w:rPr>
        <w:t>,</w:t>
      </w:r>
      <w:r w:rsidRPr="003F5B91">
        <w:rPr>
          <w:rFonts w:ascii="Arial" w:eastAsiaTheme="minorHAnsi" w:hAnsi="Arial" w:cs="Arial"/>
          <w:sz w:val="20"/>
          <w:lang w:val="en-AU"/>
        </w:rPr>
        <w:t xml:space="preserve"> </w:t>
      </w:r>
      <w:r w:rsidR="00121FDE" w:rsidRPr="003F5B91">
        <w:rPr>
          <w:rFonts w:ascii="Arial" w:eastAsiaTheme="minorHAnsi" w:hAnsi="Arial" w:cs="Arial"/>
          <w:sz w:val="20"/>
          <w:lang w:val="en-AU"/>
        </w:rPr>
        <w:t xml:space="preserve">or targeted oversize and over-mass </w:t>
      </w:r>
      <w:r w:rsidR="00001499">
        <w:rPr>
          <w:rFonts w:ascii="Arial" w:eastAsiaTheme="minorHAnsi" w:hAnsi="Arial" w:cs="Arial"/>
          <w:sz w:val="20"/>
          <w:lang w:val="en-AU"/>
        </w:rPr>
        <w:t xml:space="preserve">vehicle </w:t>
      </w:r>
      <w:r w:rsidRPr="003F5B91">
        <w:rPr>
          <w:rFonts w:ascii="Arial" w:eastAsiaTheme="minorHAnsi" w:hAnsi="Arial" w:cs="Arial"/>
          <w:sz w:val="20"/>
          <w:lang w:val="en-AU"/>
        </w:rPr>
        <w:t>movements</w:t>
      </w:r>
      <w:r w:rsidR="00612405">
        <w:rPr>
          <w:rFonts w:ascii="Arial" w:eastAsiaTheme="minorHAnsi" w:hAnsi="Arial" w:cs="Arial"/>
          <w:sz w:val="20"/>
          <w:lang w:val="en-AU"/>
        </w:rPr>
        <w:t>,</w:t>
      </w:r>
      <w:r w:rsidR="00121FDE" w:rsidRPr="003F5B91">
        <w:rPr>
          <w:rFonts w:ascii="Arial" w:eastAsiaTheme="minorHAnsi" w:hAnsi="Arial" w:cs="Arial"/>
          <w:sz w:val="20"/>
          <w:lang w:val="en-AU"/>
        </w:rPr>
        <w:t xml:space="preserve"> as an alternative to traditional on-road supervision,</w:t>
      </w:r>
      <w:r w:rsidRPr="003F5B91">
        <w:rPr>
          <w:rFonts w:ascii="Arial" w:eastAsiaTheme="minorHAnsi" w:hAnsi="Arial" w:cs="Arial"/>
          <w:sz w:val="20"/>
          <w:lang w:val="en-AU"/>
        </w:rPr>
        <w:t xml:space="preserve"> or when supervisory orders are imposed by a court. This would </w:t>
      </w:r>
      <w:r w:rsidR="00121FDE" w:rsidRPr="003F5B91">
        <w:rPr>
          <w:rFonts w:ascii="Arial" w:eastAsiaTheme="minorHAnsi" w:hAnsi="Arial" w:cs="Arial"/>
          <w:sz w:val="20"/>
          <w:lang w:val="en-AU"/>
        </w:rPr>
        <w:t xml:space="preserve">correctly </w:t>
      </w:r>
      <w:r w:rsidR="00612405">
        <w:rPr>
          <w:rFonts w:ascii="Arial" w:eastAsiaTheme="minorHAnsi" w:hAnsi="Arial" w:cs="Arial"/>
          <w:sz w:val="20"/>
          <w:lang w:val="en-AU"/>
        </w:rPr>
        <w:t>deploy the option of</w:t>
      </w:r>
      <w:r w:rsidRPr="003F5B91">
        <w:rPr>
          <w:rFonts w:ascii="Arial" w:eastAsiaTheme="minorHAnsi" w:hAnsi="Arial" w:cs="Arial"/>
          <w:sz w:val="20"/>
          <w:lang w:val="en-AU"/>
        </w:rPr>
        <w:t xml:space="preserve"> </w:t>
      </w:r>
      <w:r w:rsidR="003B159A">
        <w:rPr>
          <w:rFonts w:ascii="Arial" w:eastAsiaTheme="minorHAnsi" w:hAnsi="Arial" w:cs="Arial"/>
          <w:sz w:val="20"/>
          <w:lang w:val="en-AU"/>
        </w:rPr>
        <w:t xml:space="preserve">telematics </w:t>
      </w:r>
      <w:r w:rsidR="00121FDE" w:rsidRPr="003F5B91">
        <w:rPr>
          <w:rFonts w:ascii="Arial" w:eastAsiaTheme="minorHAnsi" w:hAnsi="Arial" w:cs="Arial"/>
          <w:sz w:val="20"/>
          <w:lang w:val="en-AU"/>
        </w:rPr>
        <w:t>monitoring</w:t>
      </w:r>
      <w:r w:rsidRPr="003F5B91">
        <w:rPr>
          <w:rFonts w:ascii="Arial" w:eastAsiaTheme="minorHAnsi" w:hAnsi="Arial" w:cs="Arial"/>
          <w:sz w:val="20"/>
          <w:lang w:val="en-AU"/>
        </w:rPr>
        <w:t xml:space="preserve"> as one </w:t>
      </w:r>
      <w:r w:rsidR="00121FDE" w:rsidRPr="003F5B91">
        <w:rPr>
          <w:rFonts w:ascii="Arial" w:eastAsiaTheme="minorHAnsi" w:hAnsi="Arial" w:cs="Arial"/>
          <w:sz w:val="20"/>
          <w:lang w:val="en-AU"/>
        </w:rPr>
        <w:t xml:space="preserve">approach to </w:t>
      </w:r>
      <w:r w:rsidRPr="003F5B91">
        <w:rPr>
          <w:rFonts w:ascii="Arial" w:eastAsiaTheme="minorHAnsi" w:hAnsi="Arial" w:cs="Arial"/>
          <w:sz w:val="20"/>
          <w:lang w:val="en-AU"/>
        </w:rPr>
        <w:t xml:space="preserve">compliance </w:t>
      </w:r>
      <w:r w:rsidR="00612405">
        <w:rPr>
          <w:rFonts w:ascii="Arial" w:eastAsiaTheme="minorHAnsi" w:hAnsi="Arial" w:cs="Arial"/>
          <w:sz w:val="20"/>
          <w:lang w:val="en-AU"/>
        </w:rPr>
        <w:t xml:space="preserve">assurance </w:t>
      </w:r>
      <w:r w:rsidRPr="003F5B91">
        <w:rPr>
          <w:rFonts w:ascii="Arial" w:eastAsiaTheme="minorHAnsi" w:hAnsi="Arial" w:cs="Arial"/>
          <w:sz w:val="20"/>
          <w:lang w:val="en-AU"/>
        </w:rPr>
        <w:t xml:space="preserve">amongst many and it would fit more comfortably into the Chain </w:t>
      </w:r>
      <w:r w:rsidR="00FA71C3">
        <w:rPr>
          <w:rFonts w:ascii="Arial" w:eastAsiaTheme="minorHAnsi" w:hAnsi="Arial" w:cs="Arial"/>
          <w:sz w:val="20"/>
          <w:lang w:val="en-AU"/>
        </w:rPr>
        <w:t>o</w:t>
      </w:r>
      <w:r w:rsidRPr="003F5B91">
        <w:rPr>
          <w:rFonts w:ascii="Arial" w:eastAsiaTheme="minorHAnsi" w:hAnsi="Arial" w:cs="Arial"/>
          <w:sz w:val="20"/>
          <w:lang w:val="en-AU"/>
        </w:rPr>
        <w:t>f Responsibility (C</w:t>
      </w:r>
      <w:r w:rsidR="00083A52">
        <w:rPr>
          <w:rFonts w:ascii="Arial" w:eastAsiaTheme="minorHAnsi" w:hAnsi="Arial" w:cs="Arial"/>
          <w:sz w:val="20"/>
          <w:lang w:val="en-AU"/>
        </w:rPr>
        <w:t>O</w:t>
      </w:r>
      <w:r w:rsidRPr="003F5B91">
        <w:rPr>
          <w:rFonts w:ascii="Arial" w:eastAsiaTheme="minorHAnsi" w:hAnsi="Arial" w:cs="Arial"/>
          <w:sz w:val="20"/>
          <w:lang w:val="en-AU"/>
        </w:rPr>
        <w:t xml:space="preserve">R) enforcement suite and planned enhancements to </w:t>
      </w:r>
      <w:r w:rsidR="00083A52" w:rsidRPr="003F5B91">
        <w:rPr>
          <w:rFonts w:ascii="Arial" w:eastAsiaTheme="minorHAnsi" w:hAnsi="Arial" w:cs="Arial"/>
          <w:sz w:val="20"/>
          <w:lang w:val="en-AU"/>
        </w:rPr>
        <w:t>C</w:t>
      </w:r>
      <w:r w:rsidR="00083A52">
        <w:rPr>
          <w:rFonts w:ascii="Arial" w:eastAsiaTheme="minorHAnsi" w:hAnsi="Arial" w:cs="Arial"/>
          <w:sz w:val="20"/>
          <w:lang w:val="en-AU"/>
        </w:rPr>
        <w:t>O</w:t>
      </w:r>
      <w:r w:rsidR="00083A52" w:rsidRPr="003F5B91">
        <w:rPr>
          <w:rFonts w:ascii="Arial" w:eastAsiaTheme="minorHAnsi" w:hAnsi="Arial" w:cs="Arial"/>
          <w:sz w:val="20"/>
          <w:lang w:val="en-AU"/>
        </w:rPr>
        <w:t>R</w:t>
      </w:r>
      <w:r w:rsidR="008641AE">
        <w:rPr>
          <w:rFonts w:ascii="Arial" w:eastAsiaTheme="minorHAnsi" w:hAnsi="Arial" w:cs="Arial"/>
          <w:sz w:val="20"/>
          <w:lang w:val="en-AU"/>
        </w:rPr>
        <w:t>.</w:t>
      </w:r>
    </w:p>
    <w:p w:rsidR="00A64748" w:rsidRPr="003F5B91" w:rsidRDefault="00A64748" w:rsidP="00A64748">
      <w:pPr>
        <w:pStyle w:val="Normal-paras"/>
        <w:spacing w:after="0"/>
        <w:contextualSpacing/>
        <w:rPr>
          <w:rFonts w:ascii="Arial" w:hAnsi="Arial" w:cs="Arial"/>
          <w:sz w:val="20"/>
        </w:rPr>
      </w:pPr>
    </w:p>
    <w:p w:rsidR="005E739B" w:rsidRPr="003F5B91" w:rsidRDefault="005E739B" w:rsidP="005E739B">
      <w:pPr>
        <w:spacing w:after="0" w:line="240" w:lineRule="auto"/>
        <w:contextualSpacing/>
        <w:jc w:val="both"/>
        <w:rPr>
          <w:rFonts w:cs="Arial"/>
          <w:i/>
          <w:sz w:val="20"/>
          <w:szCs w:val="20"/>
        </w:rPr>
      </w:pPr>
      <w:r w:rsidRPr="003F5B91">
        <w:rPr>
          <w:rFonts w:cs="Arial"/>
          <w:i/>
          <w:sz w:val="20"/>
          <w:szCs w:val="20"/>
        </w:rPr>
        <w:t>“In our opinion regulatory strategies based on voluntary compliance and education are more likely to have positive outcomes as against a mandatory surveillance system imposed on market operators not guilty of any offence on the premise that some market operators cannot be trusted to comply with the law.”</w:t>
      </w:r>
      <w:r w:rsidRPr="003F5B91">
        <w:rPr>
          <w:rStyle w:val="FootnoteReference"/>
          <w:rFonts w:cs="Arial"/>
          <w:i/>
          <w:sz w:val="20"/>
          <w:szCs w:val="20"/>
        </w:rPr>
        <w:footnoteReference w:id="10"/>
      </w:r>
    </w:p>
    <w:p w:rsidR="002C7AE9" w:rsidRPr="003F5B91" w:rsidRDefault="002C7AE9" w:rsidP="00FC66C3">
      <w:pPr>
        <w:tabs>
          <w:tab w:val="left" w:pos="7938"/>
        </w:tabs>
        <w:spacing w:after="0" w:line="240" w:lineRule="auto"/>
        <w:contextualSpacing/>
        <w:rPr>
          <w:rFonts w:ascii="Arial" w:hAnsi="Arial" w:cs="Arial"/>
          <w:sz w:val="20"/>
          <w:szCs w:val="20"/>
        </w:rPr>
      </w:pPr>
    </w:p>
    <w:p w:rsidR="00BC3B0E" w:rsidRPr="003F5B91" w:rsidRDefault="002C7AE9" w:rsidP="00E352AD">
      <w:pPr>
        <w:spacing w:after="0" w:line="240" w:lineRule="auto"/>
        <w:contextualSpacing/>
        <w:jc w:val="both"/>
        <w:rPr>
          <w:rFonts w:ascii="Arial" w:hAnsi="Arial" w:cs="Arial"/>
          <w:sz w:val="20"/>
          <w:szCs w:val="20"/>
        </w:rPr>
      </w:pPr>
      <w:r w:rsidRPr="003F5B91">
        <w:rPr>
          <w:rFonts w:ascii="Arial" w:hAnsi="Arial" w:cs="Arial"/>
          <w:sz w:val="20"/>
          <w:szCs w:val="20"/>
        </w:rPr>
        <w:t xml:space="preserve">The ATA strongly supports a national </w:t>
      </w:r>
      <w:r w:rsidR="00621FC6">
        <w:rPr>
          <w:rFonts w:ascii="Arial" w:hAnsi="Arial" w:cs="Arial"/>
          <w:sz w:val="20"/>
          <w:szCs w:val="20"/>
        </w:rPr>
        <w:t xml:space="preserve">route </w:t>
      </w:r>
      <w:r w:rsidR="00850EB1">
        <w:rPr>
          <w:rFonts w:ascii="Arial" w:hAnsi="Arial" w:cs="Arial"/>
          <w:sz w:val="20"/>
          <w:szCs w:val="20"/>
        </w:rPr>
        <w:t>compliance</w:t>
      </w:r>
      <w:r w:rsidR="00A64748">
        <w:rPr>
          <w:rFonts w:ascii="Arial" w:hAnsi="Arial" w:cs="Arial"/>
          <w:sz w:val="20"/>
          <w:szCs w:val="20"/>
        </w:rPr>
        <w:t xml:space="preserve"> assurance</w:t>
      </w:r>
      <w:r w:rsidR="00850EB1">
        <w:rPr>
          <w:rFonts w:ascii="Arial" w:hAnsi="Arial" w:cs="Arial"/>
          <w:sz w:val="20"/>
          <w:szCs w:val="20"/>
        </w:rPr>
        <w:t xml:space="preserve"> approach </w:t>
      </w:r>
      <w:r w:rsidR="00FC66C3" w:rsidRPr="003F5B91">
        <w:rPr>
          <w:rFonts w:ascii="Arial" w:hAnsi="Arial" w:cs="Arial"/>
          <w:sz w:val="20"/>
          <w:szCs w:val="20"/>
        </w:rPr>
        <w:t>managed by the NHVR</w:t>
      </w:r>
      <w:r w:rsidRPr="003F5B91">
        <w:rPr>
          <w:rFonts w:ascii="Arial" w:hAnsi="Arial" w:cs="Arial"/>
          <w:sz w:val="20"/>
          <w:szCs w:val="20"/>
        </w:rPr>
        <w:t xml:space="preserve"> </w:t>
      </w:r>
      <w:r w:rsidR="00850EB1">
        <w:rPr>
          <w:rFonts w:ascii="Arial" w:hAnsi="Arial" w:cs="Arial"/>
          <w:sz w:val="20"/>
          <w:szCs w:val="20"/>
        </w:rPr>
        <w:t>that</w:t>
      </w:r>
      <w:r w:rsidRPr="003F5B91">
        <w:rPr>
          <w:rFonts w:ascii="Arial" w:hAnsi="Arial" w:cs="Arial"/>
          <w:sz w:val="20"/>
          <w:szCs w:val="20"/>
        </w:rPr>
        <w:t xml:space="preserve"> protects </w:t>
      </w:r>
      <w:r w:rsidR="00FC66C3" w:rsidRPr="003F5B91">
        <w:rPr>
          <w:rFonts w:ascii="Arial" w:hAnsi="Arial" w:cs="Arial"/>
          <w:sz w:val="20"/>
          <w:szCs w:val="20"/>
        </w:rPr>
        <w:t xml:space="preserve">road </w:t>
      </w:r>
      <w:r w:rsidRPr="003F5B91">
        <w:rPr>
          <w:rFonts w:ascii="Arial" w:hAnsi="Arial" w:cs="Arial"/>
          <w:sz w:val="20"/>
          <w:szCs w:val="20"/>
        </w:rPr>
        <w:t>infrastructure and safety</w:t>
      </w:r>
      <w:r w:rsidR="00B206AD">
        <w:rPr>
          <w:rFonts w:ascii="Arial" w:hAnsi="Arial" w:cs="Arial"/>
          <w:sz w:val="20"/>
          <w:szCs w:val="20"/>
        </w:rPr>
        <w:t xml:space="preserve">, </w:t>
      </w:r>
      <w:r w:rsidRPr="003F5B91">
        <w:rPr>
          <w:rFonts w:ascii="Arial" w:hAnsi="Arial" w:cs="Arial"/>
          <w:sz w:val="20"/>
          <w:szCs w:val="20"/>
        </w:rPr>
        <w:t xml:space="preserve">aids freight efficiency and reduces the costs of road transport. </w:t>
      </w:r>
      <w:r w:rsidR="00BA3807" w:rsidRPr="003F5B91">
        <w:rPr>
          <w:rFonts w:ascii="Arial" w:hAnsi="Arial" w:cs="Arial"/>
          <w:sz w:val="20"/>
          <w:szCs w:val="20"/>
        </w:rPr>
        <w:t xml:space="preserve">The three tier network approach, notices and </w:t>
      </w:r>
      <w:r w:rsidR="00F66E03" w:rsidRPr="003F5B91">
        <w:rPr>
          <w:rFonts w:ascii="Arial" w:hAnsi="Arial" w:cs="Arial"/>
          <w:sz w:val="20"/>
          <w:szCs w:val="20"/>
        </w:rPr>
        <w:t>permit</w:t>
      </w:r>
      <w:r w:rsidR="00BA3807" w:rsidRPr="003F5B91">
        <w:rPr>
          <w:rFonts w:ascii="Arial" w:hAnsi="Arial" w:cs="Arial"/>
          <w:sz w:val="20"/>
          <w:szCs w:val="20"/>
        </w:rPr>
        <w:t xml:space="preserve"> schemes and PBS </w:t>
      </w:r>
      <w:r w:rsidR="00F66E03" w:rsidRPr="003F5B91">
        <w:rPr>
          <w:rFonts w:ascii="Arial" w:hAnsi="Arial" w:cs="Arial"/>
          <w:sz w:val="20"/>
          <w:szCs w:val="20"/>
        </w:rPr>
        <w:t>innovation</w:t>
      </w:r>
      <w:r w:rsidR="00BA3807" w:rsidRPr="003F5B91">
        <w:rPr>
          <w:rFonts w:ascii="Arial" w:hAnsi="Arial" w:cs="Arial"/>
          <w:sz w:val="20"/>
          <w:szCs w:val="20"/>
        </w:rPr>
        <w:t xml:space="preserve"> </w:t>
      </w:r>
      <w:r w:rsidR="00F66E03" w:rsidRPr="003F5B91">
        <w:rPr>
          <w:rFonts w:ascii="Arial" w:hAnsi="Arial" w:cs="Arial"/>
          <w:sz w:val="20"/>
          <w:szCs w:val="20"/>
        </w:rPr>
        <w:t>assessment</w:t>
      </w:r>
      <w:r w:rsidR="00BA3807" w:rsidRPr="003F5B91">
        <w:rPr>
          <w:rFonts w:ascii="Arial" w:hAnsi="Arial" w:cs="Arial"/>
          <w:sz w:val="20"/>
          <w:szCs w:val="20"/>
        </w:rPr>
        <w:t xml:space="preserve"> tools offer sound access </w:t>
      </w:r>
      <w:r w:rsidR="00F66E03" w:rsidRPr="003F5B91">
        <w:rPr>
          <w:rFonts w:ascii="Arial" w:hAnsi="Arial" w:cs="Arial"/>
          <w:sz w:val="20"/>
          <w:szCs w:val="20"/>
        </w:rPr>
        <w:t>management</w:t>
      </w:r>
      <w:r w:rsidR="006B7D76">
        <w:rPr>
          <w:rFonts w:ascii="Arial" w:hAnsi="Arial" w:cs="Arial"/>
          <w:sz w:val="20"/>
          <w:szCs w:val="20"/>
        </w:rPr>
        <w:t xml:space="preserve"> if administered well. </w:t>
      </w:r>
      <w:r w:rsidR="00BA3807" w:rsidRPr="003F5B91">
        <w:rPr>
          <w:rFonts w:ascii="Arial" w:hAnsi="Arial" w:cs="Arial"/>
          <w:sz w:val="20"/>
          <w:szCs w:val="20"/>
        </w:rPr>
        <w:t>The NHVR is an important step towards access management</w:t>
      </w:r>
      <w:r w:rsidR="006B7D76">
        <w:rPr>
          <w:rFonts w:ascii="Arial" w:hAnsi="Arial" w:cs="Arial"/>
          <w:sz w:val="20"/>
          <w:szCs w:val="20"/>
        </w:rPr>
        <w:t xml:space="preserve"> and its </w:t>
      </w:r>
      <w:r w:rsidR="00BA3807" w:rsidRPr="003F5B91">
        <w:rPr>
          <w:rFonts w:ascii="Arial" w:hAnsi="Arial" w:cs="Arial"/>
          <w:sz w:val="20"/>
          <w:szCs w:val="20"/>
        </w:rPr>
        <w:t xml:space="preserve">progress </w:t>
      </w:r>
      <w:r w:rsidR="005E739B" w:rsidRPr="003F5B91">
        <w:rPr>
          <w:rFonts w:ascii="Arial" w:hAnsi="Arial" w:cs="Arial"/>
          <w:sz w:val="20"/>
          <w:szCs w:val="20"/>
        </w:rPr>
        <w:t>on this area</w:t>
      </w:r>
      <w:r w:rsidR="00BA3807" w:rsidRPr="003F5B91">
        <w:rPr>
          <w:rFonts w:ascii="Arial" w:hAnsi="Arial" w:cs="Arial"/>
          <w:sz w:val="20"/>
          <w:szCs w:val="20"/>
        </w:rPr>
        <w:t xml:space="preserve"> would be improved </w:t>
      </w:r>
      <w:r w:rsidR="00F66E03" w:rsidRPr="003F5B91">
        <w:rPr>
          <w:rFonts w:ascii="Arial" w:hAnsi="Arial" w:cs="Arial"/>
          <w:sz w:val="20"/>
          <w:szCs w:val="20"/>
        </w:rPr>
        <w:t xml:space="preserve">with external review of access decisions. </w:t>
      </w:r>
      <w:r w:rsidR="00621FC6">
        <w:rPr>
          <w:rFonts w:ascii="Arial" w:hAnsi="Arial" w:cs="Arial"/>
          <w:sz w:val="20"/>
          <w:szCs w:val="20"/>
        </w:rPr>
        <w:t xml:space="preserve">Mandatory </w:t>
      </w:r>
      <w:r w:rsidR="000D38DA">
        <w:rPr>
          <w:rFonts w:ascii="Arial" w:hAnsi="Arial" w:cs="Arial"/>
          <w:sz w:val="20"/>
          <w:szCs w:val="20"/>
        </w:rPr>
        <w:t>application</w:t>
      </w:r>
      <w:r w:rsidR="00621FC6">
        <w:rPr>
          <w:rFonts w:ascii="Arial" w:hAnsi="Arial" w:cs="Arial"/>
          <w:sz w:val="20"/>
          <w:szCs w:val="20"/>
        </w:rPr>
        <w:t xml:space="preserve"> of</w:t>
      </w:r>
      <w:r w:rsidR="00621FC6" w:rsidRPr="003F5B91">
        <w:rPr>
          <w:rFonts w:ascii="Arial" w:hAnsi="Arial" w:cs="Arial"/>
          <w:sz w:val="20"/>
          <w:szCs w:val="20"/>
        </w:rPr>
        <w:t xml:space="preserve"> </w:t>
      </w:r>
      <w:r w:rsidR="003F5B91">
        <w:rPr>
          <w:rFonts w:ascii="Arial" w:hAnsi="Arial" w:cs="Arial"/>
          <w:sz w:val="20"/>
          <w:szCs w:val="20"/>
        </w:rPr>
        <w:t xml:space="preserve">monitoring </w:t>
      </w:r>
      <w:r w:rsidR="00F66E03" w:rsidRPr="003F5B91">
        <w:rPr>
          <w:rFonts w:ascii="Arial" w:hAnsi="Arial" w:cs="Arial"/>
          <w:sz w:val="20"/>
          <w:szCs w:val="20"/>
        </w:rPr>
        <w:t>technolog</w:t>
      </w:r>
      <w:r w:rsidR="006B7D76">
        <w:rPr>
          <w:rFonts w:ascii="Arial" w:hAnsi="Arial" w:cs="Arial"/>
          <w:sz w:val="20"/>
          <w:szCs w:val="20"/>
        </w:rPr>
        <w:t xml:space="preserve">ies </w:t>
      </w:r>
      <w:r w:rsidR="00621FC6">
        <w:rPr>
          <w:rFonts w:ascii="Arial" w:hAnsi="Arial" w:cs="Arial"/>
          <w:sz w:val="20"/>
          <w:szCs w:val="20"/>
        </w:rPr>
        <w:t xml:space="preserve">is </w:t>
      </w:r>
      <w:r w:rsidR="005E739B" w:rsidRPr="003F5B91">
        <w:rPr>
          <w:rFonts w:ascii="Arial" w:hAnsi="Arial" w:cs="Arial"/>
          <w:sz w:val="20"/>
          <w:szCs w:val="20"/>
        </w:rPr>
        <w:t>neither</w:t>
      </w:r>
      <w:r w:rsidR="00F66E03" w:rsidRPr="003F5B91">
        <w:rPr>
          <w:rFonts w:ascii="Arial" w:hAnsi="Arial" w:cs="Arial"/>
          <w:sz w:val="20"/>
          <w:szCs w:val="20"/>
        </w:rPr>
        <w:t xml:space="preserve"> </w:t>
      </w:r>
      <w:r w:rsidR="00DB5CA0">
        <w:rPr>
          <w:rFonts w:ascii="Arial" w:hAnsi="Arial" w:cs="Arial"/>
          <w:sz w:val="20"/>
          <w:szCs w:val="20"/>
        </w:rPr>
        <w:t>necessary</w:t>
      </w:r>
      <w:r w:rsidR="00F66E03" w:rsidRPr="003F5B91">
        <w:rPr>
          <w:rFonts w:ascii="Arial" w:hAnsi="Arial" w:cs="Arial"/>
          <w:sz w:val="20"/>
          <w:szCs w:val="20"/>
        </w:rPr>
        <w:t xml:space="preserve"> nor desirable for </w:t>
      </w:r>
      <w:r w:rsidR="005E739B" w:rsidRPr="003F5B91">
        <w:rPr>
          <w:rFonts w:ascii="Arial" w:hAnsi="Arial" w:cs="Arial"/>
          <w:sz w:val="20"/>
          <w:szCs w:val="20"/>
        </w:rPr>
        <w:t xml:space="preserve">ensuring </w:t>
      </w:r>
      <w:r w:rsidR="00F66E03" w:rsidRPr="003F5B91">
        <w:rPr>
          <w:rFonts w:ascii="Arial" w:hAnsi="Arial" w:cs="Arial"/>
          <w:sz w:val="20"/>
          <w:szCs w:val="20"/>
        </w:rPr>
        <w:t>compliance</w:t>
      </w:r>
      <w:r w:rsidR="005E739B" w:rsidRPr="003F5B91">
        <w:rPr>
          <w:rFonts w:ascii="Arial" w:hAnsi="Arial" w:cs="Arial"/>
          <w:sz w:val="20"/>
          <w:szCs w:val="20"/>
        </w:rPr>
        <w:t xml:space="preserve"> of the national fleet</w:t>
      </w:r>
      <w:r w:rsidR="00F66E03" w:rsidRPr="003F5B91">
        <w:rPr>
          <w:rFonts w:ascii="Arial" w:hAnsi="Arial" w:cs="Arial"/>
          <w:sz w:val="20"/>
          <w:szCs w:val="20"/>
        </w:rPr>
        <w:t>.</w:t>
      </w:r>
    </w:p>
    <w:p w:rsidR="00B16A75" w:rsidRPr="003F5B91" w:rsidRDefault="00B16A75" w:rsidP="00E352AD">
      <w:pPr>
        <w:spacing w:after="0" w:line="240" w:lineRule="auto"/>
        <w:contextualSpacing/>
        <w:jc w:val="both"/>
        <w:rPr>
          <w:rFonts w:ascii="Arial" w:hAnsi="Arial" w:cs="Arial"/>
          <w:sz w:val="20"/>
          <w:szCs w:val="20"/>
        </w:rPr>
      </w:pPr>
    </w:p>
    <w:p w:rsidR="00621FC6" w:rsidRDefault="00B16A75" w:rsidP="00C91C33">
      <w:pPr>
        <w:spacing w:after="0" w:line="240" w:lineRule="auto"/>
        <w:contextualSpacing/>
        <w:jc w:val="both"/>
        <w:rPr>
          <w:rFonts w:ascii="Arial" w:hAnsi="Arial" w:cs="Arial"/>
          <w:sz w:val="20"/>
          <w:szCs w:val="20"/>
        </w:rPr>
      </w:pPr>
      <w:r w:rsidRPr="003F5B91">
        <w:rPr>
          <w:rFonts w:ascii="Arial" w:hAnsi="Arial" w:cs="Arial"/>
          <w:sz w:val="20"/>
          <w:szCs w:val="20"/>
        </w:rPr>
        <w:t>The IAP should be reformed as recommended</w:t>
      </w:r>
      <w:r w:rsidR="00193F69">
        <w:rPr>
          <w:rFonts w:ascii="Arial" w:hAnsi="Arial" w:cs="Arial"/>
          <w:sz w:val="20"/>
          <w:szCs w:val="20"/>
        </w:rPr>
        <w:t xml:space="preserve"> by the </w:t>
      </w:r>
      <w:r w:rsidR="00124C78">
        <w:rPr>
          <w:rFonts w:ascii="Arial" w:hAnsi="Arial" w:cs="Arial"/>
          <w:sz w:val="20"/>
          <w:szCs w:val="20"/>
        </w:rPr>
        <w:t>ATA</w:t>
      </w:r>
      <w:r w:rsidRPr="003F5B91">
        <w:rPr>
          <w:rFonts w:ascii="Arial" w:hAnsi="Arial" w:cs="Arial"/>
          <w:sz w:val="20"/>
          <w:szCs w:val="20"/>
        </w:rPr>
        <w:t>.</w:t>
      </w:r>
    </w:p>
    <w:p w:rsidR="00410A62" w:rsidRDefault="00410A62" w:rsidP="00410A62">
      <w:pPr>
        <w:autoSpaceDE w:val="0"/>
        <w:autoSpaceDN w:val="0"/>
        <w:adjustRightInd w:val="0"/>
        <w:spacing w:after="0" w:line="240" w:lineRule="auto"/>
        <w:contextualSpacing/>
        <w:jc w:val="both"/>
        <w:rPr>
          <w:rFonts w:ascii="Arial" w:hAnsi="Arial" w:cs="Arial"/>
          <w:b/>
          <w:sz w:val="20"/>
          <w:szCs w:val="20"/>
          <w:highlight w:val="white"/>
        </w:rPr>
      </w:pPr>
    </w:p>
    <w:p w:rsidR="00325BB4" w:rsidRPr="005A6216" w:rsidRDefault="00325BB4" w:rsidP="00325BB4">
      <w:pPr>
        <w:autoSpaceDE w:val="0"/>
        <w:autoSpaceDN w:val="0"/>
        <w:adjustRightInd w:val="0"/>
        <w:spacing w:after="0" w:line="240" w:lineRule="auto"/>
        <w:contextualSpacing/>
        <w:jc w:val="both"/>
        <w:rPr>
          <w:rFonts w:ascii="Arial" w:hAnsi="Arial" w:cs="Arial"/>
          <w:sz w:val="20"/>
          <w:szCs w:val="20"/>
        </w:rPr>
      </w:pPr>
      <w:r w:rsidRPr="005A6216">
        <w:rPr>
          <w:rFonts w:ascii="Arial" w:hAnsi="Arial" w:cs="Arial"/>
          <w:b/>
          <w:sz w:val="20"/>
          <w:szCs w:val="20"/>
          <w:highlight w:val="white"/>
        </w:rPr>
        <w:t xml:space="preserve">Recommendation </w:t>
      </w:r>
      <w:r>
        <w:rPr>
          <w:rFonts w:ascii="Arial" w:hAnsi="Arial" w:cs="Arial"/>
          <w:b/>
          <w:sz w:val="20"/>
          <w:szCs w:val="20"/>
        </w:rPr>
        <w:t>1</w:t>
      </w:r>
      <w:r w:rsidRPr="005A6216">
        <w:rPr>
          <w:rFonts w:ascii="Arial" w:hAnsi="Arial" w:cs="Arial"/>
          <w:sz w:val="20"/>
          <w:szCs w:val="20"/>
        </w:rPr>
        <w:t xml:space="preserve"> </w:t>
      </w:r>
    </w:p>
    <w:p w:rsidR="00325BB4" w:rsidRPr="005A6216" w:rsidRDefault="00325BB4" w:rsidP="00325BB4">
      <w:pPr>
        <w:spacing w:after="0" w:line="240" w:lineRule="auto"/>
        <w:contextualSpacing/>
        <w:jc w:val="both"/>
        <w:rPr>
          <w:rFonts w:ascii="Arial" w:eastAsia="Times New Roman" w:hAnsi="Arial" w:cs="Arial"/>
          <w:sz w:val="20"/>
          <w:szCs w:val="20"/>
        </w:rPr>
      </w:pPr>
      <w:r>
        <w:rPr>
          <w:rFonts w:ascii="Arial" w:eastAsia="Times New Roman" w:hAnsi="Arial" w:cs="Arial"/>
          <w:sz w:val="20"/>
          <w:szCs w:val="20"/>
        </w:rPr>
        <w:t xml:space="preserve">The ATA accepts the need for route compliance assurance as part of a risk-based access management regime. </w:t>
      </w:r>
      <w:r w:rsidRPr="005A6216">
        <w:rPr>
          <w:rFonts w:ascii="Arial" w:eastAsia="Times New Roman" w:hAnsi="Arial" w:cs="Arial"/>
          <w:sz w:val="20"/>
          <w:szCs w:val="20"/>
        </w:rPr>
        <w:t>A</w:t>
      </w:r>
      <w:r>
        <w:rPr>
          <w:rFonts w:ascii="Arial" w:eastAsia="Times New Roman" w:hAnsi="Arial" w:cs="Arial"/>
          <w:sz w:val="20"/>
          <w:szCs w:val="20"/>
        </w:rPr>
        <w:t>ccordingly,</w:t>
      </w:r>
      <w:r w:rsidRPr="005A6216">
        <w:rPr>
          <w:rFonts w:ascii="Arial" w:eastAsia="Times New Roman" w:hAnsi="Arial" w:cs="Arial"/>
          <w:sz w:val="20"/>
          <w:szCs w:val="20"/>
        </w:rPr>
        <w:t xml:space="preserve"> </w:t>
      </w:r>
      <w:r>
        <w:rPr>
          <w:rFonts w:ascii="Arial" w:eastAsia="Times New Roman" w:hAnsi="Arial" w:cs="Arial"/>
          <w:sz w:val="20"/>
          <w:szCs w:val="20"/>
        </w:rPr>
        <w:t xml:space="preserve">it is recommended that a </w:t>
      </w:r>
      <w:r w:rsidRPr="005A6216">
        <w:rPr>
          <w:rFonts w:ascii="Arial" w:eastAsia="Times New Roman" w:hAnsi="Arial" w:cs="Arial"/>
          <w:sz w:val="20"/>
          <w:szCs w:val="20"/>
        </w:rPr>
        <w:t xml:space="preserve">truly voluntary </w:t>
      </w:r>
      <w:r>
        <w:rPr>
          <w:rFonts w:ascii="Arial" w:eastAsia="Times New Roman" w:hAnsi="Arial" w:cs="Arial"/>
          <w:sz w:val="20"/>
          <w:szCs w:val="20"/>
        </w:rPr>
        <w:t xml:space="preserve">compliance </w:t>
      </w:r>
      <w:r w:rsidRPr="005A6216">
        <w:rPr>
          <w:rFonts w:ascii="Arial" w:eastAsia="Times New Roman" w:hAnsi="Arial" w:cs="Arial"/>
          <w:sz w:val="20"/>
          <w:szCs w:val="20"/>
        </w:rPr>
        <w:t>monitoring option is established</w:t>
      </w:r>
      <w:r>
        <w:rPr>
          <w:rFonts w:ascii="Arial" w:eastAsia="Times New Roman" w:hAnsi="Arial" w:cs="Arial"/>
          <w:sz w:val="20"/>
          <w:szCs w:val="20"/>
        </w:rPr>
        <w:t>,</w:t>
      </w:r>
      <w:r w:rsidRPr="005A6216">
        <w:rPr>
          <w:rFonts w:ascii="Arial" w:eastAsia="Times New Roman" w:hAnsi="Arial" w:cs="Arial"/>
          <w:sz w:val="20"/>
          <w:szCs w:val="20"/>
        </w:rPr>
        <w:t xml:space="preserve"> with an open standard</w:t>
      </w:r>
      <w:r>
        <w:rPr>
          <w:rFonts w:ascii="Arial" w:eastAsia="Times New Roman" w:hAnsi="Arial" w:cs="Arial"/>
          <w:sz w:val="20"/>
          <w:szCs w:val="20"/>
        </w:rPr>
        <w:t xml:space="preserve"> for vehicle devices</w:t>
      </w:r>
      <w:r w:rsidRPr="005A6216">
        <w:rPr>
          <w:rFonts w:ascii="Arial" w:eastAsia="Times New Roman" w:hAnsi="Arial" w:cs="Arial"/>
          <w:sz w:val="20"/>
          <w:szCs w:val="20"/>
        </w:rPr>
        <w:t xml:space="preserve"> and first party compliance obligations. This </w:t>
      </w:r>
      <w:r>
        <w:rPr>
          <w:rFonts w:ascii="Arial" w:eastAsia="Times New Roman" w:hAnsi="Arial" w:cs="Arial"/>
          <w:sz w:val="20"/>
          <w:szCs w:val="20"/>
        </w:rPr>
        <w:t>would allow</w:t>
      </w:r>
      <w:r w:rsidRPr="005A6216">
        <w:rPr>
          <w:rFonts w:ascii="Arial" w:eastAsia="Times New Roman" w:hAnsi="Arial" w:cs="Arial"/>
          <w:sz w:val="20"/>
          <w:szCs w:val="20"/>
        </w:rPr>
        <w:t xml:space="preserve"> operators who wish to use technology to satisfy compliance duties </w:t>
      </w:r>
      <w:r>
        <w:rPr>
          <w:rFonts w:ascii="Arial" w:eastAsia="Times New Roman" w:hAnsi="Arial" w:cs="Arial"/>
          <w:sz w:val="20"/>
          <w:szCs w:val="20"/>
        </w:rPr>
        <w:t xml:space="preserve">to </w:t>
      </w:r>
      <w:r w:rsidRPr="005A6216">
        <w:rPr>
          <w:rFonts w:ascii="Arial" w:eastAsia="Times New Roman" w:hAnsi="Arial" w:cs="Arial"/>
          <w:sz w:val="20"/>
          <w:szCs w:val="20"/>
        </w:rPr>
        <w:t>do so w</w:t>
      </w:r>
      <w:r>
        <w:rPr>
          <w:rFonts w:ascii="Arial" w:eastAsia="Times New Roman" w:hAnsi="Arial" w:cs="Arial"/>
          <w:sz w:val="20"/>
          <w:szCs w:val="20"/>
        </w:rPr>
        <w:t xml:space="preserve">ith comfort </w:t>
      </w:r>
      <w:r w:rsidR="00A53012">
        <w:rPr>
          <w:rFonts w:ascii="Arial" w:eastAsia="Times New Roman" w:hAnsi="Arial" w:cs="Arial"/>
          <w:sz w:val="20"/>
          <w:szCs w:val="20"/>
        </w:rPr>
        <w:t xml:space="preserve">that </w:t>
      </w:r>
      <w:r>
        <w:rPr>
          <w:rFonts w:ascii="Arial" w:eastAsia="Times New Roman" w:hAnsi="Arial" w:cs="Arial"/>
          <w:sz w:val="20"/>
          <w:szCs w:val="20"/>
        </w:rPr>
        <w:t>the technology attracts</w:t>
      </w:r>
      <w:r w:rsidRPr="005A6216">
        <w:rPr>
          <w:rFonts w:ascii="Arial" w:eastAsia="Times New Roman" w:hAnsi="Arial" w:cs="Arial"/>
          <w:sz w:val="20"/>
          <w:szCs w:val="20"/>
        </w:rPr>
        <w:t xml:space="preserve"> a presumption of accuracy.</w:t>
      </w:r>
    </w:p>
    <w:p w:rsidR="00325BB4" w:rsidRDefault="00325BB4" w:rsidP="00325BB4">
      <w:pPr>
        <w:autoSpaceDE w:val="0"/>
        <w:autoSpaceDN w:val="0"/>
        <w:adjustRightInd w:val="0"/>
        <w:spacing w:after="0" w:line="240" w:lineRule="auto"/>
        <w:contextualSpacing/>
        <w:jc w:val="both"/>
        <w:rPr>
          <w:rFonts w:ascii="Arial" w:hAnsi="Arial" w:cs="Arial"/>
          <w:b/>
          <w:sz w:val="20"/>
          <w:szCs w:val="20"/>
          <w:highlight w:val="white"/>
        </w:rPr>
      </w:pPr>
    </w:p>
    <w:p w:rsidR="00325BB4" w:rsidRPr="005A6216" w:rsidRDefault="00325BB4" w:rsidP="00325BB4">
      <w:pPr>
        <w:autoSpaceDE w:val="0"/>
        <w:autoSpaceDN w:val="0"/>
        <w:adjustRightInd w:val="0"/>
        <w:spacing w:after="0" w:line="240" w:lineRule="auto"/>
        <w:contextualSpacing/>
        <w:jc w:val="both"/>
        <w:rPr>
          <w:rFonts w:ascii="Arial" w:hAnsi="Arial" w:cs="Arial"/>
          <w:sz w:val="20"/>
          <w:szCs w:val="20"/>
        </w:rPr>
      </w:pPr>
      <w:r w:rsidRPr="005A6216">
        <w:rPr>
          <w:rFonts w:ascii="Arial" w:hAnsi="Arial" w:cs="Arial"/>
          <w:b/>
          <w:sz w:val="20"/>
          <w:szCs w:val="20"/>
          <w:highlight w:val="white"/>
        </w:rPr>
        <w:t xml:space="preserve">Recommendation </w:t>
      </w:r>
      <w:r>
        <w:rPr>
          <w:rFonts w:ascii="Arial" w:hAnsi="Arial" w:cs="Arial"/>
          <w:b/>
          <w:sz w:val="20"/>
          <w:szCs w:val="20"/>
        </w:rPr>
        <w:t>2</w:t>
      </w:r>
      <w:r w:rsidRPr="005A6216">
        <w:rPr>
          <w:rFonts w:ascii="Arial" w:hAnsi="Arial" w:cs="Arial"/>
          <w:sz w:val="20"/>
          <w:szCs w:val="20"/>
        </w:rPr>
        <w:t xml:space="preserve"> </w:t>
      </w:r>
    </w:p>
    <w:p w:rsidR="00325BB4" w:rsidRPr="005A6216" w:rsidRDefault="00325BB4" w:rsidP="00325BB4">
      <w:pPr>
        <w:spacing w:after="0" w:line="240" w:lineRule="auto"/>
        <w:contextualSpacing/>
        <w:jc w:val="both"/>
        <w:rPr>
          <w:rFonts w:ascii="Arial" w:eastAsia="Times New Roman" w:hAnsi="Arial" w:cs="Arial"/>
          <w:sz w:val="20"/>
          <w:szCs w:val="20"/>
        </w:rPr>
      </w:pPr>
      <w:r w:rsidRPr="005A6216">
        <w:rPr>
          <w:rFonts w:ascii="Arial" w:eastAsia="Times New Roman" w:hAnsi="Arial" w:cs="Arial"/>
          <w:sz w:val="20"/>
          <w:szCs w:val="20"/>
        </w:rPr>
        <w:t>Vehicles operating at H</w:t>
      </w:r>
      <w:r>
        <w:rPr>
          <w:rFonts w:ascii="Arial" w:eastAsia="Times New Roman" w:hAnsi="Arial" w:cs="Arial"/>
          <w:sz w:val="20"/>
          <w:szCs w:val="20"/>
        </w:rPr>
        <w:t>igher Mass Limits (H</w:t>
      </w:r>
      <w:r w:rsidRPr="005A6216">
        <w:rPr>
          <w:rFonts w:ascii="Arial" w:eastAsia="Times New Roman" w:hAnsi="Arial" w:cs="Arial"/>
          <w:sz w:val="20"/>
          <w:szCs w:val="20"/>
        </w:rPr>
        <w:t>ML</w:t>
      </w:r>
      <w:r>
        <w:rPr>
          <w:rFonts w:ascii="Arial" w:eastAsia="Times New Roman" w:hAnsi="Arial" w:cs="Arial"/>
          <w:sz w:val="20"/>
          <w:szCs w:val="20"/>
        </w:rPr>
        <w:t>)</w:t>
      </w:r>
      <w:r w:rsidRPr="005A6216">
        <w:rPr>
          <w:rFonts w:ascii="Arial" w:eastAsia="Times New Roman" w:hAnsi="Arial" w:cs="Arial"/>
          <w:sz w:val="20"/>
          <w:szCs w:val="20"/>
        </w:rPr>
        <w:t xml:space="preserve">; </w:t>
      </w:r>
      <w:r>
        <w:rPr>
          <w:rFonts w:ascii="Arial" w:eastAsia="Times New Roman" w:hAnsi="Arial" w:cs="Arial"/>
          <w:sz w:val="20"/>
          <w:szCs w:val="20"/>
        </w:rPr>
        <w:t>Performance-based Standards (</w:t>
      </w:r>
      <w:r w:rsidRPr="005A6216">
        <w:rPr>
          <w:rFonts w:ascii="Arial" w:eastAsia="Times New Roman" w:hAnsi="Arial" w:cs="Arial"/>
          <w:sz w:val="20"/>
          <w:szCs w:val="20"/>
        </w:rPr>
        <w:t>PBS</w:t>
      </w:r>
      <w:r>
        <w:rPr>
          <w:rFonts w:ascii="Arial" w:eastAsia="Times New Roman" w:hAnsi="Arial" w:cs="Arial"/>
          <w:sz w:val="20"/>
          <w:szCs w:val="20"/>
        </w:rPr>
        <w:t>)</w:t>
      </w:r>
      <w:r w:rsidRPr="005A6216">
        <w:rPr>
          <w:rFonts w:ascii="Arial" w:eastAsia="Times New Roman" w:hAnsi="Arial" w:cs="Arial"/>
          <w:sz w:val="20"/>
          <w:szCs w:val="20"/>
        </w:rPr>
        <w:t xml:space="preserve"> combinations; and safe, legal prescriptive combinations (including</w:t>
      </w:r>
      <w:r>
        <w:rPr>
          <w:rFonts w:ascii="Arial" w:eastAsia="Times New Roman" w:hAnsi="Arial" w:cs="Arial"/>
          <w:sz w:val="20"/>
          <w:szCs w:val="20"/>
        </w:rPr>
        <w:t>,</w:t>
      </w:r>
      <w:r w:rsidRPr="005A6216">
        <w:rPr>
          <w:rFonts w:ascii="Arial" w:eastAsia="Times New Roman" w:hAnsi="Arial" w:cs="Arial"/>
          <w:sz w:val="20"/>
          <w:szCs w:val="20"/>
        </w:rPr>
        <w:t xml:space="preserve"> but not only</w:t>
      </w:r>
      <w:r>
        <w:rPr>
          <w:rFonts w:ascii="Arial" w:eastAsia="Times New Roman" w:hAnsi="Arial" w:cs="Arial"/>
          <w:sz w:val="20"/>
          <w:szCs w:val="20"/>
        </w:rPr>
        <w:t>,</w:t>
      </w:r>
      <w:r w:rsidRPr="005A6216">
        <w:rPr>
          <w:rFonts w:ascii="Arial" w:eastAsia="Times New Roman" w:hAnsi="Arial" w:cs="Arial"/>
          <w:sz w:val="20"/>
          <w:szCs w:val="20"/>
        </w:rPr>
        <w:t xml:space="preserve"> </w:t>
      </w:r>
      <w:r>
        <w:rPr>
          <w:rFonts w:ascii="Arial" w:eastAsia="Times New Roman" w:hAnsi="Arial" w:cs="Arial"/>
          <w:sz w:val="20"/>
          <w:szCs w:val="20"/>
        </w:rPr>
        <w:t xml:space="preserve">modular </w:t>
      </w:r>
      <w:r w:rsidRPr="005A6216">
        <w:rPr>
          <w:rFonts w:ascii="Arial" w:eastAsia="Times New Roman" w:hAnsi="Arial" w:cs="Arial"/>
          <w:sz w:val="20"/>
          <w:szCs w:val="20"/>
        </w:rPr>
        <w:t xml:space="preserve">B-triples and AB-triples) </w:t>
      </w:r>
      <w:r>
        <w:rPr>
          <w:rFonts w:ascii="Arial" w:eastAsia="Times New Roman" w:hAnsi="Arial" w:cs="Arial"/>
          <w:sz w:val="20"/>
          <w:szCs w:val="20"/>
        </w:rPr>
        <w:t xml:space="preserve">should </w:t>
      </w:r>
      <w:r w:rsidRPr="005A6216">
        <w:rPr>
          <w:rFonts w:ascii="Arial" w:eastAsia="Times New Roman" w:hAnsi="Arial" w:cs="Arial"/>
          <w:sz w:val="20"/>
          <w:szCs w:val="20"/>
        </w:rPr>
        <w:t xml:space="preserve">travel under notices and attract no </w:t>
      </w:r>
      <w:r>
        <w:rPr>
          <w:rFonts w:ascii="Arial" w:eastAsia="Times New Roman" w:hAnsi="Arial" w:cs="Arial"/>
          <w:sz w:val="20"/>
          <w:szCs w:val="20"/>
        </w:rPr>
        <w:t>mandatory monitoring</w:t>
      </w:r>
      <w:r w:rsidRPr="00BB34F5">
        <w:rPr>
          <w:rFonts w:ascii="Arial" w:eastAsia="Times New Roman" w:hAnsi="Arial" w:cs="Arial"/>
          <w:sz w:val="20"/>
          <w:szCs w:val="20"/>
        </w:rPr>
        <w:t xml:space="preserve"> </w:t>
      </w:r>
      <w:r>
        <w:rPr>
          <w:rFonts w:ascii="Arial" w:eastAsia="Times New Roman" w:hAnsi="Arial" w:cs="Arial"/>
          <w:sz w:val="20"/>
          <w:szCs w:val="20"/>
        </w:rPr>
        <w:t xml:space="preserve">under the </w:t>
      </w:r>
      <w:r w:rsidRPr="005A6216">
        <w:rPr>
          <w:rFonts w:ascii="Arial" w:eastAsia="Times New Roman" w:hAnsi="Arial" w:cs="Arial"/>
          <w:sz w:val="20"/>
          <w:szCs w:val="20"/>
        </w:rPr>
        <w:t>IAP.</w:t>
      </w:r>
    </w:p>
    <w:p w:rsidR="00325BB4" w:rsidRPr="005A6216" w:rsidRDefault="00325BB4" w:rsidP="00325BB4">
      <w:pPr>
        <w:autoSpaceDE w:val="0"/>
        <w:autoSpaceDN w:val="0"/>
        <w:adjustRightInd w:val="0"/>
        <w:spacing w:after="0" w:line="240" w:lineRule="auto"/>
        <w:contextualSpacing/>
        <w:jc w:val="both"/>
        <w:rPr>
          <w:rFonts w:ascii="Arial" w:hAnsi="Arial" w:cs="Arial"/>
          <w:b/>
          <w:sz w:val="20"/>
          <w:szCs w:val="20"/>
          <w:highlight w:val="white"/>
        </w:rPr>
      </w:pPr>
    </w:p>
    <w:p w:rsidR="00325BB4" w:rsidRPr="005A6216" w:rsidRDefault="00325BB4" w:rsidP="00325BB4">
      <w:pPr>
        <w:autoSpaceDE w:val="0"/>
        <w:autoSpaceDN w:val="0"/>
        <w:adjustRightInd w:val="0"/>
        <w:spacing w:after="0" w:line="240" w:lineRule="auto"/>
        <w:contextualSpacing/>
        <w:jc w:val="both"/>
        <w:rPr>
          <w:rFonts w:ascii="Arial" w:hAnsi="Arial" w:cs="Arial"/>
          <w:sz w:val="20"/>
          <w:szCs w:val="20"/>
        </w:rPr>
      </w:pPr>
      <w:r w:rsidRPr="005A6216">
        <w:rPr>
          <w:rFonts w:ascii="Arial" w:hAnsi="Arial" w:cs="Arial"/>
          <w:b/>
          <w:sz w:val="20"/>
          <w:szCs w:val="20"/>
          <w:highlight w:val="white"/>
        </w:rPr>
        <w:t xml:space="preserve">Recommendation </w:t>
      </w:r>
      <w:r>
        <w:rPr>
          <w:rFonts w:ascii="Arial" w:hAnsi="Arial" w:cs="Arial"/>
          <w:b/>
          <w:sz w:val="20"/>
          <w:szCs w:val="20"/>
        </w:rPr>
        <w:t>3</w:t>
      </w:r>
      <w:r w:rsidRPr="005A6216">
        <w:rPr>
          <w:rFonts w:ascii="Arial" w:hAnsi="Arial" w:cs="Arial"/>
          <w:sz w:val="20"/>
          <w:szCs w:val="20"/>
        </w:rPr>
        <w:t xml:space="preserve"> </w:t>
      </w:r>
    </w:p>
    <w:p w:rsidR="00325BB4" w:rsidRPr="005A6216" w:rsidRDefault="00325BB4" w:rsidP="00325BB4">
      <w:pPr>
        <w:spacing w:after="0" w:line="240" w:lineRule="auto"/>
        <w:contextualSpacing/>
        <w:jc w:val="both"/>
        <w:rPr>
          <w:rFonts w:ascii="Arial" w:eastAsia="Times New Roman" w:hAnsi="Arial" w:cs="Arial"/>
          <w:sz w:val="20"/>
          <w:szCs w:val="20"/>
        </w:rPr>
      </w:pPr>
      <w:r w:rsidRPr="005A6216">
        <w:rPr>
          <w:rFonts w:ascii="Arial" w:eastAsia="Times New Roman" w:hAnsi="Arial" w:cs="Arial"/>
          <w:sz w:val="20"/>
          <w:szCs w:val="20"/>
        </w:rPr>
        <w:t xml:space="preserve">IAP </w:t>
      </w:r>
      <w:r>
        <w:rPr>
          <w:rFonts w:ascii="Arial" w:eastAsia="Times New Roman" w:hAnsi="Arial" w:cs="Arial"/>
          <w:sz w:val="20"/>
          <w:szCs w:val="20"/>
        </w:rPr>
        <w:t>continues to be</w:t>
      </w:r>
      <w:r w:rsidRPr="005A6216">
        <w:rPr>
          <w:rFonts w:ascii="Arial" w:eastAsia="Times New Roman" w:hAnsi="Arial" w:cs="Arial"/>
          <w:sz w:val="20"/>
          <w:szCs w:val="20"/>
        </w:rPr>
        <w:t xml:space="preserve"> </w:t>
      </w:r>
      <w:r>
        <w:rPr>
          <w:rFonts w:ascii="Arial" w:eastAsia="Times New Roman" w:hAnsi="Arial" w:cs="Arial"/>
          <w:sz w:val="20"/>
          <w:szCs w:val="20"/>
        </w:rPr>
        <w:t xml:space="preserve">available for </w:t>
      </w:r>
      <w:r w:rsidRPr="005A6216">
        <w:rPr>
          <w:rFonts w:ascii="Arial" w:eastAsia="Times New Roman" w:hAnsi="Arial" w:cs="Arial"/>
          <w:sz w:val="20"/>
          <w:szCs w:val="20"/>
        </w:rPr>
        <w:t>movements of high-risk vehicles</w:t>
      </w:r>
      <w:r w:rsidR="00ED75AA">
        <w:rPr>
          <w:rFonts w:ascii="Arial" w:eastAsia="Times New Roman" w:hAnsi="Arial" w:cs="Arial"/>
          <w:sz w:val="20"/>
          <w:szCs w:val="20"/>
        </w:rPr>
        <w:t>,</w:t>
      </w:r>
      <w:r w:rsidRPr="005A6216">
        <w:rPr>
          <w:rFonts w:ascii="Arial" w:eastAsia="Times New Roman" w:hAnsi="Arial" w:cs="Arial"/>
          <w:sz w:val="20"/>
          <w:szCs w:val="20"/>
        </w:rPr>
        <w:t xml:space="preserve"> as an alternative to traditional road authority </w:t>
      </w:r>
      <w:r>
        <w:rPr>
          <w:rFonts w:ascii="Arial" w:eastAsia="Times New Roman" w:hAnsi="Arial" w:cs="Arial"/>
          <w:sz w:val="20"/>
          <w:szCs w:val="20"/>
        </w:rPr>
        <w:t xml:space="preserve">engineering </w:t>
      </w:r>
      <w:r w:rsidRPr="005A6216">
        <w:rPr>
          <w:rFonts w:ascii="Arial" w:eastAsia="Times New Roman" w:hAnsi="Arial" w:cs="Arial"/>
          <w:sz w:val="20"/>
          <w:szCs w:val="20"/>
        </w:rPr>
        <w:t>supervision, and to serious or persistent offenders as directed by a court.</w:t>
      </w:r>
    </w:p>
    <w:p w:rsidR="00325BB4" w:rsidRDefault="00325BB4" w:rsidP="00325BB4">
      <w:pPr>
        <w:autoSpaceDE w:val="0"/>
        <w:autoSpaceDN w:val="0"/>
        <w:adjustRightInd w:val="0"/>
        <w:spacing w:after="0" w:line="240" w:lineRule="auto"/>
        <w:contextualSpacing/>
        <w:jc w:val="both"/>
        <w:rPr>
          <w:rFonts w:ascii="Arial" w:hAnsi="Arial" w:cs="Arial"/>
          <w:b/>
          <w:sz w:val="20"/>
          <w:szCs w:val="20"/>
          <w:highlight w:val="white"/>
        </w:rPr>
      </w:pPr>
    </w:p>
    <w:p w:rsidR="00325BB4" w:rsidRPr="005A6216" w:rsidRDefault="00325BB4" w:rsidP="00325BB4">
      <w:pPr>
        <w:autoSpaceDE w:val="0"/>
        <w:autoSpaceDN w:val="0"/>
        <w:adjustRightInd w:val="0"/>
        <w:spacing w:after="0" w:line="240" w:lineRule="auto"/>
        <w:contextualSpacing/>
        <w:jc w:val="both"/>
        <w:rPr>
          <w:rFonts w:ascii="Arial" w:hAnsi="Arial" w:cs="Arial"/>
          <w:sz w:val="20"/>
          <w:szCs w:val="20"/>
        </w:rPr>
      </w:pPr>
      <w:r w:rsidRPr="005A6216">
        <w:rPr>
          <w:rFonts w:ascii="Arial" w:hAnsi="Arial" w:cs="Arial"/>
          <w:b/>
          <w:sz w:val="20"/>
          <w:szCs w:val="20"/>
          <w:highlight w:val="white"/>
        </w:rPr>
        <w:t xml:space="preserve">Recommendation </w:t>
      </w:r>
      <w:r>
        <w:rPr>
          <w:rFonts w:ascii="Arial" w:hAnsi="Arial" w:cs="Arial"/>
          <w:b/>
          <w:sz w:val="20"/>
          <w:szCs w:val="20"/>
        </w:rPr>
        <w:t>4</w:t>
      </w:r>
      <w:r w:rsidRPr="005A6216">
        <w:rPr>
          <w:rFonts w:ascii="Arial" w:hAnsi="Arial" w:cs="Arial"/>
          <w:sz w:val="20"/>
          <w:szCs w:val="20"/>
        </w:rPr>
        <w:t xml:space="preserve"> </w:t>
      </w:r>
    </w:p>
    <w:p w:rsidR="00325BB4" w:rsidRPr="005A6216" w:rsidRDefault="00325BB4" w:rsidP="00325BB4">
      <w:pPr>
        <w:spacing w:after="0" w:line="240" w:lineRule="auto"/>
        <w:contextualSpacing/>
        <w:jc w:val="both"/>
        <w:rPr>
          <w:rFonts w:ascii="Arial" w:eastAsia="Times New Roman" w:hAnsi="Arial" w:cs="Arial"/>
          <w:sz w:val="20"/>
          <w:szCs w:val="20"/>
        </w:rPr>
      </w:pPr>
      <w:r w:rsidRPr="005A6216">
        <w:rPr>
          <w:rFonts w:ascii="Arial" w:eastAsia="Times New Roman" w:hAnsi="Arial" w:cs="Arial"/>
          <w:sz w:val="20"/>
          <w:szCs w:val="20"/>
        </w:rPr>
        <w:t>Residual IAP monitoring tasks are transferred to a business unit within the NHVR.</w:t>
      </w:r>
    </w:p>
    <w:p w:rsidR="00325BB4" w:rsidRDefault="00325BB4" w:rsidP="00325BB4">
      <w:pPr>
        <w:autoSpaceDE w:val="0"/>
        <w:autoSpaceDN w:val="0"/>
        <w:adjustRightInd w:val="0"/>
        <w:spacing w:after="0" w:line="240" w:lineRule="auto"/>
        <w:contextualSpacing/>
        <w:jc w:val="both"/>
        <w:rPr>
          <w:rFonts w:ascii="Arial" w:hAnsi="Arial" w:cs="Arial"/>
          <w:b/>
          <w:sz w:val="20"/>
          <w:szCs w:val="20"/>
          <w:highlight w:val="white"/>
        </w:rPr>
      </w:pPr>
    </w:p>
    <w:p w:rsidR="00325BB4" w:rsidRPr="005A6216" w:rsidRDefault="00325BB4" w:rsidP="00325BB4">
      <w:pPr>
        <w:autoSpaceDE w:val="0"/>
        <w:autoSpaceDN w:val="0"/>
        <w:adjustRightInd w:val="0"/>
        <w:spacing w:after="0" w:line="240" w:lineRule="auto"/>
        <w:contextualSpacing/>
        <w:jc w:val="both"/>
        <w:rPr>
          <w:rFonts w:ascii="Arial" w:hAnsi="Arial" w:cs="Arial"/>
          <w:sz w:val="20"/>
          <w:szCs w:val="20"/>
        </w:rPr>
      </w:pPr>
      <w:r w:rsidRPr="005A6216">
        <w:rPr>
          <w:rFonts w:ascii="Arial" w:hAnsi="Arial" w:cs="Arial"/>
          <w:b/>
          <w:sz w:val="20"/>
          <w:szCs w:val="20"/>
          <w:highlight w:val="white"/>
        </w:rPr>
        <w:t xml:space="preserve">Recommendation </w:t>
      </w:r>
      <w:r>
        <w:rPr>
          <w:rFonts w:ascii="Arial" w:hAnsi="Arial" w:cs="Arial"/>
          <w:b/>
          <w:sz w:val="20"/>
          <w:szCs w:val="20"/>
        </w:rPr>
        <w:t>5</w:t>
      </w:r>
      <w:r w:rsidRPr="005A6216">
        <w:rPr>
          <w:rFonts w:ascii="Arial" w:hAnsi="Arial" w:cs="Arial"/>
          <w:sz w:val="20"/>
          <w:szCs w:val="20"/>
        </w:rPr>
        <w:t xml:space="preserve"> </w:t>
      </w:r>
    </w:p>
    <w:p w:rsidR="00325BB4" w:rsidRDefault="00325BB4" w:rsidP="00325BB4">
      <w:pPr>
        <w:spacing w:after="0" w:line="240" w:lineRule="auto"/>
        <w:contextualSpacing/>
        <w:jc w:val="both"/>
        <w:rPr>
          <w:rFonts w:ascii="Arial" w:hAnsi="Arial" w:cs="Arial"/>
          <w:b/>
          <w:sz w:val="20"/>
          <w:szCs w:val="20"/>
        </w:rPr>
      </w:pPr>
      <w:r w:rsidRPr="005A6216">
        <w:rPr>
          <w:rFonts w:ascii="Arial" w:eastAsia="Times New Roman" w:hAnsi="Arial" w:cs="Arial"/>
          <w:sz w:val="20"/>
          <w:szCs w:val="20"/>
        </w:rPr>
        <w:t xml:space="preserve">NTC retains responsibility for compliance </w:t>
      </w:r>
      <w:r>
        <w:rPr>
          <w:rFonts w:ascii="Arial" w:eastAsia="Times New Roman" w:hAnsi="Arial" w:cs="Arial"/>
          <w:sz w:val="20"/>
          <w:szCs w:val="20"/>
        </w:rPr>
        <w:t xml:space="preserve">assurance </w:t>
      </w:r>
      <w:r w:rsidRPr="005A6216">
        <w:rPr>
          <w:rFonts w:ascii="Arial" w:eastAsia="Times New Roman" w:hAnsi="Arial" w:cs="Arial"/>
          <w:sz w:val="20"/>
          <w:szCs w:val="20"/>
        </w:rPr>
        <w:t>policy.</w:t>
      </w:r>
    </w:p>
    <w:p w:rsidR="0011325F" w:rsidRDefault="0011325F" w:rsidP="00C91C33">
      <w:pPr>
        <w:spacing w:after="0" w:line="240" w:lineRule="auto"/>
        <w:contextualSpacing/>
        <w:jc w:val="both"/>
        <w:rPr>
          <w:rFonts w:ascii="Arial" w:hAnsi="Arial" w:cs="Arial"/>
          <w:sz w:val="20"/>
          <w:szCs w:val="20"/>
        </w:rPr>
      </w:pPr>
      <w:r>
        <w:rPr>
          <w:rFonts w:ascii="Arial" w:hAnsi="Arial" w:cs="Arial"/>
          <w:sz w:val="20"/>
          <w:szCs w:val="20"/>
        </w:rPr>
        <w:br w:type="page"/>
      </w:r>
    </w:p>
    <w:p w:rsidR="00621FC6" w:rsidRDefault="00621FC6" w:rsidP="00621FC6">
      <w:pPr>
        <w:tabs>
          <w:tab w:val="right" w:leader="dot" w:pos="9645"/>
        </w:tabs>
        <w:spacing w:after="0" w:line="240" w:lineRule="auto"/>
        <w:contextualSpacing/>
        <w:rPr>
          <w:rFonts w:cs="Arial"/>
          <w:b/>
          <w:sz w:val="24"/>
          <w:szCs w:val="24"/>
        </w:rPr>
      </w:pPr>
      <w:r w:rsidRPr="0011325F">
        <w:rPr>
          <w:rFonts w:cs="Arial"/>
          <w:b/>
          <w:sz w:val="24"/>
          <w:szCs w:val="24"/>
        </w:rPr>
        <w:t xml:space="preserve">APPENDIX </w:t>
      </w:r>
      <w:r>
        <w:rPr>
          <w:rFonts w:cs="Arial"/>
          <w:b/>
          <w:sz w:val="24"/>
          <w:szCs w:val="24"/>
        </w:rPr>
        <w:t>A</w:t>
      </w:r>
      <w:r w:rsidRPr="0011325F">
        <w:rPr>
          <w:rFonts w:cs="Arial"/>
          <w:b/>
          <w:sz w:val="24"/>
          <w:szCs w:val="24"/>
        </w:rPr>
        <w:t>:  Copies of previous ATA submissions</w:t>
      </w:r>
    </w:p>
    <w:p w:rsidR="00621FC6" w:rsidRDefault="00621FC6" w:rsidP="00621FC6">
      <w:pPr>
        <w:tabs>
          <w:tab w:val="right" w:leader="dot" w:pos="9645"/>
        </w:tabs>
        <w:spacing w:after="0" w:line="240" w:lineRule="auto"/>
        <w:contextualSpacing/>
        <w:rPr>
          <w:rFonts w:cs="Arial"/>
          <w:sz w:val="24"/>
          <w:szCs w:val="24"/>
        </w:rPr>
      </w:pPr>
    </w:p>
    <w:p w:rsidR="00621FC6" w:rsidRPr="0011325F" w:rsidRDefault="00621FC6" w:rsidP="00621FC6">
      <w:pPr>
        <w:tabs>
          <w:tab w:val="right" w:leader="dot" w:pos="9645"/>
        </w:tabs>
        <w:spacing w:after="0" w:line="240" w:lineRule="auto"/>
        <w:contextualSpacing/>
        <w:rPr>
          <w:rFonts w:cs="Arial"/>
          <w:sz w:val="24"/>
          <w:szCs w:val="24"/>
        </w:rPr>
      </w:pPr>
      <w:r w:rsidRPr="0011325F">
        <w:rPr>
          <w:rFonts w:cs="Arial"/>
          <w:sz w:val="24"/>
          <w:szCs w:val="24"/>
        </w:rPr>
        <w:t xml:space="preserve">Please see </w:t>
      </w:r>
      <w:r>
        <w:rPr>
          <w:rFonts w:cs="Arial"/>
          <w:sz w:val="24"/>
          <w:szCs w:val="24"/>
        </w:rPr>
        <w:t>12 documents</w:t>
      </w:r>
      <w:r w:rsidRPr="0011325F">
        <w:rPr>
          <w:rFonts w:cs="Arial"/>
          <w:sz w:val="24"/>
          <w:szCs w:val="24"/>
        </w:rPr>
        <w:t xml:space="preserve"> accompanying</w:t>
      </w:r>
      <w:r>
        <w:rPr>
          <w:rFonts w:cs="Arial"/>
          <w:sz w:val="24"/>
          <w:szCs w:val="24"/>
        </w:rPr>
        <w:t xml:space="preserve"> this submission.</w:t>
      </w:r>
    </w:p>
    <w:p w:rsidR="00621FC6" w:rsidRPr="0011325F" w:rsidRDefault="00621FC6" w:rsidP="00621FC6">
      <w:pPr>
        <w:tabs>
          <w:tab w:val="right" w:leader="dot" w:pos="9645"/>
        </w:tabs>
        <w:spacing w:after="0" w:line="240" w:lineRule="auto"/>
        <w:contextualSpacing/>
        <w:jc w:val="center"/>
        <w:rPr>
          <w:rFonts w:cs="Arial"/>
          <w:b/>
          <w:sz w:val="24"/>
          <w:szCs w:val="24"/>
        </w:rPr>
      </w:pPr>
    </w:p>
    <w:p w:rsidR="0011325F" w:rsidRDefault="0011325F">
      <w:pPr>
        <w:rPr>
          <w:rFonts w:cs="Arial"/>
          <w:sz w:val="24"/>
          <w:szCs w:val="24"/>
        </w:rPr>
      </w:pPr>
      <w:r>
        <w:rPr>
          <w:rFonts w:cs="Arial"/>
          <w:sz w:val="24"/>
          <w:szCs w:val="24"/>
        </w:rPr>
        <w:br w:type="page"/>
      </w:r>
    </w:p>
    <w:p w:rsidR="00621FC6" w:rsidRDefault="00621FC6" w:rsidP="00621FC6">
      <w:pPr>
        <w:tabs>
          <w:tab w:val="right" w:leader="dot" w:pos="9645"/>
        </w:tabs>
        <w:spacing w:after="0" w:line="240" w:lineRule="auto"/>
        <w:contextualSpacing/>
        <w:rPr>
          <w:rFonts w:cs="Arial"/>
          <w:b/>
          <w:sz w:val="24"/>
          <w:szCs w:val="24"/>
        </w:rPr>
      </w:pPr>
      <w:r w:rsidRPr="0011325F">
        <w:rPr>
          <w:rFonts w:cs="Arial"/>
          <w:b/>
          <w:sz w:val="24"/>
          <w:szCs w:val="24"/>
        </w:rPr>
        <w:t xml:space="preserve">APPENDIX </w:t>
      </w:r>
      <w:r>
        <w:rPr>
          <w:rFonts w:cs="Arial"/>
          <w:b/>
          <w:sz w:val="24"/>
          <w:szCs w:val="24"/>
        </w:rPr>
        <w:t>B</w:t>
      </w:r>
      <w:r w:rsidRPr="0011325F">
        <w:rPr>
          <w:rFonts w:cs="Arial"/>
          <w:b/>
          <w:sz w:val="24"/>
          <w:szCs w:val="24"/>
        </w:rPr>
        <w:t>:  ATA and NatRoad anonymous survey results</w:t>
      </w:r>
    </w:p>
    <w:p w:rsidR="00621FC6" w:rsidRDefault="00621FC6" w:rsidP="00621FC6">
      <w:pPr>
        <w:tabs>
          <w:tab w:val="right" w:leader="dot" w:pos="9645"/>
        </w:tabs>
        <w:spacing w:after="0" w:line="240" w:lineRule="auto"/>
        <w:contextualSpacing/>
        <w:jc w:val="center"/>
        <w:rPr>
          <w:rFonts w:cs="Arial"/>
          <w:b/>
          <w:sz w:val="24"/>
          <w:szCs w:val="24"/>
        </w:rPr>
      </w:pPr>
    </w:p>
    <w:p w:rsidR="00621FC6" w:rsidRPr="0011325F" w:rsidRDefault="00621FC6" w:rsidP="00621FC6">
      <w:pPr>
        <w:tabs>
          <w:tab w:val="right" w:leader="dot" w:pos="9645"/>
        </w:tabs>
        <w:spacing w:after="0" w:line="240" w:lineRule="auto"/>
        <w:contextualSpacing/>
        <w:rPr>
          <w:rFonts w:cs="Arial"/>
          <w:sz w:val="24"/>
          <w:szCs w:val="24"/>
        </w:rPr>
      </w:pPr>
      <w:r w:rsidRPr="0011325F">
        <w:rPr>
          <w:rFonts w:cs="Arial"/>
          <w:sz w:val="24"/>
          <w:szCs w:val="24"/>
        </w:rPr>
        <w:t xml:space="preserve">Please see </w:t>
      </w:r>
      <w:r>
        <w:rPr>
          <w:rFonts w:cs="Arial"/>
          <w:sz w:val="24"/>
          <w:szCs w:val="24"/>
        </w:rPr>
        <w:t>the spreadsheet</w:t>
      </w:r>
      <w:r w:rsidRPr="0011325F">
        <w:rPr>
          <w:rFonts w:cs="Arial"/>
          <w:sz w:val="24"/>
          <w:szCs w:val="24"/>
        </w:rPr>
        <w:t xml:space="preserve"> accompanying</w:t>
      </w:r>
      <w:r>
        <w:rPr>
          <w:rFonts w:cs="Arial"/>
          <w:sz w:val="24"/>
          <w:szCs w:val="24"/>
        </w:rPr>
        <w:t xml:space="preserve"> this submission.</w:t>
      </w:r>
    </w:p>
    <w:p w:rsidR="0011325F" w:rsidRPr="00D12646" w:rsidRDefault="0011325F" w:rsidP="0011325F">
      <w:pPr>
        <w:spacing w:after="0" w:line="240" w:lineRule="auto"/>
        <w:contextualSpacing/>
        <w:rPr>
          <w:rFonts w:cs="Arial"/>
          <w:sz w:val="24"/>
          <w:szCs w:val="24"/>
        </w:rPr>
      </w:pPr>
    </w:p>
    <w:p w:rsidR="0011325F" w:rsidRPr="003F5B91" w:rsidRDefault="0011325F" w:rsidP="00E352AD">
      <w:pPr>
        <w:spacing w:after="0" w:line="240" w:lineRule="auto"/>
        <w:contextualSpacing/>
        <w:jc w:val="both"/>
        <w:rPr>
          <w:sz w:val="20"/>
          <w:szCs w:val="20"/>
        </w:rPr>
      </w:pPr>
    </w:p>
    <w:sectPr w:rsidR="0011325F" w:rsidRPr="003F5B91" w:rsidSect="002A0C1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13F" w:rsidRDefault="0029513F" w:rsidP="00BD30AC">
      <w:pPr>
        <w:spacing w:after="0" w:line="240" w:lineRule="auto"/>
      </w:pPr>
      <w:r>
        <w:separator/>
      </w:r>
    </w:p>
  </w:endnote>
  <w:endnote w:type="continuationSeparator" w:id="0">
    <w:p w:rsidR="0029513F" w:rsidRDefault="0029513F" w:rsidP="00BD3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13F" w:rsidRDefault="002951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13F" w:rsidRDefault="0029513F">
    <w:pPr>
      <w:pStyle w:val="Footer"/>
      <w:jc w:val="center"/>
    </w:pPr>
  </w:p>
  <w:p w:rsidR="0029513F" w:rsidRDefault="0029513F" w:rsidP="00BD30AC">
    <w:pPr>
      <w:pStyle w:val="Footer"/>
      <w:rPr>
        <w:rFonts w:ascii="Arial" w:hAnsi="Arial" w:cs="Arial"/>
        <w:color w:val="002060"/>
        <w:sz w:val="16"/>
        <w:szCs w:val="16"/>
      </w:rPr>
    </w:pPr>
    <w:r>
      <w:rPr>
        <w:rFonts w:ascii="Arial" w:hAnsi="Arial" w:cs="Arial"/>
        <w:color w:val="002060"/>
        <w:sz w:val="16"/>
        <w:szCs w:val="16"/>
      </w:rPr>
      <w:t>_____________________________________________________________________________________________________</w:t>
    </w:r>
  </w:p>
  <w:p w:rsidR="0029513F" w:rsidRPr="00FB7D69" w:rsidRDefault="0029513F" w:rsidP="00BD30AC">
    <w:pPr>
      <w:pStyle w:val="Footer"/>
      <w:rPr>
        <w:rFonts w:ascii="Arial" w:hAnsi="Arial" w:cs="Arial"/>
        <w:color w:val="002060"/>
        <w:sz w:val="16"/>
        <w:szCs w:val="16"/>
      </w:rPr>
    </w:pPr>
    <w:r w:rsidRPr="00FB7D69">
      <w:rPr>
        <w:rFonts w:ascii="Arial" w:hAnsi="Arial" w:cs="Arial"/>
        <w:color w:val="002060"/>
        <w:sz w:val="16"/>
        <w:szCs w:val="16"/>
      </w:rPr>
      <w:t>2013 ATA Submission to NTC Review of the Intelligent Access Program</w:t>
    </w:r>
  </w:p>
  <w:p w:rsidR="0029513F" w:rsidRPr="007004DC" w:rsidRDefault="005272FC" w:rsidP="00BD30AC">
    <w:pPr>
      <w:pStyle w:val="Footer"/>
      <w:jc w:val="right"/>
      <w:rPr>
        <w:color w:val="215868" w:themeColor="accent5" w:themeShade="80"/>
      </w:rPr>
    </w:pPr>
    <w:sdt>
      <w:sdtPr>
        <w:rPr>
          <w:rFonts w:ascii="Arial" w:hAnsi="Arial" w:cs="Arial"/>
          <w:color w:val="215868" w:themeColor="accent5" w:themeShade="80"/>
          <w:sz w:val="16"/>
          <w:szCs w:val="16"/>
        </w:rPr>
        <w:id w:val="6679839"/>
        <w:docPartObj>
          <w:docPartGallery w:val="Page Numbers (Bottom of Page)"/>
          <w:docPartUnique/>
        </w:docPartObj>
      </w:sdtPr>
      <w:sdtEndPr>
        <w:rPr>
          <w:rFonts w:asciiTheme="minorHAnsi" w:hAnsiTheme="minorHAnsi" w:cstheme="minorBidi"/>
          <w:sz w:val="22"/>
          <w:szCs w:val="22"/>
        </w:rPr>
      </w:sdtEndPr>
      <w:sdtContent>
        <w:sdt>
          <w:sdtPr>
            <w:rPr>
              <w:rFonts w:ascii="Arial" w:hAnsi="Arial" w:cs="Arial"/>
              <w:color w:val="215868" w:themeColor="accent5" w:themeShade="80"/>
              <w:sz w:val="16"/>
              <w:szCs w:val="16"/>
            </w:rPr>
            <w:id w:val="565050477"/>
            <w:docPartObj>
              <w:docPartGallery w:val="Page Numbers (Top of Page)"/>
              <w:docPartUnique/>
            </w:docPartObj>
          </w:sdtPr>
          <w:sdtContent>
            <w:r w:rsidR="0029513F" w:rsidRPr="00FB7D69">
              <w:rPr>
                <w:rFonts w:ascii="Arial" w:hAnsi="Arial" w:cs="Arial"/>
                <w:color w:val="215868" w:themeColor="accent5" w:themeShade="80"/>
                <w:sz w:val="16"/>
                <w:szCs w:val="16"/>
              </w:rPr>
              <w:t xml:space="preserve">Page </w:t>
            </w:r>
            <w:r w:rsidRPr="00FB7D69">
              <w:rPr>
                <w:rFonts w:ascii="Arial" w:hAnsi="Arial" w:cs="Arial"/>
                <w:b/>
                <w:color w:val="215868" w:themeColor="accent5" w:themeShade="80"/>
                <w:sz w:val="16"/>
                <w:szCs w:val="16"/>
              </w:rPr>
              <w:fldChar w:fldCharType="begin"/>
            </w:r>
            <w:r w:rsidR="0029513F" w:rsidRPr="00FB7D69">
              <w:rPr>
                <w:rFonts w:ascii="Arial" w:hAnsi="Arial" w:cs="Arial"/>
                <w:b/>
                <w:color w:val="215868" w:themeColor="accent5" w:themeShade="80"/>
                <w:sz w:val="16"/>
                <w:szCs w:val="16"/>
              </w:rPr>
              <w:instrText xml:space="preserve"> PAGE </w:instrText>
            </w:r>
            <w:r w:rsidRPr="00FB7D69">
              <w:rPr>
                <w:rFonts w:ascii="Arial" w:hAnsi="Arial" w:cs="Arial"/>
                <w:b/>
                <w:color w:val="215868" w:themeColor="accent5" w:themeShade="80"/>
                <w:sz w:val="16"/>
                <w:szCs w:val="16"/>
              </w:rPr>
              <w:fldChar w:fldCharType="separate"/>
            </w:r>
            <w:r w:rsidR="0052083F">
              <w:rPr>
                <w:rFonts w:ascii="Arial" w:hAnsi="Arial" w:cs="Arial"/>
                <w:b/>
                <w:noProof/>
                <w:color w:val="215868" w:themeColor="accent5" w:themeShade="80"/>
                <w:sz w:val="16"/>
                <w:szCs w:val="16"/>
              </w:rPr>
              <w:t>4</w:t>
            </w:r>
            <w:r w:rsidRPr="00FB7D69">
              <w:rPr>
                <w:rFonts w:ascii="Arial" w:hAnsi="Arial" w:cs="Arial"/>
                <w:b/>
                <w:color w:val="215868" w:themeColor="accent5" w:themeShade="80"/>
                <w:sz w:val="16"/>
                <w:szCs w:val="16"/>
              </w:rPr>
              <w:fldChar w:fldCharType="end"/>
            </w:r>
            <w:r w:rsidR="0029513F" w:rsidRPr="00FB7D69">
              <w:rPr>
                <w:rFonts w:ascii="Arial" w:hAnsi="Arial" w:cs="Arial"/>
                <w:color w:val="215868" w:themeColor="accent5" w:themeShade="80"/>
                <w:sz w:val="16"/>
                <w:szCs w:val="16"/>
              </w:rPr>
              <w:t xml:space="preserve"> of </w:t>
            </w:r>
            <w:r w:rsidRPr="00FB7D69">
              <w:rPr>
                <w:rFonts w:ascii="Arial" w:hAnsi="Arial" w:cs="Arial"/>
                <w:b/>
                <w:color w:val="215868" w:themeColor="accent5" w:themeShade="80"/>
                <w:sz w:val="16"/>
                <w:szCs w:val="16"/>
              </w:rPr>
              <w:fldChar w:fldCharType="begin"/>
            </w:r>
            <w:r w:rsidR="0029513F" w:rsidRPr="00FB7D69">
              <w:rPr>
                <w:rFonts w:ascii="Arial" w:hAnsi="Arial" w:cs="Arial"/>
                <w:b/>
                <w:color w:val="215868" w:themeColor="accent5" w:themeShade="80"/>
                <w:sz w:val="16"/>
                <w:szCs w:val="16"/>
              </w:rPr>
              <w:instrText xml:space="preserve"> NUMPAGES  </w:instrText>
            </w:r>
            <w:r w:rsidRPr="00FB7D69">
              <w:rPr>
                <w:rFonts w:ascii="Arial" w:hAnsi="Arial" w:cs="Arial"/>
                <w:b/>
                <w:color w:val="215868" w:themeColor="accent5" w:themeShade="80"/>
                <w:sz w:val="16"/>
                <w:szCs w:val="16"/>
              </w:rPr>
              <w:fldChar w:fldCharType="separate"/>
            </w:r>
            <w:r w:rsidR="0052083F">
              <w:rPr>
                <w:rFonts w:ascii="Arial" w:hAnsi="Arial" w:cs="Arial"/>
                <w:b/>
                <w:noProof/>
                <w:color w:val="215868" w:themeColor="accent5" w:themeShade="80"/>
                <w:sz w:val="16"/>
                <w:szCs w:val="16"/>
              </w:rPr>
              <w:t>14</w:t>
            </w:r>
            <w:r w:rsidRPr="00FB7D69">
              <w:rPr>
                <w:rFonts w:ascii="Arial" w:hAnsi="Arial" w:cs="Arial"/>
                <w:b/>
                <w:color w:val="215868" w:themeColor="accent5" w:themeShade="80"/>
                <w:sz w:val="16"/>
                <w:szCs w:val="16"/>
              </w:rPr>
              <w:fldChar w:fldCharType="end"/>
            </w:r>
          </w:sdtContent>
        </w:sdt>
      </w:sdtContent>
    </w:sdt>
  </w:p>
  <w:p w:rsidR="0029513F" w:rsidRPr="00BD30AC" w:rsidRDefault="0029513F" w:rsidP="00BD30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13F" w:rsidRPr="0062031D" w:rsidRDefault="0029513F" w:rsidP="00507F7F">
    <w:pPr>
      <w:ind w:right="-426"/>
      <w:jc w:val="right"/>
      <w:rPr>
        <w:rFonts w:ascii="Arial" w:hAnsi="Arial" w:cs="Arial"/>
        <w:smallCaps/>
        <w:noProof/>
        <w:sz w:val="18"/>
        <w:szCs w:val="18"/>
        <w:lang w:eastAsia="en-AU"/>
      </w:rPr>
    </w:pPr>
    <w:r w:rsidRPr="0062031D">
      <w:rPr>
        <w:rFonts w:ascii="Arial" w:hAnsi="Arial" w:cs="Arial"/>
        <w:smallCaps/>
        <w:noProof/>
        <w:sz w:val="18"/>
        <w:szCs w:val="18"/>
        <w:lang w:eastAsia="en-AU"/>
      </w:rPr>
      <w:drawing>
        <wp:inline distT="0" distB="0" distL="0" distR="0">
          <wp:extent cx="1951355" cy="846455"/>
          <wp:effectExtent l="19050" t="0" r="0" b="0"/>
          <wp:docPr id="1"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cstate="print"/>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rsidR="0029513F" w:rsidRPr="0062031D" w:rsidRDefault="0029513F" w:rsidP="00507F7F">
    <w:pPr>
      <w:spacing w:after="0" w:line="240" w:lineRule="auto"/>
      <w:ind w:right="-425"/>
      <w:jc w:val="right"/>
      <w:rPr>
        <w:rFonts w:ascii="Arial" w:hAnsi="Arial" w:cs="Arial"/>
        <w:smallCaps/>
        <w:noProof/>
        <w:sz w:val="18"/>
        <w:szCs w:val="18"/>
        <w:lang w:eastAsia="en-AU"/>
      </w:rPr>
    </w:pPr>
    <w:r w:rsidRPr="0062031D">
      <w:rPr>
        <w:rFonts w:ascii="Arial" w:hAnsi="Arial" w:cs="Arial"/>
        <w:smallCaps/>
        <w:noProof/>
        <w:sz w:val="18"/>
        <w:szCs w:val="18"/>
        <w:lang w:eastAsia="en-AU"/>
      </w:rPr>
      <w:t>Minter Ellison Building, 25 National Circuit, Forrest ACT 2603</w:t>
    </w:r>
  </w:p>
  <w:p w:rsidR="0029513F" w:rsidRDefault="0029513F" w:rsidP="00507F7F">
    <w:pPr>
      <w:spacing w:after="0" w:line="240" w:lineRule="auto"/>
      <w:ind w:right="-425"/>
      <w:jc w:val="right"/>
    </w:pPr>
    <w:r w:rsidRPr="0062031D">
      <w:rPr>
        <w:rFonts w:ascii="Arial" w:hAnsi="Arial" w:cs="Arial"/>
        <w:b/>
        <w:smallCaps/>
        <w:noProof/>
        <w:sz w:val="18"/>
        <w:szCs w:val="18"/>
        <w:lang w:eastAsia="en-AU"/>
      </w:rPr>
      <w:t>P</w:t>
    </w:r>
    <w:r w:rsidRPr="0062031D">
      <w:rPr>
        <w:rFonts w:ascii="Arial" w:hAnsi="Arial" w:cs="Arial"/>
        <w:smallCaps/>
        <w:noProof/>
        <w:sz w:val="18"/>
        <w:szCs w:val="18"/>
        <w:lang w:eastAsia="en-AU"/>
      </w:rPr>
      <w:t xml:space="preserve"> 02 6253 6900 </w:t>
    </w:r>
    <w:r w:rsidRPr="0062031D">
      <w:rPr>
        <w:rFonts w:ascii="Arial" w:hAnsi="Arial" w:cs="Arial"/>
        <w:b/>
        <w:smallCaps/>
        <w:noProof/>
        <w:sz w:val="18"/>
        <w:szCs w:val="18"/>
        <w:lang w:eastAsia="en-AU"/>
      </w:rPr>
      <w:t>F</w:t>
    </w:r>
    <w:r w:rsidRPr="0062031D">
      <w:rPr>
        <w:rFonts w:ascii="Arial" w:hAnsi="Arial" w:cs="Arial"/>
        <w:smallCaps/>
        <w:noProof/>
        <w:sz w:val="18"/>
        <w:szCs w:val="18"/>
        <w:lang w:eastAsia="en-AU"/>
      </w:rPr>
      <w:t xml:space="preserve"> 02 6253 6999 </w:t>
    </w:r>
    <w:r w:rsidRPr="0062031D">
      <w:rPr>
        <w:rFonts w:ascii="Arial" w:hAnsi="Arial" w:cs="Arial"/>
        <w:b/>
        <w:smallCaps/>
        <w:noProof/>
        <w:sz w:val="18"/>
        <w:szCs w:val="18"/>
        <w:lang w:eastAsia="en-AU"/>
      </w:rPr>
      <w:t>E</w:t>
    </w:r>
    <w:r w:rsidRPr="0062031D">
      <w:rPr>
        <w:rFonts w:ascii="Arial" w:hAnsi="Arial" w:cs="Arial"/>
        <w:smallCaps/>
        <w:noProof/>
        <w:sz w:val="18"/>
        <w:szCs w:val="18"/>
        <w:lang w:eastAsia="en-AU"/>
      </w:rPr>
      <w:t xml:space="preserve"> </w:t>
    </w:r>
    <w:r w:rsidRPr="0062031D">
      <w:rPr>
        <w:rFonts w:ascii="Arial" w:hAnsi="Arial" w:cs="Arial"/>
        <w:bCs/>
        <w:smallCaps/>
        <w:noProof/>
        <w:sz w:val="18"/>
        <w:szCs w:val="18"/>
        <w:lang w:eastAsia="en-AU"/>
      </w:rPr>
      <w:t>ata@truck.net.au</w:t>
    </w:r>
    <w:r w:rsidRPr="0062031D">
      <w:rPr>
        <w:rFonts w:ascii="Arial" w:hAnsi="Arial" w:cs="Arial"/>
        <w:b/>
        <w:smallCaps/>
        <w:noProof/>
        <w:sz w:val="18"/>
        <w:szCs w:val="18"/>
        <w:lang w:eastAsia="en-AU"/>
      </w:rPr>
      <w:t xml:space="preserve"> W</w:t>
    </w:r>
    <w:r w:rsidRPr="0062031D">
      <w:rPr>
        <w:rFonts w:ascii="Arial" w:hAnsi="Arial" w:cs="Arial"/>
        <w:smallCaps/>
        <w:noProof/>
        <w:sz w:val="18"/>
        <w:szCs w:val="18"/>
        <w:lang w:eastAsia="en-AU"/>
      </w:rPr>
      <w:t xml:space="preserve"> </w:t>
    </w:r>
    <w:r w:rsidRPr="0062031D">
      <w:rPr>
        <w:rFonts w:ascii="Arial" w:hAnsi="Arial" w:cs="Arial"/>
        <w:bCs/>
        <w:smallCaps/>
        <w:noProof/>
        <w:sz w:val="18"/>
        <w:szCs w:val="18"/>
        <w:lang w:eastAsia="en-AU"/>
      </w:rPr>
      <w:t>www.truck.net.au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13F" w:rsidRDefault="0029513F" w:rsidP="00BD30AC">
      <w:pPr>
        <w:spacing w:after="0" w:line="240" w:lineRule="auto"/>
      </w:pPr>
      <w:r>
        <w:separator/>
      </w:r>
    </w:p>
  </w:footnote>
  <w:footnote w:type="continuationSeparator" w:id="0">
    <w:p w:rsidR="0029513F" w:rsidRDefault="0029513F" w:rsidP="00BD30AC">
      <w:pPr>
        <w:spacing w:after="0" w:line="240" w:lineRule="auto"/>
      </w:pPr>
      <w:r>
        <w:continuationSeparator/>
      </w:r>
    </w:p>
  </w:footnote>
  <w:footnote w:id="1">
    <w:p w:rsidR="0029513F" w:rsidRDefault="0029513F">
      <w:pPr>
        <w:pStyle w:val="FootnoteText"/>
      </w:pPr>
      <w:r>
        <w:rPr>
          <w:rStyle w:val="FootnoteReference"/>
        </w:rPr>
        <w:footnoteRef/>
      </w:r>
      <w:r>
        <w:t xml:space="preserve"> </w:t>
      </w:r>
      <w:r w:rsidRPr="000214F1">
        <w:rPr>
          <w:i/>
          <w:sz w:val="18"/>
          <w:szCs w:val="18"/>
        </w:rPr>
        <w:t xml:space="preserve">Intelligent Access Feasibility Project - </w:t>
      </w:r>
      <w:r w:rsidRPr="000214F1">
        <w:rPr>
          <w:i/>
          <w:sz w:val="18"/>
          <w:szCs w:val="18"/>
          <w:lang w:val="en-US"/>
        </w:rPr>
        <w:t xml:space="preserve">Public Policy </w:t>
      </w:r>
      <w:r w:rsidRPr="000214F1">
        <w:rPr>
          <w:i/>
          <w:sz w:val="18"/>
          <w:szCs w:val="18"/>
        </w:rPr>
        <w:t>Analysis Report IR-IAP10</w:t>
      </w:r>
      <w:r w:rsidRPr="000214F1">
        <w:rPr>
          <w:sz w:val="18"/>
          <w:szCs w:val="18"/>
        </w:rPr>
        <w:t xml:space="preserve"> (2003), piii. Prepared by TFG International Pty Ltd for the 2003 Austroads Feasibility Project.</w:t>
      </w:r>
    </w:p>
  </w:footnote>
  <w:footnote w:id="2">
    <w:p w:rsidR="0029513F" w:rsidRDefault="0029513F" w:rsidP="00A93804">
      <w:pPr>
        <w:pStyle w:val="FootnoteText"/>
      </w:pPr>
      <w:r>
        <w:rPr>
          <w:rStyle w:val="FootnoteReference"/>
        </w:rPr>
        <w:footnoteRef/>
      </w:r>
      <w:r>
        <w:t xml:space="preserve"> </w:t>
      </w:r>
      <w:r w:rsidRPr="00794E2A">
        <w:rPr>
          <w:sz w:val="18"/>
          <w:szCs w:val="18"/>
        </w:rPr>
        <w:t>Austroads Inc.</w:t>
      </w:r>
      <w:r>
        <w:rPr>
          <w:sz w:val="18"/>
          <w:szCs w:val="18"/>
        </w:rPr>
        <w:t>,</w:t>
      </w:r>
      <w:r w:rsidRPr="00794E2A">
        <w:rPr>
          <w:sz w:val="18"/>
          <w:szCs w:val="18"/>
        </w:rPr>
        <w:t xml:space="preserve"> </w:t>
      </w:r>
      <w:r w:rsidRPr="000231CA">
        <w:rPr>
          <w:i/>
          <w:sz w:val="18"/>
          <w:szCs w:val="18"/>
        </w:rPr>
        <w:t>IAP Feasibility Project Report</w:t>
      </w:r>
      <w:r w:rsidRPr="00794E2A">
        <w:rPr>
          <w:sz w:val="18"/>
          <w:szCs w:val="18"/>
        </w:rPr>
        <w:t xml:space="preserve"> (2003)</w:t>
      </w:r>
      <w:r>
        <w:rPr>
          <w:sz w:val="18"/>
          <w:szCs w:val="18"/>
        </w:rPr>
        <w:t>,</w:t>
      </w:r>
      <w:r w:rsidRPr="00794E2A">
        <w:rPr>
          <w:sz w:val="18"/>
          <w:szCs w:val="18"/>
        </w:rPr>
        <w:t xml:space="preserve"> p9.</w:t>
      </w:r>
      <w:r>
        <w:t xml:space="preserve"> </w:t>
      </w:r>
    </w:p>
  </w:footnote>
  <w:footnote w:id="3">
    <w:p w:rsidR="0029513F" w:rsidRPr="00D050F0" w:rsidRDefault="0029513F" w:rsidP="00263E3C">
      <w:pPr>
        <w:pStyle w:val="FootnoteText"/>
        <w:rPr>
          <w:lang w:val="en-US"/>
        </w:rPr>
      </w:pPr>
      <w:r>
        <w:rPr>
          <w:rStyle w:val="FootnoteReference"/>
        </w:rPr>
        <w:footnoteRef/>
      </w:r>
      <w:r>
        <w:t xml:space="preserve"> </w:t>
      </w:r>
      <w:r w:rsidRPr="000214F1">
        <w:rPr>
          <w:i/>
          <w:sz w:val="18"/>
          <w:szCs w:val="18"/>
        </w:rPr>
        <w:t xml:space="preserve">Intelligent Access Feasibility Project - </w:t>
      </w:r>
      <w:r w:rsidRPr="000214F1">
        <w:rPr>
          <w:i/>
          <w:sz w:val="18"/>
          <w:szCs w:val="18"/>
          <w:lang w:val="en-US"/>
        </w:rPr>
        <w:t xml:space="preserve">Public Policy </w:t>
      </w:r>
      <w:r w:rsidRPr="000214F1">
        <w:rPr>
          <w:i/>
          <w:sz w:val="18"/>
          <w:szCs w:val="18"/>
        </w:rPr>
        <w:t>Analysis Report IR-IAP10</w:t>
      </w:r>
      <w:r w:rsidRPr="000214F1">
        <w:rPr>
          <w:sz w:val="18"/>
          <w:szCs w:val="18"/>
        </w:rPr>
        <w:t xml:space="preserve"> (2003), piii. </w:t>
      </w:r>
    </w:p>
  </w:footnote>
  <w:footnote w:id="4">
    <w:p w:rsidR="0029513F" w:rsidRPr="002A79DB" w:rsidRDefault="0029513F" w:rsidP="00CB3CBD">
      <w:pPr>
        <w:pStyle w:val="FootnoteText"/>
        <w:rPr>
          <w:sz w:val="18"/>
          <w:szCs w:val="18"/>
        </w:rPr>
      </w:pPr>
      <w:r>
        <w:rPr>
          <w:rStyle w:val="FootnoteReference"/>
        </w:rPr>
        <w:footnoteRef/>
      </w:r>
      <w:r>
        <w:t xml:space="preserve"> </w:t>
      </w:r>
      <w:r w:rsidRPr="00BA7C9A">
        <w:rPr>
          <w:sz w:val="18"/>
          <w:szCs w:val="18"/>
          <w:lang w:val="en-US"/>
        </w:rPr>
        <w:t>Mr Tony Hulett, Lovegrove &amp; Lord Lawyers, Melbourne, 2009.</w:t>
      </w:r>
    </w:p>
  </w:footnote>
  <w:footnote w:id="5">
    <w:p w:rsidR="0029513F" w:rsidRDefault="0029513F" w:rsidP="004304A9">
      <w:pPr>
        <w:pStyle w:val="FootnoteText"/>
        <w:rPr>
          <w:sz w:val="18"/>
          <w:szCs w:val="18"/>
        </w:rPr>
      </w:pPr>
      <w:r>
        <w:rPr>
          <w:rStyle w:val="FootnoteReference"/>
        </w:rPr>
        <w:footnoteRef/>
      </w:r>
      <w:r>
        <w:t xml:space="preserve"> </w:t>
      </w:r>
      <w:r w:rsidRPr="002E4F0C">
        <w:rPr>
          <w:sz w:val="18"/>
          <w:szCs w:val="18"/>
        </w:rPr>
        <w:t>“</w:t>
      </w:r>
      <w:r w:rsidRPr="002E4F0C">
        <w:rPr>
          <w:i/>
          <w:sz w:val="18"/>
          <w:szCs w:val="18"/>
        </w:rPr>
        <w:t>Hackers Reveal Nasty New Car Attacks-With Me Behind The Wheel</w:t>
      </w:r>
      <w:r w:rsidRPr="002E4F0C">
        <w:rPr>
          <w:sz w:val="18"/>
          <w:szCs w:val="18"/>
        </w:rPr>
        <w:t>” by A. Greenberg, 24/7/2013. Forbes Magazine.</w:t>
      </w:r>
    </w:p>
    <w:p w:rsidR="0029513F" w:rsidRDefault="0029513F" w:rsidP="004304A9">
      <w:pPr>
        <w:pStyle w:val="FootnoteText"/>
      </w:pPr>
      <w:r w:rsidRPr="002E4F0C">
        <w:rPr>
          <w:sz w:val="18"/>
          <w:szCs w:val="18"/>
        </w:rPr>
        <w:t>http://www.forbes.com/sites/andygreenberg/2013/07/24/hackers-reveal-nasty-new-car-attacks-with-me-behind-the-wheel-video/</w:t>
      </w:r>
      <w:r>
        <w:rPr>
          <w:sz w:val="18"/>
          <w:szCs w:val="18"/>
        </w:rPr>
        <w:t xml:space="preserve"> </w:t>
      </w:r>
    </w:p>
  </w:footnote>
  <w:footnote w:id="6">
    <w:p w:rsidR="0029513F" w:rsidRDefault="0029513F" w:rsidP="004304A9">
      <w:pPr>
        <w:pStyle w:val="FootnoteText"/>
      </w:pPr>
      <w:r>
        <w:rPr>
          <w:rStyle w:val="FootnoteReference"/>
        </w:rPr>
        <w:footnoteRef/>
      </w:r>
      <w:r>
        <w:t xml:space="preserve"> </w:t>
      </w:r>
      <w:r w:rsidRPr="00BA7C9A">
        <w:rPr>
          <w:sz w:val="18"/>
          <w:szCs w:val="18"/>
          <w:lang w:val="en-US"/>
        </w:rPr>
        <w:t>Mr Tony Hulett, Lovegrove &amp; Lord Lawyers, Melbourne, 2009.</w:t>
      </w:r>
    </w:p>
  </w:footnote>
  <w:footnote w:id="7">
    <w:p w:rsidR="00A77CFC" w:rsidRDefault="00A77CFC">
      <w:pPr>
        <w:pStyle w:val="FootnoteText"/>
      </w:pPr>
      <w:r>
        <w:rPr>
          <w:rStyle w:val="FootnoteReference"/>
        </w:rPr>
        <w:footnoteRef/>
      </w:r>
      <w:r>
        <w:t xml:space="preserve"> </w:t>
      </w:r>
      <w:r>
        <w:rPr>
          <w:sz w:val="18"/>
          <w:szCs w:val="18"/>
        </w:rPr>
        <w:t>ATA survey July-August, 2013</w:t>
      </w:r>
      <w:r w:rsidRPr="005C2AF5">
        <w:rPr>
          <w:sz w:val="18"/>
          <w:szCs w:val="18"/>
        </w:rPr>
        <w:t>.</w:t>
      </w:r>
    </w:p>
  </w:footnote>
  <w:footnote w:id="8">
    <w:p w:rsidR="0029513F" w:rsidRDefault="0029513F">
      <w:pPr>
        <w:pStyle w:val="FootnoteText"/>
      </w:pPr>
      <w:r>
        <w:rPr>
          <w:rStyle w:val="FootnoteReference"/>
        </w:rPr>
        <w:footnoteRef/>
      </w:r>
      <w:r>
        <w:t xml:space="preserve"> </w:t>
      </w:r>
      <w:r w:rsidR="00A77CFC">
        <w:rPr>
          <w:sz w:val="18"/>
          <w:szCs w:val="18"/>
        </w:rPr>
        <w:t>ibid</w:t>
      </w:r>
      <w:r w:rsidRPr="005C2AF5">
        <w:rPr>
          <w:sz w:val="18"/>
          <w:szCs w:val="18"/>
        </w:rPr>
        <w:t>.</w:t>
      </w:r>
    </w:p>
  </w:footnote>
  <w:footnote w:id="9">
    <w:p w:rsidR="0029513F" w:rsidRDefault="0029513F">
      <w:pPr>
        <w:pStyle w:val="FootnoteText"/>
      </w:pPr>
      <w:r>
        <w:rPr>
          <w:rStyle w:val="FootnoteReference"/>
        </w:rPr>
        <w:footnoteRef/>
      </w:r>
      <w:r>
        <w:t xml:space="preserve"> </w:t>
      </w:r>
      <w:r w:rsidRPr="00024575">
        <w:rPr>
          <w:sz w:val="18"/>
          <w:szCs w:val="18"/>
        </w:rPr>
        <w:t>RIS, p8.</w:t>
      </w:r>
    </w:p>
  </w:footnote>
  <w:footnote w:id="10">
    <w:p w:rsidR="0029513F" w:rsidRDefault="0029513F" w:rsidP="005E739B">
      <w:pPr>
        <w:pStyle w:val="FootnoteText"/>
      </w:pPr>
      <w:r>
        <w:rPr>
          <w:rStyle w:val="FootnoteReference"/>
        </w:rPr>
        <w:footnoteRef/>
      </w:r>
      <w:r w:rsidRPr="00C84636">
        <w:rPr>
          <w:sz w:val="18"/>
          <w:szCs w:val="18"/>
        </w:rPr>
        <w:t xml:space="preserve"> </w:t>
      </w:r>
      <w:r>
        <w:rPr>
          <w:sz w:val="18"/>
          <w:szCs w:val="18"/>
        </w:rPr>
        <w:t xml:space="preserve">Mr </w:t>
      </w:r>
      <w:r w:rsidRPr="00F5102D">
        <w:rPr>
          <w:sz w:val="18"/>
          <w:szCs w:val="18"/>
        </w:rPr>
        <w:t>Tony Hulett, Love</w:t>
      </w:r>
      <w:r>
        <w:rPr>
          <w:sz w:val="18"/>
          <w:szCs w:val="18"/>
        </w:rPr>
        <w:t>grove &amp; Lord Lawyers, Melbourne,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13F" w:rsidRDefault="002951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13F" w:rsidRDefault="002951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13F" w:rsidRDefault="002951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119"/>
    <w:multiLevelType w:val="hybridMultilevel"/>
    <w:tmpl w:val="4BE4C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4F97BE1"/>
    <w:multiLevelType w:val="hybridMultilevel"/>
    <w:tmpl w:val="959288AA"/>
    <w:lvl w:ilvl="0" w:tplc="1894436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7F2078F"/>
    <w:multiLevelType w:val="hybridMultilevel"/>
    <w:tmpl w:val="41687E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100EA4"/>
    <w:multiLevelType w:val="hybridMultilevel"/>
    <w:tmpl w:val="B94622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30645"/>
    <w:multiLevelType w:val="hybridMultilevel"/>
    <w:tmpl w:val="77461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8B0984"/>
    <w:multiLevelType w:val="hybridMultilevel"/>
    <w:tmpl w:val="9F808384"/>
    <w:lvl w:ilvl="0" w:tplc="0C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E138B6"/>
    <w:multiLevelType w:val="hybridMultilevel"/>
    <w:tmpl w:val="B94622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290697"/>
    <w:multiLevelType w:val="hybridMultilevel"/>
    <w:tmpl w:val="0F385B1C"/>
    <w:lvl w:ilvl="0" w:tplc="86A62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8649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D71823"/>
    <w:multiLevelType w:val="hybridMultilevel"/>
    <w:tmpl w:val="3A2ADE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35E07DE"/>
    <w:multiLevelType w:val="hybridMultilevel"/>
    <w:tmpl w:val="0B1A54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3F05B2D"/>
    <w:multiLevelType w:val="hybridMultilevel"/>
    <w:tmpl w:val="0D5CC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3004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51824F2"/>
    <w:multiLevelType w:val="hybridMultilevel"/>
    <w:tmpl w:val="B34859DA"/>
    <w:lvl w:ilvl="0" w:tplc="04090001">
      <w:start w:val="1"/>
      <w:numFmt w:val="bullet"/>
      <w:lvlText w:val=""/>
      <w:lvlJc w:val="left"/>
      <w:pPr>
        <w:ind w:left="720" w:hanging="360"/>
      </w:pPr>
      <w:rPr>
        <w:rFonts w:ascii="Symbol" w:hAnsi="Symbol" w:hint="default"/>
      </w:rPr>
    </w:lvl>
    <w:lvl w:ilvl="1" w:tplc="8A183DF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ED71F9"/>
    <w:multiLevelType w:val="multilevel"/>
    <w:tmpl w:val="5DD88988"/>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03751C4"/>
    <w:multiLevelType w:val="hybridMultilevel"/>
    <w:tmpl w:val="40685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45B2C5D"/>
    <w:multiLevelType w:val="hybridMultilevel"/>
    <w:tmpl w:val="57C4777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6E75B17"/>
    <w:multiLevelType w:val="hybridMultilevel"/>
    <w:tmpl w:val="83527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54449F"/>
    <w:multiLevelType w:val="hybridMultilevel"/>
    <w:tmpl w:val="B0F8AC0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D554ED9"/>
    <w:multiLevelType w:val="multilevel"/>
    <w:tmpl w:val="652E1C90"/>
    <w:lvl w:ilvl="0">
      <w:start w:val="1"/>
      <w:numFmt w:val="decimal"/>
      <w:pStyle w:val="Heading1"/>
      <w:lvlText w:val="%1."/>
      <w:lvlJc w:val="left"/>
      <w:pPr>
        <w:ind w:left="360" w:hanging="360"/>
      </w:pPr>
      <w:rPr>
        <w:rFonts w:cs="Times New Roman" w:hint="default"/>
      </w:rPr>
    </w:lvl>
    <w:lvl w:ilvl="1">
      <w:start w:val="1"/>
      <w:numFmt w:val="decimal"/>
      <w:pStyle w:val="ATAHeading2"/>
      <w:lvlText w:val="%1.%2."/>
      <w:lvlJc w:val="left"/>
      <w:pPr>
        <w:ind w:left="792"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67753764"/>
    <w:multiLevelType w:val="hybridMultilevel"/>
    <w:tmpl w:val="68505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7B600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860720F"/>
    <w:multiLevelType w:val="hybridMultilevel"/>
    <w:tmpl w:val="19FAEC9A"/>
    <w:lvl w:ilvl="0" w:tplc="1894436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D3E21DE"/>
    <w:multiLevelType w:val="hybridMultilevel"/>
    <w:tmpl w:val="9746C3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FEE4C74"/>
    <w:multiLevelType w:val="multilevel"/>
    <w:tmpl w:val="4D0299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FB02BF"/>
    <w:multiLevelType w:val="hybridMultilevel"/>
    <w:tmpl w:val="9CD042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3"/>
  </w:num>
  <w:num w:numId="2">
    <w:abstractNumId w:val="24"/>
  </w:num>
  <w:num w:numId="3">
    <w:abstractNumId w:val="19"/>
  </w:num>
  <w:num w:numId="4">
    <w:abstractNumId w:val="8"/>
  </w:num>
  <w:num w:numId="5">
    <w:abstractNumId w:val="21"/>
  </w:num>
  <w:num w:numId="6">
    <w:abstractNumId w:val="12"/>
  </w:num>
  <w:num w:numId="7">
    <w:abstractNumId w:val="13"/>
  </w:num>
  <w:num w:numId="8">
    <w:abstractNumId w:val="14"/>
  </w:num>
  <w:num w:numId="9">
    <w:abstractNumId w:val="6"/>
  </w:num>
  <w:num w:numId="10">
    <w:abstractNumId w:val="3"/>
  </w:num>
  <w:num w:numId="11">
    <w:abstractNumId w:val="7"/>
  </w:num>
  <w:num w:numId="12">
    <w:abstractNumId w:val="5"/>
  </w:num>
  <w:num w:numId="13">
    <w:abstractNumId w:val="4"/>
  </w:num>
  <w:num w:numId="14">
    <w:abstractNumId w:val="17"/>
  </w:num>
  <w:num w:numId="15">
    <w:abstractNumId w:val="0"/>
  </w:num>
  <w:num w:numId="16">
    <w:abstractNumId w:val="15"/>
  </w:num>
  <w:num w:numId="17">
    <w:abstractNumId w:val="11"/>
  </w:num>
  <w:num w:numId="18">
    <w:abstractNumId w:val="1"/>
  </w:num>
  <w:num w:numId="19">
    <w:abstractNumId w:val="22"/>
  </w:num>
  <w:num w:numId="20">
    <w:abstractNumId w:val="20"/>
  </w:num>
  <w:num w:numId="21">
    <w:abstractNumId w:val="2"/>
  </w:num>
  <w:num w:numId="22">
    <w:abstractNumId w:val="16"/>
  </w:num>
  <w:num w:numId="23">
    <w:abstractNumId w:val="10"/>
  </w:num>
  <w:num w:numId="24">
    <w:abstractNumId w:val="18"/>
  </w:num>
  <w:num w:numId="25">
    <w:abstractNumId w:val="19"/>
  </w:num>
  <w:num w:numId="26">
    <w:abstractNumId w:val="19"/>
  </w:num>
  <w:num w:numId="27">
    <w:abstractNumId w:val="25"/>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trackRevisions/>
  <w:defaultTabStop w:val="720"/>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rsids>
    <w:rsidRoot w:val="00BD30AC"/>
    <w:rsid w:val="00000681"/>
    <w:rsid w:val="00000B3D"/>
    <w:rsid w:val="00000C2D"/>
    <w:rsid w:val="00001499"/>
    <w:rsid w:val="00001ADC"/>
    <w:rsid w:val="00001CBA"/>
    <w:rsid w:val="00002266"/>
    <w:rsid w:val="0000246B"/>
    <w:rsid w:val="000026C2"/>
    <w:rsid w:val="000038A6"/>
    <w:rsid w:val="00003A7F"/>
    <w:rsid w:val="00003B20"/>
    <w:rsid w:val="00005CBB"/>
    <w:rsid w:val="00007236"/>
    <w:rsid w:val="0000782C"/>
    <w:rsid w:val="00011120"/>
    <w:rsid w:val="00012C45"/>
    <w:rsid w:val="0001324A"/>
    <w:rsid w:val="00013347"/>
    <w:rsid w:val="0001375F"/>
    <w:rsid w:val="00013A53"/>
    <w:rsid w:val="00015719"/>
    <w:rsid w:val="000166D0"/>
    <w:rsid w:val="00016A72"/>
    <w:rsid w:val="00016AD0"/>
    <w:rsid w:val="00017B05"/>
    <w:rsid w:val="00017B12"/>
    <w:rsid w:val="000214F1"/>
    <w:rsid w:val="00021D27"/>
    <w:rsid w:val="000231CA"/>
    <w:rsid w:val="00024575"/>
    <w:rsid w:val="0002479A"/>
    <w:rsid w:val="000247BC"/>
    <w:rsid w:val="00024C61"/>
    <w:rsid w:val="0002533B"/>
    <w:rsid w:val="00025A4A"/>
    <w:rsid w:val="0002666C"/>
    <w:rsid w:val="0003006C"/>
    <w:rsid w:val="00030159"/>
    <w:rsid w:val="00030457"/>
    <w:rsid w:val="0003154F"/>
    <w:rsid w:val="000318F6"/>
    <w:rsid w:val="00031F6E"/>
    <w:rsid w:val="00032119"/>
    <w:rsid w:val="00032230"/>
    <w:rsid w:val="000324DD"/>
    <w:rsid w:val="000327CF"/>
    <w:rsid w:val="00032D69"/>
    <w:rsid w:val="00033203"/>
    <w:rsid w:val="00033206"/>
    <w:rsid w:val="000332D8"/>
    <w:rsid w:val="0003385E"/>
    <w:rsid w:val="000341E2"/>
    <w:rsid w:val="000360BC"/>
    <w:rsid w:val="0004025F"/>
    <w:rsid w:val="0004028E"/>
    <w:rsid w:val="000403E4"/>
    <w:rsid w:val="0004185A"/>
    <w:rsid w:val="0004191D"/>
    <w:rsid w:val="000429FC"/>
    <w:rsid w:val="00042FF7"/>
    <w:rsid w:val="00043446"/>
    <w:rsid w:val="000437DF"/>
    <w:rsid w:val="00043884"/>
    <w:rsid w:val="000439F1"/>
    <w:rsid w:val="00043E26"/>
    <w:rsid w:val="00044215"/>
    <w:rsid w:val="000449AE"/>
    <w:rsid w:val="00045735"/>
    <w:rsid w:val="00045D56"/>
    <w:rsid w:val="00046896"/>
    <w:rsid w:val="00046A6D"/>
    <w:rsid w:val="00046E6F"/>
    <w:rsid w:val="00050B5A"/>
    <w:rsid w:val="00052A5F"/>
    <w:rsid w:val="00053D47"/>
    <w:rsid w:val="00055462"/>
    <w:rsid w:val="0006144D"/>
    <w:rsid w:val="000618AC"/>
    <w:rsid w:val="000628F5"/>
    <w:rsid w:val="000634EA"/>
    <w:rsid w:val="0006412C"/>
    <w:rsid w:val="00065469"/>
    <w:rsid w:val="0006591E"/>
    <w:rsid w:val="00066DE0"/>
    <w:rsid w:val="00070342"/>
    <w:rsid w:val="00071683"/>
    <w:rsid w:val="00071ABE"/>
    <w:rsid w:val="00071E6E"/>
    <w:rsid w:val="0007455A"/>
    <w:rsid w:val="00074EED"/>
    <w:rsid w:val="00075A8C"/>
    <w:rsid w:val="00076127"/>
    <w:rsid w:val="00076593"/>
    <w:rsid w:val="000775D7"/>
    <w:rsid w:val="00080078"/>
    <w:rsid w:val="000803B9"/>
    <w:rsid w:val="0008252D"/>
    <w:rsid w:val="00082BEF"/>
    <w:rsid w:val="000831C2"/>
    <w:rsid w:val="00083A52"/>
    <w:rsid w:val="00084AD6"/>
    <w:rsid w:val="00086C6E"/>
    <w:rsid w:val="0008739D"/>
    <w:rsid w:val="00087AFD"/>
    <w:rsid w:val="00092EEF"/>
    <w:rsid w:val="00093100"/>
    <w:rsid w:val="0009571E"/>
    <w:rsid w:val="00096924"/>
    <w:rsid w:val="00097AF2"/>
    <w:rsid w:val="000A2D6C"/>
    <w:rsid w:val="000A2F6E"/>
    <w:rsid w:val="000A47ED"/>
    <w:rsid w:val="000A58CE"/>
    <w:rsid w:val="000A5EE2"/>
    <w:rsid w:val="000A7075"/>
    <w:rsid w:val="000B22C4"/>
    <w:rsid w:val="000B3167"/>
    <w:rsid w:val="000B391B"/>
    <w:rsid w:val="000B39B6"/>
    <w:rsid w:val="000B4A09"/>
    <w:rsid w:val="000B4DC1"/>
    <w:rsid w:val="000B57D7"/>
    <w:rsid w:val="000B59F1"/>
    <w:rsid w:val="000B5BDA"/>
    <w:rsid w:val="000B72C1"/>
    <w:rsid w:val="000C0150"/>
    <w:rsid w:val="000C0DB5"/>
    <w:rsid w:val="000C30A6"/>
    <w:rsid w:val="000C35F2"/>
    <w:rsid w:val="000C3DC3"/>
    <w:rsid w:val="000C4003"/>
    <w:rsid w:val="000C4689"/>
    <w:rsid w:val="000C4904"/>
    <w:rsid w:val="000C5399"/>
    <w:rsid w:val="000C63E9"/>
    <w:rsid w:val="000C6408"/>
    <w:rsid w:val="000D0194"/>
    <w:rsid w:val="000D17F7"/>
    <w:rsid w:val="000D2159"/>
    <w:rsid w:val="000D25CD"/>
    <w:rsid w:val="000D2D42"/>
    <w:rsid w:val="000D38DA"/>
    <w:rsid w:val="000D3B40"/>
    <w:rsid w:val="000D4192"/>
    <w:rsid w:val="000D461D"/>
    <w:rsid w:val="000D5810"/>
    <w:rsid w:val="000D66DA"/>
    <w:rsid w:val="000D7270"/>
    <w:rsid w:val="000E16A5"/>
    <w:rsid w:val="000E2144"/>
    <w:rsid w:val="000E2B9B"/>
    <w:rsid w:val="000E4C07"/>
    <w:rsid w:val="000E5574"/>
    <w:rsid w:val="000E566B"/>
    <w:rsid w:val="000E5D50"/>
    <w:rsid w:val="000E76B9"/>
    <w:rsid w:val="000E7FC4"/>
    <w:rsid w:val="000F087E"/>
    <w:rsid w:val="000F1F06"/>
    <w:rsid w:val="000F2664"/>
    <w:rsid w:val="000F2688"/>
    <w:rsid w:val="000F4040"/>
    <w:rsid w:val="000F446B"/>
    <w:rsid w:val="000F49D8"/>
    <w:rsid w:val="000F4C77"/>
    <w:rsid w:val="000F613B"/>
    <w:rsid w:val="000F6EE9"/>
    <w:rsid w:val="000F7428"/>
    <w:rsid w:val="000F7513"/>
    <w:rsid w:val="00100850"/>
    <w:rsid w:val="0010101E"/>
    <w:rsid w:val="00102370"/>
    <w:rsid w:val="001034E0"/>
    <w:rsid w:val="00103A76"/>
    <w:rsid w:val="00104537"/>
    <w:rsid w:val="001049C7"/>
    <w:rsid w:val="0010565F"/>
    <w:rsid w:val="00106BA5"/>
    <w:rsid w:val="0011072F"/>
    <w:rsid w:val="001108A6"/>
    <w:rsid w:val="001114C7"/>
    <w:rsid w:val="0011176A"/>
    <w:rsid w:val="001118BF"/>
    <w:rsid w:val="001118FE"/>
    <w:rsid w:val="0011325F"/>
    <w:rsid w:val="00114351"/>
    <w:rsid w:val="00114F2E"/>
    <w:rsid w:val="00117248"/>
    <w:rsid w:val="00120594"/>
    <w:rsid w:val="00121FDE"/>
    <w:rsid w:val="00124C78"/>
    <w:rsid w:val="00126398"/>
    <w:rsid w:val="001265BF"/>
    <w:rsid w:val="00126E11"/>
    <w:rsid w:val="0012746E"/>
    <w:rsid w:val="00127C89"/>
    <w:rsid w:val="00130179"/>
    <w:rsid w:val="00130242"/>
    <w:rsid w:val="001306E7"/>
    <w:rsid w:val="00131D20"/>
    <w:rsid w:val="00134112"/>
    <w:rsid w:val="001348BD"/>
    <w:rsid w:val="001354E7"/>
    <w:rsid w:val="00137605"/>
    <w:rsid w:val="0013787A"/>
    <w:rsid w:val="0013787B"/>
    <w:rsid w:val="001379B6"/>
    <w:rsid w:val="00137B42"/>
    <w:rsid w:val="00137E28"/>
    <w:rsid w:val="00140412"/>
    <w:rsid w:val="0014466E"/>
    <w:rsid w:val="00144A09"/>
    <w:rsid w:val="001460B7"/>
    <w:rsid w:val="00146FED"/>
    <w:rsid w:val="0014707D"/>
    <w:rsid w:val="00147445"/>
    <w:rsid w:val="001474AC"/>
    <w:rsid w:val="00147AD9"/>
    <w:rsid w:val="001501E4"/>
    <w:rsid w:val="00150E15"/>
    <w:rsid w:val="00150FD7"/>
    <w:rsid w:val="00151311"/>
    <w:rsid w:val="00151352"/>
    <w:rsid w:val="0015188E"/>
    <w:rsid w:val="0015204F"/>
    <w:rsid w:val="001527CB"/>
    <w:rsid w:val="00152A8A"/>
    <w:rsid w:val="001531D4"/>
    <w:rsid w:val="001553EF"/>
    <w:rsid w:val="001554E6"/>
    <w:rsid w:val="0015730D"/>
    <w:rsid w:val="00161C47"/>
    <w:rsid w:val="0016203C"/>
    <w:rsid w:val="001623D1"/>
    <w:rsid w:val="0016281E"/>
    <w:rsid w:val="00162F0E"/>
    <w:rsid w:val="0016346C"/>
    <w:rsid w:val="00163D42"/>
    <w:rsid w:val="00165FEE"/>
    <w:rsid w:val="00166AB3"/>
    <w:rsid w:val="00166F55"/>
    <w:rsid w:val="00170107"/>
    <w:rsid w:val="00170DF1"/>
    <w:rsid w:val="00171AA2"/>
    <w:rsid w:val="0017254E"/>
    <w:rsid w:val="00174697"/>
    <w:rsid w:val="00174F6D"/>
    <w:rsid w:val="00176E4C"/>
    <w:rsid w:val="00182A70"/>
    <w:rsid w:val="00182BDB"/>
    <w:rsid w:val="00183EA4"/>
    <w:rsid w:val="00184C9A"/>
    <w:rsid w:val="00187245"/>
    <w:rsid w:val="00187431"/>
    <w:rsid w:val="00190440"/>
    <w:rsid w:val="001938D4"/>
    <w:rsid w:val="00193F69"/>
    <w:rsid w:val="001947C1"/>
    <w:rsid w:val="00194B2C"/>
    <w:rsid w:val="00194CD6"/>
    <w:rsid w:val="00194F16"/>
    <w:rsid w:val="00195B23"/>
    <w:rsid w:val="00196F78"/>
    <w:rsid w:val="001975ED"/>
    <w:rsid w:val="001A00FF"/>
    <w:rsid w:val="001A0156"/>
    <w:rsid w:val="001A03D5"/>
    <w:rsid w:val="001A457A"/>
    <w:rsid w:val="001A51B8"/>
    <w:rsid w:val="001A533F"/>
    <w:rsid w:val="001A5B0F"/>
    <w:rsid w:val="001A5DD2"/>
    <w:rsid w:val="001A6BB0"/>
    <w:rsid w:val="001A6FB7"/>
    <w:rsid w:val="001A74CF"/>
    <w:rsid w:val="001B0D51"/>
    <w:rsid w:val="001B2666"/>
    <w:rsid w:val="001B31B8"/>
    <w:rsid w:val="001B4448"/>
    <w:rsid w:val="001B56E1"/>
    <w:rsid w:val="001B58DB"/>
    <w:rsid w:val="001B5B4D"/>
    <w:rsid w:val="001B6306"/>
    <w:rsid w:val="001B6AB7"/>
    <w:rsid w:val="001C1BB1"/>
    <w:rsid w:val="001C4454"/>
    <w:rsid w:val="001C498C"/>
    <w:rsid w:val="001C5910"/>
    <w:rsid w:val="001C659B"/>
    <w:rsid w:val="001C7208"/>
    <w:rsid w:val="001C74AB"/>
    <w:rsid w:val="001D013A"/>
    <w:rsid w:val="001D06DF"/>
    <w:rsid w:val="001D0967"/>
    <w:rsid w:val="001D22D0"/>
    <w:rsid w:val="001D2406"/>
    <w:rsid w:val="001D2764"/>
    <w:rsid w:val="001D2A11"/>
    <w:rsid w:val="001D2C2B"/>
    <w:rsid w:val="001D330C"/>
    <w:rsid w:val="001D3FCB"/>
    <w:rsid w:val="001D420E"/>
    <w:rsid w:val="001D48CB"/>
    <w:rsid w:val="001D6810"/>
    <w:rsid w:val="001D7A9F"/>
    <w:rsid w:val="001E0471"/>
    <w:rsid w:val="001E104C"/>
    <w:rsid w:val="001E1B10"/>
    <w:rsid w:val="001E2AB7"/>
    <w:rsid w:val="001E3763"/>
    <w:rsid w:val="001E37A2"/>
    <w:rsid w:val="001E3BCD"/>
    <w:rsid w:val="001E47DA"/>
    <w:rsid w:val="001E4AA9"/>
    <w:rsid w:val="001E517A"/>
    <w:rsid w:val="001E671E"/>
    <w:rsid w:val="001E688E"/>
    <w:rsid w:val="001E712A"/>
    <w:rsid w:val="001E79CC"/>
    <w:rsid w:val="001E7EE4"/>
    <w:rsid w:val="001F1526"/>
    <w:rsid w:val="001F183E"/>
    <w:rsid w:val="001F28C9"/>
    <w:rsid w:val="001F3EF9"/>
    <w:rsid w:val="001F4722"/>
    <w:rsid w:val="001F706E"/>
    <w:rsid w:val="00200129"/>
    <w:rsid w:val="00201734"/>
    <w:rsid w:val="00201DEA"/>
    <w:rsid w:val="002039E8"/>
    <w:rsid w:val="00205324"/>
    <w:rsid w:val="00205B2F"/>
    <w:rsid w:val="00205C01"/>
    <w:rsid w:val="0020657F"/>
    <w:rsid w:val="00207AC1"/>
    <w:rsid w:val="002100F5"/>
    <w:rsid w:val="00210579"/>
    <w:rsid w:val="00211E5F"/>
    <w:rsid w:val="00213778"/>
    <w:rsid w:val="002175D8"/>
    <w:rsid w:val="00222194"/>
    <w:rsid w:val="0022236B"/>
    <w:rsid w:val="0022279A"/>
    <w:rsid w:val="00222929"/>
    <w:rsid w:val="0022304A"/>
    <w:rsid w:val="0022496B"/>
    <w:rsid w:val="002256B4"/>
    <w:rsid w:val="00225FDF"/>
    <w:rsid w:val="002264D1"/>
    <w:rsid w:val="0022678B"/>
    <w:rsid w:val="0022782B"/>
    <w:rsid w:val="00227CCA"/>
    <w:rsid w:val="00227F05"/>
    <w:rsid w:val="0023149A"/>
    <w:rsid w:val="00231A64"/>
    <w:rsid w:val="002324A0"/>
    <w:rsid w:val="00233A54"/>
    <w:rsid w:val="00234790"/>
    <w:rsid w:val="00234EFC"/>
    <w:rsid w:val="00235562"/>
    <w:rsid w:val="00237400"/>
    <w:rsid w:val="00237BD8"/>
    <w:rsid w:val="00237D41"/>
    <w:rsid w:val="0024035C"/>
    <w:rsid w:val="002408E4"/>
    <w:rsid w:val="00241DE8"/>
    <w:rsid w:val="00242326"/>
    <w:rsid w:val="00242555"/>
    <w:rsid w:val="0024284C"/>
    <w:rsid w:val="002431D4"/>
    <w:rsid w:val="00245244"/>
    <w:rsid w:val="002453CD"/>
    <w:rsid w:val="002502CB"/>
    <w:rsid w:val="00250750"/>
    <w:rsid w:val="00253BD1"/>
    <w:rsid w:val="00253EDA"/>
    <w:rsid w:val="00255D75"/>
    <w:rsid w:val="002568D2"/>
    <w:rsid w:val="00256C92"/>
    <w:rsid w:val="0025715B"/>
    <w:rsid w:val="002601E6"/>
    <w:rsid w:val="00261276"/>
    <w:rsid w:val="002616CB"/>
    <w:rsid w:val="0026228D"/>
    <w:rsid w:val="002622AD"/>
    <w:rsid w:val="00262E48"/>
    <w:rsid w:val="00263E3C"/>
    <w:rsid w:val="0026538A"/>
    <w:rsid w:val="00265BF7"/>
    <w:rsid w:val="00265CF1"/>
    <w:rsid w:val="0026600E"/>
    <w:rsid w:val="0026666C"/>
    <w:rsid w:val="00266B90"/>
    <w:rsid w:val="0026735D"/>
    <w:rsid w:val="0027191A"/>
    <w:rsid w:val="00271C7C"/>
    <w:rsid w:val="00271D49"/>
    <w:rsid w:val="00272223"/>
    <w:rsid w:val="00272DF9"/>
    <w:rsid w:val="002731A5"/>
    <w:rsid w:val="00273D6F"/>
    <w:rsid w:val="0027569A"/>
    <w:rsid w:val="00276EA3"/>
    <w:rsid w:val="002770F5"/>
    <w:rsid w:val="00277D08"/>
    <w:rsid w:val="00281774"/>
    <w:rsid w:val="00283597"/>
    <w:rsid w:val="0028395B"/>
    <w:rsid w:val="002851C9"/>
    <w:rsid w:val="00285B19"/>
    <w:rsid w:val="0028749F"/>
    <w:rsid w:val="002878E7"/>
    <w:rsid w:val="00290D5D"/>
    <w:rsid w:val="002934EB"/>
    <w:rsid w:val="00294762"/>
    <w:rsid w:val="0029513F"/>
    <w:rsid w:val="00296B80"/>
    <w:rsid w:val="00296D10"/>
    <w:rsid w:val="002A0702"/>
    <w:rsid w:val="002A0C17"/>
    <w:rsid w:val="002A0EAA"/>
    <w:rsid w:val="002A275D"/>
    <w:rsid w:val="002A3180"/>
    <w:rsid w:val="002A357E"/>
    <w:rsid w:val="002A3C28"/>
    <w:rsid w:val="002A4869"/>
    <w:rsid w:val="002A7305"/>
    <w:rsid w:val="002A79DB"/>
    <w:rsid w:val="002A7D7B"/>
    <w:rsid w:val="002B0732"/>
    <w:rsid w:val="002B1704"/>
    <w:rsid w:val="002B185E"/>
    <w:rsid w:val="002B299B"/>
    <w:rsid w:val="002B2DB0"/>
    <w:rsid w:val="002B3329"/>
    <w:rsid w:val="002B3948"/>
    <w:rsid w:val="002B4BA1"/>
    <w:rsid w:val="002C18AF"/>
    <w:rsid w:val="002C20D8"/>
    <w:rsid w:val="002C3E24"/>
    <w:rsid w:val="002C4142"/>
    <w:rsid w:val="002C4570"/>
    <w:rsid w:val="002C47A8"/>
    <w:rsid w:val="002C495D"/>
    <w:rsid w:val="002C4DAB"/>
    <w:rsid w:val="002C569C"/>
    <w:rsid w:val="002C5B0A"/>
    <w:rsid w:val="002C62C9"/>
    <w:rsid w:val="002C7AE9"/>
    <w:rsid w:val="002D0B07"/>
    <w:rsid w:val="002D1171"/>
    <w:rsid w:val="002D1387"/>
    <w:rsid w:val="002D2133"/>
    <w:rsid w:val="002D30BB"/>
    <w:rsid w:val="002D313E"/>
    <w:rsid w:val="002D3B17"/>
    <w:rsid w:val="002D3EA4"/>
    <w:rsid w:val="002D4C0E"/>
    <w:rsid w:val="002D4FD9"/>
    <w:rsid w:val="002D5130"/>
    <w:rsid w:val="002D5175"/>
    <w:rsid w:val="002D56DA"/>
    <w:rsid w:val="002D720E"/>
    <w:rsid w:val="002E0355"/>
    <w:rsid w:val="002E0E95"/>
    <w:rsid w:val="002E3B2A"/>
    <w:rsid w:val="002E467A"/>
    <w:rsid w:val="002E4F0C"/>
    <w:rsid w:val="002E71CA"/>
    <w:rsid w:val="002E7332"/>
    <w:rsid w:val="002E7981"/>
    <w:rsid w:val="002E7A58"/>
    <w:rsid w:val="002F0AB8"/>
    <w:rsid w:val="002F0E9E"/>
    <w:rsid w:val="002F1892"/>
    <w:rsid w:val="002F2B73"/>
    <w:rsid w:val="002F3DA4"/>
    <w:rsid w:val="002F49A2"/>
    <w:rsid w:val="00301F13"/>
    <w:rsid w:val="00301F68"/>
    <w:rsid w:val="00302E7E"/>
    <w:rsid w:val="003043CD"/>
    <w:rsid w:val="00305160"/>
    <w:rsid w:val="00305223"/>
    <w:rsid w:val="00305F32"/>
    <w:rsid w:val="00310712"/>
    <w:rsid w:val="00311107"/>
    <w:rsid w:val="00312769"/>
    <w:rsid w:val="003128FA"/>
    <w:rsid w:val="00313D43"/>
    <w:rsid w:val="00314C78"/>
    <w:rsid w:val="0031620A"/>
    <w:rsid w:val="003170CA"/>
    <w:rsid w:val="003178F0"/>
    <w:rsid w:val="0031791C"/>
    <w:rsid w:val="00320309"/>
    <w:rsid w:val="00320485"/>
    <w:rsid w:val="003211C2"/>
    <w:rsid w:val="00321D05"/>
    <w:rsid w:val="00323054"/>
    <w:rsid w:val="00323670"/>
    <w:rsid w:val="00323FAD"/>
    <w:rsid w:val="00324607"/>
    <w:rsid w:val="00325467"/>
    <w:rsid w:val="0032592A"/>
    <w:rsid w:val="00325BB4"/>
    <w:rsid w:val="0032756D"/>
    <w:rsid w:val="0032773A"/>
    <w:rsid w:val="00331395"/>
    <w:rsid w:val="00331B88"/>
    <w:rsid w:val="0033358D"/>
    <w:rsid w:val="003339C4"/>
    <w:rsid w:val="003400B5"/>
    <w:rsid w:val="00340954"/>
    <w:rsid w:val="00340A34"/>
    <w:rsid w:val="00341BC1"/>
    <w:rsid w:val="00343775"/>
    <w:rsid w:val="0034467B"/>
    <w:rsid w:val="0034499A"/>
    <w:rsid w:val="00344CC9"/>
    <w:rsid w:val="003464ED"/>
    <w:rsid w:val="00347D3A"/>
    <w:rsid w:val="003516B5"/>
    <w:rsid w:val="00353C3C"/>
    <w:rsid w:val="003543D3"/>
    <w:rsid w:val="00354BDB"/>
    <w:rsid w:val="00354BE6"/>
    <w:rsid w:val="00355F87"/>
    <w:rsid w:val="00356B1A"/>
    <w:rsid w:val="00356E26"/>
    <w:rsid w:val="00360CB2"/>
    <w:rsid w:val="003643A8"/>
    <w:rsid w:val="00364461"/>
    <w:rsid w:val="00364A98"/>
    <w:rsid w:val="003666D9"/>
    <w:rsid w:val="00366DA0"/>
    <w:rsid w:val="0036794B"/>
    <w:rsid w:val="00370038"/>
    <w:rsid w:val="003704A3"/>
    <w:rsid w:val="00371299"/>
    <w:rsid w:val="003717D1"/>
    <w:rsid w:val="003734F3"/>
    <w:rsid w:val="003742AF"/>
    <w:rsid w:val="003742BE"/>
    <w:rsid w:val="0037544A"/>
    <w:rsid w:val="003755C7"/>
    <w:rsid w:val="003756EB"/>
    <w:rsid w:val="0037632E"/>
    <w:rsid w:val="0037665D"/>
    <w:rsid w:val="003768BB"/>
    <w:rsid w:val="00381B4C"/>
    <w:rsid w:val="00385921"/>
    <w:rsid w:val="00385C31"/>
    <w:rsid w:val="0038645D"/>
    <w:rsid w:val="00386756"/>
    <w:rsid w:val="003870CA"/>
    <w:rsid w:val="0038710B"/>
    <w:rsid w:val="0038786B"/>
    <w:rsid w:val="003906AE"/>
    <w:rsid w:val="00390FD6"/>
    <w:rsid w:val="00391C6C"/>
    <w:rsid w:val="00392F57"/>
    <w:rsid w:val="00393C30"/>
    <w:rsid w:val="00395404"/>
    <w:rsid w:val="00395F4D"/>
    <w:rsid w:val="00396BC7"/>
    <w:rsid w:val="00397777"/>
    <w:rsid w:val="003A0CE2"/>
    <w:rsid w:val="003A1DCD"/>
    <w:rsid w:val="003A1E51"/>
    <w:rsid w:val="003A24B2"/>
    <w:rsid w:val="003A2608"/>
    <w:rsid w:val="003A4447"/>
    <w:rsid w:val="003A5E88"/>
    <w:rsid w:val="003A66D0"/>
    <w:rsid w:val="003A6814"/>
    <w:rsid w:val="003A6F59"/>
    <w:rsid w:val="003A7824"/>
    <w:rsid w:val="003B0382"/>
    <w:rsid w:val="003B159A"/>
    <w:rsid w:val="003B22C4"/>
    <w:rsid w:val="003B2AB6"/>
    <w:rsid w:val="003B30AD"/>
    <w:rsid w:val="003B3567"/>
    <w:rsid w:val="003B4ABC"/>
    <w:rsid w:val="003B4C5A"/>
    <w:rsid w:val="003B5A19"/>
    <w:rsid w:val="003B5EDD"/>
    <w:rsid w:val="003B6F85"/>
    <w:rsid w:val="003B753D"/>
    <w:rsid w:val="003C08EF"/>
    <w:rsid w:val="003C0D81"/>
    <w:rsid w:val="003C2019"/>
    <w:rsid w:val="003C2266"/>
    <w:rsid w:val="003C305A"/>
    <w:rsid w:val="003C3A29"/>
    <w:rsid w:val="003C3C86"/>
    <w:rsid w:val="003C42B8"/>
    <w:rsid w:val="003C5D15"/>
    <w:rsid w:val="003C692E"/>
    <w:rsid w:val="003C7711"/>
    <w:rsid w:val="003C79C5"/>
    <w:rsid w:val="003D0115"/>
    <w:rsid w:val="003D0384"/>
    <w:rsid w:val="003D1D63"/>
    <w:rsid w:val="003D3C64"/>
    <w:rsid w:val="003D3CC4"/>
    <w:rsid w:val="003D527E"/>
    <w:rsid w:val="003D56DA"/>
    <w:rsid w:val="003D6D92"/>
    <w:rsid w:val="003D6ECD"/>
    <w:rsid w:val="003D75D3"/>
    <w:rsid w:val="003D7E77"/>
    <w:rsid w:val="003E03BC"/>
    <w:rsid w:val="003E1265"/>
    <w:rsid w:val="003E24C2"/>
    <w:rsid w:val="003E2749"/>
    <w:rsid w:val="003E29C2"/>
    <w:rsid w:val="003E5DA4"/>
    <w:rsid w:val="003E6372"/>
    <w:rsid w:val="003E7F35"/>
    <w:rsid w:val="003F4994"/>
    <w:rsid w:val="003F5B91"/>
    <w:rsid w:val="003F6554"/>
    <w:rsid w:val="003F6A19"/>
    <w:rsid w:val="003F6B70"/>
    <w:rsid w:val="003F6B83"/>
    <w:rsid w:val="003F779B"/>
    <w:rsid w:val="00400535"/>
    <w:rsid w:val="00400A75"/>
    <w:rsid w:val="00400AFC"/>
    <w:rsid w:val="00401080"/>
    <w:rsid w:val="00401854"/>
    <w:rsid w:val="00406C44"/>
    <w:rsid w:val="00406E54"/>
    <w:rsid w:val="0040700D"/>
    <w:rsid w:val="004072E2"/>
    <w:rsid w:val="00407345"/>
    <w:rsid w:val="00410917"/>
    <w:rsid w:val="00410A62"/>
    <w:rsid w:val="004128FF"/>
    <w:rsid w:val="00413D55"/>
    <w:rsid w:val="00414DCF"/>
    <w:rsid w:val="00415B73"/>
    <w:rsid w:val="0041635F"/>
    <w:rsid w:val="00416D77"/>
    <w:rsid w:val="00416DAC"/>
    <w:rsid w:val="00421056"/>
    <w:rsid w:val="004221A4"/>
    <w:rsid w:val="004226A9"/>
    <w:rsid w:val="00422A8F"/>
    <w:rsid w:val="004251AD"/>
    <w:rsid w:val="004262D2"/>
    <w:rsid w:val="00426AE8"/>
    <w:rsid w:val="004304A9"/>
    <w:rsid w:val="0043128F"/>
    <w:rsid w:val="004316BF"/>
    <w:rsid w:val="00431706"/>
    <w:rsid w:val="00431755"/>
    <w:rsid w:val="00431C1E"/>
    <w:rsid w:val="00431D0B"/>
    <w:rsid w:val="00431F88"/>
    <w:rsid w:val="00432528"/>
    <w:rsid w:val="0043583C"/>
    <w:rsid w:val="00435F12"/>
    <w:rsid w:val="00436436"/>
    <w:rsid w:val="00436873"/>
    <w:rsid w:val="00437E5E"/>
    <w:rsid w:val="004401E5"/>
    <w:rsid w:val="004407CC"/>
    <w:rsid w:val="00440B94"/>
    <w:rsid w:val="00440C79"/>
    <w:rsid w:val="004416CB"/>
    <w:rsid w:val="0044191F"/>
    <w:rsid w:val="004427EF"/>
    <w:rsid w:val="00442F6F"/>
    <w:rsid w:val="0044302F"/>
    <w:rsid w:val="00443533"/>
    <w:rsid w:val="00443BD1"/>
    <w:rsid w:val="00444285"/>
    <w:rsid w:val="00445D69"/>
    <w:rsid w:val="00445F2C"/>
    <w:rsid w:val="00445FC6"/>
    <w:rsid w:val="00446020"/>
    <w:rsid w:val="00446B75"/>
    <w:rsid w:val="0044735C"/>
    <w:rsid w:val="00450A97"/>
    <w:rsid w:val="00450AD2"/>
    <w:rsid w:val="00450BDB"/>
    <w:rsid w:val="00451562"/>
    <w:rsid w:val="004517E2"/>
    <w:rsid w:val="004527CD"/>
    <w:rsid w:val="00453905"/>
    <w:rsid w:val="004540BC"/>
    <w:rsid w:val="004541EF"/>
    <w:rsid w:val="0045429E"/>
    <w:rsid w:val="00454C61"/>
    <w:rsid w:val="00455A17"/>
    <w:rsid w:val="00455DA8"/>
    <w:rsid w:val="00457C8C"/>
    <w:rsid w:val="00457D35"/>
    <w:rsid w:val="00457D8E"/>
    <w:rsid w:val="0046059D"/>
    <w:rsid w:val="00460CCC"/>
    <w:rsid w:val="00461623"/>
    <w:rsid w:val="00462FCB"/>
    <w:rsid w:val="00463DBB"/>
    <w:rsid w:val="004645A0"/>
    <w:rsid w:val="004656F0"/>
    <w:rsid w:val="00465F36"/>
    <w:rsid w:val="004665A0"/>
    <w:rsid w:val="00466616"/>
    <w:rsid w:val="004703C1"/>
    <w:rsid w:val="00471D46"/>
    <w:rsid w:val="00472116"/>
    <w:rsid w:val="004741C3"/>
    <w:rsid w:val="004751EC"/>
    <w:rsid w:val="00475660"/>
    <w:rsid w:val="004767AF"/>
    <w:rsid w:val="00476ABF"/>
    <w:rsid w:val="00477481"/>
    <w:rsid w:val="004800AA"/>
    <w:rsid w:val="00482637"/>
    <w:rsid w:val="004826F2"/>
    <w:rsid w:val="0048293E"/>
    <w:rsid w:val="0048438F"/>
    <w:rsid w:val="004844A9"/>
    <w:rsid w:val="004848E5"/>
    <w:rsid w:val="00485846"/>
    <w:rsid w:val="00485E65"/>
    <w:rsid w:val="0048657E"/>
    <w:rsid w:val="00486A95"/>
    <w:rsid w:val="004878CC"/>
    <w:rsid w:val="00487AA5"/>
    <w:rsid w:val="00490097"/>
    <w:rsid w:val="00490F6F"/>
    <w:rsid w:val="0049157F"/>
    <w:rsid w:val="00491C33"/>
    <w:rsid w:val="00492193"/>
    <w:rsid w:val="004926AD"/>
    <w:rsid w:val="004942C8"/>
    <w:rsid w:val="004942DC"/>
    <w:rsid w:val="0049462C"/>
    <w:rsid w:val="00494BA9"/>
    <w:rsid w:val="0049510C"/>
    <w:rsid w:val="00497626"/>
    <w:rsid w:val="004A0704"/>
    <w:rsid w:val="004A13BD"/>
    <w:rsid w:val="004A1AF9"/>
    <w:rsid w:val="004A2A3A"/>
    <w:rsid w:val="004A2E6C"/>
    <w:rsid w:val="004A4695"/>
    <w:rsid w:val="004A4CB4"/>
    <w:rsid w:val="004A4F25"/>
    <w:rsid w:val="004A52E7"/>
    <w:rsid w:val="004A5400"/>
    <w:rsid w:val="004A6697"/>
    <w:rsid w:val="004A7122"/>
    <w:rsid w:val="004A7E8D"/>
    <w:rsid w:val="004B5C1C"/>
    <w:rsid w:val="004B709F"/>
    <w:rsid w:val="004B729F"/>
    <w:rsid w:val="004C052D"/>
    <w:rsid w:val="004C0AFA"/>
    <w:rsid w:val="004C1870"/>
    <w:rsid w:val="004C1A4C"/>
    <w:rsid w:val="004C1A7D"/>
    <w:rsid w:val="004C1FEA"/>
    <w:rsid w:val="004C2275"/>
    <w:rsid w:val="004C48CE"/>
    <w:rsid w:val="004C5C97"/>
    <w:rsid w:val="004C604A"/>
    <w:rsid w:val="004C71BD"/>
    <w:rsid w:val="004D03EC"/>
    <w:rsid w:val="004D0642"/>
    <w:rsid w:val="004D20A6"/>
    <w:rsid w:val="004D30D8"/>
    <w:rsid w:val="004D4B94"/>
    <w:rsid w:val="004D59F4"/>
    <w:rsid w:val="004D5A4B"/>
    <w:rsid w:val="004D5BDD"/>
    <w:rsid w:val="004D5E2A"/>
    <w:rsid w:val="004D6E35"/>
    <w:rsid w:val="004E0325"/>
    <w:rsid w:val="004E0F3F"/>
    <w:rsid w:val="004E12D7"/>
    <w:rsid w:val="004E1449"/>
    <w:rsid w:val="004E19DD"/>
    <w:rsid w:val="004E24C3"/>
    <w:rsid w:val="004E25CA"/>
    <w:rsid w:val="004E35D0"/>
    <w:rsid w:val="004E45A6"/>
    <w:rsid w:val="004E67E6"/>
    <w:rsid w:val="004E79B7"/>
    <w:rsid w:val="004F00B7"/>
    <w:rsid w:val="004F187D"/>
    <w:rsid w:val="004F1895"/>
    <w:rsid w:val="004F24A6"/>
    <w:rsid w:val="004F2803"/>
    <w:rsid w:val="004F2B9B"/>
    <w:rsid w:val="004F34AF"/>
    <w:rsid w:val="004F44F5"/>
    <w:rsid w:val="004F5AFB"/>
    <w:rsid w:val="004F5FEE"/>
    <w:rsid w:val="004F657F"/>
    <w:rsid w:val="004F691E"/>
    <w:rsid w:val="004F76C0"/>
    <w:rsid w:val="005000F4"/>
    <w:rsid w:val="00502098"/>
    <w:rsid w:val="005027D2"/>
    <w:rsid w:val="00502EC8"/>
    <w:rsid w:val="00503396"/>
    <w:rsid w:val="005062C9"/>
    <w:rsid w:val="0050708A"/>
    <w:rsid w:val="00507890"/>
    <w:rsid w:val="005079EB"/>
    <w:rsid w:val="00507F7F"/>
    <w:rsid w:val="005106F7"/>
    <w:rsid w:val="005107F8"/>
    <w:rsid w:val="00510E89"/>
    <w:rsid w:val="0051243B"/>
    <w:rsid w:val="00512AE6"/>
    <w:rsid w:val="00512E65"/>
    <w:rsid w:val="00515138"/>
    <w:rsid w:val="00516D8D"/>
    <w:rsid w:val="0052083F"/>
    <w:rsid w:val="005220E7"/>
    <w:rsid w:val="00522A09"/>
    <w:rsid w:val="0052396C"/>
    <w:rsid w:val="00523A51"/>
    <w:rsid w:val="0052648A"/>
    <w:rsid w:val="005272FC"/>
    <w:rsid w:val="0052784D"/>
    <w:rsid w:val="00527867"/>
    <w:rsid w:val="00527A8B"/>
    <w:rsid w:val="005316DB"/>
    <w:rsid w:val="0053195A"/>
    <w:rsid w:val="00532680"/>
    <w:rsid w:val="00532A5A"/>
    <w:rsid w:val="00533D55"/>
    <w:rsid w:val="00534412"/>
    <w:rsid w:val="00536864"/>
    <w:rsid w:val="00537BF0"/>
    <w:rsid w:val="00541A5C"/>
    <w:rsid w:val="00542667"/>
    <w:rsid w:val="00543199"/>
    <w:rsid w:val="0054350B"/>
    <w:rsid w:val="005435C7"/>
    <w:rsid w:val="005449D7"/>
    <w:rsid w:val="00546E8B"/>
    <w:rsid w:val="0054720D"/>
    <w:rsid w:val="005474CF"/>
    <w:rsid w:val="00550D7A"/>
    <w:rsid w:val="005519B1"/>
    <w:rsid w:val="005539F2"/>
    <w:rsid w:val="00553A93"/>
    <w:rsid w:val="00554839"/>
    <w:rsid w:val="0055583B"/>
    <w:rsid w:val="00556BE5"/>
    <w:rsid w:val="005603F3"/>
    <w:rsid w:val="00560842"/>
    <w:rsid w:val="0056118B"/>
    <w:rsid w:val="005616CD"/>
    <w:rsid w:val="00561A58"/>
    <w:rsid w:val="00562E3B"/>
    <w:rsid w:val="00563244"/>
    <w:rsid w:val="00563C51"/>
    <w:rsid w:val="00564158"/>
    <w:rsid w:val="00564F6A"/>
    <w:rsid w:val="005653EC"/>
    <w:rsid w:val="005660A9"/>
    <w:rsid w:val="00566B03"/>
    <w:rsid w:val="00570BC9"/>
    <w:rsid w:val="005719B6"/>
    <w:rsid w:val="00572137"/>
    <w:rsid w:val="00573A96"/>
    <w:rsid w:val="00573DAF"/>
    <w:rsid w:val="00574CE7"/>
    <w:rsid w:val="00574EEF"/>
    <w:rsid w:val="00575D44"/>
    <w:rsid w:val="00575E28"/>
    <w:rsid w:val="00575FBD"/>
    <w:rsid w:val="00576CAE"/>
    <w:rsid w:val="005807D2"/>
    <w:rsid w:val="005808F5"/>
    <w:rsid w:val="00580CA3"/>
    <w:rsid w:val="00581884"/>
    <w:rsid w:val="005819EE"/>
    <w:rsid w:val="00583925"/>
    <w:rsid w:val="005851B1"/>
    <w:rsid w:val="00585399"/>
    <w:rsid w:val="005853B0"/>
    <w:rsid w:val="00587237"/>
    <w:rsid w:val="005879B2"/>
    <w:rsid w:val="00591212"/>
    <w:rsid w:val="00591D37"/>
    <w:rsid w:val="00592B99"/>
    <w:rsid w:val="00592D3A"/>
    <w:rsid w:val="005932DE"/>
    <w:rsid w:val="00594F22"/>
    <w:rsid w:val="00597F73"/>
    <w:rsid w:val="005A056F"/>
    <w:rsid w:val="005A06EC"/>
    <w:rsid w:val="005A0EEB"/>
    <w:rsid w:val="005A2171"/>
    <w:rsid w:val="005A3381"/>
    <w:rsid w:val="005A36E1"/>
    <w:rsid w:val="005A429E"/>
    <w:rsid w:val="005A5AEA"/>
    <w:rsid w:val="005A5F89"/>
    <w:rsid w:val="005A6216"/>
    <w:rsid w:val="005A7713"/>
    <w:rsid w:val="005B1371"/>
    <w:rsid w:val="005B2B81"/>
    <w:rsid w:val="005B38AB"/>
    <w:rsid w:val="005B5066"/>
    <w:rsid w:val="005B6FEE"/>
    <w:rsid w:val="005B7AE9"/>
    <w:rsid w:val="005C1AF5"/>
    <w:rsid w:val="005C29A4"/>
    <w:rsid w:val="005C2AF5"/>
    <w:rsid w:val="005C3894"/>
    <w:rsid w:val="005C40F3"/>
    <w:rsid w:val="005C5178"/>
    <w:rsid w:val="005C5520"/>
    <w:rsid w:val="005C7B4C"/>
    <w:rsid w:val="005C7F0E"/>
    <w:rsid w:val="005D033F"/>
    <w:rsid w:val="005D06DB"/>
    <w:rsid w:val="005D1161"/>
    <w:rsid w:val="005D3F91"/>
    <w:rsid w:val="005D56A9"/>
    <w:rsid w:val="005D784E"/>
    <w:rsid w:val="005D7FB0"/>
    <w:rsid w:val="005E02CD"/>
    <w:rsid w:val="005E15A2"/>
    <w:rsid w:val="005E242C"/>
    <w:rsid w:val="005E3944"/>
    <w:rsid w:val="005E4368"/>
    <w:rsid w:val="005E5AFE"/>
    <w:rsid w:val="005E739B"/>
    <w:rsid w:val="005E7C57"/>
    <w:rsid w:val="005F09A4"/>
    <w:rsid w:val="005F09B2"/>
    <w:rsid w:val="005F0AFA"/>
    <w:rsid w:val="005F12C0"/>
    <w:rsid w:val="005F29F9"/>
    <w:rsid w:val="005F34AD"/>
    <w:rsid w:val="005F37B3"/>
    <w:rsid w:val="005F4D7D"/>
    <w:rsid w:val="005F51B9"/>
    <w:rsid w:val="005F6F1A"/>
    <w:rsid w:val="00600A24"/>
    <w:rsid w:val="00600B5D"/>
    <w:rsid w:val="00600E75"/>
    <w:rsid w:val="006011DB"/>
    <w:rsid w:val="0060178E"/>
    <w:rsid w:val="0060201B"/>
    <w:rsid w:val="00604294"/>
    <w:rsid w:val="00604E59"/>
    <w:rsid w:val="00604EC2"/>
    <w:rsid w:val="00605331"/>
    <w:rsid w:val="006076BF"/>
    <w:rsid w:val="006109A0"/>
    <w:rsid w:val="006118AB"/>
    <w:rsid w:val="00612405"/>
    <w:rsid w:val="0061272C"/>
    <w:rsid w:val="00612C73"/>
    <w:rsid w:val="00613112"/>
    <w:rsid w:val="00613583"/>
    <w:rsid w:val="00613BFD"/>
    <w:rsid w:val="00613DF5"/>
    <w:rsid w:val="0061488A"/>
    <w:rsid w:val="00614BB4"/>
    <w:rsid w:val="00621FC6"/>
    <w:rsid w:val="006223C6"/>
    <w:rsid w:val="006224D0"/>
    <w:rsid w:val="006227B5"/>
    <w:rsid w:val="00624537"/>
    <w:rsid w:val="00624CA9"/>
    <w:rsid w:val="006257F9"/>
    <w:rsid w:val="00625EA3"/>
    <w:rsid w:val="00626098"/>
    <w:rsid w:val="00627135"/>
    <w:rsid w:val="00630F1C"/>
    <w:rsid w:val="00631396"/>
    <w:rsid w:val="00631626"/>
    <w:rsid w:val="00633165"/>
    <w:rsid w:val="00633AE7"/>
    <w:rsid w:val="00633FA0"/>
    <w:rsid w:val="006340E3"/>
    <w:rsid w:val="00637359"/>
    <w:rsid w:val="0063777E"/>
    <w:rsid w:val="0064119F"/>
    <w:rsid w:val="006411E7"/>
    <w:rsid w:val="00644960"/>
    <w:rsid w:val="00644AF8"/>
    <w:rsid w:val="00644B1A"/>
    <w:rsid w:val="00645435"/>
    <w:rsid w:val="00647EB5"/>
    <w:rsid w:val="00650F66"/>
    <w:rsid w:val="00651ADF"/>
    <w:rsid w:val="00653A49"/>
    <w:rsid w:val="00656254"/>
    <w:rsid w:val="00656A39"/>
    <w:rsid w:val="0065731F"/>
    <w:rsid w:val="00660943"/>
    <w:rsid w:val="00660C25"/>
    <w:rsid w:val="00661890"/>
    <w:rsid w:val="00663B5B"/>
    <w:rsid w:val="00666C47"/>
    <w:rsid w:val="0066710E"/>
    <w:rsid w:val="00667A42"/>
    <w:rsid w:val="00667E15"/>
    <w:rsid w:val="0067024D"/>
    <w:rsid w:val="00671392"/>
    <w:rsid w:val="00671A1C"/>
    <w:rsid w:val="0067324D"/>
    <w:rsid w:val="00673D43"/>
    <w:rsid w:val="00675F0A"/>
    <w:rsid w:val="00676B16"/>
    <w:rsid w:val="00676B8E"/>
    <w:rsid w:val="00677AD7"/>
    <w:rsid w:val="00677AEC"/>
    <w:rsid w:val="006816BF"/>
    <w:rsid w:val="00681834"/>
    <w:rsid w:val="006818AD"/>
    <w:rsid w:val="00684725"/>
    <w:rsid w:val="00684F7D"/>
    <w:rsid w:val="0068542C"/>
    <w:rsid w:val="00687488"/>
    <w:rsid w:val="00690A70"/>
    <w:rsid w:val="00690E6B"/>
    <w:rsid w:val="00691423"/>
    <w:rsid w:val="0069154F"/>
    <w:rsid w:val="0069323D"/>
    <w:rsid w:val="0069360E"/>
    <w:rsid w:val="00693B06"/>
    <w:rsid w:val="00693F14"/>
    <w:rsid w:val="006954EB"/>
    <w:rsid w:val="00695625"/>
    <w:rsid w:val="0069655E"/>
    <w:rsid w:val="00696DB9"/>
    <w:rsid w:val="006A18D3"/>
    <w:rsid w:val="006A1E0B"/>
    <w:rsid w:val="006A2476"/>
    <w:rsid w:val="006A275E"/>
    <w:rsid w:val="006A27CB"/>
    <w:rsid w:val="006A3184"/>
    <w:rsid w:val="006A3DAD"/>
    <w:rsid w:val="006A3F15"/>
    <w:rsid w:val="006A48AC"/>
    <w:rsid w:val="006A4916"/>
    <w:rsid w:val="006A4A3C"/>
    <w:rsid w:val="006A54A7"/>
    <w:rsid w:val="006A5D93"/>
    <w:rsid w:val="006A676C"/>
    <w:rsid w:val="006A6969"/>
    <w:rsid w:val="006B0263"/>
    <w:rsid w:val="006B11FD"/>
    <w:rsid w:val="006B19FC"/>
    <w:rsid w:val="006B1E94"/>
    <w:rsid w:val="006B291F"/>
    <w:rsid w:val="006B2E2E"/>
    <w:rsid w:val="006B385D"/>
    <w:rsid w:val="006B4619"/>
    <w:rsid w:val="006B4C89"/>
    <w:rsid w:val="006B5066"/>
    <w:rsid w:val="006B5E35"/>
    <w:rsid w:val="006B714A"/>
    <w:rsid w:val="006B7D76"/>
    <w:rsid w:val="006C1618"/>
    <w:rsid w:val="006C1BEC"/>
    <w:rsid w:val="006C26FE"/>
    <w:rsid w:val="006C30DD"/>
    <w:rsid w:val="006C3854"/>
    <w:rsid w:val="006C51BD"/>
    <w:rsid w:val="006C61A4"/>
    <w:rsid w:val="006C66C5"/>
    <w:rsid w:val="006C6C24"/>
    <w:rsid w:val="006C6F64"/>
    <w:rsid w:val="006C736E"/>
    <w:rsid w:val="006D1B8B"/>
    <w:rsid w:val="006D2744"/>
    <w:rsid w:val="006D2BD9"/>
    <w:rsid w:val="006D2C37"/>
    <w:rsid w:val="006D31BE"/>
    <w:rsid w:val="006D4055"/>
    <w:rsid w:val="006D4457"/>
    <w:rsid w:val="006D584B"/>
    <w:rsid w:val="006D5A02"/>
    <w:rsid w:val="006D5C91"/>
    <w:rsid w:val="006D6033"/>
    <w:rsid w:val="006D6963"/>
    <w:rsid w:val="006E08DA"/>
    <w:rsid w:val="006E0AD9"/>
    <w:rsid w:val="006E0BDF"/>
    <w:rsid w:val="006E0F1E"/>
    <w:rsid w:val="006E1490"/>
    <w:rsid w:val="006E198B"/>
    <w:rsid w:val="006E2752"/>
    <w:rsid w:val="006E289E"/>
    <w:rsid w:val="006E28CC"/>
    <w:rsid w:val="006E506D"/>
    <w:rsid w:val="006E7270"/>
    <w:rsid w:val="006F128C"/>
    <w:rsid w:val="006F1B25"/>
    <w:rsid w:val="006F1E4B"/>
    <w:rsid w:val="006F2083"/>
    <w:rsid w:val="006F387D"/>
    <w:rsid w:val="006F38F3"/>
    <w:rsid w:val="006F4899"/>
    <w:rsid w:val="006F5352"/>
    <w:rsid w:val="006F582F"/>
    <w:rsid w:val="006F7B1C"/>
    <w:rsid w:val="00700231"/>
    <w:rsid w:val="007004DC"/>
    <w:rsid w:val="007026B0"/>
    <w:rsid w:val="0070340D"/>
    <w:rsid w:val="00703897"/>
    <w:rsid w:val="00703F20"/>
    <w:rsid w:val="0070556B"/>
    <w:rsid w:val="00705A59"/>
    <w:rsid w:val="00706BBF"/>
    <w:rsid w:val="007070F7"/>
    <w:rsid w:val="00707CAC"/>
    <w:rsid w:val="00707EF7"/>
    <w:rsid w:val="0071007C"/>
    <w:rsid w:val="0071063D"/>
    <w:rsid w:val="00710D15"/>
    <w:rsid w:val="007117D9"/>
    <w:rsid w:val="00716492"/>
    <w:rsid w:val="00716833"/>
    <w:rsid w:val="0071722F"/>
    <w:rsid w:val="00717C0E"/>
    <w:rsid w:val="00720ADD"/>
    <w:rsid w:val="00721C47"/>
    <w:rsid w:val="0072245A"/>
    <w:rsid w:val="00722DBB"/>
    <w:rsid w:val="00724242"/>
    <w:rsid w:val="00724315"/>
    <w:rsid w:val="00725D7C"/>
    <w:rsid w:val="00726FEE"/>
    <w:rsid w:val="0072700E"/>
    <w:rsid w:val="0073010F"/>
    <w:rsid w:val="0073151B"/>
    <w:rsid w:val="007319C1"/>
    <w:rsid w:val="00733BF3"/>
    <w:rsid w:val="00735348"/>
    <w:rsid w:val="00735540"/>
    <w:rsid w:val="00735DC7"/>
    <w:rsid w:val="00736E80"/>
    <w:rsid w:val="00737C08"/>
    <w:rsid w:val="0074192C"/>
    <w:rsid w:val="007430D7"/>
    <w:rsid w:val="007434E5"/>
    <w:rsid w:val="00743AB6"/>
    <w:rsid w:val="00744C3D"/>
    <w:rsid w:val="00746D4B"/>
    <w:rsid w:val="00747397"/>
    <w:rsid w:val="00747BA0"/>
    <w:rsid w:val="00747FE4"/>
    <w:rsid w:val="007509D1"/>
    <w:rsid w:val="00751CA7"/>
    <w:rsid w:val="00751EFA"/>
    <w:rsid w:val="007522EF"/>
    <w:rsid w:val="00752F45"/>
    <w:rsid w:val="0075318A"/>
    <w:rsid w:val="00754DFC"/>
    <w:rsid w:val="007554C7"/>
    <w:rsid w:val="00757A1A"/>
    <w:rsid w:val="00760F6F"/>
    <w:rsid w:val="007637F7"/>
    <w:rsid w:val="00764BE9"/>
    <w:rsid w:val="0076764A"/>
    <w:rsid w:val="007677FE"/>
    <w:rsid w:val="007709E0"/>
    <w:rsid w:val="0077255E"/>
    <w:rsid w:val="00772AE8"/>
    <w:rsid w:val="00772B78"/>
    <w:rsid w:val="007734BA"/>
    <w:rsid w:val="0077469E"/>
    <w:rsid w:val="00776627"/>
    <w:rsid w:val="0077714C"/>
    <w:rsid w:val="00777273"/>
    <w:rsid w:val="00777836"/>
    <w:rsid w:val="0077783A"/>
    <w:rsid w:val="00780029"/>
    <w:rsid w:val="00783C1E"/>
    <w:rsid w:val="00783D72"/>
    <w:rsid w:val="0078461F"/>
    <w:rsid w:val="0078520E"/>
    <w:rsid w:val="00785B54"/>
    <w:rsid w:val="00787296"/>
    <w:rsid w:val="00787BF8"/>
    <w:rsid w:val="00790B78"/>
    <w:rsid w:val="007918A2"/>
    <w:rsid w:val="00792B17"/>
    <w:rsid w:val="00794D95"/>
    <w:rsid w:val="00794E2A"/>
    <w:rsid w:val="007957C7"/>
    <w:rsid w:val="00795A77"/>
    <w:rsid w:val="00796078"/>
    <w:rsid w:val="00796233"/>
    <w:rsid w:val="00796CE9"/>
    <w:rsid w:val="007A0A63"/>
    <w:rsid w:val="007A0F9D"/>
    <w:rsid w:val="007A1ACF"/>
    <w:rsid w:val="007A2926"/>
    <w:rsid w:val="007A2F53"/>
    <w:rsid w:val="007A5AE0"/>
    <w:rsid w:val="007A5C24"/>
    <w:rsid w:val="007A6B91"/>
    <w:rsid w:val="007A6D7F"/>
    <w:rsid w:val="007B2243"/>
    <w:rsid w:val="007B231E"/>
    <w:rsid w:val="007B259C"/>
    <w:rsid w:val="007B2BFF"/>
    <w:rsid w:val="007B4AF3"/>
    <w:rsid w:val="007B4C3F"/>
    <w:rsid w:val="007B5651"/>
    <w:rsid w:val="007B5B60"/>
    <w:rsid w:val="007B709B"/>
    <w:rsid w:val="007B71CC"/>
    <w:rsid w:val="007B74B5"/>
    <w:rsid w:val="007C0DAA"/>
    <w:rsid w:val="007C1035"/>
    <w:rsid w:val="007C121A"/>
    <w:rsid w:val="007C1C89"/>
    <w:rsid w:val="007C31E6"/>
    <w:rsid w:val="007C3D64"/>
    <w:rsid w:val="007C402D"/>
    <w:rsid w:val="007C421F"/>
    <w:rsid w:val="007C48B9"/>
    <w:rsid w:val="007C5540"/>
    <w:rsid w:val="007C581B"/>
    <w:rsid w:val="007C671E"/>
    <w:rsid w:val="007C7D66"/>
    <w:rsid w:val="007D046A"/>
    <w:rsid w:val="007D1F23"/>
    <w:rsid w:val="007D2C66"/>
    <w:rsid w:val="007D307A"/>
    <w:rsid w:val="007D55E5"/>
    <w:rsid w:val="007D6714"/>
    <w:rsid w:val="007D773B"/>
    <w:rsid w:val="007E1ED2"/>
    <w:rsid w:val="007E578B"/>
    <w:rsid w:val="007E5898"/>
    <w:rsid w:val="007E5963"/>
    <w:rsid w:val="007E5E89"/>
    <w:rsid w:val="007E7383"/>
    <w:rsid w:val="007F1708"/>
    <w:rsid w:val="007F19B1"/>
    <w:rsid w:val="007F2486"/>
    <w:rsid w:val="007F2B0B"/>
    <w:rsid w:val="007F4713"/>
    <w:rsid w:val="007F5040"/>
    <w:rsid w:val="007F5F0E"/>
    <w:rsid w:val="007F6FA1"/>
    <w:rsid w:val="007F7713"/>
    <w:rsid w:val="007F7744"/>
    <w:rsid w:val="007F7C3C"/>
    <w:rsid w:val="008000A2"/>
    <w:rsid w:val="0080115A"/>
    <w:rsid w:val="0080242C"/>
    <w:rsid w:val="00802540"/>
    <w:rsid w:val="0080328B"/>
    <w:rsid w:val="00804C06"/>
    <w:rsid w:val="00804D67"/>
    <w:rsid w:val="0080500C"/>
    <w:rsid w:val="008078C8"/>
    <w:rsid w:val="00810008"/>
    <w:rsid w:val="008109ED"/>
    <w:rsid w:val="00812A80"/>
    <w:rsid w:val="00812B3C"/>
    <w:rsid w:val="00813166"/>
    <w:rsid w:val="00814D44"/>
    <w:rsid w:val="008150EF"/>
    <w:rsid w:val="00816036"/>
    <w:rsid w:val="008162FF"/>
    <w:rsid w:val="00816C9B"/>
    <w:rsid w:val="00817D36"/>
    <w:rsid w:val="00820A91"/>
    <w:rsid w:val="00820FD9"/>
    <w:rsid w:val="00821759"/>
    <w:rsid w:val="00822055"/>
    <w:rsid w:val="00824139"/>
    <w:rsid w:val="008264A4"/>
    <w:rsid w:val="00827C4B"/>
    <w:rsid w:val="00830486"/>
    <w:rsid w:val="00830F07"/>
    <w:rsid w:val="00832EB3"/>
    <w:rsid w:val="00833204"/>
    <w:rsid w:val="00833519"/>
    <w:rsid w:val="008344C6"/>
    <w:rsid w:val="00836AB1"/>
    <w:rsid w:val="00837048"/>
    <w:rsid w:val="0084193A"/>
    <w:rsid w:val="0084256C"/>
    <w:rsid w:val="00843387"/>
    <w:rsid w:val="00843445"/>
    <w:rsid w:val="00843EB1"/>
    <w:rsid w:val="008441A8"/>
    <w:rsid w:val="008449C3"/>
    <w:rsid w:val="00844E53"/>
    <w:rsid w:val="0084552C"/>
    <w:rsid w:val="00850EB1"/>
    <w:rsid w:val="008513C2"/>
    <w:rsid w:val="00860050"/>
    <w:rsid w:val="00861F24"/>
    <w:rsid w:val="00862F3E"/>
    <w:rsid w:val="008641AE"/>
    <w:rsid w:val="0086423B"/>
    <w:rsid w:val="00865253"/>
    <w:rsid w:val="00866B8C"/>
    <w:rsid w:val="0087083A"/>
    <w:rsid w:val="00871C37"/>
    <w:rsid w:val="00871DC1"/>
    <w:rsid w:val="008728CE"/>
    <w:rsid w:val="0087299D"/>
    <w:rsid w:val="00874F08"/>
    <w:rsid w:val="008759DE"/>
    <w:rsid w:val="008759F7"/>
    <w:rsid w:val="00875C47"/>
    <w:rsid w:val="00875F74"/>
    <w:rsid w:val="00876206"/>
    <w:rsid w:val="00877404"/>
    <w:rsid w:val="00877E3F"/>
    <w:rsid w:val="00881002"/>
    <w:rsid w:val="00882BB4"/>
    <w:rsid w:val="008849AD"/>
    <w:rsid w:val="00884E78"/>
    <w:rsid w:val="00884F17"/>
    <w:rsid w:val="00885164"/>
    <w:rsid w:val="00885451"/>
    <w:rsid w:val="00885645"/>
    <w:rsid w:val="00893E79"/>
    <w:rsid w:val="008944FC"/>
    <w:rsid w:val="00896BD2"/>
    <w:rsid w:val="008A0822"/>
    <w:rsid w:val="008A0D4E"/>
    <w:rsid w:val="008A0E67"/>
    <w:rsid w:val="008A3313"/>
    <w:rsid w:val="008B13A6"/>
    <w:rsid w:val="008B27A2"/>
    <w:rsid w:val="008B36E5"/>
    <w:rsid w:val="008B3950"/>
    <w:rsid w:val="008B3ACA"/>
    <w:rsid w:val="008B3AD0"/>
    <w:rsid w:val="008B3DC4"/>
    <w:rsid w:val="008B69B3"/>
    <w:rsid w:val="008B6E71"/>
    <w:rsid w:val="008B7298"/>
    <w:rsid w:val="008C09DB"/>
    <w:rsid w:val="008C1944"/>
    <w:rsid w:val="008C2385"/>
    <w:rsid w:val="008C29FF"/>
    <w:rsid w:val="008C2D2F"/>
    <w:rsid w:val="008C317A"/>
    <w:rsid w:val="008C5919"/>
    <w:rsid w:val="008C593C"/>
    <w:rsid w:val="008C5E13"/>
    <w:rsid w:val="008C64DD"/>
    <w:rsid w:val="008C795F"/>
    <w:rsid w:val="008D0709"/>
    <w:rsid w:val="008D2135"/>
    <w:rsid w:val="008D2AD4"/>
    <w:rsid w:val="008D2B63"/>
    <w:rsid w:val="008D74C8"/>
    <w:rsid w:val="008E13A7"/>
    <w:rsid w:val="008E1A78"/>
    <w:rsid w:val="008E1B0F"/>
    <w:rsid w:val="008E22B4"/>
    <w:rsid w:val="008E245C"/>
    <w:rsid w:val="008E2743"/>
    <w:rsid w:val="008E2775"/>
    <w:rsid w:val="008E3570"/>
    <w:rsid w:val="008E3A6E"/>
    <w:rsid w:val="008E40C1"/>
    <w:rsid w:val="008E6700"/>
    <w:rsid w:val="008F0553"/>
    <w:rsid w:val="008F1718"/>
    <w:rsid w:val="008F216B"/>
    <w:rsid w:val="008F294A"/>
    <w:rsid w:val="008F29D6"/>
    <w:rsid w:val="008F31A6"/>
    <w:rsid w:val="008F3A5D"/>
    <w:rsid w:val="008F3B1B"/>
    <w:rsid w:val="008F6521"/>
    <w:rsid w:val="008F7E38"/>
    <w:rsid w:val="009002CD"/>
    <w:rsid w:val="00900601"/>
    <w:rsid w:val="00902493"/>
    <w:rsid w:val="009037AE"/>
    <w:rsid w:val="00903817"/>
    <w:rsid w:val="009051C6"/>
    <w:rsid w:val="00905E6E"/>
    <w:rsid w:val="0090660B"/>
    <w:rsid w:val="00907709"/>
    <w:rsid w:val="0090776C"/>
    <w:rsid w:val="009078F9"/>
    <w:rsid w:val="00907B2D"/>
    <w:rsid w:val="00907E6C"/>
    <w:rsid w:val="00910543"/>
    <w:rsid w:val="00910A54"/>
    <w:rsid w:val="00911FA5"/>
    <w:rsid w:val="00912907"/>
    <w:rsid w:val="00912E48"/>
    <w:rsid w:val="00912FC0"/>
    <w:rsid w:val="00913018"/>
    <w:rsid w:val="00914B32"/>
    <w:rsid w:val="0091551B"/>
    <w:rsid w:val="00915C12"/>
    <w:rsid w:val="00920540"/>
    <w:rsid w:val="00920DDB"/>
    <w:rsid w:val="009212B7"/>
    <w:rsid w:val="00921DCD"/>
    <w:rsid w:val="00922538"/>
    <w:rsid w:val="00923384"/>
    <w:rsid w:val="0092367A"/>
    <w:rsid w:val="009271B0"/>
    <w:rsid w:val="0093093C"/>
    <w:rsid w:val="009311C4"/>
    <w:rsid w:val="009317EC"/>
    <w:rsid w:val="009332F5"/>
    <w:rsid w:val="0093481A"/>
    <w:rsid w:val="00935B4D"/>
    <w:rsid w:val="00935ED8"/>
    <w:rsid w:val="00937F61"/>
    <w:rsid w:val="0094034E"/>
    <w:rsid w:val="009403C9"/>
    <w:rsid w:val="009429CB"/>
    <w:rsid w:val="00942E27"/>
    <w:rsid w:val="00943730"/>
    <w:rsid w:val="0094463D"/>
    <w:rsid w:val="00944B15"/>
    <w:rsid w:val="00944D95"/>
    <w:rsid w:val="00945449"/>
    <w:rsid w:val="0094556E"/>
    <w:rsid w:val="00945E25"/>
    <w:rsid w:val="00946FE4"/>
    <w:rsid w:val="0094702B"/>
    <w:rsid w:val="0095219D"/>
    <w:rsid w:val="00954605"/>
    <w:rsid w:val="00955FA6"/>
    <w:rsid w:val="009567FA"/>
    <w:rsid w:val="0095728D"/>
    <w:rsid w:val="009572E6"/>
    <w:rsid w:val="009577CC"/>
    <w:rsid w:val="00960803"/>
    <w:rsid w:val="00960DA1"/>
    <w:rsid w:val="00960ECE"/>
    <w:rsid w:val="00961602"/>
    <w:rsid w:val="0096261B"/>
    <w:rsid w:val="00962FAD"/>
    <w:rsid w:val="009643DA"/>
    <w:rsid w:val="00964CB4"/>
    <w:rsid w:val="009661A1"/>
    <w:rsid w:val="009666BC"/>
    <w:rsid w:val="00967B5C"/>
    <w:rsid w:val="009710CF"/>
    <w:rsid w:val="00971512"/>
    <w:rsid w:val="009728B8"/>
    <w:rsid w:val="00974887"/>
    <w:rsid w:val="00974E64"/>
    <w:rsid w:val="00977310"/>
    <w:rsid w:val="00980209"/>
    <w:rsid w:val="00980552"/>
    <w:rsid w:val="00981CDA"/>
    <w:rsid w:val="00982209"/>
    <w:rsid w:val="009832CC"/>
    <w:rsid w:val="00984019"/>
    <w:rsid w:val="0098721F"/>
    <w:rsid w:val="009913D1"/>
    <w:rsid w:val="00993BDE"/>
    <w:rsid w:val="00994411"/>
    <w:rsid w:val="00994FEF"/>
    <w:rsid w:val="009953CA"/>
    <w:rsid w:val="009954E4"/>
    <w:rsid w:val="009956B1"/>
    <w:rsid w:val="00995B58"/>
    <w:rsid w:val="00995C82"/>
    <w:rsid w:val="00995DCA"/>
    <w:rsid w:val="0099608E"/>
    <w:rsid w:val="00996286"/>
    <w:rsid w:val="00996863"/>
    <w:rsid w:val="009A0F8F"/>
    <w:rsid w:val="009A1688"/>
    <w:rsid w:val="009A2465"/>
    <w:rsid w:val="009A3381"/>
    <w:rsid w:val="009A396F"/>
    <w:rsid w:val="009A3B86"/>
    <w:rsid w:val="009A403C"/>
    <w:rsid w:val="009A42BA"/>
    <w:rsid w:val="009A4F11"/>
    <w:rsid w:val="009A4FF5"/>
    <w:rsid w:val="009A67FC"/>
    <w:rsid w:val="009A7BE2"/>
    <w:rsid w:val="009B05B5"/>
    <w:rsid w:val="009B3766"/>
    <w:rsid w:val="009B3D77"/>
    <w:rsid w:val="009B4BFC"/>
    <w:rsid w:val="009B4D51"/>
    <w:rsid w:val="009B4D78"/>
    <w:rsid w:val="009B53C6"/>
    <w:rsid w:val="009B5D44"/>
    <w:rsid w:val="009B720B"/>
    <w:rsid w:val="009B76CA"/>
    <w:rsid w:val="009C02D9"/>
    <w:rsid w:val="009C09CB"/>
    <w:rsid w:val="009C0F08"/>
    <w:rsid w:val="009C1374"/>
    <w:rsid w:val="009C1730"/>
    <w:rsid w:val="009C1F14"/>
    <w:rsid w:val="009C21AF"/>
    <w:rsid w:val="009C2669"/>
    <w:rsid w:val="009C3317"/>
    <w:rsid w:val="009C4882"/>
    <w:rsid w:val="009C49B1"/>
    <w:rsid w:val="009C4AD7"/>
    <w:rsid w:val="009C4F1D"/>
    <w:rsid w:val="009C573C"/>
    <w:rsid w:val="009D23A4"/>
    <w:rsid w:val="009D3425"/>
    <w:rsid w:val="009D370C"/>
    <w:rsid w:val="009D4768"/>
    <w:rsid w:val="009D5B5E"/>
    <w:rsid w:val="009D64E5"/>
    <w:rsid w:val="009D78FA"/>
    <w:rsid w:val="009E0354"/>
    <w:rsid w:val="009E1242"/>
    <w:rsid w:val="009E1C4B"/>
    <w:rsid w:val="009E2C2D"/>
    <w:rsid w:val="009E3AD9"/>
    <w:rsid w:val="009E477D"/>
    <w:rsid w:val="009E4AA5"/>
    <w:rsid w:val="009E5498"/>
    <w:rsid w:val="009E5D40"/>
    <w:rsid w:val="009E7302"/>
    <w:rsid w:val="009F09AB"/>
    <w:rsid w:val="009F1A8B"/>
    <w:rsid w:val="009F1CAE"/>
    <w:rsid w:val="009F2270"/>
    <w:rsid w:val="009F2F10"/>
    <w:rsid w:val="009F3581"/>
    <w:rsid w:val="009F4A4A"/>
    <w:rsid w:val="009F4F0F"/>
    <w:rsid w:val="009F5CAE"/>
    <w:rsid w:val="009F6C0D"/>
    <w:rsid w:val="009F7032"/>
    <w:rsid w:val="009F7B11"/>
    <w:rsid w:val="00A018E6"/>
    <w:rsid w:val="00A042DE"/>
    <w:rsid w:val="00A04620"/>
    <w:rsid w:val="00A06485"/>
    <w:rsid w:val="00A06A08"/>
    <w:rsid w:val="00A1162C"/>
    <w:rsid w:val="00A13175"/>
    <w:rsid w:val="00A144C3"/>
    <w:rsid w:val="00A149E0"/>
    <w:rsid w:val="00A16370"/>
    <w:rsid w:val="00A171B1"/>
    <w:rsid w:val="00A17F84"/>
    <w:rsid w:val="00A20E21"/>
    <w:rsid w:val="00A2116C"/>
    <w:rsid w:val="00A21A40"/>
    <w:rsid w:val="00A22DE3"/>
    <w:rsid w:val="00A239BC"/>
    <w:rsid w:val="00A24570"/>
    <w:rsid w:val="00A263DD"/>
    <w:rsid w:val="00A26C24"/>
    <w:rsid w:val="00A270FB"/>
    <w:rsid w:val="00A279A6"/>
    <w:rsid w:val="00A30B7E"/>
    <w:rsid w:val="00A334B4"/>
    <w:rsid w:val="00A34E68"/>
    <w:rsid w:val="00A357B5"/>
    <w:rsid w:val="00A36291"/>
    <w:rsid w:val="00A368A7"/>
    <w:rsid w:val="00A37493"/>
    <w:rsid w:val="00A402F7"/>
    <w:rsid w:val="00A419BF"/>
    <w:rsid w:val="00A41B37"/>
    <w:rsid w:val="00A426B7"/>
    <w:rsid w:val="00A42829"/>
    <w:rsid w:val="00A43FDE"/>
    <w:rsid w:val="00A44FBE"/>
    <w:rsid w:val="00A4555A"/>
    <w:rsid w:val="00A465B0"/>
    <w:rsid w:val="00A465CA"/>
    <w:rsid w:val="00A46736"/>
    <w:rsid w:val="00A46D98"/>
    <w:rsid w:val="00A47822"/>
    <w:rsid w:val="00A50135"/>
    <w:rsid w:val="00A50191"/>
    <w:rsid w:val="00A50714"/>
    <w:rsid w:val="00A50FAE"/>
    <w:rsid w:val="00A51627"/>
    <w:rsid w:val="00A53012"/>
    <w:rsid w:val="00A53B3D"/>
    <w:rsid w:val="00A56079"/>
    <w:rsid w:val="00A5686E"/>
    <w:rsid w:val="00A5743A"/>
    <w:rsid w:val="00A57F3E"/>
    <w:rsid w:val="00A626D2"/>
    <w:rsid w:val="00A64748"/>
    <w:rsid w:val="00A64A06"/>
    <w:rsid w:val="00A65112"/>
    <w:rsid w:val="00A71EE7"/>
    <w:rsid w:val="00A723EB"/>
    <w:rsid w:val="00A72428"/>
    <w:rsid w:val="00A72665"/>
    <w:rsid w:val="00A73E98"/>
    <w:rsid w:val="00A77CFC"/>
    <w:rsid w:val="00A8064C"/>
    <w:rsid w:val="00A8070E"/>
    <w:rsid w:val="00A822C2"/>
    <w:rsid w:val="00A823BE"/>
    <w:rsid w:val="00A825CD"/>
    <w:rsid w:val="00A82BE9"/>
    <w:rsid w:val="00A82D44"/>
    <w:rsid w:val="00A865E5"/>
    <w:rsid w:val="00A86DF5"/>
    <w:rsid w:val="00A87982"/>
    <w:rsid w:val="00A906FC"/>
    <w:rsid w:val="00A90E77"/>
    <w:rsid w:val="00A91510"/>
    <w:rsid w:val="00A9278E"/>
    <w:rsid w:val="00A9365B"/>
    <w:rsid w:val="00A93804"/>
    <w:rsid w:val="00A95309"/>
    <w:rsid w:val="00A9736D"/>
    <w:rsid w:val="00A97D2E"/>
    <w:rsid w:val="00AA0C55"/>
    <w:rsid w:val="00AA1123"/>
    <w:rsid w:val="00AA14B5"/>
    <w:rsid w:val="00AA2D8A"/>
    <w:rsid w:val="00AA3F29"/>
    <w:rsid w:val="00AA452D"/>
    <w:rsid w:val="00AA46A8"/>
    <w:rsid w:val="00AA51F5"/>
    <w:rsid w:val="00AA522F"/>
    <w:rsid w:val="00AA5438"/>
    <w:rsid w:val="00AA5C94"/>
    <w:rsid w:val="00AA6961"/>
    <w:rsid w:val="00AB1483"/>
    <w:rsid w:val="00AB28F5"/>
    <w:rsid w:val="00AB29BC"/>
    <w:rsid w:val="00AB2AF6"/>
    <w:rsid w:val="00AB5A56"/>
    <w:rsid w:val="00AB5F1F"/>
    <w:rsid w:val="00AB698B"/>
    <w:rsid w:val="00AC05D1"/>
    <w:rsid w:val="00AC22A4"/>
    <w:rsid w:val="00AC2BAA"/>
    <w:rsid w:val="00AC2DEA"/>
    <w:rsid w:val="00AC6502"/>
    <w:rsid w:val="00AC698D"/>
    <w:rsid w:val="00AC7C54"/>
    <w:rsid w:val="00AD105B"/>
    <w:rsid w:val="00AD16DF"/>
    <w:rsid w:val="00AD1843"/>
    <w:rsid w:val="00AD381B"/>
    <w:rsid w:val="00AD60A3"/>
    <w:rsid w:val="00AE0381"/>
    <w:rsid w:val="00AE03EB"/>
    <w:rsid w:val="00AE1C47"/>
    <w:rsid w:val="00AE63B6"/>
    <w:rsid w:val="00AE66A5"/>
    <w:rsid w:val="00AE772A"/>
    <w:rsid w:val="00AF0659"/>
    <w:rsid w:val="00AF0B81"/>
    <w:rsid w:val="00AF0DDD"/>
    <w:rsid w:val="00AF24B6"/>
    <w:rsid w:val="00AF39EB"/>
    <w:rsid w:val="00AF4F46"/>
    <w:rsid w:val="00AF4F79"/>
    <w:rsid w:val="00AF5357"/>
    <w:rsid w:val="00AF555A"/>
    <w:rsid w:val="00AF7429"/>
    <w:rsid w:val="00AF7EEC"/>
    <w:rsid w:val="00B001B0"/>
    <w:rsid w:val="00B01564"/>
    <w:rsid w:val="00B01AE5"/>
    <w:rsid w:val="00B01EF6"/>
    <w:rsid w:val="00B026D8"/>
    <w:rsid w:val="00B02CE3"/>
    <w:rsid w:val="00B04532"/>
    <w:rsid w:val="00B0463E"/>
    <w:rsid w:val="00B0552B"/>
    <w:rsid w:val="00B065BA"/>
    <w:rsid w:val="00B073B7"/>
    <w:rsid w:val="00B075A8"/>
    <w:rsid w:val="00B07AA2"/>
    <w:rsid w:val="00B11E50"/>
    <w:rsid w:val="00B1342D"/>
    <w:rsid w:val="00B14BF0"/>
    <w:rsid w:val="00B16186"/>
    <w:rsid w:val="00B161E8"/>
    <w:rsid w:val="00B16A0A"/>
    <w:rsid w:val="00B16A75"/>
    <w:rsid w:val="00B1721E"/>
    <w:rsid w:val="00B206AD"/>
    <w:rsid w:val="00B2186C"/>
    <w:rsid w:val="00B2189E"/>
    <w:rsid w:val="00B22399"/>
    <w:rsid w:val="00B22B58"/>
    <w:rsid w:val="00B243D6"/>
    <w:rsid w:val="00B25194"/>
    <w:rsid w:val="00B2570C"/>
    <w:rsid w:val="00B26223"/>
    <w:rsid w:val="00B264CA"/>
    <w:rsid w:val="00B265DF"/>
    <w:rsid w:val="00B27BF6"/>
    <w:rsid w:val="00B30494"/>
    <w:rsid w:val="00B31308"/>
    <w:rsid w:val="00B31539"/>
    <w:rsid w:val="00B319FF"/>
    <w:rsid w:val="00B31C0F"/>
    <w:rsid w:val="00B31DFE"/>
    <w:rsid w:val="00B31EE2"/>
    <w:rsid w:val="00B334D6"/>
    <w:rsid w:val="00B342B8"/>
    <w:rsid w:val="00B3456C"/>
    <w:rsid w:val="00B364EF"/>
    <w:rsid w:val="00B36800"/>
    <w:rsid w:val="00B41A33"/>
    <w:rsid w:val="00B432F7"/>
    <w:rsid w:val="00B4423F"/>
    <w:rsid w:val="00B44E26"/>
    <w:rsid w:val="00B451DA"/>
    <w:rsid w:val="00B4658E"/>
    <w:rsid w:val="00B46F12"/>
    <w:rsid w:val="00B47308"/>
    <w:rsid w:val="00B47439"/>
    <w:rsid w:val="00B47B72"/>
    <w:rsid w:val="00B50A1B"/>
    <w:rsid w:val="00B511CC"/>
    <w:rsid w:val="00B520C3"/>
    <w:rsid w:val="00B521A3"/>
    <w:rsid w:val="00B52827"/>
    <w:rsid w:val="00B529B4"/>
    <w:rsid w:val="00B54398"/>
    <w:rsid w:val="00B553F1"/>
    <w:rsid w:val="00B556C2"/>
    <w:rsid w:val="00B55F58"/>
    <w:rsid w:val="00B56058"/>
    <w:rsid w:val="00B5643D"/>
    <w:rsid w:val="00B569E7"/>
    <w:rsid w:val="00B5772B"/>
    <w:rsid w:val="00B577EB"/>
    <w:rsid w:val="00B60B84"/>
    <w:rsid w:val="00B61B0A"/>
    <w:rsid w:val="00B65038"/>
    <w:rsid w:val="00B662F3"/>
    <w:rsid w:val="00B66A70"/>
    <w:rsid w:val="00B66B96"/>
    <w:rsid w:val="00B66EFE"/>
    <w:rsid w:val="00B70F4B"/>
    <w:rsid w:val="00B722AF"/>
    <w:rsid w:val="00B734A4"/>
    <w:rsid w:val="00B73520"/>
    <w:rsid w:val="00B7359E"/>
    <w:rsid w:val="00B73AE4"/>
    <w:rsid w:val="00B73B51"/>
    <w:rsid w:val="00B753BE"/>
    <w:rsid w:val="00B75FBC"/>
    <w:rsid w:val="00B7768E"/>
    <w:rsid w:val="00B80558"/>
    <w:rsid w:val="00B80591"/>
    <w:rsid w:val="00B80CFA"/>
    <w:rsid w:val="00B81993"/>
    <w:rsid w:val="00B81C5F"/>
    <w:rsid w:val="00B82499"/>
    <w:rsid w:val="00B82699"/>
    <w:rsid w:val="00B82B4D"/>
    <w:rsid w:val="00B8417E"/>
    <w:rsid w:val="00B84731"/>
    <w:rsid w:val="00B84746"/>
    <w:rsid w:val="00B849DC"/>
    <w:rsid w:val="00B86FD5"/>
    <w:rsid w:val="00B87477"/>
    <w:rsid w:val="00B875A3"/>
    <w:rsid w:val="00B87FD7"/>
    <w:rsid w:val="00B90AFD"/>
    <w:rsid w:val="00B91433"/>
    <w:rsid w:val="00B91A94"/>
    <w:rsid w:val="00B92D5D"/>
    <w:rsid w:val="00B93D9C"/>
    <w:rsid w:val="00B9594D"/>
    <w:rsid w:val="00B95CF1"/>
    <w:rsid w:val="00B97468"/>
    <w:rsid w:val="00B97F50"/>
    <w:rsid w:val="00B97FC5"/>
    <w:rsid w:val="00BA12BE"/>
    <w:rsid w:val="00BA25AC"/>
    <w:rsid w:val="00BA35C5"/>
    <w:rsid w:val="00BA3807"/>
    <w:rsid w:val="00BA4D65"/>
    <w:rsid w:val="00BA612F"/>
    <w:rsid w:val="00BA77C3"/>
    <w:rsid w:val="00BA7C9A"/>
    <w:rsid w:val="00BB20BA"/>
    <w:rsid w:val="00BB2EFF"/>
    <w:rsid w:val="00BB34F5"/>
    <w:rsid w:val="00BB4342"/>
    <w:rsid w:val="00BB5075"/>
    <w:rsid w:val="00BB5192"/>
    <w:rsid w:val="00BB7411"/>
    <w:rsid w:val="00BB7635"/>
    <w:rsid w:val="00BB7DF0"/>
    <w:rsid w:val="00BB7FB6"/>
    <w:rsid w:val="00BC12A1"/>
    <w:rsid w:val="00BC15B1"/>
    <w:rsid w:val="00BC2E3E"/>
    <w:rsid w:val="00BC2F12"/>
    <w:rsid w:val="00BC31EF"/>
    <w:rsid w:val="00BC3B0E"/>
    <w:rsid w:val="00BC5916"/>
    <w:rsid w:val="00BC60A9"/>
    <w:rsid w:val="00BC612E"/>
    <w:rsid w:val="00BD0F10"/>
    <w:rsid w:val="00BD1056"/>
    <w:rsid w:val="00BD1693"/>
    <w:rsid w:val="00BD2834"/>
    <w:rsid w:val="00BD30AC"/>
    <w:rsid w:val="00BD4999"/>
    <w:rsid w:val="00BD71EC"/>
    <w:rsid w:val="00BD7CEA"/>
    <w:rsid w:val="00BE181E"/>
    <w:rsid w:val="00BE38A5"/>
    <w:rsid w:val="00BE3BA1"/>
    <w:rsid w:val="00BE5159"/>
    <w:rsid w:val="00BE5260"/>
    <w:rsid w:val="00BE6945"/>
    <w:rsid w:val="00BE6EC9"/>
    <w:rsid w:val="00BE7AE5"/>
    <w:rsid w:val="00BF02EC"/>
    <w:rsid w:val="00BF0BDF"/>
    <w:rsid w:val="00BF2ABB"/>
    <w:rsid w:val="00BF3729"/>
    <w:rsid w:val="00BF5F50"/>
    <w:rsid w:val="00BF7205"/>
    <w:rsid w:val="00BF7B15"/>
    <w:rsid w:val="00C0057E"/>
    <w:rsid w:val="00C0133E"/>
    <w:rsid w:val="00C01CD8"/>
    <w:rsid w:val="00C02147"/>
    <w:rsid w:val="00C03566"/>
    <w:rsid w:val="00C04434"/>
    <w:rsid w:val="00C0594A"/>
    <w:rsid w:val="00C06109"/>
    <w:rsid w:val="00C0642A"/>
    <w:rsid w:val="00C10DD8"/>
    <w:rsid w:val="00C1118A"/>
    <w:rsid w:val="00C1127F"/>
    <w:rsid w:val="00C1247E"/>
    <w:rsid w:val="00C13D66"/>
    <w:rsid w:val="00C15501"/>
    <w:rsid w:val="00C15B8B"/>
    <w:rsid w:val="00C167C3"/>
    <w:rsid w:val="00C16D0A"/>
    <w:rsid w:val="00C174CC"/>
    <w:rsid w:val="00C178C0"/>
    <w:rsid w:val="00C20AC7"/>
    <w:rsid w:val="00C20DC2"/>
    <w:rsid w:val="00C23643"/>
    <w:rsid w:val="00C23BE9"/>
    <w:rsid w:val="00C253F7"/>
    <w:rsid w:val="00C25F76"/>
    <w:rsid w:val="00C261B5"/>
    <w:rsid w:val="00C26B27"/>
    <w:rsid w:val="00C30403"/>
    <w:rsid w:val="00C311E4"/>
    <w:rsid w:val="00C31E56"/>
    <w:rsid w:val="00C3204B"/>
    <w:rsid w:val="00C327C3"/>
    <w:rsid w:val="00C32F41"/>
    <w:rsid w:val="00C33088"/>
    <w:rsid w:val="00C333A6"/>
    <w:rsid w:val="00C334E0"/>
    <w:rsid w:val="00C341A6"/>
    <w:rsid w:val="00C34B95"/>
    <w:rsid w:val="00C36D7D"/>
    <w:rsid w:val="00C36EB3"/>
    <w:rsid w:val="00C37D53"/>
    <w:rsid w:val="00C40AFA"/>
    <w:rsid w:val="00C41BD8"/>
    <w:rsid w:val="00C41D8C"/>
    <w:rsid w:val="00C436E2"/>
    <w:rsid w:val="00C438D8"/>
    <w:rsid w:val="00C43B8B"/>
    <w:rsid w:val="00C45382"/>
    <w:rsid w:val="00C46952"/>
    <w:rsid w:val="00C46D04"/>
    <w:rsid w:val="00C46FA6"/>
    <w:rsid w:val="00C47090"/>
    <w:rsid w:val="00C47804"/>
    <w:rsid w:val="00C50993"/>
    <w:rsid w:val="00C51884"/>
    <w:rsid w:val="00C52F62"/>
    <w:rsid w:val="00C537CB"/>
    <w:rsid w:val="00C539A2"/>
    <w:rsid w:val="00C53CF5"/>
    <w:rsid w:val="00C54B0D"/>
    <w:rsid w:val="00C54C07"/>
    <w:rsid w:val="00C55245"/>
    <w:rsid w:val="00C5531F"/>
    <w:rsid w:val="00C55A60"/>
    <w:rsid w:val="00C55B06"/>
    <w:rsid w:val="00C5690F"/>
    <w:rsid w:val="00C56CEC"/>
    <w:rsid w:val="00C579C1"/>
    <w:rsid w:val="00C57F9F"/>
    <w:rsid w:val="00C60C64"/>
    <w:rsid w:val="00C60FD7"/>
    <w:rsid w:val="00C61829"/>
    <w:rsid w:val="00C61C97"/>
    <w:rsid w:val="00C64C09"/>
    <w:rsid w:val="00C6550B"/>
    <w:rsid w:val="00C65BE5"/>
    <w:rsid w:val="00C65C43"/>
    <w:rsid w:val="00C65D56"/>
    <w:rsid w:val="00C67BF0"/>
    <w:rsid w:val="00C67E99"/>
    <w:rsid w:val="00C70F7E"/>
    <w:rsid w:val="00C7142D"/>
    <w:rsid w:val="00C71F1C"/>
    <w:rsid w:val="00C72A8C"/>
    <w:rsid w:val="00C73848"/>
    <w:rsid w:val="00C74805"/>
    <w:rsid w:val="00C76011"/>
    <w:rsid w:val="00C76A31"/>
    <w:rsid w:val="00C80D80"/>
    <w:rsid w:val="00C82453"/>
    <w:rsid w:val="00C82BB0"/>
    <w:rsid w:val="00C82CD9"/>
    <w:rsid w:val="00C84636"/>
    <w:rsid w:val="00C86B6E"/>
    <w:rsid w:val="00C917B5"/>
    <w:rsid w:val="00C91C33"/>
    <w:rsid w:val="00C934BA"/>
    <w:rsid w:val="00C940F1"/>
    <w:rsid w:val="00C960C6"/>
    <w:rsid w:val="00C967F3"/>
    <w:rsid w:val="00C979F8"/>
    <w:rsid w:val="00CA07E9"/>
    <w:rsid w:val="00CA0C31"/>
    <w:rsid w:val="00CA0ED9"/>
    <w:rsid w:val="00CA2E4C"/>
    <w:rsid w:val="00CA3B41"/>
    <w:rsid w:val="00CA6460"/>
    <w:rsid w:val="00CA75A7"/>
    <w:rsid w:val="00CB3CBD"/>
    <w:rsid w:val="00CB405C"/>
    <w:rsid w:val="00CB433B"/>
    <w:rsid w:val="00CB5065"/>
    <w:rsid w:val="00CB6138"/>
    <w:rsid w:val="00CB6871"/>
    <w:rsid w:val="00CB7241"/>
    <w:rsid w:val="00CC125B"/>
    <w:rsid w:val="00CC3230"/>
    <w:rsid w:val="00CC6209"/>
    <w:rsid w:val="00CD0C19"/>
    <w:rsid w:val="00CD0D0C"/>
    <w:rsid w:val="00CD1CE9"/>
    <w:rsid w:val="00CD2861"/>
    <w:rsid w:val="00CD361D"/>
    <w:rsid w:val="00CD4CA0"/>
    <w:rsid w:val="00CD4E1D"/>
    <w:rsid w:val="00CD5FE4"/>
    <w:rsid w:val="00CD63E4"/>
    <w:rsid w:val="00CD7363"/>
    <w:rsid w:val="00CD7920"/>
    <w:rsid w:val="00CD7B88"/>
    <w:rsid w:val="00CD7F2E"/>
    <w:rsid w:val="00CE029E"/>
    <w:rsid w:val="00CE044C"/>
    <w:rsid w:val="00CE1442"/>
    <w:rsid w:val="00CE18A8"/>
    <w:rsid w:val="00CE2922"/>
    <w:rsid w:val="00CE3791"/>
    <w:rsid w:val="00CE41FA"/>
    <w:rsid w:val="00CE44B0"/>
    <w:rsid w:val="00CE4916"/>
    <w:rsid w:val="00CE4F96"/>
    <w:rsid w:val="00CE653C"/>
    <w:rsid w:val="00CE7905"/>
    <w:rsid w:val="00CF0525"/>
    <w:rsid w:val="00CF0AE4"/>
    <w:rsid w:val="00CF1017"/>
    <w:rsid w:val="00CF2A93"/>
    <w:rsid w:val="00CF36F7"/>
    <w:rsid w:val="00CF3813"/>
    <w:rsid w:val="00CF48EB"/>
    <w:rsid w:val="00CF73D9"/>
    <w:rsid w:val="00D003A3"/>
    <w:rsid w:val="00D004EF"/>
    <w:rsid w:val="00D007F6"/>
    <w:rsid w:val="00D00DA6"/>
    <w:rsid w:val="00D0237D"/>
    <w:rsid w:val="00D030E2"/>
    <w:rsid w:val="00D032AD"/>
    <w:rsid w:val="00D03837"/>
    <w:rsid w:val="00D03BC8"/>
    <w:rsid w:val="00D0454D"/>
    <w:rsid w:val="00D050F0"/>
    <w:rsid w:val="00D05382"/>
    <w:rsid w:val="00D0598E"/>
    <w:rsid w:val="00D07900"/>
    <w:rsid w:val="00D07A90"/>
    <w:rsid w:val="00D1060D"/>
    <w:rsid w:val="00D12521"/>
    <w:rsid w:val="00D12646"/>
    <w:rsid w:val="00D13B46"/>
    <w:rsid w:val="00D13CFD"/>
    <w:rsid w:val="00D154E7"/>
    <w:rsid w:val="00D16069"/>
    <w:rsid w:val="00D1691E"/>
    <w:rsid w:val="00D16E6F"/>
    <w:rsid w:val="00D20BEE"/>
    <w:rsid w:val="00D2203C"/>
    <w:rsid w:val="00D22243"/>
    <w:rsid w:val="00D227EE"/>
    <w:rsid w:val="00D23407"/>
    <w:rsid w:val="00D23888"/>
    <w:rsid w:val="00D245FD"/>
    <w:rsid w:val="00D26AA5"/>
    <w:rsid w:val="00D278D1"/>
    <w:rsid w:val="00D31461"/>
    <w:rsid w:val="00D31534"/>
    <w:rsid w:val="00D325B1"/>
    <w:rsid w:val="00D3284E"/>
    <w:rsid w:val="00D346BF"/>
    <w:rsid w:val="00D36100"/>
    <w:rsid w:val="00D368C4"/>
    <w:rsid w:val="00D423DD"/>
    <w:rsid w:val="00D428FD"/>
    <w:rsid w:val="00D44A28"/>
    <w:rsid w:val="00D44B66"/>
    <w:rsid w:val="00D45C60"/>
    <w:rsid w:val="00D46664"/>
    <w:rsid w:val="00D466B9"/>
    <w:rsid w:val="00D51D65"/>
    <w:rsid w:val="00D51F24"/>
    <w:rsid w:val="00D525D7"/>
    <w:rsid w:val="00D53016"/>
    <w:rsid w:val="00D5619F"/>
    <w:rsid w:val="00D56D66"/>
    <w:rsid w:val="00D57662"/>
    <w:rsid w:val="00D57795"/>
    <w:rsid w:val="00D616B6"/>
    <w:rsid w:val="00D6183A"/>
    <w:rsid w:val="00D63EFA"/>
    <w:rsid w:val="00D648D1"/>
    <w:rsid w:val="00D64BF8"/>
    <w:rsid w:val="00D64E2B"/>
    <w:rsid w:val="00D650C6"/>
    <w:rsid w:val="00D66EF9"/>
    <w:rsid w:val="00D6753F"/>
    <w:rsid w:val="00D67E6E"/>
    <w:rsid w:val="00D70F6D"/>
    <w:rsid w:val="00D712B5"/>
    <w:rsid w:val="00D71A7F"/>
    <w:rsid w:val="00D71C3D"/>
    <w:rsid w:val="00D722D0"/>
    <w:rsid w:val="00D7339F"/>
    <w:rsid w:val="00D734D0"/>
    <w:rsid w:val="00D73D07"/>
    <w:rsid w:val="00D75072"/>
    <w:rsid w:val="00D750CE"/>
    <w:rsid w:val="00D76BC8"/>
    <w:rsid w:val="00D76CBD"/>
    <w:rsid w:val="00D77399"/>
    <w:rsid w:val="00D808AC"/>
    <w:rsid w:val="00D80F10"/>
    <w:rsid w:val="00D81B83"/>
    <w:rsid w:val="00D8210F"/>
    <w:rsid w:val="00D82EF7"/>
    <w:rsid w:val="00D8526A"/>
    <w:rsid w:val="00D852D0"/>
    <w:rsid w:val="00D85A1E"/>
    <w:rsid w:val="00D865F1"/>
    <w:rsid w:val="00D871B2"/>
    <w:rsid w:val="00D87CC1"/>
    <w:rsid w:val="00D900C8"/>
    <w:rsid w:val="00D903FE"/>
    <w:rsid w:val="00D90AF5"/>
    <w:rsid w:val="00D91FA6"/>
    <w:rsid w:val="00D939EF"/>
    <w:rsid w:val="00D93B46"/>
    <w:rsid w:val="00D94520"/>
    <w:rsid w:val="00D9557A"/>
    <w:rsid w:val="00D96DE4"/>
    <w:rsid w:val="00D972AD"/>
    <w:rsid w:val="00D976F1"/>
    <w:rsid w:val="00DA14EB"/>
    <w:rsid w:val="00DA27F5"/>
    <w:rsid w:val="00DA3B67"/>
    <w:rsid w:val="00DA3B73"/>
    <w:rsid w:val="00DA6BBF"/>
    <w:rsid w:val="00DB2030"/>
    <w:rsid w:val="00DB20F1"/>
    <w:rsid w:val="00DB2E32"/>
    <w:rsid w:val="00DB386D"/>
    <w:rsid w:val="00DB5CA0"/>
    <w:rsid w:val="00DB6911"/>
    <w:rsid w:val="00DB72CA"/>
    <w:rsid w:val="00DC01FC"/>
    <w:rsid w:val="00DC2ACF"/>
    <w:rsid w:val="00DC3E14"/>
    <w:rsid w:val="00DC4051"/>
    <w:rsid w:val="00DC5E0D"/>
    <w:rsid w:val="00DC6407"/>
    <w:rsid w:val="00DC744C"/>
    <w:rsid w:val="00DD0801"/>
    <w:rsid w:val="00DD0C25"/>
    <w:rsid w:val="00DD188E"/>
    <w:rsid w:val="00DD1926"/>
    <w:rsid w:val="00DD200C"/>
    <w:rsid w:val="00DD47CA"/>
    <w:rsid w:val="00DD6C30"/>
    <w:rsid w:val="00DD6D1A"/>
    <w:rsid w:val="00DE0003"/>
    <w:rsid w:val="00DE248D"/>
    <w:rsid w:val="00DE31BA"/>
    <w:rsid w:val="00DE34D6"/>
    <w:rsid w:val="00DE3797"/>
    <w:rsid w:val="00DE3EFF"/>
    <w:rsid w:val="00DE6AE3"/>
    <w:rsid w:val="00DF1070"/>
    <w:rsid w:val="00DF1642"/>
    <w:rsid w:val="00DF177E"/>
    <w:rsid w:val="00DF32B4"/>
    <w:rsid w:val="00DF7195"/>
    <w:rsid w:val="00DF71E9"/>
    <w:rsid w:val="00DF71EA"/>
    <w:rsid w:val="00DF7885"/>
    <w:rsid w:val="00E01384"/>
    <w:rsid w:val="00E020EB"/>
    <w:rsid w:val="00E02395"/>
    <w:rsid w:val="00E04972"/>
    <w:rsid w:val="00E052D4"/>
    <w:rsid w:val="00E0593D"/>
    <w:rsid w:val="00E069E2"/>
    <w:rsid w:val="00E07563"/>
    <w:rsid w:val="00E07B18"/>
    <w:rsid w:val="00E105D6"/>
    <w:rsid w:val="00E10B17"/>
    <w:rsid w:val="00E1116B"/>
    <w:rsid w:val="00E11C49"/>
    <w:rsid w:val="00E1233B"/>
    <w:rsid w:val="00E13875"/>
    <w:rsid w:val="00E15974"/>
    <w:rsid w:val="00E15E77"/>
    <w:rsid w:val="00E20475"/>
    <w:rsid w:val="00E2054B"/>
    <w:rsid w:val="00E20BAE"/>
    <w:rsid w:val="00E20BDB"/>
    <w:rsid w:val="00E214E9"/>
    <w:rsid w:val="00E2183B"/>
    <w:rsid w:val="00E224F2"/>
    <w:rsid w:val="00E22BB2"/>
    <w:rsid w:val="00E2421A"/>
    <w:rsid w:val="00E24394"/>
    <w:rsid w:val="00E24C1D"/>
    <w:rsid w:val="00E24D26"/>
    <w:rsid w:val="00E254BB"/>
    <w:rsid w:val="00E260E0"/>
    <w:rsid w:val="00E2721E"/>
    <w:rsid w:val="00E278DA"/>
    <w:rsid w:val="00E31A92"/>
    <w:rsid w:val="00E32209"/>
    <w:rsid w:val="00E326E4"/>
    <w:rsid w:val="00E32F8A"/>
    <w:rsid w:val="00E33D34"/>
    <w:rsid w:val="00E34C88"/>
    <w:rsid w:val="00E35122"/>
    <w:rsid w:val="00E352AD"/>
    <w:rsid w:val="00E36A01"/>
    <w:rsid w:val="00E379C6"/>
    <w:rsid w:val="00E37E2D"/>
    <w:rsid w:val="00E400F5"/>
    <w:rsid w:val="00E415D2"/>
    <w:rsid w:val="00E41659"/>
    <w:rsid w:val="00E421A7"/>
    <w:rsid w:val="00E42DAD"/>
    <w:rsid w:val="00E4319F"/>
    <w:rsid w:val="00E433E9"/>
    <w:rsid w:val="00E44506"/>
    <w:rsid w:val="00E47378"/>
    <w:rsid w:val="00E47D39"/>
    <w:rsid w:val="00E502FC"/>
    <w:rsid w:val="00E50ECD"/>
    <w:rsid w:val="00E51326"/>
    <w:rsid w:val="00E51992"/>
    <w:rsid w:val="00E5326A"/>
    <w:rsid w:val="00E566D2"/>
    <w:rsid w:val="00E576C4"/>
    <w:rsid w:val="00E57BC9"/>
    <w:rsid w:val="00E617D4"/>
    <w:rsid w:val="00E624E6"/>
    <w:rsid w:val="00E62BD4"/>
    <w:rsid w:val="00E62E9E"/>
    <w:rsid w:val="00E64BD8"/>
    <w:rsid w:val="00E659F1"/>
    <w:rsid w:val="00E66318"/>
    <w:rsid w:val="00E675B4"/>
    <w:rsid w:val="00E67F1B"/>
    <w:rsid w:val="00E70419"/>
    <w:rsid w:val="00E71948"/>
    <w:rsid w:val="00E732AC"/>
    <w:rsid w:val="00E7716F"/>
    <w:rsid w:val="00E77980"/>
    <w:rsid w:val="00E77AC2"/>
    <w:rsid w:val="00E77E46"/>
    <w:rsid w:val="00E8322C"/>
    <w:rsid w:val="00E84869"/>
    <w:rsid w:val="00E85634"/>
    <w:rsid w:val="00E86158"/>
    <w:rsid w:val="00E87534"/>
    <w:rsid w:val="00E87D39"/>
    <w:rsid w:val="00E90E49"/>
    <w:rsid w:val="00E959CC"/>
    <w:rsid w:val="00E96688"/>
    <w:rsid w:val="00E971D9"/>
    <w:rsid w:val="00E97BDA"/>
    <w:rsid w:val="00EA3C40"/>
    <w:rsid w:val="00EA492E"/>
    <w:rsid w:val="00EA4C80"/>
    <w:rsid w:val="00EA500D"/>
    <w:rsid w:val="00EA5101"/>
    <w:rsid w:val="00EA6963"/>
    <w:rsid w:val="00EB06DE"/>
    <w:rsid w:val="00EB0B76"/>
    <w:rsid w:val="00EB12E7"/>
    <w:rsid w:val="00EB43A3"/>
    <w:rsid w:val="00EB43FE"/>
    <w:rsid w:val="00EB4B2D"/>
    <w:rsid w:val="00EB500D"/>
    <w:rsid w:val="00EB67E9"/>
    <w:rsid w:val="00EC0CD4"/>
    <w:rsid w:val="00EC1204"/>
    <w:rsid w:val="00EC1AD3"/>
    <w:rsid w:val="00EC1E0F"/>
    <w:rsid w:val="00EC333E"/>
    <w:rsid w:val="00EC373B"/>
    <w:rsid w:val="00EC48D2"/>
    <w:rsid w:val="00EC4AF4"/>
    <w:rsid w:val="00ED027B"/>
    <w:rsid w:val="00ED188D"/>
    <w:rsid w:val="00ED2118"/>
    <w:rsid w:val="00ED212A"/>
    <w:rsid w:val="00ED32B6"/>
    <w:rsid w:val="00ED47B7"/>
    <w:rsid w:val="00ED489A"/>
    <w:rsid w:val="00ED504B"/>
    <w:rsid w:val="00ED5875"/>
    <w:rsid w:val="00ED75AA"/>
    <w:rsid w:val="00ED75EA"/>
    <w:rsid w:val="00EE0A78"/>
    <w:rsid w:val="00EE293B"/>
    <w:rsid w:val="00EE2CF9"/>
    <w:rsid w:val="00EE3058"/>
    <w:rsid w:val="00EE3B2E"/>
    <w:rsid w:val="00EE5AD0"/>
    <w:rsid w:val="00EE68DF"/>
    <w:rsid w:val="00EF0C09"/>
    <w:rsid w:val="00EF2A3E"/>
    <w:rsid w:val="00EF3147"/>
    <w:rsid w:val="00EF5514"/>
    <w:rsid w:val="00EF6101"/>
    <w:rsid w:val="00EF6941"/>
    <w:rsid w:val="00EF7619"/>
    <w:rsid w:val="00F030FC"/>
    <w:rsid w:val="00F041EE"/>
    <w:rsid w:val="00F04496"/>
    <w:rsid w:val="00F0454B"/>
    <w:rsid w:val="00F05DB3"/>
    <w:rsid w:val="00F068B0"/>
    <w:rsid w:val="00F07713"/>
    <w:rsid w:val="00F1024D"/>
    <w:rsid w:val="00F107AD"/>
    <w:rsid w:val="00F125C8"/>
    <w:rsid w:val="00F12BEC"/>
    <w:rsid w:val="00F13275"/>
    <w:rsid w:val="00F15413"/>
    <w:rsid w:val="00F16FD2"/>
    <w:rsid w:val="00F17385"/>
    <w:rsid w:val="00F17930"/>
    <w:rsid w:val="00F17A8E"/>
    <w:rsid w:val="00F17ACE"/>
    <w:rsid w:val="00F2087A"/>
    <w:rsid w:val="00F2174E"/>
    <w:rsid w:val="00F21E1A"/>
    <w:rsid w:val="00F21F8D"/>
    <w:rsid w:val="00F233C7"/>
    <w:rsid w:val="00F245A1"/>
    <w:rsid w:val="00F26109"/>
    <w:rsid w:val="00F27BDE"/>
    <w:rsid w:val="00F31612"/>
    <w:rsid w:val="00F3203E"/>
    <w:rsid w:val="00F32BDC"/>
    <w:rsid w:val="00F33619"/>
    <w:rsid w:val="00F34216"/>
    <w:rsid w:val="00F34357"/>
    <w:rsid w:val="00F34AC1"/>
    <w:rsid w:val="00F35935"/>
    <w:rsid w:val="00F35E25"/>
    <w:rsid w:val="00F3634A"/>
    <w:rsid w:val="00F370C8"/>
    <w:rsid w:val="00F37466"/>
    <w:rsid w:val="00F37902"/>
    <w:rsid w:val="00F37B02"/>
    <w:rsid w:val="00F37F07"/>
    <w:rsid w:val="00F44F46"/>
    <w:rsid w:val="00F45786"/>
    <w:rsid w:val="00F45952"/>
    <w:rsid w:val="00F460F0"/>
    <w:rsid w:val="00F50274"/>
    <w:rsid w:val="00F5102D"/>
    <w:rsid w:val="00F51FF5"/>
    <w:rsid w:val="00F53814"/>
    <w:rsid w:val="00F554E1"/>
    <w:rsid w:val="00F55FC0"/>
    <w:rsid w:val="00F5630F"/>
    <w:rsid w:val="00F600C5"/>
    <w:rsid w:val="00F6152C"/>
    <w:rsid w:val="00F62EA4"/>
    <w:rsid w:val="00F634BF"/>
    <w:rsid w:val="00F64598"/>
    <w:rsid w:val="00F64854"/>
    <w:rsid w:val="00F649FF"/>
    <w:rsid w:val="00F66E03"/>
    <w:rsid w:val="00F675C5"/>
    <w:rsid w:val="00F7014D"/>
    <w:rsid w:val="00F71AFC"/>
    <w:rsid w:val="00F7301C"/>
    <w:rsid w:val="00F733F8"/>
    <w:rsid w:val="00F757F1"/>
    <w:rsid w:val="00F775F5"/>
    <w:rsid w:val="00F80B1D"/>
    <w:rsid w:val="00F81EAF"/>
    <w:rsid w:val="00F840EC"/>
    <w:rsid w:val="00F849FB"/>
    <w:rsid w:val="00F85122"/>
    <w:rsid w:val="00F858C3"/>
    <w:rsid w:val="00F86FC9"/>
    <w:rsid w:val="00F8700C"/>
    <w:rsid w:val="00F873C3"/>
    <w:rsid w:val="00F907C7"/>
    <w:rsid w:val="00F90E57"/>
    <w:rsid w:val="00F90FDA"/>
    <w:rsid w:val="00F92259"/>
    <w:rsid w:val="00F92DBA"/>
    <w:rsid w:val="00F9379A"/>
    <w:rsid w:val="00F945FA"/>
    <w:rsid w:val="00F94E20"/>
    <w:rsid w:val="00F95574"/>
    <w:rsid w:val="00F97BDB"/>
    <w:rsid w:val="00FA0EA8"/>
    <w:rsid w:val="00FA1D49"/>
    <w:rsid w:val="00FA287A"/>
    <w:rsid w:val="00FA2ADC"/>
    <w:rsid w:val="00FA3420"/>
    <w:rsid w:val="00FA4088"/>
    <w:rsid w:val="00FA46C0"/>
    <w:rsid w:val="00FA6D67"/>
    <w:rsid w:val="00FA71C3"/>
    <w:rsid w:val="00FA79FE"/>
    <w:rsid w:val="00FB0463"/>
    <w:rsid w:val="00FB17E1"/>
    <w:rsid w:val="00FB28D3"/>
    <w:rsid w:val="00FB2B59"/>
    <w:rsid w:val="00FB2C7D"/>
    <w:rsid w:val="00FB4026"/>
    <w:rsid w:val="00FB410A"/>
    <w:rsid w:val="00FB5DDC"/>
    <w:rsid w:val="00FB682E"/>
    <w:rsid w:val="00FB7354"/>
    <w:rsid w:val="00FB7596"/>
    <w:rsid w:val="00FB75D3"/>
    <w:rsid w:val="00FB7D69"/>
    <w:rsid w:val="00FC194B"/>
    <w:rsid w:val="00FC28E0"/>
    <w:rsid w:val="00FC33C3"/>
    <w:rsid w:val="00FC36DE"/>
    <w:rsid w:val="00FC5315"/>
    <w:rsid w:val="00FC55CF"/>
    <w:rsid w:val="00FC5F44"/>
    <w:rsid w:val="00FC63B9"/>
    <w:rsid w:val="00FC66C3"/>
    <w:rsid w:val="00FC6A04"/>
    <w:rsid w:val="00FC709A"/>
    <w:rsid w:val="00FC7456"/>
    <w:rsid w:val="00FC78B6"/>
    <w:rsid w:val="00FD146C"/>
    <w:rsid w:val="00FD1F6D"/>
    <w:rsid w:val="00FD20C0"/>
    <w:rsid w:val="00FD2C2B"/>
    <w:rsid w:val="00FD694B"/>
    <w:rsid w:val="00FD768D"/>
    <w:rsid w:val="00FD7712"/>
    <w:rsid w:val="00FE034A"/>
    <w:rsid w:val="00FE2B37"/>
    <w:rsid w:val="00FE3203"/>
    <w:rsid w:val="00FE5DE0"/>
    <w:rsid w:val="00FE6A5F"/>
    <w:rsid w:val="00FE7E2E"/>
    <w:rsid w:val="00FF15F1"/>
    <w:rsid w:val="00FF2BE9"/>
    <w:rsid w:val="00FF45ED"/>
    <w:rsid w:val="00FF4833"/>
    <w:rsid w:val="00FF503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B1B"/>
  </w:style>
  <w:style w:type="paragraph" w:styleId="Heading1">
    <w:name w:val="heading 1"/>
    <w:aliases w:val="ATA Submission Heading 1"/>
    <w:basedOn w:val="Normal"/>
    <w:next w:val="Normal"/>
    <w:link w:val="Heading1Char"/>
    <w:uiPriority w:val="99"/>
    <w:qFormat/>
    <w:rsid w:val="003A4447"/>
    <w:pPr>
      <w:numPr>
        <w:numId w:val="3"/>
      </w:numPr>
      <w:spacing w:after="0" w:line="240" w:lineRule="auto"/>
      <w:outlineLvl w:val="0"/>
    </w:pPr>
    <w:rPr>
      <w:rFonts w:ascii="Arial" w:eastAsia="Calibri" w:hAnsi="Arial" w:cs="Arial"/>
      <w:b/>
      <w:color w:val="00006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0AC"/>
    <w:pPr>
      <w:spacing w:after="0" w:line="240" w:lineRule="auto"/>
      <w:ind w:left="720"/>
      <w:contextualSpacing/>
    </w:pPr>
  </w:style>
  <w:style w:type="paragraph" w:customStyle="1" w:styleId="Normal-paras">
    <w:name w:val="Normal - paras"/>
    <w:basedOn w:val="Normal"/>
    <w:rsid w:val="00BD30AC"/>
    <w:pPr>
      <w:spacing w:after="160" w:line="240" w:lineRule="auto"/>
      <w:jc w:val="both"/>
    </w:pPr>
    <w:rPr>
      <w:rFonts w:ascii="Times New Roman" w:eastAsia="Times New Roman" w:hAnsi="Times New Roman" w:cs="Times New Roman"/>
      <w:sz w:val="26"/>
      <w:szCs w:val="20"/>
      <w:lang w:val="en-GB"/>
    </w:rPr>
  </w:style>
  <w:style w:type="paragraph" w:styleId="Header">
    <w:name w:val="header"/>
    <w:basedOn w:val="Normal"/>
    <w:link w:val="HeaderChar"/>
    <w:uiPriority w:val="99"/>
    <w:unhideWhenUsed/>
    <w:rsid w:val="00BD3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0AC"/>
  </w:style>
  <w:style w:type="paragraph" w:styleId="Footer">
    <w:name w:val="footer"/>
    <w:basedOn w:val="Normal"/>
    <w:link w:val="FooterChar"/>
    <w:uiPriority w:val="99"/>
    <w:unhideWhenUsed/>
    <w:rsid w:val="00BD3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0AC"/>
  </w:style>
  <w:style w:type="table" w:styleId="TableGrid">
    <w:name w:val="Table Grid"/>
    <w:basedOn w:val="TableNormal"/>
    <w:uiPriority w:val="59"/>
    <w:rsid w:val="009C1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004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4DC"/>
    <w:rPr>
      <w:sz w:val="20"/>
      <w:szCs w:val="20"/>
    </w:rPr>
  </w:style>
  <w:style w:type="character" w:styleId="FootnoteReference">
    <w:name w:val="footnote reference"/>
    <w:basedOn w:val="DefaultParagraphFont"/>
    <w:uiPriority w:val="99"/>
    <w:semiHidden/>
    <w:unhideWhenUsed/>
    <w:rsid w:val="007004DC"/>
    <w:rPr>
      <w:vertAlign w:val="superscript"/>
    </w:rPr>
  </w:style>
  <w:style w:type="paragraph" w:styleId="TOC1">
    <w:name w:val="toc 1"/>
    <w:basedOn w:val="Normal"/>
    <w:next w:val="Normal"/>
    <w:autoRedefine/>
    <w:uiPriority w:val="39"/>
    <w:rsid w:val="003A4447"/>
    <w:pPr>
      <w:tabs>
        <w:tab w:val="right" w:leader="dot" w:pos="9628"/>
      </w:tabs>
      <w:spacing w:before="360" w:after="100" w:line="240" w:lineRule="auto"/>
    </w:pPr>
    <w:rPr>
      <w:rFonts w:ascii="Arial" w:eastAsia="Calibri" w:hAnsi="Arial" w:cs="Times New Roman"/>
      <w:b/>
      <w:noProof/>
      <w:color w:val="000000" w:themeColor="text1"/>
      <w:sz w:val="20"/>
      <w:szCs w:val="20"/>
    </w:rPr>
  </w:style>
  <w:style w:type="character" w:customStyle="1" w:styleId="Heading1Char">
    <w:name w:val="Heading 1 Char"/>
    <w:aliases w:val="ATA Submission Heading 1 Char"/>
    <w:basedOn w:val="DefaultParagraphFont"/>
    <w:link w:val="Heading1"/>
    <w:uiPriority w:val="99"/>
    <w:rsid w:val="003A4447"/>
    <w:rPr>
      <w:rFonts w:ascii="Arial" w:eastAsia="Calibri" w:hAnsi="Arial" w:cs="Arial"/>
      <w:b/>
      <w:color w:val="000064"/>
      <w:sz w:val="28"/>
      <w:szCs w:val="28"/>
    </w:rPr>
  </w:style>
  <w:style w:type="paragraph" w:styleId="BodyText2">
    <w:name w:val="Body Text 2"/>
    <w:basedOn w:val="Normal"/>
    <w:link w:val="BodyText2Char"/>
    <w:uiPriority w:val="99"/>
    <w:semiHidden/>
    <w:rsid w:val="003A4447"/>
    <w:pPr>
      <w:spacing w:after="0" w:line="240" w:lineRule="auto"/>
    </w:pPr>
    <w:rPr>
      <w:rFonts w:ascii="Arial" w:eastAsia="Times New Roman" w:hAnsi="Arial" w:cs="Arial"/>
      <w:b/>
      <w:bCs/>
      <w:szCs w:val="20"/>
    </w:rPr>
  </w:style>
  <w:style w:type="character" w:customStyle="1" w:styleId="BodyText2Char">
    <w:name w:val="Body Text 2 Char"/>
    <w:basedOn w:val="DefaultParagraphFont"/>
    <w:link w:val="BodyText2"/>
    <w:uiPriority w:val="99"/>
    <w:semiHidden/>
    <w:rsid w:val="003A4447"/>
    <w:rPr>
      <w:rFonts w:ascii="Arial" w:eastAsia="Times New Roman" w:hAnsi="Arial" w:cs="Arial"/>
      <w:b/>
      <w:bCs/>
      <w:szCs w:val="20"/>
    </w:rPr>
  </w:style>
  <w:style w:type="paragraph" w:customStyle="1" w:styleId="ATAHeading2">
    <w:name w:val="ATA Heading 2"/>
    <w:basedOn w:val="Normal"/>
    <w:uiPriority w:val="99"/>
    <w:rsid w:val="003A4447"/>
    <w:pPr>
      <w:numPr>
        <w:ilvl w:val="1"/>
        <w:numId w:val="3"/>
      </w:numPr>
      <w:spacing w:before="120" w:after="120"/>
    </w:pPr>
    <w:rPr>
      <w:rFonts w:ascii="Arial" w:eastAsia="Calibri" w:hAnsi="Arial" w:cs="Arial"/>
      <w:b/>
      <w:color w:val="000064"/>
      <w:sz w:val="26"/>
      <w:szCs w:val="26"/>
    </w:rPr>
  </w:style>
  <w:style w:type="paragraph" w:customStyle="1" w:styleId="ATAHeading3">
    <w:name w:val="ATA Heading 3"/>
    <w:basedOn w:val="ATAHeading2"/>
    <w:uiPriority w:val="99"/>
    <w:rsid w:val="003A4447"/>
    <w:pPr>
      <w:numPr>
        <w:ilvl w:val="2"/>
      </w:numPr>
      <w:tabs>
        <w:tab w:val="left" w:pos="992"/>
      </w:tabs>
    </w:pPr>
    <w:rPr>
      <w:i/>
      <w:color w:val="0D0D0D" w:themeColor="text1" w:themeTint="F2"/>
      <w:sz w:val="22"/>
      <w:szCs w:val="22"/>
    </w:rPr>
  </w:style>
  <w:style w:type="paragraph" w:customStyle="1" w:styleId="Default">
    <w:name w:val="Default"/>
    <w:rsid w:val="00D050F0"/>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2E4F0C"/>
    <w:rPr>
      <w:color w:val="0000FF" w:themeColor="hyperlink"/>
      <w:u w:val="single"/>
    </w:rPr>
  </w:style>
  <w:style w:type="paragraph" w:styleId="BalloonText">
    <w:name w:val="Balloon Text"/>
    <w:basedOn w:val="Normal"/>
    <w:link w:val="BalloonTextChar"/>
    <w:uiPriority w:val="99"/>
    <w:semiHidden/>
    <w:unhideWhenUsed/>
    <w:rsid w:val="007E5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7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D344E-01CD-4B78-9806-BFC1EE5F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4919</Words>
  <Characters>28041</Characters>
  <Application>Microsoft Office Word</Application>
  <DocSecurity>0</DocSecurity>
  <Lines>233</Lines>
  <Paragraphs>65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1. Introduction</vt:lpstr>
      <vt:lpstr>2. Australian Trucking Association</vt:lpstr>
      <vt:lpstr>3. Recommendations:</vt:lpstr>
      <vt:lpstr>4. IAP PROGRAM OUTCOMES</vt:lpstr>
      <vt:lpstr>4.1 ATA Submissions on IAP</vt:lpstr>
      <vt:lpstr>4.2 IAP Proposal </vt:lpstr>
      <vt:lpstr/>
      <vt:lpstr>Benefits are Subject to the Network Effect</vt:lpstr>
      <vt:lpstr>4.3 Public Handling of Private Data</vt:lpstr>
      <vt:lpstr>4.4 Administration and Next Steps</vt:lpstr>
      <vt:lpstr/>
      <vt:lpstr>NHVR Business Unit </vt:lpstr>
      <vt:lpstr>NHVR Monitoring Policy </vt:lpstr>
      <vt:lpstr>5. 	Conclusion</vt:lpstr>
    </vt:vector>
  </TitlesOfParts>
  <Company>HP</Company>
  <LinksUpToDate>false</LinksUpToDate>
  <CharactersWithSpaces>32895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rowena.mueller</dc:creator>
  <cp:lastModifiedBy>rowena.mueller</cp:lastModifiedBy>
  <cp:revision>2</cp:revision>
  <cp:lastPrinted>2013-08-29T06:40:00Z</cp:lastPrinted>
  <dcterms:created xsi:type="dcterms:W3CDTF">2013-08-30T00:10:00Z</dcterms:created>
  <dcterms:modified xsi:type="dcterms:W3CDTF">2013-08-30T00:10:00Z</dcterms:modified>
</cp:coreProperties>
</file>