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660"/>
        <w:gridCol w:w="6379"/>
      </w:tblGrid>
      <w:tr w:rsidR="00D735FF" w:rsidRPr="005959F9" w:rsidTr="000156D1">
        <w:trPr>
          <w:trHeight w:val="756"/>
        </w:trPr>
        <w:tc>
          <w:tcPr>
            <w:tcW w:w="2660" w:type="dxa"/>
            <w:vAlign w:val="center"/>
          </w:tcPr>
          <w:p w:rsidR="00D735FF" w:rsidRPr="005959F9" w:rsidRDefault="00D735FF" w:rsidP="001025C9">
            <w:pPr>
              <w:pStyle w:val="Header"/>
              <w:jc w:val="both"/>
              <w:rPr>
                <w:rFonts w:ascii="Arial" w:hAnsi="Arial" w:cs="Arial"/>
                <w:b/>
                <w:sz w:val="28"/>
                <w:szCs w:val="28"/>
              </w:rPr>
            </w:pPr>
            <w:r w:rsidRPr="005959F9">
              <w:rPr>
                <w:rFonts w:ascii="Arial" w:hAnsi="Arial" w:cs="Arial"/>
                <w:b/>
                <w:sz w:val="28"/>
                <w:szCs w:val="28"/>
              </w:rPr>
              <w:t>Submission to:</w:t>
            </w:r>
          </w:p>
        </w:tc>
        <w:tc>
          <w:tcPr>
            <w:tcW w:w="6379" w:type="dxa"/>
            <w:vAlign w:val="center"/>
          </w:tcPr>
          <w:p w:rsidR="00D735FF" w:rsidRPr="005959F9" w:rsidRDefault="00693D92" w:rsidP="00E22DA3">
            <w:pPr>
              <w:pStyle w:val="Header"/>
              <w:rPr>
                <w:rFonts w:ascii="Arial" w:hAnsi="Arial" w:cs="Arial"/>
                <w:sz w:val="28"/>
                <w:szCs w:val="28"/>
              </w:rPr>
            </w:pPr>
            <w:r w:rsidRPr="005959F9">
              <w:rPr>
                <w:rFonts w:ascii="Arial" w:hAnsi="Arial" w:cs="Arial"/>
                <w:sz w:val="28"/>
                <w:szCs w:val="28"/>
              </w:rPr>
              <w:t xml:space="preserve">NSW Legislative Assembly: </w:t>
            </w:r>
            <w:r w:rsidR="003340FB">
              <w:rPr>
                <w:rFonts w:ascii="Arial" w:hAnsi="Arial" w:cs="Arial"/>
                <w:sz w:val="28"/>
                <w:szCs w:val="28"/>
              </w:rPr>
              <w:t>Committee</w:t>
            </w:r>
            <w:r w:rsidR="0094622B">
              <w:rPr>
                <w:rFonts w:ascii="Arial" w:hAnsi="Arial" w:cs="Arial"/>
                <w:sz w:val="28"/>
                <w:szCs w:val="28"/>
              </w:rPr>
              <w:t xml:space="preserve"> </w:t>
            </w:r>
            <w:r w:rsidRPr="005959F9">
              <w:rPr>
                <w:rFonts w:ascii="Arial" w:hAnsi="Arial" w:cs="Arial"/>
                <w:sz w:val="28"/>
                <w:szCs w:val="28"/>
              </w:rPr>
              <w:t xml:space="preserve">on Transport and </w:t>
            </w:r>
            <w:r w:rsidR="000A3F4E" w:rsidRPr="005959F9">
              <w:rPr>
                <w:rFonts w:ascii="Arial" w:hAnsi="Arial" w:cs="Arial"/>
                <w:sz w:val="28"/>
                <w:szCs w:val="28"/>
              </w:rPr>
              <w:t>Infrastructure</w:t>
            </w:r>
            <w:r w:rsidRPr="005959F9">
              <w:rPr>
                <w:rFonts w:ascii="Arial" w:hAnsi="Arial" w:cs="Arial"/>
                <w:sz w:val="28"/>
                <w:szCs w:val="28"/>
              </w:rPr>
              <w:t xml:space="preserve"> </w:t>
            </w:r>
            <w:r w:rsidR="00B751A7" w:rsidRPr="005959F9">
              <w:rPr>
                <w:rFonts w:ascii="Arial" w:hAnsi="Arial" w:cs="Arial"/>
                <w:sz w:val="28"/>
                <w:szCs w:val="28"/>
              </w:rPr>
              <w:t xml:space="preserve"> </w:t>
            </w:r>
          </w:p>
        </w:tc>
      </w:tr>
      <w:tr w:rsidR="00D735FF" w:rsidRPr="005959F9" w:rsidTr="000156D1">
        <w:trPr>
          <w:trHeight w:val="756"/>
        </w:trPr>
        <w:tc>
          <w:tcPr>
            <w:tcW w:w="2660" w:type="dxa"/>
            <w:vAlign w:val="center"/>
          </w:tcPr>
          <w:p w:rsidR="00D735FF" w:rsidRPr="005959F9" w:rsidRDefault="00D735FF" w:rsidP="001025C9">
            <w:pPr>
              <w:pStyle w:val="Header"/>
              <w:jc w:val="both"/>
              <w:rPr>
                <w:rFonts w:ascii="Arial" w:hAnsi="Arial" w:cs="Arial"/>
                <w:b/>
                <w:sz w:val="28"/>
                <w:szCs w:val="28"/>
              </w:rPr>
            </w:pPr>
            <w:r w:rsidRPr="005959F9">
              <w:rPr>
                <w:rFonts w:ascii="Arial" w:hAnsi="Arial" w:cs="Arial"/>
                <w:b/>
                <w:sz w:val="28"/>
                <w:szCs w:val="28"/>
              </w:rPr>
              <w:t>Title:</w:t>
            </w:r>
          </w:p>
        </w:tc>
        <w:tc>
          <w:tcPr>
            <w:tcW w:w="6379" w:type="dxa"/>
            <w:vAlign w:val="center"/>
          </w:tcPr>
          <w:p w:rsidR="00D735FF" w:rsidRPr="005959F9" w:rsidRDefault="00693D92" w:rsidP="00E22DA3">
            <w:pPr>
              <w:pStyle w:val="Header"/>
              <w:rPr>
                <w:rFonts w:ascii="Arial" w:hAnsi="Arial" w:cs="Arial"/>
                <w:sz w:val="28"/>
                <w:szCs w:val="28"/>
              </w:rPr>
            </w:pPr>
            <w:r w:rsidRPr="005959F9">
              <w:rPr>
                <w:rFonts w:ascii="Arial" w:hAnsi="Arial" w:cs="Arial"/>
                <w:sz w:val="28"/>
                <w:szCs w:val="28"/>
              </w:rPr>
              <w:t xml:space="preserve">Inquiry into Road Access Pricing </w:t>
            </w:r>
          </w:p>
        </w:tc>
      </w:tr>
      <w:tr w:rsidR="00D735FF" w:rsidRPr="005959F9" w:rsidTr="000156D1">
        <w:trPr>
          <w:trHeight w:val="756"/>
        </w:trPr>
        <w:tc>
          <w:tcPr>
            <w:tcW w:w="2660" w:type="dxa"/>
            <w:vAlign w:val="center"/>
          </w:tcPr>
          <w:p w:rsidR="00D735FF" w:rsidRPr="005959F9" w:rsidRDefault="00D735FF" w:rsidP="001025C9">
            <w:pPr>
              <w:pStyle w:val="Header"/>
              <w:jc w:val="both"/>
              <w:rPr>
                <w:rFonts w:ascii="Arial" w:hAnsi="Arial" w:cs="Arial"/>
                <w:b/>
                <w:sz w:val="28"/>
                <w:szCs w:val="28"/>
              </w:rPr>
            </w:pPr>
            <w:r w:rsidRPr="005959F9">
              <w:rPr>
                <w:rFonts w:ascii="Arial" w:hAnsi="Arial" w:cs="Arial"/>
                <w:b/>
                <w:sz w:val="28"/>
                <w:szCs w:val="28"/>
              </w:rPr>
              <w:t>Date:</w:t>
            </w:r>
          </w:p>
        </w:tc>
        <w:tc>
          <w:tcPr>
            <w:tcW w:w="6379" w:type="dxa"/>
            <w:vAlign w:val="center"/>
          </w:tcPr>
          <w:p w:rsidR="00D735FF" w:rsidRPr="005959F9" w:rsidRDefault="00E22DA3" w:rsidP="00E22DA3">
            <w:pPr>
              <w:pStyle w:val="Header"/>
              <w:rPr>
                <w:rFonts w:ascii="Arial" w:hAnsi="Arial" w:cs="Arial"/>
                <w:sz w:val="28"/>
                <w:szCs w:val="28"/>
              </w:rPr>
            </w:pPr>
            <w:r>
              <w:rPr>
                <w:rFonts w:ascii="Arial" w:hAnsi="Arial" w:cs="Arial"/>
                <w:sz w:val="28"/>
                <w:szCs w:val="28"/>
              </w:rPr>
              <w:t>22</w:t>
            </w:r>
            <w:r w:rsidR="00693D92" w:rsidRPr="005959F9">
              <w:rPr>
                <w:rFonts w:ascii="Arial" w:hAnsi="Arial" w:cs="Arial"/>
                <w:sz w:val="28"/>
                <w:szCs w:val="28"/>
              </w:rPr>
              <w:t xml:space="preserve"> February 2013</w:t>
            </w:r>
            <w:r w:rsidR="00F26CFA" w:rsidRPr="005959F9">
              <w:rPr>
                <w:rFonts w:ascii="Arial" w:hAnsi="Arial" w:cs="Arial"/>
                <w:sz w:val="28"/>
                <w:szCs w:val="28"/>
              </w:rPr>
              <w:t xml:space="preserve"> </w:t>
            </w:r>
          </w:p>
        </w:tc>
      </w:tr>
    </w:tbl>
    <w:p w:rsidR="00D735FF" w:rsidRPr="005959F9" w:rsidRDefault="00D735FF" w:rsidP="001025C9">
      <w:pPr>
        <w:pStyle w:val="Header"/>
        <w:jc w:val="both"/>
        <w:rPr>
          <w:rFonts w:ascii="Arial" w:hAnsi="Arial" w:cs="Arial"/>
          <w:sz w:val="20"/>
          <w:szCs w:val="20"/>
        </w:rPr>
      </w:pPr>
    </w:p>
    <w:p w:rsidR="00D735FF" w:rsidRPr="005959F9" w:rsidRDefault="00D735FF" w:rsidP="001025C9">
      <w:pPr>
        <w:pStyle w:val="Header"/>
        <w:jc w:val="both"/>
        <w:rPr>
          <w:rFonts w:ascii="Arial" w:hAnsi="Arial" w:cs="Arial"/>
          <w:sz w:val="20"/>
          <w:szCs w:val="20"/>
        </w:rPr>
      </w:pPr>
    </w:p>
    <w:p w:rsidR="00576ED0" w:rsidRPr="005959F9" w:rsidRDefault="00576ED0" w:rsidP="001025C9">
      <w:pPr>
        <w:pStyle w:val="Header"/>
        <w:jc w:val="both"/>
        <w:rPr>
          <w:rFonts w:ascii="Arial" w:hAnsi="Arial" w:cs="Arial"/>
          <w:sz w:val="20"/>
          <w:szCs w:val="20"/>
        </w:rPr>
      </w:pPr>
    </w:p>
    <w:p w:rsidR="00576ED0" w:rsidRPr="005959F9" w:rsidRDefault="00576ED0" w:rsidP="001025C9">
      <w:pPr>
        <w:jc w:val="both"/>
        <w:rPr>
          <w:rFonts w:ascii="Arial" w:hAnsi="Arial" w:cs="Arial"/>
          <w:sz w:val="20"/>
          <w:szCs w:val="20"/>
          <w:lang w:val="en-GB"/>
        </w:rPr>
        <w:sectPr w:rsidR="00576ED0" w:rsidRPr="005959F9" w:rsidSect="005F5ACC">
          <w:footerReference w:type="default" r:id="rId8"/>
          <w:headerReference w:type="first" r:id="rId9"/>
          <w:footerReference w:type="first" r:id="rId10"/>
          <w:pgSz w:w="11906" w:h="16838"/>
          <w:pgMar w:top="5103" w:right="1133" w:bottom="1418" w:left="1134" w:header="851" w:footer="651" w:gutter="0"/>
          <w:cols w:space="708"/>
          <w:docGrid w:linePitch="360"/>
        </w:sectPr>
      </w:pPr>
    </w:p>
    <w:p w:rsidR="00576ED0" w:rsidRPr="005959F9" w:rsidRDefault="00576ED0" w:rsidP="001025C9">
      <w:pPr>
        <w:jc w:val="both"/>
        <w:rPr>
          <w:rFonts w:ascii="Arial" w:hAnsi="Arial" w:cs="Arial"/>
          <w:sz w:val="20"/>
          <w:szCs w:val="20"/>
        </w:rPr>
      </w:pPr>
    </w:p>
    <w:p w:rsidR="0035493A" w:rsidRPr="005959F9" w:rsidRDefault="0035493A" w:rsidP="001025C9">
      <w:pPr>
        <w:jc w:val="both"/>
        <w:rPr>
          <w:rFonts w:ascii="Arial" w:hAnsi="Arial" w:cs="Arial"/>
          <w:sz w:val="20"/>
          <w:szCs w:val="20"/>
        </w:rPr>
      </w:pPr>
    </w:p>
    <w:p w:rsidR="0035493A" w:rsidRPr="005959F9" w:rsidRDefault="0035493A" w:rsidP="001025C9">
      <w:pPr>
        <w:jc w:val="both"/>
        <w:rPr>
          <w:rFonts w:ascii="Arial" w:hAnsi="Arial" w:cs="Arial"/>
          <w:sz w:val="20"/>
          <w:szCs w:val="20"/>
        </w:rPr>
      </w:pPr>
    </w:p>
    <w:p w:rsidR="0035493A" w:rsidRPr="005959F9" w:rsidRDefault="0035493A" w:rsidP="001025C9">
      <w:pPr>
        <w:jc w:val="both"/>
        <w:rPr>
          <w:rFonts w:ascii="Arial" w:hAnsi="Arial" w:cs="Arial"/>
          <w:sz w:val="20"/>
          <w:szCs w:val="20"/>
        </w:rPr>
      </w:pPr>
    </w:p>
    <w:p w:rsidR="0035493A" w:rsidRPr="005959F9" w:rsidRDefault="0035493A" w:rsidP="001025C9">
      <w:pPr>
        <w:jc w:val="both"/>
        <w:rPr>
          <w:rFonts w:ascii="Arial" w:hAnsi="Arial" w:cs="Arial"/>
          <w:sz w:val="20"/>
          <w:szCs w:val="20"/>
        </w:rPr>
      </w:pPr>
    </w:p>
    <w:p w:rsidR="0035493A" w:rsidRPr="005959F9" w:rsidRDefault="003B74E4" w:rsidP="001025C9">
      <w:pPr>
        <w:jc w:val="both"/>
        <w:rPr>
          <w:rFonts w:ascii="Arial" w:hAnsi="Arial" w:cs="Arial"/>
          <w:b/>
          <w:color w:val="000064"/>
          <w:sz w:val="28"/>
          <w:szCs w:val="28"/>
        </w:rPr>
      </w:pPr>
      <w:r w:rsidRPr="005959F9">
        <w:rPr>
          <w:rFonts w:ascii="Arial" w:hAnsi="Arial" w:cs="Arial"/>
          <w:b/>
          <w:color w:val="000064"/>
          <w:sz w:val="28"/>
          <w:szCs w:val="28"/>
        </w:rPr>
        <w:t>Contents</w:t>
      </w:r>
    </w:p>
    <w:p w:rsidR="00576ED0" w:rsidRPr="005959F9" w:rsidRDefault="00576ED0" w:rsidP="001025C9">
      <w:pPr>
        <w:jc w:val="both"/>
        <w:rPr>
          <w:rFonts w:ascii="Arial" w:hAnsi="Arial" w:cs="Arial"/>
          <w:sz w:val="20"/>
          <w:szCs w:val="20"/>
        </w:rPr>
      </w:pPr>
    </w:p>
    <w:p w:rsidR="009B0520" w:rsidRPr="005959F9" w:rsidRDefault="009B0520" w:rsidP="001025C9">
      <w:pPr>
        <w:jc w:val="both"/>
        <w:rPr>
          <w:rFonts w:ascii="Arial" w:hAnsi="Arial" w:cs="Arial"/>
          <w:b/>
          <w:sz w:val="20"/>
          <w:szCs w:val="20"/>
        </w:rPr>
      </w:pPr>
    </w:p>
    <w:p w:rsidR="00E22DA3" w:rsidRDefault="005C4EBF">
      <w:pPr>
        <w:pStyle w:val="TOC1"/>
        <w:rPr>
          <w:rFonts w:asciiTheme="minorHAnsi" w:eastAsiaTheme="minorEastAsia" w:hAnsiTheme="minorHAnsi" w:cstheme="minorBidi"/>
          <w:sz w:val="22"/>
          <w:szCs w:val="22"/>
          <w:lang w:eastAsia="en-AU"/>
        </w:rPr>
      </w:pPr>
      <w:r w:rsidRPr="005959F9">
        <w:rPr>
          <w:rFonts w:cs="Arial"/>
          <w:b/>
        </w:rPr>
        <w:fldChar w:fldCharType="begin"/>
      </w:r>
      <w:r w:rsidR="0035493A" w:rsidRPr="005959F9">
        <w:rPr>
          <w:rFonts w:cs="Arial"/>
          <w:b/>
        </w:rPr>
        <w:instrText xml:space="preserve"> TOC \o "1-2" \t "ATA Heading 2,2" </w:instrText>
      </w:r>
      <w:r w:rsidRPr="005959F9">
        <w:rPr>
          <w:rFonts w:cs="Arial"/>
          <w:b/>
        </w:rPr>
        <w:fldChar w:fldCharType="separate"/>
      </w:r>
      <w:r w:rsidR="00E22DA3" w:rsidRPr="009D5470">
        <w:t>1.</w:t>
      </w:r>
      <w:r w:rsidR="00E22DA3">
        <w:rPr>
          <w:rFonts w:asciiTheme="minorHAnsi" w:eastAsiaTheme="minorEastAsia" w:hAnsiTheme="minorHAnsi" w:cstheme="minorBidi"/>
          <w:sz w:val="22"/>
          <w:szCs w:val="22"/>
          <w:lang w:eastAsia="en-AU"/>
        </w:rPr>
        <w:tab/>
      </w:r>
      <w:r w:rsidR="00E22DA3">
        <w:t>Introduction</w:t>
      </w:r>
      <w:r w:rsidR="00E22DA3">
        <w:tab/>
      </w:r>
      <w:r>
        <w:fldChar w:fldCharType="begin"/>
      </w:r>
      <w:r w:rsidR="00E22DA3">
        <w:instrText xml:space="preserve"> PAGEREF _Toc349125084 \h </w:instrText>
      </w:r>
      <w:r>
        <w:fldChar w:fldCharType="separate"/>
      </w:r>
      <w:r w:rsidR="00E22DA3">
        <w:t>3</w:t>
      </w:r>
      <w:r>
        <w:fldChar w:fldCharType="end"/>
      </w:r>
    </w:p>
    <w:p w:rsidR="00E22DA3" w:rsidRDefault="00E22DA3">
      <w:pPr>
        <w:pStyle w:val="TOC1"/>
        <w:rPr>
          <w:rFonts w:asciiTheme="minorHAnsi" w:eastAsiaTheme="minorEastAsia" w:hAnsiTheme="minorHAnsi" w:cstheme="minorBidi"/>
          <w:sz w:val="22"/>
          <w:szCs w:val="22"/>
          <w:lang w:eastAsia="en-AU"/>
        </w:rPr>
      </w:pPr>
      <w:r w:rsidRPr="009D5470">
        <w:t>2.</w:t>
      </w:r>
      <w:r>
        <w:rPr>
          <w:rFonts w:asciiTheme="minorHAnsi" w:eastAsiaTheme="minorEastAsia" w:hAnsiTheme="minorHAnsi" w:cstheme="minorBidi"/>
          <w:sz w:val="22"/>
          <w:szCs w:val="22"/>
          <w:lang w:eastAsia="en-AU"/>
        </w:rPr>
        <w:tab/>
      </w:r>
      <w:r>
        <w:t>NSW Australian Trucking Association</w:t>
      </w:r>
      <w:r>
        <w:tab/>
      </w:r>
      <w:r w:rsidR="005C4EBF">
        <w:fldChar w:fldCharType="begin"/>
      </w:r>
      <w:r>
        <w:instrText xml:space="preserve"> PAGEREF _Toc349125085 \h </w:instrText>
      </w:r>
      <w:r w:rsidR="005C4EBF">
        <w:fldChar w:fldCharType="separate"/>
      </w:r>
      <w:r>
        <w:t>3</w:t>
      </w:r>
      <w:r w:rsidR="005C4EBF">
        <w:fldChar w:fldCharType="end"/>
      </w:r>
    </w:p>
    <w:p w:rsidR="00E22DA3" w:rsidRDefault="00E22DA3">
      <w:pPr>
        <w:pStyle w:val="TOC1"/>
        <w:rPr>
          <w:rFonts w:asciiTheme="minorHAnsi" w:eastAsiaTheme="minorEastAsia" w:hAnsiTheme="minorHAnsi" w:cstheme="minorBidi"/>
          <w:sz w:val="22"/>
          <w:szCs w:val="22"/>
          <w:lang w:eastAsia="en-AU"/>
        </w:rPr>
      </w:pPr>
      <w:r w:rsidRPr="009D5470">
        <w:t>3.</w:t>
      </w:r>
      <w:r>
        <w:rPr>
          <w:rFonts w:asciiTheme="minorHAnsi" w:eastAsiaTheme="minorEastAsia" w:hAnsiTheme="minorHAnsi" w:cstheme="minorBidi"/>
          <w:sz w:val="22"/>
          <w:szCs w:val="22"/>
          <w:lang w:eastAsia="en-AU"/>
        </w:rPr>
        <w:tab/>
      </w:r>
      <w:r>
        <w:t>Recommendations</w:t>
      </w:r>
      <w:r>
        <w:tab/>
      </w:r>
      <w:r w:rsidR="005C4EBF">
        <w:fldChar w:fldCharType="begin"/>
      </w:r>
      <w:r>
        <w:instrText xml:space="preserve"> PAGEREF _Toc349125086 \h </w:instrText>
      </w:r>
      <w:r w:rsidR="005C4EBF">
        <w:fldChar w:fldCharType="separate"/>
      </w:r>
      <w:r>
        <w:t>3</w:t>
      </w:r>
      <w:r w:rsidR="005C4EBF">
        <w:fldChar w:fldCharType="end"/>
      </w:r>
    </w:p>
    <w:p w:rsidR="00E22DA3" w:rsidRDefault="00E22DA3">
      <w:pPr>
        <w:pStyle w:val="TOC1"/>
        <w:rPr>
          <w:rFonts w:asciiTheme="minorHAnsi" w:eastAsiaTheme="minorEastAsia" w:hAnsiTheme="minorHAnsi" w:cstheme="minorBidi"/>
          <w:sz w:val="22"/>
          <w:szCs w:val="22"/>
          <w:lang w:eastAsia="en-AU"/>
        </w:rPr>
      </w:pPr>
      <w:r w:rsidRPr="009D5470">
        <w:t>4.</w:t>
      </w:r>
      <w:r>
        <w:rPr>
          <w:rFonts w:asciiTheme="minorHAnsi" w:eastAsiaTheme="minorEastAsia" w:hAnsiTheme="minorHAnsi" w:cstheme="minorBidi"/>
          <w:sz w:val="22"/>
          <w:szCs w:val="22"/>
          <w:lang w:eastAsia="en-AU"/>
        </w:rPr>
        <w:tab/>
      </w:r>
      <w:r>
        <w:t>Road access pricing issues</w:t>
      </w:r>
      <w:r>
        <w:tab/>
      </w:r>
      <w:r w:rsidR="005C4EBF">
        <w:fldChar w:fldCharType="begin"/>
      </w:r>
      <w:r>
        <w:instrText xml:space="preserve"> PAGEREF _Toc349125087 \h </w:instrText>
      </w:r>
      <w:r w:rsidR="005C4EBF">
        <w:fldChar w:fldCharType="separate"/>
      </w:r>
      <w:r>
        <w:t>6</w:t>
      </w:r>
      <w:r w:rsidR="005C4EBF">
        <w:fldChar w:fldCharType="end"/>
      </w:r>
    </w:p>
    <w:p w:rsidR="00E22DA3" w:rsidRDefault="00E22DA3">
      <w:pPr>
        <w:pStyle w:val="TOC2"/>
        <w:rPr>
          <w:rFonts w:asciiTheme="minorHAnsi" w:eastAsiaTheme="minorEastAsia" w:hAnsiTheme="minorHAnsi" w:cstheme="minorBidi"/>
          <w:noProof/>
          <w:sz w:val="22"/>
          <w:lang w:eastAsia="en-AU"/>
        </w:rPr>
      </w:pPr>
      <w:r w:rsidRPr="009D5470">
        <w:rPr>
          <w:bCs/>
          <w:noProof/>
        </w:rPr>
        <w:t>4.1</w:t>
      </w:r>
      <w:r>
        <w:rPr>
          <w:rFonts w:asciiTheme="minorHAnsi" w:eastAsiaTheme="minorEastAsia" w:hAnsiTheme="minorHAnsi" w:cstheme="minorBidi"/>
          <w:noProof/>
          <w:sz w:val="22"/>
          <w:lang w:eastAsia="en-AU"/>
        </w:rPr>
        <w:tab/>
      </w:r>
      <w:r w:rsidRPr="009D5470">
        <w:rPr>
          <w:bCs/>
          <w:noProof/>
        </w:rPr>
        <w:t>Equitable charging for road access based on actual costs and the impact of road use</w:t>
      </w:r>
      <w:r>
        <w:rPr>
          <w:noProof/>
        </w:rPr>
        <w:tab/>
      </w:r>
      <w:r w:rsidR="005C4EBF">
        <w:rPr>
          <w:noProof/>
        </w:rPr>
        <w:fldChar w:fldCharType="begin"/>
      </w:r>
      <w:r>
        <w:rPr>
          <w:noProof/>
        </w:rPr>
        <w:instrText xml:space="preserve"> PAGEREF _Toc349125088 \h </w:instrText>
      </w:r>
      <w:r w:rsidR="005C4EBF">
        <w:rPr>
          <w:noProof/>
        </w:rPr>
      </w:r>
      <w:r w:rsidR="005C4EBF">
        <w:rPr>
          <w:noProof/>
        </w:rPr>
        <w:fldChar w:fldCharType="separate"/>
      </w:r>
      <w:r>
        <w:rPr>
          <w:noProof/>
        </w:rPr>
        <w:t>6</w:t>
      </w:r>
      <w:r w:rsidR="005C4EBF">
        <w:rPr>
          <w:noProof/>
        </w:rPr>
        <w:fldChar w:fldCharType="end"/>
      </w:r>
    </w:p>
    <w:p w:rsidR="00E22DA3" w:rsidRDefault="00E22DA3">
      <w:pPr>
        <w:pStyle w:val="TOC2"/>
        <w:rPr>
          <w:rFonts w:asciiTheme="minorHAnsi" w:eastAsiaTheme="minorEastAsia" w:hAnsiTheme="minorHAnsi" w:cstheme="minorBidi"/>
          <w:noProof/>
          <w:sz w:val="22"/>
          <w:lang w:eastAsia="en-AU"/>
        </w:rPr>
      </w:pPr>
      <w:r w:rsidRPr="009D5470">
        <w:rPr>
          <w:bCs/>
          <w:noProof/>
        </w:rPr>
        <w:t>4.2</w:t>
      </w:r>
      <w:r>
        <w:rPr>
          <w:rFonts w:asciiTheme="minorHAnsi" w:eastAsiaTheme="minorEastAsia" w:hAnsiTheme="minorHAnsi" w:cstheme="minorBidi"/>
          <w:noProof/>
          <w:sz w:val="22"/>
          <w:lang w:eastAsia="en-AU"/>
        </w:rPr>
        <w:tab/>
      </w:r>
      <w:r w:rsidRPr="009D5470">
        <w:rPr>
          <w:bCs/>
          <w:noProof/>
        </w:rPr>
        <w:t>Encouraging the use of different modes of transport</w:t>
      </w:r>
      <w:r>
        <w:rPr>
          <w:noProof/>
        </w:rPr>
        <w:tab/>
      </w:r>
      <w:r w:rsidR="005C4EBF">
        <w:rPr>
          <w:noProof/>
        </w:rPr>
        <w:fldChar w:fldCharType="begin"/>
      </w:r>
      <w:r>
        <w:rPr>
          <w:noProof/>
        </w:rPr>
        <w:instrText xml:space="preserve"> PAGEREF _Toc349125089 \h </w:instrText>
      </w:r>
      <w:r w:rsidR="005C4EBF">
        <w:rPr>
          <w:noProof/>
        </w:rPr>
      </w:r>
      <w:r w:rsidR="005C4EBF">
        <w:rPr>
          <w:noProof/>
        </w:rPr>
        <w:fldChar w:fldCharType="separate"/>
      </w:r>
      <w:r>
        <w:rPr>
          <w:noProof/>
        </w:rPr>
        <w:t>8</w:t>
      </w:r>
      <w:r w:rsidR="005C4EBF">
        <w:rPr>
          <w:noProof/>
        </w:rPr>
        <w:fldChar w:fldCharType="end"/>
      </w:r>
    </w:p>
    <w:p w:rsidR="00E22DA3" w:rsidRDefault="00E22DA3">
      <w:pPr>
        <w:pStyle w:val="TOC2"/>
        <w:rPr>
          <w:rFonts w:asciiTheme="minorHAnsi" w:eastAsiaTheme="minorEastAsia" w:hAnsiTheme="minorHAnsi" w:cstheme="minorBidi"/>
          <w:noProof/>
          <w:sz w:val="22"/>
          <w:lang w:eastAsia="en-AU"/>
        </w:rPr>
      </w:pPr>
      <w:r>
        <w:rPr>
          <w:noProof/>
        </w:rPr>
        <w:t>4.3</w:t>
      </w:r>
      <w:r>
        <w:rPr>
          <w:rFonts w:asciiTheme="minorHAnsi" w:eastAsiaTheme="minorEastAsia" w:hAnsiTheme="minorHAnsi" w:cstheme="minorBidi"/>
          <w:noProof/>
          <w:sz w:val="22"/>
          <w:lang w:eastAsia="en-AU"/>
        </w:rPr>
        <w:tab/>
      </w:r>
      <w:r w:rsidRPr="009D5470">
        <w:rPr>
          <w:bCs/>
          <w:noProof/>
        </w:rPr>
        <w:t>Generating sustainable levels of income for maintenance of, and investment in, the transport network</w:t>
      </w:r>
      <w:r>
        <w:rPr>
          <w:noProof/>
        </w:rPr>
        <w:tab/>
      </w:r>
      <w:r w:rsidR="005C4EBF">
        <w:rPr>
          <w:noProof/>
        </w:rPr>
        <w:fldChar w:fldCharType="begin"/>
      </w:r>
      <w:r>
        <w:rPr>
          <w:noProof/>
        </w:rPr>
        <w:instrText xml:space="preserve"> PAGEREF _Toc349125090 \h </w:instrText>
      </w:r>
      <w:r w:rsidR="005C4EBF">
        <w:rPr>
          <w:noProof/>
        </w:rPr>
      </w:r>
      <w:r w:rsidR="005C4EBF">
        <w:rPr>
          <w:noProof/>
        </w:rPr>
        <w:fldChar w:fldCharType="separate"/>
      </w:r>
      <w:r>
        <w:rPr>
          <w:noProof/>
        </w:rPr>
        <w:t>8</w:t>
      </w:r>
      <w:r w:rsidR="005C4EBF">
        <w:rPr>
          <w:noProof/>
        </w:rPr>
        <w:fldChar w:fldCharType="end"/>
      </w:r>
    </w:p>
    <w:p w:rsidR="00E22DA3" w:rsidRDefault="00E22DA3">
      <w:pPr>
        <w:pStyle w:val="TOC2"/>
        <w:rPr>
          <w:rFonts w:asciiTheme="minorHAnsi" w:eastAsiaTheme="minorEastAsia" w:hAnsiTheme="minorHAnsi" w:cstheme="minorBidi"/>
          <w:noProof/>
          <w:sz w:val="22"/>
          <w:lang w:eastAsia="en-AU"/>
        </w:rPr>
      </w:pPr>
      <w:r w:rsidRPr="009D5470">
        <w:rPr>
          <w:bCs/>
          <w:noProof/>
        </w:rPr>
        <w:t>4.4</w:t>
      </w:r>
      <w:r>
        <w:rPr>
          <w:rFonts w:asciiTheme="minorHAnsi" w:eastAsiaTheme="minorEastAsia" w:hAnsiTheme="minorHAnsi" w:cstheme="minorBidi"/>
          <w:noProof/>
          <w:sz w:val="22"/>
          <w:lang w:eastAsia="en-AU"/>
        </w:rPr>
        <w:tab/>
      </w:r>
      <w:r w:rsidRPr="009D5470">
        <w:rPr>
          <w:bCs/>
          <w:noProof/>
        </w:rPr>
        <w:t>Providing pricing signals to road users by time of day, distance and type of road</w:t>
      </w:r>
      <w:r>
        <w:rPr>
          <w:noProof/>
        </w:rPr>
        <w:tab/>
      </w:r>
      <w:r w:rsidR="005C4EBF">
        <w:rPr>
          <w:noProof/>
        </w:rPr>
        <w:fldChar w:fldCharType="begin"/>
      </w:r>
      <w:r>
        <w:rPr>
          <w:noProof/>
        </w:rPr>
        <w:instrText xml:space="preserve"> PAGEREF _Toc349125091 \h </w:instrText>
      </w:r>
      <w:r w:rsidR="005C4EBF">
        <w:rPr>
          <w:noProof/>
        </w:rPr>
      </w:r>
      <w:r w:rsidR="005C4EBF">
        <w:rPr>
          <w:noProof/>
        </w:rPr>
        <w:fldChar w:fldCharType="separate"/>
      </w:r>
      <w:r>
        <w:rPr>
          <w:noProof/>
        </w:rPr>
        <w:t>9</w:t>
      </w:r>
      <w:r w:rsidR="005C4EBF">
        <w:rPr>
          <w:noProof/>
        </w:rPr>
        <w:fldChar w:fldCharType="end"/>
      </w:r>
    </w:p>
    <w:p w:rsidR="00E22DA3" w:rsidRDefault="00E22DA3">
      <w:pPr>
        <w:pStyle w:val="TOC2"/>
        <w:rPr>
          <w:rFonts w:asciiTheme="minorHAnsi" w:eastAsiaTheme="minorEastAsia" w:hAnsiTheme="minorHAnsi" w:cstheme="minorBidi"/>
          <w:noProof/>
          <w:sz w:val="22"/>
          <w:lang w:eastAsia="en-AU"/>
        </w:rPr>
      </w:pPr>
      <w:r w:rsidRPr="009D5470">
        <w:rPr>
          <w:bCs/>
          <w:noProof/>
        </w:rPr>
        <w:t>4.5</w:t>
      </w:r>
      <w:r>
        <w:rPr>
          <w:rFonts w:asciiTheme="minorHAnsi" w:eastAsiaTheme="minorEastAsia" w:hAnsiTheme="minorHAnsi" w:cstheme="minorBidi"/>
          <w:noProof/>
          <w:sz w:val="22"/>
          <w:lang w:eastAsia="en-AU"/>
        </w:rPr>
        <w:tab/>
      </w:r>
      <w:r w:rsidRPr="009D5470">
        <w:rPr>
          <w:bCs/>
          <w:noProof/>
        </w:rPr>
        <w:t>Supply side reform</w:t>
      </w:r>
      <w:r>
        <w:rPr>
          <w:noProof/>
        </w:rPr>
        <w:tab/>
      </w:r>
      <w:r w:rsidR="005C4EBF">
        <w:rPr>
          <w:noProof/>
        </w:rPr>
        <w:fldChar w:fldCharType="begin"/>
      </w:r>
      <w:r>
        <w:rPr>
          <w:noProof/>
        </w:rPr>
        <w:instrText xml:space="preserve"> PAGEREF _Toc349125092 \h </w:instrText>
      </w:r>
      <w:r w:rsidR="005C4EBF">
        <w:rPr>
          <w:noProof/>
        </w:rPr>
      </w:r>
      <w:r w:rsidR="005C4EBF">
        <w:rPr>
          <w:noProof/>
        </w:rPr>
        <w:fldChar w:fldCharType="separate"/>
      </w:r>
      <w:r>
        <w:rPr>
          <w:noProof/>
        </w:rPr>
        <w:t>10</w:t>
      </w:r>
      <w:r w:rsidR="005C4EBF">
        <w:rPr>
          <w:noProof/>
        </w:rPr>
        <w:fldChar w:fldCharType="end"/>
      </w:r>
    </w:p>
    <w:p w:rsidR="00E22DA3" w:rsidRDefault="00E22DA3">
      <w:pPr>
        <w:pStyle w:val="TOC2"/>
        <w:rPr>
          <w:rFonts w:asciiTheme="minorHAnsi" w:eastAsiaTheme="minorEastAsia" w:hAnsiTheme="minorHAnsi" w:cstheme="minorBidi"/>
          <w:noProof/>
          <w:sz w:val="22"/>
          <w:lang w:eastAsia="en-AU"/>
        </w:rPr>
      </w:pPr>
      <w:r w:rsidRPr="009D5470">
        <w:rPr>
          <w:bCs/>
          <w:noProof/>
        </w:rPr>
        <w:t>4.6</w:t>
      </w:r>
      <w:r>
        <w:rPr>
          <w:rFonts w:asciiTheme="minorHAnsi" w:eastAsiaTheme="minorEastAsia" w:hAnsiTheme="minorHAnsi" w:cstheme="minorBidi"/>
          <w:noProof/>
          <w:sz w:val="22"/>
          <w:lang w:eastAsia="en-AU"/>
        </w:rPr>
        <w:tab/>
      </w:r>
      <w:r w:rsidRPr="009D5470">
        <w:rPr>
          <w:bCs/>
          <w:noProof/>
        </w:rPr>
        <w:t>Capabilities of road access pricing technologies</w:t>
      </w:r>
      <w:r>
        <w:rPr>
          <w:noProof/>
        </w:rPr>
        <w:tab/>
      </w:r>
      <w:r w:rsidR="005C4EBF">
        <w:rPr>
          <w:noProof/>
        </w:rPr>
        <w:fldChar w:fldCharType="begin"/>
      </w:r>
      <w:r>
        <w:rPr>
          <w:noProof/>
        </w:rPr>
        <w:instrText xml:space="preserve"> PAGEREF _Toc349125093 \h </w:instrText>
      </w:r>
      <w:r w:rsidR="005C4EBF">
        <w:rPr>
          <w:noProof/>
        </w:rPr>
      </w:r>
      <w:r w:rsidR="005C4EBF">
        <w:rPr>
          <w:noProof/>
        </w:rPr>
        <w:fldChar w:fldCharType="separate"/>
      </w:r>
      <w:r>
        <w:rPr>
          <w:noProof/>
        </w:rPr>
        <w:t>13</w:t>
      </w:r>
      <w:r w:rsidR="005C4EBF">
        <w:rPr>
          <w:noProof/>
        </w:rPr>
        <w:fldChar w:fldCharType="end"/>
      </w:r>
    </w:p>
    <w:p w:rsidR="00E22DA3" w:rsidRDefault="00E22DA3">
      <w:pPr>
        <w:pStyle w:val="TOC2"/>
        <w:rPr>
          <w:rFonts w:asciiTheme="minorHAnsi" w:eastAsiaTheme="minorEastAsia" w:hAnsiTheme="minorHAnsi" w:cstheme="minorBidi"/>
          <w:noProof/>
          <w:sz w:val="22"/>
          <w:lang w:eastAsia="en-AU"/>
        </w:rPr>
      </w:pPr>
      <w:r w:rsidRPr="009D5470">
        <w:rPr>
          <w:bCs/>
          <w:noProof/>
        </w:rPr>
        <w:t>4.7</w:t>
      </w:r>
      <w:r>
        <w:rPr>
          <w:rFonts w:asciiTheme="minorHAnsi" w:eastAsiaTheme="minorEastAsia" w:hAnsiTheme="minorHAnsi" w:cstheme="minorBidi"/>
          <w:noProof/>
          <w:sz w:val="22"/>
          <w:lang w:eastAsia="en-AU"/>
        </w:rPr>
        <w:tab/>
      </w:r>
      <w:r w:rsidRPr="009D5470">
        <w:rPr>
          <w:bCs/>
          <w:noProof/>
        </w:rPr>
        <w:t>Federal state jurisdictional issues</w:t>
      </w:r>
      <w:r>
        <w:rPr>
          <w:noProof/>
        </w:rPr>
        <w:tab/>
      </w:r>
      <w:r w:rsidR="005C4EBF">
        <w:rPr>
          <w:noProof/>
        </w:rPr>
        <w:fldChar w:fldCharType="begin"/>
      </w:r>
      <w:r>
        <w:rPr>
          <w:noProof/>
        </w:rPr>
        <w:instrText xml:space="preserve"> PAGEREF _Toc349125094 \h </w:instrText>
      </w:r>
      <w:r w:rsidR="005C4EBF">
        <w:rPr>
          <w:noProof/>
        </w:rPr>
      </w:r>
      <w:r w:rsidR="005C4EBF">
        <w:rPr>
          <w:noProof/>
        </w:rPr>
        <w:fldChar w:fldCharType="separate"/>
      </w:r>
      <w:r>
        <w:rPr>
          <w:noProof/>
        </w:rPr>
        <w:t>14</w:t>
      </w:r>
      <w:r w:rsidR="005C4EBF">
        <w:rPr>
          <w:noProof/>
        </w:rPr>
        <w:fldChar w:fldCharType="end"/>
      </w:r>
    </w:p>
    <w:p w:rsidR="00E22DA3" w:rsidRDefault="00E22DA3">
      <w:pPr>
        <w:pStyle w:val="TOC2"/>
        <w:rPr>
          <w:rFonts w:asciiTheme="minorHAnsi" w:eastAsiaTheme="minorEastAsia" w:hAnsiTheme="minorHAnsi" w:cstheme="minorBidi"/>
          <w:noProof/>
          <w:sz w:val="22"/>
          <w:lang w:eastAsia="en-AU"/>
        </w:rPr>
      </w:pPr>
      <w:r w:rsidRPr="009D5470">
        <w:rPr>
          <w:bCs/>
          <w:noProof/>
        </w:rPr>
        <w:t>4.8</w:t>
      </w:r>
      <w:r>
        <w:rPr>
          <w:rFonts w:asciiTheme="minorHAnsi" w:eastAsiaTheme="minorEastAsia" w:hAnsiTheme="minorHAnsi" w:cstheme="minorBidi"/>
          <w:noProof/>
          <w:sz w:val="22"/>
          <w:lang w:eastAsia="en-AU"/>
        </w:rPr>
        <w:tab/>
      </w:r>
      <w:r w:rsidRPr="009D5470">
        <w:rPr>
          <w:bCs/>
          <w:noProof/>
        </w:rPr>
        <w:t>The socio-economic impact of road access pricing throughout NSW</w:t>
      </w:r>
      <w:r>
        <w:rPr>
          <w:noProof/>
        </w:rPr>
        <w:tab/>
      </w:r>
      <w:r w:rsidR="005C4EBF">
        <w:rPr>
          <w:noProof/>
        </w:rPr>
        <w:fldChar w:fldCharType="begin"/>
      </w:r>
      <w:r>
        <w:rPr>
          <w:noProof/>
        </w:rPr>
        <w:instrText xml:space="preserve"> PAGEREF _Toc349125095 \h </w:instrText>
      </w:r>
      <w:r w:rsidR="005C4EBF">
        <w:rPr>
          <w:noProof/>
        </w:rPr>
      </w:r>
      <w:r w:rsidR="005C4EBF">
        <w:rPr>
          <w:noProof/>
        </w:rPr>
        <w:fldChar w:fldCharType="separate"/>
      </w:r>
      <w:r>
        <w:rPr>
          <w:noProof/>
        </w:rPr>
        <w:t>14</w:t>
      </w:r>
      <w:r w:rsidR="005C4EBF">
        <w:rPr>
          <w:noProof/>
        </w:rPr>
        <w:fldChar w:fldCharType="end"/>
      </w:r>
    </w:p>
    <w:p w:rsidR="00E22DA3" w:rsidRDefault="00E22DA3">
      <w:pPr>
        <w:pStyle w:val="TOC2"/>
        <w:rPr>
          <w:rFonts w:asciiTheme="minorHAnsi" w:eastAsiaTheme="minorEastAsia" w:hAnsiTheme="minorHAnsi" w:cstheme="minorBidi"/>
          <w:noProof/>
          <w:sz w:val="22"/>
          <w:lang w:eastAsia="en-AU"/>
        </w:rPr>
      </w:pPr>
      <w:r w:rsidRPr="009D5470">
        <w:rPr>
          <w:bCs/>
          <w:noProof/>
        </w:rPr>
        <w:t>4.9</w:t>
      </w:r>
      <w:r>
        <w:rPr>
          <w:rFonts w:asciiTheme="minorHAnsi" w:eastAsiaTheme="minorEastAsia" w:hAnsiTheme="minorHAnsi" w:cstheme="minorBidi"/>
          <w:noProof/>
          <w:sz w:val="22"/>
          <w:lang w:eastAsia="en-AU"/>
        </w:rPr>
        <w:tab/>
      </w:r>
      <w:r w:rsidRPr="009D5470">
        <w:rPr>
          <w:bCs/>
          <w:noProof/>
        </w:rPr>
        <w:t>Options available for a staged implementation of road access pricing applicable to NSW.</w:t>
      </w:r>
      <w:r>
        <w:rPr>
          <w:noProof/>
        </w:rPr>
        <w:tab/>
      </w:r>
      <w:r w:rsidR="005C4EBF">
        <w:rPr>
          <w:noProof/>
        </w:rPr>
        <w:fldChar w:fldCharType="begin"/>
      </w:r>
      <w:r>
        <w:rPr>
          <w:noProof/>
        </w:rPr>
        <w:instrText xml:space="preserve"> PAGEREF _Toc349125096 \h </w:instrText>
      </w:r>
      <w:r w:rsidR="005C4EBF">
        <w:rPr>
          <w:noProof/>
        </w:rPr>
      </w:r>
      <w:r w:rsidR="005C4EBF">
        <w:rPr>
          <w:noProof/>
        </w:rPr>
        <w:fldChar w:fldCharType="separate"/>
      </w:r>
      <w:r>
        <w:rPr>
          <w:noProof/>
        </w:rPr>
        <w:t>14</w:t>
      </w:r>
      <w:r w:rsidR="005C4EBF">
        <w:rPr>
          <w:noProof/>
        </w:rPr>
        <w:fldChar w:fldCharType="end"/>
      </w:r>
    </w:p>
    <w:p w:rsidR="00E22DA3" w:rsidRDefault="00E22DA3">
      <w:pPr>
        <w:pStyle w:val="TOC1"/>
        <w:rPr>
          <w:rFonts w:asciiTheme="minorHAnsi" w:eastAsiaTheme="minorEastAsia" w:hAnsiTheme="minorHAnsi" w:cstheme="minorBidi"/>
          <w:sz w:val="22"/>
          <w:szCs w:val="22"/>
          <w:lang w:eastAsia="en-AU"/>
        </w:rPr>
      </w:pPr>
      <w:r>
        <w:t>APPENDIX A: The ATA and Barkwood Consulting Pty Ltd Truck Impact Chart</w:t>
      </w:r>
      <w:r>
        <w:tab/>
      </w:r>
      <w:r w:rsidR="005C4EBF">
        <w:fldChar w:fldCharType="begin"/>
      </w:r>
      <w:r>
        <w:instrText xml:space="preserve"> PAGEREF _Toc349125097 \h </w:instrText>
      </w:r>
      <w:r w:rsidR="005C4EBF">
        <w:fldChar w:fldCharType="separate"/>
      </w:r>
      <w:r>
        <w:t>19</w:t>
      </w:r>
      <w:r w:rsidR="005C4EBF">
        <w:fldChar w:fldCharType="end"/>
      </w:r>
    </w:p>
    <w:p w:rsidR="00241C15" w:rsidRPr="005959F9" w:rsidRDefault="005C4EBF" w:rsidP="001025C9">
      <w:pPr>
        <w:tabs>
          <w:tab w:val="right" w:leader="dot" w:pos="9645"/>
        </w:tabs>
        <w:jc w:val="both"/>
        <w:rPr>
          <w:rFonts w:ascii="Arial" w:hAnsi="Arial" w:cs="Arial"/>
          <w:sz w:val="20"/>
          <w:szCs w:val="20"/>
        </w:rPr>
      </w:pPr>
      <w:r w:rsidRPr="005959F9">
        <w:rPr>
          <w:rFonts w:ascii="Arial" w:hAnsi="Arial" w:cs="Arial"/>
          <w:b/>
          <w:sz w:val="20"/>
          <w:szCs w:val="20"/>
        </w:rPr>
        <w:fldChar w:fldCharType="end"/>
      </w:r>
    </w:p>
    <w:p w:rsidR="00576ED0" w:rsidRPr="005959F9" w:rsidRDefault="00576ED0" w:rsidP="001025C9">
      <w:pPr>
        <w:jc w:val="both"/>
        <w:rPr>
          <w:rFonts w:ascii="Arial" w:hAnsi="Arial" w:cs="Arial"/>
          <w:sz w:val="20"/>
          <w:szCs w:val="20"/>
        </w:rPr>
      </w:pPr>
      <w:r w:rsidRPr="005959F9">
        <w:rPr>
          <w:rFonts w:ascii="Arial" w:hAnsi="Arial" w:cs="Arial"/>
          <w:sz w:val="20"/>
          <w:szCs w:val="20"/>
        </w:rPr>
        <w:br w:type="page"/>
      </w:r>
    </w:p>
    <w:p w:rsidR="00576ED0" w:rsidRPr="005959F9" w:rsidRDefault="00576ED0" w:rsidP="001025C9">
      <w:pPr>
        <w:pStyle w:val="Heading1"/>
        <w:jc w:val="both"/>
      </w:pPr>
      <w:bookmarkStart w:id="0" w:name="_Toc349125084"/>
      <w:r w:rsidRPr="005959F9">
        <w:lastRenderedPageBreak/>
        <w:t>Introduction</w:t>
      </w:r>
      <w:bookmarkEnd w:id="0"/>
    </w:p>
    <w:p w:rsidR="00D17563" w:rsidRPr="005959F9" w:rsidRDefault="00D17563" w:rsidP="001025C9">
      <w:pPr>
        <w:jc w:val="both"/>
        <w:rPr>
          <w:rFonts w:ascii="Arial" w:hAnsi="Arial" w:cs="Arial"/>
          <w:sz w:val="20"/>
          <w:szCs w:val="20"/>
        </w:rPr>
      </w:pPr>
    </w:p>
    <w:p w:rsidR="00A45F83" w:rsidRPr="005959F9" w:rsidRDefault="00A45F83" w:rsidP="001025C9">
      <w:pPr>
        <w:jc w:val="both"/>
        <w:rPr>
          <w:rFonts w:ascii="Arial" w:hAnsi="Arial" w:cs="Arial"/>
          <w:sz w:val="20"/>
          <w:szCs w:val="20"/>
        </w:rPr>
      </w:pPr>
      <w:r w:rsidRPr="005959F9">
        <w:rPr>
          <w:rFonts w:ascii="Arial" w:hAnsi="Arial" w:cs="Arial"/>
          <w:sz w:val="20"/>
          <w:szCs w:val="20"/>
        </w:rPr>
        <w:t xml:space="preserve">The </w:t>
      </w:r>
      <w:r w:rsidR="00243126" w:rsidRPr="005959F9">
        <w:rPr>
          <w:rFonts w:ascii="Arial" w:hAnsi="Arial" w:cs="Arial"/>
          <w:sz w:val="20"/>
          <w:szCs w:val="20"/>
        </w:rPr>
        <w:t>ATA NSW</w:t>
      </w:r>
      <w:r w:rsidRPr="005959F9">
        <w:rPr>
          <w:rFonts w:ascii="Arial" w:hAnsi="Arial" w:cs="Arial"/>
          <w:sz w:val="20"/>
          <w:szCs w:val="20"/>
        </w:rPr>
        <w:t xml:space="preserve"> ha</w:t>
      </w:r>
      <w:r w:rsidR="00243126" w:rsidRPr="005959F9">
        <w:rPr>
          <w:rFonts w:ascii="Arial" w:hAnsi="Arial" w:cs="Arial"/>
          <w:sz w:val="20"/>
          <w:szCs w:val="20"/>
        </w:rPr>
        <w:t>ve</w:t>
      </w:r>
      <w:r w:rsidRPr="005959F9">
        <w:rPr>
          <w:rFonts w:ascii="Arial" w:hAnsi="Arial" w:cs="Arial"/>
          <w:sz w:val="20"/>
          <w:szCs w:val="20"/>
        </w:rPr>
        <w:t xml:space="preserve"> been contributing to the discussion on road access pricing for many years and plays an active role</w:t>
      </w:r>
      <w:r w:rsidR="00E56A2C" w:rsidRPr="005959F9">
        <w:rPr>
          <w:rFonts w:ascii="Arial" w:hAnsi="Arial" w:cs="Arial"/>
          <w:sz w:val="20"/>
          <w:szCs w:val="20"/>
        </w:rPr>
        <w:t xml:space="preserve"> in the Heavy Vehicle C</w:t>
      </w:r>
      <w:r w:rsidRPr="005959F9">
        <w:rPr>
          <w:rFonts w:ascii="Arial" w:hAnsi="Arial" w:cs="Arial"/>
          <w:sz w:val="20"/>
          <w:szCs w:val="20"/>
        </w:rPr>
        <w:t xml:space="preserve">harging </w:t>
      </w:r>
      <w:r w:rsidR="00E56A2C" w:rsidRPr="005959F9">
        <w:rPr>
          <w:rFonts w:ascii="Arial" w:hAnsi="Arial" w:cs="Arial"/>
          <w:sz w:val="20"/>
          <w:szCs w:val="20"/>
        </w:rPr>
        <w:t xml:space="preserve">and Investment </w:t>
      </w:r>
      <w:r w:rsidRPr="005959F9">
        <w:rPr>
          <w:rFonts w:ascii="Arial" w:hAnsi="Arial" w:cs="Arial"/>
          <w:sz w:val="20"/>
          <w:szCs w:val="20"/>
        </w:rPr>
        <w:t>reform (HVCI) and the National Transport Commission</w:t>
      </w:r>
      <w:r w:rsidR="005F1298" w:rsidRPr="005959F9">
        <w:rPr>
          <w:rFonts w:ascii="Arial" w:hAnsi="Arial" w:cs="Arial"/>
          <w:sz w:val="20"/>
          <w:szCs w:val="20"/>
        </w:rPr>
        <w:t>’</w:t>
      </w:r>
      <w:r w:rsidRPr="005959F9">
        <w:rPr>
          <w:rFonts w:ascii="Arial" w:hAnsi="Arial" w:cs="Arial"/>
          <w:sz w:val="20"/>
          <w:szCs w:val="20"/>
        </w:rPr>
        <w:t xml:space="preserve">s (NTC) </w:t>
      </w:r>
      <w:r w:rsidR="00A61231" w:rsidRPr="005959F9">
        <w:rPr>
          <w:rFonts w:ascii="Arial" w:hAnsi="Arial" w:cs="Arial"/>
          <w:sz w:val="20"/>
          <w:szCs w:val="20"/>
        </w:rPr>
        <w:t>h</w:t>
      </w:r>
      <w:r w:rsidRPr="005959F9">
        <w:rPr>
          <w:rFonts w:ascii="Arial" w:hAnsi="Arial" w:cs="Arial"/>
          <w:sz w:val="20"/>
          <w:szCs w:val="20"/>
        </w:rPr>
        <w:t xml:space="preserve">eavy vehicle charges review. </w:t>
      </w:r>
    </w:p>
    <w:p w:rsidR="00A45F83" w:rsidRPr="005959F9" w:rsidRDefault="00A45F83" w:rsidP="001025C9">
      <w:pPr>
        <w:jc w:val="both"/>
        <w:rPr>
          <w:rFonts w:ascii="Arial" w:hAnsi="Arial" w:cs="Arial"/>
          <w:sz w:val="20"/>
          <w:szCs w:val="20"/>
        </w:rPr>
      </w:pPr>
    </w:p>
    <w:p w:rsidR="00A45F83" w:rsidRPr="005959F9" w:rsidRDefault="00A45F83" w:rsidP="001025C9">
      <w:pPr>
        <w:jc w:val="both"/>
        <w:rPr>
          <w:rFonts w:ascii="Arial" w:hAnsi="Arial" w:cs="Arial"/>
          <w:sz w:val="20"/>
          <w:szCs w:val="20"/>
        </w:rPr>
      </w:pPr>
      <w:r w:rsidRPr="005959F9">
        <w:rPr>
          <w:rFonts w:ascii="Arial" w:hAnsi="Arial" w:cs="Arial"/>
          <w:sz w:val="20"/>
          <w:szCs w:val="20"/>
        </w:rPr>
        <w:t xml:space="preserve">The heavy vehicle industry, unlike other road users, pays charges that reflect usage and </w:t>
      </w:r>
      <w:r w:rsidR="00FC1688">
        <w:rPr>
          <w:rFonts w:ascii="Arial" w:hAnsi="Arial" w:cs="Arial"/>
          <w:sz w:val="20"/>
          <w:szCs w:val="20"/>
        </w:rPr>
        <w:t>re</w:t>
      </w:r>
      <w:r w:rsidRPr="005959F9">
        <w:rPr>
          <w:rFonts w:ascii="Arial" w:hAnsi="Arial" w:cs="Arial"/>
          <w:sz w:val="20"/>
          <w:szCs w:val="20"/>
        </w:rPr>
        <w:t xml:space="preserve">cover </w:t>
      </w:r>
      <w:r w:rsidR="006D4B39" w:rsidRPr="005959F9">
        <w:rPr>
          <w:rFonts w:ascii="Arial" w:hAnsi="Arial" w:cs="Arial"/>
          <w:sz w:val="20"/>
          <w:szCs w:val="20"/>
        </w:rPr>
        <w:t xml:space="preserve">the </w:t>
      </w:r>
      <w:r w:rsidR="005F1298" w:rsidRPr="005959F9">
        <w:rPr>
          <w:rFonts w:ascii="Arial" w:hAnsi="Arial" w:cs="Arial"/>
          <w:sz w:val="20"/>
          <w:szCs w:val="20"/>
        </w:rPr>
        <w:t>cost</w:t>
      </w:r>
      <w:r w:rsidRPr="005959F9">
        <w:rPr>
          <w:rFonts w:ascii="Arial" w:hAnsi="Arial" w:cs="Arial"/>
          <w:sz w:val="20"/>
          <w:szCs w:val="20"/>
        </w:rPr>
        <w:t xml:space="preserve"> of heavy vehicle effects on infrastructure</w:t>
      </w:r>
      <w:r w:rsidR="005F1298" w:rsidRPr="005959F9">
        <w:rPr>
          <w:rFonts w:ascii="Arial" w:hAnsi="Arial" w:cs="Arial"/>
          <w:sz w:val="20"/>
          <w:szCs w:val="20"/>
        </w:rPr>
        <w:t>,</w:t>
      </w:r>
      <w:r w:rsidRPr="005959F9">
        <w:rPr>
          <w:rFonts w:ascii="Arial" w:hAnsi="Arial" w:cs="Arial"/>
          <w:sz w:val="20"/>
          <w:szCs w:val="20"/>
        </w:rPr>
        <w:t xml:space="preserve"> including related capital costs. Heavy vehicle charges are calculated based on heavy vehicle impact on road infrastructure. Registration charges and the fuel excise </w:t>
      </w:r>
      <w:r w:rsidR="005F1298" w:rsidRPr="005959F9">
        <w:rPr>
          <w:rFonts w:ascii="Arial" w:hAnsi="Arial" w:cs="Arial"/>
          <w:sz w:val="20"/>
          <w:szCs w:val="20"/>
        </w:rPr>
        <w:t>that industry pays reflect</w:t>
      </w:r>
      <w:r w:rsidRPr="005959F9">
        <w:rPr>
          <w:rFonts w:ascii="Arial" w:hAnsi="Arial" w:cs="Arial"/>
          <w:sz w:val="20"/>
          <w:szCs w:val="20"/>
        </w:rPr>
        <w:t xml:space="preserve"> heavy vehicle specific expenditure by road agencies. </w:t>
      </w:r>
    </w:p>
    <w:p w:rsidR="00A45F83" w:rsidRPr="005959F9" w:rsidRDefault="00A45F83" w:rsidP="001025C9">
      <w:pPr>
        <w:jc w:val="both"/>
        <w:rPr>
          <w:rFonts w:ascii="Arial" w:hAnsi="Arial" w:cs="Arial"/>
          <w:sz w:val="20"/>
          <w:szCs w:val="20"/>
        </w:rPr>
      </w:pPr>
    </w:p>
    <w:p w:rsidR="000D0FE5" w:rsidRPr="005959F9" w:rsidRDefault="000D0FE5" w:rsidP="001025C9">
      <w:pPr>
        <w:jc w:val="both"/>
        <w:rPr>
          <w:rFonts w:ascii="Arial" w:hAnsi="Arial" w:cs="Arial"/>
          <w:sz w:val="20"/>
          <w:szCs w:val="20"/>
        </w:rPr>
      </w:pPr>
      <w:r w:rsidRPr="005959F9">
        <w:rPr>
          <w:rFonts w:ascii="Arial" w:hAnsi="Arial" w:cs="Arial"/>
          <w:sz w:val="20"/>
          <w:szCs w:val="20"/>
        </w:rPr>
        <w:t xml:space="preserve">This submission discusses heavy vehicle charges in terms of the registration and excise charges the heavy vehicle industry pays under the </w:t>
      </w:r>
      <w:r w:rsidR="005F1298" w:rsidRPr="005959F9">
        <w:rPr>
          <w:rFonts w:ascii="Arial" w:hAnsi="Arial" w:cs="Arial"/>
          <w:sz w:val="20"/>
          <w:szCs w:val="20"/>
        </w:rPr>
        <w:t>‘</w:t>
      </w:r>
      <w:r w:rsidRPr="005959F9">
        <w:rPr>
          <w:rFonts w:ascii="Arial" w:hAnsi="Arial" w:cs="Arial"/>
          <w:sz w:val="20"/>
          <w:szCs w:val="20"/>
        </w:rPr>
        <w:t>pay as you go</w:t>
      </w:r>
      <w:r w:rsidR="005F1298" w:rsidRPr="005959F9">
        <w:rPr>
          <w:rFonts w:ascii="Arial" w:hAnsi="Arial" w:cs="Arial"/>
          <w:sz w:val="20"/>
          <w:szCs w:val="20"/>
        </w:rPr>
        <w:t>’</w:t>
      </w:r>
      <w:r w:rsidRPr="005959F9">
        <w:rPr>
          <w:rFonts w:ascii="Arial" w:hAnsi="Arial" w:cs="Arial"/>
          <w:sz w:val="20"/>
          <w:szCs w:val="20"/>
        </w:rPr>
        <w:t xml:space="preserve"> (P</w:t>
      </w:r>
      <w:r w:rsidR="005F1298" w:rsidRPr="005959F9">
        <w:rPr>
          <w:rFonts w:ascii="Arial" w:hAnsi="Arial" w:cs="Arial"/>
          <w:sz w:val="20"/>
          <w:szCs w:val="20"/>
        </w:rPr>
        <w:t>ayGo) charging model. Toll road</w:t>
      </w:r>
      <w:r w:rsidRPr="005959F9">
        <w:rPr>
          <w:rFonts w:ascii="Arial" w:hAnsi="Arial" w:cs="Arial"/>
          <w:sz w:val="20"/>
          <w:szCs w:val="20"/>
        </w:rPr>
        <w:t xml:space="preserve"> charges are not deliberated and should not be interpreted as the charges mentioned in this submission.  </w:t>
      </w:r>
    </w:p>
    <w:p w:rsidR="000D0FE5" w:rsidRPr="005959F9" w:rsidRDefault="000D0FE5" w:rsidP="001025C9">
      <w:pPr>
        <w:jc w:val="both"/>
        <w:rPr>
          <w:rFonts w:ascii="Arial" w:hAnsi="Arial" w:cs="Arial"/>
          <w:sz w:val="20"/>
          <w:szCs w:val="20"/>
        </w:rPr>
      </w:pPr>
    </w:p>
    <w:p w:rsidR="005F1298" w:rsidRPr="005959F9" w:rsidRDefault="00243126" w:rsidP="001025C9">
      <w:pPr>
        <w:jc w:val="both"/>
        <w:rPr>
          <w:rFonts w:ascii="Arial" w:hAnsi="Arial" w:cs="Arial"/>
          <w:sz w:val="20"/>
          <w:szCs w:val="20"/>
        </w:rPr>
      </w:pPr>
      <w:r w:rsidRPr="005959F9">
        <w:rPr>
          <w:rFonts w:ascii="Arial" w:hAnsi="Arial" w:cs="Arial"/>
          <w:sz w:val="20"/>
          <w:szCs w:val="20"/>
        </w:rPr>
        <w:t>ATA NSW</w:t>
      </w:r>
      <w:r w:rsidR="00A45F83" w:rsidRPr="005959F9">
        <w:rPr>
          <w:rFonts w:ascii="Arial" w:hAnsi="Arial" w:cs="Arial"/>
          <w:sz w:val="20"/>
          <w:szCs w:val="20"/>
        </w:rPr>
        <w:t xml:space="preserve"> is encouraged that discussion about light vehicle and heavy vehicle road access pricing</w:t>
      </w:r>
      <w:r w:rsidR="00FC1688">
        <w:rPr>
          <w:rFonts w:ascii="Arial" w:hAnsi="Arial" w:cs="Arial"/>
          <w:sz w:val="20"/>
          <w:szCs w:val="20"/>
        </w:rPr>
        <w:t xml:space="preserve"> is taking place</w:t>
      </w:r>
      <w:r w:rsidR="005F1298" w:rsidRPr="005959F9">
        <w:rPr>
          <w:rFonts w:ascii="Arial" w:hAnsi="Arial" w:cs="Arial"/>
          <w:sz w:val="20"/>
          <w:szCs w:val="20"/>
        </w:rPr>
        <w:t>.</w:t>
      </w:r>
      <w:r w:rsidR="00A45F83" w:rsidRPr="005959F9">
        <w:rPr>
          <w:rFonts w:ascii="Arial" w:hAnsi="Arial" w:cs="Arial"/>
          <w:sz w:val="20"/>
          <w:szCs w:val="20"/>
        </w:rPr>
        <w:t xml:space="preserve"> </w:t>
      </w:r>
      <w:r w:rsidR="005F1298" w:rsidRPr="005959F9">
        <w:rPr>
          <w:rFonts w:ascii="Arial" w:hAnsi="Arial" w:cs="Arial"/>
          <w:sz w:val="20"/>
          <w:szCs w:val="20"/>
        </w:rPr>
        <w:t>T</w:t>
      </w:r>
      <w:r w:rsidR="00A45F83" w:rsidRPr="005959F9">
        <w:rPr>
          <w:rFonts w:ascii="Arial" w:hAnsi="Arial" w:cs="Arial"/>
          <w:sz w:val="20"/>
          <w:szCs w:val="20"/>
        </w:rPr>
        <w:t>he</w:t>
      </w:r>
      <w:r w:rsidR="005F1298" w:rsidRPr="005959F9">
        <w:rPr>
          <w:rFonts w:ascii="Arial" w:hAnsi="Arial" w:cs="Arial"/>
          <w:sz w:val="20"/>
          <w:szCs w:val="20"/>
        </w:rPr>
        <w:t xml:space="preserve"> heavy vehicle industry has</w:t>
      </w:r>
      <w:r w:rsidR="00A45F83" w:rsidRPr="005959F9">
        <w:rPr>
          <w:rFonts w:ascii="Arial" w:hAnsi="Arial" w:cs="Arial"/>
          <w:sz w:val="20"/>
          <w:szCs w:val="20"/>
        </w:rPr>
        <w:t xml:space="preserve"> been the</w:t>
      </w:r>
      <w:r w:rsidR="005F1298" w:rsidRPr="005959F9">
        <w:rPr>
          <w:rFonts w:ascii="Arial" w:hAnsi="Arial" w:cs="Arial"/>
          <w:sz w:val="20"/>
          <w:szCs w:val="20"/>
        </w:rPr>
        <w:t xml:space="preserve"> only</w:t>
      </w:r>
      <w:r w:rsidR="00A45F83" w:rsidRPr="005959F9">
        <w:rPr>
          <w:rFonts w:ascii="Arial" w:hAnsi="Arial" w:cs="Arial"/>
          <w:sz w:val="20"/>
          <w:szCs w:val="20"/>
        </w:rPr>
        <w:t xml:space="preserve"> focus for COAG’s HVCI project</w:t>
      </w:r>
      <w:r w:rsidR="005F1298" w:rsidRPr="005959F9">
        <w:rPr>
          <w:rFonts w:ascii="Arial" w:hAnsi="Arial" w:cs="Arial"/>
          <w:sz w:val="20"/>
          <w:szCs w:val="20"/>
        </w:rPr>
        <w:t xml:space="preserve"> for some time. However, light</w:t>
      </w:r>
      <w:r w:rsidR="00A45F83" w:rsidRPr="005959F9">
        <w:rPr>
          <w:rFonts w:ascii="Arial" w:hAnsi="Arial" w:cs="Arial"/>
          <w:sz w:val="20"/>
          <w:szCs w:val="20"/>
        </w:rPr>
        <w:t xml:space="preserve"> vehicles </w:t>
      </w:r>
      <w:r w:rsidR="00FC1688">
        <w:rPr>
          <w:rFonts w:ascii="Arial" w:hAnsi="Arial" w:cs="Arial"/>
          <w:sz w:val="20"/>
          <w:szCs w:val="20"/>
        </w:rPr>
        <w:t xml:space="preserve">contribute </w:t>
      </w:r>
      <w:proofErr w:type="gramStart"/>
      <w:r w:rsidR="00FC1688">
        <w:rPr>
          <w:rFonts w:ascii="Arial" w:hAnsi="Arial" w:cs="Arial"/>
          <w:sz w:val="20"/>
          <w:szCs w:val="20"/>
        </w:rPr>
        <w:t>to</w:t>
      </w:r>
      <w:proofErr w:type="gramEnd"/>
      <w:r w:rsidR="00FC1688" w:rsidRPr="005959F9">
        <w:rPr>
          <w:rFonts w:ascii="Arial" w:hAnsi="Arial" w:cs="Arial"/>
          <w:sz w:val="20"/>
          <w:szCs w:val="20"/>
        </w:rPr>
        <w:t xml:space="preserve"> </w:t>
      </w:r>
      <w:r w:rsidR="00A45F83" w:rsidRPr="005959F9">
        <w:rPr>
          <w:rFonts w:ascii="Arial" w:hAnsi="Arial" w:cs="Arial"/>
          <w:sz w:val="20"/>
          <w:szCs w:val="20"/>
        </w:rPr>
        <w:t xml:space="preserve">many significant costs in the road sector. </w:t>
      </w:r>
    </w:p>
    <w:p w:rsidR="005F1298" w:rsidRPr="005959F9" w:rsidRDefault="005F1298" w:rsidP="001025C9">
      <w:pPr>
        <w:jc w:val="both"/>
        <w:rPr>
          <w:rFonts w:ascii="Arial" w:hAnsi="Arial" w:cs="Arial"/>
          <w:sz w:val="20"/>
          <w:szCs w:val="20"/>
        </w:rPr>
      </w:pPr>
    </w:p>
    <w:p w:rsidR="00A45F83" w:rsidRPr="005959F9" w:rsidRDefault="00A45F83" w:rsidP="001025C9">
      <w:pPr>
        <w:jc w:val="both"/>
        <w:rPr>
          <w:rFonts w:ascii="Arial" w:hAnsi="Arial" w:cs="Arial"/>
          <w:sz w:val="20"/>
          <w:szCs w:val="20"/>
        </w:rPr>
      </w:pPr>
      <w:r w:rsidRPr="005959F9">
        <w:rPr>
          <w:rFonts w:ascii="Arial" w:hAnsi="Arial" w:cs="Arial"/>
          <w:sz w:val="20"/>
          <w:szCs w:val="20"/>
        </w:rPr>
        <w:t>The</w:t>
      </w:r>
      <w:r w:rsidR="005F1298" w:rsidRPr="005959F9">
        <w:rPr>
          <w:rFonts w:ascii="Arial" w:hAnsi="Arial" w:cs="Arial"/>
          <w:sz w:val="20"/>
          <w:szCs w:val="20"/>
        </w:rPr>
        <w:t xml:space="preserve"> trucking</w:t>
      </w:r>
      <w:r w:rsidRPr="005959F9">
        <w:rPr>
          <w:rFonts w:ascii="Arial" w:hAnsi="Arial" w:cs="Arial"/>
          <w:sz w:val="20"/>
          <w:szCs w:val="20"/>
        </w:rPr>
        <w:t xml:space="preserve"> industry currently contributes $3bn</w:t>
      </w:r>
      <w:r w:rsidR="00C97FF4">
        <w:rPr>
          <w:rFonts w:ascii="Arial" w:hAnsi="Arial" w:cs="Arial"/>
          <w:sz w:val="20"/>
          <w:szCs w:val="20"/>
        </w:rPr>
        <w:t xml:space="preserve"> out of a total road cost of $15</w:t>
      </w:r>
      <w:r w:rsidRPr="005959F9">
        <w:rPr>
          <w:rFonts w:ascii="Arial" w:hAnsi="Arial" w:cs="Arial"/>
          <w:sz w:val="20"/>
          <w:szCs w:val="20"/>
        </w:rPr>
        <w:t xml:space="preserve">bn. </w:t>
      </w:r>
      <w:r w:rsidR="005F1298" w:rsidRPr="005959F9">
        <w:rPr>
          <w:rFonts w:ascii="Arial" w:hAnsi="Arial" w:cs="Arial"/>
          <w:sz w:val="20"/>
          <w:szCs w:val="20"/>
        </w:rPr>
        <w:t>We have</w:t>
      </w:r>
      <w:r w:rsidRPr="005959F9">
        <w:rPr>
          <w:rFonts w:ascii="Arial" w:hAnsi="Arial" w:cs="Arial"/>
          <w:sz w:val="20"/>
          <w:szCs w:val="20"/>
        </w:rPr>
        <w:t xml:space="preserve"> stated that the partial market approach taken by HVCI will only have a marginal </w:t>
      </w:r>
      <w:proofErr w:type="gramStart"/>
      <w:r w:rsidR="005B5ADE" w:rsidRPr="005959F9">
        <w:rPr>
          <w:rFonts w:ascii="Arial" w:hAnsi="Arial" w:cs="Arial"/>
          <w:sz w:val="20"/>
          <w:szCs w:val="20"/>
        </w:rPr>
        <w:t>application,</w:t>
      </w:r>
      <w:proofErr w:type="gramEnd"/>
      <w:r w:rsidR="005B5ADE" w:rsidRPr="005959F9">
        <w:rPr>
          <w:rFonts w:ascii="Arial" w:hAnsi="Arial" w:cs="Arial"/>
          <w:sz w:val="20"/>
          <w:szCs w:val="20"/>
        </w:rPr>
        <w:t xml:space="preserve"> and</w:t>
      </w:r>
      <w:r w:rsidRPr="005959F9">
        <w:rPr>
          <w:rFonts w:ascii="Arial" w:hAnsi="Arial" w:cs="Arial"/>
          <w:sz w:val="20"/>
          <w:szCs w:val="20"/>
        </w:rPr>
        <w:t xml:space="preserve"> that if all road users were included in the project any net benefits would be higher and societal effects better addressed. </w:t>
      </w:r>
    </w:p>
    <w:p w:rsidR="00A45F83" w:rsidRPr="005959F9" w:rsidRDefault="00A45F83" w:rsidP="001025C9">
      <w:pPr>
        <w:jc w:val="both"/>
        <w:rPr>
          <w:rFonts w:ascii="Arial" w:hAnsi="Arial" w:cs="Arial"/>
          <w:sz w:val="20"/>
          <w:szCs w:val="20"/>
        </w:rPr>
      </w:pPr>
    </w:p>
    <w:p w:rsidR="00A45F83" w:rsidRPr="005959F9" w:rsidRDefault="00A45F83" w:rsidP="001025C9">
      <w:pPr>
        <w:jc w:val="both"/>
        <w:rPr>
          <w:rFonts w:ascii="Arial" w:hAnsi="Arial" w:cs="Arial"/>
          <w:sz w:val="20"/>
          <w:szCs w:val="20"/>
        </w:rPr>
      </w:pPr>
      <w:r w:rsidRPr="005959F9">
        <w:rPr>
          <w:rFonts w:ascii="Arial" w:hAnsi="Arial" w:cs="Arial"/>
          <w:sz w:val="20"/>
          <w:szCs w:val="20"/>
        </w:rPr>
        <w:t xml:space="preserve">Road access pricing is a national concern and there should be a high level of consultation on the issue. Australia is unique in its composition of population spread, road types and areas of production. The </w:t>
      </w:r>
      <w:r w:rsidR="003340FB">
        <w:rPr>
          <w:rFonts w:ascii="Arial" w:hAnsi="Arial" w:cs="Arial"/>
          <w:sz w:val="20"/>
          <w:szCs w:val="20"/>
        </w:rPr>
        <w:t xml:space="preserve">Committee </w:t>
      </w:r>
      <w:r w:rsidRPr="005959F9">
        <w:rPr>
          <w:rFonts w:ascii="Arial" w:hAnsi="Arial" w:cs="Arial"/>
          <w:sz w:val="20"/>
          <w:szCs w:val="20"/>
        </w:rPr>
        <w:t xml:space="preserve">cannot ignore the constraints this vastness and inconsistency in road quality presents. This inquiry is a golden opportunity to promote the reality of the situation and to inform current projects considering direct pricing, a forward looking cost base, and the associated need for a community service obligation (CSO) to address the social and societal equity standards in our community in the near future. </w:t>
      </w:r>
    </w:p>
    <w:p w:rsidR="00A45F83" w:rsidRPr="005959F9" w:rsidRDefault="00A45F83" w:rsidP="001025C9">
      <w:pPr>
        <w:jc w:val="both"/>
        <w:rPr>
          <w:rFonts w:ascii="Arial" w:hAnsi="Arial" w:cs="Arial"/>
          <w:sz w:val="20"/>
          <w:szCs w:val="20"/>
        </w:rPr>
      </w:pPr>
    </w:p>
    <w:p w:rsidR="00A45F83" w:rsidRPr="005959F9" w:rsidRDefault="00243126" w:rsidP="001025C9">
      <w:pPr>
        <w:jc w:val="both"/>
        <w:rPr>
          <w:rFonts w:ascii="Arial" w:hAnsi="Arial" w:cs="Arial"/>
          <w:sz w:val="20"/>
          <w:szCs w:val="20"/>
        </w:rPr>
      </w:pPr>
      <w:r w:rsidRPr="005959F9">
        <w:rPr>
          <w:rFonts w:ascii="Arial" w:hAnsi="Arial" w:cs="Arial"/>
          <w:sz w:val="20"/>
          <w:szCs w:val="20"/>
        </w:rPr>
        <w:t>ATA NSW</w:t>
      </w:r>
      <w:r w:rsidR="00A45F83" w:rsidRPr="005959F9">
        <w:rPr>
          <w:rFonts w:ascii="Arial" w:hAnsi="Arial" w:cs="Arial"/>
          <w:sz w:val="20"/>
          <w:szCs w:val="20"/>
        </w:rPr>
        <w:t xml:space="preserve"> supports national consistency on issues, as ATA and industry</w:t>
      </w:r>
      <w:r w:rsidR="005F1298" w:rsidRPr="005959F9">
        <w:rPr>
          <w:rFonts w:ascii="Arial" w:hAnsi="Arial" w:cs="Arial"/>
          <w:sz w:val="20"/>
          <w:szCs w:val="20"/>
        </w:rPr>
        <w:t xml:space="preserve"> have shown with their work towards</w:t>
      </w:r>
      <w:r w:rsidR="00A45F83" w:rsidRPr="005959F9">
        <w:rPr>
          <w:rFonts w:ascii="Arial" w:hAnsi="Arial" w:cs="Arial"/>
          <w:sz w:val="20"/>
          <w:szCs w:val="20"/>
        </w:rPr>
        <w:t xml:space="preserve"> the </w:t>
      </w:r>
      <w:r w:rsidR="00A61231" w:rsidRPr="005959F9">
        <w:rPr>
          <w:rFonts w:ascii="Arial" w:hAnsi="Arial" w:cs="Arial"/>
          <w:sz w:val="20"/>
          <w:szCs w:val="20"/>
        </w:rPr>
        <w:t>N</w:t>
      </w:r>
      <w:r w:rsidR="00A45F83" w:rsidRPr="005959F9">
        <w:rPr>
          <w:rFonts w:ascii="Arial" w:hAnsi="Arial" w:cs="Arial"/>
          <w:sz w:val="20"/>
          <w:szCs w:val="20"/>
        </w:rPr>
        <w:t xml:space="preserve">ational </w:t>
      </w:r>
      <w:r w:rsidR="00A61231" w:rsidRPr="005959F9">
        <w:rPr>
          <w:rFonts w:ascii="Arial" w:hAnsi="Arial" w:cs="Arial"/>
          <w:sz w:val="20"/>
          <w:szCs w:val="20"/>
        </w:rPr>
        <w:t>H</w:t>
      </w:r>
      <w:r w:rsidR="00A45F83" w:rsidRPr="005959F9">
        <w:rPr>
          <w:rFonts w:ascii="Arial" w:hAnsi="Arial" w:cs="Arial"/>
          <w:sz w:val="20"/>
          <w:szCs w:val="20"/>
        </w:rPr>
        <w:t xml:space="preserve">eavy </w:t>
      </w:r>
      <w:r w:rsidR="00A61231" w:rsidRPr="005959F9">
        <w:rPr>
          <w:rFonts w:ascii="Arial" w:hAnsi="Arial" w:cs="Arial"/>
          <w:sz w:val="20"/>
          <w:szCs w:val="20"/>
        </w:rPr>
        <w:t>V</w:t>
      </w:r>
      <w:r w:rsidR="00A45F83" w:rsidRPr="005959F9">
        <w:rPr>
          <w:rFonts w:ascii="Arial" w:hAnsi="Arial" w:cs="Arial"/>
          <w:sz w:val="20"/>
          <w:szCs w:val="20"/>
        </w:rPr>
        <w:t xml:space="preserve">ehicle </w:t>
      </w:r>
      <w:r w:rsidR="00A61231" w:rsidRPr="005959F9">
        <w:rPr>
          <w:rFonts w:ascii="Arial" w:hAnsi="Arial" w:cs="Arial"/>
          <w:sz w:val="20"/>
          <w:szCs w:val="20"/>
        </w:rPr>
        <w:t>R</w:t>
      </w:r>
      <w:r w:rsidR="00A45F83" w:rsidRPr="005959F9">
        <w:rPr>
          <w:rFonts w:ascii="Arial" w:hAnsi="Arial" w:cs="Arial"/>
          <w:sz w:val="20"/>
          <w:szCs w:val="20"/>
        </w:rPr>
        <w:t xml:space="preserve">egulator (NHVR). The findings of this </w:t>
      </w:r>
      <w:r w:rsidR="003340FB">
        <w:rPr>
          <w:rFonts w:ascii="Arial" w:hAnsi="Arial" w:cs="Arial"/>
          <w:sz w:val="20"/>
          <w:szCs w:val="20"/>
        </w:rPr>
        <w:t>C</w:t>
      </w:r>
      <w:r w:rsidR="00A45F83" w:rsidRPr="005959F9">
        <w:rPr>
          <w:rFonts w:ascii="Arial" w:hAnsi="Arial" w:cs="Arial"/>
          <w:sz w:val="20"/>
          <w:szCs w:val="20"/>
        </w:rPr>
        <w:t>ommittee should be incorporated into the HVCI.</w:t>
      </w:r>
    </w:p>
    <w:p w:rsidR="00C04619" w:rsidRPr="005959F9" w:rsidRDefault="00C04619" w:rsidP="001025C9">
      <w:pPr>
        <w:jc w:val="both"/>
        <w:rPr>
          <w:rFonts w:ascii="Arial" w:hAnsi="Arial" w:cs="Arial"/>
          <w:sz w:val="20"/>
          <w:szCs w:val="20"/>
        </w:rPr>
      </w:pPr>
    </w:p>
    <w:p w:rsidR="00A61231" w:rsidRPr="005959F9" w:rsidRDefault="00A61231" w:rsidP="001025C9">
      <w:pPr>
        <w:jc w:val="both"/>
        <w:rPr>
          <w:rFonts w:ascii="Arial" w:hAnsi="Arial" w:cs="Arial"/>
          <w:sz w:val="20"/>
          <w:szCs w:val="20"/>
        </w:rPr>
      </w:pPr>
    </w:p>
    <w:p w:rsidR="00576ED0" w:rsidRPr="005959F9" w:rsidRDefault="003340FB" w:rsidP="001025C9">
      <w:pPr>
        <w:pStyle w:val="Heading1"/>
        <w:jc w:val="both"/>
      </w:pPr>
      <w:bookmarkStart w:id="1" w:name="_Toc349125085"/>
      <w:r>
        <w:t>NSW Australian Trucking Association</w:t>
      </w:r>
      <w:bookmarkEnd w:id="1"/>
      <w:r>
        <w:t xml:space="preserve">  </w:t>
      </w:r>
    </w:p>
    <w:p w:rsidR="004008C7" w:rsidRPr="005959F9" w:rsidRDefault="004008C7" w:rsidP="001025C9">
      <w:pPr>
        <w:pStyle w:val="BodyText2"/>
        <w:jc w:val="both"/>
        <w:rPr>
          <w:b w:val="0"/>
          <w:sz w:val="20"/>
        </w:rPr>
      </w:pPr>
    </w:p>
    <w:p w:rsidR="006104D6" w:rsidRPr="005959F9" w:rsidRDefault="00A45F83" w:rsidP="001025C9">
      <w:pPr>
        <w:jc w:val="both"/>
        <w:rPr>
          <w:rFonts w:ascii="Arial" w:hAnsi="Arial" w:cs="Arial"/>
          <w:sz w:val="20"/>
          <w:szCs w:val="20"/>
        </w:rPr>
      </w:pPr>
      <w:r w:rsidRPr="005959F9">
        <w:rPr>
          <w:rFonts w:ascii="Arial" w:eastAsia="Times New Roman" w:hAnsi="Arial" w:cs="Arial"/>
          <w:bCs/>
          <w:sz w:val="20"/>
          <w:szCs w:val="20"/>
        </w:rPr>
        <w:t xml:space="preserve">The </w:t>
      </w:r>
      <w:r w:rsidR="003340FB">
        <w:rPr>
          <w:rFonts w:ascii="Arial" w:eastAsia="Times New Roman" w:hAnsi="Arial" w:cs="Arial"/>
          <w:bCs/>
          <w:sz w:val="20"/>
          <w:szCs w:val="20"/>
        </w:rPr>
        <w:t xml:space="preserve">NSW </w:t>
      </w:r>
      <w:r w:rsidRPr="005959F9">
        <w:rPr>
          <w:rFonts w:ascii="Arial" w:eastAsia="Times New Roman" w:hAnsi="Arial" w:cs="Arial"/>
          <w:bCs/>
          <w:sz w:val="20"/>
          <w:szCs w:val="20"/>
        </w:rPr>
        <w:t>Australian Trucking Association (ATA</w:t>
      </w:r>
      <w:r w:rsidR="003340FB">
        <w:rPr>
          <w:rFonts w:ascii="Arial" w:eastAsia="Times New Roman" w:hAnsi="Arial" w:cs="Arial"/>
          <w:bCs/>
          <w:sz w:val="20"/>
          <w:szCs w:val="20"/>
        </w:rPr>
        <w:t xml:space="preserve"> NSW</w:t>
      </w:r>
      <w:r w:rsidRPr="005959F9">
        <w:rPr>
          <w:rFonts w:ascii="Arial" w:eastAsia="Times New Roman" w:hAnsi="Arial" w:cs="Arial"/>
          <w:bCs/>
          <w:sz w:val="20"/>
          <w:szCs w:val="20"/>
        </w:rPr>
        <w:t>) is the peak body that represents the trucking industry</w:t>
      </w:r>
      <w:r w:rsidR="003340FB">
        <w:rPr>
          <w:rFonts w:ascii="Arial" w:eastAsia="Times New Roman" w:hAnsi="Arial" w:cs="Arial"/>
          <w:bCs/>
          <w:sz w:val="20"/>
          <w:szCs w:val="20"/>
        </w:rPr>
        <w:t xml:space="preserve"> in NSW</w:t>
      </w:r>
      <w:r w:rsidRPr="005959F9">
        <w:rPr>
          <w:rFonts w:ascii="Arial" w:eastAsia="Times New Roman" w:hAnsi="Arial" w:cs="Arial"/>
          <w:bCs/>
          <w:sz w:val="20"/>
          <w:szCs w:val="20"/>
        </w:rPr>
        <w:t xml:space="preserve">. Its members include state and sector based trucking </w:t>
      </w:r>
      <w:r w:rsidR="003340FB">
        <w:rPr>
          <w:rFonts w:ascii="Arial" w:eastAsia="Times New Roman" w:hAnsi="Arial" w:cs="Arial"/>
          <w:bCs/>
          <w:sz w:val="20"/>
          <w:szCs w:val="20"/>
        </w:rPr>
        <w:t>businesses</w:t>
      </w:r>
      <w:r w:rsidRPr="005959F9">
        <w:rPr>
          <w:rFonts w:ascii="Arial" w:eastAsia="Times New Roman" w:hAnsi="Arial" w:cs="Arial"/>
          <w:bCs/>
          <w:sz w:val="20"/>
          <w:szCs w:val="20"/>
        </w:rPr>
        <w:t xml:space="preserve">, some of the nation’s largest transport companies, and businesses with leading expertise in truck technology. </w:t>
      </w:r>
    </w:p>
    <w:p w:rsidR="006B7D84" w:rsidRPr="005959F9" w:rsidRDefault="006B7D84" w:rsidP="001025C9">
      <w:pPr>
        <w:jc w:val="both"/>
        <w:rPr>
          <w:rFonts w:ascii="Arial" w:hAnsi="Arial" w:cs="Arial"/>
          <w:sz w:val="20"/>
          <w:szCs w:val="20"/>
        </w:rPr>
      </w:pPr>
    </w:p>
    <w:p w:rsidR="006B7D84" w:rsidRPr="005959F9" w:rsidRDefault="006B7D84" w:rsidP="001025C9">
      <w:pPr>
        <w:jc w:val="both"/>
        <w:rPr>
          <w:rFonts w:ascii="Arial" w:eastAsia="Times New Roman" w:hAnsi="Arial" w:cs="Arial"/>
          <w:bCs/>
          <w:sz w:val="20"/>
          <w:szCs w:val="20"/>
        </w:rPr>
      </w:pPr>
    </w:p>
    <w:p w:rsidR="00D73280" w:rsidRPr="005959F9" w:rsidRDefault="00907971" w:rsidP="001025C9">
      <w:pPr>
        <w:pStyle w:val="Heading1"/>
        <w:jc w:val="both"/>
      </w:pPr>
      <w:bookmarkStart w:id="2" w:name="_Toc349125086"/>
      <w:r w:rsidRPr="005959F9">
        <w:t>Recommendations</w:t>
      </w:r>
      <w:bookmarkEnd w:id="2"/>
    </w:p>
    <w:p w:rsidR="00D74FF1" w:rsidRPr="00D74FF1" w:rsidRDefault="005C4EBF" w:rsidP="001025C9">
      <w:pPr>
        <w:pStyle w:val="TOC1"/>
        <w:jc w:val="both"/>
        <w:rPr>
          <w:rFonts w:asciiTheme="minorHAnsi" w:eastAsiaTheme="minorEastAsia" w:hAnsiTheme="minorHAnsi" w:cstheme="minorBidi"/>
          <w:b/>
          <w:sz w:val="22"/>
          <w:szCs w:val="22"/>
          <w:lang w:eastAsia="en-AU"/>
        </w:rPr>
      </w:pPr>
      <w:r w:rsidRPr="005C4EBF">
        <w:rPr>
          <w:rFonts w:cs="Arial"/>
          <w:b/>
        </w:rPr>
        <w:fldChar w:fldCharType="begin"/>
      </w:r>
      <w:r w:rsidR="00907971" w:rsidRPr="00D74FF1">
        <w:rPr>
          <w:rFonts w:cs="Arial"/>
          <w:b/>
        </w:rPr>
        <w:instrText xml:space="preserve"> TOC \n \p " " \t "Recommendation Style,1,Recommendation Style 2,2,Recommendation Style 3,3" </w:instrText>
      </w:r>
      <w:r w:rsidRPr="005C4EBF">
        <w:rPr>
          <w:rFonts w:cs="Arial"/>
          <w:b/>
        </w:rPr>
        <w:fldChar w:fldCharType="separate"/>
      </w:r>
      <w:r w:rsidR="00D74FF1" w:rsidRPr="00D74FF1">
        <w:rPr>
          <w:b/>
          <w:color w:val="000000" w:themeColor="text1"/>
        </w:rPr>
        <w:t>Recommendation 1</w:t>
      </w:r>
    </w:p>
    <w:p w:rsidR="00D74FF1" w:rsidRPr="00D74FF1" w:rsidRDefault="00D74FF1" w:rsidP="001025C9">
      <w:pPr>
        <w:pStyle w:val="TOC1"/>
        <w:jc w:val="both"/>
        <w:rPr>
          <w:rFonts w:asciiTheme="minorHAnsi" w:eastAsiaTheme="minorEastAsia" w:hAnsiTheme="minorHAnsi" w:cstheme="minorBidi"/>
          <w:b/>
          <w:sz w:val="22"/>
          <w:szCs w:val="22"/>
          <w:lang w:eastAsia="en-AU"/>
        </w:rPr>
      </w:pPr>
      <w:r w:rsidRPr="00D74FF1">
        <w:rPr>
          <w:b/>
          <w:color w:val="000000" w:themeColor="text1"/>
        </w:rPr>
        <w:t>Equitable road access charging based on actual costs of impact and use, will need to take account of the effects this has on regional and rural NSW.</w:t>
      </w:r>
    </w:p>
    <w:p w:rsidR="00D74FF1" w:rsidRPr="00D74FF1" w:rsidRDefault="00D74FF1" w:rsidP="001025C9">
      <w:pPr>
        <w:pStyle w:val="TOC1"/>
        <w:jc w:val="both"/>
        <w:rPr>
          <w:rFonts w:asciiTheme="minorHAnsi" w:eastAsiaTheme="minorEastAsia" w:hAnsiTheme="minorHAnsi" w:cstheme="minorBidi"/>
          <w:b/>
          <w:sz w:val="22"/>
          <w:szCs w:val="22"/>
          <w:lang w:eastAsia="en-AU"/>
        </w:rPr>
      </w:pPr>
      <w:r w:rsidRPr="00D74FF1">
        <w:rPr>
          <w:b/>
        </w:rPr>
        <w:t>Recommendation 2</w:t>
      </w:r>
    </w:p>
    <w:p w:rsidR="00D74FF1" w:rsidRPr="00D74FF1" w:rsidRDefault="00D74FF1" w:rsidP="001025C9">
      <w:pPr>
        <w:pStyle w:val="TOC1"/>
        <w:jc w:val="both"/>
        <w:rPr>
          <w:rFonts w:asciiTheme="minorHAnsi" w:eastAsiaTheme="minorEastAsia" w:hAnsiTheme="minorHAnsi" w:cstheme="minorBidi"/>
          <w:b/>
          <w:sz w:val="22"/>
          <w:szCs w:val="22"/>
          <w:lang w:eastAsia="en-AU"/>
        </w:rPr>
      </w:pPr>
      <w:r w:rsidRPr="00D74FF1">
        <w:rPr>
          <w:b/>
        </w:rPr>
        <w:t>Community service obligations will be necessary to support rural and regional roads and communities in NSW.</w:t>
      </w:r>
    </w:p>
    <w:p w:rsidR="00D74FF1" w:rsidRPr="00D74FF1" w:rsidRDefault="00D74FF1" w:rsidP="001025C9">
      <w:pPr>
        <w:pStyle w:val="TOC1"/>
        <w:jc w:val="both"/>
        <w:rPr>
          <w:rFonts w:asciiTheme="minorHAnsi" w:eastAsiaTheme="minorEastAsia" w:hAnsiTheme="minorHAnsi" w:cstheme="minorBidi"/>
          <w:b/>
          <w:sz w:val="22"/>
          <w:szCs w:val="22"/>
          <w:lang w:eastAsia="en-AU"/>
        </w:rPr>
      </w:pPr>
      <w:r w:rsidRPr="00D74FF1">
        <w:rPr>
          <w:b/>
        </w:rPr>
        <w:t>Recommendation 3</w:t>
      </w:r>
    </w:p>
    <w:p w:rsidR="00D74FF1" w:rsidRPr="00D74FF1" w:rsidRDefault="00D74FF1" w:rsidP="001025C9">
      <w:pPr>
        <w:pStyle w:val="TOC1"/>
        <w:jc w:val="both"/>
        <w:rPr>
          <w:b/>
        </w:rPr>
      </w:pPr>
      <w:r w:rsidRPr="00D74FF1">
        <w:rPr>
          <w:b/>
        </w:rPr>
        <w:t>The Committee should be aware of the Equivalent Standard Axle (ESA) impact of heavy vehicles.</w:t>
      </w:r>
    </w:p>
    <w:p w:rsidR="00D74FF1" w:rsidRPr="00D74FF1" w:rsidRDefault="00D74FF1" w:rsidP="001025C9">
      <w:pPr>
        <w:jc w:val="both"/>
        <w:rPr>
          <w:b/>
        </w:rPr>
      </w:pPr>
    </w:p>
    <w:p w:rsidR="00D74FF1" w:rsidRPr="00D74FF1" w:rsidRDefault="00D74FF1" w:rsidP="001025C9">
      <w:pPr>
        <w:jc w:val="both"/>
        <w:rPr>
          <w:b/>
        </w:rPr>
      </w:pPr>
    </w:p>
    <w:p w:rsidR="00D74FF1" w:rsidRPr="00D74FF1" w:rsidRDefault="00D74FF1" w:rsidP="001025C9">
      <w:pPr>
        <w:pStyle w:val="TOC1"/>
        <w:jc w:val="both"/>
        <w:rPr>
          <w:rFonts w:asciiTheme="minorHAnsi" w:eastAsiaTheme="minorEastAsia" w:hAnsiTheme="minorHAnsi" w:cstheme="minorBidi"/>
          <w:b/>
          <w:sz w:val="22"/>
          <w:szCs w:val="22"/>
          <w:lang w:eastAsia="en-AU"/>
        </w:rPr>
      </w:pPr>
      <w:r w:rsidRPr="00D74FF1">
        <w:rPr>
          <w:b/>
        </w:rPr>
        <w:lastRenderedPageBreak/>
        <w:t>Recommendation 4</w:t>
      </w:r>
    </w:p>
    <w:p w:rsidR="00D74FF1" w:rsidRPr="00D74FF1" w:rsidRDefault="00D74FF1" w:rsidP="001025C9">
      <w:pPr>
        <w:pStyle w:val="TOC1"/>
        <w:jc w:val="both"/>
        <w:rPr>
          <w:rFonts w:asciiTheme="minorHAnsi" w:eastAsiaTheme="minorEastAsia" w:hAnsiTheme="minorHAnsi" w:cstheme="minorBidi"/>
          <w:b/>
          <w:sz w:val="22"/>
          <w:szCs w:val="22"/>
          <w:lang w:eastAsia="en-AU"/>
        </w:rPr>
      </w:pPr>
      <w:r w:rsidRPr="00D74FF1">
        <w:rPr>
          <w:b/>
        </w:rPr>
        <w:t>Freight access prices of one mode of transport should not be artificially inflated to support another mode, as this will lead to a deadweight loss to society.</w:t>
      </w:r>
    </w:p>
    <w:p w:rsidR="00D74FF1" w:rsidRPr="00D74FF1" w:rsidRDefault="00D74FF1" w:rsidP="001025C9">
      <w:pPr>
        <w:pStyle w:val="TOC1"/>
        <w:jc w:val="both"/>
        <w:rPr>
          <w:rFonts w:asciiTheme="minorHAnsi" w:eastAsiaTheme="minorEastAsia" w:hAnsiTheme="minorHAnsi" w:cstheme="minorBidi"/>
          <w:b/>
          <w:sz w:val="22"/>
          <w:szCs w:val="22"/>
          <w:lang w:eastAsia="en-AU"/>
        </w:rPr>
      </w:pPr>
      <w:r w:rsidRPr="00D74FF1">
        <w:rPr>
          <w:b/>
        </w:rPr>
        <w:t>Recommendation 5</w:t>
      </w:r>
    </w:p>
    <w:p w:rsidR="00D74FF1" w:rsidRPr="00D74FF1" w:rsidRDefault="00D74FF1" w:rsidP="001025C9">
      <w:pPr>
        <w:pStyle w:val="TOC1"/>
        <w:jc w:val="both"/>
        <w:rPr>
          <w:rFonts w:asciiTheme="minorHAnsi" w:eastAsiaTheme="minorEastAsia" w:hAnsiTheme="minorHAnsi" w:cstheme="minorBidi"/>
          <w:b/>
          <w:sz w:val="22"/>
          <w:szCs w:val="22"/>
          <w:lang w:eastAsia="en-AU"/>
        </w:rPr>
      </w:pPr>
      <w:r w:rsidRPr="00D74FF1">
        <w:rPr>
          <w:b/>
        </w:rPr>
        <w:t>Treasury guidelines on privately financed project principles should be adhered to by NSW.</w:t>
      </w:r>
    </w:p>
    <w:p w:rsidR="00D74FF1" w:rsidRPr="00D74FF1" w:rsidRDefault="00D74FF1" w:rsidP="001025C9">
      <w:pPr>
        <w:pStyle w:val="TOC1"/>
        <w:jc w:val="both"/>
        <w:rPr>
          <w:rFonts w:asciiTheme="minorHAnsi" w:eastAsiaTheme="minorEastAsia" w:hAnsiTheme="minorHAnsi" w:cstheme="minorBidi"/>
          <w:b/>
          <w:sz w:val="22"/>
          <w:szCs w:val="22"/>
          <w:lang w:eastAsia="en-AU"/>
        </w:rPr>
      </w:pPr>
      <w:r w:rsidRPr="00D74FF1">
        <w:rPr>
          <w:b/>
        </w:rPr>
        <w:t>Recommendation 6</w:t>
      </w:r>
    </w:p>
    <w:p w:rsidR="00D74FF1" w:rsidRPr="00D74FF1" w:rsidRDefault="00D74FF1" w:rsidP="001025C9">
      <w:pPr>
        <w:pStyle w:val="TOC1"/>
        <w:jc w:val="both"/>
        <w:rPr>
          <w:rFonts w:asciiTheme="minorHAnsi" w:eastAsiaTheme="minorEastAsia" w:hAnsiTheme="minorHAnsi" w:cstheme="minorBidi"/>
          <w:b/>
          <w:sz w:val="22"/>
          <w:szCs w:val="22"/>
          <w:lang w:eastAsia="en-AU"/>
        </w:rPr>
      </w:pPr>
      <w:r w:rsidRPr="00D74FF1">
        <w:rPr>
          <w:b/>
        </w:rPr>
        <w:t>Legitimate reasons why time of day, distance and type of road charging are necessary above the current road arrangements need to be presented.</w:t>
      </w:r>
    </w:p>
    <w:p w:rsidR="00D74FF1" w:rsidRPr="00D74FF1" w:rsidRDefault="00D74FF1" w:rsidP="001025C9">
      <w:pPr>
        <w:pStyle w:val="TOC1"/>
        <w:jc w:val="both"/>
        <w:rPr>
          <w:rFonts w:asciiTheme="minorHAnsi" w:eastAsiaTheme="minorEastAsia" w:hAnsiTheme="minorHAnsi" w:cstheme="minorBidi"/>
          <w:b/>
          <w:sz w:val="22"/>
          <w:szCs w:val="22"/>
          <w:lang w:eastAsia="en-AU"/>
        </w:rPr>
      </w:pPr>
      <w:r w:rsidRPr="00D74FF1">
        <w:rPr>
          <w:b/>
        </w:rPr>
        <w:t>Recommendation 7</w:t>
      </w:r>
    </w:p>
    <w:p w:rsidR="00D74FF1" w:rsidRPr="00D74FF1" w:rsidRDefault="00D74FF1" w:rsidP="001025C9">
      <w:pPr>
        <w:pStyle w:val="TOC1"/>
        <w:jc w:val="both"/>
        <w:rPr>
          <w:rFonts w:asciiTheme="minorHAnsi" w:eastAsiaTheme="minorEastAsia" w:hAnsiTheme="minorHAnsi" w:cstheme="minorBidi"/>
          <w:b/>
          <w:sz w:val="22"/>
          <w:szCs w:val="22"/>
          <w:lang w:eastAsia="en-AU"/>
        </w:rPr>
      </w:pPr>
      <w:r w:rsidRPr="00D74FF1">
        <w:rPr>
          <w:b/>
        </w:rPr>
        <w:t>If times of day access prices are to be proposed, accurate costs must be presented to road users.</w:t>
      </w:r>
    </w:p>
    <w:p w:rsidR="00D74FF1" w:rsidRPr="00D74FF1" w:rsidRDefault="00D74FF1" w:rsidP="001025C9">
      <w:pPr>
        <w:pStyle w:val="TOC1"/>
        <w:jc w:val="both"/>
        <w:rPr>
          <w:rFonts w:asciiTheme="minorHAnsi" w:eastAsiaTheme="minorEastAsia" w:hAnsiTheme="minorHAnsi" w:cstheme="minorBidi"/>
          <w:b/>
          <w:sz w:val="22"/>
          <w:szCs w:val="22"/>
          <w:lang w:eastAsia="en-AU"/>
        </w:rPr>
      </w:pPr>
      <w:r w:rsidRPr="00D74FF1">
        <w:rPr>
          <w:b/>
        </w:rPr>
        <w:t>Recommendation 8</w:t>
      </w:r>
    </w:p>
    <w:p w:rsidR="00D74FF1" w:rsidRPr="00D74FF1" w:rsidRDefault="00D74FF1" w:rsidP="001025C9">
      <w:pPr>
        <w:pStyle w:val="TOC1"/>
        <w:jc w:val="both"/>
        <w:rPr>
          <w:rFonts w:asciiTheme="minorHAnsi" w:eastAsiaTheme="minorEastAsia" w:hAnsiTheme="minorHAnsi" w:cstheme="minorBidi"/>
          <w:b/>
          <w:sz w:val="22"/>
          <w:szCs w:val="22"/>
          <w:lang w:eastAsia="en-AU"/>
        </w:rPr>
      </w:pPr>
      <w:r w:rsidRPr="00D74FF1">
        <w:rPr>
          <w:b/>
        </w:rPr>
        <w:t>The Committee should be aware that heavy vehicles have limited choice when it comes to choosing alternative routes, altering time and choosing destination and origin.</w:t>
      </w:r>
    </w:p>
    <w:p w:rsidR="00D74FF1" w:rsidRPr="00D74FF1" w:rsidRDefault="00D74FF1" w:rsidP="001025C9">
      <w:pPr>
        <w:pStyle w:val="TOC1"/>
        <w:jc w:val="both"/>
        <w:rPr>
          <w:rFonts w:asciiTheme="minorHAnsi" w:eastAsiaTheme="minorEastAsia" w:hAnsiTheme="minorHAnsi" w:cstheme="minorBidi"/>
          <w:b/>
          <w:sz w:val="22"/>
          <w:szCs w:val="22"/>
          <w:lang w:eastAsia="en-AU"/>
        </w:rPr>
      </w:pPr>
      <w:r w:rsidRPr="00D74FF1">
        <w:rPr>
          <w:b/>
        </w:rPr>
        <w:t>Recommendation 9</w:t>
      </w:r>
    </w:p>
    <w:p w:rsidR="00D74FF1" w:rsidRPr="00D74FF1" w:rsidRDefault="00D74FF1" w:rsidP="001025C9">
      <w:pPr>
        <w:pStyle w:val="TOC1"/>
        <w:jc w:val="both"/>
        <w:rPr>
          <w:rFonts w:asciiTheme="minorHAnsi" w:eastAsiaTheme="minorEastAsia" w:hAnsiTheme="minorHAnsi" w:cstheme="minorBidi"/>
          <w:b/>
          <w:sz w:val="22"/>
          <w:szCs w:val="22"/>
          <w:lang w:eastAsia="en-AU"/>
        </w:rPr>
      </w:pPr>
      <w:r w:rsidRPr="00D74FF1">
        <w:rPr>
          <w:b/>
        </w:rPr>
        <w:t>Supply side reform should also be analysed when examining changes to road access pricing.</w:t>
      </w:r>
    </w:p>
    <w:p w:rsidR="00D74FF1" w:rsidRPr="00D74FF1" w:rsidRDefault="00D74FF1" w:rsidP="001025C9">
      <w:pPr>
        <w:pStyle w:val="TOC1"/>
        <w:jc w:val="both"/>
        <w:rPr>
          <w:rFonts w:asciiTheme="minorHAnsi" w:eastAsiaTheme="minorEastAsia" w:hAnsiTheme="minorHAnsi" w:cstheme="minorBidi"/>
          <w:b/>
          <w:sz w:val="22"/>
          <w:szCs w:val="22"/>
          <w:lang w:eastAsia="en-AU"/>
        </w:rPr>
      </w:pPr>
      <w:r w:rsidRPr="00D74FF1">
        <w:rPr>
          <w:b/>
        </w:rPr>
        <w:t>Recommendation 10</w:t>
      </w:r>
    </w:p>
    <w:p w:rsidR="00D74FF1" w:rsidRPr="00D74FF1" w:rsidRDefault="00D74FF1" w:rsidP="001025C9">
      <w:pPr>
        <w:pStyle w:val="TOC1"/>
        <w:jc w:val="both"/>
        <w:rPr>
          <w:rFonts w:asciiTheme="minorHAnsi" w:eastAsiaTheme="minorEastAsia" w:hAnsiTheme="minorHAnsi" w:cstheme="minorBidi"/>
          <w:b/>
          <w:sz w:val="22"/>
          <w:szCs w:val="22"/>
          <w:lang w:eastAsia="en-AU"/>
        </w:rPr>
      </w:pPr>
      <w:r w:rsidRPr="00D74FF1">
        <w:rPr>
          <w:b/>
        </w:rPr>
        <w:t>Improve first and last mile access for heavy vehicles and support the use of high productivity vehicles in NSW to improve productivity.</w:t>
      </w:r>
    </w:p>
    <w:p w:rsidR="00D74FF1" w:rsidRPr="00D74FF1" w:rsidRDefault="00D74FF1" w:rsidP="001025C9">
      <w:pPr>
        <w:pStyle w:val="TOC1"/>
        <w:jc w:val="both"/>
        <w:rPr>
          <w:rFonts w:asciiTheme="minorHAnsi" w:eastAsiaTheme="minorEastAsia" w:hAnsiTheme="minorHAnsi" w:cstheme="minorBidi"/>
          <w:b/>
          <w:sz w:val="22"/>
          <w:szCs w:val="22"/>
          <w:lang w:eastAsia="en-AU"/>
        </w:rPr>
      </w:pPr>
      <w:r w:rsidRPr="00D74FF1">
        <w:rPr>
          <w:b/>
        </w:rPr>
        <w:t>Recommendation 11</w:t>
      </w:r>
    </w:p>
    <w:p w:rsidR="00D74FF1" w:rsidRPr="00D74FF1" w:rsidRDefault="00D74FF1" w:rsidP="001025C9">
      <w:pPr>
        <w:pStyle w:val="TOC1"/>
        <w:jc w:val="both"/>
        <w:rPr>
          <w:rFonts w:asciiTheme="minorHAnsi" w:eastAsiaTheme="minorEastAsia" w:hAnsiTheme="minorHAnsi" w:cstheme="minorBidi"/>
          <w:b/>
          <w:sz w:val="22"/>
          <w:szCs w:val="22"/>
          <w:lang w:eastAsia="en-AU"/>
        </w:rPr>
      </w:pPr>
      <w:r w:rsidRPr="00D74FF1">
        <w:rPr>
          <w:b/>
        </w:rPr>
        <w:t>The Committee should examine current streams of data and evaluate if the extra cost of gathering more detailed data is a sensible investment.</w:t>
      </w:r>
    </w:p>
    <w:p w:rsidR="00D74FF1" w:rsidRPr="00D74FF1" w:rsidRDefault="00D74FF1" w:rsidP="001025C9">
      <w:pPr>
        <w:pStyle w:val="TOC1"/>
        <w:jc w:val="both"/>
        <w:rPr>
          <w:rFonts w:asciiTheme="minorHAnsi" w:eastAsiaTheme="minorEastAsia" w:hAnsiTheme="minorHAnsi" w:cstheme="minorBidi"/>
          <w:b/>
          <w:sz w:val="22"/>
          <w:szCs w:val="22"/>
          <w:lang w:eastAsia="en-AU"/>
        </w:rPr>
      </w:pPr>
      <w:r w:rsidRPr="00D74FF1">
        <w:rPr>
          <w:b/>
        </w:rPr>
        <w:t>Recommendation 12</w:t>
      </w:r>
    </w:p>
    <w:p w:rsidR="00D74FF1" w:rsidRPr="00D74FF1" w:rsidRDefault="00D74FF1" w:rsidP="001025C9">
      <w:pPr>
        <w:pStyle w:val="TOC1"/>
        <w:jc w:val="both"/>
        <w:rPr>
          <w:rFonts w:asciiTheme="minorHAnsi" w:eastAsiaTheme="minorEastAsia" w:hAnsiTheme="minorHAnsi" w:cstheme="minorBidi"/>
          <w:b/>
          <w:sz w:val="22"/>
          <w:szCs w:val="22"/>
          <w:lang w:eastAsia="en-AU"/>
        </w:rPr>
      </w:pPr>
      <w:r w:rsidRPr="00D74FF1">
        <w:rPr>
          <w:b/>
        </w:rPr>
        <w:t>Road expenditure inputs recorded by NSW should be audited by an independent third party.</w:t>
      </w:r>
    </w:p>
    <w:p w:rsidR="00D74FF1" w:rsidRPr="00D74FF1" w:rsidRDefault="00D74FF1" w:rsidP="001025C9">
      <w:pPr>
        <w:pStyle w:val="TOC1"/>
        <w:jc w:val="both"/>
        <w:rPr>
          <w:rFonts w:asciiTheme="minorHAnsi" w:eastAsiaTheme="minorEastAsia" w:hAnsiTheme="minorHAnsi" w:cstheme="minorBidi"/>
          <w:b/>
          <w:sz w:val="22"/>
          <w:szCs w:val="22"/>
          <w:lang w:eastAsia="en-AU"/>
        </w:rPr>
      </w:pPr>
      <w:r w:rsidRPr="00D74FF1">
        <w:rPr>
          <w:b/>
        </w:rPr>
        <w:t>Recommendation 13</w:t>
      </w:r>
    </w:p>
    <w:p w:rsidR="00D74FF1" w:rsidRPr="00D74FF1" w:rsidRDefault="00D74FF1" w:rsidP="001025C9">
      <w:pPr>
        <w:pStyle w:val="TOC1"/>
        <w:jc w:val="both"/>
        <w:rPr>
          <w:rFonts w:asciiTheme="minorHAnsi" w:eastAsiaTheme="minorEastAsia" w:hAnsiTheme="minorHAnsi" w:cstheme="minorBidi"/>
          <w:b/>
          <w:sz w:val="22"/>
          <w:szCs w:val="22"/>
          <w:lang w:eastAsia="en-AU"/>
        </w:rPr>
      </w:pPr>
      <w:r w:rsidRPr="00D74FF1">
        <w:rPr>
          <w:b/>
        </w:rPr>
        <w:t>Technology should be based on its capability to provide services, not based on who accredited the device.</w:t>
      </w:r>
    </w:p>
    <w:p w:rsidR="00D74FF1" w:rsidRPr="00D74FF1" w:rsidRDefault="00D74FF1" w:rsidP="001025C9">
      <w:pPr>
        <w:pStyle w:val="TOC1"/>
        <w:jc w:val="both"/>
        <w:rPr>
          <w:rFonts w:asciiTheme="minorHAnsi" w:eastAsiaTheme="minorEastAsia" w:hAnsiTheme="minorHAnsi" w:cstheme="minorBidi"/>
          <w:b/>
          <w:sz w:val="22"/>
          <w:szCs w:val="22"/>
          <w:lang w:eastAsia="en-AU"/>
        </w:rPr>
      </w:pPr>
      <w:r w:rsidRPr="00D74FF1">
        <w:rPr>
          <w:b/>
        </w:rPr>
        <w:t>Recommendation 14</w:t>
      </w:r>
    </w:p>
    <w:p w:rsidR="00D74FF1" w:rsidRDefault="00D74FF1" w:rsidP="001025C9">
      <w:pPr>
        <w:pStyle w:val="TOC1"/>
        <w:jc w:val="both"/>
        <w:rPr>
          <w:b/>
        </w:rPr>
      </w:pPr>
      <w:r w:rsidRPr="00D74FF1">
        <w:rPr>
          <w:b/>
        </w:rPr>
        <w:t>Costs of telematic devices should be transparent to users.</w:t>
      </w:r>
    </w:p>
    <w:p w:rsidR="0094622B" w:rsidRDefault="0094622B" w:rsidP="001025C9">
      <w:pPr>
        <w:jc w:val="both"/>
      </w:pPr>
    </w:p>
    <w:p w:rsidR="0094622B" w:rsidRPr="0094622B" w:rsidRDefault="0094622B" w:rsidP="001025C9">
      <w:pPr>
        <w:jc w:val="both"/>
      </w:pPr>
    </w:p>
    <w:p w:rsidR="00D74FF1" w:rsidRPr="00D74FF1" w:rsidRDefault="00D74FF1" w:rsidP="001025C9">
      <w:pPr>
        <w:pStyle w:val="TOC1"/>
        <w:jc w:val="both"/>
        <w:rPr>
          <w:rFonts w:asciiTheme="minorHAnsi" w:eastAsiaTheme="minorEastAsia" w:hAnsiTheme="minorHAnsi" w:cstheme="minorBidi"/>
          <w:b/>
          <w:sz w:val="22"/>
          <w:szCs w:val="22"/>
          <w:lang w:eastAsia="en-AU"/>
        </w:rPr>
      </w:pPr>
      <w:r w:rsidRPr="00D74FF1">
        <w:rPr>
          <w:b/>
        </w:rPr>
        <w:lastRenderedPageBreak/>
        <w:t>Recommendation 15</w:t>
      </w:r>
    </w:p>
    <w:p w:rsidR="00D74FF1" w:rsidRPr="00D74FF1" w:rsidRDefault="00D74FF1" w:rsidP="001025C9">
      <w:pPr>
        <w:pStyle w:val="TOC1"/>
        <w:jc w:val="both"/>
        <w:rPr>
          <w:rFonts w:asciiTheme="minorHAnsi" w:eastAsiaTheme="minorEastAsia" w:hAnsiTheme="minorHAnsi" w:cstheme="minorBidi"/>
          <w:b/>
          <w:sz w:val="22"/>
          <w:szCs w:val="22"/>
          <w:lang w:eastAsia="en-AU"/>
        </w:rPr>
      </w:pPr>
      <w:r w:rsidRPr="00D74FF1">
        <w:rPr>
          <w:b/>
        </w:rPr>
        <w:t>NSW should review IAP, given the engineering findings of limited extra impact on infrastructure.</w:t>
      </w:r>
    </w:p>
    <w:p w:rsidR="00D74FF1" w:rsidRPr="00D74FF1" w:rsidRDefault="00D74FF1" w:rsidP="001025C9">
      <w:pPr>
        <w:pStyle w:val="TOC1"/>
        <w:jc w:val="both"/>
        <w:rPr>
          <w:rFonts w:asciiTheme="minorHAnsi" w:eastAsiaTheme="minorEastAsia" w:hAnsiTheme="minorHAnsi" w:cstheme="minorBidi"/>
          <w:b/>
          <w:sz w:val="22"/>
          <w:szCs w:val="22"/>
          <w:lang w:eastAsia="en-AU"/>
        </w:rPr>
      </w:pPr>
      <w:r w:rsidRPr="00D74FF1">
        <w:rPr>
          <w:b/>
        </w:rPr>
        <w:t>Recommendation 16</w:t>
      </w:r>
    </w:p>
    <w:p w:rsidR="00D74FF1" w:rsidRPr="00D74FF1" w:rsidRDefault="00D74FF1" w:rsidP="001025C9">
      <w:pPr>
        <w:pStyle w:val="TOC1"/>
        <w:jc w:val="both"/>
        <w:rPr>
          <w:rFonts w:asciiTheme="minorHAnsi" w:eastAsiaTheme="minorEastAsia" w:hAnsiTheme="minorHAnsi" w:cstheme="minorBidi"/>
          <w:b/>
          <w:sz w:val="22"/>
          <w:szCs w:val="22"/>
          <w:lang w:eastAsia="en-AU"/>
        </w:rPr>
      </w:pPr>
      <w:r w:rsidRPr="00D74FF1">
        <w:rPr>
          <w:b/>
        </w:rPr>
        <w:t>Federal and State jurisdictional issues with revenue should be negotiated.</w:t>
      </w:r>
    </w:p>
    <w:p w:rsidR="00D74FF1" w:rsidRPr="00D74FF1" w:rsidRDefault="00D74FF1" w:rsidP="001025C9">
      <w:pPr>
        <w:pStyle w:val="TOC1"/>
        <w:jc w:val="both"/>
        <w:rPr>
          <w:rFonts w:asciiTheme="minorHAnsi" w:eastAsiaTheme="minorEastAsia" w:hAnsiTheme="minorHAnsi" w:cstheme="minorBidi"/>
          <w:b/>
          <w:sz w:val="22"/>
          <w:szCs w:val="22"/>
          <w:lang w:eastAsia="en-AU"/>
        </w:rPr>
      </w:pPr>
      <w:r w:rsidRPr="00D74FF1">
        <w:rPr>
          <w:b/>
        </w:rPr>
        <w:t>Recommendation 17</w:t>
      </w:r>
    </w:p>
    <w:p w:rsidR="00D74FF1" w:rsidRPr="00D74FF1" w:rsidRDefault="00D74FF1" w:rsidP="001025C9">
      <w:pPr>
        <w:pStyle w:val="TOC1"/>
        <w:jc w:val="both"/>
        <w:rPr>
          <w:rFonts w:asciiTheme="minorHAnsi" w:eastAsiaTheme="minorEastAsia" w:hAnsiTheme="minorHAnsi" w:cstheme="minorBidi"/>
          <w:b/>
          <w:sz w:val="22"/>
          <w:szCs w:val="22"/>
          <w:lang w:eastAsia="en-AU"/>
        </w:rPr>
      </w:pPr>
      <w:r w:rsidRPr="00D74FF1">
        <w:rPr>
          <w:b/>
        </w:rPr>
        <w:t>National harmonisation of heavy vehicle charging methods should be sought by the Committee.</w:t>
      </w:r>
    </w:p>
    <w:p w:rsidR="00D74FF1" w:rsidRPr="00D74FF1" w:rsidRDefault="00D74FF1" w:rsidP="001025C9">
      <w:pPr>
        <w:pStyle w:val="TOC1"/>
        <w:jc w:val="both"/>
        <w:rPr>
          <w:rFonts w:asciiTheme="minorHAnsi" w:eastAsiaTheme="minorEastAsia" w:hAnsiTheme="minorHAnsi" w:cstheme="minorBidi"/>
          <w:b/>
          <w:sz w:val="22"/>
          <w:szCs w:val="22"/>
          <w:lang w:eastAsia="en-AU"/>
        </w:rPr>
      </w:pPr>
      <w:r w:rsidRPr="00D74FF1">
        <w:rPr>
          <w:b/>
        </w:rPr>
        <w:t>Recommendation 18</w:t>
      </w:r>
    </w:p>
    <w:p w:rsidR="00D74FF1" w:rsidRPr="00D74FF1" w:rsidRDefault="00D74FF1" w:rsidP="001025C9">
      <w:pPr>
        <w:pStyle w:val="TOC1"/>
        <w:jc w:val="both"/>
        <w:rPr>
          <w:rFonts w:asciiTheme="minorHAnsi" w:eastAsiaTheme="minorEastAsia" w:hAnsiTheme="minorHAnsi" w:cstheme="minorBidi"/>
          <w:b/>
          <w:sz w:val="22"/>
          <w:szCs w:val="22"/>
          <w:lang w:eastAsia="en-AU"/>
        </w:rPr>
      </w:pPr>
      <w:r w:rsidRPr="00D74FF1">
        <w:rPr>
          <w:b/>
        </w:rPr>
        <w:t>Impacts of suggested direct charges should be properly investigated and evaluated by the Committee</w:t>
      </w:r>
    </w:p>
    <w:p w:rsidR="00D74FF1" w:rsidRPr="00D74FF1" w:rsidRDefault="00D74FF1" w:rsidP="001025C9">
      <w:pPr>
        <w:pStyle w:val="TOC1"/>
        <w:jc w:val="both"/>
        <w:rPr>
          <w:rFonts w:asciiTheme="minorHAnsi" w:eastAsiaTheme="minorEastAsia" w:hAnsiTheme="minorHAnsi" w:cstheme="minorBidi"/>
          <w:b/>
          <w:sz w:val="22"/>
          <w:szCs w:val="22"/>
          <w:lang w:eastAsia="en-AU"/>
        </w:rPr>
      </w:pPr>
      <w:r w:rsidRPr="00D74FF1">
        <w:rPr>
          <w:b/>
        </w:rPr>
        <w:t>Recommendation 19</w:t>
      </w:r>
    </w:p>
    <w:p w:rsidR="00D74FF1" w:rsidRPr="00D74FF1" w:rsidRDefault="00D74FF1" w:rsidP="001025C9">
      <w:pPr>
        <w:pStyle w:val="TOC1"/>
        <w:jc w:val="both"/>
        <w:rPr>
          <w:rFonts w:asciiTheme="minorHAnsi" w:eastAsiaTheme="minorEastAsia" w:hAnsiTheme="minorHAnsi" w:cstheme="minorBidi"/>
          <w:b/>
          <w:sz w:val="22"/>
          <w:szCs w:val="22"/>
          <w:lang w:eastAsia="en-AU"/>
        </w:rPr>
      </w:pPr>
      <w:r w:rsidRPr="00D74FF1">
        <w:rPr>
          <w:b/>
        </w:rPr>
        <w:t>Increasing the variable share of charges road users pay would be a logical interim step towards direct user charges.</w:t>
      </w:r>
    </w:p>
    <w:p w:rsidR="00D74FF1" w:rsidRPr="00D74FF1" w:rsidRDefault="00D74FF1" w:rsidP="001025C9">
      <w:pPr>
        <w:pStyle w:val="TOC1"/>
        <w:jc w:val="both"/>
        <w:rPr>
          <w:rFonts w:asciiTheme="minorHAnsi" w:eastAsiaTheme="minorEastAsia" w:hAnsiTheme="minorHAnsi" w:cstheme="minorBidi"/>
          <w:b/>
          <w:sz w:val="22"/>
          <w:szCs w:val="22"/>
          <w:lang w:eastAsia="en-AU"/>
        </w:rPr>
      </w:pPr>
      <w:r w:rsidRPr="00D74FF1">
        <w:rPr>
          <w:b/>
        </w:rPr>
        <w:t>Recommendation 20</w:t>
      </w:r>
    </w:p>
    <w:p w:rsidR="00D74FF1" w:rsidRPr="00D74FF1" w:rsidRDefault="00D74FF1" w:rsidP="001025C9">
      <w:pPr>
        <w:pStyle w:val="TOC1"/>
        <w:jc w:val="both"/>
        <w:rPr>
          <w:rFonts w:asciiTheme="minorHAnsi" w:eastAsiaTheme="minorEastAsia" w:hAnsiTheme="minorHAnsi" w:cstheme="minorBidi"/>
          <w:b/>
          <w:sz w:val="22"/>
          <w:szCs w:val="22"/>
          <w:lang w:eastAsia="en-AU"/>
        </w:rPr>
      </w:pPr>
      <w:r w:rsidRPr="00D74FF1">
        <w:rPr>
          <w:b/>
        </w:rPr>
        <w:t>Incremental charging should not be embraced for road access charges, as it misinterprets how heavy vehicles currently pay for impact.</w:t>
      </w:r>
    </w:p>
    <w:p w:rsidR="00D74FF1" w:rsidRPr="00D74FF1" w:rsidRDefault="00D74FF1" w:rsidP="001025C9">
      <w:pPr>
        <w:pStyle w:val="TOC1"/>
        <w:jc w:val="both"/>
        <w:rPr>
          <w:rFonts w:asciiTheme="minorHAnsi" w:eastAsiaTheme="minorEastAsia" w:hAnsiTheme="minorHAnsi" w:cstheme="minorBidi"/>
          <w:b/>
          <w:sz w:val="22"/>
          <w:szCs w:val="22"/>
          <w:lang w:eastAsia="en-AU"/>
        </w:rPr>
      </w:pPr>
      <w:r w:rsidRPr="00D74FF1">
        <w:rPr>
          <w:b/>
        </w:rPr>
        <w:t>Recommendation 21</w:t>
      </w:r>
    </w:p>
    <w:p w:rsidR="00D74FF1" w:rsidRPr="00D74FF1" w:rsidRDefault="00D74FF1" w:rsidP="001025C9">
      <w:pPr>
        <w:pStyle w:val="TOC1"/>
        <w:jc w:val="both"/>
        <w:rPr>
          <w:rFonts w:asciiTheme="minorHAnsi" w:eastAsiaTheme="minorEastAsia" w:hAnsiTheme="minorHAnsi" w:cstheme="minorBidi"/>
          <w:b/>
          <w:sz w:val="22"/>
          <w:szCs w:val="22"/>
          <w:lang w:eastAsia="en-AU"/>
        </w:rPr>
      </w:pPr>
      <w:r w:rsidRPr="00D74FF1">
        <w:rPr>
          <w:b/>
        </w:rPr>
        <w:t>Mass, distance and location charging is not feasible or practical to implement in the next decade given technological and institutional constraints.</w:t>
      </w:r>
    </w:p>
    <w:p w:rsidR="00D74FF1" w:rsidRPr="00D74FF1" w:rsidRDefault="00D74FF1" w:rsidP="001025C9">
      <w:pPr>
        <w:pStyle w:val="TOC1"/>
        <w:jc w:val="both"/>
        <w:rPr>
          <w:rFonts w:asciiTheme="minorHAnsi" w:eastAsiaTheme="minorEastAsia" w:hAnsiTheme="minorHAnsi" w:cstheme="minorBidi"/>
          <w:b/>
          <w:sz w:val="22"/>
          <w:szCs w:val="22"/>
          <w:lang w:eastAsia="en-AU"/>
        </w:rPr>
      </w:pPr>
      <w:r w:rsidRPr="00D74FF1">
        <w:rPr>
          <w:b/>
        </w:rPr>
        <w:t>Recommendation 22</w:t>
      </w:r>
    </w:p>
    <w:p w:rsidR="00D74FF1" w:rsidRPr="00D74FF1" w:rsidRDefault="00D74FF1" w:rsidP="001025C9">
      <w:pPr>
        <w:pStyle w:val="TOC1"/>
        <w:jc w:val="both"/>
        <w:rPr>
          <w:rFonts w:asciiTheme="minorHAnsi" w:eastAsiaTheme="minorEastAsia" w:hAnsiTheme="minorHAnsi" w:cstheme="minorBidi"/>
          <w:b/>
          <w:sz w:val="22"/>
          <w:szCs w:val="22"/>
          <w:lang w:eastAsia="en-AU"/>
        </w:rPr>
      </w:pPr>
      <w:r w:rsidRPr="00D74FF1">
        <w:rPr>
          <w:b/>
        </w:rPr>
        <w:t>PayGo should continue to be refined with more accurate data and serves as a very good estimate for heavy vehicle impact on infrastructure.</w:t>
      </w:r>
    </w:p>
    <w:p w:rsidR="00D74FF1" w:rsidRPr="00D74FF1" w:rsidRDefault="00D74FF1" w:rsidP="001025C9">
      <w:pPr>
        <w:pStyle w:val="TOC1"/>
        <w:jc w:val="both"/>
        <w:rPr>
          <w:rFonts w:asciiTheme="minorHAnsi" w:eastAsiaTheme="minorEastAsia" w:hAnsiTheme="minorHAnsi" w:cstheme="minorBidi"/>
          <w:b/>
          <w:sz w:val="22"/>
          <w:szCs w:val="22"/>
          <w:lang w:eastAsia="en-AU"/>
        </w:rPr>
      </w:pPr>
      <w:r w:rsidRPr="00D74FF1">
        <w:rPr>
          <w:b/>
        </w:rPr>
        <w:t>Recommendation 23</w:t>
      </w:r>
    </w:p>
    <w:p w:rsidR="00D74FF1" w:rsidRPr="00D74FF1" w:rsidRDefault="00D74FF1" w:rsidP="001025C9">
      <w:pPr>
        <w:pStyle w:val="TOC1"/>
        <w:jc w:val="both"/>
        <w:rPr>
          <w:rFonts w:asciiTheme="minorHAnsi" w:eastAsiaTheme="minorEastAsia" w:hAnsiTheme="minorHAnsi" w:cstheme="minorBidi"/>
          <w:b/>
          <w:sz w:val="22"/>
          <w:szCs w:val="22"/>
          <w:lang w:eastAsia="en-AU"/>
        </w:rPr>
      </w:pPr>
      <w:r w:rsidRPr="00D74FF1">
        <w:rPr>
          <w:b/>
        </w:rPr>
        <w:t>Light vehicles should be included in the PayGo model in order to capture their impact on infrastructure and calculate more accurate costs.</w:t>
      </w:r>
    </w:p>
    <w:p w:rsidR="00D74FF1" w:rsidRDefault="005C4EBF" w:rsidP="001025C9">
      <w:pPr>
        <w:pStyle w:val="Heading1"/>
        <w:numPr>
          <w:ilvl w:val="0"/>
          <w:numId w:val="0"/>
        </w:numPr>
        <w:jc w:val="both"/>
        <w:rPr>
          <w:noProof/>
          <w:color w:val="000000" w:themeColor="text1"/>
          <w:sz w:val="20"/>
          <w:szCs w:val="20"/>
        </w:rPr>
      </w:pPr>
      <w:r w:rsidRPr="00D74FF1">
        <w:rPr>
          <w:noProof/>
          <w:color w:val="000000" w:themeColor="text1"/>
          <w:sz w:val="20"/>
          <w:szCs w:val="20"/>
        </w:rPr>
        <w:fldChar w:fldCharType="end"/>
      </w:r>
    </w:p>
    <w:p w:rsidR="00907060" w:rsidRPr="00D74FF1" w:rsidRDefault="00D74FF1" w:rsidP="001025C9">
      <w:pPr>
        <w:jc w:val="both"/>
        <w:rPr>
          <w:rFonts w:ascii="Arial" w:hAnsi="Arial" w:cs="Arial"/>
          <w:noProof/>
        </w:rPr>
      </w:pPr>
      <w:r>
        <w:rPr>
          <w:noProof/>
        </w:rPr>
        <w:br w:type="page"/>
      </w:r>
    </w:p>
    <w:p w:rsidR="00076C90" w:rsidRPr="005959F9" w:rsidRDefault="00076C90" w:rsidP="001025C9">
      <w:pPr>
        <w:pStyle w:val="Heading1"/>
        <w:numPr>
          <w:ilvl w:val="0"/>
          <w:numId w:val="0"/>
        </w:numPr>
        <w:jc w:val="both"/>
        <w:rPr>
          <w:b w:val="0"/>
          <w:noProof/>
          <w:color w:val="000000" w:themeColor="text1"/>
          <w:sz w:val="20"/>
          <w:szCs w:val="20"/>
        </w:rPr>
      </w:pPr>
    </w:p>
    <w:p w:rsidR="00A45F83" w:rsidRPr="005959F9" w:rsidRDefault="00A45F83" w:rsidP="001025C9">
      <w:pPr>
        <w:pStyle w:val="Heading1"/>
        <w:jc w:val="both"/>
      </w:pPr>
      <w:bookmarkStart w:id="3" w:name="_Toc348450021"/>
      <w:bookmarkStart w:id="4" w:name="_Toc349125087"/>
      <w:r w:rsidRPr="005959F9">
        <w:t>Road access pricing issues</w:t>
      </w:r>
      <w:bookmarkEnd w:id="3"/>
      <w:bookmarkEnd w:id="4"/>
    </w:p>
    <w:p w:rsidR="003340FB" w:rsidRDefault="00A45F83" w:rsidP="001025C9">
      <w:pPr>
        <w:pStyle w:val="ATAHeading2"/>
        <w:numPr>
          <w:ilvl w:val="1"/>
          <w:numId w:val="13"/>
        </w:numPr>
        <w:jc w:val="both"/>
        <w:rPr>
          <w:bCs/>
        </w:rPr>
      </w:pPr>
      <w:bookmarkStart w:id="5" w:name="_Toc349125088"/>
      <w:r w:rsidRPr="00C86566">
        <w:rPr>
          <w:bCs/>
        </w:rPr>
        <w:t>Equitable charging for road access based on actual costs and the impact of road use</w:t>
      </w:r>
      <w:bookmarkEnd w:id="5"/>
    </w:p>
    <w:p w:rsidR="00A45F83" w:rsidRPr="005959F9" w:rsidRDefault="00A45F83" w:rsidP="001025C9">
      <w:pPr>
        <w:autoSpaceDE w:val="0"/>
        <w:autoSpaceDN w:val="0"/>
        <w:adjustRightInd w:val="0"/>
        <w:jc w:val="both"/>
        <w:rPr>
          <w:rFonts w:ascii="Arial" w:hAnsi="Arial" w:cs="Arial"/>
          <w:sz w:val="20"/>
          <w:szCs w:val="20"/>
          <w:highlight w:val="white"/>
          <w:u w:val="single"/>
          <w:lang w:eastAsia="en-AU"/>
        </w:rPr>
      </w:pPr>
      <w:r w:rsidRPr="005959F9">
        <w:rPr>
          <w:rFonts w:ascii="Arial" w:hAnsi="Arial" w:cs="Arial"/>
          <w:sz w:val="20"/>
          <w:szCs w:val="20"/>
          <w:highlight w:val="white"/>
          <w:u w:val="single"/>
          <w:lang w:eastAsia="en-AU"/>
        </w:rPr>
        <w:t>Equitable charging based on actual costs</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EF6EED"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Road access pricing based on actual costs use of road infrastructure seems theoretically fair and understandable by road users. However, due to the nature of differing road qualities, contrasting levels of service, varying demands and different regional areas</w:t>
      </w:r>
      <w:r w:rsidR="00EE4228" w:rsidRPr="005959F9">
        <w:rPr>
          <w:rFonts w:ascii="Arial" w:hAnsi="Arial" w:cs="Arial"/>
          <w:sz w:val="20"/>
          <w:szCs w:val="20"/>
          <w:highlight w:val="white"/>
          <w:lang w:eastAsia="en-AU"/>
        </w:rPr>
        <w:t>,</w:t>
      </w:r>
      <w:r w:rsidRPr="005959F9">
        <w:rPr>
          <w:rFonts w:ascii="Arial" w:hAnsi="Arial" w:cs="Arial"/>
          <w:sz w:val="20"/>
          <w:szCs w:val="20"/>
          <w:highlight w:val="white"/>
          <w:lang w:eastAsia="en-AU"/>
        </w:rPr>
        <w:t xml:space="preserve"> if full cost recovery </w:t>
      </w:r>
      <w:proofErr w:type="gramStart"/>
      <w:r w:rsidRPr="005959F9">
        <w:rPr>
          <w:rFonts w:ascii="Arial" w:hAnsi="Arial" w:cs="Arial"/>
          <w:sz w:val="20"/>
          <w:szCs w:val="20"/>
          <w:highlight w:val="white"/>
          <w:lang w:eastAsia="en-AU"/>
        </w:rPr>
        <w:t>occurred</w:t>
      </w:r>
      <w:proofErr w:type="gramEnd"/>
      <w:r w:rsidRPr="005959F9">
        <w:rPr>
          <w:rFonts w:ascii="Arial" w:hAnsi="Arial" w:cs="Arial"/>
          <w:sz w:val="20"/>
          <w:szCs w:val="20"/>
          <w:highlight w:val="white"/>
          <w:lang w:eastAsia="en-AU"/>
        </w:rPr>
        <w:t xml:space="preserve"> those who used regional roads or low quality roads would be paying prohibitive costs to access the infrastructure. </w:t>
      </w:r>
    </w:p>
    <w:p w:rsidR="00EF6EED" w:rsidRDefault="00EF6EED" w:rsidP="001025C9">
      <w:pPr>
        <w:jc w:val="both"/>
        <w:rPr>
          <w:rFonts w:ascii="Arial" w:hAnsi="Arial" w:cs="Arial"/>
          <w:sz w:val="20"/>
          <w:szCs w:val="20"/>
          <w:highlight w:val="white"/>
          <w:lang w:eastAsia="en-AU"/>
        </w:rPr>
      </w:pPr>
    </w:p>
    <w:p w:rsidR="00A45F83" w:rsidRPr="005959F9" w:rsidRDefault="00A45F83" w:rsidP="001025C9">
      <w:pPr>
        <w:jc w:val="both"/>
        <w:rPr>
          <w:rFonts w:ascii="Arial" w:hAnsi="Arial" w:cs="Arial"/>
          <w:sz w:val="20"/>
          <w:szCs w:val="20"/>
          <w:highlight w:val="white"/>
          <w:lang w:eastAsia="en-AU"/>
        </w:rPr>
      </w:pPr>
      <w:r w:rsidRPr="005959F9">
        <w:rPr>
          <w:rFonts w:ascii="Arial" w:hAnsi="Arial" w:cs="Arial"/>
          <w:sz w:val="20"/>
          <w:szCs w:val="20"/>
          <w:highlight w:val="white"/>
          <w:lang w:eastAsia="en-AU"/>
        </w:rPr>
        <w:t>These extracts below on modelling explain why marginal costs differ for road types</w:t>
      </w:r>
      <w:r w:rsidRPr="005959F9">
        <w:rPr>
          <w:rFonts w:ascii="Arial" w:hAnsi="Arial" w:cs="Arial"/>
          <w:sz w:val="20"/>
          <w:szCs w:val="20"/>
          <w:highlight w:val="white"/>
          <w:vertAlign w:val="superscript"/>
          <w:lang w:eastAsia="en-AU"/>
        </w:rPr>
        <w:footnoteReference w:id="1"/>
      </w:r>
      <w:r w:rsidRPr="005959F9">
        <w:rPr>
          <w:rFonts w:ascii="Arial" w:hAnsi="Arial" w:cs="Arial"/>
          <w:sz w:val="20"/>
          <w:szCs w:val="20"/>
          <w:highlight w:val="white"/>
          <w:lang w:eastAsia="en-AU"/>
        </w:rPr>
        <w:t xml:space="preserve">: </w:t>
      </w:r>
    </w:p>
    <w:p w:rsidR="001025C9" w:rsidRDefault="001025C9"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autoSpaceDE w:val="0"/>
        <w:autoSpaceDN w:val="0"/>
        <w:adjustRightInd w:val="0"/>
        <w:ind w:left="720"/>
        <w:jc w:val="both"/>
        <w:rPr>
          <w:rFonts w:ascii="Arial" w:hAnsi="Arial" w:cs="Arial"/>
          <w:sz w:val="20"/>
          <w:szCs w:val="20"/>
          <w:lang w:eastAsia="en-AU"/>
        </w:rPr>
      </w:pPr>
      <w:r w:rsidRPr="005959F9">
        <w:rPr>
          <w:rFonts w:ascii="Arial" w:hAnsi="Arial" w:cs="Arial"/>
          <w:sz w:val="20"/>
          <w:szCs w:val="20"/>
          <w:highlight w:val="white"/>
          <w:lang w:eastAsia="en-AU"/>
        </w:rPr>
        <w:t>In general, freeways are better able to withstand heavy loads because they are built to a higher strength standard, incorporating greater pavement depth and stronger materials to support the higher expected volume and mix of vehicle traffic. W</w:t>
      </w:r>
      <w:r w:rsidRPr="005959F9">
        <w:rPr>
          <w:rFonts w:ascii="Arial" w:hAnsi="Arial" w:cs="Arial"/>
          <w:sz w:val="20"/>
          <w:szCs w:val="20"/>
          <w:lang w:eastAsia="en-AU"/>
        </w:rPr>
        <w:t>hile freeways are generally likely to have higher construction costs, they are likely to have lower marginal costs of road wear. Alternatively, local and collector roads are likely to have higher marginal costs. These road types are designed to accommodate lower heavy vehicle traffic and so are built to a lower strength standard.</w:t>
      </w:r>
    </w:p>
    <w:p w:rsidR="00A45F83" w:rsidRPr="005959F9" w:rsidRDefault="00A45F83" w:rsidP="001025C9">
      <w:pPr>
        <w:autoSpaceDE w:val="0"/>
        <w:autoSpaceDN w:val="0"/>
        <w:adjustRightInd w:val="0"/>
        <w:jc w:val="both"/>
        <w:rPr>
          <w:rFonts w:ascii="Arial" w:hAnsi="Arial" w:cs="Arial"/>
          <w:sz w:val="20"/>
          <w:szCs w:val="20"/>
          <w:lang w:eastAsia="en-AU"/>
        </w:rPr>
      </w:pPr>
    </w:p>
    <w:p w:rsidR="00A45F83" w:rsidRDefault="00A45F83" w:rsidP="001025C9">
      <w:pPr>
        <w:autoSpaceDE w:val="0"/>
        <w:autoSpaceDN w:val="0"/>
        <w:adjustRightInd w:val="0"/>
        <w:ind w:left="720"/>
        <w:jc w:val="both"/>
        <w:rPr>
          <w:rFonts w:ascii="Arial" w:hAnsi="Arial" w:cs="Arial"/>
          <w:sz w:val="20"/>
          <w:szCs w:val="20"/>
          <w:lang w:eastAsia="en-AU"/>
        </w:rPr>
      </w:pPr>
      <w:r w:rsidRPr="005959F9">
        <w:rPr>
          <w:rFonts w:ascii="Arial" w:hAnsi="Arial" w:cs="Arial"/>
          <w:sz w:val="20"/>
          <w:szCs w:val="20"/>
          <w:lang w:eastAsia="en-AU"/>
        </w:rPr>
        <w:t>The results (of testing marginal costs) are consistent with prior expectation and historical observation, with short and long-run marginal cost estimates being considerably lower for stronger roads (such as freeways and arterial roads) than for local access roads (which are built to lower strength standards). Figure 1 shows the relationships between all four road categories according to the short-run model. The bars reflect a weighted average of the different road types that make up a road classification. The lines that bisect the bars reflect the range of results for individual road types within the road classification. The short-run marginal cost of local roads is significantly higher than the marginal cost of freeways and arterial roads, although it should be noted that local road travel i</w:t>
      </w:r>
      <w:r w:rsidRPr="005959F9">
        <w:rPr>
          <w:rFonts w:ascii="Arial" w:hAnsi="Arial" w:cs="Arial"/>
          <w:sz w:val="20"/>
          <w:szCs w:val="20"/>
          <w:highlight w:val="white"/>
          <w:lang w:eastAsia="en-AU"/>
        </w:rPr>
        <w:t>s</w:t>
      </w:r>
      <w:r w:rsidRPr="005959F9">
        <w:rPr>
          <w:rFonts w:ascii="Arial" w:hAnsi="Arial" w:cs="Arial"/>
          <w:sz w:val="20"/>
          <w:szCs w:val="20"/>
          <w:lang w:eastAsia="en-AU"/>
        </w:rPr>
        <w:t xml:space="preserve"> typically only used on part of a vehicle trip and the proportion of local road travel could be quite low for some heavy vehicle types. Long-run marginal costs are generally at or above the level of short-run marginal costs.’</w:t>
      </w:r>
    </w:p>
    <w:p w:rsidR="00EF6EED" w:rsidRPr="005959F9" w:rsidRDefault="00EF6EED" w:rsidP="001025C9">
      <w:pPr>
        <w:autoSpaceDE w:val="0"/>
        <w:autoSpaceDN w:val="0"/>
        <w:adjustRightInd w:val="0"/>
        <w:ind w:left="720"/>
        <w:jc w:val="both"/>
        <w:rPr>
          <w:rFonts w:ascii="Arial" w:hAnsi="Arial" w:cs="Arial"/>
          <w:sz w:val="20"/>
          <w:szCs w:val="20"/>
          <w:lang w:eastAsia="en-AU"/>
        </w:rPr>
      </w:pPr>
    </w:p>
    <w:p w:rsidR="00A45F83" w:rsidRPr="00EF6EED" w:rsidRDefault="00EF6EED" w:rsidP="001025C9">
      <w:pPr>
        <w:autoSpaceDE w:val="0"/>
        <w:autoSpaceDN w:val="0"/>
        <w:adjustRightInd w:val="0"/>
        <w:spacing w:line="264" w:lineRule="auto"/>
        <w:jc w:val="center"/>
        <w:rPr>
          <w:rFonts w:ascii="Arial" w:hAnsi="Arial" w:cs="Arial"/>
          <w:b/>
          <w:sz w:val="20"/>
          <w:szCs w:val="20"/>
          <w:highlight w:val="white"/>
          <w:lang w:eastAsia="en-AU"/>
        </w:rPr>
      </w:pPr>
      <w:r w:rsidRPr="00EF6EED">
        <w:rPr>
          <w:rFonts w:ascii="Arial" w:hAnsi="Arial" w:cs="Arial"/>
          <w:b/>
          <w:sz w:val="20"/>
          <w:szCs w:val="20"/>
          <w:highlight w:val="white"/>
          <w:lang w:eastAsia="en-AU"/>
        </w:rPr>
        <w:t>Figure 1 Short-run marginal cost relatives of different road types</w:t>
      </w:r>
    </w:p>
    <w:p w:rsidR="00A45F83" w:rsidRPr="005959F9" w:rsidRDefault="00A45F83" w:rsidP="001025C9">
      <w:pPr>
        <w:jc w:val="center"/>
        <w:rPr>
          <w:rFonts w:ascii="Arial" w:hAnsi="Arial" w:cs="Arial"/>
          <w:sz w:val="20"/>
          <w:szCs w:val="20"/>
        </w:rPr>
      </w:pPr>
    </w:p>
    <w:p w:rsidR="00A45F83" w:rsidRDefault="00A45F83" w:rsidP="001025C9">
      <w:pPr>
        <w:ind w:firstLine="720"/>
        <w:jc w:val="center"/>
        <w:rPr>
          <w:rFonts w:ascii="Arial" w:hAnsi="Arial" w:cs="Arial"/>
        </w:rPr>
      </w:pPr>
      <w:r w:rsidRPr="005959F9">
        <w:rPr>
          <w:rFonts w:ascii="Arial" w:hAnsi="Arial" w:cs="Arial"/>
          <w:noProof/>
          <w:lang w:eastAsia="en-AU"/>
        </w:rPr>
        <w:drawing>
          <wp:inline distT="0" distB="0" distL="0" distR="0">
            <wp:extent cx="5586620" cy="3177826"/>
            <wp:effectExtent l="19050" t="0" r="0" b="0"/>
            <wp:docPr id="11"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 cstate="print"/>
                    <a:srcRect/>
                    <a:stretch>
                      <a:fillRect/>
                    </a:stretch>
                  </pic:blipFill>
                  <pic:spPr bwMode="auto">
                    <a:xfrm>
                      <a:off x="0" y="0"/>
                      <a:ext cx="5583660" cy="3176142"/>
                    </a:xfrm>
                    <a:prstGeom prst="rect">
                      <a:avLst/>
                    </a:prstGeom>
                    <a:noFill/>
                    <a:ln w="9525">
                      <a:noFill/>
                      <a:miter lim="800000"/>
                      <a:headEnd/>
                      <a:tailEnd/>
                    </a:ln>
                  </pic:spPr>
                </pic:pic>
              </a:graphicData>
            </a:graphic>
          </wp:inline>
        </w:drawing>
      </w:r>
    </w:p>
    <w:p w:rsidR="001025C9" w:rsidRPr="001025C9" w:rsidRDefault="001025C9" w:rsidP="001025C9">
      <w:pPr>
        <w:jc w:val="center"/>
        <w:rPr>
          <w:rFonts w:ascii="Arial" w:hAnsi="Arial" w:cs="Arial"/>
          <w:sz w:val="16"/>
          <w:szCs w:val="16"/>
        </w:rPr>
      </w:pPr>
      <w:r w:rsidRPr="001025C9">
        <w:rPr>
          <w:rFonts w:ascii="Arial" w:hAnsi="Arial" w:cs="Arial"/>
          <w:sz w:val="16"/>
          <w:szCs w:val="16"/>
        </w:rPr>
        <w:t>Source:</w:t>
      </w:r>
      <w:r w:rsidRPr="001025C9">
        <w:rPr>
          <w:rFonts w:ascii="Arial" w:hAnsi="Arial" w:cs="Arial"/>
          <w:sz w:val="16"/>
          <w:szCs w:val="16"/>
          <w:vertAlign w:val="superscript"/>
        </w:rPr>
        <w:t xml:space="preserve"> </w:t>
      </w:r>
      <w:r w:rsidRPr="001025C9">
        <w:rPr>
          <w:rFonts w:ascii="Arial" w:hAnsi="Arial" w:cs="Arial"/>
          <w:sz w:val="16"/>
          <w:szCs w:val="16"/>
        </w:rPr>
        <w:t xml:space="preserve">Page </w:t>
      </w:r>
      <w:proofErr w:type="gramStart"/>
      <w:r w:rsidRPr="001025C9">
        <w:rPr>
          <w:rFonts w:ascii="Arial" w:hAnsi="Arial" w:cs="Arial"/>
          <w:sz w:val="16"/>
          <w:szCs w:val="16"/>
        </w:rPr>
        <w:t>V  -</w:t>
      </w:r>
      <w:proofErr w:type="gramEnd"/>
      <w:r w:rsidRPr="001025C9">
        <w:rPr>
          <w:rFonts w:ascii="Arial" w:hAnsi="Arial" w:cs="Arial"/>
          <w:sz w:val="16"/>
          <w:szCs w:val="16"/>
        </w:rPr>
        <w:t xml:space="preserve"> National Transport Commission  Modelling the Marginal Cost of Road Wear Research Paper May 2011</w:t>
      </w:r>
    </w:p>
    <w:p w:rsidR="001025C9" w:rsidRPr="005959F9" w:rsidRDefault="001025C9" w:rsidP="001025C9">
      <w:pPr>
        <w:jc w:val="center"/>
        <w:rPr>
          <w:rFonts w:ascii="Arial" w:hAnsi="Arial" w:cs="Arial"/>
        </w:rPr>
      </w:pPr>
    </w:p>
    <w:p w:rsidR="00A45F83" w:rsidRPr="005959F9" w:rsidRDefault="00A45F83" w:rsidP="001025C9">
      <w:pPr>
        <w:jc w:val="both"/>
        <w:rPr>
          <w:rFonts w:ascii="Arial" w:eastAsia="Times New Roman" w:hAnsi="Arial" w:cs="Arial"/>
          <w:bCs/>
          <w:sz w:val="20"/>
          <w:szCs w:val="20"/>
        </w:rPr>
      </w:pPr>
    </w:p>
    <w:p w:rsidR="00A45F83" w:rsidRPr="005959F9" w:rsidRDefault="005F1298"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lastRenderedPageBreak/>
        <w:t>Due to these factors</w:t>
      </w:r>
      <w:r w:rsidR="00A45F83" w:rsidRPr="005959F9">
        <w:rPr>
          <w:rFonts w:ascii="Arial" w:hAnsi="Arial" w:cs="Arial"/>
          <w:sz w:val="20"/>
          <w:szCs w:val="20"/>
          <w:highlight w:val="white"/>
          <w:lang w:eastAsia="en-AU"/>
        </w:rPr>
        <w:t xml:space="preserve">, proceeding with actual costs for road use in order to be equitable may have unintended </w:t>
      </w:r>
      <w:r w:rsidRPr="005959F9">
        <w:rPr>
          <w:rFonts w:ascii="Arial" w:hAnsi="Arial" w:cs="Arial"/>
          <w:sz w:val="20"/>
          <w:szCs w:val="20"/>
          <w:highlight w:val="white"/>
          <w:lang w:eastAsia="en-AU"/>
        </w:rPr>
        <w:t>consequences</w:t>
      </w:r>
      <w:r w:rsidR="00A45F83" w:rsidRPr="005959F9">
        <w:rPr>
          <w:rFonts w:ascii="Arial" w:hAnsi="Arial" w:cs="Arial"/>
          <w:sz w:val="20"/>
          <w:szCs w:val="20"/>
          <w:highlight w:val="white"/>
          <w:lang w:eastAsia="en-AU"/>
        </w:rPr>
        <w:t xml:space="preserve"> for rural and regional areas in Australia. The </w:t>
      </w:r>
      <w:r w:rsidR="003340FB">
        <w:rPr>
          <w:rFonts w:ascii="Arial" w:hAnsi="Arial" w:cs="Arial"/>
          <w:sz w:val="20"/>
          <w:szCs w:val="20"/>
          <w:highlight w:val="white"/>
          <w:lang w:eastAsia="en-AU"/>
        </w:rPr>
        <w:t xml:space="preserve">Committee </w:t>
      </w:r>
      <w:r w:rsidR="00A45F83" w:rsidRPr="005959F9">
        <w:rPr>
          <w:rFonts w:ascii="Arial" w:hAnsi="Arial" w:cs="Arial"/>
          <w:sz w:val="20"/>
          <w:szCs w:val="20"/>
          <w:highlight w:val="white"/>
          <w:lang w:eastAsia="en-AU"/>
        </w:rPr>
        <w:t xml:space="preserve">should examine how to moderate between actual costs and equitable but fair charges for road users. </w:t>
      </w:r>
    </w:p>
    <w:p w:rsidR="0094622B" w:rsidRPr="005959F9" w:rsidRDefault="0094622B" w:rsidP="001025C9">
      <w:pPr>
        <w:autoSpaceDE w:val="0"/>
        <w:autoSpaceDN w:val="0"/>
        <w:adjustRightInd w:val="0"/>
        <w:jc w:val="both"/>
        <w:rPr>
          <w:rFonts w:ascii="Arial" w:hAnsi="Arial" w:cs="Arial"/>
          <w:sz w:val="20"/>
          <w:szCs w:val="20"/>
          <w:highlight w:val="white"/>
          <w:lang w:eastAsia="en-AU"/>
        </w:rPr>
      </w:pPr>
    </w:p>
    <w:p w:rsidR="005F1298" w:rsidRPr="005959F9" w:rsidRDefault="00A45F83" w:rsidP="001025C9">
      <w:pPr>
        <w:jc w:val="both"/>
        <w:rPr>
          <w:rFonts w:ascii="Arial" w:hAnsi="Arial" w:cs="Arial"/>
          <w:sz w:val="20"/>
          <w:szCs w:val="20"/>
          <w:highlight w:val="white"/>
          <w:lang w:eastAsia="en-AU"/>
        </w:rPr>
      </w:pPr>
      <w:r w:rsidRPr="005959F9">
        <w:rPr>
          <w:rFonts w:ascii="Arial" w:hAnsi="Arial" w:cs="Arial"/>
          <w:sz w:val="20"/>
          <w:szCs w:val="20"/>
          <w:highlight w:val="white"/>
          <w:lang w:eastAsia="en-AU"/>
        </w:rPr>
        <w:t>Non-commercial roads (local or collector roads) still need to have a stan</w:t>
      </w:r>
      <w:r w:rsidR="005F1298" w:rsidRPr="005959F9">
        <w:rPr>
          <w:rFonts w:ascii="Arial" w:hAnsi="Arial" w:cs="Arial"/>
          <w:sz w:val="20"/>
          <w:szCs w:val="20"/>
          <w:highlight w:val="white"/>
          <w:lang w:eastAsia="en-AU"/>
        </w:rPr>
        <w:t xml:space="preserve">dard level of service for users. </w:t>
      </w:r>
      <w:r w:rsidRPr="005959F9">
        <w:rPr>
          <w:rFonts w:ascii="Arial" w:hAnsi="Arial" w:cs="Arial"/>
          <w:sz w:val="20"/>
          <w:szCs w:val="20"/>
          <w:highlight w:val="white"/>
          <w:lang w:eastAsia="en-AU"/>
        </w:rPr>
        <w:t>HVCI has previously looked at community service obligation (CSO) considerations that need to be addressed when dealing with roads with high maintenance costs. However, HVCI did not believe it was an issue to be debated now.</w:t>
      </w:r>
    </w:p>
    <w:p w:rsidR="005F1298" w:rsidRPr="005959F9" w:rsidRDefault="005F1298" w:rsidP="001025C9">
      <w:pPr>
        <w:jc w:val="both"/>
        <w:rPr>
          <w:rFonts w:ascii="Arial" w:hAnsi="Arial" w:cs="Arial"/>
          <w:sz w:val="20"/>
          <w:szCs w:val="20"/>
          <w:highlight w:val="white"/>
          <w:lang w:eastAsia="en-AU"/>
        </w:rPr>
      </w:pPr>
    </w:p>
    <w:p w:rsidR="00A45F83" w:rsidRPr="005959F9" w:rsidRDefault="00243126" w:rsidP="001025C9">
      <w:pPr>
        <w:jc w:val="both"/>
        <w:rPr>
          <w:rFonts w:ascii="Arial" w:eastAsia="Times New Roman" w:hAnsi="Arial" w:cs="Arial"/>
          <w:bCs/>
          <w:sz w:val="20"/>
          <w:szCs w:val="20"/>
        </w:rPr>
      </w:pPr>
      <w:r w:rsidRPr="005959F9">
        <w:rPr>
          <w:rFonts w:ascii="Arial" w:hAnsi="Arial" w:cs="Arial"/>
          <w:sz w:val="20"/>
          <w:szCs w:val="20"/>
          <w:lang w:eastAsia="en-AU"/>
        </w:rPr>
        <w:t>ATA NSW</w:t>
      </w:r>
      <w:r w:rsidR="00A45F83" w:rsidRPr="005959F9">
        <w:rPr>
          <w:rFonts w:ascii="Arial" w:hAnsi="Arial" w:cs="Arial"/>
          <w:sz w:val="20"/>
          <w:szCs w:val="20"/>
          <w:lang w:eastAsia="en-AU"/>
        </w:rPr>
        <w:t xml:space="preserve"> disagrees, </w:t>
      </w:r>
      <w:r w:rsidR="00FC1688">
        <w:rPr>
          <w:rFonts w:ascii="Arial" w:hAnsi="Arial" w:cs="Arial"/>
          <w:sz w:val="20"/>
          <w:szCs w:val="20"/>
          <w:lang w:eastAsia="en-AU"/>
        </w:rPr>
        <w:t xml:space="preserve">and believes </w:t>
      </w:r>
      <w:r w:rsidR="00A45F83" w:rsidRPr="005959F9">
        <w:rPr>
          <w:rFonts w:ascii="Arial" w:hAnsi="Arial" w:cs="Arial"/>
          <w:sz w:val="20"/>
          <w:szCs w:val="20"/>
          <w:lang w:eastAsia="en-AU"/>
        </w:rPr>
        <w:t>CSO considerations lie at the heart of how a road access pricing regime would be created</w:t>
      </w:r>
      <w:r w:rsidR="005F1298" w:rsidRPr="005959F9">
        <w:rPr>
          <w:rFonts w:ascii="Arial" w:hAnsi="Arial" w:cs="Arial"/>
          <w:sz w:val="20"/>
          <w:szCs w:val="20"/>
          <w:lang w:eastAsia="en-AU"/>
        </w:rPr>
        <w:t xml:space="preserve"> and</w:t>
      </w:r>
      <w:r w:rsidR="00A45F83" w:rsidRPr="005959F9">
        <w:rPr>
          <w:rFonts w:ascii="Arial" w:hAnsi="Arial" w:cs="Arial"/>
          <w:sz w:val="20"/>
          <w:szCs w:val="20"/>
          <w:lang w:eastAsia="en-AU"/>
        </w:rPr>
        <w:t xml:space="preserve"> it should not be left to the last minute to decide how regional roads will be dealt wit</w:t>
      </w:r>
      <w:r w:rsidR="005F1298" w:rsidRPr="005959F9">
        <w:rPr>
          <w:rFonts w:ascii="Arial" w:hAnsi="Arial" w:cs="Arial"/>
          <w:sz w:val="20"/>
          <w:szCs w:val="20"/>
          <w:lang w:eastAsia="en-AU"/>
        </w:rPr>
        <w:t xml:space="preserve">h under this scheme. Presently, around </w:t>
      </w:r>
      <w:r w:rsidR="00A45F83" w:rsidRPr="005959F9">
        <w:rPr>
          <w:rFonts w:ascii="Arial" w:hAnsi="Arial" w:cs="Arial"/>
          <w:sz w:val="20"/>
          <w:szCs w:val="20"/>
          <w:lang w:eastAsia="en-AU"/>
        </w:rPr>
        <w:t xml:space="preserve">75% of local rural road expenditure and 50% of local arterial road expenditure is excluded from the heavy vehicle charges model cost </w:t>
      </w:r>
      <w:r w:rsidR="005F1298" w:rsidRPr="005959F9">
        <w:rPr>
          <w:rFonts w:ascii="Arial" w:eastAsia="Times New Roman" w:hAnsi="Arial" w:cs="Arial"/>
          <w:bCs/>
          <w:sz w:val="20"/>
          <w:szCs w:val="20"/>
        </w:rPr>
        <w:t>base.</w:t>
      </w:r>
      <w:r w:rsidR="00A45F83" w:rsidRPr="005959F9">
        <w:rPr>
          <w:rStyle w:val="FootnoteReference"/>
          <w:rFonts w:ascii="Arial" w:eastAsia="Times New Roman" w:hAnsi="Arial" w:cs="Arial"/>
          <w:bCs/>
          <w:sz w:val="20"/>
          <w:szCs w:val="20"/>
        </w:rPr>
        <w:footnoteReference w:id="2"/>
      </w:r>
      <w:r w:rsidR="00A45F83" w:rsidRPr="005959F9">
        <w:rPr>
          <w:rFonts w:ascii="Arial" w:eastAsia="Times New Roman" w:hAnsi="Arial" w:cs="Arial"/>
          <w:bCs/>
          <w:sz w:val="20"/>
          <w:szCs w:val="20"/>
        </w:rPr>
        <w:t xml:space="preserve"> </w:t>
      </w:r>
    </w:p>
    <w:p w:rsidR="00A45F83" w:rsidRPr="005959F9" w:rsidRDefault="00A45F83" w:rsidP="001025C9">
      <w:pPr>
        <w:jc w:val="both"/>
        <w:rPr>
          <w:rFonts w:ascii="Arial" w:eastAsia="Times New Roman" w:hAnsi="Arial" w:cs="Arial"/>
          <w:bCs/>
          <w:sz w:val="20"/>
          <w:szCs w:val="20"/>
        </w:rPr>
      </w:pPr>
    </w:p>
    <w:p w:rsidR="00A45F83" w:rsidRPr="005959F9" w:rsidRDefault="00A45F83" w:rsidP="001025C9">
      <w:pPr>
        <w:autoSpaceDE w:val="0"/>
        <w:autoSpaceDN w:val="0"/>
        <w:adjustRightInd w:val="0"/>
        <w:jc w:val="both"/>
        <w:rPr>
          <w:rFonts w:ascii="Arial" w:hAnsi="Arial" w:cs="Arial"/>
          <w:sz w:val="20"/>
          <w:szCs w:val="20"/>
          <w:highlight w:val="white"/>
          <w:u w:val="single"/>
          <w:lang w:eastAsia="en-AU"/>
        </w:rPr>
      </w:pPr>
      <w:r w:rsidRPr="005959F9">
        <w:rPr>
          <w:rFonts w:ascii="Arial" w:hAnsi="Arial" w:cs="Arial"/>
          <w:sz w:val="20"/>
          <w:szCs w:val="20"/>
          <w:highlight w:val="white"/>
          <w:u w:val="single"/>
          <w:lang w:eastAsia="en-AU"/>
        </w:rPr>
        <w:t>Impact of road use</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 xml:space="preserve">Paying charges based on impact is implicit in </w:t>
      </w:r>
      <w:r w:rsidR="005F1298" w:rsidRPr="005959F9">
        <w:rPr>
          <w:rFonts w:ascii="Arial" w:hAnsi="Arial" w:cs="Arial"/>
          <w:sz w:val="20"/>
          <w:szCs w:val="20"/>
          <w:highlight w:val="white"/>
          <w:lang w:eastAsia="en-AU"/>
        </w:rPr>
        <w:t>the way</w:t>
      </w:r>
      <w:r w:rsidRPr="005959F9">
        <w:rPr>
          <w:rFonts w:ascii="Arial" w:hAnsi="Arial" w:cs="Arial"/>
          <w:sz w:val="20"/>
          <w:szCs w:val="20"/>
          <w:highlight w:val="white"/>
          <w:lang w:eastAsia="en-AU"/>
        </w:rPr>
        <w:t xml:space="preserve"> heavy vehicles currently pay for their share of road expenditure costs. This is based on the principle of full cost recovery of both capital and operational historic roa</w:t>
      </w:r>
      <w:r w:rsidR="005F1298" w:rsidRPr="005959F9">
        <w:rPr>
          <w:rFonts w:ascii="Arial" w:hAnsi="Arial" w:cs="Arial"/>
          <w:sz w:val="20"/>
          <w:szCs w:val="20"/>
          <w:highlight w:val="white"/>
          <w:lang w:eastAsia="en-AU"/>
        </w:rPr>
        <w:t>d expenditure in any given year. T</w:t>
      </w:r>
      <w:r w:rsidRPr="005959F9">
        <w:rPr>
          <w:rFonts w:ascii="Arial" w:hAnsi="Arial" w:cs="Arial"/>
          <w:sz w:val="20"/>
          <w:szCs w:val="20"/>
          <w:highlight w:val="white"/>
          <w:lang w:eastAsia="en-AU"/>
        </w:rPr>
        <w:t>he cost base allocated to the heavy vehicle fleet over 4.5 tonnes is used to derive the target amount to be recovered from each heavy vehicle class.</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The measu</w:t>
      </w:r>
      <w:r w:rsidR="005F1298" w:rsidRPr="005959F9">
        <w:rPr>
          <w:rFonts w:ascii="Arial" w:hAnsi="Arial" w:cs="Arial"/>
          <w:sz w:val="20"/>
          <w:szCs w:val="20"/>
          <w:highlight w:val="white"/>
          <w:lang w:eastAsia="en-AU"/>
        </w:rPr>
        <w:t>re of wear impact is called an Equivalent Standard A</w:t>
      </w:r>
      <w:r w:rsidRPr="005959F9">
        <w:rPr>
          <w:rFonts w:ascii="Arial" w:hAnsi="Arial" w:cs="Arial"/>
          <w:sz w:val="20"/>
          <w:szCs w:val="20"/>
          <w:highlight w:val="white"/>
          <w:lang w:eastAsia="en-AU"/>
        </w:rPr>
        <w:t>xle (ESA). A section of road is built to withstand a certain number of traffic passes or total ESA passes. As traffic drives along a section of road</w:t>
      </w:r>
      <w:r w:rsidR="005F1298" w:rsidRPr="005959F9">
        <w:rPr>
          <w:rFonts w:ascii="Arial" w:hAnsi="Arial" w:cs="Arial"/>
          <w:sz w:val="20"/>
          <w:szCs w:val="20"/>
          <w:highlight w:val="white"/>
          <w:lang w:eastAsia="en-AU"/>
        </w:rPr>
        <w:t>,</w:t>
      </w:r>
      <w:r w:rsidRPr="005959F9">
        <w:rPr>
          <w:rFonts w:ascii="Arial" w:hAnsi="Arial" w:cs="Arial"/>
          <w:sz w:val="20"/>
          <w:szCs w:val="20"/>
          <w:highlight w:val="white"/>
          <w:lang w:eastAsia="en-AU"/>
        </w:rPr>
        <w:t xml:space="preserve"> its structure </w:t>
      </w:r>
      <w:r w:rsidR="005F1298" w:rsidRPr="005959F9">
        <w:rPr>
          <w:rFonts w:ascii="Arial" w:hAnsi="Arial" w:cs="Arial"/>
          <w:sz w:val="20"/>
          <w:szCs w:val="20"/>
          <w:highlight w:val="white"/>
          <w:lang w:eastAsia="en-AU"/>
        </w:rPr>
        <w:t xml:space="preserve">deteriorates </w:t>
      </w:r>
      <w:r w:rsidR="00AA3F14" w:rsidRPr="005959F9">
        <w:rPr>
          <w:rFonts w:ascii="Arial" w:hAnsi="Arial" w:cs="Arial"/>
          <w:sz w:val="20"/>
          <w:szCs w:val="20"/>
          <w:highlight w:val="white"/>
          <w:lang w:eastAsia="en-AU"/>
        </w:rPr>
        <w:t>according to the</w:t>
      </w:r>
      <w:r w:rsidRPr="005959F9">
        <w:rPr>
          <w:rFonts w:ascii="Arial" w:hAnsi="Arial" w:cs="Arial"/>
          <w:sz w:val="20"/>
          <w:szCs w:val="20"/>
          <w:highlight w:val="white"/>
          <w:lang w:eastAsia="en-AU"/>
        </w:rPr>
        <w:t xml:space="preserve"> ESA factor of the vehicle passing over it.</w:t>
      </w:r>
    </w:p>
    <w:p w:rsidR="00EF6EED" w:rsidRDefault="00EF6EED" w:rsidP="001025C9">
      <w:pPr>
        <w:jc w:val="both"/>
        <w:rPr>
          <w:rFonts w:ascii="Arial" w:hAnsi="Arial" w:cs="Arial"/>
          <w:sz w:val="20"/>
          <w:szCs w:val="20"/>
          <w:highlight w:val="white"/>
          <w:lang w:eastAsia="en-AU"/>
        </w:rPr>
      </w:pPr>
    </w:p>
    <w:p w:rsidR="00AA3F14"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Using</w:t>
      </w:r>
      <w:r w:rsidR="00AA3F14" w:rsidRPr="005959F9">
        <w:rPr>
          <w:rFonts w:ascii="Arial" w:hAnsi="Arial" w:cs="Arial"/>
          <w:sz w:val="20"/>
          <w:szCs w:val="20"/>
          <w:highlight w:val="white"/>
          <w:lang w:eastAsia="en-AU"/>
        </w:rPr>
        <w:t xml:space="preserve"> ESA figures to measure vehicle</w:t>
      </w:r>
      <w:r w:rsidRPr="005959F9">
        <w:rPr>
          <w:rFonts w:ascii="Arial" w:hAnsi="Arial" w:cs="Arial"/>
          <w:sz w:val="20"/>
          <w:szCs w:val="20"/>
          <w:highlight w:val="white"/>
          <w:lang w:eastAsia="en-AU"/>
        </w:rPr>
        <w:t xml:space="preserve"> impact on infrastructure is a well established engineering method and should be recommended by the </w:t>
      </w:r>
      <w:r w:rsidR="003340FB">
        <w:rPr>
          <w:rFonts w:ascii="Arial" w:hAnsi="Arial" w:cs="Arial"/>
          <w:sz w:val="20"/>
          <w:szCs w:val="20"/>
          <w:highlight w:val="white"/>
          <w:lang w:eastAsia="en-AU"/>
        </w:rPr>
        <w:t xml:space="preserve">Committee </w:t>
      </w:r>
      <w:r w:rsidRPr="005959F9">
        <w:rPr>
          <w:rFonts w:ascii="Arial" w:hAnsi="Arial" w:cs="Arial"/>
          <w:sz w:val="20"/>
          <w:szCs w:val="20"/>
          <w:highlight w:val="white"/>
          <w:lang w:eastAsia="en-AU"/>
        </w:rPr>
        <w:t>as the way to accurately gauge the impact of vehicles</w:t>
      </w:r>
      <w:r w:rsidR="00AA3F14" w:rsidRPr="005959F9">
        <w:rPr>
          <w:rFonts w:ascii="Arial" w:hAnsi="Arial" w:cs="Arial"/>
          <w:sz w:val="20"/>
          <w:szCs w:val="20"/>
          <w:highlight w:val="white"/>
          <w:lang w:eastAsia="en-AU"/>
        </w:rPr>
        <w:t>.</w:t>
      </w:r>
      <w:r w:rsidRPr="005959F9">
        <w:rPr>
          <w:rFonts w:ascii="Arial" w:hAnsi="Arial" w:cs="Arial"/>
          <w:sz w:val="20"/>
          <w:szCs w:val="20"/>
          <w:highlight w:val="white"/>
          <w:lang w:eastAsia="en-AU"/>
        </w:rPr>
        <w:t xml:space="preserve"> </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 xml:space="preserve">While the idea of using ESAs as a measurement is established, what the </w:t>
      </w:r>
      <w:r w:rsidR="00AA3F14" w:rsidRPr="005959F9">
        <w:rPr>
          <w:rFonts w:ascii="Arial" w:hAnsi="Arial" w:cs="Arial"/>
          <w:sz w:val="20"/>
          <w:szCs w:val="20"/>
          <w:highlight w:val="white"/>
          <w:lang w:eastAsia="en-AU"/>
        </w:rPr>
        <w:t xml:space="preserve">ESA measurements for heavy vehicles </w:t>
      </w:r>
      <w:r w:rsidRPr="005959F9">
        <w:rPr>
          <w:rFonts w:ascii="Arial" w:hAnsi="Arial" w:cs="Arial"/>
          <w:sz w:val="20"/>
          <w:szCs w:val="20"/>
          <w:highlight w:val="white"/>
          <w:lang w:eastAsia="en-AU"/>
        </w:rPr>
        <w:t>should be are under refinement by ARRB and the National Transp</w:t>
      </w:r>
      <w:r w:rsidR="00AA3F14" w:rsidRPr="005959F9">
        <w:rPr>
          <w:rFonts w:ascii="Arial" w:hAnsi="Arial" w:cs="Arial"/>
          <w:sz w:val="20"/>
          <w:szCs w:val="20"/>
          <w:highlight w:val="white"/>
          <w:lang w:eastAsia="en-AU"/>
        </w:rPr>
        <w:t xml:space="preserve">ort Commission. This is due to </w:t>
      </w:r>
      <w:r w:rsidRPr="005959F9">
        <w:rPr>
          <w:rFonts w:ascii="Arial" w:hAnsi="Arial" w:cs="Arial"/>
          <w:sz w:val="20"/>
          <w:szCs w:val="20"/>
          <w:highlight w:val="white"/>
          <w:lang w:eastAsia="en-AU"/>
        </w:rPr>
        <w:t xml:space="preserve">improved data </w:t>
      </w:r>
      <w:r w:rsidR="00AA3F14" w:rsidRPr="005959F9">
        <w:rPr>
          <w:rFonts w:ascii="Arial" w:hAnsi="Arial" w:cs="Arial"/>
          <w:sz w:val="20"/>
          <w:szCs w:val="20"/>
          <w:highlight w:val="white"/>
          <w:lang w:eastAsia="en-AU"/>
        </w:rPr>
        <w:t>on</w:t>
      </w:r>
      <w:r w:rsidRPr="005959F9">
        <w:rPr>
          <w:rFonts w:ascii="Arial" w:hAnsi="Arial" w:cs="Arial"/>
          <w:sz w:val="20"/>
          <w:szCs w:val="20"/>
          <w:highlight w:val="white"/>
          <w:lang w:eastAsia="en-AU"/>
        </w:rPr>
        <w:t xml:space="preserve"> heavy vehicles</w:t>
      </w:r>
      <w:r w:rsidR="00AA3F14" w:rsidRPr="005959F9">
        <w:rPr>
          <w:rFonts w:ascii="Arial" w:hAnsi="Arial" w:cs="Arial"/>
          <w:sz w:val="20"/>
          <w:szCs w:val="20"/>
          <w:highlight w:val="white"/>
          <w:lang w:eastAsia="en-AU"/>
        </w:rPr>
        <w:t xml:space="preserve"> impacts</w:t>
      </w:r>
      <w:r w:rsidRPr="005959F9">
        <w:rPr>
          <w:rFonts w:ascii="Arial" w:hAnsi="Arial" w:cs="Arial"/>
          <w:sz w:val="20"/>
          <w:szCs w:val="20"/>
          <w:highlight w:val="white"/>
          <w:lang w:eastAsia="en-AU"/>
        </w:rPr>
        <w:t xml:space="preserve"> and light </w:t>
      </w:r>
      <w:r w:rsidR="00AA3F14" w:rsidRPr="005959F9">
        <w:rPr>
          <w:rFonts w:ascii="Arial" w:hAnsi="Arial" w:cs="Arial"/>
          <w:sz w:val="20"/>
          <w:szCs w:val="20"/>
          <w:highlight w:val="white"/>
          <w:lang w:eastAsia="en-AU"/>
        </w:rPr>
        <w:t>vehicle</w:t>
      </w:r>
      <w:r w:rsidRPr="005959F9">
        <w:rPr>
          <w:rFonts w:ascii="Arial" w:hAnsi="Arial" w:cs="Arial"/>
          <w:sz w:val="20"/>
          <w:szCs w:val="20"/>
          <w:highlight w:val="white"/>
          <w:lang w:eastAsia="en-AU"/>
        </w:rPr>
        <w:t xml:space="preserve"> ESA. </w:t>
      </w:r>
    </w:p>
    <w:p w:rsidR="00A45F83" w:rsidRPr="005959F9" w:rsidRDefault="00A45F83" w:rsidP="001025C9">
      <w:pPr>
        <w:jc w:val="both"/>
        <w:rPr>
          <w:rFonts w:ascii="Arial" w:eastAsia="Times New Roman" w:hAnsi="Arial" w:cs="Arial"/>
          <w:bCs/>
          <w:sz w:val="20"/>
          <w:szCs w:val="20"/>
        </w:rPr>
      </w:pPr>
    </w:p>
    <w:p w:rsidR="00A45F83" w:rsidRPr="005959F9" w:rsidRDefault="00A45F83" w:rsidP="001025C9">
      <w:pPr>
        <w:jc w:val="both"/>
        <w:rPr>
          <w:rFonts w:ascii="Arial" w:eastAsia="Times New Roman" w:hAnsi="Arial" w:cs="Arial"/>
          <w:bCs/>
          <w:sz w:val="20"/>
          <w:szCs w:val="20"/>
        </w:rPr>
      </w:pPr>
      <w:r w:rsidRPr="005959F9">
        <w:rPr>
          <w:rFonts w:ascii="Arial" w:eastAsia="Times New Roman" w:hAnsi="Arial" w:cs="Arial"/>
          <w:bCs/>
          <w:sz w:val="20"/>
          <w:szCs w:val="20"/>
        </w:rPr>
        <w:t xml:space="preserve">When examining heavy vehicle ESA, ARRB captures the ESA reading from Weigh-in-motion (WIM) devices. </w:t>
      </w:r>
    </w:p>
    <w:p w:rsidR="00A45F83" w:rsidRPr="005959F9" w:rsidRDefault="00A45F83" w:rsidP="001025C9">
      <w:pPr>
        <w:jc w:val="both"/>
        <w:rPr>
          <w:rFonts w:ascii="Arial" w:eastAsia="Times New Roman" w:hAnsi="Arial" w:cs="Arial"/>
          <w:bCs/>
          <w:sz w:val="20"/>
          <w:szCs w:val="20"/>
        </w:rPr>
      </w:pPr>
    </w:p>
    <w:p w:rsidR="00A45F83" w:rsidRPr="005959F9" w:rsidRDefault="00A45F83" w:rsidP="001025C9">
      <w:pPr>
        <w:jc w:val="both"/>
        <w:rPr>
          <w:rFonts w:ascii="Arial" w:eastAsia="Times New Roman" w:hAnsi="Arial" w:cs="Arial"/>
          <w:bCs/>
          <w:sz w:val="20"/>
          <w:szCs w:val="20"/>
        </w:rPr>
      </w:pPr>
      <w:r w:rsidRPr="005959F9">
        <w:rPr>
          <w:rFonts w:ascii="Arial" w:eastAsia="Times New Roman" w:hAnsi="Arial" w:cs="Arial"/>
          <w:bCs/>
          <w:sz w:val="20"/>
          <w:szCs w:val="20"/>
        </w:rPr>
        <w:t xml:space="preserve">The ATA constructed a truck impact chart, which </w:t>
      </w:r>
      <w:r w:rsidR="00AA3F14" w:rsidRPr="005959F9">
        <w:rPr>
          <w:rFonts w:ascii="Arial" w:eastAsia="Times New Roman" w:hAnsi="Arial" w:cs="Arial"/>
          <w:bCs/>
          <w:sz w:val="20"/>
          <w:szCs w:val="20"/>
        </w:rPr>
        <w:t>reports the</w:t>
      </w:r>
      <w:r w:rsidRPr="005959F9">
        <w:rPr>
          <w:rFonts w:ascii="Arial" w:eastAsia="Times New Roman" w:hAnsi="Arial" w:cs="Arial"/>
          <w:bCs/>
          <w:sz w:val="20"/>
          <w:szCs w:val="20"/>
        </w:rPr>
        <w:t xml:space="preserve"> ESA figures and other characteristics of different combinations (see appendix A) </w:t>
      </w:r>
    </w:p>
    <w:p w:rsidR="00A45F83" w:rsidRPr="005959F9" w:rsidRDefault="00A45F83" w:rsidP="001025C9">
      <w:pPr>
        <w:jc w:val="both"/>
        <w:rPr>
          <w:rFonts w:ascii="Arial" w:eastAsia="Times New Roman" w:hAnsi="Arial" w:cs="Arial"/>
          <w:bCs/>
          <w:sz w:val="20"/>
          <w:szCs w:val="20"/>
        </w:rPr>
      </w:pPr>
    </w:p>
    <w:p w:rsidR="00A45F83" w:rsidRDefault="00AA3F14" w:rsidP="001025C9">
      <w:pPr>
        <w:jc w:val="both"/>
        <w:rPr>
          <w:rFonts w:ascii="Arial" w:eastAsia="Times New Roman" w:hAnsi="Arial" w:cs="Arial"/>
          <w:bCs/>
          <w:sz w:val="20"/>
          <w:szCs w:val="20"/>
        </w:rPr>
      </w:pPr>
      <w:r w:rsidRPr="005959F9">
        <w:rPr>
          <w:rFonts w:ascii="Arial" w:eastAsia="Times New Roman" w:hAnsi="Arial" w:cs="Arial"/>
          <w:bCs/>
          <w:sz w:val="20"/>
          <w:szCs w:val="20"/>
        </w:rPr>
        <w:t>The results show</w:t>
      </w:r>
      <w:r w:rsidR="00A45F83" w:rsidRPr="005959F9">
        <w:rPr>
          <w:rFonts w:ascii="Arial" w:eastAsia="Times New Roman" w:hAnsi="Arial" w:cs="Arial"/>
          <w:bCs/>
          <w:sz w:val="20"/>
          <w:szCs w:val="20"/>
        </w:rPr>
        <w:t xml:space="preserve"> that when transporting a freight task of 1000 tonnes, B-double trucks transport the freight in only 26 trips with a total ESA figure of 195. Comparing this to a traditional semi-trailer, it takes 16 more trips to complete the freight task and</w:t>
      </w:r>
      <w:r w:rsidRPr="005959F9">
        <w:rPr>
          <w:rFonts w:ascii="Arial" w:eastAsia="Times New Roman" w:hAnsi="Arial" w:cs="Arial"/>
          <w:bCs/>
          <w:sz w:val="20"/>
          <w:szCs w:val="20"/>
        </w:rPr>
        <w:t xml:space="preserve"> adds 62 ESA for the same freight task</w:t>
      </w:r>
      <w:r w:rsidR="00A45F83" w:rsidRPr="005959F9">
        <w:rPr>
          <w:rFonts w:ascii="Arial" w:eastAsia="Times New Roman" w:hAnsi="Arial" w:cs="Arial"/>
          <w:bCs/>
          <w:sz w:val="20"/>
          <w:szCs w:val="20"/>
        </w:rPr>
        <w:t xml:space="preserve">.  </w:t>
      </w:r>
    </w:p>
    <w:p w:rsidR="00EF6EED" w:rsidRDefault="00EF6EED" w:rsidP="001025C9">
      <w:pPr>
        <w:jc w:val="both"/>
        <w:rPr>
          <w:rFonts w:ascii="Arial" w:eastAsia="Times New Roman" w:hAnsi="Arial" w:cs="Arial"/>
          <w:bCs/>
          <w:sz w:val="20"/>
          <w:szCs w:val="20"/>
        </w:rPr>
      </w:pPr>
    </w:p>
    <w:p w:rsidR="00EF6EED" w:rsidRPr="00EF6EED" w:rsidRDefault="00EF6EED" w:rsidP="001025C9">
      <w:pPr>
        <w:jc w:val="center"/>
        <w:rPr>
          <w:rFonts w:ascii="Arial" w:eastAsia="Times New Roman" w:hAnsi="Arial" w:cs="Arial"/>
          <w:b/>
          <w:bCs/>
          <w:sz w:val="20"/>
          <w:szCs w:val="20"/>
        </w:rPr>
      </w:pPr>
      <w:r w:rsidRPr="00EF6EED">
        <w:rPr>
          <w:rFonts w:ascii="Arial" w:eastAsia="Times New Roman" w:hAnsi="Arial" w:cs="Arial"/>
          <w:b/>
          <w:bCs/>
          <w:sz w:val="20"/>
          <w:szCs w:val="20"/>
        </w:rPr>
        <w:t>Figure 2: ESA impact for a selection of heavy vehicle combinations</w:t>
      </w:r>
    </w:p>
    <w:tbl>
      <w:tblPr>
        <w:tblStyle w:val="LightList-Accent11"/>
        <w:tblpPr w:leftFromText="180" w:rightFromText="180" w:vertAnchor="text" w:horzAnchor="margin" w:tblpXSpec="center" w:tblpY="159"/>
        <w:tblW w:w="7540" w:type="dxa"/>
        <w:tblLook w:val="04A0"/>
      </w:tblPr>
      <w:tblGrid>
        <w:gridCol w:w="2740"/>
        <w:gridCol w:w="2760"/>
        <w:gridCol w:w="2040"/>
      </w:tblGrid>
      <w:tr w:rsidR="00A45F83" w:rsidRPr="005959F9" w:rsidTr="00693D92">
        <w:trPr>
          <w:cnfStyle w:val="100000000000"/>
          <w:trHeight w:val="300"/>
        </w:trPr>
        <w:tc>
          <w:tcPr>
            <w:cnfStyle w:val="001000000000"/>
            <w:tcW w:w="2740" w:type="dxa"/>
            <w:noWrap/>
            <w:hideMark/>
          </w:tcPr>
          <w:p w:rsidR="00A45F83" w:rsidRPr="005959F9" w:rsidRDefault="00A45F83" w:rsidP="001025C9">
            <w:pPr>
              <w:pStyle w:val="BodyText2"/>
              <w:jc w:val="both"/>
              <w:rPr>
                <w:color w:val="000000" w:themeColor="text1"/>
                <w:sz w:val="20"/>
              </w:rPr>
            </w:pPr>
            <w:r w:rsidRPr="005959F9">
              <w:rPr>
                <w:color w:val="000000" w:themeColor="text1"/>
                <w:sz w:val="20"/>
              </w:rPr>
              <w:t>Heavy vehicle</w:t>
            </w:r>
          </w:p>
        </w:tc>
        <w:tc>
          <w:tcPr>
            <w:tcW w:w="2760" w:type="dxa"/>
            <w:noWrap/>
            <w:hideMark/>
          </w:tcPr>
          <w:p w:rsidR="00A45F83" w:rsidRPr="005959F9" w:rsidRDefault="00A45F83" w:rsidP="001025C9">
            <w:pPr>
              <w:pStyle w:val="BodyText2"/>
              <w:jc w:val="both"/>
              <w:cnfStyle w:val="100000000000"/>
              <w:rPr>
                <w:color w:val="000000" w:themeColor="text1"/>
                <w:sz w:val="20"/>
              </w:rPr>
            </w:pPr>
            <w:r w:rsidRPr="005959F9">
              <w:rPr>
                <w:color w:val="000000" w:themeColor="text1"/>
                <w:sz w:val="20"/>
              </w:rPr>
              <w:t>No. of trips per 1000 tonnes</w:t>
            </w:r>
          </w:p>
        </w:tc>
        <w:tc>
          <w:tcPr>
            <w:tcW w:w="2040" w:type="dxa"/>
            <w:noWrap/>
            <w:hideMark/>
          </w:tcPr>
          <w:p w:rsidR="00A45F83" w:rsidRPr="005959F9" w:rsidRDefault="00A45F83" w:rsidP="001025C9">
            <w:pPr>
              <w:pStyle w:val="BodyText2"/>
              <w:jc w:val="both"/>
              <w:cnfStyle w:val="100000000000"/>
              <w:rPr>
                <w:color w:val="000000" w:themeColor="text1"/>
                <w:sz w:val="20"/>
              </w:rPr>
            </w:pPr>
            <w:r w:rsidRPr="005959F9">
              <w:rPr>
                <w:color w:val="000000" w:themeColor="text1"/>
                <w:sz w:val="20"/>
              </w:rPr>
              <w:t xml:space="preserve">Equivalent Standard Axle per 1000 tonnes (ESA) </w:t>
            </w:r>
          </w:p>
        </w:tc>
      </w:tr>
      <w:tr w:rsidR="00A45F83" w:rsidRPr="005959F9" w:rsidTr="00693D92">
        <w:trPr>
          <w:cnfStyle w:val="000000100000"/>
          <w:trHeight w:val="300"/>
        </w:trPr>
        <w:tc>
          <w:tcPr>
            <w:cnfStyle w:val="001000000000"/>
            <w:tcW w:w="2740" w:type="dxa"/>
            <w:noWrap/>
            <w:hideMark/>
          </w:tcPr>
          <w:p w:rsidR="00A45F83" w:rsidRPr="005959F9" w:rsidRDefault="00A45F83" w:rsidP="001025C9">
            <w:pPr>
              <w:pStyle w:val="BodyText2"/>
              <w:jc w:val="both"/>
              <w:rPr>
                <w:color w:val="000000" w:themeColor="text1"/>
                <w:sz w:val="20"/>
              </w:rPr>
            </w:pPr>
            <w:r w:rsidRPr="005959F9">
              <w:rPr>
                <w:color w:val="000000" w:themeColor="text1"/>
                <w:sz w:val="20"/>
              </w:rPr>
              <w:t xml:space="preserve">Traditional 3 axle rigid </w:t>
            </w:r>
          </w:p>
        </w:tc>
        <w:tc>
          <w:tcPr>
            <w:tcW w:w="2760" w:type="dxa"/>
            <w:noWrap/>
            <w:hideMark/>
          </w:tcPr>
          <w:p w:rsidR="00A45F83" w:rsidRPr="005959F9" w:rsidRDefault="00A45F83" w:rsidP="001025C9">
            <w:pPr>
              <w:pStyle w:val="BodyText2"/>
              <w:jc w:val="both"/>
              <w:cnfStyle w:val="000000100000"/>
              <w:rPr>
                <w:color w:val="000000" w:themeColor="text1"/>
                <w:sz w:val="20"/>
              </w:rPr>
            </w:pPr>
            <w:r w:rsidRPr="005959F9">
              <w:rPr>
                <w:color w:val="000000" w:themeColor="text1"/>
                <w:sz w:val="20"/>
              </w:rPr>
              <w:t>77</w:t>
            </w:r>
          </w:p>
        </w:tc>
        <w:tc>
          <w:tcPr>
            <w:tcW w:w="2040" w:type="dxa"/>
            <w:noWrap/>
            <w:hideMark/>
          </w:tcPr>
          <w:p w:rsidR="00A45F83" w:rsidRPr="005959F9" w:rsidRDefault="00A45F83" w:rsidP="001025C9">
            <w:pPr>
              <w:pStyle w:val="BodyText2"/>
              <w:jc w:val="both"/>
              <w:cnfStyle w:val="000000100000"/>
              <w:rPr>
                <w:color w:val="000000" w:themeColor="text1"/>
                <w:sz w:val="20"/>
              </w:rPr>
            </w:pPr>
            <w:r w:rsidRPr="005959F9">
              <w:rPr>
                <w:color w:val="000000" w:themeColor="text1"/>
                <w:sz w:val="20"/>
              </w:rPr>
              <w:t>316</w:t>
            </w:r>
          </w:p>
        </w:tc>
      </w:tr>
      <w:tr w:rsidR="00A45F83" w:rsidRPr="005959F9" w:rsidTr="00693D92">
        <w:trPr>
          <w:trHeight w:val="300"/>
        </w:trPr>
        <w:tc>
          <w:tcPr>
            <w:cnfStyle w:val="001000000000"/>
            <w:tcW w:w="2740" w:type="dxa"/>
            <w:noWrap/>
            <w:hideMark/>
          </w:tcPr>
          <w:p w:rsidR="00A45F83" w:rsidRPr="005959F9" w:rsidRDefault="00A45F83" w:rsidP="001025C9">
            <w:pPr>
              <w:pStyle w:val="BodyText2"/>
              <w:jc w:val="both"/>
              <w:rPr>
                <w:color w:val="000000" w:themeColor="text1"/>
                <w:sz w:val="20"/>
              </w:rPr>
            </w:pPr>
            <w:r w:rsidRPr="005959F9">
              <w:rPr>
                <w:color w:val="000000" w:themeColor="text1"/>
                <w:sz w:val="20"/>
              </w:rPr>
              <w:t>Traditional 6 axle semi-trailer</w:t>
            </w:r>
          </w:p>
        </w:tc>
        <w:tc>
          <w:tcPr>
            <w:tcW w:w="2760" w:type="dxa"/>
            <w:noWrap/>
            <w:hideMark/>
          </w:tcPr>
          <w:p w:rsidR="00A45F83" w:rsidRPr="005959F9" w:rsidRDefault="00A45F83" w:rsidP="001025C9">
            <w:pPr>
              <w:pStyle w:val="BodyText2"/>
              <w:jc w:val="both"/>
              <w:cnfStyle w:val="000000000000"/>
              <w:rPr>
                <w:color w:val="000000" w:themeColor="text1"/>
                <w:sz w:val="20"/>
              </w:rPr>
            </w:pPr>
            <w:r w:rsidRPr="005959F9">
              <w:rPr>
                <w:color w:val="000000" w:themeColor="text1"/>
                <w:sz w:val="20"/>
              </w:rPr>
              <w:t>42</w:t>
            </w:r>
          </w:p>
        </w:tc>
        <w:tc>
          <w:tcPr>
            <w:tcW w:w="2040" w:type="dxa"/>
            <w:noWrap/>
            <w:hideMark/>
          </w:tcPr>
          <w:p w:rsidR="00A45F83" w:rsidRPr="005959F9" w:rsidRDefault="00A45F83" w:rsidP="001025C9">
            <w:pPr>
              <w:pStyle w:val="BodyText2"/>
              <w:jc w:val="both"/>
              <w:cnfStyle w:val="000000000000"/>
              <w:rPr>
                <w:color w:val="000000" w:themeColor="text1"/>
                <w:sz w:val="20"/>
              </w:rPr>
            </w:pPr>
            <w:r w:rsidRPr="005959F9">
              <w:rPr>
                <w:color w:val="000000" w:themeColor="text1"/>
                <w:sz w:val="20"/>
              </w:rPr>
              <w:t>257</w:t>
            </w:r>
          </w:p>
        </w:tc>
      </w:tr>
      <w:tr w:rsidR="00A45F83" w:rsidRPr="005959F9" w:rsidTr="00693D92">
        <w:trPr>
          <w:cnfStyle w:val="000000100000"/>
          <w:trHeight w:val="300"/>
        </w:trPr>
        <w:tc>
          <w:tcPr>
            <w:cnfStyle w:val="001000000000"/>
            <w:tcW w:w="2740" w:type="dxa"/>
            <w:noWrap/>
            <w:hideMark/>
          </w:tcPr>
          <w:p w:rsidR="00A45F83" w:rsidRPr="005959F9" w:rsidRDefault="00A45F83" w:rsidP="001025C9">
            <w:pPr>
              <w:pStyle w:val="BodyText2"/>
              <w:jc w:val="both"/>
              <w:rPr>
                <w:color w:val="000000" w:themeColor="text1"/>
                <w:sz w:val="20"/>
              </w:rPr>
            </w:pPr>
            <w:r w:rsidRPr="005959F9">
              <w:rPr>
                <w:color w:val="000000" w:themeColor="text1"/>
                <w:sz w:val="20"/>
              </w:rPr>
              <w:t xml:space="preserve">Innovative 9 axle B-double </w:t>
            </w:r>
          </w:p>
        </w:tc>
        <w:tc>
          <w:tcPr>
            <w:tcW w:w="2760" w:type="dxa"/>
            <w:noWrap/>
            <w:hideMark/>
          </w:tcPr>
          <w:p w:rsidR="00A45F83" w:rsidRPr="005959F9" w:rsidRDefault="00A45F83" w:rsidP="001025C9">
            <w:pPr>
              <w:pStyle w:val="BodyText2"/>
              <w:jc w:val="both"/>
              <w:cnfStyle w:val="000000100000"/>
              <w:rPr>
                <w:color w:val="000000" w:themeColor="text1"/>
                <w:sz w:val="20"/>
              </w:rPr>
            </w:pPr>
            <w:r w:rsidRPr="005959F9">
              <w:rPr>
                <w:color w:val="000000" w:themeColor="text1"/>
                <w:sz w:val="20"/>
              </w:rPr>
              <w:t>26</w:t>
            </w:r>
          </w:p>
        </w:tc>
        <w:tc>
          <w:tcPr>
            <w:tcW w:w="2040" w:type="dxa"/>
            <w:noWrap/>
            <w:hideMark/>
          </w:tcPr>
          <w:p w:rsidR="00A45F83" w:rsidRPr="005959F9" w:rsidRDefault="00A45F83" w:rsidP="001025C9">
            <w:pPr>
              <w:pStyle w:val="BodyText2"/>
              <w:jc w:val="both"/>
              <w:cnfStyle w:val="000000100000"/>
              <w:rPr>
                <w:color w:val="000000" w:themeColor="text1"/>
                <w:sz w:val="20"/>
              </w:rPr>
            </w:pPr>
            <w:r w:rsidRPr="005959F9">
              <w:rPr>
                <w:color w:val="000000" w:themeColor="text1"/>
                <w:sz w:val="20"/>
              </w:rPr>
              <w:t>195</w:t>
            </w:r>
          </w:p>
        </w:tc>
      </w:tr>
      <w:tr w:rsidR="00A45F83" w:rsidRPr="005959F9" w:rsidTr="00693D92">
        <w:trPr>
          <w:trHeight w:val="300"/>
        </w:trPr>
        <w:tc>
          <w:tcPr>
            <w:cnfStyle w:val="001000000000"/>
            <w:tcW w:w="2740" w:type="dxa"/>
            <w:noWrap/>
            <w:hideMark/>
          </w:tcPr>
          <w:p w:rsidR="00A45F83" w:rsidRPr="005959F9" w:rsidRDefault="00A45F83" w:rsidP="001025C9">
            <w:pPr>
              <w:pStyle w:val="BodyText2"/>
              <w:jc w:val="both"/>
              <w:rPr>
                <w:color w:val="000000" w:themeColor="text1"/>
                <w:sz w:val="20"/>
              </w:rPr>
            </w:pPr>
            <w:r w:rsidRPr="005959F9">
              <w:rPr>
                <w:color w:val="000000" w:themeColor="text1"/>
                <w:sz w:val="20"/>
              </w:rPr>
              <w:t xml:space="preserve">Innovative 12 axle B-triple </w:t>
            </w:r>
          </w:p>
        </w:tc>
        <w:tc>
          <w:tcPr>
            <w:tcW w:w="2760" w:type="dxa"/>
            <w:noWrap/>
            <w:hideMark/>
          </w:tcPr>
          <w:p w:rsidR="00A45F83" w:rsidRPr="005959F9" w:rsidRDefault="00A45F83" w:rsidP="001025C9">
            <w:pPr>
              <w:pStyle w:val="BodyText2"/>
              <w:jc w:val="both"/>
              <w:cnfStyle w:val="000000000000"/>
              <w:rPr>
                <w:color w:val="000000" w:themeColor="text1"/>
                <w:sz w:val="20"/>
              </w:rPr>
            </w:pPr>
            <w:r w:rsidRPr="005959F9">
              <w:rPr>
                <w:color w:val="000000" w:themeColor="text1"/>
                <w:sz w:val="20"/>
              </w:rPr>
              <w:t>20</w:t>
            </w:r>
          </w:p>
        </w:tc>
        <w:tc>
          <w:tcPr>
            <w:tcW w:w="2040" w:type="dxa"/>
            <w:noWrap/>
            <w:hideMark/>
          </w:tcPr>
          <w:p w:rsidR="00A45F83" w:rsidRPr="005959F9" w:rsidRDefault="00A45F83" w:rsidP="001025C9">
            <w:pPr>
              <w:pStyle w:val="BodyText2"/>
              <w:jc w:val="both"/>
              <w:cnfStyle w:val="000000000000"/>
              <w:rPr>
                <w:color w:val="000000" w:themeColor="text1"/>
                <w:sz w:val="20"/>
              </w:rPr>
            </w:pPr>
            <w:r w:rsidRPr="005959F9">
              <w:rPr>
                <w:color w:val="000000" w:themeColor="text1"/>
                <w:sz w:val="20"/>
              </w:rPr>
              <w:t>178</w:t>
            </w:r>
          </w:p>
        </w:tc>
      </w:tr>
    </w:tbl>
    <w:p w:rsidR="00A45F83" w:rsidRPr="005959F9" w:rsidRDefault="00A45F83" w:rsidP="001025C9">
      <w:pPr>
        <w:jc w:val="both"/>
        <w:rPr>
          <w:rFonts w:ascii="Arial" w:eastAsia="Times New Roman" w:hAnsi="Arial" w:cs="Arial"/>
          <w:bCs/>
          <w:sz w:val="20"/>
          <w:szCs w:val="20"/>
        </w:rPr>
      </w:pPr>
      <w:r w:rsidRPr="005959F9">
        <w:rPr>
          <w:rFonts w:ascii="Arial" w:eastAsia="Times New Roman" w:hAnsi="Arial" w:cs="Arial"/>
          <w:bCs/>
          <w:sz w:val="20"/>
          <w:szCs w:val="20"/>
        </w:rPr>
        <w:t xml:space="preserve"> </w:t>
      </w:r>
    </w:p>
    <w:p w:rsidR="00A45F83" w:rsidRPr="005959F9" w:rsidRDefault="00A45F83" w:rsidP="001025C9">
      <w:pPr>
        <w:jc w:val="both"/>
        <w:rPr>
          <w:rFonts w:ascii="Arial" w:eastAsia="Times New Roman" w:hAnsi="Arial" w:cs="Arial"/>
          <w:bCs/>
          <w:sz w:val="20"/>
          <w:szCs w:val="20"/>
        </w:rPr>
      </w:pPr>
    </w:p>
    <w:p w:rsidR="00A45F83" w:rsidRPr="005959F9" w:rsidRDefault="00A45F83" w:rsidP="001025C9">
      <w:pPr>
        <w:jc w:val="both"/>
        <w:rPr>
          <w:rFonts w:ascii="Arial" w:eastAsia="Times New Roman" w:hAnsi="Arial" w:cs="Arial"/>
          <w:bCs/>
          <w:sz w:val="20"/>
          <w:szCs w:val="20"/>
        </w:rPr>
      </w:pPr>
    </w:p>
    <w:p w:rsidR="00A45F83" w:rsidRPr="005959F9" w:rsidRDefault="00A45F83" w:rsidP="001025C9">
      <w:pPr>
        <w:jc w:val="both"/>
        <w:rPr>
          <w:rFonts w:ascii="Arial" w:eastAsia="Times New Roman" w:hAnsi="Arial" w:cs="Arial"/>
          <w:bCs/>
          <w:sz w:val="20"/>
          <w:szCs w:val="20"/>
        </w:rPr>
      </w:pPr>
    </w:p>
    <w:p w:rsidR="00A45F83" w:rsidRPr="005959F9" w:rsidRDefault="00A45F83" w:rsidP="001025C9">
      <w:pPr>
        <w:jc w:val="both"/>
        <w:rPr>
          <w:rFonts w:ascii="Arial" w:eastAsia="Times New Roman" w:hAnsi="Arial" w:cs="Arial"/>
          <w:bCs/>
          <w:sz w:val="20"/>
          <w:szCs w:val="20"/>
        </w:rPr>
      </w:pPr>
    </w:p>
    <w:p w:rsidR="00A45F83" w:rsidRPr="005959F9" w:rsidRDefault="00A45F83" w:rsidP="001025C9">
      <w:pPr>
        <w:jc w:val="both"/>
        <w:rPr>
          <w:rFonts w:ascii="Arial" w:eastAsia="Times New Roman" w:hAnsi="Arial" w:cs="Arial"/>
          <w:bCs/>
          <w:sz w:val="20"/>
          <w:szCs w:val="20"/>
        </w:rPr>
      </w:pPr>
    </w:p>
    <w:p w:rsidR="00A45F83" w:rsidRPr="005959F9" w:rsidRDefault="00A45F83" w:rsidP="001025C9">
      <w:pPr>
        <w:jc w:val="both"/>
        <w:rPr>
          <w:rFonts w:ascii="Arial" w:eastAsia="Times New Roman" w:hAnsi="Arial" w:cs="Arial"/>
          <w:bCs/>
          <w:sz w:val="20"/>
          <w:szCs w:val="20"/>
        </w:rPr>
      </w:pPr>
    </w:p>
    <w:p w:rsidR="00A45F83" w:rsidRPr="005959F9" w:rsidRDefault="00A45F83" w:rsidP="001025C9">
      <w:pPr>
        <w:jc w:val="both"/>
        <w:rPr>
          <w:rFonts w:ascii="Arial" w:eastAsia="Times New Roman" w:hAnsi="Arial" w:cs="Arial"/>
          <w:bCs/>
          <w:sz w:val="20"/>
          <w:szCs w:val="20"/>
        </w:rPr>
      </w:pPr>
    </w:p>
    <w:p w:rsidR="00A45F83" w:rsidRPr="005959F9" w:rsidRDefault="00A45F83" w:rsidP="001025C9">
      <w:pPr>
        <w:jc w:val="both"/>
        <w:rPr>
          <w:rFonts w:ascii="Arial" w:hAnsi="Arial" w:cs="Arial"/>
        </w:rPr>
      </w:pPr>
    </w:p>
    <w:p w:rsidR="00A45F83" w:rsidRPr="005959F9" w:rsidRDefault="00A45F83" w:rsidP="001025C9">
      <w:pPr>
        <w:jc w:val="both"/>
        <w:rPr>
          <w:rFonts w:ascii="Arial" w:hAnsi="Arial" w:cs="Arial"/>
        </w:rPr>
      </w:pPr>
    </w:p>
    <w:p w:rsidR="00A45F83" w:rsidRPr="00D74FF1" w:rsidRDefault="00D74FF1" w:rsidP="001025C9">
      <w:pPr>
        <w:jc w:val="center"/>
        <w:rPr>
          <w:rFonts w:ascii="Arial" w:hAnsi="Arial" w:cs="Arial"/>
          <w:sz w:val="16"/>
          <w:szCs w:val="16"/>
        </w:rPr>
      </w:pPr>
      <w:r w:rsidRPr="00D74FF1">
        <w:rPr>
          <w:rFonts w:ascii="Arial" w:hAnsi="Arial" w:cs="Arial"/>
          <w:sz w:val="16"/>
          <w:szCs w:val="16"/>
        </w:rPr>
        <w:t>Source: The ATA and Barkwood Consulting Pty Ltd Truck Impact Chart</w:t>
      </w:r>
    </w:p>
    <w:p w:rsidR="003340FB" w:rsidRPr="005959F9" w:rsidRDefault="003340FB" w:rsidP="001025C9">
      <w:pPr>
        <w:jc w:val="both"/>
        <w:rPr>
          <w:rFonts w:ascii="Arial" w:hAnsi="Arial" w:cs="Arial"/>
        </w:rPr>
      </w:pPr>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 xml:space="preserve">Reducing the number of trips necessary for freight movement lessens the ESA effect that trucks have on road wear. </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A45F83" w:rsidRDefault="00A45F83" w:rsidP="001025C9">
      <w:pPr>
        <w:jc w:val="both"/>
        <w:rPr>
          <w:rFonts w:ascii="Arial" w:hAnsi="Arial" w:cs="Arial"/>
          <w:sz w:val="20"/>
          <w:szCs w:val="20"/>
          <w:lang w:eastAsia="en-AU"/>
        </w:rPr>
      </w:pPr>
      <w:r w:rsidRPr="005959F9">
        <w:rPr>
          <w:rFonts w:ascii="Arial" w:hAnsi="Arial" w:cs="Arial"/>
          <w:sz w:val="20"/>
          <w:szCs w:val="20"/>
          <w:highlight w:val="white"/>
          <w:lang w:eastAsia="en-AU"/>
        </w:rPr>
        <w:t xml:space="preserve">While heavy vehicles and weathering </w:t>
      </w:r>
      <w:r w:rsidR="00AA3F14" w:rsidRPr="005959F9">
        <w:rPr>
          <w:rFonts w:ascii="Arial" w:hAnsi="Arial" w:cs="Arial"/>
          <w:sz w:val="20"/>
          <w:szCs w:val="20"/>
          <w:highlight w:val="white"/>
          <w:lang w:eastAsia="en-AU"/>
        </w:rPr>
        <w:t xml:space="preserve">have been considered to account for </w:t>
      </w:r>
      <w:r w:rsidRPr="005959F9">
        <w:rPr>
          <w:rFonts w:ascii="Arial" w:hAnsi="Arial" w:cs="Arial"/>
          <w:sz w:val="20"/>
          <w:szCs w:val="20"/>
          <w:highlight w:val="white"/>
          <w:lang w:eastAsia="en-AU"/>
        </w:rPr>
        <w:t>100% of road deterioration in the past, the impact of light vehicles is</w:t>
      </w:r>
      <w:r w:rsidR="00AA3F14" w:rsidRPr="005959F9">
        <w:rPr>
          <w:rFonts w:ascii="Arial" w:hAnsi="Arial" w:cs="Arial"/>
          <w:sz w:val="20"/>
          <w:szCs w:val="20"/>
          <w:highlight w:val="white"/>
          <w:lang w:eastAsia="en-AU"/>
        </w:rPr>
        <w:t xml:space="preserve"> currently </w:t>
      </w:r>
      <w:r w:rsidRPr="005959F9">
        <w:rPr>
          <w:rFonts w:ascii="Arial" w:hAnsi="Arial" w:cs="Arial"/>
          <w:sz w:val="20"/>
          <w:szCs w:val="20"/>
          <w:highlight w:val="white"/>
          <w:lang w:eastAsia="en-AU"/>
        </w:rPr>
        <w:t xml:space="preserve">being examined. If light vehicles </w:t>
      </w:r>
      <w:r w:rsidR="00AA3F14" w:rsidRPr="005959F9">
        <w:rPr>
          <w:rFonts w:ascii="Arial" w:hAnsi="Arial" w:cs="Arial"/>
          <w:sz w:val="20"/>
          <w:szCs w:val="20"/>
          <w:highlight w:val="white"/>
          <w:lang w:eastAsia="en-AU"/>
        </w:rPr>
        <w:t>are</w:t>
      </w:r>
      <w:r w:rsidRPr="005959F9">
        <w:rPr>
          <w:rFonts w:ascii="Arial" w:hAnsi="Arial" w:cs="Arial"/>
          <w:sz w:val="20"/>
          <w:szCs w:val="20"/>
          <w:highlight w:val="white"/>
          <w:lang w:eastAsia="en-AU"/>
        </w:rPr>
        <w:t xml:space="preserve"> included in the PayGo model charges </w:t>
      </w:r>
      <w:r w:rsidRPr="005959F9">
        <w:rPr>
          <w:rFonts w:ascii="Arial" w:hAnsi="Arial" w:cs="Arial"/>
          <w:sz w:val="20"/>
          <w:szCs w:val="20"/>
          <w:lang w:eastAsia="en-AU"/>
        </w:rPr>
        <w:t>would b</w:t>
      </w:r>
      <w:r w:rsidRPr="005959F9">
        <w:rPr>
          <w:rFonts w:ascii="Arial" w:hAnsi="Arial" w:cs="Arial"/>
          <w:sz w:val="20"/>
          <w:szCs w:val="20"/>
          <w:highlight w:val="white"/>
          <w:lang w:eastAsia="en-AU"/>
        </w:rPr>
        <w:t>e</w:t>
      </w:r>
      <w:r w:rsidRPr="005959F9">
        <w:rPr>
          <w:rFonts w:ascii="Arial" w:hAnsi="Arial" w:cs="Arial"/>
          <w:sz w:val="20"/>
          <w:szCs w:val="20"/>
          <w:lang w:eastAsia="en-AU"/>
        </w:rPr>
        <w:t xml:space="preserve"> more reflective of use then they currently are.</w:t>
      </w:r>
    </w:p>
    <w:p w:rsidR="001025C9" w:rsidRDefault="001025C9" w:rsidP="001025C9">
      <w:pPr>
        <w:jc w:val="both"/>
        <w:rPr>
          <w:rFonts w:ascii="Arial" w:hAnsi="Arial" w:cs="Arial"/>
          <w:sz w:val="20"/>
          <w:szCs w:val="20"/>
          <w:lang w:eastAsia="en-AU"/>
        </w:rPr>
      </w:pPr>
    </w:p>
    <w:p w:rsidR="001025C9" w:rsidRDefault="001025C9" w:rsidP="001025C9">
      <w:pPr>
        <w:jc w:val="both"/>
        <w:rPr>
          <w:rFonts w:ascii="Arial" w:hAnsi="Arial" w:cs="Arial"/>
          <w:sz w:val="20"/>
          <w:szCs w:val="20"/>
          <w:lang w:eastAsia="en-AU"/>
        </w:rPr>
      </w:pPr>
    </w:p>
    <w:p w:rsidR="001025C9" w:rsidRPr="005959F9" w:rsidRDefault="001025C9" w:rsidP="001025C9">
      <w:pPr>
        <w:jc w:val="both"/>
        <w:rPr>
          <w:rFonts w:ascii="Arial" w:hAnsi="Arial" w:cs="Arial"/>
          <w:sz w:val="20"/>
          <w:szCs w:val="20"/>
          <w:lang w:eastAsia="en-AU"/>
        </w:rPr>
      </w:pPr>
    </w:p>
    <w:p w:rsidR="00A45F83" w:rsidRPr="005959F9" w:rsidRDefault="00A45F83" w:rsidP="001025C9">
      <w:pPr>
        <w:jc w:val="both"/>
        <w:rPr>
          <w:rFonts w:ascii="Arial" w:hAnsi="Arial" w:cs="Arial"/>
          <w:color w:val="000000" w:themeColor="text1"/>
          <w:sz w:val="20"/>
          <w:szCs w:val="20"/>
        </w:rPr>
      </w:pPr>
    </w:p>
    <w:p w:rsidR="00A832A0" w:rsidRPr="005959F9" w:rsidRDefault="00A832A0" w:rsidP="001025C9">
      <w:pPr>
        <w:pStyle w:val="RecommendationStyle"/>
        <w:tabs>
          <w:tab w:val="clear" w:pos="1192"/>
        </w:tabs>
        <w:spacing w:before="0" w:after="0"/>
        <w:jc w:val="both"/>
        <w:rPr>
          <w:color w:val="000000" w:themeColor="text1"/>
        </w:rPr>
      </w:pPr>
      <w:bookmarkStart w:id="6" w:name="_Toc304815336"/>
      <w:bookmarkStart w:id="7" w:name="_Toc304815833"/>
      <w:bookmarkStart w:id="8" w:name="_Toc304818322"/>
      <w:bookmarkStart w:id="9" w:name="_Toc304884375"/>
      <w:bookmarkStart w:id="10" w:name="_Toc304970875"/>
      <w:bookmarkStart w:id="11" w:name="_Toc305498105"/>
      <w:bookmarkStart w:id="12" w:name="_Toc305498164"/>
      <w:bookmarkStart w:id="13" w:name="_Toc305498216"/>
      <w:bookmarkStart w:id="14" w:name="_Toc305498333"/>
      <w:bookmarkStart w:id="15" w:name="_Toc306622934"/>
      <w:bookmarkStart w:id="16" w:name="_Toc306690319"/>
      <w:bookmarkStart w:id="17" w:name="_Toc306699143"/>
      <w:bookmarkStart w:id="18" w:name="_Toc306879727"/>
      <w:bookmarkStart w:id="19" w:name="_Toc306883067"/>
      <w:bookmarkStart w:id="20" w:name="_Toc306890738"/>
      <w:bookmarkStart w:id="21" w:name="_Toc306890756"/>
      <w:bookmarkStart w:id="22" w:name="_Toc306890870"/>
      <w:bookmarkStart w:id="23" w:name="_Toc306891301"/>
      <w:bookmarkStart w:id="24" w:name="_Toc306950020"/>
      <w:bookmarkStart w:id="25" w:name="_Toc306950155"/>
      <w:bookmarkStart w:id="26" w:name="_Toc348509187"/>
      <w:bookmarkStart w:id="27" w:name="_Toc348510856"/>
      <w:bookmarkStart w:id="28" w:name="_Toc348511255"/>
      <w:bookmarkStart w:id="29" w:name="_Toc348704608"/>
      <w:bookmarkStart w:id="30" w:name="_Toc348706881"/>
      <w:bookmarkStart w:id="31" w:name="_Toc349034204"/>
      <w:bookmarkStart w:id="32" w:name="_Toc349034471"/>
      <w:bookmarkStart w:id="33" w:name="_Toc349037920"/>
      <w:bookmarkStart w:id="34" w:name="_Toc34912381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A45F83" w:rsidRPr="005959F9" w:rsidRDefault="00A45F83" w:rsidP="001025C9">
      <w:pPr>
        <w:pStyle w:val="RecommendationStyle"/>
        <w:numPr>
          <w:ilvl w:val="0"/>
          <w:numId w:val="0"/>
        </w:numPr>
        <w:spacing w:before="0" w:after="0"/>
        <w:jc w:val="both"/>
        <w:rPr>
          <w:color w:val="000000" w:themeColor="text1"/>
        </w:rPr>
      </w:pPr>
    </w:p>
    <w:p w:rsidR="00846097" w:rsidRPr="005959F9" w:rsidRDefault="004533ED" w:rsidP="001025C9">
      <w:pPr>
        <w:pStyle w:val="RecommendationStyle"/>
        <w:numPr>
          <w:ilvl w:val="0"/>
          <w:numId w:val="0"/>
        </w:numPr>
        <w:spacing w:before="0" w:after="0"/>
        <w:jc w:val="both"/>
        <w:rPr>
          <w:i w:val="0"/>
          <w:color w:val="000000" w:themeColor="text1"/>
        </w:rPr>
      </w:pPr>
      <w:bookmarkStart w:id="35" w:name="_Toc348509188"/>
      <w:bookmarkStart w:id="36" w:name="_Toc348510857"/>
      <w:bookmarkStart w:id="37" w:name="_Toc348511256"/>
      <w:bookmarkStart w:id="38" w:name="_Toc348704609"/>
      <w:bookmarkStart w:id="39" w:name="_Toc348706882"/>
      <w:bookmarkStart w:id="40" w:name="_Toc349034205"/>
      <w:bookmarkStart w:id="41" w:name="_Toc349034472"/>
      <w:bookmarkStart w:id="42" w:name="_Toc349037921"/>
      <w:bookmarkStart w:id="43" w:name="_Toc349123818"/>
      <w:r w:rsidRPr="005959F9">
        <w:rPr>
          <w:i w:val="0"/>
          <w:color w:val="000000" w:themeColor="text1"/>
        </w:rPr>
        <w:t>Equitable road access charging based on actual costs of impact and use</w:t>
      </w:r>
      <w:r w:rsidR="00B632B4">
        <w:rPr>
          <w:i w:val="0"/>
          <w:color w:val="000000" w:themeColor="text1"/>
        </w:rPr>
        <w:t>,</w:t>
      </w:r>
      <w:r w:rsidRPr="005959F9">
        <w:rPr>
          <w:i w:val="0"/>
          <w:color w:val="000000" w:themeColor="text1"/>
        </w:rPr>
        <w:t xml:space="preserve"> will need to take account of the effects this has on regional and rural NSW.</w:t>
      </w:r>
      <w:bookmarkEnd w:id="35"/>
      <w:bookmarkEnd w:id="36"/>
      <w:bookmarkEnd w:id="37"/>
      <w:bookmarkEnd w:id="38"/>
      <w:bookmarkEnd w:id="39"/>
      <w:bookmarkEnd w:id="40"/>
      <w:bookmarkEnd w:id="41"/>
      <w:bookmarkEnd w:id="42"/>
      <w:bookmarkEnd w:id="43"/>
    </w:p>
    <w:p w:rsidR="00542479" w:rsidRPr="005959F9" w:rsidRDefault="00542479" w:rsidP="001025C9">
      <w:pPr>
        <w:pStyle w:val="RecommendationStyle"/>
        <w:jc w:val="both"/>
      </w:pPr>
      <w:bookmarkStart w:id="44" w:name="_Toc306879729"/>
      <w:bookmarkStart w:id="45" w:name="_Toc306883069"/>
      <w:bookmarkStart w:id="46" w:name="_Toc306890740"/>
      <w:bookmarkStart w:id="47" w:name="_Toc306890758"/>
      <w:bookmarkStart w:id="48" w:name="_Toc306890872"/>
      <w:bookmarkStart w:id="49" w:name="_Toc306891303"/>
      <w:bookmarkStart w:id="50" w:name="_Toc306950022"/>
      <w:bookmarkStart w:id="51" w:name="_Toc306950157"/>
      <w:bookmarkStart w:id="52" w:name="_Toc348509189"/>
      <w:bookmarkStart w:id="53" w:name="_Toc348510858"/>
      <w:bookmarkStart w:id="54" w:name="_Toc348511257"/>
      <w:bookmarkStart w:id="55" w:name="_Toc348704610"/>
      <w:bookmarkStart w:id="56" w:name="_Toc348706883"/>
      <w:bookmarkStart w:id="57" w:name="_Toc349034206"/>
      <w:bookmarkStart w:id="58" w:name="_Toc349034473"/>
      <w:bookmarkStart w:id="59" w:name="_Toc349037922"/>
      <w:bookmarkStart w:id="60" w:name="_Toc349123819"/>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A45F83" w:rsidRPr="005959F9" w:rsidRDefault="004533ED" w:rsidP="001025C9">
      <w:pPr>
        <w:pStyle w:val="RecommendationStyle"/>
        <w:numPr>
          <w:ilvl w:val="0"/>
          <w:numId w:val="0"/>
        </w:numPr>
        <w:jc w:val="both"/>
        <w:rPr>
          <w:i w:val="0"/>
        </w:rPr>
      </w:pPr>
      <w:bookmarkStart w:id="61" w:name="_Toc348509190"/>
      <w:bookmarkStart w:id="62" w:name="_Toc348510859"/>
      <w:bookmarkStart w:id="63" w:name="_Toc348511258"/>
      <w:bookmarkStart w:id="64" w:name="_Toc348704611"/>
      <w:bookmarkStart w:id="65" w:name="_Toc348706884"/>
      <w:bookmarkStart w:id="66" w:name="_Toc349034207"/>
      <w:bookmarkStart w:id="67" w:name="_Toc349034474"/>
      <w:bookmarkStart w:id="68" w:name="_Toc349037923"/>
      <w:bookmarkStart w:id="69" w:name="_Toc349123820"/>
      <w:r w:rsidRPr="005959F9">
        <w:rPr>
          <w:i w:val="0"/>
        </w:rPr>
        <w:t>Community service obligations will be necessary to support rural and regional roads and communities in NSW.</w:t>
      </w:r>
      <w:bookmarkEnd w:id="61"/>
      <w:bookmarkEnd w:id="62"/>
      <w:bookmarkEnd w:id="63"/>
      <w:bookmarkEnd w:id="64"/>
      <w:bookmarkEnd w:id="65"/>
      <w:bookmarkEnd w:id="66"/>
      <w:bookmarkEnd w:id="67"/>
      <w:bookmarkEnd w:id="68"/>
      <w:bookmarkEnd w:id="69"/>
      <w:r w:rsidRPr="005959F9">
        <w:rPr>
          <w:i w:val="0"/>
        </w:rPr>
        <w:t xml:space="preserve"> </w:t>
      </w:r>
    </w:p>
    <w:p w:rsidR="00A45F83" w:rsidRPr="005959F9" w:rsidRDefault="00A45F83" w:rsidP="001025C9">
      <w:pPr>
        <w:pStyle w:val="RecommendationStyle"/>
        <w:jc w:val="both"/>
      </w:pPr>
      <w:bookmarkStart w:id="70" w:name="_Toc348509191"/>
      <w:bookmarkStart w:id="71" w:name="_Toc348510860"/>
      <w:bookmarkStart w:id="72" w:name="_Toc348511259"/>
      <w:bookmarkStart w:id="73" w:name="_Toc348704612"/>
      <w:bookmarkStart w:id="74" w:name="_Toc348706885"/>
      <w:bookmarkStart w:id="75" w:name="_Toc349034208"/>
      <w:bookmarkStart w:id="76" w:name="_Toc349034475"/>
      <w:bookmarkStart w:id="77" w:name="_Toc349037924"/>
      <w:bookmarkStart w:id="78" w:name="_Toc349123821"/>
      <w:bookmarkEnd w:id="70"/>
      <w:bookmarkEnd w:id="71"/>
      <w:bookmarkEnd w:id="72"/>
      <w:bookmarkEnd w:id="73"/>
      <w:bookmarkEnd w:id="74"/>
      <w:bookmarkEnd w:id="75"/>
      <w:bookmarkEnd w:id="76"/>
      <w:bookmarkEnd w:id="77"/>
      <w:bookmarkEnd w:id="78"/>
    </w:p>
    <w:p w:rsidR="00542479" w:rsidRPr="005959F9" w:rsidRDefault="00ED06E4" w:rsidP="001025C9">
      <w:pPr>
        <w:pStyle w:val="RecommendationStyle"/>
        <w:numPr>
          <w:ilvl w:val="0"/>
          <w:numId w:val="0"/>
        </w:numPr>
        <w:jc w:val="both"/>
        <w:rPr>
          <w:i w:val="0"/>
        </w:rPr>
      </w:pPr>
      <w:bookmarkStart w:id="79" w:name="_Toc348509192"/>
      <w:bookmarkStart w:id="80" w:name="_Toc348510861"/>
      <w:bookmarkStart w:id="81" w:name="_Toc348511260"/>
      <w:bookmarkStart w:id="82" w:name="_Toc348704613"/>
      <w:bookmarkStart w:id="83" w:name="_Toc348706886"/>
      <w:bookmarkStart w:id="84" w:name="_Toc349034209"/>
      <w:bookmarkStart w:id="85" w:name="_Toc349034476"/>
      <w:bookmarkStart w:id="86" w:name="_Toc349037925"/>
      <w:bookmarkStart w:id="87" w:name="_Toc349123822"/>
      <w:r>
        <w:rPr>
          <w:i w:val="0"/>
        </w:rPr>
        <w:t>T</w:t>
      </w:r>
      <w:r w:rsidR="004533ED" w:rsidRPr="005959F9">
        <w:rPr>
          <w:i w:val="0"/>
        </w:rPr>
        <w:t xml:space="preserve">he </w:t>
      </w:r>
      <w:r w:rsidR="003340FB">
        <w:rPr>
          <w:i w:val="0"/>
        </w:rPr>
        <w:t xml:space="preserve">Committee </w:t>
      </w:r>
      <w:r w:rsidR="005A6891">
        <w:rPr>
          <w:i w:val="0"/>
        </w:rPr>
        <w:t xml:space="preserve">should be </w:t>
      </w:r>
      <w:r w:rsidR="004533ED" w:rsidRPr="005959F9">
        <w:rPr>
          <w:i w:val="0"/>
        </w:rPr>
        <w:t xml:space="preserve">aware of the </w:t>
      </w:r>
      <w:r w:rsidR="005A6891" w:rsidRPr="005959F9">
        <w:rPr>
          <w:i w:val="0"/>
        </w:rPr>
        <w:t>E</w:t>
      </w:r>
      <w:r w:rsidR="005A6891">
        <w:rPr>
          <w:i w:val="0"/>
        </w:rPr>
        <w:t xml:space="preserve">quivalent Standard Axle (ESA) </w:t>
      </w:r>
      <w:r w:rsidR="00662536" w:rsidRPr="005959F9">
        <w:rPr>
          <w:i w:val="0"/>
        </w:rPr>
        <w:t>i</w:t>
      </w:r>
      <w:r w:rsidR="004533ED" w:rsidRPr="005959F9">
        <w:rPr>
          <w:i w:val="0"/>
        </w:rPr>
        <w:t>mpact of heavy vehicles.</w:t>
      </w:r>
      <w:bookmarkEnd w:id="79"/>
      <w:bookmarkEnd w:id="80"/>
      <w:bookmarkEnd w:id="81"/>
      <w:bookmarkEnd w:id="82"/>
      <w:bookmarkEnd w:id="83"/>
      <w:bookmarkEnd w:id="84"/>
      <w:bookmarkEnd w:id="85"/>
      <w:bookmarkEnd w:id="86"/>
      <w:bookmarkEnd w:id="87"/>
      <w:r w:rsidR="004533ED" w:rsidRPr="005959F9">
        <w:rPr>
          <w:i w:val="0"/>
        </w:rPr>
        <w:t xml:space="preserve"> </w:t>
      </w:r>
    </w:p>
    <w:p w:rsidR="00846097" w:rsidRPr="005959F9" w:rsidRDefault="00846097" w:rsidP="001025C9">
      <w:pPr>
        <w:jc w:val="both"/>
        <w:rPr>
          <w:rFonts w:ascii="Arial" w:hAnsi="Arial" w:cs="Arial"/>
          <w:color w:val="000000" w:themeColor="text1"/>
          <w:sz w:val="20"/>
          <w:szCs w:val="20"/>
        </w:rPr>
      </w:pPr>
    </w:p>
    <w:p w:rsidR="003340FB" w:rsidRDefault="00A45F83" w:rsidP="001025C9">
      <w:pPr>
        <w:pStyle w:val="ATAHeading2"/>
        <w:numPr>
          <w:ilvl w:val="1"/>
          <w:numId w:val="13"/>
        </w:numPr>
        <w:jc w:val="both"/>
        <w:rPr>
          <w:bCs/>
        </w:rPr>
      </w:pPr>
      <w:bookmarkStart w:id="88" w:name="_Toc348450023"/>
      <w:bookmarkStart w:id="89" w:name="_Toc349125089"/>
      <w:r w:rsidRPr="00C86566">
        <w:rPr>
          <w:bCs/>
        </w:rPr>
        <w:t>Encouraging the use of different modes of transport</w:t>
      </w:r>
      <w:bookmarkEnd w:id="88"/>
      <w:bookmarkEnd w:id="89"/>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 xml:space="preserve">While the </w:t>
      </w:r>
      <w:r w:rsidR="003340FB">
        <w:rPr>
          <w:rFonts w:ascii="Arial" w:hAnsi="Arial" w:cs="Arial"/>
          <w:sz w:val="20"/>
          <w:szCs w:val="20"/>
          <w:highlight w:val="white"/>
          <w:lang w:eastAsia="en-AU"/>
        </w:rPr>
        <w:t xml:space="preserve">Committee </w:t>
      </w:r>
      <w:r w:rsidRPr="005959F9">
        <w:rPr>
          <w:rFonts w:ascii="Arial" w:hAnsi="Arial" w:cs="Arial"/>
          <w:sz w:val="20"/>
          <w:szCs w:val="20"/>
          <w:highlight w:val="white"/>
          <w:lang w:eastAsia="en-AU"/>
        </w:rPr>
        <w:t xml:space="preserve">is likely to focus on light vehicle issues </w:t>
      </w:r>
      <w:r w:rsidR="00EE4228" w:rsidRPr="005959F9">
        <w:rPr>
          <w:rFonts w:ascii="Arial" w:hAnsi="Arial" w:cs="Arial"/>
          <w:sz w:val="20"/>
          <w:szCs w:val="20"/>
          <w:highlight w:val="white"/>
          <w:lang w:eastAsia="en-AU"/>
        </w:rPr>
        <w:t xml:space="preserve">and </w:t>
      </w:r>
      <w:r w:rsidRPr="005959F9">
        <w:rPr>
          <w:rFonts w:ascii="Arial" w:hAnsi="Arial" w:cs="Arial"/>
          <w:sz w:val="20"/>
          <w:szCs w:val="20"/>
          <w:highlight w:val="white"/>
          <w:lang w:eastAsia="en-AU"/>
        </w:rPr>
        <w:t xml:space="preserve">encouraging the use of different modes of </w:t>
      </w:r>
      <w:r w:rsidR="00EE4228" w:rsidRPr="005959F9">
        <w:rPr>
          <w:rFonts w:ascii="Arial" w:hAnsi="Arial" w:cs="Arial"/>
          <w:sz w:val="20"/>
          <w:szCs w:val="20"/>
          <w:highlight w:val="white"/>
          <w:lang w:eastAsia="en-AU"/>
        </w:rPr>
        <w:t xml:space="preserve">public </w:t>
      </w:r>
      <w:r w:rsidRPr="005959F9">
        <w:rPr>
          <w:rFonts w:ascii="Arial" w:hAnsi="Arial" w:cs="Arial"/>
          <w:sz w:val="20"/>
          <w:szCs w:val="20"/>
          <w:highlight w:val="white"/>
          <w:lang w:eastAsia="en-AU"/>
        </w:rPr>
        <w:t xml:space="preserve">transport, it is important that issues surrounding freight </w:t>
      </w:r>
      <w:r w:rsidR="00EE4228" w:rsidRPr="005959F9">
        <w:rPr>
          <w:rFonts w:ascii="Arial" w:hAnsi="Arial" w:cs="Arial"/>
          <w:sz w:val="20"/>
          <w:szCs w:val="20"/>
          <w:highlight w:val="white"/>
          <w:lang w:eastAsia="en-AU"/>
        </w:rPr>
        <w:t>transport modes are</w:t>
      </w:r>
      <w:r w:rsidRPr="005959F9">
        <w:rPr>
          <w:rFonts w:ascii="Arial" w:hAnsi="Arial" w:cs="Arial"/>
          <w:sz w:val="20"/>
          <w:szCs w:val="20"/>
          <w:highlight w:val="white"/>
          <w:lang w:eastAsia="en-AU"/>
        </w:rPr>
        <w:t xml:space="preserve"> discussed in order to clear misconceptions about road freight and rail freight use. </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A45F83" w:rsidRPr="005959F9" w:rsidRDefault="00AA3F14"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 xml:space="preserve">The way </w:t>
      </w:r>
      <w:r w:rsidR="00A45F83" w:rsidRPr="005959F9">
        <w:rPr>
          <w:rFonts w:ascii="Arial" w:hAnsi="Arial" w:cs="Arial"/>
          <w:sz w:val="20"/>
          <w:szCs w:val="20"/>
          <w:highlight w:val="white"/>
          <w:lang w:eastAsia="en-AU"/>
        </w:rPr>
        <w:t>freight is shipped depends on a number of factors</w:t>
      </w:r>
      <w:r w:rsidR="00EE4228" w:rsidRPr="005959F9">
        <w:rPr>
          <w:rFonts w:ascii="Arial" w:hAnsi="Arial" w:cs="Arial"/>
          <w:sz w:val="20"/>
          <w:szCs w:val="20"/>
          <w:highlight w:val="white"/>
          <w:lang w:eastAsia="en-AU"/>
        </w:rPr>
        <w:t>;</w:t>
      </w:r>
      <w:r w:rsidR="00A45F83" w:rsidRPr="005959F9">
        <w:rPr>
          <w:rFonts w:ascii="Arial" w:hAnsi="Arial" w:cs="Arial"/>
          <w:sz w:val="20"/>
          <w:szCs w:val="20"/>
          <w:highlight w:val="white"/>
          <w:lang w:eastAsia="en-AU"/>
        </w:rPr>
        <w:t xml:space="preserve"> what is to be shipped, is it time sensitive, the cost, availability of mode of freight and how far </w:t>
      </w:r>
      <w:r w:rsidRPr="005959F9">
        <w:rPr>
          <w:rFonts w:ascii="Arial" w:hAnsi="Arial" w:cs="Arial"/>
          <w:sz w:val="20"/>
          <w:szCs w:val="20"/>
          <w:highlight w:val="white"/>
          <w:lang w:eastAsia="en-AU"/>
        </w:rPr>
        <w:t>it has</w:t>
      </w:r>
      <w:r w:rsidR="00A45F83" w:rsidRPr="005959F9">
        <w:rPr>
          <w:rFonts w:ascii="Arial" w:hAnsi="Arial" w:cs="Arial"/>
          <w:sz w:val="20"/>
          <w:szCs w:val="20"/>
          <w:highlight w:val="white"/>
          <w:lang w:eastAsia="en-AU"/>
        </w:rPr>
        <w:t xml:space="preserve"> to travel. </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A45F83" w:rsidRPr="005959F9" w:rsidRDefault="00243126"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ATA NSW</w:t>
      </w:r>
      <w:r w:rsidR="00A45F83" w:rsidRPr="005959F9">
        <w:rPr>
          <w:rFonts w:ascii="Arial" w:hAnsi="Arial" w:cs="Arial"/>
          <w:sz w:val="20"/>
          <w:szCs w:val="20"/>
          <w:highlight w:val="white"/>
          <w:lang w:eastAsia="en-AU"/>
        </w:rPr>
        <w:t xml:space="preserve"> supports efficient movement of freight. The </w:t>
      </w:r>
      <w:r w:rsidR="003340FB">
        <w:rPr>
          <w:rFonts w:ascii="Arial" w:hAnsi="Arial" w:cs="Arial"/>
          <w:sz w:val="20"/>
          <w:szCs w:val="20"/>
          <w:highlight w:val="white"/>
          <w:lang w:eastAsia="en-AU"/>
        </w:rPr>
        <w:t xml:space="preserve">Committee </w:t>
      </w:r>
      <w:r w:rsidR="00A45F83" w:rsidRPr="005959F9">
        <w:rPr>
          <w:rFonts w:ascii="Arial" w:hAnsi="Arial" w:cs="Arial"/>
          <w:sz w:val="20"/>
          <w:szCs w:val="20"/>
          <w:highlight w:val="white"/>
          <w:lang w:eastAsia="en-AU"/>
        </w:rPr>
        <w:t xml:space="preserve">should understand that only a small amount of freight is contestable with rail. Rail excels at transporting heavy bulk, such as consolidated grain and mining resources. The </w:t>
      </w:r>
      <w:r w:rsidR="00C86566">
        <w:rPr>
          <w:rFonts w:ascii="Arial" w:hAnsi="Arial" w:cs="Arial"/>
          <w:sz w:val="20"/>
          <w:szCs w:val="20"/>
          <w:highlight w:val="white"/>
          <w:lang w:eastAsia="en-AU"/>
        </w:rPr>
        <w:t>road freight</w:t>
      </w:r>
      <w:r w:rsidR="00A45F83" w:rsidRPr="005959F9">
        <w:rPr>
          <w:rFonts w:ascii="Arial" w:hAnsi="Arial" w:cs="Arial"/>
          <w:sz w:val="20"/>
          <w:szCs w:val="20"/>
          <w:highlight w:val="white"/>
          <w:lang w:eastAsia="en-AU"/>
        </w:rPr>
        <w:t xml:space="preserve"> fleet moves time sensitive material and direct delivery packages. Decisions on which mode of freight transport will work best are normally based on </w:t>
      </w:r>
      <w:r w:rsidR="00AA3F14" w:rsidRPr="005959F9">
        <w:rPr>
          <w:rFonts w:ascii="Arial" w:hAnsi="Arial" w:cs="Arial"/>
          <w:sz w:val="20"/>
          <w:szCs w:val="20"/>
          <w:highlight w:val="white"/>
          <w:lang w:eastAsia="en-AU"/>
        </w:rPr>
        <w:t xml:space="preserve">the </w:t>
      </w:r>
      <w:r w:rsidR="00A45F83" w:rsidRPr="005959F9">
        <w:rPr>
          <w:rFonts w:ascii="Arial" w:hAnsi="Arial" w:cs="Arial"/>
          <w:sz w:val="20"/>
          <w:szCs w:val="20"/>
          <w:highlight w:val="white"/>
          <w:lang w:eastAsia="en-AU"/>
        </w:rPr>
        <w:t xml:space="preserve">constraints mentioned above. Road and rail </w:t>
      </w:r>
      <w:r w:rsidR="00C86566">
        <w:rPr>
          <w:rFonts w:ascii="Arial" w:hAnsi="Arial" w:cs="Arial"/>
          <w:sz w:val="20"/>
          <w:szCs w:val="20"/>
          <w:highlight w:val="white"/>
          <w:lang w:eastAsia="en-AU"/>
        </w:rPr>
        <w:t>should be viewed as</w:t>
      </w:r>
      <w:r w:rsidR="00C86566" w:rsidRPr="005959F9">
        <w:rPr>
          <w:rFonts w:ascii="Arial" w:hAnsi="Arial" w:cs="Arial"/>
          <w:sz w:val="20"/>
          <w:szCs w:val="20"/>
          <w:highlight w:val="white"/>
          <w:lang w:eastAsia="en-AU"/>
        </w:rPr>
        <w:t xml:space="preserve"> </w:t>
      </w:r>
      <w:r w:rsidR="00A45F83" w:rsidRPr="005959F9">
        <w:rPr>
          <w:rFonts w:ascii="Arial" w:hAnsi="Arial" w:cs="Arial"/>
          <w:sz w:val="20"/>
          <w:szCs w:val="20"/>
          <w:highlight w:val="white"/>
          <w:lang w:eastAsia="en-AU"/>
        </w:rPr>
        <w:t xml:space="preserve">complementary modes of freight transport.  </w:t>
      </w:r>
    </w:p>
    <w:p w:rsidR="006B7D84" w:rsidRPr="005959F9" w:rsidRDefault="006B7D84"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 xml:space="preserve">Instigating access prices that disadvantage one mode of freight over another for political reasons will lead to a deadweight loss to the community as prices for freight transport will be artificially inflated. </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 xml:space="preserve">Both road and rail should be </w:t>
      </w:r>
      <w:r w:rsidR="00AA3F14" w:rsidRPr="005959F9">
        <w:rPr>
          <w:rFonts w:ascii="Arial" w:hAnsi="Arial" w:cs="Arial"/>
          <w:sz w:val="20"/>
          <w:szCs w:val="20"/>
          <w:highlight w:val="white"/>
          <w:lang w:eastAsia="en-AU"/>
        </w:rPr>
        <w:t>priced to promote efficient use. A</w:t>
      </w:r>
      <w:r w:rsidRPr="005959F9">
        <w:rPr>
          <w:rFonts w:ascii="Arial" w:hAnsi="Arial" w:cs="Arial"/>
          <w:sz w:val="20"/>
          <w:szCs w:val="20"/>
          <w:highlight w:val="white"/>
          <w:lang w:eastAsia="en-AU"/>
        </w:rPr>
        <w:t xml:space="preserve">ny charges should </w:t>
      </w:r>
      <w:r w:rsidR="00EE4228" w:rsidRPr="005959F9">
        <w:rPr>
          <w:rFonts w:ascii="Arial" w:hAnsi="Arial" w:cs="Arial"/>
          <w:sz w:val="20"/>
          <w:szCs w:val="20"/>
          <w:highlight w:val="white"/>
          <w:lang w:eastAsia="en-AU"/>
        </w:rPr>
        <w:t xml:space="preserve">be </w:t>
      </w:r>
      <w:r w:rsidRPr="005959F9">
        <w:rPr>
          <w:rFonts w:ascii="Arial" w:hAnsi="Arial" w:cs="Arial"/>
          <w:sz w:val="20"/>
          <w:szCs w:val="20"/>
          <w:highlight w:val="white"/>
          <w:lang w:eastAsia="en-AU"/>
        </w:rPr>
        <w:t xml:space="preserve">‘safe’ to avoid negative GDP impacts associated with charges exceeding marginal cost of direct impact. </w:t>
      </w:r>
    </w:p>
    <w:p w:rsidR="00A45F83" w:rsidRPr="005959F9" w:rsidRDefault="00A45F83" w:rsidP="001025C9">
      <w:pPr>
        <w:pStyle w:val="RecommendationStyle"/>
        <w:jc w:val="both"/>
      </w:pPr>
      <w:bookmarkStart w:id="90" w:name="_Toc348509193"/>
      <w:bookmarkStart w:id="91" w:name="_Toc348510862"/>
      <w:bookmarkStart w:id="92" w:name="_Toc348511261"/>
      <w:bookmarkStart w:id="93" w:name="_Toc348704614"/>
      <w:bookmarkStart w:id="94" w:name="_Toc348706887"/>
      <w:bookmarkStart w:id="95" w:name="_Toc349034210"/>
      <w:bookmarkStart w:id="96" w:name="_Toc349034477"/>
      <w:bookmarkStart w:id="97" w:name="_Toc349037926"/>
      <w:bookmarkStart w:id="98" w:name="_Toc349123823"/>
      <w:bookmarkEnd w:id="90"/>
      <w:bookmarkEnd w:id="91"/>
      <w:bookmarkEnd w:id="92"/>
      <w:bookmarkEnd w:id="93"/>
      <w:bookmarkEnd w:id="94"/>
      <w:bookmarkEnd w:id="95"/>
      <w:bookmarkEnd w:id="96"/>
      <w:bookmarkEnd w:id="97"/>
      <w:bookmarkEnd w:id="98"/>
    </w:p>
    <w:p w:rsidR="006B7D84" w:rsidRPr="005959F9" w:rsidRDefault="004533ED" w:rsidP="001025C9">
      <w:pPr>
        <w:pStyle w:val="RecommendationStyle"/>
        <w:numPr>
          <w:ilvl w:val="0"/>
          <w:numId w:val="0"/>
        </w:numPr>
        <w:jc w:val="both"/>
        <w:rPr>
          <w:i w:val="0"/>
        </w:rPr>
      </w:pPr>
      <w:bookmarkStart w:id="99" w:name="_Toc348509194"/>
      <w:bookmarkStart w:id="100" w:name="_Toc348510863"/>
      <w:bookmarkStart w:id="101" w:name="_Toc348511262"/>
      <w:bookmarkStart w:id="102" w:name="_Toc348704615"/>
      <w:bookmarkStart w:id="103" w:name="_Toc348706888"/>
      <w:bookmarkStart w:id="104" w:name="_Toc349034211"/>
      <w:bookmarkStart w:id="105" w:name="_Toc349034478"/>
      <w:bookmarkStart w:id="106" w:name="_Toc349037927"/>
      <w:bookmarkStart w:id="107" w:name="_Toc349123824"/>
      <w:r w:rsidRPr="005959F9">
        <w:rPr>
          <w:i w:val="0"/>
        </w:rPr>
        <w:t>Freight access prices of one mode of transport should not be artificially inflated to support another mode</w:t>
      </w:r>
      <w:r w:rsidR="005A6891">
        <w:rPr>
          <w:i w:val="0"/>
        </w:rPr>
        <w:t>,</w:t>
      </w:r>
      <w:r w:rsidRPr="005959F9">
        <w:rPr>
          <w:i w:val="0"/>
        </w:rPr>
        <w:t xml:space="preserve"> as this will lead to a deadweight loss to society.</w:t>
      </w:r>
      <w:bookmarkEnd w:id="99"/>
      <w:bookmarkEnd w:id="100"/>
      <w:bookmarkEnd w:id="101"/>
      <w:bookmarkEnd w:id="102"/>
      <w:bookmarkEnd w:id="103"/>
      <w:bookmarkEnd w:id="104"/>
      <w:bookmarkEnd w:id="105"/>
      <w:bookmarkEnd w:id="106"/>
      <w:bookmarkEnd w:id="107"/>
      <w:r w:rsidRPr="005959F9">
        <w:rPr>
          <w:i w:val="0"/>
        </w:rPr>
        <w:t xml:space="preserve"> </w:t>
      </w:r>
    </w:p>
    <w:p w:rsidR="006B7D84" w:rsidRPr="005959F9" w:rsidRDefault="006B7D84" w:rsidP="001025C9">
      <w:pPr>
        <w:pStyle w:val="RecommendationStyle"/>
        <w:numPr>
          <w:ilvl w:val="0"/>
          <w:numId w:val="0"/>
        </w:numPr>
        <w:jc w:val="both"/>
        <w:rPr>
          <w:i w:val="0"/>
        </w:rPr>
      </w:pPr>
    </w:p>
    <w:p w:rsidR="00A45F83" w:rsidRPr="005959F9" w:rsidRDefault="00A45F83" w:rsidP="001025C9">
      <w:pPr>
        <w:pStyle w:val="ATAHeading2"/>
        <w:numPr>
          <w:ilvl w:val="1"/>
          <w:numId w:val="13"/>
        </w:numPr>
        <w:jc w:val="both"/>
      </w:pPr>
      <w:bookmarkStart w:id="108" w:name="_Toc348450024"/>
      <w:bookmarkStart w:id="109" w:name="_Toc349125090"/>
      <w:r w:rsidRPr="005959F9">
        <w:rPr>
          <w:bCs/>
        </w:rPr>
        <w:t>Generating sustainable levels of income for maintenance of, and investment in, the transport network</w:t>
      </w:r>
      <w:bookmarkEnd w:id="108"/>
      <w:bookmarkEnd w:id="109"/>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lang w:eastAsia="en-AU"/>
        </w:rPr>
        <w:t>T</w:t>
      </w:r>
      <w:r w:rsidRPr="005959F9">
        <w:rPr>
          <w:rFonts w:ascii="Arial" w:hAnsi="Arial" w:cs="Arial"/>
          <w:sz w:val="20"/>
          <w:szCs w:val="20"/>
          <w:highlight w:val="white"/>
          <w:lang w:eastAsia="en-AU"/>
        </w:rPr>
        <w:t xml:space="preserve">he total pool of money </w:t>
      </w:r>
      <w:r w:rsidR="00AA3F14" w:rsidRPr="005959F9">
        <w:rPr>
          <w:rFonts w:ascii="Arial" w:hAnsi="Arial" w:cs="Arial"/>
          <w:sz w:val="20"/>
          <w:szCs w:val="20"/>
          <w:highlight w:val="white"/>
          <w:lang w:eastAsia="en-AU"/>
        </w:rPr>
        <w:t>collected through vehicle charges amounts to $</w:t>
      </w:r>
      <w:r w:rsidR="00C97FF4">
        <w:rPr>
          <w:rFonts w:ascii="Arial" w:hAnsi="Arial" w:cs="Arial"/>
          <w:sz w:val="20"/>
          <w:szCs w:val="20"/>
          <w:highlight w:val="white"/>
          <w:lang w:eastAsia="en-AU"/>
        </w:rPr>
        <w:t>15</w:t>
      </w:r>
      <w:r w:rsidR="00AA3F14" w:rsidRPr="005959F9">
        <w:rPr>
          <w:rFonts w:ascii="Arial" w:hAnsi="Arial" w:cs="Arial"/>
          <w:sz w:val="20"/>
          <w:szCs w:val="20"/>
          <w:highlight w:val="white"/>
          <w:lang w:eastAsia="en-AU"/>
        </w:rPr>
        <w:t>bn. T</w:t>
      </w:r>
      <w:r w:rsidRPr="005959F9">
        <w:rPr>
          <w:rFonts w:ascii="Arial" w:hAnsi="Arial" w:cs="Arial"/>
          <w:sz w:val="20"/>
          <w:szCs w:val="20"/>
          <w:highlight w:val="white"/>
          <w:lang w:eastAsia="en-AU"/>
        </w:rPr>
        <w:t xml:space="preserve">his revenue is not </w:t>
      </w:r>
      <w:r w:rsidR="002327F8" w:rsidRPr="005959F9">
        <w:rPr>
          <w:rFonts w:ascii="Arial" w:hAnsi="Arial" w:cs="Arial"/>
          <w:sz w:val="20"/>
          <w:szCs w:val="20"/>
          <w:highlight w:val="white"/>
          <w:lang w:eastAsia="en-AU"/>
        </w:rPr>
        <w:t>bound to</w:t>
      </w:r>
      <w:r w:rsidRPr="005959F9">
        <w:rPr>
          <w:rFonts w:ascii="Arial" w:hAnsi="Arial" w:cs="Arial"/>
          <w:sz w:val="20"/>
          <w:szCs w:val="20"/>
          <w:highlight w:val="white"/>
          <w:lang w:eastAsia="en-AU"/>
        </w:rPr>
        <w:t xml:space="preserve"> road infrastructure provision and maintenance. Hypothecation of this revenue is not popular with treasuries</w:t>
      </w:r>
      <w:r w:rsidR="002327F8" w:rsidRPr="005959F9">
        <w:rPr>
          <w:rFonts w:ascii="Arial" w:hAnsi="Arial" w:cs="Arial"/>
          <w:sz w:val="20"/>
          <w:szCs w:val="20"/>
          <w:highlight w:val="white"/>
          <w:lang w:eastAsia="en-AU"/>
        </w:rPr>
        <w:t>,</w:t>
      </w:r>
      <w:r w:rsidR="00AA3F14" w:rsidRPr="005959F9">
        <w:rPr>
          <w:rFonts w:ascii="Arial" w:hAnsi="Arial" w:cs="Arial"/>
          <w:sz w:val="20"/>
          <w:szCs w:val="20"/>
          <w:highlight w:val="white"/>
          <w:lang w:eastAsia="en-AU"/>
        </w:rPr>
        <w:t xml:space="preserve"> as it limits its</w:t>
      </w:r>
      <w:r w:rsidRPr="005959F9">
        <w:rPr>
          <w:rFonts w:ascii="Arial" w:hAnsi="Arial" w:cs="Arial"/>
          <w:sz w:val="20"/>
          <w:szCs w:val="20"/>
          <w:highlight w:val="white"/>
          <w:lang w:eastAsia="en-AU"/>
        </w:rPr>
        <w:t xml:space="preserve"> flexibility to spend on public goods</w:t>
      </w:r>
      <w:r w:rsidR="002327F8" w:rsidRPr="005959F9">
        <w:rPr>
          <w:rFonts w:ascii="Arial" w:hAnsi="Arial" w:cs="Arial"/>
          <w:sz w:val="20"/>
          <w:szCs w:val="20"/>
          <w:highlight w:val="white"/>
          <w:lang w:eastAsia="en-AU"/>
        </w:rPr>
        <w:t>,</w:t>
      </w:r>
      <w:r w:rsidRPr="005959F9">
        <w:rPr>
          <w:rFonts w:ascii="Arial" w:hAnsi="Arial" w:cs="Arial"/>
          <w:sz w:val="20"/>
          <w:szCs w:val="20"/>
          <w:highlight w:val="white"/>
          <w:lang w:eastAsia="en-AU"/>
        </w:rPr>
        <w:t xml:space="preserve"> and some have argued that how money is raised should not affect how it is spent. However, hypothecation allows voters to make a stronger connection between</w:t>
      </w:r>
      <w:r w:rsidR="00AA3F14" w:rsidRPr="005959F9">
        <w:rPr>
          <w:rFonts w:ascii="Arial" w:hAnsi="Arial" w:cs="Arial"/>
          <w:sz w:val="20"/>
          <w:szCs w:val="20"/>
          <w:highlight w:val="white"/>
          <w:lang w:eastAsia="en-AU"/>
        </w:rPr>
        <w:t xml:space="preserve"> the</w:t>
      </w:r>
      <w:r w:rsidRPr="005959F9">
        <w:rPr>
          <w:rFonts w:ascii="Arial" w:hAnsi="Arial" w:cs="Arial"/>
          <w:sz w:val="20"/>
          <w:szCs w:val="20"/>
          <w:highlight w:val="white"/>
          <w:lang w:eastAsia="en-AU"/>
        </w:rPr>
        <w:t xml:space="preserve"> taxes they pay and the services those taxes </w:t>
      </w:r>
      <w:r w:rsidR="002327F8" w:rsidRPr="005959F9">
        <w:rPr>
          <w:rFonts w:ascii="Arial" w:hAnsi="Arial" w:cs="Arial"/>
          <w:sz w:val="20"/>
          <w:szCs w:val="20"/>
          <w:highlight w:val="white"/>
          <w:lang w:eastAsia="en-AU"/>
        </w:rPr>
        <w:t>provide</w:t>
      </w:r>
      <w:r w:rsidRPr="005959F9">
        <w:rPr>
          <w:rFonts w:ascii="Arial" w:hAnsi="Arial" w:cs="Arial"/>
          <w:sz w:val="20"/>
          <w:szCs w:val="20"/>
          <w:highlight w:val="white"/>
          <w:lang w:eastAsia="en-AU"/>
        </w:rPr>
        <w:t>.</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jc w:val="both"/>
        <w:rPr>
          <w:rFonts w:ascii="Arial" w:hAnsi="Arial" w:cs="Arial"/>
          <w:sz w:val="20"/>
          <w:szCs w:val="20"/>
        </w:rPr>
      </w:pPr>
      <w:r w:rsidRPr="005959F9">
        <w:rPr>
          <w:rFonts w:ascii="Arial" w:hAnsi="Arial" w:cs="Arial"/>
          <w:sz w:val="20"/>
          <w:szCs w:val="20"/>
          <w:highlight w:val="white"/>
          <w:lang w:eastAsia="en-AU"/>
        </w:rPr>
        <w:t>Implementing more direct user charges on previously un-metered roads would have to increase the monitoring of citizens. If full costs of road access are captured and taxed from road users the argument for hypothecation becomes stronger as actual costs are more accurate</w:t>
      </w:r>
      <w:r w:rsidR="00AA3F14" w:rsidRPr="005959F9">
        <w:rPr>
          <w:rFonts w:ascii="Arial" w:hAnsi="Arial" w:cs="Arial"/>
          <w:sz w:val="20"/>
          <w:szCs w:val="20"/>
          <w:highlight w:val="white"/>
          <w:lang w:eastAsia="en-AU"/>
        </w:rPr>
        <w:t>,</w:t>
      </w:r>
      <w:r w:rsidRPr="005959F9">
        <w:rPr>
          <w:rFonts w:ascii="Arial" w:hAnsi="Arial" w:cs="Arial"/>
          <w:sz w:val="20"/>
          <w:szCs w:val="20"/>
          <w:highlight w:val="white"/>
          <w:lang w:eastAsia="en-AU"/>
        </w:rPr>
        <w:t xml:space="preserve"> not just a token registration charge for light vehicles. Increasing </w:t>
      </w:r>
      <w:r w:rsidR="00AA3F14" w:rsidRPr="005959F9">
        <w:rPr>
          <w:rFonts w:ascii="Arial" w:hAnsi="Arial" w:cs="Arial"/>
          <w:sz w:val="20"/>
          <w:szCs w:val="20"/>
          <w:highlight w:val="white"/>
          <w:lang w:eastAsia="en-AU"/>
        </w:rPr>
        <w:t xml:space="preserve">the </w:t>
      </w:r>
      <w:r w:rsidRPr="005959F9">
        <w:rPr>
          <w:rFonts w:ascii="Arial" w:hAnsi="Arial" w:cs="Arial"/>
          <w:sz w:val="20"/>
          <w:szCs w:val="20"/>
          <w:highlight w:val="white"/>
          <w:lang w:eastAsia="en-AU"/>
        </w:rPr>
        <w:t>transparency of spend</w:t>
      </w:r>
      <w:r w:rsidR="00AA3F14" w:rsidRPr="005959F9">
        <w:rPr>
          <w:rFonts w:ascii="Arial" w:hAnsi="Arial" w:cs="Arial"/>
          <w:sz w:val="20"/>
          <w:szCs w:val="20"/>
          <w:highlight w:val="white"/>
          <w:lang w:eastAsia="en-AU"/>
        </w:rPr>
        <w:t>ing</w:t>
      </w:r>
      <w:r w:rsidRPr="005959F9">
        <w:rPr>
          <w:rFonts w:ascii="Arial" w:hAnsi="Arial" w:cs="Arial"/>
          <w:sz w:val="20"/>
          <w:szCs w:val="20"/>
          <w:highlight w:val="white"/>
          <w:lang w:eastAsia="en-AU"/>
        </w:rPr>
        <w:t xml:space="preserve"> has been used in the past in the hope that taxpayers will be better-informed about funding for projects.</w:t>
      </w:r>
      <w:r w:rsidRPr="005959F9">
        <w:rPr>
          <w:rStyle w:val="FootnoteReference"/>
          <w:rFonts w:ascii="Arial" w:hAnsi="Arial" w:cs="Arial"/>
          <w:sz w:val="20"/>
          <w:szCs w:val="20"/>
        </w:rPr>
        <w:footnoteReference w:id="3"/>
      </w:r>
    </w:p>
    <w:p w:rsidR="00A45F83" w:rsidRPr="005959F9" w:rsidRDefault="00A45F83" w:rsidP="001025C9">
      <w:pPr>
        <w:jc w:val="both"/>
        <w:rPr>
          <w:rFonts w:ascii="Arial" w:hAnsi="Arial" w:cs="Arial"/>
          <w:sz w:val="20"/>
          <w:szCs w:val="20"/>
        </w:rPr>
      </w:pPr>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 xml:space="preserve">Hypothecation has been used in conjunction with environmental taxes to encourage public acceptance of these kinds of taxes. The Medicare levy in Australia is the classic example of </w:t>
      </w:r>
      <w:r w:rsidR="002327F8" w:rsidRPr="005959F9">
        <w:rPr>
          <w:rFonts w:ascii="Arial" w:hAnsi="Arial" w:cs="Arial"/>
          <w:sz w:val="20"/>
          <w:szCs w:val="20"/>
          <w:highlight w:val="white"/>
          <w:lang w:eastAsia="en-AU"/>
        </w:rPr>
        <w:t xml:space="preserve">how </w:t>
      </w:r>
      <w:r w:rsidRPr="005959F9">
        <w:rPr>
          <w:rFonts w:ascii="Arial" w:hAnsi="Arial" w:cs="Arial"/>
          <w:sz w:val="20"/>
          <w:szCs w:val="20"/>
          <w:highlight w:val="white"/>
          <w:lang w:eastAsia="en-AU"/>
        </w:rPr>
        <w:t xml:space="preserve">a tax is </w:t>
      </w:r>
      <w:r w:rsidR="002327F8" w:rsidRPr="005959F9">
        <w:rPr>
          <w:rFonts w:ascii="Arial" w:hAnsi="Arial" w:cs="Arial"/>
          <w:sz w:val="20"/>
          <w:szCs w:val="20"/>
          <w:highlight w:val="white"/>
          <w:lang w:eastAsia="en-AU"/>
        </w:rPr>
        <w:t xml:space="preserve">hypothecated and is </w:t>
      </w:r>
      <w:r w:rsidR="00662536" w:rsidRPr="005959F9">
        <w:rPr>
          <w:rFonts w:ascii="Arial" w:hAnsi="Arial" w:cs="Arial"/>
          <w:sz w:val="20"/>
          <w:szCs w:val="20"/>
          <w:highlight w:val="white"/>
          <w:lang w:eastAsia="en-AU"/>
        </w:rPr>
        <w:t>transparent to</w:t>
      </w:r>
      <w:r w:rsidRPr="005959F9">
        <w:rPr>
          <w:rFonts w:ascii="Arial" w:hAnsi="Arial" w:cs="Arial"/>
          <w:sz w:val="20"/>
          <w:szCs w:val="20"/>
          <w:highlight w:val="white"/>
          <w:lang w:eastAsia="en-AU"/>
        </w:rPr>
        <w:t xml:space="preserve"> tax payers. </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lastRenderedPageBreak/>
        <w:t>Road access prices should also be fair for road users</w:t>
      </w:r>
      <w:r w:rsidR="002327F8" w:rsidRPr="005959F9">
        <w:rPr>
          <w:rFonts w:ascii="Arial" w:hAnsi="Arial" w:cs="Arial"/>
          <w:sz w:val="20"/>
          <w:szCs w:val="20"/>
          <w:highlight w:val="white"/>
          <w:lang w:eastAsia="en-AU"/>
        </w:rPr>
        <w:t>.</w:t>
      </w:r>
      <w:r w:rsidRPr="005959F9">
        <w:rPr>
          <w:rFonts w:ascii="Arial" w:hAnsi="Arial" w:cs="Arial"/>
          <w:sz w:val="20"/>
          <w:szCs w:val="20"/>
          <w:highlight w:val="white"/>
          <w:lang w:eastAsia="en-AU"/>
        </w:rPr>
        <w:t xml:space="preserve"> </w:t>
      </w:r>
      <w:r w:rsidR="00AA3F14" w:rsidRPr="005959F9">
        <w:rPr>
          <w:rFonts w:ascii="Arial" w:hAnsi="Arial" w:cs="Arial"/>
          <w:sz w:val="20"/>
          <w:szCs w:val="20"/>
          <w:highlight w:val="white"/>
          <w:lang w:eastAsia="en-AU"/>
        </w:rPr>
        <w:t>For instance</w:t>
      </w:r>
      <w:r w:rsidRPr="005959F9">
        <w:rPr>
          <w:rFonts w:ascii="Arial" w:hAnsi="Arial" w:cs="Arial"/>
          <w:sz w:val="20"/>
          <w:szCs w:val="20"/>
          <w:highlight w:val="white"/>
          <w:lang w:eastAsia="en-AU"/>
        </w:rPr>
        <w:t xml:space="preserve"> a ‘public transport levy’ would be inequitable</w:t>
      </w:r>
      <w:r w:rsidR="002327F8" w:rsidRPr="005959F9">
        <w:rPr>
          <w:rFonts w:ascii="Arial" w:hAnsi="Arial" w:cs="Arial"/>
          <w:sz w:val="20"/>
          <w:szCs w:val="20"/>
          <w:highlight w:val="white"/>
          <w:lang w:eastAsia="en-AU"/>
        </w:rPr>
        <w:t>,</w:t>
      </w:r>
      <w:r w:rsidRPr="005959F9">
        <w:rPr>
          <w:rFonts w:ascii="Arial" w:hAnsi="Arial" w:cs="Arial"/>
          <w:sz w:val="20"/>
          <w:szCs w:val="20"/>
          <w:highlight w:val="white"/>
          <w:lang w:eastAsia="en-AU"/>
        </w:rPr>
        <w:t xml:space="preserve"> as</w:t>
      </w:r>
      <w:r w:rsidR="00AA3F14" w:rsidRPr="005959F9">
        <w:rPr>
          <w:rFonts w:ascii="Arial" w:hAnsi="Arial" w:cs="Arial"/>
          <w:sz w:val="20"/>
          <w:szCs w:val="20"/>
          <w:highlight w:val="white"/>
          <w:lang w:eastAsia="en-AU"/>
        </w:rPr>
        <w:t xml:space="preserve"> the</w:t>
      </w:r>
      <w:r w:rsidRPr="005959F9">
        <w:rPr>
          <w:rFonts w:ascii="Arial" w:hAnsi="Arial" w:cs="Arial"/>
          <w:sz w:val="20"/>
          <w:szCs w:val="20"/>
          <w:highlight w:val="white"/>
          <w:lang w:eastAsia="en-AU"/>
        </w:rPr>
        <w:t xml:space="preserve"> Australian public transport </w:t>
      </w:r>
      <w:r w:rsidR="00AA3F14" w:rsidRPr="005959F9">
        <w:rPr>
          <w:rFonts w:ascii="Arial" w:hAnsi="Arial" w:cs="Arial"/>
          <w:sz w:val="20"/>
          <w:szCs w:val="20"/>
          <w:highlight w:val="white"/>
          <w:lang w:eastAsia="en-AU"/>
        </w:rPr>
        <w:t xml:space="preserve">systems in most cities </w:t>
      </w:r>
      <w:r w:rsidR="00C86566">
        <w:rPr>
          <w:rFonts w:ascii="Arial" w:hAnsi="Arial" w:cs="Arial"/>
          <w:sz w:val="20"/>
          <w:szCs w:val="20"/>
          <w:highlight w:val="white"/>
          <w:lang w:eastAsia="en-AU"/>
        </w:rPr>
        <w:t>are</w:t>
      </w:r>
      <w:r w:rsidR="00AA3F14" w:rsidRPr="005959F9">
        <w:rPr>
          <w:rFonts w:ascii="Arial" w:hAnsi="Arial" w:cs="Arial"/>
          <w:sz w:val="20"/>
          <w:szCs w:val="20"/>
          <w:highlight w:val="white"/>
          <w:lang w:eastAsia="en-AU"/>
        </w:rPr>
        <w:t xml:space="preserve"> not a viable option compared to driving</w:t>
      </w:r>
      <w:r w:rsidRPr="005959F9">
        <w:rPr>
          <w:rFonts w:ascii="Arial" w:hAnsi="Arial" w:cs="Arial"/>
          <w:sz w:val="20"/>
          <w:szCs w:val="20"/>
          <w:highlight w:val="white"/>
          <w:lang w:eastAsia="en-AU"/>
        </w:rPr>
        <w:t xml:space="preserve">. The heavy vehicle industry should not have to pay a public transport levy. Similarly, rural voters should not pay for public transport services in Sydney and </w:t>
      </w:r>
      <w:r w:rsidR="002327F8" w:rsidRPr="005959F9">
        <w:rPr>
          <w:rFonts w:ascii="Arial" w:hAnsi="Arial" w:cs="Arial"/>
          <w:sz w:val="20"/>
          <w:szCs w:val="20"/>
          <w:highlight w:val="white"/>
          <w:lang w:eastAsia="en-AU"/>
        </w:rPr>
        <w:t>similar urban and suburban environs</w:t>
      </w:r>
      <w:r w:rsidRPr="005959F9">
        <w:rPr>
          <w:rFonts w:ascii="Arial" w:hAnsi="Arial" w:cs="Arial"/>
          <w:sz w:val="20"/>
          <w:szCs w:val="20"/>
          <w:highlight w:val="white"/>
          <w:lang w:eastAsia="en-AU"/>
        </w:rPr>
        <w:t xml:space="preserve">. </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 xml:space="preserve">Fair access prices and private investment for infrastructure needs to be considered. While private provision is becoming a popular option overseas and starting to </w:t>
      </w:r>
      <w:r w:rsidR="002327F8" w:rsidRPr="005959F9">
        <w:rPr>
          <w:rFonts w:ascii="Arial" w:hAnsi="Arial" w:cs="Arial"/>
          <w:sz w:val="20"/>
          <w:szCs w:val="20"/>
          <w:highlight w:val="white"/>
          <w:lang w:eastAsia="en-AU"/>
        </w:rPr>
        <w:t xml:space="preserve">appear </w:t>
      </w:r>
      <w:r w:rsidRPr="005959F9">
        <w:rPr>
          <w:rFonts w:ascii="Arial" w:hAnsi="Arial" w:cs="Arial"/>
          <w:sz w:val="20"/>
          <w:szCs w:val="20"/>
          <w:highlight w:val="white"/>
          <w:lang w:eastAsia="en-AU"/>
        </w:rPr>
        <w:t xml:space="preserve">in Australia, private investment infrastructure costs include a risk premium and will have shareholder interests </w:t>
      </w:r>
      <w:r w:rsidR="002327F8" w:rsidRPr="005959F9">
        <w:rPr>
          <w:rFonts w:ascii="Arial" w:hAnsi="Arial" w:cs="Arial"/>
          <w:sz w:val="20"/>
          <w:szCs w:val="20"/>
          <w:highlight w:val="white"/>
          <w:lang w:eastAsia="en-AU"/>
        </w:rPr>
        <w:t>at their core</w:t>
      </w:r>
      <w:r w:rsidR="00AA3F14" w:rsidRPr="005959F9">
        <w:rPr>
          <w:rFonts w:ascii="Arial" w:hAnsi="Arial" w:cs="Arial"/>
          <w:sz w:val="20"/>
          <w:szCs w:val="20"/>
          <w:highlight w:val="white"/>
          <w:lang w:eastAsia="en-AU"/>
        </w:rPr>
        <w:t>.</w:t>
      </w:r>
      <w:r w:rsidRPr="005959F9">
        <w:rPr>
          <w:rFonts w:ascii="Arial" w:hAnsi="Arial" w:cs="Arial"/>
          <w:sz w:val="20"/>
          <w:szCs w:val="20"/>
          <w:highlight w:val="white"/>
          <w:lang w:eastAsia="en-AU"/>
        </w:rPr>
        <w:t xml:space="preserve"> </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NSW has had previous experience with public private partnerships (PPP). NSW Treasury has strict guidelines on PPP procurement and investment decisions</w:t>
      </w:r>
      <w:r w:rsidRPr="005959F9">
        <w:rPr>
          <w:rStyle w:val="FootnoteReference"/>
          <w:rFonts w:ascii="Arial" w:hAnsi="Arial" w:cs="Arial"/>
          <w:sz w:val="20"/>
          <w:szCs w:val="20"/>
        </w:rPr>
        <w:footnoteReference w:id="4"/>
      </w:r>
      <w:r w:rsidRPr="005959F9">
        <w:rPr>
          <w:rFonts w:ascii="Arial" w:hAnsi="Arial" w:cs="Arial"/>
          <w:sz w:val="20"/>
          <w:szCs w:val="20"/>
        </w:rPr>
        <w:t xml:space="preserve">, </w:t>
      </w:r>
      <w:r w:rsidRPr="005959F9">
        <w:rPr>
          <w:rFonts w:ascii="Arial" w:hAnsi="Arial" w:cs="Arial"/>
          <w:sz w:val="20"/>
          <w:szCs w:val="20"/>
          <w:highlight w:val="white"/>
          <w:lang w:eastAsia="en-AU"/>
        </w:rPr>
        <w:t xml:space="preserve">which are continuing to be altered as PPP projects are carried out. An evaluation of PPP arrangements noted that public trust of PPP projects improves with a high level of transparency of contracts. </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 xml:space="preserve">However, many believe toll roads and other </w:t>
      </w:r>
      <w:r w:rsidR="002327F8" w:rsidRPr="005959F9">
        <w:rPr>
          <w:rFonts w:ascii="Arial" w:hAnsi="Arial" w:cs="Arial"/>
          <w:sz w:val="20"/>
          <w:szCs w:val="20"/>
          <w:highlight w:val="white"/>
          <w:lang w:eastAsia="en-AU"/>
        </w:rPr>
        <w:t xml:space="preserve">such </w:t>
      </w:r>
      <w:r w:rsidRPr="005959F9">
        <w:rPr>
          <w:rFonts w:ascii="Arial" w:hAnsi="Arial" w:cs="Arial"/>
          <w:sz w:val="20"/>
          <w:szCs w:val="20"/>
          <w:highlight w:val="white"/>
          <w:lang w:eastAsia="en-AU"/>
        </w:rPr>
        <w:t xml:space="preserve">projects have failed to show the benefits of using PPP investment in public road infrastructure. The effects of the GFC and other economic shocks present challenges to the availability of private investment funding. </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 xml:space="preserve">The </w:t>
      </w:r>
      <w:r w:rsidR="009E5E25" w:rsidRPr="005959F9">
        <w:rPr>
          <w:rFonts w:ascii="Arial" w:hAnsi="Arial" w:cs="Arial"/>
          <w:sz w:val="20"/>
          <w:szCs w:val="20"/>
          <w:highlight w:val="white"/>
          <w:lang w:eastAsia="en-AU"/>
        </w:rPr>
        <w:t>T</w:t>
      </w:r>
      <w:r w:rsidRPr="005959F9">
        <w:rPr>
          <w:rFonts w:ascii="Arial" w:hAnsi="Arial" w:cs="Arial"/>
          <w:sz w:val="20"/>
          <w:szCs w:val="20"/>
          <w:highlight w:val="white"/>
          <w:lang w:eastAsia="en-AU"/>
        </w:rPr>
        <w:t xml:space="preserve">reasury notes that the NSW government should adhere to some important principles when examining alternative funding modes: </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3340FB" w:rsidRDefault="00A45F83" w:rsidP="001025C9">
      <w:pPr>
        <w:pStyle w:val="ListParagraph"/>
        <w:numPr>
          <w:ilvl w:val="0"/>
          <w:numId w:val="25"/>
        </w:numPr>
        <w:autoSpaceDE w:val="0"/>
        <w:autoSpaceDN w:val="0"/>
        <w:adjustRightInd w:val="0"/>
        <w:spacing w:after="60"/>
        <w:jc w:val="both"/>
        <w:rPr>
          <w:rFonts w:ascii="Arial" w:hAnsi="Arial" w:cs="Arial"/>
          <w:color w:val="000000"/>
          <w:sz w:val="20"/>
          <w:szCs w:val="20"/>
          <w:highlight w:val="white"/>
          <w:lang w:eastAsia="en-AU"/>
        </w:rPr>
      </w:pPr>
      <w:r w:rsidRPr="005959F9">
        <w:rPr>
          <w:rFonts w:ascii="Arial" w:hAnsi="Arial" w:cs="Arial"/>
          <w:color w:val="000000"/>
          <w:sz w:val="20"/>
          <w:szCs w:val="20"/>
          <w:highlight w:val="white"/>
          <w:lang w:eastAsia="en-AU"/>
        </w:rPr>
        <w:t>the primary consideration is that any future asset acquisition and financing arrangements are to be managed in terms of efficient service delivery, rather than to generate rates of retu</w:t>
      </w:r>
      <w:r w:rsidR="009E5E25" w:rsidRPr="005959F9">
        <w:rPr>
          <w:rFonts w:ascii="Arial" w:hAnsi="Arial" w:cs="Arial"/>
          <w:color w:val="000000"/>
          <w:sz w:val="20"/>
          <w:szCs w:val="20"/>
          <w:highlight w:val="white"/>
          <w:lang w:eastAsia="en-AU"/>
        </w:rPr>
        <w:t xml:space="preserve">rn for private sector investors and, </w:t>
      </w:r>
    </w:p>
    <w:p w:rsidR="003340FB" w:rsidRDefault="00A45F83" w:rsidP="001025C9">
      <w:pPr>
        <w:pStyle w:val="ListParagraph"/>
        <w:numPr>
          <w:ilvl w:val="0"/>
          <w:numId w:val="25"/>
        </w:numPr>
        <w:autoSpaceDE w:val="0"/>
        <w:autoSpaceDN w:val="0"/>
        <w:adjustRightInd w:val="0"/>
        <w:spacing w:after="60"/>
        <w:jc w:val="both"/>
        <w:rPr>
          <w:rFonts w:ascii="Arial" w:hAnsi="Arial" w:cs="Arial"/>
          <w:color w:val="000000"/>
          <w:sz w:val="20"/>
          <w:szCs w:val="20"/>
          <w:highlight w:val="white"/>
          <w:lang w:eastAsia="en-AU"/>
        </w:rPr>
      </w:pPr>
      <w:proofErr w:type="gramStart"/>
      <w:r w:rsidRPr="005959F9">
        <w:rPr>
          <w:rFonts w:ascii="Arial" w:hAnsi="Arial" w:cs="Arial"/>
          <w:color w:val="000000"/>
          <w:sz w:val="20"/>
          <w:szCs w:val="20"/>
          <w:highlight w:val="white"/>
          <w:lang w:eastAsia="en-AU"/>
        </w:rPr>
        <w:t>the</w:t>
      </w:r>
      <w:proofErr w:type="gramEnd"/>
      <w:r w:rsidRPr="005959F9">
        <w:rPr>
          <w:rFonts w:ascii="Arial" w:hAnsi="Arial" w:cs="Arial"/>
          <w:color w:val="000000"/>
          <w:sz w:val="20"/>
          <w:szCs w:val="20"/>
          <w:highlight w:val="white"/>
          <w:lang w:eastAsia="en-AU"/>
        </w:rPr>
        <w:t xml:space="preserve"> challenge is to design mechanisms to encourage long term investment in public assets that can provide the required services that are value for money. </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A45F83" w:rsidRPr="005959F9" w:rsidRDefault="00243126"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ATA NSW</w:t>
      </w:r>
      <w:r w:rsidR="00A45F83" w:rsidRPr="005959F9">
        <w:rPr>
          <w:rFonts w:ascii="Arial" w:hAnsi="Arial" w:cs="Arial"/>
          <w:sz w:val="20"/>
          <w:szCs w:val="20"/>
          <w:highlight w:val="white"/>
          <w:lang w:eastAsia="en-AU"/>
        </w:rPr>
        <w:t xml:space="preserve"> strongly supports the points noted above when </w:t>
      </w:r>
      <w:r w:rsidR="002327F8" w:rsidRPr="005959F9">
        <w:rPr>
          <w:rFonts w:ascii="Arial" w:hAnsi="Arial" w:cs="Arial"/>
          <w:sz w:val="20"/>
          <w:szCs w:val="20"/>
          <w:highlight w:val="white"/>
          <w:lang w:eastAsia="en-AU"/>
        </w:rPr>
        <w:t>discussing</w:t>
      </w:r>
      <w:r w:rsidR="00A45F83" w:rsidRPr="005959F9">
        <w:rPr>
          <w:rFonts w:ascii="Arial" w:hAnsi="Arial" w:cs="Arial"/>
          <w:sz w:val="20"/>
          <w:szCs w:val="20"/>
          <w:highlight w:val="white"/>
          <w:lang w:eastAsia="en-AU"/>
        </w:rPr>
        <w:t xml:space="preserve"> any funding model for public infrastructure. </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 xml:space="preserve">The problem road </w:t>
      </w:r>
      <w:proofErr w:type="gramStart"/>
      <w:r w:rsidRPr="005959F9">
        <w:rPr>
          <w:rFonts w:ascii="Arial" w:hAnsi="Arial" w:cs="Arial"/>
          <w:sz w:val="20"/>
          <w:szCs w:val="20"/>
          <w:highlight w:val="white"/>
          <w:lang w:eastAsia="en-AU"/>
        </w:rPr>
        <w:t>users</w:t>
      </w:r>
      <w:proofErr w:type="gramEnd"/>
      <w:r w:rsidRPr="005959F9">
        <w:rPr>
          <w:rFonts w:ascii="Arial" w:hAnsi="Arial" w:cs="Arial"/>
          <w:sz w:val="20"/>
          <w:szCs w:val="20"/>
          <w:highlight w:val="white"/>
          <w:lang w:eastAsia="en-AU"/>
        </w:rPr>
        <w:t xml:space="preserve"> encounter is that roads are built (in many cases) to </w:t>
      </w:r>
      <w:r w:rsidR="002327F8" w:rsidRPr="005959F9">
        <w:rPr>
          <w:rFonts w:ascii="Arial" w:hAnsi="Arial" w:cs="Arial"/>
          <w:sz w:val="20"/>
          <w:szCs w:val="20"/>
          <w:highlight w:val="white"/>
          <w:lang w:eastAsia="en-AU"/>
        </w:rPr>
        <w:t xml:space="preserve">the </w:t>
      </w:r>
      <w:r w:rsidRPr="005959F9">
        <w:rPr>
          <w:rFonts w:ascii="Arial" w:hAnsi="Arial" w:cs="Arial"/>
          <w:sz w:val="20"/>
          <w:szCs w:val="20"/>
          <w:highlight w:val="white"/>
          <w:lang w:eastAsia="en-AU"/>
        </w:rPr>
        <w:t>low</w:t>
      </w:r>
      <w:r w:rsidR="002327F8" w:rsidRPr="005959F9">
        <w:rPr>
          <w:rFonts w:ascii="Arial" w:hAnsi="Arial" w:cs="Arial"/>
          <w:sz w:val="20"/>
          <w:szCs w:val="20"/>
          <w:highlight w:val="white"/>
          <w:lang w:eastAsia="en-AU"/>
        </w:rPr>
        <w:t>est</w:t>
      </w:r>
      <w:r w:rsidRPr="005959F9">
        <w:rPr>
          <w:rFonts w:ascii="Arial" w:hAnsi="Arial" w:cs="Arial"/>
          <w:sz w:val="20"/>
          <w:szCs w:val="20"/>
          <w:highlight w:val="white"/>
          <w:lang w:eastAsia="en-AU"/>
        </w:rPr>
        <w:t xml:space="preserve"> capital cost, however, this means maintenance costs are higher over the asset life. PPP projects have an incentive to provide infrastructure at a higher capital cost but with a lower maintenance cost over the lifetime of the asset. Changing the impetus of road agencies to provide high quality infrastructure with low marginal costs to maintain would provide a superior infrastructure network.   </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PPP investment does not solve the pervading CSO issue with providing non-commercial roads, as the return</w:t>
      </w:r>
      <w:r w:rsidR="002819AA" w:rsidRPr="005959F9">
        <w:rPr>
          <w:rFonts w:ascii="Arial" w:hAnsi="Arial" w:cs="Arial"/>
          <w:sz w:val="20"/>
          <w:szCs w:val="20"/>
          <w:highlight w:val="white"/>
          <w:lang w:eastAsia="en-AU"/>
        </w:rPr>
        <w:t>s</w:t>
      </w:r>
      <w:r w:rsidRPr="005959F9">
        <w:rPr>
          <w:rFonts w:ascii="Arial" w:hAnsi="Arial" w:cs="Arial"/>
          <w:sz w:val="20"/>
          <w:szCs w:val="20"/>
          <w:highlight w:val="white"/>
          <w:lang w:eastAsia="en-AU"/>
        </w:rPr>
        <w:t xml:space="preserve"> on a rural and regional road</w:t>
      </w:r>
      <w:r w:rsidR="009E5E25" w:rsidRPr="005959F9">
        <w:rPr>
          <w:rFonts w:ascii="Arial" w:hAnsi="Arial" w:cs="Arial"/>
          <w:sz w:val="20"/>
          <w:szCs w:val="20"/>
          <w:highlight w:val="white"/>
          <w:lang w:eastAsia="en-AU"/>
        </w:rPr>
        <w:t xml:space="preserve">s are </w:t>
      </w:r>
      <w:r w:rsidRPr="005959F9">
        <w:rPr>
          <w:rFonts w:ascii="Arial" w:hAnsi="Arial" w:cs="Arial"/>
          <w:sz w:val="20"/>
          <w:szCs w:val="20"/>
          <w:highlight w:val="white"/>
          <w:lang w:eastAsia="en-AU"/>
        </w:rPr>
        <w:t xml:space="preserve">unattractive. </w:t>
      </w:r>
      <w:r w:rsidR="002327F8" w:rsidRPr="005959F9">
        <w:rPr>
          <w:rFonts w:ascii="Arial" w:hAnsi="Arial" w:cs="Arial"/>
          <w:sz w:val="20"/>
          <w:szCs w:val="20"/>
          <w:highlight w:val="white"/>
          <w:lang w:eastAsia="en-AU"/>
        </w:rPr>
        <w:t xml:space="preserve">Therefore, </w:t>
      </w:r>
      <w:r w:rsidRPr="005959F9">
        <w:rPr>
          <w:rFonts w:ascii="Arial" w:hAnsi="Arial" w:cs="Arial"/>
          <w:sz w:val="20"/>
          <w:szCs w:val="20"/>
          <w:highlight w:val="white"/>
          <w:lang w:eastAsia="en-AU"/>
        </w:rPr>
        <w:t>PPP investment is likely to provide help in arterial and freeways</w:t>
      </w:r>
      <w:r w:rsidR="002327F8" w:rsidRPr="005959F9">
        <w:rPr>
          <w:rFonts w:ascii="Arial" w:hAnsi="Arial" w:cs="Arial"/>
          <w:sz w:val="20"/>
          <w:szCs w:val="20"/>
          <w:highlight w:val="white"/>
          <w:lang w:eastAsia="en-AU"/>
        </w:rPr>
        <w:t>,</w:t>
      </w:r>
      <w:r w:rsidRPr="005959F9">
        <w:rPr>
          <w:rFonts w:ascii="Arial" w:hAnsi="Arial" w:cs="Arial"/>
          <w:sz w:val="20"/>
          <w:szCs w:val="20"/>
          <w:highlight w:val="white"/>
          <w:lang w:eastAsia="en-AU"/>
        </w:rPr>
        <w:t xml:space="preserve"> but will not solve provision and maintenance of CSO applicable roads. CSO roads </w:t>
      </w:r>
      <w:r w:rsidR="002819AA" w:rsidRPr="005959F9">
        <w:rPr>
          <w:rFonts w:ascii="Arial" w:hAnsi="Arial" w:cs="Arial"/>
          <w:sz w:val="20"/>
          <w:szCs w:val="20"/>
          <w:highlight w:val="white"/>
          <w:lang w:eastAsia="en-AU"/>
        </w:rPr>
        <w:t>form</w:t>
      </w:r>
      <w:r w:rsidRPr="005959F9">
        <w:rPr>
          <w:rFonts w:ascii="Arial" w:hAnsi="Arial" w:cs="Arial"/>
          <w:sz w:val="20"/>
          <w:szCs w:val="20"/>
          <w:highlight w:val="white"/>
          <w:lang w:eastAsia="en-AU"/>
        </w:rPr>
        <w:t xml:space="preserve"> the majority of </w:t>
      </w:r>
      <w:r w:rsidR="002819AA" w:rsidRPr="005959F9">
        <w:rPr>
          <w:rFonts w:ascii="Arial" w:hAnsi="Arial" w:cs="Arial"/>
          <w:sz w:val="20"/>
          <w:szCs w:val="20"/>
          <w:highlight w:val="white"/>
          <w:lang w:eastAsia="en-AU"/>
        </w:rPr>
        <w:t>NSW</w:t>
      </w:r>
      <w:r w:rsidR="002327F8" w:rsidRPr="005959F9">
        <w:rPr>
          <w:rFonts w:ascii="Arial" w:hAnsi="Arial" w:cs="Arial"/>
          <w:sz w:val="20"/>
          <w:szCs w:val="20"/>
          <w:highlight w:val="white"/>
          <w:lang w:eastAsia="en-AU"/>
        </w:rPr>
        <w:t xml:space="preserve"> </w:t>
      </w:r>
      <w:r w:rsidRPr="005959F9">
        <w:rPr>
          <w:rFonts w:ascii="Arial" w:hAnsi="Arial" w:cs="Arial"/>
          <w:sz w:val="20"/>
          <w:szCs w:val="20"/>
          <w:highlight w:val="white"/>
          <w:lang w:eastAsia="en-AU"/>
        </w:rPr>
        <w:t xml:space="preserve">roads. </w:t>
      </w:r>
    </w:p>
    <w:p w:rsidR="00A45F83" w:rsidRPr="005959F9" w:rsidRDefault="00A45F83" w:rsidP="001025C9">
      <w:pPr>
        <w:pStyle w:val="RecommendationStyle"/>
        <w:jc w:val="both"/>
      </w:pPr>
      <w:bookmarkStart w:id="110" w:name="_Toc348509195"/>
      <w:bookmarkStart w:id="111" w:name="_Toc348510864"/>
      <w:bookmarkStart w:id="112" w:name="_Toc348511263"/>
      <w:bookmarkStart w:id="113" w:name="_Toc348704616"/>
      <w:bookmarkStart w:id="114" w:name="_Toc348706889"/>
      <w:bookmarkStart w:id="115" w:name="_Toc349034212"/>
      <w:bookmarkStart w:id="116" w:name="_Toc349034479"/>
      <w:bookmarkStart w:id="117" w:name="_Toc349037928"/>
      <w:bookmarkStart w:id="118" w:name="_Toc349123825"/>
      <w:bookmarkEnd w:id="110"/>
      <w:bookmarkEnd w:id="111"/>
      <w:bookmarkEnd w:id="112"/>
      <w:bookmarkEnd w:id="113"/>
      <w:bookmarkEnd w:id="114"/>
      <w:bookmarkEnd w:id="115"/>
      <w:bookmarkEnd w:id="116"/>
      <w:bookmarkEnd w:id="117"/>
      <w:bookmarkEnd w:id="118"/>
    </w:p>
    <w:p w:rsidR="00A45F83" w:rsidRPr="005959F9" w:rsidRDefault="004533ED" w:rsidP="001025C9">
      <w:pPr>
        <w:pStyle w:val="RecommendationStyle"/>
        <w:numPr>
          <w:ilvl w:val="0"/>
          <w:numId w:val="0"/>
        </w:numPr>
        <w:jc w:val="both"/>
        <w:rPr>
          <w:i w:val="0"/>
        </w:rPr>
      </w:pPr>
      <w:bookmarkStart w:id="119" w:name="_Toc348509196"/>
      <w:bookmarkStart w:id="120" w:name="_Toc348510865"/>
      <w:bookmarkStart w:id="121" w:name="_Toc348511264"/>
      <w:bookmarkStart w:id="122" w:name="_Toc348704617"/>
      <w:bookmarkStart w:id="123" w:name="_Toc348706890"/>
      <w:bookmarkStart w:id="124" w:name="_Toc349034213"/>
      <w:bookmarkStart w:id="125" w:name="_Toc349034480"/>
      <w:bookmarkStart w:id="126" w:name="_Toc349037929"/>
      <w:bookmarkStart w:id="127" w:name="_Toc349123826"/>
      <w:r w:rsidRPr="005959F9">
        <w:rPr>
          <w:i w:val="0"/>
        </w:rPr>
        <w:t>Treasury guidelines on privately financed project principles should be adhered to by NSW.</w:t>
      </w:r>
      <w:bookmarkEnd w:id="119"/>
      <w:bookmarkEnd w:id="120"/>
      <w:bookmarkEnd w:id="121"/>
      <w:bookmarkEnd w:id="122"/>
      <w:bookmarkEnd w:id="123"/>
      <w:bookmarkEnd w:id="124"/>
      <w:bookmarkEnd w:id="125"/>
      <w:bookmarkEnd w:id="126"/>
      <w:bookmarkEnd w:id="127"/>
      <w:r w:rsidRPr="005959F9">
        <w:rPr>
          <w:i w:val="0"/>
        </w:rPr>
        <w:t xml:space="preserve"> </w:t>
      </w:r>
    </w:p>
    <w:p w:rsidR="00662536" w:rsidRDefault="00662536" w:rsidP="001025C9">
      <w:pPr>
        <w:autoSpaceDE w:val="0"/>
        <w:autoSpaceDN w:val="0"/>
        <w:adjustRightInd w:val="0"/>
        <w:jc w:val="both"/>
        <w:rPr>
          <w:rFonts w:ascii="Arial" w:hAnsi="Arial" w:cs="Arial"/>
          <w:b/>
          <w:sz w:val="20"/>
          <w:szCs w:val="20"/>
          <w:highlight w:val="white"/>
          <w:lang w:eastAsia="en-AU"/>
        </w:rPr>
      </w:pPr>
    </w:p>
    <w:p w:rsidR="001025C9" w:rsidRPr="005959F9" w:rsidRDefault="001025C9" w:rsidP="001025C9">
      <w:pPr>
        <w:autoSpaceDE w:val="0"/>
        <w:autoSpaceDN w:val="0"/>
        <w:adjustRightInd w:val="0"/>
        <w:jc w:val="both"/>
        <w:rPr>
          <w:rFonts w:ascii="Arial" w:hAnsi="Arial" w:cs="Arial"/>
          <w:b/>
          <w:sz w:val="20"/>
          <w:szCs w:val="20"/>
          <w:highlight w:val="white"/>
          <w:lang w:eastAsia="en-AU"/>
        </w:rPr>
      </w:pPr>
    </w:p>
    <w:p w:rsidR="00A45F83" w:rsidRPr="005959F9" w:rsidRDefault="00A45F83" w:rsidP="001025C9">
      <w:pPr>
        <w:pStyle w:val="ATAHeading2"/>
        <w:numPr>
          <w:ilvl w:val="1"/>
          <w:numId w:val="13"/>
        </w:numPr>
        <w:jc w:val="both"/>
        <w:rPr>
          <w:bCs/>
        </w:rPr>
      </w:pPr>
      <w:bookmarkStart w:id="128" w:name="_Toc348450025"/>
      <w:bookmarkStart w:id="129" w:name="_Toc349125091"/>
      <w:r w:rsidRPr="005959F9">
        <w:rPr>
          <w:bCs/>
        </w:rPr>
        <w:t>Providing pricing signals to road users by time of day, distance and type of road</w:t>
      </w:r>
      <w:bookmarkEnd w:id="128"/>
      <w:bookmarkEnd w:id="129"/>
    </w:p>
    <w:p w:rsidR="00A45F83" w:rsidRPr="005959F9" w:rsidRDefault="00D31DFE"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rPr>
        <w:t xml:space="preserve">There is a push to transfer freight movements to non-peak periods. The trucking industry already does this where possible to avoid congestion. Further, delivering freight in the middle of the night might be ideal, but </w:t>
      </w:r>
      <w:proofErr w:type="gramStart"/>
      <w:r w:rsidRPr="005959F9">
        <w:rPr>
          <w:rFonts w:ascii="Arial" w:hAnsi="Arial" w:cs="Arial"/>
          <w:sz w:val="20"/>
          <w:szCs w:val="20"/>
        </w:rPr>
        <w:t>delivery</w:t>
      </w:r>
      <w:proofErr w:type="gramEnd"/>
      <w:r w:rsidRPr="005959F9">
        <w:rPr>
          <w:rFonts w:ascii="Arial" w:hAnsi="Arial" w:cs="Arial"/>
          <w:sz w:val="20"/>
          <w:szCs w:val="20"/>
        </w:rPr>
        <w:t xml:space="preserve"> points a</w:t>
      </w:r>
      <w:r w:rsidR="008E55FF" w:rsidRPr="005959F9">
        <w:rPr>
          <w:rFonts w:ascii="Arial" w:hAnsi="Arial" w:cs="Arial"/>
          <w:sz w:val="20"/>
          <w:szCs w:val="20"/>
        </w:rPr>
        <w:t>re not open or do not work 24 hours</w:t>
      </w:r>
      <w:r w:rsidRPr="005959F9">
        <w:rPr>
          <w:rFonts w:ascii="Arial" w:hAnsi="Arial" w:cs="Arial"/>
          <w:sz w:val="20"/>
          <w:szCs w:val="20"/>
        </w:rPr>
        <w:t xml:space="preserve"> a day.</w:t>
      </w:r>
      <w:r w:rsidR="00A45F83" w:rsidRPr="005959F9">
        <w:rPr>
          <w:rFonts w:ascii="Arial" w:hAnsi="Arial" w:cs="Arial"/>
          <w:sz w:val="20"/>
          <w:szCs w:val="20"/>
          <w:highlight w:val="white"/>
          <w:lang w:eastAsia="en-AU"/>
        </w:rPr>
        <w:t xml:space="preserve">  </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A45F83" w:rsidRPr="005959F9" w:rsidRDefault="0013765E"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 xml:space="preserve">This option </w:t>
      </w:r>
      <w:r w:rsidR="00A45F83" w:rsidRPr="005959F9">
        <w:rPr>
          <w:rFonts w:ascii="Arial" w:hAnsi="Arial" w:cs="Arial"/>
          <w:sz w:val="20"/>
          <w:szCs w:val="20"/>
          <w:highlight w:val="white"/>
          <w:lang w:eastAsia="en-AU"/>
        </w:rPr>
        <w:t xml:space="preserve">involves road agencies being able to have </w:t>
      </w:r>
      <w:r w:rsidRPr="005959F9">
        <w:rPr>
          <w:rFonts w:ascii="Arial" w:hAnsi="Arial" w:cs="Arial"/>
          <w:sz w:val="20"/>
          <w:szCs w:val="20"/>
          <w:highlight w:val="white"/>
          <w:lang w:eastAsia="en-AU"/>
        </w:rPr>
        <w:t xml:space="preserve">an </w:t>
      </w:r>
      <w:r w:rsidR="00A45F83" w:rsidRPr="005959F9">
        <w:rPr>
          <w:rFonts w:ascii="Arial" w:hAnsi="Arial" w:cs="Arial"/>
          <w:sz w:val="20"/>
          <w:szCs w:val="20"/>
          <w:highlight w:val="white"/>
          <w:lang w:eastAsia="en-AU"/>
        </w:rPr>
        <w:t>accurate price per unit cost for users.</w:t>
      </w:r>
      <w:r w:rsidR="00A45F83" w:rsidRPr="005959F9">
        <w:rPr>
          <w:rFonts w:ascii="Arial" w:hAnsi="Arial" w:cs="Arial"/>
          <w:color w:val="000000"/>
          <w:sz w:val="20"/>
          <w:szCs w:val="20"/>
          <w:highlight w:val="white"/>
          <w:lang w:eastAsia="en-AU"/>
        </w:rPr>
        <w:t xml:space="preserve"> </w:t>
      </w:r>
      <w:r w:rsidR="00A45F83" w:rsidRPr="005959F9">
        <w:rPr>
          <w:rFonts w:ascii="Arial" w:hAnsi="Arial" w:cs="Arial"/>
          <w:sz w:val="20"/>
          <w:szCs w:val="20"/>
          <w:highlight w:val="white"/>
          <w:lang w:eastAsia="en-AU"/>
        </w:rPr>
        <w:t xml:space="preserve">Pricing signals for road use are not straight forward. Implying that people will be able to make rational decisions based on having perfect information of the cost and opportunity cost of choosing a road over another for a whole network would be a great leap for both consumers and suppliers of road infrastructure. </w:t>
      </w:r>
    </w:p>
    <w:p w:rsidR="00A45F83" w:rsidRDefault="00A45F83" w:rsidP="001025C9">
      <w:pPr>
        <w:autoSpaceDE w:val="0"/>
        <w:autoSpaceDN w:val="0"/>
        <w:adjustRightInd w:val="0"/>
        <w:jc w:val="both"/>
        <w:rPr>
          <w:rFonts w:ascii="Arial" w:hAnsi="Arial" w:cs="Arial"/>
          <w:sz w:val="20"/>
          <w:szCs w:val="20"/>
          <w:highlight w:val="white"/>
          <w:lang w:eastAsia="en-AU"/>
        </w:rPr>
      </w:pPr>
    </w:p>
    <w:p w:rsidR="001025C9" w:rsidRPr="005959F9" w:rsidRDefault="001025C9"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jc w:val="both"/>
        <w:rPr>
          <w:rFonts w:ascii="Arial" w:hAnsi="Arial" w:cs="Arial"/>
          <w:sz w:val="20"/>
          <w:szCs w:val="20"/>
          <w:lang w:eastAsia="en-AU"/>
        </w:rPr>
      </w:pPr>
      <w:r w:rsidRPr="005959F9">
        <w:rPr>
          <w:rFonts w:ascii="Arial" w:hAnsi="Arial" w:cs="Arial"/>
          <w:sz w:val="20"/>
          <w:szCs w:val="20"/>
          <w:highlight w:val="white"/>
          <w:lang w:eastAsia="en-AU"/>
        </w:rPr>
        <w:lastRenderedPageBreak/>
        <w:t>Concerns are raised over the ability of road agencies to price infrastructure</w:t>
      </w:r>
      <w:r w:rsidR="00D31DFE" w:rsidRPr="005959F9">
        <w:rPr>
          <w:rFonts w:ascii="Arial" w:hAnsi="Arial" w:cs="Arial"/>
          <w:sz w:val="20"/>
          <w:szCs w:val="20"/>
          <w:highlight w:val="white"/>
          <w:lang w:eastAsia="en-AU"/>
        </w:rPr>
        <w:t xml:space="preserve"> access</w:t>
      </w:r>
      <w:r w:rsidRPr="005959F9">
        <w:rPr>
          <w:rFonts w:ascii="Arial" w:hAnsi="Arial" w:cs="Arial"/>
          <w:sz w:val="20"/>
          <w:szCs w:val="20"/>
          <w:highlight w:val="white"/>
          <w:lang w:eastAsia="en-AU"/>
        </w:rPr>
        <w:t xml:space="preserve"> correctly</w:t>
      </w:r>
      <w:r w:rsidR="00D31DFE" w:rsidRPr="005959F9">
        <w:rPr>
          <w:rFonts w:ascii="Arial" w:hAnsi="Arial" w:cs="Arial"/>
          <w:sz w:val="20"/>
          <w:szCs w:val="20"/>
          <w:lang w:eastAsia="en-AU"/>
        </w:rPr>
        <w:t xml:space="preserve"> and fairly</w:t>
      </w:r>
      <w:r w:rsidRPr="005959F9">
        <w:rPr>
          <w:rFonts w:ascii="Arial" w:hAnsi="Arial" w:cs="Arial"/>
          <w:sz w:val="20"/>
          <w:szCs w:val="20"/>
          <w:highlight w:val="white"/>
          <w:lang w:eastAsia="en-AU"/>
        </w:rPr>
        <w:t xml:space="preserve">. Calculating the cost </w:t>
      </w:r>
      <w:r w:rsidR="003F1027" w:rsidRPr="005959F9">
        <w:rPr>
          <w:rFonts w:ascii="Arial" w:hAnsi="Arial" w:cs="Arial"/>
          <w:sz w:val="20"/>
          <w:szCs w:val="20"/>
          <w:highlight w:val="white"/>
          <w:lang w:eastAsia="en-AU"/>
        </w:rPr>
        <w:t xml:space="preserve">of </w:t>
      </w:r>
      <w:r w:rsidRPr="005959F9">
        <w:rPr>
          <w:rFonts w:ascii="Arial" w:hAnsi="Arial" w:cs="Arial"/>
          <w:sz w:val="20"/>
          <w:szCs w:val="20"/>
          <w:highlight w:val="white"/>
          <w:lang w:eastAsia="en-AU"/>
        </w:rPr>
        <w:t>a project is a complex task</w:t>
      </w:r>
      <w:r w:rsidR="003F1027" w:rsidRPr="005959F9">
        <w:rPr>
          <w:rFonts w:ascii="Arial" w:hAnsi="Arial" w:cs="Arial"/>
          <w:sz w:val="20"/>
          <w:szCs w:val="20"/>
          <w:highlight w:val="white"/>
          <w:lang w:eastAsia="en-AU"/>
        </w:rPr>
        <w:t>;</w:t>
      </w:r>
      <w:r w:rsidRPr="005959F9">
        <w:rPr>
          <w:rFonts w:ascii="Arial" w:hAnsi="Arial" w:cs="Arial"/>
          <w:sz w:val="20"/>
          <w:szCs w:val="20"/>
          <w:highlight w:val="white"/>
          <w:lang w:eastAsia="en-AU"/>
        </w:rPr>
        <w:t xml:space="preserve"> determining the projected </w:t>
      </w:r>
      <w:r w:rsidR="00D31DFE" w:rsidRPr="005959F9">
        <w:rPr>
          <w:rFonts w:ascii="Arial" w:hAnsi="Arial" w:cs="Arial"/>
          <w:sz w:val="20"/>
          <w:szCs w:val="20"/>
          <w:highlight w:val="white"/>
          <w:lang w:eastAsia="en-AU"/>
        </w:rPr>
        <w:t xml:space="preserve">future </w:t>
      </w:r>
      <w:r w:rsidRPr="005959F9">
        <w:rPr>
          <w:rFonts w:ascii="Arial" w:hAnsi="Arial" w:cs="Arial"/>
          <w:sz w:val="20"/>
          <w:szCs w:val="20"/>
          <w:highlight w:val="white"/>
          <w:lang w:eastAsia="en-AU"/>
        </w:rPr>
        <w:t xml:space="preserve">demand and </w:t>
      </w:r>
      <w:proofErr w:type="gramStart"/>
      <w:r w:rsidRPr="005959F9">
        <w:rPr>
          <w:rFonts w:ascii="Arial" w:hAnsi="Arial" w:cs="Arial"/>
          <w:sz w:val="20"/>
          <w:szCs w:val="20"/>
          <w:highlight w:val="white"/>
          <w:lang w:eastAsia="en-AU"/>
        </w:rPr>
        <w:t>a per</w:t>
      </w:r>
      <w:proofErr w:type="gramEnd"/>
      <w:r w:rsidRPr="005959F9">
        <w:rPr>
          <w:rFonts w:ascii="Arial" w:hAnsi="Arial" w:cs="Arial"/>
          <w:sz w:val="20"/>
          <w:szCs w:val="20"/>
          <w:highlight w:val="white"/>
          <w:lang w:eastAsia="en-AU"/>
        </w:rPr>
        <w:t xml:space="preserve"> user unit cost adds a sophistication well above the current complexity. This kind of management would involve high level education about prices and making sure that those prices do not have perverse outcomes.</w:t>
      </w:r>
      <w:r w:rsidR="0013765E" w:rsidRPr="005959F9">
        <w:rPr>
          <w:rFonts w:ascii="Arial" w:hAnsi="Arial" w:cs="Arial"/>
          <w:sz w:val="20"/>
          <w:szCs w:val="20"/>
          <w:lang w:eastAsia="en-AU"/>
        </w:rPr>
        <w:t xml:space="preserve"> Challenges regarding</w:t>
      </w:r>
      <w:r w:rsidRPr="005959F9">
        <w:rPr>
          <w:rFonts w:ascii="Arial" w:hAnsi="Arial" w:cs="Arial"/>
          <w:sz w:val="20"/>
          <w:szCs w:val="20"/>
          <w:lang w:eastAsia="en-AU"/>
        </w:rPr>
        <w:t xml:space="preserve"> who bares the future risk are also present. </w:t>
      </w:r>
    </w:p>
    <w:p w:rsidR="00A45F83" w:rsidRPr="005959F9" w:rsidRDefault="00A45F83" w:rsidP="001025C9">
      <w:pPr>
        <w:jc w:val="both"/>
        <w:rPr>
          <w:rFonts w:ascii="Arial" w:hAnsi="Arial" w:cs="Arial"/>
          <w:sz w:val="20"/>
          <w:szCs w:val="20"/>
          <w:lang w:eastAsia="en-AU"/>
        </w:rPr>
      </w:pPr>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 xml:space="preserve">In the heavy vehicle context there are limited opportunities for more efficient use of the road network due to the constrained choice of routes. </w:t>
      </w:r>
      <w:r w:rsidR="003F1027" w:rsidRPr="005959F9">
        <w:rPr>
          <w:rFonts w:ascii="Arial" w:hAnsi="Arial" w:cs="Arial"/>
          <w:sz w:val="20"/>
          <w:szCs w:val="20"/>
          <w:highlight w:val="white"/>
          <w:lang w:eastAsia="en-AU"/>
        </w:rPr>
        <w:t xml:space="preserve">HVCI research shows the likelihood of </w:t>
      </w:r>
      <w:r w:rsidR="0013765E" w:rsidRPr="005959F9">
        <w:rPr>
          <w:rFonts w:ascii="Arial" w:hAnsi="Arial" w:cs="Arial"/>
          <w:sz w:val="20"/>
          <w:szCs w:val="20"/>
          <w:highlight w:val="white"/>
          <w:lang w:eastAsia="en-AU"/>
        </w:rPr>
        <w:t>b</w:t>
      </w:r>
      <w:r w:rsidRPr="005959F9">
        <w:rPr>
          <w:rFonts w:ascii="Arial" w:hAnsi="Arial" w:cs="Arial"/>
          <w:sz w:val="20"/>
          <w:szCs w:val="20"/>
          <w:highlight w:val="white"/>
          <w:lang w:eastAsia="en-AU"/>
        </w:rPr>
        <w:t xml:space="preserve">ehavioural changes in the industry </w:t>
      </w:r>
      <w:r w:rsidR="003F1027" w:rsidRPr="005959F9">
        <w:rPr>
          <w:rFonts w:ascii="Arial" w:hAnsi="Arial" w:cs="Arial"/>
          <w:sz w:val="20"/>
          <w:szCs w:val="20"/>
          <w:highlight w:val="white"/>
          <w:lang w:eastAsia="en-AU"/>
        </w:rPr>
        <w:t>based on time</w:t>
      </w:r>
      <w:r w:rsidR="0013765E" w:rsidRPr="005959F9">
        <w:rPr>
          <w:rFonts w:ascii="Arial" w:hAnsi="Arial" w:cs="Arial"/>
          <w:sz w:val="20"/>
          <w:szCs w:val="20"/>
          <w:highlight w:val="white"/>
          <w:lang w:eastAsia="en-AU"/>
        </w:rPr>
        <w:t>-</w:t>
      </w:r>
      <w:r w:rsidR="003F1027" w:rsidRPr="005959F9">
        <w:rPr>
          <w:rFonts w:ascii="Arial" w:hAnsi="Arial" w:cs="Arial"/>
          <w:sz w:val="20"/>
          <w:szCs w:val="20"/>
          <w:highlight w:val="white"/>
          <w:lang w:eastAsia="en-AU"/>
        </w:rPr>
        <w:t>of</w:t>
      </w:r>
      <w:r w:rsidR="0013765E" w:rsidRPr="005959F9">
        <w:rPr>
          <w:rFonts w:ascii="Arial" w:hAnsi="Arial" w:cs="Arial"/>
          <w:sz w:val="20"/>
          <w:szCs w:val="20"/>
          <w:highlight w:val="white"/>
          <w:lang w:eastAsia="en-AU"/>
        </w:rPr>
        <w:t>-</w:t>
      </w:r>
      <w:r w:rsidR="003F1027" w:rsidRPr="005959F9">
        <w:rPr>
          <w:rFonts w:ascii="Arial" w:hAnsi="Arial" w:cs="Arial"/>
          <w:sz w:val="20"/>
          <w:szCs w:val="20"/>
          <w:highlight w:val="white"/>
          <w:lang w:eastAsia="en-AU"/>
        </w:rPr>
        <w:t xml:space="preserve">day pricing </w:t>
      </w:r>
      <w:r w:rsidR="00D31DFE" w:rsidRPr="005959F9">
        <w:rPr>
          <w:rFonts w:ascii="Arial" w:hAnsi="Arial" w:cs="Arial"/>
          <w:sz w:val="20"/>
          <w:szCs w:val="20"/>
          <w:highlight w:val="white"/>
          <w:lang w:eastAsia="en-AU"/>
        </w:rPr>
        <w:t>are very</w:t>
      </w:r>
      <w:r w:rsidRPr="005959F9">
        <w:rPr>
          <w:rFonts w:ascii="Arial" w:hAnsi="Arial" w:cs="Arial"/>
          <w:sz w:val="20"/>
          <w:szCs w:val="20"/>
          <w:highlight w:val="white"/>
          <w:lang w:eastAsia="en-AU"/>
        </w:rPr>
        <w:t xml:space="preserve"> small. </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Freight travel on freeways and arterial roads is nearly 3 times less responsive to changes in heavy vehicle charges than travel on local roads</w:t>
      </w:r>
      <w:r w:rsidR="00B55023" w:rsidRPr="005959F9">
        <w:rPr>
          <w:rFonts w:ascii="Arial" w:hAnsi="Arial" w:cs="Arial"/>
          <w:sz w:val="20"/>
          <w:szCs w:val="20"/>
          <w:highlight w:val="white"/>
          <w:vertAlign w:val="superscript"/>
          <w:lang w:eastAsia="en-AU"/>
        </w:rPr>
        <w:footnoteReference w:id="5"/>
      </w:r>
      <w:r w:rsidRPr="005959F9">
        <w:rPr>
          <w:rFonts w:ascii="Arial" w:hAnsi="Arial" w:cs="Arial"/>
          <w:sz w:val="20"/>
          <w:szCs w:val="20"/>
          <w:highlight w:val="white"/>
          <w:lang w:eastAsia="en-AU"/>
        </w:rPr>
        <w:t xml:space="preserve">. </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A45F83" w:rsidRPr="005959F9" w:rsidRDefault="003C0A77"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C</w:t>
      </w:r>
      <w:r w:rsidR="00A45F83" w:rsidRPr="005959F9">
        <w:rPr>
          <w:rFonts w:ascii="Arial" w:hAnsi="Arial" w:cs="Arial"/>
          <w:sz w:val="20"/>
          <w:szCs w:val="20"/>
          <w:highlight w:val="white"/>
          <w:lang w:eastAsia="en-AU"/>
        </w:rPr>
        <w:t>hanging driver and operator behaviour is limited to how flexible Australian roads are to the demands made o</w:t>
      </w:r>
      <w:r w:rsidR="00ED582F" w:rsidRPr="005959F9">
        <w:rPr>
          <w:rFonts w:ascii="Arial" w:hAnsi="Arial" w:cs="Arial"/>
          <w:sz w:val="20"/>
          <w:szCs w:val="20"/>
          <w:highlight w:val="white"/>
          <w:lang w:eastAsia="en-AU"/>
        </w:rPr>
        <w:t>n</w:t>
      </w:r>
      <w:r w:rsidR="00A45F83" w:rsidRPr="005959F9">
        <w:rPr>
          <w:rFonts w:ascii="Arial" w:hAnsi="Arial" w:cs="Arial"/>
          <w:sz w:val="20"/>
          <w:szCs w:val="20"/>
          <w:highlight w:val="white"/>
          <w:lang w:eastAsia="en-AU"/>
        </w:rPr>
        <w:t xml:space="preserve"> the heavy vehicle industry. When origins and destinations are fixed, there is little scope for route changing. At best only 11%-25% of roads in Australia are available for route changing</w:t>
      </w:r>
      <w:r w:rsidR="00B55023" w:rsidRPr="005959F9">
        <w:rPr>
          <w:rFonts w:ascii="Arial" w:hAnsi="Arial" w:cs="Arial"/>
          <w:sz w:val="20"/>
          <w:szCs w:val="20"/>
          <w:highlight w:val="white"/>
          <w:vertAlign w:val="superscript"/>
          <w:lang w:eastAsia="en-AU"/>
        </w:rPr>
        <w:footnoteReference w:id="6"/>
      </w:r>
      <w:r w:rsidR="00A45F83" w:rsidRPr="005959F9">
        <w:rPr>
          <w:rFonts w:ascii="Arial" w:hAnsi="Arial" w:cs="Arial"/>
          <w:sz w:val="20"/>
          <w:szCs w:val="20"/>
          <w:highlight w:val="white"/>
          <w:lang w:eastAsia="en-AU"/>
        </w:rPr>
        <w:t xml:space="preserve">. </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Freeway travel is especially less responsive to changes in heavy vehicle charges compared to local roads. There are no alternative routes in the majority of cases</w:t>
      </w:r>
      <w:r w:rsidR="005959F9" w:rsidRPr="005959F9">
        <w:rPr>
          <w:rFonts w:ascii="Arial" w:hAnsi="Arial" w:cs="Arial"/>
          <w:sz w:val="20"/>
          <w:szCs w:val="20"/>
          <w:highlight w:val="white"/>
          <w:lang w:eastAsia="en-AU"/>
        </w:rPr>
        <w:t>, so</w:t>
      </w:r>
      <w:r w:rsidRPr="005959F9">
        <w:rPr>
          <w:rFonts w:ascii="Arial" w:hAnsi="Arial" w:cs="Arial"/>
          <w:sz w:val="20"/>
          <w:szCs w:val="20"/>
          <w:highlight w:val="white"/>
          <w:lang w:eastAsia="en-AU"/>
        </w:rPr>
        <w:t xml:space="preserve"> behaviour </w:t>
      </w:r>
      <w:r w:rsidR="00ED582F" w:rsidRPr="005959F9">
        <w:rPr>
          <w:rFonts w:ascii="Arial" w:hAnsi="Arial" w:cs="Arial"/>
          <w:sz w:val="20"/>
          <w:szCs w:val="20"/>
          <w:highlight w:val="white"/>
          <w:lang w:eastAsia="en-AU"/>
        </w:rPr>
        <w:t xml:space="preserve">is </w:t>
      </w:r>
      <w:r w:rsidRPr="005959F9">
        <w:rPr>
          <w:rFonts w:ascii="Arial" w:hAnsi="Arial" w:cs="Arial"/>
          <w:sz w:val="20"/>
          <w:szCs w:val="20"/>
          <w:highlight w:val="white"/>
          <w:lang w:eastAsia="en-AU"/>
        </w:rPr>
        <w:t xml:space="preserve">not </w:t>
      </w:r>
      <w:r w:rsidR="00ED582F" w:rsidRPr="005959F9">
        <w:rPr>
          <w:rFonts w:ascii="Arial" w:hAnsi="Arial" w:cs="Arial"/>
          <w:sz w:val="20"/>
          <w:szCs w:val="20"/>
          <w:highlight w:val="white"/>
          <w:lang w:eastAsia="en-AU"/>
        </w:rPr>
        <w:t xml:space="preserve">able to </w:t>
      </w:r>
      <w:r w:rsidRPr="005959F9">
        <w:rPr>
          <w:rFonts w:ascii="Arial" w:hAnsi="Arial" w:cs="Arial"/>
          <w:sz w:val="20"/>
          <w:szCs w:val="20"/>
          <w:highlight w:val="white"/>
          <w:lang w:eastAsia="en-AU"/>
        </w:rPr>
        <w:t xml:space="preserve">change </w:t>
      </w:r>
      <w:r w:rsidR="00ED582F" w:rsidRPr="005959F9">
        <w:rPr>
          <w:rFonts w:ascii="Arial" w:hAnsi="Arial" w:cs="Arial"/>
          <w:sz w:val="20"/>
          <w:szCs w:val="20"/>
          <w:highlight w:val="white"/>
          <w:lang w:eastAsia="en-AU"/>
        </w:rPr>
        <w:t xml:space="preserve">even if it </w:t>
      </w:r>
      <w:r w:rsidR="005959F9" w:rsidRPr="005959F9">
        <w:rPr>
          <w:rFonts w:ascii="Arial" w:hAnsi="Arial" w:cs="Arial"/>
          <w:sz w:val="20"/>
          <w:szCs w:val="20"/>
          <w:highlight w:val="white"/>
          <w:lang w:eastAsia="en-AU"/>
        </w:rPr>
        <w:t>desired</w:t>
      </w:r>
      <w:r w:rsidR="00ED582F" w:rsidRPr="005959F9">
        <w:rPr>
          <w:rFonts w:ascii="Arial" w:hAnsi="Arial" w:cs="Arial"/>
          <w:sz w:val="20"/>
          <w:szCs w:val="20"/>
          <w:highlight w:val="white"/>
          <w:lang w:eastAsia="en-AU"/>
        </w:rPr>
        <w:t xml:space="preserve">, </w:t>
      </w:r>
      <w:r w:rsidRPr="005959F9">
        <w:rPr>
          <w:rFonts w:ascii="Arial" w:hAnsi="Arial" w:cs="Arial"/>
          <w:sz w:val="20"/>
          <w:szCs w:val="20"/>
          <w:highlight w:val="white"/>
          <w:lang w:eastAsia="en-AU"/>
        </w:rPr>
        <w:t>and so the benefits (from reduced wear costs) of direct pricing on those roads are smal</w:t>
      </w:r>
      <w:r w:rsidR="00B55023" w:rsidRPr="005959F9">
        <w:rPr>
          <w:rFonts w:ascii="Arial" w:hAnsi="Arial" w:cs="Arial"/>
          <w:sz w:val="20"/>
          <w:szCs w:val="20"/>
          <w:highlight w:val="white"/>
          <w:lang w:eastAsia="en-AU"/>
        </w:rPr>
        <w:t>l</w:t>
      </w:r>
      <w:r w:rsidR="00B55023" w:rsidRPr="005959F9">
        <w:rPr>
          <w:rFonts w:ascii="Arial" w:hAnsi="Arial" w:cs="Arial"/>
          <w:sz w:val="20"/>
          <w:szCs w:val="20"/>
          <w:highlight w:val="white"/>
          <w:vertAlign w:val="superscript"/>
          <w:lang w:eastAsia="en-AU"/>
        </w:rPr>
        <w:footnoteReference w:id="7"/>
      </w:r>
      <w:r w:rsidR="00B55023" w:rsidRPr="005959F9">
        <w:rPr>
          <w:rFonts w:ascii="Arial" w:hAnsi="Arial" w:cs="Arial"/>
          <w:sz w:val="20"/>
          <w:szCs w:val="20"/>
          <w:highlight w:val="white"/>
          <w:lang w:eastAsia="en-AU"/>
        </w:rPr>
        <w:t xml:space="preserve"> </w:t>
      </w:r>
      <w:r w:rsidRPr="005959F9">
        <w:rPr>
          <w:rFonts w:ascii="Arial" w:hAnsi="Arial" w:cs="Arial"/>
          <w:sz w:val="20"/>
          <w:szCs w:val="20"/>
          <w:highlight w:val="white"/>
          <w:lang w:eastAsia="en-AU"/>
        </w:rPr>
        <w:t xml:space="preserve">. </w:t>
      </w:r>
    </w:p>
    <w:p w:rsidR="00693D92" w:rsidRPr="005959F9" w:rsidRDefault="00693D92" w:rsidP="001025C9">
      <w:pPr>
        <w:autoSpaceDE w:val="0"/>
        <w:autoSpaceDN w:val="0"/>
        <w:adjustRightInd w:val="0"/>
        <w:jc w:val="both"/>
        <w:rPr>
          <w:rFonts w:ascii="Arial" w:hAnsi="Arial" w:cs="Arial"/>
          <w:sz w:val="20"/>
          <w:szCs w:val="20"/>
          <w:highlight w:val="white"/>
          <w:lang w:eastAsia="en-AU"/>
        </w:rPr>
      </w:pPr>
    </w:p>
    <w:p w:rsidR="00693D92" w:rsidRPr="005959F9" w:rsidRDefault="00693D92"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Additionally, curfews on heavy vehicle</w:t>
      </w:r>
      <w:r w:rsidR="00797654" w:rsidRPr="005959F9">
        <w:rPr>
          <w:rFonts w:ascii="Arial" w:hAnsi="Arial" w:cs="Arial"/>
          <w:sz w:val="20"/>
          <w:szCs w:val="20"/>
          <w:highlight w:val="white"/>
          <w:lang w:eastAsia="en-AU"/>
        </w:rPr>
        <w:t xml:space="preserve"> movements at night limit flexibility of </w:t>
      </w:r>
      <w:r w:rsidRPr="005959F9">
        <w:rPr>
          <w:rFonts w:ascii="Arial" w:hAnsi="Arial" w:cs="Arial"/>
          <w:sz w:val="20"/>
          <w:szCs w:val="20"/>
          <w:highlight w:val="white"/>
          <w:lang w:eastAsia="en-AU"/>
        </w:rPr>
        <w:t xml:space="preserve">delivery </w:t>
      </w:r>
      <w:r w:rsidR="00797654" w:rsidRPr="005959F9">
        <w:rPr>
          <w:rFonts w:ascii="Arial" w:hAnsi="Arial" w:cs="Arial"/>
          <w:sz w:val="20"/>
          <w:szCs w:val="20"/>
          <w:highlight w:val="white"/>
          <w:lang w:eastAsia="en-AU"/>
        </w:rPr>
        <w:t xml:space="preserve">times. Therefore, proposing Ramsey road access pricing on heavy vehicles based on time of day movements is not acceptable given the constrained choice of delivery times. </w:t>
      </w:r>
    </w:p>
    <w:p w:rsidR="00D31DFE" w:rsidRPr="005959F9" w:rsidRDefault="00D31DFE" w:rsidP="001025C9">
      <w:pPr>
        <w:autoSpaceDE w:val="0"/>
        <w:autoSpaceDN w:val="0"/>
        <w:adjustRightInd w:val="0"/>
        <w:jc w:val="both"/>
        <w:rPr>
          <w:rFonts w:ascii="Arial" w:hAnsi="Arial" w:cs="Arial"/>
          <w:sz w:val="20"/>
          <w:szCs w:val="20"/>
          <w:highlight w:val="white"/>
          <w:lang w:eastAsia="en-AU"/>
        </w:rPr>
      </w:pPr>
    </w:p>
    <w:p w:rsidR="00D4403D" w:rsidRPr="005959F9" w:rsidRDefault="00D31DFE"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 xml:space="preserve">The findings </w:t>
      </w:r>
      <w:r w:rsidR="005959F9" w:rsidRPr="005959F9">
        <w:rPr>
          <w:rFonts w:ascii="Arial" w:hAnsi="Arial" w:cs="Arial"/>
          <w:sz w:val="20"/>
          <w:szCs w:val="20"/>
          <w:highlight w:val="white"/>
          <w:lang w:eastAsia="en-AU"/>
        </w:rPr>
        <w:t xml:space="preserve">above </w:t>
      </w:r>
      <w:r w:rsidRPr="005959F9">
        <w:rPr>
          <w:rFonts w:ascii="Arial" w:hAnsi="Arial" w:cs="Arial"/>
          <w:sz w:val="20"/>
          <w:szCs w:val="20"/>
          <w:highlight w:val="white"/>
          <w:lang w:eastAsia="en-AU"/>
        </w:rPr>
        <w:t xml:space="preserve">indicate operators select the most fuel efficient route based on route availability. </w:t>
      </w:r>
    </w:p>
    <w:p w:rsidR="00797654" w:rsidRPr="005959F9" w:rsidRDefault="00797654" w:rsidP="001025C9">
      <w:pPr>
        <w:pStyle w:val="RecommendationStyle"/>
        <w:jc w:val="both"/>
      </w:pPr>
      <w:bookmarkStart w:id="130" w:name="_Toc348510866"/>
      <w:bookmarkStart w:id="131" w:name="_Toc348511265"/>
      <w:bookmarkStart w:id="132" w:name="_Toc348704618"/>
      <w:bookmarkStart w:id="133" w:name="_Toc348706891"/>
      <w:bookmarkStart w:id="134" w:name="_Toc349034214"/>
      <w:bookmarkStart w:id="135" w:name="_Toc349034481"/>
      <w:bookmarkStart w:id="136" w:name="_Toc349037930"/>
      <w:bookmarkStart w:id="137" w:name="_Toc349123827"/>
      <w:bookmarkEnd w:id="130"/>
      <w:bookmarkEnd w:id="131"/>
      <w:bookmarkEnd w:id="132"/>
      <w:bookmarkEnd w:id="133"/>
      <w:bookmarkEnd w:id="134"/>
      <w:bookmarkEnd w:id="135"/>
      <w:bookmarkEnd w:id="136"/>
      <w:bookmarkEnd w:id="137"/>
    </w:p>
    <w:p w:rsidR="00693D92" w:rsidRPr="005959F9" w:rsidRDefault="004533ED" w:rsidP="001025C9">
      <w:pPr>
        <w:pStyle w:val="RecommendationStyle"/>
        <w:numPr>
          <w:ilvl w:val="0"/>
          <w:numId w:val="0"/>
        </w:numPr>
        <w:jc w:val="both"/>
        <w:rPr>
          <w:i w:val="0"/>
        </w:rPr>
      </w:pPr>
      <w:bookmarkStart w:id="138" w:name="_Toc348510867"/>
      <w:bookmarkStart w:id="139" w:name="_Toc348511266"/>
      <w:bookmarkStart w:id="140" w:name="_Toc348704619"/>
      <w:bookmarkStart w:id="141" w:name="_Toc348706892"/>
      <w:bookmarkStart w:id="142" w:name="_Toc349034215"/>
      <w:bookmarkStart w:id="143" w:name="_Toc349034482"/>
      <w:bookmarkStart w:id="144" w:name="_Toc349037931"/>
      <w:bookmarkStart w:id="145" w:name="_Toc349123828"/>
      <w:r w:rsidRPr="005959F9">
        <w:rPr>
          <w:i w:val="0"/>
        </w:rPr>
        <w:t>Legitimate reasons why time of day, distance and type of road charging are necessary above the current road arrangements need to be presented.</w:t>
      </w:r>
      <w:bookmarkEnd w:id="138"/>
      <w:bookmarkEnd w:id="139"/>
      <w:bookmarkEnd w:id="140"/>
      <w:bookmarkEnd w:id="141"/>
      <w:bookmarkEnd w:id="142"/>
      <w:bookmarkEnd w:id="143"/>
      <w:bookmarkEnd w:id="144"/>
      <w:bookmarkEnd w:id="145"/>
      <w:r w:rsidRPr="005959F9">
        <w:rPr>
          <w:i w:val="0"/>
        </w:rPr>
        <w:t xml:space="preserve"> </w:t>
      </w:r>
    </w:p>
    <w:p w:rsidR="00693D92" w:rsidRPr="005959F9" w:rsidRDefault="00693D92" w:rsidP="001025C9">
      <w:pPr>
        <w:pStyle w:val="RecommendationStyle"/>
        <w:jc w:val="both"/>
      </w:pPr>
      <w:bookmarkStart w:id="146" w:name="_Toc348510868"/>
      <w:bookmarkStart w:id="147" w:name="_Toc348511267"/>
      <w:bookmarkStart w:id="148" w:name="_Toc348704620"/>
      <w:bookmarkStart w:id="149" w:name="_Toc348706893"/>
      <w:bookmarkStart w:id="150" w:name="_Toc349034216"/>
      <w:bookmarkStart w:id="151" w:name="_Toc349034483"/>
      <w:bookmarkStart w:id="152" w:name="_Toc349037932"/>
      <w:bookmarkStart w:id="153" w:name="_Toc349123829"/>
      <w:bookmarkEnd w:id="146"/>
      <w:bookmarkEnd w:id="147"/>
      <w:bookmarkEnd w:id="148"/>
      <w:bookmarkEnd w:id="149"/>
      <w:bookmarkEnd w:id="150"/>
      <w:bookmarkEnd w:id="151"/>
      <w:bookmarkEnd w:id="152"/>
      <w:bookmarkEnd w:id="153"/>
    </w:p>
    <w:p w:rsidR="00846097" w:rsidRPr="005959F9" w:rsidRDefault="004533ED" w:rsidP="001025C9">
      <w:pPr>
        <w:pStyle w:val="RecommendationStyle"/>
        <w:numPr>
          <w:ilvl w:val="0"/>
          <w:numId w:val="0"/>
        </w:numPr>
        <w:jc w:val="both"/>
        <w:rPr>
          <w:i w:val="0"/>
        </w:rPr>
      </w:pPr>
      <w:bookmarkStart w:id="154" w:name="_Toc348510869"/>
      <w:bookmarkStart w:id="155" w:name="_Toc348511268"/>
      <w:bookmarkStart w:id="156" w:name="_Toc348704621"/>
      <w:bookmarkStart w:id="157" w:name="_Toc348706894"/>
      <w:bookmarkStart w:id="158" w:name="_Toc349034217"/>
      <w:bookmarkStart w:id="159" w:name="_Toc349034484"/>
      <w:bookmarkStart w:id="160" w:name="_Toc349037933"/>
      <w:bookmarkStart w:id="161" w:name="_Toc349123830"/>
      <w:r w:rsidRPr="005959F9">
        <w:rPr>
          <w:i w:val="0"/>
        </w:rPr>
        <w:t xml:space="preserve">If </w:t>
      </w:r>
      <w:r w:rsidR="00ED06E4" w:rsidRPr="005959F9">
        <w:rPr>
          <w:i w:val="0"/>
        </w:rPr>
        <w:t>times of day access prices are</w:t>
      </w:r>
      <w:r w:rsidRPr="005959F9">
        <w:rPr>
          <w:i w:val="0"/>
        </w:rPr>
        <w:t xml:space="preserve"> to be proposed, accurate costs must be presented to road users.</w:t>
      </w:r>
      <w:bookmarkEnd w:id="154"/>
      <w:bookmarkEnd w:id="155"/>
      <w:bookmarkEnd w:id="156"/>
      <w:bookmarkEnd w:id="157"/>
      <w:bookmarkEnd w:id="158"/>
      <w:bookmarkEnd w:id="159"/>
      <w:bookmarkEnd w:id="160"/>
      <w:bookmarkEnd w:id="161"/>
      <w:r w:rsidRPr="005959F9">
        <w:rPr>
          <w:i w:val="0"/>
        </w:rPr>
        <w:t xml:space="preserve"> </w:t>
      </w:r>
    </w:p>
    <w:p w:rsidR="00693D92" w:rsidRPr="005959F9" w:rsidRDefault="00693D92" w:rsidP="001025C9">
      <w:pPr>
        <w:pStyle w:val="RecommendationStyle"/>
        <w:jc w:val="both"/>
      </w:pPr>
      <w:bookmarkStart w:id="162" w:name="_Toc348510870"/>
      <w:bookmarkStart w:id="163" w:name="_Toc348511269"/>
      <w:bookmarkStart w:id="164" w:name="_Toc348704622"/>
      <w:bookmarkStart w:id="165" w:name="_Toc348706895"/>
      <w:bookmarkStart w:id="166" w:name="_Toc349034218"/>
      <w:bookmarkStart w:id="167" w:name="_Toc349034485"/>
      <w:bookmarkStart w:id="168" w:name="_Toc349037934"/>
      <w:bookmarkStart w:id="169" w:name="_Toc349123831"/>
      <w:bookmarkEnd w:id="162"/>
      <w:bookmarkEnd w:id="163"/>
      <w:bookmarkEnd w:id="164"/>
      <w:bookmarkEnd w:id="165"/>
      <w:bookmarkEnd w:id="166"/>
      <w:bookmarkEnd w:id="167"/>
      <w:bookmarkEnd w:id="168"/>
      <w:bookmarkEnd w:id="169"/>
    </w:p>
    <w:p w:rsidR="00693D92" w:rsidRPr="005959F9" w:rsidRDefault="004533ED" w:rsidP="001025C9">
      <w:pPr>
        <w:pStyle w:val="RecommendationStyle"/>
        <w:numPr>
          <w:ilvl w:val="0"/>
          <w:numId w:val="0"/>
        </w:numPr>
        <w:jc w:val="both"/>
        <w:rPr>
          <w:i w:val="0"/>
        </w:rPr>
      </w:pPr>
      <w:bookmarkStart w:id="170" w:name="_Toc348510871"/>
      <w:bookmarkStart w:id="171" w:name="_Toc348511270"/>
      <w:bookmarkStart w:id="172" w:name="_Toc348704623"/>
      <w:bookmarkStart w:id="173" w:name="_Toc348706896"/>
      <w:bookmarkStart w:id="174" w:name="_Toc349034219"/>
      <w:bookmarkStart w:id="175" w:name="_Toc349034486"/>
      <w:bookmarkStart w:id="176" w:name="_Toc349037935"/>
      <w:bookmarkStart w:id="177" w:name="_Toc349123832"/>
      <w:r w:rsidRPr="005959F9">
        <w:rPr>
          <w:i w:val="0"/>
        </w:rPr>
        <w:t xml:space="preserve">The </w:t>
      </w:r>
      <w:r w:rsidR="003340FB">
        <w:rPr>
          <w:i w:val="0"/>
        </w:rPr>
        <w:t>Committee</w:t>
      </w:r>
      <w:r w:rsidR="00D74FF1">
        <w:rPr>
          <w:i w:val="0"/>
        </w:rPr>
        <w:t xml:space="preserve"> </w:t>
      </w:r>
      <w:r w:rsidR="005A6891">
        <w:rPr>
          <w:i w:val="0"/>
        </w:rPr>
        <w:t>should be</w:t>
      </w:r>
      <w:r w:rsidRPr="005959F9">
        <w:rPr>
          <w:i w:val="0"/>
        </w:rPr>
        <w:t xml:space="preserve"> aware that heavy vehicles have limited choice when it comes to choosing alternative routes, altering time and choosing destination and origin.</w:t>
      </w:r>
      <w:bookmarkEnd w:id="170"/>
      <w:bookmarkEnd w:id="171"/>
      <w:bookmarkEnd w:id="172"/>
      <w:bookmarkEnd w:id="173"/>
      <w:bookmarkEnd w:id="174"/>
      <w:bookmarkEnd w:id="175"/>
      <w:bookmarkEnd w:id="176"/>
      <w:bookmarkEnd w:id="177"/>
      <w:r w:rsidRPr="005959F9">
        <w:rPr>
          <w:i w:val="0"/>
        </w:rPr>
        <w:t xml:space="preserve"> </w:t>
      </w:r>
    </w:p>
    <w:p w:rsidR="00A45F83" w:rsidRPr="005959F9" w:rsidRDefault="00A45F83" w:rsidP="001025C9">
      <w:pPr>
        <w:autoSpaceDE w:val="0"/>
        <w:autoSpaceDN w:val="0"/>
        <w:adjustRightInd w:val="0"/>
        <w:jc w:val="both"/>
        <w:rPr>
          <w:rFonts w:ascii="Arial" w:hAnsi="Arial" w:cs="Arial"/>
          <w:color w:val="000000"/>
          <w:sz w:val="20"/>
          <w:szCs w:val="20"/>
          <w:lang w:eastAsia="en-AU"/>
        </w:rPr>
      </w:pPr>
    </w:p>
    <w:p w:rsidR="00A45F83" w:rsidRPr="005959F9" w:rsidRDefault="00A45F83" w:rsidP="001025C9">
      <w:pPr>
        <w:pStyle w:val="ATAHeading2"/>
        <w:numPr>
          <w:ilvl w:val="1"/>
          <w:numId w:val="13"/>
        </w:numPr>
        <w:jc w:val="both"/>
        <w:rPr>
          <w:bCs/>
        </w:rPr>
      </w:pPr>
      <w:bookmarkStart w:id="178" w:name="_Toc348450026"/>
      <w:bookmarkStart w:id="179" w:name="_Toc349125092"/>
      <w:r w:rsidRPr="005959F9">
        <w:rPr>
          <w:bCs/>
        </w:rPr>
        <w:t>Supply side reform</w:t>
      </w:r>
      <w:bookmarkEnd w:id="178"/>
      <w:bookmarkEnd w:id="179"/>
      <w:r w:rsidRPr="005959F9">
        <w:rPr>
          <w:bCs/>
        </w:rPr>
        <w:t xml:space="preserve"> </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 xml:space="preserve">While this </w:t>
      </w:r>
      <w:r w:rsidR="003340FB">
        <w:rPr>
          <w:rFonts w:ascii="Arial" w:hAnsi="Arial" w:cs="Arial"/>
          <w:sz w:val="20"/>
          <w:szCs w:val="20"/>
          <w:highlight w:val="white"/>
          <w:lang w:eastAsia="en-AU"/>
        </w:rPr>
        <w:t>Committee</w:t>
      </w:r>
      <w:r w:rsidR="00D74FF1">
        <w:rPr>
          <w:rFonts w:ascii="Arial" w:hAnsi="Arial" w:cs="Arial"/>
          <w:sz w:val="20"/>
          <w:szCs w:val="20"/>
          <w:highlight w:val="white"/>
          <w:lang w:eastAsia="en-AU"/>
        </w:rPr>
        <w:t xml:space="preserve"> </w:t>
      </w:r>
      <w:r w:rsidRPr="005959F9">
        <w:rPr>
          <w:rFonts w:ascii="Arial" w:hAnsi="Arial" w:cs="Arial"/>
          <w:sz w:val="20"/>
          <w:szCs w:val="20"/>
          <w:highlight w:val="white"/>
          <w:lang w:eastAsia="en-AU"/>
        </w:rPr>
        <w:t>has been tasked with examining road access pricing, failing to analyse supply side reform of road provision and maintenance would limit the benefits a direct user system could present. The two are intrinsically linked; moving to direct charging or forward looking costs presents a huge challenge for road agencies in terms of making correct decisions, making accurate economic costs for users, an</w:t>
      </w:r>
      <w:r w:rsidR="00ED582F" w:rsidRPr="005959F9">
        <w:rPr>
          <w:rFonts w:ascii="Arial" w:hAnsi="Arial" w:cs="Arial"/>
          <w:sz w:val="20"/>
          <w:szCs w:val="20"/>
          <w:highlight w:val="white"/>
          <w:lang w:eastAsia="en-AU"/>
        </w:rPr>
        <w:t>d</w:t>
      </w:r>
      <w:r w:rsidRPr="005959F9">
        <w:rPr>
          <w:rFonts w:ascii="Arial" w:hAnsi="Arial" w:cs="Arial"/>
          <w:sz w:val="20"/>
          <w:szCs w:val="20"/>
          <w:highlight w:val="white"/>
          <w:lang w:eastAsia="en-AU"/>
        </w:rPr>
        <w:t xml:space="preserve"> improving accountability. </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Small institutional changes can be made now to increase the accountability and transparency of investment decisions. Recommendations made in Infrastructure Australia’s report to COAG would produce a better decision making framework.</w:t>
      </w:r>
      <w:r w:rsidR="005959F9" w:rsidRPr="005959F9">
        <w:rPr>
          <w:rFonts w:ascii="Arial" w:hAnsi="Arial" w:cs="Arial"/>
          <w:sz w:val="20"/>
          <w:szCs w:val="20"/>
          <w:highlight w:val="white"/>
          <w:lang w:eastAsia="en-AU"/>
        </w:rPr>
        <w:t xml:space="preserve"> Currently</w:t>
      </w:r>
      <w:r w:rsidR="00456D91">
        <w:rPr>
          <w:rFonts w:ascii="Arial" w:hAnsi="Arial" w:cs="Arial"/>
          <w:sz w:val="20"/>
          <w:szCs w:val="20"/>
          <w:highlight w:val="white"/>
          <w:lang w:eastAsia="en-AU"/>
        </w:rPr>
        <w:t>,</w:t>
      </w:r>
      <w:r w:rsidR="005959F9" w:rsidRPr="005959F9">
        <w:rPr>
          <w:rFonts w:ascii="Arial" w:hAnsi="Arial" w:cs="Arial"/>
          <w:sz w:val="20"/>
          <w:szCs w:val="20"/>
          <w:highlight w:val="white"/>
          <w:lang w:eastAsia="en-AU"/>
        </w:rPr>
        <w:t xml:space="preserve"> r</w:t>
      </w:r>
      <w:r w:rsidRPr="005959F9">
        <w:rPr>
          <w:rFonts w:ascii="Arial" w:hAnsi="Arial" w:cs="Arial"/>
          <w:sz w:val="20"/>
          <w:szCs w:val="20"/>
          <w:highlight w:val="white"/>
          <w:lang w:eastAsia="en-AU"/>
        </w:rPr>
        <w:t xml:space="preserve">oad managers will </w:t>
      </w:r>
      <w:r w:rsidR="005959F9" w:rsidRPr="005959F9">
        <w:rPr>
          <w:rFonts w:ascii="Arial" w:hAnsi="Arial" w:cs="Arial"/>
          <w:sz w:val="20"/>
          <w:szCs w:val="20"/>
          <w:highlight w:val="white"/>
          <w:lang w:eastAsia="en-AU"/>
        </w:rPr>
        <w:t xml:space="preserve">not </w:t>
      </w:r>
      <w:r w:rsidRPr="005959F9">
        <w:rPr>
          <w:rFonts w:ascii="Arial" w:hAnsi="Arial" w:cs="Arial"/>
          <w:sz w:val="20"/>
          <w:szCs w:val="20"/>
          <w:highlight w:val="white"/>
          <w:lang w:eastAsia="en-AU"/>
        </w:rPr>
        <w:t xml:space="preserve">allow </w:t>
      </w:r>
      <w:r w:rsidR="005959F9" w:rsidRPr="005959F9">
        <w:rPr>
          <w:rFonts w:ascii="Arial" w:hAnsi="Arial" w:cs="Arial"/>
          <w:sz w:val="20"/>
          <w:szCs w:val="20"/>
          <w:highlight w:val="white"/>
          <w:lang w:eastAsia="en-AU"/>
        </w:rPr>
        <w:t xml:space="preserve">an </w:t>
      </w:r>
      <w:r w:rsidRPr="005959F9">
        <w:rPr>
          <w:rFonts w:ascii="Arial" w:hAnsi="Arial" w:cs="Arial"/>
          <w:sz w:val="20"/>
          <w:szCs w:val="20"/>
          <w:highlight w:val="white"/>
          <w:lang w:eastAsia="en-AU"/>
        </w:rPr>
        <w:t xml:space="preserve">external review of access decisions. </w:t>
      </w:r>
      <w:r w:rsidR="00ED582F" w:rsidRPr="005959F9">
        <w:rPr>
          <w:rFonts w:ascii="Arial" w:hAnsi="Arial" w:cs="Arial"/>
          <w:sz w:val="20"/>
          <w:szCs w:val="20"/>
          <w:highlight w:val="white"/>
          <w:lang w:eastAsia="en-AU"/>
        </w:rPr>
        <w:t>Introducing a</w:t>
      </w:r>
      <w:r w:rsidRPr="005959F9">
        <w:rPr>
          <w:rFonts w:ascii="Arial" w:hAnsi="Arial" w:cs="Arial"/>
          <w:sz w:val="20"/>
          <w:szCs w:val="20"/>
          <w:highlight w:val="white"/>
          <w:lang w:eastAsia="en-AU"/>
        </w:rPr>
        <w:t xml:space="preserve"> process proven to improve decision making and accountability </w:t>
      </w:r>
      <w:r w:rsidR="00ED582F" w:rsidRPr="005959F9">
        <w:rPr>
          <w:rFonts w:ascii="Arial" w:hAnsi="Arial" w:cs="Arial"/>
          <w:sz w:val="20"/>
          <w:szCs w:val="20"/>
          <w:highlight w:val="white"/>
          <w:lang w:eastAsia="en-AU"/>
        </w:rPr>
        <w:t xml:space="preserve">would </w:t>
      </w:r>
      <w:r w:rsidRPr="005959F9">
        <w:rPr>
          <w:rFonts w:ascii="Arial" w:hAnsi="Arial" w:cs="Arial"/>
          <w:sz w:val="20"/>
          <w:szCs w:val="20"/>
          <w:highlight w:val="white"/>
          <w:lang w:eastAsia="en-AU"/>
        </w:rPr>
        <w:t xml:space="preserve">lead to more efficient service provision. </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 xml:space="preserve">If the </w:t>
      </w:r>
      <w:r w:rsidR="003340FB">
        <w:rPr>
          <w:rFonts w:ascii="Arial" w:hAnsi="Arial" w:cs="Arial"/>
          <w:sz w:val="20"/>
          <w:szCs w:val="20"/>
          <w:highlight w:val="white"/>
          <w:lang w:eastAsia="en-AU"/>
        </w:rPr>
        <w:t xml:space="preserve">Committee </w:t>
      </w:r>
      <w:r w:rsidRPr="005959F9">
        <w:rPr>
          <w:rFonts w:ascii="Arial" w:hAnsi="Arial" w:cs="Arial"/>
          <w:sz w:val="20"/>
          <w:szCs w:val="20"/>
          <w:highlight w:val="white"/>
          <w:lang w:eastAsia="en-AU"/>
        </w:rPr>
        <w:t xml:space="preserve">is interested in improving productivity, safety and environmental impacts of heavy vehicles in Australia, many gains </w:t>
      </w:r>
      <w:r w:rsidR="005959F9" w:rsidRPr="005959F9">
        <w:rPr>
          <w:rFonts w:ascii="Arial" w:hAnsi="Arial" w:cs="Arial"/>
          <w:sz w:val="20"/>
          <w:szCs w:val="20"/>
          <w:highlight w:val="white"/>
          <w:lang w:eastAsia="en-AU"/>
        </w:rPr>
        <w:t>can be</w:t>
      </w:r>
      <w:r w:rsidRPr="005959F9">
        <w:rPr>
          <w:rFonts w:ascii="Arial" w:hAnsi="Arial" w:cs="Arial"/>
          <w:sz w:val="20"/>
          <w:szCs w:val="20"/>
          <w:highlight w:val="white"/>
          <w:lang w:eastAsia="en-AU"/>
        </w:rPr>
        <w:t xml:space="preserve"> made in supply side reform and addressing road network constraints</w:t>
      </w:r>
      <w:r w:rsidR="00ED582F" w:rsidRPr="005959F9">
        <w:rPr>
          <w:rFonts w:ascii="Arial" w:hAnsi="Arial" w:cs="Arial"/>
          <w:sz w:val="20"/>
          <w:szCs w:val="20"/>
          <w:highlight w:val="white"/>
          <w:lang w:eastAsia="en-AU"/>
        </w:rPr>
        <w:t>.</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1025C9" w:rsidRDefault="001025C9" w:rsidP="001025C9">
      <w:pPr>
        <w:autoSpaceDE w:val="0"/>
        <w:autoSpaceDN w:val="0"/>
        <w:adjustRightInd w:val="0"/>
        <w:jc w:val="both"/>
        <w:rPr>
          <w:rFonts w:ascii="Arial" w:hAnsi="Arial" w:cs="Arial"/>
          <w:sz w:val="20"/>
          <w:szCs w:val="20"/>
          <w:highlight w:val="white"/>
          <w:u w:val="single"/>
          <w:lang w:eastAsia="en-AU"/>
        </w:rPr>
      </w:pPr>
    </w:p>
    <w:p w:rsidR="001025C9" w:rsidRDefault="001025C9" w:rsidP="001025C9">
      <w:pPr>
        <w:autoSpaceDE w:val="0"/>
        <w:autoSpaceDN w:val="0"/>
        <w:adjustRightInd w:val="0"/>
        <w:jc w:val="both"/>
        <w:rPr>
          <w:rFonts w:ascii="Arial" w:hAnsi="Arial" w:cs="Arial"/>
          <w:sz w:val="20"/>
          <w:szCs w:val="20"/>
          <w:highlight w:val="white"/>
          <w:u w:val="single"/>
          <w:lang w:eastAsia="en-AU"/>
        </w:rPr>
      </w:pPr>
    </w:p>
    <w:p w:rsidR="00A45F83" w:rsidRPr="005959F9" w:rsidRDefault="00A45F83" w:rsidP="001025C9">
      <w:pPr>
        <w:autoSpaceDE w:val="0"/>
        <w:autoSpaceDN w:val="0"/>
        <w:adjustRightInd w:val="0"/>
        <w:jc w:val="both"/>
        <w:rPr>
          <w:rFonts w:ascii="Arial" w:hAnsi="Arial" w:cs="Arial"/>
          <w:sz w:val="20"/>
          <w:szCs w:val="20"/>
          <w:highlight w:val="white"/>
          <w:u w:val="single"/>
          <w:lang w:eastAsia="en-AU"/>
        </w:rPr>
      </w:pPr>
      <w:r w:rsidRPr="005959F9">
        <w:rPr>
          <w:rFonts w:ascii="Arial" w:hAnsi="Arial" w:cs="Arial"/>
          <w:sz w:val="20"/>
          <w:szCs w:val="20"/>
          <w:highlight w:val="white"/>
          <w:u w:val="single"/>
          <w:lang w:eastAsia="en-AU"/>
        </w:rPr>
        <w:lastRenderedPageBreak/>
        <w:t>Current constraints on heavy vehicle productivity</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Improving access for high productivity vehicles, solving first and last mile access for freight movemen</w:t>
      </w:r>
      <w:r w:rsidR="005959F9" w:rsidRPr="005959F9">
        <w:rPr>
          <w:rFonts w:ascii="Arial" w:hAnsi="Arial" w:cs="Arial"/>
          <w:sz w:val="20"/>
          <w:szCs w:val="20"/>
          <w:highlight w:val="white"/>
          <w:lang w:eastAsia="en-AU"/>
        </w:rPr>
        <w:t>t and developing decision maker</w:t>
      </w:r>
      <w:r w:rsidRPr="005959F9">
        <w:rPr>
          <w:rFonts w:ascii="Arial" w:hAnsi="Arial" w:cs="Arial"/>
          <w:sz w:val="20"/>
          <w:szCs w:val="20"/>
          <w:highlight w:val="white"/>
          <w:lang w:eastAsia="en-AU"/>
        </w:rPr>
        <w:t>s</w:t>
      </w:r>
      <w:r w:rsidR="005959F9" w:rsidRPr="005959F9">
        <w:rPr>
          <w:rFonts w:ascii="Arial" w:hAnsi="Arial" w:cs="Arial"/>
          <w:sz w:val="20"/>
          <w:szCs w:val="20"/>
          <w:highlight w:val="white"/>
          <w:lang w:eastAsia="en-AU"/>
        </w:rPr>
        <w:t>’</w:t>
      </w:r>
      <w:r w:rsidRPr="005959F9">
        <w:rPr>
          <w:rFonts w:ascii="Arial" w:hAnsi="Arial" w:cs="Arial"/>
          <w:sz w:val="20"/>
          <w:szCs w:val="20"/>
          <w:highlight w:val="white"/>
          <w:lang w:eastAsia="en-AU"/>
        </w:rPr>
        <w:t xml:space="preserve"> education about the impact of heavy vehicles would all produce an increase in productivity and subsequently safety and control environmental emissions from heavy vehicles.  </w:t>
      </w:r>
    </w:p>
    <w:p w:rsidR="00670210" w:rsidRPr="005959F9" w:rsidRDefault="00670210"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Failing to make supply side reforms will have a negative effect on the Australian economy, environment and community. There is a lack of national consistency i</w:t>
      </w:r>
      <w:r w:rsidR="005959F9" w:rsidRPr="005959F9">
        <w:rPr>
          <w:rFonts w:ascii="Arial" w:hAnsi="Arial" w:cs="Arial"/>
          <w:sz w:val="20"/>
          <w:szCs w:val="20"/>
          <w:highlight w:val="white"/>
          <w:lang w:eastAsia="en-AU"/>
        </w:rPr>
        <w:t>n road provider</w:t>
      </w:r>
      <w:r w:rsidRPr="005959F9">
        <w:rPr>
          <w:rFonts w:ascii="Arial" w:hAnsi="Arial" w:cs="Arial"/>
          <w:sz w:val="20"/>
          <w:szCs w:val="20"/>
          <w:highlight w:val="white"/>
          <w:lang w:eastAsia="en-AU"/>
        </w:rPr>
        <w:t xml:space="preserve"> decisions on access. Currently, decisions regarding access for heavy vehicles are not reviewable externally. Road agencies are not held to account for verdicts and do not have to justify their decisions. Using external review of decisions would move agencies toward best practice decision making. </w:t>
      </w:r>
      <w:r w:rsidR="00ED582F" w:rsidRPr="005959F9">
        <w:rPr>
          <w:rFonts w:ascii="Arial" w:hAnsi="Arial" w:cs="Arial"/>
          <w:sz w:val="20"/>
          <w:szCs w:val="20"/>
          <w:highlight w:val="white"/>
          <w:lang w:eastAsia="en-AU"/>
        </w:rPr>
        <w:t>Independent t</w:t>
      </w:r>
      <w:r w:rsidRPr="005959F9">
        <w:rPr>
          <w:rFonts w:ascii="Arial" w:hAnsi="Arial" w:cs="Arial"/>
          <w:sz w:val="20"/>
          <w:szCs w:val="20"/>
          <w:highlight w:val="white"/>
          <w:lang w:eastAsia="en-AU"/>
        </w:rPr>
        <w:t xml:space="preserve">ribunals would give a level of accountability which is </w:t>
      </w:r>
      <w:r w:rsidR="00ED582F" w:rsidRPr="005959F9">
        <w:rPr>
          <w:rFonts w:ascii="Arial" w:hAnsi="Arial" w:cs="Arial"/>
          <w:sz w:val="20"/>
          <w:szCs w:val="20"/>
          <w:highlight w:val="white"/>
          <w:lang w:eastAsia="en-AU"/>
        </w:rPr>
        <w:t xml:space="preserve">currently </w:t>
      </w:r>
      <w:r w:rsidR="005959F9" w:rsidRPr="005959F9">
        <w:rPr>
          <w:rFonts w:ascii="Arial" w:hAnsi="Arial" w:cs="Arial"/>
          <w:sz w:val="20"/>
          <w:szCs w:val="20"/>
          <w:highlight w:val="white"/>
          <w:lang w:eastAsia="en-AU"/>
        </w:rPr>
        <w:t>absent</w:t>
      </w:r>
      <w:r w:rsidRPr="005959F9">
        <w:rPr>
          <w:rFonts w:ascii="Arial" w:hAnsi="Arial" w:cs="Arial"/>
          <w:sz w:val="20"/>
          <w:szCs w:val="20"/>
          <w:highlight w:val="white"/>
          <w:lang w:eastAsia="en-AU"/>
        </w:rPr>
        <w:t xml:space="preserve">. </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 xml:space="preserve">One of </w:t>
      </w:r>
      <w:r w:rsidR="00ED582F" w:rsidRPr="005959F9">
        <w:rPr>
          <w:rFonts w:ascii="Arial" w:hAnsi="Arial" w:cs="Arial"/>
          <w:sz w:val="20"/>
          <w:szCs w:val="20"/>
          <w:highlight w:val="white"/>
          <w:lang w:eastAsia="en-AU"/>
        </w:rPr>
        <w:t xml:space="preserve">the </w:t>
      </w:r>
      <w:r w:rsidRPr="005959F9">
        <w:rPr>
          <w:rFonts w:ascii="Arial" w:hAnsi="Arial" w:cs="Arial"/>
          <w:sz w:val="20"/>
          <w:szCs w:val="20"/>
          <w:highlight w:val="white"/>
          <w:lang w:eastAsia="en-AU"/>
        </w:rPr>
        <w:t xml:space="preserve">NHVR’s obligations is to record where access decisions have been rejected; this will indicate where access for higher productivity vehicles is being denied by road providers. </w:t>
      </w:r>
      <w:r w:rsidR="00662536" w:rsidRPr="005959F9">
        <w:rPr>
          <w:rFonts w:ascii="Arial" w:hAnsi="Arial" w:cs="Arial"/>
          <w:sz w:val="20"/>
          <w:szCs w:val="20"/>
          <w:highlight w:val="white"/>
          <w:lang w:eastAsia="en-AU"/>
        </w:rPr>
        <w:t>Our</w:t>
      </w:r>
      <w:r w:rsidR="00ED582F" w:rsidRPr="005959F9">
        <w:rPr>
          <w:rFonts w:ascii="Arial" w:hAnsi="Arial" w:cs="Arial"/>
          <w:sz w:val="20"/>
          <w:szCs w:val="20"/>
          <w:highlight w:val="white"/>
          <w:lang w:eastAsia="en-AU"/>
        </w:rPr>
        <w:t xml:space="preserve"> i</w:t>
      </w:r>
      <w:r w:rsidRPr="005959F9">
        <w:rPr>
          <w:rFonts w:ascii="Arial" w:hAnsi="Arial" w:cs="Arial"/>
          <w:sz w:val="20"/>
          <w:szCs w:val="20"/>
          <w:highlight w:val="white"/>
          <w:lang w:eastAsia="en-AU"/>
        </w:rPr>
        <w:t xml:space="preserve">ndustry is hoping this mechanism will open up rejected access decisions for review. </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The current incentive road owners have is to protect assets</w:t>
      </w:r>
      <w:r w:rsidR="005959F9" w:rsidRPr="005959F9">
        <w:rPr>
          <w:rFonts w:ascii="Arial" w:hAnsi="Arial" w:cs="Arial"/>
          <w:sz w:val="20"/>
          <w:szCs w:val="20"/>
          <w:highlight w:val="white"/>
          <w:lang w:eastAsia="en-AU"/>
        </w:rPr>
        <w:t>,</w:t>
      </w:r>
      <w:r w:rsidRPr="005959F9">
        <w:rPr>
          <w:rFonts w:ascii="Arial" w:hAnsi="Arial" w:cs="Arial"/>
          <w:sz w:val="20"/>
          <w:szCs w:val="20"/>
          <w:highlight w:val="white"/>
          <w:lang w:eastAsia="en-AU"/>
        </w:rPr>
        <w:t xml:space="preserve"> not maximise use of them for the community. Changing the motivation of road agencies to future proof roads and support growth in the community </w:t>
      </w:r>
      <w:r w:rsidR="00ED582F" w:rsidRPr="005959F9">
        <w:rPr>
          <w:rFonts w:ascii="Arial" w:hAnsi="Arial" w:cs="Arial"/>
          <w:sz w:val="20"/>
          <w:szCs w:val="20"/>
          <w:highlight w:val="white"/>
          <w:lang w:eastAsia="en-AU"/>
        </w:rPr>
        <w:t>must</w:t>
      </w:r>
      <w:r w:rsidRPr="005959F9">
        <w:rPr>
          <w:rFonts w:ascii="Arial" w:hAnsi="Arial" w:cs="Arial"/>
          <w:sz w:val="20"/>
          <w:szCs w:val="20"/>
          <w:highlight w:val="white"/>
          <w:lang w:eastAsia="en-AU"/>
        </w:rPr>
        <w:t xml:space="preserve"> happen. If only general access roads are built by providers, businesses </w:t>
      </w:r>
      <w:r w:rsidR="00ED582F" w:rsidRPr="005959F9">
        <w:rPr>
          <w:rFonts w:ascii="Arial" w:hAnsi="Arial" w:cs="Arial"/>
          <w:sz w:val="20"/>
          <w:szCs w:val="20"/>
          <w:highlight w:val="white"/>
          <w:lang w:eastAsia="en-AU"/>
        </w:rPr>
        <w:t xml:space="preserve">that </w:t>
      </w:r>
      <w:r w:rsidRPr="005959F9">
        <w:rPr>
          <w:rFonts w:ascii="Arial" w:hAnsi="Arial" w:cs="Arial"/>
          <w:sz w:val="20"/>
          <w:szCs w:val="20"/>
          <w:highlight w:val="white"/>
          <w:lang w:eastAsia="en-AU"/>
        </w:rPr>
        <w:t xml:space="preserve">want to grow will be </w:t>
      </w:r>
      <w:r w:rsidR="00ED582F" w:rsidRPr="005959F9">
        <w:rPr>
          <w:rFonts w:ascii="Arial" w:hAnsi="Arial" w:cs="Arial"/>
          <w:sz w:val="20"/>
          <w:szCs w:val="20"/>
          <w:highlight w:val="white"/>
          <w:lang w:eastAsia="en-AU"/>
        </w:rPr>
        <w:t xml:space="preserve">constrained </w:t>
      </w:r>
      <w:r w:rsidRPr="005959F9">
        <w:rPr>
          <w:rFonts w:ascii="Arial" w:hAnsi="Arial" w:cs="Arial"/>
          <w:sz w:val="20"/>
          <w:szCs w:val="20"/>
          <w:highlight w:val="white"/>
          <w:lang w:eastAsia="en-AU"/>
        </w:rPr>
        <w:t xml:space="preserve">and have higher freight costs. If </w:t>
      </w:r>
      <w:r w:rsidR="005959F9" w:rsidRPr="005959F9">
        <w:rPr>
          <w:rFonts w:ascii="Arial" w:hAnsi="Arial" w:cs="Arial"/>
          <w:sz w:val="20"/>
          <w:szCs w:val="20"/>
          <w:highlight w:val="white"/>
          <w:lang w:eastAsia="en-AU"/>
        </w:rPr>
        <w:t>road agencies refuse</w:t>
      </w:r>
      <w:r w:rsidRPr="005959F9">
        <w:rPr>
          <w:rFonts w:ascii="Arial" w:hAnsi="Arial" w:cs="Arial"/>
          <w:sz w:val="20"/>
          <w:szCs w:val="20"/>
          <w:highlight w:val="white"/>
          <w:lang w:eastAsia="en-AU"/>
        </w:rPr>
        <w:t xml:space="preserve"> to allow high productivity vehicles on suitable roads or recognise that missing</w:t>
      </w:r>
      <w:r w:rsidR="005959F9" w:rsidRPr="005959F9">
        <w:rPr>
          <w:rFonts w:ascii="Arial" w:hAnsi="Arial" w:cs="Arial"/>
          <w:sz w:val="20"/>
          <w:szCs w:val="20"/>
          <w:highlight w:val="white"/>
          <w:lang w:eastAsia="en-AU"/>
        </w:rPr>
        <w:t xml:space="preserve"> road</w:t>
      </w:r>
      <w:r w:rsidRPr="005959F9">
        <w:rPr>
          <w:rFonts w:ascii="Arial" w:hAnsi="Arial" w:cs="Arial"/>
          <w:sz w:val="20"/>
          <w:szCs w:val="20"/>
          <w:highlight w:val="white"/>
          <w:lang w:eastAsia="en-AU"/>
        </w:rPr>
        <w:t xml:space="preserve"> links need to be provided </w:t>
      </w:r>
      <w:r w:rsidR="005959F9" w:rsidRPr="005959F9">
        <w:rPr>
          <w:rFonts w:ascii="Arial" w:hAnsi="Arial" w:cs="Arial"/>
          <w:sz w:val="20"/>
          <w:szCs w:val="20"/>
          <w:highlight w:val="white"/>
          <w:lang w:eastAsia="en-AU"/>
        </w:rPr>
        <w:t>to cope with increasing</w:t>
      </w:r>
      <w:r w:rsidRPr="005959F9">
        <w:rPr>
          <w:rFonts w:ascii="Arial" w:hAnsi="Arial" w:cs="Arial"/>
          <w:sz w:val="20"/>
          <w:szCs w:val="20"/>
          <w:highlight w:val="white"/>
          <w:lang w:eastAsia="en-AU"/>
        </w:rPr>
        <w:t xml:space="preserve"> freight demand, the community </w:t>
      </w:r>
      <w:r w:rsidR="00ED582F" w:rsidRPr="005959F9">
        <w:rPr>
          <w:rFonts w:ascii="Arial" w:hAnsi="Arial" w:cs="Arial"/>
          <w:sz w:val="20"/>
          <w:szCs w:val="20"/>
          <w:highlight w:val="white"/>
          <w:lang w:eastAsia="en-AU"/>
        </w:rPr>
        <w:t xml:space="preserve">bears </w:t>
      </w:r>
      <w:r w:rsidRPr="005959F9">
        <w:rPr>
          <w:rFonts w:ascii="Arial" w:hAnsi="Arial" w:cs="Arial"/>
          <w:sz w:val="20"/>
          <w:szCs w:val="20"/>
          <w:highlight w:val="white"/>
          <w:lang w:eastAsia="en-AU"/>
        </w:rPr>
        <w:t xml:space="preserve">the costs of these inefficiencies, </w:t>
      </w:r>
      <w:r w:rsidR="00ED582F" w:rsidRPr="005959F9">
        <w:rPr>
          <w:rFonts w:ascii="Arial" w:hAnsi="Arial" w:cs="Arial"/>
          <w:sz w:val="20"/>
          <w:szCs w:val="20"/>
          <w:highlight w:val="white"/>
          <w:lang w:eastAsia="en-AU"/>
        </w:rPr>
        <w:t xml:space="preserve">and </w:t>
      </w:r>
      <w:r w:rsidRPr="005959F9">
        <w:rPr>
          <w:rFonts w:ascii="Arial" w:hAnsi="Arial" w:cs="Arial"/>
          <w:sz w:val="20"/>
          <w:szCs w:val="20"/>
          <w:highlight w:val="white"/>
          <w:lang w:eastAsia="en-AU"/>
        </w:rPr>
        <w:t>in some cases</w:t>
      </w:r>
      <w:r w:rsidR="00ED582F" w:rsidRPr="005959F9">
        <w:rPr>
          <w:rFonts w:ascii="Arial" w:hAnsi="Arial" w:cs="Arial"/>
          <w:sz w:val="20"/>
          <w:szCs w:val="20"/>
          <w:highlight w:val="white"/>
          <w:lang w:eastAsia="en-AU"/>
        </w:rPr>
        <w:t>,</w:t>
      </w:r>
      <w:r w:rsidRPr="005959F9">
        <w:rPr>
          <w:rFonts w:ascii="Arial" w:hAnsi="Arial" w:cs="Arial"/>
          <w:sz w:val="20"/>
          <w:szCs w:val="20"/>
          <w:highlight w:val="white"/>
          <w:lang w:eastAsia="en-AU"/>
        </w:rPr>
        <w:t xml:space="preserve"> other countries take market share from Australia. Both are net losses for NSW and Australia.  </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jc w:val="both"/>
        <w:rPr>
          <w:rFonts w:ascii="Arial" w:hAnsi="Arial" w:cs="Arial"/>
          <w:sz w:val="20"/>
          <w:szCs w:val="20"/>
          <w:u w:val="single"/>
        </w:rPr>
      </w:pPr>
      <w:r w:rsidRPr="005959F9">
        <w:rPr>
          <w:rFonts w:ascii="Arial" w:hAnsi="Arial" w:cs="Arial"/>
          <w:sz w:val="20"/>
          <w:szCs w:val="20"/>
          <w:u w:val="single"/>
        </w:rPr>
        <w:t>Data to inform road investment</w:t>
      </w:r>
    </w:p>
    <w:p w:rsidR="00A45F83" w:rsidRPr="005959F9" w:rsidRDefault="00A45F83" w:rsidP="001025C9">
      <w:pPr>
        <w:jc w:val="both"/>
        <w:rPr>
          <w:rFonts w:ascii="Arial" w:hAnsi="Arial" w:cs="Arial"/>
          <w:sz w:val="20"/>
          <w:szCs w:val="20"/>
        </w:rPr>
      </w:pPr>
    </w:p>
    <w:p w:rsidR="00456D91"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A continuing argument for more direct user charges is that the amount of information produced would be useful for road planning. It is a lazy argument for increasing</w:t>
      </w:r>
      <w:r w:rsidR="00184A28" w:rsidRPr="005959F9">
        <w:rPr>
          <w:rFonts w:ascii="Arial" w:hAnsi="Arial" w:cs="Arial"/>
          <w:sz w:val="20"/>
          <w:szCs w:val="20"/>
          <w:highlight w:val="white"/>
          <w:lang w:eastAsia="en-AU"/>
        </w:rPr>
        <w:t xml:space="preserve"> the</w:t>
      </w:r>
      <w:r w:rsidRPr="005959F9">
        <w:rPr>
          <w:rFonts w:ascii="Arial" w:hAnsi="Arial" w:cs="Arial"/>
          <w:sz w:val="20"/>
          <w:szCs w:val="20"/>
          <w:highlight w:val="white"/>
          <w:lang w:eastAsia="en-AU"/>
        </w:rPr>
        <w:t xml:space="preserve"> monitoring </w:t>
      </w:r>
      <w:r w:rsidR="00184A28" w:rsidRPr="005959F9">
        <w:rPr>
          <w:rFonts w:ascii="Arial" w:hAnsi="Arial" w:cs="Arial"/>
          <w:sz w:val="20"/>
          <w:szCs w:val="20"/>
          <w:highlight w:val="white"/>
          <w:lang w:eastAsia="en-AU"/>
        </w:rPr>
        <w:t xml:space="preserve">of </w:t>
      </w:r>
      <w:r w:rsidRPr="005959F9">
        <w:rPr>
          <w:rFonts w:ascii="Arial" w:hAnsi="Arial" w:cs="Arial"/>
          <w:sz w:val="20"/>
          <w:szCs w:val="20"/>
          <w:highlight w:val="white"/>
          <w:lang w:eastAsia="en-AU"/>
        </w:rPr>
        <w:t>road user movement</w:t>
      </w:r>
      <w:r w:rsidR="00184A28" w:rsidRPr="005959F9">
        <w:rPr>
          <w:rFonts w:ascii="Arial" w:hAnsi="Arial" w:cs="Arial"/>
          <w:sz w:val="20"/>
          <w:szCs w:val="20"/>
          <w:highlight w:val="white"/>
          <w:lang w:eastAsia="en-AU"/>
        </w:rPr>
        <w:t>,</w:t>
      </w:r>
      <w:r w:rsidRPr="005959F9">
        <w:rPr>
          <w:rFonts w:ascii="Arial" w:hAnsi="Arial" w:cs="Arial"/>
          <w:sz w:val="20"/>
          <w:szCs w:val="20"/>
          <w:highlight w:val="white"/>
          <w:lang w:eastAsia="en-AU"/>
        </w:rPr>
        <w:t xml:space="preserve"> as there is </w:t>
      </w:r>
      <w:r w:rsidR="00184A28" w:rsidRPr="005959F9">
        <w:rPr>
          <w:rFonts w:ascii="Arial" w:hAnsi="Arial" w:cs="Arial"/>
          <w:sz w:val="20"/>
          <w:szCs w:val="20"/>
          <w:highlight w:val="white"/>
          <w:lang w:eastAsia="en-AU"/>
        </w:rPr>
        <w:t xml:space="preserve">presently </w:t>
      </w:r>
      <w:r w:rsidRPr="005959F9">
        <w:rPr>
          <w:rFonts w:ascii="Arial" w:hAnsi="Arial" w:cs="Arial"/>
          <w:sz w:val="20"/>
          <w:szCs w:val="20"/>
          <w:highlight w:val="white"/>
          <w:lang w:eastAsia="en-AU"/>
        </w:rPr>
        <w:t xml:space="preserve">considerable data </w:t>
      </w:r>
      <w:r w:rsidR="00184A28" w:rsidRPr="005959F9">
        <w:rPr>
          <w:rFonts w:ascii="Arial" w:hAnsi="Arial" w:cs="Arial"/>
          <w:sz w:val="20"/>
          <w:szCs w:val="20"/>
          <w:highlight w:val="white"/>
          <w:lang w:eastAsia="en-AU"/>
        </w:rPr>
        <w:t>available for this purpose. S</w:t>
      </w:r>
      <w:r w:rsidRPr="005959F9">
        <w:rPr>
          <w:rFonts w:ascii="Arial" w:hAnsi="Arial" w:cs="Arial"/>
          <w:sz w:val="20"/>
          <w:szCs w:val="20"/>
          <w:highlight w:val="white"/>
          <w:lang w:eastAsia="en-AU"/>
        </w:rPr>
        <w:t>imply increasing the amount of data road agencies receive does not equa</w:t>
      </w:r>
      <w:r w:rsidR="00184A28" w:rsidRPr="005959F9">
        <w:rPr>
          <w:rFonts w:ascii="Arial" w:hAnsi="Arial" w:cs="Arial"/>
          <w:sz w:val="20"/>
          <w:szCs w:val="20"/>
          <w:highlight w:val="white"/>
          <w:lang w:eastAsia="en-AU"/>
        </w:rPr>
        <w:t>te to</w:t>
      </w:r>
      <w:r w:rsidRPr="005959F9">
        <w:rPr>
          <w:rFonts w:ascii="Arial" w:hAnsi="Arial" w:cs="Arial"/>
          <w:sz w:val="20"/>
          <w:szCs w:val="20"/>
          <w:highlight w:val="white"/>
          <w:lang w:eastAsia="en-AU"/>
        </w:rPr>
        <w:t xml:space="preserve"> better outcomes.  </w:t>
      </w:r>
    </w:p>
    <w:p w:rsidR="00D4403D" w:rsidRPr="005959F9" w:rsidRDefault="00D4403D"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Collecting data is also not a costless process. Hence</w:t>
      </w:r>
      <w:r w:rsidR="005959F9" w:rsidRPr="005959F9">
        <w:rPr>
          <w:rFonts w:ascii="Arial" w:hAnsi="Arial" w:cs="Arial"/>
          <w:sz w:val="20"/>
          <w:szCs w:val="20"/>
          <w:highlight w:val="white"/>
          <w:lang w:eastAsia="en-AU"/>
        </w:rPr>
        <w:t>,</w:t>
      </w:r>
      <w:r w:rsidRPr="005959F9">
        <w:rPr>
          <w:rFonts w:ascii="Arial" w:hAnsi="Arial" w:cs="Arial"/>
          <w:sz w:val="20"/>
          <w:szCs w:val="20"/>
          <w:highlight w:val="white"/>
          <w:lang w:eastAsia="en-AU"/>
        </w:rPr>
        <w:t xml:space="preserve"> tradeoffs should be made between cost and accuracy of data when formulating policy</w:t>
      </w:r>
      <w:r w:rsidR="005959F9" w:rsidRPr="005959F9">
        <w:rPr>
          <w:rFonts w:ascii="Arial" w:hAnsi="Arial" w:cs="Arial"/>
          <w:sz w:val="20"/>
          <w:szCs w:val="20"/>
          <w:highlight w:val="white"/>
          <w:lang w:eastAsia="en-AU"/>
        </w:rPr>
        <w:t>. NSW should</w:t>
      </w:r>
      <w:r w:rsidRPr="005959F9">
        <w:rPr>
          <w:rFonts w:ascii="Arial" w:hAnsi="Arial" w:cs="Arial"/>
          <w:sz w:val="20"/>
          <w:szCs w:val="20"/>
          <w:highlight w:val="white"/>
          <w:lang w:eastAsia="en-AU"/>
        </w:rPr>
        <w:t xml:space="preserve"> be able to obtain heavy vehicle data from its Safe</w:t>
      </w:r>
      <w:r w:rsidR="00184A28" w:rsidRPr="005959F9">
        <w:rPr>
          <w:rFonts w:ascii="Arial" w:hAnsi="Arial" w:cs="Arial"/>
          <w:sz w:val="20"/>
          <w:szCs w:val="20"/>
          <w:highlight w:val="white"/>
          <w:lang w:eastAsia="en-AU"/>
        </w:rPr>
        <w:t>-</w:t>
      </w:r>
      <w:r w:rsidRPr="005959F9">
        <w:rPr>
          <w:rFonts w:ascii="Arial" w:hAnsi="Arial" w:cs="Arial"/>
          <w:sz w:val="20"/>
          <w:szCs w:val="20"/>
          <w:highlight w:val="white"/>
          <w:lang w:eastAsia="en-AU"/>
        </w:rPr>
        <w:t>T</w:t>
      </w:r>
      <w:r w:rsidR="00184A28" w:rsidRPr="005959F9">
        <w:rPr>
          <w:rFonts w:ascii="Arial" w:hAnsi="Arial" w:cs="Arial"/>
          <w:sz w:val="20"/>
          <w:szCs w:val="20"/>
          <w:highlight w:val="white"/>
          <w:lang w:eastAsia="en-AU"/>
        </w:rPr>
        <w:t>-</w:t>
      </w:r>
      <w:r w:rsidRPr="005959F9">
        <w:rPr>
          <w:rFonts w:ascii="Arial" w:hAnsi="Arial" w:cs="Arial"/>
          <w:sz w:val="20"/>
          <w:szCs w:val="20"/>
          <w:highlight w:val="white"/>
          <w:lang w:eastAsia="en-AU"/>
        </w:rPr>
        <w:t xml:space="preserve">Cam network, </w:t>
      </w:r>
      <w:r w:rsidR="00184A28" w:rsidRPr="005959F9">
        <w:rPr>
          <w:rFonts w:ascii="Arial" w:hAnsi="Arial" w:cs="Arial"/>
          <w:sz w:val="20"/>
          <w:szCs w:val="20"/>
          <w:highlight w:val="white"/>
          <w:lang w:eastAsia="en-AU"/>
        </w:rPr>
        <w:t xml:space="preserve">and </w:t>
      </w:r>
      <w:r w:rsidRPr="005959F9">
        <w:rPr>
          <w:rFonts w:ascii="Arial" w:hAnsi="Arial" w:cs="Arial"/>
          <w:sz w:val="20"/>
          <w:szCs w:val="20"/>
          <w:highlight w:val="white"/>
          <w:lang w:eastAsia="en-AU"/>
        </w:rPr>
        <w:t xml:space="preserve">freight surveys are also </w:t>
      </w:r>
      <w:r w:rsidR="00184A28" w:rsidRPr="005959F9">
        <w:rPr>
          <w:rFonts w:ascii="Arial" w:hAnsi="Arial" w:cs="Arial"/>
          <w:sz w:val="20"/>
          <w:szCs w:val="20"/>
          <w:highlight w:val="white"/>
          <w:lang w:eastAsia="en-AU"/>
        </w:rPr>
        <w:t>worthwhile</w:t>
      </w:r>
      <w:r w:rsidRPr="005959F9">
        <w:rPr>
          <w:rFonts w:ascii="Arial" w:hAnsi="Arial" w:cs="Arial"/>
          <w:sz w:val="20"/>
          <w:szCs w:val="20"/>
          <w:highlight w:val="white"/>
          <w:lang w:eastAsia="en-AU"/>
        </w:rPr>
        <w:t xml:space="preserve">. </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The two main parameters of road investment are durability and capacity. Generally, durability specifications will be based on anticipated heavy vehicle usage while capacity will be based on demand by light vehicles.</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 xml:space="preserve">It is obvious to both road users and road asset holders where there are transport issues. </w:t>
      </w:r>
      <w:r w:rsidR="00662536" w:rsidRPr="005959F9">
        <w:rPr>
          <w:rFonts w:ascii="Arial" w:hAnsi="Arial" w:cs="Arial"/>
          <w:sz w:val="20"/>
          <w:szCs w:val="20"/>
          <w:highlight w:val="white"/>
          <w:lang w:eastAsia="en-AU"/>
        </w:rPr>
        <w:t xml:space="preserve">Sir </w:t>
      </w:r>
      <w:r w:rsidRPr="005959F9">
        <w:rPr>
          <w:rFonts w:ascii="Arial" w:hAnsi="Arial" w:cs="Arial"/>
          <w:sz w:val="20"/>
          <w:szCs w:val="20"/>
          <w:highlight w:val="white"/>
          <w:lang w:eastAsia="en-AU"/>
        </w:rPr>
        <w:t>Rod Eddington’s report on UK infrastructure noted that</w:t>
      </w:r>
      <w:r w:rsidRPr="005959F9">
        <w:rPr>
          <w:rStyle w:val="FootnoteReference"/>
          <w:rFonts w:ascii="Arial" w:hAnsi="Arial" w:cs="Arial"/>
          <w:bCs/>
          <w:sz w:val="20"/>
          <w:szCs w:val="20"/>
        </w:rPr>
        <w:footnoteReference w:id="8"/>
      </w:r>
      <w:r w:rsidRPr="005959F9">
        <w:rPr>
          <w:rFonts w:ascii="Arial" w:hAnsi="Arial" w:cs="Arial"/>
          <w:bCs/>
          <w:sz w:val="20"/>
          <w:szCs w:val="20"/>
        </w:rPr>
        <w:t>:</w:t>
      </w:r>
    </w:p>
    <w:p w:rsidR="00A45F83" w:rsidRPr="005959F9" w:rsidRDefault="00A45F83" w:rsidP="001025C9">
      <w:pPr>
        <w:ind w:left="360"/>
        <w:jc w:val="both"/>
        <w:rPr>
          <w:rFonts w:ascii="Arial" w:hAnsi="Arial" w:cs="Arial"/>
          <w:bCs/>
          <w:i/>
          <w:iCs/>
          <w:sz w:val="20"/>
          <w:szCs w:val="20"/>
        </w:rPr>
      </w:pPr>
    </w:p>
    <w:p w:rsidR="00A45F83" w:rsidRPr="001025C9" w:rsidRDefault="00A45F83" w:rsidP="001025C9">
      <w:pPr>
        <w:ind w:left="360"/>
        <w:jc w:val="both"/>
        <w:rPr>
          <w:rFonts w:ascii="Arial" w:hAnsi="Arial" w:cs="Arial"/>
          <w:bCs/>
          <w:iCs/>
          <w:sz w:val="20"/>
          <w:szCs w:val="20"/>
        </w:rPr>
      </w:pPr>
      <w:r w:rsidRPr="001025C9">
        <w:rPr>
          <w:rFonts w:ascii="Arial" w:hAnsi="Arial" w:cs="Arial"/>
          <w:bCs/>
          <w:iCs/>
          <w:sz w:val="20"/>
          <w:szCs w:val="20"/>
        </w:rPr>
        <w:t>In most cases, the best signals to identify where transport is acting to hold back growth will be the presence of clear signs of economic success (economic growth and very high wages and land prices), and that transport demand is starting to outstrip supply (signs of congestion and unreliability). In areas without such clear signs, it is unlikely that transport is holding back productivity and growth.</w:t>
      </w:r>
    </w:p>
    <w:p w:rsidR="00A45F83" w:rsidRPr="005959F9" w:rsidRDefault="00A45F83" w:rsidP="001025C9">
      <w:pPr>
        <w:jc w:val="both"/>
        <w:rPr>
          <w:rFonts w:ascii="Arial" w:hAnsi="Arial" w:cs="Arial"/>
          <w:b/>
          <w:bCs/>
          <w:i/>
          <w:iCs/>
          <w:sz w:val="20"/>
          <w:szCs w:val="20"/>
        </w:rPr>
      </w:pPr>
    </w:p>
    <w:p w:rsidR="00A45F83" w:rsidRPr="005959F9" w:rsidRDefault="00A45F83" w:rsidP="001025C9">
      <w:pPr>
        <w:jc w:val="both"/>
        <w:rPr>
          <w:rFonts w:ascii="Arial" w:hAnsi="Arial" w:cs="Arial"/>
          <w:bCs/>
          <w:sz w:val="20"/>
          <w:szCs w:val="20"/>
        </w:rPr>
      </w:pPr>
      <w:r w:rsidRPr="005959F9">
        <w:rPr>
          <w:rFonts w:ascii="Arial" w:hAnsi="Arial" w:cs="Arial"/>
          <w:bCs/>
          <w:sz w:val="20"/>
          <w:szCs w:val="20"/>
        </w:rPr>
        <w:t xml:space="preserve">There is a great deal of data available for heavy vehicle usage. The main sources are: </w:t>
      </w:r>
    </w:p>
    <w:p w:rsidR="00A45F83" w:rsidRPr="005959F9" w:rsidRDefault="00A45F83" w:rsidP="001025C9">
      <w:pPr>
        <w:jc w:val="both"/>
        <w:rPr>
          <w:rFonts w:ascii="Arial" w:hAnsi="Arial" w:cs="Arial"/>
          <w:b/>
          <w:bCs/>
          <w:sz w:val="20"/>
          <w:szCs w:val="20"/>
        </w:rPr>
      </w:pPr>
    </w:p>
    <w:p w:rsidR="00A45F83" w:rsidRPr="005959F9" w:rsidRDefault="00A45F83" w:rsidP="001025C9">
      <w:pPr>
        <w:pStyle w:val="ListParagraph"/>
        <w:numPr>
          <w:ilvl w:val="0"/>
          <w:numId w:val="15"/>
        </w:numPr>
        <w:jc w:val="both"/>
        <w:rPr>
          <w:rFonts w:ascii="Arial" w:hAnsi="Arial" w:cs="Arial"/>
          <w:sz w:val="20"/>
          <w:szCs w:val="20"/>
        </w:rPr>
      </w:pPr>
      <w:r w:rsidRPr="005959F9">
        <w:rPr>
          <w:rFonts w:ascii="Arial" w:hAnsi="Arial" w:cs="Arial"/>
          <w:sz w:val="20"/>
          <w:szCs w:val="20"/>
        </w:rPr>
        <w:t>State and territory CULWAY/WIM (weigh-in-motion) data;</w:t>
      </w:r>
    </w:p>
    <w:p w:rsidR="00A45F83" w:rsidRPr="005959F9" w:rsidRDefault="00A45F83" w:rsidP="001025C9">
      <w:pPr>
        <w:pStyle w:val="ListParagraph"/>
        <w:numPr>
          <w:ilvl w:val="0"/>
          <w:numId w:val="15"/>
        </w:numPr>
        <w:jc w:val="both"/>
        <w:rPr>
          <w:rFonts w:ascii="Arial" w:hAnsi="Arial" w:cs="Arial"/>
          <w:sz w:val="20"/>
          <w:szCs w:val="20"/>
        </w:rPr>
      </w:pPr>
      <w:r w:rsidRPr="005959F9">
        <w:rPr>
          <w:rFonts w:ascii="Arial" w:hAnsi="Arial" w:cs="Arial"/>
          <w:sz w:val="20"/>
          <w:szCs w:val="20"/>
        </w:rPr>
        <w:t xml:space="preserve">FDF </w:t>
      </w:r>
      <w:proofErr w:type="spellStart"/>
      <w:r w:rsidRPr="005959F9">
        <w:rPr>
          <w:rFonts w:ascii="Arial" w:hAnsi="Arial" w:cs="Arial"/>
          <w:sz w:val="20"/>
          <w:szCs w:val="20"/>
        </w:rPr>
        <w:t>FreightInfo</w:t>
      </w:r>
      <w:proofErr w:type="spellEnd"/>
      <w:r w:rsidRPr="005959F9">
        <w:rPr>
          <w:rFonts w:ascii="Arial" w:hAnsi="Arial" w:cs="Arial"/>
          <w:sz w:val="20"/>
          <w:szCs w:val="20"/>
        </w:rPr>
        <w:t xml:space="preserve"> interregional freight movements database;</w:t>
      </w:r>
    </w:p>
    <w:p w:rsidR="00A45F83" w:rsidRPr="005959F9" w:rsidRDefault="00A45F83" w:rsidP="001025C9">
      <w:pPr>
        <w:pStyle w:val="ListParagraph"/>
        <w:numPr>
          <w:ilvl w:val="0"/>
          <w:numId w:val="15"/>
        </w:numPr>
        <w:jc w:val="both"/>
        <w:rPr>
          <w:rFonts w:ascii="Arial" w:hAnsi="Arial" w:cs="Arial"/>
          <w:sz w:val="20"/>
          <w:szCs w:val="20"/>
        </w:rPr>
      </w:pPr>
      <w:r w:rsidRPr="005959F9">
        <w:rPr>
          <w:rFonts w:ascii="Arial" w:hAnsi="Arial" w:cs="Arial"/>
          <w:sz w:val="20"/>
          <w:szCs w:val="20"/>
        </w:rPr>
        <w:t>ABS Survey of motor vehicle use (SMVU</w:t>
      </w:r>
      <w:r w:rsidR="005959F9" w:rsidRPr="005959F9">
        <w:rPr>
          <w:rFonts w:ascii="Arial" w:hAnsi="Arial" w:cs="Arial"/>
          <w:sz w:val="20"/>
          <w:szCs w:val="20"/>
        </w:rPr>
        <w:t>)</w:t>
      </w:r>
      <w:r w:rsidRPr="005959F9">
        <w:rPr>
          <w:rFonts w:ascii="Arial" w:hAnsi="Arial" w:cs="Arial"/>
          <w:sz w:val="20"/>
          <w:szCs w:val="20"/>
        </w:rPr>
        <w:t>; and</w:t>
      </w:r>
    </w:p>
    <w:p w:rsidR="00A45F83" w:rsidRPr="005959F9" w:rsidRDefault="00A45F83" w:rsidP="001025C9">
      <w:pPr>
        <w:pStyle w:val="ListParagraph"/>
        <w:numPr>
          <w:ilvl w:val="0"/>
          <w:numId w:val="15"/>
        </w:numPr>
        <w:jc w:val="both"/>
        <w:rPr>
          <w:rFonts w:ascii="Arial" w:hAnsi="Arial" w:cs="Arial"/>
          <w:sz w:val="20"/>
          <w:szCs w:val="20"/>
        </w:rPr>
      </w:pPr>
      <w:r w:rsidRPr="005959F9">
        <w:rPr>
          <w:rFonts w:ascii="Arial" w:hAnsi="Arial" w:cs="Arial"/>
          <w:sz w:val="20"/>
          <w:szCs w:val="20"/>
        </w:rPr>
        <w:t>State and territory commercial vehicle traffic counts.</w:t>
      </w:r>
      <w:r w:rsidRPr="005959F9">
        <w:rPr>
          <w:rStyle w:val="FootnoteReference"/>
          <w:rFonts w:ascii="Arial" w:hAnsi="Arial" w:cs="Arial"/>
          <w:sz w:val="20"/>
          <w:szCs w:val="20"/>
        </w:rPr>
        <w:footnoteReference w:id="9"/>
      </w:r>
    </w:p>
    <w:p w:rsidR="001025C9" w:rsidRDefault="001025C9">
      <w:pPr>
        <w:rPr>
          <w:rFonts w:ascii="Arial" w:hAnsi="Arial" w:cs="Arial"/>
          <w:sz w:val="20"/>
          <w:szCs w:val="20"/>
        </w:rPr>
      </w:pPr>
      <w:r>
        <w:rPr>
          <w:rFonts w:ascii="Arial" w:hAnsi="Arial" w:cs="Arial"/>
          <w:sz w:val="20"/>
          <w:szCs w:val="20"/>
        </w:rPr>
        <w:br w:type="page"/>
      </w:r>
    </w:p>
    <w:p w:rsidR="00A45F83" w:rsidRPr="005959F9" w:rsidRDefault="00A45F83" w:rsidP="001025C9">
      <w:pPr>
        <w:spacing w:after="120"/>
        <w:jc w:val="both"/>
        <w:rPr>
          <w:rFonts w:ascii="Arial" w:hAnsi="Arial" w:cs="Arial"/>
          <w:sz w:val="20"/>
          <w:szCs w:val="20"/>
        </w:rPr>
      </w:pPr>
      <w:r w:rsidRPr="005959F9">
        <w:rPr>
          <w:rFonts w:ascii="Arial" w:hAnsi="Arial" w:cs="Arial"/>
          <w:sz w:val="20"/>
          <w:szCs w:val="20"/>
        </w:rPr>
        <w:lastRenderedPageBreak/>
        <w:t>Where a particular data source has shortcomings, these can often be overcome by using observed patterns from other data sources or by ‘informed estimates’. For instance, the BITRE notes that:</w:t>
      </w:r>
    </w:p>
    <w:p w:rsidR="00A45F83" w:rsidRPr="005959F9" w:rsidRDefault="00A45F83" w:rsidP="001025C9">
      <w:pPr>
        <w:pStyle w:val="Quote"/>
        <w:spacing w:after="120"/>
        <w:jc w:val="both"/>
        <w:rPr>
          <w:rFonts w:ascii="Arial" w:eastAsia="Calibri" w:hAnsi="Arial" w:cs="Arial"/>
          <w:i/>
          <w:iCs w:val="0"/>
          <w:color w:val="auto"/>
          <w:sz w:val="20"/>
          <w:szCs w:val="20"/>
        </w:rPr>
      </w:pPr>
      <w:r w:rsidRPr="001025C9">
        <w:rPr>
          <w:rFonts w:ascii="Arial" w:eastAsia="Calibri" w:hAnsi="Arial" w:cs="Arial"/>
          <w:iCs w:val="0"/>
          <w:color w:val="auto"/>
          <w:sz w:val="20"/>
          <w:szCs w:val="20"/>
        </w:rPr>
        <w:t>…some data (SA and NT) include estimates of the net freight task, others (NSW) the net freight task needs to be estimated by multiplying the difference between the average gross vehicle weight and the estimated average tare weight, for each Austroads vehicle</w:t>
      </w:r>
      <w:r w:rsidRPr="005959F9">
        <w:rPr>
          <w:rFonts w:ascii="Arial" w:eastAsia="Calibri" w:hAnsi="Arial" w:cs="Arial"/>
          <w:i/>
          <w:iCs w:val="0"/>
          <w:color w:val="auto"/>
          <w:sz w:val="20"/>
          <w:szCs w:val="20"/>
        </w:rPr>
        <w:t xml:space="preserve"> </w:t>
      </w:r>
      <w:r w:rsidRPr="001025C9">
        <w:rPr>
          <w:rFonts w:ascii="Arial" w:eastAsia="Calibri" w:hAnsi="Arial" w:cs="Arial"/>
          <w:iCs w:val="0"/>
          <w:color w:val="auto"/>
          <w:sz w:val="20"/>
          <w:szCs w:val="20"/>
        </w:rPr>
        <w:t>class, by the total number of vehicles in each class, and sum</w:t>
      </w:r>
      <w:r w:rsidR="0062389F" w:rsidRPr="001025C9">
        <w:rPr>
          <w:rFonts w:ascii="Arial" w:eastAsia="Calibri" w:hAnsi="Arial" w:cs="Arial"/>
          <w:iCs w:val="0"/>
          <w:color w:val="auto"/>
          <w:sz w:val="20"/>
          <w:szCs w:val="20"/>
        </w:rPr>
        <w:t>ming over all vehicles classes</w:t>
      </w:r>
      <w:r w:rsidR="0062389F" w:rsidRPr="005959F9">
        <w:rPr>
          <w:rFonts w:ascii="Arial" w:eastAsia="Calibri" w:hAnsi="Arial" w:cs="Arial"/>
          <w:i/>
          <w:iCs w:val="0"/>
          <w:color w:val="auto"/>
          <w:sz w:val="20"/>
          <w:szCs w:val="20"/>
        </w:rPr>
        <w:t xml:space="preserve"> </w:t>
      </w:r>
    </w:p>
    <w:p w:rsidR="00A45F83"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 xml:space="preserve">Overall, the WIM data provided by the various state authorities provides an accurate picture of road freight flows between capital cities, with the exception of the Sydney-Canberra route. </w:t>
      </w:r>
    </w:p>
    <w:p w:rsidR="0094622B" w:rsidRPr="005959F9" w:rsidRDefault="0094622B" w:rsidP="001025C9">
      <w:pPr>
        <w:autoSpaceDE w:val="0"/>
        <w:autoSpaceDN w:val="0"/>
        <w:adjustRightInd w:val="0"/>
        <w:jc w:val="both"/>
        <w:rPr>
          <w:rFonts w:ascii="Arial" w:hAnsi="Arial" w:cs="Arial"/>
          <w:sz w:val="20"/>
          <w:szCs w:val="20"/>
          <w:highlight w:val="white"/>
          <w:lang w:eastAsia="en-AU"/>
        </w:rPr>
      </w:pPr>
    </w:p>
    <w:p w:rsidR="00A45F83" w:rsidRPr="005959F9" w:rsidRDefault="00BF44C4"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 xml:space="preserve">The </w:t>
      </w:r>
      <w:r w:rsidR="000A3F4E" w:rsidRPr="005959F9">
        <w:rPr>
          <w:rFonts w:ascii="Arial" w:hAnsi="Arial" w:cs="Arial"/>
          <w:sz w:val="20"/>
          <w:szCs w:val="20"/>
          <w:highlight w:val="white"/>
          <w:lang w:eastAsia="en-AU"/>
        </w:rPr>
        <w:t xml:space="preserve">Transport and Infrastructure Senior Officials' </w:t>
      </w:r>
      <w:proofErr w:type="gramStart"/>
      <w:r w:rsidR="003340FB">
        <w:rPr>
          <w:rFonts w:ascii="Arial" w:hAnsi="Arial" w:cs="Arial"/>
          <w:sz w:val="20"/>
          <w:szCs w:val="20"/>
          <w:highlight w:val="white"/>
          <w:lang w:eastAsia="en-AU"/>
        </w:rPr>
        <w:t>Committee</w:t>
      </w:r>
      <w:r w:rsidRPr="005959F9">
        <w:rPr>
          <w:rFonts w:ascii="Arial" w:hAnsi="Arial" w:cs="Arial"/>
          <w:sz w:val="20"/>
          <w:szCs w:val="20"/>
          <w:highlight w:val="white"/>
          <w:lang w:eastAsia="en-AU"/>
        </w:rPr>
        <w:t>(</w:t>
      </w:r>
      <w:proofErr w:type="gramEnd"/>
      <w:r w:rsidRPr="005959F9">
        <w:rPr>
          <w:rFonts w:ascii="Arial" w:hAnsi="Arial" w:cs="Arial"/>
          <w:sz w:val="20"/>
          <w:szCs w:val="20"/>
          <w:highlight w:val="white"/>
          <w:lang w:eastAsia="en-AU"/>
        </w:rPr>
        <w:t xml:space="preserve">TISOC) </w:t>
      </w:r>
      <w:r w:rsidR="00A45F83" w:rsidRPr="005959F9">
        <w:rPr>
          <w:rFonts w:ascii="Arial" w:hAnsi="Arial" w:cs="Arial"/>
          <w:sz w:val="20"/>
          <w:szCs w:val="20"/>
          <w:highlight w:val="white"/>
          <w:lang w:eastAsia="en-AU"/>
        </w:rPr>
        <w:t xml:space="preserve">recently approved an expansion of the ABS SMVU to double the number of heavy vehicles surveyed and to have additional focus on freight movements.  </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 xml:space="preserve">Hence, </w:t>
      </w:r>
      <w:r w:rsidR="00184A28" w:rsidRPr="005959F9">
        <w:rPr>
          <w:rFonts w:ascii="Arial" w:hAnsi="Arial" w:cs="Arial"/>
          <w:sz w:val="20"/>
          <w:szCs w:val="20"/>
          <w:highlight w:val="white"/>
          <w:lang w:eastAsia="en-AU"/>
        </w:rPr>
        <w:t>d</w:t>
      </w:r>
      <w:r w:rsidRPr="005959F9">
        <w:rPr>
          <w:rFonts w:ascii="Arial" w:hAnsi="Arial" w:cs="Arial"/>
          <w:sz w:val="20"/>
          <w:szCs w:val="20"/>
          <w:highlight w:val="white"/>
          <w:lang w:eastAsia="en-AU"/>
        </w:rPr>
        <w:t>ata sought from direct user charges is</w:t>
      </w:r>
      <w:r w:rsidR="001A7BF4">
        <w:rPr>
          <w:rFonts w:ascii="Arial" w:hAnsi="Arial" w:cs="Arial"/>
          <w:sz w:val="20"/>
          <w:szCs w:val="20"/>
          <w:highlight w:val="white"/>
          <w:lang w:eastAsia="en-AU"/>
        </w:rPr>
        <w:t xml:space="preserve"> already</w:t>
      </w:r>
      <w:r w:rsidRPr="005959F9">
        <w:rPr>
          <w:rFonts w:ascii="Arial" w:hAnsi="Arial" w:cs="Arial"/>
          <w:sz w:val="20"/>
          <w:szCs w:val="20"/>
          <w:highlight w:val="white"/>
          <w:lang w:eastAsia="en-AU"/>
        </w:rPr>
        <w:t xml:space="preserve"> being provided through cheaper methods than direct monitoring of road users. The </w:t>
      </w:r>
      <w:r w:rsidR="003340FB">
        <w:rPr>
          <w:rFonts w:ascii="Arial" w:hAnsi="Arial" w:cs="Arial"/>
          <w:sz w:val="20"/>
          <w:szCs w:val="20"/>
          <w:highlight w:val="white"/>
          <w:lang w:eastAsia="en-AU"/>
        </w:rPr>
        <w:t>Committee</w:t>
      </w:r>
      <w:r w:rsidR="00D74FF1">
        <w:rPr>
          <w:rFonts w:ascii="Arial" w:hAnsi="Arial" w:cs="Arial"/>
          <w:sz w:val="20"/>
          <w:szCs w:val="20"/>
          <w:highlight w:val="white"/>
          <w:lang w:eastAsia="en-AU"/>
        </w:rPr>
        <w:t xml:space="preserve"> </w:t>
      </w:r>
      <w:r w:rsidRPr="005959F9">
        <w:rPr>
          <w:rFonts w:ascii="Arial" w:hAnsi="Arial" w:cs="Arial"/>
          <w:sz w:val="20"/>
          <w:szCs w:val="20"/>
          <w:highlight w:val="white"/>
          <w:lang w:eastAsia="en-AU"/>
        </w:rPr>
        <w:t xml:space="preserve">should consider the costs of collecting new data versus the costs of the current surveys which </w:t>
      </w:r>
      <w:r w:rsidR="00184A28" w:rsidRPr="005959F9">
        <w:rPr>
          <w:rFonts w:ascii="Arial" w:hAnsi="Arial" w:cs="Arial"/>
          <w:sz w:val="20"/>
          <w:szCs w:val="20"/>
          <w:highlight w:val="white"/>
          <w:lang w:eastAsia="en-AU"/>
        </w:rPr>
        <w:t xml:space="preserve">already </w:t>
      </w:r>
      <w:r w:rsidRPr="005959F9">
        <w:rPr>
          <w:rFonts w:ascii="Arial" w:hAnsi="Arial" w:cs="Arial"/>
          <w:sz w:val="20"/>
          <w:szCs w:val="20"/>
          <w:highlight w:val="white"/>
          <w:lang w:eastAsia="en-AU"/>
        </w:rPr>
        <w:t xml:space="preserve">give accurate data. </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autoSpaceDE w:val="0"/>
        <w:autoSpaceDN w:val="0"/>
        <w:adjustRightInd w:val="0"/>
        <w:jc w:val="both"/>
        <w:rPr>
          <w:rFonts w:ascii="Arial" w:hAnsi="Arial" w:cs="Arial"/>
          <w:sz w:val="20"/>
          <w:szCs w:val="20"/>
          <w:highlight w:val="white"/>
          <w:u w:val="single"/>
          <w:lang w:eastAsia="en-AU"/>
        </w:rPr>
      </w:pPr>
      <w:r w:rsidRPr="005959F9">
        <w:rPr>
          <w:rFonts w:ascii="Arial" w:hAnsi="Arial" w:cs="Arial"/>
          <w:sz w:val="20"/>
          <w:szCs w:val="20"/>
          <w:highlight w:val="white"/>
          <w:u w:val="single"/>
          <w:lang w:eastAsia="en-AU"/>
        </w:rPr>
        <w:t xml:space="preserve">NSW ability to accurately report heavy vehicle expenditure costs </w:t>
      </w:r>
    </w:p>
    <w:p w:rsidR="00A45F83" w:rsidRPr="005959F9" w:rsidRDefault="00A45F83" w:rsidP="001025C9">
      <w:pPr>
        <w:jc w:val="both"/>
        <w:rPr>
          <w:rFonts w:ascii="Arial" w:hAnsi="Arial" w:cs="Arial"/>
          <w:sz w:val="20"/>
          <w:szCs w:val="20"/>
        </w:rPr>
      </w:pPr>
    </w:p>
    <w:p w:rsidR="00662536" w:rsidRPr="005959F9" w:rsidRDefault="00662536" w:rsidP="001025C9">
      <w:pPr>
        <w:jc w:val="both"/>
        <w:rPr>
          <w:rFonts w:ascii="Arial" w:hAnsi="Arial" w:cs="Arial"/>
          <w:sz w:val="20"/>
          <w:szCs w:val="20"/>
        </w:rPr>
      </w:pPr>
      <w:r w:rsidRPr="005959F9">
        <w:rPr>
          <w:rFonts w:ascii="Arial" w:hAnsi="Arial" w:cs="Arial"/>
          <w:sz w:val="20"/>
          <w:szCs w:val="20"/>
        </w:rPr>
        <w:t>The ATA has previously highlighted expenditure issues to Minister Gay, quoting the Deloittes NTC report which discussed the NSW RTA</w:t>
      </w:r>
      <w:r w:rsidR="001A7BF4">
        <w:rPr>
          <w:rFonts w:ascii="Arial" w:hAnsi="Arial" w:cs="Arial"/>
          <w:sz w:val="20"/>
          <w:szCs w:val="20"/>
        </w:rPr>
        <w:t>’</w:t>
      </w:r>
      <w:r w:rsidRPr="005959F9">
        <w:rPr>
          <w:rFonts w:ascii="Arial" w:hAnsi="Arial" w:cs="Arial"/>
          <w:sz w:val="20"/>
          <w:szCs w:val="20"/>
        </w:rPr>
        <w:t>s struggle to accurately report heavy vehicle expenditure as required for the NTC expenditure template in 2010-11.</w:t>
      </w:r>
    </w:p>
    <w:p w:rsidR="00662536" w:rsidRPr="005959F9" w:rsidRDefault="00662536" w:rsidP="001025C9">
      <w:pPr>
        <w:jc w:val="both"/>
        <w:rPr>
          <w:rFonts w:ascii="Arial" w:hAnsi="Arial" w:cs="Arial"/>
          <w:sz w:val="20"/>
          <w:szCs w:val="20"/>
        </w:rPr>
      </w:pPr>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 xml:space="preserve">The findings in the paper indicated additional work must be done to improve accurate state reporting of heavy vehicle costs. Unaudited inputs and irregular expenses inclusion is not acceptable. Heavy vehicle specific costs are reported into an NTC expenditure template (see </w:t>
      </w:r>
      <w:r w:rsidR="001A7BF4">
        <w:rPr>
          <w:rFonts w:ascii="Arial" w:hAnsi="Arial" w:cs="Arial"/>
          <w:sz w:val="20"/>
          <w:szCs w:val="20"/>
          <w:highlight w:val="white"/>
          <w:lang w:eastAsia="en-AU"/>
        </w:rPr>
        <w:t>f</w:t>
      </w:r>
      <w:r w:rsidR="00D4403D">
        <w:rPr>
          <w:rFonts w:ascii="Arial" w:hAnsi="Arial" w:cs="Arial"/>
          <w:sz w:val="20"/>
          <w:szCs w:val="20"/>
          <w:highlight w:val="white"/>
          <w:lang w:eastAsia="en-AU"/>
        </w:rPr>
        <w:t>igure 3</w:t>
      </w:r>
      <w:r w:rsidRPr="005959F9">
        <w:rPr>
          <w:rFonts w:ascii="Arial" w:hAnsi="Arial" w:cs="Arial"/>
          <w:sz w:val="20"/>
          <w:szCs w:val="20"/>
          <w:highlight w:val="white"/>
          <w:lang w:eastAsia="en-AU"/>
        </w:rPr>
        <w:t xml:space="preserve">) where categories represent distinctive spending. </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autoSpaceDE w:val="0"/>
        <w:autoSpaceDN w:val="0"/>
        <w:adjustRightInd w:val="0"/>
        <w:jc w:val="both"/>
        <w:rPr>
          <w:rFonts w:ascii="Arial" w:hAnsi="Arial" w:cs="Arial"/>
          <w:sz w:val="20"/>
          <w:szCs w:val="20"/>
          <w:highlight w:val="white"/>
        </w:rPr>
      </w:pPr>
      <w:r w:rsidRPr="005959F9">
        <w:rPr>
          <w:rFonts w:ascii="Arial" w:hAnsi="Arial" w:cs="Arial"/>
          <w:sz w:val="20"/>
          <w:szCs w:val="20"/>
          <w:highlight w:val="white"/>
          <w:lang w:eastAsia="en-AU"/>
        </w:rPr>
        <w:t>In NSW, the paper noted many traffic management costs were included in category E (Low cost safety/traffic improvements); including bus priority and access, railway level crossings, pedestrian bridges, rest area initiatives and black spot treatments. The wide range of activity costs reported in this category indicates over-reporting</w:t>
      </w:r>
      <w:r w:rsidRPr="005959F9">
        <w:rPr>
          <w:rFonts w:ascii="Arial" w:hAnsi="Arial" w:cs="Arial"/>
          <w:sz w:val="20"/>
          <w:szCs w:val="20"/>
          <w:highlight w:val="white"/>
        </w:rPr>
        <w:t>.</w:t>
      </w:r>
      <w:r w:rsidRPr="005959F9">
        <w:rPr>
          <w:rStyle w:val="FootnoteReference"/>
          <w:rFonts w:ascii="Arial" w:hAnsi="Arial" w:cs="Arial"/>
          <w:sz w:val="20"/>
          <w:szCs w:val="20"/>
          <w:highlight w:val="white"/>
        </w:rPr>
        <w:footnoteReference w:id="10"/>
      </w:r>
    </w:p>
    <w:p w:rsidR="00A45F83" w:rsidRPr="005959F9" w:rsidRDefault="00A45F83" w:rsidP="001025C9">
      <w:pPr>
        <w:autoSpaceDE w:val="0"/>
        <w:autoSpaceDN w:val="0"/>
        <w:adjustRightInd w:val="0"/>
        <w:jc w:val="both"/>
        <w:rPr>
          <w:rFonts w:ascii="Arial" w:hAnsi="Arial" w:cs="Arial"/>
          <w:sz w:val="20"/>
          <w:szCs w:val="20"/>
          <w:highlight w:val="white"/>
        </w:rPr>
      </w:pPr>
    </w:p>
    <w:p w:rsidR="00A45F83" w:rsidRPr="005959F9" w:rsidRDefault="00A45F83" w:rsidP="001025C9">
      <w:pPr>
        <w:autoSpaceDE w:val="0"/>
        <w:autoSpaceDN w:val="0"/>
        <w:adjustRightInd w:val="0"/>
        <w:jc w:val="both"/>
        <w:rPr>
          <w:rFonts w:ascii="Arial" w:hAnsi="Arial" w:cs="Arial"/>
          <w:sz w:val="20"/>
          <w:szCs w:val="20"/>
          <w:highlight w:val="white"/>
        </w:rPr>
      </w:pPr>
      <w:r w:rsidRPr="005959F9">
        <w:rPr>
          <w:rFonts w:ascii="Arial" w:hAnsi="Arial" w:cs="Arial"/>
          <w:sz w:val="20"/>
          <w:szCs w:val="20"/>
          <w:highlight w:val="white"/>
        </w:rPr>
        <w:t xml:space="preserve">Deloittes reported the RTA suggested costs not associated with heavy vehicles should be accounted for in the template. RTA justification for this was that comprehensive costs should be captured, regardless of who should pay. This is not a fair way to recover costs from industry. </w:t>
      </w:r>
      <w:r w:rsidRPr="005959F9">
        <w:rPr>
          <w:rStyle w:val="FootnoteReference"/>
          <w:rFonts w:ascii="Arial" w:hAnsi="Arial" w:cs="Arial"/>
          <w:sz w:val="20"/>
          <w:szCs w:val="20"/>
          <w:highlight w:val="white"/>
        </w:rPr>
        <w:footnoteReference w:id="11"/>
      </w:r>
    </w:p>
    <w:p w:rsidR="00A45F83" w:rsidRPr="005959F9" w:rsidRDefault="00A45F83" w:rsidP="001025C9">
      <w:pPr>
        <w:autoSpaceDE w:val="0"/>
        <w:autoSpaceDN w:val="0"/>
        <w:adjustRightInd w:val="0"/>
        <w:jc w:val="both"/>
        <w:rPr>
          <w:rFonts w:ascii="Arial" w:hAnsi="Arial" w:cs="Arial"/>
          <w:sz w:val="20"/>
          <w:szCs w:val="20"/>
          <w:highlight w:val="white"/>
        </w:rPr>
      </w:pPr>
    </w:p>
    <w:p w:rsidR="00A45F83" w:rsidRPr="005959F9" w:rsidRDefault="00A45F83" w:rsidP="001025C9">
      <w:pPr>
        <w:jc w:val="both"/>
        <w:rPr>
          <w:rFonts w:ascii="Arial" w:hAnsi="Arial" w:cs="Arial"/>
          <w:sz w:val="20"/>
          <w:szCs w:val="20"/>
        </w:rPr>
      </w:pPr>
      <w:r w:rsidRPr="005959F9">
        <w:rPr>
          <w:rFonts w:ascii="Arial" w:hAnsi="Arial" w:cs="Arial"/>
          <w:sz w:val="20"/>
          <w:szCs w:val="20"/>
          <w:highlight w:val="white"/>
        </w:rPr>
        <w:t>The report found NSW encountered problems with its financial system providing indications of what expenditure was spent on different types of roads within the NTC template. Identifying the correct road type is important in the heavy vehicle charging model, as the ratio of spending on different road types has an effect on costs that are recovered from the heavy vehicle industry.</w:t>
      </w:r>
      <w:r w:rsidRPr="005959F9">
        <w:rPr>
          <w:rStyle w:val="FootnoteReference"/>
          <w:rFonts w:ascii="Arial" w:hAnsi="Arial" w:cs="Arial"/>
          <w:sz w:val="20"/>
          <w:szCs w:val="20"/>
          <w:highlight w:val="white"/>
        </w:rPr>
        <w:footnoteReference w:id="12"/>
      </w:r>
    </w:p>
    <w:p w:rsidR="00A45F83" w:rsidRPr="005959F9" w:rsidRDefault="00A45F83" w:rsidP="001025C9">
      <w:pPr>
        <w:jc w:val="both"/>
        <w:rPr>
          <w:rFonts w:ascii="Arial" w:hAnsi="Arial" w:cs="Arial"/>
          <w:sz w:val="20"/>
          <w:szCs w:val="20"/>
        </w:rPr>
      </w:pPr>
    </w:p>
    <w:p w:rsidR="00A45F83" w:rsidRPr="005959F9" w:rsidRDefault="00A45F83" w:rsidP="001025C9">
      <w:pPr>
        <w:jc w:val="both"/>
        <w:rPr>
          <w:rFonts w:ascii="Arial" w:hAnsi="Arial" w:cs="Arial"/>
          <w:sz w:val="20"/>
          <w:szCs w:val="20"/>
        </w:rPr>
      </w:pPr>
      <w:r w:rsidRPr="005959F9">
        <w:rPr>
          <w:rFonts w:ascii="Arial" w:hAnsi="Arial" w:cs="Arial"/>
          <w:sz w:val="20"/>
          <w:szCs w:val="20"/>
        </w:rPr>
        <w:t xml:space="preserve">The Deloittes report demonstrated disparity and lack of accountability in a well established expenditure reporting system. The sophistication and high level judgement HVCI is promoting in supply side reform is unachievable in light of the evidence in this report and </w:t>
      </w:r>
      <w:r w:rsidR="00184A28" w:rsidRPr="005959F9">
        <w:rPr>
          <w:rFonts w:ascii="Arial" w:hAnsi="Arial" w:cs="Arial"/>
          <w:sz w:val="20"/>
          <w:szCs w:val="20"/>
        </w:rPr>
        <w:t xml:space="preserve">in </w:t>
      </w:r>
      <w:r w:rsidRPr="005959F9">
        <w:rPr>
          <w:rFonts w:ascii="Arial" w:hAnsi="Arial" w:cs="Arial"/>
          <w:sz w:val="20"/>
          <w:szCs w:val="20"/>
        </w:rPr>
        <w:t xml:space="preserve">the absence of audits.  </w:t>
      </w:r>
    </w:p>
    <w:p w:rsidR="00A45F83" w:rsidRPr="005959F9" w:rsidRDefault="00A45F83" w:rsidP="001025C9">
      <w:pPr>
        <w:jc w:val="both"/>
        <w:rPr>
          <w:rFonts w:ascii="Arial" w:hAnsi="Arial" w:cs="Arial"/>
          <w:sz w:val="20"/>
          <w:szCs w:val="20"/>
        </w:rPr>
      </w:pPr>
    </w:p>
    <w:p w:rsidR="00A45F83" w:rsidRPr="005959F9" w:rsidRDefault="00A45F83" w:rsidP="001025C9">
      <w:pPr>
        <w:jc w:val="both"/>
        <w:rPr>
          <w:rFonts w:ascii="Arial" w:hAnsi="Arial" w:cs="Arial"/>
          <w:sz w:val="20"/>
          <w:szCs w:val="20"/>
        </w:rPr>
      </w:pPr>
      <w:r w:rsidRPr="005959F9">
        <w:rPr>
          <w:rFonts w:ascii="Arial" w:hAnsi="Arial" w:cs="Arial"/>
          <w:sz w:val="20"/>
          <w:szCs w:val="20"/>
        </w:rPr>
        <w:t>To improve the reporting of NSW and all states</w:t>
      </w:r>
      <w:r w:rsidR="001A7BF4">
        <w:rPr>
          <w:rFonts w:ascii="Arial" w:hAnsi="Arial" w:cs="Arial"/>
          <w:sz w:val="20"/>
          <w:szCs w:val="20"/>
        </w:rPr>
        <w:t>,</w:t>
      </w:r>
      <w:r w:rsidRPr="005959F9">
        <w:rPr>
          <w:rFonts w:ascii="Arial" w:hAnsi="Arial" w:cs="Arial"/>
          <w:sz w:val="20"/>
          <w:szCs w:val="20"/>
        </w:rPr>
        <w:t xml:space="preserve"> the </w:t>
      </w:r>
      <w:r w:rsidR="00243126" w:rsidRPr="005959F9">
        <w:rPr>
          <w:rFonts w:ascii="Arial" w:hAnsi="Arial" w:cs="Arial"/>
          <w:sz w:val="20"/>
          <w:szCs w:val="20"/>
        </w:rPr>
        <w:t>ATA NSW</w:t>
      </w:r>
      <w:r w:rsidRPr="005959F9">
        <w:rPr>
          <w:rFonts w:ascii="Arial" w:hAnsi="Arial" w:cs="Arial"/>
          <w:sz w:val="20"/>
          <w:szCs w:val="20"/>
        </w:rPr>
        <w:t xml:space="preserve"> recommends a transparent external audit of inputs by a third party. </w:t>
      </w:r>
    </w:p>
    <w:p w:rsidR="00A45F83" w:rsidRPr="005959F9" w:rsidRDefault="00A45F83" w:rsidP="001025C9">
      <w:pPr>
        <w:jc w:val="both"/>
        <w:rPr>
          <w:rFonts w:ascii="Arial" w:hAnsi="Arial" w:cs="Arial"/>
          <w:sz w:val="20"/>
          <w:szCs w:val="20"/>
        </w:rPr>
      </w:pPr>
    </w:p>
    <w:p w:rsidR="00A45F83" w:rsidRPr="005959F9" w:rsidRDefault="00A45F83" w:rsidP="001025C9">
      <w:pPr>
        <w:jc w:val="both"/>
        <w:rPr>
          <w:rFonts w:ascii="Arial" w:hAnsi="Arial" w:cs="Arial"/>
          <w:sz w:val="20"/>
          <w:szCs w:val="20"/>
        </w:rPr>
      </w:pPr>
      <w:proofErr w:type="gramStart"/>
      <w:r w:rsidRPr="005959F9">
        <w:rPr>
          <w:rFonts w:ascii="Arial" w:hAnsi="Arial" w:cs="Arial"/>
          <w:sz w:val="20"/>
          <w:szCs w:val="20"/>
        </w:rPr>
        <w:t>Forward looking pricing need</w:t>
      </w:r>
      <w:r w:rsidR="00BF44C4" w:rsidRPr="005959F9">
        <w:rPr>
          <w:rFonts w:ascii="Arial" w:hAnsi="Arial" w:cs="Arial"/>
          <w:sz w:val="20"/>
          <w:szCs w:val="20"/>
        </w:rPr>
        <w:t>s</w:t>
      </w:r>
      <w:r w:rsidRPr="005959F9">
        <w:rPr>
          <w:rFonts w:ascii="Arial" w:hAnsi="Arial" w:cs="Arial"/>
          <w:sz w:val="20"/>
          <w:szCs w:val="20"/>
        </w:rPr>
        <w:t xml:space="preserve"> significant enhancing</w:t>
      </w:r>
      <w:r w:rsidR="00BF44C4" w:rsidRPr="005959F9">
        <w:rPr>
          <w:rFonts w:ascii="Arial" w:hAnsi="Arial" w:cs="Arial"/>
          <w:sz w:val="20"/>
          <w:szCs w:val="20"/>
        </w:rPr>
        <w:t xml:space="preserve"> of</w:t>
      </w:r>
      <w:r w:rsidRPr="005959F9">
        <w:rPr>
          <w:rFonts w:ascii="Arial" w:hAnsi="Arial" w:cs="Arial"/>
          <w:sz w:val="20"/>
          <w:szCs w:val="20"/>
        </w:rPr>
        <w:t xml:space="preserve"> accountabili</w:t>
      </w:r>
      <w:r w:rsidR="001A7BF4">
        <w:rPr>
          <w:rFonts w:ascii="Arial" w:hAnsi="Arial" w:cs="Arial"/>
          <w:sz w:val="20"/>
          <w:szCs w:val="20"/>
        </w:rPr>
        <w:t>ty, a stronger engineering base</w:t>
      </w:r>
      <w:r w:rsidRPr="005959F9">
        <w:rPr>
          <w:rFonts w:ascii="Arial" w:hAnsi="Arial" w:cs="Arial"/>
          <w:sz w:val="20"/>
          <w:szCs w:val="20"/>
        </w:rPr>
        <w:t xml:space="preserve"> and to be fully transparent.</w:t>
      </w:r>
      <w:proofErr w:type="gramEnd"/>
      <w:r w:rsidRPr="005959F9">
        <w:rPr>
          <w:rFonts w:ascii="Arial" w:hAnsi="Arial" w:cs="Arial"/>
          <w:sz w:val="20"/>
          <w:szCs w:val="20"/>
        </w:rPr>
        <w:t xml:space="preserve"> NSW road agencies need major reform to achieve </w:t>
      </w:r>
      <w:r w:rsidR="00BF44C4" w:rsidRPr="005959F9">
        <w:rPr>
          <w:rFonts w:ascii="Arial" w:hAnsi="Arial" w:cs="Arial"/>
          <w:sz w:val="20"/>
          <w:szCs w:val="20"/>
        </w:rPr>
        <w:t>these fundamental constraints</w:t>
      </w:r>
      <w:r w:rsidRPr="005959F9">
        <w:rPr>
          <w:rFonts w:ascii="Arial" w:hAnsi="Arial" w:cs="Arial"/>
          <w:sz w:val="20"/>
          <w:szCs w:val="20"/>
        </w:rPr>
        <w:t xml:space="preserve">. </w:t>
      </w:r>
    </w:p>
    <w:p w:rsidR="00A45F83" w:rsidRPr="005959F9" w:rsidRDefault="00A45F83" w:rsidP="001025C9">
      <w:pPr>
        <w:pStyle w:val="RecommendationStyle"/>
        <w:jc w:val="both"/>
      </w:pPr>
      <w:bookmarkStart w:id="180" w:name="_Toc348509199"/>
      <w:bookmarkStart w:id="181" w:name="_Toc348510872"/>
      <w:bookmarkStart w:id="182" w:name="_Toc348511271"/>
      <w:bookmarkStart w:id="183" w:name="_Toc348704624"/>
      <w:bookmarkStart w:id="184" w:name="_Toc348706897"/>
      <w:bookmarkStart w:id="185" w:name="_Toc349034220"/>
      <w:bookmarkStart w:id="186" w:name="_Toc349034487"/>
      <w:bookmarkStart w:id="187" w:name="_Toc349037936"/>
      <w:bookmarkStart w:id="188" w:name="_Toc349123833"/>
      <w:bookmarkEnd w:id="180"/>
      <w:bookmarkEnd w:id="181"/>
      <w:bookmarkEnd w:id="182"/>
      <w:bookmarkEnd w:id="183"/>
      <w:bookmarkEnd w:id="184"/>
      <w:bookmarkEnd w:id="185"/>
      <w:bookmarkEnd w:id="186"/>
      <w:bookmarkEnd w:id="187"/>
      <w:bookmarkEnd w:id="188"/>
    </w:p>
    <w:p w:rsidR="00A45F83" w:rsidRDefault="004533ED" w:rsidP="001025C9">
      <w:pPr>
        <w:pStyle w:val="RecommendationStyle"/>
        <w:numPr>
          <w:ilvl w:val="0"/>
          <w:numId w:val="0"/>
        </w:numPr>
        <w:jc w:val="both"/>
        <w:rPr>
          <w:i w:val="0"/>
        </w:rPr>
      </w:pPr>
      <w:bookmarkStart w:id="189" w:name="_Toc348509200"/>
      <w:bookmarkStart w:id="190" w:name="_Toc348510873"/>
      <w:bookmarkStart w:id="191" w:name="_Toc348511272"/>
      <w:bookmarkStart w:id="192" w:name="_Toc348704625"/>
      <w:bookmarkStart w:id="193" w:name="_Toc348706898"/>
      <w:bookmarkStart w:id="194" w:name="_Toc349034221"/>
      <w:bookmarkStart w:id="195" w:name="_Toc349034488"/>
      <w:bookmarkStart w:id="196" w:name="_Toc349037937"/>
      <w:bookmarkStart w:id="197" w:name="_Toc349123834"/>
      <w:r w:rsidRPr="005959F9">
        <w:rPr>
          <w:i w:val="0"/>
        </w:rPr>
        <w:t>Supply side reform should also be analysed when examining changes to road access pricing.</w:t>
      </w:r>
      <w:bookmarkEnd w:id="189"/>
      <w:bookmarkEnd w:id="190"/>
      <w:bookmarkEnd w:id="191"/>
      <w:bookmarkEnd w:id="192"/>
      <w:bookmarkEnd w:id="193"/>
      <w:bookmarkEnd w:id="194"/>
      <w:bookmarkEnd w:id="195"/>
      <w:bookmarkEnd w:id="196"/>
      <w:bookmarkEnd w:id="197"/>
      <w:r w:rsidRPr="005959F9">
        <w:rPr>
          <w:i w:val="0"/>
        </w:rPr>
        <w:t xml:space="preserve"> </w:t>
      </w:r>
    </w:p>
    <w:p w:rsidR="001025C9" w:rsidRDefault="001025C9" w:rsidP="001025C9">
      <w:pPr>
        <w:pStyle w:val="RecommendationStyle"/>
        <w:numPr>
          <w:ilvl w:val="0"/>
          <w:numId w:val="0"/>
        </w:numPr>
        <w:jc w:val="both"/>
        <w:rPr>
          <w:i w:val="0"/>
        </w:rPr>
      </w:pPr>
    </w:p>
    <w:p w:rsidR="001025C9" w:rsidRPr="005959F9" w:rsidRDefault="001025C9" w:rsidP="001025C9">
      <w:pPr>
        <w:pStyle w:val="RecommendationStyle"/>
        <w:numPr>
          <w:ilvl w:val="0"/>
          <w:numId w:val="0"/>
        </w:numPr>
        <w:jc w:val="both"/>
        <w:rPr>
          <w:i w:val="0"/>
        </w:rPr>
      </w:pPr>
    </w:p>
    <w:p w:rsidR="00A45F83" w:rsidRPr="005959F9" w:rsidRDefault="00A45F83" w:rsidP="001025C9">
      <w:pPr>
        <w:pStyle w:val="RecommendationStyle"/>
        <w:jc w:val="both"/>
      </w:pPr>
      <w:bookmarkStart w:id="198" w:name="_Toc348509201"/>
      <w:bookmarkStart w:id="199" w:name="_Toc348510874"/>
      <w:bookmarkStart w:id="200" w:name="_Toc348511273"/>
      <w:bookmarkStart w:id="201" w:name="_Toc348704626"/>
      <w:bookmarkStart w:id="202" w:name="_Toc348706899"/>
      <w:bookmarkStart w:id="203" w:name="_Toc349034222"/>
      <w:bookmarkStart w:id="204" w:name="_Toc349034489"/>
      <w:bookmarkStart w:id="205" w:name="_Toc349037938"/>
      <w:bookmarkStart w:id="206" w:name="_Toc349123835"/>
      <w:bookmarkEnd w:id="198"/>
      <w:bookmarkEnd w:id="199"/>
      <w:bookmarkEnd w:id="200"/>
      <w:bookmarkEnd w:id="201"/>
      <w:bookmarkEnd w:id="202"/>
      <w:bookmarkEnd w:id="203"/>
      <w:bookmarkEnd w:id="204"/>
      <w:bookmarkEnd w:id="205"/>
      <w:bookmarkEnd w:id="206"/>
    </w:p>
    <w:p w:rsidR="00797654" w:rsidRPr="005959F9" w:rsidRDefault="004533ED" w:rsidP="001025C9">
      <w:pPr>
        <w:pStyle w:val="RecommendationStyle"/>
        <w:numPr>
          <w:ilvl w:val="0"/>
          <w:numId w:val="0"/>
        </w:numPr>
        <w:jc w:val="both"/>
        <w:rPr>
          <w:i w:val="0"/>
        </w:rPr>
      </w:pPr>
      <w:bookmarkStart w:id="207" w:name="_Toc348510875"/>
      <w:bookmarkStart w:id="208" w:name="_Toc348511274"/>
      <w:bookmarkStart w:id="209" w:name="_Toc348704627"/>
      <w:bookmarkStart w:id="210" w:name="_Toc348706900"/>
      <w:bookmarkStart w:id="211" w:name="_Toc349034223"/>
      <w:bookmarkStart w:id="212" w:name="_Toc349034490"/>
      <w:bookmarkStart w:id="213" w:name="_Toc349037939"/>
      <w:bookmarkStart w:id="214" w:name="_Toc349123836"/>
      <w:bookmarkStart w:id="215" w:name="_Toc348509202"/>
      <w:r w:rsidRPr="005959F9">
        <w:rPr>
          <w:i w:val="0"/>
        </w:rPr>
        <w:t>Improve first and last mile access for heavy vehicles and support the use of high productivity vehicles in NSW to improve productivity.</w:t>
      </w:r>
      <w:bookmarkEnd w:id="207"/>
      <w:bookmarkEnd w:id="208"/>
      <w:bookmarkEnd w:id="209"/>
      <w:bookmarkEnd w:id="210"/>
      <w:bookmarkEnd w:id="211"/>
      <w:bookmarkEnd w:id="212"/>
      <w:bookmarkEnd w:id="213"/>
      <w:bookmarkEnd w:id="214"/>
      <w:r w:rsidRPr="005959F9">
        <w:rPr>
          <w:i w:val="0"/>
        </w:rPr>
        <w:t xml:space="preserve"> </w:t>
      </w:r>
    </w:p>
    <w:p w:rsidR="00A45F83" w:rsidRPr="005959F9" w:rsidRDefault="00A45F83" w:rsidP="001025C9">
      <w:pPr>
        <w:pStyle w:val="RecommendationStyle"/>
        <w:jc w:val="both"/>
      </w:pPr>
      <w:bookmarkStart w:id="216" w:name="_Toc348509203"/>
      <w:bookmarkStart w:id="217" w:name="_Toc348510876"/>
      <w:bookmarkStart w:id="218" w:name="_Toc348511275"/>
      <w:bookmarkStart w:id="219" w:name="_Toc348704628"/>
      <w:bookmarkStart w:id="220" w:name="_Toc348706901"/>
      <w:bookmarkStart w:id="221" w:name="_Toc349034224"/>
      <w:bookmarkStart w:id="222" w:name="_Toc349034491"/>
      <w:bookmarkStart w:id="223" w:name="_Toc349037940"/>
      <w:bookmarkStart w:id="224" w:name="_Toc349123837"/>
      <w:bookmarkEnd w:id="215"/>
      <w:bookmarkEnd w:id="216"/>
      <w:bookmarkEnd w:id="217"/>
      <w:bookmarkEnd w:id="218"/>
      <w:bookmarkEnd w:id="219"/>
      <w:bookmarkEnd w:id="220"/>
      <w:bookmarkEnd w:id="221"/>
      <w:bookmarkEnd w:id="222"/>
      <w:bookmarkEnd w:id="223"/>
      <w:bookmarkEnd w:id="224"/>
    </w:p>
    <w:p w:rsidR="00A45F83" w:rsidRPr="009441ED" w:rsidRDefault="009441ED" w:rsidP="001025C9">
      <w:pPr>
        <w:pStyle w:val="RecommendationStyle"/>
        <w:numPr>
          <w:ilvl w:val="0"/>
          <w:numId w:val="0"/>
        </w:numPr>
        <w:jc w:val="both"/>
        <w:rPr>
          <w:i w:val="0"/>
        </w:rPr>
      </w:pPr>
      <w:bookmarkStart w:id="225" w:name="_Toc349034225"/>
      <w:bookmarkStart w:id="226" w:name="_Toc349034492"/>
      <w:bookmarkStart w:id="227" w:name="_Toc349037941"/>
      <w:bookmarkStart w:id="228" w:name="_Toc349123838"/>
      <w:r>
        <w:rPr>
          <w:i w:val="0"/>
        </w:rPr>
        <w:t xml:space="preserve">The </w:t>
      </w:r>
      <w:r w:rsidR="003340FB">
        <w:rPr>
          <w:i w:val="0"/>
        </w:rPr>
        <w:t>Committee</w:t>
      </w:r>
      <w:r w:rsidR="00D74FF1">
        <w:rPr>
          <w:i w:val="0"/>
        </w:rPr>
        <w:t xml:space="preserve"> </w:t>
      </w:r>
      <w:r>
        <w:rPr>
          <w:i w:val="0"/>
        </w:rPr>
        <w:t xml:space="preserve">should examine current streams of data and evaluate if the extra cost of </w:t>
      </w:r>
      <w:r w:rsidR="005A6891">
        <w:rPr>
          <w:i w:val="0"/>
        </w:rPr>
        <w:t>gathering more detailed data</w:t>
      </w:r>
      <w:r>
        <w:rPr>
          <w:i w:val="0"/>
        </w:rPr>
        <w:t xml:space="preserve"> is a sensible investment.</w:t>
      </w:r>
      <w:bookmarkEnd w:id="225"/>
      <w:bookmarkEnd w:id="226"/>
      <w:bookmarkEnd w:id="227"/>
      <w:bookmarkEnd w:id="228"/>
      <w:r>
        <w:rPr>
          <w:i w:val="0"/>
        </w:rPr>
        <w:t xml:space="preserve"> </w:t>
      </w:r>
      <w:r w:rsidR="004533ED" w:rsidRPr="009441ED">
        <w:rPr>
          <w:i w:val="0"/>
        </w:rPr>
        <w:t xml:space="preserve"> </w:t>
      </w:r>
    </w:p>
    <w:p w:rsidR="00A45F83" w:rsidRPr="005959F9" w:rsidRDefault="00A45F83" w:rsidP="001025C9">
      <w:pPr>
        <w:pStyle w:val="RecommendationStyle"/>
        <w:jc w:val="both"/>
      </w:pPr>
      <w:bookmarkStart w:id="229" w:name="_Toc348509205"/>
      <w:bookmarkStart w:id="230" w:name="_Toc348510878"/>
      <w:bookmarkStart w:id="231" w:name="_Toc348511277"/>
      <w:bookmarkStart w:id="232" w:name="_Toc348704630"/>
      <w:bookmarkStart w:id="233" w:name="_Toc348706903"/>
      <w:bookmarkStart w:id="234" w:name="_Toc349034226"/>
      <w:bookmarkStart w:id="235" w:name="_Toc349034493"/>
      <w:bookmarkStart w:id="236" w:name="_Toc349037942"/>
      <w:bookmarkStart w:id="237" w:name="_Toc349123839"/>
      <w:bookmarkEnd w:id="229"/>
      <w:bookmarkEnd w:id="230"/>
      <w:bookmarkEnd w:id="231"/>
      <w:bookmarkEnd w:id="232"/>
      <w:bookmarkEnd w:id="233"/>
      <w:bookmarkEnd w:id="234"/>
      <w:bookmarkEnd w:id="235"/>
      <w:bookmarkEnd w:id="236"/>
      <w:bookmarkEnd w:id="237"/>
    </w:p>
    <w:p w:rsidR="00A45F83" w:rsidRPr="005959F9" w:rsidRDefault="004533ED" w:rsidP="001025C9">
      <w:pPr>
        <w:pStyle w:val="RecommendationStyle"/>
        <w:numPr>
          <w:ilvl w:val="0"/>
          <w:numId w:val="0"/>
        </w:numPr>
        <w:jc w:val="both"/>
        <w:rPr>
          <w:i w:val="0"/>
        </w:rPr>
      </w:pPr>
      <w:bookmarkStart w:id="238" w:name="_Toc348509206"/>
      <w:bookmarkStart w:id="239" w:name="_Toc348510879"/>
      <w:bookmarkStart w:id="240" w:name="_Toc348511278"/>
      <w:bookmarkStart w:id="241" w:name="_Toc348704631"/>
      <w:bookmarkStart w:id="242" w:name="_Toc348706904"/>
      <w:bookmarkStart w:id="243" w:name="_Toc349034227"/>
      <w:bookmarkStart w:id="244" w:name="_Toc349034494"/>
      <w:bookmarkStart w:id="245" w:name="_Toc349037943"/>
      <w:bookmarkStart w:id="246" w:name="_Toc349123840"/>
      <w:r w:rsidRPr="005959F9">
        <w:rPr>
          <w:i w:val="0"/>
        </w:rPr>
        <w:t>Road expenditure inputs recorded by NSW should be audited by a</w:t>
      </w:r>
      <w:r w:rsidR="00184A28" w:rsidRPr="005959F9">
        <w:rPr>
          <w:i w:val="0"/>
        </w:rPr>
        <w:t>n independent</w:t>
      </w:r>
      <w:r w:rsidRPr="005959F9">
        <w:rPr>
          <w:i w:val="0"/>
        </w:rPr>
        <w:t xml:space="preserve"> third party.</w:t>
      </w:r>
      <w:bookmarkEnd w:id="238"/>
      <w:bookmarkEnd w:id="239"/>
      <w:bookmarkEnd w:id="240"/>
      <w:bookmarkEnd w:id="241"/>
      <w:bookmarkEnd w:id="242"/>
      <w:bookmarkEnd w:id="243"/>
      <w:bookmarkEnd w:id="244"/>
      <w:bookmarkEnd w:id="245"/>
      <w:bookmarkEnd w:id="246"/>
      <w:r w:rsidRPr="005959F9">
        <w:rPr>
          <w:i w:val="0"/>
        </w:rPr>
        <w:t xml:space="preserve"> </w:t>
      </w:r>
    </w:p>
    <w:p w:rsidR="00A45F83" w:rsidRPr="005959F9" w:rsidRDefault="00A45F83" w:rsidP="001025C9">
      <w:pPr>
        <w:jc w:val="both"/>
        <w:rPr>
          <w:rFonts w:ascii="Arial" w:hAnsi="Arial" w:cs="Arial"/>
        </w:rPr>
      </w:pPr>
    </w:p>
    <w:p w:rsidR="00A45F83" w:rsidRPr="005959F9" w:rsidRDefault="00A45F83" w:rsidP="001025C9">
      <w:pPr>
        <w:pStyle w:val="ATAHeading2"/>
        <w:numPr>
          <w:ilvl w:val="1"/>
          <w:numId w:val="13"/>
        </w:numPr>
        <w:jc w:val="both"/>
        <w:rPr>
          <w:bCs/>
        </w:rPr>
      </w:pPr>
      <w:bookmarkStart w:id="247" w:name="_Toc348450027"/>
      <w:bookmarkStart w:id="248" w:name="_Toc349125093"/>
      <w:r w:rsidRPr="005959F9">
        <w:rPr>
          <w:bCs/>
        </w:rPr>
        <w:t>Capabilities of road access pricing technologies</w:t>
      </w:r>
      <w:bookmarkEnd w:id="247"/>
      <w:bookmarkEnd w:id="248"/>
    </w:p>
    <w:p w:rsidR="001A7BF4"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While technology is advancing in the area of in</w:t>
      </w:r>
      <w:r w:rsidR="00184A28" w:rsidRPr="005959F9">
        <w:rPr>
          <w:rFonts w:ascii="Arial" w:hAnsi="Arial" w:cs="Arial"/>
          <w:sz w:val="20"/>
          <w:szCs w:val="20"/>
          <w:highlight w:val="white"/>
          <w:lang w:eastAsia="en-AU"/>
        </w:rPr>
        <w:t>-</w:t>
      </w:r>
      <w:r w:rsidRPr="005959F9">
        <w:rPr>
          <w:rFonts w:ascii="Arial" w:hAnsi="Arial" w:cs="Arial"/>
          <w:sz w:val="20"/>
          <w:szCs w:val="20"/>
          <w:highlight w:val="white"/>
          <w:lang w:eastAsia="en-AU"/>
        </w:rPr>
        <w:t xml:space="preserve">vehicle technology applications, government policy on technology has been regressive and </w:t>
      </w:r>
      <w:r w:rsidR="00184A28" w:rsidRPr="005959F9">
        <w:rPr>
          <w:rFonts w:ascii="Arial" w:hAnsi="Arial" w:cs="Arial"/>
          <w:sz w:val="20"/>
          <w:szCs w:val="20"/>
          <w:highlight w:val="white"/>
          <w:lang w:eastAsia="en-AU"/>
        </w:rPr>
        <w:t xml:space="preserve">has </w:t>
      </w:r>
      <w:r w:rsidRPr="005959F9">
        <w:rPr>
          <w:rFonts w:ascii="Arial" w:hAnsi="Arial" w:cs="Arial"/>
          <w:sz w:val="20"/>
          <w:szCs w:val="20"/>
          <w:highlight w:val="white"/>
          <w:lang w:eastAsia="en-AU"/>
        </w:rPr>
        <w:t xml:space="preserve">led to poor productivity outcomes. </w:t>
      </w:r>
    </w:p>
    <w:p w:rsidR="001A7BF4" w:rsidRPr="005959F9" w:rsidRDefault="001A7BF4" w:rsidP="001025C9">
      <w:pPr>
        <w:autoSpaceDE w:val="0"/>
        <w:autoSpaceDN w:val="0"/>
        <w:adjustRightInd w:val="0"/>
        <w:jc w:val="both"/>
        <w:rPr>
          <w:rFonts w:ascii="Arial" w:hAnsi="Arial" w:cs="Arial"/>
          <w:sz w:val="20"/>
          <w:szCs w:val="20"/>
          <w:highlight w:val="white"/>
          <w:lang w:eastAsia="en-AU"/>
        </w:rPr>
      </w:pPr>
    </w:p>
    <w:p w:rsidR="00A45F83" w:rsidRPr="005959F9" w:rsidRDefault="001A7BF4" w:rsidP="001025C9">
      <w:pPr>
        <w:autoSpaceDE w:val="0"/>
        <w:autoSpaceDN w:val="0"/>
        <w:adjustRightInd w:val="0"/>
        <w:jc w:val="both"/>
        <w:rPr>
          <w:rFonts w:ascii="Arial" w:hAnsi="Arial" w:cs="Arial"/>
          <w:sz w:val="20"/>
          <w:szCs w:val="20"/>
          <w:highlight w:val="white"/>
          <w:lang w:eastAsia="en-AU"/>
        </w:rPr>
      </w:pPr>
      <w:r>
        <w:rPr>
          <w:rFonts w:ascii="Arial" w:hAnsi="Arial" w:cs="Arial"/>
          <w:sz w:val="20"/>
          <w:szCs w:val="20"/>
          <w:highlight w:val="white"/>
          <w:lang w:eastAsia="en-AU"/>
        </w:rPr>
        <w:t>An example of this is</w:t>
      </w:r>
      <w:r w:rsidR="00A45F83" w:rsidRPr="005959F9">
        <w:rPr>
          <w:rFonts w:ascii="Arial" w:hAnsi="Arial" w:cs="Arial"/>
          <w:sz w:val="20"/>
          <w:szCs w:val="20"/>
          <w:highlight w:val="white"/>
          <w:lang w:eastAsia="en-AU"/>
        </w:rPr>
        <w:t xml:space="preserve"> the </w:t>
      </w:r>
      <w:r w:rsidR="0020791B" w:rsidRPr="005959F9">
        <w:rPr>
          <w:rFonts w:ascii="Arial" w:hAnsi="Arial" w:cs="Arial"/>
          <w:sz w:val="20"/>
          <w:szCs w:val="20"/>
          <w:highlight w:val="white"/>
          <w:lang w:eastAsia="en-AU"/>
        </w:rPr>
        <w:t>I</w:t>
      </w:r>
      <w:r w:rsidR="00A45F83" w:rsidRPr="005959F9">
        <w:rPr>
          <w:rFonts w:ascii="Arial" w:hAnsi="Arial" w:cs="Arial"/>
          <w:sz w:val="20"/>
          <w:szCs w:val="20"/>
          <w:highlight w:val="white"/>
          <w:lang w:eastAsia="en-AU"/>
        </w:rPr>
        <w:t xml:space="preserve">ntelligent </w:t>
      </w:r>
      <w:r w:rsidR="0020791B" w:rsidRPr="005959F9">
        <w:rPr>
          <w:rFonts w:ascii="Arial" w:hAnsi="Arial" w:cs="Arial"/>
          <w:sz w:val="20"/>
          <w:szCs w:val="20"/>
          <w:highlight w:val="white"/>
          <w:lang w:eastAsia="en-AU"/>
        </w:rPr>
        <w:t>A</w:t>
      </w:r>
      <w:r w:rsidR="00A45F83" w:rsidRPr="005959F9">
        <w:rPr>
          <w:rFonts w:ascii="Arial" w:hAnsi="Arial" w:cs="Arial"/>
          <w:sz w:val="20"/>
          <w:szCs w:val="20"/>
          <w:highlight w:val="white"/>
          <w:lang w:eastAsia="en-AU"/>
        </w:rPr>
        <w:t xml:space="preserve">ccess </w:t>
      </w:r>
      <w:r w:rsidR="0020791B" w:rsidRPr="005959F9">
        <w:rPr>
          <w:rFonts w:ascii="Arial" w:hAnsi="Arial" w:cs="Arial"/>
          <w:sz w:val="20"/>
          <w:szCs w:val="20"/>
          <w:highlight w:val="white"/>
          <w:lang w:eastAsia="en-AU"/>
        </w:rPr>
        <w:t>P</w:t>
      </w:r>
      <w:r w:rsidR="00A45F83" w:rsidRPr="005959F9">
        <w:rPr>
          <w:rFonts w:ascii="Arial" w:hAnsi="Arial" w:cs="Arial"/>
          <w:sz w:val="20"/>
          <w:szCs w:val="20"/>
          <w:highlight w:val="white"/>
          <w:lang w:eastAsia="en-AU"/>
        </w:rPr>
        <w:t>rogram (IAP)</w:t>
      </w:r>
      <w:r w:rsidR="0020791B" w:rsidRPr="005959F9">
        <w:rPr>
          <w:rFonts w:ascii="Arial" w:hAnsi="Arial" w:cs="Arial"/>
          <w:sz w:val="20"/>
          <w:szCs w:val="20"/>
          <w:highlight w:val="white"/>
          <w:lang w:eastAsia="en-AU"/>
        </w:rPr>
        <w:t>.</w:t>
      </w:r>
      <w:r w:rsidR="00A45F83" w:rsidRPr="005959F9">
        <w:rPr>
          <w:rFonts w:ascii="Arial" w:hAnsi="Arial" w:cs="Arial"/>
          <w:sz w:val="20"/>
          <w:szCs w:val="20"/>
          <w:highlight w:val="white"/>
          <w:lang w:eastAsia="en-AU"/>
        </w:rPr>
        <w:t xml:space="preserve"> IAP is a program </w:t>
      </w:r>
      <w:r w:rsidR="0020791B" w:rsidRPr="005959F9">
        <w:rPr>
          <w:rFonts w:ascii="Arial" w:hAnsi="Arial" w:cs="Arial"/>
          <w:sz w:val="20"/>
          <w:szCs w:val="20"/>
          <w:highlight w:val="white"/>
          <w:lang w:eastAsia="en-AU"/>
        </w:rPr>
        <w:t xml:space="preserve">that </w:t>
      </w:r>
      <w:r w:rsidR="00A45F83" w:rsidRPr="005959F9">
        <w:rPr>
          <w:rFonts w:ascii="Arial" w:hAnsi="Arial" w:cs="Arial"/>
          <w:sz w:val="20"/>
          <w:szCs w:val="20"/>
          <w:highlight w:val="white"/>
          <w:lang w:eastAsia="en-AU"/>
        </w:rPr>
        <w:t>monitors some</w:t>
      </w:r>
      <w:r>
        <w:rPr>
          <w:rFonts w:ascii="Arial" w:hAnsi="Arial" w:cs="Arial"/>
          <w:sz w:val="20"/>
          <w:szCs w:val="20"/>
          <w:highlight w:val="white"/>
          <w:lang w:eastAsia="en-AU"/>
        </w:rPr>
        <w:t xml:space="preserve"> areas of heavy vehicle</w:t>
      </w:r>
      <w:r w:rsidR="00A45F83" w:rsidRPr="005959F9">
        <w:rPr>
          <w:rFonts w:ascii="Arial" w:hAnsi="Arial" w:cs="Arial"/>
          <w:sz w:val="20"/>
          <w:szCs w:val="20"/>
          <w:highlight w:val="white"/>
          <w:lang w:eastAsia="en-AU"/>
        </w:rPr>
        <w:t xml:space="preserve"> conditional access. Transport </w:t>
      </w:r>
      <w:r w:rsidR="0020791B" w:rsidRPr="005959F9">
        <w:rPr>
          <w:rFonts w:ascii="Arial" w:hAnsi="Arial" w:cs="Arial"/>
          <w:sz w:val="20"/>
          <w:szCs w:val="20"/>
          <w:highlight w:val="white"/>
          <w:lang w:eastAsia="en-AU"/>
        </w:rPr>
        <w:t>C</w:t>
      </w:r>
      <w:r w:rsidR="00A45F83" w:rsidRPr="005959F9">
        <w:rPr>
          <w:rFonts w:ascii="Arial" w:hAnsi="Arial" w:cs="Arial"/>
          <w:sz w:val="20"/>
          <w:szCs w:val="20"/>
          <w:highlight w:val="white"/>
          <w:lang w:eastAsia="en-AU"/>
        </w:rPr>
        <w:t xml:space="preserve">ertification Australia (TCA) is the public company wholly owned by participating road agencies, which oversees certification of IAP devices. TCA claims that IAP is a voluntary program; however, if operators want to operate to a high level efficiency using </w:t>
      </w:r>
      <w:r w:rsidR="00D003B0">
        <w:rPr>
          <w:rFonts w:ascii="Arial" w:hAnsi="Arial" w:cs="Arial"/>
          <w:sz w:val="20"/>
          <w:szCs w:val="20"/>
          <w:highlight w:val="white"/>
          <w:lang w:eastAsia="en-AU"/>
        </w:rPr>
        <w:t>certain</w:t>
      </w:r>
      <w:r w:rsidR="00A45F83" w:rsidRPr="005959F9">
        <w:rPr>
          <w:rFonts w:ascii="Arial" w:hAnsi="Arial" w:cs="Arial"/>
          <w:sz w:val="20"/>
          <w:szCs w:val="20"/>
          <w:highlight w:val="white"/>
          <w:lang w:eastAsia="en-AU"/>
        </w:rPr>
        <w:t xml:space="preserve"> high productivity vehicles, they must use IAP for compliance. </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autoSpaceDE w:val="0"/>
        <w:autoSpaceDN w:val="0"/>
        <w:adjustRightInd w:val="0"/>
        <w:jc w:val="both"/>
        <w:rPr>
          <w:rFonts w:ascii="Arial" w:hAnsi="Arial" w:cs="Arial"/>
          <w:sz w:val="20"/>
          <w:szCs w:val="20"/>
          <w:lang w:eastAsia="en-AU"/>
        </w:rPr>
      </w:pPr>
      <w:r w:rsidRPr="005959F9">
        <w:rPr>
          <w:rFonts w:ascii="Arial" w:hAnsi="Arial" w:cs="Arial"/>
          <w:sz w:val="20"/>
          <w:szCs w:val="20"/>
          <w:highlight w:val="white"/>
          <w:lang w:eastAsia="en-AU"/>
        </w:rPr>
        <w:t>D</w:t>
      </w:r>
      <w:r w:rsidRPr="005959F9">
        <w:rPr>
          <w:rFonts w:ascii="Arial" w:hAnsi="Arial" w:cs="Arial"/>
          <w:sz w:val="20"/>
          <w:szCs w:val="20"/>
          <w:lang w:eastAsia="en-AU"/>
        </w:rPr>
        <w:t>ue to the safe nature of B-doubles, Australia has embraced the use of these high productivity vehicles over the past 20 years</w:t>
      </w:r>
      <w:r w:rsidR="00D003B0">
        <w:rPr>
          <w:rFonts w:ascii="Arial" w:hAnsi="Arial" w:cs="Arial"/>
          <w:sz w:val="20"/>
          <w:szCs w:val="20"/>
          <w:lang w:eastAsia="en-AU"/>
        </w:rPr>
        <w:t xml:space="preserve"> with no requirement for IAP</w:t>
      </w:r>
      <w:r w:rsidRPr="005959F9">
        <w:rPr>
          <w:rFonts w:ascii="Arial" w:hAnsi="Arial" w:cs="Arial"/>
          <w:sz w:val="20"/>
          <w:szCs w:val="20"/>
          <w:lang w:eastAsia="en-AU"/>
        </w:rPr>
        <w:t>, regardless of the level of mass limit being accessed in most states. However, New South Wales a</w:t>
      </w:r>
      <w:r w:rsidR="00D003B0">
        <w:rPr>
          <w:rFonts w:ascii="Arial" w:hAnsi="Arial" w:cs="Arial"/>
          <w:sz w:val="20"/>
          <w:szCs w:val="20"/>
          <w:lang w:eastAsia="en-AU"/>
        </w:rPr>
        <w:t>nd Queensland currently require</w:t>
      </w:r>
      <w:r w:rsidRPr="005959F9">
        <w:rPr>
          <w:rFonts w:ascii="Arial" w:hAnsi="Arial" w:cs="Arial"/>
          <w:sz w:val="20"/>
          <w:szCs w:val="20"/>
          <w:lang w:eastAsia="en-AU"/>
        </w:rPr>
        <w:t xml:space="preserve"> IAP to be fitted to prescriptive modular combinations, such as B-doubles operating at HML, without any justifiable reasoning behind this dec</w:t>
      </w:r>
      <w:r w:rsidR="00D003B0">
        <w:rPr>
          <w:rFonts w:ascii="Arial" w:hAnsi="Arial" w:cs="Arial"/>
          <w:sz w:val="20"/>
          <w:szCs w:val="20"/>
          <w:lang w:eastAsia="en-AU"/>
        </w:rPr>
        <w:t>ision</w:t>
      </w:r>
      <w:r w:rsidRPr="005959F9">
        <w:rPr>
          <w:rFonts w:ascii="Arial" w:hAnsi="Arial" w:cs="Arial"/>
          <w:sz w:val="20"/>
          <w:szCs w:val="20"/>
          <w:lang w:eastAsia="en-AU"/>
        </w:rPr>
        <w:t>.</w:t>
      </w:r>
    </w:p>
    <w:p w:rsidR="00A45F83" w:rsidRPr="005959F9" w:rsidRDefault="00A45F83" w:rsidP="001025C9">
      <w:pPr>
        <w:autoSpaceDE w:val="0"/>
        <w:autoSpaceDN w:val="0"/>
        <w:adjustRightInd w:val="0"/>
        <w:jc w:val="both"/>
        <w:rPr>
          <w:rFonts w:ascii="Arial" w:hAnsi="Arial" w:cs="Arial"/>
          <w:sz w:val="20"/>
          <w:szCs w:val="20"/>
          <w:lang w:eastAsia="en-AU"/>
        </w:rPr>
      </w:pPr>
    </w:p>
    <w:p w:rsidR="00A45F83" w:rsidRPr="005959F9" w:rsidRDefault="00A45F83" w:rsidP="001025C9">
      <w:pPr>
        <w:autoSpaceDE w:val="0"/>
        <w:autoSpaceDN w:val="0"/>
        <w:adjustRightInd w:val="0"/>
        <w:jc w:val="both"/>
        <w:rPr>
          <w:rFonts w:ascii="Arial" w:hAnsi="Arial" w:cs="Arial"/>
          <w:sz w:val="20"/>
          <w:szCs w:val="20"/>
          <w:lang w:eastAsia="en-AU"/>
        </w:rPr>
      </w:pPr>
      <w:r w:rsidRPr="005959F9">
        <w:rPr>
          <w:rFonts w:ascii="Arial" w:hAnsi="Arial" w:cs="Arial"/>
          <w:sz w:val="20"/>
          <w:szCs w:val="20"/>
          <w:lang w:eastAsia="en-AU"/>
        </w:rPr>
        <w:t>IAP highlights the issue of jurisdi</w:t>
      </w:r>
      <w:r w:rsidR="00D003B0">
        <w:rPr>
          <w:rFonts w:ascii="Arial" w:hAnsi="Arial" w:cs="Arial"/>
          <w:sz w:val="20"/>
          <w:szCs w:val="20"/>
          <w:lang w:eastAsia="en-AU"/>
        </w:rPr>
        <w:t>ctional differences in deciding which vehicles require</w:t>
      </w:r>
      <w:r w:rsidRPr="005959F9">
        <w:rPr>
          <w:rFonts w:ascii="Arial" w:hAnsi="Arial" w:cs="Arial"/>
          <w:sz w:val="20"/>
          <w:szCs w:val="20"/>
          <w:lang w:eastAsia="en-AU"/>
        </w:rPr>
        <w:t xml:space="preserve"> monitoring. Other states do not impose IAP because national policies on higher mass limits for vehicles fitted with road friendly suspension (RFS) do not require its use.  </w:t>
      </w:r>
    </w:p>
    <w:p w:rsidR="00A45F83" w:rsidRPr="005959F9" w:rsidRDefault="00A45F83" w:rsidP="001025C9">
      <w:pPr>
        <w:autoSpaceDE w:val="0"/>
        <w:autoSpaceDN w:val="0"/>
        <w:adjustRightInd w:val="0"/>
        <w:jc w:val="both"/>
        <w:rPr>
          <w:rFonts w:ascii="Arial" w:hAnsi="Arial" w:cs="Arial"/>
          <w:sz w:val="20"/>
          <w:szCs w:val="20"/>
          <w:lang w:eastAsia="en-AU"/>
        </w:rPr>
      </w:pPr>
    </w:p>
    <w:p w:rsidR="00A45F83" w:rsidRPr="005959F9" w:rsidRDefault="00A45F83" w:rsidP="001025C9">
      <w:pPr>
        <w:autoSpaceDE w:val="0"/>
        <w:autoSpaceDN w:val="0"/>
        <w:adjustRightInd w:val="0"/>
        <w:jc w:val="both"/>
        <w:rPr>
          <w:rFonts w:ascii="Arial" w:hAnsi="Arial" w:cs="Arial"/>
          <w:sz w:val="20"/>
          <w:szCs w:val="20"/>
          <w:lang w:eastAsia="en-AU"/>
        </w:rPr>
      </w:pPr>
      <w:r w:rsidRPr="005959F9">
        <w:rPr>
          <w:rFonts w:ascii="Arial" w:hAnsi="Arial" w:cs="Arial"/>
          <w:sz w:val="20"/>
          <w:szCs w:val="20"/>
          <w:lang w:eastAsia="en-AU"/>
        </w:rPr>
        <w:t>IAP should be applied to high risk situations that need to be monitored</w:t>
      </w:r>
      <w:r w:rsidR="0020791B" w:rsidRPr="005959F9">
        <w:rPr>
          <w:rFonts w:ascii="Arial" w:hAnsi="Arial" w:cs="Arial"/>
          <w:sz w:val="20"/>
          <w:szCs w:val="20"/>
          <w:lang w:eastAsia="en-AU"/>
        </w:rPr>
        <w:t>,</w:t>
      </w:r>
      <w:r w:rsidRPr="005959F9">
        <w:rPr>
          <w:rFonts w:ascii="Arial" w:hAnsi="Arial" w:cs="Arial"/>
          <w:sz w:val="20"/>
          <w:szCs w:val="20"/>
          <w:lang w:eastAsia="en-AU"/>
        </w:rPr>
        <w:t xml:space="preserve"> like ultra heavy cranes</w:t>
      </w:r>
      <w:r w:rsidR="0020791B" w:rsidRPr="005959F9">
        <w:rPr>
          <w:rFonts w:ascii="Arial" w:hAnsi="Arial" w:cs="Arial"/>
          <w:sz w:val="20"/>
          <w:szCs w:val="20"/>
          <w:lang w:eastAsia="en-AU"/>
        </w:rPr>
        <w:t>.</w:t>
      </w:r>
      <w:r w:rsidRPr="005959F9">
        <w:rPr>
          <w:rFonts w:ascii="Arial" w:hAnsi="Arial" w:cs="Arial"/>
          <w:sz w:val="20"/>
          <w:szCs w:val="20"/>
          <w:lang w:eastAsia="en-AU"/>
        </w:rPr>
        <w:t xml:space="preserve"> </w:t>
      </w:r>
      <w:r w:rsidR="0020791B" w:rsidRPr="005959F9">
        <w:rPr>
          <w:rFonts w:ascii="Arial" w:hAnsi="Arial" w:cs="Arial"/>
          <w:sz w:val="20"/>
          <w:szCs w:val="20"/>
          <w:lang w:eastAsia="en-AU"/>
        </w:rPr>
        <w:t>A</w:t>
      </w:r>
      <w:r w:rsidRPr="005959F9">
        <w:rPr>
          <w:rFonts w:ascii="Arial" w:hAnsi="Arial" w:cs="Arial"/>
          <w:sz w:val="20"/>
          <w:szCs w:val="20"/>
          <w:lang w:eastAsia="en-AU"/>
        </w:rPr>
        <w:t xml:space="preserve">pplying it to combinations that pose no </w:t>
      </w:r>
      <w:r w:rsidR="0020791B" w:rsidRPr="005959F9">
        <w:rPr>
          <w:rFonts w:ascii="Arial" w:hAnsi="Arial" w:cs="Arial"/>
          <w:sz w:val="20"/>
          <w:szCs w:val="20"/>
          <w:lang w:eastAsia="en-AU"/>
        </w:rPr>
        <w:t xml:space="preserve">increased </w:t>
      </w:r>
      <w:r w:rsidRPr="005959F9">
        <w:rPr>
          <w:rFonts w:ascii="Arial" w:hAnsi="Arial" w:cs="Arial"/>
          <w:sz w:val="20"/>
          <w:szCs w:val="20"/>
          <w:lang w:eastAsia="en-AU"/>
        </w:rPr>
        <w:t xml:space="preserve">risk </w:t>
      </w:r>
      <w:r w:rsidR="0020791B" w:rsidRPr="005959F9">
        <w:rPr>
          <w:rFonts w:ascii="Arial" w:hAnsi="Arial" w:cs="Arial"/>
          <w:sz w:val="20"/>
          <w:szCs w:val="20"/>
          <w:lang w:eastAsia="en-AU"/>
        </w:rPr>
        <w:t xml:space="preserve">stifles the </w:t>
      </w:r>
      <w:r w:rsidRPr="005959F9">
        <w:rPr>
          <w:rFonts w:ascii="Arial" w:hAnsi="Arial" w:cs="Arial"/>
          <w:sz w:val="20"/>
          <w:szCs w:val="20"/>
          <w:lang w:eastAsia="en-AU"/>
        </w:rPr>
        <w:t xml:space="preserve">original benefits IAP aimed for. </w:t>
      </w:r>
    </w:p>
    <w:p w:rsidR="00A45F83" w:rsidRPr="005959F9" w:rsidRDefault="00A45F83" w:rsidP="001025C9">
      <w:pPr>
        <w:autoSpaceDE w:val="0"/>
        <w:autoSpaceDN w:val="0"/>
        <w:adjustRightInd w:val="0"/>
        <w:jc w:val="both"/>
        <w:rPr>
          <w:rFonts w:ascii="Arial" w:hAnsi="Arial" w:cs="Arial"/>
          <w:sz w:val="20"/>
          <w:szCs w:val="20"/>
          <w:lang w:eastAsia="en-AU"/>
        </w:rPr>
      </w:pPr>
    </w:p>
    <w:p w:rsidR="00A45F83" w:rsidRPr="005959F9" w:rsidRDefault="00A45F83" w:rsidP="001025C9">
      <w:pPr>
        <w:autoSpaceDE w:val="0"/>
        <w:autoSpaceDN w:val="0"/>
        <w:adjustRightInd w:val="0"/>
        <w:jc w:val="both"/>
        <w:rPr>
          <w:rFonts w:ascii="Arial" w:hAnsi="Arial" w:cs="Arial"/>
          <w:sz w:val="20"/>
          <w:szCs w:val="20"/>
          <w:lang w:eastAsia="en-AU"/>
        </w:rPr>
      </w:pPr>
      <w:r w:rsidRPr="005959F9">
        <w:rPr>
          <w:rFonts w:ascii="Arial" w:hAnsi="Arial" w:cs="Arial"/>
          <w:sz w:val="20"/>
          <w:szCs w:val="20"/>
          <w:lang w:eastAsia="en-AU"/>
        </w:rPr>
        <w:t>In NSW, operators seeking to access HML had to pre-enrol</w:t>
      </w:r>
      <w:r w:rsidR="0020791B" w:rsidRPr="005959F9">
        <w:rPr>
          <w:rFonts w:ascii="Arial" w:hAnsi="Arial" w:cs="Arial"/>
          <w:sz w:val="20"/>
          <w:szCs w:val="20"/>
          <w:lang w:eastAsia="en-AU"/>
        </w:rPr>
        <w:t xml:space="preserve"> in the scheme</w:t>
      </w:r>
      <w:r w:rsidRPr="005959F9">
        <w:rPr>
          <w:rFonts w:ascii="Arial" w:hAnsi="Arial" w:cs="Arial"/>
          <w:sz w:val="20"/>
          <w:szCs w:val="20"/>
          <w:lang w:eastAsia="en-AU"/>
        </w:rPr>
        <w:t xml:space="preserve">, during </w:t>
      </w:r>
      <w:r w:rsidR="00662536" w:rsidRPr="005959F9">
        <w:rPr>
          <w:rFonts w:ascii="Arial" w:hAnsi="Arial" w:cs="Arial"/>
          <w:sz w:val="20"/>
          <w:szCs w:val="20"/>
          <w:lang w:eastAsia="en-AU"/>
        </w:rPr>
        <w:t>which over</w:t>
      </w:r>
      <w:r w:rsidRPr="005959F9">
        <w:rPr>
          <w:rFonts w:ascii="Arial" w:hAnsi="Arial" w:cs="Arial"/>
          <w:sz w:val="20"/>
          <w:szCs w:val="20"/>
          <w:lang w:eastAsia="en-AU"/>
        </w:rPr>
        <w:t xml:space="preserve"> 3,000 vehicles became pre-enrolled. Recent comments made by New South Wales and Queensland government agency staff indicate </w:t>
      </w:r>
      <w:r w:rsidR="00D003B0">
        <w:rPr>
          <w:rFonts w:ascii="Arial" w:hAnsi="Arial" w:cs="Arial"/>
          <w:sz w:val="20"/>
          <w:szCs w:val="20"/>
          <w:lang w:eastAsia="en-AU"/>
        </w:rPr>
        <w:t xml:space="preserve">that </w:t>
      </w:r>
      <w:r w:rsidRPr="005959F9">
        <w:rPr>
          <w:rFonts w:ascii="Arial" w:hAnsi="Arial" w:cs="Arial"/>
          <w:sz w:val="20"/>
          <w:szCs w:val="20"/>
          <w:lang w:eastAsia="en-AU"/>
        </w:rPr>
        <w:t>only</w:t>
      </w:r>
      <w:r w:rsidR="00D003B0">
        <w:rPr>
          <w:rFonts w:ascii="Arial" w:hAnsi="Arial" w:cs="Arial"/>
          <w:sz w:val="20"/>
          <w:szCs w:val="20"/>
          <w:lang w:eastAsia="en-AU"/>
        </w:rPr>
        <w:t xml:space="preserve"> 705 vehicles presently use</w:t>
      </w:r>
      <w:r w:rsidRPr="005959F9">
        <w:rPr>
          <w:rFonts w:ascii="Arial" w:hAnsi="Arial" w:cs="Arial"/>
          <w:sz w:val="20"/>
          <w:szCs w:val="20"/>
          <w:lang w:eastAsia="en-AU"/>
        </w:rPr>
        <w:t xml:space="preserve"> IAP, a significant shortfall in the numbers expected to take up the technology. </w:t>
      </w:r>
    </w:p>
    <w:p w:rsidR="00A45F83" w:rsidRPr="005959F9" w:rsidRDefault="00A45F83" w:rsidP="001025C9">
      <w:pPr>
        <w:autoSpaceDE w:val="0"/>
        <w:autoSpaceDN w:val="0"/>
        <w:adjustRightInd w:val="0"/>
        <w:jc w:val="both"/>
        <w:rPr>
          <w:rFonts w:ascii="Arial" w:hAnsi="Arial" w:cs="Arial"/>
          <w:sz w:val="20"/>
          <w:szCs w:val="20"/>
          <w:lang w:eastAsia="en-AU"/>
        </w:rPr>
      </w:pPr>
    </w:p>
    <w:p w:rsidR="00A45F83" w:rsidRPr="005959F9" w:rsidRDefault="00A45F83" w:rsidP="001025C9">
      <w:pPr>
        <w:autoSpaceDE w:val="0"/>
        <w:autoSpaceDN w:val="0"/>
        <w:adjustRightInd w:val="0"/>
        <w:jc w:val="both"/>
        <w:rPr>
          <w:rFonts w:ascii="Arial" w:hAnsi="Arial" w:cs="Arial"/>
          <w:sz w:val="20"/>
          <w:szCs w:val="20"/>
          <w:lang w:eastAsia="en-AU"/>
        </w:rPr>
      </w:pPr>
      <w:r w:rsidRPr="005959F9">
        <w:rPr>
          <w:rFonts w:ascii="Arial" w:hAnsi="Arial" w:cs="Arial"/>
          <w:sz w:val="20"/>
          <w:szCs w:val="20"/>
          <w:lang w:eastAsia="en-AU"/>
        </w:rPr>
        <w:t xml:space="preserve">Information captured by the IAP devices is susceptible to </w:t>
      </w:r>
      <w:r w:rsidR="00D003B0" w:rsidRPr="005959F9">
        <w:rPr>
          <w:rFonts w:ascii="Arial" w:hAnsi="Arial" w:cs="Arial"/>
          <w:sz w:val="20"/>
          <w:szCs w:val="20"/>
          <w:lang w:eastAsia="en-AU"/>
        </w:rPr>
        <w:t>inconsisten</w:t>
      </w:r>
      <w:r w:rsidR="00D003B0">
        <w:rPr>
          <w:rFonts w:ascii="Arial" w:hAnsi="Arial" w:cs="Arial"/>
          <w:sz w:val="20"/>
          <w:szCs w:val="20"/>
          <w:lang w:eastAsia="en-AU"/>
        </w:rPr>
        <w:t>c</w:t>
      </w:r>
      <w:r w:rsidR="00D003B0" w:rsidRPr="005959F9">
        <w:rPr>
          <w:rFonts w:ascii="Arial" w:hAnsi="Arial" w:cs="Arial"/>
          <w:sz w:val="20"/>
          <w:szCs w:val="20"/>
          <w:lang w:eastAsia="en-AU"/>
        </w:rPr>
        <w:t>y</w:t>
      </w:r>
      <w:r w:rsidRPr="005959F9">
        <w:rPr>
          <w:rFonts w:ascii="Arial" w:hAnsi="Arial" w:cs="Arial"/>
          <w:sz w:val="20"/>
          <w:szCs w:val="20"/>
          <w:lang w:eastAsia="en-AU"/>
        </w:rPr>
        <w:t xml:space="preserve">; uncertainties arise surrounding the legitimacy and value of the information being captured. Operators who have fitted IAP </w:t>
      </w:r>
      <w:r w:rsidR="0020791B" w:rsidRPr="005959F9">
        <w:rPr>
          <w:rFonts w:ascii="Arial" w:hAnsi="Arial" w:cs="Arial"/>
          <w:sz w:val="20"/>
          <w:szCs w:val="20"/>
          <w:lang w:eastAsia="en-AU"/>
        </w:rPr>
        <w:t xml:space="preserve">with </w:t>
      </w:r>
      <w:r w:rsidRPr="005959F9">
        <w:rPr>
          <w:rFonts w:ascii="Arial" w:hAnsi="Arial" w:cs="Arial"/>
          <w:sz w:val="20"/>
          <w:szCs w:val="20"/>
          <w:lang w:eastAsia="en-AU"/>
        </w:rPr>
        <w:t xml:space="preserve">the expectations of commercial gain have reported receiving upwards of 1,500 non-conformance reports per vehicle per month, but that no non-conformance existed, </w:t>
      </w:r>
      <w:r w:rsidR="0020791B" w:rsidRPr="005959F9">
        <w:rPr>
          <w:rFonts w:ascii="Arial" w:hAnsi="Arial" w:cs="Arial"/>
          <w:sz w:val="20"/>
          <w:szCs w:val="20"/>
          <w:lang w:eastAsia="en-AU"/>
        </w:rPr>
        <w:t xml:space="preserve">meaning </w:t>
      </w:r>
      <w:r w:rsidRPr="005959F9">
        <w:rPr>
          <w:rFonts w:ascii="Arial" w:hAnsi="Arial" w:cs="Arial"/>
          <w:sz w:val="20"/>
          <w:szCs w:val="20"/>
          <w:lang w:eastAsia="en-AU"/>
        </w:rPr>
        <w:t xml:space="preserve">the reports were incorrect. There is no accountability </w:t>
      </w:r>
      <w:r w:rsidR="0020791B" w:rsidRPr="005959F9">
        <w:rPr>
          <w:rFonts w:ascii="Arial" w:hAnsi="Arial" w:cs="Arial"/>
          <w:sz w:val="20"/>
          <w:szCs w:val="20"/>
          <w:lang w:eastAsia="en-AU"/>
        </w:rPr>
        <w:t>f</w:t>
      </w:r>
      <w:r w:rsidRPr="005959F9">
        <w:rPr>
          <w:rFonts w:ascii="Arial" w:hAnsi="Arial" w:cs="Arial"/>
          <w:sz w:val="20"/>
          <w:szCs w:val="20"/>
          <w:lang w:eastAsia="en-AU"/>
        </w:rPr>
        <w:t xml:space="preserve">or this poor result in the TCA IAP model. </w:t>
      </w:r>
    </w:p>
    <w:p w:rsidR="00A45F83" w:rsidRPr="005959F9" w:rsidRDefault="00A45F83" w:rsidP="001025C9">
      <w:pPr>
        <w:autoSpaceDE w:val="0"/>
        <w:autoSpaceDN w:val="0"/>
        <w:adjustRightInd w:val="0"/>
        <w:jc w:val="both"/>
        <w:rPr>
          <w:rFonts w:ascii="Arial" w:hAnsi="Arial" w:cs="Arial"/>
          <w:sz w:val="20"/>
          <w:szCs w:val="20"/>
          <w:lang w:eastAsia="en-AU"/>
        </w:rPr>
      </w:pPr>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 xml:space="preserve">While technology has been embraced by some operators to suit their fleet management, government policy has failed to support the uptake of </w:t>
      </w:r>
      <w:r w:rsidR="0020791B" w:rsidRPr="005959F9">
        <w:rPr>
          <w:rFonts w:ascii="Arial" w:hAnsi="Arial" w:cs="Arial"/>
          <w:sz w:val="20"/>
          <w:szCs w:val="20"/>
          <w:highlight w:val="white"/>
          <w:lang w:eastAsia="en-AU"/>
        </w:rPr>
        <w:t xml:space="preserve">operator </w:t>
      </w:r>
      <w:r w:rsidRPr="005959F9">
        <w:rPr>
          <w:rFonts w:ascii="Arial" w:hAnsi="Arial" w:cs="Arial"/>
          <w:sz w:val="20"/>
          <w:szCs w:val="20"/>
          <w:highlight w:val="white"/>
          <w:lang w:eastAsia="en-AU"/>
        </w:rPr>
        <w:t xml:space="preserve">telematic systems. </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 xml:space="preserve">Industry has not been presented with any concrete figures on the cost of fitting new or retrofitting trucks with </w:t>
      </w:r>
      <w:r w:rsidR="00D003B0">
        <w:rPr>
          <w:rFonts w:ascii="Arial" w:hAnsi="Arial" w:cs="Arial"/>
          <w:sz w:val="20"/>
          <w:szCs w:val="20"/>
          <w:highlight w:val="white"/>
          <w:lang w:eastAsia="en-AU"/>
        </w:rPr>
        <w:t xml:space="preserve">road access </w:t>
      </w:r>
      <w:r w:rsidRPr="005959F9">
        <w:rPr>
          <w:rFonts w:ascii="Arial" w:hAnsi="Arial" w:cs="Arial"/>
          <w:sz w:val="20"/>
          <w:szCs w:val="20"/>
          <w:highlight w:val="white"/>
          <w:lang w:eastAsia="en-AU"/>
        </w:rPr>
        <w:t xml:space="preserve">pricing devices. Until </w:t>
      </w:r>
      <w:r w:rsidR="00D003B0">
        <w:rPr>
          <w:rFonts w:ascii="Arial" w:hAnsi="Arial" w:cs="Arial"/>
          <w:sz w:val="20"/>
          <w:szCs w:val="20"/>
          <w:highlight w:val="white"/>
          <w:lang w:eastAsia="en-AU"/>
        </w:rPr>
        <w:t xml:space="preserve">real costs have been calculated, </w:t>
      </w:r>
      <w:r w:rsidRPr="005959F9">
        <w:rPr>
          <w:rFonts w:ascii="Arial" w:hAnsi="Arial" w:cs="Arial"/>
          <w:sz w:val="20"/>
          <w:szCs w:val="20"/>
          <w:highlight w:val="white"/>
          <w:lang w:eastAsia="en-AU"/>
        </w:rPr>
        <w:t>benefits outweigh the costs and government policy provides a competitive market for devices, industry has no incentive to install technological devices</w:t>
      </w:r>
      <w:r w:rsidR="00456D91">
        <w:rPr>
          <w:rFonts w:ascii="Arial" w:hAnsi="Arial" w:cs="Arial"/>
          <w:sz w:val="20"/>
          <w:szCs w:val="20"/>
          <w:highlight w:val="white"/>
          <w:lang w:eastAsia="en-AU"/>
        </w:rPr>
        <w:t xml:space="preserve"> for road pricing purposes</w:t>
      </w:r>
      <w:r w:rsidRPr="005959F9">
        <w:rPr>
          <w:rFonts w:ascii="Arial" w:hAnsi="Arial" w:cs="Arial"/>
          <w:sz w:val="20"/>
          <w:szCs w:val="20"/>
          <w:highlight w:val="white"/>
          <w:lang w:eastAsia="en-AU"/>
        </w:rPr>
        <w:t xml:space="preserve">. </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jc w:val="both"/>
        <w:rPr>
          <w:rFonts w:ascii="Arial" w:hAnsi="Arial" w:cs="Arial"/>
          <w:sz w:val="20"/>
          <w:szCs w:val="20"/>
        </w:rPr>
      </w:pPr>
      <w:r w:rsidRPr="005959F9">
        <w:rPr>
          <w:rFonts w:ascii="Arial" w:hAnsi="Arial" w:cs="Arial"/>
          <w:sz w:val="20"/>
          <w:szCs w:val="20"/>
          <w:highlight w:val="white"/>
          <w:lang w:eastAsia="en-AU"/>
        </w:rPr>
        <w:t xml:space="preserve">If the </w:t>
      </w:r>
      <w:r w:rsidR="003340FB">
        <w:rPr>
          <w:rFonts w:ascii="Arial" w:hAnsi="Arial" w:cs="Arial"/>
          <w:sz w:val="20"/>
          <w:szCs w:val="20"/>
          <w:highlight w:val="white"/>
          <w:lang w:eastAsia="en-AU"/>
        </w:rPr>
        <w:t>Committee</w:t>
      </w:r>
      <w:r w:rsidR="00D74FF1">
        <w:rPr>
          <w:rFonts w:ascii="Arial" w:hAnsi="Arial" w:cs="Arial"/>
          <w:sz w:val="20"/>
          <w:szCs w:val="20"/>
          <w:highlight w:val="white"/>
          <w:lang w:eastAsia="en-AU"/>
        </w:rPr>
        <w:t xml:space="preserve"> </w:t>
      </w:r>
      <w:r w:rsidRPr="005959F9">
        <w:rPr>
          <w:rFonts w:ascii="Arial" w:hAnsi="Arial" w:cs="Arial"/>
          <w:sz w:val="20"/>
          <w:szCs w:val="20"/>
          <w:highlight w:val="white"/>
          <w:lang w:eastAsia="en-AU"/>
        </w:rPr>
        <w:t>is to recommended technology be used for pricing, it should be open standard technology that has incentives for uptake and promotes competition in the provision of technology to Australia. Examining New Zealand's road access charging arrangements presents government policy which has open standards allow</w:t>
      </w:r>
      <w:r w:rsidR="00456D91">
        <w:rPr>
          <w:rFonts w:ascii="Arial" w:hAnsi="Arial" w:cs="Arial"/>
          <w:sz w:val="20"/>
          <w:szCs w:val="20"/>
          <w:highlight w:val="white"/>
          <w:lang w:eastAsia="en-AU"/>
        </w:rPr>
        <w:t>ing</w:t>
      </w:r>
      <w:r w:rsidRPr="005959F9">
        <w:rPr>
          <w:rFonts w:ascii="Arial" w:hAnsi="Arial" w:cs="Arial"/>
          <w:sz w:val="20"/>
          <w:szCs w:val="20"/>
          <w:highlight w:val="white"/>
          <w:lang w:eastAsia="en-AU"/>
        </w:rPr>
        <w:t xml:space="preserve"> lower cost first party compliance assurance and more direct accountability from providers. This promotes a competitive market for technology in vehicles while respecting driver’s desire for privacy.</w:t>
      </w:r>
      <w:r w:rsidRPr="005959F9">
        <w:rPr>
          <w:rFonts w:ascii="Arial" w:hAnsi="Arial" w:cs="Arial"/>
          <w:sz w:val="20"/>
          <w:szCs w:val="20"/>
        </w:rPr>
        <w:t xml:space="preserve"> Some international attempts have dead weight loss costs exceeding 25%. NSW and Australia cannot afford such </w:t>
      </w:r>
      <w:r w:rsidR="00D003B0">
        <w:rPr>
          <w:rFonts w:ascii="Arial" w:hAnsi="Arial" w:cs="Arial"/>
          <w:sz w:val="20"/>
          <w:szCs w:val="20"/>
        </w:rPr>
        <w:t xml:space="preserve">inefficiencies </w:t>
      </w:r>
      <w:r w:rsidRPr="005959F9">
        <w:rPr>
          <w:rFonts w:ascii="Arial" w:hAnsi="Arial" w:cs="Arial"/>
          <w:sz w:val="20"/>
          <w:szCs w:val="20"/>
        </w:rPr>
        <w:t xml:space="preserve">  </w:t>
      </w:r>
    </w:p>
    <w:p w:rsidR="00A45F83" w:rsidRPr="005959F9" w:rsidRDefault="00A45F83" w:rsidP="001025C9">
      <w:pPr>
        <w:pStyle w:val="RecommendationStyle"/>
        <w:jc w:val="both"/>
      </w:pPr>
      <w:bookmarkStart w:id="249" w:name="_Toc348509207"/>
      <w:bookmarkStart w:id="250" w:name="_Toc348510880"/>
      <w:bookmarkStart w:id="251" w:name="_Toc348511279"/>
      <w:bookmarkStart w:id="252" w:name="_Toc348704632"/>
      <w:bookmarkStart w:id="253" w:name="_Toc348706905"/>
      <w:bookmarkStart w:id="254" w:name="_Toc349034228"/>
      <w:bookmarkStart w:id="255" w:name="_Toc349034495"/>
      <w:bookmarkStart w:id="256" w:name="_Toc349037944"/>
      <w:bookmarkStart w:id="257" w:name="_Toc349123841"/>
      <w:bookmarkEnd w:id="249"/>
      <w:bookmarkEnd w:id="250"/>
      <w:bookmarkEnd w:id="251"/>
      <w:bookmarkEnd w:id="252"/>
      <w:bookmarkEnd w:id="253"/>
      <w:bookmarkEnd w:id="254"/>
      <w:bookmarkEnd w:id="255"/>
      <w:bookmarkEnd w:id="256"/>
      <w:bookmarkEnd w:id="257"/>
    </w:p>
    <w:p w:rsidR="00A45F83" w:rsidRPr="00D003B0" w:rsidRDefault="00A45F83" w:rsidP="001025C9">
      <w:pPr>
        <w:pStyle w:val="RecommendationStyle"/>
        <w:numPr>
          <w:ilvl w:val="0"/>
          <w:numId w:val="0"/>
        </w:numPr>
        <w:jc w:val="both"/>
        <w:rPr>
          <w:i w:val="0"/>
        </w:rPr>
      </w:pPr>
      <w:bookmarkStart w:id="258" w:name="_Toc348509208"/>
      <w:bookmarkStart w:id="259" w:name="_Toc348510881"/>
      <w:bookmarkStart w:id="260" w:name="_Toc348511280"/>
      <w:bookmarkStart w:id="261" w:name="_Toc348704633"/>
      <w:bookmarkStart w:id="262" w:name="_Toc348706906"/>
      <w:bookmarkStart w:id="263" w:name="_Toc349034229"/>
      <w:bookmarkStart w:id="264" w:name="_Toc349034496"/>
      <w:bookmarkStart w:id="265" w:name="_Toc349037945"/>
      <w:bookmarkStart w:id="266" w:name="_Toc349123842"/>
      <w:r w:rsidRPr="00D003B0">
        <w:rPr>
          <w:i w:val="0"/>
        </w:rPr>
        <w:t>Technology should be based on</w:t>
      </w:r>
      <w:r w:rsidR="002E4E20" w:rsidRPr="00D003B0">
        <w:rPr>
          <w:i w:val="0"/>
        </w:rPr>
        <w:t xml:space="preserve"> its capability to provide services, not based on who accredited</w:t>
      </w:r>
      <w:bookmarkEnd w:id="258"/>
      <w:r w:rsidR="002E4E20" w:rsidRPr="00D003B0">
        <w:rPr>
          <w:i w:val="0"/>
        </w:rPr>
        <w:t xml:space="preserve"> the </w:t>
      </w:r>
      <w:r w:rsidR="004533ED" w:rsidRPr="00D003B0">
        <w:rPr>
          <w:i w:val="0"/>
        </w:rPr>
        <w:t>device.</w:t>
      </w:r>
      <w:bookmarkEnd w:id="259"/>
      <w:bookmarkEnd w:id="260"/>
      <w:bookmarkEnd w:id="261"/>
      <w:bookmarkEnd w:id="262"/>
      <w:bookmarkEnd w:id="263"/>
      <w:bookmarkEnd w:id="264"/>
      <w:bookmarkEnd w:id="265"/>
      <w:bookmarkEnd w:id="266"/>
      <w:r w:rsidR="004533ED" w:rsidRPr="00D003B0">
        <w:rPr>
          <w:i w:val="0"/>
        </w:rPr>
        <w:t xml:space="preserve">  </w:t>
      </w:r>
    </w:p>
    <w:p w:rsidR="00A45F83" w:rsidRPr="005959F9" w:rsidRDefault="00A45F83" w:rsidP="001025C9">
      <w:pPr>
        <w:pStyle w:val="RecommendationStyle"/>
        <w:jc w:val="both"/>
      </w:pPr>
      <w:bookmarkStart w:id="267" w:name="_Toc348509209"/>
      <w:bookmarkStart w:id="268" w:name="_Toc348510882"/>
      <w:bookmarkStart w:id="269" w:name="_Toc348511281"/>
      <w:bookmarkStart w:id="270" w:name="_Toc348704634"/>
      <w:bookmarkStart w:id="271" w:name="_Toc348706907"/>
      <w:bookmarkStart w:id="272" w:name="_Toc349034230"/>
      <w:bookmarkStart w:id="273" w:name="_Toc349034497"/>
      <w:bookmarkStart w:id="274" w:name="_Toc349037946"/>
      <w:bookmarkStart w:id="275" w:name="_Toc349123843"/>
      <w:bookmarkEnd w:id="267"/>
      <w:bookmarkEnd w:id="268"/>
      <w:bookmarkEnd w:id="269"/>
      <w:bookmarkEnd w:id="270"/>
      <w:bookmarkEnd w:id="271"/>
      <w:bookmarkEnd w:id="272"/>
      <w:bookmarkEnd w:id="273"/>
      <w:bookmarkEnd w:id="274"/>
      <w:bookmarkEnd w:id="275"/>
    </w:p>
    <w:p w:rsidR="00A45F83" w:rsidRPr="005959F9" w:rsidRDefault="009441ED" w:rsidP="001025C9">
      <w:pPr>
        <w:pStyle w:val="RecommendationStyle"/>
        <w:numPr>
          <w:ilvl w:val="0"/>
          <w:numId w:val="0"/>
        </w:numPr>
        <w:jc w:val="both"/>
        <w:rPr>
          <w:i w:val="0"/>
        </w:rPr>
      </w:pPr>
      <w:bookmarkStart w:id="276" w:name="_Toc348509210"/>
      <w:bookmarkStart w:id="277" w:name="_Toc348510883"/>
      <w:bookmarkStart w:id="278" w:name="_Toc348511282"/>
      <w:bookmarkStart w:id="279" w:name="_Toc348704635"/>
      <w:bookmarkStart w:id="280" w:name="_Toc348706908"/>
      <w:bookmarkStart w:id="281" w:name="_Toc349034231"/>
      <w:bookmarkStart w:id="282" w:name="_Toc349034498"/>
      <w:bookmarkStart w:id="283" w:name="_Toc349037947"/>
      <w:bookmarkStart w:id="284" w:name="_Toc349123844"/>
      <w:r>
        <w:rPr>
          <w:i w:val="0"/>
        </w:rPr>
        <w:t>Costs of telematic devices</w:t>
      </w:r>
      <w:r w:rsidR="004533ED" w:rsidRPr="005959F9">
        <w:rPr>
          <w:i w:val="0"/>
        </w:rPr>
        <w:t xml:space="preserve"> should be transparent to users.</w:t>
      </w:r>
      <w:bookmarkEnd w:id="276"/>
      <w:bookmarkEnd w:id="277"/>
      <w:bookmarkEnd w:id="278"/>
      <w:bookmarkEnd w:id="279"/>
      <w:bookmarkEnd w:id="280"/>
      <w:bookmarkEnd w:id="281"/>
      <w:bookmarkEnd w:id="282"/>
      <w:bookmarkEnd w:id="283"/>
      <w:bookmarkEnd w:id="284"/>
      <w:r w:rsidR="004533ED" w:rsidRPr="005959F9">
        <w:rPr>
          <w:i w:val="0"/>
        </w:rPr>
        <w:t xml:space="preserve"> </w:t>
      </w:r>
    </w:p>
    <w:p w:rsidR="00A45F83" w:rsidRPr="005959F9" w:rsidRDefault="00A45F83" w:rsidP="001025C9">
      <w:pPr>
        <w:pStyle w:val="RecommendationStyle"/>
        <w:jc w:val="both"/>
      </w:pPr>
      <w:bookmarkStart w:id="285" w:name="_Toc348509211"/>
      <w:bookmarkStart w:id="286" w:name="_Toc348510884"/>
      <w:bookmarkStart w:id="287" w:name="_Toc348511283"/>
      <w:bookmarkStart w:id="288" w:name="_Toc348704636"/>
      <w:bookmarkStart w:id="289" w:name="_Toc348706909"/>
      <w:bookmarkStart w:id="290" w:name="_Toc349034232"/>
      <w:bookmarkStart w:id="291" w:name="_Toc349034499"/>
      <w:bookmarkStart w:id="292" w:name="_Toc349037948"/>
      <w:bookmarkStart w:id="293" w:name="_Toc349123845"/>
      <w:bookmarkEnd w:id="285"/>
      <w:bookmarkEnd w:id="286"/>
      <w:bookmarkEnd w:id="287"/>
      <w:bookmarkEnd w:id="288"/>
      <w:bookmarkEnd w:id="289"/>
      <w:bookmarkEnd w:id="290"/>
      <w:bookmarkEnd w:id="291"/>
      <w:bookmarkEnd w:id="292"/>
      <w:bookmarkEnd w:id="293"/>
    </w:p>
    <w:p w:rsidR="00A45F83" w:rsidRPr="005959F9" w:rsidRDefault="004533ED" w:rsidP="001025C9">
      <w:pPr>
        <w:pStyle w:val="RecommendationStyle"/>
        <w:numPr>
          <w:ilvl w:val="0"/>
          <w:numId w:val="0"/>
        </w:numPr>
        <w:jc w:val="both"/>
        <w:rPr>
          <w:i w:val="0"/>
        </w:rPr>
      </w:pPr>
      <w:bookmarkStart w:id="294" w:name="_Toc348509212"/>
      <w:bookmarkStart w:id="295" w:name="_Toc348510885"/>
      <w:bookmarkStart w:id="296" w:name="_Toc348511284"/>
      <w:bookmarkStart w:id="297" w:name="_Toc348704637"/>
      <w:bookmarkStart w:id="298" w:name="_Toc348706910"/>
      <w:bookmarkStart w:id="299" w:name="_Toc349034233"/>
      <w:bookmarkStart w:id="300" w:name="_Toc349034500"/>
      <w:bookmarkStart w:id="301" w:name="_Toc349037949"/>
      <w:bookmarkStart w:id="302" w:name="_Toc349123846"/>
      <w:r w:rsidRPr="005959F9">
        <w:rPr>
          <w:i w:val="0"/>
        </w:rPr>
        <w:t>NSW should review IAP</w:t>
      </w:r>
      <w:r w:rsidR="009441ED">
        <w:rPr>
          <w:i w:val="0"/>
        </w:rPr>
        <w:t>,</w:t>
      </w:r>
      <w:r w:rsidRPr="005959F9">
        <w:rPr>
          <w:i w:val="0"/>
        </w:rPr>
        <w:t xml:space="preserve"> given the engineering findings of limited extra impact on infrastructure.</w:t>
      </w:r>
      <w:bookmarkEnd w:id="294"/>
      <w:bookmarkEnd w:id="295"/>
      <w:bookmarkEnd w:id="296"/>
      <w:bookmarkEnd w:id="297"/>
      <w:bookmarkEnd w:id="298"/>
      <w:bookmarkEnd w:id="299"/>
      <w:bookmarkEnd w:id="300"/>
      <w:bookmarkEnd w:id="301"/>
      <w:bookmarkEnd w:id="302"/>
      <w:r w:rsidRPr="005959F9">
        <w:rPr>
          <w:i w:val="0"/>
        </w:rPr>
        <w:t xml:space="preserve"> </w:t>
      </w:r>
    </w:p>
    <w:p w:rsidR="00A45F83" w:rsidRPr="005959F9" w:rsidRDefault="00A45F83" w:rsidP="001025C9">
      <w:pPr>
        <w:jc w:val="both"/>
        <w:rPr>
          <w:rFonts w:ascii="Arial" w:hAnsi="Arial" w:cs="Arial"/>
        </w:rPr>
      </w:pPr>
    </w:p>
    <w:p w:rsidR="00A45F83" w:rsidRPr="005959F9" w:rsidRDefault="00A45F83" w:rsidP="001025C9">
      <w:pPr>
        <w:pStyle w:val="ATAHeading2"/>
        <w:numPr>
          <w:ilvl w:val="1"/>
          <w:numId w:val="13"/>
        </w:numPr>
        <w:jc w:val="both"/>
        <w:rPr>
          <w:bCs/>
        </w:rPr>
      </w:pPr>
      <w:bookmarkStart w:id="303" w:name="_Toc348450028"/>
      <w:bookmarkStart w:id="304" w:name="_Toc349125094"/>
      <w:r w:rsidRPr="005959F9">
        <w:rPr>
          <w:bCs/>
        </w:rPr>
        <w:t>Federal state jurisdictional issues</w:t>
      </w:r>
      <w:bookmarkEnd w:id="303"/>
      <w:bookmarkEnd w:id="304"/>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 xml:space="preserve">Currently fuel excise revenue is recovered by the </w:t>
      </w:r>
      <w:r w:rsidR="0020791B" w:rsidRPr="005959F9">
        <w:rPr>
          <w:rFonts w:ascii="Arial" w:hAnsi="Arial" w:cs="Arial"/>
          <w:sz w:val="20"/>
          <w:szCs w:val="20"/>
          <w:highlight w:val="white"/>
          <w:lang w:eastAsia="en-AU"/>
        </w:rPr>
        <w:t xml:space="preserve">Commonwealth </w:t>
      </w:r>
      <w:r w:rsidRPr="005959F9">
        <w:rPr>
          <w:rFonts w:ascii="Arial" w:hAnsi="Arial" w:cs="Arial"/>
          <w:sz w:val="20"/>
          <w:szCs w:val="20"/>
          <w:highlight w:val="white"/>
          <w:lang w:eastAsia="en-AU"/>
        </w:rPr>
        <w:t xml:space="preserve">and registration revenue is </w:t>
      </w:r>
      <w:r w:rsidR="0020791B" w:rsidRPr="005959F9">
        <w:rPr>
          <w:rFonts w:ascii="Arial" w:hAnsi="Arial" w:cs="Arial"/>
          <w:sz w:val="20"/>
          <w:szCs w:val="20"/>
          <w:highlight w:val="white"/>
          <w:lang w:eastAsia="en-AU"/>
        </w:rPr>
        <w:t>collected by</w:t>
      </w:r>
      <w:r w:rsidRPr="005959F9">
        <w:rPr>
          <w:rFonts w:ascii="Arial" w:hAnsi="Arial" w:cs="Arial"/>
          <w:sz w:val="20"/>
          <w:szCs w:val="20"/>
          <w:highlight w:val="white"/>
          <w:lang w:eastAsia="en-AU"/>
        </w:rPr>
        <w:t xml:space="preserve"> individual states. Any change in the composition on registration</w:t>
      </w:r>
      <w:r w:rsidR="0020791B" w:rsidRPr="005959F9">
        <w:rPr>
          <w:rFonts w:ascii="Arial" w:hAnsi="Arial" w:cs="Arial"/>
          <w:sz w:val="20"/>
          <w:szCs w:val="20"/>
          <w:highlight w:val="white"/>
          <w:lang w:eastAsia="en-AU"/>
        </w:rPr>
        <w:t>-</w:t>
      </w:r>
      <w:r w:rsidRPr="005959F9">
        <w:rPr>
          <w:rFonts w:ascii="Arial" w:hAnsi="Arial" w:cs="Arial"/>
          <w:sz w:val="20"/>
          <w:szCs w:val="20"/>
          <w:highlight w:val="white"/>
          <w:lang w:eastAsia="en-AU"/>
        </w:rPr>
        <w:t>to</w:t>
      </w:r>
      <w:r w:rsidR="0020791B" w:rsidRPr="005959F9">
        <w:rPr>
          <w:rFonts w:ascii="Arial" w:hAnsi="Arial" w:cs="Arial"/>
          <w:sz w:val="20"/>
          <w:szCs w:val="20"/>
          <w:highlight w:val="white"/>
          <w:lang w:eastAsia="en-AU"/>
        </w:rPr>
        <w:t>-</w:t>
      </w:r>
      <w:r w:rsidRPr="005959F9">
        <w:rPr>
          <w:rFonts w:ascii="Arial" w:hAnsi="Arial" w:cs="Arial"/>
          <w:sz w:val="20"/>
          <w:szCs w:val="20"/>
          <w:highlight w:val="white"/>
          <w:lang w:eastAsia="en-AU"/>
        </w:rPr>
        <w:t>fuel excise ratio will affect the recovery each level of government is set to recover</w:t>
      </w:r>
      <w:r w:rsidR="0020791B" w:rsidRPr="005959F9">
        <w:rPr>
          <w:rFonts w:ascii="Arial" w:hAnsi="Arial" w:cs="Arial"/>
          <w:sz w:val="20"/>
          <w:szCs w:val="20"/>
          <w:highlight w:val="white"/>
          <w:lang w:eastAsia="en-AU"/>
        </w:rPr>
        <w:t>; it should be noted</w:t>
      </w:r>
      <w:r w:rsidRPr="005959F9">
        <w:rPr>
          <w:rFonts w:ascii="Arial" w:hAnsi="Arial" w:cs="Arial"/>
          <w:sz w:val="20"/>
          <w:szCs w:val="20"/>
          <w:highlight w:val="white"/>
          <w:lang w:eastAsia="en-AU"/>
        </w:rPr>
        <w:t xml:space="preserve"> this debate is currently being held in the NTC heavy vehicle charging determination. </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jc w:val="both"/>
        <w:rPr>
          <w:rFonts w:ascii="Arial" w:hAnsi="Arial" w:cs="Arial"/>
          <w:sz w:val="20"/>
          <w:szCs w:val="20"/>
          <w:lang w:eastAsia="en-AU"/>
        </w:rPr>
      </w:pPr>
      <w:r w:rsidRPr="005959F9">
        <w:rPr>
          <w:rFonts w:ascii="Arial" w:hAnsi="Arial" w:cs="Arial"/>
          <w:sz w:val="20"/>
          <w:szCs w:val="20"/>
          <w:highlight w:val="white"/>
          <w:lang w:eastAsia="en-AU"/>
        </w:rPr>
        <w:t>Moving towards a direct user pays system produces circumstances for states that need to be considered. The current split could be continued or if revenue received from vehicles is to be hypothecated then the result will be some states losing revenue to reflect usage of the infrastructure</w:t>
      </w:r>
      <w:r w:rsidR="00D003B0">
        <w:rPr>
          <w:rFonts w:ascii="Arial" w:hAnsi="Arial" w:cs="Arial"/>
          <w:sz w:val="20"/>
          <w:szCs w:val="20"/>
          <w:highlight w:val="white"/>
          <w:lang w:eastAsia="en-AU"/>
        </w:rPr>
        <w:t>,</w:t>
      </w:r>
      <w:r w:rsidRPr="005959F9">
        <w:rPr>
          <w:rFonts w:ascii="Arial" w:hAnsi="Arial" w:cs="Arial"/>
          <w:sz w:val="20"/>
          <w:szCs w:val="20"/>
          <w:highlight w:val="white"/>
          <w:lang w:eastAsia="en-AU"/>
        </w:rPr>
        <w:t xml:space="preserve"> </w:t>
      </w:r>
      <w:r w:rsidR="00D003B0">
        <w:rPr>
          <w:rFonts w:ascii="Arial" w:hAnsi="Arial" w:cs="Arial"/>
          <w:sz w:val="20"/>
          <w:szCs w:val="20"/>
          <w:highlight w:val="white"/>
          <w:lang w:eastAsia="en-AU"/>
        </w:rPr>
        <w:t>while other</w:t>
      </w:r>
      <w:r w:rsidRPr="005959F9">
        <w:rPr>
          <w:rFonts w:ascii="Arial" w:hAnsi="Arial" w:cs="Arial"/>
          <w:sz w:val="20"/>
          <w:szCs w:val="20"/>
          <w:highlight w:val="white"/>
          <w:lang w:eastAsia="en-AU"/>
        </w:rPr>
        <w:t xml:space="preserve"> states will inherit more money. T</w:t>
      </w:r>
      <w:r w:rsidRPr="005959F9">
        <w:rPr>
          <w:rFonts w:ascii="Arial" w:hAnsi="Arial" w:cs="Arial"/>
          <w:sz w:val="20"/>
          <w:szCs w:val="20"/>
          <w:lang w:eastAsia="en-AU"/>
        </w:rPr>
        <w:t xml:space="preserve">his is </w:t>
      </w:r>
      <w:r w:rsidR="00557D15">
        <w:rPr>
          <w:rFonts w:ascii="Arial" w:hAnsi="Arial" w:cs="Arial"/>
          <w:sz w:val="20"/>
          <w:szCs w:val="20"/>
          <w:lang w:eastAsia="en-AU"/>
        </w:rPr>
        <w:t xml:space="preserve">a </w:t>
      </w:r>
      <w:r w:rsidRPr="005959F9">
        <w:rPr>
          <w:rFonts w:ascii="Arial" w:hAnsi="Arial" w:cs="Arial"/>
          <w:sz w:val="20"/>
          <w:szCs w:val="20"/>
          <w:lang w:eastAsia="en-AU"/>
        </w:rPr>
        <w:t>specific issue that any road access pricing model will have to address.</w:t>
      </w:r>
    </w:p>
    <w:p w:rsidR="00A45F83" w:rsidRPr="005959F9" w:rsidRDefault="00A45F83" w:rsidP="001025C9">
      <w:pPr>
        <w:jc w:val="both"/>
        <w:rPr>
          <w:rFonts w:ascii="Arial" w:hAnsi="Arial" w:cs="Arial"/>
          <w:sz w:val="20"/>
          <w:szCs w:val="20"/>
          <w:lang w:eastAsia="en-AU"/>
        </w:rPr>
      </w:pPr>
    </w:p>
    <w:p w:rsidR="00A45F83" w:rsidRPr="005959F9" w:rsidRDefault="00D003B0" w:rsidP="001025C9">
      <w:pPr>
        <w:jc w:val="both"/>
        <w:rPr>
          <w:rFonts w:ascii="Arial" w:hAnsi="Arial" w:cs="Arial"/>
          <w:sz w:val="20"/>
          <w:szCs w:val="20"/>
          <w:lang w:eastAsia="en-AU"/>
        </w:rPr>
      </w:pPr>
      <w:r>
        <w:rPr>
          <w:rFonts w:ascii="Arial" w:hAnsi="Arial" w:cs="Arial"/>
          <w:sz w:val="20"/>
          <w:szCs w:val="20"/>
          <w:lang w:eastAsia="en-AU"/>
        </w:rPr>
        <w:t>Effective r</w:t>
      </w:r>
      <w:r w:rsidR="00A45F83" w:rsidRPr="005959F9">
        <w:rPr>
          <w:rFonts w:ascii="Arial" w:hAnsi="Arial" w:cs="Arial"/>
          <w:sz w:val="20"/>
          <w:szCs w:val="20"/>
          <w:lang w:eastAsia="en-AU"/>
        </w:rPr>
        <w:t>oad pricing reform</w:t>
      </w:r>
      <w:r>
        <w:rPr>
          <w:rFonts w:ascii="Arial" w:hAnsi="Arial" w:cs="Arial"/>
          <w:sz w:val="20"/>
          <w:szCs w:val="20"/>
          <w:lang w:eastAsia="en-AU"/>
        </w:rPr>
        <w:t xml:space="preserve"> must be nationally consistent to work </w:t>
      </w:r>
      <w:r w:rsidR="00A45F83" w:rsidRPr="005959F9">
        <w:rPr>
          <w:rFonts w:ascii="Arial" w:hAnsi="Arial" w:cs="Arial"/>
          <w:sz w:val="20"/>
          <w:szCs w:val="20"/>
          <w:lang w:eastAsia="en-AU"/>
        </w:rPr>
        <w:t xml:space="preserve">in a national industry like trucking. </w:t>
      </w:r>
    </w:p>
    <w:p w:rsidR="00A45F83" w:rsidRPr="005959F9" w:rsidRDefault="00A45F83" w:rsidP="001025C9">
      <w:pPr>
        <w:jc w:val="both"/>
        <w:rPr>
          <w:rFonts w:ascii="Arial" w:hAnsi="Arial" w:cs="Arial"/>
          <w:sz w:val="20"/>
          <w:szCs w:val="20"/>
          <w:lang w:eastAsia="en-AU"/>
        </w:rPr>
      </w:pPr>
    </w:p>
    <w:p w:rsidR="00A45F83" w:rsidRPr="005959F9" w:rsidRDefault="00A45F83" w:rsidP="001025C9">
      <w:pPr>
        <w:pStyle w:val="RecommendationStyle"/>
        <w:jc w:val="both"/>
      </w:pPr>
      <w:bookmarkStart w:id="305" w:name="_Toc348509213"/>
      <w:bookmarkStart w:id="306" w:name="_Toc348510886"/>
      <w:bookmarkStart w:id="307" w:name="_Toc348511285"/>
      <w:bookmarkStart w:id="308" w:name="_Toc348704638"/>
      <w:bookmarkStart w:id="309" w:name="_Toc348706911"/>
      <w:bookmarkStart w:id="310" w:name="_Toc349034234"/>
      <w:bookmarkStart w:id="311" w:name="_Toc349034501"/>
      <w:bookmarkStart w:id="312" w:name="_Toc349037950"/>
      <w:bookmarkStart w:id="313" w:name="_Toc349123847"/>
      <w:bookmarkEnd w:id="305"/>
      <w:bookmarkEnd w:id="306"/>
      <w:bookmarkEnd w:id="307"/>
      <w:bookmarkEnd w:id="308"/>
      <w:bookmarkEnd w:id="309"/>
      <w:bookmarkEnd w:id="310"/>
      <w:bookmarkEnd w:id="311"/>
      <w:bookmarkEnd w:id="312"/>
      <w:bookmarkEnd w:id="313"/>
    </w:p>
    <w:p w:rsidR="00A45F83" w:rsidRPr="005959F9" w:rsidRDefault="004533ED" w:rsidP="001025C9">
      <w:pPr>
        <w:pStyle w:val="RecommendationStyle"/>
        <w:numPr>
          <w:ilvl w:val="0"/>
          <w:numId w:val="0"/>
        </w:numPr>
        <w:jc w:val="both"/>
        <w:rPr>
          <w:i w:val="0"/>
        </w:rPr>
      </w:pPr>
      <w:bookmarkStart w:id="314" w:name="_Toc348509214"/>
      <w:bookmarkStart w:id="315" w:name="_Toc348510887"/>
      <w:bookmarkStart w:id="316" w:name="_Toc348511286"/>
      <w:bookmarkStart w:id="317" w:name="_Toc348704639"/>
      <w:bookmarkStart w:id="318" w:name="_Toc348706912"/>
      <w:bookmarkStart w:id="319" w:name="_Toc349034235"/>
      <w:bookmarkStart w:id="320" w:name="_Toc349034502"/>
      <w:bookmarkStart w:id="321" w:name="_Toc349037951"/>
      <w:bookmarkStart w:id="322" w:name="_Toc349123848"/>
      <w:r w:rsidRPr="005959F9">
        <w:rPr>
          <w:i w:val="0"/>
        </w:rPr>
        <w:t>Federal and State jurisdictional issues with revenue should be negotiated</w:t>
      </w:r>
      <w:bookmarkEnd w:id="314"/>
      <w:bookmarkEnd w:id="315"/>
      <w:bookmarkEnd w:id="316"/>
      <w:bookmarkEnd w:id="317"/>
      <w:bookmarkEnd w:id="318"/>
      <w:r w:rsidR="009441ED">
        <w:rPr>
          <w:i w:val="0"/>
        </w:rPr>
        <w:t>.</w:t>
      </w:r>
      <w:bookmarkEnd w:id="319"/>
      <w:bookmarkEnd w:id="320"/>
      <w:bookmarkEnd w:id="321"/>
      <w:bookmarkEnd w:id="322"/>
      <w:r w:rsidRPr="005959F9">
        <w:rPr>
          <w:i w:val="0"/>
        </w:rPr>
        <w:t xml:space="preserve"> </w:t>
      </w:r>
    </w:p>
    <w:p w:rsidR="00A45F83" w:rsidRPr="005959F9" w:rsidRDefault="00A45F83" w:rsidP="001025C9">
      <w:pPr>
        <w:pStyle w:val="RecommendationStyle"/>
        <w:jc w:val="both"/>
      </w:pPr>
      <w:bookmarkStart w:id="323" w:name="_Toc348509215"/>
      <w:bookmarkStart w:id="324" w:name="_Toc348510888"/>
      <w:bookmarkStart w:id="325" w:name="_Toc348511287"/>
      <w:bookmarkStart w:id="326" w:name="_Toc348704640"/>
      <w:bookmarkStart w:id="327" w:name="_Toc348706913"/>
      <w:bookmarkStart w:id="328" w:name="_Toc349034236"/>
      <w:bookmarkStart w:id="329" w:name="_Toc349034503"/>
      <w:bookmarkStart w:id="330" w:name="_Toc349037952"/>
      <w:bookmarkStart w:id="331" w:name="_Toc349123849"/>
      <w:bookmarkEnd w:id="323"/>
      <w:bookmarkEnd w:id="324"/>
      <w:bookmarkEnd w:id="325"/>
      <w:bookmarkEnd w:id="326"/>
      <w:bookmarkEnd w:id="327"/>
      <w:bookmarkEnd w:id="328"/>
      <w:bookmarkEnd w:id="329"/>
      <w:bookmarkEnd w:id="330"/>
      <w:bookmarkEnd w:id="331"/>
    </w:p>
    <w:p w:rsidR="00A45F83" w:rsidRPr="005959F9" w:rsidRDefault="00D4403D" w:rsidP="001025C9">
      <w:pPr>
        <w:pStyle w:val="RecommendationStyle"/>
        <w:numPr>
          <w:ilvl w:val="0"/>
          <w:numId w:val="0"/>
        </w:numPr>
        <w:jc w:val="both"/>
        <w:rPr>
          <w:i w:val="0"/>
        </w:rPr>
      </w:pPr>
      <w:bookmarkStart w:id="332" w:name="_Toc348509216"/>
      <w:bookmarkStart w:id="333" w:name="_Toc348510889"/>
      <w:bookmarkStart w:id="334" w:name="_Toc348511288"/>
      <w:bookmarkStart w:id="335" w:name="_Toc348704641"/>
      <w:bookmarkStart w:id="336" w:name="_Toc348706914"/>
      <w:bookmarkStart w:id="337" w:name="_Toc349034237"/>
      <w:bookmarkStart w:id="338" w:name="_Toc349034504"/>
      <w:bookmarkStart w:id="339" w:name="_Toc349037953"/>
      <w:bookmarkStart w:id="340" w:name="_Toc349123850"/>
      <w:r w:rsidRPr="005959F9">
        <w:rPr>
          <w:i w:val="0"/>
        </w:rPr>
        <w:t>National</w:t>
      </w:r>
      <w:r w:rsidR="004533ED" w:rsidRPr="005959F9">
        <w:rPr>
          <w:i w:val="0"/>
        </w:rPr>
        <w:t xml:space="preserve"> harmonisation of </w:t>
      </w:r>
      <w:r w:rsidR="00ED06E4">
        <w:rPr>
          <w:i w:val="0"/>
        </w:rPr>
        <w:t>heavy vehicle charg</w:t>
      </w:r>
      <w:r w:rsidR="009441ED">
        <w:rPr>
          <w:i w:val="0"/>
        </w:rPr>
        <w:t>ing</w:t>
      </w:r>
      <w:r w:rsidR="00ED06E4">
        <w:rPr>
          <w:i w:val="0"/>
        </w:rPr>
        <w:t xml:space="preserve"> </w:t>
      </w:r>
      <w:bookmarkEnd w:id="332"/>
      <w:bookmarkEnd w:id="333"/>
      <w:bookmarkEnd w:id="334"/>
      <w:bookmarkEnd w:id="335"/>
      <w:bookmarkEnd w:id="336"/>
      <w:r w:rsidR="009441ED">
        <w:rPr>
          <w:i w:val="0"/>
        </w:rPr>
        <w:t>methods should be sought by the Committee.</w:t>
      </w:r>
      <w:bookmarkEnd w:id="337"/>
      <w:bookmarkEnd w:id="338"/>
      <w:bookmarkEnd w:id="339"/>
      <w:bookmarkEnd w:id="340"/>
      <w:r w:rsidR="004533ED" w:rsidRPr="005959F9">
        <w:rPr>
          <w:i w:val="0"/>
        </w:rPr>
        <w:t xml:space="preserve"> </w:t>
      </w:r>
    </w:p>
    <w:p w:rsidR="00A45F83" w:rsidRPr="005959F9" w:rsidRDefault="00A45F83" w:rsidP="001025C9">
      <w:pPr>
        <w:jc w:val="both"/>
        <w:rPr>
          <w:rFonts w:ascii="Arial" w:hAnsi="Arial" w:cs="Arial"/>
        </w:rPr>
      </w:pPr>
    </w:p>
    <w:p w:rsidR="00A45F83" w:rsidRPr="005959F9" w:rsidRDefault="00A45F83" w:rsidP="001025C9">
      <w:pPr>
        <w:pStyle w:val="ATAHeading2"/>
        <w:numPr>
          <w:ilvl w:val="1"/>
          <w:numId w:val="13"/>
        </w:numPr>
        <w:jc w:val="both"/>
        <w:rPr>
          <w:bCs/>
        </w:rPr>
      </w:pPr>
      <w:bookmarkStart w:id="341" w:name="_Toc348450029"/>
      <w:bookmarkStart w:id="342" w:name="_Toc349125095"/>
      <w:r w:rsidRPr="005959F9">
        <w:rPr>
          <w:bCs/>
        </w:rPr>
        <w:t>The socio-economic impact of road access pricing throughout NSW</w:t>
      </w:r>
      <w:bookmarkEnd w:id="341"/>
      <w:bookmarkEnd w:id="342"/>
    </w:p>
    <w:p w:rsidR="00A45F83" w:rsidRPr="005959F9" w:rsidRDefault="00A45F83" w:rsidP="001025C9">
      <w:pPr>
        <w:jc w:val="both"/>
        <w:rPr>
          <w:rFonts w:ascii="Arial" w:hAnsi="Arial" w:cs="Arial"/>
          <w:sz w:val="20"/>
          <w:szCs w:val="20"/>
        </w:rPr>
      </w:pPr>
      <w:r w:rsidRPr="005959F9">
        <w:rPr>
          <w:rFonts w:ascii="Arial" w:hAnsi="Arial" w:cs="Arial"/>
          <w:sz w:val="20"/>
          <w:szCs w:val="20"/>
        </w:rPr>
        <w:t xml:space="preserve">The </w:t>
      </w:r>
      <w:r w:rsidR="003340FB">
        <w:rPr>
          <w:rFonts w:ascii="Arial" w:hAnsi="Arial" w:cs="Arial"/>
          <w:sz w:val="20"/>
          <w:szCs w:val="20"/>
        </w:rPr>
        <w:t>Committee</w:t>
      </w:r>
      <w:r w:rsidR="00D74FF1">
        <w:rPr>
          <w:rFonts w:ascii="Arial" w:hAnsi="Arial" w:cs="Arial"/>
          <w:sz w:val="20"/>
          <w:szCs w:val="20"/>
        </w:rPr>
        <w:t xml:space="preserve"> </w:t>
      </w:r>
      <w:r w:rsidRPr="005959F9">
        <w:rPr>
          <w:rFonts w:ascii="Arial" w:hAnsi="Arial" w:cs="Arial"/>
          <w:sz w:val="20"/>
          <w:szCs w:val="20"/>
        </w:rPr>
        <w:t xml:space="preserve">should aim to produce a regulatory impact statement about any road access pricing options it wishes to pursue.   </w:t>
      </w:r>
    </w:p>
    <w:p w:rsidR="00A45F83" w:rsidRPr="005959F9" w:rsidRDefault="00A45F83" w:rsidP="001025C9">
      <w:pPr>
        <w:pStyle w:val="RecommendationStyle"/>
        <w:jc w:val="both"/>
      </w:pPr>
      <w:bookmarkStart w:id="343" w:name="_Toc348509217"/>
      <w:bookmarkStart w:id="344" w:name="_Toc348510890"/>
      <w:bookmarkStart w:id="345" w:name="_Toc348511289"/>
      <w:bookmarkStart w:id="346" w:name="_Toc348704642"/>
      <w:bookmarkStart w:id="347" w:name="_Toc348706915"/>
      <w:bookmarkStart w:id="348" w:name="_Toc349034238"/>
      <w:bookmarkStart w:id="349" w:name="_Toc349034505"/>
      <w:bookmarkStart w:id="350" w:name="_Toc349037954"/>
      <w:bookmarkStart w:id="351" w:name="_Toc349123851"/>
      <w:bookmarkEnd w:id="343"/>
      <w:bookmarkEnd w:id="344"/>
      <w:bookmarkEnd w:id="345"/>
      <w:bookmarkEnd w:id="346"/>
      <w:bookmarkEnd w:id="347"/>
      <w:bookmarkEnd w:id="348"/>
      <w:bookmarkEnd w:id="349"/>
      <w:bookmarkEnd w:id="350"/>
      <w:bookmarkEnd w:id="351"/>
    </w:p>
    <w:p w:rsidR="00846097" w:rsidRPr="005959F9" w:rsidRDefault="004533ED" w:rsidP="001025C9">
      <w:pPr>
        <w:pStyle w:val="RecommendationStyle"/>
        <w:numPr>
          <w:ilvl w:val="0"/>
          <w:numId w:val="0"/>
        </w:numPr>
        <w:jc w:val="both"/>
        <w:rPr>
          <w:i w:val="0"/>
        </w:rPr>
      </w:pPr>
      <w:bookmarkStart w:id="352" w:name="_Toc348509218"/>
      <w:bookmarkStart w:id="353" w:name="_Toc348510891"/>
      <w:bookmarkStart w:id="354" w:name="_Toc348511290"/>
      <w:bookmarkStart w:id="355" w:name="_Toc348704643"/>
      <w:bookmarkStart w:id="356" w:name="_Toc348706916"/>
      <w:bookmarkStart w:id="357" w:name="_Toc349034239"/>
      <w:bookmarkStart w:id="358" w:name="_Toc349034506"/>
      <w:bookmarkStart w:id="359" w:name="_Toc349037955"/>
      <w:bookmarkStart w:id="360" w:name="_Toc349123852"/>
      <w:r w:rsidRPr="005959F9">
        <w:rPr>
          <w:i w:val="0"/>
        </w:rPr>
        <w:t xml:space="preserve">Impacts of suggested direct charges should be properly investigated and evaluated by the </w:t>
      </w:r>
      <w:bookmarkEnd w:id="352"/>
      <w:bookmarkEnd w:id="353"/>
      <w:r w:rsidRPr="005959F9">
        <w:rPr>
          <w:i w:val="0"/>
        </w:rPr>
        <w:t>Committee</w:t>
      </w:r>
      <w:bookmarkEnd w:id="354"/>
      <w:bookmarkEnd w:id="355"/>
      <w:bookmarkEnd w:id="356"/>
      <w:bookmarkEnd w:id="357"/>
      <w:bookmarkEnd w:id="358"/>
      <w:bookmarkEnd w:id="359"/>
      <w:bookmarkEnd w:id="360"/>
    </w:p>
    <w:p w:rsidR="00846097" w:rsidRPr="005959F9" w:rsidRDefault="00846097" w:rsidP="001025C9">
      <w:pPr>
        <w:jc w:val="both"/>
        <w:rPr>
          <w:rFonts w:ascii="Arial" w:hAnsi="Arial" w:cs="Arial"/>
        </w:rPr>
      </w:pPr>
    </w:p>
    <w:p w:rsidR="00A45F83" w:rsidRPr="005959F9" w:rsidRDefault="00A45F83" w:rsidP="001025C9">
      <w:pPr>
        <w:pStyle w:val="ATAHeading2"/>
        <w:numPr>
          <w:ilvl w:val="1"/>
          <w:numId w:val="13"/>
        </w:numPr>
        <w:jc w:val="both"/>
        <w:rPr>
          <w:bCs/>
        </w:rPr>
      </w:pPr>
      <w:bookmarkStart w:id="361" w:name="_Toc348450030"/>
      <w:bookmarkStart w:id="362" w:name="_Toc349125096"/>
      <w:r w:rsidRPr="005959F9">
        <w:rPr>
          <w:bCs/>
        </w:rPr>
        <w:t>Options available for a staged implementation of road access pricing applicable to NSW.</w:t>
      </w:r>
      <w:bookmarkEnd w:id="361"/>
      <w:bookmarkEnd w:id="362"/>
      <w:r w:rsidRPr="005959F9">
        <w:rPr>
          <w:bCs/>
        </w:rPr>
        <w:t xml:space="preserve"> </w:t>
      </w:r>
    </w:p>
    <w:p w:rsidR="0020791B"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 xml:space="preserve">The challenge for the </w:t>
      </w:r>
      <w:r w:rsidR="003340FB">
        <w:rPr>
          <w:rFonts w:ascii="Arial" w:hAnsi="Arial" w:cs="Arial"/>
          <w:sz w:val="20"/>
          <w:szCs w:val="20"/>
          <w:highlight w:val="white"/>
          <w:lang w:eastAsia="en-AU"/>
        </w:rPr>
        <w:t>Committee</w:t>
      </w:r>
      <w:r w:rsidR="00D74FF1">
        <w:rPr>
          <w:rFonts w:ascii="Arial" w:hAnsi="Arial" w:cs="Arial"/>
          <w:sz w:val="20"/>
          <w:szCs w:val="20"/>
          <w:highlight w:val="white"/>
          <w:lang w:eastAsia="en-AU"/>
        </w:rPr>
        <w:t xml:space="preserve"> </w:t>
      </w:r>
      <w:r w:rsidRPr="005959F9">
        <w:rPr>
          <w:rFonts w:ascii="Arial" w:hAnsi="Arial" w:cs="Arial"/>
          <w:sz w:val="20"/>
          <w:szCs w:val="20"/>
          <w:highlight w:val="white"/>
          <w:lang w:eastAsia="en-AU"/>
        </w:rPr>
        <w:t>is how to go from a charging system</w:t>
      </w:r>
      <w:r w:rsidR="00560034">
        <w:rPr>
          <w:rFonts w:ascii="Arial" w:hAnsi="Arial" w:cs="Arial"/>
          <w:sz w:val="20"/>
          <w:szCs w:val="20"/>
          <w:highlight w:val="white"/>
          <w:lang w:eastAsia="en-AU"/>
        </w:rPr>
        <w:t>,</w:t>
      </w:r>
      <w:r w:rsidRPr="005959F9">
        <w:rPr>
          <w:rFonts w:ascii="Arial" w:hAnsi="Arial" w:cs="Arial"/>
          <w:sz w:val="20"/>
          <w:szCs w:val="20"/>
          <w:highlight w:val="white"/>
          <w:lang w:eastAsia="en-AU"/>
        </w:rPr>
        <w:t xml:space="preserve"> which is relatively blunt and does not reflect ‘true’ cost of use</w:t>
      </w:r>
      <w:r w:rsidR="00560034">
        <w:rPr>
          <w:rFonts w:ascii="Arial" w:hAnsi="Arial" w:cs="Arial"/>
          <w:sz w:val="20"/>
          <w:szCs w:val="20"/>
          <w:highlight w:val="white"/>
          <w:lang w:eastAsia="en-AU"/>
        </w:rPr>
        <w:t>,</w:t>
      </w:r>
      <w:r w:rsidRPr="005959F9">
        <w:rPr>
          <w:rFonts w:ascii="Arial" w:hAnsi="Arial" w:cs="Arial"/>
          <w:sz w:val="20"/>
          <w:szCs w:val="20"/>
          <w:highlight w:val="white"/>
          <w:lang w:eastAsia="en-AU"/>
        </w:rPr>
        <w:t xml:space="preserve"> to a system where road users are able to judge marginal cost of use and make economic decisions based on charges. Getting the transition right from one to the other is key to making sure that charges are efficient and that the road charging system is not a failure. </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 xml:space="preserve">For the heavy vehicle industry moving from PayGo, where the only direct user charge one pays is from fuel excise to a </w:t>
      </w:r>
      <w:r w:rsidR="00BF44C4" w:rsidRPr="005959F9">
        <w:rPr>
          <w:rFonts w:ascii="Arial" w:hAnsi="Arial" w:cs="Arial"/>
          <w:sz w:val="20"/>
          <w:szCs w:val="20"/>
          <w:highlight w:val="white"/>
          <w:lang w:eastAsia="en-AU"/>
        </w:rPr>
        <w:t>more direct user charge</w:t>
      </w:r>
      <w:r w:rsidRPr="005959F9">
        <w:rPr>
          <w:rFonts w:ascii="Arial" w:hAnsi="Arial" w:cs="Arial"/>
          <w:sz w:val="20"/>
          <w:szCs w:val="20"/>
          <w:highlight w:val="white"/>
          <w:lang w:eastAsia="en-AU"/>
        </w:rPr>
        <w:t xml:space="preserve"> entails many changes to how the fleet operates. Additionally, the </w:t>
      </w:r>
      <w:r w:rsidR="003340FB">
        <w:rPr>
          <w:rFonts w:ascii="Arial" w:hAnsi="Arial" w:cs="Arial"/>
          <w:sz w:val="20"/>
          <w:szCs w:val="20"/>
          <w:highlight w:val="white"/>
          <w:lang w:eastAsia="en-AU"/>
        </w:rPr>
        <w:t>Committee</w:t>
      </w:r>
      <w:r w:rsidR="0094622B">
        <w:rPr>
          <w:rFonts w:ascii="Arial" w:hAnsi="Arial" w:cs="Arial"/>
          <w:sz w:val="20"/>
          <w:szCs w:val="20"/>
          <w:highlight w:val="white"/>
          <w:lang w:eastAsia="en-AU"/>
        </w:rPr>
        <w:t xml:space="preserve"> </w:t>
      </w:r>
      <w:r w:rsidRPr="005959F9">
        <w:rPr>
          <w:rFonts w:ascii="Arial" w:hAnsi="Arial" w:cs="Arial"/>
          <w:sz w:val="20"/>
          <w:szCs w:val="20"/>
          <w:highlight w:val="white"/>
          <w:lang w:eastAsia="en-AU"/>
        </w:rPr>
        <w:t>should consider how changing to a direct charge will impact heavy vehicle operators operating costs, such as calculating freight costs under</w:t>
      </w:r>
      <w:r w:rsidR="00BF44C4" w:rsidRPr="005959F9">
        <w:rPr>
          <w:rFonts w:ascii="Arial" w:hAnsi="Arial" w:cs="Arial"/>
          <w:sz w:val="20"/>
          <w:szCs w:val="20"/>
          <w:highlight w:val="white"/>
          <w:lang w:eastAsia="en-AU"/>
        </w:rPr>
        <w:t xml:space="preserve"> a direct user</w:t>
      </w:r>
      <w:r w:rsidRPr="005959F9">
        <w:rPr>
          <w:rFonts w:ascii="Arial" w:hAnsi="Arial" w:cs="Arial"/>
          <w:sz w:val="20"/>
          <w:szCs w:val="20"/>
          <w:highlight w:val="white"/>
          <w:lang w:eastAsia="en-AU"/>
        </w:rPr>
        <w:t xml:space="preserve"> charging system. Cash flow for small operations and impacts on ancillary operators such as farmers should be properly examined. </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lastRenderedPageBreak/>
        <w:t>Increasing the variable part of heavy vehicle charges that road users pay would be the first step towards making all road users think about road usage, as fuel burns relatively true with road use. The PayGo model has a variable and fixed charge (fuel excise and rego) as do light vehicle users. Therefore</w:t>
      </w:r>
      <w:r w:rsidR="0020791B" w:rsidRPr="005959F9">
        <w:rPr>
          <w:rFonts w:ascii="Arial" w:hAnsi="Arial" w:cs="Arial"/>
          <w:sz w:val="20"/>
          <w:szCs w:val="20"/>
          <w:highlight w:val="white"/>
          <w:lang w:eastAsia="en-AU"/>
        </w:rPr>
        <w:t>,</w:t>
      </w:r>
      <w:r w:rsidRPr="005959F9">
        <w:rPr>
          <w:rFonts w:ascii="Arial" w:hAnsi="Arial" w:cs="Arial"/>
          <w:sz w:val="20"/>
          <w:szCs w:val="20"/>
          <w:highlight w:val="white"/>
          <w:lang w:eastAsia="en-AU"/>
        </w:rPr>
        <w:t xml:space="preserve"> making the variable charges a greater proportion of costs than a fixed registration charge would be a positive step in the right direction for making users accustomed to direct user charges. This could be done for all road users by simply removing the fuel excise cap, 38.6 c</w:t>
      </w:r>
      <w:r w:rsidR="00D003B0">
        <w:rPr>
          <w:rFonts w:ascii="Arial" w:hAnsi="Arial" w:cs="Arial"/>
          <w:sz w:val="20"/>
          <w:szCs w:val="20"/>
          <w:highlight w:val="white"/>
          <w:lang w:eastAsia="en-AU"/>
        </w:rPr>
        <w:t xml:space="preserve">ents </w:t>
      </w:r>
      <w:r w:rsidRPr="005959F9">
        <w:rPr>
          <w:rFonts w:ascii="Arial" w:hAnsi="Arial" w:cs="Arial"/>
          <w:sz w:val="20"/>
          <w:szCs w:val="20"/>
          <w:highlight w:val="white"/>
          <w:lang w:eastAsia="en-AU"/>
        </w:rPr>
        <w:t>p</w:t>
      </w:r>
      <w:r w:rsidR="00D003B0">
        <w:rPr>
          <w:rFonts w:ascii="Arial" w:hAnsi="Arial" w:cs="Arial"/>
          <w:sz w:val="20"/>
          <w:szCs w:val="20"/>
          <w:highlight w:val="white"/>
          <w:lang w:eastAsia="en-AU"/>
        </w:rPr>
        <w:t xml:space="preserve">er </w:t>
      </w:r>
      <w:r w:rsidRPr="005959F9">
        <w:rPr>
          <w:rFonts w:ascii="Arial" w:hAnsi="Arial" w:cs="Arial"/>
          <w:sz w:val="20"/>
          <w:szCs w:val="20"/>
          <w:highlight w:val="white"/>
          <w:lang w:eastAsia="en-AU"/>
        </w:rPr>
        <w:t>l</w:t>
      </w:r>
      <w:r w:rsidR="00D003B0">
        <w:rPr>
          <w:rFonts w:ascii="Arial" w:hAnsi="Arial" w:cs="Arial"/>
          <w:sz w:val="20"/>
          <w:szCs w:val="20"/>
          <w:highlight w:val="white"/>
          <w:lang w:eastAsia="en-AU"/>
        </w:rPr>
        <w:t>itre</w:t>
      </w:r>
      <w:r w:rsidRPr="005959F9">
        <w:rPr>
          <w:rFonts w:ascii="Arial" w:hAnsi="Arial" w:cs="Arial"/>
          <w:sz w:val="20"/>
          <w:szCs w:val="20"/>
          <w:highlight w:val="white"/>
          <w:lang w:eastAsia="en-AU"/>
        </w:rPr>
        <w:t xml:space="preserve">, and allow it to rise above this fixed excise. </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This would be a short to medium term action. Differential fuel charges could be constructed for different vehicle types according to policy directives such as encouraging safer heavy vehicles, environmental driving or differing vehicle classes. However, such a change needs transparent justification to build a credible political capital for change.</w:t>
      </w:r>
    </w:p>
    <w:p w:rsidR="000D0FE5" w:rsidRPr="005959F9" w:rsidRDefault="000D0FE5"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 xml:space="preserve">HVCI is currently proposing a range of charging </w:t>
      </w:r>
      <w:r w:rsidR="00BF44C4" w:rsidRPr="005959F9">
        <w:rPr>
          <w:rFonts w:ascii="Arial" w:hAnsi="Arial" w:cs="Arial"/>
          <w:sz w:val="20"/>
          <w:szCs w:val="20"/>
          <w:highlight w:val="white"/>
          <w:lang w:eastAsia="en-AU"/>
        </w:rPr>
        <w:t>options</w:t>
      </w:r>
      <w:r w:rsidRPr="005959F9">
        <w:rPr>
          <w:rFonts w:ascii="Arial" w:hAnsi="Arial" w:cs="Arial"/>
          <w:sz w:val="20"/>
          <w:szCs w:val="20"/>
          <w:highlight w:val="white"/>
          <w:lang w:eastAsia="en-AU"/>
        </w:rPr>
        <w:t xml:space="preserve"> including incremental charges for access and mass distance location</w:t>
      </w:r>
      <w:r w:rsidR="00560034">
        <w:rPr>
          <w:rFonts w:ascii="Arial" w:hAnsi="Arial" w:cs="Arial"/>
          <w:sz w:val="20"/>
          <w:szCs w:val="20"/>
          <w:highlight w:val="white"/>
          <w:lang w:eastAsia="en-AU"/>
        </w:rPr>
        <w:t xml:space="preserve"> and consideration of a fuel charging option</w:t>
      </w:r>
      <w:r w:rsidRPr="005959F9">
        <w:rPr>
          <w:rFonts w:ascii="Arial" w:hAnsi="Arial" w:cs="Arial"/>
          <w:sz w:val="20"/>
          <w:szCs w:val="20"/>
          <w:highlight w:val="white"/>
          <w:lang w:eastAsia="en-AU"/>
        </w:rPr>
        <w:t xml:space="preserve">.  </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autoSpaceDE w:val="0"/>
        <w:autoSpaceDN w:val="0"/>
        <w:adjustRightInd w:val="0"/>
        <w:jc w:val="both"/>
        <w:rPr>
          <w:rFonts w:ascii="Arial" w:hAnsi="Arial" w:cs="Arial"/>
          <w:sz w:val="20"/>
          <w:szCs w:val="20"/>
          <w:highlight w:val="white"/>
          <w:u w:val="single"/>
          <w:lang w:eastAsia="en-AU"/>
        </w:rPr>
      </w:pPr>
      <w:r w:rsidRPr="005959F9">
        <w:rPr>
          <w:rFonts w:ascii="Arial" w:hAnsi="Arial" w:cs="Arial"/>
          <w:sz w:val="20"/>
          <w:szCs w:val="20"/>
          <w:highlight w:val="white"/>
          <w:u w:val="single"/>
          <w:lang w:eastAsia="en-AU"/>
        </w:rPr>
        <w:t>Incremental charges</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 xml:space="preserve">The concept of incremental charges for heavier vehicles or longer vehicles, misunderstands how the current charging model recovers the cost for these vehicles impact on infrastructure. It also ignores the fact that the road network cannot realistically accept large axle masses. </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BF44C4" w:rsidRPr="005959F9" w:rsidRDefault="00D74FF1" w:rsidP="001025C9">
      <w:pPr>
        <w:autoSpaceDE w:val="0"/>
        <w:autoSpaceDN w:val="0"/>
        <w:adjustRightInd w:val="0"/>
        <w:jc w:val="both"/>
        <w:rPr>
          <w:rFonts w:ascii="Arial" w:hAnsi="Arial" w:cs="Arial"/>
        </w:rPr>
      </w:pPr>
      <w:r>
        <w:rPr>
          <w:rFonts w:ascii="Arial" w:hAnsi="Arial" w:cs="Arial"/>
          <w:sz w:val="20"/>
          <w:szCs w:val="20"/>
          <w:highlight w:val="white"/>
          <w:lang w:eastAsia="en-AU"/>
        </w:rPr>
        <w:t xml:space="preserve">Firstly </w:t>
      </w:r>
      <w:r w:rsidR="00A45F83" w:rsidRPr="005959F9">
        <w:rPr>
          <w:rFonts w:ascii="Arial" w:hAnsi="Arial" w:cs="Arial"/>
          <w:sz w:val="20"/>
          <w:szCs w:val="20"/>
          <w:highlight w:val="white"/>
          <w:lang w:eastAsia="en-AU"/>
        </w:rPr>
        <w:t xml:space="preserve">higher mass </w:t>
      </w:r>
      <w:r w:rsidR="00560034">
        <w:rPr>
          <w:rFonts w:ascii="Arial" w:hAnsi="Arial" w:cs="Arial"/>
          <w:sz w:val="20"/>
          <w:szCs w:val="20"/>
          <w:highlight w:val="white"/>
          <w:lang w:eastAsia="en-AU"/>
        </w:rPr>
        <w:t xml:space="preserve">limit </w:t>
      </w:r>
      <w:r w:rsidR="00A45F83" w:rsidRPr="005959F9">
        <w:rPr>
          <w:rFonts w:ascii="Arial" w:hAnsi="Arial" w:cs="Arial"/>
          <w:sz w:val="20"/>
          <w:szCs w:val="20"/>
          <w:highlight w:val="white"/>
          <w:lang w:eastAsia="en-AU"/>
        </w:rPr>
        <w:t>vehicles (HML) use innovative road friendly suspension (RFS) instead of traditional steel springs. RFS reduce</w:t>
      </w:r>
      <w:r w:rsidR="00560034">
        <w:rPr>
          <w:rFonts w:ascii="Arial" w:hAnsi="Arial" w:cs="Arial"/>
          <w:sz w:val="20"/>
          <w:szCs w:val="20"/>
          <w:highlight w:val="white"/>
          <w:lang w:eastAsia="en-AU"/>
        </w:rPr>
        <w:t>s</w:t>
      </w:r>
      <w:r w:rsidR="00A45F83" w:rsidRPr="005959F9">
        <w:rPr>
          <w:rFonts w:ascii="Arial" w:hAnsi="Arial" w:cs="Arial"/>
          <w:sz w:val="20"/>
          <w:szCs w:val="20"/>
          <w:highlight w:val="white"/>
          <w:lang w:eastAsia="en-AU"/>
        </w:rPr>
        <w:t xml:space="preserve"> the impact of laden axles on road pavements and bridge structures. This is due to improved even load distribution on the wheels by reducing the dynamic impact of the axles. Vehicles fitted with RFS can carry higher mass on axles without any increased impact on infrastructure or an increased safety risk for the combination. </w:t>
      </w:r>
      <w:r w:rsidR="00BF44C4" w:rsidRPr="005959F9">
        <w:rPr>
          <w:rFonts w:ascii="Arial" w:hAnsi="Arial" w:cs="Arial"/>
        </w:rPr>
        <w:t xml:space="preserve"> </w:t>
      </w:r>
    </w:p>
    <w:p w:rsidR="00BF44C4" w:rsidRPr="005959F9" w:rsidRDefault="00BF44C4" w:rsidP="001025C9">
      <w:pPr>
        <w:autoSpaceDE w:val="0"/>
        <w:autoSpaceDN w:val="0"/>
        <w:adjustRightInd w:val="0"/>
        <w:jc w:val="both"/>
        <w:rPr>
          <w:rFonts w:ascii="Arial" w:hAnsi="Arial" w:cs="Arial"/>
        </w:rPr>
      </w:pPr>
    </w:p>
    <w:p w:rsidR="000D0FE5" w:rsidRPr="00D15807" w:rsidRDefault="000D0FE5" w:rsidP="001025C9">
      <w:pPr>
        <w:autoSpaceDE w:val="0"/>
        <w:autoSpaceDN w:val="0"/>
        <w:adjustRightInd w:val="0"/>
        <w:jc w:val="both"/>
        <w:rPr>
          <w:rFonts w:ascii="Arial" w:hAnsi="Arial" w:cs="Arial"/>
          <w:sz w:val="20"/>
          <w:szCs w:val="20"/>
          <w:highlight w:val="white"/>
          <w:lang w:eastAsia="en-AU"/>
        </w:rPr>
      </w:pPr>
      <w:r w:rsidRPr="00D15807">
        <w:rPr>
          <w:rFonts w:ascii="Arial" w:hAnsi="Arial" w:cs="Arial"/>
          <w:sz w:val="20"/>
          <w:szCs w:val="20"/>
          <w:highlight w:val="white"/>
          <w:lang w:eastAsia="en-AU"/>
        </w:rPr>
        <w:t xml:space="preserve">Additional benefits can be gained from RFS as many trucks do not ‘mass </w:t>
      </w:r>
      <w:r w:rsidR="00D15807" w:rsidRPr="00D15807">
        <w:rPr>
          <w:rFonts w:ascii="Arial" w:hAnsi="Arial" w:cs="Arial"/>
          <w:sz w:val="20"/>
          <w:szCs w:val="20"/>
          <w:highlight w:val="white"/>
          <w:lang w:eastAsia="en-AU"/>
        </w:rPr>
        <w:t>out’</w:t>
      </w:r>
      <w:r w:rsidR="00D15807">
        <w:rPr>
          <w:rFonts w:ascii="Arial" w:hAnsi="Arial" w:cs="Arial"/>
          <w:sz w:val="20"/>
          <w:szCs w:val="20"/>
          <w:highlight w:val="white"/>
          <w:lang w:eastAsia="en-AU"/>
        </w:rPr>
        <w:t xml:space="preserve"> </w:t>
      </w:r>
      <w:r w:rsidR="00560034">
        <w:rPr>
          <w:rFonts w:ascii="Arial" w:hAnsi="Arial" w:cs="Arial"/>
          <w:sz w:val="20"/>
          <w:szCs w:val="20"/>
          <w:highlight w:val="white"/>
          <w:lang w:eastAsia="en-AU"/>
        </w:rPr>
        <w:t xml:space="preserve">meaning </w:t>
      </w:r>
      <w:r w:rsidR="00D15807">
        <w:rPr>
          <w:rFonts w:ascii="Arial" w:hAnsi="Arial" w:cs="Arial"/>
          <w:sz w:val="20"/>
          <w:szCs w:val="20"/>
          <w:highlight w:val="white"/>
          <w:lang w:eastAsia="en-AU"/>
        </w:rPr>
        <w:t>they</w:t>
      </w:r>
      <w:r w:rsidRPr="00D15807">
        <w:rPr>
          <w:rFonts w:ascii="Arial" w:hAnsi="Arial" w:cs="Arial"/>
          <w:sz w:val="20"/>
          <w:szCs w:val="20"/>
          <w:highlight w:val="white"/>
          <w:lang w:eastAsia="en-AU"/>
        </w:rPr>
        <w:t xml:space="preserve"> normally </w:t>
      </w:r>
      <w:r w:rsidR="00560034">
        <w:rPr>
          <w:rFonts w:ascii="Arial" w:hAnsi="Arial" w:cs="Arial"/>
          <w:sz w:val="20"/>
          <w:szCs w:val="20"/>
          <w:highlight w:val="white"/>
          <w:lang w:eastAsia="en-AU"/>
        </w:rPr>
        <w:t xml:space="preserve">reach </w:t>
      </w:r>
      <w:proofErr w:type="gramStart"/>
      <w:r w:rsidR="00560034">
        <w:rPr>
          <w:rFonts w:ascii="Arial" w:hAnsi="Arial" w:cs="Arial"/>
          <w:sz w:val="20"/>
          <w:szCs w:val="20"/>
          <w:highlight w:val="white"/>
          <w:lang w:eastAsia="en-AU"/>
        </w:rPr>
        <w:t xml:space="preserve">a </w:t>
      </w:r>
      <w:r w:rsidRPr="00D15807">
        <w:rPr>
          <w:rFonts w:ascii="Arial" w:hAnsi="Arial" w:cs="Arial"/>
          <w:sz w:val="20"/>
          <w:szCs w:val="20"/>
          <w:highlight w:val="white"/>
          <w:lang w:eastAsia="en-AU"/>
        </w:rPr>
        <w:t xml:space="preserve"> volumetric</w:t>
      </w:r>
      <w:proofErr w:type="gramEnd"/>
      <w:r w:rsidRPr="00D15807">
        <w:rPr>
          <w:rFonts w:ascii="Arial" w:hAnsi="Arial" w:cs="Arial"/>
          <w:sz w:val="20"/>
          <w:szCs w:val="20"/>
          <w:highlight w:val="white"/>
          <w:lang w:eastAsia="en-AU"/>
        </w:rPr>
        <w:t xml:space="preserve"> limit before </w:t>
      </w:r>
      <w:r w:rsidR="00560034">
        <w:rPr>
          <w:rFonts w:ascii="Arial" w:hAnsi="Arial" w:cs="Arial"/>
          <w:sz w:val="20"/>
          <w:szCs w:val="20"/>
          <w:highlight w:val="white"/>
          <w:lang w:eastAsia="en-AU"/>
        </w:rPr>
        <w:t xml:space="preserve">reaching a </w:t>
      </w:r>
      <w:r w:rsidRPr="00D15807">
        <w:rPr>
          <w:rFonts w:ascii="Arial" w:hAnsi="Arial" w:cs="Arial"/>
          <w:sz w:val="20"/>
          <w:szCs w:val="20"/>
          <w:highlight w:val="white"/>
          <w:lang w:eastAsia="en-AU"/>
        </w:rPr>
        <w:t>mass</w:t>
      </w:r>
      <w:r w:rsidR="00560034">
        <w:rPr>
          <w:rFonts w:ascii="Arial" w:hAnsi="Arial" w:cs="Arial"/>
          <w:sz w:val="20"/>
          <w:szCs w:val="20"/>
          <w:highlight w:val="white"/>
          <w:lang w:eastAsia="en-AU"/>
        </w:rPr>
        <w:t xml:space="preserve"> limit</w:t>
      </w:r>
      <w:r w:rsidRPr="00D15807">
        <w:rPr>
          <w:rFonts w:ascii="Arial" w:hAnsi="Arial" w:cs="Arial"/>
          <w:sz w:val="20"/>
          <w:szCs w:val="20"/>
          <w:highlight w:val="white"/>
          <w:lang w:eastAsia="en-AU"/>
        </w:rPr>
        <w:t xml:space="preserve">. Therefore, RFS enabled trucks cause even less road wear than calculated. </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Primary efficiency gains are likely to be from</w:t>
      </w:r>
      <w:r w:rsidR="00D15807">
        <w:rPr>
          <w:rFonts w:ascii="Arial" w:hAnsi="Arial" w:cs="Arial"/>
          <w:sz w:val="20"/>
          <w:szCs w:val="20"/>
          <w:highlight w:val="white"/>
          <w:lang w:eastAsia="en-AU"/>
        </w:rPr>
        <w:t xml:space="preserve"> using</w:t>
      </w:r>
      <w:r w:rsidRPr="005959F9">
        <w:rPr>
          <w:rFonts w:ascii="Arial" w:hAnsi="Arial" w:cs="Arial"/>
          <w:sz w:val="20"/>
          <w:szCs w:val="20"/>
          <w:highlight w:val="white"/>
          <w:lang w:eastAsia="en-AU"/>
        </w:rPr>
        <w:t xml:space="preserve"> more axles at existing mass limits, that is</w:t>
      </w:r>
      <w:r w:rsidR="00560034">
        <w:rPr>
          <w:rFonts w:ascii="Arial" w:hAnsi="Arial" w:cs="Arial"/>
          <w:sz w:val="20"/>
          <w:szCs w:val="20"/>
          <w:highlight w:val="white"/>
          <w:lang w:eastAsia="en-AU"/>
        </w:rPr>
        <w:t>,</w:t>
      </w:r>
      <w:r w:rsidRPr="005959F9">
        <w:rPr>
          <w:rFonts w:ascii="Arial" w:hAnsi="Arial" w:cs="Arial"/>
          <w:sz w:val="20"/>
          <w:szCs w:val="20"/>
          <w:highlight w:val="white"/>
          <w:lang w:eastAsia="en-AU"/>
        </w:rPr>
        <w:t xml:space="preserve"> longer </w:t>
      </w:r>
      <w:r w:rsidR="00635D66" w:rsidRPr="005959F9">
        <w:rPr>
          <w:rFonts w:ascii="Arial" w:hAnsi="Arial" w:cs="Arial"/>
          <w:sz w:val="20"/>
          <w:szCs w:val="20"/>
          <w:highlight w:val="white"/>
          <w:lang w:eastAsia="en-AU"/>
        </w:rPr>
        <w:t xml:space="preserve">safer </w:t>
      </w:r>
      <w:r w:rsidRPr="005959F9">
        <w:rPr>
          <w:rFonts w:ascii="Arial" w:hAnsi="Arial" w:cs="Arial"/>
          <w:sz w:val="20"/>
          <w:szCs w:val="20"/>
          <w:highlight w:val="white"/>
          <w:lang w:eastAsia="en-AU"/>
        </w:rPr>
        <w:t xml:space="preserve">combinations. Registration charges for each heavy vehicle combination depend on a number of parameters that are used to allocate costs in each vehicle class. These influence how much a certain combination should pay </w:t>
      </w:r>
      <w:r w:rsidR="00D15807">
        <w:rPr>
          <w:rFonts w:ascii="Arial" w:hAnsi="Arial" w:cs="Arial"/>
          <w:sz w:val="20"/>
          <w:szCs w:val="20"/>
          <w:highlight w:val="white"/>
          <w:lang w:eastAsia="en-AU"/>
        </w:rPr>
        <w:t>so</w:t>
      </w:r>
      <w:r w:rsidRPr="005959F9">
        <w:rPr>
          <w:rFonts w:ascii="Arial" w:hAnsi="Arial" w:cs="Arial"/>
          <w:sz w:val="20"/>
          <w:szCs w:val="20"/>
          <w:highlight w:val="white"/>
          <w:lang w:eastAsia="en-AU"/>
        </w:rPr>
        <w:t xml:space="preserve"> its attributable and common costs are recovered in the PayGo model. </w:t>
      </w:r>
    </w:p>
    <w:p w:rsidR="00D4403D" w:rsidRPr="005959F9" w:rsidRDefault="00D4403D"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These parameters are:</w:t>
      </w:r>
    </w:p>
    <w:p w:rsidR="00A45F83" w:rsidRPr="005959F9" w:rsidRDefault="00A45F83" w:rsidP="001025C9">
      <w:pPr>
        <w:pStyle w:val="ListParagraph"/>
        <w:numPr>
          <w:ilvl w:val="0"/>
          <w:numId w:val="25"/>
        </w:num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 xml:space="preserve">average gross mass kilometres (AGM - km) </w:t>
      </w:r>
    </w:p>
    <w:p w:rsidR="00A45F83" w:rsidRPr="005959F9" w:rsidRDefault="00A45F83" w:rsidP="001025C9">
      <w:pPr>
        <w:pStyle w:val="ListParagraph"/>
        <w:numPr>
          <w:ilvl w:val="0"/>
          <w:numId w:val="25"/>
        </w:num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 xml:space="preserve">equivalent standard axles kilometres (ESA - km) </w:t>
      </w:r>
    </w:p>
    <w:p w:rsidR="00A45F83" w:rsidRPr="005959F9" w:rsidRDefault="00A45F83" w:rsidP="001025C9">
      <w:pPr>
        <w:pStyle w:val="ListParagraph"/>
        <w:numPr>
          <w:ilvl w:val="0"/>
          <w:numId w:val="25"/>
        </w:num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 xml:space="preserve">passenger car unit equivalent kilometres (PCU - km) </w:t>
      </w:r>
    </w:p>
    <w:p w:rsidR="00A45F83" w:rsidRPr="005959F9" w:rsidRDefault="00A45F83" w:rsidP="001025C9">
      <w:pPr>
        <w:pStyle w:val="ListParagraph"/>
        <w:numPr>
          <w:ilvl w:val="0"/>
          <w:numId w:val="25"/>
        </w:num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 xml:space="preserve">vehicle kilometres travelled (VKT) </w:t>
      </w:r>
    </w:p>
    <w:p w:rsidR="00A45F83"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Using data from the SMVU and ARRB</w:t>
      </w:r>
      <w:r w:rsidR="00635D66" w:rsidRPr="005959F9">
        <w:rPr>
          <w:rFonts w:ascii="Arial" w:hAnsi="Arial" w:cs="Arial"/>
          <w:sz w:val="20"/>
          <w:szCs w:val="20"/>
          <w:highlight w:val="white"/>
          <w:lang w:eastAsia="en-AU"/>
        </w:rPr>
        <w:t>,</w:t>
      </w:r>
      <w:r w:rsidRPr="005959F9">
        <w:rPr>
          <w:rFonts w:ascii="Arial" w:hAnsi="Arial" w:cs="Arial"/>
          <w:sz w:val="20"/>
          <w:szCs w:val="20"/>
          <w:highlight w:val="white"/>
          <w:lang w:eastAsia="en-AU"/>
        </w:rPr>
        <w:t xml:space="preserve"> each vehicle category is allocated costs from a cost allocation matrix that splits up which parameters have affected road expenditure. The cost allocation matrix below shows how heavy vehicle road expenditure is distributed over the fleet. Different categories have different weightings attached to them, accord</w:t>
      </w:r>
      <w:r w:rsidR="00BF44C4" w:rsidRPr="005959F9">
        <w:rPr>
          <w:rFonts w:ascii="Arial" w:hAnsi="Arial" w:cs="Arial"/>
          <w:sz w:val="20"/>
          <w:szCs w:val="20"/>
          <w:highlight w:val="white"/>
          <w:lang w:eastAsia="en-AU"/>
        </w:rPr>
        <w:t xml:space="preserve">ingly </w:t>
      </w:r>
      <w:r w:rsidRPr="005959F9">
        <w:rPr>
          <w:rFonts w:ascii="Arial" w:hAnsi="Arial" w:cs="Arial"/>
          <w:sz w:val="20"/>
          <w:szCs w:val="20"/>
          <w:highlight w:val="white"/>
          <w:lang w:eastAsia="en-AU"/>
        </w:rPr>
        <w:t>if they have considerations for PCU, VKT, and AGM etc. For example category E, the expenditure recovered is allocated by heavy vehicle VKT (80%) and PCU-Km</w:t>
      </w:r>
      <w:r w:rsidR="00D15807">
        <w:rPr>
          <w:rFonts w:ascii="Arial" w:hAnsi="Arial" w:cs="Arial"/>
          <w:sz w:val="20"/>
          <w:szCs w:val="20"/>
          <w:highlight w:val="white"/>
          <w:lang w:eastAsia="en-AU"/>
        </w:rPr>
        <w:t xml:space="preserve"> (20%)</w:t>
      </w:r>
      <w:r w:rsidRPr="005959F9">
        <w:rPr>
          <w:rFonts w:ascii="Arial" w:hAnsi="Arial" w:cs="Arial"/>
          <w:sz w:val="20"/>
          <w:szCs w:val="20"/>
          <w:highlight w:val="white"/>
          <w:lang w:eastAsia="en-AU"/>
        </w:rPr>
        <w:t>.</w:t>
      </w:r>
      <w:r w:rsidR="00D15807">
        <w:rPr>
          <w:rFonts w:ascii="Arial" w:hAnsi="Arial" w:cs="Arial"/>
          <w:sz w:val="20"/>
          <w:szCs w:val="20"/>
          <w:highlight w:val="white"/>
          <w:lang w:eastAsia="en-AU"/>
        </w:rPr>
        <w:t xml:space="preserve"> </w:t>
      </w:r>
      <w:r w:rsidRPr="005959F9">
        <w:rPr>
          <w:rFonts w:ascii="Arial" w:hAnsi="Arial" w:cs="Arial"/>
          <w:sz w:val="20"/>
          <w:szCs w:val="20"/>
          <w:highlight w:val="white"/>
          <w:lang w:eastAsia="en-AU"/>
        </w:rPr>
        <w:t xml:space="preserve"> </w:t>
      </w:r>
    </w:p>
    <w:p w:rsidR="001025C9" w:rsidRDefault="001025C9">
      <w:pPr>
        <w:rPr>
          <w:rFonts w:ascii="Arial" w:hAnsi="Arial" w:cs="Arial"/>
          <w:sz w:val="20"/>
          <w:szCs w:val="20"/>
          <w:highlight w:val="white"/>
          <w:lang w:eastAsia="en-AU"/>
        </w:rPr>
      </w:pPr>
      <w:r>
        <w:rPr>
          <w:rFonts w:ascii="Arial" w:hAnsi="Arial" w:cs="Arial"/>
          <w:sz w:val="20"/>
          <w:szCs w:val="20"/>
          <w:highlight w:val="white"/>
          <w:lang w:eastAsia="en-AU"/>
        </w:rPr>
        <w:br w:type="page"/>
      </w:r>
    </w:p>
    <w:p w:rsidR="001A7BF4" w:rsidRDefault="001A7BF4" w:rsidP="001025C9">
      <w:pPr>
        <w:autoSpaceDE w:val="0"/>
        <w:autoSpaceDN w:val="0"/>
        <w:adjustRightInd w:val="0"/>
        <w:jc w:val="center"/>
        <w:rPr>
          <w:rFonts w:ascii="Arial" w:hAnsi="Arial" w:cs="Arial"/>
          <w:sz w:val="20"/>
          <w:szCs w:val="20"/>
          <w:highlight w:val="white"/>
          <w:lang w:eastAsia="en-AU"/>
        </w:rPr>
      </w:pPr>
    </w:p>
    <w:p w:rsidR="001A7BF4" w:rsidRPr="00D15807" w:rsidRDefault="001A7BF4" w:rsidP="001025C9">
      <w:pPr>
        <w:autoSpaceDE w:val="0"/>
        <w:autoSpaceDN w:val="0"/>
        <w:adjustRightInd w:val="0"/>
        <w:jc w:val="center"/>
        <w:rPr>
          <w:rFonts w:ascii="Arial" w:hAnsi="Arial" w:cs="Arial"/>
          <w:b/>
          <w:sz w:val="20"/>
          <w:szCs w:val="20"/>
          <w:highlight w:val="white"/>
          <w:lang w:eastAsia="en-AU"/>
        </w:rPr>
      </w:pPr>
      <w:r w:rsidRPr="00D15807">
        <w:rPr>
          <w:rFonts w:ascii="Arial" w:hAnsi="Arial" w:cs="Arial"/>
          <w:b/>
          <w:sz w:val="20"/>
          <w:szCs w:val="20"/>
          <w:highlight w:val="white"/>
          <w:lang w:eastAsia="en-AU"/>
        </w:rPr>
        <w:t xml:space="preserve">Figure </w:t>
      </w:r>
      <w:r w:rsidR="00D4403D">
        <w:rPr>
          <w:rFonts w:ascii="Arial" w:hAnsi="Arial" w:cs="Arial"/>
          <w:b/>
          <w:sz w:val="20"/>
          <w:szCs w:val="20"/>
          <w:highlight w:val="white"/>
          <w:lang w:eastAsia="en-AU"/>
        </w:rPr>
        <w:t>3</w:t>
      </w:r>
      <w:r w:rsidRPr="00D15807">
        <w:rPr>
          <w:rFonts w:ascii="Arial" w:hAnsi="Arial" w:cs="Arial"/>
          <w:b/>
          <w:sz w:val="20"/>
          <w:szCs w:val="20"/>
          <w:highlight w:val="white"/>
          <w:lang w:eastAsia="en-AU"/>
        </w:rPr>
        <w:t xml:space="preserve">: </w:t>
      </w:r>
      <w:r w:rsidR="00D15807" w:rsidRPr="00D15807">
        <w:rPr>
          <w:rFonts w:ascii="Arial" w:hAnsi="Arial" w:cs="Arial"/>
          <w:b/>
          <w:sz w:val="20"/>
          <w:szCs w:val="20"/>
          <w:highlight w:val="white"/>
          <w:lang w:eastAsia="en-AU"/>
        </w:rPr>
        <w:t>cost allocation matrix</w:t>
      </w:r>
    </w:p>
    <w:p w:rsidR="00A45F83" w:rsidRPr="005959F9" w:rsidRDefault="00A45F83" w:rsidP="001025C9">
      <w:pPr>
        <w:autoSpaceDE w:val="0"/>
        <w:autoSpaceDN w:val="0"/>
        <w:adjustRightInd w:val="0"/>
        <w:jc w:val="center"/>
        <w:rPr>
          <w:rFonts w:ascii="Arial" w:hAnsi="Arial" w:cs="Arial"/>
          <w:sz w:val="20"/>
          <w:szCs w:val="20"/>
          <w:highlight w:val="white"/>
          <w:lang w:eastAsia="en-AU"/>
        </w:rPr>
      </w:pPr>
    </w:p>
    <w:p w:rsidR="00662536" w:rsidRPr="005959F9" w:rsidRDefault="00A45F83" w:rsidP="001025C9">
      <w:pPr>
        <w:autoSpaceDE w:val="0"/>
        <w:autoSpaceDN w:val="0"/>
        <w:adjustRightInd w:val="0"/>
        <w:jc w:val="center"/>
        <w:rPr>
          <w:rFonts w:ascii="Arial" w:hAnsi="Arial" w:cs="Arial"/>
          <w:sz w:val="20"/>
          <w:szCs w:val="20"/>
          <w:highlight w:val="white"/>
          <w:lang w:eastAsia="en-AU"/>
        </w:rPr>
      </w:pPr>
      <w:r w:rsidRPr="005959F9">
        <w:rPr>
          <w:rFonts w:ascii="Arial" w:hAnsi="Arial" w:cs="Arial"/>
          <w:noProof/>
          <w:sz w:val="20"/>
          <w:szCs w:val="20"/>
          <w:lang w:eastAsia="en-AU"/>
        </w:rPr>
        <w:drawing>
          <wp:inline distT="0" distB="0" distL="0" distR="0">
            <wp:extent cx="4368800" cy="29908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368800" cy="2990850"/>
                    </a:xfrm>
                    <a:prstGeom prst="rect">
                      <a:avLst/>
                    </a:prstGeom>
                    <a:noFill/>
                    <a:ln w="9525">
                      <a:noFill/>
                      <a:miter lim="800000"/>
                      <a:headEnd/>
                      <a:tailEnd/>
                    </a:ln>
                  </pic:spPr>
                </pic:pic>
              </a:graphicData>
            </a:graphic>
          </wp:inline>
        </w:drawing>
      </w:r>
    </w:p>
    <w:p w:rsidR="00D74FF1" w:rsidRPr="00D74FF1" w:rsidRDefault="00D74FF1" w:rsidP="001025C9">
      <w:pPr>
        <w:autoSpaceDE w:val="0"/>
        <w:autoSpaceDN w:val="0"/>
        <w:adjustRightInd w:val="0"/>
        <w:jc w:val="center"/>
        <w:rPr>
          <w:rFonts w:ascii="Arial" w:hAnsi="Arial" w:cs="Arial"/>
          <w:sz w:val="16"/>
          <w:szCs w:val="16"/>
          <w:highlight w:val="white"/>
          <w:lang w:eastAsia="en-AU"/>
        </w:rPr>
      </w:pPr>
      <w:r w:rsidRPr="00D74FF1">
        <w:rPr>
          <w:rFonts w:ascii="Arial" w:hAnsi="Arial" w:cs="Arial"/>
          <w:sz w:val="16"/>
          <w:szCs w:val="16"/>
          <w:highlight w:val="white"/>
          <w:lang w:eastAsia="en-AU"/>
        </w:rPr>
        <w:t>Source: page 7: Heavy Vehicles Charges Report to the Standing Council of Transport and Infrastructure, February 2012</w:t>
      </w:r>
    </w:p>
    <w:p w:rsidR="00D74FF1" w:rsidRPr="005959F9" w:rsidRDefault="00D74FF1"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 xml:space="preserve">Incremental charges applied to vehicles with additional mass or access will cause a distortion to the cost allocation matrix. This distortion needs to be adjusted to avoid double counting and non-incremental vehicles subsidising incremental vehicles. </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It is unnecessary for these vehicles either to be charged outside the PayGo model for access or have additional monitoring, given their impact</w:t>
      </w:r>
      <w:r w:rsidR="00D15807">
        <w:rPr>
          <w:rFonts w:ascii="Arial" w:hAnsi="Arial" w:cs="Arial"/>
          <w:sz w:val="20"/>
          <w:szCs w:val="20"/>
          <w:highlight w:val="white"/>
          <w:lang w:eastAsia="en-AU"/>
        </w:rPr>
        <w:t xml:space="preserve"> is</w:t>
      </w:r>
      <w:r w:rsidRPr="005959F9">
        <w:rPr>
          <w:rFonts w:ascii="Arial" w:hAnsi="Arial" w:cs="Arial"/>
          <w:sz w:val="20"/>
          <w:szCs w:val="20"/>
          <w:highlight w:val="white"/>
          <w:lang w:eastAsia="en-AU"/>
        </w:rPr>
        <w:t xml:space="preserve"> captured in the PayGo model. </w:t>
      </w:r>
      <w:r w:rsidR="00BF44C4" w:rsidRPr="005959F9">
        <w:rPr>
          <w:rFonts w:ascii="Arial" w:hAnsi="Arial" w:cs="Arial"/>
          <w:sz w:val="20"/>
          <w:szCs w:val="20"/>
          <w:highlight w:val="white"/>
          <w:lang w:eastAsia="en-AU"/>
        </w:rPr>
        <w:t xml:space="preserve">Not excluding </w:t>
      </w:r>
      <w:r w:rsidR="00ED06E4">
        <w:rPr>
          <w:rFonts w:ascii="Arial" w:hAnsi="Arial" w:cs="Arial"/>
          <w:sz w:val="20"/>
          <w:szCs w:val="20"/>
          <w:highlight w:val="white"/>
          <w:lang w:eastAsia="en-AU"/>
        </w:rPr>
        <w:t>incrementally charged heavy</w:t>
      </w:r>
      <w:r w:rsidR="00BF44C4" w:rsidRPr="005959F9">
        <w:rPr>
          <w:rFonts w:ascii="Arial" w:hAnsi="Arial" w:cs="Arial"/>
          <w:sz w:val="20"/>
          <w:szCs w:val="20"/>
          <w:highlight w:val="white"/>
          <w:lang w:eastAsia="en-AU"/>
        </w:rPr>
        <w:t xml:space="preserve"> vehicles from the PayGo model is likely to cause </w:t>
      </w:r>
      <w:r w:rsidRPr="005959F9">
        <w:rPr>
          <w:rFonts w:ascii="Arial" w:hAnsi="Arial" w:cs="Arial"/>
          <w:sz w:val="20"/>
          <w:szCs w:val="20"/>
          <w:highlight w:val="white"/>
          <w:lang w:eastAsia="en-AU"/>
        </w:rPr>
        <w:t xml:space="preserve">double counting. </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autoSpaceDE w:val="0"/>
        <w:autoSpaceDN w:val="0"/>
        <w:adjustRightInd w:val="0"/>
        <w:jc w:val="both"/>
        <w:rPr>
          <w:rFonts w:ascii="Arial" w:hAnsi="Arial" w:cs="Arial"/>
          <w:sz w:val="20"/>
          <w:szCs w:val="20"/>
          <w:u w:val="single"/>
          <w:lang w:eastAsia="en-AU"/>
        </w:rPr>
      </w:pPr>
      <w:r w:rsidRPr="005959F9">
        <w:rPr>
          <w:rFonts w:ascii="Arial" w:hAnsi="Arial" w:cs="Arial"/>
          <w:sz w:val="20"/>
          <w:szCs w:val="20"/>
          <w:highlight w:val="white"/>
          <w:u w:val="single"/>
          <w:lang w:eastAsia="en-AU"/>
        </w:rPr>
        <w:t>Ma</w:t>
      </w:r>
      <w:r w:rsidRPr="005959F9">
        <w:rPr>
          <w:rFonts w:ascii="Arial" w:hAnsi="Arial" w:cs="Arial"/>
          <w:sz w:val="20"/>
          <w:szCs w:val="20"/>
          <w:u w:val="single"/>
          <w:lang w:eastAsia="en-AU"/>
        </w:rPr>
        <w:t>ss distance location charging</w:t>
      </w:r>
    </w:p>
    <w:p w:rsidR="00A45F83" w:rsidRPr="005959F9" w:rsidRDefault="00A45F83" w:rsidP="001025C9">
      <w:pPr>
        <w:autoSpaceDE w:val="0"/>
        <w:autoSpaceDN w:val="0"/>
        <w:adjustRightInd w:val="0"/>
        <w:jc w:val="both"/>
        <w:rPr>
          <w:rFonts w:ascii="Arial" w:hAnsi="Arial" w:cs="Arial"/>
          <w:sz w:val="20"/>
          <w:szCs w:val="20"/>
          <w:lang w:eastAsia="en-AU"/>
        </w:rPr>
      </w:pPr>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Mass distance location charging has been discussed in the heavy vehicle charging aren</w:t>
      </w:r>
      <w:r w:rsidR="00BF44C4" w:rsidRPr="005959F9">
        <w:rPr>
          <w:rFonts w:ascii="Arial" w:hAnsi="Arial" w:cs="Arial"/>
          <w:sz w:val="20"/>
          <w:szCs w:val="20"/>
          <w:highlight w:val="white"/>
          <w:lang w:eastAsia="en-AU"/>
        </w:rPr>
        <w:t>a by HVCI.  H</w:t>
      </w:r>
      <w:r w:rsidRPr="005959F9">
        <w:rPr>
          <w:rFonts w:ascii="Arial" w:hAnsi="Arial" w:cs="Arial"/>
          <w:sz w:val="20"/>
          <w:szCs w:val="20"/>
          <w:highlight w:val="white"/>
          <w:lang w:eastAsia="en-AU"/>
        </w:rPr>
        <w:t>owever, industry does not believe a mass distance location charge is feasible in the next decade or two given constraints that will take time and public acceptance to change</w:t>
      </w:r>
      <w:r w:rsidR="00ED06E4">
        <w:rPr>
          <w:rFonts w:ascii="Arial" w:hAnsi="Arial" w:cs="Arial"/>
          <w:sz w:val="20"/>
          <w:szCs w:val="20"/>
          <w:highlight w:val="white"/>
          <w:lang w:eastAsia="en-AU"/>
        </w:rPr>
        <w:t>.</w:t>
      </w:r>
      <w:r w:rsidRPr="005959F9">
        <w:rPr>
          <w:rFonts w:ascii="Arial" w:hAnsi="Arial" w:cs="Arial"/>
          <w:sz w:val="20"/>
          <w:szCs w:val="20"/>
          <w:highlight w:val="white"/>
          <w:lang w:eastAsia="en-AU"/>
        </w:rPr>
        <w:t xml:space="preserve"> </w:t>
      </w:r>
      <w:r w:rsidR="00BF44C4" w:rsidRPr="005959F9">
        <w:rPr>
          <w:rFonts w:ascii="Arial" w:hAnsi="Arial" w:cs="Arial"/>
          <w:sz w:val="20"/>
          <w:szCs w:val="20"/>
          <w:highlight w:val="white"/>
          <w:lang w:eastAsia="en-AU"/>
        </w:rPr>
        <w:t>R</w:t>
      </w:r>
      <w:r w:rsidRPr="005959F9">
        <w:rPr>
          <w:rFonts w:ascii="Arial" w:hAnsi="Arial" w:cs="Arial"/>
          <w:sz w:val="20"/>
          <w:szCs w:val="20"/>
          <w:highlight w:val="white"/>
          <w:lang w:eastAsia="en-AU"/>
        </w:rPr>
        <w:t xml:space="preserve">oad supply agencies need time to improve their efficiency and accountability.  </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 xml:space="preserve">Measuring dynamic mass is not technologically feasible, it is especially unlikely in Australia given that mass measurement devices on trailers are likely to suffer deterioration and data issues on poor quality roads. Further, retrofitting devices is a much larger cost than fitting as part of the original design of the truck. </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9F2FF9"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 xml:space="preserve">New Zealand </w:t>
      </w:r>
      <w:r w:rsidR="00ED06E4" w:rsidRPr="005959F9">
        <w:rPr>
          <w:rFonts w:ascii="Arial" w:hAnsi="Arial" w:cs="Arial"/>
          <w:sz w:val="20"/>
          <w:szCs w:val="20"/>
          <w:highlight w:val="white"/>
          <w:lang w:eastAsia="en-AU"/>
        </w:rPr>
        <w:t>had a</w:t>
      </w:r>
      <w:r w:rsidRPr="005959F9">
        <w:rPr>
          <w:rFonts w:ascii="Arial" w:hAnsi="Arial" w:cs="Arial"/>
          <w:sz w:val="20"/>
          <w:szCs w:val="20"/>
          <w:highlight w:val="white"/>
          <w:lang w:eastAsia="en-AU"/>
        </w:rPr>
        <w:t xml:space="preserve"> mass declaration system</w:t>
      </w:r>
      <w:r w:rsidR="00635D66" w:rsidRPr="005959F9">
        <w:rPr>
          <w:rFonts w:ascii="Arial" w:hAnsi="Arial" w:cs="Arial"/>
          <w:sz w:val="20"/>
          <w:szCs w:val="20"/>
          <w:highlight w:val="white"/>
          <w:lang w:eastAsia="en-AU"/>
        </w:rPr>
        <w:t xml:space="preserve">, which was introduced in </w:t>
      </w:r>
      <w:r w:rsidRPr="005959F9">
        <w:rPr>
          <w:rFonts w:ascii="Arial" w:hAnsi="Arial" w:cs="Arial"/>
          <w:sz w:val="20"/>
          <w:szCs w:val="20"/>
          <w:highlight w:val="white"/>
          <w:lang w:eastAsia="en-AU"/>
        </w:rPr>
        <w:t>1978, where operators could purcha</w:t>
      </w:r>
      <w:r w:rsidR="00ED06E4">
        <w:rPr>
          <w:rFonts w:ascii="Arial" w:hAnsi="Arial" w:cs="Arial"/>
          <w:sz w:val="20"/>
          <w:szCs w:val="20"/>
          <w:highlight w:val="white"/>
          <w:lang w:eastAsia="en-AU"/>
        </w:rPr>
        <w:t>se mass they would be loaded to. H</w:t>
      </w:r>
      <w:r w:rsidRPr="005959F9">
        <w:rPr>
          <w:rFonts w:ascii="Arial" w:hAnsi="Arial" w:cs="Arial"/>
          <w:sz w:val="20"/>
          <w:szCs w:val="20"/>
          <w:highlight w:val="white"/>
          <w:lang w:eastAsia="en-AU"/>
        </w:rPr>
        <w:t>owever, the system was changed as it was perce</w:t>
      </w:r>
      <w:r w:rsidR="00ED06E4">
        <w:rPr>
          <w:rFonts w:ascii="Arial" w:hAnsi="Arial" w:cs="Arial"/>
          <w:sz w:val="20"/>
          <w:szCs w:val="20"/>
          <w:highlight w:val="white"/>
          <w:lang w:eastAsia="en-AU"/>
        </w:rPr>
        <w:t>ived be open to operators under-</w:t>
      </w:r>
      <w:r w:rsidRPr="005959F9">
        <w:rPr>
          <w:rFonts w:ascii="Arial" w:hAnsi="Arial" w:cs="Arial"/>
          <w:sz w:val="20"/>
          <w:szCs w:val="20"/>
          <w:highlight w:val="white"/>
          <w:lang w:eastAsia="en-AU"/>
        </w:rPr>
        <w:t xml:space="preserve">declaring the amount of freight they carried. However, since 2012 the system changed and vehicles are now charged at their gross vehicle mass (GVM). This system has meant that in NZ trucks are perceived to be loaded to full capacity all the time, which is </w:t>
      </w:r>
      <w:r w:rsidR="00635D66" w:rsidRPr="005959F9">
        <w:rPr>
          <w:rFonts w:ascii="Arial" w:hAnsi="Arial" w:cs="Arial"/>
          <w:sz w:val="20"/>
          <w:szCs w:val="20"/>
          <w:highlight w:val="white"/>
          <w:lang w:eastAsia="en-AU"/>
        </w:rPr>
        <w:t>unfair</w:t>
      </w:r>
      <w:r w:rsidRPr="005959F9">
        <w:rPr>
          <w:rFonts w:ascii="Arial" w:hAnsi="Arial" w:cs="Arial"/>
          <w:sz w:val="20"/>
          <w:szCs w:val="20"/>
          <w:highlight w:val="white"/>
          <w:lang w:eastAsia="en-AU"/>
        </w:rPr>
        <w:t xml:space="preserve">.  </w:t>
      </w:r>
    </w:p>
    <w:p w:rsidR="009F2FF9" w:rsidRPr="005959F9" w:rsidRDefault="009F2FF9" w:rsidP="001025C9">
      <w:pPr>
        <w:autoSpaceDE w:val="0"/>
        <w:autoSpaceDN w:val="0"/>
        <w:adjustRightInd w:val="0"/>
        <w:jc w:val="both"/>
        <w:rPr>
          <w:rFonts w:ascii="Arial" w:hAnsi="Arial" w:cs="Arial"/>
          <w:sz w:val="20"/>
          <w:szCs w:val="20"/>
          <w:highlight w:val="white"/>
          <w:lang w:eastAsia="en-AU"/>
        </w:rPr>
      </w:pPr>
    </w:p>
    <w:p w:rsidR="00ED06E4"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 xml:space="preserve">The current PayGo model assumes an average gross mass </w:t>
      </w:r>
      <w:r w:rsidR="00635D66" w:rsidRPr="005959F9">
        <w:rPr>
          <w:rFonts w:ascii="Arial" w:hAnsi="Arial" w:cs="Arial"/>
          <w:sz w:val="20"/>
          <w:szCs w:val="20"/>
          <w:highlight w:val="white"/>
          <w:lang w:eastAsia="en-AU"/>
        </w:rPr>
        <w:t>(</w:t>
      </w:r>
      <w:r w:rsidRPr="005959F9">
        <w:rPr>
          <w:rFonts w:ascii="Arial" w:hAnsi="Arial" w:cs="Arial"/>
          <w:sz w:val="20"/>
          <w:szCs w:val="20"/>
          <w:highlight w:val="white"/>
          <w:lang w:eastAsia="en-AU"/>
        </w:rPr>
        <w:t>AGM</w:t>
      </w:r>
      <w:r w:rsidR="00635D66" w:rsidRPr="005959F9">
        <w:rPr>
          <w:rFonts w:ascii="Arial" w:hAnsi="Arial" w:cs="Arial"/>
          <w:sz w:val="20"/>
          <w:szCs w:val="20"/>
          <w:highlight w:val="white"/>
          <w:lang w:eastAsia="en-AU"/>
        </w:rPr>
        <w:t>)</w:t>
      </w:r>
      <w:r w:rsidRPr="005959F9">
        <w:rPr>
          <w:rFonts w:ascii="Arial" w:hAnsi="Arial" w:cs="Arial"/>
          <w:sz w:val="20"/>
          <w:szCs w:val="20"/>
          <w:highlight w:val="white"/>
          <w:lang w:eastAsia="en-AU"/>
        </w:rPr>
        <w:t xml:space="preserve"> based on data provided from SMVU and distributions from weight in motion (WIM) stations across the country. Using AGM is a fairer system than </w:t>
      </w:r>
      <w:r w:rsidR="00635D66" w:rsidRPr="005959F9">
        <w:rPr>
          <w:rFonts w:ascii="Arial" w:hAnsi="Arial" w:cs="Arial"/>
          <w:sz w:val="20"/>
          <w:szCs w:val="20"/>
          <w:highlight w:val="white"/>
          <w:lang w:eastAsia="en-AU"/>
        </w:rPr>
        <w:t xml:space="preserve">assuming a vehicle is always fully laden to its </w:t>
      </w:r>
      <w:r w:rsidRPr="005959F9">
        <w:rPr>
          <w:rFonts w:ascii="Arial" w:hAnsi="Arial" w:cs="Arial"/>
          <w:sz w:val="20"/>
          <w:szCs w:val="20"/>
          <w:highlight w:val="white"/>
          <w:lang w:eastAsia="en-AU"/>
        </w:rPr>
        <w:t>GVM</w:t>
      </w:r>
      <w:r w:rsidR="00635D66" w:rsidRPr="005959F9">
        <w:rPr>
          <w:rFonts w:ascii="Arial" w:hAnsi="Arial" w:cs="Arial"/>
          <w:sz w:val="20"/>
          <w:szCs w:val="20"/>
          <w:highlight w:val="white"/>
          <w:lang w:eastAsia="en-AU"/>
        </w:rPr>
        <w:t xml:space="preserve"> limit</w:t>
      </w:r>
      <w:r w:rsidRPr="005959F9">
        <w:rPr>
          <w:rFonts w:ascii="Arial" w:hAnsi="Arial" w:cs="Arial"/>
          <w:sz w:val="20"/>
          <w:szCs w:val="20"/>
          <w:highlight w:val="white"/>
          <w:lang w:eastAsia="en-AU"/>
        </w:rPr>
        <w:t>. More accurate data on loading of combinations would provide more accurate AGM for the fleet and refine the PayGo calculations.</w:t>
      </w:r>
    </w:p>
    <w:p w:rsidR="00ED06E4" w:rsidRDefault="00ED06E4"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 xml:space="preserve">Therefore, the desire for measuring </w:t>
      </w:r>
      <w:r w:rsidR="00ED06E4">
        <w:rPr>
          <w:rFonts w:ascii="Arial" w:hAnsi="Arial" w:cs="Arial"/>
          <w:sz w:val="20"/>
          <w:szCs w:val="20"/>
          <w:highlight w:val="white"/>
          <w:lang w:eastAsia="en-AU"/>
        </w:rPr>
        <w:t>vehicles mass</w:t>
      </w:r>
      <w:r w:rsidRPr="005959F9">
        <w:rPr>
          <w:rFonts w:ascii="Arial" w:hAnsi="Arial" w:cs="Arial"/>
          <w:sz w:val="20"/>
          <w:szCs w:val="20"/>
          <w:highlight w:val="white"/>
          <w:lang w:eastAsia="en-AU"/>
        </w:rPr>
        <w:t xml:space="preserve"> is reasonably well reflected in PayGo. </w:t>
      </w: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A45F83"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t>Measuring distance in heavy vehicles can be done with GPS devices; however, fuel burn acts as a</w:t>
      </w:r>
      <w:r w:rsidR="00BF44C4" w:rsidRPr="005959F9">
        <w:rPr>
          <w:rFonts w:ascii="Arial" w:hAnsi="Arial" w:cs="Arial"/>
          <w:sz w:val="20"/>
          <w:szCs w:val="20"/>
          <w:highlight w:val="white"/>
          <w:lang w:eastAsia="en-AU"/>
        </w:rPr>
        <w:t>n optimum</w:t>
      </w:r>
      <w:r w:rsidRPr="005959F9">
        <w:rPr>
          <w:rFonts w:ascii="Arial" w:hAnsi="Arial" w:cs="Arial"/>
          <w:sz w:val="20"/>
          <w:szCs w:val="20"/>
          <w:highlight w:val="white"/>
          <w:lang w:eastAsia="en-AU"/>
        </w:rPr>
        <w:t xml:space="preserve"> </w:t>
      </w:r>
      <w:r w:rsidR="00ED06E4">
        <w:rPr>
          <w:rFonts w:ascii="Arial" w:hAnsi="Arial" w:cs="Arial"/>
          <w:sz w:val="20"/>
          <w:szCs w:val="20"/>
          <w:highlight w:val="white"/>
          <w:lang w:eastAsia="en-AU"/>
        </w:rPr>
        <w:t>estimate</w:t>
      </w:r>
      <w:r w:rsidRPr="005959F9">
        <w:rPr>
          <w:rFonts w:ascii="Arial" w:hAnsi="Arial" w:cs="Arial"/>
          <w:sz w:val="20"/>
          <w:szCs w:val="20"/>
          <w:highlight w:val="white"/>
          <w:lang w:eastAsia="en-AU"/>
        </w:rPr>
        <w:t xml:space="preserve"> for road wear and distance. Fuel relate</w:t>
      </w:r>
      <w:r w:rsidR="00ED06E4">
        <w:rPr>
          <w:rFonts w:ascii="Arial" w:hAnsi="Arial" w:cs="Arial"/>
          <w:sz w:val="20"/>
          <w:szCs w:val="20"/>
          <w:highlight w:val="white"/>
          <w:lang w:eastAsia="en-AU"/>
        </w:rPr>
        <w:t>d charges are currently collected</w:t>
      </w:r>
      <w:r w:rsidRPr="005959F9">
        <w:rPr>
          <w:rFonts w:ascii="Arial" w:hAnsi="Arial" w:cs="Arial"/>
          <w:sz w:val="20"/>
          <w:szCs w:val="20"/>
          <w:highlight w:val="white"/>
          <w:lang w:eastAsia="en-AU"/>
        </w:rPr>
        <w:t xml:space="preserve"> via the Australian Tax Office and the system can cope with growth. Any legislative amendments are small compared to the changes required for MDL or like model reforms. </w:t>
      </w:r>
    </w:p>
    <w:p w:rsidR="001025C9" w:rsidRDefault="001025C9" w:rsidP="001025C9">
      <w:pPr>
        <w:autoSpaceDE w:val="0"/>
        <w:autoSpaceDN w:val="0"/>
        <w:adjustRightInd w:val="0"/>
        <w:jc w:val="both"/>
        <w:rPr>
          <w:rFonts w:ascii="Arial" w:hAnsi="Arial" w:cs="Arial"/>
          <w:sz w:val="20"/>
          <w:szCs w:val="20"/>
          <w:highlight w:val="white"/>
          <w:lang w:eastAsia="en-AU"/>
        </w:rPr>
      </w:pPr>
    </w:p>
    <w:p w:rsidR="001025C9" w:rsidRPr="005959F9" w:rsidRDefault="001025C9"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autoSpaceDE w:val="0"/>
        <w:autoSpaceDN w:val="0"/>
        <w:adjustRightInd w:val="0"/>
        <w:jc w:val="both"/>
        <w:rPr>
          <w:rFonts w:ascii="Arial" w:hAnsi="Arial" w:cs="Arial"/>
          <w:sz w:val="20"/>
          <w:szCs w:val="20"/>
          <w:highlight w:val="white"/>
          <w:lang w:eastAsia="en-AU"/>
        </w:rPr>
      </w:pPr>
    </w:p>
    <w:p w:rsidR="00A45F83" w:rsidRPr="005959F9" w:rsidRDefault="00A45F83" w:rsidP="001025C9">
      <w:pPr>
        <w:autoSpaceDE w:val="0"/>
        <w:autoSpaceDN w:val="0"/>
        <w:adjustRightInd w:val="0"/>
        <w:jc w:val="both"/>
        <w:rPr>
          <w:rFonts w:ascii="Arial" w:hAnsi="Arial" w:cs="Arial"/>
          <w:sz w:val="20"/>
          <w:szCs w:val="20"/>
          <w:highlight w:val="white"/>
          <w:lang w:eastAsia="en-AU"/>
        </w:rPr>
      </w:pPr>
      <w:r w:rsidRPr="005959F9">
        <w:rPr>
          <w:rFonts w:ascii="Arial" w:hAnsi="Arial" w:cs="Arial"/>
          <w:sz w:val="20"/>
          <w:szCs w:val="20"/>
          <w:highlight w:val="white"/>
          <w:lang w:eastAsia="en-AU"/>
        </w:rPr>
        <w:lastRenderedPageBreak/>
        <w:t xml:space="preserve">Roads are designed with regard to expected traffic of Equivalent Standard Axles (ESAs), and road wear is routinely assessed using this comparative tool. Reference to the graph below proves our view that on </w:t>
      </w:r>
      <w:r w:rsidR="00ED06E4">
        <w:rPr>
          <w:rFonts w:ascii="Arial" w:hAnsi="Arial" w:cs="Arial"/>
          <w:sz w:val="20"/>
          <w:szCs w:val="20"/>
          <w:highlight w:val="white"/>
          <w:lang w:eastAsia="en-AU"/>
        </w:rPr>
        <w:t xml:space="preserve">a </w:t>
      </w:r>
      <w:r w:rsidRPr="005959F9">
        <w:rPr>
          <w:rFonts w:ascii="Arial" w:hAnsi="Arial" w:cs="Arial"/>
          <w:sz w:val="20"/>
          <w:szCs w:val="20"/>
          <w:highlight w:val="white"/>
          <w:lang w:eastAsia="en-AU"/>
        </w:rPr>
        <w:t>freight task basis</w:t>
      </w:r>
      <w:r w:rsidR="00ED06E4">
        <w:rPr>
          <w:rFonts w:ascii="Arial" w:hAnsi="Arial" w:cs="Arial"/>
          <w:sz w:val="20"/>
          <w:szCs w:val="20"/>
          <w:highlight w:val="white"/>
          <w:lang w:eastAsia="en-AU"/>
        </w:rPr>
        <w:t>,</w:t>
      </w:r>
      <w:r w:rsidRPr="005959F9">
        <w:rPr>
          <w:rFonts w:ascii="Arial" w:hAnsi="Arial" w:cs="Arial"/>
          <w:sz w:val="20"/>
          <w:szCs w:val="20"/>
          <w:highlight w:val="white"/>
          <w:lang w:eastAsia="en-AU"/>
        </w:rPr>
        <w:t xml:space="preserve"> fuel consumption reflects road wear very well. This graph is drawn from </w:t>
      </w:r>
      <w:proofErr w:type="gramStart"/>
      <w:r w:rsidR="00BF44C4" w:rsidRPr="005959F9">
        <w:rPr>
          <w:rFonts w:ascii="Arial" w:hAnsi="Arial" w:cs="Arial"/>
          <w:sz w:val="20"/>
          <w:szCs w:val="20"/>
          <w:highlight w:val="white"/>
          <w:lang w:eastAsia="en-AU"/>
        </w:rPr>
        <w:t xml:space="preserve">Appendix </w:t>
      </w:r>
      <w:r w:rsidRPr="005959F9">
        <w:rPr>
          <w:rFonts w:ascii="Arial" w:hAnsi="Arial" w:cs="Arial"/>
          <w:sz w:val="20"/>
          <w:szCs w:val="20"/>
          <w:highlight w:val="white"/>
          <w:lang w:eastAsia="en-AU"/>
        </w:rPr>
        <w:t xml:space="preserve"> A</w:t>
      </w:r>
      <w:proofErr w:type="gramEnd"/>
      <w:r w:rsidRPr="005959F9">
        <w:rPr>
          <w:rFonts w:ascii="Arial" w:hAnsi="Arial" w:cs="Arial"/>
          <w:sz w:val="20"/>
          <w:szCs w:val="20"/>
          <w:highlight w:val="white"/>
          <w:lang w:eastAsia="en-AU"/>
        </w:rPr>
        <w:t xml:space="preserve">, which has been peer reviewed, published and referenced as an authoritative source by consultants conducting Government business. </w:t>
      </w:r>
    </w:p>
    <w:p w:rsidR="00A45F83" w:rsidRDefault="00A45F83" w:rsidP="001025C9">
      <w:pPr>
        <w:jc w:val="both"/>
        <w:rPr>
          <w:rFonts w:ascii="Arial" w:hAnsi="Arial" w:cs="Arial"/>
          <w:sz w:val="20"/>
          <w:szCs w:val="20"/>
        </w:rPr>
      </w:pPr>
    </w:p>
    <w:p w:rsidR="001A7BF4" w:rsidRDefault="001A7BF4" w:rsidP="001025C9">
      <w:pPr>
        <w:jc w:val="center"/>
        <w:rPr>
          <w:rFonts w:ascii="Arial" w:hAnsi="Arial" w:cs="Arial"/>
          <w:b/>
          <w:sz w:val="20"/>
          <w:szCs w:val="20"/>
        </w:rPr>
      </w:pPr>
      <w:r w:rsidRPr="00ED06E4">
        <w:rPr>
          <w:rFonts w:ascii="Arial" w:hAnsi="Arial" w:cs="Arial"/>
          <w:b/>
          <w:sz w:val="20"/>
          <w:szCs w:val="20"/>
        </w:rPr>
        <w:t xml:space="preserve">Figure </w:t>
      </w:r>
      <w:r w:rsidR="00D4403D">
        <w:rPr>
          <w:rFonts w:ascii="Arial" w:hAnsi="Arial" w:cs="Arial"/>
          <w:b/>
          <w:sz w:val="20"/>
          <w:szCs w:val="20"/>
        </w:rPr>
        <w:t>4</w:t>
      </w:r>
      <w:r w:rsidR="00ED06E4" w:rsidRPr="00ED06E4">
        <w:rPr>
          <w:rFonts w:ascii="Arial" w:hAnsi="Arial" w:cs="Arial"/>
          <w:b/>
          <w:sz w:val="20"/>
          <w:szCs w:val="20"/>
        </w:rPr>
        <w:t>: Fuel usage versus ESAs (vehicles weighing GML)</w:t>
      </w:r>
    </w:p>
    <w:p w:rsidR="00ED06E4" w:rsidRPr="00ED06E4" w:rsidRDefault="00ED06E4" w:rsidP="001025C9">
      <w:pPr>
        <w:jc w:val="center"/>
        <w:rPr>
          <w:rFonts w:ascii="Arial" w:hAnsi="Arial" w:cs="Arial"/>
          <w:b/>
          <w:sz w:val="20"/>
          <w:szCs w:val="20"/>
        </w:rPr>
      </w:pPr>
    </w:p>
    <w:p w:rsidR="00A45F83" w:rsidRPr="005959F9" w:rsidRDefault="00A45F83" w:rsidP="001025C9">
      <w:pPr>
        <w:jc w:val="center"/>
        <w:rPr>
          <w:rFonts w:ascii="Arial" w:hAnsi="Arial" w:cs="Arial"/>
          <w:sz w:val="20"/>
          <w:szCs w:val="20"/>
        </w:rPr>
      </w:pPr>
      <w:r w:rsidRPr="005959F9">
        <w:rPr>
          <w:rFonts w:ascii="Arial" w:hAnsi="Arial" w:cs="Arial"/>
          <w:noProof/>
          <w:sz w:val="20"/>
          <w:szCs w:val="20"/>
          <w:lang w:eastAsia="en-AU"/>
        </w:rPr>
        <w:drawing>
          <wp:inline distT="0" distB="0" distL="0" distR="0">
            <wp:extent cx="5237346" cy="3210583"/>
            <wp:effectExtent l="19050" t="0" r="1404"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238008" cy="3210989"/>
                    </a:xfrm>
                    <a:prstGeom prst="rect">
                      <a:avLst/>
                    </a:prstGeom>
                    <a:noFill/>
                    <a:ln w="9525">
                      <a:noFill/>
                      <a:miter lim="800000"/>
                      <a:headEnd/>
                      <a:tailEnd/>
                    </a:ln>
                  </pic:spPr>
                </pic:pic>
              </a:graphicData>
            </a:graphic>
          </wp:inline>
        </w:drawing>
      </w:r>
    </w:p>
    <w:p w:rsidR="00A45F83" w:rsidRPr="00D74FF1" w:rsidRDefault="00D74FF1" w:rsidP="001025C9">
      <w:pPr>
        <w:jc w:val="center"/>
        <w:rPr>
          <w:rFonts w:ascii="Arial" w:hAnsi="Arial" w:cs="Arial"/>
          <w:sz w:val="16"/>
          <w:szCs w:val="16"/>
        </w:rPr>
      </w:pPr>
      <w:r w:rsidRPr="00D74FF1">
        <w:rPr>
          <w:rFonts w:ascii="Arial" w:hAnsi="Arial" w:cs="Arial"/>
          <w:sz w:val="16"/>
          <w:szCs w:val="16"/>
        </w:rPr>
        <w:t>Source: The ATA and Barkwood Consulting Pty Ltd Truck Impact Chart</w:t>
      </w:r>
    </w:p>
    <w:p w:rsidR="00D74FF1" w:rsidRPr="005959F9" w:rsidRDefault="00D74FF1" w:rsidP="001025C9">
      <w:pPr>
        <w:jc w:val="both"/>
        <w:rPr>
          <w:rFonts w:ascii="Arial" w:hAnsi="Arial" w:cs="Arial"/>
          <w:sz w:val="20"/>
          <w:szCs w:val="20"/>
        </w:rPr>
      </w:pPr>
    </w:p>
    <w:p w:rsidR="00A45F83" w:rsidRPr="005959F9" w:rsidRDefault="00ED06E4" w:rsidP="001025C9">
      <w:pPr>
        <w:jc w:val="both"/>
        <w:rPr>
          <w:rFonts w:ascii="Arial" w:hAnsi="Arial" w:cs="Arial"/>
          <w:sz w:val="20"/>
          <w:szCs w:val="20"/>
        </w:rPr>
      </w:pPr>
      <w:r>
        <w:rPr>
          <w:rFonts w:ascii="Arial" w:hAnsi="Arial" w:cs="Arial"/>
          <w:sz w:val="20"/>
          <w:szCs w:val="20"/>
        </w:rPr>
        <w:t>H</w:t>
      </w:r>
      <w:r w:rsidR="00A45F83" w:rsidRPr="005959F9">
        <w:rPr>
          <w:rFonts w:ascii="Arial" w:hAnsi="Arial" w:cs="Arial"/>
          <w:sz w:val="20"/>
          <w:szCs w:val="20"/>
        </w:rPr>
        <w:t>aving more accurate location information would mean expanding the road classification of the current PayGo model which has four road classifications (rural arterial, urban arteri</w:t>
      </w:r>
      <w:r>
        <w:rPr>
          <w:rFonts w:ascii="Arial" w:hAnsi="Arial" w:cs="Arial"/>
          <w:sz w:val="20"/>
          <w:szCs w:val="20"/>
        </w:rPr>
        <w:t>al, rural local and urban local</w:t>
      </w:r>
      <w:r w:rsidR="00A45F83" w:rsidRPr="005959F9">
        <w:rPr>
          <w:rFonts w:ascii="Arial" w:hAnsi="Arial" w:cs="Arial"/>
          <w:sz w:val="20"/>
          <w:szCs w:val="20"/>
        </w:rPr>
        <w:t>). If location charging used the current classifications it would still involve a lot of averaging, as there is far more variety in Australia’s roads than these four conditions. There is no gain in multi-point charges based upon a crude division of road conditions. The key issue is getting net total right, with signals</w:t>
      </w:r>
      <w:r w:rsidR="000D0FE5" w:rsidRPr="005959F9">
        <w:rPr>
          <w:rFonts w:ascii="Arial" w:hAnsi="Arial" w:cs="Arial"/>
          <w:sz w:val="20"/>
          <w:szCs w:val="20"/>
        </w:rPr>
        <w:t xml:space="preserve"> in the right general direction.</w:t>
      </w:r>
      <w:r w:rsidR="00A45F83" w:rsidRPr="005959F9">
        <w:rPr>
          <w:rFonts w:ascii="Arial" w:hAnsi="Arial" w:cs="Arial"/>
          <w:sz w:val="20"/>
          <w:szCs w:val="20"/>
        </w:rPr>
        <w:t xml:space="preserve"> </w:t>
      </w:r>
    </w:p>
    <w:p w:rsidR="00A45F83" w:rsidRPr="005959F9" w:rsidRDefault="00A45F83" w:rsidP="001025C9">
      <w:pPr>
        <w:pStyle w:val="RecommendationStyle"/>
        <w:numPr>
          <w:ilvl w:val="0"/>
          <w:numId w:val="0"/>
        </w:numPr>
        <w:jc w:val="both"/>
        <w:rPr>
          <w:b w:val="0"/>
          <w:i w:val="0"/>
        </w:rPr>
      </w:pPr>
      <w:bookmarkStart w:id="363" w:name="_Toc348509219"/>
      <w:bookmarkStart w:id="364" w:name="_Toc348510892"/>
      <w:bookmarkStart w:id="365" w:name="_Toc348511291"/>
      <w:bookmarkStart w:id="366" w:name="_Toc348704644"/>
      <w:bookmarkStart w:id="367" w:name="_Toc348706917"/>
      <w:bookmarkStart w:id="368" w:name="_Toc349034240"/>
      <w:bookmarkStart w:id="369" w:name="_Toc349034507"/>
      <w:bookmarkStart w:id="370" w:name="_Toc349037956"/>
      <w:bookmarkStart w:id="371" w:name="_Toc349123853"/>
      <w:r w:rsidRPr="005959F9">
        <w:rPr>
          <w:b w:val="0"/>
          <w:i w:val="0"/>
        </w:rPr>
        <w:t xml:space="preserve">Given the concerns </w:t>
      </w:r>
      <w:proofErr w:type="gramStart"/>
      <w:r w:rsidRPr="005959F9">
        <w:rPr>
          <w:b w:val="0"/>
          <w:i w:val="0"/>
        </w:rPr>
        <w:t>raised</w:t>
      </w:r>
      <w:proofErr w:type="gramEnd"/>
      <w:r w:rsidRPr="005959F9">
        <w:rPr>
          <w:b w:val="0"/>
          <w:i w:val="0"/>
        </w:rPr>
        <w:t xml:space="preserve"> about the logic of incremental charging and the feasibility of MDL charging, PayGo should continue to be refined and should incorporate light vehicles impact and costs.</w:t>
      </w:r>
      <w:bookmarkEnd w:id="363"/>
      <w:bookmarkEnd w:id="364"/>
      <w:bookmarkEnd w:id="365"/>
      <w:bookmarkEnd w:id="366"/>
      <w:bookmarkEnd w:id="367"/>
      <w:bookmarkEnd w:id="368"/>
      <w:bookmarkEnd w:id="369"/>
      <w:bookmarkEnd w:id="370"/>
      <w:bookmarkEnd w:id="371"/>
      <w:r w:rsidRPr="005959F9">
        <w:rPr>
          <w:b w:val="0"/>
          <w:i w:val="0"/>
        </w:rPr>
        <w:t xml:space="preserve"> </w:t>
      </w:r>
    </w:p>
    <w:p w:rsidR="00846097" w:rsidRPr="005959F9" w:rsidRDefault="00A45F83" w:rsidP="001025C9">
      <w:pPr>
        <w:pStyle w:val="RecommendationStyle"/>
        <w:numPr>
          <w:ilvl w:val="0"/>
          <w:numId w:val="0"/>
        </w:numPr>
        <w:jc w:val="both"/>
        <w:rPr>
          <w:b w:val="0"/>
          <w:i w:val="0"/>
        </w:rPr>
      </w:pPr>
      <w:bookmarkStart w:id="372" w:name="_Toc348509220"/>
      <w:bookmarkStart w:id="373" w:name="_Toc348510893"/>
      <w:bookmarkStart w:id="374" w:name="_Toc348511292"/>
      <w:bookmarkStart w:id="375" w:name="_Toc348704645"/>
      <w:bookmarkStart w:id="376" w:name="_Toc348706918"/>
      <w:bookmarkStart w:id="377" w:name="_Toc349034241"/>
      <w:bookmarkStart w:id="378" w:name="_Toc349034508"/>
      <w:bookmarkStart w:id="379" w:name="_Toc349037957"/>
      <w:bookmarkStart w:id="380" w:name="_Toc349123854"/>
      <w:r w:rsidRPr="005959F9">
        <w:rPr>
          <w:b w:val="0"/>
          <w:i w:val="0"/>
        </w:rPr>
        <w:t xml:space="preserve">The PayGo model does not need to be abandoned; it can and should be improved while agencies get on with supply side reform. The biggest gains </w:t>
      </w:r>
      <w:r w:rsidR="00ED06E4">
        <w:rPr>
          <w:b w:val="0"/>
          <w:i w:val="0"/>
        </w:rPr>
        <w:t>can be found in</w:t>
      </w:r>
      <w:r w:rsidRPr="005959F9">
        <w:rPr>
          <w:b w:val="0"/>
          <w:i w:val="0"/>
        </w:rPr>
        <w:t xml:space="preserve"> supply side reform.</w:t>
      </w:r>
      <w:bookmarkEnd w:id="372"/>
      <w:bookmarkEnd w:id="373"/>
      <w:bookmarkEnd w:id="374"/>
      <w:bookmarkEnd w:id="375"/>
      <w:bookmarkEnd w:id="376"/>
      <w:bookmarkEnd w:id="377"/>
      <w:bookmarkEnd w:id="378"/>
      <w:bookmarkEnd w:id="379"/>
      <w:bookmarkEnd w:id="380"/>
      <w:r w:rsidRPr="005959F9">
        <w:rPr>
          <w:b w:val="0"/>
          <w:i w:val="0"/>
        </w:rPr>
        <w:t xml:space="preserve"> </w:t>
      </w:r>
    </w:p>
    <w:p w:rsidR="00846097" w:rsidRPr="005959F9" w:rsidRDefault="00846097" w:rsidP="001025C9">
      <w:pPr>
        <w:pStyle w:val="RecommendationStyle"/>
        <w:jc w:val="both"/>
      </w:pPr>
      <w:bookmarkStart w:id="381" w:name="_Toc348510894"/>
      <w:bookmarkStart w:id="382" w:name="_Toc348511293"/>
      <w:bookmarkStart w:id="383" w:name="_Toc348704646"/>
      <w:bookmarkStart w:id="384" w:name="_Toc348706919"/>
      <w:bookmarkStart w:id="385" w:name="_Toc349034242"/>
      <w:bookmarkStart w:id="386" w:name="_Toc349034509"/>
      <w:bookmarkStart w:id="387" w:name="_Toc349037958"/>
      <w:bookmarkStart w:id="388" w:name="_Toc349123855"/>
      <w:bookmarkEnd w:id="381"/>
      <w:bookmarkEnd w:id="382"/>
      <w:bookmarkEnd w:id="383"/>
      <w:bookmarkEnd w:id="384"/>
      <w:bookmarkEnd w:id="385"/>
      <w:bookmarkEnd w:id="386"/>
      <w:bookmarkEnd w:id="387"/>
      <w:bookmarkEnd w:id="388"/>
    </w:p>
    <w:p w:rsidR="009F2FF9" w:rsidRPr="005959F9" w:rsidRDefault="004533ED" w:rsidP="001025C9">
      <w:pPr>
        <w:pStyle w:val="RecommendationStyle"/>
        <w:numPr>
          <w:ilvl w:val="0"/>
          <w:numId w:val="0"/>
        </w:numPr>
        <w:jc w:val="both"/>
        <w:rPr>
          <w:i w:val="0"/>
        </w:rPr>
      </w:pPr>
      <w:bookmarkStart w:id="389" w:name="_Toc348510895"/>
      <w:bookmarkStart w:id="390" w:name="_Toc348511294"/>
      <w:bookmarkStart w:id="391" w:name="_Toc348704647"/>
      <w:bookmarkStart w:id="392" w:name="_Toc348706920"/>
      <w:bookmarkStart w:id="393" w:name="_Toc349034243"/>
      <w:bookmarkStart w:id="394" w:name="_Toc349034510"/>
      <w:bookmarkStart w:id="395" w:name="_Toc349037959"/>
      <w:bookmarkStart w:id="396" w:name="_Toc349123856"/>
      <w:r w:rsidRPr="005959F9">
        <w:rPr>
          <w:i w:val="0"/>
        </w:rPr>
        <w:t xml:space="preserve">Increasing the variable share of charges road users pay </w:t>
      </w:r>
      <w:r w:rsidR="00ED06E4">
        <w:rPr>
          <w:i w:val="0"/>
        </w:rPr>
        <w:t>would be a logical</w:t>
      </w:r>
      <w:r w:rsidRPr="005959F9">
        <w:rPr>
          <w:i w:val="0"/>
        </w:rPr>
        <w:t xml:space="preserve"> interim step towards direct user charges</w:t>
      </w:r>
      <w:bookmarkEnd w:id="389"/>
      <w:bookmarkEnd w:id="390"/>
      <w:bookmarkEnd w:id="391"/>
      <w:bookmarkEnd w:id="392"/>
      <w:r w:rsidR="00ED06E4">
        <w:rPr>
          <w:i w:val="0"/>
        </w:rPr>
        <w:t>.</w:t>
      </w:r>
      <w:bookmarkEnd w:id="393"/>
      <w:bookmarkEnd w:id="394"/>
      <w:bookmarkEnd w:id="395"/>
      <w:bookmarkEnd w:id="396"/>
      <w:r w:rsidRPr="005959F9">
        <w:rPr>
          <w:i w:val="0"/>
        </w:rPr>
        <w:t xml:space="preserve"> </w:t>
      </w:r>
    </w:p>
    <w:p w:rsidR="00846097" w:rsidRPr="005959F9" w:rsidRDefault="00846097" w:rsidP="001025C9">
      <w:pPr>
        <w:pStyle w:val="RecommendationStyle"/>
        <w:jc w:val="both"/>
      </w:pPr>
      <w:bookmarkStart w:id="397" w:name="_Toc348510896"/>
      <w:bookmarkStart w:id="398" w:name="_Toc348511295"/>
      <w:bookmarkStart w:id="399" w:name="_Toc348704648"/>
      <w:bookmarkStart w:id="400" w:name="_Toc348706921"/>
      <w:bookmarkStart w:id="401" w:name="_Toc349034244"/>
      <w:bookmarkStart w:id="402" w:name="_Toc349034511"/>
      <w:bookmarkStart w:id="403" w:name="_Toc349037960"/>
      <w:bookmarkStart w:id="404" w:name="_Toc349123857"/>
      <w:bookmarkEnd w:id="397"/>
      <w:bookmarkEnd w:id="398"/>
      <w:bookmarkEnd w:id="399"/>
      <w:bookmarkEnd w:id="400"/>
      <w:bookmarkEnd w:id="401"/>
      <w:bookmarkEnd w:id="402"/>
      <w:bookmarkEnd w:id="403"/>
      <w:bookmarkEnd w:id="404"/>
    </w:p>
    <w:p w:rsidR="00846097" w:rsidRPr="005959F9" w:rsidRDefault="004533ED" w:rsidP="001025C9">
      <w:pPr>
        <w:pStyle w:val="RecommendationStyle"/>
        <w:numPr>
          <w:ilvl w:val="0"/>
          <w:numId w:val="0"/>
        </w:numPr>
        <w:jc w:val="both"/>
        <w:rPr>
          <w:i w:val="0"/>
        </w:rPr>
      </w:pPr>
      <w:bookmarkStart w:id="405" w:name="_Toc348510897"/>
      <w:bookmarkStart w:id="406" w:name="_Toc348511296"/>
      <w:bookmarkStart w:id="407" w:name="_Toc348704649"/>
      <w:bookmarkStart w:id="408" w:name="_Toc348706922"/>
      <w:bookmarkStart w:id="409" w:name="_Toc349034245"/>
      <w:bookmarkStart w:id="410" w:name="_Toc349034512"/>
      <w:bookmarkStart w:id="411" w:name="_Toc349037961"/>
      <w:bookmarkStart w:id="412" w:name="_Toc349123858"/>
      <w:r w:rsidRPr="005959F9">
        <w:rPr>
          <w:i w:val="0"/>
        </w:rPr>
        <w:t>Incremental charging should not be embraced for road access charges</w:t>
      </w:r>
      <w:r w:rsidR="00ED06E4">
        <w:rPr>
          <w:i w:val="0"/>
        </w:rPr>
        <w:t>,</w:t>
      </w:r>
      <w:r w:rsidRPr="005959F9">
        <w:rPr>
          <w:i w:val="0"/>
        </w:rPr>
        <w:t xml:space="preserve"> as it misinterprets how heavy vehicles currently pay for impact.</w:t>
      </w:r>
      <w:bookmarkEnd w:id="405"/>
      <w:bookmarkEnd w:id="406"/>
      <w:bookmarkEnd w:id="407"/>
      <w:bookmarkEnd w:id="408"/>
      <w:bookmarkEnd w:id="409"/>
      <w:bookmarkEnd w:id="410"/>
      <w:bookmarkEnd w:id="411"/>
      <w:bookmarkEnd w:id="412"/>
      <w:r w:rsidRPr="005959F9">
        <w:rPr>
          <w:i w:val="0"/>
        </w:rPr>
        <w:t xml:space="preserve"> </w:t>
      </w:r>
    </w:p>
    <w:p w:rsidR="00846097" w:rsidRPr="005959F9" w:rsidRDefault="00846097" w:rsidP="001025C9">
      <w:pPr>
        <w:pStyle w:val="RecommendationStyle"/>
        <w:jc w:val="both"/>
      </w:pPr>
      <w:bookmarkStart w:id="413" w:name="_Toc348510898"/>
      <w:bookmarkStart w:id="414" w:name="_Toc348511297"/>
      <w:bookmarkStart w:id="415" w:name="_Toc348704650"/>
      <w:bookmarkStart w:id="416" w:name="_Toc348706923"/>
      <w:bookmarkStart w:id="417" w:name="_Toc349034246"/>
      <w:bookmarkStart w:id="418" w:name="_Toc349034513"/>
      <w:bookmarkStart w:id="419" w:name="_Toc349037962"/>
      <w:bookmarkStart w:id="420" w:name="_Toc349123859"/>
      <w:bookmarkEnd w:id="413"/>
      <w:bookmarkEnd w:id="414"/>
      <w:bookmarkEnd w:id="415"/>
      <w:bookmarkEnd w:id="416"/>
      <w:bookmarkEnd w:id="417"/>
      <w:bookmarkEnd w:id="418"/>
      <w:bookmarkEnd w:id="419"/>
      <w:bookmarkEnd w:id="420"/>
    </w:p>
    <w:p w:rsidR="00846097" w:rsidRPr="005959F9" w:rsidRDefault="004533ED" w:rsidP="001025C9">
      <w:pPr>
        <w:pStyle w:val="RecommendationStyle"/>
        <w:numPr>
          <w:ilvl w:val="0"/>
          <w:numId w:val="0"/>
        </w:numPr>
        <w:jc w:val="both"/>
        <w:rPr>
          <w:i w:val="0"/>
        </w:rPr>
      </w:pPr>
      <w:bookmarkStart w:id="421" w:name="_Toc348510899"/>
      <w:bookmarkStart w:id="422" w:name="_Toc348511298"/>
      <w:bookmarkStart w:id="423" w:name="_Toc348704651"/>
      <w:bookmarkStart w:id="424" w:name="_Toc348706924"/>
      <w:bookmarkStart w:id="425" w:name="_Toc349034247"/>
      <w:bookmarkStart w:id="426" w:name="_Toc349034514"/>
      <w:bookmarkStart w:id="427" w:name="_Toc349037963"/>
      <w:bookmarkStart w:id="428" w:name="_Toc349123860"/>
      <w:r w:rsidRPr="005959F9">
        <w:rPr>
          <w:i w:val="0"/>
        </w:rPr>
        <w:t>Mass</w:t>
      </w:r>
      <w:r w:rsidR="00ED06E4">
        <w:rPr>
          <w:i w:val="0"/>
        </w:rPr>
        <w:t>,</w:t>
      </w:r>
      <w:r w:rsidRPr="005959F9">
        <w:rPr>
          <w:i w:val="0"/>
        </w:rPr>
        <w:t xml:space="preserve"> distance and location charging is not feasible or practical to implement in the next decade given technological and institutional constraints.</w:t>
      </w:r>
      <w:bookmarkEnd w:id="421"/>
      <w:bookmarkEnd w:id="422"/>
      <w:bookmarkEnd w:id="423"/>
      <w:bookmarkEnd w:id="424"/>
      <w:bookmarkEnd w:id="425"/>
      <w:bookmarkEnd w:id="426"/>
      <w:bookmarkEnd w:id="427"/>
      <w:bookmarkEnd w:id="428"/>
      <w:r w:rsidRPr="005959F9">
        <w:rPr>
          <w:i w:val="0"/>
        </w:rPr>
        <w:t xml:space="preserve"> </w:t>
      </w:r>
    </w:p>
    <w:p w:rsidR="00846097" w:rsidRPr="005959F9" w:rsidRDefault="00846097" w:rsidP="001025C9">
      <w:pPr>
        <w:pStyle w:val="RecommendationStyle"/>
        <w:jc w:val="both"/>
      </w:pPr>
      <w:bookmarkStart w:id="429" w:name="_Toc348510900"/>
      <w:bookmarkStart w:id="430" w:name="_Toc348511299"/>
      <w:bookmarkStart w:id="431" w:name="_Toc348704652"/>
      <w:bookmarkStart w:id="432" w:name="_Toc348706925"/>
      <w:bookmarkStart w:id="433" w:name="_Toc349034248"/>
      <w:bookmarkStart w:id="434" w:name="_Toc349034515"/>
      <w:bookmarkStart w:id="435" w:name="_Toc349037964"/>
      <w:bookmarkStart w:id="436" w:name="_Toc349123861"/>
      <w:bookmarkEnd w:id="429"/>
      <w:bookmarkEnd w:id="430"/>
      <w:bookmarkEnd w:id="431"/>
      <w:bookmarkEnd w:id="432"/>
      <w:bookmarkEnd w:id="433"/>
      <w:bookmarkEnd w:id="434"/>
      <w:bookmarkEnd w:id="435"/>
      <w:bookmarkEnd w:id="436"/>
    </w:p>
    <w:p w:rsidR="00846097" w:rsidRPr="005959F9" w:rsidRDefault="004533ED" w:rsidP="001025C9">
      <w:pPr>
        <w:pStyle w:val="RecommendationStyle"/>
        <w:numPr>
          <w:ilvl w:val="0"/>
          <w:numId w:val="0"/>
        </w:numPr>
        <w:jc w:val="both"/>
        <w:rPr>
          <w:i w:val="0"/>
        </w:rPr>
      </w:pPr>
      <w:bookmarkStart w:id="437" w:name="_Toc348510901"/>
      <w:bookmarkStart w:id="438" w:name="_Toc348511300"/>
      <w:bookmarkStart w:id="439" w:name="_Toc348704653"/>
      <w:bookmarkStart w:id="440" w:name="_Toc348706926"/>
      <w:bookmarkStart w:id="441" w:name="_Toc349034249"/>
      <w:bookmarkStart w:id="442" w:name="_Toc349034516"/>
      <w:bookmarkStart w:id="443" w:name="_Toc349037965"/>
      <w:bookmarkStart w:id="444" w:name="_Toc349123862"/>
      <w:r w:rsidRPr="005959F9">
        <w:rPr>
          <w:i w:val="0"/>
        </w:rPr>
        <w:t xml:space="preserve">PayGo should continue to be refined with more accurate data and serves as a very good </w:t>
      </w:r>
      <w:r w:rsidR="00ED06E4">
        <w:rPr>
          <w:i w:val="0"/>
        </w:rPr>
        <w:t>estimate</w:t>
      </w:r>
      <w:r w:rsidRPr="005959F9">
        <w:rPr>
          <w:i w:val="0"/>
        </w:rPr>
        <w:t xml:space="preserve"> for heavy vehicle impact on infrastructure.</w:t>
      </w:r>
      <w:bookmarkEnd w:id="437"/>
      <w:bookmarkEnd w:id="438"/>
      <w:bookmarkEnd w:id="439"/>
      <w:bookmarkEnd w:id="440"/>
      <w:bookmarkEnd w:id="441"/>
      <w:bookmarkEnd w:id="442"/>
      <w:bookmarkEnd w:id="443"/>
      <w:bookmarkEnd w:id="444"/>
      <w:r w:rsidRPr="005959F9">
        <w:rPr>
          <w:i w:val="0"/>
        </w:rPr>
        <w:t xml:space="preserve"> </w:t>
      </w:r>
    </w:p>
    <w:p w:rsidR="00846097" w:rsidRPr="005959F9" w:rsidRDefault="00846097" w:rsidP="001025C9">
      <w:pPr>
        <w:pStyle w:val="RecommendationStyle"/>
        <w:jc w:val="both"/>
      </w:pPr>
      <w:bookmarkStart w:id="445" w:name="_Toc348510902"/>
      <w:bookmarkStart w:id="446" w:name="_Toc348511301"/>
      <w:bookmarkStart w:id="447" w:name="_Toc348704654"/>
      <w:bookmarkStart w:id="448" w:name="_Toc348706927"/>
      <w:bookmarkStart w:id="449" w:name="_Toc349034250"/>
      <w:bookmarkStart w:id="450" w:name="_Toc349034517"/>
      <w:bookmarkStart w:id="451" w:name="_Toc349037966"/>
      <w:bookmarkStart w:id="452" w:name="_Toc349123863"/>
      <w:bookmarkEnd w:id="445"/>
      <w:bookmarkEnd w:id="446"/>
      <w:bookmarkEnd w:id="447"/>
      <w:bookmarkEnd w:id="448"/>
      <w:bookmarkEnd w:id="449"/>
      <w:bookmarkEnd w:id="450"/>
      <w:bookmarkEnd w:id="451"/>
      <w:bookmarkEnd w:id="452"/>
    </w:p>
    <w:p w:rsidR="000D0FE5" w:rsidRPr="005959F9" w:rsidRDefault="004533ED" w:rsidP="001025C9">
      <w:pPr>
        <w:pStyle w:val="RecommendationStyle"/>
        <w:numPr>
          <w:ilvl w:val="0"/>
          <w:numId w:val="0"/>
        </w:numPr>
        <w:jc w:val="both"/>
        <w:rPr>
          <w:i w:val="0"/>
        </w:rPr>
      </w:pPr>
      <w:bookmarkStart w:id="453" w:name="_Toc348510903"/>
      <w:bookmarkStart w:id="454" w:name="_Toc348511302"/>
      <w:bookmarkStart w:id="455" w:name="_Toc348704655"/>
      <w:bookmarkStart w:id="456" w:name="_Toc348706928"/>
      <w:bookmarkStart w:id="457" w:name="_Toc349034251"/>
      <w:bookmarkStart w:id="458" w:name="_Toc349034518"/>
      <w:bookmarkStart w:id="459" w:name="_Toc349037967"/>
      <w:bookmarkStart w:id="460" w:name="_Toc349123864"/>
      <w:r w:rsidRPr="005959F9">
        <w:rPr>
          <w:i w:val="0"/>
        </w:rPr>
        <w:t>Light vehicles should be included in the PayGo model in order to capture their impact on infrastructure and calculate more accurate costs</w:t>
      </w:r>
      <w:bookmarkEnd w:id="453"/>
      <w:bookmarkEnd w:id="454"/>
      <w:bookmarkEnd w:id="455"/>
      <w:bookmarkEnd w:id="456"/>
      <w:r w:rsidR="00ED06E4">
        <w:rPr>
          <w:i w:val="0"/>
        </w:rPr>
        <w:t>.</w:t>
      </w:r>
      <w:bookmarkEnd w:id="457"/>
      <w:bookmarkEnd w:id="458"/>
      <w:bookmarkEnd w:id="459"/>
      <w:bookmarkEnd w:id="460"/>
    </w:p>
    <w:p w:rsidR="001025C9" w:rsidRDefault="001025C9">
      <w:pPr>
        <w:rPr>
          <w:rFonts w:ascii="Arial" w:hAnsi="Arial" w:cs="Arial"/>
          <w:i/>
        </w:rPr>
      </w:pPr>
      <w:r>
        <w:rPr>
          <w:rFonts w:ascii="Arial" w:hAnsi="Arial" w:cs="Arial"/>
          <w:i/>
        </w:rPr>
        <w:br w:type="page"/>
      </w:r>
    </w:p>
    <w:p w:rsidR="00D4403D" w:rsidRDefault="00D4403D" w:rsidP="001025C9">
      <w:pPr>
        <w:jc w:val="both"/>
        <w:rPr>
          <w:rFonts w:ascii="Arial" w:hAnsi="Arial" w:cs="Arial"/>
          <w:i/>
        </w:rPr>
      </w:pPr>
    </w:p>
    <w:p w:rsidR="009F2FF9" w:rsidRPr="005959F9" w:rsidRDefault="009F2FF9" w:rsidP="001025C9">
      <w:pPr>
        <w:jc w:val="both"/>
        <w:rPr>
          <w:rFonts w:ascii="Arial" w:hAnsi="Arial" w:cs="Arial"/>
          <w:i/>
        </w:rPr>
      </w:pPr>
    </w:p>
    <w:p w:rsidR="00F00BBD" w:rsidRPr="005959F9" w:rsidRDefault="00F00BBD" w:rsidP="001025C9">
      <w:pPr>
        <w:pStyle w:val="Heading1"/>
        <w:numPr>
          <w:ilvl w:val="0"/>
          <w:numId w:val="0"/>
        </w:numPr>
        <w:jc w:val="both"/>
      </w:pPr>
      <w:bookmarkStart w:id="461" w:name="_Toc349125097"/>
      <w:r w:rsidRPr="005959F9">
        <w:t>APPENDIX A: The ATA and Barkwood Consulting Pty Ltd Truck Impact Chart</w:t>
      </w:r>
      <w:bookmarkEnd w:id="461"/>
    </w:p>
    <w:p w:rsidR="00F00BBD" w:rsidRPr="005959F9" w:rsidRDefault="00F00BBD" w:rsidP="001025C9">
      <w:pPr>
        <w:jc w:val="both"/>
        <w:rPr>
          <w:rFonts w:ascii="Arial" w:hAnsi="Arial" w:cs="Arial"/>
          <w:color w:val="000000" w:themeColor="text1"/>
          <w:sz w:val="20"/>
          <w:szCs w:val="20"/>
        </w:rPr>
      </w:pPr>
    </w:p>
    <w:p w:rsidR="00F00BBD" w:rsidRPr="005959F9" w:rsidRDefault="00F00BBD" w:rsidP="001025C9">
      <w:pPr>
        <w:jc w:val="both"/>
        <w:rPr>
          <w:rFonts w:ascii="Arial" w:hAnsi="Arial" w:cs="Arial"/>
          <w:color w:val="000000" w:themeColor="text1"/>
          <w:sz w:val="20"/>
          <w:szCs w:val="20"/>
        </w:rPr>
      </w:pPr>
      <w:r w:rsidRPr="005959F9">
        <w:rPr>
          <w:rFonts w:ascii="Arial" w:hAnsi="Arial" w:cs="Arial"/>
          <w:color w:val="000000" w:themeColor="text1"/>
          <w:sz w:val="20"/>
          <w:szCs w:val="20"/>
        </w:rPr>
        <w:t>The ATA and Barkwood Consulting Pty Ltd have developed a Truck Impact Chart that clearly demonstrates a number of different heavy vehicle combinations and covers GCM, payload, the equivalent standard axles (ESAs) for each vehicle combination, being the measure by which impact of a truck on the road is measured, the amount of trips required to move 1,000 tonnes of freight, the amount of fuel required to move 1,000 tonnes of freight, emissions and driver requirement. The information provided in the tables throughout this document is taken from the Truck Impact Chart.</w:t>
      </w:r>
    </w:p>
    <w:p w:rsidR="00F00BBD" w:rsidRPr="005959F9" w:rsidRDefault="00F00BBD" w:rsidP="001025C9">
      <w:pPr>
        <w:jc w:val="both"/>
        <w:rPr>
          <w:rFonts w:ascii="Arial" w:hAnsi="Arial" w:cs="Arial"/>
          <w:color w:val="000000" w:themeColor="text1"/>
          <w:sz w:val="20"/>
          <w:szCs w:val="20"/>
        </w:rPr>
      </w:pPr>
    </w:p>
    <w:p w:rsidR="00F00BBD" w:rsidRPr="005959F9" w:rsidRDefault="00F00BBD" w:rsidP="001025C9">
      <w:pPr>
        <w:jc w:val="both"/>
        <w:rPr>
          <w:rFonts w:ascii="Arial" w:hAnsi="Arial" w:cs="Arial"/>
          <w:color w:val="000000" w:themeColor="text1"/>
          <w:sz w:val="20"/>
          <w:szCs w:val="20"/>
        </w:rPr>
      </w:pPr>
      <w:r w:rsidRPr="005959F9">
        <w:rPr>
          <w:rFonts w:ascii="Arial" w:hAnsi="Arial" w:cs="Arial"/>
          <w:color w:val="000000" w:themeColor="text1"/>
          <w:sz w:val="20"/>
          <w:szCs w:val="20"/>
        </w:rPr>
        <w:t xml:space="preserve">The Truck Impact Chart has been reviewed RTA’s Senior Pavement Engineer, </w:t>
      </w:r>
      <w:proofErr w:type="spellStart"/>
      <w:r w:rsidRPr="005959F9">
        <w:rPr>
          <w:rFonts w:ascii="Arial" w:hAnsi="Arial" w:cs="Arial"/>
          <w:color w:val="000000" w:themeColor="text1"/>
          <w:sz w:val="20"/>
          <w:szCs w:val="20"/>
        </w:rPr>
        <w:t>Ravindra</w:t>
      </w:r>
      <w:proofErr w:type="spellEnd"/>
      <w:r w:rsidRPr="005959F9">
        <w:rPr>
          <w:rFonts w:ascii="Arial" w:hAnsi="Arial" w:cs="Arial"/>
          <w:color w:val="000000" w:themeColor="text1"/>
          <w:sz w:val="20"/>
          <w:szCs w:val="20"/>
        </w:rPr>
        <w:t xml:space="preserve"> </w:t>
      </w:r>
      <w:proofErr w:type="spellStart"/>
      <w:r w:rsidRPr="005959F9">
        <w:rPr>
          <w:rFonts w:ascii="Arial" w:hAnsi="Arial" w:cs="Arial"/>
          <w:color w:val="000000" w:themeColor="text1"/>
          <w:sz w:val="20"/>
          <w:szCs w:val="20"/>
        </w:rPr>
        <w:t>Prathapa</w:t>
      </w:r>
      <w:proofErr w:type="spellEnd"/>
      <w:r w:rsidRPr="005959F9">
        <w:rPr>
          <w:rFonts w:ascii="Arial" w:hAnsi="Arial" w:cs="Arial"/>
          <w:color w:val="000000" w:themeColor="text1"/>
          <w:sz w:val="20"/>
          <w:szCs w:val="20"/>
        </w:rPr>
        <w:t xml:space="preserve">. The Truck Impact Chart has also been separately peer reviewed by Bob Pearson, Pearson Transport Resources, and was referred to by </w:t>
      </w:r>
      <w:proofErr w:type="spellStart"/>
      <w:r w:rsidRPr="005959F9">
        <w:rPr>
          <w:rFonts w:ascii="Arial" w:hAnsi="Arial" w:cs="Arial"/>
          <w:color w:val="000000" w:themeColor="text1"/>
          <w:sz w:val="20"/>
          <w:szCs w:val="20"/>
        </w:rPr>
        <w:t>TheCIE</w:t>
      </w:r>
      <w:proofErr w:type="spellEnd"/>
      <w:r w:rsidRPr="005959F9">
        <w:rPr>
          <w:rFonts w:ascii="Arial" w:hAnsi="Arial" w:cs="Arial"/>
          <w:color w:val="000000" w:themeColor="text1"/>
          <w:sz w:val="20"/>
          <w:szCs w:val="20"/>
        </w:rPr>
        <w:t xml:space="preserve"> in the Benefit/Cost Analysis for the National Heavy Vehicle Regulator draft Regulatory Impact Statement, released in February 2011.</w:t>
      </w:r>
    </w:p>
    <w:p w:rsidR="00F00BBD" w:rsidRPr="005959F9" w:rsidRDefault="00F00BBD" w:rsidP="001025C9">
      <w:pPr>
        <w:jc w:val="both"/>
        <w:rPr>
          <w:rFonts w:ascii="Arial" w:hAnsi="Arial" w:cs="Arial"/>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1"/>
        <w:gridCol w:w="1160"/>
        <w:gridCol w:w="3132"/>
        <w:gridCol w:w="2811"/>
      </w:tblGrid>
      <w:tr w:rsidR="00F00BBD" w:rsidRPr="005959F9" w:rsidTr="00852CAE">
        <w:trPr>
          <w:trHeight w:val="495"/>
        </w:trPr>
        <w:tc>
          <w:tcPr>
            <w:tcW w:w="3052" w:type="dxa"/>
            <w:vMerge w:val="restart"/>
          </w:tcPr>
          <w:p w:rsidR="00F00BBD" w:rsidRPr="005959F9" w:rsidRDefault="00F00BBD" w:rsidP="001025C9">
            <w:pPr>
              <w:jc w:val="both"/>
              <w:rPr>
                <w:rFonts w:ascii="Arial" w:hAnsi="Arial" w:cs="Arial"/>
                <w:color w:val="000000" w:themeColor="text1"/>
                <w:sz w:val="20"/>
                <w:szCs w:val="20"/>
              </w:rPr>
            </w:pPr>
            <w:r w:rsidRPr="005959F9">
              <w:rPr>
                <w:rFonts w:ascii="Arial" w:hAnsi="Arial" w:cs="Arial"/>
                <w:noProof/>
                <w:color w:val="000000" w:themeColor="text1"/>
                <w:sz w:val="20"/>
                <w:szCs w:val="20"/>
                <w:lang w:eastAsia="en-AU"/>
              </w:rPr>
              <w:drawing>
                <wp:inline distT="0" distB="0" distL="0" distR="0">
                  <wp:extent cx="1440000" cy="632601"/>
                  <wp:effectExtent l="19050" t="0" r="7800" b="0"/>
                  <wp:docPr id="5" name="Picture 1" descr="E:\Public\Logos\Internal\ATA LOGO 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ublic\Logos\Internal\ATA LOGO C.bmp"/>
                          <pic:cNvPicPr>
                            <a:picLocks noChangeAspect="1" noChangeArrowheads="1"/>
                          </pic:cNvPicPr>
                        </pic:nvPicPr>
                        <pic:blipFill>
                          <a:blip r:embed="rId14" cstate="print"/>
                          <a:srcRect/>
                          <a:stretch>
                            <a:fillRect/>
                          </a:stretch>
                        </pic:blipFill>
                        <pic:spPr bwMode="auto">
                          <a:xfrm>
                            <a:off x="0" y="0"/>
                            <a:ext cx="1440000" cy="632601"/>
                          </a:xfrm>
                          <a:prstGeom prst="rect">
                            <a:avLst/>
                          </a:prstGeom>
                          <a:noFill/>
                          <a:ln w="9525">
                            <a:noFill/>
                            <a:miter lim="800000"/>
                            <a:headEnd/>
                            <a:tailEnd/>
                          </a:ln>
                        </pic:spPr>
                      </pic:pic>
                    </a:graphicData>
                  </a:graphic>
                </wp:inline>
              </w:drawing>
            </w:r>
          </w:p>
        </w:tc>
        <w:tc>
          <w:tcPr>
            <w:tcW w:w="1309" w:type="dxa"/>
            <w:vMerge w:val="restart"/>
            <w:vAlign w:val="center"/>
          </w:tcPr>
          <w:p w:rsidR="00F00BBD" w:rsidRPr="005959F9" w:rsidRDefault="00F00BBD" w:rsidP="001025C9">
            <w:pPr>
              <w:jc w:val="both"/>
              <w:rPr>
                <w:rFonts w:ascii="Arial" w:hAnsi="Arial" w:cs="Arial"/>
                <w:color w:val="000000" w:themeColor="text1"/>
                <w:sz w:val="20"/>
                <w:szCs w:val="20"/>
              </w:rPr>
            </w:pPr>
            <w:r w:rsidRPr="005959F9">
              <w:rPr>
                <w:rFonts w:ascii="Arial" w:hAnsi="Arial" w:cs="Arial"/>
                <w:b/>
                <w:color w:val="000000" w:themeColor="text1"/>
                <w:sz w:val="20"/>
                <w:szCs w:val="20"/>
              </w:rPr>
              <w:t>Authors:</w:t>
            </w:r>
          </w:p>
        </w:tc>
        <w:tc>
          <w:tcPr>
            <w:tcW w:w="5528" w:type="dxa"/>
            <w:vAlign w:val="bottom"/>
          </w:tcPr>
          <w:p w:rsidR="00F00BBD" w:rsidRPr="005959F9" w:rsidRDefault="00F00BBD" w:rsidP="001025C9">
            <w:pPr>
              <w:jc w:val="both"/>
              <w:rPr>
                <w:rFonts w:ascii="Arial" w:hAnsi="Arial" w:cs="Arial"/>
                <w:color w:val="000000" w:themeColor="text1"/>
                <w:sz w:val="20"/>
                <w:szCs w:val="20"/>
              </w:rPr>
            </w:pPr>
            <w:r w:rsidRPr="005959F9">
              <w:rPr>
                <w:rFonts w:ascii="Arial" w:hAnsi="Arial" w:cs="Arial"/>
                <w:b/>
                <w:color w:val="000000" w:themeColor="text1"/>
                <w:sz w:val="20"/>
                <w:szCs w:val="20"/>
              </w:rPr>
              <w:t>David Coonan - Australian Trucking Association</w:t>
            </w:r>
          </w:p>
        </w:tc>
        <w:tc>
          <w:tcPr>
            <w:tcW w:w="4536" w:type="dxa"/>
            <w:vMerge w:val="restart"/>
            <w:vAlign w:val="center"/>
          </w:tcPr>
          <w:p w:rsidR="00F00BBD" w:rsidRPr="005959F9" w:rsidRDefault="00F00BBD" w:rsidP="001025C9">
            <w:pPr>
              <w:jc w:val="both"/>
              <w:rPr>
                <w:rFonts w:ascii="Arial" w:hAnsi="Arial" w:cs="Arial"/>
                <w:color w:val="000000" w:themeColor="text1"/>
                <w:sz w:val="20"/>
                <w:szCs w:val="20"/>
              </w:rPr>
            </w:pPr>
            <w:r w:rsidRPr="005959F9">
              <w:rPr>
                <w:rFonts w:ascii="Arial" w:hAnsi="Arial" w:cs="Arial"/>
                <w:color w:val="000000" w:themeColor="text1"/>
                <w:sz w:val="20"/>
                <w:szCs w:val="20"/>
              </w:rPr>
              <w:t>BARKWOOD CONSULTING Pty Ltd</w:t>
            </w:r>
          </w:p>
        </w:tc>
      </w:tr>
      <w:tr w:rsidR="00F00BBD" w:rsidRPr="005959F9" w:rsidTr="00852CAE">
        <w:trPr>
          <w:trHeight w:val="495"/>
        </w:trPr>
        <w:tc>
          <w:tcPr>
            <w:tcW w:w="3052" w:type="dxa"/>
            <w:vMerge/>
          </w:tcPr>
          <w:p w:rsidR="00F00BBD" w:rsidRPr="005959F9" w:rsidRDefault="00F00BBD" w:rsidP="001025C9">
            <w:pPr>
              <w:jc w:val="both"/>
              <w:rPr>
                <w:rFonts w:ascii="Arial" w:hAnsi="Arial" w:cs="Arial"/>
                <w:color w:val="000000" w:themeColor="text1"/>
                <w:sz w:val="20"/>
                <w:szCs w:val="20"/>
              </w:rPr>
            </w:pPr>
          </w:p>
        </w:tc>
        <w:tc>
          <w:tcPr>
            <w:tcW w:w="1309" w:type="dxa"/>
            <w:vMerge/>
          </w:tcPr>
          <w:p w:rsidR="00F00BBD" w:rsidRPr="005959F9" w:rsidRDefault="00F00BBD" w:rsidP="001025C9">
            <w:pPr>
              <w:jc w:val="both"/>
              <w:rPr>
                <w:rFonts w:ascii="Arial" w:hAnsi="Arial" w:cs="Arial"/>
                <w:color w:val="000000" w:themeColor="text1"/>
                <w:sz w:val="20"/>
                <w:szCs w:val="20"/>
              </w:rPr>
            </w:pPr>
          </w:p>
        </w:tc>
        <w:tc>
          <w:tcPr>
            <w:tcW w:w="5528" w:type="dxa"/>
          </w:tcPr>
          <w:p w:rsidR="00F00BBD" w:rsidRPr="005959F9" w:rsidRDefault="00F00BBD" w:rsidP="001025C9">
            <w:pPr>
              <w:jc w:val="both"/>
              <w:rPr>
                <w:rFonts w:ascii="Arial" w:hAnsi="Arial" w:cs="Arial"/>
                <w:color w:val="000000" w:themeColor="text1"/>
                <w:sz w:val="20"/>
                <w:szCs w:val="20"/>
              </w:rPr>
            </w:pPr>
            <w:r w:rsidRPr="005959F9">
              <w:rPr>
                <w:rFonts w:ascii="Arial" w:hAnsi="Arial" w:cs="Arial"/>
                <w:b/>
                <w:color w:val="000000" w:themeColor="text1"/>
                <w:sz w:val="20"/>
                <w:szCs w:val="20"/>
              </w:rPr>
              <w:t>Bob Woodward - Barkwood Consulting Pty Ltd.</w:t>
            </w:r>
          </w:p>
        </w:tc>
        <w:tc>
          <w:tcPr>
            <w:tcW w:w="4536" w:type="dxa"/>
            <w:vMerge/>
            <w:vAlign w:val="center"/>
          </w:tcPr>
          <w:p w:rsidR="00F00BBD" w:rsidRPr="005959F9" w:rsidRDefault="00F00BBD" w:rsidP="001025C9">
            <w:pPr>
              <w:jc w:val="both"/>
              <w:rPr>
                <w:rFonts w:ascii="Arial" w:hAnsi="Arial" w:cs="Arial"/>
                <w:color w:val="000000" w:themeColor="text1"/>
                <w:sz w:val="20"/>
                <w:szCs w:val="20"/>
              </w:rPr>
            </w:pPr>
          </w:p>
        </w:tc>
      </w:tr>
    </w:tbl>
    <w:p w:rsidR="00F00BBD" w:rsidRPr="005959F9" w:rsidRDefault="00F00BBD" w:rsidP="001025C9">
      <w:pPr>
        <w:jc w:val="both"/>
        <w:rPr>
          <w:rFonts w:ascii="Arial" w:hAnsi="Arial" w:cs="Arial"/>
          <w:color w:val="000000" w:themeColor="text1"/>
          <w:sz w:val="20"/>
          <w:szCs w:val="20"/>
        </w:rPr>
      </w:pPr>
      <w:r w:rsidRPr="005959F9">
        <w:rPr>
          <w:rFonts w:ascii="Arial" w:hAnsi="Arial" w:cs="Arial"/>
          <w:color w:val="000000" w:themeColor="text1"/>
          <w:sz w:val="20"/>
          <w:szCs w:val="20"/>
        </w:rPr>
        <w:t>This document has been prepared to assist operators and road asset managers in assessing the merits of utilising larger vehicle combinations in a transport task.</w:t>
      </w:r>
    </w:p>
    <w:p w:rsidR="00F00BBD" w:rsidRPr="005959F9" w:rsidRDefault="00F00BBD" w:rsidP="001025C9">
      <w:pPr>
        <w:jc w:val="both"/>
        <w:rPr>
          <w:rFonts w:ascii="Arial" w:hAnsi="Arial" w:cs="Arial"/>
          <w:color w:val="000000" w:themeColor="text1"/>
          <w:sz w:val="20"/>
          <w:szCs w:val="20"/>
        </w:rPr>
      </w:pPr>
      <w:r w:rsidRPr="005959F9">
        <w:rPr>
          <w:rFonts w:ascii="Arial" w:hAnsi="Arial" w:cs="Arial"/>
          <w:color w:val="000000" w:themeColor="text1"/>
          <w:sz w:val="20"/>
          <w:szCs w:val="20"/>
        </w:rPr>
        <w:t>The assessment process assumes that the vehicle is dedicated to a specific task, operating travel being 50% unladen and 50% laden.  The task relativities are 1000 tonnes with a lead of 1000 kilometres.</w:t>
      </w:r>
    </w:p>
    <w:tbl>
      <w:tblPr>
        <w:tblStyle w:val="TableGrid"/>
        <w:tblW w:w="0" w:type="auto"/>
        <w:tblLook w:val="04A0"/>
      </w:tblPr>
      <w:tblGrid>
        <w:gridCol w:w="2370"/>
        <w:gridCol w:w="7484"/>
      </w:tblGrid>
      <w:tr w:rsidR="00F00BBD" w:rsidRPr="005959F9" w:rsidTr="00852CAE">
        <w:trPr>
          <w:trHeight w:val="460"/>
        </w:trPr>
        <w:tc>
          <w:tcPr>
            <w:tcW w:w="3085" w:type="dxa"/>
            <w:vAlign w:val="center"/>
          </w:tcPr>
          <w:p w:rsidR="00F00BBD" w:rsidRPr="005959F9" w:rsidRDefault="00F00BBD" w:rsidP="001025C9">
            <w:pPr>
              <w:jc w:val="both"/>
              <w:rPr>
                <w:rFonts w:ascii="Arial" w:hAnsi="Arial" w:cs="Arial"/>
                <w:color w:val="000000" w:themeColor="text1"/>
                <w:sz w:val="20"/>
                <w:szCs w:val="20"/>
              </w:rPr>
            </w:pPr>
            <w:r w:rsidRPr="005959F9">
              <w:rPr>
                <w:rFonts w:ascii="Arial" w:hAnsi="Arial" w:cs="Arial"/>
                <w:b/>
                <w:color w:val="000000" w:themeColor="text1"/>
                <w:sz w:val="20"/>
                <w:szCs w:val="20"/>
              </w:rPr>
              <w:t>Equivalent Standard Axles:</w:t>
            </w:r>
          </w:p>
        </w:tc>
        <w:tc>
          <w:tcPr>
            <w:tcW w:w="12268" w:type="dxa"/>
            <w:vAlign w:val="center"/>
          </w:tcPr>
          <w:p w:rsidR="00F00BBD" w:rsidRPr="005959F9" w:rsidRDefault="00F00BBD" w:rsidP="001025C9">
            <w:pPr>
              <w:jc w:val="both"/>
              <w:rPr>
                <w:rFonts w:ascii="Arial" w:hAnsi="Arial" w:cs="Arial"/>
                <w:color w:val="000000" w:themeColor="text1"/>
                <w:sz w:val="20"/>
                <w:szCs w:val="20"/>
              </w:rPr>
            </w:pPr>
            <w:r w:rsidRPr="005959F9">
              <w:rPr>
                <w:rFonts w:ascii="Arial" w:hAnsi="Arial" w:cs="Arial"/>
                <w:color w:val="000000" w:themeColor="text1"/>
                <w:sz w:val="20"/>
                <w:szCs w:val="20"/>
              </w:rPr>
              <w:t xml:space="preserve">ESA’s are calculated by the average of the sum of ESA’s for zero </w:t>
            </w:r>
            <w:proofErr w:type="gramStart"/>
            <w:r w:rsidRPr="005959F9">
              <w:rPr>
                <w:rFonts w:ascii="Arial" w:hAnsi="Arial" w:cs="Arial"/>
                <w:color w:val="000000" w:themeColor="text1"/>
                <w:sz w:val="20"/>
                <w:szCs w:val="20"/>
              </w:rPr>
              <w:t>load</w:t>
            </w:r>
            <w:proofErr w:type="gramEnd"/>
            <w:r w:rsidRPr="005959F9">
              <w:rPr>
                <w:rFonts w:ascii="Arial" w:hAnsi="Arial" w:cs="Arial"/>
                <w:color w:val="000000" w:themeColor="text1"/>
                <w:sz w:val="20"/>
                <w:szCs w:val="20"/>
              </w:rPr>
              <w:t xml:space="preserve"> (empty) plus ESA’s for 100% load and multiplied by the number of trips as required for the transport task.</w:t>
            </w:r>
          </w:p>
        </w:tc>
      </w:tr>
      <w:tr w:rsidR="00F00BBD" w:rsidRPr="005959F9" w:rsidTr="00852CAE">
        <w:trPr>
          <w:trHeight w:val="460"/>
        </w:trPr>
        <w:tc>
          <w:tcPr>
            <w:tcW w:w="3085" w:type="dxa"/>
            <w:vAlign w:val="center"/>
          </w:tcPr>
          <w:p w:rsidR="00F00BBD" w:rsidRPr="005959F9" w:rsidRDefault="00F00BBD" w:rsidP="001025C9">
            <w:pPr>
              <w:jc w:val="both"/>
              <w:rPr>
                <w:rFonts w:ascii="Arial" w:hAnsi="Arial" w:cs="Arial"/>
                <w:color w:val="000000" w:themeColor="text1"/>
                <w:sz w:val="20"/>
                <w:szCs w:val="20"/>
              </w:rPr>
            </w:pPr>
            <w:r w:rsidRPr="005959F9">
              <w:rPr>
                <w:rFonts w:ascii="Arial" w:hAnsi="Arial" w:cs="Arial"/>
                <w:b/>
                <w:color w:val="000000" w:themeColor="text1"/>
                <w:sz w:val="20"/>
                <w:szCs w:val="20"/>
              </w:rPr>
              <w:t>Vehicle tare weights:</w:t>
            </w:r>
          </w:p>
        </w:tc>
        <w:tc>
          <w:tcPr>
            <w:tcW w:w="12268" w:type="dxa"/>
            <w:vAlign w:val="center"/>
          </w:tcPr>
          <w:p w:rsidR="00F00BBD" w:rsidRPr="005959F9" w:rsidRDefault="00F00BBD" w:rsidP="001025C9">
            <w:pPr>
              <w:jc w:val="both"/>
              <w:rPr>
                <w:rFonts w:ascii="Arial" w:hAnsi="Arial" w:cs="Arial"/>
                <w:color w:val="000000" w:themeColor="text1"/>
                <w:sz w:val="20"/>
                <w:szCs w:val="20"/>
              </w:rPr>
            </w:pPr>
            <w:r w:rsidRPr="005959F9">
              <w:rPr>
                <w:rFonts w:ascii="Arial" w:hAnsi="Arial" w:cs="Arial"/>
                <w:color w:val="000000" w:themeColor="text1"/>
                <w:sz w:val="20"/>
                <w:szCs w:val="20"/>
              </w:rPr>
              <w:t xml:space="preserve">Are predictions based on the averages for a range of equipment within each combination </w:t>
            </w:r>
            <w:proofErr w:type="gramStart"/>
            <w:r w:rsidRPr="005959F9">
              <w:rPr>
                <w:rFonts w:ascii="Arial" w:hAnsi="Arial" w:cs="Arial"/>
                <w:color w:val="000000" w:themeColor="text1"/>
                <w:sz w:val="20"/>
                <w:szCs w:val="20"/>
              </w:rPr>
              <w:t>category.</w:t>
            </w:r>
            <w:proofErr w:type="gramEnd"/>
            <w:r w:rsidRPr="005959F9">
              <w:rPr>
                <w:rFonts w:ascii="Arial" w:hAnsi="Arial" w:cs="Arial"/>
                <w:color w:val="000000" w:themeColor="text1"/>
                <w:sz w:val="20"/>
                <w:szCs w:val="20"/>
              </w:rPr>
              <w:t xml:space="preserve">  These estimates have been reviewed by a number of operators and confirmed as being representative of “real” vehicles of the category.</w:t>
            </w:r>
          </w:p>
        </w:tc>
      </w:tr>
      <w:tr w:rsidR="00F00BBD" w:rsidRPr="005959F9" w:rsidTr="00852CAE">
        <w:trPr>
          <w:trHeight w:val="460"/>
        </w:trPr>
        <w:tc>
          <w:tcPr>
            <w:tcW w:w="3085" w:type="dxa"/>
            <w:vAlign w:val="center"/>
          </w:tcPr>
          <w:p w:rsidR="00F00BBD" w:rsidRPr="005959F9" w:rsidRDefault="00F00BBD" w:rsidP="001025C9">
            <w:pPr>
              <w:jc w:val="both"/>
              <w:rPr>
                <w:rFonts w:ascii="Arial" w:hAnsi="Arial" w:cs="Arial"/>
                <w:color w:val="000000" w:themeColor="text1"/>
                <w:sz w:val="20"/>
                <w:szCs w:val="20"/>
              </w:rPr>
            </w:pPr>
            <w:r w:rsidRPr="005959F9">
              <w:rPr>
                <w:rFonts w:ascii="Arial" w:hAnsi="Arial" w:cs="Arial"/>
                <w:b/>
                <w:color w:val="000000" w:themeColor="text1"/>
                <w:sz w:val="20"/>
                <w:szCs w:val="20"/>
              </w:rPr>
              <w:t>Fuel consumption estimates:</w:t>
            </w:r>
          </w:p>
        </w:tc>
        <w:tc>
          <w:tcPr>
            <w:tcW w:w="12268" w:type="dxa"/>
            <w:vAlign w:val="center"/>
          </w:tcPr>
          <w:p w:rsidR="00F00BBD" w:rsidRPr="005959F9" w:rsidRDefault="00F00BBD" w:rsidP="001025C9">
            <w:pPr>
              <w:jc w:val="both"/>
              <w:rPr>
                <w:rFonts w:ascii="Arial" w:hAnsi="Arial" w:cs="Arial"/>
                <w:color w:val="000000" w:themeColor="text1"/>
                <w:sz w:val="20"/>
                <w:szCs w:val="20"/>
              </w:rPr>
            </w:pPr>
            <w:r w:rsidRPr="005959F9">
              <w:rPr>
                <w:rFonts w:ascii="Arial" w:hAnsi="Arial" w:cs="Arial"/>
                <w:color w:val="000000" w:themeColor="text1"/>
                <w:sz w:val="20"/>
                <w:szCs w:val="20"/>
              </w:rPr>
              <w:t xml:space="preserve">Are predictions based on accumulated averages where operation is nominally 50% unladen and 50% </w:t>
            </w:r>
            <w:proofErr w:type="gramStart"/>
            <w:r w:rsidRPr="005959F9">
              <w:rPr>
                <w:rFonts w:ascii="Arial" w:hAnsi="Arial" w:cs="Arial"/>
                <w:color w:val="000000" w:themeColor="text1"/>
                <w:sz w:val="20"/>
                <w:szCs w:val="20"/>
              </w:rPr>
              <w:t>laden.</w:t>
            </w:r>
            <w:proofErr w:type="gramEnd"/>
            <w:r w:rsidRPr="005959F9">
              <w:rPr>
                <w:rFonts w:ascii="Arial" w:hAnsi="Arial" w:cs="Arial"/>
                <w:color w:val="000000" w:themeColor="text1"/>
                <w:sz w:val="20"/>
                <w:szCs w:val="20"/>
              </w:rPr>
              <w:t xml:space="preserve">  Actual consumption will vary with operating conditions.</w:t>
            </w:r>
          </w:p>
        </w:tc>
      </w:tr>
      <w:tr w:rsidR="00F00BBD" w:rsidRPr="005959F9" w:rsidTr="00852CAE">
        <w:trPr>
          <w:trHeight w:val="460"/>
        </w:trPr>
        <w:tc>
          <w:tcPr>
            <w:tcW w:w="3085" w:type="dxa"/>
            <w:vAlign w:val="center"/>
          </w:tcPr>
          <w:p w:rsidR="00F00BBD" w:rsidRPr="005959F9" w:rsidRDefault="00F00BBD" w:rsidP="001025C9">
            <w:pPr>
              <w:jc w:val="both"/>
              <w:rPr>
                <w:rFonts w:ascii="Arial" w:hAnsi="Arial" w:cs="Arial"/>
                <w:color w:val="000000" w:themeColor="text1"/>
                <w:sz w:val="20"/>
                <w:szCs w:val="20"/>
              </w:rPr>
            </w:pPr>
            <w:r w:rsidRPr="005959F9">
              <w:rPr>
                <w:rFonts w:ascii="Arial" w:hAnsi="Arial" w:cs="Arial"/>
                <w:b/>
                <w:color w:val="000000" w:themeColor="text1"/>
                <w:sz w:val="20"/>
                <w:szCs w:val="20"/>
              </w:rPr>
              <w:t>Emissions:</w:t>
            </w:r>
          </w:p>
        </w:tc>
        <w:tc>
          <w:tcPr>
            <w:tcW w:w="12268" w:type="dxa"/>
            <w:vAlign w:val="center"/>
          </w:tcPr>
          <w:p w:rsidR="00F00BBD" w:rsidRPr="005959F9" w:rsidRDefault="00F00BBD" w:rsidP="001025C9">
            <w:pPr>
              <w:jc w:val="both"/>
              <w:rPr>
                <w:rFonts w:ascii="Arial" w:hAnsi="Arial" w:cs="Arial"/>
                <w:color w:val="000000" w:themeColor="text1"/>
                <w:sz w:val="20"/>
                <w:szCs w:val="20"/>
              </w:rPr>
            </w:pPr>
            <w:r w:rsidRPr="005959F9">
              <w:rPr>
                <w:rFonts w:ascii="Arial" w:hAnsi="Arial" w:cs="Arial"/>
                <w:color w:val="000000" w:themeColor="text1"/>
                <w:sz w:val="20"/>
                <w:szCs w:val="20"/>
              </w:rPr>
              <w:t>Reference is based on total fuel consumption only.</w:t>
            </w:r>
          </w:p>
        </w:tc>
      </w:tr>
      <w:tr w:rsidR="00F00BBD" w:rsidRPr="005959F9" w:rsidTr="00852CAE">
        <w:trPr>
          <w:trHeight w:val="460"/>
        </w:trPr>
        <w:tc>
          <w:tcPr>
            <w:tcW w:w="3085" w:type="dxa"/>
            <w:vAlign w:val="center"/>
          </w:tcPr>
          <w:p w:rsidR="00F00BBD" w:rsidRPr="005959F9" w:rsidRDefault="00F00BBD" w:rsidP="001025C9">
            <w:pPr>
              <w:jc w:val="both"/>
              <w:rPr>
                <w:rFonts w:ascii="Arial" w:hAnsi="Arial" w:cs="Arial"/>
                <w:color w:val="000000" w:themeColor="text1"/>
                <w:sz w:val="20"/>
                <w:szCs w:val="20"/>
              </w:rPr>
            </w:pPr>
            <w:r w:rsidRPr="005959F9">
              <w:rPr>
                <w:rFonts w:ascii="Arial" w:hAnsi="Arial" w:cs="Arial"/>
                <w:b/>
                <w:color w:val="000000" w:themeColor="text1"/>
                <w:sz w:val="20"/>
                <w:szCs w:val="20"/>
              </w:rPr>
              <w:t>20 metre 7 axle Truck &amp; Dog:</w:t>
            </w:r>
          </w:p>
        </w:tc>
        <w:tc>
          <w:tcPr>
            <w:tcW w:w="12268" w:type="dxa"/>
            <w:vAlign w:val="center"/>
          </w:tcPr>
          <w:p w:rsidR="00F00BBD" w:rsidRPr="005959F9" w:rsidRDefault="00F00BBD" w:rsidP="001025C9">
            <w:pPr>
              <w:jc w:val="both"/>
              <w:rPr>
                <w:rFonts w:ascii="Arial" w:hAnsi="Arial" w:cs="Arial"/>
                <w:color w:val="000000" w:themeColor="text1"/>
                <w:sz w:val="20"/>
                <w:szCs w:val="20"/>
              </w:rPr>
            </w:pPr>
            <w:r w:rsidRPr="005959F9">
              <w:rPr>
                <w:rFonts w:ascii="Arial" w:hAnsi="Arial" w:cs="Arial"/>
                <w:color w:val="000000" w:themeColor="text1"/>
                <w:sz w:val="20"/>
                <w:szCs w:val="20"/>
              </w:rPr>
              <w:t>The maximum allowable mass limits for this combination at either CML or HML (for standard combination) is 55.5 tonnes.</w:t>
            </w:r>
          </w:p>
        </w:tc>
      </w:tr>
      <w:tr w:rsidR="00F00BBD" w:rsidRPr="005959F9" w:rsidTr="00852CAE">
        <w:trPr>
          <w:trHeight w:val="460"/>
        </w:trPr>
        <w:tc>
          <w:tcPr>
            <w:tcW w:w="3085" w:type="dxa"/>
            <w:vAlign w:val="center"/>
          </w:tcPr>
          <w:p w:rsidR="00F00BBD" w:rsidRPr="005959F9" w:rsidRDefault="00F00BBD" w:rsidP="001025C9">
            <w:pPr>
              <w:jc w:val="both"/>
              <w:rPr>
                <w:rFonts w:ascii="Arial" w:hAnsi="Arial" w:cs="Arial"/>
                <w:color w:val="000000" w:themeColor="text1"/>
                <w:sz w:val="20"/>
                <w:szCs w:val="20"/>
              </w:rPr>
            </w:pPr>
            <w:r w:rsidRPr="005959F9">
              <w:rPr>
                <w:rFonts w:ascii="Arial" w:hAnsi="Arial" w:cs="Arial"/>
                <w:b/>
                <w:color w:val="000000" w:themeColor="text1"/>
                <w:sz w:val="20"/>
                <w:szCs w:val="20"/>
              </w:rPr>
              <w:t>19 metre 7 Axle B-double:</w:t>
            </w:r>
          </w:p>
        </w:tc>
        <w:tc>
          <w:tcPr>
            <w:tcW w:w="12268" w:type="dxa"/>
            <w:vAlign w:val="center"/>
          </w:tcPr>
          <w:p w:rsidR="00F00BBD" w:rsidRPr="005959F9" w:rsidRDefault="00F00BBD" w:rsidP="001025C9">
            <w:pPr>
              <w:jc w:val="both"/>
              <w:rPr>
                <w:rFonts w:ascii="Arial" w:hAnsi="Arial" w:cs="Arial"/>
                <w:color w:val="000000" w:themeColor="text1"/>
                <w:sz w:val="20"/>
                <w:szCs w:val="20"/>
              </w:rPr>
            </w:pPr>
            <w:r w:rsidRPr="005959F9">
              <w:rPr>
                <w:rFonts w:ascii="Arial" w:hAnsi="Arial" w:cs="Arial"/>
                <w:color w:val="000000" w:themeColor="text1"/>
                <w:sz w:val="20"/>
                <w:szCs w:val="20"/>
              </w:rPr>
              <w:t>The maximum allowable mass limits for this combination at either CML or HML (for standard combination) is 55.5 tonnes.</w:t>
            </w:r>
          </w:p>
        </w:tc>
      </w:tr>
      <w:tr w:rsidR="00F00BBD" w:rsidRPr="005959F9" w:rsidTr="00852CAE">
        <w:trPr>
          <w:trHeight w:val="460"/>
        </w:trPr>
        <w:tc>
          <w:tcPr>
            <w:tcW w:w="3085" w:type="dxa"/>
            <w:vAlign w:val="center"/>
          </w:tcPr>
          <w:p w:rsidR="00F00BBD" w:rsidRPr="005959F9" w:rsidRDefault="00F00BBD" w:rsidP="001025C9">
            <w:pPr>
              <w:jc w:val="both"/>
              <w:rPr>
                <w:rFonts w:ascii="Arial" w:hAnsi="Arial" w:cs="Arial"/>
                <w:color w:val="000000" w:themeColor="text1"/>
                <w:sz w:val="20"/>
                <w:szCs w:val="20"/>
              </w:rPr>
            </w:pPr>
            <w:r w:rsidRPr="005959F9">
              <w:rPr>
                <w:rFonts w:ascii="Arial" w:hAnsi="Arial" w:cs="Arial"/>
                <w:b/>
                <w:color w:val="000000" w:themeColor="text1"/>
                <w:sz w:val="20"/>
                <w:szCs w:val="20"/>
              </w:rPr>
              <w:t>B-triple:</w:t>
            </w:r>
          </w:p>
        </w:tc>
        <w:tc>
          <w:tcPr>
            <w:tcW w:w="12268" w:type="dxa"/>
            <w:vAlign w:val="center"/>
          </w:tcPr>
          <w:p w:rsidR="00F00BBD" w:rsidRPr="005959F9" w:rsidRDefault="00F00BBD" w:rsidP="001025C9">
            <w:pPr>
              <w:jc w:val="both"/>
              <w:rPr>
                <w:rFonts w:ascii="Arial" w:hAnsi="Arial" w:cs="Arial"/>
                <w:color w:val="000000" w:themeColor="text1"/>
                <w:sz w:val="20"/>
                <w:szCs w:val="20"/>
              </w:rPr>
            </w:pPr>
            <w:r w:rsidRPr="005959F9">
              <w:rPr>
                <w:rFonts w:ascii="Arial" w:hAnsi="Arial" w:cs="Arial"/>
                <w:color w:val="000000" w:themeColor="text1"/>
                <w:sz w:val="20"/>
                <w:szCs w:val="20"/>
              </w:rPr>
              <w:t>Consists of a complying B-double with an additional complying leading trailer.</w:t>
            </w:r>
          </w:p>
        </w:tc>
      </w:tr>
      <w:tr w:rsidR="00F00BBD" w:rsidRPr="005959F9" w:rsidTr="00852CAE">
        <w:trPr>
          <w:trHeight w:val="460"/>
        </w:trPr>
        <w:tc>
          <w:tcPr>
            <w:tcW w:w="3085" w:type="dxa"/>
            <w:vAlign w:val="center"/>
          </w:tcPr>
          <w:p w:rsidR="00F00BBD" w:rsidRPr="005959F9" w:rsidRDefault="00F00BBD" w:rsidP="001025C9">
            <w:pPr>
              <w:jc w:val="both"/>
              <w:rPr>
                <w:rFonts w:ascii="Arial" w:hAnsi="Arial" w:cs="Arial"/>
                <w:color w:val="000000" w:themeColor="text1"/>
                <w:sz w:val="20"/>
                <w:szCs w:val="20"/>
              </w:rPr>
            </w:pPr>
            <w:r w:rsidRPr="005959F9">
              <w:rPr>
                <w:rFonts w:ascii="Arial" w:hAnsi="Arial" w:cs="Arial"/>
                <w:b/>
                <w:color w:val="000000" w:themeColor="text1"/>
                <w:sz w:val="20"/>
                <w:szCs w:val="20"/>
              </w:rPr>
              <w:t>Converter Dolly:</w:t>
            </w:r>
          </w:p>
        </w:tc>
        <w:tc>
          <w:tcPr>
            <w:tcW w:w="12268" w:type="dxa"/>
            <w:vAlign w:val="center"/>
          </w:tcPr>
          <w:p w:rsidR="00F00BBD" w:rsidRPr="005959F9" w:rsidRDefault="00F00BBD" w:rsidP="001025C9">
            <w:pPr>
              <w:jc w:val="both"/>
              <w:rPr>
                <w:rFonts w:ascii="Arial" w:hAnsi="Arial" w:cs="Arial"/>
                <w:color w:val="000000" w:themeColor="text1"/>
                <w:sz w:val="20"/>
                <w:szCs w:val="20"/>
              </w:rPr>
            </w:pPr>
            <w:r w:rsidRPr="005959F9">
              <w:rPr>
                <w:rFonts w:ascii="Arial" w:hAnsi="Arial" w:cs="Arial"/>
                <w:color w:val="000000" w:themeColor="text1"/>
                <w:sz w:val="20"/>
                <w:szCs w:val="20"/>
              </w:rPr>
              <w:t>All combinations utilizing a converter dolly are configured with a tandem axle.   The configured vertical imposed loading of a 6x4 prime mover is similar to the allowable imposed vertical loading of a tandem axle converter dolly.</w:t>
            </w:r>
          </w:p>
        </w:tc>
      </w:tr>
      <w:tr w:rsidR="00F00BBD" w:rsidRPr="005959F9" w:rsidTr="00852CAE">
        <w:trPr>
          <w:trHeight w:val="460"/>
        </w:trPr>
        <w:tc>
          <w:tcPr>
            <w:tcW w:w="3085" w:type="dxa"/>
            <w:vAlign w:val="center"/>
          </w:tcPr>
          <w:p w:rsidR="00F00BBD" w:rsidRPr="005959F9" w:rsidRDefault="00F00BBD" w:rsidP="001025C9">
            <w:pPr>
              <w:jc w:val="both"/>
              <w:rPr>
                <w:rFonts w:ascii="Arial" w:hAnsi="Arial" w:cs="Arial"/>
                <w:b/>
                <w:color w:val="000000" w:themeColor="text1"/>
                <w:sz w:val="20"/>
                <w:szCs w:val="20"/>
              </w:rPr>
            </w:pPr>
            <w:r w:rsidRPr="005959F9">
              <w:rPr>
                <w:rFonts w:ascii="Arial" w:hAnsi="Arial" w:cs="Arial"/>
                <w:b/>
                <w:color w:val="000000" w:themeColor="text1"/>
                <w:sz w:val="20"/>
                <w:szCs w:val="20"/>
              </w:rPr>
              <w:t>AB-triple:</w:t>
            </w:r>
          </w:p>
        </w:tc>
        <w:tc>
          <w:tcPr>
            <w:tcW w:w="12268" w:type="dxa"/>
            <w:vAlign w:val="center"/>
          </w:tcPr>
          <w:p w:rsidR="00F00BBD" w:rsidRPr="005959F9" w:rsidRDefault="00F00BBD" w:rsidP="001025C9">
            <w:pPr>
              <w:jc w:val="both"/>
              <w:rPr>
                <w:rFonts w:ascii="Arial" w:hAnsi="Arial" w:cs="Arial"/>
                <w:color w:val="000000" w:themeColor="text1"/>
                <w:sz w:val="20"/>
                <w:szCs w:val="20"/>
              </w:rPr>
            </w:pPr>
            <w:r w:rsidRPr="005959F9">
              <w:rPr>
                <w:rFonts w:ascii="Arial" w:hAnsi="Arial" w:cs="Arial"/>
                <w:color w:val="000000" w:themeColor="text1"/>
                <w:sz w:val="20"/>
                <w:szCs w:val="20"/>
              </w:rPr>
              <w:t>Consists of a complying B-double with an additional complying road train leading trailer and a complying converter dolly.</w:t>
            </w:r>
          </w:p>
        </w:tc>
      </w:tr>
      <w:tr w:rsidR="00F00BBD" w:rsidRPr="005959F9" w:rsidTr="00852CAE">
        <w:trPr>
          <w:trHeight w:val="460"/>
        </w:trPr>
        <w:tc>
          <w:tcPr>
            <w:tcW w:w="3085" w:type="dxa"/>
            <w:vAlign w:val="center"/>
          </w:tcPr>
          <w:p w:rsidR="00F00BBD" w:rsidRPr="005959F9" w:rsidRDefault="00F00BBD" w:rsidP="001025C9">
            <w:pPr>
              <w:jc w:val="both"/>
              <w:rPr>
                <w:rFonts w:ascii="Arial" w:hAnsi="Arial" w:cs="Arial"/>
                <w:b/>
                <w:color w:val="000000" w:themeColor="text1"/>
                <w:sz w:val="20"/>
                <w:szCs w:val="20"/>
              </w:rPr>
            </w:pPr>
            <w:r w:rsidRPr="005959F9">
              <w:rPr>
                <w:rFonts w:ascii="Arial" w:hAnsi="Arial" w:cs="Arial"/>
                <w:b/>
                <w:color w:val="000000" w:themeColor="text1"/>
                <w:sz w:val="20"/>
                <w:szCs w:val="20"/>
              </w:rPr>
              <w:t>BAB-Quad:</w:t>
            </w:r>
            <w:r w:rsidRPr="005959F9">
              <w:rPr>
                <w:rFonts w:ascii="Arial" w:hAnsi="Arial" w:cs="Arial"/>
                <w:color w:val="000000" w:themeColor="text1"/>
                <w:sz w:val="20"/>
                <w:szCs w:val="20"/>
              </w:rPr>
              <w:t xml:space="preserve">  </w:t>
            </w:r>
          </w:p>
        </w:tc>
        <w:tc>
          <w:tcPr>
            <w:tcW w:w="12268" w:type="dxa"/>
            <w:vAlign w:val="center"/>
          </w:tcPr>
          <w:p w:rsidR="00F00BBD" w:rsidRPr="005959F9" w:rsidRDefault="00F00BBD" w:rsidP="001025C9">
            <w:pPr>
              <w:jc w:val="both"/>
              <w:rPr>
                <w:rFonts w:ascii="Arial" w:hAnsi="Arial" w:cs="Arial"/>
                <w:color w:val="000000" w:themeColor="text1"/>
                <w:sz w:val="20"/>
                <w:szCs w:val="20"/>
              </w:rPr>
            </w:pPr>
            <w:r w:rsidRPr="005959F9">
              <w:rPr>
                <w:rFonts w:ascii="Arial" w:hAnsi="Arial" w:cs="Arial"/>
                <w:color w:val="000000" w:themeColor="text1"/>
                <w:sz w:val="20"/>
                <w:szCs w:val="20"/>
              </w:rPr>
              <w:t>Consists of a complying B-double with an additional complying converter dolly and additional complying set of B-double trailers.</w:t>
            </w:r>
          </w:p>
        </w:tc>
      </w:tr>
    </w:tbl>
    <w:p w:rsidR="00F00BBD" w:rsidRPr="005959F9" w:rsidRDefault="00F00BBD" w:rsidP="001025C9">
      <w:pPr>
        <w:jc w:val="both"/>
        <w:rPr>
          <w:rFonts w:ascii="Arial" w:hAnsi="Arial" w:cs="Arial"/>
          <w:color w:val="000000" w:themeColor="text1"/>
          <w:sz w:val="20"/>
          <w:szCs w:val="20"/>
        </w:rPr>
      </w:pPr>
    </w:p>
    <w:p w:rsidR="00F00BBD" w:rsidRPr="005959F9" w:rsidRDefault="00F00BBD" w:rsidP="001025C9">
      <w:pPr>
        <w:jc w:val="both"/>
        <w:rPr>
          <w:rFonts w:ascii="Arial" w:hAnsi="Arial" w:cs="Arial"/>
          <w:color w:val="000000" w:themeColor="text1"/>
          <w:sz w:val="20"/>
          <w:szCs w:val="20"/>
        </w:rPr>
      </w:pPr>
    </w:p>
    <w:p w:rsidR="00F00BBD" w:rsidRPr="005959F9" w:rsidRDefault="00F00BBD" w:rsidP="001025C9">
      <w:pPr>
        <w:jc w:val="both"/>
        <w:rPr>
          <w:rFonts w:ascii="Arial" w:hAnsi="Arial" w:cs="Arial"/>
          <w:color w:val="000000" w:themeColor="text1"/>
          <w:sz w:val="20"/>
          <w:szCs w:val="20"/>
        </w:rPr>
      </w:pPr>
    </w:p>
    <w:p w:rsidR="00F00BBD" w:rsidRPr="005959F9" w:rsidRDefault="00F00BBD" w:rsidP="001025C9">
      <w:pPr>
        <w:jc w:val="both"/>
        <w:rPr>
          <w:rFonts w:ascii="Arial" w:hAnsi="Arial" w:cs="Arial"/>
          <w:color w:val="000000" w:themeColor="text1"/>
          <w:sz w:val="20"/>
          <w:szCs w:val="20"/>
        </w:rPr>
      </w:pPr>
    </w:p>
    <w:p w:rsidR="00F00BBD" w:rsidRPr="005959F9" w:rsidRDefault="00F00BBD" w:rsidP="001025C9">
      <w:pPr>
        <w:jc w:val="both"/>
        <w:rPr>
          <w:rFonts w:ascii="Arial" w:hAnsi="Arial" w:cs="Arial"/>
          <w:color w:val="000000" w:themeColor="text1"/>
          <w:sz w:val="20"/>
          <w:szCs w:val="20"/>
        </w:rPr>
      </w:pPr>
    </w:p>
    <w:p w:rsidR="00F00BBD" w:rsidRPr="005959F9" w:rsidRDefault="00F00BBD" w:rsidP="001025C9">
      <w:pPr>
        <w:jc w:val="both"/>
        <w:rPr>
          <w:rFonts w:ascii="Arial" w:hAnsi="Arial" w:cs="Arial"/>
          <w:color w:val="000000" w:themeColor="text1"/>
          <w:sz w:val="20"/>
          <w:szCs w:val="20"/>
        </w:rPr>
      </w:pPr>
    </w:p>
    <w:p w:rsidR="00F00BBD" w:rsidRPr="005959F9" w:rsidRDefault="00F00BBD" w:rsidP="001025C9">
      <w:pPr>
        <w:jc w:val="both"/>
        <w:rPr>
          <w:rFonts w:ascii="Arial" w:hAnsi="Arial" w:cs="Arial"/>
          <w:color w:val="000000" w:themeColor="text1"/>
          <w:sz w:val="20"/>
          <w:szCs w:val="20"/>
        </w:rPr>
      </w:pPr>
      <w:r w:rsidRPr="005959F9">
        <w:rPr>
          <w:rFonts w:ascii="Arial" w:hAnsi="Arial" w:cs="Arial"/>
          <w:color w:val="000000" w:themeColor="text1"/>
          <w:sz w:val="20"/>
          <w:szCs w:val="20"/>
        </w:rPr>
        <w:br w:type="page"/>
      </w:r>
    </w:p>
    <w:p w:rsidR="00F00BBD" w:rsidRPr="005959F9" w:rsidRDefault="00F00BBD" w:rsidP="001025C9">
      <w:pPr>
        <w:jc w:val="both"/>
        <w:rPr>
          <w:rFonts w:ascii="Arial" w:hAnsi="Arial" w:cs="Arial"/>
          <w:color w:val="000000" w:themeColor="text1"/>
          <w:sz w:val="20"/>
          <w:szCs w:val="20"/>
        </w:rPr>
      </w:pPr>
      <w:r w:rsidRPr="005959F9">
        <w:rPr>
          <w:rFonts w:ascii="Arial" w:hAnsi="Arial" w:cs="Arial"/>
          <w:noProof/>
          <w:color w:val="000000" w:themeColor="text1"/>
          <w:sz w:val="20"/>
          <w:szCs w:val="20"/>
          <w:lang w:eastAsia="en-AU"/>
        </w:rPr>
        <w:lastRenderedPageBreak/>
        <w:drawing>
          <wp:anchor distT="0" distB="0" distL="114300" distR="114300" simplePos="0" relativeHeight="251659264" behindDoc="1" locked="0" layoutInCell="1" allowOverlap="1">
            <wp:simplePos x="0" y="0"/>
            <wp:positionH relativeFrom="column">
              <wp:posOffset>-1929765</wp:posOffset>
            </wp:positionH>
            <wp:positionV relativeFrom="paragraph">
              <wp:posOffset>1623060</wp:posOffset>
            </wp:positionV>
            <wp:extent cx="9620250" cy="6120130"/>
            <wp:effectExtent l="0" t="1752600" r="0" b="172847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rot="5400000">
                      <a:off x="0" y="0"/>
                      <a:ext cx="9620250" cy="6120130"/>
                    </a:xfrm>
                    <a:prstGeom prst="rect">
                      <a:avLst/>
                    </a:prstGeom>
                    <a:noFill/>
                    <a:ln w="9525">
                      <a:noFill/>
                      <a:miter lim="800000"/>
                      <a:headEnd/>
                      <a:tailEnd/>
                    </a:ln>
                  </pic:spPr>
                </pic:pic>
              </a:graphicData>
            </a:graphic>
          </wp:anchor>
        </w:drawing>
      </w:r>
    </w:p>
    <w:p w:rsidR="00F00BBD" w:rsidRPr="005959F9" w:rsidRDefault="00F00BBD" w:rsidP="001025C9">
      <w:pPr>
        <w:jc w:val="both"/>
        <w:rPr>
          <w:rFonts w:ascii="Arial" w:hAnsi="Arial" w:cs="Arial"/>
          <w:color w:val="000000" w:themeColor="text1"/>
          <w:sz w:val="20"/>
          <w:szCs w:val="20"/>
        </w:rPr>
      </w:pPr>
    </w:p>
    <w:p w:rsidR="00050881" w:rsidRPr="005959F9" w:rsidRDefault="00050881" w:rsidP="001025C9">
      <w:pPr>
        <w:jc w:val="both"/>
        <w:rPr>
          <w:rFonts w:ascii="Arial" w:hAnsi="Arial" w:cs="Arial"/>
          <w:color w:val="000000" w:themeColor="text1"/>
          <w:sz w:val="20"/>
          <w:szCs w:val="20"/>
        </w:rPr>
      </w:pPr>
    </w:p>
    <w:sectPr w:rsidR="00050881" w:rsidRPr="005959F9" w:rsidSect="00A91411">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567" w:left="1134" w:header="703" w:footer="2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4E1" w:rsidRDefault="00DD14E1" w:rsidP="000F3D9F">
      <w:r>
        <w:separator/>
      </w:r>
    </w:p>
  </w:endnote>
  <w:endnote w:type="continuationSeparator" w:id="0">
    <w:p w:rsidR="00DD14E1" w:rsidRDefault="00DD14E1" w:rsidP="000F3D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FB" w:rsidRDefault="003340FB" w:rsidP="00E10948">
    <w:pPr>
      <w:ind w:right="-426"/>
      <w:jc w:val="right"/>
      <w:rPr>
        <w:rFonts w:ascii="Arial" w:hAnsi="Arial" w:cs="Arial"/>
        <w:color w:val="17365D"/>
        <w:sz w:val="18"/>
        <w:szCs w:val="18"/>
      </w:rPr>
    </w:pPr>
    <w:r>
      <w:rPr>
        <w:rFonts w:ascii="Arial" w:hAnsi="Arial" w:cs="Arial"/>
        <w:color w:val="17365D"/>
        <w:sz w:val="18"/>
        <w:szCs w:val="18"/>
      </w:rPr>
      <w:t xml:space="preserve"> </w:t>
    </w:r>
    <w:r w:rsidRPr="00E10948">
      <w:rPr>
        <w:rFonts w:ascii="Arial" w:hAnsi="Arial" w:cs="Arial"/>
        <w:smallCaps/>
        <w:noProof/>
        <w:szCs w:val="23"/>
        <w:lang w:eastAsia="en-AU"/>
      </w:rPr>
      <w:drawing>
        <wp:inline distT="0" distB="0" distL="0" distR="0">
          <wp:extent cx="1476375" cy="762000"/>
          <wp:effectExtent l="19050" t="0" r="9525" b="0"/>
          <wp:docPr id="7" name="Picture 1" descr="R:\PUBLIC\LOGOS\ATA Logos\ATA NSW\ATA N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UBLIC\LOGOS\ATA Logos\ATA NSW\ATA NSW.jpg"/>
                  <pic:cNvPicPr>
                    <a:picLocks noChangeAspect="1" noChangeArrowheads="1"/>
                  </pic:cNvPicPr>
                </pic:nvPicPr>
                <pic:blipFill>
                  <a:blip r:embed="rId1"/>
                  <a:srcRect/>
                  <a:stretch>
                    <a:fillRect/>
                  </a:stretch>
                </pic:blipFill>
                <pic:spPr bwMode="auto">
                  <a:xfrm>
                    <a:off x="0" y="0"/>
                    <a:ext cx="1474222" cy="763325"/>
                  </a:xfrm>
                  <a:prstGeom prst="rect">
                    <a:avLst/>
                  </a:prstGeom>
                  <a:noFill/>
                  <a:ln w="9525">
                    <a:noFill/>
                    <a:miter lim="800000"/>
                    <a:headEnd/>
                    <a:tailEnd/>
                  </a:ln>
                </pic:spPr>
              </pic:pic>
            </a:graphicData>
          </a:graphic>
        </wp:inline>
      </w:drawing>
    </w:r>
  </w:p>
  <w:p w:rsidR="003340FB" w:rsidRPr="00E8056B" w:rsidRDefault="003340FB" w:rsidP="00E8056B">
    <w:pPr>
      <w:pStyle w:val="Footer"/>
      <w:jc w:val="right"/>
      <w:rPr>
        <w:rFonts w:ascii="Arial" w:hAnsi="Arial" w:cs="Arial"/>
        <w:sz w:val="16"/>
        <w:szCs w:val="16"/>
      </w:rPr>
    </w:pPr>
    <w:r>
      <w:rPr>
        <w:rFonts w:ascii="Arial" w:hAnsi="Arial" w:cs="Arial"/>
        <w:sz w:val="16"/>
        <w:szCs w:val="16"/>
      </w:rPr>
      <w:tab/>
      <w:t>Level 2, 51 Walker Street, North Sydney, NSW, 2060</w:t>
    </w:r>
  </w:p>
  <w:p w:rsidR="003340FB" w:rsidRPr="00E8056B" w:rsidRDefault="003340FB" w:rsidP="00E8056B">
    <w:pPr>
      <w:pStyle w:val="Footer"/>
      <w:jc w:val="right"/>
      <w:rPr>
        <w:rFonts w:ascii="Arial" w:hAnsi="Arial" w:cs="Arial"/>
        <w:sz w:val="16"/>
        <w:szCs w:val="16"/>
      </w:rPr>
    </w:pPr>
    <w:r>
      <w:rPr>
        <w:rFonts w:ascii="Arial" w:hAnsi="Arial" w:cs="Arial"/>
        <w:b/>
        <w:sz w:val="16"/>
        <w:szCs w:val="16"/>
      </w:rPr>
      <w:tab/>
      <w:t xml:space="preserve">     </w:t>
    </w:r>
    <w:r w:rsidRPr="00E8056B">
      <w:rPr>
        <w:rFonts w:ascii="Arial" w:hAnsi="Arial" w:cs="Arial"/>
        <w:b/>
        <w:sz w:val="16"/>
        <w:szCs w:val="16"/>
      </w:rPr>
      <w:t>P</w:t>
    </w:r>
    <w:r w:rsidRPr="00E8056B">
      <w:rPr>
        <w:rFonts w:ascii="Arial" w:hAnsi="Arial" w:cs="Arial"/>
        <w:sz w:val="16"/>
        <w:szCs w:val="16"/>
      </w:rPr>
      <w:t xml:space="preserve"> 02 </w:t>
    </w:r>
    <w:r>
      <w:rPr>
        <w:rFonts w:ascii="Arial" w:hAnsi="Arial" w:cs="Arial"/>
        <w:sz w:val="16"/>
        <w:szCs w:val="16"/>
      </w:rPr>
      <w:t>9922 6507</w:t>
    </w:r>
    <w:r w:rsidRPr="00E8056B">
      <w:rPr>
        <w:rFonts w:ascii="Arial" w:hAnsi="Arial" w:cs="Arial"/>
        <w:sz w:val="16"/>
        <w:szCs w:val="16"/>
      </w:rPr>
      <w:t xml:space="preserve"> </w:t>
    </w:r>
    <w:r w:rsidRPr="00E8056B">
      <w:rPr>
        <w:rFonts w:ascii="Arial" w:hAnsi="Arial" w:cs="Arial"/>
        <w:b/>
        <w:sz w:val="16"/>
        <w:szCs w:val="16"/>
      </w:rPr>
      <w:t>F</w:t>
    </w:r>
    <w:r w:rsidRPr="00E8056B">
      <w:rPr>
        <w:rFonts w:ascii="Arial" w:hAnsi="Arial" w:cs="Arial"/>
        <w:sz w:val="16"/>
        <w:szCs w:val="16"/>
      </w:rPr>
      <w:t xml:space="preserve"> 02 6253 6999 </w:t>
    </w:r>
    <w:r w:rsidRPr="00E8056B">
      <w:rPr>
        <w:rFonts w:ascii="Arial" w:hAnsi="Arial" w:cs="Arial"/>
        <w:b/>
        <w:sz w:val="16"/>
        <w:szCs w:val="16"/>
      </w:rPr>
      <w:t>E</w:t>
    </w:r>
    <w:r w:rsidRPr="00E8056B">
      <w:rPr>
        <w:rFonts w:ascii="Arial" w:hAnsi="Arial" w:cs="Arial"/>
        <w:sz w:val="16"/>
        <w:szCs w:val="16"/>
      </w:rPr>
      <w:t xml:space="preserve"> </w:t>
    </w:r>
    <w:hyperlink r:id="rId2" w:history="1">
      <w:r w:rsidRPr="000963BE">
        <w:rPr>
          <w:rFonts w:ascii="Arial" w:hAnsi="Arial" w:cs="Arial"/>
          <w:sz w:val="16"/>
          <w:szCs w:val="16"/>
        </w:rPr>
        <w:t>jodie.broadbent@truck.net.au</w:t>
      </w:r>
    </w:hyperlink>
    <w:r>
      <w:rPr>
        <w:color w:val="1F497D"/>
      </w:rPr>
      <w:t xml:space="preserve"> </w:t>
    </w:r>
    <w:r w:rsidRPr="00E8056B">
      <w:rPr>
        <w:rFonts w:ascii="Arial" w:hAnsi="Arial" w:cs="Arial"/>
        <w:b/>
        <w:sz w:val="16"/>
        <w:szCs w:val="16"/>
      </w:rPr>
      <w:t>W</w:t>
    </w:r>
    <w:r w:rsidRPr="00E8056B">
      <w:rPr>
        <w:rFonts w:ascii="Arial" w:hAnsi="Arial" w:cs="Arial"/>
        <w:sz w:val="16"/>
        <w:szCs w:val="16"/>
      </w:rPr>
      <w:t xml:space="preserve"> </w:t>
    </w:r>
    <w:r>
      <w:rPr>
        <w:rFonts w:ascii="Arial" w:hAnsi="Arial" w:cs="Arial"/>
        <w:bCs/>
        <w:sz w:val="16"/>
        <w:szCs w:val="16"/>
      </w:rPr>
      <w:t>www.atansw</w:t>
    </w:r>
    <w:r w:rsidRPr="00E8056B">
      <w:rPr>
        <w:rFonts w:ascii="Arial" w:hAnsi="Arial" w:cs="Arial"/>
        <w:bCs/>
        <w:sz w:val="16"/>
        <w:szCs w:val="16"/>
      </w:rPr>
      <w:t>.net.au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FB" w:rsidRDefault="005C4EBF">
    <w:pPr>
      <w:pStyle w:val="Footer"/>
      <w:jc w:val="right"/>
    </w:pPr>
    <w:fldSimple w:instr=" PAGE   \* MERGEFORMAT ">
      <w:r w:rsidR="003340FB">
        <w:rPr>
          <w:noProof/>
        </w:rPr>
        <w:t>7</w:t>
      </w:r>
    </w:fldSimple>
  </w:p>
  <w:p w:rsidR="003340FB" w:rsidRDefault="003340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FB" w:rsidRDefault="003340F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insideH w:val="single" w:sz="4" w:space="0" w:color="000000"/>
      </w:tblBorders>
      <w:tblLook w:val="04A0"/>
    </w:tblPr>
    <w:tblGrid>
      <w:gridCol w:w="4927"/>
      <w:gridCol w:w="4927"/>
    </w:tblGrid>
    <w:tr w:rsidR="003340FB" w:rsidRPr="00A91411" w:rsidTr="00D735FF">
      <w:trPr>
        <w:trHeight w:val="278"/>
      </w:trPr>
      <w:tc>
        <w:tcPr>
          <w:tcW w:w="4927" w:type="dxa"/>
          <w:vAlign w:val="center"/>
        </w:tcPr>
        <w:p w:rsidR="003340FB" w:rsidRPr="00A91411" w:rsidRDefault="003340FB" w:rsidP="009D2BC0">
          <w:pPr>
            <w:pStyle w:val="Footer"/>
            <w:rPr>
              <w:rFonts w:ascii="Arial" w:hAnsi="Arial" w:cs="Arial"/>
              <w:sz w:val="14"/>
              <w:szCs w:val="14"/>
            </w:rPr>
          </w:pPr>
          <w:r>
            <w:rPr>
              <w:rFonts w:ascii="Arial" w:hAnsi="Arial" w:cs="Arial"/>
              <w:sz w:val="14"/>
              <w:szCs w:val="14"/>
            </w:rPr>
            <w:t xml:space="preserve">ATA NSW </w:t>
          </w:r>
          <w:r w:rsidRPr="00A91411">
            <w:rPr>
              <w:rFonts w:ascii="Arial" w:hAnsi="Arial" w:cs="Arial"/>
              <w:sz w:val="14"/>
              <w:szCs w:val="14"/>
            </w:rPr>
            <w:t xml:space="preserve">Submission </w:t>
          </w:r>
          <w:r>
            <w:rPr>
              <w:rFonts w:ascii="Arial" w:hAnsi="Arial" w:cs="Arial"/>
              <w:sz w:val="14"/>
              <w:szCs w:val="14"/>
            </w:rPr>
            <w:t>:</w:t>
          </w:r>
          <w:r w:rsidRPr="00693D92">
            <w:rPr>
              <w:rFonts w:ascii="Arial" w:hAnsi="Arial" w:cs="Arial"/>
              <w:sz w:val="14"/>
              <w:szCs w:val="14"/>
            </w:rPr>
            <w:t>NSW Legislative Assembly:</w:t>
          </w:r>
          <w:r>
            <w:rPr>
              <w:rFonts w:ascii="Arial" w:hAnsi="Arial" w:cs="Arial"/>
              <w:sz w:val="14"/>
              <w:szCs w:val="14"/>
            </w:rPr>
            <w:br/>
            <w:t xml:space="preserve">Committee </w:t>
          </w:r>
          <w:r w:rsidRPr="00693D92">
            <w:rPr>
              <w:rFonts w:ascii="Arial" w:hAnsi="Arial" w:cs="Arial"/>
              <w:sz w:val="14"/>
              <w:szCs w:val="14"/>
            </w:rPr>
            <w:t xml:space="preserve">on Transport and infrastructure  </w:t>
          </w:r>
        </w:p>
      </w:tc>
      <w:tc>
        <w:tcPr>
          <w:tcW w:w="4927" w:type="dxa"/>
          <w:vAlign w:val="center"/>
        </w:tcPr>
        <w:p w:rsidR="003340FB" w:rsidRPr="00A91411" w:rsidRDefault="003340FB" w:rsidP="00D735FF">
          <w:pPr>
            <w:pStyle w:val="Footer"/>
            <w:jc w:val="right"/>
            <w:rPr>
              <w:rFonts w:ascii="Arial" w:hAnsi="Arial" w:cs="Arial"/>
              <w:sz w:val="14"/>
              <w:szCs w:val="14"/>
            </w:rPr>
          </w:pPr>
          <w:r w:rsidRPr="00A91411">
            <w:rPr>
              <w:rFonts w:ascii="Arial" w:hAnsi="Arial" w:cs="Arial"/>
              <w:sz w:val="14"/>
              <w:szCs w:val="14"/>
            </w:rPr>
            <w:t xml:space="preserve">Page </w:t>
          </w:r>
          <w:r w:rsidR="005C4EBF" w:rsidRPr="00A91411">
            <w:rPr>
              <w:rFonts w:ascii="Arial" w:hAnsi="Arial" w:cs="Arial"/>
              <w:sz w:val="14"/>
              <w:szCs w:val="14"/>
            </w:rPr>
            <w:fldChar w:fldCharType="begin"/>
          </w:r>
          <w:r w:rsidRPr="00A91411">
            <w:rPr>
              <w:rFonts w:ascii="Arial" w:hAnsi="Arial" w:cs="Arial"/>
              <w:sz w:val="14"/>
              <w:szCs w:val="14"/>
            </w:rPr>
            <w:instrText xml:space="preserve"> PAGE   \* MERGEFORMAT </w:instrText>
          </w:r>
          <w:r w:rsidR="005C4EBF" w:rsidRPr="00A91411">
            <w:rPr>
              <w:rFonts w:ascii="Arial" w:hAnsi="Arial" w:cs="Arial"/>
              <w:sz w:val="14"/>
              <w:szCs w:val="14"/>
            </w:rPr>
            <w:fldChar w:fldCharType="separate"/>
          </w:r>
          <w:r w:rsidR="001352E6">
            <w:rPr>
              <w:rFonts w:ascii="Arial" w:hAnsi="Arial" w:cs="Arial"/>
              <w:noProof/>
              <w:sz w:val="14"/>
              <w:szCs w:val="14"/>
            </w:rPr>
            <w:t>6</w:t>
          </w:r>
          <w:r w:rsidR="005C4EBF" w:rsidRPr="00A91411">
            <w:rPr>
              <w:rFonts w:ascii="Arial" w:hAnsi="Arial" w:cs="Arial"/>
              <w:sz w:val="14"/>
              <w:szCs w:val="14"/>
            </w:rPr>
            <w:fldChar w:fldCharType="end"/>
          </w:r>
        </w:p>
      </w:tc>
    </w:tr>
  </w:tbl>
  <w:p w:rsidR="003340FB" w:rsidRPr="00A91411" w:rsidRDefault="003340FB">
    <w:pPr>
      <w:rPr>
        <w:sz w:val="4"/>
        <w:szCs w:val="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FB" w:rsidRDefault="003340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4E1" w:rsidRDefault="00DD14E1" w:rsidP="000F3D9F">
      <w:r>
        <w:separator/>
      </w:r>
    </w:p>
  </w:footnote>
  <w:footnote w:type="continuationSeparator" w:id="0">
    <w:p w:rsidR="00DD14E1" w:rsidRDefault="00DD14E1" w:rsidP="000F3D9F">
      <w:r>
        <w:continuationSeparator/>
      </w:r>
    </w:p>
  </w:footnote>
  <w:footnote w:id="1">
    <w:p w:rsidR="003340FB" w:rsidRPr="005959F9" w:rsidRDefault="003340FB" w:rsidP="006B7D84">
      <w:pPr>
        <w:pStyle w:val="Default"/>
        <w:rPr>
          <w:rFonts w:ascii="Arial" w:hAnsi="Arial" w:cs="Arial"/>
          <w:sz w:val="16"/>
          <w:szCs w:val="16"/>
        </w:rPr>
      </w:pPr>
      <w:r w:rsidRPr="005959F9">
        <w:rPr>
          <w:rStyle w:val="FootnoteReference"/>
          <w:rFonts w:ascii="Arial" w:hAnsi="Arial" w:cs="Arial"/>
          <w:sz w:val="16"/>
          <w:szCs w:val="16"/>
        </w:rPr>
        <w:footnoteRef/>
      </w:r>
      <w:r w:rsidRPr="005959F9">
        <w:rPr>
          <w:rFonts w:ascii="Arial" w:hAnsi="Arial" w:cs="Arial"/>
          <w:sz w:val="16"/>
          <w:szCs w:val="16"/>
        </w:rPr>
        <w:t xml:space="preserve"> Page V  - National Transport Commission  Modelling the Marginal Cost of Road Wear Research Paper May 2011</w:t>
      </w:r>
    </w:p>
  </w:footnote>
  <w:footnote w:id="2">
    <w:p w:rsidR="003340FB" w:rsidRPr="005959F9" w:rsidRDefault="003340FB" w:rsidP="00A45F83">
      <w:pPr>
        <w:pStyle w:val="FootnoteText"/>
        <w:rPr>
          <w:rFonts w:ascii="Arial" w:hAnsi="Arial" w:cs="Arial"/>
          <w:sz w:val="16"/>
          <w:szCs w:val="16"/>
        </w:rPr>
      </w:pPr>
      <w:r w:rsidRPr="005959F9">
        <w:rPr>
          <w:rStyle w:val="FootnoteReference"/>
          <w:rFonts w:ascii="Arial" w:hAnsi="Arial" w:cs="Arial"/>
          <w:sz w:val="16"/>
          <w:szCs w:val="16"/>
        </w:rPr>
        <w:footnoteRef/>
      </w:r>
      <w:r w:rsidRPr="005959F9">
        <w:rPr>
          <w:rFonts w:ascii="Arial" w:hAnsi="Arial" w:cs="Arial"/>
          <w:sz w:val="16"/>
          <w:szCs w:val="16"/>
        </w:rPr>
        <w:t xml:space="preserve"> NTC Heavy Vehicle charges determination regulatory impact statement volume I, December 2007</w:t>
      </w:r>
    </w:p>
  </w:footnote>
  <w:footnote w:id="3">
    <w:p w:rsidR="003340FB" w:rsidRPr="005959F9" w:rsidRDefault="003340FB" w:rsidP="00A45F83">
      <w:pPr>
        <w:pStyle w:val="FootnoteText"/>
        <w:rPr>
          <w:rFonts w:ascii="Arial" w:hAnsi="Arial" w:cs="Arial"/>
          <w:sz w:val="16"/>
          <w:szCs w:val="16"/>
        </w:rPr>
      </w:pPr>
      <w:r w:rsidRPr="005959F9">
        <w:rPr>
          <w:rStyle w:val="FootnoteReference"/>
          <w:rFonts w:ascii="Arial" w:hAnsi="Arial" w:cs="Arial"/>
          <w:sz w:val="16"/>
          <w:szCs w:val="16"/>
        </w:rPr>
        <w:footnoteRef/>
      </w:r>
      <w:r w:rsidRPr="005959F9">
        <w:rPr>
          <w:rFonts w:ascii="Arial" w:hAnsi="Arial" w:cs="Arial"/>
          <w:sz w:val="16"/>
          <w:szCs w:val="16"/>
        </w:rPr>
        <w:t xml:space="preserve"> Antony Seely, </w:t>
      </w:r>
      <w:r w:rsidRPr="005959F9">
        <w:rPr>
          <w:rFonts w:ascii="Arial" w:hAnsi="Arial" w:cs="Arial"/>
          <w:i/>
          <w:iCs/>
          <w:sz w:val="16"/>
          <w:szCs w:val="16"/>
        </w:rPr>
        <w:t>Hypothecated Taxation</w:t>
      </w:r>
      <w:r w:rsidRPr="005959F9">
        <w:rPr>
          <w:rFonts w:ascii="Arial" w:hAnsi="Arial" w:cs="Arial"/>
          <w:sz w:val="16"/>
          <w:szCs w:val="16"/>
        </w:rPr>
        <w:t>, Standard Note SN01480, House of Commons Library, September 2011</w:t>
      </w:r>
    </w:p>
  </w:footnote>
  <w:footnote w:id="4">
    <w:p w:rsidR="003340FB" w:rsidRPr="005959F9" w:rsidRDefault="003340FB" w:rsidP="00A45F83">
      <w:pPr>
        <w:pStyle w:val="FootnoteText"/>
        <w:rPr>
          <w:rFonts w:ascii="Arial" w:hAnsi="Arial" w:cs="Arial"/>
          <w:sz w:val="16"/>
          <w:szCs w:val="16"/>
        </w:rPr>
      </w:pPr>
      <w:r w:rsidRPr="005959F9">
        <w:rPr>
          <w:rStyle w:val="FootnoteReference"/>
          <w:rFonts w:ascii="Arial" w:hAnsi="Arial" w:cs="Arial"/>
          <w:sz w:val="16"/>
          <w:szCs w:val="16"/>
        </w:rPr>
        <w:footnoteRef/>
      </w:r>
      <w:r w:rsidRPr="005959F9">
        <w:rPr>
          <w:rFonts w:ascii="Arial" w:hAnsi="Arial" w:cs="Arial"/>
          <w:sz w:val="16"/>
          <w:szCs w:val="16"/>
        </w:rPr>
        <w:t xml:space="preserve"> </w:t>
      </w:r>
      <w:hyperlink r:id="rId1" w:history="1">
        <w:r w:rsidRPr="005959F9">
          <w:rPr>
            <w:rStyle w:val="Hyperlink"/>
            <w:rFonts w:ascii="Arial" w:hAnsi="Arial" w:cs="Arial"/>
            <w:sz w:val="16"/>
            <w:szCs w:val="16"/>
          </w:rPr>
          <w:t>http://www.treasury.nsw.gov.au/ppp/working_with_government_wwg_guidelines_for_privately_financed_projects</w:t>
        </w:r>
      </w:hyperlink>
    </w:p>
  </w:footnote>
  <w:footnote w:id="5">
    <w:p w:rsidR="003340FB" w:rsidRPr="005959F9" w:rsidRDefault="003340FB" w:rsidP="00B55023">
      <w:pPr>
        <w:pStyle w:val="Default"/>
        <w:rPr>
          <w:rFonts w:ascii="Arial" w:hAnsi="Arial" w:cs="Arial"/>
          <w:sz w:val="16"/>
          <w:szCs w:val="16"/>
        </w:rPr>
      </w:pPr>
      <w:r w:rsidRPr="005959F9">
        <w:rPr>
          <w:rStyle w:val="FootnoteReference"/>
          <w:rFonts w:ascii="Arial" w:hAnsi="Arial" w:cs="Arial"/>
          <w:sz w:val="16"/>
          <w:szCs w:val="16"/>
        </w:rPr>
        <w:footnoteRef/>
      </w:r>
      <w:r w:rsidRPr="005959F9">
        <w:rPr>
          <w:rFonts w:ascii="Arial" w:hAnsi="Arial" w:cs="Arial"/>
          <w:sz w:val="16"/>
          <w:szCs w:val="16"/>
        </w:rPr>
        <w:t xml:space="preserve"> CRRP Preliminary Findings Consultation paper – Evaluation of options Section </w:t>
      </w:r>
      <w:r w:rsidRPr="005959F9">
        <w:rPr>
          <w:rFonts w:ascii="Arial" w:hAnsi="Arial" w:cs="Arial"/>
          <w:bCs/>
          <w:sz w:val="16"/>
          <w:szCs w:val="16"/>
        </w:rPr>
        <w:t>4.3. Estimating road use behaviour changes</w:t>
      </w:r>
    </w:p>
  </w:footnote>
  <w:footnote w:id="6">
    <w:p w:rsidR="003340FB" w:rsidRPr="005959F9" w:rsidRDefault="003340FB" w:rsidP="00B55023">
      <w:pPr>
        <w:pStyle w:val="Default"/>
        <w:rPr>
          <w:rFonts w:ascii="Arial" w:hAnsi="Arial" w:cs="Arial"/>
          <w:sz w:val="16"/>
          <w:szCs w:val="16"/>
        </w:rPr>
      </w:pPr>
      <w:r w:rsidRPr="005959F9">
        <w:rPr>
          <w:rStyle w:val="FootnoteReference"/>
          <w:rFonts w:ascii="Arial" w:hAnsi="Arial" w:cs="Arial"/>
          <w:sz w:val="16"/>
          <w:szCs w:val="16"/>
        </w:rPr>
        <w:footnoteRef/>
      </w:r>
      <w:r w:rsidRPr="005959F9">
        <w:rPr>
          <w:rFonts w:ascii="Arial" w:hAnsi="Arial" w:cs="Arial"/>
          <w:sz w:val="16"/>
          <w:szCs w:val="16"/>
        </w:rPr>
        <w:t xml:space="preserve"> CRRP Preliminary Findings Consultation paper – Evaluation of options Section </w:t>
      </w:r>
      <w:r w:rsidRPr="005959F9">
        <w:rPr>
          <w:rFonts w:ascii="Arial" w:hAnsi="Arial" w:cs="Arial"/>
          <w:bCs/>
          <w:sz w:val="16"/>
          <w:szCs w:val="16"/>
        </w:rPr>
        <w:t>4.3. Estimating road use behaviour changes</w:t>
      </w:r>
    </w:p>
  </w:footnote>
  <w:footnote w:id="7">
    <w:p w:rsidR="003340FB" w:rsidRPr="005959F9" w:rsidRDefault="003340FB" w:rsidP="00B55023">
      <w:pPr>
        <w:pStyle w:val="Default"/>
        <w:rPr>
          <w:rFonts w:ascii="Arial" w:hAnsi="Arial" w:cs="Arial"/>
          <w:sz w:val="16"/>
          <w:szCs w:val="16"/>
        </w:rPr>
      </w:pPr>
      <w:r w:rsidRPr="005959F9">
        <w:rPr>
          <w:rStyle w:val="FootnoteReference"/>
          <w:rFonts w:ascii="Arial" w:hAnsi="Arial" w:cs="Arial"/>
          <w:sz w:val="16"/>
          <w:szCs w:val="16"/>
        </w:rPr>
        <w:footnoteRef/>
      </w:r>
      <w:r w:rsidRPr="005959F9">
        <w:rPr>
          <w:rFonts w:ascii="Arial" w:hAnsi="Arial" w:cs="Arial"/>
          <w:sz w:val="16"/>
          <w:szCs w:val="16"/>
        </w:rPr>
        <w:t xml:space="preserve"> CRRP Preliminary Findings Consultation paper – Evaluation of options Section </w:t>
      </w:r>
      <w:r w:rsidRPr="005959F9">
        <w:rPr>
          <w:rFonts w:ascii="Arial" w:hAnsi="Arial" w:cs="Arial"/>
          <w:bCs/>
          <w:sz w:val="16"/>
          <w:szCs w:val="16"/>
        </w:rPr>
        <w:t>4.3. Estimating road use behaviour changes</w:t>
      </w:r>
    </w:p>
  </w:footnote>
  <w:footnote w:id="8">
    <w:p w:rsidR="003340FB" w:rsidRPr="005959F9" w:rsidRDefault="003340FB" w:rsidP="00A45F83">
      <w:pPr>
        <w:pStyle w:val="FootnoteText"/>
        <w:rPr>
          <w:rFonts w:ascii="Arial" w:hAnsi="Arial" w:cs="Arial"/>
          <w:sz w:val="16"/>
          <w:szCs w:val="16"/>
        </w:rPr>
      </w:pPr>
      <w:r w:rsidRPr="005959F9">
        <w:rPr>
          <w:rStyle w:val="FootnoteReference"/>
          <w:rFonts w:ascii="Arial" w:hAnsi="Arial" w:cs="Arial"/>
          <w:sz w:val="16"/>
          <w:szCs w:val="16"/>
        </w:rPr>
        <w:footnoteRef/>
      </w:r>
      <w:r w:rsidRPr="005959F9">
        <w:rPr>
          <w:rFonts w:ascii="Arial" w:hAnsi="Arial" w:cs="Arial"/>
          <w:sz w:val="16"/>
          <w:szCs w:val="16"/>
        </w:rPr>
        <w:t xml:space="preserve">The Department of Transport </w:t>
      </w:r>
      <w:r w:rsidRPr="005959F9">
        <w:rPr>
          <w:rFonts w:ascii="Arial" w:hAnsi="Arial" w:cs="Arial"/>
          <w:bCs/>
          <w:sz w:val="16"/>
          <w:szCs w:val="16"/>
          <w:lang w:eastAsia="en-AU"/>
        </w:rPr>
        <w:t xml:space="preserve">The Eddington Transport Study </w:t>
      </w:r>
      <w:r w:rsidRPr="005959F9">
        <w:rPr>
          <w:rFonts w:ascii="Arial" w:hAnsi="Arial" w:cs="Arial"/>
          <w:sz w:val="16"/>
          <w:szCs w:val="16"/>
          <w:lang w:eastAsia="en-AU"/>
        </w:rPr>
        <w:t>December 2006</w:t>
      </w:r>
    </w:p>
  </w:footnote>
  <w:footnote w:id="9">
    <w:p w:rsidR="003340FB" w:rsidRPr="005959F9" w:rsidRDefault="003340FB" w:rsidP="00A45F83">
      <w:pPr>
        <w:pStyle w:val="FootnoteText"/>
        <w:rPr>
          <w:rFonts w:ascii="Arial" w:hAnsi="Arial" w:cs="Arial"/>
          <w:sz w:val="16"/>
          <w:szCs w:val="16"/>
        </w:rPr>
      </w:pPr>
      <w:r w:rsidRPr="005959F9">
        <w:rPr>
          <w:rStyle w:val="FootnoteReference"/>
          <w:rFonts w:ascii="Arial" w:hAnsi="Arial" w:cs="Arial"/>
          <w:sz w:val="16"/>
          <w:szCs w:val="16"/>
        </w:rPr>
        <w:footnoteRef/>
      </w:r>
      <w:r w:rsidRPr="005959F9">
        <w:rPr>
          <w:rFonts w:ascii="Arial" w:hAnsi="Arial" w:cs="Arial"/>
          <w:sz w:val="16"/>
          <w:szCs w:val="16"/>
        </w:rPr>
        <w:t xml:space="preserve"> </w:t>
      </w:r>
      <w:r w:rsidRPr="005959F9">
        <w:rPr>
          <w:rFonts w:ascii="Arial" w:hAnsi="Arial" w:cs="Arial"/>
          <w:iCs/>
          <w:sz w:val="16"/>
          <w:szCs w:val="16"/>
        </w:rPr>
        <w:t xml:space="preserve">p. 195 </w:t>
      </w:r>
      <w:r w:rsidRPr="005959F9">
        <w:rPr>
          <w:rFonts w:ascii="Arial" w:hAnsi="Arial" w:cs="Arial"/>
          <w:sz w:val="16"/>
          <w:szCs w:val="16"/>
        </w:rPr>
        <w:t xml:space="preserve">Bureau of Infrastructure, Transport and Regional Economics 2009, </w:t>
      </w:r>
      <w:r w:rsidRPr="005959F9">
        <w:rPr>
          <w:rFonts w:ascii="Arial" w:hAnsi="Arial" w:cs="Arial"/>
          <w:iCs/>
          <w:sz w:val="16"/>
          <w:szCs w:val="16"/>
        </w:rPr>
        <w:t>National road network intercity traffic projections to 2030</w:t>
      </w:r>
      <w:r w:rsidRPr="005959F9">
        <w:rPr>
          <w:rFonts w:ascii="Arial" w:hAnsi="Arial" w:cs="Arial"/>
          <w:sz w:val="16"/>
          <w:szCs w:val="16"/>
        </w:rPr>
        <w:t>, Working Paper 75, BITRE, Canberra</w:t>
      </w:r>
    </w:p>
  </w:footnote>
  <w:footnote w:id="10">
    <w:p w:rsidR="003340FB" w:rsidRPr="005959F9" w:rsidRDefault="003340FB" w:rsidP="00A45F83">
      <w:pPr>
        <w:pStyle w:val="FootnoteText"/>
        <w:rPr>
          <w:rFonts w:ascii="Arial" w:hAnsi="Arial" w:cs="Arial"/>
          <w:sz w:val="16"/>
          <w:szCs w:val="16"/>
        </w:rPr>
      </w:pPr>
      <w:r w:rsidRPr="005959F9">
        <w:rPr>
          <w:rStyle w:val="FootnoteReference"/>
          <w:rFonts w:ascii="Arial" w:hAnsi="Arial" w:cs="Arial"/>
          <w:sz w:val="16"/>
          <w:szCs w:val="16"/>
        </w:rPr>
        <w:footnoteRef/>
      </w:r>
      <w:r w:rsidRPr="005959F9">
        <w:rPr>
          <w:rFonts w:ascii="Arial" w:hAnsi="Arial" w:cs="Arial"/>
          <w:sz w:val="16"/>
          <w:szCs w:val="16"/>
        </w:rPr>
        <w:t xml:space="preserve"> Page 24 National Transport Commission/Deloitte: Review of Reported Jurisdictional Road Expenditure Data June 2012</w:t>
      </w:r>
    </w:p>
  </w:footnote>
  <w:footnote w:id="11">
    <w:p w:rsidR="003340FB" w:rsidRPr="005959F9" w:rsidRDefault="003340FB" w:rsidP="00A45F83">
      <w:pPr>
        <w:pStyle w:val="FootnoteText"/>
        <w:rPr>
          <w:rFonts w:ascii="Arial" w:hAnsi="Arial" w:cs="Arial"/>
          <w:sz w:val="16"/>
          <w:szCs w:val="16"/>
        </w:rPr>
      </w:pPr>
      <w:r w:rsidRPr="005959F9">
        <w:rPr>
          <w:rStyle w:val="FootnoteReference"/>
          <w:rFonts w:ascii="Arial" w:hAnsi="Arial" w:cs="Arial"/>
          <w:sz w:val="16"/>
          <w:szCs w:val="16"/>
        </w:rPr>
        <w:footnoteRef/>
      </w:r>
      <w:r w:rsidRPr="005959F9">
        <w:rPr>
          <w:rFonts w:ascii="Arial" w:hAnsi="Arial" w:cs="Arial"/>
          <w:sz w:val="16"/>
          <w:szCs w:val="16"/>
        </w:rPr>
        <w:t xml:space="preserve"> Page 26 National Transport Commission/Deloitte: Review of Reported Jurisdictional Road Expenditure Data June 2012</w:t>
      </w:r>
    </w:p>
  </w:footnote>
  <w:footnote w:id="12">
    <w:p w:rsidR="003340FB" w:rsidRPr="005959F9" w:rsidRDefault="003340FB" w:rsidP="00A45F83">
      <w:pPr>
        <w:pStyle w:val="FootnoteText"/>
        <w:rPr>
          <w:rFonts w:ascii="Arial" w:hAnsi="Arial" w:cs="Arial"/>
          <w:sz w:val="16"/>
          <w:szCs w:val="16"/>
        </w:rPr>
      </w:pPr>
      <w:r w:rsidRPr="005959F9">
        <w:rPr>
          <w:rStyle w:val="FootnoteReference"/>
          <w:rFonts w:ascii="Arial" w:hAnsi="Arial" w:cs="Arial"/>
          <w:sz w:val="16"/>
          <w:szCs w:val="16"/>
        </w:rPr>
        <w:footnoteRef/>
      </w:r>
      <w:r w:rsidRPr="005959F9">
        <w:rPr>
          <w:rFonts w:ascii="Arial" w:hAnsi="Arial" w:cs="Arial"/>
          <w:sz w:val="16"/>
          <w:szCs w:val="16"/>
        </w:rPr>
        <w:t xml:space="preserve"> Page 23 National Transport Commission/Deloitte: Review of Reported Jurisdictional Road Expenditure Data June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FB" w:rsidRPr="00E8056B" w:rsidRDefault="003340FB"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3340FB" w:rsidRDefault="003340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FB" w:rsidRDefault="005C4EBF">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17808" o:spid="_x0000_s2050" type="#_x0000_t136" style="position:absolute;margin-left:0;margin-top:0;width:318.15pt;height:318.15pt;rotation:315;z-index:-251658240;mso-position-horizontal:center;mso-position-horizontal-relative:margin;mso-position-vertical:center;mso-position-vertical-relative:margin" o:allowincell="f" fillcolor="silver" stroked="f">
          <v:fill opacity=".5"/>
          <v:textpath style="font-family:&quot;Calibri&quot;;font-size:1pt" string="AT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FB" w:rsidRPr="00E10948" w:rsidRDefault="003340FB" w:rsidP="00986804">
    <w:pPr>
      <w:jc w:val="right"/>
      <w:rPr>
        <w:rFonts w:ascii="Arial" w:hAnsi="Arial" w:cs="Arial"/>
        <w:color w:val="000064"/>
        <w:sz w:val="18"/>
        <w:szCs w:val="18"/>
      </w:rPr>
    </w:pPr>
    <w:r w:rsidRPr="00E10948">
      <w:rPr>
        <w:rFonts w:ascii="Arial" w:hAnsi="Arial" w:cs="Arial"/>
        <w:color w:val="000064"/>
        <w:sz w:val="18"/>
        <w:szCs w:val="18"/>
      </w:rPr>
      <w:t>A</w:t>
    </w:r>
    <w:r w:rsidRPr="00E10948">
      <w:rPr>
        <w:rFonts w:ascii="Arial" w:hAnsi="Arial" w:cs="Arial"/>
        <w:color w:val="FF0000"/>
        <w:sz w:val="18"/>
        <w:szCs w:val="18"/>
      </w:rPr>
      <w:t>T</w:t>
    </w:r>
    <w:r w:rsidRPr="00E10948">
      <w:rPr>
        <w:rFonts w:ascii="Arial" w:hAnsi="Arial" w:cs="Arial"/>
        <w:color w:val="000064"/>
        <w:sz w:val="18"/>
        <w:szCs w:val="18"/>
      </w:rPr>
      <w:t xml:space="preserve">A NEW SOUTH WALES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FB" w:rsidRDefault="005C4EBF">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17807" o:spid="_x0000_s2049" type="#_x0000_t136" style="position:absolute;margin-left:0;margin-top:0;width:318.15pt;height:318.15pt;rotation:315;z-index:-251659264;mso-position-horizontal:center;mso-position-horizontal-relative:margin;mso-position-vertical:center;mso-position-vertical-relative:margin" o:allowincell="f" fillcolor="silver" stroked="f">
          <v:fill opacity=".5"/>
          <v:textpath style="font-family:&quot;Calibri&quot;;font-size:1pt" string="AT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91845"/>
    <w:multiLevelType w:val="hybridMultilevel"/>
    <w:tmpl w:val="52807F96"/>
    <w:lvl w:ilvl="0" w:tplc="0C09000F">
      <w:start w:val="1"/>
      <w:numFmt w:val="decimal"/>
      <w:lvlText w:val="%1."/>
      <w:lvlJc w:val="left"/>
      <w:pPr>
        <w:ind w:left="720" w:hanging="360"/>
      </w:pPr>
    </w:lvl>
    <w:lvl w:ilvl="1" w:tplc="1DE8D1E8">
      <w:numFmt w:val="bullet"/>
      <w:lvlText w:val="•"/>
      <w:lvlJc w:val="left"/>
      <w:pPr>
        <w:ind w:left="1440" w:hanging="360"/>
      </w:pPr>
      <w:rPr>
        <w:rFonts w:ascii="Calibri" w:eastAsiaTheme="minorHAns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1925A81"/>
    <w:multiLevelType w:val="hybridMultilevel"/>
    <w:tmpl w:val="A5A661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37155F75"/>
    <w:multiLevelType w:val="hybridMultilevel"/>
    <w:tmpl w:val="A1C4642E"/>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3">
    <w:nsid w:val="3D1A4518"/>
    <w:multiLevelType w:val="hybridMultilevel"/>
    <w:tmpl w:val="CE1EE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DA35423"/>
    <w:multiLevelType w:val="hybridMultilevel"/>
    <w:tmpl w:val="8968C0E4"/>
    <w:lvl w:ilvl="0" w:tplc="815878FA">
      <w:start w:val="1"/>
      <w:numFmt w:val="decimal"/>
      <w:pStyle w:val="RecommendationStyle"/>
      <w:lvlText w:val="Recommendation %1"/>
      <w:lvlJc w:val="left"/>
      <w:pPr>
        <w:tabs>
          <w:tab w:val="num" w:pos="1192"/>
        </w:tabs>
      </w:pPr>
      <w:rPr>
        <w:rFonts w:ascii="Arial" w:hAnsi="Arial" w:cs="Times New Roman" w:hint="default"/>
        <w:b/>
        <w:i/>
        <w:caps w:val="0"/>
        <w:strike w:val="0"/>
        <w:dstrike w:val="0"/>
        <w:outline w:val="0"/>
        <w:shadow w:val="0"/>
        <w:emboss w:val="0"/>
        <w:imprint w:val="0"/>
        <w:vanish w:val="0"/>
        <w:sz w:val="20"/>
        <w:vertAlign w:val="base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nsid w:val="5D554ED9"/>
    <w:multiLevelType w:val="multilevel"/>
    <w:tmpl w:val="652E1C90"/>
    <w:lvl w:ilvl="0">
      <w:start w:val="1"/>
      <w:numFmt w:val="decimal"/>
      <w:pStyle w:val="Heading1"/>
      <w:lvlText w:val="%1."/>
      <w:lvlJc w:val="left"/>
      <w:pPr>
        <w:ind w:left="360" w:hanging="360"/>
      </w:pPr>
      <w:rPr>
        <w:rFonts w:cs="Times New Roman" w:hint="default"/>
      </w:rPr>
    </w:lvl>
    <w:lvl w:ilvl="1">
      <w:start w:val="1"/>
      <w:numFmt w:val="decimal"/>
      <w:pStyle w:val="ATAHeading2"/>
      <w:lvlText w:val="%1.%2."/>
      <w:lvlJc w:val="left"/>
      <w:pPr>
        <w:ind w:left="792"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6D1D35C5"/>
    <w:multiLevelType w:val="multilevel"/>
    <w:tmpl w:val="0764F028"/>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4"/>
  </w:num>
  <w:num w:numId="3">
    <w:abstractNumId w:val="2"/>
  </w:num>
  <w:num w:numId="4">
    <w:abstractNumId w:val="4"/>
  </w:num>
  <w:num w:numId="5">
    <w:abstractNumId w:val="5"/>
  </w:num>
  <w:num w:numId="6">
    <w:abstractNumId w:val="5"/>
  </w:num>
  <w:num w:numId="7">
    <w:abstractNumId w:val="5"/>
  </w:num>
  <w:num w:numId="8">
    <w:abstractNumId w:val="5"/>
  </w:num>
  <w:num w:numId="9">
    <w:abstractNumId w:val="4"/>
  </w:num>
  <w:num w:numId="10">
    <w:abstractNumId w:val="4"/>
  </w:num>
  <w:num w:numId="11">
    <w:abstractNumId w:val="5"/>
  </w:num>
  <w:num w:numId="12">
    <w:abstractNumId w:val="5"/>
  </w:num>
  <w:num w:numId="13">
    <w:abstractNumId w:val="6"/>
  </w:num>
  <w:num w:numId="14">
    <w:abstractNumId w:val="4"/>
  </w:num>
  <w:num w:numId="15">
    <w:abstractNumId w:val="0"/>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5"/>
  </w:num>
  <w:num w:numId="24">
    <w:abstractNumId w:val="4"/>
  </w:num>
  <w:num w:numId="25">
    <w:abstractNumId w:val="3"/>
  </w:num>
  <w:num w:numId="26">
    <w:abstractNumId w:val="1"/>
  </w:num>
  <w:num w:numId="27">
    <w:abstractNumId w:val="5"/>
  </w:num>
  <w:num w:numId="28">
    <w:abstractNumId w:val="5"/>
  </w:num>
  <w:num w:numId="29">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1627A"/>
    <w:rsid w:val="0000159D"/>
    <w:rsid w:val="00004DB4"/>
    <w:rsid w:val="00005E0D"/>
    <w:rsid w:val="000118F7"/>
    <w:rsid w:val="00011D52"/>
    <w:rsid w:val="000156D1"/>
    <w:rsid w:val="00023B28"/>
    <w:rsid w:val="00035CFC"/>
    <w:rsid w:val="0004076B"/>
    <w:rsid w:val="00040876"/>
    <w:rsid w:val="00040D26"/>
    <w:rsid w:val="0004192B"/>
    <w:rsid w:val="00043AF0"/>
    <w:rsid w:val="00044533"/>
    <w:rsid w:val="00046042"/>
    <w:rsid w:val="00050881"/>
    <w:rsid w:val="00052E9C"/>
    <w:rsid w:val="0006283B"/>
    <w:rsid w:val="0007542B"/>
    <w:rsid w:val="00075E7B"/>
    <w:rsid w:val="00076C90"/>
    <w:rsid w:val="00083C15"/>
    <w:rsid w:val="000848A1"/>
    <w:rsid w:val="000868C6"/>
    <w:rsid w:val="000875E7"/>
    <w:rsid w:val="00095C3B"/>
    <w:rsid w:val="000963BE"/>
    <w:rsid w:val="000A151F"/>
    <w:rsid w:val="000A2BCF"/>
    <w:rsid w:val="000A3F4E"/>
    <w:rsid w:val="000A4EB0"/>
    <w:rsid w:val="000A62F7"/>
    <w:rsid w:val="000B069A"/>
    <w:rsid w:val="000B351D"/>
    <w:rsid w:val="000B4161"/>
    <w:rsid w:val="000B4942"/>
    <w:rsid w:val="000B6D2A"/>
    <w:rsid w:val="000B773A"/>
    <w:rsid w:val="000C01AC"/>
    <w:rsid w:val="000C0C35"/>
    <w:rsid w:val="000C15B7"/>
    <w:rsid w:val="000C310A"/>
    <w:rsid w:val="000C594D"/>
    <w:rsid w:val="000D0FE5"/>
    <w:rsid w:val="000D274C"/>
    <w:rsid w:val="000D528B"/>
    <w:rsid w:val="000D6381"/>
    <w:rsid w:val="000E408F"/>
    <w:rsid w:val="000E67CA"/>
    <w:rsid w:val="000E7B14"/>
    <w:rsid w:val="000F080E"/>
    <w:rsid w:val="000F0F7B"/>
    <w:rsid w:val="000F30FF"/>
    <w:rsid w:val="000F3D9F"/>
    <w:rsid w:val="000F53C2"/>
    <w:rsid w:val="000F566E"/>
    <w:rsid w:val="000F7F6F"/>
    <w:rsid w:val="00100ED4"/>
    <w:rsid w:val="001019C0"/>
    <w:rsid w:val="001025C9"/>
    <w:rsid w:val="00110610"/>
    <w:rsid w:val="001202C1"/>
    <w:rsid w:val="00121A53"/>
    <w:rsid w:val="00121A86"/>
    <w:rsid w:val="00125795"/>
    <w:rsid w:val="0013041A"/>
    <w:rsid w:val="001352E6"/>
    <w:rsid w:val="001368EB"/>
    <w:rsid w:val="0013765E"/>
    <w:rsid w:val="00141274"/>
    <w:rsid w:val="0014437E"/>
    <w:rsid w:val="00145022"/>
    <w:rsid w:val="001463C2"/>
    <w:rsid w:val="0014683D"/>
    <w:rsid w:val="00150065"/>
    <w:rsid w:val="00151950"/>
    <w:rsid w:val="00151F88"/>
    <w:rsid w:val="00152A71"/>
    <w:rsid w:val="001533EC"/>
    <w:rsid w:val="00160FE3"/>
    <w:rsid w:val="001611AB"/>
    <w:rsid w:val="00164A4D"/>
    <w:rsid w:val="00170107"/>
    <w:rsid w:val="00170FC2"/>
    <w:rsid w:val="001811B8"/>
    <w:rsid w:val="0018136A"/>
    <w:rsid w:val="001817F5"/>
    <w:rsid w:val="00184A28"/>
    <w:rsid w:val="001943BE"/>
    <w:rsid w:val="0019542E"/>
    <w:rsid w:val="001A024F"/>
    <w:rsid w:val="001A0DC3"/>
    <w:rsid w:val="001A5FE2"/>
    <w:rsid w:val="001A6510"/>
    <w:rsid w:val="001A7BF4"/>
    <w:rsid w:val="001B3E52"/>
    <w:rsid w:val="001B46F6"/>
    <w:rsid w:val="001B5564"/>
    <w:rsid w:val="001C121B"/>
    <w:rsid w:val="001C125D"/>
    <w:rsid w:val="001C13A5"/>
    <w:rsid w:val="001C3659"/>
    <w:rsid w:val="001D038B"/>
    <w:rsid w:val="001D1836"/>
    <w:rsid w:val="001D50C7"/>
    <w:rsid w:val="001D77A8"/>
    <w:rsid w:val="001D7817"/>
    <w:rsid w:val="001E0A75"/>
    <w:rsid w:val="001E1665"/>
    <w:rsid w:val="001E232E"/>
    <w:rsid w:val="001E3126"/>
    <w:rsid w:val="001F187C"/>
    <w:rsid w:val="001F2FD4"/>
    <w:rsid w:val="001F32AB"/>
    <w:rsid w:val="001F5A9B"/>
    <w:rsid w:val="001F5CDF"/>
    <w:rsid w:val="002041FF"/>
    <w:rsid w:val="0020791B"/>
    <w:rsid w:val="0021180A"/>
    <w:rsid w:val="00212936"/>
    <w:rsid w:val="00213C59"/>
    <w:rsid w:val="002158C8"/>
    <w:rsid w:val="00216CE6"/>
    <w:rsid w:val="00225056"/>
    <w:rsid w:val="00230DFC"/>
    <w:rsid w:val="002317DA"/>
    <w:rsid w:val="002327F8"/>
    <w:rsid w:val="00240467"/>
    <w:rsid w:val="00241C15"/>
    <w:rsid w:val="00243126"/>
    <w:rsid w:val="002502EF"/>
    <w:rsid w:val="00250E06"/>
    <w:rsid w:val="00252BD7"/>
    <w:rsid w:val="0025356A"/>
    <w:rsid w:val="00253E0B"/>
    <w:rsid w:val="002543DF"/>
    <w:rsid w:val="00262C0A"/>
    <w:rsid w:val="0026620C"/>
    <w:rsid w:val="00266915"/>
    <w:rsid w:val="00267830"/>
    <w:rsid w:val="002819AA"/>
    <w:rsid w:val="00294E3C"/>
    <w:rsid w:val="00296633"/>
    <w:rsid w:val="002A010F"/>
    <w:rsid w:val="002A237B"/>
    <w:rsid w:val="002A43F0"/>
    <w:rsid w:val="002A4859"/>
    <w:rsid w:val="002B1F61"/>
    <w:rsid w:val="002B2136"/>
    <w:rsid w:val="002B381D"/>
    <w:rsid w:val="002B3AEF"/>
    <w:rsid w:val="002B618E"/>
    <w:rsid w:val="002B6CC2"/>
    <w:rsid w:val="002C1799"/>
    <w:rsid w:val="002C7D3E"/>
    <w:rsid w:val="002C7FF6"/>
    <w:rsid w:val="002D592D"/>
    <w:rsid w:val="002D5D45"/>
    <w:rsid w:val="002D7FDB"/>
    <w:rsid w:val="002E453E"/>
    <w:rsid w:val="002E4E20"/>
    <w:rsid w:val="002E5D82"/>
    <w:rsid w:val="002E782F"/>
    <w:rsid w:val="002E7897"/>
    <w:rsid w:val="002E7F28"/>
    <w:rsid w:val="002F0EBE"/>
    <w:rsid w:val="002F2F65"/>
    <w:rsid w:val="002F42BE"/>
    <w:rsid w:val="002F6212"/>
    <w:rsid w:val="002F632C"/>
    <w:rsid w:val="00306FBF"/>
    <w:rsid w:val="00307AF8"/>
    <w:rsid w:val="0031301A"/>
    <w:rsid w:val="00320AFE"/>
    <w:rsid w:val="00320F07"/>
    <w:rsid w:val="00321A43"/>
    <w:rsid w:val="0032308F"/>
    <w:rsid w:val="00325A6C"/>
    <w:rsid w:val="003340FB"/>
    <w:rsid w:val="00334926"/>
    <w:rsid w:val="00336760"/>
    <w:rsid w:val="00341FEC"/>
    <w:rsid w:val="00342826"/>
    <w:rsid w:val="0034321B"/>
    <w:rsid w:val="00352490"/>
    <w:rsid w:val="003533CA"/>
    <w:rsid w:val="00354394"/>
    <w:rsid w:val="0035493A"/>
    <w:rsid w:val="00360759"/>
    <w:rsid w:val="00372153"/>
    <w:rsid w:val="00374216"/>
    <w:rsid w:val="00384772"/>
    <w:rsid w:val="0039063B"/>
    <w:rsid w:val="003911E4"/>
    <w:rsid w:val="003958D9"/>
    <w:rsid w:val="003B0E35"/>
    <w:rsid w:val="003B1937"/>
    <w:rsid w:val="003B6150"/>
    <w:rsid w:val="003B74E4"/>
    <w:rsid w:val="003C0A77"/>
    <w:rsid w:val="003C2311"/>
    <w:rsid w:val="003D6FA8"/>
    <w:rsid w:val="003E022B"/>
    <w:rsid w:val="003E269D"/>
    <w:rsid w:val="003E2B20"/>
    <w:rsid w:val="003F1027"/>
    <w:rsid w:val="003F6CA9"/>
    <w:rsid w:val="004008C7"/>
    <w:rsid w:val="00403823"/>
    <w:rsid w:val="00403AB5"/>
    <w:rsid w:val="00404731"/>
    <w:rsid w:val="004053D4"/>
    <w:rsid w:val="004115B6"/>
    <w:rsid w:val="00413868"/>
    <w:rsid w:val="00413F6B"/>
    <w:rsid w:val="00415126"/>
    <w:rsid w:val="004164B0"/>
    <w:rsid w:val="00417A6F"/>
    <w:rsid w:val="004205EF"/>
    <w:rsid w:val="00421306"/>
    <w:rsid w:val="00422BB7"/>
    <w:rsid w:val="00423CCC"/>
    <w:rsid w:val="00424D3E"/>
    <w:rsid w:val="0042557B"/>
    <w:rsid w:val="004318DC"/>
    <w:rsid w:val="004353C2"/>
    <w:rsid w:val="00440231"/>
    <w:rsid w:val="00440F44"/>
    <w:rsid w:val="004456CC"/>
    <w:rsid w:val="00445CDC"/>
    <w:rsid w:val="00450702"/>
    <w:rsid w:val="00450FF8"/>
    <w:rsid w:val="004533ED"/>
    <w:rsid w:val="00456D91"/>
    <w:rsid w:val="00461C8E"/>
    <w:rsid w:val="004640D1"/>
    <w:rsid w:val="0047036B"/>
    <w:rsid w:val="00470721"/>
    <w:rsid w:val="00472115"/>
    <w:rsid w:val="00475C39"/>
    <w:rsid w:val="004803E5"/>
    <w:rsid w:val="00482A22"/>
    <w:rsid w:val="00484068"/>
    <w:rsid w:val="00487F0F"/>
    <w:rsid w:val="0049414B"/>
    <w:rsid w:val="004977DE"/>
    <w:rsid w:val="004A2F6F"/>
    <w:rsid w:val="004B26EB"/>
    <w:rsid w:val="004B6187"/>
    <w:rsid w:val="004B7FFA"/>
    <w:rsid w:val="004C0182"/>
    <w:rsid w:val="004C21BB"/>
    <w:rsid w:val="004C2EB3"/>
    <w:rsid w:val="004C3CC3"/>
    <w:rsid w:val="004C4418"/>
    <w:rsid w:val="004D43D2"/>
    <w:rsid w:val="004D652E"/>
    <w:rsid w:val="004E0CAD"/>
    <w:rsid w:val="004E1EBB"/>
    <w:rsid w:val="004E3959"/>
    <w:rsid w:val="004E5EA3"/>
    <w:rsid w:val="004F0DFD"/>
    <w:rsid w:val="004F112A"/>
    <w:rsid w:val="004F1B89"/>
    <w:rsid w:val="004F3B07"/>
    <w:rsid w:val="004F42DC"/>
    <w:rsid w:val="00510952"/>
    <w:rsid w:val="005223FD"/>
    <w:rsid w:val="00525303"/>
    <w:rsid w:val="00527304"/>
    <w:rsid w:val="0053137B"/>
    <w:rsid w:val="00532BFB"/>
    <w:rsid w:val="005365E0"/>
    <w:rsid w:val="00542479"/>
    <w:rsid w:val="00544362"/>
    <w:rsid w:val="00550256"/>
    <w:rsid w:val="00557D15"/>
    <w:rsid w:val="00560034"/>
    <w:rsid w:val="0056179B"/>
    <w:rsid w:val="00565F92"/>
    <w:rsid w:val="00571E75"/>
    <w:rsid w:val="00573408"/>
    <w:rsid w:val="00576ED0"/>
    <w:rsid w:val="00576F0D"/>
    <w:rsid w:val="00580BDF"/>
    <w:rsid w:val="00583EC7"/>
    <w:rsid w:val="00586C72"/>
    <w:rsid w:val="00587C8F"/>
    <w:rsid w:val="00593217"/>
    <w:rsid w:val="005959F9"/>
    <w:rsid w:val="005A0D15"/>
    <w:rsid w:val="005A18D7"/>
    <w:rsid w:val="005A2A86"/>
    <w:rsid w:val="005A4466"/>
    <w:rsid w:val="005A6891"/>
    <w:rsid w:val="005B3729"/>
    <w:rsid w:val="005B5ADE"/>
    <w:rsid w:val="005C154E"/>
    <w:rsid w:val="005C31A0"/>
    <w:rsid w:val="005C35BE"/>
    <w:rsid w:val="005C4952"/>
    <w:rsid w:val="005C4EBF"/>
    <w:rsid w:val="005C63F7"/>
    <w:rsid w:val="005C74C9"/>
    <w:rsid w:val="005D2355"/>
    <w:rsid w:val="005D2565"/>
    <w:rsid w:val="005D6CD2"/>
    <w:rsid w:val="005D6E23"/>
    <w:rsid w:val="005E11FC"/>
    <w:rsid w:val="005E16F9"/>
    <w:rsid w:val="005E28FB"/>
    <w:rsid w:val="005E5130"/>
    <w:rsid w:val="005E6294"/>
    <w:rsid w:val="005E6D8B"/>
    <w:rsid w:val="005F1009"/>
    <w:rsid w:val="005F1298"/>
    <w:rsid w:val="005F21D1"/>
    <w:rsid w:val="005F5ACC"/>
    <w:rsid w:val="005F6288"/>
    <w:rsid w:val="005F69CC"/>
    <w:rsid w:val="005F76B2"/>
    <w:rsid w:val="00605DDD"/>
    <w:rsid w:val="00605E06"/>
    <w:rsid w:val="00607663"/>
    <w:rsid w:val="006104D6"/>
    <w:rsid w:val="006109E9"/>
    <w:rsid w:val="00610CFE"/>
    <w:rsid w:val="00617B32"/>
    <w:rsid w:val="006231E7"/>
    <w:rsid w:val="0062389F"/>
    <w:rsid w:val="006244DA"/>
    <w:rsid w:val="00634850"/>
    <w:rsid w:val="00635D66"/>
    <w:rsid w:val="00640940"/>
    <w:rsid w:val="00640AF8"/>
    <w:rsid w:val="00640DAD"/>
    <w:rsid w:val="0064190A"/>
    <w:rsid w:val="00662536"/>
    <w:rsid w:val="00670210"/>
    <w:rsid w:val="006724CC"/>
    <w:rsid w:val="00674463"/>
    <w:rsid w:val="00683D7C"/>
    <w:rsid w:val="006859F7"/>
    <w:rsid w:val="0069019B"/>
    <w:rsid w:val="00693363"/>
    <w:rsid w:val="00693D92"/>
    <w:rsid w:val="00696A94"/>
    <w:rsid w:val="006A41AF"/>
    <w:rsid w:val="006A797E"/>
    <w:rsid w:val="006B4380"/>
    <w:rsid w:val="006B7D84"/>
    <w:rsid w:val="006C38AD"/>
    <w:rsid w:val="006C6B74"/>
    <w:rsid w:val="006D09EF"/>
    <w:rsid w:val="006D4B39"/>
    <w:rsid w:val="006D4D41"/>
    <w:rsid w:val="006F050F"/>
    <w:rsid w:val="006F2940"/>
    <w:rsid w:val="006F3537"/>
    <w:rsid w:val="006F513F"/>
    <w:rsid w:val="00703EBF"/>
    <w:rsid w:val="007055B2"/>
    <w:rsid w:val="007162A5"/>
    <w:rsid w:val="0071762D"/>
    <w:rsid w:val="00725BC0"/>
    <w:rsid w:val="00726797"/>
    <w:rsid w:val="00726CB4"/>
    <w:rsid w:val="00733700"/>
    <w:rsid w:val="00740005"/>
    <w:rsid w:val="00740DF8"/>
    <w:rsid w:val="00753381"/>
    <w:rsid w:val="0075427A"/>
    <w:rsid w:val="0076304F"/>
    <w:rsid w:val="00784B86"/>
    <w:rsid w:val="00791216"/>
    <w:rsid w:val="00792CEB"/>
    <w:rsid w:val="00797654"/>
    <w:rsid w:val="007A3E56"/>
    <w:rsid w:val="007A5771"/>
    <w:rsid w:val="007A69C1"/>
    <w:rsid w:val="007B2559"/>
    <w:rsid w:val="007B3B54"/>
    <w:rsid w:val="007B3BE2"/>
    <w:rsid w:val="007B6A76"/>
    <w:rsid w:val="007B711A"/>
    <w:rsid w:val="007C3F49"/>
    <w:rsid w:val="007C434F"/>
    <w:rsid w:val="007C5B64"/>
    <w:rsid w:val="007C65D4"/>
    <w:rsid w:val="007D0E21"/>
    <w:rsid w:val="007D608A"/>
    <w:rsid w:val="007D7069"/>
    <w:rsid w:val="007E257F"/>
    <w:rsid w:val="007E68E9"/>
    <w:rsid w:val="007F4404"/>
    <w:rsid w:val="007F44BE"/>
    <w:rsid w:val="007F4C48"/>
    <w:rsid w:val="00802108"/>
    <w:rsid w:val="00802A51"/>
    <w:rsid w:val="00802CA7"/>
    <w:rsid w:val="00806EFF"/>
    <w:rsid w:val="00821537"/>
    <w:rsid w:val="00825C08"/>
    <w:rsid w:val="0083058C"/>
    <w:rsid w:val="008344FF"/>
    <w:rsid w:val="00834ACA"/>
    <w:rsid w:val="00835DE7"/>
    <w:rsid w:val="00836304"/>
    <w:rsid w:val="0083631A"/>
    <w:rsid w:val="00840E08"/>
    <w:rsid w:val="0084540A"/>
    <w:rsid w:val="00846097"/>
    <w:rsid w:val="00852A83"/>
    <w:rsid w:val="00852CAE"/>
    <w:rsid w:val="00853473"/>
    <w:rsid w:val="00853E1F"/>
    <w:rsid w:val="00854D3E"/>
    <w:rsid w:val="00861D20"/>
    <w:rsid w:val="00865F30"/>
    <w:rsid w:val="00872E19"/>
    <w:rsid w:val="00874AAE"/>
    <w:rsid w:val="00875BF1"/>
    <w:rsid w:val="00875E89"/>
    <w:rsid w:val="00877FD8"/>
    <w:rsid w:val="00881A97"/>
    <w:rsid w:val="00884504"/>
    <w:rsid w:val="00885F8A"/>
    <w:rsid w:val="00890346"/>
    <w:rsid w:val="00891979"/>
    <w:rsid w:val="008A2027"/>
    <w:rsid w:val="008A5088"/>
    <w:rsid w:val="008A61F2"/>
    <w:rsid w:val="008B0EEF"/>
    <w:rsid w:val="008B4B63"/>
    <w:rsid w:val="008B72CA"/>
    <w:rsid w:val="008B7312"/>
    <w:rsid w:val="008B7F9F"/>
    <w:rsid w:val="008C1818"/>
    <w:rsid w:val="008C3057"/>
    <w:rsid w:val="008C38B7"/>
    <w:rsid w:val="008D5426"/>
    <w:rsid w:val="008E1721"/>
    <w:rsid w:val="008E3865"/>
    <w:rsid w:val="008E3CD2"/>
    <w:rsid w:val="008E55FF"/>
    <w:rsid w:val="008F11A3"/>
    <w:rsid w:val="008F3744"/>
    <w:rsid w:val="0090183B"/>
    <w:rsid w:val="00905A43"/>
    <w:rsid w:val="00907060"/>
    <w:rsid w:val="00907274"/>
    <w:rsid w:val="00907971"/>
    <w:rsid w:val="00910C5A"/>
    <w:rsid w:val="009132E3"/>
    <w:rsid w:val="009148AC"/>
    <w:rsid w:val="00914C1D"/>
    <w:rsid w:val="009333F1"/>
    <w:rsid w:val="0093720E"/>
    <w:rsid w:val="00940D05"/>
    <w:rsid w:val="00943829"/>
    <w:rsid w:val="009441ED"/>
    <w:rsid w:val="00945910"/>
    <w:rsid w:val="0094622B"/>
    <w:rsid w:val="00946E17"/>
    <w:rsid w:val="00955AD3"/>
    <w:rsid w:val="00960FE0"/>
    <w:rsid w:val="00964194"/>
    <w:rsid w:val="00964D25"/>
    <w:rsid w:val="00966A2E"/>
    <w:rsid w:val="00966E35"/>
    <w:rsid w:val="00973AF4"/>
    <w:rsid w:val="0098465E"/>
    <w:rsid w:val="00986804"/>
    <w:rsid w:val="00990F9E"/>
    <w:rsid w:val="00993BAE"/>
    <w:rsid w:val="0099546D"/>
    <w:rsid w:val="009960F9"/>
    <w:rsid w:val="0099770C"/>
    <w:rsid w:val="009A3853"/>
    <w:rsid w:val="009B029F"/>
    <w:rsid w:val="009B0520"/>
    <w:rsid w:val="009B19FF"/>
    <w:rsid w:val="009B4220"/>
    <w:rsid w:val="009B785D"/>
    <w:rsid w:val="009C4CAC"/>
    <w:rsid w:val="009C5B87"/>
    <w:rsid w:val="009D07EF"/>
    <w:rsid w:val="009D23E9"/>
    <w:rsid w:val="009D2BC0"/>
    <w:rsid w:val="009D2F28"/>
    <w:rsid w:val="009D327F"/>
    <w:rsid w:val="009D3731"/>
    <w:rsid w:val="009D56D7"/>
    <w:rsid w:val="009D7F5D"/>
    <w:rsid w:val="009E5E25"/>
    <w:rsid w:val="009E77F2"/>
    <w:rsid w:val="009F2FF9"/>
    <w:rsid w:val="009F3DF5"/>
    <w:rsid w:val="00A0156A"/>
    <w:rsid w:val="00A02972"/>
    <w:rsid w:val="00A0493F"/>
    <w:rsid w:val="00A05C28"/>
    <w:rsid w:val="00A06C96"/>
    <w:rsid w:val="00A072AE"/>
    <w:rsid w:val="00A10889"/>
    <w:rsid w:val="00A109D4"/>
    <w:rsid w:val="00A12D70"/>
    <w:rsid w:val="00A1430A"/>
    <w:rsid w:val="00A2215A"/>
    <w:rsid w:val="00A25AFB"/>
    <w:rsid w:val="00A300E2"/>
    <w:rsid w:val="00A31C8A"/>
    <w:rsid w:val="00A36B6F"/>
    <w:rsid w:val="00A36C35"/>
    <w:rsid w:val="00A37A93"/>
    <w:rsid w:val="00A438B7"/>
    <w:rsid w:val="00A44995"/>
    <w:rsid w:val="00A44D65"/>
    <w:rsid w:val="00A45F83"/>
    <w:rsid w:val="00A54248"/>
    <w:rsid w:val="00A57D2F"/>
    <w:rsid w:val="00A61231"/>
    <w:rsid w:val="00A6297F"/>
    <w:rsid w:val="00A65515"/>
    <w:rsid w:val="00A71876"/>
    <w:rsid w:val="00A76D9B"/>
    <w:rsid w:val="00A832A0"/>
    <w:rsid w:val="00A87317"/>
    <w:rsid w:val="00A91411"/>
    <w:rsid w:val="00A94647"/>
    <w:rsid w:val="00AA0612"/>
    <w:rsid w:val="00AA2D57"/>
    <w:rsid w:val="00AA3F14"/>
    <w:rsid w:val="00AB29C7"/>
    <w:rsid w:val="00AB538B"/>
    <w:rsid w:val="00AB6D11"/>
    <w:rsid w:val="00AC2FD9"/>
    <w:rsid w:val="00AC72F0"/>
    <w:rsid w:val="00AD0E7C"/>
    <w:rsid w:val="00AD29E4"/>
    <w:rsid w:val="00AD3A50"/>
    <w:rsid w:val="00AD51CE"/>
    <w:rsid w:val="00AD7650"/>
    <w:rsid w:val="00AE51CF"/>
    <w:rsid w:val="00AE565F"/>
    <w:rsid w:val="00AE7959"/>
    <w:rsid w:val="00AF76B9"/>
    <w:rsid w:val="00B01724"/>
    <w:rsid w:val="00B04623"/>
    <w:rsid w:val="00B05F83"/>
    <w:rsid w:val="00B07BC7"/>
    <w:rsid w:val="00B11307"/>
    <w:rsid w:val="00B13B6B"/>
    <w:rsid w:val="00B15CA5"/>
    <w:rsid w:val="00B31461"/>
    <w:rsid w:val="00B31649"/>
    <w:rsid w:val="00B43E2A"/>
    <w:rsid w:val="00B50C38"/>
    <w:rsid w:val="00B53589"/>
    <w:rsid w:val="00B55023"/>
    <w:rsid w:val="00B55488"/>
    <w:rsid w:val="00B556AC"/>
    <w:rsid w:val="00B56443"/>
    <w:rsid w:val="00B615F9"/>
    <w:rsid w:val="00B63232"/>
    <w:rsid w:val="00B632B4"/>
    <w:rsid w:val="00B636DC"/>
    <w:rsid w:val="00B64B1F"/>
    <w:rsid w:val="00B668E7"/>
    <w:rsid w:val="00B73CD8"/>
    <w:rsid w:val="00B751A7"/>
    <w:rsid w:val="00B75AB6"/>
    <w:rsid w:val="00B867DD"/>
    <w:rsid w:val="00B90EA0"/>
    <w:rsid w:val="00B914D3"/>
    <w:rsid w:val="00B96747"/>
    <w:rsid w:val="00BA0CE8"/>
    <w:rsid w:val="00BA19BE"/>
    <w:rsid w:val="00BC0B49"/>
    <w:rsid w:val="00BC63F3"/>
    <w:rsid w:val="00BE46AC"/>
    <w:rsid w:val="00BE639D"/>
    <w:rsid w:val="00BF44C4"/>
    <w:rsid w:val="00BF5C66"/>
    <w:rsid w:val="00BF6BE2"/>
    <w:rsid w:val="00C02F16"/>
    <w:rsid w:val="00C04619"/>
    <w:rsid w:val="00C05E5B"/>
    <w:rsid w:val="00C061E3"/>
    <w:rsid w:val="00C119C2"/>
    <w:rsid w:val="00C122D5"/>
    <w:rsid w:val="00C12B1C"/>
    <w:rsid w:val="00C14967"/>
    <w:rsid w:val="00C1627A"/>
    <w:rsid w:val="00C23789"/>
    <w:rsid w:val="00C23DBC"/>
    <w:rsid w:val="00C26E47"/>
    <w:rsid w:val="00C2750C"/>
    <w:rsid w:val="00C3083F"/>
    <w:rsid w:val="00C33404"/>
    <w:rsid w:val="00C34A8C"/>
    <w:rsid w:val="00C42CE4"/>
    <w:rsid w:val="00C43BDE"/>
    <w:rsid w:val="00C502B8"/>
    <w:rsid w:val="00C676E5"/>
    <w:rsid w:val="00C7079D"/>
    <w:rsid w:val="00C71638"/>
    <w:rsid w:val="00C81D29"/>
    <w:rsid w:val="00C86566"/>
    <w:rsid w:val="00C917EB"/>
    <w:rsid w:val="00C926AD"/>
    <w:rsid w:val="00C93193"/>
    <w:rsid w:val="00C97FF4"/>
    <w:rsid w:val="00CA0ADF"/>
    <w:rsid w:val="00CA5938"/>
    <w:rsid w:val="00CB04F8"/>
    <w:rsid w:val="00CB642F"/>
    <w:rsid w:val="00CB7F0D"/>
    <w:rsid w:val="00CC1DF7"/>
    <w:rsid w:val="00CC28C6"/>
    <w:rsid w:val="00CC4808"/>
    <w:rsid w:val="00CC4C0C"/>
    <w:rsid w:val="00CD1B6F"/>
    <w:rsid w:val="00CD30AA"/>
    <w:rsid w:val="00CD3D90"/>
    <w:rsid w:val="00CD4A55"/>
    <w:rsid w:val="00CD56F8"/>
    <w:rsid w:val="00CD67E1"/>
    <w:rsid w:val="00CE0D2C"/>
    <w:rsid w:val="00CE0EFD"/>
    <w:rsid w:val="00CE1B8A"/>
    <w:rsid w:val="00CE4936"/>
    <w:rsid w:val="00CE5A65"/>
    <w:rsid w:val="00CF32F4"/>
    <w:rsid w:val="00CF65B7"/>
    <w:rsid w:val="00D003B0"/>
    <w:rsid w:val="00D06F27"/>
    <w:rsid w:val="00D104D6"/>
    <w:rsid w:val="00D15807"/>
    <w:rsid w:val="00D17563"/>
    <w:rsid w:val="00D24520"/>
    <w:rsid w:val="00D262EA"/>
    <w:rsid w:val="00D31595"/>
    <w:rsid w:val="00D31DFE"/>
    <w:rsid w:val="00D378A3"/>
    <w:rsid w:val="00D40AAD"/>
    <w:rsid w:val="00D40DEC"/>
    <w:rsid w:val="00D4403D"/>
    <w:rsid w:val="00D4526A"/>
    <w:rsid w:val="00D47ACC"/>
    <w:rsid w:val="00D51066"/>
    <w:rsid w:val="00D51FE7"/>
    <w:rsid w:val="00D52F32"/>
    <w:rsid w:val="00D60807"/>
    <w:rsid w:val="00D61332"/>
    <w:rsid w:val="00D64D1F"/>
    <w:rsid w:val="00D66519"/>
    <w:rsid w:val="00D7160E"/>
    <w:rsid w:val="00D73280"/>
    <w:rsid w:val="00D735FF"/>
    <w:rsid w:val="00D73A3C"/>
    <w:rsid w:val="00D74FF1"/>
    <w:rsid w:val="00D82E72"/>
    <w:rsid w:val="00D903A6"/>
    <w:rsid w:val="00D9098B"/>
    <w:rsid w:val="00D91BC7"/>
    <w:rsid w:val="00D9288B"/>
    <w:rsid w:val="00D953AA"/>
    <w:rsid w:val="00DA0765"/>
    <w:rsid w:val="00DA3060"/>
    <w:rsid w:val="00DA6F20"/>
    <w:rsid w:val="00DB17ED"/>
    <w:rsid w:val="00DC2D7A"/>
    <w:rsid w:val="00DD14E1"/>
    <w:rsid w:val="00DE0959"/>
    <w:rsid w:val="00DE1245"/>
    <w:rsid w:val="00DE3A75"/>
    <w:rsid w:val="00DF53D7"/>
    <w:rsid w:val="00DF54C2"/>
    <w:rsid w:val="00DF5787"/>
    <w:rsid w:val="00E019D5"/>
    <w:rsid w:val="00E02771"/>
    <w:rsid w:val="00E02DF9"/>
    <w:rsid w:val="00E03E14"/>
    <w:rsid w:val="00E06474"/>
    <w:rsid w:val="00E10948"/>
    <w:rsid w:val="00E138B2"/>
    <w:rsid w:val="00E15FD6"/>
    <w:rsid w:val="00E1630A"/>
    <w:rsid w:val="00E16AED"/>
    <w:rsid w:val="00E205B3"/>
    <w:rsid w:val="00E22DA3"/>
    <w:rsid w:val="00E23208"/>
    <w:rsid w:val="00E24A15"/>
    <w:rsid w:val="00E24F4E"/>
    <w:rsid w:val="00E275CC"/>
    <w:rsid w:val="00E3023E"/>
    <w:rsid w:val="00E338FA"/>
    <w:rsid w:val="00E33CB2"/>
    <w:rsid w:val="00E34B78"/>
    <w:rsid w:val="00E46F71"/>
    <w:rsid w:val="00E47019"/>
    <w:rsid w:val="00E51FE7"/>
    <w:rsid w:val="00E53AD3"/>
    <w:rsid w:val="00E56A2C"/>
    <w:rsid w:val="00E6281F"/>
    <w:rsid w:val="00E7585E"/>
    <w:rsid w:val="00E760B6"/>
    <w:rsid w:val="00E7692F"/>
    <w:rsid w:val="00E8056B"/>
    <w:rsid w:val="00E8626D"/>
    <w:rsid w:val="00E96AA4"/>
    <w:rsid w:val="00EA1831"/>
    <w:rsid w:val="00EA2204"/>
    <w:rsid w:val="00EA3251"/>
    <w:rsid w:val="00EB0C47"/>
    <w:rsid w:val="00EB0E80"/>
    <w:rsid w:val="00EB39FF"/>
    <w:rsid w:val="00EB52D8"/>
    <w:rsid w:val="00EC7FDA"/>
    <w:rsid w:val="00ED06E4"/>
    <w:rsid w:val="00ED0B80"/>
    <w:rsid w:val="00ED1DB0"/>
    <w:rsid w:val="00ED2995"/>
    <w:rsid w:val="00ED41E0"/>
    <w:rsid w:val="00ED582F"/>
    <w:rsid w:val="00EE4129"/>
    <w:rsid w:val="00EE4228"/>
    <w:rsid w:val="00EF6EED"/>
    <w:rsid w:val="00F00BBD"/>
    <w:rsid w:val="00F06E9C"/>
    <w:rsid w:val="00F105BF"/>
    <w:rsid w:val="00F16C2D"/>
    <w:rsid w:val="00F17E6F"/>
    <w:rsid w:val="00F17EC7"/>
    <w:rsid w:val="00F20633"/>
    <w:rsid w:val="00F21CE8"/>
    <w:rsid w:val="00F23F7C"/>
    <w:rsid w:val="00F24101"/>
    <w:rsid w:val="00F26132"/>
    <w:rsid w:val="00F26CFA"/>
    <w:rsid w:val="00F26D5F"/>
    <w:rsid w:val="00F33008"/>
    <w:rsid w:val="00F37828"/>
    <w:rsid w:val="00F51B8C"/>
    <w:rsid w:val="00F52310"/>
    <w:rsid w:val="00F637DB"/>
    <w:rsid w:val="00F66A3C"/>
    <w:rsid w:val="00F729E0"/>
    <w:rsid w:val="00F748B9"/>
    <w:rsid w:val="00F769BB"/>
    <w:rsid w:val="00F80E00"/>
    <w:rsid w:val="00F83C66"/>
    <w:rsid w:val="00F83E5B"/>
    <w:rsid w:val="00F85530"/>
    <w:rsid w:val="00F91F03"/>
    <w:rsid w:val="00F971D6"/>
    <w:rsid w:val="00FA1E1F"/>
    <w:rsid w:val="00FA26A5"/>
    <w:rsid w:val="00FB2CC5"/>
    <w:rsid w:val="00FB3029"/>
    <w:rsid w:val="00FB3E18"/>
    <w:rsid w:val="00FB5163"/>
    <w:rsid w:val="00FC1688"/>
    <w:rsid w:val="00FC3859"/>
    <w:rsid w:val="00FF114D"/>
    <w:rsid w:val="00FF4F15"/>
    <w:rsid w:val="00FF696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7A"/>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outlineLvl w:val="0"/>
    </w:pPr>
    <w:rPr>
      <w:rFonts w:ascii="Arial" w:hAnsi="Arial" w:cs="Arial"/>
      <w:b/>
      <w:color w:val="000064"/>
      <w:sz w:val="28"/>
      <w:szCs w:val="28"/>
    </w:rPr>
  </w:style>
  <w:style w:type="paragraph" w:styleId="Heading2">
    <w:name w:val="heading 2"/>
    <w:basedOn w:val="Normal"/>
    <w:next w:val="Normal"/>
    <w:link w:val="Heading2Char"/>
    <w:semiHidden/>
    <w:unhideWhenUsed/>
    <w:qFormat/>
    <w:locked/>
    <w:rsid w:val="00685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semiHidden/>
    <w:rsid w:val="006859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59"/>
    <w:rsid w:val="00C162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34"/>
    <w:qFormat/>
    <w:rsid w:val="000F53C2"/>
    <w:pPr>
      <w:spacing w:after="200" w:line="276" w:lineRule="auto"/>
      <w:ind w:left="720"/>
      <w:contextualSpacing/>
    </w:pPr>
  </w:style>
  <w:style w:type="paragraph" w:styleId="FootnoteText">
    <w:name w:val="footnote text"/>
    <w:basedOn w:val="Normal"/>
    <w:link w:val="FootnoteTextChar"/>
    <w:uiPriority w:val="99"/>
    <w:semiHidden/>
    <w:rsid w:val="000F53C2"/>
    <w:rPr>
      <w:sz w:val="20"/>
      <w:szCs w:val="20"/>
    </w:rPr>
  </w:style>
  <w:style w:type="character" w:customStyle="1" w:styleId="FootnoteTextChar">
    <w:name w:val="Footnote Text Char"/>
    <w:basedOn w:val="DefaultParagraphFont"/>
    <w:link w:val="FootnoteText"/>
    <w:uiPriority w:val="99"/>
    <w:semiHidden/>
    <w:locked/>
    <w:rsid w:val="000F53C2"/>
    <w:rPr>
      <w:rFonts w:cs="Times New Roman"/>
      <w:lang w:eastAsia="en-US"/>
    </w:rPr>
  </w:style>
  <w:style w:type="character" w:styleId="FootnoteReference">
    <w:name w:val="footnote reference"/>
    <w:basedOn w:val="DefaultParagraphFont"/>
    <w:uiPriority w:val="99"/>
    <w:semiHidden/>
    <w:rsid w:val="000F53C2"/>
    <w:rPr>
      <w:rFonts w:cs="Times New Roman"/>
      <w:vertAlign w:val="superscript"/>
    </w:rPr>
  </w:style>
  <w:style w:type="paragraph" w:customStyle="1" w:styleId="Default">
    <w:name w:val="Default"/>
    <w:link w:val="DefaultChar"/>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sz w:val="22"/>
      <w:szCs w:val="22"/>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693D92"/>
    <w:pPr>
      <w:tabs>
        <w:tab w:val="left" w:pos="442"/>
        <w:tab w:val="right" w:leader="dot" w:pos="9628"/>
      </w:tabs>
      <w:spacing w:before="360" w:after="100"/>
    </w:pPr>
    <w:rPr>
      <w:rFonts w:ascii="Arial" w:hAnsi="Arial"/>
      <w:noProof/>
      <w:sz w:val="20"/>
      <w:szCs w:val="20"/>
    </w:rPr>
  </w:style>
  <w:style w:type="paragraph" w:styleId="TOC2">
    <w:name w:val="toc 2"/>
    <w:basedOn w:val="Normal"/>
    <w:next w:val="Normal"/>
    <w:autoRedefine/>
    <w:uiPriority w:val="39"/>
    <w:locked/>
    <w:rsid w:val="00C86566"/>
    <w:pPr>
      <w:tabs>
        <w:tab w:val="left" w:pos="880"/>
        <w:tab w:val="right" w:leader="dot" w:pos="9628"/>
      </w:tabs>
      <w:spacing w:after="120"/>
      <w:ind w:left="851" w:hanging="630"/>
    </w:pPr>
    <w:rPr>
      <w:rFonts w:ascii="Arial" w:hAnsi="Arial"/>
      <w:sz w:val="20"/>
    </w:rPr>
  </w:style>
  <w:style w:type="paragraph" w:customStyle="1" w:styleId="RecommendationStyle">
    <w:name w:val="Recommendation Style"/>
    <w:basedOn w:val="ATARecommendationHeading"/>
    <w:link w:val="RecommendationStyleChar"/>
    <w:qFormat/>
    <w:rsid w:val="00907971"/>
    <w:pPr>
      <w:numPr>
        <w:numId w:val="2"/>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b/>
      <w:i/>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paragraph" w:styleId="TOC3">
    <w:name w:val="toc 3"/>
    <w:basedOn w:val="Normal"/>
    <w:next w:val="Normal"/>
    <w:autoRedefine/>
    <w:uiPriority w:val="39"/>
    <w:locked/>
    <w:rsid w:val="00907971"/>
    <w:pPr>
      <w:tabs>
        <w:tab w:val="right" w:leader="dot" w:pos="9628"/>
      </w:tabs>
      <w:ind w:left="442"/>
    </w:pPr>
    <w:rPr>
      <w:noProof/>
      <w:color w:val="FFFFFF" w:themeColor="background1"/>
    </w:rPr>
  </w:style>
  <w:style w:type="character" w:customStyle="1" w:styleId="RecommendationStyle3Char">
    <w:name w:val="Recommendation Style 3 Char"/>
    <w:basedOn w:val="RecommendationStyle2Char"/>
    <w:link w:val="RecommendationStyle3"/>
    <w:rsid w:val="00907971"/>
    <w:rPr>
      <w:color w:val="FFFFFF" w:themeColor="background1"/>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yle61">
    <w:name w:val="style61"/>
    <w:basedOn w:val="DefaultParagraphFont"/>
    <w:rsid w:val="0004192B"/>
    <w:rPr>
      <w:i/>
      <w:iCs/>
      <w:color w:val="333333"/>
    </w:rPr>
  </w:style>
  <w:style w:type="character" w:styleId="CommentReference">
    <w:name w:val="annotation reference"/>
    <w:basedOn w:val="DefaultParagraphFont"/>
    <w:uiPriority w:val="99"/>
    <w:semiHidden/>
    <w:unhideWhenUsed/>
    <w:rsid w:val="000E408F"/>
    <w:rPr>
      <w:sz w:val="16"/>
      <w:szCs w:val="16"/>
    </w:rPr>
  </w:style>
  <w:style w:type="paragraph" w:styleId="CommentText">
    <w:name w:val="annotation text"/>
    <w:basedOn w:val="Normal"/>
    <w:link w:val="CommentTextChar"/>
    <w:uiPriority w:val="99"/>
    <w:semiHidden/>
    <w:unhideWhenUsed/>
    <w:rsid w:val="000E408F"/>
    <w:rPr>
      <w:sz w:val="20"/>
      <w:szCs w:val="20"/>
    </w:rPr>
  </w:style>
  <w:style w:type="character" w:customStyle="1" w:styleId="CommentTextChar">
    <w:name w:val="Comment Text Char"/>
    <w:basedOn w:val="DefaultParagraphFont"/>
    <w:link w:val="CommentText"/>
    <w:uiPriority w:val="99"/>
    <w:semiHidden/>
    <w:rsid w:val="000E408F"/>
    <w:rPr>
      <w:lang w:eastAsia="en-US"/>
    </w:rPr>
  </w:style>
  <w:style w:type="paragraph" w:styleId="CommentSubject">
    <w:name w:val="annotation subject"/>
    <w:basedOn w:val="CommentText"/>
    <w:next w:val="CommentText"/>
    <w:link w:val="CommentSubjectChar"/>
    <w:uiPriority w:val="99"/>
    <w:semiHidden/>
    <w:unhideWhenUsed/>
    <w:rsid w:val="000E408F"/>
    <w:rPr>
      <w:b/>
      <w:bCs/>
    </w:rPr>
  </w:style>
  <w:style w:type="character" w:customStyle="1" w:styleId="CommentSubjectChar">
    <w:name w:val="Comment Subject Char"/>
    <w:basedOn w:val="CommentTextChar"/>
    <w:link w:val="CommentSubject"/>
    <w:uiPriority w:val="99"/>
    <w:semiHidden/>
    <w:rsid w:val="000E408F"/>
    <w:rPr>
      <w:b/>
      <w:bCs/>
    </w:rPr>
  </w:style>
  <w:style w:type="paragraph" w:styleId="Quote">
    <w:name w:val="Quote"/>
    <w:basedOn w:val="Normal"/>
    <w:next w:val="Normal"/>
    <w:link w:val="QuoteChar"/>
    <w:uiPriority w:val="29"/>
    <w:qFormat/>
    <w:rsid w:val="00A45F83"/>
    <w:pPr>
      <w:ind w:left="567" w:right="1230"/>
    </w:pPr>
    <w:rPr>
      <w:rFonts w:asciiTheme="minorHAnsi" w:eastAsiaTheme="minorHAnsi" w:hAnsiTheme="minorHAnsi" w:cstheme="minorBidi"/>
      <w:iCs/>
      <w:color w:val="000000" w:themeColor="text1"/>
      <w:sz w:val="21"/>
      <w:szCs w:val="21"/>
    </w:rPr>
  </w:style>
  <w:style w:type="character" w:customStyle="1" w:styleId="QuoteChar">
    <w:name w:val="Quote Char"/>
    <w:basedOn w:val="DefaultParagraphFont"/>
    <w:link w:val="Quote"/>
    <w:uiPriority w:val="29"/>
    <w:rsid w:val="00A45F83"/>
    <w:rPr>
      <w:rFonts w:asciiTheme="minorHAnsi" w:eastAsiaTheme="minorHAnsi" w:hAnsiTheme="minorHAnsi" w:cstheme="minorBidi"/>
      <w:iCs/>
      <w:color w:val="000000" w:themeColor="text1"/>
      <w:sz w:val="21"/>
      <w:szCs w:val="21"/>
      <w:lang w:eastAsia="en-US"/>
    </w:rPr>
  </w:style>
  <w:style w:type="character" w:customStyle="1" w:styleId="st">
    <w:name w:val="st"/>
    <w:basedOn w:val="DefaultParagraphFont"/>
    <w:rsid w:val="000A3F4E"/>
  </w:style>
  <w:style w:type="character" w:styleId="FollowedHyperlink">
    <w:name w:val="FollowedHyperlink"/>
    <w:basedOn w:val="DefaultParagraphFont"/>
    <w:uiPriority w:val="99"/>
    <w:semiHidden/>
    <w:unhideWhenUsed/>
    <w:rsid w:val="0062389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3735435">
      <w:bodyDiv w:val="1"/>
      <w:marLeft w:val="0"/>
      <w:marRight w:val="0"/>
      <w:marTop w:val="0"/>
      <w:marBottom w:val="0"/>
      <w:divBdr>
        <w:top w:val="none" w:sz="0" w:space="0" w:color="auto"/>
        <w:left w:val="none" w:sz="0" w:space="0" w:color="auto"/>
        <w:bottom w:val="none" w:sz="0" w:space="0" w:color="auto"/>
        <w:right w:val="none" w:sz="0" w:space="0" w:color="auto"/>
      </w:divBdr>
    </w:div>
    <w:div w:id="251940546">
      <w:bodyDiv w:val="1"/>
      <w:marLeft w:val="0"/>
      <w:marRight w:val="0"/>
      <w:marTop w:val="0"/>
      <w:marBottom w:val="0"/>
      <w:divBdr>
        <w:top w:val="none" w:sz="0" w:space="0" w:color="auto"/>
        <w:left w:val="none" w:sz="0" w:space="0" w:color="auto"/>
        <w:bottom w:val="none" w:sz="0" w:space="0" w:color="auto"/>
        <w:right w:val="none" w:sz="0" w:space="0" w:color="auto"/>
      </w:divBdr>
    </w:div>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568002639">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1535532365">
      <w:bodyDiv w:val="1"/>
      <w:marLeft w:val="0"/>
      <w:marRight w:val="0"/>
      <w:marTop w:val="0"/>
      <w:marBottom w:val="0"/>
      <w:divBdr>
        <w:top w:val="none" w:sz="0" w:space="0" w:color="auto"/>
        <w:left w:val="none" w:sz="0" w:space="0" w:color="auto"/>
        <w:bottom w:val="none" w:sz="0" w:space="0" w:color="auto"/>
        <w:right w:val="none" w:sz="0" w:space="0" w:color="auto"/>
      </w:divBdr>
    </w:div>
    <w:div w:id="153866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odie.broadbent@truck.net.au" TargetMode="External"/><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treasury.nsw.gov.au/ppp/working_with_government_wwg_guidelines_for_privately_financed_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C5310-BE79-4553-A258-A97793A4A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7585</Words>
  <Characters>41292</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SUBMISSION PROPOSED HEAVY VEHICLE NATIONAL LAWS</vt:lpstr>
    </vt:vector>
  </TitlesOfParts>
  <Company>HP</Company>
  <LinksUpToDate>false</LinksUpToDate>
  <CharactersWithSpaces>48780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PROPOSED HEAVY VEHICLE NATIONAL LAWS</dc:title>
  <dc:creator>loydelld</dc:creator>
  <cp:lastModifiedBy>harbers</cp:lastModifiedBy>
  <cp:revision>2</cp:revision>
  <cp:lastPrinted>2013-02-20T01:02:00Z</cp:lastPrinted>
  <dcterms:created xsi:type="dcterms:W3CDTF">2013-02-24T23:05:00Z</dcterms:created>
  <dcterms:modified xsi:type="dcterms:W3CDTF">2013-02-24T23:05:00Z</dcterms:modified>
</cp:coreProperties>
</file>