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660"/>
        <w:gridCol w:w="6379"/>
      </w:tblGrid>
      <w:tr w:rsidR="00D735FF" w:rsidRPr="00124BE7" w:rsidTr="000156D1">
        <w:trPr>
          <w:trHeight w:val="756"/>
        </w:trPr>
        <w:tc>
          <w:tcPr>
            <w:tcW w:w="2660" w:type="dxa"/>
            <w:vAlign w:val="center"/>
          </w:tcPr>
          <w:p w:rsidR="00D735FF" w:rsidRPr="00124BE7" w:rsidRDefault="00D735FF" w:rsidP="009F139B">
            <w:pPr>
              <w:pStyle w:val="Header"/>
              <w:rPr>
                <w:rFonts w:ascii="Arial" w:hAnsi="Arial" w:cs="Arial"/>
                <w:b/>
                <w:sz w:val="32"/>
              </w:rPr>
            </w:pPr>
            <w:r w:rsidRPr="00124BE7">
              <w:rPr>
                <w:rFonts w:ascii="Arial" w:hAnsi="Arial" w:cs="Arial"/>
                <w:b/>
                <w:sz w:val="32"/>
              </w:rPr>
              <w:t>Submission to:</w:t>
            </w:r>
          </w:p>
        </w:tc>
        <w:tc>
          <w:tcPr>
            <w:tcW w:w="6379" w:type="dxa"/>
            <w:vAlign w:val="center"/>
          </w:tcPr>
          <w:p w:rsidR="00D735FF" w:rsidRPr="00124BE7" w:rsidRDefault="005E5886" w:rsidP="009F139B">
            <w:pPr>
              <w:pStyle w:val="Header"/>
              <w:rPr>
                <w:rFonts w:ascii="Arial" w:hAnsi="Arial" w:cs="Arial"/>
                <w:sz w:val="32"/>
              </w:rPr>
            </w:pPr>
            <w:r>
              <w:rPr>
                <w:rFonts w:ascii="Arial" w:hAnsi="Arial" w:cs="Arial"/>
                <w:sz w:val="32"/>
              </w:rPr>
              <w:t>Department of the Environment</w:t>
            </w:r>
            <w:r w:rsidR="004D52BC">
              <w:rPr>
                <w:rFonts w:ascii="Arial" w:hAnsi="Arial" w:cs="Arial"/>
                <w:sz w:val="32"/>
              </w:rPr>
              <w:t xml:space="preserve"> </w:t>
            </w:r>
            <w:r w:rsidR="00F3294F" w:rsidRPr="00124BE7">
              <w:rPr>
                <w:rFonts w:ascii="Arial" w:hAnsi="Arial" w:cs="Arial"/>
                <w:sz w:val="32"/>
              </w:rPr>
              <w:t xml:space="preserve"> </w:t>
            </w:r>
            <w:r w:rsidR="00EA3322" w:rsidRPr="00124BE7">
              <w:rPr>
                <w:rFonts w:ascii="Arial" w:hAnsi="Arial" w:cs="Arial"/>
                <w:sz w:val="32"/>
              </w:rPr>
              <w:t xml:space="preserve"> </w:t>
            </w:r>
          </w:p>
        </w:tc>
      </w:tr>
      <w:tr w:rsidR="00D735FF" w:rsidRPr="00124BE7" w:rsidTr="000156D1">
        <w:trPr>
          <w:trHeight w:val="756"/>
        </w:trPr>
        <w:tc>
          <w:tcPr>
            <w:tcW w:w="2660" w:type="dxa"/>
            <w:vAlign w:val="center"/>
          </w:tcPr>
          <w:p w:rsidR="00D735FF" w:rsidRPr="00124BE7" w:rsidRDefault="00D735FF" w:rsidP="009F139B">
            <w:pPr>
              <w:pStyle w:val="Header"/>
              <w:rPr>
                <w:rFonts w:ascii="Arial" w:hAnsi="Arial" w:cs="Arial"/>
                <w:b/>
                <w:sz w:val="32"/>
              </w:rPr>
            </w:pPr>
            <w:r w:rsidRPr="00124BE7">
              <w:rPr>
                <w:rFonts w:ascii="Arial" w:hAnsi="Arial" w:cs="Arial"/>
                <w:b/>
                <w:sz w:val="32"/>
              </w:rPr>
              <w:t>Title:</w:t>
            </w:r>
          </w:p>
        </w:tc>
        <w:tc>
          <w:tcPr>
            <w:tcW w:w="6379" w:type="dxa"/>
            <w:vAlign w:val="center"/>
          </w:tcPr>
          <w:p w:rsidR="00D735FF" w:rsidRPr="00124BE7" w:rsidRDefault="00207496" w:rsidP="009F139B">
            <w:pPr>
              <w:pStyle w:val="Header"/>
              <w:rPr>
                <w:rFonts w:ascii="Arial" w:hAnsi="Arial" w:cs="Arial"/>
                <w:sz w:val="32"/>
              </w:rPr>
            </w:pPr>
            <w:r w:rsidRPr="00207496">
              <w:rPr>
                <w:rFonts w:ascii="Arial" w:hAnsi="Arial" w:cs="Arial"/>
                <w:sz w:val="32"/>
              </w:rPr>
              <w:t>Emissions Reduction Fund: The Safeguard Mechanism</w:t>
            </w:r>
          </w:p>
        </w:tc>
      </w:tr>
      <w:tr w:rsidR="00D735FF" w:rsidRPr="00124BE7" w:rsidTr="000156D1">
        <w:trPr>
          <w:trHeight w:val="756"/>
        </w:trPr>
        <w:tc>
          <w:tcPr>
            <w:tcW w:w="2660" w:type="dxa"/>
            <w:vAlign w:val="center"/>
          </w:tcPr>
          <w:p w:rsidR="00D735FF" w:rsidRPr="00124BE7" w:rsidRDefault="00D735FF" w:rsidP="009F139B">
            <w:pPr>
              <w:pStyle w:val="Header"/>
              <w:rPr>
                <w:rFonts w:ascii="Arial" w:hAnsi="Arial" w:cs="Arial"/>
                <w:b/>
                <w:sz w:val="32"/>
              </w:rPr>
            </w:pPr>
            <w:r w:rsidRPr="00124BE7">
              <w:rPr>
                <w:rFonts w:ascii="Arial" w:hAnsi="Arial" w:cs="Arial"/>
                <w:b/>
                <w:sz w:val="32"/>
              </w:rPr>
              <w:t>Date:</w:t>
            </w:r>
          </w:p>
        </w:tc>
        <w:tc>
          <w:tcPr>
            <w:tcW w:w="6379" w:type="dxa"/>
            <w:vAlign w:val="center"/>
          </w:tcPr>
          <w:p w:rsidR="00D735FF" w:rsidRPr="00124BE7" w:rsidRDefault="00362AA8" w:rsidP="009F139B">
            <w:pPr>
              <w:pStyle w:val="Header"/>
              <w:rPr>
                <w:rFonts w:ascii="Arial" w:hAnsi="Arial" w:cs="Arial"/>
                <w:sz w:val="32"/>
              </w:rPr>
            </w:pPr>
            <w:r>
              <w:rPr>
                <w:rFonts w:ascii="Arial" w:hAnsi="Arial" w:cs="Arial"/>
                <w:sz w:val="32"/>
              </w:rPr>
              <w:t xml:space="preserve">29 </w:t>
            </w:r>
            <w:r w:rsidR="00CB3DB7">
              <w:rPr>
                <w:rFonts w:ascii="Arial" w:hAnsi="Arial" w:cs="Arial"/>
                <w:sz w:val="32"/>
              </w:rPr>
              <w:t>April</w:t>
            </w:r>
            <w:r w:rsidR="00776E81" w:rsidRPr="00124BE7">
              <w:rPr>
                <w:rFonts w:ascii="Arial" w:hAnsi="Arial" w:cs="Arial"/>
                <w:sz w:val="32"/>
              </w:rPr>
              <w:t xml:space="preserve"> 2015</w:t>
            </w:r>
          </w:p>
        </w:tc>
      </w:tr>
    </w:tbl>
    <w:p w:rsidR="00D735FF" w:rsidRPr="00124BE7" w:rsidRDefault="00D735FF" w:rsidP="009F139B">
      <w:pPr>
        <w:pStyle w:val="Header"/>
        <w:rPr>
          <w:rFonts w:ascii="Arial" w:hAnsi="Arial" w:cs="Arial"/>
          <w:sz w:val="32"/>
        </w:rPr>
      </w:pPr>
    </w:p>
    <w:p w:rsidR="00D735FF" w:rsidRPr="00124BE7" w:rsidRDefault="00D735FF" w:rsidP="009F139B">
      <w:pPr>
        <w:pStyle w:val="Header"/>
        <w:rPr>
          <w:rFonts w:ascii="Arial" w:hAnsi="Arial" w:cs="Arial"/>
          <w:sz w:val="32"/>
        </w:rPr>
      </w:pPr>
    </w:p>
    <w:p w:rsidR="00576ED0" w:rsidRPr="00124BE7" w:rsidRDefault="00576ED0" w:rsidP="009F139B">
      <w:pPr>
        <w:pStyle w:val="Header"/>
        <w:rPr>
          <w:rFonts w:ascii="Arial" w:hAnsi="Arial" w:cs="Arial"/>
          <w:sz w:val="32"/>
        </w:rPr>
      </w:pPr>
    </w:p>
    <w:p w:rsidR="00576ED0" w:rsidRPr="00124BE7" w:rsidRDefault="00576ED0" w:rsidP="009F139B">
      <w:pPr>
        <w:rPr>
          <w:rFonts w:ascii="Arial" w:hAnsi="Arial" w:cs="Arial"/>
        </w:rPr>
        <w:sectPr w:rsidR="00576ED0" w:rsidRPr="00124BE7" w:rsidSect="005F5ACC">
          <w:footerReference w:type="default" r:id="rId8"/>
          <w:headerReference w:type="first" r:id="rId9"/>
          <w:footerReference w:type="first" r:id="rId10"/>
          <w:pgSz w:w="11906" w:h="16838"/>
          <w:pgMar w:top="5103" w:right="1133" w:bottom="1418" w:left="1134" w:header="851" w:footer="651" w:gutter="0"/>
          <w:cols w:space="708"/>
          <w:docGrid w:linePitch="360"/>
        </w:sectPr>
      </w:pPr>
    </w:p>
    <w:p w:rsidR="00576ED0" w:rsidRPr="00124BE7" w:rsidRDefault="00576ED0" w:rsidP="009F139B">
      <w:pPr>
        <w:rPr>
          <w:rFonts w:ascii="Arial" w:hAnsi="Arial" w:cs="Arial"/>
        </w:rPr>
      </w:pPr>
    </w:p>
    <w:p w:rsidR="0035493A" w:rsidRPr="00124BE7" w:rsidRDefault="0035493A" w:rsidP="009F139B">
      <w:pPr>
        <w:rPr>
          <w:rFonts w:ascii="Arial" w:hAnsi="Arial" w:cs="Arial"/>
        </w:rPr>
      </w:pPr>
    </w:p>
    <w:p w:rsidR="0035493A" w:rsidRPr="00124BE7" w:rsidRDefault="0035493A" w:rsidP="009F139B">
      <w:pPr>
        <w:rPr>
          <w:rFonts w:ascii="Arial" w:hAnsi="Arial" w:cs="Arial"/>
        </w:rPr>
      </w:pPr>
    </w:p>
    <w:p w:rsidR="0035493A" w:rsidRPr="00124BE7" w:rsidRDefault="0035493A" w:rsidP="009F139B">
      <w:pPr>
        <w:rPr>
          <w:rFonts w:ascii="Arial" w:hAnsi="Arial" w:cs="Arial"/>
        </w:rPr>
      </w:pPr>
    </w:p>
    <w:p w:rsidR="0035493A" w:rsidRPr="00124BE7" w:rsidRDefault="0035493A" w:rsidP="009F139B">
      <w:pPr>
        <w:rPr>
          <w:rFonts w:ascii="Arial" w:hAnsi="Arial" w:cs="Arial"/>
        </w:rPr>
      </w:pPr>
    </w:p>
    <w:p w:rsidR="0035493A" w:rsidRPr="00124BE7" w:rsidRDefault="003B74E4" w:rsidP="009F139B">
      <w:pPr>
        <w:rPr>
          <w:rFonts w:ascii="Arial" w:hAnsi="Arial" w:cs="Arial"/>
          <w:b/>
          <w:color w:val="000064"/>
          <w:sz w:val="32"/>
        </w:rPr>
      </w:pPr>
      <w:r w:rsidRPr="00124BE7">
        <w:rPr>
          <w:rFonts w:ascii="Arial" w:hAnsi="Arial" w:cs="Arial"/>
          <w:b/>
          <w:color w:val="000064"/>
          <w:sz w:val="32"/>
        </w:rPr>
        <w:t>Contents</w:t>
      </w:r>
    </w:p>
    <w:p w:rsidR="00576ED0" w:rsidRPr="00124BE7" w:rsidRDefault="00576ED0" w:rsidP="009F139B">
      <w:pPr>
        <w:rPr>
          <w:rFonts w:ascii="Arial" w:hAnsi="Arial" w:cs="Arial"/>
        </w:rPr>
      </w:pPr>
    </w:p>
    <w:p w:rsidR="009B0520" w:rsidRPr="00124BE7" w:rsidRDefault="009B0520" w:rsidP="009F139B">
      <w:pPr>
        <w:rPr>
          <w:rFonts w:ascii="Arial" w:hAnsi="Arial" w:cs="Arial"/>
        </w:rPr>
      </w:pPr>
    </w:p>
    <w:p w:rsidR="005E5886" w:rsidRDefault="003B2024" w:rsidP="009F139B">
      <w:pPr>
        <w:pStyle w:val="TOC1"/>
        <w:tabs>
          <w:tab w:val="left" w:pos="442"/>
        </w:tabs>
        <w:rPr>
          <w:rFonts w:asciiTheme="minorHAnsi" w:eastAsiaTheme="minorEastAsia" w:hAnsiTheme="minorHAnsi" w:cstheme="minorBidi"/>
          <w:b w:val="0"/>
          <w:sz w:val="22"/>
          <w:szCs w:val="22"/>
          <w:lang w:eastAsia="en-AU"/>
        </w:rPr>
      </w:pPr>
      <w:r w:rsidRPr="00124BE7">
        <w:rPr>
          <w:sz w:val="22"/>
          <w:szCs w:val="22"/>
        </w:rPr>
        <w:fldChar w:fldCharType="begin"/>
      </w:r>
      <w:r w:rsidR="00BD49FC" w:rsidRPr="00124BE7">
        <w:rPr>
          <w:sz w:val="22"/>
          <w:szCs w:val="22"/>
        </w:rPr>
        <w:instrText xml:space="preserve"> TOC \o "1-2" \t "ATA Heading 2,2" </w:instrText>
      </w:r>
      <w:r w:rsidRPr="00124BE7">
        <w:rPr>
          <w:sz w:val="22"/>
          <w:szCs w:val="22"/>
        </w:rPr>
        <w:fldChar w:fldCharType="separate"/>
      </w:r>
      <w:r w:rsidR="005E5886" w:rsidRPr="001D0154">
        <w:rPr>
          <w:rFonts w:cs="Times New Roman"/>
        </w:rPr>
        <w:t>1.</w:t>
      </w:r>
      <w:r w:rsidR="005E5886">
        <w:rPr>
          <w:rFonts w:asciiTheme="minorHAnsi" w:eastAsiaTheme="minorEastAsia" w:hAnsiTheme="minorHAnsi" w:cstheme="minorBidi"/>
          <w:b w:val="0"/>
          <w:sz w:val="22"/>
          <w:szCs w:val="22"/>
          <w:lang w:eastAsia="en-AU"/>
        </w:rPr>
        <w:tab/>
      </w:r>
      <w:r w:rsidR="005E5886">
        <w:t>Australian Trucking Association</w:t>
      </w:r>
      <w:r w:rsidR="005E5886">
        <w:tab/>
      </w:r>
      <w:r w:rsidR="005E5886">
        <w:fldChar w:fldCharType="begin"/>
      </w:r>
      <w:r w:rsidR="005E5886">
        <w:instrText xml:space="preserve"> PAGEREF _Toc417380310 \h </w:instrText>
      </w:r>
      <w:r w:rsidR="005E5886">
        <w:fldChar w:fldCharType="separate"/>
      </w:r>
      <w:r w:rsidR="001C57F8">
        <w:t>3</w:t>
      </w:r>
      <w:r w:rsidR="005E5886">
        <w:fldChar w:fldCharType="end"/>
      </w:r>
    </w:p>
    <w:p w:rsidR="005E5886" w:rsidRDefault="005E5886" w:rsidP="009F139B">
      <w:pPr>
        <w:pStyle w:val="TOC1"/>
        <w:tabs>
          <w:tab w:val="left" w:pos="442"/>
        </w:tabs>
        <w:rPr>
          <w:rFonts w:asciiTheme="minorHAnsi" w:eastAsiaTheme="minorEastAsia" w:hAnsiTheme="minorHAnsi" w:cstheme="minorBidi"/>
          <w:b w:val="0"/>
          <w:sz w:val="22"/>
          <w:szCs w:val="22"/>
          <w:lang w:eastAsia="en-AU"/>
        </w:rPr>
      </w:pPr>
      <w:r w:rsidRPr="001D0154">
        <w:rPr>
          <w:rFonts w:cs="Times New Roman"/>
        </w:rPr>
        <w:t>2.</w:t>
      </w:r>
      <w:r>
        <w:rPr>
          <w:rFonts w:asciiTheme="minorHAnsi" w:eastAsiaTheme="minorEastAsia" w:hAnsiTheme="minorHAnsi" w:cstheme="minorBidi"/>
          <w:b w:val="0"/>
          <w:sz w:val="22"/>
          <w:szCs w:val="22"/>
          <w:lang w:eastAsia="en-AU"/>
        </w:rPr>
        <w:tab/>
      </w:r>
      <w:r>
        <w:t>Introduction</w:t>
      </w:r>
      <w:r>
        <w:tab/>
      </w:r>
      <w:r>
        <w:fldChar w:fldCharType="begin"/>
      </w:r>
      <w:r>
        <w:instrText xml:space="preserve"> PAGEREF _Toc417380311 \h </w:instrText>
      </w:r>
      <w:r>
        <w:fldChar w:fldCharType="separate"/>
      </w:r>
      <w:r w:rsidR="001C57F8">
        <w:t>3</w:t>
      </w:r>
      <w:r>
        <w:fldChar w:fldCharType="end"/>
      </w:r>
    </w:p>
    <w:p w:rsidR="005E5886" w:rsidRDefault="005E5886" w:rsidP="009F139B">
      <w:pPr>
        <w:pStyle w:val="TOC1"/>
        <w:tabs>
          <w:tab w:val="left" w:pos="442"/>
        </w:tabs>
        <w:rPr>
          <w:rFonts w:asciiTheme="minorHAnsi" w:eastAsiaTheme="minorEastAsia" w:hAnsiTheme="minorHAnsi" w:cstheme="minorBidi"/>
          <w:b w:val="0"/>
          <w:sz w:val="22"/>
          <w:szCs w:val="22"/>
          <w:lang w:eastAsia="en-AU"/>
        </w:rPr>
      </w:pPr>
      <w:r w:rsidRPr="001D0154">
        <w:rPr>
          <w:rFonts w:cs="Times New Roman"/>
        </w:rPr>
        <w:t>3.</w:t>
      </w:r>
      <w:r>
        <w:rPr>
          <w:rFonts w:asciiTheme="minorHAnsi" w:eastAsiaTheme="minorEastAsia" w:hAnsiTheme="minorHAnsi" w:cstheme="minorBidi"/>
          <w:b w:val="0"/>
          <w:sz w:val="22"/>
          <w:szCs w:val="22"/>
          <w:lang w:eastAsia="en-AU"/>
        </w:rPr>
        <w:tab/>
      </w:r>
      <w:r>
        <w:t>Emissions growth in the trucking industry</w:t>
      </w:r>
      <w:r>
        <w:tab/>
      </w:r>
      <w:r>
        <w:fldChar w:fldCharType="begin"/>
      </w:r>
      <w:r>
        <w:instrText xml:space="preserve"> PAGEREF _Toc417380312 \h </w:instrText>
      </w:r>
      <w:r>
        <w:fldChar w:fldCharType="separate"/>
      </w:r>
      <w:r w:rsidR="001C57F8">
        <w:t>4</w:t>
      </w:r>
      <w:r>
        <w:fldChar w:fldCharType="end"/>
      </w:r>
    </w:p>
    <w:p w:rsidR="005E5886" w:rsidRDefault="005E5886" w:rsidP="009F139B">
      <w:pPr>
        <w:pStyle w:val="TOC1"/>
        <w:tabs>
          <w:tab w:val="left" w:pos="442"/>
        </w:tabs>
        <w:rPr>
          <w:rFonts w:asciiTheme="minorHAnsi" w:eastAsiaTheme="minorEastAsia" w:hAnsiTheme="minorHAnsi" w:cstheme="minorBidi"/>
          <w:b w:val="0"/>
          <w:sz w:val="22"/>
          <w:szCs w:val="22"/>
          <w:lang w:eastAsia="en-AU"/>
        </w:rPr>
      </w:pPr>
      <w:r w:rsidRPr="001D0154">
        <w:rPr>
          <w:rFonts w:eastAsia="Times New Roman" w:cs="Times New Roman"/>
          <w:bCs/>
        </w:rPr>
        <w:t>4.</w:t>
      </w:r>
      <w:r>
        <w:rPr>
          <w:rFonts w:asciiTheme="minorHAnsi" w:eastAsiaTheme="minorEastAsia" w:hAnsiTheme="minorHAnsi" w:cstheme="minorBidi"/>
          <w:b w:val="0"/>
          <w:sz w:val="22"/>
          <w:szCs w:val="22"/>
          <w:lang w:eastAsia="en-AU"/>
        </w:rPr>
        <w:tab/>
      </w:r>
      <w:r>
        <w:t>The need for an alternative approach</w:t>
      </w:r>
      <w:r>
        <w:tab/>
      </w:r>
      <w:r>
        <w:fldChar w:fldCharType="begin"/>
      </w:r>
      <w:r>
        <w:instrText xml:space="preserve"> PAGEREF _Toc417380313 \h </w:instrText>
      </w:r>
      <w:r>
        <w:fldChar w:fldCharType="separate"/>
      </w:r>
      <w:r w:rsidR="001C57F8">
        <w:t>5</w:t>
      </w:r>
      <w:r>
        <w:fldChar w:fldCharType="end"/>
      </w:r>
    </w:p>
    <w:p w:rsidR="005E5886" w:rsidRDefault="005E5886" w:rsidP="009F139B">
      <w:pPr>
        <w:pStyle w:val="TOC1"/>
        <w:tabs>
          <w:tab w:val="left" w:pos="442"/>
        </w:tabs>
        <w:rPr>
          <w:rFonts w:asciiTheme="minorHAnsi" w:eastAsiaTheme="minorEastAsia" w:hAnsiTheme="minorHAnsi" w:cstheme="minorBidi"/>
          <w:b w:val="0"/>
          <w:sz w:val="22"/>
          <w:szCs w:val="22"/>
          <w:lang w:eastAsia="en-AU"/>
        </w:rPr>
      </w:pPr>
      <w:r w:rsidRPr="001D0154">
        <w:rPr>
          <w:rFonts w:eastAsia="Times New Roman" w:cs="Times New Roman"/>
          <w:bCs/>
        </w:rPr>
        <w:t>5.</w:t>
      </w:r>
      <w:r>
        <w:rPr>
          <w:rFonts w:asciiTheme="minorHAnsi" w:eastAsiaTheme="minorEastAsia" w:hAnsiTheme="minorHAnsi" w:cstheme="minorBidi"/>
          <w:b w:val="0"/>
          <w:sz w:val="22"/>
          <w:szCs w:val="22"/>
          <w:lang w:eastAsia="en-AU"/>
        </w:rPr>
        <w:tab/>
      </w:r>
      <w:r>
        <w:t>Data appendix: Major truck company emissions 2008-09 to 2013-14</w:t>
      </w:r>
      <w:r>
        <w:tab/>
      </w:r>
      <w:r>
        <w:fldChar w:fldCharType="begin"/>
      </w:r>
      <w:r>
        <w:instrText xml:space="preserve"> PAGEREF _Toc417380314 \h </w:instrText>
      </w:r>
      <w:r>
        <w:fldChar w:fldCharType="separate"/>
      </w:r>
      <w:r w:rsidR="001C57F8">
        <w:t>7</w:t>
      </w:r>
      <w:r>
        <w:fldChar w:fldCharType="end"/>
      </w:r>
    </w:p>
    <w:p w:rsidR="00241C15" w:rsidRPr="00124BE7" w:rsidRDefault="003B2024" w:rsidP="009F139B">
      <w:pPr>
        <w:tabs>
          <w:tab w:val="right" w:leader="dot" w:pos="9645"/>
        </w:tabs>
        <w:rPr>
          <w:rFonts w:ascii="Arial" w:hAnsi="Arial" w:cs="Arial"/>
        </w:rPr>
      </w:pPr>
      <w:r w:rsidRPr="00124BE7">
        <w:rPr>
          <w:rFonts w:ascii="Arial" w:hAnsi="Arial" w:cs="Arial"/>
          <w:b/>
          <w:noProof/>
        </w:rPr>
        <w:fldChar w:fldCharType="end"/>
      </w:r>
    </w:p>
    <w:p w:rsidR="00576ED0" w:rsidRPr="00124BE7" w:rsidRDefault="00576ED0" w:rsidP="009F139B">
      <w:pPr>
        <w:rPr>
          <w:rFonts w:ascii="Arial" w:hAnsi="Arial" w:cs="Arial"/>
        </w:rPr>
      </w:pPr>
      <w:r w:rsidRPr="00124BE7">
        <w:rPr>
          <w:rFonts w:ascii="Arial" w:hAnsi="Arial" w:cs="Arial"/>
        </w:rPr>
        <w:br w:type="page"/>
      </w:r>
    </w:p>
    <w:p w:rsidR="005B64D9" w:rsidRPr="00124BE7" w:rsidRDefault="005B64D9" w:rsidP="009F139B">
      <w:pPr>
        <w:pStyle w:val="Heading1"/>
        <w:rPr>
          <w:szCs w:val="22"/>
        </w:rPr>
      </w:pPr>
      <w:bookmarkStart w:id="0" w:name="_Toc417380310"/>
      <w:r w:rsidRPr="00124BE7">
        <w:rPr>
          <w:szCs w:val="22"/>
        </w:rPr>
        <w:lastRenderedPageBreak/>
        <w:t>Australian Trucking Association</w:t>
      </w:r>
      <w:bookmarkEnd w:id="0"/>
    </w:p>
    <w:p w:rsidR="005B64D9" w:rsidRPr="00124BE7" w:rsidRDefault="005B64D9" w:rsidP="009F139B">
      <w:pPr>
        <w:pStyle w:val="BodyText2"/>
        <w:rPr>
          <w:b w:val="0"/>
          <w:szCs w:val="22"/>
        </w:rPr>
      </w:pPr>
    </w:p>
    <w:p w:rsidR="005B64D9" w:rsidRPr="00124BE7" w:rsidRDefault="005B64D9" w:rsidP="009F139B">
      <w:pPr>
        <w:pStyle w:val="BodyText2"/>
        <w:rPr>
          <w:b w:val="0"/>
          <w:szCs w:val="22"/>
        </w:rPr>
      </w:pPr>
      <w:r w:rsidRPr="00124BE7">
        <w:rPr>
          <w:b w:val="0"/>
          <w:szCs w:val="22"/>
        </w:rPr>
        <w:t xml:space="preserve">The ATA is the peak body that represents the trucking industry. Its members include state and sector-based trucking associations, some of the nation’s largest transport companies, and businesses with leading expertise in truck technology. </w:t>
      </w:r>
    </w:p>
    <w:p w:rsidR="005B64D9" w:rsidRDefault="005B64D9" w:rsidP="009F139B">
      <w:pPr>
        <w:pStyle w:val="BodyText2"/>
        <w:rPr>
          <w:b w:val="0"/>
          <w:szCs w:val="22"/>
        </w:rPr>
      </w:pPr>
    </w:p>
    <w:p w:rsidR="00331895" w:rsidRPr="00124BE7" w:rsidRDefault="00331895" w:rsidP="009F139B">
      <w:pPr>
        <w:pStyle w:val="BodyText2"/>
        <w:rPr>
          <w:b w:val="0"/>
          <w:szCs w:val="22"/>
        </w:rPr>
      </w:pPr>
    </w:p>
    <w:p w:rsidR="00600132" w:rsidRPr="00124BE7" w:rsidRDefault="00576ED0" w:rsidP="009F139B">
      <w:pPr>
        <w:pStyle w:val="Heading1"/>
        <w:rPr>
          <w:szCs w:val="22"/>
        </w:rPr>
      </w:pPr>
      <w:bookmarkStart w:id="1" w:name="_Toc417380311"/>
      <w:r w:rsidRPr="00124BE7">
        <w:rPr>
          <w:szCs w:val="22"/>
        </w:rPr>
        <w:t>Introduction</w:t>
      </w:r>
      <w:bookmarkEnd w:id="1"/>
    </w:p>
    <w:p w:rsidR="00C322A1" w:rsidRDefault="00C322A1" w:rsidP="009F139B">
      <w:pPr>
        <w:rPr>
          <w:rFonts w:ascii="Arial" w:eastAsia="Times New Roman" w:hAnsi="Arial" w:cs="Arial"/>
          <w:bCs/>
        </w:rPr>
      </w:pPr>
    </w:p>
    <w:p w:rsidR="00207496" w:rsidRDefault="00207496" w:rsidP="009F139B">
      <w:pPr>
        <w:rPr>
          <w:rFonts w:ascii="Arial" w:eastAsia="Times New Roman" w:hAnsi="Arial" w:cs="Arial"/>
          <w:bCs/>
        </w:rPr>
      </w:pPr>
      <w:r>
        <w:rPr>
          <w:rFonts w:ascii="Arial" w:eastAsia="Times New Roman" w:hAnsi="Arial" w:cs="Arial"/>
          <w:bCs/>
        </w:rPr>
        <w:t xml:space="preserve">The safeguard mechanism </w:t>
      </w:r>
      <w:r w:rsidR="00331895">
        <w:rPr>
          <w:rFonts w:ascii="Arial" w:eastAsia="Times New Roman" w:hAnsi="Arial" w:cs="Arial"/>
          <w:bCs/>
        </w:rPr>
        <w:t>proposed by the Department of the Environment is intended to</w:t>
      </w:r>
      <w:r>
        <w:rPr>
          <w:rFonts w:ascii="Arial" w:eastAsia="Times New Roman" w:hAnsi="Arial" w:cs="Arial"/>
          <w:bCs/>
        </w:rPr>
        <w:t xml:space="preserve"> ensure </w:t>
      </w:r>
      <w:r w:rsidR="009F139B">
        <w:rPr>
          <w:rFonts w:ascii="Arial" w:eastAsia="Times New Roman" w:hAnsi="Arial" w:cs="Arial"/>
          <w:bCs/>
        </w:rPr>
        <w:t xml:space="preserve">that </w:t>
      </w:r>
      <w:r w:rsidRPr="00207496">
        <w:rPr>
          <w:rFonts w:ascii="Arial" w:eastAsia="Times New Roman" w:hAnsi="Arial" w:cs="Arial"/>
          <w:bCs/>
        </w:rPr>
        <w:t xml:space="preserve">emissions reductions </w:t>
      </w:r>
      <w:r w:rsidR="00421D8C">
        <w:rPr>
          <w:rFonts w:ascii="Arial" w:eastAsia="Times New Roman" w:hAnsi="Arial" w:cs="Arial"/>
          <w:bCs/>
        </w:rPr>
        <w:t>funded by</w:t>
      </w:r>
      <w:r w:rsidRPr="00207496">
        <w:rPr>
          <w:rFonts w:ascii="Arial" w:eastAsia="Times New Roman" w:hAnsi="Arial" w:cs="Arial"/>
          <w:bCs/>
        </w:rPr>
        <w:t xml:space="preserve"> the Emissions Reduction Fund </w:t>
      </w:r>
      <w:r>
        <w:rPr>
          <w:rFonts w:ascii="Arial" w:eastAsia="Times New Roman" w:hAnsi="Arial" w:cs="Arial"/>
          <w:bCs/>
        </w:rPr>
        <w:t xml:space="preserve">(ERF) </w:t>
      </w:r>
      <w:r w:rsidRPr="00207496">
        <w:rPr>
          <w:rFonts w:ascii="Arial" w:eastAsia="Times New Roman" w:hAnsi="Arial" w:cs="Arial"/>
          <w:bCs/>
        </w:rPr>
        <w:t>are not offset by significant increases in emissions elsewhere in the economy.</w:t>
      </w:r>
    </w:p>
    <w:p w:rsidR="00331895" w:rsidRDefault="00331895" w:rsidP="009F139B">
      <w:pPr>
        <w:rPr>
          <w:rFonts w:ascii="Arial" w:eastAsia="Times New Roman" w:hAnsi="Arial" w:cs="Arial"/>
          <w:bCs/>
        </w:rPr>
      </w:pPr>
    </w:p>
    <w:p w:rsidR="00C50665" w:rsidRDefault="00C50665" w:rsidP="009F139B">
      <w:pPr>
        <w:rPr>
          <w:rFonts w:ascii="Arial" w:eastAsia="Times New Roman" w:hAnsi="Arial" w:cs="Arial"/>
          <w:bCs/>
        </w:rPr>
      </w:pPr>
      <w:r w:rsidRPr="00C50665">
        <w:rPr>
          <w:rFonts w:ascii="Arial" w:eastAsia="Times New Roman" w:hAnsi="Arial" w:cs="Arial"/>
          <w:bCs/>
        </w:rPr>
        <w:t xml:space="preserve">The safeguard mechanism </w:t>
      </w:r>
      <w:r w:rsidR="00421D8C">
        <w:rPr>
          <w:rFonts w:ascii="Arial" w:eastAsia="Times New Roman" w:hAnsi="Arial" w:cs="Arial"/>
          <w:bCs/>
        </w:rPr>
        <w:t>is intended to</w:t>
      </w:r>
      <w:r w:rsidRPr="00C50665">
        <w:rPr>
          <w:rFonts w:ascii="Arial" w:eastAsia="Times New Roman" w:hAnsi="Arial" w:cs="Arial"/>
          <w:bCs/>
        </w:rPr>
        <w:t xml:space="preserve"> encourage businesses not to increase emissions above historical levels and </w:t>
      </w:r>
      <w:r w:rsidR="00421D8C">
        <w:rPr>
          <w:rFonts w:ascii="Arial" w:eastAsia="Times New Roman" w:hAnsi="Arial" w:cs="Arial"/>
          <w:bCs/>
        </w:rPr>
        <w:t xml:space="preserve">is to be </w:t>
      </w:r>
      <w:r w:rsidR="00421D8C" w:rsidRPr="00C50665">
        <w:rPr>
          <w:rFonts w:ascii="Arial" w:eastAsia="Times New Roman" w:hAnsi="Arial" w:cs="Arial"/>
          <w:bCs/>
        </w:rPr>
        <w:t>administered</w:t>
      </w:r>
      <w:r w:rsidRPr="00C50665">
        <w:rPr>
          <w:rFonts w:ascii="Arial" w:eastAsia="Times New Roman" w:hAnsi="Arial" w:cs="Arial"/>
          <w:bCs/>
        </w:rPr>
        <w:t xml:space="preserve"> through the </w:t>
      </w:r>
      <w:r w:rsidRPr="00C50665">
        <w:rPr>
          <w:rFonts w:ascii="Arial" w:eastAsia="Times New Roman" w:hAnsi="Arial" w:cs="Arial"/>
          <w:bCs/>
          <w:i/>
        </w:rPr>
        <w:t>National Greenhouse and Energy Reporting Act 2007</w:t>
      </w:r>
      <w:r w:rsidRPr="00C50665">
        <w:rPr>
          <w:rFonts w:ascii="Arial" w:eastAsia="Times New Roman" w:hAnsi="Arial" w:cs="Arial"/>
          <w:bCs/>
        </w:rPr>
        <w:t xml:space="preserve">, as set out in the </w:t>
      </w:r>
      <w:r w:rsidRPr="00C50665">
        <w:rPr>
          <w:rFonts w:ascii="Arial" w:eastAsia="Times New Roman" w:hAnsi="Arial" w:cs="Arial"/>
          <w:bCs/>
          <w:i/>
        </w:rPr>
        <w:t>Carbon Farming Initiative Amendment Act 2014</w:t>
      </w:r>
      <w:r w:rsidRPr="00C50665">
        <w:rPr>
          <w:rFonts w:ascii="Arial" w:eastAsia="Times New Roman" w:hAnsi="Arial" w:cs="Arial"/>
          <w:bCs/>
        </w:rPr>
        <w:t>.</w:t>
      </w:r>
    </w:p>
    <w:p w:rsidR="00C50665" w:rsidRDefault="00C50665" w:rsidP="009F139B">
      <w:pPr>
        <w:rPr>
          <w:rFonts w:ascii="Arial" w:eastAsia="Times New Roman" w:hAnsi="Arial" w:cs="Arial"/>
          <w:bCs/>
        </w:rPr>
      </w:pPr>
    </w:p>
    <w:p w:rsidR="000D351A" w:rsidRPr="000D351A" w:rsidRDefault="000D351A" w:rsidP="009F139B">
      <w:pPr>
        <w:rPr>
          <w:rFonts w:ascii="Arial" w:hAnsi="Arial" w:cs="Arial"/>
          <w:bCs/>
        </w:rPr>
      </w:pPr>
      <w:r>
        <w:rPr>
          <w:rFonts w:ascii="Arial" w:eastAsia="Times New Roman" w:hAnsi="Arial" w:cs="Arial"/>
          <w:bCs/>
        </w:rPr>
        <w:t>The mechanism is part of three elements</w:t>
      </w:r>
      <w:r w:rsidR="00421D8C">
        <w:rPr>
          <w:rFonts w:ascii="Arial" w:eastAsia="Times New Roman" w:hAnsi="Arial" w:cs="Arial"/>
          <w:bCs/>
        </w:rPr>
        <w:t xml:space="preserve"> of the ERF:</w:t>
      </w:r>
      <w:r>
        <w:rPr>
          <w:rFonts w:ascii="Arial" w:eastAsia="Times New Roman" w:hAnsi="Arial" w:cs="Arial"/>
          <w:bCs/>
        </w:rPr>
        <w:t xml:space="preserve"> </w:t>
      </w:r>
      <w:r w:rsidRPr="000D351A">
        <w:rPr>
          <w:rFonts w:ascii="Arial" w:eastAsia="Times New Roman" w:hAnsi="Arial" w:cs="Arial"/>
          <w:bCs/>
        </w:rPr>
        <w:t xml:space="preserve">crediting, purchasing and safeguarding emissions reductions. Implementation of the crediting and purchasing components is underway, with the first auction </w:t>
      </w:r>
      <w:r w:rsidR="00421D8C">
        <w:rPr>
          <w:rFonts w:ascii="Arial" w:eastAsia="Times New Roman" w:hAnsi="Arial" w:cs="Arial"/>
          <w:bCs/>
        </w:rPr>
        <w:t>held on</w:t>
      </w:r>
      <w:r w:rsidRPr="000D351A">
        <w:rPr>
          <w:rFonts w:ascii="Arial" w:eastAsia="Times New Roman" w:hAnsi="Arial" w:cs="Arial"/>
          <w:bCs/>
        </w:rPr>
        <w:t xml:space="preserve"> 15 April 2015. These</w:t>
      </w:r>
      <w:r w:rsidRPr="000D351A">
        <w:rPr>
          <w:rFonts w:ascii="Arial" w:hAnsi="Arial" w:cs="Arial"/>
          <w:bCs/>
        </w:rPr>
        <w:t xml:space="preserve"> rules will be finalised in late 2015 and the safeguard mechanism will commence on 1 July 2016.</w:t>
      </w:r>
    </w:p>
    <w:p w:rsidR="00C50665" w:rsidRDefault="00C50665" w:rsidP="009F139B"/>
    <w:p w:rsidR="000D351A" w:rsidRDefault="000D351A" w:rsidP="009F139B">
      <w:pPr>
        <w:rPr>
          <w:rFonts w:ascii="Arial" w:eastAsia="Times New Roman" w:hAnsi="Arial" w:cs="Arial"/>
          <w:bCs/>
        </w:rPr>
      </w:pPr>
      <w:r w:rsidRPr="000D351A">
        <w:rPr>
          <w:rFonts w:ascii="Arial" w:eastAsia="Times New Roman" w:hAnsi="Arial" w:cs="Arial"/>
          <w:bCs/>
        </w:rPr>
        <w:t xml:space="preserve">The safeguard mechanism </w:t>
      </w:r>
      <w:r w:rsidR="009F139B">
        <w:rPr>
          <w:rFonts w:ascii="Arial" w:eastAsia="Times New Roman" w:hAnsi="Arial" w:cs="Arial"/>
          <w:bCs/>
        </w:rPr>
        <w:t>is intended to</w:t>
      </w:r>
      <w:r w:rsidRPr="000D351A">
        <w:rPr>
          <w:rFonts w:ascii="Arial" w:eastAsia="Times New Roman" w:hAnsi="Arial" w:cs="Arial"/>
          <w:bCs/>
        </w:rPr>
        <w:t xml:space="preserve"> </w:t>
      </w:r>
      <w:r w:rsidR="00C50665" w:rsidRPr="00C50665">
        <w:rPr>
          <w:rFonts w:ascii="Arial" w:eastAsia="Times New Roman" w:hAnsi="Arial" w:cs="Arial"/>
          <w:bCs/>
        </w:rPr>
        <w:t>deliver an incentive that is sufficient to deter</w:t>
      </w:r>
      <w:r>
        <w:rPr>
          <w:rFonts w:ascii="Arial" w:eastAsia="Times New Roman" w:hAnsi="Arial" w:cs="Arial"/>
          <w:bCs/>
        </w:rPr>
        <w:t xml:space="preserve"> </w:t>
      </w:r>
      <w:r w:rsidR="00C50665" w:rsidRPr="00C50665">
        <w:rPr>
          <w:rFonts w:ascii="Arial" w:eastAsia="Times New Roman" w:hAnsi="Arial" w:cs="Arial"/>
          <w:bCs/>
        </w:rPr>
        <w:t>emissions increases beyond established baselines. But it must do so in a way that does not</w:t>
      </w:r>
      <w:r>
        <w:rPr>
          <w:rFonts w:ascii="Arial" w:eastAsia="Times New Roman" w:hAnsi="Arial" w:cs="Arial"/>
          <w:bCs/>
        </w:rPr>
        <w:t xml:space="preserve"> </w:t>
      </w:r>
      <w:r w:rsidR="00C50665" w:rsidRPr="00C50665">
        <w:rPr>
          <w:rFonts w:ascii="Arial" w:eastAsia="Times New Roman" w:hAnsi="Arial" w:cs="Arial"/>
          <w:bCs/>
        </w:rPr>
        <w:t>impose unnecessary costs on Australian businesses.</w:t>
      </w:r>
      <w:r>
        <w:rPr>
          <w:rFonts w:ascii="Arial" w:eastAsia="Times New Roman" w:hAnsi="Arial" w:cs="Arial"/>
          <w:bCs/>
        </w:rPr>
        <w:t xml:space="preserve"> The </w:t>
      </w:r>
      <w:r w:rsidR="00421D8C">
        <w:rPr>
          <w:rFonts w:ascii="Arial" w:eastAsia="Times New Roman" w:hAnsi="Arial" w:cs="Arial"/>
          <w:bCs/>
        </w:rPr>
        <w:t xml:space="preserve">Government states that the </w:t>
      </w:r>
      <w:r>
        <w:rPr>
          <w:rFonts w:ascii="Arial" w:eastAsia="Times New Roman" w:hAnsi="Arial" w:cs="Arial"/>
          <w:bCs/>
        </w:rPr>
        <w:t xml:space="preserve">safeguard mechanism is not like a carbon tax and will raise no revenue. </w:t>
      </w:r>
    </w:p>
    <w:p w:rsidR="00C50665" w:rsidRPr="00C50665" w:rsidRDefault="00C50665" w:rsidP="009F139B">
      <w:pPr>
        <w:rPr>
          <w:rFonts w:ascii="Arial" w:eastAsia="Times New Roman" w:hAnsi="Arial" w:cs="Arial"/>
          <w:bCs/>
        </w:rPr>
      </w:pPr>
    </w:p>
    <w:p w:rsidR="00C50665" w:rsidRDefault="00C50665" w:rsidP="009F139B">
      <w:pPr>
        <w:rPr>
          <w:rFonts w:ascii="Arial" w:eastAsia="Times New Roman" w:hAnsi="Arial" w:cs="Arial"/>
          <w:bCs/>
        </w:rPr>
      </w:pPr>
      <w:r w:rsidRPr="00C50665">
        <w:rPr>
          <w:rFonts w:ascii="Arial" w:eastAsia="Times New Roman" w:hAnsi="Arial" w:cs="Arial"/>
          <w:bCs/>
        </w:rPr>
        <w:t>The Government recognises the need to maximise flexibility in safeguard design. The</w:t>
      </w:r>
      <w:r w:rsidR="000D351A">
        <w:rPr>
          <w:rFonts w:ascii="Arial" w:eastAsia="Times New Roman" w:hAnsi="Arial" w:cs="Arial"/>
          <w:bCs/>
        </w:rPr>
        <w:t xml:space="preserve"> </w:t>
      </w:r>
      <w:r w:rsidRPr="00C50665">
        <w:rPr>
          <w:rFonts w:ascii="Arial" w:eastAsia="Times New Roman" w:hAnsi="Arial" w:cs="Arial"/>
          <w:bCs/>
        </w:rPr>
        <w:t>Emissions Reduction Fund legislation has established a high-level framework for businesses</w:t>
      </w:r>
      <w:r w:rsidR="009F139B">
        <w:rPr>
          <w:rFonts w:ascii="Arial" w:eastAsia="Times New Roman" w:hAnsi="Arial" w:cs="Arial"/>
          <w:bCs/>
        </w:rPr>
        <w:t xml:space="preserve"> </w:t>
      </w:r>
      <w:r w:rsidRPr="00C50665">
        <w:rPr>
          <w:rFonts w:ascii="Arial" w:eastAsia="Times New Roman" w:hAnsi="Arial" w:cs="Arial"/>
          <w:bCs/>
        </w:rPr>
        <w:t>to manage their emissions consistent with this principle, including:</w:t>
      </w:r>
    </w:p>
    <w:p w:rsidR="000D351A" w:rsidRPr="00C50665" w:rsidRDefault="000D351A" w:rsidP="009F139B">
      <w:pPr>
        <w:rPr>
          <w:rFonts w:ascii="Arial" w:eastAsia="Times New Roman" w:hAnsi="Arial" w:cs="Arial"/>
          <w:bCs/>
        </w:rPr>
      </w:pPr>
    </w:p>
    <w:p w:rsidR="00C50665" w:rsidRPr="000D351A" w:rsidRDefault="00C50665" w:rsidP="009F139B">
      <w:pPr>
        <w:pStyle w:val="ListParagraph"/>
        <w:numPr>
          <w:ilvl w:val="0"/>
          <w:numId w:val="9"/>
        </w:numPr>
        <w:rPr>
          <w:rFonts w:ascii="Arial" w:eastAsia="Times New Roman" w:hAnsi="Arial" w:cs="Arial"/>
          <w:bCs/>
        </w:rPr>
      </w:pPr>
      <w:r w:rsidRPr="000D351A">
        <w:rPr>
          <w:rFonts w:ascii="Arial" w:eastAsia="Times New Roman" w:hAnsi="Arial" w:cs="Arial"/>
          <w:bCs/>
        </w:rPr>
        <w:t>a requirement that facility emissions remain below their baselines;</w:t>
      </w:r>
    </w:p>
    <w:p w:rsidR="00C50665" w:rsidRPr="000D351A" w:rsidRDefault="00C50665" w:rsidP="009F139B">
      <w:pPr>
        <w:pStyle w:val="ListParagraph"/>
        <w:numPr>
          <w:ilvl w:val="0"/>
          <w:numId w:val="9"/>
        </w:numPr>
        <w:rPr>
          <w:rFonts w:ascii="Arial" w:eastAsia="Times New Roman" w:hAnsi="Arial" w:cs="Arial"/>
          <w:bCs/>
        </w:rPr>
      </w:pPr>
      <w:r w:rsidRPr="000D351A">
        <w:rPr>
          <w:rFonts w:ascii="Arial" w:eastAsia="Times New Roman" w:hAnsi="Arial" w:cs="Arial"/>
          <w:bCs/>
        </w:rPr>
        <w:t>a ‘net emissions’ approach, allowing businesses to voluntarily use carbon offsets to net off</w:t>
      </w:r>
      <w:r w:rsidR="000D351A">
        <w:rPr>
          <w:rFonts w:ascii="Arial" w:eastAsia="Times New Roman" w:hAnsi="Arial" w:cs="Arial"/>
          <w:bCs/>
        </w:rPr>
        <w:t xml:space="preserve"> </w:t>
      </w:r>
      <w:r w:rsidRPr="000D351A">
        <w:rPr>
          <w:rFonts w:ascii="Arial" w:eastAsia="Times New Roman" w:hAnsi="Arial" w:cs="Arial"/>
          <w:bCs/>
        </w:rPr>
        <w:t>emissions, as is currently available under voluntary carbon neutral programmes;</w:t>
      </w:r>
    </w:p>
    <w:p w:rsidR="00C50665" w:rsidRPr="000D351A" w:rsidRDefault="00C50665" w:rsidP="009F139B">
      <w:pPr>
        <w:pStyle w:val="ListParagraph"/>
        <w:numPr>
          <w:ilvl w:val="0"/>
          <w:numId w:val="8"/>
        </w:numPr>
        <w:rPr>
          <w:rFonts w:ascii="Arial" w:eastAsia="Times New Roman" w:hAnsi="Arial" w:cs="Arial"/>
          <w:bCs/>
        </w:rPr>
      </w:pPr>
      <w:r w:rsidRPr="000D351A">
        <w:rPr>
          <w:rFonts w:ascii="Arial" w:eastAsia="Times New Roman" w:hAnsi="Arial" w:cs="Arial"/>
          <w:bCs/>
        </w:rPr>
        <w:t>an exemption for facilities whose emissions are the result of exceptional circumstances,</w:t>
      </w:r>
      <w:r w:rsidR="000D351A">
        <w:rPr>
          <w:rFonts w:ascii="Arial" w:eastAsia="Times New Roman" w:hAnsi="Arial" w:cs="Arial"/>
          <w:bCs/>
        </w:rPr>
        <w:t xml:space="preserve"> </w:t>
      </w:r>
      <w:r w:rsidRPr="000D351A">
        <w:rPr>
          <w:rFonts w:ascii="Arial" w:eastAsia="Times New Roman" w:hAnsi="Arial" w:cs="Arial"/>
          <w:bCs/>
        </w:rPr>
        <w:t>such as a natural disaster; and</w:t>
      </w:r>
    </w:p>
    <w:p w:rsidR="00C50665" w:rsidRPr="000D351A" w:rsidRDefault="00C50665" w:rsidP="009F139B">
      <w:pPr>
        <w:pStyle w:val="ListParagraph"/>
        <w:numPr>
          <w:ilvl w:val="0"/>
          <w:numId w:val="8"/>
        </w:numPr>
        <w:rPr>
          <w:rFonts w:ascii="Arial" w:eastAsia="Times New Roman" w:hAnsi="Arial" w:cs="Arial"/>
          <w:bCs/>
        </w:rPr>
      </w:pPr>
      <w:r w:rsidRPr="000D351A">
        <w:rPr>
          <w:rFonts w:ascii="Arial" w:eastAsia="Times New Roman" w:hAnsi="Arial" w:cs="Arial"/>
          <w:bCs/>
        </w:rPr>
        <w:t>a range of discretionary, graduated enforcement options to deter non-compliance,</w:t>
      </w:r>
      <w:r w:rsidR="000D351A">
        <w:rPr>
          <w:rFonts w:ascii="Arial" w:eastAsia="Times New Roman" w:hAnsi="Arial" w:cs="Arial"/>
          <w:bCs/>
        </w:rPr>
        <w:t xml:space="preserve"> </w:t>
      </w:r>
      <w:r w:rsidRPr="000D351A">
        <w:rPr>
          <w:rFonts w:ascii="Arial" w:eastAsia="Times New Roman" w:hAnsi="Arial" w:cs="Arial"/>
          <w:bCs/>
        </w:rPr>
        <w:t>including a final sanction in the form of a civil penalty.</w:t>
      </w:r>
    </w:p>
    <w:p w:rsidR="008519CD" w:rsidRPr="008519CD" w:rsidRDefault="00331895" w:rsidP="009F139B">
      <w:pPr>
        <w:rPr>
          <w:rFonts w:ascii="Arial" w:hAnsi="Arial" w:cs="Arial"/>
          <w:bCs/>
        </w:rPr>
      </w:pPr>
      <w:r>
        <w:rPr>
          <w:rFonts w:ascii="Arial" w:hAnsi="Arial" w:cs="Arial"/>
          <w:bCs/>
        </w:rPr>
        <w:t>S</w:t>
      </w:r>
      <w:r w:rsidR="008519CD">
        <w:rPr>
          <w:rFonts w:ascii="Arial" w:hAnsi="Arial" w:cs="Arial"/>
          <w:bCs/>
        </w:rPr>
        <w:t xml:space="preserve">ome trucking operators have </w:t>
      </w:r>
      <w:r w:rsidR="008519CD" w:rsidRPr="008519CD">
        <w:rPr>
          <w:rFonts w:ascii="Arial" w:hAnsi="Arial" w:cs="Arial"/>
          <w:bCs/>
        </w:rPr>
        <w:t>direct emissi</w:t>
      </w:r>
      <w:r w:rsidR="008519CD">
        <w:rPr>
          <w:rFonts w:ascii="Arial" w:hAnsi="Arial" w:cs="Arial"/>
          <w:bCs/>
        </w:rPr>
        <w:t xml:space="preserve">ons </w:t>
      </w:r>
      <w:r>
        <w:rPr>
          <w:rFonts w:ascii="Arial" w:hAnsi="Arial" w:cs="Arial"/>
          <w:bCs/>
        </w:rPr>
        <w:t xml:space="preserve">of </w:t>
      </w:r>
      <w:r w:rsidR="00421D8C">
        <w:rPr>
          <w:rFonts w:ascii="Arial" w:hAnsi="Arial" w:cs="Arial"/>
          <w:bCs/>
        </w:rPr>
        <w:t>more than</w:t>
      </w:r>
      <w:r w:rsidR="008519CD">
        <w:rPr>
          <w:rFonts w:ascii="Arial" w:hAnsi="Arial" w:cs="Arial"/>
          <w:bCs/>
        </w:rPr>
        <w:t xml:space="preserve"> 100,000 tonnes a year </w:t>
      </w:r>
      <w:r>
        <w:rPr>
          <w:rFonts w:ascii="Arial" w:hAnsi="Arial" w:cs="Arial"/>
          <w:bCs/>
        </w:rPr>
        <w:t xml:space="preserve">and will therefore be affected by the safeguard mechanism. </w:t>
      </w:r>
    </w:p>
    <w:p w:rsidR="00207496" w:rsidRDefault="00207496" w:rsidP="009F139B">
      <w:pPr>
        <w:rPr>
          <w:rFonts w:ascii="Arial" w:eastAsia="Times New Roman" w:hAnsi="Arial" w:cs="Arial"/>
          <w:bCs/>
        </w:rPr>
      </w:pPr>
    </w:p>
    <w:p w:rsidR="006153CB" w:rsidRDefault="00331895" w:rsidP="009F139B">
      <w:pPr>
        <w:rPr>
          <w:rFonts w:ascii="Arial" w:eastAsia="Times New Roman" w:hAnsi="Arial" w:cs="Arial"/>
          <w:bCs/>
        </w:rPr>
      </w:pPr>
      <w:r>
        <w:rPr>
          <w:rFonts w:ascii="Arial" w:eastAsia="Times New Roman" w:hAnsi="Arial" w:cs="Arial"/>
          <w:bCs/>
        </w:rPr>
        <w:t xml:space="preserve">Section 3 of this submission draws on the </w:t>
      </w:r>
      <w:proofErr w:type="spellStart"/>
      <w:r>
        <w:rPr>
          <w:rFonts w:ascii="Arial" w:eastAsia="Times New Roman" w:hAnsi="Arial" w:cs="Arial"/>
          <w:bCs/>
        </w:rPr>
        <w:t>NGER</w:t>
      </w:r>
      <w:proofErr w:type="spellEnd"/>
      <w:r>
        <w:rPr>
          <w:rFonts w:ascii="Arial" w:eastAsia="Times New Roman" w:hAnsi="Arial" w:cs="Arial"/>
          <w:bCs/>
        </w:rPr>
        <w:t xml:space="preserve"> database to show that trucking business emissions do not change in the way anticipated by the proposed mechanism. </w:t>
      </w:r>
      <w:r w:rsidR="00421D8C">
        <w:rPr>
          <w:rFonts w:ascii="Arial" w:eastAsia="Times New Roman" w:hAnsi="Arial" w:cs="Arial"/>
          <w:bCs/>
        </w:rPr>
        <w:t>Although there are exceptions, t</w:t>
      </w:r>
      <w:r>
        <w:rPr>
          <w:rFonts w:ascii="Arial" w:eastAsia="Times New Roman" w:hAnsi="Arial" w:cs="Arial"/>
          <w:bCs/>
        </w:rPr>
        <w:t>hey tend to grow slowly as network</w:t>
      </w:r>
      <w:r w:rsidR="00421D8C">
        <w:rPr>
          <w:rFonts w:ascii="Arial" w:eastAsia="Times New Roman" w:hAnsi="Arial" w:cs="Arial"/>
          <w:bCs/>
        </w:rPr>
        <w:t>s grow</w:t>
      </w:r>
      <w:r>
        <w:rPr>
          <w:rFonts w:ascii="Arial" w:eastAsia="Times New Roman" w:hAnsi="Arial" w:cs="Arial"/>
          <w:bCs/>
        </w:rPr>
        <w:t xml:space="preserve">, rather than in the </w:t>
      </w:r>
      <w:r w:rsidR="00421D8C">
        <w:rPr>
          <w:rFonts w:ascii="Arial" w:eastAsia="Times New Roman" w:hAnsi="Arial" w:cs="Arial"/>
          <w:bCs/>
        </w:rPr>
        <w:t xml:space="preserve">significant, stepwise </w:t>
      </w:r>
      <w:r>
        <w:rPr>
          <w:rFonts w:ascii="Arial" w:eastAsia="Times New Roman" w:hAnsi="Arial" w:cs="Arial"/>
          <w:bCs/>
        </w:rPr>
        <w:t xml:space="preserve">expansions envisioned by the paper. </w:t>
      </w:r>
    </w:p>
    <w:p w:rsidR="00331895" w:rsidRDefault="00331895" w:rsidP="009F139B">
      <w:pPr>
        <w:rPr>
          <w:rFonts w:ascii="Arial" w:eastAsia="Times New Roman" w:hAnsi="Arial" w:cs="Arial"/>
          <w:bCs/>
        </w:rPr>
      </w:pPr>
    </w:p>
    <w:p w:rsidR="00331895" w:rsidRDefault="00331895" w:rsidP="009F139B">
      <w:pPr>
        <w:rPr>
          <w:rFonts w:ascii="Arial" w:eastAsia="Times New Roman" w:hAnsi="Arial" w:cs="Arial"/>
          <w:bCs/>
        </w:rPr>
      </w:pPr>
      <w:r>
        <w:rPr>
          <w:rFonts w:ascii="Arial" w:eastAsia="Times New Roman" w:hAnsi="Arial" w:cs="Arial"/>
          <w:bCs/>
        </w:rPr>
        <w:t xml:space="preserve">Section 4 </w:t>
      </w:r>
      <w:r w:rsidR="009F139B">
        <w:rPr>
          <w:rFonts w:ascii="Arial" w:eastAsia="Times New Roman" w:hAnsi="Arial" w:cs="Arial"/>
          <w:bCs/>
        </w:rPr>
        <w:t>warns of the need for an alternative approach</w:t>
      </w:r>
      <w:r>
        <w:rPr>
          <w:rFonts w:ascii="Arial" w:eastAsia="Times New Roman" w:hAnsi="Arial" w:cs="Arial"/>
          <w:bCs/>
        </w:rPr>
        <w:t xml:space="preserve"> that would reflect the specific characteristics of network businesses like road transport. </w:t>
      </w:r>
    </w:p>
    <w:p w:rsidR="008519CD" w:rsidRDefault="008519CD" w:rsidP="009F139B">
      <w:pPr>
        <w:rPr>
          <w:rFonts w:ascii="Arial" w:eastAsia="Times New Roman" w:hAnsi="Arial" w:cs="Arial"/>
          <w:bCs/>
        </w:rPr>
      </w:pPr>
    </w:p>
    <w:p w:rsidR="005E5886" w:rsidRDefault="005E5886" w:rsidP="009F139B">
      <w:pPr>
        <w:rPr>
          <w:rFonts w:ascii="Arial" w:eastAsia="Times New Roman" w:hAnsi="Arial" w:cs="Arial"/>
          <w:bCs/>
        </w:rPr>
      </w:pPr>
    </w:p>
    <w:p w:rsidR="005E5886" w:rsidRDefault="005E5886" w:rsidP="009F139B">
      <w:pPr>
        <w:rPr>
          <w:rFonts w:ascii="Arial" w:eastAsia="Times New Roman" w:hAnsi="Arial" w:cs="Arial"/>
          <w:bCs/>
        </w:rPr>
      </w:pPr>
    </w:p>
    <w:p w:rsidR="005E5886" w:rsidRDefault="005E5886" w:rsidP="009F139B">
      <w:pPr>
        <w:rPr>
          <w:rFonts w:ascii="Arial" w:eastAsia="Times New Roman" w:hAnsi="Arial" w:cs="Arial"/>
          <w:bCs/>
        </w:rPr>
      </w:pPr>
    </w:p>
    <w:p w:rsidR="005E5886" w:rsidRDefault="005E5886" w:rsidP="009F139B">
      <w:pPr>
        <w:rPr>
          <w:rFonts w:ascii="Arial" w:eastAsia="Times New Roman" w:hAnsi="Arial" w:cs="Arial"/>
          <w:bCs/>
        </w:rPr>
      </w:pPr>
    </w:p>
    <w:p w:rsidR="005E5886" w:rsidRDefault="005E5886" w:rsidP="009F139B">
      <w:pPr>
        <w:rPr>
          <w:rFonts w:ascii="Arial" w:eastAsia="Times New Roman" w:hAnsi="Arial" w:cs="Arial"/>
          <w:bCs/>
        </w:rPr>
      </w:pPr>
    </w:p>
    <w:p w:rsidR="005E5886" w:rsidRDefault="005E5886" w:rsidP="009F139B">
      <w:pPr>
        <w:rPr>
          <w:rFonts w:ascii="Arial" w:eastAsia="Times New Roman" w:hAnsi="Arial" w:cs="Arial"/>
          <w:bCs/>
        </w:rPr>
      </w:pPr>
    </w:p>
    <w:p w:rsidR="005E5886" w:rsidRDefault="005E5886" w:rsidP="009F139B">
      <w:pPr>
        <w:rPr>
          <w:rFonts w:ascii="Arial" w:eastAsia="Times New Roman" w:hAnsi="Arial" w:cs="Arial"/>
          <w:bCs/>
        </w:rPr>
      </w:pPr>
    </w:p>
    <w:p w:rsidR="008519CD" w:rsidRPr="008519CD" w:rsidRDefault="00421D8C" w:rsidP="009F139B">
      <w:pPr>
        <w:pStyle w:val="Heading1"/>
        <w:rPr>
          <w:szCs w:val="22"/>
        </w:rPr>
      </w:pPr>
      <w:bookmarkStart w:id="2" w:name="_Toc417380312"/>
      <w:r>
        <w:rPr>
          <w:szCs w:val="22"/>
        </w:rPr>
        <w:lastRenderedPageBreak/>
        <w:t>Emissions growth in the trucking industry</w:t>
      </w:r>
      <w:bookmarkEnd w:id="2"/>
      <w:r>
        <w:rPr>
          <w:szCs w:val="22"/>
        </w:rPr>
        <w:t xml:space="preserve"> </w:t>
      </w:r>
    </w:p>
    <w:p w:rsidR="008519CD" w:rsidRDefault="008519CD" w:rsidP="009F139B">
      <w:pPr>
        <w:rPr>
          <w:rFonts w:ascii="Arial" w:eastAsia="Times New Roman" w:hAnsi="Arial" w:cs="Arial"/>
          <w:bCs/>
        </w:rPr>
      </w:pPr>
    </w:p>
    <w:p w:rsidR="008519CD" w:rsidRPr="008519CD" w:rsidRDefault="008519CD" w:rsidP="009F139B">
      <w:pPr>
        <w:rPr>
          <w:rFonts w:ascii="Arial" w:eastAsia="Times New Roman" w:hAnsi="Arial" w:cs="Arial"/>
          <w:bCs/>
        </w:rPr>
      </w:pPr>
      <w:r w:rsidRPr="008519CD">
        <w:rPr>
          <w:rFonts w:ascii="Arial" w:eastAsia="Times New Roman" w:hAnsi="Arial" w:cs="Arial"/>
          <w:bCs/>
        </w:rPr>
        <w:t xml:space="preserve">Under the </w:t>
      </w:r>
      <w:r w:rsidRPr="00331895">
        <w:rPr>
          <w:rFonts w:ascii="Arial" w:eastAsia="Times New Roman" w:hAnsi="Arial" w:cs="Arial"/>
          <w:bCs/>
          <w:i/>
        </w:rPr>
        <w:t>National Greenhouse and Energy Reporting (</w:t>
      </w:r>
      <w:proofErr w:type="spellStart"/>
      <w:r w:rsidRPr="00331895">
        <w:rPr>
          <w:rFonts w:ascii="Arial" w:eastAsia="Times New Roman" w:hAnsi="Arial" w:cs="Arial"/>
          <w:bCs/>
          <w:i/>
        </w:rPr>
        <w:t>NGER</w:t>
      </w:r>
      <w:proofErr w:type="spellEnd"/>
      <w:r w:rsidRPr="00331895">
        <w:rPr>
          <w:rFonts w:ascii="Arial" w:eastAsia="Times New Roman" w:hAnsi="Arial" w:cs="Arial"/>
          <w:bCs/>
          <w:i/>
        </w:rPr>
        <w:t>) Act 2007</w:t>
      </w:r>
      <w:r w:rsidRPr="008519CD">
        <w:rPr>
          <w:rFonts w:ascii="Arial" w:eastAsia="Times New Roman" w:hAnsi="Arial" w:cs="Arial"/>
          <w:bCs/>
        </w:rPr>
        <w:t>, corporations that</w:t>
      </w:r>
    </w:p>
    <w:p w:rsidR="00E8117D" w:rsidRDefault="008519CD" w:rsidP="009F139B">
      <w:pPr>
        <w:rPr>
          <w:rFonts w:ascii="Arial" w:eastAsia="Times New Roman" w:hAnsi="Arial" w:cs="Arial"/>
          <w:bCs/>
        </w:rPr>
      </w:pPr>
      <w:r w:rsidRPr="008519CD">
        <w:rPr>
          <w:rFonts w:ascii="Arial" w:eastAsia="Times New Roman" w:hAnsi="Arial" w:cs="Arial"/>
          <w:bCs/>
        </w:rPr>
        <w:t>meet certain thresholds for greenhouse gas emissions</w:t>
      </w:r>
      <w:r w:rsidR="00421D8C">
        <w:rPr>
          <w:rFonts w:ascii="Arial" w:eastAsia="Times New Roman" w:hAnsi="Arial" w:cs="Arial"/>
          <w:bCs/>
        </w:rPr>
        <w:t>,</w:t>
      </w:r>
      <w:r w:rsidRPr="008519CD">
        <w:rPr>
          <w:rFonts w:ascii="Arial" w:eastAsia="Times New Roman" w:hAnsi="Arial" w:cs="Arial"/>
          <w:bCs/>
        </w:rPr>
        <w:t xml:space="preserve"> and energy production and</w:t>
      </w:r>
      <w:r w:rsidR="00825386">
        <w:rPr>
          <w:rFonts w:ascii="Arial" w:eastAsia="Times New Roman" w:hAnsi="Arial" w:cs="Arial"/>
          <w:bCs/>
        </w:rPr>
        <w:t xml:space="preserve"> </w:t>
      </w:r>
      <w:r w:rsidRPr="008519CD">
        <w:rPr>
          <w:rFonts w:ascii="Arial" w:eastAsia="Times New Roman" w:hAnsi="Arial" w:cs="Arial"/>
          <w:bCs/>
        </w:rPr>
        <w:t xml:space="preserve">consumption are required to report </w:t>
      </w:r>
      <w:r w:rsidR="00331895">
        <w:rPr>
          <w:rFonts w:ascii="Arial" w:eastAsia="Times New Roman" w:hAnsi="Arial" w:cs="Arial"/>
          <w:bCs/>
        </w:rPr>
        <w:t xml:space="preserve">their emissions.  </w:t>
      </w:r>
    </w:p>
    <w:p w:rsidR="00CA6AA6" w:rsidRDefault="00CA6AA6" w:rsidP="009F139B">
      <w:pPr>
        <w:rPr>
          <w:rFonts w:ascii="Arial" w:eastAsia="Times New Roman" w:hAnsi="Arial" w:cs="Arial"/>
          <w:bCs/>
        </w:rPr>
      </w:pPr>
    </w:p>
    <w:p w:rsidR="00FD7B16" w:rsidRDefault="00FD7B16" w:rsidP="009F139B">
      <w:pPr>
        <w:rPr>
          <w:rFonts w:ascii="Arial" w:eastAsia="Times New Roman" w:hAnsi="Arial" w:cs="Arial"/>
          <w:bCs/>
        </w:rPr>
      </w:pPr>
      <w:r>
        <w:rPr>
          <w:rFonts w:ascii="Arial" w:eastAsia="Times New Roman" w:hAnsi="Arial" w:cs="Arial"/>
          <w:bCs/>
        </w:rPr>
        <w:t>There are two threshold</w:t>
      </w:r>
      <w:r w:rsidR="00331895">
        <w:rPr>
          <w:rFonts w:ascii="Arial" w:eastAsia="Times New Roman" w:hAnsi="Arial" w:cs="Arial"/>
          <w:bCs/>
        </w:rPr>
        <w:t>s</w:t>
      </w:r>
      <w:r>
        <w:rPr>
          <w:rFonts w:ascii="Arial" w:eastAsia="Times New Roman" w:hAnsi="Arial" w:cs="Arial"/>
          <w:bCs/>
        </w:rPr>
        <w:t xml:space="preserve"> </w:t>
      </w:r>
      <w:r w:rsidR="00331895">
        <w:rPr>
          <w:rFonts w:ascii="Arial" w:eastAsia="Times New Roman" w:hAnsi="Arial" w:cs="Arial"/>
          <w:bCs/>
        </w:rPr>
        <w:t>that</w:t>
      </w:r>
      <w:r>
        <w:rPr>
          <w:rFonts w:ascii="Arial" w:eastAsia="Times New Roman" w:hAnsi="Arial" w:cs="Arial"/>
          <w:bCs/>
        </w:rPr>
        <w:t xml:space="preserve"> determine if a corporation has to report under the </w:t>
      </w:r>
      <w:proofErr w:type="spellStart"/>
      <w:r>
        <w:rPr>
          <w:rFonts w:ascii="Arial" w:eastAsia="Times New Roman" w:hAnsi="Arial" w:cs="Arial"/>
          <w:bCs/>
        </w:rPr>
        <w:t>NGER</w:t>
      </w:r>
      <w:proofErr w:type="spellEnd"/>
      <w:r>
        <w:rPr>
          <w:rFonts w:ascii="Arial" w:eastAsia="Times New Roman" w:hAnsi="Arial" w:cs="Arial"/>
          <w:bCs/>
        </w:rPr>
        <w:t xml:space="preserve"> Act: </w:t>
      </w:r>
    </w:p>
    <w:p w:rsidR="00FD7B16" w:rsidRPr="00825386" w:rsidRDefault="00FD7B16" w:rsidP="009F139B">
      <w:pPr>
        <w:numPr>
          <w:ilvl w:val="0"/>
          <w:numId w:val="3"/>
        </w:numPr>
        <w:rPr>
          <w:rFonts w:ascii="Arial" w:eastAsia="Times New Roman" w:hAnsi="Arial" w:cs="Arial"/>
          <w:bCs/>
        </w:rPr>
      </w:pPr>
      <w:r w:rsidRPr="00825386">
        <w:rPr>
          <w:rFonts w:ascii="Arial" w:eastAsia="Times New Roman" w:hAnsi="Arial" w:cs="Arial"/>
          <w:bCs/>
        </w:rPr>
        <w:t>facility thresholds, and</w:t>
      </w:r>
    </w:p>
    <w:p w:rsidR="00FD7B16" w:rsidRPr="00825386" w:rsidRDefault="00421D8C" w:rsidP="009F139B">
      <w:pPr>
        <w:numPr>
          <w:ilvl w:val="0"/>
          <w:numId w:val="3"/>
        </w:numPr>
        <w:rPr>
          <w:rFonts w:ascii="Arial" w:eastAsia="Times New Roman" w:hAnsi="Arial" w:cs="Arial"/>
          <w:bCs/>
        </w:rPr>
      </w:pPr>
      <w:r>
        <w:rPr>
          <w:rFonts w:ascii="Arial" w:eastAsia="Times New Roman" w:hAnsi="Arial" w:cs="Arial"/>
          <w:bCs/>
        </w:rPr>
        <w:t>c</w:t>
      </w:r>
      <w:r w:rsidR="00FD7B16" w:rsidRPr="00825386">
        <w:rPr>
          <w:rFonts w:ascii="Arial" w:eastAsia="Times New Roman" w:hAnsi="Arial" w:cs="Arial"/>
          <w:bCs/>
        </w:rPr>
        <w:t>orporate group thresholds.</w:t>
      </w:r>
    </w:p>
    <w:p w:rsidR="00E8117D" w:rsidRDefault="00E8117D" w:rsidP="009F139B">
      <w:pPr>
        <w:rPr>
          <w:rFonts w:ascii="Arial" w:eastAsia="Times New Roman" w:hAnsi="Arial" w:cs="Arial"/>
          <w:bCs/>
        </w:rPr>
      </w:pPr>
    </w:p>
    <w:p w:rsidR="00FD7B16" w:rsidRPr="00FD7B16" w:rsidRDefault="00FD7B16" w:rsidP="009F139B">
      <w:pPr>
        <w:rPr>
          <w:rFonts w:ascii="Arial" w:eastAsia="Times New Roman" w:hAnsi="Arial" w:cs="Arial"/>
          <w:bCs/>
        </w:rPr>
      </w:pPr>
      <w:r w:rsidRPr="00FD7B16">
        <w:rPr>
          <w:rFonts w:ascii="Arial" w:eastAsia="Times New Roman" w:hAnsi="Arial" w:cs="Arial"/>
          <w:bCs/>
        </w:rPr>
        <w:t>Both the facility and corporate group thresholds have three components:</w:t>
      </w:r>
    </w:p>
    <w:p w:rsidR="00FD7B16" w:rsidRPr="00FD7B16" w:rsidRDefault="00FD7B16" w:rsidP="009F139B">
      <w:pPr>
        <w:numPr>
          <w:ilvl w:val="0"/>
          <w:numId w:val="4"/>
        </w:numPr>
        <w:rPr>
          <w:rFonts w:ascii="Arial" w:eastAsia="Times New Roman" w:hAnsi="Arial" w:cs="Arial"/>
          <w:bCs/>
        </w:rPr>
      </w:pPr>
      <w:r w:rsidRPr="00FD7B16">
        <w:rPr>
          <w:rFonts w:ascii="Arial" w:eastAsia="Times New Roman" w:hAnsi="Arial" w:cs="Arial"/>
          <w:bCs/>
        </w:rPr>
        <w:t>a greenhouse gas emissions threshold</w:t>
      </w:r>
    </w:p>
    <w:p w:rsidR="00FD7B16" w:rsidRPr="00FD7B16" w:rsidRDefault="00FD7B16" w:rsidP="009F139B">
      <w:pPr>
        <w:numPr>
          <w:ilvl w:val="0"/>
          <w:numId w:val="4"/>
        </w:numPr>
        <w:rPr>
          <w:rFonts w:ascii="Arial" w:eastAsia="Times New Roman" w:hAnsi="Arial" w:cs="Arial"/>
          <w:bCs/>
        </w:rPr>
      </w:pPr>
      <w:r w:rsidRPr="00FD7B16">
        <w:rPr>
          <w:rFonts w:ascii="Arial" w:eastAsia="Times New Roman" w:hAnsi="Arial" w:cs="Arial"/>
          <w:bCs/>
        </w:rPr>
        <w:t>an energy production threshold, and</w:t>
      </w:r>
    </w:p>
    <w:p w:rsidR="00FD7B16" w:rsidRPr="00FD7B16" w:rsidRDefault="00FD7B16" w:rsidP="009F139B">
      <w:pPr>
        <w:numPr>
          <w:ilvl w:val="0"/>
          <w:numId w:val="4"/>
        </w:numPr>
        <w:rPr>
          <w:rFonts w:ascii="Arial" w:eastAsia="Times New Roman" w:hAnsi="Arial" w:cs="Arial"/>
          <w:bCs/>
        </w:rPr>
      </w:pPr>
      <w:r w:rsidRPr="00FD7B16">
        <w:rPr>
          <w:rFonts w:ascii="Arial" w:eastAsia="Times New Roman" w:hAnsi="Arial" w:cs="Arial"/>
          <w:bCs/>
        </w:rPr>
        <w:t>an energy consumption threshold.</w:t>
      </w:r>
    </w:p>
    <w:p w:rsidR="00FD7B16" w:rsidRDefault="00FD7B16" w:rsidP="009F139B">
      <w:pPr>
        <w:rPr>
          <w:rFonts w:ascii="Arial" w:eastAsia="Times New Roman" w:hAnsi="Arial" w:cs="Arial"/>
          <w:bCs/>
        </w:rPr>
      </w:pPr>
    </w:p>
    <w:p w:rsidR="00FD7B16" w:rsidRPr="00FD7B16" w:rsidRDefault="00FD7B16" w:rsidP="009F139B">
      <w:pPr>
        <w:rPr>
          <w:rFonts w:ascii="Arial" w:eastAsia="Times New Roman" w:hAnsi="Arial" w:cs="Arial"/>
          <w:bCs/>
        </w:rPr>
      </w:pPr>
      <w:r w:rsidRPr="00FD7B16">
        <w:rPr>
          <w:rFonts w:ascii="Arial" w:eastAsia="Times New Roman" w:hAnsi="Arial" w:cs="Arial"/>
          <w:bCs/>
        </w:rPr>
        <w:t xml:space="preserve">Corporations must look at each threshold to determine their obligations under the </w:t>
      </w:r>
      <w:proofErr w:type="spellStart"/>
      <w:r w:rsidRPr="00FD7B16">
        <w:rPr>
          <w:rFonts w:ascii="Arial" w:eastAsia="Times New Roman" w:hAnsi="Arial" w:cs="Arial"/>
          <w:bCs/>
        </w:rPr>
        <w:t>NGER</w:t>
      </w:r>
      <w:proofErr w:type="spellEnd"/>
      <w:r w:rsidRPr="00FD7B16">
        <w:rPr>
          <w:rFonts w:ascii="Arial" w:eastAsia="Times New Roman" w:hAnsi="Arial" w:cs="Arial"/>
          <w:bCs/>
        </w:rPr>
        <w:t xml:space="preserve"> Act.</w:t>
      </w:r>
      <w:r w:rsidR="00E27F53">
        <w:rPr>
          <w:rFonts w:ascii="Arial" w:eastAsia="Times New Roman" w:hAnsi="Arial" w:cs="Arial"/>
          <w:bCs/>
        </w:rPr>
        <w:t xml:space="preserve"> In the case of the heavy vehicle industry a ‘facility’ is classified as an individual state or territory.  </w:t>
      </w:r>
    </w:p>
    <w:p w:rsidR="00FD7B16" w:rsidRDefault="00FD7B16" w:rsidP="009F139B">
      <w:pPr>
        <w:rPr>
          <w:rFonts w:ascii="Arial" w:eastAsia="Times New Roman" w:hAnsi="Arial" w:cs="Arial"/>
          <w:bCs/>
        </w:rPr>
      </w:pPr>
    </w:p>
    <w:p w:rsidR="00FD7B16" w:rsidRPr="00E27F53" w:rsidRDefault="00FD7B16" w:rsidP="009F139B">
      <w:pPr>
        <w:rPr>
          <w:rFonts w:ascii="Arial" w:eastAsia="Times New Roman" w:hAnsi="Arial" w:cs="Arial"/>
          <w:bCs/>
          <w:u w:val="single"/>
        </w:rPr>
      </w:pPr>
      <w:r w:rsidRPr="00E27F53">
        <w:rPr>
          <w:rFonts w:ascii="Arial" w:eastAsia="Times New Roman" w:hAnsi="Arial" w:cs="Arial"/>
          <w:bCs/>
          <w:u w:val="single"/>
        </w:rPr>
        <w:t>Facility thresholds</w:t>
      </w:r>
    </w:p>
    <w:p w:rsidR="00FD7B16" w:rsidRPr="00FD7B16" w:rsidRDefault="00FD7B16" w:rsidP="009F139B">
      <w:pPr>
        <w:rPr>
          <w:rFonts w:ascii="Arial" w:eastAsia="Times New Roman" w:hAnsi="Arial" w:cs="Arial"/>
          <w:bCs/>
        </w:rPr>
      </w:pPr>
      <w:r w:rsidRPr="00FD7B16">
        <w:rPr>
          <w:rFonts w:ascii="Arial" w:eastAsia="Times New Roman" w:hAnsi="Arial" w:cs="Arial"/>
          <w:bCs/>
        </w:rPr>
        <w:t>The facility thresholds are:</w:t>
      </w:r>
    </w:p>
    <w:p w:rsidR="00FD7B16" w:rsidRPr="00FD7B16" w:rsidRDefault="00FD7B16" w:rsidP="009F139B">
      <w:pPr>
        <w:numPr>
          <w:ilvl w:val="0"/>
          <w:numId w:val="5"/>
        </w:numPr>
        <w:rPr>
          <w:rFonts w:ascii="Arial" w:eastAsia="Times New Roman" w:hAnsi="Arial" w:cs="Arial"/>
          <w:bCs/>
        </w:rPr>
      </w:pPr>
      <w:r w:rsidRPr="00FD7B16">
        <w:rPr>
          <w:rFonts w:ascii="Arial" w:eastAsia="Times New Roman" w:hAnsi="Arial" w:cs="Arial"/>
          <w:bCs/>
        </w:rPr>
        <w:t xml:space="preserve">25 </w:t>
      </w:r>
      <w:proofErr w:type="spellStart"/>
      <w:r w:rsidRPr="00FD7B16">
        <w:rPr>
          <w:rFonts w:ascii="Arial" w:eastAsia="Times New Roman" w:hAnsi="Arial" w:cs="Arial"/>
          <w:bCs/>
        </w:rPr>
        <w:t>kilotonnes</w:t>
      </w:r>
      <w:proofErr w:type="spellEnd"/>
      <w:r w:rsidRPr="00FD7B16">
        <w:rPr>
          <w:rFonts w:ascii="Arial" w:eastAsia="Times New Roman" w:hAnsi="Arial" w:cs="Arial"/>
          <w:bCs/>
        </w:rPr>
        <w:t xml:space="preserve"> (</w:t>
      </w:r>
      <w:proofErr w:type="spellStart"/>
      <w:r w:rsidRPr="00FD7B16">
        <w:rPr>
          <w:rFonts w:ascii="Arial" w:eastAsia="Times New Roman" w:hAnsi="Arial" w:cs="Arial"/>
          <w:bCs/>
        </w:rPr>
        <w:t>kt</w:t>
      </w:r>
      <w:proofErr w:type="spellEnd"/>
      <w:r w:rsidRPr="00FD7B16">
        <w:rPr>
          <w:rFonts w:ascii="Arial" w:eastAsia="Times New Roman" w:hAnsi="Arial" w:cs="Arial"/>
          <w:bCs/>
        </w:rPr>
        <w:t>) or more of greenhouse gases—carbon dioxide equivalence (CO</w:t>
      </w:r>
      <w:r w:rsidRPr="00FD7B16">
        <w:rPr>
          <w:rFonts w:ascii="Arial" w:eastAsia="Times New Roman" w:hAnsi="Arial" w:cs="Arial"/>
          <w:bCs/>
          <w:vertAlign w:val="subscript"/>
        </w:rPr>
        <w:t>2</w:t>
      </w:r>
      <w:r w:rsidRPr="00FD7B16">
        <w:rPr>
          <w:rFonts w:ascii="Arial" w:eastAsia="Times New Roman" w:hAnsi="Arial" w:cs="Arial"/>
          <w:bCs/>
        </w:rPr>
        <w:t>-e)</w:t>
      </w:r>
    </w:p>
    <w:p w:rsidR="00FD7B16" w:rsidRPr="00FD7B16" w:rsidRDefault="00FD7B16" w:rsidP="009F139B">
      <w:pPr>
        <w:numPr>
          <w:ilvl w:val="0"/>
          <w:numId w:val="5"/>
        </w:numPr>
        <w:rPr>
          <w:rFonts w:ascii="Arial" w:eastAsia="Times New Roman" w:hAnsi="Arial" w:cs="Arial"/>
          <w:bCs/>
        </w:rPr>
      </w:pPr>
      <w:r w:rsidRPr="00FD7B16">
        <w:rPr>
          <w:rFonts w:ascii="Arial" w:eastAsia="Times New Roman" w:hAnsi="Arial" w:cs="Arial"/>
          <w:bCs/>
        </w:rPr>
        <w:t xml:space="preserve">production of 100 </w:t>
      </w:r>
      <w:proofErr w:type="spellStart"/>
      <w:r w:rsidRPr="00FD7B16">
        <w:rPr>
          <w:rFonts w:ascii="Arial" w:eastAsia="Times New Roman" w:hAnsi="Arial" w:cs="Arial"/>
          <w:bCs/>
        </w:rPr>
        <w:t>terajoules</w:t>
      </w:r>
      <w:proofErr w:type="spellEnd"/>
      <w:r w:rsidRPr="00FD7B16">
        <w:rPr>
          <w:rFonts w:ascii="Arial" w:eastAsia="Times New Roman" w:hAnsi="Arial" w:cs="Arial"/>
          <w:bCs/>
        </w:rPr>
        <w:t xml:space="preserve"> (</w:t>
      </w:r>
      <w:proofErr w:type="spellStart"/>
      <w:r w:rsidRPr="00FD7B16">
        <w:rPr>
          <w:rFonts w:ascii="Arial" w:eastAsia="Times New Roman" w:hAnsi="Arial" w:cs="Arial"/>
          <w:bCs/>
        </w:rPr>
        <w:t>TJ</w:t>
      </w:r>
      <w:proofErr w:type="spellEnd"/>
      <w:r w:rsidRPr="00FD7B16">
        <w:rPr>
          <w:rFonts w:ascii="Arial" w:eastAsia="Times New Roman" w:hAnsi="Arial" w:cs="Arial"/>
          <w:bCs/>
        </w:rPr>
        <w:t>) or more of energy, or</w:t>
      </w:r>
    </w:p>
    <w:p w:rsidR="00FD7B16" w:rsidRPr="00FD7B16" w:rsidRDefault="00FD7B16" w:rsidP="009F139B">
      <w:pPr>
        <w:numPr>
          <w:ilvl w:val="0"/>
          <w:numId w:val="5"/>
        </w:numPr>
        <w:rPr>
          <w:rFonts w:ascii="Arial" w:eastAsia="Times New Roman" w:hAnsi="Arial" w:cs="Arial"/>
          <w:bCs/>
        </w:rPr>
      </w:pPr>
      <w:r w:rsidRPr="00FD7B16">
        <w:rPr>
          <w:rFonts w:ascii="Arial" w:eastAsia="Times New Roman" w:hAnsi="Arial" w:cs="Arial"/>
          <w:bCs/>
        </w:rPr>
        <w:t xml:space="preserve">consumption of 100 </w:t>
      </w:r>
      <w:proofErr w:type="spellStart"/>
      <w:r w:rsidRPr="00FD7B16">
        <w:rPr>
          <w:rFonts w:ascii="Arial" w:eastAsia="Times New Roman" w:hAnsi="Arial" w:cs="Arial"/>
          <w:bCs/>
        </w:rPr>
        <w:t>TJ</w:t>
      </w:r>
      <w:proofErr w:type="spellEnd"/>
      <w:r w:rsidRPr="00FD7B16">
        <w:rPr>
          <w:rFonts w:ascii="Arial" w:eastAsia="Times New Roman" w:hAnsi="Arial" w:cs="Arial"/>
          <w:bCs/>
        </w:rPr>
        <w:t xml:space="preserve"> or more of energy.</w:t>
      </w:r>
    </w:p>
    <w:p w:rsidR="004D52BC" w:rsidRDefault="004D52BC" w:rsidP="009F139B">
      <w:pPr>
        <w:rPr>
          <w:rFonts w:ascii="Arial" w:eastAsia="Times New Roman" w:hAnsi="Arial" w:cs="Arial"/>
          <w:bCs/>
        </w:rPr>
      </w:pPr>
    </w:p>
    <w:p w:rsidR="00FD7B16" w:rsidRPr="00E27F53" w:rsidRDefault="00FD7B16" w:rsidP="009F139B">
      <w:pPr>
        <w:rPr>
          <w:rFonts w:ascii="Arial" w:eastAsia="Times New Roman" w:hAnsi="Arial" w:cs="Arial"/>
          <w:bCs/>
          <w:u w:val="single"/>
        </w:rPr>
      </w:pPr>
      <w:r w:rsidRPr="00E27F53">
        <w:rPr>
          <w:rFonts w:ascii="Arial" w:eastAsia="Times New Roman" w:hAnsi="Arial" w:cs="Arial"/>
          <w:bCs/>
          <w:u w:val="single"/>
        </w:rPr>
        <w:t>Corporate group thresholds</w:t>
      </w:r>
    </w:p>
    <w:p w:rsidR="00FD7B16" w:rsidRPr="00FD7B16" w:rsidRDefault="00FD7B16" w:rsidP="009F139B">
      <w:pPr>
        <w:rPr>
          <w:rFonts w:ascii="Arial" w:eastAsia="Times New Roman" w:hAnsi="Arial" w:cs="Arial"/>
          <w:bCs/>
        </w:rPr>
      </w:pPr>
      <w:r w:rsidRPr="00FD7B16">
        <w:rPr>
          <w:rFonts w:ascii="Arial" w:eastAsia="Times New Roman" w:hAnsi="Arial" w:cs="Arial"/>
          <w:bCs/>
        </w:rPr>
        <w:t>In 2010–11 and onwards:</w:t>
      </w:r>
    </w:p>
    <w:p w:rsidR="00FD7B16" w:rsidRPr="00FD7B16" w:rsidRDefault="00FD7B16" w:rsidP="009F139B">
      <w:pPr>
        <w:numPr>
          <w:ilvl w:val="0"/>
          <w:numId w:val="6"/>
        </w:numPr>
        <w:rPr>
          <w:rFonts w:ascii="Arial" w:eastAsia="Times New Roman" w:hAnsi="Arial" w:cs="Arial"/>
          <w:bCs/>
        </w:rPr>
      </w:pPr>
      <w:r w:rsidRPr="00FD7B16">
        <w:rPr>
          <w:rFonts w:ascii="Arial" w:eastAsia="Times New Roman" w:hAnsi="Arial" w:cs="Arial"/>
          <w:bCs/>
        </w:rPr>
        <w:t xml:space="preserve">50 </w:t>
      </w:r>
      <w:proofErr w:type="spellStart"/>
      <w:r w:rsidRPr="00FD7B16">
        <w:rPr>
          <w:rFonts w:ascii="Arial" w:eastAsia="Times New Roman" w:hAnsi="Arial" w:cs="Arial"/>
          <w:bCs/>
        </w:rPr>
        <w:t>kt</w:t>
      </w:r>
      <w:proofErr w:type="spellEnd"/>
      <w:r w:rsidRPr="00FD7B16">
        <w:rPr>
          <w:rFonts w:ascii="Arial" w:eastAsia="Times New Roman" w:hAnsi="Arial" w:cs="Arial"/>
          <w:bCs/>
        </w:rPr>
        <w:t xml:space="preserve"> or more of greenhouse gases (CO</w:t>
      </w:r>
      <w:r w:rsidRPr="00FD7B16">
        <w:rPr>
          <w:rFonts w:ascii="Arial" w:eastAsia="Times New Roman" w:hAnsi="Arial" w:cs="Arial"/>
          <w:bCs/>
          <w:vertAlign w:val="subscript"/>
        </w:rPr>
        <w:t>2</w:t>
      </w:r>
      <w:r w:rsidRPr="00FD7B16">
        <w:rPr>
          <w:rFonts w:ascii="Arial" w:eastAsia="Times New Roman" w:hAnsi="Arial" w:cs="Arial"/>
          <w:bCs/>
        </w:rPr>
        <w:t>-e)</w:t>
      </w:r>
    </w:p>
    <w:p w:rsidR="00FD7B16" w:rsidRPr="00FD7B16" w:rsidRDefault="00FD7B16" w:rsidP="009F139B">
      <w:pPr>
        <w:numPr>
          <w:ilvl w:val="0"/>
          <w:numId w:val="6"/>
        </w:numPr>
        <w:rPr>
          <w:rFonts w:ascii="Arial" w:eastAsia="Times New Roman" w:hAnsi="Arial" w:cs="Arial"/>
          <w:bCs/>
        </w:rPr>
      </w:pPr>
      <w:r w:rsidRPr="00FD7B16">
        <w:rPr>
          <w:rFonts w:ascii="Arial" w:eastAsia="Times New Roman" w:hAnsi="Arial" w:cs="Arial"/>
          <w:bCs/>
        </w:rPr>
        <w:t xml:space="preserve">production of 200 </w:t>
      </w:r>
      <w:proofErr w:type="spellStart"/>
      <w:r w:rsidRPr="00FD7B16">
        <w:rPr>
          <w:rFonts w:ascii="Arial" w:eastAsia="Times New Roman" w:hAnsi="Arial" w:cs="Arial"/>
          <w:bCs/>
        </w:rPr>
        <w:t>TJ</w:t>
      </w:r>
      <w:proofErr w:type="spellEnd"/>
      <w:r w:rsidRPr="00FD7B16">
        <w:rPr>
          <w:rFonts w:ascii="Arial" w:eastAsia="Times New Roman" w:hAnsi="Arial" w:cs="Arial"/>
          <w:bCs/>
        </w:rPr>
        <w:t xml:space="preserve"> or more of energy, or</w:t>
      </w:r>
    </w:p>
    <w:p w:rsidR="00FD7B16" w:rsidRPr="00FD7B16" w:rsidRDefault="00FD7B16" w:rsidP="009F139B">
      <w:pPr>
        <w:numPr>
          <w:ilvl w:val="0"/>
          <w:numId w:val="6"/>
        </w:numPr>
        <w:rPr>
          <w:rFonts w:ascii="Arial" w:eastAsia="Times New Roman" w:hAnsi="Arial" w:cs="Arial"/>
          <w:bCs/>
        </w:rPr>
      </w:pPr>
      <w:r w:rsidRPr="00FD7B16">
        <w:rPr>
          <w:rFonts w:ascii="Arial" w:eastAsia="Times New Roman" w:hAnsi="Arial" w:cs="Arial"/>
          <w:bCs/>
        </w:rPr>
        <w:t xml:space="preserve">consumption of 200 </w:t>
      </w:r>
      <w:proofErr w:type="spellStart"/>
      <w:r w:rsidRPr="00FD7B16">
        <w:rPr>
          <w:rFonts w:ascii="Arial" w:eastAsia="Times New Roman" w:hAnsi="Arial" w:cs="Arial"/>
          <w:bCs/>
        </w:rPr>
        <w:t>TJ</w:t>
      </w:r>
      <w:proofErr w:type="spellEnd"/>
      <w:r w:rsidRPr="00FD7B16">
        <w:rPr>
          <w:rFonts w:ascii="Arial" w:eastAsia="Times New Roman" w:hAnsi="Arial" w:cs="Arial"/>
          <w:bCs/>
        </w:rPr>
        <w:t xml:space="preserve"> or more of energy. </w:t>
      </w:r>
    </w:p>
    <w:p w:rsidR="00FD7B16" w:rsidRDefault="00FD7B16" w:rsidP="009F139B">
      <w:pPr>
        <w:rPr>
          <w:rFonts w:ascii="Arial" w:eastAsia="Times New Roman" w:hAnsi="Arial" w:cs="Arial"/>
          <w:bCs/>
        </w:rPr>
      </w:pPr>
    </w:p>
    <w:p w:rsidR="00315C68" w:rsidRDefault="006153CB" w:rsidP="009F139B">
      <w:pPr>
        <w:rPr>
          <w:rFonts w:ascii="Arial" w:eastAsia="Times New Roman" w:hAnsi="Arial" w:cs="Arial"/>
          <w:bCs/>
        </w:rPr>
      </w:pPr>
      <w:r>
        <w:rPr>
          <w:rFonts w:ascii="Arial" w:eastAsia="Times New Roman" w:hAnsi="Arial" w:cs="Arial"/>
          <w:bCs/>
        </w:rPr>
        <w:t xml:space="preserve">The </w:t>
      </w:r>
      <w:proofErr w:type="spellStart"/>
      <w:r>
        <w:rPr>
          <w:rFonts w:ascii="Arial" w:eastAsia="Times New Roman" w:hAnsi="Arial" w:cs="Arial"/>
          <w:bCs/>
        </w:rPr>
        <w:t>NGER</w:t>
      </w:r>
      <w:proofErr w:type="spellEnd"/>
      <w:r>
        <w:rPr>
          <w:rFonts w:ascii="Arial" w:eastAsia="Times New Roman" w:hAnsi="Arial" w:cs="Arial"/>
          <w:bCs/>
        </w:rPr>
        <w:t xml:space="preserve"> publishes the result of r</w:t>
      </w:r>
      <w:r w:rsidRPr="006153CB">
        <w:rPr>
          <w:rFonts w:ascii="Arial" w:eastAsia="Times New Roman" w:hAnsi="Arial" w:cs="Arial"/>
          <w:bCs/>
        </w:rPr>
        <w:t>eported greenhouse and energy information by year</w:t>
      </w:r>
      <w:r w:rsidR="00E27F53">
        <w:rPr>
          <w:rFonts w:ascii="Arial" w:eastAsia="Times New Roman" w:hAnsi="Arial" w:cs="Arial"/>
          <w:bCs/>
        </w:rPr>
        <w:t xml:space="preserve"> and in the case of the heavy vehicle industry Scope 1 emissions are the most relevant to examine. </w:t>
      </w:r>
      <w:bookmarkStart w:id="3" w:name="2"/>
      <w:bookmarkStart w:id="4" w:name="Facility-thresholds"/>
      <w:bookmarkEnd w:id="3"/>
      <w:bookmarkEnd w:id="4"/>
    </w:p>
    <w:p w:rsidR="00331895" w:rsidRDefault="00315C68" w:rsidP="009F139B">
      <w:pPr>
        <w:shd w:val="clear" w:color="auto" w:fill="FFFFFF"/>
        <w:spacing w:before="100" w:beforeAutospacing="1" w:after="100" w:afterAutospacing="1"/>
        <w:rPr>
          <w:rFonts w:ascii="Arial" w:eastAsia="Times New Roman" w:hAnsi="Arial" w:cs="Arial"/>
          <w:bCs/>
        </w:rPr>
      </w:pPr>
      <w:r w:rsidRPr="00E27F53">
        <w:rPr>
          <w:rFonts w:ascii="Arial" w:eastAsia="Times New Roman" w:hAnsi="Arial" w:cs="Arial"/>
          <w:bCs/>
        </w:rPr>
        <w:t>Scope 1 emissions are the release of greenhouse gases into the atmosphere as a direct result of an activity, or series of activities (including ancillary activities) that constitute a facility. Examples are:</w:t>
      </w:r>
    </w:p>
    <w:p w:rsidR="00331895" w:rsidRDefault="00315C68" w:rsidP="009F139B">
      <w:pPr>
        <w:pStyle w:val="ListParagraph"/>
        <w:numPr>
          <w:ilvl w:val="0"/>
          <w:numId w:val="7"/>
        </w:numPr>
        <w:shd w:val="clear" w:color="auto" w:fill="FFFFFF"/>
        <w:spacing w:before="100" w:beforeAutospacing="1" w:after="100" w:afterAutospacing="1"/>
        <w:rPr>
          <w:rFonts w:ascii="Arial" w:eastAsia="Times New Roman" w:hAnsi="Arial" w:cs="Arial"/>
          <w:bCs/>
        </w:rPr>
      </w:pPr>
      <w:r w:rsidRPr="00331895">
        <w:rPr>
          <w:rFonts w:ascii="Arial" w:eastAsia="Times New Roman" w:hAnsi="Arial" w:cs="Arial"/>
          <w:bCs/>
        </w:rPr>
        <w:t xml:space="preserve">manufacturing processes, such as gas emitted while making cement, </w:t>
      </w:r>
      <w:r w:rsidR="00331895">
        <w:rPr>
          <w:rFonts w:ascii="Arial" w:eastAsia="Times New Roman" w:hAnsi="Arial" w:cs="Arial"/>
          <w:bCs/>
        </w:rPr>
        <w:t>or</w:t>
      </w:r>
    </w:p>
    <w:p w:rsidR="00331895" w:rsidRDefault="00315C68" w:rsidP="009F139B">
      <w:pPr>
        <w:pStyle w:val="ListParagraph"/>
        <w:numPr>
          <w:ilvl w:val="0"/>
          <w:numId w:val="7"/>
        </w:numPr>
        <w:shd w:val="clear" w:color="auto" w:fill="FFFFFF"/>
        <w:spacing w:before="100" w:beforeAutospacing="1" w:after="100" w:afterAutospacing="1"/>
        <w:rPr>
          <w:rFonts w:ascii="Arial" w:eastAsia="Times New Roman" w:hAnsi="Arial" w:cs="Arial"/>
          <w:bCs/>
        </w:rPr>
      </w:pPr>
      <w:r w:rsidRPr="00331895">
        <w:rPr>
          <w:rFonts w:ascii="Arial" w:eastAsia="Times New Roman" w:hAnsi="Arial" w:cs="Arial"/>
          <w:bCs/>
        </w:rPr>
        <w:t>transportation of materials, products, waste and people, such as a transport company burning diesel fuel in its trucks, or</w:t>
      </w:r>
    </w:p>
    <w:p w:rsidR="00315C68" w:rsidRPr="00331895" w:rsidRDefault="00315C68" w:rsidP="009F139B">
      <w:pPr>
        <w:pStyle w:val="ListParagraph"/>
        <w:numPr>
          <w:ilvl w:val="0"/>
          <w:numId w:val="7"/>
        </w:numPr>
        <w:shd w:val="clear" w:color="auto" w:fill="FFFFFF"/>
        <w:spacing w:before="100" w:beforeAutospacing="1" w:after="100" w:afterAutospacing="1"/>
        <w:rPr>
          <w:rFonts w:ascii="Arial" w:eastAsia="Times New Roman" w:hAnsi="Arial" w:cs="Arial"/>
          <w:bCs/>
        </w:rPr>
      </w:pPr>
      <w:r w:rsidRPr="00331895">
        <w:rPr>
          <w:rFonts w:ascii="Arial" w:eastAsia="Times New Roman" w:hAnsi="Arial" w:cs="Arial"/>
          <w:bCs/>
        </w:rPr>
        <w:t>fugitive emissions, such as methane emissions from coal mines.</w:t>
      </w:r>
    </w:p>
    <w:p w:rsidR="00207496" w:rsidRDefault="00825386" w:rsidP="009F139B">
      <w:pPr>
        <w:rPr>
          <w:rFonts w:ascii="Arial" w:eastAsia="Times New Roman" w:hAnsi="Arial" w:cs="Arial"/>
          <w:bCs/>
        </w:rPr>
      </w:pPr>
      <w:r w:rsidRPr="00E27F53">
        <w:rPr>
          <w:rFonts w:ascii="Arial" w:eastAsia="Times New Roman" w:hAnsi="Arial" w:cs="Arial"/>
          <w:bCs/>
        </w:rPr>
        <w:t>Examining figures provided by trucking companies over the previous six years</w:t>
      </w:r>
      <w:r w:rsidR="004D52BC">
        <w:rPr>
          <w:rFonts w:ascii="Arial" w:eastAsia="Times New Roman" w:hAnsi="Arial" w:cs="Arial"/>
          <w:bCs/>
        </w:rPr>
        <w:t xml:space="preserve"> to the </w:t>
      </w:r>
      <w:proofErr w:type="spellStart"/>
      <w:r w:rsidR="004D52BC">
        <w:rPr>
          <w:rFonts w:ascii="Arial" w:eastAsia="Times New Roman" w:hAnsi="Arial" w:cs="Arial"/>
          <w:bCs/>
        </w:rPr>
        <w:t>NGER</w:t>
      </w:r>
      <w:proofErr w:type="spellEnd"/>
      <w:r w:rsidRPr="00E27F53">
        <w:rPr>
          <w:rFonts w:ascii="Arial" w:eastAsia="Times New Roman" w:hAnsi="Arial" w:cs="Arial"/>
          <w:bCs/>
        </w:rPr>
        <w:t xml:space="preserve">, the results show that the majority of increases are </w:t>
      </w:r>
      <w:r w:rsidR="00331895">
        <w:rPr>
          <w:rFonts w:ascii="Arial" w:eastAsia="Times New Roman" w:hAnsi="Arial" w:cs="Arial"/>
          <w:bCs/>
        </w:rPr>
        <w:t xml:space="preserve">incremental. This is to be expected, trucking business operate as networks and tend to grow slowly from one year to the next rather than in the significant expansion envisioned by the discussion paper. </w:t>
      </w:r>
    </w:p>
    <w:p w:rsidR="008F1766" w:rsidRDefault="008F1766" w:rsidP="009F139B">
      <w:pPr>
        <w:rPr>
          <w:rFonts w:ascii="Arial" w:eastAsia="Times New Roman" w:hAnsi="Arial" w:cs="Arial"/>
          <w:bCs/>
        </w:rPr>
      </w:pPr>
    </w:p>
    <w:p w:rsidR="008F1766" w:rsidRDefault="008F1766" w:rsidP="009F139B">
      <w:pPr>
        <w:rPr>
          <w:rFonts w:ascii="Arial" w:eastAsia="Times New Roman" w:hAnsi="Arial" w:cs="Arial"/>
          <w:bCs/>
        </w:rPr>
      </w:pPr>
      <w:r>
        <w:rPr>
          <w:rFonts w:ascii="Arial" w:eastAsia="Times New Roman" w:hAnsi="Arial" w:cs="Arial"/>
          <w:bCs/>
        </w:rPr>
        <w:t xml:space="preserve">Ceva experienced significant growth in 2010-11 and 2011-12 due to </w:t>
      </w:r>
      <w:r w:rsidRPr="008F1766">
        <w:rPr>
          <w:rFonts w:ascii="Arial" w:eastAsia="Times New Roman" w:hAnsi="Arial" w:cs="Arial"/>
          <w:bCs/>
        </w:rPr>
        <w:t>a blend of new business, organic growth and some offset due to better utilisation of the fleet occurring overall</w:t>
      </w:r>
      <w:r>
        <w:rPr>
          <w:rFonts w:ascii="Arial" w:eastAsia="Times New Roman" w:hAnsi="Arial" w:cs="Arial"/>
          <w:bCs/>
        </w:rPr>
        <w:t>.</w:t>
      </w:r>
    </w:p>
    <w:p w:rsidR="00C50665" w:rsidRDefault="00C50665" w:rsidP="009F139B">
      <w:pPr>
        <w:rPr>
          <w:rFonts w:ascii="Arial" w:eastAsia="Times New Roman" w:hAnsi="Arial" w:cs="Arial"/>
          <w:bCs/>
        </w:rPr>
      </w:pPr>
    </w:p>
    <w:p w:rsidR="00A0749F" w:rsidRDefault="00011340" w:rsidP="009F139B">
      <w:pPr>
        <w:rPr>
          <w:rFonts w:ascii="Arial" w:eastAsia="Times New Roman" w:hAnsi="Arial" w:cs="Arial"/>
          <w:bCs/>
        </w:rPr>
      </w:pPr>
      <w:r w:rsidRPr="00011340">
        <w:rPr>
          <w:rFonts w:ascii="Arial" w:eastAsia="Times New Roman" w:hAnsi="Arial" w:cs="Arial"/>
          <w:bCs/>
        </w:rPr>
        <w:t>The increase in Toll’s emissions in 2010-11 is largely due to the acquisitions of Mitchell and Concord Park businesses, and their associated emissions.</w:t>
      </w:r>
    </w:p>
    <w:p w:rsidR="00A0749F" w:rsidRDefault="00A0749F" w:rsidP="009F139B">
      <w:pPr>
        <w:rPr>
          <w:rFonts w:ascii="Arial" w:eastAsia="Times New Roman" w:hAnsi="Arial" w:cs="Arial"/>
          <w:bCs/>
        </w:rPr>
      </w:pPr>
    </w:p>
    <w:p w:rsidR="00A0749F" w:rsidRDefault="00A0749F" w:rsidP="009F139B">
      <w:pPr>
        <w:rPr>
          <w:rFonts w:ascii="Arial" w:eastAsia="Times New Roman" w:hAnsi="Arial" w:cs="Arial"/>
          <w:bCs/>
        </w:rPr>
      </w:pPr>
    </w:p>
    <w:p w:rsidR="00A0749F" w:rsidRDefault="00A0749F" w:rsidP="009F139B">
      <w:pPr>
        <w:rPr>
          <w:rFonts w:ascii="Arial" w:eastAsia="Times New Roman" w:hAnsi="Arial" w:cs="Arial"/>
          <w:bCs/>
        </w:rPr>
      </w:pPr>
    </w:p>
    <w:p w:rsidR="00A0749F" w:rsidRDefault="00A0749F" w:rsidP="009F139B">
      <w:pPr>
        <w:rPr>
          <w:rFonts w:ascii="Arial" w:eastAsia="Times New Roman" w:hAnsi="Arial" w:cs="Arial"/>
          <w:bCs/>
        </w:rPr>
      </w:pPr>
    </w:p>
    <w:p w:rsidR="00A0749F" w:rsidRDefault="00A0749F" w:rsidP="009F139B">
      <w:pPr>
        <w:rPr>
          <w:rFonts w:ascii="Arial" w:eastAsia="Times New Roman" w:hAnsi="Arial" w:cs="Arial"/>
          <w:bCs/>
        </w:rPr>
      </w:pPr>
    </w:p>
    <w:p w:rsidR="00A0749F" w:rsidRDefault="00A0749F" w:rsidP="009F139B">
      <w:pPr>
        <w:rPr>
          <w:rFonts w:ascii="Arial" w:eastAsia="Times New Roman" w:hAnsi="Arial" w:cs="Arial"/>
          <w:bCs/>
        </w:rPr>
      </w:pPr>
    </w:p>
    <w:p w:rsidR="00A0749F" w:rsidRDefault="00A0749F" w:rsidP="009F139B">
      <w:pPr>
        <w:rPr>
          <w:rFonts w:ascii="Arial" w:eastAsia="Times New Roman" w:hAnsi="Arial" w:cs="Arial"/>
          <w:bCs/>
        </w:rPr>
      </w:pPr>
    </w:p>
    <w:p w:rsidR="00A0749F" w:rsidRPr="00A0749F" w:rsidRDefault="00A0749F" w:rsidP="009F139B">
      <w:pPr>
        <w:rPr>
          <w:rFonts w:ascii="Arial" w:eastAsia="Times New Roman" w:hAnsi="Arial" w:cs="Arial"/>
          <w:b/>
          <w:bCs/>
        </w:rPr>
      </w:pPr>
      <w:r w:rsidRPr="00A0749F">
        <w:rPr>
          <w:rFonts w:ascii="Arial" w:eastAsia="Times New Roman" w:hAnsi="Arial" w:cs="Arial"/>
          <w:b/>
          <w:bCs/>
        </w:rPr>
        <w:t xml:space="preserve">Figure 1: </w:t>
      </w:r>
      <w:r>
        <w:rPr>
          <w:rFonts w:ascii="Arial" w:eastAsia="Times New Roman" w:hAnsi="Arial" w:cs="Arial"/>
          <w:b/>
          <w:bCs/>
        </w:rPr>
        <w:t>Major t</w:t>
      </w:r>
      <w:r w:rsidRPr="00A0749F">
        <w:rPr>
          <w:rFonts w:ascii="Arial" w:eastAsia="Times New Roman" w:hAnsi="Arial" w:cs="Arial"/>
          <w:b/>
          <w:bCs/>
        </w:rPr>
        <w:t>ruck company emissions 2008-09 to 2013-14</w:t>
      </w:r>
    </w:p>
    <w:p w:rsidR="00A0749F" w:rsidRDefault="00A0749F" w:rsidP="009F139B">
      <w:pPr>
        <w:rPr>
          <w:rFonts w:ascii="Arial" w:eastAsia="Times New Roman" w:hAnsi="Arial" w:cs="Arial"/>
          <w:bCs/>
        </w:rPr>
      </w:pPr>
    </w:p>
    <w:p w:rsidR="00C50665" w:rsidRDefault="000150DD" w:rsidP="009F139B">
      <w:pPr>
        <w:rPr>
          <w:rFonts w:ascii="Arial" w:eastAsia="Times New Roman" w:hAnsi="Arial" w:cs="Arial"/>
          <w:bCs/>
        </w:rPr>
      </w:pPr>
      <w:r>
        <w:rPr>
          <w:noProof/>
          <w:lang w:eastAsia="en-AU"/>
        </w:rPr>
        <w:drawing>
          <wp:inline distT="0" distB="0" distL="0" distR="0" wp14:anchorId="32EEE86A" wp14:editId="4DA5B74F">
            <wp:extent cx="6120130" cy="3569335"/>
            <wp:effectExtent l="0" t="0" r="13970" b="1206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31895" w:rsidRDefault="00331895" w:rsidP="009F139B">
      <w:pPr>
        <w:rPr>
          <w:rFonts w:ascii="Arial" w:eastAsia="Times New Roman" w:hAnsi="Arial" w:cs="Arial"/>
          <w:bCs/>
        </w:rPr>
      </w:pPr>
    </w:p>
    <w:p w:rsidR="00207496" w:rsidRPr="00E27F53" w:rsidRDefault="00E27F53" w:rsidP="009F139B">
      <w:pPr>
        <w:rPr>
          <w:rFonts w:ascii="Arial" w:eastAsia="Times New Roman" w:hAnsi="Arial" w:cs="Arial"/>
          <w:bCs/>
          <w:sz w:val="20"/>
        </w:rPr>
      </w:pPr>
      <w:r w:rsidRPr="00E27F53">
        <w:rPr>
          <w:rFonts w:ascii="Arial" w:eastAsia="Times New Roman" w:hAnsi="Arial" w:cs="Arial"/>
          <w:bCs/>
          <w:sz w:val="20"/>
        </w:rPr>
        <w:t>Source:</w:t>
      </w:r>
      <w:r w:rsidRPr="00E27F53">
        <w:rPr>
          <w:rFonts w:ascii="Arial" w:hAnsi="Arial" w:cs="Arial"/>
          <w:sz w:val="20"/>
        </w:rPr>
        <w:t xml:space="preserve"> Clean Energy </w:t>
      </w:r>
      <w:proofErr w:type="spellStart"/>
      <w:r w:rsidRPr="00E27F53">
        <w:rPr>
          <w:rFonts w:ascii="Arial" w:hAnsi="Arial" w:cs="Arial"/>
          <w:sz w:val="20"/>
        </w:rPr>
        <w:t>Regualtor</w:t>
      </w:r>
      <w:proofErr w:type="spellEnd"/>
      <w:r w:rsidRPr="00E27F53">
        <w:rPr>
          <w:rFonts w:ascii="Arial" w:hAnsi="Arial" w:cs="Arial"/>
          <w:sz w:val="20"/>
        </w:rPr>
        <w:t xml:space="preserve">: National Greenhouse and Energy Reporting: </w:t>
      </w:r>
      <w:r w:rsidRPr="00E27F53">
        <w:rPr>
          <w:rFonts w:ascii="Arial" w:eastAsia="Times New Roman" w:hAnsi="Arial" w:cs="Arial"/>
          <w:bCs/>
          <w:sz w:val="20"/>
        </w:rPr>
        <w:t xml:space="preserve">Reported greenhouse and energy information by year. </w:t>
      </w:r>
      <w:hyperlink r:id="rId12" w:history="1">
        <w:r w:rsidRPr="00E27F53">
          <w:rPr>
            <w:rStyle w:val="Hyperlink"/>
            <w:rFonts w:ascii="Arial" w:eastAsia="Times New Roman" w:hAnsi="Arial" w:cs="Arial"/>
            <w:bCs/>
            <w:sz w:val="20"/>
          </w:rPr>
          <w:t>http://www.cleanenergyregulator.gov.au/National-Greenhouse-and-Energy-Reporting/published-information/greenhouse-and-energy-information/Pages/default.aspx</w:t>
        </w:r>
      </w:hyperlink>
      <w:r w:rsidRPr="00E27F53">
        <w:rPr>
          <w:rFonts w:ascii="Arial" w:eastAsia="Times New Roman" w:hAnsi="Arial" w:cs="Arial"/>
          <w:bCs/>
          <w:sz w:val="20"/>
        </w:rPr>
        <w:t xml:space="preserve"> </w:t>
      </w:r>
    </w:p>
    <w:p w:rsidR="00E27F53" w:rsidRDefault="00E27F53" w:rsidP="009F139B">
      <w:pPr>
        <w:rPr>
          <w:rFonts w:ascii="Arial" w:eastAsia="Times New Roman" w:hAnsi="Arial" w:cs="Arial"/>
          <w:bCs/>
        </w:rPr>
      </w:pPr>
    </w:p>
    <w:p w:rsidR="00EE4F04" w:rsidRDefault="00EE4F04" w:rsidP="009F139B">
      <w:pPr>
        <w:rPr>
          <w:rFonts w:ascii="Arial" w:eastAsia="Times New Roman" w:hAnsi="Arial" w:cs="Arial"/>
          <w:bCs/>
        </w:rPr>
      </w:pPr>
    </w:p>
    <w:p w:rsidR="00207496" w:rsidRDefault="00FC3636" w:rsidP="009F139B">
      <w:pPr>
        <w:pStyle w:val="Heading1"/>
        <w:rPr>
          <w:rFonts w:eastAsia="Times New Roman"/>
          <w:bCs/>
        </w:rPr>
      </w:pPr>
      <w:bookmarkStart w:id="5" w:name="_Toc417380313"/>
      <w:r>
        <w:rPr>
          <w:szCs w:val="22"/>
        </w:rPr>
        <w:t>The need for an alternative approach</w:t>
      </w:r>
      <w:bookmarkEnd w:id="5"/>
    </w:p>
    <w:p w:rsidR="00315C68" w:rsidRDefault="00315C68" w:rsidP="009F139B">
      <w:pPr>
        <w:rPr>
          <w:rFonts w:ascii="Arial" w:eastAsia="Times New Roman" w:hAnsi="Arial" w:cs="Arial"/>
          <w:bCs/>
        </w:rPr>
      </w:pPr>
    </w:p>
    <w:p w:rsidR="00FC3636" w:rsidRDefault="00E27F53" w:rsidP="009F139B">
      <w:pPr>
        <w:rPr>
          <w:rFonts w:ascii="Arial" w:eastAsia="Times New Roman" w:hAnsi="Arial" w:cs="Arial"/>
          <w:bCs/>
        </w:rPr>
      </w:pPr>
      <w:r>
        <w:rPr>
          <w:rFonts w:ascii="Arial" w:eastAsia="Times New Roman" w:hAnsi="Arial" w:cs="Arial"/>
          <w:bCs/>
        </w:rPr>
        <w:t xml:space="preserve">The </w:t>
      </w:r>
      <w:r w:rsidR="00FC3636">
        <w:rPr>
          <w:rFonts w:ascii="Arial" w:eastAsia="Times New Roman" w:hAnsi="Arial" w:cs="Arial"/>
          <w:bCs/>
        </w:rPr>
        <w:t>approach proposed in the discussion paper</w:t>
      </w:r>
      <w:r>
        <w:rPr>
          <w:rFonts w:ascii="Arial" w:eastAsia="Times New Roman" w:hAnsi="Arial" w:cs="Arial"/>
          <w:bCs/>
        </w:rPr>
        <w:t xml:space="preserve"> does not reflect the industry and the</w:t>
      </w:r>
      <w:r w:rsidR="00FC3636">
        <w:rPr>
          <w:rFonts w:ascii="Arial" w:eastAsia="Times New Roman" w:hAnsi="Arial" w:cs="Arial"/>
          <w:bCs/>
        </w:rPr>
        <w:t xml:space="preserve"> way many businesses in the trucking industry grow. </w:t>
      </w:r>
      <w:r w:rsidR="00A61441">
        <w:rPr>
          <w:rFonts w:ascii="Arial" w:eastAsia="Times New Roman" w:hAnsi="Arial" w:cs="Arial"/>
          <w:bCs/>
        </w:rPr>
        <w:t>The trucking industry is a network industry similar to many energy networks, however, th</w:t>
      </w:r>
      <w:r>
        <w:rPr>
          <w:rFonts w:ascii="Arial" w:eastAsia="Times New Roman" w:hAnsi="Arial" w:cs="Arial"/>
          <w:bCs/>
        </w:rPr>
        <w:t xml:space="preserve">e </w:t>
      </w:r>
      <w:r w:rsidR="00FC3636">
        <w:rPr>
          <w:rFonts w:ascii="Arial" w:eastAsia="Times New Roman" w:hAnsi="Arial" w:cs="Arial"/>
          <w:bCs/>
        </w:rPr>
        <w:t xml:space="preserve">discussion paper assumes that industries increase </w:t>
      </w:r>
      <w:r>
        <w:rPr>
          <w:rFonts w:ascii="Arial" w:eastAsia="Times New Roman" w:hAnsi="Arial" w:cs="Arial"/>
          <w:bCs/>
        </w:rPr>
        <w:t xml:space="preserve">‘facility’ emissions in large chunks over a spread out period of time. </w:t>
      </w:r>
      <w:r w:rsidR="009F139B">
        <w:rPr>
          <w:rFonts w:ascii="Arial" w:eastAsia="Times New Roman" w:hAnsi="Arial" w:cs="Arial"/>
          <w:bCs/>
        </w:rPr>
        <w:t xml:space="preserve">It states that: </w:t>
      </w:r>
    </w:p>
    <w:p w:rsidR="009246B6" w:rsidRDefault="009246B6" w:rsidP="009F139B">
      <w:pPr>
        <w:rPr>
          <w:rFonts w:ascii="Arial" w:eastAsia="Times New Roman" w:hAnsi="Arial" w:cs="Arial"/>
          <w:bCs/>
        </w:rPr>
      </w:pPr>
    </w:p>
    <w:p w:rsidR="009246B6" w:rsidRDefault="009246B6" w:rsidP="009F139B">
      <w:pPr>
        <w:ind w:left="720"/>
        <w:rPr>
          <w:rFonts w:ascii="Arial" w:eastAsia="Times New Roman" w:hAnsi="Arial" w:cs="Arial"/>
          <w:bCs/>
        </w:rPr>
      </w:pPr>
      <w:r w:rsidRPr="009246B6">
        <w:rPr>
          <w:rFonts w:ascii="Arial" w:eastAsia="Times New Roman" w:hAnsi="Arial" w:cs="Arial"/>
          <w:bCs/>
        </w:rPr>
        <w:t>A clear definition of ‘significant expansion’ would ensure that baselines are only adjusted when</w:t>
      </w:r>
      <w:r>
        <w:rPr>
          <w:rFonts w:ascii="Arial" w:eastAsia="Times New Roman" w:hAnsi="Arial" w:cs="Arial"/>
          <w:bCs/>
        </w:rPr>
        <w:t xml:space="preserve"> </w:t>
      </w:r>
      <w:r w:rsidRPr="009246B6">
        <w:rPr>
          <w:rFonts w:ascii="Arial" w:eastAsia="Times New Roman" w:hAnsi="Arial" w:cs="Arial"/>
          <w:bCs/>
        </w:rPr>
        <w:t>there is a deliberate and sustained increase in business activity. The advantage of relying on a</w:t>
      </w:r>
      <w:r>
        <w:rPr>
          <w:rFonts w:ascii="Arial" w:eastAsia="Times New Roman" w:hAnsi="Arial" w:cs="Arial"/>
          <w:bCs/>
        </w:rPr>
        <w:t xml:space="preserve"> </w:t>
      </w:r>
      <w:r w:rsidRPr="009246B6">
        <w:rPr>
          <w:rFonts w:ascii="Arial" w:eastAsia="Times New Roman" w:hAnsi="Arial" w:cs="Arial"/>
          <w:bCs/>
        </w:rPr>
        <w:t>facility operator to show a significant expansion of production capa</w:t>
      </w:r>
      <w:r>
        <w:rPr>
          <w:rFonts w:ascii="Arial" w:eastAsia="Times New Roman" w:hAnsi="Arial" w:cs="Arial"/>
          <w:bCs/>
        </w:rPr>
        <w:t>city is that it is tangible and d</w:t>
      </w:r>
      <w:r w:rsidRPr="009246B6">
        <w:rPr>
          <w:rFonts w:ascii="Arial" w:eastAsia="Times New Roman" w:hAnsi="Arial" w:cs="Arial"/>
          <w:bCs/>
        </w:rPr>
        <w:t>urable, and is apparent in the installation of new plant or equipment.</w:t>
      </w:r>
    </w:p>
    <w:p w:rsidR="009246B6" w:rsidRPr="009246B6" w:rsidRDefault="009246B6" w:rsidP="009F139B">
      <w:pPr>
        <w:ind w:left="720"/>
        <w:rPr>
          <w:rFonts w:ascii="Arial" w:eastAsia="Times New Roman" w:hAnsi="Arial" w:cs="Arial"/>
          <w:bCs/>
        </w:rPr>
      </w:pPr>
    </w:p>
    <w:p w:rsidR="009246B6" w:rsidRPr="009246B6" w:rsidRDefault="009246B6" w:rsidP="009F139B">
      <w:pPr>
        <w:ind w:left="720"/>
        <w:rPr>
          <w:rFonts w:ascii="Arial" w:eastAsia="Times New Roman" w:hAnsi="Arial" w:cs="Arial"/>
          <w:bCs/>
        </w:rPr>
      </w:pPr>
      <w:r w:rsidRPr="009246B6">
        <w:rPr>
          <w:rFonts w:ascii="Arial" w:eastAsia="Times New Roman" w:hAnsi="Arial" w:cs="Arial"/>
          <w:bCs/>
        </w:rPr>
        <w:t>There is a need to determine an appropriate expansion threshold. One suggestion is a</w:t>
      </w:r>
    </w:p>
    <w:p w:rsidR="009246B6" w:rsidRPr="009246B6" w:rsidRDefault="009246B6" w:rsidP="009F139B">
      <w:pPr>
        <w:ind w:left="720"/>
        <w:rPr>
          <w:rFonts w:ascii="Arial" w:eastAsia="Times New Roman" w:hAnsi="Arial" w:cs="Arial"/>
          <w:bCs/>
        </w:rPr>
      </w:pPr>
      <w:r w:rsidRPr="009246B6">
        <w:rPr>
          <w:rFonts w:ascii="Arial" w:eastAsia="Times New Roman" w:hAnsi="Arial" w:cs="Arial"/>
          <w:bCs/>
        </w:rPr>
        <w:t>threshold of 20 per cent. An application to have a baseline adjusted to accommodate a</w:t>
      </w:r>
    </w:p>
    <w:p w:rsidR="00A0749F" w:rsidRDefault="009246B6" w:rsidP="009F139B">
      <w:pPr>
        <w:ind w:left="720"/>
        <w:rPr>
          <w:rFonts w:ascii="Arial" w:eastAsia="Times New Roman" w:hAnsi="Arial" w:cs="Arial"/>
          <w:bCs/>
        </w:rPr>
      </w:pPr>
      <w:r w:rsidRPr="009246B6">
        <w:rPr>
          <w:rFonts w:ascii="Arial" w:eastAsia="Times New Roman" w:hAnsi="Arial" w:cs="Arial"/>
          <w:bCs/>
        </w:rPr>
        <w:t>significant expansion would need to be supported by an audit report to provide assurance that</w:t>
      </w:r>
      <w:r>
        <w:rPr>
          <w:rFonts w:ascii="Arial" w:eastAsia="Times New Roman" w:hAnsi="Arial" w:cs="Arial"/>
          <w:bCs/>
        </w:rPr>
        <w:t xml:space="preserve"> </w:t>
      </w:r>
      <w:r w:rsidRPr="009246B6">
        <w:rPr>
          <w:rFonts w:ascii="Arial" w:eastAsia="Times New Roman" w:hAnsi="Arial" w:cs="Arial"/>
          <w:bCs/>
        </w:rPr>
        <w:t>the 20 per cent production capacity test has been met.</w:t>
      </w:r>
      <w:r>
        <w:rPr>
          <w:rStyle w:val="FootnoteReference"/>
          <w:rFonts w:ascii="Arial" w:eastAsia="Times New Roman" w:hAnsi="Arial"/>
          <w:bCs/>
        </w:rPr>
        <w:footnoteReference w:id="1"/>
      </w:r>
      <w:r w:rsidRPr="009246B6">
        <w:rPr>
          <w:rFonts w:ascii="Arial" w:eastAsia="Times New Roman" w:hAnsi="Arial" w:cs="Arial"/>
          <w:bCs/>
        </w:rPr>
        <w:cr/>
      </w:r>
    </w:p>
    <w:p w:rsidR="008A4423" w:rsidRDefault="00E27F53" w:rsidP="009F139B">
      <w:pPr>
        <w:rPr>
          <w:rFonts w:ascii="Arial" w:eastAsia="Times New Roman" w:hAnsi="Arial" w:cs="Arial"/>
          <w:bCs/>
        </w:rPr>
      </w:pPr>
      <w:r>
        <w:rPr>
          <w:rFonts w:ascii="Arial" w:eastAsia="Times New Roman" w:hAnsi="Arial" w:cs="Arial"/>
          <w:bCs/>
        </w:rPr>
        <w:t xml:space="preserve">The evidence provided through </w:t>
      </w:r>
      <w:proofErr w:type="spellStart"/>
      <w:r>
        <w:rPr>
          <w:rFonts w:ascii="Arial" w:eastAsia="Times New Roman" w:hAnsi="Arial" w:cs="Arial"/>
          <w:bCs/>
        </w:rPr>
        <w:t>NGER</w:t>
      </w:r>
      <w:proofErr w:type="spellEnd"/>
      <w:r>
        <w:rPr>
          <w:rFonts w:ascii="Arial" w:eastAsia="Times New Roman" w:hAnsi="Arial" w:cs="Arial"/>
          <w:bCs/>
        </w:rPr>
        <w:t xml:space="preserve"> reporting</w:t>
      </w:r>
      <w:r w:rsidR="00FC3636">
        <w:rPr>
          <w:rFonts w:ascii="Arial" w:eastAsia="Times New Roman" w:hAnsi="Arial" w:cs="Arial"/>
          <w:bCs/>
        </w:rPr>
        <w:t xml:space="preserve"> shows</w:t>
      </w:r>
      <w:r w:rsidR="008A4423">
        <w:rPr>
          <w:rFonts w:ascii="Arial" w:eastAsia="Times New Roman" w:hAnsi="Arial" w:cs="Arial"/>
          <w:bCs/>
        </w:rPr>
        <w:t xml:space="preserve"> that</w:t>
      </w:r>
      <w:r>
        <w:rPr>
          <w:rFonts w:ascii="Arial" w:eastAsia="Times New Roman" w:hAnsi="Arial" w:cs="Arial"/>
          <w:bCs/>
        </w:rPr>
        <w:t xml:space="preserve"> companies</w:t>
      </w:r>
      <w:r w:rsidR="008A4423">
        <w:rPr>
          <w:rFonts w:ascii="Arial" w:eastAsia="Times New Roman" w:hAnsi="Arial" w:cs="Arial"/>
          <w:bCs/>
        </w:rPr>
        <w:t xml:space="preserve"> in the road transport sector</w:t>
      </w:r>
    </w:p>
    <w:p w:rsidR="008A4423" w:rsidRDefault="00A61441" w:rsidP="009F139B">
      <w:pPr>
        <w:rPr>
          <w:rFonts w:ascii="Arial" w:eastAsia="Times New Roman" w:hAnsi="Arial" w:cs="Arial"/>
          <w:bCs/>
        </w:rPr>
      </w:pPr>
      <w:r>
        <w:rPr>
          <w:rFonts w:ascii="Arial" w:eastAsia="Times New Roman" w:hAnsi="Arial" w:cs="Arial"/>
          <w:bCs/>
        </w:rPr>
        <w:t>e</w:t>
      </w:r>
      <w:r w:rsidR="008A4423">
        <w:rPr>
          <w:rFonts w:ascii="Arial" w:eastAsia="Times New Roman" w:hAnsi="Arial" w:cs="Arial"/>
          <w:bCs/>
        </w:rPr>
        <w:t>xpand</w:t>
      </w:r>
      <w:r w:rsidR="00E27F53">
        <w:rPr>
          <w:rFonts w:ascii="Arial" w:eastAsia="Times New Roman" w:hAnsi="Arial" w:cs="Arial"/>
          <w:bCs/>
        </w:rPr>
        <w:t xml:space="preserve"> and contract emissions on an incremental yearly basis. </w:t>
      </w:r>
      <w:r w:rsidR="008A4423">
        <w:rPr>
          <w:rFonts w:ascii="Arial" w:eastAsia="Times New Roman" w:hAnsi="Arial" w:cs="Arial"/>
          <w:bCs/>
        </w:rPr>
        <w:t xml:space="preserve">Large stepwise change in emissions do occur but are not common. </w:t>
      </w:r>
    </w:p>
    <w:p w:rsidR="00362AA8" w:rsidRDefault="00362AA8" w:rsidP="009F139B">
      <w:pPr>
        <w:rPr>
          <w:rFonts w:ascii="Arial" w:eastAsia="Times New Roman" w:hAnsi="Arial" w:cs="Arial"/>
          <w:bCs/>
        </w:rPr>
      </w:pPr>
    </w:p>
    <w:p w:rsidR="00362AA8" w:rsidRDefault="00362AA8" w:rsidP="009F139B">
      <w:pPr>
        <w:rPr>
          <w:rFonts w:ascii="Arial" w:eastAsia="Times New Roman" w:hAnsi="Arial" w:cs="Arial"/>
          <w:bCs/>
        </w:rPr>
      </w:pPr>
    </w:p>
    <w:p w:rsidR="00825386" w:rsidRDefault="00825386" w:rsidP="009F139B">
      <w:pPr>
        <w:rPr>
          <w:rFonts w:ascii="Arial" w:eastAsia="Times New Roman" w:hAnsi="Arial" w:cs="Arial"/>
          <w:bCs/>
        </w:rPr>
      </w:pPr>
    </w:p>
    <w:p w:rsidR="00E27F53" w:rsidRDefault="005E5886" w:rsidP="009F139B">
      <w:pPr>
        <w:rPr>
          <w:rFonts w:ascii="Arial" w:eastAsia="Times New Roman" w:hAnsi="Arial" w:cs="Arial"/>
          <w:bCs/>
        </w:rPr>
      </w:pPr>
      <w:r>
        <w:rPr>
          <w:rFonts w:ascii="Arial" w:eastAsia="Times New Roman" w:hAnsi="Arial" w:cs="Arial"/>
          <w:bCs/>
        </w:rPr>
        <w:lastRenderedPageBreak/>
        <w:t>In order to accommodate network industries in the safeguard mechanism, t</w:t>
      </w:r>
      <w:r w:rsidR="00E27F53">
        <w:rPr>
          <w:rFonts w:ascii="Arial" w:eastAsia="Times New Roman" w:hAnsi="Arial" w:cs="Arial"/>
          <w:bCs/>
        </w:rPr>
        <w:t xml:space="preserve">he Government should provide specific safeguard mechanisms that reflect </w:t>
      </w:r>
      <w:r w:rsidR="008A4423">
        <w:rPr>
          <w:rFonts w:ascii="Arial" w:eastAsia="Times New Roman" w:hAnsi="Arial" w:cs="Arial"/>
          <w:bCs/>
        </w:rPr>
        <w:t xml:space="preserve">network </w:t>
      </w:r>
      <w:r w:rsidR="00E27F53">
        <w:rPr>
          <w:rFonts w:ascii="Arial" w:eastAsia="Times New Roman" w:hAnsi="Arial" w:cs="Arial"/>
          <w:bCs/>
        </w:rPr>
        <w:t xml:space="preserve">industry </w:t>
      </w:r>
      <w:r w:rsidR="009F139B">
        <w:rPr>
          <w:rFonts w:ascii="Arial" w:eastAsia="Times New Roman" w:hAnsi="Arial" w:cs="Arial"/>
          <w:bCs/>
        </w:rPr>
        <w:t>emissions outcomes</w:t>
      </w:r>
      <w:r w:rsidR="00E27F53">
        <w:rPr>
          <w:rFonts w:ascii="Arial" w:eastAsia="Times New Roman" w:hAnsi="Arial" w:cs="Arial"/>
          <w:bCs/>
        </w:rPr>
        <w:t xml:space="preserve">, in order to not overburden or penalise </w:t>
      </w:r>
      <w:r w:rsidR="008A4423">
        <w:rPr>
          <w:rFonts w:ascii="Arial" w:eastAsia="Times New Roman" w:hAnsi="Arial" w:cs="Arial"/>
          <w:bCs/>
        </w:rPr>
        <w:t>network industries</w:t>
      </w:r>
      <w:r w:rsidR="00E27F53">
        <w:rPr>
          <w:rFonts w:ascii="Arial" w:eastAsia="Times New Roman" w:hAnsi="Arial" w:cs="Arial"/>
          <w:bCs/>
        </w:rPr>
        <w:t xml:space="preserve"> unduly. </w:t>
      </w:r>
      <w:r w:rsidR="00532671">
        <w:rPr>
          <w:rFonts w:ascii="Arial" w:eastAsia="Times New Roman" w:hAnsi="Arial" w:cs="Arial"/>
          <w:bCs/>
        </w:rPr>
        <w:t xml:space="preserve">The baseline </w:t>
      </w:r>
      <w:r w:rsidR="003C4A9E">
        <w:rPr>
          <w:rFonts w:ascii="Arial" w:eastAsia="Times New Roman" w:hAnsi="Arial" w:cs="Arial"/>
          <w:bCs/>
        </w:rPr>
        <w:t xml:space="preserve">that is </w:t>
      </w:r>
      <w:r w:rsidR="00A91DE2" w:rsidRPr="00A91DE2">
        <w:rPr>
          <w:rFonts w:ascii="Arial" w:eastAsia="Times New Roman" w:hAnsi="Arial" w:cs="Arial"/>
          <w:bCs/>
        </w:rPr>
        <w:t>determin</w:t>
      </w:r>
      <w:r w:rsidR="00594B27">
        <w:rPr>
          <w:rFonts w:ascii="Arial" w:eastAsia="Times New Roman" w:hAnsi="Arial" w:cs="Arial"/>
          <w:bCs/>
        </w:rPr>
        <w:t>ed under the safeguard mechanism needs to consider other factor</w:t>
      </w:r>
      <w:r w:rsidR="00371C5A">
        <w:rPr>
          <w:rFonts w:ascii="Arial" w:eastAsia="Times New Roman" w:hAnsi="Arial" w:cs="Arial"/>
          <w:bCs/>
        </w:rPr>
        <w:t>s</w:t>
      </w:r>
      <w:r w:rsidR="00594B27">
        <w:rPr>
          <w:rFonts w:ascii="Arial" w:eastAsia="Times New Roman" w:hAnsi="Arial" w:cs="Arial"/>
          <w:bCs/>
        </w:rPr>
        <w:t xml:space="preserve"> that contribute to a change in facility emissions such as economic conditions or</w:t>
      </w:r>
      <w:r w:rsidR="00A91DE2" w:rsidRPr="00A91DE2">
        <w:rPr>
          <w:rFonts w:ascii="Arial" w:eastAsia="Times New Roman" w:hAnsi="Arial" w:cs="Arial"/>
          <w:bCs/>
        </w:rPr>
        <w:t xml:space="preserve"> acquisitions</w:t>
      </w:r>
      <w:r w:rsidR="00594B27">
        <w:rPr>
          <w:rFonts w:ascii="Arial" w:eastAsia="Times New Roman" w:hAnsi="Arial" w:cs="Arial"/>
          <w:bCs/>
        </w:rPr>
        <w:t xml:space="preserve">. </w:t>
      </w:r>
      <w:bookmarkStart w:id="6" w:name="_GoBack"/>
      <w:bookmarkEnd w:id="6"/>
    </w:p>
    <w:p w:rsidR="000150DD" w:rsidRDefault="000150DD" w:rsidP="009F139B">
      <w:pPr>
        <w:rPr>
          <w:rFonts w:ascii="Arial" w:eastAsia="Times New Roman" w:hAnsi="Arial" w:cs="Arial"/>
          <w:bCs/>
        </w:rPr>
      </w:pPr>
    </w:p>
    <w:p w:rsidR="00207496" w:rsidRPr="004D52BC" w:rsidRDefault="004D52BC" w:rsidP="009F139B">
      <w:pPr>
        <w:rPr>
          <w:rFonts w:ascii="Arial" w:eastAsia="Times New Roman" w:hAnsi="Arial" w:cs="Arial"/>
          <w:b/>
          <w:bCs/>
        </w:rPr>
      </w:pPr>
      <w:r w:rsidRPr="004D52BC">
        <w:rPr>
          <w:rFonts w:ascii="Arial" w:eastAsia="Times New Roman" w:hAnsi="Arial" w:cs="Arial"/>
          <w:b/>
          <w:bCs/>
        </w:rPr>
        <w:t>Recommendation</w:t>
      </w:r>
    </w:p>
    <w:p w:rsidR="004D52BC" w:rsidRDefault="004D52BC" w:rsidP="009F139B">
      <w:pPr>
        <w:rPr>
          <w:rFonts w:ascii="Arial" w:eastAsia="Times New Roman" w:hAnsi="Arial" w:cs="Arial"/>
          <w:bCs/>
        </w:rPr>
      </w:pPr>
    </w:p>
    <w:p w:rsidR="004D52BC" w:rsidRDefault="004D52BC" w:rsidP="009F139B">
      <w:pPr>
        <w:rPr>
          <w:rFonts w:ascii="Arial" w:eastAsia="Times New Roman" w:hAnsi="Arial" w:cs="Arial"/>
          <w:bCs/>
        </w:rPr>
      </w:pPr>
      <w:r>
        <w:rPr>
          <w:rFonts w:ascii="Arial" w:eastAsia="Times New Roman" w:hAnsi="Arial" w:cs="Arial"/>
          <w:bCs/>
        </w:rPr>
        <w:t xml:space="preserve">The </w:t>
      </w:r>
      <w:r w:rsidR="008A4423">
        <w:rPr>
          <w:rFonts w:ascii="Arial" w:eastAsia="Times New Roman" w:hAnsi="Arial" w:cs="Arial"/>
          <w:bCs/>
        </w:rPr>
        <w:t>Government</w:t>
      </w:r>
      <w:r>
        <w:rPr>
          <w:rFonts w:ascii="Arial" w:eastAsia="Times New Roman" w:hAnsi="Arial" w:cs="Arial"/>
          <w:bCs/>
        </w:rPr>
        <w:t xml:space="preserve"> should </w:t>
      </w:r>
      <w:r w:rsidR="008A4423">
        <w:rPr>
          <w:rFonts w:ascii="Arial" w:eastAsia="Times New Roman" w:hAnsi="Arial" w:cs="Arial"/>
          <w:bCs/>
        </w:rPr>
        <w:t>develop an additional</w:t>
      </w:r>
      <w:r>
        <w:rPr>
          <w:rFonts w:ascii="Arial" w:eastAsia="Times New Roman" w:hAnsi="Arial" w:cs="Arial"/>
          <w:bCs/>
        </w:rPr>
        <w:t xml:space="preserve"> safeguard mechanism</w:t>
      </w:r>
      <w:r w:rsidR="008A4423">
        <w:rPr>
          <w:rFonts w:ascii="Arial" w:eastAsia="Times New Roman" w:hAnsi="Arial" w:cs="Arial"/>
          <w:bCs/>
        </w:rPr>
        <w:t xml:space="preserve"> that reflects the emission</w:t>
      </w:r>
      <w:r>
        <w:rPr>
          <w:rFonts w:ascii="Arial" w:eastAsia="Times New Roman" w:hAnsi="Arial" w:cs="Arial"/>
          <w:bCs/>
        </w:rPr>
        <w:t xml:space="preserve"> pattern</w:t>
      </w:r>
      <w:r w:rsidR="008A4423">
        <w:rPr>
          <w:rFonts w:ascii="Arial" w:eastAsia="Times New Roman" w:hAnsi="Arial" w:cs="Arial"/>
          <w:bCs/>
        </w:rPr>
        <w:t xml:space="preserve">s of network industries such as the trucking industry. </w:t>
      </w:r>
    </w:p>
    <w:p w:rsidR="00C50665" w:rsidRDefault="00C50665" w:rsidP="009F139B">
      <w:pPr>
        <w:rPr>
          <w:rFonts w:ascii="Arial" w:eastAsia="Times New Roman" w:hAnsi="Arial" w:cs="Arial"/>
          <w:bCs/>
        </w:rPr>
      </w:pPr>
    </w:p>
    <w:p w:rsidR="00566EAE" w:rsidRDefault="00566EAE" w:rsidP="009F139B">
      <w:pPr>
        <w:rPr>
          <w:rFonts w:ascii="Arial" w:eastAsia="Times New Roman" w:hAnsi="Arial" w:cs="Arial"/>
          <w:bCs/>
        </w:rPr>
      </w:pPr>
    </w:p>
    <w:p w:rsidR="00566EAE" w:rsidRDefault="00566EAE" w:rsidP="009F139B">
      <w:pPr>
        <w:rPr>
          <w:rFonts w:ascii="Arial" w:eastAsia="Times New Roman" w:hAnsi="Arial" w:cs="Arial"/>
          <w:bCs/>
        </w:rPr>
      </w:pPr>
    </w:p>
    <w:p w:rsidR="00566EAE" w:rsidRDefault="00566EAE" w:rsidP="009F139B">
      <w:pPr>
        <w:rPr>
          <w:rFonts w:ascii="Arial" w:eastAsia="Times New Roman" w:hAnsi="Arial" w:cs="Arial"/>
          <w:bCs/>
        </w:rPr>
      </w:pPr>
    </w:p>
    <w:p w:rsidR="005E5886" w:rsidRDefault="005E5886" w:rsidP="009F139B">
      <w:pPr>
        <w:rPr>
          <w:rFonts w:ascii="Arial" w:eastAsia="Times New Roman" w:hAnsi="Arial" w:cs="Arial"/>
          <w:bCs/>
        </w:rPr>
      </w:pPr>
      <w:r>
        <w:rPr>
          <w:rFonts w:ascii="Arial" w:eastAsia="Times New Roman" w:hAnsi="Arial" w:cs="Arial"/>
          <w:bCs/>
        </w:rPr>
        <w:br w:type="page"/>
      </w:r>
    </w:p>
    <w:p w:rsidR="00566EAE" w:rsidRDefault="00566EAE" w:rsidP="009F139B">
      <w:pPr>
        <w:rPr>
          <w:rFonts w:ascii="Arial" w:eastAsia="Times New Roman" w:hAnsi="Arial" w:cs="Arial"/>
          <w:bCs/>
        </w:rPr>
      </w:pPr>
    </w:p>
    <w:p w:rsidR="00566EAE" w:rsidRDefault="00566EAE" w:rsidP="009F139B">
      <w:pPr>
        <w:pStyle w:val="Heading1"/>
        <w:rPr>
          <w:rFonts w:eastAsia="Times New Roman"/>
          <w:b w:val="0"/>
          <w:bCs/>
        </w:rPr>
      </w:pPr>
      <w:bookmarkStart w:id="7" w:name="_Toc417380314"/>
      <w:r w:rsidRPr="005E5886">
        <w:rPr>
          <w:szCs w:val="22"/>
        </w:rPr>
        <w:t>Data appendix</w:t>
      </w:r>
      <w:r w:rsidR="00CA6AA6" w:rsidRPr="005E5886">
        <w:rPr>
          <w:szCs w:val="22"/>
        </w:rPr>
        <w:t xml:space="preserve">: </w:t>
      </w:r>
      <w:r w:rsidR="00A0749F" w:rsidRPr="005E5886">
        <w:rPr>
          <w:szCs w:val="22"/>
        </w:rPr>
        <w:t>Major truck company emissions 2008-09 to 2013-14</w:t>
      </w:r>
      <w:bookmarkEnd w:id="7"/>
    </w:p>
    <w:p w:rsidR="00A0749F" w:rsidRDefault="00A0749F" w:rsidP="009F139B">
      <w:pPr>
        <w:rPr>
          <w:rFonts w:ascii="Arial" w:eastAsia="Times New Roman" w:hAnsi="Arial" w:cs="Arial"/>
          <w:bCs/>
        </w:rPr>
      </w:pPr>
    </w:p>
    <w:tbl>
      <w:tblPr>
        <w:tblStyle w:val="TableGrid1"/>
        <w:tblW w:w="0" w:type="auto"/>
        <w:tblLook w:val="04A0" w:firstRow="1" w:lastRow="0" w:firstColumn="1" w:lastColumn="0" w:noHBand="0" w:noVBand="1"/>
      </w:tblPr>
      <w:tblGrid>
        <w:gridCol w:w="2831"/>
        <w:gridCol w:w="953"/>
        <w:gridCol w:w="953"/>
        <w:gridCol w:w="953"/>
        <w:gridCol w:w="953"/>
        <w:gridCol w:w="953"/>
        <w:gridCol w:w="953"/>
      </w:tblGrid>
      <w:tr w:rsidR="00C50665" w:rsidRPr="00315C68" w:rsidTr="0059642B">
        <w:trPr>
          <w:trHeight w:val="600"/>
        </w:trPr>
        <w:tc>
          <w:tcPr>
            <w:tcW w:w="0" w:type="auto"/>
            <w:vAlign w:val="center"/>
            <w:hideMark/>
          </w:tcPr>
          <w:p w:rsidR="00C50665" w:rsidRPr="00315C68" w:rsidRDefault="00C50665" w:rsidP="009F139B">
            <w:pPr>
              <w:rPr>
                <w:rFonts w:eastAsia="Times New Roman"/>
                <w:b/>
                <w:bCs/>
                <w:lang w:eastAsia="en-AU"/>
              </w:rPr>
            </w:pPr>
            <w:r w:rsidRPr="00315C68">
              <w:rPr>
                <w:rFonts w:eastAsia="Times New Roman"/>
                <w:b/>
                <w:bCs/>
                <w:lang w:eastAsia="en-AU"/>
              </w:rPr>
              <w:t>Controlling Corporation</w:t>
            </w:r>
          </w:p>
        </w:tc>
        <w:tc>
          <w:tcPr>
            <w:tcW w:w="0" w:type="auto"/>
            <w:gridSpan w:val="6"/>
            <w:vAlign w:val="center"/>
            <w:hideMark/>
          </w:tcPr>
          <w:p w:rsidR="00C50665" w:rsidRPr="00315C68" w:rsidRDefault="00C50665" w:rsidP="009F139B">
            <w:pPr>
              <w:rPr>
                <w:rFonts w:eastAsia="Times New Roman"/>
                <w:b/>
                <w:bCs/>
                <w:lang w:eastAsia="en-AU"/>
              </w:rPr>
            </w:pPr>
            <w:r w:rsidRPr="00331895">
              <w:rPr>
                <w:b/>
              </w:rPr>
              <w:t>Emissions</w:t>
            </w:r>
            <w:r w:rsidRPr="00315C68">
              <w:rPr>
                <w:rFonts w:eastAsia="Times New Roman"/>
                <w:b/>
                <w:bCs/>
                <w:lang w:eastAsia="en-AU"/>
              </w:rPr>
              <w:t xml:space="preserve"> (</w:t>
            </w:r>
            <w:r w:rsidR="009F139B">
              <w:rPr>
                <w:rFonts w:eastAsia="Times New Roman"/>
                <w:b/>
                <w:bCs/>
                <w:lang w:eastAsia="en-AU"/>
              </w:rPr>
              <w:t xml:space="preserve">tonnes </w:t>
            </w:r>
            <w:proofErr w:type="spellStart"/>
            <w:r w:rsidRPr="00315C68">
              <w:rPr>
                <w:rFonts w:eastAsia="Times New Roman"/>
                <w:b/>
                <w:bCs/>
                <w:lang w:eastAsia="en-AU"/>
              </w:rPr>
              <w:t>Co2e</w:t>
            </w:r>
            <w:proofErr w:type="spellEnd"/>
            <w:r w:rsidRPr="00315C68">
              <w:rPr>
                <w:rFonts w:eastAsia="Times New Roman"/>
                <w:b/>
                <w:bCs/>
                <w:lang w:eastAsia="en-AU"/>
              </w:rPr>
              <w:t>)</w:t>
            </w:r>
            <w:r>
              <w:t xml:space="preserve"> </w:t>
            </w:r>
          </w:p>
        </w:tc>
      </w:tr>
      <w:tr w:rsidR="00C50665" w:rsidRPr="00315C68" w:rsidTr="0059642B">
        <w:trPr>
          <w:trHeight w:val="315"/>
        </w:trPr>
        <w:tc>
          <w:tcPr>
            <w:tcW w:w="0" w:type="auto"/>
            <w:noWrap/>
            <w:vAlign w:val="center"/>
            <w:hideMark/>
          </w:tcPr>
          <w:p w:rsidR="00C50665" w:rsidRPr="00E27F53" w:rsidRDefault="00C50665" w:rsidP="009F139B">
            <w:pPr>
              <w:rPr>
                <w:rFonts w:eastAsia="Times New Roman"/>
                <w:b/>
                <w:sz w:val="24"/>
                <w:szCs w:val="24"/>
                <w:lang w:eastAsia="en-AU"/>
              </w:rPr>
            </w:pPr>
            <w:r w:rsidRPr="00E27F53">
              <w:rPr>
                <w:rFonts w:eastAsia="Times New Roman"/>
                <w:b/>
                <w:sz w:val="24"/>
                <w:szCs w:val="24"/>
                <w:lang w:eastAsia="en-AU"/>
              </w:rPr>
              <w:t>Year</w:t>
            </w:r>
          </w:p>
        </w:tc>
        <w:tc>
          <w:tcPr>
            <w:tcW w:w="0" w:type="auto"/>
            <w:noWrap/>
            <w:vAlign w:val="center"/>
            <w:hideMark/>
          </w:tcPr>
          <w:p w:rsidR="00C50665" w:rsidRPr="00331895" w:rsidRDefault="00C50665" w:rsidP="009F139B">
            <w:pPr>
              <w:rPr>
                <w:rFonts w:eastAsia="Times New Roman"/>
                <w:b/>
                <w:lang w:eastAsia="en-AU"/>
              </w:rPr>
            </w:pPr>
            <w:r w:rsidRPr="00331895">
              <w:rPr>
                <w:rFonts w:eastAsia="Times New Roman"/>
                <w:b/>
                <w:lang w:eastAsia="en-AU"/>
              </w:rPr>
              <w:t>2008-09</w:t>
            </w:r>
          </w:p>
        </w:tc>
        <w:tc>
          <w:tcPr>
            <w:tcW w:w="0" w:type="auto"/>
            <w:noWrap/>
            <w:vAlign w:val="center"/>
            <w:hideMark/>
          </w:tcPr>
          <w:p w:rsidR="00C50665" w:rsidRPr="00331895" w:rsidRDefault="00C50665" w:rsidP="009F139B">
            <w:pPr>
              <w:rPr>
                <w:rFonts w:eastAsia="Times New Roman"/>
                <w:b/>
                <w:lang w:eastAsia="en-AU"/>
              </w:rPr>
            </w:pPr>
            <w:r w:rsidRPr="00331895">
              <w:rPr>
                <w:rFonts w:eastAsia="Times New Roman"/>
                <w:b/>
                <w:lang w:eastAsia="en-AU"/>
              </w:rPr>
              <w:t>2009-10</w:t>
            </w:r>
          </w:p>
        </w:tc>
        <w:tc>
          <w:tcPr>
            <w:tcW w:w="0" w:type="auto"/>
            <w:noWrap/>
            <w:vAlign w:val="center"/>
            <w:hideMark/>
          </w:tcPr>
          <w:p w:rsidR="00C50665" w:rsidRPr="00331895" w:rsidRDefault="00C50665" w:rsidP="009F139B">
            <w:pPr>
              <w:rPr>
                <w:rFonts w:eastAsia="Times New Roman"/>
                <w:b/>
                <w:lang w:eastAsia="en-AU"/>
              </w:rPr>
            </w:pPr>
            <w:r w:rsidRPr="00331895">
              <w:rPr>
                <w:rFonts w:eastAsia="Times New Roman"/>
                <w:b/>
                <w:lang w:eastAsia="en-AU"/>
              </w:rPr>
              <w:t>2010-11</w:t>
            </w:r>
          </w:p>
        </w:tc>
        <w:tc>
          <w:tcPr>
            <w:tcW w:w="0" w:type="auto"/>
            <w:noWrap/>
            <w:vAlign w:val="center"/>
            <w:hideMark/>
          </w:tcPr>
          <w:p w:rsidR="00C50665" w:rsidRPr="00331895" w:rsidRDefault="00C50665" w:rsidP="009F139B">
            <w:pPr>
              <w:rPr>
                <w:rFonts w:eastAsia="Times New Roman"/>
                <w:b/>
                <w:lang w:eastAsia="en-AU"/>
              </w:rPr>
            </w:pPr>
            <w:r w:rsidRPr="00331895">
              <w:rPr>
                <w:rFonts w:eastAsia="Times New Roman"/>
                <w:b/>
                <w:lang w:eastAsia="en-AU"/>
              </w:rPr>
              <w:t>2011-12</w:t>
            </w:r>
          </w:p>
        </w:tc>
        <w:tc>
          <w:tcPr>
            <w:tcW w:w="0" w:type="auto"/>
            <w:noWrap/>
            <w:vAlign w:val="center"/>
            <w:hideMark/>
          </w:tcPr>
          <w:p w:rsidR="00C50665" w:rsidRPr="00331895" w:rsidRDefault="00C50665" w:rsidP="009F139B">
            <w:pPr>
              <w:rPr>
                <w:rFonts w:eastAsia="Times New Roman"/>
                <w:b/>
                <w:lang w:eastAsia="en-AU"/>
              </w:rPr>
            </w:pPr>
            <w:r w:rsidRPr="00331895">
              <w:rPr>
                <w:rFonts w:eastAsia="Times New Roman"/>
                <w:b/>
                <w:lang w:eastAsia="en-AU"/>
              </w:rPr>
              <w:t>2012-13</w:t>
            </w:r>
          </w:p>
        </w:tc>
        <w:tc>
          <w:tcPr>
            <w:tcW w:w="0" w:type="auto"/>
            <w:noWrap/>
            <w:vAlign w:val="center"/>
            <w:hideMark/>
          </w:tcPr>
          <w:p w:rsidR="00C50665" w:rsidRPr="00331895" w:rsidRDefault="00C50665" w:rsidP="009F139B">
            <w:pPr>
              <w:rPr>
                <w:rFonts w:eastAsia="Times New Roman"/>
                <w:b/>
                <w:lang w:eastAsia="en-AU"/>
              </w:rPr>
            </w:pPr>
            <w:r w:rsidRPr="00331895">
              <w:rPr>
                <w:rFonts w:eastAsia="Times New Roman"/>
                <w:b/>
                <w:lang w:eastAsia="en-AU"/>
              </w:rPr>
              <w:t>2013-14</w:t>
            </w:r>
          </w:p>
        </w:tc>
      </w:tr>
      <w:tr w:rsidR="00C50665" w:rsidRPr="00315C68" w:rsidTr="0059642B">
        <w:trPr>
          <w:trHeight w:val="300"/>
        </w:trPr>
        <w:tc>
          <w:tcPr>
            <w:tcW w:w="0" w:type="auto"/>
            <w:vAlign w:val="center"/>
            <w:hideMark/>
          </w:tcPr>
          <w:p w:rsidR="00C50665" w:rsidRPr="00E27F53" w:rsidRDefault="00C50665" w:rsidP="009F139B">
            <w:pPr>
              <w:rPr>
                <w:rFonts w:eastAsia="Times New Roman"/>
                <w:b/>
                <w:lang w:eastAsia="en-AU"/>
              </w:rPr>
            </w:pPr>
            <w:r w:rsidRPr="00E27F53">
              <w:rPr>
                <w:rFonts w:eastAsia="Times New Roman"/>
                <w:b/>
                <w:lang w:eastAsia="en-AU"/>
              </w:rPr>
              <w:t xml:space="preserve">CEVA </w:t>
            </w:r>
          </w:p>
        </w:tc>
        <w:tc>
          <w:tcPr>
            <w:tcW w:w="0" w:type="auto"/>
            <w:vAlign w:val="center"/>
            <w:hideMark/>
          </w:tcPr>
          <w:p w:rsidR="00C50665" w:rsidRPr="00315C68" w:rsidRDefault="00C50665" w:rsidP="009F139B">
            <w:pPr>
              <w:rPr>
                <w:rFonts w:ascii="Arial" w:eastAsia="Times New Roman" w:hAnsi="Arial" w:cs="Arial"/>
                <w:sz w:val="20"/>
                <w:szCs w:val="20"/>
                <w:lang w:eastAsia="en-AU"/>
              </w:rPr>
            </w:pPr>
          </w:p>
        </w:tc>
        <w:tc>
          <w:tcPr>
            <w:tcW w:w="0" w:type="auto"/>
            <w:vAlign w:val="center"/>
            <w:hideMark/>
          </w:tcPr>
          <w:p w:rsidR="00C50665" w:rsidRPr="00315C68" w:rsidRDefault="00C50665" w:rsidP="009F139B">
            <w:pPr>
              <w:rPr>
                <w:rFonts w:ascii="Arial" w:eastAsia="Times New Roman" w:hAnsi="Arial" w:cs="Arial"/>
                <w:sz w:val="20"/>
                <w:szCs w:val="20"/>
                <w:lang w:eastAsia="en-AU"/>
              </w:rPr>
            </w:pPr>
            <w:r w:rsidRPr="00315C68">
              <w:rPr>
                <w:rFonts w:ascii="Arial" w:eastAsia="Times New Roman" w:hAnsi="Arial" w:cs="Arial"/>
                <w:sz w:val="20"/>
                <w:szCs w:val="20"/>
                <w:lang w:eastAsia="en-AU"/>
              </w:rPr>
              <w:t>67,562</w:t>
            </w:r>
          </w:p>
        </w:tc>
        <w:tc>
          <w:tcPr>
            <w:tcW w:w="0" w:type="auto"/>
            <w:noWrap/>
            <w:vAlign w:val="center"/>
            <w:hideMark/>
          </w:tcPr>
          <w:p w:rsidR="00C50665" w:rsidRPr="00315C68" w:rsidRDefault="00C50665" w:rsidP="009F139B">
            <w:pPr>
              <w:rPr>
                <w:rFonts w:ascii="Arial" w:eastAsia="Times New Roman" w:hAnsi="Arial" w:cs="Arial"/>
                <w:sz w:val="20"/>
                <w:szCs w:val="20"/>
                <w:lang w:eastAsia="en-AU"/>
              </w:rPr>
            </w:pPr>
            <w:r w:rsidRPr="00315C68">
              <w:rPr>
                <w:rFonts w:ascii="Arial" w:eastAsia="Times New Roman" w:hAnsi="Arial" w:cs="Arial"/>
                <w:sz w:val="20"/>
                <w:szCs w:val="20"/>
                <w:lang w:eastAsia="en-AU"/>
              </w:rPr>
              <w:t>80,214</w:t>
            </w:r>
          </w:p>
        </w:tc>
        <w:tc>
          <w:tcPr>
            <w:tcW w:w="0" w:type="auto"/>
            <w:noWrap/>
            <w:vAlign w:val="center"/>
            <w:hideMark/>
          </w:tcPr>
          <w:p w:rsidR="00C50665" w:rsidRPr="00315C68" w:rsidRDefault="00C50665" w:rsidP="009F139B">
            <w:pPr>
              <w:rPr>
                <w:rFonts w:ascii="Arial" w:eastAsia="Times New Roman" w:hAnsi="Arial" w:cs="Arial"/>
                <w:sz w:val="20"/>
                <w:szCs w:val="20"/>
                <w:lang w:eastAsia="en-AU"/>
              </w:rPr>
            </w:pPr>
            <w:r w:rsidRPr="00315C68">
              <w:rPr>
                <w:rFonts w:ascii="Arial" w:eastAsia="Times New Roman" w:hAnsi="Arial" w:cs="Arial"/>
                <w:sz w:val="20"/>
                <w:szCs w:val="20"/>
                <w:lang w:eastAsia="en-AU"/>
              </w:rPr>
              <w:t>97,262</w:t>
            </w:r>
          </w:p>
        </w:tc>
        <w:tc>
          <w:tcPr>
            <w:tcW w:w="0" w:type="auto"/>
            <w:noWrap/>
            <w:vAlign w:val="center"/>
            <w:hideMark/>
          </w:tcPr>
          <w:p w:rsidR="00C50665" w:rsidRPr="00315C68" w:rsidRDefault="00C50665" w:rsidP="009F139B">
            <w:pPr>
              <w:rPr>
                <w:rFonts w:ascii="Arial" w:eastAsia="Times New Roman" w:hAnsi="Arial" w:cs="Arial"/>
                <w:sz w:val="20"/>
                <w:szCs w:val="20"/>
                <w:lang w:eastAsia="en-AU"/>
              </w:rPr>
            </w:pPr>
            <w:r w:rsidRPr="00315C68">
              <w:rPr>
                <w:rFonts w:ascii="Arial" w:eastAsia="Times New Roman" w:hAnsi="Arial" w:cs="Arial"/>
                <w:sz w:val="20"/>
                <w:szCs w:val="20"/>
                <w:lang w:eastAsia="en-AU"/>
              </w:rPr>
              <w:t>100,578</w:t>
            </w:r>
          </w:p>
        </w:tc>
        <w:tc>
          <w:tcPr>
            <w:tcW w:w="0" w:type="auto"/>
            <w:noWrap/>
            <w:vAlign w:val="center"/>
            <w:hideMark/>
          </w:tcPr>
          <w:p w:rsidR="00C50665" w:rsidRPr="00315C68" w:rsidRDefault="00C50665" w:rsidP="009F139B">
            <w:pPr>
              <w:rPr>
                <w:rFonts w:ascii="Arial" w:eastAsia="Times New Roman" w:hAnsi="Arial" w:cs="Arial"/>
                <w:sz w:val="20"/>
                <w:szCs w:val="20"/>
                <w:lang w:eastAsia="en-AU"/>
              </w:rPr>
            </w:pPr>
            <w:r w:rsidRPr="00315C68">
              <w:rPr>
                <w:rFonts w:ascii="Arial" w:eastAsia="Times New Roman" w:hAnsi="Arial" w:cs="Arial"/>
                <w:sz w:val="20"/>
                <w:szCs w:val="20"/>
                <w:lang w:eastAsia="en-AU"/>
              </w:rPr>
              <w:t>99,965</w:t>
            </w:r>
          </w:p>
        </w:tc>
      </w:tr>
      <w:tr w:rsidR="00C50665" w:rsidRPr="00315C68" w:rsidTr="0059642B">
        <w:trPr>
          <w:trHeight w:val="300"/>
        </w:trPr>
        <w:tc>
          <w:tcPr>
            <w:tcW w:w="0" w:type="auto"/>
            <w:vAlign w:val="center"/>
            <w:hideMark/>
          </w:tcPr>
          <w:p w:rsidR="00C50665" w:rsidRPr="00E27F53" w:rsidRDefault="00C50665" w:rsidP="009F139B">
            <w:pPr>
              <w:rPr>
                <w:rFonts w:eastAsia="Times New Roman"/>
                <w:b/>
                <w:lang w:eastAsia="en-AU"/>
              </w:rPr>
            </w:pPr>
            <w:r w:rsidRPr="00E27F53">
              <w:rPr>
                <w:rFonts w:eastAsia="Times New Roman"/>
                <w:b/>
                <w:lang w:eastAsia="en-AU"/>
              </w:rPr>
              <w:t>% change</w:t>
            </w:r>
          </w:p>
        </w:tc>
        <w:tc>
          <w:tcPr>
            <w:tcW w:w="0" w:type="auto"/>
            <w:vAlign w:val="center"/>
            <w:hideMark/>
          </w:tcPr>
          <w:p w:rsidR="00C50665" w:rsidRPr="00315C68" w:rsidRDefault="00C50665" w:rsidP="009F139B">
            <w:pPr>
              <w:rPr>
                <w:rFonts w:ascii="Arial" w:eastAsia="Times New Roman" w:hAnsi="Arial" w:cs="Arial"/>
                <w:sz w:val="20"/>
                <w:szCs w:val="20"/>
                <w:lang w:eastAsia="en-AU"/>
              </w:rPr>
            </w:pPr>
          </w:p>
        </w:tc>
        <w:tc>
          <w:tcPr>
            <w:tcW w:w="0" w:type="auto"/>
            <w:noWrap/>
            <w:vAlign w:val="center"/>
            <w:hideMark/>
          </w:tcPr>
          <w:p w:rsidR="00C50665" w:rsidRPr="00315C68" w:rsidRDefault="00C50665" w:rsidP="009F139B">
            <w:pPr>
              <w:rPr>
                <w:rFonts w:ascii="Arial" w:eastAsia="Times New Roman" w:hAnsi="Arial" w:cs="Arial"/>
                <w:sz w:val="20"/>
                <w:szCs w:val="20"/>
                <w:lang w:eastAsia="en-AU"/>
              </w:rPr>
            </w:pPr>
          </w:p>
        </w:tc>
        <w:tc>
          <w:tcPr>
            <w:tcW w:w="0" w:type="auto"/>
            <w:noWrap/>
            <w:vAlign w:val="center"/>
            <w:hideMark/>
          </w:tcPr>
          <w:p w:rsidR="00C50665" w:rsidRPr="00E27F53" w:rsidRDefault="00C50665" w:rsidP="009F139B">
            <w:pPr>
              <w:rPr>
                <w:rFonts w:ascii="Arial" w:eastAsia="Times New Roman" w:hAnsi="Arial" w:cs="Arial"/>
                <w:i/>
                <w:sz w:val="20"/>
                <w:szCs w:val="20"/>
                <w:lang w:eastAsia="en-AU"/>
              </w:rPr>
            </w:pPr>
            <w:r w:rsidRPr="00E27F53">
              <w:rPr>
                <w:rFonts w:ascii="Arial" w:eastAsia="Times New Roman" w:hAnsi="Arial" w:cs="Arial"/>
                <w:i/>
                <w:sz w:val="20"/>
                <w:szCs w:val="20"/>
                <w:lang w:eastAsia="en-AU"/>
              </w:rPr>
              <w:t>18.7%</w:t>
            </w:r>
          </w:p>
        </w:tc>
        <w:tc>
          <w:tcPr>
            <w:tcW w:w="0" w:type="auto"/>
            <w:noWrap/>
            <w:vAlign w:val="center"/>
            <w:hideMark/>
          </w:tcPr>
          <w:p w:rsidR="00C50665" w:rsidRPr="00E27F53" w:rsidRDefault="00C50665" w:rsidP="009F139B">
            <w:pPr>
              <w:rPr>
                <w:rFonts w:ascii="Arial" w:eastAsia="Times New Roman" w:hAnsi="Arial" w:cs="Arial"/>
                <w:i/>
                <w:sz w:val="20"/>
                <w:szCs w:val="20"/>
                <w:lang w:eastAsia="en-AU"/>
              </w:rPr>
            </w:pPr>
            <w:r w:rsidRPr="00E27F53">
              <w:rPr>
                <w:rFonts w:ascii="Arial" w:eastAsia="Times New Roman" w:hAnsi="Arial" w:cs="Arial"/>
                <w:i/>
                <w:sz w:val="20"/>
                <w:szCs w:val="20"/>
                <w:lang w:eastAsia="en-AU"/>
              </w:rPr>
              <w:t>21.3%</w:t>
            </w:r>
          </w:p>
        </w:tc>
        <w:tc>
          <w:tcPr>
            <w:tcW w:w="0" w:type="auto"/>
            <w:noWrap/>
            <w:vAlign w:val="center"/>
            <w:hideMark/>
          </w:tcPr>
          <w:p w:rsidR="00C50665" w:rsidRPr="00E27F53" w:rsidRDefault="00C50665" w:rsidP="009F139B">
            <w:pPr>
              <w:rPr>
                <w:rFonts w:ascii="Arial" w:eastAsia="Times New Roman" w:hAnsi="Arial" w:cs="Arial"/>
                <w:i/>
                <w:sz w:val="20"/>
                <w:szCs w:val="20"/>
                <w:lang w:eastAsia="en-AU"/>
              </w:rPr>
            </w:pPr>
            <w:r w:rsidRPr="00E27F53">
              <w:rPr>
                <w:rFonts w:ascii="Arial" w:eastAsia="Times New Roman" w:hAnsi="Arial" w:cs="Arial"/>
                <w:i/>
                <w:sz w:val="20"/>
                <w:szCs w:val="20"/>
                <w:lang w:eastAsia="en-AU"/>
              </w:rPr>
              <w:t>3.4%</w:t>
            </w:r>
          </w:p>
        </w:tc>
        <w:tc>
          <w:tcPr>
            <w:tcW w:w="0" w:type="auto"/>
            <w:noWrap/>
            <w:vAlign w:val="center"/>
            <w:hideMark/>
          </w:tcPr>
          <w:p w:rsidR="00C50665" w:rsidRPr="00E27F53" w:rsidRDefault="00C50665" w:rsidP="009F139B">
            <w:pPr>
              <w:rPr>
                <w:rFonts w:ascii="Arial" w:eastAsia="Times New Roman" w:hAnsi="Arial" w:cs="Arial"/>
                <w:i/>
                <w:sz w:val="20"/>
                <w:szCs w:val="20"/>
                <w:lang w:eastAsia="en-AU"/>
              </w:rPr>
            </w:pPr>
            <w:r w:rsidRPr="00E27F53">
              <w:rPr>
                <w:rFonts w:ascii="Arial" w:eastAsia="Times New Roman" w:hAnsi="Arial" w:cs="Arial"/>
                <w:i/>
                <w:sz w:val="20"/>
                <w:szCs w:val="20"/>
                <w:lang w:eastAsia="en-AU"/>
              </w:rPr>
              <w:t>-0.6%</w:t>
            </w:r>
          </w:p>
        </w:tc>
      </w:tr>
      <w:tr w:rsidR="00C50665" w:rsidRPr="00315C68" w:rsidTr="0059642B">
        <w:trPr>
          <w:trHeight w:val="360"/>
        </w:trPr>
        <w:tc>
          <w:tcPr>
            <w:tcW w:w="0" w:type="auto"/>
            <w:vAlign w:val="center"/>
            <w:hideMark/>
          </w:tcPr>
          <w:p w:rsidR="00C50665" w:rsidRPr="00E27F53" w:rsidRDefault="00C50665" w:rsidP="009F139B">
            <w:pPr>
              <w:rPr>
                <w:rFonts w:eastAsia="Times New Roman"/>
                <w:b/>
                <w:lang w:eastAsia="en-AU"/>
              </w:rPr>
            </w:pPr>
            <w:r w:rsidRPr="00E27F53">
              <w:rPr>
                <w:rFonts w:eastAsia="Times New Roman"/>
                <w:b/>
                <w:lang w:eastAsia="en-AU"/>
              </w:rPr>
              <w:t xml:space="preserve">RON FINEMORE TRANSPORT </w:t>
            </w:r>
          </w:p>
        </w:tc>
        <w:tc>
          <w:tcPr>
            <w:tcW w:w="0" w:type="auto"/>
            <w:noWrap/>
            <w:vAlign w:val="center"/>
            <w:hideMark/>
          </w:tcPr>
          <w:p w:rsidR="00C50665" w:rsidRPr="00315C68" w:rsidRDefault="00C50665" w:rsidP="009F139B">
            <w:pPr>
              <w:rPr>
                <w:rFonts w:eastAsia="Times New Roman"/>
                <w:lang w:eastAsia="en-AU"/>
              </w:rPr>
            </w:pPr>
          </w:p>
        </w:tc>
        <w:tc>
          <w:tcPr>
            <w:tcW w:w="0" w:type="auto"/>
            <w:noWrap/>
            <w:vAlign w:val="center"/>
            <w:hideMark/>
          </w:tcPr>
          <w:p w:rsidR="00C50665" w:rsidRPr="00315C68" w:rsidRDefault="00C50665" w:rsidP="009F139B">
            <w:pPr>
              <w:rPr>
                <w:rFonts w:eastAsia="Times New Roman"/>
                <w:lang w:eastAsia="en-AU"/>
              </w:rPr>
            </w:pPr>
          </w:p>
        </w:tc>
        <w:tc>
          <w:tcPr>
            <w:tcW w:w="0" w:type="auto"/>
            <w:noWrap/>
            <w:vAlign w:val="center"/>
            <w:hideMark/>
          </w:tcPr>
          <w:p w:rsidR="00C50665" w:rsidRPr="00315C68" w:rsidRDefault="00C50665" w:rsidP="009F139B">
            <w:pPr>
              <w:rPr>
                <w:rFonts w:ascii="Arial" w:eastAsia="Times New Roman" w:hAnsi="Arial" w:cs="Arial"/>
                <w:sz w:val="20"/>
                <w:szCs w:val="20"/>
                <w:lang w:eastAsia="en-AU"/>
              </w:rPr>
            </w:pPr>
            <w:r w:rsidRPr="00315C68">
              <w:rPr>
                <w:rFonts w:ascii="Arial" w:eastAsia="Times New Roman" w:hAnsi="Arial" w:cs="Arial"/>
                <w:sz w:val="20"/>
                <w:szCs w:val="20"/>
                <w:lang w:eastAsia="en-AU"/>
              </w:rPr>
              <w:t>50,787</w:t>
            </w:r>
          </w:p>
        </w:tc>
        <w:tc>
          <w:tcPr>
            <w:tcW w:w="0" w:type="auto"/>
            <w:noWrap/>
            <w:vAlign w:val="center"/>
            <w:hideMark/>
          </w:tcPr>
          <w:p w:rsidR="00C50665" w:rsidRPr="00315C68" w:rsidRDefault="00C50665" w:rsidP="009F139B">
            <w:pPr>
              <w:rPr>
                <w:rFonts w:ascii="Arial" w:eastAsia="Times New Roman" w:hAnsi="Arial" w:cs="Arial"/>
                <w:sz w:val="20"/>
                <w:szCs w:val="20"/>
                <w:lang w:eastAsia="en-AU"/>
              </w:rPr>
            </w:pPr>
            <w:r w:rsidRPr="00315C68">
              <w:rPr>
                <w:rFonts w:ascii="Arial" w:eastAsia="Times New Roman" w:hAnsi="Arial" w:cs="Arial"/>
                <w:sz w:val="20"/>
                <w:szCs w:val="20"/>
                <w:lang w:eastAsia="en-AU"/>
              </w:rPr>
              <w:t>56,304</w:t>
            </w:r>
          </w:p>
        </w:tc>
        <w:tc>
          <w:tcPr>
            <w:tcW w:w="0" w:type="auto"/>
            <w:noWrap/>
            <w:vAlign w:val="center"/>
            <w:hideMark/>
          </w:tcPr>
          <w:p w:rsidR="00C50665" w:rsidRPr="00315C68" w:rsidRDefault="00C50665" w:rsidP="009F139B">
            <w:pPr>
              <w:rPr>
                <w:rFonts w:ascii="Arial" w:eastAsia="Times New Roman" w:hAnsi="Arial" w:cs="Arial"/>
                <w:sz w:val="20"/>
                <w:szCs w:val="20"/>
                <w:lang w:eastAsia="en-AU"/>
              </w:rPr>
            </w:pPr>
            <w:r w:rsidRPr="00315C68">
              <w:rPr>
                <w:rFonts w:ascii="Arial" w:eastAsia="Times New Roman" w:hAnsi="Arial" w:cs="Arial"/>
                <w:sz w:val="20"/>
                <w:szCs w:val="20"/>
                <w:lang w:eastAsia="en-AU"/>
              </w:rPr>
              <w:t>59,080</w:t>
            </w:r>
          </w:p>
        </w:tc>
        <w:tc>
          <w:tcPr>
            <w:tcW w:w="0" w:type="auto"/>
            <w:noWrap/>
            <w:vAlign w:val="center"/>
            <w:hideMark/>
          </w:tcPr>
          <w:p w:rsidR="00C50665" w:rsidRPr="00315C68" w:rsidRDefault="00C50665" w:rsidP="009F139B">
            <w:pPr>
              <w:rPr>
                <w:rFonts w:ascii="Arial" w:eastAsia="Times New Roman" w:hAnsi="Arial" w:cs="Arial"/>
                <w:sz w:val="20"/>
                <w:szCs w:val="20"/>
                <w:lang w:eastAsia="en-AU"/>
              </w:rPr>
            </w:pPr>
            <w:r w:rsidRPr="00315C68">
              <w:rPr>
                <w:rFonts w:ascii="Arial" w:eastAsia="Times New Roman" w:hAnsi="Arial" w:cs="Arial"/>
                <w:sz w:val="20"/>
                <w:szCs w:val="20"/>
                <w:lang w:eastAsia="en-AU"/>
              </w:rPr>
              <w:t>64,800</w:t>
            </w:r>
          </w:p>
        </w:tc>
      </w:tr>
      <w:tr w:rsidR="00C50665" w:rsidRPr="00315C68" w:rsidTr="0059642B">
        <w:trPr>
          <w:trHeight w:val="300"/>
        </w:trPr>
        <w:tc>
          <w:tcPr>
            <w:tcW w:w="0" w:type="auto"/>
            <w:vAlign w:val="center"/>
            <w:hideMark/>
          </w:tcPr>
          <w:p w:rsidR="00C50665" w:rsidRPr="00E27F53" w:rsidRDefault="00C50665" w:rsidP="009F139B">
            <w:pPr>
              <w:rPr>
                <w:rFonts w:eastAsia="Times New Roman"/>
                <w:b/>
                <w:lang w:eastAsia="en-AU"/>
              </w:rPr>
            </w:pPr>
            <w:r w:rsidRPr="00E27F53">
              <w:rPr>
                <w:rFonts w:eastAsia="Times New Roman"/>
                <w:b/>
                <w:lang w:eastAsia="en-AU"/>
              </w:rPr>
              <w:t>% change</w:t>
            </w:r>
          </w:p>
        </w:tc>
        <w:tc>
          <w:tcPr>
            <w:tcW w:w="0" w:type="auto"/>
            <w:noWrap/>
            <w:vAlign w:val="center"/>
            <w:hideMark/>
          </w:tcPr>
          <w:p w:rsidR="00C50665" w:rsidRPr="00315C68" w:rsidRDefault="00C50665" w:rsidP="009F139B">
            <w:pPr>
              <w:rPr>
                <w:rFonts w:eastAsia="Times New Roman"/>
                <w:lang w:eastAsia="en-AU"/>
              </w:rPr>
            </w:pPr>
          </w:p>
        </w:tc>
        <w:tc>
          <w:tcPr>
            <w:tcW w:w="0" w:type="auto"/>
            <w:noWrap/>
            <w:vAlign w:val="center"/>
            <w:hideMark/>
          </w:tcPr>
          <w:p w:rsidR="00C50665" w:rsidRPr="00315C68" w:rsidRDefault="00C50665" w:rsidP="009F139B">
            <w:pPr>
              <w:rPr>
                <w:rFonts w:ascii="Arial" w:eastAsia="Times New Roman" w:hAnsi="Arial" w:cs="Arial"/>
                <w:sz w:val="20"/>
                <w:szCs w:val="20"/>
                <w:lang w:eastAsia="en-AU"/>
              </w:rPr>
            </w:pPr>
          </w:p>
        </w:tc>
        <w:tc>
          <w:tcPr>
            <w:tcW w:w="0" w:type="auto"/>
            <w:noWrap/>
            <w:vAlign w:val="center"/>
            <w:hideMark/>
          </w:tcPr>
          <w:p w:rsidR="00C50665" w:rsidRPr="00E27F53" w:rsidRDefault="00C50665" w:rsidP="009F139B">
            <w:pPr>
              <w:rPr>
                <w:rFonts w:ascii="Arial" w:eastAsia="Times New Roman" w:hAnsi="Arial" w:cs="Arial"/>
                <w:i/>
                <w:sz w:val="20"/>
                <w:szCs w:val="20"/>
                <w:lang w:eastAsia="en-AU"/>
              </w:rPr>
            </w:pPr>
          </w:p>
        </w:tc>
        <w:tc>
          <w:tcPr>
            <w:tcW w:w="0" w:type="auto"/>
            <w:noWrap/>
            <w:vAlign w:val="center"/>
            <w:hideMark/>
          </w:tcPr>
          <w:p w:rsidR="00C50665" w:rsidRPr="00E27F53" w:rsidRDefault="00C50665" w:rsidP="009F139B">
            <w:pPr>
              <w:rPr>
                <w:rFonts w:ascii="Arial" w:eastAsia="Times New Roman" w:hAnsi="Arial" w:cs="Arial"/>
                <w:i/>
                <w:sz w:val="20"/>
                <w:szCs w:val="20"/>
                <w:lang w:eastAsia="en-AU"/>
              </w:rPr>
            </w:pPr>
            <w:r w:rsidRPr="00E27F53">
              <w:rPr>
                <w:rFonts w:ascii="Arial" w:eastAsia="Times New Roman" w:hAnsi="Arial" w:cs="Arial"/>
                <w:i/>
                <w:sz w:val="20"/>
                <w:szCs w:val="20"/>
                <w:lang w:eastAsia="en-AU"/>
              </w:rPr>
              <w:t>10.9%</w:t>
            </w:r>
          </w:p>
        </w:tc>
        <w:tc>
          <w:tcPr>
            <w:tcW w:w="0" w:type="auto"/>
            <w:noWrap/>
            <w:vAlign w:val="center"/>
            <w:hideMark/>
          </w:tcPr>
          <w:p w:rsidR="00C50665" w:rsidRPr="00E27F53" w:rsidRDefault="00C50665" w:rsidP="009F139B">
            <w:pPr>
              <w:rPr>
                <w:rFonts w:ascii="Arial" w:eastAsia="Times New Roman" w:hAnsi="Arial" w:cs="Arial"/>
                <w:i/>
                <w:sz w:val="20"/>
                <w:szCs w:val="20"/>
                <w:lang w:eastAsia="en-AU"/>
              </w:rPr>
            </w:pPr>
            <w:r w:rsidRPr="00E27F53">
              <w:rPr>
                <w:rFonts w:ascii="Arial" w:eastAsia="Times New Roman" w:hAnsi="Arial" w:cs="Arial"/>
                <w:i/>
                <w:sz w:val="20"/>
                <w:szCs w:val="20"/>
                <w:lang w:eastAsia="en-AU"/>
              </w:rPr>
              <w:t>4.9%</w:t>
            </w:r>
          </w:p>
        </w:tc>
        <w:tc>
          <w:tcPr>
            <w:tcW w:w="0" w:type="auto"/>
            <w:noWrap/>
            <w:vAlign w:val="center"/>
            <w:hideMark/>
          </w:tcPr>
          <w:p w:rsidR="00C50665" w:rsidRPr="00E27F53" w:rsidRDefault="00C50665" w:rsidP="009F139B">
            <w:pPr>
              <w:rPr>
                <w:rFonts w:ascii="Arial" w:eastAsia="Times New Roman" w:hAnsi="Arial" w:cs="Arial"/>
                <w:i/>
                <w:sz w:val="20"/>
                <w:szCs w:val="20"/>
                <w:lang w:eastAsia="en-AU"/>
              </w:rPr>
            </w:pPr>
            <w:r w:rsidRPr="00E27F53">
              <w:rPr>
                <w:rFonts w:ascii="Arial" w:eastAsia="Times New Roman" w:hAnsi="Arial" w:cs="Arial"/>
                <w:i/>
                <w:sz w:val="20"/>
                <w:szCs w:val="20"/>
                <w:lang w:eastAsia="en-AU"/>
              </w:rPr>
              <w:t>9.7%</w:t>
            </w:r>
          </w:p>
        </w:tc>
      </w:tr>
      <w:tr w:rsidR="00C50665" w:rsidRPr="00315C68" w:rsidTr="0059642B">
        <w:trPr>
          <w:trHeight w:val="277"/>
        </w:trPr>
        <w:tc>
          <w:tcPr>
            <w:tcW w:w="0" w:type="auto"/>
            <w:vAlign w:val="center"/>
            <w:hideMark/>
          </w:tcPr>
          <w:p w:rsidR="00C50665" w:rsidRPr="00E27F53" w:rsidRDefault="00C50665" w:rsidP="009F139B">
            <w:pPr>
              <w:rPr>
                <w:rFonts w:eastAsia="Times New Roman"/>
                <w:b/>
                <w:lang w:eastAsia="en-AU"/>
              </w:rPr>
            </w:pPr>
            <w:r w:rsidRPr="00E27F53">
              <w:rPr>
                <w:rFonts w:eastAsia="Times New Roman"/>
                <w:b/>
                <w:lang w:eastAsia="en-AU"/>
              </w:rPr>
              <w:t xml:space="preserve">LINDSAY AUSTRALIA </w:t>
            </w:r>
          </w:p>
        </w:tc>
        <w:tc>
          <w:tcPr>
            <w:tcW w:w="0" w:type="auto"/>
            <w:noWrap/>
            <w:vAlign w:val="center"/>
            <w:hideMark/>
          </w:tcPr>
          <w:p w:rsidR="00C50665" w:rsidRPr="00315C68" w:rsidRDefault="00C50665" w:rsidP="009F139B">
            <w:pPr>
              <w:rPr>
                <w:rFonts w:eastAsia="Times New Roman"/>
                <w:lang w:eastAsia="en-AU"/>
              </w:rPr>
            </w:pPr>
          </w:p>
        </w:tc>
        <w:tc>
          <w:tcPr>
            <w:tcW w:w="0" w:type="auto"/>
            <w:noWrap/>
            <w:vAlign w:val="center"/>
            <w:hideMark/>
          </w:tcPr>
          <w:p w:rsidR="00C50665" w:rsidRPr="00315C68" w:rsidRDefault="00C50665" w:rsidP="009F139B">
            <w:pPr>
              <w:rPr>
                <w:rFonts w:eastAsia="Times New Roman"/>
                <w:lang w:eastAsia="en-AU"/>
              </w:rPr>
            </w:pPr>
          </w:p>
        </w:tc>
        <w:tc>
          <w:tcPr>
            <w:tcW w:w="0" w:type="auto"/>
            <w:vAlign w:val="center"/>
            <w:hideMark/>
          </w:tcPr>
          <w:p w:rsidR="00C50665" w:rsidRPr="00315C68" w:rsidRDefault="00C50665" w:rsidP="009F139B">
            <w:pPr>
              <w:rPr>
                <w:rFonts w:ascii="Arial" w:eastAsia="Times New Roman" w:hAnsi="Arial" w:cs="Arial"/>
                <w:sz w:val="20"/>
                <w:szCs w:val="20"/>
                <w:lang w:eastAsia="en-AU"/>
              </w:rPr>
            </w:pPr>
            <w:r w:rsidRPr="00315C68">
              <w:rPr>
                <w:rFonts w:ascii="Arial" w:eastAsia="Times New Roman" w:hAnsi="Arial" w:cs="Arial"/>
                <w:sz w:val="20"/>
                <w:szCs w:val="20"/>
                <w:lang w:eastAsia="en-AU"/>
              </w:rPr>
              <w:t>89,726</w:t>
            </w:r>
          </w:p>
        </w:tc>
        <w:tc>
          <w:tcPr>
            <w:tcW w:w="0" w:type="auto"/>
            <w:noWrap/>
            <w:vAlign w:val="center"/>
            <w:hideMark/>
          </w:tcPr>
          <w:p w:rsidR="00C50665" w:rsidRPr="00315C68" w:rsidRDefault="00C50665" w:rsidP="009F139B">
            <w:pPr>
              <w:rPr>
                <w:rFonts w:ascii="Arial" w:eastAsia="Times New Roman" w:hAnsi="Arial" w:cs="Arial"/>
                <w:sz w:val="20"/>
                <w:szCs w:val="20"/>
                <w:lang w:eastAsia="en-AU"/>
              </w:rPr>
            </w:pPr>
            <w:r w:rsidRPr="00315C68">
              <w:rPr>
                <w:rFonts w:ascii="Arial" w:eastAsia="Times New Roman" w:hAnsi="Arial" w:cs="Arial"/>
                <w:sz w:val="20"/>
                <w:szCs w:val="20"/>
                <w:lang w:eastAsia="en-AU"/>
              </w:rPr>
              <w:t>83,327</w:t>
            </w:r>
          </w:p>
        </w:tc>
        <w:tc>
          <w:tcPr>
            <w:tcW w:w="0" w:type="auto"/>
            <w:noWrap/>
            <w:vAlign w:val="center"/>
            <w:hideMark/>
          </w:tcPr>
          <w:p w:rsidR="00C50665" w:rsidRPr="00315C68" w:rsidRDefault="00C50665" w:rsidP="009F139B">
            <w:pPr>
              <w:rPr>
                <w:rFonts w:ascii="Arial" w:eastAsia="Times New Roman" w:hAnsi="Arial" w:cs="Arial"/>
                <w:sz w:val="20"/>
                <w:szCs w:val="20"/>
                <w:lang w:eastAsia="en-AU"/>
              </w:rPr>
            </w:pPr>
            <w:r w:rsidRPr="00315C68">
              <w:rPr>
                <w:rFonts w:ascii="Arial" w:eastAsia="Times New Roman" w:hAnsi="Arial" w:cs="Arial"/>
                <w:sz w:val="20"/>
                <w:szCs w:val="20"/>
                <w:lang w:eastAsia="en-AU"/>
              </w:rPr>
              <w:t>89,896</w:t>
            </w:r>
          </w:p>
        </w:tc>
        <w:tc>
          <w:tcPr>
            <w:tcW w:w="0" w:type="auto"/>
            <w:noWrap/>
            <w:vAlign w:val="center"/>
            <w:hideMark/>
          </w:tcPr>
          <w:p w:rsidR="00C50665" w:rsidRPr="00315C68" w:rsidRDefault="00C50665" w:rsidP="009F139B">
            <w:pPr>
              <w:rPr>
                <w:rFonts w:ascii="Arial" w:eastAsia="Times New Roman" w:hAnsi="Arial" w:cs="Arial"/>
                <w:sz w:val="20"/>
                <w:szCs w:val="20"/>
                <w:lang w:eastAsia="en-AU"/>
              </w:rPr>
            </w:pPr>
            <w:r w:rsidRPr="00315C68">
              <w:rPr>
                <w:rFonts w:ascii="Arial" w:eastAsia="Times New Roman" w:hAnsi="Arial" w:cs="Arial"/>
                <w:sz w:val="20"/>
                <w:szCs w:val="20"/>
                <w:lang w:eastAsia="en-AU"/>
              </w:rPr>
              <w:t>93,611</w:t>
            </w:r>
          </w:p>
        </w:tc>
      </w:tr>
      <w:tr w:rsidR="00C50665" w:rsidRPr="00315C68" w:rsidTr="0059642B">
        <w:trPr>
          <w:trHeight w:val="300"/>
        </w:trPr>
        <w:tc>
          <w:tcPr>
            <w:tcW w:w="0" w:type="auto"/>
            <w:vAlign w:val="center"/>
            <w:hideMark/>
          </w:tcPr>
          <w:p w:rsidR="00C50665" w:rsidRPr="00E27F53" w:rsidRDefault="00C50665" w:rsidP="009F139B">
            <w:pPr>
              <w:rPr>
                <w:rFonts w:eastAsia="Times New Roman"/>
                <w:b/>
                <w:lang w:eastAsia="en-AU"/>
              </w:rPr>
            </w:pPr>
            <w:r w:rsidRPr="00E27F53">
              <w:rPr>
                <w:rFonts w:eastAsia="Times New Roman"/>
                <w:b/>
                <w:lang w:eastAsia="en-AU"/>
              </w:rPr>
              <w:t>% change</w:t>
            </w:r>
          </w:p>
        </w:tc>
        <w:tc>
          <w:tcPr>
            <w:tcW w:w="0" w:type="auto"/>
            <w:noWrap/>
            <w:vAlign w:val="center"/>
            <w:hideMark/>
          </w:tcPr>
          <w:p w:rsidR="00C50665" w:rsidRPr="00315C68" w:rsidRDefault="00C50665" w:rsidP="009F139B">
            <w:pPr>
              <w:rPr>
                <w:rFonts w:eastAsia="Times New Roman"/>
                <w:lang w:eastAsia="en-AU"/>
              </w:rPr>
            </w:pPr>
          </w:p>
        </w:tc>
        <w:tc>
          <w:tcPr>
            <w:tcW w:w="0" w:type="auto"/>
            <w:noWrap/>
            <w:vAlign w:val="center"/>
            <w:hideMark/>
          </w:tcPr>
          <w:p w:rsidR="00C50665" w:rsidRPr="00315C68" w:rsidRDefault="00C50665" w:rsidP="009F139B">
            <w:pPr>
              <w:rPr>
                <w:rFonts w:ascii="Arial" w:eastAsia="Times New Roman" w:hAnsi="Arial" w:cs="Arial"/>
                <w:sz w:val="20"/>
                <w:szCs w:val="20"/>
                <w:lang w:eastAsia="en-AU"/>
              </w:rPr>
            </w:pPr>
          </w:p>
        </w:tc>
        <w:tc>
          <w:tcPr>
            <w:tcW w:w="0" w:type="auto"/>
            <w:noWrap/>
            <w:vAlign w:val="center"/>
            <w:hideMark/>
          </w:tcPr>
          <w:p w:rsidR="00C50665" w:rsidRPr="00E27F53" w:rsidRDefault="00C50665" w:rsidP="009F139B">
            <w:pPr>
              <w:rPr>
                <w:rFonts w:ascii="Arial" w:eastAsia="Times New Roman" w:hAnsi="Arial" w:cs="Arial"/>
                <w:i/>
                <w:sz w:val="20"/>
                <w:szCs w:val="20"/>
                <w:lang w:eastAsia="en-AU"/>
              </w:rPr>
            </w:pPr>
          </w:p>
        </w:tc>
        <w:tc>
          <w:tcPr>
            <w:tcW w:w="0" w:type="auto"/>
            <w:noWrap/>
            <w:vAlign w:val="center"/>
            <w:hideMark/>
          </w:tcPr>
          <w:p w:rsidR="00C50665" w:rsidRPr="00E27F53" w:rsidRDefault="00C50665" w:rsidP="009F139B">
            <w:pPr>
              <w:rPr>
                <w:rFonts w:ascii="Arial" w:eastAsia="Times New Roman" w:hAnsi="Arial" w:cs="Arial"/>
                <w:i/>
                <w:sz w:val="20"/>
                <w:szCs w:val="20"/>
                <w:lang w:eastAsia="en-AU"/>
              </w:rPr>
            </w:pPr>
            <w:r w:rsidRPr="00E27F53">
              <w:rPr>
                <w:rFonts w:ascii="Arial" w:eastAsia="Times New Roman" w:hAnsi="Arial" w:cs="Arial"/>
                <w:i/>
                <w:sz w:val="20"/>
                <w:szCs w:val="20"/>
                <w:lang w:eastAsia="en-AU"/>
              </w:rPr>
              <w:t>-7.1%</w:t>
            </w:r>
          </w:p>
        </w:tc>
        <w:tc>
          <w:tcPr>
            <w:tcW w:w="0" w:type="auto"/>
            <w:noWrap/>
            <w:vAlign w:val="center"/>
            <w:hideMark/>
          </w:tcPr>
          <w:p w:rsidR="00C50665" w:rsidRPr="00E27F53" w:rsidRDefault="00C50665" w:rsidP="009F139B">
            <w:pPr>
              <w:rPr>
                <w:rFonts w:ascii="Arial" w:eastAsia="Times New Roman" w:hAnsi="Arial" w:cs="Arial"/>
                <w:i/>
                <w:sz w:val="20"/>
                <w:szCs w:val="20"/>
                <w:lang w:eastAsia="en-AU"/>
              </w:rPr>
            </w:pPr>
            <w:r w:rsidRPr="00E27F53">
              <w:rPr>
                <w:rFonts w:ascii="Arial" w:eastAsia="Times New Roman" w:hAnsi="Arial" w:cs="Arial"/>
                <w:i/>
                <w:sz w:val="20"/>
                <w:szCs w:val="20"/>
                <w:lang w:eastAsia="en-AU"/>
              </w:rPr>
              <w:t>7.9%</w:t>
            </w:r>
          </w:p>
        </w:tc>
        <w:tc>
          <w:tcPr>
            <w:tcW w:w="0" w:type="auto"/>
            <w:noWrap/>
            <w:vAlign w:val="center"/>
            <w:hideMark/>
          </w:tcPr>
          <w:p w:rsidR="00C50665" w:rsidRPr="00E27F53" w:rsidRDefault="00C50665" w:rsidP="009F139B">
            <w:pPr>
              <w:rPr>
                <w:rFonts w:ascii="Arial" w:eastAsia="Times New Roman" w:hAnsi="Arial" w:cs="Arial"/>
                <w:i/>
                <w:sz w:val="20"/>
                <w:szCs w:val="20"/>
                <w:lang w:eastAsia="en-AU"/>
              </w:rPr>
            </w:pPr>
            <w:r w:rsidRPr="00E27F53">
              <w:rPr>
                <w:rFonts w:ascii="Arial" w:eastAsia="Times New Roman" w:hAnsi="Arial" w:cs="Arial"/>
                <w:i/>
                <w:sz w:val="20"/>
                <w:szCs w:val="20"/>
                <w:lang w:eastAsia="en-AU"/>
              </w:rPr>
              <w:t>4.1%</w:t>
            </w:r>
          </w:p>
        </w:tc>
      </w:tr>
      <w:tr w:rsidR="00C50665" w:rsidRPr="00315C68" w:rsidTr="0059642B">
        <w:trPr>
          <w:trHeight w:val="332"/>
        </w:trPr>
        <w:tc>
          <w:tcPr>
            <w:tcW w:w="0" w:type="auto"/>
            <w:vAlign w:val="center"/>
            <w:hideMark/>
          </w:tcPr>
          <w:p w:rsidR="00C50665" w:rsidRPr="00E27F53" w:rsidRDefault="00C50665" w:rsidP="009F139B">
            <w:pPr>
              <w:rPr>
                <w:rFonts w:eastAsia="Times New Roman"/>
                <w:b/>
                <w:lang w:eastAsia="en-AU"/>
              </w:rPr>
            </w:pPr>
            <w:r w:rsidRPr="00E27F53">
              <w:rPr>
                <w:rFonts w:eastAsia="Times New Roman"/>
                <w:b/>
                <w:lang w:eastAsia="en-AU"/>
              </w:rPr>
              <w:t xml:space="preserve">LINFOX </w:t>
            </w:r>
          </w:p>
        </w:tc>
        <w:tc>
          <w:tcPr>
            <w:tcW w:w="0" w:type="auto"/>
            <w:vAlign w:val="center"/>
            <w:hideMark/>
          </w:tcPr>
          <w:p w:rsidR="00C50665" w:rsidRPr="00315C68" w:rsidRDefault="00C50665" w:rsidP="009F139B">
            <w:pPr>
              <w:rPr>
                <w:rFonts w:ascii="Arial" w:eastAsia="Times New Roman" w:hAnsi="Arial" w:cs="Arial"/>
                <w:sz w:val="20"/>
                <w:szCs w:val="20"/>
                <w:lang w:eastAsia="en-AU"/>
              </w:rPr>
            </w:pPr>
            <w:r w:rsidRPr="00315C68">
              <w:rPr>
                <w:rFonts w:ascii="Arial" w:eastAsia="Times New Roman" w:hAnsi="Arial" w:cs="Arial"/>
                <w:sz w:val="20"/>
                <w:szCs w:val="20"/>
                <w:lang w:eastAsia="en-AU"/>
              </w:rPr>
              <w:t>202,075</w:t>
            </w:r>
          </w:p>
        </w:tc>
        <w:tc>
          <w:tcPr>
            <w:tcW w:w="0" w:type="auto"/>
            <w:vAlign w:val="center"/>
            <w:hideMark/>
          </w:tcPr>
          <w:p w:rsidR="00C50665" w:rsidRPr="00315C68" w:rsidRDefault="00C50665" w:rsidP="009F139B">
            <w:pPr>
              <w:rPr>
                <w:rFonts w:ascii="Arial" w:eastAsia="Times New Roman" w:hAnsi="Arial" w:cs="Arial"/>
                <w:sz w:val="20"/>
                <w:szCs w:val="20"/>
                <w:lang w:eastAsia="en-AU"/>
              </w:rPr>
            </w:pPr>
            <w:r w:rsidRPr="00315C68">
              <w:rPr>
                <w:rFonts w:ascii="Arial" w:eastAsia="Times New Roman" w:hAnsi="Arial" w:cs="Arial"/>
                <w:sz w:val="20"/>
                <w:szCs w:val="20"/>
                <w:lang w:eastAsia="en-AU"/>
              </w:rPr>
              <w:t>215,728</w:t>
            </w:r>
          </w:p>
        </w:tc>
        <w:tc>
          <w:tcPr>
            <w:tcW w:w="0" w:type="auto"/>
            <w:noWrap/>
            <w:vAlign w:val="center"/>
            <w:hideMark/>
          </w:tcPr>
          <w:p w:rsidR="00C50665" w:rsidRPr="00315C68" w:rsidRDefault="00C50665" w:rsidP="009F139B">
            <w:pPr>
              <w:rPr>
                <w:rFonts w:ascii="Arial" w:eastAsia="Times New Roman" w:hAnsi="Arial" w:cs="Arial"/>
                <w:sz w:val="20"/>
                <w:szCs w:val="20"/>
                <w:lang w:eastAsia="en-AU"/>
              </w:rPr>
            </w:pPr>
            <w:r w:rsidRPr="00315C68">
              <w:rPr>
                <w:rFonts w:ascii="Arial" w:eastAsia="Times New Roman" w:hAnsi="Arial" w:cs="Arial"/>
                <w:sz w:val="20"/>
                <w:szCs w:val="20"/>
                <w:lang w:eastAsia="en-AU"/>
              </w:rPr>
              <w:t>224,015</w:t>
            </w:r>
          </w:p>
        </w:tc>
        <w:tc>
          <w:tcPr>
            <w:tcW w:w="0" w:type="auto"/>
            <w:noWrap/>
            <w:vAlign w:val="center"/>
            <w:hideMark/>
          </w:tcPr>
          <w:p w:rsidR="00C50665" w:rsidRPr="00315C68" w:rsidRDefault="00C50665" w:rsidP="009F139B">
            <w:pPr>
              <w:rPr>
                <w:rFonts w:ascii="Arial" w:eastAsia="Times New Roman" w:hAnsi="Arial" w:cs="Arial"/>
                <w:sz w:val="20"/>
                <w:szCs w:val="20"/>
                <w:lang w:eastAsia="en-AU"/>
              </w:rPr>
            </w:pPr>
            <w:r w:rsidRPr="00315C68">
              <w:rPr>
                <w:rFonts w:ascii="Arial" w:eastAsia="Times New Roman" w:hAnsi="Arial" w:cs="Arial"/>
                <w:sz w:val="20"/>
                <w:szCs w:val="20"/>
                <w:lang w:eastAsia="en-AU"/>
              </w:rPr>
              <w:t>224,899</w:t>
            </w:r>
          </w:p>
        </w:tc>
        <w:tc>
          <w:tcPr>
            <w:tcW w:w="0" w:type="auto"/>
            <w:noWrap/>
            <w:vAlign w:val="center"/>
            <w:hideMark/>
          </w:tcPr>
          <w:p w:rsidR="00C50665" w:rsidRPr="00315C68" w:rsidRDefault="00C50665" w:rsidP="009F139B">
            <w:pPr>
              <w:rPr>
                <w:rFonts w:ascii="Arial" w:eastAsia="Times New Roman" w:hAnsi="Arial" w:cs="Arial"/>
                <w:sz w:val="20"/>
                <w:szCs w:val="20"/>
                <w:lang w:eastAsia="en-AU"/>
              </w:rPr>
            </w:pPr>
            <w:r w:rsidRPr="00315C68">
              <w:rPr>
                <w:rFonts w:ascii="Arial" w:eastAsia="Times New Roman" w:hAnsi="Arial" w:cs="Arial"/>
                <w:sz w:val="20"/>
                <w:szCs w:val="20"/>
                <w:lang w:eastAsia="en-AU"/>
              </w:rPr>
              <w:t>216,559</w:t>
            </w:r>
          </w:p>
        </w:tc>
        <w:tc>
          <w:tcPr>
            <w:tcW w:w="0" w:type="auto"/>
            <w:vAlign w:val="center"/>
            <w:hideMark/>
          </w:tcPr>
          <w:p w:rsidR="00C50665" w:rsidRPr="00315C68" w:rsidRDefault="00C50665" w:rsidP="009F139B">
            <w:pPr>
              <w:rPr>
                <w:rFonts w:ascii="Arial" w:eastAsia="Times New Roman" w:hAnsi="Arial" w:cs="Arial"/>
                <w:sz w:val="20"/>
                <w:szCs w:val="20"/>
                <w:lang w:eastAsia="en-AU"/>
              </w:rPr>
            </w:pPr>
            <w:r w:rsidRPr="00315C68">
              <w:rPr>
                <w:rFonts w:ascii="Arial" w:eastAsia="Times New Roman" w:hAnsi="Arial" w:cs="Arial"/>
                <w:sz w:val="20"/>
                <w:szCs w:val="20"/>
                <w:lang w:eastAsia="en-AU"/>
              </w:rPr>
              <w:t>219,156</w:t>
            </w:r>
          </w:p>
        </w:tc>
      </w:tr>
      <w:tr w:rsidR="00C50665" w:rsidRPr="00315C68" w:rsidTr="0059642B">
        <w:trPr>
          <w:trHeight w:val="300"/>
        </w:trPr>
        <w:tc>
          <w:tcPr>
            <w:tcW w:w="0" w:type="auto"/>
            <w:vAlign w:val="center"/>
            <w:hideMark/>
          </w:tcPr>
          <w:p w:rsidR="00C50665" w:rsidRPr="00E27F53" w:rsidRDefault="00C50665" w:rsidP="009F139B">
            <w:pPr>
              <w:rPr>
                <w:rFonts w:eastAsia="Times New Roman"/>
                <w:b/>
                <w:lang w:eastAsia="en-AU"/>
              </w:rPr>
            </w:pPr>
            <w:r w:rsidRPr="00E27F53">
              <w:rPr>
                <w:rFonts w:eastAsia="Times New Roman"/>
                <w:b/>
                <w:lang w:eastAsia="en-AU"/>
              </w:rPr>
              <w:t>% change</w:t>
            </w:r>
          </w:p>
        </w:tc>
        <w:tc>
          <w:tcPr>
            <w:tcW w:w="0" w:type="auto"/>
            <w:vAlign w:val="center"/>
            <w:hideMark/>
          </w:tcPr>
          <w:p w:rsidR="00C50665" w:rsidRPr="00315C68" w:rsidRDefault="00C50665" w:rsidP="009F139B">
            <w:pPr>
              <w:rPr>
                <w:rFonts w:ascii="Arial" w:eastAsia="Times New Roman" w:hAnsi="Arial" w:cs="Arial"/>
                <w:sz w:val="20"/>
                <w:szCs w:val="20"/>
                <w:lang w:eastAsia="en-AU"/>
              </w:rPr>
            </w:pPr>
          </w:p>
        </w:tc>
        <w:tc>
          <w:tcPr>
            <w:tcW w:w="0" w:type="auto"/>
            <w:noWrap/>
            <w:vAlign w:val="center"/>
            <w:hideMark/>
          </w:tcPr>
          <w:p w:rsidR="00C50665" w:rsidRPr="00E27F53" w:rsidRDefault="00C50665" w:rsidP="009F139B">
            <w:pPr>
              <w:rPr>
                <w:rFonts w:ascii="Arial" w:eastAsia="Times New Roman" w:hAnsi="Arial" w:cs="Arial"/>
                <w:i/>
                <w:sz w:val="20"/>
                <w:szCs w:val="20"/>
                <w:lang w:eastAsia="en-AU"/>
              </w:rPr>
            </w:pPr>
            <w:r w:rsidRPr="00E27F53">
              <w:rPr>
                <w:rFonts w:ascii="Arial" w:eastAsia="Times New Roman" w:hAnsi="Arial" w:cs="Arial"/>
                <w:i/>
                <w:sz w:val="20"/>
                <w:szCs w:val="20"/>
                <w:lang w:eastAsia="en-AU"/>
              </w:rPr>
              <w:t>6.8%</w:t>
            </w:r>
          </w:p>
        </w:tc>
        <w:tc>
          <w:tcPr>
            <w:tcW w:w="0" w:type="auto"/>
            <w:noWrap/>
            <w:vAlign w:val="center"/>
            <w:hideMark/>
          </w:tcPr>
          <w:p w:rsidR="00C50665" w:rsidRPr="00E27F53" w:rsidRDefault="00C50665" w:rsidP="009F139B">
            <w:pPr>
              <w:rPr>
                <w:rFonts w:ascii="Arial" w:eastAsia="Times New Roman" w:hAnsi="Arial" w:cs="Arial"/>
                <w:i/>
                <w:sz w:val="20"/>
                <w:szCs w:val="20"/>
                <w:lang w:eastAsia="en-AU"/>
              </w:rPr>
            </w:pPr>
            <w:r w:rsidRPr="00E27F53">
              <w:rPr>
                <w:rFonts w:ascii="Arial" w:eastAsia="Times New Roman" w:hAnsi="Arial" w:cs="Arial"/>
                <w:i/>
                <w:sz w:val="20"/>
                <w:szCs w:val="20"/>
                <w:lang w:eastAsia="en-AU"/>
              </w:rPr>
              <w:t>3.8%</w:t>
            </w:r>
          </w:p>
        </w:tc>
        <w:tc>
          <w:tcPr>
            <w:tcW w:w="0" w:type="auto"/>
            <w:noWrap/>
            <w:vAlign w:val="center"/>
            <w:hideMark/>
          </w:tcPr>
          <w:p w:rsidR="00C50665" w:rsidRPr="00E27F53" w:rsidRDefault="00C50665" w:rsidP="009F139B">
            <w:pPr>
              <w:rPr>
                <w:rFonts w:ascii="Arial" w:eastAsia="Times New Roman" w:hAnsi="Arial" w:cs="Arial"/>
                <w:i/>
                <w:sz w:val="20"/>
                <w:szCs w:val="20"/>
                <w:lang w:eastAsia="en-AU"/>
              </w:rPr>
            </w:pPr>
            <w:r w:rsidRPr="00E27F53">
              <w:rPr>
                <w:rFonts w:ascii="Arial" w:eastAsia="Times New Roman" w:hAnsi="Arial" w:cs="Arial"/>
                <w:i/>
                <w:sz w:val="20"/>
                <w:szCs w:val="20"/>
                <w:lang w:eastAsia="en-AU"/>
              </w:rPr>
              <w:t>0.4%</w:t>
            </w:r>
          </w:p>
        </w:tc>
        <w:tc>
          <w:tcPr>
            <w:tcW w:w="0" w:type="auto"/>
            <w:noWrap/>
            <w:vAlign w:val="center"/>
            <w:hideMark/>
          </w:tcPr>
          <w:p w:rsidR="00C50665" w:rsidRPr="00E27F53" w:rsidRDefault="00C50665" w:rsidP="009F139B">
            <w:pPr>
              <w:rPr>
                <w:rFonts w:ascii="Arial" w:eastAsia="Times New Roman" w:hAnsi="Arial" w:cs="Arial"/>
                <w:i/>
                <w:sz w:val="20"/>
                <w:szCs w:val="20"/>
                <w:lang w:eastAsia="en-AU"/>
              </w:rPr>
            </w:pPr>
            <w:r w:rsidRPr="00E27F53">
              <w:rPr>
                <w:rFonts w:ascii="Arial" w:eastAsia="Times New Roman" w:hAnsi="Arial" w:cs="Arial"/>
                <w:i/>
                <w:sz w:val="20"/>
                <w:szCs w:val="20"/>
                <w:lang w:eastAsia="en-AU"/>
              </w:rPr>
              <w:t>-3.7%</w:t>
            </w:r>
          </w:p>
        </w:tc>
        <w:tc>
          <w:tcPr>
            <w:tcW w:w="0" w:type="auto"/>
            <w:noWrap/>
            <w:vAlign w:val="center"/>
            <w:hideMark/>
          </w:tcPr>
          <w:p w:rsidR="00C50665" w:rsidRPr="00E27F53" w:rsidRDefault="00C50665" w:rsidP="009F139B">
            <w:pPr>
              <w:rPr>
                <w:rFonts w:ascii="Arial" w:eastAsia="Times New Roman" w:hAnsi="Arial" w:cs="Arial"/>
                <w:i/>
                <w:sz w:val="20"/>
                <w:szCs w:val="20"/>
                <w:lang w:eastAsia="en-AU"/>
              </w:rPr>
            </w:pPr>
            <w:r w:rsidRPr="00E27F53">
              <w:rPr>
                <w:rFonts w:ascii="Arial" w:eastAsia="Times New Roman" w:hAnsi="Arial" w:cs="Arial"/>
                <w:i/>
                <w:sz w:val="20"/>
                <w:szCs w:val="20"/>
                <w:lang w:eastAsia="en-AU"/>
              </w:rPr>
              <w:t>1.2%</w:t>
            </w:r>
          </w:p>
        </w:tc>
      </w:tr>
      <w:tr w:rsidR="00C50665" w:rsidRPr="00315C68" w:rsidTr="0059642B">
        <w:trPr>
          <w:trHeight w:val="100"/>
        </w:trPr>
        <w:tc>
          <w:tcPr>
            <w:tcW w:w="0" w:type="auto"/>
            <w:vAlign w:val="center"/>
            <w:hideMark/>
          </w:tcPr>
          <w:p w:rsidR="00C50665" w:rsidRPr="00E27F53" w:rsidRDefault="00C50665" w:rsidP="009F139B">
            <w:pPr>
              <w:rPr>
                <w:rFonts w:eastAsia="Times New Roman"/>
                <w:b/>
                <w:lang w:eastAsia="en-AU"/>
              </w:rPr>
            </w:pPr>
            <w:r w:rsidRPr="00E27F53">
              <w:rPr>
                <w:rFonts w:eastAsia="Times New Roman"/>
                <w:b/>
                <w:lang w:eastAsia="en-AU"/>
              </w:rPr>
              <w:t xml:space="preserve">TOLL HOLDINGS </w:t>
            </w:r>
          </w:p>
        </w:tc>
        <w:tc>
          <w:tcPr>
            <w:tcW w:w="0" w:type="auto"/>
            <w:vAlign w:val="center"/>
            <w:hideMark/>
          </w:tcPr>
          <w:p w:rsidR="00C50665" w:rsidRPr="00315C68" w:rsidRDefault="00C50665" w:rsidP="009F139B">
            <w:pPr>
              <w:rPr>
                <w:rFonts w:ascii="Arial" w:eastAsia="Times New Roman" w:hAnsi="Arial" w:cs="Arial"/>
                <w:sz w:val="20"/>
                <w:szCs w:val="20"/>
                <w:lang w:eastAsia="en-AU"/>
              </w:rPr>
            </w:pPr>
            <w:r w:rsidRPr="00315C68">
              <w:rPr>
                <w:rFonts w:ascii="Arial" w:eastAsia="Times New Roman" w:hAnsi="Arial" w:cs="Arial"/>
                <w:sz w:val="20"/>
                <w:szCs w:val="20"/>
                <w:lang w:eastAsia="en-AU"/>
              </w:rPr>
              <w:t>409,822</w:t>
            </w:r>
          </w:p>
        </w:tc>
        <w:tc>
          <w:tcPr>
            <w:tcW w:w="0" w:type="auto"/>
            <w:vAlign w:val="center"/>
            <w:hideMark/>
          </w:tcPr>
          <w:p w:rsidR="00C50665" w:rsidRPr="00315C68" w:rsidRDefault="00C50665" w:rsidP="009F139B">
            <w:pPr>
              <w:rPr>
                <w:rFonts w:ascii="Arial" w:eastAsia="Times New Roman" w:hAnsi="Arial" w:cs="Arial"/>
                <w:sz w:val="20"/>
                <w:szCs w:val="20"/>
                <w:lang w:eastAsia="en-AU"/>
              </w:rPr>
            </w:pPr>
            <w:r w:rsidRPr="00315C68">
              <w:rPr>
                <w:rFonts w:ascii="Arial" w:eastAsia="Times New Roman" w:hAnsi="Arial" w:cs="Arial"/>
                <w:sz w:val="20"/>
                <w:szCs w:val="20"/>
                <w:lang w:eastAsia="en-AU"/>
              </w:rPr>
              <w:t>437,525</w:t>
            </w:r>
          </w:p>
        </w:tc>
        <w:tc>
          <w:tcPr>
            <w:tcW w:w="0" w:type="auto"/>
            <w:vAlign w:val="center"/>
            <w:hideMark/>
          </w:tcPr>
          <w:p w:rsidR="00C50665" w:rsidRPr="00315C68" w:rsidRDefault="00C50665" w:rsidP="009F139B">
            <w:pPr>
              <w:rPr>
                <w:rFonts w:ascii="Arial" w:eastAsia="Times New Roman" w:hAnsi="Arial" w:cs="Arial"/>
                <w:sz w:val="20"/>
                <w:szCs w:val="20"/>
                <w:lang w:eastAsia="en-AU"/>
              </w:rPr>
            </w:pPr>
            <w:r w:rsidRPr="00315C68">
              <w:rPr>
                <w:rFonts w:ascii="Arial" w:eastAsia="Times New Roman" w:hAnsi="Arial" w:cs="Arial"/>
                <w:sz w:val="20"/>
                <w:szCs w:val="20"/>
                <w:lang w:eastAsia="en-AU"/>
              </w:rPr>
              <w:t>575,214</w:t>
            </w:r>
          </w:p>
        </w:tc>
        <w:tc>
          <w:tcPr>
            <w:tcW w:w="0" w:type="auto"/>
            <w:vAlign w:val="center"/>
            <w:hideMark/>
          </w:tcPr>
          <w:p w:rsidR="00C50665" w:rsidRPr="00315C68" w:rsidRDefault="00C50665" w:rsidP="009F139B">
            <w:pPr>
              <w:rPr>
                <w:rFonts w:ascii="Arial" w:eastAsia="Times New Roman" w:hAnsi="Arial" w:cs="Arial"/>
                <w:sz w:val="20"/>
                <w:szCs w:val="20"/>
                <w:lang w:eastAsia="en-AU"/>
              </w:rPr>
            </w:pPr>
            <w:r w:rsidRPr="00315C68">
              <w:rPr>
                <w:rFonts w:ascii="Arial" w:eastAsia="Times New Roman" w:hAnsi="Arial" w:cs="Arial"/>
                <w:sz w:val="20"/>
                <w:szCs w:val="20"/>
                <w:lang w:eastAsia="en-AU"/>
              </w:rPr>
              <w:t>594,015</w:t>
            </w:r>
          </w:p>
        </w:tc>
        <w:tc>
          <w:tcPr>
            <w:tcW w:w="0" w:type="auto"/>
            <w:vAlign w:val="center"/>
            <w:hideMark/>
          </w:tcPr>
          <w:p w:rsidR="00C50665" w:rsidRPr="00315C68" w:rsidRDefault="00C50665" w:rsidP="009F139B">
            <w:pPr>
              <w:rPr>
                <w:rFonts w:ascii="Arial" w:eastAsia="Times New Roman" w:hAnsi="Arial" w:cs="Arial"/>
                <w:sz w:val="20"/>
                <w:szCs w:val="20"/>
                <w:lang w:eastAsia="en-AU"/>
              </w:rPr>
            </w:pPr>
            <w:r w:rsidRPr="00315C68">
              <w:rPr>
                <w:rFonts w:ascii="Arial" w:eastAsia="Times New Roman" w:hAnsi="Arial" w:cs="Arial"/>
                <w:sz w:val="20"/>
                <w:szCs w:val="20"/>
                <w:lang w:eastAsia="en-AU"/>
              </w:rPr>
              <w:t>553,461</w:t>
            </w:r>
          </w:p>
        </w:tc>
        <w:tc>
          <w:tcPr>
            <w:tcW w:w="0" w:type="auto"/>
            <w:noWrap/>
            <w:vAlign w:val="center"/>
            <w:hideMark/>
          </w:tcPr>
          <w:p w:rsidR="00C50665" w:rsidRPr="00315C68" w:rsidRDefault="00C50665" w:rsidP="009F139B">
            <w:pPr>
              <w:rPr>
                <w:rFonts w:ascii="Arial" w:eastAsia="Times New Roman" w:hAnsi="Arial" w:cs="Arial"/>
                <w:sz w:val="20"/>
                <w:szCs w:val="20"/>
                <w:lang w:eastAsia="en-AU"/>
              </w:rPr>
            </w:pPr>
            <w:r w:rsidRPr="00315C68">
              <w:rPr>
                <w:rFonts w:ascii="Arial" w:eastAsia="Times New Roman" w:hAnsi="Arial" w:cs="Arial"/>
                <w:sz w:val="20"/>
                <w:szCs w:val="20"/>
                <w:lang w:eastAsia="en-AU"/>
              </w:rPr>
              <w:t>524,759</w:t>
            </w:r>
          </w:p>
        </w:tc>
      </w:tr>
      <w:tr w:rsidR="00C50665" w:rsidRPr="00315C68" w:rsidTr="0059642B">
        <w:trPr>
          <w:trHeight w:val="300"/>
        </w:trPr>
        <w:tc>
          <w:tcPr>
            <w:tcW w:w="0" w:type="auto"/>
            <w:noWrap/>
            <w:vAlign w:val="center"/>
            <w:hideMark/>
          </w:tcPr>
          <w:p w:rsidR="00C50665" w:rsidRPr="00E27F53" w:rsidRDefault="00C50665" w:rsidP="009F139B">
            <w:pPr>
              <w:rPr>
                <w:rFonts w:eastAsia="Times New Roman"/>
                <w:b/>
                <w:lang w:eastAsia="en-AU"/>
              </w:rPr>
            </w:pPr>
            <w:r w:rsidRPr="00E27F53">
              <w:rPr>
                <w:rFonts w:eastAsia="Times New Roman"/>
                <w:b/>
                <w:lang w:eastAsia="en-AU"/>
              </w:rPr>
              <w:t>% change</w:t>
            </w:r>
          </w:p>
        </w:tc>
        <w:tc>
          <w:tcPr>
            <w:tcW w:w="0" w:type="auto"/>
            <w:noWrap/>
            <w:vAlign w:val="center"/>
            <w:hideMark/>
          </w:tcPr>
          <w:p w:rsidR="00C50665" w:rsidRPr="00E27F53" w:rsidRDefault="00C50665" w:rsidP="009F139B">
            <w:pPr>
              <w:rPr>
                <w:rFonts w:eastAsia="Times New Roman"/>
                <w:i/>
                <w:lang w:eastAsia="en-AU"/>
              </w:rPr>
            </w:pPr>
          </w:p>
        </w:tc>
        <w:tc>
          <w:tcPr>
            <w:tcW w:w="0" w:type="auto"/>
            <w:noWrap/>
            <w:vAlign w:val="center"/>
            <w:hideMark/>
          </w:tcPr>
          <w:p w:rsidR="00C50665" w:rsidRPr="00E27F53" w:rsidRDefault="00C50665" w:rsidP="009F139B">
            <w:pPr>
              <w:rPr>
                <w:rFonts w:ascii="Arial" w:eastAsia="Times New Roman" w:hAnsi="Arial" w:cs="Arial"/>
                <w:i/>
                <w:sz w:val="20"/>
                <w:szCs w:val="20"/>
                <w:lang w:eastAsia="en-AU"/>
              </w:rPr>
            </w:pPr>
            <w:r w:rsidRPr="00E27F53">
              <w:rPr>
                <w:rFonts w:ascii="Arial" w:eastAsia="Times New Roman" w:hAnsi="Arial" w:cs="Arial"/>
                <w:i/>
                <w:sz w:val="20"/>
                <w:szCs w:val="20"/>
                <w:lang w:eastAsia="en-AU"/>
              </w:rPr>
              <w:t>6.8%</w:t>
            </w:r>
          </w:p>
        </w:tc>
        <w:tc>
          <w:tcPr>
            <w:tcW w:w="0" w:type="auto"/>
            <w:noWrap/>
            <w:vAlign w:val="center"/>
            <w:hideMark/>
          </w:tcPr>
          <w:p w:rsidR="00C50665" w:rsidRPr="00E27F53" w:rsidRDefault="00C50665" w:rsidP="009F139B">
            <w:pPr>
              <w:rPr>
                <w:rFonts w:ascii="Arial" w:eastAsia="Times New Roman" w:hAnsi="Arial" w:cs="Arial"/>
                <w:i/>
                <w:sz w:val="20"/>
                <w:szCs w:val="20"/>
                <w:lang w:eastAsia="en-AU"/>
              </w:rPr>
            </w:pPr>
            <w:r w:rsidRPr="00E27F53">
              <w:rPr>
                <w:rFonts w:ascii="Arial" w:eastAsia="Times New Roman" w:hAnsi="Arial" w:cs="Arial"/>
                <w:i/>
                <w:sz w:val="20"/>
                <w:szCs w:val="20"/>
                <w:lang w:eastAsia="en-AU"/>
              </w:rPr>
              <w:t>31.5%</w:t>
            </w:r>
          </w:p>
        </w:tc>
        <w:tc>
          <w:tcPr>
            <w:tcW w:w="0" w:type="auto"/>
            <w:noWrap/>
            <w:vAlign w:val="center"/>
            <w:hideMark/>
          </w:tcPr>
          <w:p w:rsidR="00C50665" w:rsidRPr="00E27F53" w:rsidRDefault="00C50665" w:rsidP="009F139B">
            <w:pPr>
              <w:rPr>
                <w:rFonts w:ascii="Arial" w:eastAsia="Times New Roman" w:hAnsi="Arial" w:cs="Arial"/>
                <w:i/>
                <w:sz w:val="20"/>
                <w:szCs w:val="20"/>
                <w:lang w:eastAsia="en-AU"/>
              </w:rPr>
            </w:pPr>
            <w:r w:rsidRPr="00E27F53">
              <w:rPr>
                <w:rFonts w:ascii="Arial" w:eastAsia="Times New Roman" w:hAnsi="Arial" w:cs="Arial"/>
                <w:i/>
                <w:sz w:val="20"/>
                <w:szCs w:val="20"/>
                <w:lang w:eastAsia="en-AU"/>
              </w:rPr>
              <w:t>3.3%</w:t>
            </w:r>
          </w:p>
        </w:tc>
        <w:tc>
          <w:tcPr>
            <w:tcW w:w="0" w:type="auto"/>
            <w:noWrap/>
            <w:vAlign w:val="center"/>
            <w:hideMark/>
          </w:tcPr>
          <w:p w:rsidR="00C50665" w:rsidRPr="00E27F53" w:rsidRDefault="00C50665" w:rsidP="009F139B">
            <w:pPr>
              <w:rPr>
                <w:rFonts w:ascii="Arial" w:eastAsia="Times New Roman" w:hAnsi="Arial" w:cs="Arial"/>
                <w:i/>
                <w:sz w:val="20"/>
                <w:szCs w:val="20"/>
                <w:lang w:eastAsia="en-AU"/>
              </w:rPr>
            </w:pPr>
            <w:r w:rsidRPr="00E27F53">
              <w:rPr>
                <w:rFonts w:ascii="Arial" w:eastAsia="Times New Roman" w:hAnsi="Arial" w:cs="Arial"/>
                <w:i/>
                <w:sz w:val="20"/>
                <w:szCs w:val="20"/>
                <w:lang w:eastAsia="en-AU"/>
              </w:rPr>
              <w:t>-6.8%</w:t>
            </w:r>
          </w:p>
        </w:tc>
        <w:tc>
          <w:tcPr>
            <w:tcW w:w="0" w:type="auto"/>
            <w:noWrap/>
            <w:vAlign w:val="center"/>
            <w:hideMark/>
          </w:tcPr>
          <w:p w:rsidR="00C50665" w:rsidRPr="00E27F53" w:rsidRDefault="00C50665" w:rsidP="009F139B">
            <w:pPr>
              <w:rPr>
                <w:rFonts w:ascii="Arial" w:eastAsia="Times New Roman" w:hAnsi="Arial" w:cs="Arial"/>
                <w:i/>
                <w:sz w:val="20"/>
                <w:szCs w:val="20"/>
                <w:lang w:eastAsia="en-AU"/>
              </w:rPr>
            </w:pPr>
            <w:r w:rsidRPr="00E27F53">
              <w:rPr>
                <w:rFonts w:ascii="Arial" w:eastAsia="Times New Roman" w:hAnsi="Arial" w:cs="Arial"/>
                <w:i/>
                <w:sz w:val="20"/>
                <w:szCs w:val="20"/>
                <w:lang w:eastAsia="en-AU"/>
              </w:rPr>
              <w:t>-5.2%</w:t>
            </w:r>
          </w:p>
        </w:tc>
      </w:tr>
    </w:tbl>
    <w:p w:rsidR="00C50665" w:rsidRPr="009F139B" w:rsidRDefault="00C50665" w:rsidP="009F139B">
      <w:pPr>
        <w:rPr>
          <w:rFonts w:ascii="Arial" w:eastAsia="Times New Roman" w:hAnsi="Arial" w:cs="Arial"/>
          <w:bCs/>
          <w:sz w:val="20"/>
        </w:rPr>
      </w:pPr>
      <w:r w:rsidRPr="009F139B">
        <w:rPr>
          <w:rFonts w:ascii="Arial" w:eastAsia="Times New Roman" w:hAnsi="Arial" w:cs="Arial"/>
          <w:bCs/>
          <w:sz w:val="20"/>
        </w:rPr>
        <w:t xml:space="preserve">Source: Clean Energy </w:t>
      </w:r>
      <w:proofErr w:type="spellStart"/>
      <w:r w:rsidRPr="009F139B">
        <w:rPr>
          <w:rFonts w:ascii="Arial" w:eastAsia="Times New Roman" w:hAnsi="Arial" w:cs="Arial"/>
          <w:bCs/>
          <w:sz w:val="20"/>
        </w:rPr>
        <w:t>Regualtor</w:t>
      </w:r>
      <w:proofErr w:type="spellEnd"/>
      <w:r w:rsidRPr="009F139B">
        <w:rPr>
          <w:rFonts w:ascii="Arial" w:eastAsia="Times New Roman" w:hAnsi="Arial" w:cs="Arial"/>
          <w:bCs/>
          <w:sz w:val="20"/>
        </w:rPr>
        <w:t xml:space="preserve">: National Greenhouse and Energy Reporting: Reported greenhouse and energy information by year. </w:t>
      </w:r>
      <w:hyperlink r:id="rId13" w:history="1">
        <w:r w:rsidRPr="009F139B">
          <w:rPr>
            <w:rStyle w:val="Hyperlink"/>
            <w:rFonts w:ascii="Arial" w:eastAsia="Times New Roman" w:hAnsi="Arial" w:cs="Arial"/>
            <w:bCs/>
            <w:sz w:val="20"/>
          </w:rPr>
          <w:t>http://www.cleanenergyregulator.gov.au/National-Greenhouse-and-Energy-Reporting/published-information/greenhouse-and-energy-information/Pages/default.aspx</w:t>
        </w:r>
      </w:hyperlink>
      <w:r w:rsidRPr="009F139B">
        <w:rPr>
          <w:rFonts w:ascii="Arial" w:eastAsia="Times New Roman" w:hAnsi="Arial" w:cs="Arial"/>
          <w:bCs/>
          <w:sz w:val="20"/>
        </w:rPr>
        <w:t xml:space="preserve"> </w:t>
      </w:r>
    </w:p>
    <w:p w:rsidR="00C50665" w:rsidRPr="00124BE7" w:rsidRDefault="00C50665" w:rsidP="009F139B">
      <w:pPr>
        <w:rPr>
          <w:rFonts w:ascii="Arial" w:eastAsia="Times New Roman" w:hAnsi="Arial" w:cs="Arial"/>
          <w:bCs/>
        </w:rPr>
      </w:pPr>
    </w:p>
    <w:sectPr w:rsidR="00C50665" w:rsidRPr="00124BE7" w:rsidSect="00A91411">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567" w:left="1134" w:header="703" w:footer="2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470" w:rsidRDefault="00394470" w:rsidP="000F3D9F">
      <w:r>
        <w:separator/>
      </w:r>
    </w:p>
  </w:endnote>
  <w:endnote w:type="continuationSeparator" w:id="0">
    <w:p w:rsidR="00394470" w:rsidRDefault="00394470" w:rsidP="000F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altName w:val="Corbel"/>
    <w:panose1 w:val="00000000000000000000"/>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470" w:rsidRDefault="00394470" w:rsidP="008E1721">
    <w:pPr>
      <w:ind w:right="-426"/>
      <w:jc w:val="right"/>
      <w:rPr>
        <w:rFonts w:ascii="Arial" w:hAnsi="Arial" w:cs="Arial"/>
        <w:smallCaps/>
        <w:noProof/>
        <w:szCs w:val="23"/>
        <w:lang w:eastAsia="en-AU"/>
      </w:rPr>
    </w:pPr>
    <w:r>
      <w:rPr>
        <w:rFonts w:ascii="Arial" w:hAnsi="Arial" w:cs="Arial"/>
        <w:smallCaps/>
        <w:noProof/>
        <w:szCs w:val="23"/>
        <w:lang w:eastAsia="en-AU"/>
      </w:rPr>
      <w:drawing>
        <wp:inline distT="0" distB="0" distL="0" distR="0">
          <wp:extent cx="1951355" cy="846455"/>
          <wp:effectExtent l="19050" t="0" r="0" b="0"/>
          <wp:docPr id="1" name="Picture 1" descr="LHead Logo AC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 Logo ACT RGB"/>
                  <pic:cNvPicPr>
                    <a:picLocks noChangeAspect="1" noChangeArrowheads="1"/>
                  </pic:cNvPicPr>
                </pic:nvPicPr>
                <pic:blipFill>
                  <a:blip r:embed="rId1"/>
                  <a:srcRect/>
                  <a:stretch>
                    <a:fillRect/>
                  </a:stretch>
                </pic:blipFill>
                <pic:spPr bwMode="auto">
                  <a:xfrm>
                    <a:off x="0" y="0"/>
                    <a:ext cx="1951355" cy="846455"/>
                  </a:xfrm>
                  <a:prstGeom prst="rect">
                    <a:avLst/>
                  </a:prstGeom>
                  <a:noFill/>
                  <a:ln w="9525">
                    <a:noFill/>
                    <a:miter lim="800000"/>
                    <a:headEnd/>
                    <a:tailEnd/>
                  </a:ln>
                </pic:spPr>
              </pic:pic>
            </a:graphicData>
          </a:graphic>
        </wp:inline>
      </w:drawing>
    </w:r>
  </w:p>
  <w:p w:rsidR="00394470" w:rsidRPr="00E8056B" w:rsidRDefault="00394470" w:rsidP="00E8056B">
    <w:pPr>
      <w:jc w:val="right"/>
      <w:rPr>
        <w:rFonts w:ascii="Arial" w:hAnsi="Arial" w:cs="Arial"/>
        <w:sz w:val="16"/>
        <w:szCs w:val="16"/>
      </w:rPr>
    </w:pPr>
  </w:p>
  <w:p w:rsidR="00394470" w:rsidRPr="00E8056B" w:rsidRDefault="00394470" w:rsidP="00E8056B">
    <w:pPr>
      <w:pStyle w:val="Footer"/>
      <w:jc w:val="right"/>
      <w:rPr>
        <w:rFonts w:ascii="Arial" w:hAnsi="Arial" w:cs="Arial"/>
        <w:sz w:val="16"/>
        <w:szCs w:val="16"/>
      </w:rPr>
    </w:pPr>
    <w:smartTag w:uri="urn:schemas-microsoft-com:office:smarttags" w:element="place">
      <w:smartTag w:uri="urn:schemas-microsoft-com:office:smarttags" w:element="PlaceName">
        <w:r w:rsidRPr="00E8056B">
          <w:rPr>
            <w:rFonts w:ascii="Arial" w:hAnsi="Arial" w:cs="Arial"/>
            <w:sz w:val="16"/>
            <w:szCs w:val="16"/>
          </w:rPr>
          <w:t>Minter</w:t>
        </w:r>
      </w:smartTag>
      <w:r w:rsidRPr="00E8056B">
        <w:rPr>
          <w:rFonts w:ascii="Arial" w:hAnsi="Arial" w:cs="Arial"/>
          <w:sz w:val="16"/>
          <w:szCs w:val="16"/>
        </w:rPr>
        <w:t xml:space="preserve"> </w:t>
      </w:r>
      <w:smartTag w:uri="urn:schemas-microsoft-com:office:smarttags" w:element="PlaceType">
        <w:smartTag w:uri="urn:schemas-microsoft-com:office:smarttags" w:element="PlaceName">
          <w:r w:rsidRPr="00E8056B">
            <w:rPr>
              <w:rFonts w:ascii="Arial" w:hAnsi="Arial" w:cs="Arial"/>
              <w:sz w:val="16"/>
              <w:szCs w:val="16"/>
            </w:rPr>
            <w:t>Ellison</w:t>
          </w:r>
        </w:smartTag>
      </w:smartTag>
      <w:r w:rsidRPr="00E8056B">
        <w:rPr>
          <w:rFonts w:ascii="Arial" w:hAnsi="Arial" w:cs="Arial"/>
          <w:sz w:val="16"/>
          <w:szCs w:val="16"/>
        </w:rPr>
        <w:t xml:space="preserve"> </w:t>
      </w:r>
      <w:smartTag w:uri="urn:schemas-microsoft-com:office:smarttags" w:element="place">
        <w:r w:rsidRPr="00E8056B">
          <w:rPr>
            <w:rFonts w:ascii="Arial" w:hAnsi="Arial" w:cs="Arial"/>
            <w:sz w:val="16"/>
            <w:szCs w:val="16"/>
          </w:rPr>
          <w:t>Building</w:t>
        </w:r>
      </w:smartTag>
    </w:smartTag>
    <w:r w:rsidRPr="00E8056B">
      <w:rPr>
        <w:rFonts w:ascii="Arial" w:hAnsi="Arial" w:cs="Arial"/>
        <w:sz w:val="16"/>
        <w:szCs w:val="16"/>
      </w:rPr>
      <w:t>, 25 National Circuit, Forrest ACT 2603</w:t>
    </w:r>
  </w:p>
  <w:p w:rsidR="00394470" w:rsidRPr="00E8056B" w:rsidRDefault="00394470" w:rsidP="00E8056B">
    <w:pPr>
      <w:pStyle w:val="Footer"/>
      <w:jc w:val="right"/>
      <w:rPr>
        <w:rFonts w:ascii="Arial" w:hAnsi="Arial" w:cs="Arial"/>
        <w:sz w:val="16"/>
        <w:szCs w:val="16"/>
      </w:rPr>
    </w:pPr>
    <w:r w:rsidRPr="00E8056B">
      <w:rPr>
        <w:rFonts w:ascii="Arial" w:hAnsi="Arial" w:cs="Arial"/>
        <w:b/>
        <w:sz w:val="16"/>
        <w:szCs w:val="16"/>
      </w:rPr>
      <w:t>P</w:t>
    </w:r>
    <w:r w:rsidRPr="00E8056B">
      <w:rPr>
        <w:rFonts w:ascii="Arial" w:hAnsi="Arial" w:cs="Arial"/>
        <w:sz w:val="16"/>
        <w:szCs w:val="16"/>
      </w:rPr>
      <w:t xml:space="preserve"> 02 6253 6900 </w:t>
    </w:r>
    <w:r w:rsidRPr="00E8056B">
      <w:rPr>
        <w:rFonts w:ascii="Arial" w:hAnsi="Arial" w:cs="Arial"/>
        <w:b/>
        <w:sz w:val="16"/>
        <w:szCs w:val="16"/>
      </w:rPr>
      <w:t>F</w:t>
    </w:r>
    <w:r w:rsidRPr="00E8056B">
      <w:rPr>
        <w:rFonts w:ascii="Arial" w:hAnsi="Arial" w:cs="Arial"/>
        <w:sz w:val="16"/>
        <w:szCs w:val="16"/>
      </w:rPr>
      <w:t xml:space="preserve"> 02 6253 6999 </w:t>
    </w:r>
    <w:r w:rsidRPr="00E8056B">
      <w:rPr>
        <w:rFonts w:ascii="Arial" w:hAnsi="Arial" w:cs="Arial"/>
        <w:b/>
        <w:sz w:val="16"/>
        <w:szCs w:val="16"/>
      </w:rPr>
      <w:t>E</w:t>
    </w:r>
    <w:r w:rsidRPr="00E8056B">
      <w:rPr>
        <w:rFonts w:ascii="Arial" w:hAnsi="Arial" w:cs="Arial"/>
        <w:sz w:val="16"/>
        <w:szCs w:val="16"/>
      </w:rPr>
      <w:t xml:space="preserve"> </w:t>
    </w:r>
    <w:r>
      <w:rPr>
        <w:rFonts w:ascii="Arial" w:hAnsi="Arial" w:cs="Arial"/>
        <w:bCs/>
        <w:sz w:val="16"/>
        <w:szCs w:val="16"/>
      </w:rPr>
      <w:t>ata@</w:t>
    </w:r>
    <w:r w:rsidRPr="00E8056B">
      <w:rPr>
        <w:rFonts w:ascii="Arial" w:hAnsi="Arial" w:cs="Arial"/>
        <w:bCs/>
        <w:sz w:val="16"/>
        <w:szCs w:val="16"/>
      </w:rPr>
      <w:t>truck.net.au</w:t>
    </w:r>
    <w:r w:rsidRPr="00E8056B">
      <w:rPr>
        <w:rFonts w:ascii="Arial" w:hAnsi="Arial" w:cs="Arial"/>
        <w:b/>
        <w:sz w:val="16"/>
        <w:szCs w:val="16"/>
      </w:rPr>
      <w:t xml:space="preserve"> W</w:t>
    </w:r>
    <w:r w:rsidRPr="00E8056B">
      <w:rPr>
        <w:rFonts w:ascii="Arial" w:hAnsi="Arial" w:cs="Arial"/>
        <w:sz w:val="16"/>
        <w:szCs w:val="16"/>
      </w:rPr>
      <w:t xml:space="preserve"> </w:t>
    </w:r>
    <w:r>
      <w:rPr>
        <w:rFonts w:ascii="Arial" w:hAnsi="Arial" w:cs="Arial"/>
        <w:bCs/>
        <w:sz w:val="16"/>
        <w:szCs w:val="16"/>
      </w:rPr>
      <w:t>www.</w:t>
    </w:r>
    <w:r w:rsidRPr="00E8056B">
      <w:rPr>
        <w:rFonts w:ascii="Arial" w:hAnsi="Arial" w:cs="Arial"/>
        <w:bCs/>
        <w:sz w:val="16"/>
        <w:szCs w:val="16"/>
      </w:rPr>
      <w:t>truck.net.au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470" w:rsidRDefault="00394470">
    <w:pPr>
      <w:pStyle w:val="Footer"/>
      <w:jc w:val="right"/>
    </w:pPr>
    <w:r>
      <w:fldChar w:fldCharType="begin"/>
    </w:r>
    <w:r>
      <w:instrText xml:space="preserve"> PAGE   \* MERGEFORMAT </w:instrText>
    </w:r>
    <w:r>
      <w:fldChar w:fldCharType="separate"/>
    </w:r>
    <w:r>
      <w:rPr>
        <w:noProof/>
      </w:rPr>
      <w:t>7</w:t>
    </w:r>
    <w:r>
      <w:rPr>
        <w:noProof/>
      </w:rPr>
      <w:fldChar w:fldCharType="end"/>
    </w:r>
  </w:p>
  <w:p w:rsidR="00394470" w:rsidRDefault="003944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470" w:rsidRDefault="0039447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000000"/>
        <w:insideH w:val="single" w:sz="4" w:space="0" w:color="000000"/>
      </w:tblBorders>
      <w:tblLook w:val="04A0" w:firstRow="1" w:lastRow="0" w:firstColumn="1" w:lastColumn="0" w:noHBand="0" w:noVBand="1"/>
    </w:tblPr>
    <w:tblGrid>
      <w:gridCol w:w="4825"/>
      <w:gridCol w:w="4813"/>
    </w:tblGrid>
    <w:tr w:rsidR="00394470" w:rsidRPr="00A91411" w:rsidTr="008E09F4">
      <w:trPr>
        <w:trHeight w:val="57"/>
      </w:trPr>
      <w:tc>
        <w:tcPr>
          <w:tcW w:w="4927" w:type="dxa"/>
          <w:vAlign w:val="center"/>
        </w:tcPr>
        <w:p w:rsidR="00394470" w:rsidRPr="00A91411" w:rsidRDefault="00394470" w:rsidP="00EE4F04">
          <w:pPr>
            <w:pStyle w:val="Footer"/>
            <w:rPr>
              <w:rFonts w:ascii="Arial" w:hAnsi="Arial" w:cs="Arial"/>
              <w:sz w:val="14"/>
              <w:szCs w:val="14"/>
            </w:rPr>
          </w:pPr>
          <w:r>
            <w:rPr>
              <w:rFonts w:ascii="Arial" w:hAnsi="Arial" w:cs="Arial"/>
              <w:sz w:val="14"/>
              <w:szCs w:val="14"/>
            </w:rPr>
            <w:t>ATA Submission:</w:t>
          </w:r>
          <w:r w:rsidR="00CA6AA6">
            <w:rPr>
              <w:rFonts w:ascii="Arial" w:hAnsi="Arial" w:cs="Arial"/>
              <w:sz w:val="14"/>
              <w:szCs w:val="14"/>
            </w:rPr>
            <w:t xml:space="preserve"> </w:t>
          </w:r>
          <w:r w:rsidR="00EE4F04" w:rsidRPr="00EE4F04">
            <w:rPr>
              <w:rFonts w:ascii="Arial" w:hAnsi="Arial" w:cs="Arial"/>
              <w:sz w:val="14"/>
              <w:szCs w:val="14"/>
            </w:rPr>
            <w:t xml:space="preserve">Department of the Environment </w:t>
          </w:r>
          <w:r w:rsidR="00EE4F04">
            <w:rPr>
              <w:rFonts w:ascii="Arial" w:hAnsi="Arial" w:cs="Arial"/>
              <w:sz w:val="14"/>
              <w:szCs w:val="14"/>
            </w:rPr>
            <w:t>:</w:t>
          </w:r>
          <w:r w:rsidR="00EE4F04" w:rsidRPr="00EE4F04">
            <w:rPr>
              <w:rFonts w:ascii="Arial" w:hAnsi="Arial" w:cs="Arial"/>
              <w:sz w:val="14"/>
              <w:szCs w:val="14"/>
            </w:rPr>
            <w:t xml:space="preserve"> </w:t>
          </w:r>
          <w:r w:rsidR="00CA6AA6" w:rsidRPr="00CA6AA6">
            <w:rPr>
              <w:rFonts w:ascii="Arial" w:hAnsi="Arial" w:cs="Arial"/>
              <w:sz w:val="14"/>
              <w:szCs w:val="14"/>
            </w:rPr>
            <w:t>Emissions Reduction Fund: The Safeguard Mechanism</w:t>
          </w:r>
          <w:r>
            <w:rPr>
              <w:rFonts w:ascii="Arial" w:hAnsi="Arial" w:cs="Arial"/>
              <w:sz w:val="14"/>
              <w:szCs w:val="14"/>
            </w:rPr>
            <w:t xml:space="preserve"> </w:t>
          </w:r>
        </w:p>
      </w:tc>
      <w:tc>
        <w:tcPr>
          <w:tcW w:w="4927" w:type="dxa"/>
          <w:vAlign w:val="center"/>
        </w:tcPr>
        <w:p w:rsidR="00394470" w:rsidRPr="00A91411" w:rsidRDefault="00394470" w:rsidP="00D735FF">
          <w:pPr>
            <w:pStyle w:val="Footer"/>
            <w:jc w:val="right"/>
            <w:rPr>
              <w:rFonts w:ascii="Arial" w:hAnsi="Arial" w:cs="Arial"/>
              <w:sz w:val="14"/>
              <w:szCs w:val="14"/>
            </w:rPr>
          </w:pPr>
          <w:r w:rsidRPr="00A91411">
            <w:rPr>
              <w:rFonts w:ascii="Arial" w:hAnsi="Arial" w:cs="Arial"/>
              <w:sz w:val="14"/>
              <w:szCs w:val="14"/>
            </w:rPr>
            <w:t xml:space="preserve">Page </w:t>
          </w:r>
          <w:r w:rsidRPr="00A91411">
            <w:rPr>
              <w:rFonts w:ascii="Arial" w:hAnsi="Arial" w:cs="Arial"/>
              <w:sz w:val="14"/>
              <w:szCs w:val="14"/>
            </w:rPr>
            <w:fldChar w:fldCharType="begin"/>
          </w:r>
          <w:r w:rsidRPr="00A91411">
            <w:rPr>
              <w:rFonts w:ascii="Arial" w:hAnsi="Arial" w:cs="Arial"/>
              <w:sz w:val="14"/>
              <w:szCs w:val="14"/>
            </w:rPr>
            <w:instrText xml:space="preserve"> PAGE   \* MERGEFORMAT </w:instrText>
          </w:r>
          <w:r w:rsidRPr="00A91411">
            <w:rPr>
              <w:rFonts w:ascii="Arial" w:hAnsi="Arial" w:cs="Arial"/>
              <w:sz w:val="14"/>
              <w:szCs w:val="14"/>
            </w:rPr>
            <w:fldChar w:fldCharType="separate"/>
          </w:r>
          <w:r w:rsidR="001C57F8">
            <w:rPr>
              <w:rFonts w:ascii="Arial" w:hAnsi="Arial" w:cs="Arial"/>
              <w:noProof/>
              <w:sz w:val="14"/>
              <w:szCs w:val="14"/>
            </w:rPr>
            <w:t>7</w:t>
          </w:r>
          <w:r w:rsidRPr="00A91411">
            <w:rPr>
              <w:rFonts w:ascii="Arial" w:hAnsi="Arial" w:cs="Arial"/>
              <w:sz w:val="14"/>
              <w:szCs w:val="14"/>
            </w:rPr>
            <w:fldChar w:fldCharType="end"/>
          </w:r>
        </w:p>
      </w:tc>
    </w:tr>
  </w:tbl>
  <w:p w:rsidR="00394470" w:rsidRPr="00A91411" w:rsidRDefault="00394470">
    <w:pP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470" w:rsidRDefault="003944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470" w:rsidRDefault="00394470" w:rsidP="000F3D9F">
      <w:r>
        <w:separator/>
      </w:r>
    </w:p>
  </w:footnote>
  <w:footnote w:type="continuationSeparator" w:id="0">
    <w:p w:rsidR="00394470" w:rsidRDefault="00394470" w:rsidP="000F3D9F">
      <w:r>
        <w:continuationSeparator/>
      </w:r>
    </w:p>
  </w:footnote>
  <w:footnote w:id="1">
    <w:p w:rsidR="009246B6" w:rsidRDefault="009246B6">
      <w:pPr>
        <w:pStyle w:val="FootnoteText"/>
      </w:pPr>
      <w:r>
        <w:rPr>
          <w:rStyle w:val="FootnoteReference"/>
        </w:rPr>
        <w:footnoteRef/>
      </w:r>
      <w:r>
        <w:t xml:space="preserve"> </w:t>
      </w:r>
      <w:r w:rsidR="005E5886">
        <w:t>Department</w:t>
      </w:r>
      <w:r w:rsidR="00063BE5">
        <w:t xml:space="preserve"> of</w:t>
      </w:r>
      <w:r w:rsidR="005E5886">
        <w:t xml:space="preserve"> the</w:t>
      </w:r>
      <w:r w:rsidR="00063BE5">
        <w:t xml:space="preserve"> Environment, </w:t>
      </w:r>
      <w:r w:rsidR="00063BE5" w:rsidRPr="00063BE5">
        <w:rPr>
          <w:i/>
        </w:rPr>
        <w:t>Emissions Reduction Fund: Safeguard Mechanism</w:t>
      </w:r>
      <w:r w:rsidR="00063BE5">
        <w:t xml:space="preserve">, March 2015, accessible at: </w:t>
      </w:r>
      <w:hyperlink r:id="rId1" w:history="1">
        <w:r w:rsidR="00063BE5" w:rsidRPr="00ED3A0C">
          <w:rPr>
            <w:rStyle w:val="Hyperlink"/>
          </w:rPr>
          <w:t>http://www.environment.gov.au/system/files/pages/dbabd13c-f8f1-49cd-ab40-621f056de35a/files/safeguard-mechanism-consultation-paper.pdf</w:t>
        </w:r>
      </w:hyperlink>
      <w:r w:rsidR="00063BE5">
        <w:t xml:space="preserve"> page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470" w:rsidRPr="00E8056B" w:rsidRDefault="00394470" w:rsidP="001C3659">
    <w:pPr>
      <w:jc w:val="right"/>
      <w:rPr>
        <w:rFonts w:ascii="Arial" w:hAnsi="Arial" w:cs="Arial"/>
        <w:color w:val="FF0000"/>
        <w:sz w:val="18"/>
        <w:szCs w:val="18"/>
      </w:rPr>
    </w:pPr>
    <w:r w:rsidRPr="00E8056B">
      <w:rPr>
        <w:rFonts w:ascii="Arial" w:hAnsi="Arial" w:cs="Arial"/>
        <w:color w:val="000064"/>
        <w:sz w:val="18"/>
        <w:szCs w:val="18"/>
      </w:rPr>
      <w:t xml:space="preserve">AUSTRALIAN TRUCKING </w:t>
    </w:r>
    <w:r w:rsidRPr="00E8056B">
      <w:rPr>
        <w:rFonts w:ascii="Arial" w:hAnsi="Arial" w:cs="Arial"/>
        <w:color w:val="FF0000"/>
        <w:sz w:val="18"/>
        <w:szCs w:val="18"/>
      </w:rPr>
      <w:t>ASSOCIATION</w:t>
    </w:r>
  </w:p>
  <w:p w:rsidR="00394470" w:rsidRDefault="003944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470" w:rsidRDefault="003944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470" w:rsidRPr="0019542E" w:rsidRDefault="00394470" w:rsidP="00986804">
    <w:pPr>
      <w:jc w:val="right"/>
      <w:rPr>
        <w:sz w:val="4"/>
        <w:szCs w:val="4"/>
      </w:rPr>
    </w:pPr>
    <w:r w:rsidRPr="00565F92">
      <w:rPr>
        <w:rFonts w:ascii="Arial" w:hAnsi="Arial" w:cs="Arial"/>
        <w:color w:val="000064"/>
        <w:sz w:val="18"/>
        <w:szCs w:val="18"/>
      </w:rPr>
      <w:t xml:space="preserve">AUSTRALIAN TRUCKING </w:t>
    </w:r>
    <w:r w:rsidRPr="00565F92">
      <w:rPr>
        <w:rFonts w:ascii="Arial" w:hAnsi="Arial" w:cs="Arial"/>
        <w:color w:val="FF0000"/>
        <w:sz w:val="18"/>
        <w:szCs w:val="18"/>
      </w:rPr>
      <w:t>ASSOCIATION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470" w:rsidRDefault="003944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00A82"/>
    <w:multiLevelType w:val="multilevel"/>
    <w:tmpl w:val="B63E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765CF5"/>
    <w:multiLevelType w:val="multilevel"/>
    <w:tmpl w:val="EC14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4607C"/>
    <w:multiLevelType w:val="hybridMultilevel"/>
    <w:tmpl w:val="82D0EDF6"/>
    <w:lvl w:ilvl="0" w:tplc="8636587E">
      <w:start w:val="1"/>
      <w:numFmt w:val="bullet"/>
      <w:pStyle w:val="dotpoint"/>
      <w:lvlText w:val="»"/>
      <w:lvlJc w:val="left"/>
      <w:pPr>
        <w:ind w:left="360" w:hanging="360"/>
      </w:pPr>
      <w:rPr>
        <w:rFonts w:ascii="Myriad Pro Light" w:hAnsi="Myriad Pro Light" w:hint="default"/>
        <w:b w:val="0"/>
        <w:bCs w:val="0"/>
        <w:i w:val="0"/>
        <w:iCs w:val="0"/>
        <w:caps w:val="0"/>
        <w:strike w:val="0"/>
        <w:dstrike w:val="0"/>
        <w:vanish w:val="0"/>
        <w:color w:val="CC0A20"/>
        <w:w w:val="100"/>
        <w:sz w:val="20"/>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56524"/>
    <w:multiLevelType w:val="hybridMultilevel"/>
    <w:tmpl w:val="DA244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8F320E5"/>
    <w:multiLevelType w:val="multilevel"/>
    <w:tmpl w:val="6270F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A35423"/>
    <w:multiLevelType w:val="hybridMultilevel"/>
    <w:tmpl w:val="8968C0E4"/>
    <w:lvl w:ilvl="0" w:tplc="815878FA">
      <w:start w:val="1"/>
      <w:numFmt w:val="decimal"/>
      <w:pStyle w:val="RecommendationStyle"/>
      <w:lvlText w:val="Recommendation %1"/>
      <w:lvlJc w:val="left"/>
      <w:pPr>
        <w:tabs>
          <w:tab w:val="num" w:pos="1192"/>
        </w:tabs>
      </w:pPr>
      <w:rPr>
        <w:rFonts w:ascii="Arial" w:hAnsi="Arial" w:cs="Times New Roman" w:hint="default"/>
        <w:b/>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nsid w:val="412B62AA"/>
    <w:multiLevelType w:val="multilevel"/>
    <w:tmpl w:val="AA00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451873"/>
    <w:multiLevelType w:val="hybridMultilevel"/>
    <w:tmpl w:val="4E220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554ED9"/>
    <w:multiLevelType w:val="multilevel"/>
    <w:tmpl w:val="63B23E4E"/>
    <w:lvl w:ilvl="0">
      <w:start w:val="1"/>
      <w:numFmt w:val="decimal"/>
      <w:pStyle w:val="Heading1"/>
      <w:lvlText w:val="%1."/>
      <w:lvlJc w:val="left"/>
      <w:pPr>
        <w:ind w:left="360" w:hanging="360"/>
      </w:pPr>
      <w:rPr>
        <w:rFonts w:cs="Times New Roman" w:hint="default"/>
        <w:b/>
      </w:rPr>
    </w:lvl>
    <w:lvl w:ilvl="1">
      <w:start w:val="1"/>
      <w:numFmt w:val="decimal"/>
      <w:pStyle w:val="ATAHeading2"/>
      <w:lvlText w:val="%1.%2."/>
      <w:lvlJc w:val="left"/>
      <w:pPr>
        <w:ind w:left="716" w:hanging="432"/>
      </w:pPr>
      <w:rPr>
        <w:rFonts w:cs="Times New Roman" w:hint="default"/>
      </w:rPr>
    </w:lvl>
    <w:lvl w:ilvl="2">
      <w:start w:val="1"/>
      <w:numFmt w:val="decimal"/>
      <w:pStyle w:val="ATAHeading3"/>
      <w:lvlText w:val="%1.%2.%3."/>
      <w:lvlJc w:val="left"/>
      <w:pPr>
        <w:ind w:left="1224" w:hanging="504"/>
      </w:pPr>
      <w:rPr>
        <w:rFonts w:cs="Times New Roman" w:hint="default"/>
        <w:b/>
        <w:color w:val="00006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72E63D5F"/>
    <w:multiLevelType w:val="hybridMultilevel"/>
    <w:tmpl w:val="774AC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4"/>
  </w:num>
  <w:num w:numId="5">
    <w:abstractNumId w:val="1"/>
  </w:num>
  <w:num w:numId="6">
    <w:abstractNumId w:val="0"/>
  </w:num>
  <w:num w:numId="7">
    <w:abstractNumId w:val="3"/>
  </w:num>
  <w:num w:numId="8">
    <w:abstractNumId w:val="7"/>
  </w:num>
  <w:num w:numId="9">
    <w:abstractNumId w:val="9"/>
  </w:num>
  <w:num w:numId="10">
    <w:abstractNumId w:val="2"/>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8E9"/>
    <w:rsid w:val="0000052A"/>
    <w:rsid w:val="00000CE3"/>
    <w:rsid w:val="00001E4D"/>
    <w:rsid w:val="00005A35"/>
    <w:rsid w:val="00005E0D"/>
    <w:rsid w:val="00006297"/>
    <w:rsid w:val="00006C53"/>
    <w:rsid w:val="00007723"/>
    <w:rsid w:val="00007CA7"/>
    <w:rsid w:val="00011340"/>
    <w:rsid w:val="00011661"/>
    <w:rsid w:val="00012205"/>
    <w:rsid w:val="000150DD"/>
    <w:rsid w:val="000156D1"/>
    <w:rsid w:val="000169A5"/>
    <w:rsid w:val="00020B9C"/>
    <w:rsid w:val="00021886"/>
    <w:rsid w:val="00021D7D"/>
    <w:rsid w:val="00023CC7"/>
    <w:rsid w:val="00027E86"/>
    <w:rsid w:val="0003251D"/>
    <w:rsid w:val="00035304"/>
    <w:rsid w:val="0003555D"/>
    <w:rsid w:val="00035CFC"/>
    <w:rsid w:val="00037042"/>
    <w:rsid w:val="0004081E"/>
    <w:rsid w:val="00040876"/>
    <w:rsid w:val="00040B35"/>
    <w:rsid w:val="00040C3C"/>
    <w:rsid w:val="000447B1"/>
    <w:rsid w:val="00044E68"/>
    <w:rsid w:val="00046251"/>
    <w:rsid w:val="00046823"/>
    <w:rsid w:val="00050AC8"/>
    <w:rsid w:val="00050CE6"/>
    <w:rsid w:val="00052E9C"/>
    <w:rsid w:val="00053DCB"/>
    <w:rsid w:val="00056113"/>
    <w:rsid w:val="00056A74"/>
    <w:rsid w:val="00056DE2"/>
    <w:rsid w:val="00060365"/>
    <w:rsid w:val="00060651"/>
    <w:rsid w:val="000623F3"/>
    <w:rsid w:val="0006283B"/>
    <w:rsid w:val="00063BE5"/>
    <w:rsid w:val="00063D15"/>
    <w:rsid w:val="00067698"/>
    <w:rsid w:val="00070737"/>
    <w:rsid w:val="00071A71"/>
    <w:rsid w:val="00072340"/>
    <w:rsid w:val="0007542B"/>
    <w:rsid w:val="00075E7B"/>
    <w:rsid w:val="00077364"/>
    <w:rsid w:val="00080C08"/>
    <w:rsid w:val="00083C15"/>
    <w:rsid w:val="000848A1"/>
    <w:rsid w:val="00086A56"/>
    <w:rsid w:val="00087208"/>
    <w:rsid w:val="00091EB9"/>
    <w:rsid w:val="00093679"/>
    <w:rsid w:val="00094FE3"/>
    <w:rsid w:val="00095C3B"/>
    <w:rsid w:val="00096B02"/>
    <w:rsid w:val="00096FAC"/>
    <w:rsid w:val="00097329"/>
    <w:rsid w:val="000976B9"/>
    <w:rsid w:val="000A2163"/>
    <w:rsid w:val="000A2996"/>
    <w:rsid w:val="000A2BCF"/>
    <w:rsid w:val="000A2C1A"/>
    <w:rsid w:val="000A4409"/>
    <w:rsid w:val="000A4EB0"/>
    <w:rsid w:val="000A6499"/>
    <w:rsid w:val="000B0410"/>
    <w:rsid w:val="000B069A"/>
    <w:rsid w:val="000B1819"/>
    <w:rsid w:val="000B496C"/>
    <w:rsid w:val="000C049C"/>
    <w:rsid w:val="000C0C35"/>
    <w:rsid w:val="000C0F58"/>
    <w:rsid w:val="000C4A62"/>
    <w:rsid w:val="000C7BBC"/>
    <w:rsid w:val="000D0226"/>
    <w:rsid w:val="000D033C"/>
    <w:rsid w:val="000D351A"/>
    <w:rsid w:val="000D5E4E"/>
    <w:rsid w:val="000D6EF5"/>
    <w:rsid w:val="000D7CD4"/>
    <w:rsid w:val="000E7B14"/>
    <w:rsid w:val="000F028E"/>
    <w:rsid w:val="000F0F7B"/>
    <w:rsid w:val="000F314E"/>
    <w:rsid w:val="000F34E0"/>
    <w:rsid w:val="000F3ACC"/>
    <w:rsid w:val="000F3D9F"/>
    <w:rsid w:val="000F53C2"/>
    <w:rsid w:val="000F566E"/>
    <w:rsid w:val="000F5BB5"/>
    <w:rsid w:val="000F7F6F"/>
    <w:rsid w:val="00100A35"/>
    <w:rsid w:val="00103E24"/>
    <w:rsid w:val="001051CB"/>
    <w:rsid w:val="00110610"/>
    <w:rsid w:val="00110A53"/>
    <w:rsid w:val="001121A8"/>
    <w:rsid w:val="00112A33"/>
    <w:rsid w:val="0011347C"/>
    <w:rsid w:val="00114FC5"/>
    <w:rsid w:val="001176CB"/>
    <w:rsid w:val="00121A4F"/>
    <w:rsid w:val="00121A53"/>
    <w:rsid w:val="00122285"/>
    <w:rsid w:val="00123C93"/>
    <w:rsid w:val="00124BE7"/>
    <w:rsid w:val="00124F32"/>
    <w:rsid w:val="00125023"/>
    <w:rsid w:val="001253A5"/>
    <w:rsid w:val="00125DA1"/>
    <w:rsid w:val="00126E09"/>
    <w:rsid w:val="0013041A"/>
    <w:rsid w:val="001320D2"/>
    <w:rsid w:val="00132E36"/>
    <w:rsid w:val="00134E0D"/>
    <w:rsid w:val="001368EB"/>
    <w:rsid w:val="00141274"/>
    <w:rsid w:val="00141395"/>
    <w:rsid w:val="0014179F"/>
    <w:rsid w:val="0014300C"/>
    <w:rsid w:val="001431E4"/>
    <w:rsid w:val="001440F0"/>
    <w:rsid w:val="0014683D"/>
    <w:rsid w:val="00150065"/>
    <w:rsid w:val="0015008C"/>
    <w:rsid w:val="0015062F"/>
    <w:rsid w:val="0015211C"/>
    <w:rsid w:val="00152A71"/>
    <w:rsid w:val="001533F1"/>
    <w:rsid w:val="0015359E"/>
    <w:rsid w:val="0015386B"/>
    <w:rsid w:val="001552BC"/>
    <w:rsid w:val="00160FE3"/>
    <w:rsid w:val="001611AB"/>
    <w:rsid w:val="00162A32"/>
    <w:rsid w:val="00163879"/>
    <w:rsid w:val="00166CBD"/>
    <w:rsid w:val="00167142"/>
    <w:rsid w:val="00167289"/>
    <w:rsid w:val="00172FC4"/>
    <w:rsid w:val="00174273"/>
    <w:rsid w:val="00176C09"/>
    <w:rsid w:val="001807A8"/>
    <w:rsid w:val="001811B8"/>
    <w:rsid w:val="00182251"/>
    <w:rsid w:val="001855CD"/>
    <w:rsid w:val="0019542E"/>
    <w:rsid w:val="00195C1B"/>
    <w:rsid w:val="00197B9E"/>
    <w:rsid w:val="001A0DC3"/>
    <w:rsid w:val="001A0DEF"/>
    <w:rsid w:val="001A3A47"/>
    <w:rsid w:val="001A6510"/>
    <w:rsid w:val="001B0529"/>
    <w:rsid w:val="001B0E57"/>
    <w:rsid w:val="001B2CD7"/>
    <w:rsid w:val="001B3675"/>
    <w:rsid w:val="001B36AC"/>
    <w:rsid w:val="001B3E52"/>
    <w:rsid w:val="001B5390"/>
    <w:rsid w:val="001C05C2"/>
    <w:rsid w:val="001C0C68"/>
    <w:rsid w:val="001C125D"/>
    <w:rsid w:val="001C3659"/>
    <w:rsid w:val="001C57F8"/>
    <w:rsid w:val="001C5B41"/>
    <w:rsid w:val="001D2D61"/>
    <w:rsid w:val="001D50C7"/>
    <w:rsid w:val="001D5C1C"/>
    <w:rsid w:val="001D64A9"/>
    <w:rsid w:val="001D64FE"/>
    <w:rsid w:val="001D77A8"/>
    <w:rsid w:val="001D7817"/>
    <w:rsid w:val="001D7CDE"/>
    <w:rsid w:val="001E0A75"/>
    <w:rsid w:val="001E1BA9"/>
    <w:rsid w:val="001E3AC7"/>
    <w:rsid w:val="001E474C"/>
    <w:rsid w:val="001E5BE0"/>
    <w:rsid w:val="001E5C29"/>
    <w:rsid w:val="001E70A3"/>
    <w:rsid w:val="001F0C6E"/>
    <w:rsid w:val="001F1455"/>
    <w:rsid w:val="001F187C"/>
    <w:rsid w:val="001F7268"/>
    <w:rsid w:val="00200A50"/>
    <w:rsid w:val="0020303C"/>
    <w:rsid w:val="002041FF"/>
    <w:rsid w:val="002067C0"/>
    <w:rsid w:val="00207496"/>
    <w:rsid w:val="00207DE8"/>
    <w:rsid w:val="00210088"/>
    <w:rsid w:val="0021270C"/>
    <w:rsid w:val="0021283E"/>
    <w:rsid w:val="00212C7E"/>
    <w:rsid w:val="002137D3"/>
    <w:rsid w:val="00214282"/>
    <w:rsid w:val="00215F0D"/>
    <w:rsid w:val="00216CE6"/>
    <w:rsid w:val="00220718"/>
    <w:rsid w:val="00224B9A"/>
    <w:rsid w:val="00225B24"/>
    <w:rsid w:val="00226438"/>
    <w:rsid w:val="002278E9"/>
    <w:rsid w:val="0023094F"/>
    <w:rsid w:val="00230C4F"/>
    <w:rsid w:val="00230DFC"/>
    <w:rsid w:val="002333DB"/>
    <w:rsid w:val="00237081"/>
    <w:rsid w:val="00241C15"/>
    <w:rsid w:val="0024248F"/>
    <w:rsid w:val="0024360C"/>
    <w:rsid w:val="00243731"/>
    <w:rsid w:val="00244F62"/>
    <w:rsid w:val="00250025"/>
    <w:rsid w:val="0025225E"/>
    <w:rsid w:val="002527BE"/>
    <w:rsid w:val="00252AA9"/>
    <w:rsid w:val="002542D1"/>
    <w:rsid w:val="00254301"/>
    <w:rsid w:val="002543DF"/>
    <w:rsid w:val="00255617"/>
    <w:rsid w:val="002568F6"/>
    <w:rsid w:val="00257D05"/>
    <w:rsid w:val="00260827"/>
    <w:rsid w:val="00260FBD"/>
    <w:rsid w:val="00262C0A"/>
    <w:rsid w:val="00263A7C"/>
    <w:rsid w:val="002647C3"/>
    <w:rsid w:val="00264A3B"/>
    <w:rsid w:val="00265EB9"/>
    <w:rsid w:val="00266881"/>
    <w:rsid w:val="00266915"/>
    <w:rsid w:val="00270995"/>
    <w:rsid w:val="00277981"/>
    <w:rsid w:val="00277D24"/>
    <w:rsid w:val="00281D40"/>
    <w:rsid w:val="00282EF9"/>
    <w:rsid w:val="0028399D"/>
    <w:rsid w:val="0028616B"/>
    <w:rsid w:val="00291C6F"/>
    <w:rsid w:val="0029355B"/>
    <w:rsid w:val="002938B5"/>
    <w:rsid w:val="00295501"/>
    <w:rsid w:val="00296633"/>
    <w:rsid w:val="00296A47"/>
    <w:rsid w:val="002A061F"/>
    <w:rsid w:val="002A14C8"/>
    <w:rsid w:val="002A243F"/>
    <w:rsid w:val="002A3F63"/>
    <w:rsid w:val="002A4859"/>
    <w:rsid w:val="002A4F45"/>
    <w:rsid w:val="002A5C2E"/>
    <w:rsid w:val="002A7CB7"/>
    <w:rsid w:val="002B0559"/>
    <w:rsid w:val="002B0F48"/>
    <w:rsid w:val="002B172B"/>
    <w:rsid w:val="002B3668"/>
    <w:rsid w:val="002B381D"/>
    <w:rsid w:val="002B54EF"/>
    <w:rsid w:val="002B77BC"/>
    <w:rsid w:val="002B7A60"/>
    <w:rsid w:val="002B7C87"/>
    <w:rsid w:val="002C015C"/>
    <w:rsid w:val="002C0499"/>
    <w:rsid w:val="002C1799"/>
    <w:rsid w:val="002C1FD6"/>
    <w:rsid w:val="002C2485"/>
    <w:rsid w:val="002C5598"/>
    <w:rsid w:val="002D1187"/>
    <w:rsid w:val="002D411B"/>
    <w:rsid w:val="002D592D"/>
    <w:rsid w:val="002D67A7"/>
    <w:rsid w:val="002E06F2"/>
    <w:rsid w:val="002E226D"/>
    <w:rsid w:val="002E453E"/>
    <w:rsid w:val="002E5D82"/>
    <w:rsid w:val="002E5F39"/>
    <w:rsid w:val="002E6075"/>
    <w:rsid w:val="002E7897"/>
    <w:rsid w:val="002E7F28"/>
    <w:rsid w:val="002F2F65"/>
    <w:rsid w:val="002F3241"/>
    <w:rsid w:val="002F438C"/>
    <w:rsid w:val="002F50FD"/>
    <w:rsid w:val="002F5A71"/>
    <w:rsid w:val="002F632C"/>
    <w:rsid w:val="00302E87"/>
    <w:rsid w:val="00304B46"/>
    <w:rsid w:val="003054ED"/>
    <w:rsid w:val="00306FBF"/>
    <w:rsid w:val="00307FF7"/>
    <w:rsid w:val="00315333"/>
    <w:rsid w:val="00315C68"/>
    <w:rsid w:val="0032008B"/>
    <w:rsid w:val="00320AFE"/>
    <w:rsid w:val="00321A43"/>
    <w:rsid w:val="0032308F"/>
    <w:rsid w:val="00325A6C"/>
    <w:rsid w:val="003265BF"/>
    <w:rsid w:val="00330F29"/>
    <w:rsid w:val="00331895"/>
    <w:rsid w:val="00336512"/>
    <w:rsid w:val="00336760"/>
    <w:rsid w:val="00336EBD"/>
    <w:rsid w:val="00342826"/>
    <w:rsid w:val="003467F0"/>
    <w:rsid w:val="00350300"/>
    <w:rsid w:val="003505E9"/>
    <w:rsid w:val="00351556"/>
    <w:rsid w:val="00351657"/>
    <w:rsid w:val="00351D4B"/>
    <w:rsid w:val="003533CA"/>
    <w:rsid w:val="00354394"/>
    <w:rsid w:val="0035493A"/>
    <w:rsid w:val="00354DA6"/>
    <w:rsid w:val="00356D3A"/>
    <w:rsid w:val="00360759"/>
    <w:rsid w:val="00360AD1"/>
    <w:rsid w:val="00362AA8"/>
    <w:rsid w:val="00364BA5"/>
    <w:rsid w:val="0036535E"/>
    <w:rsid w:val="00371C5A"/>
    <w:rsid w:val="00372137"/>
    <w:rsid w:val="00374463"/>
    <w:rsid w:val="00374990"/>
    <w:rsid w:val="00380998"/>
    <w:rsid w:val="003828AD"/>
    <w:rsid w:val="00384772"/>
    <w:rsid w:val="00385F00"/>
    <w:rsid w:val="00385F9E"/>
    <w:rsid w:val="00386846"/>
    <w:rsid w:val="0039063B"/>
    <w:rsid w:val="00390696"/>
    <w:rsid w:val="003911E4"/>
    <w:rsid w:val="00393037"/>
    <w:rsid w:val="0039442F"/>
    <w:rsid w:val="00394470"/>
    <w:rsid w:val="003A223A"/>
    <w:rsid w:val="003A4520"/>
    <w:rsid w:val="003A4982"/>
    <w:rsid w:val="003B1937"/>
    <w:rsid w:val="003B2024"/>
    <w:rsid w:val="003B23CF"/>
    <w:rsid w:val="003B56E7"/>
    <w:rsid w:val="003B6265"/>
    <w:rsid w:val="003B74E4"/>
    <w:rsid w:val="003B76E9"/>
    <w:rsid w:val="003B7C68"/>
    <w:rsid w:val="003C2311"/>
    <w:rsid w:val="003C2DEE"/>
    <w:rsid w:val="003C42D2"/>
    <w:rsid w:val="003C4664"/>
    <w:rsid w:val="003C4A9E"/>
    <w:rsid w:val="003C6E58"/>
    <w:rsid w:val="003D0AC3"/>
    <w:rsid w:val="003D1163"/>
    <w:rsid w:val="003D27E1"/>
    <w:rsid w:val="003D3DC0"/>
    <w:rsid w:val="003D4281"/>
    <w:rsid w:val="003D5C05"/>
    <w:rsid w:val="003D6F49"/>
    <w:rsid w:val="003D75FC"/>
    <w:rsid w:val="003D7B74"/>
    <w:rsid w:val="003E2B20"/>
    <w:rsid w:val="003E3D6A"/>
    <w:rsid w:val="003E4EFE"/>
    <w:rsid w:val="003E7053"/>
    <w:rsid w:val="003F0B5C"/>
    <w:rsid w:val="003F0F16"/>
    <w:rsid w:val="003F6CA9"/>
    <w:rsid w:val="00400142"/>
    <w:rsid w:val="004008C7"/>
    <w:rsid w:val="004008D8"/>
    <w:rsid w:val="00402138"/>
    <w:rsid w:val="00403823"/>
    <w:rsid w:val="00404392"/>
    <w:rsid w:val="00404731"/>
    <w:rsid w:val="00404820"/>
    <w:rsid w:val="004053D4"/>
    <w:rsid w:val="00406222"/>
    <w:rsid w:val="00407EF2"/>
    <w:rsid w:val="00410341"/>
    <w:rsid w:val="0041140C"/>
    <w:rsid w:val="004115B6"/>
    <w:rsid w:val="00411625"/>
    <w:rsid w:val="004116EA"/>
    <w:rsid w:val="00411877"/>
    <w:rsid w:val="0041272C"/>
    <w:rsid w:val="004130C2"/>
    <w:rsid w:val="00413868"/>
    <w:rsid w:val="00414BFC"/>
    <w:rsid w:val="00415126"/>
    <w:rsid w:val="00420431"/>
    <w:rsid w:val="0042052C"/>
    <w:rsid w:val="00420F75"/>
    <w:rsid w:val="00421306"/>
    <w:rsid w:val="00421D8C"/>
    <w:rsid w:val="00422BB7"/>
    <w:rsid w:val="00423CC7"/>
    <w:rsid w:val="00423CCC"/>
    <w:rsid w:val="00424D3E"/>
    <w:rsid w:val="0042557B"/>
    <w:rsid w:val="004263BE"/>
    <w:rsid w:val="00430160"/>
    <w:rsid w:val="00432273"/>
    <w:rsid w:val="004353C2"/>
    <w:rsid w:val="00440231"/>
    <w:rsid w:val="00440310"/>
    <w:rsid w:val="00441E31"/>
    <w:rsid w:val="00443123"/>
    <w:rsid w:val="004436EB"/>
    <w:rsid w:val="00445CDC"/>
    <w:rsid w:val="00446D2E"/>
    <w:rsid w:val="00447560"/>
    <w:rsid w:val="00450FF8"/>
    <w:rsid w:val="00451EE3"/>
    <w:rsid w:val="00454D08"/>
    <w:rsid w:val="00455514"/>
    <w:rsid w:val="00462423"/>
    <w:rsid w:val="00463025"/>
    <w:rsid w:val="004640D1"/>
    <w:rsid w:val="00466E7F"/>
    <w:rsid w:val="00473A75"/>
    <w:rsid w:val="00475C39"/>
    <w:rsid w:val="00483BAA"/>
    <w:rsid w:val="00483F2E"/>
    <w:rsid w:val="00484068"/>
    <w:rsid w:val="004847D2"/>
    <w:rsid w:val="00484C78"/>
    <w:rsid w:val="004854A3"/>
    <w:rsid w:val="00485B5E"/>
    <w:rsid w:val="00487F0F"/>
    <w:rsid w:val="00491112"/>
    <w:rsid w:val="00491E01"/>
    <w:rsid w:val="004952A7"/>
    <w:rsid w:val="0049636E"/>
    <w:rsid w:val="004977DE"/>
    <w:rsid w:val="00497CD2"/>
    <w:rsid w:val="004A2F6F"/>
    <w:rsid w:val="004A325F"/>
    <w:rsid w:val="004B0BF5"/>
    <w:rsid w:val="004B26EB"/>
    <w:rsid w:val="004B3EF6"/>
    <w:rsid w:val="004B4B20"/>
    <w:rsid w:val="004B509F"/>
    <w:rsid w:val="004B5FA9"/>
    <w:rsid w:val="004B6187"/>
    <w:rsid w:val="004B64C9"/>
    <w:rsid w:val="004B6C90"/>
    <w:rsid w:val="004C21BB"/>
    <w:rsid w:val="004C377A"/>
    <w:rsid w:val="004C3CC3"/>
    <w:rsid w:val="004C7AD5"/>
    <w:rsid w:val="004C7EE3"/>
    <w:rsid w:val="004D3774"/>
    <w:rsid w:val="004D42D0"/>
    <w:rsid w:val="004D52BC"/>
    <w:rsid w:val="004D6BAD"/>
    <w:rsid w:val="004E1322"/>
    <w:rsid w:val="004E1EBB"/>
    <w:rsid w:val="004E5885"/>
    <w:rsid w:val="004E5EA3"/>
    <w:rsid w:val="004E5EDA"/>
    <w:rsid w:val="004F112A"/>
    <w:rsid w:val="004F38D2"/>
    <w:rsid w:val="004F3B07"/>
    <w:rsid w:val="004F500B"/>
    <w:rsid w:val="004F79DA"/>
    <w:rsid w:val="00500BCF"/>
    <w:rsid w:val="00501270"/>
    <w:rsid w:val="00502292"/>
    <w:rsid w:val="005022E4"/>
    <w:rsid w:val="0050368F"/>
    <w:rsid w:val="00503808"/>
    <w:rsid w:val="00504707"/>
    <w:rsid w:val="00504A7C"/>
    <w:rsid w:val="00510952"/>
    <w:rsid w:val="00510A99"/>
    <w:rsid w:val="00512B6D"/>
    <w:rsid w:val="005146B1"/>
    <w:rsid w:val="0052056E"/>
    <w:rsid w:val="005223FD"/>
    <w:rsid w:val="005227BF"/>
    <w:rsid w:val="00525303"/>
    <w:rsid w:val="0053137B"/>
    <w:rsid w:val="0053194E"/>
    <w:rsid w:val="0053236A"/>
    <w:rsid w:val="00532671"/>
    <w:rsid w:val="00532ADF"/>
    <w:rsid w:val="00532BFB"/>
    <w:rsid w:val="00532EDD"/>
    <w:rsid w:val="00532F0A"/>
    <w:rsid w:val="00533381"/>
    <w:rsid w:val="00533467"/>
    <w:rsid w:val="00533DD1"/>
    <w:rsid w:val="0053492E"/>
    <w:rsid w:val="00535863"/>
    <w:rsid w:val="005359BF"/>
    <w:rsid w:val="005365E0"/>
    <w:rsid w:val="00540454"/>
    <w:rsid w:val="00542877"/>
    <w:rsid w:val="00543163"/>
    <w:rsid w:val="005434F6"/>
    <w:rsid w:val="0054422F"/>
    <w:rsid w:val="005448EE"/>
    <w:rsid w:val="00545151"/>
    <w:rsid w:val="00545CB8"/>
    <w:rsid w:val="00550256"/>
    <w:rsid w:val="005507D4"/>
    <w:rsid w:val="005520B3"/>
    <w:rsid w:val="00552251"/>
    <w:rsid w:val="00552289"/>
    <w:rsid w:val="005551EA"/>
    <w:rsid w:val="005571CA"/>
    <w:rsid w:val="0056179B"/>
    <w:rsid w:val="00564094"/>
    <w:rsid w:val="0056479F"/>
    <w:rsid w:val="005648B3"/>
    <w:rsid w:val="00564DAA"/>
    <w:rsid w:val="00565F92"/>
    <w:rsid w:val="00566D20"/>
    <w:rsid w:val="00566EAE"/>
    <w:rsid w:val="0057019E"/>
    <w:rsid w:val="0057128B"/>
    <w:rsid w:val="0057591D"/>
    <w:rsid w:val="0057695E"/>
    <w:rsid w:val="00576ED0"/>
    <w:rsid w:val="00576F0D"/>
    <w:rsid w:val="005773CF"/>
    <w:rsid w:val="0057783F"/>
    <w:rsid w:val="00580BDF"/>
    <w:rsid w:val="0058247C"/>
    <w:rsid w:val="00583369"/>
    <w:rsid w:val="00587C8F"/>
    <w:rsid w:val="00593217"/>
    <w:rsid w:val="00593696"/>
    <w:rsid w:val="0059482D"/>
    <w:rsid w:val="00594B27"/>
    <w:rsid w:val="00596872"/>
    <w:rsid w:val="005A2A86"/>
    <w:rsid w:val="005A38CD"/>
    <w:rsid w:val="005A76C2"/>
    <w:rsid w:val="005B0230"/>
    <w:rsid w:val="005B1179"/>
    <w:rsid w:val="005B34B7"/>
    <w:rsid w:val="005B3729"/>
    <w:rsid w:val="005B4CA8"/>
    <w:rsid w:val="005B4F21"/>
    <w:rsid w:val="005B64D9"/>
    <w:rsid w:val="005B68E9"/>
    <w:rsid w:val="005C1810"/>
    <w:rsid w:val="005C31A0"/>
    <w:rsid w:val="005C4492"/>
    <w:rsid w:val="005C473F"/>
    <w:rsid w:val="005C4952"/>
    <w:rsid w:val="005C63F7"/>
    <w:rsid w:val="005C64F5"/>
    <w:rsid w:val="005C7729"/>
    <w:rsid w:val="005D00E8"/>
    <w:rsid w:val="005D2355"/>
    <w:rsid w:val="005D2445"/>
    <w:rsid w:val="005D31FD"/>
    <w:rsid w:val="005D4399"/>
    <w:rsid w:val="005D6CD2"/>
    <w:rsid w:val="005E117A"/>
    <w:rsid w:val="005E11FC"/>
    <w:rsid w:val="005E20ED"/>
    <w:rsid w:val="005E23F5"/>
    <w:rsid w:val="005E28FB"/>
    <w:rsid w:val="005E5886"/>
    <w:rsid w:val="005E6294"/>
    <w:rsid w:val="005E661C"/>
    <w:rsid w:val="005E6D8B"/>
    <w:rsid w:val="005F01B0"/>
    <w:rsid w:val="005F1009"/>
    <w:rsid w:val="005F21D1"/>
    <w:rsid w:val="005F31DF"/>
    <w:rsid w:val="005F4FBC"/>
    <w:rsid w:val="005F528E"/>
    <w:rsid w:val="005F5ACC"/>
    <w:rsid w:val="005F69CC"/>
    <w:rsid w:val="00600132"/>
    <w:rsid w:val="006007D6"/>
    <w:rsid w:val="00600AC6"/>
    <w:rsid w:val="006014C4"/>
    <w:rsid w:val="00601B01"/>
    <w:rsid w:val="00601F5C"/>
    <w:rsid w:val="00603655"/>
    <w:rsid w:val="00605F3F"/>
    <w:rsid w:val="00605FB9"/>
    <w:rsid w:val="00610223"/>
    <w:rsid w:val="006109E9"/>
    <w:rsid w:val="00610CFE"/>
    <w:rsid w:val="006110D1"/>
    <w:rsid w:val="006123DD"/>
    <w:rsid w:val="00613AD2"/>
    <w:rsid w:val="006153CB"/>
    <w:rsid w:val="00623887"/>
    <w:rsid w:val="006244DA"/>
    <w:rsid w:val="00625BAD"/>
    <w:rsid w:val="00625E9E"/>
    <w:rsid w:val="006278F6"/>
    <w:rsid w:val="00627F56"/>
    <w:rsid w:val="0063291A"/>
    <w:rsid w:val="00632AA0"/>
    <w:rsid w:val="00632D04"/>
    <w:rsid w:val="006331D5"/>
    <w:rsid w:val="00634824"/>
    <w:rsid w:val="0063609C"/>
    <w:rsid w:val="0063713C"/>
    <w:rsid w:val="00640DAD"/>
    <w:rsid w:val="006458F3"/>
    <w:rsid w:val="00646B21"/>
    <w:rsid w:val="00647FBE"/>
    <w:rsid w:val="00650566"/>
    <w:rsid w:val="006509D3"/>
    <w:rsid w:val="00651339"/>
    <w:rsid w:val="0065569F"/>
    <w:rsid w:val="00657446"/>
    <w:rsid w:val="00662A4B"/>
    <w:rsid w:val="00662CFC"/>
    <w:rsid w:val="00664D33"/>
    <w:rsid w:val="00666A1A"/>
    <w:rsid w:val="00667036"/>
    <w:rsid w:val="006672AB"/>
    <w:rsid w:val="0066769B"/>
    <w:rsid w:val="006677C7"/>
    <w:rsid w:val="006751F9"/>
    <w:rsid w:val="00682B89"/>
    <w:rsid w:val="00683D7C"/>
    <w:rsid w:val="00685443"/>
    <w:rsid w:val="00685459"/>
    <w:rsid w:val="006858FF"/>
    <w:rsid w:val="006859F7"/>
    <w:rsid w:val="00686470"/>
    <w:rsid w:val="0069019B"/>
    <w:rsid w:val="00692625"/>
    <w:rsid w:val="006932F3"/>
    <w:rsid w:val="00693363"/>
    <w:rsid w:val="006939CC"/>
    <w:rsid w:val="0069483A"/>
    <w:rsid w:val="00694C83"/>
    <w:rsid w:val="006A0105"/>
    <w:rsid w:val="006A1612"/>
    <w:rsid w:val="006A208A"/>
    <w:rsid w:val="006A522F"/>
    <w:rsid w:val="006A52C4"/>
    <w:rsid w:val="006A63AE"/>
    <w:rsid w:val="006A63B2"/>
    <w:rsid w:val="006A7735"/>
    <w:rsid w:val="006A797E"/>
    <w:rsid w:val="006B36C8"/>
    <w:rsid w:val="006B4B45"/>
    <w:rsid w:val="006B558F"/>
    <w:rsid w:val="006B7D6C"/>
    <w:rsid w:val="006C38AD"/>
    <w:rsid w:val="006C428F"/>
    <w:rsid w:val="006D4D41"/>
    <w:rsid w:val="006D6BBD"/>
    <w:rsid w:val="006D7818"/>
    <w:rsid w:val="006E026F"/>
    <w:rsid w:val="006E05E7"/>
    <w:rsid w:val="006E0E88"/>
    <w:rsid w:val="006E26D5"/>
    <w:rsid w:val="006E7F59"/>
    <w:rsid w:val="006F050F"/>
    <w:rsid w:val="006F0BC5"/>
    <w:rsid w:val="006F0C79"/>
    <w:rsid w:val="006F0EA4"/>
    <w:rsid w:val="006F2893"/>
    <w:rsid w:val="0070064F"/>
    <w:rsid w:val="00704823"/>
    <w:rsid w:val="00704E66"/>
    <w:rsid w:val="00705AA4"/>
    <w:rsid w:val="007062D8"/>
    <w:rsid w:val="00710395"/>
    <w:rsid w:val="00714204"/>
    <w:rsid w:val="007162A5"/>
    <w:rsid w:val="0071719F"/>
    <w:rsid w:val="0071762D"/>
    <w:rsid w:val="00717BAD"/>
    <w:rsid w:val="0072199D"/>
    <w:rsid w:val="00725BC0"/>
    <w:rsid w:val="00726797"/>
    <w:rsid w:val="007270C9"/>
    <w:rsid w:val="00731DC4"/>
    <w:rsid w:val="00737149"/>
    <w:rsid w:val="00740005"/>
    <w:rsid w:val="00740DF8"/>
    <w:rsid w:val="00741304"/>
    <w:rsid w:val="007468FB"/>
    <w:rsid w:val="00746BF5"/>
    <w:rsid w:val="007470CF"/>
    <w:rsid w:val="00750515"/>
    <w:rsid w:val="00751BF0"/>
    <w:rsid w:val="00753F95"/>
    <w:rsid w:val="0075427A"/>
    <w:rsid w:val="00754EBD"/>
    <w:rsid w:val="007551E1"/>
    <w:rsid w:val="00757C3B"/>
    <w:rsid w:val="00757CBF"/>
    <w:rsid w:val="0076023A"/>
    <w:rsid w:val="0076304F"/>
    <w:rsid w:val="00763C32"/>
    <w:rsid w:val="00773733"/>
    <w:rsid w:val="00774FE0"/>
    <w:rsid w:val="0077582D"/>
    <w:rsid w:val="00776E81"/>
    <w:rsid w:val="007802E1"/>
    <w:rsid w:val="00780FAD"/>
    <w:rsid w:val="00782256"/>
    <w:rsid w:val="0078459F"/>
    <w:rsid w:val="00791216"/>
    <w:rsid w:val="00791617"/>
    <w:rsid w:val="00792CEB"/>
    <w:rsid w:val="00793AD6"/>
    <w:rsid w:val="00793EA7"/>
    <w:rsid w:val="007940E8"/>
    <w:rsid w:val="00795047"/>
    <w:rsid w:val="007A673A"/>
    <w:rsid w:val="007A69C1"/>
    <w:rsid w:val="007B03E4"/>
    <w:rsid w:val="007B3B54"/>
    <w:rsid w:val="007B3BE2"/>
    <w:rsid w:val="007B665E"/>
    <w:rsid w:val="007B711A"/>
    <w:rsid w:val="007C2538"/>
    <w:rsid w:val="007C385B"/>
    <w:rsid w:val="007C3F49"/>
    <w:rsid w:val="007C5879"/>
    <w:rsid w:val="007C5AD5"/>
    <w:rsid w:val="007C746E"/>
    <w:rsid w:val="007C7FD7"/>
    <w:rsid w:val="007D4DD3"/>
    <w:rsid w:val="007D608A"/>
    <w:rsid w:val="007D7F92"/>
    <w:rsid w:val="007E0773"/>
    <w:rsid w:val="007E0ABA"/>
    <w:rsid w:val="007E1D9A"/>
    <w:rsid w:val="007E3FCC"/>
    <w:rsid w:val="007E6163"/>
    <w:rsid w:val="007E7978"/>
    <w:rsid w:val="007E7BC6"/>
    <w:rsid w:val="007E7F34"/>
    <w:rsid w:val="007F0554"/>
    <w:rsid w:val="007F15BB"/>
    <w:rsid w:val="007F2D2A"/>
    <w:rsid w:val="007F3589"/>
    <w:rsid w:val="007F4404"/>
    <w:rsid w:val="007F44BE"/>
    <w:rsid w:val="007F4C48"/>
    <w:rsid w:val="007F4E1E"/>
    <w:rsid w:val="007F53C1"/>
    <w:rsid w:val="007F772F"/>
    <w:rsid w:val="00800C52"/>
    <w:rsid w:val="008015F8"/>
    <w:rsid w:val="0080211A"/>
    <w:rsid w:val="00804638"/>
    <w:rsid w:val="00804B17"/>
    <w:rsid w:val="008056CD"/>
    <w:rsid w:val="008062BF"/>
    <w:rsid w:val="00806502"/>
    <w:rsid w:val="008109A7"/>
    <w:rsid w:val="00811687"/>
    <w:rsid w:val="0081411F"/>
    <w:rsid w:val="00814C62"/>
    <w:rsid w:val="00821537"/>
    <w:rsid w:val="0082345F"/>
    <w:rsid w:val="008236BE"/>
    <w:rsid w:val="00823880"/>
    <w:rsid w:val="008241D3"/>
    <w:rsid w:val="00824D91"/>
    <w:rsid w:val="00825386"/>
    <w:rsid w:val="00825673"/>
    <w:rsid w:val="008257C1"/>
    <w:rsid w:val="00825C08"/>
    <w:rsid w:val="0083058C"/>
    <w:rsid w:val="00830A8A"/>
    <w:rsid w:val="00831AA7"/>
    <w:rsid w:val="00832C0D"/>
    <w:rsid w:val="00833D88"/>
    <w:rsid w:val="008361ED"/>
    <w:rsid w:val="00836304"/>
    <w:rsid w:val="00841BE9"/>
    <w:rsid w:val="00846848"/>
    <w:rsid w:val="00846C4C"/>
    <w:rsid w:val="008479ED"/>
    <w:rsid w:val="00847D7A"/>
    <w:rsid w:val="00850D33"/>
    <w:rsid w:val="008519CD"/>
    <w:rsid w:val="00852672"/>
    <w:rsid w:val="00852A83"/>
    <w:rsid w:val="00853473"/>
    <w:rsid w:val="00854D3E"/>
    <w:rsid w:val="008561E9"/>
    <w:rsid w:val="00861D20"/>
    <w:rsid w:val="00863B20"/>
    <w:rsid w:val="008648BB"/>
    <w:rsid w:val="008653DE"/>
    <w:rsid w:val="008679F8"/>
    <w:rsid w:val="00870397"/>
    <w:rsid w:val="00871395"/>
    <w:rsid w:val="0087242A"/>
    <w:rsid w:val="00872E19"/>
    <w:rsid w:val="00874AAE"/>
    <w:rsid w:val="00875BF1"/>
    <w:rsid w:val="00877FD8"/>
    <w:rsid w:val="008808E3"/>
    <w:rsid w:val="00881A97"/>
    <w:rsid w:val="00882C09"/>
    <w:rsid w:val="00883178"/>
    <w:rsid w:val="00883881"/>
    <w:rsid w:val="008850A1"/>
    <w:rsid w:val="00885151"/>
    <w:rsid w:val="00887CBC"/>
    <w:rsid w:val="00890346"/>
    <w:rsid w:val="008929C1"/>
    <w:rsid w:val="00893728"/>
    <w:rsid w:val="008979D4"/>
    <w:rsid w:val="008A1D8B"/>
    <w:rsid w:val="008A3948"/>
    <w:rsid w:val="008A4423"/>
    <w:rsid w:val="008A5088"/>
    <w:rsid w:val="008A5FC4"/>
    <w:rsid w:val="008A74F8"/>
    <w:rsid w:val="008B04A0"/>
    <w:rsid w:val="008B0EEF"/>
    <w:rsid w:val="008B123F"/>
    <w:rsid w:val="008B2A89"/>
    <w:rsid w:val="008B3178"/>
    <w:rsid w:val="008B4082"/>
    <w:rsid w:val="008B7312"/>
    <w:rsid w:val="008C09D2"/>
    <w:rsid w:val="008C10AA"/>
    <w:rsid w:val="008C14D4"/>
    <w:rsid w:val="008C1818"/>
    <w:rsid w:val="008C21E6"/>
    <w:rsid w:val="008C3592"/>
    <w:rsid w:val="008C38B7"/>
    <w:rsid w:val="008C6E07"/>
    <w:rsid w:val="008D0899"/>
    <w:rsid w:val="008D0B92"/>
    <w:rsid w:val="008D3C61"/>
    <w:rsid w:val="008D3E3D"/>
    <w:rsid w:val="008D42D4"/>
    <w:rsid w:val="008D451E"/>
    <w:rsid w:val="008D49C3"/>
    <w:rsid w:val="008D6B14"/>
    <w:rsid w:val="008D7A86"/>
    <w:rsid w:val="008E09F4"/>
    <w:rsid w:val="008E0C8C"/>
    <w:rsid w:val="008E0E01"/>
    <w:rsid w:val="008E1721"/>
    <w:rsid w:val="008E2AB0"/>
    <w:rsid w:val="008E3865"/>
    <w:rsid w:val="008E417C"/>
    <w:rsid w:val="008E4B38"/>
    <w:rsid w:val="008E5878"/>
    <w:rsid w:val="008F09AB"/>
    <w:rsid w:val="008F11A3"/>
    <w:rsid w:val="008F1766"/>
    <w:rsid w:val="008F7601"/>
    <w:rsid w:val="008F79E1"/>
    <w:rsid w:val="0090378D"/>
    <w:rsid w:val="00904039"/>
    <w:rsid w:val="00907971"/>
    <w:rsid w:val="00907A05"/>
    <w:rsid w:val="009100A8"/>
    <w:rsid w:val="00910BE8"/>
    <w:rsid w:val="00912187"/>
    <w:rsid w:val="009132E3"/>
    <w:rsid w:val="00913890"/>
    <w:rsid w:val="009148AC"/>
    <w:rsid w:val="00914C1D"/>
    <w:rsid w:val="00915F3F"/>
    <w:rsid w:val="00916228"/>
    <w:rsid w:val="0091747C"/>
    <w:rsid w:val="00922A9B"/>
    <w:rsid w:val="00922C50"/>
    <w:rsid w:val="009231B2"/>
    <w:rsid w:val="00923ADD"/>
    <w:rsid w:val="009246B6"/>
    <w:rsid w:val="00925758"/>
    <w:rsid w:val="009279F2"/>
    <w:rsid w:val="00931B2F"/>
    <w:rsid w:val="00932BAB"/>
    <w:rsid w:val="0093306C"/>
    <w:rsid w:val="009339FC"/>
    <w:rsid w:val="009350CE"/>
    <w:rsid w:val="00940B60"/>
    <w:rsid w:val="00940D05"/>
    <w:rsid w:val="009433C1"/>
    <w:rsid w:val="00943829"/>
    <w:rsid w:val="0094402B"/>
    <w:rsid w:val="00946DC5"/>
    <w:rsid w:val="00946E17"/>
    <w:rsid w:val="00947011"/>
    <w:rsid w:val="00947278"/>
    <w:rsid w:val="00947EF3"/>
    <w:rsid w:val="009539FA"/>
    <w:rsid w:val="00955782"/>
    <w:rsid w:val="00960FE0"/>
    <w:rsid w:val="0096247E"/>
    <w:rsid w:val="00963D1D"/>
    <w:rsid w:val="00964284"/>
    <w:rsid w:val="00965069"/>
    <w:rsid w:val="00965175"/>
    <w:rsid w:val="00965FDF"/>
    <w:rsid w:val="009802CB"/>
    <w:rsid w:val="0098465E"/>
    <w:rsid w:val="00985AD3"/>
    <w:rsid w:val="00985D31"/>
    <w:rsid w:val="00986804"/>
    <w:rsid w:val="0099070F"/>
    <w:rsid w:val="009934D7"/>
    <w:rsid w:val="00993BAE"/>
    <w:rsid w:val="00993E39"/>
    <w:rsid w:val="0099546D"/>
    <w:rsid w:val="00996370"/>
    <w:rsid w:val="00997EED"/>
    <w:rsid w:val="009A22F4"/>
    <w:rsid w:val="009A375C"/>
    <w:rsid w:val="009A3853"/>
    <w:rsid w:val="009A4E0F"/>
    <w:rsid w:val="009B0520"/>
    <w:rsid w:val="009B2803"/>
    <w:rsid w:val="009B4220"/>
    <w:rsid w:val="009B5742"/>
    <w:rsid w:val="009B73F5"/>
    <w:rsid w:val="009C3182"/>
    <w:rsid w:val="009C34F3"/>
    <w:rsid w:val="009C5367"/>
    <w:rsid w:val="009C5B87"/>
    <w:rsid w:val="009C6717"/>
    <w:rsid w:val="009D2F28"/>
    <w:rsid w:val="009D3731"/>
    <w:rsid w:val="009D38A1"/>
    <w:rsid w:val="009E3C08"/>
    <w:rsid w:val="009E6C6B"/>
    <w:rsid w:val="009E77F2"/>
    <w:rsid w:val="009F139B"/>
    <w:rsid w:val="009F23BD"/>
    <w:rsid w:val="009F593D"/>
    <w:rsid w:val="00A00503"/>
    <w:rsid w:val="00A0156A"/>
    <w:rsid w:val="00A01C6F"/>
    <w:rsid w:val="00A023EA"/>
    <w:rsid w:val="00A047CA"/>
    <w:rsid w:val="00A0749F"/>
    <w:rsid w:val="00A109D4"/>
    <w:rsid w:val="00A12D70"/>
    <w:rsid w:val="00A1430A"/>
    <w:rsid w:val="00A16057"/>
    <w:rsid w:val="00A21381"/>
    <w:rsid w:val="00A21842"/>
    <w:rsid w:val="00A21925"/>
    <w:rsid w:val="00A2215A"/>
    <w:rsid w:val="00A23059"/>
    <w:rsid w:val="00A2623B"/>
    <w:rsid w:val="00A26B28"/>
    <w:rsid w:val="00A300E2"/>
    <w:rsid w:val="00A323BD"/>
    <w:rsid w:val="00A34465"/>
    <w:rsid w:val="00A35D7E"/>
    <w:rsid w:val="00A37A93"/>
    <w:rsid w:val="00A40847"/>
    <w:rsid w:val="00A40FCF"/>
    <w:rsid w:val="00A42701"/>
    <w:rsid w:val="00A444A6"/>
    <w:rsid w:val="00A44995"/>
    <w:rsid w:val="00A45C33"/>
    <w:rsid w:val="00A466B6"/>
    <w:rsid w:val="00A5128C"/>
    <w:rsid w:val="00A5234E"/>
    <w:rsid w:val="00A57D2F"/>
    <w:rsid w:val="00A57DBC"/>
    <w:rsid w:val="00A60114"/>
    <w:rsid w:val="00A61441"/>
    <w:rsid w:val="00A674D0"/>
    <w:rsid w:val="00A71BAA"/>
    <w:rsid w:val="00A74122"/>
    <w:rsid w:val="00A76443"/>
    <w:rsid w:val="00A8447E"/>
    <w:rsid w:val="00A87317"/>
    <w:rsid w:val="00A903D9"/>
    <w:rsid w:val="00A91411"/>
    <w:rsid w:val="00A91DE2"/>
    <w:rsid w:val="00A931E9"/>
    <w:rsid w:val="00A93511"/>
    <w:rsid w:val="00A94647"/>
    <w:rsid w:val="00A96066"/>
    <w:rsid w:val="00A97A9E"/>
    <w:rsid w:val="00A97D79"/>
    <w:rsid w:val="00AA098E"/>
    <w:rsid w:val="00AA0C5A"/>
    <w:rsid w:val="00AA2D57"/>
    <w:rsid w:val="00AA3E70"/>
    <w:rsid w:val="00AA4EF1"/>
    <w:rsid w:val="00AA6BA4"/>
    <w:rsid w:val="00AA7670"/>
    <w:rsid w:val="00AA7C25"/>
    <w:rsid w:val="00AB0362"/>
    <w:rsid w:val="00AB3269"/>
    <w:rsid w:val="00AB3C78"/>
    <w:rsid w:val="00AB6D11"/>
    <w:rsid w:val="00AC0045"/>
    <w:rsid w:val="00AC0E5E"/>
    <w:rsid w:val="00AC254B"/>
    <w:rsid w:val="00AC4111"/>
    <w:rsid w:val="00AC4136"/>
    <w:rsid w:val="00AC4A34"/>
    <w:rsid w:val="00AC5B44"/>
    <w:rsid w:val="00AD0661"/>
    <w:rsid w:val="00AD0FD4"/>
    <w:rsid w:val="00AD281B"/>
    <w:rsid w:val="00AD29E4"/>
    <w:rsid w:val="00AD51CE"/>
    <w:rsid w:val="00AD6FA9"/>
    <w:rsid w:val="00AD7650"/>
    <w:rsid w:val="00AD772D"/>
    <w:rsid w:val="00AE132C"/>
    <w:rsid w:val="00AE1BC2"/>
    <w:rsid w:val="00AE2DD6"/>
    <w:rsid w:val="00AE3B7B"/>
    <w:rsid w:val="00AE4A80"/>
    <w:rsid w:val="00AE71A5"/>
    <w:rsid w:val="00AE7959"/>
    <w:rsid w:val="00AF1D10"/>
    <w:rsid w:val="00AF2921"/>
    <w:rsid w:val="00AF38D4"/>
    <w:rsid w:val="00AF3FFC"/>
    <w:rsid w:val="00AF440E"/>
    <w:rsid w:val="00B00132"/>
    <w:rsid w:val="00B00D8A"/>
    <w:rsid w:val="00B01A6B"/>
    <w:rsid w:val="00B02FF3"/>
    <w:rsid w:val="00B030B3"/>
    <w:rsid w:val="00B05F83"/>
    <w:rsid w:val="00B064C6"/>
    <w:rsid w:val="00B115A2"/>
    <w:rsid w:val="00B13AC3"/>
    <w:rsid w:val="00B13B6B"/>
    <w:rsid w:val="00B15CA5"/>
    <w:rsid w:val="00B15CCF"/>
    <w:rsid w:val="00B20589"/>
    <w:rsid w:val="00B210F4"/>
    <w:rsid w:val="00B21270"/>
    <w:rsid w:val="00B233FA"/>
    <w:rsid w:val="00B31461"/>
    <w:rsid w:val="00B31649"/>
    <w:rsid w:val="00B344FD"/>
    <w:rsid w:val="00B3586B"/>
    <w:rsid w:val="00B3706D"/>
    <w:rsid w:val="00B40005"/>
    <w:rsid w:val="00B4177C"/>
    <w:rsid w:val="00B42C45"/>
    <w:rsid w:val="00B43A28"/>
    <w:rsid w:val="00B43E2A"/>
    <w:rsid w:val="00B440EB"/>
    <w:rsid w:val="00B46272"/>
    <w:rsid w:val="00B53589"/>
    <w:rsid w:val="00B56443"/>
    <w:rsid w:val="00B568A2"/>
    <w:rsid w:val="00B57F53"/>
    <w:rsid w:val="00B612B6"/>
    <w:rsid w:val="00B636DC"/>
    <w:rsid w:val="00B639E5"/>
    <w:rsid w:val="00B67019"/>
    <w:rsid w:val="00B742DB"/>
    <w:rsid w:val="00B81003"/>
    <w:rsid w:val="00B818D7"/>
    <w:rsid w:val="00B82008"/>
    <w:rsid w:val="00B85678"/>
    <w:rsid w:val="00B867DD"/>
    <w:rsid w:val="00B90EA0"/>
    <w:rsid w:val="00B91BAA"/>
    <w:rsid w:val="00B91BC8"/>
    <w:rsid w:val="00B92538"/>
    <w:rsid w:val="00B92C39"/>
    <w:rsid w:val="00B9320E"/>
    <w:rsid w:val="00B93F58"/>
    <w:rsid w:val="00B952B5"/>
    <w:rsid w:val="00BA01D2"/>
    <w:rsid w:val="00BA0CE8"/>
    <w:rsid w:val="00BA19BE"/>
    <w:rsid w:val="00BA1DFD"/>
    <w:rsid w:val="00BA1F1D"/>
    <w:rsid w:val="00BA2A76"/>
    <w:rsid w:val="00BA374F"/>
    <w:rsid w:val="00BA4A46"/>
    <w:rsid w:val="00BA61BA"/>
    <w:rsid w:val="00BB48FA"/>
    <w:rsid w:val="00BB5312"/>
    <w:rsid w:val="00BC16FB"/>
    <w:rsid w:val="00BC1B68"/>
    <w:rsid w:val="00BC3700"/>
    <w:rsid w:val="00BC5ACA"/>
    <w:rsid w:val="00BC5ECE"/>
    <w:rsid w:val="00BC6314"/>
    <w:rsid w:val="00BC67A2"/>
    <w:rsid w:val="00BD0BA3"/>
    <w:rsid w:val="00BD19F5"/>
    <w:rsid w:val="00BD26FC"/>
    <w:rsid w:val="00BD2D98"/>
    <w:rsid w:val="00BD44B9"/>
    <w:rsid w:val="00BD49FC"/>
    <w:rsid w:val="00BD4A08"/>
    <w:rsid w:val="00BD75B3"/>
    <w:rsid w:val="00BD7ACB"/>
    <w:rsid w:val="00BE0BD4"/>
    <w:rsid w:val="00BE391B"/>
    <w:rsid w:val="00BE46AC"/>
    <w:rsid w:val="00BE633C"/>
    <w:rsid w:val="00BE639D"/>
    <w:rsid w:val="00BE69AC"/>
    <w:rsid w:val="00BF33B0"/>
    <w:rsid w:val="00BF59B2"/>
    <w:rsid w:val="00C00DC1"/>
    <w:rsid w:val="00C01514"/>
    <w:rsid w:val="00C061E3"/>
    <w:rsid w:val="00C06240"/>
    <w:rsid w:val="00C07770"/>
    <w:rsid w:val="00C119C2"/>
    <w:rsid w:val="00C126E5"/>
    <w:rsid w:val="00C141DF"/>
    <w:rsid w:val="00C14967"/>
    <w:rsid w:val="00C14B25"/>
    <w:rsid w:val="00C15FEE"/>
    <w:rsid w:val="00C1627A"/>
    <w:rsid w:val="00C17198"/>
    <w:rsid w:val="00C1777A"/>
    <w:rsid w:val="00C17E8E"/>
    <w:rsid w:val="00C20E15"/>
    <w:rsid w:val="00C222AC"/>
    <w:rsid w:val="00C24C12"/>
    <w:rsid w:val="00C252E8"/>
    <w:rsid w:val="00C26E47"/>
    <w:rsid w:val="00C3083F"/>
    <w:rsid w:val="00C31B7A"/>
    <w:rsid w:val="00C322A1"/>
    <w:rsid w:val="00C32E9F"/>
    <w:rsid w:val="00C33404"/>
    <w:rsid w:val="00C338CE"/>
    <w:rsid w:val="00C33BEE"/>
    <w:rsid w:val="00C34E14"/>
    <w:rsid w:val="00C364D6"/>
    <w:rsid w:val="00C40350"/>
    <w:rsid w:val="00C414E8"/>
    <w:rsid w:val="00C42AAC"/>
    <w:rsid w:val="00C42CE4"/>
    <w:rsid w:val="00C43619"/>
    <w:rsid w:val="00C43DAE"/>
    <w:rsid w:val="00C50665"/>
    <w:rsid w:val="00C51A84"/>
    <w:rsid w:val="00C531DC"/>
    <w:rsid w:val="00C532F8"/>
    <w:rsid w:val="00C533FE"/>
    <w:rsid w:val="00C5376C"/>
    <w:rsid w:val="00C54162"/>
    <w:rsid w:val="00C54C55"/>
    <w:rsid w:val="00C579C2"/>
    <w:rsid w:val="00C61020"/>
    <w:rsid w:val="00C62631"/>
    <w:rsid w:val="00C63972"/>
    <w:rsid w:val="00C65241"/>
    <w:rsid w:val="00C65378"/>
    <w:rsid w:val="00C66CB0"/>
    <w:rsid w:val="00C676E5"/>
    <w:rsid w:val="00C745E0"/>
    <w:rsid w:val="00C75A55"/>
    <w:rsid w:val="00C7661F"/>
    <w:rsid w:val="00C76787"/>
    <w:rsid w:val="00C772E3"/>
    <w:rsid w:val="00C83A4F"/>
    <w:rsid w:val="00C84379"/>
    <w:rsid w:val="00C84D05"/>
    <w:rsid w:val="00C8621A"/>
    <w:rsid w:val="00C87641"/>
    <w:rsid w:val="00C926AD"/>
    <w:rsid w:val="00C92826"/>
    <w:rsid w:val="00C93453"/>
    <w:rsid w:val="00CA04DC"/>
    <w:rsid w:val="00CA0ADF"/>
    <w:rsid w:val="00CA2F8D"/>
    <w:rsid w:val="00CA5938"/>
    <w:rsid w:val="00CA5C45"/>
    <w:rsid w:val="00CA5DEE"/>
    <w:rsid w:val="00CA623D"/>
    <w:rsid w:val="00CA6AA6"/>
    <w:rsid w:val="00CB0E55"/>
    <w:rsid w:val="00CB38F2"/>
    <w:rsid w:val="00CB3DB7"/>
    <w:rsid w:val="00CB3DBD"/>
    <w:rsid w:val="00CB4D57"/>
    <w:rsid w:val="00CB57FE"/>
    <w:rsid w:val="00CB7123"/>
    <w:rsid w:val="00CB73A3"/>
    <w:rsid w:val="00CB7F0D"/>
    <w:rsid w:val="00CC1DF7"/>
    <w:rsid w:val="00CC20F1"/>
    <w:rsid w:val="00CC28C6"/>
    <w:rsid w:val="00CC3585"/>
    <w:rsid w:val="00CC4808"/>
    <w:rsid w:val="00CC4BC8"/>
    <w:rsid w:val="00CC7D66"/>
    <w:rsid w:val="00CD0055"/>
    <w:rsid w:val="00CD0400"/>
    <w:rsid w:val="00CD211F"/>
    <w:rsid w:val="00CD305B"/>
    <w:rsid w:val="00CD37A9"/>
    <w:rsid w:val="00CD44A5"/>
    <w:rsid w:val="00CD71EC"/>
    <w:rsid w:val="00CE0D2C"/>
    <w:rsid w:val="00CE1B8A"/>
    <w:rsid w:val="00CE3510"/>
    <w:rsid w:val="00CE426B"/>
    <w:rsid w:val="00CE4936"/>
    <w:rsid w:val="00CE4CC0"/>
    <w:rsid w:val="00CE6205"/>
    <w:rsid w:val="00CE6BF8"/>
    <w:rsid w:val="00CE7A1E"/>
    <w:rsid w:val="00CF0714"/>
    <w:rsid w:val="00CF27C4"/>
    <w:rsid w:val="00CF3849"/>
    <w:rsid w:val="00CF717D"/>
    <w:rsid w:val="00D01C88"/>
    <w:rsid w:val="00D06F27"/>
    <w:rsid w:val="00D073F4"/>
    <w:rsid w:val="00D1102D"/>
    <w:rsid w:val="00D130FD"/>
    <w:rsid w:val="00D13DF0"/>
    <w:rsid w:val="00D143AC"/>
    <w:rsid w:val="00D14486"/>
    <w:rsid w:val="00D21039"/>
    <w:rsid w:val="00D244C9"/>
    <w:rsid w:val="00D24520"/>
    <w:rsid w:val="00D25BF8"/>
    <w:rsid w:val="00D262EA"/>
    <w:rsid w:val="00D31703"/>
    <w:rsid w:val="00D32D1E"/>
    <w:rsid w:val="00D40AAD"/>
    <w:rsid w:val="00D45329"/>
    <w:rsid w:val="00D47ACC"/>
    <w:rsid w:val="00D5064E"/>
    <w:rsid w:val="00D50BE2"/>
    <w:rsid w:val="00D51159"/>
    <w:rsid w:val="00D51FE7"/>
    <w:rsid w:val="00D54B01"/>
    <w:rsid w:val="00D5720C"/>
    <w:rsid w:val="00D57274"/>
    <w:rsid w:val="00D600F0"/>
    <w:rsid w:val="00D6034D"/>
    <w:rsid w:val="00D61332"/>
    <w:rsid w:val="00D61F8A"/>
    <w:rsid w:val="00D6239E"/>
    <w:rsid w:val="00D640D7"/>
    <w:rsid w:val="00D64A4B"/>
    <w:rsid w:val="00D66A48"/>
    <w:rsid w:val="00D70374"/>
    <w:rsid w:val="00D70DFD"/>
    <w:rsid w:val="00D71175"/>
    <w:rsid w:val="00D7260B"/>
    <w:rsid w:val="00D729B1"/>
    <w:rsid w:val="00D730B5"/>
    <w:rsid w:val="00D73129"/>
    <w:rsid w:val="00D735FF"/>
    <w:rsid w:val="00D73A3C"/>
    <w:rsid w:val="00D7483C"/>
    <w:rsid w:val="00D74FD2"/>
    <w:rsid w:val="00D76DB1"/>
    <w:rsid w:val="00D77CD3"/>
    <w:rsid w:val="00D813C5"/>
    <w:rsid w:val="00D83999"/>
    <w:rsid w:val="00D839BC"/>
    <w:rsid w:val="00D84ABE"/>
    <w:rsid w:val="00D84F60"/>
    <w:rsid w:val="00D87B35"/>
    <w:rsid w:val="00D9098B"/>
    <w:rsid w:val="00D91BC7"/>
    <w:rsid w:val="00D91FC5"/>
    <w:rsid w:val="00D92690"/>
    <w:rsid w:val="00D9288B"/>
    <w:rsid w:val="00D93EA3"/>
    <w:rsid w:val="00D97AD0"/>
    <w:rsid w:val="00DA2373"/>
    <w:rsid w:val="00DA6F20"/>
    <w:rsid w:val="00DB14FE"/>
    <w:rsid w:val="00DB17ED"/>
    <w:rsid w:val="00DB4087"/>
    <w:rsid w:val="00DB4755"/>
    <w:rsid w:val="00DC07A6"/>
    <w:rsid w:val="00DC22B8"/>
    <w:rsid w:val="00DC3E21"/>
    <w:rsid w:val="00DC428F"/>
    <w:rsid w:val="00DC4480"/>
    <w:rsid w:val="00DC48FC"/>
    <w:rsid w:val="00DD04B4"/>
    <w:rsid w:val="00DD13E2"/>
    <w:rsid w:val="00DD2866"/>
    <w:rsid w:val="00DD2EAD"/>
    <w:rsid w:val="00DD332A"/>
    <w:rsid w:val="00DD39D7"/>
    <w:rsid w:val="00DD3E03"/>
    <w:rsid w:val="00DD536D"/>
    <w:rsid w:val="00DD5375"/>
    <w:rsid w:val="00DD638B"/>
    <w:rsid w:val="00DD6622"/>
    <w:rsid w:val="00DE05AF"/>
    <w:rsid w:val="00DE0CFB"/>
    <w:rsid w:val="00DE1245"/>
    <w:rsid w:val="00DE16B2"/>
    <w:rsid w:val="00DE17F9"/>
    <w:rsid w:val="00DE1D68"/>
    <w:rsid w:val="00DE204C"/>
    <w:rsid w:val="00DE33F9"/>
    <w:rsid w:val="00DE3A75"/>
    <w:rsid w:val="00DE4C92"/>
    <w:rsid w:val="00DE6050"/>
    <w:rsid w:val="00DE65EC"/>
    <w:rsid w:val="00DF2EC9"/>
    <w:rsid w:val="00DF5393"/>
    <w:rsid w:val="00DF54C2"/>
    <w:rsid w:val="00DF5787"/>
    <w:rsid w:val="00DF794F"/>
    <w:rsid w:val="00E02336"/>
    <w:rsid w:val="00E023AA"/>
    <w:rsid w:val="00E02DF9"/>
    <w:rsid w:val="00E059CE"/>
    <w:rsid w:val="00E07B27"/>
    <w:rsid w:val="00E12228"/>
    <w:rsid w:val="00E15852"/>
    <w:rsid w:val="00E1630A"/>
    <w:rsid w:val="00E165CA"/>
    <w:rsid w:val="00E20A4D"/>
    <w:rsid w:val="00E21932"/>
    <w:rsid w:val="00E23208"/>
    <w:rsid w:val="00E23A7E"/>
    <w:rsid w:val="00E24A0D"/>
    <w:rsid w:val="00E24A15"/>
    <w:rsid w:val="00E24F4E"/>
    <w:rsid w:val="00E25699"/>
    <w:rsid w:val="00E270A8"/>
    <w:rsid w:val="00E275BB"/>
    <w:rsid w:val="00E275CC"/>
    <w:rsid w:val="00E27F53"/>
    <w:rsid w:val="00E3023E"/>
    <w:rsid w:val="00E320BF"/>
    <w:rsid w:val="00E325CC"/>
    <w:rsid w:val="00E32F40"/>
    <w:rsid w:val="00E34B78"/>
    <w:rsid w:val="00E35F2E"/>
    <w:rsid w:val="00E37029"/>
    <w:rsid w:val="00E40F3D"/>
    <w:rsid w:val="00E42F1F"/>
    <w:rsid w:val="00E45A6B"/>
    <w:rsid w:val="00E464E0"/>
    <w:rsid w:val="00E47C56"/>
    <w:rsid w:val="00E51FE7"/>
    <w:rsid w:val="00E520C5"/>
    <w:rsid w:val="00E5274C"/>
    <w:rsid w:val="00E53E66"/>
    <w:rsid w:val="00E540E3"/>
    <w:rsid w:val="00E54235"/>
    <w:rsid w:val="00E5657E"/>
    <w:rsid w:val="00E60D4B"/>
    <w:rsid w:val="00E61488"/>
    <w:rsid w:val="00E6207F"/>
    <w:rsid w:val="00E62F37"/>
    <w:rsid w:val="00E63547"/>
    <w:rsid w:val="00E63814"/>
    <w:rsid w:val="00E6497E"/>
    <w:rsid w:val="00E651B3"/>
    <w:rsid w:val="00E71B47"/>
    <w:rsid w:val="00E73CC6"/>
    <w:rsid w:val="00E74261"/>
    <w:rsid w:val="00E77018"/>
    <w:rsid w:val="00E8056B"/>
    <w:rsid w:val="00E80729"/>
    <w:rsid w:val="00E80CF1"/>
    <w:rsid w:val="00E8117D"/>
    <w:rsid w:val="00E86E35"/>
    <w:rsid w:val="00E91E84"/>
    <w:rsid w:val="00E96BDF"/>
    <w:rsid w:val="00EA1831"/>
    <w:rsid w:val="00EA2204"/>
    <w:rsid w:val="00EA2A85"/>
    <w:rsid w:val="00EA3251"/>
    <w:rsid w:val="00EA3322"/>
    <w:rsid w:val="00EA3F83"/>
    <w:rsid w:val="00EA6150"/>
    <w:rsid w:val="00EA6D50"/>
    <w:rsid w:val="00EA76EE"/>
    <w:rsid w:val="00EB0C47"/>
    <w:rsid w:val="00EB3E6E"/>
    <w:rsid w:val="00EB4FDE"/>
    <w:rsid w:val="00EB73AB"/>
    <w:rsid w:val="00EC042B"/>
    <w:rsid w:val="00EC427E"/>
    <w:rsid w:val="00EC4A38"/>
    <w:rsid w:val="00EC7A14"/>
    <w:rsid w:val="00ED0C35"/>
    <w:rsid w:val="00ED185A"/>
    <w:rsid w:val="00ED19EB"/>
    <w:rsid w:val="00ED1D0D"/>
    <w:rsid w:val="00ED2995"/>
    <w:rsid w:val="00ED39AB"/>
    <w:rsid w:val="00EE02B2"/>
    <w:rsid w:val="00EE1FFF"/>
    <w:rsid w:val="00EE2127"/>
    <w:rsid w:val="00EE22F2"/>
    <w:rsid w:val="00EE4129"/>
    <w:rsid w:val="00EE49F2"/>
    <w:rsid w:val="00EE4F04"/>
    <w:rsid w:val="00EE65C7"/>
    <w:rsid w:val="00EE675F"/>
    <w:rsid w:val="00EF081A"/>
    <w:rsid w:val="00EF5F37"/>
    <w:rsid w:val="00F020D5"/>
    <w:rsid w:val="00F02E7F"/>
    <w:rsid w:val="00F03AB9"/>
    <w:rsid w:val="00F03D77"/>
    <w:rsid w:val="00F04185"/>
    <w:rsid w:val="00F04548"/>
    <w:rsid w:val="00F12338"/>
    <w:rsid w:val="00F15073"/>
    <w:rsid w:val="00F16C2D"/>
    <w:rsid w:val="00F17E6F"/>
    <w:rsid w:val="00F2072F"/>
    <w:rsid w:val="00F2165E"/>
    <w:rsid w:val="00F21CE8"/>
    <w:rsid w:val="00F24FD9"/>
    <w:rsid w:val="00F25484"/>
    <w:rsid w:val="00F254C0"/>
    <w:rsid w:val="00F26132"/>
    <w:rsid w:val="00F2647C"/>
    <w:rsid w:val="00F3294F"/>
    <w:rsid w:val="00F32DC1"/>
    <w:rsid w:val="00F33008"/>
    <w:rsid w:val="00F33089"/>
    <w:rsid w:val="00F33FD1"/>
    <w:rsid w:val="00F35870"/>
    <w:rsid w:val="00F377D3"/>
    <w:rsid w:val="00F4251D"/>
    <w:rsid w:val="00F4543E"/>
    <w:rsid w:val="00F50495"/>
    <w:rsid w:val="00F51B8C"/>
    <w:rsid w:val="00F52310"/>
    <w:rsid w:val="00F53293"/>
    <w:rsid w:val="00F5399F"/>
    <w:rsid w:val="00F56FD2"/>
    <w:rsid w:val="00F6195A"/>
    <w:rsid w:val="00F66724"/>
    <w:rsid w:val="00F70531"/>
    <w:rsid w:val="00F73ACC"/>
    <w:rsid w:val="00F811F7"/>
    <w:rsid w:val="00F81E3B"/>
    <w:rsid w:val="00F81EED"/>
    <w:rsid w:val="00F845C8"/>
    <w:rsid w:val="00F84D4F"/>
    <w:rsid w:val="00F85E0E"/>
    <w:rsid w:val="00F946DC"/>
    <w:rsid w:val="00F94CD2"/>
    <w:rsid w:val="00F96568"/>
    <w:rsid w:val="00F971D6"/>
    <w:rsid w:val="00F97FDE"/>
    <w:rsid w:val="00FA1D75"/>
    <w:rsid w:val="00FA2450"/>
    <w:rsid w:val="00FA2486"/>
    <w:rsid w:val="00FA321F"/>
    <w:rsid w:val="00FA593F"/>
    <w:rsid w:val="00FA6CB0"/>
    <w:rsid w:val="00FB5CCE"/>
    <w:rsid w:val="00FB7B56"/>
    <w:rsid w:val="00FC027F"/>
    <w:rsid w:val="00FC1291"/>
    <w:rsid w:val="00FC1708"/>
    <w:rsid w:val="00FC2E35"/>
    <w:rsid w:val="00FC3636"/>
    <w:rsid w:val="00FC3859"/>
    <w:rsid w:val="00FC54E7"/>
    <w:rsid w:val="00FC7369"/>
    <w:rsid w:val="00FD016B"/>
    <w:rsid w:val="00FD3FFC"/>
    <w:rsid w:val="00FD42F4"/>
    <w:rsid w:val="00FD4E53"/>
    <w:rsid w:val="00FD7129"/>
    <w:rsid w:val="00FD74A6"/>
    <w:rsid w:val="00FD7B16"/>
    <w:rsid w:val="00FE3DE2"/>
    <w:rsid w:val="00FE6FC6"/>
    <w:rsid w:val="00FE75E5"/>
    <w:rsid w:val="00FF0E35"/>
    <w:rsid w:val="00FF4F15"/>
    <w:rsid w:val="00FF66DB"/>
    <w:rsid w:val="00FF78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530"/>
    <o:shapelayout v:ext="edit">
      <o:idmap v:ext="edit" data="1"/>
    </o:shapelayout>
  </w:shapeDefaults>
  <w:decimalSymbol w:val="."/>
  <w:listSeparator w:val=","/>
  <w15:docId w15:val="{636580FB-D3D1-4DC9-A981-25FC627B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75F"/>
    <w:rPr>
      <w:sz w:val="22"/>
      <w:szCs w:val="22"/>
      <w:lang w:eastAsia="en-US"/>
    </w:rPr>
  </w:style>
  <w:style w:type="paragraph" w:styleId="Heading1">
    <w:name w:val="heading 1"/>
    <w:aliases w:val="ATA Submission Heading 1"/>
    <w:basedOn w:val="Normal"/>
    <w:next w:val="Normal"/>
    <w:link w:val="Heading1Char"/>
    <w:uiPriority w:val="99"/>
    <w:qFormat/>
    <w:rsid w:val="003B74E4"/>
    <w:pPr>
      <w:numPr>
        <w:numId w:val="1"/>
      </w:numPr>
      <w:outlineLvl w:val="0"/>
    </w:pPr>
    <w:rPr>
      <w:rFonts w:ascii="Arial" w:hAnsi="Arial" w:cs="Arial"/>
      <w:b/>
      <w:color w:val="000064"/>
      <w:sz w:val="28"/>
      <w:szCs w:val="28"/>
    </w:rPr>
  </w:style>
  <w:style w:type="paragraph" w:styleId="Heading2">
    <w:name w:val="heading 2"/>
    <w:basedOn w:val="Normal"/>
    <w:next w:val="Normal"/>
    <w:link w:val="Heading2Char"/>
    <w:semiHidden/>
    <w:unhideWhenUsed/>
    <w:qFormat/>
    <w:locked/>
    <w:rsid w:val="006859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0F53C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A Submission Heading 1 Char"/>
    <w:basedOn w:val="DefaultParagraphFont"/>
    <w:link w:val="Heading1"/>
    <w:uiPriority w:val="99"/>
    <w:locked/>
    <w:rsid w:val="003B74E4"/>
    <w:rPr>
      <w:rFonts w:ascii="Arial" w:hAnsi="Arial" w:cs="Arial"/>
      <w:b/>
      <w:color w:val="000064"/>
      <w:sz w:val="28"/>
      <w:szCs w:val="28"/>
      <w:lang w:eastAsia="en-US"/>
    </w:rPr>
  </w:style>
  <w:style w:type="character" w:customStyle="1" w:styleId="Heading2Char">
    <w:name w:val="Heading 2 Char"/>
    <w:basedOn w:val="DefaultParagraphFont"/>
    <w:link w:val="Heading2"/>
    <w:semiHidden/>
    <w:rsid w:val="006859F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9"/>
    <w:locked/>
    <w:rsid w:val="000F53C2"/>
    <w:rPr>
      <w:rFonts w:ascii="Cambria" w:hAnsi="Cambria" w:cs="Times New Roman"/>
      <w:b/>
      <w:bCs/>
      <w:sz w:val="26"/>
      <w:szCs w:val="26"/>
      <w:lang w:eastAsia="en-US"/>
    </w:rPr>
  </w:style>
  <w:style w:type="table" w:styleId="TableGrid">
    <w:name w:val="Table Grid"/>
    <w:basedOn w:val="TableNormal"/>
    <w:uiPriority w:val="59"/>
    <w:rsid w:val="00C162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semiHidden/>
    <w:rsid w:val="004B6187"/>
    <w:rPr>
      <w:rFonts w:ascii="Arial" w:eastAsia="Times New Roman" w:hAnsi="Arial" w:cs="Arial"/>
      <w:b/>
      <w:bCs/>
      <w:szCs w:val="20"/>
    </w:rPr>
  </w:style>
  <w:style w:type="character" w:customStyle="1" w:styleId="BodyText2Char">
    <w:name w:val="Body Text 2 Char"/>
    <w:basedOn w:val="DefaultParagraphFont"/>
    <w:link w:val="BodyText2"/>
    <w:uiPriority w:val="99"/>
    <w:semiHidden/>
    <w:locked/>
    <w:rsid w:val="004B6187"/>
    <w:rPr>
      <w:rFonts w:ascii="Arial" w:hAnsi="Arial" w:cs="Arial"/>
      <w:b/>
      <w:bCs/>
      <w:sz w:val="20"/>
      <w:szCs w:val="20"/>
    </w:rPr>
  </w:style>
  <w:style w:type="paragraph" w:styleId="Header">
    <w:name w:val="header"/>
    <w:basedOn w:val="Normal"/>
    <w:link w:val="HeaderChar"/>
    <w:uiPriority w:val="99"/>
    <w:rsid w:val="000F3D9F"/>
    <w:pPr>
      <w:tabs>
        <w:tab w:val="center" w:pos="4513"/>
        <w:tab w:val="right" w:pos="9026"/>
      </w:tabs>
    </w:pPr>
  </w:style>
  <w:style w:type="character" w:customStyle="1" w:styleId="HeaderChar">
    <w:name w:val="Header Char"/>
    <w:basedOn w:val="DefaultParagraphFont"/>
    <w:link w:val="Header"/>
    <w:uiPriority w:val="99"/>
    <w:locked/>
    <w:rsid w:val="000F3D9F"/>
    <w:rPr>
      <w:rFonts w:cs="Times New Roman"/>
      <w:sz w:val="22"/>
      <w:szCs w:val="22"/>
      <w:lang w:eastAsia="en-US"/>
    </w:rPr>
  </w:style>
  <w:style w:type="paragraph" w:styleId="Footer">
    <w:name w:val="footer"/>
    <w:basedOn w:val="Normal"/>
    <w:link w:val="FooterChar"/>
    <w:uiPriority w:val="99"/>
    <w:rsid w:val="000F3D9F"/>
    <w:pPr>
      <w:tabs>
        <w:tab w:val="center" w:pos="4513"/>
        <w:tab w:val="right" w:pos="9026"/>
      </w:tabs>
    </w:pPr>
  </w:style>
  <w:style w:type="character" w:customStyle="1" w:styleId="FooterChar">
    <w:name w:val="Footer Char"/>
    <w:basedOn w:val="DefaultParagraphFont"/>
    <w:link w:val="Footer"/>
    <w:uiPriority w:val="99"/>
    <w:locked/>
    <w:rsid w:val="000F3D9F"/>
    <w:rPr>
      <w:rFonts w:cs="Times New Roman"/>
      <w:sz w:val="22"/>
      <w:szCs w:val="22"/>
      <w:lang w:eastAsia="en-US"/>
    </w:rPr>
  </w:style>
  <w:style w:type="paragraph" w:styleId="ListParagraph">
    <w:name w:val="List Paragraph"/>
    <w:basedOn w:val="Normal"/>
    <w:uiPriority w:val="34"/>
    <w:qFormat/>
    <w:rsid w:val="000F53C2"/>
    <w:pPr>
      <w:spacing w:after="200" w:line="276" w:lineRule="auto"/>
      <w:ind w:left="720"/>
      <w:contextualSpacing/>
    </w:pPr>
  </w:style>
  <w:style w:type="paragraph" w:styleId="FootnoteText">
    <w:name w:val="footnote text"/>
    <w:basedOn w:val="Normal"/>
    <w:link w:val="FootnoteTextChar"/>
    <w:uiPriority w:val="99"/>
    <w:semiHidden/>
    <w:rsid w:val="000F53C2"/>
    <w:rPr>
      <w:sz w:val="20"/>
      <w:szCs w:val="20"/>
    </w:rPr>
  </w:style>
  <w:style w:type="character" w:customStyle="1" w:styleId="FootnoteTextChar">
    <w:name w:val="Footnote Text Char"/>
    <w:basedOn w:val="DefaultParagraphFont"/>
    <w:link w:val="FootnoteText"/>
    <w:uiPriority w:val="99"/>
    <w:semiHidden/>
    <w:locked/>
    <w:rsid w:val="000F53C2"/>
    <w:rPr>
      <w:rFonts w:cs="Times New Roman"/>
      <w:lang w:eastAsia="en-US"/>
    </w:rPr>
  </w:style>
  <w:style w:type="character" w:styleId="FootnoteReference">
    <w:name w:val="footnote reference"/>
    <w:basedOn w:val="DefaultParagraphFont"/>
    <w:uiPriority w:val="99"/>
    <w:semiHidden/>
    <w:rsid w:val="000F53C2"/>
    <w:rPr>
      <w:rFonts w:cs="Times New Roman"/>
      <w:vertAlign w:val="superscript"/>
    </w:rPr>
  </w:style>
  <w:style w:type="paragraph" w:customStyle="1" w:styleId="Default">
    <w:name w:val="Default"/>
    <w:link w:val="DefaultChar"/>
    <w:rsid w:val="000F53C2"/>
    <w:pPr>
      <w:autoSpaceDE w:val="0"/>
      <w:autoSpaceDN w:val="0"/>
      <w:adjustRightInd w:val="0"/>
    </w:pPr>
    <w:rPr>
      <w:rFonts w:ascii="Times New Roman" w:hAnsi="Times New Roman"/>
      <w:color w:val="000000"/>
      <w:sz w:val="24"/>
      <w:szCs w:val="24"/>
    </w:rPr>
  </w:style>
  <w:style w:type="character" w:customStyle="1" w:styleId="DefaultChar">
    <w:name w:val="Default Char"/>
    <w:basedOn w:val="DefaultParagraphFont"/>
    <w:link w:val="Default"/>
    <w:uiPriority w:val="99"/>
    <w:locked/>
    <w:rsid w:val="000F53C2"/>
    <w:rPr>
      <w:rFonts w:ascii="Times New Roman" w:hAnsi="Times New Roman"/>
      <w:color w:val="000000"/>
      <w:sz w:val="24"/>
      <w:szCs w:val="24"/>
      <w:lang w:val="en-AU" w:eastAsia="en-AU" w:bidi="ar-SA"/>
    </w:rPr>
  </w:style>
  <w:style w:type="paragraph" w:customStyle="1" w:styleId="ATAHeading2">
    <w:name w:val="ATA Heading 2"/>
    <w:basedOn w:val="Normal"/>
    <w:link w:val="ATAHeading2Char"/>
    <w:uiPriority w:val="99"/>
    <w:rsid w:val="00B13B6B"/>
    <w:pPr>
      <w:numPr>
        <w:ilvl w:val="1"/>
        <w:numId w:val="1"/>
      </w:numPr>
      <w:spacing w:before="120" w:after="120" w:line="276" w:lineRule="auto"/>
    </w:pPr>
    <w:rPr>
      <w:rFonts w:ascii="Arial" w:hAnsi="Arial" w:cs="Arial"/>
      <w:b/>
      <w:color w:val="000064"/>
      <w:sz w:val="26"/>
      <w:szCs w:val="26"/>
    </w:rPr>
  </w:style>
  <w:style w:type="character" w:customStyle="1" w:styleId="ATAHeading2Char">
    <w:name w:val="ATA Heading 2 Char"/>
    <w:basedOn w:val="DefaultParagraphFont"/>
    <w:link w:val="ATAHeading2"/>
    <w:uiPriority w:val="99"/>
    <w:locked/>
    <w:rsid w:val="00B13B6B"/>
    <w:rPr>
      <w:rFonts w:ascii="Arial" w:hAnsi="Arial" w:cs="Arial"/>
      <w:b/>
      <w:color w:val="000064"/>
      <w:sz w:val="26"/>
      <w:szCs w:val="26"/>
      <w:lang w:eastAsia="en-US"/>
    </w:rPr>
  </w:style>
  <w:style w:type="paragraph" w:customStyle="1" w:styleId="ATAHeading3">
    <w:name w:val="ATA Heading 3"/>
    <w:basedOn w:val="ATAHeading2"/>
    <w:link w:val="ATAHeading3Char"/>
    <w:uiPriority w:val="99"/>
    <w:rsid w:val="00D40AAD"/>
    <w:pPr>
      <w:numPr>
        <w:ilvl w:val="2"/>
      </w:numPr>
      <w:tabs>
        <w:tab w:val="left" w:pos="992"/>
      </w:tabs>
    </w:pPr>
    <w:rPr>
      <w:i/>
      <w:color w:val="0D0D0D" w:themeColor="text1" w:themeTint="F2"/>
      <w:sz w:val="22"/>
      <w:szCs w:val="22"/>
    </w:rPr>
  </w:style>
  <w:style w:type="character" w:customStyle="1" w:styleId="ATAHeading3Char">
    <w:name w:val="ATA Heading 3 Char"/>
    <w:basedOn w:val="DefaultParagraphFont"/>
    <w:link w:val="ATAHeading3"/>
    <w:uiPriority w:val="99"/>
    <w:locked/>
    <w:rsid w:val="00D40AAD"/>
    <w:rPr>
      <w:rFonts w:ascii="Arial" w:hAnsi="Arial" w:cs="Arial"/>
      <w:b/>
      <w:i/>
      <w:color w:val="0D0D0D" w:themeColor="text1" w:themeTint="F2"/>
      <w:sz w:val="22"/>
      <w:szCs w:val="22"/>
      <w:lang w:eastAsia="en-US"/>
    </w:rPr>
  </w:style>
  <w:style w:type="paragraph" w:customStyle="1" w:styleId="Quotes">
    <w:name w:val="Quotes"/>
    <w:basedOn w:val="Default"/>
    <w:link w:val="QuotesChar"/>
    <w:uiPriority w:val="99"/>
    <w:rsid w:val="000F53C2"/>
    <w:pPr>
      <w:ind w:left="851"/>
    </w:pPr>
    <w:rPr>
      <w:sz w:val="22"/>
      <w:szCs w:val="22"/>
    </w:rPr>
  </w:style>
  <w:style w:type="character" w:customStyle="1" w:styleId="QuotesChar">
    <w:name w:val="Quotes Char"/>
    <w:basedOn w:val="DefaultChar"/>
    <w:link w:val="Quotes"/>
    <w:uiPriority w:val="99"/>
    <w:locked/>
    <w:rsid w:val="000F53C2"/>
    <w:rPr>
      <w:rFonts w:ascii="Times New Roman" w:hAnsi="Times New Roman"/>
      <w:color w:val="000000"/>
      <w:sz w:val="22"/>
      <w:szCs w:val="22"/>
      <w:lang w:val="en-AU" w:eastAsia="en-AU" w:bidi="ar-SA"/>
    </w:rPr>
  </w:style>
  <w:style w:type="paragraph" w:customStyle="1" w:styleId="ATARecommendationHeading">
    <w:name w:val="ATA Recommendation Heading"/>
    <w:basedOn w:val="Normal"/>
    <w:link w:val="ATARecommendationHeadingChar"/>
    <w:uiPriority w:val="99"/>
    <w:rsid w:val="00740005"/>
    <w:rPr>
      <w:rFonts w:ascii="Arial" w:hAnsi="Arial" w:cs="Arial"/>
      <w:i/>
    </w:rPr>
  </w:style>
  <w:style w:type="character" w:customStyle="1" w:styleId="ATARecommendationHeadingChar">
    <w:name w:val="ATA Recommendation Heading Char"/>
    <w:basedOn w:val="DefaultParagraphFont"/>
    <w:link w:val="ATARecommendationHeading"/>
    <w:uiPriority w:val="99"/>
    <w:rsid w:val="006859F7"/>
    <w:rPr>
      <w:rFonts w:ascii="Arial" w:hAnsi="Arial" w:cs="Arial"/>
      <w:i/>
      <w:sz w:val="22"/>
      <w:szCs w:val="22"/>
      <w:lang w:eastAsia="en-US"/>
    </w:rPr>
  </w:style>
  <w:style w:type="paragraph" w:styleId="BalloonText">
    <w:name w:val="Balloon Text"/>
    <w:basedOn w:val="Normal"/>
    <w:link w:val="BalloonTextChar"/>
    <w:uiPriority w:val="99"/>
    <w:semiHidden/>
    <w:rsid w:val="00740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005"/>
    <w:rPr>
      <w:rFonts w:ascii="Tahoma" w:hAnsi="Tahoma" w:cs="Tahoma"/>
      <w:sz w:val="16"/>
      <w:szCs w:val="16"/>
      <w:lang w:eastAsia="en-US"/>
    </w:rPr>
  </w:style>
  <w:style w:type="character" w:styleId="Strong">
    <w:name w:val="Strong"/>
    <w:basedOn w:val="DefaultParagraphFont"/>
    <w:uiPriority w:val="22"/>
    <w:qFormat/>
    <w:locked/>
    <w:rsid w:val="00960FE0"/>
    <w:rPr>
      <w:b/>
      <w:bCs/>
    </w:rPr>
  </w:style>
  <w:style w:type="paragraph" w:styleId="EndnoteText">
    <w:name w:val="endnote text"/>
    <w:basedOn w:val="Normal"/>
    <w:link w:val="EndnoteTextChar"/>
    <w:uiPriority w:val="99"/>
    <w:semiHidden/>
    <w:unhideWhenUsed/>
    <w:rsid w:val="00EE4129"/>
    <w:rPr>
      <w:sz w:val="20"/>
      <w:szCs w:val="20"/>
    </w:rPr>
  </w:style>
  <w:style w:type="character" w:customStyle="1" w:styleId="EndnoteTextChar">
    <w:name w:val="Endnote Text Char"/>
    <w:basedOn w:val="DefaultParagraphFont"/>
    <w:link w:val="EndnoteText"/>
    <w:uiPriority w:val="99"/>
    <w:semiHidden/>
    <w:rsid w:val="00EE4129"/>
    <w:rPr>
      <w:lang w:eastAsia="en-US"/>
    </w:rPr>
  </w:style>
  <w:style w:type="character" w:styleId="EndnoteReference">
    <w:name w:val="endnote reference"/>
    <w:basedOn w:val="DefaultParagraphFont"/>
    <w:uiPriority w:val="99"/>
    <w:semiHidden/>
    <w:unhideWhenUsed/>
    <w:rsid w:val="00EE4129"/>
    <w:rPr>
      <w:vertAlign w:val="superscript"/>
    </w:rPr>
  </w:style>
  <w:style w:type="paragraph" w:styleId="TOC1">
    <w:name w:val="toc 1"/>
    <w:basedOn w:val="Normal"/>
    <w:next w:val="Normal"/>
    <w:autoRedefine/>
    <w:uiPriority w:val="39"/>
    <w:locked/>
    <w:rsid w:val="00D13DF0"/>
    <w:pPr>
      <w:tabs>
        <w:tab w:val="right" w:leader="dot" w:pos="9628"/>
      </w:tabs>
      <w:spacing w:before="360" w:after="100"/>
    </w:pPr>
    <w:rPr>
      <w:rFonts w:ascii="Arial" w:hAnsi="Arial" w:cs="Arial"/>
      <w:b/>
      <w:noProof/>
      <w:sz w:val="20"/>
      <w:szCs w:val="20"/>
    </w:rPr>
  </w:style>
  <w:style w:type="paragraph" w:styleId="TOC2">
    <w:name w:val="toc 2"/>
    <w:basedOn w:val="Normal"/>
    <w:next w:val="Normal"/>
    <w:autoRedefine/>
    <w:uiPriority w:val="39"/>
    <w:locked/>
    <w:rsid w:val="00907971"/>
    <w:pPr>
      <w:tabs>
        <w:tab w:val="right" w:leader="dot" w:pos="9628"/>
      </w:tabs>
      <w:spacing w:after="120"/>
      <w:ind w:left="221"/>
    </w:pPr>
    <w:rPr>
      <w:rFonts w:ascii="Arial" w:hAnsi="Arial"/>
      <w:sz w:val="20"/>
    </w:rPr>
  </w:style>
  <w:style w:type="paragraph" w:customStyle="1" w:styleId="RecommendationStyle">
    <w:name w:val="Recommendation Style"/>
    <w:basedOn w:val="ATARecommendationHeading"/>
    <w:link w:val="RecommendationStyleChar"/>
    <w:qFormat/>
    <w:rsid w:val="00907971"/>
    <w:pPr>
      <w:numPr>
        <w:numId w:val="2"/>
      </w:numPr>
      <w:tabs>
        <w:tab w:val="left" w:pos="2098"/>
      </w:tabs>
      <w:spacing w:before="240" w:after="120"/>
    </w:pPr>
    <w:rPr>
      <w:b/>
      <w:sz w:val="20"/>
      <w:szCs w:val="20"/>
    </w:rPr>
  </w:style>
  <w:style w:type="character" w:customStyle="1" w:styleId="RecommendationStyleChar">
    <w:name w:val="Recommendation Style Char"/>
    <w:basedOn w:val="ATARecommendationHeadingChar"/>
    <w:link w:val="RecommendationStyle"/>
    <w:rsid w:val="00907971"/>
    <w:rPr>
      <w:rFonts w:ascii="Arial" w:hAnsi="Arial" w:cs="Arial"/>
      <w:b/>
      <w:i/>
      <w:sz w:val="22"/>
      <w:szCs w:val="22"/>
      <w:lang w:eastAsia="en-US"/>
    </w:rPr>
  </w:style>
  <w:style w:type="paragraph" w:customStyle="1" w:styleId="RecommendationStyle2">
    <w:name w:val="Recommendation Style 2"/>
    <w:basedOn w:val="Normal"/>
    <w:link w:val="RecommendationStyle2Char"/>
    <w:qFormat/>
    <w:rsid w:val="006859F7"/>
    <w:pPr>
      <w:jc w:val="both"/>
    </w:pPr>
    <w:rPr>
      <w:rFonts w:ascii="Arial" w:hAnsi="Arial" w:cs="Arial"/>
      <w:b/>
      <w:sz w:val="20"/>
      <w:szCs w:val="20"/>
    </w:rPr>
  </w:style>
  <w:style w:type="character" w:customStyle="1" w:styleId="RecommendationStyle2Char">
    <w:name w:val="Recommendation Style 2 Char"/>
    <w:basedOn w:val="DefaultParagraphFont"/>
    <w:link w:val="RecommendationStyle2"/>
    <w:rsid w:val="006859F7"/>
    <w:rPr>
      <w:rFonts w:ascii="Arial" w:hAnsi="Arial" w:cs="Arial"/>
      <w:b/>
      <w:lang w:eastAsia="en-US"/>
    </w:rPr>
  </w:style>
  <w:style w:type="character" w:styleId="Hyperlink">
    <w:name w:val="Hyperlink"/>
    <w:basedOn w:val="DefaultParagraphFont"/>
    <w:uiPriority w:val="99"/>
    <w:unhideWhenUsed/>
    <w:rsid w:val="009E77F2"/>
    <w:rPr>
      <w:color w:val="0000FF" w:themeColor="hyperlink"/>
      <w:u w:val="single"/>
    </w:rPr>
  </w:style>
  <w:style w:type="paragraph" w:customStyle="1" w:styleId="RecommendationStyle3">
    <w:name w:val="Recommendation Style 3"/>
    <w:basedOn w:val="RecommendationStyle2"/>
    <w:link w:val="RecommendationStyle3Char"/>
    <w:qFormat/>
    <w:rsid w:val="00907971"/>
    <w:rPr>
      <w:color w:val="FFFFFF" w:themeColor="background1"/>
    </w:rPr>
  </w:style>
  <w:style w:type="paragraph" w:styleId="TOC3">
    <w:name w:val="toc 3"/>
    <w:basedOn w:val="Normal"/>
    <w:next w:val="Normal"/>
    <w:autoRedefine/>
    <w:uiPriority w:val="39"/>
    <w:locked/>
    <w:rsid w:val="00907971"/>
    <w:pPr>
      <w:tabs>
        <w:tab w:val="right" w:leader="dot" w:pos="9628"/>
      </w:tabs>
      <w:ind w:left="442"/>
    </w:pPr>
    <w:rPr>
      <w:noProof/>
      <w:color w:val="FFFFFF" w:themeColor="background1"/>
    </w:rPr>
  </w:style>
  <w:style w:type="character" w:customStyle="1" w:styleId="RecommendationStyle3Char">
    <w:name w:val="Recommendation Style 3 Char"/>
    <w:basedOn w:val="RecommendationStyle2Char"/>
    <w:link w:val="RecommendationStyle3"/>
    <w:rsid w:val="00907971"/>
    <w:rPr>
      <w:rFonts w:ascii="Arial" w:hAnsi="Arial" w:cs="Arial"/>
      <w:b/>
      <w:color w:val="FFFFFF" w:themeColor="background1"/>
      <w:lang w:eastAsia="en-US"/>
    </w:rPr>
  </w:style>
  <w:style w:type="paragraph" w:customStyle="1" w:styleId="ATASubHead1">
    <w:name w:val="ATASubHead1"/>
    <w:basedOn w:val="Normal"/>
    <w:link w:val="ATASubHead1Char"/>
    <w:qFormat/>
    <w:rsid w:val="004008C7"/>
    <w:pPr>
      <w:tabs>
        <w:tab w:val="left" w:pos="851"/>
      </w:tabs>
      <w:spacing w:before="240" w:after="120"/>
    </w:pPr>
    <w:rPr>
      <w:rFonts w:ascii="Arial" w:hAnsi="Arial" w:cs="Arial"/>
      <w:b/>
      <w:color w:val="000064"/>
      <w:sz w:val="28"/>
      <w:szCs w:val="28"/>
    </w:rPr>
  </w:style>
  <w:style w:type="character" w:customStyle="1" w:styleId="ATASubHead1Char">
    <w:name w:val="ATASubHead1 Char"/>
    <w:link w:val="ATASubHead1"/>
    <w:rsid w:val="004008C7"/>
    <w:rPr>
      <w:rFonts w:ascii="Arial" w:hAnsi="Arial" w:cs="Arial"/>
      <w:b/>
      <w:color w:val="000064"/>
      <w:sz w:val="28"/>
      <w:szCs w:val="28"/>
      <w:lang w:eastAsia="en-US"/>
    </w:rPr>
  </w:style>
  <w:style w:type="table" w:customStyle="1" w:styleId="LightList-Accent11">
    <w:name w:val="Light List - Accent 11"/>
    <w:basedOn w:val="TableNormal"/>
    <w:uiPriority w:val="61"/>
    <w:rsid w:val="004008C7"/>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893728"/>
    <w:pPr>
      <w:spacing w:before="100" w:beforeAutospacing="1" w:after="100" w:afterAutospacing="1"/>
    </w:pPr>
    <w:rPr>
      <w:rFonts w:ascii="Times New Roman" w:eastAsia="Times New Roman" w:hAnsi="Times New Roman"/>
      <w:sz w:val="24"/>
      <w:szCs w:val="24"/>
      <w:lang w:eastAsia="en-AU"/>
    </w:rPr>
  </w:style>
  <w:style w:type="character" w:customStyle="1" w:styleId="author-name2">
    <w:name w:val="author-name2"/>
    <w:basedOn w:val="DefaultParagraphFont"/>
    <w:rsid w:val="00FC1291"/>
    <w:rPr>
      <w:b/>
      <w:bCs/>
    </w:rPr>
  </w:style>
  <w:style w:type="character" w:customStyle="1" w:styleId="source-name5">
    <w:name w:val="source-name5"/>
    <w:basedOn w:val="DefaultParagraphFont"/>
    <w:rsid w:val="00FC1291"/>
    <w:rPr>
      <w:i/>
      <w:iCs/>
    </w:rPr>
  </w:style>
  <w:style w:type="character" w:customStyle="1" w:styleId="publish-date5">
    <w:name w:val="publish-date5"/>
    <w:basedOn w:val="DefaultParagraphFont"/>
    <w:rsid w:val="00FC1291"/>
    <w:rPr>
      <w:i/>
      <w:iCs/>
      <w:sz w:val="14"/>
      <w:szCs w:val="14"/>
    </w:rPr>
  </w:style>
  <w:style w:type="character" w:styleId="FollowedHyperlink">
    <w:name w:val="FollowedHyperlink"/>
    <w:basedOn w:val="DefaultParagraphFont"/>
    <w:uiPriority w:val="99"/>
    <w:semiHidden/>
    <w:unhideWhenUsed/>
    <w:rsid w:val="007C746E"/>
    <w:rPr>
      <w:color w:val="800080" w:themeColor="followedHyperlink"/>
      <w:u w:val="single"/>
    </w:rPr>
  </w:style>
  <w:style w:type="paragraph" w:customStyle="1" w:styleId="ATAPreMnorm">
    <w:name w:val="ATAPreM norm"/>
    <w:basedOn w:val="Normal"/>
    <w:link w:val="ATAPreMnormChar"/>
    <w:qFormat/>
    <w:rsid w:val="00F2072F"/>
    <w:rPr>
      <w:rFonts w:ascii="Arial" w:eastAsia="Times New Roman" w:hAnsi="Arial" w:cs="Arial"/>
      <w:i/>
      <w:color w:val="000000"/>
      <w:sz w:val="20"/>
      <w:szCs w:val="20"/>
      <w:lang w:eastAsia="en-AU"/>
    </w:rPr>
  </w:style>
  <w:style w:type="paragraph" w:customStyle="1" w:styleId="ATAPervMHeading">
    <w:name w:val="ATAPervMHeading"/>
    <w:basedOn w:val="Normal"/>
    <w:link w:val="ATAPervMHeadingChar"/>
    <w:qFormat/>
    <w:rsid w:val="00F2072F"/>
    <w:pPr>
      <w:tabs>
        <w:tab w:val="left" w:pos="851"/>
      </w:tabs>
      <w:ind w:left="851" w:hanging="851"/>
    </w:pPr>
    <w:rPr>
      <w:rFonts w:ascii="Arial" w:hAnsi="Arial" w:cs="Arial"/>
      <w:b/>
      <w:i/>
      <w:sz w:val="20"/>
      <w:szCs w:val="20"/>
    </w:rPr>
  </w:style>
  <w:style w:type="character" w:customStyle="1" w:styleId="ATAPreMnormChar">
    <w:name w:val="ATAPreM norm Char"/>
    <w:basedOn w:val="DefaultParagraphFont"/>
    <w:link w:val="ATAPreMnorm"/>
    <w:rsid w:val="00F2072F"/>
    <w:rPr>
      <w:rFonts w:ascii="Arial" w:eastAsia="Times New Roman" w:hAnsi="Arial" w:cs="Arial"/>
      <w:i/>
      <w:color w:val="000000"/>
    </w:rPr>
  </w:style>
  <w:style w:type="character" w:customStyle="1" w:styleId="ATAPervMHeadingChar">
    <w:name w:val="ATAPervMHeading Char"/>
    <w:basedOn w:val="DefaultParagraphFont"/>
    <w:link w:val="ATAPervMHeading"/>
    <w:rsid w:val="00F2072F"/>
    <w:rPr>
      <w:rFonts w:ascii="Arial" w:hAnsi="Arial" w:cs="Arial"/>
      <w:b/>
      <w:i/>
      <w:lang w:eastAsia="en-US"/>
    </w:rPr>
  </w:style>
  <w:style w:type="character" w:styleId="CommentReference">
    <w:name w:val="annotation reference"/>
    <w:basedOn w:val="DefaultParagraphFont"/>
    <w:uiPriority w:val="99"/>
    <w:semiHidden/>
    <w:unhideWhenUsed/>
    <w:rsid w:val="00603655"/>
    <w:rPr>
      <w:sz w:val="16"/>
      <w:szCs w:val="16"/>
    </w:rPr>
  </w:style>
  <w:style w:type="paragraph" w:styleId="CommentText">
    <w:name w:val="annotation text"/>
    <w:basedOn w:val="Normal"/>
    <w:link w:val="CommentTextChar"/>
    <w:uiPriority w:val="99"/>
    <w:semiHidden/>
    <w:unhideWhenUsed/>
    <w:rsid w:val="00603655"/>
    <w:rPr>
      <w:sz w:val="20"/>
      <w:szCs w:val="20"/>
    </w:rPr>
  </w:style>
  <w:style w:type="character" w:customStyle="1" w:styleId="CommentTextChar">
    <w:name w:val="Comment Text Char"/>
    <w:basedOn w:val="DefaultParagraphFont"/>
    <w:link w:val="CommentText"/>
    <w:uiPriority w:val="99"/>
    <w:semiHidden/>
    <w:rsid w:val="00603655"/>
    <w:rPr>
      <w:lang w:eastAsia="en-US"/>
    </w:rPr>
  </w:style>
  <w:style w:type="paragraph" w:styleId="CommentSubject">
    <w:name w:val="annotation subject"/>
    <w:basedOn w:val="CommentText"/>
    <w:next w:val="CommentText"/>
    <w:link w:val="CommentSubjectChar"/>
    <w:uiPriority w:val="99"/>
    <w:semiHidden/>
    <w:unhideWhenUsed/>
    <w:rsid w:val="00603655"/>
    <w:rPr>
      <w:b/>
      <w:bCs/>
    </w:rPr>
  </w:style>
  <w:style w:type="character" w:customStyle="1" w:styleId="CommentSubjectChar">
    <w:name w:val="Comment Subject Char"/>
    <w:basedOn w:val="CommentTextChar"/>
    <w:link w:val="CommentSubject"/>
    <w:uiPriority w:val="99"/>
    <w:semiHidden/>
    <w:rsid w:val="00603655"/>
    <w:rPr>
      <w:b/>
      <w:bCs/>
      <w:lang w:eastAsia="en-US"/>
    </w:rPr>
  </w:style>
  <w:style w:type="paragraph" w:styleId="PlainText">
    <w:name w:val="Plain Text"/>
    <w:basedOn w:val="Normal"/>
    <w:link w:val="PlainTextChar"/>
    <w:uiPriority w:val="99"/>
    <w:unhideWhenUsed/>
    <w:rsid w:val="00040B35"/>
    <w:rPr>
      <w:rFonts w:ascii="Consolas" w:eastAsiaTheme="minorHAnsi" w:hAnsi="Consolas" w:cs="Consolas"/>
      <w:sz w:val="21"/>
      <w:szCs w:val="21"/>
      <w:lang w:eastAsia="en-AU"/>
    </w:rPr>
  </w:style>
  <w:style w:type="character" w:customStyle="1" w:styleId="PlainTextChar">
    <w:name w:val="Plain Text Char"/>
    <w:basedOn w:val="DefaultParagraphFont"/>
    <w:link w:val="PlainText"/>
    <w:uiPriority w:val="99"/>
    <w:rsid w:val="00040B35"/>
    <w:rPr>
      <w:rFonts w:ascii="Consolas" w:eastAsiaTheme="minorHAnsi" w:hAnsi="Consolas" w:cs="Consolas"/>
      <w:sz w:val="21"/>
      <w:szCs w:val="21"/>
    </w:rPr>
  </w:style>
  <w:style w:type="paragraph" w:styleId="NoSpacing">
    <w:name w:val="No Spacing"/>
    <w:basedOn w:val="Normal"/>
    <w:uiPriority w:val="1"/>
    <w:qFormat/>
    <w:rsid w:val="005C4492"/>
    <w:rPr>
      <w:rFonts w:eastAsiaTheme="minorHAnsi"/>
      <w:color w:val="404040"/>
      <w:sz w:val="19"/>
      <w:szCs w:val="19"/>
      <w:lang w:eastAsia="en-AU"/>
    </w:rPr>
  </w:style>
  <w:style w:type="character" w:customStyle="1" w:styleId="apple-converted-space">
    <w:name w:val="apple-converted-space"/>
    <w:basedOn w:val="DefaultParagraphFont"/>
    <w:rsid w:val="00DF2EC9"/>
  </w:style>
  <w:style w:type="character" w:customStyle="1" w:styleId="filesize">
    <w:name w:val="filesize"/>
    <w:basedOn w:val="DefaultParagraphFont"/>
    <w:rsid w:val="00DF2EC9"/>
  </w:style>
  <w:style w:type="table" w:customStyle="1" w:styleId="TableGrid1">
    <w:name w:val="Table Grid1"/>
    <w:basedOn w:val="TableNormal"/>
    <w:next w:val="TableGrid"/>
    <w:uiPriority w:val="39"/>
    <w:rsid w:val="0000772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207496"/>
    <w:rPr>
      <w:i/>
      <w:iCs/>
    </w:rPr>
  </w:style>
  <w:style w:type="paragraph" w:customStyle="1" w:styleId="clear">
    <w:name w:val="clear"/>
    <w:basedOn w:val="Normal"/>
    <w:rsid w:val="00207496"/>
    <w:pPr>
      <w:spacing w:before="100" w:beforeAutospacing="1" w:after="100" w:afterAutospacing="1"/>
    </w:pPr>
    <w:rPr>
      <w:rFonts w:ascii="Times New Roman" w:eastAsia="Times New Roman" w:hAnsi="Times New Roman"/>
      <w:sz w:val="24"/>
      <w:szCs w:val="24"/>
      <w:lang w:eastAsia="en-AU"/>
    </w:rPr>
  </w:style>
  <w:style w:type="character" w:customStyle="1" w:styleId="element-invisible">
    <w:name w:val="element-invisible"/>
    <w:basedOn w:val="DefaultParagraphFont"/>
    <w:rsid w:val="00207496"/>
  </w:style>
  <w:style w:type="paragraph" w:customStyle="1" w:styleId="dotpoint">
    <w:name w:val="dotpoint"/>
    <w:basedOn w:val="ListParagraph"/>
    <w:qFormat/>
    <w:rsid w:val="00955782"/>
    <w:pPr>
      <w:numPr>
        <w:numId w:val="10"/>
      </w:numPr>
      <w:spacing w:before="60" w:after="0"/>
      <w:contextualSpacing w:val="0"/>
    </w:pPr>
    <w:rPr>
      <w:rFonts w:ascii="Myriad Pro Light" w:eastAsiaTheme="minorEastAsia" w:hAnsi="Myriad Pro Light" w:cstheme="minorBid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707">
      <w:bodyDiv w:val="1"/>
      <w:marLeft w:val="0"/>
      <w:marRight w:val="0"/>
      <w:marTop w:val="0"/>
      <w:marBottom w:val="0"/>
      <w:divBdr>
        <w:top w:val="none" w:sz="0" w:space="0" w:color="auto"/>
        <w:left w:val="none" w:sz="0" w:space="0" w:color="auto"/>
        <w:bottom w:val="none" w:sz="0" w:space="0" w:color="auto"/>
        <w:right w:val="none" w:sz="0" w:space="0" w:color="auto"/>
      </w:divBdr>
    </w:div>
    <w:div w:id="40980097">
      <w:bodyDiv w:val="1"/>
      <w:marLeft w:val="0"/>
      <w:marRight w:val="0"/>
      <w:marTop w:val="0"/>
      <w:marBottom w:val="0"/>
      <w:divBdr>
        <w:top w:val="none" w:sz="0" w:space="0" w:color="auto"/>
        <w:left w:val="none" w:sz="0" w:space="0" w:color="auto"/>
        <w:bottom w:val="none" w:sz="0" w:space="0" w:color="auto"/>
        <w:right w:val="none" w:sz="0" w:space="0" w:color="auto"/>
      </w:divBdr>
    </w:div>
    <w:div w:id="56364440">
      <w:bodyDiv w:val="1"/>
      <w:marLeft w:val="0"/>
      <w:marRight w:val="0"/>
      <w:marTop w:val="0"/>
      <w:marBottom w:val="0"/>
      <w:divBdr>
        <w:top w:val="none" w:sz="0" w:space="0" w:color="auto"/>
        <w:left w:val="none" w:sz="0" w:space="0" w:color="auto"/>
        <w:bottom w:val="none" w:sz="0" w:space="0" w:color="auto"/>
        <w:right w:val="none" w:sz="0" w:space="0" w:color="auto"/>
      </w:divBdr>
    </w:div>
    <w:div w:id="161629573">
      <w:bodyDiv w:val="1"/>
      <w:marLeft w:val="0"/>
      <w:marRight w:val="0"/>
      <w:marTop w:val="0"/>
      <w:marBottom w:val="0"/>
      <w:divBdr>
        <w:top w:val="none" w:sz="0" w:space="0" w:color="auto"/>
        <w:left w:val="none" w:sz="0" w:space="0" w:color="auto"/>
        <w:bottom w:val="none" w:sz="0" w:space="0" w:color="auto"/>
        <w:right w:val="none" w:sz="0" w:space="0" w:color="auto"/>
      </w:divBdr>
    </w:div>
    <w:div w:id="167257544">
      <w:bodyDiv w:val="1"/>
      <w:marLeft w:val="0"/>
      <w:marRight w:val="0"/>
      <w:marTop w:val="0"/>
      <w:marBottom w:val="0"/>
      <w:divBdr>
        <w:top w:val="none" w:sz="0" w:space="0" w:color="auto"/>
        <w:left w:val="none" w:sz="0" w:space="0" w:color="auto"/>
        <w:bottom w:val="none" w:sz="0" w:space="0" w:color="auto"/>
        <w:right w:val="none" w:sz="0" w:space="0" w:color="auto"/>
      </w:divBdr>
    </w:div>
    <w:div w:id="201282765">
      <w:bodyDiv w:val="1"/>
      <w:marLeft w:val="0"/>
      <w:marRight w:val="0"/>
      <w:marTop w:val="0"/>
      <w:marBottom w:val="0"/>
      <w:divBdr>
        <w:top w:val="none" w:sz="0" w:space="0" w:color="auto"/>
        <w:left w:val="none" w:sz="0" w:space="0" w:color="auto"/>
        <w:bottom w:val="none" w:sz="0" w:space="0" w:color="auto"/>
        <w:right w:val="none" w:sz="0" w:space="0" w:color="auto"/>
      </w:divBdr>
    </w:div>
    <w:div w:id="300501640">
      <w:bodyDiv w:val="1"/>
      <w:marLeft w:val="0"/>
      <w:marRight w:val="0"/>
      <w:marTop w:val="0"/>
      <w:marBottom w:val="0"/>
      <w:divBdr>
        <w:top w:val="none" w:sz="0" w:space="0" w:color="auto"/>
        <w:left w:val="none" w:sz="0" w:space="0" w:color="auto"/>
        <w:bottom w:val="none" w:sz="0" w:space="0" w:color="auto"/>
        <w:right w:val="none" w:sz="0" w:space="0" w:color="auto"/>
      </w:divBdr>
      <w:divsChild>
        <w:div w:id="1953660714">
          <w:marLeft w:val="0"/>
          <w:marRight w:val="0"/>
          <w:marTop w:val="0"/>
          <w:marBottom w:val="0"/>
          <w:divBdr>
            <w:top w:val="none" w:sz="0" w:space="0" w:color="auto"/>
            <w:left w:val="none" w:sz="0" w:space="0" w:color="auto"/>
            <w:bottom w:val="none" w:sz="0" w:space="0" w:color="auto"/>
            <w:right w:val="none" w:sz="0" w:space="0" w:color="auto"/>
          </w:divBdr>
          <w:divsChild>
            <w:div w:id="749893250">
              <w:marLeft w:val="0"/>
              <w:marRight w:val="0"/>
              <w:marTop w:val="0"/>
              <w:marBottom w:val="0"/>
              <w:divBdr>
                <w:top w:val="none" w:sz="0" w:space="0" w:color="auto"/>
                <w:left w:val="none" w:sz="0" w:space="0" w:color="auto"/>
                <w:bottom w:val="none" w:sz="0" w:space="0" w:color="auto"/>
                <w:right w:val="none" w:sz="0" w:space="0" w:color="auto"/>
              </w:divBdr>
              <w:divsChild>
                <w:div w:id="1990743551">
                  <w:marLeft w:val="0"/>
                  <w:marRight w:val="0"/>
                  <w:marTop w:val="0"/>
                  <w:marBottom w:val="0"/>
                  <w:divBdr>
                    <w:top w:val="none" w:sz="0" w:space="0" w:color="auto"/>
                    <w:left w:val="none" w:sz="0" w:space="0" w:color="auto"/>
                    <w:bottom w:val="none" w:sz="0" w:space="0" w:color="auto"/>
                    <w:right w:val="none" w:sz="0" w:space="0" w:color="auto"/>
                  </w:divBdr>
                  <w:divsChild>
                    <w:div w:id="1398744426">
                      <w:marLeft w:val="0"/>
                      <w:marRight w:val="0"/>
                      <w:marTop w:val="0"/>
                      <w:marBottom w:val="173"/>
                      <w:divBdr>
                        <w:top w:val="none" w:sz="0" w:space="0" w:color="auto"/>
                        <w:left w:val="none" w:sz="0" w:space="0" w:color="auto"/>
                        <w:bottom w:val="single" w:sz="12" w:space="0" w:color="auto"/>
                        <w:right w:val="none" w:sz="0" w:space="0" w:color="auto"/>
                      </w:divBdr>
                      <w:divsChild>
                        <w:div w:id="151719399">
                          <w:marLeft w:val="0"/>
                          <w:marRight w:val="0"/>
                          <w:marTop w:val="0"/>
                          <w:marBottom w:val="0"/>
                          <w:divBdr>
                            <w:top w:val="none" w:sz="0" w:space="0" w:color="auto"/>
                            <w:left w:val="none" w:sz="0" w:space="0" w:color="auto"/>
                            <w:bottom w:val="none" w:sz="0" w:space="0" w:color="auto"/>
                            <w:right w:val="none" w:sz="0" w:space="0" w:color="auto"/>
                          </w:divBdr>
                          <w:divsChild>
                            <w:div w:id="846868594">
                              <w:marLeft w:val="0"/>
                              <w:marRight w:val="0"/>
                              <w:marTop w:val="0"/>
                              <w:marBottom w:val="0"/>
                              <w:divBdr>
                                <w:top w:val="none" w:sz="0" w:space="0" w:color="auto"/>
                                <w:left w:val="none" w:sz="0" w:space="0" w:color="auto"/>
                                <w:bottom w:val="none" w:sz="0" w:space="0" w:color="auto"/>
                                <w:right w:val="none" w:sz="0" w:space="0" w:color="auto"/>
                              </w:divBdr>
                              <w:divsChild>
                                <w:div w:id="64375558">
                                  <w:marLeft w:val="0"/>
                                  <w:marRight w:val="0"/>
                                  <w:marTop w:val="0"/>
                                  <w:marBottom w:val="0"/>
                                  <w:divBdr>
                                    <w:top w:val="none" w:sz="0" w:space="0" w:color="auto"/>
                                    <w:left w:val="none" w:sz="0" w:space="0" w:color="auto"/>
                                    <w:bottom w:val="none" w:sz="0" w:space="0" w:color="auto"/>
                                    <w:right w:val="none" w:sz="0" w:space="0" w:color="auto"/>
                                  </w:divBdr>
                                  <w:divsChild>
                                    <w:div w:id="1638073701">
                                      <w:marLeft w:val="0"/>
                                      <w:marRight w:val="0"/>
                                      <w:marTop w:val="0"/>
                                      <w:marBottom w:val="0"/>
                                      <w:divBdr>
                                        <w:top w:val="none" w:sz="0" w:space="0" w:color="auto"/>
                                        <w:left w:val="none" w:sz="0" w:space="0" w:color="auto"/>
                                        <w:bottom w:val="none" w:sz="0" w:space="0" w:color="auto"/>
                                        <w:right w:val="none" w:sz="0" w:space="0" w:color="auto"/>
                                      </w:divBdr>
                                      <w:divsChild>
                                        <w:div w:id="3881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373011">
      <w:bodyDiv w:val="1"/>
      <w:marLeft w:val="0"/>
      <w:marRight w:val="0"/>
      <w:marTop w:val="0"/>
      <w:marBottom w:val="0"/>
      <w:divBdr>
        <w:top w:val="none" w:sz="0" w:space="0" w:color="auto"/>
        <w:left w:val="none" w:sz="0" w:space="0" w:color="auto"/>
        <w:bottom w:val="none" w:sz="0" w:space="0" w:color="auto"/>
        <w:right w:val="none" w:sz="0" w:space="0" w:color="auto"/>
      </w:divBdr>
    </w:div>
    <w:div w:id="342707352">
      <w:bodyDiv w:val="1"/>
      <w:marLeft w:val="0"/>
      <w:marRight w:val="0"/>
      <w:marTop w:val="0"/>
      <w:marBottom w:val="0"/>
      <w:divBdr>
        <w:top w:val="none" w:sz="0" w:space="0" w:color="auto"/>
        <w:left w:val="none" w:sz="0" w:space="0" w:color="auto"/>
        <w:bottom w:val="none" w:sz="0" w:space="0" w:color="auto"/>
        <w:right w:val="none" w:sz="0" w:space="0" w:color="auto"/>
      </w:divBdr>
    </w:div>
    <w:div w:id="392852183">
      <w:bodyDiv w:val="1"/>
      <w:marLeft w:val="0"/>
      <w:marRight w:val="0"/>
      <w:marTop w:val="0"/>
      <w:marBottom w:val="0"/>
      <w:divBdr>
        <w:top w:val="none" w:sz="0" w:space="0" w:color="auto"/>
        <w:left w:val="none" w:sz="0" w:space="0" w:color="auto"/>
        <w:bottom w:val="none" w:sz="0" w:space="0" w:color="auto"/>
        <w:right w:val="none" w:sz="0" w:space="0" w:color="auto"/>
      </w:divBdr>
      <w:divsChild>
        <w:div w:id="1062757597">
          <w:marLeft w:val="0"/>
          <w:marRight w:val="0"/>
          <w:marTop w:val="0"/>
          <w:marBottom w:val="0"/>
          <w:divBdr>
            <w:top w:val="single" w:sz="2" w:space="0" w:color="999999"/>
            <w:left w:val="single" w:sz="4" w:space="0" w:color="999999"/>
            <w:bottom w:val="single" w:sz="2" w:space="0" w:color="999999"/>
            <w:right w:val="single" w:sz="4" w:space="0" w:color="999999"/>
          </w:divBdr>
          <w:divsChild>
            <w:div w:id="659891644">
              <w:marLeft w:val="0"/>
              <w:marRight w:val="0"/>
              <w:marTop w:val="0"/>
              <w:marBottom w:val="0"/>
              <w:divBdr>
                <w:top w:val="none" w:sz="0" w:space="0" w:color="auto"/>
                <w:left w:val="none" w:sz="0" w:space="0" w:color="auto"/>
                <w:bottom w:val="none" w:sz="0" w:space="0" w:color="auto"/>
                <w:right w:val="none" w:sz="0" w:space="0" w:color="auto"/>
              </w:divBdr>
              <w:divsChild>
                <w:div w:id="82847928">
                  <w:marLeft w:val="0"/>
                  <w:marRight w:val="230"/>
                  <w:marTop w:val="0"/>
                  <w:marBottom w:val="480"/>
                  <w:divBdr>
                    <w:top w:val="none" w:sz="0" w:space="0" w:color="auto"/>
                    <w:left w:val="none" w:sz="0" w:space="0" w:color="auto"/>
                    <w:bottom w:val="none" w:sz="0" w:space="0" w:color="auto"/>
                    <w:right w:val="none" w:sz="0" w:space="0" w:color="auto"/>
                  </w:divBdr>
                </w:div>
              </w:divsChild>
            </w:div>
          </w:divsChild>
        </w:div>
      </w:divsChild>
    </w:div>
    <w:div w:id="402457443">
      <w:bodyDiv w:val="1"/>
      <w:marLeft w:val="0"/>
      <w:marRight w:val="0"/>
      <w:marTop w:val="0"/>
      <w:marBottom w:val="0"/>
      <w:divBdr>
        <w:top w:val="none" w:sz="0" w:space="0" w:color="auto"/>
        <w:left w:val="none" w:sz="0" w:space="0" w:color="auto"/>
        <w:bottom w:val="none" w:sz="0" w:space="0" w:color="auto"/>
        <w:right w:val="none" w:sz="0" w:space="0" w:color="auto"/>
      </w:divBdr>
    </w:div>
    <w:div w:id="412705156">
      <w:bodyDiv w:val="1"/>
      <w:marLeft w:val="0"/>
      <w:marRight w:val="0"/>
      <w:marTop w:val="0"/>
      <w:marBottom w:val="0"/>
      <w:divBdr>
        <w:top w:val="none" w:sz="0" w:space="0" w:color="auto"/>
        <w:left w:val="none" w:sz="0" w:space="0" w:color="auto"/>
        <w:bottom w:val="none" w:sz="0" w:space="0" w:color="auto"/>
        <w:right w:val="none" w:sz="0" w:space="0" w:color="auto"/>
      </w:divBdr>
    </w:div>
    <w:div w:id="432827874">
      <w:bodyDiv w:val="1"/>
      <w:marLeft w:val="0"/>
      <w:marRight w:val="0"/>
      <w:marTop w:val="0"/>
      <w:marBottom w:val="0"/>
      <w:divBdr>
        <w:top w:val="none" w:sz="0" w:space="0" w:color="auto"/>
        <w:left w:val="none" w:sz="0" w:space="0" w:color="auto"/>
        <w:bottom w:val="none" w:sz="0" w:space="0" w:color="auto"/>
        <w:right w:val="none" w:sz="0" w:space="0" w:color="auto"/>
      </w:divBdr>
    </w:div>
    <w:div w:id="570122334">
      <w:bodyDiv w:val="1"/>
      <w:marLeft w:val="0"/>
      <w:marRight w:val="0"/>
      <w:marTop w:val="0"/>
      <w:marBottom w:val="0"/>
      <w:divBdr>
        <w:top w:val="none" w:sz="0" w:space="0" w:color="auto"/>
        <w:left w:val="none" w:sz="0" w:space="0" w:color="auto"/>
        <w:bottom w:val="none" w:sz="0" w:space="0" w:color="auto"/>
        <w:right w:val="none" w:sz="0" w:space="0" w:color="auto"/>
      </w:divBdr>
    </w:div>
    <w:div w:id="603391561">
      <w:bodyDiv w:val="1"/>
      <w:marLeft w:val="0"/>
      <w:marRight w:val="0"/>
      <w:marTop w:val="0"/>
      <w:marBottom w:val="0"/>
      <w:divBdr>
        <w:top w:val="none" w:sz="0" w:space="0" w:color="auto"/>
        <w:left w:val="none" w:sz="0" w:space="0" w:color="auto"/>
        <w:bottom w:val="none" w:sz="0" w:space="0" w:color="auto"/>
        <w:right w:val="none" w:sz="0" w:space="0" w:color="auto"/>
      </w:divBdr>
    </w:div>
    <w:div w:id="691764137">
      <w:bodyDiv w:val="1"/>
      <w:marLeft w:val="0"/>
      <w:marRight w:val="0"/>
      <w:marTop w:val="0"/>
      <w:marBottom w:val="0"/>
      <w:divBdr>
        <w:top w:val="none" w:sz="0" w:space="0" w:color="auto"/>
        <w:left w:val="none" w:sz="0" w:space="0" w:color="auto"/>
        <w:bottom w:val="none" w:sz="0" w:space="0" w:color="auto"/>
        <w:right w:val="none" w:sz="0" w:space="0" w:color="auto"/>
      </w:divBdr>
      <w:divsChild>
        <w:div w:id="138617996">
          <w:marLeft w:val="0"/>
          <w:marRight w:val="0"/>
          <w:marTop w:val="0"/>
          <w:marBottom w:val="0"/>
          <w:divBdr>
            <w:top w:val="none" w:sz="0" w:space="0" w:color="auto"/>
            <w:left w:val="none" w:sz="0" w:space="0" w:color="auto"/>
            <w:bottom w:val="none" w:sz="0" w:space="0" w:color="auto"/>
            <w:right w:val="none" w:sz="0" w:space="0" w:color="auto"/>
          </w:divBdr>
          <w:divsChild>
            <w:div w:id="8757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93285">
      <w:bodyDiv w:val="1"/>
      <w:marLeft w:val="0"/>
      <w:marRight w:val="0"/>
      <w:marTop w:val="0"/>
      <w:marBottom w:val="0"/>
      <w:divBdr>
        <w:top w:val="none" w:sz="0" w:space="0" w:color="auto"/>
        <w:left w:val="none" w:sz="0" w:space="0" w:color="auto"/>
        <w:bottom w:val="none" w:sz="0" w:space="0" w:color="auto"/>
        <w:right w:val="none" w:sz="0" w:space="0" w:color="auto"/>
      </w:divBdr>
    </w:div>
    <w:div w:id="752049104">
      <w:bodyDiv w:val="1"/>
      <w:marLeft w:val="0"/>
      <w:marRight w:val="0"/>
      <w:marTop w:val="0"/>
      <w:marBottom w:val="0"/>
      <w:divBdr>
        <w:top w:val="none" w:sz="0" w:space="0" w:color="auto"/>
        <w:left w:val="none" w:sz="0" w:space="0" w:color="auto"/>
        <w:bottom w:val="none" w:sz="0" w:space="0" w:color="auto"/>
        <w:right w:val="none" w:sz="0" w:space="0" w:color="auto"/>
      </w:divBdr>
    </w:div>
    <w:div w:id="764347823">
      <w:bodyDiv w:val="1"/>
      <w:marLeft w:val="0"/>
      <w:marRight w:val="0"/>
      <w:marTop w:val="0"/>
      <w:marBottom w:val="0"/>
      <w:divBdr>
        <w:top w:val="none" w:sz="0" w:space="0" w:color="auto"/>
        <w:left w:val="none" w:sz="0" w:space="0" w:color="auto"/>
        <w:bottom w:val="none" w:sz="0" w:space="0" w:color="auto"/>
        <w:right w:val="none" w:sz="0" w:space="0" w:color="auto"/>
      </w:divBdr>
      <w:divsChild>
        <w:div w:id="1504861412">
          <w:marLeft w:val="0"/>
          <w:marRight w:val="0"/>
          <w:marTop w:val="0"/>
          <w:marBottom w:val="0"/>
          <w:divBdr>
            <w:top w:val="none" w:sz="0" w:space="0" w:color="auto"/>
            <w:left w:val="none" w:sz="0" w:space="0" w:color="auto"/>
            <w:bottom w:val="none" w:sz="0" w:space="0" w:color="auto"/>
            <w:right w:val="none" w:sz="0" w:space="0" w:color="auto"/>
          </w:divBdr>
          <w:divsChild>
            <w:div w:id="101927376">
              <w:marLeft w:val="0"/>
              <w:marRight w:val="0"/>
              <w:marTop w:val="0"/>
              <w:marBottom w:val="0"/>
              <w:divBdr>
                <w:top w:val="none" w:sz="0" w:space="0" w:color="auto"/>
                <w:left w:val="none" w:sz="0" w:space="0" w:color="auto"/>
                <w:bottom w:val="none" w:sz="0" w:space="0" w:color="auto"/>
                <w:right w:val="none" w:sz="0" w:space="0" w:color="auto"/>
              </w:divBdr>
              <w:divsChild>
                <w:div w:id="1142624037">
                  <w:marLeft w:val="0"/>
                  <w:marRight w:val="0"/>
                  <w:marTop w:val="100"/>
                  <w:marBottom w:val="100"/>
                  <w:divBdr>
                    <w:top w:val="none" w:sz="0" w:space="0" w:color="auto"/>
                    <w:left w:val="none" w:sz="0" w:space="0" w:color="auto"/>
                    <w:bottom w:val="none" w:sz="0" w:space="0" w:color="auto"/>
                    <w:right w:val="none" w:sz="0" w:space="0" w:color="auto"/>
                  </w:divBdr>
                  <w:divsChild>
                    <w:div w:id="1542476904">
                      <w:marLeft w:val="0"/>
                      <w:marRight w:val="0"/>
                      <w:marTop w:val="0"/>
                      <w:marBottom w:val="0"/>
                      <w:divBdr>
                        <w:top w:val="none" w:sz="0" w:space="0" w:color="auto"/>
                        <w:left w:val="none" w:sz="0" w:space="0" w:color="auto"/>
                        <w:bottom w:val="none" w:sz="0" w:space="0" w:color="auto"/>
                        <w:right w:val="none" w:sz="0" w:space="0" w:color="auto"/>
                      </w:divBdr>
                      <w:divsChild>
                        <w:div w:id="1721051084">
                          <w:marLeft w:val="0"/>
                          <w:marRight w:val="0"/>
                          <w:marTop w:val="0"/>
                          <w:marBottom w:val="0"/>
                          <w:divBdr>
                            <w:top w:val="none" w:sz="0" w:space="0" w:color="auto"/>
                            <w:left w:val="none" w:sz="0" w:space="0" w:color="auto"/>
                            <w:bottom w:val="none" w:sz="0" w:space="0" w:color="auto"/>
                            <w:right w:val="none" w:sz="0" w:space="0" w:color="auto"/>
                          </w:divBdr>
                          <w:divsChild>
                            <w:div w:id="658457871">
                              <w:marLeft w:val="0"/>
                              <w:marRight w:val="0"/>
                              <w:marTop w:val="0"/>
                              <w:marBottom w:val="0"/>
                              <w:divBdr>
                                <w:top w:val="none" w:sz="0" w:space="0" w:color="auto"/>
                                <w:left w:val="none" w:sz="0" w:space="0" w:color="auto"/>
                                <w:bottom w:val="none" w:sz="0" w:space="0" w:color="auto"/>
                                <w:right w:val="none" w:sz="0" w:space="0" w:color="auto"/>
                              </w:divBdr>
                              <w:divsChild>
                                <w:div w:id="13794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918695">
      <w:bodyDiv w:val="1"/>
      <w:marLeft w:val="0"/>
      <w:marRight w:val="0"/>
      <w:marTop w:val="0"/>
      <w:marBottom w:val="0"/>
      <w:divBdr>
        <w:top w:val="none" w:sz="0" w:space="0" w:color="auto"/>
        <w:left w:val="none" w:sz="0" w:space="0" w:color="auto"/>
        <w:bottom w:val="none" w:sz="0" w:space="0" w:color="auto"/>
        <w:right w:val="none" w:sz="0" w:space="0" w:color="auto"/>
      </w:divBdr>
    </w:div>
    <w:div w:id="828593103">
      <w:bodyDiv w:val="1"/>
      <w:marLeft w:val="0"/>
      <w:marRight w:val="0"/>
      <w:marTop w:val="0"/>
      <w:marBottom w:val="0"/>
      <w:divBdr>
        <w:top w:val="none" w:sz="0" w:space="0" w:color="auto"/>
        <w:left w:val="none" w:sz="0" w:space="0" w:color="auto"/>
        <w:bottom w:val="none" w:sz="0" w:space="0" w:color="auto"/>
        <w:right w:val="none" w:sz="0" w:space="0" w:color="auto"/>
      </w:divBdr>
    </w:div>
    <w:div w:id="927076264">
      <w:bodyDiv w:val="1"/>
      <w:marLeft w:val="0"/>
      <w:marRight w:val="0"/>
      <w:marTop w:val="0"/>
      <w:marBottom w:val="0"/>
      <w:divBdr>
        <w:top w:val="none" w:sz="0" w:space="0" w:color="auto"/>
        <w:left w:val="none" w:sz="0" w:space="0" w:color="auto"/>
        <w:bottom w:val="none" w:sz="0" w:space="0" w:color="auto"/>
        <w:right w:val="none" w:sz="0" w:space="0" w:color="auto"/>
      </w:divBdr>
    </w:div>
    <w:div w:id="1040711899">
      <w:bodyDiv w:val="1"/>
      <w:marLeft w:val="0"/>
      <w:marRight w:val="0"/>
      <w:marTop w:val="0"/>
      <w:marBottom w:val="0"/>
      <w:divBdr>
        <w:top w:val="none" w:sz="0" w:space="0" w:color="auto"/>
        <w:left w:val="none" w:sz="0" w:space="0" w:color="auto"/>
        <w:bottom w:val="none" w:sz="0" w:space="0" w:color="auto"/>
        <w:right w:val="none" w:sz="0" w:space="0" w:color="auto"/>
      </w:divBdr>
    </w:div>
    <w:div w:id="1067723571">
      <w:bodyDiv w:val="1"/>
      <w:marLeft w:val="0"/>
      <w:marRight w:val="0"/>
      <w:marTop w:val="0"/>
      <w:marBottom w:val="0"/>
      <w:divBdr>
        <w:top w:val="none" w:sz="0" w:space="0" w:color="auto"/>
        <w:left w:val="none" w:sz="0" w:space="0" w:color="auto"/>
        <w:bottom w:val="none" w:sz="0" w:space="0" w:color="auto"/>
        <w:right w:val="none" w:sz="0" w:space="0" w:color="auto"/>
      </w:divBdr>
    </w:div>
    <w:div w:id="1073629093">
      <w:bodyDiv w:val="1"/>
      <w:marLeft w:val="0"/>
      <w:marRight w:val="0"/>
      <w:marTop w:val="0"/>
      <w:marBottom w:val="0"/>
      <w:divBdr>
        <w:top w:val="none" w:sz="0" w:space="0" w:color="auto"/>
        <w:left w:val="none" w:sz="0" w:space="0" w:color="auto"/>
        <w:bottom w:val="none" w:sz="0" w:space="0" w:color="auto"/>
        <w:right w:val="none" w:sz="0" w:space="0" w:color="auto"/>
      </w:divBdr>
    </w:div>
    <w:div w:id="1107240177">
      <w:bodyDiv w:val="1"/>
      <w:marLeft w:val="0"/>
      <w:marRight w:val="0"/>
      <w:marTop w:val="0"/>
      <w:marBottom w:val="0"/>
      <w:divBdr>
        <w:top w:val="none" w:sz="0" w:space="0" w:color="auto"/>
        <w:left w:val="none" w:sz="0" w:space="0" w:color="auto"/>
        <w:bottom w:val="none" w:sz="0" w:space="0" w:color="auto"/>
        <w:right w:val="none" w:sz="0" w:space="0" w:color="auto"/>
      </w:divBdr>
    </w:div>
    <w:div w:id="1124082810">
      <w:marLeft w:val="0"/>
      <w:marRight w:val="0"/>
      <w:marTop w:val="0"/>
      <w:marBottom w:val="0"/>
      <w:divBdr>
        <w:top w:val="none" w:sz="0" w:space="0" w:color="auto"/>
        <w:left w:val="none" w:sz="0" w:space="0" w:color="auto"/>
        <w:bottom w:val="none" w:sz="0" w:space="0" w:color="auto"/>
        <w:right w:val="none" w:sz="0" w:space="0" w:color="auto"/>
      </w:divBdr>
    </w:div>
    <w:div w:id="1124082811">
      <w:marLeft w:val="0"/>
      <w:marRight w:val="0"/>
      <w:marTop w:val="0"/>
      <w:marBottom w:val="0"/>
      <w:divBdr>
        <w:top w:val="none" w:sz="0" w:space="0" w:color="auto"/>
        <w:left w:val="none" w:sz="0" w:space="0" w:color="auto"/>
        <w:bottom w:val="none" w:sz="0" w:space="0" w:color="auto"/>
        <w:right w:val="none" w:sz="0" w:space="0" w:color="auto"/>
      </w:divBdr>
    </w:div>
    <w:div w:id="1126312516">
      <w:bodyDiv w:val="1"/>
      <w:marLeft w:val="0"/>
      <w:marRight w:val="0"/>
      <w:marTop w:val="0"/>
      <w:marBottom w:val="0"/>
      <w:divBdr>
        <w:top w:val="none" w:sz="0" w:space="0" w:color="auto"/>
        <w:left w:val="none" w:sz="0" w:space="0" w:color="auto"/>
        <w:bottom w:val="none" w:sz="0" w:space="0" w:color="auto"/>
        <w:right w:val="none" w:sz="0" w:space="0" w:color="auto"/>
      </w:divBdr>
      <w:divsChild>
        <w:div w:id="1500120403">
          <w:marLeft w:val="0"/>
          <w:marRight w:val="0"/>
          <w:marTop w:val="0"/>
          <w:marBottom w:val="0"/>
          <w:divBdr>
            <w:top w:val="single" w:sz="2" w:space="0" w:color="999999"/>
            <w:left w:val="single" w:sz="4" w:space="0" w:color="999999"/>
            <w:bottom w:val="single" w:sz="2" w:space="0" w:color="999999"/>
            <w:right w:val="single" w:sz="4" w:space="0" w:color="999999"/>
          </w:divBdr>
          <w:divsChild>
            <w:div w:id="2011176851">
              <w:marLeft w:val="0"/>
              <w:marRight w:val="0"/>
              <w:marTop w:val="0"/>
              <w:marBottom w:val="0"/>
              <w:divBdr>
                <w:top w:val="none" w:sz="0" w:space="0" w:color="auto"/>
                <w:left w:val="none" w:sz="0" w:space="0" w:color="auto"/>
                <w:bottom w:val="none" w:sz="0" w:space="0" w:color="auto"/>
                <w:right w:val="none" w:sz="0" w:space="0" w:color="auto"/>
              </w:divBdr>
              <w:divsChild>
                <w:div w:id="1592084198">
                  <w:marLeft w:val="0"/>
                  <w:marRight w:val="230"/>
                  <w:marTop w:val="0"/>
                  <w:marBottom w:val="480"/>
                  <w:divBdr>
                    <w:top w:val="none" w:sz="0" w:space="0" w:color="auto"/>
                    <w:left w:val="none" w:sz="0" w:space="0" w:color="auto"/>
                    <w:bottom w:val="none" w:sz="0" w:space="0" w:color="auto"/>
                    <w:right w:val="none" w:sz="0" w:space="0" w:color="auto"/>
                  </w:divBdr>
                </w:div>
              </w:divsChild>
            </w:div>
          </w:divsChild>
        </w:div>
      </w:divsChild>
    </w:div>
    <w:div w:id="1133401478">
      <w:bodyDiv w:val="1"/>
      <w:marLeft w:val="0"/>
      <w:marRight w:val="0"/>
      <w:marTop w:val="0"/>
      <w:marBottom w:val="0"/>
      <w:divBdr>
        <w:top w:val="none" w:sz="0" w:space="0" w:color="auto"/>
        <w:left w:val="none" w:sz="0" w:space="0" w:color="auto"/>
        <w:bottom w:val="none" w:sz="0" w:space="0" w:color="auto"/>
        <w:right w:val="none" w:sz="0" w:space="0" w:color="auto"/>
      </w:divBdr>
    </w:div>
    <w:div w:id="1146975558">
      <w:bodyDiv w:val="1"/>
      <w:marLeft w:val="0"/>
      <w:marRight w:val="0"/>
      <w:marTop w:val="0"/>
      <w:marBottom w:val="0"/>
      <w:divBdr>
        <w:top w:val="none" w:sz="0" w:space="0" w:color="auto"/>
        <w:left w:val="none" w:sz="0" w:space="0" w:color="auto"/>
        <w:bottom w:val="none" w:sz="0" w:space="0" w:color="auto"/>
        <w:right w:val="none" w:sz="0" w:space="0" w:color="auto"/>
      </w:divBdr>
    </w:div>
    <w:div w:id="1168668862">
      <w:bodyDiv w:val="1"/>
      <w:marLeft w:val="0"/>
      <w:marRight w:val="0"/>
      <w:marTop w:val="0"/>
      <w:marBottom w:val="0"/>
      <w:divBdr>
        <w:top w:val="none" w:sz="0" w:space="0" w:color="auto"/>
        <w:left w:val="none" w:sz="0" w:space="0" w:color="auto"/>
        <w:bottom w:val="none" w:sz="0" w:space="0" w:color="auto"/>
        <w:right w:val="none" w:sz="0" w:space="0" w:color="auto"/>
      </w:divBdr>
    </w:div>
    <w:div w:id="1177578316">
      <w:bodyDiv w:val="1"/>
      <w:marLeft w:val="0"/>
      <w:marRight w:val="0"/>
      <w:marTop w:val="0"/>
      <w:marBottom w:val="0"/>
      <w:divBdr>
        <w:top w:val="none" w:sz="0" w:space="0" w:color="auto"/>
        <w:left w:val="none" w:sz="0" w:space="0" w:color="auto"/>
        <w:bottom w:val="none" w:sz="0" w:space="0" w:color="auto"/>
        <w:right w:val="none" w:sz="0" w:space="0" w:color="auto"/>
      </w:divBdr>
    </w:div>
    <w:div w:id="1183669334">
      <w:bodyDiv w:val="1"/>
      <w:marLeft w:val="0"/>
      <w:marRight w:val="0"/>
      <w:marTop w:val="0"/>
      <w:marBottom w:val="0"/>
      <w:divBdr>
        <w:top w:val="none" w:sz="0" w:space="0" w:color="auto"/>
        <w:left w:val="none" w:sz="0" w:space="0" w:color="auto"/>
        <w:bottom w:val="none" w:sz="0" w:space="0" w:color="auto"/>
        <w:right w:val="none" w:sz="0" w:space="0" w:color="auto"/>
      </w:divBdr>
    </w:div>
    <w:div w:id="1266157425">
      <w:bodyDiv w:val="1"/>
      <w:marLeft w:val="0"/>
      <w:marRight w:val="0"/>
      <w:marTop w:val="0"/>
      <w:marBottom w:val="0"/>
      <w:divBdr>
        <w:top w:val="none" w:sz="0" w:space="0" w:color="auto"/>
        <w:left w:val="none" w:sz="0" w:space="0" w:color="auto"/>
        <w:bottom w:val="none" w:sz="0" w:space="0" w:color="auto"/>
        <w:right w:val="none" w:sz="0" w:space="0" w:color="auto"/>
      </w:divBdr>
    </w:div>
    <w:div w:id="1295792498">
      <w:bodyDiv w:val="1"/>
      <w:marLeft w:val="0"/>
      <w:marRight w:val="0"/>
      <w:marTop w:val="0"/>
      <w:marBottom w:val="0"/>
      <w:divBdr>
        <w:top w:val="none" w:sz="0" w:space="0" w:color="auto"/>
        <w:left w:val="none" w:sz="0" w:space="0" w:color="auto"/>
        <w:bottom w:val="none" w:sz="0" w:space="0" w:color="auto"/>
        <w:right w:val="none" w:sz="0" w:space="0" w:color="auto"/>
      </w:divBdr>
    </w:div>
    <w:div w:id="1343555153">
      <w:bodyDiv w:val="1"/>
      <w:marLeft w:val="0"/>
      <w:marRight w:val="0"/>
      <w:marTop w:val="0"/>
      <w:marBottom w:val="0"/>
      <w:divBdr>
        <w:top w:val="none" w:sz="0" w:space="0" w:color="auto"/>
        <w:left w:val="none" w:sz="0" w:space="0" w:color="auto"/>
        <w:bottom w:val="none" w:sz="0" w:space="0" w:color="auto"/>
        <w:right w:val="none" w:sz="0" w:space="0" w:color="auto"/>
      </w:divBdr>
    </w:div>
    <w:div w:id="1360352906">
      <w:bodyDiv w:val="1"/>
      <w:marLeft w:val="0"/>
      <w:marRight w:val="0"/>
      <w:marTop w:val="0"/>
      <w:marBottom w:val="0"/>
      <w:divBdr>
        <w:top w:val="none" w:sz="0" w:space="0" w:color="auto"/>
        <w:left w:val="none" w:sz="0" w:space="0" w:color="auto"/>
        <w:bottom w:val="none" w:sz="0" w:space="0" w:color="auto"/>
        <w:right w:val="none" w:sz="0" w:space="0" w:color="auto"/>
      </w:divBdr>
    </w:div>
    <w:div w:id="1385175724">
      <w:bodyDiv w:val="1"/>
      <w:marLeft w:val="0"/>
      <w:marRight w:val="0"/>
      <w:marTop w:val="0"/>
      <w:marBottom w:val="0"/>
      <w:divBdr>
        <w:top w:val="none" w:sz="0" w:space="0" w:color="auto"/>
        <w:left w:val="none" w:sz="0" w:space="0" w:color="auto"/>
        <w:bottom w:val="none" w:sz="0" w:space="0" w:color="auto"/>
        <w:right w:val="none" w:sz="0" w:space="0" w:color="auto"/>
      </w:divBdr>
      <w:divsChild>
        <w:div w:id="658389482">
          <w:marLeft w:val="0"/>
          <w:marRight w:val="240"/>
          <w:marTop w:val="240"/>
          <w:marBottom w:val="240"/>
          <w:divBdr>
            <w:top w:val="none" w:sz="0" w:space="0" w:color="auto"/>
            <w:left w:val="none" w:sz="0" w:space="0" w:color="auto"/>
            <w:bottom w:val="none" w:sz="0" w:space="0" w:color="auto"/>
            <w:right w:val="none" w:sz="0" w:space="0" w:color="auto"/>
          </w:divBdr>
        </w:div>
        <w:div w:id="295763987">
          <w:marLeft w:val="0"/>
          <w:marRight w:val="0"/>
          <w:marTop w:val="0"/>
          <w:marBottom w:val="0"/>
          <w:divBdr>
            <w:top w:val="none" w:sz="0" w:space="0" w:color="auto"/>
            <w:left w:val="none" w:sz="0" w:space="0" w:color="auto"/>
            <w:bottom w:val="none" w:sz="0" w:space="0" w:color="auto"/>
            <w:right w:val="none" w:sz="0" w:space="0" w:color="auto"/>
          </w:divBdr>
          <w:divsChild>
            <w:div w:id="165506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5465">
      <w:bodyDiv w:val="1"/>
      <w:marLeft w:val="0"/>
      <w:marRight w:val="0"/>
      <w:marTop w:val="0"/>
      <w:marBottom w:val="0"/>
      <w:divBdr>
        <w:top w:val="none" w:sz="0" w:space="0" w:color="auto"/>
        <w:left w:val="none" w:sz="0" w:space="0" w:color="auto"/>
        <w:bottom w:val="none" w:sz="0" w:space="0" w:color="auto"/>
        <w:right w:val="none" w:sz="0" w:space="0" w:color="auto"/>
      </w:divBdr>
    </w:div>
    <w:div w:id="1393116420">
      <w:bodyDiv w:val="1"/>
      <w:marLeft w:val="0"/>
      <w:marRight w:val="0"/>
      <w:marTop w:val="0"/>
      <w:marBottom w:val="0"/>
      <w:divBdr>
        <w:top w:val="none" w:sz="0" w:space="0" w:color="auto"/>
        <w:left w:val="none" w:sz="0" w:space="0" w:color="auto"/>
        <w:bottom w:val="none" w:sz="0" w:space="0" w:color="auto"/>
        <w:right w:val="none" w:sz="0" w:space="0" w:color="auto"/>
      </w:divBdr>
      <w:divsChild>
        <w:div w:id="24143311">
          <w:marLeft w:val="0"/>
          <w:marRight w:val="0"/>
          <w:marTop w:val="0"/>
          <w:marBottom w:val="0"/>
          <w:divBdr>
            <w:top w:val="none" w:sz="0" w:space="0" w:color="auto"/>
            <w:left w:val="none" w:sz="0" w:space="0" w:color="auto"/>
            <w:bottom w:val="none" w:sz="0" w:space="0" w:color="auto"/>
            <w:right w:val="none" w:sz="0" w:space="0" w:color="auto"/>
          </w:divBdr>
          <w:divsChild>
            <w:div w:id="4929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85428">
      <w:bodyDiv w:val="1"/>
      <w:marLeft w:val="0"/>
      <w:marRight w:val="0"/>
      <w:marTop w:val="0"/>
      <w:marBottom w:val="0"/>
      <w:divBdr>
        <w:top w:val="none" w:sz="0" w:space="0" w:color="auto"/>
        <w:left w:val="none" w:sz="0" w:space="0" w:color="auto"/>
        <w:bottom w:val="none" w:sz="0" w:space="0" w:color="auto"/>
        <w:right w:val="none" w:sz="0" w:space="0" w:color="auto"/>
      </w:divBdr>
    </w:div>
    <w:div w:id="1401636624">
      <w:bodyDiv w:val="1"/>
      <w:marLeft w:val="0"/>
      <w:marRight w:val="0"/>
      <w:marTop w:val="0"/>
      <w:marBottom w:val="0"/>
      <w:divBdr>
        <w:top w:val="none" w:sz="0" w:space="0" w:color="auto"/>
        <w:left w:val="none" w:sz="0" w:space="0" w:color="auto"/>
        <w:bottom w:val="none" w:sz="0" w:space="0" w:color="auto"/>
        <w:right w:val="none" w:sz="0" w:space="0" w:color="auto"/>
      </w:divBdr>
    </w:div>
    <w:div w:id="1443845593">
      <w:bodyDiv w:val="1"/>
      <w:marLeft w:val="0"/>
      <w:marRight w:val="0"/>
      <w:marTop w:val="0"/>
      <w:marBottom w:val="0"/>
      <w:divBdr>
        <w:top w:val="none" w:sz="0" w:space="0" w:color="auto"/>
        <w:left w:val="none" w:sz="0" w:space="0" w:color="auto"/>
        <w:bottom w:val="none" w:sz="0" w:space="0" w:color="auto"/>
        <w:right w:val="none" w:sz="0" w:space="0" w:color="auto"/>
      </w:divBdr>
    </w:div>
    <w:div w:id="1468546323">
      <w:bodyDiv w:val="1"/>
      <w:marLeft w:val="0"/>
      <w:marRight w:val="0"/>
      <w:marTop w:val="0"/>
      <w:marBottom w:val="0"/>
      <w:divBdr>
        <w:top w:val="none" w:sz="0" w:space="0" w:color="auto"/>
        <w:left w:val="none" w:sz="0" w:space="0" w:color="auto"/>
        <w:bottom w:val="none" w:sz="0" w:space="0" w:color="auto"/>
        <w:right w:val="none" w:sz="0" w:space="0" w:color="auto"/>
      </w:divBdr>
    </w:div>
    <w:div w:id="1535998004">
      <w:bodyDiv w:val="1"/>
      <w:marLeft w:val="0"/>
      <w:marRight w:val="0"/>
      <w:marTop w:val="0"/>
      <w:marBottom w:val="0"/>
      <w:divBdr>
        <w:top w:val="none" w:sz="0" w:space="0" w:color="auto"/>
        <w:left w:val="none" w:sz="0" w:space="0" w:color="auto"/>
        <w:bottom w:val="none" w:sz="0" w:space="0" w:color="auto"/>
        <w:right w:val="none" w:sz="0" w:space="0" w:color="auto"/>
      </w:divBdr>
      <w:divsChild>
        <w:div w:id="596409612">
          <w:marLeft w:val="0"/>
          <w:marRight w:val="0"/>
          <w:marTop w:val="0"/>
          <w:marBottom w:val="0"/>
          <w:divBdr>
            <w:top w:val="none" w:sz="0" w:space="0" w:color="auto"/>
            <w:left w:val="none" w:sz="0" w:space="0" w:color="auto"/>
            <w:bottom w:val="none" w:sz="0" w:space="0" w:color="auto"/>
            <w:right w:val="none" w:sz="0" w:space="0" w:color="auto"/>
          </w:divBdr>
          <w:divsChild>
            <w:div w:id="162503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5818">
      <w:bodyDiv w:val="1"/>
      <w:marLeft w:val="0"/>
      <w:marRight w:val="0"/>
      <w:marTop w:val="0"/>
      <w:marBottom w:val="0"/>
      <w:divBdr>
        <w:top w:val="none" w:sz="0" w:space="0" w:color="auto"/>
        <w:left w:val="none" w:sz="0" w:space="0" w:color="auto"/>
        <w:bottom w:val="none" w:sz="0" w:space="0" w:color="auto"/>
        <w:right w:val="none" w:sz="0" w:space="0" w:color="auto"/>
      </w:divBdr>
    </w:div>
    <w:div w:id="1604262358">
      <w:bodyDiv w:val="1"/>
      <w:marLeft w:val="0"/>
      <w:marRight w:val="0"/>
      <w:marTop w:val="0"/>
      <w:marBottom w:val="0"/>
      <w:divBdr>
        <w:top w:val="none" w:sz="0" w:space="0" w:color="auto"/>
        <w:left w:val="none" w:sz="0" w:space="0" w:color="auto"/>
        <w:bottom w:val="none" w:sz="0" w:space="0" w:color="auto"/>
        <w:right w:val="none" w:sz="0" w:space="0" w:color="auto"/>
      </w:divBdr>
    </w:div>
    <w:div w:id="1642537722">
      <w:bodyDiv w:val="1"/>
      <w:marLeft w:val="0"/>
      <w:marRight w:val="0"/>
      <w:marTop w:val="0"/>
      <w:marBottom w:val="0"/>
      <w:divBdr>
        <w:top w:val="none" w:sz="0" w:space="0" w:color="auto"/>
        <w:left w:val="none" w:sz="0" w:space="0" w:color="auto"/>
        <w:bottom w:val="none" w:sz="0" w:space="0" w:color="auto"/>
        <w:right w:val="none" w:sz="0" w:space="0" w:color="auto"/>
      </w:divBdr>
    </w:div>
    <w:div w:id="1683775583">
      <w:bodyDiv w:val="1"/>
      <w:marLeft w:val="0"/>
      <w:marRight w:val="0"/>
      <w:marTop w:val="0"/>
      <w:marBottom w:val="0"/>
      <w:divBdr>
        <w:top w:val="none" w:sz="0" w:space="0" w:color="auto"/>
        <w:left w:val="none" w:sz="0" w:space="0" w:color="auto"/>
        <w:bottom w:val="none" w:sz="0" w:space="0" w:color="auto"/>
        <w:right w:val="none" w:sz="0" w:space="0" w:color="auto"/>
      </w:divBdr>
    </w:div>
    <w:div w:id="1691907395">
      <w:bodyDiv w:val="1"/>
      <w:marLeft w:val="0"/>
      <w:marRight w:val="0"/>
      <w:marTop w:val="0"/>
      <w:marBottom w:val="0"/>
      <w:divBdr>
        <w:top w:val="none" w:sz="0" w:space="0" w:color="auto"/>
        <w:left w:val="none" w:sz="0" w:space="0" w:color="auto"/>
        <w:bottom w:val="none" w:sz="0" w:space="0" w:color="auto"/>
        <w:right w:val="none" w:sz="0" w:space="0" w:color="auto"/>
      </w:divBdr>
    </w:div>
    <w:div w:id="1732534425">
      <w:bodyDiv w:val="1"/>
      <w:marLeft w:val="0"/>
      <w:marRight w:val="0"/>
      <w:marTop w:val="0"/>
      <w:marBottom w:val="0"/>
      <w:divBdr>
        <w:top w:val="none" w:sz="0" w:space="0" w:color="auto"/>
        <w:left w:val="none" w:sz="0" w:space="0" w:color="auto"/>
        <w:bottom w:val="none" w:sz="0" w:space="0" w:color="auto"/>
        <w:right w:val="none" w:sz="0" w:space="0" w:color="auto"/>
      </w:divBdr>
    </w:div>
    <w:div w:id="1781221323">
      <w:bodyDiv w:val="1"/>
      <w:marLeft w:val="0"/>
      <w:marRight w:val="0"/>
      <w:marTop w:val="0"/>
      <w:marBottom w:val="0"/>
      <w:divBdr>
        <w:top w:val="none" w:sz="0" w:space="0" w:color="auto"/>
        <w:left w:val="none" w:sz="0" w:space="0" w:color="auto"/>
        <w:bottom w:val="none" w:sz="0" w:space="0" w:color="auto"/>
        <w:right w:val="none" w:sz="0" w:space="0" w:color="auto"/>
      </w:divBdr>
    </w:div>
    <w:div w:id="1819109594">
      <w:bodyDiv w:val="1"/>
      <w:marLeft w:val="0"/>
      <w:marRight w:val="0"/>
      <w:marTop w:val="0"/>
      <w:marBottom w:val="0"/>
      <w:divBdr>
        <w:top w:val="none" w:sz="0" w:space="0" w:color="auto"/>
        <w:left w:val="none" w:sz="0" w:space="0" w:color="auto"/>
        <w:bottom w:val="none" w:sz="0" w:space="0" w:color="auto"/>
        <w:right w:val="none" w:sz="0" w:space="0" w:color="auto"/>
      </w:divBdr>
    </w:div>
    <w:div w:id="1870990721">
      <w:bodyDiv w:val="1"/>
      <w:marLeft w:val="0"/>
      <w:marRight w:val="0"/>
      <w:marTop w:val="0"/>
      <w:marBottom w:val="0"/>
      <w:divBdr>
        <w:top w:val="none" w:sz="0" w:space="0" w:color="auto"/>
        <w:left w:val="none" w:sz="0" w:space="0" w:color="auto"/>
        <w:bottom w:val="none" w:sz="0" w:space="0" w:color="auto"/>
        <w:right w:val="none" w:sz="0" w:space="0" w:color="auto"/>
      </w:divBdr>
    </w:div>
    <w:div w:id="1943995235">
      <w:bodyDiv w:val="1"/>
      <w:marLeft w:val="0"/>
      <w:marRight w:val="0"/>
      <w:marTop w:val="0"/>
      <w:marBottom w:val="0"/>
      <w:divBdr>
        <w:top w:val="none" w:sz="0" w:space="0" w:color="auto"/>
        <w:left w:val="none" w:sz="0" w:space="0" w:color="auto"/>
        <w:bottom w:val="none" w:sz="0" w:space="0" w:color="auto"/>
        <w:right w:val="none" w:sz="0" w:space="0" w:color="auto"/>
      </w:divBdr>
    </w:div>
    <w:div w:id="1959023526">
      <w:bodyDiv w:val="1"/>
      <w:marLeft w:val="0"/>
      <w:marRight w:val="0"/>
      <w:marTop w:val="0"/>
      <w:marBottom w:val="0"/>
      <w:divBdr>
        <w:top w:val="none" w:sz="0" w:space="0" w:color="auto"/>
        <w:left w:val="none" w:sz="0" w:space="0" w:color="auto"/>
        <w:bottom w:val="none" w:sz="0" w:space="0" w:color="auto"/>
        <w:right w:val="none" w:sz="0" w:space="0" w:color="auto"/>
      </w:divBdr>
      <w:divsChild>
        <w:div w:id="117727165">
          <w:marLeft w:val="0"/>
          <w:marRight w:val="0"/>
          <w:marTop w:val="0"/>
          <w:marBottom w:val="0"/>
          <w:divBdr>
            <w:top w:val="none" w:sz="0" w:space="0" w:color="auto"/>
            <w:left w:val="none" w:sz="0" w:space="0" w:color="auto"/>
            <w:bottom w:val="none" w:sz="0" w:space="0" w:color="auto"/>
            <w:right w:val="none" w:sz="0" w:space="0" w:color="auto"/>
          </w:divBdr>
          <w:divsChild>
            <w:div w:id="183926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37102">
      <w:bodyDiv w:val="1"/>
      <w:marLeft w:val="0"/>
      <w:marRight w:val="0"/>
      <w:marTop w:val="0"/>
      <w:marBottom w:val="0"/>
      <w:divBdr>
        <w:top w:val="none" w:sz="0" w:space="0" w:color="auto"/>
        <w:left w:val="none" w:sz="0" w:space="0" w:color="auto"/>
        <w:bottom w:val="none" w:sz="0" w:space="0" w:color="auto"/>
        <w:right w:val="none" w:sz="0" w:space="0" w:color="auto"/>
      </w:divBdr>
    </w:div>
    <w:div w:id="1973516796">
      <w:bodyDiv w:val="1"/>
      <w:marLeft w:val="0"/>
      <w:marRight w:val="0"/>
      <w:marTop w:val="0"/>
      <w:marBottom w:val="0"/>
      <w:divBdr>
        <w:top w:val="none" w:sz="0" w:space="0" w:color="auto"/>
        <w:left w:val="none" w:sz="0" w:space="0" w:color="auto"/>
        <w:bottom w:val="none" w:sz="0" w:space="0" w:color="auto"/>
        <w:right w:val="none" w:sz="0" w:space="0" w:color="auto"/>
      </w:divBdr>
    </w:div>
    <w:div w:id="1990671598">
      <w:bodyDiv w:val="1"/>
      <w:marLeft w:val="0"/>
      <w:marRight w:val="0"/>
      <w:marTop w:val="0"/>
      <w:marBottom w:val="0"/>
      <w:divBdr>
        <w:top w:val="none" w:sz="0" w:space="0" w:color="auto"/>
        <w:left w:val="none" w:sz="0" w:space="0" w:color="auto"/>
        <w:bottom w:val="none" w:sz="0" w:space="0" w:color="auto"/>
        <w:right w:val="none" w:sz="0" w:space="0" w:color="auto"/>
      </w:divBdr>
    </w:div>
    <w:div w:id="214141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leanenergyregulator.gov.au/National-Greenhouse-and-Energy-Reporting/published-information/greenhouse-and-energy-information/Pages/default.aspx"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leanenergyregulator.gov.au/National-Greenhouse-and-Energy-Reporting/published-information/greenhouse-and-energy-information/Pages/default.aspx"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environment.gov.au/system/files/pages/dbabd13c-f8f1-49cd-ab40-621f056de35a/files/safeguard-mechanism-consultation-paper.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harbers\AppData\Local\Microsoft\Windows\Temporary%20Internet%20Files\Content.Outlook\Y6C1YKOT\150421%20Trucking%20company%20CO2e%20emission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2008-09</c:v>
          </c:tx>
          <c:spPr>
            <a:solidFill>
              <a:schemeClr val="accent1"/>
            </a:solidFill>
            <a:ln>
              <a:noFill/>
            </a:ln>
            <a:effectLst/>
          </c:spPr>
          <c:invertIfNegative val="0"/>
          <c:cat>
            <c:strRef>
              <c:f>co2e!$A$3:$A$7</c:f>
              <c:strCache>
                <c:ptCount val="5"/>
                <c:pt idx="0">
                  <c:v>CEVA </c:v>
                </c:pt>
                <c:pt idx="1">
                  <c:v>Lindsay Australia</c:v>
                </c:pt>
                <c:pt idx="2">
                  <c:v>Linfox </c:v>
                </c:pt>
                <c:pt idx="3">
                  <c:v>Ron Finemore Transport </c:v>
                </c:pt>
                <c:pt idx="4">
                  <c:v>Toll Holdings</c:v>
                </c:pt>
              </c:strCache>
            </c:strRef>
          </c:cat>
          <c:val>
            <c:numRef>
              <c:f>co2e!$B$3:$B$7</c:f>
              <c:numCache>
                <c:formatCode>General</c:formatCode>
                <c:ptCount val="5"/>
                <c:pt idx="2" formatCode="_-* #,##0_-;\-* #,##0_-;_-* &quot;-&quot;??_-;_-@_-">
                  <c:v>202075</c:v>
                </c:pt>
                <c:pt idx="4" formatCode="_-* #,##0_-;\-* #,##0_-;_-* &quot;-&quot;??_-;_-@_-">
                  <c:v>409822</c:v>
                </c:pt>
              </c:numCache>
            </c:numRef>
          </c:val>
        </c:ser>
        <c:ser>
          <c:idx val="1"/>
          <c:order val="1"/>
          <c:tx>
            <c:v>2009-10</c:v>
          </c:tx>
          <c:spPr>
            <a:solidFill>
              <a:schemeClr val="accent2"/>
            </a:solidFill>
            <a:ln>
              <a:noFill/>
            </a:ln>
            <a:effectLst/>
          </c:spPr>
          <c:invertIfNegative val="0"/>
          <c:cat>
            <c:strRef>
              <c:f>co2e!$A$3:$A$7</c:f>
              <c:strCache>
                <c:ptCount val="5"/>
                <c:pt idx="0">
                  <c:v>CEVA </c:v>
                </c:pt>
                <c:pt idx="1">
                  <c:v>Lindsay Australia</c:v>
                </c:pt>
                <c:pt idx="2">
                  <c:v>Linfox </c:v>
                </c:pt>
                <c:pt idx="3">
                  <c:v>Ron Finemore Transport </c:v>
                </c:pt>
                <c:pt idx="4">
                  <c:v>Toll Holdings</c:v>
                </c:pt>
              </c:strCache>
            </c:strRef>
          </c:cat>
          <c:val>
            <c:numRef>
              <c:f>co2e!$C$3:$C$7</c:f>
              <c:numCache>
                <c:formatCode>General</c:formatCode>
                <c:ptCount val="5"/>
                <c:pt idx="0" formatCode="_-* #,##0_-;\-* #,##0_-;_-* &quot;-&quot;??_-;_-@_-">
                  <c:v>67562</c:v>
                </c:pt>
                <c:pt idx="2" formatCode="_-* #,##0_-;\-* #,##0_-;_-* &quot;-&quot;??_-;_-@_-">
                  <c:v>215728</c:v>
                </c:pt>
                <c:pt idx="4" formatCode="_-* #,##0_-;\-* #,##0_-;_-* &quot;-&quot;??_-;_-@_-">
                  <c:v>437525</c:v>
                </c:pt>
              </c:numCache>
            </c:numRef>
          </c:val>
        </c:ser>
        <c:ser>
          <c:idx val="2"/>
          <c:order val="2"/>
          <c:tx>
            <c:v>2010-11</c:v>
          </c:tx>
          <c:spPr>
            <a:solidFill>
              <a:schemeClr val="accent3"/>
            </a:solidFill>
            <a:ln>
              <a:noFill/>
            </a:ln>
            <a:effectLst/>
          </c:spPr>
          <c:invertIfNegative val="0"/>
          <c:cat>
            <c:strRef>
              <c:f>co2e!$A$3:$A$7</c:f>
              <c:strCache>
                <c:ptCount val="5"/>
                <c:pt idx="0">
                  <c:v>CEVA </c:v>
                </c:pt>
                <c:pt idx="1">
                  <c:v>Lindsay Australia</c:v>
                </c:pt>
                <c:pt idx="2">
                  <c:v>Linfox </c:v>
                </c:pt>
                <c:pt idx="3">
                  <c:v>Ron Finemore Transport </c:v>
                </c:pt>
                <c:pt idx="4">
                  <c:v>Toll Holdings</c:v>
                </c:pt>
              </c:strCache>
            </c:strRef>
          </c:cat>
          <c:val>
            <c:numRef>
              <c:f>co2e!$D$3:$D$7</c:f>
              <c:numCache>
                <c:formatCode>_-* #,##0_-;\-* #,##0_-;_-* "-"??_-;_-@_-</c:formatCode>
                <c:ptCount val="5"/>
                <c:pt idx="0">
                  <c:v>80214</c:v>
                </c:pt>
                <c:pt idx="1">
                  <c:v>89726</c:v>
                </c:pt>
                <c:pt idx="2">
                  <c:v>224015</c:v>
                </c:pt>
                <c:pt idx="3">
                  <c:v>50787</c:v>
                </c:pt>
                <c:pt idx="4">
                  <c:v>575214</c:v>
                </c:pt>
              </c:numCache>
            </c:numRef>
          </c:val>
        </c:ser>
        <c:ser>
          <c:idx val="3"/>
          <c:order val="3"/>
          <c:tx>
            <c:v>2011-12</c:v>
          </c:tx>
          <c:spPr>
            <a:solidFill>
              <a:schemeClr val="accent4"/>
            </a:solidFill>
            <a:ln>
              <a:noFill/>
            </a:ln>
            <a:effectLst/>
          </c:spPr>
          <c:invertIfNegative val="0"/>
          <c:cat>
            <c:strRef>
              <c:f>co2e!$A$3:$A$7</c:f>
              <c:strCache>
                <c:ptCount val="5"/>
                <c:pt idx="0">
                  <c:v>CEVA </c:v>
                </c:pt>
                <c:pt idx="1">
                  <c:v>Lindsay Australia</c:v>
                </c:pt>
                <c:pt idx="2">
                  <c:v>Linfox </c:v>
                </c:pt>
                <c:pt idx="3">
                  <c:v>Ron Finemore Transport </c:v>
                </c:pt>
                <c:pt idx="4">
                  <c:v>Toll Holdings</c:v>
                </c:pt>
              </c:strCache>
            </c:strRef>
          </c:cat>
          <c:val>
            <c:numRef>
              <c:f>co2e!$E$3:$E$7</c:f>
              <c:numCache>
                <c:formatCode>_-* #,##0_-;\-* #,##0_-;_-* "-"??_-;_-@_-</c:formatCode>
                <c:ptCount val="5"/>
                <c:pt idx="0">
                  <c:v>97262</c:v>
                </c:pt>
                <c:pt idx="1">
                  <c:v>83327</c:v>
                </c:pt>
                <c:pt idx="2">
                  <c:v>224899</c:v>
                </c:pt>
                <c:pt idx="3">
                  <c:v>56304</c:v>
                </c:pt>
                <c:pt idx="4">
                  <c:v>594015</c:v>
                </c:pt>
              </c:numCache>
            </c:numRef>
          </c:val>
        </c:ser>
        <c:ser>
          <c:idx val="4"/>
          <c:order val="4"/>
          <c:tx>
            <c:v>2012-13</c:v>
          </c:tx>
          <c:spPr>
            <a:solidFill>
              <a:schemeClr val="accent5"/>
            </a:solidFill>
            <a:ln>
              <a:noFill/>
            </a:ln>
            <a:effectLst/>
          </c:spPr>
          <c:invertIfNegative val="0"/>
          <c:cat>
            <c:strRef>
              <c:f>co2e!$A$3:$A$7</c:f>
              <c:strCache>
                <c:ptCount val="5"/>
                <c:pt idx="0">
                  <c:v>CEVA </c:v>
                </c:pt>
                <c:pt idx="1">
                  <c:v>Lindsay Australia</c:v>
                </c:pt>
                <c:pt idx="2">
                  <c:v>Linfox </c:v>
                </c:pt>
                <c:pt idx="3">
                  <c:v>Ron Finemore Transport </c:v>
                </c:pt>
                <c:pt idx="4">
                  <c:v>Toll Holdings</c:v>
                </c:pt>
              </c:strCache>
            </c:strRef>
          </c:cat>
          <c:val>
            <c:numRef>
              <c:f>co2e!$F$3:$F$7</c:f>
              <c:numCache>
                <c:formatCode>_-* #,##0_-;\-* #,##0_-;_-* "-"??_-;_-@_-</c:formatCode>
                <c:ptCount val="5"/>
                <c:pt idx="0">
                  <c:v>100578</c:v>
                </c:pt>
                <c:pt idx="1">
                  <c:v>89896</c:v>
                </c:pt>
                <c:pt idx="2">
                  <c:v>216559</c:v>
                </c:pt>
                <c:pt idx="3">
                  <c:v>59080</c:v>
                </c:pt>
                <c:pt idx="4">
                  <c:v>553461</c:v>
                </c:pt>
              </c:numCache>
            </c:numRef>
          </c:val>
        </c:ser>
        <c:ser>
          <c:idx val="5"/>
          <c:order val="5"/>
          <c:tx>
            <c:v>2013-14</c:v>
          </c:tx>
          <c:spPr>
            <a:solidFill>
              <a:schemeClr val="accent6"/>
            </a:solidFill>
            <a:ln>
              <a:noFill/>
            </a:ln>
            <a:effectLst/>
          </c:spPr>
          <c:invertIfNegative val="0"/>
          <c:cat>
            <c:strRef>
              <c:f>co2e!$A$3:$A$7</c:f>
              <c:strCache>
                <c:ptCount val="5"/>
                <c:pt idx="0">
                  <c:v>CEVA </c:v>
                </c:pt>
                <c:pt idx="1">
                  <c:v>Lindsay Australia</c:v>
                </c:pt>
                <c:pt idx="2">
                  <c:v>Linfox </c:v>
                </c:pt>
                <c:pt idx="3">
                  <c:v>Ron Finemore Transport </c:v>
                </c:pt>
                <c:pt idx="4">
                  <c:v>Toll Holdings</c:v>
                </c:pt>
              </c:strCache>
            </c:strRef>
          </c:cat>
          <c:val>
            <c:numRef>
              <c:f>co2e!$G$3:$G$7</c:f>
              <c:numCache>
                <c:formatCode>_-* #,##0_-;\-* #,##0_-;_-* "-"??_-;_-@_-</c:formatCode>
                <c:ptCount val="5"/>
                <c:pt idx="0">
                  <c:v>99965</c:v>
                </c:pt>
                <c:pt idx="1">
                  <c:v>93611</c:v>
                </c:pt>
                <c:pt idx="2">
                  <c:v>219156</c:v>
                </c:pt>
                <c:pt idx="3">
                  <c:v>64800</c:v>
                </c:pt>
                <c:pt idx="4">
                  <c:v>524759</c:v>
                </c:pt>
              </c:numCache>
            </c:numRef>
          </c:val>
        </c:ser>
        <c:dLbls>
          <c:showLegendKey val="0"/>
          <c:showVal val="0"/>
          <c:showCatName val="0"/>
          <c:showSerName val="0"/>
          <c:showPercent val="0"/>
          <c:showBubbleSize val="0"/>
        </c:dLbls>
        <c:gapWidth val="219"/>
        <c:overlap val="-27"/>
        <c:axId val="309652016"/>
        <c:axId val="309250536"/>
      </c:barChart>
      <c:catAx>
        <c:axId val="309652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9250536"/>
        <c:crosses val="autoZero"/>
        <c:auto val="1"/>
        <c:lblAlgn val="ctr"/>
        <c:lblOffset val="100"/>
        <c:noMultiLvlLbl val="0"/>
      </c:catAx>
      <c:valAx>
        <c:axId val="309250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Emissions</a:t>
                </a:r>
                <a:r>
                  <a:rPr lang="en-AU" baseline="0"/>
                  <a:t> (tonnes Co2e)</a:t>
                </a:r>
                <a:endParaRPr lang="en-AU"/>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96520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5C909-9F9E-40A2-9B62-0CC7CB542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1291</Words>
  <Characters>8125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SUBMISSION PROPOSED HEAVY VEHICLE NATIONAL LAWS</vt:lpstr>
    </vt:vector>
  </TitlesOfParts>
  <Company>HP</Company>
  <LinksUpToDate>false</LinksUpToDate>
  <CharactersWithSpaces>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PROPOSED HEAVY VEHICLE NATIONAL LAWS</dc:title>
  <dc:creator>harbers;mckinleyb</dc:creator>
  <cp:lastModifiedBy>Sarah Harber</cp:lastModifiedBy>
  <cp:revision>4</cp:revision>
  <cp:lastPrinted>2015-04-28T22:16:00Z</cp:lastPrinted>
  <dcterms:created xsi:type="dcterms:W3CDTF">2015-04-28T22:11:00Z</dcterms:created>
  <dcterms:modified xsi:type="dcterms:W3CDTF">2015-04-28T22:17:00Z</dcterms:modified>
</cp:coreProperties>
</file>